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D0613" w14:textId="77777777" w:rsidR="005E000F" w:rsidRDefault="00000000">
      <w:pPr>
        <w:spacing w:beforeLines="50" w:before="120" w:afterLines="50" w:after="120"/>
        <w:rPr>
          <w:bCs/>
        </w:rPr>
      </w:pPr>
      <w:sdt>
        <w:sdtPr>
          <w:tag w:val="_PLD_1949c108a8da4292a0058e3719689765"/>
          <w:id w:val="-1892412298"/>
        </w:sdtPr>
        <w:sdtContent>
          <w:r>
            <w:rPr>
              <w:rFonts w:hint="eastAsia"/>
              <w:bCs/>
            </w:rPr>
            <w:t>公司代码：</w:t>
          </w:r>
        </w:sdtContent>
      </w:sdt>
      <w:sdt>
        <w:sdtPr>
          <w:rPr>
            <w:rFonts w:hint="eastAsia"/>
            <w:bCs/>
          </w:rPr>
          <w:alias w:val="公司代码"/>
          <w:tag w:val="_GBC_704b7b03ea3f4a93b8d4655a09b2ff61"/>
          <w:id w:val="1191650966"/>
          <w:placeholder>
            <w:docPart w:val="GBC22222222222222222222222222222"/>
          </w:placeholder>
        </w:sdtPr>
        <w:sdtContent>
          <w:r>
            <w:rPr>
              <w:bCs/>
            </w:rPr>
            <w:t>601006</w:t>
          </w:r>
        </w:sdtContent>
      </w:sdt>
      <w:r>
        <w:rPr>
          <w:rFonts w:hint="eastAsia"/>
          <w:bCs/>
        </w:rPr>
        <w:t xml:space="preserve">                                           </w:t>
      </w:r>
      <w:sdt>
        <w:sdtPr>
          <w:tag w:val="_PLD_fdb42a71c1cc4dc59fad3ee29e241a4f"/>
          <w:id w:val="-1482764855"/>
        </w:sdtPr>
        <w:sdtContent>
          <w:r>
            <w:rPr>
              <w:rFonts w:hint="eastAsia"/>
              <w:bCs/>
            </w:rPr>
            <w:t>公司简称：</w:t>
          </w:r>
        </w:sdtContent>
      </w:sdt>
      <w:sdt>
        <w:sdtPr>
          <w:rPr>
            <w:rFonts w:hint="eastAsia"/>
            <w:bCs/>
          </w:rPr>
          <w:alias w:val="公司简称"/>
          <w:tag w:val="_GBC_0384ae715a1e4b4894a29e4d27f5bef4"/>
          <w:id w:val="-209029702"/>
          <w:placeholder>
            <w:docPart w:val="GBC22222222222222222222222222222"/>
          </w:placeholder>
        </w:sdtPr>
        <w:sdtContent>
          <w:r>
            <w:rPr>
              <w:rFonts w:hint="eastAsia"/>
              <w:bCs/>
            </w:rPr>
            <w:t>大秦铁路</w:t>
          </w:r>
        </w:sdtContent>
      </w:sdt>
    </w:p>
    <w:p w14:paraId="62EEDECB" w14:textId="77777777" w:rsidR="005E000F" w:rsidRDefault="005E000F"/>
    <w:p w14:paraId="00E5EE10" w14:textId="77777777" w:rsidR="005E000F" w:rsidRDefault="005E000F"/>
    <w:p w14:paraId="0FEA86E6" w14:textId="77777777" w:rsidR="005E000F" w:rsidRDefault="005E000F"/>
    <w:p w14:paraId="3345EA0B" w14:textId="77777777" w:rsidR="005E000F" w:rsidRDefault="005E000F"/>
    <w:p w14:paraId="1C3067BA" w14:textId="77777777" w:rsidR="005E000F" w:rsidRDefault="005E000F"/>
    <w:p w14:paraId="0807FD7D" w14:textId="77777777" w:rsidR="005E000F" w:rsidRDefault="005E000F"/>
    <w:p w14:paraId="35945501" w14:textId="77777777" w:rsidR="005E000F" w:rsidRDefault="005E000F">
      <w:pPr>
        <w:rPr>
          <w:b/>
          <w:bCs/>
        </w:rPr>
      </w:pPr>
    </w:p>
    <w:p w14:paraId="168DC61E" w14:textId="77777777" w:rsidR="005E000F" w:rsidRDefault="005E000F">
      <w:pPr>
        <w:rPr>
          <w:b/>
          <w:bCs/>
        </w:rPr>
      </w:pPr>
    </w:p>
    <w:p w14:paraId="57F63846" w14:textId="77777777" w:rsidR="005E000F" w:rsidRDefault="00000000">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081678912"/>
          <w:placeholder>
            <w:docPart w:val="GBC22222222222222222222222222222"/>
          </w:placeholder>
          <w:dataBinding w:prefixMappings="xmlns:clcid-cgi='clcid-cgi'" w:xpath="/*/clcid-cgi:GongSiFaDingZhongWenMingCheng[not(@periodRef)]" w:storeItemID="{89EBAB94-44A0-46A2-B712-30D997D04A6D}"/>
          <w:text/>
        </w:sdtPr>
        <w:sdtContent>
          <w:r>
            <w:rPr>
              <w:rFonts w:ascii="黑体" w:eastAsia="黑体" w:hAnsi="黑体" w:hint="eastAsia"/>
              <w:b/>
              <w:bCs/>
              <w:color w:val="FF0000"/>
              <w:sz w:val="44"/>
              <w:szCs w:val="44"/>
            </w:rPr>
            <w:t>大秦铁路股份有限公司</w:t>
          </w:r>
        </w:sdtContent>
      </w:sdt>
    </w:p>
    <w:p w14:paraId="1BD9CB4B" w14:textId="77777777" w:rsidR="005E000F" w:rsidRDefault="00000000">
      <w:pPr>
        <w:jc w:val="center"/>
        <w:rPr>
          <w:rFonts w:ascii="黑体" w:eastAsia="黑体" w:hAnsi="黑体"/>
          <w:b/>
          <w:bCs/>
          <w:color w:val="FF0000"/>
          <w:sz w:val="44"/>
          <w:szCs w:val="44"/>
        </w:rPr>
      </w:pPr>
      <w:r>
        <w:rPr>
          <w:rFonts w:ascii="黑体" w:eastAsia="黑体" w:hAnsi="黑体"/>
          <w:b/>
          <w:bCs/>
          <w:color w:val="FF0000"/>
          <w:sz w:val="44"/>
          <w:szCs w:val="44"/>
        </w:rPr>
        <w:t>2025</w:t>
      </w:r>
      <w:r>
        <w:rPr>
          <w:rFonts w:ascii="黑体" w:eastAsia="黑体" w:hAnsi="黑体" w:hint="eastAsia"/>
          <w:b/>
          <w:bCs/>
          <w:color w:val="FF0000"/>
          <w:sz w:val="44"/>
          <w:szCs w:val="44"/>
        </w:rPr>
        <w:t>年年度报告</w:t>
      </w:r>
    </w:p>
    <w:p w14:paraId="0D58CB60" w14:textId="77777777" w:rsidR="005E000F" w:rsidRDefault="005E000F"/>
    <w:p w14:paraId="227ECE29" w14:textId="77777777" w:rsidR="005E000F" w:rsidRDefault="005E000F">
      <w:pPr>
        <w:rPr>
          <w:rFonts w:ascii="黑体" w:eastAsia="黑体" w:hAnsi="黑体"/>
          <w:b/>
          <w:bCs/>
          <w:color w:val="FF0000"/>
          <w:sz w:val="44"/>
          <w:szCs w:val="44"/>
        </w:rPr>
        <w:sectPr w:rsidR="005E000F">
          <w:headerReference w:type="default" r:id="rId12"/>
          <w:footerReference w:type="default" r:id="rId13"/>
          <w:pgSz w:w="11906" w:h="16838"/>
          <w:pgMar w:top="1525" w:right="1276" w:bottom="1440" w:left="1797" w:header="855" w:footer="992" w:gutter="0"/>
          <w:cols w:space="425"/>
          <w:docGrid w:linePitch="312"/>
        </w:sectPr>
      </w:pPr>
    </w:p>
    <w:p w14:paraId="75B7BBC8" w14:textId="77777777" w:rsidR="005E000F" w:rsidRDefault="005E000F"/>
    <w:bookmarkStart w:id="0" w:name="_Toc387656034" w:displacedByCustomXml="next"/>
    <w:sdt>
      <w:sdtPr>
        <w:tag w:val="_PLD_429fee330a4a46d2822ec08d94ecdb3f"/>
        <w:id w:val="-1506664063"/>
      </w:sdtPr>
      <w:sdtContent>
        <w:p w14:paraId="24ABCD09" w14:textId="77777777" w:rsidR="005E000F" w:rsidRDefault="00000000">
          <w:pPr>
            <w:spacing w:before="100" w:beforeAutospacing="1" w:after="100" w:afterAutospacing="1" w:line="360" w:lineRule="auto"/>
            <w:jc w:val="center"/>
            <w:rPr>
              <w:rFonts w:ascii="黑体" w:eastAsia="黑体" w:hAnsi="黑体"/>
              <w:b/>
              <w:bCs/>
              <w:sz w:val="28"/>
              <w:szCs w:val="28"/>
            </w:rPr>
          </w:pPr>
          <w:r>
            <w:rPr>
              <w:rFonts w:ascii="黑体" w:eastAsia="黑体" w:hAnsi="黑体" w:hint="eastAsia"/>
              <w:b/>
              <w:bCs/>
              <w:sz w:val="28"/>
              <w:szCs w:val="28"/>
            </w:rPr>
            <w:t>重要提示</w:t>
          </w:r>
        </w:p>
      </w:sdtContent>
    </w:sdt>
    <w:bookmarkEnd w:id="0" w:displacedByCustomXml="next"/>
    <w:sdt>
      <w:sdtPr>
        <w:rPr>
          <w:rFonts w:ascii="宋体" w:hAnsi="宋体" w:cs="宋体" w:hint="eastAsia"/>
          <w:b w:val="0"/>
          <w:bCs w:val="0"/>
          <w:kern w:val="0"/>
          <w:szCs w:val="24"/>
        </w:rPr>
        <w:alias w:val="选项模块:董事会及董事声明"/>
        <w:tag w:val="_SEC_7d2cef92505949c6b5bd6a9bd88e1b07"/>
        <w:id w:val="-1037499259"/>
        <w:placeholder>
          <w:docPart w:val="GBC22222222222222222222222222222"/>
        </w:placeholder>
      </w:sdtPr>
      <w:sdtEndPr>
        <w:rPr>
          <w:rFonts w:ascii="Arial" w:hAnsi="Arial" w:cs="Times New Roman" w:hint="default"/>
          <w:b/>
          <w:bCs/>
          <w:kern w:val="2"/>
          <w:szCs w:val="21"/>
        </w:rPr>
      </w:sdtEndPr>
      <w:sdtContent>
        <w:sdt>
          <w:sdtPr>
            <w:rPr>
              <w:rFonts w:ascii="宋体" w:hAnsi="宋体" w:cs="宋体" w:hint="eastAsia"/>
              <w:b w:val="0"/>
              <w:bCs w:val="0"/>
              <w:kern w:val="0"/>
              <w:szCs w:val="24"/>
            </w:rPr>
            <w:alias w:val="董事会及董事声明"/>
            <w:tag w:val="_GBC_7a4abe6548364d7e8583e54b6ff64105"/>
            <w:id w:val="-1474356049"/>
            <w:placeholder>
              <w:docPart w:val="GBC22222222222222222222222222222"/>
            </w:placeholder>
          </w:sdtPr>
          <w:sdtEndPr>
            <w:rPr>
              <w:rFonts w:ascii="Arial" w:hAnsi="Arial" w:cs="Times New Roman"/>
              <w:b/>
              <w:bCs/>
              <w:kern w:val="2"/>
              <w:szCs w:val="21"/>
            </w:rPr>
          </w:sdtEndPr>
          <w:sdtContent>
            <w:p w14:paraId="6DE5A2F7" w14:textId="77777777" w:rsidR="005E000F" w:rsidRDefault="00000000">
              <w:pPr>
                <w:pStyle w:val="2"/>
                <w:numPr>
                  <w:ilvl w:val="0"/>
                  <w:numId w:val="1"/>
                </w:numPr>
                <w:tabs>
                  <w:tab w:val="left" w:pos="434"/>
                </w:tabs>
                <w:spacing w:before="0"/>
                <w:rPr>
                  <w:rFonts w:ascii="Times New Roman" w:hAnsi="宋体" w:cs="宋体"/>
                  <w:bCs w:val="0"/>
                </w:rPr>
              </w:pPr>
              <w:r>
                <w:rPr>
                  <w:rFonts w:ascii="Times New Roman" w:hAnsi="宋体" w:cs="宋体"/>
                  <w:bCs w:val="0"/>
                </w:rPr>
                <w:t>公司董事会及董事、高级管理人员保证年度报告内容的真实</w:t>
              </w:r>
              <w:r>
                <w:rPr>
                  <w:rFonts w:ascii="Times New Roman" w:hAnsi="宋体" w:cs="宋体" w:hint="eastAsia"/>
                  <w:bCs w:val="0"/>
                </w:rPr>
                <w:t>性</w:t>
              </w:r>
              <w:r>
                <w:rPr>
                  <w:rFonts w:ascii="Times New Roman" w:hAnsi="宋体" w:cs="宋体"/>
                  <w:bCs w:val="0"/>
                </w:rPr>
                <w:t>、准确</w:t>
              </w:r>
              <w:r>
                <w:rPr>
                  <w:rFonts w:ascii="Times New Roman" w:hAnsi="宋体" w:cs="宋体" w:hint="eastAsia"/>
                  <w:bCs w:val="0"/>
                </w:rPr>
                <w:t>性</w:t>
              </w:r>
              <w:r>
                <w:rPr>
                  <w:rFonts w:ascii="Times New Roman" w:hAnsi="宋体" w:cs="宋体"/>
                  <w:bCs w:val="0"/>
                </w:rPr>
                <w:t>、完整</w:t>
              </w:r>
              <w:r>
                <w:rPr>
                  <w:rFonts w:ascii="Times New Roman" w:hAnsi="宋体" w:cs="宋体" w:hint="eastAsia"/>
                  <w:bCs w:val="0"/>
                </w:rPr>
                <w:t>性</w:t>
              </w:r>
              <w:r>
                <w:rPr>
                  <w:rFonts w:ascii="Times New Roman" w:hAnsi="宋体" w:cs="宋体"/>
                  <w:bCs w:val="0"/>
                </w:rPr>
                <w:t>，不存在虚假记载、误导性陈述或重大遗漏，并承担个别和连带的法律责任。</w:t>
              </w:r>
            </w:p>
          </w:sdtContent>
        </w:sdt>
      </w:sdtContent>
    </w:sdt>
    <w:sdt>
      <w:sdtPr>
        <w:rPr>
          <w:rFonts w:ascii="Calibri" w:hAnsi="Calibri" w:cs="宋体" w:hint="eastAsia"/>
          <w:b w:val="0"/>
          <w:bCs w:val="0"/>
          <w:kern w:val="0"/>
          <w:sz w:val="24"/>
          <w:szCs w:val="22"/>
        </w:rPr>
        <w:alias w:val="选项模块:未出席董事情况"/>
        <w:tag w:val="_SEC_51c9b3d9c2f94082b7b8426bcf632e09"/>
        <w:id w:val="1991358720"/>
        <w:placeholder>
          <w:docPart w:val="GBC22222222222222222222222222222"/>
        </w:placeholder>
      </w:sdtPr>
      <w:sdtEndPr>
        <w:rPr>
          <w:rFonts w:ascii="Times New Roman" w:hAnsi="Times New Roman" w:cs="Times New Roman" w:hint="default"/>
          <w:sz w:val="21"/>
          <w:szCs w:val="21"/>
        </w:rPr>
      </w:sdtEndPr>
      <w:sdtContent>
        <w:p w14:paraId="1DA9CFA0" w14:textId="77777777" w:rsidR="005E000F" w:rsidRDefault="00000000">
          <w:pPr>
            <w:pStyle w:val="2"/>
            <w:numPr>
              <w:ilvl w:val="0"/>
              <w:numId w:val="1"/>
            </w:numPr>
            <w:tabs>
              <w:tab w:val="left" w:pos="448"/>
            </w:tabs>
            <w:spacing w:before="0"/>
          </w:pPr>
          <w:r>
            <w:rPr>
              <w:rFonts w:hint="eastAsia"/>
            </w:rPr>
            <w:t>未出席董事情况</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12"/>
            <w:gridCol w:w="2198"/>
            <w:gridCol w:w="2306"/>
            <w:gridCol w:w="2404"/>
          </w:tblGrid>
          <w:tr w:rsidR="005E000F" w14:paraId="15C01B24" w14:textId="77777777">
            <w:trPr>
              <w:trHeight w:val="293"/>
            </w:trPr>
            <w:sdt>
              <w:sdtPr>
                <w:tag w:val="_PLD_db2023893e244476afd10978209e2b40"/>
                <w:id w:val="669056728"/>
              </w:sdtPr>
              <w:sdtContent>
                <w:tc>
                  <w:tcPr>
                    <w:tcW w:w="1812" w:type="dxa"/>
                    <w:vAlign w:val="center"/>
                  </w:tcPr>
                  <w:p w14:paraId="168EE433" w14:textId="77777777" w:rsidR="005E000F" w:rsidRDefault="00000000">
                    <w:pPr>
                      <w:kinsoku w:val="0"/>
                      <w:overflowPunct w:val="0"/>
                      <w:autoSpaceDE w:val="0"/>
                      <w:autoSpaceDN w:val="0"/>
                      <w:adjustRightInd w:val="0"/>
                      <w:snapToGrid w:val="0"/>
                      <w:jc w:val="center"/>
                      <w:rPr>
                        <w:color w:val="000000"/>
                      </w:rPr>
                    </w:pPr>
                    <w:r>
                      <w:rPr>
                        <w:rFonts w:hint="eastAsia"/>
                        <w:color w:val="000000"/>
                      </w:rPr>
                      <w:t>未出席董事职务</w:t>
                    </w:r>
                  </w:p>
                </w:tc>
              </w:sdtContent>
            </w:sdt>
            <w:sdt>
              <w:sdtPr>
                <w:tag w:val="_PLD_98cbcc4b786a4336925706025a6494f7"/>
                <w:id w:val="402959457"/>
              </w:sdtPr>
              <w:sdtContent>
                <w:tc>
                  <w:tcPr>
                    <w:tcW w:w="2198" w:type="dxa"/>
                    <w:vAlign w:val="center"/>
                  </w:tcPr>
                  <w:p w14:paraId="02D53F6A" w14:textId="77777777" w:rsidR="005E000F" w:rsidRDefault="00000000">
                    <w:pPr>
                      <w:kinsoku w:val="0"/>
                      <w:overflowPunct w:val="0"/>
                      <w:autoSpaceDE w:val="0"/>
                      <w:autoSpaceDN w:val="0"/>
                      <w:adjustRightInd w:val="0"/>
                      <w:snapToGrid w:val="0"/>
                      <w:jc w:val="center"/>
                      <w:rPr>
                        <w:color w:val="000000"/>
                      </w:rPr>
                    </w:pPr>
                    <w:r>
                      <w:rPr>
                        <w:rFonts w:hint="eastAsia"/>
                        <w:color w:val="000000"/>
                      </w:rPr>
                      <w:t>未出席董事姓名</w:t>
                    </w:r>
                  </w:p>
                </w:tc>
              </w:sdtContent>
            </w:sdt>
            <w:sdt>
              <w:sdtPr>
                <w:tag w:val="_PLD_d4c249278a024393ad22bea8647ece33"/>
                <w:id w:val="1583641326"/>
              </w:sdtPr>
              <w:sdtContent>
                <w:tc>
                  <w:tcPr>
                    <w:tcW w:w="2306" w:type="dxa"/>
                    <w:vAlign w:val="center"/>
                  </w:tcPr>
                  <w:p w14:paraId="49EE728A" w14:textId="77777777" w:rsidR="005E000F" w:rsidRDefault="00000000">
                    <w:pPr>
                      <w:kinsoku w:val="0"/>
                      <w:overflowPunct w:val="0"/>
                      <w:autoSpaceDE w:val="0"/>
                      <w:autoSpaceDN w:val="0"/>
                      <w:adjustRightInd w:val="0"/>
                      <w:snapToGrid w:val="0"/>
                      <w:jc w:val="center"/>
                      <w:rPr>
                        <w:color w:val="000000"/>
                      </w:rPr>
                    </w:pPr>
                    <w:r>
                      <w:rPr>
                        <w:rFonts w:hint="eastAsia"/>
                        <w:color w:val="000000"/>
                      </w:rPr>
                      <w:t>未出席</w:t>
                    </w:r>
                    <w:r>
                      <w:rPr>
                        <w:rFonts w:hint="eastAsia"/>
                      </w:rPr>
                      <w:t>董事的原因说明</w:t>
                    </w:r>
                  </w:p>
                </w:tc>
              </w:sdtContent>
            </w:sdt>
            <w:sdt>
              <w:sdtPr>
                <w:tag w:val="_PLD_405aefb576d0416c898d9592961aea9c"/>
                <w:id w:val="1847824419"/>
              </w:sdtPr>
              <w:sdtContent>
                <w:tc>
                  <w:tcPr>
                    <w:tcW w:w="2404" w:type="dxa"/>
                    <w:vAlign w:val="center"/>
                  </w:tcPr>
                  <w:p w14:paraId="5BACF857" w14:textId="77777777" w:rsidR="005E000F" w:rsidRDefault="00000000">
                    <w:pPr>
                      <w:kinsoku w:val="0"/>
                      <w:overflowPunct w:val="0"/>
                      <w:autoSpaceDE w:val="0"/>
                      <w:autoSpaceDN w:val="0"/>
                      <w:adjustRightInd w:val="0"/>
                      <w:snapToGrid w:val="0"/>
                      <w:spacing w:before="40" w:after="40"/>
                      <w:jc w:val="center"/>
                    </w:pPr>
                    <w:r>
                      <w:rPr>
                        <w:rFonts w:hint="eastAsia"/>
                      </w:rPr>
                      <w:t>被委托人姓名</w:t>
                    </w:r>
                  </w:p>
                </w:tc>
              </w:sdtContent>
            </w:sdt>
          </w:tr>
          <w:tr w:rsidR="005E000F" w14:paraId="773402F7" w14:textId="77777777">
            <w:trPr>
              <w:trHeight w:val="293"/>
            </w:trPr>
            <w:sdt>
              <w:sdtPr>
                <w:alias w:val="未出席董事职务"/>
                <w:tag w:val="_GBC_04203e703d1543efaba6697bf4ad9682"/>
                <w:id w:val="-569963417"/>
                <w:comboBox>
                  <w:listItem w:displayText="董事" w:value="董事"/>
                  <w:listItem w:displayText="董事长" w:value="董事长"/>
                  <w:listItem w:displayText="独立董事" w:value="独立董事"/>
                </w:comboBox>
              </w:sdtPr>
              <w:sdtContent>
                <w:tc>
                  <w:tcPr>
                    <w:tcW w:w="1812" w:type="dxa"/>
                    <w:vAlign w:val="center"/>
                  </w:tcPr>
                  <w:p w14:paraId="05DDFF63" w14:textId="77777777" w:rsidR="005E000F" w:rsidRDefault="00000000">
                    <w:pPr>
                      <w:kinsoku w:val="0"/>
                      <w:overflowPunct w:val="0"/>
                      <w:autoSpaceDE w:val="0"/>
                      <w:autoSpaceDN w:val="0"/>
                      <w:adjustRightInd w:val="0"/>
                      <w:snapToGrid w:val="0"/>
                      <w:jc w:val="center"/>
                    </w:pPr>
                    <w:r>
                      <w:t>董事</w:t>
                    </w:r>
                  </w:p>
                </w:tc>
              </w:sdtContent>
            </w:sdt>
            <w:tc>
              <w:tcPr>
                <w:tcW w:w="2198" w:type="dxa"/>
                <w:vAlign w:val="center"/>
              </w:tcPr>
              <w:p w14:paraId="309B1B22" w14:textId="77777777" w:rsidR="005E000F" w:rsidRDefault="00000000">
                <w:pPr>
                  <w:kinsoku w:val="0"/>
                  <w:overflowPunct w:val="0"/>
                  <w:autoSpaceDE w:val="0"/>
                  <w:autoSpaceDN w:val="0"/>
                  <w:adjustRightInd w:val="0"/>
                  <w:snapToGrid w:val="0"/>
                  <w:jc w:val="center"/>
                  <w:rPr>
                    <w:color w:val="000000"/>
                  </w:rPr>
                </w:pPr>
                <w:r>
                  <w:rPr>
                    <w:rFonts w:hint="eastAsia"/>
                  </w:rPr>
                  <w:t>杨涛</w:t>
                </w:r>
              </w:p>
            </w:tc>
            <w:tc>
              <w:tcPr>
                <w:tcW w:w="2306" w:type="dxa"/>
                <w:vAlign w:val="center"/>
              </w:tcPr>
              <w:p w14:paraId="496CBA99" w14:textId="77777777" w:rsidR="005E000F" w:rsidRDefault="00000000">
                <w:pPr>
                  <w:kinsoku w:val="0"/>
                  <w:overflowPunct w:val="0"/>
                  <w:autoSpaceDE w:val="0"/>
                  <w:autoSpaceDN w:val="0"/>
                  <w:adjustRightInd w:val="0"/>
                  <w:snapToGrid w:val="0"/>
                  <w:jc w:val="center"/>
                  <w:rPr>
                    <w:color w:val="000000"/>
                  </w:rPr>
                </w:pPr>
                <w:r>
                  <w:rPr>
                    <w:rFonts w:hint="eastAsia"/>
                  </w:rPr>
                  <w:t>工作原因</w:t>
                </w:r>
              </w:p>
            </w:tc>
            <w:tc>
              <w:tcPr>
                <w:tcW w:w="2404" w:type="dxa"/>
                <w:vAlign w:val="center"/>
              </w:tcPr>
              <w:p w14:paraId="6B3F51DA" w14:textId="77777777" w:rsidR="005E000F" w:rsidRDefault="00000000">
                <w:pPr>
                  <w:kinsoku w:val="0"/>
                  <w:overflowPunct w:val="0"/>
                  <w:autoSpaceDE w:val="0"/>
                  <w:autoSpaceDN w:val="0"/>
                  <w:adjustRightInd w:val="0"/>
                  <w:snapToGrid w:val="0"/>
                  <w:jc w:val="center"/>
                  <w:rPr>
                    <w:color w:val="000000"/>
                  </w:rPr>
                </w:pPr>
                <w:r>
                  <w:rPr>
                    <w:rFonts w:hint="eastAsia"/>
                  </w:rPr>
                  <w:t>张竑毅</w:t>
                </w:r>
              </w:p>
            </w:tc>
          </w:tr>
          <w:tr w:rsidR="005E000F" w14:paraId="1D83DBC5" w14:textId="77777777">
            <w:trPr>
              <w:trHeight w:val="293"/>
            </w:trPr>
            <w:sdt>
              <w:sdtPr>
                <w:alias w:val="未出席董事职务"/>
                <w:tag w:val="_GBC_04203e703d1543efaba6697bf4ad9682"/>
                <w:id w:val="214172395"/>
                <w:comboBox>
                  <w:listItem w:displayText="董事" w:value="董事"/>
                  <w:listItem w:displayText="董事长" w:value="董事长"/>
                  <w:listItem w:displayText="独立董事" w:value="独立董事"/>
                </w:comboBox>
              </w:sdtPr>
              <w:sdtContent>
                <w:tc>
                  <w:tcPr>
                    <w:tcW w:w="1812" w:type="dxa"/>
                    <w:vAlign w:val="center"/>
                  </w:tcPr>
                  <w:p w14:paraId="2162B7CA" w14:textId="77777777" w:rsidR="005E000F" w:rsidRDefault="00000000">
                    <w:pPr>
                      <w:kinsoku w:val="0"/>
                      <w:overflowPunct w:val="0"/>
                      <w:autoSpaceDE w:val="0"/>
                      <w:autoSpaceDN w:val="0"/>
                      <w:adjustRightInd w:val="0"/>
                      <w:snapToGrid w:val="0"/>
                      <w:jc w:val="center"/>
                    </w:pPr>
                    <w:r>
                      <w:t>董事</w:t>
                    </w:r>
                  </w:p>
                </w:tc>
              </w:sdtContent>
            </w:sdt>
            <w:tc>
              <w:tcPr>
                <w:tcW w:w="2198" w:type="dxa"/>
                <w:vAlign w:val="center"/>
              </w:tcPr>
              <w:p w14:paraId="6331962D" w14:textId="77777777" w:rsidR="005E000F" w:rsidRDefault="00000000">
                <w:pPr>
                  <w:kinsoku w:val="0"/>
                  <w:overflowPunct w:val="0"/>
                  <w:autoSpaceDE w:val="0"/>
                  <w:autoSpaceDN w:val="0"/>
                  <w:adjustRightInd w:val="0"/>
                  <w:snapToGrid w:val="0"/>
                  <w:jc w:val="center"/>
                  <w:rPr>
                    <w:color w:val="000000"/>
                  </w:rPr>
                </w:pPr>
                <w:r>
                  <w:rPr>
                    <w:rFonts w:hint="eastAsia"/>
                  </w:rPr>
                  <w:t>杨文胜</w:t>
                </w:r>
              </w:p>
            </w:tc>
            <w:tc>
              <w:tcPr>
                <w:tcW w:w="2306" w:type="dxa"/>
                <w:vAlign w:val="center"/>
              </w:tcPr>
              <w:p w14:paraId="005B155E" w14:textId="77777777" w:rsidR="005E000F" w:rsidRDefault="00000000">
                <w:pPr>
                  <w:kinsoku w:val="0"/>
                  <w:overflowPunct w:val="0"/>
                  <w:autoSpaceDE w:val="0"/>
                  <w:autoSpaceDN w:val="0"/>
                  <w:adjustRightInd w:val="0"/>
                  <w:snapToGrid w:val="0"/>
                  <w:jc w:val="center"/>
                  <w:rPr>
                    <w:color w:val="000000"/>
                  </w:rPr>
                </w:pPr>
                <w:r>
                  <w:rPr>
                    <w:rFonts w:hint="eastAsia"/>
                  </w:rPr>
                  <w:t>工作原因</w:t>
                </w:r>
              </w:p>
            </w:tc>
            <w:tc>
              <w:tcPr>
                <w:tcW w:w="2404" w:type="dxa"/>
                <w:vAlign w:val="center"/>
              </w:tcPr>
              <w:p w14:paraId="414F6288" w14:textId="77777777" w:rsidR="005E000F" w:rsidRDefault="00000000">
                <w:pPr>
                  <w:kinsoku w:val="0"/>
                  <w:overflowPunct w:val="0"/>
                  <w:autoSpaceDE w:val="0"/>
                  <w:autoSpaceDN w:val="0"/>
                  <w:adjustRightInd w:val="0"/>
                  <w:snapToGrid w:val="0"/>
                  <w:jc w:val="center"/>
                  <w:rPr>
                    <w:color w:val="000000"/>
                  </w:rPr>
                </w:pPr>
                <w:r>
                  <w:rPr>
                    <w:rFonts w:hint="eastAsia"/>
                  </w:rPr>
                  <w:t>张利荣</w:t>
                </w:r>
              </w:p>
            </w:tc>
          </w:tr>
        </w:tbl>
        <w:p w14:paraId="6692C6B1" w14:textId="77777777" w:rsidR="005E000F" w:rsidRDefault="00000000"/>
      </w:sdtContent>
    </w:sdt>
    <w:sdt>
      <w:sdtPr>
        <w:rPr>
          <w:rFonts w:ascii="宋体" w:hAnsi="宋体" w:hint="eastAsia"/>
          <w:b w:val="0"/>
          <w:bCs w:val="0"/>
          <w:kern w:val="0"/>
        </w:rPr>
        <w:alias w:val="选项模块:事务所为本公司出具了标准无保留意见的审计报告。"/>
        <w:tag w:val="_SEC_40fba4905c084fec81ccf5c248050f25"/>
        <w:id w:val="1430088867"/>
        <w:placeholder>
          <w:docPart w:val="GBC22222222222222222222222222222"/>
        </w:placeholder>
      </w:sdtPr>
      <w:sdtEndPr>
        <w:rPr>
          <w:rFonts w:ascii="Arial" w:hAnsi="Arial" w:hint="default"/>
          <w:b/>
          <w:bCs/>
          <w:kern w:val="2"/>
        </w:rPr>
      </w:sdtEndPr>
      <w:sdtContent>
        <w:p w14:paraId="27DD61FF" w14:textId="77777777" w:rsidR="005E000F" w:rsidRDefault="00000000">
          <w:pPr>
            <w:pStyle w:val="2"/>
            <w:numPr>
              <w:ilvl w:val="0"/>
              <w:numId w:val="1"/>
            </w:numPr>
            <w:tabs>
              <w:tab w:val="left" w:pos="518"/>
            </w:tabs>
            <w:spacing w:before="0"/>
            <w:jc w:val="left"/>
            <w:rPr>
              <w:rFonts w:ascii="宋体" w:hAnsi="宋体"/>
            </w:rPr>
          </w:pPr>
          <w:sdt>
            <w:sdtPr>
              <w:rPr>
                <w:rFonts w:ascii="宋体" w:hAnsi="宋体" w:hint="eastAsia"/>
              </w:rPr>
              <w:alias w:val="公司聘请的境内会计师事务所名称"/>
              <w:tag w:val="_GBC_ad504284986e4ab994733d7125ba1c33"/>
              <w:id w:val="-1482228710"/>
              <w:placeholder>
                <w:docPart w:val="GBC22222222222222222222222222222"/>
              </w:placeholder>
            </w:sdtPr>
            <w:sdtContent>
              <w:proofErr w:type="gramStart"/>
              <w:r>
                <w:rPr>
                  <w:rFonts w:ascii="宋体" w:hAnsi="宋体"/>
                </w:rPr>
                <w:t>信永中和</w:t>
              </w:r>
              <w:proofErr w:type="gramEnd"/>
              <w:r>
                <w:rPr>
                  <w:rFonts w:ascii="宋体" w:hAnsi="宋体"/>
                </w:rPr>
                <w:t>会计师事务所（特殊普通合伙）</w:t>
              </w:r>
            </w:sdtContent>
          </w:sdt>
          <w:r>
            <w:rPr>
              <w:rFonts w:ascii="宋体" w:hAnsi="宋体" w:hint="eastAsia"/>
            </w:rPr>
            <w:t>为公司出具了</w:t>
          </w:r>
          <w:sdt>
            <w:sdtPr>
              <w:rPr>
                <w:rFonts w:ascii="宋体" w:hAnsi="宋体" w:hint="eastAsia"/>
              </w:rPr>
              <w:alias w:val="会计师事务所审计意见类型"/>
              <w:tag w:val="_GBC_fc66ac35f9514436909a413223854389"/>
              <w:id w:val="-417395768"/>
              <w:placeholder>
                <w:docPart w:val="GBC22222222222222222222222222222"/>
              </w:placeholder>
            </w:sdtPr>
            <w:sdtContent>
              <w:r>
                <w:rPr>
                  <w:rFonts w:ascii="宋体" w:hAnsi="宋体" w:hint="eastAsia"/>
                </w:rPr>
                <w:t>标准无保留意见</w:t>
              </w:r>
            </w:sdtContent>
          </w:sdt>
          <w:r>
            <w:rPr>
              <w:rFonts w:ascii="宋体" w:hAnsi="宋体" w:hint="eastAsia"/>
            </w:rPr>
            <w:t>的审计报告。</w:t>
          </w:r>
        </w:p>
      </w:sdtContent>
    </w:sdt>
    <w:p w14:paraId="73054A7A" w14:textId="77777777" w:rsidR="005E000F" w:rsidRDefault="00000000">
      <w:pPr>
        <w:pStyle w:val="2"/>
        <w:numPr>
          <w:ilvl w:val="0"/>
          <w:numId w:val="1"/>
        </w:numPr>
        <w:tabs>
          <w:tab w:val="left" w:pos="434"/>
        </w:tabs>
        <w:spacing w:before="0"/>
        <w:rPr>
          <w:rFonts w:ascii="宋体" w:hAnsi="宋体"/>
        </w:rPr>
      </w:pPr>
      <w:r>
        <w:rPr>
          <w:rFonts w:ascii="宋体" w:hAnsi="宋体" w:hint="eastAsia"/>
        </w:rPr>
        <w:t>公司负责人</w:t>
      </w:r>
      <w:sdt>
        <w:sdtPr>
          <w:rPr>
            <w:rFonts w:ascii="宋体" w:hAnsi="宋体"/>
          </w:rPr>
          <w:alias w:val="公司负责人姓名"/>
          <w:tag w:val="_GBC_ba0728eaa9a342098d20addcde59ed31"/>
          <w:id w:val="-565491505"/>
          <w:placeholder>
            <w:docPart w:val="F2E40541AD5A43948F6DC0368764B395"/>
          </w:placeholder>
          <w:dataBinding w:prefixMappings="xmlns:clcid-mr='clcid-mr'" w:xpath="/*/clcid-mr:GongSiFuZeRenXingMing[not(@periodRef)]" w:storeItemID="{89EBAB94-44A0-46A2-B712-30D997D04A6D}"/>
          <w:text/>
        </w:sdtPr>
        <w:sdtContent>
          <w:proofErr w:type="gramStart"/>
          <w:r>
            <w:rPr>
              <w:rFonts w:ascii="宋体" w:hAnsi="宋体" w:hint="eastAsia"/>
            </w:rPr>
            <w:t>陆勇</w:t>
          </w:r>
          <w:proofErr w:type="gramEnd"/>
        </w:sdtContent>
      </w:sdt>
      <w:r>
        <w:rPr>
          <w:rFonts w:ascii="宋体" w:hAnsi="宋体" w:hint="eastAsia"/>
        </w:rPr>
        <w:t>、总经理张竑毅、主管会计工作负责人</w:t>
      </w:r>
      <w:sdt>
        <w:sdtPr>
          <w:rPr>
            <w:rFonts w:ascii="宋体" w:hAnsi="宋体"/>
          </w:rPr>
          <w:alias w:val="主管会计工作负责人姓名"/>
          <w:tag w:val="_GBC_9ac791ae357946e68402505d2aa6b3b9"/>
          <w:id w:val="-1946842376"/>
          <w:placeholder>
            <w:docPart w:val="F2E40541AD5A43948F6DC0368764B395"/>
          </w:placeholder>
          <w:dataBinding w:prefixMappings="xmlns:clcid-mr='clcid-mr'" w:xpath="/*/clcid-mr:ZhuGuanKuaiJiGongZuoFuZeRenXingMing[not(@periodRef)]" w:storeItemID="{89EBAB94-44A0-46A2-B712-30D997D04A6D}"/>
          <w:text/>
        </w:sdtPr>
        <w:sdtContent>
          <w:r>
            <w:rPr>
              <w:rFonts w:ascii="宋体" w:hAnsi="宋体" w:hint="eastAsia"/>
            </w:rPr>
            <w:t>裴丽群</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1674408207"/>
          <w:placeholder>
            <w:docPart w:val="F2E40541AD5A43948F6DC0368764B395"/>
          </w:placeholder>
          <w:dataBinding w:prefixMappings="xmlns:clcid-mr='clcid-mr'" w:xpath="/*/clcid-mr:KuaiJiJiGouFuZeRenXingMing[not(@periodRef)]" w:storeItemID="{89EBAB94-44A0-46A2-B712-30D997D04A6D}"/>
          <w:text/>
        </w:sdtPr>
        <w:sdtContent>
          <w:r>
            <w:rPr>
              <w:rFonts w:ascii="宋体" w:hAnsi="宋体" w:hint="eastAsia"/>
            </w:rPr>
            <w:t>孔韶鹏</w:t>
          </w:r>
        </w:sdtContent>
      </w:sdt>
      <w:r>
        <w:rPr>
          <w:rFonts w:ascii="宋体" w:hAnsi="宋体" w:hint="eastAsia"/>
        </w:rPr>
        <w:t>声明：保证年度报告中财务报告的真实、准确、完整。</w:t>
      </w:r>
    </w:p>
    <w:p w14:paraId="2D07182B" w14:textId="77777777" w:rsidR="005E000F" w:rsidRDefault="00000000">
      <w:pPr>
        <w:pStyle w:val="2"/>
        <w:numPr>
          <w:ilvl w:val="0"/>
          <w:numId w:val="1"/>
        </w:numPr>
        <w:tabs>
          <w:tab w:val="left" w:pos="490"/>
        </w:tabs>
        <w:spacing w:before="0"/>
        <w:rPr>
          <w:rFonts w:ascii="宋体" w:hAnsi="宋体"/>
        </w:rPr>
      </w:pPr>
      <w:r>
        <w:rPr>
          <w:rFonts w:ascii="Calibri" w:hAnsi="Calibri" w:cs="宋体" w:hint="eastAsia"/>
          <w:kern w:val="0"/>
        </w:rPr>
        <w:t>董事会决议通过的本报告期利润分配预案或公积金转增股本预案</w:t>
      </w:r>
    </w:p>
    <w:sdt>
      <w:sdtPr>
        <w:rPr>
          <w:rFonts w:hint="eastAsia"/>
        </w:rPr>
        <w:alias w:val="经董事会审议的报告期利润分配预案或公积金转增股本预案"/>
        <w:tag w:val="_GBC_87fdd30c16df49cc824b47e55e4be6d9"/>
        <w:id w:val="260953706"/>
        <w:placeholder>
          <w:docPart w:val="GBC22222222222222222222222222222"/>
        </w:placeholder>
      </w:sdtPr>
      <w:sdtEndPr>
        <w:rPr>
          <w:rFonts w:hint="default"/>
        </w:rPr>
      </w:sdtEndPr>
      <w:sdtContent>
        <w:p w14:paraId="0436E831" w14:textId="77777777" w:rsidR="005E000F" w:rsidRDefault="00000000">
          <w:pPr>
            <w:spacing w:line="360" w:lineRule="auto"/>
            <w:ind w:firstLineChars="200" w:firstLine="420"/>
          </w:pPr>
          <w:proofErr w:type="gramStart"/>
          <w:r>
            <w:t>经信永中和</w:t>
          </w:r>
          <w:proofErr w:type="gramEnd"/>
          <w:r>
            <w:t>会计师事务所（特殊普通合伙）审计，大秦铁路股份有限公司</w:t>
          </w:r>
          <w:r>
            <w:t>2025</w:t>
          </w:r>
          <w:r>
            <w:t>年度实现归属于上市公司股东净利润为</w:t>
          </w:r>
          <w:r>
            <w:t>5,900,148,479</w:t>
          </w:r>
          <w:r>
            <w:t>元。按照公司</w:t>
          </w:r>
          <w:r>
            <w:t>2025</w:t>
          </w:r>
          <w:r>
            <w:t>年末总股本计算，每股收益为</w:t>
          </w:r>
          <w:r>
            <w:t>0.30</w:t>
          </w:r>
          <w:r>
            <w:t>元。</w:t>
          </w:r>
        </w:p>
        <w:p w14:paraId="4976469D" w14:textId="77777777" w:rsidR="005E000F" w:rsidRDefault="00000000">
          <w:pPr>
            <w:spacing w:line="360" w:lineRule="auto"/>
            <w:ind w:firstLineChars="200" w:firstLine="420"/>
          </w:pPr>
          <w:r>
            <w:t>根据《大秦铁路股份有限公司章程》的规定，利润分配预案如下：</w:t>
          </w:r>
        </w:p>
        <w:p w14:paraId="597FD252" w14:textId="77777777" w:rsidR="005E000F" w:rsidRDefault="00000000">
          <w:pPr>
            <w:widowControl w:val="0"/>
            <w:spacing w:line="360" w:lineRule="auto"/>
            <w:ind w:firstLineChars="200" w:firstLine="420"/>
            <w:jc w:val="both"/>
          </w:pPr>
          <w:r>
            <w:t>1</w:t>
          </w:r>
          <w:r>
            <w:t>、按照母公司实现的净利润</w:t>
          </w:r>
          <w:r>
            <w:t>6,140,178,760</w:t>
          </w:r>
          <w:r>
            <w:t>元，提取法定盈余公积金</w:t>
          </w:r>
          <w:r>
            <w:t>10%</w:t>
          </w:r>
          <w:r>
            <w:t>，即</w:t>
          </w:r>
          <w:r>
            <w:t>614,017,876</w:t>
          </w:r>
          <w:r>
            <w:t>元。</w:t>
          </w:r>
        </w:p>
        <w:p w14:paraId="17B4731A" w14:textId="77777777" w:rsidR="005E000F" w:rsidRDefault="00000000">
          <w:pPr>
            <w:widowControl w:val="0"/>
            <w:spacing w:line="360" w:lineRule="auto"/>
            <w:ind w:firstLineChars="200" w:firstLine="420"/>
            <w:jc w:val="both"/>
          </w:pPr>
          <w:r>
            <w:t>2</w:t>
          </w:r>
          <w:r>
            <w:t>、</w:t>
          </w:r>
          <w:r>
            <w:t>2025</w:t>
          </w:r>
          <w:r>
            <w:t>年</w:t>
          </w:r>
          <w:r>
            <w:t>12</w:t>
          </w:r>
          <w:r>
            <w:t>月</w:t>
          </w:r>
          <w:r>
            <w:t>31</w:t>
          </w:r>
          <w:r>
            <w:t>日，公司总股本为</w:t>
          </w:r>
          <w:r>
            <w:t>20,147,177,716</w:t>
          </w:r>
          <w:r>
            <w:t>股，回购专用账户股份数</w:t>
          </w:r>
          <w:r>
            <w:t>44,098,700</w:t>
          </w:r>
          <w:r>
            <w:t>股。以</w:t>
          </w:r>
          <w:r>
            <w:t>2025</w:t>
          </w:r>
          <w:r>
            <w:t>年末总股本扣减回购专户的股份余额</w:t>
          </w:r>
          <w:r>
            <w:t>20,103,079,016</w:t>
          </w:r>
          <w:r>
            <w:t>股为基数，每股派现金股利</w:t>
          </w:r>
          <w:r>
            <w:t>0.14</w:t>
          </w:r>
          <w:r>
            <w:t>元（含税），</w:t>
          </w:r>
          <w:r>
            <w:t>2025</w:t>
          </w:r>
          <w:r>
            <w:t>年末期共分配现金股利</w:t>
          </w:r>
          <w:r>
            <w:t>2,814,431,062.24</w:t>
          </w:r>
          <w:r>
            <w:t>元，当年剩余未分配利润结转到下年度。</w:t>
          </w:r>
        </w:p>
        <w:p w14:paraId="00B061B9" w14:textId="77777777" w:rsidR="005E000F" w:rsidRDefault="00000000">
          <w:pPr>
            <w:widowControl w:val="0"/>
            <w:spacing w:line="360" w:lineRule="auto"/>
            <w:ind w:firstLineChars="200" w:firstLine="420"/>
            <w:jc w:val="both"/>
          </w:pPr>
          <w:r>
            <w:t>2025</w:t>
          </w:r>
          <w:r>
            <w:t>年末期利润分配，以实施权益分派股权登记日的总股本减去已回购股份为基数，具体日期将在权益分派实施公告中明确。如在实施权益分派的股权登记日前公司总股本或回购股份，较上述分配预案股份发生变动，公司</w:t>
          </w:r>
          <w:proofErr w:type="gramStart"/>
          <w:r>
            <w:t>拟维持</w:t>
          </w:r>
          <w:proofErr w:type="gramEnd"/>
          <w:r>
            <w:t>上述现金股利分配总额不变，最终以权益分派股权登记日的总股本扣减已回购股份为基数，相应调整每股现金股利金额。</w:t>
          </w:r>
        </w:p>
        <w:p w14:paraId="09A1AF4E" w14:textId="77777777" w:rsidR="005E000F" w:rsidRDefault="00000000">
          <w:pPr>
            <w:spacing w:line="360" w:lineRule="auto"/>
            <w:ind w:firstLineChars="200" w:firstLine="420"/>
          </w:pPr>
          <w:r>
            <w:t>公司于</w:t>
          </w:r>
          <w:r>
            <w:t>2025</w:t>
          </w:r>
          <w:r>
            <w:t>年</w:t>
          </w:r>
          <w:r>
            <w:t>10</w:t>
          </w:r>
          <w:r>
            <w:t>月</w:t>
          </w:r>
          <w:r>
            <w:t>24</w:t>
          </w:r>
          <w:r>
            <w:t>日已实施完毕的</w:t>
          </w:r>
          <w:r>
            <w:t>2025</w:t>
          </w:r>
          <w:r>
            <w:t>年中期现金分红金额</w:t>
          </w:r>
          <w:r>
            <w:t>1,611,774,217.28</w:t>
          </w:r>
          <w:r>
            <w:t>元，加本次拟分配的</w:t>
          </w:r>
          <w:r>
            <w:t>2025</w:t>
          </w:r>
          <w:r>
            <w:t>年末期分红金额，</w:t>
          </w:r>
          <w:r>
            <w:t>2025</w:t>
          </w:r>
          <w:r>
            <w:t>年度现金分红总额为</w:t>
          </w:r>
          <w:r>
            <w:t>4,426,205,279.52</w:t>
          </w:r>
          <w:r>
            <w:t>元。</w:t>
          </w:r>
          <w:r>
            <w:t>2025</w:t>
          </w:r>
          <w:r>
            <w:t>年现金回购股</w:t>
          </w:r>
          <w:proofErr w:type="gramStart"/>
          <w:r>
            <w:t>份金额</w:t>
          </w:r>
          <w:proofErr w:type="gramEnd"/>
          <w:r>
            <w:t>247,716,101</w:t>
          </w:r>
          <w:r>
            <w:t>元。</w:t>
          </w:r>
          <w:r>
            <w:t>2025</w:t>
          </w:r>
          <w:r>
            <w:t>年度公司现金分红加回购股份总额为</w:t>
          </w:r>
          <w:r>
            <w:t>4,673,921,380.52</w:t>
          </w:r>
          <w:r>
            <w:t>元，占本年度归属于上市公司股东净利润的比例</w:t>
          </w:r>
          <w:r>
            <w:t>79.22%</w:t>
          </w:r>
          <w:r>
            <w:t>。</w:t>
          </w:r>
        </w:p>
        <w:p w14:paraId="1ACF068D" w14:textId="77777777" w:rsidR="005E000F" w:rsidRDefault="00000000">
          <w:pPr>
            <w:spacing w:line="360" w:lineRule="auto"/>
            <w:ind w:firstLineChars="200" w:firstLine="420"/>
            <w:rPr>
              <w:rFonts w:asciiTheme="minorEastAsia" w:eastAsiaTheme="minorEastAsia" w:hAnsiTheme="minorEastAsia"/>
            </w:rPr>
          </w:pPr>
          <w:r>
            <w:t>本年度公司不进行公积金转增股本。</w:t>
          </w:r>
        </w:p>
      </w:sdtContent>
    </w:sdt>
    <w:p w14:paraId="133B0B95" w14:textId="77777777" w:rsidR="005E000F" w:rsidRDefault="00000000">
      <w:pPr>
        <w:kinsoku w:val="0"/>
        <w:overflowPunct w:val="0"/>
        <w:autoSpaceDE w:val="0"/>
        <w:autoSpaceDN w:val="0"/>
        <w:adjustRightInd w:val="0"/>
        <w:snapToGrid w:val="0"/>
        <w:spacing w:line="360" w:lineRule="exact"/>
        <w:rPr>
          <w:rFonts w:ascii="Calibri" w:hAnsi="Calibri"/>
          <w:b/>
          <w:bCs/>
        </w:rPr>
      </w:pPr>
      <w:bookmarkStart w:id="1" w:name="_Hlk188283359"/>
      <w:r>
        <w:rPr>
          <w:rFonts w:ascii="Calibri" w:hAnsi="Calibri" w:hint="eastAsia"/>
          <w:b/>
          <w:bCs/>
        </w:rPr>
        <w:t>截至报告期末，母公司存在未弥补亏损的相关情况及其对公司分红等事项的影响</w:t>
      </w:r>
    </w:p>
    <w:sdt>
      <w:sdtPr>
        <w:rPr>
          <w:rFonts w:hint="eastAsia"/>
        </w:rPr>
        <w:alias w:val="是否适用：母公司存在未弥补亏损的相关情况及对公司分红等事项的影响[双击切换]"/>
        <w:tag w:val="_GBC_f4072938560548dfb5ebe61b52489b8c"/>
        <w:id w:val="-97483990"/>
        <w:placeholder>
          <w:docPart w:val="GBC22222222222222222222222222222"/>
        </w:placeholder>
      </w:sdtPr>
      <w:sdtContent>
        <w:p w14:paraId="5B37FF5F" w14:textId="77777777" w:rsidR="005E000F" w:rsidRDefault="00000000">
          <w:pPr>
            <w:rPr>
              <w:rFonts w:asciiTheme="minorEastAsia" w:eastAsiaTheme="minorEastAsia" w:hAnsiTheme="minorEastAsia"/>
            </w:rPr>
          </w:pPr>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bookmarkEnd w:id="1"/>
    <w:p w14:paraId="0E4CD677" w14:textId="77777777" w:rsidR="005E000F" w:rsidRDefault="00000000">
      <w:pPr>
        <w:pStyle w:val="2"/>
        <w:numPr>
          <w:ilvl w:val="0"/>
          <w:numId w:val="1"/>
        </w:numPr>
        <w:tabs>
          <w:tab w:val="left" w:pos="504"/>
        </w:tabs>
        <w:spacing w:before="0"/>
      </w:pPr>
      <w:r>
        <w:t>前瞻性陈述的风险声明</w:t>
      </w:r>
    </w:p>
    <w:sdt>
      <w:sdtPr>
        <w:alias w:val="是否适用：前瞻性陈述的风险声明[双击切换]"/>
        <w:tag w:val="_GBC_5e5553f9f96e47e8b5eded9c0e6a26c0"/>
        <w:id w:val="1204829762"/>
        <w:placeholder>
          <w:docPart w:val="GBC22222222222222222222222222222"/>
        </w:placeholder>
      </w:sdtPr>
      <w:sdtContent>
        <w:p w14:paraId="34CC411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对报告涉及未来计划等前瞻性陈述的声明"/>
        <w:tag w:val="_GBC_1f83625afa8e46e9bb2a951797b077a3"/>
        <w:id w:val="-1382633632"/>
        <w:placeholder>
          <w:docPart w:val="GBC22222222222222222222222222222"/>
        </w:placeholder>
      </w:sdtPr>
      <w:sdtContent>
        <w:sdt>
          <w:sdtPr>
            <w:rPr>
              <w:rFonts w:hint="eastAsia"/>
            </w:rPr>
            <w:alias w:val="公司对报告涉及未来计划等前瞻性陈述的声明"/>
            <w:tag w:val="_GBC_1f83625afa8e46e9bb2a951797b077a3"/>
            <w:id w:val="-1365516482"/>
            <w:placeholder>
              <w:docPart w:val="37EE0B3B573D4AF6B73ABC8AACD49DBD"/>
            </w:placeholder>
          </w:sdtPr>
          <w:sdtContent>
            <w:p w14:paraId="1AE9C921" w14:textId="77777777" w:rsidR="005E000F" w:rsidRDefault="00000000">
              <w:pPr>
                <w:kinsoku w:val="0"/>
                <w:overflowPunct w:val="0"/>
                <w:autoSpaceDE w:val="0"/>
                <w:autoSpaceDN w:val="0"/>
                <w:adjustRightInd w:val="0"/>
                <w:snapToGrid w:val="0"/>
                <w:spacing w:line="360" w:lineRule="exact"/>
              </w:pPr>
              <w:r>
                <w:rPr>
                  <w:rFonts w:hint="eastAsia"/>
                </w:rPr>
                <w:t>本报告所涉及的未来经营计划、发展战略等前瞻性描述不构成公司对投资者的实质承诺，敬请投资者注意投资风险。</w:t>
              </w:r>
            </w:p>
          </w:sdtContent>
        </w:sdt>
      </w:sdtContent>
    </w:sdt>
    <w:p w14:paraId="15D5AC31" w14:textId="77777777" w:rsidR="005E000F" w:rsidRDefault="00000000">
      <w:pPr>
        <w:pStyle w:val="2"/>
        <w:numPr>
          <w:ilvl w:val="0"/>
          <w:numId w:val="1"/>
        </w:numPr>
        <w:tabs>
          <w:tab w:val="left" w:pos="434"/>
          <w:tab w:val="left" w:pos="644"/>
        </w:tabs>
        <w:spacing w:before="0"/>
      </w:pPr>
      <w:r>
        <w:t>是否存在被控股股东及其</w:t>
      </w:r>
      <w:r>
        <w:rPr>
          <w:rFonts w:hint="eastAsia"/>
        </w:rPr>
        <w:t>他</w:t>
      </w:r>
      <w:r>
        <w:t>关联方非经营性占用资金情况</w:t>
      </w:r>
    </w:p>
    <w:sdt>
      <w:sdtPr>
        <w:rPr>
          <w:rFonts w:ascii="Arial" w:hAnsi="Arial" w:hint="eastAsia"/>
          <w:bCs/>
        </w:rPr>
        <w:alias w:val="本公司是否存在大股东占用资金情况"/>
        <w:tag w:val="_GBC_a9b8d3170fbb4d50a645223c117f8b30"/>
        <w:id w:val="1725091745"/>
        <w:placeholder>
          <w:docPart w:val="GBC22222222222222222222222222222"/>
        </w:placeholder>
        <w:comboBox>
          <w:listItem w:displayText="是" w:value="true"/>
          <w:listItem w:displayText="否" w:value="false"/>
        </w:comboBox>
      </w:sdtPr>
      <w:sdtContent>
        <w:p w14:paraId="413B85EE" w14:textId="77777777" w:rsidR="005E000F" w:rsidRDefault="00000000">
          <w:pPr>
            <w:kinsoku w:val="0"/>
            <w:overflowPunct w:val="0"/>
            <w:autoSpaceDE w:val="0"/>
            <w:autoSpaceDN w:val="0"/>
            <w:adjustRightInd w:val="0"/>
            <w:snapToGrid w:val="0"/>
            <w:spacing w:line="360" w:lineRule="exact"/>
            <w:rPr>
              <w:rFonts w:ascii="Arial" w:hAnsi="Arial"/>
              <w:bCs/>
            </w:rPr>
          </w:pPr>
          <w:r>
            <w:rPr>
              <w:rFonts w:ascii="Arial" w:hAnsi="Arial" w:hint="eastAsia"/>
              <w:bCs/>
            </w:rPr>
            <w:t>否</w:t>
          </w:r>
        </w:p>
      </w:sdtContent>
    </w:sdt>
    <w:p w14:paraId="238DC2CB" w14:textId="77777777" w:rsidR="005E000F" w:rsidRDefault="00000000">
      <w:pPr>
        <w:pStyle w:val="2"/>
        <w:numPr>
          <w:ilvl w:val="0"/>
          <w:numId w:val="1"/>
        </w:numPr>
        <w:tabs>
          <w:tab w:val="left" w:pos="644"/>
        </w:tabs>
        <w:spacing w:before="0"/>
      </w:pPr>
      <w:r>
        <w:t>是否存在违反规定决策程序对外提供担保的情况</w:t>
      </w:r>
    </w:p>
    <w:sdt>
      <w:sdtPr>
        <w:rPr>
          <w:rFonts w:hint="eastAsia"/>
        </w:rPr>
        <w:alias w:val="本公司是否存在违反规定决策程序对外提供担保的情况"/>
        <w:tag w:val="_GBC_aef7ac6bbdf043bc8051c4f9fb55e5ea"/>
        <w:id w:val="-1364509352"/>
        <w:placeholder>
          <w:docPart w:val="GBC22222222222222222222222222222"/>
        </w:placeholder>
        <w:comboBox>
          <w:listItem w:displayText="是" w:value="true"/>
          <w:listItem w:displayText="否" w:value="false"/>
        </w:comboBox>
      </w:sdtPr>
      <w:sdtContent>
        <w:p w14:paraId="1076BC97" w14:textId="77777777" w:rsidR="005E000F" w:rsidRDefault="00000000">
          <w:r>
            <w:rPr>
              <w:rFonts w:hint="eastAsia"/>
            </w:rPr>
            <w:t>否</w:t>
          </w:r>
        </w:p>
      </w:sdtContent>
    </w:sdt>
    <w:p w14:paraId="362DB457" w14:textId="77777777" w:rsidR="005E000F" w:rsidRDefault="00000000">
      <w:pPr>
        <w:pStyle w:val="2"/>
        <w:numPr>
          <w:ilvl w:val="0"/>
          <w:numId w:val="1"/>
        </w:numPr>
        <w:tabs>
          <w:tab w:val="left" w:pos="644"/>
        </w:tabs>
        <w:spacing w:before="0"/>
        <w:rPr>
          <w:rFonts w:ascii="Calibri" w:hAnsi="Calibri" w:cs="宋体"/>
          <w:kern w:val="0"/>
        </w:rPr>
      </w:pPr>
      <w:bookmarkStart w:id="2" w:name="_Hlk61881950"/>
      <w:r>
        <w:rPr>
          <w:rFonts w:ascii="Calibri" w:hAnsi="Calibri" w:cs="宋体"/>
          <w:kern w:val="0"/>
        </w:rPr>
        <w:t>是否存在半数</w:t>
      </w:r>
      <w:r>
        <w:rPr>
          <w:rFonts w:ascii="Calibri" w:hAnsi="Calibri" w:cs="宋体" w:hint="eastAsia"/>
          <w:kern w:val="0"/>
        </w:rPr>
        <w:t>以上</w:t>
      </w:r>
      <w:r>
        <w:rPr>
          <w:rFonts w:ascii="Calibri" w:hAnsi="Calibri" w:cs="宋体"/>
          <w:kern w:val="0"/>
        </w:rPr>
        <w:t>董事无法保证公司所披露年度报告的真实性、准确性和完整性</w:t>
      </w:r>
      <w:bookmarkEnd w:id="2"/>
    </w:p>
    <w:sdt>
      <w:sdtPr>
        <w:rPr>
          <w:rFonts w:hint="eastAsia"/>
        </w:rPr>
        <w:alias w:val="是否存在半数以上董事无法保证公司所披露年度报告的真实性、准确性和完整性"/>
        <w:tag w:val="_GBC_abc43c78fabf487d8ee599f7fe1628a3"/>
        <w:id w:val="-1657685168"/>
        <w:lock w:val="sdtLocked"/>
        <w:placeholder>
          <w:docPart w:val="GBC22222222222222222222222222222"/>
        </w:placeholder>
        <w:comboBox>
          <w:listItem w:displayText="是" w:value="是"/>
          <w:listItem w:displayText="否" w:value="否"/>
        </w:comboBox>
      </w:sdtPr>
      <w:sdtContent>
        <w:p w14:paraId="126C2C06" w14:textId="77777777" w:rsidR="005E000F" w:rsidRDefault="00000000">
          <w:r>
            <w:rPr>
              <w:rFonts w:hint="eastAsia"/>
            </w:rPr>
            <w:t>否</w:t>
          </w:r>
        </w:p>
      </w:sdtContent>
    </w:sdt>
    <w:p w14:paraId="5AE1A16B" w14:textId="77777777" w:rsidR="005E000F" w:rsidRDefault="00000000">
      <w:pPr>
        <w:pStyle w:val="2"/>
        <w:numPr>
          <w:ilvl w:val="0"/>
          <w:numId w:val="1"/>
        </w:numPr>
        <w:tabs>
          <w:tab w:val="left" w:pos="644"/>
        </w:tabs>
        <w:spacing w:before="0"/>
      </w:pPr>
      <w:r>
        <w:rPr>
          <w:rFonts w:hint="eastAsia"/>
        </w:rPr>
        <w:t>重大风险提示</w:t>
      </w:r>
    </w:p>
    <w:p w14:paraId="1CFA6B67" w14:textId="77777777" w:rsidR="005E000F" w:rsidRDefault="00000000">
      <w:sdt>
        <w:sdtPr>
          <w:alias w:val="重大风险提示"/>
          <w:tag w:val="_GBC_43a6b8847e0241f1af5326af848c7cec"/>
          <w:id w:val="1374270885"/>
          <w:placeholder>
            <w:docPart w:val="GBC22222222222222222222222222222"/>
          </w:placeholder>
        </w:sdtPr>
        <w:sdtContent>
          <w:sdt>
            <w:sdtPr>
              <w:alias w:val="重大风险提示"/>
              <w:tag w:val="_GBC_43a6b8847e0241f1af5326af848c7cec"/>
              <w:id w:val="8340739"/>
              <w:placeholder>
                <w:docPart w:val="75344BA879AB4186923EB74BB33CEE53"/>
              </w:placeholder>
            </w:sdtPr>
            <w:sdtContent>
              <w:r>
                <w:rPr>
                  <w:rFonts w:hint="eastAsia"/>
                </w:rPr>
                <w:t>公司已在本年度报告中详细描述了可能存在的相关风险，具体内容和应对措施详见本年度报告第三节管理</w:t>
              </w:r>
              <w:proofErr w:type="gramStart"/>
              <w:r>
                <w:rPr>
                  <w:rFonts w:hint="eastAsia"/>
                </w:rPr>
                <w:t>层讨论</w:t>
              </w:r>
              <w:proofErr w:type="gramEnd"/>
              <w:r>
                <w:rPr>
                  <w:rFonts w:hint="eastAsia"/>
                </w:rPr>
                <w:t>与分析中“可能面对的风险”部分。</w:t>
              </w:r>
            </w:sdtContent>
          </w:sdt>
        </w:sdtContent>
      </w:sdt>
    </w:p>
    <w:p w14:paraId="4DF7069D" w14:textId="77777777" w:rsidR="005E000F" w:rsidRDefault="00000000">
      <w:pPr>
        <w:pStyle w:val="2"/>
        <w:numPr>
          <w:ilvl w:val="0"/>
          <w:numId w:val="1"/>
        </w:numPr>
        <w:tabs>
          <w:tab w:val="left" w:pos="588"/>
          <w:tab w:val="left" w:pos="644"/>
          <w:tab w:val="left" w:pos="672"/>
        </w:tabs>
        <w:spacing w:before="0"/>
      </w:pPr>
      <w:r>
        <w:rPr>
          <w:rFonts w:hint="eastAsia"/>
        </w:rPr>
        <w:t>其他</w:t>
      </w:r>
    </w:p>
    <w:sdt>
      <w:sdtPr>
        <w:alias w:val="是否适用：其他重要提示[双击切换]"/>
        <w:tag w:val="_GBC_0eafa210a73340628544c13dacbc7643"/>
        <w:id w:val="-711111007"/>
        <w:placeholder>
          <w:docPart w:val="GBC22222222222222222222222222222"/>
        </w:placeholder>
      </w:sdtPr>
      <w:sdtContent>
        <w:p w14:paraId="18C597B8"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F5A29C9" w14:textId="77777777" w:rsidR="005E000F" w:rsidRDefault="005E000F"/>
    <w:p w14:paraId="7101E9D8" w14:textId="77777777" w:rsidR="005E000F" w:rsidRDefault="00000000">
      <w:r>
        <w:br w:type="page"/>
      </w:r>
    </w:p>
    <w:p w14:paraId="7174FDF9" w14:textId="77777777" w:rsidR="005E000F" w:rsidRDefault="00000000">
      <w:pPr>
        <w:spacing w:line="480" w:lineRule="auto"/>
        <w:jc w:val="center"/>
        <w:rPr>
          <w:b/>
          <w:sz w:val="28"/>
          <w:szCs w:val="28"/>
        </w:rPr>
      </w:pPr>
      <w:r>
        <w:rPr>
          <w:rFonts w:hint="eastAsia"/>
          <w:b/>
          <w:sz w:val="28"/>
          <w:szCs w:val="28"/>
          <w:shd w:val="solid" w:color="FFFFFF" w:fill="auto"/>
        </w:rPr>
        <w:lastRenderedPageBreak/>
        <w:t>目录</w:t>
      </w:r>
    </w:p>
    <w:p w14:paraId="30403910" w14:textId="77777777" w:rsidR="005E000F" w:rsidRDefault="00000000">
      <w:pPr>
        <w:pStyle w:val="TOC1"/>
        <w:rPr>
          <w:rFonts w:asciiTheme="minorHAnsi" w:eastAsiaTheme="minorEastAsia" w:hAnsiTheme="minorHAnsi" w:cstheme="minorBidi"/>
          <w:b/>
          <w:bCs/>
          <w:sz w:val="22"/>
          <w:szCs w:val="24"/>
          <w14:ligatures w14:val="standardContextual"/>
        </w:rPr>
      </w:pPr>
      <w:r>
        <w:fldChar w:fldCharType="begin"/>
      </w:r>
      <w:r>
        <w:instrText xml:space="preserve"> TOC \o "1-1" \h \z \u </w:instrText>
      </w:r>
      <w:r>
        <w:fldChar w:fldCharType="separate"/>
      </w:r>
      <w:hyperlink w:anchor="_Toc191024256" w:history="1">
        <w:r>
          <w:rPr>
            <w:rStyle w:val="aff5"/>
            <w:rFonts w:hint="eastAsia"/>
            <w:b/>
            <w:bCs/>
          </w:rPr>
          <w:t>第一节</w:t>
        </w:r>
        <w:r>
          <w:rPr>
            <w:rFonts w:asciiTheme="minorHAnsi" w:eastAsiaTheme="minorEastAsia" w:hAnsiTheme="minorHAnsi" w:cstheme="minorBidi" w:hint="eastAsia"/>
            <w:b/>
            <w:bCs/>
            <w:sz w:val="22"/>
            <w:szCs w:val="24"/>
            <w14:ligatures w14:val="standardContextual"/>
          </w:rPr>
          <w:tab/>
        </w:r>
        <w:r>
          <w:rPr>
            <w:rStyle w:val="aff5"/>
            <w:rFonts w:hint="eastAsia"/>
            <w:b/>
            <w:bCs/>
          </w:rPr>
          <w:t>释义</w:t>
        </w:r>
        <w:r>
          <w:rPr>
            <w:rFonts w:hint="eastAsia"/>
            <w:b/>
            <w:bCs/>
          </w:rPr>
          <w:tab/>
        </w:r>
        <w:r>
          <w:rPr>
            <w:rFonts w:hint="eastAsia"/>
            <w:b/>
            <w:bCs/>
          </w:rPr>
          <w:fldChar w:fldCharType="begin"/>
        </w:r>
        <w:r>
          <w:rPr>
            <w:rFonts w:hint="eastAsia"/>
            <w:b/>
            <w:bCs/>
          </w:rPr>
          <w:instrText xml:space="preserve"> </w:instrText>
        </w:r>
        <w:r>
          <w:rPr>
            <w:b/>
            <w:bCs/>
          </w:rPr>
          <w:instrText>PAGEREF _Toc191024256 \h</w:instrText>
        </w:r>
        <w:r>
          <w:rPr>
            <w:rFonts w:hint="eastAsia"/>
            <w:b/>
            <w:bCs/>
          </w:rPr>
          <w:instrText xml:space="preserve"> </w:instrText>
        </w:r>
        <w:r>
          <w:rPr>
            <w:rFonts w:hint="eastAsia"/>
            <w:b/>
            <w:bCs/>
          </w:rPr>
        </w:r>
        <w:r>
          <w:rPr>
            <w:rFonts w:hint="eastAsia"/>
            <w:b/>
            <w:bCs/>
          </w:rPr>
          <w:fldChar w:fldCharType="separate"/>
        </w:r>
        <w:r>
          <w:rPr>
            <w:b/>
            <w:bCs/>
          </w:rPr>
          <w:t>5</w:t>
        </w:r>
        <w:r>
          <w:rPr>
            <w:rFonts w:hint="eastAsia"/>
            <w:b/>
            <w:bCs/>
          </w:rPr>
          <w:fldChar w:fldCharType="end"/>
        </w:r>
      </w:hyperlink>
    </w:p>
    <w:p w14:paraId="2AD9DB2D" w14:textId="77777777" w:rsidR="005E000F" w:rsidRDefault="00000000">
      <w:pPr>
        <w:pStyle w:val="TOC1"/>
        <w:rPr>
          <w:rFonts w:asciiTheme="minorHAnsi" w:eastAsiaTheme="minorEastAsia" w:hAnsiTheme="minorHAnsi" w:cstheme="minorBidi"/>
          <w:b/>
          <w:bCs/>
          <w:sz w:val="22"/>
          <w:szCs w:val="24"/>
          <w14:ligatures w14:val="standardContextual"/>
        </w:rPr>
      </w:pPr>
      <w:hyperlink w:anchor="_Toc191024257" w:history="1">
        <w:r>
          <w:rPr>
            <w:rStyle w:val="aff5"/>
            <w:rFonts w:hint="eastAsia"/>
            <w:b/>
            <w:bCs/>
          </w:rPr>
          <w:t>第二节</w:t>
        </w:r>
        <w:r>
          <w:rPr>
            <w:rFonts w:asciiTheme="minorHAnsi" w:eastAsiaTheme="minorEastAsia" w:hAnsiTheme="minorHAnsi" w:cstheme="minorBidi" w:hint="eastAsia"/>
            <w:b/>
            <w:bCs/>
            <w:sz w:val="22"/>
            <w:szCs w:val="24"/>
            <w14:ligatures w14:val="standardContextual"/>
          </w:rPr>
          <w:tab/>
        </w:r>
        <w:r>
          <w:rPr>
            <w:rStyle w:val="aff5"/>
            <w:rFonts w:hint="eastAsia"/>
            <w:b/>
            <w:bCs/>
          </w:rPr>
          <w:t>公司简介和主要财务指标</w:t>
        </w:r>
        <w:r>
          <w:rPr>
            <w:rFonts w:hint="eastAsia"/>
            <w:b/>
            <w:bCs/>
          </w:rPr>
          <w:tab/>
        </w:r>
        <w:r>
          <w:rPr>
            <w:rFonts w:hint="eastAsia"/>
            <w:b/>
            <w:bCs/>
          </w:rPr>
          <w:fldChar w:fldCharType="begin"/>
        </w:r>
        <w:r>
          <w:rPr>
            <w:rFonts w:hint="eastAsia"/>
            <w:b/>
            <w:bCs/>
          </w:rPr>
          <w:instrText xml:space="preserve"> </w:instrText>
        </w:r>
        <w:r>
          <w:rPr>
            <w:b/>
            <w:bCs/>
          </w:rPr>
          <w:instrText>PAGEREF _Toc191024257 \h</w:instrText>
        </w:r>
        <w:r>
          <w:rPr>
            <w:rFonts w:hint="eastAsia"/>
            <w:b/>
            <w:bCs/>
          </w:rPr>
          <w:instrText xml:space="preserve"> </w:instrText>
        </w:r>
        <w:r>
          <w:rPr>
            <w:rFonts w:hint="eastAsia"/>
            <w:b/>
            <w:bCs/>
          </w:rPr>
        </w:r>
        <w:r>
          <w:rPr>
            <w:rFonts w:hint="eastAsia"/>
            <w:b/>
            <w:bCs/>
          </w:rPr>
          <w:fldChar w:fldCharType="separate"/>
        </w:r>
        <w:r>
          <w:rPr>
            <w:b/>
            <w:bCs/>
          </w:rPr>
          <w:t>5</w:t>
        </w:r>
        <w:r>
          <w:rPr>
            <w:rFonts w:hint="eastAsia"/>
            <w:b/>
            <w:bCs/>
          </w:rPr>
          <w:fldChar w:fldCharType="end"/>
        </w:r>
      </w:hyperlink>
    </w:p>
    <w:p w14:paraId="02BA2851" w14:textId="77777777" w:rsidR="005E000F" w:rsidRDefault="00000000">
      <w:pPr>
        <w:pStyle w:val="TOC1"/>
        <w:rPr>
          <w:rFonts w:asciiTheme="minorHAnsi" w:eastAsiaTheme="minorEastAsia" w:hAnsiTheme="minorHAnsi" w:cstheme="minorBidi"/>
          <w:b/>
          <w:bCs/>
          <w:sz w:val="22"/>
          <w:szCs w:val="24"/>
          <w14:ligatures w14:val="standardContextual"/>
        </w:rPr>
      </w:pPr>
      <w:hyperlink w:anchor="_Toc191024258" w:history="1">
        <w:r>
          <w:rPr>
            <w:rStyle w:val="aff5"/>
            <w:rFonts w:hint="eastAsia"/>
            <w:b/>
            <w:bCs/>
          </w:rPr>
          <w:t>第三节</w:t>
        </w:r>
        <w:r>
          <w:rPr>
            <w:rFonts w:asciiTheme="minorHAnsi" w:eastAsiaTheme="minorEastAsia" w:hAnsiTheme="minorHAnsi" w:cstheme="minorBidi" w:hint="eastAsia"/>
            <w:b/>
            <w:bCs/>
            <w:sz w:val="22"/>
            <w:szCs w:val="24"/>
            <w14:ligatures w14:val="standardContextual"/>
          </w:rPr>
          <w:tab/>
        </w:r>
        <w:r>
          <w:rPr>
            <w:rStyle w:val="aff5"/>
            <w:rFonts w:hint="eastAsia"/>
            <w:b/>
            <w:bCs/>
          </w:rPr>
          <w:t>管理层讨论与分析</w:t>
        </w:r>
        <w:r>
          <w:rPr>
            <w:rFonts w:hint="eastAsia"/>
            <w:b/>
            <w:bCs/>
          </w:rPr>
          <w:tab/>
        </w:r>
        <w:r>
          <w:rPr>
            <w:rFonts w:hint="eastAsia"/>
            <w:b/>
            <w:bCs/>
          </w:rPr>
          <w:fldChar w:fldCharType="begin"/>
        </w:r>
        <w:r>
          <w:rPr>
            <w:rFonts w:hint="eastAsia"/>
            <w:b/>
            <w:bCs/>
          </w:rPr>
          <w:instrText xml:space="preserve"> </w:instrText>
        </w:r>
        <w:r>
          <w:rPr>
            <w:b/>
            <w:bCs/>
          </w:rPr>
          <w:instrText>PAGEREF _Toc191024258 \h</w:instrText>
        </w:r>
        <w:r>
          <w:rPr>
            <w:rFonts w:hint="eastAsia"/>
            <w:b/>
            <w:bCs/>
          </w:rPr>
          <w:instrText xml:space="preserve"> </w:instrText>
        </w:r>
        <w:r>
          <w:rPr>
            <w:rFonts w:hint="eastAsia"/>
            <w:b/>
            <w:bCs/>
          </w:rPr>
        </w:r>
        <w:r>
          <w:rPr>
            <w:rFonts w:hint="eastAsia"/>
            <w:b/>
            <w:bCs/>
          </w:rPr>
          <w:fldChar w:fldCharType="separate"/>
        </w:r>
        <w:r>
          <w:rPr>
            <w:b/>
            <w:bCs/>
          </w:rPr>
          <w:t>8</w:t>
        </w:r>
        <w:r>
          <w:rPr>
            <w:rFonts w:hint="eastAsia"/>
            <w:b/>
            <w:bCs/>
          </w:rPr>
          <w:fldChar w:fldCharType="end"/>
        </w:r>
      </w:hyperlink>
    </w:p>
    <w:p w14:paraId="3AA94C2C" w14:textId="77777777" w:rsidR="005E000F" w:rsidRDefault="00000000">
      <w:pPr>
        <w:pStyle w:val="TOC1"/>
        <w:rPr>
          <w:rFonts w:asciiTheme="minorHAnsi" w:eastAsiaTheme="minorEastAsia" w:hAnsiTheme="minorHAnsi" w:cstheme="minorBidi"/>
          <w:b/>
          <w:bCs/>
          <w:sz w:val="22"/>
          <w:szCs w:val="24"/>
          <w14:ligatures w14:val="standardContextual"/>
        </w:rPr>
      </w:pPr>
      <w:hyperlink w:anchor="_Toc191024259" w:history="1">
        <w:r>
          <w:rPr>
            <w:rStyle w:val="aff5"/>
            <w:rFonts w:hint="eastAsia"/>
            <w:b/>
            <w:bCs/>
          </w:rPr>
          <w:t>第四节</w:t>
        </w:r>
        <w:r>
          <w:rPr>
            <w:rFonts w:asciiTheme="minorHAnsi" w:eastAsiaTheme="minorEastAsia" w:hAnsiTheme="minorHAnsi" w:cstheme="minorBidi" w:hint="eastAsia"/>
            <w:b/>
            <w:bCs/>
            <w:sz w:val="22"/>
            <w:szCs w:val="24"/>
            <w14:ligatures w14:val="standardContextual"/>
          </w:rPr>
          <w:tab/>
        </w:r>
        <w:r>
          <w:rPr>
            <w:rStyle w:val="aff5"/>
            <w:rFonts w:hint="eastAsia"/>
            <w:b/>
            <w:bCs/>
          </w:rPr>
          <w:t>公司治理、环境和社会</w:t>
        </w:r>
        <w:r>
          <w:rPr>
            <w:rFonts w:hint="eastAsia"/>
            <w:b/>
            <w:bCs/>
          </w:rPr>
          <w:tab/>
        </w:r>
        <w:r>
          <w:rPr>
            <w:rFonts w:hint="eastAsia"/>
            <w:b/>
            <w:bCs/>
          </w:rPr>
          <w:fldChar w:fldCharType="begin"/>
        </w:r>
        <w:r>
          <w:rPr>
            <w:rFonts w:hint="eastAsia"/>
            <w:b/>
            <w:bCs/>
          </w:rPr>
          <w:instrText xml:space="preserve"> </w:instrText>
        </w:r>
        <w:r>
          <w:rPr>
            <w:b/>
            <w:bCs/>
          </w:rPr>
          <w:instrText>PAGEREF _Toc191024259 \h</w:instrText>
        </w:r>
        <w:r>
          <w:rPr>
            <w:rFonts w:hint="eastAsia"/>
            <w:b/>
            <w:bCs/>
          </w:rPr>
          <w:instrText xml:space="preserve"> </w:instrText>
        </w:r>
        <w:r>
          <w:rPr>
            <w:rFonts w:hint="eastAsia"/>
            <w:b/>
            <w:bCs/>
          </w:rPr>
        </w:r>
        <w:r>
          <w:rPr>
            <w:rFonts w:hint="eastAsia"/>
            <w:b/>
            <w:bCs/>
          </w:rPr>
          <w:fldChar w:fldCharType="separate"/>
        </w:r>
        <w:r>
          <w:rPr>
            <w:b/>
            <w:bCs/>
          </w:rPr>
          <w:t>27</w:t>
        </w:r>
        <w:r>
          <w:rPr>
            <w:rFonts w:hint="eastAsia"/>
            <w:b/>
            <w:bCs/>
          </w:rPr>
          <w:fldChar w:fldCharType="end"/>
        </w:r>
      </w:hyperlink>
    </w:p>
    <w:p w14:paraId="0BDBF5ED" w14:textId="77777777" w:rsidR="005E000F" w:rsidRDefault="00000000">
      <w:pPr>
        <w:pStyle w:val="TOC1"/>
        <w:rPr>
          <w:rFonts w:asciiTheme="minorHAnsi" w:eastAsiaTheme="minorEastAsia" w:hAnsiTheme="minorHAnsi" w:cstheme="minorBidi"/>
          <w:b/>
          <w:bCs/>
          <w:sz w:val="22"/>
          <w:szCs w:val="24"/>
          <w14:ligatures w14:val="standardContextual"/>
        </w:rPr>
      </w:pPr>
      <w:hyperlink w:anchor="_Toc191024260" w:history="1">
        <w:r>
          <w:rPr>
            <w:rStyle w:val="aff5"/>
            <w:rFonts w:hint="eastAsia"/>
            <w:b/>
            <w:bCs/>
          </w:rPr>
          <w:t>第五节</w:t>
        </w:r>
        <w:r>
          <w:rPr>
            <w:rFonts w:asciiTheme="minorHAnsi" w:eastAsiaTheme="minorEastAsia" w:hAnsiTheme="minorHAnsi" w:cstheme="minorBidi" w:hint="eastAsia"/>
            <w:b/>
            <w:bCs/>
            <w:sz w:val="22"/>
            <w:szCs w:val="24"/>
            <w14:ligatures w14:val="standardContextual"/>
          </w:rPr>
          <w:tab/>
        </w:r>
        <w:r>
          <w:rPr>
            <w:rStyle w:val="aff5"/>
            <w:rFonts w:hint="eastAsia"/>
            <w:b/>
            <w:bCs/>
          </w:rPr>
          <w:t>重要事项</w:t>
        </w:r>
        <w:r>
          <w:rPr>
            <w:rFonts w:hint="eastAsia"/>
            <w:b/>
            <w:bCs/>
          </w:rPr>
          <w:tab/>
        </w:r>
        <w:r>
          <w:rPr>
            <w:rFonts w:hint="eastAsia"/>
            <w:b/>
            <w:bCs/>
          </w:rPr>
          <w:fldChar w:fldCharType="begin"/>
        </w:r>
        <w:r>
          <w:rPr>
            <w:rFonts w:hint="eastAsia"/>
            <w:b/>
            <w:bCs/>
          </w:rPr>
          <w:instrText xml:space="preserve"> </w:instrText>
        </w:r>
        <w:r>
          <w:rPr>
            <w:b/>
            <w:bCs/>
          </w:rPr>
          <w:instrText>PAGEREF _Toc191024260 \h</w:instrText>
        </w:r>
        <w:r>
          <w:rPr>
            <w:rFonts w:hint="eastAsia"/>
            <w:b/>
            <w:bCs/>
          </w:rPr>
          <w:instrText xml:space="preserve"> </w:instrText>
        </w:r>
        <w:r>
          <w:rPr>
            <w:rFonts w:hint="eastAsia"/>
            <w:b/>
            <w:bCs/>
          </w:rPr>
        </w:r>
        <w:r>
          <w:rPr>
            <w:rFonts w:hint="eastAsia"/>
            <w:b/>
            <w:bCs/>
          </w:rPr>
          <w:fldChar w:fldCharType="separate"/>
        </w:r>
        <w:r>
          <w:rPr>
            <w:b/>
            <w:bCs/>
          </w:rPr>
          <w:t>43</w:t>
        </w:r>
        <w:r>
          <w:rPr>
            <w:rFonts w:hint="eastAsia"/>
            <w:b/>
            <w:bCs/>
          </w:rPr>
          <w:fldChar w:fldCharType="end"/>
        </w:r>
      </w:hyperlink>
    </w:p>
    <w:p w14:paraId="10764996" w14:textId="77777777" w:rsidR="005E000F" w:rsidRDefault="00000000">
      <w:pPr>
        <w:pStyle w:val="TOC1"/>
        <w:rPr>
          <w:rFonts w:asciiTheme="minorHAnsi" w:eastAsiaTheme="minorEastAsia" w:hAnsiTheme="minorHAnsi" w:cstheme="minorBidi"/>
          <w:b/>
          <w:bCs/>
          <w:sz w:val="22"/>
          <w:szCs w:val="24"/>
          <w14:ligatures w14:val="standardContextual"/>
        </w:rPr>
      </w:pPr>
      <w:hyperlink w:anchor="_Toc191024261" w:history="1">
        <w:r>
          <w:rPr>
            <w:rStyle w:val="aff5"/>
            <w:rFonts w:hint="eastAsia"/>
            <w:b/>
            <w:bCs/>
          </w:rPr>
          <w:t>第六节</w:t>
        </w:r>
        <w:r>
          <w:rPr>
            <w:rFonts w:asciiTheme="minorHAnsi" w:eastAsiaTheme="minorEastAsia" w:hAnsiTheme="minorHAnsi" w:cstheme="minorBidi" w:hint="eastAsia"/>
            <w:b/>
            <w:bCs/>
            <w:sz w:val="22"/>
            <w:szCs w:val="24"/>
            <w14:ligatures w14:val="standardContextual"/>
          </w:rPr>
          <w:tab/>
        </w:r>
        <w:r>
          <w:rPr>
            <w:rStyle w:val="aff5"/>
            <w:rFonts w:hint="eastAsia"/>
            <w:b/>
            <w:bCs/>
          </w:rPr>
          <w:t>股份变动及股东情况</w:t>
        </w:r>
        <w:r>
          <w:rPr>
            <w:rFonts w:hint="eastAsia"/>
            <w:b/>
            <w:bCs/>
          </w:rPr>
          <w:tab/>
        </w:r>
        <w:r>
          <w:rPr>
            <w:rFonts w:hint="eastAsia"/>
            <w:b/>
            <w:bCs/>
          </w:rPr>
          <w:fldChar w:fldCharType="begin"/>
        </w:r>
        <w:r>
          <w:rPr>
            <w:rFonts w:hint="eastAsia"/>
            <w:b/>
            <w:bCs/>
          </w:rPr>
          <w:instrText xml:space="preserve"> </w:instrText>
        </w:r>
        <w:r>
          <w:rPr>
            <w:b/>
            <w:bCs/>
          </w:rPr>
          <w:instrText>PAGEREF _Toc191024261 \h</w:instrText>
        </w:r>
        <w:r>
          <w:rPr>
            <w:rFonts w:hint="eastAsia"/>
            <w:b/>
            <w:bCs/>
          </w:rPr>
          <w:instrText xml:space="preserve"> </w:instrText>
        </w:r>
        <w:r>
          <w:rPr>
            <w:rFonts w:hint="eastAsia"/>
            <w:b/>
            <w:bCs/>
          </w:rPr>
        </w:r>
        <w:r>
          <w:rPr>
            <w:rFonts w:hint="eastAsia"/>
            <w:b/>
            <w:bCs/>
          </w:rPr>
          <w:fldChar w:fldCharType="separate"/>
        </w:r>
        <w:r>
          <w:rPr>
            <w:b/>
            <w:bCs/>
          </w:rPr>
          <w:t>57</w:t>
        </w:r>
        <w:r>
          <w:rPr>
            <w:rFonts w:hint="eastAsia"/>
            <w:b/>
            <w:bCs/>
          </w:rPr>
          <w:fldChar w:fldCharType="end"/>
        </w:r>
      </w:hyperlink>
    </w:p>
    <w:p w14:paraId="24F1B3B8" w14:textId="77777777" w:rsidR="005E000F" w:rsidRDefault="00000000">
      <w:pPr>
        <w:pStyle w:val="TOC1"/>
        <w:rPr>
          <w:rFonts w:asciiTheme="minorHAnsi" w:eastAsiaTheme="minorEastAsia" w:hAnsiTheme="minorHAnsi" w:cstheme="minorBidi"/>
          <w:b/>
          <w:bCs/>
          <w:sz w:val="22"/>
          <w:szCs w:val="24"/>
          <w14:ligatures w14:val="standardContextual"/>
        </w:rPr>
      </w:pPr>
      <w:hyperlink w:anchor="_Toc191024262" w:history="1">
        <w:r>
          <w:rPr>
            <w:rStyle w:val="aff5"/>
            <w:rFonts w:hint="eastAsia"/>
            <w:b/>
            <w:bCs/>
          </w:rPr>
          <w:t>第七节</w:t>
        </w:r>
        <w:r>
          <w:rPr>
            <w:rFonts w:asciiTheme="minorHAnsi" w:eastAsiaTheme="minorEastAsia" w:hAnsiTheme="minorHAnsi" w:cstheme="minorBidi" w:hint="eastAsia"/>
            <w:b/>
            <w:bCs/>
            <w:sz w:val="22"/>
            <w:szCs w:val="24"/>
            <w14:ligatures w14:val="standardContextual"/>
          </w:rPr>
          <w:tab/>
        </w:r>
        <w:r>
          <w:rPr>
            <w:rStyle w:val="aff5"/>
            <w:rFonts w:hint="eastAsia"/>
            <w:b/>
            <w:bCs/>
          </w:rPr>
          <w:t>债券相关情况</w:t>
        </w:r>
        <w:r>
          <w:rPr>
            <w:rFonts w:hint="eastAsia"/>
            <w:b/>
            <w:bCs/>
          </w:rPr>
          <w:tab/>
        </w:r>
        <w:r>
          <w:rPr>
            <w:rFonts w:hint="eastAsia"/>
            <w:b/>
            <w:bCs/>
          </w:rPr>
          <w:fldChar w:fldCharType="begin"/>
        </w:r>
        <w:r>
          <w:rPr>
            <w:rFonts w:hint="eastAsia"/>
            <w:b/>
            <w:bCs/>
          </w:rPr>
          <w:instrText xml:space="preserve"> </w:instrText>
        </w:r>
        <w:r>
          <w:rPr>
            <w:b/>
            <w:bCs/>
          </w:rPr>
          <w:instrText>PAGEREF _Toc191024262 \h</w:instrText>
        </w:r>
        <w:r>
          <w:rPr>
            <w:rFonts w:hint="eastAsia"/>
            <w:b/>
            <w:bCs/>
          </w:rPr>
          <w:instrText xml:space="preserve"> </w:instrText>
        </w:r>
        <w:r>
          <w:rPr>
            <w:rFonts w:hint="eastAsia"/>
            <w:b/>
            <w:bCs/>
          </w:rPr>
        </w:r>
        <w:r>
          <w:rPr>
            <w:rFonts w:hint="eastAsia"/>
            <w:b/>
            <w:bCs/>
          </w:rPr>
          <w:fldChar w:fldCharType="separate"/>
        </w:r>
        <w:r>
          <w:rPr>
            <w:b/>
            <w:bCs/>
          </w:rPr>
          <w:t>63</w:t>
        </w:r>
        <w:r>
          <w:rPr>
            <w:rFonts w:hint="eastAsia"/>
            <w:b/>
            <w:bCs/>
          </w:rPr>
          <w:fldChar w:fldCharType="end"/>
        </w:r>
      </w:hyperlink>
    </w:p>
    <w:p w14:paraId="67886478" w14:textId="77777777" w:rsidR="005E000F" w:rsidRDefault="00000000">
      <w:pPr>
        <w:pStyle w:val="TOC1"/>
        <w:rPr>
          <w:rFonts w:asciiTheme="minorHAnsi" w:eastAsiaTheme="minorEastAsia" w:hAnsiTheme="minorHAnsi" w:cstheme="minorBidi"/>
          <w:sz w:val="22"/>
          <w:szCs w:val="24"/>
          <w14:ligatures w14:val="standardContextual"/>
        </w:rPr>
      </w:pPr>
      <w:hyperlink w:anchor="_Toc191024263" w:history="1">
        <w:r>
          <w:rPr>
            <w:rStyle w:val="aff5"/>
            <w:rFonts w:hint="eastAsia"/>
            <w:b/>
            <w:bCs/>
          </w:rPr>
          <w:t>第八节</w:t>
        </w:r>
        <w:r>
          <w:rPr>
            <w:rFonts w:asciiTheme="minorHAnsi" w:eastAsiaTheme="minorEastAsia" w:hAnsiTheme="minorHAnsi" w:cstheme="minorBidi" w:hint="eastAsia"/>
            <w:b/>
            <w:bCs/>
            <w:sz w:val="22"/>
            <w:szCs w:val="24"/>
            <w14:ligatures w14:val="standardContextual"/>
          </w:rPr>
          <w:tab/>
        </w:r>
        <w:r>
          <w:rPr>
            <w:rStyle w:val="aff5"/>
            <w:rFonts w:hint="eastAsia"/>
            <w:b/>
            <w:bCs/>
          </w:rPr>
          <w:t>财务报告</w:t>
        </w:r>
        <w:r>
          <w:rPr>
            <w:rFonts w:hint="eastAsia"/>
            <w:b/>
            <w:bCs/>
          </w:rPr>
          <w:tab/>
        </w:r>
        <w:r>
          <w:rPr>
            <w:rFonts w:hint="eastAsia"/>
            <w:b/>
            <w:bCs/>
          </w:rPr>
          <w:fldChar w:fldCharType="begin"/>
        </w:r>
        <w:r>
          <w:rPr>
            <w:rFonts w:hint="eastAsia"/>
            <w:b/>
            <w:bCs/>
          </w:rPr>
          <w:instrText xml:space="preserve"> </w:instrText>
        </w:r>
        <w:r>
          <w:rPr>
            <w:b/>
            <w:bCs/>
          </w:rPr>
          <w:instrText>PAGEREF _Toc191024263 \h</w:instrText>
        </w:r>
        <w:r>
          <w:rPr>
            <w:rFonts w:hint="eastAsia"/>
            <w:b/>
            <w:bCs/>
          </w:rPr>
          <w:instrText xml:space="preserve"> </w:instrText>
        </w:r>
        <w:r>
          <w:rPr>
            <w:rFonts w:hint="eastAsia"/>
            <w:b/>
            <w:bCs/>
          </w:rPr>
        </w:r>
        <w:r>
          <w:rPr>
            <w:rFonts w:hint="eastAsia"/>
            <w:b/>
            <w:bCs/>
          </w:rPr>
          <w:fldChar w:fldCharType="separate"/>
        </w:r>
        <w:r>
          <w:rPr>
            <w:b/>
            <w:bCs/>
          </w:rPr>
          <w:t>64</w:t>
        </w:r>
        <w:r>
          <w:rPr>
            <w:rFonts w:hint="eastAsia"/>
            <w:b/>
            <w:bCs/>
          </w:rPr>
          <w:fldChar w:fldCharType="end"/>
        </w:r>
      </w:hyperlink>
    </w:p>
    <w:p w14:paraId="76834C7F" w14:textId="77777777" w:rsidR="005E000F" w:rsidRDefault="00000000">
      <w:r>
        <w:fldChar w:fldCharType="end"/>
      </w:r>
      <w:bookmarkStart w:id="3" w:name="_Toc436392761"/>
      <w:bookmarkStart w:id="4" w:name="_Toc407111354"/>
      <w:bookmarkStart w:id="5" w:name="_Toc437440708"/>
    </w:p>
    <w:p w14:paraId="261A9C79" w14:textId="77777777" w:rsidR="005E000F" w:rsidRDefault="005E000F">
      <w:pPr>
        <w:spacing w:line="360" w:lineRule="exact"/>
        <w:ind w:right="5"/>
        <w:rPr>
          <w:b/>
          <w:bCs/>
          <w:sz w:val="24"/>
        </w:rPr>
      </w:pPr>
      <w:bookmarkStart w:id="6" w:name="_Hlk90893687"/>
      <w:bookmarkStart w:id="7" w:name="_Hlk90888086"/>
      <w:bookmarkStart w:id="8" w:name="_Hlk908917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294"/>
        <w:gridCol w:w="6598"/>
      </w:tblGrid>
      <w:sdt>
        <w:sdtPr>
          <w:alias w:val="备查文件情况"/>
          <w:tag w:val="_TUP_bb3c6eba15bb4f89aaabf5b28bea5766"/>
          <w:id w:val="-1095633747"/>
          <w:placeholder>
            <w:docPart w:val="E1749835829B469D98D0E587B8C195BC"/>
          </w:placeholder>
        </w:sdtPr>
        <w:sdtContent>
          <w:tr w:rsidR="005E000F" w14:paraId="6F0B57CA" w14:textId="77777777">
            <w:trPr>
              <w:cantSplit/>
            </w:trPr>
            <w:tc>
              <w:tcPr>
                <w:tcW w:w="2294" w:type="dxa"/>
                <w:vMerge w:val="restart"/>
                <w:tcBorders>
                  <w:top w:val="single" w:sz="4" w:space="0" w:color="auto"/>
                  <w:left w:val="single" w:sz="4" w:space="0" w:color="auto"/>
                  <w:bottom w:val="single" w:sz="4" w:space="0" w:color="auto"/>
                  <w:right w:val="single" w:sz="4" w:space="0" w:color="auto"/>
                </w:tcBorders>
                <w:vAlign w:val="center"/>
              </w:tcPr>
              <w:sdt>
                <w:sdtPr>
                  <w:tag w:val="_PLD_a77548a64feb4f70a4cecbb587219734"/>
                  <w:id w:val="-1852022740"/>
                </w:sdtPr>
                <w:sdtContent>
                  <w:p w14:paraId="65F19D01" w14:textId="77777777" w:rsidR="005E000F" w:rsidRDefault="00000000">
                    <w:pPr>
                      <w:autoSpaceDE w:val="0"/>
                      <w:autoSpaceDN w:val="0"/>
                      <w:adjustRightInd w:val="0"/>
                      <w:jc w:val="center"/>
                    </w:pPr>
                    <w:r>
                      <w:t>备查文件目录</w:t>
                    </w:r>
                  </w:p>
                </w:sdtContent>
              </w:sdt>
            </w:tc>
            <w:tc>
              <w:tcPr>
                <w:tcW w:w="6598" w:type="dxa"/>
                <w:tcBorders>
                  <w:top w:val="single" w:sz="4" w:space="0" w:color="auto"/>
                  <w:left w:val="single" w:sz="4" w:space="0" w:color="auto"/>
                  <w:bottom w:val="single" w:sz="4" w:space="0" w:color="auto"/>
                  <w:right w:val="single" w:sz="4" w:space="0" w:color="auto"/>
                </w:tcBorders>
                <w:vAlign w:val="center"/>
              </w:tcPr>
              <w:p w14:paraId="01212169" w14:textId="77777777" w:rsidR="005E000F" w:rsidRDefault="00000000">
                <w:pPr>
                  <w:autoSpaceDE w:val="0"/>
                  <w:autoSpaceDN w:val="0"/>
                  <w:adjustRightInd w:val="0"/>
                </w:pPr>
                <w:r>
                  <w:t>载有公司法定代表人、总经理、主管会计工作负责人、会计机构负责人（会计主管人员）签名并盖章的财务报表。</w:t>
                </w:r>
              </w:p>
            </w:tc>
          </w:tr>
        </w:sdtContent>
      </w:sdt>
      <w:tr w:rsidR="005E000F" w14:paraId="562B266B" w14:textId="77777777">
        <w:trPr>
          <w:cantSplit/>
        </w:trPr>
        <w:tc>
          <w:tcPr>
            <w:tcW w:w="2294" w:type="dxa"/>
            <w:vMerge/>
            <w:tcBorders>
              <w:top w:val="single" w:sz="4" w:space="0" w:color="auto"/>
              <w:left w:val="single" w:sz="4" w:space="0" w:color="auto"/>
              <w:bottom w:val="single" w:sz="4" w:space="0" w:color="auto"/>
              <w:right w:val="single" w:sz="4" w:space="0" w:color="auto"/>
            </w:tcBorders>
            <w:vAlign w:val="center"/>
          </w:tcPr>
          <w:p w14:paraId="2133C564" w14:textId="77777777" w:rsidR="005E000F" w:rsidRDefault="005E000F"/>
        </w:tc>
        <w:tc>
          <w:tcPr>
            <w:tcW w:w="6598" w:type="dxa"/>
            <w:tcBorders>
              <w:top w:val="single" w:sz="4" w:space="0" w:color="auto"/>
              <w:left w:val="single" w:sz="4" w:space="0" w:color="auto"/>
              <w:bottom w:val="single" w:sz="4" w:space="0" w:color="auto"/>
              <w:right w:val="single" w:sz="4" w:space="0" w:color="auto"/>
            </w:tcBorders>
            <w:vAlign w:val="center"/>
          </w:tcPr>
          <w:p w14:paraId="5A2846A6" w14:textId="77777777" w:rsidR="005E000F" w:rsidRDefault="00000000">
            <w:pPr>
              <w:autoSpaceDE w:val="0"/>
              <w:autoSpaceDN w:val="0"/>
              <w:adjustRightInd w:val="0"/>
            </w:pPr>
            <w:r>
              <w:t>载有会计师事务所盖章、注册会计师签名并盖章的审计报告原件。</w:t>
            </w:r>
          </w:p>
        </w:tc>
      </w:tr>
      <w:tr w:rsidR="005E000F" w14:paraId="4305B7A9" w14:textId="77777777">
        <w:trPr>
          <w:cantSplit/>
        </w:trPr>
        <w:tc>
          <w:tcPr>
            <w:tcW w:w="2294" w:type="dxa"/>
            <w:vMerge/>
            <w:tcBorders>
              <w:top w:val="single" w:sz="4" w:space="0" w:color="auto"/>
              <w:left w:val="single" w:sz="4" w:space="0" w:color="auto"/>
              <w:bottom w:val="single" w:sz="4" w:space="0" w:color="auto"/>
              <w:right w:val="single" w:sz="4" w:space="0" w:color="auto"/>
            </w:tcBorders>
            <w:vAlign w:val="center"/>
          </w:tcPr>
          <w:p w14:paraId="506DC816" w14:textId="77777777" w:rsidR="005E000F" w:rsidRDefault="005E000F"/>
        </w:tc>
        <w:tc>
          <w:tcPr>
            <w:tcW w:w="6598" w:type="dxa"/>
            <w:tcBorders>
              <w:top w:val="single" w:sz="4" w:space="0" w:color="auto"/>
              <w:left w:val="single" w:sz="4" w:space="0" w:color="auto"/>
              <w:bottom w:val="single" w:sz="4" w:space="0" w:color="auto"/>
              <w:right w:val="single" w:sz="4" w:space="0" w:color="auto"/>
            </w:tcBorders>
            <w:vAlign w:val="center"/>
          </w:tcPr>
          <w:p w14:paraId="1EA1DF71" w14:textId="77777777" w:rsidR="005E000F" w:rsidRDefault="00000000">
            <w:pPr>
              <w:autoSpaceDE w:val="0"/>
              <w:autoSpaceDN w:val="0"/>
              <w:adjustRightInd w:val="0"/>
            </w:pPr>
            <w:r>
              <w:t>报告期内在上海证券交易所网站上公开披露的公告文本。</w:t>
            </w:r>
          </w:p>
        </w:tc>
      </w:tr>
      <w:bookmarkEnd w:id="6"/>
      <w:bookmarkEnd w:id="7"/>
    </w:tbl>
    <w:p w14:paraId="4D639E6B" w14:textId="77777777" w:rsidR="005E000F" w:rsidRDefault="005E000F"/>
    <w:bookmarkEnd w:id="8"/>
    <w:p w14:paraId="01C1486A" w14:textId="77777777" w:rsidR="005E000F" w:rsidRDefault="005E000F">
      <w:pPr>
        <w:sectPr w:rsidR="005E000F">
          <w:pgSz w:w="11906" w:h="16838"/>
          <w:pgMar w:top="1440" w:right="1797" w:bottom="1525" w:left="1276" w:header="855" w:footer="992" w:gutter="0"/>
          <w:cols w:space="425"/>
          <w:docGrid w:linePitch="312"/>
        </w:sectPr>
      </w:pPr>
    </w:p>
    <w:p w14:paraId="6F03C04E" w14:textId="77777777" w:rsidR="005E000F" w:rsidRDefault="00000000">
      <w:pPr>
        <w:pStyle w:val="1"/>
        <w:numPr>
          <w:ilvl w:val="0"/>
          <w:numId w:val="2"/>
        </w:numPr>
      </w:pPr>
      <w:bookmarkStart w:id="9" w:name="_Toc191024256"/>
      <w:r>
        <w:rPr>
          <w:rFonts w:hint="eastAsia"/>
        </w:rPr>
        <w:lastRenderedPageBreak/>
        <w:t>释义</w:t>
      </w:r>
    </w:p>
    <w:bookmarkEnd w:id="3"/>
    <w:bookmarkEnd w:id="4"/>
    <w:bookmarkEnd w:id="5"/>
    <w:bookmarkEnd w:id="9"/>
    <w:p w14:paraId="7DF55A35" w14:textId="77777777" w:rsidR="005E000F" w:rsidRDefault="00000000">
      <w:pPr>
        <w:pStyle w:val="2"/>
        <w:numPr>
          <w:ilvl w:val="0"/>
          <w:numId w:val="3"/>
        </w:numPr>
        <w:tabs>
          <w:tab w:val="left" w:pos="588"/>
        </w:tabs>
        <w:ind w:left="369" w:hangingChars="175" w:hanging="369"/>
      </w:pPr>
      <w:r>
        <w:t>释义</w:t>
      </w:r>
    </w:p>
    <w:p w14:paraId="4892AD59" w14:textId="77777777" w:rsidR="005E000F" w:rsidRDefault="00000000">
      <w:r>
        <w:t>在本报告书中，除非文义另有所指，下列词语具有如下含义：</w:t>
      </w:r>
    </w:p>
    <w:tbl>
      <w:tblPr>
        <w:tblStyle w:val="aff2"/>
        <w:tblW w:w="0" w:type="auto"/>
        <w:tblLayout w:type="fixed"/>
        <w:tblLook w:val="04A0" w:firstRow="1" w:lastRow="0" w:firstColumn="1" w:lastColumn="0" w:noHBand="0" w:noVBand="1"/>
      </w:tblPr>
      <w:tblGrid>
        <w:gridCol w:w="2972"/>
        <w:gridCol w:w="851"/>
        <w:gridCol w:w="5000"/>
      </w:tblGrid>
      <w:tr w:rsidR="005E000F" w14:paraId="2D40BE2D" w14:textId="77777777">
        <w:bookmarkStart w:id="10" w:name="_Toc436392762" w:displacedByCustomXml="next"/>
        <w:bookmarkStart w:id="11" w:name="_Toc407111355" w:displacedByCustomXml="next"/>
        <w:bookmarkStart w:id="12" w:name="_Toc437440709" w:displacedByCustomXml="next"/>
        <w:bookmarkStart w:id="13" w:name="_Toc191024257" w:displacedByCustomXml="next"/>
        <w:sdt>
          <w:sdtPr>
            <w:tag w:val="_PLD_bf37a984a1d34209a94aac58652eb6b9"/>
            <w:id w:val="-1901046221"/>
          </w:sdtPr>
          <w:sdtContent>
            <w:tc>
              <w:tcPr>
                <w:tcW w:w="8823" w:type="dxa"/>
                <w:gridSpan w:val="3"/>
                <w:vAlign w:val="center"/>
              </w:tcPr>
              <w:p w14:paraId="3E11002E" w14:textId="77777777" w:rsidR="005E000F" w:rsidRDefault="00000000">
                <w:r>
                  <w:t>常用词语释义</w:t>
                </w:r>
              </w:p>
            </w:tc>
          </w:sdtContent>
        </w:sdt>
      </w:tr>
      <w:tr w:rsidR="005E000F" w14:paraId="4DD6660A" w14:textId="77777777">
        <w:tc>
          <w:tcPr>
            <w:tcW w:w="2972" w:type="dxa"/>
          </w:tcPr>
          <w:p w14:paraId="27CC998B" w14:textId="77777777" w:rsidR="005E000F" w:rsidRDefault="00000000">
            <w:r>
              <w:t>证监会</w:t>
            </w:r>
          </w:p>
        </w:tc>
        <w:tc>
          <w:tcPr>
            <w:tcW w:w="851" w:type="dxa"/>
          </w:tcPr>
          <w:p w14:paraId="6F2B3120" w14:textId="77777777" w:rsidR="005E000F" w:rsidRDefault="00000000">
            <w:pPr>
              <w:jc w:val="center"/>
              <w:rPr>
                <w:highlight w:val="lightGray"/>
              </w:rPr>
            </w:pPr>
            <w:r>
              <w:rPr>
                <w:rFonts w:hint="eastAsia"/>
              </w:rPr>
              <w:t>指</w:t>
            </w:r>
          </w:p>
        </w:tc>
        <w:tc>
          <w:tcPr>
            <w:tcW w:w="5000" w:type="dxa"/>
          </w:tcPr>
          <w:p w14:paraId="67088B57" w14:textId="77777777" w:rsidR="005E000F" w:rsidRDefault="00000000">
            <w:r>
              <w:rPr>
                <w:rFonts w:hint="eastAsia"/>
              </w:rPr>
              <w:t>中国证券监督管理委员会</w:t>
            </w:r>
          </w:p>
        </w:tc>
      </w:tr>
      <w:tr w:rsidR="005E000F" w14:paraId="635EED7A" w14:textId="77777777">
        <w:tc>
          <w:tcPr>
            <w:tcW w:w="2972" w:type="dxa"/>
          </w:tcPr>
          <w:p w14:paraId="35157AE1" w14:textId="77777777" w:rsidR="005E000F" w:rsidRDefault="00000000">
            <w:r>
              <w:t>上交所</w:t>
            </w:r>
          </w:p>
        </w:tc>
        <w:tc>
          <w:tcPr>
            <w:tcW w:w="851" w:type="dxa"/>
          </w:tcPr>
          <w:p w14:paraId="1417DD23" w14:textId="77777777" w:rsidR="005E000F" w:rsidRDefault="00000000">
            <w:pPr>
              <w:jc w:val="center"/>
              <w:rPr>
                <w:highlight w:val="lightGray"/>
              </w:rPr>
            </w:pPr>
            <w:r>
              <w:rPr>
                <w:rFonts w:hint="eastAsia"/>
              </w:rPr>
              <w:t>指</w:t>
            </w:r>
          </w:p>
        </w:tc>
        <w:tc>
          <w:tcPr>
            <w:tcW w:w="5000" w:type="dxa"/>
          </w:tcPr>
          <w:p w14:paraId="728B418F" w14:textId="77777777" w:rsidR="005E000F" w:rsidRDefault="00000000">
            <w:r>
              <w:rPr>
                <w:rFonts w:hint="eastAsia"/>
              </w:rPr>
              <w:t>上海证券交易所</w:t>
            </w:r>
          </w:p>
        </w:tc>
      </w:tr>
      <w:tr w:rsidR="005E000F" w14:paraId="6148449E" w14:textId="77777777">
        <w:tc>
          <w:tcPr>
            <w:tcW w:w="2972" w:type="dxa"/>
          </w:tcPr>
          <w:p w14:paraId="4BC95C21" w14:textId="77777777" w:rsidR="005E000F" w:rsidRDefault="00000000">
            <w:r>
              <w:t>公司、</w:t>
            </w:r>
            <w:r>
              <w:rPr>
                <w:rFonts w:hint="eastAsia"/>
              </w:rPr>
              <w:t>大秦公司</w:t>
            </w:r>
            <w:r>
              <w:t>、大秦铁路</w:t>
            </w:r>
          </w:p>
        </w:tc>
        <w:tc>
          <w:tcPr>
            <w:tcW w:w="851" w:type="dxa"/>
          </w:tcPr>
          <w:p w14:paraId="06E02CAB" w14:textId="77777777" w:rsidR="005E000F" w:rsidRDefault="00000000">
            <w:pPr>
              <w:jc w:val="center"/>
            </w:pPr>
            <w:r>
              <w:t>指</w:t>
            </w:r>
          </w:p>
        </w:tc>
        <w:tc>
          <w:tcPr>
            <w:tcW w:w="5000" w:type="dxa"/>
          </w:tcPr>
          <w:p w14:paraId="611E44F5" w14:textId="77777777" w:rsidR="005E000F" w:rsidRDefault="00000000">
            <w:r>
              <w:t>大秦铁路股份有限公司</w:t>
            </w:r>
          </w:p>
        </w:tc>
      </w:tr>
      <w:tr w:rsidR="005E000F" w14:paraId="5324E4EF" w14:textId="77777777">
        <w:tc>
          <w:tcPr>
            <w:tcW w:w="2972" w:type="dxa"/>
          </w:tcPr>
          <w:p w14:paraId="2C7D4488" w14:textId="77777777" w:rsidR="005E000F" w:rsidRDefault="00000000">
            <w:r>
              <w:t>报告期</w:t>
            </w:r>
          </w:p>
        </w:tc>
        <w:tc>
          <w:tcPr>
            <w:tcW w:w="851" w:type="dxa"/>
          </w:tcPr>
          <w:p w14:paraId="5CBAD4CB" w14:textId="77777777" w:rsidR="005E000F" w:rsidRDefault="00000000">
            <w:pPr>
              <w:jc w:val="center"/>
            </w:pPr>
            <w:r>
              <w:t>指</w:t>
            </w:r>
          </w:p>
        </w:tc>
        <w:tc>
          <w:tcPr>
            <w:tcW w:w="5000" w:type="dxa"/>
          </w:tcPr>
          <w:p w14:paraId="06826337" w14:textId="77777777" w:rsidR="005E000F" w:rsidRDefault="00000000">
            <w:r>
              <w:t>202</w:t>
            </w:r>
            <w:r>
              <w:rPr>
                <w:rFonts w:hint="eastAsia"/>
              </w:rPr>
              <w:t>5</w:t>
            </w:r>
            <w:r>
              <w:t>年</w:t>
            </w:r>
            <w:r>
              <w:rPr>
                <w:rFonts w:hint="eastAsia"/>
              </w:rPr>
              <w:t>度</w:t>
            </w:r>
          </w:p>
        </w:tc>
      </w:tr>
      <w:tr w:rsidR="005E000F" w14:paraId="64959EDF" w14:textId="77777777">
        <w:tc>
          <w:tcPr>
            <w:tcW w:w="2972" w:type="dxa"/>
          </w:tcPr>
          <w:p w14:paraId="496F8841" w14:textId="77777777" w:rsidR="005E000F" w:rsidRDefault="00000000">
            <w:r>
              <w:t>国</w:t>
            </w:r>
            <w:r>
              <w:rPr>
                <w:rFonts w:hint="eastAsia"/>
              </w:rPr>
              <w:t>铁</w:t>
            </w:r>
            <w:r>
              <w:t>集团</w:t>
            </w:r>
          </w:p>
        </w:tc>
        <w:tc>
          <w:tcPr>
            <w:tcW w:w="851" w:type="dxa"/>
          </w:tcPr>
          <w:p w14:paraId="56CB00E0" w14:textId="77777777" w:rsidR="005E000F" w:rsidRDefault="00000000">
            <w:pPr>
              <w:jc w:val="center"/>
            </w:pPr>
            <w:r>
              <w:t>指</w:t>
            </w:r>
          </w:p>
        </w:tc>
        <w:tc>
          <w:tcPr>
            <w:tcW w:w="5000" w:type="dxa"/>
          </w:tcPr>
          <w:p w14:paraId="44ED745B" w14:textId="77777777" w:rsidR="005E000F" w:rsidRDefault="00000000">
            <w:r>
              <w:t>中国国家铁路集团有限公司</w:t>
            </w:r>
          </w:p>
        </w:tc>
      </w:tr>
      <w:tr w:rsidR="005E000F" w14:paraId="5F027D82" w14:textId="77777777">
        <w:tc>
          <w:tcPr>
            <w:tcW w:w="2972" w:type="dxa"/>
          </w:tcPr>
          <w:p w14:paraId="5AFCCCB8" w14:textId="77777777" w:rsidR="005E000F" w:rsidRDefault="00000000">
            <w:r>
              <w:t>太原局集团公司</w:t>
            </w:r>
          </w:p>
        </w:tc>
        <w:tc>
          <w:tcPr>
            <w:tcW w:w="851" w:type="dxa"/>
          </w:tcPr>
          <w:p w14:paraId="2F46846A" w14:textId="77777777" w:rsidR="005E000F" w:rsidRDefault="00000000">
            <w:pPr>
              <w:jc w:val="center"/>
            </w:pPr>
            <w:r>
              <w:t>指</w:t>
            </w:r>
          </w:p>
        </w:tc>
        <w:tc>
          <w:tcPr>
            <w:tcW w:w="5000" w:type="dxa"/>
          </w:tcPr>
          <w:p w14:paraId="3F529A9E" w14:textId="77777777" w:rsidR="005E000F" w:rsidRDefault="00000000">
            <w:r>
              <w:t>中国铁路太原</w:t>
            </w:r>
            <w:proofErr w:type="gramStart"/>
            <w:r>
              <w:t>局集团</w:t>
            </w:r>
            <w:proofErr w:type="gramEnd"/>
            <w:r>
              <w:t>有限公司</w:t>
            </w:r>
          </w:p>
        </w:tc>
      </w:tr>
      <w:tr w:rsidR="005E000F" w14:paraId="28168859" w14:textId="77777777">
        <w:tc>
          <w:tcPr>
            <w:tcW w:w="2972" w:type="dxa"/>
          </w:tcPr>
          <w:p w14:paraId="7D95C375" w14:textId="77777777" w:rsidR="005E000F" w:rsidRDefault="00000000">
            <w:r>
              <w:t>唐港公司</w:t>
            </w:r>
          </w:p>
        </w:tc>
        <w:tc>
          <w:tcPr>
            <w:tcW w:w="851" w:type="dxa"/>
          </w:tcPr>
          <w:p w14:paraId="75785A89" w14:textId="77777777" w:rsidR="005E000F" w:rsidRDefault="00000000">
            <w:pPr>
              <w:jc w:val="center"/>
            </w:pPr>
            <w:r>
              <w:t>指</w:t>
            </w:r>
          </w:p>
        </w:tc>
        <w:tc>
          <w:tcPr>
            <w:tcW w:w="5000" w:type="dxa"/>
          </w:tcPr>
          <w:p w14:paraId="25361D80" w14:textId="77777777" w:rsidR="005E000F" w:rsidRDefault="00000000">
            <w:r>
              <w:t>唐港铁路有限责任公司</w:t>
            </w:r>
          </w:p>
        </w:tc>
      </w:tr>
      <w:tr w:rsidR="005E000F" w14:paraId="52360372" w14:textId="77777777">
        <w:tc>
          <w:tcPr>
            <w:tcW w:w="2972" w:type="dxa"/>
          </w:tcPr>
          <w:p w14:paraId="037997CD" w14:textId="77777777" w:rsidR="005E000F" w:rsidRDefault="00000000">
            <w:proofErr w:type="gramStart"/>
            <w:r>
              <w:t>侯禹公司</w:t>
            </w:r>
            <w:proofErr w:type="gramEnd"/>
          </w:p>
        </w:tc>
        <w:tc>
          <w:tcPr>
            <w:tcW w:w="851" w:type="dxa"/>
          </w:tcPr>
          <w:p w14:paraId="6AC1424D" w14:textId="77777777" w:rsidR="005E000F" w:rsidRDefault="00000000">
            <w:pPr>
              <w:jc w:val="center"/>
            </w:pPr>
            <w:r>
              <w:t>指</w:t>
            </w:r>
          </w:p>
        </w:tc>
        <w:tc>
          <w:tcPr>
            <w:tcW w:w="5000" w:type="dxa"/>
          </w:tcPr>
          <w:p w14:paraId="131971F8" w14:textId="77777777" w:rsidR="005E000F" w:rsidRDefault="00000000">
            <w:r>
              <w:t>山西侯禹铁路有限责任公司</w:t>
            </w:r>
          </w:p>
        </w:tc>
      </w:tr>
      <w:tr w:rsidR="005E000F" w14:paraId="5393BC45" w14:textId="77777777">
        <w:tc>
          <w:tcPr>
            <w:tcW w:w="2972" w:type="dxa"/>
          </w:tcPr>
          <w:p w14:paraId="7D2F09C5" w14:textId="77777777" w:rsidR="005E000F" w:rsidRDefault="00000000">
            <w:proofErr w:type="gramStart"/>
            <w:r>
              <w:t>太兴</w:t>
            </w:r>
            <w:proofErr w:type="gramEnd"/>
            <w:r>
              <w:t>公司</w:t>
            </w:r>
          </w:p>
        </w:tc>
        <w:tc>
          <w:tcPr>
            <w:tcW w:w="851" w:type="dxa"/>
          </w:tcPr>
          <w:p w14:paraId="1096D736" w14:textId="77777777" w:rsidR="005E000F" w:rsidRDefault="00000000">
            <w:pPr>
              <w:jc w:val="center"/>
            </w:pPr>
            <w:r>
              <w:t>指</w:t>
            </w:r>
          </w:p>
        </w:tc>
        <w:tc>
          <w:tcPr>
            <w:tcW w:w="5000" w:type="dxa"/>
          </w:tcPr>
          <w:p w14:paraId="05CAE3D9" w14:textId="77777777" w:rsidR="005E000F" w:rsidRDefault="00000000">
            <w:r>
              <w:t>山西太兴铁路有限责任公司</w:t>
            </w:r>
          </w:p>
        </w:tc>
      </w:tr>
      <w:tr w:rsidR="005E000F" w14:paraId="3B80C208" w14:textId="77777777">
        <w:tc>
          <w:tcPr>
            <w:tcW w:w="2972" w:type="dxa"/>
          </w:tcPr>
          <w:p w14:paraId="65AA84FF" w14:textId="77777777" w:rsidR="005E000F" w:rsidRDefault="00000000">
            <w:r>
              <w:t>中鼎公司</w:t>
            </w:r>
          </w:p>
        </w:tc>
        <w:tc>
          <w:tcPr>
            <w:tcW w:w="851" w:type="dxa"/>
          </w:tcPr>
          <w:p w14:paraId="59BD13FC" w14:textId="77777777" w:rsidR="005E000F" w:rsidRDefault="00000000">
            <w:pPr>
              <w:jc w:val="center"/>
            </w:pPr>
            <w:r>
              <w:t>指</w:t>
            </w:r>
          </w:p>
        </w:tc>
        <w:tc>
          <w:tcPr>
            <w:tcW w:w="5000" w:type="dxa"/>
          </w:tcPr>
          <w:p w14:paraId="45B49339" w14:textId="77777777" w:rsidR="005E000F" w:rsidRDefault="00000000">
            <w:r>
              <w:t>山西中鼎物流集团有限公司</w:t>
            </w:r>
          </w:p>
        </w:tc>
      </w:tr>
      <w:tr w:rsidR="005E000F" w14:paraId="1414F823" w14:textId="77777777">
        <w:tc>
          <w:tcPr>
            <w:tcW w:w="2972" w:type="dxa"/>
          </w:tcPr>
          <w:p w14:paraId="55A07BF4" w14:textId="77777777" w:rsidR="005E000F" w:rsidRDefault="00000000">
            <w:r>
              <w:t>西南环公司</w:t>
            </w:r>
          </w:p>
        </w:tc>
        <w:tc>
          <w:tcPr>
            <w:tcW w:w="851" w:type="dxa"/>
          </w:tcPr>
          <w:p w14:paraId="08C031AF" w14:textId="77777777" w:rsidR="005E000F" w:rsidRDefault="00000000">
            <w:pPr>
              <w:jc w:val="center"/>
            </w:pPr>
            <w:r>
              <w:t>指</w:t>
            </w:r>
          </w:p>
        </w:tc>
        <w:tc>
          <w:tcPr>
            <w:tcW w:w="5000" w:type="dxa"/>
          </w:tcPr>
          <w:p w14:paraId="503ECB95" w14:textId="77777777" w:rsidR="005E000F" w:rsidRDefault="00000000">
            <w:r>
              <w:t>太原铁路枢纽西南环线有限责任公司</w:t>
            </w:r>
          </w:p>
        </w:tc>
      </w:tr>
      <w:tr w:rsidR="005E000F" w14:paraId="275EE726" w14:textId="77777777">
        <w:tc>
          <w:tcPr>
            <w:tcW w:w="2972" w:type="dxa"/>
          </w:tcPr>
          <w:p w14:paraId="03800480" w14:textId="77777777" w:rsidR="005E000F" w:rsidRDefault="00000000">
            <w:r>
              <w:t>大</w:t>
            </w:r>
            <w:proofErr w:type="gramStart"/>
            <w:r>
              <w:t>秦经贸</w:t>
            </w:r>
            <w:proofErr w:type="gramEnd"/>
            <w:r>
              <w:t>公司</w:t>
            </w:r>
          </w:p>
        </w:tc>
        <w:tc>
          <w:tcPr>
            <w:tcW w:w="851" w:type="dxa"/>
          </w:tcPr>
          <w:p w14:paraId="6139554D" w14:textId="77777777" w:rsidR="005E000F" w:rsidRDefault="00000000">
            <w:pPr>
              <w:jc w:val="center"/>
            </w:pPr>
            <w:r>
              <w:t>指</w:t>
            </w:r>
          </w:p>
        </w:tc>
        <w:tc>
          <w:tcPr>
            <w:tcW w:w="5000" w:type="dxa"/>
          </w:tcPr>
          <w:p w14:paraId="6F8A4AA7" w14:textId="77777777" w:rsidR="005E000F" w:rsidRDefault="00000000">
            <w:r>
              <w:t>大秦铁路经贸发展有限公司</w:t>
            </w:r>
          </w:p>
        </w:tc>
      </w:tr>
      <w:tr w:rsidR="005E000F" w14:paraId="4F748C03" w14:textId="77777777">
        <w:tc>
          <w:tcPr>
            <w:tcW w:w="2972" w:type="dxa"/>
          </w:tcPr>
          <w:p w14:paraId="7ED667A8" w14:textId="77777777" w:rsidR="005E000F" w:rsidRDefault="00000000">
            <w:r>
              <w:t>朔黄</w:t>
            </w:r>
            <w:r>
              <w:rPr>
                <w:rFonts w:hint="eastAsia"/>
              </w:rPr>
              <w:t>铁路</w:t>
            </w:r>
          </w:p>
        </w:tc>
        <w:tc>
          <w:tcPr>
            <w:tcW w:w="851" w:type="dxa"/>
          </w:tcPr>
          <w:p w14:paraId="0253837C" w14:textId="77777777" w:rsidR="005E000F" w:rsidRDefault="00000000">
            <w:pPr>
              <w:jc w:val="center"/>
            </w:pPr>
            <w:r>
              <w:t>指</w:t>
            </w:r>
          </w:p>
        </w:tc>
        <w:tc>
          <w:tcPr>
            <w:tcW w:w="5000" w:type="dxa"/>
          </w:tcPr>
          <w:p w14:paraId="58E7CB71" w14:textId="77777777" w:rsidR="005E000F" w:rsidRDefault="00000000">
            <w:proofErr w:type="gramStart"/>
            <w:r>
              <w:t>国能朔黄</w:t>
            </w:r>
            <w:proofErr w:type="gramEnd"/>
            <w:r>
              <w:t>铁路发展有限责任公司</w:t>
            </w:r>
          </w:p>
        </w:tc>
      </w:tr>
      <w:tr w:rsidR="005E000F" w14:paraId="10B66F63" w14:textId="77777777">
        <w:tc>
          <w:tcPr>
            <w:tcW w:w="2972" w:type="dxa"/>
          </w:tcPr>
          <w:p w14:paraId="452C3764" w14:textId="77777777" w:rsidR="005E000F" w:rsidRDefault="00000000">
            <w:proofErr w:type="gramStart"/>
            <w:r>
              <w:t>浩</w:t>
            </w:r>
            <w:proofErr w:type="gramEnd"/>
            <w:r>
              <w:t>吉铁路</w:t>
            </w:r>
          </w:p>
        </w:tc>
        <w:tc>
          <w:tcPr>
            <w:tcW w:w="851" w:type="dxa"/>
          </w:tcPr>
          <w:p w14:paraId="4C55CB2C" w14:textId="77777777" w:rsidR="005E000F" w:rsidRDefault="00000000">
            <w:pPr>
              <w:jc w:val="center"/>
            </w:pPr>
            <w:r>
              <w:t>指</w:t>
            </w:r>
          </w:p>
        </w:tc>
        <w:tc>
          <w:tcPr>
            <w:tcW w:w="5000" w:type="dxa"/>
          </w:tcPr>
          <w:p w14:paraId="12603AA4" w14:textId="77777777" w:rsidR="005E000F" w:rsidRDefault="00000000">
            <w:proofErr w:type="gramStart"/>
            <w:r>
              <w:t>浩</w:t>
            </w:r>
            <w:proofErr w:type="gramEnd"/>
            <w:r>
              <w:t>吉铁路股份有限公司</w:t>
            </w:r>
          </w:p>
        </w:tc>
      </w:tr>
      <w:tr w:rsidR="005E000F" w14:paraId="53025916" w14:textId="77777777">
        <w:tc>
          <w:tcPr>
            <w:tcW w:w="2972" w:type="dxa"/>
          </w:tcPr>
          <w:p w14:paraId="41DBD938" w14:textId="77777777" w:rsidR="005E000F" w:rsidRDefault="00000000">
            <w:r>
              <w:t>秦港股份</w:t>
            </w:r>
          </w:p>
        </w:tc>
        <w:tc>
          <w:tcPr>
            <w:tcW w:w="851" w:type="dxa"/>
          </w:tcPr>
          <w:p w14:paraId="2A291249" w14:textId="77777777" w:rsidR="005E000F" w:rsidRDefault="00000000">
            <w:pPr>
              <w:jc w:val="center"/>
            </w:pPr>
            <w:r>
              <w:t>指</w:t>
            </w:r>
          </w:p>
        </w:tc>
        <w:tc>
          <w:tcPr>
            <w:tcW w:w="5000" w:type="dxa"/>
          </w:tcPr>
          <w:p w14:paraId="04AF454D" w14:textId="77777777" w:rsidR="005E000F" w:rsidRDefault="00000000">
            <w:r>
              <w:t>秦皇岛港股份有限公司</w:t>
            </w:r>
          </w:p>
        </w:tc>
      </w:tr>
      <w:tr w:rsidR="005E000F" w14:paraId="4FDE15FB" w14:textId="77777777">
        <w:tc>
          <w:tcPr>
            <w:tcW w:w="2972" w:type="dxa"/>
          </w:tcPr>
          <w:p w14:paraId="1C209116" w14:textId="77777777" w:rsidR="005E000F" w:rsidRDefault="00000000">
            <w:r>
              <w:t>京丰公司</w:t>
            </w:r>
          </w:p>
        </w:tc>
        <w:tc>
          <w:tcPr>
            <w:tcW w:w="851" w:type="dxa"/>
          </w:tcPr>
          <w:p w14:paraId="286AC8A5" w14:textId="77777777" w:rsidR="005E000F" w:rsidRDefault="00000000">
            <w:pPr>
              <w:jc w:val="center"/>
            </w:pPr>
            <w:r>
              <w:t>指</w:t>
            </w:r>
          </w:p>
        </w:tc>
        <w:tc>
          <w:tcPr>
            <w:tcW w:w="5000" w:type="dxa"/>
          </w:tcPr>
          <w:p w14:paraId="23A018A4" w14:textId="77777777" w:rsidR="005E000F" w:rsidRDefault="00000000">
            <w:proofErr w:type="gramStart"/>
            <w:r>
              <w:t>太原国</w:t>
            </w:r>
            <w:proofErr w:type="gramEnd"/>
            <w:r>
              <w:t>铁京丰装备技术股份有限公司</w:t>
            </w:r>
          </w:p>
        </w:tc>
      </w:tr>
    </w:tbl>
    <w:p w14:paraId="15FE2630" w14:textId="77777777" w:rsidR="005E000F" w:rsidRDefault="005E000F"/>
    <w:p w14:paraId="520BB768" w14:textId="77777777" w:rsidR="005E000F" w:rsidRDefault="00000000">
      <w:pPr>
        <w:pStyle w:val="1"/>
        <w:numPr>
          <w:ilvl w:val="0"/>
          <w:numId w:val="2"/>
        </w:numPr>
        <w:rPr>
          <w:u w:val="single"/>
        </w:rPr>
      </w:pPr>
      <w:r>
        <w:rPr>
          <w:rFonts w:hint="eastAsia"/>
        </w:rPr>
        <w:t>公司简介</w:t>
      </w:r>
      <w:bookmarkEnd w:id="11"/>
      <w:bookmarkEnd w:id="10"/>
      <w:r>
        <w:rPr>
          <w:rFonts w:hint="eastAsia"/>
        </w:rPr>
        <w:t>和主要财务指标</w:t>
      </w:r>
    </w:p>
    <w:p w14:paraId="268804EC" w14:textId="77777777" w:rsidR="005E000F" w:rsidRDefault="00000000">
      <w:pPr>
        <w:pStyle w:val="2"/>
        <w:numPr>
          <w:ilvl w:val="1"/>
          <w:numId w:val="4"/>
        </w:numPr>
        <w:ind w:left="498" w:hangingChars="236" w:hanging="498"/>
        <w:rPr>
          <w:u w:val="single"/>
        </w:rPr>
      </w:pPr>
      <w:bookmarkStart w:id="14" w:name="_Toc342051041"/>
      <w:bookmarkStart w:id="15" w:name="_Toc342565881"/>
      <w:bookmarkEnd w:id="13"/>
      <w:bookmarkEnd w:id="12"/>
      <w:r>
        <w:rPr>
          <w:rFonts w:hint="eastAsia"/>
        </w:rPr>
        <w:t>公司信息</w:t>
      </w:r>
      <w:bookmarkEnd w:id="14"/>
      <w:bookmarkEnd w:id="15"/>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3857"/>
        <w:gridCol w:w="5035"/>
      </w:tblGrid>
      <w:tr w:rsidR="005E000F" w14:paraId="20CFFFE1" w14:textId="77777777">
        <w:trPr>
          <w:trHeight w:val="293"/>
        </w:trPr>
        <w:sdt>
          <w:sdtPr>
            <w:tag w:val="_PLD_76a4e08611bc46959c5497248a51b877"/>
            <w:id w:val="446125071"/>
          </w:sdtPr>
          <w:sdtContent>
            <w:tc>
              <w:tcPr>
                <w:tcW w:w="3857" w:type="dxa"/>
                <w:tcBorders>
                  <w:top w:val="single" w:sz="4" w:space="0" w:color="auto"/>
                  <w:bottom w:val="single" w:sz="4" w:space="0" w:color="auto"/>
                  <w:right w:val="single" w:sz="4" w:space="0" w:color="auto"/>
                </w:tcBorders>
                <w:vAlign w:val="center"/>
              </w:tcPr>
              <w:p w14:paraId="4B319A0A" w14:textId="77777777" w:rsidR="005E000F" w:rsidRDefault="00000000">
                <w:pPr>
                  <w:kinsoku w:val="0"/>
                  <w:overflowPunct w:val="0"/>
                  <w:autoSpaceDE w:val="0"/>
                  <w:autoSpaceDN w:val="0"/>
                  <w:adjustRightInd w:val="0"/>
                  <w:snapToGrid w:val="0"/>
                </w:pPr>
                <w:r>
                  <w:rPr>
                    <w:rFonts w:hint="eastAsia"/>
                  </w:rPr>
                  <w:t>公司的中文名称</w:t>
                </w:r>
              </w:p>
            </w:tc>
          </w:sdtContent>
        </w:sdt>
        <w:sdt>
          <w:sdtPr>
            <w:rPr>
              <w:rFonts w:hint="eastAsia"/>
            </w:rPr>
            <w:alias w:val="公司法定中文名称"/>
            <w:tag w:val="_GBC_7adfc39908d049d2970c391497a360e4"/>
            <w:id w:val="121884292"/>
            <w:dataBinding w:prefixMappings="xmlns:clcid-cgi='clcid-cgi'" w:xpath="/*/clcid-cgi:GongSiFaDingZhongWenMingCheng[not(@periodRef)]" w:storeItemID="{89EBAB94-44A0-46A2-B712-30D997D04A6D}"/>
            <w:text/>
          </w:sdtPr>
          <w:sdtContent>
            <w:tc>
              <w:tcPr>
                <w:tcW w:w="5035" w:type="dxa"/>
                <w:tcBorders>
                  <w:top w:val="single" w:sz="4" w:space="0" w:color="auto"/>
                  <w:left w:val="single" w:sz="4" w:space="0" w:color="auto"/>
                  <w:bottom w:val="single" w:sz="4" w:space="0" w:color="auto"/>
                </w:tcBorders>
                <w:vAlign w:val="center"/>
              </w:tcPr>
              <w:p w14:paraId="48EF5656" w14:textId="77777777" w:rsidR="005E000F" w:rsidRDefault="00000000">
                <w:pPr>
                  <w:kinsoku w:val="0"/>
                  <w:overflowPunct w:val="0"/>
                  <w:autoSpaceDE w:val="0"/>
                  <w:autoSpaceDN w:val="0"/>
                  <w:adjustRightInd w:val="0"/>
                  <w:snapToGrid w:val="0"/>
                  <w:rPr>
                    <w:color w:val="FFC000"/>
                  </w:rPr>
                </w:pPr>
                <w:r>
                  <w:rPr>
                    <w:rFonts w:hint="eastAsia"/>
                  </w:rPr>
                  <w:t>大秦铁路股份有限公司</w:t>
                </w:r>
              </w:p>
            </w:tc>
          </w:sdtContent>
        </w:sdt>
      </w:tr>
      <w:tr w:rsidR="005E000F" w14:paraId="37C897FD" w14:textId="77777777">
        <w:trPr>
          <w:trHeight w:val="293"/>
        </w:trPr>
        <w:tc>
          <w:tcPr>
            <w:tcW w:w="3857" w:type="dxa"/>
            <w:tcBorders>
              <w:top w:val="single" w:sz="4" w:space="0" w:color="auto"/>
              <w:bottom w:val="single" w:sz="4" w:space="0" w:color="auto"/>
              <w:right w:val="single" w:sz="4" w:space="0" w:color="auto"/>
            </w:tcBorders>
            <w:vAlign w:val="center"/>
          </w:tcPr>
          <w:p w14:paraId="66981E06" w14:textId="77777777" w:rsidR="005E000F" w:rsidRDefault="00000000">
            <w:pPr>
              <w:kinsoku w:val="0"/>
              <w:overflowPunct w:val="0"/>
              <w:autoSpaceDE w:val="0"/>
              <w:autoSpaceDN w:val="0"/>
              <w:adjustRightInd w:val="0"/>
              <w:snapToGrid w:val="0"/>
            </w:pPr>
            <w:r>
              <w:rPr>
                <w:rFonts w:hint="eastAsia"/>
              </w:rPr>
              <w:t>公司的中文简称</w:t>
            </w:r>
          </w:p>
        </w:tc>
        <w:tc>
          <w:tcPr>
            <w:tcW w:w="5035" w:type="dxa"/>
            <w:tcBorders>
              <w:top w:val="single" w:sz="4" w:space="0" w:color="auto"/>
              <w:left w:val="single" w:sz="4" w:space="0" w:color="auto"/>
              <w:bottom w:val="single" w:sz="4" w:space="0" w:color="auto"/>
            </w:tcBorders>
            <w:vAlign w:val="center"/>
          </w:tcPr>
          <w:p w14:paraId="74C4AA5D" w14:textId="77777777" w:rsidR="005E000F" w:rsidRDefault="00000000">
            <w:pPr>
              <w:kinsoku w:val="0"/>
              <w:overflowPunct w:val="0"/>
              <w:autoSpaceDE w:val="0"/>
              <w:autoSpaceDN w:val="0"/>
              <w:adjustRightInd w:val="0"/>
              <w:snapToGrid w:val="0"/>
            </w:pPr>
            <w:r>
              <w:t>大秦铁路</w:t>
            </w:r>
          </w:p>
        </w:tc>
      </w:tr>
      <w:tr w:rsidR="005E000F" w14:paraId="4F3CA72E" w14:textId="77777777">
        <w:trPr>
          <w:trHeight w:val="293"/>
        </w:trPr>
        <w:tc>
          <w:tcPr>
            <w:tcW w:w="3857" w:type="dxa"/>
            <w:tcBorders>
              <w:top w:val="single" w:sz="4" w:space="0" w:color="auto"/>
              <w:bottom w:val="single" w:sz="4" w:space="0" w:color="auto"/>
              <w:right w:val="single" w:sz="4" w:space="0" w:color="auto"/>
            </w:tcBorders>
            <w:vAlign w:val="center"/>
          </w:tcPr>
          <w:p w14:paraId="257B9576" w14:textId="77777777" w:rsidR="005E000F" w:rsidRDefault="00000000">
            <w:pPr>
              <w:kinsoku w:val="0"/>
              <w:overflowPunct w:val="0"/>
              <w:autoSpaceDE w:val="0"/>
              <w:autoSpaceDN w:val="0"/>
              <w:adjustRightInd w:val="0"/>
              <w:snapToGrid w:val="0"/>
            </w:pPr>
            <w:r>
              <w:t>公司的外文名称</w:t>
            </w:r>
          </w:p>
        </w:tc>
        <w:tc>
          <w:tcPr>
            <w:tcW w:w="5035" w:type="dxa"/>
            <w:tcBorders>
              <w:top w:val="single" w:sz="4" w:space="0" w:color="auto"/>
              <w:left w:val="single" w:sz="4" w:space="0" w:color="auto"/>
              <w:bottom w:val="single" w:sz="4" w:space="0" w:color="auto"/>
            </w:tcBorders>
            <w:vAlign w:val="center"/>
          </w:tcPr>
          <w:p w14:paraId="11218D76" w14:textId="77777777" w:rsidR="005E000F" w:rsidRDefault="00000000">
            <w:pPr>
              <w:kinsoku w:val="0"/>
              <w:overflowPunct w:val="0"/>
              <w:autoSpaceDE w:val="0"/>
              <w:autoSpaceDN w:val="0"/>
              <w:adjustRightInd w:val="0"/>
              <w:snapToGrid w:val="0"/>
            </w:pPr>
            <w:proofErr w:type="spellStart"/>
            <w:r>
              <w:t>Daqin</w:t>
            </w:r>
            <w:proofErr w:type="spellEnd"/>
            <w:r>
              <w:t xml:space="preserve"> Railway </w:t>
            </w:r>
            <w:proofErr w:type="spellStart"/>
            <w:proofErr w:type="gramStart"/>
            <w:r>
              <w:t>Co.,Ltd</w:t>
            </w:r>
            <w:proofErr w:type="spellEnd"/>
            <w:r>
              <w:t>.</w:t>
            </w:r>
            <w:proofErr w:type="gramEnd"/>
          </w:p>
        </w:tc>
      </w:tr>
      <w:tr w:rsidR="005E000F" w14:paraId="6E5A845A" w14:textId="77777777">
        <w:trPr>
          <w:trHeight w:val="293"/>
        </w:trPr>
        <w:tc>
          <w:tcPr>
            <w:tcW w:w="3857" w:type="dxa"/>
            <w:tcBorders>
              <w:top w:val="single" w:sz="4" w:space="0" w:color="auto"/>
              <w:bottom w:val="single" w:sz="4" w:space="0" w:color="auto"/>
              <w:right w:val="single" w:sz="4" w:space="0" w:color="auto"/>
            </w:tcBorders>
            <w:vAlign w:val="center"/>
          </w:tcPr>
          <w:p w14:paraId="64E67C35" w14:textId="77777777" w:rsidR="005E000F" w:rsidRDefault="00000000">
            <w:pPr>
              <w:kinsoku w:val="0"/>
              <w:overflowPunct w:val="0"/>
              <w:autoSpaceDE w:val="0"/>
              <w:autoSpaceDN w:val="0"/>
              <w:adjustRightInd w:val="0"/>
              <w:snapToGrid w:val="0"/>
            </w:pPr>
            <w:r>
              <w:t>公司的外文名称缩写</w:t>
            </w:r>
          </w:p>
        </w:tc>
        <w:tc>
          <w:tcPr>
            <w:tcW w:w="5035" w:type="dxa"/>
            <w:tcBorders>
              <w:top w:val="single" w:sz="4" w:space="0" w:color="auto"/>
              <w:left w:val="single" w:sz="4" w:space="0" w:color="auto"/>
              <w:bottom w:val="single" w:sz="4" w:space="0" w:color="auto"/>
            </w:tcBorders>
            <w:vAlign w:val="center"/>
          </w:tcPr>
          <w:p w14:paraId="7937D7B0" w14:textId="77777777" w:rsidR="005E000F" w:rsidRDefault="00000000">
            <w:pPr>
              <w:kinsoku w:val="0"/>
              <w:overflowPunct w:val="0"/>
              <w:autoSpaceDE w:val="0"/>
              <w:autoSpaceDN w:val="0"/>
              <w:adjustRightInd w:val="0"/>
              <w:snapToGrid w:val="0"/>
            </w:pPr>
            <w:proofErr w:type="spellStart"/>
            <w:r>
              <w:t>Daqin</w:t>
            </w:r>
            <w:proofErr w:type="spellEnd"/>
            <w:r>
              <w:t xml:space="preserve"> Railway</w:t>
            </w:r>
          </w:p>
        </w:tc>
      </w:tr>
      <w:tr w:rsidR="005E000F" w14:paraId="4F0BFFE5" w14:textId="77777777">
        <w:trPr>
          <w:trHeight w:val="293"/>
        </w:trPr>
        <w:tc>
          <w:tcPr>
            <w:tcW w:w="3857" w:type="dxa"/>
            <w:tcBorders>
              <w:top w:val="single" w:sz="4" w:space="0" w:color="auto"/>
              <w:bottom w:val="single" w:sz="4" w:space="0" w:color="auto"/>
              <w:right w:val="single" w:sz="4" w:space="0" w:color="auto"/>
            </w:tcBorders>
            <w:vAlign w:val="center"/>
          </w:tcPr>
          <w:p w14:paraId="219475FF" w14:textId="77777777" w:rsidR="005E000F" w:rsidRDefault="00000000">
            <w:pPr>
              <w:kinsoku w:val="0"/>
              <w:overflowPunct w:val="0"/>
              <w:autoSpaceDE w:val="0"/>
              <w:autoSpaceDN w:val="0"/>
              <w:adjustRightInd w:val="0"/>
              <w:snapToGrid w:val="0"/>
            </w:pPr>
            <w:r>
              <w:t>公司的法定代表人</w:t>
            </w:r>
          </w:p>
        </w:tc>
        <w:tc>
          <w:tcPr>
            <w:tcW w:w="5035" w:type="dxa"/>
            <w:tcBorders>
              <w:top w:val="single" w:sz="4" w:space="0" w:color="auto"/>
              <w:left w:val="single" w:sz="4" w:space="0" w:color="auto"/>
              <w:bottom w:val="single" w:sz="4" w:space="0" w:color="auto"/>
            </w:tcBorders>
            <w:vAlign w:val="center"/>
          </w:tcPr>
          <w:p w14:paraId="577F7082" w14:textId="77777777" w:rsidR="005E000F" w:rsidRDefault="00000000">
            <w:pPr>
              <w:kinsoku w:val="0"/>
              <w:overflowPunct w:val="0"/>
              <w:autoSpaceDE w:val="0"/>
              <w:autoSpaceDN w:val="0"/>
              <w:adjustRightInd w:val="0"/>
              <w:snapToGrid w:val="0"/>
            </w:pPr>
            <w:proofErr w:type="gramStart"/>
            <w:r>
              <w:t>陆勇</w:t>
            </w:r>
            <w:proofErr w:type="gramEnd"/>
          </w:p>
        </w:tc>
      </w:tr>
    </w:tbl>
    <w:p w14:paraId="1A64D7C6" w14:textId="77777777" w:rsidR="005E000F" w:rsidRDefault="005E000F"/>
    <w:p w14:paraId="29B689C4" w14:textId="77777777" w:rsidR="005E000F" w:rsidRDefault="00000000">
      <w:pPr>
        <w:pStyle w:val="2"/>
        <w:numPr>
          <w:ilvl w:val="1"/>
          <w:numId w:val="4"/>
        </w:numPr>
        <w:ind w:left="498" w:hangingChars="236" w:hanging="498"/>
      </w:pPr>
      <w:r>
        <w:rPr>
          <w:rFonts w:hint="eastAsia"/>
        </w:rPr>
        <w:t>联系人和联系方式</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2424"/>
        <w:gridCol w:w="3503"/>
        <w:gridCol w:w="2964"/>
      </w:tblGrid>
      <w:tr w:rsidR="005E000F" w14:paraId="295A8C53" w14:textId="77777777">
        <w:tc>
          <w:tcPr>
            <w:tcW w:w="2424" w:type="dxa"/>
            <w:tcBorders>
              <w:top w:val="single" w:sz="4" w:space="0" w:color="auto"/>
              <w:bottom w:val="single" w:sz="4" w:space="0" w:color="auto"/>
              <w:right w:val="single" w:sz="4" w:space="0" w:color="auto"/>
            </w:tcBorders>
            <w:vAlign w:val="center"/>
          </w:tcPr>
          <w:p w14:paraId="5ACFFEF1" w14:textId="77777777" w:rsidR="005E000F" w:rsidRDefault="005E000F">
            <w:pPr>
              <w:kinsoku w:val="0"/>
              <w:overflowPunct w:val="0"/>
              <w:autoSpaceDE w:val="0"/>
              <w:autoSpaceDN w:val="0"/>
              <w:adjustRightInd w:val="0"/>
              <w:snapToGrid w:val="0"/>
            </w:pPr>
            <w:bookmarkStart w:id="16" w:name="_Toc342051042"/>
            <w:bookmarkStart w:id="17" w:name="_Toc342565882"/>
            <w:bookmarkStart w:id="18" w:name="_Hlk186112521"/>
            <w:bookmarkStart w:id="19" w:name="_Hlk186115772"/>
            <w:bookmarkStart w:id="20" w:name="_Hlk186115833"/>
            <w:bookmarkEnd w:id="16"/>
            <w:bookmarkEnd w:id="17"/>
          </w:p>
        </w:tc>
        <w:tc>
          <w:tcPr>
            <w:tcW w:w="3503" w:type="dxa"/>
            <w:tcBorders>
              <w:top w:val="single" w:sz="4" w:space="0" w:color="auto"/>
              <w:left w:val="single" w:sz="4" w:space="0" w:color="auto"/>
              <w:bottom w:val="single" w:sz="4" w:space="0" w:color="auto"/>
              <w:right w:val="single" w:sz="4" w:space="0" w:color="auto"/>
            </w:tcBorders>
            <w:vAlign w:val="center"/>
          </w:tcPr>
          <w:p w14:paraId="78743C1D" w14:textId="77777777" w:rsidR="005E000F" w:rsidRDefault="00000000">
            <w:pPr>
              <w:pStyle w:val="ab"/>
              <w:kinsoku w:val="0"/>
              <w:overflowPunct w:val="0"/>
              <w:autoSpaceDE w:val="0"/>
              <w:autoSpaceDN w:val="0"/>
              <w:adjustRightInd w:val="0"/>
              <w:snapToGrid w:val="0"/>
              <w:jc w:val="center"/>
              <w:rPr>
                <w:rFonts w:ascii="宋体" w:hAnsi="宋体"/>
                <w:color w:val="008000"/>
              </w:rPr>
            </w:pPr>
            <w:sdt>
              <w:sdtPr>
                <w:tag w:val="_PLD_2c78c38f6b284d4589a2a9ae76ce4059"/>
                <w:id w:val="-194305358"/>
              </w:sdtPr>
              <w:sdtContent>
                <w:r>
                  <w:rPr>
                    <w:rFonts w:ascii="宋体" w:hAnsi="宋体" w:cs="宋体" w:hint="eastAsia"/>
                  </w:rPr>
                  <w:t>董事会秘书</w:t>
                </w:r>
              </w:sdtContent>
            </w:sdt>
          </w:p>
        </w:tc>
        <w:sdt>
          <w:sdtPr>
            <w:tag w:val="_PLD_8425474fc03f4f31a663ee46b4c6fa3a"/>
            <w:id w:val="1655026845"/>
          </w:sdtPr>
          <w:sdtContent>
            <w:tc>
              <w:tcPr>
                <w:tcW w:w="2964" w:type="dxa"/>
                <w:tcBorders>
                  <w:top w:val="single" w:sz="4" w:space="0" w:color="auto"/>
                  <w:left w:val="single" w:sz="4" w:space="0" w:color="auto"/>
                  <w:bottom w:val="single" w:sz="4" w:space="0" w:color="auto"/>
                </w:tcBorders>
                <w:vAlign w:val="center"/>
              </w:tcPr>
              <w:p w14:paraId="1E331933" w14:textId="77777777" w:rsidR="005E000F" w:rsidRDefault="00000000">
                <w:pPr>
                  <w:pStyle w:val="ab"/>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5E000F" w14:paraId="50425BE7" w14:textId="77777777">
        <w:tc>
          <w:tcPr>
            <w:tcW w:w="2424" w:type="dxa"/>
            <w:tcBorders>
              <w:top w:val="single" w:sz="4" w:space="0" w:color="auto"/>
              <w:bottom w:val="single" w:sz="4" w:space="0" w:color="auto"/>
              <w:right w:val="single" w:sz="4" w:space="0" w:color="auto"/>
            </w:tcBorders>
            <w:vAlign w:val="center"/>
          </w:tcPr>
          <w:p w14:paraId="11C61AFB" w14:textId="77777777" w:rsidR="005E000F" w:rsidRDefault="00000000">
            <w:pPr>
              <w:kinsoku w:val="0"/>
              <w:overflowPunct w:val="0"/>
              <w:autoSpaceDE w:val="0"/>
              <w:autoSpaceDN w:val="0"/>
              <w:adjustRightInd w:val="0"/>
              <w:snapToGrid w:val="0"/>
            </w:pPr>
            <w:r>
              <w:rPr>
                <w:rFonts w:hint="eastAsia"/>
              </w:rPr>
              <w:t>姓名</w:t>
            </w:r>
          </w:p>
        </w:tc>
        <w:tc>
          <w:tcPr>
            <w:tcW w:w="3503" w:type="dxa"/>
            <w:tcBorders>
              <w:top w:val="single" w:sz="4" w:space="0" w:color="auto"/>
              <w:left w:val="single" w:sz="4" w:space="0" w:color="auto"/>
              <w:bottom w:val="single" w:sz="4" w:space="0" w:color="auto"/>
              <w:right w:val="single" w:sz="4" w:space="0" w:color="auto"/>
            </w:tcBorders>
            <w:vAlign w:val="center"/>
          </w:tcPr>
          <w:p w14:paraId="7805C5F4" w14:textId="77777777" w:rsidR="005E000F" w:rsidRDefault="00000000">
            <w:pPr>
              <w:kinsoku w:val="0"/>
              <w:overflowPunct w:val="0"/>
              <w:autoSpaceDE w:val="0"/>
              <w:autoSpaceDN w:val="0"/>
              <w:adjustRightInd w:val="0"/>
              <w:snapToGrid w:val="0"/>
            </w:pPr>
            <w:r>
              <w:t>张利荣</w:t>
            </w:r>
          </w:p>
        </w:tc>
        <w:tc>
          <w:tcPr>
            <w:tcW w:w="2964" w:type="dxa"/>
            <w:tcBorders>
              <w:top w:val="single" w:sz="4" w:space="0" w:color="auto"/>
              <w:left w:val="single" w:sz="4" w:space="0" w:color="auto"/>
              <w:bottom w:val="single" w:sz="4" w:space="0" w:color="auto"/>
            </w:tcBorders>
            <w:vAlign w:val="center"/>
          </w:tcPr>
          <w:p w14:paraId="10881961" w14:textId="77777777" w:rsidR="005E000F" w:rsidRDefault="00000000">
            <w:pPr>
              <w:kinsoku w:val="0"/>
              <w:overflowPunct w:val="0"/>
              <w:autoSpaceDE w:val="0"/>
              <w:autoSpaceDN w:val="0"/>
              <w:adjustRightInd w:val="0"/>
              <w:snapToGrid w:val="0"/>
            </w:pPr>
            <w:r>
              <w:t>丁</w:t>
            </w:r>
            <w:proofErr w:type="gramStart"/>
            <w:r>
              <w:t>一</w:t>
            </w:r>
            <w:proofErr w:type="gramEnd"/>
          </w:p>
        </w:tc>
      </w:tr>
      <w:tr w:rsidR="005E000F" w14:paraId="152C1049" w14:textId="77777777">
        <w:tc>
          <w:tcPr>
            <w:tcW w:w="2424" w:type="dxa"/>
            <w:tcBorders>
              <w:top w:val="single" w:sz="4" w:space="0" w:color="auto"/>
              <w:bottom w:val="single" w:sz="4" w:space="0" w:color="auto"/>
              <w:right w:val="single" w:sz="4" w:space="0" w:color="auto"/>
            </w:tcBorders>
            <w:vAlign w:val="center"/>
          </w:tcPr>
          <w:p w14:paraId="1CCC9991" w14:textId="77777777" w:rsidR="005E000F" w:rsidRDefault="00000000">
            <w:pPr>
              <w:kinsoku w:val="0"/>
              <w:overflowPunct w:val="0"/>
              <w:autoSpaceDE w:val="0"/>
              <w:autoSpaceDN w:val="0"/>
              <w:adjustRightInd w:val="0"/>
              <w:snapToGrid w:val="0"/>
            </w:pPr>
            <w:r>
              <w:rPr>
                <w:rFonts w:hint="eastAsia"/>
              </w:rPr>
              <w:t>联系地址</w:t>
            </w:r>
          </w:p>
        </w:tc>
        <w:tc>
          <w:tcPr>
            <w:tcW w:w="3503" w:type="dxa"/>
            <w:tcBorders>
              <w:top w:val="single" w:sz="4" w:space="0" w:color="auto"/>
              <w:left w:val="single" w:sz="4" w:space="0" w:color="auto"/>
              <w:bottom w:val="single" w:sz="4" w:space="0" w:color="auto"/>
              <w:right w:val="single" w:sz="4" w:space="0" w:color="auto"/>
            </w:tcBorders>
            <w:vAlign w:val="center"/>
          </w:tcPr>
          <w:p w14:paraId="702C11AF" w14:textId="77777777" w:rsidR="005E000F" w:rsidRDefault="00000000">
            <w:pPr>
              <w:kinsoku w:val="0"/>
              <w:overflowPunct w:val="0"/>
              <w:autoSpaceDE w:val="0"/>
              <w:autoSpaceDN w:val="0"/>
              <w:adjustRightInd w:val="0"/>
              <w:snapToGrid w:val="0"/>
            </w:pPr>
            <w:r>
              <w:t>山西省太原市建设北路</w:t>
            </w:r>
            <w:r>
              <w:t>202</w:t>
            </w:r>
            <w:r>
              <w:t>号</w:t>
            </w:r>
          </w:p>
        </w:tc>
        <w:tc>
          <w:tcPr>
            <w:tcW w:w="2964" w:type="dxa"/>
            <w:tcBorders>
              <w:top w:val="single" w:sz="4" w:space="0" w:color="auto"/>
              <w:left w:val="single" w:sz="4" w:space="0" w:color="auto"/>
              <w:bottom w:val="single" w:sz="4" w:space="0" w:color="auto"/>
            </w:tcBorders>
            <w:vAlign w:val="center"/>
          </w:tcPr>
          <w:p w14:paraId="65AF67C0" w14:textId="77777777" w:rsidR="005E000F" w:rsidRDefault="00000000">
            <w:pPr>
              <w:kinsoku w:val="0"/>
              <w:overflowPunct w:val="0"/>
              <w:autoSpaceDE w:val="0"/>
              <w:autoSpaceDN w:val="0"/>
              <w:adjustRightInd w:val="0"/>
              <w:snapToGrid w:val="0"/>
            </w:pPr>
            <w:r>
              <w:t>山西省太原市建设北路</w:t>
            </w:r>
            <w:r>
              <w:t>202</w:t>
            </w:r>
            <w:r>
              <w:t>号</w:t>
            </w:r>
          </w:p>
        </w:tc>
      </w:tr>
      <w:tr w:rsidR="005E000F" w14:paraId="5FABA504" w14:textId="77777777">
        <w:tc>
          <w:tcPr>
            <w:tcW w:w="2424" w:type="dxa"/>
            <w:tcBorders>
              <w:top w:val="single" w:sz="4" w:space="0" w:color="auto"/>
              <w:bottom w:val="single" w:sz="4" w:space="0" w:color="auto"/>
              <w:right w:val="single" w:sz="4" w:space="0" w:color="auto"/>
            </w:tcBorders>
            <w:vAlign w:val="center"/>
          </w:tcPr>
          <w:p w14:paraId="56798AB3" w14:textId="77777777" w:rsidR="005E000F" w:rsidRDefault="00000000">
            <w:pPr>
              <w:kinsoku w:val="0"/>
              <w:overflowPunct w:val="0"/>
              <w:autoSpaceDE w:val="0"/>
              <w:autoSpaceDN w:val="0"/>
              <w:adjustRightInd w:val="0"/>
              <w:snapToGrid w:val="0"/>
            </w:pPr>
            <w:r>
              <w:t>电话</w:t>
            </w:r>
          </w:p>
        </w:tc>
        <w:tc>
          <w:tcPr>
            <w:tcW w:w="3503" w:type="dxa"/>
            <w:tcBorders>
              <w:top w:val="single" w:sz="4" w:space="0" w:color="auto"/>
              <w:left w:val="single" w:sz="4" w:space="0" w:color="auto"/>
              <w:bottom w:val="single" w:sz="4" w:space="0" w:color="auto"/>
              <w:right w:val="single" w:sz="4" w:space="0" w:color="auto"/>
            </w:tcBorders>
            <w:vAlign w:val="center"/>
          </w:tcPr>
          <w:p w14:paraId="0FCAC820" w14:textId="77777777" w:rsidR="005E000F" w:rsidRDefault="00000000">
            <w:pPr>
              <w:kinsoku w:val="0"/>
              <w:overflowPunct w:val="0"/>
              <w:autoSpaceDE w:val="0"/>
              <w:autoSpaceDN w:val="0"/>
              <w:adjustRightInd w:val="0"/>
              <w:snapToGrid w:val="0"/>
            </w:pPr>
            <w:r>
              <w:t>0351-2620620</w:t>
            </w:r>
          </w:p>
        </w:tc>
        <w:tc>
          <w:tcPr>
            <w:tcW w:w="2964" w:type="dxa"/>
            <w:tcBorders>
              <w:top w:val="single" w:sz="4" w:space="0" w:color="auto"/>
              <w:left w:val="single" w:sz="4" w:space="0" w:color="auto"/>
              <w:bottom w:val="single" w:sz="4" w:space="0" w:color="auto"/>
            </w:tcBorders>
            <w:vAlign w:val="center"/>
          </w:tcPr>
          <w:p w14:paraId="716C37F5" w14:textId="77777777" w:rsidR="005E000F" w:rsidRDefault="00000000">
            <w:pPr>
              <w:kinsoku w:val="0"/>
              <w:overflowPunct w:val="0"/>
              <w:autoSpaceDE w:val="0"/>
              <w:autoSpaceDN w:val="0"/>
              <w:adjustRightInd w:val="0"/>
              <w:snapToGrid w:val="0"/>
            </w:pPr>
            <w:r>
              <w:t>0351-2620620</w:t>
            </w:r>
          </w:p>
        </w:tc>
      </w:tr>
      <w:tr w:rsidR="005E000F" w14:paraId="1E0C5E3B" w14:textId="77777777">
        <w:tc>
          <w:tcPr>
            <w:tcW w:w="2424" w:type="dxa"/>
            <w:tcBorders>
              <w:top w:val="single" w:sz="4" w:space="0" w:color="auto"/>
              <w:bottom w:val="single" w:sz="4" w:space="0" w:color="auto"/>
              <w:right w:val="single" w:sz="4" w:space="0" w:color="auto"/>
            </w:tcBorders>
            <w:vAlign w:val="center"/>
          </w:tcPr>
          <w:p w14:paraId="56E683C3" w14:textId="77777777" w:rsidR="005E000F" w:rsidRDefault="00000000">
            <w:pPr>
              <w:kinsoku w:val="0"/>
              <w:overflowPunct w:val="0"/>
              <w:autoSpaceDE w:val="0"/>
              <w:autoSpaceDN w:val="0"/>
              <w:adjustRightInd w:val="0"/>
              <w:snapToGrid w:val="0"/>
            </w:pPr>
            <w:r>
              <w:t>传真</w:t>
            </w:r>
          </w:p>
        </w:tc>
        <w:tc>
          <w:tcPr>
            <w:tcW w:w="3503" w:type="dxa"/>
            <w:tcBorders>
              <w:top w:val="single" w:sz="4" w:space="0" w:color="auto"/>
              <w:left w:val="single" w:sz="4" w:space="0" w:color="auto"/>
              <w:bottom w:val="single" w:sz="4" w:space="0" w:color="auto"/>
              <w:right w:val="single" w:sz="4" w:space="0" w:color="auto"/>
            </w:tcBorders>
            <w:vAlign w:val="center"/>
          </w:tcPr>
          <w:p w14:paraId="6459AC99" w14:textId="77777777" w:rsidR="005E000F" w:rsidRDefault="00000000">
            <w:pPr>
              <w:kinsoku w:val="0"/>
              <w:overflowPunct w:val="0"/>
              <w:autoSpaceDE w:val="0"/>
              <w:autoSpaceDN w:val="0"/>
              <w:adjustRightInd w:val="0"/>
              <w:snapToGrid w:val="0"/>
            </w:pPr>
            <w:r>
              <w:t>0351-2620604</w:t>
            </w:r>
          </w:p>
        </w:tc>
        <w:tc>
          <w:tcPr>
            <w:tcW w:w="2964" w:type="dxa"/>
            <w:tcBorders>
              <w:top w:val="single" w:sz="4" w:space="0" w:color="auto"/>
              <w:left w:val="single" w:sz="4" w:space="0" w:color="auto"/>
              <w:bottom w:val="single" w:sz="4" w:space="0" w:color="auto"/>
            </w:tcBorders>
            <w:vAlign w:val="center"/>
          </w:tcPr>
          <w:p w14:paraId="5F3F64D6" w14:textId="77777777" w:rsidR="005E000F" w:rsidRDefault="00000000">
            <w:pPr>
              <w:kinsoku w:val="0"/>
              <w:overflowPunct w:val="0"/>
              <w:autoSpaceDE w:val="0"/>
              <w:autoSpaceDN w:val="0"/>
              <w:adjustRightInd w:val="0"/>
              <w:snapToGrid w:val="0"/>
            </w:pPr>
            <w:r>
              <w:t>0351-2620604</w:t>
            </w:r>
          </w:p>
        </w:tc>
      </w:tr>
      <w:tr w:rsidR="005E000F" w14:paraId="62014043" w14:textId="77777777">
        <w:tc>
          <w:tcPr>
            <w:tcW w:w="2424" w:type="dxa"/>
            <w:tcBorders>
              <w:top w:val="single" w:sz="4" w:space="0" w:color="auto"/>
              <w:bottom w:val="single" w:sz="4" w:space="0" w:color="auto"/>
              <w:right w:val="single" w:sz="4" w:space="0" w:color="auto"/>
            </w:tcBorders>
            <w:vAlign w:val="center"/>
          </w:tcPr>
          <w:p w14:paraId="5B87B3E8" w14:textId="77777777" w:rsidR="005E000F" w:rsidRDefault="00000000">
            <w:pPr>
              <w:kinsoku w:val="0"/>
              <w:overflowPunct w:val="0"/>
              <w:autoSpaceDE w:val="0"/>
              <w:autoSpaceDN w:val="0"/>
              <w:adjustRightInd w:val="0"/>
              <w:snapToGrid w:val="0"/>
            </w:pPr>
            <w:r>
              <w:t>电子信箱</w:t>
            </w:r>
          </w:p>
        </w:tc>
        <w:tc>
          <w:tcPr>
            <w:tcW w:w="3503" w:type="dxa"/>
            <w:tcBorders>
              <w:top w:val="single" w:sz="4" w:space="0" w:color="auto"/>
              <w:left w:val="single" w:sz="4" w:space="0" w:color="auto"/>
              <w:bottom w:val="single" w:sz="4" w:space="0" w:color="auto"/>
              <w:right w:val="single" w:sz="4" w:space="0" w:color="auto"/>
            </w:tcBorders>
            <w:vAlign w:val="center"/>
          </w:tcPr>
          <w:p w14:paraId="000DA726" w14:textId="77777777" w:rsidR="005E000F" w:rsidRDefault="00000000">
            <w:pPr>
              <w:kinsoku w:val="0"/>
              <w:overflowPunct w:val="0"/>
              <w:autoSpaceDE w:val="0"/>
              <w:autoSpaceDN w:val="0"/>
              <w:adjustRightInd w:val="0"/>
              <w:snapToGrid w:val="0"/>
            </w:pPr>
            <w:r>
              <w:t>dqtl@daqintielu.com</w:t>
            </w:r>
          </w:p>
        </w:tc>
        <w:tc>
          <w:tcPr>
            <w:tcW w:w="2964" w:type="dxa"/>
            <w:tcBorders>
              <w:top w:val="single" w:sz="4" w:space="0" w:color="auto"/>
              <w:left w:val="single" w:sz="4" w:space="0" w:color="auto"/>
              <w:bottom w:val="single" w:sz="4" w:space="0" w:color="auto"/>
            </w:tcBorders>
            <w:vAlign w:val="center"/>
          </w:tcPr>
          <w:p w14:paraId="26D20472" w14:textId="77777777" w:rsidR="005E000F" w:rsidRDefault="00000000">
            <w:pPr>
              <w:kinsoku w:val="0"/>
              <w:overflowPunct w:val="0"/>
              <w:autoSpaceDE w:val="0"/>
              <w:autoSpaceDN w:val="0"/>
              <w:adjustRightInd w:val="0"/>
              <w:snapToGrid w:val="0"/>
            </w:pPr>
            <w:r>
              <w:t>dqtl@daqintielu.com</w:t>
            </w:r>
          </w:p>
        </w:tc>
      </w:tr>
    </w:tbl>
    <w:p w14:paraId="650B3051" w14:textId="77777777" w:rsidR="005E000F" w:rsidRDefault="005E000F"/>
    <w:bookmarkEnd w:id="18"/>
    <w:bookmarkEnd w:id="19"/>
    <w:bookmarkEnd w:id="20"/>
    <w:p w14:paraId="7949756E" w14:textId="77777777" w:rsidR="005E000F" w:rsidRDefault="00000000">
      <w:pPr>
        <w:pStyle w:val="2"/>
        <w:numPr>
          <w:ilvl w:val="1"/>
          <w:numId w:val="4"/>
        </w:numPr>
        <w:ind w:left="498" w:hangingChars="236" w:hanging="498"/>
        <w:rPr>
          <w:rFonts w:ascii="宋体" w:hAnsi="宋体"/>
        </w:rPr>
      </w:pPr>
      <w:r>
        <w:t>基本情况</w:t>
      </w:r>
      <w:r>
        <w:rPr>
          <w:rFonts w:hint="eastAsia"/>
        </w:rPr>
        <w:t>简介</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3857"/>
        <w:gridCol w:w="5035"/>
      </w:tblGrid>
      <w:tr w:rsidR="005E000F" w14:paraId="388683E7" w14:textId="77777777">
        <w:trPr>
          <w:trHeight w:val="293"/>
        </w:trPr>
        <w:sdt>
          <w:sdtPr>
            <w:tag w:val="_PLD_65800154c9f246eeaabfb6d49f89b105"/>
            <w:id w:val="1414287025"/>
          </w:sdtPr>
          <w:sdtContent>
            <w:tc>
              <w:tcPr>
                <w:tcW w:w="3857" w:type="dxa"/>
                <w:tcBorders>
                  <w:top w:val="single" w:sz="4" w:space="0" w:color="auto"/>
                  <w:bottom w:val="single" w:sz="4" w:space="0" w:color="auto"/>
                  <w:right w:val="single" w:sz="4" w:space="0" w:color="auto"/>
                </w:tcBorders>
                <w:vAlign w:val="center"/>
              </w:tcPr>
              <w:p w14:paraId="122AED48" w14:textId="77777777" w:rsidR="005E000F" w:rsidRDefault="00000000">
                <w:pPr>
                  <w:kinsoku w:val="0"/>
                  <w:overflowPunct w:val="0"/>
                  <w:autoSpaceDE w:val="0"/>
                  <w:autoSpaceDN w:val="0"/>
                  <w:adjustRightInd w:val="0"/>
                  <w:snapToGrid w:val="0"/>
                </w:pPr>
                <w:r>
                  <w:t>公司注册地址</w:t>
                </w:r>
              </w:p>
            </w:tc>
          </w:sdtContent>
        </w:sdt>
        <w:sdt>
          <w:sdtPr>
            <w:alias w:val="公司注册地址"/>
            <w:tag w:val="_GBC_89833c4f8593417f8d5751e5d0001721"/>
            <w:id w:val="1056129498"/>
          </w:sdtPr>
          <w:sdtContent>
            <w:tc>
              <w:tcPr>
                <w:tcW w:w="5035" w:type="dxa"/>
                <w:tcBorders>
                  <w:top w:val="single" w:sz="4" w:space="0" w:color="auto"/>
                  <w:left w:val="single" w:sz="4" w:space="0" w:color="auto"/>
                  <w:bottom w:val="single" w:sz="4" w:space="0" w:color="auto"/>
                </w:tcBorders>
                <w:vAlign w:val="center"/>
              </w:tcPr>
              <w:p w14:paraId="13DDA16D" w14:textId="77777777" w:rsidR="005E000F" w:rsidRDefault="00000000">
                <w:pPr>
                  <w:kinsoku w:val="0"/>
                  <w:overflowPunct w:val="0"/>
                  <w:autoSpaceDE w:val="0"/>
                  <w:autoSpaceDN w:val="0"/>
                  <w:adjustRightInd w:val="0"/>
                  <w:snapToGrid w:val="0"/>
                </w:pPr>
                <w:r>
                  <w:rPr>
                    <w:rFonts w:hint="eastAsia"/>
                  </w:rPr>
                  <w:t>山西省大同市平城区站北街</w:t>
                </w:r>
                <w:r>
                  <w:rPr>
                    <w:rFonts w:hint="eastAsia"/>
                  </w:rPr>
                  <w:t>14</w:t>
                </w:r>
                <w:r>
                  <w:rPr>
                    <w:rFonts w:hint="eastAsia"/>
                  </w:rPr>
                  <w:t>号</w:t>
                </w:r>
              </w:p>
            </w:tc>
          </w:sdtContent>
        </w:sdt>
      </w:tr>
      <w:tr w:rsidR="005E000F" w14:paraId="0F909C18" w14:textId="77777777">
        <w:trPr>
          <w:trHeight w:val="293"/>
        </w:trPr>
        <w:tc>
          <w:tcPr>
            <w:tcW w:w="3857" w:type="dxa"/>
            <w:tcBorders>
              <w:top w:val="single" w:sz="4" w:space="0" w:color="auto"/>
              <w:bottom w:val="single" w:sz="4" w:space="0" w:color="auto"/>
              <w:right w:val="single" w:sz="4" w:space="0" w:color="auto"/>
            </w:tcBorders>
            <w:vAlign w:val="center"/>
          </w:tcPr>
          <w:p w14:paraId="1B7EFC54" w14:textId="77777777" w:rsidR="005E000F" w:rsidRDefault="00000000">
            <w:pPr>
              <w:kinsoku w:val="0"/>
              <w:overflowPunct w:val="0"/>
              <w:autoSpaceDE w:val="0"/>
              <w:autoSpaceDN w:val="0"/>
              <w:adjustRightInd w:val="0"/>
              <w:snapToGrid w:val="0"/>
            </w:pPr>
            <w:r>
              <w:rPr>
                <w:rFonts w:hint="eastAsia"/>
              </w:rPr>
              <w:t>公司注册地址的历史变更情况</w:t>
            </w:r>
          </w:p>
        </w:tc>
        <w:tc>
          <w:tcPr>
            <w:tcW w:w="5035" w:type="dxa"/>
            <w:tcBorders>
              <w:top w:val="single" w:sz="4" w:space="0" w:color="auto"/>
              <w:left w:val="single" w:sz="4" w:space="0" w:color="auto"/>
              <w:bottom w:val="single" w:sz="4" w:space="0" w:color="auto"/>
            </w:tcBorders>
            <w:vAlign w:val="center"/>
          </w:tcPr>
          <w:p w14:paraId="71A2D9F6" w14:textId="77777777" w:rsidR="005E000F" w:rsidRDefault="00000000">
            <w:pPr>
              <w:kinsoku w:val="0"/>
              <w:overflowPunct w:val="0"/>
              <w:autoSpaceDE w:val="0"/>
              <w:autoSpaceDN w:val="0"/>
              <w:adjustRightInd w:val="0"/>
              <w:snapToGrid w:val="0"/>
            </w:pPr>
            <w:r>
              <w:rPr>
                <w:rFonts w:hint="eastAsia"/>
              </w:rPr>
              <w:t>无变更</w:t>
            </w:r>
          </w:p>
        </w:tc>
      </w:tr>
      <w:tr w:rsidR="005E000F" w14:paraId="46B13583" w14:textId="77777777">
        <w:trPr>
          <w:trHeight w:val="293"/>
        </w:trPr>
        <w:tc>
          <w:tcPr>
            <w:tcW w:w="3857" w:type="dxa"/>
            <w:tcBorders>
              <w:top w:val="single" w:sz="4" w:space="0" w:color="auto"/>
              <w:bottom w:val="single" w:sz="4" w:space="0" w:color="auto"/>
              <w:right w:val="single" w:sz="4" w:space="0" w:color="auto"/>
            </w:tcBorders>
            <w:vAlign w:val="center"/>
          </w:tcPr>
          <w:p w14:paraId="39C10396" w14:textId="77777777" w:rsidR="005E000F" w:rsidRDefault="00000000">
            <w:pPr>
              <w:kinsoku w:val="0"/>
              <w:overflowPunct w:val="0"/>
              <w:autoSpaceDE w:val="0"/>
              <w:autoSpaceDN w:val="0"/>
              <w:adjustRightInd w:val="0"/>
              <w:snapToGrid w:val="0"/>
            </w:pPr>
            <w:r>
              <w:t>公司办公地址</w:t>
            </w:r>
          </w:p>
        </w:tc>
        <w:tc>
          <w:tcPr>
            <w:tcW w:w="5035" w:type="dxa"/>
            <w:tcBorders>
              <w:top w:val="single" w:sz="4" w:space="0" w:color="auto"/>
              <w:left w:val="single" w:sz="4" w:space="0" w:color="auto"/>
              <w:bottom w:val="single" w:sz="4" w:space="0" w:color="auto"/>
            </w:tcBorders>
            <w:vAlign w:val="center"/>
          </w:tcPr>
          <w:p w14:paraId="3CB3542E" w14:textId="77777777" w:rsidR="005E000F" w:rsidRDefault="00000000">
            <w:pPr>
              <w:kinsoku w:val="0"/>
              <w:overflowPunct w:val="0"/>
              <w:autoSpaceDE w:val="0"/>
              <w:autoSpaceDN w:val="0"/>
              <w:adjustRightInd w:val="0"/>
              <w:snapToGrid w:val="0"/>
            </w:pPr>
            <w:r>
              <w:t>山西省太原市建设北路</w:t>
            </w:r>
            <w:r>
              <w:t>202</w:t>
            </w:r>
            <w:r>
              <w:t>号</w:t>
            </w:r>
            <w:r>
              <w:rPr>
                <w:rFonts w:hint="eastAsia"/>
              </w:rPr>
              <w:t xml:space="preserve">                     </w:t>
            </w:r>
            <w:r>
              <w:t>山西省大同市平城区站北街</w:t>
            </w:r>
            <w:r>
              <w:t>14</w:t>
            </w:r>
            <w:r>
              <w:t>号</w:t>
            </w:r>
          </w:p>
        </w:tc>
      </w:tr>
      <w:tr w:rsidR="005E000F" w14:paraId="6BFA2D12" w14:textId="77777777">
        <w:trPr>
          <w:trHeight w:val="293"/>
        </w:trPr>
        <w:tc>
          <w:tcPr>
            <w:tcW w:w="3857" w:type="dxa"/>
            <w:tcBorders>
              <w:top w:val="single" w:sz="4" w:space="0" w:color="auto"/>
              <w:bottom w:val="single" w:sz="4" w:space="0" w:color="auto"/>
              <w:right w:val="single" w:sz="4" w:space="0" w:color="auto"/>
            </w:tcBorders>
            <w:vAlign w:val="center"/>
          </w:tcPr>
          <w:p w14:paraId="175EC366" w14:textId="77777777" w:rsidR="005E000F" w:rsidRDefault="00000000">
            <w:pPr>
              <w:kinsoku w:val="0"/>
              <w:overflowPunct w:val="0"/>
              <w:autoSpaceDE w:val="0"/>
              <w:autoSpaceDN w:val="0"/>
              <w:adjustRightInd w:val="0"/>
              <w:snapToGrid w:val="0"/>
            </w:pPr>
            <w:r>
              <w:t>公司办公地址的邮政编码</w:t>
            </w:r>
          </w:p>
        </w:tc>
        <w:tc>
          <w:tcPr>
            <w:tcW w:w="5035" w:type="dxa"/>
            <w:tcBorders>
              <w:top w:val="single" w:sz="4" w:space="0" w:color="auto"/>
              <w:left w:val="single" w:sz="4" w:space="0" w:color="auto"/>
              <w:bottom w:val="single" w:sz="4" w:space="0" w:color="auto"/>
            </w:tcBorders>
            <w:vAlign w:val="center"/>
          </w:tcPr>
          <w:p w14:paraId="297AED9B" w14:textId="77777777" w:rsidR="005E000F" w:rsidRDefault="00000000">
            <w:pPr>
              <w:kinsoku w:val="0"/>
              <w:overflowPunct w:val="0"/>
              <w:autoSpaceDE w:val="0"/>
              <w:autoSpaceDN w:val="0"/>
              <w:adjustRightInd w:val="0"/>
              <w:snapToGrid w:val="0"/>
            </w:pPr>
            <w:r>
              <w:t>030013</w:t>
            </w:r>
            <w:r>
              <w:t>（太原）</w:t>
            </w:r>
            <w:r>
              <w:t>  037005</w:t>
            </w:r>
            <w:r>
              <w:t>（大同）</w:t>
            </w:r>
          </w:p>
        </w:tc>
      </w:tr>
      <w:tr w:rsidR="005E000F" w14:paraId="605E5D15" w14:textId="77777777">
        <w:trPr>
          <w:trHeight w:val="293"/>
        </w:trPr>
        <w:tc>
          <w:tcPr>
            <w:tcW w:w="3857" w:type="dxa"/>
            <w:tcBorders>
              <w:top w:val="single" w:sz="4" w:space="0" w:color="auto"/>
              <w:bottom w:val="single" w:sz="4" w:space="0" w:color="auto"/>
              <w:right w:val="single" w:sz="4" w:space="0" w:color="auto"/>
            </w:tcBorders>
            <w:vAlign w:val="center"/>
          </w:tcPr>
          <w:p w14:paraId="779FFC9A" w14:textId="77777777" w:rsidR="005E000F" w:rsidRDefault="00000000">
            <w:pPr>
              <w:kinsoku w:val="0"/>
              <w:overflowPunct w:val="0"/>
              <w:autoSpaceDE w:val="0"/>
              <w:autoSpaceDN w:val="0"/>
              <w:adjustRightInd w:val="0"/>
              <w:snapToGrid w:val="0"/>
            </w:pPr>
            <w:r>
              <w:lastRenderedPageBreak/>
              <w:t>公司网址</w:t>
            </w:r>
          </w:p>
        </w:tc>
        <w:tc>
          <w:tcPr>
            <w:tcW w:w="5035" w:type="dxa"/>
            <w:tcBorders>
              <w:top w:val="single" w:sz="4" w:space="0" w:color="auto"/>
              <w:left w:val="single" w:sz="4" w:space="0" w:color="auto"/>
              <w:bottom w:val="single" w:sz="4" w:space="0" w:color="auto"/>
            </w:tcBorders>
            <w:vAlign w:val="center"/>
          </w:tcPr>
          <w:p w14:paraId="4FAAA3E5" w14:textId="77777777" w:rsidR="005E000F" w:rsidRDefault="00000000">
            <w:pPr>
              <w:kinsoku w:val="0"/>
              <w:overflowPunct w:val="0"/>
              <w:autoSpaceDE w:val="0"/>
              <w:autoSpaceDN w:val="0"/>
              <w:adjustRightInd w:val="0"/>
              <w:snapToGrid w:val="0"/>
            </w:pPr>
            <w:r>
              <w:t>http</w:t>
            </w:r>
            <w:r>
              <w:rPr>
                <w:rFonts w:hint="eastAsia"/>
              </w:rPr>
              <w:t>:</w:t>
            </w:r>
            <w:r>
              <w:t>//www.daqintielu.com</w:t>
            </w:r>
          </w:p>
        </w:tc>
      </w:tr>
      <w:tr w:rsidR="005E000F" w14:paraId="4786B860" w14:textId="77777777">
        <w:trPr>
          <w:trHeight w:val="293"/>
        </w:trPr>
        <w:tc>
          <w:tcPr>
            <w:tcW w:w="3857" w:type="dxa"/>
            <w:tcBorders>
              <w:top w:val="single" w:sz="4" w:space="0" w:color="auto"/>
              <w:bottom w:val="single" w:sz="4" w:space="0" w:color="auto"/>
              <w:right w:val="single" w:sz="4" w:space="0" w:color="auto"/>
            </w:tcBorders>
            <w:vAlign w:val="center"/>
          </w:tcPr>
          <w:p w14:paraId="1F25E71E" w14:textId="77777777" w:rsidR="005E000F" w:rsidRDefault="00000000">
            <w:pPr>
              <w:kinsoku w:val="0"/>
              <w:overflowPunct w:val="0"/>
              <w:autoSpaceDE w:val="0"/>
              <w:autoSpaceDN w:val="0"/>
              <w:adjustRightInd w:val="0"/>
              <w:snapToGrid w:val="0"/>
            </w:pPr>
            <w:r>
              <w:t>电子信箱</w:t>
            </w:r>
          </w:p>
        </w:tc>
        <w:tc>
          <w:tcPr>
            <w:tcW w:w="5035" w:type="dxa"/>
            <w:tcBorders>
              <w:top w:val="single" w:sz="4" w:space="0" w:color="auto"/>
              <w:left w:val="single" w:sz="4" w:space="0" w:color="auto"/>
              <w:bottom w:val="single" w:sz="4" w:space="0" w:color="auto"/>
            </w:tcBorders>
            <w:vAlign w:val="center"/>
          </w:tcPr>
          <w:p w14:paraId="0C202060" w14:textId="77777777" w:rsidR="005E000F" w:rsidRDefault="00000000">
            <w:pPr>
              <w:kinsoku w:val="0"/>
              <w:overflowPunct w:val="0"/>
              <w:autoSpaceDE w:val="0"/>
              <w:autoSpaceDN w:val="0"/>
              <w:adjustRightInd w:val="0"/>
              <w:snapToGrid w:val="0"/>
            </w:pPr>
            <w:r>
              <w:t>dqtl@daqintielu.com</w:t>
            </w:r>
          </w:p>
        </w:tc>
      </w:tr>
    </w:tbl>
    <w:p w14:paraId="165C08E1" w14:textId="77777777" w:rsidR="005E000F" w:rsidRDefault="005E000F"/>
    <w:p w14:paraId="63CD5695" w14:textId="77777777" w:rsidR="005E000F" w:rsidRDefault="00000000">
      <w:pPr>
        <w:pStyle w:val="2"/>
        <w:numPr>
          <w:ilvl w:val="1"/>
          <w:numId w:val="4"/>
        </w:numPr>
        <w:ind w:left="498" w:hangingChars="236" w:hanging="498"/>
        <w:rPr>
          <w:rFonts w:ascii="宋体" w:hAnsi="宋体"/>
        </w:rPr>
      </w:pPr>
      <w:r>
        <w:t>信息披露及备置地点</w:t>
      </w:r>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4140"/>
        <w:gridCol w:w="4752"/>
      </w:tblGrid>
      <w:tr w:rsidR="005E000F" w14:paraId="4BEA25B6" w14:textId="77777777">
        <w:trPr>
          <w:trHeight w:val="293"/>
        </w:trPr>
        <w:sdt>
          <w:sdtPr>
            <w:tag w:val="_PLD_bbba55a3ebda46da946a09caf15c63b6"/>
            <w:id w:val="-1700457739"/>
          </w:sdtPr>
          <w:sdtContent>
            <w:tc>
              <w:tcPr>
                <w:tcW w:w="4140" w:type="dxa"/>
                <w:tcBorders>
                  <w:top w:val="single" w:sz="4" w:space="0" w:color="auto"/>
                  <w:bottom w:val="single" w:sz="4" w:space="0" w:color="auto"/>
                  <w:right w:val="single" w:sz="4" w:space="0" w:color="auto"/>
                </w:tcBorders>
                <w:vAlign w:val="center"/>
              </w:tcPr>
              <w:p w14:paraId="577F90D5" w14:textId="77777777" w:rsidR="005E000F" w:rsidRDefault="00000000">
                <w:pPr>
                  <w:kinsoku w:val="0"/>
                  <w:overflowPunct w:val="0"/>
                  <w:autoSpaceDE w:val="0"/>
                  <w:autoSpaceDN w:val="0"/>
                  <w:adjustRightInd w:val="0"/>
                  <w:snapToGrid w:val="0"/>
                </w:pPr>
                <w:r>
                  <w:t>公司</w:t>
                </w:r>
                <w:r>
                  <w:rPr>
                    <w:rFonts w:hint="eastAsia"/>
                  </w:rPr>
                  <w:t>披露年度报告的媒体</w:t>
                </w:r>
                <w:r>
                  <w:t>名称</w:t>
                </w:r>
                <w:r>
                  <w:rPr>
                    <w:rFonts w:hint="eastAsia"/>
                  </w:rPr>
                  <w:t>及网址</w:t>
                </w:r>
              </w:p>
            </w:tc>
          </w:sdtContent>
        </w:sdt>
        <w:tc>
          <w:tcPr>
            <w:tcW w:w="4752" w:type="dxa"/>
            <w:tcBorders>
              <w:top w:val="single" w:sz="4" w:space="0" w:color="auto"/>
              <w:left w:val="single" w:sz="4" w:space="0" w:color="auto"/>
              <w:bottom w:val="single" w:sz="4" w:space="0" w:color="auto"/>
            </w:tcBorders>
            <w:vAlign w:val="center"/>
          </w:tcPr>
          <w:p w14:paraId="53E41B23" w14:textId="77777777" w:rsidR="005E000F" w:rsidRDefault="00000000">
            <w:pPr>
              <w:kinsoku w:val="0"/>
              <w:overflowPunct w:val="0"/>
              <w:autoSpaceDE w:val="0"/>
              <w:autoSpaceDN w:val="0"/>
              <w:adjustRightInd w:val="0"/>
              <w:snapToGrid w:val="0"/>
            </w:pPr>
            <w:r>
              <w:t>《上海证券报》（</w:t>
            </w:r>
            <w:r>
              <w:fldChar w:fldCharType="begin"/>
            </w:r>
            <w:r>
              <w:instrText>HYPERLINK "https://www.cnstock.com/"</w:instrText>
            </w:r>
            <w:r>
              <w:fldChar w:fldCharType="separate"/>
            </w:r>
            <w:r>
              <w:t>https://www.cnstock.com/</w:t>
            </w:r>
            <w:r>
              <w:fldChar w:fldCharType="end"/>
            </w:r>
            <w:r>
              <w:t>）</w:t>
            </w:r>
            <w:r>
              <w:rPr>
                <w:rFonts w:hint="eastAsia"/>
              </w:rPr>
              <w:t xml:space="preserve">       </w:t>
            </w:r>
            <w:r>
              <w:t>《中国证券报》（</w:t>
            </w:r>
            <w:r>
              <w:fldChar w:fldCharType="begin"/>
            </w:r>
            <w:r>
              <w:instrText xml:space="preserve"> HYPERLINK "https://www.cs.com.cn/" </w:instrText>
            </w:r>
            <w:r>
              <w:fldChar w:fldCharType="separate"/>
            </w:r>
            <w:r>
              <w:t>https://www.cs.com.cn/</w:t>
            </w:r>
            <w:r>
              <w:fldChar w:fldCharType="end"/>
            </w:r>
            <w:r>
              <w:t>）</w:t>
            </w:r>
          </w:p>
          <w:p w14:paraId="70F1ECCC" w14:textId="77777777" w:rsidR="005E000F" w:rsidRDefault="00000000">
            <w:pPr>
              <w:kinsoku w:val="0"/>
              <w:overflowPunct w:val="0"/>
              <w:autoSpaceDE w:val="0"/>
              <w:autoSpaceDN w:val="0"/>
              <w:adjustRightInd w:val="0"/>
              <w:snapToGrid w:val="0"/>
            </w:pPr>
            <w:r>
              <w:t>《证券时报》</w:t>
            </w:r>
            <w:r>
              <w:rPr>
                <w:rFonts w:hint="eastAsia"/>
              </w:rPr>
              <w:t>（</w:t>
            </w:r>
            <w:r>
              <w:t>https://www.stcn.com/</w:t>
            </w:r>
            <w:r>
              <w:rPr>
                <w:rFonts w:hint="eastAsia"/>
              </w:rPr>
              <w:t>）</w:t>
            </w:r>
          </w:p>
          <w:p w14:paraId="0C163B35" w14:textId="77777777" w:rsidR="005E000F" w:rsidRDefault="00000000">
            <w:pPr>
              <w:kinsoku w:val="0"/>
              <w:overflowPunct w:val="0"/>
              <w:autoSpaceDE w:val="0"/>
              <w:autoSpaceDN w:val="0"/>
              <w:adjustRightInd w:val="0"/>
              <w:snapToGrid w:val="0"/>
            </w:pPr>
            <w:r>
              <w:t>《证券日报》</w:t>
            </w:r>
            <w:r>
              <w:rPr>
                <w:rFonts w:hint="eastAsia"/>
              </w:rPr>
              <w:t>（</w:t>
            </w:r>
            <w:r>
              <w:t>http://www.zqrb.cn/</w:t>
            </w:r>
            <w:r>
              <w:rPr>
                <w:rFonts w:hint="eastAsia"/>
              </w:rPr>
              <w:t>）</w:t>
            </w:r>
          </w:p>
        </w:tc>
      </w:tr>
      <w:tr w:rsidR="005E000F" w14:paraId="4FD5E6FE" w14:textId="77777777">
        <w:trPr>
          <w:trHeight w:val="293"/>
        </w:trPr>
        <w:tc>
          <w:tcPr>
            <w:tcW w:w="4140" w:type="dxa"/>
            <w:tcBorders>
              <w:top w:val="single" w:sz="4" w:space="0" w:color="auto"/>
              <w:bottom w:val="single" w:sz="4" w:space="0" w:color="auto"/>
              <w:right w:val="single" w:sz="4" w:space="0" w:color="auto"/>
            </w:tcBorders>
            <w:vAlign w:val="center"/>
          </w:tcPr>
          <w:p w14:paraId="70B59F91" w14:textId="77777777" w:rsidR="005E000F" w:rsidRDefault="00000000">
            <w:pPr>
              <w:kinsoku w:val="0"/>
              <w:overflowPunct w:val="0"/>
              <w:autoSpaceDE w:val="0"/>
              <w:autoSpaceDN w:val="0"/>
              <w:adjustRightInd w:val="0"/>
              <w:snapToGrid w:val="0"/>
            </w:pPr>
            <w:r>
              <w:rPr>
                <w:rFonts w:hint="eastAsia"/>
              </w:rPr>
              <w:t>公司披露年度报告的证券交易所</w:t>
            </w:r>
            <w:r>
              <w:t>网址</w:t>
            </w:r>
          </w:p>
        </w:tc>
        <w:tc>
          <w:tcPr>
            <w:tcW w:w="4752" w:type="dxa"/>
            <w:tcBorders>
              <w:top w:val="single" w:sz="4" w:space="0" w:color="auto"/>
              <w:left w:val="single" w:sz="4" w:space="0" w:color="auto"/>
              <w:bottom w:val="single" w:sz="4" w:space="0" w:color="auto"/>
            </w:tcBorders>
            <w:vAlign w:val="center"/>
          </w:tcPr>
          <w:p w14:paraId="02B75F76" w14:textId="77777777" w:rsidR="005E000F" w:rsidRDefault="00000000">
            <w:pPr>
              <w:kinsoku w:val="0"/>
              <w:overflowPunct w:val="0"/>
              <w:autoSpaceDE w:val="0"/>
              <w:autoSpaceDN w:val="0"/>
              <w:adjustRightInd w:val="0"/>
              <w:snapToGrid w:val="0"/>
            </w:pPr>
            <w:r>
              <w:t>www.sse.com.cn</w:t>
            </w:r>
          </w:p>
        </w:tc>
      </w:tr>
      <w:tr w:rsidR="005E000F" w14:paraId="7410D313" w14:textId="77777777">
        <w:trPr>
          <w:trHeight w:val="293"/>
        </w:trPr>
        <w:tc>
          <w:tcPr>
            <w:tcW w:w="4140" w:type="dxa"/>
            <w:tcBorders>
              <w:top w:val="single" w:sz="4" w:space="0" w:color="auto"/>
              <w:bottom w:val="single" w:sz="4" w:space="0" w:color="auto"/>
              <w:right w:val="single" w:sz="4" w:space="0" w:color="auto"/>
            </w:tcBorders>
            <w:vAlign w:val="center"/>
          </w:tcPr>
          <w:p w14:paraId="5C0B6FCC" w14:textId="77777777" w:rsidR="005E000F" w:rsidRDefault="00000000">
            <w:pPr>
              <w:kinsoku w:val="0"/>
              <w:overflowPunct w:val="0"/>
              <w:autoSpaceDE w:val="0"/>
              <w:autoSpaceDN w:val="0"/>
              <w:adjustRightInd w:val="0"/>
              <w:snapToGrid w:val="0"/>
            </w:pPr>
            <w:r>
              <w:t>公司年度报告备置地点</w:t>
            </w:r>
          </w:p>
        </w:tc>
        <w:tc>
          <w:tcPr>
            <w:tcW w:w="4752" w:type="dxa"/>
            <w:tcBorders>
              <w:top w:val="single" w:sz="4" w:space="0" w:color="auto"/>
              <w:left w:val="single" w:sz="4" w:space="0" w:color="auto"/>
              <w:bottom w:val="single" w:sz="4" w:space="0" w:color="auto"/>
            </w:tcBorders>
            <w:vAlign w:val="center"/>
          </w:tcPr>
          <w:p w14:paraId="3DCCC791" w14:textId="77777777" w:rsidR="005E000F" w:rsidRDefault="00000000">
            <w:pPr>
              <w:kinsoku w:val="0"/>
              <w:overflowPunct w:val="0"/>
              <w:autoSpaceDE w:val="0"/>
              <w:autoSpaceDN w:val="0"/>
              <w:adjustRightInd w:val="0"/>
              <w:snapToGrid w:val="0"/>
            </w:pPr>
            <w:r>
              <w:t>公司董事会办公室</w:t>
            </w:r>
          </w:p>
        </w:tc>
      </w:tr>
    </w:tbl>
    <w:p w14:paraId="447E7218" w14:textId="77777777" w:rsidR="005E000F" w:rsidRDefault="005E000F"/>
    <w:p w14:paraId="41EBD5AA" w14:textId="77777777" w:rsidR="005E000F" w:rsidRDefault="00000000">
      <w:pPr>
        <w:pStyle w:val="2"/>
        <w:numPr>
          <w:ilvl w:val="1"/>
          <w:numId w:val="4"/>
        </w:numPr>
        <w:ind w:left="498" w:hangingChars="236" w:hanging="498"/>
      </w:pPr>
      <w:bookmarkStart w:id="21" w:name="_Toc342051045"/>
      <w:bookmarkStart w:id="22" w:name="_Toc342565885"/>
      <w:r>
        <w:rPr>
          <w:rFonts w:hint="eastAsia"/>
        </w:rPr>
        <w:t>公司股票简况</w:t>
      </w:r>
      <w:bookmarkEnd w:id="21"/>
      <w:bookmarkEnd w:id="22"/>
    </w:p>
    <w:tbl>
      <w:tblPr>
        <w:tblW w:w="0" w:type="auto"/>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4A0" w:firstRow="1" w:lastRow="0" w:firstColumn="1" w:lastColumn="0" w:noHBand="0" w:noVBand="1"/>
      </w:tblPr>
      <w:tblGrid>
        <w:gridCol w:w="1778"/>
        <w:gridCol w:w="1778"/>
        <w:gridCol w:w="1778"/>
        <w:gridCol w:w="1778"/>
        <w:gridCol w:w="1781"/>
      </w:tblGrid>
      <w:tr w:rsidR="005E000F" w14:paraId="723D3E35" w14:textId="77777777">
        <w:trPr>
          <w:trHeight w:val="293"/>
        </w:trPr>
        <w:sdt>
          <w:sdtPr>
            <w:tag w:val="_PLD_71e874b79d5946dfbee802d1ebcf10a8"/>
            <w:id w:val="1328866758"/>
          </w:sdtPr>
          <w:sdtContent>
            <w:tc>
              <w:tcPr>
                <w:tcW w:w="8893" w:type="dxa"/>
                <w:gridSpan w:val="5"/>
                <w:tcBorders>
                  <w:top w:val="single" w:sz="4" w:space="0" w:color="auto"/>
                  <w:bottom w:val="single" w:sz="4" w:space="0" w:color="auto"/>
                </w:tcBorders>
                <w:vAlign w:val="center"/>
              </w:tcPr>
              <w:p w14:paraId="0F70B786" w14:textId="77777777" w:rsidR="005E000F" w:rsidRDefault="00000000">
                <w:pPr>
                  <w:kinsoku w:val="0"/>
                  <w:overflowPunct w:val="0"/>
                  <w:autoSpaceDE w:val="0"/>
                  <w:autoSpaceDN w:val="0"/>
                  <w:adjustRightInd w:val="0"/>
                  <w:snapToGrid w:val="0"/>
                  <w:jc w:val="center"/>
                </w:pPr>
                <w:r>
                  <w:rPr>
                    <w:rFonts w:hint="eastAsia"/>
                  </w:rPr>
                  <w:t>公司股票简况</w:t>
                </w:r>
              </w:p>
            </w:tc>
          </w:sdtContent>
        </w:sdt>
      </w:tr>
      <w:tr w:rsidR="005E000F" w14:paraId="22CD8CF6" w14:textId="77777777">
        <w:trPr>
          <w:trHeight w:val="293"/>
        </w:trPr>
        <w:sdt>
          <w:sdtPr>
            <w:tag w:val="_PLD_8c7d8e96d5f4491aa9e7c3c601503603"/>
            <w:id w:val="1021667014"/>
          </w:sdtPr>
          <w:sdtContent>
            <w:tc>
              <w:tcPr>
                <w:tcW w:w="1778" w:type="dxa"/>
                <w:tcBorders>
                  <w:top w:val="single" w:sz="4" w:space="0" w:color="auto"/>
                  <w:bottom w:val="single" w:sz="4" w:space="0" w:color="auto"/>
                  <w:right w:val="single" w:sz="4" w:space="0" w:color="auto"/>
                </w:tcBorders>
                <w:vAlign w:val="center"/>
              </w:tcPr>
              <w:p w14:paraId="32886FBD" w14:textId="77777777" w:rsidR="005E000F" w:rsidRDefault="00000000">
                <w:pPr>
                  <w:kinsoku w:val="0"/>
                  <w:overflowPunct w:val="0"/>
                  <w:autoSpaceDE w:val="0"/>
                  <w:autoSpaceDN w:val="0"/>
                  <w:adjustRightInd w:val="0"/>
                  <w:snapToGrid w:val="0"/>
                  <w:jc w:val="center"/>
                </w:pPr>
                <w:r>
                  <w:rPr>
                    <w:rFonts w:hint="eastAsia"/>
                  </w:rPr>
                  <w:t>股票种类</w:t>
                </w:r>
              </w:p>
            </w:tc>
          </w:sdtContent>
        </w:sdt>
        <w:sdt>
          <w:sdtPr>
            <w:tag w:val="_PLD_b56a72f5279041b38925f5228f2089f6"/>
            <w:id w:val="606015416"/>
          </w:sdtPr>
          <w:sdtContent>
            <w:tc>
              <w:tcPr>
                <w:tcW w:w="1778" w:type="dxa"/>
                <w:tcBorders>
                  <w:top w:val="single" w:sz="4" w:space="0" w:color="auto"/>
                  <w:left w:val="single" w:sz="4" w:space="0" w:color="auto"/>
                  <w:bottom w:val="single" w:sz="4" w:space="0" w:color="auto"/>
                  <w:right w:val="single" w:sz="4" w:space="0" w:color="auto"/>
                </w:tcBorders>
                <w:vAlign w:val="center"/>
              </w:tcPr>
              <w:p w14:paraId="3733827F" w14:textId="77777777" w:rsidR="005E000F" w:rsidRDefault="00000000">
                <w:pPr>
                  <w:kinsoku w:val="0"/>
                  <w:overflowPunct w:val="0"/>
                  <w:autoSpaceDE w:val="0"/>
                  <w:autoSpaceDN w:val="0"/>
                  <w:adjustRightInd w:val="0"/>
                  <w:snapToGrid w:val="0"/>
                  <w:jc w:val="center"/>
                </w:pPr>
                <w:r>
                  <w:rPr>
                    <w:rFonts w:hint="eastAsia"/>
                  </w:rPr>
                  <w:t>股票上市交易所</w:t>
                </w:r>
              </w:p>
            </w:tc>
          </w:sdtContent>
        </w:sdt>
        <w:sdt>
          <w:sdtPr>
            <w:tag w:val="_PLD_6dd4e584e21c4367b3dfe6f7f5c64696"/>
            <w:id w:val="1245387821"/>
          </w:sdtPr>
          <w:sdtContent>
            <w:tc>
              <w:tcPr>
                <w:tcW w:w="1778" w:type="dxa"/>
                <w:tcBorders>
                  <w:top w:val="single" w:sz="4" w:space="0" w:color="auto"/>
                  <w:left w:val="single" w:sz="4" w:space="0" w:color="auto"/>
                  <w:bottom w:val="single" w:sz="4" w:space="0" w:color="auto"/>
                  <w:right w:val="single" w:sz="4" w:space="0" w:color="auto"/>
                </w:tcBorders>
                <w:vAlign w:val="center"/>
              </w:tcPr>
              <w:p w14:paraId="4E221E00" w14:textId="77777777" w:rsidR="005E000F" w:rsidRDefault="00000000">
                <w:pPr>
                  <w:kinsoku w:val="0"/>
                  <w:overflowPunct w:val="0"/>
                  <w:autoSpaceDE w:val="0"/>
                  <w:autoSpaceDN w:val="0"/>
                  <w:adjustRightInd w:val="0"/>
                  <w:snapToGrid w:val="0"/>
                  <w:jc w:val="center"/>
                </w:pPr>
                <w:r>
                  <w:rPr>
                    <w:rFonts w:hint="eastAsia"/>
                  </w:rPr>
                  <w:t>股票简称</w:t>
                </w:r>
              </w:p>
            </w:tc>
          </w:sdtContent>
        </w:sdt>
        <w:sdt>
          <w:sdtPr>
            <w:tag w:val="_PLD_e6f819a9bdc4409c94aa103da8c19dc3"/>
            <w:id w:val="867728735"/>
          </w:sdtPr>
          <w:sdtContent>
            <w:tc>
              <w:tcPr>
                <w:tcW w:w="1778" w:type="dxa"/>
                <w:tcBorders>
                  <w:top w:val="single" w:sz="4" w:space="0" w:color="auto"/>
                  <w:left w:val="single" w:sz="4" w:space="0" w:color="auto"/>
                  <w:bottom w:val="single" w:sz="4" w:space="0" w:color="auto"/>
                  <w:right w:val="single" w:sz="4" w:space="0" w:color="auto"/>
                </w:tcBorders>
                <w:vAlign w:val="center"/>
              </w:tcPr>
              <w:p w14:paraId="0DE5B401" w14:textId="77777777" w:rsidR="005E000F" w:rsidRDefault="00000000">
                <w:pPr>
                  <w:kinsoku w:val="0"/>
                  <w:overflowPunct w:val="0"/>
                  <w:autoSpaceDE w:val="0"/>
                  <w:autoSpaceDN w:val="0"/>
                  <w:adjustRightInd w:val="0"/>
                  <w:snapToGrid w:val="0"/>
                  <w:jc w:val="center"/>
                </w:pPr>
                <w:r>
                  <w:rPr>
                    <w:rFonts w:hint="eastAsia"/>
                  </w:rPr>
                  <w:t>股票代码</w:t>
                </w:r>
              </w:p>
            </w:tc>
          </w:sdtContent>
        </w:sdt>
        <w:sdt>
          <w:sdtPr>
            <w:tag w:val="_PLD_ca5cfb3ed3b74ffa856f651b379dc207"/>
            <w:id w:val="-226230553"/>
          </w:sdtPr>
          <w:sdtContent>
            <w:tc>
              <w:tcPr>
                <w:tcW w:w="1781" w:type="dxa"/>
                <w:tcBorders>
                  <w:top w:val="single" w:sz="4" w:space="0" w:color="auto"/>
                  <w:left w:val="single" w:sz="4" w:space="0" w:color="auto"/>
                  <w:bottom w:val="single" w:sz="4" w:space="0" w:color="auto"/>
                </w:tcBorders>
                <w:vAlign w:val="center"/>
              </w:tcPr>
              <w:p w14:paraId="40374136" w14:textId="77777777" w:rsidR="005E000F" w:rsidRDefault="00000000">
                <w:pPr>
                  <w:kinsoku w:val="0"/>
                  <w:overflowPunct w:val="0"/>
                  <w:autoSpaceDE w:val="0"/>
                  <w:autoSpaceDN w:val="0"/>
                  <w:adjustRightInd w:val="0"/>
                  <w:snapToGrid w:val="0"/>
                  <w:jc w:val="center"/>
                </w:pPr>
                <w:r>
                  <w:rPr>
                    <w:rFonts w:hint="eastAsia"/>
                  </w:rPr>
                  <w:t>变更</w:t>
                </w:r>
                <w:proofErr w:type="gramStart"/>
                <w:r>
                  <w:rPr>
                    <w:rFonts w:hint="eastAsia"/>
                  </w:rPr>
                  <w:t>前股票</w:t>
                </w:r>
                <w:proofErr w:type="gramEnd"/>
                <w:r>
                  <w:rPr>
                    <w:rFonts w:hint="eastAsia"/>
                  </w:rPr>
                  <w:t>简称</w:t>
                </w:r>
              </w:p>
            </w:tc>
          </w:sdtContent>
        </w:sdt>
      </w:tr>
      <w:tr w:rsidR="005E000F" w14:paraId="36CEFE95" w14:textId="77777777">
        <w:trPr>
          <w:trHeight w:val="293"/>
        </w:trPr>
        <w:tc>
          <w:tcPr>
            <w:tcW w:w="1778" w:type="dxa"/>
            <w:tcBorders>
              <w:top w:val="single" w:sz="4" w:space="0" w:color="auto"/>
              <w:bottom w:val="single" w:sz="4" w:space="0" w:color="auto"/>
              <w:right w:val="single" w:sz="4" w:space="0" w:color="auto"/>
            </w:tcBorders>
            <w:vAlign w:val="center"/>
          </w:tcPr>
          <w:p w14:paraId="42A572C3" w14:textId="77777777" w:rsidR="005E000F" w:rsidRDefault="00000000">
            <w:pPr>
              <w:kinsoku w:val="0"/>
              <w:overflowPunct w:val="0"/>
              <w:autoSpaceDE w:val="0"/>
              <w:autoSpaceDN w:val="0"/>
              <w:adjustRightInd w:val="0"/>
              <w:snapToGrid w:val="0"/>
              <w:jc w:val="center"/>
            </w:pPr>
            <w:r>
              <w:t>A</w:t>
            </w:r>
            <w:r>
              <w:t>股</w:t>
            </w:r>
          </w:p>
        </w:tc>
        <w:tc>
          <w:tcPr>
            <w:tcW w:w="1778" w:type="dxa"/>
            <w:tcBorders>
              <w:top w:val="single" w:sz="4" w:space="0" w:color="auto"/>
              <w:left w:val="single" w:sz="4" w:space="0" w:color="auto"/>
              <w:bottom w:val="single" w:sz="4" w:space="0" w:color="auto"/>
              <w:right w:val="single" w:sz="4" w:space="0" w:color="auto"/>
            </w:tcBorders>
            <w:vAlign w:val="center"/>
          </w:tcPr>
          <w:p w14:paraId="603081EC" w14:textId="77777777" w:rsidR="005E000F" w:rsidRDefault="00000000">
            <w:pPr>
              <w:kinsoku w:val="0"/>
              <w:overflowPunct w:val="0"/>
              <w:autoSpaceDE w:val="0"/>
              <w:autoSpaceDN w:val="0"/>
              <w:adjustRightInd w:val="0"/>
              <w:snapToGrid w:val="0"/>
              <w:jc w:val="center"/>
            </w:pPr>
            <w:r>
              <w:t>上海证券交易所</w:t>
            </w:r>
          </w:p>
        </w:tc>
        <w:tc>
          <w:tcPr>
            <w:tcW w:w="1778" w:type="dxa"/>
            <w:tcBorders>
              <w:top w:val="single" w:sz="4" w:space="0" w:color="auto"/>
              <w:left w:val="single" w:sz="4" w:space="0" w:color="auto"/>
              <w:bottom w:val="single" w:sz="4" w:space="0" w:color="auto"/>
              <w:right w:val="single" w:sz="4" w:space="0" w:color="auto"/>
            </w:tcBorders>
            <w:vAlign w:val="center"/>
          </w:tcPr>
          <w:p w14:paraId="3FF527D5" w14:textId="77777777" w:rsidR="005E000F" w:rsidRDefault="00000000">
            <w:pPr>
              <w:kinsoku w:val="0"/>
              <w:overflowPunct w:val="0"/>
              <w:autoSpaceDE w:val="0"/>
              <w:autoSpaceDN w:val="0"/>
              <w:adjustRightInd w:val="0"/>
              <w:snapToGrid w:val="0"/>
              <w:jc w:val="center"/>
            </w:pPr>
            <w:r>
              <w:t>大秦铁路</w:t>
            </w:r>
          </w:p>
        </w:tc>
        <w:tc>
          <w:tcPr>
            <w:tcW w:w="1778" w:type="dxa"/>
            <w:tcBorders>
              <w:top w:val="single" w:sz="4" w:space="0" w:color="auto"/>
              <w:left w:val="single" w:sz="4" w:space="0" w:color="auto"/>
              <w:bottom w:val="single" w:sz="4" w:space="0" w:color="auto"/>
              <w:right w:val="single" w:sz="4" w:space="0" w:color="auto"/>
            </w:tcBorders>
            <w:vAlign w:val="center"/>
          </w:tcPr>
          <w:p w14:paraId="3B05DBD7" w14:textId="77777777" w:rsidR="005E000F" w:rsidRDefault="00000000">
            <w:pPr>
              <w:kinsoku w:val="0"/>
              <w:overflowPunct w:val="0"/>
              <w:autoSpaceDE w:val="0"/>
              <w:autoSpaceDN w:val="0"/>
              <w:adjustRightInd w:val="0"/>
              <w:snapToGrid w:val="0"/>
              <w:jc w:val="center"/>
            </w:pPr>
            <w:r>
              <w:t>601006</w:t>
            </w:r>
          </w:p>
        </w:tc>
        <w:tc>
          <w:tcPr>
            <w:tcW w:w="1781" w:type="dxa"/>
            <w:tcBorders>
              <w:top w:val="single" w:sz="4" w:space="0" w:color="auto"/>
              <w:left w:val="single" w:sz="4" w:space="0" w:color="auto"/>
              <w:bottom w:val="single" w:sz="4" w:space="0" w:color="auto"/>
            </w:tcBorders>
            <w:vAlign w:val="center"/>
          </w:tcPr>
          <w:p w14:paraId="6ACF8931" w14:textId="77777777" w:rsidR="005E000F" w:rsidRDefault="00000000">
            <w:pPr>
              <w:kinsoku w:val="0"/>
              <w:overflowPunct w:val="0"/>
              <w:autoSpaceDE w:val="0"/>
              <w:autoSpaceDN w:val="0"/>
              <w:adjustRightInd w:val="0"/>
              <w:snapToGrid w:val="0"/>
              <w:jc w:val="center"/>
            </w:pPr>
            <w:r>
              <w:t>无变更</w:t>
            </w:r>
          </w:p>
        </w:tc>
      </w:tr>
    </w:tbl>
    <w:p w14:paraId="3E09759E" w14:textId="77777777" w:rsidR="005E000F" w:rsidRDefault="005E000F"/>
    <w:p w14:paraId="0BF1FFED" w14:textId="77777777" w:rsidR="005E000F" w:rsidRDefault="00000000">
      <w:pPr>
        <w:pStyle w:val="2"/>
        <w:numPr>
          <w:ilvl w:val="1"/>
          <w:numId w:val="4"/>
        </w:numPr>
        <w:ind w:left="498" w:hangingChars="236" w:hanging="498"/>
      </w:pPr>
      <w:r>
        <w:t>其他</w:t>
      </w:r>
      <w:r>
        <w:rPr>
          <w:rFonts w:hint="eastAsia"/>
        </w:rPr>
        <w:t>相</w:t>
      </w:r>
      <w:r>
        <w:t>关资料</w:t>
      </w:r>
    </w:p>
    <w:tbl>
      <w:tblPr>
        <w:tblStyle w:val="aff2"/>
        <w:tblW w:w="0" w:type="auto"/>
        <w:tblLayout w:type="fixed"/>
        <w:tblLook w:val="04A0" w:firstRow="1" w:lastRow="0" w:firstColumn="1" w:lastColumn="0" w:noHBand="0" w:noVBand="1"/>
      </w:tblPr>
      <w:tblGrid>
        <w:gridCol w:w="2991"/>
        <w:gridCol w:w="1793"/>
        <w:gridCol w:w="4262"/>
      </w:tblGrid>
      <w:tr w:rsidR="005E000F" w14:paraId="40A0319E" w14:textId="77777777">
        <w:trPr>
          <w:trHeight w:val="132"/>
        </w:trPr>
        <w:sdt>
          <w:sdtPr>
            <w:tag w:val="_PLD_e6bf57c678134e2ab9f21f313ee3de3c"/>
            <w:id w:val="1245687322"/>
          </w:sdtPr>
          <w:sdtContent>
            <w:tc>
              <w:tcPr>
                <w:tcW w:w="2991" w:type="dxa"/>
                <w:vMerge w:val="restart"/>
                <w:vAlign w:val="center"/>
              </w:tcPr>
              <w:p w14:paraId="5DF3CC30" w14:textId="77777777" w:rsidR="005E000F" w:rsidRDefault="00000000">
                <w:r>
                  <w:rPr>
                    <w:rFonts w:hint="eastAsia"/>
                  </w:rPr>
                  <w:t>公司聘请的会计师事务所（境内</w:t>
                </w:r>
                <w:r>
                  <w:rPr>
                    <w:rFonts w:hint="eastAsia"/>
                  </w:rPr>
                  <w:t xml:space="preserve">  </w:t>
                </w:r>
                <w:r>
                  <w:rPr>
                    <w:rFonts w:hint="eastAsia"/>
                  </w:rPr>
                  <w:t>财务报告审计）</w:t>
                </w:r>
              </w:p>
            </w:tc>
          </w:sdtContent>
        </w:sdt>
        <w:sdt>
          <w:sdtPr>
            <w:tag w:val="_PLD_8ca47cc04c324c599365d04f46dbfb0f"/>
            <w:id w:val="1909031548"/>
          </w:sdtPr>
          <w:sdtContent>
            <w:tc>
              <w:tcPr>
                <w:tcW w:w="1793" w:type="dxa"/>
                <w:vAlign w:val="center"/>
              </w:tcPr>
              <w:p w14:paraId="6CED23E7" w14:textId="77777777" w:rsidR="005E000F" w:rsidRDefault="00000000">
                <w:r>
                  <w:rPr>
                    <w:rFonts w:hint="eastAsia"/>
                  </w:rPr>
                  <w:t>名称</w:t>
                </w:r>
              </w:p>
            </w:tc>
          </w:sdtContent>
        </w:sdt>
        <w:sdt>
          <w:sdtPr>
            <w:rPr>
              <w:rFonts w:hint="eastAsia"/>
            </w:rPr>
            <w:alias w:val="公司聘请的境内会计师事务所明细-名称"/>
            <w:tag w:val="_GBC_5e101497eaf44ba79cb610647f4aa3d5"/>
            <w:id w:val="813765644"/>
          </w:sdtPr>
          <w:sdtContent>
            <w:tc>
              <w:tcPr>
                <w:tcW w:w="4262" w:type="dxa"/>
                <w:vAlign w:val="center"/>
              </w:tcPr>
              <w:p w14:paraId="60874648" w14:textId="77777777" w:rsidR="005E000F" w:rsidRDefault="00000000">
                <w:proofErr w:type="gramStart"/>
                <w:r>
                  <w:t>信永中和</w:t>
                </w:r>
                <w:proofErr w:type="gramEnd"/>
                <w:r>
                  <w:t>会计师事务所（特殊普通合伙）</w:t>
                </w:r>
              </w:p>
            </w:tc>
          </w:sdtContent>
        </w:sdt>
      </w:tr>
      <w:tr w:rsidR="005E000F" w14:paraId="5EC39EBF" w14:textId="77777777">
        <w:trPr>
          <w:trHeight w:val="90"/>
        </w:trPr>
        <w:tc>
          <w:tcPr>
            <w:tcW w:w="2991" w:type="dxa"/>
            <w:vMerge/>
            <w:vAlign w:val="center"/>
          </w:tcPr>
          <w:p w14:paraId="5C9C3EBB" w14:textId="77777777" w:rsidR="005E000F" w:rsidRDefault="005E000F"/>
        </w:tc>
        <w:tc>
          <w:tcPr>
            <w:tcW w:w="1793" w:type="dxa"/>
            <w:vAlign w:val="center"/>
          </w:tcPr>
          <w:p w14:paraId="711F7EF2" w14:textId="77777777" w:rsidR="005E000F" w:rsidRDefault="00000000">
            <w:r>
              <w:rPr>
                <w:rFonts w:hint="eastAsia"/>
              </w:rPr>
              <w:t>办公地址</w:t>
            </w:r>
          </w:p>
        </w:tc>
        <w:tc>
          <w:tcPr>
            <w:tcW w:w="4262" w:type="dxa"/>
            <w:vAlign w:val="center"/>
          </w:tcPr>
          <w:p w14:paraId="60560325" w14:textId="77777777" w:rsidR="005E000F" w:rsidRDefault="00000000">
            <w:r>
              <w:t>北京市东城区朝阳门北大街</w:t>
            </w:r>
            <w:r>
              <w:t>8</w:t>
            </w:r>
            <w:r>
              <w:t>号富华大厦</w:t>
            </w:r>
            <w:r>
              <w:t xml:space="preserve">A </w:t>
            </w:r>
            <w:r>
              <w:t>座</w:t>
            </w:r>
            <w:r>
              <w:t>8</w:t>
            </w:r>
            <w:r>
              <w:t>层</w:t>
            </w:r>
          </w:p>
        </w:tc>
      </w:tr>
      <w:tr w:rsidR="005E000F" w14:paraId="7AF0BB37" w14:textId="77777777">
        <w:trPr>
          <w:trHeight w:val="210"/>
        </w:trPr>
        <w:tc>
          <w:tcPr>
            <w:tcW w:w="2991" w:type="dxa"/>
            <w:vMerge/>
            <w:vAlign w:val="center"/>
          </w:tcPr>
          <w:p w14:paraId="11ADEC57" w14:textId="77777777" w:rsidR="005E000F" w:rsidRDefault="005E000F"/>
        </w:tc>
        <w:tc>
          <w:tcPr>
            <w:tcW w:w="1793" w:type="dxa"/>
            <w:vAlign w:val="center"/>
          </w:tcPr>
          <w:p w14:paraId="58508F1C" w14:textId="77777777" w:rsidR="005E000F" w:rsidRDefault="00000000">
            <w:r>
              <w:rPr>
                <w:rFonts w:hint="eastAsia"/>
              </w:rPr>
              <w:t>签字会计师姓名</w:t>
            </w:r>
          </w:p>
        </w:tc>
        <w:tc>
          <w:tcPr>
            <w:tcW w:w="4262" w:type="dxa"/>
            <w:vAlign w:val="center"/>
          </w:tcPr>
          <w:p w14:paraId="258F0648" w14:textId="77777777" w:rsidR="005E000F" w:rsidRDefault="00000000">
            <w:r>
              <w:t>朱娟娟</w:t>
            </w:r>
            <w:r>
              <w:rPr>
                <w:rFonts w:hint="eastAsia"/>
              </w:rPr>
              <w:t xml:space="preserve">  </w:t>
            </w:r>
            <w:proofErr w:type="gramStart"/>
            <w:r>
              <w:t>王存英</w:t>
            </w:r>
            <w:proofErr w:type="gramEnd"/>
          </w:p>
        </w:tc>
      </w:tr>
      <w:tr w:rsidR="005E000F" w14:paraId="085A7AE1" w14:textId="77777777">
        <w:trPr>
          <w:trHeight w:val="270"/>
        </w:trPr>
        <w:tc>
          <w:tcPr>
            <w:tcW w:w="2991" w:type="dxa"/>
            <w:vMerge w:val="restart"/>
            <w:vAlign w:val="center"/>
          </w:tcPr>
          <w:p w14:paraId="004B1CA1" w14:textId="77777777" w:rsidR="005E000F" w:rsidRDefault="00000000">
            <w:r>
              <w:rPr>
                <w:rFonts w:hint="eastAsia"/>
              </w:rPr>
              <w:t>公司聘请的会计师事务所（境内</w:t>
            </w:r>
            <w:r>
              <w:rPr>
                <w:rFonts w:hint="eastAsia"/>
              </w:rPr>
              <w:t xml:space="preserve">  </w:t>
            </w:r>
            <w:r>
              <w:rPr>
                <w:rFonts w:hint="eastAsia"/>
              </w:rPr>
              <w:t>内部控制审计）</w:t>
            </w:r>
          </w:p>
        </w:tc>
        <w:tc>
          <w:tcPr>
            <w:tcW w:w="1793" w:type="dxa"/>
            <w:vAlign w:val="center"/>
          </w:tcPr>
          <w:p w14:paraId="5C95F27A" w14:textId="77777777" w:rsidR="005E000F" w:rsidRDefault="00000000">
            <w:r>
              <w:rPr>
                <w:rFonts w:hint="eastAsia"/>
              </w:rPr>
              <w:t>名称</w:t>
            </w:r>
          </w:p>
        </w:tc>
        <w:tc>
          <w:tcPr>
            <w:tcW w:w="4262" w:type="dxa"/>
            <w:vAlign w:val="center"/>
          </w:tcPr>
          <w:p w14:paraId="7F840FAE" w14:textId="77777777" w:rsidR="005E000F" w:rsidRDefault="00000000">
            <w:r>
              <w:t>安永华明会计师事务所（特殊普通合伙）</w:t>
            </w:r>
          </w:p>
        </w:tc>
      </w:tr>
      <w:tr w:rsidR="005E000F" w14:paraId="571B729D" w14:textId="77777777">
        <w:trPr>
          <w:trHeight w:val="150"/>
        </w:trPr>
        <w:tc>
          <w:tcPr>
            <w:tcW w:w="2991" w:type="dxa"/>
            <w:vMerge/>
            <w:vAlign w:val="center"/>
          </w:tcPr>
          <w:p w14:paraId="1228B62D" w14:textId="77777777" w:rsidR="005E000F" w:rsidRDefault="005E000F"/>
        </w:tc>
        <w:tc>
          <w:tcPr>
            <w:tcW w:w="1793" w:type="dxa"/>
            <w:vAlign w:val="center"/>
          </w:tcPr>
          <w:p w14:paraId="3EE184CF" w14:textId="77777777" w:rsidR="005E000F" w:rsidRDefault="00000000">
            <w:r>
              <w:rPr>
                <w:rFonts w:hint="eastAsia"/>
              </w:rPr>
              <w:t>办公地址</w:t>
            </w:r>
          </w:p>
        </w:tc>
        <w:tc>
          <w:tcPr>
            <w:tcW w:w="4262" w:type="dxa"/>
            <w:vAlign w:val="center"/>
          </w:tcPr>
          <w:p w14:paraId="6CB0D655" w14:textId="77777777" w:rsidR="005E000F" w:rsidRDefault="00000000">
            <w:r>
              <w:t>北京市东城区东长安街</w:t>
            </w:r>
            <w:r>
              <w:t>1</w:t>
            </w:r>
            <w:r>
              <w:t>号东方广场安永大楼</w:t>
            </w:r>
            <w:r>
              <w:t>17</w:t>
            </w:r>
            <w:r>
              <w:t>层</w:t>
            </w:r>
            <w:r>
              <w:t>01-12</w:t>
            </w:r>
            <w:r>
              <w:t>室</w:t>
            </w:r>
          </w:p>
        </w:tc>
      </w:tr>
      <w:tr w:rsidR="005E000F" w14:paraId="4B02CD8D" w14:textId="77777777">
        <w:trPr>
          <w:trHeight w:val="147"/>
        </w:trPr>
        <w:tc>
          <w:tcPr>
            <w:tcW w:w="2991" w:type="dxa"/>
            <w:vMerge/>
            <w:vAlign w:val="center"/>
          </w:tcPr>
          <w:p w14:paraId="5308D510" w14:textId="77777777" w:rsidR="005E000F" w:rsidRDefault="005E000F"/>
        </w:tc>
        <w:tc>
          <w:tcPr>
            <w:tcW w:w="1793" w:type="dxa"/>
            <w:vAlign w:val="center"/>
          </w:tcPr>
          <w:p w14:paraId="14E2B376" w14:textId="77777777" w:rsidR="005E000F" w:rsidRDefault="00000000">
            <w:r>
              <w:rPr>
                <w:rFonts w:hint="eastAsia"/>
              </w:rPr>
              <w:t>签字会计师姓名</w:t>
            </w:r>
          </w:p>
        </w:tc>
        <w:tc>
          <w:tcPr>
            <w:tcW w:w="4262" w:type="dxa"/>
            <w:vAlign w:val="center"/>
          </w:tcPr>
          <w:p w14:paraId="580B77E1" w14:textId="77777777" w:rsidR="005E000F" w:rsidRDefault="00000000">
            <w:r>
              <w:t>张宁</w:t>
            </w:r>
            <w:proofErr w:type="gramStart"/>
            <w:r>
              <w:t>宁</w:t>
            </w:r>
            <w:proofErr w:type="gramEnd"/>
            <w:r>
              <w:rPr>
                <w:rFonts w:hint="eastAsia"/>
              </w:rPr>
              <w:t xml:space="preserve">  </w:t>
            </w:r>
            <w:r>
              <w:t>巩伟</w:t>
            </w:r>
          </w:p>
        </w:tc>
      </w:tr>
    </w:tbl>
    <w:p w14:paraId="459479C2" w14:textId="77777777" w:rsidR="005E000F" w:rsidRDefault="005E000F"/>
    <w:p w14:paraId="6C0FD1A7" w14:textId="77777777" w:rsidR="005E000F" w:rsidRDefault="00000000">
      <w:pPr>
        <w:pStyle w:val="2"/>
        <w:numPr>
          <w:ilvl w:val="1"/>
          <w:numId w:val="4"/>
        </w:numPr>
        <w:ind w:left="498" w:hangingChars="236" w:hanging="498"/>
      </w:pPr>
      <w:bookmarkStart w:id="23" w:name="_Toc342565889"/>
      <w:bookmarkStart w:id="24" w:name="_Toc342056397"/>
      <w:r>
        <w:rPr>
          <w:rFonts w:hint="eastAsia"/>
        </w:rPr>
        <w:t>近三年主要会计数据和财务指标</w:t>
      </w:r>
      <w:bookmarkEnd w:id="23"/>
      <w:bookmarkEnd w:id="24"/>
    </w:p>
    <w:p w14:paraId="35EAED21" w14:textId="77777777" w:rsidR="005E000F" w:rsidRDefault="00000000">
      <w:pPr>
        <w:pStyle w:val="3"/>
        <w:numPr>
          <w:ilvl w:val="1"/>
          <w:numId w:val="5"/>
        </w:numPr>
      </w:pPr>
      <w:r>
        <w:rPr>
          <w:rFonts w:hint="eastAsia"/>
        </w:rPr>
        <w:t>主要会计数据</w:t>
      </w:r>
    </w:p>
    <w:p w14:paraId="1097CF67" w14:textId="77777777" w:rsidR="005E000F" w:rsidRDefault="00000000">
      <w:pPr>
        <w:jc w:val="right"/>
      </w:pPr>
      <w:r>
        <w:rPr>
          <w:rFonts w:hint="eastAsia"/>
        </w:rPr>
        <w:t>单位：</w:t>
      </w:r>
      <w:sdt>
        <w:sdtPr>
          <w:rPr>
            <w:rFonts w:hint="eastAsia"/>
          </w:rPr>
          <w:alias w:val="单位：报告期末公司前三年主要会计数据和财务指标"/>
          <w:tag w:val="_GBC_831bf622af014dd988d7abf34a230ded"/>
          <w:id w:val="16810105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报告期末公司前三年主要会计数据和财务指标"/>
          <w:tag w:val="_GBC_966177366f0d4256ae6aac54dd779761"/>
          <w:id w:val="12719742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9322" w:type="dxa"/>
        <w:tblLayout w:type="fixed"/>
        <w:tblLook w:val="04A0" w:firstRow="1" w:lastRow="0" w:firstColumn="1" w:lastColumn="0" w:noHBand="0" w:noVBand="1"/>
      </w:tblPr>
      <w:tblGrid>
        <w:gridCol w:w="3085"/>
        <w:gridCol w:w="1640"/>
        <w:gridCol w:w="1762"/>
        <w:gridCol w:w="1120"/>
        <w:gridCol w:w="1715"/>
      </w:tblGrid>
      <w:tr w:rsidR="005E000F" w14:paraId="0589F4C7" w14:textId="77777777">
        <w:trPr>
          <w:trHeight w:val="596"/>
        </w:trPr>
        <w:sdt>
          <w:sdtPr>
            <w:tag w:val="_PLD_11b4c598f0e64f3480d144156bedd8c8"/>
            <w:id w:val="1194109202"/>
          </w:sdtPr>
          <w:sdtContent>
            <w:tc>
              <w:tcPr>
                <w:tcW w:w="3085" w:type="dxa"/>
                <w:vAlign w:val="center"/>
              </w:tcPr>
              <w:p w14:paraId="2AFC4FAD" w14:textId="77777777" w:rsidR="005E000F" w:rsidRDefault="00000000">
                <w:pPr>
                  <w:kinsoku w:val="0"/>
                  <w:overflowPunct w:val="0"/>
                  <w:autoSpaceDE w:val="0"/>
                  <w:autoSpaceDN w:val="0"/>
                  <w:adjustRightInd w:val="0"/>
                  <w:snapToGrid w:val="0"/>
                  <w:jc w:val="center"/>
                </w:pPr>
                <w:r>
                  <w:rPr>
                    <w:rFonts w:hint="eastAsia"/>
                  </w:rPr>
                  <w:t>主要会计数据</w:t>
                </w:r>
              </w:p>
            </w:tc>
          </w:sdtContent>
        </w:sdt>
        <w:sdt>
          <w:sdtPr>
            <w:tag w:val="_PLD_b13b04da4c2a41028c11512814762a3d"/>
            <w:id w:val="1908883125"/>
          </w:sdtPr>
          <w:sdtContent>
            <w:tc>
              <w:tcPr>
                <w:tcW w:w="1640" w:type="dxa"/>
                <w:vAlign w:val="center"/>
              </w:tcPr>
              <w:p w14:paraId="2C896E99" w14:textId="77777777" w:rsidR="005E000F" w:rsidRDefault="00000000">
                <w:pPr>
                  <w:kinsoku w:val="0"/>
                  <w:overflowPunct w:val="0"/>
                  <w:autoSpaceDE w:val="0"/>
                  <w:autoSpaceDN w:val="0"/>
                  <w:adjustRightInd w:val="0"/>
                  <w:snapToGrid w:val="0"/>
                  <w:jc w:val="center"/>
                </w:pPr>
                <w:r>
                  <w:rPr>
                    <w:rFonts w:hint="eastAsia"/>
                  </w:rPr>
                  <w:t>2025</w:t>
                </w:r>
                <w:r>
                  <w:rPr>
                    <w:rFonts w:hint="eastAsia"/>
                  </w:rPr>
                  <w:t>年</w:t>
                </w:r>
              </w:p>
            </w:tc>
          </w:sdtContent>
        </w:sdt>
        <w:sdt>
          <w:sdtPr>
            <w:tag w:val="_PLD_0269ed04fa784ad3a61b37ff6ea4e755"/>
            <w:id w:val="-166020726"/>
          </w:sdtPr>
          <w:sdtContent>
            <w:tc>
              <w:tcPr>
                <w:tcW w:w="1762" w:type="dxa"/>
                <w:vAlign w:val="center"/>
              </w:tcPr>
              <w:p w14:paraId="2F64B9C0" w14:textId="77777777" w:rsidR="005E000F" w:rsidRDefault="00000000">
                <w:pPr>
                  <w:kinsoku w:val="0"/>
                  <w:overflowPunct w:val="0"/>
                  <w:autoSpaceDE w:val="0"/>
                  <w:autoSpaceDN w:val="0"/>
                  <w:adjustRightInd w:val="0"/>
                  <w:snapToGrid w:val="0"/>
                  <w:jc w:val="center"/>
                </w:pPr>
                <w:r>
                  <w:rPr>
                    <w:rFonts w:hint="eastAsia"/>
                  </w:rPr>
                  <w:t>2024</w:t>
                </w:r>
                <w:r>
                  <w:rPr>
                    <w:rFonts w:hint="eastAsia"/>
                  </w:rPr>
                  <w:t>年</w:t>
                </w:r>
              </w:p>
            </w:tc>
          </w:sdtContent>
        </w:sdt>
        <w:sdt>
          <w:sdtPr>
            <w:tag w:val="_PLD_04887d69202349c58f450c785cfaef93"/>
            <w:id w:val="1314069557"/>
          </w:sdtPr>
          <w:sdtContent>
            <w:tc>
              <w:tcPr>
                <w:tcW w:w="1120" w:type="dxa"/>
                <w:vAlign w:val="center"/>
              </w:tcPr>
              <w:p w14:paraId="4636D03E" w14:textId="77777777" w:rsidR="005E000F" w:rsidRDefault="00000000">
                <w:pPr>
                  <w:kinsoku w:val="0"/>
                  <w:overflowPunct w:val="0"/>
                  <w:autoSpaceDE w:val="0"/>
                  <w:autoSpaceDN w:val="0"/>
                  <w:adjustRightInd w:val="0"/>
                  <w:snapToGrid w:val="0"/>
                  <w:jc w:val="center"/>
                </w:pPr>
                <w:r>
                  <w:rPr>
                    <w:rFonts w:hint="eastAsia"/>
                  </w:rPr>
                  <w:t>本期比上年同期增减（</w:t>
                </w:r>
                <w:r>
                  <w:t>%</w:t>
                </w:r>
                <w:r>
                  <w:rPr>
                    <w:rFonts w:hint="eastAsia"/>
                  </w:rPr>
                  <w:t>）</w:t>
                </w:r>
              </w:p>
            </w:tc>
          </w:sdtContent>
        </w:sdt>
        <w:sdt>
          <w:sdtPr>
            <w:tag w:val="_PLD_cf8d3caaf1bc4b2eb15a4b6e1b823368"/>
            <w:id w:val="1904172434"/>
          </w:sdtPr>
          <w:sdtContent>
            <w:tc>
              <w:tcPr>
                <w:tcW w:w="1715" w:type="dxa"/>
                <w:vAlign w:val="center"/>
              </w:tcPr>
              <w:p w14:paraId="3FDFBE07" w14:textId="77777777" w:rsidR="005E000F" w:rsidRDefault="00000000">
                <w:pPr>
                  <w:kinsoku w:val="0"/>
                  <w:overflowPunct w:val="0"/>
                  <w:autoSpaceDE w:val="0"/>
                  <w:autoSpaceDN w:val="0"/>
                  <w:adjustRightInd w:val="0"/>
                  <w:snapToGrid w:val="0"/>
                  <w:jc w:val="center"/>
                </w:pPr>
                <w:r>
                  <w:rPr>
                    <w:rFonts w:hint="eastAsia"/>
                  </w:rPr>
                  <w:t>2023</w:t>
                </w:r>
                <w:r>
                  <w:rPr>
                    <w:rFonts w:hint="eastAsia"/>
                  </w:rPr>
                  <w:t>年</w:t>
                </w:r>
              </w:p>
            </w:tc>
          </w:sdtContent>
        </w:sdt>
      </w:tr>
      <w:tr w:rsidR="005E000F" w14:paraId="0658CF45" w14:textId="77777777">
        <w:trPr>
          <w:trHeight w:val="285"/>
        </w:trPr>
        <w:tc>
          <w:tcPr>
            <w:tcW w:w="3085" w:type="dxa"/>
            <w:vAlign w:val="center"/>
          </w:tcPr>
          <w:p w14:paraId="18802ECB" w14:textId="77777777" w:rsidR="005E000F" w:rsidRDefault="00000000">
            <w:pPr>
              <w:kinsoku w:val="0"/>
              <w:overflowPunct w:val="0"/>
              <w:autoSpaceDE w:val="0"/>
              <w:autoSpaceDN w:val="0"/>
              <w:adjustRightInd w:val="0"/>
              <w:snapToGrid w:val="0"/>
            </w:pPr>
            <w:r>
              <w:rPr>
                <w:rFonts w:hint="eastAsia"/>
              </w:rPr>
              <w:t>营业收入</w:t>
            </w:r>
          </w:p>
        </w:tc>
        <w:tc>
          <w:tcPr>
            <w:tcW w:w="1640" w:type="dxa"/>
            <w:vAlign w:val="center"/>
          </w:tcPr>
          <w:p w14:paraId="088FD394" w14:textId="77777777" w:rsidR="005E000F" w:rsidRDefault="00000000">
            <w:pPr>
              <w:kinsoku w:val="0"/>
              <w:overflowPunct w:val="0"/>
              <w:autoSpaceDE w:val="0"/>
              <w:autoSpaceDN w:val="0"/>
              <w:adjustRightInd w:val="0"/>
              <w:snapToGrid w:val="0"/>
              <w:jc w:val="right"/>
            </w:pPr>
            <w:r>
              <w:t>77,644,812,382</w:t>
            </w:r>
          </w:p>
        </w:tc>
        <w:tc>
          <w:tcPr>
            <w:tcW w:w="1762" w:type="dxa"/>
            <w:vAlign w:val="center"/>
          </w:tcPr>
          <w:p w14:paraId="10B4803A" w14:textId="77777777" w:rsidR="005E000F" w:rsidRDefault="00000000">
            <w:pPr>
              <w:kinsoku w:val="0"/>
              <w:overflowPunct w:val="0"/>
              <w:autoSpaceDE w:val="0"/>
              <w:autoSpaceDN w:val="0"/>
              <w:adjustRightInd w:val="0"/>
              <w:snapToGrid w:val="0"/>
              <w:jc w:val="right"/>
              <w:rPr>
                <w:bCs/>
              </w:rPr>
            </w:pPr>
            <w:r>
              <w:rPr>
                <w:bCs/>
              </w:rPr>
              <w:t>74,627,273,516</w:t>
            </w:r>
          </w:p>
        </w:tc>
        <w:tc>
          <w:tcPr>
            <w:tcW w:w="1120" w:type="dxa"/>
            <w:vAlign w:val="center"/>
          </w:tcPr>
          <w:p w14:paraId="77A7F208" w14:textId="77777777" w:rsidR="005E000F" w:rsidRDefault="00000000">
            <w:pPr>
              <w:kinsoku w:val="0"/>
              <w:overflowPunct w:val="0"/>
              <w:autoSpaceDE w:val="0"/>
              <w:autoSpaceDN w:val="0"/>
              <w:adjustRightInd w:val="0"/>
              <w:snapToGrid w:val="0"/>
              <w:jc w:val="right"/>
            </w:pPr>
            <w:r>
              <w:rPr>
                <w:rFonts w:hint="eastAsia"/>
              </w:rPr>
              <w:t>4.04</w:t>
            </w:r>
          </w:p>
        </w:tc>
        <w:tc>
          <w:tcPr>
            <w:tcW w:w="1715" w:type="dxa"/>
            <w:vAlign w:val="center"/>
          </w:tcPr>
          <w:p w14:paraId="00FD0942" w14:textId="77777777" w:rsidR="005E000F" w:rsidRDefault="00000000">
            <w:pPr>
              <w:kinsoku w:val="0"/>
              <w:overflowPunct w:val="0"/>
              <w:autoSpaceDE w:val="0"/>
              <w:autoSpaceDN w:val="0"/>
              <w:adjustRightInd w:val="0"/>
              <w:snapToGrid w:val="0"/>
              <w:jc w:val="right"/>
            </w:pPr>
            <w:r>
              <w:t>81,020,392,024</w:t>
            </w:r>
          </w:p>
        </w:tc>
      </w:tr>
      <w:tr w:rsidR="005E000F" w14:paraId="246C298F" w14:textId="77777777">
        <w:trPr>
          <w:trHeight w:val="285"/>
        </w:trPr>
        <w:tc>
          <w:tcPr>
            <w:tcW w:w="3085" w:type="dxa"/>
            <w:vAlign w:val="center"/>
          </w:tcPr>
          <w:p w14:paraId="18143694" w14:textId="77777777" w:rsidR="005E000F" w:rsidRDefault="00000000">
            <w:pPr>
              <w:kinsoku w:val="0"/>
              <w:overflowPunct w:val="0"/>
              <w:autoSpaceDE w:val="0"/>
              <w:autoSpaceDN w:val="0"/>
              <w:adjustRightInd w:val="0"/>
              <w:snapToGrid w:val="0"/>
            </w:pPr>
            <w:r>
              <w:rPr>
                <w:rFonts w:hint="eastAsia"/>
              </w:rPr>
              <w:t>利润总额</w:t>
            </w:r>
          </w:p>
        </w:tc>
        <w:tc>
          <w:tcPr>
            <w:tcW w:w="1640" w:type="dxa"/>
            <w:vAlign w:val="center"/>
          </w:tcPr>
          <w:p w14:paraId="5A7E86B1" w14:textId="77777777" w:rsidR="005E000F" w:rsidRDefault="00000000">
            <w:pPr>
              <w:kinsoku w:val="0"/>
              <w:overflowPunct w:val="0"/>
              <w:autoSpaceDE w:val="0"/>
              <w:autoSpaceDN w:val="0"/>
              <w:adjustRightInd w:val="0"/>
              <w:snapToGrid w:val="0"/>
              <w:jc w:val="right"/>
            </w:pPr>
            <w:r>
              <w:t>8,574,289,114</w:t>
            </w:r>
          </w:p>
        </w:tc>
        <w:tc>
          <w:tcPr>
            <w:tcW w:w="1762" w:type="dxa"/>
            <w:vAlign w:val="center"/>
          </w:tcPr>
          <w:p w14:paraId="43021457" w14:textId="77777777" w:rsidR="005E000F" w:rsidRDefault="00000000">
            <w:pPr>
              <w:kinsoku w:val="0"/>
              <w:overflowPunct w:val="0"/>
              <w:autoSpaceDE w:val="0"/>
              <w:autoSpaceDN w:val="0"/>
              <w:adjustRightInd w:val="0"/>
              <w:snapToGrid w:val="0"/>
              <w:jc w:val="right"/>
              <w:rPr>
                <w:bCs/>
              </w:rPr>
            </w:pPr>
            <w:r>
              <w:rPr>
                <w:bCs/>
              </w:rPr>
              <w:t>13,325,765,289</w:t>
            </w:r>
          </w:p>
        </w:tc>
        <w:tc>
          <w:tcPr>
            <w:tcW w:w="1120" w:type="dxa"/>
            <w:vAlign w:val="center"/>
          </w:tcPr>
          <w:p w14:paraId="41D32A11" w14:textId="77777777" w:rsidR="005E000F" w:rsidRDefault="00000000">
            <w:pPr>
              <w:kinsoku w:val="0"/>
              <w:overflowPunct w:val="0"/>
              <w:autoSpaceDE w:val="0"/>
              <w:autoSpaceDN w:val="0"/>
              <w:adjustRightInd w:val="0"/>
              <w:snapToGrid w:val="0"/>
              <w:jc w:val="right"/>
            </w:pPr>
            <w:r>
              <w:rPr>
                <w:rFonts w:hint="eastAsia"/>
              </w:rPr>
              <w:t>-35.66</w:t>
            </w:r>
          </w:p>
        </w:tc>
        <w:tc>
          <w:tcPr>
            <w:tcW w:w="1715" w:type="dxa"/>
            <w:vAlign w:val="center"/>
          </w:tcPr>
          <w:p w14:paraId="5D01AD8F" w14:textId="77777777" w:rsidR="005E000F" w:rsidRDefault="00000000">
            <w:pPr>
              <w:kinsoku w:val="0"/>
              <w:overflowPunct w:val="0"/>
              <w:autoSpaceDE w:val="0"/>
              <w:autoSpaceDN w:val="0"/>
              <w:adjustRightInd w:val="0"/>
              <w:snapToGrid w:val="0"/>
              <w:jc w:val="right"/>
            </w:pPr>
            <w:r>
              <w:t>17,726,904,763</w:t>
            </w:r>
          </w:p>
        </w:tc>
      </w:tr>
      <w:tr w:rsidR="005E000F" w14:paraId="56742E0B" w14:textId="77777777">
        <w:trPr>
          <w:trHeight w:val="285"/>
        </w:trPr>
        <w:tc>
          <w:tcPr>
            <w:tcW w:w="3085" w:type="dxa"/>
            <w:vAlign w:val="center"/>
          </w:tcPr>
          <w:p w14:paraId="648307EC" w14:textId="77777777" w:rsidR="005E000F" w:rsidRDefault="00000000">
            <w:pPr>
              <w:kinsoku w:val="0"/>
              <w:overflowPunct w:val="0"/>
              <w:autoSpaceDE w:val="0"/>
              <w:autoSpaceDN w:val="0"/>
              <w:adjustRightInd w:val="0"/>
              <w:snapToGrid w:val="0"/>
            </w:pPr>
            <w:r>
              <w:rPr>
                <w:rFonts w:hint="eastAsia"/>
              </w:rPr>
              <w:t>归属于上市公司股东的净利润</w:t>
            </w:r>
          </w:p>
        </w:tc>
        <w:tc>
          <w:tcPr>
            <w:tcW w:w="1640" w:type="dxa"/>
            <w:vAlign w:val="center"/>
          </w:tcPr>
          <w:p w14:paraId="11D3D2B0" w14:textId="77777777" w:rsidR="005E000F" w:rsidRDefault="00000000">
            <w:pPr>
              <w:kinsoku w:val="0"/>
              <w:overflowPunct w:val="0"/>
              <w:autoSpaceDE w:val="0"/>
              <w:autoSpaceDN w:val="0"/>
              <w:adjustRightInd w:val="0"/>
              <w:snapToGrid w:val="0"/>
              <w:jc w:val="right"/>
            </w:pPr>
            <w:r>
              <w:t>5,900,148,479</w:t>
            </w:r>
          </w:p>
        </w:tc>
        <w:tc>
          <w:tcPr>
            <w:tcW w:w="1762" w:type="dxa"/>
            <w:vAlign w:val="center"/>
          </w:tcPr>
          <w:p w14:paraId="06465746" w14:textId="77777777" w:rsidR="005E000F" w:rsidRDefault="00000000">
            <w:pPr>
              <w:kinsoku w:val="0"/>
              <w:overflowPunct w:val="0"/>
              <w:autoSpaceDE w:val="0"/>
              <w:autoSpaceDN w:val="0"/>
              <w:adjustRightInd w:val="0"/>
              <w:snapToGrid w:val="0"/>
              <w:jc w:val="right"/>
              <w:rPr>
                <w:bCs/>
              </w:rPr>
            </w:pPr>
            <w:r>
              <w:t>9,039,359,180</w:t>
            </w:r>
          </w:p>
        </w:tc>
        <w:tc>
          <w:tcPr>
            <w:tcW w:w="1120" w:type="dxa"/>
            <w:vAlign w:val="center"/>
          </w:tcPr>
          <w:p w14:paraId="538EC7C9" w14:textId="77777777" w:rsidR="005E000F" w:rsidRDefault="00000000">
            <w:pPr>
              <w:kinsoku w:val="0"/>
              <w:overflowPunct w:val="0"/>
              <w:autoSpaceDE w:val="0"/>
              <w:autoSpaceDN w:val="0"/>
              <w:adjustRightInd w:val="0"/>
              <w:snapToGrid w:val="0"/>
              <w:jc w:val="right"/>
            </w:pPr>
            <w:r>
              <w:rPr>
                <w:rFonts w:hint="eastAsia"/>
              </w:rPr>
              <w:t>-34.73</w:t>
            </w:r>
          </w:p>
        </w:tc>
        <w:tc>
          <w:tcPr>
            <w:tcW w:w="1715" w:type="dxa"/>
            <w:vAlign w:val="center"/>
          </w:tcPr>
          <w:p w14:paraId="27933C11" w14:textId="77777777" w:rsidR="005E000F" w:rsidRDefault="00000000">
            <w:pPr>
              <w:kinsoku w:val="0"/>
              <w:overflowPunct w:val="0"/>
              <w:autoSpaceDE w:val="0"/>
              <w:autoSpaceDN w:val="0"/>
              <w:adjustRightInd w:val="0"/>
              <w:snapToGrid w:val="0"/>
              <w:jc w:val="right"/>
            </w:pPr>
            <w:r>
              <w:t>11,930,006,082</w:t>
            </w:r>
          </w:p>
        </w:tc>
      </w:tr>
      <w:tr w:rsidR="005E000F" w14:paraId="36976273" w14:textId="77777777">
        <w:trPr>
          <w:trHeight w:val="285"/>
        </w:trPr>
        <w:tc>
          <w:tcPr>
            <w:tcW w:w="3085" w:type="dxa"/>
            <w:vAlign w:val="center"/>
          </w:tcPr>
          <w:p w14:paraId="42173BFB" w14:textId="77777777" w:rsidR="005E000F" w:rsidRDefault="00000000">
            <w:pPr>
              <w:kinsoku w:val="0"/>
              <w:overflowPunct w:val="0"/>
              <w:autoSpaceDE w:val="0"/>
              <w:autoSpaceDN w:val="0"/>
              <w:adjustRightInd w:val="0"/>
              <w:snapToGrid w:val="0"/>
            </w:pPr>
            <w:r>
              <w:rPr>
                <w:rFonts w:hint="eastAsia"/>
              </w:rPr>
              <w:t>归属于上市公司股东的扣除非经常性损益的净利润</w:t>
            </w:r>
          </w:p>
        </w:tc>
        <w:tc>
          <w:tcPr>
            <w:tcW w:w="1640" w:type="dxa"/>
            <w:vAlign w:val="center"/>
          </w:tcPr>
          <w:p w14:paraId="1064D9D0" w14:textId="77777777" w:rsidR="005E000F" w:rsidRDefault="00000000">
            <w:pPr>
              <w:kinsoku w:val="0"/>
              <w:overflowPunct w:val="0"/>
              <w:autoSpaceDE w:val="0"/>
              <w:autoSpaceDN w:val="0"/>
              <w:adjustRightInd w:val="0"/>
              <w:snapToGrid w:val="0"/>
              <w:jc w:val="right"/>
            </w:pPr>
            <w:r>
              <w:t>5,860,925,621</w:t>
            </w:r>
          </w:p>
        </w:tc>
        <w:tc>
          <w:tcPr>
            <w:tcW w:w="1762" w:type="dxa"/>
            <w:vAlign w:val="center"/>
          </w:tcPr>
          <w:p w14:paraId="0804BAEF" w14:textId="77777777" w:rsidR="005E000F" w:rsidRDefault="00000000">
            <w:pPr>
              <w:kinsoku w:val="0"/>
              <w:overflowPunct w:val="0"/>
              <w:autoSpaceDE w:val="0"/>
              <w:autoSpaceDN w:val="0"/>
              <w:adjustRightInd w:val="0"/>
              <w:snapToGrid w:val="0"/>
              <w:jc w:val="right"/>
              <w:rPr>
                <w:bCs/>
              </w:rPr>
            </w:pPr>
            <w:r>
              <w:t>9,035,894,562</w:t>
            </w:r>
          </w:p>
        </w:tc>
        <w:tc>
          <w:tcPr>
            <w:tcW w:w="1120" w:type="dxa"/>
            <w:vAlign w:val="center"/>
          </w:tcPr>
          <w:p w14:paraId="38842968" w14:textId="77777777" w:rsidR="005E000F" w:rsidRDefault="00000000">
            <w:pPr>
              <w:kinsoku w:val="0"/>
              <w:overflowPunct w:val="0"/>
              <w:autoSpaceDE w:val="0"/>
              <w:autoSpaceDN w:val="0"/>
              <w:adjustRightInd w:val="0"/>
              <w:snapToGrid w:val="0"/>
              <w:jc w:val="right"/>
            </w:pPr>
            <w:r>
              <w:rPr>
                <w:rFonts w:hint="eastAsia"/>
              </w:rPr>
              <w:t>-35.14</w:t>
            </w:r>
          </w:p>
        </w:tc>
        <w:tc>
          <w:tcPr>
            <w:tcW w:w="1715" w:type="dxa"/>
            <w:vAlign w:val="center"/>
          </w:tcPr>
          <w:p w14:paraId="413558AB" w14:textId="77777777" w:rsidR="005E000F" w:rsidRDefault="00000000">
            <w:pPr>
              <w:kinsoku w:val="0"/>
              <w:overflowPunct w:val="0"/>
              <w:autoSpaceDE w:val="0"/>
              <w:autoSpaceDN w:val="0"/>
              <w:adjustRightInd w:val="0"/>
              <w:snapToGrid w:val="0"/>
              <w:jc w:val="right"/>
            </w:pPr>
            <w:r>
              <w:t>11,957,831,611</w:t>
            </w:r>
          </w:p>
        </w:tc>
      </w:tr>
      <w:tr w:rsidR="005E000F" w14:paraId="443BC04D" w14:textId="77777777">
        <w:trPr>
          <w:trHeight w:val="285"/>
        </w:trPr>
        <w:tc>
          <w:tcPr>
            <w:tcW w:w="3085" w:type="dxa"/>
            <w:vAlign w:val="center"/>
          </w:tcPr>
          <w:p w14:paraId="68A8B6CF" w14:textId="77777777" w:rsidR="005E000F" w:rsidRDefault="00000000">
            <w:pPr>
              <w:kinsoku w:val="0"/>
              <w:overflowPunct w:val="0"/>
              <w:autoSpaceDE w:val="0"/>
              <w:autoSpaceDN w:val="0"/>
              <w:adjustRightInd w:val="0"/>
              <w:snapToGrid w:val="0"/>
              <w:rPr>
                <w:highlight w:val="magenta"/>
              </w:rPr>
            </w:pPr>
            <w:r>
              <w:rPr>
                <w:rFonts w:hint="eastAsia"/>
              </w:rPr>
              <w:t>经营活动产生的现金流量净额</w:t>
            </w:r>
          </w:p>
        </w:tc>
        <w:tc>
          <w:tcPr>
            <w:tcW w:w="1640" w:type="dxa"/>
            <w:vAlign w:val="center"/>
          </w:tcPr>
          <w:p w14:paraId="2B7A05A8" w14:textId="77777777" w:rsidR="005E000F" w:rsidRDefault="00000000">
            <w:pPr>
              <w:kinsoku w:val="0"/>
              <w:overflowPunct w:val="0"/>
              <w:autoSpaceDE w:val="0"/>
              <w:autoSpaceDN w:val="0"/>
              <w:adjustRightInd w:val="0"/>
              <w:snapToGrid w:val="0"/>
              <w:jc w:val="right"/>
            </w:pPr>
            <w:r>
              <w:t>4,986,743,179</w:t>
            </w:r>
          </w:p>
        </w:tc>
        <w:tc>
          <w:tcPr>
            <w:tcW w:w="1762" w:type="dxa"/>
            <w:vAlign w:val="center"/>
          </w:tcPr>
          <w:p w14:paraId="0337CB70" w14:textId="77777777" w:rsidR="005E000F" w:rsidRDefault="00000000">
            <w:pPr>
              <w:kinsoku w:val="0"/>
              <w:overflowPunct w:val="0"/>
              <w:autoSpaceDE w:val="0"/>
              <w:autoSpaceDN w:val="0"/>
              <w:adjustRightInd w:val="0"/>
              <w:snapToGrid w:val="0"/>
              <w:jc w:val="right"/>
            </w:pPr>
            <w:r>
              <w:t>9,316,632,097</w:t>
            </w:r>
          </w:p>
        </w:tc>
        <w:tc>
          <w:tcPr>
            <w:tcW w:w="1120" w:type="dxa"/>
            <w:vAlign w:val="center"/>
          </w:tcPr>
          <w:p w14:paraId="0E842D28" w14:textId="77777777" w:rsidR="005E000F" w:rsidRDefault="00000000">
            <w:pPr>
              <w:kinsoku w:val="0"/>
              <w:overflowPunct w:val="0"/>
              <w:autoSpaceDE w:val="0"/>
              <w:autoSpaceDN w:val="0"/>
              <w:adjustRightInd w:val="0"/>
              <w:snapToGrid w:val="0"/>
              <w:jc w:val="right"/>
            </w:pPr>
            <w:r>
              <w:rPr>
                <w:rFonts w:hint="eastAsia"/>
              </w:rPr>
              <w:t>-46.47</w:t>
            </w:r>
          </w:p>
        </w:tc>
        <w:tc>
          <w:tcPr>
            <w:tcW w:w="1715" w:type="dxa"/>
            <w:vAlign w:val="center"/>
          </w:tcPr>
          <w:p w14:paraId="7FC5041D" w14:textId="77777777" w:rsidR="005E000F" w:rsidRDefault="00000000">
            <w:pPr>
              <w:kinsoku w:val="0"/>
              <w:overflowPunct w:val="0"/>
              <w:autoSpaceDE w:val="0"/>
              <w:autoSpaceDN w:val="0"/>
              <w:adjustRightInd w:val="0"/>
              <w:snapToGrid w:val="0"/>
              <w:jc w:val="right"/>
            </w:pPr>
            <w:r>
              <w:t>17,245,661,426</w:t>
            </w:r>
          </w:p>
        </w:tc>
      </w:tr>
      <w:tr w:rsidR="005E000F" w14:paraId="4D6CA9DC" w14:textId="77777777">
        <w:trPr>
          <w:trHeight w:val="533"/>
        </w:trPr>
        <w:tc>
          <w:tcPr>
            <w:tcW w:w="3085" w:type="dxa"/>
            <w:vAlign w:val="center"/>
          </w:tcPr>
          <w:p w14:paraId="434D15E0" w14:textId="77777777" w:rsidR="005E000F" w:rsidRDefault="005E000F">
            <w:pPr>
              <w:kinsoku w:val="0"/>
              <w:overflowPunct w:val="0"/>
              <w:autoSpaceDE w:val="0"/>
              <w:autoSpaceDN w:val="0"/>
              <w:adjustRightInd w:val="0"/>
              <w:snapToGrid w:val="0"/>
            </w:pPr>
          </w:p>
        </w:tc>
        <w:sdt>
          <w:sdtPr>
            <w:tag w:val="_PLD_8b9fbdc9e2634c6292801d605b122b71"/>
            <w:id w:val="186957422"/>
          </w:sdtPr>
          <w:sdtContent>
            <w:tc>
              <w:tcPr>
                <w:tcW w:w="1640" w:type="dxa"/>
                <w:vAlign w:val="center"/>
              </w:tcPr>
              <w:p w14:paraId="7F4D0C49" w14:textId="77777777" w:rsidR="005E000F" w:rsidRDefault="00000000">
                <w:pPr>
                  <w:kinsoku w:val="0"/>
                  <w:overflowPunct w:val="0"/>
                  <w:autoSpaceDE w:val="0"/>
                  <w:autoSpaceDN w:val="0"/>
                  <w:adjustRightInd w:val="0"/>
                  <w:snapToGrid w:val="0"/>
                  <w:jc w:val="center"/>
                </w:pPr>
                <w:r>
                  <w:rPr>
                    <w:rFonts w:hint="eastAsia"/>
                  </w:rPr>
                  <w:t>2025</w:t>
                </w:r>
                <w:r>
                  <w:rPr>
                    <w:rFonts w:hint="eastAsia"/>
                  </w:rPr>
                  <w:t>年</w:t>
                </w:r>
                <w:r>
                  <w:t>末</w:t>
                </w:r>
              </w:p>
            </w:tc>
          </w:sdtContent>
        </w:sdt>
        <w:sdt>
          <w:sdtPr>
            <w:tag w:val="_PLD_81e66f862753453685ceebbc3f216adb"/>
            <w:id w:val="-667471657"/>
          </w:sdtPr>
          <w:sdtContent>
            <w:tc>
              <w:tcPr>
                <w:tcW w:w="1762" w:type="dxa"/>
                <w:vAlign w:val="center"/>
              </w:tcPr>
              <w:p w14:paraId="49DD4B86" w14:textId="77777777" w:rsidR="005E000F" w:rsidRDefault="00000000">
                <w:pPr>
                  <w:kinsoku w:val="0"/>
                  <w:overflowPunct w:val="0"/>
                  <w:autoSpaceDE w:val="0"/>
                  <w:autoSpaceDN w:val="0"/>
                  <w:adjustRightInd w:val="0"/>
                  <w:snapToGrid w:val="0"/>
                  <w:jc w:val="center"/>
                </w:pPr>
                <w:r>
                  <w:rPr>
                    <w:rFonts w:hint="eastAsia"/>
                  </w:rPr>
                  <w:t>2024</w:t>
                </w:r>
                <w:r>
                  <w:rPr>
                    <w:rFonts w:hint="eastAsia"/>
                  </w:rPr>
                  <w:t>年</w:t>
                </w:r>
                <w:r>
                  <w:t>末</w:t>
                </w:r>
              </w:p>
            </w:tc>
          </w:sdtContent>
        </w:sdt>
        <w:sdt>
          <w:sdtPr>
            <w:tag w:val="_PLD_eccdaa2d1ee940be88fdba6d8a4ef55d"/>
            <w:id w:val="53975082"/>
          </w:sdtPr>
          <w:sdtContent>
            <w:tc>
              <w:tcPr>
                <w:tcW w:w="1120" w:type="dxa"/>
                <w:vAlign w:val="center"/>
              </w:tcPr>
              <w:p w14:paraId="49A72906" w14:textId="77777777" w:rsidR="005E000F" w:rsidRDefault="00000000">
                <w:pPr>
                  <w:kinsoku w:val="0"/>
                  <w:overflowPunct w:val="0"/>
                  <w:autoSpaceDE w:val="0"/>
                  <w:autoSpaceDN w:val="0"/>
                  <w:adjustRightInd w:val="0"/>
                  <w:snapToGrid w:val="0"/>
                  <w:jc w:val="center"/>
                </w:pPr>
                <w:r>
                  <w:t>本期末比上年同期末增减（</w:t>
                </w:r>
                <w:r>
                  <w:rPr>
                    <w:rFonts w:hint="eastAsia"/>
                  </w:rPr>
                  <w:t>%</w:t>
                </w:r>
                <w:r>
                  <w:t>）</w:t>
                </w:r>
              </w:p>
            </w:tc>
          </w:sdtContent>
        </w:sdt>
        <w:sdt>
          <w:sdtPr>
            <w:tag w:val="_PLD_3af4b93afaec4509befbcf4b19db9883"/>
            <w:id w:val="-182899450"/>
          </w:sdtPr>
          <w:sdtContent>
            <w:tc>
              <w:tcPr>
                <w:tcW w:w="1715" w:type="dxa"/>
                <w:vAlign w:val="center"/>
              </w:tcPr>
              <w:p w14:paraId="2CDDA0C0" w14:textId="77777777" w:rsidR="005E000F" w:rsidRDefault="00000000">
                <w:pPr>
                  <w:kinsoku w:val="0"/>
                  <w:overflowPunct w:val="0"/>
                  <w:autoSpaceDE w:val="0"/>
                  <w:autoSpaceDN w:val="0"/>
                  <w:adjustRightInd w:val="0"/>
                  <w:snapToGrid w:val="0"/>
                  <w:jc w:val="center"/>
                </w:pPr>
                <w:r>
                  <w:rPr>
                    <w:rFonts w:hint="eastAsia"/>
                  </w:rPr>
                  <w:t>2023</w:t>
                </w:r>
                <w:r>
                  <w:rPr>
                    <w:rFonts w:hint="eastAsia"/>
                  </w:rPr>
                  <w:t>年末</w:t>
                </w:r>
              </w:p>
            </w:tc>
          </w:sdtContent>
        </w:sdt>
      </w:tr>
      <w:tr w:rsidR="005E000F" w14:paraId="070DC134" w14:textId="77777777">
        <w:trPr>
          <w:trHeight w:val="285"/>
        </w:trPr>
        <w:tc>
          <w:tcPr>
            <w:tcW w:w="3085" w:type="dxa"/>
            <w:vAlign w:val="center"/>
          </w:tcPr>
          <w:p w14:paraId="5CBD3B08" w14:textId="77777777" w:rsidR="005E000F" w:rsidRDefault="00000000">
            <w:pPr>
              <w:kinsoku w:val="0"/>
              <w:overflowPunct w:val="0"/>
              <w:autoSpaceDE w:val="0"/>
              <w:autoSpaceDN w:val="0"/>
              <w:adjustRightInd w:val="0"/>
              <w:snapToGrid w:val="0"/>
            </w:pPr>
            <w:r>
              <w:rPr>
                <w:rFonts w:hint="eastAsia"/>
              </w:rPr>
              <w:t>归属于上市公司股东的净资产</w:t>
            </w:r>
          </w:p>
        </w:tc>
        <w:tc>
          <w:tcPr>
            <w:tcW w:w="1640" w:type="dxa"/>
            <w:vAlign w:val="center"/>
          </w:tcPr>
          <w:p w14:paraId="628E8123" w14:textId="77777777" w:rsidR="005E000F" w:rsidRDefault="00000000">
            <w:pPr>
              <w:widowControl/>
              <w:jc w:val="right"/>
              <w:textAlignment w:val="center"/>
            </w:pPr>
            <w:r>
              <w:rPr>
                <w:color w:val="000000"/>
                <w:lang w:bidi="ar"/>
              </w:rPr>
              <w:t>164,276,255,834</w:t>
            </w:r>
          </w:p>
        </w:tc>
        <w:tc>
          <w:tcPr>
            <w:tcW w:w="1762" w:type="dxa"/>
            <w:vAlign w:val="center"/>
          </w:tcPr>
          <w:p w14:paraId="0FFD16C0" w14:textId="77777777" w:rsidR="005E000F" w:rsidRDefault="00000000">
            <w:pPr>
              <w:kinsoku w:val="0"/>
              <w:overflowPunct w:val="0"/>
              <w:autoSpaceDE w:val="0"/>
              <w:autoSpaceDN w:val="0"/>
              <w:adjustRightInd w:val="0"/>
              <w:snapToGrid w:val="0"/>
              <w:jc w:val="right"/>
              <w:rPr>
                <w:bCs/>
              </w:rPr>
            </w:pPr>
            <w:r>
              <w:t>154,883,970,623</w:t>
            </w:r>
          </w:p>
        </w:tc>
        <w:tc>
          <w:tcPr>
            <w:tcW w:w="1120" w:type="dxa"/>
            <w:vAlign w:val="center"/>
          </w:tcPr>
          <w:p w14:paraId="7B5E80F7" w14:textId="77777777" w:rsidR="005E000F" w:rsidRDefault="00000000">
            <w:pPr>
              <w:kinsoku w:val="0"/>
              <w:overflowPunct w:val="0"/>
              <w:autoSpaceDE w:val="0"/>
              <w:autoSpaceDN w:val="0"/>
              <w:adjustRightInd w:val="0"/>
              <w:snapToGrid w:val="0"/>
              <w:jc w:val="right"/>
            </w:pPr>
            <w:r>
              <w:rPr>
                <w:rFonts w:hint="eastAsia"/>
              </w:rPr>
              <w:t>6.06</w:t>
            </w:r>
          </w:p>
        </w:tc>
        <w:tc>
          <w:tcPr>
            <w:tcW w:w="1715" w:type="dxa"/>
            <w:vAlign w:val="center"/>
          </w:tcPr>
          <w:p w14:paraId="73866CED" w14:textId="77777777" w:rsidR="005E000F" w:rsidRDefault="00000000">
            <w:pPr>
              <w:kinsoku w:val="0"/>
              <w:overflowPunct w:val="0"/>
              <w:autoSpaceDE w:val="0"/>
              <w:autoSpaceDN w:val="0"/>
              <w:adjustRightInd w:val="0"/>
              <w:snapToGrid w:val="0"/>
              <w:jc w:val="right"/>
            </w:pPr>
            <w:r>
              <w:t>137,762,871,163</w:t>
            </w:r>
          </w:p>
        </w:tc>
      </w:tr>
      <w:tr w:rsidR="005E000F" w14:paraId="59C9A486" w14:textId="77777777">
        <w:trPr>
          <w:trHeight w:val="58"/>
        </w:trPr>
        <w:tc>
          <w:tcPr>
            <w:tcW w:w="3085" w:type="dxa"/>
            <w:vAlign w:val="center"/>
          </w:tcPr>
          <w:p w14:paraId="35B99A2B" w14:textId="77777777" w:rsidR="005E000F" w:rsidRDefault="00000000">
            <w:pPr>
              <w:kinsoku w:val="0"/>
              <w:overflowPunct w:val="0"/>
              <w:autoSpaceDE w:val="0"/>
              <w:autoSpaceDN w:val="0"/>
              <w:adjustRightInd w:val="0"/>
              <w:snapToGrid w:val="0"/>
            </w:pPr>
            <w:r>
              <w:rPr>
                <w:rFonts w:hint="eastAsia"/>
              </w:rPr>
              <w:t>总资产</w:t>
            </w:r>
          </w:p>
        </w:tc>
        <w:tc>
          <w:tcPr>
            <w:tcW w:w="1640" w:type="dxa"/>
            <w:vAlign w:val="center"/>
          </w:tcPr>
          <w:p w14:paraId="2C5C38E4" w14:textId="77777777" w:rsidR="005E000F" w:rsidRDefault="00000000">
            <w:pPr>
              <w:widowControl/>
              <w:jc w:val="right"/>
              <w:textAlignment w:val="center"/>
            </w:pPr>
            <w:r>
              <w:rPr>
                <w:color w:val="000000"/>
                <w:lang w:bidi="ar"/>
              </w:rPr>
              <w:t>211,817,901,515</w:t>
            </w:r>
          </w:p>
        </w:tc>
        <w:tc>
          <w:tcPr>
            <w:tcW w:w="1762" w:type="dxa"/>
            <w:vAlign w:val="center"/>
          </w:tcPr>
          <w:p w14:paraId="68FF516D" w14:textId="77777777" w:rsidR="005E000F" w:rsidRDefault="00000000">
            <w:pPr>
              <w:kinsoku w:val="0"/>
              <w:overflowPunct w:val="0"/>
              <w:autoSpaceDE w:val="0"/>
              <w:autoSpaceDN w:val="0"/>
              <w:adjustRightInd w:val="0"/>
              <w:snapToGrid w:val="0"/>
              <w:jc w:val="right"/>
              <w:rPr>
                <w:bCs/>
              </w:rPr>
            </w:pPr>
            <w:r>
              <w:t>207,017,831,253</w:t>
            </w:r>
          </w:p>
        </w:tc>
        <w:tc>
          <w:tcPr>
            <w:tcW w:w="1120" w:type="dxa"/>
            <w:vAlign w:val="center"/>
          </w:tcPr>
          <w:p w14:paraId="25E3B132" w14:textId="77777777" w:rsidR="005E000F" w:rsidRDefault="00000000">
            <w:pPr>
              <w:kinsoku w:val="0"/>
              <w:overflowPunct w:val="0"/>
              <w:autoSpaceDE w:val="0"/>
              <w:autoSpaceDN w:val="0"/>
              <w:adjustRightInd w:val="0"/>
              <w:snapToGrid w:val="0"/>
              <w:jc w:val="right"/>
            </w:pPr>
            <w:r>
              <w:rPr>
                <w:rFonts w:hint="eastAsia"/>
              </w:rPr>
              <w:t>2.32</w:t>
            </w:r>
          </w:p>
        </w:tc>
        <w:tc>
          <w:tcPr>
            <w:tcW w:w="1715" w:type="dxa"/>
            <w:vAlign w:val="center"/>
          </w:tcPr>
          <w:p w14:paraId="2B11828A" w14:textId="77777777" w:rsidR="005E000F" w:rsidRDefault="00000000">
            <w:pPr>
              <w:kinsoku w:val="0"/>
              <w:overflowPunct w:val="0"/>
              <w:autoSpaceDE w:val="0"/>
              <w:autoSpaceDN w:val="0"/>
              <w:adjustRightInd w:val="0"/>
              <w:snapToGrid w:val="0"/>
              <w:jc w:val="right"/>
            </w:pPr>
            <w:r>
              <w:t>207,673,222,249</w:t>
            </w:r>
          </w:p>
        </w:tc>
      </w:tr>
    </w:tbl>
    <w:p w14:paraId="27B991F5" w14:textId="77777777" w:rsidR="005E000F" w:rsidRDefault="005E000F">
      <w:pPr>
        <w:kinsoku w:val="0"/>
        <w:overflowPunct w:val="0"/>
        <w:autoSpaceDE w:val="0"/>
        <w:autoSpaceDN w:val="0"/>
        <w:adjustRightInd w:val="0"/>
        <w:snapToGrid w:val="0"/>
      </w:pPr>
      <w:bookmarkStart w:id="25" w:name="_Hlk61879976"/>
      <w:bookmarkStart w:id="26" w:name="_Hlk61879983"/>
      <w:bookmarkEnd w:id="25"/>
      <w:bookmarkEnd w:id="26"/>
    </w:p>
    <w:p w14:paraId="15211F5A" w14:textId="77777777" w:rsidR="005E000F" w:rsidRDefault="00000000">
      <w:pPr>
        <w:pStyle w:val="3"/>
        <w:numPr>
          <w:ilvl w:val="1"/>
          <w:numId w:val="5"/>
        </w:numPr>
        <w:rPr>
          <w:rFonts w:ascii="宋体" w:hAnsi="宋体"/>
          <w:szCs w:val="21"/>
        </w:rPr>
      </w:pPr>
      <w:bookmarkStart w:id="27" w:name="_Hlk61879994"/>
      <w:bookmarkEnd w:id="27"/>
      <w:r>
        <w:lastRenderedPageBreak/>
        <w:t>主要财务指标</w:t>
      </w:r>
    </w:p>
    <w:tbl>
      <w:tblPr>
        <w:tblStyle w:val="aff2"/>
        <w:tblW w:w="0" w:type="auto"/>
        <w:tblLayout w:type="fixed"/>
        <w:tblLook w:val="04A0" w:firstRow="1" w:lastRow="0" w:firstColumn="1" w:lastColumn="0" w:noHBand="0" w:noVBand="1"/>
      </w:tblPr>
      <w:tblGrid>
        <w:gridCol w:w="3194"/>
        <w:gridCol w:w="1453"/>
        <w:gridCol w:w="1324"/>
        <w:gridCol w:w="1538"/>
        <w:gridCol w:w="1538"/>
      </w:tblGrid>
      <w:tr w:rsidR="005E000F" w14:paraId="54FE8BC5" w14:textId="77777777">
        <w:sdt>
          <w:sdtPr>
            <w:tag w:val="_PLD_a5c59cd3e5544374a4bd7ceda5f62092"/>
            <w:id w:val="-1875833212"/>
          </w:sdtPr>
          <w:sdtEndPr>
            <w:rPr>
              <w:szCs w:val="20"/>
            </w:rPr>
          </w:sdtEndPr>
          <w:sdtContent>
            <w:tc>
              <w:tcPr>
                <w:tcW w:w="3194" w:type="dxa"/>
                <w:vAlign w:val="center"/>
              </w:tcPr>
              <w:p w14:paraId="32BC6DC7" w14:textId="77777777" w:rsidR="005E000F" w:rsidRDefault="00000000">
                <w:pPr>
                  <w:kinsoku w:val="0"/>
                  <w:overflowPunct w:val="0"/>
                  <w:autoSpaceDE w:val="0"/>
                  <w:autoSpaceDN w:val="0"/>
                  <w:adjustRightInd w:val="0"/>
                  <w:snapToGrid w:val="0"/>
                  <w:jc w:val="center"/>
                </w:pPr>
                <w:r>
                  <w:t>主要财务指标</w:t>
                </w:r>
              </w:p>
            </w:tc>
          </w:sdtContent>
        </w:sdt>
        <w:sdt>
          <w:sdtPr>
            <w:tag w:val="_PLD_1a1e4f34f77949538a9c656b241499b6"/>
            <w:id w:val="437417276"/>
          </w:sdtPr>
          <w:sdtContent>
            <w:tc>
              <w:tcPr>
                <w:tcW w:w="1453" w:type="dxa"/>
                <w:vAlign w:val="center"/>
              </w:tcPr>
              <w:p w14:paraId="01CC39F9" w14:textId="77777777" w:rsidR="005E000F" w:rsidRDefault="00000000">
                <w:pPr>
                  <w:kinsoku w:val="0"/>
                  <w:overflowPunct w:val="0"/>
                  <w:autoSpaceDE w:val="0"/>
                  <w:autoSpaceDN w:val="0"/>
                  <w:adjustRightInd w:val="0"/>
                  <w:snapToGrid w:val="0"/>
                  <w:jc w:val="center"/>
                </w:pPr>
                <w:r>
                  <w:rPr>
                    <w:rFonts w:hint="eastAsia"/>
                  </w:rPr>
                  <w:t>2025</w:t>
                </w:r>
                <w:r>
                  <w:rPr>
                    <w:rFonts w:hint="eastAsia"/>
                  </w:rPr>
                  <w:t>年</w:t>
                </w:r>
              </w:p>
            </w:tc>
          </w:sdtContent>
        </w:sdt>
        <w:sdt>
          <w:sdtPr>
            <w:tag w:val="_PLD_9310148e9c2c4e968f8a8cf7147fc9a7"/>
            <w:id w:val="-618761916"/>
          </w:sdtPr>
          <w:sdtContent>
            <w:tc>
              <w:tcPr>
                <w:tcW w:w="1324" w:type="dxa"/>
                <w:vAlign w:val="center"/>
              </w:tcPr>
              <w:p w14:paraId="12D8AE4C" w14:textId="77777777" w:rsidR="005E000F" w:rsidRDefault="00000000">
                <w:pPr>
                  <w:kinsoku w:val="0"/>
                  <w:overflowPunct w:val="0"/>
                  <w:autoSpaceDE w:val="0"/>
                  <w:autoSpaceDN w:val="0"/>
                  <w:adjustRightInd w:val="0"/>
                  <w:snapToGrid w:val="0"/>
                  <w:jc w:val="center"/>
                </w:pPr>
                <w:r>
                  <w:rPr>
                    <w:rFonts w:hint="eastAsia"/>
                  </w:rPr>
                  <w:t>2024</w:t>
                </w:r>
                <w:r>
                  <w:rPr>
                    <w:rFonts w:hint="eastAsia"/>
                  </w:rPr>
                  <w:t>年</w:t>
                </w:r>
              </w:p>
            </w:tc>
          </w:sdtContent>
        </w:sdt>
        <w:sdt>
          <w:sdtPr>
            <w:tag w:val="_PLD_5901f5518cb6434888ae838febb8af68"/>
            <w:id w:val="-1997487366"/>
          </w:sdtPr>
          <w:sdtContent>
            <w:tc>
              <w:tcPr>
                <w:tcW w:w="1538" w:type="dxa"/>
                <w:vAlign w:val="center"/>
              </w:tcPr>
              <w:p w14:paraId="1DA34CDD" w14:textId="77777777" w:rsidR="005E000F" w:rsidRDefault="00000000">
                <w:pPr>
                  <w:kinsoku w:val="0"/>
                  <w:overflowPunct w:val="0"/>
                  <w:autoSpaceDE w:val="0"/>
                  <w:autoSpaceDN w:val="0"/>
                  <w:adjustRightInd w:val="0"/>
                  <w:snapToGrid w:val="0"/>
                  <w:jc w:val="center"/>
                </w:pPr>
                <w:r>
                  <w:t>本期比上年同期增减</w:t>
                </w:r>
                <w:r>
                  <w:rPr>
                    <w:rFonts w:hint="eastAsia"/>
                  </w:rPr>
                  <w:t>（</w:t>
                </w:r>
                <w:r>
                  <w:t>%</w:t>
                </w:r>
                <w:r>
                  <w:rPr>
                    <w:rFonts w:hint="eastAsia"/>
                  </w:rPr>
                  <w:t>）</w:t>
                </w:r>
              </w:p>
            </w:tc>
          </w:sdtContent>
        </w:sdt>
        <w:sdt>
          <w:sdtPr>
            <w:tag w:val="_PLD_437266ed462e4dd1873b86621495169c"/>
            <w:id w:val="1641152977"/>
          </w:sdtPr>
          <w:sdtContent>
            <w:tc>
              <w:tcPr>
                <w:tcW w:w="1538" w:type="dxa"/>
                <w:vAlign w:val="center"/>
              </w:tcPr>
              <w:p w14:paraId="1CC88E0F" w14:textId="77777777" w:rsidR="005E000F" w:rsidRDefault="00000000">
                <w:pPr>
                  <w:kinsoku w:val="0"/>
                  <w:overflowPunct w:val="0"/>
                  <w:autoSpaceDE w:val="0"/>
                  <w:autoSpaceDN w:val="0"/>
                  <w:adjustRightInd w:val="0"/>
                  <w:snapToGrid w:val="0"/>
                  <w:jc w:val="center"/>
                </w:pPr>
                <w:r>
                  <w:rPr>
                    <w:rFonts w:hint="eastAsia"/>
                  </w:rPr>
                  <w:t>2023</w:t>
                </w:r>
                <w:r>
                  <w:rPr>
                    <w:rFonts w:hint="eastAsia"/>
                  </w:rPr>
                  <w:t>年</w:t>
                </w:r>
              </w:p>
            </w:tc>
          </w:sdtContent>
        </w:sdt>
      </w:tr>
      <w:tr w:rsidR="005E000F" w14:paraId="0C247D43" w14:textId="77777777">
        <w:tc>
          <w:tcPr>
            <w:tcW w:w="3194" w:type="dxa"/>
            <w:vAlign w:val="center"/>
          </w:tcPr>
          <w:p w14:paraId="4444F8DB" w14:textId="77777777" w:rsidR="005E000F" w:rsidRDefault="00000000">
            <w:pPr>
              <w:kinsoku w:val="0"/>
              <w:overflowPunct w:val="0"/>
              <w:autoSpaceDE w:val="0"/>
              <w:autoSpaceDN w:val="0"/>
              <w:adjustRightInd w:val="0"/>
              <w:snapToGrid w:val="0"/>
            </w:pPr>
            <w:r>
              <w:t>基本每股收益（元／股）</w:t>
            </w:r>
          </w:p>
        </w:tc>
        <w:tc>
          <w:tcPr>
            <w:tcW w:w="1453" w:type="dxa"/>
            <w:vAlign w:val="center"/>
          </w:tcPr>
          <w:p w14:paraId="250BBFCE" w14:textId="77777777" w:rsidR="005E000F" w:rsidRDefault="00000000">
            <w:pPr>
              <w:widowControl/>
              <w:jc w:val="right"/>
              <w:textAlignment w:val="center"/>
            </w:pPr>
            <w:r>
              <w:rPr>
                <w:color w:val="000000"/>
                <w:lang w:bidi="ar"/>
              </w:rPr>
              <w:t>0.3</w:t>
            </w:r>
            <w:r>
              <w:rPr>
                <w:rFonts w:hint="eastAsia"/>
                <w:color w:val="000000"/>
                <w:lang w:bidi="ar"/>
              </w:rPr>
              <w:t>0</w:t>
            </w:r>
          </w:p>
        </w:tc>
        <w:tc>
          <w:tcPr>
            <w:tcW w:w="1324" w:type="dxa"/>
            <w:vAlign w:val="center"/>
          </w:tcPr>
          <w:p w14:paraId="4EC9F7EF" w14:textId="77777777" w:rsidR="005E000F" w:rsidRDefault="00000000">
            <w:pPr>
              <w:kinsoku w:val="0"/>
              <w:overflowPunct w:val="0"/>
              <w:autoSpaceDE w:val="0"/>
              <w:autoSpaceDN w:val="0"/>
              <w:adjustRightInd w:val="0"/>
              <w:snapToGrid w:val="0"/>
              <w:jc w:val="right"/>
            </w:pPr>
            <w:r>
              <w:t>0.51</w:t>
            </w:r>
          </w:p>
        </w:tc>
        <w:tc>
          <w:tcPr>
            <w:tcW w:w="1538" w:type="dxa"/>
            <w:vAlign w:val="center"/>
          </w:tcPr>
          <w:p w14:paraId="35396B35" w14:textId="77777777" w:rsidR="005E000F" w:rsidRDefault="00000000">
            <w:pPr>
              <w:kinsoku w:val="0"/>
              <w:overflowPunct w:val="0"/>
              <w:autoSpaceDE w:val="0"/>
              <w:autoSpaceDN w:val="0"/>
              <w:adjustRightInd w:val="0"/>
              <w:snapToGrid w:val="0"/>
              <w:jc w:val="right"/>
            </w:pPr>
            <w:r>
              <w:rPr>
                <w:rFonts w:hint="eastAsia"/>
              </w:rPr>
              <w:t>-41.18</w:t>
            </w:r>
          </w:p>
        </w:tc>
        <w:tc>
          <w:tcPr>
            <w:tcW w:w="1538" w:type="dxa"/>
            <w:vAlign w:val="center"/>
          </w:tcPr>
          <w:p w14:paraId="76D2B2DB" w14:textId="77777777" w:rsidR="005E000F" w:rsidRDefault="00000000">
            <w:pPr>
              <w:kinsoku w:val="0"/>
              <w:overflowPunct w:val="0"/>
              <w:autoSpaceDE w:val="0"/>
              <w:autoSpaceDN w:val="0"/>
              <w:adjustRightInd w:val="0"/>
              <w:snapToGrid w:val="0"/>
              <w:jc w:val="right"/>
            </w:pPr>
            <w:r>
              <w:t>0.79</w:t>
            </w:r>
          </w:p>
        </w:tc>
      </w:tr>
      <w:tr w:rsidR="005E000F" w14:paraId="1CDE74B1" w14:textId="77777777">
        <w:trPr>
          <w:trHeight w:val="90"/>
        </w:trPr>
        <w:tc>
          <w:tcPr>
            <w:tcW w:w="3194" w:type="dxa"/>
            <w:vAlign w:val="center"/>
          </w:tcPr>
          <w:p w14:paraId="6EE636FF" w14:textId="77777777" w:rsidR="005E000F" w:rsidRDefault="00000000">
            <w:pPr>
              <w:kinsoku w:val="0"/>
              <w:overflowPunct w:val="0"/>
              <w:autoSpaceDE w:val="0"/>
              <w:autoSpaceDN w:val="0"/>
              <w:adjustRightInd w:val="0"/>
              <w:snapToGrid w:val="0"/>
            </w:pPr>
            <w:r>
              <w:t>稀释每股收益（元／股）</w:t>
            </w:r>
          </w:p>
        </w:tc>
        <w:tc>
          <w:tcPr>
            <w:tcW w:w="1453" w:type="dxa"/>
            <w:vAlign w:val="center"/>
          </w:tcPr>
          <w:p w14:paraId="10D8D5AB" w14:textId="77777777" w:rsidR="005E000F" w:rsidRDefault="00000000">
            <w:pPr>
              <w:widowControl/>
              <w:jc w:val="right"/>
              <w:textAlignment w:val="center"/>
            </w:pPr>
            <w:r>
              <w:rPr>
                <w:color w:val="000000"/>
                <w:lang w:bidi="ar"/>
              </w:rPr>
              <w:t>0.3</w:t>
            </w:r>
            <w:r>
              <w:rPr>
                <w:rFonts w:hint="eastAsia"/>
                <w:color w:val="000000"/>
                <w:lang w:bidi="ar"/>
              </w:rPr>
              <w:t>0</w:t>
            </w:r>
          </w:p>
        </w:tc>
        <w:tc>
          <w:tcPr>
            <w:tcW w:w="1324" w:type="dxa"/>
            <w:vAlign w:val="center"/>
          </w:tcPr>
          <w:p w14:paraId="6989AC81" w14:textId="77777777" w:rsidR="005E000F" w:rsidRDefault="00000000">
            <w:pPr>
              <w:kinsoku w:val="0"/>
              <w:overflowPunct w:val="0"/>
              <w:autoSpaceDE w:val="0"/>
              <w:autoSpaceDN w:val="0"/>
              <w:adjustRightInd w:val="0"/>
              <w:snapToGrid w:val="0"/>
              <w:jc w:val="right"/>
            </w:pPr>
            <w:r>
              <w:t>0.50</w:t>
            </w:r>
          </w:p>
        </w:tc>
        <w:tc>
          <w:tcPr>
            <w:tcW w:w="1538" w:type="dxa"/>
            <w:vAlign w:val="center"/>
          </w:tcPr>
          <w:p w14:paraId="61ABB138" w14:textId="77777777" w:rsidR="005E000F" w:rsidRDefault="00000000">
            <w:pPr>
              <w:kinsoku w:val="0"/>
              <w:overflowPunct w:val="0"/>
              <w:autoSpaceDE w:val="0"/>
              <w:autoSpaceDN w:val="0"/>
              <w:adjustRightInd w:val="0"/>
              <w:snapToGrid w:val="0"/>
              <w:jc w:val="right"/>
            </w:pPr>
            <w:r>
              <w:rPr>
                <w:rFonts w:hint="eastAsia"/>
              </w:rPr>
              <w:t>-40.00</w:t>
            </w:r>
          </w:p>
        </w:tc>
        <w:tc>
          <w:tcPr>
            <w:tcW w:w="1538" w:type="dxa"/>
            <w:vAlign w:val="center"/>
          </w:tcPr>
          <w:p w14:paraId="12BAA1D0" w14:textId="77777777" w:rsidR="005E000F" w:rsidRDefault="00000000">
            <w:pPr>
              <w:kinsoku w:val="0"/>
              <w:overflowPunct w:val="0"/>
              <w:autoSpaceDE w:val="0"/>
              <w:autoSpaceDN w:val="0"/>
              <w:adjustRightInd w:val="0"/>
              <w:snapToGrid w:val="0"/>
              <w:jc w:val="right"/>
            </w:pPr>
            <w:r>
              <w:t>0.68</w:t>
            </w:r>
          </w:p>
        </w:tc>
      </w:tr>
      <w:tr w:rsidR="005E000F" w14:paraId="1F2F180A" w14:textId="77777777">
        <w:tc>
          <w:tcPr>
            <w:tcW w:w="3194" w:type="dxa"/>
            <w:vAlign w:val="center"/>
          </w:tcPr>
          <w:p w14:paraId="1D2F72C2" w14:textId="77777777" w:rsidR="005E000F" w:rsidRDefault="00000000">
            <w:pPr>
              <w:kinsoku w:val="0"/>
              <w:overflowPunct w:val="0"/>
              <w:autoSpaceDE w:val="0"/>
              <w:autoSpaceDN w:val="0"/>
              <w:adjustRightInd w:val="0"/>
              <w:snapToGrid w:val="0"/>
            </w:pPr>
            <w:r>
              <w:t>扣除非经常性损益后的基本每股收益（元／股）</w:t>
            </w:r>
          </w:p>
        </w:tc>
        <w:tc>
          <w:tcPr>
            <w:tcW w:w="1453" w:type="dxa"/>
            <w:vAlign w:val="center"/>
          </w:tcPr>
          <w:p w14:paraId="405248C1" w14:textId="77777777" w:rsidR="005E000F" w:rsidRDefault="00000000">
            <w:pPr>
              <w:widowControl/>
              <w:jc w:val="right"/>
              <w:textAlignment w:val="center"/>
            </w:pPr>
            <w:r>
              <w:rPr>
                <w:color w:val="000000"/>
                <w:lang w:bidi="ar"/>
              </w:rPr>
              <w:t>0.29</w:t>
            </w:r>
          </w:p>
        </w:tc>
        <w:tc>
          <w:tcPr>
            <w:tcW w:w="1324" w:type="dxa"/>
            <w:vAlign w:val="center"/>
          </w:tcPr>
          <w:p w14:paraId="2FBDEA82" w14:textId="77777777" w:rsidR="005E000F" w:rsidRDefault="00000000">
            <w:pPr>
              <w:kinsoku w:val="0"/>
              <w:overflowPunct w:val="0"/>
              <w:autoSpaceDE w:val="0"/>
              <w:autoSpaceDN w:val="0"/>
              <w:adjustRightInd w:val="0"/>
              <w:snapToGrid w:val="0"/>
              <w:jc w:val="right"/>
            </w:pPr>
            <w:r>
              <w:t>0.51</w:t>
            </w:r>
          </w:p>
        </w:tc>
        <w:tc>
          <w:tcPr>
            <w:tcW w:w="1538" w:type="dxa"/>
            <w:vAlign w:val="center"/>
          </w:tcPr>
          <w:p w14:paraId="23DA4143" w14:textId="77777777" w:rsidR="005E000F" w:rsidRDefault="00000000">
            <w:pPr>
              <w:kinsoku w:val="0"/>
              <w:overflowPunct w:val="0"/>
              <w:autoSpaceDE w:val="0"/>
              <w:autoSpaceDN w:val="0"/>
              <w:adjustRightInd w:val="0"/>
              <w:snapToGrid w:val="0"/>
              <w:jc w:val="right"/>
            </w:pPr>
            <w:r>
              <w:rPr>
                <w:rFonts w:hint="eastAsia"/>
              </w:rPr>
              <w:t>-43.14</w:t>
            </w:r>
          </w:p>
        </w:tc>
        <w:tc>
          <w:tcPr>
            <w:tcW w:w="1538" w:type="dxa"/>
            <w:vAlign w:val="center"/>
          </w:tcPr>
          <w:p w14:paraId="07067E7C" w14:textId="77777777" w:rsidR="005E000F" w:rsidRDefault="00000000">
            <w:pPr>
              <w:kinsoku w:val="0"/>
              <w:overflowPunct w:val="0"/>
              <w:autoSpaceDE w:val="0"/>
              <w:autoSpaceDN w:val="0"/>
              <w:adjustRightInd w:val="0"/>
              <w:snapToGrid w:val="0"/>
              <w:jc w:val="right"/>
            </w:pPr>
            <w:r>
              <w:t>0.79</w:t>
            </w:r>
          </w:p>
        </w:tc>
      </w:tr>
      <w:tr w:rsidR="005E000F" w14:paraId="5621A705" w14:textId="77777777">
        <w:tc>
          <w:tcPr>
            <w:tcW w:w="3194" w:type="dxa"/>
            <w:vAlign w:val="center"/>
          </w:tcPr>
          <w:p w14:paraId="6CBA0BED" w14:textId="77777777" w:rsidR="005E000F" w:rsidRDefault="00000000">
            <w:pPr>
              <w:kinsoku w:val="0"/>
              <w:overflowPunct w:val="0"/>
              <w:autoSpaceDE w:val="0"/>
              <w:autoSpaceDN w:val="0"/>
              <w:adjustRightInd w:val="0"/>
              <w:snapToGrid w:val="0"/>
            </w:pPr>
            <w:r>
              <w:t>加权平均净资产收益率（</w:t>
            </w:r>
            <w:r>
              <w:t>%</w:t>
            </w:r>
            <w:r>
              <w:t>）</w:t>
            </w:r>
          </w:p>
        </w:tc>
        <w:tc>
          <w:tcPr>
            <w:tcW w:w="1453" w:type="dxa"/>
            <w:vAlign w:val="center"/>
          </w:tcPr>
          <w:p w14:paraId="38686A33" w14:textId="77777777" w:rsidR="005E000F" w:rsidRDefault="00000000">
            <w:pPr>
              <w:widowControl/>
              <w:jc w:val="right"/>
              <w:textAlignment w:val="center"/>
            </w:pPr>
            <w:r>
              <w:rPr>
                <w:color w:val="000000"/>
                <w:lang w:bidi="ar"/>
              </w:rPr>
              <w:t>3.64</w:t>
            </w:r>
          </w:p>
        </w:tc>
        <w:tc>
          <w:tcPr>
            <w:tcW w:w="1324" w:type="dxa"/>
            <w:vAlign w:val="center"/>
          </w:tcPr>
          <w:p w14:paraId="18BEFDF9" w14:textId="77777777" w:rsidR="005E000F" w:rsidRDefault="00000000">
            <w:pPr>
              <w:kinsoku w:val="0"/>
              <w:overflowPunct w:val="0"/>
              <w:autoSpaceDE w:val="0"/>
              <w:autoSpaceDN w:val="0"/>
              <w:adjustRightInd w:val="0"/>
              <w:snapToGrid w:val="0"/>
              <w:jc w:val="right"/>
            </w:pPr>
            <w:r>
              <w:t>6.10</w:t>
            </w:r>
          </w:p>
        </w:tc>
        <w:tc>
          <w:tcPr>
            <w:tcW w:w="1538" w:type="dxa"/>
            <w:vAlign w:val="center"/>
          </w:tcPr>
          <w:p w14:paraId="7221EBF5" w14:textId="77777777" w:rsidR="005E000F" w:rsidRDefault="00000000">
            <w:pPr>
              <w:kinsoku w:val="0"/>
              <w:overflowPunct w:val="0"/>
              <w:autoSpaceDE w:val="0"/>
              <w:autoSpaceDN w:val="0"/>
              <w:adjustRightInd w:val="0"/>
              <w:snapToGrid w:val="0"/>
              <w:jc w:val="right"/>
            </w:pPr>
            <w:r>
              <w:t>减少</w:t>
            </w:r>
            <w:r>
              <w:t>2</w:t>
            </w:r>
            <w:r>
              <w:rPr>
                <w:rFonts w:hint="eastAsia"/>
              </w:rPr>
              <w:t>.46</w:t>
            </w:r>
            <w:r>
              <w:t>个百分点</w:t>
            </w:r>
          </w:p>
        </w:tc>
        <w:tc>
          <w:tcPr>
            <w:tcW w:w="1538" w:type="dxa"/>
            <w:vAlign w:val="center"/>
          </w:tcPr>
          <w:p w14:paraId="1A66002E" w14:textId="77777777" w:rsidR="005E000F" w:rsidRDefault="00000000">
            <w:pPr>
              <w:kinsoku w:val="0"/>
              <w:overflowPunct w:val="0"/>
              <w:autoSpaceDE w:val="0"/>
              <w:autoSpaceDN w:val="0"/>
              <w:adjustRightInd w:val="0"/>
              <w:snapToGrid w:val="0"/>
              <w:jc w:val="right"/>
            </w:pPr>
            <w:r>
              <w:t>9.09</w:t>
            </w:r>
          </w:p>
        </w:tc>
      </w:tr>
      <w:tr w:rsidR="005E000F" w14:paraId="63BE91E6" w14:textId="77777777">
        <w:tc>
          <w:tcPr>
            <w:tcW w:w="3194" w:type="dxa"/>
            <w:vAlign w:val="center"/>
          </w:tcPr>
          <w:p w14:paraId="64116180" w14:textId="77777777" w:rsidR="005E000F" w:rsidRDefault="00000000">
            <w:pPr>
              <w:kinsoku w:val="0"/>
              <w:overflowPunct w:val="0"/>
              <w:autoSpaceDE w:val="0"/>
              <w:autoSpaceDN w:val="0"/>
              <w:adjustRightInd w:val="0"/>
              <w:snapToGrid w:val="0"/>
            </w:pPr>
            <w:r>
              <w:t>扣除非经常性损益后的加权平均净资产收益率（</w:t>
            </w:r>
            <w:r>
              <w:t>%</w:t>
            </w:r>
            <w:r>
              <w:t>）</w:t>
            </w:r>
          </w:p>
        </w:tc>
        <w:tc>
          <w:tcPr>
            <w:tcW w:w="1453" w:type="dxa"/>
            <w:vAlign w:val="center"/>
          </w:tcPr>
          <w:p w14:paraId="09D660EB" w14:textId="77777777" w:rsidR="005E000F" w:rsidRDefault="00000000">
            <w:pPr>
              <w:widowControl/>
              <w:jc w:val="right"/>
              <w:textAlignment w:val="center"/>
            </w:pPr>
            <w:r>
              <w:rPr>
                <w:color w:val="000000"/>
                <w:lang w:bidi="ar"/>
              </w:rPr>
              <w:t>3.62</w:t>
            </w:r>
          </w:p>
        </w:tc>
        <w:tc>
          <w:tcPr>
            <w:tcW w:w="1324" w:type="dxa"/>
            <w:vAlign w:val="center"/>
          </w:tcPr>
          <w:p w14:paraId="0050BCB1" w14:textId="77777777" w:rsidR="005E000F" w:rsidRDefault="00000000">
            <w:pPr>
              <w:kinsoku w:val="0"/>
              <w:overflowPunct w:val="0"/>
              <w:autoSpaceDE w:val="0"/>
              <w:autoSpaceDN w:val="0"/>
              <w:adjustRightInd w:val="0"/>
              <w:snapToGrid w:val="0"/>
              <w:jc w:val="right"/>
            </w:pPr>
            <w:r>
              <w:t>6.09</w:t>
            </w:r>
          </w:p>
        </w:tc>
        <w:tc>
          <w:tcPr>
            <w:tcW w:w="1538" w:type="dxa"/>
            <w:vAlign w:val="center"/>
          </w:tcPr>
          <w:p w14:paraId="346370F3" w14:textId="77777777" w:rsidR="005E000F" w:rsidRDefault="00000000">
            <w:pPr>
              <w:kinsoku w:val="0"/>
              <w:overflowPunct w:val="0"/>
              <w:autoSpaceDE w:val="0"/>
              <w:autoSpaceDN w:val="0"/>
              <w:adjustRightInd w:val="0"/>
              <w:snapToGrid w:val="0"/>
              <w:jc w:val="right"/>
            </w:pPr>
            <w:r>
              <w:t>减少</w:t>
            </w:r>
            <w:r>
              <w:t>2</w:t>
            </w:r>
            <w:r>
              <w:rPr>
                <w:rFonts w:hint="eastAsia"/>
              </w:rPr>
              <w:t>.47</w:t>
            </w:r>
            <w:r>
              <w:t>个百分点</w:t>
            </w:r>
          </w:p>
        </w:tc>
        <w:tc>
          <w:tcPr>
            <w:tcW w:w="1538" w:type="dxa"/>
            <w:vAlign w:val="center"/>
          </w:tcPr>
          <w:p w14:paraId="65F0D8EB" w14:textId="77777777" w:rsidR="005E000F" w:rsidRDefault="00000000">
            <w:pPr>
              <w:kinsoku w:val="0"/>
              <w:overflowPunct w:val="0"/>
              <w:autoSpaceDE w:val="0"/>
              <w:autoSpaceDN w:val="0"/>
              <w:adjustRightInd w:val="0"/>
              <w:snapToGrid w:val="0"/>
              <w:jc w:val="right"/>
            </w:pPr>
            <w:r>
              <w:t>9.11</w:t>
            </w:r>
          </w:p>
        </w:tc>
      </w:tr>
    </w:tbl>
    <w:p w14:paraId="20F01F4A" w14:textId="77777777" w:rsidR="005E000F" w:rsidRDefault="005E000F">
      <w:pPr>
        <w:kinsoku w:val="0"/>
        <w:overflowPunct w:val="0"/>
        <w:autoSpaceDE w:val="0"/>
        <w:autoSpaceDN w:val="0"/>
        <w:adjustRightInd w:val="0"/>
        <w:snapToGrid w:val="0"/>
      </w:pPr>
      <w:bookmarkStart w:id="28" w:name="_Hlk25325424"/>
      <w:bookmarkEnd w:id="28"/>
    </w:p>
    <w:p w14:paraId="36ED2197" w14:textId="77777777" w:rsidR="005E000F" w:rsidRDefault="00000000">
      <w:r>
        <w:rPr>
          <w:rFonts w:hint="eastAsia"/>
        </w:rPr>
        <w:t>报告期末公司前三年主要会计数据和财务指标的说明</w:t>
      </w:r>
    </w:p>
    <w:sdt>
      <w:sdtPr>
        <w:alias w:val="是否适用：报告期末公司前三年主要会计数据和财务指标的说明[双击切换]"/>
        <w:tag w:val="_GBC_d855ab48af34454bb263a03266267a43"/>
        <w:id w:val="-350021788"/>
        <w:placeholder>
          <w:docPart w:val="GBC22222222222222222222222222222"/>
        </w:placeholder>
      </w:sdtPr>
      <w:sdtContent>
        <w:p w14:paraId="422E712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B8A497" w14:textId="77777777" w:rsidR="005E000F" w:rsidRDefault="00000000">
      <w:pPr>
        <w:pStyle w:val="2"/>
        <w:numPr>
          <w:ilvl w:val="1"/>
          <w:numId w:val="4"/>
        </w:numPr>
        <w:ind w:left="498" w:hangingChars="236" w:hanging="498"/>
      </w:pPr>
      <w:r>
        <w:rPr>
          <w:rFonts w:hint="eastAsia"/>
        </w:rPr>
        <w:t>境内外会计准则下会计数据差异</w:t>
      </w:r>
    </w:p>
    <w:p w14:paraId="688EF524" w14:textId="77777777" w:rsidR="005E000F" w:rsidRDefault="00000000">
      <w:pPr>
        <w:pStyle w:val="3"/>
        <w:numPr>
          <w:ilvl w:val="0"/>
          <w:numId w:val="6"/>
        </w:numPr>
        <w:ind w:left="0" w:firstLine="0"/>
        <w:rPr>
          <w:szCs w:val="21"/>
        </w:rPr>
      </w:pPr>
      <w:r>
        <w:rPr>
          <w:rFonts w:hint="eastAsia"/>
          <w:szCs w:val="21"/>
        </w:rPr>
        <w:t>同时按照国际会计准则与按中国会计准则披露的财务</w:t>
      </w:r>
      <w:proofErr w:type="gramStart"/>
      <w:r>
        <w:rPr>
          <w:rFonts w:hint="eastAsia"/>
          <w:szCs w:val="21"/>
        </w:rPr>
        <w:t>报告中净利润</w:t>
      </w:r>
      <w:proofErr w:type="gramEnd"/>
      <w:r>
        <w:rPr>
          <w:rFonts w:hint="eastAsia"/>
          <w:szCs w:val="21"/>
        </w:rPr>
        <w:t>和归属于上市公司股东的净资产差异情况</w:t>
      </w:r>
    </w:p>
    <w:sdt>
      <w:sdtPr>
        <w:alias w:val="是否适用：同时按照国际会计准则与按中国会计准则披露的财务报告中净利润和净资产差异情况[双击切换]"/>
        <w:tag w:val="_GBC_bb9cf96a724c468d909aca01e1066e6b"/>
        <w:id w:val="-1821953503"/>
        <w:placeholder>
          <w:docPart w:val="GBC22222222222222222222222222222"/>
        </w:placeholder>
      </w:sdtPr>
      <w:sdtContent>
        <w:p w14:paraId="4F5F606F"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90373EB" w14:textId="77777777" w:rsidR="005E000F" w:rsidRDefault="00000000">
      <w:pPr>
        <w:pStyle w:val="3"/>
        <w:numPr>
          <w:ilvl w:val="0"/>
          <w:numId w:val="6"/>
        </w:numPr>
        <w:ind w:left="0" w:firstLine="0"/>
        <w:rPr>
          <w:szCs w:val="21"/>
        </w:rPr>
      </w:pPr>
      <w:r>
        <w:rPr>
          <w:szCs w:val="21"/>
        </w:rPr>
        <w:t>同时按照境外会计准则与按中国会计准则披露的财务</w:t>
      </w:r>
      <w:proofErr w:type="gramStart"/>
      <w:r>
        <w:rPr>
          <w:szCs w:val="21"/>
        </w:rPr>
        <w:t>报告中净利润</w:t>
      </w:r>
      <w:proofErr w:type="gramEnd"/>
      <w:r>
        <w:rPr>
          <w:szCs w:val="21"/>
        </w:rPr>
        <w:t>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1175850508"/>
        <w:placeholder>
          <w:docPart w:val="GBC22222222222222222222222222222"/>
        </w:placeholder>
      </w:sdtPr>
      <w:sdtContent>
        <w:p w14:paraId="3482BFEF"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70A0B32" w14:textId="77777777" w:rsidR="005E000F" w:rsidRDefault="00000000">
      <w:pPr>
        <w:pStyle w:val="3"/>
        <w:numPr>
          <w:ilvl w:val="0"/>
          <w:numId w:val="6"/>
        </w:numPr>
        <w:ind w:left="369" w:hangingChars="175" w:hanging="369"/>
      </w:pPr>
      <w:r>
        <w:t>境内外会计准则差异的说明：</w:t>
      </w:r>
    </w:p>
    <w:sdt>
      <w:sdtPr>
        <w:alias w:val="是否适用：境内外会计准则差异的说明[双击切换]"/>
        <w:tag w:val="_GBC_fb9a5edc484f49ab948423fc0bade519"/>
        <w:id w:val="776762278"/>
        <w:placeholder>
          <w:docPart w:val="GBC22222222222222222222222222222"/>
        </w:placeholder>
      </w:sdtPr>
      <w:sdtContent>
        <w:p w14:paraId="775C28B2"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59222F6" w14:textId="77777777" w:rsidR="005E000F" w:rsidRDefault="00000000">
      <w:pPr>
        <w:pStyle w:val="2"/>
        <w:numPr>
          <w:ilvl w:val="1"/>
          <w:numId w:val="4"/>
        </w:numPr>
        <w:ind w:left="498" w:hangingChars="236" w:hanging="498"/>
      </w:pPr>
      <w:r>
        <w:rPr>
          <w:rFonts w:asciiTheme="minorEastAsia" w:eastAsiaTheme="minorEastAsia" w:hAnsiTheme="minorEastAsia" w:hint="eastAsia"/>
        </w:rPr>
        <w:t>2025年分季度主要财务数据</w:t>
      </w:r>
    </w:p>
    <w:p w14:paraId="7253F93A" w14:textId="77777777" w:rsidR="005E000F" w:rsidRDefault="00000000">
      <w:pPr>
        <w:jc w:val="right"/>
      </w:pPr>
      <w:r>
        <w:rPr>
          <w:rFonts w:hint="eastAsia"/>
        </w:rPr>
        <w:t>单位：</w:t>
      </w:r>
      <w:sdt>
        <w:sdtPr>
          <w:rPr>
            <w:rFonts w:hint="eastAsia"/>
          </w:rPr>
          <w:alias w:val="单位：分季度主要财务数据"/>
          <w:tag w:val="_GBC_c7bf8a69799342519e2da375e77f8d89"/>
          <w:id w:val="98297622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分季度主要财务数据"/>
          <w:tag w:val="_GBC_e825fbcd15674ffd86165e4ed7dcbbaf"/>
          <w:id w:val="-79035617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2"/>
        <w:gridCol w:w="1558"/>
        <w:gridCol w:w="1558"/>
        <w:gridCol w:w="1683"/>
      </w:tblGrid>
      <w:tr w:rsidR="005E000F" w14:paraId="58763DB5" w14:textId="77777777">
        <w:tc>
          <w:tcPr>
            <w:tcW w:w="2405" w:type="dxa"/>
            <w:vAlign w:val="center"/>
          </w:tcPr>
          <w:p w14:paraId="1A8D1950" w14:textId="77777777" w:rsidR="005E000F" w:rsidRDefault="005E000F">
            <w:pPr>
              <w:widowControl w:val="0"/>
              <w:jc w:val="center"/>
            </w:pPr>
          </w:p>
        </w:tc>
        <w:sdt>
          <w:sdtPr>
            <w:tag w:val="_PLD_2d7ae3b1c4bd43a98e284f10d0bdc51f"/>
            <w:id w:val="-1119990769"/>
          </w:sdtPr>
          <w:sdtContent>
            <w:tc>
              <w:tcPr>
                <w:tcW w:w="1842" w:type="dxa"/>
                <w:vAlign w:val="center"/>
              </w:tcPr>
              <w:p w14:paraId="3210D3A0" w14:textId="77777777" w:rsidR="005E000F" w:rsidRDefault="00000000">
                <w:pPr>
                  <w:widowControl w:val="0"/>
                  <w:jc w:val="center"/>
                </w:pPr>
                <w:r>
                  <w:rPr>
                    <w:rFonts w:hint="eastAsia"/>
                  </w:rPr>
                  <w:t>第一季度</w:t>
                </w:r>
              </w:p>
              <w:p w14:paraId="4A93787E" w14:textId="77777777" w:rsidR="005E000F" w:rsidRDefault="00000000">
                <w:pPr>
                  <w:widowControl w:val="0"/>
                  <w:jc w:val="center"/>
                </w:pPr>
                <w:r>
                  <w:rPr>
                    <w:rFonts w:hint="eastAsia"/>
                  </w:rPr>
                  <w:t>（</w:t>
                </w:r>
                <w:r>
                  <w:rPr>
                    <w:rFonts w:hint="eastAsia"/>
                  </w:rPr>
                  <w:t>1-3</w:t>
                </w:r>
                <w:r>
                  <w:rPr>
                    <w:rFonts w:hint="eastAsia"/>
                  </w:rPr>
                  <w:t>月份）</w:t>
                </w:r>
              </w:p>
            </w:tc>
          </w:sdtContent>
        </w:sdt>
        <w:sdt>
          <w:sdtPr>
            <w:tag w:val="_PLD_07258d0e3e7e4393960c3400b24cda70"/>
            <w:id w:val="687644489"/>
          </w:sdtPr>
          <w:sdtContent>
            <w:tc>
              <w:tcPr>
                <w:tcW w:w="1558" w:type="dxa"/>
                <w:vAlign w:val="center"/>
              </w:tcPr>
              <w:p w14:paraId="16824BAC" w14:textId="77777777" w:rsidR="005E000F" w:rsidRDefault="00000000">
                <w:pPr>
                  <w:widowControl w:val="0"/>
                  <w:jc w:val="center"/>
                </w:pPr>
                <w:r>
                  <w:rPr>
                    <w:rFonts w:hint="eastAsia"/>
                  </w:rPr>
                  <w:t>第二季度</w:t>
                </w:r>
              </w:p>
              <w:p w14:paraId="1F9DCD6B" w14:textId="77777777" w:rsidR="005E000F" w:rsidRDefault="00000000">
                <w:pPr>
                  <w:widowControl w:val="0"/>
                  <w:jc w:val="center"/>
                </w:pPr>
                <w:r>
                  <w:rPr>
                    <w:rFonts w:hint="eastAsia"/>
                  </w:rPr>
                  <w:t>（</w:t>
                </w:r>
                <w:r>
                  <w:rPr>
                    <w:rFonts w:hint="eastAsia"/>
                  </w:rPr>
                  <w:t>4-6</w:t>
                </w:r>
                <w:r>
                  <w:rPr>
                    <w:rFonts w:hint="eastAsia"/>
                  </w:rPr>
                  <w:t>月份）</w:t>
                </w:r>
              </w:p>
            </w:tc>
          </w:sdtContent>
        </w:sdt>
        <w:sdt>
          <w:sdtPr>
            <w:tag w:val="_PLD_f34790307d174eceaa953001c5186096"/>
            <w:id w:val="362332089"/>
          </w:sdtPr>
          <w:sdtContent>
            <w:tc>
              <w:tcPr>
                <w:tcW w:w="1558" w:type="dxa"/>
                <w:vAlign w:val="center"/>
              </w:tcPr>
              <w:p w14:paraId="03DE43BD" w14:textId="77777777" w:rsidR="005E000F" w:rsidRDefault="00000000">
                <w:pPr>
                  <w:widowControl w:val="0"/>
                  <w:jc w:val="center"/>
                </w:pPr>
                <w:r>
                  <w:rPr>
                    <w:rFonts w:hint="eastAsia"/>
                  </w:rPr>
                  <w:t>第三季度</w:t>
                </w:r>
              </w:p>
              <w:p w14:paraId="00D9502D" w14:textId="77777777" w:rsidR="005E000F" w:rsidRDefault="00000000">
                <w:pPr>
                  <w:widowControl w:val="0"/>
                  <w:jc w:val="center"/>
                </w:pPr>
                <w:r>
                  <w:rPr>
                    <w:rFonts w:hint="eastAsia"/>
                  </w:rPr>
                  <w:t>（</w:t>
                </w:r>
                <w:r>
                  <w:rPr>
                    <w:rFonts w:hint="eastAsia"/>
                  </w:rPr>
                  <w:t>7-9</w:t>
                </w:r>
                <w:r>
                  <w:rPr>
                    <w:rFonts w:hint="eastAsia"/>
                  </w:rPr>
                  <w:t>月份）</w:t>
                </w:r>
              </w:p>
            </w:tc>
          </w:sdtContent>
        </w:sdt>
        <w:sdt>
          <w:sdtPr>
            <w:tag w:val="_PLD_18cc80c8863d4859a79676f49ef83412"/>
            <w:id w:val="-2145951921"/>
          </w:sdtPr>
          <w:sdtContent>
            <w:tc>
              <w:tcPr>
                <w:tcW w:w="1683" w:type="dxa"/>
                <w:vAlign w:val="center"/>
              </w:tcPr>
              <w:p w14:paraId="2BE58FC3" w14:textId="77777777" w:rsidR="005E000F" w:rsidRDefault="00000000">
                <w:pPr>
                  <w:widowControl w:val="0"/>
                  <w:jc w:val="center"/>
                </w:pPr>
                <w:r>
                  <w:rPr>
                    <w:rFonts w:hint="eastAsia"/>
                  </w:rPr>
                  <w:t>第四季度</w:t>
                </w:r>
              </w:p>
              <w:p w14:paraId="20C8F546" w14:textId="77777777" w:rsidR="005E000F" w:rsidRDefault="00000000">
                <w:pPr>
                  <w:widowControl w:val="0"/>
                  <w:jc w:val="center"/>
                </w:pPr>
                <w:r>
                  <w:rPr>
                    <w:rFonts w:hint="eastAsia"/>
                  </w:rPr>
                  <w:t>（</w:t>
                </w:r>
                <w:r>
                  <w:rPr>
                    <w:rFonts w:hint="eastAsia"/>
                  </w:rPr>
                  <w:t>10-12</w:t>
                </w:r>
                <w:r>
                  <w:rPr>
                    <w:rFonts w:hint="eastAsia"/>
                  </w:rPr>
                  <w:t>月份）</w:t>
                </w:r>
              </w:p>
            </w:tc>
          </w:sdtContent>
        </w:sdt>
      </w:tr>
      <w:tr w:rsidR="005E000F" w14:paraId="5B66348B" w14:textId="77777777">
        <w:tc>
          <w:tcPr>
            <w:tcW w:w="2405" w:type="dxa"/>
            <w:vAlign w:val="center"/>
          </w:tcPr>
          <w:p w14:paraId="4B2A1E95" w14:textId="77777777" w:rsidR="005E000F" w:rsidRDefault="00000000">
            <w:pPr>
              <w:widowControl w:val="0"/>
              <w:jc w:val="both"/>
            </w:pPr>
            <w:r>
              <w:rPr>
                <w:rFonts w:hint="eastAsia"/>
              </w:rPr>
              <w:t>营业收入</w:t>
            </w:r>
          </w:p>
        </w:tc>
        <w:tc>
          <w:tcPr>
            <w:tcW w:w="1842" w:type="dxa"/>
            <w:vAlign w:val="center"/>
          </w:tcPr>
          <w:p w14:paraId="29E429C6" w14:textId="77777777" w:rsidR="005E000F" w:rsidRDefault="00000000">
            <w:pPr>
              <w:widowControl w:val="0"/>
              <w:jc w:val="right"/>
            </w:pPr>
            <w:r>
              <w:t>17,800,848,734</w:t>
            </w:r>
          </w:p>
        </w:tc>
        <w:tc>
          <w:tcPr>
            <w:tcW w:w="1558" w:type="dxa"/>
            <w:vAlign w:val="center"/>
          </w:tcPr>
          <w:p w14:paraId="31235D22" w14:textId="77777777" w:rsidR="005E000F" w:rsidRDefault="00000000">
            <w:pPr>
              <w:widowControl w:val="0"/>
              <w:jc w:val="right"/>
            </w:pPr>
            <w:r>
              <w:t>19,484,796,084</w:t>
            </w:r>
          </w:p>
        </w:tc>
        <w:tc>
          <w:tcPr>
            <w:tcW w:w="1558" w:type="dxa"/>
            <w:vAlign w:val="center"/>
          </w:tcPr>
          <w:p w14:paraId="34B8B0C7" w14:textId="77777777" w:rsidR="005E000F" w:rsidRDefault="00000000">
            <w:pPr>
              <w:widowControl w:val="0"/>
              <w:jc w:val="right"/>
            </w:pPr>
            <w:r>
              <w:t>19,772,513,466</w:t>
            </w:r>
          </w:p>
        </w:tc>
        <w:tc>
          <w:tcPr>
            <w:tcW w:w="1683" w:type="dxa"/>
            <w:vAlign w:val="center"/>
          </w:tcPr>
          <w:p w14:paraId="2C628A73" w14:textId="77777777" w:rsidR="005E000F" w:rsidRDefault="00000000">
            <w:pPr>
              <w:widowControl w:val="0"/>
              <w:jc w:val="right"/>
            </w:pPr>
            <w:r>
              <w:t>20,586,654,098</w:t>
            </w:r>
          </w:p>
        </w:tc>
      </w:tr>
      <w:tr w:rsidR="005E000F" w14:paraId="2B087A3C" w14:textId="77777777">
        <w:tc>
          <w:tcPr>
            <w:tcW w:w="2405" w:type="dxa"/>
            <w:vAlign w:val="center"/>
          </w:tcPr>
          <w:p w14:paraId="7AFA9F5F" w14:textId="77777777" w:rsidR="005E000F" w:rsidRDefault="00000000">
            <w:pPr>
              <w:widowControl w:val="0"/>
              <w:jc w:val="both"/>
            </w:pPr>
            <w:r>
              <w:rPr>
                <w:rFonts w:hint="eastAsia"/>
              </w:rPr>
              <w:t>归属于上市公司股东的净利润</w:t>
            </w:r>
          </w:p>
        </w:tc>
        <w:tc>
          <w:tcPr>
            <w:tcW w:w="1842" w:type="dxa"/>
            <w:vAlign w:val="center"/>
          </w:tcPr>
          <w:p w14:paraId="7BC0E868" w14:textId="77777777" w:rsidR="005E000F" w:rsidRDefault="00000000">
            <w:pPr>
              <w:widowControl w:val="0"/>
              <w:jc w:val="right"/>
            </w:pPr>
            <w:r>
              <w:t>2,570,966,279</w:t>
            </w:r>
          </w:p>
        </w:tc>
        <w:tc>
          <w:tcPr>
            <w:tcW w:w="1558" w:type="dxa"/>
            <w:vAlign w:val="center"/>
          </w:tcPr>
          <w:p w14:paraId="32A0E960" w14:textId="77777777" w:rsidR="005E000F" w:rsidRDefault="00000000">
            <w:pPr>
              <w:widowControl w:val="0"/>
              <w:jc w:val="right"/>
            </w:pPr>
            <w:r>
              <w:t>1,543,965,736</w:t>
            </w:r>
          </w:p>
        </w:tc>
        <w:tc>
          <w:tcPr>
            <w:tcW w:w="1558" w:type="dxa"/>
            <w:vAlign w:val="center"/>
          </w:tcPr>
          <w:p w14:paraId="6225CAA2" w14:textId="77777777" w:rsidR="005E000F" w:rsidRDefault="00000000">
            <w:pPr>
              <w:widowControl w:val="0"/>
              <w:jc w:val="right"/>
            </w:pPr>
            <w:r>
              <w:t>2,109,027,074</w:t>
            </w:r>
          </w:p>
        </w:tc>
        <w:tc>
          <w:tcPr>
            <w:tcW w:w="1683" w:type="dxa"/>
            <w:vAlign w:val="center"/>
          </w:tcPr>
          <w:p w14:paraId="5EDBA2FC" w14:textId="77777777" w:rsidR="005E000F" w:rsidRDefault="00000000">
            <w:pPr>
              <w:widowControl w:val="0"/>
              <w:jc w:val="right"/>
            </w:pPr>
            <w:r>
              <w:t>-323,810,610</w:t>
            </w:r>
          </w:p>
        </w:tc>
      </w:tr>
      <w:tr w:rsidR="005E000F" w14:paraId="7376F6FC" w14:textId="77777777">
        <w:tc>
          <w:tcPr>
            <w:tcW w:w="2405" w:type="dxa"/>
            <w:vAlign w:val="center"/>
          </w:tcPr>
          <w:p w14:paraId="7F461DB8" w14:textId="77777777" w:rsidR="005E000F" w:rsidRDefault="00000000">
            <w:pPr>
              <w:widowControl w:val="0"/>
              <w:jc w:val="both"/>
            </w:pPr>
            <w:r>
              <w:rPr>
                <w:rFonts w:hint="eastAsia"/>
              </w:rPr>
              <w:t>归属于上市公司股东的扣除非经常性损益后的净利润</w:t>
            </w:r>
          </w:p>
        </w:tc>
        <w:tc>
          <w:tcPr>
            <w:tcW w:w="1842" w:type="dxa"/>
            <w:vAlign w:val="center"/>
          </w:tcPr>
          <w:p w14:paraId="3FEF1873" w14:textId="77777777" w:rsidR="005E000F" w:rsidRDefault="00000000">
            <w:pPr>
              <w:widowControl w:val="0"/>
              <w:jc w:val="right"/>
            </w:pPr>
            <w:r>
              <w:t>2,562,746,370</w:t>
            </w:r>
          </w:p>
        </w:tc>
        <w:tc>
          <w:tcPr>
            <w:tcW w:w="1558" w:type="dxa"/>
            <w:vAlign w:val="center"/>
          </w:tcPr>
          <w:p w14:paraId="5289D050" w14:textId="77777777" w:rsidR="005E000F" w:rsidRDefault="00000000">
            <w:pPr>
              <w:widowControl w:val="0"/>
              <w:jc w:val="right"/>
            </w:pPr>
            <w:r>
              <w:t>1,536,565,351</w:t>
            </w:r>
          </w:p>
        </w:tc>
        <w:tc>
          <w:tcPr>
            <w:tcW w:w="1558" w:type="dxa"/>
            <w:vAlign w:val="center"/>
          </w:tcPr>
          <w:p w14:paraId="0C09736B" w14:textId="77777777" w:rsidR="005E000F" w:rsidRDefault="00000000">
            <w:pPr>
              <w:widowControl w:val="0"/>
              <w:jc w:val="right"/>
            </w:pPr>
            <w:r>
              <w:t>2,089,367,472</w:t>
            </w:r>
          </w:p>
        </w:tc>
        <w:tc>
          <w:tcPr>
            <w:tcW w:w="1683" w:type="dxa"/>
            <w:vAlign w:val="center"/>
          </w:tcPr>
          <w:p w14:paraId="619D87FE" w14:textId="77777777" w:rsidR="005E000F" w:rsidRDefault="00000000">
            <w:pPr>
              <w:widowControl w:val="0"/>
              <w:jc w:val="right"/>
            </w:pPr>
            <w:r>
              <w:t>-327,753,572</w:t>
            </w:r>
          </w:p>
        </w:tc>
      </w:tr>
      <w:tr w:rsidR="005E000F" w14:paraId="19512350" w14:textId="77777777">
        <w:tc>
          <w:tcPr>
            <w:tcW w:w="2405" w:type="dxa"/>
            <w:vAlign w:val="center"/>
          </w:tcPr>
          <w:p w14:paraId="35EE07FA" w14:textId="77777777" w:rsidR="005E000F" w:rsidRDefault="00000000">
            <w:pPr>
              <w:widowControl w:val="0"/>
              <w:jc w:val="both"/>
            </w:pPr>
            <w:r>
              <w:rPr>
                <w:rFonts w:hint="eastAsia"/>
              </w:rPr>
              <w:t>经营活动产生的现金流量净额</w:t>
            </w:r>
          </w:p>
        </w:tc>
        <w:tc>
          <w:tcPr>
            <w:tcW w:w="1842" w:type="dxa"/>
            <w:vAlign w:val="center"/>
          </w:tcPr>
          <w:p w14:paraId="07B4C0FD" w14:textId="77777777" w:rsidR="005E000F" w:rsidRDefault="00000000">
            <w:pPr>
              <w:widowControl w:val="0"/>
              <w:jc w:val="right"/>
            </w:pPr>
            <w:r>
              <w:t>-1,694,615,289</w:t>
            </w:r>
          </w:p>
        </w:tc>
        <w:tc>
          <w:tcPr>
            <w:tcW w:w="1558" w:type="dxa"/>
            <w:vAlign w:val="center"/>
          </w:tcPr>
          <w:p w14:paraId="3C5C621B" w14:textId="77777777" w:rsidR="005E000F" w:rsidRDefault="00000000">
            <w:pPr>
              <w:widowControl w:val="0"/>
              <w:jc w:val="right"/>
            </w:pPr>
            <w:r>
              <w:t>1,116,318,272</w:t>
            </w:r>
          </w:p>
        </w:tc>
        <w:tc>
          <w:tcPr>
            <w:tcW w:w="1558" w:type="dxa"/>
            <w:vAlign w:val="center"/>
          </w:tcPr>
          <w:p w14:paraId="3F2C887D" w14:textId="77777777" w:rsidR="005E000F" w:rsidRDefault="00000000">
            <w:pPr>
              <w:widowControl w:val="0"/>
              <w:jc w:val="right"/>
            </w:pPr>
            <w:r>
              <w:t>4,166,688,019</w:t>
            </w:r>
          </w:p>
        </w:tc>
        <w:tc>
          <w:tcPr>
            <w:tcW w:w="1683" w:type="dxa"/>
            <w:vAlign w:val="center"/>
          </w:tcPr>
          <w:p w14:paraId="2A7D05B8" w14:textId="77777777" w:rsidR="005E000F" w:rsidRDefault="00000000">
            <w:pPr>
              <w:widowControl w:val="0"/>
              <w:jc w:val="right"/>
            </w:pPr>
            <w:r>
              <w:t>1,398,352,177</w:t>
            </w:r>
          </w:p>
        </w:tc>
      </w:tr>
    </w:tbl>
    <w:p w14:paraId="58C461C4" w14:textId="77777777" w:rsidR="005E000F" w:rsidRDefault="00000000">
      <w:r>
        <w:rPr>
          <w:rFonts w:ascii="Calibri" w:hAnsi="Calibri" w:hint="eastAsia"/>
          <w:bCs/>
          <w:kern w:val="2"/>
          <w:szCs w:val="32"/>
        </w:rPr>
        <w:t>2025</w:t>
      </w:r>
      <w:r>
        <w:rPr>
          <w:rFonts w:ascii="Calibri" w:hAnsi="Calibri" w:hint="eastAsia"/>
          <w:bCs/>
          <w:kern w:val="2"/>
          <w:szCs w:val="32"/>
        </w:rPr>
        <w:t>年第四季度归属于上市公司股东的净利润减少原因：主要由于第四季度人工、大修、两端物流辅助等支出增加。</w:t>
      </w:r>
    </w:p>
    <w:p w14:paraId="00E794C4" w14:textId="77777777" w:rsidR="005E000F" w:rsidRDefault="00000000">
      <w:pPr>
        <w:rPr>
          <w:rFonts w:ascii="Calibri" w:hAnsi="Calibri"/>
          <w:bCs/>
          <w:kern w:val="2"/>
          <w:szCs w:val="32"/>
        </w:rPr>
      </w:pPr>
      <w:r>
        <w:rPr>
          <w:rFonts w:ascii="Calibri" w:hAnsi="Calibri" w:hint="eastAsia"/>
          <w:bCs/>
          <w:kern w:val="2"/>
          <w:szCs w:val="32"/>
        </w:rPr>
        <w:t>季度数据与已披露定期报告数据差异说明</w:t>
      </w:r>
    </w:p>
    <w:sdt>
      <w:sdtPr>
        <w:alias w:val="是否适用：季度数据与已披露定期报告数据差异说明[双击切换]"/>
        <w:tag w:val="_GBC_90abe51569fb4ccda7eaf6149fe8f3a9"/>
        <w:id w:val="-1500952978"/>
        <w:placeholder>
          <w:docPart w:val="GBC22222222222222222222222222222"/>
        </w:placeholder>
      </w:sdtPr>
      <w:sdtContent>
        <w:p w14:paraId="4F42E0A5"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3B0F1AF" w14:textId="77777777" w:rsidR="005E000F" w:rsidRDefault="00000000">
      <w:pPr>
        <w:pStyle w:val="2"/>
        <w:numPr>
          <w:ilvl w:val="1"/>
          <w:numId w:val="4"/>
        </w:numPr>
        <w:ind w:left="498" w:hangingChars="236" w:hanging="498"/>
      </w:pPr>
      <w:bookmarkStart w:id="29" w:name="_Hlk152579713"/>
      <w:bookmarkStart w:id="30" w:name="_Hlk24640273"/>
      <w:r>
        <w:rPr>
          <w:rFonts w:hint="eastAsia"/>
        </w:rPr>
        <w:t>非经常性损益项目和金额</w:t>
      </w:r>
    </w:p>
    <w:sdt>
      <w:sdtPr>
        <w:alias w:val="是否适用：扣除非经常性损益项目和金额[双击切换]"/>
        <w:tag w:val="_GBC_d311c3479a4945ceb1266734910915b6"/>
        <w:id w:val="1518656507"/>
        <w:placeholder>
          <w:docPart w:val="GBC22222222222222222222222222222"/>
        </w:placeholder>
      </w:sdtPr>
      <w:sdtContent>
        <w:p w14:paraId="4634A06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BFAD42D" w14:textId="77777777" w:rsidR="005E000F" w:rsidRDefault="00000000">
      <w:pPr>
        <w:jc w:val="right"/>
      </w:pPr>
      <w:r>
        <w:rPr>
          <w:rFonts w:hint="eastAsia"/>
        </w:rPr>
        <w:t>单位：</w:t>
      </w:r>
      <w:sdt>
        <w:sdtPr>
          <w:rPr>
            <w:rFonts w:hint="eastAsia"/>
          </w:rPr>
          <w:alias w:val="单位：扣除非经常性损益项目和金额"/>
          <w:tag w:val="_GBC_120471c8e4434d7bbf8c91141121ab39"/>
          <w:id w:val="-1688212628"/>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扣除非经常性损益项目和金额"/>
          <w:tag w:val="_GBC_8d756f42e06c4610a2149f35e1d51a62"/>
          <w:id w:val="-261144920"/>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3608"/>
        <w:gridCol w:w="1457"/>
        <w:gridCol w:w="1278"/>
        <w:gridCol w:w="1300"/>
        <w:gridCol w:w="1403"/>
      </w:tblGrid>
      <w:tr w:rsidR="005E000F" w14:paraId="12D55BC5" w14:textId="77777777">
        <w:sdt>
          <w:sdtPr>
            <w:tag w:val="_PLD_451a5b1d22614c45b1fbba1d8acc3cbb"/>
            <w:id w:val="-637111102"/>
          </w:sdtPr>
          <w:sdtContent>
            <w:tc>
              <w:tcPr>
                <w:tcW w:w="3608" w:type="dxa"/>
                <w:vAlign w:val="center"/>
              </w:tcPr>
              <w:p w14:paraId="10AAC21B" w14:textId="77777777" w:rsidR="005E000F" w:rsidRDefault="00000000">
                <w:pPr>
                  <w:pStyle w:val="aff8"/>
                  <w:ind w:firstLineChars="0" w:firstLine="0"/>
                  <w:jc w:val="center"/>
                  <w:rPr>
                    <w:rFonts w:ascii="宋体" w:hAnsi="宋体"/>
                    <w:szCs w:val="21"/>
                  </w:rPr>
                </w:pPr>
                <w:r>
                  <w:rPr>
                    <w:rFonts w:ascii="宋体" w:hAnsi="宋体" w:hint="eastAsia"/>
                    <w:szCs w:val="21"/>
                  </w:rPr>
                  <w:t>非经常性损益项目</w:t>
                </w:r>
              </w:p>
            </w:tc>
          </w:sdtContent>
        </w:sdt>
        <w:sdt>
          <w:sdtPr>
            <w:tag w:val="_PLD_75a853b22038430db055de446a19d683"/>
            <w:id w:val="-1790276726"/>
          </w:sdtPr>
          <w:sdtContent>
            <w:tc>
              <w:tcPr>
                <w:tcW w:w="1457" w:type="dxa"/>
                <w:vAlign w:val="center"/>
              </w:tcPr>
              <w:p w14:paraId="01E52DC0" w14:textId="77777777" w:rsidR="005E000F" w:rsidRDefault="00000000">
                <w:pPr>
                  <w:pStyle w:val="aff8"/>
                  <w:ind w:firstLineChars="0" w:firstLine="0"/>
                  <w:jc w:val="center"/>
                  <w:rPr>
                    <w:rFonts w:ascii="宋体" w:hAnsi="宋体"/>
                    <w:szCs w:val="21"/>
                  </w:rPr>
                </w:pPr>
                <w:r>
                  <w:rPr>
                    <w:rFonts w:ascii="宋体" w:hAnsi="宋体" w:hint="eastAsia"/>
                    <w:szCs w:val="21"/>
                  </w:rPr>
                  <w:t>2025年金额</w:t>
                </w:r>
              </w:p>
            </w:tc>
          </w:sdtContent>
        </w:sdt>
        <w:sdt>
          <w:sdtPr>
            <w:tag w:val="_PLD_c571f80c57314d5cbbb4106b26568a8c"/>
            <w:id w:val="-1939672727"/>
          </w:sdtPr>
          <w:sdtContent>
            <w:tc>
              <w:tcPr>
                <w:tcW w:w="1278" w:type="dxa"/>
                <w:vAlign w:val="center"/>
              </w:tcPr>
              <w:p w14:paraId="5018CB1B" w14:textId="77777777" w:rsidR="005E000F" w:rsidRDefault="00000000">
                <w:pPr>
                  <w:pStyle w:val="aff8"/>
                  <w:ind w:firstLineChars="0" w:firstLine="0"/>
                  <w:jc w:val="center"/>
                  <w:rPr>
                    <w:rFonts w:ascii="宋体" w:hAnsi="宋体"/>
                    <w:szCs w:val="21"/>
                  </w:rPr>
                </w:pPr>
                <w:r>
                  <w:rPr>
                    <w:rFonts w:ascii="宋体" w:hAnsi="宋体" w:hint="eastAsia"/>
                    <w:szCs w:val="21"/>
                  </w:rPr>
                  <w:t>附注（如适用）</w:t>
                </w:r>
              </w:p>
            </w:tc>
          </w:sdtContent>
        </w:sdt>
        <w:sdt>
          <w:sdtPr>
            <w:tag w:val="_PLD_7178520950424696adfe1eb7e010035c"/>
            <w:id w:val="-1230457112"/>
          </w:sdtPr>
          <w:sdtContent>
            <w:tc>
              <w:tcPr>
                <w:tcW w:w="1300" w:type="dxa"/>
                <w:vAlign w:val="center"/>
              </w:tcPr>
              <w:p w14:paraId="6234B907" w14:textId="77777777" w:rsidR="005E000F" w:rsidRDefault="00000000">
                <w:pPr>
                  <w:pStyle w:val="aff8"/>
                  <w:ind w:firstLineChars="0" w:firstLine="0"/>
                  <w:jc w:val="center"/>
                  <w:rPr>
                    <w:rFonts w:ascii="宋体" w:hAnsi="宋体"/>
                    <w:szCs w:val="21"/>
                  </w:rPr>
                </w:pPr>
                <w:r>
                  <w:rPr>
                    <w:rFonts w:ascii="宋体" w:hAnsi="宋体" w:hint="eastAsia"/>
                    <w:szCs w:val="21"/>
                  </w:rPr>
                  <w:t>2024年金额</w:t>
                </w:r>
              </w:p>
            </w:tc>
          </w:sdtContent>
        </w:sdt>
        <w:sdt>
          <w:sdtPr>
            <w:tag w:val="_PLD_870e9453ef9d4928968c60216a29f211"/>
            <w:id w:val="1093438277"/>
          </w:sdtPr>
          <w:sdtContent>
            <w:tc>
              <w:tcPr>
                <w:tcW w:w="1403" w:type="dxa"/>
                <w:vAlign w:val="center"/>
              </w:tcPr>
              <w:p w14:paraId="1BAB39CE" w14:textId="77777777" w:rsidR="005E000F" w:rsidRDefault="00000000">
                <w:pPr>
                  <w:pStyle w:val="aff8"/>
                  <w:ind w:firstLineChars="0" w:firstLine="0"/>
                  <w:jc w:val="center"/>
                  <w:rPr>
                    <w:rFonts w:ascii="宋体" w:hAnsi="宋体"/>
                    <w:szCs w:val="21"/>
                  </w:rPr>
                </w:pPr>
                <w:r>
                  <w:rPr>
                    <w:rFonts w:ascii="宋体" w:hAnsi="宋体" w:hint="eastAsia"/>
                    <w:szCs w:val="21"/>
                  </w:rPr>
                  <w:t>2023年金额</w:t>
                </w:r>
              </w:p>
            </w:tc>
          </w:sdtContent>
        </w:sdt>
      </w:tr>
      <w:tr w:rsidR="005E000F" w14:paraId="488F531E" w14:textId="77777777">
        <w:tc>
          <w:tcPr>
            <w:tcW w:w="3608" w:type="dxa"/>
            <w:vAlign w:val="center"/>
          </w:tcPr>
          <w:p w14:paraId="1E2E566E" w14:textId="77777777" w:rsidR="005E000F" w:rsidRDefault="00000000">
            <w:pPr>
              <w:pStyle w:val="aff8"/>
              <w:ind w:firstLineChars="0" w:firstLine="0"/>
              <w:jc w:val="left"/>
              <w:rPr>
                <w:szCs w:val="21"/>
              </w:rPr>
            </w:pPr>
            <w:r>
              <w:rPr>
                <w:szCs w:val="21"/>
              </w:rPr>
              <w:lastRenderedPageBreak/>
              <w:t>非流动</w:t>
            </w:r>
            <w:r>
              <w:rPr>
                <w:rFonts w:hint="eastAsia"/>
                <w:szCs w:val="21"/>
              </w:rPr>
              <w:t>性</w:t>
            </w:r>
            <w:r>
              <w:rPr>
                <w:szCs w:val="21"/>
              </w:rPr>
              <w:t>资产处置损益</w:t>
            </w:r>
            <w:r>
              <w:rPr>
                <w:rFonts w:hint="eastAsia"/>
                <w:szCs w:val="21"/>
              </w:rPr>
              <w:t>，包括已计提资产减值准备的冲销部分</w:t>
            </w:r>
          </w:p>
        </w:tc>
        <w:tc>
          <w:tcPr>
            <w:tcW w:w="1457" w:type="dxa"/>
            <w:vAlign w:val="center"/>
          </w:tcPr>
          <w:p w14:paraId="72B686D6" w14:textId="77777777" w:rsidR="005E000F" w:rsidRDefault="00000000">
            <w:pPr>
              <w:jc w:val="right"/>
            </w:pPr>
            <w:r>
              <w:t>-14,612,047</w:t>
            </w:r>
          </w:p>
        </w:tc>
        <w:tc>
          <w:tcPr>
            <w:tcW w:w="1278" w:type="dxa"/>
            <w:vAlign w:val="center"/>
          </w:tcPr>
          <w:p w14:paraId="5F5FA784" w14:textId="77777777" w:rsidR="005E000F" w:rsidRDefault="00000000">
            <w:r>
              <w:rPr>
                <w:rFonts w:hint="eastAsia"/>
              </w:rPr>
              <w:t xml:space="preserve">　</w:t>
            </w:r>
          </w:p>
        </w:tc>
        <w:tc>
          <w:tcPr>
            <w:tcW w:w="1300" w:type="dxa"/>
            <w:vAlign w:val="center"/>
          </w:tcPr>
          <w:p w14:paraId="73AA62D1" w14:textId="77777777" w:rsidR="005E000F" w:rsidRDefault="00000000">
            <w:pPr>
              <w:jc w:val="right"/>
            </w:pPr>
            <w:r>
              <w:rPr>
                <w:rFonts w:hint="eastAsia"/>
              </w:rPr>
              <w:t>-61,611,753</w:t>
            </w:r>
          </w:p>
        </w:tc>
        <w:tc>
          <w:tcPr>
            <w:tcW w:w="1403" w:type="dxa"/>
            <w:vAlign w:val="center"/>
          </w:tcPr>
          <w:p w14:paraId="6A9DF365" w14:textId="77777777" w:rsidR="005E000F" w:rsidRDefault="00000000">
            <w:pPr>
              <w:jc w:val="right"/>
            </w:pPr>
            <w:r>
              <w:rPr>
                <w:rFonts w:hint="eastAsia"/>
              </w:rPr>
              <w:t>-34,004,775</w:t>
            </w:r>
          </w:p>
        </w:tc>
      </w:tr>
      <w:tr w:rsidR="005E000F" w14:paraId="1F3340A8" w14:textId="77777777">
        <w:tc>
          <w:tcPr>
            <w:tcW w:w="3608" w:type="dxa"/>
            <w:vAlign w:val="center"/>
          </w:tcPr>
          <w:p w14:paraId="3D746F2E" w14:textId="77777777" w:rsidR="005E000F" w:rsidRDefault="00000000">
            <w:pPr>
              <w:pStyle w:val="aff8"/>
              <w:ind w:firstLineChars="0" w:firstLine="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1457" w:type="dxa"/>
            <w:vAlign w:val="center"/>
          </w:tcPr>
          <w:p w14:paraId="36DA03EA" w14:textId="77777777" w:rsidR="005E000F" w:rsidRDefault="00000000">
            <w:pPr>
              <w:jc w:val="right"/>
            </w:pPr>
            <w:r>
              <w:t>119,015,290</w:t>
            </w:r>
          </w:p>
        </w:tc>
        <w:tc>
          <w:tcPr>
            <w:tcW w:w="1278" w:type="dxa"/>
            <w:vAlign w:val="center"/>
          </w:tcPr>
          <w:p w14:paraId="64D4F76E" w14:textId="77777777" w:rsidR="005E000F" w:rsidRDefault="00000000">
            <w:r>
              <w:rPr>
                <w:rFonts w:hint="eastAsia"/>
              </w:rPr>
              <w:t xml:space="preserve">　</w:t>
            </w:r>
          </w:p>
        </w:tc>
        <w:tc>
          <w:tcPr>
            <w:tcW w:w="1300" w:type="dxa"/>
            <w:vAlign w:val="center"/>
          </w:tcPr>
          <w:p w14:paraId="5925257B" w14:textId="77777777" w:rsidR="005E000F" w:rsidRDefault="00000000">
            <w:pPr>
              <w:jc w:val="right"/>
            </w:pPr>
            <w:r>
              <w:rPr>
                <w:rFonts w:hint="eastAsia"/>
              </w:rPr>
              <w:t>96,449,800</w:t>
            </w:r>
          </w:p>
        </w:tc>
        <w:tc>
          <w:tcPr>
            <w:tcW w:w="1403" w:type="dxa"/>
            <w:vAlign w:val="center"/>
          </w:tcPr>
          <w:p w14:paraId="011BB674" w14:textId="77777777" w:rsidR="005E000F" w:rsidRDefault="00000000">
            <w:pPr>
              <w:jc w:val="right"/>
            </w:pPr>
            <w:r>
              <w:rPr>
                <w:rFonts w:hint="eastAsia"/>
              </w:rPr>
              <w:t>95,207,135</w:t>
            </w:r>
          </w:p>
        </w:tc>
      </w:tr>
      <w:tr w:rsidR="005E000F" w14:paraId="2C6530A8" w14:textId="77777777">
        <w:tc>
          <w:tcPr>
            <w:tcW w:w="3608" w:type="dxa"/>
            <w:vAlign w:val="center"/>
          </w:tcPr>
          <w:p w14:paraId="0C442F92" w14:textId="77777777" w:rsidR="005E000F" w:rsidRDefault="00000000">
            <w:pPr>
              <w:pStyle w:val="aff8"/>
              <w:ind w:firstLineChars="0" w:firstLine="0"/>
              <w:jc w:val="left"/>
              <w:rPr>
                <w:szCs w:val="21"/>
              </w:rPr>
            </w:pPr>
            <w:r>
              <w:rPr>
                <w:szCs w:val="21"/>
              </w:rPr>
              <w:t>除上述各项之外的其他营业外收入和支出</w:t>
            </w:r>
          </w:p>
        </w:tc>
        <w:tc>
          <w:tcPr>
            <w:tcW w:w="1457" w:type="dxa"/>
            <w:vAlign w:val="center"/>
          </w:tcPr>
          <w:p w14:paraId="2EE1BE68" w14:textId="77777777" w:rsidR="005E000F" w:rsidRDefault="00000000">
            <w:pPr>
              <w:jc w:val="right"/>
            </w:pPr>
            <w:r>
              <w:t>-58,406,330</w:t>
            </w:r>
          </w:p>
        </w:tc>
        <w:tc>
          <w:tcPr>
            <w:tcW w:w="1278" w:type="dxa"/>
            <w:vAlign w:val="center"/>
          </w:tcPr>
          <w:p w14:paraId="25526D1E" w14:textId="77777777" w:rsidR="005E000F" w:rsidRDefault="00000000">
            <w:r>
              <w:rPr>
                <w:rFonts w:hint="eastAsia"/>
              </w:rPr>
              <w:t xml:space="preserve">　</w:t>
            </w:r>
          </w:p>
        </w:tc>
        <w:tc>
          <w:tcPr>
            <w:tcW w:w="1300" w:type="dxa"/>
            <w:vAlign w:val="center"/>
          </w:tcPr>
          <w:p w14:paraId="6630E51C" w14:textId="77777777" w:rsidR="005E000F" w:rsidRDefault="00000000">
            <w:pPr>
              <w:jc w:val="right"/>
            </w:pPr>
            <w:r>
              <w:rPr>
                <w:rFonts w:hint="eastAsia"/>
              </w:rPr>
              <w:t>-33,078,838</w:t>
            </w:r>
          </w:p>
        </w:tc>
        <w:tc>
          <w:tcPr>
            <w:tcW w:w="1403" w:type="dxa"/>
            <w:vAlign w:val="center"/>
          </w:tcPr>
          <w:p w14:paraId="7CD2571F" w14:textId="77777777" w:rsidR="005E000F" w:rsidRDefault="00000000">
            <w:pPr>
              <w:jc w:val="right"/>
            </w:pPr>
            <w:r>
              <w:rPr>
                <w:rFonts w:hint="eastAsia"/>
              </w:rPr>
              <w:t>-109,936,698</w:t>
            </w:r>
          </w:p>
        </w:tc>
      </w:tr>
      <w:tr w:rsidR="005E000F" w14:paraId="14160D2B" w14:textId="77777777">
        <w:tc>
          <w:tcPr>
            <w:tcW w:w="3608" w:type="dxa"/>
            <w:vAlign w:val="center"/>
          </w:tcPr>
          <w:p w14:paraId="41086231" w14:textId="77777777" w:rsidR="005E000F" w:rsidRDefault="00000000">
            <w:pPr>
              <w:pStyle w:val="aff8"/>
              <w:ind w:firstLineChars="0" w:firstLine="0"/>
              <w:jc w:val="left"/>
              <w:rPr>
                <w:szCs w:val="21"/>
              </w:rPr>
            </w:pPr>
            <w:r>
              <w:rPr>
                <w:rFonts w:hint="eastAsia"/>
              </w:rPr>
              <w:t>减：</w:t>
            </w:r>
            <w:r>
              <w:rPr>
                <w:szCs w:val="21"/>
              </w:rPr>
              <w:t>所得税影响额</w:t>
            </w:r>
          </w:p>
        </w:tc>
        <w:tc>
          <w:tcPr>
            <w:tcW w:w="1457" w:type="dxa"/>
            <w:vAlign w:val="center"/>
          </w:tcPr>
          <w:p w14:paraId="79ABBE60" w14:textId="77777777" w:rsidR="005E000F" w:rsidRDefault="00000000">
            <w:pPr>
              <w:jc w:val="right"/>
            </w:pPr>
            <w:r>
              <w:t>6,634,333</w:t>
            </w:r>
          </w:p>
        </w:tc>
        <w:tc>
          <w:tcPr>
            <w:tcW w:w="1278" w:type="dxa"/>
            <w:vAlign w:val="center"/>
          </w:tcPr>
          <w:p w14:paraId="4CB35B24" w14:textId="77777777" w:rsidR="005E000F" w:rsidRDefault="00000000">
            <w:r>
              <w:rPr>
                <w:rFonts w:hint="eastAsia"/>
              </w:rPr>
              <w:t xml:space="preserve">　</w:t>
            </w:r>
          </w:p>
        </w:tc>
        <w:tc>
          <w:tcPr>
            <w:tcW w:w="1300" w:type="dxa"/>
            <w:vAlign w:val="center"/>
          </w:tcPr>
          <w:p w14:paraId="17BC4E12" w14:textId="77777777" w:rsidR="005E000F" w:rsidRDefault="00000000">
            <w:pPr>
              <w:jc w:val="right"/>
            </w:pPr>
            <w:r>
              <w:rPr>
                <w:rFonts w:hint="eastAsia"/>
              </w:rPr>
              <w:t>2,620,880</w:t>
            </w:r>
          </w:p>
        </w:tc>
        <w:tc>
          <w:tcPr>
            <w:tcW w:w="1403" w:type="dxa"/>
            <w:vAlign w:val="center"/>
          </w:tcPr>
          <w:p w14:paraId="2E0BC1C9" w14:textId="77777777" w:rsidR="005E000F" w:rsidRDefault="00000000">
            <w:pPr>
              <w:jc w:val="right"/>
            </w:pPr>
            <w:r>
              <w:rPr>
                <w:rFonts w:hint="eastAsia"/>
              </w:rPr>
              <w:t>-7,208,342</w:t>
            </w:r>
          </w:p>
        </w:tc>
      </w:tr>
      <w:tr w:rsidR="005E000F" w14:paraId="79A2D8CF" w14:textId="77777777">
        <w:tc>
          <w:tcPr>
            <w:tcW w:w="3608" w:type="dxa"/>
            <w:vAlign w:val="center"/>
          </w:tcPr>
          <w:p w14:paraId="2D03F999" w14:textId="77777777" w:rsidR="005E000F" w:rsidRDefault="00000000">
            <w:pPr>
              <w:pStyle w:val="aff8"/>
              <w:jc w:val="left"/>
              <w:rPr>
                <w:szCs w:val="21"/>
              </w:rPr>
            </w:pPr>
            <w:r>
              <w:rPr>
                <w:szCs w:val="21"/>
              </w:rPr>
              <w:t>少数股东权益影响额</w:t>
            </w:r>
            <w:r>
              <w:rPr>
                <w:rFonts w:hint="eastAsia"/>
                <w:szCs w:val="21"/>
              </w:rPr>
              <w:t>（税后）</w:t>
            </w:r>
          </w:p>
        </w:tc>
        <w:tc>
          <w:tcPr>
            <w:tcW w:w="1457" w:type="dxa"/>
            <w:vAlign w:val="center"/>
          </w:tcPr>
          <w:p w14:paraId="0C8B274B" w14:textId="77777777" w:rsidR="005E000F" w:rsidRDefault="00000000">
            <w:pPr>
              <w:jc w:val="right"/>
            </w:pPr>
            <w:r>
              <w:t>139,722</w:t>
            </w:r>
          </w:p>
        </w:tc>
        <w:tc>
          <w:tcPr>
            <w:tcW w:w="1278" w:type="dxa"/>
            <w:vAlign w:val="center"/>
          </w:tcPr>
          <w:p w14:paraId="516F3160" w14:textId="77777777" w:rsidR="005E000F" w:rsidRDefault="00000000">
            <w:r>
              <w:rPr>
                <w:rFonts w:hint="eastAsia"/>
              </w:rPr>
              <w:t xml:space="preserve">　</w:t>
            </w:r>
          </w:p>
        </w:tc>
        <w:tc>
          <w:tcPr>
            <w:tcW w:w="1300" w:type="dxa"/>
            <w:vAlign w:val="center"/>
          </w:tcPr>
          <w:p w14:paraId="31C61481" w14:textId="77777777" w:rsidR="005E000F" w:rsidRDefault="00000000">
            <w:pPr>
              <w:jc w:val="right"/>
            </w:pPr>
            <w:r>
              <w:rPr>
                <w:rFonts w:hint="eastAsia"/>
              </w:rPr>
              <w:t>-4,326,289</w:t>
            </w:r>
          </w:p>
        </w:tc>
        <w:tc>
          <w:tcPr>
            <w:tcW w:w="1403" w:type="dxa"/>
            <w:vAlign w:val="center"/>
          </w:tcPr>
          <w:p w14:paraId="170D7088" w14:textId="77777777" w:rsidR="005E000F" w:rsidRDefault="00000000">
            <w:pPr>
              <w:jc w:val="right"/>
            </w:pPr>
            <w:r>
              <w:rPr>
                <w:rFonts w:hint="eastAsia"/>
              </w:rPr>
              <w:t>-13,700,467</w:t>
            </w:r>
          </w:p>
        </w:tc>
      </w:tr>
      <w:tr w:rsidR="005E000F" w14:paraId="14F5DB9B" w14:textId="77777777">
        <w:tc>
          <w:tcPr>
            <w:tcW w:w="3608" w:type="dxa"/>
            <w:vAlign w:val="center"/>
          </w:tcPr>
          <w:p w14:paraId="7764815F" w14:textId="77777777" w:rsidR="005E000F" w:rsidRDefault="00000000">
            <w:pPr>
              <w:pStyle w:val="aff8"/>
              <w:ind w:firstLineChars="0" w:firstLine="0"/>
              <w:jc w:val="center"/>
              <w:rPr>
                <w:szCs w:val="21"/>
              </w:rPr>
            </w:pPr>
            <w:r>
              <w:rPr>
                <w:szCs w:val="21"/>
              </w:rPr>
              <w:t>合计</w:t>
            </w:r>
          </w:p>
        </w:tc>
        <w:tc>
          <w:tcPr>
            <w:tcW w:w="1457" w:type="dxa"/>
            <w:vAlign w:val="center"/>
          </w:tcPr>
          <w:p w14:paraId="65C4033C" w14:textId="77777777" w:rsidR="005E000F" w:rsidRDefault="00000000">
            <w:pPr>
              <w:jc w:val="right"/>
            </w:pPr>
            <w:r>
              <w:t>39,222,85</w:t>
            </w:r>
            <w:r>
              <w:rPr>
                <w:rFonts w:hint="eastAsia"/>
              </w:rPr>
              <w:t>8</w:t>
            </w:r>
          </w:p>
        </w:tc>
        <w:tc>
          <w:tcPr>
            <w:tcW w:w="1278" w:type="dxa"/>
            <w:vAlign w:val="center"/>
          </w:tcPr>
          <w:p w14:paraId="2BBCFA07" w14:textId="77777777" w:rsidR="005E000F" w:rsidRDefault="00000000">
            <w:r>
              <w:rPr>
                <w:rFonts w:hint="eastAsia"/>
              </w:rPr>
              <w:t xml:space="preserve">　</w:t>
            </w:r>
          </w:p>
        </w:tc>
        <w:tc>
          <w:tcPr>
            <w:tcW w:w="1300" w:type="dxa"/>
            <w:vAlign w:val="center"/>
          </w:tcPr>
          <w:p w14:paraId="0BD0A13C" w14:textId="77777777" w:rsidR="005E000F" w:rsidRDefault="00000000">
            <w:pPr>
              <w:jc w:val="right"/>
            </w:pPr>
            <w:r>
              <w:rPr>
                <w:rFonts w:hint="eastAsia"/>
              </w:rPr>
              <w:t>3,464,618</w:t>
            </w:r>
          </w:p>
        </w:tc>
        <w:tc>
          <w:tcPr>
            <w:tcW w:w="1403" w:type="dxa"/>
            <w:vAlign w:val="center"/>
          </w:tcPr>
          <w:p w14:paraId="5DC6213C" w14:textId="77777777" w:rsidR="005E000F" w:rsidRDefault="00000000">
            <w:pPr>
              <w:jc w:val="right"/>
            </w:pPr>
            <w:r>
              <w:rPr>
                <w:rFonts w:hint="eastAsia"/>
              </w:rPr>
              <w:t>-27,825,529</w:t>
            </w:r>
          </w:p>
        </w:tc>
      </w:tr>
    </w:tbl>
    <w:p w14:paraId="36F696DC" w14:textId="77777777" w:rsidR="005E000F" w:rsidRDefault="005E000F"/>
    <w:p w14:paraId="2D064FB0" w14:textId="77777777" w:rsidR="005E000F" w:rsidRDefault="00000000">
      <w:pPr>
        <w:pStyle w:val="af"/>
        <w:adjustRightInd w:val="0"/>
        <w:snapToGrid w:val="0"/>
        <w:spacing w:line="200" w:lineRule="atLeast"/>
        <w:rPr>
          <w:rFonts w:hAnsi="宋体"/>
          <w:kern w:val="0"/>
        </w:rPr>
      </w:pPr>
      <w:bookmarkStart w:id="31" w:name="_Hlk89096484"/>
      <w:bookmarkStart w:id="32" w:name="_Hlk41379873"/>
      <w:bookmarkEnd w:id="29"/>
      <w:bookmarkEnd w:id="30"/>
      <w:r>
        <w:rPr>
          <w:rFonts w:hAnsi="宋体" w:cs="宋体" w:hint="eastAsia"/>
          <w:kern w:val="0"/>
        </w:rPr>
        <w:t>对公司</w:t>
      </w:r>
      <w:r>
        <w:rPr>
          <w:rFonts w:hint="eastAsia"/>
        </w:rPr>
        <w:t>将《公开发行证券的公司信息披露解释性公告第</w:t>
      </w:r>
      <w:r>
        <w:t>1</w:t>
      </w:r>
      <w:r>
        <w:t>号</w:t>
      </w:r>
      <w:r>
        <w:t>——</w:t>
      </w:r>
      <w:r>
        <w:t>非经常性损益》未列举的项目认定为非经常性损益项目且金额重大的，以及将《公开发行证券的公司信息披露解释性公告第</w:t>
      </w:r>
      <w:r>
        <w:t>1</w:t>
      </w:r>
      <w:r>
        <w:t>号</w:t>
      </w:r>
      <w:r>
        <w:t>——</w:t>
      </w:r>
      <w:r>
        <w:t>非经常性损益》中列举的非经常性损益项目界定为经常性损益的项目，</w:t>
      </w:r>
      <w:r>
        <w:rPr>
          <w:rFonts w:hAnsi="宋体" w:cs="宋体"/>
          <w:kern w:val="0"/>
        </w:rPr>
        <w:t>应说明原因。</w:t>
      </w:r>
    </w:p>
    <w:sdt>
      <w:sdtPr>
        <w:alias w:val="是否适用：将非经常性损益项目界定为经常性损益项目[双击切换]"/>
        <w:tag w:val="_GBC_a4930715ddcb47d484e7fbd516fb3ac1"/>
        <w:id w:val="644781537"/>
        <w:placeholder>
          <w:docPart w:val="GBC22222222222222222222222222222"/>
        </w:placeholder>
      </w:sdtPr>
      <w:sdtContent>
        <w:p w14:paraId="662BDDA4"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E2BA17" w14:textId="77777777" w:rsidR="005E000F" w:rsidRDefault="00000000">
      <w:pPr>
        <w:pStyle w:val="2"/>
        <w:numPr>
          <w:ilvl w:val="1"/>
          <w:numId w:val="4"/>
        </w:numPr>
        <w:ind w:left="498" w:hangingChars="236" w:hanging="498"/>
        <w:rPr>
          <w:rFonts w:ascii="宋体" w:hAnsi="宋体" w:cs="宋体"/>
          <w:kern w:val="0"/>
          <w:szCs w:val="24"/>
        </w:rPr>
      </w:pPr>
      <w:bookmarkStart w:id="33" w:name="_Hlk89957177"/>
      <w:bookmarkStart w:id="34" w:name="_Hlk190177857"/>
      <w:bookmarkStart w:id="35" w:name="_Hlk188284396"/>
      <w:bookmarkStart w:id="36" w:name="_Hlk189833556"/>
      <w:bookmarkEnd w:id="31"/>
      <w:bookmarkEnd w:id="32"/>
      <w:bookmarkEnd w:id="33"/>
      <w:bookmarkEnd w:id="34"/>
      <w:bookmarkEnd w:id="35"/>
      <w:r>
        <w:rPr>
          <w:rFonts w:ascii="宋体" w:hAnsi="宋体" w:cs="宋体" w:hint="eastAsia"/>
          <w:kern w:val="0"/>
          <w:szCs w:val="24"/>
        </w:rPr>
        <w:t>存在股权激励、员工持股计划的公司可选择披露扣除股份支付影响后的净利润</w:t>
      </w:r>
    </w:p>
    <w:sdt>
      <w:sdtPr>
        <w:rPr>
          <w:rFonts w:hint="eastAsia"/>
        </w:rPr>
        <w:alias w:val="是否适用：扣除股份支付影响后的净利润[双击切换]"/>
        <w:tag w:val="_GBC_71c3b526e4394d84a9836f3f981280a3"/>
        <w:id w:val="1842660723"/>
        <w:placeholder>
          <w:docPart w:val="GBC22222222222222222222222222222"/>
        </w:placeholder>
      </w:sdtPr>
      <w:sdtContent>
        <w:p w14:paraId="0409D236" w14:textId="77777777" w:rsidR="005E000F" w:rsidRDefault="0000000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07D20A88" w14:textId="77777777" w:rsidR="005E000F" w:rsidRDefault="00000000">
      <w:pPr>
        <w:pStyle w:val="2"/>
        <w:numPr>
          <w:ilvl w:val="1"/>
          <w:numId w:val="4"/>
        </w:numPr>
        <w:ind w:left="498" w:hangingChars="236" w:hanging="498"/>
      </w:pPr>
      <w:bookmarkStart w:id="37" w:name="_Hlk191559014"/>
      <w:bookmarkStart w:id="38" w:name="_Hlk191559048"/>
      <w:bookmarkStart w:id="39" w:name="_Hlk191559067"/>
      <w:bookmarkEnd w:id="36"/>
      <w:bookmarkEnd w:id="37"/>
      <w:bookmarkEnd w:id="38"/>
      <w:bookmarkEnd w:id="39"/>
      <w:r>
        <w:rPr>
          <w:rFonts w:hint="eastAsia"/>
        </w:rPr>
        <w:t>采用公允价值计量的项目</w:t>
      </w:r>
    </w:p>
    <w:sdt>
      <w:sdtPr>
        <w:alias w:val="是否适用：采用公允价值计量的项目[双击切换]"/>
        <w:tag w:val="_GBC_e89d76d7486246e0ac1d3db15e4df008"/>
        <w:id w:val="-1287114902"/>
        <w:placeholder>
          <w:docPart w:val="GBC22222222222222222222222222222"/>
        </w:placeholder>
      </w:sdtPr>
      <w:sdtContent>
        <w:p w14:paraId="1FEABDA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B798223" w14:textId="77777777" w:rsidR="005E000F" w:rsidRDefault="00000000">
      <w:pPr>
        <w:wordWrap w:val="0"/>
        <w:jc w:val="right"/>
        <w:rPr>
          <w:rFonts w:asciiTheme="minorEastAsia" w:eastAsiaTheme="minorEastAsia" w:hAnsiTheme="minorEastAsia"/>
        </w:rPr>
      </w:pPr>
      <w:r>
        <w:rPr>
          <w:rFonts w:asciiTheme="minorEastAsia" w:eastAsiaTheme="minorEastAsia" w:hAnsiTheme="minorEastAsia" w:hint="eastAsia"/>
        </w:rPr>
        <w:t>单位：</w:t>
      </w:r>
      <w:sdt>
        <w:sdtPr>
          <w:rPr>
            <w:rFonts w:asciiTheme="minorEastAsia" w:eastAsiaTheme="minorEastAsia" w:hAnsiTheme="minorEastAsia" w:hint="eastAsia"/>
          </w:rPr>
          <w:alias w:val="单位：采用公允价值计量的项目"/>
          <w:tag w:val="_GBC_3db790decc6f48c79df9bb825ea34c80"/>
          <w:id w:val="96285965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Theme="minorEastAsia" w:eastAsiaTheme="minorEastAsia" w:hAnsiTheme="minorEastAsia" w:hint="eastAsia"/>
            </w:rPr>
            <w:t>元</w:t>
          </w:r>
        </w:sdtContent>
      </w:sdt>
      <w:r>
        <w:rPr>
          <w:rFonts w:asciiTheme="minorEastAsia" w:eastAsiaTheme="minorEastAsia" w:hAnsiTheme="minorEastAsia" w:hint="eastAsia"/>
        </w:rPr>
        <w:t xml:space="preserve">  币种：</w:t>
      </w:r>
      <w:sdt>
        <w:sdtPr>
          <w:rPr>
            <w:rFonts w:asciiTheme="minorEastAsia" w:eastAsiaTheme="minorEastAsia" w:hAnsiTheme="minorEastAsia" w:hint="eastAsia"/>
          </w:rPr>
          <w:alias w:val="币种：采用公允价值计量的项目"/>
          <w:tag w:val="_GBC_6f16a5f9084343f1b7cf46e770d31080"/>
          <w:id w:val="18331772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Theme="minorEastAsia" w:eastAsiaTheme="minorEastAsia" w:hAnsiTheme="minorEastAsia" w:hint="eastAsia"/>
            </w:rPr>
            <w:t>人民币</w:t>
          </w:r>
        </w:sdtContent>
      </w:sdt>
    </w:p>
    <w:tbl>
      <w:tblPr>
        <w:tblStyle w:val="aff2"/>
        <w:tblW w:w="0" w:type="auto"/>
        <w:tblLayout w:type="fixed"/>
        <w:tblLook w:val="04A0" w:firstRow="1" w:lastRow="0" w:firstColumn="1" w:lastColumn="0" w:noHBand="0" w:noVBand="1"/>
      </w:tblPr>
      <w:tblGrid>
        <w:gridCol w:w="1949"/>
        <w:gridCol w:w="1701"/>
        <w:gridCol w:w="1710"/>
        <w:gridCol w:w="1695"/>
        <w:gridCol w:w="1992"/>
      </w:tblGrid>
      <w:tr w:rsidR="005E000F" w14:paraId="6D23B719" w14:textId="77777777">
        <w:trPr>
          <w:trHeight w:val="165"/>
        </w:trPr>
        <w:sdt>
          <w:sdtPr>
            <w:tag w:val="_PLD_7afb41bb6f11412490d2cf97e6a8af4a"/>
            <w:id w:val="-390736163"/>
          </w:sdtPr>
          <w:sdtContent>
            <w:tc>
              <w:tcPr>
                <w:tcW w:w="1949" w:type="dxa"/>
                <w:vAlign w:val="center"/>
              </w:tcPr>
              <w:p w14:paraId="4F82387A" w14:textId="77777777" w:rsidR="005E000F" w:rsidRDefault="00000000">
                <w:pPr>
                  <w:jc w:val="center"/>
                  <w:rPr>
                    <w:rFonts w:asciiTheme="minorEastAsia" w:eastAsiaTheme="minorEastAsia" w:hAnsiTheme="minorEastAsia"/>
                  </w:rPr>
                </w:pPr>
                <w:r>
                  <w:rPr>
                    <w:rFonts w:asciiTheme="minorEastAsia" w:eastAsiaTheme="minorEastAsia" w:hAnsiTheme="minorEastAsia" w:hint="eastAsia"/>
                  </w:rPr>
                  <w:t>项目名称</w:t>
                </w:r>
              </w:p>
            </w:tc>
          </w:sdtContent>
        </w:sdt>
        <w:sdt>
          <w:sdtPr>
            <w:tag w:val="_PLD_da0df6228e264965b54ebbf01610457e"/>
            <w:id w:val="967398141"/>
          </w:sdtPr>
          <w:sdtContent>
            <w:tc>
              <w:tcPr>
                <w:tcW w:w="1701" w:type="dxa"/>
                <w:vAlign w:val="center"/>
              </w:tcPr>
              <w:p w14:paraId="51BD9043" w14:textId="77777777" w:rsidR="005E000F" w:rsidRDefault="00000000">
                <w:pPr>
                  <w:jc w:val="center"/>
                  <w:rPr>
                    <w:rFonts w:asciiTheme="minorEastAsia" w:eastAsiaTheme="minorEastAsia" w:hAnsiTheme="minorEastAsia"/>
                  </w:rPr>
                </w:pPr>
                <w:r>
                  <w:rPr>
                    <w:rFonts w:asciiTheme="minorEastAsia" w:eastAsiaTheme="minorEastAsia" w:hAnsiTheme="minorEastAsia" w:hint="eastAsia"/>
                  </w:rPr>
                  <w:t>期初余额</w:t>
                </w:r>
              </w:p>
            </w:tc>
          </w:sdtContent>
        </w:sdt>
        <w:sdt>
          <w:sdtPr>
            <w:tag w:val="_PLD_32f24a9a3da24799945b9be672e1778c"/>
            <w:id w:val="369505316"/>
          </w:sdtPr>
          <w:sdtContent>
            <w:tc>
              <w:tcPr>
                <w:tcW w:w="1710" w:type="dxa"/>
                <w:vAlign w:val="center"/>
              </w:tcPr>
              <w:p w14:paraId="7054426A" w14:textId="77777777" w:rsidR="005E000F" w:rsidRDefault="00000000">
                <w:pPr>
                  <w:jc w:val="center"/>
                  <w:rPr>
                    <w:rFonts w:asciiTheme="minorEastAsia" w:eastAsiaTheme="minorEastAsia" w:hAnsiTheme="minorEastAsia"/>
                  </w:rPr>
                </w:pPr>
                <w:r>
                  <w:rPr>
                    <w:rFonts w:asciiTheme="minorEastAsia" w:eastAsiaTheme="minorEastAsia" w:hAnsiTheme="minorEastAsia" w:hint="eastAsia"/>
                  </w:rPr>
                  <w:t>期末余额</w:t>
                </w:r>
              </w:p>
            </w:tc>
          </w:sdtContent>
        </w:sdt>
        <w:sdt>
          <w:sdtPr>
            <w:tag w:val="_PLD_e96c7ea54e9845adafdee1a3e4d1777a"/>
            <w:id w:val="-1824652344"/>
          </w:sdtPr>
          <w:sdtContent>
            <w:tc>
              <w:tcPr>
                <w:tcW w:w="1695" w:type="dxa"/>
                <w:vAlign w:val="center"/>
              </w:tcPr>
              <w:p w14:paraId="6B84C1CF" w14:textId="77777777" w:rsidR="005E000F" w:rsidRDefault="00000000">
                <w:pPr>
                  <w:jc w:val="center"/>
                  <w:rPr>
                    <w:rFonts w:asciiTheme="minorEastAsia" w:eastAsiaTheme="minorEastAsia" w:hAnsiTheme="minorEastAsia"/>
                  </w:rPr>
                </w:pPr>
                <w:r>
                  <w:rPr>
                    <w:rFonts w:asciiTheme="minorEastAsia" w:eastAsiaTheme="minorEastAsia" w:hAnsiTheme="minorEastAsia" w:hint="eastAsia"/>
                  </w:rPr>
                  <w:t>当期变动</w:t>
                </w:r>
              </w:p>
            </w:tc>
          </w:sdtContent>
        </w:sdt>
        <w:sdt>
          <w:sdtPr>
            <w:tag w:val="_PLD_1472a884c9f543dba7a82865e73f1536"/>
            <w:id w:val="1811973751"/>
          </w:sdtPr>
          <w:sdtContent>
            <w:tc>
              <w:tcPr>
                <w:tcW w:w="1992" w:type="dxa"/>
                <w:vAlign w:val="center"/>
              </w:tcPr>
              <w:p w14:paraId="5F0C1237" w14:textId="77777777" w:rsidR="005E000F" w:rsidRDefault="00000000">
                <w:pPr>
                  <w:jc w:val="center"/>
                  <w:rPr>
                    <w:rFonts w:asciiTheme="minorEastAsia" w:eastAsiaTheme="minorEastAsia" w:hAnsiTheme="minorEastAsia"/>
                  </w:rPr>
                </w:pPr>
                <w:r>
                  <w:rPr>
                    <w:rFonts w:asciiTheme="minorEastAsia" w:eastAsiaTheme="minorEastAsia" w:hAnsiTheme="minorEastAsia" w:hint="eastAsia"/>
                  </w:rPr>
                  <w:t>对当期利润的影响金额</w:t>
                </w:r>
              </w:p>
            </w:tc>
          </w:sdtContent>
        </w:sdt>
      </w:tr>
      <w:tr w:rsidR="005E000F" w14:paraId="4BE28C81" w14:textId="77777777">
        <w:trPr>
          <w:trHeight w:val="180"/>
        </w:trPr>
        <w:tc>
          <w:tcPr>
            <w:tcW w:w="1949" w:type="dxa"/>
            <w:vAlign w:val="center"/>
          </w:tcPr>
          <w:p w14:paraId="0E34223C" w14:textId="77777777" w:rsidR="005E000F" w:rsidRDefault="00000000">
            <w:pPr>
              <w:rPr>
                <w:rFonts w:asciiTheme="minorEastAsia" w:eastAsiaTheme="minorEastAsia" w:hAnsiTheme="minorEastAsia"/>
              </w:rPr>
            </w:pPr>
            <w:r>
              <w:rPr>
                <w:rFonts w:asciiTheme="minorEastAsia" w:eastAsiaTheme="minorEastAsia" w:hAnsiTheme="minorEastAsia" w:hint="eastAsia"/>
              </w:rPr>
              <w:t>其他权益工具投资</w:t>
            </w:r>
          </w:p>
        </w:tc>
        <w:tc>
          <w:tcPr>
            <w:tcW w:w="1701" w:type="dxa"/>
            <w:vAlign w:val="center"/>
          </w:tcPr>
          <w:p w14:paraId="01121DDC" w14:textId="77777777" w:rsidR="005E000F" w:rsidRDefault="00000000">
            <w:pPr>
              <w:jc w:val="right"/>
              <w:rPr>
                <w:rFonts w:eastAsiaTheme="minorEastAsia"/>
              </w:rPr>
            </w:pPr>
            <w:r>
              <w:rPr>
                <w:rFonts w:eastAsiaTheme="minorEastAsia"/>
              </w:rPr>
              <w:t>234,763,500</w:t>
            </w:r>
          </w:p>
        </w:tc>
        <w:tc>
          <w:tcPr>
            <w:tcW w:w="1710" w:type="dxa"/>
            <w:vAlign w:val="center"/>
          </w:tcPr>
          <w:p w14:paraId="2F102E08" w14:textId="77777777" w:rsidR="005E000F" w:rsidRDefault="00000000">
            <w:pPr>
              <w:widowControl/>
              <w:jc w:val="right"/>
              <w:textAlignment w:val="center"/>
              <w:rPr>
                <w:rFonts w:eastAsiaTheme="minorEastAsia"/>
              </w:rPr>
            </w:pPr>
            <w:r>
              <w:rPr>
                <w:color w:val="000000"/>
                <w:lang w:bidi="ar"/>
              </w:rPr>
              <w:t>240,748,500</w:t>
            </w:r>
          </w:p>
        </w:tc>
        <w:tc>
          <w:tcPr>
            <w:tcW w:w="1695" w:type="dxa"/>
            <w:vAlign w:val="center"/>
          </w:tcPr>
          <w:p w14:paraId="1AC2A9B9" w14:textId="77777777" w:rsidR="005E000F" w:rsidRDefault="00000000">
            <w:pPr>
              <w:widowControl/>
              <w:jc w:val="right"/>
              <w:textAlignment w:val="center"/>
              <w:rPr>
                <w:rFonts w:eastAsiaTheme="minorEastAsia"/>
              </w:rPr>
            </w:pPr>
            <w:r>
              <w:rPr>
                <w:color w:val="000000"/>
                <w:lang w:bidi="ar"/>
              </w:rPr>
              <w:t>5,985,000</w:t>
            </w:r>
          </w:p>
        </w:tc>
        <w:tc>
          <w:tcPr>
            <w:tcW w:w="1992" w:type="dxa"/>
            <w:vAlign w:val="center"/>
          </w:tcPr>
          <w:p w14:paraId="38F5E1C1" w14:textId="77777777" w:rsidR="005E000F" w:rsidRDefault="00000000">
            <w:pPr>
              <w:jc w:val="right"/>
              <w:rPr>
                <w:rFonts w:eastAsiaTheme="minorEastAsia"/>
              </w:rPr>
            </w:pPr>
            <w:r>
              <w:rPr>
                <w:rFonts w:eastAsiaTheme="minorEastAsia"/>
              </w:rPr>
              <w:t>0</w:t>
            </w:r>
          </w:p>
        </w:tc>
      </w:tr>
      <w:tr w:rsidR="005E000F" w14:paraId="0924E739" w14:textId="77777777">
        <w:trPr>
          <w:trHeight w:val="180"/>
        </w:trPr>
        <w:tc>
          <w:tcPr>
            <w:tcW w:w="1949" w:type="dxa"/>
            <w:vAlign w:val="center"/>
          </w:tcPr>
          <w:p w14:paraId="4D351BDC" w14:textId="77777777" w:rsidR="005E000F" w:rsidRDefault="00000000">
            <w:pPr>
              <w:rPr>
                <w:rFonts w:asciiTheme="minorEastAsia" w:eastAsiaTheme="minorEastAsia" w:hAnsiTheme="minorEastAsia"/>
              </w:rPr>
            </w:pPr>
            <w:r>
              <w:rPr>
                <w:rFonts w:asciiTheme="minorEastAsia" w:eastAsiaTheme="minorEastAsia" w:hAnsiTheme="minorEastAsia" w:hint="eastAsia"/>
              </w:rPr>
              <w:t>应收款项融资</w:t>
            </w:r>
          </w:p>
        </w:tc>
        <w:tc>
          <w:tcPr>
            <w:tcW w:w="1701" w:type="dxa"/>
            <w:vAlign w:val="center"/>
          </w:tcPr>
          <w:p w14:paraId="097AAF73" w14:textId="77777777" w:rsidR="005E000F" w:rsidRDefault="00000000">
            <w:pPr>
              <w:jc w:val="right"/>
              <w:rPr>
                <w:rFonts w:eastAsiaTheme="minorEastAsia"/>
              </w:rPr>
            </w:pPr>
            <w:r>
              <w:rPr>
                <w:rFonts w:eastAsiaTheme="minorEastAsia"/>
              </w:rPr>
              <w:t>2,440,076,387</w:t>
            </w:r>
          </w:p>
        </w:tc>
        <w:tc>
          <w:tcPr>
            <w:tcW w:w="1710" w:type="dxa"/>
            <w:vAlign w:val="center"/>
          </w:tcPr>
          <w:p w14:paraId="42A9912A" w14:textId="77777777" w:rsidR="005E000F" w:rsidRDefault="00000000">
            <w:pPr>
              <w:widowControl/>
              <w:jc w:val="right"/>
              <w:textAlignment w:val="center"/>
              <w:rPr>
                <w:rFonts w:eastAsiaTheme="minorEastAsia"/>
              </w:rPr>
            </w:pPr>
            <w:r>
              <w:rPr>
                <w:color w:val="000000"/>
                <w:lang w:bidi="ar"/>
              </w:rPr>
              <w:t>3,110,596,621</w:t>
            </w:r>
          </w:p>
        </w:tc>
        <w:tc>
          <w:tcPr>
            <w:tcW w:w="1695" w:type="dxa"/>
            <w:vAlign w:val="center"/>
          </w:tcPr>
          <w:p w14:paraId="7E32CF8C" w14:textId="77777777" w:rsidR="005E000F" w:rsidRDefault="00000000">
            <w:pPr>
              <w:widowControl/>
              <w:jc w:val="right"/>
              <w:textAlignment w:val="center"/>
              <w:rPr>
                <w:rFonts w:eastAsiaTheme="minorEastAsia"/>
              </w:rPr>
            </w:pPr>
            <w:r>
              <w:rPr>
                <w:color w:val="000000"/>
                <w:lang w:bidi="ar"/>
              </w:rPr>
              <w:t>670,520,234</w:t>
            </w:r>
          </w:p>
        </w:tc>
        <w:tc>
          <w:tcPr>
            <w:tcW w:w="1992" w:type="dxa"/>
            <w:vAlign w:val="center"/>
          </w:tcPr>
          <w:p w14:paraId="7E511F26" w14:textId="77777777" w:rsidR="005E000F" w:rsidRDefault="00000000">
            <w:pPr>
              <w:jc w:val="right"/>
              <w:rPr>
                <w:rFonts w:eastAsiaTheme="minorEastAsia"/>
              </w:rPr>
            </w:pPr>
            <w:r>
              <w:rPr>
                <w:rFonts w:eastAsiaTheme="minorEastAsia"/>
              </w:rPr>
              <w:t>0</w:t>
            </w:r>
          </w:p>
        </w:tc>
      </w:tr>
      <w:tr w:rsidR="005E000F" w14:paraId="4B06BBED" w14:textId="77777777">
        <w:trPr>
          <w:trHeight w:val="117"/>
        </w:trPr>
        <w:tc>
          <w:tcPr>
            <w:tcW w:w="1949" w:type="dxa"/>
            <w:tcBorders>
              <w:bottom w:val="single" w:sz="4" w:space="0" w:color="auto"/>
            </w:tcBorders>
            <w:vAlign w:val="center"/>
          </w:tcPr>
          <w:p w14:paraId="67C73744" w14:textId="77777777" w:rsidR="005E000F" w:rsidRDefault="00000000">
            <w:pPr>
              <w:jc w:val="center"/>
              <w:rPr>
                <w:rFonts w:asciiTheme="minorEastAsia" w:eastAsiaTheme="minorEastAsia" w:hAnsiTheme="minorEastAsia"/>
              </w:rPr>
            </w:pPr>
            <w:r>
              <w:rPr>
                <w:rFonts w:asciiTheme="minorEastAsia" w:eastAsiaTheme="minorEastAsia" w:hAnsiTheme="minorEastAsia" w:hint="eastAsia"/>
              </w:rPr>
              <w:t>合计</w:t>
            </w:r>
          </w:p>
        </w:tc>
        <w:tc>
          <w:tcPr>
            <w:tcW w:w="1701" w:type="dxa"/>
            <w:vAlign w:val="center"/>
          </w:tcPr>
          <w:p w14:paraId="60A0296E" w14:textId="77777777" w:rsidR="005E000F" w:rsidRDefault="00000000">
            <w:pPr>
              <w:jc w:val="right"/>
              <w:rPr>
                <w:rFonts w:eastAsiaTheme="minorEastAsia"/>
              </w:rPr>
            </w:pPr>
            <w:r>
              <w:rPr>
                <w:rFonts w:eastAsiaTheme="minorEastAsia"/>
              </w:rPr>
              <w:t>2,674,839,887</w:t>
            </w:r>
          </w:p>
        </w:tc>
        <w:tc>
          <w:tcPr>
            <w:tcW w:w="1710" w:type="dxa"/>
            <w:vAlign w:val="center"/>
          </w:tcPr>
          <w:p w14:paraId="7B625938" w14:textId="77777777" w:rsidR="005E000F" w:rsidRDefault="00000000">
            <w:pPr>
              <w:widowControl/>
              <w:jc w:val="right"/>
              <w:textAlignment w:val="center"/>
              <w:rPr>
                <w:rFonts w:eastAsiaTheme="minorEastAsia"/>
              </w:rPr>
            </w:pPr>
            <w:r>
              <w:rPr>
                <w:color w:val="000000"/>
                <w:lang w:bidi="ar"/>
              </w:rPr>
              <w:t>3,351,345,121</w:t>
            </w:r>
          </w:p>
        </w:tc>
        <w:tc>
          <w:tcPr>
            <w:tcW w:w="1695" w:type="dxa"/>
            <w:vAlign w:val="center"/>
          </w:tcPr>
          <w:p w14:paraId="0705A7A4" w14:textId="77777777" w:rsidR="005E000F" w:rsidRDefault="00000000">
            <w:pPr>
              <w:widowControl/>
              <w:jc w:val="right"/>
              <w:textAlignment w:val="center"/>
              <w:rPr>
                <w:rFonts w:eastAsiaTheme="minorEastAsia"/>
              </w:rPr>
            </w:pPr>
            <w:r>
              <w:rPr>
                <w:color w:val="000000"/>
                <w:lang w:bidi="ar"/>
              </w:rPr>
              <w:t>676,505,234</w:t>
            </w:r>
          </w:p>
        </w:tc>
        <w:tc>
          <w:tcPr>
            <w:tcW w:w="1992" w:type="dxa"/>
            <w:vAlign w:val="center"/>
          </w:tcPr>
          <w:p w14:paraId="7EFD0070" w14:textId="77777777" w:rsidR="005E000F" w:rsidRDefault="00000000">
            <w:pPr>
              <w:jc w:val="right"/>
              <w:rPr>
                <w:rFonts w:eastAsiaTheme="minorEastAsia"/>
              </w:rPr>
            </w:pPr>
            <w:r>
              <w:rPr>
                <w:rFonts w:eastAsiaTheme="minorEastAsia"/>
              </w:rPr>
              <w:t>0</w:t>
            </w:r>
          </w:p>
        </w:tc>
      </w:tr>
    </w:tbl>
    <w:p w14:paraId="5C645B06" w14:textId="77777777" w:rsidR="005E000F" w:rsidRDefault="005E000F"/>
    <w:p w14:paraId="1104CC8D" w14:textId="77777777" w:rsidR="005E000F" w:rsidRDefault="00000000">
      <w:pPr>
        <w:pStyle w:val="2"/>
        <w:numPr>
          <w:ilvl w:val="1"/>
          <w:numId w:val="4"/>
        </w:numPr>
        <w:ind w:left="498" w:hangingChars="236" w:hanging="498"/>
      </w:pPr>
      <w:r>
        <w:rPr>
          <w:rFonts w:hint="eastAsia"/>
        </w:rPr>
        <w:t>其他</w:t>
      </w:r>
    </w:p>
    <w:sdt>
      <w:sdtPr>
        <w:alias w:val="是否适用：公司简介和主要财务指标其他说明[双击切换]"/>
        <w:tag w:val="_GBC_ac20c9ad49eb470dba71a763f930572f"/>
        <w:id w:val="-500038140"/>
        <w:placeholder>
          <w:docPart w:val="GBC22222222222222222222222222222"/>
        </w:placeholder>
      </w:sdtPr>
      <w:sdtContent>
        <w:p w14:paraId="0027E8C3"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6192269" w14:textId="77777777" w:rsidR="005E000F" w:rsidRDefault="005E000F"/>
    <w:p w14:paraId="5D49D802" w14:textId="77777777" w:rsidR="005E000F" w:rsidRDefault="00000000">
      <w:pPr>
        <w:pStyle w:val="1"/>
        <w:numPr>
          <w:ilvl w:val="0"/>
          <w:numId w:val="2"/>
        </w:numPr>
      </w:pPr>
      <w:bookmarkStart w:id="40" w:name="_Toc191024258"/>
      <w:r>
        <w:rPr>
          <w:rFonts w:hint="eastAsia"/>
        </w:rPr>
        <w:t>管理</w:t>
      </w:r>
      <w:proofErr w:type="gramStart"/>
      <w:r>
        <w:rPr>
          <w:rFonts w:hint="eastAsia"/>
        </w:rPr>
        <w:t>层讨论</w:t>
      </w:r>
      <w:proofErr w:type="gramEnd"/>
      <w:r>
        <w:rPr>
          <w:rFonts w:hint="eastAsia"/>
        </w:rPr>
        <w:t>与分析</w:t>
      </w:r>
    </w:p>
    <w:bookmarkEnd w:id="40"/>
    <w:p w14:paraId="74F09FF8" w14:textId="77777777" w:rsidR="005E000F" w:rsidRDefault="00000000">
      <w:pPr>
        <w:pStyle w:val="2"/>
        <w:numPr>
          <w:ilvl w:val="0"/>
          <w:numId w:val="7"/>
        </w:numPr>
        <w:ind w:left="369" w:hangingChars="175" w:hanging="369"/>
      </w:pPr>
      <w:r>
        <w:t>报告期内公司从事的业务情况</w:t>
      </w:r>
    </w:p>
    <w:sdt>
      <w:sdtPr>
        <w:alias w:val="报告期内公司从事的业务情况 "/>
        <w:tag w:val="_GBC_5c2ed6623d994f569eb07915af842807"/>
        <w:id w:val="660669502"/>
        <w:placeholder>
          <w:docPart w:val="GBC22222222222222222222222222222"/>
        </w:placeholder>
      </w:sdtPr>
      <w:sdtContent>
        <w:p w14:paraId="4E35D7F1" w14:textId="77777777" w:rsidR="005E000F" w:rsidRDefault="00000000">
          <w:pPr>
            <w:spacing w:line="360" w:lineRule="auto"/>
            <w:ind w:firstLineChars="200" w:firstLine="420"/>
            <w:rPr>
              <w:rFonts w:cs="Arial"/>
              <w:b/>
              <w:bCs/>
              <w:szCs w:val="20"/>
            </w:rPr>
          </w:pPr>
          <w:r>
            <w:rPr>
              <w:rFonts w:cs="Arial" w:hint="eastAsia"/>
              <w:b/>
              <w:bCs/>
              <w:szCs w:val="20"/>
            </w:rPr>
            <w:t>（一）业务情况</w:t>
          </w:r>
        </w:p>
        <w:p w14:paraId="02AA134B" w14:textId="77777777" w:rsidR="005E000F" w:rsidRDefault="00000000">
          <w:pPr>
            <w:spacing w:line="360" w:lineRule="auto"/>
            <w:ind w:firstLineChars="200" w:firstLine="420"/>
          </w:pPr>
          <w:r>
            <w:rPr>
              <w:rFonts w:cs="Arial" w:hint="eastAsia"/>
              <w:szCs w:val="20"/>
            </w:rPr>
            <w:t>公司主要经营铁路货、</w:t>
          </w:r>
          <w:proofErr w:type="gramStart"/>
          <w:r>
            <w:rPr>
              <w:rFonts w:cs="Arial" w:hint="eastAsia"/>
              <w:szCs w:val="20"/>
            </w:rPr>
            <w:t>客运输</w:t>
          </w:r>
          <w:proofErr w:type="gramEnd"/>
          <w:r>
            <w:rPr>
              <w:rFonts w:cs="Arial" w:hint="eastAsia"/>
              <w:szCs w:val="20"/>
            </w:rPr>
            <w:t>业务</w:t>
          </w:r>
          <w:r>
            <w:rPr>
              <w:rFonts w:hint="eastAsia"/>
            </w:rPr>
            <w:t>，同时向国内其他铁路运输企业提供服务。</w:t>
          </w:r>
          <w:r>
            <w:rPr>
              <w:rFonts w:hAnsi="Calibri" w:hint="eastAsia"/>
            </w:rPr>
            <w:t>公司依据与旅客、托运人之间签订的铁路运输合同（旅客车票、货物运单</w:t>
          </w:r>
          <w:r>
            <w:rPr>
              <w:rFonts w:hint="eastAsia"/>
            </w:rPr>
            <w:t>等），依托铁路网络为旅客、托运人提供铁路运输服务并获得运输收入。</w:t>
          </w:r>
        </w:p>
        <w:p w14:paraId="51B2D673" w14:textId="77777777" w:rsidR="005E000F" w:rsidRDefault="00000000">
          <w:pPr>
            <w:spacing w:line="360" w:lineRule="auto"/>
            <w:ind w:firstLineChars="200" w:firstLine="420"/>
          </w:pPr>
          <w:r>
            <w:rPr>
              <w:rFonts w:hint="eastAsia"/>
            </w:rPr>
            <w:t>公司执行国家、行业制定的运价政策。</w:t>
          </w:r>
          <w:r>
            <w:rPr>
              <w:rFonts w:hint="eastAsia"/>
            </w:rPr>
            <w:t>2015</w:t>
          </w:r>
          <w:r>
            <w:rPr>
              <w:rFonts w:hint="eastAsia"/>
            </w:rPr>
            <w:t>年以来，国家给予铁路运输企业一定的自主定价权，建立了更加灵活的运价上下浮动机制，增加了价格弹性。</w:t>
          </w:r>
        </w:p>
        <w:p w14:paraId="54D9C814" w14:textId="77777777" w:rsidR="005E000F" w:rsidRDefault="00000000">
          <w:pPr>
            <w:widowControl w:val="0"/>
            <w:numPr>
              <w:ilvl w:val="0"/>
              <w:numId w:val="8"/>
            </w:numPr>
            <w:spacing w:line="360" w:lineRule="auto"/>
            <w:ind w:firstLineChars="200" w:firstLine="422"/>
            <w:jc w:val="both"/>
            <w:rPr>
              <w:rFonts w:cs="Arial"/>
              <w:b/>
              <w:bCs/>
              <w:szCs w:val="20"/>
            </w:rPr>
          </w:pPr>
          <w:r>
            <w:rPr>
              <w:rFonts w:cs="Arial" w:hint="eastAsia"/>
              <w:b/>
              <w:bCs/>
              <w:szCs w:val="20"/>
            </w:rPr>
            <w:t>货运业务</w:t>
          </w:r>
        </w:p>
        <w:p w14:paraId="41DD90FD" w14:textId="77777777" w:rsidR="005E000F" w:rsidRDefault="00000000">
          <w:pPr>
            <w:spacing w:line="360" w:lineRule="auto"/>
            <w:ind w:firstLineChars="200" w:firstLine="420"/>
          </w:pPr>
          <w:r>
            <w:rPr>
              <w:rFonts w:cs="Arial" w:hint="eastAsia"/>
              <w:szCs w:val="20"/>
            </w:rPr>
            <w:t>铁路货运业务是公司业务收入的主要来源，</w:t>
          </w:r>
          <w:r>
            <w:rPr>
              <w:rFonts w:cs="Arial" w:hint="eastAsia"/>
              <w:szCs w:val="20"/>
            </w:rPr>
            <w:t>2025</w:t>
          </w:r>
          <w:r>
            <w:rPr>
              <w:rFonts w:cs="Arial" w:hint="eastAsia"/>
              <w:szCs w:val="20"/>
            </w:rPr>
            <w:t>年铁路货运收入占公司主营业务收入的</w:t>
          </w:r>
          <w:r>
            <w:rPr>
              <w:rFonts w:cs="Arial" w:hint="eastAsia"/>
              <w:szCs w:val="20"/>
            </w:rPr>
            <w:t>71.09%</w:t>
          </w:r>
          <w:r>
            <w:rPr>
              <w:rFonts w:cs="Arial" w:hint="eastAsia"/>
              <w:szCs w:val="20"/>
            </w:rPr>
            <w:t>。公司运输的货品以动力煤为主，主要承担晋、蒙、陕等省区的煤炭外运任务。运输的</w:t>
          </w:r>
          <w:r>
            <w:rPr>
              <w:rFonts w:hint="eastAsia"/>
            </w:rPr>
            <w:t>其他货品还包括焦炭、钢铁、矿石等大宗货物，以及集装箱、零散批量货物。</w:t>
          </w:r>
        </w:p>
        <w:p w14:paraId="6C101F10" w14:textId="77777777" w:rsidR="005E000F" w:rsidRDefault="00000000">
          <w:pPr>
            <w:widowControl w:val="0"/>
            <w:numPr>
              <w:ilvl w:val="0"/>
              <w:numId w:val="8"/>
            </w:numPr>
            <w:spacing w:line="360" w:lineRule="auto"/>
            <w:ind w:firstLineChars="200" w:firstLine="422"/>
            <w:jc w:val="both"/>
            <w:rPr>
              <w:b/>
              <w:bCs/>
            </w:rPr>
          </w:pPr>
          <w:r>
            <w:rPr>
              <w:rFonts w:hint="eastAsia"/>
              <w:b/>
              <w:bCs/>
            </w:rPr>
            <w:lastRenderedPageBreak/>
            <w:t>客运业务</w:t>
          </w:r>
        </w:p>
        <w:p w14:paraId="41848AE5" w14:textId="77777777" w:rsidR="005E000F" w:rsidRDefault="00000000">
          <w:pPr>
            <w:spacing w:line="360" w:lineRule="auto"/>
            <w:ind w:firstLineChars="200" w:firstLine="420"/>
            <w:rPr>
              <w:rFonts w:cs="Arial"/>
              <w:szCs w:val="20"/>
            </w:rPr>
          </w:pPr>
          <w:r>
            <w:rPr>
              <w:rFonts w:hint="eastAsia"/>
            </w:rPr>
            <w:t>铁路客运业务是公司重要的业务组成部</w:t>
          </w:r>
          <w:r>
            <w:rPr>
              <w:rFonts w:cs="Arial" w:hint="eastAsia"/>
              <w:szCs w:val="20"/>
            </w:rPr>
            <w:t>分，公司担当开行多列以太原、大同等地为始发终到的旅客列车，通达全国大部分省市区，</w:t>
          </w:r>
          <w:r>
            <w:rPr>
              <w:rFonts w:cs="Arial" w:hint="eastAsia"/>
              <w:szCs w:val="20"/>
            </w:rPr>
            <w:t>2025</w:t>
          </w:r>
          <w:r>
            <w:rPr>
              <w:rFonts w:cs="Arial" w:hint="eastAsia"/>
              <w:szCs w:val="20"/>
            </w:rPr>
            <w:t>年铁路客运收入占公司主营业务收入的</w:t>
          </w:r>
          <w:r>
            <w:rPr>
              <w:rFonts w:cs="Arial" w:hint="eastAsia"/>
              <w:szCs w:val="20"/>
            </w:rPr>
            <w:t>13.65%</w:t>
          </w:r>
          <w:r>
            <w:rPr>
              <w:rFonts w:cs="Arial" w:hint="eastAsia"/>
              <w:szCs w:val="20"/>
            </w:rPr>
            <w:t>。</w:t>
          </w:r>
        </w:p>
        <w:p w14:paraId="14D14431" w14:textId="77777777" w:rsidR="005E000F" w:rsidRDefault="00000000">
          <w:pPr>
            <w:widowControl w:val="0"/>
            <w:numPr>
              <w:ilvl w:val="0"/>
              <w:numId w:val="8"/>
            </w:numPr>
            <w:spacing w:line="360" w:lineRule="auto"/>
            <w:ind w:firstLineChars="200" w:firstLine="422"/>
            <w:jc w:val="both"/>
            <w:rPr>
              <w:b/>
              <w:bCs/>
            </w:rPr>
          </w:pPr>
          <w:r>
            <w:rPr>
              <w:rFonts w:hint="eastAsia"/>
              <w:b/>
              <w:bCs/>
            </w:rPr>
            <w:t>其他业务</w:t>
          </w:r>
        </w:p>
        <w:p w14:paraId="3B31CCD7" w14:textId="77777777" w:rsidR="005E000F" w:rsidRDefault="00000000">
          <w:pPr>
            <w:spacing w:line="360" w:lineRule="auto"/>
            <w:ind w:firstLineChars="200" w:firstLine="420"/>
          </w:pPr>
          <w:r>
            <w:rPr>
              <w:rFonts w:hint="eastAsia"/>
            </w:rPr>
            <w:t>公司</w:t>
          </w:r>
          <w:r>
            <w:rPr>
              <w:rFonts w:hint="eastAsia"/>
              <w:lang w:bidi="en-US"/>
            </w:rPr>
            <w:t>同时</w:t>
          </w:r>
          <w:r>
            <w:rPr>
              <w:rFonts w:hint="eastAsia"/>
            </w:rPr>
            <w:t>向国内其他铁路运输企业提供服务，主要包括机车牵引、货车使用、线路使用、货车修理等，并为大西高铁、</w:t>
          </w:r>
          <w:proofErr w:type="gramStart"/>
          <w:r>
            <w:rPr>
              <w:rFonts w:hint="eastAsia"/>
            </w:rPr>
            <w:t>瓦日重载铁路</w:t>
          </w:r>
          <w:proofErr w:type="gramEnd"/>
          <w:r>
            <w:rPr>
              <w:rFonts w:hint="eastAsia"/>
            </w:rPr>
            <w:t>等提供委托运输管理服务。</w:t>
          </w:r>
        </w:p>
        <w:p w14:paraId="008C2110" w14:textId="77777777" w:rsidR="005E000F" w:rsidRDefault="00000000">
          <w:pPr>
            <w:spacing w:line="360" w:lineRule="auto"/>
            <w:ind w:firstLineChars="200" w:firstLine="420"/>
          </w:pPr>
          <w:r>
            <w:rPr>
              <w:rFonts w:hint="eastAsia"/>
            </w:rPr>
            <w:t>报告期内，公司主营业务未发生重大变化。影响公司业绩的因素主要包括业务量的波动、铁路运价浮动及经营成本的控制等。</w:t>
          </w:r>
        </w:p>
        <w:p w14:paraId="1ADD04D5" w14:textId="77777777" w:rsidR="005E000F" w:rsidRDefault="00000000">
          <w:pPr>
            <w:spacing w:line="360" w:lineRule="auto"/>
            <w:ind w:firstLineChars="200" w:firstLine="422"/>
            <w:rPr>
              <w:b/>
              <w:bCs/>
            </w:rPr>
          </w:pPr>
          <w:r>
            <w:rPr>
              <w:rFonts w:hint="eastAsia"/>
              <w:b/>
              <w:bCs/>
            </w:rPr>
            <w:t>（二）市场情况</w:t>
          </w:r>
        </w:p>
        <w:p w14:paraId="2C0F24B1" w14:textId="77777777" w:rsidR="005E000F" w:rsidRDefault="00000000">
          <w:pPr>
            <w:spacing w:line="360" w:lineRule="auto"/>
            <w:ind w:firstLineChars="200" w:firstLine="420"/>
          </w:pPr>
          <w:r>
            <w:rPr>
              <w:rFonts w:hint="eastAsia"/>
            </w:rPr>
            <w:t>2025</w:t>
          </w:r>
          <w:r>
            <w:rPr>
              <w:rFonts w:hint="eastAsia"/>
            </w:rPr>
            <w:t>年，公司货物发送量</w:t>
          </w:r>
          <w:r>
            <w:rPr>
              <w:rFonts w:hint="eastAsia"/>
            </w:rPr>
            <w:t>6.8</w:t>
          </w:r>
          <w:r>
            <w:rPr>
              <w:rFonts w:hint="eastAsia"/>
            </w:rPr>
            <w:t>亿吨，占全国铁路货运总发送量</w:t>
          </w:r>
          <w:r>
            <w:rPr>
              <w:rFonts w:hint="eastAsia"/>
            </w:rPr>
            <w:t>52.8</w:t>
          </w:r>
          <w:r>
            <w:rPr>
              <w:rFonts w:hint="eastAsia"/>
            </w:rPr>
            <w:t>亿吨的</w:t>
          </w:r>
          <w:r>
            <w:rPr>
              <w:rFonts w:hint="eastAsia"/>
            </w:rPr>
            <w:t>12.9%</w:t>
          </w:r>
          <w:r>
            <w:rPr>
              <w:rFonts w:hint="eastAsia"/>
            </w:rPr>
            <w:t>，占国家铁路货运总发送量</w:t>
          </w:r>
          <w:r>
            <w:rPr>
              <w:rFonts w:hint="eastAsia"/>
            </w:rPr>
            <w:t>40.7</w:t>
          </w:r>
          <w:r>
            <w:rPr>
              <w:rFonts w:hint="eastAsia"/>
            </w:rPr>
            <w:t>亿吨的</w:t>
          </w:r>
          <w:r>
            <w:rPr>
              <w:rFonts w:hint="eastAsia"/>
            </w:rPr>
            <w:t>16.7%</w:t>
          </w:r>
          <w:r>
            <w:rPr>
              <w:rFonts w:hint="eastAsia"/>
            </w:rPr>
            <w:t>；公司煤炭发送</w:t>
          </w:r>
          <w:r>
            <w:rPr>
              <w:rFonts w:cs="Arial" w:hint="eastAsia"/>
              <w:szCs w:val="20"/>
            </w:rPr>
            <w:t>量</w:t>
          </w:r>
          <w:r>
            <w:rPr>
              <w:rFonts w:cs="Arial" w:hint="eastAsia"/>
              <w:szCs w:val="20"/>
            </w:rPr>
            <w:t>5.5</w:t>
          </w:r>
          <w:r>
            <w:rPr>
              <w:rFonts w:cs="Arial" w:hint="eastAsia"/>
              <w:szCs w:val="20"/>
            </w:rPr>
            <w:t>亿吨，占全国铁路煤炭发送量</w:t>
          </w:r>
          <w:r>
            <w:rPr>
              <w:rFonts w:cs="Arial" w:hint="eastAsia"/>
              <w:szCs w:val="20"/>
            </w:rPr>
            <w:t>27.7</w:t>
          </w:r>
          <w:r>
            <w:rPr>
              <w:rFonts w:cs="Arial" w:hint="eastAsia"/>
              <w:szCs w:val="20"/>
            </w:rPr>
            <w:t>亿吨的</w:t>
          </w:r>
          <w:r>
            <w:rPr>
              <w:rFonts w:cs="Arial" w:hint="eastAsia"/>
              <w:szCs w:val="20"/>
            </w:rPr>
            <w:t>19.9%</w:t>
          </w:r>
          <w:r>
            <w:rPr>
              <w:rFonts w:cs="Arial" w:hint="eastAsia"/>
              <w:szCs w:val="20"/>
            </w:rPr>
            <w:t>，占国家铁路煤炭发送量</w:t>
          </w:r>
          <w:r>
            <w:rPr>
              <w:rFonts w:cs="Arial" w:hint="eastAsia"/>
              <w:szCs w:val="20"/>
            </w:rPr>
            <w:t>20.9</w:t>
          </w:r>
          <w:r>
            <w:rPr>
              <w:rFonts w:cs="Arial" w:hint="eastAsia"/>
              <w:szCs w:val="20"/>
            </w:rPr>
            <w:t>亿吨的</w:t>
          </w:r>
          <w:r>
            <w:rPr>
              <w:rFonts w:cs="Arial" w:hint="eastAsia"/>
              <w:szCs w:val="20"/>
            </w:rPr>
            <w:t>26.3%</w:t>
          </w:r>
          <w:r>
            <w:rPr>
              <w:rFonts w:cs="Arial" w:hint="eastAsia"/>
              <w:szCs w:val="20"/>
            </w:rPr>
            <w:t>。公司货物运输和煤炭运输在</w:t>
          </w:r>
          <w:r>
            <w:rPr>
              <w:rFonts w:hint="eastAsia"/>
            </w:rPr>
            <w:t>全国铁路货运市场中占有重要地位。</w:t>
          </w:r>
        </w:p>
      </w:sdtContent>
    </w:sdt>
    <w:p w14:paraId="5BFF59F3" w14:textId="77777777" w:rsidR="005E000F" w:rsidRDefault="005E000F"/>
    <w:p w14:paraId="6E2AB7F2" w14:textId="77777777" w:rsidR="005E000F" w:rsidRDefault="00000000">
      <w:pPr>
        <w:rPr>
          <w:rFonts w:ascii="Calibri" w:hAnsi="Calibri"/>
          <w:bCs/>
          <w:kern w:val="2"/>
        </w:rPr>
      </w:pPr>
      <w:bookmarkStart w:id="41" w:name="_Hlk188285089"/>
      <w:r>
        <w:rPr>
          <w:rFonts w:ascii="Calibri" w:hAnsi="Calibri" w:hint="eastAsia"/>
          <w:bCs/>
          <w:kern w:val="2"/>
        </w:rPr>
        <w:t>报告期内公司新增重要非主营业务的说明</w:t>
      </w:r>
    </w:p>
    <w:sdt>
      <w:sdtPr>
        <w:rPr>
          <w:rFonts w:hint="eastAsia"/>
        </w:rPr>
        <w:alias w:val="是否适用：报告期内公司新增重要非主营业务的说明[双击切换]"/>
        <w:tag w:val="_GBC_1c91810887d14c3fad60346b43671230"/>
        <w:id w:val="-121535082"/>
        <w:placeholder>
          <w:docPart w:val="GBC22222222222222222222222222222"/>
        </w:placeholder>
      </w:sdtPr>
      <w:sdtContent>
        <w:p w14:paraId="77DFC063" w14:textId="77777777" w:rsidR="005E000F" w:rsidRDefault="0000000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bookmarkEnd w:id="41"/>
    <w:p w14:paraId="5DE4915F" w14:textId="77777777" w:rsidR="005E000F" w:rsidRDefault="00000000">
      <w:pPr>
        <w:pStyle w:val="2"/>
        <w:numPr>
          <w:ilvl w:val="0"/>
          <w:numId w:val="7"/>
        </w:numPr>
        <w:ind w:left="369" w:hangingChars="175" w:hanging="369"/>
      </w:pPr>
      <w:r>
        <w:t>报告期内公司所处行业情况</w:t>
      </w:r>
    </w:p>
    <w:sdt>
      <w:sdtPr>
        <w:rPr>
          <w:rFonts w:hint="eastAsia"/>
        </w:rPr>
        <w:alias w:val="报告期内公司所处行业情况 "/>
        <w:tag w:val="_GBC_62343dd2540e4e58bef438888246bd32"/>
        <w:id w:val="-1896118026"/>
        <w:placeholder>
          <w:docPart w:val="GBC22222222222222222222222222222"/>
        </w:placeholder>
      </w:sdtPr>
      <w:sdtContent>
        <w:p w14:paraId="24A9C9A6" w14:textId="77777777" w:rsidR="005E000F" w:rsidRDefault="00000000">
          <w:pPr>
            <w:spacing w:line="360" w:lineRule="auto"/>
            <w:ind w:firstLineChars="200" w:firstLine="420"/>
            <w:jc w:val="both"/>
            <w:rPr>
              <w:lang w:bidi="en-US"/>
            </w:rPr>
          </w:pPr>
          <w:r>
            <w:rPr>
              <w:color w:val="000000"/>
              <w:lang w:bidi="en-US"/>
            </w:rPr>
            <w:t>铁路</w:t>
          </w:r>
          <w:r>
            <w:rPr>
              <w:rFonts w:hint="eastAsia"/>
              <w:color w:val="000000"/>
              <w:lang w:bidi="en-US"/>
            </w:rPr>
            <w:t>肩负着“交通强国、铁路先行”历史使命，</w:t>
          </w:r>
          <w:r>
            <w:rPr>
              <w:color w:val="000000"/>
              <w:lang w:bidi="en-US"/>
            </w:rPr>
            <w:t>是国家战略性、先导性、关键性重大基础设施，是国民经济大动脉、重大民生工程和综合交通运输体系骨干，在经济社会发展中的地位和作用至关</w:t>
          </w:r>
          <w:r>
            <w:rPr>
              <w:lang w:bidi="en-US"/>
            </w:rPr>
            <w:t>重要</w:t>
          </w:r>
          <w:r>
            <w:rPr>
              <w:rFonts w:hint="eastAsia"/>
              <w:lang w:bidi="en-US"/>
            </w:rPr>
            <w:t>，</w:t>
          </w:r>
          <w:r>
            <w:rPr>
              <w:lang w:bidi="en-US"/>
            </w:rPr>
            <w:t>在服务和支撑中国式现代化建设中肩负重大责任。铁路行业具有国民经济基础的国家属性和社会公共事业的社会属性，其周期性与经济发展和社会需求</w:t>
          </w:r>
          <w:r>
            <w:rPr>
              <w:rFonts w:hint="eastAsia"/>
              <w:lang w:bidi="en-US"/>
            </w:rPr>
            <w:t>基本</w:t>
          </w:r>
          <w:r>
            <w:rPr>
              <w:lang w:bidi="en-US"/>
            </w:rPr>
            <w:t>一致。</w:t>
          </w:r>
        </w:p>
        <w:p w14:paraId="20A99A82" w14:textId="77777777" w:rsidR="005E000F" w:rsidRDefault="00000000">
          <w:pPr>
            <w:spacing w:line="360" w:lineRule="auto"/>
            <w:ind w:firstLineChars="200" w:firstLine="420"/>
          </w:pPr>
          <w:r>
            <w:rPr>
              <w:rFonts w:hint="eastAsia"/>
            </w:rPr>
            <w:t>2025</w:t>
          </w:r>
          <w:r>
            <w:rPr>
              <w:rFonts w:hint="eastAsia"/>
            </w:rPr>
            <w:t>年，</w:t>
          </w:r>
          <w:bookmarkStart w:id="42" w:name="OLE_LINK12"/>
          <w:r>
            <w:rPr>
              <w:rFonts w:hint="eastAsia"/>
            </w:rPr>
            <w:t>全国铁路完成固定资产投资</w:t>
          </w:r>
          <w:r>
            <w:rPr>
              <w:rFonts w:hint="eastAsia"/>
            </w:rPr>
            <w:t>9,015</w:t>
          </w:r>
          <w:r>
            <w:rPr>
              <w:rFonts w:hint="eastAsia"/>
            </w:rPr>
            <w:t>亿元</w:t>
          </w:r>
          <w:bookmarkEnd w:id="42"/>
          <w:r>
            <w:rPr>
              <w:rFonts w:hint="eastAsia"/>
            </w:rPr>
            <w:t>，增长</w:t>
          </w:r>
          <w:r>
            <w:rPr>
              <w:rFonts w:hint="eastAsia"/>
            </w:rPr>
            <w:t>6%</w:t>
          </w:r>
          <w:r>
            <w:rPr>
              <w:rFonts w:hint="eastAsia"/>
            </w:rPr>
            <w:t>；投产新线</w:t>
          </w:r>
          <w:r>
            <w:rPr>
              <w:rFonts w:hint="eastAsia"/>
            </w:rPr>
            <w:t>3,109</w:t>
          </w:r>
          <w:r>
            <w:rPr>
              <w:rFonts w:hint="eastAsia"/>
            </w:rPr>
            <w:t>公里，其中高铁</w:t>
          </w:r>
          <w:r>
            <w:rPr>
              <w:rFonts w:hint="eastAsia"/>
            </w:rPr>
            <w:t>2,862</w:t>
          </w:r>
          <w:r>
            <w:rPr>
              <w:rFonts w:hint="eastAsia"/>
            </w:rPr>
            <w:t>公里，铁路建设成效显著。截至</w:t>
          </w:r>
          <w:r>
            <w:rPr>
              <w:rFonts w:hint="eastAsia"/>
            </w:rPr>
            <w:t>2025</w:t>
          </w:r>
          <w:r>
            <w:rPr>
              <w:rFonts w:hint="eastAsia"/>
            </w:rPr>
            <w:t>年末，全国铁路营业里程</w:t>
          </w:r>
          <w:r>
            <w:rPr>
              <w:rFonts w:hint="eastAsia"/>
            </w:rPr>
            <w:t>16.5</w:t>
          </w:r>
          <w:r>
            <w:rPr>
              <w:rFonts w:hint="eastAsia"/>
            </w:rPr>
            <w:t>万公里，其中高铁</w:t>
          </w:r>
          <w:r>
            <w:rPr>
              <w:rFonts w:hint="eastAsia"/>
            </w:rPr>
            <w:t>5.04</w:t>
          </w:r>
          <w:r>
            <w:rPr>
              <w:rFonts w:hint="eastAsia"/>
            </w:rPr>
            <w:t>万公里。</w:t>
          </w:r>
        </w:p>
        <w:p w14:paraId="25991F5B" w14:textId="77777777" w:rsidR="005E000F" w:rsidRDefault="00000000">
          <w:pPr>
            <w:spacing w:line="360" w:lineRule="auto"/>
            <w:ind w:firstLineChars="200" w:firstLine="420"/>
            <w:jc w:val="both"/>
          </w:pPr>
          <w:r>
            <w:rPr>
              <w:rFonts w:hint="eastAsia"/>
            </w:rPr>
            <w:t>2025</w:t>
          </w:r>
          <w:r>
            <w:rPr>
              <w:rFonts w:hint="eastAsia"/>
            </w:rPr>
            <w:t>年，全国铁路旅客发送量</w:t>
          </w:r>
          <w:r>
            <w:rPr>
              <w:rFonts w:hint="eastAsia"/>
            </w:rPr>
            <w:t>46</w:t>
          </w:r>
          <w:r>
            <w:rPr>
              <w:rFonts w:hint="eastAsia"/>
            </w:rPr>
            <w:t>亿人，同比增长</w:t>
          </w:r>
          <w:r>
            <w:rPr>
              <w:rFonts w:hint="eastAsia"/>
            </w:rPr>
            <w:t>6.7%</w:t>
          </w:r>
          <w:r>
            <w:rPr>
              <w:rFonts w:hint="eastAsia"/>
            </w:rPr>
            <w:t>。其中，国家铁路旅客发送量</w:t>
          </w:r>
          <w:r>
            <w:rPr>
              <w:rFonts w:hint="eastAsia"/>
            </w:rPr>
            <w:t>42.6</w:t>
          </w:r>
          <w:r>
            <w:rPr>
              <w:rFonts w:hint="eastAsia"/>
            </w:rPr>
            <w:t>亿人，同比增长</w:t>
          </w:r>
          <w:r>
            <w:rPr>
              <w:rFonts w:hint="eastAsia"/>
            </w:rPr>
            <w:t>4.2%</w:t>
          </w:r>
          <w:r>
            <w:rPr>
              <w:rFonts w:hint="eastAsia"/>
            </w:rPr>
            <w:t>；全国铁路货物发送量</w:t>
          </w:r>
          <w:r>
            <w:rPr>
              <w:rFonts w:hint="eastAsia"/>
            </w:rPr>
            <w:t>52.8</w:t>
          </w:r>
          <w:r>
            <w:rPr>
              <w:rFonts w:hint="eastAsia"/>
            </w:rPr>
            <w:t>亿吨，同比增长</w:t>
          </w:r>
          <w:r>
            <w:rPr>
              <w:rFonts w:hint="eastAsia"/>
            </w:rPr>
            <w:t>2%</w:t>
          </w:r>
          <w:r>
            <w:rPr>
              <w:rFonts w:hint="eastAsia"/>
            </w:rPr>
            <w:t>。其中，国家铁路货物发送量</w:t>
          </w:r>
          <w:r>
            <w:rPr>
              <w:rFonts w:hint="eastAsia"/>
            </w:rPr>
            <w:t>40.7</w:t>
          </w:r>
          <w:r>
            <w:rPr>
              <w:rFonts w:hint="eastAsia"/>
            </w:rPr>
            <w:t>亿吨，同比增长</w:t>
          </w:r>
          <w:r>
            <w:rPr>
              <w:rFonts w:hint="eastAsia"/>
            </w:rPr>
            <w:t>2.1%</w:t>
          </w:r>
          <w:r>
            <w:rPr>
              <w:rFonts w:hint="eastAsia"/>
            </w:rPr>
            <w:t>。据国家统计局数据，</w:t>
          </w:r>
          <w:r>
            <w:rPr>
              <w:rFonts w:hint="eastAsia"/>
            </w:rPr>
            <w:t>2025</w:t>
          </w:r>
          <w:r>
            <w:rPr>
              <w:rFonts w:hint="eastAsia"/>
            </w:rPr>
            <w:t>年全国铁路旅客运输量占全国旅客运输总量的比例为</w:t>
          </w:r>
          <w:r>
            <w:rPr>
              <w:rFonts w:hint="eastAsia"/>
            </w:rPr>
            <w:t>26.9%</w:t>
          </w:r>
          <w:r>
            <w:rPr>
              <w:rFonts w:hint="eastAsia"/>
            </w:rPr>
            <w:t>，全国铁路旅客运输周转量占全国旅客运输周转量的比例为</w:t>
          </w:r>
          <w:r>
            <w:rPr>
              <w:rFonts w:hint="eastAsia"/>
            </w:rPr>
            <w:t>46.1%</w:t>
          </w:r>
          <w:r>
            <w:rPr>
              <w:rFonts w:hint="eastAsia"/>
            </w:rPr>
            <w:t>；全国铁路货物运输量占全国货物运输总量的比例为</w:t>
          </w:r>
          <w:r>
            <w:rPr>
              <w:rFonts w:hint="eastAsia"/>
            </w:rPr>
            <w:t>8.8%</w:t>
          </w:r>
          <w:r>
            <w:rPr>
              <w:rFonts w:hint="eastAsia"/>
            </w:rPr>
            <w:t>，全国铁路货物运输周转量占全国货物运输周转量的比例为</w:t>
          </w:r>
          <w:r>
            <w:rPr>
              <w:rFonts w:hint="eastAsia"/>
            </w:rPr>
            <w:t>13.5%</w:t>
          </w:r>
          <w:r>
            <w:rPr>
              <w:rFonts w:hint="eastAsia"/>
            </w:rPr>
            <w:t>。</w:t>
          </w:r>
        </w:p>
        <w:p w14:paraId="7E54AD63" w14:textId="77777777" w:rsidR="005E000F" w:rsidRDefault="00000000">
          <w:pPr>
            <w:spacing w:line="360" w:lineRule="auto"/>
            <w:ind w:firstLineChars="200" w:firstLine="420"/>
            <w:jc w:val="both"/>
          </w:pPr>
          <w:r>
            <w:rPr>
              <w:rFonts w:hint="eastAsia"/>
            </w:rPr>
            <w:t>从铁路行业发展看，一是我国国土面积大，区域经济发展、资源分布和工业布局不均衡，长运距、大运量的大宗货物运输，以及大规模的中长途旅客运输仍对铁路存在较大需求。二是铁路作为绿色交通方式，具有大运量、低成本、占地少、节能环保等特点，发展铁路运输符合我国国情和产业导向，是国家改善交通运输条件、调整运输结构、节约自然环境成本、降低社会物流成本、打赢蓝天保卫战、促进区域协调发展的先导产业。三是铁路建设投资规模大、产业链长，对</w:t>
          </w:r>
          <w:r>
            <w:rPr>
              <w:rFonts w:hint="eastAsia"/>
            </w:rPr>
            <w:lastRenderedPageBreak/>
            <w:t>于拉动经济增长具有重要作用，是国家投资重点领域。根据路网规划，未来铁路建设将会继续有序推进，有利于路网功能和效益的不断提升。四是我国铁路具有技术先进、安全可靠、性价比高等</w:t>
          </w:r>
          <w:hyperlink r:id="rId14" w:tgtFrame="https://wenda.so.com/q/_blank" w:history="1">
            <w:r>
              <w:rPr>
                <w:rFonts w:hint="eastAsia"/>
              </w:rPr>
              <w:t>优势</w:t>
            </w:r>
          </w:hyperlink>
          <w:r>
            <w:rPr>
              <w:rFonts w:hint="eastAsia"/>
            </w:rPr>
            <w:t>，铁路作为基础设施互联互通的重要组成部分，将会更好地服务和支撑共建“一带一路”国家战略，扩大国家高水平对外开放。</w:t>
          </w:r>
        </w:p>
        <w:p w14:paraId="118CAC2C" w14:textId="15798935" w:rsidR="005E000F" w:rsidRDefault="00000000">
          <w:pPr>
            <w:spacing w:line="360" w:lineRule="auto"/>
            <w:ind w:firstLineChars="200" w:firstLine="420"/>
            <w:jc w:val="both"/>
          </w:pPr>
          <w:r>
            <w:rPr>
              <w:rFonts w:hint="eastAsia"/>
            </w:rPr>
            <w:t>从政策环境看，《中共中央</w:t>
          </w:r>
          <w:r>
            <w:rPr>
              <w:rFonts w:hint="eastAsia"/>
            </w:rPr>
            <w:t xml:space="preserve"> </w:t>
          </w:r>
          <w:r>
            <w:rPr>
              <w:rFonts w:hint="eastAsia"/>
            </w:rPr>
            <w:t>国务院关于全面推进美丽中国建设的意见》中提出，“到</w:t>
          </w:r>
          <w:r>
            <w:rPr>
              <w:rFonts w:hint="eastAsia"/>
            </w:rPr>
            <w:t>2035</w:t>
          </w:r>
          <w:r>
            <w:rPr>
              <w:rFonts w:hint="eastAsia"/>
            </w:rPr>
            <w:t>年，铁路货运周转量占总周转量比例达到</w:t>
          </w:r>
          <w:r>
            <w:rPr>
              <w:rFonts w:hint="eastAsia"/>
            </w:rPr>
            <w:t>25%</w:t>
          </w:r>
          <w:r>
            <w:rPr>
              <w:rFonts w:hint="eastAsia"/>
            </w:rPr>
            <w:t>左右”；</w:t>
          </w:r>
          <w:r>
            <w:rPr>
              <w:rFonts w:hint="eastAsia"/>
            </w:rPr>
            <w:t>2024</w:t>
          </w:r>
          <w:r>
            <w:rPr>
              <w:rFonts w:hint="eastAsia"/>
            </w:rPr>
            <w:t>年</w:t>
          </w:r>
          <w:r>
            <w:rPr>
              <w:rFonts w:hint="eastAsia"/>
            </w:rPr>
            <w:t>11</w:t>
          </w:r>
          <w:r>
            <w:rPr>
              <w:rFonts w:hint="eastAsia"/>
            </w:rPr>
            <w:t>月，交通运输部</w:t>
          </w:r>
          <w:r>
            <w:rPr>
              <w:rFonts w:cs="宋体" w:hint="eastAsia"/>
            </w:rPr>
            <w:t>《交通物流降本提质增效行动计</w:t>
          </w:r>
          <w:r>
            <w:rPr>
              <w:rFonts w:hint="eastAsia"/>
            </w:rPr>
            <w:t>划》中提出，“到</w:t>
          </w:r>
          <w:r>
            <w:rPr>
              <w:rFonts w:hint="eastAsia"/>
            </w:rPr>
            <w:t>2027</w:t>
          </w:r>
          <w:r>
            <w:rPr>
              <w:rFonts w:hint="eastAsia"/>
            </w:rPr>
            <w:t>年，全国铁路货物运输周转量较</w:t>
          </w:r>
          <w:r>
            <w:rPr>
              <w:rFonts w:hint="eastAsia"/>
            </w:rPr>
            <w:t>2023</w:t>
          </w:r>
          <w:r>
            <w:rPr>
              <w:rFonts w:hint="eastAsia"/>
            </w:rPr>
            <w:t>年增长</w:t>
          </w:r>
          <w:r>
            <w:rPr>
              <w:rFonts w:hint="eastAsia"/>
            </w:rPr>
            <w:t>10%</w:t>
          </w:r>
          <w:r>
            <w:rPr>
              <w:rFonts w:hint="eastAsia"/>
            </w:rPr>
            <w:t>左右”；</w:t>
          </w:r>
          <w:r>
            <w:rPr>
              <w:rFonts w:hint="eastAsia"/>
            </w:rPr>
            <w:t>2025</w:t>
          </w:r>
          <w:r>
            <w:rPr>
              <w:rFonts w:hint="eastAsia"/>
            </w:rPr>
            <w:t>年</w:t>
          </w:r>
          <w:r>
            <w:rPr>
              <w:rFonts w:hint="eastAsia"/>
            </w:rPr>
            <w:t>6</w:t>
          </w:r>
          <w:r>
            <w:rPr>
              <w:rFonts w:hint="eastAsia"/>
            </w:rPr>
            <w:t>月，交通运输部联合五部门发布的《</w:t>
          </w:r>
          <w:bookmarkStart w:id="43" w:name="OLE_LINK22"/>
          <w:r>
            <w:rPr>
              <w:rFonts w:hint="eastAsia"/>
            </w:rPr>
            <w:t>关于推动内河航运高质量发展的意见</w:t>
          </w:r>
          <w:bookmarkEnd w:id="43"/>
          <w:r>
            <w:rPr>
              <w:rFonts w:hint="eastAsia"/>
            </w:rPr>
            <w:t>》提出，“加快打通进港铁路最后一公里”、</w:t>
          </w:r>
          <w:r>
            <w:rPr>
              <w:rFonts w:hint="eastAsia"/>
            </w:rPr>
            <w:t xml:space="preserve"> </w:t>
          </w:r>
          <w:r>
            <w:rPr>
              <w:rFonts w:hint="eastAsia"/>
            </w:rPr>
            <w:t>“长江干线主要港口实现铁路进港</w:t>
          </w:r>
          <w:r>
            <w:rPr>
              <w:rFonts w:hint="eastAsia"/>
            </w:rPr>
            <w:t>100%</w:t>
          </w:r>
          <w:r>
            <w:rPr>
              <w:rFonts w:hint="eastAsia"/>
            </w:rPr>
            <w:t>覆盖”；</w:t>
          </w:r>
          <w:r>
            <w:rPr>
              <w:rFonts w:hint="eastAsia"/>
            </w:rPr>
            <w:t>2026</w:t>
          </w:r>
          <w:r>
            <w:rPr>
              <w:rFonts w:hint="eastAsia"/>
            </w:rPr>
            <w:t>年</w:t>
          </w:r>
          <w:r>
            <w:rPr>
              <w:rFonts w:hint="eastAsia"/>
            </w:rPr>
            <w:t>3</w:t>
          </w:r>
          <w:r>
            <w:rPr>
              <w:rFonts w:hint="eastAsia"/>
            </w:rPr>
            <w:t>月，国家“十五五”规划纲要提出，“推动普速铁路升级改造，加强西部地区铁路建设，推进铁路体制改革和收费公路政策优化”、“提高大宗货物铁路运输比重”。铁路作为综合交通运输体系骨干的地位和作用进一步加强。</w:t>
          </w:r>
        </w:p>
        <w:p w14:paraId="5CB5DB8A" w14:textId="77777777" w:rsidR="005E000F" w:rsidRDefault="00000000">
          <w:pPr>
            <w:spacing w:line="360" w:lineRule="auto"/>
            <w:ind w:firstLineChars="200" w:firstLine="420"/>
            <w:jc w:val="both"/>
          </w:pPr>
          <w:r>
            <w:rPr>
              <w:rFonts w:hint="eastAsia"/>
            </w:rPr>
            <w:t>2026</w:t>
          </w:r>
          <w:r>
            <w:rPr>
              <w:rFonts w:hint="eastAsia"/>
            </w:rPr>
            <w:t>年初，国铁集团工作会议</w:t>
          </w:r>
          <w:r>
            <w:rPr>
              <w:rFonts w:ascii="Arial" w:hAnsi="Arial" w:cs="Arial"/>
              <w:color w:val="333333"/>
              <w:shd w:val="clear" w:color="auto" w:fill="FFFFFF"/>
            </w:rPr>
            <w:t>确定</w:t>
          </w:r>
          <w:r>
            <w:rPr>
              <w:rFonts w:ascii="Arial" w:hAnsi="Arial" w:cs="Arial" w:hint="eastAsia"/>
              <w:color w:val="333333"/>
              <w:shd w:val="clear" w:color="auto" w:fill="FFFFFF"/>
            </w:rPr>
            <w:t>“</w:t>
          </w:r>
          <w:r>
            <w:rPr>
              <w:rFonts w:ascii="Arial" w:hAnsi="Arial" w:cs="Arial"/>
              <w:color w:val="333333"/>
              <w:shd w:val="clear" w:color="auto" w:fill="FFFFFF"/>
            </w:rPr>
            <w:t>十五五</w:t>
          </w:r>
          <w:r>
            <w:rPr>
              <w:rFonts w:ascii="Arial" w:hAnsi="Arial" w:cs="Arial" w:hint="eastAsia"/>
              <w:color w:val="333333"/>
              <w:shd w:val="clear" w:color="auto" w:fill="FFFFFF"/>
            </w:rPr>
            <w:t>”</w:t>
          </w:r>
          <w:r>
            <w:rPr>
              <w:rFonts w:ascii="Arial" w:hAnsi="Arial" w:cs="Arial"/>
              <w:color w:val="333333"/>
              <w:shd w:val="clear" w:color="auto" w:fill="FFFFFF"/>
            </w:rPr>
            <w:t>时期铁路工作</w:t>
          </w:r>
          <w:r>
            <w:rPr>
              <w:rFonts w:ascii="Arial" w:hAnsi="Arial" w:cs="Arial" w:hint="eastAsia"/>
              <w:color w:val="333333"/>
              <w:shd w:val="clear" w:color="auto" w:fill="FFFFFF"/>
            </w:rPr>
            <w:t>的</w:t>
          </w:r>
          <w:r>
            <w:rPr>
              <w:rFonts w:ascii="Arial" w:hAnsi="Arial" w:cs="Arial"/>
              <w:color w:val="333333"/>
              <w:shd w:val="clear" w:color="auto" w:fill="FFFFFF"/>
            </w:rPr>
            <w:t>目标任务</w:t>
          </w:r>
          <w:r>
            <w:rPr>
              <w:rFonts w:hint="eastAsia"/>
            </w:rPr>
            <w:t>：</w:t>
          </w:r>
          <w:proofErr w:type="gramStart"/>
          <w:r>
            <w:rPr>
              <w:rFonts w:hint="eastAsia"/>
            </w:rPr>
            <w:t>“</w:t>
          </w:r>
          <w:proofErr w:type="gramEnd"/>
          <w:r>
            <w:rPr>
              <w:rFonts w:hint="eastAsia"/>
            </w:rPr>
            <w:t>到</w:t>
          </w:r>
          <w:r>
            <w:rPr>
              <w:rFonts w:hint="eastAsia"/>
            </w:rPr>
            <w:t>2030</w:t>
          </w:r>
          <w:r>
            <w:rPr>
              <w:rFonts w:hint="eastAsia"/>
            </w:rPr>
            <w:t>年，全国铁路营业里程达到</w:t>
          </w:r>
          <w:r>
            <w:rPr>
              <w:rFonts w:hint="eastAsia"/>
            </w:rPr>
            <w:t>18</w:t>
          </w:r>
          <w:r>
            <w:rPr>
              <w:rFonts w:hint="eastAsia"/>
            </w:rPr>
            <w:t>万公里左右，其中高铁</w:t>
          </w:r>
          <w:r>
            <w:rPr>
              <w:rFonts w:hint="eastAsia"/>
            </w:rPr>
            <w:t>6</w:t>
          </w:r>
          <w:r>
            <w:rPr>
              <w:rFonts w:hint="eastAsia"/>
            </w:rPr>
            <w:t>万公里左右，复线率和电气化率分别达到</w:t>
          </w:r>
          <w:r>
            <w:rPr>
              <w:rFonts w:hint="eastAsia"/>
            </w:rPr>
            <w:t>64%</w:t>
          </w:r>
          <w:r>
            <w:rPr>
              <w:rFonts w:hint="eastAsia"/>
            </w:rPr>
            <w:t>和</w:t>
          </w:r>
          <w:r>
            <w:rPr>
              <w:rFonts w:hint="eastAsia"/>
            </w:rPr>
            <w:t>78%</w:t>
          </w:r>
          <w:r>
            <w:rPr>
              <w:rFonts w:hint="eastAsia"/>
            </w:rPr>
            <w:t>，战略骨干通道全面加强，“八纵八横”高铁系统成网，区域互联互通水平显著提升，货运网络能力大幅增强，基本建成世界一流的现代化铁路网，</w:t>
          </w:r>
          <w:r>
            <w:rPr>
              <w:rFonts w:ascii="Arial" w:hAnsi="Arial" w:cs="Arial"/>
              <w:color w:val="333333"/>
              <w:shd w:val="clear" w:color="auto" w:fill="FFFFFF"/>
            </w:rPr>
            <w:t>铁路</w:t>
          </w:r>
          <w:r>
            <w:rPr>
              <w:rFonts w:ascii="Arial" w:hAnsi="Arial" w:cs="Arial" w:hint="eastAsia"/>
              <w:color w:val="333333"/>
              <w:shd w:val="clear" w:color="auto" w:fill="FFFFFF"/>
            </w:rPr>
            <w:t>有力</w:t>
          </w:r>
          <w:r>
            <w:rPr>
              <w:rFonts w:ascii="Arial" w:hAnsi="Arial" w:cs="Arial"/>
              <w:color w:val="333333"/>
              <w:shd w:val="clear" w:color="auto" w:fill="FFFFFF"/>
            </w:rPr>
            <w:t>服务国家重大战略、促进经济社会发展、维护保障国家安全的战略支撑能力全面增强</w:t>
          </w:r>
          <w:r>
            <w:rPr>
              <w:rFonts w:hint="eastAsia"/>
            </w:rPr>
            <w:t>。同时，“十五五”时期，国铁集团将锚定“路网规模质量世界一流、运输保障能力世界一流、科技创新水平世界一流、企业经营质效世界一流、铁路治理体系世界一流”的目标，坚定不移加快建成世界一流铁路企业，基本实现铁路现代化。未来较长一段时期内，铁路行业将继续处于良好的发展机遇期。</w:t>
          </w:r>
        </w:p>
      </w:sdtContent>
    </w:sdt>
    <w:p w14:paraId="47B428E1" w14:textId="77777777" w:rsidR="005E000F" w:rsidRDefault="00000000">
      <w:pPr>
        <w:pStyle w:val="2"/>
        <w:numPr>
          <w:ilvl w:val="0"/>
          <w:numId w:val="7"/>
        </w:numPr>
        <w:ind w:left="369" w:hangingChars="175" w:hanging="369"/>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1372991916"/>
        <w:placeholder>
          <w:docPart w:val="GBC22222222222222222222222222222"/>
        </w:placeholder>
      </w:sdtPr>
      <w:sdtContent>
        <w:p w14:paraId="65912138" w14:textId="77777777" w:rsidR="005E000F" w:rsidRDefault="00000000">
          <w:pPr>
            <w:spacing w:line="360" w:lineRule="auto"/>
            <w:ind w:firstLineChars="200" w:firstLine="420"/>
          </w:pPr>
          <w:r>
            <w:rPr>
              <w:rFonts w:hint="eastAsia"/>
            </w:rPr>
            <w:t>2025</w:t>
          </w:r>
          <w:r>
            <w:rPr>
              <w:rFonts w:hint="eastAsia"/>
            </w:rPr>
            <w:t>年，公司准确把握运输市场新态势、积极应对运输市场新变化，统筹安全与发展，外拓市场、内挖潜力，统筹谋划、积极作为，客运业务实现高质量供给，现代物流改革有序推进，为保障国家能源安全，服务国家重大战略和经济社会发展、降低全社会物流成本</w:t>
          </w:r>
          <w:proofErr w:type="gramStart"/>
          <w:r>
            <w:rPr>
              <w:rFonts w:hint="eastAsia"/>
            </w:rPr>
            <w:t>作出</w:t>
          </w:r>
          <w:proofErr w:type="gramEnd"/>
          <w:r>
            <w:rPr>
              <w:rFonts w:hint="eastAsia"/>
            </w:rPr>
            <w:t>积极贡献。</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6"/>
            <w:gridCol w:w="2007"/>
            <w:gridCol w:w="2009"/>
            <w:gridCol w:w="2009"/>
          </w:tblGrid>
          <w:tr w:rsidR="005E000F" w14:paraId="42CFFB7A" w14:textId="77777777">
            <w:trPr>
              <w:trHeight w:val="325"/>
              <w:jc w:val="center"/>
            </w:trPr>
            <w:tc>
              <w:tcPr>
                <w:tcW w:w="1593" w:type="pct"/>
                <w:vAlign w:val="center"/>
              </w:tcPr>
              <w:p w14:paraId="0BB44740" w14:textId="77777777" w:rsidR="005E000F" w:rsidRDefault="00000000">
                <w:pPr>
                  <w:rPr>
                    <w:b/>
                    <w:bCs/>
                  </w:rPr>
                </w:pPr>
                <w:r>
                  <w:rPr>
                    <w:rFonts w:hint="eastAsia"/>
                  </w:rPr>
                  <w:br w:type="page"/>
                </w:r>
              </w:p>
            </w:tc>
            <w:tc>
              <w:tcPr>
                <w:tcW w:w="1135" w:type="pct"/>
                <w:vAlign w:val="center"/>
              </w:tcPr>
              <w:p w14:paraId="1E1E16ED" w14:textId="77777777" w:rsidR="005E000F" w:rsidRDefault="00000000">
                <w:pPr>
                  <w:jc w:val="center"/>
                  <w:rPr>
                    <w:b/>
                    <w:bCs/>
                  </w:rPr>
                </w:pPr>
                <w:r>
                  <w:rPr>
                    <w:b/>
                    <w:bCs/>
                  </w:rPr>
                  <w:t>20</w:t>
                </w:r>
                <w:r>
                  <w:rPr>
                    <w:rFonts w:hint="eastAsia"/>
                    <w:b/>
                    <w:bCs/>
                  </w:rPr>
                  <w:t>25</w:t>
                </w:r>
                <w:r>
                  <w:rPr>
                    <w:b/>
                    <w:bCs/>
                  </w:rPr>
                  <w:t>年</w:t>
                </w:r>
              </w:p>
            </w:tc>
            <w:tc>
              <w:tcPr>
                <w:tcW w:w="1136" w:type="pct"/>
                <w:vAlign w:val="center"/>
              </w:tcPr>
              <w:p w14:paraId="0362502D" w14:textId="77777777" w:rsidR="005E000F" w:rsidRDefault="00000000">
                <w:pPr>
                  <w:jc w:val="center"/>
                  <w:rPr>
                    <w:b/>
                    <w:bCs/>
                  </w:rPr>
                </w:pPr>
                <w:r>
                  <w:rPr>
                    <w:b/>
                    <w:bCs/>
                  </w:rPr>
                  <w:t>20</w:t>
                </w:r>
                <w:r>
                  <w:rPr>
                    <w:rFonts w:hint="eastAsia"/>
                    <w:b/>
                    <w:bCs/>
                  </w:rPr>
                  <w:t>24</w:t>
                </w:r>
                <w:r>
                  <w:rPr>
                    <w:b/>
                    <w:bCs/>
                  </w:rPr>
                  <w:t>年</w:t>
                </w:r>
              </w:p>
            </w:tc>
            <w:tc>
              <w:tcPr>
                <w:tcW w:w="1136" w:type="pct"/>
                <w:vAlign w:val="center"/>
              </w:tcPr>
              <w:p w14:paraId="6DAA8C29" w14:textId="77777777" w:rsidR="005E000F" w:rsidRDefault="00000000">
                <w:pPr>
                  <w:jc w:val="center"/>
                  <w:rPr>
                    <w:b/>
                    <w:bCs/>
                  </w:rPr>
                </w:pPr>
                <w:r>
                  <w:rPr>
                    <w:rFonts w:hint="eastAsia"/>
                    <w:b/>
                    <w:bCs/>
                  </w:rPr>
                  <w:t>变动比例</w:t>
                </w:r>
              </w:p>
            </w:tc>
          </w:tr>
          <w:tr w:rsidR="005E000F" w14:paraId="5AC3BB2A" w14:textId="77777777">
            <w:trPr>
              <w:trHeight w:val="325"/>
              <w:jc w:val="center"/>
            </w:trPr>
            <w:tc>
              <w:tcPr>
                <w:tcW w:w="1593" w:type="pct"/>
                <w:vAlign w:val="center"/>
              </w:tcPr>
              <w:p w14:paraId="3FEF5774" w14:textId="77777777" w:rsidR="005E000F" w:rsidRDefault="00000000">
                <w:pPr>
                  <w:keepNext/>
                </w:pPr>
                <w:r>
                  <w:t>旅客发送量（万人）</w:t>
                </w:r>
              </w:p>
            </w:tc>
            <w:tc>
              <w:tcPr>
                <w:tcW w:w="1135" w:type="pct"/>
                <w:vAlign w:val="center"/>
              </w:tcPr>
              <w:p w14:paraId="5BFAD8B4" w14:textId="77777777" w:rsidR="005E000F" w:rsidRDefault="00000000">
                <w:pPr>
                  <w:ind w:rightChars="100" w:right="210"/>
                  <w:jc w:val="right"/>
                  <w:textAlignment w:val="center"/>
                </w:pPr>
                <w:r>
                  <w:rPr>
                    <w:color w:val="000000"/>
                    <w:lang w:bidi="ar"/>
                  </w:rPr>
                  <w:t xml:space="preserve">4,708 </w:t>
                </w:r>
              </w:p>
            </w:tc>
            <w:tc>
              <w:tcPr>
                <w:tcW w:w="1136" w:type="pct"/>
                <w:vAlign w:val="center"/>
              </w:tcPr>
              <w:p w14:paraId="415849E2" w14:textId="3EDE77D4" w:rsidR="005E000F" w:rsidRDefault="00000000">
                <w:pPr>
                  <w:ind w:rightChars="100" w:right="210"/>
                  <w:jc w:val="right"/>
                  <w:textAlignment w:val="center"/>
                  <w:rPr>
                    <w:rFonts w:hint="eastAsia"/>
                  </w:rPr>
                </w:pPr>
                <w:r>
                  <w:rPr>
                    <w:color w:val="000000"/>
                    <w:lang w:bidi="ar"/>
                  </w:rPr>
                  <w:t>4,64</w:t>
                </w:r>
                <w:r w:rsidR="001C376A">
                  <w:rPr>
                    <w:rFonts w:hint="eastAsia"/>
                    <w:color w:val="000000"/>
                    <w:lang w:bidi="ar"/>
                  </w:rPr>
                  <w:t>1</w:t>
                </w:r>
              </w:p>
            </w:tc>
            <w:tc>
              <w:tcPr>
                <w:tcW w:w="1136" w:type="pct"/>
                <w:vAlign w:val="center"/>
              </w:tcPr>
              <w:p w14:paraId="73172A6E" w14:textId="77777777" w:rsidR="005E000F" w:rsidRDefault="00000000">
                <w:pPr>
                  <w:ind w:rightChars="100" w:right="210"/>
                  <w:jc w:val="right"/>
                  <w:textAlignment w:val="center"/>
                  <w:rPr>
                    <w:color w:val="000000"/>
                    <w:lang w:bidi="ar"/>
                  </w:rPr>
                </w:pPr>
                <w:r>
                  <w:rPr>
                    <w:color w:val="000000"/>
                    <w:sz w:val="22"/>
                    <w:szCs w:val="22"/>
                    <w:lang w:bidi="ar"/>
                  </w:rPr>
                  <w:t>1.5%</w:t>
                </w:r>
              </w:p>
            </w:tc>
          </w:tr>
          <w:tr w:rsidR="005E000F" w14:paraId="456C3D00" w14:textId="77777777">
            <w:trPr>
              <w:trHeight w:val="325"/>
              <w:jc w:val="center"/>
            </w:trPr>
            <w:tc>
              <w:tcPr>
                <w:tcW w:w="1593" w:type="pct"/>
                <w:vAlign w:val="center"/>
              </w:tcPr>
              <w:p w14:paraId="21F0282E" w14:textId="77777777" w:rsidR="005E000F" w:rsidRDefault="00000000">
                <w:pPr>
                  <w:keepNext/>
                </w:pPr>
                <w:r>
                  <w:t>货物发送量</w:t>
                </w:r>
                <w:r>
                  <w:rPr>
                    <w:rFonts w:hint="eastAsia"/>
                  </w:rPr>
                  <w:t>（万吨）</w:t>
                </w:r>
              </w:p>
            </w:tc>
            <w:tc>
              <w:tcPr>
                <w:tcW w:w="1135" w:type="pct"/>
                <w:vAlign w:val="center"/>
              </w:tcPr>
              <w:p w14:paraId="15423219" w14:textId="77777777" w:rsidR="005E000F" w:rsidRDefault="00000000">
                <w:pPr>
                  <w:ind w:rightChars="100" w:right="210"/>
                  <w:jc w:val="right"/>
                  <w:textAlignment w:val="center"/>
                </w:pPr>
                <w:r>
                  <w:rPr>
                    <w:color w:val="000000"/>
                    <w:lang w:bidi="ar"/>
                  </w:rPr>
                  <w:t xml:space="preserve">68,073 </w:t>
                </w:r>
              </w:p>
            </w:tc>
            <w:tc>
              <w:tcPr>
                <w:tcW w:w="1136" w:type="pct"/>
                <w:vAlign w:val="center"/>
              </w:tcPr>
              <w:p w14:paraId="2788A434" w14:textId="77777777" w:rsidR="005E000F" w:rsidRDefault="00000000">
                <w:pPr>
                  <w:ind w:rightChars="100" w:right="210"/>
                  <w:jc w:val="right"/>
                  <w:textAlignment w:val="center"/>
                </w:pPr>
                <w:r>
                  <w:rPr>
                    <w:color w:val="000000"/>
                    <w:lang w:bidi="ar"/>
                  </w:rPr>
                  <w:t>70,622</w:t>
                </w:r>
              </w:p>
            </w:tc>
            <w:tc>
              <w:tcPr>
                <w:tcW w:w="1136" w:type="pct"/>
                <w:vAlign w:val="center"/>
              </w:tcPr>
              <w:p w14:paraId="40101E6E" w14:textId="77777777" w:rsidR="005E000F" w:rsidRDefault="00000000">
                <w:pPr>
                  <w:ind w:rightChars="100" w:right="210"/>
                  <w:jc w:val="right"/>
                  <w:textAlignment w:val="center"/>
                  <w:rPr>
                    <w:color w:val="000000"/>
                    <w:lang w:bidi="ar"/>
                  </w:rPr>
                </w:pPr>
                <w:r>
                  <w:rPr>
                    <w:color w:val="000000"/>
                    <w:sz w:val="22"/>
                    <w:szCs w:val="22"/>
                    <w:lang w:bidi="ar"/>
                  </w:rPr>
                  <w:t>-3.6%</w:t>
                </w:r>
              </w:p>
            </w:tc>
          </w:tr>
          <w:tr w:rsidR="005E000F" w14:paraId="57340C4B" w14:textId="77777777">
            <w:trPr>
              <w:trHeight w:val="325"/>
              <w:jc w:val="center"/>
            </w:trPr>
            <w:tc>
              <w:tcPr>
                <w:tcW w:w="1593" w:type="pct"/>
                <w:vAlign w:val="center"/>
              </w:tcPr>
              <w:p w14:paraId="646CF713" w14:textId="77777777" w:rsidR="005E000F" w:rsidRDefault="00000000">
                <w:pPr>
                  <w:keepNext/>
                  <w:ind w:firstLineChars="200" w:firstLine="420"/>
                </w:pPr>
                <w:r>
                  <w:t>其中：煤炭</w:t>
                </w:r>
                <w:r>
                  <w:rPr>
                    <w:rFonts w:hint="eastAsia"/>
                  </w:rPr>
                  <w:t>（万吨）</w:t>
                </w:r>
              </w:p>
            </w:tc>
            <w:tc>
              <w:tcPr>
                <w:tcW w:w="1135" w:type="pct"/>
                <w:vAlign w:val="center"/>
              </w:tcPr>
              <w:p w14:paraId="434F7815" w14:textId="77777777" w:rsidR="005E000F" w:rsidRDefault="00000000">
                <w:pPr>
                  <w:ind w:rightChars="100" w:right="210"/>
                  <w:jc w:val="right"/>
                  <w:textAlignment w:val="center"/>
                </w:pPr>
                <w:r>
                  <w:rPr>
                    <w:color w:val="000000"/>
                    <w:lang w:bidi="ar"/>
                  </w:rPr>
                  <w:t xml:space="preserve">54,884 </w:t>
                </w:r>
              </w:p>
            </w:tc>
            <w:tc>
              <w:tcPr>
                <w:tcW w:w="1136" w:type="pct"/>
                <w:vAlign w:val="center"/>
              </w:tcPr>
              <w:p w14:paraId="5ABE91D9" w14:textId="77777777" w:rsidR="005E000F" w:rsidRDefault="00000000">
                <w:pPr>
                  <w:ind w:rightChars="100" w:right="210"/>
                  <w:jc w:val="right"/>
                  <w:textAlignment w:val="center"/>
                </w:pPr>
                <w:r>
                  <w:rPr>
                    <w:color w:val="000000"/>
                    <w:lang w:bidi="ar"/>
                  </w:rPr>
                  <w:t>58,907</w:t>
                </w:r>
              </w:p>
            </w:tc>
            <w:tc>
              <w:tcPr>
                <w:tcW w:w="1136" w:type="pct"/>
                <w:vAlign w:val="center"/>
              </w:tcPr>
              <w:p w14:paraId="5BEE11F7" w14:textId="77777777" w:rsidR="005E000F" w:rsidRDefault="00000000">
                <w:pPr>
                  <w:ind w:rightChars="100" w:right="210"/>
                  <w:jc w:val="right"/>
                  <w:textAlignment w:val="center"/>
                  <w:rPr>
                    <w:color w:val="000000"/>
                    <w:lang w:bidi="ar"/>
                  </w:rPr>
                </w:pPr>
                <w:r>
                  <w:rPr>
                    <w:color w:val="000000"/>
                    <w:sz w:val="22"/>
                    <w:szCs w:val="22"/>
                    <w:lang w:bidi="ar"/>
                  </w:rPr>
                  <w:t>-6.8%</w:t>
                </w:r>
              </w:p>
            </w:tc>
          </w:tr>
          <w:tr w:rsidR="005E000F" w14:paraId="162B7151" w14:textId="77777777">
            <w:trPr>
              <w:trHeight w:val="325"/>
              <w:jc w:val="center"/>
            </w:trPr>
            <w:tc>
              <w:tcPr>
                <w:tcW w:w="1593" w:type="pct"/>
                <w:vAlign w:val="center"/>
              </w:tcPr>
              <w:p w14:paraId="02C871BE" w14:textId="77777777" w:rsidR="005E000F" w:rsidRDefault="00000000">
                <w:pPr>
                  <w:keepNext/>
                </w:pPr>
                <w:r>
                  <w:t>货物到达量</w:t>
                </w:r>
                <w:r>
                  <w:rPr>
                    <w:rFonts w:hint="eastAsia"/>
                  </w:rPr>
                  <w:t>（万吨）</w:t>
                </w:r>
              </w:p>
            </w:tc>
            <w:tc>
              <w:tcPr>
                <w:tcW w:w="1135" w:type="pct"/>
                <w:vAlign w:val="center"/>
              </w:tcPr>
              <w:p w14:paraId="5EC026FE" w14:textId="77777777" w:rsidR="005E000F" w:rsidRDefault="00000000">
                <w:pPr>
                  <w:ind w:rightChars="100" w:right="210"/>
                  <w:jc w:val="right"/>
                  <w:textAlignment w:val="center"/>
                </w:pPr>
                <w:r>
                  <w:rPr>
                    <w:color w:val="000000"/>
                    <w:lang w:bidi="ar"/>
                  </w:rPr>
                  <w:t xml:space="preserve">60,674 </w:t>
                </w:r>
              </w:p>
            </w:tc>
            <w:tc>
              <w:tcPr>
                <w:tcW w:w="1136" w:type="pct"/>
                <w:vAlign w:val="center"/>
              </w:tcPr>
              <w:p w14:paraId="0CA4B51F" w14:textId="77777777" w:rsidR="005E000F" w:rsidRDefault="00000000">
                <w:pPr>
                  <w:ind w:rightChars="100" w:right="210"/>
                  <w:jc w:val="right"/>
                  <w:textAlignment w:val="center"/>
                </w:pPr>
                <w:r>
                  <w:rPr>
                    <w:color w:val="000000"/>
                    <w:lang w:bidi="ar"/>
                  </w:rPr>
                  <w:t>62,963</w:t>
                </w:r>
              </w:p>
            </w:tc>
            <w:tc>
              <w:tcPr>
                <w:tcW w:w="1136" w:type="pct"/>
                <w:vAlign w:val="center"/>
              </w:tcPr>
              <w:p w14:paraId="25C51E63" w14:textId="77777777" w:rsidR="005E000F" w:rsidRDefault="00000000">
                <w:pPr>
                  <w:ind w:rightChars="100" w:right="210"/>
                  <w:jc w:val="right"/>
                  <w:textAlignment w:val="center"/>
                  <w:rPr>
                    <w:color w:val="000000"/>
                    <w:lang w:bidi="ar"/>
                  </w:rPr>
                </w:pPr>
                <w:r>
                  <w:rPr>
                    <w:color w:val="000000"/>
                    <w:sz w:val="22"/>
                    <w:szCs w:val="22"/>
                    <w:lang w:bidi="ar"/>
                  </w:rPr>
                  <w:t>-3.6%</w:t>
                </w:r>
              </w:p>
            </w:tc>
          </w:tr>
          <w:tr w:rsidR="005E000F" w14:paraId="4B368526" w14:textId="77777777">
            <w:trPr>
              <w:trHeight w:val="325"/>
              <w:jc w:val="center"/>
            </w:trPr>
            <w:tc>
              <w:tcPr>
                <w:tcW w:w="1593" w:type="pct"/>
                <w:vAlign w:val="center"/>
              </w:tcPr>
              <w:p w14:paraId="1BA6F07E" w14:textId="77777777" w:rsidR="005E000F" w:rsidRDefault="00000000">
                <w:pPr>
                  <w:keepNext/>
                  <w:ind w:firstLineChars="200" w:firstLine="420"/>
                </w:pPr>
                <w:r>
                  <w:t>其中：煤炭</w:t>
                </w:r>
                <w:r>
                  <w:rPr>
                    <w:rFonts w:hint="eastAsia"/>
                  </w:rPr>
                  <w:t>（万吨）</w:t>
                </w:r>
              </w:p>
            </w:tc>
            <w:tc>
              <w:tcPr>
                <w:tcW w:w="1135" w:type="pct"/>
                <w:vAlign w:val="center"/>
              </w:tcPr>
              <w:p w14:paraId="6E64D0DC" w14:textId="77777777" w:rsidR="005E000F" w:rsidRDefault="00000000">
                <w:pPr>
                  <w:ind w:rightChars="100" w:right="210"/>
                  <w:jc w:val="right"/>
                  <w:textAlignment w:val="center"/>
                </w:pPr>
                <w:r>
                  <w:rPr>
                    <w:color w:val="000000"/>
                    <w:lang w:bidi="ar"/>
                  </w:rPr>
                  <w:t xml:space="preserve">49,489 </w:t>
                </w:r>
              </w:p>
            </w:tc>
            <w:tc>
              <w:tcPr>
                <w:tcW w:w="1136" w:type="pct"/>
                <w:vAlign w:val="center"/>
              </w:tcPr>
              <w:p w14:paraId="2CAD85E1" w14:textId="77777777" w:rsidR="005E000F" w:rsidRDefault="00000000">
                <w:pPr>
                  <w:ind w:rightChars="100" w:right="210"/>
                  <w:jc w:val="right"/>
                  <w:textAlignment w:val="center"/>
                </w:pPr>
                <w:r>
                  <w:rPr>
                    <w:color w:val="000000"/>
                    <w:lang w:bidi="ar"/>
                  </w:rPr>
                  <w:t>51,963</w:t>
                </w:r>
              </w:p>
            </w:tc>
            <w:tc>
              <w:tcPr>
                <w:tcW w:w="1136" w:type="pct"/>
                <w:vAlign w:val="center"/>
              </w:tcPr>
              <w:p w14:paraId="17F5C941" w14:textId="77777777" w:rsidR="005E000F" w:rsidRDefault="00000000">
                <w:pPr>
                  <w:ind w:rightChars="100" w:right="210"/>
                  <w:jc w:val="right"/>
                  <w:textAlignment w:val="center"/>
                  <w:rPr>
                    <w:color w:val="000000"/>
                    <w:lang w:bidi="ar"/>
                  </w:rPr>
                </w:pPr>
                <w:r>
                  <w:rPr>
                    <w:color w:val="000000"/>
                    <w:sz w:val="22"/>
                    <w:szCs w:val="22"/>
                    <w:lang w:bidi="ar"/>
                  </w:rPr>
                  <w:t>-4.8%</w:t>
                </w:r>
              </w:p>
            </w:tc>
          </w:tr>
          <w:tr w:rsidR="005E000F" w14:paraId="706CB47D" w14:textId="77777777">
            <w:trPr>
              <w:trHeight w:val="325"/>
              <w:jc w:val="center"/>
            </w:trPr>
            <w:tc>
              <w:tcPr>
                <w:tcW w:w="1593" w:type="pct"/>
                <w:vAlign w:val="center"/>
              </w:tcPr>
              <w:p w14:paraId="059EE809" w14:textId="77777777" w:rsidR="005E000F" w:rsidRDefault="00000000">
                <w:pPr>
                  <w:keepNext/>
                </w:pPr>
                <w:r>
                  <w:t>换算周转量（</w:t>
                </w:r>
                <w:proofErr w:type="gramStart"/>
                <w:r>
                  <w:t>亿吨公里</w:t>
                </w:r>
                <w:proofErr w:type="gramEnd"/>
                <w:r>
                  <w:t>）</w:t>
                </w:r>
              </w:p>
            </w:tc>
            <w:tc>
              <w:tcPr>
                <w:tcW w:w="1135" w:type="pct"/>
                <w:vAlign w:val="center"/>
              </w:tcPr>
              <w:p w14:paraId="3C3863F5" w14:textId="77777777" w:rsidR="005E000F" w:rsidRDefault="00000000">
                <w:pPr>
                  <w:ind w:rightChars="100" w:right="210"/>
                  <w:jc w:val="right"/>
                  <w:textAlignment w:val="center"/>
                </w:pPr>
                <w:r>
                  <w:rPr>
                    <w:color w:val="000000"/>
                    <w:lang w:bidi="ar"/>
                  </w:rPr>
                  <w:t xml:space="preserve">3,750 </w:t>
                </w:r>
              </w:p>
            </w:tc>
            <w:tc>
              <w:tcPr>
                <w:tcW w:w="1136" w:type="pct"/>
                <w:vAlign w:val="center"/>
              </w:tcPr>
              <w:p w14:paraId="5A5F7ACE" w14:textId="77777777" w:rsidR="005E000F" w:rsidRDefault="00000000">
                <w:pPr>
                  <w:ind w:rightChars="100" w:right="210"/>
                  <w:jc w:val="right"/>
                  <w:textAlignment w:val="center"/>
                </w:pPr>
                <w:r>
                  <w:rPr>
                    <w:color w:val="000000"/>
                    <w:lang w:bidi="ar"/>
                  </w:rPr>
                  <w:t>3,685</w:t>
                </w:r>
              </w:p>
            </w:tc>
            <w:tc>
              <w:tcPr>
                <w:tcW w:w="1136" w:type="pct"/>
                <w:vAlign w:val="center"/>
              </w:tcPr>
              <w:p w14:paraId="1BF711A5" w14:textId="77777777" w:rsidR="005E000F" w:rsidRDefault="00000000">
                <w:pPr>
                  <w:ind w:rightChars="100" w:right="210"/>
                  <w:jc w:val="right"/>
                  <w:textAlignment w:val="center"/>
                  <w:rPr>
                    <w:color w:val="000000"/>
                    <w:lang w:bidi="ar"/>
                  </w:rPr>
                </w:pPr>
                <w:r>
                  <w:rPr>
                    <w:color w:val="000000"/>
                    <w:sz w:val="22"/>
                    <w:szCs w:val="22"/>
                    <w:lang w:bidi="ar"/>
                  </w:rPr>
                  <w:t>1.8%</w:t>
                </w:r>
              </w:p>
            </w:tc>
          </w:tr>
          <w:tr w:rsidR="005E000F" w14:paraId="44A8D1A7" w14:textId="77777777">
            <w:trPr>
              <w:trHeight w:val="325"/>
              <w:jc w:val="center"/>
            </w:trPr>
            <w:tc>
              <w:tcPr>
                <w:tcW w:w="1593" w:type="pct"/>
                <w:vAlign w:val="center"/>
              </w:tcPr>
              <w:p w14:paraId="15551F8A" w14:textId="77777777" w:rsidR="005E000F" w:rsidRDefault="00000000">
                <w:pPr>
                  <w:keepNext/>
                  <w:ind w:firstLineChars="200" w:firstLine="420"/>
                </w:pPr>
                <w:r>
                  <w:t>其中：旅客（亿人公里）</w:t>
                </w:r>
              </w:p>
            </w:tc>
            <w:tc>
              <w:tcPr>
                <w:tcW w:w="1135" w:type="pct"/>
                <w:vAlign w:val="center"/>
              </w:tcPr>
              <w:p w14:paraId="7DA7BBFC" w14:textId="77777777" w:rsidR="005E000F" w:rsidRDefault="00000000">
                <w:pPr>
                  <w:ind w:rightChars="100" w:right="210"/>
                  <w:jc w:val="right"/>
                  <w:textAlignment w:val="center"/>
                </w:pPr>
                <w:r>
                  <w:rPr>
                    <w:color w:val="000000"/>
                    <w:lang w:bidi="ar"/>
                  </w:rPr>
                  <w:t xml:space="preserve">33 </w:t>
                </w:r>
              </w:p>
            </w:tc>
            <w:tc>
              <w:tcPr>
                <w:tcW w:w="1136" w:type="pct"/>
                <w:vAlign w:val="center"/>
              </w:tcPr>
              <w:p w14:paraId="26E39DFF" w14:textId="77777777" w:rsidR="005E000F" w:rsidRDefault="00000000">
                <w:pPr>
                  <w:ind w:rightChars="100" w:right="210"/>
                  <w:jc w:val="right"/>
                  <w:textAlignment w:val="center"/>
                </w:pPr>
                <w:r>
                  <w:rPr>
                    <w:color w:val="000000"/>
                    <w:lang w:bidi="ar"/>
                  </w:rPr>
                  <w:t>29</w:t>
                </w:r>
              </w:p>
            </w:tc>
            <w:tc>
              <w:tcPr>
                <w:tcW w:w="1136" w:type="pct"/>
                <w:vAlign w:val="center"/>
              </w:tcPr>
              <w:p w14:paraId="05310566" w14:textId="77777777" w:rsidR="005E000F" w:rsidRDefault="00000000">
                <w:pPr>
                  <w:ind w:rightChars="100" w:right="210"/>
                  <w:jc w:val="right"/>
                  <w:textAlignment w:val="center"/>
                  <w:rPr>
                    <w:color w:val="000000"/>
                    <w:lang w:bidi="ar"/>
                  </w:rPr>
                </w:pPr>
                <w:r>
                  <w:rPr>
                    <w:color w:val="000000"/>
                    <w:sz w:val="22"/>
                    <w:szCs w:val="22"/>
                    <w:lang w:bidi="ar"/>
                  </w:rPr>
                  <w:t>13.8%</w:t>
                </w:r>
              </w:p>
            </w:tc>
          </w:tr>
          <w:tr w:rsidR="005E000F" w14:paraId="2CFA7BC4" w14:textId="77777777">
            <w:trPr>
              <w:trHeight w:val="325"/>
              <w:jc w:val="center"/>
            </w:trPr>
            <w:tc>
              <w:tcPr>
                <w:tcW w:w="1593" w:type="pct"/>
                <w:vAlign w:val="center"/>
              </w:tcPr>
              <w:p w14:paraId="1B7FC4F8" w14:textId="77777777" w:rsidR="005E000F" w:rsidRDefault="00000000">
                <w:pPr>
                  <w:keepNext/>
                  <w:ind w:firstLineChars="200" w:firstLine="420"/>
                </w:pPr>
                <w:r>
                  <w:t xml:space="preserve">      </w:t>
                </w:r>
                <w:r>
                  <w:t>货物（</w:t>
                </w:r>
                <w:proofErr w:type="gramStart"/>
                <w:r>
                  <w:t>亿吨公里</w:t>
                </w:r>
                <w:proofErr w:type="gramEnd"/>
                <w:r>
                  <w:t>）</w:t>
                </w:r>
              </w:p>
            </w:tc>
            <w:tc>
              <w:tcPr>
                <w:tcW w:w="1135" w:type="pct"/>
                <w:vAlign w:val="center"/>
              </w:tcPr>
              <w:p w14:paraId="0FB414A5" w14:textId="77777777" w:rsidR="005E000F" w:rsidRDefault="00000000">
                <w:pPr>
                  <w:ind w:rightChars="100" w:right="210"/>
                  <w:jc w:val="right"/>
                  <w:textAlignment w:val="center"/>
                </w:pPr>
                <w:r>
                  <w:rPr>
                    <w:color w:val="000000"/>
                    <w:lang w:bidi="ar"/>
                  </w:rPr>
                  <w:t xml:space="preserve">3,717 </w:t>
                </w:r>
              </w:p>
            </w:tc>
            <w:tc>
              <w:tcPr>
                <w:tcW w:w="1136" w:type="pct"/>
                <w:vAlign w:val="center"/>
              </w:tcPr>
              <w:p w14:paraId="0A88BA6A" w14:textId="77777777" w:rsidR="005E000F" w:rsidRDefault="00000000">
                <w:pPr>
                  <w:ind w:rightChars="100" w:right="210"/>
                  <w:jc w:val="right"/>
                  <w:textAlignment w:val="center"/>
                </w:pPr>
                <w:r>
                  <w:rPr>
                    <w:color w:val="000000"/>
                    <w:lang w:bidi="ar"/>
                  </w:rPr>
                  <w:t>3,656</w:t>
                </w:r>
              </w:p>
            </w:tc>
            <w:tc>
              <w:tcPr>
                <w:tcW w:w="1136" w:type="pct"/>
                <w:vAlign w:val="center"/>
              </w:tcPr>
              <w:p w14:paraId="3A641806" w14:textId="77777777" w:rsidR="005E000F" w:rsidRDefault="00000000">
                <w:pPr>
                  <w:ind w:rightChars="100" w:right="210"/>
                  <w:jc w:val="right"/>
                  <w:textAlignment w:val="center"/>
                  <w:rPr>
                    <w:color w:val="000000"/>
                    <w:lang w:bidi="ar"/>
                  </w:rPr>
                </w:pPr>
                <w:r>
                  <w:rPr>
                    <w:color w:val="000000"/>
                    <w:sz w:val="22"/>
                    <w:szCs w:val="22"/>
                    <w:lang w:bidi="ar"/>
                  </w:rPr>
                  <w:t>1.7%</w:t>
                </w:r>
              </w:p>
            </w:tc>
          </w:tr>
        </w:tbl>
        <w:p w14:paraId="206AE306" w14:textId="77777777" w:rsidR="005E000F" w:rsidRDefault="005E000F">
          <w:pPr>
            <w:ind w:firstLineChars="100" w:firstLine="210"/>
          </w:pPr>
        </w:p>
        <w:p w14:paraId="3F942855" w14:textId="77777777" w:rsidR="005E000F" w:rsidRDefault="00000000">
          <w:pPr>
            <w:spacing w:line="360" w:lineRule="auto"/>
            <w:ind w:firstLineChars="200" w:firstLine="422"/>
            <w:jc w:val="both"/>
          </w:pPr>
          <w:bookmarkStart w:id="44" w:name="OLE_LINK15"/>
          <w:bookmarkStart w:id="45" w:name="OLE_LINK29"/>
          <w:bookmarkStart w:id="46" w:name="OLE_LINK30"/>
          <w:r>
            <w:rPr>
              <w:rFonts w:hint="eastAsia"/>
              <w:b/>
              <w:bCs/>
            </w:rPr>
            <w:t>货运业务方面，</w:t>
          </w:r>
          <w:r>
            <w:rPr>
              <w:rFonts w:hint="eastAsia"/>
            </w:rPr>
            <w:t>一是努力稳住大宗货源基本盘，强化“总对总”战略合作，大力发展</w:t>
          </w:r>
          <w:proofErr w:type="gramStart"/>
          <w:r>
            <w:rPr>
              <w:rFonts w:hint="eastAsia"/>
            </w:rPr>
            <w:t>物流总</w:t>
          </w:r>
          <w:proofErr w:type="gramEnd"/>
          <w:r>
            <w:rPr>
              <w:rFonts w:hint="eastAsia"/>
            </w:rPr>
            <w:t>包，开展分层级、</w:t>
          </w:r>
          <w:proofErr w:type="gramStart"/>
          <w:r>
            <w:rPr>
              <w:rFonts w:hint="eastAsia"/>
            </w:rPr>
            <w:t>分片区</w:t>
          </w:r>
          <w:proofErr w:type="gramEnd"/>
          <w:r>
            <w:rPr>
              <w:rFonts w:hint="eastAsia"/>
            </w:rPr>
            <w:t>营销，</w:t>
          </w:r>
          <w:proofErr w:type="gramStart"/>
          <w:r>
            <w:rPr>
              <w:rFonts w:hint="eastAsia"/>
            </w:rPr>
            <w:t>锁定适铁煤炭</w:t>
          </w:r>
          <w:proofErr w:type="gramEnd"/>
          <w:r>
            <w:rPr>
              <w:rFonts w:hint="eastAsia"/>
            </w:rPr>
            <w:t>货源，推动煤炭中长期合同兑现，推动焦炭等冶炼</w:t>
          </w:r>
          <w:r>
            <w:rPr>
              <w:rFonts w:hint="eastAsia"/>
            </w:rPr>
            <w:lastRenderedPageBreak/>
            <w:t>物资增运；二是开行钢铁、粮食等特色专列，挖潜“捎脚”运输、发展重去重回，推进“散改集”，积极拓展白货运输品类，培育非煤运输市场，努力弥补煤炭运量下滑的业务缺口。全年非煤货品发送量较上年增长</w:t>
          </w:r>
          <w:r>
            <w:rPr>
              <w:rFonts w:hint="eastAsia"/>
            </w:rPr>
            <w:t>13%</w:t>
          </w:r>
          <w:r>
            <w:rPr>
              <w:rFonts w:hint="eastAsia"/>
            </w:rPr>
            <w:t>，“以白补黑”取得较好成效；三是加快推动现代物流转型发展，开展铁水、公铁等多式联运，推进“一单制”“一箱制”落地，量身定制全程物流产品，运用市场化运价政策稳定货源，为物流降本增效注入新动能。</w:t>
          </w:r>
        </w:p>
        <w:p w14:paraId="31DC25D6" w14:textId="77777777" w:rsidR="005E000F" w:rsidRDefault="00000000">
          <w:pPr>
            <w:spacing w:line="360" w:lineRule="auto"/>
            <w:ind w:firstLineChars="200" w:firstLine="420"/>
            <w:jc w:val="both"/>
          </w:pPr>
          <w:r>
            <w:rPr>
              <w:rFonts w:hint="eastAsia"/>
            </w:rPr>
            <w:t>2025</w:t>
          </w:r>
          <w:r>
            <w:rPr>
              <w:rFonts w:hint="eastAsia"/>
            </w:rPr>
            <w:t>年，公司完成货物发送量</w:t>
          </w:r>
          <w:r>
            <w:rPr>
              <w:rFonts w:hint="eastAsia"/>
            </w:rPr>
            <w:t>68,073</w:t>
          </w:r>
          <w:r>
            <w:rPr>
              <w:rFonts w:hint="eastAsia"/>
            </w:rPr>
            <w:t>万吨，同比下降</w:t>
          </w:r>
          <w:r>
            <w:rPr>
              <w:rFonts w:hint="eastAsia"/>
            </w:rPr>
            <w:t>3.6%</w:t>
          </w:r>
          <w:r>
            <w:rPr>
              <w:rFonts w:hint="eastAsia"/>
            </w:rPr>
            <w:t>。其中，煤炭发送量</w:t>
          </w:r>
          <w:r>
            <w:rPr>
              <w:rFonts w:hint="eastAsia"/>
            </w:rPr>
            <w:t>54,884</w:t>
          </w:r>
          <w:r>
            <w:rPr>
              <w:rFonts w:hint="eastAsia"/>
            </w:rPr>
            <w:t>万吨，同比下降</w:t>
          </w:r>
          <w:r>
            <w:rPr>
              <w:rFonts w:hint="eastAsia"/>
            </w:rPr>
            <w:t>6.8%</w:t>
          </w:r>
          <w:r>
            <w:rPr>
              <w:rFonts w:hint="eastAsia"/>
            </w:rPr>
            <w:t>；换算周转量</w:t>
          </w:r>
          <w:r>
            <w:rPr>
              <w:rFonts w:hint="eastAsia"/>
            </w:rPr>
            <w:t>3,750</w:t>
          </w:r>
          <w:r>
            <w:rPr>
              <w:rFonts w:hint="eastAsia"/>
            </w:rPr>
            <w:t>亿吨公里，同比增长</w:t>
          </w:r>
          <w:r>
            <w:rPr>
              <w:rFonts w:hint="eastAsia"/>
            </w:rPr>
            <w:t>1.8%</w:t>
          </w:r>
          <w:r>
            <w:rPr>
              <w:rFonts w:hint="eastAsia"/>
            </w:rPr>
            <w:t>。</w:t>
          </w:r>
          <w:bookmarkStart w:id="47" w:name="OLE_LINK23"/>
          <w:r>
            <w:rPr>
              <w:rFonts w:hint="eastAsia"/>
            </w:rPr>
            <w:t>日均装车</w:t>
          </w:r>
          <w:r>
            <w:rPr>
              <w:rFonts w:hint="eastAsia"/>
            </w:rPr>
            <w:t>29,393</w:t>
          </w:r>
          <w:r>
            <w:rPr>
              <w:rFonts w:hint="eastAsia"/>
            </w:rPr>
            <w:t>车，日均卸车</w:t>
          </w:r>
          <w:r>
            <w:rPr>
              <w:rFonts w:hint="eastAsia"/>
            </w:rPr>
            <w:t>24,275</w:t>
          </w:r>
          <w:r>
            <w:rPr>
              <w:rFonts w:hint="eastAsia"/>
            </w:rPr>
            <w:t>车，货车周转时间</w:t>
          </w:r>
          <w:r>
            <w:rPr>
              <w:rFonts w:hint="eastAsia"/>
            </w:rPr>
            <w:t>2.23</w:t>
          </w:r>
          <w:r>
            <w:rPr>
              <w:rFonts w:hint="eastAsia"/>
            </w:rPr>
            <w:t>天，静载重</w:t>
          </w:r>
          <w:r>
            <w:rPr>
              <w:rFonts w:hint="eastAsia"/>
            </w:rPr>
            <w:t>70.8</w:t>
          </w:r>
          <w:r>
            <w:rPr>
              <w:rFonts w:hint="eastAsia"/>
            </w:rPr>
            <w:t>吨。</w:t>
          </w:r>
          <w:bookmarkStart w:id="48" w:name="OLE_LINK24"/>
          <w:bookmarkEnd w:id="47"/>
          <w:r>
            <w:rPr>
              <w:rFonts w:hint="eastAsia"/>
            </w:rPr>
            <w:t>核心经营资产大秦线完成货运量</w:t>
          </w:r>
          <w:r>
            <w:rPr>
              <w:rFonts w:hint="eastAsia"/>
            </w:rPr>
            <w:t>39,004</w:t>
          </w:r>
          <w:r>
            <w:rPr>
              <w:rFonts w:hint="eastAsia"/>
            </w:rPr>
            <w:t>万吨，同比下降</w:t>
          </w:r>
          <w:r>
            <w:rPr>
              <w:rFonts w:hint="eastAsia"/>
            </w:rPr>
            <w:t>0.5%</w:t>
          </w:r>
          <w:r>
            <w:rPr>
              <w:rFonts w:hint="eastAsia"/>
            </w:rPr>
            <w:t>。日均开行重车</w:t>
          </w:r>
          <w:r>
            <w:rPr>
              <w:rFonts w:hint="eastAsia"/>
            </w:rPr>
            <w:t>81.6</w:t>
          </w:r>
          <w:r>
            <w:rPr>
              <w:rFonts w:hint="eastAsia"/>
            </w:rPr>
            <w:t>列。其中，</w:t>
          </w:r>
          <w:r>
            <w:rPr>
              <w:rFonts w:hint="eastAsia"/>
            </w:rPr>
            <w:t>2</w:t>
          </w:r>
          <w:r>
            <w:rPr>
              <w:rFonts w:hint="eastAsia"/>
            </w:rPr>
            <w:t>万吨</w:t>
          </w:r>
          <w:r>
            <w:rPr>
              <w:rFonts w:hint="eastAsia"/>
            </w:rPr>
            <w:t>50.7</w:t>
          </w:r>
          <w:r>
            <w:rPr>
              <w:rFonts w:hint="eastAsia"/>
            </w:rPr>
            <w:t>列。</w:t>
          </w:r>
          <w:bookmarkEnd w:id="48"/>
        </w:p>
        <w:p w14:paraId="65A45E3A" w14:textId="77777777" w:rsidR="005E000F" w:rsidRDefault="00000000">
          <w:pPr>
            <w:spacing w:line="360" w:lineRule="auto"/>
            <w:ind w:firstLineChars="200" w:firstLine="420"/>
            <w:jc w:val="both"/>
          </w:pPr>
          <w:r>
            <w:rPr>
              <w:rFonts w:hint="eastAsia"/>
            </w:rPr>
            <w:t>公司是以煤炭运输为主的铁路运输企业，</w:t>
          </w:r>
          <w:r>
            <w:rPr>
              <w:rFonts w:hint="eastAsia"/>
            </w:rPr>
            <w:t>2025</w:t>
          </w:r>
          <w:r>
            <w:rPr>
              <w:rFonts w:hint="eastAsia"/>
            </w:rPr>
            <w:t>年煤炭发送量占货物发送量的</w:t>
          </w:r>
          <w:r>
            <w:rPr>
              <w:rFonts w:hint="eastAsia"/>
            </w:rPr>
            <w:t>80.6%</w:t>
          </w:r>
          <w:r>
            <w:rPr>
              <w:rFonts w:hint="eastAsia"/>
            </w:rPr>
            <w:t>，煤炭运输业务与公司经营结果相关度较高。报告期内，公司煤炭发送量出现下降，主要原因：</w:t>
          </w:r>
          <w:r>
            <w:rPr>
              <w:rFonts w:hint="eastAsia"/>
              <w:b/>
              <w:bCs/>
            </w:rPr>
            <w:t>一是煤炭需求</w:t>
          </w:r>
          <w:proofErr w:type="gramStart"/>
          <w:r>
            <w:rPr>
              <w:rFonts w:hint="eastAsia"/>
              <w:b/>
              <w:bCs/>
            </w:rPr>
            <w:t>端整体</w:t>
          </w:r>
          <w:proofErr w:type="gramEnd"/>
          <w:r>
            <w:rPr>
              <w:rFonts w:hint="eastAsia"/>
              <w:b/>
              <w:bCs/>
            </w:rPr>
            <w:t>表现偏弱。</w:t>
          </w:r>
          <w:r>
            <w:rPr>
              <w:rFonts w:hint="eastAsia"/>
            </w:rPr>
            <w:t>随着新能源发电量提升，传统火电市场受到挤压。国家统计局数据显示，</w:t>
          </w:r>
          <w:r>
            <w:rPr>
              <w:rFonts w:hint="eastAsia"/>
            </w:rPr>
            <w:t>2025</w:t>
          </w:r>
          <w:r>
            <w:rPr>
              <w:rFonts w:hint="eastAsia"/>
            </w:rPr>
            <w:t>年火力发电量</w:t>
          </w:r>
          <w:r>
            <w:rPr>
              <w:rFonts w:hint="eastAsia"/>
            </w:rPr>
            <w:t>63,272</w:t>
          </w:r>
          <w:r>
            <w:rPr>
              <w:rFonts w:hint="eastAsia"/>
            </w:rPr>
            <w:t>亿千瓦时，同比下降</w:t>
          </w:r>
          <w:r>
            <w:rPr>
              <w:rFonts w:hint="eastAsia"/>
            </w:rPr>
            <w:t>0.7%</w:t>
          </w:r>
          <w:r>
            <w:rPr>
              <w:rFonts w:hint="eastAsia"/>
            </w:rPr>
            <w:t>，自</w:t>
          </w:r>
          <w:r>
            <w:rPr>
              <w:rFonts w:hint="eastAsia"/>
            </w:rPr>
            <w:t>2016</w:t>
          </w:r>
          <w:r>
            <w:rPr>
              <w:rFonts w:hint="eastAsia"/>
            </w:rPr>
            <w:t>年以来首次负增长。水、核、风、光发电量分别同比增长</w:t>
          </w:r>
          <w:r>
            <w:rPr>
              <w:rFonts w:hint="eastAsia"/>
            </w:rPr>
            <w:t>2.5%</w:t>
          </w:r>
          <w:r>
            <w:rPr>
              <w:rFonts w:hint="eastAsia"/>
            </w:rPr>
            <w:t>、</w:t>
          </w:r>
          <w:r>
            <w:rPr>
              <w:rFonts w:hint="eastAsia"/>
            </w:rPr>
            <w:t>7.6%</w:t>
          </w:r>
          <w:r>
            <w:rPr>
              <w:rFonts w:hint="eastAsia"/>
            </w:rPr>
            <w:t>、</w:t>
          </w:r>
          <w:r>
            <w:rPr>
              <w:rFonts w:hint="eastAsia"/>
            </w:rPr>
            <w:t>13.1%</w:t>
          </w:r>
          <w:r>
            <w:rPr>
              <w:rFonts w:hint="eastAsia"/>
            </w:rPr>
            <w:t>和</w:t>
          </w:r>
          <w:r>
            <w:rPr>
              <w:rFonts w:hint="eastAsia"/>
            </w:rPr>
            <w:t>39.8%</w:t>
          </w:r>
          <w:r>
            <w:rPr>
              <w:rFonts w:hint="eastAsia"/>
            </w:rPr>
            <w:t>。同时，房地产及基建拖累建材、钢铁用煤，非电用煤需求承压。</w:t>
          </w:r>
          <w:bookmarkStart w:id="49" w:name="OLE_LINK10"/>
          <w:r>
            <w:rPr>
              <w:rFonts w:hint="eastAsia"/>
            </w:rPr>
            <w:t>国家统计局数据显示，</w:t>
          </w:r>
          <w:r>
            <w:rPr>
              <w:rFonts w:hint="eastAsia"/>
            </w:rPr>
            <w:t>2025</w:t>
          </w:r>
          <w:r>
            <w:rPr>
              <w:rFonts w:hint="eastAsia"/>
            </w:rPr>
            <w:t>年</w:t>
          </w:r>
          <w:bookmarkEnd w:id="49"/>
          <w:r>
            <w:rPr>
              <w:rFonts w:hint="eastAsia"/>
            </w:rPr>
            <w:t>水泥产量</w:t>
          </w:r>
          <w:r>
            <w:rPr>
              <w:rFonts w:hint="eastAsia"/>
            </w:rPr>
            <w:t>16.9</w:t>
          </w:r>
          <w:r>
            <w:rPr>
              <w:rFonts w:hint="eastAsia"/>
            </w:rPr>
            <w:t>亿吨，同比下降</w:t>
          </w:r>
          <w:r>
            <w:rPr>
              <w:rFonts w:hint="eastAsia"/>
            </w:rPr>
            <w:t>6.9%</w:t>
          </w:r>
          <w:r>
            <w:rPr>
              <w:rFonts w:hint="eastAsia"/>
            </w:rPr>
            <w:t>；粗钢产量</w:t>
          </w:r>
          <w:r>
            <w:rPr>
              <w:rFonts w:hint="eastAsia"/>
            </w:rPr>
            <w:t>9.61</w:t>
          </w:r>
          <w:r>
            <w:rPr>
              <w:rFonts w:hint="eastAsia"/>
            </w:rPr>
            <w:t>亿吨，同比下降</w:t>
          </w:r>
          <w:r>
            <w:rPr>
              <w:rFonts w:hint="eastAsia"/>
            </w:rPr>
            <w:t>4.4%</w:t>
          </w:r>
          <w:r>
            <w:rPr>
              <w:rFonts w:hint="eastAsia"/>
            </w:rPr>
            <w:t>。煤炭需求偏弱相应抑制运输需求；</w:t>
          </w:r>
          <w:r>
            <w:rPr>
              <w:rFonts w:hint="eastAsia"/>
              <w:b/>
              <w:bCs/>
            </w:rPr>
            <w:t>二是进口煤炭持续冲击。</w:t>
          </w:r>
          <w:r>
            <w:rPr>
              <w:rFonts w:hint="eastAsia"/>
            </w:rPr>
            <w:t>2025</w:t>
          </w:r>
          <w:r>
            <w:rPr>
              <w:rFonts w:hint="eastAsia"/>
            </w:rPr>
            <w:t>年进口煤虽有下降但仍居高位，全年煤炭进口</w:t>
          </w:r>
          <w:r>
            <w:rPr>
              <w:rFonts w:hint="eastAsia"/>
            </w:rPr>
            <w:t>4.9</w:t>
          </w:r>
          <w:r>
            <w:rPr>
              <w:rFonts w:hint="eastAsia"/>
            </w:rPr>
            <w:t>亿吨。公司运送动力煤的下游客户主要在沿海沿江地区，与进口煤炭覆盖区域重叠，对公司货运线路特别是大秦线铁水联运煤炭需求形成替代；</w:t>
          </w:r>
          <w:r>
            <w:rPr>
              <w:rFonts w:hint="eastAsia"/>
              <w:b/>
              <w:bCs/>
            </w:rPr>
            <w:t>三是运输方式竞争升级。</w:t>
          </w:r>
          <w:r>
            <w:rPr>
              <w:rFonts w:hint="eastAsia"/>
            </w:rPr>
            <w:t>随着煤炭市场的深度调整变化，煤源竞争加剧，周边主要铁路煤炭运输通道能力宽松，叠加山西新能源卡车等发展降低公路运输成本，铁路区域间、铁路与公路间，在细分领域、细分市场间的竞争有所升级。</w:t>
          </w:r>
        </w:p>
        <w:p w14:paraId="6DBFCEF4" w14:textId="77777777" w:rsidR="005E000F" w:rsidRDefault="00000000">
          <w:pPr>
            <w:spacing w:line="360" w:lineRule="auto"/>
            <w:ind w:firstLineChars="200" w:firstLine="422"/>
            <w:rPr>
              <w:b/>
              <w:bCs/>
            </w:rPr>
          </w:pPr>
          <w:r>
            <w:rPr>
              <w:rFonts w:hint="eastAsia"/>
              <w:b/>
              <w:bCs/>
            </w:rPr>
            <w:t>客运业务方面，</w:t>
          </w:r>
          <w:r>
            <w:rPr>
              <w:rFonts w:hint="eastAsia"/>
            </w:rPr>
            <w:t>优化完善客运产品供给，打造客运品牌，首开太原至深圳、成都、贵阳方向的夜间动卧，提升高铁动车组的开行比重。坚持面向市场开车，精准实施“</w:t>
          </w:r>
          <w:r>
            <w:rPr>
              <w:rFonts w:hint="eastAsia"/>
            </w:rPr>
            <w:t>4+3</w:t>
          </w:r>
          <w:r>
            <w:rPr>
              <w:rFonts w:hint="eastAsia"/>
            </w:rPr>
            <w:t>”运能和市场化票价“双调整”，“一日一图”匹配旅客出行，动态优化列车开行结构，提升客运营收品质。创新“铁路</w:t>
          </w:r>
          <w:r>
            <w:rPr>
              <w:rFonts w:hint="eastAsia"/>
            </w:rPr>
            <w:t>+</w:t>
          </w:r>
          <w:r>
            <w:rPr>
              <w:rFonts w:hint="eastAsia"/>
            </w:rPr>
            <w:t>文旅</w:t>
          </w:r>
          <w:r>
            <w:rPr>
              <w:rFonts w:hint="eastAsia"/>
            </w:rPr>
            <w:t>+</w:t>
          </w:r>
          <w:r>
            <w:rPr>
              <w:rFonts w:hint="eastAsia"/>
            </w:rPr>
            <w:t>教育”融合发展，对旅游列车进行</w:t>
          </w:r>
          <w:proofErr w:type="gramStart"/>
          <w:r>
            <w:rPr>
              <w:rFonts w:hint="eastAsia"/>
            </w:rPr>
            <w:t>适</w:t>
          </w:r>
          <w:proofErr w:type="gramEnd"/>
          <w:r>
            <w:rPr>
              <w:rFonts w:hint="eastAsia"/>
            </w:rPr>
            <w:t>老化改造，开行歌迷、赛事和旅游专列，着力引流入晋。实施车站“四合一”改造，增加计次票、定期票产品，推进列车餐饮提质，客运服务质量进一步提升。</w:t>
          </w:r>
          <w:r>
            <w:rPr>
              <w:rFonts w:hint="eastAsia"/>
            </w:rPr>
            <w:t>2025</w:t>
          </w:r>
          <w:r>
            <w:rPr>
              <w:rFonts w:hint="eastAsia"/>
            </w:rPr>
            <w:t>年，公司完成旅客发送量</w:t>
          </w:r>
          <w:r>
            <w:rPr>
              <w:rFonts w:hint="eastAsia"/>
            </w:rPr>
            <w:t>4,708</w:t>
          </w:r>
          <w:r>
            <w:rPr>
              <w:rFonts w:hint="eastAsia"/>
            </w:rPr>
            <w:t>万人，同比增长</w:t>
          </w:r>
          <w:r>
            <w:rPr>
              <w:rFonts w:hint="eastAsia"/>
            </w:rPr>
            <w:t>1.5%</w:t>
          </w:r>
          <w:r>
            <w:rPr>
              <w:rFonts w:hint="eastAsia"/>
            </w:rPr>
            <w:t>。</w:t>
          </w:r>
        </w:p>
      </w:sdtContent>
    </w:sdt>
    <w:bookmarkEnd w:id="44"/>
    <w:bookmarkEnd w:id="45"/>
    <w:bookmarkEnd w:id="46"/>
    <w:p w14:paraId="72735874" w14:textId="77777777" w:rsidR="005E000F" w:rsidRDefault="00000000">
      <w:pPr>
        <w:pStyle w:val="2"/>
        <w:numPr>
          <w:ilvl w:val="0"/>
          <w:numId w:val="7"/>
        </w:numPr>
        <w:ind w:left="369" w:hangingChars="175" w:hanging="369"/>
      </w:pPr>
      <w:r>
        <w:rPr>
          <w:rFonts w:hint="eastAsia"/>
        </w:rPr>
        <w:t>报告期内核心竞争力分析</w:t>
      </w:r>
    </w:p>
    <w:sdt>
      <w:sdtPr>
        <w:alias w:val="是否适用：报告期内核心竞争力分析[双击切换]"/>
        <w:tag w:val="_GBC_a03591f0f7444c9b8f5c55d6f75c3136"/>
        <w:id w:val="-778332340"/>
        <w:placeholder>
          <w:docPart w:val="GBC22222222222222222222222222222"/>
        </w:placeholder>
      </w:sdtPr>
      <w:sdtContent>
        <w:p w14:paraId="4E15570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内核心竞争力分析"/>
        <w:tag w:val="_GBC_956a57b53cd74344a32f2309bcc5f344"/>
        <w:id w:val="-1613809587"/>
        <w:placeholder>
          <w:docPart w:val="GBC22222222222222222222222222222"/>
        </w:placeholder>
      </w:sdtPr>
      <w:sdtContent>
        <w:p w14:paraId="23B93968" w14:textId="77777777" w:rsidR="005E000F" w:rsidRDefault="00000000">
          <w:pPr>
            <w:spacing w:line="360" w:lineRule="auto"/>
            <w:rPr>
              <w:kern w:val="2"/>
            </w:rPr>
          </w:pPr>
          <w:r>
            <w:rPr>
              <w:rFonts w:hint="eastAsia"/>
              <w:b/>
              <w:bCs/>
              <w:kern w:val="2"/>
            </w:rPr>
            <w:t xml:space="preserve">1. </w:t>
          </w:r>
          <w:r>
            <w:rPr>
              <w:rFonts w:hint="eastAsia"/>
              <w:b/>
              <w:bCs/>
              <w:kern w:val="2"/>
            </w:rPr>
            <w:t>战略地位：</w:t>
          </w:r>
          <w:r>
            <w:rPr>
              <w:rFonts w:hint="eastAsia"/>
              <w:kern w:val="2"/>
            </w:rPr>
            <w:t>公司客货运线路纵贯三晋南北，横跨晋冀京津两省两市，拥有的铁路干线衔接了我国北方地区最重要的煤炭供应区域和中转枢纽，在路网中</w:t>
          </w:r>
          <w:r>
            <w:rPr>
              <w:kern w:val="2"/>
            </w:rPr>
            <w:t>处于</w:t>
          </w:r>
          <w:r>
            <w:rPr>
              <w:rFonts w:hint="eastAsia"/>
              <w:kern w:val="2"/>
            </w:rPr>
            <w:t>“</w:t>
          </w:r>
          <w:r>
            <w:rPr>
              <w:kern w:val="2"/>
            </w:rPr>
            <w:t>承东启西</w:t>
          </w:r>
          <w:r>
            <w:rPr>
              <w:rFonts w:hint="eastAsia"/>
              <w:kern w:val="2"/>
            </w:rPr>
            <w:t>”的战略位置。并通过参股朔黄铁路、</w:t>
          </w:r>
          <w:proofErr w:type="gramStart"/>
          <w:r>
            <w:rPr>
              <w:rFonts w:hint="eastAsia"/>
              <w:kern w:val="2"/>
            </w:rPr>
            <w:t>浩</w:t>
          </w:r>
          <w:proofErr w:type="gramEnd"/>
          <w:r>
            <w:rPr>
              <w:rFonts w:hint="eastAsia"/>
              <w:kern w:val="2"/>
            </w:rPr>
            <w:t>吉铁路等，形成“西煤东运”“北煤南运”的战略布局，</w:t>
          </w:r>
          <w:bookmarkStart w:id="50" w:name="OLE_LINK20"/>
          <w:r>
            <w:rPr>
              <w:rFonts w:hint="eastAsia"/>
              <w:kern w:val="2"/>
            </w:rPr>
            <w:t>在国家煤炭运输大格局中处于重要地位。</w:t>
          </w:r>
          <w:bookmarkEnd w:id="50"/>
        </w:p>
        <w:p w14:paraId="13DC20A7" w14:textId="77777777" w:rsidR="005E000F" w:rsidRDefault="00000000">
          <w:pPr>
            <w:widowControl w:val="0"/>
            <w:numPr>
              <w:ilvl w:val="0"/>
              <w:numId w:val="9"/>
            </w:numPr>
            <w:spacing w:line="360" w:lineRule="auto"/>
            <w:jc w:val="both"/>
            <w:rPr>
              <w:kern w:val="2"/>
            </w:rPr>
          </w:pPr>
          <w:r>
            <w:rPr>
              <w:rFonts w:hint="eastAsia"/>
              <w:b/>
              <w:bCs/>
              <w:kern w:val="2"/>
            </w:rPr>
            <w:t>货源和客户：</w:t>
          </w:r>
          <w:r>
            <w:rPr>
              <w:rFonts w:hint="eastAsia"/>
              <w:kern w:val="2"/>
            </w:rPr>
            <w:t>公司</w:t>
          </w:r>
          <w:r>
            <w:rPr>
              <w:kern w:val="2"/>
            </w:rPr>
            <w:t>主要货源地</w:t>
          </w:r>
          <w:r>
            <w:rPr>
              <w:rFonts w:hint="eastAsia"/>
              <w:kern w:val="2"/>
            </w:rPr>
            <w:t>的山西省、内蒙古自治区、陕西省</w:t>
          </w:r>
          <w:r>
            <w:rPr>
              <w:kern w:val="2"/>
            </w:rPr>
            <w:t>煤炭资源丰富，</w:t>
          </w:r>
          <w:r>
            <w:rPr>
              <w:rFonts w:hint="eastAsia"/>
              <w:kern w:val="2"/>
            </w:rPr>
            <w:t>是我国最重要</w:t>
          </w:r>
          <w:r>
            <w:rPr>
              <w:rFonts w:hint="eastAsia"/>
              <w:kern w:val="2"/>
            </w:rPr>
            <w:lastRenderedPageBreak/>
            <w:t>的煤炭产销区域。根据国家能源发展战略布局，国内煤炭生产重心有序向中西部地区转移，公司主要货源地煤炭资源集中度持续提升，供应保障更加有力。</w:t>
          </w:r>
          <w:r>
            <w:rPr>
              <w:rFonts w:hint="eastAsia"/>
              <w:kern w:val="2"/>
            </w:rPr>
            <w:t>2025</w:t>
          </w:r>
          <w:r>
            <w:rPr>
              <w:rFonts w:hint="eastAsia"/>
              <w:kern w:val="2"/>
            </w:rPr>
            <w:t>年，晋陕蒙三省区原煤产量合计</w:t>
          </w:r>
          <w:r>
            <w:rPr>
              <w:rFonts w:hint="eastAsia"/>
              <w:kern w:val="2"/>
            </w:rPr>
            <w:t>33.96</w:t>
          </w:r>
          <w:r>
            <w:rPr>
              <w:rFonts w:hint="eastAsia"/>
              <w:kern w:val="2"/>
            </w:rPr>
            <w:t>亿吨，增长</w:t>
          </w:r>
          <w:r>
            <w:rPr>
              <w:rFonts w:hint="eastAsia"/>
              <w:kern w:val="2"/>
            </w:rPr>
            <w:t>1.4%</w:t>
          </w:r>
          <w:r>
            <w:rPr>
              <w:rFonts w:hint="eastAsia"/>
              <w:kern w:val="2"/>
            </w:rPr>
            <w:t>，占全国煤炭总产量的比重为</w:t>
          </w:r>
          <w:r>
            <w:rPr>
              <w:rFonts w:hint="eastAsia"/>
              <w:kern w:val="2"/>
            </w:rPr>
            <w:t>70%</w:t>
          </w:r>
          <w:r>
            <w:rPr>
              <w:rFonts w:hint="eastAsia"/>
              <w:kern w:val="2"/>
            </w:rPr>
            <w:t>。</w:t>
          </w:r>
          <w:r>
            <w:rPr>
              <w:kern w:val="2"/>
            </w:rPr>
            <w:t>公司的主要客户</w:t>
          </w:r>
          <w:r>
            <w:rPr>
              <w:rFonts w:hint="eastAsia"/>
              <w:kern w:val="2"/>
            </w:rPr>
            <w:t>多</w:t>
          </w:r>
          <w:r>
            <w:rPr>
              <w:kern w:val="2"/>
            </w:rPr>
            <w:t>为大型煤炭</w:t>
          </w:r>
          <w:r>
            <w:rPr>
              <w:rFonts w:hint="eastAsia"/>
              <w:kern w:val="2"/>
            </w:rPr>
            <w:t>产销</w:t>
          </w:r>
          <w:r>
            <w:rPr>
              <w:kern w:val="2"/>
            </w:rPr>
            <w:t>企业，</w:t>
          </w:r>
          <w:r>
            <w:rPr>
              <w:rFonts w:hint="eastAsia"/>
              <w:kern w:val="2"/>
            </w:rPr>
            <w:t>有较强的</w:t>
          </w:r>
          <w:r>
            <w:rPr>
              <w:kern w:val="2"/>
            </w:rPr>
            <w:t>生产能力</w:t>
          </w:r>
          <w:r>
            <w:rPr>
              <w:rFonts w:hint="eastAsia"/>
              <w:kern w:val="2"/>
            </w:rPr>
            <w:t>和</w:t>
          </w:r>
          <w:r>
            <w:rPr>
              <w:kern w:val="2"/>
            </w:rPr>
            <w:t>外运需求，与公司保持着长期、稳定的合作关系。</w:t>
          </w:r>
        </w:p>
        <w:p w14:paraId="7EDD6049" w14:textId="77777777" w:rsidR="005E000F" w:rsidRDefault="00000000">
          <w:pPr>
            <w:widowControl w:val="0"/>
            <w:numPr>
              <w:ilvl w:val="0"/>
              <w:numId w:val="9"/>
            </w:numPr>
            <w:spacing w:line="360" w:lineRule="auto"/>
            <w:jc w:val="both"/>
            <w:rPr>
              <w:kern w:val="2"/>
            </w:rPr>
          </w:pPr>
          <w:r>
            <w:rPr>
              <w:rFonts w:hint="eastAsia"/>
              <w:b/>
              <w:bCs/>
              <w:kern w:val="2"/>
            </w:rPr>
            <w:t>技术体系：</w:t>
          </w:r>
          <w:r>
            <w:rPr>
              <w:rFonts w:hint="eastAsia"/>
              <w:kern w:val="2"/>
            </w:rPr>
            <w:t>公司拥有成熟、先进、可靠的铁路煤炭重载运输技术体系，</w:t>
          </w:r>
          <w:r>
            <w:rPr>
              <w:kern w:val="2"/>
            </w:rPr>
            <w:t>所辖大秦线是具有世界先进水平、</w:t>
          </w:r>
          <w:r>
            <w:rPr>
              <w:rFonts w:hint="eastAsia"/>
              <w:kern w:val="2"/>
            </w:rPr>
            <w:t>年运量</w:t>
          </w:r>
          <w:r>
            <w:rPr>
              <w:kern w:val="2"/>
            </w:rPr>
            <w:t>最大的现代化</w:t>
          </w:r>
          <w:r>
            <w:rPr>
              <w:rFonts w:hint="eastAsia"/>
              <w:kern w:val="2"/>
            </w:rPr>
            <w:t>专用</w:t>
          </w:r>
          <w:r>
            <w:rPr>
              <w:kern w:val="2"/>
            </w:rPr>
            <w:t>煤炭运输线路</w:t>
          </w:r>
          <w:r>
            <w:rPr>
              <w:rFonts w:hint="eastAsia"/>
              <w:kern w:val="2"/>
            </w:rPr>
            <w:t>，应用</w:t>
          </w:r>
          <w:r>
            <w:rPr>
              <w:kern w:val="2"/>
            </w:rPr>
            <w:t>重载</w:t>
          </w:r>
          <w:r>
            <w:rPr>
              <w:rFonts w:hint="eastAsia"/>
              <w:kern w:val="2"/>
            </w:rPr>
            <w:t>运输成套</w:t>
          </w:r>
          <w:r>
            <w:rPr>
              <w:kern w:val="2"/>
            </w:rPr>
            <w:t>技术</w:t>
          </w:r>
          <w:r>
            <w:rPr>
              <w:rFonts w:hint="eastAsia"/>
              <w:kern w:val="2"/>
            </w:rPr>
            <w:t>体系</w:t>
          </w:r>
          <w:r>
            <w:rPr>
              <w:kern w:val="2"/>
            </w:rPr>
            <w:t>，配置性能先进的机车</w:t>
          </w:r>
          <w:r>
            <w:rPr>
              <w:rFonts w:hint="eastAsia"/>
              <w:kern w:val="2"/>
            </w:rPr>
            <w:t>、</w:t>
          </w:r>
          <w:r>
            <w:rPr>
              <w:kern w:val="2"/>
            </w:rPr>
            <w:t>车辆等设备</w:t>
          </w:r>
          <w:r>
            <w:rPr>
              <w:rFonts w:hint="eastAsia"/>
              <w:kern w:val="2"/>
            </w:rPr>
            <w:t>，实现</w:t>
          </w:r>
          <w:r>
            <w:rPr>
              <w:rFonts w:hint="eastAsia"/>
              <w:kern w:val="2"/>
            </w:rPr>
            <w:t>2</w:t>
          </w:r>
          <w:r>
            <w:rPr>
              <w:rFonts w:hint="eastAsia"/>
              <w:kern w:val="2"/>
            </w:rPr>
            <w:t>万吨重载列车常态化开行，完成了</w:t>
          </w:r>
          <w:r>
            <w:rPr>
              <w:rFonts w:hint="eastAsia"/>
              <w:kern w:val="2"/>
            </w:rPr>
            <w:t>3</w:t>
          </w:r>
          <w:r>
            <w:rPr>
              <w:rFonts w:hint="eastAsia"/>
              <w:kern w:val="2"/>
            </w:rPr>
            <w:t>万吨重载列车运行试验</w:t>
          </w:r>
          <w:r>
            <w:rPr>
              <w:kern w:val="2"/>
            </w:rPr>
            <w:t>。</w:t>
          </w:r>
          <w:r>
            <w:rPr>
              <w:rFonts w:hint="eastAsia"/>
              <w:kern w:val="2"/>
            </w:rPr>
            <w:t>公司依托北同蒲、宁</w:t>
          </w:r>
          <w:proofErr w:type="gramStart"/>
          <w:r>
            <w:rPr>
              <w:rFonts w:hint="eastAsia"/>
              <w:kern w:val="2"/>
            </w:rPr>
            <w:t>岢</w:t>
          </w:r>
          <w:proofErr w:type="gramEnd"/>
          <w:r>
            <w:rPr>
              <w:rFonts w:hint="eastAsia"/>
              <w:kern w:val="2"/>
            </w:rPr>
            <w:t>线等万吨、</w:t>
          </w:r>
          <w:r>
            <w:rPr>
              <w:rFonts w:hint="eastAsia"/>
              <w:kern w:val="2"/>
            </w:rPr>
            <w:t>2</w:t>
          </w:r>
          <w:r>
            <w:rPr>
              <w:rFonts w:hint="eastAsia"/>
              <w:kern w:val="2"/>
            </w:rPr>
            <w:t>万吨装车点和</w:t>
          </w:r>
          <w:r>
            <w:rPr>
              <w:kern w:val="2"/>
            </w:rPr>
            <w:t>秦皇岛</w:t>
          </w:r>
          <w:r>
            <w:rPr>
              <w:rFonts w:hint="eastAsia"/>
              <w:kern w:val="2"/>
            </w:rPr>
            <w:t>、</w:t>
          </w:r>
          <w:r>
            <w:rPr>
              <w:kern w:val="2"/>
            </w:rPr>
            <w:t>曹妃</w:t>
          </w:r>
          <w:proofErr w:type="gramStart"/>
          <w:r>
            <w:rPr>
              <w:kern w:val="2"/>
            </w:rPr>
            <w:t>甸</w:t>
          </w:r>
          <w:proofErr w:type="gramEnd"/>
          <w:r>
            <w:rPr>
              <w:kern w:val="2"/>
            </w:rPr>
            <w:t>等煤炭接卸港</w:t>
          </w:r>
          <w:r>
            <w:rPr>
              <w:spacing w:val="-11"/>
              <w:kern w:val="2"/>
            </w:rPr>
            <w:t>口，</w:t>
          </w:r>
          <w:r>
            <w:rPr>
              <w:rFonts w:hint="eastAsia"/>
              <w:spacing w:val="-11"/>
              <w:kern w:val="2"/>
            </w:rPr>
            <w:t>组织大规模自动化装卸和重载直达运输，形成了</w:t>
          </w:r>
          <w:r>
            <w:rPr>
              <w:spacing w:val="-11"/>
              <w:kern w:val="2"/>
            </w:rPr>
            <w:t>完整、先进、高效的煤炭重载集疏运系统。</w:t>
          </w:r>
        </w:p>
        <w:p w14:paraId="0DC3C483" w14:textId="77777777" w:rsidR="005E000F" w:rsidRDefault="00000000">
          <w:pPr>
            <w:widowControl w:val="0"/>
            <w:numPr>
              <w:ilvl w:val="0"/>
              <w:numId w:val="9"/>
            </w:numPr>
            <w:spacing w:line="360" w:lineRule="auto"/>
            <w:jc w:val="both"/>
            <w:rPr>
              <w:kern w:val="2"/>
            </w:rPr>
          </w:pPr>
          <w:r>
            <w:rPr>
              <w:rFonts w:hint="eastAsia"/>
              <w:b/>
              <w:bCs/>
              <w:kern w:val="2"/>
            </w:rPr>
            <w:t>技术队伍：</w:t>
          </w:r>
          <w:r>
            <w:rPr>
              <w:kern w:val="2"/>
            </w:rPr>
            <w:t>公司长期经营铁路运输业务，建立了一整套安全、高效的运输组织管理机制和调度指挥系统，拥有一支技术过硬、经验丰富、精干高效的铁路运输管理和专业技术队伍。</w:t>
          </w:r>
        </w:p>
        <w:p w14:paraId="2A568FF6" w14:textId="77777777" w:rsidR="005E000F" w:rsidRDefault="00000000">
          <w:pPr>
            <w:widowControl w:val="0"/>
            <w:numPr>
              <w:ilvl w:val="0"/>
              <w:numId w:val="9"/>
            </w:numPr>
            <w:spacing w:line="360" w:lineRule="auto"/>
            <w:jc w:val="both"/>
            <w:rPr>
              <w:b/>
              <w:bCs/>
              <w:kern w:val="2"/>
              <w:szCs w:val="24"/>
            </w:rPr>
          </w:pPr>
          <w:r>
            <w:rPr>
              <w:rFonts w:hint="eastAsia"/>
              <w:b/>
              <w:bCs/>
              <w:kern w:val="2"/>
            </w:rPr>
            <w:t>盈利能力：</w:t>
          </w:r>
          <w:bookmarkStart w:id="51" w:name="OLE_LINK19"/>
          <w:r>
            <w:rPr>
              <w:rFonts w:hint="eastAsia"/>
              <w:kern w:val="2"/>
            </w:rPr>
            <w:t>公司经营稳健，资产负债率较低，经营活动产生的现金</w:t>
          </w:r>
          <w:proofErr w:type="gramStart"/>
          <w:r>
            <w:rPr>
              <w:rFonts w:hint="eastAsia"/>
              <w:kern w:val="2"/>
            </w:rPr>
            <w:t>流较为</w:t>
          </w:r>
          <w:proofErr w:type="gramEnd"/>
          <w:r>
            <w:rPr>
              <w:rFonts w:hint="eastAsia"/>
              <w:kern w:val="2"/>
            </w:rPr>
            <w:t>充沛。</w:t>
          </w:r>
        </w:p>
      </w:sdtContent>
    </w:sdt>
    <w:bookmarkEnd w:id="51"/>
    <w:p w14:paraId="55DD96F3" w14:textId="77777777" w:rsidR="005E000F" w:rsidRDefault="00000000">
      <w:pPr>
        <w:pStyle w:val="2"/>
        <w:numPr>
          <w:ilvl w:val="0"/>
          <w:numId w:val="7"/>
        </w:numPr>
        <w:ind w:left="369" w:hangingChars="175" w:hanging="369"/>
      </w:pPr>
      <w:r>
        <w:rPr>
          <w:rFonts w:hint="eastAsia"/>
        </w:rPr>
        <w:t>报告期内主要经营情况</w:t>
      </w:r>
    </w:p>
    <w:sdt>
      <w:sdtPr>
        <w:rPr>
          <w:rFonts w:hint="eastAsia"/>
        </w:rPr>
        <w:alias w:val="报告期内主要经营情况"/>
        <w:tag w:val="_GBC_655a1c6ffd2a454085e53e5538e3b2ef"/>
        <w:id w:val="860784440"/>
        <w:placeholder>
          <w:docPart w:val="GBC22222222222222222222222222222"/>
        </w:placeholder>
      </w:sdtPr>
      <w:sdtContent>
        <w:p w14:paraId="30F4C62A" w14:textId="77777777" w:rsidR="005E000F" w:rsidRDefault="00000000">
          <w:pPr>
            <w:spacing w:line="360" w:lineRule="auto"/>
            <w:ind w:firstLineChars="200" w:firstLine="420"/>
            <w:jc w:val="both"/>
          </w:pPr>
          <w:r>
            <w:rPr>
              <w:rFonts w:hint="eastAsia"/>
            </w:rPr>
            <w:t>报告期内，公司营业收入完成</w:t>
          </w:r>
          <w:r>
            <w:rPr>
              <w:rFonts w:hint="eastAsia"/>
            </w:rPr>
            <w:t>77,644,812,382</w:t>
          </w:r>
          <w:r>
            <w:rPr>
              <w:rFonts w:hint="eastAsia"/>
            </w:rPr>
            <w:t>元，同比增长</w:t>
          </w:r>
          <w:r>
            <w:rPr>
              <w:rFonts w:hint="eastAsia"/>
            </w:rPr>
            <w:t>4.04%</w:t>
          </w:r>
          <w:r>
            <w:rPr>
              <w:rFonts w:hint="eastAsia"/>
            </w:rPr>
            <w:t>。营业成本支出</w:t>
          </w:r>
          <w:r>
            <w:rPr>
              <w:rFonts w:hint="eastAsia"/>
            </w:rPr>
            <w:t>70,951,357,550</w:t>
          </w:r>
          <w:r>
            <w:rPr>
              <w:rFonts w:hint="eastAsia"/>
            </w:rPr>
            <w:t>元，同比增长</w:t>
          </w:r>
          <w:r>
            <w:rPr>
              <w:rFonts w:hint="eastAsia"/>
            </w:rPr>
            <w:t>12.25%</w:t>
          </w:r>
          <w:r>
            <w:rPr>
              <w:rFonts w:hint="eastAsia"/>
            </w:rPr>
            <w:t>；实现净利润</w:t>
          </w:r>
          <w:r>
            <w:rPr>
              <w:rFonts w:hint="eastAsia"/>
            </w:rPr>
            <w:t>6,849,036,319</w:t>
          </w:r>
          <w:r>
            <w:rPr>
              <w:rFonts w:hint="eastAsia"/>
            </w:rPr>
            <w:t>元，较上年同期下降</w:t>
          </w:r>
          <w:r>
            <w:rPr>
              <w:rFonts w:hint="eastAsia"/>
            </w:rPr>
            <w:t>3,425,253,614</w:t>
          </w:r>
          <w:r>
            <w:rPr>
              <w:rFonts w:hint="eastAsia"/>
            </w:rPr>
            <w:t>元，同比下降</w:t>
          </w:r>
          <w:r>
            <w:rPr>
              <w:rFonts w:hint="eastAsia"/>
            </w:rPr>
            <w:t>33.34%</w:t>
          </w:r>
          <w:r>
            <w:rPr>
              <w:rFonts w:hint="eastAsia"/>
            </w:rPr>
            <w:t>。净利润下降的主要原因为：</w:t>
          </w:r>
          <w:r>
            <w:rPr>
              <w:rFonts w:hint="eastAsia"/>
              <w:b/>
              <w:bCs/>
            </w:rPr>
            <w:t>一是煤炭运量下降的影响。</w:t>
          </w:r>
          <w:r>
            <w:rPr>
              <w:rFonts w:hint="eastAsia"/>
            </w:rPr>
            <w:t>报告期内，货收率较高的煤炭发送量减少</w:t>
          </w:r>
          <w:r>
            <w:rPr>
              <w:rFonts w:hint="eastAsia"/>
            </w:rPr>
            <w:t>4,023</w:t>
          </w:r>
          <w:r>
            <w:rPr>
              <w:rFonts w:hint="eastAsia"/>
            </w:rPr>
            <w:t>万吨。其中，核心经营资产大秦线煤炭运输量同比减少</w:t>
          </w:r>
          <w:r>
            <w:rPr>
              <w:rFonts w:hint="eastAsia"/>
            </w:rPr>
            <w:t>211</w:t>
          </w:r>
          <w:r>
            <w:rPr>
              <w:rFonts w:hint="eastAsia"/>
            </w:rPr>
            <w:t>万吨；</w:t>
          </w:r>
          <w:r>
            <w:rPr>
              <w:rFonts w:hint="eastAsia"/>
              <w:b/>
              <w:bCs/>
            </w:rPr>
            <w:t>二是运输结构调整的影响。</w:t>
          </w:r>
          <w:r>
            <w:rPr>
              <w:rFonts w:hint="eastAsia"/>
            </w:rPr>
            <w:t>基于长期发展的战略</w:t>
          </w:r>
          <w:proofErr w:type="gramStart"/>
          <w:r>
            <w:rPr>
              <w:rFonts w:hint="eastAsia"/>
            </w:rPr>
            <w:t>考量</w:t>
          </w:r>
          <w:proofErr w:type="gramEnd"/>
          <w:r>
            <w:rPr>
              <w:rFonts w:hint="eastAsia"/>
            </w:rPr>
            <w:t>，公司积极拓展非煤大宗市场，非煤货物运输业务量增加</w:t>
          </w:r>
          <w:r>
            <w:rPr>
              <w:rFonts w:hint="eastAsia"/>
            </w:rPr>
            <w:t>13%</w:t>
          </w:r>
          <w:r>
            <w:rPr>
              <w:rFonts w:hint="eastAsia"/>
            </w:rPr>
            <w:t>。由于非煤货物到达地多为公司管外，直通联合运输增长相应增加了货运服务费等付费支出。</w:t>
          </w:r>
          <w:r>
            <w:rPr>
              <w:rFonts w:hint="eastAsia"/>
              <w:b/>
              <w:bCs/>
            </w:rPr>
            <w:t>三是物流市场培育的影响。</w:t>
          </w:r>
          <w:r>
            <w:rPr>
              <w:rFonts w:hint="eastAsia"/>
            </w:rPr>
            <w:t>公司积极推进现代物流转型，发展多式联运，推进“门到站、站到门”等物流辅助服务，此项业务尚处于市场培育、让利引流阶段。</w:t>
          </w:r>
          <w:r>
            <w:rPr>
              <w:rFonts w:hint="eastAsia"/>
              <w:b/>
              <w:bCs/>
            </w:rPr>
            <w:t>四是货物运价浮动带来的影响。</w:t>
          </w:r>
          <w:r>
            <w:rPr>
              <w:rFonts w:hint="eastAsia"/>
            </w:rPr>
            <w:t>针对煤炭市场的变化，各运输主体采取灵活的价格策略，物流通道的选择权转向需求侧，受运价浮动的影响，公司综合吨公里收入率同比有所下降。</w:t>
          </w:r>
        </w:p>
      </w:sdtContent>
    </w:sdt>
    <w:p w14:paraId="39630396" w14:textId="77777777" w:rsidR="005E000F" w:rsidRDefault="005E000F"/>
    <w:p w14:paraId="268D7287" w14:textId="77777777" w:rsidR="005E000F" w:rsidRDefault="00000000">
      <w:pPr>
        <w:pStyle w:val="3"/>
        <w:numPr>
          <w:ilvl w:val="0"/>
          <w:numId w:val="10"/>
        </w:numPr>
        <w:ind w:left="0" w:firstLine="0"/>
        <w:rPr>
          <w:szCs w:val="21"/>
        </w:rPr>
      </w:pPr>
      <w:bookmarkStart w:id="52" w:name="_Toc342565895"/>
      <w:bookmarkStart w:id="53" w:name="_Toc342559738"/>
      <w:r>
        <w:rPr>
          <w:rFonts w:hint="eastAsia"/>
          <w:szCs w:val="21"/>
        </w:rPr>
        <w:t>主营业务分析</w:t>
      </w:r>
      <w:bookmarkEnd w:id="52"/>
      <w:bookmarkEnd w:id="53"/>
    </w:p>
    <w:p w14:paraId="1B6F6123" w14:textId="77777777" w:rsidR="005E000F" w:rsidRDefault="00000000">
      <w:pPr>
        <w:pStyle w:val="4"/>
        <w:numPr>
          <w:ilvl w:val="0"/>
          <w:numId w:val="11"/>
        </w:numPr>
      </w:pPr>
      <w:r>
        <w:t>利润表及现金流量表相关科目变动分析表</w:t>
      </w:r>
    </w:p>
    <w:p w14:paraId="1AEE491E" w14:textId="77777777" w:rsidR="005E000F" w:rsidRDefault="00000000">
      <w:pPr>
        <w:pStyle w:val="aff8"/>
        <w:ind w:left="360" w:firstLineChars="0" w:firstLine="0"/>
        <w:jc w:val="right"/>
        <w:rPr>
          <w:rFonts w:ascii="宋体" w:hAnsi="宋体"/>
        </w:rPr>
      </w:pPr>
      <w:bookmarkStart w:id="54" w:name="_Hlk10208083"/>
      <w:bookmarkStart w:id="55" w:name="_Hlk89098131"/>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a5fffb3a862348719225255f65c5850b"/>
          <w:id w:val="-10994051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dcf9e4b2ba546cd926a1de5fc18f92f"/>
          <w:id w:val="-14788383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szCs w:val="21"/>
            </w:rPr>
            <w:t>人民币</w:t>
          </w:r>
        </w:sdtContent>
      </w:sdt>
    </w:p>
    <w:tbl>
      <w:tblPr>
        <w:tblStyle w:val="aff2"/>
        <w:tblW w:w="0" w:type="auto"/>
        <w:tblLayout w:type="fixed"/>
        <w:tblLook w:val="04A0" w:firstRow="1" w:lastRow="0" w:firstColumn="1" w:lastColumn="0" w:noHBand="0" w:noVBand="1"/>
      </w:tblPr>
      <w:tblGrid>
        <w:gridCol w:w="3089"/>
        <w:gridCol w:w="2128"/>
        <w:gridCol w:w="1987"/>
        <w:gridCol w:w="1844"/>
      </w:tblGrid>
      <w:tr w:rsidR="005E000F" w14:paraId="150A0F00" w14:textId="77777777">
        <w:bookmarkStart w:id="56" w:name="_Hlk10208057" w:displacedByCustomXml="next"/>
        <w:sdt>
          <w:sdtPr>
            <w:tag w:val="_PLD_e184eafc8be3478d9fc8a544274385f7"/>
            <w:id w:val="1056905488"/>
          </w:sdtPr>
          <w:sdtContent>
            <w:tc>
              <w:tcPr>
                <w:tcW w:w="3089" w:type="dxa"/>
                <w:vAlign w:val="center"/>
              </w:tcPr>
              <w:p w14:paraId="4277CFBA" w14:textId="77777777" w:rsidR="005E000F" w:rsidRDefault="00000000">
                <w:pPr>
                  <w:pStyle w:val="aff8"/>
                  <w:ind w:firstLineChars="0" w:firstLine="0"/>
                  <w:jc w:val="center"/>
                  <w:rPr>
                    <w:rFonts w:ascii="宋体" w:hAnsi="宋体"/>
                    <w:szCs w:val="21"/>
                  </w:rPr>
                </w:pPr>
                <w:r>
                  <w:rPr>
                    <w:rFonts w:ascii="宋体" w:hAnsi="宋体" w:hint="eastAsia"/>
                    <w:szCs w:val="21"/>
                  </w:rPr>
                  <w:t>科目</w:t>
                </w:r>
              </w:p>
            </w:tc>
          </w:sdtContent>
        </w:sdt>
        <w:sdt>
          <w:sdtPr>
            <w:tag w:val="_PLD_c49cd176da60479fbcfeedd35cc9f509"/>
            <w:id w:val="-889641851"/>
          </w:sdtPr>
          <w:sdtContent>
            <w:tc>
              <w:tcPr>
                <w:tcW w:w="2128" w:type="dxa"/>
                <w:vAlign w:val="center"/>
              </w:tcPr>
              <w:p w14:paraId="0968E585" w14:textId="77777777" w:rsidR="005E000F" w:rsidRDefault="00000000">
                <w:pPr>
                  <w:pStyle w:val="aff8"/>
                  <w:ind w:firstLineChars="0" w:firstLine="0"/>
                  <w:jc w:val="center"/>
                  <w:rPr>
                    <w:rFonts w:ascii="宋体" w:hAnsi="宋体"/>
                    <w:szCs w:val="21"/>
                  </w:rPr>
                </w:pPr>
                <w:r>
                  <w:rPr>
                    <w:rFonts w:ascii="宋体" w:hAnsi="宋体" w:hint="eastAsia"/>
                    <w:szCs w:val="21"/>
                  </w:rPr>
                  <w:t>本期数</w:t>
                </w:r>
              </w:p>
            </w:tc>
          </w:sdtContent>
        </w:sdt>
        <w:sdt>
          <w:sdtPr>
            <w:tag w:val="_PLD_0b6df7534554463db9f304bbe9b6a71e"/>
            <w:id w:val="1534299937"/>
          </w:sdtPr>
          <w:sdtContent>
            <w:tc>
              <w:tcPr>
                <w:tcW w:w="1987" w:type="dxa"/>
                <w:vAlign w:val="center"/>
              </w:tcPr>
              <w:p w14:paraId="1839D5B8" w14:textId="77777777" w:rsidR="005E000F" w:rsidRDefault="00000000">
                <w:pPr>
                  <w:pStyle w:val="aff8"/>
                  <w:ind w:firstLineChars="0" w:firstLine="0"/>
                  <w:jc w:val="center"/>
                  <w:rPr>
                    <w:rFonts w:ascii="宋体" w:hAnsi="宋体"/>
                    <w:szCs w:val="21"/>
                  </w:rPr>
                </w:pPr>
                <w:r>
                  <w:rPr>
                    <w:rFonts w:ascii="宋体" w:hAnsi="宋体" w:hint="eastAsia"/>
                    <w:szCs w:val="21"/>
                  </w:rPr>
                  <w:t>上年同期数</w:t>
                </w:r>
              </w:p>
            </w:tc>
          </w:sdtContent>
        </w:sdt>
        <w:sdt>
          <w:sdtPr>
            <w:tag w:val="_PLD_a903eeff1728490ba821c9389249303c"/>
            <w:id w:val="1007091168"/>
          </w:sdtPr>
          <w:sdtContent>
            <w:tc>
              <w:tcPr>
                <w:tcW w:w="1844" w:type="dxa"/>
                <w:vAlign w:val="center"/>
              </w:tcPr>
              <w:p w14:paraId="7DC8A25F" w14:textId="77777777" w:rsidR="005E000F" w:rsidRDefault="00000000">
                <w:pPr>
                  <w:pStyle w:val="aff8"/>
                  <w:ind w:firstLineChars="0" w:firstLine="0"/>
                  <w:jc w:val="center"/>
                  <w:rPr>
                    <w:rFonts w:ascii="宋体" w:hAnsi="宋体"/>
                    <w:szCs w:val="21"/>
                  </w:rPr>
                </w:pPr>
                <w:r>
                  <w:rPr>
                    <w:rFonts w:ascii="宋体" w:hAnsi="宋体" w:hint="eastAsia"/>
                    <w:szCs w:val="21"/>
                  </w:rPr>
                  <w:t>变动比例（%）</w:t>
                </w:r>
              </w:p>
            </w:tc>
          </w:sdtContent>
        </w:sdt>
      </w:tr>
      <w:tr w:rsidR="005E000F" w14:paraId="06A154EF" w14:textId="77777777">
        <w:tc>
          <w:tcPr>
            <w:tcW w:w="3089" w:type="dxa"/>
            <w:vAlign w:val="center"/>
          </w:tcPr>
          <w:p w14:paraId="3DEE2979" w14:textId="77777777" w:rsidR="005E000F" w:rsidRDefault="00000000">
            <w:pPr>
              <w:pStyle w:val="aff8"/>
              <w:ind w:firstLineChars="0" w:firstLine="0"/>
              <w:rPr>
                <w:rFonts w:ascii="宋体" w:hAnsi="宋体"/>
                <w:szCs w:val="21"/>
              </w:rPr>
            </w:pPr>
            <w:r>
              <w:rPr>
                <w:rFonts w:ascii="宋体" w:hAnsi="宋体" w:hint="eastAsia"/>
                <w:szCs w:val="21"/>
              </w:rPr>
              <w:t>营业收入</w:t>
            </w:r>
          </w:p>
        </w:tc>
        <w:tc>
          <w:tcPr>
            <w:tcW w:w="2128" w:type="dxa"/>
            <w:vAlign w:val="center"/>
          </w:tcPr>
          <w:p w14:paraId="74B9E2D1" w14:textId="77777777" w:rsidR="005E000F" w:rsidRDefault="00000000">
            <w:pPr>
              <w:pStyle w:val="aff8"/>
              <w:ind w:firstLineChars="0" w:firstLine="0"/>
              <w:jc w:val="right"/>
              <w:rPr>
                <w:rFonts w:ascii="宋体" w:hAnsi="宋体"/>
                <w:szCs w:val="21"/>
              </w:rPr>
            </w:pPr>
            <w:r>
              <w:rPr>
                <w:rFonts w:ascii="宋体" w:hAnsi="宋体"/>
              </w:rPr>
              <w:t>77,644,812,382</w:t>
            </w:r>
          </w:p>
        </w:tc>
        <w:tc>
          <w:tcPr>
            <w:tcW w:w="1987" w:type="dxa"/>
            <w:vAlign w:val="center"/>
          </w:tcPr>
          <w:p w14:paraId="1A3F604B" w14:textId="77777777" w:rsidR="005E000F" w:rsidRDefault="00000000">
            <w:pPr>
              <w:pStyle w:val="aff8"/>
              <w:ind w:firstLineChars="0" w:firstLine="0"/>
              <w:jc w:val="right"/>
              <w:rPr>
                <w:rFonts w:ascii="宋体" w:hAnsi="宋体"/>
                <w:szCs w:val="21"/>
              </w:rPr>
            </w:pPr>
            <w:r>
              <w:rPr>
                <w:rFonts w:ascii="宋体" w:hAnsi="宋体"/>
              </w:rPr>
              <w:t>74,627,273,516</w:t>
            </w:r>
          </w:p>
        </w:tc>
        <w:tc>
          <w:tcPr>
            <w:tcW w:w="1844" w:type="dxa"/>
            <w:vAlign w:val="center"/>
          </w:tcPr>
          <w:p w14:paraId="0C5DD42C" w14:textId="77777777" w:rsidR="005E000F" w:rsidRDefault="00000000">
            <w:pPr>
              <w:pStyle w:val="aff8"/>
              <w:ind w:firstLineChars="0" w:firstLine="0"/>
              <w:jc w:val="right"/>
              <w:rPr>
                <w:rFonts w:ascii="宋体" w:hAnsi="宋体"/>
                <w:szCs w:val="21"/>
              </w:rPr>
            </w:pPr>
            <w:r>
              <w:rPr>
                <w:rFonts w:ascii="宋体" w:hAnsi="宋体"/>
              </w:rPr>
              <w:t>4.04</w:t>
            </w:r>
          </w:p>
        </w:tc>
      </w:tr>
      <w:tr w:rsidR="005E000F" w14:paraId="70F71558" w14:textId="77777777">
        <w:tc>
          <w:tcPr>
            <w:tcW w:w="3089" w:type="dxa"/>
            <w:vAlign w:val="center"/>
          </w:tcPr>
          <w:p w14:paraId="76440A18" w14:textId="77777777" w:rsidR="005E000F" w:rsidRDefault="00000000">
            <w:pPr>
              <w:pStyle w:val="aff8"/>
              <w:ind w:firstLineChars="0" w:firstLine="0"/>
              <w:rPr>
                <w:rFonts w:ascii="宋体" w:hAnsi="宋体"/>
                <w:szCs w:val="21"/>
              </w:rPr>
            </w:pPr>
            <w:r>
              <w:rPr>
                <w:rFonts w:ascii="宋体" w:hAnsi="宋体"/>
                <w:szCs w:val="21"/>
              </w:rPr>
              <w:t>营业成本</w:t>
            </w:r>
          </w:p>
        </w:tc>
        <w:tc>
          <w:tcPr>
            <w:tcW w:w="2128" w:type="dxa"/>
            <w:vAlign w:val="center"/>
          </w:tcPr>
          <w:p w14:paraId="2B44408B" w14:textId="77777777" w:rsidR="005E000F" w:rsidRDefault="00000000">
            <w:pPr>
              <w:pStyle w:val="aff8"/>
              <w:ind w:firstLineChars="0" w:firstLine="0"/>
              <w:jc w:val="right"/>
              <w:rPr>
                <w:rFonts w:ascii="宋体" w:hAnsi="宋体"/>
                <w:szCs w:val="21"/>
              </w:rPr>
            </w:pPr>
            <w:r>
              <w:rPr>
                <w:rFonts w:ascii="宋体" w:hAnsi="宋体"/>
              </w:rPr>
              <w:t>70,951,357,550</w:t>
            </w:r>
          </w:p>
        </w:tc>
        <w:tc>
          <w:tcPr>
            <w:tcW w:w="1987" w:type="dxa"/>
            <w:vAlign w:val="center"/>
          </w:tcPr>
          <w:p w14:paraId="746CD7DB" w14:textId="77777777" w:rsidR="005E000F" w:rsidRDefault="00000000">
            <w:pPr>
              <w:pStyle w:val="aff8"/>
              <w:ind w:firstLineChars="0" w:firstLine="0"/>
              <w:jc w:val="right"/>
              <w:rPr>
                <w:rFonts w:ascii="宋体" w:hAnsi="宋体"/>
                <w:szCs w:val="21"/>
              </w:rPr>
            </w:pPr>
            <w:r>
              <w:rPr>
                <w:rFonts w:ascii="宋体" w:hAnsi="宋体"/>
              </w:rPr>
              <w:t>63,207,772,937</w:t>
            </w:r>
          </w:p>
        </w:tc>
        <w:tc>
          <w:tcPr>
            <w:tcW w:w="1844" w:type="dxa"/>
            <w:vAlign w:val="center"/>
          </w:tcPr>
          <w:p w14:paraId="0EA1D1B7" w14:textId="77777777" w:rsidR="005E000F" w:rsidRDefault="00000000">
            <w:pPr>
              <w:pStyle w:val="aff8"/>
              <w:ind w:firstLineChars="0" w:firstLine="0"/>
              <w:jc w:val="right"/>
              <w:rPr>
                <w:rFonts w:ascii="宋体" w:hAnsi="宋体"/>
                <w:szCs w:val="21"/>
              </w:rPr>
            </w:pPr>
            <w:r>
              <w:rPr>
                <w:rFonts w:ascii="宋体" w:hAnsi="宋体"/>
              </w:rPr>
              <w:t>12.25</w:t>
            </w:r>
          </w:p>
        </w:tc>
      </w:tr>
      <w:tr w:rsidR="005E000F" w14:paraId="1672C5C0" w14:textId="77777777">
        <w:tc>
          <w:tcPr>
            <w:tcW w:w="3089" w:type="dxa"/>
            <w:vAlign w:val="center"/>
          </w:tcPr>
          <w:p w14:paraId="51FAD631" w14:textId="77777777" w:rsidR="005E000F" w:rsidRDefault="00000000">
            <w:pPr>
              <w:pStyle w:val="aff8"/>
              <w:ind w:firstLineChars="0" w:firstLine="0"/>
              <w:rPr>
                <w:rFonts w:ascii="宋体" w:hAnsi="宋体"/>
                <w:szCs w:val="21"/>
              </w:rPr>
            </w:pPr>
            <w:r>
              <w:rPr>
                <w:rFonts w:ascii="宋体" w:hAnsi="宋体"/>
                <w:szCs w:val="21"/>
              </w:rPr>
              <w:t>销售费用</w:t>
            </w:r>
          </w:p>
        </w:tc>
        <w:tc>
          <w:tcPr>
            <w:tcW w:w="2128" w:type="dxa"/>
            <w:vAlign w:val="center"/>
          </w:tcPr>
          <w:p w14:paraId="1EF7EE25" w14:textId="77777777" w:rsidR="005E000F" w:rsidRDefault="00000000">
            <w:pPr>
              <w:pStyle w:val="aff8"/>
              <w:ind w:firstLineChars="0" w:firstLine="0"/>
              <w:jc w:val="right"/>
              <w:rPr>
                <w:rFonts w:ascii="宋体" w:hAnsi="宋体"/>
                <w:szCs w:val="21"/>
              </w:rPr>
            </w:pPr>
            <w:r>
              <w:rPr>
                <w:rFonts w:ascii="宋体" w:hAnsi="宋体"/>
              </w:rPr>
              <w:t>52,171,110</w:t>
            </w:r>
          </w:p>
        </w:tc>
        <w:tc>
          <w:tcPr>
            <w:tcW w:w="1987" w:type="dxa"/>
            <w:vAlign w:val="center"/>
          </w:tcPr>
          <w:p w14:paraId="2877BAD7" w14:textId="77777777" w:rsidR="005E000F" w:rsidRDefault="00000000">
            <w:pPr>
              <w:pStyle w:val="aff8"/>
              <w:ind w:firstLineChars="0" w:firstLine="0"/>
              <w:jc w:val="right"/>
              <w:rPr>
                <w:rFonts w:ascii="宋体" w:hAnsi="宋体"/>
                <w:szCs w:val="21"/>
              </w:rPr>
            </w:pPr>
            <w:r>
              <w:rPr>
                <w:rFonts w:ascii="宋体" w:hAnsi="宋体"/>
              </w:rPr>
              <w:t>128,495,322</w:t>
            </w:r>
          </w:p>
        </w:tc>
        <w:tc>
          <w:tcPr>
            <w:tcW w:w="1844" w:type="dxa"/>
            <w:vAlign w:val="center"/>
          </w:tcPr>
          <w:p w14:paraId="144782D4" w14:textId="77777777" w:rsidR="005E000F" w:rsidRDefault="00000000">
            <w:pPr>
              <w:pStyle w:val="aff8"/>
              <w:ind w:firstLineChars="0" w:firstLine="0"/>
              <w:jc w:val="right"/>
              <w:rPr>
                <w:rFonts w:ascii="宋体" w:hAnsi="宋体"/>
                <w:szCs w:val="21"/>
              </w:rPr>
            </w:pPr>
            <w:r>
              <w:rPr>
                <w:rFonts w:ascii="宋体" w:hAnsi="宋体"/>
              </w:rPr>
              <w:t>-59.40</w:t>
            </w:r>
          </w:p>
        </w:tc>
      </w:tr>
      <w:tr w:rsidR="005E000F" w14:paraId="5EEFC67A" w14:textId="77777777">
        <w:tc>
          <w:tcPr>
            <w:tcW w:w="3089" w:type="dxa"/>
            <w:vAlign w:val="center"/>
          </w:tcPr>
          <w:p w14:paraId="4C191C35" w14:textId="77777777" w:rsidR="005E000F" w:rsidRDefault="00000000">
            <w:pPr>
              <w:pStyle w:val="aff8"/>
              <w:ind w:firstLineChars="0" w:firstLine="0"/>
              <w:rPr>
                <w:rFonts w:ascii="宋体" w:hAnsi="宋体"/>
                <w:szCs w:val="21"/>
              </w:rPr>
            </w:pPr>
            <w:r>
              <w:rPr>
                <w:rFonts w:ascii="宋体" w:hAnsi="宋体"/>
                <w:szCs w:val="21"/>
              </w:rPr>
              <w:t>管理费用</w:t>
            </w:r>
          </w:p>
        </w:tc>
        <w:tc>
          <w:tcPr>
            <w:tcW w:w="2128" w:type="dxa"/>
            <w:vAlign w:val="center"/>
          </w:tcPr>
          <w:p w14:paraId="7A5C05B3" w14:textId="77777777" w:rsidR="005E000F" w:rsidRDefault="00000000">
            <w:pPr>
              <w:pStyle w:val="aff8"/>
              <w:ind w:firstLineChars="0" w:firstLine="0"/>
              <w:jc w:val="right"/>
              <w:rPr>
                <w:rFonts w:ascii="宋体" w:hAnsi="宋体"/>
                <w:szCs w:val="21"/>
              </w:rPr>
            </w:pPr>
            <w:r>
              <w:rPr>
                <w:rFonts w:ascii="宋体" w:hAnsi="宋体"/>
              </w:rPr>
              <w:t>918,712,161</w:t>
            </w:r>
          </w:p>
        </w:tc>
        <w:tc>
          <w:tcPr>
            <w:tcW w:w="1987" w:type="dxa"/>
            <w:vAlign w:val="center"/>
          </w:tcPr>
          <w:p w14:paraId="3753AC2C" w14:textId="77777777" w:rsidR="005E000F" w:rsidRDefault="00000000">
            <w:pPr>
              <w:pStyle w:val="aff8"/>
              <w:ind w:firstLineChars="0" w:firstLine="0"/>
              <w:jc w:val="right"/>
              <w:rPr>
                <w:rFonts w:ascii="宋体" w:hAnsi="宋体"/>
                <w:szCs w:val="21"/>
              </w:rPr>
            </w:pPr>
            <w:r>
              <w:rPr>
                <w:rFonts w:ascii="宋体" w:hAnsi="宋体"/>
              </w:rPr>
              <w:t>517,713,928</w:t>
            </w:r>
          </w:p>
        </w:tc>
        <w:tc>
          <w:tcPr>
            <w:tcW w:w="1844" w:type="dxa"/>
            <w:vAlign w:val="center"/>
          </w:tcPr>
          <w:p w14:paraId="2000EF79" w14:textId="77777777" w:rsidR="005E000F" w:rsidRDefault="00000000">
            <w:pPr>
              <w:pStyle w:val="aff8"/>
              <w:ind w:firstLineChars="0" w:firstLine="0"/>
              <w:jc w:val="right"/>
              <w:rPr>
                <w:rFonts w:ascii="宋体" w:hAnsi="宋体"/>
                <w:szCs w:val="21"/>
              </w:rPr>
            </w:pPr>
            <w:r>
              <w:rPr>
                <w:rFonts w:ascii="宋体" w:hAnsi="宋体"/>
              </w:rPr>
              <w:t>77.46</w:t>
            </w:r>
          </w:p>
        </w:tc>
      </w:tr>
      <w:tr w:rsidR="005E000F" w14:paraId="538D3540" w14:textId="77777777">
        <w:tc>
          <w:tcPr>
            <w:tcW w:w="3089" w:type="dxa"/>
            <w:vAlign w:val="center"/>
          </w:tcPr>
          <w:p w14:paraId="2F9E2823" w14:textId="77777777" w:rsidR="005E000F" w:rsidRDefault="00000000">
            <w:pPr>
              <w:pStyle w:val="aff8"/>
              <w:ind w:firstLineChars="0" w:firstLine="0"/>
              <w:rPr>
                <w:rFonts w:ascii="宋体" w:hAnsi="宋体"/>
                <w:szCs w:val="21"/>
              </w:rPr>
            </w:pPr>
            <w:r>
              <w:rPr>
                <w:rFonts w:ascii="宋体" w:hAnsi="宋体"/>
                <w:szCs w:val="21"/>
              </w:rPr>
              <w:t>财务费用</w:t>
            </w:r>
          </w:p>
        </w:tc>
        <w:tc>
          <w:tcPr>
            <w:tcW w:w="2128" w:type="dxa"/>
            <w:vAlign w:val="center"/>
          </w:tcPr>
          <w:p w14:paraId="61769D2E" w14:textId="77777777" w:rsidR="005E000F" w:rsidRDefault="00000000">
            <w:pPr>
              <w:pStyle w:val="aff8"/>
              <w:ind w:firstLineChars="0" w:firstLine="0"/>
              <w:jc w:val="right"/>
              <w:rPr>
                <w:rFonts w:ascii="宋体" w:hAnsi="宋体"/>
                <w:szCs w:val="21"/>
              </w:rPr>
            </w:pPr>
            <w:r>
              <w:rPr>
                <w:rFonts w:ascii="宋体" w:hAnsi="宋体"/>
              </w:rPr>
              <w:t>-296,022,107</w:t>
            </w:r>
          </w:p>
        </w:tc>
        <w:tc>
          <w:tcPr>
            <w:tcW w:w="1987" w:type="dxa"/>
            <w:vAlign w:val="center"/>
          </w:tcPr>
          <w:p w14:paraId="1E78DF14" w14:textId="77777777" w:rsidR="005E000F" w:rsidRDefault="00000000">
            <w:pPr>
              <w:pStyle w:val="aff8"/>
              <w:ind w:firstLineChars="0" w:firstLine="0"/>
              <w:jc w:val="right"/>
              <w:rPr>
                <w:rFonts w:ascii="宋体" w:hAnsi="宋体"/>
                <w:szCs w:val="21"/>
              </w:rPr>
            </w:pPr>
            <w:r>
              <w:rPr>
                <w:rFonts w:ascii="宋体" w:hAnsi="宋体"/>
              </w:rPr>
              <w:t>13,716,097</w:t>
            </w:r>
          </w:p>
        </w:tc>
        <w:tc>
          <w:tcPr>
            <w:tcW w:w="1844" w:type="dxa"/>
            <w:vAlign w:val="center"/>
          </w:tcPr>
          <w:p w14:paraId="1E12D54A" w14:textId="77777777" w:rsidR="005E000F" w:rsidRDefault="00000000">
            <w:pPr>
              <w:pStyle w:val="aff8"/>
              <w:ind w:firstLineChars="0" w:firstLine="0"/>
              <w:jc w:val="right"/>
              <w:rPr>
                <w:rFonts w:ascii="宋体" w:hAnsi="宋体"/>
                <w:szCs w:val="21"/>
              </w:rPr>
            </w:pPr>
            <w:r>
              <w:rPr>
                <w:rFonts w:ascii="宋体" w:hAnsi="宋体"/>
              </w:rPr>
              <w:t>-2,258.21</w:t>
            </w:r>
          </w:p>
        </w:tc>
      </w:tr>
      <w:tr w:rsidR="005E000F" w14:paraId="7A6D92B7" w14:textId="77777777">
        <w:tc>
          <w:tcPr>
            <w:tcW w:w="3089" w:type="dxa"/>
            <w:vAlign w:val="center"/>
          </w:tcPr>
          <w:p w14:paraId="6B40A905" w14:textId="77777777" w:rsidR="005E000F" w:rsidRDefault="00000000">
            <w:pPr>
              <w:pStyle w:val="aff8"/>
              <w:ind w:firstLineChars="0" w:firstLine="0"/>
              <w:rPr>
                <w:rFonts w:ascii="宋体" w:hAnsi="宋体"/>
                <w:szCs w:val="21"/>
              </w:rPr>
            </w:pPr>
            <w:r>
              <w:rPr>
                <w:rFonts w:ascii="宋体" w:hAnsi="宋体"/>
                <w:szCs w:val="21"/>
              </w:rPr>
              <w:t>经营活动产生的现金流量净额</w:t>
            </w:r>
          </w:p>
        </w:tc>
        <w:tc>
          <w:tcPr>
            <w:tcW w:w="2128" w:type="dxa"/>
            <w:vAlign w:val="center"/>
          </w:tcPr>
          <w:p w14:paraId="2AA11DAD" w14:textId="77777777" w:rsidR="005E000F" w:rsidRDefault="00000000">
            <w:pPr>
              <w:pStyle w:val="aff8"/>
              <w:ind w:firstLineChars="0" w:firstLine="0"/>
              <w:jc w:val="right"/>
              <w:rPr>
                <w:rFonts w:ascii="宋体" w:hAnsi="宋体"/>
                <w:szCs w:val="21"/>
              </w:rPr>
            </w:pPr>
            <w:r>
              <w:rPr>
                <w:rFonts w:ascii="宋体" w:hAnsi="宋体"/>
              </w:rPr>
              <w:t>4,986,743,179</w:t>
            </w:r>
          </w:p>
        </w:tc>
        <w:tc>
          <w:tcPr>
            <w:tcW w:w="1987" w:type="dxa"/>
            <w:vAlign w:val="center"/>
          </w:tcPr>
          <w:p w14:paraId="01FC4F3E" w14:textId="77777777" w:rsidR="005E000F" w:rsidRDefault="00000000">
            <w:pPr>
              <w:pStyle w:val="aff8"/>
              <w:ind w:firstLineChars="0" w:firstLine="0"/>
              <w:jc w:val="right"/>
              <w:rPr>
                <w:rFonts w:ascii="宋体" w:hAnsi="宋体"/>
                <w:szCs w:val="21"/>
              </w:rPr>
            </w:pPr>
            <w:r>
              <w:rPr>
                <w:rFonts w:ascii="宋体" w:hAnsi="宋体"/>
              </w:rPr>
              <w:t>9,316,632,097</w:t>
            </w:r>
          </w:p>
        </w:tc>
        <w:tc>
          <w:tcPr>
            <w:tcW w:w="1844" w:type="dxa"/>
            <w:vAlign w:val="center"/>
          </w:tcPr>
          <w:p w14:paraId="4778A563" w14:textId="77777777" w:rsidR="005E000F" w:rsidRDefault="00000000">
            <w:pPr>
              <w:pStyle w:val="aff8"/>
              <w:ind w:firstLineChars="0" w:firstLine="0"/>
              <w:jc w:val="right"/>
              <w:rPr>
                <w:rFonts w:ascii="宋体" w:hAnsi="宋体"/>
                <w:szCs w:val="21"/>
              </w:rPr>
            </w:pPr>
            <w:r>
              <w:rPr>
                <w:rFonts w:ascii="宋体" w:hAnsi="宋体"/>
              </w:rPr>
              <w:t>-46.47</w:t>
            </w:r>
          </w:p>
        </w:tc>
      </w:tr>
      <w:tr w:rsidR="005E000F" w14:paraId="1C0A8FCB" w14:textId="77777777">
        <w:tc>
          <w:tcPr>
            <w:tcW w:w="3089" w:type="dxa"/>
            <w:vAlign w:val="center"/>
          </w:tcPr>
          <w:p w14:paraId="58A27FD3" w14:textId="77777777" w:rsidR="005E000F" w:rsidRDefault="00000000">
            <w:pPr>
              <w:pStyle w:val="aff8"/>
              <w:ind w:firstLineChars="0" w:firstLine="0"/>
              <w:rPr>
                <w:rFonts w:ascii="宋体" w:hAnsi="宋体"/>
                <w:szCs w:val="21"/>
              </w:rPr>
            </w:pPr>
            <w:r>
              <w:rPr>
                <w:rFonts w:ascii="宋体" w:hAnsi="宋体"/>
                <w:szCs w:val="21"/>
              </w:rPr>
              <w:t>投资活动产生的现金流量净额</w:t>
            </w:r>
          </w:p>
        </w:tc>
        <w:tc>
          <w:tcPr>
            <w:tcW w:w="2128" w:type="dxa"/>
            <w:vAlign w:val="center"/>
          </w:tcPr>
          <w:p w14:paraId="6D0E998A" w14:textId="77777777" w:rsidR="005E000F" w:rsidRDefault="00000000">
            <w:pPr>
              <w:pStyle w:val="aff8"/>
              <w:ind w:firstLineChars="0" w:firstLine="0"/>
              <w:jc w:val="right"/>
              <w:rPr>
                <w:rFonts w:ascii="宋体" w:hAnsi="宋体"/>
                <w:szCs w:val="21"/>
              </w:rPr>
            </w:pPr>
            <w:r>
              <w:rPr>
                <w:rFonts w:ascii="宋体" w:hAnsi="宋体"/>
              </w:rPr>
              <w:t>-25,033,827,069</w:t>
            </w:r>
          </w:p>
        </w:tc>
        <w:tc>
          <w:tcPr>
            <w:tcW w:w="1987" w:type="dxa"/>
            <w:vAlign w:val="center"/>
          </w:tcPr>
          <w:p w14:paraId="642545CE" w14:textId="77777777" w:rsidR="005E000F" w:rsidRDefault="00000000">
            <w:pPr>
              <w:pStyle w:val="aff8"/>
              <w:ind w:firstLineChars="0" w:firstLine="0"/>
              <w:jc w:val="right"/>
              <w:rPr>
                <w:rFonts w:ascii="宋体" w:hAnsi="宋体"/>
                <w:szCs w:val="21"/>
              </w:rPr>
            </w:pPr>
            <w:r>
              <w:rPr>
                <w:rFonts w:ascii="宋体" w:hAnsi="宋体"/>
              </w:rPr>
              <w:t>-4,775,149,894</w:t>
            </w:r>
          </w:p>
        </w:tc>
        <w:tc>
          <w:tcPr>
            <w:tcW w:w="1844" w:type="dxa"/>
            <w:vAlign w:val="center"/>
          </w:tcPr>
          <w:p w14:paraId="04F3E7A6" w14:textId="77777777" w:rsidR="005E000F" w:rsidRDefault="00000000">
            <w:pPr>
              <w:pStyle w:val="aff8"/>
              <w:ind w:firstLineChars="0" w:firstLine="0"/>
              <w:jc w:val="right"/>
              <w:rPr>
                <w:rFonts w:ascii="宋体" w:hAnsi="宋体"/>
                <w:szCs w:val="21"/>
              </w:rPr>
            </w:pPr>
            <w:r>
              <w:rPr>
                <w:rFonts w:ascii="宋体" w:hAnsi="宋体"/>
              </w:rPr>
              <w:t>424.25</w:t>
            </w:r>
          </w:p>
        </w:tc>
      </w:tr>
      <w:tr w:rsidR="005E000F" w14:paraId="2ECB87ED" w14:textId="77777777">
        <w:tc>
          <w:tcPr>
            <w:tcW w:w="3089" w:type="dxa"/>
            <w:vAlign w:val="center"/>
          </w:tcPr>
          <w:p w14:paraId="5C3B12F8" w14:textId="77777777" w:rsidR="005E000F" w:rsidRDefault="00000000">
            <w:pPr>
              <w:pStyle w:val="aff8"/>
              <w:ind w:firstLineChars="0" w:firstLine="0"/>
              <w:rPr>
                <w:rFonts w:ascii="宋体" w:hAnsi="宋体"/>
                <w:szCs w:val="21"/>
              </w:rPr>
            </w:pPr>
            <w:r>
              <w:rPr>
                <w:rFonts w:ascii="宋体" w:hAnsi="宋体"/>
                <w:szCs w:val="21"/>
              </w:rPr>
              <w:t>筹资活动产生的现金流量净额</w:t>
            </w:r>
          </w:p>
        </w:tc>
        <w:tc>
          <w:tcPr>
            <w:tcW w:w="2128" w:type="dxa"/>
            <w:vAlign w:val="center"/>
          </w:tcPr>
          <w:p w14:paraId="6153A515" w14:textId="77777777" w:rsidR="005E000F" w:rsidRDefault="00000000">
            <w:pPr>
              <w:pStyle w:val="aff8"/>
              <w:ind w:firstLineChars="0" w:firstLine="0"/>
              <w:jc w:val="right"/>
              <w:rPr>
                <w:rFonts w:ascii="宋体" w:hAnsi="宋体"/>
                <w:szCs w:val="21"/>
              </w:rPr>
            </w:pPr>
            <w:r>
              <w:rPr>
                <w:rFonts w:ascii="宋体" w:hAnsi="宋体"/>
              </w:rPr>
              <w:t>-5,460,743,402</w:t>
            </w:r>
          </w:p>
        </w:tc>
        <w:tc>
          <w:tcPr>
            <w:tcW w:w="1987" w:type="dxa"/>
            <w:vAlign w:val="center"/>
          </w:tcPr>
          <w:p w14:paraId="60F11388" w14:textId="77777777" w:rsidR="005E000F" w:rsidRDefault="00000000">
            <w:pPr>
              <w:pStyle w:val="aff8"/>
              <w:ind w:firstLineChars="0" w:firstLine="0"/>
              <w:jc w:val="right"/>
              <w:rPr>
                <w:rFonts w:ascii="宋体" w:hAnsi="宋体"/>
                <w:szCs w:val="21"/>
              </w:rPr>
            </w:pPr>
            <w:r>
              <w:rPr>
                <w:rFonts w:ascii="宋体" w:hAnsi="宋体"/>
              </w:rPr>
              <w:t>-10,515,249,706</w:t>
            </w:r>
          </w:p>
        </w:tc>
        <w:tc>
          <w:tcPr>
            <w:tcW w:w="1844" w:type="dxa"/>
            <w:vAlign w:val="center"/>
          </w:tcPr>
          <w:p w14:paraId="1B8740BE" w14:textId="77777777" w:rsidR="005E000F" w:rsidRDefault="00000000">
            <w:pPr>
              <w:pStyle w:val="aff8"/>
              <w:ind w:firstLineChars="0" w:firstLine="0"/>
              <w:jc w:val="right"/>
              <w:rPr>
                <w:rFonts w:ascii="宋体" w:hAnsi="宋体"/>
                <w:szCs w:val="21"/>
              </w:rPr>
            </w:pPr>
            <w:r>
              <w:rPr>
                <w:rFonts w:ascii="宋体" w:hAnsi="宋体"/>
              </w:rPr>
              <w:t>-48.07</w:t>
            </w:r>
          </w:p>
        </w:tc>
      </w:tr>
      <w:bookmarkEnd w:id="56"/>
    </w:tbl>
    <w:p w14:paraId="512A4CD6" w14:textId="77777777" w:rsidR="005E000F" w:rsidRDefault="005E000F">
      <w:pPr>
        <w:pStyle w:val="aff8"/>
        <w:spacing w:line="360" w:lineRule="auto"/>
        <w:ind w:firstLineChars="0" w:firstLine="0"/>
        <w:jc w:val="left"/>
        <w:rPr>
          <w:rFonts w:ascii="宋体" w:hAnsi="宋体"/>
        </w:rPr>
      </w:pPr>
    </w:p>
    <w:p w14:paraId="5ED2A15B" w14:textId="77777777" w:rsidR="005E000F" w:rsidRDefault="00000000">
      <w:pPr>
        <w:pStyle w:val="aff8"/>
        <w:spacing w:line="360" w:lineRule="auto"/>
        <w:ind w:firstLineChars="0" w:firstLine="0"/>
        <w:jc w:val="left"/>
        <w:rPr>
          <w:rFonts w:ascii="宋体" w:hAnsi="宋体"/>
        </w:rPr>
      </w:pPr>
      <w:r>
        <w:rPr>
          <w:rFonts w:ascii="宋体" w:hAnsi="宋体" w:hint="eastAsia"/>
        </w:rPr>
        <w:lastRenderedPageBreak/>
        <w:t>营业收入变动原因说明：</w:t>
      </w:r>
      <w:sdt>
        <w:sdtPr>
          <w:rPr>
            <w:rFonts w:ascii="宋体" w:hAnsi="宋体"/>
            <w:szCs w:val="21"/>
          </w:rPr>
          <w:alias w:val="营业收入变动原因说明"/>
          <w:tag w:val="_GBC_02f544181db247728469e929886776a1"/>
          <w:id w:val="-119456727"/>
          <w:placeholder>
            <w:docPart w:val="GBC22222222222222222222222222222"/>
          </w:placeholder>
        </w:sdtPr>
        <w:sdtContent>
          <w:r>
            <w:rPr>
              <w:rFonts w:hint="eastAsia"/>
              <w:szCs w:val="24"/>
            </w:rPr>
            <w:t>本年旅客发送量增加、</w:t>
          </w:r>
          <w:proofErr w:type="gramStart"/>
          <w:r>
            <w:rPr>
              <w:rFonts w:hint="eastAsia"/>
              <w:szCs w:val="24"/>
            </w:rPr>
            <w:t>物流总</w:t>
          </w:r>
          <w:proofErr w:type="gramEnd"/>
          <w:r>
            <w:rPr>
              <w:rFonts w:hint="eastAsia"/>
              <w:szCs w:val="24"/>
            </w:rPr>
            <w:t>包业务增长、路网提供服务工作量增加等。</w:t>
          </w:r>
        </w:sdtContent>
      </w:sdt>
    </w:p>
    <w:p w14:paraId="51850450" w14:textId="77777777" w:rsidR="005E000F" w:rsidRDefault="00000000">
      <w:pPr>
        <w:pStyle w:val="aff8"/>
        <w:spacing w:line="360" w:lineRule="auto"/>
        <w:ind w:firstLineChars="0" w:firstLine="0"/>
        <w:jc w:val="left"/>
        <w:rPr>
          <w:rFonts w:ascii="宋体" w:hAnsi="宋体"/>
        </w:rPr>
      </w:pPr>
      <w:r>
        <w:rPr>
          <w:rFonts w:ascii="宋体" w:hAnsi="宋体" w:hint="eastAsia"/>
        </w:rPr>
        <w:t>营业成本变动原因说明：</w:t>
      </w:r>
      <w:sdt>
        <w:sdtPr>
          <w:rPr>
            <w:rFonts w:ascii="宋体" w:hAnsi="宋体" w:hint="eastAsia"/>
          </w:rPr>
          <w:alias w:val="营业成本变动原因说明"/>
          <w:tag w:val="_GBC_cc56ae4655044c7092acfc9c59da077d"/>
          <w:id w:val="949750598"/>
          <w:placeholder>
            <w:docPart w:val="GBC22222222222222222222222222222"/>
          </w:placeholder>
        </w:sdtPr>
        <w:sdtContent>
          <w:r>
            <w:rPr>
              <w:rFonts w:hint="eastAsia"/>
              <w:szCs w:val="24"/>
            </w:rPr>
            <w:t>运输结构变化，直通联合运输量增加，付费支出增加；</w:t>
          </w:r>
          <w:proofErr w:type="gramStart"/>
          <w:r>
            <w:rPr>
              <w:rFonts w:hint="eastAsia"/>
              <w:szCs w:val="24"/>
            </w:rPr>
            <w:t>物流总</w:t>
          </w:r>
          <w:proofErr w:type="gramEnd"/>
          <w:r>
            <w:rPr>
              <w:rFonts w:hint="eastAsia"/>
              <w:szCs w:val="24"/>
            </w:rPr>
            <w:t>包业务开展导致两端物流辅助费用增加；人工成本增加等。</w:t>
          </w:r>
        </w:sdtContent>
      </w:sdt>
    </w:p>
    <w:p w14:paraId="77034C3F" w14:textId="77777777" w:rsidR="005E000F" w:rsidRDefault="00000000">
      <w:pPr>
        <w:pStyle w:val="aff8"/>
        <w:spacing w:line="360" w:lineRule="auto"/>
        <w:ind w:firstLineChars="0" w:firstLine="0"/>
        <w:jc w:val="left"/>
        <w:rPr>
          <w:rFonts w:ascii="宋体" w:hAnsi="宋体"/>
        </w:rPr>
      </w:pPr>
      <w:r>
        <w:rPr>
          <w:rFonts w:ascii="宋体" w:hAnsi="宋体" w:hint="eastAsia"/>
        </w:rPr>
        <w:t>销售费用变动原因说明：</w:t>
      </w:r>
      <w:sdt>
        <w:sdtPr>
          <w:rPr>
            <w:rFonts w:ascii="宋体" w:hAnsi="宋体" w:hint="eastAsia"/>
          </w:rPr>
          <w:alias w:val="销售费用变动原因说明"/>
          <w:tag w:val="_GBC_c5a5f680c2ee494fb0392b5c43f82ada"/>
          <w:id w:val="-1022559524"/>
          <w:placeholder>
            <w:docPart w:val="GBC22222222222222222222222222222"/>
          </w:placeholder>
        </w:sdtPr>
        <w:sdtContent>
          <w:r>
            <w:rPr>
              <w:rFonts w:hint="eastAsia"/>
              <w:szCs w:val="24"/>
            </w:rPr>
            <w:t>公司货运物流改革，相关人员薪酬结构性调整至营业成本。</w:t>
          </w:r>
        </w:sdtContent>
      </w:sdt>
    </w:p>
    <w:p w14:paraId="54910F43" w14:textId="77777777" w:rsidR="005E000F" w:rsidRDefault="00000000">
      <w:pPr>
        <w:pStyle w:val="aff8"/>
        <w:spacing w:line="360" w:lineRule="auto"/>
        <w:ind w:firstLineChars="0" w:firstLine="0"/>
        <w:jc w:val="left"/>
        <w:rPr>
          <w:rFonts w:ascii="宋体" w:hAnsi="宋体"/>
        </w:rPr>
      </w:pPr>
      <w:r>
        <w:rPr>
          <w:rFonts w:ascii="宋体" w:hAnsi="宋体" w:hint="eastAsia"/>
        </w:rPr>
        <w:t>管理费用变动原因说明：</w:t>
      </w:r>
      <w:sdt>
        <w:sdtPr>
          <w:rPr>
            <w:rFonts w:ascii="宋体" w:hAnsi="宋体" w:hint="eastAsia"/>
          </w:rPr>
          <w:alias w:val="管理费用变动原因说明"/>
          <w:tag w:val="_GBC_706b1fc7f80c45629d6554f783797e4f"/>
          <w:id w:val="1103997078"/>
          <w:placeholder>
            <w:docPart w:val="GBC22222222222222222222222222222"/>
          </w:placeholder>
        </w:sdtPr>
        <w:sdtContent>
          <w:r>
            <w:rPr>
              <w:rFonts w:hint="eastAsia"/>
              <w:szCs w:val="24"/>
            </w:rPr>
            <w:t>计提党组织经费以及土地摊</w:t>
          </w:r>
          <w:proofErr w:type="gramStart"/>
          <w:r>
            <w:rPr>
              <w:rFonts w:hint="eastAsia"/>
              <w:szCs w:val="24"/>
            </w:rPr>
            <w:t>销费用</w:t>
          </w:r>
          <w:proofErr w:type="gramEnd"/>
          <w:r>
            <w:rPr>
              <w:rFonts w:hint="eastAsia"/>
              <w:szCs w:val="24"/>
            </w:rPr>
            <w:t>增加。其中：党组织经费根据《关于国有企业党组织工作经费的通知》（组通字〔</w:t>
          </w:r>
          <w:r>
            <w:rPr>
              <w:rFonts w:hint="eastAsia"/>
              <w:szCs w:val="24"/>
            </w:rPr>
            <w:t>2017</w:t>
          </w:r>
          <w:r>
            <w:rPr>
              <w:rFonts w:hint="eastAsia"/>
              <w:szCs w:val="24"/>
            </w:rPr>
            <w:t>〕</w:t>
          </w:r>
          <w:r>
            <w:rPr>
              <w:rFonts w:hint="eastAsia"/>
              <w:szCs w:val="24"/>
            </w:rPr>
            <w:t>38</w:t>
          </w:r>
          <w:r>
            <w:rPr>
              <w:rFonts w:hint="eastAsia"/>
              <w:szCs w:val="24"/>
            </w:rPr>
            <w:t>号）文件规定，党组织</w:t>
          </w:r>
          <w:r>
            <w:rPr>
              <w:rFonts w:hint="eastAsia"/>
            </w:rPr>
            <w:t>工作经费累计结转超过上一年度职工工资总额的</w:t>
          </w:r>
          <w:r>
            <w:rPr>
              <w:rFonts w:hint="eastAsia"/>
            </w:rPr>
            <w:t>2</w:t>
          </w:r>
          <w:r>
            <w:t>%</w:t>
          </w:r>
          <w:r>
            <w:rPr>
              <w:rFonts w:hint="eastAsia"/>
            </w:rPr>
            <w:t>，当年不再从管理费用中安排，</w:t>
          </w:r>
          <w:r>
            <w:rPr>
              <w:rFonts w:hint="eastAsia"/>
            </w:rPr>
            <w:t>2</w:t>
          </w:r>
          <w:r>
            <w:t>024</w:t>
          </w:r>
          <w:r>
            <w:rPr>
              <w:rFonts w:hint="eastAsia"/>
            </w:rPr>
            <w:t>年无需计提，</w:t>
          </w:r>
          <w:r>
            <w:rPr>
              <w:rFonts w:hint="eastAsia"/>
            </w:rPr>
            <w:t>2</w:t>
          </w:r>
          <w:r>
            <w:t>025</w:t>
          </w:r>
          <w:r>
            <w:rPr>
              <w:rFonts w:hint="eastAsia"/>
            </w:rPr>
            <w:t>年度按照上年度职工工资</w:t>
          </w:r>
          <w:r>
            <w:rPr>
              <w:rFonts w:hint="eastAsia"/>
            </w:rPr>
            <w:t>1</w:t>
          </w:r>
          <w:r>
            <w:t>%</w:t>
          </w:r>
          <w:r>
            <w:rPr>
              <w:rFonts w:hint="eastAsia"/>
            </w:rPr>
            <w:t>的比例计提。土地摊</w:t>
          </w:r>
          <w:proofErr w:type="gramStart"/>
          <w:r>
            <w:rPr>
              <w:rFonts w:hint="eastAsia"/>
            </w:rPr>
            <w:t>销费用</w:t>
          </w:r>
          <w:proofErr w:type="gramEnd"/>
          <w:r>
            <w:rPr>
              <w:rFonts w:hint="eastAsia"/>
            </w:rPr>
            <w:t>增加为购买土地所致。</w:t>
          </w:r>
          <w:r>
            <w:t xml:space="preserve"> </w:t>
          </w:r>
        </w:sdtContent>
      </w:sdt>
    </w:p>
    <w:p w14:paraId="5C035947" w14:textId="77777777" w:rsidR="005E000F" w:rsidRDefault="00000000">
      <w:pPr>
        <w:pStyle w:val="aff8"/>
        <w:spacing w:line="360" w:lineRule="auto"/>
        <w:ind w:firstLineChars="0" w:firstLine="0"/>
        <w:jc w:val="left"/>
        <w:rPr>
          <w:rFonts w:ascii="宋体" w:hAnsi="宋体"/>
        </w:rPr>
      </w:pPr>
      <w:r>
        <w:rPr>
          <w:rFonts w:ascii="宋体" w:hAnsi="宋体" w:hint="eastAsia"/>
        </w:rPr>
        <w:t>财务费用变动原因说明：</w:t>
      </w:r>
      <w:sdt>
        <w:sdtPr>
          <w:rPr>
            <w:rFonts w:ascii="宋体" w:hAnsi="宋体" w:hint="eastAsia"/>
          </w:rPr>
          <w:alias w:val="财务费用变动原因说明"/>
          <w:tag w:val="_GBC_ae0e447440184dbb94565c35b97d07a6"/>
          <w:id w:val="-627930242"/>
          <w:placeholder>
            <w:docPart w:val="GBC22222222222222222222222222222"/>
          </w:placeholder>
        </w:sdtPr>
        <w:sdtContent>
          <w:r>
            <w:rPr>
              <w:rFonts w:ascii="Times New Roman" w:hAnsi="Times New Roman" w:hint="eastAsia"/>
            </w:rPr>
            <w:t>可转换债券转</w:t>
          </w:r>
          <w:proofErr w:type="gramStart"/>
          <w:r>
            <w:rPr>
              <w:rFonts w:ascii="Times New Roman" w:hAnsi="Times New Roman" w:hint="eastAsia"/>
            </w:rPr>
            <w:t>股导致</w:t>
          </w:r>
          <w:proofErr w:type="gramEnd"/>
          <w:r>
            <w:rPr>
              <w:rFonts w:ascii="Times New Roman" w:hAnsi="Times New Roman" w:hint="eastAsia"/>
            </w:rPr>
            <w:t>本年利息费用减少。</w:t>
          </w:r>
        </w:sdtContent>
      </w:sdt>
    </w:p>
    <w:p w14:paraId="0784CDC4" w14:textId="77777777" w:rsidR="005E000F" w:rsidRDefault="00000000">
      <w:pPr>
        <w:pStyle w:val="aff8"/>
        <w:spacing w:line="360" w:lineRule="auto"/>
        <w:ind w:firstLineChars="0" w:firstLine="0"/>
        <w:jc w:val="left"/>
        <w:rPr>
          <w:rFonts w:ascii="宋体" w:hAnsi="宋体"/>
        </w:rPr>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5968661d4f024738ae5c039168b68a45"/>
          <w:id w:val="228964533"/>
          <w:placeholder>
            <w:docPart w:val="GBC22222222222222222222222222222"/>
          </w:placeholder>
        </w:sdtPr>
        <w:sdtContent>
          <w:r>
            <w:rPr>
              <w:rFonts w:ascii="Times New Roman" w:hAnsi="Times New Roman" w:hint="eastAsia"/>
            </w:rPr>
            <w:t>本年</w:t>
          </w:r>
          <w:r>
            <w:rPr>
              <w:rFonts w:hint="eastAsia"/>
            </w:rPr>
            <w:t>货运服务费及两端物流辅助费用现金支出增加</w:t>
          </w:r>
          <w:r>
            <w:rPr>
              <w:rFonts w:ascii="Times New Roman" w:hAnsi="Times New Roman" w:hint="eastAsia"/>
            </w:rPr>
            <w:t>。</w:t>
          </w:r>
          <w:r>
            <w:rPr>
              <w:rFonts w:ascii="Times New Roman" w:hAnsi="Times New Roman"/>
            </w:rPr>
            <w:t xml:space="preserve"> </w:t>
          </w:r>
        </w:sdtContent>
      </w:sdt>
    </w:p>
    <w:p w14:paraId="0CD68AEF" w14:textId="77777777" w:rsidR="005E000F" w:rsidRDefault="00000000">
      <w:pPr>
        <w:pStyle w:val="aff8"/>
        <w:spacing w:line="360" w:lineRule="auto"/>
        <w:ind w:firstLineChars="0" w:firstLine="0"/>
        <w:jc w:val="left"/>
        <w:rPr>
          <w:rFonts w:ascii="宋体" w:hAnsi="宋体"/>
        </w:rPr>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08880b3f89054510a8ebc03403516e54"/>
          <w:id w:val="1454600991"/>
          <w:placeholder>
            <w:docPart w:val="GBC22222222222222222222222222222"/>
          </w:placeholder>
        </w:sdtPr>
        <w:sdtContent>
          <w:r>
            <w:rPr>
              <w:rFonts w:ascii="Times New Roman" w:hAnsi="Times New Roman" w:hint="eastAsia"/>
            </w:rPr>
            <w:t>本年购买土地使用权支付价款。</w:t>
          </w:r>
        </w:sdtContent>
      </w:sdt>
    </w:p>
    <w:p w14:paraId="1D9CA52E" w14:textId="77777777" w:rsidR="005E000F" w:rsidRDefault="00000000">
      <w:pPr>
        <w:pStyle w:val="aff8"/>
        <w:spacing w:line="360" w:lineRule="auto"/>
        <w:ind w:firstLineChars="0" w:firstLine="0"/>
        <w:jc w:val="left"/>
        <w:rPr>
          <w:rFonts w:ascii="宋体" w:hAnsi="宋体"/>
        </w:rPr>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69e60bcce703432885fa32dfc7a0a266"/>
          <w:id w:val="-1255976575"/>
          <w:placeholder>
            <w:docPart w:val="GBC22222222222222222222222222222"/>
          </w:placeholder>
        </w:sdtPr>
        <w:sdtContent>
          <w:r>
            <w:rPr>
              <w:rFonts w:ascii="Times New Roman" w:hAnsi="Times New Roman" w:hint="eastAsia"/>
            </w:rPr>
            <w:t>本年支付股利较上年减少（</w:t>
          </w:r>
          <w:r>
            <w:rPr>
              <w:rFonts w:ascii="Times New Roman" w:hAnsi="Times New Roman" w:hint="eastAsia"/>
            </w:rPr>
            <w:t>2024</w:t>
          </w:r>
          <w:r>
            <w:rPr>
              <w:rFonts w:ascii="Times New Roman" w:hAnsi="Times New Roman" w:hint="eastAsia"/>
            </w:rPr>
            <w:t>年首次实施中期分红，</w:t>
          </w:r>
          <w:r>
            <w:rPr>
              <w:rFonts w:ascii="Times New Roman" w:hAnsi="Times New Roman" w:hint="eastAsia"/>
            </w:rPr>
            <w:t>2024</w:t>
          </w:r>
          <w:r>
            <w:rPr>
              <w:rFonts w:ascii="Times New Roman" w:hAnsi="Times New Roman" w:hint="eastAsia"/>
            </w:rPr>
            <w:t>年实际分红金额包括</w:t>
          </w:r>
          <w:r>
            <w:rPr>
              <w:rFonts w:ascii="Times New Roman" w:hAnsi="Times New Roman" w:hint="eastAsia"/>
            </w:rPr>
            <w:t>2023</w:t>
          </w:r>
          <w:r>
            <w:rPr>
              <w:rFonts w:ascii="Times New Roman" w:hAnsi="Times New Roman" w:hint="eastAsia"/>
            </w:rPr>
            <w:t>年全年分红和</w:t>
          </w:r>
          <w:r>
            <w:rPr>
              <w:rFonts w:ascii="Times New Roman" w:hAnsi="Times New Roman" w:hint="eastAsia"/>
            </w:rPr>
            <w:t>2024</w:t>
          </w:r>
          <w:r>
            <w:rPr>
              <w:rFonts w:ascii="Times New Roman" w:hAnsi="Times New Roman" w:hint="eastAsia"/>
            </w:rPr>
            <w:t>年中期分红）。</w:t>
          </w:r>
          <w:r>
            <w:rPr>
              <w:rFonts w:ascii="Times New Roman" w:hAnsi="Times New Roman"/>
            </w:rPr>
            <w:t xml:space="preserve"> </w:t>
          </w:r>
        </w:sdtContent>
      </w:sdt>
      <w:bookmarkEnd w:id="54"/>
      <w:bookmarkEnd w:id="55"/>
    </w:p>
    <w:p w14:paraId="1D798B96" w14:textId="77777777" w:rsidR="005E000F" w:rsidRDefault="00000000">
      <w:bookmarkStart w:id="57" w:name="_Hlk89098827"/>
      <w:r>
        <w:rPr>
          <w:rFonts w:hint="eastAsia"/>
        </w:rPr>
        <w:t>本期</w:t>
      </w:r>
      <w:r>
        <w:t>公司</w:t>
      </w:r>
      <w:r>
        <w:rPr>
          <w:rFonts w:hint="eastAsia"/>
        </w:rPr>
        <w:t>业务类型、</w:t>
      </w:r>
      <w:r>
        <w:t>利润构成或利润来源发生重大变动的详细说明</w:t>
      </w:r>
    </w:p>
    <w:sdt>
      <w:sdtPr>
        <w:alias w:val="是否适用：公司利润构成或利润来源发生重大变动的详细说明[双击切换]"/>
        <w:tag w:val="_GBC_f76226f4a75345f0b64ffa67d16a3159"/>
        <w:id w:val="126060571"/>
        <w:placeholder>
          <w:docPart w:val="GBC22222222222222222222222222222"/>
        </w:placeholder>
      </w:sdtPr>
      <w:sdtContent>
        <w:p w14:paraId="5AECC3F8"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57"/>
    <w:p w14:paraId="4826F010" w14:textId="77777777" w:rsidR="005E000F" w:rsidRDefault="00000000">
      <w:pPr>
        <w:pStyle w:val="4"/>
        <w:numPr>
          <w:ilvl w:val="0"/>
          <w:numId w:val="11"/>
        </w:numPr>
      </w:pPr>
      <w:r>
        <w:rPr>
          <w:rFonts w:hint="eastAsia"/>
        </w:rPr>
        <w:t>收入和成本分析</w:t>
      </w:r>
    </w:p>
    <w:sdt>
      <w:sdtPr>
        <w:alias w:val="是否适用：收入和成本分析[双击切换]"/>
        <w:tag w:val="_GBC_c1a771ff956341da84dd26322335800f"/>
        <w:id w:val="-531110090"/>
        <w:placeholder>
          <w:docPart w:val="GBC22222222222222222222222222222"/>
        </w:placeholder>
      </w:sdtPr>
      <w:sdtContent>
        <w:p w14:paraId="18D4700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收入和成本分析情况说明"/>
        <w:tag w:val="_GBC_131edb1aaeab4cb388abf65651cf901e"/>
        <w:id w:val="2044168122"/>
        <w:placeholder>
          <w:docPart w:val="GBC22222222222222222222222222222"/>
        </w:placeholder>
      </w:sdtPr>
      <w:sdtContent>
        <w:p w14:paraId="28DA8AB2" w14:textId="77777777" w:rsidR="005E000F" w:rsidRDefault="00000000">
          <w:pPr>
            <w:tabs>
              <w:tab w:val="left" w:pos="851"/>
            </w:tabs>
          </w:pPr>
          <w:r>
            <w:rPr>
              <w:rFonts w:hint="eastAsia"/>
            </w:rPr>
            <w:t>报告期内，公司营业收入完成</w:t>
          </w:r>
          <w:r>
            <w:rPr>
              <w:rFonts w:hint="eastAsia"/>
            </w:rPr>
            <w:t>77,644,812,382</w:t>
          </w:r>
          <w:r>
            <w:rPr>
              <w:rFonts w:hint="eastAsia"/>
            </w:rPr>
            <w:t>元，同比增长</w:t>
          </w:r>
          <w:r>
            <w:rPr>
              <w:rFonts w:hint="eastAsia"/>
            </w:rPr>
            <w:t>4.04%</w:t>
          </w:r>
          <w:r>
            <w:rPr>
              <w:rFonts w:hint="eastAsia"/>
            </w:rPr>
            <w:t>。营业成本支出</w:t>
          </w:r>
          <w:r>
            <w:rPr>
              <w:rFonts w:hint="eastAsia"/>
            </w:rPr>
            <w:t>70,951,357,550</w:t>
          </w:r>
          <w:r>
            <w:rPr>
              <w:rFonts w:hint="eastAsia"/>
            </w:rPr>
            <w:t>元，同比增长</w:t>
          </w:r>
          <w:r>
            <w:rPr>
              <w:rFonts w:hint="eastAsia"/>
            </w:rPr>
            <w:t>12.25%</w:t>
          </w:r>
          <w:r>
            <w:rPr>
              <w:rFonts w:hint="eastAsia"/>
            </w:rPr>
            <w:t>。</w:t>
          </w:r>
        </w:p>
      </w:sdtContent>
    </w:sdt>
    <w:p w14:paraId="63079372" w14:textId="77777777" w:rsidR="005E000F" w:rsidRDefault="00000000">
      <w:pPr>
        <w:pStyle w:val="5"/>
        <w:numPr>
          <w:ilvl w:val="0"/>
          <w:numId w:val="12"/>
        </w:numPr>
        <w:tabs>
          <w:tab w:val="left" w:pos="567"/>
        </w:tabs>
        <w:ind w:leftChars="0"/>
      </w:pPr>
      <w:bookmarkStart w:id="58" w:name="_Toc342559756"/>
      <w:bookmarkStart w:id="59" w:name="_Toc340829716"/>
      <w:bookmarkStart w:id="60" w:name="_Toc342565904"/>
      <w:bookmarkStart w:id="61" w:name="_Hlk89876312"/>
      <w:r>
        <w:t>主营业务</w:t>
      </w:r>
      <w:r>
        <w:rPr>
          <w:rFonts w:hint="eastAsia"/>
        </w:rPr>
        <w:t>分</w:t>
      </w:r>
      <w:r>
        <w:t>行业</w:t>
      </w:r>
      <w:r>
        <w:rPr>
          <w:rFonts w:hint="eastAsia"/>
        </w:rPr>
        <w:t>、分</w:t>
      </w:r>
      <w:r>
        <w:t>产品</w:t>
      </w:r>
      <w:r>
        <w:rPr>
          <w:rFonts w:hint="eastAsia"/>
        </w:rPr>
        <w:t>、分地区、</w:t>
      </w:r>
      <w:proofErr w:type="gramStart"/>
      <w:r>
        <w:rPr>
          <w:rFonts w:hint="eastAsia"/>
        </w:rPr>
        <w:t>分销售</w:t>
      </w:r>
      <w:proofErr w:type="gramEnd"/>
      <w:r>
        <w:rPr>
          <w:rFonts w:hint="eastAsia"/>
        </w:rPr>
        <w:t>模式情况</w:t>
      </w:r>
      <w:bookmarkEnd w:id="58"/>
      <w:bookmarkEnd w:id="59"/>
      <w:bookmarkEnd w:id="60"/>
    </w:p>
    <w:p w14:paraId="34B072E0" w14:textId="77777777" w:rsidR="005E000F" w:rsidRDefault="00000000">
      <w:pPr>
        <w:jc w:val="right"/>
      </w:pPr>
      <w:r>
        <w:rPr>
          <w:rFonts w:hint="eastAsia"/>
        </w:rPr>
        <w:t>单位：</w:t>
      </w:r>
      <w:sdt>
        <w:sdtPr>
          <w:alias w:val="单位：主营业务分行业、分产品情况表"/>
          <w:tag w:val="_GBC_f77c8e6b92b44adf9014b95a44af704b"/>
          <w:id w:val="15232872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rPr>
          <w:rFonts w:hint="eastAsia"/>
        </w:rPr>
        <w:t xml:space="preserve">  </w:t>
      </w:r>
      <w:r>
        <w:rPr>
          <w:rFonts w:hint="eastAsia"/>
        </w:rPr>
        <w:t>币种：</w:t>
      </w:r>
      <w:sdt>
        <w:sdtPr>
          <w:alias w:val="币种：主营业务分行业、分产品情况表"/>
          <w:tag w:val="_GBC_3341f58078504155bf0c18cadb3b7f9d"/>
          <w:id w:val="15293000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Style w:val="aff2"/>
        <w:tblW w:w="0" w:type="auto"/>
        <w:tblInd w:w="-459" w:type="dxa"/>
        <w:tblLayout w:type="fixed"/>
        <w:tblLook w:val="04A0" w:firstRow="1" w:lastRow="0" w:firstColumn="1" w:lastColumn="0" w:noHBand="0" w:noVBand="1"/>
      </w:tblPr>
      <w:tblGrid>
        <w:gridCol w:w="1276"/>
        <w:gridCol w:w="1559"/>
        <w:gridCol w:w="1734"/>
        <w:gridCol w:w="1236"/>
        <w:gridCol w:w="1283"/>
        <w:gridCol w:w="1189"/>
        <w:gridCol w:w="1231"/>
      </w:tblGrid>
      <w:tr w:rsidR="005E000F" w14:paraId="10874525" w14:textId="77777777">
        <w:sdt>
          <w:sdtPr>
            <w:tag w:val="_PLD_b5033a4d190942bd99650d59a8d741f9"/>
            <w:id w:val="-818502013"/>
          </w:sdtPr>
          <w:sdtContent>
            <w:tc>
              <w:tcPr>
                <w:tcW w:w="9508" w:type="dxa"/>
                <w:gridSpan w:val="7"/>
                <w:vAlign w:val="center"/>
              </w:tcPr>
              <w:p w14:paraId="7033DBE1" w14:textId="77777777" w:rsidR="005E000F" w:rsidRDefault="00000000">
                <w:pPr>
                  <w:jc w:val="center"/>
                </w:pPr>
                <w:r>
                  <w:rPr>
                    <w:rFonts w:hint="eastAsia"/>
                  </w:rPr>
                  <w:t>主营业务分行业情况</w:t>
                </w:r>
              </w:p>
            </w:tc>
          </w:sdtContent>
        </w:sdt>
      </w:tr>
      <w:tr w:rsidR="005E000F" w14:paraId="58BDB322" w14:textId="77777777">
        <w:sdt>
          <w:sdtPr>
            <w:tag w:val="_PLD_ab888f46a9d64f09b94dccfab854ad45"/>
            <w:id w:val="1248153765"/>
          </w:sdtPr>
          <w:sdtContent>
            <w:tc>
              <w:tcPr>
                <w:tcW w:w="1276" w:type="dxa"/>
                <w:vAlign w:val="center"/>
              </w:tcPr>
              <w:p w14:paraId="30746067" w14:textId="77777777" w:rsidR="005E000F" w:rsidRDefault="00000000">
                <w:pPr>
                  <w:jc w:val="center"/>
                </w:pPr>
                <w:r>
                  <w:t>分行业</w:t>
                </w:r>
              </w:p>
            </w:tc>
          </w:sdtContent>
        </w:sdt>
        <w:sdt>
          <w:sdtPr>
            <w:tag w:val="_PLD_7fe8bd490c23482eac6c726b40c3125c"/>
            <w:id w:val="670380908"/>
          </w:sdtPr>
          <w:sdtContent>
            <w:tc>
              <w:tcPr>
                <w:tcW w:w="1559" w:type="dxa"/>
                <w:vAlign w:val="center"/>
              </w:tcPr>
              <w:p w14:paraId="7BA31F97" w14:textId="77777777" w:rsidR="005E000F" w:rsidRDefault="00000000">
                <w:pPr>
                  <w:jc w:val="center"/>
                </w:pPr>
                <w:r>
                  <w:t>营业收入</w:t>
                </w:r>
              </w:p>
            </w:tc>
          </w:sdtContent>
        </w:sdt>
        <w:sdt>
          <w:sdtPr>
            <w:tag w:val="_PLD_43ea5bcd646542838f56af8b6a2863cb"/>
            <w:id w:val="9031277"/>
          </w:sdtPr>
          <w:sdtContent>
            <w:tc>
              <w:tcPr>
                <w:tcW w:w="1734" w:type="dxa"/>
                <w:vAlign w:val="center"/>
              </w:tcPr>
              <w:p w14:paraId="3BFFCB55" w14:textId="77777777" w:rsidR="005E000F" w:rsidRDefault="00000000">
                <w:pPr>
                  <w:jc w:val="center"/>
                </w:pPr>
                <w:r>
                  <w:t>营业成本</w:t>
                </w:r>
              </w:p>
            </w:tc>
          </w:sdtContent>
        </w:sdt>
        <w:sdt>
          <w:sdtPr>
            <w:tag w:val="_PLD_2beea8e29ca14ce68ca930225f6b78ba"/>
            <w:id w:val="-1620365500"/>
          </w:sdtPr>
          <w:sdtContent>
            <w:tc>
              <w:tcPr>
                <w:tcW w:w="1236" w:type="dxa"/>
                <w:vAlign w:val="center"/>
              </w:tcPr>
              <w:p w14:paraId="5F284FDF" w14:textId="77777777" w:rsidR="005E000F" w:rsidRDefault="00000000">
                <w:pPr>
                  <w:jc w:val="center"/>
                </w:pPr>
                <w:r>
                  <w:rPr>
                    <w:rFonts w:hint="eastAsia"/>
                  </w:rPr>
                  <w:t>毛利率</w:t>
                </w:r>
                <w:r>
                  <w:t>（</w:t>
                </w:r>
                <w:r>
                  <w:rPr>
                    <w:rFonts w:hint="eastAsia"/>
                  </w:rPr>
                  <w:t>%</w:t>
                </w:r>
                <w:r>
                  <w:t>）</w:t>
                </w:r>
              </w:p>
            </w:tc>
          </w:sdtContent>
        </w:sdt>
        <w:sdt>
          <w:sdtPr>
            <w:tag w:val="_PLD_f9dadced328346f0b76bc97b709dc071"/>
            <w:id w:val="-2042662460"/>
          </w:sdtPr>
          <w:sdtContent>
            <w:tc>
              <w:tcPr>
                <w:tcW w:w="1283" w:type="dxa"/>
                <w:vAlign w:val="center"/>
              </w:tcPr>
              <w:p w14:paraId="288D0F9B" w14:textId="77777777" w:rsidR="005E000F" w:rsidRDefault="00000000">
                <w:pPr>
                  <w:jc w:val="center"/>
                </w:pPr>
                <w:r>
                  <w:t>营业收入比上年增减（</w:t>
                </w:r>
                <w:r>
                  <w:rPr>
                    <w:rFonts w:hint="eastAsia"/>
                  </w:rPr>
                  <w:t>%</w:t>
                </w:r>
                <w:r>
                  <w:t>）</w:t>
                </w:r>
              </w:p>
            </w:tc>
          </w:sdtContent>
        </w:sdt>
        <w:sdt>
          <w:sdtPr>
            <w:tag w:val="_PLD_c02171812b4a4964854b289e6b6282d1"/>
            <w:id w:val="-1001817882"/>
          </w:sdtPr>
          <w:sdtContent>
            <w:tc>
              <w:tcPr>
                <w:tcW w:w="1189" w:type="dxa"/>
                <w:vAlign w:val="center"/>
              </w:tcPr>
              <w:p w14:paraId="469C6EDF" w14:textId="77777777" w:rsidR="005E000F" w:rsidRDefault="00000000">
                <w:pPr>
                  <w:jc w:val="center"/>
                </w:pPr>
                <w:r>
                  <w:t>营业成本比上年增减（</w:t>
                </w:r>
                <w:r>
                  <w:rPr>
                    <w:rFonts w:hint="eastAsia"/>
                  </w:rPr>
                  <w:t>%</w:t>
                </w:r>
                <w:r>
                  <w:t>）</w:t>
                </w:r>
              </w:p>
            </w:tc>
          </w:sdtContent>
        </w:sdt>
        <w:sdt>
          <w:sdtPr>
            <w:tag w:val="_PLD_6ec6853f40254c1e8badc94bd41729ab"/>
            <w:id w:val="1928153735"/>
          </w:sdtPr>
          <w:sdtContent>
            <w:tc>
              <w:tcPr>
                <w:tcW w:w="1231" w:type="dxa"/>
                <w:vAlign w:val="center"/>
              </w:tcPr>
              <w:p w14:paraId="7A563860" w14:textId="77777777" w:rsidR="005E000F" w:rsidRDefault="00000000">
                <w:pPr>
                  <w:jc w:val="center"/>
                </w:pPr>
                <w:r>
                  <w:rPr>
                    <w:rFonts w:hint="eastAsia"/>
                  </w:rPr>
                  <w:t>毛利率</w:t>
                </w:r>
                <w:r>
                  <w:t>比上年增减（</w:t>
                </w:r>
                <w:r>
                  <w:rPr>
                    <w:rFonts w:hint="eastAsia"/>
                  </w:rPr>
                  <w:t>%</w:t>
                </w:r>
                <w:r>
                  <w:t>）</w:t>
                </w:r>
              </w:p>
            </w:tc>
          </w:sdtContent>
        </w:sdt>
      </w:tr>
      <w:tr w:rsidR="005E000F" w14:paraId="657643E7" w14:textId="77777777">
        <w:tc>
          <w:tcPr>
            <w:tcW w:w="1276" w:type="dxa"/>
            <w:vAlign w:val="center"/>
          </w:tcPr>
          <w:p w14:paraId="008E0DBA" w14:textId="77777777" w:rsidR="005E000F" w:rsidRDefault="00000000">
            <w:pPr>
              <w:pStyle w:val="aff8"/>
              <w:ind w:firstLineChars="0" w:firstLine="0"/>
              <w:jc w:val="left"/>
              <w:rPr>
                <w:rFonts w:ascii="宋体" w:hAnsi="宋体" w:cs="宋体"/>
                <w:szCs w:val="21"/>
              </w:rPr>
            </w:pPr>
            <w:r>
              <w:t>铁路运输</w:t>
            </w:r>
          </w:p>
        </w:tc>
        <w:tc>
          <w:tcPr>
            <w:tcW w:w="1559" w:type="dxa"/>
            <w:vAlign w:val="center"/>
          </w:tcPr>
          <w:p w14:paraId="64B13B09" w14:textId="77777777" w:rsidR="005E000F" w:rsidRDefault="00000000">
            <w:pPr>
              <w:jc w:val="right"/>
            </w:pPr>
            <w:r>
              <w:t>76,409,490,504</w:t>
            </w:r>
          </w:p>
        </w:tc>
        <w:tc>
          <w:tcPr>
            <w:tcW w:w="1734" w:type="dxa"/>
            <w:vAlign w:val="center"/>
          </w:tcPr>
          <w:p w14:paraId="7E32B763" w14:textId="77777777" w:rsidR="005E000F" w:rsidRDefault="00000000">
            <w:pPr>
              <w:jc w:val="right"/>
            </w:pPr>
            <w:r>
              <w:t>70,193,644,077</w:t>
            </w:r>
          </w:p>
        </w:tc>
        <w:tc>
          <w:tcPr>
            <w:tcW w:w="1236" w:type="dxa"/>
            <w:vAlign w:val="center"/>
          </w:tcPr>
          <w:p w14:paraId="7AB24493" w14:textId="77777777" w:rsidR="005E000F" w:rsidRDefault="00000000">
            <w:pPr>
              <w:jc w:val="right"/>
            </w:pPr>
            <w:r>
              <w:t>8.13</w:t>
            </w:r>
          </w:p>
        </w:tc>
        <w:tc>
          <w:tcPr>
            <w:tcW w:w="1283" w:type="dxa"/>
            <w:vAlign w:val="center"/>
          </w:tcPr>
          <w:p w14:paraId="23FDC619" w14:textId="77777777" w:rsidR="005E000F" w:rsidRDefault="00000000">
            <w:pPr>
              <w:jc w:val="right"/>
            </w:pPr>
            <w:r>
              <w:t>4.2</w:t>
            </w:r>
          </w:p>
        </w:tc>
        <w:tc>
          <w:tcPr>
            <w:tcW w:w="1189" w:type="dxa"/>
            <w:vAlign w:val="center"/>
          </w:tcPr>
          <w:p w14:paraId="59A568F3" w14:textId="77777777" w:rsidR="005E000F" w:rsidRDefault="00000000">
            <w:pPr>
              <w:jc w:val="right"/>
            </w:pPr>
            <w:r>
              <w:t>12.63</w:t>
            </w:r>
          </w:p>
        </w:tc>
        <w:tc>
          <w:tcPr>
            <w:tcW w:w="1231" w:type="dxa"/>
            <w:vAlign w:val="center"/>
          </w:tcPr>
          <w:p w14:paraId="39B81123" w14:textId="77777777" w:rsidR="005E000F" w:rsidRDefault="00000000">
            <w:pPr>
              <w:jc w:val="right"/>
            </w:pPr>
            <w:r>
              <w:rPr>
                <w:rFonts w:hint="eastAsia"/>
              </w:rPr>
              <w:t>减少</w:t>
            </w:r>
            <w:r>
              <w:rPr>
                <w:rFonts w:hint="eastAsia"/>
              </w:rPr>
              <w:t>6.89</w:t>
            </w:r>
            <w:r>
              <w:rPr>
                <w:rFonts w:hint="eastAsia"/>
              </w:rPr>
              <w:t>个百分点</w:t>
            </w:r>
          </w:p>
        </w:tc>
      </w:tr>
      <w:tr w:rsidR="005E000F" w14:paraId="01EFE5C7" w14:textId="77777777">
        <w:sdt>
          <w:sdtPr>
            <w:tag w:val="_PLD_49258193d94b4f5fa47e482cd615784f"/>
            <w:id w:val="-2133235432"/>
          </w:sdtPr>
          <w:sdtContent>
            <w:tc>
              <w:tcPr>
                <w:tcW w:w="9508" w:type="dxa"/>
                <w:gridSpan w:val="7"/>
                <w:vAlign w:val="center"/>
              </w:tcPr>
              <w:p w14:paraId="0517ED1B" w14:textId="77777777" w:rsidR="005E000F" w:rsidRDefault="00000000">
                <w:pPr>
                  <w:jc w:val="center"/>
                </w:pPr>
                <w:r>
                  <w:rPr>
                    <w:rFonts w:hint="eastAsia"/>
                  </w:rPr>
                  <w:t>主营业务分产品情况</w:t>
                </w:r>
              </w:p>
            </w:tc>
          </w:sdtContent>
        </w:sdt>
      </w:tr>
      <w:tr w:rsidR="005E000F" w14:paraId="00B4323A" w14:textId="77777777">
        <w:sdt>
          <w:sdtPr>
            <w:tag w:val="_PLD_1d72749a5d4248359cb1b92e381ef722"/>
            <w:id w:val="280702001"/>
          </w:sdtPr>
          <w:sdtContent>
            <w:tc>
              <w:tcPr>
                <w:tcW w:w="1276" w:type="dxa"/>
                <w:vAlign w:val="center"/>
              </w:tcPr>
              <w:p w14:paraId="6B4EA2E9" w14:textId="77777777" w:rsidR="005E000F" w:rsidRDefault="00000000">
                <w:pPr>
                  <w:pStyle w:val="aff8"/>
                  <w:ind w:firstLineChars="0" w:firstLine="0"/>
                  <w:jc w:val="center"/>
                  <w:rPr>
                    <w:szCs w:val="21"/>
                  </w:rPr>
                </w:pPr>
                <w:r>
                  <w:rPr>
                    <w:rFonts w:hint="eastAsia"/>
                    <w:szCs w:val="21"/>
                  </w:rPr>
                  <w:t>分产品</w:t>
                </w:r>
              </w:p>
            </w:tc>
          </w:sdtContent>
        </w:sdt>
        <w:sdt>
          <w:sdtPr>
            <w:tag w:val="_PLD_5e318ae25ee540258ffd6821c201e0af"/>
            <w:id w:val="-1377931483"/>
          </w:sdtPr>
          <w:sdtContent>
            <w:tc>
              <w:tcPr>
                <w:tcW w:w="1559" w:type="dxa"/>
                <w:vAlign w:val="center"/>
              </w:tcPr>
              <w:p w14:paraId="42CCB783" w14:textId="77777777" w:rsidR="005E000F" w:rsidRDefault="00000000">
                <w:pPr>
                  <w:jc w:val="center"/>
                </w:pPr>
                <w:r>
                  <w:rPr>
                    <w:rFonts w:hint="eastAsia"/>
                  </w:rPr>
                  <w:t>营业收入</w:t>
                </w:r>
              </w:p>
            </w:tc>
          </w:sdtContent>
        </w:sdt>
        <w:sdt>
          <w:sdtPr>
            <w:tag w:val="_PLD_d7023b8e0b18494eaae569b7bcd4781f"/>
            <w:id w:val="669223428"/>
          </w:sdtPr>
          <w:sdtContent>
            <w:tc>
              <w:tcPr>
                <w:tcW w:w="1734" w:type="dxa"/>
                <w:vAlign w:val="center"/>
              </w:tcPr>
              <w:p w14:paraId="42A8F887" w14:textId="77777777" w:rsidR="005E000F" w:rsidRDefault="00000000">
                <w:pPr>
                  <w:jc w:val="center"/>
                </w:pPr>
                <w:r>
                  <w:rPr>
                    <w:rFonts w:hint="eastAsia"/>
                  </w:rPr>
                  <w:t>营业成本</w:t>
                </w:r>
              </w:p>
            </w:tc>
          </w:sdtContent>
        </w:sdt>
        <w:sdt>
          <w:sdtPr>
            <w:tag w:val="_PLD_c7e7c31f672744488b53ec34a4e0abde"/>
            <w:id w:val="212699207"/>
          </w:sdtPr>
          <w:sdtContent>
            <w:tc>
              <w:tcPr>
                <w:tcW w:w="1236" w:type="dxa"/>
                <w:vAlign w:val="center"/>
              </w:tcPr>
              <w:p w14:paraId="67532802" w14:textId="77777777" w:rsidR="005E000F" w:rsidRDefault="00000000">
                <w:pPr>
                  <w:jc w:val="center"/>
                </w:pPr>
                <w:r>
                  <w:rPr>
                    <w:rFonts w:hint="eastAsia"/>
                  </w:rPr>
                  <w:t>毛利率（</w:t>
                </w:r>
                <w:r>
                  <w:rPr>
                    <w:rFonts w:hint="eastAsia"/>
                  </w:rPr>
                  <w:t>%</w:t>
                </w:r>
                <w:r>
                  <w:rPr>
                    <w:rFonts w:hint="eastAsia"/>
                  </w:rPr>
                  <w:t>）</w:t>
                </w:r>
              </w:p>
            </w:tc>
          </w:sdtContent>
        </w:sdt>
        <w:sdt>
          <w:sdtPr>
            <w:tag w:val="_PLD_0ca65e94b76d4933977b3fe13864caf2"/>
            <w:id w:val="1730111459"/>
          </w:sdtPr>
          <w:sdtContent>
            <w:tc>
              <w:tcPr>
                <w:tcW w:w="1283" w:type="dxa"/>
                <w:vAlign w:val="center"/>
              </w:tcPr>
              <w:p w14:paraId="7C32D42D" w14:textId="77777777" w:rsidR="005E000F" w:rsidRDefault="00000000">
                <w:pPr>
                  <w:jc w:val="center"/>
                </w:pPr>
                <w:r>
                  <w:rPr>
                    <w:rFonts w:hint="eastAsia"/>
                  </w:rPr>
                  <w:t>营业收入比上年增减（</w:t>
                </w:r>
                <w:r>
                  <w:rPr>
                    <w:rFonts w:hint="eastAsia"/>
                  </w:rPr>
                  <w:t>%</w:t>
                </w:r>
                <w:r>
                  <w:rPr>
                    <w:rFonts w:hint="eastAsia"/>
                  </w:rPr>
                  <w:t>）</w:t>
                </w:r>
              </w:p>
            </w:tc>
          </w:sdtContent>
        </w:sdt>
        <w:sdt>
          <w:sdtPr>
            <w:tag w:val="_PLD_0fcddf8af1ce40e3bbe0b8e78c8c2496"/>
            <w:id w:val="-724368578"/>
          </w:sdtPr>
          <w:sdtContent>
            <w:tc>
              <w:tcPr>
                <w:tcW w:w="1189" w:type="dxa"/>
                <w:vAlign w:val="center"/>
              </w:tcPr>
              <w:p w14:paraId="4502C16D" w14:textId="77777777" w:rsidR="005E000F" w:rsidRDefault="00000000">
                <w:pPr>
                  <w:jc w:val="center"/>
                </w:pPr>
                <w:r>
                  <w:rPr>
                    <w:rFonts w:hint="eastAsia"/>
                  </w:rPr>
                  <w:t>营业成本比上年增减（</w:t>
                </w:r>
                <w:r>
                  <w:rPr>
                    <w:rFonts w:hint="eastAsia"/>
                  </w:rPr>
                  <w:t>%</w:t>
                </w:r>
                <w:r>
                  <w:rPr>
                    <w:rFonts w:hint="eastAsia"/>
                  </w:rPr>
                  <w:t>）</w:t>
                </w:r>
              </w:p>
            </w:tc>
          </w:sdtContent>
        </w:sdt>
        <w:sdt>
          <w:sdtPr>
            <w:tag w:val="_PLD_fd695ef26ff948df8cd16c66ef5ffea9"/>
            <w:id w:val="-1125082201"/>
          </w:sdtPr>
          <w:sdtContent>
            <w:tc>
              <w:tcPr>
                <w:tcW w:w="1231" w:type="dxa"/>
                <w:vAlign w:val="center"/>
              </w:tcPr>
              <w:p w14:paraId="15C34ED6" w14:textId="77777777" w:rsidR="005E000F" w:rsidRDefault="00000000">
                <w:pPr>
                  <w:jc w:val="center"/>
                </w:pPr>
                <w:r>
                  <w:rPr>
                    <w:rFonts w:hint="eastAsia"/>
                  </w:rPr>
                  <w:t>毛利率</w:t>
                </w:r>
                <w:r>
                  <w:t>比上年增减（</w:t>
                </w:r>
                <w:r>
                  <w:rPr>
                    <w:rFonts w:hint="eastAsia"/>
                  </w:rPr>
                  <w:t>%</w:t>
                </w:r>
                <w:r>
                  <w:t>）</w:t>
                </w:r>
              </w:p>
            </w:tc>
          </w:sdtContent>
        </w:sdt>
      </w:tr>
      <w:tr w:rsidR="005E000F" w14:paraId="6FBCCBB5" w14:textId="77777777">
        <w:tc>
          <w:tcPr>
            <w:tcW w:w="1276" w:type="dxa"/>
            <w:vAlign w:val="center"/>
          </w:tcPr>
          <w:p w14:paraId="1BF77D51" w14:textId="77777777" w:rsidR="005E000F" w:rsidRDefault="00000000">
            <w:pPr>
              <w:pStyle w:val="aff8"/>
              <w:ind w:firstLineChars="0" w:firstLine="0"/>
              <w:jc w:val="left"/>
              <w:rPr>
                <w:rFonts w:ascii="宋体" w:hAnsi="宋体" w:cs="宋体"/>
                <w:szCs w:val="21"/>
              </w:rPr>
            </w:pPr>
            <w:r>
              <w:t>货运业务</w:t>
            </w:r>
          </w:p>
        </w:tc>
        <w:tc>
          <w:tcPr>
            <w:tcW w:w="1559" w:type="dxa"/>
            <w:vAlign w:val="center"/>
          </w:tcPr>
          <w:p w14:paraId="008F4048" w14:textId="77777777" w:rsidR="005E000F" w:rsidRDefault="00000000">
            <w:pPr>
              <w:jc w:val="right"/>
            </w:pPr>
            <w:r>
              <w:t>54,321,785,789</w:t>
            </w:r>
          </w:p>
        </w:tc>
        <w:tc>
          <w:tcPr>
            <w:tcW w:w="1734" w:type="dxa"/>
            <w:vAlign w:val="center"/>
          </w:tcPr>
          <w:p w14:paraId="12A1BD73" w14:textId="77777777" w:rsidR="005E000F" w:rsidRDefault="00000000">
            <w:pPr>
              <w:jc w:val="right"/>
            </w:pPr>
            <w:r>
              <w:rPr>
                <w:rFonts w:hint="eastAsia"/>
              </w:rPr>
              <w:t>-</w:t>
            </w:r>
          </w:p>
        </w:tc>
        <w:tc>
          <w:tcPr>
            <w:tcW w:w="1236" w:type="dxa"/>
            <w:vAlign w:val="center"/>
          </w:tcPr>
          <w:p w14:paraId="61ED91D9" w14:textId="77777777" w:rsidR="005E000F" w:rsidRDefault="00000000">
            <w:pPr>
              <w:jc w:val="right"/>
            </w:pPr>
            <w:r>
              <w:rPr>
                <w:rFonts w:hint="eastAsia"/>
              </w:rPr>
              <w:t>-</w:t>
            </w:r>
          </w:p>
        </w:tc>
        <w:tc>
          <w:tcPr>
            <w:tcW w:w="1283" w:type="dxa"/>
            <w:vAlign w:val="center"/>
          </w:tcPr>
          <w:p w14:paraId="72010DD7" w14:textId="77777777" w:rsidR="005E000F" w:rsidRDefault="00000000">
            <w:pPr>
              <w:jc w:val="right"/>
            </w:pPr>
            <w:r>
              <w:t>1.65</w:t>
            </w:r>
          </w:p>
        </w:tc>
        <w:tc>
          <w:tcPr>
            <w:tcW w:w="1189" w:type="dxa"/>
            <w:vAlign w:val="center"/>
          </w:tcPr>
          <w:p w14:paraId="2D7CF368" w14:textId="77777777" w:rsidR="005E000F" w:rsidRDefault="00000000">
            <w:pPr>
              <w:jc w:val="right"/>
            </w:pPr>
            <w:r>
              <w:rPr>
                <w:rFonts w:hint="eastAsia"/>
              </w:rPr>
              <w:t>-</w:t>
            </w:r>
          </w:p>
        </w:tc>
        <w:tc>
          <w:tcPr>
            <w:tcW w:w="1231" w:type="dxa"/>
            <w:vAlign w:val="center"/>
          </w:tcPr>
          <w:p w14:paraId="2D92B1D4" w14:textId="77777777" w:rsidR="005E000F" w:rsidRDefault="005E000F">
            <w:pPr>
              <w:jc w:val="right"/>
            </w:pPr>
          </w:p>
        </w:tc>
      </w:tr>
      <w:tr w:rsidR="005E000F" w14:paraId="46668A0A" w14:textId="77777777">
        <w:tc>
          <w:tcPr>
            <w:tcW w:w="1276" w:type="dxa"/>
            <w:vAlign w:val="center"/>
          </w:tcPr>
          <w:p w14:paraId="38DFD9B6" w14:textId="77777777" w:rsidR="005E000F" w:rsidRDefault="00000000">
            <w:pPr>
              <w:pStyle w:val="aff8"/>
              <w:ind w:firstLineChars="0" w:firstLine="0"/>
              <w:jc w:val="left"/>
              <w:rPr>
                <w:rFonts w:ascii="宋体" w:hAnsi="宋体" w:cs="宋体"/>
                <w:szCs w:val="21"/>
              </w:rPr>
            </w:pPr>
            <w:r>
              <w:t>客运业务</w:t>
            </w:r>
          </w:p>
        </w:tc>
        <w:tc>
          <w:tcPr>
            <w:tcW w:w="1559" w:type="dxa"/>
            <w:vAlign w:val="center"/>
          </w:tcPr>
          <w:p w14:paraId="7EAFF7CD" w14:textId="77777777" w:rsidR="005E000F" w:rsidRDefault="00000000">
            <w:pPr>
              <w:jc w:val="right"/>
            </w:pPr>
            <w:r>
              <w:t>10,431,258,204</w:t>
            </w:r>
          </w:p>
        </w:tc>
        <w:tc>
          <w:tcPr>
            <w:tcW w:w="1734" w:type="dxa"/>
            <w:vAlign w:val="center"/>
          </w:tcPr>
          <w:p w14:paraId="3FC267C3" w14:textId="77777777" w:rsidR="005E000F" w:rsidRDefault="00000000">
            <w:pPr>
              <w:jc w:val="right"/>
            </w:pPr>
            <w:r>
              <w:rPr>
                <w:rFonts w:hint="eastAsia"/>
              </w:rPr>
              <w:t>-</w:t>
            </w:r>
          </w:p>
        </w:tc>
        <w:tc>
          <w:tcPr>
            <w:tcW w:w="1236" w:type="dxa"/>
            <w:vAlign w:val="center"/>
          </w:tcPr>
          <w:p w14:paraId="20137A16" w14:textId="77777777" w:rsidR="005E000F" w:rsidRDefault="00000000">
            <w:pPr>
              <w:jc w:val="right"/>
            </w:pPr>
            <w:r>
              <w:rPr>
                <w:rFonts w:hint="eastAsia"/>
              </w:rPr>
              <w:t>-</w:t>
            </w:r>
          </w:p>
        </w:tc>
        <w:tc>
          <w:tcPr>
            <w:tcW w:w="1283" w:type="dxa"/>
            <w:vAlign w:val="center"/>
          </w:tcPr>
          <w:p w14:paraId="263F5418" w14:textId="77777777" w:rsidR="005E000F" w:rsidRDefault="00000000">
            <w:pPr>
              <w:jc w:val="right"/>
            </w:pPr>
            <w:r>
              <w:t>4.21</w:t>
            </w:r>
          </w:p>
        </w:tc>
        <w:tc>
          <w:tcPr>
            <w:tcW w:w="1189" w:type="dxa"/>
            <w:vAlign w:val="center"/>
          </w:tcPr>
          <w:p w14:paraId="6689D5BD" w14:textId="77777777" w:rsidR="005E000F" w:rsidRDefault="00000000">
            <w:pPr>
              <w:jc w:val="right"/>
            </w:pPr>
            <w:r>
              <w:rPr>
                <w:rFonts w:hint="eastAsia"/>
              </w:rPr>
              <w:t>-</w:t>
            </w:r>
          </w:p>
        </w:tc>
        <w:tc>
          <w:tcPr>
            <w:tcW w:w="1231" w:type="dxa"/>
            <w:vAlign w:val="center"/>
          </w:tcPr>
          <w:p w14:paraId="50D99644" w14:textId="77777777" w:rsidR="005E000F" w:rsidRDefault="005E000F">
            <w:pPr>
              <w:jc w:val="right"/>
            </w:pPr>
          </w:p>
        </w:tc>
      </w:tr>
      <w:tr w:rsidR="005E000F" w14:paraId="6C50DFCC" w14:textId="77777777">
        <w:tc>
          <w:tcPr>
            <w:tcW w:w="1276" w:type="dxa"/>
            <w:vAlign w:val="center"/>
          </w:tcPr>
          <w:p w14:paraId="66CA8B94" w14:textId="77777777" w:rsidR="005E000F" w:rsidRDefault="00000000">
            <w:pPr>
              <w:pStyle w:val="aff8"/>
              <w:ind w:firstLineChars="0" w:firstLine="0"/>
              <w:jc w:val="left"/>
              <w:rPr>
                <w:rFonts w:ascii="宋体" w:hAnsi="宋体" w:cs="宋体"/>
                <w:szCs w:val="21"/>
              </w:rPr>
            </w:pPr>
            <w:r>
              <w:t>其他业务</w:t>
            </w:r>
          </w:p>
        </w:tc>
        <w:tc>
          <w:tcPr>
            <w:tcW w:w="1559" w:type="dxa"/>
            <w:vAlign w:val="center"/>
          </w:tcPr>
          <w:p w14:paraId="0359A6D4" w14:textId="77777777" w:rsidR="005E000F" w:rsidRDefault="00000000">
            <w:pPr>
              <w:jc w:val="right"/>
            </w:pPr>
            <w:r>
              <w:t>11,656,446,511</w:t>
            </w:r>
          </w:p>
        </w:tc>
        <w:tc>
          <w:tcPr>
            <w:tcW w:w="1734" w:type="dxa"/>
            <w:vAlign w:val="center"/>
          </w:tcPr>
          <w:p w14:paraId="2161C25F" w14:textId="77777777" w:rsidR="005E000F" w:rsidRDefault="00000000">
            <w:pPr>
              <w:jc w:val="right"/>
            </w:pPr>
            <w:r>
              <w:rPr>
                <w:rFonts w:hint="eastAsia"/>
              </w:rPr>
              <w:t>-</w:t>
            </w:r>
          </w:p>
        </w:tc>
        <w:tc>
          <w:tcPr>
            <w:tcW w:w="1236" w:type="dxa"/>
            <w:vAlign w:val="center"/>
          </w:tcPr>
          <w:p w14:paraId="3E6A888F" w14:textId="77777777" w:rsidR="005E000F" w:rsidRDefault="00000000">
            <w:pPr>
              <w:jc w:val="right"/>
            </w:pPr>
            <w:r>
              <w:rPr>
                <w:rFonts w:hint="eastAsia"/>
              </w:rPr>
              <w:t>-</w:t>
            </w:r>
          </w:p>
        </w:tc>
        <w:tc>
          <w:tcPr>
            <w:tcW w:w="1283" w:type="dxa"/>
            <w:vAlign w:val="center"/>
          </w:tcPr>
          <w:p w14:paraId="1805ABD2" w14:textId="77777777" w:rsidR="005E000F" w:rsidRDefault="00000000">
            <w:pPr>
              <w:jc w:val="right"/>
            </w:pPr>
            <w:r>
              <w:t>17.98</w:t>
            </w:r>
          </w:p>
        </w:tc>
        <w:tc>
          <w:tcPr>
            <w:tcW w:w="1189" w:type="dxa"/>
            <w:vAlign w:val="center"/>
          </w:tcPr>
          <w:p w14:paraId="2C9D50E9" w14:textId="77777777" w:rsidR="005E000F" w:rsidRDefault="00000000">
            <w:pPr>
              <w:jc w:val="right"/>
            </w:pPr>
            <w:r>
              <w:rPr>
                <w:rFonts w:hint="eastAsia"/>
              </w:rPr>
              <w:t>-</w:t>
            </w:r>
          </w:p>
        </w:tc>
        <w:tc>
          <w:tcPr>
            <w:tcW w:w="1231" w:type="dxa"/>
            <w:vAlign w:val="center"/>
          </w:tcPr>
          <w:p w14:paraId="2A35C846" w14:textId="77777777" w:rsidR="005E000F" w:rsidRDefault="005E000F">
            <w:pPr>
              <w:jc w:val="right"/>
            </w:pPr>
          </w:p>
        </w:tc>
      </w:tr>
      <w:tr w:rsidR="005E000F" w14:paraId="4B19E75A" w14:textId="77777777">
        <w:tc>
          <w:tcPr>
            <w:tcW w:w="1276" w:type="dxa"/>
            <w:vAlign w:val="center"/>
          </w:tcPr>
          <w:p w14:paraId="75A6820D" w14:textId="77777777" w:rsidR="005E000F" w:rsidRDefault="00000000">
            <w:pPr>
              <w:pStyle w:val="aff8"/>
              <w:ind w:firstLineChars="0" w:firstLine="0"/>
              <w:jc w:val="left"/>
            </w:pPr>
            <w:r>
              <w:rPr>
                <w:rFonts w:hint="eastAsia"/>
              </w:rPr>
              <w:t>合计</w:t>
            </w:r>
          </w:p>
        </w:tc>
        <w:tc>
          <w:tcPr>
            <w:tcW w:w="1559" w:type="dxa"/>
            <w:vAlign w:val="center"/>
          </w:tcPr>
          <w:p w14:paraId="0FD83120" w14:textId="77777777" w:rsidR="005E000F" w:rsidRDefault="00000000">
            <w:pPr>
              <w:jc w:val="right"/>
            </w:pPr>
            <w:r>
              <w:t>76,409,490,504</w:t>
            </w:r>
          </w:p>
        </w:tc>
        <w:tc>
          <w:tcPr>
            <w:tcW w:w="1734" w:type="dxa"/>
            <w:vAlign w:val="center"/>
          </w:tcPr>
          <w:p w14:paraId="73E14A99" w14:textId="77777777" w:rsidR="005E000F" w:rsidRDefault="00000000">
            <w:pPr>
              <w:jc w:val="right"/>
            </w:pPr>
            <w:r>
              <w:t>70,193,644,077</w:t>
            </w:r>
          </w:p>
        </w:tc>
        <w:tc>
          <w:tcPr>
            <w:tcW w:w="1236" w:type="dxa"/>
            <w:vAlign w:val="center"/>
          </w:tcPr>
          <w:p w14:paraId="24F7D5B5" w14:textId="77777777" w:rsidR="005E000F" w:rsidRDefault="00000000">
            <w:pPr>
              <w:jc w:val="right"/>
            </w:pPr>
            <w:r>
              <w:t>8.13</w:t>
            </w:r>
          </w:p>
        </w:tc>
        <w:tc>
          <w:tcPr>
            <w:tcW w:w="1283" w:type="dxa"/>
            <w:vAlign w:val="center"/>
          </w:tcPr>
          <w:p w14:paraId="52CE39A0" w14:textId="77777777" w:rsidR="005E000F" w:rsidRDefault="00000000">
            <w:pPr>
              <w:jc w:val="right"/>
            </w:pPr>
            <w:r>
              <w:t>4.2</w:t>
            </w:r>
          </w:p>
        </w:tc>
        <w:tc>
          <w:tcPr>
            <w:tcW w:w="1189" w:type="dxa"/>
            <w:vAlign w:val="center"/>
          </w:tcPr>
          <w:p w14:paraId="4C8583CB" w14:textId="77777777" w:rsidR="005E000F" w:rsidRDefault="00000000">
            <w:pPr>
              <w:jc w:val="right"/>
            </w:pPr>
            <w:r>
              <w:t>12.63</w:t>
            </w:r>
          </w:p>
        </w:tc>
        <w:tc>
          <w:tcPr>
            <w:tcW w:w="1231" w:type="dxa"/>
            <w:vAlign w:val="center"/>
          </w:tcPr>
          <w:p w14:paraId="391DE654" w14:textId="77777777" w:rsidR="005E000F" w:rsidRDefault="00000000">
            <w:pPr>
              <w:jc w:val="right"/>
            </w:pPr>
            <w:r>
              <w:rPr>
                <w:rFonts w:hint="eastAsia"/>
              </w:rPr>
              <w:t>减少</w:t>
            </w:r>
            <w:r>
              <w:rPr>
                <w:rFonts w:hint="eastAsia"/>
              </w:rPr>
              <w:t>6.89</w:t>
            </w:r>
            <w:r>
              <w:rPr>
                <w:rFonts w:hint="eastAsia"/>
              </w:rPr>
              <w:t>个百分点</w:t>
            </w:r>
          </w:p>
        </w:tc>
      </w:tr>
    </w:tbl>
    <w:p w14:paraId="3BCD426F" w14:textId="77777777" w:rsidR="005E000F" w:rsidRDefault="005E000F"/>
    <w:p w14:paraId="4C7A74E4" w14:textId="77777777" w:rsidR="005E000F" w:rsidRDefault="00000000">
      <w:r>
        <w:t>主营业务分行业</w:t>
      </w:r>
      <w:r>
        <w:rPr>
          <w:rFonts w:hint="eastAsia"/>
        </w:rPr>
        <w:t>、</w:t>
      </w:r>
      <w:r>
        <w:t>分产品、分地区</w:t>
      </w:r>
      <w:r>
        <w:rPr>
          <w:rFonts w:hint="eastAsia"/>
        </w:rPr>
        <w:t>、</w:t>
      </w:r>
      <w:proofErr w:type="gramStart"/>
      <w:r>
        <w:rPr>
          <w:rFonts w:hint="eastAsia"/>
        </w:rPr>
        <w:t>分销售</w:t>
      </w:r>
      <w:proofErr w:type="gramEnd"/>
      <w:r>
        <w:rPr>
          <w:rFonts w:hint="eastAsia"/>
        </w:rPr>
        <w:t>模式</w:t>
      </w:r>
      <w:r>
        <w:t>情况的说明</w:t>
      </w:r>
    </w:p>
    <w:sdt>
      <w:sdtPr>
        <w:rPr>
          <w:rFonts w:hint="eastAsia"/>
        </w:rPr>
        <w:alias w:val="主营业务分行业和分产品情况的说明"/>
        <w:tag w:val="_GBC_81b87428f4384bf2959419c3aea2dad2"/>
        <w:id w:val="1623423991"/>
        <w:placeholder>
          <w:docPart w:val="GBC22222222222222222222222222222"/>
        </w:placeholder>
      </w:sdtPr>
      <w:sdtContent>
        <w:p w14:paraId="10E31D22" w14:textId="77777777" w:rsidR="005E000F" w:rsidRDefault="00000000">
          <w:r>
            <w:rPr>
              <w:rFonts w:hint="eastAsia"/>
            </w:rPr>
            <w:t>无</w:t>
          </w:r>
        </w:p>
      </w:sdtContent>
    </w:sdt>
    <w:bookmarkEnd w:id="61"/>
    <w:p w14:paraId="73E14DB5" w14:textId="77777777" w:rsidR="005E000F" w:rsidRDefault="00000000">
      <w:pPr>
        <w:pStyle w:val="5"/>
        <w:numPr>
          <w:ilvl w:val="0"/>
          <w:numId w:val="12"/>
        </w:numPr>
        <w:tabs>
          <w:tab w:val="left" w:pos="567"/>
        </w:tabs>
        <w:ind w:leftChars="0"/>
        <w:rPr>
          <w:rFonts w:ascii="宋体" w:hAnsi="宋体" w:cs="宋体"/>
          <w:kern w:val="0"/>
          <w:szCs w:val="24"/>
        </w:rPr>
      </w:pPr>
      <w:r>
        <w:rPr>
          <w:rFonts w:ascii="宋体" w:hAnsi="宋体" w:cs="宋体" w:hint="eastAsia"/>
          <w:kern w:val="0"/>
          <w:szCs w:val="24"/>
        </w:rPr>
        <w:t>产销量情况</w:t>
      </w:r>
      <w:r>
        <w:rPr>
          <w:rFonts w:ascii="宋体" w:hAnsi="宋体" w:cs="宋体"/>
          <w:kern w:val="0"/>
          <w:szCs w:val="24"/>
        </w:rPr>
        <w:t>分析表</w:t>
      </w:r>
    </w:p>
    <w:sdt>
      <w:sdtPr>
        <w:alias w:val="是否适用：产销量情况分析表[双击切换]"/>
        <w:tag w:val="_GBC_6ff51c492b3040799712ea51f78bdcc0"/>
        <w:id w:val="-1932116094"/>
        <w:placeholder>
          <w:docPart w:val="GBC22222222222222222222222222222"/>
        </w:placeholder>
      </w:sdtPr>
      <w:sdtContent>
        <w:p w14:paraId="256F06FA"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F6B5FCA" w14:textId="77777777" w:rsidR="005E000F" w:rsidRDefault="00000000">
      <w:pPr>
        <w:pStyle w:val="5"/>
        <w:numPr>
          <w:ilvl w:val="0"/>
          <w:numId w:val="12"/>
        </w:numPr>
        <w:tabs>
          <w:tab w:val="left" w:pos="567"/>
        </w:tabs>
        <w:ind w:leftChars="0"/>
        <w:rPr>
          <w:rFonts w:ascii="宋体" w:hAnsi="宋体" w:cs="宋体"/>
          <w:kern w:val="0"/>
          <w:szCs w:val="24"/>
        </w:rPr>
      </w:pPr>
      <w:bookmarkStart w:id="62" w:name="_Hlk89876471"/>
      <w:r>
        <w:rPr>
          <w:rFonts w:ascii="宋体" w:hAnsi="宋体" w:cs="宋体" w:hint="eastAsia"/>
          <w:kern w:val="0"/>
          <w:szCs w:val="24"/>
        </w:rPr>
        <w:lastRenderedPageBreak/>
        <w:t>重大采购合同、重大销售合同的履行情况</w:t>
      </w:r>
    </w:p>
    <w:sdt>
      <w:sdtPr>
        <w:rPr>
          <w:rFonts w:hint="eastAsia"/>
        </w:rPr>
        <w:alias w:val="是否适用：重大采购合同、重大销售合同的履行情况 [双击切换]"/>
        <w:tag w:val="_GBC_7db64bb10282470b9d1599cd986236d4"/>
        <w:id w:val="1419441857"/>
        <w:placeholder>
          <w:docPart w:val="GBC22222222222222222222222222222"/>
        </w:placeholder>
      </w:sdtPr>
      <w:sdtContent>
        <w:p w14:paraId="4546A059"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182599D" w14:textId="77777777" w:rsidR="005E000F" w:rsidRDefault="00000000">
      <w:pPr>
        <w:spacing w:line="360" w:lineRule="auto"/>
      </w:pPr>
      <w:r>
        <w:rPr>
          <w:rFonts w:hint="eastAsia"/>
        </w:rPr>
        <w:t>已签订的重大销售合同截至本报告期的履行情况</w:t>
      </w:r>
    </w:p>
    <w:sdt>
      <w:sdtPr>
        <w:alias w:val="是否适用：已签订的重大销售合同截至本报告期的履行情况 [双击切换]"/>
        <w:tag w:val="_GBC_49d36578734543afa4e06de638f97c92"/>
        <w:id w:val="-1246644766"/>
        <w:placeholder>
          <w:docPart w:val="GBC22222222222222222222222222222"/>
        </w:placeholder>
      </w:sdtPr>
      <w:sdtContent>
        <w:p w14:paraId="40B4A95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DD219A4" w14:textId="77777777" w:rsidR="005E000F" w:rsidRDefault="00000000">
      <w:pPr>
        <w:spacing w:line="360" w:lineRule="auto"/>
      </w:pPr>
      <w:r>
        <w:rPr>
          <w:rFonts w:hint="eastAsia"/>
        </w:rPr>
        <w:t>已签订的重大采购合同截至本报告期的履行情况</w:t>
      </w:r>
    </w:p>
    <w:sdt>
      <w:sdtPr>
        <w:alias w:val="是否适用：已签订的重大采购合同截至本报告期的履行情况 [双击切换]"/>
        <w:tag w:val="_GBC_20683267b948463b9f53fbddb55271de"/>
        <w:id w:val="415989572"/>
        <w:placeholder>
          <w:docPart w:val="GBC22222222222222222222222222222"/>
        </w:placeholder>
      </w:sdtPr>
      <w:sdtContent>
        <w:p w14:paraId="302EA602"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8A37744" w14:textId="77777777" w:rsidR="005E000F" w:rsidRDefault="00000000">
      <w:pPr>
        <w:jc w:val="right"/>
      </w:pPr>
      <w:r>
        <w:rPr>
          <w:rFonts w:hint="eastAsia"/>
        </w:rPr>
        <w:t>单位：</w:t>
      </w:r>
      <w:sdt>
        <w:sdtPr>
          <w:alias w:val="单位：已签订的重大采购合同截至本报告期的履行情况 "/>
          <w:tag w:val="_GBC_c5497b97411d4494ae3d91a5b5101cca"/>
          <w:id w:val="-130700576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万元</w:t>
          </w:r>
        </w:sdtContent>
      </w:sdt>
      <w:r>
        <w:rPr>
          <w:rFonts w:hint="eastAsia"/>
        </w:rPr>
        <w:t xml:space="preserve">  </w:t>
      </w:r>
      <w:r>
        <w:rPr>
          <w:rFonts w:hint="eastAsia"/>
        </w:rPr>
        <w:t>币种：</w:t>
      </w:r>
      <w:sdt>
        <w:sdtPr>
          <w:alias w:val="币种：已签订的重大采购合同截至本报告期的履行情况 "/>
          <w:tag w:val="_GBC_11aa27f22f574ba5b1f5f316761aadcd"/>
          <w:id w:val="-13358404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92"/>
        <w:gridCol w:w="1418"/>
        <w:gridCol w:w="1417"/>
        <w:gridCol w:w="1418"/>
        <w:gridCol w:w="850"/>
        <w:gridCol w:w="851"/>
        <w:gridCol w:w="1137"/>
      </w:tblGrid>
      <w:tr w:rsidR="005E000F" w14:paraId="08AD34BE" w14:textId="77777777">
        <w:trPr>
          <w:trHeight w:val="810"/>
        </w:trPr>
        <w:sdt>
          <w:sdtPr>
            <w:tag w:val="_PLD_af6f503992064cda8ae79a06c97a10a6"/>
            <w:id w:val="-1544293283"/>
          </w:sdtPr>
          <w:sdtContent>
            <w:tc>
              <w:tcPr>
                <w:tcW w:w="1277" w:type="dxa"/>
                <w:vAlign w:val="center"/>
              </w:tcPr>
              <w:p w14:paraId="02232BB2" w14:textId="77777777" w:rsidR="005E000F" w:rsidRDefault="00000000">
                <w:pPr>
                  <w:jc w:val="center"/>
                </w:pPr>
                <w:r>
                  <w:rPr>
                    <w:rFonts w:hint="eastAsia"/>
                  </w:rPr>
                  <w:t>合同标的</w:t>
                </w:r>
              </w:p>
            </w:tc>
          </w:sdtContent>
        </w:sdt>
        <w:sdt>
          <w:sdtPr>
            <w:tag w:val="_PLD_9be2a1abdfd742ed9e177f6ff8d37335"/>
            <w:id w:val="-2053580"/>
          </w:sdtPr>
          <w:sdtContent>
            <w:tc>
              <w:tcPr>
                <w:tcW w:w="992" w:type="dxa"/>
                <w:vAlign w:val="center"/>
              </w:tcPr>
              <w:p w14:paraId="1A5003CA" w14:textId="77777777" w:rsidR="005E000F" w:rsidRDefault="00000000">
                <w:pPr>
                  <w:jc w:val="center"/>
                </w:pPr>
                <w:r>
                  <w:rPr>
                    <w:rFonts w:hint="eastAsia"/>
                  </w:rPr>
                  <w:t>对方当事人</w:t>
                </w:r>
              </w:p>
            </w:tc>
          </w:sdtContent>
        </w:sdt>
        <w:sdt>
          <w:sdtPr>
            <w:tag w:val="_PLD_a2ae9cf455444b57811efdc1a5fed84a"/>
            <w:id w:val="-136874899"/>
          </w:sdtPr>
          <w:sdtContent>
            <w:tc>
              <w:tcPr>
                <w:tcW w:w="1418" w:type="dxa"/>
                <w:vAlign w:val="center"/>
              </w:tcPr>
              <w:p w14:paraId="0AAE11BD" w14:textId="77777777" w:rsidR="005E000F" w:rsidRDefault="00000000">
                <w:pPr>
                  <w:jc w:val="center"/>
                </w:pPr>
                <w:r>
                  <w:rPr>
                    <w:rFonts w:hint="eastAsia"/>
                  </w:rPr>
                  <w:t>合同总金额</w:t>
                </w:r>
              </w:p>
            </w:tc>
          </w:sdtContent>
        </w:sdt>
        <w:sdt>
          <w:sdtPr>
            <w:tag w:val="_PLD_152055480c414a3fad2d0149a0eef79c"/>
            <w:id w:val="-799614718"/>
          </w:sdtPr>
          <w:sdtContent>
            <w:tc>
              <w:tcPr>
                <w:tcW w:w="1417" w:type="dxa"/>
                <w:vAlign w:val="center"/>
              </w:tcPr>
              <w:p w14:paraId="52EB305D" w14:textId="77777777" w:rsidR="005E000F" w:rsidRDefault="00000000">
                <w:pPr>
                  <w:jc w:val="center"/>
                </w:pPr>
                <w:r>
                  <w:rPr>
                    <w:rFonts w:hint="eastAsia"/>
                  </w:rPr>
                  <w:t>合计已履行金额</w:t>
                </w:r>
              </w:p>
            </w:tc>
          </w:sdtContent>
        </w:sdt>
        <w:sdt>
          <w:sdtPr>
            <w:tag w:val="_PLD_64c3a59f59e241668cae3bd499018d51"/>
            <w:id w:val="-1926715786"/>
          </w:sdtPr>
          <w:sdtContent>
            <w:tc>
              <w:tcPr>
                <w:tcW w:w="1418" w:type="dxa"/>
                <w:vAlign w:val="center"/>
              </w:tcPr>
              <w:p w14:paraId="23AB3C2C" w14:textId="77777777" w:rsidR="005E000F" w:rsidRDefault="00000000">
                <w:pPr>
                  <w:jc w:val="center"/>
                </w:pPr>
                <w:r>
                  <w:rPr>
                    <w:rFonts w:hint="eastAsia"/>
                  </w:rPr>
                  <w:t>本报告</w:t>
                </w:r>
                <w:proofErr w:type="gramStart"/>
                <w:r>
                  <w:rPr>
                    <w:rFonts w:hint="eastAsia"/>
                  </w:rPr>
                  <w:t>期履行</w:t>
                </w:r>
                <w:proofErr w:type="gramEnd"/>
                <w:r>
                  <w:rPr>
                    <w:rFonts w:hint="eastAsia"/>
                  </w:rPr>
                  <w:t>金额</w:t>
                </w:r>
              </w:p>
            </w:tc>
          </w:sdtContent>
        </w:sdt>
        <w:sdt>
          <w:sdtPr>
            <w:tag w:val="_PLD_6c0ec45a20d146898e5f5d1b2966a903"/>
            <w:id w:val="1422443275"/>
          </w:sdtPr>
          <w:sdtContent>
            <w:tc>
              <w:tcPr>
                <w:tcW w:w="850" w:type="dxa"/>
                <w:vAlign w:val="center"/>
              </w:tcPr>
              <w:p w14:paraId="7B303C65" w14:textId="77777777" w:rsidR="005E000F" w:rsidRDefault="00000000">
                <w:pPr>
                  <w:jc w:val="center"/>
                </w:pPr>
                <w:proofErr w:type="gramStart"/>
                <w:r>
                  <w:rPr>
                    <w:rFonts w:hint="eastAsia"/>
                  </w:rPr>
                  <w:t>待履行</w:t>
                </w:r>
                <w:proofErr w:type="gramEnd"/>
                <w:r>
                  <w:rPr>
                    <w:rFonts w:hint="eastAsia"/>
                  </w:rPr>
                  <w:t>金额</w:t>
                </w:r>
              </w:p>
            </w:tc>
          </w:sdtContent>
        </w:sdt>
        <w:sdt>
          <w:sdtPr>
            <w:tag w:val="_PLD_da3f975c80204a1e8b9081d1dc2fe9e9"/>
            <w:id w:val="-629004408"/>
          </w:sdtPr>
          <w:sdtContent>
            <w:tc>
              <w:tcPr>
                <w:tcW w:w="851" w:type="dxa"/>
                <w:vAlign w:val="center"/>
              </w:tcPr>
              <w:p w14:paraId="0489FBC9" w14:textId="77777777" w:rsidR="005E000F" w:rsidRDefault="00000000">
                <w:pPr>
                  <w:jc w:val="center"/>
                </w:pPr>
                <w:r>
                  <w:rPr>
                    <w:rFonts w:hint="eastAsia"/>
                  </w:rPr>
                  <w:t>是否正常履行</w:t>
                </w:r>
              </w:p>
            </w:tc>
          </w:sdtContent>
        </w:sdt>
        <w:sdt>
          <w:sdtPr>
            <w:tag w:val="_PLD_66ac3c87cd014a32be1fb5679de1b77b"/>
            <w:id w:val="-490799427"/>
          </w:sdtPr>
          <w:sdtContent>
            <w:tc>
              <w:tcPr>
                <w:tcW w:w="1137" w:type="dxa"/>
                <w:vAlign w:val="center"/>
              </w:tcPr>
              <w:p w14:paraId="3C8D02B2" w14:textId="77777777" w:rsidR="005E000F" w:rsidRDefault="00000000">
                <w:pPr>
                  <w:jc w:val="center"/>
                </w:pPr>
                <w:r>
                  <w:rPr>
                    <w:rFonts w:hint="eastAsia"/>
                  </w:rPr>
                  <w:t>合同未正常履行的说明</w:t>
                </w:r>
              </w:p>
            </w:tc>
          </w:sdtContent>
        </w:sdt>
      </w:tr>
      <w:tr w:rsidR="005E000F" w14:paraId="2A820507" w14:textId="77777777">
        <w:trPr>
          <w:trHeight w:val="270"/>
        </w:trPr>
        <w:tc>
          <w:tcPr>
            <w:tcW w:w="1277" w:type="dxa"/>
            <w:noWrap/>
            <w:vAlign w:val="center"/>
          </w:tcPr>
          <w:p w14:paraId="77CD1AD6" w14:textId="77777777" w:rsidR="005E000F" w:rsidRDefault="00000000">
            <w:pPr>
              <w:jc w:val="both"/>
            </w:pPr>
            <w:r>
              <w:t>太原局集团公司国有授权经营土地使用权</w:t>
            </w:r>
          </w:p>
        </w:tc>
        <w:tc>
          <w:tcPr>
            <w:tcW w:w="992" w:type="dxa"/>
            <w:noWrap/>
            <w:vAlign w:val="center"/>
          </w:tcPr>
          <w:p w14:paraId="128B7E54" w14:textId="77777777" w:rsidR="005E000F" w:rsidRDefault="00000000">
            <w:pPr>
              <w:jc w:val="both"/>
            </w:pPr>
            <w:r>
              <w:t>中国铁路太原</w:t>
            </w:r>
            <w:proofErr w:type="gramStart"/>
            <w:r>
              <w:t>局集团</w:t>
            </w:r>
            <w:proofErr w:type="gramEnd"/>
            <w:r>
              <w:t>有限公司</w:t>
            </w:r>
          </w:p>
        </w:tc>
        <w:tc>
          <w:tcPr>
            <w:tcW w:w="1418" w:type="dxa"/>
            <w:noWrap/>
            <w:vAlign w:val="center"/>
          </w:tcPr>
          <w:p w14:paraId="0C7A164A" w14:textId="77777777" w:rsidR="005E000F" w:rsidRDefault="00000000">
            <w:pPr>
              <w:jc w:val="right"/>
            </w:pPr>
            <w:r>
              <w:t>2,569,993.98</w:t>
            </w:r>
          </w:p>
        </w:tc>
        <w:tc>
          <w:tcPr>
            <w:tcW w:w="1417" w:type="dxa"/>
            <w:noWrap/>
            <w:vAlign w:val="center"/>
          </w:tcPr>
          <w:p w14:paraId="42B5CA15" w14:textId="77777777" w:rsidR="005E000F" w:rsidRDefault="00000000">
            <w:pPr>
              <w:jc w:val="right"/>
            </w:pPr>
            <w:r>
              <w:t>2,569,993.98</w:t>
            </w:r>
          </w:p>
        </w:tc>
        <w:tc>
          <w:tcPr>
            <w:tcW w:w="1418" w:type="dxa"/>
            <w:noWrap/>
            <w:vAlign w:val="center"/>
          </w:tcPr>
          <w:p w14:paraId="5316601E" w14:textId="77777777" w:rsidR="005E000F" w:rsidRDefault="00000000">
            <w:pPr>
              <w:jc w:val="right"/>
            </w:pPr>
            <w:r>
              <w:t>2,569,993.98</w:t>
            </w:r>
          </w:p>
        </w:tc>
        <w:tc>
          <w:tcPr>
            <w:tcW w:w="850" w:type="dxa"/>
            <w:noWrap/>
            <w:vAlign w:val="center"/>
          </w:tcPr>
          <w:p w14:paraId="1C724C99" w14:textId="77777777" w:rsidR="005E000F" w:rsidRDefault="00000000">
            <w:pPr>
              <w:jc w:val="right"/>
            </w:pPr>
            <w:r>
              <w:rPr>
                <w:rFonts w:hint="eastAsia"/>
              </w:rPr>
              <w:t>0</w:t>
            </w:r>
          </w:p>
        </w:tc>
        <w:sdt>
          <w:sdtPr>
            <w:rPr>
              <w:rFonts w:hint="eastAsia"/>
            </w:rPr>
            <w:alias w:val="已签订的重大采购合同截至本报告期的履行情况明细_是否正常履行"/>
            <w:tag w:val="_GBC_29f6f2cf14304baa80d05c1256c2e778"/>
            <w:id w:val="75093644"/>
            <w:comboBox>
              <w:listItem w:displayText="是" w:value="是"/>
              <w:listItem w:displayText="否" w:value="否"/>
            </w:comboBox>
          </w:sdtPr>
          <w:sdtContent>
            <w:tc>
              <w:tcPr>
                <w:tcW w:w="851" w:type="dxa"/>
                <w:noWrap/>
                <w:vAlign w:val="center"/>
              </w:tcPr>
              <w:p w14:paraId="67F13A0F" w14:textId="77777777" w:rsidR="005E000F" w:rsidRDefault="00000000">
                <w:pPr>
                  <w:jc w:val="both"/>
                </w:pPr>
                <w:r>
                  <w:rPr>
                    <w:rFonts w:hint="eastAsia"/>
                  </w:rPr>
                  <w:t>是</w:t>
                </w:r>
              </w:p>
            </w:tc>
          </w:sdtContent>
        </w:sdt>
        <w:tc>
          <w:tcPr>
            <w:tcW w:w="1137" w:type="dxa"/>
            <w:noWrap/>
            <w:vAlign w:val="center"/>
          </w:tcPr>
          <w:p w14:paraId="2C4D3F4C" w14:textId="77777777" w:rsidR="005E000F" w:rsidRDefault="005E000F">
            <w:pPr>
              <w:jc w:val="both"/>
            </w:pPr>
          </w:p>
        </w:tc>
      </w:tr>
    </w:tbl>
    <w:p w14:paraId="59079CC8" w14:textId="77777777" w:rsidR="005E000F" w:rsidRDefault="00000000">
      <w:pPr>
        <w:spacing w:line="360" w:lineRule="auto"/>
      </w:pPr>
      <w:r>
        <w:rPr>
          <w:rFonts w:hint="eastAsia"/>
        </w:rPr>
        <w:t>2025</w:t>
      </w:r>
      <w:r>
        <w:rPr>
          <w:rFonts w:hint="eastAsia"/>
        </w:rPr>
        <w:t>年</w:t>
      </w:r>
      <w:r>
        <w:rPr>
          <w:rFonts w:hint="eastAsia"/>
        </w:rPr>
        <w:t>8</w:t>
      </w:r>
      <w:r>
        <w:rPr>
          <w:rFonts w:hint="eastAsia"/>
        </w:rPr>
        <w:t>月，公司与太原局集团公司重新签订《国有授权经营土地使用权转让协议》，交易总价款（含税）为</w:t>
      </w:r>
      <w:r>
        <w:rPr>
          <w:rFonts w:hint="eastAsia"/>
        </w:rPr>
        <w:t>2,569,993.98</w:t>
      </w:r>
      <w:r>
        <w:rPr>
          <w:rFonts w:hint="eastAsia"/>
        </w:rPr>
        <w:t>万元。详情请见刊登在上海证券交易所网站的“大秦铁路股份有限公司关于重新签订《国有授权经营土地使用权转让协议》暨关联交易的公告”。</w:t>
      </w:r>
    </w:p>
    <w:bookmarkEnd w:id="62"/>
    <w:p w14:paraId="14168A30" w14:textId="77777777" w:rsidR="005E000F" w:rsidRDefault="00000000">
      <w:pPr>
        <w:pStyle w:val="5"/>
        <w:numPr>
          <w:ilvl w:val="0"/>
          <w:numId w:val="12"/>
        </w:numPr>
        <w:tabs>
          <w:tab w:val="left" w:pos="567"/>
        </w:tabs>
        <w:ind w:leftChars="0"/>
        <w:rPr>
          <w:rFonts w:ascii="宋体" w:hAnsi="宋体" w:cs="宋体"/>
          <w:kern w:val="0"/>
          <w:szCs w:val="24"/>
        </w:rPr>
      </w:pPr>
      <w:r>
        <w:rPr>
          <w:rFonts w:ascii="宋体" w:hAnsi="宋体" w:cs="宋体"/>
          <w:kern w:val="0"/>
          <w:szCs w:val="24"/>
        </w:rPr>
        <w:t>成本分析表</w:t>
      </w:r>
    </w:p>
    <w:p w14:paraId="3FC00BA2" w14:textId="77777777" w:rsidR="005E000F" w:rsidRDefault="00000000">
      <w:pPr>
        <w:pStyle w:val="aff8"/>
        <w:wordWrap w:val="0"/>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19827576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成本分析表"/>
          <w:tag w:val="_GBC_5c55578755b74bb6835d3a10e2d5f7d9"/>
          <w:id w:val="14978462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ff2"/>
        <w:tblW w:w="0" w:type="auto"/>
        <w:tblLayout w:type="fixed"/>
        <w:tblLook w:val="04A0" w:firstRow="1" w:lastRow="0" w:firstColumn="1" w:lastColumn="0" w:noHBand="0" w:noVBand="1"/>
      </w:tblPr>
      <w:tblGrid>
        <w:gridCol w:w="392"/>
        <w:gridCol w:w="1843"/>
        <w:gridCol w:w="1559"/>
        <w:gridCol w:w="850"/>
        <w:gridCol w:w="1701"/>
        <w:gridCol w:w="851"/>
        <w:gridCol w:w="1134"/>
        <w:gridCol w:w="719"/>
      </w:tblGrid>
      <w:tr w:rsidR="005E000F" w14:paraId="069ECBB7" w14:textId="77777777">
        <w:trPr>
          <w:trHeight w:val="195"/>
        </w:trPr>
        <w:sdt>
          <w:sdtPr>
            <w:tag w:val="_PLD_23eca1a24a6a46819aede5056d21b4e0"/>
            <w:id w:val="-1221593115"/>
          </w:sdtPr>
          <w:sdtContent>
            <w:tc>
              <w:tcPr>
                <w:tcW w:w="9049" w:type="dxa"/>
                <w:gridSpan w:val="8"/>
                <w:vAlign w:val="center"/>
              </w:tcPr>
              <w:p w14:paraId="458B2888" w14:textId="77777777" w:rsidR="005E000F" w:rsidRDefault="00000000">
                <w:pPr>
                  <w:jc w:val="center"/>
                </w:pPr>
                <w:r>
                  <w:t>分行业情况</w:t>
                </w:r>
              </w:p>
            </w:tc>
          </w:sdtContent>
        </w:sdt>
      </w:tr>
      <w:tr w:rsidR="005E000F" w14:paraId="0B287660" w14:textId="77777777">
        <w:trPr>
          <w:trHeight w:val="135"/>
        </w:trPr>
        <w:sdt>
          <w:sdtPr>
            <w:tag w:val="_PLD_6ed773a4437a4fe9b33abca9c4813940"/>
            <w:id w:val="-2050370790"/>
          </w:sdtPr>
          <w:sdtContent>
            <w:tc>
              <w:tcPr>
                <w:tcW w:w="392" w:type="dxa"/>
                <w:vAlign w:val="center"/>
              </w:tcPr>
              <w:p w14:paraId="14F9EAF3" w14:textId="77777777" w:rsidR="005E000F" w:rsidRDefault="00000000">
                <w:pPr>
                  <w:jc w:val="center"/>
                </w:pPr>
                <w:r>
                  <w:t>分行业</w:t>
                </w:r>
              </w:p>
            </w:tc>
          </w:sdtContent>
        </w:sdt>
        <w:sdt>
          <w:sdtPr>
            <w:tag w:val="_PLD_11eb33bcb20d4489a1b9fff2216d0a84"/>
            <w:id w:val="66930712"/>
          </w:sdtPr>
          <w:sdtContent>
            <w:tc>
              <w:tcPr>
                <w:tcW w:w="1843" w:type="dxa"/>
                <w:vAlign w:val="center"/>
              </w:tcPr>
              <w:p w14:paraId="52B719FC" w14:textId="77777777" w:rsidR="005E000F" w:rsidRDefault="00000000">
                <w:pPr>
                  <w:jc w:val="center"/>
                </w:pPr>
                <w:r>
                  <w:t>成本构成项目</w:t>
                </w:r>
              </w:p>
            </w:tc>
          </w:sdtContent>
        </w:sdt>
        <w:sdt>
          <w:sdtPr>
            <w:tag w:val="_PLD_25c03477e66a432199f6493c38aaca71"/>
            <w:id w:val="558762805"/>
          </w:sdtPr>
          <w:sdtContent>
            <w:tc>
              <w:tcPr>
                <w:tcW w:w="1559" w:type="dxa"/>
                <w:vAlign w:val="center"/>
              </w:tcPr>
              <w:p w14:paraId="556CAABE" w14:textId="77777777" w:rsidR="005E000F" w:rsidRDefault="00000000">
                <w:pPr>
                  <w:jc w:val="center"/>
                </w:pPr>
                <w:r>
                  <w:t>本期金额</w:t>
                </w:r>
              </w:p>
            </w:tc>
          </w:sdtContent>
        </w:sdt>
        <w:sdt>
          <w:sdtPr>
            <w:tag w:val="_PLD_29b86b13ed1449cfb64b8547d9ed08a7"/>
            <w:id w:val="927457933"/>
          </w:sdtPr>
          <w:sdtContent>
            <w:tc>
              <w:tcPr>
                <w:tcW w:w="850" w:type="dxa"/>
                <w:vAlign w:val="center"/>
              </w:tcPr>
              <w:p w14:paraId="44DF1ED4" w14:textId="77777777" w:rsidR="005E000F" w:rsidRDefault="00000000">
                <w:pPr>
                  <w:jc w:val="center"/>
                </w:pPr>
                <w:proofErr w:type="gramStart"/>
                <w:r>
                  <w:t>本期占</w:t>
                </w:r>
                <w:proofErr w:type="gramEnd"/>
                <w:r>
                  <w:t>总成本比例</w:t>
                </w:r>
                <w:r>
                  <w:rPr>
                    <w:rFonts w:hint="eastAsia"/>
                  </w:rPr>
                  <w:t>（</w:t>
                </w:r>
                <w:r>
                  <w:rPr>
                    <w:rFonts w:hint="eastAsia"/>
                  </w:rPr>
                  <w:t>%</w:t>
                </w:r>
                <w:r>
                  <w:rPr>
                    <w:rFonts w:hint="eastAsia"/>
                  </w:rPr>
                  <w:t>）</w:t>
                </w:r>
              </w:p>
            </w:tc>
          </w:sdtContent>
        </w:sdt>
        <w:sdt>
          <w:sdtPr>
            <w:tag w:val="_PLD_5ff02c2ae2d941d5bb2ed5b1e6bfa8e6"/>
            <w:id w:val="-1686054425"/>
          </w:sdtPr>
          <w:sdtContent>
            <w:tc>
              <w:tcPr>
                <w:tcW w:w="1701" w:type="dxa"/>
                <w:vAlign w:val="center"/>
              </w:tcPr>
              <w:p w14:paraId="3EAE82C2" w14:textId="77777777" w:rsidR="005E000F" w:rsidRDefault="00000000">
                <w:pPr>
                  <w:jc w:val="center"/>
                </w:pPr>
                <w:r>
                  <w:t>上年同期金额</w:t>
                </w:r>
              </w:p>
            </w:tc>
          </w:sdtContent>
        </w:sdt>
        <w:sdt>
          <w:sdtPr>
            <w:tag w:val="_PLD_517f7979a01748fba12b11d5561fdcdd"/>
            <w:id w:val="-859738741"/>
          </w:sdtPr>
          <w:sdtContent>
            <w:tc>
              <w:tcPr>
                <w:tcW w:w="851" w:type="dxa"/>
                <w:vAlign w:val="center"/>
              </w:tcPr>
              <w:p w14:paraId="47DB1ADA" w14:textId="77777777" w:rsidR="005E000F" w:rsidRDefault="00000000">
                <w:pPr>
                  <w:jc w:val="center"/>
                </w:pPr>
                <w:r>
                  <w:t>上年同期占总成本比例</w:t>
                </w:r>
                <w:r>
                  <w:rPr>
                    <w:rFonts w:hint="eastAsia"/>
                  </w:rPr>
                  <w:t>（</w:t>
                </w:r>
                <w:r>
                  <w:rPr>
                    <w:rFonts w:hint="eastAsia"/>
                  </w:rPr>
                  <w:t>%</w:t>
                </w:r>
                <w:r>
                  <w:rPr>
                    <w:rFonts w:hint="eastAsia"/>
                  </w:rPr>
                  <w:t>）</w:t>
                </w:r>
              </w:p>
            </w:tc>
          </w:sdtContent>
        </w:sdt>
        <w:sdt>
          <w:sdtPr>
            <w:tag w:val="_PLD_51133d067ddc4eeda00133d4c26d206f"/>
            <w:id w:val="-943836833"/>
          </w:sdtPr>
          <w:sdtContent>
            <w:tc>
              <w:tcPr>
                <w:tcW w:w="1134" w:type="dxa"/>
                <w:vAlign w:val="center"/>
              </w:tcPr>
              <w:p w14:paraId="3BA1F6E3" w14:textId="77777777" w:rsidR="005E000F" w:rsidRDefault="00000000">
                <w:pPr>
                  <w:jc w:val="center"/>
                </w:pPr>
                <w:r>
                  <w:t>本期金额较上年同期变动比例</w:t>
                </w:r>
                <w:r>
                  <w:rPr>
                    <w:rFonts w:hint="eastAsia"/>
                  </w:rPr>
                  <w:t>（</w:t>
                </w:r>
                <w:r>
                  <w:rPr>
                    <w:rFonts w:hint="eastAsia"/>
                  </w:rPr>
                  <w:t>%</w:t>
                </w:r>
                <w:r>
                  <w:rPr>
                    <w:rFonts w:hint="eastAsia"/>
                  </w:rPr>
                  <w:t>）</w:t>
                </w:r>
              </w:p>
            </w:tc>
          </w:sdtContent>
        </w:sdt>
        <w:sdt>
          <w:sdtPr>
            <w:tag w:val="_PLD_88c2b4dabd62472381be05c0702377e2"/>
            <w:id w:val="1296094253"/>
          </w:sdtPr>
          <w:sdtContent>
            <w:tc>
              <w:tcPr>
                <w:tcW w:w="719" w:type="dxa"/>
                <w:vAlign w:val="center"/>
              </w:tcPr>
              <w:p w14:paraId="4F892633" w14:textId="77777777" w:rsidR="005E000F" w:rsidRDefault="00000000">
                <w:pPr>
                  <w:jc w:val="center"/>
                </w:pPr>
                <w:r>
                  <w:t>情况</w:t>
                </w:r>
              </w:p>
              <w:p w14:paraId="5B8B5428" w14:textId="77777777" w:rsidR="005E000F" w:rsidRDefault="00000000">
                <w:pPr>
                  <w:jc w:val="center"/>
                </w:pPr>
                <w:r>
                  <w:t>说明</w:t>
                </w:r>
              </w:p>
            </w:tc>
          </w:sdtContent>
        </w:sdt>
      </w:tr>
      <w:tr w:rsidR="005E000F" w14:paraId="18EF0008" w14:textId="77777777">
        <w:trPr>
          <w:trHeight w:val="165"/>
        </w:trPr>
        <w:tc>
          <w:tcPr>
            <w:tcW w:w="392" w:type="dxa"/>
            <w:vAlign w:val="center"/>
          </w:tcPr>
          <w:p w14:paraId="2A51ED4F" w14:textId="77777777" w:rsidR="005E000F" w:rsidRDefault="005E000F"/>
        </w:tc>
        <w:tc>
          <w:tcPr>
            <w:tcW w:w="1843" w:type="dxa"/>
            <w:vAlign w:val="center"/>
          </w:tcPr>
          <w:p w14:paraId="2409BE87" w14:textId="77777777" w:rsidR="005E000F" w:rsidRDefault="00000000">
            <w:pPr>
              <w:rPr>
                <w:b/>
                <w:bCs/>
              </w:rPr>
            </w:pPr>
            <w:r>
              <w:rPr>
                <w:b/>
                <w:bCs/>
              </w:rPr>
              <w:t>主营业务成本</w:t>
            </w:r>
          </w:p>
        </w:tc>
        <w:tc>
          <w:tcPr>
            <w:tcW w:w="1559" w:type="dxa"/>
            <w:vAlign w:val="center"/>
          </w:tcPr>
          <w:p w14:paraId="24DEF7D1" w14:textId="77777777" w:rsidR="005E000F" w:rsidRDefault="00000000">
            <w:pPr>
              <w:jc w:val="right"/>
              <w:rPr>
                <w:b/>
                <w:bCs/>
              </w:rPr>
            </w:pPr>
            <w:r>
              <w:rPr>
                <w:b/>
                <w:bCs/>
              </w:rPr>
              <w:t>70,193,644,077</w:t>
            </w:r>
          </w:p>
        </w:tc>
        <w:tc>
          <w:tcPr>
            <w:tcW w:w="850" w:type="dxa"/>
            <w:vAlign w:val="center"/>
          </w:tcPr>
          <w:p w14:paraId="18D5DE4D" w14:textId="77777777" w:rsidR="005E000F" w:rsidRDefault="00000000">
            <w:pPr>
              <w:jc w:val="right"/>
              <w:rPr>
                <w:b/>
                <w:bCs/>
              </w:rPr>
            </w:pPr>
            <w:r>
              <w:rPr>
                <w:b/>
                <w:bCs/>
              </w:rPr>
              <w:t>98.93</w:t>
            </w:r>
          </w:p>
        </w:tc>
        <w:tc>
          <w:tcPr>
            <w:tcW w:w="1701" w:type="dxa"/>
            <w:vAlign w:val="center"/>
          </w:tcPr>
          <w:p w14:paraId="5FBDED7D" w14:textId="77777777" w:rsidR="005E000F" w:rsidRDefault="00000000">
            <w:pPr>
              <w:jc w:val="right"/>
              <w:rPr>
                <w:b/>
                <w:bCs/>
              </w:rPr>
            </w:pPr>
            <w:r>
              <w:rPr>
                <w:b/>
                <w:bCs/>
              </w:rPr>
              <w:t>62,319,879,782</w:t>
            </w:r>
          </w:p>
        </w:tc>
        <w:tc>
          <w:tcPr>
            <w:tcW w:w="851" w:type="dxa"/>
            <w:vAlign w:val="center"/>
          </w:tcPr>
          <w:p w14:paraId="144CB31F" w14:textId="77777777" w:rsidR="005E000F" w:rsidRDefault="00000000">
            <w:pPr>
              <w:jc w:val="right"/>
              <w:rPr>
                <w:b/>
                <w:bCs/>
              </w:rPr>
            </w:pPr>
            <w:r>
              <w:rPr>
                <w:b/>
                <w:bCs/>
              </w:rPr>
              <w:t>98.60</w:t>
            </w:r>
          </w:p>
        </w:tc>
        <w:tc>
          <w:tcPr>
            <w:tcW w:w="1134" w:type="dxa"/>
            <w:vAlign w:val="center"/>
          </w:tcPr>
          <w:p w14:paraId="5D807684" w14:textId="77777777" w:rsidR="005E000F" w:rsidRDefault="00000000">
            <w:pPr>
              <w:jc w:val="right"/>
              <w:rPr>
                <w:b/>
                <w:bCs/>
              </w:rPr>
            </w:pPr>
            <w:r>
              <w:rPr>
                <w:b/>
                <w:bCs/>
              </w:rPr>
              <w:t>12.63</w:t>
            </w:r>
          </w:p>
        </w:tc>
        <w:tc>
          <w:tcPr>
            <w:tcW w:w="719" w:type="dxa"/>
            <w:vAlign w:val="center"/>
          </w:tcPr>
          <w:p w14:paraId="244F8005" w14:textId="77777777" w:rsidR="005E000F" w:rsidRDefault="005E000F"/>
        </w:tc>
      </w:tr>
      <w:tr w:rsidR="005E000F" w14:paraId="2AAE711E" w14:textId="77777777">
        <w:trPr>
          <w:trHeight w:val="165"/>
        </w:trPr>
        <w:tc>
          <w:tcPr>
            <w:tcW w:w="392" w:type="dxa"/>
            <w:vAlign w:val="center"/>
          </w:tcPr>
          <w:p w14:paraId="23E0FFEF" w14:textId="77777777" w:rsidR="005E000F" w:rsidRDefault="005E000F"/>
        </w:tc>
        <w:tc>
          <w:tcPr>
            <w:tcW w:w="1843" w:type="dxa"/>
            <w:vAlign w:val="center"/>
          </w:tcPr>
          <w:p w14:paraId="09C7432D" w14:textId="77777777" w:rsidR="005E000F" w:rsidRDefault="00000000">
            <w:r>
              <w:t>人员费用</w:t>
            </w:r>
          </w:p>
        </w:tc>
        <w:tc>
          <w:tcPr>
            <w:tcW w:w="1559" w:type="dxa"/>
            <w:vAlign w:val="center"/>
          </w:tcPr>
          <w:p w14:paraId="3C68D689" w14:textId="77777777" w:rsidR="005E000F" w:rsidRDefault="00000000">
            <w:pPr>
              <w:jc w:val="right"/>
            </w:pPr>
            <w:r>
              <w:t>23,079,163,107</w:t>
            </w:r>
          </w:p>
        </w:tc>
        <w:tc>
          <w:tcPr>
            <w:tcW w:w="850" w:type="dxa"/>
            <w:vAlign w:val="center"/>
          </w:tcPr>
          <w:p w14:paraId="1CFB20A9" w14:textId="77777777" w:rsidR="005E000F" w:rsidRDefault="00000000">
            <w:pPr>
              <w:jc w:val="right"/>
            </w:pPr>
            <w:r>
              <w:t>32.53</w:t>
            </w:r>
          </w:p>
        </w:tc>
        <w:tc>
          <w:tcPr>
            <w:tcW w:w="1701" w:type="dxa"/>
            <w:vAlign w:val="center"/>
          </w:tcPr>
          <w:p w14:paraId="6920B388" w14:textId="77777777" w:rsidR="005E000F" w:rsidRDefault="00000000">
            <w:pPr>
              <w:jc w:val="right"/>
            </w:pPr>
            <w:r>
              <w:t>22,544,805,167</w:t>
            </w:r>
          </w:p>
        </w:tc>
        <w:tc>
          <w:tcPr>
            <w:tcW w:w="851" w:type="dxa"/>
            <w:vAlign w:val="center"/>
          </w:tcPr>
          <w:p w14:paraId="269454D4" w14:textId="77777777" w:rsidR="005E000F" w:rsidRDefault="00000000">
            <w:pPr>
              <w:jc w:val="right"/>
            </w:pPr>
            <w:r>
              <w:t>35.69</w:t>
            </w:r>
          </w:p>
        </w:tc>
        <w:tc>
          <w:tcPr>
            <w:tcW w:w="1134" w:type="dxa"/>
            <w:vAlign w:val="center"/>
          </w:tcPr>
          <w:p w14:paraId="23871C7D" w14:textId="77777777" w:rsidR="005E000F" w:rsidRDefault="00000000">
            <w:pPr>
              <w:jc w:val="right"/>
            </w:pPr>
            <w:r>
              <w:t>2.37</w:t>
            </w:r>
          </w:p>
        </w:tc>
        <w:tc>
          <w:tcPr>
            <w:tcW w:w="719" w:type="dxa"/>
            <w:vAlign w:val="center"/>
          </w:tcPr>
          <w:p w14:paraId="115CA83A" w14:textId="77777777" w:rsidR="005E000F" w:rsidRDefault="005E000F"/>
        </w:tc>
      </w:tr>
      <w:tr w:rsidR="005E000F" w14:paraId="4620E07D" w14:textId="77777777">
        <w:trPr>
          <w:trHeight w:val="165"/>
        </w:trPr>
        <w:tc>
          <w:tcPr>
            <w:tcW w:w="392" w:type="dxa"/>
            <w:vAlign w:val="center"/>
          </w:tcPr>
          <w:p w14:paraId="013660A6" w14:textId="77777777" w:rsidR="005E000F" w:rsidRDefault="005E000F"/>
        </w:tc>
        <w:tc>
          <w:tcPr>
            <w:tcW w:w="1843" w:type="dxa"/>
            <w:vAlign w:val="center"/>
          </w:tcPr>
          <w:p w14:paraId="1E265E21" w14:textId="77777777" w:rsidR="005E000F" w:rsidRDefault="00000000">
            <w:r>
              <w:t>折旧</w:t>
            </w:r>
          </w:p>
        </w:tc>
        <w:tc>
          <w:tcPr>
            <w:tcW w:w="1559" w:type="dxa"/>
            <w:vAlign w:val="center"/>
          </w:tcPr>
          <w:p w14:paraId="40F5D6B4" w14:textId="77777777" w:rsidR="005E000F" w:rsidRDefault="00000000">
            <w:pPr>
              <w:jc w:val="right"/>
            </w:pPr>
            <w:r>
              <w:t>5,338,072,808</w:t>
            </w:r>
          </w:p>
        </w:tc>
        <w:tc>
          <w:tcPr>
            <w:tcW w:w="850" w:type="dxa"/>
            <w:vAlign w:val="center"/>
          </w:tcPr>
          <w:p w14:paraId="323A9E02" w14:textId="77777777" w:rsidR="005E000F" w:rsidRDefault="00000000">
            <w:pPr>
              <w:jc w:val="right"/>
            </w:pPr>
            <w:r>
              <w:t>7.52</w:t>
            </w:r>
          </w:p>
        </w:tc>
        <w:tc>
          <w:tcPr>
            <w:tcW w:w="1701" w:type="dxa"/>
            <w:vAlign w:val="center"/>
          </w:tcPr>
          <w:p w14:paraId="0DCC7005" w14:textId="77777777" w:rsidR="005E000F" w:rsidRDefault="00000000">
            <w:pPr>
              <w:jc w:val="right"/>
            </w:pPr>
            <w:r>
              <w:t>5,531,728,638</w:t>
            </w:r>
          </w:p>
        </w:tc>
        <w:tc>
          <w:tcPr>
            <w:tcW w:w="851" w:type="dxa"/>
            <w:vAlign w:val="center"/>
          </w:tcPr>
          <w:p w14:paraId="76F2399E" w14:textId="77777777" w:rsidR="005E000F" w:rsidRDefault="00000000">
            <w:pPr>
              <w:jc w:val="right"/>
            </w:pPr>
            <w:r>
              <w:t>8.75</w:t>
            </w:r>
          </w:p>
        </w:tc>
        <w:tc>
          <w:tcPr>
            <w:tcW w:w="1134" w:type="dxa"/>
            <w:vAlign w:val="center"/>
          </w:tcPr>
          <w:p w14:paraId="45995F61" w14:textId="77777777" w:rsidR="005E000F" w:rsidRDefault="00000000">
            <w:pPr>
              <w:jc w:val="right"/>
            </w:pPr>
            <w:r>
              <w:t>-3.50</w:t>
            </w:r>
          </w:p>
        </w:tc>
        <w:tc>
          <w:tcPr>
            <w:tcW w:w="719" w:type="dxa"/>
            <w:vAlign w:val="center"/>
          </w:tcPr>
          <w:p w14:paraId="27ECE52E" w14:textId="77777777" w:rsidR="005E000F" w:rsidRDefault="005E000F"/>
        </w:tc>
      </w:tr>
      <w:tr w:rsidR="005E000F" w14:paraId="2CAD58D7" w14:textId="77777777">
        <w:trPr>
          <w:trHeight w:val="165"/>
        </w:trPr>
        <w:tc>
          <w:tcPr>
            <w:tcW w:w="392" w:type="dxa"/>
            <w:vAlign w:val="center"/>
          </w:tcPr>
          <w:p w14:paraId="7650FFE3" w14:textId="77777777" w:rsidR="005E000F" w:rsidRDefault="005E000F"/>
        </w:tc>
        <w:tc>
          <w:tcPr>
            <w:tcW w:w="1843" w:type="dxa"/>
            <w:vAlign w:val="center"/>
          </w:tcPr>
          <w:p w14:paraId="1C75978F" w14:textId="77777777" w:rsidR="005E000F" w:rsidRDefault="00000000">
            <w:r>
              <w:t>货车使用费</w:t>
            </w:r>
          </w:p>
        </w:tc>
        <w:tc>
          <w:tcPr>
            <w:tcW w:w="1559" w:type="dxa"/>
            <w:vAlign w:val="center"/>
          </w:tcPr>
          <w:p w14:paraId="66441899" w14:textId="77777777" w:rsidR="005E000F" w:rsidRDefault="00000000">
            <w:pPr>
              <w:jc w:val="right"/>
            </w:pPr>
            <w:r>
              <w:t>3,251,613,829</w:t>
            </w:r>
          </w:p>
        </w:tc>
        <w:tc>
          <w:tcPr>
            <w:tcW w:w="850" w:type="dxa"/>
            <w:vAlign w:val="center"/>
          </w:tcPr>
          <w:p w14:paraId="5D7082A4" w14:textId="77777777" w:rsidR="005E000F" w:rsidRDefault="00000000">
            <w:pPr>
              <w:jc w:val="right"/>
            </w:pPr>
            <w:r>
              <w:t>4.58</w:t>
            </w:r>
          </w:p>
        </w:tc>
        <w:tc>
          <w:tcPr>
            <w:tcW w:w="1701" w:type="dxa"/>
            <w:vAlign w:val="center"/>
          </w:tcPr>
          <w:p w14:paraId="4050BE58" w14:textId="77777777" w:rsidR="005E000F" w:rsidRDefault="00000000">
            <w:pPr>
              <w:jc w:val="right"/>
            </w:pPr>
            <w:r>
              <w:t>3,093,272,351</w:t>
            </w:r>
          </w:p>
        </w:tc>
        <w:tc>
          <w:tcPr>
            <w:tcW w:w="851" w:type="dxa"/>
            <w:vAlign w:val="center"/>
          </w:tcPr>
          <w:p w14:paraId="74A31DF7" w14:textId="77777777" w:rsidR="005E000F" w:rsidRDefault="00000000">
            <w:pPr>
              <w:jc w:val="right"/>
            </w:pPr>
            <w:r>
              <w:t>4.89</w:t>
            </w:r>
          </w:p>
        </w:tc>
        <w:tc>
          <w:tcPr>
            <w:tcW w:w="1134" w:type="dxa"/>
            <w:vAlign w:val="center"/>
          </w:tcPr>
          <w:p w14:paraId="30C1916E" w14:textId="77777777" w:rsidR="005E000F" w:rsidRDefault="00000000">
            <w:pPr>
              <w:jc w:val="right"/>
            </w:pPr>
            <w:r>
              <w:t>5.12</w:t>
            </w:r>
          </w:p>
        </w:tc>
        <w:tc>
          <w:tcPr>
            <w:tcW w:w="719" w:type="dxa"/>
            <w:vAlign w:val="center"/>
          </w:tcPr>
          <w:p w14:paraId="0CF4F6D1" w14:textId="77777777" w:rsidR="005E000F" w:rsidRDefault="005E000F"/>
        </w:tc>
      </w:tr>
      <w:tr w:rsidR="005E000F" w14:paraId="76B6B723" w14:textId="77777777">
        <w:trPr>
          <w:trHeight w:val="165"/>
        </w:trPr>
        <w:tc>
          <w:tcPr>
            <w:tcW w:w="392" w:type="dxa"/>
            <w:vAlign w:val="center"/>
          </w:tcPr>
          <w:p w14:paraId="1135EA54" w14:textId="77777777" w:rsidR="005E000F" w:rsidRDefault="005E000F"/>
        </w:tc>
        <w:tc>
          <w:tcPr>
            <w:tcW w:w="1843" w:type="dxa"/>
            <w:vAlign w:val="center"/>
          </w:tcPr>
          <w:p w14:paraId="5C6B5129" w14:textId="77777777" w:rsidR="005E000F" w:rsidRDefault="00000000">
            <w:r>
              <w:t>机客车租赁费</w:t>
            </w:r>
          </w:p>
        </w:tc>
        <w:tc>
          <w:tcPr>
            <w:tcW w:w="1559" w:type="dxa"/>
            <w:vAlign w:val="center"/>
          </w:tcPr>
          <w:p w14:paraId="1C157806" w14:textId="77777777" w:rsidR="005E000F" w:rsidRDefault="00000000">
            <w:pPr>
              <w:jc w:val="right"/>
            </w:pPr>
            <w:r>
              <w:t>1,901,471,768</w:t>
            </w:r>
          </w:p>
        </w:tc>
        <w:tc>
          <w:tcPr>
            <w:tcW w:w="850" w:type="dxa"/>
            <w:vAlign w:val="center"/>
          </w:tcPr>
          <w:p w14:paraId="7EAA47C1" w14:textId="77777777" w:rsidR="005E000F" w:rsidRDefault="00000000">
            <w:pPr>
              <w:jc w:val="right"/>
            </w:pPr>
            <w:r>
              <w:t>2.68</w:t>
            </w:r>
          </w:p>
        </w:tc>
        <w:tc>
          <w:tcPr>
            <w:tcW w:w="1701" w:type="dxa"/>
            <w:vAlign w:val="center"/>
          </w:tcPr>
          <w:p w14:paraId="658FC58D" w14:textId="77777777" w:rsidR="005E000F" w:rsidRDefault="00000000">
            <w:pPr>
              <w:jc w:val="right"/>
            </w:pPr>
            <w:r>
              <w:t>1,764,945,516</w:t>
            </w:r>
          </w:p>
        </w:tc>
        <w:tc>
          <w:tcPr>
            <w:tcW w:w="851" w:type="dxa"/>
            <w:vAlign w:val="center"/>
          </w:tcPr>
          <w:p w14:paraId="579A9799" w14:textId="77777777" w:rsidR="005E000F" w:rsidRDefault="00000000">
            <w:pPr>
              <w:jc w:val="right"/>
            </w:pPr>
            <w:r>
              <w:t>2.79</w:t>
            </w:r>
          </w:p>
        </w:tc>
        <w:tc>
          <w:tcPr>
            <w:tcW w:w="1134" w:type="dxa"/>
            <w:vAlign w:val="center"/>
          </w:tcPr>
          <w:p w14:paraId="60B6BF91" w14:textId="77777777" w:rsidR="005E000F" w:rsidRDefault="00000000">
            <w:pPr>
              <w:jc w:val="right"/>
            </w:pPr>
            <w:r>
              <w:t>7.74</w:t>
            </w:r>
          </w:p>
        </w:tc>
        <w:tc>
          <w:tcPr>
            <w:tcW w:w="719" w:type="dxa"/>
            <w:vAlign w:val="center"/>
          </w:tcPr>
          <w:p w14:paraId="5DE00899" w14:textId="77777777" w:rsidR="005E000F" w:rsidRDefault="005E000F"/>
        </w:tc>
      </w:tr>
      <w:tr w:rsidR="005E000F" w14:paraId="7C9D0E5F" w14:textId="77777777">
        <w:trPr>
          <w:trHeight w:val="165"/>
        </w:trPr>
        <w:tc>
          <w:tcPr>
            <w:tcW w:w="392" w:type="dxa"/>
            <w:vAlign w:val="center"/>
          </w:tcPr>
          <w:p w14:paraId="5A9CA696" w14:textId="77777777" w:rsidR="005E000F" w:rsidRDefault="005E000F"/>
        </w:tc>
        <w:tc>
          <w:tcPr>
            <w:tcW w:w="1843" w:type="dxa"/>
            <w:vAlign w:val="center"/>
          </w:tcPr>
          <w:p w14:paraId="46AF9F7C" w14:textId="77777777" w:rsidR="005E000F" w:rsidRDefault="00000000">
            <w:r>
              <w:t>电力及燃料</w:t>
            </w:r>
          </w:p>
        </w:tc>
        <w:tc>
          <w:tcPr>
            <w:tcW w:w="1559" w:type="dxa"/>
            <w:vAlign w:val="center"/>
          </w:tcPr>
          <w:p w14:paraId="5A862D77" w14:textId="77777777" w:rsidR="005E000F" w:rsidRDefault="00000000">
            <w:pPr>
              <w:jc w:val="right"/>
            </w:pPr>
            <w:r>
              <w:t>3,100,510,062</w:t>
            </w:r>
          </w:p>
        </w:tc>
        <w:tc>
          <w:tcPr>
            <w:tcW w:w="850" w:type="dxa"/>
            <w:vAlign w:val="center"/>
          </w:tcPr>
          <w:p w14:paraId="688B0AC4" w14:textId="77777777" w:rsidR="005E000F" w:rsidRDefault="00000000">
            <w:pPr>
              <w:jc w:val="right"/>
            </w:pPr>
            <w:r>
              <w:t>4.37</w:t>
            </w:r>
          </w:p>
        </w:tc>
        <w:tc>
          <w:tcPr>
            <w:tcW w:w="1701" w:type="dxa"/>
            <w:vAlign w:val="center"/>
          </w:tcPr>
          <w:p w14:paraId="3928E78E" w14:textId="77777777" w:rsidR="005E000F" w:rsidRDefault="00000000">
            <w:pPr>
              <w:jc w:val="right"/>
            </w:pPr>
            <w:r>
              <w:t>3,118,366,699</w:t>
            </w:r>
          </w:p>
        </w:tc>
        <w:tc>
          <w:tcPr>
            <w:tcW w:w="851" w:type="dxa"/>
            <w:vAlign w:val="center"/>
          </w:tcPr>
          <w:p w14:paraId="71481111" w14:textId="77777777" w:rsidR="005E000F" w:rsidRDefault="00000000">
            <w:pPr>
              <w:jc w:val="right"/>
            </w:pPr>
            <w:r>
              <w:t>4.93</w:t>
            </w:r>
          </w:p>
        </w:tc>
        <w:tc>
          <w:tcPr>
            <w:tcW w:w="1134" w:type="dxa"/>
            <w:vAlign w:val="center"/>
          </w:tcPr>
          <w:p w14:paraId="74C3BB40" w14:textId="77777777" w:rsidR="005E000F" w:rsidRDefault="00000000">
            <w:pPr>
              <w:jc w:val="right"/>
            </w:pPr>
            <w:r>
              <w:t>-0.57</w:t>
            </w:r>
          </w:p>
        </w:tc>
        <w:tc>
          <w:tcPr>
            <w:tcW w:w="719" w:type="dxa"/>
            <w:vAlign w:val="center"/>
          </w:tcPr>
          <w:p w14:paraId="13F36CAE" w14:textId="77777777" w:rsidR="005E000F" w:rsidRDefault="005E000F"/>
        </w:tc>
      </w:tr>
      <w:tr w:rsidR="005E000F" w14:paraId="020118A1" w14:textId="77777777">
        <w:trPr>
          <w:trHeight w:val="165"/>
        </w:trPr>
        <w:tc>
          <w:tcPr>
            <w:tcW w:w="392" w:type="dxa"/>
            <w:vAlign w:val="center"/>
          </w:tcPr>
          <w:p w14:paraId="303D5770" w14:textId="77777777" w:rsidR="005E000F" w:rsidRDefault="005E000F"/>
        </w:tc>
        <w:tc>
          <w:tcPr>
            <w:tcW w:w="1843" w:type="dxa"/>
            <w:vAlign w:val="center"/>
          </w:tcPr>
          <w:p w14:paraId="3C502028" w14:textId="77777777" w:rsidR="005E000F" w:rsidRDefault="00000000">
            <w:r>
              <w:t>材料</w:t>
            </w:r>
          </w:p>
        </w:tc>
        <w:tc>
          <w:tcPr>
            <w:tcW w:w="1559" w:type="dxa"/>
            <w:vAlign w:val="center"/>
          </w:tcPr>
          <w:p w14:paraId="68EE6869" w14:textId="77777777" w:rsidR="005E000F" w:rsidRDefault="00000000">
            <w:pPr>
              <w:jc w:val="right"/>
            </w:pPr>
            <w:r>
              <w:t>1,156,059,052</w:t>
            </w:r>
          </w:p>
        </w:tc>
        <w:tc>
          <w:tcPr>
            <w:tcW w:w="850" w:type="dxa"/>
            <w:vAlign w:val="center"/>
          </w:tcPr>
          <w:p w14:paraId="1D2861BB" w14:textId="77777777" w:rsidR="005E000F" w:rsidRDefault="00000000">
            <w:pPr>
              <w:jc w:val="right"/>
            </w:pPr>
            <w:r>
              <w:t>1.63</w:t>
            </w:r>
          </w:p>
        </w:tc>
        <w:tc>
          <w:tcPr>
            <w:tcW w:w="1701" w:type="dxa"/>
            <w:vAlign w:val="center"/>
          </w:tcPr>
          <w:p w14:paraId="313A17C1" w14:textId="77777777" w:rsidR="005E000F" w:rsidRDefault="00000000">
            <w:pPr>
              <w:jc w:val="right"/>
            </w:pPr>
            <w:r>
              <w:t>1,302,912,581</w:t>
            </w:r>
          </w:p>
        </w:tc>
        <w:tc>
          <w:tcPr>
            <w:tcW w:w="851" w:type="dxa"/>
            <w:vAlign w:val="center"/>
          </w:tcPr>
          <w:p w14:paraId="1CAE1245" w14:textId="77777777" w:rsidR="005E000F" w:rsidRDefault="00000000">
            <w:pPr>
              <w:jc w:val="right"/>
            </w:pPr>
            <w:r>
              <w:t>2.06</w:t>
            </w:r>
          </w:p>
        </w:tc>
        <w:tc>
          <w:tcPr>
            <w:tcW w:w="1134" w:type="dxa"/>
            <w:vAlign w:val="center"/>
          </w:tcPr>
          <w:p w14:paraId="5CFF9BA9" w14:textId="77777777" w:rsidR="005E000F" w:rsidRDefault="00000000">
            <w:pPr>
              <w:jc w:val="right"/>
            </w:pPr>
            <w:r>
              <w:t>-11.27</w:t>
            </w:r>
          </w:p>
        </w:tc>
        <w:tc>
          <w:tcPr>
            <w:tcW w:w="719" w:type="dxa"/>
            <w:vAlign w:val="center"/>
          </w:tcPr>
          <w:p w14:paraId="55037DE2" w14:textId="77777777" w:rsidR="005E000F" w:rsidRDefault="005E000F"/>
        </w:tc>
      </w:tr>
      <w:tr w:rsidR="005E000F" w14:paraId="24FF0928" w14:textId="77777777">
        <w:trPr>
          <w:trHeight w:val="165"/>
        </w:trPr>
        <w:tc>
          <w:tcPr>
            <w:tcW w:w="392" w:type="dxa"/>
            <w:vAlign w:val="center"/>
          </w:tcPr>
          <w:p w14:paraId="7F1A7D93" w14:textId="77777777" w:rsidR="005E000F" w:rsidRDefault="005E000F"/>
        </w:tc>
        <w:tc>
          <w:tcPr>
            <w:tcW w:w="1843" w:type="dxa"/>
            <w:vAlign w:val="center"/>
          </w:tcPr>
          <w:p w14:paraId="36506D3C" w14:textId="77777777" w:rsidR="005E000F" w:rsidRDefault="00000000">
            <w:r>
              <w:t>大修支出</w:t>
            </w:r>
          </w:p>
        </w:tc>
        <w:tc>
          <w:tcPr>
            <w:tcW w:w="1559" w:type="dxa"/>
            <w:vAlign w:val="center"/>
          </w:tcPr>
          <w:p w14:paraId="467B78E1" w14:textId="77777777" w:rsidR="005E000F" w:rsidRDefault="00000000">
            <w:pPr>
              <w:jc w:val="right"/>
            </w:pPr>
            <w:r>
              <w:t>397,338,386</w:t>
            </w:r>
          </w:p>
        </w:tc>
        <w:tc>
          <w:tcPr>
            <w:tcW w:w="850" w:type="dxa"/>
            <w:vAlign w:val="center"/>
          </w:tcPr>
          <w:p w14:paraId="09D920AA" w14:textId="77777777" w:rsidR="005E000F" w:rsidRDefault="00000000">
            <w:pPr>
              <w:jc w:val="right"/>
            </w:pPr>
            <w:r>
              <w:t>0.56</w:t>
            </w:r>
          </w:p>
        </w:tc>
        <w:tc>
          <w:tcPr>
            <w:tcW w:w="1701" w:type="dxa"/>
            <w:vAlign w:val="center"/>
          </w:tcPr>
          <w:p w14:paraId="69C6D3D3" w14:textId="77777777" w:rsidR="005E000F" w:rsidRDefault="00000000">
            <w:pPr>
              <w:jc w:val="right"/>
            </w:pPr>
            <w:r>
              <w:t>247,099,516</w:t>
            </w:r>
          </w:p>
        </w:tc>
        <w:tc>
          <w:tcPr>
            <w:tcW w:w="851" w:type="dxa"/>
            <w:vAlign w:val="center"/>
          </w:tcPr>
          <w:p w14:paraId="0BB93D17" w14:textId="77777777" w:rsidR="005E000F" w:rsidRDefault="00000000">
            <w:pPr>
              <w:jc w:val="right"/>
            </w:pPr>
            <w:r>
              <w:t>0.39</w:t>
            </w:r>
          </w:p>
        </w:tc>
        <w:tc>
          <w:tcPr>
            <w:tcW w:w="1134" w:type="dxa"/>
            <w:vAlign w:val="center"/>
          </w:tcPr>
          <w:p w14:paraId="5C69635C" w14:textId="77777777" w:rsidR="005E000F" w:rsidRDefault="00000000">
            <w:pPr>
              <w:jc w:val="right"/>
            </w:pPr>
            <w:r>
              <w:t>60.80</w:t>
            </w:r>
          </w:p>
        </w:tc>
        <w:tc>
          <w:tcPr>
            <w:tcW w:w="719" w:type="dxa"/>
            <w:vAlign w:val="center"/>
          </w:tcPr>
          <w:p w14:paraId="5215AF9D" w14:textId="77777777" w:rsidR="005E000F" w:rsidRDefault="005E000F"/>
        </w:tc>
      </w:tr>
      <w:tr w:rsidR="005E000F" w14:paraId="29DF4012" w14:textId="77777777">
        <w:trPr>
          <w:trHeight w:val="165"/>
        </w:trPr>
        <w:tc>
          <w:tcPr>
            <w:tcW w:w="392" w:type="dxa"/>
            <w:vAlign w:val="center"/>
          </w:tcPr>
          <w:p w14:paraId="670F0551" w14:textId="77777777" w:rsidR="005E000F" w:rsidRDefault="005E000F"/>
        </w:tc>
        <w:tc>
          <w:tcPr>
            <w:tcW w:w="1843" w:type="dxa"/>
            <w:vAlign w:val="center"/>
          </w:tcPr>
          <w:p w14:paraId="464BE0B2" w14:textId="77777777" w:rsidR="005E000F" w:rsidRDefault="00000000">
            <w:r>
              <w:t>土地房屋租赁费</w:t>
            </w:r>
          </w:p>
        </w:tc>
        <w:tc>
          <w:tcPr>
            <w:tcW w:w="1559" w:type="dxa"/>
            <w:vAlign w:val="center"/>
          </w:tcPr>
          <w:p w14:paraId="67F7F88F" w14:textId="77777777" w:rsidR="005E000F" w:rsidRDefault="00000000">
            <w:pPr>
              <w:jc w:val="right"/>
            </w:pPr>
            <w:r>
              <w:t>572,635,057</w:t>
            </w:r>
          </w:p>
        </w:tc>
        <w:tc>
          <w:tcPr>
            <w:tcW w:w="850" w:type="dxa"/>
            <w:vAlign w:val="center"/>
          </w:tcPr>
          <w:p w14:paraId="2F07755E" w14:textId="77777777" w:rsidR="005E000F" w:rsidRDefault="00000000">
            <w:pPr>
              <w:jc w:val="right"/>
            </w:pPr>
            <w:r>
              <w:t>0.81</w:t>
            </w:r>
          </w:p>
        </w:tc>
        <w:tc>
          <w:tcPr>
            <w:tcW w:w="1701" w:type="dxa"/>
            <w:vAlign w:val="center"/>
          </w:tcPr>
          <w:p w14:paraId="4C2E74CF" w14:textId="77777777" w:rsidR="005E000F" w:rsidRDefault="00000000">
            <w:pPr>
              <w:jc w:val="right"/>
            </w:pPr>
            <w:r>
              <w:t>702,870,916</w:t>
            </w:r>
          </w:p>
        </w:tc>
        <w:tc>
          <w:tcPr>
            <w:tcW w:w="851" w:type="dxa"/>
            <w:vAlign w:val="center"/>
          </w:tcPr>
          <w:p w14:paraId="2D4404FD" w14:textId="77777777" w:rsidR="005E000F" w:rsidRDefault="00000000">
            <w:pPr>
              <w:jc w:val="right"/>
            </w:pPr>
            <w:r>
              <w:t>1.11</w:t>
            </w:r>
          </w:p>
        </w:tc>
        <w:tc>
          <w:tcPr>
            <w:tcW w:w="1134" w:type="dxa"/>
            <w:vAlign w:val="center"/>
          </w:tcPr>
          <w:p w14:paraId="258024F2" w14:textId="77777777" w:rsidR="005E000F" w:rsidRDefault="00000000">
            <w:pPr>
              <w:jc w:val="right"/>
            </w:pPr>
            <w:r>
              <w:t>-18.53</w:t>
            </w:r>
          </w:p>
        </w:tc>
        <w:tc>
          <w:tcPr>
            <w:tcW w:w="719" w:type="dxa"/>
            <w:vAlign w:val="center"/>
          </w:tcPr>
          <w:p w14:paraId="401612E2" w14:textId="77777777" w:rsidR="005E000F" w:rsidRDefault="005E000F"/>
        </w:tc>
      </w:tr>
      <w:tr w:rsidR="005E000F" w14:paraId="21EF876A" w14:textId="77777777">
        <w:trPr>
          <w:trHeight w:val="165"/>
        </w:trPr>
        <w:tc>
          <w:tcPr>
            <w:tcW w:w="392" w:type="dxa"/>
            <w:vAlign w:val="center"/>
          </w:tcPr>
          <w:p w14:paraId="74A9AF74" w14:textId="77777777" w:rsidR="005E000F" w:rsidRDefault="005E000F"/>
        </w:tc>
        <w:tc>
          <w:tcPr>
            <w:tcW w:w="1843" w:type="dxa"/>
            <w:vAlign w:val="center"/>
          </w:tcPr>
          <w:p w14:paraId="2CBCE8D5" w14:textId="77777777" w:rsidR="005E000F" w:rsidRDefault="00000000">
            <w:r>
              <w:t>供热、供暖费及房屋维修费</w:t>
            </w:r>
          </w:p>
        </w:tc>
        <w:tc>
          <w:tcPr>
            <w:tcW w:w="1559" w:type="dxa"/>
            <w:vAlign w:val="center"/>
          </w:tcPr>
          <w:p w14:paraId="663CF83C" w14:textId="77777777" w:rsidR="005E000F" w:rsidRDefault="00000000">
            <w:pPr>
              <w:jc w:val="right"/>
            </w:pPr>
            <w:r>
              <w:t>368,065,926</w:t>
            </w:r>
          </w:p>
        </w:tc>
        <w:tc>
          <w:tcPr>
            <w:tcW w:w="850" w:type="dxa"/>
            <w:vAlign w:val="center"/>
          </w:tcPr>
          <w:p w14:paraId="4C0C133A" w14:textId="77777777" w:rsidR="005E000F" w:rsidRDefault="00000000">
            <w:pPr>
              <w:jc w:val="right"/>
            </w:pPr>
            <w:r>
              <w:t>0.52</w:t>
            </w:r>
          </w:p>
        </w:tc>
        <w:tc>
          <w:tcPr>
            <w:tcW w:w="1701" w:type="dxa"/>
            <w:vAlign w:val="center"/>
          </w:tcPr>
          <w:p w14:paraId="064A7476" w14:textId="77777777" w:rsidR="005E000F" w:rsidRDefault="00000000">
            <w:pPr>
              <w:jc w:val="right"/>
            </w:pPr>
            <w:r>
              <w:t>307,338,173</w:t>
            </w:r>
          </w:p>
        </w:tc>
        <w:tc>
          <w:tcPr>
            <w:tcW w:w="851" w:type="dxa"/>
            <w:vAlign w:val="center"/>
          </w:tcPr>
          <w:p w14:paraId="716284EB" w14:textId="77777777" w:rsidR="005E000F" w:rsidRDefault="00000000">
            <w:pPr>
              <w:jc w:val="right"/>
            </w:pPr>
            <w:r>
              <w:t>0.49</w:t>
            </w:r>
          </w:p>
        </w:tc>
        <w:tc>
          <w:tcPr>
            <w:tcW w:w="1134" w:type="dxa"/>
            <w:vAlign w:val="center"/>
          </w:tcPr>
          <w:p w14:paraId="6B921218" w14:textId="77777777" w:rsidR="005E000F" w:rsidRDefault="00000000">
            <w:pPr>
              <w:jc w:val="right"/>
            </w:pPr>
            <w:r>
              <w:t>19.76</w:t>
            </w:r>
          </w:p>
        </w:tc>
        <w:tc>
          <w:tcPr>
            <w:tcW w:w="719" w:type="dxa"/>
            <w:vAlign w:val="center"/>
          </w:tcPr>
          <w:p w14:paraId="5DCD241E" w14:textId="77777777" w:rsidR="005E000F" w:rsidRDefault="005E000F"/>
        </w:tc>
      </w:tr>
      <w:tr w:rsidR="005E000F" w14:paraId="1032BE5D" w14:textId="77777777">
        <w:trPr>
          <w:trHeight w:val="165"/>
        </w:trPr>
        <w:tc>
          <w:tcPr>
            <w:tcW w:w="392" w:type="dxa"/>
            <w:vAlign w:val="center"/>
          </w:tcPr>
          <w:p w14:paraId="7D2AB24A" w14:textId="77777777" w:rsidR="005E000F" w:rsidRDefault="005E000F"/>
        </w:tc>
        <w:tc>
          <w:tcPr>
            <w:tcW w:w="1843" w:type="dxa"/>
            <w:vAlign w:val="center"/>
          </w:tcPr>
          <w:p w14:paraId="6A06B758" w14:textId="77777777" w:rsidR="005E000F" w:rsidRDefault="00000000">
            <w:r>
              <w:t>和谐机车检修费</w:t>
            </w:r>
          </w:p>
        </w:tc>
        <w:tc>
          <w:tcPr>
            <w:tcW w:w="1559" w:type="dxa"/>
            <w:vAlign w:val="center"/>
          </w:tcPr>
          <w:p w14:paraId="1EB48B8E" w14:textId="77777777" w:rsidR="005E000F" w:rsidRDefault="00000000">
            <w:pPr>
              <w:jc w:val="right"/>
            </w:pPr>
            <w:r>
              <w:t>302,631,312</w:t>
            </w:r>
          </w:p>
        </w:tc>
        <w:tc>
          <w:tcPr>
            <w:tcW w:w="850" w:type="dxa"/>
            <w:vAlign w:val="center"/>
          </w:tcPr>
          <w:p w14:paraId="0F5A7F3C" w14:textId="77777777" w:rsidR="005E000F" w:rsidRDefault="00000000">
            <w:pPr>
              <w:jc w:val="right"/>
            </w:pPr>
            <w:r>
              <w:t>0.43</w:t>
            </w:r>
          </w:p>
        </w:tc>
        <w:tc>
          <w:tcPr>
            <w:tcW w:w="1701" w:type="dxa"/>
            <w:vAlign w:val="center"/>
          </w:tcPr>
          <w:p w14:paraId="1DCFE090" w14:textId="77777777" w:rsidR="005E000F" w:rsidRDefault="00000000">
            <w:pPr>
              <w:jc w:val="right"/>
            </w:pPr>
            <w:r>
              <w:t>409,223,665</w:t>
            </w:r>
          </w:p>
        </w:tc>
        <w:tc>
          <w:tcPr>
            <w:tcW w:w="851" w:type="dxa"/>
            <w:vAlign w:val="center"/>
          </w:tcPr>
          <w:p w14:paraId="4AE6BDE4" w14:textId="77777777" w:rsidR="005E000F" w:rsidRDefault="00000000">
            <w:pPr>
              <w:jc w:val="right"/>
            </w:pPr>
            <w:r>
              <w:t>0.65</w:t>
            </w:r>
          </w:p>
        </w:tc>
        <w:tc>
          <w:tcPr>
            <w:tcW w:w="1134" w:type="dxa"/>
            <w:vAlign w:val="center"/>
          </w:tcPr>
          <w:p w14:paraId="110FBBE8" w14:textId="77777777" w:rsidR="005E000F" w:rsidRDefault="00000000">
            <w:pPr>
              <w:jc w:val="right"/>
            </w:pPr>
            <w:r>
              <w:t>-26.05</w:t>
            </w:r>
          </w:p>
        </w:tc>
        <w:tc>
          <w:tcPr>
            <w:tcW w:w="719" w:type="dxa"/>
            <w:vAlign w:val="center"/>
          </w:tcPr>
          <w:p w14:paraId="23A87239" w14:textId="77777777" w:rsidR="005E000F" w:rsidRDefault="005E000F"/>
        </w:tc>
      </w:tr>
      <w:tr w:rsidR="005E000F" w14:paraId="751FC858" w14:textId="77777777">
        <w:trPr>
          <w:trHeight w:val="165"/>
        </w:trPr>
        <w:tc>
          <w:tcPr>
            <w:tcW w:w="392" w:type="dxa"/>
            <w:vAlign w:val="center"/>
          </w:tcPr>
          <w:p w14:paraId="05BDBE78" w14:textId="77777777" w:rsidR="005E000F" w:rsidRDefault="005E000F"/>
        </w:tc>
        <w:tc>
          <w:tcPr>
            <w:tcW w:w="1843" w:type="dxa"/>
            <w:vAlign w:val="center"/>
          </w:tcPr>
          <w:p w14:paraId="5B40BC69" w14:textId="77777777" w:rsidR="005E000F" w:rsidRDefault="00000000">
            <w:r>
              <w:t>付费支出</w:t>
            </w:r>
          </w:p>
        </w:tc>
        <w:tc>
          <w:tcPr>
            <w:tcW w:w="1559" w:type="dxa"/>
            <w:vAlign w:val="center"/>
          </w:tcPr>
          <w:p w14:paraId="5D88F889" w14:textId="77777777" w:rsidR="005E000F" w:rsidRDefault="00000000">
            <w:pPr>
              <w:jc w:val="right"/>
            </w:pPr>
            <w:r>
              <w:t>24,942,092,564</w:t>
            </w:r>
          </w:p>
        </w:tc>
        <w:tc>
          <w:tcPr>
            <w:tcW w:w="850" w:type="dxa"/>
            <w:vAlign w:val="center"/>
          </w:tcPr>
          <w:p w14:paraId="6AB38B4A" w14:textId="77777777" w:rsidR="005E000F" w:rsidRDefault="00000000">
            <w:pPr>
              <w:jc w:val="right"/>
            </w:pPr>
            <w:r>
              <w:t>35.15</w:t>
            </w:r>
          </w:p>
        </w:tc>
        <w:tc>
          <w:tcPr>
            <w:tcW w:w="1701" w:type="dxa"/>
            <w:vAlign w:val="center"/>
          </w:tcPr>
          <w:p w14:paraId="04F388D4" w14:textId="77777777" w:rsidR="005E000F" w:rsidRDefault="00000000">
            <w:pPr>
              <w:jc w:val="right"/>
            </w:pPr>
            <w:r>
              <w:t>21,051,808,098</w:t>
            </w:r>
          </w:p>
        </w:tc>
        <w:tc>
          <w:tcPr>
            <w:tcW w:w="851" w:type="dxa"/>
            <w:vAlign w:val="center"/>
          </w:tcPr>
          <w:p w14:paraId="0DD4D28F" w14:textId="77777777" w:rsidR="005E000F" w:rsidRDefault="00000000">
            <w:pPr>
              <w:jc w:val="right"/>
            </w:pPr>
            <w:r>
              <w:t>33.31</w:t>
            </w:r>
          </w:p>
        </w:tc>
        <w:tc>
          <w:tcPr>
            <w:tcW w:w="1134" w:type="dxa"/>
            <w:vAlign w:val="center"/>
          </w:tcPr>
          <w:p w14:paraId="389E6B80" w14:textId="77777777" w:rsidR="005E000F" w:rsidRDefault="00000000">
            <w:pPr>
              <w:jc w:val="right"/>
            </w:pPr>
            <w:r>
              <w:t>18.46</w:t>
            </w:r>
          </w:p>
        </w:tc>
        <w:tc>
          <w:tcPr>
            <w:tcW w:w="719" w:type="dxa"/>
            <w:vAlign w:val="center"/>
          </w:tcPr>
          <w:p w14:paraId="308EE624" w14:textId="77777777" w:rsidR="005E000F" w:rsidRDefault="005E000F"/>
        </w:tc>
      </w:tr>
      <w:tr w:rsidR="005E000F" w14:paraId="57F27FC0" w14:textId="77777777">
        <w:trPr>
          <w:trHeight w:val="165"/>
        </w:trPr>
        <w:tc>
          <w:tcPr>
            <w:tcW w:w="392" w:type="dxa"/>
            <w:vAlign w:val="center"/>
          </w:tcPr>
          <w:p w14:paraId="5F55CCEE" w14:textId="77777777" w:rsidR="005E000F" w:rsidRDefault="005E000F"/>
        </w:tc>
        <w:tc>
          <w:tcPr>
            <w:tcW w:w="1843" w:type="dxa"/>
            <w:vAlign w:val="center"/>
          </w:tcPr>
          <w:p w14:paraId="79A3B520" w14:textId="77777777" w:rsidR="005E000F" w:rsidRDefault="00000000">
            <w:r>
              <w:t>其中：客运服务费</w:t>
            </w:r>
          </w:p>
        </w:tc>
        <w:tc>
          <w:tcPr>
            <w:tcW w:w="1559" w:type="dxa"/>
            <w:vAlign w:val="center"/>
          </w:tcPr>
          <w:p w14:paraId="186897B2" w14:textId="77777777" w:rsidR="005E000F" w:rsidRDefault="00000000">
            <w:pPr>
              <w:jc w:val="right"/>
            </w:pPr>
            <w:r>
              <w:t>6,885,369,322</w:t>
            </w:r>
          </w:p>
        </w:tc>
        <w:tc>
          <w:tcPr>
            <w:tcW w:w="850" w:type="dxa"/>
            <w:vAlign w:val="center"/>
          </w:tcPr>
          <w:p w14:paraId="7F903FEF" w14:textId="77777777" w:rsidR="005E000F" w:rsidRDefault="00000000">
            <w:pPr>
              <w:jc w:val="right"/>
            </w:pPr>
            <w:r>
              <w:t>9.70</w:t>
            </w:r>
          </w:p>
        </w:tc>
        <w:tc>
          <w:tcPr>
            <w:tcW w:w="1701" w:type="dxa"/>
            <w:vAlign w:val="center"/>
          </w:tcPr>
          <w:p w14:paraId="5BF19D79" w14:textId="77777777" w:rsidR="005E000F" w:rsidRDefault="00000000">
            <w:pPr>
              <w:jc w:val="right"/>
            </w:pPr>
            <w:r>
              <w:t>6,360,029,381</w:t>
            </w:r>
          </w:p>
        </w:tc>
        <w:tc>
          <w:tcPr>
            <w:tcW w:w="851" w:type="dxa"/>
            <w:vAlign w:val="center"/>
          </w:tcPr>
          <w:p w14:paraId="5F33094A" w14:textId="77777777" w:rsidR="005E000F" w:rsidRDefault="00000000">
            <w:pPr>
              <w:jc w:val="right"/>
            </w:pPr>
            <w:r>
              <w:t>10.06</w:t>
            </w:r>
          </w:p>
        </w:tc>
        <w:tc>
          <w:tcPr>
            <w:tcW w:w="1134" w:type="dxa"/>
            <w:vAlign w:val="center"/>
          </w:tcPr>
          <w:p w14:paraId="43F85006" w14:textId="77777777" w:rsidR="005E000F" w:rsidRDefault="00000000">
            <w:pPr>
              <w:jc w:val="right"/>
            </w:pPr>
            <w:r>
              <w:t>8.26</w:t>
            </w:r>
          </w:p>
        </w:tc>
        <w:tc>
          <w:tcPr>
            <w:tcW w:w="719" w:type="dxa"/>
            <w:vAlign w:val="center"/>
          </w:tcPr>
          <w:p w14:paraId="2822BE7D" w14:textId="77777777" w:rsidR="005E000F" w:rsidRDefault="005E000F"/>
        </w:tc>
      </w:tr>
      <w:tr w:rsidR="005E000F" w14:paraId="5614AD3F" w14:textId="77777777">
        <w:trPr>
          <w:trHeight w:val="165"/>
        </w:trPr>
        <w:tc>
          <w:tcPr>
            <w:tcW w:w="392" w:type="dxa"/>
            <w:vAlign w:val="center"/>
          </w:tcPr>
          <w:p w14:paraId="0D1BC763" w14:textId="77777777" w:rsidR="005E000F" w:rsidRDefault="005E000F"/>
        </w:tc>
        <w:tc>
          <w:tcPr>
            <w:tcW w:w="1843" w:type="dxa"/>
            <w:vAlign w:val="center"/>
          </w:tcPr>
          <w:p w14:paraId="7DBCE43F" w14:textId="77777777" w:rsidR="005E000F" w:rsidRDefault="00000000">
            <w:r>
              <w:t>其中：货运服务费</w:t>
            </w:r>
          </w:p>
        </w:tc>
        <w:tc>
          <w:tcPr>
            <w:tcW w:w="1559" w:type="dxa"/>
            <w:vAlign w:val="center"/>
          </w:tcPr>
          <w:p w14:paraId="528D496F" w14:textId="77777777" w:rsidR="005E000F" w:rsidRDefault="00000000">
            <w:pPr>
              <w:jc w:val="right"/>
            </w:pPr>
            <w:r>
              <w:t>18,056,723,242</w:t>
            </w:r>
          </w:p>
        </w:tc>
        <w:tc>
          <w:tcPr>
            <w:tcW w:w="850" w:type="dxa"/>
            <w:vAlign w:val="center"/>
          </w:tcPr>
          <w:p w14:paraId="11470D9B" w14:textId="77777777" w:rsidR="005E000F" w:rsidRDefault="00000000">
            <w:pPr>
              <w:jc w:val="right"/>
            </w:pPr>
            <w:r>
              <w:t>25.45</w:t>
            </w:r>
          </w:p>
        </w:tc>
        <w:tc>
          <w:tcPr>
            <w:tcW w:w="1701" w:type="dxa"/>
            <w:vAlign w:val="center"/>
          </w:tcPr>
          <w:p w14:paraId="6DE1A476" w14:textId="77777777" w:rsidR="005E000F" w:rsidRDefault="00000000">
            <w:pPr>
              <w:jc w:val="right"/>
            </w:pPr>
            <w:r>
              <w:t>14,691,778,717</w:t>
            </w:r>
          </w:p>
        </w:tc>
        <w:tc>
          <w:tcPr>
            <w:tcW w:w="851" w:type="dxa"/>
            <w:vAlign w:val="center"/>
          </w:tcPr>
          <w:p w14:paraId="046F22B4" w14:textId="77777777" w:rsidR="005E000F" w:rsidRDefault="00000000">
            <w:pPr>
              <w:jc w:val="right"/>
            </w:pPr>
            <w:r>
              <w:t>23.24</w:t>
            </w:r>
          </w:p>
        </w:tc>
        <w:tc>
          <w:tcPr>
            <w:tcW w:w="1134" w:type="dxa"/>
            <w:vAlign w:val="center"/>
          </w:tcPr>
          <w:p w14:paraId="36931328" w14:textId="77777777" w:rsidR="005E000F" w:rsidRDefault="00000000">
            <w:pPr>
              <w:jc w:val="right"/>
            </w:pPr>
            <w:r>
              <w:t>22.90</w:t>
            </w:r>
          </w:p>
        </w:tc>
        <w:tc>
          <w:tcPr>
            <w:tcW w:w="719" w:type="dxa"/>
            <w:vAlign w:val="center"/>
          </w:tcPr>
          <w:p w14:paraId="4352AF1C" w14:textId="77777777" w:rsidR="005E000F" w:rsidRDefault="005E000F"/>
        </w:tc>
      </w:tr>
      <w:tr w:rsidR="005E000F" w14:paraId="4F3143C6" w14:textId="77777777">
        <w:trPr>
          <w:trHeight w:val="165"/>
        </w:trPr>
        <w:tc>
          <w:tcPr>
            <w:tcW w:w="392" w:type="dxa"/>
            <w:vAlign w:val="center"/>
          </w:tcPr>
          <w:p w14:paraId="72472F30" w14:textId="77777777" w:rsidR="005E000F" w:rsidRDefault="005E000F"/>
        </w:tc>
        <w:tc>
          <w:tcPr>
            <w:tcW w:w="1843" w:type="dxa"/>
            <w:vAlign w:val="center"/>
          </w:tcPr>
          <w:p w14:paraId="2FEA3475" w14:textId="77777777" w:rsidR="005E000F" w:rsidRDefault="00000000">
            <w:r>
              <w:t>两端物流辅助</w:t>
            </w:r>
          </w:p>
        </w:tc>
        <w:tc>
          <w:tcPr>
            <w:tcW w:w="1559" w:type="dxa"/>
            <w:vAlign w:val="center"/>
          </w:tcPr>
          <w:p w14:paraId="46EB3542" w14:textId="77777777" w:rsidR="005E000F" w:rsidRDefault="00000000">
            <w:pPr>
              <w:jc w:val="right"/>
            </w:pPr>
            <w:r>
              <w:t>3,268,187,622</w:t>
            </w:r>
          </w:p>
        </w:tc>
        <w:tc>
          <w:tcPr>
            <w:tcW w:w="850" w:type="dxa"/>
            <w:vAlign w:val="center"/>
          </w:tcPr>
          <w:p w14:paraId="48670D20" w14:textId="77777777" w:rsidR="005E000F" w:rsidRDefault="00000000">
            <w:pPr>
              <w:jc w:val="right"/>
            </w:pPr>
            <w:r>
              <w:t>4.61</w:t>
            </w:r>
          </w:p>
        </w:tc>
        <w:tc>
          <w:tcPr>
            <w:tcW w:w="1701" w:type="dxa"/>
            <w:vAlign w:val="center"/>
          </w:tcPr>
          <w:p w14:paraId="346F70E6" w14:textId="77777777" w:rsidR="005E000F" w:rsidRDefault="00000000">
            <w:pPr>
              <w:jc w:val="right"/>
            </w:pPr>
            <w:r>
              <w:t>87,989,072</w:t>
            </w:r>
          </w:p>
        </w:tc>
        <w:tc>
          <w:tcPr>
            <w:tcW w:w="851" w:type="dxa"/>
            <w:vAlign w:val="center"/>
          </w:tcPr>
          <w:p w14:paraId="324AED17" w14:textId="77777777" w:rsidR="005E000F" w:rsidRDefault="00000000">
            <w:pPr>
              <w:jc w:val="right"/>
            </w:pPr>
            <w:r>
              <w:t>0.14</w:t>
            </w:r>
          </w:p>
        </w:tc>
        <w:tc>
          <w:tcPr>
            <w:tcW w:w="1134" w:type="dxa"/>
            <w:vAlign w:val="center"/>
          </w:tcPr>
          <w:p w14:paraId="7F765468" w14:textId="77777777" w:rsidR="005E000F" w:rsidRDefault="00000000">
            <w:pPr>
              <w:jc w:val="right"/>
            </w:pPr>
            <w:r>
              <w:t>3614.31</w:t>
            </w:r>
          </w:p>
        </w:tc>
        <w:tc>
          <w:tcPr>
            <w:tcW w:w="719" w:type="dxa"/>
            <w:vAlign w:val="center"/>
          </w:tcPr>
          <w:p w14:paraId="79911DCD" w14:textId="77777777" w:rsidR="005E000F" w:rsidRDefault="005E000F"/>
        </w:tc>
      </w:tr>
      <w:tr w:rsidR="005E000F" w14:paraId="35C06142" w14:textId="77777777">
        <w:trPr>
          <w:trHeight w:val="165"/>
        </w:trPr>
        <w:tc>
          <w:tcPr>
            <w:tcW w:w="392" w:type="dxa"/>
            <w:vAlign w:val="center"/>
          </w:tcPr>
          <w:p w14:paraId="3001D7F9" w14:textId="77777777" w:rsidR="005E000F" w:rsidRDefault="005E000F"/>
        </w:tc>
        <w:tc>
          <w:tcPr>
            <w:tcW w:w="1843" w:type="dxa"/>
            <w:vAlign w:val="center"/>
          </w:tcPr>
          <w:p w14:paraId="51C74B84" w14:textId="77777777" w:rsidR="005E000F" w:rsidRDefault="00000000">
            <w:r>
              <w:t>其他</w:t>
            </w:r>
          </w:p>
        </w:tc>
        <w:tc>
          <w:tcPr>
            <w:tcW w:w="1559" w:type="dxa"/>
            <w:vAlign w:val="center"/>
          </w:tcPr>
          <w:p w14:paraId="65A8DB8C" w14:textId="77777777" w:rsidR="005E000F" w:rsidRDefault="00000000">
            <w:pPr>
              <w:jc w:val="right"/>
            </w:pPr>
            <w:r>
              <w:t>2,515,802,584</w:t>
            </w:r>
          </w:p>
        </w:tc>
        <w:tc>
          <w:tcPr>
            <w:tcW w:w="850" w:type="dxa"/>
            <w:vAlign w:val="center"/>
          </w:tcPr>
          <w:p w14:paraId="19FB6679" w14:textId="77777777" w:rsidR="005E000F" w:rsidRDefault="00000000">
            <w:pPr>
              <w:jc w:val="right"/>
            </w:pPr>
            <w:r>
              <w:t>3.55</w:t>
            </w:r>
          </w:p>
        </w:tc>
        <w:tc>
          <w:tcPr>
            <w:tcW w:w="1701" w:type="dxa"/>
            <w:vAlign w:val="center"/>
          </w:tcPr>
          <w:p w14:paraId="5C96F6EA" w14:textId="77777777" w:rsidR="005E000F" w:rsidRDefault="00000000">
            <w:pPr>
              <w:jc w:val="right"/>
            </w:pPr>
            <w:r>
              <w:t>2,157,519,390</w:t>
            </w:r>
          </w:p>
        </w:tc>
        <w:tc>
          <w:tcPr>
            <w:tcW w:w="851" w:type="dxa"/>
            <w:vAlign w:val="center"/>
          </w:tcPr>
          <w:p w14:paraId="268B4960" w14:textId="77777777" w:rsidR="005E000F" w:rsidRDefault="00000000">
            <w:pPr>
              <w:jc w:val="right"/>
            </w:pPr>
            <w:r>
              <w:t>3.41</w:t>
            </w:r>
          </w:p>
        </w:tc>
        <w:tc>
          <w:tcPr>
            <w:tcW w:w="1134" w:type="dxa"/>
            <w:vAlign w:val="center"/>
          </w:tcPr>
          <w:p w14:paraId="488A9D99" w14:textId="77777777" w:rsidR="005E000F" w:rsidRDefault="00000000">
            <w:pPr>
              <w:jc w:val="right"/>
            </w:pPr>
            <w:r>
              <w:t>16.61</w:t>
            </w:r>
          </w:p>
        </w:tc>
        <w:tc>
          <w:tcPr>
            <w:tcW w:w="719" w:type="dxa"/>
            <w:vAlign w:val="center"/>
          </w:tcPr>
          <w:p w14:paraId="08CCD97E" w14:textId="77777777" w:rsidR="005E000F" w:rsidRDefault="005E000F"/>
        </w:tc>
      </w:tr>
      <w:tr w:rsidR="005E000F" w14:paraId="4C26C6C4" w14:textId="77777777">
        <w:trPr>
          <w:trHeight w:val="165"/>
        </w:trPr>
        <w:tc>
          <w:tcPr>
            <w:tcW w:w="392" w:type="dxa"/>
            <w:vAlign w:val="center"/>
          </w:tcPr>
          <w:p w14:paraId="305FFA71" w14:textId="77777777" w:rsidR="005E000F" w:rsidRDefault="005E000F"/>
        </w:tc>
        <w:tc>
          <w:tcPr>
            <w:tcW w:w="1843" w:type="dxa"/>
            <w:vAlign w:val="center"/>
          </w:tcPr>
          <w:p w14:paraId="6D17963E" w14:textId="77777777" w:rsidR="005E000F" w:rsidRDefault="00000000">
            <w:pPr>
              <w:rPr>
                <w:b/>
                <w:bCs/>
              </w:rPr>
            </w:pPr>
            <w:r>
              <w:rPr>
                <w:b/>
                <w:bCs/>
              </w:rPr>
              <w:t>其他业务成本</w:t>
            </w:r>
          </w:p>
        </w:tc>
        <w:tc>
          <w:tcPr>
            <w:tcW w:w="1559" w:type="dxa"/>
            <w:vAlign w:val="center"/>
          </w:tcPr>
          <w:p w14:paraId="3CEBB685" w14:textId="77777777" w:rsidR="005E000F" w:rsidRDefault="00000000">
            <w:pPr>
              <w:jc w:val="right"/>
              <w:rPr>
                <w:b/>
                <w:bCs/>
              </w:rPr>
            </w:pPr>
            <w:r>
              <w:rPr>
                <w:b/>
                <w:bCs/>
              </w:rPr>
              <w:t>757,713,473</w:t>
            </w:r>
          </w:p>
        </w:tc>
        <w:tc>
          <w:tcPr>
            <w:tcW w:w="850" w:type="dxa"/>
            <w:vAlign w:val="center"/>
          </w:tcPr>
          <w:p w14:paraId="39C5D8AB" w14:textId="77777777" w:rsidR="005E000F" w:rsidRDefault="00000000">
            <w:pPr>
              <w:jc w:val="right"/>
              <w:rPr>
                <w:b/>
                <w:bCs/>
              </w:rPr>
            </w:pPr>
            <w:r>
              <w:rPr>
                <w:b/>
                <w:bCs/>
              </w:rPr>
              <w:t>1.07</w:t>
            </w:r>
          </w:p>
        </w:tc>
        <w:tc>
          <w:tcPr>
            <w:tcW w:w="1701" w:type="dxa"/>
            <w:vAlign w:val="center"/>
          </w:tcPr>
          <w:p w14:paraId="7615F57B" w14:textId="77777777" w:rsidR="005E000F" w:rsidRDefault="00000000">
            <w:pPr>
              <w:jc w:val="right"/>
              <w:rPr>
                <w:b/>
                <w:bCs/>
              </w:rPr>
            </w:pPr>
            <w:r>
              <w:rPr>
                <w:b/>
                <w:bCs/>
              </w:rPr>
              <w:t>887,893,155</w:t>
            </w:r>
          </w:p>
        </w:tc>
        <w:tc>
          <w:tcPr>
            <w:tcW w:w="851" w:type="dxa"/>
            <w:vAlign w:val="center"/>
          </w:tcPr>
          <w:p w14:paraId="437755F6" w14:textId="77777777" w:rsidR="005E000F" w:rsidRDefault="00000000">
            <w:pPr>
              <w:jc w:val="right"/>
              <w:rPr>
                <w:b/>
                <w:bCs/>
              </w:rPr>
            </w:pPr>
            <w:r>
              <w:rPr>
                <w:b/>
                <w:bCs/>
              </w:rPr>
              <w:t>1.40</w:t>
            </w:r>
          </w:p>
        </w:tc>
        <w:tc>
          <w:tcPr>
            <w:tcW w:w="1134" w:type="dxa"/>
            <w:vAlign w:val="center"/>
          </w:tcPr>
          <w:p w14:paraId="542995F5" w14:textId="77777777" w:rsidR="005E000F" w:rsidRDefault="00000000">
            <w:pPr>
              <w:jc w:val="right"/>
              <w:rPr>
                <w:b/>
                <w:bCs/>
              </w:rPr>
            </w:pPr>
            <w:r>
              <w:rPr>
                <w:b/>
                <w:bCs/>
              </w:rPr>
              <w:t>-14.66</w:t>
            </w:r>
          </w:p>
        </w:tc>
        <w:tc>
          <w:tcPr>
            <w:tcW w:w="719" w:type="dxa"/>
            <w:vAlign w:val="center"/>
          </w:tcPr>
          <w:p w14:paraId="5A6ABECE" w14:textId="77777777" w:rsidR="005E000F" w:rsidRDefault="005E000F"/>
        </w:tc>
      </w:tr>
      <w:tr w:rsidR="005E000F" w14:paraId="37296A7E" w14:textId="77777777">
        <w:trPr>
          <w:trHeight w:val="165"/>
        </w:trPr>
        <w:tc>
          <w:tcPr>
            <w:tcW w:w="392" w:type="dxa"/>
            <w:vAlign w:val="center"/>
          </w:tcPr>
          <w:p w14:paraId="06A4368E" w14:textId="77777777" w:rsidR="005E000F" w:rsidRDefault="005E000F"/>
        </w:tc>
        <w:tc>
          <w:tcPr>
            <w:tcW w:w="1843" w:type="dxa"/>
            <w:vAlign w:val="center"/>
          </w:tcPr>
          <w:p w14:paraId="64CDA7E5" w14:textId="77777777" w:rsidR="005E000F" w:rsidRDefault="00000000">
            <w:r>
              <w:t>材料物品销售</w:t>
            </w:r>
          </w:p>
        </w:tc>
        <w:tc>
          <w:tcPr>
            <w:tcW w:w="1559" w:type="dxa"/>
            <w:vAlign w:val="center"/>
          </w:tcPr>
          <w:p w14:paraId="40AEF2E1" w14:textId="77777777" w:rsidR="005E000F" w:rsidRDefault="00000000">
            <w:pPr>
              <w:jc w:val="right"/>
            </w:pPr>
            <w:r>
              <w:t>292,226,646</w:t>
            </w:r>
          </w:p>
        </w:tc>
        <w:tc>
          <w:tcPr>
            <w:tcW w:w="850" w:type="dxa"/>
            <w:vAlign w:val="center"/>
          </w:tcPr>
          <w:p w14:paraId="12A870CA" w14:textId="77777777" w:rsidR="005E000F" w:rsidRDefault="00000000">
            <w:pPr>
              <w:jc w:val="right"/>
            </w:pPr>
            <w:r>
              <w:t>0.41</w:t>
            </w:r>
          </w:p>
        </w:tc>
        <w:tc>
          <w:tcPr>
            <w:tcW w:w="1701" w:type="dxa"/>
            <w:vAlign w:val="center"/>
          </w:tcPr>
          <w:p w14:paraId="62FBC10F" w14:textId="77777777" w:rsidR="005E000F" w:rsidRDefault="00000000">
            <w:pPr>
              <w:jc w:val="right"/>
            </w:pPr>
            <w:r>
              <w:t>311,297,872</w:t>
            </w:r>
          </w:p>
        </w:tc>
        <w:tc>
          <w:tcPr>
            <w:tcW w:w="851" w:type="dxa"/>
            <w:vAlign w:val="center"/>
          </w:tcPr>
          <w:p w14:paraId="6F2A47D2" w14:textId="77777777" w:rsidR="005E000F" w:rsidRDefault="00000000">
            <w:pPr>
              <w:jc w:val="right"/>
            </w:pPr>
            <w:r>
              <w:t>0.49</w:t>
            </w:r>
          </w:p>
        </w:tc>
        <w:tc>
          <w:tcPr>
            <w:tcW w:w="1134" w:type="dxa"/>
            <w:vAlign w:val="center"/>
          </w:tcPr>
          <w:p w14:paraId="4412284B" w14:textId="77777777" w:rsidR="005E000F" w:rsidRDefault="00000000">
            <w:pPr>
              <w:jc w:val="right"/>
            </w:pPr>
            <w:r>
              <w:t>-6.13</w:t>
            </w:r>
          </w:p>
        </w:tc>
        <w:tc>
          <w:tcPr>
            <w:tcW w:w="719" w:type="dxa"/>
            <w:vAlign w:val="center"/>
          </w:tcPr>
          <w:p w14:paraId="07A09965" w14:textId="77777777" w:rsidR="005E000F" w:rsidRDefault="005E000F"/>
        </w:tc>
      </w:tr>
      <w:tr w:rsidR="005E000F" w14:paraId="3A9B8774" w14:textId="77777777">
        <w:trPr>
          <w:trHeight w:val="165"/>
        </w:trPr>
        <w:tc>
          <w:tcPr>
            <w:tcW w:w="392" w:type="dxa"/>
            <w:vAlign w:val="center"/>
          </w:tcPr>
          <w:p w14:paraId="4AE74375" w14:textId="77777777" w:rsidR="005E000F" w:rsidRDefault="005E000F"/>
        </w:tc>
        <w:tc>
          <w:tcPr>
            <w:tcW w:w="1843" w:type="dxa"/>
            <w:vAlign w:val="center"/>
          </w:tcPr>
          <w:p w14:paraId="2513B79F" w14:textId="77777777" w:rsidR="005E000F" w:rsidRDefault="00000000">
            <w:r>
              <w:t>维修</w:t>
            </w:r>
          </w:p>
        </w:tc>
        <w:tc>
          <w:tcPr>
            <w:tcW w:w="1559" w:type="dxa"/>
            <w:vAlign w:val="center"/>
          </w:tcPr>
          <w:p w14:paraId="0078199F" w14:textId="77777777" w:rsidR="005E000F" w:rsidRDefault="00000000">
            <w:pPr>
              <w:jc w:val="right"/>
            </w:pPr>
            <w:r>
              <w:t>275,333,151</w:t>
            </w:r>
          </w:p>
        </w:tc>
        <w:tc>
          <w:tcPr>
            <w:tcW w:w="850" w:type="dxa"/>
            <w:vAlign w:val="center"/>
          </w:tcPr>
          <w:p w14:paraId="1A7B877C" w14:textId="77777777" w:rsidR="005E000F" w:rsidRDefault="00000000">
            <w:pPr>
              <w:jc w:val="right"/>
            </w:pPr>
            <w:r>
              <w:t>0.39</w:t>
            </w:r>
          </w:p>
        </w:tc>
        <w:tc>
          <w:tcPr>
            <w:tcW w:w="1701" w:type="dxa"/>
            <w:vAlign w:val="center"/>
          </w:tcPr>
          <w:p w14:paraId="100965A9" w14:textId="77777777" w:rsidR="005E000F" w:rsidRDefault="00000000">
            <w:pPr>
              <w:jc w:val="right"/>
            </w:pPr>
            <w:r>
              <w:t>273,509,606</w:t>
            </w:r>
          </w:p>
        </w:tc>
        <w:tc>
          <w:tcPr>
            <w:tcW w:w="851" w:type="dxa"/>
            <w:vAlign w:val="center"/>
          </w:tcPr>
          <w:p w14:paraId="538DB98E" w14:textId="77777777" w:rsidR="005E000F" w:rsidRDefault="00000000">
            <w:pPr>
              <w:jc w:val="right"/>
            </w:pPr>
            <w:r>
              <w:t>0.43</w:t>
            </w:r>
          </w:p>
        </w:tc>
        <w:tc>
          <w:tcPr>
            <w:tcW w:w="1134" w:type="dxa"/>
            <w:vAlign w:val="center"/>
          </w:tcPr>
          <w:p w14:paraId="7F1464C5" w14:textId="77777777" w:rsidR="005E000F" w:rsidRDefault="00000000">
            <w:pPr>
              <w:jc w:val="right"/>
            </w:pPr>
            <w:r>
              <w:t>0.67</w:t>
            </w:r>
          </w:p>
        </w:tc>
        <w:tc>
          <w:tcPr>
            <w:tcW w:w="719" w:type="dxa"/>
            <w:vAlign w:val="center"/>
          </w:tcPr>
          <w:p w14:paraId="4C6ADC8A" w14:textId="77777777" w:rsidR="005E000F" w:rsidRDefault="005E000F"/>
        </w:tc>
      </w:tr>
      <w:tr w:rsidR="005E000F" w14:paraId="11F9B98A" w14:textId="77777777">
        <w:trPr>
          <w:trHeight w:val="165"/>
        </w:trPr>
        <w:tc>
          <w:tcPr>
            <w:tcW w:w="392" w:type="dxa"/>
            <w:vAlign w:val="center"/>
          </w:tcPr>
          <w:p w14:paraId="7BA84780" w14:textId="77777777" w:rsidR="005E000F" w:rsidRDefault="005E000F"/>
        </w:tc>
        <w:tc>
          <w:tcPr>
            <w:tcW w:w="1843" w:type="dxa"/>
            <w:vAlign w:val="center"/>
          </w:tcPr>
          <w:p w14:paraId="01CBFBF4" w14:textId="77777777" w:rsidR="005E000F" w:rsidRDefault="00000000">
            <w:r>
              <w:t>劳务</w:t>
            </w:r>
          </w:p>
        </w:tc>
        <w:tc>
          <w:tcPr>
            <w:tcW w:w="1559" w:type="dxa"/>
            <w:vAlign w:val="center"/>
          </w:tcPr>
          <w:p w14:paraId="098D7C43" w14:textId="77777777" w:rsidR="005E000F" w:rsidRDefault="00000000">
            <w:pPr>
              <w:jc w:val="right"/>
            </w:pPr>
            <w:r>
              <w:t>96,314,197</w:t>
            </w:r>
          </w:p>
        </w:tc>
        <w:tc>
          <w:tcPr>
            <w:tcW w:w="850" w:type="dxa"/>
            <w:vAlign w:val="center"/>
          </w:tcPr>
          <w:p w14:paraId="13E4C7CC" w14:textId="77777777" w:rsidR="005E000F" w:rsidRDefault="00000000">
            <w:pPr>
              <w:jc w:val="right"/>
            </w:pPr>
            <w:r>
              <w:t>0.14</w:t>
            </w:r>
          </w:p>
        </w:tc>
        <w:tc>
          <w:tcPr>
            <w:tcW w:w="1701" w:type="dxa"/>
            <w:vAlign w:val="center"/>
          </w:tcPr>
          <w:p w14:paraId="4AD1A315" w14:textId="77777777" w:rsidR="005E000F" w:rsidRDefault="00000000">
            <w:pPr>
              <w:jc w:val="right"/>
            </w:pPr>
            <w:r>
              <w:t>115,374,637</w:t>
            </w:r>
          </w:p>
        </w:tc>
        <w:tc>
          <w:tcPr>
            <w:tcW w:w="851" w:type="dxa"/>
            <w:vAlign w:val="center"/>
          </w:tcPr>
          <w:p w14:paraId="676A403E" w14:textId="77777777" w:rsidR="005E000F" w:rsidRDefault="00000000">
            <w:pPr>
              <w:jc w:val="right"/>
            </w:pPr>
            <w:r>
              <w:t>0.18</w:t>
            </w:r>
          </w:p>
        </w:tc>
        <w:tc>
          <w:tcPr>
            <w:tcW w:w="1134" w:type="dxa"/>
            <w:vAlign w:val="center"/>
          </w:tcPr>
          <w:p w14:paraId="722F8A59" w14:textId="77777777" w:rsidR="005E000F" w:rsidRDefault="00000000">
            <w:pPr>
              <w:jc w:val="right"/>
            </w:pPr>
            <w:r>
              <w:t>-16.52</w:t>
            </w:r>
          </w:p>
        </w:tc>
        <w:tc>
          <w:tcPr>
            <w:tcW w:w="719" w:type="dxa"/>
            <w:vAlign w:val="center"/>
          </w:tcPr>
          <w:p w14:paraId="24DB73E4" w14:textId="77777777" w:rsidR="005E000F" w:rsidRDefault="005E000F"/>
        </w:tc>
      </w:tr>
      <w:tr w:rsidR="005E000F" w14:paraId="04A289F0" w14:textId="77777777">
        <w:trPr>
          <w:trHeight w:val="165"/>
        </w:trPr>
        <w:tc>
          <w:tcPr>
            <w:tcW w:w="392" w:type="dxa"/>
            <w:vAlign w:val="center"/>
          </w:tcPr>
          <w:p w14:paraId="344F9017" w14:textId="77777777" w:rsidR="005E000F" w:rsidRDefault="005E000F"/>
        </w:tc>
        <w:tc>
          <w:tcPr>
            <w:tcW w:w="1843" w:type="dxa"/>
            <w:vAlign w:val="center"/>
          </w:tcPr>
          <w:p w14:paraId="6B579B98" w14:textId="77777777" w:rsidR="005E000F" w:rsidRDefault="00000000">
            <w:r>
              <w:t>其他</w:t>
            </w:r>
          </w:p>
        </w:tc>
        <w:tc>
          <w:tcPr>
            <w:tcW w:w="1559" w:type="dxa"/>
            <w:vAlign w:val="center"/>
          </w:tcPr>
          <w:p w14:paraId="1AF8FCE0" w14:textId="77777777" w:rsidR="005E000F" w:rsidRDefault="00000000">
            <w:pPr>
              <w:jc w:val="right"/>
            </w:pPr>
            <w:r>
              <w:t>93,839,479</w:t>
            </w:r>
          </w:p>
        </w:tc>
        <w:tc>
          <w:tcPr>
            <w:tcW w:w="850" w:type="dxa"/>
            <w:vAlign w:val="center"/>
          </w:tcPr>
          <w:p w14:paraId="5D09CB28" w14:textId="77777777" w:rsidR="005E000F" w:rsidRDefault="00000000">
            <w:pPr>
              <w:jc w:val="right"/>
            </w:pPr>
            <w:r>
              <w:t>0.13</w:t>
            </w:r>
          </w:p>
        </w:tc>
        <w:tc>
          <w:tcPr>
            <w:tcW w:w="1701" w:type="dxa"/>
            <w:vAlign w:val="center"/>
          </w:tcPr>
          <w:p w14:paraId="5BC396B2" w14:textId="77777777" w:rsidR="005E000F" w:rsidRDefault="00000000">
            <w:pPr>
              <w:jc w:val="right"/>
            </w:pPr>
            <w:r>
              <w:t>187,711,040</w:t>
            </w:r>
          </w:p>
        </w:tc>
        <w:tc>
          <w:tcPr>
            <w:tcW w:w="851" w:type="dxa"/>
            <w:vAlign w:val="center"/>
          </w:tcPr>
          <w:p w14:paraId="79790A58" w14:textId="77777777" w:rsidR="005E000F" w:rsidRDefault="00000000">
            <w:pPr>
              <w:jc w:val="right"/>
            </w:pPr>
            <w:r>
              <w:t>0.30</w:t>
            </w:r>
          </w:p>
        </w:tc>
        <w:tc>
          <w:tcPr>
            <w:tcW w:w="1134" w:type="dxa"/>
            <w:vAlign w:val="center"/>
          </w:tcPr>
          <w:p w14:paraId="338ED073" w14:textId="77777777" w:rsidR="005E000F" w:rsidRDefault="00000000">
            <w:pPr>
              <w:jc w:val="right"/>
            </w:pPr>
            <w:r>
              <w:t>-50.01</w:t>
            </w:r>
          </w:p>
        </w:tc>
        <w:tc>
          <w:tcPr>
            <w:tcW w:w="719" w:type="dxa"/>
            <w:vAlign w:val="center"/>
          </w:tcPr>
          <w:p w14:paraId="08DF96A2" w14:textId="77777777" w:rsidR="005E000F" w:rsidRDefault="005E000F"/>
        </w:tc>
      </w:tr>
      <w:tr w:rsidR="005E000F" w14:paraId="02D3A85C" w14:textId="77777777">
        <w:trPr>
          <w:trHeight w:val="165"/>
        </w:trPr>
        <w:tc>
          <w:tcPr>
            <w:tcW w:w="392" w:type="dxa"/>
            <w:vAlign w:val="center"/>
          </w:tcPr>
          <w:p w14:paraId="6A9281CB" w14:textId="77777777" w:rsidR="005E000F" w:rsidRDefault="005E000F"/>
        </w:tc>
        <w:tc>
          <w:tcPr>
            <w:tcW w:w="1843" w:type="dxa"/>
            <w:vAlign w:val="center"/>
          </w:tcPr>
          <w:p w14:paraId="118A3F23" w14:textId="77777777" w:rsidR="005E000F" w:rsidRDefault="00000000">
            <w:pPr>
              <w:rPr>
                <w:b/>
                <w:bCs/>
              </w:rPr>
            </w:pPr>
            <w:r>
              <w:rPr>
                <w:b/>
                <w:bCs/>
              </w:rPr>
              <w:t>合</w:t>
            </w:r>
            <w:r>
              <w:rPr>
                <w:b/>
                <w:bCs/>
              </w:rPr>
              <w:t xml:space="preserve">  </w:t>
            </w:r>
            <w:r>
              <w:rPr>
                <w:b/>
                <w:bCs/>
              </w:rPr>
              <w:t>计</w:t>
            </w:r>
          </w:p>
        </w:tc>
        <w:tc>
          <w:tcPr>
            <w:tcW w:w="1559" w:type="dxa"/>
            <w:vAlign w:val="center"/>
          </w:tcPr>
          <w:p w14:paraId="7FA4D4E3" w14:textId="77777777" w:rsidR="005E000F" w:rsidRDefault="00000000">
            <w:pPr>
              <w:jc w:val="right"/>
              <w:rPr>
                <w:b/>
                <w:bCs/>
              </w:rPr>
            </w:pPr>
            <w:r>
              <w:rPr>
                <w:b/>
                <w:bCs/>
              </w:rPr>
              <w:t>70,951,357,550</w:t>
            </w:r>
          </w:p>
        </w:tc>
        <w:tc>
          <w:tcPr>
            <w:tcW w:w="850" w:type="dxa"/>
            <w:vAlign w:val="center"/>
          </w:tcPr>
          <w:p w14:paraId="71880AFD" w14:textId="77777777" w:rsidR="005E000F" w:rsidRDefault="00000000">
            <w:pPr>
              <w:jc w:val="right"/>
              <w:rPr>
                <w:b/>
                <w:bCs/>
              </w:rPr>
            </w:pPr>
            <w:r>
              <w:rPr>
                <w:b/>
                <w:bCs/>
              </w:rPr>
              <w:t>100.00</w:t>
            </w:r>
          </w:p>
        </w:tc>
        <w:tc>
          <w:tcPr>
            <w:tcW w:w="1701" w:type="dxa"/>
            <w:vAlign w:val="center"/>
          </w:tcPr>
          <w:p w14:paraId="0B1A75F0" w14:textId="77777777" w:rsidR="005E000F" w:rsidRDefault="00000000">
            <w:pPr>
              <w:jc w:val="right"/>
              <w:rPr>
                <w:b/>
                <w:bCs/>
              </w:rPr>
            </w:pPr>
            <w:r>
              <w:rPr>
                <w:b/>
                <w:bCs/>
              </w:rPr>
              <w:t>63,207,772,937</w:t>
            </w:r>
          </w:p>
        </w:tc>
        <w:tc>
          <w:tcPr>
            <w:tcW w:w="851" w:type="dxa"/>
            <w:vAlign w:val="center"/>
          </w:tcPr>
          <w:p w14:paraId="112B2C91" w14:textId="77777777" w:rsidR="005E000F" w:rsidRDefault="00000000">
            <w:pPr>
              <w:jc w:val="right"/>
              <w:rPr>
                <w:b/>
                <w:bCs/>
              </w:rPr>
            </w:pPr>
            <w:r>
              <w:rPr>
                <w:b/>
                <w:bCs/>
              </w:rPr>
              <w:t>100.00</w:t>
            </w:r>
          </w:p>
        </w:tc>
        <w:tc>
          <w:tcPr>
            <w:tcW w:w="1134" w:type="dxa"/>
            <w:vAlign w:val="center"/>
          </w:tcPr>
          <w:p w14:paraId="405968E1" w14:textId="77777777" w:rsidR="005E000F" w:rsidRDefault="00000000">
            <w:pPr>
              <w:jc w:val="right"/>
              <w:rPr>
                <w:b/>
                <w:bCs/>
              </w:rPr>
            </w:pPr>
            <w:r>
              <w:rPr>
                <w:b/>
                <w:bCs/>
              </w:rPr>
              <w:t>12.25</w:t>
            </w:r>
          </w:p>
        </w:tc>
        <w:tc>
          <w:tcPr>
            <w:tcW w:w="719" w:type="dxa"/>
            <w:vAlign w:val="center"/>
          </w:tcPr>
          <w:p w14:paraId="41194E0A" w14:textId="77777777" w:rsidR="005E000F" w:rsidRDefault="005E000F"/>
        </w:tc>
      </w:tr>
    </w:tbl>
    <w:p w14:paraId="0CEE72EB" w14:textId="77777777" w:rsidR="005E000F" w:rsidRDefault="00000000">
      <w:pPr>
        <w:spacing w:beforeLines="100" w:before="240" w:line="360" w:lineRule="auto"/>
      </w:pPr>
      <w:r>
        <w:rPr>
          <w:rFonts w:hint="eastAsia"/>
        </w:rPr>
        <w:t>成本分析其他情况说明</w:t>
      </w:r>
    </w:p>
    <w:sdt>
      <w:sdtPr>
        <w:rPr>
          <w:rFonts w:hint="eastAsia"/>
        </w:rPr>
        <w:alias w:val="成本分析其他情况"/>
        <w:tag w:val="_GBC_93fdd34ed0d546d3bf448336c6187b3a"/>
        <w:id w:val="-396588646"/>
        <w:placeholder>
          <w:docPart w:val="GBC22222222222222222222222222222"/>
        </w:placeholder>
      </w:sdtPr>
      <w:sdtContent>
        <w:p w14:paraId="32BB5C45" w14:textId="77777777" w:rsidR="005E000F" w:rsidRDefault="00000000">
          <w:pPr>
            <w:widowControl w:val="0"/>
            <w:numPr>
              <w:ilvl w:val="0"/>
              <w:numId w:val="13"/>
            </w:numPr>
            <w:spacing w:line="360" w:lineRule="auto"/>
            <w:ind w:left="420" w:hanging="420"/>
            <w:jc w:val="both"/>
          </w:pPr>
          <w:r>
            <w:rPr>
              <w:rFonts w:hint="eastAsia"/>
            </w:rPr>
            <w:t>大修支出变化的主要原因是：本年固定资产大修工作量及货车动车检修数量增加。</w:t>
          </w:r>
        </w:p>
        <w:p w14:paraId="58CF84B1" w14:textId="77777777" w:rsidR="005E000F" w:rsidRDefault="00000000">
          <w:pPr>
            <w:widowControl w:val="0"/>
            <w:numPr>
              <w:ilvl w:val="0"/>
              <w:numId w:val="13"/>
            </w:numPr>
            <w:spacing w:line="360" w:lineRule="auto"/>
            <w:ind w:left="420" w:hanging="420"/>
            <w:jc w:val="both"/>
          </w:pPr>
          <w:r>
            <w:rPr>
              <w:rFonts w:hint="eastAsia"/>
            </w:rPr>
            <w:t>两端物流辅助变化的主要原因是：本年由于拓展两端物流辅助业务，费用增加。</w:t>
          </w:r>
        </w:p>
        <w:p w14:paraId="2C226FC1" w14:textId="77777777" w:rsidR="005E000F" w:rsidRDefault="00000000">
          <w:pPr>
            <w:widowControl w:val="0"/>
            <w:numPr>
              <w:ilvl w:val="0"/>
              <w:numId w:val="13"/>
            </w:numPr>
            <w:spacing w:line="360" w:lineRule="auto"/>
            <w:ind w:left="420" w:hanging="420"/>
            <w:jc w:val="both"/>
          </w:pPr>
          <w:r>
            <w:rPr>
              <w:rFonts w:hint="eastAsia"/>
            </w:rPr>
            <w:t>其他业务成本中其他变化的主要原因是：本年废旧物资处置结转成本减少。</w:t>
          </w:r>
        </w:p>
      </w:sdtContent>
    </w:sdt>
    <w:p w14:paraId="4025FB0E" w14:textId="77777777" w:rsidR="005E000F" w:rsidRDefault="00000000">
      <w:pPr>
        <w:pStyle w:val="5"/>
        <w:numPr>
          <w:ilvl w:val="0"/>
          <w:numId w:val="12"/>
        </w:numPr>
        <w:tabs>
          <w:tab w:val="left" w:pos="567"/>
        </w:tabs>
        <w:ind w:leftChars="0"/>
        <w:rPr>
          <w:rFonts w:ascii="宋体" w:hAnsi="宋体" w:cs="宋体"/>
          <w:kern w:val="0"/>
          <w:szCs w:val="24"/>
        </w:rPr>
      </w:pPr>
      <w:bookmarkStart w:id="63" w:name="_Hlk89876513"/>
      <w:r>
        <w:rPr>
          <w:rFonts w:ascii="宋体" w:hAnsi="宋体" w:cs="宋体"/>
          <w:kern w:val="0"/>
          <w:szCs w:val="24"/>
        </w:rPr>
        <w:t>报告期主要子公司股权变动导致合并范围变化</w:t>
      </w:r>
    </w:p>
    <w:sdt>
      <w:sdtPr>
        <w:alias w:val="是否适用：报告期主要子公司股权变动导致合并范围变化 [双击切换]"/>
        <w:tag w:val="_GBC_f684be8377fd464e8fc7d9a0e6df7b78"/>
        <w:id w:val="968950292"/>
        <w:placeholder>
          <w:docPart w:val="GBC22222222222222222222222222222"/>
        </w:placeholder>
      </w:sdtPr>
      <w:sdtContent>
        <w:p w14:paraId="0C1D2DE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6773E14" w14:textId="77777777" w:rsidR="005E000F" w:rsidRDefault="00000000">
      <w:pPr>
        <w:pStyle w:val="5"/>
        <w:numPr>
          <w:ilvl w:val="0"/>
          <w:numId w:val="12"/>
        </w:numPr>
        <w:tabs>
          <w:tab w:val="left" w:pos="567"/>
        </w:tabs>
        <w:ind w:leftChars="0"/>
        <w:rPr>
          <w:rFonts w:ascii="宋体" w:hAnsi="宋体" w:cs="宋体"/>
          <w:kern w:val="0"/>
          <w:szCs w:val="24"/>
        </w:rPr>
      </w:pPr>
      <w:r>
        <w:rPr>
          <w:rFonts w:ascii="宋体" w:hAnsi="宋体" w:cs="宋体"/>
          <w:kern w:val="0"/>
          <w:szCs w:val="24"/>
        </w:rPr>
        <w:t>公司报告期内业务、产品或服务发生重大变化或调整有关情况</w:t>
      </w:r>
    </w:p>
    <w:sdt>
      <w:sdtPr>
        <w:alias w:val="是否适用：公司报告期内业务、产品或服务发生重大变化或调整有关情况  [双击切换]"/>
        <w:tag w:val="_GBC_f5a966f2eb244fd68a4bc2176691f92b"/>
        <w:id w:val="1165442165"/>
        <w:placeholder>
          <w:docPart w:val="GBC22222222222222222222222222222"/>
        </w:placeholder>
      </w:sdtPr>
      <w:sdtContent>
        <w:p w14:paraId="37955776"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63"/>
    <w:p w14:paraId="77492DAB" w14:textId="77777777" w:rsidR="005E000F" w:rsidRDefault="00000000">
      <w:pPr>
        <w:pStyle w:val="5"/>
        <w:numPr>
          <w:ilvl w:val="0"/>
          <w:numId w:val="12"/>
        </w:numPr>
        <w:tabs>
          <w:tab w:val="left" w:pos="567"/>
        </w:tabs>
        <w:ind w:leftChars="0"/>
        <w:rPr>
          <w:rFonts w:ascii="宋体" w:hAnsi="宋体" w:cs="宋体"/>
          <w:kern w:val="0"/>
          <w:szCs w:val="24"/>
        </w:rPr>
      </w:pPr>
      <w:r>
        <w:rPr>
          <w:rFonts w:ascii="宋体" w:hAnsi="宋体" w:cs="宋体"/>
          <w:kern w:val="0"/>
          <w:szCs w:val="24"/>
        </w:rPr>
        <w:t>主要销售客户及主要供应商情况</w:t>
      </w:r>
    </w:p>
    <w:p w14:paraId="4D69F73A" w14:textId="77777777" w:rsidR="005E000F" w:rsidRDefault="00000000">
      <w:pPr>
        <w:pStyle w:val="aff8"/>
        <w:ind w:firstLineChars="0" w:firstLine="0"/>
        <w:rPr>
          <w:rFonts w:ascii="宋体" w:hAnsi="宋体" w:cs="宋体"/>
          <w:szCs w:val="24"/>
        </w:rPr>
      </w:pPr>
      <w:bookmarkStart w:id="64" w:name="_Hlk41745860"/>
      <w:r>
        <w:rPr>
          <w:rFonts w:ascii="宋体" w:hAnsi="宋体" w:cs="宋体" w:hint="eastAsia"/>
          <w:szCs w:val="24"/>
        </w:rPr>
        <w:t>属于同</w:t>
      </w:r>
      <w:proofErr w:type="gramStart"/>
      <w:r>
        <w:rPr>
          <w:rFonts w:ascii="宋体" w:hAnsi="宋体" w:cs="宋体" w:hint="eastAsia"/>
          <w:szCs w:val="24"/>
        </w:rPr>
        <w:t>一控制</w:t>
      </w:r>
      <w:proofErr w:type="gramEnd"/>
      <w:r>
        <w:rPr>
          <w:rFonts w:ascii="宋体" w:hAnsi="宋体" w:cs="宋体" w:hint="eastAsia"/>
          <w:szCs w:val="24"/>
        </w:rPr>
        <w:t>人控制的客户或供应商视为同一客户或</w:t>
      </w:r>
      <w:proofErr w:type="gramStart"/>
      <w:r>
        <w:rPr>
          <w:rFonts w:ascii="宋体" w:hAnsi="宋体" w:cs="宋体" w:hint="eastAsia"/>
          <w:szCs w:val="24"/>
        </w:rPr>
        <w:t>供应商合并列</w:t>
      </w:r>
      <w:proofErr w:type="gramEnd"/>
      <w:r>
        <w:rPr>
          <w:rFonts w:ascii="宋体" w:hAnsi="宋体" w:cs="宋体" w:hint="eastAsia"/>
          <w:szCs w:val="24"/>
        </w:rPr>
        <w:t>示，受同一国有资产管理机构实际控制的除外。</w:t>
      </w:r>
    </w:p>
    <w:p w14:paraId="753E3A84" w14:textId="77777777" w:rsidR="005E000F" w:rsidRDefault="00000000">
      <w:pPr>
        <w:pStyle w:val="aff8"/>
        <w:ind w:firstLineChars="0" w:firstLine="0"/>
        <w:rPr>
          <w:rFonts w:ascii="宋体" w:hAnsi="宋体" w:cs="宋体"/>
          <w:szCs w:val="24"/>
        </w:rPr>
      </w:pPr>
      <w:r>
        <w:rPr>
          <w:rFonts w:ascii="宋体" w:hAnsi="宋体" w:cs="宋体" w:hint="eastAsia"/>
          <w:szCs w:val="24"/>
        </w:rPr>
        <w:t>下列客户及供应商信息按照同</w:t>
      </w:r>
      <w:proofErr w:type="gramStart"/>
      <w:r>
        <w:rPr>
          <w:rFonts w:ascii="宋体" w:hAnsi="宋体" w:cs="宋体" w:hint="eastAsia"/>
          <w:szCs w:val="24"/>
        </w:rPr>
        <w:t>一控制</w:t>
      </w:r>
      <w:proofErr w:type="gramEnd"/>
      <w:r>
        <w:rPr>
          <w:rFonts w:ascii="宋体" w:hAnsi="宋体" w:cs="宋体" w:hint="eastAsia"/>
          <w:szCs w:val="24"/>
        </w:rPr>
        <w:t>口径合并计算列示的情况说明</w:t>
      </w:r>
    </w:p>
    <w:sdt>
      <w:sdtPr>
        <w:alias w:val="客户及供应商信息按照同一控制口径合并计算列示的情况说明"/>
        <w:tag w:val="_GBC_dd94aac1da8743acb71de21c4b1691df"/>
        <w:id w:val="503863165"/>
        <w:placeholder>
          <w:docPart w:val="GBC22222222222222222222222222222"/>
        </w:placeholder>
      </w:sdtPr>
      <w:sdtContent>
        <w:p w14:paraId="6F57E0F9" w14:textId="77777777" w:rsidR="005E000F" w:rsidRDefault="00000000">
          <w:r>
            <w:rPr>
              <w:rFonts w:hint="eastAsia"/>
            </w:rPr>
            <w:t>无</w:t>
          </w:r>
        </w:p>
      </w:sdtContent>
    </w:sdt>
    <w:bookmarkEnd w:id="64"/>
    <w:p w14:paraId="195E9696" w14:textId="77777777" w:rsidR="005E000F" w:rsidRDefault="00000000">
      <w:pPr>
        <w:autoSpaceDE w:val="0"/>
        <w:autoSpaceDN w:val="0"/>
        <w:adjustRightInd w:val="0"/>
        <w:rPr>
          <w:b/>
          <w:szCs w:val="22"/>
          <w:lang w:val="zh-CN"/>
        </w:rPr>
      </w:pPr>
      <w:r>
        <w:rPr>
          <w:rFonts w:hint="eastAsia"/>
          <w:b/>
        </w:rPr>
        <w:t>A.</w:t>
      </w:r>
      <w:r>
        <w:rPr>
          <w:rFonts w:hint="eastAsia"/>
          <w:b/>
          <w:lang w:val="zh-CN"/>
        </w:rPr>
        <w:t>公司主要销售客户及主要供应商情况</w:t>
      </w:r>
    </w:p>
    <w:sdt>
      <w:sdtPr>
        <w:alias w:val="是否适用：主要销售客户情况[双击切换]"/>
        <w:tag w:val="_GBC_a2403594b48a40da9560c8bc71e01f56"/>
        <w:id w:val="-1123071263"/>
        <w:lock w:val="contentLocked"/>
        <w:placeholder>
          <w:docPart w:val="GBC22222222222222222222222222222"/>
        </w:placeholder>
      </w:sdtPr>
      <w:sdtContent>
        <w:p w14:paraId="5CC3C225" w14:textId="77777777" w:rsidR="005E000F" w:rsidRDefault="00000000">
          <w:pPr>
            <w:spacing w:line="360" w:lineRule="auto"/>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CFBF47C" w14:textId="77777777" w:rsidR="005E000F" w:rsidRDefault="00000000">
      <w:pPr>
        <w:spacing w:line="360" w:lineRule="auto"/>
        <w:jc w:val="both"/>
      </w:pPr>
      <w:r>
        <w:rPr>
          <w:rFonts w:hint="eastAsia"/>
        </w:rPr>
        <w:t>前五名客户销售额</w:t>
      </w:r>
      <w:sdt>
        <w:sdtPr>
          <w:rPr>
            <w:rFonts w:hint="eastAsia"/>
          </w:rPr>
          <w:alias w:val="前五名客户销售额"/>
          <w:tag w:val="_GBC_e497000fdfbc4e548555b7f8ddf9780c"/>
          <w:id w:val="-124858086"/>
          <w:placeholder>
            <w:docPart w:val="GBC22222222222222222222222222222"/>
          </w:placeholder>
        </w:sdtPr>
        <w:sdtContent>
          <w:r>
            <w:rPr>
              <w:rFonts w:hint="eastAsia"/>
            </w:rPr>
            <w:t>2,970,921</w:t>
          </w:r>
        </w:sdtContent>
      </w:sdt>
      <w:sdt>
        <w:sdtPr>
          <w:rPr>
            <w:rFonts w:hint="eastAsia"/>
          </w:rPr>
          <w:alias w:val="单位：前五名客户销售额"/>
          <w:tag w:val="_GBC_4bd6620b209a4bae8dc3404e8b89ea35"/>
          <w:id w:val="11109337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t>，占年度销售总额</w:t>
      </w:r>
      <w:sdt>
        <w:sdtPr>
          <w:alias w:val="前五名客户销售额占年度销售总额比例"/>
          <w:tag w:val="_GBC_68b3c8b493d04b6c9db16e7e475d7b35"/>
          <w:id w:val="-1075038147"/>
          <w:placeholder>
            <w:docPart w:val="GBC22222222222222222222222222222"/>
          </w:placeholder>
        </w:sdtPr>
        <w:sdtContent>
          <w:r>
            <w:rPr>
              <w:rFonts w:hint="eastAsia"/>
            </w:rPr>
            <w:t>38.26%</w:t>
          </w:r>
        </w:sdtContent>
      </w:sdt>
      <w:r>
        <w:t>；其中前五名客户销售额中关联方销售额</w:t>
      </w:r>
      <w:sdt>
        <w:sdtPr>
          <w:alias w:val="前五名客户销售额中关联方销售额"/>
          <w:tag w:val="_GBC_bfa0971257a44f65996f01cfb0497b07"/>
          <w:id w:val="-1112200740"/>
          <w:placeholder>
            <w:docPart w:val="GBC22222222222222222222222222222"/>
          </w:placeholder>
        </w:sdtPr>
        <w:sdtContent>
          <w:r>
            <w:rPr>
              <w:rFonts w:hint="eastAsia"/>
            </w:rPr>
            <w:t>1,046,042</w:t>
          </w:r>
        </w:sdtContent>
      </w:sdt>
      <w:sdt>
        <w:sdtPr>
          <w:alias w:val="单位：前五名客户销售额中关联方销售额"/>
          <w:tag w:val="_GBC_f3c03afc93a5429f9fa45fc25f9018ab"/>
          <w:id w:val="10428767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万元</w:t>
          </w:r>
        </w:sdtContent>
      </w:sdt>
      <w:r>
        <w:t>，占年度销售总额</w:t>
      </w:r>
      <w:sdt>
        <w:sdtPr>
          <w:alias w:val="前五名客户销售额中关联方销售额占年度销售总额比例"/>
          <w:tag w:val="_GBC_a84a9f2fd5cd467fa7226eab846a8fd4"/>
          <w:id w:val="-1379922020"/>
          <w:placeholder>
            <w:docPart w:val="GBC22222222222222222222222222222"/>
          </w:placeholder>
        </w:sdtPr>
        <w:sdtContent>
          <w:r>
            <w:rPr>
              <w:rFonts w:hint="eastAsia"/>
            </w:rPr>
            <w:t>13.47%</w:t>
          </w:r>
        </w:sdtContent>
      </w:sdt>
      <w:r>
        <w:t xml:space="preserve"> </w:t>
      </w:r>
      <w:r>
        <w:t>。</w:t>
      </w:r>
      <w:r>
        <w:rPr>
          <w:rFonts w:hint="eastAsia"/>
        </w:rPr>
        <w:t>前五名客户分别为：中国国家铁路集团有限公司及其下属单位、晋能控股煤业集团有限公司、中煤平朔集团有限公司、中国神华能源股份有限公司、山西焦煤集团有限责任公司。</w:t>
      </w:r>
    </w:p>
    <w:p w14:paraId="48DF1A3B" w14:textId="77777777" w:rsidR="005E000F" w:rsidRDefault="00000000">
      <w:pPr>
        <w:spacing w:line="360" w:lineRule="auto"/>
        <w:jc w:val="both"/>
      </w:pPr>
      <w:r>
        <w:rPr>
          <w:rFonts w:hint="eastAsia"/>
        </w:rPr>
        <w:t>前五名供应商采购额</w:t>
      </w:r>
      <w:sdt>
        <w:sdtPr>
          <w:rPr>
            <w:rFonts w:hint="eastAsia"/>
          </w:rPr>
          <w:alias w:val="前五名供应商采购额"/>
          <w:tag w:val="_GBC_4552254972a04ec6983b359a0f18d4bf"/>
          <w:id w:val="627520930"/>
          <w:placeholder>
            <w:docPart w:val="GBC22222222222222222222222222222"/>
          </w:placeholder>
        </w:sdtPr>
        <w:sdtContent>
          <w:r>
            <w:rPr>
              <w:rFonts w:hint="eastAsia"/>
            </w:rPr>
            <w:t>3,455,309</w:t>
          </w:r>
        </w:sdtContent>
      </w:sdt>
      <w:sdt>
        <w:sdtPr>
          <w:rPr>
            <w:rFonts w:hint="eastAsia"/>
          </w:rPr>
          <w:alias w:val="单位：前五名供应商采购额"/>
          <w:tag w:val="_GBC_418fcbdb1c1a4643afb7cce014bdeca2"/>
          <w:id w:val="-8757052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t>，占年度采购总额</w:t>
      </w:r>
      <w:sdt>
        <w:sdtPr>
          <w:alias w:val="前五名供应商采购额占年度采购总额比例"/>
          <w:tag w:val="_GBC_f32c49f691154cc4b6ba587f4a582958"/>
          <w:id w:val="1674294447"/>
          <w:placeholder>
            <w:docPart w:val="GBC22222222222222222222222222222"/>
          </w:placeholder>
        </w:sdtPr>
        <w:sdtContent>
          <w:r>
            <w:rPr>
              <w:rFonts w:hint="eastAsia"/>
            </w:rPr>
            <w:t>75.92%</w:t>
          </w:r>
        </w:sdtContent>
      </w:sdt>
      <w:r>
        <w:t>；其中前五名供应商采购额中关联方采购额</w:t>
      </w:r>
      <w:sdt>
        <w:sdtPr>
          <w:alias w:val="前五名供应商采购额中关联方采购额"/>
          <w:tag w:val="_GBC_b4791060802442e186017fdd5f31805a"/>
          <w:id w:val="-3515936"/>
          <w:placeholder>
            <w:docPart w:val="GBC22222222222222222222222222222"/>
          </w:placeholder>
        </w:sdtPr>
        <w:sdtContent>
          <w:r>
            <w:rPr>
              <w:rFonts w:hint="eastAsia"/>
            </w:rPr>
            <w:t>3,198,994</w:t>
          </w:r>
        </w:sdtContent>
      </w:sdt>
      <w:sdt>
        <w:sdtPr>
          <w:alias w:val="单位：前五名供应商采购额中关联方采购额"/>
          <w:tag w:val="_GBC_bac6c3f63a9a4b0db685f5ee8e883818"/>
          <w:id w:val="10495787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万元</w:t>
          </w:r>
        </w:sdtContent>
      </w:sdt>
      <w:r>
        <w:t>，占年度采购总额</w:t>
      </w:r>
      <w:sdt>
        <w:sdtPr>
          <w:alias w:val="前五名供应商采购额中关联方采购额占年度采购总额比例"/>
          <w:tag w:val="_GBC_41b2f0a67a5743e1a4ccf8f427eec0a3"/>
          <w:id w:val="-1562324093"/>
          <w:placeholder>
            <w:docPart w:val="GBC22222222222222222222222222222"/>
          </w:placeholder>
        </w:sdtPr>
        <w:sdtContent>
          <w:r>
            <w:rPr>
              <w:rFonts w:hint="eastAsia"/>
            </w:rPr>
            <w:t>70.29%</w:t>
          </w:r>
        </w:sdtContent>
      </w:sdt>
      <w:r>
        <w:rPr>
          <w:rFonts w:hint="eastAsia"/>
        </w:rPr>
        <w:t>。</w:t>
      </w:r>
    </w:p>
    <w:p w14:paraId="31FE1377" w14:textId="77777777" w:rsidR="005E000F" w:rsidRDefault="00000000">
      <w:pPr>
        <w:rPr>
          <w:b/>
          <w:bCs/>
        </w:rPr>
      </w:pPr>
      <w:bookmarkStart w:id="65" w:name="_Hlk190092068"/>
      <w:r>
        <w:rPr>
          <w:rFonts w:hint="eastAsia"/>
          <w:b/>
          <w:bCs/>
        </w:rPr>
        <w:t>B.</w:t>
      </w:r>
      <w:r>
        <w:rPr>
          <w:rFonts w:hint="eastAsia"/>
          <w:b/>
          <w:bCs/>
        </w:rPr>
        <w:t>报告期内向单个客户的销售比例超过总额的</w:t>
      </w:r>
      <w:r>
        <w:rPr>
          <w:b/>
          <w:bCs/>
        </w:rPr>
        <w:t>50%</w:t>
      </w:r>
      <w:r>
        <w:rPr>
          <w:b/>
          <w:bCs/>
        </w:rPr>
        <w:t>、前</w:t>
      </w:r>
      <w:r>
        <w:rPr>
          <w:rFonts w:hint="eastAsia"/>
          <w:b/>
          <w:bCs/>
        </w:rPr>
        <w:t>5</w:t>
      </w:r>
      <w:r>
        <w:rPr>
          <w:b/>
          <w:bCs/>
        </w:rPr>
        <w:t>名客户中存在新增客户的或严重依赖于少数客户的情形</w:t>
      </w:r>
    </w:p>
    <w:sdt>
      <w:sdtPr>
        <w:alias w:val="是否适用：前5名销售客户中存在新增客户的或严重依赖于少数客户的情形表[双击切换]"/>
        <w:tag w:val="_GBC_9335bc17e9fb4b00a212f4c3a2cf1884"/>
        <w:id w:val="-1362197020"/>
        <w:placeholder>
          <w:docPart w:val="GBC22222222222222222222222222222"/>
        </w:placeholder>
      </w:sdtPr>
      <w:sdtContent>
        <w:p w14:paraId="7B3D816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199A5E9" w14:textId="77777777" w:rsidR="005E000F" w:rsidRDefault="005E000F"/>
    <w:bookmarkEnd w:id="65"/>
    <w:p w14:paraId="7E7E8154" w14:textId="77777777" w:rsidR="005E000F" w:rsidRDefault="00000000">
      <w:pPr>
        <w:rPr>
          <w:b/>
          <w:bCs/>
        </w:rPr>
      </w:pPr>
      <w:r>
        <w:rPr>
          <w:b/>
          <w:bCs/>
        </w:rPr>
        <w:t>报告期内向单个供应商的采购比例超过总额的</w:t>
      </w:r>
      <w:r>
        <w:rPr>
          <w:b/>
          <w:bCs/>
        </w:rPr>
        <w:t>50%</w:t>
      </w:r>
      <w:r>
        <w:rPr>
          <w:b/>
          <w:bCs/>
        </w:rPr>
        <w:t>、前</w:t>
      </w:r>
      <w:r>
        <w:rPr>
          <w:b/>
          <w:bCs/>
        </w:rPr>
        <w:t>5</w:t>
      </w:r>
      <w:r>
        <w:rPr>
          <w:b/>
          <w:bCs/>
        </w:rPr>
        <w:t>名供应商中存在新增供应商的或严重依赖于少数供应商的情形</w:t>
      </w:r>
    </w:p>
    <w:sdt>
      <w:sdtPr>
        <w:alias w:val="是否适用：前5名供应商中存在新增供应商的或严重依赖于少数供应商的情形表[双击切换]"/>
        <w:tag w:val="_GBC_1e4a3af63f0f41888dc455d8c1a979a8"/>
        <w:id w:val="1768041780"/>
        <w:placeholder>
          <w:docPart w:val="GBC22222222222222222222222222222"/>
        </w:placeholder>
      </w:sdtPr>
      <w:sdtContent>
        <w:p w14:paraId="563481B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761BEDF" w14:textId="77777777" w:rsidR="005E000F" w:rsidRDefault="00000000">
      <w:pPr>
        <w:jc w:val="right"/>
      </w:pPr>
      <w:r>
        <w:rPr>
          <w:rFonts w:hint="eastAsia"/>
        </w:rPr>
        <w:t>单位：</w:t>
      </w:r>
      <w:sdt>
        <w:sdtPr>
          <w:alias w:val="单位：前5名供应商中存在新增供应商的或严重依赖于少数供应商的情形表"/>
          <w:tag w:val="_GBC_036521f9552a4945b789f303a5ebc076"/>
          <w:id w:val="187427374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万元</w:t>
          </w:r>
        </w:sdtContent>
      </w:sdt>
      <w:r>
        <w:rPr>
          <w:rFonts w:hint="eastAsia"/>
        </w:rPr>
        <w:t xml:space="preserve">  </w:t>
      </w:r>
      <w:r>
        <w:rPr>
          <w:rFonts w:hint="eastAsia"/>
        </w:rPr>
        <w:t>币种：</w:t>
      </w:r>
      <w:sdt>
        <w:sdtPr>
          <w:alias w:val="币种：前5名供应商中存在新增供应商的或严重依赖于少数供应商的情形表"/>
          <w:tag w:val="_GBC_4f8542d2517f47e5bd8480fca623c3f2"/>
          <w:id w:val="18429679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4112"/>
        <w:gridCol w:w="1374"/>
        <w:gridCol w:w="2743"/>
      </w:tblGrid>
      <w:tr w:rsidR="005E000F" w14:paraId="693C71B1" w14:textId="77777777">
        <w:trPr>
          <w:trHeight w:val="135"/>
        </w:trPr>
        <w:sdt>
          <w:sdtPr>
            <w:tag w:val="_PLD_5c6412ba92ae46a6868a5ff54cd0de79"/>
            <w:id w:val="-1002733595"/>
          </w:sdtPr>
          <w:sdtContent>
            <w:tc>
              <w:tcPr>
                <w:tcW w:w="816" w:type="dxa"/>
                <w:vAlign w:val="center"/>
              </w:tcPr>
              <w:p w14:paraId="3BE445FB" w14:textId="77777777" w:rsidR="005E000F" w:rsidRDefault="00000000">
                <w:pPr>
                  <w:widowControl w:val="0"/>
                  <w:jc w:val="center"/>
                </w:pPr>
                <w:r>
                  <w:rPr>
                    <w:rFonts w:hint="eastAsia"/>
                  </w:rPr>
                  <w:t>序号</w:t>
                </w:r>
              </w:p>
            </w:tc>
          </w:sdtContent>
        </w:sdt>
        <w:sdt>
          <w:sdtPr>
            <w:tag w:val="_PLD_1c99637d118847169ab972d16260e563"/>
            <w:id w:val="-765541958"/>
          </w:sdtPr>
          <w:sdtContent>
            <w:tc>
              <w:tcPr>
                <w:tcW w:w="4112" w:type="dxa"/>
                <w:vAlign w:val="center"/>
              </w:tcPr>
              <w:p w14:paraId="3F5D8746" w14:textId="77777777" w:rsidR="005E000F" w:rsidRDefault="00000000">
                <w:pPr>
                  <w:widowControl w:val="0"/>
                  <w:jc w:val="center"/>
                </w:pPr>
                <w:r>
                  <w:rPr>
                    <w:rFonts w:hint="eastAsia"/>
                  </w:rPr>
                  <w:t>供应商名称</w:t>
                </w:r>
              </w:p>
            </w:tc>
          </w:sdtContent>
        </w:sdt>
        <w:sdt>
          <w:sdtPr>
            <w:tag w:val="_PLD_7fe1f236ee9346c5b56beeb2fbb521c1"/>
            <w:id w:val="1515347103"/>
          </w:sdtPr>
          <w:sdtContent>
            <w:tc>
              <w:tcPr>
                <w:tcW w:w="1374" w:type="dxa"/>
                <w:vAlign w:val="center"/>
              </w:tcPr>
              <w:p w14:paraId="021B6126" w14:textId="77777777" w:rsidR="005E000F" w:rsidRDefault="00000000">
                <w:pPr>
                  <w:widowControl w:val="0"/>
                  <w:jc w:val="center"/>
                </w:pPr>
                <w:r>
                  <w:rPr>
                    <w:rFonts w:hint="eastAsia"/>
                  </w:rPr>
                  <w:t>采购额</w:t>
                </w:r>
              </w:p>
            </w:tc>
          </w:sdtContent>
        </w:sdt>
        <w:sdt>
          <w:sdtPr>
            <w:tag w:val="_PLD_ae3cc0eaaaf54f8c9c9a2424008b3d80"/>
            <w:id w:val="-1866588194"/>
          </w:sdtPr>
          <w:sdtContent>
            <w:tc>
              <w:tcPr>
                <w:tcW w:w="2743" w:type="dxa"/>
                <w:vAlign w:val="center"/>
              </w:tcPr>
              <w:p w14:paraId="6F6AA4AD" w14:textId="77777777" w:rsidR="005E000F" w:rsidRDefault="00000000">
                <w:pPr>
                  <w:widowControl w:val="0"/>
                  <w:jc w:val="center"/>
                </w:pPr>
                <w:r>
                  <w:rPr>
                    <w:rFonts w:hint="eastAsia"/>
                  </w:rPr>
                  <w:t>占年度采购总额比例（</w:t>
                </w:r>
                <w:r>
                  <w:rPr>
                    <w:rFonts w:hint="eastAsia"/>
                  </w:rPr>
                  <w:t>%</w:t>
                </w:r>
                <w:r>
                  <w:rPr>
                    <w:rFonts w:hint="eastAsia"/>
                  </w:rPr>
                  <w:t>）</w:t>
                </w:r>
              </w:p>
            </w:tc>
          </w:sdtContent>
        </w:sdt>
      </w:tr>
      <w:tr w:rsidR="005E000F" w14:paraId="3C9A83DF" w14:textId="77777777">
        <w:trPr>
          <w:trHeight w:val="147"/>
        </w:trPr>
        <w:tc>
          <w:tcPr>
            <w:tcW w:w="816" w:type="dxa"/>
            <w:vAlign w:val="center"/>
          </w:tcPr>
          <w:p w14:paraId="4EE272FC" w14:textId="77777777" w:rsidR="005E000F" w:rsidRDefault="00000000">
            <w:pPr>
              <w:widowControl w:val="0"/>
              <w:jc w:val="center"/>
              <w:rPr>
                <w:rStyle w:val="5Char2"/>
                <w:b w:val="0"/>
                <w:szCs w:val="21"/>
              </w:rPr>
            </w:pPr>
            <w:r>
              <w:rPr>
                <w:rStyle w:val="5Char2"/>
                <w:rFonts w:hint="eastAsia"/>
                <w:b w:val="0"/>
                <w:szCs w:val="21"/>
              </w:rPr>
              <w:t>1</w:t>
            </w:r>
          </w:p>
        </w:tc>
        <w:tc>
          <w:tcPr>
            <w:tcW w:w="4112" w:type="dxa"/>
            <w:vAlign w:val="center"/>
          </w:tcPr>
          <w:p w14:paraId="606205A9" w14:textId="77777777" w:rsidR="005E000F" w:rsidRDefault="00000000">
            <w:pPr>
              <w:widowControl w:val="0"/>
              <w:jc w:val="both"/>
            </w:pPr>
            <w:r>
              <w:rPr>
                <w:rFonts w:hint="eastAsia"/>
              </w:rPr>
              <w:t>中国国家铁路集团有限公司及其下属单位</w:t>
            </w:r>
          </w:p>
        </w:tc>
        <w:tc>
          <w:tcPr>
            <w:tcW w:w="1374" w:type="dxa"/>
            <w:vAlign w:val="center"/>
          </w:tcPr>
          <w:p w14:paraId="2B80159D" w14:textId="77777777" w:rsidR="005E000F" w:rsidRDefault="00000000">
            <w:pPr>
              <w:widowControl w:val="0"/>
              <w:jc w:val="right"/>
            </w:pPr>
            <w:r>
              <w:t>3,198,994</w:t>
            </w:r>
          </w:p>
        </w:tc>
        <w:tc>
          <w:tcPr>
            <w:tcW w:w="2743" w:type="dxa"/>
            <w:vAlign w:val="center"/>
          </w:tcPr>
          <w:p w14:paraId="6BC9ED1E" w14:textId="77777777" w:rsidR="005E000F" w:rsidRDefault="00000000">
            <w:pPr>
              <w:widowControl w:val="0"/>
              <w:jc w:val="right"/>
            </w:pPr>
            <w:r>
              <w:rPr>
                <w:rFonts w:hint="eastAsia"/>
              </w:rPr>
              <w:t>70.29</w:t>
            </w:r>
          </w:p>
        </w:tc>
      </w:tr>
    </w:tbl>
    <w:p w14:paraId="0EC1D21D" w14:textId="77777777" w:rsidR="005E000F" w:rsidRDefault="005E000F"/>
    <w:p w14:paraId="3CA65CAE" w14:textId="77777777" w:rsidR="005E000F" w:rsidRDefault="00000000">
      <w:pPr>
        <w:rPr>
          <w:b/>
          <w:bCs/>
        </w:rPr>
      </w:pPr>
      <w:r>
        <w:rPr>
          <w:rFonts w:hint="eastAsia"/>
          <w:b/>
          <w:bCs/>
        </w:rPr>
        <w:t>C.</w:t>
      </w:r>
      <w:r>
        <w:rPr>
          <w:rFonts w:hint="eastAsia"/>
          <w:b/>
          <w:bCs/>
        </w:rPr>
        <w:t>报告期内公司股票被实施退</w:t>
      </w:r>
      <w:proofErr w:type="gramStart"/>
      <w:r>
        <w:rPr>
          <w:rFonts w:hint="eastAsia"/>
          <w:b/>
          <w:bCs/>
        </w:rPr>
        <w:t>市风险</w:t>
      </w:r>
      <w:proofErr w:type="gramEnd"/>
      <w:r>
        <w:rPr>
          <w:rFonts w:hint="eastAsia"/>
          <w:b/>
          <w:bCs/>
        </w:rPr>
        <w:t>警示或其他风险警示</w:t>
      </w:r>
    </w:p>
    <w:p w14:paraId="553E5740" w14:textId="77777777" w:rsidR="005E000F" w:rsidRDefault="00000000">
      <w:pPr>
        <w:autoSpaceDE w:val="0"/>
        <w:autoSpaceDN w:val="0"/>
        <w:adjustRightInd w:val="0"/>
        <w:spacing w:line="276" w:lineRule="auto"/>
        <w:rPr>
          <w:b/>
          <w:lang w:val="zh-CN"/>
        </w:rPr>
      </w:pPr>
      <w:bookmarkStart w:id="66" w:name="_Hlk189836187"/>
      <w:r>
        <w:rPr>
          <w:rFonts w:hint="eastAsia"/>
          <w:bCs/>
          <w:lang w:val="zh-CN"/>
        </w:rPr>
        <w:t>前五名销售客户</w:t>
      </w:r>
    </w:p>
    <w:sdt>
      <w:sdtPr>
        <w:rPr>
          <w:rFonts w:hint="eastAsia"/>
          <w:bCs/>
          <w:lang w:val="zh-CN"/>
        </w:rPr>
        <w:alias w:val="是否适用：公司前五名主要销售客户情况[双击切换]"/>
        <w:tag w:val="_GBC_f8b3ab4836d84d3db48e52713048016f"/>
        <w:id w:val="-513767169"/>
        <w:placeholder>
          <w:docPart w:val="GBC22222222222222222222222222222"/>
        </w:placeholder>
      </w:sdtPr>
      <w:sdtContent>
        <w:p w14:paraId="53A61C7F" w14:textId="77777777" w:rsidR="005E000F" w:rsidRDefault="00000000">
          <w:pPr>
            <w:autoSpaceDE w:val="0"/>
            <w:autoSpaceDN w:val="0"/>
            <w:adjustRightInd w:val="0"/>
            <w:spacing w:line="276" w:lineRule="auto"/>
            <w:rPr>
              <w:bCs/>
              <w:lang w:val="zh-CN"/>
            </w:rPr>
          </w:pPr>
          <w:r>
            <w:rPr>
              <w:rFonts w:ascii="宋体" w:hAnsi="宋体"/>
              <w:bCs/>
              <w:lang w:val="zh-CN"/>
            </w:rPr>
            <w:fldChar w:fldCharType="begin"/>
          </w:r>
          <w:r>
            <w:rPr>
              <w:rFonts w:ascii="宋体" w:hAnsi="宋体"/>
              <w:bCs/>
              <w:lang w:val="zh-CN"/>
            </w:rPr>
            <w:instrText xml:space="preserve"> MACROBUTTON  SnrToggleCheckbox □适用 </w:instrText>
          </w:r>
          <w:r>
            <w:rPr>
              <w:rFonts w:ascii="宋体" w:hAnsi="宋体"/>
              <w:bCs/>
              <w:lang w:val="zh-CN"/>
            </w:rPr>
            <w:fldChar w:fldCharType="end"/>
          </w:r>
          <w:r>
            <w:rPr>
              <w:rFonts w:ascii="宋体" w:hAnsi="宋体"/>
              <w:bCs/>
              <w:lang w:val="zh-CN"/>
            </w:rPr>
            <w:fldChar w:fldCharType="begin"/>
          </w:r>
          <w:r>
            <w:rPr>
              <w:rFonts w:ascii="宋体" w:hAnsi="宋体"/>
              <w:bCs/>
              <w:lang w:val="zh-CN"/>
            </w:rPr>
            <w:instrText xml:space="preserve"> MACROBUTTON  SnrToggleCheckbox √不适用 </w:instrText>
          </w:r>
          <w:r>
            <w:rPr>
              <w:rFonts w:ascii="宋体" w:hAnsi="宋体"/>
              <w:bCs/>
              <w:lang w:val="zh-CN"/>
            </w:rPr>
            <w:fldChar w:fldCharType="end"/>
          </w:r>
        </w:p>
      </w:sdtContent>
    </w:sdt>
    <w:p w14:paraId="26A023B5" w14:textId="77777777" w:rsidR="005E000F" w:rsidRDefault="00000000">
      <w:bookmarkStart w:id="67" w:name="_Hlk189836300"/>
      <w:bookmarkStart w:id="68" w:name="_Hlk25832335"/>
      <w:bookmarkEnd w:id="66"/>
      <w:r>
        <w:rPr>
          <w:rFonts w:hint="eastAsia"/>
        </w:rPr>
        <w:t>前五名供应商</w:t>
      </w:r>
    </w:p>
    <w:sdt>
      <w:sdtPr>
        <w:rPr>
          <w:rFonts w:hint="eastAsia"/>
        </w:rPr>
        <w:alias w:val="是否适用：公司前五名主要供应商情况[双击切换]"/>
        <w:tag w:val="_GBC_d692c103c2cd4a4abe724b21a91c3790"/>
        <w:id w:val="1777365923"/>
        <w:placeholder>
          <w:docPart w:val="GBC22222222222222222222222222222"/>
        </w:placeholder>
      </w:sdtPr>
      <w:sdtContent>
        <w:p w14:paraId="68869BF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F1B0C75" w14:textId="77777777" w:rsidR="005E000F" w:rsidRDefault="00000000">
      <w:pPr>
        <w:rPr>
          <w:b/>
          <w:bCs/>
        </w:rPr>
      </w:pPr>
      <w:bookmarkStart w:id="69" w:name="_Hlk217463331"/>
      <w:bookmarkEnd w:id="67"/>
      <w:bookmarkEnd w:id="68"/>
      <w:r>
        <w:rPr>
          <w:rFonts w:hint="eastAsia"/>
          <w:b/>
          <w:bCs/>
        </w:rPr>
        <w:t>D.</w:t>
      </w:r>
      <w:r>
        <w:rPr>
          <w:rFonts w:hint="eastAsia"/>
          <w:b/>
          <w:bCs/>
        </w:rPr>
        <w:t>报告期内公司存在贸易业务收入</w:t>
      </w:r>
    </w:p>
    <w:sdt>
      <w:sdtPr>
        <w:rPr>
          <w:rFonts w:hint="eastAsia"/>
        </w:rPr>
        <w:alias w:val="报告期内公司是否存在贸易业务收入[双击切换]"/>
        <w:tag w:val="_GBC_3ae6eb2d9c104edd9c836e1bf671669f"/>
        <w:id w:val="-324508943"/>
        <w:placeholder>
          <w:docPart w:val="GBC22222222222222222222222222222"/>
        </w:placeholder>
      </w:sdtPr>
      <w:sdtContent>
        <w:p w14:paraId="1BB9AC4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D1346CF" w14:textId="77777777" w:rsidR="005E000F" w:rsidRDefault="00000000">
      <w:bookmarkStart w:id="70" w:name="_Hlk188285406"/>
      <w:bookmarkEnd w:id="69"/>
      <w:r>
        <w:rPr>
          <w:rFonts w:hint="eastAsia"/>
        </w:rPr>
        <w:t>贸易业务占营业收入比例超过</w:t>
      </w:r>
      <w:r>
        <w:rPr>
          <w:rFonts w:hint="eastAsia"/>
        </w:rPr>
        <w:t>10%</w:t>
      </w:r>
      <w:r>
        <w:rPr>
          <w:rFonts w:hint="eastAsia"/>
        </w:rPr>
        <w:t>前五名销售客户</w:t>
      </w:r>
    </w:p>
    <w:sdt>
      <w:sdtPr>
        <w:rPr>
          <w:rFonts w:hint="eastAsia"/>
        </w:rPr>
        <w:alias w:val="是否适用：报告期内公司贸易业务收入占营业收入比例超过10%的贸易业务前5名销售客户[双击切换]"/>
        <w:tag w:val="_GBC_874060c7be284e34b677814c97469999"/>
        <w:id w:val="842511179"/>
        <w:placeholder>
          <w:docPart w:val="GBC22222222222222222222222222222"/>
        </w:placeholder>
      </w:sdtPr>
      <w:sdtContent>
        <w:p w14:paraId="27904852" w14:textId="77777777" w:rsidR="005E000F" w:rsidRDefault="0000000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65333273" w14:textId="77777777" w:rsidR="005E000F" w:rsidRDefault="00000000">
      <w:bookmarkStart w:id="71" w:name="_Hlk188285949"/>
      <w:bookmarkEnd w:id="70"/>
      <w:r>
        <w:rPr>
          <w:rFonts w:hint="eastAsia"/>
        </w:rPr>
        <w:t>贸易业务收入占营业收入比例超过</w:t>
      </w:r>
      <w:r>
        <w:rPr>
          <w:rFonts w:hint="eastAsia"/>
        </w:rPr>
        <w:t>10%</w:t>
      </w:r>
      <w:r>
        <w:rPr>
          <w:rFonts w:hint="eastAsia"/>
        </w:rPr>
        <w:t>前五名</w:t>
      </w:r>
      <w:r>
        <w:t>供应商</w:t>
      </w:r>
    </w:p>
    <w:sdt>
      <w:sdtPr>
        <w:rPr>
          <w:rFonts w:hint="eastAsia"/>
        </w:rPr>
        <w:alias w:val="是否适用：报告期内公司贸易业务收入占营业收入比例超过10%的贸易业务前5名供应商[双击切换]"/>
        <w:tag w:val="_GBC_3d816dcc13274eeeafda04c5590e4ca9"/>
        <w:id w:val="128903375"/>
        <w:placeholder>
          <w:docPart w:val="GBC22222222222222222222222222222"/>
        </w:placeholder>
      </w:sdtPr>
      <w:sdtContent>
        <w:p w14:paraId="78235C9C" w14:textId="77777777" w:rsidR="005E000F" w:rsidRDefault="0000000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7FA4D005" w14:textId="77777777" w:rsidR="005E000F" w:rsidRDefault="00000000">
      <w:bookmarkStart w:id="72" w:name="_Hlk188286201"/>
      <w:bookmarkStart w:id="73" w:name="_Hlk184741846"/>
      <w:bookmarkEnd w:id="71"/>
      <w:bookmarkEnd w:id="72"/>
      <w:r>
        <w:rPr>
          <w:rFonts w:hint="eastAsia"/>
        </w:rPr>
        <w:t>其他说明：</w:t>
      </w:r>
    </w:p>
    <w:sdt>
      <w:sdtPr>
        <w:alias w:val="主要销售客户及主要供应商情况其他说明"/>
        <w:tag w:val="_GBC_671f841429ed4c5aaa013b86ad58b88f"/>
        <w:id w:val="-566191221"/>
        <w:placeholder>
          <w:docPart w:val="GBC22222222222222222222222222222"/>
        </w:placeholder>
      </w:sdtPr>
      <w:sdtContent>
        <w:p w14:paraId="70CD39B0" w14:textId="77777777" w:rsidR="005E000F" w:rsidRDefault="00000000">
          <w:r>
            <w:rPr>
              <w:rFonts w:hint="eastAsia"/>
            </w:rPr>
            <w:t>无</w:t>
          </w:r>
        </w:p>
      </w:sdtContent>
    </w:sdt>
    <w:bookmarkEnd w:id="73"/>
    <w:p w14:paraId="0C2B081B" w14:textId="77777777" w:rsidR="005E000F" w:rsidRDefault="00000000">
      <w:pPr>
        <w:pStyle w:val="4"/>
        <w:numPr>
          <w:ilvl w:val="0"/>
          <w:numId w:val="11"/>
        </w:numPr>
      </w:pPr>
      <w:r>
        <w:rPr>
          <w:rFonts w:hint="eastAsia"/>
        </w:rPr>
        <w:t>费用</w:t>
      </w:r>
    </w:p>
    <w:sdt>
      <w:sdtPr>
        <w:alias w:val="是否适用：费用[双击切换]"/>
        <w:tag w:val="_GBC_fa9cd5e43a8f426c8b793a737190d8db"/>
        <w:id w:val="-1883005855"/>
        <w:placeholder>
          <w:docPart w:val="GBC22222222222222222222222222222"/>
        </w:placeholder>
      </w:sdtPr>
      <w:sdtContent>
        <w:p w14:paraId="69E2AE53"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ascii="Times New Roman" w:hAnsi="Times New Roman" w:hint="eastAsia"/>
          <w:kern w:val="0"/>
          <w:szCs w:val="21"/>
        </w:rPr>
        <w:alias w:val="费用情况说明"/>
        <w:tag w:val="_GBC_02a46af1e8d349d8b753768e17da35a1"/>
        <w:id w:val="-1563933235"/>
        <w:placeholder>
          <w:docPart w:val="GBC22222222222222222222222222222"/>
        </w:placeholder>
      </w:sdtPr>
      <w:sdtContent>
        <w:p w14:paraId="3846A109" w14:textId="77777777" w:rsidR="005E000F" w:rsidRDefault="00000000">
          <w:pPr>
            <w:pStyle w:val="Style1"/>
            <w:ind w:firstLineChars="0" w:firstLine="0"/>
            <w:jc w:val="right"/>
            <w:rPr>
              <w:rFonts w:ascii="Times New Roman" w:hAnsi="Times New Roman"/>
              <w:szCs w:val="21"/>
            </w:rPr>
          </w:pPr>
          <w:r>
            <w:rPr>
              <w:rFonts w:ascii="Times New Roman" w:hAnsi="Times New Roman" w:hint="eastAsia"/>
              <w:szCs w:val="21"/>
            </w:rPr>
            <w:t>单位：元</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1559"/>
            <w:gridCol w:w="1567"/>
            <w:gridCol w:w="1210"/>
            <w:gridCol w:w="3276"/>
          </w:tblGrid>
          <w:tr w:rsidR="005E000F" w14:paraId="4EAF560E" w14:textId="77777777">
            <w:trPr>
              <w:trHeight w:val="136"/>
              <w:jc w:val="center"/>
            </w:trPr>
            <w:tc>
              <w:tcPr>
                <w:tcW w:w="792" w:type="pct"/>
                <w:vAlign w:val="center"/>
              </w:tcPr>
              <w:p w14:paraId="089CABEB" w14:textId="77777777" w:rsidR="005E000F" w:rsidRDefault="00000000">
                <w:pPr>
                  <w:jc w:val="center"/>
                  <w:rPr>
                    <w:b/>
                    <w:bCs/>
                  </w:rPr>
                </w:pPr>
                <w:r>
                  <w:rPr>
                    <w:b/>
                    <w:bCs/>
                  </w:rPr>
                  <w:t>项目</w:t>
                </w:r>
              </w:p>
            </w:tc>
            <w:tc>
              <w:tcPr>
                <w:tcW w:w="862" w:type="pct"/>
                <w:vAlign w:val="center"/>
              </w:tcPr>
              <w:p w14:paraId="7D7BFB15" w14:textId="77777777" w:rsidR="005E000F" w:rsidRDefault="00000000">
                <w:pPr>
                  <w:jc w:val="center"/>
                  <w:rPr>
                    <w:b/>
                    <w:bCs/>
                  </w:rPr>
                </w:pPr>
                <w:r>
                  <w:rPr>
                    <w:rFonts w:hint="eastAsia"/>
                    <w:b/>
                    <w:bCs/>
                  </w:rPr>
                  <w:t>2025</w:t>
                </w:r>
                <w:r>
                  <w:rPr>
                    <w:rFonts w:hint="eastAsia"/>
                    <w:b/>
                    <w:bCs/>
                  </w:rPr>
                  <w:t>年</w:t>
                </w:r>
              </w:p>
            </w:tc>
            <w:tc>
              <w:tcPr>
                <w:tcW w:w="1471" w:type="dxa"/>
                <w:vAlign w:val="center"/>
              </w:tcPr>
              <w:p w14:paraId="185C54FC" w14:textId="77777777" w:rsidR="005E000F" w:rsidRDefault="00000000">
                <w:pPr>
                  <w:jc w:val="center"/>
                  <w:rPr>
                    <w:b/>
                    <w:bCs/>
                  </w:rPr>
                </w:pPr>
                <w:r>
                  <w:rPr>
                    <w:rFonts w:hint="eastAsia"/>
                    <w:b/>
                    <w:bCs/>
                  </w:rPr>
                  <w:t>2024</w:t>
                </w:r>
                <w:r>
                  <w:rPr>
                    <w:rFonts w:hint="eastAsia"/>
                    <w:b/>
                    <w:bCs/>
                  </w:rPr>
                  <w:t>年</w:t>
                </w:r>
              </w:p>
            </w:tc>
            <w:tc>
              <w:tcPr>
                <w:tcW w:w="669" w:type="pct"/>
                <w:vAlign w:val="center"/>
              </w:tcPr>
              <w:p w14:paraId="293500DE" w14:textId="77777777" w:rsidR="005E000F" w:rsidRDefault="00000000">
                <w:pPr>
                  <w:jc w:val="center"/>
                  <w:rPr>
                    <w:b/>
                    <w:bCs/>
                  </w:rPr>
                </w:pPr>
                <w:r>
                  <w:rPr>
                    <w:rFonts w:hint="eastAsia"/>
                    <w:b/>
                    <w:bCs/>
                  </w:rPr>
                  <w:t>变动幅度（</w:t>
                </w:r>
                <w:r>
                  <w:rPr>
                    <w:rFonts w:hint="eastAsia"/>
                    <w:b/>
                    <w:bCs/>
                  </w:rPr>
                  <w:t>%</w:t>
                </w:r>
                <w:r>
                  <w:rPr>
                    <w:rFonts w:hint="eastAsia"/>
                    <w:b/>
                    <w:bCs/>
                  </w:rPr>
                  <w:t>）</w:t>
                </w:r>
              </w:p>
            </w:tc>
            <w:tc>
              <w:tcPr>
                <w:tcW w:w="1811" w:type="pct"/>
                <w:vAlign w:val="center"/>
              </w:tcPr>
              <w:p w14:paraId="716F1CC3" w14:textId="77777777" w:rsidR="005E000F" w:rsidRDefault="00000000">
                <w:pPr>
                  <w:jc w:val="center"/>
                  <w:rPr>
                    <w:b/>
                    <w:bCs/>
                  </w:rPr>
                </w:pPr>
                <w:r>
                  <w:rPr>
                    <w:rFonts w:hint="eastAsia"/>
                    <w:b/>
                    <w:bCs/>
                  </w:rPr>
                  <w:t>情况说明</w:t>
                </w:r>
              </w:p>
            </w:tc>
          </w:tr>
          <w:tr w:rsidR="005E000F" w14:paraId="3FF3FA69" w14:textId="77777777">
            <w:trPr>
              <w:trHeight w:val="370"/>
              <w:jc w:val="center"/>
            </w:trPr>
            <w:tc>
              <w:tcPr>
                <w:tcW w:w="792" w:type="pct"/>
                <w:vAlign w:val="center"/>
              </w:tcPr>
              <w:p w14:paraId="3785429C" w14:textId="77777777" w:rsidR="005E000F" w:rsidRDefault="00000000">
                <w:pPr>
                  <w:jc w:val="center"/>
                </w:pPr>
                <w:r>
                  <w:rPr>
                    <w:rFonts w:hint="eastAsia"/>
                  </w:rPr>
                  <w:t>销售费用</w:t>
                </w:r>
              </w:p>
            </w:tc>
            <w:tc>
              <w:tcPr>
                <w:tcW w:w="1469" w:type="dxa"/>
                <w:vAlign w:val="center"/>
              </w:tcPr>
              <w:p w14:paraId="0E592740" w14:textId="77777777" w:rsidR="005E000F" w:rsidRDefault="00000000">
                <w:pPr>
                  <w:jc w:val="right"/>
                  <w:textAlignment w:val="center"/>
                  <w:rPr>
                    <w:color w:val="000000"/>
                    <w:lang w:bidi="ar"/>
                  </w:rPr>
                </w:pPr>
                <w:r>
                  <w:rPr>
                    <w:color w:val="000000"/>
                    <w:lang w:bidi="ar"/>
                  </w:rPr>
                  <w:t xml:space="preserve"> 52,171,110 </w:t>
                </w:r>
              </w:p>
            </w:tc>
            <w:tc>
              <w:tcPr>
                <w:tcW w:w="1471" w:type="dxa"/>
                <w:vAlign w:val="center"/>
              </w:tcPr>
              <w:p w14:paraId="0D438E28" w14:textId="77777777" w:rsidR="005E000F" w:rsidRDefault="00000000">
                <w:pPr>
                  <w:jc w:val="right"/>
                  <w:textAlignment w:val="center"/>
                  <w:rPr>
                    <w:color w:val="000000"/>
                    <w:lang w:bidi="ar"/>
                  </w:rPr>
                </w:pPr>
                <w:r>
                  <w:rPr>
                    <w:color w:val="000000"/>
                    <w:lang w:bidi="ar"/>
                  </w:rPr>
                  <w:t xml:space="preserve"> 128,495,322 </w:t>
                </w:r>
              </w:p>
            </w:tc>
            <w:tc>
              <w:tcPr>
                <w:tcW w:w="1140" w:type="dxa"/>
                <w:vAlign w:val="center"/>
              </w:tcPr>
              <w:p w14:paraId="73B14814" w14:textId="77777777" w:rsidR="005E000F" w:rsidRDefault="00000000">
                <w:pPr>
                  <w:jc w:val="right"/>
                  <w:textAlignment w:val="center"/>
                  <w:rPr>
                    <w:color w:val="000000"/>
                    <w:lang w:bidi="ar"/>
                  </w:rPr>
                </w:pPr>
                <w:r>
                  <w:rPr>
                    <w:color w:val="000000"/>
                    <w:lang w:bidi="ar"/>
                  </w:rPr>
                  <w:t xml:space="preserve"> -59.40 </w:t>
                </w:r>
              </w:p>
            </w:tc>
            <w:tc>
              <w:tcPr>
                <w:tcW w:w="3086" w:type="dxa"/>
                <w:vAlign w:val="center"/>
              </w:tcPr>
              <w:p w14:paraId="73272644" w14:textId="77777777" w:rsidR="005E000F" w:rsidRDefault="00000000">
                <w:pPr>
                  <w:ind w:leftChars="50" w:left="105" w:rightChars="50" w:right="105"/>
                  <w:jc w:val="both"/>
                  <w:textAlignment w:val="center"/>
                  <w:rPr>
                    <w:color w:val="000000"/>
                    <w:lang w:bidi="ar"/>
                  </w:rPr>
                </w:pPr>
                <w:r>
                  <w:rPr>
                    <w:rFonts w:hint="eastAsia"/>
                    <w:szCs w:val="24"/>
                  </w:rPr>
                  <w:t>公司货运物流改革，相关人员薪酬结构性调整至营业成本</w:t>
                </w:r>
              </w:p>
            </w:tc>
          </w:tr>
          <w:tr w:rsidR="005E000F" w14:paraId="67D4A68A" w14:textId="77777777">
            <w:trPr>
              <w:trHeight w:val="370"/>
              <w:jc w:val="center"/>
            </w:trPr>
            <w:tc>
              <w:tcPr>
                <w:tcW w:w="792" w:type="pct"/>
                <w:vAlign w:val="center"/>
              </w:tcPr>
              <w:p w14:paraId="0DDA63CA" w14:textId="77777777" w:rsidR="005E000F" w:rsidRDefault="00000000">
                <w:pPr>
                  <w:jc w:val="center"/>
                </w:pPr>
                <w:r>
                  <w:rPr>
                    <w:rFonts w:hint="eastAsia"/>
                  </w:rPr>
                  <w:t>管理费用</w:t>
                </w:r>
              </w:p>
            </w:tc>
            <w:tc>
              <w:tcPr>
                <w:tcW w:w="1469" w:type="dxa"/>
                <w:vAlign w:val="center"/>
              </w:tcPr>
              <w:p w14:paraId="0E330777" w14:textId="77777777" w:rsidR="005E000F" w:rsidRDefault="00000000">
                <w:pPr>
                  <w:jc w:val="right"/>
                  <w:textAlignment w:val="center"/>
                  <w:rPr>
                    <w:color w:val="000000"/>
                    <w:lang w:bidi="ar"/>
                  </w:rPr>
                </w:pPr>
                <w:r>
                  <w:rPr>
                    <w:color w:val="000000"/>
                    <w:lang w:bidi="ar"/>
                  </w:rPr>
                  <w:t xml:space="preserve"> 918,712,161 </w:t>
                </w:r>
              </w:p>
            </w:tc>
            <w:tc>
              <w:tcPr>
                <w:tcW w:w="1471" w:type="dxa"/>
                <w:vAlign w:val="center"/>
              </w:tcPr>
              <w:p w14:paraId="56B213DB" w14:textId="77777777" w:rsidR="005E000F" w:rsidRDefault="00000000">
                <w:pPr>
                  <w:jc w:val="right"/>
                  <w:textAlignment w:val="center"/>
                  <w:rPr>
                    <w:color w:val="000000"/>
                    <w:lang w:bidi="ar"/>
                  </w:rPr>
                </w:pPr>
                <w:r>
                  <w:rPr>
                    <w:color w:val="000000"/>
                    <w:lang w:bidi="ar"/>
                  </w:rPr>
                  <w:t xml:space="preserve"> 517,713,928 </w:t>
                </w:r>
              </w:p>
            </w:tc>
            <w:tc>
              <w:tcPr>
                <w:tcW w:w="1140" w:type="dxa"/>
                <w:vAlign w:val="center"/>
              </w:tcPr>
              <w:p w14:paraId="08B0982C" w14:textId="77777777" w:rsidR="005E000F" w:rsidRDefault="00000000">
                <w:pPr>
                  <w:jc w:val="right"/>
                  <w:textAlignment w:val="center"/>
                  <w:rPr>
                    <w:color w:val="000000"/>
                    <w:lang w:bidi="ar"/>
                  </w:rPr>
                </w:pPr>
                <w:r>
                  <w:rPr>
                    <w:color w:val="000000"/>
                    <w:lang w:bidi="ar"/>
                  </w:rPr>
                  <w:t xml:space="preserve"> 77.46 </w:t>
                </w:r>
              </w:p>
            </w:tc>
            <w:tc>
              <w:tcPr>
                <w:tcW w:w="3086" w:type="dxa"/>
                <w:vAlign w:val="center"/>
              </w:tcPr>
              <w:p w14:paraId="79CA7AC4" w14:textId="77777777" w:rsidR="005E000F" w:rsidRDefault="00000000">
                <w:pPr>
                  <w:ind w:leftChars="50" w:left="105" w:rightChars="50" w:right="105"/>
                  <w:jc w:val="both"/>
                  <w:textAlignment w:val="center"/>
                  <w:rPr>
                    <w:color w:val="000000"/>
                    <w:lang w:bidi="ar"/>
                  </w:rPr>
                </w:pPr>
                <w:r>
                  <w:rPr>
                    <w:rFonts w:hint="eastAsia"/>
                    <w:szCs w:val="24"/>
                  </w:rPr>
                  <w:t>计提党组织经费以及土地摊</w:t>
                </w:r>
                <w:proofErr w:type="gramStart"/>
                <w:r>
                  <w:rPr>
                    <w:rFonts w:hint="eastAsia"/>
                    <w:szCs w:val="24"/>
                  </w:rPr>
                  <w:t>销费用</w:t>
                </w:r>
                <w:proofErr w:type="gramEnd"/>
                <w:r>
                  <w:rPr>
                    <w:rFonts w:hint="eastAsia"/>
                    <w:szCs w:val="24"/>
                  </w:rPr>
                  <w:t>增加</w:t>
                </w:r>
              </w:p>
            </w:tc>
          </w:tr>
          <w:tr w:rsidR="005E000F" w14:paraId="04D08AD3" w14:textId="77777777">
            <w:trPr>
              <w:trHeight w:val="370"/>
              <w:jc w:val="center"/>
            </w:trPr>
            <w:tc>
              <w:tcPr>
                <w:tcW w:w="792" w:type="pct"/>
                <w:vAlign w:val="center"/>
              </w:tcPr>
              <w:p w14:paraId="6405E75A" w14:textId="77777777" w:rsidR="005E000F" w:rsidRDefault="00000000">
                <w:pPr>
                  <w:jc w:val="center"/>
                </w:pPr>
                <w:r>
                  <w:rPr>
                    <w:rFonts w:hint="eastAsia"/>
                  </w:rPr>
                  <w:t>财务费用</w:t>
                </w:r>
              </w:p>
            </w:tc>
            <w:tc>
              <w:tcPr>
                <w:tcW w:w="1469" w:type="dxa"/>
                <w:vAlign w:val="center"/>
              </w:tcPr>
              <w:p w14:paraId="51896520" w14:textId="77777777" w:rsidR="005E000F" w:rsidRDefault="00000000">
                <w:pPr>
                  <w:jc w:val="right"/>
                  <w:textAlignment w:val="center"/>
                  <w:rPr>
                    <w:color w:val="000000"/>
                    <w:lang w:bidi="ar"/>
                  </w:rPr>
                </w:pPr>
                <w:r>
                  <w:rPr>
                    <w:color w:val="000000"/>
                    <w:lang w:bidi="ar"/>
                  </w:rPr>
                  <w:t xml:space="preserve"> -296,022,107 </w:t>
                </w:r>
              </w:p>
            </w:tc>
            <w:tc>
              <w:tcPr>
                <w:tcW w:w="1471" w:type="dxa"/>
                <w:vAlign w:val="center"/>
              </w:tcPr>
              <w:p w14:paraId="1EF95904" w14:textId="77777777" w:rsidR="005E000F" w:rsidRDefault="00000000">
                <w:pPr>
                  <w:jc w:val="right"/>
                  <w:textAlignment w:val="center"/>
                  <w:rPr>
                    <w:color w:val="000000"/>
                    <w:lang w:bidi="ar"/>
                  </w:rPr>
                </w:pPr>
                <w:r>
                  <w:rPr>
                    <w:color w:val="000000"/>
                    <w:lang w:bidi="ar"/>
                  </w:rPr>
                  <w:t xml:space="preserve"> 13,716,097 </w:t>
                </w:r>
              </w:p>
            </w:tc>
            <w:tc>
              <w:tcPr>
                <w:tcW w:w="1140" w:type="dxa"/>
                <w:vAlign w:val="center"/>
              </w:tcPr>
              <w:p w14:paraId="5ED8A081" w14:textId="77777777" w:rsidR="005E000F" w:rsidRDefault="00000000">
                <w:pPr>
                  <w:jc w:val="right"/>
                  <w:textAlignment w:val="center"/>
                  <w:rPr>
                    <w:color w:val="000000"/>
                    <w:lang w:bidi="ar"/>
                  </w:rPr>
                </w:pPr>
                <w:r>
                  <w:rPr>
                    <w:color w:val="000000"/>
                    <w:lang w:bidi="ar"/>
                  </w:rPr>
                  <w:t xml:space="preserve"> -2,258.21 </w:t>
                </w:r>
              </w:p>
            </w:tc>
            <w:tc>
              <w:tcPr>
                <w:tcW w:w="3086" w:type="dxa"/>
                <w:vAlign w:val="center"/>
              </w:tcPr>
              <w:p w14:paraId="37925B97" w14:textId="77777777" w:rsidR="005E000F" w:rsidRDefault="00000000">
                <w:pPr>
                  <w:ind w:leftChars="50" w:left="105" w:rightChars="50" w:right="105"/>
                  <w:jc w:val="both"/>
                  <w:textAlignment w:val="center"/>
                  <w:rPr>
                    <w:color w:val="000000"/>
                    <w:lang w:bidi="ar"/>
                  </w:rPr>
                </w:pPr>
                <w:r>
                  <w:rPr>
                    <w:rFonts w:hint="eastAsia"/>
                  </w:rPr>
                  <w:t>可转换债券转</w:t>
                </w:r>
                <w:proofErr w:type="gramStart"/>
                <w:r>
                  <w:rPr>
                    <w:rFonts w:hint="eastAsia"/>
                  </w:rPr>
                  <w:t>股导致</w:t>
                </w:r>
                <w:proofErr w:type="gramEnd"/>
                <w:r>
                  <w:rPr>
                    <w:rFonts w:hint="eastAsia"/>
                  </w:rPr>
                  <w:t>本年利息费用减少</w:t>
                </w:r>
              </w:p>
            </w:tc>
          </w:tr>
        </w:tbl>
        <w:p w14:paraId="4F6A6165" w14:textId="77777777" w:rsidR="005E000F" w:rsidRDefault="00000000"/>
      </w:sdtContent>
    </w:sdt>
    <w:p w14:paraId="3F2747FE" w14:textId="77777777" w:rsidR="005E000F" w:rsidRDefault="00000000">
      <w:pPr>
        <w:pStyle w:val="4"/>
        <w:numPr>
          <w:ilvl w:val="0"/>
          <w:numId w:val="11"/>
        </w:numPr>
        <w:rPr>
          <w:rStyle w:val="50"/>
          <w:b/>
          <w:bCs/>
        </w:rPr>
      </w:pPr>
      <w:r>
        <w:rPr>
          <w:rFonts w:hint="eastAsia"/>
        </w:rPr>
        <w:t>研发投入</w:t>
      </w:r>
    </w:p>
    <w:p w14:paraId="6101AF1E" w14:textId="77777777" w:rsidR="005E000F" w:rsidRDefault="00000000">
      <w:pPr>
        <w:pStyle w:val="aff8"/>
        <w:numPr>
          <w:ilvl w:val="0"/>
          <w:numId w:val="14"/>
        </w:numPr>
        <w:spacing w:before="60" w:after="60"/>
        <w:ind w:firstLineChars="0"/>
        <w:rPr>
          <w:rStyle w:val="50"/>
          <w:szCs w:val="21"/>
        </w:rPr>
      </w:pPr>
      <w:r>
        <w:rPr>
          <w:rStyle w:val="50"/>
          <w:szCs w:val="21"/>
        </w:rPr>
        <w:t>研发</w:t>
      </w:r>
      <w:r>
        <w:rPr>
          <w:rStyle w:val="50"/>
          <w:rFonts w:hint="eastAsia"/>
          <w:szCs w:val="21"/>
        </w:rPr>
        <w:t>投入</w:t>
      </w:r>
      <w:r>
        <w:rPr>
          <w:rStyle w:val="50"/>
          <w:szCs w:val="21"/>
        </w:rPr>
        <w:t>情况表</w:t>
      </w:r>
    </w:p>
    <w:sdt>
      <w:sdtPr>
        <w:rPr>
          <w:rStyle w:val="50"/>
          <w:rFonts w:hint="eastAsia"/>
          <w:b w:val="0"/>
          <w:szCs w:val="21"/>
        </w:rPr>
        <w:alias w:val="是否适用：研发投入情况表[双击切换]"/>
        <w:tag w:val="_GBC_b745f9cad6de412690fcb0f363f3eadb"/>
        <w:id w:val="268207102"/>
        <w:placeholder>
          <w:docPart w:val="GBC22222222222222222222222222222"/>
        </w:placeholder>
      </w:sdtPr>
      <w:sdtContent>
        <w:p w14:paraId="18A7F58E" w14:textId="77777777" w:rsidR="005E000F" w:rsidRDefault="00000000">
          <w:pPr>
            <w:rPr>
              <w:rStyle w:val="50"/>
              <w:b w:val="0"/>
              <w:szCs w:val="21"/>
            </w:rPr>
          </w:pPr>
          <w:r>
            <w:rPr>
              <w:rStyle w:val="50"/>
              <w:rFonts w:ascii="宋体" w:hAnsi="宋体"/>
              <w:b w:val="0"/>
              <w:szCs w:val="21"/>
            </w:rPr>
            <w:fldChar w:fldCharType="begin"/>
          </w:r>
          <w:r>
            <w:rPr>
              <w:rStyle w:val="50"/>
              <w:rFonts w:ascii="宋体" w:hAnsi="宋体"/>
              <w:b w:val="0"/>
              <w:szCs w:val="21"/>
            </w:rPr>
            <w:instrText xml:space="preserve"> </w:instrText>
          </w:r>
          <w:r>
            <w:rPr>
              <w:rStyle w:val="50"/>
              <w:rFonts w:ascii="宋体" w:hAnsi="宋体" w:hint="eastAsia"/>
              <w:b w:val="0"/>
              <w:szCs w:val="21"/>
            </w:rPr>
            <w:instrText xml:space="preserve">MACROBUTTON  SnrToggleCheckbox √适用 </w:instrText>
          </w:r>
          <w:r>
            <w:rPr>
              <w:rStyle w:val="50"/>
              <w:rFonts w:ascii="宋体" w:hAnsi="宋体"/>
              <w:b w:val="0"/>
              <w:szCs w:val="21"/>
            </w:rPr>
            <w:instrText xml:space="preserve"> </w:instrText>
          </w:r>
          <w:r>
            <w:rPr>
              <w:rStyle w:val="50"/>
              <w:rFonts w:ascii="宋体" w:hAnsi="宋体"/>
              <w:b w:val="0"/>
              <w:szCs w:val="21"/>
            </w:rPr>
            <w:fldChar w:fldCharType="end"/>
          </w:r>
          <w:r>
            <w:rPr>
              <w:rStyle w:val="50"/>
              <w:rFonts w:ascii="宋体" w:hAnsi="宋体"/>
              <w:b w:val="0"/>
              <w:szCs w:val="21"/>
            </w:rPr>
            <w:fldChar w:fldCharType="begin"/>
          </w:r>
          <w:r>
            <w:rPr>
              <w:rStyle w:val="50"/>
              <w:rFonts w:ascii="宋体" w:hAnsi="宋体"/>
              <w:b w:val="0"/>
              <w:szCs w:val="21"/>
            </w:rPr>
            <w:instrText xml:space="preserve"> MACROBUTTON  SnrToggleCheckbox □不适用 </w:instrText>
          </w:r>
          <w:r>
            <w:rPr>
              <w:rStyle w:val="50"/>
              <w:rFonts w:ascii="宋体" w:hAnsi="宋体"/>
              <w:b w:val="0"/>
              <w:szCs w:val="21"/>
            </w:rPr>
            <w:fldChar w:fldCharType="end"/>
          </w:r>
        </w:p>
      </w:sdtContent>
    </w:sdt>
    <w:p w14:paraId="7E841263" w14:textId="77777777" w:rsidR="005E000F" w:rsidRDefault="00000000">
      <w:pPr>
        <w:wordWrap w:val="0"/>
        <w:jc w:val="right"/>
        <w:rPr>
          <w:rStyle w:val="50"/>
          <w:b w:val="0"/>
          <w:szCs w:val="21"/>
        </w:rPr>
      </w:pPr>
      <w:r>
        <w:rPr>
          <w:rFonts w:hint="eastAsia"/>
        </w:rPr>
        <w:t>单位：</w:t>
      </w:r>
      <w:sdt>
        <w:sdtPr>
          <w:rPr>
            <w:rFonts w:hint="eastAsia"/>
          </w:rPr>
          <w:alias w:val="单位：研发投入"/>
          <w:tag w:val="_GBC_74cd81424a3c41dd9b3b9f335eae8c21"/>
          <w:id w:val="-859331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研发投入"/>
          <w:tag w:val="_GBC_14c25dd039ff47d0b183ae532ee32cd2"/>
          <w:id w:val="-20730350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3795"/>
        <w:gridCol w:w="5253"/>
      </w:tblGrid>
      <w:tr w:rsidR="005E000F" w14:paraId="43B30456" w14:textId="77777777">
        <w:trPr>
          <w:trHeight w:val="135"/>
        </w:trPr>
        <w:sdt>
          <w:sdtPr>
            <w:tag w:val="_PLD_34e4faf6ae244cfbac1fd41757cfe96b"/>
            <w:id w:val="-1752952685"/>
          </w:sdtPr>
          <w:sdtContent>
            <w:tc>
              <w:tcPr>
                <w:tcW w:w="3795" w:type="dxa"/>
                <w:vAlign w:val="center"/>
              </w:tcPr>
              <w:p w14:paraId="2BC25CF2" w14:textId="77777777" w:rsidR="005E000F" w:rsidRDefault="00000000">
                <w:pPr>
                  <w:rPr>
                    <w:rStyle w:val="50"/>
                    <w:b w:val="0"/>
                    <w:bCs w:val="0"/>
                    <w:szCs w:val="21"/>
                  </w:rPr>
                </w:pPr>
                <w:r>
                  <w:t>本期费用化研发</w:t>
                </w:r>
                <w:r>
                  <w:rPr>
                    <w:rFonts w:hint="eastAsia"/>
                  </w:rPr>
                  <w:t>投入</w:t>
                </w:r>
              </w:p>
            </w:tc>
          </w:sdtContent>
        </w:sdt>
        <w:sdt>
          <w:sdtPr>
            <w:rPr>
              <w:rFonts w:hint="eastAsia"/>
            </w:rPr>
            <w:alias w:val="费用化研发投入"/>
            <w:tag w:val="_GBC_4fb175bc5990483bb41db359eecfdbdb"/>
            <w:id w:val="780530706"/>
          </w:sdtPr>
          <w:sdtContent>
            <w:tc>
              <w:tcPr>
                <w:tcW w:w="5253" w:type="dxa"/>
                <w:vAlign w:val="center"/>
              </w:tcPr>
              <w:p w14:paraId="5A7488DA" w14:textId="77777777" w:rsidR="005E000F" w:rsidRDefault="00000000">
                <w:pPr>
                  <w:jc w:val="right"/>
                </w:pPr>
                <w:r>
                  <w:t>11,719,039</w:t>
                </w:r>
              </w:p>
            </w:tc>
          </w:sdtContent>
        </w:sdt>
      </w:tr>
      <w:tr w:rsidR="005E000F" w14:paraId="3DFB53D6" w14:textId="77777777">
        <w:trPr>
          <w:trHeight w:val="147"/>
        </w:trPr>
        <w:tc>
          <w:tcPr>
            <w:tcW w:w="3795" w:type="dxa"/>
            <w:vAlign w:val="center"/>
          </w:tcPr>
          <w:p w14:paraId="45BA3BB9" w14:textId="77777777" w:rsidR="005E000F" w:rsidRDefault="00000000">
            <w:pPr>
              <w:rPr>
                <w:rStyle w:val="50"/>
                <w:szCs w:val="21"/>
              </w:rPr>
            </w:pPr>
            <w:r>
              <w:t>本期资本化研发</w:t>
            </w:r>
            <w:r>
              <w:rPr>
                <w:rFonts w:hint="eastAsia"/>
              </w:rPr>
              <w:t>投入</w:t>
            </w:r>
          </w:p>
        </w:tc>
        <w:tc>
          <w:tcPr>
            <w:tcW w:w="5253" w:type="dxa"/>
            <w:vAlign w:val="center"/>
          </w:tcPr>
          <w:p w14:paraId="1491F1F0" w14:textId="77777777" w:rsidR="005E000F" w:rsidRDefault="00000000">
            <w:pPr>
              <w:jc w:val="right"/>
            </w:pPr>
            <w:r>
              <w:rPr>
                <w:rFonts w:hint="eastAsia"/>
              </w:rPr>
              <w:t>0</w:t>
            </w:r>
          </w:p>
        </w:tc>
      </w:tr>
      <w:tr w:rsidR="005E000F" w14:paraId="00C5EE3D" w14:textId="77777777">
        <w:trPr>
          <w:trHeight w:val="102"/>
        </w:trPr>
        <w:tc>
          <w:tcPr>
            <w:tcW w:w="3795" w:type="dxa"/>
            <w:vAlign w:val="center"/>
          </w:tcPr>
          <w:p w14:paraId="6DCC15CD" w14:textId="77777777" w:rsidR="005E000F" w:rsidRDefault="00000000">
            <w:pPr>
              <w:rPr>
                <w:rStyle w:val="50"/>
                <w:szCs w:val="21"/>
              </w:rPr>
            </w:pPr>
            <w:r>
              <w:t>研发</w:t>
            </w:r>
            <w:r>
              <w:rPr>
                <w:rFonts w:hint="eastAsia"/>
              </w:rPr>
              <w:t>投入</w:t>
            </w:r>
            <w:r>
              <w:t>合计</w:t>
            </w:r>
          </w:p>
        </w:tc>
        <w:tc>
          <w:tcPr>
            <w:tcW w:w="5253" w:type="dxa"/>
            <w:vAlign w:val="center"/>
          </w:tcPr>
          <w:p w14:paraId="496D4A3D" w14:textId="77777777" w:rsidR="005E000F" w:rsidRDefault="00000000">
            <w:pPr>
              <w:jc w:val="right"/>
            </w:pPr>
            <w:r>
              <w:t>11,719,039</w:t>
            </w:r>
          </w:p>
        </w:tc>
      </w:tr>
      <w:tr w:rsidR="005E000F" w14:paraId="03AE2D98" w14:textId="77777777">
        <w:trPr>
          <w:trHeight w:val="135"/>
        </w:trPr>
        <w:tc>
          <w:tcPr>
            <w:tcW w:w="3795" w:type="dxa"/>
            <w:vAlign w:val="center"/>
          </w:tcPr>
          <w:p w14:paraId="4451591A" w14:textId="77777777" w:rsidR="005E000F" w:rsidRDefault="00000000">
            <w:pPr>
              <w:rPr>
                <w:rStyle w:val="50"/>
                <w:szCs w:val="21"/>
              </w:rPr>
            </w:pPr>
            <w:r>
              <w:t>研发</w:t>
            </w:r>
            <w:r>
              <w:rPr>
                <w:rFonts w:hint="eastAsia"/>
              </w:rPr>
              <w:t>投入</w:t>
            </w:r>
            <w:r>
              <w:t>总额占营业收入比例（</w:t>
            </w:r>
            <w:r>
              <w:t>%</w:t>
            </w:r>
            <w:r>
              <w:t>）</w:t>
            </w:r>
          </w:p>
        </w:tc>
        <w:tc>
          <w:tcPr>
            <w:tcW w:w="5253" w:type="dxa"/>
            <w:vAlign w:val="center"/>
          </w:tcPr>
          <w:p w14:paraId="7FD40419" w14:textId="77777777" w:rsidR="005E000F" w:rsidRDefault="00000000">
            <w:pPr>
              <w:jc w:val="right"/>
            </w:pPr>
            <w:r>
              <w:rPr>
                <w:rFonts w:hint="eastAsia"/>
              </w:rPr>
              <w:t>0.02</w:t>
            </w:r>
          </w:p>
        </w:tc>
      </w:tr>
      <w:tr w:rsidR="005E000F" w14:paraId="256EDE82" w14:textId="77777777">
        <w:trPr>
          <w:trHeight w:val="135"/>
        </w:trPr>
        <w:tc>
          <w:tcPr>
            <w:tcW w:w="3795" w:type="dxa"/>
            <w:vAlign w:val="center"/>
          </w:tcPr>
          <w:p w14:paraId="4C17D318" w14:textId="77777777" w:rsidR="005E000F" w:rsidRDefault="00000000">
            <w:r>
              <w:rPr>
                <w:rFonts w:hint="eastAsia"/>
              </w:rPr>
              <w:t>研发投入资本化的比重</w:t>
            </w:r>
            <w:r>
              <w:t>（</w:t>
            </w:r>
            <w:r>
              <w:t>%</w:t>
            </w:r>
            <w:r>
              <w:t>）</w:t>
            </w:r>
          </w:p>
        </w:tc>
        <w:tc>
          <w:tcPr>
            <w:tcW w:w="5253" w:type="dxa"/>
            <w:vAlign w:val="center"/>
          </w:tcPr>
          <w:p w14:paraId="490A265F" w14:textId="77777777" w:rsidR="005E000F" w:rsidRDefault="00000000">
            <w:pPr>
              <w:jc w:val="right"/>
              <w:rPr>
                <w:bCs/>
              </w:rPr>
            </w:pPr>
            <w:r>
              <w:rPr>
                <w:rFonts w:hint="eastAsia"/>
                <w:bCs/>
              </w:rPr>
              <w:t>0</w:t>
            </w:r>
          </w:p>
        </w:tc>
      </w:tr>
    </w:tbl>
    <w:p w14:paraId="295AEC75" w14:textId="77777777" w:rsidR="005E000F" w:rsidRDefault="005E000F"/>
    <w:p w14:paraId="202E0612" w14:textId="77777777" w:rsidR="005E000F" w:rsidRDefault="00000000">
      <w:pPr>
        <w:pStyle w:val="aff8"/>
        <w:numPr>
          <w:ilvl w:val="0"/>
          <w:numId w:val="14"/>
        </w:numPr>
        <w:spacing w:before="60" w:after="60"/>
        <w:ind w:firstLineChars="0"/>
        <w:rPr>
          <w:rStyle w:val="50"/>
          <w:szCs w:val="21"/>
        </w:rPr>
      </w:pPr>
      <w:bookmarkStart w:id="74" w:name="_Hlk89876622"/>
      <w:r>
        <w:rPr>
          <w:rStyle w:val="50"/>
          <w:rFonts w:hint="eastAsia"/>
          <w:szCs w:val="21"/>
        </w:rPr>
        <w:t>研发人员情况表</w:t>
      </w:r>
    </w:p>
    <w:sdt>
      <w:sdtPr>
        <w:rPr>
          <w:rFonts w:hint="eastAsia"/>
        </w:rPr>
        <w:alias w:val="是否适用：研发人员情况[双击切换]"/>
        <w:tag w:val="_GBC_ef3f376f125b4e219be789ed3078c140"/>
        <w:id w:val="-835532254"/>
        <w:placeholder>
          <w:docPart w:val="GBC22222222222222222222222222222"/>
        </w:placeholder>
      </w:sdtPr>
      <w:sdtContent>
        <w:p w14:paraId="20AB918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74"/>
    <w:p w14:paraId="70FB5364" w14:textId="77777777" w:rsidR="005E000F" w:rsidRDefault="00000000">
      <w:pPr>
        <w:pStyle w:val="aff8"/>
        <w:numPr>
          <w:ilvl w:val="0"/>
          <w:numId w:val="14"/>
        </w:numPr>
        <w:spacing w:before="60" w:after="60"/>
        <w:ind w:firstLineChars="0"/>
        <w:rPr>
          <w:rStyle w:val="50"/>
          <w:szCs w:val="21"/>
        </w:rPr>
      </w:pPr>
      <w:r>
        <w:rPr>
          <w:rStyle w:val="50"/>
          <w:szCs w:val="21"/>
        </w:rPr>
        <w:t>情况说明</w:t>
      </w:r>
    </w:p>
    <w:sdt>
      <w:sdtPr>
        <w:rPr>
          <w:rStyle w:val="50"/>
          <w:b w:val="0"/>
          <w:szCs w:val="21"/>
        </w:rPr>
        <w:alias w:val="是否适用：研发投入情况说明[双击切换]"/>
        <w:tag w:val="_GBC_b983f5c63407411d82434ca6547deae8"/>
        <w:id w:val="821465180"/>
        <w:placeholder>
          <w:docPart w:val="GBC22222222222222222222222222222"/>
        </w:placeholder>
      </w:sdtPr>
      <w:sdtContent>
        <w:p w14:paraId="74BB119F" w14:textId="77777777" w:rsidR="005E000F" w:rsidRDefault="00000000">
          <w:pPr>
            <w:spacing w:before="60" w:after="60"/>
            <w:rPr>
              <w:rStyle w:val="50"/>
              <w:szCs w:val="21"/>
            </w:rPr>
          </w:pPr>
          <w:r>
            <w:rPr>
              <w:rStyle w:val="50"/>
              <w:rFonts w:ascii="宋体" w:hAnsi="宋体"/>
              <w:b w:val="0"/>
              <w:szCs w:val="21"/>
            </w:rPr>
            <w:fldChar w:fldCharType="begin"/>
          </w:r>
          <w:r>
            <w:rPr>
              <w:rStyle w:val="50"/>
              <w:rFonts w:ascii="宋体" w:hAnsi="宋体"/>
              <w:b w:val="0"/>
              <w:szCs w:val="21"/>
            </w:rPr>
            <w:instrText xml:space="preserve">MACROBUTTON  SnrToggleCheckbox □适用 </w:instrText>
          </w:r>
          <w:r>
            <w:rPr>
              <w:rStyle w:val="50"/>
              <w:rFonts w:ascii="宋体" w:hAnsi="宋体"/>
              <w:b w:val="0"/>
              <w:szCs w:val="21"/>
            </w:rPr>
            <w:fldChar w:fldCharType="end"/>
          </w:r>
          <w:r>
            <w:rPr>
              <w:rStyle w:val="50"/>
              <w:rFonts w:ascii="宋体" w:hAnsi="宋体"/>
              <w:b w:val="0"/>
              <w:szCs w:val="21"/>
            </w:rPr>
            <w:fldChar w:fldCharType="begin"/>
          </w:r>
          <w:r>
            <w:rPr>
              <w:rStyle w:val="50"/>
              <w:rFonts w:ascii="宋体" w:hAnsi="宋体"/>
              <w:b w:val="0"/>
              <w:szCs w:val="21"/>
            </w:rPr>
            <w:instrText xml:space="preserve"> MACROBUTTON  SnrToggleCheckbox √不适用 </w:instrText>
          </w:r>
          <w:r>
            <w:rPr>
              <w:rStyle w:val="50"/>
              <w:rFonts w:ascii="宋体" w:hAnsi="宋体"/>
              <w:b w:val="0"/>
              <w:szCs w:val="21"/>
            </w:rPr>
            <w:fldChar w:fldCharType="end"/>
          </w:r>
        </w:p>
      </w:sdtContent>
    </w:sdt>
    <w:p w14:paraId="479FE8FD" w14:textId="77777777" w:rsidR="005E000F" w:rsidRDefault="00000000">
      <w:pPr>
        <w:pStyle w:val="aff8"/>
        <w:numPr>
          <w:ilvl w:val="0"/>
          <w:numId w:val="14"/>
        </w:numPr>
        <w:spacing w:before="60" w:after="60"/>
        <w:ind w:firstLineChars="0"/>
        <w:rPr>
          <w:rStyle w:val="50"/>
          <w:szCs w:val="21"/>
        </w:rPr>
      </w:pPr>
      <w:bookmarkStart w:id="75" w:name="_Hlk89876701"/>
      <w:r>
        <w:rPr>
          <w:rStyle w:val="50"/>
          <w:rFonts w:hint="eastAsia"/>
          <w:szCs w:val="21"/>
        </w:rPr>
        <w:t>研发人员构成发生重大变化的原因及对公司未来发展的影响</w:t>
      </w:r>
    </w:p>
    <w:p w14:paraId="5CB9FEDC" w14:textId="77777777" w:rsidR="005E000F" w:rsidRDefault="00000000">
      <w:pPr>
        <w:spacing w:before="60" w:after="60"/>
        <w:rPr>
          <w:bCs/>
          <w:kern w:val="2"/>
        </w:rPr>
      </w:pPr>
      <w:sdt>
        <w:sdtPr>
          <w:rPr>
            <w:rStyle w:val="5Char2"/>
            <w:b w:val="0"/>
            <w:szCs w:val="21"/>
          </w:rPr>
          <w:alias w:val="是否适用：研发人员构成发生重大变化的原因及对公司未来发展的影响 [双击切换]"/>
          <w:tag w:val="_GBC_03b44883afff4742a08c198d082c26b3"/>
          <w:id w:val="-16768993"/>
          <w:placeholder>
            <w:docPart w:val="GBC22222222222222222222222222222"/>
          </w:placeholder>
        </w:sdtPr>
        <w:sdtContent>
          <w:r>
            <w:rPr>
              <w:rStyle w:val="5Char2"/>
              <w:rFonts w:ascii="宋体" w:hAnsi="宋体"/>
              <w:b w:val="0"/>
              <w:szCs w:val="21"/>
            </w:rPr>
            <w:fldChar w:fldCharType="begin"/>
          </w:r>
          <w:r>
            <w:rPr>
              <w:rStyle w:val="5Char2"/>
              <w:rFonts w:ascii="宋体" w:hAnsi="宋体"/>
              <w:b w:val="0"/>
              <w:szCs w:val="21"/>
            </w:rPr>
            <w:instrText xml:space="preserve"> MACROBUTTON  SnrToggleCheckbox □适用 </w:instrText>
          </w:r>
          <w:r>
            <w:rPr>
              <w:rStyle w:val="5Char2"/>
              <w:rFonts w:ascii="宋体" w:hAnsi="宋体"/>
              <w:b w:val="0"/>
              <w:szCs w:val="21"/>
            </w:rPr>
            <w:fldChar w:fldCharType="end"/>
          </w:r>
          <w:r>
            <w:rPr>
              <w:rStyle w:val="5Char2"/>
              <w:rFonts w:ascii="宋体" w:hAnsi="宋体"/>
              <w:b w:val="0"/>
              <w:szCs w:val="21"/>
            </w:rPr>
            <w:fldChar w:fldCharType="begin"/>
          </w:r>
          <w:r>
            <w:rPr>
              <w:rStyle w:val="5Char2"/>
              <w:rFonts w:ascii="宋体" w:hAnsi="宋体"/>
              <w:b w:val="0"/>
              <w:szCs w:val="21"/>
            </w:rPr>
            <w:instrText xml:space="preserve"> MACROBUTTON  SnrToggleCheckbox √不适用 </w:instrText>
          </w:r>
          <w:r>
            <w:rPr>
              <w:rStyle w:val="5Char2"/>
              <w:rFonts w:ascii="宋体" w:hAnsi="宋体"/>
              <w:b w:val="0"/>
              <w:szCs w:val="21"/>
            </w:rPr>
            <w:fldChar w:fldCharType="end"/>
          </w:r>
        </w:sdtContent>
      </w:sdt>
    </w:p>
    <w:bookmarkEnd w:id="75"/>
    <w:p w14:paraId="66732CAA" w14:textId="77777777" w:rsidR="005E000F" w:rsidRDefault="00000000">
      <w:pPr>
        <w:pStyle w:val="4"/>
        <w:numPr>
          <w:ilvl w:val="0"/>
          <w:numId w:val="11"/>
        </w:numPr>
      </w:pPr>
      <w:r>
        <w:rPr>
          <w:rFonts w:hint="eastAsia"/>
        </w:rPr>
        <w:t>现金流</w:t>
      </w:r>
    </w:p>
    <w:sdt>
      <w:sdtPr>
        <w:alias w:val="是否适用：现金流[双击切换]"/>
        <w:tag w:val="_GBC_3340f2fc4f854cc1882e18412cf992f6"/>
        <w:id w:val="-1589145752"/>
        <w:placeholder>
          <w:docPart w:val="GBC22222222222222222222222222222"/>
        </w:placeholder>
      </w:sdtPr>
      <w:sdtContent>
        <w:p w14:paraId="6B85616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ascii="Times New Roman" w:hAnsi="Times New Roman" w:hint="eastAsia"/>
          <w:kern w:val="0"/>
          <w:szCs w:val="21"/>
        </w:rPr>
        <w:alias w:val="现金流的影响分析"/>
        <w:tag w:val="_GBC_586311c345aa4f48bab3f8f8d5347f93"/>
        <w:id w:val="-555626560"/>
        <w:placeholder>
          <w:docPart w:val="GBC22222222222222222222222222222"/>
        </w:placeholder>
      </w:sdtPr>
      <w:sdtContent>
        <w:p w14:paraId="76F79379" w14:textId="77777777" w:rsidR="005E000F" w:rsidRDefault="00000000">
          <w:pPr>
            <w:pStyle w:val="Style1"/>
            <w:ind w:firstLineChars="0" w:firstLine="0"/>
            <w:jc w:val="right"/>
            <w:rPr>
              <w:rFonts w:ascii="Times New Roman" w:hAnsi="Times New Roman"/>
              <w:szCs w:val="21"/>
            </w:rPr>
          </w:pPr>
          <w:r>
            <w:rPr>
              <w:rFonts w:ascii="Times New Roman" w:hAnsi="Times New Roman" w:hint="eastAsia"/>
              <w:szCs w:val="21"/>
            </w:rPr>
            <w:t>单位：元</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698"/>
            <w:gridCol w:w="1700"/>
            <w:gridCol w:w="1216"/>
            <w:gridCol w:w="2625"/>
          </w:tblGrid>
          <w:tr w:rsidR="005E000F" w14:paraId="48B05AF5" w14:textId="77777777">
            <w:trPr>
              <w:trHeight w:val="404"/>
              <w:jc w:val="center"/>
            </w:trPr>
            <w:tc>
              <w:tcPr>
                <w:tcW w:w="998" w:type="pct"/>
                <w:vAlign w:val="center"/>
              </w:tcPr>
              <w:p w14:paraId="12E172FC" w14:textId="77777777" w:rsidR="005E000F" w:rsidRDefault="00000000">
                <w:pPr>
                  <w:adjustRightInd w:val="0"/>
                  <w:snapToGrid w:val="0"/>
                  <w:jc w:val="center"/>
                </w:pPr>
                <w:r>
                  <w:rPr>
                    <w:b/>
                    <w:bCs/>
                  </w:rPr>
                  <w:t>项目</w:t>
                </w:r>
              </w:p>
            </w:tc>
            <w:tc>
              <w:tcPr>
                <w:tcW w:w="938" w:type="pct"/>
                <w:vAlign w:val="center"/>
              </w:tcPr>
              <w:p w14:paraId="6E04E1EB" w14:textId="77777777" w:rsidR="005E000F" w:rsidRDefault="00000000">
                <w:pPr>
                  <w:adjustRightInd w:val="0"/>
                  <w:snapToGrid w:val="0"/>
                  <w:jc w:val="center"/>
                  <w:rPr>
                    <w:b/>
                    <w:bCs/>
                  </w:rPr>
                </w:pPr>
                <w:r>
                  <w:rPr>
                    <w:rFonts w:hint="eastAsia"/>
                    <w:b/>
                    <w:bCs/>
                  </w:rPr>
                  <w:t>2025</w:t>
                </w:r>
                <w:r>
                  <w:rPr>
                    <w:rFonts w:hint="eastAsia"/>
                    <w:b/>
                    <w:bCs/>
                  </w:rPr>
                  <w:t>年</w:t>
                </w:r>
              </w:p>
            </w:tc>
            <w:tc>
              <w:tcPr>
                <w:tcW w:w="939" w:type="pct"/>
                <w:vAlign w:val="center"/>
              </w:tcPr>
              <w:p w14:paraId="4C5BF34D" w14:textId="77777777" w:rsidR="005E000F" w:rsidRDefault="00000000">
                <w:pPr>
                  <w:adjustRightInd w:val="0"/>
                  <w:snapToGrid w:val="0"/>
                  <w:jc w:val="center"/>
                  <w:rPr>
                    <w:b/>
                    <w:bCs/>
                  </w:rPr>
                </w:pPr>
                <w:r>
                  <w:rPr>
                    <w:rFonts w:hint="eastAsia"/>
                    <w:b/>
                    <w:bCs/>
                  </w:rPr>
                  <w:t>2024</w:t>
                </w:r>
                <w:r>
                  <w:rPr>
                    <w:rFonts w:hint="eastAsia"/>
                    <w:b/>
                    <w:bCs/>
                  </w:rPr>
                  <w:t>年</w:t>
                </w:r>
              </w:p>
            </w:tc>
            <w:tc>
              <w:tcPr>
                <w:tcW w:w="672" w:type="pct"/>
                <w:vAlign w:val="center"/>
              </w:tcPr>
              <w:p w14:paraId="7E919F6B" w14:textId="77777777" w:rsidR="005E000F" w:rsidRDefault="00000000">
                <w:pPr>
                  <w:adjustRightInd w:val="0"/>
                  <w:snapToGrid w:val="0"/>
                  <w:jc w:val="center"/>
                  <w:rPr>
                    <w:b/>
                    <w:bCs/>
                  </w:rPr>
                </w:pPr>
                <w:r>
                  <w:rPr>
                    <w:rFonts w:hint="eastAsia"/>
                    <w:b/>
                    <w:bCs/>
                  </w:rPr>
                  <w:t>变动幅度</w:t>
                </w:r>
              </w:p>
            </w:tc>
            <w:tc>
              <w:tcPr>
                <w:tcW w:w="1450" w:type="pct"/>
                <w:vAlign w:val="center"/>
              </w:tcPr>
              <w:p w14:paraId="339DD2E5" w14:textId="77777777" w:rsidR="005E000F" w:rsidRDefault="00000000">
                <w:pPr>
                  <w:adjustRightInd w:val="0"/>
                  <w:snapToGrid w:val="0"/>
                  <w:jc w:val="center"/>
                  <w:rPr>
                    <w:b/>
                    <w:bCs/>
                  </w:rPr>
                </w:pPr>
                <w:r>
                  <w:rPr>
                    <w:rFonts w:hint="eastAsia"/>
                    <w:b/>
                    <w:bCs/>
                  </w:rPr>
                  <w:t>情况说明</w:t>
                </w:r>
              </w:p>
            </w:tc>
          </w:tr>
          <w:tr w:rsidR="005E000F" w14:paraId="011AA027" w14:textId="77777777">
            <w:trPr>
              <w:trHeight w:val="165"/>
              <w:jc w:val="center"/>
            </w:trPr>
            <w:tc>
              <w:tcPr>
                <w:tcW w:w="998" w:type="pct"/>
                <w:vAlign w:val="center"/>
              </w:tcPr>
              <w:p w14:paraId="309E3296" w14:textId="77777777" w:rsidR="005E000F" w:rsidRDefault="00000000">
                <w:pPr>
                  <w:adjustRightInd w:val="0"/>
                  <w:snapToGrid w:val="0"/>
                </w:pPr>
                <w:r>
                  <w:t>经营活动产生的现金流量净额</w:t>
                </w:r>
              </w:p>
            </w:tc>
            <w:tc>
              <w:tcPr>
                <w:tcW w:w="938" w:type="pct"/>
                <w:vAlign w:val="center"/>
              </w:tcPr>
              <w:p w14:paraId="40076634" w14:textId="77777777" w:rsidR="005E000F" w:rsidRDefault="00000000">
                <w:pPr>
                  <w:jc w:val="right"/>
                  <w:textAlignment w:val="center"/>
                  <w:rPr>
                    <w:color w:val="000000"/>
                    <w:lang w:bidi="ar"/>
                  </w:rPr>
                </w:pPr>
                <w:r>
                  <w:rPr>
                    <w:color w:val="000000"/>
                    <w:lang w:bidi="ar"/>
                  </w:rPr>
                  <w:t xml:space="preserve"> 4,986,743,179 </w:t>
                </w:r>
              </w:p>
            </w:tc>
            <w:tc>
              <w:tcPr>
                <w:tcW w:w="939" w:type="pct"/>
                <w:vAlign w:val="center"/>
              </w:tcPr>
              <w:p w14:paraId="76E8BE31" w14:textId="77777777" w:rsidR="005E000F" w:rsidRDefault="00000000">
                <w:pPr>
                  <w:jc w:val="right"/>
                  <w:textAlignment w:val="center"/>
                  <w:rPr>
                    <w:color w:val="000000"/>
                    <w:lang w:bidi="ar"/>
                  </w:rPr>
                </w:pPr>
                <w:r>
                  <w:rPr>
                    <w:color w:val="000000"/>
                    <w:lang w:bidi="ar"/>
                  </w:rPr>
                  <w:t>9,316,632,097</w:t>
                </w:r>
              </w:p>
            </w:tc>
            <w:tc>
              <w:tcPr>
                <w:tcW w:w="672" w:type="pct"/>
                <w:vAlign w:val="center"/>
              </w:tcPr>
              <w:p w14:paraId="59D54DD1" w14:textId="77777777" w:rsidR="005E000F" w:rsidRDefault="00000000">
                <w:pPr>
                  <w:jc w:val="right"/>
                  <w:textAlignment w:val="center"/>
                  <w:rPr>
                    <w:color w:val="000000"/>
                    <w:lang w:bidi="ar"/>
                  </w:rPr>
                </w:pPr>
                <w:r>
                  <w:rPr>
                    <w:color w:val="000000"/>
                    <w:lang w:bidi="ar"/>
                  </w:rPr>
                  <w:t xml:space="preserve"> -46.47 </w:t>
                </w:r>
              </w:p>
            </w:tc>
            <w:tc>
              <w:tcPr>
                <w:tcW w:w="1450" w:type="pct"/>
                <w:vAlign w:val="center"/>
              </w:tcPr>
              <w:p w14:paraId="67173A0B" w14:textId="77777777" w:rsidR="005E000F" w:rsidRDefault="00000000">
                <w:pPr>
                  <w:rPr>
                    <w:color w:val="000000"/>
                    <w:lang w:bidi="ar"/>
                  </w:rPr>
                </w:pPr>
                <w:r>
                  <w:rPr>
                    <w:rFonts w:hint="eastAsia"/>
                  </w:rPr>
                  <w:t>本年货运服务费及两端物流辅助费用现金支出增加</w:t>
                </w:r>
              </w:p>
            </w:tc>
          </w:tr>
          <w:tr w:rsidR="005E000F" w14:paraId="7A7AC2DE" w14:textId="77777777">
            <w:trPr>
              <w:trHeight w:val="165"/>
              <w:jc w:val="center"/>
            </w:trPr>
            <w:tc>
              <w:tcPr>
                <w:tcW w:w="998" w:type="pct"/>
                <w:vAlign w:val="center"/>
              </w:tcPr>
              <w:p w14:paraId="757E97B6" w14:textId="77777777" w:rsidR="005E000F" w:rsidRDefault="00000000">
                <w:pPr>
                  <w:adjustRightInd w:val="0"/>
                  <w:snapToGrid w:val="0"/>
                </w:pPr>
                <w:r>
                  <w:t>投资活动</w:t>
                </w:r>
                <w:r>
                  <w:rPr>
                    <w:rFonts w:hint="eastAsia"/>
                  </w:rPr>
                  <w:t>使用</w:t>
                </w:r>
                <w:r>
                  <w:t>的现金流量净额</w:t>
                </w:r>
              </w:p>
            </w:tc>
            <w:tc>
              <w:tcPr>
                <w:tcW w:w="938" w:type="pct"/>
                <w:vAlign w:val="center"/>
              </w:tcPr>
              <w:p w14:paraId="148F0D05" w14:textId="77777777" w:rsidR="005E000F" w:rsidRDefault="00000000">
                <w:pPr>
                  <w:jc w:val="right"/>
                  <w:textAlignment w:val="center"/>
                  <w:rPr>
                    <w:color w:val="000000"/>
                    <w:lang w:bidi="ar"/>
                  </w:rPr>
                </w:pPr>
                <w:r>
                  <w:rPr>
                    <w:color w:val="000000"/>
                    <w:lang w:bidi="ar"/>
                  </w:rPr>
                  <w:t xml:space="preserve">-25,033,827,069 </w:t>
                </w:r>
              </w:p>
            </w:tc>
            <w:tc>
              <w:tcPr>
                <w:tcW w:w="939" w:type="pct"/>
                <w:vAlign w:val="center"/>
              </w:tcPr>
              <w:p w14:paraId="4EF3270C" w14:textId="77777777" w:rsidR="005E000F" w:rsidRDefault="00000000">
                <w:pPr>
                  <w:jc w:val="right"/>
                  <w:textAlignment w:val="center"/>
                  <w:rPr>
                    <w:color w:val="000000"/>
                    <w:lang w:bidi="ar"/>
                  </w:rPr>
                </w:pPr>
                <w:r>
                  <w:rPr>
                    <w:color w:val="000000"/>
                    <w:lang w:bidi="ar"/>
                  </w:rPr>
                  <w:t>-4,775,149,894</w:t>
                </w:r>
              </w:p>
            </w:tc>
            <w:tc>
              <w:tcPr>
                <w:tcW w:w="672" w:type="pct"/>
                <w:vAlign w:val="center"/>
              </w:tcPr>
              <w:p w14:paraId="612DD3F8" w14:textId="77777777" w:rsidR="005E000F" w:rsidRDefault="00000000">
                <w:pPr>
                  <w:jc w:val="right"/>
                  <w:textAlignment w:val="center"/>
                  <w:rPr>
                    <w:color w:val="000000"/>
                    <w:lang w:bidi="ar"/>
                  </w:rPr>
                </w:pPr>
                <w:r>
                  <w:rPr>
                    <w:color w:val="000000"/>
                    <w:lang w:bidi="ar"/>
                  </w:rPr>
                  <w:t xml:space="preserve"> 424.25 </w:t>
                </w:r>
              </w:p>
            </w:tc>
            <w:tc>
              <w:tcPr>
                <w:tcW w:w="1450" w:type="pct"/>
                <w:vAlign w:val="center"/>
              </w:tcPr>
              <w:p w14:paraId="3629BE6A" w14:textId="77777777" w:rsidR="005E000F" w:rsidRDefault="00000000">
                <w:pPr>
                  <w:snapToGrid w:val="0"/>
                  <w:rPr>
                    <w:color w:val="000000"/>
                    <w:lang w:bidi="ar"/>
                  </w:rPr>
                </w:pPr>
                <w:r>
                  <w:rPr>
                    <w:rFonts w:hint="eastAsia"/>
                  </w:rPr>
                  <w:t>本年购买土地使用权支付价款</w:t>
                </w:r>
              </w:p>
            </w:tc>
          </w:tr>
          <w:tr w:rsidR="005E000F" w14:paraId="28276B8A" w14:textId="77777777">
            <w:trPr>
              <w:trHeight w:val="165"/>
              <w:jc w:val="center"/>
            </w:trPr>
            <w:tc>
              <w:tcPr>
                <w:tcW w:w="998" w:type="pct"/>
                <w:vAlign w:val="center"/>
              </w:tcPr>
              <w:p w14:paraId="5292C119" w14:textId="77777777" w:rsidR="005E000F" w:rsidRDefault="00000000">
                <w:pPr>
                  <w:adjustRightInd w:val="0"/>
                  <w:snapToGrid w:val="0"/>
                </w:pPr>
                <w:r>
                  <w:t>筹资活动</w:t>
                </w:r>
                <w:r>
                  <w:rPr>
                    <w:rFonts w:hint="eastAsia"/>
                  </w:rPr>
                  <w:t>使用</w:t>
                </w:r>
                <w:r>
                  <w:t>的现金流量净额</w:t>
                </w:r>
              </w:p>
            </w:tc>
            <w:tc>
              <w:tcPr>
                <w:tcW w:w="938" w:type="pct"/>
                <w:vAlign w:val="center"/>
              </w:tcPr>
              <w:p w14:paraId="6306BF0F" w14:textId="77777777" w:rsidR="005E000F" w:rsidRDefault="00000000">
                <w:pPr>
                  <w:jc w:val="right"/>
                  <w:textAlignment w:val="center"/>
                  <w:rPr>
                    <w:color w:val="000000"/>
                    <w:lang w:bidi="ar"/>
                  </w:rPr>
                </w:pPr>
                <w:r>
                  <w:rPr>
                    <w:color w:val="000000"/>
                    <w:lang w:bidi="ar"/>
                  </w:rPr>
                  <w:t xml:space="preserve"> -5,460,743,402 </w:t>
                </w:r>
              </w:p>
            </w:tc>
            <w:tc>
              <w:tcPr>
                <w:tcW w:w="939" w:type="pct"/>
                <w:vAlign w:val="center"/>
              </w:tcPr>
              <w:p w14:paraId="14DCA0A2" w14:textId="77777777" w:rsidR="005E000F" w:rsidRDefault="00000000">
                <w:pPr>
                  <w:jc w:val="right"/>
                  <w:textAlignment w:val="center"/>
                  <w:rPr>
                    <w:color w:val="000000"/>
                    <w:lang w:bidi="ar"/>
                  </w:rPr>
                </w:pPr>
                <w:r>
                  <w:rPr>
                    <w:color w:val="000000"/>
                    <w:lang w:bidi="ar"/>
                  </w:rPr>
                  <w:t>-10,515,249,706</w:t>
                </w:r>
              </w:p>
            </w:tc>
            <w:tc>
              <w:tcPr>
                <w:tcW w:w="672" w:type="pct"/>
                <w:vAlign w:val="center"/>
              </w:tcPr>
              <w:p w14:paraId="6F0B15D4" w14:textId="77777777" w:rsidR="005E000F" w:rsidRDefault="00000000">
                <w:pPr>
                  <w:jc w:val="right"/>
                  <w:textAlignment w:val="center"/>
                  <w:rPr>
                    <w:color w:val="000000"/>
                    <w:lang w:bidi="ar"/>
                  </w:rPr>
                </w:pPr>
                <w:r>
                  <w:rPr>
                    <w:color w:val="000000"/>
                    <w:lang w:bidi="ar"/>
                  </w:rPr>
                  <w:t xml:space="preserve"> -48.07 </w:t>
                </w:r>
              </w:p>
            </w:tc>
            <w:tc>
              <w:tcPr>
                <w:tcW w:w="1450" w:type="pct"/>
                <w:vAlign w:val="center"/>
              </w:tcPr>
              <w:p w14:paraId="175161F3" w14:textId="77777777" w:rsidR="005E000F" w:rsidRDefault="00000000">
                <w:pPr>
                  <w:rPr>
                    <w:color w:val="000000"/>
                    <w:lang w:bidi="ar"/>
                  </w:rPr>
                </w:pPr>
                <w:r>
                  <w:rPr>
                    <w:rFonts w:hint="eastAsia"/>
                  </w:rPr>
                  <w:t>本年支付股利较上年减少</w:t>
                </w:r>
              </w:p>
            </w:tc>
          </w:tr>
        </w:tbl>
        <w:p w14:paraId="0B5552D2" w14:textId="77777777" w:rsidR="005E000F" w:rsidRDefault="00000000"/>
      </w:sdtContent>
    </w:sdt>
    <w:p w14:paraId="6356F2EA" w14:textId="77777777" w:rsidR="005E000F" w:rsidRDefault="00000000">
      <w:pPr>
        <w:pStyle w:val="3"/>
        <w:numPr>
          <w:ilvl w:val="0"/>
          <w:numId w:val="10"/>
        </w:numPr>
        <w:ind w:left="369" w:hangingChars="175" w:hanging="369"/>
        <w:rPr>
          <w:szCs w:val="21"/>
        </w:rPr>
      </w:pPr>
      <w:r>
        <w:rPr>
          <w:rFonts w:hint="eastAsia"/>
          <w:szCs w:val="21"/>
        </w:rPr>
        <w:lastRenderedPageBreak/>
        <w:t>非主营业务导致利润重大变化的说明</w:t>
      </w:r>
    </w:p>
    <w:sdt>
      <w:sdtPr>
        <w:alias w:val="是否适用：非主营业务来源分析[双击切换]"/>
        <w:tag w:val="_GBC_e76b46ce658b44e591e71db49febe73d"/>
        <w:id w:val="1367013385"/>
        <w:placeholder>
          <w:docPart w:val="GBC22222222222222222222222222222"/>
        </w:placeholder>
      </w:sdtPr>
      <w:sdtContent>
        <w:p w14:paraId="19B1F6CB"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B557FEB" w14:textId="77777777" w:rsidR="005E000F" w:rsidRDefault="00000000">
      <w:pPr>
        <w:pStyle w:val="3"/>
        <w:numPr>
          <w:ilvl w:val="0"/>
          <w:numId w:val="10"/>
        </w:numPr>
        <w:rPr>
          <w:szCs w:val="21"/>
        </w:rPr>
      </w:pPr>
      <w:r>
        <w:rPr>
          <w:szCs w:val="21"/>
        </w:rPr>
        <w:t>资产、负债情况分析</w:t>
      </w:r>
    </w:p>
    <w:p w14:paraId="7A1940B8" w14:textId="77777777" w:rsidR="005E000F" w:rsidRDefault="00000000">
      <w:sdt>
        <w:sdtPr>
          <w:rPr>
            <w:rFonts w:hint="eastAsia"/>
          </w:rPr>
          <w:alias w:val="是否适用：资产、负债情况分析[双击切换]"/>
          <w:tag w:val="_GBC_73f72b786f764d01bef1bb70d2d6e5c6"/>
          <w:id w:val="140088630"/>
          <w:lock w:val="contentLocked"/>
          <w:placeholder>
            <w:docPart w:val="GBC22222222222222222222222222222"/>
          </w:placeholder>
        </w:sdtPr>
        <w:sdtContent>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35D4D7B1" w14:textId="77777777" w:rsidR="005E000F" w:rsidRDefault="00000000">
      <w:pPr>
        <w:pStyle w:val="4"/>
        <w:numPr>
          <w:ilvl w:val="0"/>
          <w:numId w:val="15"/>
        </w:numPr>
      </w:pPr>
      <w:r>
        <w:t>资产</w:t>
      </w:r>
      <w:r>
        <w:rPr>
          <w:rFonts w:hint="eastAsia"/>
        </w:rPr>
        <w:t>及</w:t>
      </w:r>
      <w:r>
        <w:t>负债</w:t>
      </w:r>
      <w:r>
        <w:rPr>
          <w:rFonts w:hint="eastAsia"/>
          <w:szCs w:val="21"/>
        </w:rPr>
        <w:t>状</w:t>
      </w:r>
      <w:r>
        <w:rPr>
          <w:szCs w:val="21"/>
        </w:rPr>
        <w:t>况</w:t>
      </w:r>
    </w:p>
    <w:p w14:paraId="41637D17" w14:textId="77777777" w:rsidR="005E000F" w:rsidRDefault="00000000">
      <w:pPr>
        <w:wordWrap w:val="0"/>
        <w:jc w:val="right"/>
      </w:pPr>
      <w:r>
        <w:rPr>
          <w:rFonts w:hint="eastAsia"/>
        </w:rPr>
        <w:t>单位：</w:t>
      </w:r>
      <w:sdt>
        <w:sdtPr>
          <w:rPr>
            <w:rFonts w:hint="eastAsia"/>
          </w:rPr>
          <w:alias w:val="单位：资产负债状况分析"/>
          <w:tag w:val="_GBC_f016c1cffd884dd784e4fb134fd0d4df"/>
          <w:id w:val="-16259233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资产负债状况分析"/>
          <w:tag w:val="_GBC_18960409397a4cf093654b8114508f4b"/>
          <w:id w:val="-9702064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9322" w:type="dxa"/>
        <w:tblLayout w:type="fixed"/>
        <w:tblLook w:val="04A0" w:firstRow="1" w:lastRow="0" w:firstColumn="1" w:lastColumn="0" w:noHBand="0" w:noVBand="1"/>
      </w:tblPr>
      <w:tblGrid>
        <w:gridCol w:w="1525"/>
        <w:gridCol w:w="1560"/>
        <w:gridCol w:w="709"/>
        <w:gridCol w:w="1701"/>
        <w:gridCol w:w="709"/>
        <w:gridCol w:w="940"/>
        <w:gridCol w:w="2178"/>
      </w:tblGrid>
      <w:tr w:rsidR="005E000F" w14:paraId="2274ECD0" w14:textId="77777777">
        <w:trPr>
          <w:trHeight w:val="180"/>
        </w:trPr>
        <w:sdt>
          <w:sdtPr>
            <w:tag w:val="_PLD_8f1f37d9a09f4bf3a8f4c407297e58ed"/>
            <w:id w:val="-1453780783"/>
          </w:sdtPr>
          <w:sdtContent>
            <w:tc>
              <w:tcPr>
                <w:tcW w:w="1525" w:type="dxa"/>
                <w:vAlign w:val="center"/>
              </w:tcPr>
              <w:p w14:paraId="20C2A264" w14:textId="77777777" w:rsidR="005E000F" w:rsidRDefault="00000000">
                <w:pPr>
                  <w:jc w:val="center"/>
                  <w:rPr>
                    <w:rStyle w:val="50"/>
                  </w:rPr>
                </w:pPr>
                <w:r>
                  <w:t>项目名称</w:t>
                </w:r>
              </w:p>
            </w:tc>
          </w:sdtContent>
        </w:sdt>
        <w:sdt>
          <w:sdtPr>
            <w:tag w:val="_PLD_a4c00a3d0d0a42e28bc6a14dd6d26320"/>
            <w:id w:val="1703284196"/>
          </w:sdtPr>
          <w:sdtContent>
            <w:tc>
              <w:tcPr>
                <w:tcW w:w="1560" w:type="dxa"/>
                <w:vAlign w:val="center"/>
              </w:tcPr>
              <w:p w14:paraId="65DC914B" w14:textId="77777777" w:rsidR="005E000F" w:rsidRDefault="00000000">
                <w:pPr>
                  <w:jc w:val="center"/>
                  <w:rPr>
                    <w:rStyle w:val="50"/>
                  </w:rPr>
                </w:pPr>
                <w:r>
                  <w:t>本期期末数</w:t>
                </w:r>
              </w:p>
            </w:tc>
          </w:sdtContent>
        </w:sdt>
        <w:sdt>
          <w:sdtPr>
            <w:tag w:val="_PLD_17de20223ad64b528b824744807b0036"/>
            <w:id w:val="980197272"/>
          </w:sdtPr>
          <w:sdtContent>
            <w:tc>
              <w:tcPr>
                <w:tcW w:w="709" w:type="dxa"/>
                <w:vAlign w:val="center"/>
              </w:tcPr>
              <w:p w14:paraId="59BEE893" w14:textId="77777777" w:rsidR="005E000F" w:rsidRDefault="00000000">
                <w:pPr>
                  <w:jc w:val="center"/>
                  <w:rPr>
                    <w:rStyle w:val="50"/>
                  </w:rPr>
                </w:pPr>
                <w:r>
                  <w:t>本期期末数占总资产的比例（</w:t>
                </w:r>
                <w:r>
                  <w:t>%</w:t>
                </w:r>
                <w:r>
                  <w:t>）</w:t>
                </w:r>
              </w:p>
            </w:tc>
          </w:sdtContent>
        </w:sdt>
        <w:sdt>
          <w:sdtPr>
            <w:tag w:val="_PLD_d1b9e9483c3a41358f877758b5adb0fb"/>
            <w:id w:val="-530730239"/>
          </w:sdtPr>
          <w:sdtContent>
            <w:tc>
              <w:tcPr>
                <w:tcW w:w="1701" w:type="dxa"/>
                <w:vAlign w:val="center"/>
              </w:tcPr>
              <w:p w14:paraId="0BED32B0" w14:textId="77777777" w:rsidR="005E000F" w:rsidRDefault="00000000">
                <w:pPr>
                  <w:jc w:val="center"/>
                  <w:rPr>
                    <w:rStyle w:val="50"/>
                  </w:rPr>
                </w:pPr>
                <w:r>
                  <w:t>上期期末数</w:t>
                </w:r>
              </w:p>
            </w:tc>
          </w:sdtContent>
        </w:sdt>
        <w:sdt>
          <w:sdtPr>
            <w:tag w:val="_PLD_3a8a8577e1a84f26856a900f7202f9a8"/>
            <w:id w:val="-1592542628"/>
          </w:sdtPr>
          <w:sdtContent>
            <w:tc>
              <w:tcPr>
                <w:tcW w:w="709" w:type="dxa"/>
                <w:vAlign w:val="center"/>
              </w:tcPr>
              <w:p w14:paraId="25BE30E7" w14:textId="77777777" w:rsidR="005E000F" w:rsidRDefault="00000000">
                <w:pPr>
                  <w:jc w:val="center"/>
                  <w:rPr>
                    <w:rStyle w:val="50"/>
                  </w:rPr>
                </w:pPr>
                <w:r>
                  <w:t>上期期末数占总资产的比例（</w:t>
                </w:r>
                <w:r>
                  <w:t>%</w:t>
                </w:r>
                <w:r>
                  <w:t>）</w:t>
                </w:r>
              </w:p>
            </w:tc>
          </w:sdtContent>
        </w:sdt>
        <w:sdt>
          <w:sdtPr>
            <w:tag w:val="_PLD_8af1894621b84d44aec1deba51e3a7da"/>
            <w:id w:val="-1375931989"/>
          </w:sdtPr>
          <w:sdtContent>
            <w:tc>
              <w:tcPr>
                <w:tcW w:w="940" w:type="dxa"/>
                <w:vAlign w:val="center"/>
              </w:tcPr>
              <w:p w14:paraId="0C66D2C8" w14:textId="77777777" w:rsidR="005E000F" w:rsidRDefault="00000000">
                <w:pPr>
                  <w:jc w:val="center"/>
                  <w:rPr>
                    <w:rStyle w:val="50"/>
                  </w:rPr>
                </w:pPr>
                <w:r>
                  <w:t>本期期末金额较上期期末变动比例（</w:t>
                </w:r>
                <w:r>
                  <w:t>%</w:t>
                </w:r>
                <w:r>
                  <w:t>）</w:t>
                </w:r>
              </w:p>
            </w:tc>
          </w:sdtContent>
        </w:sdt>
        <w:sdt>
          <w:sdtPr>
            <w:tag w:val="_PLD_495436d1d45e4a9391194459a895631e"/>
            <w:id w:val="-1518081575"/>
          </w:sdtPr>
          <w:sdtContent>
            <w:tc>
              <w:tcPr>
                <w:tcW w:w="2178" w:type="dxa"/>
                <w:vAlign w:val="center"/>
              </w:tcPr>
              <w:p w14:paraId="5FB0F35C" w14:textId="77777777" w:rsidR="005E000F" w:rsidRDefault="00000000">
                <w:pPr>
                  <w:jc w:val="center"/>
                  <w:rPr>
                    <w:rStyle w:val="50"/>
                  </w:rPr>
                </w:pPr>
                <w:r>
                  <w:t>情况说明</w:t>
                </w:r>
              </w:p>
            </w:tc>
          </w:sdtContent>
        </w:sdt>
      </w:tr>
      <w:tr w:rsidR="005E000F" w14:paraId="17543C66" w14:textId="77777777">
        <w:trPr>
          <w:trHeight w:val="135"/>
        </w:trPr>
        <w:tc>
          <w:tcPr>
            <w:tcW w:w="1525" w:type="dxa"/>
            <w:vAlign w:val="center"/>
          </w:tcPr>
          <w:p w14:paraId="7AAD999D" w14:textId="77777777" w:rsidR="005E000F" w:rsidRDefault="00000000">
            <w:r>
              <w:t>货币资金</w:t>
            </w:r>
          </w:p>
        </w:tc>
        <w:tc>
          <w:tcPr>
            <w:tcW w:w="1560" w:type="dxa"/>
            <w:vAlign w:val="center"/>
          </w:tcPr>
          <w:p w14:paraId="70EB02C2" w14:textId="77777777" w:rsidR="005E000F" w:rsidRDefault="00000000">
            <w:pPr>
              <w:jc w:val="right"/>
            </w:pPr>
            <w:r>
              <w:t>35,850,008,755</w:t>
            </w:r>
          </w:p>
        </w:tc>
        <w:tc>
          <w:tcPr>
            <w:tcW w:w="709" w:type="dxa"/>
            <w:vAlign w:val="center"/>
          </w:tcPr>
          <w:p w14:paraId="02D5CDE2" w14:textId="77777777" w:rsidR="005E000F" w:rsidRDefault="00000000">
            <w:pPr>
              <w:jc w:val="right"/>
            </w:pPr>
            <w:r>
              <w:t>16.92</w:t>
            </w:r>
          </w:p>
        </w:tc>
        <w:tc>
          <w:tcPr>
            <w:tcW w:w="1701" w:type="dxa"/>
            <w:vAlign w:val="center"/>
          </w:tcPr>
          <w:p w14:paraId="5F47FEE3" w14:textId="77777777" w:rsidR="005E000F" w:rsidRDefault="00000000">
            <w:pPr>
              <w:jc w:val="right"/>
            </w:pPr>
            <w:r>
              <w:t>61,346,794,931</w:t>
            </w:r>
          </w:p>
        </w:tc>
        <w:tc>
          <w:tcPr>
            <w:tcW w:w="709" w:type="dxa"/>
            <w:vAlign w:val="center"/>
          </w:tcPr>
          <w:p w14:paraId="680A359D" w14:textId="77777777" w:rsidR="005E000F" w:rsidRDefault="00000000">
            <w:pPr>
              <w:jc w:val="right"/>
            </w:pPr>
            <w:r>
              <w:t>29.63</w:t>
            </w:r>
          </w:p>
        </w:tc>
        <w:tc>
          <w:tcPr>
            <w:tcW w:w="940" w:type="dxa"/>
            <w:vAlign w:val="center"/>
          </w:tcPr>
          <w:p w14:paraId="6AB7AF22" w14:textId="77777777" w:rsidR="005E000F" w:rsidRDefault="00000000">
            <w:pPr>
              <w:jc w:val="right"/>
            </w:pPr>
            <w:r>
              <w:t>-41.56</w:t>
            </w:r>
          </w:p>
        </w:tc>
        <w:tc>
          <w:tcPr>
            <w:tcW w:w="2178" w:type="dxa"/>
            <w:vAlign w:val="center"/>
          </w:tcPr>
          <w:p w14:paraId="23C6A929" w14:textId="77777777" w:rsidR="005E000F" w:rsidRDefault="00000000">
            <w:r>
              <w:t>主要由于支付收购土地使用权支付价款</w:t>
            </w:r>
          </w:p>
        </w:tc>
      </w:tr>
      <w:tr w:rsidR="005E000F" w14:paraId="3CFEC3F7" w14:textId="77777777">
        <w:trPr>
          <w:trHeight w:val="135"/>
        </w:trPr>
        <w:tc>
          <w:tcPr>
            <w:tcW w:w="1525" w:type="dxa"/>
            <w:vAlign w:val="center"/>
          </w:tcPr>
          <w:p w14:paraId="159DD8DE" w14:textId="77777777" w:rsidR="005E000F" w:rsidRDefault="00000000">
            <w:r>
              <w:t>其他流动资产</w:t>
            </w:r>
          </w:p>
        </w:tc>
        <w:tc>
          <w:tcPr>
            <w:tcW w:w="1560" w:type="dxa"/>
            <w:vAlign w:val="center"/>
          </w:tcPr>
          <w:p w14:paraId="63957EE2" w14:textId="77777777" w:rsidR="005E000F" w:rsidRDefault="00000000">
            <w:pPr>
              <w:jc w:val="right"/>
            </w:pPr>
            <w:r>
              <w:t>1,923,653,647</w:t>
            </w:r>
          </w:p>
        </w:tc>
        <w:tc>
          <w:tcPr>
            <w:tcW w:w="709" w:type="dxa"/>
            <w:vAlign w:val="center"/>
          </w:tcPr>
          <w:p w14:paraId="793193D1" w14:textId="77777777" w:rsidR="005E000F" w:rsidRDefault="00000000">
            <w:pPr>
              <w:jc w:val="right"/>
            </w:pPr>
            <w:r>
              <w:t>0.91</w:t>
            </w:r>
          </w:p>
        </w:tc>
        <w:tc>
          <w:tcPr>
            <w:tcW w:w="1701" w:type="dxa"/>
            <w:vAlign w:val="center"/>
          </w:tcPr>
          <w:p w14:paraId="7E00B275" w14:textId="77777777" w:rsidR="005E000F" w:rsidRDefault="00000000">
            <w:pPr>
              <w:jc w:val="right"/>
            </w:pPr>
            <w:r>
              <w:t>404,895,428</w:t>
            </w:r>
          </w:p>
        </w:tc>
        <w:tc>
          <w:tcPr>
            <w:tcW w:w="709" w:type="dxa"/>
            <w:vAlign w:val="center"/>
          </w:tcPr>
          <w:p w14:paraId="7BCB2451" w14:textId="77777777" w:rsidR="005E000F" w:rsidRDefault="00000000">
            <w:pPr>
              <w:jc w:val="right"/>
            </w:pPr>
            <w:r>
              <w:t>0.20</w:t>
            </w:r>
          </w:p>
        </w:tc>
        <w:tc>
          <w:tcPr>
            <w:tcW w:w="940" w:type="dxa"/>
            <w:vAlign w:val="center"/>
          </w:tcPr>
          <w:p w14:paraId="3B3D3455" w14:textId="77777777" w:rsidR="005E000F" w:rsidRDefault="00000000">
            <w:pPr>
              <w:jc w:val="right"/>
            </w:pPr>
            <w:r>
              <w:t>375.10</w:t>
            </w:r>
          </w:p>
        </w:tc>
        <w:tc>
          <w:tcPr>
            <w:tcW w:w="2178" w:type="dxa"/>
            <w:vAlign w:val="center"/>
          </w:tcPr>
          <w:p w14:paraId="360D72ED" w14:textId="77777777" w:rsidR="005E000F" w:rsidRDefault="00000000">
            <w:r>
              <w:t>主要由于新增短期定期存款及预交企业所得税重分类</w:t>
            </w:r>
          </w:p>
        </w:tc>
      </w:tr>
      <w:tr w:rsidR="005E000F" w14:paraId="50C60F7B" w14:textId="77777777">
        <w:trPr>
          <w:trHeight w:val="135"/>
        </w:trPr>
        <w:tc>
          <w:tcPr>
            <w:tcW w:w="1525" w:type="dxa"/>
            <w:vAlign w:val="center"/>
          </w:tcPr>
          <w:p w14:paraId="14B0BAB7" w14:textId="77777777" w:rsidR="005E000F" w:rsidRDefault="00000000">
            <w:r>
              <w:t>在建工程</w:t>
            </w:r>
          </w:p>
        </w:tc>
        <w:tc>
          <w:tcPr>
            <w:tcW w:w="1560" w:type="dxa"/>
            <w:vAlign w:val="center"/>
          </w:tcPr>
          <w:p w14:paraId="5AF7CC1B" w14:textId="77777777" w:rsidR="005E000F" w:rsidRDefault="00000000">
            <w:pPr>
              <w:jc w:val="right"/>
            </w:pPr>
            <w:r>
              <w:t>881,585,231</w:t>
            </w:r>
          </w:p>
        </w:tc>
        <w:tc>
          <w:tcPr>
            <w:tcW w:w="709" w:type="dxa"/>
            <w:vAlign w:val="center"/>
          </w:tcPr>
          <w:p w14:paraId="6F5E088A" w14:textId="77777777" w:rsidR="005E000F" w:rsidRDefault="00000000">
            <w:pPr>
              <w:jc w:val="right"/>
            </w:pPr>
            <w:r>
              <w:t>0.42</w:t>
            </w:r>
          </w:p>
        </w:tc>
        <w:tc>
          <w:tcPr>
            <w:tcW w:w="1701" w:type="dxa"/>
            <w:vAlign w:val="center"/>
          </w:tcPr>
          <w:p w14:paraId="057A8315" w14:textId="77777777" w:rsidR="005E000F" w:rsidRDefault="00000000">
            <w:pPr>
              <w:jc w:val="right"/>
            </w:pPr>
            <w:r>
              <w:t>1,960,725,579</w:t>
            </w:r>
          </w:p>
        </w:tc>
        <w:tc>
          <w:tcPr>
            <w:tcW w:w="709" w:type="dxa"/>
            <w:vAlign w:val="center"/>
          </w:tcPr>
          <w:p w14:paraId="4803744D" w14:textId="77777777" w:rsidR="005E000F" w:rsidRDefault="00000000">
            <w:pPr>
              <w:jc w:val="right"/>
            </w:pPr>
            <w:r>
              <w:t>0.95</w:t>
            </w:r>
          </w:p>
        </w:tc>
        <w:tc>
          <w:tcPr>
            <w:tcW w:w="940" w:type="dxa"/>
            <w:vAlign w:val="center"/>
          </w:tcPr>
          <w:p w14:paraId="4791863D" w14:textId="77777777" w:rsidR="005E000F" w:rsidRDefault="00000000">
            <w:pPr>
              <w:jc w:val="right"/>
            </w:pPr>
            <w:r>
              <w:t>-55.04</w:t>
            </w:r>
          </w:p>
        </w:tc>
        <w:tc>
          <w:tcPr>
            <w:tcW w:w="2178" w:type="dxa"/>
            <w:vAlign w:val="center"/>
          </w:tcPr>
          <w:p w14:paraId="34D7AAF4" w14:textId="77777777" w:rsidR="005E000F" w:rsidRDefault="00000000">
            <w:r>
              <w:t>主要由于在建工程</w:t>
            </w:r>
            <w:proofErr w:type="gramStart"/>
            <w:r>
              <w:t>本年转固</w:t>
            </w:r>
            <w:proofErr w:type="gramEnd"/>
          </w:p>
        </w:tc>
      </w:tr>
      <w:tr w:rsidR="005E000F" w14:paraId="7E28F963" w14:textId="77777777">
        <w:trPr>
          <w:trHeight w:val="135"/>
        </w:trPr>
        <w:tc>
          <w:tcPr>
            <w:tcW w:w="1525" w:type="dxa"/>
            <w:vAlign w:val="center"/>
          </w:tcPr>
          <w:p w14:paraId="594CCE67" w14:textId="77777777" w:rsidR="005E000F" w:rsidRDefault="00000000">
            <w:r>
              <w:t>使用权资产</w:t>
            </w:r>
          </w:p>
        </w:tc>
        <w:tc>
          <w:tcPr>
            <w:tcW w:w="1560" w:type="dxa"/>
            <w:vAlign w:val="center"/>
          </w:tcPr>
          <w:p w14:paraId="729734C2" w14:textId="77777777" w:rsidR="005E000F" w:rsidRDefault="00000000">
            <w:pPr>
              <w:jc w:val="right"/>
            </w:pPr>
            <w:r>
              <w:t>2,359,026,602</w:t>
            </w:r>
          </w:p>
        </w:tc>
        <w:tc>
          <w:tcPr>
            <w:tcW w:w="709" w:type="dxa"/>
            <w:vAlign w:val="center"/>
          </w:tcPr>
          <w:p w14:paraId="2DCFF389" w14:textId="77777777" w:rsidR="005E000F" w:rsidRDefault="00000000">
            <w:pPr>
              <w:jc w:val="right"/>
            </w:pPr>
            <w:r>
              <w:t>1.11</w:t>
            </w:r>
          </w:p>
        </w:tc>
        <w:tc>
          <w:tcPr>
            <w:tcW w:w="1701" w:type="dxa"/>
            <w:vAlign w:val="center"/>
          </w:tcPr>
          <w:p w14:paraId="1DBE8864" w14:textId="77777777" w:rsidR="005E000F" w:rsidRDefault="00000000">
            <w:pPr>
              <w:jc w:val="right"/>
            </w:pPr>
            <w:r>
              <w:t>912,285,308</w:t>
            </w:r>
          </w:p>
        </w:tc>
        <w:tc>
          <w:tcPr>
            <w:tcW w:w="709" w:type="dxa"/>
            <w:vAlign w:val="center"/>
          </w:tcPr>
          <w:p w14:paraId="318331F4" w14:textId="77777777" w:rsidR="005E000F" w:rsidRDefault="00000000">
            <w:pPr>
              <w:jc w:val="right"/>
            </w:pPr>
            <w:r>
              <w:t>0.44</w:t>
            </w:r>
          </w:p>
        </w:tc>
        <w:tc>
          <w:tcPr>
            <w:tcW w:w="940" w:type="dxa"/>
            <w:vAlign w:val="center"/>
          </w:tcPr>
          <w:p w14:paraId="11203E60" w14:textId="77777777" w:rsidR="005E000F" w:rsidRDefault="00000000">
            <w:pPr>
              <w:jc w:val="right"/>
            </w:pPr>
            <w:r>
              <w:t>158.58</w:t>
            </w:r>
          </w:p>
        </w:tc>
        <w:tc>
          <w:tcPr>
            <w:tcW w:w="2178" w:type="dxa"/>
            <w:vAlign w:val="center"/>
          </w:tcPr>
          <w:p w14:paraId="1D05AF76" w14:textId="77777777" w:rsidR="005E000F" w:rsidRDefault="00000000">
            <w:r>
              <w:t>主要由于可能长期无法交易的土地转为租赁</w:t>
            </w:r>
          </w:p>
        </w:tc>
      </w:tr>
      <w:tr w:rsidR="005E000F" w14:paraId="6BFFC9D9" w14:textId="77777777">
        <w:trPr>
          <w:trHeight w:val="135"/>
        </w:trPr>
        <w:tc>
          <w:tcPr>
            <w:tcW w:w="1525" w:type="dxa"/>
            <w:vAlign w:val="center"/>
          </w:tcPr>
          <w:p w14:paraId="04F43BA9" w14:textId="77777777" w:rsidR="005E000F" w:rsidRDefault="00000000">
            <w:r>
              <w:t>无形资产</w:t>
            </w:r>
          </w:p>
        </w:tc>
        <w:tc>
          <w:tcPr>
            <w:tcW w:w="1560" w:type="dxa"/>
            <w:vAlign w:val="center"/>
          </w:tcPr>
          <w:p w14:paraId="28A17D11" w14:textId="77777777" w:rsidR="005E000F" w:rsidRDefault="00000000">
            <w:pPr>
              <w:jc w:val="right"/>
            </w:pPr>
            <w:r>
              <w:t>34,512,368,917</w:t>
            </w:r>
          </w:p>
        </w:tc>
        <w:tc>
          <w:tcPr>
            <w:tcW w:w="709" w:type="dxa"/>
            <w:vAlign w:val="center"/>
          </w:tcPr>
          <w:p w14:paraId="5647B144" w14:textId="77777777" w:rsidR="005E000F" w:rsidRDefault="00000000">
            <w:pPr>
              <w:jc w:val="right"/>
            </w:pPr>
            <w:r>
              <w:t>16.29</w:t>
            </w:r>
          </w:p>
        </w:tc>
        <w:tc>
          <w:tcPr>
            <w:tcW w:w="1701" w:type="dxa"/>
            <w:vAlign w:val="center"/>
          </w:tcPr>
          <w:p w14:paraId="17687178" w14:textId="77777777" w:rsidR="005E000F" w:rsidRDefault="00000000">
            <w:pPr>
              <w:jc w:val="right"/>
            </w:pPr>
            <w:r>
              <w:t>10,531,749,061</w:t>
            </w:r>
          </w:p>
        </w:tc>
        <w:tc>
          <w:tcPr>
            <w:tcW w:w="709" w:type="dxa"/>
            <w:vAlign w:val="center"/>
          </w:tcPr>
          <w:p w14:paraId="1CD5D46C" w14:textId="77777777" w:rsidR="005E000F" w:rsidRDefault="00000000">
            <w:pPr>
              <w:jc w:val="right"/>
            </w:pPr>
            <w:r>
              <w:t>5.09</w:t>
            </w:r>
          </w:p>
        </w:tc>
        <w:tc>
          <w:tcPr>
            <w:tcW w:w="940" w:type="dxa"/>
            <w:vAlign w:val="center"/>
          </w:tcPr>
          <w:p w14:paraId="5243062E" w14:textId="77777777" w:rsidR="005E000F" w:rsidRDefault="00000000">
            <w:pPr>
              <w:jc w:val="right"/>
            </w:pPr>
            <w:r>
              <w:t>227.70</w:t>
            </w:r>
          </w:p>
        </w:tc>
        <w:tc>
          <w:tcPr>
            <w:tcW w:w="2178" w:type="dxa"/>
            <w:vAlign w:val="center"/>
          </w:tcPr>
          <w:p w14:paraId="7050EF78" w14:textId="77777777" w:rsidR="005E000F" w:rsidRDefault="00000000">
            <w:r>
              <w:t>主要由于本年收购土地使用权</w:t>
            </w:r>
          </w:p>
        </w:tc>
      </w:tr>
      <w:tr w:rsidR="005E000F" w14:paraId="47880103" w14:textId="77777777">
        <w:trPr>
          <w:trHeight w:val="135"/>
        </w:trPr>
        <w:tc>
          <w:tcPr>
            <w:tcW w:w="1525" w:type="dxa"/>
            <w:vAlign w:val="center"/>
          </w:tcPr>
          <w:p w14:paraId="4EEF8264" w14:textId="77777777" w:rsidR="005E000F" w:rsidRDefault="00000000">
            <w:r>
              <w:t>应交税费</w:t>
            </w:r>
          </w:p>
        </w:tc>
        <w:tc>
          <w:tcPr>
            <w:tcW w:w="1560" w:type="dxa"/>
            <w:vAlign w:val="center"/>
          </w:tcPr>
          <w:p w14:paraId="556A1A35" w14:textId="77777777" w:rsidR="005E000F" w:rsidRDefault="00000000">
            <w:pPr>
              <w:jc w:val="right"/>
            </w:pPr>
            <w:r>
              <w:t>1,104,533,015</w:t>
            </w:r>
          </w:p>
        </w:tc>
        <w:tc>
          <w:tcPr>
            <w:tcW w:w="709" w:type="dxa"/>
            <w:vAlign w:val="center"/>
          </w:tcPr>
          <w:p w14:paraId="627C41F6" w14:textId="77777777" w:rsidR="005E000F" w:rsidRDefault="00000000">
            <w:pPr>
              <w:jc w:val="right"/>
            </w:pPr>
            <w:r>
              <w:t>0.52</w:t>
            </w:r>
          </w:p>
        </w:tc>
        <w:tc>
          <w:tcPr>
            <w:tcW w:w="1701" w:type="dxa"/>
            <w:vAlign w:val="center"/>
          </w:tcPr>
          <w:p w14:paraId="53FB6AFC" w14:textId="77777777" w:rsidR="005E000F" w:rsidRDefault="00000000">
            <w:pPr>
              <w:jc w:val="right"/>
            </w:pPr>
            <w:r>
              <w:t>689,855,659</w:t>
            </w:r>
          </w:p>
        </w:tc>
        <w:tc>
          <w:tcPr>
            <w:tcW w:w="709" w:type="dxa"/>
            <w:vAlign w:val="center"/>
          </w:tcPr>
          <w:p w14:paraId="6F441F9C" w14:textId="77777777" w:rsidR="005E000F" w:rsidRDefault="00000000">
            <w:pPr>
              <w:jc w:val="right"/>
            </w:pPr>
            <w:r>
              <w:t>0.33</w:t>
            </w:r>
          </w:p>
        </w:tc>
        <w:tc>
          <w:tcPr>
            <w:tcW w:w="940" w:type="dxa"/>
            <w:vAlign w:val="center"/>
          </w:tcPr>
          <w:p w14:paraId="237D8A40" w14:textId="77777777" w:rsidR="005E000F" w:rsidRDefault="00000000">
            <w:pPr>
              <w:jc w:val="right"/>
            </w:pPr>
            <w:r>
              <w:t>60.11</w:t>
            </w:r>
          </w:p>
        </w:tc>
        <w:tc>
          <w:tcPr>
            <w:tcW w:w="2178" w:type="dxa"/>
            <w:vAlign w:val="center"/>
          </w:tcPr>
          <w:p w14:paraId="222D865A" w14:textId="77777777" w:rsidR="005E000F" w:rsidRDefault="00000000">
            <w:r>
              <w:t>主要由于新增土地对应的契税增加</w:t>
            </w:r>
          </w:p>
        </w:tc>
      </w:tr>
      <w:tr w:rsidR="005E000F" w14:paraId="5FFC0616" w14:textId="77777777">
        <w:trPr>
          <w:trHeight w:val="135"/>
        </w:trPr>
        <w:tc>
          <w:tcPr>
            <w:tcW w:w="1525" w:type="dxa"/>
            <w:vAlign w:val="center"/>
          </w:tcPr>
          <w:p w14:paraId="479BB385" w14:textId="77777777" w:rsidR="005E000F" w:rsidRDefault="00000000">
            <w:r>
              <w:t>应付债券</w:t>
            </w:r>
          </w:p>
        </w:tc>
        <w:tc>
          <w:tcPr>
            <w:tcW w:w="1560" w:type="dxa"/>
            <w:vAlign w:val="center"/>
          </w:tcPr>
          <w:p w14:paraId="3B42D094" w14:textId="77777777" w:rsidR="005E000F" w:rsidRDefault="00000000">
            <w:pPr>
              <w:jc w:val="right"/>
            </w:pPr>
            <w:r>
              <w:t>0</w:t>
            </w:r>
          </w:p>
        </w:tc>
        <w:tc>
          <w:tcPr>
            <w:tcW w:w="709" w:type="dxa"/>
            <w:vAlign w:val="center"/>
          </w:tcPr>
          <w:p w14:paraId="0D48A0C0" w14:textId="77777777" w:rsidR="005E000F" w:rsidRDefault="00000000">
            <w:pPr>
              <w:jc w:val="right"/>
            </w:pPr>
            <w:r>
              <w:t>0</w:t>
            </w:r>
          </w:p>
        </w:tc>
        <w:tc>
          <w:tcPr>
            <w:tcW w:w="1701" w:type="dxa"/>
            <w:vAlign w:val="center"/>
          </w:tcPr>
          <w:p w14:paraId="364B9734" w14:textId="77777777" w:rsidR="005E000F" w:rsidRDefault="00000000">
            <w:pPr>
              <w:jc w:val="right"/>
            </w:pPr>
            <w:r>
              <w:t>7,593,350,951</w:t>
            </w:r>
          </w:p>
        </w:tc>
        <w:tc>
          <w:tcPr>
            <w:tcW w:w="709" w:type="dxa"/>
            <w:vAlign w:val="center"/>
          </w:tcPr>
          <w:p w14:paraId="0CF47B3D" w14:textId="77777777" w:rsidR="005E000F" w:rsidRDefault="00000000">
            <w:pPr>
              <w:jc w:val="right"/>
            </w:pPr>
            <w:r>
              <w:t>3.67</w:t>
            </w:r>
          </w:p>
        </w:tc>
        <w:tc>
          <w:tcPr>
            <w:tcW w:w="940" w:type="dxa"/>
            <w:vAlign w:val="center"/>
          </w:tcPr>
          <w:p w14:paraId="1A28825E" w14:textId="77777777" w:rsidR="005E000F" w:rsidRDefault="00000000">
            <w:pPr>
              <w:jc w:val="right"/>
            </w:pPr>
            <w:r>
              <w:t>-100.00</w:t>
            </w:r>
          </w:p>
        </w:tc>
        <w:tc>
          <w:tcPr>
            <w:tcW w:w="2178" w:type="dxa"/>
            <w:vAlign w:val="center"/>
          </w:tcPr>
          <w:p w14:paraId="1F1E1443" w14:textId="77777777" w:rsidR="005E000F" w:rsidRDefault="00000000">
            <w:r>
              <w:t>可转债转股完毕</w:t>
            </w:r>
          </w:p>
        </w:tc>
      </w:tr>
      <w:tr w:rsidR="005E000F" w14:paraId="4A686B57" w14:textId="77777777">
        <w:trPr>
          <w:trHeight w:val="135"/>
        </w:trPr>
        <w:tc>
          <w:tcPr>
            <w:tcW w:w="1525" w:type="dxa"/>
            <w:vAlign w:val="center"/>
          </w:tcPr>
          <w:p w14:paraId="62825939" w14:textId="77777777" w:rsidR="005E000F" w:rsidRDefault="00000000">
            <w:r>
              <w:t>租赁负债</w:t>
            </w:r>
          </w:p>
        </w:tc>
        <w:tc>
          <w:tcPr>
            <w:tcW w:w="1560" w:type="dxa"/>
            <w:vAlign w:val="center"/>
          </w:tcPr>
          <w:p w14:paraId="3DA5DABD" w14:textId="77777777" w:rsidR="005E000F" w:rsidRDefault="00000000">
            <w:pPr>
              <w:jc w:val="right"/>
            </w:pPr>
            <w:r>
              <w:t>2,151,433,413</w:t>
            </w:r>
          </w:p>
        </w:tc>
        <w:tc>
          <w:tcPr>
            <w:tcW w:w="709" w:type="dxa"/>
            <w:vAlign w:val="center"/>
          </w:tcPr>
          <w:p w14:paraId="1EC5683E" w14:textId="77777777" w:rsidR="005E000F" w:rsidRDefault="00000000">
            <w:pPr>
              <w:jc w:val="right"/>
            </w:pPr>
            <w:r>
              <w:t>1.02</w:t>
            </w:r>
          </w:p>
        </w:tc>
        <w:tc>
          <w:tcPr>
            <w:tcW w:w="1701" w:type="dxa"/>
            <w:vAlign w:val="center"/>
          </w:tcPr>
          <w:p w14:paraId="163CD55D" w14:textId="77777777" w:rsidR="005E000F" w:rsidRDefault="00000000">
            <w:pPr>
              <w:jc w:val="right"/>
            </w:pPr>
            <w:r>
              <w:t>805,447,713</w:t>
            </w:r>
          </w:p>
        </w:tc>
        <w:tc>
          <w:tcPr>
            <w:tcW w:w="709" w:type="dxa"/>
            <w:vAlign w:val="center"/>
          </w:tcPr>
          <w:p w14:paraId="36D20529" w14:textId="77777777" w:rsidR="005E000F" w:rsidRDefault="00000000">
            <w:pPr>
              <w:jc w:val="right"/>
            </w:pPr>
            <w:r>
              <w:t>0.39</w:t>
            </w:r>
          </w:p>
        </w:tc>
        <w:tc>
          <w:tcPr>
            <w:tcW w:w="940" w:type="dxa"/>
            <w:vAlign w:val="center"/>
          </w:tcPr>
          <w:p w14:paraId="321CCE76" w14:textId="77777777" w:rsidR="005E000F" w:rsidRDefault="00000000">
            <w:pPr>
              <w:jc w:val="right"/>
            </w:pPr>
            <w:r>
              <w:t>167.11</w:t>
            </w:r>
          </w:p>
        </w:tc>
        <w:tc>
          <w:tcPr>
            <w:tcW w:w="2178" w:type="dxa"/>
            <w:vAlign w:val="center"/>
          </w:tcPr>
          <w:p w14:paraId="1629532C" w14:textId="77777777" w:rsidR="005E000F" w:rsidRDefault="00000000">
            <w:r>
              <w:t>主要由于可能长期无法交易的土地转为租赁</w:t>
            </w:r>
          </w:p>
        </w:tc>
      </w:tr>
      <w:tr w:rsidR="005E000F" w14:paraId="64DB09D7" w14:textId="77777777">
        <w:trPr>
          <w:trHeight w:val="135"/>
        </w:trPr>
        <w:tc>
          <w:tcPr>
            <w:tcW w:w="1525" w:type="dxa"/>
            <w:vAlign w:val="center"/>
          </w:tcPr>
          <w:p w14:paraId="22EAD6D4" w14:textId="77777777" w:rsidR="005E000F" w:rsidRDefault="00000000">
            <w:r>
              <w:t>其他权益工具</w:t>
            </w:r>
          </w:p>
        </w:tc>
        <w:tc>
          <w:tcPr>
            <w:tcW w:w="1560" w:type="dxa"/>
            <w:vAlign w:val="center"/>
          </w:tcPr>
          <w:p w14:paraId="26403DE9" w14:textId="77777777" w:rsidR="005E000F" w:rsidRDefault="00000000">
            <w:pPr>
              <w:jc w:val="right"/>
            </w:pPr>
            <w:r>
              <w:t>0</w:t>
            </w:r>
          </w:p>
        </w:tc>
        <w:tc>
          <w:tcPr>
            <w:tcW w:w="709" w:type="dxa"/>
            <w:vAlign w:val="center"/>
          </w:tcPr>
          <w:p w14:paraId="0993E4A5" w14:textId="77777777" w:rsidR="005E000F" w:rsidRDefault="00000000">
            <w:pPr>
              <w:jc w:val="right"/>
            </w:pPr>
            <w:r>
              <w:t>0</w:t>
            </w:r>
          </w:p>
        </w:tc>
        <w:tc>
          <w:tcPr>
            <w:tcW w:w="1701" w:type="dxa"/>
            <w:vAlign w:val="center"/>
          </w:tcPr>
          <w:p w14:paraId="09B74EFC" w14:textId="77777777" w:rsidR="005E000F" w:rsidRDefault="00000000">
            <w:pPr>
              <w:jc w:val="right"/>
            </w:pPr>
            <w:r>
              <w:t>804,984,728</w:t>
            </w:r>
          </w:p>
        </w:tc>
        <w:tc>
          <w:tcPr>
            <w:tcW w:w="709" w:type="dxa"/>
            <w:vAlign w:val="center"/>
          </w:tcPr>
          <w:p w14:paraId="585DC022" w14:textId="77777777" w:rsidR="005E000F" w:rsidRDefault="00000000">
            <w:pPr>
              <w:jc w:val="right"/>
            </w:pPr>
            <w:r>
              <w:t>0.39</w:t>
            </w:r>
          </w:p>
        </w:tc>
        <w:tc>
          <w:tcPr>
            <w:tcW w:w="940" w:type="dxa"/>
            <w:vAlign w:val="center"/>
          </w:tcPr>
          <w:p w14:paraId="1FA0C719" w14:textId="77777777" w:rsidR="005E000F" w:rsidRDefault="00000000">
            <w:pPr>
              <w:jc w:val="right"/>
            </w:pPr>
            <w:r>
              <w:t>-100.00</w:t>
            </w:r>
          </w:p>
        </w:tc>
        <w:tc>
          <w:tcPr>
            <w:tcW w:w="2178" w:type="dxa"/>
            <w:vAlign w:val="center"/>
          </w:tcPr>
          <w:p w14:paraId="7602CF63" w14:textId="77777777" w:rsidR="005E000F" w:rsidRDefault="00000000">
            <w:r>
              <w:t>可转债转股完毕</w:t>
            </w:r>
          </w:p>
        </w:tc>
      </w:tr>
      <w:tr w:rsidR="005E000F" w14:paraId="6BBEE4A5" w14:textId="77777777">
        <w:trPr>
          <w:trHeight w:val="135"/>
        </w:trPr>
        <w:tc>
          <w:tcPr>
            <w:tcW w:w="1525" w:type="dxa"/>
            <w:vAlign w:val="center"/>
          </w:tcPr>
          <w:p w14:paraId="42156721" w14:textId="77777777" w:rsidR="005E000F" w:rsidRDefault="00000000">
            <w:r>
              <w:t>库存股</w:t>
            </w:r>
          </w:p>
        </w:tc>
        <w:tc>
          <w:tcPr>
            <w:tcW w:w="1560" w:type="dxa"/>
            <w:vAlign w:val="center"/>
          </w:tcPr>
          <w:p w14:paraId="4A2237A7" w14:textId="77777777" w:rsidR="005E000F" w:rsidRDefault="00000000">
            <w:pPr>
              <w:jc w:val="right"/>
            </w:pPr>
            <w:r>
              <w:t>247,783,807</w:t>
            </w:r>
          </w:p>
        </w:tc>
        <w:tc>
          <w:tcPr>
            <w:tcW w:w="709" w:type="dxa"/>
            <w:vAlign w:val="center"/>
          </w:tcPr>
          <w:p w14:paraId="1DBDD344" w14:textId="77777777" w:rsidR="005E000F" w:rsidRDefault="00000000">
            <w:pPr>
              <w:jc w:val="right"/>
            </w:pPr>
            <w:r>
              <w:t>0.12</w:t>
            </w:r>
          </w:p>
        </w:tc>
        <w:tc>
          <w:tcPr>
            <w:tcW w:w="1701" w:type="dxa"/>
            <w:vAlign w:val="center"/>
          </w:tcPr>
          <w:p w14:paraId="165EAA21" w14:textId="77777777" w:rsidR="005E000F" w:rsidRDefault="00000000">
            <w:pPr>
              <w:jc w:val="right"/>
            </w:pPr>
            <w:r>
              <w:t>0</w:t>
            </w:r>
          </w:p>
        </w:tc>
        <w:tc>
          <w:tcPr>
            <w:tcW w:w="709" w:type="dxa"/>
            <w:vAlign w:val="center"/>
          </w:tcPr>
          <w:p w14:paraId="48B15FF9" w14:textId="77777777" w:rsidR="005E000F" w:rsidRDefault="00000000">
            <w:pPr>
              <w:jc w:val="right"/>
            </w:pPr>
            <w:r>
              <w:t>0</w:t>
            </w:r>
          </w:p>
        </w:tc>
        <w:tc>
          <w:tcPr>
            <w:tcW w:w="940" w:type="dxa"/>
            <w:vAlign w:val="center"/>
          </w:tcPr>
          <w:p w14:paraId="57BB9ED5" w14:textId="77777777" w:rsidR="005E000F" w:rsidRDefault="00000000">
            <w:pPr>
              <w:jc w:val="right"/>
            </w:pPr>
            <w:r>
              <w:t>100.00</w:t>
            </w:r>
          </w:p>
        </w:tc>
        <w:tc>
          <w:tcPr>
            <w:tcW w:w="2178" w:type="dxa"/>
            <w:vAlign w:val="center"/>
          </w:tcPr>
          <w:p w14:paraId="53C9473D" w14:textId="77777777" w:rsidR="005E000F" w:rsidRDefault="00000000">
            <w:r>
              <w:t>本年回购股份</w:t>
            </w:r>
          </w:p>
        </w:tc>
      </w:tr>
    </w:tbl>
    <w:p w14:paraId="155686F4" w14:textId="77777777" w:rsidR="005E000F" w:rsidRDefault="005E000F"/>
    <w:p w14:paraId="3383FF9B" w14:textId="77777777" w:rsidR="005E000F" w:rsidRDefault="00000000">
      <w:r>
        <w:rPr>
          <w:rFonts w:hint="eastAsia"/>
        </w:rPr>
        <w:t>其他说明：</w:t>
      </w:r>
    </w:p>
    <w:sdt>
      <w:sdtPr>
        <w:rPr>
          <w:rFonts w:hint="eastAsia"/>
        </w:rPr>
        <w:alias w:val="资产及负债状况的其他说明"/>
        <w:tag w:val="_GBC_3aee54264edd4bb08807d2335eb33f43"/>
        <w:id w:val="-2009748483"/>
        <w:placeholder>
          <w:docPart w:val="GBC22222222222222222222222222222"/>
        </w:placeholder>
      </w:sdtPr>
      <w:sdtContent>
        <w:p w14:paraId="69F1A34A" w14:textId="77777777" w:rsidR="005E000F" w:rsidRDefault="00000000">
          <w:r>
            <w:rPr>
              <w:rFonts w:hint="eastAsia"/>
            </w:rPr>
            <w:t>无</w:t>
          </w:r>
        </w:p>
      </w:sdtContent>
    </w:sdt>
    <w:p w14:paraId="761240BF" w14:textId="77777777" w:rsidR="005E000F" w:rsidRDefault="00000000">
      <w:pPr>
        <w:pStyle w:val="4"/>
        <w:numPr>
          <w:ilvl w:val="0"/>
          <w:numId w:val="15"/>
        </w:numPr>
        <w:rPr>
          <w:rFonts w:ascii="宋体" w:eastAsia="宋体" w:hAnsi="宋体" w:cs="宋体"/>
          <w:kern w:val="0"/>
          <w:szCs w:val="21"/>
        </w:rPr>
      </w:pPr>
      <w:bookmarkStart w:id="76" w:name="_Hlk89877438"/>
      <w:r>
        <w:rPr>
          <w:rFonts w:ascii="宋体" w:eastAsia="宋体" w:hAnsi="宋体" w:cs="宋体" w:hint="eastAsia"/>
          <w:kern w:val="0"/>
          <w:szCs w:val="21"/>
        </w:rPr>
        <w:t>境外资产情况</w:t>
      </w:r>
    </w:p>
    <w:sdt>
      <w:sdtPr>
        <w:rPr>
          <w:rFonts w:hint="eastAsia"/>
        </w:rPr>
        <w:alias w:val="是否适用：境外资产情况 [双击切换]"/>
        <w:tag w:val="_GBC_7c019689b55740839a263ecc68721e10"/>
        <w:id w:val="1795013867"/>
        <w:placeholder>
          <w:docPart w:val="GBC22222222222222222222222222222"/>
        </w:placeholder>
      </w:sdtPr>
      <w:sdtContent>
        <w:p w14:paraId="354ACAAF"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14E799D" w14:textId="77777777" w:rsidR="005E000F" w:rsidRDefault="00000000">
      <w:pPr>
        <w:pStyle w:val="4"/>
        <w:numPr>
          <w:ilvl w:val="0"/>
          <w:numId w:val="15"/>
        </w:numPr>
      </w:pPr>
      <w:bookmarkStart w:id="77" w:name="_Hlk89176028"/>
      <w:bookmarkEnd w:id="76"/>
      <w:bookmarkEnd w:id="77"/>
      <w:r>
        <w:t>截至报告期末主要资产受限情</w:t>
      </w:r>
      <w:r>
        <w:rPr>
          <w:rFonts w:hint="eastAsia"/>
        </w:rPr>
        <w:t>况</w:t>
      </w:r>
    </w:p>
    <w:sdt>
      <w:sdtPr>
        <w:rPr>
          <w:rFonts w:hint="eastAsia"/>
        </w:rPr>
        <w:alias w:val="是否适用：主要资产受限情况[双击切换]"/>
        <w:tag w:val="_GBC_01311ee451194f52a953344cf249b1b9"/>
        <w:id w:val="-238489722"/>
        <w:placeholder>
          <w:docPart w:val="GBC22222222222222222222222222222"/>
        </w:placeholder>
      </w:sdtPr>
      <w:sdtContent>
        <w:p w14:paraId="0A9C2DF1"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49B28FB" w14:textId="77777777" w:rsidR="005E000F" w:rsidRDefault="00000000">
      <w:pPr>
        <w:pStyle w:val="4"/>
        <w:numPr>
          <w:ilvl w:val="0"/>
          <w:numId w:val="15"/>
        </w:numPr>
      </w:pPr>
      <w:r>
        <w:t>其他说明</w:t>
      </w:r>
    </w:p>
    <w:sdt>
      <w:sdtPr>
        <w:rPr>
          <w:rFonts w:hint="eastAsia"/>
        </w:rPr>
        <w:alias w:val="是否适用：资产及负债状况的其他说明[双击切换]"/>
        <w:tag w:val="_GBC_364e24c8cf1a4469ba88a4ae16e0417f"/>
        <w:id w:val="-1685982015"/>
        <w:placeholder>
          <w:docPart w:val="GBC22222222222222222222222222222"/>
        </w:placeholder>
      </w:sdtPr>
      <w:sdtContent>
        <w:p w14:paraId="6F7FE206"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80EECE7" w14:textId="77777777" w:rsidR="005E000F" w:rsidRDefault="00000000">
      <w:pPr>
        <w:pStyle w:val="3"/>
        <w:numPr>
          <w:ilvl w:val="0"/>
          <w:numId w:val="10"/>
        </w:numPr>
        <w:rPr>
          <w:szCs w:val="21"/>
        </w:rPr>
      </w:pPr>
      <w:r>
        <w:rPr>
          <w:rFonts w:hint="eastAsia"/>
          <w:szCs w:val="21"/>
        </w:rPr>
        <w:t>行业经营性信息分析</w:t>
      </w:r>
    </w:p>
    <w:sdt>
      <w:sdtPr>
        <w:rPr>
          <w:rFonts w:hint="eastAsia"/>
        </w:rPr>
        <w:alias w:val="是否适用：行业经营性信息分析[双击切换]"/>
        <w:tag w:val="_GBC_8a02ac4934eb426ab273323b8694d88c"/>
        <w:id w:val="-404770174"/>
        <w:placeholder>
          <w:docPart w:val="GBC22222222222222222222222222222"/>
        </w:placeholder>
      </w:sdtPr>
      <w:sdtContent>
        <w:p w14:paraId="0FA322FA"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Start w:id="78" w:name="OLE_LINK8" w:displacedByCustomXml="next"/>
    <w:sdt>
      <w:sdtPr>
        <w:rPr>
          <w:rFonts w:hint="eastAsia"/>
        </w:rPr>
        <w:alias w:val="行业经营性信息分析"/>
        <w:tag w:val="_GBC_e16bc1aa6d5e4cdd94278d9bb9b9d44b"/>
        <w:id w:val="-1911218877"/>
        <w:placeholder>
          <w:docPart w:val="GBC22222222222222222222222222222"/>
        </w:placeholder>
      </w:sdtPr>
      <w:sdtContent>
        <w:p w14:paraId="0081881F" w14:textId="77777777" w:rsidR="005E000F" w:rsidRDefault="00000000">
          <w:r>
            <w:rPr>
              <w:rFonts w:hint="eastAsia"/>
            </w:rPr>
            <w:t>2025</w:t>
          </w:r>
          <w:r>
            <w:rPr>
              <w:rFonts w:hint="eastAsia"/>
            </w:rPr>
            <w:t>年，</w:t>
          </w:r>
          <w:bookmarkEnd w:id="78"/>
          <w:r>
            <w:rPr>
              <w:rFonts w:hint="eastAsia"/>
            </w:rPr>
            <w:t>国铁集团经营质效明显提升，全年完成运输总收入</w:t>
          </w:r>
          <w:r>
            <w:rPr>
              <w:rFonts w:hint="eastAsia"/>
            </w:rPr>
            <w:t>10,204</w:t>
          </w:r>
          <w:r>
            <w:rPr>
              <w:rFonts w:hint="eastAsia"/>
            </w:rPr>
            <w:t>亿元，同比增长</w:t>
          </w:r>
          <w:r>
            <w:rPr>
              <w:rFonts w:hint="eastAsia"/>
            </w:rPr>
            <w:t>3.1%</w:t>
          </w:r>
          <w:r>
            <w:rPr>
              <w:rFonts w:hint="eastAsia"/>
            </w:rPr>
            <w:t>。</w:t>
          </w:r>
        </w:p>
      </w:sdtContent>
    </w:sdt>
    <w:p w14:paraId="044FC2B1" w14:textId="77777777" w:rsidR="005E000F" w:rsidRDefault="005E000F">
      <w:pPr>
        <w:sectPr w:rsidR="005E000F">
          <w:pgSz w:w="11906" w:h="16838"/>
          <w:pgMar w:top="1525" w:right="1276" w:bottom="1440" w:left="1797" w:header="855" w:footer="992" w:gutter="0"/>
          <w:cols w:space="425"/>
          <w:docGrid w:linePitch="312"/>
        </w:sectPr>
      </w:pPr>
    </w:p>
    <w:p w14:paraId="02ECA0FA" w14:textId="77777777" w:rsidR="005E000F" w:rsidRDefault="00000000">
      <w:pPr>
        <w:pStyle w:val="3"/>
        <w:numPr>
          <w:ilvl w:val="0"/>
          <w:numId w:val="10"/>
        </w:numPr>
        <w:rPr>
          <w:szCs w:val="21"/>
        </w:rPr>
      </w:pPr>
      <w:bookmarkStart w:id="79" w:name="_Hlk41835841"/>
      <w:bookmarkStart w:id="80" w:name="_Hlk533435074"/>
      <w:bookmarkStart w:id="81" w:name="_Hlk533667031"/>
      <w:bookmarkStart w:id="82" w:name="_Hlk41836274"/>
      <w:bookmarkStart w:id="83" w:name="_Hlk41835872"/>
      <w:bookmarkStart w:id="84" w:name="_Hlk533433706"/>
      <w:bookmarkStart w:id="85" w:name="_Hlk533435176"/>
      <w:bookmarkStart w:id="86" w:name="_Hlk533435027"/>
      <w:bookmarkStart w:id="87" w:name="_Hlk533435360"/>
      <w:bookmarkStart w:id="88" w:name="_Hlk533434947"/>
      <w:bookmarkStart w:id="89" w:name="_Hlk533666837"/>
      <w:bookmarkStart w:id="90" w:name="_Hlk533436182"/>
      <w:bookmarkStart w:id="91" w:name="_Hlk533435130"/>
      <w:bookmarkStart w:id="92" w:name="_Hlk533666971"/>
      <w:bookmarkStart w:id="93" w:name="_Hlk533435467"/>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Fonts w:hint="eastAsia"/>
          <w:szCs w:val="21"/>
        </w:rPr>
        <w:lastRenderedPageBreak/>
        <w:t>投资状况分析</w:t>
      </w:r>
    </w:p>
    <w:p w14:paraId="4AE836EC" w14:textId="77777777" w:rsidR="005E000F" w:rsidRDefault="00000000">
      <w:pPr>
        <w:rPr>
          <w:b/>
          <w:bCs/>
        </w:rPr>
      </w:pPr>
      <w:r>
        <w:rPr>
          <w:b/>
          <w:bCs/>
        </w:rPr>
        <w:t>对外股权投资总体分析</w:t>
      </w:r>
    </w:p>
    <w:sdt>
      <w:sdtPr>
        <w:alias w:val="是否适用：对外股权投资总体分析[双击切换]"/>
        <w:tag w:val="_GBC_cfb706fadf2c47bbbaf1bf90c054ccaf"/>
        <w:id w:val="-651448915"/>
        <w:placeholder>
          <w:docPart w:val="GBC22222222222222222222222222222"/>
        </w:placeholder>
      </w:sdtPr>
      <w:sdtContent>
        <w:p w14:paraId="498FDAB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对外股权投资总体分析"/>
        <w:tag w:val="_GBC_fe6d59343f314ea694416d2e9d0fcf01"/>
        <w:id w:val="1004247609"/>
        <w:placeholder>
          <w:docPart w:val="GBC22222222222222222222222222222"/>
        </w:placeholder>
      </w:sdtPr>
      <w:sdtContent>
        <w:p w14:paraId="2EC6C233" w14:textId="77777777" w:rsidR="005E000F" w:rsidRDefault="00000000">
          <w:pPr>
            <w:spacing w:line="360" w:lineRule="auto"/>
            <w:ind w:firstLineChars="200" w:firstLine="420"/>
          </w:pPr>
          <w:r>
            <w:rPr>
              <w:rFonts w:hint="eastAsia"/>
            </w:rPr>
            <w:t>报告期内，公司未进行股票、权证、可转换债券等证券投资。</w:t>
          </w:r>
        </w:p>
        <w:p w14:paraId="1A14F3F3" w14:textId="77777777" w:rsidR="005E000F" w:rsidRDefault="00000000">
          <w:pPr>
            <w:spacing w:line="360" w:lineRule="auto"/>
            <w:ind w:firstLineChars="200" w:firstLine="420"/>
          </w:pPr>
          <w:r>
            <w:rPr>
              <w:rFonts w:hint="eastAsia"/>
            </w:rPr>
            <w:t>报告期内，公司持有</w:t>
          </w:r>
          <w:r>
            <w:rPr>
              <w:rFonts w:hint="eastAsia"/>
            </w:rPr>
            <w:t>A+H</w:t>
          </w:r>
          <w:r>
            <w:rPr>
              <w:rFonts w:hint="eastAsia"/>
            </w:rPr>
            <w:t>上市公司——秦港股份（股票代码：</w:t>
          </w:r>
          <w:r>
            <w:rPr>
              <w:rFonts w:hint="eastAsia"/>
            </w:rPr>
            <w:t>03369.HK</w:t>
          </w:r>
          <w:r>
            <w:rPr>
              <w:rFonts w:hint="eastAsia"/>
            </w:rPr>
            <w:t>、</w:t>
          </w:r>
          <w:r>
            <w:rPr>
              <w:rFonts w:hint="eastAsia"/>
            </w:rPr>
            <w:t>601326.SH</w:t>
          </w:r>
          <w:r>
            <w:rPr>
              <w:rFonts w:hint="eastAsia"/>
            </w:rPr>
            <w:t>）</w:t>
          </w:r>
          <w:r>
            <w:rPr>
              <w:rFonts w:hint="eastAsia"/>
            </w:rPr>
            <w:t>0.77%</w:t>
          </w:r>
          <w:r>
            <w:rPr>
              <w:rFonts w:hint="eastAsia"/>
            </w:rPr>
            <w:t>的股份，未持有非上市金融企业股权。其中，秦港股份于</w:t>
          </w:r>
          <w:r>
            <w:rPr>
              <w:rFonts w:hint="eastAsia"/>
            </w:rPr>
            <w:t>2013</w:t>
          </w:r>
          <w:r>
            <w:rPr>
              <w:rFonts w:hint="eastAsia"/>
            </w:rPr>
            <w:t>年</w:t>
          </w:r>
          <w:r>
            <w:rPr>
              <w:rFonts w:hint="eastAsia"/>
            </w:rPr>
            <w:t>12</w:t>
          </w:r>
          <w:r>
            <w:rPr>
              <w:rFonts w:hint="eastAsia"/>
            </w:rPr>
            <w:t>月首次公开发行境外上市外资股（</w:t>
          </w:r>
          <w:r>
            <w:rPr>
              <w:rFonts w:hint="eastAsia"/>
            </w:rPr>
            <w:t>H</w:t>
          </w:r>
          <w:r>
            <w:rPr>
              <w:rFonts w:hint="eastAsia"/>
            </w:rPr>
            <w:t>股）并在香港联合交易所有限公司主板上市，于</w:t>
          </w:r>
          <w:r>
            <w:rPr>
              <w:rFonts w:hint="eastAsia"/>
            </w:rPr>
            <w:t>2017</w:t>
          </w:r>
          <w:r>
            <w:rPr>
              <w:rFonts w:hint="eastAsia"/>
            </w:rPr>
            <w:t>年</w:t>
          </w:r>
          <w:r>
            <w:rPr>
              <w:rFonts w:hint="eastAsia"/>
            </w:rPr>
            <w:t>8</w:t>
          </w:r>
          <w:r>
            <w:rPr>
              <w:rFonts w:hint="eastAsia"/>
            </w:rPr>
            <w:t>月首次公开发行</w:t>
          </w:r>
          <w:r>
            <w:rPr>
              <w:rFonts w:hint="eastAsia"/>
            </w:rPr>
            <w:t>A</w:t>
          </w:r>
          <w:r>
            <w:rPr>
              <w:rFonts w:hint="eastAsia"/>
            </w:rPr>
            <w:t>股并在上海证券交易所主板上市。</w:t>
          </w:r>
        </w:p>
        <w:p w14:paraId="30DF6774" w14:textId="77777777" w:rsidR="005E000F" w:rsidRDefault="00000000">
          <w:pPr>
            <w:spacing w:line="360" w:lineRule="auto"/>
            <w:ind w:firstLineChars="200" w:firstLine="420"/>
          </w:pPr>
          <w:r>
            <w:rPr>
              <w:rFonts w:hint="eastAsia"/>
            </w:rPr>
            <w:t>有关报告期内公司对外股权投资详细情况，已载于财务报表附注七（</w:t>
          </w:r>
          <w:r>
            <w:rPr>
              <w:rFonts w:hint="eastAsia"/>
            </w:rPr>
            <w:t>17</w:t>
          </w:r>
          <w:r>
            <w:rPr>
              <w:rFonts w:hint="eastAsia"/>
            </w:rPr>
            <w:t>）、附注九。</w:t>
          </w:r>
        </w:p>
      </w:sdtContent>
    </w:sdt>
    <w:p w14:paraId="05908D22" w14:textId="77777777" w:rsidR="005E000F" w:rsidRDefault="00000000">
      <w:pPr>
        <w:pStyle w:val="4"/>
        <w:numPr>
          <w:ilvl w:val="0"/>
          <w:numId w:val="16"/>
        </w:numPr>
      </w:pPr>
      <w:r>
        <w:rPr>
          <w:rFonts w:hint="eastAsia"/>
        </w:rPr>
        <w:t>重大的股权投资</w:t>
      </w:r>
    </w:p>
    <w:sdt>
      <w:sdtPr>
        <w:rPr>
          <w:rFonts w:hint="eastAsia"/>
        </w:rPr>
        <w:alias w:val="是否适用：重大的股权投资[双击切换]"/>
        <w:tag w:val="_GBC_b20506918d854c13b13a3b89dd84c7d3"/>
        <w:id w:val="-431275398"/>
        <w:placeholder>
          <w:docPart w:val="GBC22222222222222222222222222222"/>
        </w:placeholder>
      </w:sdtPr>
      <w:sdtContent>
        <w:p w14:paraId="1583097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F0F42AB" w14:textId="77777777" w:rsidR="005E000F" w:rsidRDefault="00000000">
      <w:pPr>
        <w:pStyle w:val="4"/>
        <w:numPr>
          <w:ilvl w:val="0"/>
          <w:numId w:val="16"/>
        </w:numPr>
        <w:rPr>
          <w:rFonts w:ascii="宋体" w:hAnsi="宋体" w:cs="宋体"/>
          <w:kern w:val="0"/>
        </w:rPr>
      </w:pPr>
      <w:r>
        <w:rPr>
          <w:rFonts w:ascii="宋体" w:hAnsi="宋体" w:cs="宋体" w:hint="eastAsia"/>
          <w:kern w:val="0"/>
        </w:rPr>
        <w:t>重大的非股权投资</w:t>
      </w:r>
    </w:p>
    <w:sdt>
      <w:sdtPr>
        <w:rPr>
          <w:rFonts w:hint="eastAsia"/>
        </w:rPr>
        <w:alias w:val="是否适用：重大的非股权投资[双击切换]"/>
        <w:tag w:val="_GBC_fbd46075a5b9414d9e28cd2404e5d47c"/>
        <w:id w:val="1475866370"/>
        <w:placeholder>
          <w:docPart w:val="GBC22222222222222222222222222222"/>
        </w:placeholder>
      </w:sdtPr>
      <w:sdtContent>
        <w:p w14:paraId="677D808C"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重大的非股权投资情况"/>
        <w:tag w:val="_GBC_2651ef7cc4f4470bbde49f05abd8e4df"/>
        <w:id w:val="-1832055008"/>
        <w:placeholder>
          <w:docPart w:val="GBC22222222222222222222222222222"/>
        </w:placeholder>
      </w:sdtPr>
      <w:sdtContent>
        <w:p w14:paraId="54B96050" w14:textId="77777777" w:rsidR="005E000F" w:rsidRDefault="00000000">
          <w:pPr>
            <w:spacing w:line="360" w:lineRule="auto"/>
            <w:ind w:firstLineChars="200" w:firstLine="420"/>
          </w:pPr>
          <w:r>
            <w:rPr>
              <w:rFonts w:hint="eastAsia"/>
            </w:rPr>
            <w:t>公司于</w:t>
          </w:r>
          <w:r>
            <w:rPr>
              <w:rFonts w:hint="eastAsia"/>
            </w:rPr>
            <w:t>2020</w:t>
          </w:r>
          <w:r>
            <w:rPr>
              <w:rFonts w:hint="eastAsia"/>
            </w:rPr>
            <w:t>年</w:t>
          </w:r>
          <w:r>
            <w:rPr>
              <w:rFonts w:hint="eastAsia"/>
            </w:rPr>
            <w:t>4</w:t>
          </w:r>
          <w:r>
            <w:rPr>
              <w:rFonts w:hint="eastAsia"/>
            </w:rPr>
            <w:t>月</w:t>
          </w:r>
          <w:r>
            <w:rPr>
              <w:rFonts w:hint="eastAsia"/>
            </w:rPr>
            <w:t>27</w:t>
          </w:r>
          <w:r>
            <w:rPr>
              <w:rFonts w:hint="eastAsia"/>
            </w:rPr>
            <w:t>日召开的五届十七次董事会、于</w:t>
          </w:r>
          <w:r>
            <w:rPr>
              <w:rFonts w:hint="eastAsia"/>
            </w:rPr>
            <w:t>2020</w:t>
          </w:r>
          <w:r>
            <w:rPr>
              <w:rFonts w:hint="eastAsia"/>
            </w:rPr>
            <w:t>年</w:t>
          </w:r>
          <w:r>
            <w:rPr>
              <w:rFonts w:hint="eastAsia"/>
            </w:rPr>
            <w:t>5</w:t>
          </w:r>
          <w:r>
            <w:rPr>
              <w:rFonts w:hint="eastAsia"/>
            </w:rPr>
            <w:t>月</w:t>
          </w:r>
          <w:r>
            <w:rPr>
              <w:rFonts w:hint="eastAsia"/>
            </w:rPr>
            <w:t>26</w:t>
          </w:r>
          <w:r>
            <w:rPr>
              <w:rFonts w:hint="eastAsia"/>
            </w:rPr>
            <w:t>日召开的</w:t>
          </w:r>
          <w:r>
            <w:rPr>
              <w:rFonts w:hint="eastAsia"/>
            </w:rPr>
            <w:t>2019</w:t>
          </w:r>
          <w:r>
            <w:rPr>
              <w:rFonts w:hint="eastAsia"/>
            </w:rPr>
            <w:t>年年度股东大会，审议通过了《关于公司公开发行可转换公司债券方案的议案》《关于公司公开发行可转换公司债券募集资金用于收购中国铁路太原局集团有限公司国有授权经营土地使用权涉及关联交易暨签署附生效条件的</w:t>
          </w:r>
          <w:r>
            <w:rPr>
              <w:rFonts w:hint="eastAsia"/>
            </w:rPr>
            <w:t>&lt;</w:t>
          </w:r>
          <w:r>
            <w:rPr>
              <w:rFonts w:hint="eastAsia"/>
            </w:rPr>
            <w:t>国有授权经营土地使用权转让协议</w:t>
          </w:r>
          <w:r>
            <w:rPr>
              <w:rFonts w:hint="eastAsia"/>
            </w:rPr>
            <w:t>&gt;</w:t>
          </w:r>
          <w:r>
            <w:rPr>
              <w:rFonts w:hint="eastAsia"/>
            </w:rPr>
            <w:t>的议案》等议案。决定公开发行不超过</w:t>
          </w:r>
          <w:r>
            <w:rPr>
              <w:rFonts w:hint="eastAsia"/>
            </w:rPr>
            <w:t>320</w:t>
          </w:r>
          <w:r>
            <w:rPr>
              <w:rFonts w:hint="eastAsia"/>
            </w:rPr>
            <w:t>亿元（含</w:t>
          </w:r>
          <w:r>
            <w:rPr>
              <w:rFonts w:hint="eastAsia"/>
            </w:rPr>
            <w:t>320</w:t>
          </w:r>
          <w:r>
            <w:rPr>
              <w:rFonts w:hint="eastAsia"/>
            </w:rPr>
            <w:t>亿元）可转换公司债</w:t>
          </w:r>
          <w:proofErr w:type="gramStart"/>
          <w:r>
            <w:rPr>
              <w:rFonts w:hint="eastAsia"/>
            </w:rPr>
            <w:t>券</w:t>
          </w:r>
          <w:proofErr w:type="gramEnd"/>
          <w:r>
            <w:rPr>
              <w:rFonts w:hint="eastAsia"/>
            </w:rPr>
            <w:t>，募集资金部分用于收购太原</w:t>
          </w:r>
          <w:proofErr w:type="gramStart"/>
          <w:r>
            <w:rPr>
              <w:rFonts w:hint="eastAsia"/>
            </w:rPr>
            <w:t>局集团</w:t>
          </w:r>
          <w:proofErr w:type="gramEnd"/>
          <w:r>
            <w:rPr>
              <w:rFonts w:hint="eastAsia"/>
            </w:rPr>
            <w:t>国有授权经营土地使用权。</w:t>
          </w:r>
        </w:p>
        <w:p w14:paraId="66B0B4A7" w14:textId="77777777" w:rsidR="005E000F" w:rsidRDefault="00000000">
          <w:pPr>
            <w:spacing w:line="360" w:lineRule="auto"/>
            <w:ind w:firstLineChars="200" w:firstLine="420"/>
          </w:pPr>
          <w:r>
            <w:rPr>
              <w:rFonts w:hint="eastAsia"/>
            </w:rPr>
            <w:t>2020</w:t>
          </w:r>
          <w:r>
            <w:rPr>
              <w:rFonts w:hint="eastAsia"/>
            </w:rPr>
            <w:t>年</w:t>
          </w:r>
          <w:r>
            <w:rPr>
              <w:rFonts w:hint="eastAsia"/>
            </w:rPr>
            <w:t>4</w:t>
          </w:r>
          <w:r>
            <w:rPr>
              <w:rFonts w:hint="eastAsia"/>
            </w:rPr>
            <w:t>月</w:t>
          </w:r>
          <w:r>
            <w:rPr>
              <w:rFonts w:hint="eastAsia"/>
            </w:rPr>
            <w:t>27</w:t>
          </w:r>
          <w:r>
            <w:rPr>
              <w:rFonts w:hint="eastAsia"/>
            </w:rPr>
            <w:t>日，公司与太原</w:t>
          </w:r>
          <w:proofErr w:type="gramStart"/>
          <w:r>
            <w:rPr>
              <w:rFonts w:hint="eastAsia"/>
            </w:rPr>
            <w:t>局集团</w:t>
          </w:r>
          <w:proofErr w:type="gramEnd"/>
          <w:r>
            <w:rPr>
              <w:rFonts w:hint="eastAsia"/>
            </w:rPr>
            <w:t>签署附生效条件的《国有授权经营土地使用权转让协议》，对交易方式与交易价格、过渡期间安排等事项进行了约定。</w:t>
          </w:r>
          <w:r>
            <w:rPr>
              <w:rFonts w:hint="eastAsia"/>
            </w:rPr>
            <w:t>2020</w:t>
          </w:r>
          <w:r>
            <w:rPr>
              <w:rFonts w:hint="eastAsia"/>
            </w:rPr>
            <w:t>年</w:t>
          </w:r>
          <w:r>
            <w:rPr>
              <w:rFonts w:hint="eastAsia"/>
            </w:rPr>
            <w:t>12</w:t>
          </w:r>
          <w:r>
            <w:rPr>
              <w:rFonts w:hint="eastAsia"/>
            </w:rPr>
            <w:t>月</w:t>
          </w:r>
          <w:r>
            <w:rPr>
              <w:rFonts w:hint="eastAsia"/>
            </w:rPr>
            <w:t>18</w:t>
          </w:r>
          <w:r>
            <w:rPr>
              <w:rFonts w:hint="eastAsia"/>
            </w:rPr>
            <w:t>日，公司完成</w:t>
          </w:r>
          <w:r>
            <w:rPr>
              <w:rFonts w:hint="eastAsia"/>
            </w:rPr>
            <w:t>A</w:t>
          </w:r>
          <w:r>
            <w:rPr>
              <w:rFonts w:hint="eastAsia"/>
            </w:rPr>
            <w:t>股可转换公司债</w:t>
          </w:r>
          <w:proofErr w:type="gramStart"/>
          <w:r>
            <w:rPr>
              <w:rFonts w:hint="eastAsia"/>
            </w:rPr>
            <w:t>券</w:t>
          </w:r>
          <w:proofErr w:type="gramEnd"/>
          <w:r>
            <w:rPr>
              <w:rFonts w:hint="eastAsia"/>
            </w:rPr>
            <w:t>发行工作，募集资金</w:t>
          </w:r>
          <w:r>
            <w:rPr>
              <w:rFonts w:hint="eastAsia"/>
            </w:rPr>
            <w:t>320</w:t>
          </w:r>
          <w:r>
            <w:rPr>
              <w:rFonts w:hint="eastAsia"/>
            </w:rPr>
            <w:t>亿元。</w:t>
          </w:r>
        </w:p>
        <w:p w14:paraId="240F5179" w14:textId="77777777" w:rsidR="005E000F" w:rsidRDefault="00000000">
          <w:pPr>
            <w:spacing w:line="360" w:lineRule="auto"/>
            <w:ind w:firstLineChars="200" w:firstLine="420"/>
          </w:pPr>
          <w:r>
            <w:rPr>
              <w:rFonts w:hint="eastAsia"/>
            </w:rPr>
            <w:t>经充分协商，公司与太原局集团公司于</w:t>
          </w:r>
          <w:r>
            <w:rPr>
              <w:rFonts w:hint="eastAsia"/>
            </w:rPr>
            <w:t>2025</w:t>
          </w:r>
          <w:r>
            <w:rPr>
              <w:rFonts w:hint="eastAsia"/>
            </w:rPr>
            <w:t>年</w:t>
          </w:r>
          <w:r>
            <w:rPr>
              <w:rFonts w:hint="eastAsia"/>
            </w:rPr>
            <w:t>8</w:t>
          </w:r>
          <w:r>
            <w:rPr>
              <w:rFonts w:hint="eastAsia"/>
            </w:rPr>
            <w:t>月就推进完成可转换债券土地</w:t>
          </w:r>
          <w:proofErr w:type="gramStart"/>
          <w:r>
            <w:rPr>
              <w:rFonts w:hint="eastAsia"/>
            </w:rPr>
            <w:t>募投项目</w:t>
          </w:r>
          <w:proofErr w:type="gramEnd"/>
          <w:r>
            <w:rPr>
              <w:rFonts w:hint="eastAsia"/>
            </w:rPr>
            <w:t>资产交割工作达成一致。鉴于土地</w:t>
          </w:r>
          <w:proofErr w:type="gramStart"/>
          <w:r>
            <w:rPr>
              <w:rFonts w:hint="eastAsia"/>
            </w:rPr>
            <w:t>募投项目</w:t>
          </w:r>
          <w:proofErr w:type="gramEnd"/>
          <w:r>
            <w:rPr>
              <w:rFonts w:hint="eastAsia"/>
            </w:rPr>
            <w:t>涉及土地分证合证、规划调整等事项，纳入收购范围且具备交割条件的土地宗数、面积、价款等发生变化。公司与太原局集团公司重新签订了《国有授权经营土地使用权转让协议》。</w:t>
          </w:r>
        </w:p>
        <w:p w14:paraId="7AB54A86" w14:textId="77777777" w:rsidR="005E000F" w:rsidRDefault="00000000">
          <w:pPr>
            <w:spacing w:line="360" w:lineRule="auto"/>
            <w:ind w:firstLineChars="200" w:firstLine="420"/>
          </w:pPr>
          <w:r>
            <w:rPr>
              <w:rFonts w:hint="eastAsia"/>
            </w:rPr>
            <w:lastRenderedPageBreak/>
            <w:t>北京中企</w:t>
          </w:r>
          <w:proofErr w:type="gramStart"/>
          <w:r>
            <w:rPr>
              <w:rFonts w:hint="eastAsia"/>
            </w:rPr>
            <w:t>华资产</w:t>
          </w:r>
          <w:proofErr w:type="gramEnd"/>
          <w:r>
            <w:rPr>
              <w:rFonts w:hint="eastAsia"/>
            </w:rPr>
            <w:t>评估有限责任公司对纳入收购范围具备交割条件的土地进行了重新评估，出具了《大秦铁路股份有限公司拟收购中国铁路太原局集团有限公司持有的</w:t>
          </w:r>
          <w:r>
            <w:rPr>
              <w:rFonts w:hint="eastAsia"/>
            </w:rPr>
            <w:t>788</w:t>
          </w:r>
          <w:r>
            <w:rPr>
              <w:rFonts w:hint="eastAsia"/>
            </w:rPr>
            <w:t>宗授权经营土地使用权项目资产评估报告》﹝中企华评报字（</w:t>
          </w:r>
          <w:r>
            <w:rPr>
              <w:rFonts w:hint="eastAsia"/>
            </w:rPr>
            <w:t>2025</w:t>
          </w:r>
          <w:r>
            <w:rPr>
              <w:rFonts w:hint="eastAsia"/>
            </w:rPr>
            <w:t>）第</w:t>
          </w:r>
          <w:r>
            <w:rPr>
              <w:rFonts w:hint="eastAsia"/>
            </w:rPr>
            <w:t xml:space="preserve">6077 </w:t>
          </w:r>
          <w:r>
            <w:rPr>
              <w:rFonts w:hint="eastAsia"/>
            </w:rPr>
            <w:t>号﹞。经双方共同确认，由太原局集团公司转让并交割的土地宗数为</w:t>
          </w:r>
          <w:r>
            <w:rPr>
              <w:rFonts w:hint="eastAsia"/>
            </w:rPr>
            <w:t>788</w:t>
          </w:r>
          <w:r>
            <w:rPr>
              <w:rFonts w:hint="eastAsia"/>
            </w:rPr>
            <w:t>宗，面积为</w:t>
          </w:r>
          <w:r>
            <w:rPr>
              <w:rFonts w:hint="eastAsia"/>
            </w:rPr>
            <w:t>8603.94</w:t>
          </w:r>
          <w:r>
            <w:rPr>
              <w:rFonts w:hint="eastAsia"/>
            </w:rPr>
            <w:t>万平方米，评估价值为</w:t>
          </w:r>
          <w:r>
            <w:rPr>
              <w:rFonts w:hint="eastAsia"/>
            </w:rPr>
            <w:t>2,357,792.64</w:t>
          </w:r>
          <w:r>
            <w:rPr>
              <w:rFonts w:hint="eastAsia"/>
            </w:rPr>
            <w:t>万元。增值税</w:t>
          </w:r>
          <w:r>
            <w:rPr>
              <w:rFonts w:hint="eastAsia"/>
            </w:rPr>
            <w:t xml:space="preserve">212,201.34 </w:t>
          </w:r>
          <w:r>
            <w:rPr>
              <w:rFonts w:hint="eastAsia"/>
            </w:rPr>
            <w:t>万元，交易总价款（含税）为</w:t>
          </w:r>
          <w:r>
            <w:rPr>
              <w:rFonts w:hint="eastAsia"/>
            </w:rPr>
            <w:t>2,569,993.98</w:t>
          </w:r>
          <w:r>
            <w:rPr>
              <w:rFonts w:hint="eastAsia"/>
            </w:rPr>
            <w:t>万元。剩余不具备交割条件的土地由公司向太原局集团公司租赁。</w:t>
          </w:r>
        </w:p>
        <w:p w14:paraId="17F8E008" w14:textId="77777777" w:rsidR="005E000F" w:rsidRDefault="00000000">
          <w:pPr>
            <w:spacing w:line="360" w:lineRule="auto"/>
            <w:ind w:firstLineChars="200" w:firstLine="420"/>
          </w:pPr>
          <w:r>
            <w:rPr>
              <w:rFonts w:hint="eastAsia"/>
            </w:rPr>
            <w:t>该事项经第七届董事会第十三次会议、</w:t>
          </w:r>
          <w:r>
            <w:rPr>
              <w:rFonts w:hint="eastAsia"/>
            </w:rPr>
            <w:t>2025</w:t>
          </w:r>
          <w:r>
            <w:rPr>
              <w:rFonts w:hint="eastAsia"/>
            </w:rPr>
            <w:t>年第一次临时股东会审议通过。公司于</w:t>
          </w:r>
          <w:r>
            <w:rPr>
              <w:rFonts w:hint="eastAsia"/>
            </w:rPr>
            <w:t>2025</w:t>
          </w:r>
          <w:r>
            <w:rPr>
              <w:rFonts w:hint="eastAsia"/>
            </w:rPr>
            <w:t>年</w:t>
          </w:r>
          <w:r>
            <w:rPr>
              <w:rFonts w:hint="eastAsia"/>
            </w:rPr>
            <w:t>10</w:t>
          </w:r>
          <w:r>
            <w:rPr>
              <w:rFonts w:hint="eastAsia"/>
            </w:rPr>
            <w:t>月</w:t>
          </w:r>
          <w:r>
            <w:rPr>
              <w:rFonts w:hint="eastAsia"/>
            </w:rPr>
            <w:t>9</w:t>
          </w:r>
          <w:r>
            <w:rPr>
              <w:rFonts w:hint="eastAsia"/>
            </w:rPr>
            <w:t>日支付“收购中国铁路太原局集团有限公司国有授权经营土地使用权”项目总价款，募集资金已按规定用途使用完毕。同时，根据</w:t>
          </w:r>
          <w:r>
            <w:rPr>
              <w:rFonts w:hint="eastAsia"/>
            </w:rPr>
            <w:t>2025</w:t>
          </w:r>
          <w:r>
            <w:rPr>
              <w:rFonts w:hint="eastAsia"/>
            </w:rPr>
            <w:t>年第一次临时股东会决议，公司将募集资金专项账户中的节余募集资金</w:t>
          </w:r>
          <w:r>
            <w:rPr>
              <w:rFonts w:hint="eastAsia"/>
            </w:rPr>
            <w:t>517,130.58</w:t>
          </w:r>
          <w:r>
            <w:rPr>
              <w:rFonts w:hint="eastAsia"/>
            </w:rPr>
            <w:t>万元（含利息收入）全部转入公司自有资金账户用于永久性补充流动资金，办理了募集资金专项账户的销户手续。</w:t>
          </w:r>
        </w:p>
      </w:sdtContent>
    </w:sdt>
    <w:p w14:paraId="41B7555E" w14:textId="77777777" w:rsidR="005E000F" w:rsidRDefault="00000000">
      <w:pPr>
        <w:pStyle w:val="4"/>
        <w:numPr>
          <w:ilvl w:val="0"/>
          <w:numId w:val="16"/>
        </w:numPr>
        <w:rPr>
          <w:rFonts w:ascii="宋体" w:hAnsi="宋体" w:cs="宋体"/>
          <w:kern w:val="0"/>
        </w:rPr>
      </w:pPr>
      <w:bookmarkStart w:id="94" w:name="_Hlk40532846"/>
      <w:r>
        <w:rPr>
          <w:rFonts w:ascii="宋体" w:hAnsi="宋体" w:cs="宋体" w:hint="eastAsia"/>
          <w:kern w:val="0"/>
        </w:rPr>
        <w:t>以公允价值计量的金融资产</w:t>
      </w:r>
    </w:p>
    <w:sdt>
      <w:sdtPr>
        <w:rPr>
          <w:rFonts w:hint="eastAsia"/>
        </w:rPr>
        <w:alias w:val="是否适用：以公允价值计量的金融资产[双击切换]"/>
        <w:tag w:val="_GBC_27fa42d1c8fd489d9e8648bed00ddd53"/>
        <w:id w:val="-2078342244"/>
        <w:placeholder>
          <w:docPart w:val="GBC22222222222222222222222222222"/>
        </w:placeholder>
      </w:sdtPr>
      <w:sdtContent>
        <w:p w14:paraId="3152D569"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1D1E3F3" w14:textId="77777777" w:rsidR="005E000F" w:rsidRDefault="00000000">
      <w:pPr>
        <w:pStyle w:val="14"/>
        <w:wordWrap w:val="0"/>
        <w:ind w:left="360" w:firstLineChars="0" w:firstLine="0"/>
        <w:jc w:val="right"/>
      </w:pPr>
      <w:r>
        <w:rPr>
          <w:rFonts w:hint="eastAsia"/>
        </w:rPr>
        <w:t>单位：</w:t>
      </w:r>
      <w:sdt>
        <w:sdtPr>
          <w:rPr>
            <w:rFonts w:hint="eastAsia"/>
          </w:rPr>
          <w:alias w:val="单位：以公允价值计量的金融资产"/>
          <w:tag w:val="_GBC_b2e3ce23c85c488ab3fa1ba1294ef546"/>
          <w:id w:val="-75043102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w:t>
      </w:r>
      <w:r>
        <w:rPr>
          <w:rFonts w:hint="eastAsia"/>
        </w:rPr>
        <w:t>币种：</w:t>
      </w:r>
      <w:sdt>
        <w:sdtPr>
          <w:rPr>
            <w:rFonts w:hint="eastAsia"/>
          </w:rPr>
          <w:alias w:val="币种：以公允价值计量的金融资产"/>
          <w:tag w:val="_GBC_77ed3303d22c48dc98ae781142db662c"/>
          <w:id w:val="19249945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6"/>
        <w:gridCol w:w="1555"/>
        <w:gridCol w:w="1556"/>
        <w:gridCol w:w="1555"/>
        <w:gridCol w:w="1556"/>
        <w:gridCol w:w="1555"/>
        <w:gridCol w:w="1556"/>
        <w:gridCol w:w="1556"/>
      </w:tblGrid>
      <w:tr w:rsidR="005E000F" w14:paraId="68F0298F" w14:textId="77777777">
        <w:sdt>
          <w:sdtPr>
            <w:tag w:val="_PLD_0c54b9fd583d4e649fc12d33a6f94086"/>
            <w:id w:val="-1367606387"/>
          </w:sdtPr>
          <w:sdtContent>
            <w:tc>
              <w:tcPr>
                <w:tcW w:w="1555" w:type="dxa"/>
                <w:vAlign w:val="center"/>
              </w:tcPr>
              <w:p w14:paraId="7C22D410" w14:textId="77777777" w:rsidR="005E000F" w:rsidRDefault="00000000">
                <w:pPr>
                  <w:widowControl w:val="0"/>
                  <w:jc w:val="center"/>
                </w:pPr>
                <w:r>
                  <w:rPr>
                    <w:rFonts w:hint="eastAsia"/>
                    <w:kern w:val="2"/>
                    <w:szCs w:val="22"/>
                  </w:rPr>
                  <w:t>资产类别</w:t>
                </w:r>
              </w:p>
            </w:tc>
          </w:sdtContent>
        </w:sdt>
        <w:sdt>
          <w:sdtPr>
            <w:tag w:val="_PLD_4b84ad0ddc154021b1b8d9a6bffa6c39"/>
            <w:id w:val="-1275869933"/>
          </w:sdtPr>
          <w:sdtContent>
            <w:tc>
              <w:tcPr>
                <w:tcW w:w="1556" w:type="dxa"/>
                <w:vAlign w:val="center"/>
              </w:tcPr>
              <w:p w14:paraId="5F2E7481" w14:textId="77777777" w:rsidR="005E000F" w:rsidRDefault="00000000">
                <w:pPr>
                  <w:widowControl w:val="0"/>
                  <w:jc w:val="center"/>
                </w:pPr>
                <w:r>
                  <w:rPr>
                    <w:rFonts w:hint="eastAsia"/>
                  </w:rPr>
                  <w:t>期初数</w:t>
                </w:r>
              </w:p>
            </w:tc>
          </w:sdtContent>
        </w:sdt>
        <w:sdt>
          <w:sdtPr>
            <w:tag w:val="_PLD_fa8919b699f843d2b03f2004a27810b6"/>
            <w:id w:val="-474759184"/>
          </w:sdtPr>
          <w:sdtContent>
            <w:tc>
              <w:tcPr>
                <w:tcW w:w="1555" w:type="dxa"/>
                <w:vAlign w:val="center"/>
              </w:tcPr>
              <w:p w14:paraId="14385B19" w14:textId="77777777" w:rsidR="005E000F" w:rsidRDefault="00000000">
                <w:pPr>
                  <w:widowControl w:val="0"/>
                  <w:jc w:val="center"/>
                  <w:rPr>
                    <w:b/>
                  </w:rPr>
                </w:pPr>
                <w:r>
                  <w:rPr>
                    <w:rFonts w:hint="eastAsia"/>
                  </w:rPr>
                  <w:t>本期公允价值变动损益</w:t>
                </w:r>
              </w:p>
            </w:tc>
          </w:sdtContent>
        </w:sdt>
        <w:sdt>
          <w:sdtPr>
            <w:tag w:val="_PLD_81fc9fd2b35c49e2bfd3b55b8724ae1d"/>
            <w:id w:val="-840692580"/>
          </w:sdtPr>
          <w:sdtContent>
            <w:tc>
              <w:tcPr>
                <w:tcW w:w="1556" w:type="dxa"/>
                <w:vAlign w:val="center"/>
              </w:tcPr>
              <w:p w14:paraId="510B8694" w14:textId="77777777" w:rsidR="005E000F" w:rsidRDefault="00000000">
                <w:pPr>
                  <w:widowControl w:val="0"/>
                  <w:jc w:val="center"/>
                </w:pPr>
                <w:r>
                  <w:rPr>
                    <w:rFonts w:hint="eastAsia"/>
                  </w:rPr>
                  <w:t>计入权益的累计公允价值变动</w:t>
                </w:r>
              </w:p>
            </w:tc>
          </w:sdtContent>
        </w:sdt>
        <w:sdt>
          <w:sdtPr>
            <w:tag w:val="_PLD_d6f12030ef654b5cad4265cc31977836"/>
            <w:id w:val="421304231"/>
          </w:sdtPr>
          <w:sdtContent>
            <w:tc>
              <w:tcPr>
                <w:tcW w:w="1555" w:type="dxa"/>
                <w:vAlign w:val="center"/>
              </w:tcPr>
              <w:p w14:paraId="4236B3F5" w14:textId="77777777" w:rsidR="005E000F" w:rsidRDefault="00000000">
                <w:pPr>
                  <w:widowControl w:val="0"/>
                  <w:jc w:val="center"/>
                </w:pPr>
                <w:r>
                  <w:rPr>
                    <w:rFonts w:hint="eastAsia"/>
                  </w:rPr>
                  <w:t>本期计提的减值</w:t>
                </w:r>
              </w:p>
            </w:tc>
          </w:sdtContent>
        </w:sdt>
        <w:sdt>
          <w:sdtPr>
            <w:tag w:val="_PLD_8693ec76f7f14d898c4b16665659ded9"/>
            <w:id w:val="798412155"/>
          </w:sdtPr>
          <w:sdtContent>
            <w:tc>
              <w:tcPr>
                <w:tcW w:w="1556" w:type="dxa"/>
                <w:vAlign w:val="center"/>
              </w:tcPr>
              <w:p w14:paraId="47A28FD3" w14:textId="77777777" w:rsidR="005E000F" w:rsidRDefault="00000000">
                <w:pPr>
                  <w:widowControl w:val="0"/>
                  <w:jc w:val="center"/>
                </w:pPr>
                <w:r>
                  <w:rPr>
                    <w:rFonts w:hint="eastAsia"/>
                  </w:rPr>
                  <w:t>本期购买金额</w:t>
                </w:r>
              </w:p>
            </w:tc>
          </w:sdtContent>
        </w:sdt>
        <w:sdt>
          <w:sdtPr>
            <w:tag w:val="_PLD_ba0671fda1cb4d8c8d3c1e5b16cc6e5a"/>
            <w:id w:val="1392613885"/>
          </w:sdtPr>
          <w:sdtContent>
            <w:tc>
              <w:tcPr>
                <w:tcW w:w="1555" w:type="dxa"/>
                <w:vAlign w:val="center"/>
              </w:tcPr>
              <w:p w14:paraId="427478FB" w14:textId="77777777" w:rsidR="005E000F" w:rsidRDefault="00000000">
                <w:pPr>
                  <w:widowControl w:val="0"/>
                  <w:jc w:val="center"/>
                </w:pPr>
                <w:r>
                  <w:rPr>
                    <w:rFonts w:hint="eastAsia"/>
                  </w:rPr>
                  <w:t>本期出售</w:t>
                </w:r>
                <w:r>
                  <w:rPr>
                    <w:rFonts w:hint="eastAsia"/>
                  </w:rPr>
                  <w:t>/</w:t>
                </w:r>
                <w:r>
                  <w:rPr>
                    <w:rFonts w:hint="eastAsia"/>
                  </w:rPr>
                  <w:t>赎回金额</w:t>
                </w:r>
              </w:p>
            </w:tc>
          </w:sdtContent>
        </w:sdt>
        <w:sdt>
          <w:sdtPr>
            <w:tag w:val="_PLD_50b7e7d4561f48f190f80d486d12a170"/>
            <w:id w:val="-774088713"/>
          </w:sdtPr>
          <w:sdtContent>
            <w:tc>
              <w:tcPr>
                <w:tcW w:w="1556" w:type="dxa"/>
                <w:vAlign w:val="center"/>
              </w:tcPr>
              <w:p w14:paraId="0951FB2C" w14:textId="77777777" w:rsidR="005E000F" w:rsidRDefault="00000000">
                <w:pPr>
                  <w:widowControl w:val="0"/>
                  <w:jc w:val="center"/>
                </w:pPr>
                <w:r>
                  <w:rPr>
                    <w:rFonts w:hint="eastAsia"/>
                  </w:rPr>
                  <w:t>其他变动</w:t>
                </w:r>
              </w:p>
            </w:tc>
          </w:sdtContent>
        </w:sdt>
        <w:sdt>
          <w:sdtPr>
            <w:tag w:val="_PLD_816d427a273240d9af67db4a5feee586"/>
            <w:id w:val="-75284593"/>
          </w:sdtPr>
          <w:sdtContent>
            <w:tc>
              <w:tcPr>
                <w:tcW w:w="1556" w:type="dxa"/>
                <w:vAlign w:val="center"/>
              </w:tcPr>
              <w:p w14:paraId="291D6D20" w14:textId="77777777" w:rsidR="005E000F" w:rsidRDefault="00000000">
                <w:pPr>
                  <w:widowControl w:val="0"/>
                  <w:jc w:val="center"/>
                </w:pPr>
                <w:r>
                  <w:rPr>
                    <w:rFonts w:hint="eastAsia"/>
                  </w:rPr>
                  <w:t>期末数</w:t>
                </w:r>
              </w:p>
            </w:tc>
          </w:sdtContent>
        </w:sdt>
      </w:tr>
      <w:tr w:rsidR="005E000F" w14:paraId="67CAB54C" w14:textId="77777777">
        <w:tc>
          <w:tcPr>
            <w:tcW w:w="1555" w:type="dxa"/>
            <w:vAlign w:val="center"/>
          </w:tcPr>
          <w:p w14:paraId="607730FC" w14:textId="77777777" w:rsidR="005E000F" w:rsidRDefault="00000000">
            <w:pPr>
              <w:widowControl w:val="0"/>
              <w:jc w:val="both"/>
            </w:pPr>
            <w:r>
              <w:rPr>
                <w:rStyle w:val="50"/>
                <w:b w:val="0"/>
                <w:bCs w:val="0"/>
                <w:spacing w:val="-11"/>
              </w:rPr>
              <w:t>所持秦港股份内资股股份</w:t>
            </w:r>
          </w:p>
        </w:tc>
        <w:tc>
          <w:tcPr>
            <w:tcW w:w="1556" w:type="dxa"/>
            <w:vAlign w:val="center"/>
          </w:tcPr>
          <w:p w14:paraId="579F0BD0" w14:textId="77777777" w:rsidR="005E000F" w:rsidRDefault="00000000">
            <w:pPr>
              <w:widowControl w:val="0"/>
              <w:jc w:val="right"/>
            </w:pPr>
            <w:r>
              <w:rPr>
                <w:color w:val="000000"/>
                <w:lang w:bidi="ar"/>
              </w:rPr>
              <w:t xml:space="preserve"> 14,321 </w:t>
            </w:r>
          </w:p>
        </w:tc>
        <w:tc>
          <w:tcPr>
            <w:tcW w:w="1555" w:type="dxa"/>
            <w:vAlign w:val="center"/>
          </w:tcPr>
          <w:p w14:paraId="0B95035B" w14:textId="77777777" w:rsidR="005E000F" w:rsidRDefault="00000000">
            <w:pPr>
              <w:widowControl w:val="0"/>
              <w:jc w:val="right"/>
            </w:pPr>
            <w:r>
              <w:rPr>
                <w:rStyle w:val="50"/>
                <w:rFonts w:hint="eastAsia"/>
                <w:b w:val="0"/>
                <w:bCs w:val="0"/>
              </w:rPr>
              <w:t>0</w:t>
            </w:r>
          </w:p>
        </w:tc>
        <w:tc>
          <w:tcPr>
            <w:tcW w:w="1556" w:type="dxa"/>
            <w:vAlign w:val="center"/>
          </w:tcPr>
          <w:p w14:paraId="6EAE76E6" w14:textId="77777777" w:rsidR="005E000F" w:rsidRDefault="00000000">
            <w:pPr>
              <w:widowControl w:val="0"/>
              <w:jc w:val="right"/>
            </w:pPr>
            <w:r>
              <w:rPr>
                <w:color w:val="000000"/>
                <w:lang w:bidi="ar"/>
              </w:rPr>
              <w:t xml:space="preserve"> 599 </w:t>
            </w:r>
          </w:p>
        </w:tc>
        <w:tc>
          <w:tcPr>
            <w:tcW w:w="1555" w:type="dxa"/>
            <w:vAlign w:val="center"/>
          </w:tcPr>
          <w:p w14:paraId="36144247" w14:textId="77777777" w:rsidR="005E000F" w:rsidRDefault="00000000">
            <w:pPr>
              <w:widowControl w:val="0"/>
              <w:jc w:val="right"/>
            </w:pPr>
            <w:r>
              <w:rPr>
                <w:rStyle w:val="50"/>
                <w:rFonts w:hint="eastAsia"/>
                <w:b w:val="0"/>
                <w:bCs w:val="0"/>
              </w:rPr>
              <w:t>0</w:t>
            </w:r>
          </w:p>
        </w:tc>
        <w:tc>
          <w:tcPr>
            <w:tcW w:w="1556" w:type="dxa"/>
            <w:vAlign w:val="center"/>
          </w:tcPr>
          <w:p w14:paraId="423F66D9" w14:textId="77777777" w:rsidR="005E000F" w:rsidRDefault="00000000">
            <w:pPr>
              <w:widowControl w:val="0"/>
              <w:jc w:val="right"/>
            </w:pPr>
            <w:r>
              <w:rPr>
                <w:rStyle w:val="50"/>
                <w:rFonts w:hint="eastAsia"/>
                <w:b w:val="0"/>
                <w:bCs w:val="0"/>
              </w:rPr>
              <w:t>0</w:t>
            </w:r>
          </w:p>
        </w:tc>
        <w:tc>
          <w:tcPr>
            <w:tcW w:w="1555" w:type="dxa"/>
            <w:vAlign w:val="center"/>
          </w:tcPr>
          <w:p w14:paraId="1559707F" w14:textId="77777777" w:rsidR="005E000F" w:rsidRDefault="00000000">
            <w:pPr>
              <w:widowControl w:val="0"/>
              <w:jc w:val="right"/>
            </w:pPr>
            <w:r>
              <w:rPr>
                <w:rStyle w:val="50"/>
                <w:rFonts w:hint="eastAsia"/>
                <w:b w:val="0"/>
                <w:bCs w:val="0"/>
              </w:rPr>
              <w:t>0</w:t>
            </w:r>
          </w:p>
        </w:tc>
        <w:tc>
          <w:tcPr>
            <w:tcW w:w="1556" w:type="dxa"/>
            <w:vAlign w:val="center"/>
          </w:tcPr>
          <w:p w14:paraId="233D6D90" w14:textId="77777777" w:rsidR="005E000F" w:rsidRDefault="00000000">
            <w:pPr>
              <w:widowControl w:val="0"/>
              <w:jc w:val="right"/>
            </w:pPr>
            <w:r>
              <w:rPr>
                <w:rStyle w:val="50"/>
                <w:rFonts w:hint="eastAsia"/>
                <w:b w:val="0"/>
                <w:bCs w:val="0"/>
              </w:rPr>
              <w:t>0</w:t>
            </w:r>
          </w:p>
        </w:tc>
        <w:tc>
          <w:tcPr>
            <w:tcW w:w="1556" w:type="dxa"/>
            <w:vAlign w:val="center"/>
          </w:tcPr>
          <w:p w14:paraId="06A0F459" w14:textId="77777777" w:rsidR="005E000F" w:rsidRDefault="00000000">
            <w:pPr>
              <w:widowControl w:val="0"/>
              <w:jc w:val="right"/>
            </w:pPr>
            <w:r>
              <w:rPr>
                <w:color w:val="000000"/>
                <w:lang w:bidi="ar"/>
              </w:rPr>
              <w:t xml:space="preserve"> 14,920 </w:t>
            </w:r>
          </w:p>
        </w:tc>
      </w:tr>
      <w:tr w:rsidR="005E000F" w14:paraId="161D1943" w14:textId="77777777">
        <w:tc>
          <w:tcPr>
            <w:tcW w:w="1555" w:type="dxa"/>
            <w:vAlign w:val="center"/>
          </w:tcPr>
          <w:p w14:paraId="669A22F0" w14:textId="77777777" w:rsidR="005E000F" w:rsidRDefault="00000000">
            <w:pPr>
              <w:widowControl w:val="0"/>
              <w:jc w:val="both"/>
            </w:pPr>
            <w:r>
              <w:rPr>
                <w:rStyle w:val="50"/>
                <w:b w:val="0"/>
                <w:bCs w:val="0"/>
              </w:rPr>
              <w:t>所持</w:t>
            </w:r>
            <w:proofErr w:type="gramStart"/>
            <w:r>
              <w:rPr>
                <w:rStyle w:val="50"/>
                <w:b w:val="0"/>
                <w:bCs w:val="0"/>
              </w:rPr>
              <w:t>太原国</w:t>
            </w:r>
            <w:proofErr w:type="gramEnd"/>
            <w:r>
              <w:rPr>
                <w:rStyle w:val="50"/>
                <w:b w:val="0"/>
                <w:bCs w:val="0"/>
              </w:rPr>
              <w:t>铁京丰装备技术股份有限公司股份</w:t>
            </w:r>
          </w:p>
        </w:tc>
        <w:tc>
          <w:tcPr>
            <w:tcW w:w="1556" w:type="dxa"/>
            <w:vAlign w:val="center"/>
          </w:tcPr>
          <w:p w14:paraId="423B3478" w14:textId="77777777" w:rsidR="005E000F" w:rsidRDefault="00000000">
            <w:pPr>
              <w:widowControl w:val="0"/>
              <w:jc w:val="right"/>
            </w:pPr>
            <w:r>
              <w:rPr>
                <w:color w:val="000000"/>
                <w:lang w:bidi="ar"/>
              </w:rPr>
              <w:t xml:space="preserve"> 9,155 </w:t>
            </w:r>
          </w:p>
        </w:tc>
        <w:tc>
          <w:tcPr>
            <w:tcW w:w="1555" w:type="dxa"/>
            <w:vAlign w:val="center"/>
          </w:tcPr>
          <w:p w14:paraId="7458ACEB" w14:textId="77777777" w:rsidR="005E000F" w:rsidRDefault="00000000">
            <w:pPr>
              <w:widowControl w:val="0"/>
              <w:jc w:val="right"/>
              <w:rPr>
                <w:b/>
                <w:bCs/>
              </w:rPr>
            </w:pPr>
            <w:r>
              <w:rPr>
                <w:rStyle w:val="50"/>
                <w:rFonts w:hint="eastAsia"/>
                <w:b w:val="0"/>
                <w:bCs w:val="0"/>
              </w:rPr>
              <w:t>0</w:t>
            </w:r>
          </w:p>
        </w:tc>
        <w:tc>
          <w:tcPr>
            <w:tcW w:w="1556" w:type="dxa"/>
            <w:vAlign w:val="center"/>
          </w:tcPr>
          <w:p w14:paraId="08EE9E99" w14:textId="77777777" w:rsidR="005E000F" w:rsidRDefault="00000000">
            <w:pPr>
              <w:widowControl w:val="0"/>
              <w:jc w:val="right"/>
              <w:rPr>
                <w:b/>
                <w:bCs/>
              </w:rPr>
            </w:pPr>
            <w:r>
              <w:rPr>
                <w:rStyle w:val="50"/>
                <w:rFonts w:hint="eastAsia"/>
                <w:b w:val="0"/>
                <w:bCs w:val="0"/>
              </w:rPr>
              <w:t>0</w:t>
            </w:r>
          </w:p>
        </w:tc>
        <w:tc>
          <w:tcPr>
            <w:tcW w:w="1555" w:type="dxa"/>
            <w:vAlign w:val="center"/>
          </w:tcPr>
          <w:p w14:paraId="4547045C" w14:textId="77777777" w:rsidR="005E000F" w:rsidRDefault="00000000">
            <w:pPr>
              <w:widowControl w:val="0"/>
              <w:jc w:val="right"/>
              <w:rPr>
                <w:b/>
                <w:bCs/>
              </w:rPr>
            </w:pPr>
            <w:r>
              <w:rPr>
                <w:rStyle w:val="50"/>
                <w:rFonts w:hint="eastAsia"/>
                <w:b w:val="0"/>
                <w:bCs w:val="0"/>
              </w:rPr>
              <w:t>0</w:t>
            </w:r>
          </w:p>
        </w:tc>
        <w:tc>
          <w:tcPr>
            <w:tcW w:w="1556" w:type="dxa"/>
            <w:vAlign w:val="center"/>
          </w:tcPr>
          <w:p w14:paraId="507F20C7" w14:textId="77777777" w:rsidR="005E000F" w:rsidRDefault="00000000">
            <w:pPr>
              <w:widowControl w:val="0"/>
              <w:jc w:val="right"/>
              <w:rPr>
                <w:b/>
                <w:bCs/>
              </w:rPr>
            </w:pPr>
            <w:r>
              <w:rPr>
                <w:rStyle w:val="50"/>
                <w:rFonts w:hint="eastAsia"/>
                <w:b w:val="0"/>
                <w:bCs w:val="0"/>
              </w:rPr>
              <w:t>0</w:t>
            </w:r>
          </w:p>
        </w:tc>
        <w:tc>
          <w:tcPr>
            <w:tcW w:w="1555" w:type="dxa"/>
            <w:vAlign w:val="center"/>
          </w:tcPr>
          <w:p w14:paraId="38194697" w14:textId="77777777" w:rsidR="005E000F" w:rsidRDefault="00000000">
            <w:pPr>
              <w:widowControl w:val="0"/>
              <w:jc w:val="right"/>
              <w:rPr>
                <w:b/>
                <w:bCs/>
              </w:rPr>
            </w:pPr>
            <w:r>
              <w:rPr>
                <w:rStyle w:val="50"/>
                <w:rFonts w:hint="eastAsia"/>
                <w:b w:val="0"/>
                <w:bCs w:val="0"/>
              </w:rPr>
              <w:t>0</w:t>
            </w:r>
          </w:p>
        </w:tc>
        <w:tc>
          <w:tcPr>
            <w:tcW w:w="1556" w:type="dxa"/>
            <w:vAlign w:val="center"/>
          </w:tcPr>
          <w:p w14:paraId="3CB5CF98" w14:textId="77777777" w:rsidR="005E000F" w:rsidRDefault="00000000">
            <w:pPr>
              <w:widowControl w:val="0"/>
              <w:jc w:val="right"/>
              <w:rPr>
                <w:b/>
                <w:bCs/>
              </w:rPr>
            </w:pPr>
            <w:r>
              <w:rPr>
                <w:rStyle w:val="50"/>
                <w:rFonts w:hint="eastAsia"/>
                <w:b w:val="0"/>
                <w:bCs w:val="0"/>
              </w:rPr>
              <w:t>0</w:t>
            </w:r>
          </w:p>
        </w:tc>
        <w:tc>
          <w:tcPr>
            <w:tcW w:w="1556" w:type="dxa"/>
            <w:vAlign w:val="center"/>
          </w:tcPr>
          <w:p w14:paraId="25E9D1A9" w14:textId="77777777" w:rsidR="005E000F" w:rsidRDefault="00000000">
            <w:pPr>
              <w:widowControl w:val="0"/>
              <w:jc w:val="right"/>
            </w:pPr>
            <w:r>
              <w:rPr>
                <w:color w:val="000000"/>
                <w:lang w:bidi="ar"/>
              </w:rPr>
              <w:t xml:space="preserve"> 9,155 </w:t>
            </w:r>
          </w:p>
        </w:tc>
      </w:tr>
      <w:tr w:rsidR="005E000F" w14:paraId="087E7C5F" w14:textId="77777777">
        <w:tc>
          <w:tcPr>
            <w:tcW w:w="1555" w:type="dxa"/>
            <w:vAlign w:val="center"/>
          </w:tcPr>
          <w:p w14:paraId="755EE326" w14:textId="77777777" w:rsidR="005E000F" w:rsidRDefault="00000000">
            <w:pPr>
              <w:widowControl w:val="0"/>
              <w:jc w:val="center"/>
            </w:pPr>
            <w:r>
              <w:t>合计</w:t>
            </w:r>
          </w:p>
        </w:tc>
        <w:tc>
          <w:tcPr>
            <w:tcW w:w="1556" w:type="dxa"/>
            <w:vAlign w:val="center"/>
          </w:tcPr>
          <w:p w14:paraId="543D1167" w14:textId="77777777" w:rsidR="005E000F" w:rsidRDefault="00000000">
            <w:pPr>
              <w:widowControl w:val="0"/>
              <w:jc w:val="right"/>
            </w:pPr>
            <w:r>
              <w:t>23,476</w:t>
            </w:r>
          </w:p>
        </w:tc>
        <w:tc>
          <w:tcPr>
            <w:tcW w:w="1555" w:type="dxa"/>
            <w:vAlign w:val="center"/>
          </w:tcPr>
          <w:p w14:paraId="45D18C23" w14:textId="77777777" w:rsidR="005E000F" w:rsidRDefault="00000000">
            <w:pPr>
              <w:widowControl w:val="0"/>
              <w:jc w:val="right"/>
            </w:pPr>
            <w:r>
              <w:t>0</w:t>
            </w:r>
          </w:p>
        </w:tc>
        <w:tc>
          <w:tcPr>
            <w:tcW w:w="1556" w:type="dxa"/>
            <w:vAlign w:val="center"/>
          </w:tcPr>
          <w:p w14:paraId="12F9EDE3" w14:textId="77777777" w:rsidR="005E000F" w:rsidRDefault="00000000">
            <w:pPr>
              <w:widowControl w:val="0"/>
              <w:jc w:val="right"/>
            </w:pPr>
            <w:r>
              <w:t>599</w:t>
            </w:r>
          </w:p>
        </w:tc>
        <w:tc>
          <w:tcPr>
            <w:tcW w:w="1555" w:type="dxa"/>
            <w:vAlign w:val="center"/>
          </w:tcPr>
          <w:p w14:paraId="1927E8C5" w14:textId="77777777" w:rsidR="005E000F" w:rsidRDefault="00000000">
            <w:pPr>
              <w:widowControl w:val="0"/>
              <w:jc w:val="right"/>
            </w:pPr>
            <w:r>
              <w:t>0</w:t>
            </w:r>
          </w:p>
        </w:tc>
        <w:tc>
          <w:tcPr>
            <w:tcW w:w="1556" w:type="dxa"/>
            <w:vAlign w:val="center"/>
          </w:tcPr>
          <w:p w14:paraId="2B199619" w14:textId="77777777" w:rsidR="005E000F" w:rsidRDefault="00000000">
            <w:pPr>
              <w:widowControl w:val="0"/>
              <w:jc w:val="right"/>
            </w:pPr>
            <w:r>
              <w:t>0</w:t>
            </w:r>
          </w:p>
        </w:tc>
        <w:tc>
          <w:tcPr>
            <w:tcW w:w="1555" w:type="dxa"/>
            <w:vAlign w:val="center"/>
          </w:tcPr>
          <w:p w14:paraId="0FA01055" w14:textId="77777777" w:rsidR="005E000F" w:rsidRDefault="00000000">
            <w:pPr>
              <w:widowControl w:val="0"/>
              <w:jc w:val="right"/>
            </w:pPr>
            <w:r>
              <w:t>0</w:t>
            </w:r>
          </w:p>
        </w:tc>
        <w:tc>
          <w:tcPr>
            <w:tcW w:w="1556" w:type="dxa"/>
            <w:vAlign w:val="center"/>
          </w:tcPr>
          <w:p w14:paraId="0A9F38CA" w14:textId="77777777" w:rsidR="005E000F" w:rsidRDefault="00000000">
            <w:pPr>
              <w:widowControl w:val="0"/>
              <w:jc w:val="right"/>
            </w:pPr>
            <w:r>
              <w:t>0</w:t>
            </w:r>
          </w:p>
        </w:tc>
        <w:tc>
          <w:tcPr>
            <w:tcW w:w="1556" w:type="dxa"/>
            <w:vAlign w:val="center"/>
          </w:tcPr>
          <w:p w14:paraId="195261CC" w14:textId="77777777" w:rsidR="005E000F" w:rsidRDefault="00000000">
            <w:pPr>
              <w:widowControl w:val="0"/>
              <w:jc w:val="right"/>
            </w:pPr>
            <w:r>
              <w:t>24,075</w:t>
            </w:r>
          </w:p>
        </w:tc>
      </w:tr>
    </w:tbl>
    <w:p w14:paraId="7775F0E5" w14:textId="77777777" w:rsidR="005E000F" w:rsidRDefault="005E000F"/>
    <w:bookmarkEnd w:id="94"/>
    <w:p w14:paraId="02A77DBA" w14:textId="77777777" w:rsidR="005E000F" w:rsidRDefault="00000000">
      <w:r>
        <w:rPr>
          <w:rFonts w:hint="eastAsia"/>
        </w:rPr>
        <w:t>证券投资情况</w:t>
      </w:r>
    </w:p>
    <w:sdt>
      <w:sdtPr>
        <w:alias w:val="是否适用：证券投资情况[双击切换]"/>
        <w:tag w:val="_GBC_7d04680e71454924aa49897089c6ec88"/>
        <w:id w:val="-736705378"/>
        <w:placeholder>
          <w:docPart w:val="GBC22222222222222222222222222222"/>
        </w:placeholder>
      </w:sdtPr>
      <w:sdtContent>
        <w:p w14:paraId="6E8EF7D9"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DC73146" w14:textId="77777777" w:rsidR="005E000F" w:rsidRDefault="00000000">
      <w:pPr>
        <w:pStyle w:val="14"/>
        <w:wordWrap w:val="0"/>
        <w:ind w:left="360" w:firstLineChars="0" w:firstLine="0"/>
        <w:jc w:val="right"/>
      </w:pPr>
      <w:r>
        <w:rPr>
          <w:rFonts w:hint="eastAsia"/>
        </w:rPr>
        <w:t>单位：</w:t>
      </w:r>
      <w:sdt>
        <w:sdtPr>
          <w:rPr>
            <w:rFonts w:hint="eastAsia"/>
          </w:rPr>
          <w:alias w:val="单位：证券投资情况"/>
          <w:tag w:val="_GBC_9030571ec97a42438b5264832c2a5326"/>
          <w:id w:val="148420713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w:t>
      </w:r>
      <w:r>
        <w:rPr>
          <w:rFonts w:hint="eastAsia"/>
        </w:rPr>
        <w:t>币种：</w:t>
      </w:r>
      <w:sdt>
        <w:sdtPr>
          <w:rPr>
            <w:rFonts w:hint="eastAsia"/>
          </w:rPr>
          <w:alias w:val="币种：证券投资情况"/>
          <w:tag w:val="_GBC_21a6e145782e410295a95d0cfa95a807"/>
          <w:id w:val="-140452442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2"/>
        <w:gridCol w:w="1084"/>
        <w:gridCol w:w="1084"/>
        <w:gridCol w:w="1084"/>
        <w:gridCol w:w="1084"/>
        <w:gridCol w:w="1084"/>
        <w:gridCol w:w="1082"/>
        <w:gridCol w:w="1084"/>
        <w:gridCol w:w="1084"/>
        <w:gridCol w:w="1084"/>
        <w:gridCol w:w="1084"/>
        <w:gridCol w:w="1084"/>
        <w:gridCol w:w="1076"/>
      </w:tblGrid>
      <w:tr w:rsidR="005E000F" w14:paraId="763523B2" w14:textId="77777777">
        <w:bookmarkStart w:id="95" w:name="_Hlk40533881" w:displacedByCustomXml="next"/>
        <w:sdt>
          <w:sdtPr>
            <w:tag w:val="_PLD_a2aca594a908499a93ab70468f6a23b7"/>
            <w:id w:val="2077240059"/>
          </w:sdtPr>
          <w:sdtContent>
            <w:tc>
              <w:tcPr>
                <w:tcW w:w="1082" w:type="dxa"/>
                <w:vAlign w:val="center"/>
              </w:tcPr>
              <w:p w14:paraId="5DBA3B7F" w14:textId="77777777" w:rsidR="005E000F" w:rsidRDefault="00000000">
                <w:pPr>
                  <w:widowControl w:val="0"/>
                  <w:jc w:val="center"/>
                </w:pPr>
                <w:r>
                  <w:rPr>
                    <w:rFonts w:hint="eastAsia"/>
                  </w:rPr>
                  <w:t>证券品种</w:t>
                </w:r>
              </w:p>
            </w:tc>
          </w:sdtContent>
        </w:sdt>
        <w:sdt>
          <w:sdtPr>
            <w:tag w:val="_PLD_2a8a447db28f48a89b3e24843ac8c0b0"/>
            <w:id w:val="579177430"/>
          </w:sdtPr>
          <w:sdtContent>
            <w:tc>
              <w:tcPr>
                <w:tcW w:w="1084" w:type="dxa"/>
                <w:vAlign w:val="center"/>
              </w:tcPr>
              <w:p w14:paraId="4C8954B9" w14:textId="77777777" w:rsidR="005E000F" w:rsidRDefault="00000000">
                <w:pPr>
                  <w:widowControl w:val="0"/>
                  <w:jc w:val="center"/>
                </w:pPr>
                <w:r>
                  <w:rPr>
                    <w:rFonts w:hint="eastAsia"/>
                  </w:rPr>
                  <w:t>证券代码</w:t>
                </w:r>
              </w:p>
            </w:tc>
          </w:sdtContent>
        </w:sdt>
        <w:sdt>
          <w:sdtPr>
            <w:tag w:val="_PLD_b4b2dd48041247c08674576b86c9470b"/>
            <w:id w:val="-347643677"/>
          </w:sdtPr>
          <w:sdtContent>
            <w:tc>
              <w:tcPr>
                <w:tcW w:w="1084" w:type="dxa"/>
                <w:vAlign w:val="center"/>
              </w:tcPr>
              <w:p w14:paraId="4B841207" w14:textId="77777777" w:rsidR="005E000F" w:rsidRDefault="00000000">
                <w:pPr>
                  <w:widowControl w:val="0"/>
                  <w:tabs>
                    <w:tab w:val="left" w:pos="60"/>
                  </w:tabs>
                  <w:jc w:val="center"/>
                </w:pPr>
                <w:r>
                  <w:rPr>
                    <w:rFonts w:hint="eastAsia"/>
                  </w:rPr>
                  <w:t>证券简称</w:t>
                </w:r>
              </w:p>
            </w:tc>
          </w:sdtContent>
        </w:sdt>
        <w:sdt>
          <w:sdtPr>
            <w:tag w:val="_PLD_3c80e02ab5694d799cfd3d5d2ac9c797"/>
            <w:id w:val="811366735"/>
          </w:sdtPr>
          <w:sdtContent>
            <w:tc>
              <w:tcPr>
                <w:tcW w:w="1084" w:type="dxa"/>
                <w:vAlign w:val="center"/>
              </w:tcPr>
              <w:p w14:paraId="24B461B3" w14:textId="77777777" w:rsidR="005E000F" w:rsidRDefault="00000000">
                <w:pPr>
                  <w:widowControl w:val="0"/>
                  <w:jc w:val="center"/>
                </w:pPr>
                <w:r>
                  <w:rPr>
                    <w:rFonts w:hint="eastAsia"/>
                  </w:rPr>
                  <w:t>最初投资成本</w:t>
                </w:r>
              </w:p>
            </w:tc>
          </w:sdtContent>
        </w:sdt>
        <w:sdt>
          <w:sdtPr>
            <w:tag w:val="_PLD_873ecdbb8a3343d6b6fcaa48e4cf64dc"/>
            <w:id w:val="968244822"/>
          </w:sdtPr>
          <w:sdtContent>
            <w:tc>
              <w:tcPr>
                <w:tcW w:w="1084" w:type="dxa"/>
                <w:vAlign w:val="center"/>
              </w:tcPr>
              <w:p w14:paraId="3714CA9F" w14:textId="77777777" w:rsidR="005E000F" w:rsidRDefault="00000000">
                <w:pPr>
                  <w:widowControl w:val="0"/>
                  <w:jc w:val="center"/>
                </w:pPr>
                <w:r>
                  <w:rPr>
                    <w:rFonts w:hint="eastAsia"/>
                  </w:rPr>
                  <w:t>资金来源</w:t>
                </w:r>
              </w:p>
            </w:tc>
          </w:sdtContent>
        </w:sdt>
        <w:sdt>
          <w:sdtPr>
            <w:tag w:val="_PLD_b0de4dcfc59f4ead974d9d61a70ccc80"/>
            <w:id w:val="-1000887774"/>
          </w:sdtPr>
          <w:sdtContent>
            <w:tc>
              <w:tcPr>
                <w:tcW w:w="1084" w:type="dxa"/>
                <w:vAlign w:val="center"/>
              </w:tcPr>
              <w:p w14:paraId="33AE1140" w14:textId="77777777" w:rsidR="005E000F" w:rsidRDefault="00000000">
                <w:pPr>
                  <w:widowControl w:val="0"/>
                  <w:jc w:val="center"/>
                </w:pPr>
                <w:r>
                  <w:rPr>
                    <w:rFonts w:hint="eastAsia"/>
                  </w:rPr>
                  <w:t>期初账面价值</w:t>
                </w:r>
              </w:p>
            </w:tc>
          </w:sdtContent>
        </w:sdt>
        <w:sdt>
          <w:sdtPr>
            <w:tag w:val="_PLD_ca5b1b460dec4af98a137b84d77794ce"/>
            <w:id w:val="839429323"/>
          </w:sdtPr>
          <w:sdtContent>
            <w:tc>
              <w:tcPr>
                <w:tcW w:w="1082" w:type="dxa"/>
                <w:vAlign w:val="center"/>
              </w:tcPr>
              <w:p w14:paraId="37D895C6" w14:textId="77777777" w:rsidR="005E000F" w:rsidRDefault="00000000">
                <w:pPr>
                  <w:widowControl w:val="0"/>
                  <w:jc w:val="center"/>
                </w:pPr>
                <w:r>
                  <w:rPr>
                    <w:rFonts w:hint="eastAsia"/>
                  </w:rPr>
                  <w:t>本期公允价值变动损益</w:t>
                </w:r>
              </w:p>
            </w:tc>
          </w:sdtContent>
        </w:sdt>
        <w:sdt>
          <w:sdtPr>
            <w:tag w:val="_PLD_cf51b58b5b4641d797351424d3c1ceeb"/>
            <w:id w:val="1086275606"/>
          </w:sdtPr>
          <w:sdtContent>
            <w:tc>
              <w:tcPr>
                <w:tcW w:w="1084" w:type="dxa"/>
                <w:vAlign w:val="center"/>
              </w:tcPr>
              <w:p w14:paraId="0AF69863" w14:textId="77777777" w:rsidR="005E000F" w:rsidRDefault="00000000">
                <w:pPr>
                  <w:widowControl w:val="0"/>
                  <w:jc w:val="center"/>
                </w:pPr>
                <w:r>
                  <w:rPr>
                    <w:rFonts w:hint="eastAsia"/>
                  </w:rPr>
                  <w:t>计入权益的累计公允价值变</w:t>
                </w:r>
                <w:r>
                  <w:rPr>
                    <w:rFonts w:hint="eastAsia"/>
                  </w:rPr>
                  <w:lastRenderedPageBreak/>
                  <w:t>动</w:t>
                </w:r>
              </w:p>
            </w:tc>
          </w:sdtContent>
        </w:sdt>
        <w:sdt>
          <w:sdtPr>
            <w:tag w:val="_PLD_fa8acb6152da45658a6e5987a179057d"/>
            <w:id w:val="-866755307"/>
          </w:sdtPr>
          <w:sdtContent>
            <w:tc>
              <w:tcPr>
                <w:tcW w:w="1084" w:type="dxa"/>
                <w:vAlign w:val="center"/>
              </w:tcPr>
              <w:p w14:paraId="3140BE12" w14:textId="77777777" w:rsidR="005E000F" w:rsidRDefault="00000000">
                <w:pPr>
                  <w:widowControl w:val="0"/>
                  <w:jc w:val="center"/>
                </w:pPr>
                <w:r>
                  <w:rPr>
                    <w:rFonts w:hint="eastAsia"/>
                  </w:rPr>
                  <w:t>本期购买金额</w:t>
                </w:r>
              </w:p>
            </w:tc>
          </w:sdtContent>
        </w:sdt>
        <w:sdt>
          <w:sdtPr>
            <w:tag w:val="_PLD_6e2790d24c5846da999681b434e6731d"/>
            <w:id w:val="859625610"/>
          </w:sdtPr>
          <w:sdtContent>
            <w:tc>
              <w:tcPr>
                <w:tcW w:w="1084" w:type="dxa"/>
                <w:vAlign w:val="center"/>
              </w:tcPr>
              <w:p w14:paraId="1BC8838B" w14:textId="77777777" w:rsidR="005E000F" w:rsidRDefault="00000000">
                <w:pPr>
                  <w:widowControl w:val="0"/>
                  <w:jc w:val="center"/>
                </w:pPr>
                <w:r>
                  <w:rPr>
                    <w:rFonts w:hint="eastAsia"/>
                  </w:rPr>
                  <w:t>本期出售金额</w:t>
                </w:r>
              </w:p>
            </w:tc>
          </w:sdtContent>
        </w:sdt>
        <w:sdt>
          <w:sdtPr>
            <w:tag w:val="_PLD_b053cb2d8ab44a05be4e28df1b11bd04"/>
            <w:id w:val="-1929262009"/>
          </w:sdtPr>
          <w:sdtContent>
            <w:tc>
              <w:tcPr>
                <w:tcW w:w="1084" w:type="dxa"/>
                <w:vAlign w:val="center"/>
              </w:tcPr>
              <w:p w14:paraId="766B3E83" w14:textId="77777777" w:rsidR="005E000F" w:rsidRDefault="00000000">
                <w:pPr>
                  <w:widowControl w:val="0"/>
                  <w:jc w:val="center"/>
                </w:pPr>
                <w:r>
                  <w:rPr>
                    <w:rFonts w:hint="eastAsia"/>
                  </w:rPr>
                  <w:t>本期投资损益</w:t>
                </w:r>
              </w:p>
            </w:tc>
          </w:sdtContent>
        </w:sdt>
        <w:sdt>
          <w:sdtPr>
            <w:tag w:val="_PLD_dc3183c5ec5e48d491b77e65bd093780"/>
            <w:id w:val="608321598"/>
          </w:sdtPr>
          <w:sdtContent>
            <w:tc>
              <w:tcPr>
                <w:tcW w:w="1084" w:type="dxa"/>
                <w:vAlign w:val="center"/>
              </w:tcPr>
              <w:p w14:paraId="0B4A31B0" w14:textId="77777777" w:rsidR="005E000F" w:rsidRDefault="00000000">
                <w:pPr>
                  <w:widowControl w:val="0"/>
                  <w:jc w:val="center"/>
                </w:pPr>
                <w:r>
                  <w:rPr>
                    <w:rFonts w:hint="eastAsia"/>
                  </w:rPr>
                  <w:t>期末账面价值</w:t>
                </w:r>
              </w:p>
            </w:tc>
          </w:sdtContent>
        </w:sdt>
        <w:sdt>
          <w:sdtPr>
            <w:tag w:val="_PLD_953da3c8a977443ba41ba5b33c46abac"/>
            <w:id w:val="-857338235"/>
          </w:sdtPr>
          <w:sdtContent>
            <w:tc>
              <w:tcPr>
                <w:tcW w:w="1076" w:type="dxa"/>
                <w:vAlign w:val="center"/>
              </w:tcPr>
              <w:p w14:paraId="3860D76C" w14:textId="77777777" w:rsidR="005E000F" w:rsidRDefault="00000000">
                <w:pPr>
                  <w:widowControl w:val="0"/>
                  <w:jc w:val="center"/>
                </w:pPr>
                <w:r>
                  <w:rPr>
                    <w:rFonts w:hint="eastAsia"/>
                  </w:rPr>
                  <w:t>会计核算科目</w:t>
                </w:r>
              </w:p>
            </w:tc>
          </w:sdtContent>
        </w:sdt>
      </w:tr>
      <w:tr w:rsidR="005E000F" w14:paraId="154480E2" w14:textId="77777777">
        <w:sdt>
          <w:sdtPr>
            <w:alias w:val="上市公司证券投资情况明细－证券品种"/>
            <w:tag w:val="_GBC_5869f90e2f4241cba6edaadfa74944d0"/>
            <w:id w:val="1173303380"/>
            <w:comboBox>
              <w:listItem w:displayText="股票" w:value="股票"/>
              <w:listItem w:displayText="债券" w:value="债券"/>
              <w:listItem w:displayText="可转债" w:value="可转债"/>
              <w:listItem w:displayText="基金" w:value="基金"/>
              <w:listItem w:displayText="信托产品" w:value="信托产品"/>
              <w:listItem w:displayText="其他" w:value="其他"/>
            </w:comboBox>
          </w:sdtPr>
          <w:sdtContent>
            <w:tc>
              <w:tcPr>
                <w:tcW w:w="1082" w:type="dxa"/>
                <w:vAlign w:val="center"/>
              </w:tcPr>
              <w:p w14:paraId="6FA75F38" w14:textId="77777777" w:rsidR="005E000F" w:rsidRDefault="00000000">
                <w:pPr>
                  <w:widowControl w:val="0"/>
                </w:pPr>
                <w:r>
                  <w:t>股票</w:t>
                </w:r>
              </w:p>
            </w:tc>
          </w:sdtContent>
        </w:sdt>
        <w:tc>
          <w:tcPr>
            <w:tcW w:w="1084" w:type="dxa"/>
            <w:vAlign w:val="center"/>
          </w:tcPr>
          <w:p w14:paraId="02FCD56B" w14:textId="77777777" w:rsidR="005E000F" w:rsidRDefault="00000000">
            <w:pPr>
              <w:widowControl w:val="0"/>
            </w:pPr>
            <w:r>
              <w:t>601326</w:t>
            </w:r>
          </w:p>
        </w:tc>
        <w:tc>
          <w:tcPr>
            <w:tcW w:w="1084" w:type="dxa"/>
            <w:vAlign w:val="center"/>
          </w:tcPr>
          <w:p w14:paraId="389416E7" w14:textId="77777777" w:rsidR="005E000F" w:rsidRDefault="00000000">
            <w:pPr>
              <w:widowControl w:val="0"/>
            </w:pPr>
            <w:r>
              <w:t>秦港股份</w:t>
            </w:r>
          </w:p>
        </w:tc>
        <w:tc>
          <w:tcPr>
            <w:tcW w:w="1084" w:type="dxa"/>
            <w:vAlign w:val="center"/>
          </w:tcPr>
          <w:p w14:paraId="243F7C21" w14:textId="77777777" w:rsidR="005E000F" w:rsidRDefault="00000000">
            <w:pPr>
              <w:widowControl w:val="0"/>
              <w:jc w:val="right"/>
            </w:pPr>
            <w:r>
              <w:t>6,516</w:t>
            </w:r>
          </w:p>
        </w:tc>
        <w:tc>
          <w:tcPr>
            <w:tcW w:w="1084" w:type="dxa"/>
            <w:vAlign w:val="center"/>
          </w:tcPr>
          <w:p w14:paraId="3289D129" w14:textId="77777777" w:rsidR="005E000F" w:rsidRDefault="00000000">
            <w:pPr>
              <w:widowControl w:val="0"/>
            </w:pPr>
            <w:r>
              <w:t>自有资金</w:t>
            </w:r>
          </w:p>
        </w:tc>
        <w:tc>
          <w:tcPr>
            <w:tcW w:w="1084" w:type="dxa"/>
            <w:vAlign w:val="center"/>
          </w:tcPr>
          <w:p w14:paraId="6C29DD32" w14:textId="77777777" w:rsidR="005E000F" w:rsidRDefault="00000000">
            <w:pPr>
              <w:widowControl w:val="0"/>
              <w:jc w:val="right"/>
            </w:pPr>
            <w:r>
              <w:t>14,321</w:t>
            </w:r>
          </w:p>
        </w:tc>
        <w:tc>
          <w:tcPr>
            <w:tcW w:w="1082" w:type="dxa"/>
            <w:vAlign w:val="center"/>
          </w:tcPr>
          <w:p w14:paraId="1D17B60F" w14:textId="77777777" w:rsidR="005E000F" w:rsidRDefault="00000000">
            <w:pPr>
              <w:widowControl w:val="0"/>
              <w:jc w:val="right"/>
            </w:pPr>
            <w:r>
              <w:t>0</w:t>
            </w:r>
          </w:p>
        </w:tc>
        <w:tc>
          <w:tcPr>
            <w:tcW w:w="1084" w:type="dxa"/>
            <w:vAlign w:val="center"/>
          </w:tcPr>
          <w:p w14:paraId="31B030B2" w14:textId="77777777" w:rsidR="005E000F" w:rsidRDefault="00000000">
            <w:pPr>
              <w:widowControl w:val="0"/>
              <w:jc w:val="right"/>
            </w:pPr>
            <w:r>
              <w:t>599</w:t>
            </w:r>
          </w:p>
        </w:tc>
        <w:tc>
          <w:tcPr>
            <w:tcW w:w="1084" w:type="dxa"/>
            <w:vAlign w:val="center"/>
          </w:tcPr>
          <w:p w14:paraId="4F48EEEF" w14:textId="77777777" w:rsidR="005E000F" w:rsidRDefault="00000000">
            <w:pPr>
              <w:widowControl w:val="0"/>
              <w:jc w:val="right"/>
            </w:pPr>
            <w:r>
              <w:t>0</w:t>
            </w:r>
          </w:p>
        </w:tc>
        <w:tc>
          <w:tcPr>
            <w:tcW w:w="1084" w:type="dxa"/>
            <w:vAlign w:val="center"/>
          </w:tcPr>
          <w:p w14:paraId="3C033199" w14:textId="77777777" w:rsidR="005E000F" w:rsidRDefault="00000000">
            <w:pPr>
              <w:widowControl w:val="0"/>
              <w:jc w:val="right"/>
            </w:pPr>
            <w:r>
              <w:t>0</w:t>
            </w:r>
          </w:p>
        </w:tc>
        <w:tc>
          <w:tcPr>
            <w:tcW w:w="1084" w:type="dxa"/>
            <w:vAlign w:val="center"/>
          </w:tcPr>
          <w:p w14:paraId="61928E33" w14:textId="77777777" w:rsidR="005E000F" w:rsidRDefault="00000000">
            <w:pPr>
              <w:widowControl w:val="0"/>
              <w:jc w:val="right"/>
            </w:pPr>
            <w:r>
              <w:t>363</w:t>
            </w:r>
          </w:p>
        </w:tc>
        <w:tc>
          <w:tcPr>
            <w:tcW w:w="1084" w:type="dxa"/>
            <w:vAlign w:val="center"/>
          </w:tcPr>
          <w:p w14:paraId="4E662FA4" w14:textId="77777777" w:rsidR="005E000F" w:rsidRDefault="00000000">
            <w:pPr>
              <w:widowControl w:val="0"/>
              <w:jc w:val="right"/>
            </w:pPr>
            <w:r>
              <w:t>14,920</w:t>
            </w:r>
          </w:p>
        </w:tc>
        <w:sdt>
          <w:sdtPr>
            <w:alias w:val="上市公司证券投资情况明细－会计核算科目"/>
            <w:tag w:val="_GBC_76b2a58bd6904ac98cdb4e48af86b25a"/>
            <w:id w:val="1431234297"/>
            <w:comboBox>
              <w:listItem w:displayText="债权投资" w:value="债权投资"/>
              <w:listItem w:displayText="交易性金融资产" w:value="交易性金融资产"/>
              <w:listItem w:displayText="其他债权投资" w:value="其他债权投资"/>
              <w:listItem w:displayText="其他权益工具投资" w:value="其他权益工具投资"/>
              <w:listItem w:displayText="其他非流动金融资产" w:value="其他非流动金融资产"/>
              <w:listItem w:displayText="其他" w:value="其他"/>
            </w:comboBox>
          </w:sdtPr>
          <w:sdtContent>
            <w:tc>
              <w:tcPr>
                <w:tcW w:w="1076" w:type="dxa"/>
                <w:vAlign w:val="center"/>
              </w:tcPr>
              <w:p w14:paraId="413E7CBF" w14:textId="77777777" w:rsidR="005E000F" w:rsidRDefault="00000000">
                <w:pPr>
                  <w:widowControl w:val="0"/>
                </w:pPr>
                <w:r>
                  <w:t>其他权益工具投资</w:t>
                </w:r>
              </w:p>
            </w:tc>
          </w:sdtContent>
        </w:sdt>
      </w:tr>
      <w:tr w:rsidR="005E000F" w14:paraId="2915A8E6" w14:textId="77777777">
        <w:tc>
          <w:tcPr>
            <w:tcW w:w="1082" w:type="dxa"/>
            <w:vAlign w:val="center"/>
          </w:tcPr>
          <w:p w14:paraId="00111B3F" w14:textId="77777777" w:rsidR="005E000F" w:rsidRDefault="00000000">
            <w:pPr>
              <w:widowControl w:val="0"/>
              <w:jc w:val="both"/>
            </w:pPr>
            <w:r>
              <w:t>合计</w:t>
            </w:r>
          </w:p>
        </w:tc>
        <w:tc>
          <w:tcPr>
            <w:tcW w:w="1084" w:type="dxa"/>
            <w:vAlign w:val="center"/>
          </w:tcPr>
          <w:p w14:paraId="2B4EFBC2" w14:textId="77777777" w:rsidR="005E000F" w:rsidRDefault="00000000">
            <w:pPr>
              <w:widowControl w:val="0"/>
              <w:jc w:val="center"/>
            </w:pPr>
            <w:r>
              <w:rPr>
                <w:rFonts w:hint="eastAsia"/>
              </w:rPr>
              <w:t>/</w:t>
            </w:r>
          </w:p>
        </w:tc>
        <w:tc>
          <w:tcPr>
            <w:tcW w:w="1084" w:type="dxa"/>
            <w:vAlign w:val="center"/>
          </w:tcPr>
          <w:p w14:paraId="101CF9FA" w14:textId="77777777" w:rsidR="005E000F" w:rsidRDefault="00000000">
            <w:pPr>
              <w:widowControl w:val="0"/>
              <w:jc w:val="center"/>
            </w:pPr>
            <w:r>
              <w:rPr>
                <w:rFonts w:hint="eastAsia"/>
              </w:rPr>
              <w:t>/</w:t>
            </w:r>
          </w:p>
        </w:tc>
        <w:tc>
          <w:tcPr>
            <w:tcW w:w="1084" w:type="dxa"/>
            <w:vAlign w:val="center"/>
          </w:tcPr>
          <w:p w14:paraId="42AEAB49" w14:textId="77777777" w:rsidR="005E000F" w:rsidRDefault="00000000">
            <w:pPr>
              <w:widowControl w:val="0"/>
              <w:jc w:val="right"/>
            </w:pPr>
            <w:r>
              <w:t>6,516</w:t>
            </w:r>
          </w:p>
        </w:tc>
        <w:tc>
          <w:tcPr>
            <w:tcW w:w="1084" w:type="dxa"/>
            <w:vAlign w:val="center"/>
          </w:tcPr>
          <w:p w14:paraId="41EDE397" w14:textId="77777777" w:rsidR="005E000F" w:rsidRDefault="00000000">
            <w:pPr>
              <w:widowControl w:val="0"/>
              <w:jc w:val="center"/>
            </w:pPr>
            <w:r>
              <w:rPr>
                <w:rFonts w:hint="eastAsia"/>
              </w:rPr>
              <w:t>/</w:t>
            </w:r>
          </w:p>
        </w:tc>
        <w:tc>
          <w:tcPr>
            <w:tcW w:w="1084" w:type="dxa"/>
            <w:vAlign w:val="center"/>
          </w:tcPr>
          <w:p w14:paraId="5E40EA0D" w14:textId="77777777" w:rsidR="005E000F" w:rsidRDefault="00000000">
            <w:pPr>
              <w:widowControl w:val="0"/>
              <w:jc w:val="right"/>
            </w:pPr>
            <w:r>
              <w:t>14,321</w:t>
            </w:r>
          </w:p>
        </w:tc>
        <w:tc>
          <w:tcPr>
            <w:tcW w:w="1082" w:type="dxa"/>
            <w:vAlign w:val="center"/>
          </w:tcPr>
          <w:p w14:paraId="7B5FD886" w14:textId="77777777" w:rsidR="005E000F" w:rsidRDefault="00000000">
            <w:pPr>
              <w:widowControl w:val="0"/>
              <w:jc w:val="right"/>
            </w:pPr>
            <w:r>
              <w:t>0</w:t>
            </w:r>
          </w:p>
        </w:tc>
        <w:tc>
          <w:tcPr>
            <w:tcW w:w="1084" w:type="dxa"/>
            <w:vAlign w:val="center"/>
          </w:tcPr>
          <w:p w14:paraId="27028AC9" w14:textId="77777777" w:rsidR="005E000F" w:rsidRDefault="00000000">
            <w:pPr>
              <w:widowControl w:val="0"/>
              <w:jc w:val="right"/>
            </w:pPr>
            <w:r>
              <w:t>599</w:t>
            </w:r>
          </w:p>
        </w:tc>
        <w:tc>
          <w:tcPr>
            <w:tcW w:w="1084" w:type="dxa"/>
            <w:vAlign w:val="center"/>
          </w:tcPr>
          <w:p w14:paraId="27930F79" w14:textId="77777777" w:rsidR="005E000F" w:rsidRDefault="00000000">
            <w:pPr>
              <w:widowControl w:val="0"/>
              <w:jc w:val="right"/>
            </w:pPr>
            <w:r>
              <w:t>0</w:t>
            </w:r>
          </w:p>
        </w:tc>
        <w:tc>
          <w:tcPr>
            <w:tcW w:w="1084" w:type="dxa"/>
            <w:vAlign w:val="center"/>
          </w:tcPr>
          <w:p w14:paraId="4FC54F40" w14:textId="77777777" w:rsidR="005E000F" w:rsidRDefault="00000000">
            <w:pPr>
              <w:widowControl w:val="0"/>
              <w:jc w:val="right"/>
            </w:pPr>
            <w:r>
              <w:t>0</w:t>
            </w:r>
          </w:p>
        </w:tc>
        <w:tc>
          <w:tcPr>
            <w:tcW w:w="1084" w:type="dxa"/>
            <w:vAlign w:val="center"/>
          </w:tcPr>
          <w:p w14:paraId="5F7E303A" w14:textId="77777777" w:rsidR="005E000F" w:rsidRDefault="00000000">
            <w:pPr>
              <w:widowControl w:val="0"/>
              <w:jc w:val="right"/>
            </w:pPr>
            <w:r>
              <w:t>363</w:t>
            </w:r>
          </w:p>
        </w:tc>
        <w:tc>
          <w:tcPr>
            <w:tcW w:w="1084" w:type="dxa"/>
            <w:vAlign w:val="center"/>
          </w:tcPr>
          <w:p w14:paraId="070D0315" w14:textId="77777777" w:rsidR="005E000F" w:rsidRDefault="00000000">
            <w:pPr>
              <w:widowControl w:val="0"/>
              <w:jc w:val="right"/>
            </w:pPr>
            <w:r>
              <w:t>14,920</w:t>
            </w:r>
          </w:p>
        </w:tc>
        <w:tc>
          <w:tcPr>
            <w:tcW w:w="1076" w:type="dxa"/>
            <w:vAlign w:val="center"/>
          </w:tcPr>
          <w:p w14:paraId="193BE039" w14:textId="77777777" w:rsidR="005E000F" w:rsidRDefault="00000000">
            <w:pPr>
              <w:widowControl w:val="0"/>
              <w:jc w:val="center"/>
            </w:pPr>
            <w:r>
              <w:rPr>
                <w:rFonts w:hint="eastAsia"/>
              </w:rPr>
              <w:t>/</w:t>
            </w:r>
          </w:p>
        </w:tc>
      </w:tr>
    </w:tbl>
    <w:p w14:paraId="3EFD5041" w14:textId="77777777" w:rsidR="005E000F" w:rsidRDefault="005E000F"/>
    <w:p w14:paraId="16FC9925" w14:textId="77777777" w:rsidR="005E000F" w:rsidRDefault="00000000">
      <w:bookmarkStart w:id="96" w:name="_Hlk151135120"/>
      <w:bookmarkEnd w:id="95"/>
      <w:r>
        <w:rPr>
          <w:rFonts w:hint="eastAsia"/>
        </w:rPr>
        <w:t>证券投资情况的说明</w:t>
      </w:r>
    </w:p>
    <w:sdt>
      <w:sdtPr>
        <w:alias w:val="是否适用：证券投资情况的说明[双击切换]"/>
        <w:tag w:val="_GBC_846a2917c37545bbb004e11b14dfefbc"/>
        <w:id w:val="813842806"/>
        <w:placeholder>
          <w:docPart w:val="GBC22222222222222222222222222222"/>
        </w:placeholder>
      </w:sdtPr>
      <w:sdtContent>
        <w:p w14:paraId="738BD78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6D7A9D6" w14:textId="77777777" w:rsidR="005E000F" w:rsidRDefault="00000000">
      <w:bookmarkStart w:id="97" w:name="_Hlk40534809"/>
      <w:bookmarkEnd w:id="96"/>
      <w:r>
        <w:rPr>
          <w:rFonts w:hint="eastAsia"/>
        </w:rPr>
        <w:t>私募基金投资情况</w:t>
      </w:r>
    </w:p>
    <w:sdt>
      <w:sdtPr>
        <w:alias w:val="是否适用：私募基金投资情况[双击切换]"/>
        <w:tag w:val="_GBC_6e916a873a4e4af3a90d6fc81d187ac8"/>
        <w:id w:val="568161316"/>
        <w:placeholder>
          <w:docPart w:val="GBC22222222222222222222222222222"/>
        </w:placeholder>
      </w:sdtPr>
      <w:sdtContent>
        <w:p w14:paraId="2A9B4A4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97"/>
    <w:p w14:paraId="227DC0AB" w14:textId="77777777" w:rsidR="005E000F" w:rsidRDefault="00000000">
      <w:r>
        <w:rPr>
          <w:rFonts w:hint="eastAsia"/>
        </w:rPr>
        <w:t>衍生</w:t>
      </w:r>
      <w:proofErr w:type="gramStart"/>
      <w:r>
        <w:rPr>
          <w:rFonts w:hint="eastAsia"/>
        </w:rPr>
        <w:t>品投资</w:t>
      </w:r>
      <w:proofErr w:type="gramEnd"/>
      <w:r>
        <w:rPr>
          <w:rFonts w:hint="eastAsia"/>
        </w:rPr>
        <w:t>情况</w:t>
      </w:r>
    </w:p>
    <w:sdt>
      <w:sdtPr>
        <w:rPr>
          <w:rFonts w:hint="eastAsia"/>
        </w:rPr>
        <w:alias w:val="是否适用：衍生品投资情况  [双击切换]"/>
        <w:tag w:val="_GBC_0155f13d04cb48bc8f6a2a16edfe26b3"/>
        <w:id w:val="1805273826"/>
        <w:placeholder>
          <w:docPart w:val="GBC22222222222222222222222222222"/>
        </w:placeholder>
      </w:sdtPr>
      <w:sdtContent>
        <w:p w14:paraId="4D55140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3EEE57A" w14:textId="77777777" w:rsidR="005E000F" w:rsidRDefault="00000000">
      <w:pPr>
        <w:pStyle w:val="4"/>
        <w:numPr>
          <w:ilvl w:val="0"/>
          <w:numId w:val="16"/>
        </w:numPr>
        <w:rPr>
          <w:rFonts w:ascii="宋体" w:hAnsi="宋体" w:cs="宋体"/>
          <w:kern w:val="0"/>
        </w:rPr>
      </w:pPr>
      <w:bookmarkStart w:id="98" w:name="_Hlk155617745"/>
      <w:bookmarkStart w:id="99" w:name="_Hlk94111679"/>
      <w:bookmarkEnd w:id="98"/>
      <w:r>
        <w:rPr>
          <w:rFonts w:ascii="宋体" w:hAnsi="宋体" w:cs="宋体" w:hint="eastAsia"/>
          <w:kern w:val="0"/>
        </w:rPr>
        <w:t>报告期内重大资产重组整合的具体进展情况</w:t>
      </w:r>
    </w:p>
    <w:sdt>
      <w:sdtPr>
        <w:alias w:val="是否适用：报告期内重大资产重组整合的具体进展情况[双击切换]"/>
        <w:tag w:val="_GBC_c52695d1957b4fa89b0b7326da1f5a10"/>
        <w:id w:val="1104306349"/>
        <w:placeholder>
          <w:docPart w:val="GBC22222222222222222222222222222"/>
        </w:placeholder>
      </w:sdtPr>
      <w:sdtContent>
        <w:p w14:paraId="0EE6605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99"/>
    <w:p w14:paraId="370B06CE" w14:textId="77777777" w:rsidR="005E000F" w:rsidRDefault="00000000">
      <w:pPr>
        <w:pStyle w:val="3"/>
        <w:numPr>
          <w:ilvl w:val="0"/>
          <w:numId w:val="10"/>
        </w:numPr>
        <w:rPr>
          <w:szCs w:val="21"/>
        </w:rPr>
      </w:pPr>
      <w:r>
        <w:rPr>
          <w:rFonts w:hint="eastAsia"/>
          <w:szCs w:val="21"/>
        </w:rPr>
        <w:t>重大资产和股权出售</w:t>
      </w:r>
    </w:p>
    <w:sdt>
      <w:sdtPr>
        <w:rPr>
          <w:rFonts w:hint="eastAsia"/>
        </w:rPr>
        <w:alias w:val="是否适用：重大资产和股权出售[双击切换]"/>
        <w:tag w:val="_GBC_949dc5a581604be69ba935fceadc4b1d"/>
        <w:id w:val="-1364968964"/>
        <w:placeholder>
          <w:docPart w:val="GBC22222222222222222222222222222"/>
        </w:placeholder>
      </w:sdtPr>
      <w:sdtContent>
        <w:p w14:paraId="3D10E9D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CE70716" w14:textId="77777777" w:rsidR="005E000F" w:rsidRDefault="00000000">
      <w:pPr>
        <w:pStyle w:val="3"/>
        <w:numPr>
          <w:ilvl w:val="0"/>
          <w:numId w:val="10"/>
        </w:numPr>
        <w:rPr>
          <w:rFonts w:ascii="宋体" w:hAnsi="宋体"/>
          <w:color w:val="000000" w:themeColor="text1"/>
        </w:rPr>
      </w:pPr>
      <w:bookmarkStart w:id="100" w:name="_Hlk213662043"/>
      <w:bookmarkStart w:id="101" w:name="_Hlk200011206"/>
      <w:r>
        <w:rPr>
          <w:rFonts w:ascii="宋体" w:hAnsi="宋体" w:hint="eastAsia"/>
          <w:color w:val="000000" w:themeColor="text1"/>
        </w:rPr>
        <w:t>主要控股参股公司分析</w:t>
      </w:r>
    </w:p>
    <w:sdt>
      <w:sdtPr>
        <w:rPr>
          <w:color w:val="000000" w:themeColor="text1"/>
        </w:rPr>
        <w:alias w:val="是否适用：主要控股参股公司分析[双击切换]"/>
        <w:tag w:val="_GBC_c05ac32e7acf4aa08c3b1b389547fce0"/>
        <w:id w:val="-1863575227"/>
        <w:placeholder>
          <w:docPart w:val="GBC22222222222222222222222222222"/>
        </w:placeholder>
      </w:sdtPr>
      <w:sdtContent>
        <w:p w14:paraId="5607C31D"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2D50D80" w14:textId="77777777" w:rsidR="005E000F" w:rsidRDefault="00000000">
      <w:r>
        <w:rPr>
          <w:rFonts w:hint="eastAsia"/>
        </w:rPr>
        <w:t>主要子公司及对公司净利润</w:t>
      </w:r>
      <w:proofErr w:type="gramStart"/>
      <w:r>
        <w:rPr>
          <w:rFonts w:hint="eastAsia"/>
        </w:rPr>
        <w:t>影响达</w:t>
      </w:r>
      <w:proofErr w:type="gramEnd"/>
      <w:r>
        <w:rPr>
          <w:rFonts w:hint="eastAsia"/>
        </w:rPr>
        <w:t>10%</w:t>
      </w:r>
      <w:r>
        <w:rPr>
          <w:rFonts w:hint="eastAsia"/>
        </w:rPr>
        <w:t>以上的参股公司情况</w:t>
      </w:r>
    </w:p>
    <w:sdt>
      <w:sdtPr>
        <w:rPr>
          <w:rFonts w:hint="eastAsia"/>
          <w:color w:val="000000"/>
        </w:rPr>
        <w:alias w:val="是否适用：主要子公司及对公司净利润影响达10%以上的参股公司情况[双击切换]"/>
        <w:tag w:val="_GBC_9d434b01b56f4e79bcdfcac696798730"/>
        <w:id w:val="-1136322331"/>
        <w:placeholder>
          <w:docPart w:val="GBC22222222222222222222222222222"/>
        </w:placeholder>
      </w:sdtPr>
      <w:sdtContent>
        <w:p w14:paraId="4273926F" w14:textId="77777777" w:rsidR="005E000F" w:rsidRDefault="00000000">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66C5893C" w14:textId="77777777" w:rsidR="005E000F" w:rsidRDefault="00000000">
      <w:pPr>
        <w:jc w:val="right"/>
        <w:rPr>
          <w:color w:val="000000"/>
        </w:rPr>
      </w:pPr>
      <w:r>
        <w:rPr>
          <w:rFonts w:hint="eastAsia"/>
          <w:color w:val="000000"/>
        </w:rPr>
        <w:t>单位：</w:t>
      </w:r>
      <w:sdt>
        <w:sdtPr>
          <w:rPr>
            <w:rFonts w:hint="eastAsia"/>
            <w:color w:val="000000"/>
          </w:rPr>
          <w:alias w:val="单位：主要控股参股公司分析"/>
          <w:tag w:val="_GBC_8d5082a3ef1247029bfec10b09878a74"/>
          <w:id w:val="17105261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rPr>
            <w:t>元</w:t>
          </w:r>
        </w:sdtContent>
      </w:sdt>
      <w:r>
        <w:rPr>
          <w:rFonts w:hint="eastAsia"/>
          <w:color w:val="000000"/>
        </w:rPr>
        <w:t xml:space="preserve">  </w:t>
      </w:r>
      <w:r>
        <w:rPr>
          <w:rFonts w:hint="eastAsia"/>
          <w:color w:val="000000"/>
        </w:rPr>
        <w:t>币种：</w:t>
      </w:r>
      <w:sdt>
        <w:sdtPr>
          <w:rPr>
            <w:rFonts w:hint="eastAsia"/>
            <w:color w:val="000000"/>
          </w:rPr>
          <w:alias w:val="币种：主要控股参股公司分析"/>
          <w:tag w:val="_GBC_27853eae803847d39b60d39456b72571"/>
          <w:id w:val="4773431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rPr>
            <w:t>人民币</w:t>
          </w:r>
        </w:sdtContent>
      </w:sdt>
      <w:r>
        <w:rPr>
          <w:rFonts w:hint="eastAsia"/>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540"/>
        <w:gridCol w:w="1627"/>
        <w:gridCol w:w="1524"/>
        <w:gridCol w:w="1524"/>
        <w:gridCol w:w="1524"/>
        <w:gridCol w:w="1524"/>
        <w:gridCol w:w="1524"/>
        <w:gridCol w:w="1521"/>
        <w:gridCol w:w="1624"/>
      </w:tblGrid>
      <w:tr w:rsidR="005E000F" w14:paraId="47BF8A94" w14:textId="77777777">
        <w:sdt>
          <w:sdtPr>
            <w:tag w:val="_PLD_77d1b0f0ca10428db347fba0d0883430"/>
            <w:id w:val="-1010765492"/>
          </w:sdtPr>
          <w:sdtContent>
            <w:tc>
              <w:tcPr>
                <w:tcW w:w="1540" w:type="dxa"/>
                <w:vAlign w:val="center"/>
              </w:tcPr>
              <w:p w14:paraId="432EBCA1" w14:textId="77777777" w:rsidR="005E000F" w:rsidRDefault="00000000">
                <w:pPr>
                  <w:kinsoku w:val="0"/>
                  <w:overflowPunct w:val="0"/>
                  <w:autoSpaceDE w:val="0"/>
                  <w:autoSpaceDN w:val="0"/>
                  <w:adjustRightInd w:val="0"/>
                  <w:snapToGrid w:val="0"/>
                  <w:jc w:val="center"/>
                </w:pPr>
                <w:r>
                  <w:t>公司名称</w:t>
                </w:r>
              </w:p>
            </w:tc>
          </w:sdtContent>
        </w:sdt>
        <w:sdt>
          <w:sdtPr>
            <w:tag w:val="_PLD_39a34b0234774dd4a02351974d6690de"/>
            <w:id w:val="1513412968"/>
          </w:sdtPr>
          <w:sdtContent>
            <w:tc>
              <w:tcPr>
                <w:tcW w:w="1627" w:type="dxa"/>
                <w:vAlign w:val="center"/>
              </w:tcPr>
              <w:p w14:paraId="730753A9" w14:textId="77777777" w:rsidR="005E000F" w:rsidRDefault="00000000">
                <w:pPr>
                  <w:kinsoku w:val="0"/>
                  <w:overflowPunct w:val="0"/>
                  <w:autoSpaceDE w:val="0"/>
                  <w:autoSpaceDN w:val="0"/>
                  <w:adjustRightInd w:val="0"/>
                  <w:snapToGrid w:val="0"/>
                  <w:jc w:val="center"/>
                </w:pPr>
                <w:r>
                  <w:t>公司类型</w:t>
                </w:r>
              </w:p>
            </w:tc>
          </w:sdtContent>
        </w:sdt>
        <w:sdt>
          <w:sdtPr>
            <w:tag w:val="_PLD_f896bd671d5344dc9566b8fb48245b72"/>
            <w:id w:val="-838303135"/>
          </w:sdtPr>
          <w:sdtContent>
            <w:tc>
              <w:tcPr>
                <w:tcW w:w="1524" w:type="dxa"/>
                <w:vAlign w:val="center"/>
              </w:tcPr>
              <w:p w14:paraId="7B217F2A" w14:textId="77777777" w:rsidR="005E000F" w:rsidRDefault="00000000">
                <w:pPr>
                  <w:kinsoku w:val="0"/>
                  <w:overflowPunct w:val="0"/>
                  <w:autoSpaceDE w:val="0"/>
                  <w:autoSpaceDN w:val="0"/>
                  <w:adjustRightInd w:val="0"/>
                  <w:snapToGrid w:val="0"/>
                  <w:jc w:val="center"/>
                </w:pPr>
                <w:r>
                  <w:t>主要业务</w:t>
                </w:r>
              </w:p>
            </w:tc>
          </w:sdtContent>
        </w:sdt>
        <w:sdt>
          <w:sdtPr>
            <w:tag w:val="_PLD_28c765f0770d4489b0ac7af726b78d3c"/>
            <w:id w:val="784009312"/>
          </w:sdtPr>
          <w:sdtContent>
            <w:tc>
              <w:tcPr>
                <w:tcW w:w="1524" w:type="dxa"/>
                <w:vAlign w:val="center"/>
              </w:tcPr>
              <w:p w14:paraId="4F18695D" w14:textId="77777777" w:rsidR="005E000F" w:rsidRDefault="00000000">
                <w:pPr>
                  <w:kinsoku w:val="0"/>
                  <w:overflowPunct w:val="0"/>
                  <w:autoSpaceDE w:val="0"/>
                  <w:autoSpaceDN w:val="0"/>
                  <w:adjustRightInd w:val="0"/>
                  <w:snapToGrid w:val="0"/>
                  <w:jc w:val="center"/>
                </w:pPr>
                <w:r>
                  <w:t>注册资本</w:t>
                </w:r>
              </w:p>
            </w:tc>
          </w:sdtContent>
        </w:sdt>
        <w:sdt>
          <w:sdtPr>
            <w:tag w:val="_PLD_8dfb8195bf8042eab9afd470bd721131"/>
            <w:id w:val="-1766451158"/>
          </w:sdtPr>
          <w:sdtContent>
            <w:tc>
              <w:tcPr>
                <w:tcW w:w="1524" w:type="dxa"/>
                <w:vAlign w:val="center"/>
              </w:tcPr>
              <w:p w14:paraId="768EFF68" w14:textId="77777777" w:rsidR="005E000F" w:rsidRDefault="00000000">
                <w:pPr>
                  <w:kinsoku w:val="0"/>
                  <w:overflowPunct w:val="0"/>
                  <w:autoSpaceDE w:val="0"/>
                  <w:autoSpaceDN w:val="0"/>
                  <w:adjustRightInd w:val="0"/>
                  <w:snapToGrid w:val="0"/>
                  <w:jc w:val="center"/>
                </w:pPr>
                <w:r>
                  <w:t>总资产</w:t>
                </w:r>
              </w:p>
            </w:tc>
          </w:sdtContent>
        </w:sdt>
        <w:sdt>
          <w:sdtPr>
            <w:tag w:val="_PLD_568be9ac045440aeaf1bfa59ac4c13ce"/>
            <w:id w:val="1084958262"/>
          </w:sdtPr>
          <w:sdtContent>
            <w:tc>
              <w:tcPr>
                <w:tcW w:w="1524" w:type="dxa"/>
                <w:vAlign w:val="center"/>
              </w:tcPr>
              <w:p w14:paraId="66E924D3" w14:textId="77777777" w:rsidR="005E000F" w:rsidRDefault="00000000">
                <w:pPr>
                  <w:kinsoku w:val="0"/>
                  <w:overflowPunct w:val="0"/>
                  <w:autoSpaceDE w:val="0"/>
                  <w:autoSpaceDN w:val="0"/>
                  <w:adjustRightInd w:val="0"/>
                  <w:snapToGrid w:val="0"/>
                  <w:jc w:val="center"/>
                </w:pPr>
                <w:r>
                  <w:t>净资产</w:t>
                </w:r>
              </w:p>
            </w:tc>
          </w:sdtContent>
        </w:sdt>
        <w:sdt>
          <w:sdtPr>
            <w:tag w:val="_PLD_5b0234e93edf4d4eba9ba1632349de01"/>
            <w:id w:val="734820998"/>
          </w:sdtPr>
          <w:sdtContent>
            <w:tc>
              <w:tcPr>
                <w:tcW w:w="1524" w:type="dxa"/>
                <w:vAlign w:val="center"/>
              </w:tcPr>
              <w:p w14:paraId="1936B029" w14:textId="77777777" w:rsidR="005E000F" w:rsidRDefault="00000000">
                <w:pPr>
                  <w:kinsoku w:val="0"/>
                  <w:overflowPunct w:val="0"/>
                  <w:autoSpaceDE w:val="0"/>
                  <w:autoSpaceDN w:val="0"/>
                  <w:adjustRightInd w:val="0"/>
                  <w:snapToGrid w:val="0"/>
                  <w:jc w:val="center"/>
                </w:pPr>
                <w:r>
                  <w:t>营业收入</w:t>
                </w:r>
              </w:p>
            </w:tc>
          </w:sdtContent>
        </w:sdt>
        <w:sdt>
          <w:sdtPr>
            <w:tag w:val="_PLD_ba045ffba7c14248ae76aaccea04d750"/>
            <w:id w:val="-1078973383"/>
          </w:sdtPr>
          <w:sdtContent>
            <w:tc>
              <w:tcPr>
                <w:tcW w:w="1521" w:type="dxa"/>
                <w:vAlign w:val="center"/>
              </w:tcPr>
              <w:p w14:paraId="6210D1E2" w14:textId="77777777" w:rsidR="005E000F" w:rsidRDefault="00000000">
                <w:pPr>
                  <w:kinsoku w:val="0"/>
                  <w:overflowPunct w:val="0"/>
                  <w:autoSpaceDE w:val="0"/>
                  <w:autoSpaceDN w:val="0"/>
                  <w:adjustRightInd w:val="0"/>
                  <w:snapToGrid w:val="0"/>
                  <w:jc w:val="center"/>
                </w:pPr>
                <w:r>
                  <w:t>营业利润</w:t>
                </w:r>
              </w:p>
            </w:tc>
          </w:sdtContent>
        </w:sdt>
        <w:sdt>
          <w:sdtPr>
            <w:tag w:val="_PLD_e15dc49d121b480aa6e96a30e17a5359"/>
            <w:id w:val="-690523468"/>
          </w:sdtPr>
          <w:sdtContent>
            <w:tc>
              <w:tcPr>
                <w:tcW w:w="1624" w:type="dxa"/>
                <w:vAlign w:val="center"/>
              </w:tcPr>
              <w:p w14:paraId="3A50C5C3" w14:textId="77777777" w:rsidR="005E000F" w:rsidRDefault="00000000">
                <w:pPr>
                  <w:kinsoku w:val="0"/>
                  <w:overflowPunct w:val="0"/>
                  <w:autoSpaceDE w:val="0"/>
                  <w:autoSpaceDN w:val="0"/>
                  <w:adjustRightInd w:val="0"/>
                  <w:snapToGrid w:val="0"/>
                  <w:jc w:val="center"/>
                </w:pPr>
                <w:r>
                  <w:t>净利润</w:t>
                </w:r>
              </w:p>
            </w:tc>
          </w:sdtContent>
        </w:sdt>
      </w:tr>
      <w:tr w:rsidR="005E000F" w14:paraId="77BA1E25" w14:textId="77777777">
        <w:tc>
          <w:tcPr>
            <w:tcW w:w="1540" w:type="dxa"/>
            <w:vAlign w:val="center"/>
          </w:tcPr>
          <w:p w14:paraId="1A342736" w14:textId="77777777" w:rsidR="005E000F" w:rsidRDefault="00000000">
            <w:r>
              <w:rPr>
                <w:rFonts w:hint="eastAsia"/>
              </w:rPr>
              <w:t>唐港公司</w:t>
            </w:r>
          </w:p>
        </w:tc>
        <w:sdt>
          <w:sdtPr>
            <w:rPr>
              <w:rFonts w:hint="eastAsia"/>
            </w:rPr>
            <w:alias w:val="主要控股参股公司分析明细_公司类型"/>
            <w:tag w:val="_GBC_9e936313969142599bc0a5fab0441112"/>
            <w:id w:val="-1223447831"/>
            <w:comboBox>
              <w:listItem w:displayText="子公司" w:value="子公司"/>
              <w:listItem w:displayText="参股公司" w:value="参股公司"/>
            </w:comboBox>
          </w:sdtPr>
          <w:sdtContent>
            <w:tc>
              <w:tcPr>
                <w:tcW w:w="1627" w:type="dxa"/>
                <w:vAlign w:val="center"/>
              </w:tcPr>
              <w:p w14:paraId="5DD0F51E" w14:textId="77777777" w:rsidR="005E000F" w:rsidRDefault="00000000">
                <w:pPr>
                  <w:kinsoku w:val="0"/>
                  <w:overflowPunct w:val="0"/>
                  <w:autoSpaceDE w:val="0"/>
                  <w:autoSpaceDN w:val="0"/>
                  <w:adjustRightInd w:val="0"/>
                  <w:snapToGrid w:val="0"/>
                </w:pPr>
                <w:r>
                  <w:rPr>
                    <w:rFonts w:hint="eastAsia"/>
                  </w:rPr>
                  <w:t>子公司</w:t>
                </w:r>
              </w:p>
            </w:tc>
          </w:sdtContent>
        </w:sdt>
        <w:tc>
          <w:tcPr>
            <w:tcW w:w="1524" w:type="dxa"/>
            <w:vAlign w:val="center"/>
          </w:tcPr>
          <w:p w14:paraId="34586A13" w14:textId="77777777" w:rsidR="005E000F" w:rsidRDefault="00000000">
            <w:pPr>
              <w:kinsoku w:val="0"/>
              <w:overflowPunct w:val="0"/>
              <w:autoSpaceDE w:val="0"/>
              <w:autoSpaceDN w:val="0"/>
              <w:adjustRightInd w:val="0"/>
              <w:snapToGrid w:val="0"/>
              <w:rPr>
                <w:b/>
                <w:bCs/>
              </w:rPr>
            </w:pPr>
            <w:r>
              <w:rPr>
                <w:rStyle w:val="50"/>
                <w:rFonts w:hint="eastAsia"/>
                <w:b w:val="0"/>
                <w:bCs w:val="0"/>
              </w:rPr>
              <w:t>铁路运输及铁路运输服务等</w:t>
            </w:r>
          </w:p>
        </w:tc>
        <w:tc>
          <w:tcPr>
            <w:tcW w:w="1524" w:type="dxa"/>
            <w:shd w:val="clear" w:color="auto" w:fill="auto"/>
            <w:vAlign w:val="center"/>
          </w:tcPr>
          <w:p w14:paraId="3EEA1D24" w14:textId="77777777" w:rsidR="005E000F" w:rsidRDefault="00000000">
            <w:pPr>
              <w:jc w:val="right"/>
              <w:rPr>
                <w:rFonts w:cs="宋体"/>
                <w:bCs/>
                <w:lang w:eastAsia="en-US"/>
              </w:rPr>
            </w:pPr>
            <w:r>
              <w:rPr>
                <w:rFonts w:cs="宋体" w:hint="eastAsia"/>
                <w:bCs/>
              </w:rPr>
              <w:t>2,342,260,000</w:t>
            </w:r>
          </w:p>
        </w:tc>
        <w:tc>
          <w:tcPr>
            <w:tcW w:w="1524" w:type="dxa"/>
            <w:vAlign w:val="center"/>
          </w:tcPr>
          <w:p w14:paraId="366CB76F" w14:textId="77777777" w:rsidR="005E000F" w:rsidRDefault="00000000">
            <w:pPr>
              <w:kinsoku w:val="0"/>
              <w:overflowPunct w:val="0"/>
              <w:autoSpaceDE w:val="0"/>
              <w:autoSpaceDN w:val="0"/>
              <w:adjustRightInd w:val="0"/>
              <w:snapToGrid w:val="0"/>
              <w:jc w:val="right"/>
              <w:rPr>
                <w:b/>
                <w:bCs/>
              </w:rPr>
            </w:pPr>
            <w:r>
              <w:rPr>
                <w:rStyle w:val="50"/>
                <w:b w:val="0"/>
                <w:bCs w:val="0"/>
              </w:rPr>
              <w:t xml:space="preserve">15,517,000,136 </w:t>
            </w:r>
          </w:p>
        </w:tc>
        <w:tc>
          <w:tcPr>
            <w:tcW w:w="1524" w:type="dxa"/>
            <w:vAlign w:val="center"/>
          </w:tcPr>
          <w:p w14:paraId="03C5F080" w14:textId="77777777" w:rsidR="005E000F" w:rsidRDefault="00000000">
            <w:pPr>
              <w:kinsoku w:val="0"/>
              <w:overflowPunct w:val="0"/>
              <w:autoSpaceDE w:val="0"/>
              <w:autoSpaceDN w:val="0"/>
              <w:adjustRightInd w:val="0"/>
              <w:snapToGrid w:val="0"/>
              <w:jc w:val="right"/>
              <w:rPr>
                <w:b/>
                <w:bCs/>
              </w:rPr>
            </w:pPr>
            <w:r>
              <w:rPr>
                <w:rStyle w:val="50"/>
                <w:b w:val="0"/>
                <w:bCs w:val="0"/>
              </w:rPr>
              <w:t xml:space="preserve">14,256,368,222 </w:t>
            </w:r>
          </w:p>
        </w:tc>
        <w:tc>
          <w:tcPr>
            <w:tcW w:w="1524" w:type="dxa"/>
            <w:shd w:val="clear" w:color="auto" w:fill="auto"/>
            <w:vAlign w:val="center"/>
          </w:tcPr>
          <w:p w14:paraId="5BA80370" w14:textId="77777777" w:rsidR="005E000F" w:rsidRDefault="00000000">
            <w:pPr>
              <w:spacing w:line="276" w:lineRule="auto"/>
              <w:jc w:val="right"/>
            </w:pPr>
            <w:r>
              <w:t xml:space="preserve"> 6,308,482,478 </w:t>
            </w:r>
          </w:p>
        </w:tc>
        <w:tc>
          <w:tcPr>
            <w:tcW w:w="1521" w:type="dxa"/>
            <w:vAlign w:val="center"/>
          </w:tcPr>
          <w:p w14:paraId="5798CE95" w14:textId="77777777" w:rsidR="005E000F" w:rsidRDefault="00000000">
            <w:pPr>
              <w:kinsoku w:val="0"/>
              <w:overflowPunct w:val="0"/>
              <w:autoSpaceDE w:val="0"/>
              <w:autoSpaceDN w:val="0"/>
              <w:adjustRightInd w:val="0"/>
              <w:snapToGrid w:val="0"/>
              <w:jc w:val="right"/>
            </w:pPr>
            <w:r>
              <w:rPr>
                <w:rFonts w:hint="eastAsia"/>
              </w:rPr>
              <w:t xml:space="preserve"> 1,812,007,725 </w:t>
            </w:r>
          </w:p>
        </w:tc>
        <w:tc>
          <w:tcPr>
            <w:tcW w:w="1624" w:type="dxa"/>
            <w:vAlign w:val="center"/>
          </w:tcPr>
          <w:p w14:paraId="1C39FD60" w14:textId="77777777" w:rsidR="005E000F" w:rsidRDefault="00000000">
            <w:pPr>
              <w:kinsoku w:val="0"/>
              <w:overflowPunct w:val="0"/>
              <w:autoSpaceDE w:val="0"/>
              <w:autoSpaceDN w:val="0"/>
              <w:adjustRightInd w:val="0"/>
              <w:snapToGrid w:val="0"/>
              <w:jc w:val="right"/>
              <w:rPr>
                <w:b/>
                <w:bCs/>
              </w:rPr>
            </w:pPr>
            <w:r>
              <w:rPr>
                <w:rStyle w:val="50"/>
                <w:b w:val="0"/>
                <w:bCs w:val="0"/>
              </w:rPr>
              <w:t xml:space="preserve">1,336,412,193 </w:t>
            </w:r>
          </w:p>
        </w:tc>
      </w:tr>
      <w:tr w:rsidR="005E000F" w14:paraId="3DD18D6D" w14:textId="77777777">
        <w:tc>
          <w:tcPr>
            <w:tcW w:w="1540" w:type="dxa"/>
            <w:vAlign w:val="center"/>
          </w:tcPr>
          <w:p w14:paraId="3A235C37" w14:textId="77777777" w:rsidR="005E000F" w:rsidRDefault="00000000">
            <w:proofErr w:type="gramStart"/>
            <w:r>
              <w:rPr>
                <w:rFonts w:hint="eastAsia"/>
              </w:rPr>
              <w:t>侯禹公司</w:t>
            </w:r>
            <w:proofErr w:type="gramEnd"/>
          </w:p>
        </w:tc>
        <w:sdt>
          <w:sdtPr>
            <w:rPr>
              <w:rFonts w:hint="eastAsia"/>
            </w:rPr>
            <w:alias w:val="主要控股参股公司分析明细_公司类型"/>
            <w:tag w:val="_GBC_9e936313969142599bc0a5fab0441112"/>
            <w:id w:val="12961977"/>
            <w:comboBox>
              <w:listItem w:displayText="子公司" w:value="子公司"/>
              <w:listItem w:displayText="参股公司" w:value="参股公司"/>
            </w:comboBox>
          </w:sdtPr>
          <w:sdtContent>
            <w:tc>
              <w:tcPr>
                <w:tcW w:w="1627" w:type="dxa"/>
                <w:vAlign w:val="center"/>
              </w:tcPr>
              <w:p w14:paraId="79957DAC" w14:textId="77777777" w:rsidR="005E000F" w:rsidRDefault="00000000">
                <w:pPr>
                  <w:kinsoku w:val="0"/>
                  <w:overflowPunct w:val="0"/>
                  <w:autoSpaceDE w:val="0"/>
                  <w:autoSpaceDN w:val="0"/>
                  <w:adjustRightInd w:val="0"/>
                  <w:snapToGrid w:val="0"/>
                </w:pPr>
                <w:r>
                  <w:rPr>
                    <w:rFonts w:hint="eastAsia"/>
                  </w:rPr>
                  <w:t>子公司</w:t>
                </w:r>
              </w:p>
            </w:tc>
          </w:sdtContent>
        </w:sdt>
        <w:tc>
          <w:tcPr>
            <w:tcW w:w="1524" w:type="dxa"/>
            <w:vAlign w:val="center"/>
          </w:tcPr>
          <w:p w14:paraId="77032B90" w14:textId="77777777" w:rsidR="005E000F" w:rsidRDefault="00000000">
            <w:pPr>
              <w:kinsoku w:val="0"/>
              <w:overflowPunct w:val="0"/>
              <w:autoSpaceDE w:val="0"/>
              <w:autoSpaceDN w:val="0"/>
              <w:adjustRightInd w:val="0"/>
              <w:snapToGrid w:val="0"/>
              <w:rPr>
                <w:b/>
                <w:bCs/>
              </w:rPr>
            </w:pPr>
            <w:r>
              <w:rPr>
                <w:rStyle w:val="50"/>
                <w:rFonts w:hint="eastAsia"/>
                <w:b w:val="0"/>
                <w:bCs w:val="0"/>
              </w:rPr>
              <w:t>铁路客货运输服务、铁路货运装卸仓储等</w:t>
            </w:r>
          </w:p>
        </w:tc>
        <w:tc>
          <w:tcPr>
            <w:tcW w:w="1524" w:type="dxa"/>
            <w:shd w:val="clear" w:color="auto" w:fill="auto"/>
            <w:vAlign w:val="center"/>
          </w:tcPr>
          <w:p w14:paraId="4FAB2BB9" w14:textId="77777777" w:rsidR="005E000F" w:rsidRDefault="00000000">
            <w:pPr>
              <w:jc w:val="right"/>
              <w:rPr>
                <w:rFonts w:cs="宋体"/>
                <w:bCs/>
                <w:lang w:eastAsia="en-US"/>
              </w:rPr>
            </w:pPr>
            <w:r>
              <w:rPr>
                <w:rFonts w:cs="宋体" w:hint="eastAsia"/>
                <w:bCs/>
              </w:rPr>
              <w:t>2,000,000,000</w:t>
            </w:r>
          </w:p>
        </w:tc>
        <w:tc>
          <w:tcPr>
            <w:tcW w:w="1524" w:type="dxa"/>
            <w:vAlign w:val="center"/>
          </w:tcPr>
          <w:p w14:paraId="74B92E26"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2,847,458,954 </w:t>
            </w:r>
          </w:p>
        </w:tc>
        <w:tc>
          <w:tcPr>
            <w:tcW w:w="1524" w:type="dxa"/>
            <w:vAlign w:val="center"/>
          </w:tcPr>
          <w:p w14:paraId="7F2C4EC1"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2,772,430,730 </w:t>
            </w:r>
          </w:p>
        </w:tc>
        <w:tc>
          <w:tcPr>
            <w:tcW w:w="1524" w:type="dxa"/>
            <w:shd w:val="clear" w:color="auto" w:fill="auto"/>
            <w:vAlign w:val="center"/>
          </w:tcPr>
          <w:p w14:paraId="61D63221" w14:textId="77777777" w:rsidR="005E000F" w:rsidRDefault="00000000">
            <w:pPr>
              <w:spacing w:line="276" w:lineRule="auto"/>
              <w:jc w:val="right"/>
            </w:pPr>
            <w:r>
              <w:t xml:space="preserve"> 1,827,440,228 </w:t>
            </w:r>
          </w:p>
        </w:tc>
        <w:tc>
          <w:tcPr>
            <w:tcW w:w="1521" w:type="dxa"/>
            <w:shd w:val="clear" w:color="auto" w:fill="auto"/>
            <w:vAlign w:val="center"/>
          </w:tcPr>
          <w:p w14:paraId="714E0B1B" w14:textId="77777777" w:rsidR="005E000F" w:rsidRDefault="00000000">
            <w:pPr>
              <w:spacing w:line="276" w:lineRule="auto"/>
              <w:jc w:val="right"/>
            </w:pPr>
            <w:r>
              <w:rPr>
                <w:rFonts w:hint="eastAsia"/>
              </w:rPr>
              <w:t xml:space="preserve">101,177,151 </w:t>
            </w:r>
          </w:p>
        </w:tc>
        <w:tc>
          <w:tcPr>
            <w:tcW w:w="1624" w:type="dxa"/>
            <w:vAlign w:val="center"/>
          </w:tcPr>
          <w:p w14:paraId="5A0CF2F5"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74,520,769</w:t>
            </w:r>
          </w:p>
        </w:tc>
      </w:tr>
      <w:tr w:rsidR="005E000F" w14:paraId="6127EEF4" w14:textId="77777777">
        <w:tc>
          <w:tcPr>
            <w:tcW w:w="1540" w:type="dxa"/>
            <w:vAlign w:val="center"/>
          </w:tcPr>
          <w:p w14:paraId="2B2B6212" w14:textId="77777777" w:rsidR="005E000F" w:rsidRDefault="00000000">
            <w:proofErr w:type="gramStart"/>
            <w:r>
              <w:rPr>
                <w:rFonts w:hint="eastAsia"/>
              </w:rPr>
              <w:t>太兴</w:t>
            </w:r>
            <w:proofErr w:type="gramEnd"/>
            <w:r>
              <w:rPr>
                <w:rFonts w:hint="eastAsia"/>
              </w:rPr>
              <w:t>公司</w:t>
            </w:r>
          </w:p>
        </w:tc>
        <w:tc>
          <w:tcPr>
            <w:tcW w:w="1627" w:type="dxa"/>
            <w:vAlign w:val="center"/>
          </w:tcPr>
          <w:p w14:paraId="3A5E0D5A" w14:textId="77777777" w:rsidR="005E000F" w:rsidRDefault="00000000">
            <w:pPr>
              <w:kinsoku w:val="0"/>
              <w:overflowPunct w:val="0"/>
              <w:autoSpaceDE w:val="0"/>
              <w:autoSpaceDN w:val="0"/>
              <w:adjustRightInd w:val="0"/>
              <w:snapToGrid w:val="0"/>
            </w:pPr>
            <w:r>
              <w:rPr>
                <w:rFonts w:hint="eastAsia"/>
              </w:rPr>
              <w:t>子公司</w:t>
            </w:r>
          </w:p>
        </w:tc>
        <w:tc>
          <w:tcPr>
            <w:tcW w:w="1524" w:type="dxa"/>
            <w:vAlign w:val="center"/>
          </w:tcPr>
          <w:p w14:paraId="4533141B" w14:textId="77777777" w:rsidR="005E000F" w:rsidRDefault="00000000">
            <w:pPr>
              <w:kinsoku w:val="0"/>
              <w:overflowPunct w:val="0"/>
              <w:autoSpaceDE w:val="0"/>
              <w:autoSpaceDN w:val="0"/>
              <w:adjustRightInd w:val="0"/>
              <w:snapToGrid w:val="0"/>
              <w:rPr>
                <w:b/>
                <w:bCs/>
              </w:rPr>
            </w:pPr>
            <w:r>
              <w:rPr>
                <w:rStyle w:val="50"/>
                <w:rFonts w:hint="eastAsia"/>
                <w:b w:val="0"/>
                <w:bCs w:val="0"/>
              </w:rPr>
              <w:t>铁路客货运输服务、铁路货运装卸仓储等</w:t>
            </w:r>
          </w:p>
        </w:tc>
        <w:tc>
          <w:tcPr>
            <w:tcW w:w="1524" w:type="dxa"/>
            <w:shd w:val="clear" w:color="auto" w:fill="auto"/>
            <w:vAlign w:val="center"/>
          </w:tcPr>
          <w:p w14:paraId="5397248D" w14:textId="77777777" w:rsidR="005E000F" w:rsidRDefault="00000000">
            <w:pPr>
              <w:jc w:val="right"/>
              <w:rPr>
                <w:rFonts w:cs="宋体"/>
                <w:bCs/>
                <w:lang w:eastAsia="en-US"/>
              </w:rPr>
            </w:pPr>
            <w:r>
              <w:rPr>
                <w:rFonts w:cs="宋体" w:hint="eastAsia"/>
                <w:bCs/>
              </w:rPr>
              <w:t>5,042,654,500</w:t>
            </w:r>
          </w:p>
        </w:tc>
        <w:tc>
          <w:tcPr>
            <w:tcW w:w="1524" w:type="dxa"/>
            <w:vAlign w:val="center"/>
          </w:tcPr>
          <w:p w14:paraId="68621FC5"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8,254,571,709 </w:t>
            </w:r>
          </w:p>
        </w:tc>
        <w:tc>
          <w:tcPr>
            <w:tcW w:w="1524" w:type="dxa"/>
            <w:vAlign w:val="center"/>
          </w:tcPr>
          <w:p w14:paraId="1769ADA6"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3,441,145,426 </w:t>
            </w:r>
          </w:p>
        </w:tc>
        <w:tc>
          <w:tcPr>
            <w:tcW w:w="1524" w:type="dxa"/>
            <w:shd w:val="clear" w:color="auto" w:fill="auto"/>
            <w:vAlign w:val="center"/>
          </w:tcPr>
          <w:p w14:paraId="4C376E0E" w14:textId="77777777" w:rsidR="005E000F" w:rsidRDefault="00000000">
            <w:pPr>
              <w:spacing w:line="276" w:lineRule="auto"/>
              <w:jc w:val="right"/>
            </w:pPr>
            <w:r>
              <w:t xml:space="preserve"> 1,589,630,625 </w:t>
            </w:r>
          </w:p>
        </w:tc>
        <w:tc>
          <w:tcPr>
            <w:tcW w:w="1521" w:type="dxa"/>
            <w:shd w:val="clear" w:color="auto" w:fill="auto"/>
            <w:vAlign w:val="center"/>
          </w:tcPr>
          <w:p w14:paraId="0585E422" w14:textId="77777777" w:rsidR="005E000F" w:rsidRDefault="00000000">
            <w:pPr>
              <w:spacing w:line="276" w:lineRule="auto"/>
              <w:jc w:val="right"/>
            </w:pPr>
            <w:r>
              <w:rPr>
                <w:rFonts w:hint="eastAsia"/>
              </w:rPr>
              <w:t xml:space="preserve">-258,961,507 </w:t>
            </w:r>
          </w:p>
        </w:tc>
        <w:tc>
          <w:tcPr>
            <w:tcW w:w="1624" w:type="dxa"/>
            <w:vAlign w:val="center"/>
          </w:tcPr>
          <w:p w14:paraId="7C8DA60B"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-262,043,434 </w:t>
            </w:r>
          </w:p>
        </w:tc>
      </w:tr>
      <w:tr w:rsidR="005E000F" w14:paraId="01EC52E1" w14:textId="77777777">
        <w:tc>
          <w:tcPr>
            <w:tcW w:w="1540" w:type="dxa"/>
            <w:vAlign w:val="center"/>
          </w:tcPr>
          <w:p w14:paraId="5406E353" w14:textId="77777777" w:rsidR="005E000F" w:rsidRDefault="00000000">
            <w:r>
              <w:rPr>
                <w:rFonts w:hint="eastAsia"/>
              </w:rPr>
              <w:lastRenderedPageBreak/>
              <w:t>中鼎公司</w:t>
            </w:r>
          </w:p>
        </w:tc>
        <w:tc>
          <w:tcPr>
            <w:tcW w:w="1627" w:type="dxa"/>
            <w:vAlign w:val="center"/>
          </w:tcPr>
          <w:p w14:paraId="274BDB71" w14:textId="77777777" w:rsidR="005E000F" w:rsidRDefault="00000000">
            <w:pPr>
              <w:kinsoku w:val="0"/>
              <w:overflowPunct w:val="0"/>
              <w:autoSpaceDE w:val="0"/>
              <w:autoSpaceDN w:val="0"/>
              <w:adjustRightInd w:val="0"/>
              <w:snapToGrid w:val="0"/>
            </w:pPr>
            <w:r>
              <w:rPr>
                <w:rFonts w:hint="eastAsia"/>
              </w:rPr>
              <w:t>子公司</w:t>
            </w:r>
          </w:p>
        </w:tc>
        <w:tc>
          <w:tcPr>
            <w:tcW w:w="1524" w:type="dxa"/>
            <w:vAlign w:val="center"/>
          </w:tcPr>
          <w:p w14:paraId="242E544C" w14:textId="77777777" w:rsidR="005E000F" w:rsidRDefault="00000000">
            <w:pPr>
              <w:kinsoku w:val="0"/>
              <w:overflowPunct w:val="0"/>
              <w:autoSpaceDE w:val="0"/>
              <w:autoSpaceDN w:val="0"/>
              <w:adjustRightInd w:val="0"/>
              <w:snapToGrid w:val="0"/>
              <w:rPr>
                <w:b/>
                <w:bCs/>
              </w:rPr>
            </w:pPr>
            <w:r>
              <w:rPr>
                <w:rStyle w:val="50"/>
                <w:rFonts w:hint="eastAsia"/>
                <w:b w:val="0"/>
                <w:bCs w:val="0"/>
              </w:rPr>
              <w:t>铁路货物装卸、仓储搬运；物流配送等</w:t>
            </w:r>
          </w:p>
        </w:tc>
        <w:tc>
          <w:tcPr>
            <w:tcW w:w="1524" w:type="dxa"/>
            <w:shd w:val="clear" w:color="auto" w:fill="auto"/>
            <w:vAlign w:val="center"/>
          </w:tcPr>
          <w:p w14:paraId="20649DB6" w14:textId="77777777" w:rsidR="005E000F" w:rsidRDefault="00000000">
            <w:pPr>
              <w:jc w:val="right"/>
              <w:rPr>
                <w:rFonts w:cs="宋体"/>
                <w:bCs/>
                <w:lang w:eastAsia="en-US"/>
              </w:rPr>
            </w:pPr>
            <w:r>
              <w:rPr>
                <w:rFonts w:cs="宋体" w:hint="eastAsia"/>
                <w:bCs/>
              </w:rPr>
              <w:t>2,092,500,000</w:t>
            </w:r>
          </w:p>
        </w:tc>
        <w:tc>
          <w:tcPr>
            <w:tcW w:w="1524" w:type="dxa"/>
            <w:vAlign w:val="center"/>
          </w:tcPr>
          <w:p w14:paraId="4F030823" w14:textId="77777777" w:rsidR="005E000F" w:rsidRDefault="00000000">
            <w:pPr>
              <w:kinsoku w:val="0"/>
              <w:overflowPunct w:val="0"/>
              <w:autoSpaceDE w:val="0"/>
              <w:autoSpaceDN w:val="0"/>
              <w:adjustRightInd w:val="0"/>
              <w:snapToGrid w:val="0"/>
              <w:jc w:val="right"/>
              <w:rPr>
                <w:b/>
                <w:bCs/>
              </w:rPr>
            </w:pPr>
            <w:r>
              <w:rPr>
                <w:rStyle w:val="50"/>
                <w:b w:val="0"/>
                <w:bCs w:val="0"/>
              </w:rPr>
              <w:t>2,952,192,386</w:t>
            </w:r>
          </w:p>
        </w:tc>
        <w:tc>
          <w:tcPr>
            <w:tcW w:w="1524" w:type="dxa"/>
            <w:vAlign w:val="center"/>
          </w:tcPr>
          <w:p w14:paraId="425C0952" w14:textId="77777777" w:rsidR="005E000F" w:rsidRDefault="00000000">
            <w:pPr>
              <w:kinsoku w:val="0"/>
              <w:overflowPunct w:val="0"/>
              <w:autoSpaceDE w:val="0"/>
              <w:autoSpaceDN w:val="0"/>
              <w:adjustRightInd w:val="0"/>
              <w:snapToGrid w:val="0"/>
              <w:jc w:val="right"/>
              <w:rPr>
                <w:b/>
                <w:bCs/>
              </w:rPr>
            </w:pPr>
            <w:r>
              <w:rPr>
                <w:rStyle w:val="50"/>
                <w:b w:val="0"/>
                <w:bCs w:val="0"/>
              </w:rPr>
              <w:t>669,206,009</w:t>
            </w:r>
          </w:p>
        </w:tc>
        <w:tc>
          <w:tcPr>
            <w:tcW w:w="1524" w:type="dxa"/>
            <w:shd w:val="clear" w:color="auto" w:fill="auto"/>
            <w:vAlign w:val="center"/>
          </w:tcPr>
          <w:p w14:paraId="5FDE6A20" w14:textId="77777777" w:rsidR="005E000F" w:rsidRDefault="00000000">
            <w:pPr>
              <w:spacing w:line="276" w:lineRule="auto"/>
              <w:jc w:val="right"/>
            </w:pPr>
            <w:r>
              <w:t xml:space="preserve"> 127,442,014 </w:t>
            </w:r>
          </w:p>
        </w:tc>
        <w:tc>
          <w:tcPr>
            <w:tcW w:w="1521" w:type="dxa"/>
            <w:shd w:val="clear" w:color="auto" w:fill="auto"/>
            <w:vAlign w:val="center"/>
          </w:tcPr>
          <w:p w14:paraId="729A3792" w14:textId="77777777" w:rsidR="005E000F" w:rsidRDefault="00000000">
            <w:pPr>
              <w:kinsoku w:val="0"/>
              <w:overflowPunct w:val="0"/>
              <w:autoSpaceDE w:val="0"/>
              <w:autoSpaceDN w:val="0"/>
              <w:adjustRightInd w:val="0"/>
              <w:snapToGrid w:val="0"/>
              <w:jc w:val="right"/>
              <w:rPr>
                <w:rStyle w:val="50"/>
                <w:b w:val="0"/>
                <w:bCs w:val="0"/>
              </w:rPr>
            </w:pPr>
            <w:r>
              <w:rPr>
                <w:rStyle w:val="50"/>
                <w:rFonts w:hint="eastAsia"/>
                <w:b w:val="0"/>
                <w:bCs w:val="0"/>
              </w:rPr>
              <w:t xml:space="preserve">-120,281,866 </w:t>
            </w:r>
          </w:p>
        </w:tc>
        <w:tc>
          <w:tcPr>
            <w:tcW w:w="1624" w:type="dxa"/>
            <w:vAlign w:val="center"/>
          </w:tcPr>
          <w:p w14:paraId="2152D619" w14:textId="77777777" w:rsidR="005E000F" w:rsidRDefault="00000000">
            <w:pPr>
              <w:kinsoku w:val="0"/>
              <w:overflowPunct w:val="0"/>
              <w:autoSpaceDE w:val="0"/>
              <w:autoSpaceDN w:val="0"/>
              <w:adjustRightInd w:val="0"/>
              <w:snapToGrid w:val="0"/>
              <w:jc w:val="right"/>
              <w:rPr>
                <w:rStyle w:val="50"/>
                <w:b w:val="0"/>
                <w:bCs w:val="0"/>
              </w:rPr>
            </w:pPr>
            <w:r>
              <w:rPr>
                <w:rStyle w:val="50"/>
                <w:rFonts w:hint="eastAsia"/>
                <w:b w:val="0"/>
                <w:bCs w:val="0"/>
              </w:rPr>
              <w:t>-122,933,440</w:t>
            </w:r>
          </w:p>
        </w:tc>
      </w:tr>
      <w:tr w:rsidR="005E000F" w14:paraId="0C2C8EB3" w14:textId="77777777">
        <w:tc>
          <w:tcPr>
            <w:tcW w:w="1540" w:type="dxa"/>
            <w:vAlign w:val="center"/>
          </w:tcPr>
          <w:p w14:paraId="62343463" w14:textId="77777777" w:rsidR="005E000F" w:rsidRDefault="00000000">
            <w:r>
              <w:rPr>
                <w:rFonts w:hint="eastAsia"/>
              </w:rPr>
              <w:t>西南环公司</w:t>
            </w:r>
          </w:p>
        </w:tc>
        <w:tc>
          <w:tcPr>
            <w:tcW w:w="1627" w:type="dxa"/>
            <w:vAlign w:val="center"/>
          </w:tcPr>
          <w:p w14:paraId="07CAB215" w14:textId="77777777" w:rsidR="005E000F" w:rsidRDefault="00000000">
            <w:pPr>
              <w:kinsoku w:val="0"/>
              <w:overflowPunct w:val="0"/>
              <w:autoSpaceDE w:val="0"/>
              <w:autoSpaceDN w:val="0"/>
              <w:adjustRightInd w:val="0"/>
              <w:snapToGrid w:val="0"/>
            </w:pPr>
            <w:r>
              <w:rPr>
                <w:rFonts w:hint="eastAsia"/>
              </w:rPr>
              <w:t>子公司</w:t>
            </w:r>
          </w:p>
        </w:tc>
        <w:tc>
          <w:tcPr>
            <w:tcW w:w="1524" w:type="dxa"/>
            <w:vAlign w:val="center"/>
          </w:tcPr>
          <w:p w14:paraId="061E7A44" w14:textId="77777777" w:rsidR="005E000F" w:rsidRDefault="00000000">
            <w:pPr>
              <w:kinsoku w:val="0"/>
              <w:overflowPunct w:val="0"/>
              <w:autoSpaceDE w:val="0"/>
              <w:autoSpaceDN w:val="0"/>
              <w:adjustRightInd w:val="0"/>
              <w:snapToGrid w:val="0"/>
              <w:rPr>
                <w:b/>
                <w:bCs/>
              </w:rPr>
            </w:pPr>
            <w:r>
              <w:rPr>
                <w:rStyle w:val="50"/>
                <w:rFonts w:hint="eastAsia"/>
                <w:b w:val="0"/>
                <w:bCs w:val="0"/>
              </w:rPr>
              <w:t>铁路货物运输等</w:t>
            </w:r>
          </w:p>
        </w:tc>
        <w:tc>
          <w:tcPr>
            <w:tcW w:w="1524" w:type="dxa"/>
            <w:shd w:val="clear" w:color="auto" w:fill="auto"/>
            <w:vAlign w:val="center"/>
          </w:tcPr>
          <w:p w14:paraId="5A4543BD" w14:textId="77777777" w:rsidR="005E000F" w:rsidRDefault="00000000">
            <w:pPr>
              <w:jc w:val="right"/>
              <w:rPr>
                <w:rFonts w:cs="宋体"/>
                <w:bCs/>
                <w:lang w:eastAsia="en-US"/>
              </w:rPr>
            </w:pPr>
            <w:r>
              <w:rPr>
                <w:rFonts w:cs="宋体" w:hint="eastAsia"/>
                <w:bCs/>
              </w:rPr>
              <w:t>4,690,000,000</w:t>
            </w:r>
          </w:p>
        </w:tc>
        <w:tc>
          <w:tcPr>
            <w:tcW w:w="1524" w:type="dxa"/>
            <w:vAlign w:val="center"/>
          </w:tcPr>
          <w:p w14:paraId="2E449CFA"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9,614,922,153 </w:t>
            </w:r>
          </w:p>
        </w:tc>
        <w:tc>
          <w:tcPr>
            <w:tcW w:w="1524" w:type="dxa"/>
            <w:vAlign w:val="center"/>
          </w:tcPr>
          <w:p w14:paraId="1946EB34"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5,219,844,507 </w:t>
            </w:r>
          </w:p>
        </w:tc>
        <w:tc>
          <w:tcPr>
            <w:tcW w:w="1524" w:type="dxa"/>
            <w:shd w:val="clear" w:color="auto" w:fill="auto"/>
            <w:vAlign w:val="center"/>
          </w:tcPr>
          <w:p w14:paraId="50B9EF33" w14:textId="77777777" w:rsidR="005E000F" w:rsidRDefault="00000000">
            <w:pPr>
              <w:spacing w:line="276" w:lineRule="auto"/>
              <w:jc w:val="right"/>
            </w:pPr>
            <w:r>
              <w:t xml:space="preserve"> 554,870,136 </w:t>
            </w:r>
          </w:p>
        </w:tc>
        <w:tc>
          <w:tcPr>
            <w:tcW w:w="1521" w:type="dxa"/>
            <w:shd w:val="clear" w:color="auto" w:fill="auto"/>
            <w:vAlign w:val="center"/>
          </w:tcPr>
          <w:p w14:paraId="081A520B" w14:textId="77777777" w:rsidR="005E000F" w:rsidRDefault="00000000">
            <w:pPr>
              <w:kinsoku w:val="0"/>
              <w:overflowPunct w:val="0"/>
              <w:autoSpaceDE w:val="0"/>
              <w:autoSpaceDN w:val="0"/>
              <w:adjustRightInd w:val="0"/>
              <w:snapToGrid w:val="0"/>
              <w:jc w:val="right"/>
              <w:rPr>
                <w:rStyle w:val="50"/>
                <w:b w:val="0"/>
                <w:bCs w:val="0"/>
              </w:rPr>
            </w:pPr>
            <w:r>
              <w:rPr>
                <w:rStyle w:val="50"/>
                <w:rFonts w:hint="eastAsia"/>
                <w:b w:val="0"/>
                <w:bCs w:val="0"/>
              </w:rPr>
              <w:t xml:space="preserve">-84,297,530 </w:t>
            </w:r>
          </w:p>
        </w:tc>
        <w:tc>
          <w:tcPr>
            <w:tcW w:w="1624" w:type="dxa"/>
            <w:vAlign w:val="center"/>
          </w:tcPr>
          <w:p w14:paraId="74CA33A7"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-85,630,507 </w:t>
            </w:r>
          </w:p>
        </w:tc>
      </w:tr>
      <w:tr w:rsidR="005E000F" w14:paraId="41E89452" w14:textId="77777777">
        <w:tc>
          <w:tcPr>
            <w:tcW w:w="1540" w:type="dxa"/>
            <w:vAlign w:val="center"/>
          </w:tcPr>
          <w:p w14:paraId="246B146A" w14:textId="77777777" w:rsidR="005E000F" w:rsidRDefault="00000000">
            <w:r>
              <w:rPr>
                <w:rFonts w:hint="eastAsia"/>
              </w:rPr>
              <w:t>大</w:t>
            </w:r>
            <w:proofErr w:type="gramStart"/>
            <w:r>
              <w:rPr>
                <w:rFonts w:hint="eastAsia"/>
              </w:rPr>
              <w:t>秦经贸</w:t>
            </w:r>
            <w:proofErr w:type="gramEnd"/>
            <w:r>
              <w:rPr>
                <w:rFonts w:hint="eastAsia"/>
              </w:rPr>
              <w:t>公司</w:t>
            </w:r>
          </w:p>
        </w:tc>
        <w:tc>
          <w:tcPr>
            <w:tcW w:w="1627" w:type="dxa"/>
            <w:vAlign w:val="center"/>
          </w:tcPr>
          <w:p w14:paraId="3AFAE081" w14:textId="77777777" w:rsidR="005E000F" w:rsidRDefault="00000000">
            <w:pPr>
              <w:kinsoku w:val="0"/>
              <w:overflowPunct w:val="0"/>
              <w:autoSpaceDE w:val="0"/>
              <w:autoSpaceDN w:val="0"/>
              <w:adjustRightInd w:val="0"/>
              <w:snapToGrid w:val="0"/>
            </w:pPr>
            <w:r>
              <w:rPr>
                <w:rFonts w:hint="eastAsia"/>
              </w:rPr>
              <w:t>子公司</w:t>
            </w:r>
          </w:p>
        </w:tc>
        <w:tc>
          <w:tcPr>
            <w:tcW w:w="1524" w:type="dxa"/>
            <w:vAlign w:val="center"/>
          </w:tcPr>
          <w:p w14:paraId="45837EF8" w14:textId="77777777" w:rsidR="005E000F" w:rsidRDefault="00000000">
            <w:pPr>
              <w:kinsoku w:val="0"/>
              <w:overflowPunct w:val="0"/>
              <w:autoSpaceDE w:val="0"/>
              <w:autoSpaceDN w:val="0"/>
              <w:adjustRightInd w:val="0"/>
              <w:snapToGrid w:val="0"/>
              <w:rPr>
                <w:b/>
                <w:bCs/>
              </w:rPr>
            </w:pPr>
            <w:r>
              <w:rPr>
                <w:rStyle w:val="50"/>
                <w:rFonts w:hint="eastAsia"/>
                <w:b w:val="0"/>
                <w:bCs w:val="0"/>
              </w:rPr>
              <w:t>铁路运输设备设施及配件的制造、安装、维修、租赁、销售等</w:t>
            </w:r>
          </w:p>
        </w:tc>
        <w:tc>
          <w:tcPr>
            <w:tcW w:w="1524" w:type="dxa"/>
            <w:shd w:val="clear" w:color="auto" w:fill="auto"/>
            <w:vAlign w:val="center"/>
          </w:tcPr>
          <w:p w14:paraId="60AABC38" w14:textId="77777777" w:rsidR="005E000F" w:rsidRDefault="00000000">
            <w:pPr>
              <w:kinsoku w:val="0"/>
              <w:overflowPunct w:val="0"/>
              <w:autoSpaceDE w:val="0"/>
              <w:autoSpaceDN w:val="0"/>
              <w:adjustRightInd w:val="0"/>
              <w:snapToGrid w:val="0"/>
              <w:jc w:val="right"/>
              <w:rPr>
                <w:rStyle w:val="50"/>
                <w:b w:val="0"/>
                <w:bCs w:val="0"/>
                <w:lang w:eastAsia="en-US"/>
              </w:rPr>
            </w:pPr>
            <w:r>
              <w:rPr>
                <w:rStyle w:val="50"/>
                <w:rFonts w:hint="eastAsia"/>
                <w:b w:val="0"/>
                <w:bCs w:val="0"/>
              </w:rPr>
              <w:t>130,000,000</w:t>
            </w:r>
          </w:p>
        </w:tc>
        <w:tc>
          <w:tcPr>
            <w:tcW w:w="1524" w:type="dxa"/>
            <w:vAlign w:val="center"/>
          </w:tcPr>
          <w:p w14:paraId="11039F2A"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238,451,974 </w:t>
            </w:r>
          </w:p>
        </w:tc>
        <w:tc>
          <w:tcPr>
            <w:tcW w:w="1524" w:type="dxa"/>
            <w:vAlign w:val="center"/>
          </w:tcPr>
          <w:p w14:paraId="52FDDA89"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212,223,077 </w:t>
            </w:r>
          </w:p>
        </w:tc>
        <w:tc>
          <w:tcPr>
            <w:tcW w:w="1524" w:type="dxa"/>
            <w:shd w:val="clear" w:color="auto" w:fill="auto"/>
            <w:vAlign w:val="center"/>
          </w:tcPr>
          <w:p w14:paraId="6FB59029" w14:textId="77777777" w:rsidR="005E000F" w:rsidRDefault="00000000">
            <w:pPr>
              <w:spacing w:line="276" w:lineRule="auto"/>
              <w:jc w:val="right"/>
            </w:pPr>
            <w:r>
              <w:rPr>
                <w:rFonts w:hint="eastAsia"/>
              </w:rPr>
              <w:t xml:space="preserve">42,244,034 </w:t>
            </w:r>
          </w:p>
        </w:tc>
        <w:tc>
          <w:tcPr>
            <w:tcW w:w="1521" w:type="dxa"/>
            <w:shd w:val="clear" w:color="auto" w:fill="auto"/>
            <w:vAlign w:val="center"/>
          </w:tcPr>
          <w:p w14:paraId="23685F4B" w14:textId="77777777" w:rsidR="005E000F" w:rsidRDefault="00000000">
            <w:pPr>
              <w:spacing w:line="276" w:lineRule="auto"/>
              <w:jc w:val="right"/>
            </w:pPr>
            <w:r>
              <w:rPr>
                <w:rFonts w:hint="eastAsia"/>
              </w:rPr>
              <w:t xml:space="preserve">554,182 </w:t>
            </w:r>
          </w:p>
        </w:tc>
        <w:tc>
          <w:tcPr>
            <w:tcW w:w="1624" w:type="dxa"/>
            <w:vAlign w:val="center"/>
          </w:tcPr>
          <w:p w14:paraId="761C9762" w14:textId="77777777" w:rsidR="005E000F" w:rsidRDefault="00000000">
            <w:pPr>
              <w:kinsoku w:val="0"/>
              <w:overflowPunct w:val="0"/>
              <w:autoSpaceDE w:val="0"/>
              <w:autoSpaceDN w:val="0"/>
              <w:adjustRightInd w:val="0"/>
              <w:snapToGrid w:val="0"/>
              <w:jc w:val="right"/>
              <w:rPr>
                <w:b/>
                <w:bCs/>
              </w:rPr>
            </w:pPr>
            <w:r>
              <w:rPr>
                <w:rStyle w:val="50"/>
                <w:b w:val="0"/>
                <w:bCs w:val="0"/>
              </w:rPr>
              <w:t xml:space="preserve"> -691,619 </w:t>
            </w:r>
          </w:p>
        </w:tc>
      </w:tr>
      <w:tr w:rsidR="005E000F" w14:paraId="758CEDF2" w14:textId="77777777">
        <w:tc>
          <w:tcPr>
            <w:tcW w:w="1540" w:type="dxa"/>
            <w:vAlign w:val="center"/>
          </w:tcPr>
          <w:p w14:paraId="128EE23D" w14:textId="77777777" w:rsidR="005E000F" w:rsidRDefault="00000000">
            <w:r>
              <w:rPr>
                <w:rFonts w:hint="eastAsia"/>
              </w:rPr>
              <w:t>朔黄铁路</w:t>
            </w:r>
          </w:p>
        </w:tc>
        <w:tc>
          <w:tcPr>
            <w:tcW w:w="1627" w:type="dxa"/>
            <w:vAlign w:val="center"/>
          </w:tcPr>
          <w:p w14:paraId="0E89E67A" w14:textId="77777777" w:rsidR="005E000F" w:rsidRDefault="00000000">
            <w:pPr>
              <w:kinsoku w:val="0"/>
              <w:overflowPunct w:val="0"/>
              <w:autoSpaceDE w:val="0"/>
              <w:autoSpaceDN w:val="0"/>
              <w:adjustRightInd w:val="0"/>
              <w:snapToGrid w:val="0"/>
            </w:pPr>
            <w:r>
              <w:rPr>
                <w:rFonts w:hint="eastAsia"/>
              </w:rPr>
              <w:t>参股公司</w:t>
            </w:r>
          </w:p>
        </w:tc>
        <w:tc>
          <w:tcPr>
            <w:tcW w:w="1524" w:type="dxa"/>
            <w:vAlign w:val="center"/>
          </w:tcPr>
          <w:p w14:paraId="5B5B7F28" w14:textId="77777777" w:rsidR="005E000F" w:rsidRDefault="00000000">
            <w:pPr>
              <w:kinsoku w:val="0"/>
              <w:overflowPunct w:val="0"/>
              <w:autoSpaceDE w:val="0"/>
              <w:autoSpaceDN w:val="0"/>
              <w:adjustRightInd w:val="0"/>
              <w:snapToGrid w:val="0"/>
              <w:rPr>
                <w:rStyle w:val="50"/>
                <w:b w:val="0"/>
                <w:bCs w:val="0"/>
              </w:rPr>
            </w:pPr>
            <w:r>
              <w:rPr>
                <w:rStyle w:val="50"/>
                <w:rFonts w:hint="eastAsia"/>
                <w:b w:val="0"/>
                <w:bCs w:val="0"/>
              </w:rPr>
              <w:t>煤炭经营及铁路运输</w:t>
            </w:r>
          </w:p>
        </w:tc>
        <w:tc>
          <w:tcPr>
            <w:tcW w:w="1524" w:type="dxa"/>
            <w:vAlign w:val="center"/>
          </w:tcPr>
          <w:p w14:paraId="6029FB25" w14:textId="77777777" w:rsidR="005E000F" w:rsidRDefault="00000000">
            <w:pPr>
              <w:kinsoku w:val="0"/>
              <w:overflowPunct w:val="0"/>
              <w:autoSpaceDE w:val="0"/>
              <w:autoSpaceDN w:val="0"/>
              <w:adjustRightInd w:val="0"/>
              <w:snapToGrid w:val="0"/>
              <w:jc w:val="right"/>
              <w:rPr>
                <w:rStyle w:val="50"/>
                <w:b w:val="0"/>
                <w:bCs w:val="0"/>
              </w:rPr>
            </w:pPr>
            <w:r>
              <w:rPr>
                <w:rStyle w:val="50"/>
                <w:b w:val="0"/>
                <w:bCs w:val="0"/>
              </w:rPr>
              <w:t>15</w:t>
            </w:r>
            <w:r>
              <w:rPr>
                <w:rStyle w:val="50"/>
                <w:rFonts w:hint="eastAsia"/>
                <w:b w:val="0"/>
                <w:bCs w:val="0"/>
              </w:rPr>
              <w:t>,</w:t>
            </w:r>
            <w:r>
              <w:rPr>
                <w:rStyle w:val="50"/>
                <w:b w:val="0"/>
                <w:bCs w:val="0"/>
              </w:rPr>
              <w:t>231</w:t>
            </w:r>
            <w:r>
              <w:rPr>
                <w:rStyle w:val="50"/>
                <w:rFonts w:hint="eastAsia"/>
                <w:b w:val="0"/>
                <w:bCs w:val="0"/>
              </w:rPr>
              <w:t>,</w:t>
            </w:r>
            <w:r>
              <w:rPr>
                <w:rStyle w:val="50"/>
                <w:b w:val="0"/>
                <w:bCs w:val="0"/>
              </w:rPr>
              <w:t>149</w:t>
            </w:r>
            <w:r>
              <w:rPr>
                <w:rStyle w:val="50"/>
                <w:rFonts w:hint="eastAsia"/>
                <w:b w:val="0"/>
                <w:bCs w:val="0"/>
              </w:rPr>
              <w:t>,</w:t>
            </w:r>
            <w:r>
              <w:rPr>
                <w:rStyle w:val="50"/>
                <w:b w:val="0"/>
                <w:bCs w:val="0"/>
              </w:rPr>
              <w:t>058</w:t>
            </w:r>
          </w:p>
        </w:tc>
        <w:tc>
          <w:tcPr>
            <w:tcW w:w="1524" w:type="dxa"/>
            <w:shd w:val="clear" w:color="auto" w:fill="auto"/>
            <w:vAlign w:val="center"/>
          </w:tcPr>
          <w:p w14:paraId="45949D92" w14:textId="77777777" w:rsidR="005E000F" w:rsidRDefault="00000000">
            <w:pPr>
              <w:kinsoku w:val="0"/>
              <w:overflowPunct w:val="0"/>
              <w:autoSpaceDE w:val="0"/>
              <w:autoSpaceDN w:val="0"/>
              <w:adjustRightInd w:val="0"/>
              <w:snapToGrid w:val="0"/>
              <w:jc w:val="right"/>
              <w:rPr>
                <w:rStyle w:val="50"/>
                <w:b w:val="0"/>
                <w:bCs w:val="0"/>
              </w:rPr>
            </w:pPr>
            <w:r>
              <w:rPr>
                <w:rStyle w:val="50"/>
                <w:b w:val="0"/>
                <w:bCs w:val="0"/>
              </w:rPr>
              <w:t xml:space="preserve"> 47,804,472,344 </w:t>
            </w:r>
          </w:p>
        </w:tc>
        <w:tc>
          <w:tcPr>
            <w:tcW w:w="1524" w:type="dxa"/>
            <w:shd w:val="clear" w:color="auto" w:fill="auto"/>
            <w:vAlign w:val="center"/>
          </w:tcPr>
          <w:p w14:paraId="716DCFCA" w14:textId="77777777" w:rsidR="005E000F" w:rsidRDefault="00000000">
            <w:pPr>
              <w:jc w:val="right"/>
              <w:textAlignment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lang w:bidi="ar"/>
              </w:rPr>
              <w:t xml:space="preserve"> </w:t>
            </w:r>
            <w:r>
              <w:rPr>
                <w:rStyle w:val="50"/>
                <w:b w:val="0"/>
                <w:bCs w:val="0"/>
              </w:rPr>
              <w:t>37,233,647,</w:t>
            </w:r>
            <w:r>
              <w:rPr>
                <w:rStyle w:val="50"/>
                <w:rFonts w:hint="eastAsia"/>
                <w:b w:val="0"/>
                <w:bCs w:val="0"/>
              </w:rPr>
              <w:t>020</w:t>
            </w:r>
            <w:r>
              <w:rPr>
                <w:rFonts w:ascii="Arial Narrow" w:eastAsia="Arial Narrow" w:hAnsi="Arial Narrow" w:cs="Arial Narrow"/>
                <w:color w:val="000000"/>
                <w:sz w:val="24"/>
                <w:szCs w:val="24"/>
                <w:lang w:bidi="ar"/>
              </w:rPr>
              <w:t xml:space="preserve"> </w:t>
            </w:r>
          </w:p>
        </w:tc>
        <w:tc>
          <w:tcPr>
            <w:tcW w:w="1524" w:type="dxa"/>
            <w:shd w:val="clear" w:color="auto" w:fill="auto"/>
            <w:vAlign w:val="center"/>
          </w:tcPr>
          <w:p w14:paraId="1CC96BDA" w14:textId="77777777" w:rsidR="005E000F" w:rsidRDefault="00000000">
            <w:pPr>
              <w:kinsoku w:val="0"/>
              <w:overflowPunct w:val="0"/>
              <w:autoSpaceDE w:val="0"/>
              <w:autoSpaceDN w:val="0"/>
              <w:adjustRightInd w:val="0"/>
              <w:snapToGrid w:val="0"/>
              <w:jc w:val="right"/>
              <w:rPr>
                <w:rStyle w:val="50"/>
                <w:b w:val="0"/>
                <w:bCs w:val="0"/>
              </w:rPr>
            </w:pPr>
            <w:r>
              <w:rPr>
                <w:rStyle w:val="50"/>
                <w:b w:val="0"/>
                <w:bCs w:val="0"/>
              </w:rPr>
              <w:t xml:space="preserve"> 23,060,953,057 </w:t>
            </w:r>
          </w:p>
        </w:tc>
        <w:tc>
          <w:tcPr>
            <w:tcW w:w="1521" w:type="dxa"/>
            <w:vAlign w:val="center"/>
          </w:tcPr>
          <w:p w14:paraId="763B3A39" w14:textId="77777777" w:rsidR="005E000F" w:rsidRDefault="00000000">
            <w:pPr>
              <w:kinsoku w:val="0"/>
              <w:overflowPunct w:val="0"/>
              <w:autoSpaceDE w:val="0"/>
              <w:autoSpaceDN w:val="0"/>
              <w:adjustRightInd w:val="0"/>
              <w:snapToGrid w:val="0"/>
              <w:jc w:val="right"/>
              <w:rPr>
                <w:rStyle w:val="50"/>
                <w:b w:val="0"/>
                <w:bCs w:val="0"/>
              </w:rPr>
            </w:pPr>
            <w:r>
              <w:rPr>
                <w:rStyle w:val="50"/>
                <w:b w:val="0"/>
                <w:bCs w:val="0"/>
              </w:rPr>
              <w:t>9,087,464,64</w:t>
            </w:r>
            <w:r>
              <w:rPr>
                <w:rStyle w:val="50"/>
                <w:rFonts w:hint="eastAsia"/>
                <w:b w:val="0"/>
                <w:bCs w:val="0"/>
              </w:rPr>
              <w:t>8</w:t>
            </w:r>
          </w:p>
        </w:tc>
        <w:tc>
          <w:tcPr>
            <w:tcW w:w="1624" w:type="dxa"/>
            <w:shd w:val="clear" w:color="auto" w:fill="auto"/>
            <w:vAlign w:val="center"/>
          </w:tcPr>
          <w:p w14:paraId="5935871B" w14:textId="77777777" w:rsidR="005E000F" w:rsidRDefault="00000000">
            <w:pPr>
              <w:jc w:val="right"/>
            </w:pPr>
            <w:r>
              <w:t xml:space="preserve"> 6,526,818,345 </w:t>
            </w:r>
          </w:p>
        </w:tc>
      </w:tr>
    </w:tbl>
    <w:p w14:paraId="3A9166A2" w14:textId="77777777" w:rsidR="005E000F" w:rsidRDefault="00000000">
      <w:r>
        <w:rPr>
          <w:rFonts w:hint="eastAsia"/>
        </w:rPr>
        <w:t>注：</w:t>
      </w:r>
      <w:r>
        <w:rPr>
          <w:rFonts w:hint="eastAsia"/>
        </w:rPr>
        <w:t>2024</w:t>
      </w:r>
      <w:r>
        <w:rPr>
          <w:rFonts w:hint="eastAsia"/>
        </w:rPr>
        <w:t>年</w:t>
      </w:r>
      <w:r>
        <w:rPr>
          <w:rFonts w:hint="eastAsia"/>
        </w:rPr>
        <w:t>12</w:t>
      </w:r>
      <w:r>
        <w:rPr>
          <w:rFonts w:hint="eastAsia"/>
        </w:rPr>
        <w:t>月，公司完成大秦铁路物流（太原）有限公司、大秦铁路物流（大同）有限公司两家全资子公司工商注册，注册资本各</w:t>
      </w:r>
      <w:r>
        <w:rPr>
          <w:rFonts w:hint="eastAsia"/>
        </w:rPr>
        <w:t>800</w:t>
      </w:r>
      <w:r>
        <w:rPr>
          <w:rFonts w:hint="eastAsia"/>
        </w:rPr>
        <w:t>万元。</w:t>
      </w:r>
    </w:p>
    <w:p w14:paraId="771B294B" w14:textId="77777777" w:rsidR="005E000F" w:rsidRDefault="005E000F"/>
    <w:p w14:paraId="680C1748" w14:textId="77777777" w:rsidR="005E000F" w:rsidRDefault="00000000">
      <w:r>
        <w:rPr>
          <w:rFonts w:hint="eastAsia"/>
        </w:rPr>
        <w:t>报告期内取得和处置子公司的情况</w:t>
      </w:r>
    </w:p>
    <w:sdt>
      <w:sdtPr>
        <w:rPr>
          <w:rFonts w:hint="eastAsia"/>
          <w:color w:val="000000"/>
        </w:rPr>
        <w:alias w:val="是否适用：报告期内取得和处置子公司的情况[双击切换]"/>
        <w:tag w:val="_GBC_8383e40750d74718b38f01647f22c9e6"/>
        <w:id w:val="-446244460"/>
        <w:placeholder>
          <w:docPart w:val="GBC22222222222222222222222222222"/>
        </w:placeholder>
      </w:sdtPr>
      <w:sdtContent>
        <w:p w14:paraId="32E61ADF" w14:textId="77777777" w:rsidR="005E000F" w:rsidRDefault="00000000">
          <w:pPr>
            <w:rPr>
              <w:color w:val="000000"/>
            </w:rPr>
          </w:pPr>
          <w:r>
            <w:rPr>
              <w:rFonts w:ascii="宋体" w:hAnsi="宋体" w:hint="eastAsia"/>
              <w:color w:val="000000"/>
            </w:rPr>
            <w:fldChar w:fldCharType="begin"/>
          </w:r>
          <w:r>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color w:val="000000"/>
            </w:rPr>
            <w:instrText xml:space="preserve"> MACROBUTTON  SnrToggleCheckbox √不适用 </w:instrText>
          </w:r>
          <w:r>
            <w:rPr>
              <w:rFonts w:ascii="宋体" w:hAnsi="宋体" w:hint="eastAsia"/>
              <w:color w:val="000000"/>
            </w:rPr>
            <w:fldChar w:fldCharType="end"/>
          </w:r>
        </w:p>
      </w:sdtContent>
    </w:sdt>
    <w:p w14:paraId="40A19E33" w14:textId="77777777" w:rsidR="005E000F" w:rsidRDefault="00000000">
      <w:r>
        <w:rPr>
          <w:rFonts w:hint="eastAsia"/>
        </w:rPr>
        <w:t>其他说明</w:t>
      </w:r>
    </w:p>
    <w:sdt>
      <w:sdtPr>
        <w:rPr>
          <w:rFonts w:hint="eastAsia"/>
          <w:color w:val="000000"/>
        </w:rPr>
        <w:alias w:val="是否适用：主要控股参股公司分析其他说明[双击切换]"/>
        <w:tag w:val="_GBC_c4a3529b582540698fd8e7e129c87fbc"/>
        <w:id w:val="-478153930"/>
        <w:placeholder>
          <w:docPart w:val="GBC22222222222222222222222222222"/>
        </w:placeholder>
      </w:sdtPr>
      <w:sdtContent>
        <w:p w14:paraId="133EE56B" w14:textId="77777777" w:rsidR="005E000F" w:rsidRDefault="00000000">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sdt>
      <w:sdtPr>
        <w:rPr>
          <w:rFonts w:hint="eastAsia"/>
          <w:color w:val="000000" w:themeColor="text1"/>
        </w:rPr>
        <w:alias w:val="主要子公司、参股公司分析"/>
        <w:tag w:val="_GBC_4e7829f79d484fdca34d727699bf9490"/>
        <w:id w:val="-999504385"/>
        <w:placeholder>
          <w:docPart w:val="GBC22222222222222222222222222222"/>
        </w:placeholder>
      </w:sdtPr>
      <w:sdtContent>
        <w:p w14:paraId="6EF3FA02" w14:textId="77777777" w:rsidR="005E000F" w:rsidRDefault="00000000">
          <w:pPr>
            <w:widowControl w:val="0"/>
            <w:ind w:left="420"/>
            <w:jc w:val="both"/>
          </w:pPr>
          <w:r>
            <w:rPr>
              <w:rFonts w:hint="eastAsia"/>
              <w:color w:val="000000" w:themeColor="text1"/>
            </w:rPr>
            <w:t>其他</w:t>
          </w:r>
          <w:r>
            <w:rPr>
              <w:rFonts w:hint="eastAsia"/>
            </w:rPr>
            <w:t>主要参股公司情况</w:t>
          </w:r>
        </w:p>
        <w:p w14:paraId="20CB0B26" w14:textId="77777777" w:rsidR="005E000F" w:rsidRDefault="00000000">
          <w:pPr>
            <w:ind w:right="420" w:firstLineChars="5050" w:firstLine="10605"/>
          </w:pPr>
          <w:r>
            <w:rPr>
              <w:rFonts w:hint="eastAsia"/>
            </w:rPr>
            <w:t>单位：万元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70"/>
            <w:gridCol w:w="3471"/>
            <w:gridCol w:w="3471"/>
            <w:gridCol w:w="3471"/>
          </w:tblGrid>
          <w:tr w:rsidR="005E000F" w14:paraId="350E3769" w14:textId="77777777">
            <w:trPr>
              <w:trHeight w:val="142"/>
              <w:tblHeader/>
              <w:jc w:val="center"/>
            </w:trPr>
            <w:tc>
              <w:tcPr>
                <w:tcW w:w="1250" w:type="pct"/>
                <w:tcBorders>
                  <w:top w:val="single" w:sz="4" w:space="0" w:color="auto"/>
                  <w:left w:val="single" w:sz="4" w:space="0" w:color="auto"/>
                  <w:bottom w:val="single" w:sz="4" w:space="0" w:color="auto"/>
                  <w:right w:val="single" w:sz="4" w:space="0" w:color="auto"/>
                </w:tcBorders>
                <w:vAlign w:val="center"/>
              </w:tcPr>
              <w:p w14:paraId="2877845A" w14:textId="77777777" w:rsidR="005E000F" w:rsidRDefault="00000000">
                <w:pPr>
                  <w:jc w:val="center"/>
                  <w:rPr>
                    <w:b/>
                  </w:rPr>
                </w:pPr>
                <w:r>
                  <w:rPr>
                    <w:rFonts w:hint="eastAsia"/>
                    <w:b/>
                  </w:rPr>
                  <w:t>公司名称</w:t>
                </w:r>
              </w:p>
            </w:tc>
            <w:tc>
              <w:tcPr>
                <w:tcW w:w="1250" w:type="pct"/>
                <w:tcBorders>
                  <w:top w:val="single" w:sz="4" w:space="0" w:color="auto"/>
                  <w:left w:val="single" w:sz="4" w:space="0" w:color="auto"/>
                  <w:bottom w:val="single" w:sz="4" w:space="0" w:color="auto"/>
                  <w:right w:val="single" w:sz="4" w:space="0" w:color="auto"/>
                </w:tcBorders>
                <w:vAlign w:val="center"/>
              </w:tcPr>
              <w:p w14:paraId="0C1D387B" w14:textId="77777777" w:rsidR="005E000F" w:rsidRDefault="00000000">
                <w:pPr>
                  <w:jc w:val="center"/>
                  <w:rPr>
                    <w:b/>
                  </w:rPr>
                </w:pPr>
                <w:r>
                  <w:rPr>
                    <w:rFonts w:hint="eastAsia"/>
                    <w:b/>
                  </w:rPr>
                  <w:t>主要产品或服务</w:t>
                </w:r>
              </w:p>
            </w:tc>
            <w:tc>
              <w:tcPr>
                <w:tcW w:w="1250" w:type="pct"/>
                <w:tcBorders>
                  <w:top w:val="single" w:sz="4" w:space="0" w:color="auto"/>
                  <w:left w:val="single" w:sz="4" w:space="0" w:color="auto"/>
                  <w:bottom w:val="single" w:sz="4" w:space="0" w:color="auto"/>
                  <w:right w:val="single" w:sz="4" w:space="0" w:color="auto"/>
                </w:tcBorders>
                <w:vAlign w:val="center"/>
              </w:tcPr>
              <w:p w14:paraId="580C7A9C" w14:textId="77777777" w:rsidR="005E000F" w:rsidRDefault="00000000">
                <w:pPr>
                  <w:spacing w:beforeLines="50" w:before="120" w:afterLines="50" w:after="120"/>
                  <w:jc w:val="center"/>
                  <w:rPr>
                    <w:b/>
                  </w:rPr>
                </w:pPr>
                <w:r>
                  <w:rPr>
                    <w:rFonts w:hint="eastAsia"/>
                    <w:b/>
                  </w:rPr>
                  <w:t>注册资本</w:t>
                </w:r>
              </w:p>
            </w:tc>
            <w:tc>
              <w:tcPr>
                <w:tcW w:w="1250" w:type="pct"/>
                <w:tcBorders>
                  <w:top w:val="single" w:sz="4" w:space="0" w:color="auto"/>
                  <w:left w:val="single" w:sz="4" w:space="0" w:color="auto"/>
                  <w:bottom w:val="single" w:sz="4" w:space="0" w:color="auto"/>
                </w:tcBorders>
                <w:vAlign w:val="center"/>
              </w:tcPr>
              <w:p w14:paraId="71C887CA" w14:textId="77777777" w:rsidR="005E000F" w:rsidRDefault="00000000">
                <w:pPr>
                  <w:jc w:val="center"/>
                  <w:rPr>
                    <w:b/>
                  </w:rPr>
                </w:pPr>
                <w:r>
                  <w:rPr>
                    <w:rFonts w:hint="eastAsia"/>
                    <w:b/>
                  </w:rPr>
                  <w:t>权益比例（</w:t>
                </w:r>
                <w:r>
                  <w:rPr>
                    <w:rFonts w:hint="eastAsia"/>
                    <w:b/>
                  </w:rPr>
                  <w:t>%</w:t>
                </w:r>
                <w:r>
                  <w:rPr>
                    <w:rFonts w:hint="eastAsia"/>
                    <w:b/>
                  </w:rPr>
                  <w:t>）</w:t>
                </w:r>
              </w:p>
            </w:tc>
          </w:tr>
          <w:tr w:rsidR="005E000F" w14:paraId="37B49275" w14:textId="77777777">
            <w:trPr>
              <w:tblHeader/>
              <w:jc w:val="center"/>
            </w:trPr>
            <w:tc>
              <w:tcPr>
                <w:tcW w:w="1250" w:type="pct"/>
                <w:tcBorders>
                  <w:top w:val="single" w:sz="4" w:space="0" w:color="auto"/>
                  <w:left w:val="single" w:sz="4" w:space="0" w:color="auto"/>
                  <w:bottom w:val="single" w:sz="4" w:space="0" w:color="auto"/>
                  <w:right w:val="single" w:sz="4" w:space="0" w:color="auto"/>
                </w:tcBorders>
                <w:vAlign w:val="center"/>
              </w:tcPr>
              <w:p w14:paraId="7D7087B0" w14:textId="77777777" w:rsidR="005E000F" w:rsidRDefault="00000000">
                <w:pPr>
                  <w:jc w:val="center"/>
                </w:pPr>
                <w:proofErr w:type="gramStart"/>
                <w:r>
                  <w:rPr>
                    <w:rFonts w:hint="eastAsia"/>
                  </w:rPr>
                  <w:t>浩</w:t>
                </w:r>
                <w:proofErr w:type="gramEnd"/>
                <w:r>
                  <w:rPr>
                    <w:rFonts w:hint="eastAsia"/>
                  </w:rPr>
                  <w:t>吉铁路</w:t>
                </w:r>
              </w:p>
            </w:tc>
            <w:tc>
              <w:tcPr>
                <w:tcW w:w="1250" w:type="pct"/>
                <w:tcBorders>
                  <w:top w:val="single" w:sz="4" w:space="0" w:color="auto"/>
                  <w:left w:val="single" w:sz="4" w:space="0" w:color="auto"/>
                  <w:bottom w:val="single" w:sz="4" w:space="0" w:color="auto"/>
                  <w:right w:val="single" w:sz="4" w:space="0" w:color="auto"/>
                </w:tcBorders>
                <w:vAlign w:val="center"/>
              </w:tcPr>
              <w:p w14:paraId="61127541" w14:textId="77777777" w:rsidR="005E000F" w:rsidRDefault="00000000">
                <w:pPr>
                  <w:ind w:leftChars="30" w:left="63" w:rightChars="30" w:right="63"/>
                </w:pPr>
                <w:r>
                  <w:rPr>
                    <w:rFonts w:hint="eastAsia"/>
                  </w:rPr>
                  <w:t>铁路货物运输等</w:t>
                </w:r>
              </w:p>
            </w:tc>
            <w:tc>
              <w:tcPr>
                <w:tcW w:w="1250" w:type="pct"/>
                <w:tcBorders>
                  <w:top w:val="single" w:sz="4" w:space="0" w:color="auto"/>
                  <w:left w:val="single" w:sz="4" w:space="0" w:color="auto"/>
                  <w:bottom w:val="single" w:sz="4" w:space="0" w:color="auto"/>
                  <w:right w:val="single" w:sz="4" w:space="0" w:color="auto"/>
                </w:tcBorders>
                <w:vAlign w:val="center"/>
              </w:tcPr>
              <w:p w14:paraId="1C292471" w14:textId="77777777" w:rsidR="005E000F" w:rsidRDefault="00000000">
                <w:pPr>
                  <w:ind w:rightChars="50" w:right="105"/>
                  <w:jc w:val="right"/>
                </w:pPr>
                <w:r>
                  <w:rPr>
                    <w:rFonts w:hint="eastAsia"/>
                  </w:rPr>
                  <w:t>5,985,000</w:t>
                </w:r>
              </w:p>
            </w:tc>
            <w:tc>
              <w:tcPr>
                <w:tcW w:w="1250" w:type="pct"/>
                <w:tcBorders>
                  <w:top w:val="single" w:sz="4" w:space="0" w:color="auto"/>
                  <w:left w:val="single" w:sz="4" w:space="0" w:color="auto"/>
                  <w:bottom w:val="single" w:sz="4" w:space="0" w:color="auto"/>
                </w:tcBorders>
                <w:vAlign w:val="center"/>
              </w:tcPr>
              <w:p w14:paraId="7167D71E" w14:textId="77777777" w:rsidR="005E000F" w:rsidRDefault="00000000">
                <w:pPr>
                  <w:ind w:rightChars="50" w:right="105"/>
                  <w:jc w:val="right"/>
                </w:pPr>
                <w:r>
                  <w:rPr>
                    <w:rFonts w:hint="eastAsia"/>
                  </w:rPr>
                  <w:t>10</w:t>
                </w:r>
              </w:p>
            </w:tc>
          </w:tr>
          <w:tr w:rsidR="005E000F" w14:paraId="164AC5DC" w14:textId="77777777">
            <w:trPr>
              <w:tblHeader/>
              <w:jc w:val="center"/>
            </w:trPr>
            <w:tc>
              <w:tcPr>
                <w:tcW w:w="1250" w:type="pct"/>
                <w:tcBorders>
                  <w:top w:val="single" w:sz="4" w:space="0" w:color="auto"/>
                  <w:left w:val="single" w:sz="4" w:space="0" w:color="auto"/>
                  <w:bottom w:val="single" w:sz="4" w:space="0" w:color="auto"/>
                  <w:right w:val="single" w:sz="4" w:space="0" w:color="auto"/>
                </w:tcBorders>
                <w:vAlign w:val="center"/>
              </w:tcPr>
              <w:p w14:paraId="25637663" w14:textId="77777777" w:rsidR="005E000F" w:rsidRDefault="00000000">
                <w:pPr>
                  <w:jc w:val="center"/>
                </w:pPr>
                <w:r>
                  <w:rPr>
                    <w:rFonts w:hint="eastAsia"/>
                  </w:rPr>
                  <w:t>秦港股份</w:t>
                </w:r>
              </w:p>
            </w:tc>
            <w:tc>
              <w:tcPr>
                <w:tcW w:w="1250" w:type="pct"/>
                <w:tcBorders>
                  <w:top w:val="single" w:sz="4" w:space="0" w:color="auto"/>
                  <w:left w:val="single" w:sz="4" w:space="0" w:color="auto"/>
                  <w:bottom w:val="single" w:sz="4" w:space="0" w:color="auto"/>
                  <w:right w:val="single" w:sz="4" w:space="0" w:color="auto"/>
                </w:tcBorders>
                <w:vAlign w:val="center"/>
              </w:tcPr>
              <w:p w14:paraId="73C16C4F" w14:textId="77777777" w:rsidR="005E000F" w:rsidRDefault="00000000">
                <w:pPr>
                  <w:ind w:leftChars="30" w:left="63" w:rightChars="30" w:right="63"/>
                </w:pPr>
                <w:r>
                  <w:rPr>
                    <w:rFonts w:hint="eastAsia"/>
                  </w:rPr>
                  <w:t>港口装卸、仓储、运输和计量服务等</w:t>
                </w:r>
              </w:p>
            </w:tc>
            <w:tc>
              <w:tcPr>
                <w:tcW w:w="1250" w:type="pct"/>
                <w:tcBorders>
                  <w:top w:val="single" w:sz="4" w:space="0" w:color="auto"/>
                  <w:left w:val="single" w:sz="4" w:space="0" w:color="auto"/>
                  <w:bottom w:val="single" w:sz="4" w:space="0" w:color="auto"/>
                  <w:right w:val="single" w:sz="4" w:space="0" w:color="auto"/>
                </w:tcBorders>
                <w:vAlign w:val="center"/>
              </w:tcPr>
              <w:p w14:paraId="5E650351" w14:textId="77777777" w:rsidR="005E000F" w:rsidRDefault="00000000">
                <w:pPr>
                  <w:ind w:rightChars="50" w:right="105"/>
                  <w:jc w:val="right"/>
                </w:pPr>
                <w:r>
                  <w:t>558,741</w:t>
                </w:r>
              </w:p>
            </w:tc>
            <w:tc>
              <w:tcPr>
                <w:tcW w:w="1250" w:type="pct"/>
                <w:tcBorders>
                  <w:top w:val="single" w:sz="4" w:space="0" w:color="auto"/>
                  <w:left w:val="single" w:sz="4" w:space="0" w:color="auto"/>
                  <w:bottom w:val="single" w:sz="4" w:space="0" w:color="auto"/>
                </w:tcBorders>
                <w:vAlign w:val="center"/>
              </w:tcPr>
              <w:p w14:paraId="643D1490" w14:textId="77777777" w:rsidR="005E000F" w:rsidRDefault="00000000">
                <w:pPr>
                  <w:ind w:rightChars="50" w:right="105"/>
                  <w:jc w:val="right"/>
                </w:pPr>
                <w:r>
                  <w:t>0.77</w:t>
                </w:r>
              </w:p>
            </w:tc>
          </w:tr>
          <w:tr w:rsidR="005E000F" w14:paraId="39EB2360" w14:textId="77777777">
            <w:trPr>
              <w:tblHeader/>
              <w:jc w:val="center"/>
            </w:trPr>
            <w:tc>
              <w:tcPr>
                <w:tcW w:w="1250" w:type="pct"/>
                <w:tcBorders>
                  <w:top w:val="single" w:sz="4" w:space="0" w:color="auto"/>
                  <w:left w:val="single" w:sz="4" w:space="0" w:color="auto"/>
                  <w:bottom w:val="single" w:sz="4" w:space="0" w:color="auto"/>
                  <w:right w:val="single" w:sz="4" w:space="0" w:color="auto"/>
                </w:tcBorders>
                <w:vAlign w:val="center"/>
              </w:tcPr>
              <w:p w14:paraId="4D9551D4" w14:textId="77777777" w:rsidR="005E000F" w:rsidRDefault="00000000">
                <w:pPr>
                  <w:jc w:val="center"/>
                </w:pPr>
                <w:r>
                  <w:rPr>
                    <w:rFonts w:hint="eastAsia"/>
                  </w:rPr>
                  <w:t>京丰公司</w:t>
                </w:r>
              </w:p>
            </w:tc>
            <w:tc>
              <w:tcPr>
                <w:tcW w:w="1250" w:type="pct"/>
                <w:tcBorders>
                  <w:top w:val="single" w:sz="4" w:space="0" w:color="auto"/>
                  <w:left w:val="single" w:sz="4" w:space="0" w:color="auto"/>
                  <w:bottom w:val="single" w:sz="4" w:space="0" w:color="auto"/>
                  <w:right w:val="single" w:sz="4" w:space="0" w:color="auto"/>
                </w:tcBorders>
              </w:tcPr>
              <w:p w14:paraId="747101BD" w14:textId="77777777" w:rsidR="005E000F" w:rsidRDefault="00000000">
                <w:pPr>
                  <w:ind w:leftChars="30" w:left="63" w:rightChars="30" w:right="63"/>
                </w:pPr>
                <w:r>
                  <w:rPr>
                    <w:rFonts w:hint="eastAsia"/>
                  </w:rPr>
                  <w:t>轨道交通设备制造等</w:t>
                </w:r>
              </w:p>
            </w:tc>
            <w:tc>
              <w:tcPr>
                <w:tcW w:w="1250" w:type="pct"/>
                <w:tcBorders>
                  <w:top w:val="single" w:sz="4" w:space="0" w:color="auto"/>
                  <w:left w:val="single" w:sz="4" w:space="0" w:color="auto"/>
                  <w:bottom w:val="single" w:sz="4" w:space="0" w:color="auto"/>
                  <w:right w:val="single" w:sz="4" w:space="0" w:color="auto"/>
                </w:tcBorders>
              </w:tcPr>
              <w:p w14:paraId="2E5C93B1" w14:textId="77777777" w:rsidR="005E000F" w:rsidRDefault="00000000">
                <w:pPr>
                  <w:ind w:rightChars="50" w:right="105"/>
                  <w:jc w:val="right"/>
                </w:pPr>
                <w:r>
                  <w:rPr>
                    <w:rFonts w:hint="eastAsia"/>
                  </w:rPr>
                  <w:t xml:space="preserve"> 30,000 </w:t>
                </w:r>
              </w:p>
            </w:tc>
            <w:tc>
              <w:tcPr>
                <w:tcW w:w="1250" w:type="pct"/>
                <w:tcBorders>
                  <w:top w:val="single" w:sz="4" w:space="0" w:color="auto"/>
                  <w:left w:val="single" w:sz="4" w:space="0" w:color="auto"/>
                  <w:bottom w:val="single" w:sz="4" w:space="0" w:color="auto"/>
                </w:tcBorders>
              </w:tcPr>
              <w:p w14:paraId="309AB3A9" w14:textId="77777777" w:rsidR="005E000F" w:rsidRDefault="00000000">
                <w:pPr>
                  <w:ind w:rightChars="50" w:right="105"/>
                  <w:jc w:val="right"/>
                </w:pPr>
                <w:r>
                  <w:rPr>
                    <w:rFonts w:hint="eastAsia"/>
                  </w:rPr>
                  <w:t>3.42</w:t>
                </w:r>
              </w:p>
            </w:tc>
          </w:tr>
        </w:tbl>
        <w:p w14:paraId="0CB8F092" w14:textId="77777777" w:rsidR="005E000F" w:rsidRDefault="005E000F">
          <w:pPr>
            <w:rPr>
              <w:highlight w:val="green"/>
            </w:rPr>
          </w:pPr>
        </w:p>
        <w:p w14:paraId="2DF1CA96" w14:textId="77777777" w:rsidR="005E000F" w:rsidRDefault="00000000">
          <w:r>
            <w:rPr>
              <w:rFonts w:hint="eastAsia"/>
            </w:rPr>
            <w:t>本年朔黄铁路实现营业收入</w:t>
          </w:r>
          <w:r>
            <w:rPr>
              <w:rFonts w:hint="eastAsia"/>
            </w:rPr>
            <w:t>23,060,953,057</w:t>
          </w:r>
          <w:r>
            <w:rPr>
              <w:rFonts w:hint="eastAsia"/>
            </w:rPr>
            <w:t>元，归属于母公司净利润</w:t>
          </w:r>
          <w:r>
            <w:rPr>
              <w:rFonts w:hint="eastAsia"/>
            </w:rPr>
            <w:t>6,513,853,058</w:t>
          </w:r>
          <w:r>
            <w:rPr>
              <w:rFonts w:hint="eastAsia"/>
            </w:rPr>
            <w:t>元，公司收到朔黄铁路现金股利</w:t>
          </w:r>
          <w:r>
            <w:rPr>
              <w:rFonts w:hint="eastAsia"/>
            </w:rPr>
            <w:t>2,433,551,412</w:t>
          </w:r>
          <w:r>
            <w:rPr>
              <w:rFonts w:hint="eastAsia"/>
            </w:rPr>
            <w:t>元。本年公司收到秦港股份现金股利</w:t>
          </w:r>
          <w:r>
            <w:rPr>
              <w:rFonts w:hint="eastAsia"/>
            </w:rPr>
            <w:t>3,633,750</w:t>
          </w:r>
          <w:r>
            <w:rPr>
              <w:rFonts w:hint="eastAsia"/>
            </w:rPr>
            <w:t>元。</w:t>
          </w:r>
        </w:p>
      </w:sdtContent>
    </w:sdt>
    <w:bookmarkEnd w:id="100"/>
    <w:bookmarkEnd w:id="101"/>
    <w:p w14:paraId="2FF5A327" w14:textId="77777777" w:rsidR="005E000F" w:rsidRDefault="00000000">
      <w:pPr>
        <w:pStyle w:val="3"/>
        <w:numPr>
          <w:ilvl w:val="0"/>
          <w:numId w:val="10"/>
        </w:numPr>
        <w:rPr>
          <w:rFonts w:ascii="宋体" w:hAnsi="宋体" w:cs="宋体"/>
          <w:kern w:val="0"/>
          <w:szCs w:val="21"/>
        </w:rPr>
      </w:pPr>
      <w:r>
        <w:rPr>
          <w:rFonts w:ascii="宋体" w:hAnsi="宋体" w:cs="宋体"/>
          <w:kern w:val="0"/>
          <w:szCs w:val="21"/>
        </w:rPr>
        <w:t>公司控制的</w:t>
      </w:r>
      <w:r>
        <w:rPr>
          <w:rFonts w:ascii="宋体" w:hAnsi="宋体" w:cs="宋体" w:hint="eastAsia"/>
          <w:kern w:val="0"/>
          <w:szCs w:val="21"/>
        </w:rPr>
        <w:t>结构化</w:t>
      </w:r>
      <w:r>
        <w:rPr>
          <w:rFonts w:ascii="宋体" w:hAnsi="宋体" w:cs="宋体"/>
          <w:kern w:val="0"/>
          <w:szCs w:val="21"/>
        </w:rPr>
        <w:t>主体情况</w:t>
      </w:r>
    </w:p>
    <w:sdt>
      <w:sdtPr>
        <w:rPr>
          <w:rFonts w:hint="eastAsia"/>
        </w:rPr>
        <w:alias w:val="是否适用：公司控制的结构化主体情况[双击切换]"/>
        <w:tag w:val="_GBC_844e5a5ece8c488e933f7fbfd0650339"/>
        <w:id w:val="838664933"/>
        <w:placeholder>
          <w:docPart w:val="GBC22222222222222222222222222222"/>
        </w:placeholder>
      </w:sdtPr>
      <w:sdtContent>
        <w:p w14:paraId="7D80CDA8"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15E929A" w14:textId="77777777" w:rsidR="005E000F" w:rsidRDefault="005E000F">
      <w:pPr>
        <w:sectPr w:rsidR="005E000F">
          <w:pgSz w:w="16838" w:h="11906" w:orient="landscape"/>
          <w:pgMar w:top="1797" w:right="1525" w:bottom="1276" w:left="1440" w:header="855" w:footer="992" w:gutter="0"/>
          <w:cols w:space="425"/>
          <w:docGrid w:linePitch="312"/>
        </w:sectPr>
      </w:pPr>
    </w:p>
    <w:p w14:paraId="342AFF6E" w14:textId="77777777" w:rsidR="005E000F" w:rsidRDefault="00000000">
      <w:pPr>
        <w:pStyle w:val="2"/>
        <w:numPr>
          <w:ilvl w:val="0"/>
          <w:numId w:val="7"/>
        </w:numPr>
        <w:ind w:left="422" w:hangingChars="200" w:hanging="422"/>
      </w:pPr>
      <w:r>
        <w:rPr>
          <w:rFonts w:hint="eastAsia"/>
        </w:rPr>
        <w:lastRenderedPageBreak/>
        <w:t>公司</w:t>
      </w:r>
      <w:r>
        <w:t>关于公司未来发展的讨论与分析</w:t>
      </w:r>
    </w:p>
    <w:p w14:paraId="7095DE7F" w14:textId="77777777" w:rsidR="005E000F" w:rsidRDefault="00000000">
      <w:pPr>
        <w:pStyle w:val="3"/>
        <w:numPr>
          <w:ilvl w:val="3"/>
          <w:numId w:val="17"/>
        </w:numPr>
        <w:rPr>
          <w:szCs w:val="21"/>
        </w:rPr>
      </w:pPr>
      <w:r>
        <w:rPr>
          <w:szCs w:val="21"/>
        </w:rPr>
        <w:t>行业格局和趋势</w:t>
      </w:r>
    </w:p>
    <w:sdt>
      <w:sdtPr>
        <w:rPr>
          <w:rFonts w:hint="eastAsia"/>
        </w:rPr>
        <w:alias w:val="是否适用：行业格局和趋势[双击切换]"/>
        <w:tag w:val="_GBC_da53e2a4423f4116b5d03ba76b630af9"/>
        <w:id w:val="4562233"/>
        <w:placeholder>
          <w:docPart w:val="GBC22222222222222222222222222222"/>
        </w:placeholder>
      </w:sdtPr>
      <w:sdtContent>
        <w:p w14:paraId="4085AF8A"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ascii="Times New Roman" w:hAnsi="Times New Roman" w:hint="eastAsia"/>
          <w:b w:val="0"/>
          <w:bCs w:val="0"/>
          <w:kern w:val="0"/>
          <w:szCs w:val="21"/>
        </w:rPr>
        <w:alias w:val="行业竞争格局和发展趋势"/>
        <w:tag w:val="_GBC_c38788dc300c4c4592543c5db64e9308"/>
        <w:id w:val="-359969701"/>
        <w:placeholder>
          <w:docPart w:val="GBC22222222222222222222222222222"/>
        </w:placeholder>
      </w:sdtPr>
      <w:sdtContent>
        <w:p w14:paraId="63AC0F48" w14:textId="77777777" w:rsidR="005E000F" w:rsidRDefault="00000000">
          <w:pPr>
            <w:pStyle w:val="3"/>
            <w:keepNext w:val="0"/>
            <w:keepLines w:val="0"/>
            <w:widowControl/>
            <w:shd w:val="clear" w:color="auto" w:fill="FFFFFF"/>
            <w:spacing w:before="0"/>
            <w:ind w:firstLineChars="200" w:firstLine="420"/>
            <w:rPr>
              <w:rFonts w:cs="宋体"/>
              <w:b w:val="0"/>
              <w:bCs w:val="0"/>
              <w:szCs w:val="21"/>
            </w:rPr>
          </w:pPr>
          <w:r>
            <w:rPr>
              <w:rFonts w:cs="宋体" w:hint="eastAsia"/>
              <w:b w:val="0"/>
              <w:bCs w:val="0"/>
              <w:szCs w:val="21"/>
            </w:rPr>
            <w:t>从铁路发展看，</w:t>
          </w:r>
          <w:r>
            <w:rPr>
              <w:rFonts w:cs="宋体" w:hint="eastAsia"/>
              <w:szCs w:val="21"/>
            </w:rPr>
            <w:t>一是</w:t>
          </w:r>
          <w:r>
            <w:rPr>
              <w:rFonts w:cs="宋体" w:hint="eastAsia"/>
              <w:b w:val="0"/>
              <w:bCs w:val="0"/>
              <w:szCs w:val="21"/>
            </w:rPr>
            <w:t>中央经济工作会议将</w:t>
          </w:r>
          <w:r>
            <w:rPr>
              <w:rFonts w:cs="宋体" w:hint="eastAsia"/>
              <w:b w:val="0"/>
              <w:bCs w:val="0"/>
              <w:szCs w:val="21"/>
            </w:rPr>
            <w:t xml:space="preserve"> </w:t>
          </w:r>
          <w:r>
            <w:rPr>
              <w:rFonts w:cs="宋体" w:hint="eastAsia"/>
              <w:b w:val="0"/>
              <w:bCs w:val="0"/>
              <w:szCs w:val="21"/>
            </w:rPr>
            <w:t>“坚持内需主导，建设强大国内市场”</w:t>
          </w:r>
          <w:r>
            <w:rPr>
              <w:rFonts w:cs="宋体" w:hint="eastAsia"/>
              <w:b w:val="0"/>
              <w:bCs w:val="0"/>
              <w:szCs w:val="21"/>
            </w:rPr>
            <w:t xml:space="preserve"> </w:t>
          </w:r>
          <w:r>
            <w:rPr>
              <w:rFonts w:cs="宋体" w:hint="eastAsia"/>
              <w:b w:val="0"/>
              <w:bCs w:val="0"/>
              <w:szCs w:val="21"/>
            </w:rPr>
            <w:t>列为首要任务，提出</w:t>
          </w:r>
          <w:r>
            <w:rPr>
              <w:rFonts w:cs="宋体" w:hint="eastAsia"/>
              <w:b w:val="0"/>
              <w:bCs w:val="0"/>
              <w:szCs w:val="21"/>
            </w:rPr>
            <w:t xml:space="preserve"> </w:t>
          </w:r>
          <w:r>
            <w:rPr>
              <w:rFonts w:cs="宋体" w:hint="eastAsia"/>
              <w:b w:val="0"/>
              <w:bCs w:val="0"/>
              <w:szCs w:val="21"/>
            </w:rPr>
            <w:t>“推动投资止跌回稳”</w:t>
          </w:r>
          <w:r>
            <w:rPr>
              <w:rFonts w:cs="宋体" w:hint="eastAsia"/>
              <w:b w:val="0"/>
              <w:bCs w:val="0"/>
              <w:szCs w:val="21"/>
            </w:rPr>
            <w:t xml:space="preserve"> </w:t>
          </w:r>
          <w:r>
            <w:rPr>
              <w:rFonts w:cs="宋体" w:hint="eastAsia"/>
              <w:b w:val="0"/>
              <w:bCs w:val="0"/>
              <w:szCs w:val="21"/>
            </w:rPr>
            <w:t>。良好的政策导向为铁路行业推进</w:t>
          </w:r>
          <w:proofErr w:type="gramStart"/>
          <w:r>
            <w:rPr>
              <w:rFonts w:cs="宋体" w:hint="eastAsia"/>
              <w:b w:val="0"/>
              <w:bCs w:val="0"/>
              <w:szCs w:val="21"/>
            </w:rPr>
            <w:t>补网强链行动</w:t>
          </w:r>
          <w:proofErr w:type="gramEnd"/>
          <w:r>
            <w:rPr>
              <w:rFonts w:cs="宋体" w:hint="eastAsia"/>
              <w:b w:val="0"/>
              <w:bCs w:val="0"/>
              <w:szCs w:val="21"/>
            </w:rPr>
            <w:t>，充分发挥铁路投资的拉动作用，持续提升路网规模和质量创造了有利条件。国铁集团提出，</w:t>
          </w:r>
          <w:r>
            <w:rPr>
              <w:rFonts w:cs="宋体" w:hint="eastAsia"/>
              <w:b w:val="0"/>
              <w:bCs w:val="0"/>
              <w:szCs w:val="21"/>
            </w:rPr>
            <w:t>2026</w:t>
          </w:r>
          <w:r>
            <w:rPr>
              <w:rFonts w:cs="宋体" w:hint="eastAsia"/>
              <w:b w:val="0"/>
              <w:bCs w:val="0"/>
              <w:szCs w:val="21"/>
            </w:rPr>
            <w:t>年“全面完成国家铁路投资任务，投产新线</w:t>
          </w:r>
          <w:r>
            <w:rPr>
              <w:rFonts w:cs="宋体" w:hint="eastAsia"/>
              <w:b w:val="0"/>
              <w:bCs w:val="0"/>
              <w:szCs w:val="21"/>
            </w:rPr>
            <w:t>2000</w:t>
          </w:r>
          <w:r>
            <w:rPr>
              <w:rFonts w:cs="宋体" w:hint="eastAsia"/>
              <w:b w:val="0"/>
              <w:bCs w:val="0"/>
              <w:szCs w:val="21"/>
            </w:rPr>
            <w:t>公里以上”。</w:t>
          </w:r>
          <w:r>
            <w:rPr>
              <w:rFonts w:cs="宋体" w:hint="eastAsia"/>
              <w:szCs w:val="21"/>
            </w:rPr>
            <w:t>二是</w:t>
          </w:r>
          <w:r>
            <w:rPr>
              <w:rFonts w:cs="宋体" w:hint="eastAsia"/>
              <w:b w:val="0"/>
              <w:bCs w:val="0"/>
              <w:szCs w:val="21"/>
            </w:rPr>
            <w:t>我国经济基础稳、优势多、韧性强、潜能大，长期向好的支撑条件和基本趋势没有变。</w:t>
          </w:r>
          <w:r>
            <w:rPr>
              <w:rFonts w:cs="宋体" w:hint="eastAsia"/>
              <w:b w:val="0"/>
              <w:bCs w:val="0"/>
              <w:szCs w:val="21"/>
            </w:rPr>
            <w:t>2026</w:t>
          </w:r>
          <w:r>
            <w:rPr>
              <w:rFonts w:cs="宋体" w:hint="eastAsia"/>
              <w:b w:val="0"/>
              <w:bCs w:val="0"/>
              <w:szCs w:val="21"/>
            </w:rPr>
            <w:t>年，我国经济将继续稳中有进、向新向优发展，工业、能源、消费、投资、物流等领域稳步扩张，将为铁路货运提供更加稳定、有效的运输需求。同时，在国家“绿色物流”政策驱动下，铁路将充分发挥优化全社会运输结构的积极作用。随着国家区域协调发展战略促进资源流动，铁路</w:t>
          </w:r>
          <w:r>
            <w:rPr>
              <w:rFonts w:cs="宋体"/>
              <w:b w:val="0"/>
              <w:bCs w:val="0"/>
              <w:szCs w:val="21"/>
            </w:rPr>
            <w:t>基础设施</w:t>
          </w:r>
          <w:r>
            <w:rPr>
              <w:rFonts w:cs="宋体" w:hint="eastAsia"/>
              <w:b w:val="0"/>
              <w:bCs w:val="0"/>
              <w:szCs w:val="21"/>
            </w:rPr>
            <w:t>持续优化叠加全国</w:t>
          </w:r>
          <w:r>
            <w:rPr>
              <w:rFonts w:cs="宋体" w:hint="eastAsia"/>
              <w:b w:val="0"/>
              <w:bCs w:val="0"/>
              <w:szCs w:val="21"/>
            </w:rPr>
            <w:t>1</w:t>
          </w:r>
          <w:r>
            <w:rPr>
              <w:rFonts w:cs="宋体" w:hint="eastAsia"/>
              <w:b w:val="0"/>
              <w:bCs w:val="0"/>
              <w:szCs w:val="21"/>
            </w:rPr>
            <w:t>、</w:t>
          </w:r>
          <w:r>
            <w:rPr>
              <w:rFonts w:cs="宋体" w:hint="eastAsia"/>
              <w:b w:val="0"/>
              <w:bCs w:val="0"/>
              <w:szCs w:val="21"/>
            </w:rPr>
            <w:t>2</w:t>
          </w:r>
          <w:r>
            <w:rPr>
              <w:rFonts w:cs="宋体" w:hint="eastAsia"/>
              <w:b w:val="0"/>
              <w:bCs w:val="0"/>
              <w:szCs w:val="21"/>
            </w:rPr>
            <w:t>、</w:t>
          </w:r>
          <w:r>
            <w:rPr>
              <w:rFonts w:cs="宋体" w:hint="eastAsia"/>
              <w:b w:val="0"/>
              <w:bCs w:val="0"/>
              <w:szCs w:val="21"/>
            </w:rPr>
            <w:t>3</w:t>
          </w:r>
          <w:r>
            <w:rPr>
              <w:rFonts w:cs="宋体" w:hint="eastAsia"/>
              <w:b w:val="0"/>
              <w:bCs w:val="0"/>
              <w:szCs w:val="21"/>
            </w:rPr>
            <w:t>天快货物</w:t>
          </w:r>
          <w:proofErr w:type="gramStart"/>
          <w:r>
            <w:rPr>
              <w:rFonts w:cs="宋体" w:hint="eastAsia"/>
              <w:b w:val="0"/>
              <w:bCs w:val="0"/>
              <w:szCs w:val="21"/>
            </w:rPr>
            <w:t>流圈全面</w:t>
          </w:r>
          <w:proofErr w:type="gramEnd"/>
          <w:r>
            <w:rPr>
              <w:rFonts w:cs="宋体" w:hint="eastAsia"/>
              <w:b w:val="0"/>
              <w:bCs w:val="0"/>
              <w:szCs w:val="21"/>
            </w:rPr>
            <w:t>形成推动货运能力和质量升级，将促进铁路货运市场份额进一步提升。国铁集团提出</w:t>
          </w:r>
          <w:r>
            <w:rPr>
              <w:rFonts w:cs="宋体" w:hint="eastAsia"/>
              <w:b w:val="0"/>
              <w:bCs w:val="0"/>
              <w:szCs w:val="21"/>
            </w:rPr>
            <w:t>2026</w:t>
          </w:r>
          <w:r>
            <w:rPr>
              <w:rFonts w:cs="宋体" w:hint="eastAsia"/>
              <w:b w:val="0"/>
              <w:bCs w:val="0"/>
              <w:szCs w:val="21"/>
            </w:rPr>
            <w:t>年“国家铁路完成货物发送量</w:t>
          </w:r>
          <w:r>
            <w:rPr>
              <w:rFonts w:cs="宋体" w:hint="eastAsia"/>
              <w:b w:val="0"/>
              <w:bCs w:val="0"/>
              <w:szCs w:val="21"/>
            </w:rPr>
            <w:t>41.3</w:t>
          </w:r>
          <w:r>
            <w:rPr>
              <w:rFonts w:cs="宋体" w:hint="eastAsia"/>
              <w:b w:val="0"/>
              <w:bCs w:val="0"/>
              <w:szCs w:val="21"/>
            </w:rPr>
            <w:t>亿吨，同比增长</w:t>
          </w:r>
          <w:r>
            <w:rPr>
              <w:rFonts w:cs="宋体" w:hint="eastAsia"/>
              <w:b w:val="0"/>
              <w:bCs w:val="0"/>
              <w:szCs w:val="21"/>
            </w:rPr>
            <w:t>1.5%</w:t>
          </w:r>
          <w:r>
            <w:rPr>
              <w:rFonts w:cs="宋体" w:hint="eastAsia"/>
              <w:b w:val="0"/>
              <w:bCs w:val="0"/>
              <w:szCs w:val="21"/>
            </w:rPr>
            <w:t>”的任务目标。</w:t>
          </w:r>
          <w:r>
            <w:rPr>
              <w:rFonts w:cs="宋体" w:hint="eastAsia"/>
              <w:szCs w:val="21"/>
            </w:rPr>
            <w:t>三是</w:t>
          </w:r>
          <w:r>
            <w:rPr>
              <w:rFonts w:cs="宋体" w:hint="eastAsia"/>
              <w:b w:val="0"/>
              <w:bCs w:val="0"/>
              <w:szCs w:val="21"/>
            </w:rPr>
            <w:t>随着“八纵八横”</w:t>
          </w:r>
          <w:proofErr w:type="gramStart"/>
          <w:r>
            <w:rPr>
              <w:rFonts w:cs="宋体" w:hint="eastAsia"/>
              <w:b w:val="0"/>
              <w:bCs w:val="0"/>
              <w:szCs w:val="21"/>
            </w:rPr>
            <w:t>高铁主通道</w:t>
          </w:r>
          <w:proofErr w:type="gramEnd"/>
          <w:r>
            <w:rPr>
              <w:rFonts w:cs="宋体" w:hint="eastAsia"/>
              <w:b w:val="0"/>
              <w:bCs w:val="0"/>
              <w:szCs w:val="21"/>
            </w:rPr>
            <w:t>基本形成、全国</w:t>
          </w:r>
          <w:r>
            <w:rPr>
              <w:rFonts w:cs="宋体" w:hint="eastAsia"/>
              <w:b w:val="0"/>
              <w:bCs w:val="0"/>
              <w:szCs w:val="21"/>
            </w:rPr>
            <w:t>1</w:t>
          </w:r>
          <w:r>
            <w:rPr>
              <w:rFonts w:cs="宋体" w:hint="eastAsia"/>
              <w:b w:val="0"/>
              <w:bCs w:val="0"/>
              <w:szCs w:val="21"/>
            </w:rPr>
            <w:t>、</w:t>
          </w:r>
          <w:r>
            <w:rPr>
              <w:rFonts w:cs="宋体" w:hint="eastAsia"/>
              <w:b w:val="0"/>
              <w:bCs w:val="0"/>
              <w:szCs w:val="21"/>
            </w:rPr>
            <w:t>2</w:t>
          </w:r>
          <w:r>
            <w:rPr>
              <w:rFonts w:cs="宋体" w:hint="eastAsia"/>
              <w:b w:val="0"/>
              <w:bCs w:val="0"/>
              <w:szCs w:val="21"/>
            </w:rPr>
            <w:t>、</w:t>
          </w:r>
          <w:r>
            <w:rPr>
              <w:rFonts w:cs="宋体" w:hint="eastAsia"/>
              <w:b w:val="0"/>
              <w:bCs w:val="0"/>
              <w:szCs w:val="21"/>
            </w:rPr>
            <w:t>3</w:t>
          </w:r>
          <w:r>
            <w:rPr>
              <w:rFonts w:cs="宋体" w:hint="eastAsia"/>
              <w:b w:val="0"/>
              <w:bCs w:val="0"/>
              <w:szCs w:val="21"/>
            </w:rPr>
            <w:t>小时铁路出行圈有序建成，同时保留并优化“绿皮车”“慢火车”线路，铁路客运网络的覆盖层次将更加丰富、覆盖范围将更加广泛。随着智慧科技改善出行体验，个性化服务精准满足多元需求，叠加国家提振消费、</w:t>
          </w:r>
          <w:proofErr w:type="gramStart"/>
          <w:r>
            <w:rPr>
              <w:rFonts w:cs="宋体" w:hint="eastAsia"/>
              <w:b w:val="0"/>
              <w:bCs w:val="0"/>
              <w:szCs w:val="21"/>
            </w:rPr>
            <w:t>文旅旺盛</w:t>
          </w:r>
          <w:proofErr w:type="gramEnd"/>
          <w:r>
            <w:rPr>
              <w:rFonts w:cs="宋体" w:hint="eastAsia"/>
              <w:b w:val="0"/>
              <w:bCs w:val="0"/>
              <w:szCs w:val="21"/>
            </w:rPr>
            <w:t>发展的“双重驱动”，铁路客运业务发展的活力和动能将进一步增强。国铁集团提出</w:t>
          </w:r>
          <w:r>
            <w:rPr>
              <w:rFonts w:cs="宋体" w:hint="eastAsia"/>
              <w:b w:val="0"/>
              <w:bCs w:val="0"/>
              <w:szCs w:val="21"/>
            </w:rPr>
            <w:t>2026</w:t>
          </w:r>
          <w:r>
            <w:rPr>
              <w:rFonts w:cs="宋体" w:hint="eastAsia"/>
              <w:b w:val="0"/>
              <w:bCs w:val="0"/>
              <w:szCs w:val="21"/>
            </w:rPr>
            <w:t>年“国家铁路完成旅客发送量</w:t>
          </w:r>
          <w:r>
            <w:rPr>
              <w:rFonts w:cs="宋体" w:hint="eastAsia"/>
              <w:b w:val="0"/>
              <w:bCs w:val="0"/>
              <w:szCs w:val="21"/>
            </w:rPr>
            <w:t>44.02</w:t>
          </w:r>
          <w:r>
            <w:rPr>
              <w:rFonts w:cs="宋体" w:hint="eastAsia"/>
              <w:b w:val="0"/>
              <w:bCs w:val="0"/>
              <w:szCs w:val="21"/>
            </w:rPr>
            <w:t>亿人，同比增长</w:t>
          </w:r>
          <w:r>
            <w:rPr>
              <w:rFonts w:cs="宋体" w:hint="eastAsia"/>
              <w:b w:val="0"/>
              <w:bCs w:val="0"/>
              <w:szCs w:val="21"/>
            </w:rPr>
            <w:t>3.5%</w:t>
          </w:r>
          <w:r>
            <w:rPr>
              <w:rFonts w:cs="宋体" w:hint="eastAsia"/>
              <w:b w:val="0"/>
              <w:bCs w:val="0"/>
              <w:szCs w:val="21"/>
            </w:rPr>
            <w:t>”的任务目标。</w:t>
          </w:r>
        </w:p>
        <w:p w14:paraId="5AD3284D" w14:textId="77777777" w:rsidR="005E000F" w:rsidRDefault="00000000">
          <w:pPr>
            <w:spacing w:line="360" w:lineRule="auto"/>
            <w:ind w:firstLineChars="200" w:firstLine="420"/>
          </w:pPr>
          <w:r>
            <w:rPr>
              <w:rFonts w:hint="eastAsia"/>
            </w:rPr>
            <w:t>从行业竞争看，国家提出“推进能源、铁路、电信、水利、公用事业等行业自然垄断环节独立运营和竞争性环节市场化改革”。中办、国办发布的《关于加快建设统一开放的交通运输市场的意见》进一步指出，“鼓励和引导社会资本依法依规参与铁路建设运营，支持符合条件的企业自主运营城际铁路和市域（郊）铁路，支持地方控股铁路企业自主选择运营管理模式”“完善铁路领域价格形成机制，建立健全统一、公开、透明的价格体系”。国家“十五五”规划纲要，“鼓励支持民营企业参与铁路领域项目建设”。这些政策举措有利于推进铁路体制机制改革，发挥市场作用，拓展市场空间，</w:t>
          </w:r>
          <w:r>
            <w:rPr>
              <w:rFonts w:hint="eastAsia"/>
              <w:color w:val="3C3C3D"/>
            </w:rPr>
            <w:t>健全完善运输市场化清算机制，</w:t>
          </w:r>
          <w:r>
            <w:rPr>
              <w:rFonts w:hint="eastAsia"/>
            </w:rPr>
            <w:t>促进铁路建设、运营主体的多元化及适度竞争，推动行业健康发展。此外，在综合交通运输体系加快发展大背景下，随着运输系统联网补网强链、加快多式联运发展、推动“一单制”协调互认等政策举措的</w:t>
          </w:r>
          <w:proofErr w:type="gramStart"/>
          <w:r>
            <w:rPr>
              <w:rFonts w:hint="eastAsia"/>
            </w:rPr>
            <w:t>引深</w:t>
          </w:r>
          <w:proofErr w:type="gramEnd"/>
          <w:r>
            <w:rPr>
              <w:rFonts w:hint="eastAsia"/>
            </w:rPr>
            <w:t>，铁路行业与其他交通运输方式间的衔接、合作相应更加紧密。但另一方面，随着</w:t>
          </w:r>
          <w:r>
            <w:rPr>
              <w:rFonts w:cs="宋体" w:hint="eastAsia"/>
            </w:rPr>
            <w:t>铁路货</w:t>
          </w:r>
          <w:r>
            <w:rPr>
              <w:rFonts w:hint="eastAsia"/>
            </w:rPr>
            <w:t>运向全品类、全过程的现代物流转型升级，</w:t>
          </w:r>
          <w:r>
            <w:rPr>
              <w:rFonts w:cs="宋体" w:hint="eastAsia"/>
            </w:rPr>
            <w:t>铁路客运网络的覆盖层次更加丰富、覆盖范围更加广泛，</w:t>
          </w:r>
          <w:r>
            <w:rPr>
              <w:rFonts w:hint="eastAsia"/>
            </w:rPr>
            <w:t>铁路与公路、航空、水运等交通运输方式在细分领域和细分市场间的竞争也将有所升级。</w:t>
          </w:r>
        </w:p>
        <w:p w14:paraId="71BE086E" w14:textId="77777777" w:rsidR="005E000F" w:rsidRDefault="00000000">
          <w:pPr>
            <w:spacing w:line="360" w:lineRule="auto"/>
            <w:ind w:firstLineChars="200" w:firstLine="420"/>
          </w:pPr>
          <w:r>
            <w:rPr>
              <w:rFonts w:hint="eastAsia"/>
            </w:rPr>
            <w:t>从公司层面看，综合各方面因素，有利条件主要体现在：</w:t>
          </w:r>
          <w:r>
            <w:rPr>
              <w:rFonts w:hint="eastAsia"/>
              <w:b/>
              <w:bCs/>
            </w:rPr>
            <w:t>一是</w:t>
          </w:r>
          <w:r>
            <w:rPr>
              <w:rFonts w:hint="eastAsia"/>
            </w:rPr>
            <w:t>当前仍处于煤炭消费的峰值平台期，国家强化能源安全兜底保障作用，未来一段时间内，煤炭仍将是我国能源结构中的基础资源，其保障能源安全的“压舱石”作用、维持市场平稳的“稳定器”作用短期内难以替代。公司处于我国最重要的煤炭产销区域，山西省明确表示“十五五”期间保持煤炭产能稳定接续，保障</w:t>
          </w:r>
          <w:r>
            <w:rPr>
              <w:rFonts w:hint="eastAsia"/>
            </w:rPr>
            <w:lastRenderedPageBreak/>
            <w:t>国家电</w:t>
          </w:r>
          <w:proofErr w:type="gramStart"/>
          <w:r>
            <w:rPr>
              <w:rFonts w:hint="eastAsia"/>
            </w:rPr>
            <w:t>煤稳定</w:t>
          </w:r>
          <w:proofErr w:type="gramEnd"/>
          <w:r>
            <w:rPr>
              <w:rFonts w:hint="eastAsia"/>
            </w:rPr>
            <w:t>供应。</w:t>
          </w:r>
          <w:r>
            <w:rPr>
              <w:rFonts w:hint="eastAsia"/>
            </w:rPr>
            <w:t>2026</w:t>
          </w:r>
          <w:r>
            <w:rPr>
              <w:rFonts w:hint="eastAsia"/>
            </w:rPr>
            <w:t>年一季度，地缘冲突和进口煤炭减少共同拉动国内煤炭需求、铁路运输需求。这些都为公司稳住煤炭大宗运输基本盘、巩固“西煤东运”战略通道地位、强化能源保供作用提供了有利条件。</w:t>
          </w:r>
          <w:r>
            <w:rPr>
              <w:rFonts w:hint="eastAsia"/>
              <w:b/>
              <w:bCs/>
            </w:rPr>
            <w:t>二是</w:t>
          </w:r>
          <w:r>
            <w:rPr>
              <w:rFonts w:hint="eastAsia"/>
            </w:rPr>
            <w:t>立足所处区域看，山西省持续深化全方位转型发展，加快建设大宗商品骨干流通走廊、沿黄生态经济带物流通道、中原多式联运出海通道等，推广多式联运“一单制”服务等，为公司加快现代物流转型，丰富货运品类、优化货运结构，提升综合运输效率和运输服务品质营造了有利</w:t>
          </w:r>
          <w:r>
            <w:rPr>
              <w:rFonts w:cs="宋体" w:hint="eastAsia"/>
            </w:rPr>
            <w:t>环境。</w:t>
          </w:r>
          <w:r>
            <w:rPr>
              <w:rFonts w:cs="宋体" w:hint="eastAsia"/>
              <w:b/>
              <w:bCs/>
            </w:rPr>
            <w:t>三是</w:t>
          </w:r>
          <w:r>
            <w:rPr>
              <w:rFonts w:hint="eastAsia"/>
            </w:rPr>
            <w:t>随着旅游消费、商务出行等客运市场的持续复苏，特别是山西大力发展全域旅游、全季旅游、全龄旅游等，将催生更多的双向旅客出行需求。同时，随着公司管内集大原高铁、雄</w:t>
          </w:r>
          <w:proofErr w:type="gramStart"/>
          <w:r>
            <w:rPr>
              <w:rFonts w:hint="eastAsia"/>
            </w:rPr>
            <w:t>忻</w:t>
          </w:r>
          <w:proofErr w:type="gramEnd"/>
          <w:r>
            <w:rPr>
              <w:rFonts w:hint="eastAsia"/>
            </w:rPr>
            <w:t>高铁、</w:t>
          </w:r>
          <w:proofErr w:type="gramStart"/>
          <w:r>
            <w:rPr>
              <w:rFonts w:hint="eastAsia"/>
            </w:rPr>
            <w:t>太</w:t>
          </w:r>
          <w:proofErr w:type="gramEnd"/>
          <w:r>
            <w:rPr>
              <w:rFonts w:hint="eastAsia"/>
            </w:rPr>
            <w:t>绥高铁等通道的优化运营、建设投运，也将更好地发挥引流作用，为公司</w:t>
          </w:r>
          <w:r>
            <w:rPr>
              <w:rFonts w:cs="宋体" w:hint="eastAsia"/>
            </w:rPr>
            <w:t>客运业务提质、增量、</w:t>
          </w:r>
          <w:proofErr w:type="gramStart"/>
          <w:r>
            <w:rPr>
              <w:rFonts w:cs="宋体" w:hint="eastAsia"/>
            </w:rPr>
            <w:t>扩市提供</w:t>
          </w:r>
          <w:proofErr w:type="gramEnd"/>
          <w:r>
            <w:rPr>
              <w:rFonts w:cs="宋体" w:hint="eastAsia"/>
            </w:rPr>
            <w:t>有力保障</w:t>
          </w:r>
          <w:r>
            <w:rPr>
              <w:rFonts w:cs="宋体" w:hint="eastAsia"/>
              <w:b/>
              <w:bCs/>
            </w:rPr>
            <w:t>。</w:t>
          </w:r>
          <w:r>
            <w:rPr>
              <w:rFonts w:hint="eastAsia"/>
              <w:b/>
              <w:bCs/>
            </w:rPr>
            <w:t>四是</w:t>
          </w:r>
          <w:r>
            <w:rPr>
              <w:rFonts w:hint="eastAsia"/>
            </w:rPr>
            <w:t>公司经营稳健、负债率较低，现金流充裕，有利于支持公司技术研发、设备升级、业务拓展，发展新质生产力、提高经营质效，为公司可持续、高质量发展提供有效支撑。</w:t>
          </w:r>
        </w:p>
        <w:p w14:paraId="22566AD6" w14:textId="77777777" w:rsidR="005E000F" w:rsidRDefault="00000000">
          <w:pPr>
            <w:spacing w:line="360" w:lineRule="auto"/>
            <w:ind w:firstLineChars="200" w:firstLine="420"/>
          </w:pPr>
          <w:bookmarkStart w:id="102" w:name="OLE_LINK31"/>
          <w:r>
            <w:rPr>
              <w:rFonts w:hint="eastAsia"/>
            </w:rPr>
            <w:t>中国经济发展处于战略机遇和风险挑战并存、不确定难预料因素增多的时期。新的一年，影响经营形势的不确定性因素增多，公司也面临诸多挑战，主要体现在：</w:t>
          </w:r>
          <w:r>
            <w:rPr>
              <w:rFonts w:hint="eastAsia"/>
              <w:b/>
              <w:bCs/>
            </w:rPr>
            <w:t>一是</w:t>
          </w:r>
          <w:r>
            <w:rPr>
              <w:rFonts w:hint="eastAsia"/>
            </w:rPr>
            <w:t>在国家“双碳”政策驱动下，煤炭需求进入消费总量峰值的前期阶段。随着国内经济结构优化、能源结构转型等持续影响，主要耗煤行业拉动煤炭消费需求动力不足，非化石能源替代作用持续，国内煤炭需求增长空间将持续被压缩</w:t>
          </w:r>
          <w:bookmarkStart w:id="103" w:name="OLE_LINK9"/>
          <w:r>
            <w:rPr>
              <w:rFonts w:hint="eastAsia"/>
            </w:rPr>
            <w:t>，加上公司周边煤运通道分流、竞争加剧，</w:t>
          </w:r>
          <w:bookmarkEnd w:id="103"/>
          <w:r>
            <w:rPr>
              <w:rFonts w:hint="eastAsia"/>
            </w:rPr>
            <w:t>公司煤炭运输业务面临保量保收保利的挑战。</w:t>
          </w:r>
          <w:r>
            <w:rPr>
              <w:rFonts w:hint="eastAsia"/>
              <w:b/>
              <w:bCs/>
            </w:rPr>
            <w:t>二是</w:t>
          </w:r>
          <w:r>
            <w:rPr>
              <w:rFonts w:hint="eastAsia"/>
            </w:rPr>
            <w:t>核心经营资产大秦线的运量进入平稳运行期，现代物流转型处于市场培育期，公司内</w:t>
          </w:r>
          <w:proofErr w:type="gramStart"/>
          <w:r>
            <w:rPr>
              <w:rFonts w:hint="eastAsia"/>
            </w:rPr>
            <w:t>生增长</w:t>
          </w:r>
          <w:proofErr w:type="gramEnd"/>
          <w:r>
            <w:rPr>
              <w:rFonts w:hint="eastAsia"/>
            </w:rPr>
            <w:t>动能减弱，运输经营进入“平台期”；</w:t>
          </w:r>
          <w:r>
            <w:rPr>
              <w:rFonts w:hint="eastAsia"/>
              <w:b/>
              <w:bCs/>
            </w:rPr>
            <w:t>三是</w:t>
          </w:r>
          <w:r>
            <w:rPr>
              <w:rFonts w:hint="eastAsia"/>
            </w:rPr>
            <w:t>节支降耗的空间受限，作为资产、人员密集型企业，安全投入、折旧、人工成本等支出相对刚性，</w:t>
          </w:r>
          <w:bookmarkStart w:id="104" w:name="OLE_LINK27"/>
          <w:r>
            <w:rPr>
              <w:rFonts w:hint="eastAsia"/>
            </w:rPr>
            <w:t>对公司资本运营能力、经营创效能力提出更高要求。</w:t>
          </w:r>
          <w:bookmarkStart w:id="105" w:name="OLE_LINK11"/>
          <w:bookmarkEnd w:id="104"/>
        </w:p>
        <w:bookmarkEnd w:id="105"/>
        <w:p w14:paraId="684D456B" w14:textId="77777777" w:rsidR="005E000F" w:rsidRDefault="00000000">
          <w:pPr>
            <w:spacing w:line="360" w:lineRule="auto"/>
            <w:ind w:firstLineChars="200" w:firstLine="420"/>
            <w:rPr>
              <w:rFonts w:cs="宋体"/>
            </w:rPr>
          </w:pPr>
          <w:r>
            <w:rPr>
              <w:rFonts w:cs="宋体" w:hint="eastAsia"/>
            </w:rPr>
            <w:t>2026</w:t>
          </w:r>
          <w:r>
            <w:rPr>
              <w:rFonts w:cs="宋体" w:hint="eastAsia"/>
            </w:rPr>
            <w:t>年，公司将全力服务国家经济社会发展，紧密围绕经营目标，着力改善经营质效，尽最大努力为股东、投资者创造好的经营结果，持续推动企业高质量发展。</w:t>
          </w:r>
        </w:p>
      </w:sdtContent>
    </w:sdt>
    <w:bookmarkEnd w:id="102"/>
    <w:p w14:paraId="776D041E" w14:textId="77777777" w:rsidR="005E000F" w:rsidRDefault="00000000">
      <w:pPr>
        <w:pStyle w:val="3"/>
        <w:numPr>
          <w:ilvl w:val="3"/>
          <w:numId w:val="17"/>
        </w:numPr>
        <w:rPr>
          <w:rFonts w:ascii="宋体" w:hAnsi="宋体" w:cs="宋体"/>
          <w:kern w:val="0"/>
          <w:szCs w:val="21"/>
        </w:rPr>
      </w:pPr>
      <w:r>
        <w:rPr>
          <w:rFonts w:ascii="宋体" w:hAnsi="宋体" w:cs="宋体"/>
          <w:kern w:val="0"/>
          <w:szCs w:val="21"/>
        </w:rPr>
        <w:t>公司发展战略</w:t>
      </w:r>
    </w:p>
    <w:sdt>
      <w:sdtPr>
        <w:rPr>
          <w:rFonts w:hint="eastAsia"/>
        </w:rPr>
        <w:alias w:val="是否适用：公司发展战略[双击切换]"/>
        <w:tag w:val="_GBC_5cdf4718a6044c1fbf76e22df729f9b7"/>
        <w:id w:val="-1924639755"/>
        <w:placeholder>
          <w:docPart w:val="GBC22222222222222222222222222222"/>
        </w:placeholder>
      </w:sdtPr>
      <w:sdtContent>
        <w:p w14:paraId="2C43E278"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发展战略"/>
        <w:tag w:val="_GBC_afe9ed534944441fae5223f90c2521f1"/>
        <w:id w:val="983049481"/>
        <w:placeholder>
          <w:docPart w:val="GBC22222222222222222222222222222"/>
        </w:placeholder>
      </w:sdtPr>
      <w:sdtContent>
        <w:p w14:paraId="4353DAE7" w14:textId="77777777" w:rsidR="005E000F" w:rsidRDefault="00000000">
          <w:pPr>
            <w:spacing w:line="360" w:lineRule="auto"/>
            <w:ind w:firstLineChars="200" w:firstLine="420"/>
            <w:rPr>
              <w:rFonts w:cs="宋体"/>
            </w:rPr>
          </w:pPr>
          <w:r>
            <w:rPr>
              <w:rFonts w:cs="宋体" w:hint="eastAsia"/>
            </w:rPr>
            <w:t>“十五五”时期，将紧紧围绕“五个世界一流”，立足公司自身特点，努力推动五个全面转变。</w:t>
          </w:r>
        </w:p>
        <w:p w14:paraId="0301AA6F" w14:textId="77777777" w:rsidR="005E000F" w:rsidRDefault="00000000">
          <w:pPr>
            <w:spacing w:line="360" w:lineRule="auto"/>
            <w:ind w:firstLineChars="200" w:firstLine="422"/>
            <w:rPr>
              <w:rFonts w:cs="宋体"/>
            </w:rPr>
          </w:pPr>
          <w:r>
            <w:rPr>
              <w:rFonts w:cs="宋体" w:hint="eastAsia"/>
              <w:b/>
              <w:bCs/>
            </w:rPr>
            <w:t>在安全管理上，</w:t>
          </w:r>
          <w:r>
            <w:rPr>
              <w:rFonts w:cs="宋体" w:hint="eastAsia"/>
            </w:rPr>
            <w:t>推动</w:t>
          </w:r>
          <w:proofErr w:type="gramStart"/>
          <w:r>
            <w:rPr>
              <w:rFonts w:cs="宋体" w:hint="eastAsia"/>
            </w:rPr>
            <w:t>由防止</w:t>
          </w:r>
          <w:proofErr w:type="gramEnd"/>
          <w:r>
            <w:rPr>
              <w:rFonts w:cs="宋体" w:hint="eastAsia"/>
            </w:rPr>
            <w:t>事故向防控风险全面转变。牢固树立</w:t>
          </w:r>
          <w:proofErr w:type="gramStart"/>
          <w:r>
            <w:rPr>
              <w:rFonts w:cs="宋体" w:hint="eastAsia"/>
            </w:rPr>
            <w:t>安全第一</w:t>
          </w:r>
          <w:proofErr w:type="gramEnd"/>
          <w:r>
            <w:rPr>
              <w:rFonts w:cs="宋体" w:hint="eastAsia"/>
            </w:rPr>
            <w:t>理念，持续深化双重预防机制建设，完善主动预防、风险处置、源头治理机制，落实风险</w:t>
          </w:r>
          <w:proofErr w:type="gramStart"/>
          <w:r>
            <w:rPr>
              <w:rFonts w:cs="宋体" w:hint="eastAsia"/>
            </w:rPr>
            <w:t>研</w:t>
          </w:r>
          <w:proofErr w:type="gramEnd"/>
          <w:r>
            <w:rPr>
              <w:rFonts w:cs="宋体" w:hint="eastAsia"/>
            </w:rPr>
            <w:t>判、会商决策、主动避险措施，构建人防、技防、工程防、</w:t>
          </w:r>
          <w:proofErr w:type="gramStart"/>
          <w:r>
            <w:rPr>
              <w:rFonts w:cs="宋体" w:hint="eastAsia"/>
            </w:rPr>
            <w:t>管理防安保</w:t>
          </w:r>
          <w:proofErr w:type="gramEnd"/>
          <w:r>
            <w:rPr>
              <w:rFonts w:cs="宋体" w:hint="eastAsia"/>
            </w:rPr>
            <w:t>体系，牢牢守住高铁客车和重载安全底线红线，全面提升安全治理能力。</w:t>
          </w:r>
        </w:p>
        <w:p w14:paraId="71F427FB" w14:textId="77777777" w:rsidR="005E000F" w:rsidRDefault="00000000">
          <w:pPr>
            <w:spacing w:line="360" w:lineRule="auto"/>
            <w:ind w:firstLineChars="200" w:firstLine="422"/>
            <w:rPr>
              <w:rFonts w:cs="宋体"/>
            </w:rPr>
          </w:pPr>
          <w:r>
            <w:rPr>
              <w:rFonts w:cs="宋体" w:hint="eastAsia"/>
              <w:b/>
              <w:bCs/>
            </w:rPr>
            <w:t>在战略定位上，</w:t>
          </w:r>
          <w:r>
            <w:rPr>
              <w:rFonts w:cs="宋体" w:hint="eastAsia"/>
            </w:rPr>
            <w:t>推动由货运</w:t>
          </w:r>
          <w:proofErr w:type="gramStart"/>
          <w:r>
            <w:rPr>
              <w:rFonts w:cs="宋体" w:hint="eastAsia"/>
            </w:rPr>
            <w:t>大企向物流强企全面</w:t>
          </w:r>
          <w:proofErr w:type="gramEnd"/>
          <w:r>
            <w:rPr>
              <w:rFonts w:cs="宋体" w:hint="eastAsia"/>
            </w:rPr>
            <w:t>转变。以深化现代物流组织体系改革为动力，完善市场化物流营销体系，构建上下贯通、内外协同的物流生产组织体系，坚持“稳黑增白”，推动公转铁，做强“总对总”，发展“一单制”，争当物流供应链“链长”，打造多式联运龙头企业和现代物流骨干企业，增强主业核心竞争力。</w:t>
          </w:r>
        </w:p>
        <w:p w14:paraId="3EAEC936" w14:textId="77777777" w:rsidR="005E000F" w:rsidRDefault="00000000">
          <w:pPr>
            <w:spacing w:line="360" w:lineRule="auto"/>
            <w:ind w:firstLineChars="200" w:firstLine="422"/>
            <w:rPr>
              <w:rFonts w:cs="宋体"/>
            </w:rPr>
          </w:pPr>
          <w:r>
            <w:rPr>
              <w:rFonts w:cs="宋体" w:hint="eastAsia"/>
              <w:b/>
              <w:bCs/>
            </w:rPr>
            <w:lastRenderedPageBreak/>
            <w:t>在发展模式上，</w:t>
          </w:r>
          <w:r>
            <w:rPr>
              <w:rFonts w:cs="宋体" w:hint="eastAsia"/>
            </w:rPr>
            <w:t>推动由数量规模型向质量效益型全面转变。坚持质量优先、效益优先导向，实现客货运输“质的有效提升”和“量的合理增长”，全面提升市场经营能力、成本管控能力、资产开发能力、增收创效能力、价值创造能力、风险防控能力，筑牢高质量发展的经济基础。</w:t>
          </w:r>
        </w:p>
        <w:p w14:paraId="526A054B" w14:textId="77777777" w:rsidR="005E000F" w:rsidRDefault="00000000">
          <w:pPr>
            <w:spacing w:line="360" w:lineRule="auto"/>
            <w:ind w:firstLineChars="200" w:firstLine="422"/>
            <w:rPr>
              <w:rFonts w:cs="宋体"/>
            </w:rPr>
          </w:pPr>
          <w:r>
            <w:rPr>
              <w:rFonts w:cs="宋体" w:hint="eastAsia"/>
              <w:b/>
              <w:bCs/>
            </w:rPr>
            <w:t>在创新驱动上，</w:t>
          </w:r>
          <w:r>
            <w:rPr>
              <w:rFonts w:cs="宋体" w:hint="eastAsia"/>
            </w:rPr>
            <w:t>推动由重载</w:t>
          </w:r>
          <w:proofErr w:type="gramStart"/>
          <w:r>
            <w:rPr>
              <w:rFonts w:cs="宋体" w:hint="eastAsia"/>
            </w:rPr>
            <w:t>大企向重载强企全面</w:t>
          </w:r>
          <w:proofErr w:type="gramEnd"/>
          <w:r>
            <w:rPr>
              <w:rFonts w:cs="宋体" w:hint="eastAsia"/>
            </w:rPr>
            <w:t>转变。充分发挥大秦线重载技术源生优势、人才富集优势和应用场景丰富优势，加快建立重载运营标准体系，强化关键核心技术攻关和原创技术策源地建设，培养更多重载专业领军人才，强化重载战略科技力量，实现重载技术自主可控、安全高效，巩固“中国铁路重载”品牌地位。</w:t>
          </w:r>
        </w:p>
        <w:p w14:paraId="4859DE92" w14:textId="77777777" w:rsidR="005E000F" w:rsidRDefault="00000000">
          <w:pPr>
            <w:spacing w:line="360" w:lineRule="auto"/>
            <w:ind w:firstLineChars="200" w:firstLine="422"/>
            <w:rPr>
              <w:rFonts w:cs="宋体"/>
              <w:color w:val="000000"/>
            </w:rPr>
          </w:pPr>
          <w:r>
            <w:rPr>
              <w:rFonts w:cs="宋体" w:hint="eastAsia"/>
              <w:b/>
              <w:bCs/>
            </w:rPr>
            <w:t>在资源配置上，</w:t>
          </w:r>
          <w:r>
            <w:rPr>
              <w:rFonts w:cs="宋体" w:hint="eastAsia"/>
            </w:rPr>
            <w:t>推动实现由运输生产型向生产经营型全面转变。坚持市场导向，优化资源配置，推动客货运输围绕市场需求转、生产组织围绕客货运输转、资源配置围绕生产组织转，构建既集中统一，又高效运营的新型生产、经营、管理体系，不断增强企业经营活力和市场竞争力。</w:t>
          </w:r>
        </w:p>
      </w:sdtContent>
    </w:sdt>
    <w:p w14:paraId="3ABC5617" w14:textId="77777777" w:rsidR="005E000F" w:rsidRDefault="00000000">
      <w:pPr>
        <w:pStyle w:val="3"/>
        <w:numPr>
          <w:ilvl w:val="3"/>
          <w:numId w:val="17"/>
        </w:numPr>
        <w:rPr>
          <w:rFonts w:ascii="宋体" w:hAnsi="宋体" w:cs="宋体"/>
          <w:kern w:val="0"/>
          <w:szCs w:val="21"/>
        </w:rPr>
      </w:pPr>
      <w:r>
        <w:rPr>
          <w:rFonts w:ascii="宋体" w:hAnsi="宋体" w:cs="宋体"/>
          <w:kern w:val="0"/>
          <w:szCs w:val="21"/>
        </w:rPr>
        <w:t>经营计划</w:t>
      </w:r>
    </w:p>
    <w:sdt>
      <w:sdtPr>
        <w:rPr>
          <w:rFonts w:hint="eastAsia"/>
        </w:rPr>
        <w:alias w:val="是否适用：经营计划[双击切换]"/>
        <w:tag w:val="_GBC_871dbf3fc5a0422cadcc3452003278de"/>
        <w:id w:val="338897204"/>
        <w:placeholder>
          <w:docPart w:val="GBC22222222222222222222222222222"/>
        </w:placeholder>
      </w:sdtPr>
      <w:sdtContent>
        <w:p w14:paraId="663F7C08"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经营计划"/>
        <w:tag w:val="_GBC_3f9bf7d7a36444cab37005d22ebc798c"/>
        <w:id w:val="-51698038"/>
        <w:placeholder>
          <w:docPart w:val="GBC22222222222222222222222222222"/>
        </w:placeholder>
      </w:sdtPr>
      <w:sdtContent>
        <w:p w14:paraId="2C862A48" w14:textId="77777777" w:rsidR="005E000F" w:rsidRDefault="00000000">
          <w:pPr>
            <w:widowControl w:val="0"/>
            <w:numPr>
              <w:ilvl w:val="0"/>
              <w:numId w:val="18"/>
            </w:numPr>
            <w:ind w:left="420" w:hanging="420"/>
            <w:jc w:val="both"/>
            <w:rPr>
              <w:b/>
              <w:bCs/>
            </w:rPr>
          </w:pPr>
          <w:r>
            <w:rPr>
              <w:rFonts w:hint="eastAsia"/>
              <w:b/>
              <w:bCs/>
            </w:rPr>
            <w:t>2025</w:t>
          </w:r>
          <w:r>
            <w:rPr>
              <w:rFonts w:hint="eastAsia"/>
              <w:b/>
              <w:bCs/>
            </w:rPr>
            <w:t>年披露的发展战略和经营计划在报告期内的完成情况</w:t>
          </w:r>
        </w:p>
        <w:p w14:paraId="3210CACC" w14:textId="77777777" w:rsidR="005E000F" w:rsidRDefault="005E000F"/>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3"/>
            <w:gridCol w:w="2767"/>
            <w:gridCol w:w="2767"/>
          </w:tblGrid>
          <w:tr w:rsidR="005E000F" w14:paraId="5C2837FA" w14:textId="77777777">
            <w:trPr>
              <w:trHeight w:val="180"/>
              <w:jc w:val="center"/>
            </w:trPr>
            <w:tc>
              <w:tcPr>
                <w:tcW w:w="1941" w:type="pct"/>
                <w:vMerge w:val="restart"/>
                <w:vAlign w:val="center"/>
              </w:tcPr>
              <w:p w14:paraId="4940C841" w14:textId="77777777" w:rsidR="005E000F" w:rsidRDefault="00000000">
                <w:pPr>
                  <w:jc w:val="center"/>
                  <w:rPr>
                    <w:rStyle w:val="50"/>
                  </w:rPr>
                </w:pPr>
                <w:r>
                  <w:rPr>
                    <w:rStyle w:val="50"/>
                    <w:rFonts w:hint="eastAsia"/>
                  </w:rPr>
                  <w:t>项目</w:t>
                </w:r>
              </w:p>
            </w:tc>
            <w:tc>
              <w:tcPr>
                <w:tcW w:w="3058" w:type="pct"/>
                <w:gridSpan w:val="2"/>
                <w:vAlign w:val="center"/>
              </w:tcPr>
              <w:p w14:paraId="554F3EC7" w14:textId="77777777" w:rsidR="005E000F" w:rsidRDefault="00000000">
                <w:pPr>
                  <w:jc w:val="center"/>
                  <w:rPr>
                    <w:rStyle w:val="50"/>
                  </w:rPr>
                </w:pPr>
                <w:r>
                  <w:rPr>
                    <w:rStyle w:val="50"/>
                    <w:rFonts w:hint="eastAsia"/>
                  </w:rPr>
                  <w:t>2025</w:t>
                </w:r>
                <w:r>
                  <w:rPr>
                    <w:rStyle w:val="50"/>
                    <w:rFonts w:hint="eastAsia"/>
                  </w:rPr>
                  <w:t>年经营计划</w:t>
                </w:r>
              </w:p>
            </w:tc>
          </w:tr>
          <w:tr w:rsidR="005E000F" w14:paraId="1392893E" w14:textId="77777777">
            <w:trPr>
              <w:trHeight w:val="180"/>
              <w:jc w:val="center"/>
            </w:trPr>
            <w:tc>
              <w:tcPr>
                <w:tcW w:w="1941" w:type="pct"/>
                <w:vMerge/>
                <w:vAlign w:val="center"/>
              </w:tcPr>
              <w:p w14:paraId="0DF849F0" w14:textId="77777777" w:rsidR="005E000F" w:rsidRDefault="005E000F">
                <w:pPr>
                  <w:jc w:val="center"/>
                  <w:rPr>
                    <w:rStyle w:val="50"/>
                    <w:b w:val="0"/>
                    <w:bCs w:val="0"/>
                  </w:rPr>
                </w:pPr>
              </w:p>
            </w:tc>
            <w:tc>
              <w:tcPr>
                <w:tcW w:w="1529" w:type="pct"/>
                <w:vAlign w:val="center"/>
              </w:tcPr>
              <w:p w14:paraId="0939470B" w14:textId="77777777" w:rsidR="005E000F" w:rsidRDefault="00000000">
                <w:pPr>
                  <w:jc w:val="center"/>
                  <w:rPr>
                    <w:rStyle w:val="50"/>
                  </w:rPr>
                </w:pPr>
                <w:r>
                  <w:rPr>
                    <w:rStyle w:val="50"/>
                    <w:rFonts w:hint="eastAsia"/>
                  </w:rPr>
                  <w:t>预计数</w:t>
                </w:r>
              </w:p>
            </w:tc>
            <w:tc>
              <w:tcPr>
                <w:tcW w:w="1529" w:type="pct"/>
                <w:vAlign w:val="center"/>
              </w:tcPr>
              <w:p w14:paraId="75673614" w14:textId="77777777" w:rsidR="005E000F" w:rsidRDefault="00000000">
                <w:pPr>
                  <w:jc w:val="center"/>
                  <w:textAlignment w:val="bottom"/>
                  <w:rPr>
                    <w:rStyle w:val="50"/>
                    <w:b w:val="0"/>
                    <w:bCs w:val="0"/>
                  </w:rPr>
                </w:pPr>
                <w:r>
                  <w:rPr>
                    <w:rStyle w:val="50"/>
                    <w:rFonts w:hint="eastAsia"/>
                  </w:rPr>
                  <w:tab/>
                </w:r>
                <w:r>
                  <w:rPr>
                    <w:rStyle w:val="50"/>
                    <w:rFonts w:hint="eastAsia"/>
                  </w:rPr>
                  <w:tab/>
                </w:r>
                <w:r>
                  <w:rPr>
                    <w:rStyle w:val="50"/>
                    <w:rFonts w:hint="eastAsia"/>
                  </w:rPr>
                  <w:t>完成数</w:t>
                </w:r>
              </w:p>
            </w:tc>
          </w:tr>
          <w:tr w:rsidR="005E000F" w14:paraId="490B5051" w14:textId="77777777">
            <w:trPr>
              <w:trHeight w:val="180"/>
              <w:jc w:val="center"/>
            </w:trPr>
            <w:tc>
              <w:tcPr>
                <w:tcW w:w="1941" w:type="pct"/>
                <w:vAlign w:val="center"/>
              </w:tcPr>
              <w:p w14:paraId="77A7B941" w14:textId="77777777" w:rsidR="005E000F" w:rsidRDefault="00000000">
                <w:pPr>
                  <w:rPr>
                    <w:rStyle w:val="50"/>
                    <w:b w:val="0"/>
                    <w:bCs w:val="0"/>
                  </w:rPr>
                </w:pPr>
                <w:r>
                  <w:rPr>
                    <w:rStyle w:val="50"/>
                    <w:rFonts w:hint="eastAsia"/>
                    <w:b w:val="0"/>
                    <w:bCs w:val="0"/>
                  </w:rPr>
                  <w:t>旅客发送量（万人）</w:t>
                </w:r>
              </w:p>
            </w:tc>
            <w:tc>
              <w:tcPr>
                <w:tcW w:w="1529" w:type="pct"/>
                <w:vAlign w:val="center"/>
              </w:tcPr>
              <w:p w14:paraId="787AF97B" w14:textId="77777777" w:rsidR="005E000F" w:rsidRDefault="00000000">
                <w:pPr>
                  <w:jc w:val="right"/>
                  <w:rPr>
                    <w:rStyle w:val="50"/>
                    <w:b w:val="0"/>
                    <w:bCs w:val="0"/>
                  </w:rPr>
                </w:pPr>
                <w:r>
                  <w:rPr>
                    <w:rStyle w:val="50"/>
                    <w:rFonts w:hint="eastAsia"/>
                    <w:b w:val="0"/>
                    <w:bCs w:val="0"/>
                  </w:rPr>
                  <w:t>4,500</w:t>
                </w:r>
              </w:p>
            </w:tc>
            <w:tc>
              <w:tcPr>
                <w:tcW w:w="1529" w:type="pct"/>
                <w:vAlign w:val="center"/>
              </w:tcPr>
              <w:p w14:paraId="20C1E217" w14:textId="77777777" w:rsidR="005E000F" w:rsidRDefault="00000000">
                <w:pPr>
                  <w:jc w:val="right"/>
                  <w:rPr>
                    <w:rStyle w:val="5Char"/>
                    <w:b w:val="0"/>
                    <w:bCs w:val="0"/>
                  </w:rPr>
                </w:pPr>
                <w:r>
                  <w:rPr>
                    <w:rStyle w:val="5Char"/>
                    <w:rFonts w:hint="eastAsia"/>
                    <w:b w:val="0"/>
                    <w:bCs w:val="0"/>
                  </w:rPr>
                  <w:t>4,708</w:t>
                </w:r>
              </w:p>
            </w:tc>
          </w:tr>
          <w:tr w:rsidR="005E000F" w14:paraId="588B33C5" w14:textId="77777777">
            <w:trPr>
              <w:trHeight w:val="180"/>
              <w:jc w:val="center"/>
            </w:trPr>
            <w:tc>
              <w:tcPr>
                <w:tcW w:w="1941" w:type="pct"/>
                <w:vAlign w:val="center"/>
              </w:tcPr>
              <w:p w14:paraId="52150399" w14:textId="77777777" w:rsidR="005E000F" w:rsidRDefault="00000000">
                <w:pPr>
                  <w:rPr>
                    <w:rStyle w:val="50"/>
                    <w:b w:val="0"/>
                    <w:bCs w:val="0"/>
                  </w:rPr>
                </w:pPr>
                <w:r>
                  <w:rPr>
                    <w:rStyle w:val="50"/>
                    <w:rFonts w:hint="eastAsia"/>
                    <w:b w:val="0"/>
                    <w:bCs w:val="0"/>
                  </w:rPr>
                  <w:t>换算周转量（</w:t>
                </w:r>
                <w:proofErr w:type="gramStart"/>
                <w:r>
                  <w:rPr>
                    <w:rStyle w:val="50"/>
                    <w:rFonts w:hint="eastAsia"/>
                    <w:b w:val="0"/>
                    <w:bCs w:val="0"/>
                  </w:rPr>
                  <w:t>亿吨公里</w:t>
                </w:r>
                <w:proofErr w:type="gramEnd"/>
                <w:r>
                  <w:rPr>
                    <w:rStyle w:val="50"/>
                    <w:rFonts w:hint="eastAsia"/>
                    <w:b w:val="0"/>
                    <w:bCs w:val="0"/>
                  </w:rPr>
                  <w:t>）</w:t>
                </w:r>
              </w:p>
            </w:tc>
            <w:tc>
              <w:tcPr>
                <w:tcW w:w="1529" w:type="pct"/>
                <w:vAlign w:val="center"/>
              </w:tcPr>
              <w:p w14:paraId="0B37EC10" w14:textId="77777777" w:rsidR="005E000F" w:rsidRDefault="00000000">
                <w:pPr>
                  <w:jc w:val="right"/>
                  <w:rPr>
                    <w:rStyle w:val="50"/>
                    <w:b w:val="0"/>
                    <w:bCs w:val="0"/>
                  </w:rPr>
                </w:pPr>
                <w:r>
                  <w:rPr>
                    <w:rStyle w:val="50"/>
                    <w:rFonts w:hint="eastAsia"/>
                    <w:b w:val="0"/>
                    <w:bCs w:val="0"/>
                  </w:rPr>
                  <w:t>3,700</w:t>
                </w:r>
              </w:p>
            </w:tc>
            <w:tc>
              <w:tcPr>
                <w:tcW w:w="1529" w:type="pct"/>
                <w:vAlign w:val="center"/>
              </w:tcPr>
              <w:p w14:paraId="7B67CF5E" w14:textId="77777777" w:rsidR="005E000F" w:rsidRDefault="00000000">
                <w:pPr>
                  <w:jc w:val="right"/>
                  <w:rPr>
                    <w:rStyle w:val="5Char"/>
                    <w:b w:val="0"/>
                    <w:bCs w:val="0"/>
                  </w:rPr>
                </w:pPr>
                <w:r>
                  <w:rPr>
                    <w:rStyle w:val="5Char"/>
                    <w:rFonts w:hint="eastAsia"/>
                    <w:b w:val="0"/>
                    <w:bCs w:val="0"/>
                  </w:rPr>
                  <w:t>3,750</w:t>
                </w:r>
              </w:p>
            </w:tc>
          </w:tr>
          <w:tr w:rsidR="005E000F" w14:paraId="4B2E2CD9" w14:textId="77777777">
            <w:trPr>
              <w:trHeight w:val="180"/>
              <w:jc w:val="center"/>
            </w:trPr>
            <w:tc>
              <w:tcPr>
                <w:tcW w:w="1941" w:type="pct"/>
                <w:vAlign w:val="center"/>
              </w:tcPr>
              <w:p w14:paraId="6F4DF8AF" w14:textId="77777777" w:rsidR="005E000F" w:rsidRDefault="00000000">
                <w:pPr>
                  <w:rPr>
                    <w:rStyle w:val="50"/>
                    <w:b w:val="0"/>
                    <w:bCs w:val="0"/>
                  </w:rPr>
                </w:pPr>
                <w:r>
                  <w:rPr>
                    <w:rStyle w:val="50"/>
                    <w:rFonts w:hint="eastAsia"/>
                    <w:b w:val="0"/>
                    <w:bCs w:val="0"/>
                  </w:rPr>
                  <w:t>货物发送量（亿吨）</w:t>
                </w:r>
              </w:p>
            </w:tc>
            <w:tc>
              <w:tcPr>
                <w:tcW w:w="1529" w:type="pct"/>
                <w:vAlign w:val="center"/>
              </w:tcPr>
              <w:p w14:paraId="1D4A55E6" w14:textId="77777777" w:rsidR="005E000F" w:rsidRDefault="00000000">
                <w:pPr>
                  <w:jc w:val="right"/>
                  <w:rPr>
                    <w:rStyle w:val="50"/>
                    <w:b w:val="0"/>
                    <w:bCs w:val="0"/>
                  </w:rPr>
                </w:pPr>
                <w:r>
                  <w:rPr>
                    <w:rStyle w:val="50"/>
                    <w:rFonts w:hint="eastAsia"/>
                    <w:b w:val="0"/>
                    <w:bCs w:val="0"/>
                  </w:rPr>
                  <w:t>7.1</w:t>
                </w:r>
              </w:p>
            </w:tc>
            <w:tc>
              <w:tcPr>
                <w:tcW w:w="1529" w:type="pct"/>
                <w:vAlign w:val="center"/>
              </w:tcPr>
              <w:p w14:paraId="47CE2A00" w14:textId="77777777" w:rsidR="005E000F" w:rsidRDefault="00000000">
                <w:pPr>
                  <w:jc w:val="right"/>
                  <w:rPr>
                    <w:rStyle w:val="5Char"/>
                    <w:b w:val="0"/>
                    <w:bCs w:val="0"/>
                  </w:rPr>
                </w:pPr>
                <w:r>
                  <w:rPr>
                    <w:rStyle w:val="5Char"/>
                    <w:rFonts w:hint="eastAsia"/>
                    <w:b w:val="0"/>
                    <w:bCs w:val="0"/>
                  </w:rPr>
                  <w:t>6.8</w:t>
                </w:r>
              </w:p>
            </w:tc>
          </w:tr>
          <w:tr w:rsidR="005E000F" w14:paraId="7D2B82FC" w14:textId="77777777">
            <w:trPr>
              <w:trHeight w:val="180"/>
              <w:jc w:val="center"/>
            </w:trPr>
            <w:tc>
              <w:tcPr>
                <w:tcW w:w="1941" w:type="pct"/>
                <w:vAlign w:val="center"/>
              </w:tcPr>
              <w:p w14:paraId="457B5B6C" w14:textId="77777777" w:rsidR="005E000F" w:rsidRDefault="00000000">
                <w:pPr>
                  <w:rPr>
                    <w:rStyle w:val="50"/>
                    <w:b w:val="0"/>
                    <w:bCs w:val="0"/>
                  </w:rPr>
                </w:pPr>
                <w:r>
                  <w:rPr>
                    <w:rStyle w:val="50"/>
                    <w:rFonts w:hint="eastAsia"/>
                    <w:b w:val="0"/>
                    <w:bCs w:val="0"/>
                  </w:rPr>
                  <w:t>大秦线货物运输量（亿吨）</w:t>
                </w:r>
              </w:p>
            </w:tc>
            <w:tc>
              <w:tcPr>
                <w:tcW w:w="1529" w:type="pct"/>
                <w:vAlign w:val="center"/>
              </w:tcPr>
              <w:p w14:paraId="286F08DD" w14:textId="77777777" w:rsidR="005E000F" w:rsidRDefault="00000000">
                <w:pPr>
                  <w:jc w:val="right"/>
                  <w:rPr>
                    <w:rStyle w:val="50"/>
                    <w:b w:val="0"/>
                    <w:bCs w:val="0"/>
                  </w:rPr>
                </w:pPr>
                <w:r>
                  <w:rPr>
                    <w:rStyle w:val="50"/>
                    <w:rFonts w:hint="eastAsia"/>
                    <w:b w:val="0"/>
                    <w:bCs w:val="0"/>
                  </w:rPr>
                  <w:t>4.0</w:t>
                </w:r>
              </w:p>
            </w:tc>
            <w:tc>
              <w:tcPr>
                <w:tcW w:w="1529" w:type="pct"/>
                <w:vAlign w:val="center"/>
              </w:tcPr>
              <w:p w14:paraId="46B3DCD4" w14:textId="77777777" w:rsidR="005E000F" w:rsidRDefault="00000000">
                <w:pPr>
                  <w:jc w:val="right"/>
                  <w:rPr>
                    <w:rStyle w:val="5Char"/>
                    <w:b w:val="0"/>
                    <w:bCs w:val="0"/>
                  </w:rPr>
                </w:pPr>
                <w:r>
                  <w:rPr>
                    <w:rStyle w:val="5Char"/>
                    <w:rFonts w:hint="eastAsia"/>
                    <w:b w:val="0"/>
                    <w:bCs w:val="0"/>
                  </w:rPr>
                  <w:t>3.9</w:t>
                </w:r>
              </w:p>
            </w:tc>
          </w:tr>
          <w:tr w:rsidR="005E000F" w14:paraId="5CECDCA3" w14:textId="77777777">
            <w:trPr>
              <w:trHeight w:val="180"/>
              <w:jc w:val="center"/>
            </w:trPr>
            <w:tc>
              <w:tcPr>
                <w:tcW w:w="1941" w:type="pct"/>
                <w:vAlign w:val="center"/>
              </w:tcPr>
              <w:p w14:paraId="094CF2D0" w14:textId="77777777" w:rsidR="005E000F" w:rsidRDefault="00000000">
                <w:pPr>
                  <w:rPr>
                    <w:rStyle w:val="50"/>
                    <w:b w:val="0"/>
                    <w:bCs w:val="0"/>
                  </w:rPr>
                </w:pPr>
                <w:r>
                  <w:rPr>
                    <w:rStyle w:val="50"/>
                    <w:rFonts w:hint="eastAsia"/>
                    <w:b w:val="0"/>
                    <w:bCs w:val="0"/>
                  </w:rPr>
                  <w:t>营业收入（亿元）</w:t>
                </w:r>
              </w:p>
            </w:tc>
            <w:tc>
              <w:tcPr>
                <w:tcW w:w="1529" w:type="pct"/>
                <w:vAlign w:val="center"/>
              </w:tcPr>
              <w:p w14:paraId="680BD360" w14:textId="77777777" w:rsidR="005E000F" w:rsidRDefault="00000000">
                <w:pPr>
                  <w:jc w:val="right"/>
                  <w:rPr>
                    <w:rStyle w:val="50"/>
                    <w:b w:val="0"/>
                    <w:bCs w:val="0"/>
                  </w:rPr>
                </w:pPr>
                <w:r>
                  <w:rPr>
                    <w:rStyle w:val="50"/>
                    <w:rFonts w:hint="eastAsia"/>
                    <w:b w:val="0"/>
                    <w:bCs w:val="0"/>
                  </w:rPr>
                  <w:t>780</w:t>
                </w:r>
              </w:p>
            </w:tc>
            <w:tc>
              <w:tcPr>
                <w:tcW w:w="1529" w:type="pct"/>
                <w:vAlign w:val="center"/>
              </w:tcPr>
              <w:p w14:paraId="28B90476" w14:textId="77777777" w:rsidR="005E000F" w:rsidRDefault="00000000">
                <w:pPr>
                  <w:jc w:val="right"/>
                  <w:rPr>
                    <w:rStyle w:val="5Char"/>
                    <w:b w:val="0"/>
                    <w:bCs w:val="0"/>
                  </w:rPr>
                </w:pPr>
                <w:r>
                  <w:rPr>
                    <w:rStyle w:val="5Char"/>
                    <w:rFonts w:hint="eastAsia"/>
                    <w:b w:val="0"/>
                    <w:bCs w:val="0"/>
                  </w:rPr>
                  <w:t>776</w:t>
                </w:r>
              </w:p>
            </w:tc>
          </w:tr>
        </w:tbl>
        <w:p w14:paraId="05D934C8" w14:textId="77777777" w:rsidR="005E000F" w:rsidRDefault="005E000F">
          <w:pPr>
            <w:rPr>
              <w:b/>
              <w:bCs/>
            </w:rPr>
          </w:pPr>
        </w:p>
        <w:p w14:paraId="78CA8EC8" w14:textId="77777777" w:rsidR="005E000F" w:rsidRDefault="00000000">
          <w:pPr>
            <w:widowControl w:val="0"/>
            <w:numPr>
              <w:ilvl w:val="0"/>
              <w:numId w:val="18"/>
            </w:numPr>
            <w:ind w:left="420" w:hanging="420"/>
            <w:jc w:val="both"/>
          </w:pPr>
          <w:r>
            <w:rPr>
              <w:rFonts w:hint="eastAsia"/>
              <w:b/>
              <w:bCs/>
            </w:rPr>
            <w:t>2026</w:t>
          </w:r>
          <w:r>
            <w:rPr>
              <w:rFonts w:hint="eastAsia"/>
              <w:b/>
              <w:bCs/>
            </w:rPr>
            <w:t>年经营目标</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524"/>
          </w:tblGrid>
          <w:tr w:rsidR="005E000F" w14:paraId="1B64F89E" w14:textId="77777777">
            <w:trPr>
              <w:trHeight w:val="180"/>
              <w:jc w:val="center"/>
            </w:trPr>
            <w:tc>
              <w:tcPr>
                <w:tcW w:w="2499" w:type="pct"/>
                <w:vAlign w:val="center"/>
              </w:tcPr>
              <w:p w14:paraId="0DD47C5B" w14:textId="77777777" w:rsidR="005E000F" w:rsidRDefault="00000000">
                <w:pPr>
                  <w:jc w:val="center"/>
                  <w:rPr>
                    <w:rStyle w:val="50"/>
                  </w:rPr>
                </w:pPr>
                <w:r>
                  <w:rPr>
                    <w:rStyle w:val="50"/>
                    <w:rFonts w:hint="eastAsia"/>
                  </w:rPr>
                  <w:t>项目</w:t>
                </w:r>
              </w:p>
            </w:tc>
            <w:tc>
              <w:tcPr>
                <w:tcW w:w="2500" w:type="pct"/>
                <w:vAlign w:val="center"/>
              </w:tcPr>
              <w:p w14:paraId="2BB35F8A" w14:textId="77777777" w:rsidR="005E000F" w:rsidRDefault="00000000">
                <w:pPr>
                  <w:jc w:val="center"/>
                  <w:rPr>
                    <w:rStyle w:val="50"/>
                  </w:rPr>
                </w:pPr>
                <w:r>
                  <w:rPr>
                    <w:rStyle w:val="50"/>
                    <w:rFonts w:hint="eastAsia"/>
                  </w:rPr>
                  <w:t>2026</w:t>
                </w:r>
                <w:r>
                  <w:rPr>
                    <w:rStyle w:val="50"/>
                    <w:rFonts w:hint="eastAsia"/>
                  </w:rPr>
                  <w:t>年经营计划</w:t>
                </w:r>
              </w:p>
            </w:tc>
          </w:tr>
          <w:tr w:rsidR="005E000F" w14:paraId="5EEB38C9" w14:textId="77777777">
            <w:trPr>
              <w:trHeight w:val="180"/>
              <w:jc w:val="center"/>
            </w:trPr>
            <w:tc>
              <w:tcPr>
                <w:tcW w:w="2499" w:type="pct"/>
                <w:vAlign w:val="center"/>
              </w:tcPr>
              <w:p w14:paraId="0BA283D1" w14:textId="77777777" w:rsidR="005E000F" w:rsidRDefault="00000000">
                <w:pPr>
                  <w:rPr>
                    <w:rStyle w:val="50"/>
                  </w:rPr>
                </w:pPr>
                <w:r>
                  <w:rPr>
                    <w:rStyle w:val="50"/>
                    <w:rFonts w:hint="eastAsia"/>
                  </w:rPr>
                  <w:t>旅客发送量（万人）</w:t>
                </w:r>
              </w:p>
            </w:tc>
            <w:tc>
              <w:tcPr>
                <w:tcW w:w="2500" w:type="pct"/>
                <w:vAlign w:val="center"/>
              </w:tcPr>
              <w:p w14:paraId="74A7A82A" w14:textId="77777777" w:rsidR="005E000F" w:rsidRDefault="00000000">
                <w:pPr>
                  <w:ind w:rightChars="200" w:right="420"/>
                  <w:jc w:val="right"/>
                  <w:rPr>
                    <w:rStyle w:val="5Char"/>
                    <w:b w:val="0"/>
                    <w:bCs w:val="0"/>
                  </w:rPr>
                </w:pPr>
                <w:r>
                  <w:rPr>
                    <w:rStyle w:val="5Char"/>
                    <w:rFonts w:hint="eastAsia"/>
                    <w:b w:val="0"/>
                    <w:bCs w:val="0"/>
                  </w:rPr>
                  <w:t>4,800</w:t>
                </w:r>
              </w:p>
            </w:tc>
          </w:tr>
          <w:tr w:rsidR="005E000F" w14:paraId="3462EE9D" w14:textId="77777777">
            <w:trPr>
              <w:trHeight w:val="287"/>
              <w:jc w:val="center"/>
            </w:trPr>
            <w:tc>
              <w:tcPr>
                <w:tcW w:w="2499" w:type="pct"/>
                <w:vAlign w:val="center"/>
              </w:tcPr>
              <w:p w14:paraId="00EE55A8" w14:textId="77777777" w:rsidR="005E000F" w:rsidRDefault="00000000">
                <w:pPr>
                  <w:rPr>
                    <w:rStyle w:val="50"/>
                  </w:rPr>
                </w:pPr>
                <w:r>
                  <w:rPr>
                    <w:rStyle w:val="50"/>
                    <w:rFonts w:hint="eastAsia"/>
                  </w:rPr>
                  <w:t>换算周转量（</w:t>
                </w:r>
                <w:proofErr w:type="gramStart"/>
                <w:r>
                  <w:rPr>
                    <w:rStyle w:val="50"/>
                    <w:rFonts w:hint="eastAsia"/>
                  </w:rPr>
                  <w:t>亿吨公里</w:t>
                </w:r>
                <w:proofErr w:type="gramEnd"/>
                <w:r>
                  <w:rPr>
                    <w:rStyle w:val="50"/>
                    <w:rFonts w:hint="eastAsia"/>
                  </w:rPr>
                  <w:t>）</w:t>
                </w:r>
              </w:p>
            </w:tc>
            <w:tc>
              <w:tcPr>
                <w:tcW w:w="2500" w:type="pct"/>
                <w:vAlign w:val="center"/>
              </w:tcPr>
              <w:p w14:paraId="5258D151" w14:textId="77777777" w:rsidR="005E000F" w:rsidRDefault="00000000">
                <w:pPr>
                  <w:ind w:rightChars="200" w:right="420"/>
                  <w:jc w:val="right"/>
                  <w:rPr>
                    <w:rStyle w:val="5Char"/>
                  </w:rPr>
                </w:pPr>
                <w:r>
                  <w:rPr>
                    <w:rFonts w:hint="eastAsia"/>
                  </w:rPr>
                  <w:t>3,750</w:t>
                </w:r>
              </w:p>
            </w:tc>
          </w:tr>
          <w:tr w:rsidR="005E000F" w14:paraId="108C63F7" w14:textId="77777777">
            <w:trPr>
              <w:trHeight w:val="180"/>
              <w:jc w:val="center"/>
            </w:trPr>
            <w:tc>
              <w:tcPr>
                <w:tcW w:w="2499" w:type="pct"/>
                <w:vAlign w:val="center"/>
              </w:tcPr>
              <w:p w14:paraId="5268C856" w14:textId="77777777" w:rsidR="005E000F" w:rsidRDefault="00000000">
                <w:pPr>
                  <w:rPr>
                    <w:rStyle w:val="50"/>
                  </w:rPr>
                </w:pPr>
                <w:r>
                  <w:rPr>
                    <w:rStyle w:val="50"/>
                    <w:rFonts w:hint="eastAsia"/>
                  </w:rPr>
                  <w:t>货物发送量（亿吨）</w:t>
                </w:r>
              </w:p>
            </w:tc>
            <w:tc>
              <w:tcPr>
                <w:tcW w:w="2500" w:type="pct"/>
                <w:vAlign w:val="center"/>
              </w:tcPr>
              <w:p w14:paraId="18DA7A24" w14:textId="77777777" w:rsidR="005E000F" w:rsidRDefault="00000000">
                <w:pPr>
                  <w:ind w:rightChars="200" w:right="420"/>
                  <w:jc w:val="right"/>
                  <w:rPr>
                    <w:rStyle w:val="5Char"/>
                    <w:b w:val="0"/>
                    <w:bCs w:val="0"/>
                  </w:rPr>
                </w:pPr>
                <w:r>
                  <w:rPr>
                    <w:rStyle w:val="5Char"/>
                    <w:rFonts w:hint="eastAsia"/>
                    <w:b w:val="0"/>
                    <w:bCs w:val="0"/>
                  </w:rPr>
                  <w:t>6.8</w:t>
                </w:r>
              </w:p>
            </w:tc>
          </w:tr>
          <w:tr w:rsidR="005E000F" w14:paraId="34F8AE9B" w14:textId="77777777">
            <w:trPr>
              <w:trHeight w:val="180"/>
              <w:jc w:val="center"/>
            </w:trPr>
            <w:tc>
              <w:tcPr>
                <w:tcW w:w="2499" w:type="pct"/>
                <w:vAlign w:val="center"/>
              </w:tcPr>
              <w:p w14:paraId="74E3A6A3" w14:textId="77777777" w:rsidR="005E000F" w:rsidRDefault="00000000">
                <w:pPr>
                  <w:rPr>
                    <w:rStyle w:val="50"/>
                  </w:rPr>
                </w:pPr>
                <w:r>
                  <w:rPr>
                    <w:rStyle w:val="50"/>
                    <w:rFonts w:hint="eastAsia"/>
                  </w:rPr>
                  <w:t>大秦线货物运输量（亿吨）</w:t>
                </w:r>
              </w:p>
            </w:tc>
            <w:tc>
              <w:tcPr>
                <w:tcW w:w="2500" w:type="pct"/>
                <w:vAlign w:val="center"/>
              </w:tcPr>
              <w:p w14:paraId="5C7CA5FC" w14:textId="77777777" w:rsidR="005E000F" w:rsidRDefault="00000000">
                <w:pPr>
                  <w:ind w:rightChars="200" w:right="420"/>
                  <w:jc w:val="right"/>
                  <w:rPr>
                    <w:rStyle w:val="5Char"/>
                    <w:b w:val="0"/>
                    <w:bCs w:val="0"/>
                  </w:rPr>
                </w:pPr>
                <w:r>
                  <w:rPr>
                    <w:rStyle w:val="5Char"/>
                    <w:rFonts w:hint="eastAsia"/>
                    <w:b w:val="0"/>
                    <w:bCs w:val="0"/>
                  </w:rPr>
                  <w:t>3.9</w:t>
                </w:r>
              </w:p>
            </w:tc>
          </w:tr>
          <w:tr w:rsidR="005E000F" w14:paraId="180D12BA" w14:textId="77777777">
            <w:trPr>
              <w:trHeight w:val="180"/>
              <w:jc w:val="center"/>
            </w:trPr>
            <w:tc>
              <w:tcPr>
                <w:tcW w:w="2499" w:type="pct"/>
                <w:vAlign w:val="center"/>
              </w:tcPr>
              <w:p w14:paraId="434F4607" w14:textId="77777777" w:rsidR="005E000F" w:rsidRDefault="00000000">
                <w:pPr>
                  <w:rPr>
                    <w:rStyle w:val="50"/>
                  </w:rPr>
                </w:pPr>
                <w:r>
                  <w:rPr>
                    <w:rStyle w:val="50"/>
                    <w:rFonts w:hint="eastAsia"/>
                  </w:rPr>
                  <w:t>营业收入（亿元）</w:t>
                </w:r>
              </w:p>
            </w:tc>
            <w:tc>
              <w:tcPr>
                <w:tcW w:w="2500" w:type="pct"/>
                <w:vAlign w:val="center"/>
              </w:tcPr>
              <w:p w14:paraId="533E4C97" w14:textId="77777777" w:rsidR="005E000F" w:rsidRDefault="00000000">
                <w:pPr>
                  <w:ind w:rightChars="200" w:right="420"/>
                  <w:jc w:val="right"/>
                  <w:rPr>
                    <w:rStyle w:val="5Char"/>
                    <w:b w:val="0"/>
                    <w:bCs w:val="0"/>
                  </w:rPr>
                </w:pPr>
                <w:r>
                  <w:rPr>
                    <w:rStyle w:val="5Char"/>
                    <w:rFonts w:hint="eastAsia"/>
                    <w:b w:val="0"/>
                    <w:bCs w:val="0"/>
                  </w:rPr>
                  <w:t>770</w:t>
                </w:r>
              </w:p>
            </w:tc>
          </w:tr>
        </w:tbl>
        <w:p w14:paraId="48942331" w14:textId="77777777" w:rsidR="005E000F" w:rsidRDefault="005E000F"/>
        <w:p w14:paraId="7616DC6C" w14:textId="77777777" w:rsidR="005E000F" w:rsidRDefault="00000000">
          <w:pPr>
            <w:spacing w:line="360" w:lineRule="auto"/>
          </w:pPr>
          <w:r>
            <w:rPr>
              <w:rFonts w:hint="eastAsia"/>
            </w:rPr>
            <w:t>2026</w:t>
          </w:r>
          <w:r>
            <w:rPr>
              <w:rFonts w:hint="eastAsia"/>
            </w:rPr>
            <w:t>年经营目标是公司董事会基于所属行业以及公司的发展现状及趋势所做出的判断，不构成对</w:t>
          </w:r>
          <w:r>
            <w:rPr>
              <w:rFonts w:hint="eastAsia"/>
            </w:rPr>
            <w:t>2026</w:t>
          </w:r>
          <w:r>
            <w:rPr>
              <w:rFonts w:hint="eastAsia"/>
            </w:rPr>
            <w:t>年度经营业绩的承诺，请广大投资者理性投资，注意风险。</w:t>
          </w:r>
        </w:p>
        <w:p w14:paraId="66132254" w14:textId="77777777" w:rsidR="005E000F" w:rsidRDefault="00000000">
          <w:pPr>
            <w:widowControl w:val="0"/>
            <w:numPr>
              <w:ilvl w:val="0"/>
              <w:numId w:val="18"/>
            </w:numPr>
            <w:spacing w:line="360" w:lineRule="auto"/>
            <w:ind w:left="420" w:hanging="420"/>
            <w:jc w:val="both"/>
          </w:pPr>
          <w:r>
            <w:rPr>
              <w:rFonts w:hint="eastAsia"/>
              <w:b/>
              <w:bCs/>
            </w:rPr>
            <w:t>为完成</w:t>
          </w:r>
          <w:r>
            <w:rPr>
              <w:rFonts w:hint="eastAsia"/>
              <w:b/>
              <w:bCs/>
            </w:rPr>
            <w:t>2026</w:t>
          </w:r>
          <w:r>
            <w:rPr>
              <w:rFonts w:hint="eastAsia"/>
              <w:b/>
              <w:bCs/>
            </w:rPr>
            <w:t>年经营目标拟采取的策略和行动</w:t>
          </w:r>
        </w:p>
        <w:p w14:paraId="0718DD8A" w14:textId="77777777" w:rsidR="005E000F" w:rsidRDefault="00000000">
          <w:pPr>
            <w:adjustRightInd w:val="0"/>
            <w:snapToGrid w:val="0"/>
            <w:spacing w:line="360" w:lineRule="auto"/>
            <w:rPr>
              <w:rFonts w:cs="宋体"/>
              <w:b/>
              <w:bCs/>
              <w:color w:val="000000"/>
              <w:lang w:bidi="ar"/>
            </w:rPr>
          </w:pPr>
          <w:bookmarkStart w:id="106" w:name="OLE_LINK32"/>
          <w:r>
            <w:rPr>
              <w:rFonts w:cs="宋体" w:hint="eastAsia"/>
              <w:b/>
              <w:bCs/>
              <w:color w:val="000000"/>
              <w:lang w:bidi="ar"/>
            </w:rPr>
            <w:t>（</w:t>
          </w:r>
          <w:r>
            <w:rPr>
              <w:rFonts w:cs="宋体" w:hint="eastAsia"/>
              <w:b/>
              <w:bCs/>
              <w:color w:val="000000"/>
              <w:lang w:bidi="ar"/>
            </w:rPr>
            <w:t>1</w:t>
          </w:r>
          <w:r>
            <w:rPr>
              <w:rFonts w:cs="宋体" w:hint="eastAsia"/>
              <w:b/>
              <w:bCs/>
              <w:color w:val="000000"/>
              <w:lang w:bidi="ar"/>
            </w:rPr>
            <w:t>）坚决确保安全持续稳定：</w:t>
          </w:r>
          <w:bookmarkEnd w:id="106"/>
          <w:r>
            <w:rPr>
              <w:rFonts w:cs="宋体" w:hint="eastAsia"/>
              <w:b/>
              <w:bCs/>
              <w:color w:val="000000"/>
              <w:lang w:bidi="ar"/>
            </w:rPr>
            <w:t>一是</w:t>
          </w:r>
          <w:r>
            <w:rPr>
              <w:rFonts w:cs="宋体" w:hint="eastAsia"/>
              <w:color w:val="000000"/>
              <w:lang w:bidi="ar"/>
            </w:rPr>
            <w:t>深入学习贯彻习近平总书记关于安全生产重要论述，进一步增强做好铁路安全工作的政治责任感，筑牢</w:t>
          </w:r>
          <w:proofErr w:type="gramStart"/>
          <w:r>
            <w:rPr>
              <w:rFonts w:cs="宋体" w:hint="eastAsia"/>
              <w:color w:val="000000"/>
              <w:lang w:bidi="ar"/>
            </w:rPr>
            <w:t>安全发展</w:t>
          </w:r>
          <w:proofErr w:type="gramEnd"/>
          <w:r>
            <w:rPr>
              <w:rFonts w:cs="宋体" w:hint="eastAsia"/>
              <w:color w:val="000000"/>
              <w:lang w:bidi="ar"/>
            </w:rPr>
            <w:t>理念，深化安全基础建设，做好安全生产</w:t>
          </w:r>
          <w:proofErr w:type="gramStart"/>
          <w:r>
            <w:rPr>
              <w:rFonts w:cs="宋体" w:hint="eastAsia"/>
              <w:color w:val="000000"/>
              <w:lang w:bidi="ar"/>
            </w:rPr>
            <w:t>治本攻坚</w:t>
          </w:r>
          <w:proofErr w:type="gramEnd"/>
          <w:r>
            <w:rPr>
              <w:rFonts w:cs="宋体" w:hint="eastAsia"/>
              <w:color w:val="000000"/>
              <w:lang w:bidi="ar"/>
            </w:rPr>
            <w:t>三年行动收官工作，压紧压实安全责任，超前防范化解风险，提升应急处置能力，把</w:t>
          </w:r>
          <w:proofErr w:type="gramStart"/>
          <w:r>
            <w:rPr>
              <w:rFonts w:cs="宋体" w:hint="eastAsia"/>
              <w:color w:val="000000"/>
              <w:lang w:bidi="ar"/>
            </w:rPr>
            <w:t>安全第一</w:t>
          </w:r>
          <w:proofErr w:type="gramEnd"/>
          <w:r>
            <w:rPr>
              <w:rFonts w:cs="宋体" w:hint="eastAsia"/>
              <w:color w:val="000000"/>
              <w:lang w:bidi="ar"/>
            </w:rPr>
            <w:t>的意识、责任和措施贯穿到各项工作全过程各环节。</w:t>
          </w:r>
          <w:r>
            <w:rPr>
              <w:rFonts w:cs="宋体" w:hint="eastAsia"/>
              <w:b/>
              <w:bCs/>
              <w:color w:val="000000"/>
              <w:lang w:bidi="ar"/>
            </w:rPr>
            <w:t>二是</w:t>
          </w:r>
          <w:r>
            <w:rPr>
              <w:rFonts w:cs="宋体" w:hint="eastAsia"/>
              <w:color w:val="000000"/>
              <w:lang w:bidi="ar"/>
            </w:rPr>
            <w:t>始终保持强烈的安全风险意识，强化安全文化建设，进一步健全完善安全风险防控体系，加强风险</w:t>
          </w:r>
          <w:proofErr w:type="gramStart"/>
          <w:r>
            <w:rPr>
              <w:rFonts w:cs="宋体" w:hint="eastAsia"/>
              <w:color w:val="000000"/>
              <w:lang w:bidi="ar"/>
            </w:rPr>
            <w:t>研</w:t>
          </w:r>
          <w:proofErr w:type="gramEnd"/>
          <w:r>
            <w:rPr>
              <w:rFonts w:cs="宋体" w:hint="eastAsia"/>
              <w:color w:val="000000"/>
              <w:lang w:bidi="ar"/>
            </w:rPr>
            <w:t>判和主动预防，强化隐患排查治理，抓实客运安全、重载安全，完善应急管理体系，牢牢守住生命安全这一底线和红线。</w:t>
          </w:r>
          <w:r>
            <w:rPr>
              <w:rFonts w:cs="宋体" w:hint="eastAsia"/>
              <w:b/>
              <w:bCs/>
              <w:color w:val="000000"/>
              <w:lang w:bidi="ar"/>
            </w:rPr>
            <w:t>三是</w:t>
          </w:r>
          <w:r>
            <w:rPr>
              <w:rFonts w:cs="宋体" w:hint="eastAsia"/>
              <w:color w:val="000000"/>
              <w:lang w:bidi="ar"/>
            </w:rPr>
            <w:t>锚</w:t>
          </w:r>
          <w:proofErr w:type="gramStart"/>
          <w:r>
            <w:rPr>
              <w:rFonts w:cs="宋体" w:hint="eastAsia"/>
              <w:color w:val="000000"/>
              <w:lang w:bidi="ar"/>
            </w:rPr>
            <w:t>定建设</w:t>
          </w:r>
          <w:proofErr w:type="gramEnd"/>
          <w:r>
            <w:rPr>
              <w:rFonts w:cs="宋体" w:hint="eastAsia"/>
              <w:color w:val="000000"/>
              <w:lang w:bidi="ar"/>
            </w:rPr>
            <w:t>世界一流铁路企业的目标，强化战略思维，统筹推进</w:t>
          </w:r>
          <w:proofErr w:type="gramStart"/>
          <w:r>
            <w:rPr>
              <w:rFonts w:cs="宋体" w:hint="eastAsia"/>
              <w:color w:val="000000"/>
              <w:lang w:bidi="ar"/>
            </w:rPr>
            <w:t>安全强</w:t>
          </w:r>
          <w:proofErr w:type="gramEnd"/>
          <w:r>
            <w:rPr>
              <w:rFonts w:cs="宋体" w:hint="eastAsia"/>
              <w:color w:val="000000"/>
              <w:lang w:bidi="ar"/>
            </w:rPr>
            <w:t>基行动；强化法治思维，提升</w:t>
          </w:r>
          <w:r>
            <w:rPr>
              <w:rFonts w:cs="宋体" w:hint="eastAsia"/>
              <w:color w:val="000000"/>
              <w:lang w:bidi="ar"/>
            </w:rPr>
            <w:lastRenderedPageBreak/>
            <w:t>安全生产治理能力；强化创新思维，狠抓安全关键重点管控；强化底线思维，发挥安全监督管理效能；强化系统思维，凝聚共保安</w:t>
          </w:r>
          <w:proofErr w:type="gramStart"/>
          <w:r>
            <w:rPr>
              <w:rFonts w:cs="宋体" w:hint="eastAsia"/>
              <w:color w:val="000000"/>
              <w:lang w:bidi="ar"/>
            </w:rPr>
            <w:t>全强大</w:t>
          </w:r>
          <w:proofErr w:type="gramEnd"/>
          <w:r>
            <w:rPr>
              <w:rFonts w:cs="宋体" w:hint="eastAsia"/>
              <w:color w:val="000000"/>
              <w:lang w:bidi="ar"/>
            </w:rPr>
            <w:t>合力。</w:t>
          </w:r>
          <w:r>
            <w:rPr>
              <w:rFonts w:cs="宋体" w:hint="eastAsia"/>
              <w:color w:val="000000"/>
              <w:lang w:bidi="ar"/>
            </w:rPr>
            <w:t xml:space="preserve">  </w:t>
          </w:r>
        </w:p>
        <w:p w14:paraId="5FF7B59F" w14:textId="77777777" w:rsidR="005E000F" w:rsidRDefault="00000000">
          <w:pPr>
            <w:adjustRightInd w:val="0"/>
            <w:snapToGrid w:val="0"/>
            <w:spacing w:line="360" w:lineRule="auto"/>
            <w:jc w:val="both"/>
            <w:rPr>
              <w:rFonts w:cs="宋体"/>
              <w:b/>
              <w:bCs/>
              <w:color w:val="000000"/>
              <w:lang w:bidi="ar"/>
            </w:rPr>
          </w:pPr>
          <w:bookmarkStart w:id="107" w:name="OLE_LINK33"/>
          <w:r>
            <w:rPr>
              <w:rFonts w:cs="宋体" w:hint="eastAsia"/>
              <w:b/>
              <w:bCs/>
              <w:color w:val="000000"/>
              <w:lang w:bidi="ar"/>
            </w:rPr>
            <w:t>（</w:t>
          </w:r>
          <w:r>
            <w:rPr>
              <w:rFonts w:cs="宋体" w:hint="eastAsia"/>
              <w:b/>
              <w:bCs/>
              <w:color w:val="000000"/>
              <w:lang w:bidi="ar"/>
            </w:rPr>
            <w:t>2</w:t>
          </w:r>
          <w:r>
            <w:rPr>
              <w:rFonts w:cs="宋体" w:hint="eastAsia"/>
              <w:b/>
              <w:bCs/>
              <w:color w:val="000000"/>
              <w:lang w:bidi="ar"/>
            </w:rPr>
            <w:t>）推动客货运输市场化转型：</w:t>
          </w:r>
          <w:bookmarkEnd w:id="107"/>
          <w:r>
            <w:rPr>
              <w:rFonts w:cs="宋体" w:hint="eastAsia"/>
              <w:b/>
              <w:bCs/>
              <w:color w:val="000000"/>
              <w:lang w:bidi="ar"/>
            </w:rPr>
            <w:t>一是</w:t>
          </w:r>
          <w:r>
            <w:rPr>
              <w:rFonts w:cs="宋体" w:hint="eastAsia"/>
              <w:color w:val="000000"/>
              <w:lang w:bidi="ar"/>
            </w:rPr>
            <w:t>做强货运主责主业。货源</w:t>
          </w:r>
          <w:proofErr w:type="gramStart"/>
          <w:r>
            <w:rPr>
              <w:rFonts w:cs="宋体" w:hint="eastAsia"/>
              <w:color w:val="000000"/>
              <w:lang w:bidi="ar"/>
            </w:rPr>
            <w:t>上稳黑增白</w:t>
          </w:r>
          <w:proofErr w:type="gramEnd"/>
          <w:r>
            <w:rPr>
              <w:rFonts w:cs="宋体" w:hint="eastAsia"/>
              <w:color w:val="000000"/>
              <w:lang w:bidi="ar"/>
            </w:rPr>
            <w:t>，聚焦晋煤稳产保供，深挖非电煤</w:t>
          </w:r>
          <w:proofErr w:type="gramStart"/>
          <w:r>
            <w:rPr>
              <w:rFonts w:cs="宋体" w:hint="eastAsia"/>
              <w:color w:val="000000"/>
              <w:lang w:bidi="ar"/>
            </w:rPr>
            <w:t>物流总</w:t>
          </w:r>
          <w:proofErr w:type="gramEnd"/>
          <w:r>
            <w:rPr>
              <w:rFonts w:cs="宋体" w:hint="eastAsia"/>
              <w:color w:val="000000"/>
              <w:lang w:bidi="ar"/>
            </w:rPr>
            <w:t>包，拓展化工煤市场，稳住煤炭基本盘。跨区联动、路地协同推进疏港矿石营销，及时跟进山西新项目、新产业，“集零为整”扩大班列供给，继续推动白</w:t>
          </w:r>
          <w:proofErr w:type="gramStart"/>
          <w:r>
            <w:rPr>
              <w:rFonts w:cs="宋体" w:hint="eastAsia"/>
              <w:color w:val="000000"/>
              <w:lang w:bidi="ar"/>
            </w:rPr>
            <w:t>货运输增运上</w:t>
          </w:r>
          <w:proofErr w:type="gramEnd"/>
          <w:r>
            <w:rPr>
              <w:rFonts w:cs="宋体" w:hint="eastAsia"/>
              <w:color w:val="000000"/>
              <w:lang w:bidi="ar"/>
            </w:rPr>
            <w:t>量。流向上稳外增内，挖掘管内线路潜力，引导上下游调整到港及直达比例，统筹</w:t>
          </w:r>
          <w:r>
            <w:rPr>
              <w:rFonts w:cs="宋体" w:hint="eastAsia"/>
              <w:color w:val="000000"/>
              <w:lang w:bidi="ar"/>
            </w:rPr>
            <w:t>C80</w:t>
          </w:r>
          <w:r>
            <w:rPr>
              <w:rFonts w:cs="宋体" w:hint="eastAsia"/>
              <w:color w:val="000000"/>
              <w:lang w:bidi="ar"/>
            </w:rPr>
            <w:t>装车结构，提升出省煤炭市场份额。聚焦管内电厂、焦化和钢厂等终端企业，深度嵌入延伸产业链条，力争运输增量。物流</w:t>
          </w:r>
          <w:proofErr w:type="gramStart"/>
          <w:r>
            <w:rPr>
              <w:rFonts w:cs="宋体" w:hint="eastAsia"/>
              <w:color w:val="000000"/>
              <w:lang w:bidi="ar"/>
            </w:rPr>
            <w:t>上稳链增效</w:t>
          </w:r>
          <w:proofErr w:type="gramEnd"/>
          <w:r>
            <w:rPr>
              <w:rFonts w:cs="宋体" w:hint="eastAsia"/>
              <w:color w:val="000000"/>
              <w:lang w:bidi="ar"/>
            </w:rPr>
            <w:t>，开展“总对总”营销，全面融入企业供应链，</w:t>
          </w:r>
          <w:proofErr w:type="gramStart"/>
          <w:r>
            <w:rPr>
              <w:rFonts w:cs="宋体" w:hint="eastAsia"/>
              <w:color w:val="000000"/>
              <w:lang w:bidi="ar"/>
            </w:rPr>
            <w:t>一</w:t>
          </w:r>
          <w:proofErr w:type="gramEnd"/>
          <w:r>
            <w:rPr>
              <w:rFonts w:cs="宋体" w:hint="eastAsia"/>
              <w:color w:val="000000"/>
              <w:lang w:bidi="ar"/>
            </w:rPr>
            <w:t>企</w:t>
          </w:r>
          <w:proofErr w:type="gramStart"/>
          <w:r>
            <w:rPr>
              <w:rFonts w:cs="宋体" w:hint="eastAsia"/>
              <w:color w:val="000000"/>
              <w:lang w:bidi="ar"/>
            </w:rPr>
            <w:t>一策签订物流总</w:t>
          </w:r>
          <w:proofErr w:type="gramEnd"/>
          <w:r>
            <w:rPr>
              <w:rFonts w:cs="宋体" w:hint="eastAsia"/>
              <w:color w:val="000000"/>
              <w:lang w:bidi="ar"/>
            </w:rPr>
            <w:t>包协议。加快发展铁路主导的多式联运体系，大力推进“一单制”，加快现代物流转型。</w:t>
          </w:r>
          <w:r>
            <w:rPr>
              <w:rFonts w:cs="宋体" w:hint="eastAsia"/>
              <w:b/>
              <w:bCs/>
              <w:color w:val="000000"/>
              <w:lang w:bidi="ar"/>
            </w:rPr>
            <w:t>二是</w:t>
          </w:r>
          <w:r>
            <w:rPr>
              <w:rFonts w:cs="宋体" w:hint="eastAsia"/>
              <w:color w:val="000000"/>
              <w:lang w:bidi="ar"/>
            </w:rPr>
            <w:t>优化客运产品供给。优化产品供给，增开更多停站少、旅时短的大站标杆车，实行旺季“公交化”开行，打造以太原为中心的“</w:t>
          </w:r>
          <w:r>
            <w:rPr>
              <w:rFonts w:cs="宋体" w:hint="eastAsia"/>
              <w:color w:val="000000"/>
              <w:lang w:bidi="ar"/>
            </w:rPr>
            <w:t>1237</w:t>
          </w:r>
          <w:r>
            <w:rPr>
              <w:rFonts w:cs="宋体" w:hint="eastAsia"/>
              <w:color w:val="000000"/>
              <w:lang w:bidi="ar"/>
            </w:rPr>
            <w:t>”高铁出行圈（即打造以太原为中心的省内地市</w:t>
          </w:r>
          <w:r>
            <w:rPr>
              <w:rFonts w:cs="宋体" w:hint="eastAsia"/>
              <w:color w:val="000000"/>
              <w:lang w:bidi="ar"/>
            </w:rPr>
            <w:t>1</w:t>
          </w:r>
          <w:r>
            <w:rPr>
              <w:rFonts w:cs="宋体" w:hint="eastAsia"/>
              <w:color w:val="000000"/>
              <w:lang w:bidi="ar"/>
            </w:rPr>
            <w:t>、</w:t>
          </w:r>
          <w:r>
            <w:rPr>
              <w:rFonts w:cs="宋体" w:hint="eastAsia"/>
              <w:color w:val="000000"/>
              <w:lang w:bidi="ar"/>
            </w:rPr>
            <w:t>2</w:t>
          </w:r>
          <w:r>
            <w:rPr>
              <w:rFonts w:cs="宋体" w:hint="eastAsia"/>
              <w:color w:val="000000"/>
              <w:lang w:bidi="ar"/>
            </w:rPr>
            <w:t>小时，相邻省会</w:t>
          </w:r>
          <w:r>
            <w:rPr>
              <w:rFonts w:cs="宋体" w:hint="eastAsia"/>
              <w:color w:val="000000"/>
              <w:lang w:bidi="ar"/>
            </w:rPr>
            <w:t>3</w:t>
          </w:r>
          <w:r>
            <w:rPr>
              <w:rFonts w:cs="宋体" w:hint="eastAsia"/>
              <w:color w:val="000000"/>
              <w:lang w:bidi="ar"/>
            </w:rPr>
            <w:t>小时，进沪、进川</w:t>
          </w:r>
          <w:r>
            <w:rPr>
              <w:rFonts w:cs="宋体" w:hint="eastAsia"/>
              <w:color w:val="000000"/>
              <w:lang w:bidi="ar"/>
            </w:rPr>
            <w:t>7</w:t>
          </w:r>
          <w:r>
            <w:rPr>
              <w:rFonts w:cs="宋体" w:hint="eastAsia"/>
              <w:color w:val="000000"/>
              <w:lang w:bidi="ar"/>
            </w:rPr>
            <w:t>小时）。深化铁旅融合，推进旅游列车开发利用，打造特色旅游列车，适应消费新业态，按需开行红色</w:t>
          </w:r>
          <w:proofErr w:type="gramStart"/>
          <w:r>
            <w:rPr>
              <w:rFonts w:cs="宋体" w:hint="eastAsia"/>
              <w:color w:val="000000"/>
              <w:lang w:bidi="ar"/>
            </w:rPr>
            <w:t>研</w:t>
          </w:r>
          <w:proofErr w:type="gramEnd"/>
          <w:r>
            <w:rPr>
              <w:rFonts w:cs="宋体" w:hint="eastAsia"/>
              <w:color w:val="000000"/>
              <w:lang w:bidi="ar"/>
            </w:rPr>
            <w:t>学、歌迷赛事和康养旅居专列，开发更多</w:t>
          </w:r>
          <w:proofErr w:type="gramStart"/>
          <w:r>
            <w:rPr>
              <w:rFonts w:cs="宋体" w:hint="eastAsia"/>
              <w:color w:val="000000"/>
              <w:lang w:bidi="ar"/>
            </w:rPr>
            <w:t>联程联游</w:t>
          </w:r>
          <w:proofErr w:type="gramEnd"/>
          <w:r>
            <w:rPr>
              <w:rFonts w:cs="宋体" w:hint="eastAsia"/>
              <w:color w:val="000000"/>
              <w:lang w:bidi="ar"/>
            </w:rPr>
            <w:t>、</w:t>
          </w:r>
          <w:proofErr w:type="gramStart"/>
          <w:r>
            <w:rPr>
              <w:rFonts w:cs="宋体" w:hint="eastAsia"/>
              <w:color w:val="000000"/>
              <w:lang w:bidi="ar"/>
            </w:rPr>
            <w:t>联宿联购</w:t>
          </w:r>
          <w:proofErr w:type="gramEnd"/>
          <w:r>
            <w:rPr>
              <w:rFonts w:cs="宋体" w:hint="eastAsia"/>
              <w:color w:val="000000"/>
              <w:lang w:bidi="ar"/>
            </w:rPr>
            <w:t>客运产品。实行更加灵活的售票策略，持续推动客运服务升级。</w:t>
          </w:r>
        </w:p>
        <w:p w14:paraId="3CFF8155" w14:textId="77777777" w:rsidR="005E000F" w:rsidRDefault="00000000">
          <w:pPr>
            <w:adjustRightInd w:val="0"/>
            <w:snapToGrid w:val="0"/>
            <w:spacing w:line="360" w:lineRule="auto"/>
            <w:jc w:val="both"/>
            <w:rPr>
              <w:rFonts w:cs="宋体"/>
              <w:color w:val="000000"/>
              <w:lang w:bidi="ar"/>
            </w:rPr>
          </w:pPr>
          <w:bookmarkStart w:id="108" w:name="OLE_LINK34"/>
          <w:r>
            <w:rPr>
              <w:rFonts w:cs="宋体" w:hint="eastAsia"/>
              <w:b/>
              <w:bCs/>
              <w:color w:val="000000"/>
              <w:lang w:bidi="ar"/>
            </w:rPr>
            <w:t>（</w:t>
          </w:r>
          <w:r>
            <w:rPr>
              <w:rFonts w:cs="宋体" w:hint="eastAsia"/>
              <w:b/>
              <w:bCs/>
              <w:color w:val="000000"/>
              <w:lang w:bidi="ar"/>
            </w:rPr>
            <w:t>3</w:t>
          </w:r>
          <w:r>
            <w:rPr>
              <w:rFonts w:cs="宋体" w:hint="eastAsia"/>
              <w:b/>
              <w:bCs/>
              <w:color w:val="000000"/>
              <w:lang w:bidi="ar"/>
            </w:rPr>
            <w:t>）全面提升经营管理质量和效益：</w:t>
          </w:r>
          <w:bookmarkEnd w:id="108"/>
          <w:r>
            <w:rPr>
              <w:rFonts w:cs="宋体" w:hint="eastAsia"/>
              <w:b/>
              <w:bCs/>
              <w:color w:val="000000"/>
              <w:lang w:bidi="ar"/>
            </w:rPr>
            <w:t>一是</w:t>
          </w:r>
          <w:r>
            <w:rPr>
              <w:rFonts w:cs="宋体" w:hint="eastAsia"/>
              <w:color w:val="000000"/>
              <w:lang w:bidi="ar"/>
            </w:rPr>
            <w:t>动态掌握上下游客户需求，推出适销对路的货运新产品。适应货运市场需求，优化调整车流径路，优化枢纽运输组织，提高“重去重回”开行比例，合理调整万吨列车开行比例。完善物流综合服务配套设施，加快智慧物流建设。根据公众出行需求变化，不断优化客车开行结构。</w:t>
          </w:r>
          <w:r>
            <w:rPr>
              <w:rFonts w:cs="宋体" w:hint="eastAsia"/>
              <w:b/>
              <w:bCs/>
              <w:color w:val="000000"/>
              <w:lang w:bidi="ar"/>
            </w:rPr>
            <w:t>二是</w:t>
          </w:r>
          <w:r>
            <w:rPr>
              <w:rFonts w:cs="宋体" w:hint="eastAsia"/>
              <w:color w:val="000000"/>
              <w:lang w:bidi="ar"/>
            </w:rPr>
            <w:t>加强算账开车、算账装车，动态实施客运“一日一图”，试行“订单式”定制化开车模式。加强经济活动分析，密切关注投入产出各项经济指标完成情况，提升经营质效。</w:t>
          </w:r>
          <w:r>
            <w:rPr>
              <w:rFonts w:cs="宋体" w:hint="eastAsia"/>
              <w:b/>
              <w:bCs/>
              <w:color w:val="000000"/>
              <w:lang w:bidi="ar"/>
            </w:rPr>
            <w:t>三是</w:t>
          </w:r>
          <w:r>
            <w:rPr>
              <w:rFonts w:cs="宋体" w:hint="eastAsia"/>
              <w:color w:val="000000"/>
              <w:lang w:bidi="ar"/>
            </w:rPr>
            <w:t>优化用工结构，精细化管控人工成本。推行</w:t>
          </w:r>
          <w:proofErr w:type="gramStart"/>
          <w:r>
            <w:rPr>
              <w:rFonts w:cs="宋体" w:hint="eastAsia"/>
              <w:color w:val="000000"/>
              <w:lang w:bidi="ar"/>
            </w:rPr>
            <w:t>物流总</w:t>
          </w:r>
          <w:proofErr w:type="gramEnd"/>
          <w:r>
            <w:rPr>
              <w:rFonts w:cs="宋体" w:hint="eastAsia"/>
              <w:color w:val="000000"/>
              <w:lang w:bidi="ar"/>
            </w:rPr>
            <w:t>包“量价捆绑”和“周期考核”，推动物流辅助服务量收齐增。</w:t>
          </w:r>
          <w:proofErr w:type="gramStart"/>
          <w:r>
            <w:rPr>
              <w:rFonts w:cs="宋体" w:hint="eastAsia"/>
              <w:color w:val="000000"/>
              <w:lang w:bidi="ar"/>
            </w:rPr>
            <w:t>深化修程修制</w:t>
          </w:r>
          <w:proofErr w:type="gramEnd"/>
          <w:r>
            <w:rPr>
              <w:rFonts w:cs="宋体" w:hint="eastAsia"/>
              <w:color w:val="000000"/>
              <w:lang w:bidi="ar"/>
            </w:rPr>
            <w:t>改革，强化业务外包管理。优化移动设备运用，降低单位能耗。加强物资采购管理，发挥集中采购优势，降低物资采购成本。动态调整货运价格策略，推广实施阶梯运价和市场化竞价，稳步提升收入质量。</w:t>
          </w:r>
          <w:r>
            <w:rPr>
              <w:rFonts w:cs="宋体" w:hint="eastAsia"/>
              <w:b/>
              <w:bCs/>
              <w:color w:val="000000"/>
              <w:lang w:bidi="ar"/>
            </w:rPr>
            <w:t>四是增强科技创新能力。</w:t>
          </w:r>
          <w:r>
            <w:rPr>
              <w:rFonts w:cs="宋体" w:hint="eastAsia"/>
              <w:color w:val="000000"/>
              <w:lang w:bidi="ar"/>
            </w:rPr>
            <w:t>加快重载技术国产化替代，推进</w:t>
          </w:r>
          <w:r>
            <w:rPr>
              <w:rFonts w:cs="宋体" w:hint="eastAsia"/>
              <w:color w:val="000000"/>
              <w:lang w:bidi="ar"/>
            </w:rPr>
            <w:t>FXD1BA</w:t>
          </w:r>
          <w:r>
            <w:rPr>
              <w:rFonts w:cs="宋体" w:hint="eastAsia"/>
              <w:color w:val="000000"/>
              <w:lang w:bidi="ar"/>
            </w:rPr>
            <w:t>型机车全面自主化技术验证试验、</w:t>
          </w:r>
          <w:r>
            <w:rPr>
              <w:rFonts w:cs="宋体" w:hint="eastAsia"/>
              <w:color w:val="000000"/>
              <w:lang w:bidi="ar"/>
            </w:rPr>
            <w:t>5G-R</w:t>
          </w:r>
          <w:r>
            <w:rPr>
              <w:rFonts w:cs="宋体" w:hint="eastAsia"/>
              <w:color w:val="000000"/>
              <w:lang w:bidi="ar"/>
            </w:rPr>
            <w:t>重载试验段建设及应用规划研究。实施大秦重载铁路智能化提升，深化图像智能识别新技术在运维和安防领域的应用研究。集聚科研所、专业部门、运输站段科研力量，构建“大科研”格局，提升自主研发能力。</w:t>
          </w:r>
        </w:p>
        <w:p w14:paraId="31117B49" w14:textId="77777777" w:rsidR="005E000F" w:rsidRDefault="00000000">
          <w:pPr>
            <w:adjustRightInd w:val="0"/>
            <w:snapToGrid w:val="0"/>
            <w:spacing w:line="360" w:lineRule="auto"/>
            <w:jc w:val="both"/>
            <w:rPr>
              <w:rFonts w:cs="宋体"/>
              <w:color w:val="000000"/>
              <w:lang w:bidi="ar"/>
            </w:rPr>
          </w:pPr>
          <w:r>
            <w:rPr>
              <w:rFonts w:cs="宋体" w:hint="eastAsia"/>
              <w:b/>
              <w:bCs/>
              <w:color w:val="000000"/>
              <w:lang w:bidi="ar"/>
            </w:rPr>
            <w:t>（</w:t>
          </w:r>
          <w:r>
            <w:rPr>
              <w:rFonts w:cs="宋体" w:hint="eastAsia"/>
              <w:b/>
              <w:bCs/>
              <w:color w:val="000000"/>
              <w:lang w:bidi="ar"/>
            </w:rPr>
            <w:t>4</w:t>
          </w:r>
          <w:r>
            <w:rPr>
              <w:rFonts w:cs="宋体" w:hint="eastAsia"/>
              <w:b/>
              <w:bCs/>
              <w:color w:val="000000"/>
              <w:lang w:bidi="ar"/>
            </w:rPr>
            <w:t>）持续提升上市公司治理水平：一是</w:t>
          </w:r>
          <w:r>
            <w:rPr>
              <w:rFonts w:cs="宋体" w:hint="eastAsia"/>
              <w:color w:val="000000"/>
              <w:lang w:bidi="ar"/>
            </w:rPr>
            <w:t>全面贯彻“两个</w:t>
          </w:r>
          <w:proofErr w:type="gramStart"/>
          <w:r>
            <w:rPr>
              <w:rFonts w:cs="宋体" w:hint="eastAsia"/>
              <w:color w:val="000000"/>
              <w:lang w:bidi="ar"/>
            </w:rPr>
            <w:t>一</w:t>
          </w:r>
          <w:proofErr w:type="gramEnd"/>
          <w:r>
            <w:rPr>
              <w:rFonts w:cs="宋体" w:hint="eastAsia"/>
              <w:color w:val="000000"/>
              <w:lang w:bidi="ar"/>
            </w:rPr>
            <w:t>以贯之”，将党建工作融入公司治理全流程，在战略规划、重大投资、风险防控等关键环节，严格执行“党委前置研究”程序，实现党建工作与经营管理深度融合。</w:t>
          </w:r>
          <w:r>
            <w:rPr>
              <w:rFonts w:cs="宋体" w:hint="eastAsia"/>
              <w:b/>
              <w:bCs/>
              <w:color w:val="000000"/>
              <w:lang w:bidi="ar"/>
            </w:rPr>
            <w:t>二是</w:t>
          </w:r>
          <w:r>
            <w:rPr>
              <w:rFonts w:cs="宋体" w:hint="eastAsia"/>
              <w:color w:val="000000"/>
              <w:lang w:bidi="ar"/>
            </w:rPr>
            <w:t>优化治理层级，全面实施“董事会审计委员会代行监事会职权”制度，</w:t>
          </w:r>
          <w:r>
            <w:rPr>
              <w:rFonts w:cs="宋体"/>
              <w:color w:val="000000"/>
              <w:lang w:bidi="ar"/>
            </w:rPr>
            <w:t>结合公司实际经营、行业特性及风险特征，科学配置审计委员会在财务监督、合</w:t>
          </w:r>
          <w:proofErr w:type="gramStart"/>
          <w:r>
            <w:rPr>
              <w:rFonts w:cs="宋体"/>
              <w:color w:val="000000"/>
              <w:lang w:bidi="ar"/>
            </w:rPr>
            <w:t>规</w:t>
          </w:r>
          <w:proofErr w:type="gramEnd"/>
          <w:r>
            <w:rPr>
              <w:rFonts w:cs="宋体"/>
              <w:color w:val="000000"/>
              <w:lang w:bidi="ar"/>
            </w:rPr>
            <w:t>审查、风险管控等方面的具体职责。</w:t>
          </w:r>
          <w:r>
            <w:rPr>
              <w:rFonts w:cs="宋体" w:hint="eastAsia"/>
              <w:color w:val="000000"/>
              <w:lang w:bidi="ar"/>
            </w:rPr>
            <w:t>做好董事会换届工作，</w:t>
          </w:r>
          <w:r>
            <w:rPr>
              <w:rFonts w:cs="宋体"/>
              <w:color w:val="000000"/>
              <w:lang w:bidi="ar"/>
            </w:rPr>
            <w:t>持续推动董事会规范、专业、高效运作</w:t>
          </w:r>
          <w:r>
            <w:rPr>
              <w:rFonts w:cs="宋体" w:hint="eastAsia"/>
              <w:color w:val="000000"/>
              <w:lang w:bidi="ar"/>
            </w:rPr>
            <w:t>。</w:t>
          </w:r>
          <w:r>
            <w:rPr>
              <w:rFonts w:cs="宋体" w:hint="eastAsia"/>
              <w:b/>
              <w:bCs/>
              <w:color w:val="000000"/>
              <w:lang w:bidi="ar"/>
            </w:rPr>
            <w:t>三是</w:t>
          </w:r>
          <w:r>
            <w:rPr>
              <w:rFonts w:cs="宋体"/>
              <w:color w:val="000000"/>
              <w:lang w:bidi="ar"/>
            </w:rPr>
            <w:t>以</w:t>
          </w:r>
          <w:r>
            <w:rPr>
              <w:rFonts w:cs="宋体" w:hint="eastAsia"/>
              <w:color w:val="000000"/>
              <w:lang w:bidi="ar"/>
            </w:rPr>
            <w:t>法律法规</w:t>
          </w:r>
          <w:r>
            <w:rPr>
              <w:rFonts w:cs="宋体"/>
              <w:color w:val="000000"/>
              <w:lang w:bidi="ar"/>
            </w:rPr>
            <w:t>及监管新</w:t>
          </w:r>
          <w:proofErr w:type="gramStart"/>
          <w:r>
            <w:rPr>
              <w:rFonts w:cs="宋体"/>
              <w:color w:val="000000"/>
              <w:lang w:bidi="ar"/>
            </w:rPr>
            <w:t>规</w:t>
          </w:r>
          <w:proofErr w:type="gramEnd"/>
          <w:r>
            <w:rPr>
              <w:rFonts w:cs="宋体"/>
              <w:color w:val="000000"/>
              <w:lang w:bidi="ar"/>
            </w:rPr>
            <w:t>为遵循，</w:t>
          </w:r>
          <w:r>
            <w:rPr>
              <w:rFonts w:cs="宋体" w:hint="eastAsia"/>
              <w:color w:val="000000"/>
              <w:lang w:bidi="ar"/>
            </w:rPr>
            <w:t>建立健全更加完备的治理文件体系</w:t>
          </w:r>
          <w:r>
            <w:rPr>
              <w:rFonts w:cs="宋体"/>
              <w:color w:val="000000"/>
              <w:lang w:bidi="ar"/>
            </w:rPr>
            <w:t>，</w:t>
          </w:r>
          <w:r>
            <w:rPr>
              <w:rFonts w:cs="宋体" w:hint="eastAsia"/>
              <w:color w:val="000000"/>
              <w:lang w:bidi="ar"/>
            </w:rPr>
            <w:t>做好动态跟进修订，确保重大事项议事规则科学完备，决策程序衔接顺畅。</w:t>
          </w:r>
          <w:r>
            <w:rPr>
              <w:rFonts w:cs="宋体" w:hint="eastAsia"/>
              <w:b/>
              <w:bCs/>
              <w:color w:val="000000"/>
              <w:lang w:bidi="ar"/>
            </w:rPr>
            <w:t>四是</w:t>
          </w:r>
          <w:r>
            <w:rPr>
              <w:rFonts w:cs="宋体"/>
              <w:color w:val="000000"/>
              <w:lang w:bidi="ar"/>
            </w:rPr>
            <w:t>以</w:t>
          </w:r>
          <w:r>
            <w:rPr>
              <w:rFonts w:cs="宋体" w:hint="eastAsia"/>
              <w:color w:val="000000"/>
              <w:lang w:bidi="ar"/>
            </w:rPr>
            <w:t>内部控制</w:t>
          </w:r>
          <w:r>
            <w:rPr>
              <w:rFonts w:cs="宋体"/>
              <w:color w:val="000000"/>
              <w:lang w:bidi="ar"/>
            </w:rPr>
            <w:t>体系建设为抓手，持续提升风险管理能力。优化</w:t>
          </w:r>
          <w:r>
            <w:rPr>
              <w:rFonts w:cs="宋体" w:hint="eastAsia"/>
              <w:color w:val="000000"/>
              <w:lang w:bidi="ar"/>
            </w:rPr>
            <w:t>内部控制</w:t>
          </w:r>
          <w:r>
            <w:rPr>
              <w:rFonts w:cs="宋体"/>
              <w:color w:val="000000"/>
              <w:lang w:bidi="ar"/>
            </w:rPr>
            <w:t>流程，对关键业务流程进行全面梳理，识别风险点，制定防控措施，</w:t>
          </w:r>
          <w:r>
            <w:rPr>
              <w:rFonts w:cs="宋体"/>
              <w:color w:val="000000"/>
              <w:lang w:bidi="ar"/>
            </w:rPr>
            <w:lastRenderedPageBreak/>
            <w:t>确保业务操作合</w:t>
          </w:r>
          <w:proofErr w:type="gramStart"/>
          <w:r>
            <w:rPr>
              <w:rFonts w:cs="宋体"/>
              <w:color w:val="000000"/>
              <w:lang w:bidi="ar"/>
            </w:rPr>
            <w:t>规</w:t>
          </w:r>
          <w:proofErr w:type="gramEnd"/>
          <w:r>
            <w:rPr>
              <w:rFonts w:cs="宋体"/>
              <w:color w:val="000000"/>
              <w:lang w:bidi="ar"/>
            </w:rPr>
            <w:t>。强化</w:t>
          </w:r>
          <w:r>
            <w:rPr>
              <w:rFonts w:cs="宋体" w:hint="eastAsia"/>
              <w:color w:val="000000"/>
              <w:lang w:bidi="ar"/>
            </w:rPr>
            <w:t>内部控制</w:t>
          </w:r>
          <w:r>
            <w:rPr>
              <w:rFonts w:cs="宋体"/>
              <w:color w:val="000000"/>
              <w:lang w:bidi="ar"/>
            </w:rPr>
            <w:t>监督，定期开展</w:t>
          </w:r>
          <w:r>
            <w:rPr>
              <w:rFonts w:cs="宋体" w:hint="eastAsia"/>
              <w:color w:val="000000"/>
              <w:lang w:bidi="ar"/>
            </w:rPr>
            <w:t>内部控制</w:t>
          </w:r>
          <w:r>
            <w:rPr>
              <w:rFonts w:cs="宋体"/>
              <w:color w:val="000000"/>
              <w:lang w:bidi="ar"/>
            </w:rPr>
            <w:t>自我评价</w:t>
          </w:r>
          <w:r>
            <w:rPr>
              <w:rFonts w:cs="宋体" w:hint="eastAsia"/>
              <w:color w:val="000000"/>
              <w:lang w:bidi="ar"/>
            </w:rPr>
            <w:t>及内部控制</w:t>
          </w:r>
          <w:r>
            <w:rPr>
              <w:rFonts w:cs="宋体"/>
              <w:color w:val="000000"/>
              <w:lang w:bidi="ar"/>
            </w:rPr>
            <w:t>审计，及时发现并整改</w:t>
          </w:r>
          <w:r>
            <w:rPr>
              <w:rFonts w:cs="宋体" w:hint="eastAsia"/>
              <w:color w:val="000000"/>
              <w:lang w:bidi="ar"/>
            </w:rPr>
            <w:t>内部控制</w:t>
          </w:r>
          <w:r>
            <w:rPr>
              <w:rFonts w:cs="宋体"/>
              <w:color w:val="000000"/>
              <w:lang w:bidi="ar"/>
            </w:rPr>
            <w:t>缺陷</w:t>
          </w:r>
          <w:r>
            <w:rPr>
              <w:rFonts w:cs="宋体" w:hint="eastAsia"/>
              <w:color w:val="000000"/>
              <w:lang w:bidi="ar"/>
            </w:rPr>
            <w:t>，不断</w:t>
          </w:r>
          <w:r>
            <w:rPr>
              <w:rFonts w:cs="宋体"/>
              <w:color w:val="000000"/>
              <w:lang w:bidi="ar"/>
            </w:rPr>
            <w:t>提升</w:t>
          </w:r>
          <w:r>
            <w:rPr>
              <w:rFonts w:cs="宋体" w:hint="eastAsia"/>
              <w:color w:val="000000"/>
              <w:lang w:bidi="ar"/>
            </w:rPr>
            <w:t>内部控制</w:t>
          </w:r>
          <w:r>
            <w:rPr>
              <w:rFonts w:cs="宋体"/>
              <w:color w:val="000000"/>
              <w:lang w:bidi="ar"/>
            </w:rPr>
            <w:t>体系的有效性。</w:t>
          </w:r>
          <w:r>
            <w:rPr>
              <w:rFonts w:cs="宋体" w:hint="eastAsia"/>
              <w:b/>
              <w:bCs/>
              <w:color w:val="000000"/>
              <w:lang w:bidi="ar"/>
            </w:rPr>
            <w:t>五是</w:t>
          </w:r>
          <w:r>
            <w:rPr>
              <w:rFonts w:cs="宋体"/>
              <w:color w:val="000000"/>
              <w:lang w:bidi="ar"/>
            </w:rPr>
            <w:t>以</w:t>
          </w:r>
          <w:r>
            <w:rPr>
              <w:rFonts w:cs="宋体" w:hint="eastAsia"/>
              <w:color w:val="000000"/>
              <w:lang w:bidi="ar"/>
            </w:rPr>
            <w:t>“</w:t>
          </w:r>
          <w:r>
            <w:rPr>
              <w:rFonts w:cs="宋体"/>
              <w:color w:val="000000"/>
              <w:lang w:bidi="ar"/>
            </w:rPr>
            <w:t>真实、准确、完整、及时、公平</w:t>
          </w:r>
          <w:r>
            <w:rPr>
              <w:rFonts w:cs="宋体" w:hint="eastAsia"/>
              <w:color w:val="000000"/>
              <w:lang w:bidi="ar"/>
            </w:rPr>
            <w:t>”</w:t>
          </w:r>
          <w:r>
            <w:rPr>
              <w:rFonts w:cs="宋体"/>
              <w:color w:val="000000"/>
              <w:lang w:bidi="ar"/>
            </w:rPr>
            <w:t>为原则，提升信息披露质量。</w:t>
          </w:r>
          <w:r>
            <w:rPr>
              <w:rFonts w:cs="宋体" w:hint="eastAsia"/>
              <w:color w:val="000000"/>
              <w:lang w:bidi="ar"/>
            </w:rPr>
            <w:t>以投资者关切为导向，做好</w:t>
          </w:r>
          <w:r>
            <w:rPr>
              <w:rFonts w:cs="宋体" w:hint="eastAsia"/>
              <w:color w:val="000000"/>
              <w:lang w:bidi="ar"/>
            </w:rPr>
            <w:t>ESG</w:t>
          </w:r>
          <w:r>
            <w:rPr>
              <w:rFonts w:cs="宋体" w:hint="eastAsia"/>
              <w:color w:val="000000"/>
              <w:lang w:bidi="ar"/>
            </w:rPr>
            <w:t>报告的编制及披露，探索将更多非强制信息纳入披露范畴，持续提升信息的可读性和决策价值。</w:t>
          </w:r>
        </w:p>
        <w:p w14:paraId="06B37E75" w14:textId="77777777" w:rsidR="005E000F" w:rsidRDefault="00000000">
          <w:pPr>
            <w:adjustRightInd w:val="0"/>
            <w:snapToGrid w:val="0"/>
            <w:spacing w:line="360" w:lineRule="auto"/>
            <w:jc w:val="both"/>
            <w:rPr>
              <w:rFonts w:cs="宋体"/>
              <w:color w:val="000000"/>
              <w:lang w:bidi="ar"/>
            </w:rPr>
          </w:pPr>
          <w:bookmarkStart w:id="109" w:name="OLE_LINK35"/>
          <w:r>
            <w:rPr>
              <w:rFonts w:cs="宋体" w:hint="eastAsia"/>
              <w:b/>
              <w:bCs/>
              <w:color w:val="000000"/>
              <w:lang w:bidi="ar"/>
            </w:rPr>
            <w:t>（</w:t>
          </w:r>
          <w:r>
            <w:rPr>
              <w:rFonts w:cs="宋体" w:hint="eastAsia"/>
              <w:b/>
              <w:bCs/>
              <w:color w:val="000000"/>
              <w:lang w:bidi="ar"/>
            </w:rPr>
            <w:t>5</w:t>
          </w:r>
          <w:r>
            <w:rPr>
              <w:rFonts w:cs="宋体" w:hint="eastAsia"/>
              <w:b/>
              <w:bCs/>
              <w:color w:val="000000"/>
              <w:lang w:bidi="ar"/>
            </w:rPr>
            <w:t>）强化市值管理改善投资价值：</w:t>
          </w:r>
          <w:bookmarkEnd w:id="109"/>
          <w:r>
            <w:rPr>
              <w:rFonts w:cs="宋体" w:hint="eastAsia"/>
              <w:b/>
              <w:bCs/>
              <w:color w:val="000000"/>
              <w:lang w:bidi="ar"/>
            </w:rPr>
            <w:t>一是加强制度建设。</w:t>
          </w:r>
          <w:r>
            <w:rPr>
              <w:rFonts w:cs="宋体" w:hint="eastAsia"/>
              <w:color w:val="000000"/>
              <w:lang w:bidi="ar"/>
            </w:rPr>
            <w:t>认真执行《市值管理制度》，做好《估值提升计划》执行效果的评估及优化。建立常态化市值监测体系，做好市值管理专题研讨，分析宏观政策、行业趋势、运输市场等对公司市值的影响，推动市值管理与经营管理融合。</w:t>
          </w:r>
          <w:r>
            <w:rPr>
              <w:rFonts w:cs="宋体" w:hint="eastAsia"/>
              <w:b/>
              <w:bCs/>
              <w:color w:val="000000"/>
              <w:lang w:bidi="ar"/>
            </w:rPr>
            <w:t>二是用好回购工具。</w:t>
          </w:r>
          <w:r>
            <w:rPr>
              <w:rFonts w:cs="宋体" w:hint="eastAsia"/>
              <w:color w:val="000000"/>
              <w:lang w:bidi="ar"/>
            </w:rPr>
            <w:t>根据市场环境变化以及股价走势，科学制定股份回购计划方案，做好股份回购进展的信息披露，维护股价稳定，优化资本结构。</w:t>
          </w:r>
          <w:r>
            <w:rPr>
              <w:rFonts w:cs="宋体" w:hint="eastAsia"/>
              <w:b/>
              <w:bCs/>
              <w:color w:val="000000"/>
              <w:lang w:bidi="ar"/>
            </w:rPr>
            <w:t>三是做好利润分配规划。</w:t>
          </w:r>
          <w:r>
            <w:rPr>
              <w:rFonts w:cs="宋体" w:hint="eastAsia"/>
              <w:color w:val="000000"/>
              <w:lang w:bidi="ar"/>
            </w:rPr>
            <w:t>结合公司盈利情况及发展需求等情况，优化现金分红政策，提高现金分红的稳定性和</w:t>
          </w:r>
          <w:proofErr w:type="gramStart"/>
          <w:r>
            <w:rPr>
              <w:rFonts w:cs="宋体" w:hint="eastAsia"/>
              <w:color w:val="000000"/>
              <w:lang w:bidi="ar"/>
            </w:rPr>
            <w:t>可</w:t>
          </w:r>
          <w:proofErr w:type="gramEnd"/>
          <w:r>
            <w:rPr>
              <w:rFonts w:cs="宋体" w:hint="eastAsia"/>
              <w:color w:val="000000"/>
              <w:lang w:bidi="ar"/>
            </w:rPr>
            <w:t>预期性，提升股东回报水平。</w:t>
          </w:r>
          <w:r>
            <w:rPr>
              <w:rFonts w:cs="宋体" w:hint="eastAsia"/>
              <w:b/>
              <w:bCs/>
              <w:color w:val="000000"/>
              <w:lang w:bidi="ar"/>
            </w:rPr>
            <w:t>四是强化投资者关系。</w:t>
          </w:r>
          <w:r>
            <w:rPr>
              <w:rFonts w:cs="宋体" w:hint="eastAsia"/>
              <w:color w:val="000000"/>
              <w:lang w:bidi="ar"/>
            </w:rPr>
            <w:t>多渠道、多平台、多方式地开展投资者关系管理，</w:t>
          </w:r>
          <w:proofErr w:type="gramStart"/>
          <w:r>
            <w:rPr>
              <w:rFonts w:cs="宋体" w:hint="eastAsia"/>
              <w:color w:val="000000"/>
              <w:lang w:bidi="ar"/>
            </w:rPr>
            <w:t>组织路</w:t>
          </w:r>
          <w:proofErr w:type="gramEnd"/>
          <w:r>
            <w:rPr>
              <w:rFonts w:cs="宋体" w:hint="eastAsia"/>
              <w:color w:val="000000"/>
              <w:lang w:bidi="ar"/>
            </w:rPr>
            <w:t>演参观、座谈沟通、业绩说明会等活动，客观介绍经营情况、认真倾听股东诉求。立足发展前景开展价值宣传，通过专业化、规范化、标准化的</w:t>
          </w:r>
          <w:proofErr w:type="gramStart"/>
          <w:r>
            <w:rPr>
              <w:rFonts w:cs="宋体" w:hint="eastAsia"/>
              <w:color w:val="000000"/>
              <w:lang w:bidi="ar"/>
            </w:rPr>
            <w:t>投关管理</w:t>
          </w:r>
          <w:proofErr w:type="gramEnd"/>
          <w:r>
            <w:rPr>
              <w:rFonts w:cs="宋体" w:hint="eastAsia"/>
              <w:color w:val="000000"/>
              <w:lang w:bidi="ar"/>
            </w:rPr>
            <w:t>工作，传递公司价值。</w:t>
          </w:r>
        </w:p>
        <w:p w14:paraId="2F07074D" w14:textId="77777777" w:rsidR="005E000F" w:rsidRDefault="00000000">
          <w:pPr>
            <w:widowControl w:val="0"/>
            <w:numPr>
              <w:ilvl w:val="0"/>
              <w:numId w:val="18"/>
            </w:numPr>
            <w:spacing w:line="360" w:lineRule="auto"/>
            <w:jc w:val="both"/>
          </w:pPr>
          <w:r>
            <w:rPr>
              <w:rFonts w:hint="eastAsia"/>
              <w:b/>
              <w:bCs/>
            </w:rPr>
            <w:t>公司</w:t>
          </w:r>
          <w:proofErr w:type="gramStart"/>
          <w:r>
            <w:rPr>
              <w:rFonts w:hint="eastAsia"/>
              <w:b/>
              <w:bCs/>
            </w:rPr>
            <w:t>因维持</w:t>
          </w:r>
          <w:proofErr w:type="gramEnd"/>
          <w:r>
            <w:rPr>
              <w:rFonts w:hint="eastAsia"/>
              <w:b/>
              <w:bCs/>
            </w:rPr>
            <w:t>当前业务并完成在建投资项目所需的资金需求：</w:t>
          </w:r>
          <w:r>
            <w:rPr>
              <w:rFonts w:hint="eastAsia"/>
            </w:rPr>
            <w:t>2026</w:t>
          </w:r>
          <w:r>
            <w:rPr>
              <w:rFonts w:hint="eastAsia"/>
            </w:rPr>
            <w:t>年，公司除日常性经营支出外，计划安排资本性支出约</w:t>
          </w:r>
          <w:r>
            <w:rPr>
              <w:rFonts w:hint="eastAsia"/>
            </w:rPr>
            <w:t>40</w:t>
          </w:r>
          <w:r>
            <w:rPr>
              <w:rFonts w:hint="eastAsia"/>
            </w:rPr>
            <w:t>亿元。公司整体盈利能力较强且现金</w:t>
          </w:r>
          <w:proofErr w:type="gramStart"/>
          <w:r>
            <w:rPr>
              <w:rFonts w:hint="eastAsia"/>
            </w:rPr>
            <w:t>流较为</w:t>
          </w:r>
          <w:proofErr w:type="gramEnd"/>
          <w:r>
            <w:rPr>
              <w:rFonts w:hint="eastAsia"/>
            </w:rPr>
            <w:t>充裕，融资手段较为丰富，能够满足维持当前业务并完成在建项目所需的资金需求。</w:t>
          </w:r>
        </w:p>
      </w:sdtContent>
    </w:sdt>
    <w:p w14:paraId="3BAFE2AD" w14:textId="77777777" w:rsidR="005E000F" w:rsidRDefault="00000000">
      <w:pPr>
        <w:pStyle w:val="3"/>
        <w:numPr>
          <w:ilvl w:val="3"/>
          <w:numId w:val="17"/>
        </w:numPr>
        <w:rPr>
          <w:rFonts w:ascii="宋体" w:hAnsi="宋体" w:cs="宋体"/>
          <w:kern w:val="0"/>
          <w:szCs w:val="21"/>
        </w:rPr>
      </w:pPr>
      <w:r>
        <w:rPr>
          <w:rFonts w:ascii="宋体" w:hAnsi="宋体" w:cs="宋体"/>
          <w:kern w:val="0"/>
          <w:szCs w:val="21"/>
        </w:rPr>
        <w:t>可能面对的风险</w:t>
      </w:r>
    </w:p>
    <w:sdt>
      <w:sdtPr>
        <w:rPr>
          <w:rFonts w:hint="eastAsia"/>
        </w:rPr>
        <w:alias w:val="是否适用：可能面对的风险[双击切换]"/>
        <w:tag w:val="_GBC_1b74f2e1039c4fe9acc819e860071020"/>
        <w:id w:val="-769543027"/>
        <w:placeholder>
          <w:docPart w:val="GBC22222222222222222222222222222"/>
        </w:placeholder>
      </w:sdtPr>
      <w:sdtContent>
        <w:p w14:paraId="6597C82F"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可能面对的风险"/>
        <w:tag w:val="_GBC_c62723d12603412ba692148cd4961de5"/>
        <w:id w:val="-197386719"/>
        <w:placeholder>
          <w:docPart w:val="GBC22222222222222222222222222222"/>
        </w:placeholder>
      </w:sdtPr>
      <w:sdtContent>
        <w:p w14:paraId="0AE79BE7" w14:textId="77777777" w:rsidR="005E000F" w:rsidRDefault="00000000">
          <w:pPr>
            <w:widowControl w:val="0"/>
            <w:numPr>
              <w:ilvl w:val="0"/>
              <w:numId w:val="19"/>
            </w:numPr>
            <w:spacing w:line="360" w:lineRule="auto"/>
            <w:jc w:val="both"/>
          </w:pPr>
          <w:r>
            <w:rPr>
              <w:rFonts w:hint="eastAsia"/>
              <w:b/>
              <w:bCs/>
            </w:rPr>
            <w:t>对</w:t>
          </w:r>
          <w:r>
            <w:rPr>
              <w:rFonts w:hint="eastAsia"/>
              <w:b/>
              <w:bCs/>
              <w:spacing w:val="-1"/>
            </w:rPr>
            <w:t>主要客户依赖的</w:t>
          </w:r>
          <w:r>
            <w:rPr>
              <w:b/>
              <w:bCs/>
              <w:spacing w:val="-1"/>
            </w:rPr>
            <w:t>风险</w:t>
          </w:r>
          <w:r>
            <w:rPr>
              <w:rFonts w:hint="eastAsia"/>
              <w:b/>
              <w:bCs/>
              <w:spacing w:val="-1"/>
            </w:rPr>
            <w:t>：</w:t>
          </w:r>
          <w:r>
            <w:rPr>
              <w:rFonts w:hint="eastAsia"/>
              <w:spacing w:val="-1"/>
            </w:rPr>
            <w:t>报告期内，</w:t>
          </w:r>
          <w:r>
            <w:rPr>
              <w:spacing w:val="-1"/>
            </w:rPr>
            <w:t>来自前五大客户的</w:t>
          </w:r>
          <w:r>
            <w:rPr>
              <w:rFonts w:hint="eastAsia"/>
              <w:spacing w:val="-1"/>
            </w:rPr>
            <w:t>销售额合计占公司全年销售总额的</w:t>
          </w:r>
          <w:r>
            <w:rPr>
              <w:rFonts w:hint="eastAsia"/>
              <w:spacing w:val="-1"/>
            </w:rPr>
            <w:t>38.26</w:t>
          </w:r>
          <w:r>
            <w:rPr>
              <w:rFonts w:hint="eastAsia"/>
            </w:rPr>
            <w:t>%</w:t>
          </w:r>
          <w:r>
            <w:t>。如果这些主要客户的产量下降，或对铁路煤炭运输的需求下降，公司的业务经营将可能受到不利影响。</w:t>
          </w:r>
        </w:p>
        <w:p w14:paraId="7254A4D0" w14:textId="77777777" w:rsidR="005E000F" w:rsidRDefault="00000000">
          <w:pPr>
            <w:widowControl w:val="0"/>
            <w:numPr>
              <w:ilvl w:val="0"/>
              <w:numId w:val="19"/>
            </w:numPr>
            <w:spacing w:line="360" w:lineRule="auto"/>
            <w:jc w:val="both"/>
          </w:pPr>
          <w:r>
            <w:rPr>
              <w:rFonts w:hint="eastAsia"/>
              <w:b/>
              <w:bCs/>
            </w:rPr>
            <w:t>业务经营风险：</w:t>
          </w:r>
          <w:r>
            <w:rPr>
              <w:rFonts w:hint="eastAsia"/>
            </w:rPr>
            <w:t>资源类大宗货物是目前公司业务收入的主要来源，</w:t>
          </w:r>
          <w:r>
            <w:t>资源类大宗货物的市场供需受宏观经济</w:t>
          </w:r>
          <w:r>
            <w:rPr>
              <w:rFonts w:hint="eastAsia"/>
            </w:rPr>
            <w:t>走势</w:t>
          </w:r>
          <w:r>
            <w:t>、能源结构调整优化、环保政策变化等因素影响较大，</w:t>
          </w:r>
          <w:r>
            <w:rPr>
              <w:rFonts w:hint="eastAsia"/>
            </w:rPr>
            <w:t>可能</w:t>
          </w:r>
          <w:r>
            <w:t>对</w:t>
          </w:r>
          <w:r>
            <w:rPr>
              <w:rFonts w:hint="eastAsia"/>
            </w:rPr>
            <w:t>公司</w:t>
          </w:r>
          <w:r>
            <w:t>运输业务产生影响。</w:t>
          </w:r>
        </w:p>
        <w:p w14:paraId="3443ACBC" w14:textId="77777777" w:rsidR="005E000F" w:rsidRDefault="00000000">
          <w:pPr>
            <w:widowControl w:val="0"/>
            <w:numPr>
              <w:ilvl w:val="0"/>
              <w:numId w:val="19"/>
            </w:numPr>
            <w:spacing w:line="360" w:lineRule="auto"/>
            <w:jc w:val="both"/>
          </w:pPr>
          <w:r>
            <w:rPr>
              <w:rFonts w:hint="eastAsia"/>
              <w:b/>
              <w:bCs/>
            </w:rPr>
            <w:t>运价浮动的风险：</w:t>
          </w:r>
          <w:r>
            <w:rPr>
              <w:rFonts w:hint="eastAsia"/>
            </w:rPr>
            <w:t>运输价格是影响公司营业收入的重要因素之一，若铁路运价浮动，将给公司经营带来一定影响。</w:t>
          </w:r>
        </w:p>
        <w:p w14:paraId="234674CD" w14:textId="77777777" w:rsidR="005E000F" w:rsidRDefault="00000000">
          <w:pPr>
            <w:widowControl w:val="0"/>
            <w:numPr>
              <w:ilvl w:val="0"/>
              <w:numId w:val="19"/>
            </w:numPr>
            <w:spacing w:line="360" w:lineRule="auto"/>
            <w:jc w:val="both"/>
          </w:pPr>
          <w:r>
            <w:rPr>
              <w:rFonts w:hint="eastAsia"/>
              <w:b/>
              <w:bCs/>
            </w:rPr>
            <w:t>其他铁路线路竞争的风险：</w:t>
          </w:r>
          <w:r>
            <w:rPr>
              <w:rFonts w:hint="eastAsia"/>
            </w:rPr>
            <w:t>随着相近地域铁路煤运通道运输能力逐步提升，或未来路网规划新的煤运通道，区域铁路运输环境发生变化，将对公司运输经营产生一定影响。</w:t>
          </w:r>
        </w:p>
        <w:p w14:paraId="60FBA168" w14:textId="77777777" w:rsidR="005E000F" w:rsidRDefault="00000000">
          <w:pPr>
            <w:widowControl w:val="0"/>
            <w:numPr>
              <w:ilvl w:val="0"/>
              <w:numId w:val="19"/>
            </w:numPr>
            <w:spacing w:line="360" w:lineRule="auto"/>
            <w:jc w:val="both"/>
          </w:pPr>
          <w:r>
            <w:rPr>
              <w:b/>
              <w:bCs/>
            </w:rPr>
            <w:t>铁路运输事故</w:t>
          </w:r>
          <w:r>
            <w:rPr>
              <w:rFonts w:hint="eastAsia"/>
              <w:b/>
              <w:bCs/>
            </w:rPr>
            <w:t>的</w:t>
          </w:r>
          <w:r>
            <w:rPr>
              <w:b/>
              <w:bCs/>
            </w:rPr>
            <w:t>风险：</w:t>
          </w:r>
          <w:r>
            <w:t>铁路运输具有全天候、运量大、全网联动等特点</w:t>
          </w:r>
          <w:r>
            <w:rPr>
              <w:rFonts w:hint="eastAsia"/>
            </w:rPr>
            <w:t>，</w:t>
          </w:r>
          <w:r>
            <w:t>在经营过程中</w:t>
          </w:r>
          <w:r>
            <w:rPr>
              <w:rFonts w:hint="eastAsia"/>
            </w:rPr>
            <w:t>存在</w:t>
          </w:r>
          <w:r>
            <w:t>发生列车相撞、出轨、颠覆、人身伤亡、货物破损、线路损坏等事故的风险</w:t>
          </w:r>
          <w:r>
            <w:rPr>
              <w:rFonts w:hint="eastAsia"/>
            </w:rPr>
            <w:t>，发生</w:t>
          </w:r>
          <w:r>
            <w:t>重大运输事故</w:t>
          </w:r>
          <w:r>
            <w:rPr>
              <w:rFonts w:hint="eastAsia"/>
            </w:rPr>
            <w:t>，或</w:t>
          </w:r>
          <w:r>
            <w:t>导致公司财产遭受损失</w:t>
          </w:r>
          <w:r>
            <w:rPr>
              <w:rFonts w:hint="eastAsia"/>
            </w:rPr>
            <w:t>、</w:t>
          </w:r>
          <w:r>
            <w:t>或运输业务中断，或须对其他方受到的损害承担责任，公司的业务经营和财务状况将可能受到不利影响。</w:t>
          </w:r>
        </w:p>
        <w:p w14:paraId="306BF0D1" w14:textId="77777777" w:rsidR="005E000F" w:rsidRDefault="00000000">
          <w:pPr>
            <w:widowControl w:val="0"/>
            <w:numPr>
              <w:ilvl w:val="0"/>
              <w:numId w:val="19"/>
            </w:numPr>
            <w:spacing w:line="360" w:lineRule="auto"/>
            <w:jc w:val="both"/>
          </w:pPr>
          <w:r>
            <w:rPr>
              <w:b/>
              <w:bCs/>
            </w:rPr>
            <w:t>自然灾害</w:t>
          </w:r>
          <w:r>
            <w:rPr>
              <w:rFonts w:hint="eastAsia"/>
              <w:b/>
              <w:bCs/>
            </w:rPr>
            <w:t>的</w:t>
          </w:r>
          <w:r>
            <w:rPr>
              <w:b/>
              <w:bCs/>
            </w:rPr>
            <w:t>风险：</w:t>
          </w:r>
          <w:r>
            <w:t>公司运营过程中，铁路设施可能遭受诸如地震、洪水、恶劣气候等自然灾害的</w:t>
          </w:r>
          <w:r>
            <w:rPr>
              <w:rFonts w:hint="eastAsia"/>
            </w:rPr>
            <w:t>严重</w:t>
          </w:r>
          <w:r>
            <w:t>影响，可能造成铁路运输</w:t>
          </w:r>
          <w:r>
            <w:rPr>
              <w:rFonts w:hint="eastAsia"/>
            </w:rPr>
            <w:t>大面积</w:t>
          </w:r>
          <w:r>
            <w:t>中断，将对公司的业务经营产生不利影响。</w:t>
          </w:r>
        </w:p>
      </w:sdtContent>
    </w:sdt>
    <w:p w14:paraId="38025A31" w14:textId="77777777" w:rsidR="005E000F" w:rsidRDefault="00000000">
      <w:pPr>
        <w:pStyle w:val="3"/>
        <w:numPr>
          <w:ilvl w:val="3"/>
          <w:numId w:val="17"/>
        </w:numPr>
        <w:rPr>
          <w:rFonts w:ascii="宋体" w:hAnsi="宋体" w:cs="宋体"/>
          <w:kern w:val="0"/>
          <w:szCs w:val="21"/>
        </w:rPr>
      </w:pPr>
      <w:r>
        <w:rPr>
          <w:rFonts w:ascii="宋体" w:hAnsi="宋体" w:cs="宋体"/>
          <w:kern w:val="0"/>
          <w:szCs w:val="21"/>
        </w:rPr>
        <w:lastRenderedPageBreak/>
        <w:t>其他</w:t>
      </w:r>
    </w:p>
    <w:sdt>
      <w:sdtPr>
        <w:rPr>
          <w:rFonts w:hint="eastAsia"/>
        </w:rPr>
        <w:alias w:val="是否适用：公司其他未来发展的讨论和分析[双击切换]"/>
        <w:tag w:val="_GBC_aad5c59ba9344d37bc5cc7a8eba5f048"/>
        <w:id w:val="584108542"/>
        <w:placeholder>
          <w:docPart w:val="GBC22222222222222222222222222222"/>
        </w:placeholder>
      </w:sdtPr>
      <w:sdtContent>
        <w:p w14:paraId="4D4AE297"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CE39E0F" w14:textId="77777777" w:rsidR="005E000F" w:rsidRDefault="00000000">
      <w:pPr>
        <w:pStyle w:val="2"/>
        <w:numPr>
          <w:ilvl w:val="0"/>
          <w:numId w:val="7"/>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940022880"/>
        <w:placeholder>
          <w:docPart w:val="GBC22222222222222222222222222222"/>
        </w:placeholder>
      </w:sdtPr>
      <w:sdtContent>
        <w:p w14:paraId="5333922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C7B6AF6" w14:textId="77777777" w:rsidR="005E000F" w:rsidRDefault="005E000F"/>
    <w:p w14:paraId="25C35C6D" w14:textId="77777777" w:rsidR="005E000F" w:rsidRDefault="005E000F"/>
    <w:p w14:paraId="52BD7B37" w14:textId="77777777" w:rsidR="005E000F" w:rsidRDefault="00000000">
      <w:pPr>
        <w:pStyle w:val="1"/>
        <w:numPr>
          <w:ilvl w:val="0"/>
          <w:numId w:val="2"/>
        </w:numPr>
        <w:spacing w:before="0" w:after="0"/>
        <w:rPr>
          <w:bCs w:val="0"/>
        </w:rPr>
      </w:pPr>
      <w:bookmarkStart w:id="110" w:name="_Toc409437610"/>
      <w:bookmarkStart w:id="111" w:name="_Toc437440716"/>
      <w:bookmarkStart w:id="112" w:name="_Toc191024259"/>
      <w:r>
        <w:rPr>
          <w:bCs w:val="0"/>
        </w:rPr>
        <w:t>公司治理</w:t>
      </w:r>
      <w:bookmarkEnd w:id="110"/>
      <w:bookmarkEnd w:id="111"/>
      <w:r>
        <w:rPr>
          <w:rFonts w:hint="eastAsia"/>
          <w:bCs w:val="0"/>
        </w:rPr>
        <w:t>、环境和社会</w:t>
      </w:r>
    </w:p>
    <w:bookmarkEnd w:id="112"/>
    <w:p w14:paraId="4A2CE0F8" w14:textId="77777777" w:rsidR="005E000F" w:rsidRDefault="00000000">
      <w:pPr>
        <w:pStyle w:val="2"/>
        <w:numPr>
          <w:ilvl w:val="0"/>
          <w:numId w:val="20"/>
        </w:numPr>
      </w:pPr>
      <w:r>
        <w:t>公司治理相关情况说明</w:t>
      </w:r>
    </w:p>
    <w:sdt>
      <w:sdtPr>
        <w:rPr>
          <w:rFonts w:hint="eastAsia"/>
        </w:rPr>
        <w:alias w:val="是否适用：公司治理相关情况说明[双击切换]"/>
        <w:tag w:val="_GBC_fcded3e74c5842408b5da723b3a757fa"/>
        <w:id w:val="199597362"/>
        <w:placeholder>
          <w:docPart w:val="GBC22222222222222222222222222222"/>
        </w:placeholder>
      </w:sdtPr>
      <w:sdtContent>
        <w:p w14:paraId="36BF6AD4"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公司治理相关情况说明"/>
        <w:tag w:val="_GBC_b4d29a30dc2b4ea6b942196a3b52c2d0"/>
        <w:id w:val="-139426737"/>
        <w:placeholder>
          <w:docPart w:val="GBC22222222222222222222222222222"/>
        </w:placeholder>
      </w:sdtPr>
      <w:sdtContent>
        <w:sdt>
          <w:sdtPr>
            <w:alias w:val="公司治理相关情况说明"/>
            <w:tag w:val="_GBC_b4d29a30dc2b4ea6b942196a3b52c2d0"/>
            <w:id w:val="890305443"/>
            <w:placeholder>
              <w:docPart w:val="8295BD14C0434780AC64538E891CC7CB"/>
            </w:placeholder>
          </w:sdtPr>
          <w:sdtContent>
            <w:p w14:paraId="68720D99" w14:textId="77777777" w:rsidR="005E000F" w:rsidRDefault="00000000">
              <w:pPr>
                <w:spacing w:line="360" w:lineRule="auto"/>
                <w:ind w:firstLineChars="200" w:firstLine="420"/>
                <w:jc w:val="both"/>
              </w:pPr>
              <w:r>
                <w:rPr>
                  <w:rFonts w:hint="eastAsia"/>
                </w:rPr>
                <w:t>按照《中华人民共和国公司法》《中华人民共和国证券法》《上市公司治理准则》等相关法律法规的要求，公司建立了由股东会、董事会和管理层组成的公司治理架构，形成了权力机构、决策机构和经营层之间权责明确、运作规范的相互协调和相互制衡机制。公司实际控制人、股东、董事、高级管理人员依法依规行使权利，履行义务，维护上市公司利益。公司治理健全、有效、透明，内部和外部监督相互制衡，股东和利益相关者的合法权益得到有效保障，公司整体价值进一步提升。公司在股东与股东会、董事与董事会、控股股东及其关联方与上市公司、机构投资者及其他相关机构、利益相关者、环境保护与社会责任、信息披露与透明度等主要治理方面均符合监管部门有关文件的要求。</w:t>
              </w:r>
            </w:p>
            <w:p w14:paraId="7A808477" w14:textId="77777777" w:rsidR="005E000F" w:rsidRDefault="00000000">
              <w:pPr>
                <w:spacing w:line="360" w:lineRule="auto"/>
                <w:ind w:firstLineChars="200" w:firstLine="420"/>
                <w:jc w:val="both"/>
              </w:pPr>
              <w:r>
                <w:t>根据《</w:t>
              </w:r>
              <w:r>
                <w:rPr>
                  <w:rFonts w:hint="eastAsia"/>
                </w:rPr>
                <w:t>中华人民共和国</w:t>
              </w:r>
              <w:r>
                <w:t>公司法》《上市公司章程指引》（</w:t>
              </w:r>
              <w:r>
                <w:t>2025</w:t>
              </w:r>
              <w:r>
                <w:t>年修订）等相关规定，</w:t>
              </w:r>
              <w:r>
                <w:rPr>
                  <w:rFonts w:hint="eastAsia"/>
                </w:rPr>
                <w:t>公司召开董事会和股东会</w:t>
              </w:r>
              <w:r>
                <w:t>，</w:t>
              </w:r>
              <w:r>
                <w:rPr>
                  <w:rFonts w:hint="eastAsia"/>
                </w:rPr>
                <w:t>审议通过了《</w:t>
              </w:r>
              <w:r>
                <w:t>关于取消监事会暨修订</w:t>
              </w:r>
              <w:r>
                <w:rPr>
                  <w:rFonts w:hint="eastAsia"/>
                </w:rPr>
                <w:t>&lt;</w:t>
              </w:r>
              <w:r>
                <w:rPr>
                  <w:rFonts w:hint="eastAsia"/>
                </w:rPr>
                <w:t>大秦铁路股份有限</w:t>
              </w:r>
              <w:r>
                <w:t>公司章程</w:t>
              </w:r>
              <w:r>
                <w:rPr>
                  <w:rFonts w:hint="eastAsia"/>
                </w:rPr>
                <w:t>&gt;</w:t>
              </w:r>
              <w:r>
                <w:t>的议案</w:t>
              </w:r>
              <w:r>
                <w:rPr>
                  <w:rFonts w:hint="eastAsia"/>
                </w:rPr>
                <w:t>》，</w:t>
              </w:r>
              <w:r>
                <w:t>取消监事会，</w:t>
              </w:r>
              <w:r>
                <w:rPr>
                  <w:rFonts w:hint="eastAsia"/>
                </w:rPr>
                <w:t>由</w:t>
              </w:r>
              <w:r>
                <w:t>董事会审计委员会行使</w:t>
              </w:r>
              <w:r>
                <w:rPr>
                  <w:rFonts w:hint="eastAsia"/>
                </w:rPr>
                <w:t>原</w:t>
              </w:r>
              <w:r>
                <w:t>《</w:t>
              </w:r>
              <w:r>
                <w:rPr>
                  <w:rFonts w:hint="eastAsia"/>
                </w:rPr>
                <w:t>大秦铁路股份有限公司章程</w:t>
              </w:r>
              <w:r>
                <w:t>》中规定的监事会职权，并废止《大秦铁路股份有限公司监事会议事规则》</w:t>
              </w:r>
              <w:r>
                <w:rPr>
                  <w:rFonts w:hint="eastAsia"/>
                </w:rPr>
                <w:t>，</w:t>
              </w:r>
              <w:r>
                <w:t>同时对《</w:t>
              </w:r>
              <w:r>
                <w:rPr>
                  <w:rFonts w:hint="eastAsia"/>
                </w:rPr>
                <w:t>大秦铁路股份有限</w:t>
              </w:r>
              <w:r>
                <w:t>公司章程》</w:t>
              </w:r>
              <w:r>
                <w:rPr>
                  <w:rFonts w:hint="eastAsia"/>
                </w:rPr>
                <w:t>相关</w:t>
              </w:r>
              <w:r>
                <w:t>条款进行修订。</w:t>
              </w:r>
              <w:r>
                <w:rPr>
                  <w:rFonts w:hint="eastAsia"/>
                </w:rPr>
                <w:t>为规范上市公司行为，</w:t>
              </w:r>
              <w:r>
                <w:t>根据</w:t>
              </w:r>
              <w:r>
                <w:rPr>
                  <w:rFonts w:hint="eastAsia"/>
                </w:rPr>
                <w:t>《中华人民共和国证券法》</w:t>
              </w:r>
              <w:r>
                <w:t>《上市公司股东会规</w:t>
              </w:r>
              <w:r>
                <w:rPr>
                  <w:rFonts w:hint="eastAsia"/>
                </w:rPr>
                <w:t>则</w:t>
              </w:r>
              <w:r>
                <w:t>》《上市公司治理准则》</w:t>
              </w:r>
              <w:r>
                <w:rPr>
                  <w:rFonts w:hint="eastAsia"/>
                </w:rPr>
                <w:t>及</w:t>
              </w:r>
              <w:r>
                <w:t>《大秦铁路股份有限公司章程》</w:t>
              </w:r>
              <w:r>
                <w:rPr>
                  <w:rFonts w:hint="eastAsia"/>
                </w:rPr>
                <w:t>等相关</w:t>
              </w:r>
              <w:r>
                <w:t>规定，</w:t>
              </w:r>
              <w:r>
                <w:rPr>
                  <w:rFonts w:hint="eastAsia"/>
                </w:rPr>
                <w:t>对《大秦铁路股份有限</w:t>
              </w:r>
              <w:r>
                <w:t>公司</w:t>
              </w:r>
              <w:r>
                <w:rPr>
                  <w:rFonts w:hint="eastAsia"/>
                </w:rPr>
                <w:t>股东会议事规则》《大秦铁路股份有限</w:t>
              </w:r>
              <w:r>
                <w:t>公司</w:t>
              </w:r>
              <w:r>
                <w:rPr>
                  <w:rFonts w:hint="eastAsia"/>
                </w:rPr>
                <w:t>董事会议事规则》《大秦铁路股份有限</w:t>
              </w:r>
              <w:r>
                <w:t>公司</w:t>
              </w:r>
              <w:r>
                <w:rPr>
                  <w:rFonts w:hint="eastAsia"/>
                </w:rPr>
                <w:t>独立董事工作规则》等十三项治理制度进行全面修订，并履行董事会股东会审议程序。</w:t>
              </w:r>
            </w:p>
          </w:sdtContent>
        </w:sdt>
      </w:sdtContent>
    </w:sdt>
    <w:p w14:paraId="2F66B9ED" w14:textId="77777777" w:rsidR="005E000F" w:rsidRDefault="00000000">
      <w:r>
        <w:t>公司治理</w:t>
      </w:r>
      <w:r>
        <w:rPr>
          <w:rFonts w:hint="eastAsia"/>
        </w:rPr>
        <w:t>与法律、行政法规和中国证监会关于上市公司治理的规定</w:t>
      </w:r>
      <w:r>
        <w:t>是否存在</w:t>
      </w:r>
      <w:r>
        <w:rPr>
          <w:rFonts w:hint="eastAsia"/>
        </w:rPr>
        <w:t>重大</w:t>
      </w:r>
      <w:r>
        <w:t>差异；如有</w:t>
      </w:r>
      <w:r>
        <w:rPr>
          <w:rFonts w:hint="eastAsia"/>
        </w:rPr>
        <w:t>重大</w:t>
      </w:r>
      <w:r>
        <w:t>差异，应当说明原因</w:t>
      </w:r>
    </w:p>
    <w:sdt>
      <w:sdtPr>
        <w:alias w:val="是否适用：公司治理与中国证监会相关规定的要求是否存在重大差异[双击切换]"/>
        <w:tag w:val="_GBC_19571e68abe346ceb8159aac5aa1b941"/>
        <w:id w:val="935712228"/>
        <w:placeholder>
          <w:docPart w:val="GBC22222222222222222222222222222"/>
        </w:placeholder>
      </w:sdtPr>
      <w:sdtContent>
        <w:p w14:paraId="12F773C5"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A2108A9" w14:textId="77777777" w:rsidR="005E000F" w:rsidRDefault="00000000">
      <w:pPr>
        <w:pStyle w:val="2"/>
        <w:numPr>
          <w:ilvl w:val="0"/>
          <w:numId w:val="20"/>
        </w:numPr>
        <w:ind w:left="0" w:firstLine="0"/>
      </w:pPr>
      <w:r>
        <w:rPr>
          <w:rFonts w:hint="eastAsia"/>
        </w:rPr>
        <w:t>公司</w:t>
      </w:r>
      <w:r>
        <w:t>控股股东、实际控制人</w:t>
      </w:r>
      <w:r>
        <w:rPr>
          <w:rFonts w:hint="eastAsia"/>
        </w:rPr>
        <w:t>在保证公司</w:t>
      </w:r>
      <w:r>
        <w:t>资产、人员、财务、机构、业务等方面独立性的具体措施，以及</w:t>
      </w:r>
      <w:r>
        <w:rPr>
          <w:rFonts w:hint="eastAsia"/>
        </w:rPr>
        <w:t>影响公司独立性而采取的解决方案、工作进度及后续工作计划</w:t>
      </w:r>
    </w:p>
    <w:sdt>
      <w:sdtPr>
        <w:rPr>
          <w:rFonts w:hint="eastAsia"/>
        </w:rPr>
        <w:alias w:val="是否适用：公司就其与控股股东在业务、人员、资产、机构、财务等方面存在的不能保证独立性、不能保持自主经营能力的情况说明[双击切换]"/>
        <w:tag w:val="_GBC_50c3f410fb5f41fcb5dafe7e6ee9876f"/>
        <w:id w:val="-621842883"/>
        <w:placeholder>
          <w:docPart w:val="GBC22222222222222222222222222222"/>
        </w:placeholder>
      </w:sdtPr>
      <w:sdtContent>
        <w:p w14:paraId="205608C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F9C45F0" w14:textId="77777777" w:rsidR="005E000F" w:rsidRDefault="00000000">
      <w:r>
        <w:t>控</w:t>
      </w:r>
      <w:r>
        <w:rPr>
          <w:rFonts w:hint="eastAsia"/>
        </w:rPr>
        <w:t>股股东、实际控制人及其控制的其他单位从事与公司相同或者</w:t>
      </w:r>
      <w:proofErr w:type="gramStart"/>
      <w:r>
        <w:rPr>
          <w:rFonts w:hint="eastAsia"/>
        </w:rPr>
        <w:t>相近业务</w:t>
      </w:r>
      <w:proofErr w:type="gramEnd"/>
      <w:r>
        <w:rPr>
          <w:rFonts w:hint="eastAsia"/>
        </w:rPr>
        <w:t>的情况，以及同业竞争或者同业竞争情况发生较大变化对公司的影响、已采取的解决措施、解决进展以及后续解决计划</w:t>
      </w:r>
    </w:p>
    <w:sdt>
      <w:sdtPr>
        <w:rPr>
          <w:rFonts w:hint="eastAsia"/>
        </w:rPr>
        <w:alias w:val="是否适用：存在同业竞争的，公司相应的解决措施、工作进度及后续工作计划[双击切换]"/>
        <w:tag w:val="_GBC_1883b6583caa4429822c73ae5e75f9f4"/>
        <w:id w:val="1170762002"/>
        <w:placeholder>
          <w:docPart w:val="GBC22222222222222222222222222222"/>
        </w:placeholder>
      </w:sdtPr>
      <w:sdtContent>
        <w:p w14:paraId="4933DB22"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56A841C" w14:textId="77777777" w:rsidR="005E000F" w:rsidRDefault="005E000F"/>
    <w:p w14:paraId="425B216E" w14:textId="77777777" w:rsidR="005E000F" w:rsidRDefault="005E000F">
      <w:pPr>
        <w:sectPr w:rsidR="005E000F">
          <w:pgSz w:w="11906" w:h="16838"/>
          <w:pgMar w:top="1525" w:right="1276" w:bottom="1440" w:left="1797" w:header="855" w:footer="992" w:gutter="0"/>
          <w:cols w:space="425"/>
          <w:docGrid w:linePitch="312"/>
        </w:sectPr>
      </w:pPr>
    </w:p>
    <w:p w14:paraId="3D1E4B15" w14:textId="77777777" w:rsidR="005E000F" w:rsidRDefault="00000000">
      <w:pPr>
        <w:pStyle w:val="2"/>
        <w:numPr>
          <w:ilvl w:val="0"/>
          <w:numId w:val="20"/>
        </w:numPr>
        <w:ind w:left="450" w:hanging="450"/>
      </w:pPr>
      <w:r>
        <w:lastRenderedPageBreak/>
        <w:t>董事和高级管理人员的情况</w:t>
      </w:r>
    </w:p>
    <w:p w14:paraId="4E334177" w14:textId="77777777" w:rsidR="005E000F" w:rsidRDefault="00000000">
      <w:pPr>
        <w:pStyle w:val="3"/>
        <w:numPr>
          <w:ilvl w:val="0"/>
          <w:numId w:val="21"/>
        </w:numPr>
        <w:ind w:left="0" w:firstLine="0"/>
      </w:pPr>
      <w:r>
        <w:rPr>
          <w:rFonts w:hint="eastAsia"/>
        </w:rPr>
        <w:t xml:space="preserve"> </w:t>
      </w:r>
      <w:r>
        <w:t>现任及报告期内离任董事</w:t>
      </w:r>
      <w:r>
        <w:rPr>
          <w:rFonts w:hint="eastAsia"/>
        </w:rPr>
        <w:t>和</w:t>
      </w:r>
      <w:r>
        <w:t>高级管理人员持股变动及</w:t>
      </w:r>
      <w:r>
        <w:rPr>
          <w:rFonts w:hint="eastAsia"/>
        </w:rPr>
        <w:t>薪</w:t>
      </w:r>
      <w:r>
        <w:t>酬情况</w:t>
      </w:r>
    </w:p>
    <w:bookmarkStart w:id="113" w:name="_Hlk89179934" w:displacedByCustomXml="next"/>
    <w:sdt>
      <w:sdtPr>
        <w:alias w:val="是否适用：董事、监事和高级管理人员持股变动[双击切换]"/>
        <w:tag w:val="_GBC_336639f5f1254c87a3d81a366e432afd"/>
        <w:id w:val="1561748043"/>
        <w:lock w:val="contentLocked"/>
        <w:placeholder>
          <w:docPart w:val="GBC22222222222222222222222222222"/>
        </w:placeholder>
      </w:sdtPr>
      <w:sdtContent>
        <w:p w14:paraId="1F634E18"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FB7BCB8" w14:textId="77777777" w:rsidR="005E000F" w:rsidRDefault="00000000">
      <w:pPr>
        <w:jc w:val="right"/>
      </w:pPr>
      <w:r>
        <w:rPr>
          <w:rFonts w:hint="eastAsia"/>
        </w:rPr>
        <w:t>单位：</w:t>
      </w:r>
      <w:sdt>
        <w:sdtPr>
          <w:rPr>
            <w:rFonts w:hint="eastAsia"/>
          </w:rPr>
          <w:alias w:val="单位：董事、监事、高级管理人员基本情况"/>
          <w:tag w:val="_GBC_3851936d51d842bf9f2c82131d0787cc"/>
          <w:id w:val="1113408147"/>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rPr>
            <w:t>股</w:t>
          </w:r>
        </w:sdtContent>
      </w:sdt>
    </w:p>
    <w:tbl>
      <w:tblPr>
        <w:tblStyle w:val="aff2"/>
        <w:tblW w:w="0" w:type="auto"/>
        <w:tblLayout w:type="fixed"/>
        <w:tblLook w:val="04A0" w:firstRow="1" w:lastRow="0" w:firstColumn="1" w:lastColumn="0" w:noHBand="0" w:noVBand="1"/>
      </w:tblPr>
      <w:tblGrid>
        <w:gridCol w:w="959"/>
        <w:gridCol w:w="1362"/>
        <w:gridCol w:w="946"/>
        <w:gridCol w:w="946"/>
        <w:gridCol w:w="1248"/>
        <w:gridCol w:w="1248"/>
        <w:gridCol w:w="1191"/>
        <w:gridCol w:w="1180"/>
        <w:gridCol w:w="1363"/>
        <w:gridCol w:w="1217"/>
        <w:gridCol w:w="1211"/>
        <w:gridCol w:w="1211"/>
      </w:tblGrid>
      <w:tr w:rsidR="005E000F" w14:paraId="19A15856" w14:textId="77777777">
        <w:trPr>
          <w:trHeight w:val="968"/>
        </w:trPr>
        <w:bookmarkStart w:id="114" w:name="_Hlk155082088" w:displacedByCustomXml="next"/>
        <w:sdt>
          <w:sdtPr>
            <w:tag w:val="_PLD_3e935958e5b542f38f53ca8a2618690d"/>
            <w:id w:val="-1949072386"/>
          </w:sdtPr>
          <w:sdtContent>
            <w:tc>
              <w:tcPr>
                <w:tcW w:w="959" w:type="dxa"/>
                <w:vAlign w:val="center"/>
              </w:tcPr>
              <w:p w14:paraId="06CFBC0F" w14:textId="77777777" w:rsidR="005E000F" w:rsidRDefault="00000000">
                <w:pPr>
                  <w:jc w:val="center"/>
                </w:pPr>
                <w:r>
                  <w:t>姓名</w:t>
                </w:r>
              </w:p>
            </w:tc>
          </w:sdtContent>
        </w:sdt>
        <w:sdt>
          <w:sdtPr>
            <w:tag w:val="_PLD_5ecaa59058dd4312acb6ebb4d88eb6c8"/>
            <w:id w:val="42568339"/>
          </w:sdtPr>
          <w:sdtContent>
            <w:tc>
              <w:tcPr>
                <w:tcW w:w="1362" w:type="dxa"/>
                <w:vAlign w:val="center"/>
              </w:tcPr>
              <w:p w14:paraId="6A6E3D6D" w14:textId="77777777" w:rsidR="005E000F" w:rsidRDefault="00000000">
                <w:pPr>
                  <w:jc w:val="center"/>
                </w:pPr>
                <w:r>
                  <w:t>职务</w:t>
                </w:r>
              </w:p>
            </w:tc>
          </w:sdtContent>
        </w:sdt>
        <w:sdt>
          <w:sdtPr>
            <w:tag w:val="_PLD_f907f9c5cdf94b2ba9e217c0aaaf2c60"/>
            <w:id w:val="-1733305605"/>
          </w:sdtPr>
          <w:sdtContent>
            <w:tc>
              <w:tcPr>
                <w:tcW w:w="946" w:type="dxa"/>
                <w:vAlign w:val="center"/>
              </w:tcPr>
              <w:p w14:paraId="22375E5C" w14:textId="77777777" w:rsidR="005E000F" w:rsidRDefault="00000000">
                <w:pPr>
                  <w:jc w:val="center"/>
                </w:pPr>
                <w:r>
                  <w:t>性别</w:t>
                </w:r>
              </w:p>
            </w:tc>
          </w:sdtContent>
        </w:sdt>
        <w:sdt>
          <w:sdtPr>
            <w:tag w:val="_PLD_9b2689bca35f4a3ebc7adf135b295bd6"/>
            <w:id w:val="659894288"/>
          </w:sdtPr>
          <w:sdtContent>
            <w:tc>
              <w:tcPr>
                <w:tcW w:w="946" w:type="dxa"/>
                <w:vAlign w:val="center"/>
              </w:tcPr>
              <w:p w14:paraId="412BA825" w14:textId="77777777" w:rsidR="005E000F" w:rsidRDefault="00000000">
                <w:pPr>
                  <w:jc w:val="center"/>
                </w:pPr>
                <w:r>
                  <w:t>年龄</w:t>
                </w:r>
              </w:p>
            </w:tc>
          </w:sdtContent>
        </w:sdt>
        <w:sdt>
          <w:sdtPr>
            <w:tag w:val="_PLD_3844eb481c79444fba199a9d3c3b8bf7"/>
            <w:id w:val="771446008"/>
          </w:sdtPr>
          <w:sdtContent>
            <w:tc>
              <w:tcPr>
                <w:tcW w:w="1248" w:type="dxa"/>
                <w:vAlign w:val="center"/>
              </w:tcPr>
              <w:p w14:paraId="42DE5A2D" w14:textId="77777777" w:rsidR="005E000F" w:rsidRDefault="00000000">
                <w:pPr>
                  <w:jc w:val="center"/>
                </w:pPr>
                <w:r>
                  <w:t>任期起始日期</w:t>
                </w:r>
              </w:p>
            </w:tc>
          </w:sdtContent>
        </w:sdt>
        <w:sdt>
          <w:sdtPr>
            <w:tag w:val="_PLD_94806df607544b4b97b389da94daaf66"/>
            <w:id w:val="331647362"/>
          </w:sdtPr>
          <w:sdtContent>
            <w:tc>
              <w:tcPr>
                <w:tcW w:w="1248" w:type="dxa"/>
                <w:vAlign w:val="center"/>
              </w:tcPr>
              <w:p w14:paraId="673635CE" w14:textId="77777777" w:rsidR="005E000F" w:rsidRDefault="00000000">
                <w:pPr>
                  <w:jc w:val="center"/>
                </w:pPr>
                <w:r>
                  <w:t>任期终止日期</w:t>
                </w:r>
              </w:p>
            </w:tc>
          </w:sdtContent>
        </w:sdt>
        <w:sdt>
          <w:sdtPr>
            <w:tag w:val="_PLD_5e35d588fd7f4cb3af49fcbd9e313ac2"/>
            <w:id w:val="-1530635749"/>
          </w:sdtPr>
          <w:sdtContent>
            <w:tc>
              <w:tcPr>
                <w:tcW w:w="1191" w:type="dxa"/>
                <w:vAlign w:val="center"/>
              </w:tcPr>
              <w:p w14:paraId="25BB084A" w14:textId="77777777" w:rsidR="005E000F" w:rsidRDefault="00000000">
                <w:pPr>
                  <w:jc w:val="center"/>
                </w:pPr>
                <w:r>
                  <w:t>年初持股数</w:t>
                </w:r>
              </w:p>
            </w:tc>
          </w:sdtContent>
        </w:sdt>
        <w:sdt>
          <w:sdtPr>
            <w:tag w:val="_PLD_af0cabd7e3f44b95b26464bc652333c2"/>
            <w:id w:val="214090055"/>
          </w:sdtPr>
          <w:sdtContent>
            <w:tc>
              <w:tcPr>
                <w:tcW w:w="1180" w:type="dxa"/>
                <w:vAlign w:val="center"/>
              </w:tcPr>
              <w:p w14:paraId="1339BA4E" w14:textId="77777777" w:rsidR="005E000F" w:rsidRDefault="00000000">
                <w:pPr>
                  <w:jc w:val="center"/>
                </w:pPr>
                <w:r>
                  <w:t>年末持股数</w:t>
                </w:r>
              </w:p>
            </w:tc>
          </w:sdtContent>
        </w:sdt>
        <w:sdt>
          <w:sdtPr>
            <w:tag w:val="_PLD_0b9453da77b34ba68718efe69463399a"/>
            <w:id w:val="895092750"/>
          </w:sdtPr>
          <w:sdtContent>
            <w:tc>
              <w:tcPr>
                <w:tcW w:w="1363" w:type="dxa"/>
                <w:vAlign w:val="center"/>
              </w:tcPr>
              <w:p w14:paraId="28ACF763" w14:textId="77777777" w:rsidR="005E000F" w:rsidRDefault="00000000">
                <w:pPr>
                  <w:jc w:val="center"/>
                </w:pPr>
                <w:r>
                  <w:t>年度内股份增减变动量</w:t>
                </w:r>
              </w:p>
            </w:tc>
          </w:sdtContent>
        </w:sdt>
        <w:sdt>
          <w:sdtPr>
            <w:tag w:val="_PLD_32c045d1529e42b7999b1f0c6b6e43a6"/>
            <w:id w:val="1328247573"/>
          </w:sdtPr>
          <w:sdtContent>
            <w:tc>
              <w:tcPr>
                <w:tcW w:w="1217" w:type="dxa"/>
                <w:vAlign w:val="center"/>
              </w:tcPr>
              <w:p w14:paraId="0E9B5B86" w14:textId="77777777" w:rsidR="005E000F" w:rsidRDefault="00000000">
                <w:pPr>
                  <w:jc w:val="center"/>
                </w:pPr>
                <w:r>
                  <w:t>增减变动原因</w:t>
                </w:r>
              </w:p>
            </w:tc>
          </w:sdtContent>
        </w:sdt>
        <w:sdt>
          <w:sdtPr>
            <w:tag w:val="_PLD_47ee572944fa4c8098ef9eeca67d2eb2"/>
            <w:id w:val="1212612098"/>
          </w:sdtPr>
          <w:sdtContent>
            <w:tc>
              <w:tcPr>
                <w:tcW w:w="1211" w:type="dxa"/>
                <w:vAlign w:val="center"/>
              </w:tcPr>
              <w:p w14:paraId="7912CCE3" w14:textId="77777777" w:rsidR="005E000F" w:rsidRDefault="00000000">
                <w:pPr>
                  <w:jc w:val="center"/>
                </w:pPr>
                <w:r>
                  <w:rPr>
                    <w:rFonts w:hint="eastAsia"/>
                  </w:rPr>
                  <w:t>报告期内从公司获得的税前薪酬总额（</w:t>
                </w:r>
                <w:sdt>
                  <w:sdtPr>
                    <w:rPr>
                      <w:rFonts w:hint="eastAsia"/>
                    </w:rPr>
                    <w:alias w:val="单位：报告期内从公司获得的税前报酬总额"/>
                    <w:tag w:val="_GBC_84bf98b6209e4e62813239bd0860e78d"/>
                    <w:id w:val="1222647196"/>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w:t>
                </w:r>
              </w:p>
            </w:tc>
          </w:sdtContent>
        </w:sdt>
        <w:sdt>
          <w:sdtPr>
            <w:tag w:val="_PLD_efdfb631398b46bfa3656e39fd8c5fca"/>
            <w:id w:val="-85770260"/>
          </w:sdtPr>
          <w:sdtContent>
            <w:tc>
              <w:tcPr>
                <w:tcW w:w="1211" w:type="dxa"/>
                <w:vAlign w:val="center"/>
              </w:tcPr>
              <w:p w14:paraId="614B1CEB" w14:textId="77777777" w:rsidR="005E000F" w:rsidRDefault="00000000">
                <w:pPr>
                  <w:jc w:val="center"/>
                </w:pPr>
                <w:r>
                  <w:rPr>
                    <w:rFonts w:hint="eastAsia"/>
                  </w:rPr>
                  <w:t>是否在公司关联方获取薪酬</w:t>
                </w:r>
              </w:p>
            </w:tc>
          </w:sdtContent>
        </w:sdt>
      </w:tr>
      <w:tr w:rsidR="005E000F" w14:paraId="56F2F948" w14:textId="77777777">
        <w:trPr>
          <w:trHeight w:val="132"/>
        </w:trPr>
        <w:tc>
          <w:tcPr>
            <w:tcW w:w="959" w:type="dxa"/>
            <w:vAlign w:val="center"/>
          </w:tcPr>
          <w:p w14:paraId="5DC6A379" w14:textId="77777777" w:rsidR="005E000F" w:rsidRDefault="00000000">
            <w:proofErr w:type="gramStart"/>
            <w:r>
              <w:rPr>
                <w:rFonts w:hint="eastAsia"/>
              </w:rPr>
              <w:t>陆勇</w:t>
            </w:r>
            <w:proofErr w:type="gramEnd"/>
          </w:p>
        </w:tc>
        <w:tc>
          <w:tcPr>
            <w:tcW w:w="1362" w:type="dxa"/>
            <w:vAlign w:val="center"/>
          </w:tcPr>
          <w:p w14:paraId="287A36B2" w14:textId="77777777" w:rsidR="005E000F" w:rsidRDefault="00000000">
            <w:r>
              <w:rPr>
                <w:rFonts w:hint="eastAsia"/>
              </w:rPr>
              <w:t>董事长</w:t>
            </w:r>
          </w:p>
        </w:tc>
        <w:tc>
          <w:tcPr>
            <w:tcW w:w="946" w:type="dxa"/>
            <w:vAlign w:val="center"/>
          </w:tcPr>
          <w:p w14:paraId="7391070E" w14:textId="77777777" w:rsidR="005E000F" w:rsidRDefault="00000000">
            <w:pPr>
              <w:jc w:val="center"/>
            </w:pPr>
            <w:r>
              <w:rPr>
                <w:rFonts w:hint="eastAsia"/>
              </w:rPr>
              <w:t>男</w:t>
            </w:r>
          </w:p>
        </w:tc>
        <w:tc>
          <w:tcPr>
            <w:tcW w:w="946" w:type="dxa"/>
            <w:vAlign w:val="center"/>
          </w:tcPr>
          <w:p w14:paraId="1DC88D5D" w14:textId="77777777" w:rsidR="005E000F" w:rsidRDefault="00000000">
            <w:r>
              <w:rPr>
                <w:rFonts w:hint="eastAsia"/>
              </w:rPr>
              <w:t>58</w:t>
            </w:r>
          </w:p>
        </w:tc>
        <w:tc>
          <w:tcPr>
            <w:tcW w:w="1248" w:type="dxa"/>
            <w:vAlign w:val="center"/>
          </w:tcPr>
          <w:p w14:paraId="31E3E434" w14:textId="77777777" w:rsidR="005E000F" w:rsidRDefault="00000000">
            <w:r>
              <w:rPr>
                <w:rFonts w:hint="eastAsia"/>
              </w:rPr>
              <w:t>2024-8-28</w:t>
            </w:r>
          </w:p>
        </w:tc>
        <w:tc>
          <w:tcPr>
            <w:tcW w:w="1248" w:type="dxa"/>
            <w:vAlign w:val="center"/>
          </w:tcPr>
          <w:p w14:paraId="0EB67A4E" w14:textId="77777777" w:rsidR="005E000F" w:rsidRDefault="00000000">
            <w:r>
              <w:rPr>
                <w:rFonts w:hint="eastAsia"/>
              </w:rPr>
              <w:t>2026-5-18</w:t>
            </w:r>
          </w:p>
        </w:tc>
        <w:tc>
          <w:tcPr>
            <w:tcW w:w="1191" w:type="dxa"/>
            <w:vAlign w:val="center"/>
          </w:tcPr>
          <w:p w14:paraId="097ECCE5" w14:textId="77777777" w:rsidR="005E000F" w:rsidRDefault="00000000">
            <w:pPr>
              <w:jc w:val="right"/>
            </w:pPr>
            <w:r>
              <w:rPr>
                <w:rFonts w:hint="eastAsia"/>
              </w:rPr>
              <w:t>0</w:t>
            </w:r>
          </w:p>
        </w:tc>
        <w:tc>
          <w:tcPr>
            <w:tcW w:w="1180" w:type="dxa"/>
            <w:vAlign w:val="center"/>
          </w:tcPr>
          <w:p w14:paraId="60871666" w14:textId="77777777" w:rsidR="005E000F" w:rsidRDefault="00000000">
            <w:pPr>
              <w:jc w:val="right"/>
            </w:pPr>
            <w:r>
              <w:rPr>
                <w:rFonts w:hint="eastAsia"/>
              </w:rPr>
              <w:t>0</w:t>
            </w:r>
          </w:p>
        </w:tc>
        <w:tc>
          <w:tcPr>
            <w:tcW w:w="1363" w:type="dxa"/>
            <w:vAlign w:val="center"/>
          </w:tcPr>
          <w:p w14:paraId="39734383" w14:textId="77777777" w:rsidR="005E000F" w:rsidRDefault="00000000">
            <w:pPr>
              <w:jc w:val="right"/>
            </w:pPr>
            <w:r>
              <w:rPr>
                <w:rFonts w:hint="eastAsia"/>
              </w:rPr>
              <w:t>0</w:t>
            </w:r>
          </w:p>
        </w:tc>
        <w:tc>
          <w:tcPr>
            <w:tcW w:w="1217" w:type="dxa"/>
            <w:vAlign w:val="center"/>
          </w:tcPr>
          <w:p w14:paraId="15F1C71E" w14:textId="77777777" w:rsidR="005E000F" w:rsidRDefault="005E000F"/>
        </w:tc>
        <w:tc>
          <w:tcPr>
            <w:tcW w:w="1211" w:type="dxa"/>
            <w:vAlign w:val="center"/>
          </w:tcPr>
          <w:p w14:paraId="77708B28" w14:textId="77777777" w:rsidR="005E000F" w:rsidRDefault="00000000">
            <w:pPr>
              <w:jc w:val="right"/>
            </w:pPr>
            <w:r>
              <w:rPr>
                <w:rFonts w:hint="eastAsia"/>
              </w:rPr>
              <w:t>0</w:t>
            </w:r>
          </w:p>
        </w:tc>
        <w:sdt>
          <w:sdtPr>
            <w:alias w:val="董事、监事、高级管理人员是否在公司关联方获取报酬"/>
            <w:tag w:val="_GBC_ca79c4e139754ecd84ca3e60eb23b31d"/>
            <w:id w:val="-1956017715"/>
            <w:comboBox>
              <w:listItem w:displayText="是" w:value="是"/>
              <w:listItem w:displayText="否" w:value="否"/>
            </w:comboBox>
          </w:sdtPr>
          <w:sdtContent>
            <w:tc>
              <w:tcPr>
                <w:tcW w:w="1211" w:type="dxa"/>
                <w:vAlign w:val="center"/>
              </w:tcPr>
              <w:p w14:paraId="339785C1" w14:textId="77777777" w:rsidR="005E000F" w:rsidRDefault="00000000">
                <w:pPr>
                  <w:rPr>
                    <w:rFonts w:asciiTheme="minorHAnsi" w:eastAsiaTheme="minorEastAsia" w:hAnsiTheme="minorHAnsi" w:cstheme="minorBidi"/>
                    <w:kern w:val="2"/>
                    <w14:ligatures w14:val="standardContextual"/>
                  </w:rPr>
                </w:pPr>
                <w:r>
                  <w:rPr>
                    <w:rFonts w:asciiTheme="minorHAnsi" w:eastAsiaTheme="minorEastAsia" w:hAnsiTheme="minorHAnsi" w:cstheme="minorBidi"/>
                    <w:kern w:val="2"/>
                    <w14:ligatures w14:val="standardContextual"/>
                  </w:rPr>
                  <w:t>是</w:t>
                </w:r>
              </w:p>
            </w:tc>
          </w:sdtContent>
        </w:sdt>
      </w:tr>
      <w:tr w:rsidR="005E000F" w14:paraId="2A141653" w14:textId="77777777">
        <w:trPr>
          <w:trHeight w:val="132"/>
        </w:trPr>
        <w:tc>
          <w:tcPr>
            <w:tcW w:w="959" w:type="dxa"/>
            <w:vAlign w:val="center"/>
          </w:tcPr>
          <w:p w14:paraId="42521387" w14:textId="77777777" w:rsidR="005E000F" w:rsidRDefault="00000000">
            <w:r>
              <w:rPr>
                <w:rFonts w:hint="eastAsia"/>
              </w:rPr>
              <w:t>杨涛</w:t>
            </w:r>
          </w:p>
        </w:tc>
        <w:tc>
          <w:tcPr>
            <w:tcW w:w="1362" w:type="dxa"/>
            <w:vAlign w:val="center"/>
          </w:tcPr>
          <w:p w14:paraId="61C3E9BF" w14:textId="77777777" w:rsidR="005E000F" w:rsidRDefault="00000000">
            <w:r>
              <w:rPr>
                <w:rFonts w:hint="eastAsia"/>
              </w:rPr>
              <w:t>副董事长</w:t>
            </w:r>
          </w:p>
        </w:tc>
        <w:tc>
          <w:tcPr>
            <w:tcW w:w="946" w:type="dxa"/>
            <w:vAlign w:val="center"/>
          </w:tcPr>
          <w:p w14:paraId="33EB3E12" w14:textId="77777777" w:rsidR="005E000F" w:rsidRDefault="00000000">
            <w:pPr>
              <w:jc w:val="center"/>
            </w:pPr>
            <w:r>
              <w:rPr>
                <w:rFonts w:hint="eastAsia"/>
              </w:rPr>
              <w:t>男</w:t>
            </w:r>
          </w:p>
        </w:tc>
        <w:tc>
          <w:tcPr>
            <w:tcW w:w="946" w:type="dxa"/>
            <w:vAlign w:val="center"/>
          </w:tcPr>
          <w:p w14:paraId="62B911C7" w14:textId="77777777" w:rsidR="005E000F" w:rsidRDefault="00000000">
            <w:r>
              <w:rPr>
                <w:rFonts w:hint="eastAsia"/>
              </w:rPr>
              <w:t>49</w:t>
            </w:r>
          </w:p>
        </w:tc>
        <w:tc>
          <w:tcPr>
            <w:tcW w:w="1248" w:type="dxa"/>
            <w:vAlign w:val="center"/>
          </w:tcPr>
          <w:p w14:paraId="70EBE5F1" w14:textId="77777777" w:rsidR="005E000F" w:rsidRDefault="00000000">
            <w:r>
              <w:rPr>
                <w:rFonts w:hint="eastAsia"/>
              </w:rPr>
              <w:t>2025-11-18</w:t>
            </w:r>
          </w:p>
        </w:tc>
        <w:tc>
          <w:tcPr>
            <w:tcW w:w="1248" w:type="dxa"/>
            <w:vAlign w:val="center"/>
          </w:tcPr>
          <w:p w14:paraId="24E148E9" w14:textId="77777777" w:rsidR="005E000F" w:rsidRDefault="00000000">
            <w:r>
              <w:rPr>
                <w:rFonts w:hint="eastAsia"/>
              </w:rPr>
              <w:t>2026-5-18</w:t>
            </w:r>
          </w:p>
        </w:tc>
        <w:tc>
          <w:tcPr>
            <w:tcW w:w="1191" w:type="dxa"/>
            <w:vAlign w:val="center"/>
          </w:tcPr>
          <w:p w14:paraId="71B6DDF2" w14:textId="77777777" w:rsidR="005E000F" w:rsidRDefault="00000000">
            <w:pPr>
              <w:jc w:val="right"/>
            </w:pPr>
            <w:r>
              <w:rPr>
                <w:rFonts w:hint="eastAsia"/>
              </w:rPr>
              <w:t>0</w:t>
            </w:r>
          </w:p>
        </w:tc>
        <w:tc>
          <w:tcPr>
            <w:tcW w:w="1180" w:type="dxa"/>
            <w:vAlign w:val="center"/>
          </w:tcPr>
          <w:p w14:paraId="0F6D7BD0" w14:textId="77777777" w:rsidR="005E000F" w:rsidRDefault="00000000">
            <w:pPr>
              <w:jc w:val="right"/>
            </w:pPr>
            <w:r>
              <w:rPr>
                <w:rFonts w:hint="eastAsia"/>
              </w:rPr>
              <w:t>0</w:t>
            </w:r>
          </w:p>
        </w:tc>
        <w:tc>
          <w:tcPr>
            <w:tcW w:w="1363" w:type="dxa"/>
            <w:vAlign w:val="center"/>
          </w:tcPr>
          <w:p w14:paraId="76338771" w14:textId="77777777" w:rsidR="005E000F" w:rsidRDefault="00000000">
            <w:pPr>
              <w:jc w:val="right"/>
            </w:pPr>
            <w:r>
              <w:rPr>
                <w:rFonts w:hint="eastAsia"/>
              </w:rPr>
              <w:t>0</w:t>
            </w:r>
          </w:p>
        </w:tc>
        <w:tc>
          <w:tcPr>
            <w:tcW w:w="1217" w:type="dxa"/>
            <w:vAlign w:val="center"/>
          </w:tcPr>
          <w:p w14:paraId="31DFF2B0" w14:textId="77777777" w:rsidR="005E000F" w:rsidRDefault="005E000F"/>
        </w:tc>
        <w:tc>
          <w:tcPr>
            <w:tcW w:w="1211" w:type="dxa"/>
            <w:vAlign w:val="center"/>
          </w:tcPr>
          <w:p w14:paraId="776E0E7E" w14:textId="77777777" w:rsidR="005E000F" w:rsidRDefault="00000000">
            <w:pPr>
              <w:jc w:val="right"/>
            </w:pPr>
            <w:r>
              <w:rPr>
                <w:rFonts w:hint="eastAsia"/>
              </w:rPr>
              <w:t>0</w:t>
            </w:r>
          </w:p>
        </w:tc>
        <w:sdt>
          <w:sdtPr>
            <w:alias w:val="董事、监事、高级管理人员是否在公司关联方获取报酬"/>
            <w:tag w:val="_GBC_ca79c4e139754ecd84ca3e60eb23b31d"/>
            <w:id w:val="-443306848"/>
            <w:comboBox>
              <w:listItem w:displayText="是" w:value="是"/>
              <w:listItem w:displayText="否" w:value="否"/>
            </w:comboBox>
          </w:sdtPr>
          <w:sdtContent>
            <w:tc>
              <w:tcPr>
                <w:tcW w:w="1211" w:type="dxa"/>
                <w:vAlign w:val="center"/>
              </w:tcPr>
              <w:p w14:paraId="542EFFB1" w14:textId="77777777" w:rsidR="005E000F" w:rsidRDefault="00000000">
                <w:pPr>
                  <w:rPr>
                    <w:rFonts w:asciiTheme="minorHAnsi" w:eastAsiaTheme="minorEastAsia" w:hAnsiTheme="minorHAnsi" w:cstheme="minorBidi"/>
                    <w:kern w:val="2"/>
                    <w14:ligatures w14:val="standardContextual"/>
                  </w:rPr>
                </w:pPr>
                <w:r>
                  <w:rPr>
                    <w:rFonts w:asciiTheme="minorHAnsi" w:eastAsiaTheme="minorEastAsia" w:hAnsiTheme="minorHAnsi" w:cstheme="minorBidi"/>
                    <w:kern w:val="2"/>
                    <w14:ligatures w14:val="standardContextual"/>
                  </w:rPr>
                  <w:t>是</w:t>
                </w:r>
              </w:p>
            </w:tc>
          </w:sdtContent>
        </w:sdt>
      </w:tr>
      <w:tr w:rsidR="005E000F" w14:paraId="7E412416" w14:textId="77777777">
        <w:trPr>
          <w:trHeight w:val="132"/>
        </w:trPr>
        <w:tc>
          <w:tcPr>
            <w:tcW w:w="959" w:type="dxa"/>
            <w:vMerge w:val="restart"/>
            <w:vAlign w:val="center"/>
          </w:tcPr>
          <w:p w14:paraId="5FA92CA4" w14:textId="77777777" w:rsidR="005E000F" w:rsidRDefault="00000000">
            <w:r>
              <w:rPr>
                <w:rFonts w:hint="eastAsia"/>
              </w:rPr>
              <w:t>张竑毅</w:t>
            </w:r>
          </w:p>
        </w:tc>
        <w:tc>
          <w:tcPr>
            <w:tcW w:w="1362" w:type="dxa"/>
            <w:vAlign w:val="center"/>
          </w:tcPr>
          <w:p w14:paraId="78227C25" w14:textId="77777777" w:rsidR="005E000F" w:rsidRDefault="00000000">
            <w:r>
              <w:rPr>
                <w:rFonts w:hint="eastAsia"/>
              </w:rPr>
              <w:t>董事</w:t>
            </w:r>
          </w:p>
        </w:tc>
        <w:tc>
          <w:tcPr>
            <w:tcW w:w="946" w:type="dxa"/>
            <w:vMerge w:val="restart"/>
            <w:vAlign w:val="center"/>
          </w:tcPr>
          <w:p w14:paraId="5E019F36" w14:textId="77777777" w:rsidR="005E000F" w:rsidRDefault="00000000">
            <w:pPr>
              <w:jc w:val="center"/>
            </w:pPr>
            <w:r>
              <w:rPr>
                <w:rFonts w:hint="eastAsia"/>
              </w:rPr>
              <w:t>男</w:t>
            </w:r>
          </w:p>
        </w:tc>
        <w:tc>
          <w:tcPr>
            <w:tcW w:w="946" w:type="dxa"/>
            <w:vMerge w:val="restart"/>
            <w:vAlign w:val="center"/>
          </w:tcPr>
          <w:p w14:paraId="7F45B98C" w14:textId="77777777" w:rsidR="005E000F" w:rsidRDefault="00000000">
            <w:r>
              <w:rPr>
                <w:rFonts w:hint="eastAsia"/>
              </w:rPr>
              <w:t>57</w:t>
            </w:r>
          </w:p>
        </w:tc>
        <w:tc>
          <w:tcPr>
            <w:tcW w:w="1248" w:type="dxa"/>
            <w:vAlign w:val="center"/>
          </w:tcPr>
          <w:p w14:paraId="30EC3562" w14:textId="77777777" w:rsidR="005E000F" w:rsidRDefault="00000000">
            <w:r>
              <w:rPr>
                <w:rFonts w:hint="eastAsia"/>
              </w:rPr>
              <w:t>2025-9-23</w:t>
            </w:r>
          </w:p>
        </w:tc>
        <w:tc>
          <w:tcPr>
            <w:tcW w:w="1248" w:type="dxa"/>
            <w:vAlign w:val="center"/>
          </w:tcPr>
          <w:p w14:paraId="70C8BE73" w14:textId="77777777" w:rsidR="005E000F" w:rsidRDefault="00000000">
            <w:r>
              <w:rPr>
                <w:rFonts w:hint="eastAsia"/>
              </w:rPr>
              <w:t>2026-5-18</w:t>
            </w:r>
          </w:p>
        </w:tc>
        <w:tc>
          <w:tcPr>
            <w:tcW w:w="1191" w:type="dxa"/>
            <w:vMerge w:val="restart"/>
            <w:vAlign w:val="center"/>
          </w:tcPr>
          <w:p w14:paraId="603F376A" w14:textId="77777777" w:rsidR="005E000F" w:rsidRDefault="00000000">
            <w:pPr>
              <w:jc w:val="right"/>
            </w:pPr>
            <w:r>
              <w:rPr>
                <w:rFonts w:hint="eastAsia"/>
              </w:rPr>
              <w:t>0</w:t>
            </w:r>
          </w:p>
        </w:tc>
        <w:tc>
          <w:tcPr>
            <w:tcW w:w="1180" w:type="dxa"/>
            <w:vMerge w:val="restart"/>
            <w:vAlign w:val="center"/>
          </w:tcPr>
          <w:p w14:paraId="743DBE3D" w14:textId="77777777" w:rsidR="005E000F" w:rsidRDefault="00000000">
            <w:pPr>
              <w:jc w:val="right"/>
            </w:pPr>
            <w:r>
              <w:rPr>
                <w:rFonts w:hint="eastAsia"/>
              </w:rPr>
              <w:t>0</w:t>
            </w:r>
          </w:p>
        </w:tc>
        <w:tc>
          <w:tcPr>
            <w:tcW w:w="1363" w:type="dxa"/>
            <w:vMerge w:val="restart"/>
            <w:vAlign w:val="center"/>
          </w:tcPr>
          <w:p w14:paraId="7FB8171A" w14:textId="77777777" w:rsidR="005E000F" w:rsidRDefault="00000000">
            <w:pPr>
              <w:jc w:val="right"/>
            </w:pPr>
            <w:r>
              <w:rPr>
                <w:rFonts w:hint="eastAsia"/>
              </w:rPr>
              <w:t>0</w:t>
            </w:r>
          </w:p>
        </w:tc>
        <w:tc>
          <w:tcPr>
            <w:tcW w:w="1217" w:type="dxa"/>
            <w:vMerge w:val="restart"/>
            <w:vAlign w:val="center"/>
          </w:tcPr>
          <w:p w14:paraId="545B44D8" w14:textId="77777777" w:rsidR="005E000F" w:rsidRDefault="005E000F"/>
        </w:tc>
        <w:tc>
          <w:tcPr>
            <w:tcW w:w="1211" w:type="dxa"/>
            <w:vMerge w:val="restart"/>
            <w:vAlign w:val="center"/>
          </w:tcPr>
          <w:p w14:paraId="4C6CEACF" w14:textId="77777777" w:rsidR="005E000F" w:rsidRDefault="00000000">
            <w:pPr>
              <w:jc w:val="right"/>
            </w:pPr>
            <w:r>
              <w:rPr>
                <w:rFonts w:hint="eastAsia"/>
              </w:rPr>
              <w:t>25.27</w:t>
            </w:r>
          </w:p>
        </w:tc>
        <w:tc>
          <w:tcPr>
            <w:tcW w:w="1211" w:type="dxa"/>
            <w:vMerge w:val="restart"/>
            <w:vAlign w:val="center"/>
          </w:tcPr>
          <w:p w14:paraId="0978E6F6" w14:textId="77777777" w:rsidR="005E000F" w:rsidRDefault="00000000">
            <w:pPr>
              <w:rPr>
                <w:rFonts w:asciiTheme="minorHAnsi" w:eastAsiaTheme="minorEastAsia" w:hAnsiTheme="minorHAnsi" w:cstheme="minorBidi"/>
                <w:kern w:val="2"/>
                <w14:ligatures w14:val="standardContextual"/>
              </w:rPr>
            </w:pPr>
            <w:r>
              <w:rPr>
                <w:rFonts w:asciiTheme="minorHAnsi" w:eastAsiaTheme="minorEastAsia" w:hAnsiTheme="minorHAnsi" w:cstheme="minorBidi" w:hint="eastAsia"/>
                <w:kern w:val="2"/>
                <w14:ligatures w14:val="standardContextual"/>
              </w:rPr>
              <w:t>否</w:t>
            </w:r>
          </w:p>
        </w:tc>
      </w:tr>
      <w:tr w:rsidR="005E000F" w14:paraId="57999C4E" w14:textId="77777777">
        <w:trPr>
          <w:trHeight w:val="132"/>
        </w:trPr>
        <w:tc>
          <w:tcPr>
            <w:tcW w:w="959" w:type="dxa"/>
            <w:vMerge/>
            <w:vAlign w:val="center"/>
          </w:tcPr>
          <w:p w14:paraId="24124D17" w14:textId="77777777" w:rsidR="005E000F" w:rsidRDefault="005E000F"/>
        </w:tc>
        <w:tc>
          <w:tcPr>
            <w:tcW w:w="1362" w:type="dxa"/>
            <w:vAlign w:val="center"/>
          </w:tcPr>
          <w:p w14:paraId="6D2430D0" w14:textId="77777777" w:rsidR="005E000F" w:rsidRDefault="00000000">
            <w:r>
              <w:rPr>
                <w:rFonts w:hint="eastAsia"/>
              </w:rPr>
              <w:t>总经理</w:t>
            </w:r>
          </w:p>
        </w:tc>
        <w:tc>
          <w:tcPr>
            <w:tcW w:w="946" w:type="dxa"/>
            <w:vMerge/>
            <w:vAlign w:val="center"/>
          </w:tcPr>
          <w:p w14:paraId="20718404" w14:textId="77777777" w:rsidR="005E000F" w:rsidRDefault="005E000F">
            <w:pPr>
              <w:jc w:val="center"/>
            </w:pPr>
          </w:p>
        </w:tc>
        <w:tc>
          <w:tcPr>
            <w:tcW w:w="946" w:type="dxa"/>
            <w:vMerge/>
            <w:vAlign w:val="center"/>
          </w:tcPr>
          <w:p w14:paraId="3DE24906" w14:textId="77777777" w:rsidR="005E000F" w:rsidRDefault="005E000F"/>
        </w:tc>
        <w:tc>
          <w:tcPr>
            <w:tcW w:w="1248" w:type="dxa"/>
            <w:vAlign w:val="center"/>
          </w:tcPr>
          <w:p w14:paraId="2D182E2B" w14:textId="77777777" w:rsidR="005E000F" w:rsidRDefault="00000000">
            <w:r>
              <w:rPr>
                <w:rFonts w:hint="eastAsia"/>
              </w:rPr>
              <w:t>2025-6-17</w:t>
            </w:r>
          </w:p>
        </w:tc>
        <w:tc>
          <w:tcPr>
            <w:tcW w:w="1248" w:type="dxa"/>
            <w:vAlign w:val="center"/>
          </w:tcPr>
          <w:p w14:paraId="13AFE9F0" w14:textId="77777777" w:rsidR="005E000F" w:rsidRDefault="005E000F"/>
        </w:tc>
        <w:tc>
          <w:tcPr>
            <w:tcW w:w="1191" w:type="dxa"/>
            <w:vMerge/>
            <w:vAlign w:val="center"/>
          </w:tcPr>
          <w:p w14:paraId="5EAE4625" w14:textId="77777777" w:rsidR="005E000F" w:rsidRDefault="005E000F">
            <w:pPr>
              <w:jc w:val="right"/>
            </w:pPr>
          </w:p>
        </w:tc>
        <w:tc>
          <w:tcPr>
            <w:tcW w:w="1180" w:type="dxa"/>
            <w:vMerge/>
            <w:vAlign w:val="center"/>
          </w:tcPr>
          <w:p w14:paraId="5EC5EEDA" w14:textId="77777777" w:rsidR="005E000F" w:rsidRDefault="005E000F">
            <w:pPr>
              <w:jc w:val="right"/>
            </w:pPr>
          </w:p>
        </w:tc>
        <w:tc>
          <w:tcPr>
            <w:tcW w:w="1363" w:type="dxa"/>
            <w:vMerge/>
            <w:vAlign w:val="center"/>
          </w:tcPr>
          <w:p w14:paraId="6A69133C" w14:textId="77777777" w:rsidR="005E000F" w:rsidRDefault="005E000F">
            <w:pPr>
              <w:jc w:val="right"/>
            </w:pPr>
          </w:p>
        </w:tc>
        <w:tc>
          <w:tcPr>
            <w:tcW w:w="1217" w:type="dxa"/>
            <w:vMerge/>
            <w:vAlign w:val="center"/>
          </w:tcPr>
          <w:p w14:paraId="5C13D02B" w14:textId="77777777" w:rsidR="005E000F" w:rsidRDefault="005E000F"/>
        </w:tc>
        <w:tc>
          <w:tcPr>
            <w:tcW w:w="1211" w:type="dxa"/>
            <w:vMerge/>
            <w:vAlign w:val="center"/>
          </w:tcPr>
          <w:p w14:paraId="7F25E69F" w14:textId="77777777" w:rsidR="005E000F" w:rsidRDefault="005E000F">
            <w:pPr>
              <w:jc w:val="right"/>
            </w:pPr>
          </w:p>
        </w:tc>
        <w:tc>
          <w:tcPr>
            <w:tcW w:w="1211" w:type="dxa"/>
            <w:vMerge/>
            <w:vAlign w:val="center"/>
          </w:tcPr>
          <w:p w14:paraId="6C0D5C44" w14:textId="77777777" w:rsidR="005E000F" w:rsidRDefault="005E000F">
            <w:pPr>
              <w:rPr>
                <w:rFonts w:asciiTheme="minorHAnsi" w:eastAsiaTheme="minorEastAsia" w:hAnsiTheme="minorHAnsi" w:cstheme="minorBidi"/>
                <w:kern w:val="2"/>
                <w14:ligatures w14:val="standardContextual"/>
              </w:rPr>
            </w:pPr>
          </w:p>
        </w:tc>
      </w:tr>
      <w:tr w:rsidR="005E000F" w14:paraId="5139123F" w14:textId="77777777">
        <w:trPr>
          <w:trHeight w:val="132"/>
        </w:trPr>
        <w:tc>
          <w:tcPr>
            <w:tcW w:w="959" w:type="dxa"/>
            <w:vAlign w:val="center"/>
          </w:tcPr>
          <w:p w14:paraId="3B0E4310" w14:textId="77777777" w:rsidR="005E000F" w:rsidRDefault="00000000">
            <w:r>
              <w:rPr>
                <w:rFonts w:hint="eastAsia"/>
              </w:rPr>
              <w:t>杨庆欣</w:t>
            </w:r>
          </w:p>
        </w:tc>
        <w:tc>
          <w:tcPr>
            <w:tcW w:w="1362" w:type="dxa"/>
            <w:vAlign w:val="center"/>
          </w:tcPr>
          <w:p w14:paraId="2D2F97C7" w14:textId="77777777" w:rsidR="005E000F" w:rsidRDefault="00000000">
            <w:r>
              <w:rPr>
                <w:rFonts w:hint="eastAsia"/>
              </w:rPr>
              <w:t>职工代表董事</w:t>
            </w:r>
          </w:p>
        </w:tc>
        <w:tc>
          <w:tcPr>
            <w:tcW w:w="946" w:type="dxa"/>
            <w:vAlign w:val="center"/>
          </w:tcPr>
          <w:p w14:paraId="15DE7467" w14:textId="77777777" w:rsidR="005E000F" w:rsidRDefault="00000000">
            <w:pPr>
              <w:jc w:val="center"/>
            </w:pPr>
            <w:r>
              <w:rPr>
                <w:rFonts w:hint="eastAsia"/>
              </w:rPr>
              <w:t>女</w:t>
            </w:r>
          </w:p>
        </w:tc>
        <w:tc>
          <w:tcPr>
            <w:tcW w:w="946" w:type="dxa"/>
            <w:vAlign w:val="center"/>
          </w:tcPr>
          <w:p w14:paraId="1224555C" w14:textId="77777777" w:rsidR="005E000F" w:rsidRDefault="00000000">
            <w:r>
              <w:rPr>
                <w:rFonts w:hint="eastAsia"/>
              </w:rPr>
              <w:t>50</w:t>
            </w:r>
          </w:p>
        </w:tc>
        <w:tc>
          <w:tcPr>
            <w:tcW w:w="1248" w:type="dxa"/>
            <w:vAlign w:val="center"/>
          </w:tcPr>
          <w:p w14:paraId="16EB57E8" w14:textId="77777777" w:rsidR="005E000F" w:rsidRDefault="00000000">
            <w:r>
              <w:rPr>
                <w:rFonts w:hint="eastAsia"/>
              </w:rPr>
              <w:t>2025-12-29</w:t>
            </w:r>
          </w:p>
        </w:tc>
        <w:tc>
          <w:tcPr>
            <w:tcW w:w="1248" w:type="dxa"/>
            <w:vAlign w:val="center"/>
          </w:tcPr>
          <w:p w14:paraId="5D981C92" w14:textId="77777777" w:rsidR="005E000F" w:rsidRDefault="00000000">
            <w:r>
              <w:rPr>
                <w:rFonts w:hint="eastAsia"/>
              </w:rPr>
              <w:t>2026-5-18</w:t>
            </w:r>
          </w:p>
        </w:tc>
        <w:tc>
          <w:tcPr>
            <w:tcW w:w="1191" w:type="dxa"/>
            <w:vAlign w:val="center"/>
          </w:tcPr>
          <w:p w14:paraId="2F8CFD35" w14:textId="77777777" w:rsidR="005E000F" w:rsidRDefault="00000000">
            <w:pPr>
              <w:jc w:val="right"/>
            </w:pPr>
            <w:r>
              <w:rPr>
                <w:rFonts w:hint="eastAsia"/>
              </w:rPr>
              <w:t>0</w:t>
            </w:r>
          </w:p>
        </w:tc>
        <w:tc>
          <w:tcPr>
            <w:tcW w:w="1180" w:type="dxa"/>
            <w:vAlign w:val="center"/>
          </w:tcPr>
          <w:p w14:paraId="4EDAB0DF" w14:textId="77777777" w:rsidR="005E000F" w:rsidRDefault="00000000">
            <w:pPr>
              <w:jc w:val="right"/>
            </w:pPr>
            <w:r>
              <w:rPr>
                <w:rFonts w:hint="eastAsia"/>
              </w:rPr>
              <w:t>0</w:t>
            </w:r>
          </w:p>
        </w:tc>
        <w:tc>
          <w:tcPr>
            <w:tcW w:w="1363" w:type="dxa"/>
            <w:vAlign w:val="center"/>
          </w:tcPr>
          <w:p w14:paraId="36C033F4" w14:textId="77777777" w:rsidR="005E000F" w:rsidRDefault="00000000">
            <w:pPr>
              <w:jc w:val="right"/>
            </w:pPr>
            <w:r>
              <w:rPr>
                <w:rFonts w:hint="eastAsia"/>
              </w:rPr>
              <w:t>0</w:t>
            </w:r>
          </w:p>
        </w:tc>
        <w:tc>
          <w:tcPr>
            <w:tcW w:w="1217" w:type="dxa"/>
            <w:vAlign w:val="center"/>
          </w:tcPr>
          <w:p w14:paraId="0695E26C" w14:textId="77777777" w:rsidR="005E000F" w:rsidRDefault="005E000F"/>
        </w:tc>
        <w:tc>
          <w:tcPr>
            <w:tcW w:w="1211" w:type="dxa"/>
            <w:vAlign w:val="center"/>
          </w:tcPr>
          <w:p w14:paraId="3F1C075A" w14:textId="77777777" w:rsidR="005E000F" w:rsidRDefault="00000000">
            <w:pPr>
              <w:jc w:val="right"/>
            </w:pPr>
            <w:r>
              <w:rPr>
                <w:rFonts w:hint="eastAsia"/>
              </w:rPr>
              <w:t>7.21</w:t>
            </w:r>
          </w:p>
        </w:tc>
        <w:tc>
          <w:tcPr>
            <w:tcW w:w="1211" w:type="dxa"/>
            <w:vAlign w:val="center"/>
          </w:tcPr>
          <w:p w14:paraId="3152D16D" w14:textId="77777777" w:rsidR="005E000F" w:rsidRDefault="00000000">
            <w:pPr>
              <w:rPr>
                <w:rFonts w:asciiTheme="minorHAnsi" w:eastAsiaTheme="minorEastAsia" w:hAnsiTheme="minorHAnsi" w:cstheme="minorBidi"/>
                <w:kern w:val="2"/>
                <w14:ligatures w14:val="standardContextual"/>
              </w:rPr>
            </w:pPr>
            <w:r>
              <w:rPr>
                <w:rFonts w:asciiTheme="minorHAnsi" w:eastAsiaTheme="minorEastAsia" w:hAnsiTheme="minorHAnsi" w:cstheme="minorBidi" w:hint="eastAsia"/>
                <w:kern w:val="2"/>
                <w14:ligatures w14:val="standardContextual"/>
              </w:rPr>
              <w:t>否</w:t>
            </w:r>
          </w:p>
        </w:tc>
      </w:tr>
      <w:tr w:rsidR="005E000F" w14:paraId="5CEDE320" w14:textId="77777777">
        <w:trPr>
          <w:trHeight w:val="132"/>
        </w:trPr>
        <w:tc>
          <w:tcPr>
            <w:tcW w:w="959" w:type="dxa"/>
            <w:vMerge w:val="restart"/>
            <w:vAlign w:val="center"/>
          </w:tcPr>
          <w:p w14:paraId="157DD7F3" w14:textId="77777777" w:rsidR="005E000F" w:rsidRDefault="00000000">
            <w:r>
              <w:rPr>
                <w:rFonts w:hint="eastAsia"/>
              </w:rPr>
              <w:t>张利荣</w:t>
            </w:r>
          </w:p>
        </w:tc>
        <w:tc>
          <w:tcPr>
            <w:tcW w:w="1362" w:type="dxa"/>
            <w:vAlign w:val="center"/>
          </w:tcPr>
          <w:p w14:paraId="17D24FAF" w14:textId="77777777" w:rsidR="005E000F" w:rsidRDefault="00000000">
            <w:r>
              <w:rPr>
                <w:rFonts w:hint="eastAsia"/>
              </w:rPr>
              <w:t>董事</w:t>
            </w:r>
          </w:p>
        </w:tc>
        <w:tc>
          <w:tcPr>
            <w:tcW w:w="946" w:type="dxa"/>
            <w:vMerge w:val="restart"/>
            <w:vAlign w:val="center"/>
          </w:tcPr>
          <w:p w14:paraId="7A47AE35" w14:textId="77777777" w:rsidR="005E000F" w:rsidRDefault="00000000">
            <w:pPr>
              <w:jc w:val="center"/>
            </w:pPr>
            <w:r>
              <w:rPr>
                <w:rFonts w:hint="eastAsia"/>
              </w:rPr>
              <w:t>女</w:t>
            </w:r>
          </w:p>
        </w:tc>
        <w:tc>
          <w:tcPr>
            <w:tcW w:w="946" w:type="dxa"/>
            <w:vMerge w:val="restart"/>
            <w:vAlign w:val="center"/>
          </w:tcPr>
          <w:p w14:paraId="2AF32BF4" w14:textId="77777777" w:rsidR="005E000F" w:rsidRDefault="00000000">
            <w:r>
              <w:rPr>
                <w:rFonts w:hint="eastAsia"/>
              </w:rPr>
              <w:t>53</w:t>
            </w:r>
          </w:p>
        </w:tc>
        <w:tc>
          <w:tcPr>
            <w:tcW w:w="1248" w:type="dxa"/>
            <w:vAlign w:val="center"/>
          </w:tcPr>
          <w:p w14:paraId="4DE9FD7E" w14:textId="77777777" w:rsidR="005E000F" w:rsidRDefault="00000000">
            <w:r>
              <w:rPr>
                <w:rFonts w:hint="eastAsia"/>
              </w:rPr>
              <w:t>2023-5-19</w:t>
            </w:r>
          </w:p>
        </w:tc>
        <w:tc>
          <w:tcPr>
            <w:tcW w:w="1248" w:type="dxa"/>
            <w:vAlign w:val="center"/>
          </w:tcPr>
          <w:p w14:paraId="24AE9A0D" w14:textId="77777777" w:rsidR="005E000F" w:rsidRDefault="00000000">
            <w:r>
              <w:rPr>
                <w:rFonts w:hint="eastAsia"/>
              </w:rPr>
              <w:t>2026-5-18</w:t>
            </w:r>
          </w:p>
        </w:tc>
        <w:tc>
          <w:tcPr>
            <w:tcW w:w="1191" w:type="dxa"/>
            <w:vMerge w:val="restart"/>
            <w:vAlign w:val="center"/>
          </w:tcPr>
          <w:p w14:paraId="59589EF1" w14:textId="77777777" w:rsidR="005E000F" w:rsidRDefault="00000000">
            <w:pPr>
              <w:jc w:val="right"/>
            </w:pPr>
            <w:r>
              <w:rPr>
                <w:rFonts w:hint="eastAsia"/>
              </w:rPr>
              <w:t>0</w:t>
            </w:r>
          </w:p>
        </w:tc>
        <w:tc>
          <w:tcPr>
            <w:tcW w:w="1180" w:type="dxa"/>
            <w:vMerge w:val="restart"/>
            <w:vAlign w:val="center"/>
          </w:tcPr>
          <w:p w14:paraId="37D66290" w14:textId="77777777" w:rsidR="005E000F" w:rsidRDefault="00000000">
            <w:pPr>
              <w:jc w:val="right"/>
            </w:pPr>
            <w:r>
              <w:rPr>
                <w:rFonts w:hint="eastAsia"/>
              </w:rPr>
              <w:t>0</w:t>
            </w:r>
          </w:p>
        </w:tc>
        <w:tc>
          <w:tcPr>
            <w:tcW w:w="1363" w:type="dxa"/>
            <w:vMerge w:val="restart"/>
            <w:vAlign w:val="center"/>
          </w:tcPr>
          <w:p w14:paraId="368FEE14" w14:textId="77777777" w:rsidR="005E000F" w:rsidRDefault="00000000">
            <w:pPr>
              <w:jc w:val="right"/>
            </w:pPr>
            <w:r>
              <w:rPr>
                <w:rFonts w:hint="eastAsia"/>
              </w:rPr>
              <w:t>0</w:t>
            </w:r>
          </w:p>
        </w:tc>
        <w:tc>
          <w:tcPr>
            <w:tcW w:w="1217" w:type="dxa"/>
            <w:vMerge w:val="restart"/>
            <w:vAlign w:val="center"/>
          </w:tcPr>
          <w:p w14:paraId="4AAD3ED8" w14:textId="77777777" w:rsidR="005E000F" w:rsidRDefault="005E000F"/>
        </w:tc>
        <w:tc>
          <w:tcPr>
            <w:tcW w:w="1211" w:type="dxa"/>
            <w:vMerge w:val="restart"/>
            <w:vAlign w:val="center"/>
          </w:tcPr>
          <w:p w14:paraId="7350CC8B" w14:textId="77777777" w:rsidR="005E000F" w:rsidRDefault="00000000">
            <w:pPr>
              <w:jc w:val="right"/>
            </w:pPr>
            <w:r>
              <w:rPr>
                <w:rFonts w:hint="eastAsia"/>
              </w:rPr>
              <w:t>41.69</w:t>
            </w:r>
          </w:p>
        </w:tc>
        <w:tc>
          <w:tcPr>
            <w:tcW w:w="1211" w:type="dxa"/>
            <w:vMerge w:val="restart"/>
            <w:vAlign w:val="center"/>
          </w:tcPr>
          <w:p w14:paraId="7DC3D5CC" w14:textId="77777777" w:rsidR="005E000F" w:rsidRDefault="00000000">
            <w:pPr>
              <w:rPr>
                <w:rFonts w:asciiTheme="minorHAnsi" w:eastAsiaTheme="minorEastAsia" w:hAnsiTheme="minorHAnsi" w:cstheme="minorBidi"/>
                <w:kern w:val="2"/>
                <w14:ligatures w14:val="standardContextual"/>
              </w:rPr>
            </w:pPr>
            <w:r>
              <w:rPr>
                <w:rFonts w:asciiTheme="minorHAnsi" w:eastAsiaTheme="minorEastAsia" w:hAnsiTheme="minorHAnsi" w:cstheme="minorBidi" w:hint="eastAsia"/>
                <w:kern w:val="2"/>
                <w14:ligatures w14:val="standardContextual"/>
              </w:rPr>
              <w:t>否</w:t>
            </w:r>
          </w:p>
        </w:tc>
      </w:tr>
      <w:tr w:rsidR="005E000F" w14:paraId="0AC944AD" w14:textId="77777777">
        <w:trPr>
          <w:trHeight w:val="132"/>
        </w:trPr>
        <w:tc>
          <w:tcPr>
            <w:tcW w:w="959" w:type="dxa"/>
            <w:vMerge/>
            <w:vAlign w:val="center"/>
          </w:tcPr>
          <w:p w14:paraId="2D2F31BF" w14:textId="77777777" w:rsidR="005E000F" w:rsidRDefault="005E000F"/>
        </w:tc>
        <w:tc>
          <w:tcPr>
            <w:tcW w:w="1362" w:type="dxa"/>
            <w:vAlign w:val="center"/>
          </w:tcPr>
          <w:p w14:paraId="06942E2D" w14:textId="77777777" w:rsidR="005E000F" w:rsidRDefault="00000000">
            <w:r>
              <w:rPr>
                <w:rFonts w:hint="eastAsia"/>
              </w:rPr>
              <w:t>副总经理</w:t>
            </w:r>
          </w:p>
        </w:tc>
        <w:tc>
          <w:tcPr>
            <w:tcW w:w="946" w:type="dxa"/>
            <w:vMerge/>
            <w:vAlign w:val="center"/>
          </w:tcPr>
          <w:p w14:paraId="7DBC3A41" w14:textId="77777777" w:rsidR="005E000F" w:rsidRDefault="005E000F">
            <w:pPr>
              <w:jc w:val="center"/>
            </w:pPr>
          </w:p>
        </w:tc>
        <w:tc>
          <w:tcPr>
            <w:tcW w:w="946" w:type="dxa"/>
            <w:vMerge/>
            <w:vAlign w:val="center"/>
          </w:tcPr>
          <w:p w14:paraId="3913BB83" w14:textId="77777777" w:rsidR="005E000F" w:rsidRDefault="005E000F"/>
        </w:tc>
        <w:tc>
          <w:tcPr>
            <w:tcW w:w="1248" w:type="dxa"/>
            <w:vAlign w:val="center"/>
          </w:tcPr>
          <w:p w14:paraId="450D59A5" w14:textId="77777777" w:rsidR="005E000F" w:rsidRDefault="00000000">
            <w:r>
              <w:rPr>
                <w:rFonts w:hint="eastAsia"/>
              </w:rPr>
              <w:t>2019-4-23</w:t>
            </w:r>
          </w:p>
        </w:tc>
        <w:tc>
          <w:tcPr>
            <w:tcW w:w="1248" w:type="dxa"/>
            <w:vAlign w:val="center"/>
          </w:tcPr>
          <w:p w14:paraId="2C34EC9A" w14:textId="77777777" w:rsidR="005E000F" w:rsidRDefault="005E000F"/>
        </w:tc>
        <w:tc>
          <w:tcPr>
            <w:tcW w:w="1191" w:type="dxa"/>
            <w:vMerge/>
            <w:vAlign w:val="center"/>
          </w:tcPr>
          <w:p w14:paraId="0565ABBD" w14:textId="77777777" w:rsidR="005E000F" w:rsidRDefault="005E000F">
            <w:pPr>
              <w:jc w:val="right"/>
            </w:pPr>
          </w:p>
        </w:tc>
        <w:tc>
          <w:tcPr>
            <w:tcW w:w="1180" w:type="dxa"/>
            <w:vMerge/>
            <w:vAlign w:val="center"/>
          </w:tcPr>
          <w:p w14:paraId="287A1255" w14:textId="77777777" w:rsidR="005E000F" w:rsidRDefault="005E000F">
            <w:pPr>
              <w:jc w:val="right"/>
            </w:pPr>
          </w:p>
        </w:tc>
        <w:tc>
          <w:tcPr>
            <w:tcW w:w="1363" w:type="dxa"/>
            <w:vMerge/>
            <w:vAlign w:val="center"/>
          </w:tcPr>
          <w:p w14:paraId="6E1E01D8" w14:textId="77777777" w:rsidR="005E000F" w:rsidRDefault="005E000F">
            <w:pPr>
              <w:jc w:val="right"/>
            </w:pPr>
          </w:p>
        </w:tc>
        <w:tc>
          <w:tcPr>
            <w:tcW w:w="1217" w:type="dxa"/>
            <w:vMerge/>
            <w:vAlign w:val="center"/>
          </w:tcPr>
          <w:p w14:paraId="1039B9CD" w14:textId="77777777" w:rsidR="005E000F" w:rsidRDefault="005E000F"/>
        </w:tc>
        <w:tc>
          <w:tcPr>
            <w:tcW w:w="1211" w:type="dxa"/>
            <w:vMerge/>
            <w:vAlign w:val="center"/>
          </w:tcPr>
          <w:p w14:paraId="1199AA8B" w14:textId="77777777" w:rsidR="005E000F" w:rsidRDefault="005E000F">
            <w:pPr>
              <w:jc w:val="right"/>
            </w:pPr>
          </w:p>
        </w:tc>
        <w:tc>
          <w:tcPr>
            <w:tcW w:w="1211" w:type="dxa"/>
            <w:vMerge/>
            <w:vAlign w:val="center"/>
          </w:tcPr>
          <w:p w14:paraId="4F304B65" w14:textId="77777777" w:rsidR="005E000F" w:rsidRDefault="005E000F">
            <w:pPr>
              <w:rPr>
                <w:rFonts w:asciiTheme="minorHAnsi" w:eastAsiaTheme="minorEastAsia" w:hAnsiTheme="minorHAnsi" w:cstheme="minorBidi"/>
                <w:kern w:val="2"/>
                <w14:ligatures w14:val="standardContextual"/>
              </w:rPr>
            </w:pPr>
          </w:p>
        </w:tc>
      </w:tr>
      <w:tr w:rsidR="005E000F" w14:paraId="161FBB9F" w14:textId="77777777">
        <w:trPr>
          <w:trHeight w:val="132"/>
        </w:trPr>
        <w:tc>
          <w:tcPr>
            <w:tcW w:w="959" w:type="dxa"/>
            <w:vMerge/>
            <w:vAlign w:val="center"/>
          </w:tcPr>
          <w:p w14:paraId="665C524C" w14:textId="77777777" w:rsidR="005E000F" w:rsidRDefault="005E000F"/>
        </w:tc>
        <w:tc>
          <w:tcPr>
            <w:tcW w:w="1362" w:type="dxa"/>
            <w:vAlign w:val="center"/>
          </w:tcPr>
          <w:p w14:paraId="7ECE2950" w14:textId="77777777" w:rsidR="005E000F" w:rsidRDefault="00000000">
            <w:r>
              <w:rPr>
                <w:rFonts w:hint="eastAsia"/>
              </w:rPr>
              <w:t>董事会秘书</w:t>
            </w:r>
          </w:p>
        </w:tc>
        <w:tc>
          <w:tcPr>
            <w:tcW w:w="946" w:type="dxa"/>
            <w:vMerge/>
            <w:vAlign w:val="center"/>
          </w:tcPr>
          <w:p w14:paraId="4613DDFE" w14:textId="77777777" w:rsidR="005E000F" w:rsidRDefault="005E000F">
            <w:pPr>
              <w:jc w:val="center"/>
            </w:pPr>
          </w:p>
        </w:tc>
        <w:tc>
          <w:tcPr>
            <w:tcW w:w="946" w:type="dxa"/>
            <w:vMerge/>
            <w:vAlign w:val="center"/>
          </w:tcPr>
          <w:p w14:paraId="033843E7" w14:textId="77777777" w:rsidR="005E000F" w:rsidRDefault="005E000F"/>
        </w:tc>
        <w:tc>
          <w:tcPr>
            <w:tcW w:w="1248" w:type="dxa"/>
            <w:vAlign w:val="center"/>
          </w:tcPr>
          <w:p w14:paraId="2091943E" w14:textId="77777777" w:rsidR="005E000F" w:rsidRDefault="00000000">
            <w:r>
              <w:rPr>
                <w:rFonts w:hint="eastAsia"/>
              </w:rPr>
              <w:t>2019-4-23</w:t>
            </w:r>
          </w:p>
        </w:tc>
        <w:tc>
          <w:tcPr>
            <w:tcW w:w="1248" w:type="dxa"/>
            <w:vAlign w:val="center"/>
          </w:tcPr>
          <w:p w14:paraId="0BF0BF28" w14:textId="77777777" w:rsidR="005E000F" w:rsidRDefault="005E000F"/>
        </w:tc>
        <w:tc>
          <w:tcPr>
            <w:tcW w:w="1191" w:type="dxa"/>
            <w:vMerge/>
            <w:vAlign w:val="center"/>
          </w:tcPr>
          <w:p w14:paraId="2DE22797" w14:textId="77777777" w:rsidR="005E000F" w:rsidRDefault="005E000F">
            <w:pPr>
              <w:jc w:val="right"/>
            </w:pPr>
          </w:p>
        </w:tc>
        <w:tc>
          <w:tcPr>
            <w:tcW w:w="1180" w:type="dxa"/>
            <w:vMerge/>
            <w:vAlign w:val="center"/>
          </w:tcPr>
          <w:p w14:paraId="58159F53" w14:textId="77777777" w:rsidR="005E000F" w:rsidRDefault="005E000F">
            <w:pPr>
              <w:jc w:val="right"/>
            </w:pPr>
          </w:p>
        </w:tc>
        <w:tc>
          <w:tcPr>
            <w:tcW w:w="1363" w:type="dxa"/>
            <w:vMerge/>
            <w:vAlign w:val="center"/>
          </w:tcPr>
          <w:p w14:paraId="508E1A54" w14:textId="77777777" w:rsidR="005E000F" w:rsidRDefault="005E000F">
            <w:pPr>
              <w:jc w:val="right"/>
            </w:pPr>
          </w:p>
        </w:tc>
        <w:tc>
          <w:tcPr>
            <w:tcW w:w="1217" w:type="dxa"/>
            <w:vMerge/>
            <w:vAlign w:val="center"/>
          </w:tcPr>
          <w:p w14:paraId="7694E6EC" w14:textId="77777777" w:rsidR="005E000F" w:rsidRDefault="005E000F"/>
        </w:tc>
        <w:tc>
          <w:tcPr>
            <w:tcW w:w="1211" w:type="dxa"/>
            <w:vMerge/>
            <w:vAlign w:val="center"/>
          </w:tcPr>
          <w:p w14:paraId="496BE6D7" w14:textId="77777777" w:rsidR="005E000F" w:rsidRDefault="005E000F">
            <w:pPr>
              <w:jc w:val="right"/>
            </w:pPr>
          </w:p>
        </w:tc>
        <w:tc>
          <w:tcPr>
            <w:tcW w:w="1211" w:type="dxa"/>
            <w:vMerge/>
            <w:vAlign w:val="center"/>
          </w:tcPr>
          <w:p w14:paraId="4B83B0BA" w14:textId="77777777" w:rsidR="005E000F" w:rsidRDefault="005E000F">
            <w:pPr>
              <w:rPr>
                <w:rFonts w:asciiTheme="minorHAnsi" w:eastAsiaTheme="minorEastAsia" w:hAnsiTheme="minorHAnsi" w:cstheme="minorBidi"/>
                <w:kern w:val="2"/>
                <w14:ligatures w14:val="standardContextual"/>
              </w:rPr>
            </w:pPr>
          </w:p>
        </w:tc>
      </w:tr>
      <w:tr w:rsidR="005E000F" w14:paraId="20FE3AC6" w14:textId="77777777">
        <w:trPr>
          <w:trHeight w:val="132"/>
        </w:trPr>
        <w:tc>
          <w:tcPr>
            <w:tcW w:w="959" w:type="dxa"/>
            <w:vAlign w:val="center"/>
          </w:tcPr>
          <w:p w14:paraId="5A6D7364" w14:textId="77777777" w:rsidR="005E000F" w:rsidRDefault="00000000">
            <w:r>
              <w:rPr>
                <w:rFonts w:hint="eastAsia"/>
              </w:rPr>
              <w:t>杨文胜</w:t>
            </w:r>
          </w:p>
        </w:tc>
        <w:tc>
          <w:tcPr>
            <w:tcW w:w="1362" w:type="dxa"/>
            <w:vAlign w:val="center"/>
          </w:tcPr>
          <w:p w14:paraId="33F098BF" w14:textId="77777777" w:rsidR="005E000F" w:rsidRDefault="00000000">
            <w:r>
              <w:rPr>
                <w:rFonts w:hint="eastAsia"/>
              </w:rPr>
              <w:t>董事</w:t>
            </w:r>
          </w:p>
        </w:tc>
        <w:tc>
          <w:tcPr>
            <w:tcW w:w="946" w:type="dxa"/>
            <w:vAlign w:val="center"/>
          </w:tcPr>
          <w:p w14:paraId="3020B3ED" w14:textId="77777777" w:rsidR="005E000F" w:rsidRDefault="00000000">
            <w:pPr>
              <w:jc w:val="center"/>
            </w:pPr>
            <w:r>
              <w:t>男</w:t>
            </w:r>
          </w:p>
        </w:tc>
        <w:tc>
          <w:tcPr>
            <w:tcW w:w="946" w:type="dxa"/>
            <w:vAlign w:val="center"/>
          </w:tcPr>
          <w:p w14:paraId="71A34B15" w14:textId="77777777" w:rsidR="005E000F" w:rsidRDefault="00000000">
            <w:r>
              <w:t>5</w:t>
            </w:r>
            <w:r>
              <w:rPr>
                <w:rFonts w:hint="eastAsia"/>
              </w:rPr>
              <w:t>6</w:t>
            </w:r>
          </w:p>
        </w:tc>
        <w:tc>
          <w:tcPr>
            <w:tcW w:w="1248" w:type="dxa"/>
            <w:vAlign w:val="center"/>
          </w:tcPr>
          <w:p w14:paraId="2084697B" w14:textId="77777777" w:rsidR="005E000F" w:rsidRDefault="00000000">
            <w:r>
              <w:t>2023-5-19</w:t>
            </w:r>
          </w:p>
        </w:tc>
        <w:tc>
          <w:tcPr>
            <w:tcW w:w="1248" w:type="dxa"/>
            <w:vAlign w:val="center"/>
          </w:tcPr>
          <w:p w14:paraId="12CF491C" w14:textId="77777777" w:rsidR="005E000F" w:rsidRDefault="00000000">
            <w:r>
              <w:t>2026-5-18</w:t>
            </w:r>
          </w:p>
        </w:tc>
        <w:tc>
          <w:tcPr>
            <w:tcW w:w="1191" w:type="dxa"/>
            <w:vAlign w:val="center"/>
          </w:tcPr>
          <w:p w14:paraId="35347E34" w14:textId="77777777" w:rsidR="005E000F" w:rsidRDefault="00000000">
            <w:pPr>
              <w:jc w:val="right"/>
            </w:pPr>
            <w:r>
              <w:t>0</w:t>
            </w:r>
          </w:p>
        </w:tc>
        <w:tc>
          <w:tcPr>
            <w:tcW w:w="1180" w:type="dxa"/>
            <w:vAlign w:val="center"/>
          </w:tcPr>
          <w:p w14:paraId="39DA7239" w14:textId="77777777" w:rsidR="005E000F" w:rsidRDefault="00000000">
            <w:pPr>
              <w:jc w:val="right"/>
            </w:pPr>
            <w:r>
              <w:t>0</w:t>
            </w:r>
          </w:p>
        </w:tc>
        <w:tc>
          <w:tcPr>
            <w:tcW w:w="1363" w:type="dxa"/>
            <w:vAlign w:val="center"/>
          </w:tcPr>
          <w:p w14:paraId="0C5CCCAD" w14:textId="77777777" w:rsidR="005E000F" w:rsidRDefault="00000000">
            <w:pPr>
              <w:jc w:val="right"/>
            </w:pPr>
            <w:r>
              <w:t>0</w:t>
            </w:r>
          </w:p>
        </w:tc>
        <w:tc>
          <w:tcPr>
            <w:tcW w:w="1217" w:type="dxa"/>
            <w:vAlign w:val="center"/>
          </w:tcPr>
          <w:p w14:paraId="5F24C5C3" w14:textId="77777777" w:rsidR="005E000F" w:rsidRDefault="005E000F"/>
        </w:tc>
        <w:tc>
          <w:tcPr>
            <w:tcW w:w="1211" w:type="dxa"/>
            <w:vAlign w:val="center"/>
          </w:tcPr>
          <w:p w14:paraId="20C3BD88" w14:textId="77777777" w:rsidR="005E000F" w:rsidRDefault="00000000">
            <w:pPr>
              <w:jc w:val="right"/>
            </w:pPr>
            <w:r>
              <w:t>0</w:t>
            </w:r>
          </w:p>
        </w:tc>
        <w:tc>
          <w:tcPr>
            <w:tcW w:w="1211" w:type="dxa"/>
            <w:vAlign w:val="center"/>
          </w:tcPr>
          <w:p w14:paraId="104ACF45" w14:textId="77777777" w:rsidR="005E000F" w:rsidRDefault="00000000">
            <w:pPr>
              <w:rPr>
                <w:rFonts w:asciiTheme="minorHAnsi" w:eastAsiaTheme="minorEastAsia" w:hAnsiTheme="minorHAnsi" w:cstheme="minorBidi"/>
                <w:kern w:val="2"/>
                <w14:ligatures w14:val="standardContextual"/>
              </w:rPr>
            </w:pPr>
            <w:r>
              <w:t>否</w:t>
            </w:r>
          </w:p>
        </w:tc>
      </w:tr>
      <w:tr w:rsidR="005E000F" w14:paraId="3C7F820C" w14:textId="77777777">
        <w:trPr>
          <w:trHeight w:val="132"/>
        </w:trPr>
        <w:tc>
          <w:tcPr>
            <w:tcW w:w="959" w:type="dxa"/>
            <w:vAlign w:val="center"/>
          </w:tcPr>
          <w:p w14:paraId="542173F4" w14:textId="77777777" w:rsidR="005E000F" w:rsidRDefault="00000000">
            <w:proofErr w:type="gramStart"/>
            <w:r>
              <w:t>陈鹏君</w:t>
            </w:r>
            <w:proofErr w:type="gramEnd"/>
          </w:p>
        </w:tc>
        <w:tc>
          <w:tcPr>
            <w:tcW w:w="1362" w:type="dxa"/>
            <w:vAlign w:val="center"/>
          </w:tcPr>
          <w:p w14:paraId="226A300F" w14:textId="77777777" w:rsidR="005E000F" w:rsidRDefault="00000000">
            <w:r>
              <w:t>董事</w:t>
            </w:r>
          </w:p>
        </w:tc>
        <w:tc>
          <w:tcPr>
            <w:tcW w:w="946" w:type="dxa"/>
            <w:vAlign w:val="center"/>
          </w:tcPr>
          <w:p w14:paraId="5EC26FD0" w14:textId="77777777" w:rsidR="005E000F" w:rsidRDefault="00000000">
            <w:pPr>
              <w:jc w:val="center"/>
            </w:pPr>
            <w:r>
              <w:t>男</w:t>
            </w:r>
          </w:p>
        </w:tc>
        <w:tc>
          <w:tcPr>
            <w:tcW w:w="946" w:type="dxa"/>
            <w:vAlign w:val="center"/>
          </w:tcPr>
          <w:p w14:paraId="64485986" w14:textId="77777777" w:rsidR="005E000F" w:rsidRDefault="00000000">
            <w:r>
              <w:t>5</w:t>
            </w:r>
            <w:r>
              <w:rPr>
                <w:rFonts w:hint="eastAsia"/>
              </w:rPr>
              <w:t>4</w:t>
            </w:r>
          </w:p>
        </w:tc>
        <w:tc>
          <w:tcPr>
            <w:tcW w:w="1248" w:type="dxa"/>
            <w:vAlign w:val="center"/>
          </w:tcPr>
          <w:p w14:paraId="469F5726" w14:textId="77777777" w:rsidR="005E000F" w:rsidRDefault="00000000">
            <w:r>
              <w:t>2024-8-28</w:t>
            </w:r>
          </w:p>
        </w:tc>
        <w:tc>
          <w:tcPr>
            <w:tcW w:w="1248" w:type="dxa"/>
            <w:vAlign w:val="center"/>
          </w:tcPr>
          <w:p w14:paraId="69DF351A" w14:textId="77777777" w:rsidR="005E000F" w:rsidRDefault="00000000">
            <w:r>
              <w:t>2026-5-18</w:t>
            </w:r>
          </w:p>
        </w:tc>
        <w:tc>
          <w:tcPr>
            <w:tcW w:w="1191" w:type="dxa"/>
            <w:vAlign w:val="center"/>
          </w:tcPr>
          <w:p w14:paraId="330520A8" w14:textId="77777777" w:rsidR="005E000F" w:rsidRDefault="00000000">
            <w:pPr>
              <w:jc w:val="right"/>
            </w:pPr>
            <w:r>
              <w:t>0</w:t>
            </w:r>
          </w:p>
        </w:tc>
        <w:tc>
          <w:tcPr>
            <w:tcW w:w="1180" w:type="dxa"/>
            <w:vAlign w:val="center"/>
          </w:tcPr>
          <w:p w14:paraId="66C28A52" w14:textId="77777777" w:rsidR="005E000F" w:rsidRDefault="00000000">
            <w:pPr>
              <w:jc w:val="right"/>
            </w:pPr>
            <w:r>
              <w:t>0</w:t>
            </w:r>
          </w:p>
        </w:tc>
        <w:tc>
          <w:tcPr>
            <w:tcW w:w="1363" w:type="dxa"/>
            <w:vAlign w:val="center"/>
          </w:tcPr>
          <w:p w14:paraId="50415BF5" w14:textId="77777777" w:rsidR="005E000F" w:rsidRDefault="00000000">
            <w:pPr>
              <w:jc w:val="right"/>
            </w:pPr>
            <w:r>
              <w:t>0</w:t>
            </w:r>
          </w:p>
        </w:tc>
        <w:tc>
          <w:tcPr>
            <w:tcW w:w="1217" w:type="dxa"/>
            <w:vAlign w:val="center"/>
          </w:tcPr>
          <w:p w14:paraId="76719C9E" w14:textId="77777777" w:rsidR="005E000F" w:rsidRDefault="005E000F"/>
        </w:tc>
        <w:tc>
          <w:tcPr>
            <w:tcW w:w="1211" w:type="dxa"/>
            <w:vAlign w:val="center"/>
          </w:tcPr>
          <w:p w14:paraId="7F9258B3" w14:textId="77777777" w:rsidR="005E000F" w:rsidRDefault="00000000">
            <w:pPr>
              <w:jc w:val="right"/>
            </w:pPr>
            <w:r>
              <w:t>0</w:t>
            </w:r>
          </w:p>
        </w:tc>
        <w:tc>
          <w:tcPr>
            <w:tcW w:w="1211" w:type="dxa"/>
            <w:vAlign w:val="center"/>
          </w:tcPr>
          <w:p w14:paraId="2C61BC3F" w14:textId="77777777" w:rsidR="005E000F" w:rsidRDefault="00000000">
            <w:pPr>
              <w:rPr>
                <w:rFonts w:asciiTheme="minorHAnsi" w:eastAsiaTheme="minorEastAsia" w:hAnsiTheme="minorHAnsi" w:cstheme="minorBidi"/>
                <w:kern w:val="2"/>
                <w14:ligatures w14:val="standardContextual"/>
              </w:rPr>
            </w:pPr>
            <w:r>
              <w:t>否</w:t>
            </w:r>
          </w:p>
        </w:tc>
      </w:tr>
      <w:tr w:rsidR="005E000F" w14:paraId="17A1714E" w14:textId="77777777">
        <w:trPr>
          <w:trHeight w:val="132"/>
        </w:trPr>
        <w:tc>
          <w:tcPr>
            <w:tcW w:w="959" w:type="dxa"/>
            <w:vAlign w:val="center"/>
          </w:tcPr>
          <w:p w14:paraId="02ACD2F1" w14:textId="77777777" w:rsidR="005E000F" w:rsidRDefault="00000000">
            <w:r>
              <w:t>郝生跃</w:t>
            </w:r>
          </w:p>
        </w:tc>
        <w:tc>
          <w:tcPr>
            <w:tcW w:w="1362" w:type="dxa"/>
            <w:vAlign w:val="center"/>
          </w:tcPr>
          <w:p w14:paraId="3B250D17" w14:textId="77777777" w:rsidR="005E000F" w:rsidRDefault="00000000">
            <w:r>
              <w:t>独立董事</w:t>
            </w:r>
          </w:p>
        </w:tc>
        <w:tc>
          <w:tcPr>
            <w:tcW w:w="946" w:type="dxa"/>
            <w:vAlign w:val="center"/>
          </w:tcPr>
          <w:p w14:paraId="17740546" w14:textId="77777777" w:rsidR="005E000F" w:rsidRDefault="00000000">
            <w:pPr>
              <w:jc w:val="center"/>
            </w:pPr>
            <w:r>
              <w:t>男</w:t>
            </w:r>
          </w:p>
        </w:tc>
        <w:tc>
          <w:tcPr>
            <w:tcW w:w="946" w:type="dxa"/>
            <w:vAlign w:val="center"/>
          </w:tcPr>
          <w:p w14:paraId="58FB17B5" w14:textId="77777777" w:rsidR="005E000F" w:rsidRDefault="00000000">
            <w:r>
              <w:t>5</w:t>
            </w:r>
            <w:r>
              <w:rPr>
                <w:rFonts w:hint="eastAsia"/>
              </w:rPr>
              <w:t>8</w:t>
            </w:r>
          </w:p>
        </w:tc>
        <w:tc>
          <w:tcPr>
            <w:tcW w:w="1248" w:type="dxa"/>
            <w:vAlign w:val="center"/>
          </w:tcPr>
          <w:p w14:paraId="33C96D52" w14:textId="77777777" w:rsidR="005E000F" w:rsidRDefault="00000000">
            <w:r>
              <w:t>2023-5-19</w:t>
            </w:r>
          </w:p>
        </w:tc>
        <w:tc>
          <w:tcPr>
            <w:tcW w:w="1248" w:type="dxa"/>
            <w:vAlign w:val="center"/>
          </w:tcPr>
          <w:p w14:paraId="5173B236" w14:textId="77777777" w:rsidR="005E000F" w:rsidRDefault="00000000">
            <w:r>
              <w:t>2026-5-18</w:t>
            </w:r>
          </w:p>
        </w:tc>
        <w:tc>
          <w:tcPr>
            <w:tcW w:w="1191" w:type="dxa"/>
            <w:vAlign w:val="center"/>
          </w:tcPr>
          <w:p w14:paraId="5E88B023" w14:textId="77777777" w:rsidR="005E000F" w:rsidRDefault="00000000">
            <w:pPr>
              <w:jc w:val="right"/>
            </w:pPr>
            <w:r>
              <w:t>0</w:t>
            </w:r>
          </w:p>
        </w:tc>
        <w:tc>
          <w:tcPr>
            <w:tcW w:w="1180" w:type="dxa"/>
            <w:vAlign w:val="center"/>
          </w:tcPr>
          <w:p w14:paraId="3CDA057B" w14:textId="77777777" w:rsidR="005E000F" w:rsidRDefault="00000000">
            <w:pPr>
              <w:jc w:val="right"/>
            </w:pPr>
            <w:r>
              <w:t>0</w:t>
            </w:r>
          </w:p>
        </w:tc>
        <w:tc>
          <w:tcPr>
            <w:tcW w:w="1363" w:type="dxa"/>
            <w:vAlign w:val="center"/>
          </w:tcPr>
          <w:p w14:paraId="13112690" w14:textId="77777777" w:rsidR="005E000F" w:rsidRDefault="00000000">
            <w:pPr>
              <w:jc w:val="right"/>
            </w:pPr>
            <w:r>
              <w:t>0</w:t>
            </w:r>
          </w:p>
        </w:tc>
        <w:tc>
          <w:tcPr>
            <w:tcW w:w="1217" w:type="dxa"/>
            <w:vAlign w:val="center"/>
          </w:tcPr>
          <w:p w14:paraId="140124DA" w14:textId="77777777" w:rsidR="005E000F" w:rsidRDefault="005E000F"/>
        </w:tc>
        <w:tc>
          <w:tcPr>
            <w:tcW w:w="1211" w:type="dxa"/>
            <w:vAlign w:val="center"/>
          </w:tcPr>
          <w:p w14:paraId="0AEF7E10" w14:textId="77777777" w:rsidR="005E000F" w:rsidRDefault="00000000">
            <w:pPr>
              <w:jc w:val="right"/>
            </w:pPr>
            <w:r>
              <w:t>10.00</w:t>
            </w:r>
          </w:p>
        </w:tc>
        <w:tc>
          <w:tcPr>
            <w:tcW w:w="1211" w:type="dxa"/>
            <w:vAlign w:val="center"/>
          </w:tcPr>
          <w:p w14:paraId="20C3EE80" w14:textId="77777777" w:rsidR="005E000F" w:rsidRDefault="00000000">
            <w:pPr>
              <w:rPr>
                <w:rFonts w:asciiTheme="minorHAnsi" w:eastAsiaTheme="minorEastAsia" w:hAnsiTheme="minorHAnsi" w:cstheme="minorBidi"/>
                <w:kern w:val="2"/>
                <w14:ligatures w14:val="standardContextual"/>
              </w:rPr>
            </w:pPr>
            <w:r>
              <w:t>否</w:t>
            </w:r>
          </w:p>
        </w:tc>
      </w:tr>
      <w:tr w:rsidR="005E000F" w14:paraId="232707BD" w14:textId="77777777">
        <w:trPr>
          <w:trHeight w:val="132"/>
        </w:trPr>
        <w:tc>
          <w:tcPr>
            <w:tcW w:w="959" w:type="dxa"/>
            <w:vAlign w:val="center"/>
          </w:tcPr>
          <w:p w14:paraId="278477C8" w14:textId="77777777" w:rsidR="005E000F" w:rsidRDefault="00000000">
            <w:r>
              <w:t>许光建</w:t>
            </w:r>
          </w:p>
        </w:tc>
        <w:tc>
          <w:tcPr>
            <w:tcW w:w="1362" w:type="dxa"/>
            <w:vAlign w:val="center"/>
          </w:tcPr>
          <w:p w14:paraId="1FF40136" w14:textId="77777777" w:rsidR="005E000F" w:rsidRDefault="00000000">
            <w:r>
              <w:t>独立董事</w:t>
            </w:r>
          </w:p>
        </w:tc>
        <w:tc>
          <w:tcPr>
            <w:tcW w:w="946" w:type="dxa"/>
            <w:vAlign w:val="center"/>
          </w:tcPr>
          <w:p w14:paraId="6EDF2804" w14:textId="77777777" w:rsidR="005E000F" w:rsidRDefault="00000000">
            <w:pPr>
              <w:jc w:val="center"/>
            </w:pPr>
            <w:r>
              <w:t>男</w:t>
            </w:r>
          </w:p>
        </w:tc>
        <w:tc>
          <w:tcPr>
            <w:tcW w:w="946" w:type="dxa"/>
            <w:vAlign w:val="center"/>
          </w:tcPr>
          <w:p w14:paraId="020F1286" w14:textId="77777777" w:rsidR="005E000F" w:rsidRDefault="00000000">
            <w:r>
              <w:t>6</w:t>
            </w:r>
            <w:r>
              <w:rPr>
                <w:rFonts w:hint="eastAsia"/>
              </w:rPr>
              <w:t>7</w:t>
            </w:r>
          </w:p>
        </w:tc>
        <w:tc>
          <w:tcPr>
            <w:tcW w:w="1248" w:type="dxa"/>
            <w:vAlign w:val="center"/>
          </w:tcPr>
          <w:p w14:paraId="174655E8" w14:textId="77777777" w:rsidR="005E000F" w:rsidRDefault="00000000">
            <w:r>
              <w:t>2023-5-19</w:t>
            </w:r>
          </w:p>
        </w:tc>
        <w:tc>
          <w:tcPr>
            <w:tcW w:w="1248" w:type="dxa"/>
            <w:vAlign w:val="center"/>
          </w:tcPr>
          <w:p w14:paraId="005A53BE" w14:textId="77777777" w:rsidR="005E000F" w:rsidRDefault="00000000">
            <w:r>
              <w:t>2026-5-18</w:t>
            </w:r>
          </w:p>
        </w:tc>
        <w:tc>
          <w:tcPr>
            <w:tcW w:w="1191" w:type="dxa"/>
            <w:vAlign w:val="center"/>
          </w:tcPr>
          <w:p w14:paraId="244B5BD1" w14:textId="77777777" w:rsidR="005E000F" w:rsidRDefault="00000000">
            <w:pPr>
              <w:jc w:val="right"/>
            </w:pPr>
            <w:r>
              <w:t>0</w:t>
            </w:r>
          </w:p>
        </w:tc>
        <w:tc>
          <w:tcPr>
            <w:tcW w:w="1180" w:type="dxa"/>
            <w:vAlign w:val="center"/>
          </w:tcPr>
          <w:p w14:paraId="7A0E38D1" w14:textId="77777777" w:rsidR="005E000F" w:rsidRDefault="00000000">
            <w:pPr>
              <w:jc w:val="right"/>
            </w:pPr>
            <w:r>
              <w:t>0</w:t>
            </w:r>
          </w:p>
        </w:tc>
        <w:tc>
          <w:tcPr>
            <w:tcW w:w="1363" w:type="dxa"/>
            <w:vAlign w:val="center"/>
          </w:tcPr>
          <w:p w14:paraId="0EA694A1" w14:textId="77777777" w:rsidR="005E000F" w:rsidRDefault="00000000">
            <w:pPr>
              <w:jc w:val="right"/>
            </w:pPr>
            <w:r>
              <w:t>0</w:t>
            </w:r>
          </w:p>
        </w:tc>
        <w:tc>
          <w:tcPr>
            <w:tcW w:w="1217" w:type="dxa"/>
            <w:vAlign w:val="center"/>
          </w:tcPr>
          <w:p w14:paraId="27A08AC7" w14:textId="77777777" w:rsidR="005E000F" w:rsidRDefault="005E000F"/>
        </w:tc>
        <w:tc>
          <w:tcPr>
            <w:tcW w:w="1211" w:type="dxa"/>
            <w:vAlign w:val="center"/>
          </w:tcPr>
          <w:p w14:paraId="54F8C72A" w14:textId="77777777" w:rsidR="005E000F" w:rsidRDefault="00000000">
            <w:pPr>
              <w:jc w:val="right"/>
            </w:pPr>
            <w:r>
              <w:t>10.00</w:t>
            </w:r>
          </w:p>
        </w:tc>
        <w:tc>
          <w:tcPr>
            <w:tcW w:w="1211" w:type="dxa"/>
            <w:vAlign w:val="center"/>
          </w:tcPr>
          <w:p w14:paraId="66FD6C0C" w14:textId="77777777" w:rsidR="005E000F" w:rsidRDefault="00000000">
            <w:pPr>
              <w:rPr>
                <w:rFonts w:asciiTheme="minorHAnsi" w:eastAsiaTheme="minorEastAsia" w:hAnsiTheme="minorHAnsi" w:cstheme="minorBidi"/>
                <w:kern w:val="2"/>
                <w14:ligatures w14:val="standardContextual"/>
              </w:rPr>
            </w:pPr>
            <w:r>
              <w:t>否</w:t>
            </w:r>
          </w:p>
        </w:tc>
      </w:tr>
      <w:tr w:rsidR="005E000F" w14:paraId="582B73EF" w14:textId="77777777">
        <w:trPr>
          <w:trHeight w:val="132"/>
        </w:trPr>
        <w:tc>
          <w:tcPr>
            <w:tcW w:w="959" w:type="dxa"/>
            <w:vAlign w:val="center"/>
          </w:tcPr>
          <w:p w14:paraId="2B60AF69" w14:textId="77777777" w:rsidR="005E000F" w:rsidRDefault="00000000">
            <w:r>
              <w:t>樊燕萍</w:t>
            </w:r>
          </w:p>
        </w:tc>
        <w:tc>
          <w:tcPr>
            <w:tcW w:w="1362" w:type="dxa"/>
            <w:vAlign w:val="center"/>
          </w:tcPr>
          <w:p w14:paraId="37360924" w14:textId="77777777" w:rsidR="005E000F" w:rsidRDefault="00000000">
            <w:r>
              <w:t>独立董事</w:t>
            </w:r>
          </w:p>
        </w:tc>
        <w:tc>
          <w:tcPr>
            <w:tcW w:w="946" w:type="dxa"/>
            <w:vAlign w:val="center"/>
          </w:tcPr>
          <w:p w14:paraId="2F09742F" w14:textId="77777777" w:rsidR="005E000F" w:rsidRDefault="00000000">
            <w:pPr>
              <w:jc w:val="center"/>
            </w:pPr>
            <w:r>
              <w:t>女</w:t>
            </w:r>
          </w:p>
        </w:tc>
        <w:tc>
          <w:tcPr>
            <w:tcW w:w="946" w:type="dxa"/>
            <w:vAlign w:val="center"/>
          </w:tcPr>
          <w:p w14:paraId="18BAFB34" w14:textId="77777777" w:rsidR="005E000F" w:rsidRDefault="00000000">
            <w:r>
              <w:t>5</w:t>
            </w:r>
            <w:r>
              <w:rPr>
                <w:rFonts w:hint="eastAsia"/>
              </w:rPr>
              <w:t>4</w:t>
            </w:r>
          </w:p>
        </w:tc>
        <w:tc>
          <w:tcPr>
            <w:tcW w:w="1248" w:type="dxa"/>
            <w:vAlign w:val="center"/>
          </w:tcPr>
          <w:p w14:paraId="5843C258" w14:textId="77777777" w:rsidR="005E000F" w:rsidRDefault="00000000">
            <w:r>
              <w:t>2023-5-19</w:t>
            </w:r>
          </w:p>
        </w:tc>
        <w:tc>
          <w:tcPr>
            <w:tcW w:w="1248" w:type="dxa"/>
            <w:vAlign w:val="center"/>
          </w:tcPr>
          <w:p w14:paraId="3A839C9C" w14:textId="77777777" w:rsidR="005E000F" w:rsidRDefault="00000000">
            <w:r>
              <w:t>2026-5-18</w:t>
            </w:r>
          </w:p>
        </w:tc>
        <w:tc>
          <w:tcPr>
            <w:tcW w:w="1191" w:type="dxa"/>
            <w:vAlign w:val="center"/>
          </w:tcPr>
          <w:p w14:paraId="661BE310" w14:textId="77777777" w:rsidR="005E000F" w:rsidRDefault="00000000">
            <w:pPr>
              <w:jc w:val="right"/>
            </w:pPr>
            <w:r>
              <w:t>0</w:t>
            </w:r>
          </w:p>
        </w:tc>
        <w:tc>
          <w:tcPr>
            <w:tcW w:w="1180" w:type="dxa"/>
            <w:vAlign w:val="center"/>
          </w:tcPr>
          <w:p w14:paraId="56E2C736" w14:textId="77777777" w:rsidR="005E000F" w:rsidRDefault="00000000">
            <w:pPr>
              <w:jc w:val="right"/>
            </w:pPr>
            <w:r>
              <w:t>0</w:t>
            </w:r>
          </w:p>
        </w:tc>
        <w:tc>
          <w:tcPr>
            <w:tcW w:w="1363" w:type="dxa"/>
            <w:vAlign w:val="center"/>
          </w:tcPr>
          <w:p w14:paraId="550139C2" w14:textId="77777777" w:rsidR="005E000F" w:rsidRDefault="00000000">
            <w:pPr>
              <w:jc w:val="right"/>
            </w:pPr>
            <w:r>
              <w:t>0</w:t>
            </w:r>
          </w:p>
        </w:tc>
        <w:tc>
          <w:tcPr>
            <w:tcW w:w="1217" w:type="dxa"/>
            <w:vAlign w:val="center"/>
          </w:tcPr>
          <w:p w14:paraId="2B11AAD5" w14:textId="77777777" w:rsidR="005E000F" w:rsidRDefault="005E000F"/>
        </w:tc>
        <w:tc>
          <w:tcPr>
            <w:tcW w:w="1211" w:type="dxa"/>
            <w:vAlign w:val="center"/>
          </w:tcPr>
          <w:p w14:paraId="5FD381AC" w14:textId="77777777" w:rsidR="005E000F" w:rsidRDefault="00000000">
            <w:pPr>
              <w:jc w:val="right"/>
            </w:pPr>
            <w:r>
              <w:t>10.00</w:t>
            </w:r>
          </w:p>
        </w:tc>
        <w:tc>
          <w:tcPr>
            <w:tcW w:w="1211" w:type="dxa"/>
            <w:vAlign w:val="center"/>
          </w:tcPr>
          <w:p w14:paraId="50228A96" w14:textId="77777777" w:rsidR="005E000F" w:rsidRDefault="00000000">
            <w:pPr>
              <w:rPr>
                <w:rFonts w:asciiTheme="minorHAnsi" w:eastAsiaTheme="minorEastAsia" w:hAnsiTheme="minorHAnsi" w:cstheme="minorBidi"/>
                <w:kern w:val="2"/>
                <w14:ligatures w14:val="standardContextual"/>
              </w:rPr>
            </w:pPr>
            <w:r>
              <w:t>否</w:t>
            </w:r>
          </w:p>
        </w:tc>
      </w:tr>
      <w:tr w:rsidR="005E000F" w14:paraId="4B6451AF" w14:textId="77777777">
        <w:trPr>
          <w:trHeight w:val="132"/>
        </w:trPr>
        <w:tc>
          <w:tcPr>
            <w:tcW w:w="959" w:type="dxa"/>
            <w:vAlign w:val="center"/>
          </w:tcPr>
          <w:p w14:paraId="160B70B1" w14:textId="77777777" w:rsidR="005E000F" w:rsidRDefault="00000000">
            <w:r>
              <w:t>朱玉杰</w:t>
            </w:r>
          </w:p>
        </w:tc>
        <w:tc>
          <w:tcPr>
            <w:tcW w:w="1362" w:type="dxa"/>
            <w:vAlign w:val="center"/>
          </w:tcPr>
          <w:p w14:paraId="4FEEFA1C" w14:textId="77777777" w:rsidR="005E000F" w:rsidRDefault="00000000">
            <w:r>
              <w:t>独立董事</w:t>
            </w:r>
          </w:p>
        </w:tc>
        <w:tc>
          <w:tcPr>
            <w:tcW w:w="946" w:type="dxa"/>
            <w:vAlign w:val="center"/>
          </w:tcPr>
          <w:p w14:paraId="1DFDECC6" w14:textId="77777777" w:rsidR="005E000F" w:rsidRDefault="00000000">
            <w:pPr>
              <w:jc w:val="center"/>
            </w:pPr>
            <w:r>
              <w:t>男</w:t>
            </w:r>
          </w:p>
        </w:tc>
        <w:tc>
          <w:tcPr>
            <w:tcW w:w="946" w:type="dxa"/>
            <w:vAlign w:val="center"/>
          </w:tcPr>
          <w:p w14:paraId="31713149" w14:textId="77777777" w:rsidR="005E000F" w:rsidRDefault="00000000">
            <w:r>
              <w:t>5</w:t>
            </w:r>
            <w:r>
              <w:rPr>
                <w:rFonts w:hint="eastAsia"/>
              </w:rPr>
              <w:t>6</w:t>
            </w:r>
          </w:p>
        </w:tc>
        <w:tc>
          <w:tcPr>
            <w:tcW w:w="1248" w:type="dxa"/>
            <w:vAlign w:val="center"/>
          </w:tcPr>
          <w:p w14:paraId="5E7C90B0" w14:textId="77777777" w:rsidR="005E000F" w:rsidRDefault="00000000">
            <w:r>
              <w:t>2023-5-19</w:t>
            </w:r>
          </w:p>
        </w:tc>
        <w:tc>
          <w:tcPr>
            <w:tcW w:w="1248" w:type="dxa"/>
            <w:vAlign w:val="center"/>
          </w:tcPr>
          <w:p w14:paraId="6BC7A19A" w14:textId="77777777" w:rsidR="005E000F" w:rsidRDefault="00000000">
            <w:r>
              <w:t>2026-5-18</w:t>
            </w:r>
          </w:p>
        </w:tc>
        <w:tc>
          <w:tcPr>
            <w:tcW w:w="1191" w:type="dxa"/>
            <w:vAlign w:val="center"/>
          </w:tcPr>
          <w:p w14:paraId="648F7FD6" w14:textId="77777777" w:rsidR="005E000F" w:rsidRDefault="00000000">
            <w:pPr>
              <w:jc w:val="right"/>
            </w:pPr>
            <w:r>
              <w:t>0</w:t>
            </w:r>
          </w:p>
        </w:tc>
        <w:tc>
          <w:tcPr>
            <w:tcW w:w="1180" w:type="dxa"/>
            <w:vAlign w:val="center"/>
          </w:tcPr>
          <w:p w14:paraId="70282E59" w14:textId="77777777" w:rsidR="005E000F" w:rsidRDefault="00000000">
            <w:pPr>
              <w:jc w:val="right"/>
            </w:pPr>
            <w:r>
              <w:t>0</w:t>
            </w:r>
          </w:p>
        </w:tc>
        <w:tc>
          <w:tcPr>
            <w:tcW w:w="1363" w:type="dxa"/>
            <w:vAlign w:val="center"/>
          </w:tcPr>
          <w:p w14:paraId="508704F7" w14:textId="77777777" w:rsidR="005E000F" w:rsidRDefault="00000000">
            <w:pPr>
              <w:jc w:val="right"/>
            </w:pPr>
            <w:r>
              <w:t>0</w:t>
            </w:r>
          </w:p>
        </w:tc>
        <w:tc>
          <w:tcPr>
            <w:tcW w:w="1217" w:type="dxa"/>
            <w:vAlign w:val="center"/>
          </w:tcPr>
          <w:p w14:paraId="66D662A7" w14:textId="77777777" w:rsidR="005E000F" w:rsidRDefault="005E000F"/>
        </w:tc>
        <w:tc>
          <w:tcPr>
            <w:tcW w:w="1211" w:type="dxa"/>
            <w:vAlign w:val="center"/>
          </w:tcPr>
          <w:p w14:paraId="49938239" w14:textId="77777777" w:rsidR="005E000F" w:rsidRDefault="00000000">
            <w:pPr>
              <w:jc w:val="right"/>
            </w:pPr>
            <w:r>
              <w:t>10.00</w:t>
            </w:r>
          </w:p>
        </w:tc>
        <w:tc>
          <w:tcPr>
            <w:tcW w:w="1211" w:type="dxa"/>
            <w:vAlign w:val="center"/>
          </w:tcPr>
          <w:p w14:paraId="3AF7B194" w14:textId="77777777" w:rsidR="005E000F" w:rsidRDefault="00000000">
            <w:pPr>
              <w:rPr>
                <w:rFonts w:asciiTheme="minorHAnsi" w:eastAsiaTheme="minorEastAsia" w:hAnsiTheme="minorHAnsi" w:cstheme="minorBidi"/>
                <w:kern w:val="2"/>
                <w14:ligatures w14:val="standardContextual"/>
              </w:rPr>
            </w:pPr>
            <w:r>
              <w:t>否</w:t>
            </w:r>
          </w:p>
        </w:tc>
      </w:tr>
      <w:tr w:rsidR="005E000F" w14:paraId="00122651" w14:textId="77777777">
        <w:trPr>
          <w:trHeight w:val="132"/>
        </w:trPr>
        <w:tc>
          <w:tcPr>
            <w:tcW w:w="959" w:type="dxa"/>
            <w:vAlign w:val="center"/>
          </w:tcPr>
          <w:p w14:paraId="629E7506" w14:textId="77777777" w:rsidR="005E000F" w:rsidRDefault="00000000">
            <w:r>
              <w:t>刘斌</w:t>
            </w:r>
          </w:p>
        </w:tc>
        <w:tc>
          <w:tcPr>
            <w:tcW w:w="1362" w:type="dxa"/>
            <w:vAlign w:val="center"/>
          </w:tcPr>
          <w:p w14:paraId="73FC47D6" w14:textId="77777777" w:rsidR="005E000F" w:rsidRDefault="00000000">
            <w:r>
              <w:t>副总经理</w:t>
            </w:r>
          </w:p>
        </w:tc>
        <w:tc>
          <w:tcPr>
            <w:tcW w:w="946" w:type="dxa"/>
            <w:vAlign w:val="center"/>
          </w:tcPr>
          <w:p w14:paraId="305CC2B9" w14:textId="77777777" w:rsidR="005E000F" w:rsidRDefault="00000000">
            <w:pPr>
              <w:jc w:val="center"/>
            </w:pPr>
            <w:r>
              <w:t>男</w:t>
            </w:r>
          </w:p>
        </w:tc>
        <w:tc>
          <w:tcPr>
            <w:tcW w:w="946" w:type="dxa"/>
            <w:vAlign w:val="center"/>
          </w:tcPr>
          <w:p w14:paraId="71A6EEEC" w14:textId="77777777" w:rsidR="005E000F" w:rsidRDefault="00000000">
            <w:r>
              <w:t>5</w:t>
            </w:r>
            <w:r>
              <w:rPr>
                <w:rFonts w:hint="eastAsia"/>
              </w:rPr>
              <w:t>7</w:t>
            </w:r>
          </w:p>
        </w:tc>
        <w:tc>
          <w:tcPr>
            <w:tcW w:w="1248" w:type="dxa"/>
            <w:vAlign w:val="center"/>
          </w:tcPr>
          <w:p w14:paraId="2C28CB06" w14:textId="77777777" w:rsidR="005E000F" w:rsidRDefault="00000000">
            <w:r>
              <w:t>2023-6-21</w:t>
            </w:r>
          </w:p>
        </w:tc>
        <w:tc>
          <w:tcPr>
            <w:tcW w:w="1248" w:type="dxa"/>
            <w:vAlign w:val="center"/>
          </w:tcPr>
          <w:p w14:paraId="34015F40" w14:textId="77777777" w:rsidR="005E000F" w:rsidRDefault="005E000F"/>
        </w:tc>
        <w:tc>
          <w:tcPr>
            <w:tcW w:w="1191" w:type="dxa"/>
            <w:vAlign w:val="center"/>
          </w:tcPr>
          <w:p w14:paraId="33AFEB53" w14:textId="77777777" w:rsidR="005E000F" w:rsidRDefault="00000000">
            <w:pPr>
              <w:jc w:val="right"/>
            </w:pPr>
            <w:r>
              <w:t>0</w:t>
            </w:r>
          </w:p>
        </w:tc>
        <w:tc>
          <w:tcPr>
            <w:tcW w:w="1180" w:type="dxa"/>
            <w:vAlign w:val="center"/>
          </w:tcPr>
          <w:p w14:paraId="7EE39728" w14:textId="77777777" w:rsidR="005E000F" w:rsidRDefault="00000000">
            <w:pPr>
              <w:jc w:val="right"/>
            </w:pPr>
            <w:r>
              <w:t>0</w:t>
            </w:r>
          </w:p>
        </w:tc>
        <w:tc>
          <w:tcPr>
            <w:tcW w:w="1363" w:type="dxa"/>
            <w:vAlign w:val="center"/>
          </w:tcPr>
          <w:p w14:paraId="7C2AC8B9" w14:textId="77777777" w:rsidR="005E000F" w:rsidRDefault="00000000">
            <w:pPr>
              <w:jc w:val="right"/>
            </w:pPr>
            <w:r>
              <w:t>0</w:t>
            </w:r>
          </w:p>
        </w:tc>
        <w:tc>
          <w:tcPr>
            <w:tcW w:w="1217" w:type="dxa"/>
            <w:vAlign w:val="center"/>
          </w:tcPr>
          <w:p w14:paraId="10635054" w14:textId="77777777" w:rsidR="005E000F" w:rsidRDefault="005E000F"/>
        </w:tc>
        <w:tc>
          <w:tcPr>
            <w:tcW w:w="1211" w:type="dxa"/>
            <w:vAlign w:val="center"/>
          </w:tcPr>
          <w:p w14:paraId="4D0D6861" w14:textId="77777777" w:rsidR="005E000F" w:rsidRDefault="00000000">
            <w:pPr>
              <w:jc w:val="right"/>
            </w:pPr>
            <w:r>
              <w:rPr>
                <w:rFonts w:hint="eastAsia"/>
              </w:rPr>
              <w:t>41.69</w:t>
            </w:r>
          </w:p>
        </w:tc>
        <w:tc>
          <w:tcPr>
            <w:tcW w:w="1211" w:type="dxa"/>
            <w:vAlign w:val="center"/>
          </w:tcPr>
          <w:p w14:paraId="166A1E1E" w14:textId="77777777" w:rsidR="005E000F" w:rsidRDefault="00000000">
            <w:pPr>
              <w:rPr>
                <w:rFonts w:asciiTheme="minorHAnsi" w:eastAsiaTheme="minorEastAsia" w:hAnsiTheme="minorHAnsi" w:cstheme="minorBidi"/>
                <w:kern w:val="2"/>
                <w14:ligatures w14:val="standardContextual"/>
              </w:rPr>
            </w:pPr>
            <w:r>
              <w:t>否</w:t>
            </w:r>
          </w:p>
        </w:tc>
      </w:tr>
      <w:tr w:rsidR="005E000F" w14:paraId="2BBF8E3A" w14:textId="77777777">
        <w:trPr>
          <w:trHeight w:val="132"/>
        </w:trPr>
        <w:tc>
          <w:tcPr>
            <w:tcW w:w="959" w:type="dxa"/>
            <w:vAlign w:val="center"/>
          </w:tcPr>
          <w:p w14:paraId="5354947E" w14:textId="77777777" w:rsidR="005E000F" w:rsidRDefault="00000000">
            <w:r>
              <w:t>裴丽群</w:t>
            </w:r>
          </w:p>
        </w:tc>
        <w:tc>
          <w:tcPr>
            <w:tcW w:w="1362" w:type="dxa"/>
            <w:vAlign w:val="center"/>
          </w:tcPr>
          <w:p w14:paraId="6ED17FE9" w14:textId="77777777" w:rsidR="005E000F" w:rsidRDefault="00000000">
            <w:r>
              <w:t>总会计师</w:t>
            </w:r>
          </w:p>
        </w:tc>
        <w:tc>
          <w:tcPr>
            <w:tcW w:w="946" w:type="dxa"/>
            <w:vAlign w:val="center"/>
          </w:tcPr>
          <w:p w14:paraId="762508D3" w14:textId="77777777" w:rsidR="005E000F" w:rsidRDefault="00000000">
            <w:pPr>
              <w:jc w:val="center"/>
            </w:pPr>
            <w:r>
              <w:t>女</w:t>
            </w:r>
          </w:p>
        </w:tc>
        <w:tc>
          <w:tcPr>
            <w:tcW w:w="946" w:type="dxa"/>
            <w:vAlign w:val="center"/>
          </w:tcPr>
          <w:p w14:paraId="05D0782C" w14:textId="77777777" w:rsidR="005E000F" w:rsidRDefault="00000000">
            <w:r>
              <w:t>5</w:t>
            </w:r>
            <w:r>
              <w:rPr>
                <w:rFonts w:hint="eastAsia"/>
              </w:rPr>
              <w:t>1</w:t>
            </w:r>
          </w:p>
        </w:tc>
        <w:tc>
          <w:tcPr>
            <w:tcW w:w="1248" w:type="dxa"/>
            <w:vAlign w:val="center"/>
          </w:tcPr>
          <w:p w14:paraId="299EEAA8" w14:textId="77777777" w:rsidR="005E000F" w:rsidRDefault="00000000">
            <w:r>
              <w:t>2024-12-11</w:t>
            </w:r>
          </w:p>
        </w:tc>
        <w:tc>
          <w:tcPr>
            <w:tcW w:w="1248" w:type="dxa"/>
            <w:vAlign w:val="center"/>
          </w:tcPr>
          <w:p w14:paraId="509CEB20" w14:textId="77777777" w:rsidR="005E000F" w:rsidRDefault="005E000F"/>
        </w:tc>
        <w:tc>
          <w:tcPr>
            <w:tcW w:w="1191" w:type="dxa"/>
            <w:vAlign w:val="center"/>
          </w:tcPr>
          <w:p w14:paraId="2EF4F807" w14:textId="77777777" w:rsidR="005E000F" w:rsidRDefault="00000000">
            <w:pPr>
              <w:jc w:val="right"/>
            </w:pPr>
            <w:r>
              <w:t>0</w:t>
            </w:r>
          </w:p>
        </w:tc>
        <w:tc>
          <w:tcPr>
            <w:tcW w:w="1180" w:type="dxa"/>
            <w:vAlign w:val="center"/>
          </w:tcPr>
          <w:p w14:paraId="06DBF060" w14:textId="77777777" w:rsidR="005E000F" w:rsidRDefault="00000000">
            <w:pPr>
              <w:jc w:val="right"/>
            </w:pPr>
            <w:r>
              <w:t>0</w:t>
            </w:r>
          </w:p>
        </w:tc>
        <w:tc>
          <w:tcPr>
            <w:tcW w:w="1363" w:type="dxa"/>
            <w:vAlign w:val="center"/>
          </w:tcPr>
          <w:p w14:paraId="3EA13F75" w14:textId="77777777" w:rsidR="005E000F" w:rsidRDefault="00000000">
            <w:pPr>
              <w:jc w:val="right"/>
            </w:pPr>
            <w:r>
              <w:t>0</w:t>
            </w:r>
          </w:p>
        </w:tc>
        <w:tc>
          <w:tcPr>
            <w:tcW w:w="1217" w:type="dxa"/>
            <w:vAlign w:val="center"/>
          </w:tcPr>
          <w:p w14:paraId="4B0C4844" w14:textId="77777777" w:rsidR="005E000F" w:rsidRDefault="005E000F"/>
        </w:tc>
        <w:tc>
          <w:tcPr>
            <w:tcW w:w="1211" w:type="dxa"/>
            <w:vAlign w:val="center"/>
          </w:tcPr>
          <w:p w14:paraId="313D2D99" w14:textId="77777777" w:rsidR="005E000F" w:rsidRDefault="00000000">
            <w:pPr>
              <w:jc w:val="right"/>
            </w:pPr>
            <w:r>
              <w:rPr>
                <w:rFonts w:hint="eastAsia"/>
              </w:rPr>
              <w:t>41.86</w:t>
            </w:r>
          </w:p>
        </w:tc>
        <w:tc>
          <w:tcPr>
            <w:tcW w:w="1211" w:type="dxa"/>
            <w:vAlign w:val="center"/>
          </w:tcPr>
          <w:p w14:paraId="130B18B5" w14:textId="77777777" w:rsidR="005E000F" w:rsidRDefault="00000000">
            <w:pPr>
              <w:rPr>
                <w:rFonts w:asciiTheme="minorHAnsi" w:eastAsiaTheme="minorEastAsia" w:hAnsiTheme="minorHAnsi" w:cstheme="minorBidi"/>
                <w:kern w:val="2"/>
                <w14:ligatures w14:val="standardContextual"/>
              </w:rPr>
            </w:pPr>
            <w:r>
              <w:t>否</w:t>
            </w:r>
          </w:p>
        </w:tc>
      </w:tr>
      <w:tr w:rsidR="005E000F" w14:paraId="038DD3BA" w14:textId="77777777">
        <w:trPr>
          <w:trHeight w:val="132"/>
        </w:trPr>
        <w:tc>
          <w:tcPr>
            <w:tcW w:w="959" w:type="dxa"/>
            <w:vAlign w:val="center"/>
          </w:tcPr>
          <w:p w14:paraId="6EC022EE" w14:textId="77777777" w:rsidR="005E000F" w:rsidRDefault="00000000">
            <w:r>
              <w:rPr>
                <w:rFonts w:hint="eastAsia"/>
              </w:rPr>
              <w:t>胡静</w:t>
            </w:r>
          </w:p>
        </w:tc>
        <w:tc>
          <w:tcPr>
            <w:tcW w:w="1362" w:type="dxa"/>
            <w:vAlign w:val="center"/>
          </w:tcPr>
          <w:p w14:paraId="5C08F8D3" w14:textId="77777777" w:rsidR="005E000F" w:rsidRDefault="00000000">
            <w:r>
              <w:rPr>
                <w:rFonts w:hint="eastAsia"/>
              </w:rPr>
              <w:t>副总经理</w:t>
            </w:r>
          </w:p>
        </w:tc>
        <w:tc>
          <w:tcPr>
            <w:tcW w:w="946" w:type="dxa"/>
            <w:vAlign w:val="center"/>
          </w:tcPr>
          <w:p w14:paraId="5F3E93F0" w14:textId="77777777" w:rsidR="005E000F" w:rsidRDefault="00000000">
            <w:pPr>
              <w:jc w:val="center"/>
            </w:pPr>
            <w:r>
              <w:rPr>
                <w:rFonts w:hint="eastAsia"/>
              </w:rPr>
              <w:t>女</w:t>
            </w:r>
          </w:p>
        </w:tc>
        <w:tc>
          <w:tcPr>
            <w:tcW w:w="946" w:type="dxa"/>
            <w:vAlign w:val="center"/>
          </w:tcPr>
          <w:p w14:paraId="7EBE3D7E" w14:textId="77777777" w:rsidR="005E000F" w:rsidRDefault="00000000">
            <w:r>
              <w:rPr>
                <w:rFonts w:hint="eastAsia"/>
              </w:rPr>
              <w:t>51</w:t>
            </w:r>
          </w:p>
        </w:tc>
        <w:tc>
          <w:tcPr>
            <w:tcW w:w="1248" w:type="dxa"/>
            <w:vAlign w:val="center"/>
          </w:tcPr>
          <w:p w14:paraId="634A0CC6" w14:textId="77777777" w:rsidR="005E000F" w:rsidRDefault="00000000">
            <w:r>
              <w:rPr>
                <w:rFonts w:hint="eastAsia"/>
              </w:rPr>
              <w:t>2025-12-16</w:t>
            </w:r>
          </w:p>
        </w:tc>
        <w:tc>
          <w:tcPr>
            <w:tcW w:w="1248" w:type="dxa"/>
            <w:vAlign w:val="center"/>
          </w:tcPr>
          <w:p w14:paraId="2AD8E777" w14:textId="77777777" w:rsidR="005E000F" w:rsidRDefault="005E000F"/>
        </w:tc>
        <w:tc>
          <w:tcPr>
            <w:tcW w:w="1191" w:type="dxa"/>
            <w:vAlign w:val="center"/>
          </w:tcPr>
          <w:p w14:paraId="5E348A68" w14:textId="77777777" w:rsidR="005E000F" w:rsidRDefault="00000000">
            <w:pPr>
              <w:jc w:val="right"/>
            </w:pPr>
            <w:r>
              <w:rPr>
                <w:rFonts w:hint="eastAsia"/>
              </w:rPr>
              <w:t>0</w:t>
            </w:r>
          </w:p>
        </w:tc>
        <w:tc>
          <w:tcPr>
            <w:tcW w:w="1180" w:type="dxa"/>
            <w:vAlign w:val="center"/>
          </w:tcPr>
          <w:p w14:paraId="20AEB13E" w14:textId="77777777" w:rsidR="005E000F" w:rsidRDefault="00000000">
            <w:pPr>
              <w:jc w:val="right"/>
            </w:pPr>
            <w:r>
              <w:rPr>
                <w:rFonts w:hint="eastAsia"/>
              </w:rPr>
              <w:t>0</w:t>
            </w:r>
          </w:p>
        </w:tc>
        <w:tc>
          <w:tcPr>
            <w:tcW w:w="1363" w:type="dxa"/>
            <w:vAlign w:val="center"/>
          </w:tcPr>
          <w:p w14:paraId="68D25BDB" w14:textId="77777777" w:rsidR="005E000F" w:rsidRDefault="00000000">
            <w:pPr>
              <w:jc w:val="right"/>
            </w:pPr>
            <w:r>
              <w:rPr>
                <w:rFonts w:hint="eastAsia"/>
              </w:rPr>
              <w:t>0</w:t>
            </w:r>
          </w:p>
        </w:tc>
        <w:tc>
          <w:tcPr>
            <w:tcW w:w="1217" w:type="dxa"/>
            <w:vAlign w:val="center"/>
          </w:tcPr>
          <w:p w14:paraId="691AD392" w14:textId="77777777" w:rsidR="005E000F" w:rsidRDefault="005E000F"/>
        </w:tc>
        <w:tc>
          <w:tcPr>
            <w:tcW w:w="1211" w:type="dxa"/>
            <w:vAlign w:val="center"/>
          </w:tcPr>
          <w:p w14:paraId="45338146" w14:textId="77777777" w:rsidR="005E000F" w:rsidRDefault="00000000">
            <w:pPr>
              <w:jc w:val="right"/>
            </w:pPr>
            <w:r>
              <w:rPr>
                <w:rFonts w:hint="eastAsia"/>
              </w:rPr>
              <w:t>3.87</w:t>
            </w:r>
          </w:p>
        </w:tc>
        <w:tc>
          <w:tcPr>
            <w:tcW w:w="1211" w:type="dxa"/>
            <w:vAlign w:val="center"/>
          </w:tcPr>
          <w:p w14:paraId="63F33039" w14:textId="77777777" w:rsidR="005E000F" w:rsidRDefault="00000000">
            <w:pPr>
              <w:rPr>
                <w:rFonts w:asciiTheme="minorHAnsi" w:eastAsiaTheme="minorEastAsia" w:hAnsiTheme="minorHAnsi" w:cstheme="minorBidi"/>
                <w:kern w:val="2"/>
                <w14:ligatures w14:val="standardContextual"/>
              </w:rPr>
            </w:pPr>
            <w:r>
              <w:rPr>
                <w:rFonts w:asciiTheme="minorHAnsi" w:eastAsiaTheme="minorEastAsia" w:hAnsiTheme="minorHAnsi" w:cstheme="minorBidi" w:hint="eastAsia"/>
                <w:kern w:val="2"/>
                <w14:ligatures w14:val="standardContextual"/>
              </w:rPr>
              <w:t>否</w:t>
            </w:r>
          </w:p>
        </w:tc>
      </w:tr>
      <w:tr w:rsidR="005E000F" w14:paraId="1E367805" w14:textId="77777777">
        <w:trPr>
          <w:trHeight w:val="132"/>
        </w:trPr>
        <w:tc>
          <w:tcPr>
            <w:tcW w:w="959" w:type="dxa"/>
            <w:vAlign w:val="center"/>
          </w:tcPr>
          <w:p w14:paraId="730031F3" w14:textId="77777777" w:rsidR="005E000F" w:rsidRDefault="00000000">
            <w:r>
              <w:rPr>
                <w:rFonts w:hint="eastAsia"/>
              </w:rPr>
              <w:t>王道阔</w:t>
            </w:r>
          </w:p>
        </w:tc>
        <w:tc>
          <w:tcPr>
            <w:tcW w:w="1362" w:type="dxa"/>
            <w:vAlign w:val="center"/>
          </w:tcPr>
          <w:p w14:paraId="69893DFF" w14:textId="77777777" w:rsidR="005E000F" w:rsidRDefault="00000000">
            <w:r>
              <w:rPr>
                <w:rFonts w:hint="eastAsia"/>
              </w:rPr>
              <w:t>前任副董事长</w:t>
            </w:r>
          </w:p>
        </w:tc>
        <w:tc>
          <w:tcPr>
            <w:tcW w:w="946" w:type="dxa"/>
            <w:vAlign w:val="center"/>
          </w:tcPr>
          <w:p w14:paraId="511C5041" w14:textId="77777777" w:rsidR="005E000F" w:rsidRDefault="00000000">
            <w:pPr>
              <w:jc w:val="center"/>
            </w:pPr>
            <w:r>
              <w:rPr>
                <w:rFonts w:hint="eastAsia"/>
              </w:rPr>
              <w:t>男</w:t>
            </w:r>
          </w:p>
        </w:tc>
        <w:tc>
          <w:tcPr>
            <w:tcW w:w="946" w:type="dxa"/>
            <w:vAlign w:val="center"/>
          </w:tcPr>
          <w:p w14:paraId="463FA7AD" w14:textId="77777777" w:rsidR="005E000F" w:rsidRDefault="00000000">
            <w:r>
              <w:rPr>
                <w:rFonts w:hint="eastAsia"/>
              </w:rPr>
              <w:t>50</w:t>
            </w:r>
          </w:p>
        </w:tc>
        <w:tc>
          <w:tcPr>
            <w:tcW w:w="1248" w:type="dxa"/>
            <w:vAlign w:val="center"/>
          </w:tcPr>
          <w:p w14:paraId="13107E6D" w14:textId="77777777" w:rsidR="005E000F" w:rsidRDefault="00000000">
            <w:r>
              <w:rPr>
                <w:rFonts w:hint="eastAsia"/>
              </w:rPr>
              <w:t>2023-5-19</w:t>
            </w:r>
          </w:p>
        </w:tc>
        <w:tc>
          <w:tcPr>
            <w:tcW w:w="1248" w:type="dxa"/>
            <w:vAlign w:val="center"/>
          </w:tcPr>
          <w:p w14:paraId="7ACEE89F" w14:textId="77777777" w:rsidR="005E000F" w:rsidRDefault="00000000">
            <w:r>
              <w:rPr>
                <w:rFonts w:hint="eastAsia"/>
              </w:rPr>
              <w:t>2025-10-14</w:t>
            </w:r>
          </w:p>
        </w:tc>
        <w:tc>
          <w:tcPr>
            <w:tcW w:w="1191" w:type="dxa"/>
            <w:vAlign w:val="center"/>
          </w:tcPr>
          <w:p w14:paraId="6EBF1179" w14:textId="77777777" w:rsidR="005E000F" w:rsidRDefault="00000000">
            <w:pPr>
              <w:jc w:val="right"/>
            </w:pPr>
            <w:r>
              <w:rPr>
                <w:rFonts w:hint="eastAsia"/>
              </w:rPr>
              <w:t>0</w:t>
            </w:r>
          </w:p>
        </w:tc>
        <w:tc>
          <w:tcPr>
            <w:tcW w:w="1180" w:type="dxa"/>
            <w:vAlign w:val="center"/>
          </w:tcPr>
          <w:p w14:paraId="330E3695" w14:textId="77777777" w:rsidR="005E000F" w:rsidRDefault="00000000">
            <w:pPr>
              <w:jc w:val="right"/>
            </w:pPr>
            <w:r>
              <w:rPr>
                <w:rFonts w:hint="eastAsia"/>
              </w:rPr>
              <w:t>0</w:t>
            </w:r>
          </w:p>
        </w:tc>
        <w:tc>
          <w:tcPr>
            <w:tcW w:w="1363" w:type="dxa"/>
            <w:vAlign w:val="center"/>
          </w:tcPr>
          <w:p w14:paraId="4350D40F" w14:textId="77777777" w:rsidR="005E000F" w:rsidRDefault="00000000">
            <w:pPr>
              <w:jc w:val="right"/>
            </w:pPr>
            <w:r>
              <w:rPr>
                <w:rFonts w:hint="eastAsia"/>
              </w:rPr>
              <w:t>0</w:t>
            </w:r>
          </w:p>
        </w:tc>
        <w:tc>
          <w:tcPr>
            <w:tcW w:w="1217" w:type="dxa"/>
            <w:vAlign w:val="center"/>
          </w:tcPr>
          <w:p w14:paraId="0EE42CCD" w14:textId="77777777" w:rsidR="005E000F" w:rsidRDefault="005E000F"/>
        </w:tc>
        <w:tc>
          <w:tcPr>
            <w:tcW w:w="1211" w:type="dxa"/>
            <w:vAlign w:val="center"/>
          </w:tcPr>
          <w:p w14:paraId="629776C8" w14:textId="77777777" w:rsidR="005E000F" w:rsidRDefault="00000000">
            <w:pPr>
              <w:jc w:val="right"/>
            </w:pPr>
            <w:r>
              <w:rPr>
                <w:rFonts w:hint="eastAsia"/>
              </w:rPr>
              <w:t>0</w:t>
            </w:r>
          </w:p>
        </w:tc>
        <w:tc>
          <w:tcPr>
            <w:tcW w:w="1211" w:type="dxa"/>
            <w:vAlign w:val="center"/>
          </w:tcPr>
          <w:p w14:paraId="67B4CD57" w14:textId="77777777" w:rsidR="005E000F" w:rsidRDefault="00000000">
            <w:pPr>
              <w:rPr>
                <w:rFonts w:asciiTheme="minorHAnsi" w:eastAsiaTheme="minorEastAsia" w:hAnsiTheme="minorHAnsi" w:cstheme="minorBidi"/>
                <w:kern w:val="2"/>
                <w14:ligatures w14:val="standardContextual"/>
              </w:rPr>
            </w:pPr>
            <w:r>
              <w:rPr>
                <w:rFonts w:asciiTheme="minorHAnsi" w:eastAsiaTheme="minorEastAsia" w:hAnsiTheme="minorHAnsi" w:cstheme="minorBidi" w:hint="eastAsia"/>
                <w:kern w:val="2"/>
                <w14:ligatures w14:val="standardContextual"/>
              </w:rPr>
              <w:t>是</w:t>
            </w:r>
          </w:p>
        </w:tc>
      </w:tr>
      <w:tr w:rsidR="005E000F" w14:paraId="4F0EBA6F" w14:textId="77777777">
        <w:trPr>
          <w:trHeight w:val="132"/>
        </w:trPr>
        <w:tc>
          <w:tcPr>
            <w:tcW w:w="959" w:type="dxa"/>
            <w:vMerge w:val="restart"/>
            <w:vAlign w:val="center"/>
          </w:tcPr>
          <w:p w14:paraId="2AA7237F" w14:textId="77777777" w:rsidR="005E000F" w:rsidRDefault="00000000">
            <w:proofErr w:type="gramStart"/>
            <w:r>
              <w:rPr>
                <w:rFonts w:hint="eastAsia"/>
              </w:rPr>
              <w:lastRenderedPageBreak/>
              <w:t>韩洪臣</w:t>
            </w:r>
            <w:proofErr w:type="gramEnd"/>
          </w:p>
        </w:tc>
        <w:tc>
          <w:tcPr>
            <w:tcW w:w="1362" w:type="dxa"/>
            <w:vAlign w:val="center"/>
          </w:tcPr>
          <w:p w14:paraId="69098425" w14:textId="77777777" w:rsidR="005E000F" w:rsidRDefault="00000000">
            <w:r>
              <w:rPr>
                <w:rFonts w:hint="eastAsia"/>
              </w:rPr>
              <w:t>前任董事</w:t>
            </w:r>
          </w:p>
        </w:tc>
        <w:tc>
          <w:tcPr>
            <w:tcW w:w="946" w:type="dxa"/>
            <w:vMerge w:val="restart"/>
            <w:vAlign w:val="center"/>
          </w:tcPr>
          <w:p w14:paraId="2D1F6472" w14:textId="77777777" w:rsidR="005E000F" w:rsidRDefault="00000000">
            <w:pPr>
              <w:jc w:val="center"/>
            </w:pPr>
            <w:r>
              <w:rPr>
                <w:rFonts w:hint="eastAsia"/>
              </w:rPr>
              <w:t>男</w:t>
            </w:r>
          </w:p>
        </w:tc>
        <w:tc>
          <w:tcPr>
            <w:tcW w:w="946" w:type="dxa"/>
            <w:vMerge w:val="restart"/>
            <w:vAlign w:val="center"/>
          </w:tcPr>
          <w:p w14:paraId="285D3D8F" w14:textId="77777777" w:rsidR="005E000F" w:rsidRDefault="00000000">
            <w:r>
              <w:rPr>
                <w:rFonts w:hint="eastAsia"/>
              </w:rPr>
              <w:t>60</w:t>
            </w:r>
          </w:p>
        </w:tc>
        <w:tc>
          <w:tcPr>
            <w:tcW w:w="1248" w:type="dxa"/>
            <w:vAlign w:val="center"/>
          </w:tcPr>
          <w:p w14:paraId="1C0F701E" w14:textId="77777777" w:rsidR="005E000F" w:rsidRDefault="00000000">
            <w:r>
              <w:rPr>
                <w:rFonts w:hint="eastAsia"/>
              </w:rPr>
              <w:t>2023-5-19</w:t>
            </w:r>
          </w:p>
        </w:tc>
        <w:tc>
          <w:tcPr>
            <w:tcW w:w="1248" w:type="dxa"/>
            <w:vAlign w:val="center"/>
          </w:tcPr>
          <w:p w14:paraId="174CE839" w14:textId="77777777" w:rsidR="005E000F" w:rsidRDefault="00000000">
            <w:r>
              <w:rPr>
                <w:rFonts w:hint="eastAsia"/>
              </w:rPr>
              <w:t>2025-8-6</w:t>
            </w:r>
          </w:p>
        </w:tc>
        <w:tc>
          <w:tcPr>
            <w:tcW w:w="1191" w:type="dxa"/>
            <w:vMerge w:val="restart"/>
            <w:vAlign w:val="center"/>
          </w:tcPr>
          <w:p w14:paraId="7C758475" w14:textId="77777777" w:rsidR="005E000F" w:rsidRDefault="00000000">
            <w:pPr>
              <w:jc w:val="right"/>
            </w:pPr>
            <w:r>
              <w:rPr>
                <w:rFonts w:hint="eastAsia"/>
              </w:rPr>
              <w:t>0</w:t>
            </w:r>
          </w:p>
        </w:tc>
        <w:tc>
          <w:tcPr>
            <w:tcW w:w="1180" w:type="dxa"/>
            <w:vMerge w:val="restart"/>
            <w:vAlign w:val="center"/>
          </w:tcPr>
          <w:p w14:paraId="43676DB8" w14:textId="77777777" w:rsidR="005E000F" w:rsidRDefault="00000000">
            <w:pPr>
              <w:jc w:val="right"/>
            </w:pPr>
            <w:r>
              <w:rPr>
                <w:rFonts w:hint="eastAsia"/>
              </w:rPr>
              <w:t>0</w:t>
            </w:r>
          </w:p>
        </w:tc>
        <w:tc>
          <w:tcPr>
            <w:tcW w:w="1363" w:type="dxa"/>
            <w:vMerge w:val="restart"/>
            <w:vAlign w:val="center"/>
          </w:tcPr>
          <w:p w14:paraId="71E9175D" w14:textId="77777777" w:rsidR="005E000F" w:rsidRDefault="00000000">
            <w:pPr>
              <w:jc w:val="right"/>
            </w:pPr>
            <w:r>
              <w:rPr>
                <w:rFonts w:hint="eastAsia"/>
              </w:rPr>
              <w:t>0</w:t>
            </w:r>
          </w:p>
        </w:tc>
        <w:tc>
          <w:tcPr>
            <w:tcW w:w="1217" w:type="dxa"/>
            <w:vMerge w:val="restart"/>
            <w:vAlign w:val="center"/>
          </w:tcPr>
          <w:p w14:paraId="16323DBA" w14:textId="77777777" w:rsidR="005E000F" w:rsidRDefault="005E000F"/>
        </w:tc>
        <w:tc>
          <w:tcPr>
            <w:tcW w:w="1211" w:type="dxa"/>
            <w:vMerge w:val="restart"/>
            <w:vAlign w:val="center"/>
          </w:tcPr>
          <w:p w14:paraId="2076D4A0" w14:textId="77777777" w:rsidR="005E000F" w:rsidRDefault="00000000">
            <w:pPr>
              <w:jc w:val="right"/>
            </w:pPr>
            <w:r>
              <w:rPr>
                <w:rFonts w:hint="eastAsia"/>
              </w:rPr>
              <w:t>19.86</w:t>
            </w:r>
          </w:p>
        </w:tc>
        <w:tc>
          <w:tcPr>
            <w:tcW w:w="1211" w:type="dxa"/>
            <w:vMerge w:val="restart"/>
            <w:vAlign w:val="center"/>
          </w:tcPr>
          <w:p w14:paraId="09C7BF9E" w14:textId="77777777" w:rsidR="005E000F" w:rsidRDefault="00000000">
            <w:pPr>
              <w:rPr>
                <w:rFonts w:asciiTheme="minorHAnsi" w:eastAsiaTheme="minorEastAsia" w:hAnsiTheme="minorHAnsi" w:cstheme="minorBidi"/>
                <w:kern w:val="2"/>
                <w14:ligatures w14:val="standardContextual"/>
              </w:rPr>
            </w:pPr>
            <w:r>
              <w:rPr>
                <w:rFonts w:asciiTheme="minorHAnsi" w:eastAsiaTheme="minorEastAsia" w:hAnsiTheme="minorHAnsi" w:cstheme="minorBidi" w:hint="eastAsia"/>
                <w:kern w:val="2"/>
                <w14:ligatures w14:val="standardContextual"/>
              </w:rPr>
              <w:t>否</w:t>
            </w:r>
          </w:p>
        </w:tc>
      </w:tr>
      <w:tr w:rsidR="005E000F" w14:paraId="631ACA59" w14:textId="77777777">
        <w:trPr>
          <w:trHeight w:val="132"/>
        </w:trPr>
        <w:tc>
          <w:tcPr>
            <w:tcW w:w="959" w:type="dxa"/>
            <w:vMerge/>
            <w:vAlign w:val="center"/>
          </w:tcPr>
          <w:p w14:paraId="03130A59" w14:textId="77777777" w:rsidR="005E000F" w:rsidRDefault="005E000F"/>
        </w:tc>
        <w:tc>
          <w:tcPr>
            <w:tcW w:w="1362" w:type="dxa"/>
            <w:vAlign w:val="center"/>
          </w:tcPr>
          <w:p w14:paraId="0C809987" w14:textId="77777777" w:rsidR="005E000F" w:rsidRDefault="00000000">
            <w:r>
              <w:rPr>
                <w:rFonts w:hint="eastAsia"/>
              </w:rPr>
              <w:t>前任总经理</w:t>
            </w:r>
          </w:p>
        </w:tc>
        <w:tc>
          <w:tcPr>
            <w:tcW w:w="946" w:type="dxa"/>
            <w:vMerge/>
            <w:vAlign w:val="center"/>
          </w:tcPr>
          <w:p w14:paraId="3C8E956E" w14:textId="77777777" w:rsidR="005E000F" w:rsidRDefault="005E000F">
            <w:pPr>
              <w:jc w:val="center"/>
            </w:pPr>
          </w:p>
        </w:tc>
        <w:tc>
          <w:tcPr>
            <w:tcW w:w="946" w:type="dxa"/>
            <w:vMerge/>
            <w:vAlign w:val="center"/>
          </w:tcPr>
          <w:p w14:paraId="45076F13" w14:textId="77777777" w:rsidR="005E000F" w:rsidRDefault="005E000F"/>
        </w:tc>
        <w:tc>
          <w:tcPr>
            <w:tcW w:w="1248" w:type="dxa"/>
            <w:vAlign w:val="center"/>
          </w:tcPr>
          <w:p w14:paraId="493CF974" w14:textId="77777777" w:rsidR="005E000F" w:rsidRDefault="00000000">
            <w:r>
              <w:rPr>
                <w:rFonts w:hint="eastAsia"/>
              </w:rPr>
              <w:t>2020-4-27</w:t>
            </w:r>
          </w:p>
        </w:tc>
        <w:tc>
          <w:tcPr>
            <w:tcW w:w="1248" w:type="dxa"/>
            <w:vAlign w:val="center"/>
          </w:tcPr>
          <w:p w14:paraId="433AB0E8" w14:textId="77777777" w:rsidR="005E000F" w:rsidRDefault="00000000">
            <w:r>
              <w:rPr>
                <w:rFonts w:hint="eastAsia"/>
              </w:rPr>
              <w:t>2025-6-17</w:t>
            </w:r>
          </w:p>
        </w:tc>
        <w:tc>
          <w:tcPr>
            <w:tcW w:w="1191" w:type="dxa"/>
            <w:vMerge/>
            <w:vAlign w:val="center"/>
          </w:tcPr>
          <w:p w14:paraId="3DA17EFC" w14:textId="77777777" w:rsidR="005E000F" w:rsidRDefault="005E000F">
            <w:pPr>
              <w:jc w:val="right"/>
            </w:pPr>
          </w:p>
        </w:tc>
        <w:tc>
          <w:tcPr>
            <w:tcW w:w="1180" w:type="dxa"/>
            <w:vMerge/>
            <w:vAlign w:val="center"/>
          </w:tcPr>
          <w:p w14:paraId="7791670E" w14:textId="77777777" w:rsidR="005E000F" w:rsidRDefault="005E000F">
            <w:pPr>
              <w:jc w:val="right"/>
            </w:pPr>
          </w:p>
        </w:tc>
        <w:tc>
          <w:tcPr>
            <w:tcW w:w="1363" w:type="dxa"/>
            <w:vMerge/>
            <w:vAlign w:val="center"/>
          </w:tcPr>
          <w:p w14:paraId="202B784D" w14:textId="77777777" w:rsidR="005E000F" w:rsidRDefault="005E000F">
            <w:pPr>
              <w:jc w:val="right"/>
            </w:pPr>
          </w:p>
        </w:tc>
        <w:tc>
          <w:tcPr>
            <w:tcW w:w="1217" w:type="dxa"/>
            <w:vMerge/>
            <w:vAlign w:val="center"/>
          </w:tcPr>
          <w:p w14:paraId="3EB2F152" w14:textId="77777777" w:rsidR="005E000F" w:rsidRDefault="005E000F"/>
        </w:tc>
        <w:tc>
          <w:tcPr>
            <w:tcW w:w="1211" w:type="dxa"/>
            <w:vMerge/>
            <w:vAlign w:val="center"/>
          </w:tcPr>
          <w:p w14:paraId="71E0BE56" w14:textId="77777777" w:rsidR="005E000F" w:rsidRDefault="005E000F">
            <w:pPr>
              <w:jc w:val="right"/>
            </w:pPr>
          </w:p>
        </w:tc>
        <w:tc>
          <w:tcPr>
            <w:tcW w:w="1211" w:type="dxa"/>
            <w:vMerge/>
            <w:vAlign w:val="center"/>
          </w:tcPr>
          <w:p w14:paraId="55F2EA7E" w14:textId="77777777" w:rsidR="005E000F" w:rsidRDefault="005E000F">
            <w:pPr>
              <w:rPr>
                <w:rFonts w:asciiTheme="minorHAnsi" w:eastAsiaTheme="minorEastAsia" w:hAnsiTheme="minorHAnsi" w:cstheme="minorBidi"/>
                <w:kern w:val="2"/>
                <w14:ligatures w14:val="standardContextual"/>
              </w:rPr>
            </w:pPr>
          </w:p>
        </w:tc>
      </w:tr>
      <w:tr w:rsidR="005E000F" w14:paraId="130DA4C3" w14:textId="77777777">
        <w:trPr>
          <w:trHeight w:val="132"/>
        </w:trPr>
        <w:tc>
          <w:tcPr>
            <w:tcW w:w="959" w:type="dxa"/>
            <w:vAlign w:val="center"/>
          </w:tcPr>
          <w:p w14:paraId="15D1ABB9" w14:textId="77777777" w:rsidR="005E000F" w:rsidRDefault="00000000">
            <w:r>
              <w:rPr>
                <w:rFonts w:hint="eastAsia"/>
              </w:rPr>
              <w:t>齐志勇</w:t>
            </w:r>
          </w:p>
        </w:tc>
        <w:tc>
          <w:tcPr>
            <w:tcW w:w="1362" w:type="dxa"/>
            <w:vAlign w:val="center"/>
          </w:tcPr>
          <w:p w14:paraId="27B5A78F" w14:textId="77777777" w:rsidR="005E000F" w:rsidRDefault="00000000">
            <w:proofErr w:type="gramStart"/>
            <w:r>
              <w:rPr>
                <w:rFonts w:hint="eastAsia"/>
              </w:rPr>
              <w:t>前任职工</w:t>
            </w:r>
            <w:proofErr w:type="gramEnd"/>
            <w:r>
              <w:rPr>
                <w:rFonts w:hint="eastAsia"/>
              </w:rPr>
              <w:t>代表董事</w:t>
            </w:r>
          </w:p>
        </w:tc>
        <w:tc>
          <w:tcPr>
            <w:tcW w:w="946" w:type="dxa"/>
            <w:vAlign w:val="center"/>
          </w:tcPr>
          <w:p w14:paraId="7EE9DA22" w14:textId="77777777" w:rsidR="005E000F" w:rsidRDefault="00000000">
            <w:pPr>
              <w:jc w:val="center"/>
            </w:pPr>
            <w:r>
              <w:rPr>
                <w:rFonts w:hint="eastAsia"/>
              </w:rPr>
              <w:t>男</w:t>
            </w:r>
          </w:p>
        </w:tc>
        <w:tc>
          <w:tcPr>
            <w:tcW w:w="946" w:type="dxa"/>
            <w:vAlign w:val="center"/>
          </w:tcPr>
          <w:p w14:paraId="6C624B9A" w14:textId="77777777" w:rsidR="005E000F" w:rsidRDefault="00000000">
            <w:r>
              <w:rPr>
                <w:rFonts w:hint="eastAsia"/>
              </w:rPr>
              <w:t>60</w:t>
            </w:r>
          </w:p>
        </w:tc>
        <w:tc>
          <w:tcPr>
            <w:tcW w:w="1248" w:type="dxa"/>
            <w:vAlign w:val="center"/>
          </w:tcPr>
          <w:p w14:paraId="11FB3986" w14:textId="77777777" w:rsidR="005E000F" w:rsidRDefault="00000000">
            <w:r>
              <w:rPr>
                <w:rFonts w:hint="eastAsia"/>
              </w:rPr>
              <w:t>2023-5-16</w:t>
            </w:r>
          </w:p>
        </w:tc>
        <w:tc>
          <w:tcPr>
            <w:tcW w:w="1248" w:type="dxa"/>
            <w:vAlign w:val="center"/>
          </w:tcPr>
          <w:p w14:paraId="6DDA96C7" w14:textId="77777777" w:rsidR="005E000F" w:rsidRDefault="00000000">
            <w:r>
              <w:rPr>
                <w:rFonts w:hint="eastAsia"/>
              </w:rPr>
              <w:t>2025-12-29</w:t>
            </w:r>
          </w:p>
        </w:tc>
        <w:tc>
          <w:tcPr>
            <w:tcW w:w="1191" w:type="dxa"/>
            <w:vAlign w:val="center"/>
          </w:tcPr>
          <w:p w14:paraId="75D74CF8" w14:textId="77777777" w:rsidR="005E000F" w:rsidRDefault="00000000">
            <w:pPr>
              <w:jc w:val="right"/>
            </w:pPr>
            <w:r>
              <w:rPr>
                <w:rFonts w:hint="eastAsia"/>
              </w:rPr>
              <w:t>0</w:t>
            </w:r>
          </w:p>
        </w:tc>
        <w:tc>
          <w:tcPr>
            <w:tcW w:w="1180" w:type="dxa"/>
            <w:vAlign w:val="center"/>
          </w:tcPr>
          <w:p w14:paraId="5FB0CFE3" w14:textId="77777777" w:rsidR="005E000F" w:rsidRDefault="00000000">
            <w:pPr>
              <w:jc w:val="right"/>
            </w:pPr>
            <w:r>
              <w:rPr>
                <w:rFonts w:hint="eastAsia"/>
              </w:rPr>
              <w:t>0</w:t>
            </w:r>
          </w:p>
        </w:tc>
        <w:tc>
          <w:tcPr>
            <w:tcW w:w="1363" w:type="dxa"/>
            <w:vAlign w:val="center"/>
          </w:tcPr>
          <w:p w14:paraId="1D2412CE" w14:textId="77777777" w:rsidR="005E000F" w:rsidRDefault="00000000">
            <w:pPr>
              <w:jc w:val="right"/>
            </w:pPr>
            <w:r>
              <w:rPr>
                <w:rFonts w:hint="eastAsia"/>
              </w:rPr>
              <w:t>0</w:t>
            </w:r>
          </w:p>
        </w:tc>
        <w:tc>
          <w:tcPr>
            <w:tcW w:w="1217" w:type="dxa"/>
            <w:vAlign w:val="center"/>
          </w:tcPr>
          <w:p w14:paraId="0BF22C6D" w14:textId="77777777" w:rsidR="005E000F" w:rsidRDefault="005E000F"/>
        </w:tc>
        <w:tc>
          <w:tcPr>
            <w:tcW w:w="1211" w:type="dxa"/>
            <w:vAlign w:val="center"/>
          </w:tcPr>
          <w:p w14:paraId="649EFEED" w14:textId="77777777" w:rsidR="005E000F" w:rsidRDefault="00000000">
            <w:pPr>
              <w:jc w:val="right"/>
            </w:pPr>
            <w:r>
              <w:rPr>
                <w:rFonts w:hint="eastAsia"/>
              </w:rPr>
              <w:t>23.78</w:t>
            </w:r>
          </w:p>
        </w:tc>
        <w:tc>
          <w:tcPr>
            <w:tcW w:w="1211" w:type="dxa"/>
            <w:vAlign w:val="center"/>
          </w:tcPr>
          <w:p w14:paraId="42A6C62E" w14:textId="77777777" w:rsidR="005E000F" w:rsidRDefault="00000000">
            <w:pPr>
              <w:rPr>
                <w:rFonts w:asciiTheme="minorHAnsi" w:eastAsiaTheme="minorEastAsia" w:hAnsiTheme="minorHAnsi" w:cstheme="minorBidi"/>
                <w:kern w:val="2"/>
                <w14:ligatures w14:val="standardContextual"/>
              </w:rPr>
            </w:pPr>
            <w:r>
              <w:rPr>
                <w:rFonts w:asciiTheme="minorHAnsi" w:eastAsiaTheme="minorEastAsia" w:hAnsiTheme="minorHAnsi" w:cstheme="minorBidi" w:hint="eastAsia"/>
                <w:kern w:val="2"/>
                <w14:ligatures w14:val="standardContextual"/>
              </w:rPr>
              <w:t>否</w:t>
            </w:r>
          </w:p>
        </w:tc>
      </w:tr>
      <w:tr w:rsidR="005E000F" w14:paraId="2DAAAA87" w14:textId="77777777">
        <w:trPr>
          <w:trHeight w:val="165"/>
        </w:trPr>
        <w:tc>
          <w:tcPr>
            <w:tcW w:w="959" w:type="dxa"/>
            <w:tcBorders>
              <w:bottom w:val="single" w:sz="4" w:space="0" w:color="auto"/>
            </w:tcBorders>
            <w:vAlign w:val="center"/>
          </w:tcPr>
          <w:p w14:paraId="0D767C59" w14:textId="77777777" w:rsidR="005E000F" w:rsidRDefault="00000000">
            <w:pPr>
              <w:jc w:val="center"/>
            </w:pPr>
            <w:r>
              <w:rPr>
                <w:rFonts w:hint="eastAsia"/>
              </w:rPr>
              <w:t>合计</w:t>
            </w:r>
          </w:p>
        </w:tc>
        <w:tc>
          <w:tcPr>
            <w:tcW w:w="1362" w:type="dxa"/>
            <w:tcBorders>
              <w:bottom w:val="single" w:sz="4" w:space="0" w:color="auto"/>
            </w:tcBorders>
            <w:vAlign w:val="center"/>
          </w:tcPr>
          <w:p w14:paraId="158D1BF4" w14:textId="77777777" w:rsidR="005E000F" w:rsidRDefault="00000000">
            <w:pPr>
              <w:jc w:val="center"/>
            </w:pPr>
            <w:r>
              <w:rPr>
                <w:rFonts w:hint="eastAsia"/>
              </w:rPr>
              <w:t>/</w:t>
            </w:r>
          </w:p>
        </w:tc>
        <w:tc>
          <w:tcPr>
            <w:tcW w:w="946" w:type="dxa"/>
            <w:tcBorders>
              <w:bottom w:val="single" w:sz="4" w:space="0" w:color="auto"/>
            </w:tcBorders>
            <w:vAlign w:val="center"/>
          </w:tcPr>
          <w:p w14:paraId="61762D44" w14:textId="77777777" w:rsidR="005E000F" w:rsidRDefault="00000000">
            <w:pPr>
              <w:jc w:val="center"/>
            </w:pPr>
            <w:r>
              <w:rPr>
                <w:rFonts w:hint="eastAsia"/>
              </w:rPr>
              <w:t>/</w:t>
            </w:r>
          </w:p>
        </w:tc>
        <w:tc>
          <w:tcPr>
            <w:tcW w:w="946" w:type="dxa"/>
            <w:tcBorders>
              <w:bottom w:val="single" w:sz="4" w:space="0" w:color="auto"/>
            </w:tcBorders>
            <w:vAlign w:val="center"/>
          </w:tcPr>
          <w:p w14:paraId="0DB36A70" w14:textId="77777777" w:rsidR="005E000F" w:rsidRDefault="00000000">
            <w:pPr>
              <w:jc w:val="center"/>
            </w:pPr>
            <w:r>
              <w:rPr>
                <w:rFonts w:hint="eastAsia"/>
              </w:rPr>
              <w:t>/</w:t>
            </w:r>
          </w:p>
        </w:tc>
        <w:tc>
          <w:tcPr>
            <w:tcW w:w="1248" w:type="dxa"/>
            <w:tcBorders>
              <w:bottom w:val="single" w:sz="4" w:space="0" w:color="auto"/>
            </w:tcBorders>
            <w:vAlign w:val="center"/>
          </w:tcPr>
          <w:p w14:paraId="37071145" w14:textId="77777777" w:rsidR="005E000F" w:rsidRDefault="00000000">
            <w:pPr>
              <w:jc w:val="center"/>
            </w:pPr>
            <w:r>
              <w:rPr>
                <w:rFonts w:hint="eastAsia"/>
              </w:rPr>
              <w:t>/</w:t>
            </w:r>
          </w:p>
        </w:tc>
        <w:tc>
          <w:tcPr>
            <w:tcW w:w="1248" w:type="dxa"/>
            <w:tcBorders>
              <w:bottom w:val="single" w:sz="4" w:space="0" w:color="auto"/>
            </w:tcBorders>
            <w:vAlign w:val="center"/>
          </w:tcPr>
          <w:p w14:paraId="252E61F4" w14:textId="77777777" w:rsidR="005E000F" w:rsidRDefault="00000000">
            <w:pPr>
              <w:jc w:val="center"/>
            </w:pPr>
            <w:r>
              <w:rPr>
                <w:rFonts w:hint="eastAsia"/>
              </w:rPr>
              <w:t>/</w:t>
            </w:r>
          </w:p>
        </w:tc>
        <w:tc>
          <w:tcPr>
            <w:tcW w:w="1191" w:type="dxa"/>
            <w:tcBorders>
              <w:bottom w:val="single" w:sz="4" w:space="0" w:color="auto"/>
            </w:tcBorders>
            <w:vAlign w:val="center"/>
          </w:tcPr>
          <w:p w14:paraId="7F7097F7" w14:textId="77777777" w:rsidR="005E000F" w:rsidRDefault="00000000">
            <w:pPr>
              <w:jc w:val="right"/>
            </w:pPr>
            <w:r>
              <w:rPr>
                <w:rFonts w:hint="eastAsia"/>
              </w:rPr>
              <w:t>0</w:t>
            </w:r>
          </w:p>
        </w:tc>
        <w:tc>
          <w:tcPr>
            <w:tcW w:w="1180" w:type="dxa"/>
            <w:tcBorders>
              <w:bottom w:val="single" w:sz="4" w:space="0" w:color="auto"/>
            </w:tcBorders>
            <w:vAlign w:val="center"/>
          </w:tcPr>
          <w:p w14:paraId="1D82E621" w14:textId="77777777" w:rsidR="005E000F" w:rsidRDefault="00000000">
            <w:pPr>
              <w:jc w:val="right"/>
            </w:pPr>
            <w:r>
              <w:rPr>
                <w:rFonts w:hint="eastAsia"/>
              </w:rPr>
              <w:t>0</w:t>
            </w:r>
          </w:p>
        </w:tc>
        <w:tc>
          <w:tcPr>
            <w:tcW w:w="1363" w:type="dxa"/>
            <w:tcBorders>
              <w:bottom w:val="single" w:sz="4" w:space="0" w:color="auto"/>
            </w:tcBorders>
            <w:vAlign w:val="center"/>
          </w:tcPr>
          <w:p w14:paraId="41C33C28" w14:textId="77777777" w:rsidR="005E000F" w:rsidRDefault="00000000">
            <w:pPr>
              <w:jc w:val="right"/>
            </w:pPr>
            <w:r>
              <w:rPr>
                <w:rFonts w:hint="eastAsia"/>
              </w:rPr>
              <w:t>0</w:t>
            </w:r>
          </w:p>
        </w:tc>
        <w:tc>
          <w:tcPr>
            <w:tcW w:w="1217" w:type="dxa"/>
            <w:tcBorders>
              <w:bottom w:val="single" w:sz="4" w:space="0" w:color="auto"/>
            </w:tcBorders>
            <w:vAlign w:val="center"/>
          </w:tcPr>
          <w:p w14:paraId="79E79EE6" w14:textId="77777777" w:rsidR="005E000F" w:rsidRDefault="00000000">
            <w:pPr>
              <w:jc w:val="center"/>
            </w:pPr>
            <w:r>
              <w:rPr>
                <w:rFonts w:hint="eastAsia"/>
              </w:rPr>
              <w:t>/</w:t>
            </w:r>
          </w:p>
        </w:tc>
        <w:tc>
          <w:tcPr>
            <w:tcW w:w="1211" w:type="dxa"/>
            <w:tcBorders>
              <w:bottom w:val="single" w:sz="4" w:space="0" w:color="auto"/>
            </w:tcBorders>
            <w:vAlign w:val="center"/>
          </w:tcPr>
          <w:p w14:paraId="45C7CBA0" w14:textId="77777777" w:rsidR="005E000F" w:rsidRDefault="00000000">
            <w:pPr>
              <w:jc w:val="right"/>
            </w:pPr>
            <w:r>
              <w:rPr>
                <w:rFonts w:hint="eastAsia"/>
              </w:rPr>
              <w:t>245.23</w:t>
            </w:r>
          </w:p>
        </w:tc>
        <w:tc>
          <w:tcPr>
            <w:tcW w:w="1211" w:type="dxa"/>
            <w:tcBorders>
              <w:bottom w:val="single" w:sz="4" w:space="0" w:color="auto"/>
            </w:tcBorders>
            <w:vAlign w:val="center"/>
          </w:tcPr>
          <w:p w14:paraId="1CDB8C86" w14:textId="77777777" w:rsidR="005E000F" w:rsidRDefault="00000000">
            <w:r>
              <w:t>/</w:t>
            </w:r>
          </w:p>
        </w:tc>
      </w:tr>
    </w:tbl>
    <w:p w14:paraId="075CB937" w14:textId="77777777" w:rsidR="005E000F" w:rsidRDefault="005E000F"/>
    <w:tbl>
      <w:tblPr>
        <w:tblStyle w:val="aff2"/>
        <w:tblW w:w="0" w:type="auto"/>
        <w:tblLayout w:type="fixed"/>
        <w:tblLook w:val="04A0" w:firstRow="1" w:lastRow="0" w:firstColumn="1" w:lastColumn="0" w:noHBand="0" w:noVBand="1"/>
      </w:tblPr>
      <w:tblGrid>
        <w:gridCol w:w="1384"/>
        <w:gridCol w:w="12705"/>
      </w:tblGrid>
      <w:tr w:rsidR="005E000F" w14:paraId="1D17EDB9" w14:textId="77777777">
        <w:bookmarkEnd w:id="114" w:displacedByCustomXml="next"/>
        <w:sdt>
          <w:sdtPr>
            <w:tag w:val="_PLD_1525b90cb0c248978acb54a7f361f6a2"/>
            <w:id w:val="-1900357118"/>
          </w:sdtPr>
          <w:sdtContent>
            <w:tc>
              <w:tcPr>
                <w:tcW w:w="1384" w:type="dxa"/>
                <w:vAlign w:val="center"/>
              </w:tcPr>
              <w:p w14:paraId="0B3A20FD" w14:textId="77777777" w:rsidR="005E000F" w:rsidRDefault="00000000">
                <w:pPr>
                  <w:jc w:val="center"/>
                </w:pPr>
                <w:r>
                  <w:rPr>
                    <w:rFonts w:hint="eastAsia"/>
                  </w:rPr>
                  <w:t>姓名</w:t>
                </w:r>
              </w:p>
            </w:tc>
          </w:sdtContent>
        </w:sdt>
        <w:sdt>
          <w:sdtPr>
            <w:tag w:val="_PLD_61b466aae87d4dac813a38c2c8e6a492"/>
            <w:id w:val="-295987377"/>
          </w:sdtPr>
          <w:sdtContent>
            <w:tc>
              <w:tcPr>
                <w:tcW w:w="12705" w:type="dxa"/>
                <w:vAlign w:val="center"/>
              </w:tcPr>
              <w:p w14:paraId="5010519E" w14:textId="77777777" w:rsidR="005E000F" w:rsidRDefault="00000000">
                <w:pPr>
                  <w:jc w:val="center"/>
                </w:pPr>
                <w:r>
                  <w:t>主要工作经历</w:t>
                </w:r>
              </w:p>
            </w:tc>
          </w:sdtContent>
        </w:sdt>
      </w:tr>
      <w:tr w:rsidR="005E000F" w14:paraId="29CC6727" w14:textId="77777777">
        <w:tc>
          <w:tcPr>
            <w:tcW w:w="1384" w:type="dxa"/>
            <w:vAlign w:val="center"/>
          </w:tcPr>
          <w:p w14:paraId="3A078516" w14:textId="77777777" w:rsidR="005E000F" w:rsidRDefault="00000000">
            <w:proofErr w:type="gramStart"/>
            <w:r>
              <w:t>陆勇</w:t>
            </w:r>
            <w:proofErr w:type="gramEnd"/>
          </w:p>
        </w:tc>
        <w:tc>
          <w:tcPr>
            <w:tcW w:w="12705" w:type="dxa"/>
            <w:vAlign w:val="center"/>
          </w:tcPr>
          <w:p w14:paraId="4D895D48" w14:textId="77777777" w:rsidR="005E000F" w:rsidRDefault="00000000">
            <w:r>
              <w:t>1967</w:t>
            </w:r>
            <w:r>
              <w:t>年</w:t>
            </w:r>
            <w:r>
              <w:t>11</w:t>
            </w:r>
            <w:r>
              <w:t>月出生，男，中国国籍，大学本科学历，高级工程师。公司董事、董事长。现任中国铁路太原</w:t>
            </w:r>
            <w:proofErr w:type="gramStart"/>
            <w:r>
              <w:t>局集团</w:t>
            </w:r>
            <w:proofErr w:type="gramEnd"/>
            <w:r>
              <w:t>有限公司党委书记、董事长兼大西铁路客运专线有限责任公司董事长。历任中国铁路成都局集团有限公司党委委员、董事、副总经理，中国铁路济南</w:t>
            </w:r>
            <w:proofErr w:type="gramStart"/>
            <w:r>
              <w:t>局集团</w:t>
            </w:r>
            <w:proofErr w:type="gramEnd"/>
            <w:r>
              <w:t>有限公司党委委员、副总经理，中国铁路太原</w:t>
            </w:r>
            <w:proofErr w:type="gramStart"/>
            <w:r>
              <w:t>局集团</w:t>
            </w:r>
            <w:proofErr w:type="gramEnd"/>
            <w:r>
              <w:t>有限公司党委副书记、董事、总经理。</w:t>
            </w:r>
          </w:p>
        </w:tc>
      </w:tr>
      <w:tr w:rsidR="005E000F" w14:paraId="253F24C4" w14:textId="77777777">
        <w:tc>
          <w:tcPr>
            <w:tcW w:w="1384" w:type="dxa"/>
            <w:vAlign w:val="center"/>
          </w:tcPr>
          <w:p w14:paraId="219E0E66" w14:textId="77777777" w:rsidR="005E000F" w:rsidRDefault="00000000">
            <w:r>
              <w:rPr>
                <w:rFonts w:hint="eastAsia"/>
              </w:rPr>
              <w:t>杨涛</w:t>
            </w:r>
          </w:p>
        </w:tc>
        <w:tc>
          <w:tcPr>
            <w:tcW w:w="12705" w:type="dxa"/>
            <w:vAlign w:val="center"/>
          </w:tcPr>
          <w:p w14:paraId="479B209E" w14:textId="77777777" w:rsidR="005E000F" w:rsidRDefault="00000000">
            <w:r>
              <w:t>1976</w:t>
            </w:r>
            <w:r>
              <w:t>年</w:t>
            </w:r>
            <w:r>
              <w:t>1</w:t>
            </w:r>
            <w:r>
              <w:rPr>
                <w:rFonts w:hint="eastAsia"/>
              </w:rPr>
              <w:t>2</w:t>
            </w:r>
            <w:r>
              <w:t>月出生，</w:t>
            </w:r>
            <w:r>
              <w:rPr>
                <w:rFonts w:hint="eastAsia"/>
              </w:rPr>
              <w:t>男，中国国籍，</w:t>
            </w:r>
            <w:r>
              <w:t>硕士研究生学历，管理学硕士学位，正高级会计师</w:t>
            </w:r>
            <w:r>
              <w:rPr>
                <w:rFonts w:hint="eastAsia"/>
              </w:rPr>
              <w:t>。公司董事、副董事长。现任中国铁路太原</w:t>
            </w:r>
            <w:proofErr w:type="gramStart"/>
            <w:r>
              <w:rPr>
                <w:rFonts w:hint="eastAsia"/>
              </w:rPr>
              <w:t>局集团</w:t>
            </w:r>
            <w:proofErr w:type="gramEnd"/>
            <w:r>
              <w:rPr>
                <w:rFonts w:hint="eastAsia"/>
              </w:rPr>
              <w:t>有限公司党委委员、副总经理、总会计师。</w:t>
            </w:r>
            <w:r>
              <w:t>财政部第一届企业财务咨询专家，财政部第四届管理会计咨询专家。历任原中国铁路总公司财务部直属财务处、会计处处长，中国国家铁路集团有限公司财务部会计处处长，中国铁路投资集团有限公司总会计师兼中铁</w:t>
            </w:r>
            <w:proofErr w:type="gramStart"/>
            <w:r>
              <w:t>特</w:t>
            </w:r>
            <w:proofErr w:type="gramEnd"/>
            <w:r>
              <w:t>货物流股份有限公司监事会主席等。</w:t>
            </w:r>
          </w:p>
        </w:tc>
      </w:tr>
      <w:tr w:rsidR="005E000F" w14:paraId="2D81511B" w14:textId="77777777">
        <w:tc>
          <w:tcPr>
            <w:tcW w:w="1384" w:type="dxa"/>
            <w:vAlign w:val="center"/>
          </w:tcPr>
          <w:p w14:paraId="0272451B" w14:textId="77777777" w:rsidR="005E000F" w:rsidRDefault="00000000">
            <w:r>
              <w:rPr>
                <w:rFonts w:hint="eastAsia"/>
              </w:rPr>
              <w:t>张竑毅</w:t>
            </w:r>
          </w:p>
        </w:tc>
        <w:tc>
          <w:tcPr>
            <w:tcW w:w="12705" w:type="dxa"/>
            <w:vAlign w:val="center"/>
          </w:tcPr>
          <w:p w14:paraId="74D1BE60" w14:textId="77777777" w:rsidR="005E000F" w:rsidRDefault="00000000">
            <w:r>
              <w:t>1968</w:t>
            </w:r>
            <w:r>
              <w:t>年</w:t>
            </w:r>
            <w:r>
              <w:t>3</w:t>
            </w:r>
            <w:r>
              <w:t>月出生，男，中国国籍，大学本科学历，</w:t>
            </w:r>
            <w:proofErr w:type="gramStart"/>
            <w:r>
              <w:t>代理正</w:t>
            </w:r>
            <w:proofErr w:type="gramEnd"/>
            <w:r>
              <w:t>高级经济师</w:t>
            </w:r>
            <w:r>
              <w:rPr>
                <w:rFonts w:hint="eastAsia"/>
              </w:rPr>
              <w:t>。公司党委书记、董事、总经理。</w:t>
            </w:r>
            <w:r>
              <w:t>历任大秦铁路股份有限公司董事、总经理助理兼财务负责人；太原铁路局财务处副处长；中国铁路太原</w:t>
            </w:r>
            <w:proofErr w:type="gramStart"/>
            <w:r>
              <w:t>局集团</w:t>
            </w:r>
            <w:proofErr w:type="gramEnd"/>
            <w:r>
              <w:t>有限公司财务处处长；自</w:t>
            </w:r>
            <w:r>
              <w:t>2018</w:t>
            </w:r>
            <w:r>
              <w:t>年</w:t>
            </w:r>
            <w:r>
              <w:t>11</w:t>
            </w:r>
            <w:r>
              <w:t>月起，任中国铁路太原</w:t>
            </w:r>
            <w:proofErr w:type="gramStart"/>
            <w:r>
              <w:t>局集团</w:t>
            </w:r>
            <w:proofErr w:type="gramEnd"/>
            <w:r>
              <w:t>有限公司财务部（收入部）主任兼税务管理办公室主任、资金结算所（财务集中核算管理所）所长。</w:t>
            </w:r>
          </w:p>
        </w:tc>
      </w:tr>
      <w:tr w:rsidR="005E000F" w14:paraId="7E54A489" w14:textId="77777777">
        <w:tc>
          <w:tcPr>
            <w:tcW w:w="1384" w:type="dxa"/>
            <w:vAlign w:val="center"/>
          </w:tcPr>
          <w:p w14:paraId="55113653" w14:textId="77777777" w:rsidR="005E000F" w:rsidRDefault="00000000">
            <w:r>
              <w:rPr>
                <w:rFonts w:hint="eastAsia"/>
              </w:rPr>
              <w:t>杨庆欣</w:t>
            </w:r>
          </w:p>
        </w:tc>
        <w:tc>
          <w:tcPr>
            <w:tcW w:w="12705" w:type="dxa"/>
            <w:vAlign w:val="center"/>
          </w:tcPr>
          <w:p w14:paraId="105DECDD" w14:textId="77777777" w:rsidR="005E000F" w:rsidRDefault="00000000">
            <w:r>
              <w:t>1975</w:t>
            </w:r>
            <w:r>
              <w:t>年</w:t>
            </w:r>
            <w:r>
              <w:t>8</w:t>
            </w:r>
            <w:r>
              <w:t>月出生，女，中国国籍，大学本科学历，政工师</w:t>
            </w:r>
            <w:r>
              <w:rPr>
                <w:rFonts w:hint="eastAsia"/>
              </w:rPr>
              <w:t>。</w:t>
            </w:r>
            <w:r>
              <w:t>公司党委副书记、纪委书记、工会主席、职工代表董事。历任太原铁路局纪委案件检查室纪检监察员、纪检监察一室纪检监察员；大秦铁路股份有限公司原太原物资供应段党委副书记、纪委书记，原太原公寓管理段党委副书记、纪委书记；中国铁路太原</w:t>
            </w:r>
            <w:proofErr w:type="gramStart"/>
            <w:r>
              <w:t>局集团</w:t>
            </w:r>
            <w:proofErr w:type="gramEnd"/>
            <w:r>
              <w:t>有限公司山西先行经贸有限公司董事、党委副书记、纪委书记。</w:t>
            </w:r>
          </w:p>
        </w:tc>
      </w:tr>
      <w:tr w:rsidR="005E000F" w14:paraId="42F255CB" w14:textId="77777777">
        <w:tc>
          <w:tcPr>
            <w:tcW w:w="1384" w:type="dxa"/>
            <w:vAlign w:val="center"/>
          </w:tcPr>
          <w:p w14:paraId="10391C33" w14:textId="77777777" w:rsidR="005E000F" w:rsidRDefault="00000000">
            <w:r>
              <w:t>张利荣</w:t>
            </w:r>
          </w:p>
        </w:tc>
        <w:tc>
          <w:tcPr>
            <w:tcW w:w="12705" w:type="dxa"/>
            <w:vAlign w:val="center"/>
          </w:tcPr>
          <w:p w14:paraId="79FB90E3" w14:textId="77777777" w:rsidR="005E000F" w:rsidRDefault="00000000">
            <w:r>
              <w:t>1972</w:t>
            </w:r>
            <w:r>
              <w:t>年</w:t>
            </w:r>
            <w:r>
              <w:t>11</w:t>
            </w:r>
            <w:r>
              <w:t>月出生，女，中国国籍，大学本科学历，高级经济师，公司党委委员、董事、副总经理兼董事会秘书。历任公司总经理工作部副部长、董事会证券事务代表、董事会办公室主任兼证券事务代表。</w:t>
            </w:r>
          </w:p>
        </w:tc>
      </w:tr>
      <w:tr w:rsidR="005E000F" w14:paraId="520501C3" w14:textId="77777777">
        <w:tc>
          <w:tcPr>
            <w:tcW w:w="1384" w:type="dxa"/>
            <w:vAlign w:val="center"/>
          </w:tcPr>
          <w:p w14:paraId="65D21400" w14:textId="77777777" w:rsidR="005E000F" w:rsidRDefault="00000000">
            <w:r>
              <w:t>杨文胜</w:t>
            </w:r>
          </w:p>
        </w:tc>
        <w:tc>
          <w:tcPr>
            <w:tcW w:w="12705" w:type="dxa"/>
            <w:vAlign w:val="center"/>
          </w:tcPr>
          <w:p w14:paraId="47563A3D" w14:textId="77777777" w:rsidR="005E000F" w:rsidRDefault="00000000">
            <w:r>
              <w:t>1969</w:t>
            </w:r>
            <w:r>
              <w:t>年</w:t>
            </w:r>
            <w:r>
              <w:t>2</w:t>
            </w:r>
            <w:r>
              <w:t>月出生，男，中国国籍，大学学历，正高级工程师、高级经济师，公司董事。现任河北港口集团有限公司党委常委、副总经理。历任秦皇岛港务集团有限公司生产业务部副部长、秦仁海运公司总经理；秦皇岛港股份有限公司第二港务分公司经理、生产业务部部长；秦皇岛港股份有限公司副总经理，董事、总经理、党委副书记，董事、总裁、党委副书记；河北港口集团有限公司党委常委、董事、副总经理，秦皇岛港股份有限公司董事、总裁、党委副书记。</w:t>
            </w:r>
          </w:p>
        </w:tc>
      </w:tr>
      <w:tr w:rsidR="005E000F" w14:paraId="22230514" w14:textId="77777777">
        <w:tc>
          <w:tcPr>
            <w:tcW w:w="1384" w:type="dxa"/>
            <w:vAlign w:val="center"/>
          </w:tcPr>
          <w:p w14:paraId="25217A3F" w14:textId="77777777" w:rsidR="005E000F" w:rsidRDefault="00000000">
            <w:proofErr w:type="gramStart"/>
            <w:r>
              <w:t>陈鹏君</w:t>
            </w:r>
            <w:proofErr w:type="gramEnd"/>
          </w:p>
        </w:tc>
        <w:tc>
          <w:tcPr>
            <w:tcW w:w="12705" w:type="dxa"/>
            <w:vAlign w:val="center"/>
          </w:tcPr>
          <w:p w14:paraId="105B85A7" w14:textId="77777777" w:rsidR="005E000F" w:rsidRDefault="00000000">
            <w:pPr>
              <w:kinsoku w:val="0"/>
              <w:overflowPunct w:val="0"/>
              <w:adjustRightInd w:val="0"/>
              <w:snapToGrid w:val="0"/>
              <w:rPr>
                <w:rFonts w:ascii="宋体" w:hAnsi="宋体" w:cs="仿宋_GB2312"/>
              </w:rPr>
            </w:pPr>
            <w:r>
              <w:t>1971</w:t>
            </w:r>
            <w:r>
              <w:t>年</w:t>
            </w:r>
            <w:r>
              <w:t>8</w:t>
            </w:r>
            <w:r>
              <w:t>月出生，</w:t>
            </w:r>
            <w:r>
              <w:rPr>
                <w:rFonts w:ascii="宋体" w:hAnsi="宋体"/>
              </w:rPr>
              <w:t>男，中国国籍，</w:t>
            </w:r>
            <w:r>
              <w:rPr>
                <w:rFonts w:ascii="宋体" w:hAnsi="宋体" w:hint="eastAsia"/>
              </w:rPr>
              <w:t>硕士研究生学历，高级经济师</w:t>
            </w:r>
            <w:r>
              <w:rPr>
                <w:rFonts w:ascii="宋体" w:hAnsi="宋体"/>
              </w:rPr>
              <w:t>，公司董事。现任中国中信金融资产管理股份有限公司</w:t>
            </w:r>
            <w:r>
              <w:rPr>
                <w:rFonts w:ascii="宋体" w:hAnsi="宋体" w:hint="eastAsia"/>
              </w:rPr>
              <w:t>党委委员、副总裁</w:t>
            </w:r>
            <w:r>
              <w:rPr>
                <w:rFonts w:ascii="宋体" w:hAnsi="宋体"/>
              </w:rPr>
              <w:t>。历任</w:t>
            </w:r>
            <w:r>
              <w:rPr>
                <w:rFonts w:ascii="宋体" w:hAnsi="宋体" w:cs="仿宋_GB2312" w:hint="eastAsia"/>
              </w:rPr>
              <w:t>中国华融资</w:t>
            </w:r>
            <w:proofErr w:type="gramStart"/>
            <w:r>
              <w:rPr>
                <w:rFonts w:ascii="宋体" w:hAnsi="宋体" w:cs="仿宋_GB2312" w:hint="eastAsia"/>
              </w:rPr>
              <w:t>产管理</w:t>
            </w:r>
            <w:proofErr w:type="gramEnd"/>
            <w:r>
              <w:rPr>
                <w:rFonts w:ascii="宋体" w:hAnsi="宋体" w:cs="仿宋_GB2312" w:hint="eastAsia"/>
              </w:rPr>
              <w:t>公司债权管理部高级副经理，北京办事处高级经理，乌鲁木齐办事处党委委员、总经理助理、兼任中国华融资</w:t>
            </w:r>
            <w:proofErr w:type="gramStart"/>
            <w:r>
              <w:rPr>
                <w:rFonts w:ascii="宋体" w:hAnsi="宋体" w:cs="仿宋_GB2312" w:hint="eastAsia"/>
              </w:rPr>
              <w:t>产管理</w:t>
            </w:r>
            <w:proofErr w:type="gramEnd"/>
            <w:r>
              <w:rPr>
                <w:rFonts w:ascii="宋体" w:hAnsi="宋体" w:cs="仿宋_GB2312" w:hint="eastAsia"/>
              </w:rPr>
              <w:t>公司第一重组办公室主任助理，中国华融资</w:t>
            </w:r>
            <w:proofErr w:type="gramStart"/>
            <w:r>
              <w:rPr>
                <w:rFonts w:ascii="宋体" w:hAnsi="宋体" w:cs="仿宋_GB2312" w:hint="eastAsia"/>
              </w:rPr>
              <w:t>产管理</w:t>
            </w:r>
            <w:proofErr w:type="gramEnd"/>
            <w:r>
              <w:rPr>
                <w:rFonts w:ascii="宋体" w:hAnsi="宋体" w:cs="仿宋_GB2312" w:hint="eastAsia"/>
              </w:rPr>
              <w:t>公司业务发展部副总经理、国际业务部副总经理；</w:t>
            </w:r>
            <w:proofErr w:type="gramStart"/>
            <w:r>
              <w:rPr>
                <w:rFonts w:ascii="宋体" w:hAnsi="宋体" w:cs="仿宋_GB2312" w:hint="eastAsia"/>
              </w:rPr>
              <w:t>华融国际</w:t>
            </w:r>
            <w:proofErr w:type="gramEnd"/>
            <w:r>
              <w:rPr>
                <w:rFonts w:ascii="宋体" w:hAnsi="宋体" w:cs="仿宋_GB2312" w:hint="eastAsia"/>
              </w:rPr>
              <w:t>信托有限责任公司党委副书记、总经理、副董事长；</w:t>
            </w:r>
            <w:proofErr w:type="gramStart"/>
            <w:r>
              <w:rPr>
                <w:rFonts w:ascii="宋体" w:hAnsi="宋体" w:cs="仿宋_GB2312" w:hint="eastAsia"/>
              </w:rPr>
              <w:t>华融金融租赁</w:t>
            </w:r>
            <w:proofErr w:type="gramEnd"/>
            <w:r>
              <w:rPr>
                <w:rFonts w:ascii="宋体" w:hAnsi="宋体" w:cs="仿宋_GB2312" w:hint="eastAsia"/>
              </w:rPr>
              <w:t>股份有限公司党委副书记、总经理、副董事长；中国华融资</w:t>
            </w:r>
            <w:proofErr w:type="gramStart"/>
            <w:r>
              <w:rPr>
                <w:rFonts w:ascii="宋体" w:hAnsi="宋体" w:cs="仿宋_GB2312" w:hint="eastAsia"/>
              </w:rPr>
              <w:t>产管理</w:t>
            </w:r>
            <w:proofErr w:type="gramEnd"/>
            <w:r>
              <w:rPr>
                <w:rFonts w:ascii="宋体" w:hAnsi="宋体" w:cs="仿宋_GB2312" w:hint="eastAsia"/>
              </w:rPr>
              <w:t>股份有限公司国际业务管理部总经理，综合管理部（</w:t>
            </w:r>
            <w:proofErr w:type="gramStart"/>
            <w:r>
              <w:rPr>
                <w:rFonts w:ascii="宋体" w:hAnsi="宋体" w:cs="仿宋_GB2312" w:hint="eastAsia"/>
              </w:rPr>
              <w:t>雄安新区</w:t>
            </w:r>
            <w:proofErr w:type="gramEnd"/>
            <w:r>
              <w:rPr>
                <w:rFonts w:ascii="宋体" w:hAnsi="宋体" w:cs="仿宋_GB2312" w:hint="eastAsia"/>
              </w:rPr>
              <w:t>事业部）总经理，上市办公室主任；</w:t>
            </w:r>
            <w:proofErr w:type="gramStart"/>
            <w:r>
              <w:rPr>
                <w:rFonts w:ascii="宋体" w:hAnsi="宋体" w:cs="仿宋_GB2312" w:hint="eastAsia"/>
              </w:rPr>
              <w:t>华融证券</w:t>
            </w:r>
            <w:proofErr w:type="gramEnd"/>
            <w:r>
              <w:rPr>
                <w:rFonts w:ascii="宋体" w:hAnsi="宋体" w:cs="仿宋_GB2312" w:hint="eastAsia"/>
              </w:rPr>
              <w:t>股份有限公司党委副书记、董事、总经理；</w:t>
            </w:r>
            <w:proofErr w:type="gramStart"/>
            <w:r>
              <w:rPr>
                <w:rFonts w:ascii="宋体" w:hAnsi="宋体" w:cs="仿宋_GB2312" w:hint="eastAsia"/>
              </w:rPr>
              <w:t>华</w:t>
            </w:r>
            <w:r>
              <w:rPr>
                <w:rFonts w:ascii="宋体" w:hAnsi="宋体" w:cs="仿宋_GB2312" w:hint="eastAsia"/>
              </w:rPr>
              <w:lastRenderedPageBreak/>
              <w:t>融瑞</w:t>
            </w:r>
            <w:proofErr w:type="gramEnd"/>
            <w:r>
              <w:rPr>
                <w:rFonts w:ascii="宋体" w:hAnsi="宋体" w:cs="仿宋_GB2312" w:hint="eastAsia"/>
              </w:rPr>
              <w:t>通股权投资管理有限公司党委书记、董事长，兼任中国华融资</w:t>
            </w:r>
            <w:proofErr w:type="gramStart"/>
            <w:r>
              <w:rPr>
                <w:rFonts w:ascii="宋体" w:hAnsi="宋体" w:cs="仿宋_GB2312" w:hint="eastAsia"/>
              </w:rPr>
              <w:t>产管理</w:t>
            </w:r>
            <w:proofErr w:type="gramEnd"/>
            <w:r>
              <w:rPr>
                <w:rFonts w:ascii="宋体" w:hAnsi="宋体" w:cs="仿宋_GB2312" w:hint="eastAsia"/>
              </w:rPr>
              <w:t>股份有限公司股权业务部总经理；中国中信金融资产管理股份有限公司资产经营一部总经理。</w:t>
            </w:r>
          </w:p>
        </w:tc>
      </w:tr>
      <w:tr w:rsidR="005E000F" w14:paraId="41EAFAE6" w14:textId="77777777">
        <w:tc>
          <w:tcPr>
            <w:tcW w:w="1384" w:type="dxa"/>
            <w:vAlign w:val="center"/>
          </w:tcPr>
          <w:p w14:paraId="34868697" w14:textId="77777777" w:rsidR="005E000F" w:rsidRDefault="00000000">
            <w:r>
              <w:lastRenderedPageBreak/>
              <w:t>郝生跃</w:t>
            </w:r>
          </w:p>
        </w:tc>
        <w:tc>
          <w:tcPr>
            <w:tcW w:w="12705" w:type="dxa"/>
            <w:vAlign w:val="center"/>
          </w:tcPr>
          <w:p w14:paraId="27E61CC8" w14:textId="77777777" w:rsidR="005E000F" w:rsidRDefault="00000000">
            <w:r>
              <w:t>1967</w:t>
            </w:r>
            <w:r>
              <w:t>年</w:t>
            </w:r>
            <w:r>
              <w:t>12</w:t>
            </w:r>
            <w:r>
              <w:t>月出生，男，中国国籍，博士研究生学历，公司独立董事。</w:t>
            </w:r>
            <w:r>
              <w:t>1995</w:t>
            </w:r>
            <w:r>
              <w:t>年</w:t>
            </w:r>
            <w:r>
              <w:t>6</w:t>
            </w:r>
            <w:r>
              <w:t>月至</w:t>
            </w:r>
            <w:r>
              <w:t>2016</w:t>
            </w:r>
            <w:r>
              <w:t>年</w:t>
            </w:r>
            <w:r>
              <w:t>7</w:t>
            </w:r>
            <w:r>
              <w:t>月，历任中国路桥集团海外部投标报价处副处长，北京交通大学经管学院副教授、教授、副院长，研究生院副院长。</w:t>
            </w:r>
            <w:r>
              <w:t>2016</w:t>
            </w:r>
            <w:r>
              <w:t>年</w:t>
            </w:r>
            <w:r>
              <w:t>7</w:t>
            </w:r>
            <w:r>
              <w:t>月至今任北京交通大学经管学院教授、博士生导师。</w:t>
            </w:r>
          </w:p>
        </w:tc>
      </w:tr>
      <w:tr w:rsidR="005E000F" w14:paraId="4EF5626C" w14:textId="77777777">
        <w:tc>
          <w:tcPr>
            <w:tcW w:w="1384" w:type="dxa"/>
            <w:vAlign w:val="center"/>
          </w:tcPr>
          <w:p w14:paraId="6EA82604" w14:textId="77777777" w:rsidR="005E000F" w:rsidRDefault="00000000">
            <w:r>
              <w:t>许光建</w:t>
            </w:r>
          </w:p>
        </w:tc>
        <w:tc>
          <w:tcPr>
            <w:tcW w:w="12705" w:type="dxa"/>
            <w:vAlign w:val="center"/>
          </w:tcPr>
          <w:p w14:paraId="43C746D6" w14:textId="77777777" w:rsidR="005E000F" w:rsidRDefault="00000000">
            <w:r>
              <w:t>1958</w:t>
            </w:r>
            <w:r>
              <w:t>年</w:t>
            </w:r>
            <w:r>
              <w:t>11</w:t>
            </w:r>
            <w:r>
              <w:t>月出生，男，中国国籍，博士研究生学历，公司独立董事。</w:t>
            </w:r>
            <w:r>
              <w:t>1984</w:t>
            </w:r>
            <w:r>
              <w:t>年</w:t>
            </w:r>
            <w:r>
              <w:t>12</w:t>
            </w:r>
            <w:r>
              <w:t>月至</w:t>
            </w:r>
            <w:r>
              <w:t>2001</w:t>
            </w:r>
            <w:r>
              <w:t>年</w:t>
            </w:r>
            <w:r>
              <w:t>6</w:t>
            </w:r>
            <w:r>
              <w:t>月任中国人民大学国民经济管理系任教，先后担任副教授、教授、系主任；</w:t>
            </w:r>
            <w:r>
              <w:t>2001</w:t>
            </w:r>
            <w:r>
              <w:t>年</w:t>
            </w:r>
            <w:r>
              <w:t>6</w:t>
            </w:r>
            <w:r>
              <w:t>月至</w:t>
            </w:r>
            <w:r>
              <w:t>2019</w:t>
            </w:r>
            <w:r>
              <w:t>年</w:t>
            </w:r>
            <w:r>
              <w:t>4</w:t>
            </w:r>
            <w:r>
              <w:t>月</w:t>
            </w:r>
            <w:r>
              <w:rPr>
                <w:rFonts w:hint="eastAsia"/>
              </w:rPr>
              <w:t>在</w:t>
            </w:r>
            <w:r>
              <w:t>中国人民大学公共管理学院任教，先后担任副院长、常务副院长；</w:t>
            </w:r>
            <w:r>
              <w:t>2019</w:t>
            </w:r>
            <w:r>
              <w:t>年</w:t>
            </w:r>
            <w:r>
              <w:t>5</w:t>
            </w:r>
            <w:r>
              <w:t>月至今</w:t>
            </w:r>
            <w:r>
              <w:rPr>
                <w:rFonts w:hint="eastAsia"/>
              </w:rPr>
              <w:t>任</w:t>
            </w:r>
            <w:r>
              <w:t>中国人民大学公共管理学院</w:t>
            </w:r>
            <w:r>
              <w:rPr>
                <w:rFonts w:hint="eastAsia"/>
              </w:rPr>
              <w:t>公共政策系</w:t>
            </w:r>
            <w:r>
              <w:t>教授、博士生导师。</w:t>
            </w:r>
          </w:p>
        </w:tc>
      </w:tr>
      <w:tr w:rsidR="005E000F" w14:paraId="65F05B6F" w14:textId="77777777">
        <w:tc>
          <w:tcPr>
            <w:tcW w:w="1384" w:type="dxa"/>
            <w:vAlign w:val="center"/>
          </w:tcPr>
          <w:p w14:paraId="36CDAB8B" w14:textId="77777777" w:rsidR="005E000F" w:rsidRDefault="00000000">
            <w:r>
              <w:t>樊燕萍</w:t>
            </w:r>
          </w:p>
        </w:tc>
        <w:tc>
          <w:tcPr>
            <w:tcW w:w="12705" w:type="dxa"/>
            <w:vAlign w:val="center"/>
          </w:tcPr>
          <w:p w14:paraId="0B3AB2F7" w14:textId="77777777" w:rsidR="005E000F" w:rsidRDefault="00000000">
            <w:r>
              <w:t>1971</w:t>
            </w:r>
            <w:r>
              <w:t>年</w:t>
            </w:r>
            <w:r>
              <w:t>2</w:t>
            </w:r>
            <w:r>
              <w:t>月出生，女，中国国籍，博士研究生学历，公司独立董事。山西财经大学会计学院教授、校学术委员会委员。中国会计学会环境与资源会计专业委员会会员，山西省审计学会副会长，山西省会计学</w:t>
            </w:r>
            <w:proofErr w:type="gramStart"/>
            <w:r>
              <w:t>会资源</w:t>
            </w:r>
            <w:proofErr w:type="gramEnd"/>
            <w:r>
              <w:t>与环境会计专业委员会主任委员。</w:t>
            </w:r>
          </w:p>
        </w:tc>
      </w:tr>
      <w:tr w:rsidR="005E000F" w14:paraId="3C8B6A06" w14:textId="77777777">
        <w:tc>
          <w:tcPr>
            <w:tcW w:w="1384" w:type="dxa"/>
            <w:vAlign w:val="center"/>
          </w:tcPr>
          <w:p w14:paraId="50F0A9E2" w14:textId="77777777" w:rsidR="005E000F" w:rsidRDefault="00000000">
            <w:r>
              <w:t>朱玉杰</w:t>
            </w:r>
          </w:p>
        </w:tc>
        <w:tc>
          <w:tcPr>
            <w:tcW w:w="12705" w:type="dxa"/>
            <w:vAlign w:val="center"/>
          </w:tcPr>
          <w:p w14:paraId="3BB226E8" w14:textId="77777777" w:rsidR="005E000F" w:rsidRDefault="00000000">
            <w:r>
              <w:t>1969</w:t>
            </w:r>
            <w:r>
              <w:t>年</w:t>
            </w:r>
            <w:r>
              <w:t>4</w:t>
            </w:r>
            <w:r>
              <w:t>月出生，男，中国国籍，清华大学计算机科学专业硕士、经济学博士，非执业注册会计师，公司独立董事。自</w:t>
            </w:r>
            <w:r>
              <w:t>1994</w:t>
            </w:r>
            <w:r>
              <w:t>年</w:t>
            </w:r>
            <w:r>
              <w:t>8</w:t>
            </w:r>
            <w:r>
              <w:t>月至今</w:t>
            </w:r>
            <w:r>
              <w:rPr>
                <w:rFonts w:hint="eastAsia"/>
              </w:rPr>
              <w:t>在清华大学</w:t>
            </w:r>
            <w:r>
              <w:t>任教</w:t>
            </w:r>
            <w:r>
              <w:rPr>
                <w:rFonts w:hint="eastAsia"/>
              </w:rPr>
              <w:t>，</w:t>
            </w:r>
            <w:r>
              <w:t>现任清华大学经济管理学院教授，博士生导师，兼任清华大学经济管理学院教学办公室学术主任，教育部金融</w:t>
            </w:r>
            <w:proofErr w:type="gramStart"/>
            <w:r>
              <w:t>专业教指委</w:t>
            </w:r>
            <w:proofErr w:type="gramEnd"/>
            <w:r>
              <w:t>副主任委员，清华大学经济管理学院不良资产研究中心主任，中国金融协会金融工程专业委员会副秘书长，中国国际经济合作学会常务理事，中国企业成长与经济安全研究中心学术委员会副主任等职务。</w:t>
            </w:r>
          </w:p>
        </w:tc>
      </w:tr>
      <w:tr w:rsidR="005E000F" w14:paraId="2692CA88" w14:textId="77777777">
        <w:tc>
          <w:tcPr>
            <w:tcW w:w="1384" w:type="dxa"/>
            <w:vAlign w:val="center"/>
          </w:tcPr>
          <w:p w14:paraId="4B6F368E" w14:textId="77777777" w:rsidR="005E000F" w:rsidRDefault="00000000">
            <w:r>
              <w:t>刘斌</w:t>
            </w:r>
          </w:p>
        </w:tc>
        <w:tc>
          <w:tcPr>
            <w:tcW w:w="12705" w:type="dxa"/>
            <w:vAlign w:val="center"/>
          </w:tcPr>
          <w:p w14:paraId="048CBF47" w14:textId="77777777" w:rsidR="005E000F" w:rsidRDefault="00000000">
            <w:r>
              <w:t>1968</w:t>
            </w:r>
            <w:r>
              <w:t>年</w:t>
            </w:r>
            <w:r>
              <w:t>9</w:t>
            </w:r>
            <w:r>
              <w:t>月出生，男，汉族，中国国籍，大学本科学历，工程师，公司副总经理。历任原临汾铁路分局介休机务段工会主席；原太原铁路分局太原北机务段党委副书记，太原供电段党委副书记；太原铁路局太原供电段党委副书记、纪委书记；大秦铁路股份有限公司太原供电段党委副书记、纪委书记，太原机务段党委副书记，太原供电段党委委员、工会主席。</w:t>
            </w:r>
          </w:p>
        </w:tc>
      </w:tr>
      <w:tr w:rsidR="005E000F" w14:paraId="471FC2F3" w14:textId="77777777">
        <w:tc>
          <w:tcPr>
            <w:tcW w:w="1384" w:type="dxa"/>
            <w:vAlign w:val="center"/>
          </w:tcPr>
          <w:p w14:paraId="68707EAC" w14:textId="77777777" w:rsidR="005E000F" w:rsidRDefault="00000000">
            <w:r>
              <w:t>裴丽群</w:t>
            </w:r>
          </w:p>
        </w:tc>
        <w:tc>
          <w:tcPr>
            <w:tcW w:w="12705" w:type="dxa"/>
            <w:vAlign w:val="center"/>
          </w:tcPr>
          <w:p w14:paraId="3EB88053" w14:textId="77777777" w:rsidR="005E000F" w:rsidRDefault="00000000">
            <w:r>
              <w:t>1974</w:t>
            </w:r>
            <w:r>
              <w:t>年</w:t>
            </w:r>
            <w:r>
              <w:t>10</w:t>
            </w:r>
            <w:r>
              <w:t>月出生，女，中国国籍，大学本科学历，管理学硕士，正高级会计师，公司总会计师。历任太原铁路局太原北车辆段财务科科长、总会计师，大</w:t>
            </w:r>
            <w:proofErr w:type="gramStart"/>
            <w:r>
              <w:t>秦公司</w:t>
            </w:r>
            <w:proofErr w:type="gramEnd"/>
            <w:r>
              <w:t>太原北车辆段总会计师，太原铁路局计量所副所长兼国家轨道衡计量站太原分站副站长，太原铁路局太原铁路新创实业集团有限公司副总经理，中国铁路太原</w:t>
            </w:r>
            <w:proofErr w:type="gramStart"/>
            <w:r>
              <w:t>局集团</w:t>
            </w:r>
            <w:proofErr w:type="gramEnd"/>
            <w:r>
              <w:t>有限公司太原铁路新创餐饮旅游集团有限公司党委委员、董事、总会计师；从事中国铁路太原</w:t>
            </w:r>
            <w:proofErr w:type="gramStart"/>
            <w:r>
              <w:t>局集团</w:t>
            </w:r>
            <w:proofErr w:type="gramEnd"/>
            <w:r>
              <w:t>有限公司</w:t>
            </w:r>
            <w:proofErr w:type="gramStart"/>
            <w:r>
              <w:t>财务数智化</w:t>
            </w:r>
            <w:proofErr w:type="gramEnd"/>
            <w:r>
              <w:t>转型工作，担任筹备组副组长。</w:t>
            </w:r>
          </w:p>
        </w:tc>
      </w:tr>
      <w:tr w:rsidR="005E000F" w14:paraId="3DEF2A80" w14:textId="77777777">
        <w:tc>
          <w:tcPr>
            <w:tcW w:w="1384" w:type="dxa"/>
            <w:vAlign w:val="center"/>
          </w:tcPr>
          <w:p w14:paraId="2886B31B" w14:textId="77777777" w:rsidR="005E000F" w:rsidRDefault="00000000">
            <w:r>
              <w:rPr>
                <w:rFonts w:hint="eastAsia"/>
              </w:rPr>
              <w:t>胡静</w:t>
            </w:r>
          </w:p>
        </w:tc>
        <w:tc>
          <w:tcPr>
            <w:tcW w:w="12705" w:type="dxa"/>
            <w:vAlign w:val="center"/>
          </w:tcPr>
          <w:p w14:paraId="5291C995" w14:textId="77777777" w:rsidR="005E000F" w:rsidRDefault="00000000">
            <w:r>
              <w:t>1974</w:t>
            </w:r>
            <w:r>
              <w:t>年</w:t>
            </w:r>
            <w:r>
              <w:t>6</w:t>
            </w:r>
            <w:r>
              <w:t>月出生，女，中国国籍</w:t>
            </w:r>
            <w:r>
              <w:rPr>
                <w:rFonts w:hint="eastAsia"/>
              </w:rPr>
              <w:t>，</w:t>
            </w:r>
            <w:r>
              <w:t>大学本科学历，管理学学士学位，代理高级经济师</w:t>
            </w:r>
            <w:r>
              <w:rPr>
                <w:rFonts w:hint="eastAsia"/>
              </w:rPr>
              <w:t>，公司副总经理。</w:t>
            </w:r>
            <w:r>
              <w:t>历任大秦铁路股份有限公司太原工务段计划财务科科长，太原工</w:t>
            </w:r>
            <w:proofErr w:type="gramStart"/>
            <w:r>
              <w:t>务</w:t>
            </w:r>
            <w:proofErr w:type="gramEnd"/>
            <w:r>
              <w:t>机械</w:t>
            </w:r>
            <w:proofErr w:type="gramStart"/>
            <w:r>
              <w:t>段计划</w:t>
            </w:r>
            <w:proofErr w:type="gramEnd"/>
            <w:r>
              <w:t>财务科科长，太原工务段总会计师；中国铁路太原</w:t>
            </w:r>
            <w:proofErr w:type="gramStart"/>
            <w:r>
              <w:t>局集团</w:t>
            </w:r>
            <w:proofErr w:type="gramEnd"/>
            <w:r>
              <w:t>有限公司工会经费审查委员会办公室主任；山西铁路装备制造集团有限公司总经济师。</w:t>
            </w:r>
          </w:p>
        </w:tc>
      </w:tr>
    </w:tbl>
    <w:p w14:paraId="1B3E5462" w14:textId="77777777" w:rsidR="005E000F" w:rsidRDefault="005E000F"/>
    <w:p w14:paraId="4137EBF3" w14:textId="77777777" w:rsidR="005E000F" w:rsidRDefault="00000000">
      <w:r>
        <w:t>其它情况说明</w:t>
      </w:r>
    </w:p>
    <w:sdt>
      <w:sdtPr>
        <w:alias w:val="是否适用：董事、监事 和高级管理人员持股变动及报酬情况其他情况说明[双击切换]"/>
        <w:tag w:val="_GBC_9b04f21816b544bc9606e29c2556c9ba"/>
        <w:id w:val="-1638491432"/>
        <w:placeholder>
          <w:docPart w:val="GBC22222222222222222222222222222"/>
        </w:placeholder>
      </w:sdtPr>
      <w:sdtContent>
        <w:p w14:paraId="1963938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董事、监事和高级管理人员持股变动及报酬其他情况说明"/>
        <w:tag w:val="_GBC_557fdbc21d794629ab786dcecc519b1c"/>
        <w:id w:val="-1545826005"/>
        <w:placeholder>
          <w:docPart w:val="GBC22222222222222222222222222222"/>
        </w:placeholder>
      </w:sdtPr>
      <w:sdtContent>
        <w:p w14:paraId="1C1FA279" w14:textId="77777777" w:rsidR="005E000F" w:rsidRDefault="00000000">
          <w:pPr>
            <w:ind w:firstLineChars="200" w:firstLine="420"/>
            <w:jc w:val="both"/>
          </w:pPr>
          <w:r>
            <w:t>202</w:t>
          </w:r>
          <w:r>
            <w:rPr>
              <w:rFonts w:hint="eastAsia"/>
            </w:rPr>
            <w:t>5</w:t>
          </w:r>
          <w:r>
            <w:t>年</w:t>
          </w:r>
          <w:r>
            <w:rPr>
              <w:rFonts w:hint="eastAsia"/>
            </w:rPr>
            <w:t>6</w:t>
          </w:r>
          <w:r>
            <w:t>月</w:t>
          </w:r>
          <w:r>
            <w:rPr>
              <w:rFonts w:hint="eastAsia"/>
            </w:rPr>
            <w:t>17</w:t>
          </w:r>
          <w:r>
            <w:t>日召开的</w:t>
          </w:r>
          <w:r>
            <w:rPr>
              <w:rFonts w:hint="eastAsia"/>
            </w:rPr>
            <w:t>公司七届十二次董事会选举张竑毅先生为公司总经理。</w:t>
          </w:r>
          <w:r>
            <w:rPr>
              <w:rFonts w:hint="eastAsia"/>
            </w:rPr>
            <w:t>2025</w:t>
          </w:r>
          <w:r>
            <w:rPr>
              <w:rFonts w:hint="eastAsia"/>
            </w:rPr>
            <w:t>年</w:t>
          </w:r>
          <w:r>
            <w:rPr>
              <w:rFonts w:hint="eastAsia"/>
            </w:rPr>
            <w:t>9</w:t>
          </w:r>
          <w:r>
            <w:rPr>
              <w:rFonts w:hint="eastAsia"/>
            </w:rPr>
            <w:t>月</w:t>
          </w:r>
          <w:r>
            <w:rPr>
              <w:rFonts w:hint="eastAsia"/>
            </w:rPr>
            <w:t>23</w:t>
          </w:r>
          <w:r>
            <w:rPr>
              <w:rFonts w:hint="eastAsia"/>
            </w:rPr>
            <w:t>日召开的公司</w:t>
          </w:r>
          <w:r>
            <w:rPr>
              <w:rFonts w:hint="eastAsia"/>
            </w:rPr>
            <w:t>2025</w:t>
          </w:r>
          <w:r>
            <w:rPr>
              <w:rFonts w:hint="eastAsia"/>
            </w:rPr>
            <w:t>年第一次临时股东会选举张竑毅先生为公司第七届董事会董事。</w:t>
          </w:r>
        </w:p>
        <w:p w14:paraId="04A8BC2D" w14:textId="77777777" w:rsidR="005E000F" w:rsidRDefault="00000000">
          <w:pPr>
            <w:ind w:firstLineChars="200" w:firstLine="420"/>
            <w:jc w:val="both"/>
          </w:pPr>
          <w:r>
            <w:rPr>
              <w:rFonts w:hint="eastAsia"/>
            </w:rPr>
            <w:t>2025</w:t>
          </w:r>
          <w:r>
            <w:rPr>
              <w:rFonts w:hint="eastAsia"/>
            </w:rPr>
            <w:t>年</w:t>
          </w:r>
          <w:r>
            <w:rPr>
              <w:rFonts w:hint="eastAsia"/>
            </w:rPr>
            <w:t>11</w:t>
          </w:r>
          <w:r>
            <w:rPr>
              <w:rFonts w:hint="eastAsia"/>
            </w:rPr>
            <w:t>月</w:t>
          </w:r>
          <w:r>
            <w:rPr>
              <w:rFonts w:hint="eastAsia"/>
            </w:rPr>
            <w:t>18</w:t>
          </w:r>
          <w:r>
            <w:rPr>
              <w:rFonts w:hint="eastAsia"/>
            </w:rPr>
            <w:t>日召开的公司</w:t>
          </w:r>
          <w:r>
            <w:rPr>
              <w:rFonts w:hint="eastAsia"/>
            </w:rPr>
            <w:t>2025</w:t>
          </w:r>
          <w:r>
            <w:rPr>
              <w:rFonts w:hint="eastAsia"/>
            </w:rPr>
            <w:t>年第二次临时股东会选举杨涛先生为公司第七届董事会董事。随后召开的七届十六次董事会</w:t>
          </w:r>
          <w:r>
            <w:t>选举杨涛先生为公司第七届董事会副董事长</w:t>
          </w:r>
          <w:r>
            <w:rPr>
              <w:rFonts w:hint="eastAsia"/>
            </w:rPr>
            <w:t>。</w:t>
          </w:r>
        </w:p>
        <w:p w14:paraId="5847B102" w14:textId="77777777" w:rsidR="005E000F" w:rsidRDefault="00000000">
          <w:pPr>
            <w:ind w:firstLineChars="200" w:firstLine="420"/>
            <w:jc w:val="both"/>
          </w:pPr>
          <w:r>
            <w:t>2025</w:t>
          </w:r>
          <w:r>
            <w:t>年</w:t>
          </w:r>
          <w:r>
            <w:t>12</w:t>
          </w:r>
          <w:r>
            <w:t>月</w:t>
          </w:r>
          <w:r>
            <w:t>16</w:t>
          </w:r>
          <w:r>
            <w:t>日召开</w:t>
          </w:r>
          <w:r>
            <w:rPr>
              <w:rFonts w:hint="eastAsia"/>
            </w:rPr>
            <w:t>的公司七届</w:t>
          </w:r>
          <w:r>
            <w:t>十七次</w:t>
          </w:r>
          <w:r>
            <w:rPr>
              <w:rFonts w:hint="eastAsia"/>
            </w:rPr>
            <w:t>董事会</w:t>
          </w:r>
          <w:r>
            <w:t>，选举</w:t>
          </w:r>
          <w:r>
            <w:rPr>
              <w:rFonts w:hint="eastAsia"/>
            </w:rPr>
            <w:t>胡静女士</w:t>
          </w:r>
          <w:r>
            <w:t>为公司</w:t>
          </w:r>
          <w:r>
            <w:rPr>
              <w:rFonts w:hint="eastAsia"/>
            </w:rPr>
            <w:t>副总经理。</w:t>
          </w:r>
        </w:p>
        <w:p w14:paraId="515E8F70" w14:textId="77777777" w:rsidR="005E000F" w:rsidRDefault="00000000">
          <w:pPr>
            <w:ind w:firstLineChars="200" w:firstLine="420"/>
            <w:jc w:val="both"/>
          </w:pPr>
          <w:r>
            <w:rPr>
              <w:rFonts w:hint="eastAsia"/>
            </w:rPr>
            <w:lastRenderedPageBreak/>
            <w:t>2025</w:t>
          </w:r>
          <w:r>
            <w:rPr>
              <w:rFonts w:hint="eastAsia"/>
            </w:rPr>
            <w:t>年</w:t>
          </w:r>
          <w:r>
            <w:rPr>
              <w:rFonts w:hint="eastAsia"/>
            </w:rPr>
            <w:t>12</w:t>
          </w:r>
          <w:r>
            <w:rPr>
              <w:rFonts w:hint="eastAsia"/>
            </w:rPr>
            <w:t>月召开的</w:t>
          </w:r>
          <w:r>
            <w:t>公司第三届职工代表大会第三次会议</w:t>
          </w:r>
          <w:r>
            <w:rPr>
              <w:rFonts w:hint="eastAsia"/>
            </w:rPr>
            <w:t>，选举</w:t>
          </w:r>
          <w:r>
            <w:t>杨庆欣女士为公司第七届董事会职工代表董事。</w:t>
          </w:r>
        </w:p>
      </w:sdtContent>
    </w:sdt>
    <w:bookmarkEnd w:id="113"/>
    <w:p w14:paraId="33B1A33D" w14:textId="77777777" w:rsidR="005E000F" w:rsidRDefault="005E000F">
      <w:pPr>
        <w:sectPr w:rsidR="005E000F">
          <w:pgSz w:w="16838" w:h="11906" w:orient="landscape"/>
          <w:pgMar w:top="1797" w:right="1525" w:bottom="1276" w:left="1440" w:header="855" w:footer="992" w:gutter="0"/>
          <w:cols w:space="425"/>
          <w:docGrid w:linePitch="312"/>
        </w:sectPr>
      </w:pPr>
    </w:p>
    <w:p w14:paraId="40D0360C" w14:textId="77777777" w:rsidR="005E000F" w:rsidRDefault="00000000">
      <w:pPr>
        <w:pStyle w:val="3"/>
        <w:numPr>
          <w:ilvl w:val="0"/>
          <w:numId w:val="21"/>
        </w:numPr>
        <w:ind w:left="0" w:firstLine="0"/>
      </w:pPr>
      <w:r>
        <w:rPr>
          <w:rFonts w:hint="eastAsia"/>
        </w:rPr>
        <w:lastRenderedPageBreak/>
        <w:t>现任及报告期内离任董事和高级管理人员的任职情况</w:t>
      </w:r>
    </w:p>
    <w:p w14:paraId="0EB650DD" w14:textId="77777777" w:rsidR="005E000F" w:rsidRDefault="00000000">
      <w:pPr>
        <w:pStyle w:val="4"/>
        <w:numPr>
          <w:ilvl w:val="0"/>
          <w:numId w:val="22"/>
        </w:numPr>
      </w:pPr>
      <w:r>
        <w:t>在股东单位任职情况</w:t>
      </w:r>
    </w:p>
    <w:sdt>
      <w:sdtPr>
        <w:alias w:val="是否适用：在股东单位任职情况[双击切换]"/>
        <w:tag w:val="_GBC_c450b54d9ea443cf85cc614c8528526b"/>
        <w:id w:val="-2084131281"/>
        <w:placeholder>
          <w:docPart w:val="GBC22222222222222222222222222222"/>
        </w:placeholder>
      </w:sdtPr>
      <w:sdtContent>
        <w:p w14:paraId="0348F45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1101"/>
        <w:gridCol w:w="2976"/>
        <w:gridCol w:w="2127"/>
        <w:gridCol w:w="1559"/>
        <w:gridCol w:w="1285"/>
      </w:tblGrid>
      <w:tr w:rsidR="005E000F" w14:paraId="144CD8EC" w14:textId="77777777">
        <w:trPr>
          <w:trHeight w:val="105"/>
        </w:trPr>
        <w:sdt>
          <w:sdtPr>
            <w:tag w:val="_PLD_11f45a37b8cb4cfd8d25787f0979b6e9"/>
            <w:id w:val="-708258297"/>
          </w:sdtPr>
          <w:sdtContent>
            <w:tc>
              <w:tcPr>
                <w:tcW w:w="1101" w:type="dxa"/>
                <w:vAlign w:val="center"/>
              </w:tcPr>
              <w:p w14:paraId="20D2A771" w14:textId="77777777" w:rsidR="005E000F" w:rsidRDefault="00000000">
                <w:pPr>
                  <w:jc w:val="center"/>
                </w:pPr>
                <w:r>
                  <w:t>任职人员姓名</w:t>
                </w:r>
              </w:p>
            </w:tc>
          </w:sdtContent>
        </w:sdt>
        <w:sdt>
          <w:sdtPr>
            <w:tag w:val="_PLD_174ff645994f420ea5626aa7d6f5ddb5"/>
            <w:id w:val="828647873"/>
          </w:sdtPr>
          <w:sdtContent>
            <w:tc>
              <w:tcPr>
                <w:tcW w:w="2976" w:type="dxa"/>
                <w:vAlign w:val="center"/>
              </w:tcPr>
              <w:p w14:paraId="4C6E5ADE" w14:textId="77777777" w:rsidR="005E000F" w:rsidRDefault="00000000">
                <w:pPr>
                  <w:jc w:val="center"/>
                </w:pPr>
                <w:r>
                  <w:t>股东单位名称</w:t>
                </w:r>
              </w:p>
            </w:tc>
          </w:sdtContent>
        </w:sdt>
        <w:sdt>
          <w:sdtPr>
            <w:tag w:val="_PLD_c5b9ccac06314dc19400d1f75f51ed76"/>
            <w:id w:val="524226504"/>
          </w:sdtPr>
          <w:sdtContent>
            <w:tc>
              <w:tcPr>
                <w:tcW w:w="2127" w:type="dxa"/>
                <w:vAlign w:val="center"/>
              </w:tcPr>
              <w:p w14:paraId="40A0C5B3" w14:textId="77777777" w:rsidR="005E000F" w:rsidRDefault="00000000">
                <w:pPr>
                  <w:jc w:val="center"/>
                </w:pPr>
                <w:r>
                  <w:t>在股东单位担任的职务</w:t>
                </w:r>
              </w:p>
            </w:tc>
          </w:sdtContent>
        </w:sdt>
        <w:sdt>
          <w:sdtPr>
            <w:tag w:val="_PLD_6d359bac7e194427adef03e3d072f875"/>
            <w:id w:val="-1290123615"/>
          </w:sdtPr>
          <w:sdtContent>
            <w:tc>
              <w:tcPr>
                <w:tcW w:w="1559" w:type="dxa"/>
                <w:vAlign w:val="center"/>
              </w:tcPr>
              <w:p w14:paraId="72CD2FB4" w14:textId="77777777" w:rsidR="005E000F" w:rsidRDefault="00000000">
                <w:pPr>
                  <w:jc w:val="center"/>
                </w:pPr>
                <w:r>
                  <w:t>任期起始日期</w:t>
                </w:r>
              </w:p>
            </w:tc>
          </w:sdtContent>
        </w:sdt>
        <w:sdt>
          <w:sdtPr>
            <w:tag w:val="_PLD_ba28085d64d240089bfcbff8c64cf230"/>
            <w:id w:val="-396278634"/>
          </w:sdtPr>
          <w:sdtContent>
            <w:tc>
              <w:tcPr>
                <w:tcW w:w="1285" w:type="dxa"/>
                <w:vAlign w:val="center"/>
              </w:tcPr>
              <w:p w14:paraId="44ABF7C3" w14:textId="77777777" w:rsidR="005E000F" w:rsidRDefault="00000000">
                <w:pPr>
                  <w:jc w:val="center"/>
                </w:pPr>
                <w:r>
                  <w:t>任期终止日期</w:t>
                </w:r>
              </w:p>
            </w:tc>
          </w:sdtContent>
        </w:sdt>
      </w:tr>
      <w:tr w:rsidR="005E000F" w14:paraId="0C8BE931" w14:textId="77777777">
        <w:trPr>
          <w:trHeight w:val="147"/>
        </w:trPr>
        <w:tc>
          <w:tcPr>
            <w:tcW w:w="1101" w:type="dxa"/>
            <w:vAlign w:val="center"/>
          </w:tcPr>
          <w:p w14:paraId="632A8A7B" w14:textId="77777777" w:rsidR="005E000F" w:rsidRDefault="00000000">
            <w:proofErr w:type="gramStart"/>
            <w:r>
              <w:t>陆勇</w:t>
            </w:r>
            <w:proofErr w:type="gramEnd"/>
          </w:p>
        </w:tc>
        <w:tc>
          <w:tcPr>
            <w:tcW w:w="2976" w:type="dxa"/>
            <w:vAlign w:val="center"/>
          </w:tcPr>
          <w:p w14:paraId="720F8C16" w14:textId="77777777" w:rsidR="005E000F" w:rsidRDefault="00000000">
            <w:r>
              <w:t>中国铁路太原</w:t>
            </w:r>
            <w:proofErr w:type="gramStart"/>
            <w:r>
              <w:t>局集团</w:t>
            </w:r>
            <w:proofErr w:type="gramEnd"/>
            <w:r>
              <w:t>有限公司</w:t>
            </w:r>
          </w:p>
        </w:tc>
        <w:tc>
          <w:tcPr>
            <w:tcW w:w="2127" w:type="dxa"/>
            <w:vAlign w:val="center"/>
          </w:tcPr>
          <w:p w14:paraId="597E2E6A" w14:textId="77777777" w:rsidR="005E000F" w:rsidRDefault="00000000">
            <w:r>
              <w:t>党委书记、董事长</w:t>
            </w:r>
          </w:p>
        </w:tc>
        <w:tc>
          <w:tcPr>
            <w:tcW w:w="1559" w:type="dxa"/>
            <w:vAlign w:val="center"/>
          </w:tcPr>
          <w:p w14:paraId="58C76D40" w14:textId="77777777" w:rsidR="005E000F" w:rsidRDefault="00000000">
            <w:r>
              <w:t>2024</w:t>
            </w:r>
            <w:r>
              <w:t>年</w:t>
            </w:r>
            <w:r>
              <w:t>6</w:t>
            </w:r>
            <w:r>
              <w:t>月</w:t>
            </w:r>
          </w:p>
        </w:tc>
        <w:tc>
          <w:tcPr>
            <w:tcW w:w="1285" w:type="dxa"/>
            <w:vAlign w:val="center"/>
          </w:tcPr>
          <w:p w14:paraId="75B71ACC" w14:textId="77777777" w:rsidR="005E000F" w:rsidRDefault="005E000F"/>
        </w:tc>
      </w:tr>
      <w:tr w:rsidR="005E000F" w14:paraId="639EFF0D" w14:textId="77777777">
        <w:trPr>
          <w:trHeight w:val="147"/>
        </w:trPr>
        <w:tc>
          <w:tcPr>
            <w:tcW w:w="1101" w:type="dxa"/>
            <w:vAlign w:val="center"/>
          </w:tcPr>
          <w:p w14:paraId="6E7DB19F" w14:textId="77777777" w:rsidR="005E000F" w:rsidRDefault="00000000">
            <w:r>
              <w:rPr>
                <w:rFonts w:hint="eastAsia"/>
              </w:rPr>
              <w:t>杨涛</w:t>
            </w:r>
          </w:p>
        </w:tc>
        <w:tc>
          <w:tcPr>
            <w:tcW w:w="2976" w:type="dxa"/>
            <w:vAlign w:val="center"/>
          </w:tcPr>
          <w:p w14:paraId="67142323" w14:textId="77777777" w:rsidR="005E000F" w:rsidRDefault="00000000">
            <w:r>
              <w:t>中国铁路太原</w:t>
            </w:r>
            <w:proofErr w:type="gramStart"/>
            <w:r>
              <w:t>局集团</w:t>
            </w:r>
            <w:proofErr w:type="gramEnd"/>
            <w:r>
              <w:t>有限公司</w:t>
            </w:r>
          </w:p>
        </w:tc>
        <w:tc>
          <w:tcPr>
            <w:tcW w:w="2127" w:type="dxa"/>
            <w:vAlign w:val="center"/>
          </w:tcPr>
          <w:p w14:paraId="0A94D1A8" w14:textId="77777777" w:rsidR="005E000F" w:rsidRDefault="00000000">
            <w:r>
              <w:rPr>
                <w:rFonts w:hint="eastAsia"/>
              </w:rPr>
              <w:t>党委委员、副总经理、总会计师</w:t>
            </w:r>
          </w:p>
        </w:tc>
        <w:tc>
          <w:tcPr>
            <w:tcW w:w="1559" w:type="dxa"/>
            <w:vAlign w:val="center"/>
          </w:tcPr>
          <w:p w14:paraId="0A3BC8A4" w14:textId="77777777" w:rsidR="005E000F" w:rsidRDefault="00000000">
            <w:r>
              <w:t>202</w:t>
            </w:r>
            <w:r>
              <w:rPr>
                <w:rFonts w:hint="eastAsia"/>
              </w:rPr>
              <w:t>5</w:t>
            </w:r>
            <w:r>
              <w:t>年</w:t>
            </w:r>
            <w:r>
              <w:rPr>
                <w:rFonts w:hint="eastAsia"/>
              </w:rPr>
              <w:t>8</w:t>
            </w:r>
            <w:r>
              <w:t>月</w:t>
            </w:r>
          </w:p>
        </w:tc>
        <w:tc>
          <w:tcPr>
            <w:tcW w:w="1285" w:type="dxa"/>
            <w:vAlign w:val="center"/>
          </w:tcPr>
          <w:p w14:paraId="328CEE4E" w14:textId="77777777" w:rsidR="005E000F" w:rsidRDefault="005E000F"/>
        </w:tc>
      </w:tr>
      <w:tr w:rsidR="005E000F" w14:paraId="41EEC437" w14:textId="77777777">
        <w:trPr>
          <w:trHeight w:val="147"/>
        </w:trPr>
        <w:tc>
          <w:tcPr>
            <w:tcW w:w="1101" w:type="dxa"/>
            <w:vAlign w:val="center"/>
          </w:tcPr>
          <w:p w14:paraId="65AB71F5" w14:textId="77777777" w:rsidR="005E000F" w:rsidRDefault="00000000">
            <w:r>
              <w:t>杨文胜</w:t>
            </w:r>
          </w:p>
        </w:tc>
        <w:tc>
          <w:tcPr>
            <w:tcW w:w="2976" w:type="dxa"/>
            <w:vAlign w:val="center"/>
          </w:tcPr>
          <w:p w14:paraId="7D3FB4D8" w14:textId="77777777" w:rsidR="005E000F" w:rsidRDefault="00000000">
            <w:r>
              <w:t>河北港口集团有限公司</w:t>
            </w:r>
          </w:p>
        </w:tc>
        <w:tc>
          <w:tcPr>
            <w:tcW w:w="2127" w:type="dxa"/>
            <w:vAlign w:val="center"/>
          </w:tcPr>
          <w:p w14:paraId="1009B171" w14:textId="77777777" w:rsidR="005E000F" w:rsidRDefault="00000000">
            <w:r>
              <w:t>党委常委、副总经理</w:t>
            </w:r>
          </w:p>
        </w:tc>
        <w:tc>
          <w:tcPr>
            <w:tcW w:w="1559" w:type="dxa"/>
            <w:vAlign w:val="center"/>
          </w:tcPr>
          <w:p w14:paraId="5EE8EFF9" w14:textId="77777777" w:rsidR="005E000F" w:rsidRDefault="00000000">
            <w:r>
              <w:t>2023</w:t>
            </w:r>
            <w:r>
              <w:t>年</w:t>
            </w:r>
            <w:r>
              <w:t>1</w:t>
            </w:r>
            <w:r>
              <w:t>月</w:t>
            </w:r>
          </w:p>
        </w:tc>
        <w:tc>
          <w:tcPr>
            <w:tcW w:w="1285" w:type="dxa"/>
            <w:vAlign w:val="center"/>
          </w:tcPr>
          <w:p w14:paraId="294B1EF1" w14:textId="77777777" w:rsidR="005E000F" w:rsidRDefault="005E000F"/>
        </w:tc>
      </w:tr>
      <w:tr w:rsidR="005E000F" w14:paraId="5D0C0351" w14:textId="77777777">
        <w:trPr>
          <w:trHeight w:val="147"/>
        </w:trPr>
        <w:tc>
          <w:tcPr>
            <w:tcW w:w="1101" w:type="dxa"/>
            <w:vAlign w:val="center"/>
          </w:tcPr>
          <w:p w14:paraId="7FEA4273" w14:textId="77777777" w:rsidR="005E000F" w:rsidRDefault="00000000">
            <w:proofErr w:type="gramStart"/>
            <w:r>
              <w:t>陈鹏君</w:t>
            </w:r>
            <w:proofErr w:type="gramEnd"/>
          </w:p>
        </w:tc>
        <w:tc>
          <w:tcPr>
            <w:tcW w:w="2976" w:type="dxa"/>
            <w:vAlign w:val="center"/>
          </w:tcPr>
          <w:p w14:paraId="59043920" w14:textId="77777777" w:rsidR="005E000F" w:rsidRDefault="00000000">
            <w:r>
              <w:t>中国中信金融资产管理股份有限公司</w:t>
            </w:r>
          </w:p>
        </w:tc>
        <w:tc>
          <w:tcPr>
            <w:tcW w:w="2127" w:type="dxa"/>
            <w:vAlign w:val="center"/>
          </w:tcPr>
          <w:p w14:paraId="12106A80" w14:textId="77777777" w:rsidR="005E000F" w:rsidRDefault="00000000">
            <w:r>
              <w:rPr>
                <w:rFonts w:hint="eastAsia"/>
              </w:rPr>
              <w:t>党委委员、副总裁</w:t>
            </w:r>
          </w:p>
        </w:tc>
        <w:tc>
          <w:tcPr>
            <w:tcW w:w="1559" w:type="dxa"/>
            <w:vAlign w:val="center"/>
          </w:tcPr>
          <w:p w14:paraId="1AD27D3B" w14:textId="77777777" w:rsidR="005E000F" w:rsidRDefault="00000000">
            <w:r>
              <w:rPr>
                <w:rFonts w:hint="eastAsia"/>
              </w:rPr>
              <w:t>2025</w:t>
            </w:r>
            <w:r>
              <w:rPr>
                <w:rFonts w:hint="eastAsia"/>
              </w:rPr>
              <w:t>年</w:t>
            </w:r>
            <w:r>
              <w:rPr>
                <w:rFonts w:hint="eastAsia"/>
              </w:rPr>
              <w:t>2</w:t>
            </w:r>
            <w:r>
              <w:rPr>
                <w:rFonts w:hint="eastAsia"/>
              </w:rPr>
              <w:t>月</w:t>
            </w:r>
          </w:p>
        </w:tc>
        <w:tc>
          <w:tcPr>
            <w:tcW w:w="1285" w:type="dxa"/>
            <w:vAlign w:val="center"/>
          </w:tcPr>
          <w:p w14:paraId="181AF3E9" w14:textId="77777777" w:rsidR="005E000F" w:rsidRDefault="005E000F"/>
        </w:tc>
      </w:tr>
      <w:tr w:rsidR="005E000F" w14:paraId="70182EEB" w14:textId="77777777">
        <w:trPr>
          <w:trHeight w:val="150"/>
        </w:trPr>
        <w:tc>
          <w:tcPr>
            <w:tcW w:w="1101" w:type="dxa"/>
            <w:vAlign w:val="center"/>
          </w:tcPr>
          <w:p w14:paraId="30E813D1" w14:textId="77777777" w:rsidR="005E000F" w:rsidRDefault="00000000">
            <w:r>
              <w:t>在股东单位任职情况的说明</w:t>
            </w:r>
          </w:p>
        </w:tc>
        <w:tc>
          <w:tcPr>
            <w:tcW w:w="7947" w:type="dxa"/>
            <w:gridSpan w:val="4"/>
            <w:vAlign w:val="center"/>
          </w:tcPr>
          <w:p w14:paraId="524D0726" w14:textId="77777777" w:rsidR="005E000F" w:rsidRDefault="00000000">
            <w:r>
              <w:rPr>
                <w:rFonts w:hint="eastAsia"/>
              </w:rPr>
              <w:t>无</w:t>
            </w:r>
          </w:p>
        </w:tc>
      </w:tr>
    </w:tbl>
    <w:p w14:paraId="6ACCDFB6" w14:textId="77777777" w:rsidR="005E000F" w:rsidRDefault="005E000F"/>
    <w:p w14:paraId="50AF2A26" w14:textId="77777777" w:rsidR="005E000F" w:rsidRDefault="00000000">
      <w:pPr>
        <w:pStyle w:val="4"/>
        <w:numPr>
          <w:ilvl w:val="0"/>
          <w:numId w:val="22"/>
        </w:numPr>
        <w:rPr>
          <w:rFonts w:ascii="宋体" w:hAnsi="宋体" w:cs="宋体"/>
          <w:kern w:val="0"/>
          <w:szCs w:val="24"/>
        </w:rPr>
      </w:pPr>
      <w:r>
        <w:rPr>
          <w:rFonts w:ascii="宋体" w:hAnsi="宋体" w:cs="宋体"/>
          <w:kern w:val="0"/>
          <w:szCs w:val="24"/>
        </w:rPr>
        <w:t>在其他单位任职情况</w:t>
      </w:r>
    </w:p>
    <w:sdt>
      <w:sdtPr>
        <w:alias w:val="是否适用：在其他单位任职情况[双击切换]"/>
        <w:tag w:val="_GBC_31c17de709bb42fdb7ba137e843fe054"/>
        <w:id w:val="-178590145"/>
        <w:placeholder>
          <w:docPart w:val="GBC22222222222222222222222222222"/>
        </w:placeholder>
      </w:sdtPr>
      <w:sdtContent>
        <w:p w14:paraId="6AF0D65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1101"/>
        <w:gridCol w:w="3260"/>
        <w:gridCol w:w="1625"/>
        <w:gridCol w:w="1526"/>
        <w:gridCol w:w="1536"/>
      </w:tblGrid>
      <w:tr w:rsidR="005E000F" w14:paraId="69CEEE03" w14:textId="77777777">
        <w:trPr>
          <w:trHeight w:val="120"/>
        </w:trPr>
        <w:sdt>
          <w:sdtPr>
            <w:tag w:val="_PLD_84cb4ce7fc4643b1be607267619a4b88"/>
            <w:id w:val="-1334994695"/>
          </w:sdtPr>
          <w:sdtContent>
            <w:tc>
              <w:tcPr>
                <w:tcW w:w="1101" w:type="dxa"/>
                <w:vAlign w:val="center"/>
              </w:tcPr>
              <w:p w14:paraId="345B759D" w14:textId="77777777" w:rsidR="005E000F" w:rsidRDefault="00000000">
                <w:pPr>
                  <w:jc w:val="center"/>
                </w:pPr>
                <w:r>
                  <w:t>任职人员姓名</w:t>
                </w:r>
              </w:p>
            </w:tc>
          </w:sdtContent>
        </w:sdt>
        <w:sdt>
          <w:sdtPr>
            <w:tag w:val="_PLD_9c5aac001d5a4c2eb3cc0bf1e1f66afe"/>
            <w:id w:val="-589628060"/>
          </w:sdtPr>
          <w:sdtContent>
            <w:tc>
              <w:tcPr>
                <w:tcW w:w="3260" w:type="dxa"/>
                <w:vAlign w:val="center"/>
              </w:tcPr>
              <w:p w14:paraId="33BBCFE4" w14:textId="77777777" w:rsidR="005E000F" w:rsidRDefault="00000000">
                <w:pPr>
                  <w:jc w:val="center"/>
                </w:pPr>
                <w:r>
                  <w:t>其他单位名称</w:t>
                </w:r>
              </w:p>
            </w:tc>
          </w:sdtContent>
        </w:sdt>
        <w:sdt>
          <w:sdtPr>
            <w:tag w:val="_PLD_a3a2822cc76542afbd1a58b94268af1d"/>
            <w:id w:val="1244152704"/>
          </w:sdtPr>
          <w:sdtContent>
            <w:tc>
              <w:tcPr>
                <w:tcW w:w="1625" w:type="dxa"/>
                <w:vAlign w:val="center"/>
              </w:tcPr>
              <w:p w14:paraId="47233F16" w14:textId="77777777" w:rsidR="005E000F" w:rsidRDefault="00000000">
                <w:pPr>
                  <w:jc w:val="center"/>
                </w:pPr>
                <w:r>
                  <w:t>在其他单位担任的职务</w:t>
                </w:r>
              </w:p>
            </w:tc>
          </w:sdtContent>
        </w:sdt>
        <w:sdt>
          <w:sdtPr>
            <w:tag w:val="_PLD_1afbd86b2e47420ca2c5a75f01567f2a"/>
            <w:id w:val="-921182023"/>
          </w:sdtPr>
          <w:sdtContent>
            <w:tc>
              <w:tcPr>
                <w:tcW w:w="1526" w:type="dxa"/>
                <w:vAlign w:val="center"/>
              </w:tcPr>
              <w:p w14:paraId="2E37FFFE" w14:textId="77777777" w:rsidR="005E000F" w:rsidRDefault="00000000">
                <w:pPr>
                  <w:jc w:val="center"/>
                </w:pPr>
                <w:r>
                  <w:t>任期起始日期</w:t>
                </w:r>
              </w:p>
            </w:tc>
          </w:sdtContent>
        </w:sdt>
        <w:sdt>
          <w:sdtPr>
            <w:tag w:val="_PLD_677dde6ffbf24692a6c508831a24eef8"/>
            <w:id w:val="-1801294633"/>
          </w:sdtPr>
          <w:sdtContent>
            <w:tc>
              <w:tcPr>
                <w:tcW w:w="1536" w:type="dxa"/>
                <w:vAlign w:val="center"/>
              </w:tcPr>
              <w:p w14:paraId="35647450" w14:textId="77777777" w:rsidR="005E000F" w:rsidRDefault="00000000">
                <w:pPr>
                  <w:jc w:val="center"/>
                </w:pPr>
                <w:r>
                  <w:t>任期终止日期</w:t>
                </w:r>
              </w:p>
            </w:tc>
          </w:sdtContent>
        </w:sdt>
      </w:tr>
      <w:tr w:rsidR="005E000F" w14:paraId="68F71E3C" w14:textId="77777777">
        <w:trPr>
          <w:trHeight w:val="147"/>
        </w:trPr>
        <w:tc>
          <w:tcPr>
            <w:tcW w:w="1101" w:type="dxa"/>
            <w:vAlign w:val="center"/>
          </w:tcPr>
          <w:p w14:paraId="428DD7D6" w14:textId="77777777" w:rsidR="005E000F" w:rsidRDefault="00000000">
            <w:proofErr w:type="gramStart"/>
            <w:r>
              <w:t>陆勇</w:t>
            </w:r>
            <w:proofErr w:type="gramEnd"/>
          </w:p>
        </w:tc>
        <w:tc>
          <w:tcPr>
            <w:tcW w:w="3260" w:type="dxa"/>
            <w:vAlign w:val="center"/>
          </w:tcPr>
          <w:p w14:paraId="569DF20D" w14:textId="77777777" w:rsidR="005E000F" w:rsidRDefault="00000000">
            <w:r>
              <w:t>大西铁路客运专线有限责任公司</w:t>
            </w:r>
          </w:p>
        </w:tc>
        <w:tc>
          <w:tcPr>
            <w:tcW w:w="1625" w:type="dxa"/>
            <w:vAlign w:val="center"/>
          </w:tcPr>
          <w:p w14:paraId="045BB73D" w14:textId="77777777" w:rsidR="005E000F" w:rsidRDefault="00000000">
            <w:r>
              <w:t>董事长</w:t>
            </w:r>
          </w:p>
        </w:tc>
        <w:tc>
          <w:tcPr>
            <w:tcW w:w="1526" w:type="dxa"/>
            <w:vAlign w:val="center"/>
          </w:tcPr>
          <w:p w14:paraId="4D9162D2" w14:textId="77777777" w:rsidR="005E000F" w:rsidRDefault="00000000">
            <w:r>
              <w:t>2024</w:t>
            </w:r>
            <w:r>
              <w:t>年</w:t>
            </w:r>
            <w:r>
              <w:t>6</w:t>
            </w:r>
            <w:r>
              <w:t>月</w:t>
            </w:r>
          </w:p>
        </w:tc>
        <w:tc>
          <w:tcPr>
            <w:tcW w:w="1536" w:type="dxa"/>
            <w:vAlign w:val="center"/>
          </w:tcPr>
          <w:p w14:paraId="5D88ECF3" w14:textId="77777777" w:rsidR="005E000F" w:rsidRDefault="005E000F"/>
        </w:tc>
      </w:tr>
      <w:tr w:rsidR="005E000F" w14:paraId="4BC8E383" w14:textId="77777777">
        <w:trPr>
          <w:trHeight w:val="147"/>
        </w:trPr>
        <w:tc>
          <w:tcPr>
            <w:tcW w:w="1101" w:type="dxa"/>
            <w:vAlign w:val="center"/>
          </w:tcPr>
          <w:p w14:paraId="6B4FDC94" w14:textId="77777777" w:rsidR="005E000F" w:rsidRDefault="00000000">
            <w:r>
              <w:rPr>
                <w:rFonts w:hint="eastAsia"/>
              </w:rPr>
              <w:t>杨涛</w:t>
            </w:r>
          </w:p>
        </w:tc>
        <w:tc>
          <w:tcPr>
            <w:tcW w:w="3260" w:type="dxa"/>
            <w:vAlign w:val="center"/>
          </w:tcPr>
          <w:p w14:paraId="71CE1279" w14:textId="77777777" w:rsidR="005E000F" w:rsidRDefault="00000000">
            <w:proofErr w:type="gramStart"/>
            <w:r>
              <w:rPr>
                <w:rFonts w:hint="eastAsia"/>
              </w:rPr>
              <w:t>国能朔黄</w:t>
            </w:r>
            <w:proofErr w:type="gramEnd"/>
            <w:r>
              <w:rPr>
                <w:rFonts w:hint="eastAsia"/>
              </w:rPr>
              <w:t>铁路发展有限责任公司</w:t>
            </w:r>
          </w:p>
        </w:tc>
        <w:tc>
          <w:tcPr>
            <w:tcW w:w="1625" w:type="dxa"/>
            <w:vAlign w:val="center"/>
          </w:tcPr>
          <w:p w14:paraId="09A79DC7" w14:textId="77777777" w:rsidR="005E000F" w:rsidRDefault="00000000">
            <w:r>
              <w:rPr>
                <w:rFonts w:hint="eastAsia"/>
              </w:rPr>
              <w:t>副董事长</w:t>
            </w:r>
          </w:p>
        </w:tc>
        <w:tc>
          <w:tcPr>
            <w:tcW w:w="1526" w:type="dxa"/>
            <w:vAlign w:val="center"/>
          </w:tcPr>
          <w:p w14:paraId="7E5C8B78" w14:textId="77777777" w:rsidR="005E000F" w:rsidRDefault="00000000">
            <w:r>
              <w:rPr>
                <w:rFonts w:hint="eastAsia"/>
              </w:rPr>
              <w:t>2025</w:t>
            </w:r>
            <w:r>
              <w:rPr>
                <w:rFonts w:hint="eastAsia"/>
              </w:rPr>
              <w:t>年</w:t>
            </w:r>
            <w:r>
              <w:rPr>
                <w:rFonts w:hint="eastAsia"/>
              </w:rPr>
              <w:t>9</w:t>
            </w:r>
            <w:r>
              <w:rPr>
                <w:rFonts w:hint="eastAsia"/>
              </w:rPr>
              <w:t>月</w:t>
            </w:r>
          </w:p>
        </w:tc>
        <w:tc>
          <w:tcPr>
            <w:tcW w:w="1536" w:type="dxa"/>
            <w:vAlign w:val="center"/>
          </w:tcPr>
          <w:p w14:paraId="3F5F72EE" w14:textId="77777777" w:rsidR="005E000F" w:rsidRDefault="005E000F"/>
        </w:tc>
      </w:tr>
      <w:tr w:rsidR="005E000F" w14:paraId="33FB617D" w14:textId="77777777">
        <w:trPr>
          <w:trHeight w:val="147"/>
        </w:trPr>
        <w:tc>
          <w:tcPr>
            <w:tcW w:w="1101" w:type="dxa"/>
            <w:vAlign w:val="center"/>
          </w:tcPr>
          <w:p w14:paraId="74CCE444" w14:textId="77777777" w:rsidR="005E000F" w:rsidRDefault="00000000">
            <w:r>
              <w:t>杨文胜</w:t>
            </w:r>
          </w:p>
        </w:tc>
        <w:tc>
          <w:tcPr>
            <w:tcW w:w="3260" w:type="dxa"/>
            <w:vAlign w:val="center"/>
          </w:tcPr>
          <w:p w14:paraId="735DF013" w14:textId="77777777" w:rsidR="005E000F" w:rsidRDefault="00000000">
            <w:r>
              <w:t>全国煤炭交易中心有限公司</w:t>
            </w:r>
          </w:p>
        </w:tc>
        <w:tc>
          <w:tcPr>
            <w:tcW w:w="1625" w:type="dxa"/>
            <w:vAlign w:val="center"/>
          </w:tcPr>
          <w:p w14:paraId="75CFEDFA" w14:textId="77777777" w:rsidR="005E000F" w:rsidRDefault="00000000">
            <w:r>
              <w:t>董事</w:t>
            </w:r>
          </w:p>
        </w:tc>
        <w:tc>
          <w:tcPr>
            <w:tcW w:w="1526" w:type="dxa"/>
            <w:vAlign w:val="center"/>
          </w:tcPr>
          <w:p w14:paraId="44E9915F" w14:textId="77777777" w:rsidR="005E000F" w:rsidRDefault="00000000">
            <w:r>
              <w:t>2019</w:t>
            </w:r>
            <w:r>
              <w:t>年</w:t>
            </w:r>
            <w:r>
              <w:t>6</w:t>
            </w:r>
            <w:r>
              <w:t>月</w:t>
            </w:r>
          </w:p>
        </w:tc>
        <w:tc>
          <w:tcPr>
            <w:tcW w:w="1536" w:type="dxa"/>
            <w:vAlign w:val="center"/>
          </w:tcPr>
          <w:p w14:paraId="4F7AC599" w14:textId="77777777" w:rsidR="005E000F" w:rsidRDefault="005E000F"/>
        </w:tc>
      </w:tr>
      <w:tr w:rsidR="005E000F" w14:paraId="24213D7C" w14:textId="77777777">
        <w:trPr>
          <w:trHeight w:val="147"/>
        </w:trPr>
        <w:tc>
          <w:tcPr>
            <w:tcW w:w="1101" w:type="dxa"/>
            <w:vAlign w:val="center"/>
          </w:tcPr>
          <w:p w14:paraId="4DD7C942" w14:textId="77777777" w:rsidR="005E000F" w:rsidRDefault="00000000">
            <w:proofErr w:type="gramStart"/>
            <w:r>
              <w:rPr>
                <w:rFonts w:hint="eastAsia"/>
              </w:rPr>
              <w:t>陈鹏君</w:t>
            </w:r>
            <w:proofErr w:type="gramEnd"/>
          </w:p>
        </w:tc>
        <w:tc>
          <w:tcPr>
            <w:tcW w:w="3260" w:type="dxa"/>
            <w:vAlign w:val="center"/>
          </w:tcPr>
          <w:p w14:paraId="6A50C270" w14:textId="77777777" w:rsidR="005E000F" w:rsidRDefault="00000000">
            <w:r>
              <w:rPr>
                <w:rFonts w:hint="eastAsia"/>
              </w:rPr>
              <w:t>中国中信金融资产国际控股有限公司</w:t>
            </w:r>
          </w:p>
        </w:tc>
        <w:tc>
          <w:tcPr>
            <w:tcW w:w="1625" w:type="dxa"/>
            <w:vAlign w:val="center"/>
          </w:tcPr>
          <w:p w14:paraId="37403E3F" w14:textId="77777777" w:rsidR="005E000F" w:rsidRDefault="00000000">
            <w:r>
              <w:rPr>
                <w:rFonts w:hint="eastAsia"/>
              </w:rPr>
              <w:t>董事</w:t>
            </w:r>
          </w:p>
        </w:tc>
        <w:tc>
          <w:tcPr>
            <w:tcW w:w="1526" w:type="dxa"/>
            <w:vAlign w:val="center"/>
          </w:tcPr>
          <w:p w14:paraId="36A0BE85" w14:textId="77777777" w:rsidR="005E000F" w:rsidRDefault="00000000">
            <w:r>
              <w:rPr>
                <w:rFonts w:hint="eastAsia"/>
              </w:rPr>
              <w:t>2024</w:t>
            </w:r>
            <w:r>
              <w:rPr>
                <w:rFonts w:hint="eastAsia"/>
              </w:rPr>
              <w:t>年</w:t>
            </w:r>
            <w:r>
              <w:rPr>
                <w:rFonts w:hint="eastAsia"/>
              </w:rPr>
              <w:t>6</w:t>
            </w:r>
            <w:r>
              <w:rPr>
                <w:rFonts w:hint="eastAsia"/>
              </w:rPr>
              <w:t>月</w:t>
            </w:r>
          </w:p>
        </w:tc>
        <w:tc>
          <w:tcPr>
            <w:tcW w:w="1536" w:type="dxa"/>
            <w:vAlign w:val="center"/>
          </w:tcPr>
          <w:p w14:paraId="4FB9C0AB" w14:textId="77777777" w:rsidR="005E000F" w:rsidRDefault="005E000F"/>
        </w:tc>
      </w:tr>
      <w:tr w:rsidR="005E000F" w14:paraId="6FC6D89A" w14:textId="77777777">
        <w:trPr>
          <w:trHeight w:val="147"/>
        </w:trPr>
        <w:tc>
          <w:tcPr>
            <w:tcW w:w="1101" w:type="dxa"/>
            <w:vAlign w:val="center"/>
          </w:tcPr>
          <w:p w14:paraId="2A407DF6" w14:textId="77777777" w:rsidR="005E000F" w:rsidRDefault="00000000">
            <w:proofErr w:type="gramStart"/>
            <w:r>
              <w:rPr>
                <w:rFonts w:hint="eastAsia"/>
              </w:rPr>
              <w:t>陈鹏君</w:t>
            </w:r>
            <w:proofErr w:type="gramEnd"/>
          </w:p>
        </w:tc>
        <w:tc>
          <w:tcPr>
            <w:tcW w:w="3260" w:type="dxa"/>
            <w:vAlign w:val="center"/>
          </w:tcPr>
          <w:p w14:paraId="072D1DE3" w14:textId="77777777" w:rsidR="005E000F" w:rsidRDefault="00000000">
            <w:r>
              <w:rPr>
                <w:rFonts w:hint="eastAsia"/>
              </w:rPr>
              <w:t>中国电力国际发展有限公司</w:t>
            </w:r>
          </w:p>
        </w:tc>
        <w:tc>
          <w:tcPr>
            <w:tcW w:w="1625" w:type="dxa"/>
            <w:vAlign w:val="center"/>
          </w:tcPr>
          <w:p w14:paraId="68E046EF" w14:textId="77777777" w:rsidR="005E000F" w:rsidRDefault="00000000">
            <w:r>
              <w:rPr>
                <w:rFonts w:hint="eastAsia"/>
              </w:rPr>
              <w:t>非执行董事</w:t>
            </w:r>
          </w:p>
        </w:tc>
        <w:tc>
          <w:tcPr>
            <w:tcW w:w="1526" w:type="dxa"/>
            <w:vAlign w:val="center"/>
          </w:tcPr>
          <w:p w14:paraId="7F0E24DF" w14:textId="77777777" w:rsidR="005E000F" w:rsidRDefault="00000000">
            <w:r>
              <w:rPr>
                <w:rFonts w:hint="eastAsia"/>
              </w:rPr>
              <w:t>2024</w:t>
            </w:r>
            <w:r>
              <w:rPr>
                <w:rFonts w:hint="eastAsia"/>
              </w:rPr>
              <w:t>年</w:t>
            </w:r>
            <w:r>
              <w:rPr>
                <w:rFonts w:hint="eastAsia"/>
              </w:rPr>
              <w:t>11</w:t>
            </w:r>
            <w:r>
              <w:rPr>
                <w:rFonts w:hint="eastAsia"/>
              </w:rPr>
              <w:t>月</w:t>
            </w:r>
          </w:p>
        </w:tc>
        <w:tc>
          <w:tcPr>
            <w:tcW w:w="1536" w:type="dxa"/>
            <w:vAlign w:val="center"/>
          </w:tcPr>
          <w:p w14:paraId="5CA98E59" w14:textId="77777777" w:rsidR="005E000F" w:rsidRDefault="005E000F"/>
        </w:tc>
      </w:tr>
      <w:tr w:rsidR="005E000F" w14:paraId="620CC88A" w14:textId="77777777">
        <w:trPr>
          <w:trHeight w:val="147"/>
        </w:trPr>
        <w:tc>
          <w:tcPr>
            <w:tcW w:w="1101" w:type="dxa"/>
            <w:vAlign w:val="center"/>
          </w:tcPr>
          <w:p w14:paraId="3A7077D8" w14:textId="77777777" w:rsidR="005E000F" w:rsidRDefault="00000000">
            <w:r>
              <w:t>郝生跃</w:t>
            </w:r>
          </w:p>
        </w:tc>
        <w:tc>
          <w:tcPr>
            <w:tcW w:w="3260" w:type="dxa"/>
            <w:vAlign w:val="center"/>
          </w:tcPr>
          <w:p w14:paraId="07B26287" w14:textId="77777777" w:rsidR="005E000F" w:rsidRDefault="00000000">
            <w:r>
              <w:t>北京交通大学</w:t>
            </w:r>
          </w:p>
        </w:tc>
        <w:tc>
          <w:tcPr>
            <w:tcW w:w="1625" w:type="dxa"/>
            <w:vAlign w:val="center"/>
          </w:tcPr>
          <w:p w14:paraId="617A8C57" w14:textId="77777777" w:rsidR="005E000F" w:rsidRDefault="00000000">
            <w:r>
              <w:t>教授</w:t>
            </w:r>
          </w:p>
        </w:tc>
        <w:tc>
          <w:tcPr>
            <w:tcW w:w="1526" w:type="dxa"/>
            <w:vAlign w:val="center"/>
          </w:tcPr>
          <w:p w14:paraId="3566C165" w14:textId="77777777" w:rsidR="005E000F" w:rsidRDefault="00000000">
            <w:r>
              <w:t>2001</w:t>
            </w:r>
            <w:r>
              <w:t>年</w:t>
            </w:r>
            <w:r>
              <w:t>7</w:t>
            </w:r>
            <w:r>
              <w:t>月</w:t>
            </w:r>
          </w:p>
        </w:tc>
        <w:tc>
          <w:tcPr>
            <w:tcW w:w="1536" w:type="dxa"/>
            <w:vAlign w:val="center"/>
          </w:tcPr>
          <w:p w14:paraId="421606B9" w14:textId="77777777" w:rsidR="005E000F" w:rsidRDefault="005E000F"/>
        </w:tc>
      </w:tr>
      <w:tr w:rsidR="005E000F" w14:paraId="0B42B1DE" w14:textId="77777777">
        <w:trPr>
          <w:trHeight w:val="147"/>
        </w:trPr>
        <w:tc>
          <w:tcPr>
            <w:tcW w:w="1101" w:type="dxa"/>
            <w:vAlign w:val="center"/>
          </w:tcPr>
          <w:p w14:paraId="1F762E1A" w14:textId="77777777" w:rsidR="005E000F" w:rsidRDefault="00000000">
            <w:r>
              <w:t>郝生跃</w:t>
            </w:r>
          </w:p>
        </w:tc>
        <w:tc>
          <w:tcPr>
            <w:tcW w:w="3260" w:type="dxa"/>
            <w:vAlign w:val="center"/>
          </w:tcPr>
          <w:p w14:paraId="13D3585D" w14:textId="77777777" w:rsidR="005E000F" w:rsidRDefault="00000000">
            <w:r>
              <w:t>中化明达控股集团有限公司</w:t>
            </w:r>
          </w:p>
        </w:tc>
        <w:tc>
          <w:tcPr>
            <w:tcW w:w="1625" w:type="dxa"/>
            <w:vAlign w:val="center"/>
          </w:tcPr>
          <w:p w14:paraId="2DF1B51D" w14:textId="77777777" w:rsidR="005E000F" w:rsidRDefault="00000000">
            <w:r>
              <w:t>外部董事</w:t>
            </w:r>
          </w:p>
        </w:tc>
        <w:tc>
          <w:tcPr>
            <w:tcW w:w="1526" w:type="dxa"/>
            <w:vAlign w:val="center"/>
          </w:tcPr>
          <w:p w14:paraId="2CBDDE65" w14:textId="77777777" w:rsidR="005E000F" w:rsidRDefault="00000000">
            <w:r>
              <w:t>2020</w:t>
            </w:r>
            <w:r>
              <w:t>年</w:t>
            </w:r>
            <w:r>
              <w:t>1</w:t>
            </w:r>
            <w:r>
              <w:t>月</w:t>
            </w:r>
          </w:p>
        </w:tc>
        <w:tc>
          <w:tcPr>
            <w:tcW w:w="1536" w:type="dxa"/>
            <w:vAlign w:val="center"/>
          </w:tcPr>
          <w:p w14:paraId="0B099FC3" w14:textId="77777777" w:rsidR="005E000F" w:rsidRDefault="005E000F"/>
        </w:tc>
      </w:tr>
      <w:tr w:rsidR="005E000F" w14:paraId="4A2B5030" w14:textId="77777777">
        <w:trPr>
          <w:trHeight w:val="147"/>
        </w:trPr>
        <w:tc>
          <w:tcPr>
            <w:tcW w:w="1101" w:type="dxa"/>
            <w:vAlign w:val="center"/>
          </w:tcPr>
          <w:p w14:paraId="18AE43B4" w14:textId="77777777" w:rsidR="005E000F" w:rsidRDefault="00000000">
            <w:r>
              <w:t>郝生跃</w:t>
            </w:r>
          </w:p>
        </w:tc>
        <w:tc>
          <w:tcPr>
            <w:tcW w:w="3260" w:type="dxa"/>
            <w:vAlign w:val="center"/>
          </w:tcPr>
          <w:p w14:paraId="706810C0" w14:textId="77777777" w:rsidR="005E000F" w:rsidRDefault="00000000">
            <w:r>
              <w:rPr>
                <w:rFonts w:hint="eastAsia"/>
              </w:rPr>
              <w:t>北京北辰实业集团有限责任公司</w:t>
            </w:r>
          </w:p>
        </w:tc>
        <w:tc>
          <w:tcPr>
            <w:tcW w:w="1625" w:type="dxa"/>
            <w:vAlign w:val="center"/>
          </w:tcPr>
          <w:p w14:paraId="63579713" w14:textId="77777777" w:rsidR="005E000F" w:rsidRDefault="00000000">
            <w:r>
              <w:t>外部董事</w:t>
            </w:r>
          </w:p>
        </w:tc>
        <w:tc>
          <w:tcPr>
            <w:tcW w:w="1526" w:type="dxa"/>
            <w:vAlign w:val="center"/>
          </w:tcPr>
          <w:p w14:paraId="324BA186" w14:textId="77777777" w:rsidR="005E000F" w:rsidRDefault="00000000">
            <w:r>
              <w:t>20</w:t>
            </w:r>
            <w:r>
              <w:rPr>
                <w:rFonts w:hint="eastAsia"/>
              </w:rPr>
              <w:t>25</w:t>
            </w:r>
            <w:r>
              <w:t>年</w:t>
            </w:r>
            <w:r>
              <w:rPr>
                <w:rFonts w:hint="eastAsia"/>
              </w:rPr>
              <w:t>4</w:t>
            </w:r>
            <w:r>
              <w:t>月</w:t>
            </w:r>
          </w:p>
        </w:tc>
        <w:tc>
          <w:tcPr>
            <w:tcW w:w="1536" w:type="dxa"/>
            <w:vAlign w:val="center"/>
          </w:tcPr>
          <w:p w14:paraId="1A80618E" w14:textId="77777777" w:rsidR="005E000F" w:rsidRDefault="005E000F"/>
        </w:tc>
      </w:tr>
      <w:tr w:rsidR="005E000F" w14:paraId="3B4E83D2" w14:textId="77777777">
        <w:trPr>
          <w:trHeight w:val="147"/>
        </w:trPr>
        <w:tc>
          <w:tcPr>
            <w:tcW w:w="1101" w:type="dxa"/>
            <w:vAlign w:val="center"/>
          </w:tcPr>
          <w:p w14:paraId="7AB025D7" w14:textId="77777777" w:rsidR="005E000F" w:rsidRDefault="00000000">
            <w:r>
              <w:t>郝生跃</w:t>
            </w:r>
          </w:p>
        </w:tc>
        <w:tc>
          <w:tcPr>
            <w:tcW w:w="3260" w:type="dxa"/>
            <w:vAlign w:val="center"/>
          </w:tcPr>
          <w:p w14:paraId="52A8923B" w14:textId="77777777" w:rsidR="005E000F" w:rsidRDefault="00000000">
            <w:r>
              <w:t>河北高速公路集团有限公司</w:t>
            </w:r>
          </w:p>
        </w:tc>
        <w:tc>
          <w:tcPr>
            <w:tcW w:w="1625" w:type="dxa"/>
            <w:vAlign w:val="center"/>
          </w:tcPr>
          <w:p w14:paraId="27FEB548" w14:textId="77777777" w:rsidR="005E000F" w:rsidRDefault="00000000">
            <w:r>
              <w:t>外部董事</w:t>
            </w:r>
          </w:p>
        </w:tc>
        <w:tc>
          <w:tcPr>
            <w:tcW w:w="1526" w:type="dxa"/>
            <w:vAlign w:val="center"/>
          </w:tcPr>
          <w:p w14:paraId="717D4872" w14:textId="77777777" w:rsidR="005E000F" w:rsidRDefault="00000000">
            <w:r>
              <w:t>2022</w:t>
            </w:r>
            <w:r>
              <w:t>年</w:t>
            </w:r>
            <w:r>
              <w:t>9</w:t>
            </w:r>
            <w:r>
              <w:t>月</w:t>
            </w:r>
          </w:p>
        </w:tc>
        <w:tc>
          <w:tcPr>
            <w:tcW w:w="1536" w:type="dxa"/>
            <w:vAlign w:val="center"/>
          </w:tcPr>
          <w:p w14:paraId="6E512D94" w14:textId="77777777" w:rsidR="005E000F" w:rsidRDefault="005E000F"/>
        </w:tc>
      </w:tr>
      <w:tr w:rsidR="005E000F" w14:paraId="19FE72E3" w14:textId="77777777">
        <w:trPr>
          <w:trHeight w:val="147"/>
        </w:trPr>
        <w:tc>
          <w:tcPr>
            <w:tcW w:w="1101" w:type="dxa"/>
            <w:vAlign w:val="center"/>
          </w:tcPr>
          <w:p w14:paraId="4E23EF46" w14:textId="77777777" w:rsidR="005E000F" w:rsidRDefault="00000000">
            <w:r>
              <w:t>许光建</w:t>
            </w:r>
          </w:p>
        </w:tc>
        <w:tc>
          <w:tcPr>
            <w:tcW w:w="3260" w:type="dxa"/>
            <w:vAlign w:val="center"/>
          </w:tcPr>
          <w:p w14:paraId="539F1E0E" w14:textId="77777777" w:rsidR="005E000F" w:rsidRDefault="00000000">
            <w:r>
              <w:t>中国人民大学</w:t>
            </w:r>
          </w:p>
        </w:tc>
        <w:tc>
          <w:tcPr>
            <w:tcW w:w="1625" w:type="dxa"/>
            <w:vAlign w:val="center"/>
          </w:tcPr>
          <w:p w14:paraId="1A50DFD2" w14:textId="77777777" w:rsidR="005E000F" w:rsidRDefault="00000000">
            <w:r>
              <w:t>教授</w:t>
            </w:r>
          </w:p>
        </w:tc>
        <w:tc>
          <w:tcPr>
            <w:tcW w:w="1526" w:type="dxa"/>
            <w:vAlign w:val="center"/>
          </w:tcPr>
          <w:p w14:paraId="2BA741E0" w14:textId="77777777" w:rsidR="005E000F" w:rsidRDefault="00000000">
            <w:r>
              <w:t>1997</w:t>
            </w:r>
            <w:r>
              <w:t>年</w:t>
            </w:r>
            <w:r>
              <w:t>6</w:t>
            </w:r>
            <w:r>
              <w:t>月</w:t>
            </w:r>
          </w:p>
        </w:tc>
        <w:tc>
          <w:tcPr>
            <w:tcW w:w="1536" w:type="dxa"/>
            <w:vAlign w:val="center"/>
          </w:tcPr>
          <w:p w14:paraId="4A96E5E6" w14:textId="77777777" w:rsidR="005E000F" w:rsidRDefault="005E000F"/>
        </w:tc>
      </w:tr>
      <w:tr w:rsidR="005E000F" w14:paraId="34517423" w14:textId="77777777">
        <w:trPr>
          <w:trHeight w:val="147"/>
        </w:trPr>
        <w:tc>
          <w:tcPr>
            <w:tcW w:w="1101" w:type="dxa"/>
            <w:vAlign w:val="center"/>
          </w:tcPr>
          <w:p w14:paraId="518A2922" w14:textId="77777777" w:rsidR="005E000F" w:rsidRDefault="00000000">
            <w:r>
              <w:t>樊燕萍</w:t>
            </w:r>
          </w:p>
        </w:tc>
        <w:tc>
          <w:tcPr>
            <w:tcW w:w="3260" w:type="dxa"/>
            <w:vAlign w:val="center"/>
          </w:tcPr>
          <w:p w14:paraId="3C58DFCF" w14:textId="77777777" w:rsidR="005E000F" w:rsidRDefault="00000000">
            <w:r>
              <w:t>山西财经大学</w:t>
            </w:r>
          </w:p>
        </w:tc>
        <w:tc>
          <w:tcPr>
            <w:tcW w:w="1625" w:type="dxa"/>
            <w:vAlign w:val="center"/>
          </w:tcPr>
          <w:p w14:paraId="388ED59A" w14:textId="77777777" w:rsidR="005E000F" w:rsidRDefault="00000000">
            <w:r>
              <w:t>教授</w:t>
            </w:r>
          </w:p>
        </w:tc>
        <w:tc>
          <w:tcPr>
            <w:tcW w:w="1526" w:type="dxa"/>
            <w:vAlign w:val="center"/>
          </w:tcPr>
          <w:p w14:paraId="5AA540C5" w14:textId="77777777" w:rsidR="005E000F" w:rsidRDefault="00000000">
            <w:r>
              <w:t>2018</w:t>
            </w:r>
            <w:r>
              <w:t>年</w:t>
            </w:r>
            <w:r>
              <w:t>5</w:t>
            </w:r>
            <w:r>
              <w:t>月</w:t>
            </w:r>
          </w:p>
        </w:tc>
        <w:tc>
          <w:tcPr>
            <w:tcW w:w="1536" w:type="dxa"/>
            <w:vAlign w:val="center"/>
          </w:tcPr>
          <w:p w14:paraId="10B2BEE1" w14:textId="77777777" w:rsidR="005E000F" w:rsidRDefault="005E000F"/>
        </w:tc>
      </w:tr>
      <w:tr w:rsidR="005E000F" w14:paraId="59800CA4" w14:textId="77777777">
        <w:trPr>
          <w:trHeight w:val="147"/>
        </w:trPr>
        <w:tc>
          <w:tcPr>
            <w:tcW w:w="1101" w:type="dxa"/>
            <w:vAlign w:val="center"/>
          </w:tcPr>
          <w:p w14:paraId="33E1379C" w14:textId="77777777" w:rsidR="005E000F" w:rsidRDefault="00000000">
            <w:r>
              <w:t>樊燕萍</w:t>
            </w:r>
          </w:p>
        </w:tc>
        <w:tc>
          <w:tcPr>
            <w:tcW w:w="3260" w:type="dxa"/>
            <w:vAlign w:val="center"/>
          </w:tcPr>
          <w:p w14:paraId="621F2DCB" w14:textId="77777777" w:rsidR="005E000F" w:rsidRDefault="00000000">
            <w:r>
              <w:t>山西杏花村汾酒厂股份有限公司</w:t>
            </w:r>
          </w:p>
        </w:tc>
        <w:tc>
          <w:tcPr>
            <w:tcW w:w="1625" w:type="dxa"/>
            <w:vAlign w:val="center"/>
          </w:tcPr>
          <w:p w14:paraId="612CA195" w14:textId="77777777" w:rsidR="005E000F" w:rsidRDefault="00000000">
            <w:r>
              <w:t>独立董事</w:t>
            </w:r>
          </w:p>
        </w:tc>
        <w:tc>
          <w:tcPr>
            <w:tcW w:w="1526" w:type="dxa"/>
            <w:vAlign w:val="center"/>
          </w:tcPr>
          <w:p w14:paraId="083FACFF" w14:textId="77777777" w:rsidR="005E000F" w:rsidRDefault="00000000">
            <w:r>
              <w:t>2022</w:t>
            </w:r>
            <w:r>
              <w:t>年</w:t>
            </w:r>
            <w:r>
              <w:t>6</w:t>
            </w:r>
            <w:r>
              <w:t>月</w:t>
            </w:r>
          </w:p>
        </w:tc>
        <w:tc>
          <w:tcPr>
            <w:tcW w:w="1536" w:type="dxa"/>
            <w:vAlign w:val="center"/>
          </w:tcPr>
          <w:p w14:paraId="0DDC5A47" w14:textId="77777777" w:rsidR="005E000F" w:rsidRDefault="005E000F"/>
        </w:tc>
      </w:tr>
      <w:tr w:rsidR="005E000F" w14:paraId="605AC6EF" w14:textId="77777777">
        <w:trPr>
          <w:trHeight w:val="147"/>
        </w:trPr>
        <w:tc>
          <w:tcPr>
            <w:tcW w:w="1101" w:type="dxa"/>
            <w:vAlign w:val="center"/>
          </w:tcPr>
          <w:p w14:paraId="2071C7EC" w14:textId="77777777" w:rsidR="005E000F" w:rsidRDefault="00000000">
            <w:r>
              <w:t>樊燕萍</w:t>
            </w:r>
          </w:p>
        </w:tc>
        <w:tc>
          <w:tcPr>
            <w:tcW w:w="3260" w:type="dxa"/>
            <w:vAlign w:val="center"/>
          </w:tcPr>
          <w:p w14:paraId="480F6221" w14:textId="77777777" w:rsidR="005E000F" w:rsidRDefault="00000000">
            <w:r>
              <w:t>晋能控股山西电力股份有限公司</w:t>
            </w:r>
          </w:p>
        </w:tc>
        <w:tc>
          <w:tcPr>
            <w:tcW w:w="1625" w:type="dxa"/>
            <w:vAlign w:val="center"/>
          </w:tcPr>
          <w:p w14:paraId="11346B13" w14:textId="77777777" w:rsidR="005E000F" w:rsidRDefault="00000000">
            <w:r>
              <w:t>独立董事</w:t>
            </w:r>
          </w:p>
        </w:tc>
        <w:tc>
          <w:tcPr>
            <w:tcW w:w="1526" w:type="dxa"/>
            <w:vAlign w:val="center"/>
          </w:tcPr>
          <w:p w14:paraId="22FC7EA3" w14:textId="77777777" w:rsidR="005E000F" w:rsidRDefault="00000000">
            <w:r>
              <w:t>2023</w:t>
            </w:r>
            <w:r>
              <w:t>年</w:t>
            </w:r>
            <w:r>
              <w:t>2</w:t>
            </w:r>
            <w:r>
              <w:t>月</w:t>
            </w:r>
          </w:p>
        </w:tc>
        <w:tc>
          <w:tcPr>
            <w:tcW w:w="1536" w:type="dxa"/>
            <w:vAlign w:val="center"/>
          </w:tcPr>
          <w:p w14:paraId="4B92F8AC" w14:textId="77777777" w:rsidR="005E000F" w:rsidRDefault="005E000F"/>
        </w:tc>
      </w:tr>
      <w:tr w:rsidR="005E000F" w14:paraId="72659635" w14:textId="77777777">
        <w:trPr>
          <w:trHeight w:val="147"/>
        </w:trPr>
        <w:tc>
          <w:tcPr>
            <w:tcW w:w="1101" w:type="dxa"/>
            <w:vAlign w:val="center"/>
          </w:tcPr>
          <w:p w14:paraId="158EA09C" w14:textId="77777777" w:rsidR="005E000F" w:rsidRDefault="00000000">
            <w:r>
              <w:t>朱玉杰</w:t>
            </w:r>
          </w:p>
        </w:tc>
        <w:tc>
          <w:tcPr>
            <w:tcW w:w="3260" w:type="dxa"/>
            <w:vAlign w:val="center"/>
          </w:tcPr>
          <w:p w14:paraId="1BB435B9" w14:textId="77777777" w:rsidR="005E000F" w:rsidRDefault="00000000">
            <w:r>
              <w:t>清华大学</w:t>
            </w:r>
          </w:p>
        </w:tc>
        <w:tc>
          <w:tcPr>
            <w:tcW w:w="1625" w:type="dxa"/>
            <w:vAlign w:val="center"/>
          </w:tcPr>
          <w:p w14:paraId="6B7DC4C2" w14:textId="77777777" w:rsidR="005E000F" w:rsidRDefault="00000000">
            <w:r>
              <w:t>教授</w:t>
            </w:r>
          </w:p>
        </w:tc>
        <w:tc>
          <w:tcPr>
            <w:tcW w:w="1526" w:type="dxa"/>
            <w:vAlign w:val="center"/>
          </w:tcPr>
          <w:p w14:paraId="52F23C6A" w14:textId="77777777" w:rsidR="005E000F" w:rsidRDefault="00000000">
            <w:r>
              <w:t>2009</w:t>
            </w:r>
            <w:r>
              <w:t>年</w:t>
            </w:r>
            <w:r>
              <w:t>12</w:t>
            </w:r>
            <w:r>
              <w:t>月</w:t>
            </w:r>
          </w:p>
        </w:tc>
        <w:tc>
          <w:tcPr>
            <w:tcW w:w="1536" w:type="dxa"/>
            <w:vAlign w:val="center"/>
          </w:tcPr>
          <w:p w14:paraId="320484C0" w14:textId="77777777" w:rsidR="005E000F" w:rsidRDefault="005E000F"/>
        </w:tc>
      </w:tr>
      <w:tr w:rsidR="005E000F" w14:paraId="3B933EC4" w14:textId="77777777">
        <w:trPr>
          <w:trHeight w:val="147"/>
        </w:trPr>
        <w:tc>
          <w:tcPr>
            <w:tcW w:w="1101" w:type="dxa"/>
            <w:vAlign w:val="center"/>
          </w:tcPr>
          <w:p w14:paraId="3E407500" w14:textId="77777777" w:rsidR="005E000F" w:rsidRDefault="00000000">
            <w:r>
              <w:t>朱玉杰</w:t>
            </w:r>
          </w:p>
        </w:tc>
        <w:tc>
          <w:tcPr>
            <w:tcW w:w="3260" w:type="dxa"/>
            <w:vAlign w:val="center"/>
          </w:tcPr>
          <w:p w14:paraId="49D563AE" w14:textId="77777777" w:rsidR="005E000F" w:rsidRDefault="00000000">
            <w:proofErr w:type="gramStart"/>
            <w:r>
              <w:t>谱尼测试</w:t>
            </w:r>
            <w:proofErr w:type="gramEnd"/>
            <w:r>
              <w:t>集团股份有限公司</w:t>
            </w:r>
          </w:p>
        </w:tc>
        <w:tc>
          <w:tcPr>
            <w:tcW w:w="1625" w:type="dxa"/>
            <w:vAlign w:val="center"/>
          </w:tcPr>
          <w:p w14:paraId="1A5DEC85" w14:textId="77777777" w:rsidR="005E000F" w:rsidRDefault="00000000">
            <w:r>
              <w:t>独立董事</w:t>
            </w:r>
          </w:p>
        </w:tc>
        <w:tc>
          <w:tcPr>
            <w:tcW w:w="1526" w:type="dxa"/>
            <w:vAlign w:val="center"/>
          </w:tcPr>
          <w:p w14:paraId="204769C8" w14:textId="77777777" w:rsidR="005E000F" w:rsidRDefault="00000000">
            <w:r>
              <w:t>2022</w:t>
            </w:r>
            <w:r>
              <w:t>年</w:t>
            </w:r>
            <w:r>
              <w:t>10</w:t>
            </w:r>
            <w:r>
              <w:t>月</w:t>
            </w:r>
          </w:p>
        </w:tc>
        <w:tc>
          <w:tcPr>
            <w:tcW w:w="1536" w:type="dxa"/>
            <w:vAlign w:val="center"/>
          </w:tcPr>
          <w:p w14:paraId="6EB1F1B9" w14:textId="77777777" w:rsidR="005E000F" w:rsidRDefault="005E000F"/>
        </w:tc>
      </w:tr>
      <w:tr w:rsidR="005E000F" w14:paraId="135F558C" w14:textId="77777777">
        <w:trPr>
          <w:trHeight w:val="147"/>
        </w:trPr>
        <w:tc>
          <w:tcPr>
            <w:tcW w:w="1101" w:type="dxa"/>
            <w:vAlign w:val="center"/>
          </w:tcPr>
          <w:p w14:paraId="1ADBC916" w14:textId="77777777" w:rsidR="005E000F" w:rsidRDefault="00000000">
            <w:r>
              <w:t>朱玉杰</w:t>
            </w:r>
          </w:p>
        </w:tc>
        <w:tc>
          <w:tcPr>
            <w:tcW w:w="3260" w:type="dxa"/>
            <w:vAlign w:val="center"/>
          </w:tcPr>
          <w:p w14:paraId="7CBE0956" w14:textId="77777777" w:rsidR="005E000F" w:rsidRDefault="00000000">
            <w:r>
              <w:t>渤海国际信托股份有限公司</w:t>
            </w:r>
          </w:p>
        </w:tc>
        <w:tc>
          <w:tcPr>
            <w:tcW w:w="1625" w:type="dxa"/>
            <w:vAlign w:val="center"/>
          </w:tcPr>
          <w:p w14:paraId="217918DD" w14:textId="77777777" w:rsidR="005E000F" w:rsidRDefault="00000000">
            <w:r>
              <w:t>独立董事</w:t>
            </w:r>
          </w:p>
        </w:tc>
        <w:tc>
          <w:tcPr>
            <w:tcW w:w="1526" w:type="dxa"/>
            <w:vAlign w:val="center"/>
          </w:tcPr>
          <w:p w14:paraId="3DBB8A10" w14:textId="77777777" w:rsidR="005E000F" w:rsidRDefault="00000000">
            <w:r>
              <w:t>2017</w:t>
            </w:r>
            <w:r>
              <w:t>年</w:t>
            </w:r>
            <w:r>
              <w:t>12</w:t>
            </w:r>
            <w:r>
              <w:t>月</w:t>
            </w:r>
          </w:p>
        </w:tc>
        <w:tc>
          <w:tcPr>
            <w:tcW w:w="1536" w:type="dxa"/>
            <w:vAlign w:val="center"/>
          </w:tcPr>
          <w:p w14:paraId="5EAC4EFE" w14:textId="77777777" w:rsidR="005E000F" w:rsidRDefault="005E000F"/>
        </w:tc>
      </w:tr>
      <w:tr w:rsidR="005E000F" w14:paraId="3D045B2F" w14:textId="77777777">
        <w:trPr>
          <w:trHeight w:val="147"/>
        </w:trPr>
        <w:tc>
          <w:tcPr>
            <w:tcW w:w="1101" w:type="dxa"/>
            <w:vAlign w:val="center"/>
          </w:tcPr>
          <w:p w14:paraId="4B618538" w14:textId="77777777" w:rsidR="005E000F" w:rsidRDefault="00000000">
            <w:r>
              <w:t>朱玉杰</w:t>
            </w:r>
          </w:p>
        </w:tc>
        <w:tc>
          <w:tcPr>
            <w:tcW w:w="3260" w:type="dxa"/>
            <w:vAlign w:val="center"/>
          </w:tcPr>
          <w:p w14:paraId="7740995F" w14:textId="77777777" w:rsidR="005E000F" w:rsidRDefault="00000000">
            <w:r>
              <w:t>广东华兴银行股份有限公司</w:t>
            </w:r>
          </w:p>
        </w:tc>
        <w:tc>
          <w:tcPr>
            <w:tcW w:w="1625" w:type="dxa"/>
            <w:vAlign w:val="center"/>
          </w:tcPr>
          <w:p w14:paraId="0448BE29" w14:textId="77777777" w:rsidR="005E000F" w:rsidRDefault="00000000">
            <w:r>
              <w:t>独立董事</w:t>
            </w:r>
          </w:p>
        </w:tc>
        <w:tc>
          <w:tcPr>
            <w:tcW w:w="1526" w:type="dxa"/>
            <w:vAlign w:val="center"/>
          </w:tcPr>
          <w:p w14:paraId="75B3ED0E" w14:textId="77777777" w:rsidR="005E000F" w:rsidRDefault="00000000">
            <w:r>
              <w:t>2018</w:t>
            </w:r>
            <w:r>
              <w:t>年</w:t>
            </w:r>
            <w:r>
              <w:t>11</w:t>
            </w:r>
            <w:r>
              <w:t>月</w:t>
            </w:r>
          </w:p>
        </w:tc>
        <w:tc>
          <w:tcPr>
            <w:tcW w:w="1536" w:type="dxa"/>
            <w:vAlign w:val="center"/>
          </w:tcPr>
          <w:p w14:paraId="129A1AD7" w14:textId="77777777" w:rsidR="005E000F" w:rsidRDefault="005E000F"/>
        </w:tc>
      </w:tr>
      <w:tr w:rsidR="005E000F" w14:paraId="24A47119" w14:textId="77777777">
        <w:trPr>
          <w:trHeight w:val="150"/>
        </w:trPr>
        <w:tc>
          <w:tcPr>
            <w:tcW w:w="1101" w:type="dxa"/>
            <w:vAlign w:val="center"/>
          </w:tcPr>
          <w:p w14:paraId="6B2AF2F0" w14:textId="77777777" w:rsidR="005E000F" w:rsidRDefault="00000000">
            <w:r>
              <w:rPr>
                <w:rFonts w:hint="eastAsia"/>
              </w:rPr>
              <w:t>在其他单位任职情况的说明</w:t>
            </w:r>
          </w:p>
        </w:tc>
        <w:tc>
          <w:tcPr>
            <w:tcW w:w="7947" w:type="dxa"/>
            <w:gridSpan w:val="4"/>
            <w:vAlign w:val="center"/>
          </w:tcPr>
          <w:p w14:paraId="69B6CB5C" w14:textId="77777777" w:rsidR="005E000F" w:rsidRDefault="00000000">
            <w:r>
              <w:rPr>
                <w:rFonts w:hint="eastAsia"/>
              </w:rPr>
              <w:t>无</w:t>
            </w:r>
          </w:p>
        </w:tc>
      </w:tr>
    </w:tbl>
    <w:p w14:paraId="53939C67" w14:textId="77777777" w:rsidR="005E000F" w:rsidRDefault="005E000F"/>
    <w:p w14:paraId="60E410D4" w14:textId="77777777" w:rsidR="005E000F" w:rsidRDefault="00000000">
      <w:pPr>
        <w:pStyle w:val="3"/>
        <w:numPr>
          <w:ilvl w:val="0"/>
          <w:numId w:val="21"/>
        </w:numPr>
        <w:ind w:left="0" w:firstLine="0"/>
      </w:pPr>
      <w:r>
        <w:t>董事</w:t>
      </w:r>
      <w:r>
        <w:rPr>
          <w:rFonts w:hint="eastAsia"/>
        </w:rPr>
        <w:t>、</w:t>
      </w:r>
      <w:r>
        <w:t>高级管理人员</w:t>
      </w:r>
      <w:r>
        <w:rPr>
          <w:rFonts w:hint="eastAsia"/>
        </w:rPr>
        <w:t>薪</w:t>
      </w:r>
      <w:r>
        <w:t>酬情况</w:t>
      </w:r>
    </w:p>
    <w:sdt>
      <w:sdtPr>
        <w:alias w:val="是否适用：董事、监事、高级管理人员报酬情况[双击切换]"/>
        <w:tag w:val="_GBC_670a12b9c1e34498888f2aafd9509848"/>
        <w:id w:val="-1077661353"/>
        <w:placeholder>
          <w:docPart w:val="GBC22222222222222222222222222222"/>
        </w:placeholder>
      </w:sdtPr>
      <w:sdtContent>
        <w:p w14:paraId="2866870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2800"/>
        <w:gridCol w:w="6248"/>
      </w:tblGrid>
      <w:tr w:rsidR="005E000F" w14:paraId="7292AF5F" w14:textId="77777777">
        <w:trPr>
          <w:trHeight w:val="120"/>
        </w:trPr>
        <w:sdt>
          <w:sdtPr>
            <w:tag w:val="_PLD_9e63d19b4bb64b9f8ebbe91d33a629c4"/>
            <w:id w:val="891242616"/>
          </w:sdtPr>
          <w:sdtContent>
            <w:tc>
              <w:tcPr>
                <w:tcW w:w="2800" w:type="dxa"/>
                <w:vAlign w:val="center"/>
              </w:tcPr>
              <w:p w14:paraId="00580F76" w14:textId="77777777" w:rsidR="005E000F" w:rsidRDefault="00000000">
                <w:r>
                  <w:t>董事、高级管理人员薪酬的决策程序</w:t>
                </w:r>
              </w:p>
            </w:tc>
          </w:sdtContent>
        </w:sdt>
        <w:sdt>
          <w:sdtPr>
            <w:rPr>
              <w:rFonts w:hint="eastAsia"/>
            </w:rPr>
            <w:alias w:val="董事、监事、高级管理人员报酬的决策程序"/>
            <w:tag w:val="_GBC_bf64cad6b5d7435388a8e69e2c05dea2"/>
            <w:id w:val="1726104951"/>
          </w:sdtPr>
          <w:sdtContent>
            <w:tc>
              <w:tcPr>
                <w:tcW w:w="6248" w:type="dxa"/>
                <w:vAlign w:val="center"/>
              </w:tcPr>
              <w:p w14:paraId="4D55E082" w14:textId="77777777" w:rsidR="005E000F" w:rsidRDefault="00000000">
                <w:r>
                  <w:rPr>
                    <w:rFonts w:hint="eastAsia"/>
                  </w:rPr>
                  <w:t>根据《公司章程》等相关文件规定，董事的薪酬及津贴制度由董事会拟定，并提交股东会审议确定；高级管理人员的薪酬制度由董事会审议确定。</w:t>
                </w:r>
              </w:p>
            </w:tc>
          </w:sdtContent>
        </w:sdt>
      </w:tr>
      <w:tr w:rsidR="005E000F" w14:paraId="73B06845" w14:textId="77777777">
        <w:trPr>
          <w:trHeight w:val="120"/>
        </w:trPr>
        <w:tc>
          <w:tcPr>
            <w:tcW w:w="2800" w:type="dxa"/>
            <w:vAlign w:val="center"/>
          </w:tcPr>
          <w:p w14:paraId="005EB711" w14:textId="77777777" w:rsidR="005E000F" w:rsidRDefault="00000000">
            <w:r>
              <w:rPr>
                <w:rFonts w:hint="eastAsia"/>
              </w:rPr>
              <w:t>董事在董事会讨论本人薪酬</w:t>
            </w:r>
            <w:r>
              <w:rPr>
                <w:rFonts w:hint="eastAsia"/>
              </w:rPr>
              <w:lastRenderedPageBreak/>
              <w:t>事项时是否回避</w:t>
            </w:r>
          </w:p>
        </w:tc>
        <w:sdt>
          <w:sdtPr>
            <w:alias w:val="董事在董事会讨论本人薪酬事项时是否回避"/>
            <w:tag w:val="_GBC_5e64defbd18444939e9dface4daa0619"/>
            <w:id w:val="751475452"/>
            <w:comboBox>
              <w:listItem w:displayText="是" w:value="是"/>
              <w:listItem w:displayText="否" w:value="否"/>
            </w:comboBox>
          </w:sdtPr>
          <w:sdtContent>
            <w:tc>
              <w:tcPr>
                <w:tcW w:w="6248" w:type="dxa"/>
                <w:vAlign w:val="center"/>
              </w:tcPr>
              <w:p w14:paraId="4CA1BBDA" w14:textId="77777777" w:rsidR="005E000F" w:rsidRDefault="00000000">
                <w:r>
                  <w:t>是</w:t>
                </w:r>
              </w:p>
            </w:tc>
          </w:sdtContent>
        </w:sdt>
      </w:tr>
      <w:tr w:rsidR="005E000F" w14:paraId="31B6A2D2" w14:textId="77777777">
        <w:trPr>
          <w:trHeight w:val="120"/>
        </w:trPr>
        <w:sdt>
          <w:sdtPr>
            <w:tag w:val="_PLD_6b3a77d73be749829b418349bda4ea19"/>
            <w:id w:val="469568018"/>
          </w:sdtPr>
          <w:sdtContent>
            <w:tc>
              <w:tcPr>
                <w:tcW w:w="2800" w:type="dxa"/>
                <w:vAlign w:val="center"/>
              </w:tcPr>
              <w:p w14:paraId="519D11A2" w14:textId="77777777" w:rsidR="005E000F" w:rsidRDefault="00000000">
                <w:r>
                  <w:rPr>
                    <w:rFonts w:hint="eastAsia"/>
                  </w:rPr>
                  <w:t>薪酬与考核委员会或独立董事专门会议关于董事、高级管理人员薪酬事项发表建议的具体情况</w:t>
                </w:r>
              </w:p>
            </w:tc>
          </w:sdtContent>
        </w:sdt>
        <w:tc>
          <w:tcPr>
            <w:tcW w:w="6248" w:type="dxa"/>
            <w:vAlign w:val="center"/>
          </w:tcPr>
          <w:p w14:paraId="11BA435B" w14:textId="77777777" w:rsidR="005E000F" w:rsidRDefault="00000000">
            <w:r>
              <w:rPr>
                <w:rFonts w:hint="eastAsia"/>
              </w:rPr>
              <w:t>薪酬与考核委员会对董事、高级管理人员报酬事项无异议。</w:t>
            </w:r>
          </w:p>
        </w:tc>
      </w:tr>
      <w:tr w:rsidR="005E000F" w14:paraId="5011CCC7" w14:textId="77777777">
        <w:trPr>
          <w:trHeight w:val="165"/>
        </w:trPr>
        <w:sdt>
          <w:sdtPr>
            <w:tag w:val="_PLD_a1d35038246146c0a95c36f146481091"/>
            <w:id w:val="-1604562795"/>
          </w:sdtPr>
          <w:sdtContent>
            <w:tc>
              <w:tcPr>
                <w:tcW w:w="2800" w:type="dxa"/>
                <w:vAlign w:val="center"/>
              </w:tcPr>
              <w:p w14:paraId="469124EF" w14:textId="77777777" w:rsidR="005E000F" w:rsidRDefault="00000000">
                <w:r>
                  <w:t>董事、高级管理人员薪酬确定依据</w:t>
                </w:r>
              </w:p>
            </w:tc>
          </w:sdtContent>
        </w:sdt>
        <w:tc>
          <w:tcPr>
            <w:tcW w:w="6248" w:type="dxa"/>
            <w:vAlign w:val="center"/>
          </w:tcPr>
          <w:p w14:paraId="4942CC13" w14:textId="77777777" w:rsidR="005E000F" w:rsidRDefault="00000000">
            <w:r>
              <w:rPr>
                <w:rFonts w:hint="eastAsia"/>
              </w:rPr>
              <w:t>（</w:t>
            </w:r>
            <w:r>
              <w:t>1</w:t>
            </w:r>
            <w:r>
              <w:t>）根据公司第一届董事会第一次会议决议：总经理年薪不超过公司年度职工平均工资的</w:t>
            </w:r>
            <w:r>
              <w:t>12</w:t>
            </w:r>
            <w:r>
              <w:t>倍，副总经理、财务负责人、董事会秘书等高级管理人员年薪不超过公司年度职工平均工资的</w:t>
            </w:r>
            <w:r>
              <w:t>10</w:t>
            </w:r>
            <w:r>
              <w:t>倍。</w:t>
            </w:r>
          </w:p>
          <w:p w14:paraId="229BDA48" w14:textId="77777777" w:rsidR="005E000F" w:rsidRDefault="00000000">
            <w:r>
              <w:t>（</w:t>
            </w:r>
            <w:r>
              <w:t>2</w:t>
            </w:r>
            <w:r>
              <w:t>）根据</w:t>
            </w:r>
            <w:r>
              <w:t>2008</w:t>
            </w:r>
            <w:r>
              <w:t>年</w:t>
            </w:r>
            <w:r>
              <w:t>5</w:t>
            </w:r>
            <w:r>
              <w:t>月</w:t>
            </w:r>
            <w:r>
              <w:t>29</w:t>
            </w:r>
            <w:r>
              <w:t>日召开的</w:t>
            </w:r>
            <w:r>
              <w:t>2007</w:t>
            </w:r>
            <w:r>
              <w:t>年年度股东大会决议：独立董事津贴由</w:t>
            </w:r>
            <w:proofErr w:type="gramStart"/>
            <w:r>
              <w:t>原每年</w:t>
            </w:r>
            <w:proofErr w:type="gramEnd"/>
            <w:r>
              <w:t>人民币</w:t>
            </w:r>
            <w:r>
              <w:t>5</w:t>
            </w:r>
            <w:r>
              <w:t>万元调整为每年人民币</w:t>
            </w:r>
            <w:r>
              <w:t>10</w:t>
            </w:r>
            <w:r>
              <w:t>万元（税前）。</w:t>
            </w:r>
          </w:p>
        </w:tc>
      </w:tr>
      <w:tr w:rsidR="005E000F" w14:paraId="153818A5" w14:textId="77777777">
        <w:trPr>
          <w:trHeight w:val="165"/>
        </w:trPr>
        <w:sdt>
          <w:sdtPr>
            <w:tag w:val="_PLD_3ba8e874dcd84394a94e693e06b2269b"/>
            <w:id w:val="-1234762732"/>
          </w:sdtPr>
          <w:sdtContent>
            <w:tc>
              <w:tcPr>
                <w:tcW w:w="2800" w:type="dxa"/>
                <w:vAlign w:val="center"/>
              </w:tcPr>
              <w:p w14:paraId="55E9D937" w14:textId="77777777" w:rsidR="005E000F" w:rsidRDefault="00000000">
                <w:r>
                  <w:t>董事和高级管理人员薪酬的</w:t>
                </w:r>
                <w:r>
                  <w:rPr>
                    <w:rFonts w:hint="eastAsia"/>
                  </w:rPr>
                  <w:t>实际支付</w:t>
                </w:r>
                <w:r>
                  <w:t>情况</w:t>
                </w:r>
              </w:p>
            </w:tc>
          </w:sdtContent>
        </w:sdt>
        <w:tc>
          <w:tcPr>
            <w:tcW w:w="6248" w:type="dxa"/>
            <w:vAlign w:val="center"/>
          </w:tcPr>
          <w:p w14:paraId="073EF48A" w14:textId="77777777" w:rsidR="005E000F" w:rsidRDefault="00000000">
            <w:r>
              <w:rPr>
                <w:rFonts w:hint="eastAsia"/>
              </w:rPr>
              <w:t>公司董事和高级管理人员按照披露薪酬实际支付。</w:t>
            </w:r>
          </w:p>
        </w:tc>
      </w:tr>
      <w:tr w:rsidR="005E000F" w14:paraId="39F2CB26" w14:textId="77777777">
        <w:trPr>
          <w:trHeight w:val="135"/>
        </w:trPr>
        <w:tc>
          <w:tcPr>
            <w:tcW w:w="2800" w:type="dxa"/>
            <w:vAlign w:val="center"/>
          </w:tcPr>
          <w:sdt>
            <w:sdtPr>
              <w:tag w:val="_PLD_3506ff73678e423b9d58c6066ded1f49"/>
              <w:id w:val="-1329284663"/>
            </w:sdtPr>
            <w:sdtContent>
              <w:p w14:paraId="2416227F" w14:textId="77777777" w:rsidR="005E000F" w:rsidRDefault="00000000">
                <w:r>
                  <w:t>报告期末全体董事和高级管理人员实际获得的薪酬合计</w:t>
                </w:r>
              </w:p>
            </w:sdtContent>
          </w:sdt>
        </w:tc>
        <w:tc>
          <w:tcPr>
            <w:tcW w:w="6248" w:type="dxa"/>
            <w:vAlign w:val="center"/>
          </w:tcPr>
          <w:p w14:paraId="00363097" w14:textId="77777777" w:rsidR="005E000F" w:rsidRDefault="00000000">
            <w:pPr>
              <w:pStyle w:val="aff8"/>
              <w:ind w:firstLineChars="0" w:firstLine="0"/>
              <w:rPr>
                <w:rFonts w:ascii="Times New Roman" w:hAnsi="Times New Roman"/>
                <w:kern w:val="0"/>
                <w:szCs w:val="21"/>
              </w:rPr>
            </w:pPr>
            <w:r>
              <w:rPr>
                <w:rFonts w:ascii="Times New Roman" w:hAnsi="Times New Roman" w:hint="eastAsia"/>
                <w:kern w:val="0"/>
                <w:szCs w:val="21"/>
              </w:rPr>
              <w:t>245.23</w:t>
            </w:r>
            <w:r>
              <w:rPr>
                <w:rFonts w:ascii="Times New Roman" w:hAnsi="Times New Roman" w:hint="eastAsia"/>
                <w:kern w:val="0"/>
                <w:szCs w:val="21"/>
              </w:rPr>
              <w:t>万元</w:t>
            </w:r>
          </w:p>
        </w:tc>
      </w:tr>
      <w:tr w:rsidR="005E000F" w14:paraId="1DA4E2E2" w14:textId="77777777">
        <w:trPr>
          <w:trHeight w:val="135"/>
        </w:trPr>
        <w:sdt>
          <w:sdtPr>
            <w:tag w:val="_PLD_85864ecdd4a347afb8769104bf1ae7bd"/>
            <w:id w:val="-1283030150"/>
          </w:sdtPr>
          <w:sdtContent>
            <w:tc>
              <w:tcPr>
                <w:tcW w:w="2800" w:type="dxa"/>
                <w:vAlign w:val="center"/>
              </w:tcPr>
              <w:p w14:paraId="326856C9" w14:textId="77777777" w:rsidR="005E000F" w:rsidRDefault="00000000">
                <w:r>
                  <w:rPr>
                    <w:rFonts w:hint="eastAsia"/>
                  </w:rPr>
                  <w:t>报告期末全体董事和高级管理人员实际获得薪酬的考核依据和完成情况</w:t>
                </w:r>
              </w:p>
            </w:tc>
          </w:sdtContent>
        </w:sdt>
        <w:tc>
          <w:tcPr>
            <w:tcW w:w="6248" w:type="dxa"/>
            <w:vAlign w:val="center"/>
          </w:tcPr>
          <w:p w14:paraId="67D6270C" w14:textId="77777777" w:rsidR="005E000F" w:rsidRDefault="00000000">
            <w:r>
              <w:rPr>
                <w:rFonts w:hint="eastAsia"/>
              </w:rPr>
              <w:t>公司依据相关薪酬、经营业绩考核评价办法，对在公司领取薪酬的非独立董事、高级管理人员进行绩效评价，根据评价结果确定绩效薪酬。</w:t>
            </w:r>
          </w:p>
        </w:tc>
      </w:tr>
      <w:tr w:rsidR="005E000F" w14:paraId="09381974" w14:textId="77777777">
        <w:trPr>
          <w:trHeight w:val="135"/>
        </w:trPr>
        <w:sdt>
          <w:sdtPr>
            <w:tag w:val="_PLD_ea4b026a8e8c4af8961acc0223312d80"/>
            <w:id w:val="1109471126"/>
          </w:sdtPr>
          <w:sdtContent>
            <w:tc>
              <w:tcPr>
                <w:tcW w:w="2800" w:type="dxa"/>
                <w:vAlign w:val="center"/>
              </w:tcPr>
              <w:p w14:paraId="59A0C4AD" w14:textId="77777777" w:rsidR="005E000F" w:rsidRDefault="00000000">
                <w:r>
                  <w:rPr>
                    <w:rFonts w:hint="eastAsia"/>
                  </w:rPr>
                  <w:t>报告期末全体董事和高级管理人员实际获得薪酬的递</w:t>
                </w:r>
                <w:proofErr w:type="gramStart"/>
                <w:r>
                  <w:rPr>
                    <w:rFonts w:hint="eastAsia"/>
                  </w:rPr>
                  <w:t>延支付</w:t>
                </w:r>
                <w:proofErr w:type="gramEnd"/>
                <w:r>
                  <w:rPr>
                    <w:rFonts w:hint="eastAsia"/>
                  </w:rPr>
                  <w:t>安排</w:t>
                </w:r>
              </w:p>
            </w:tc>
          </w:sdtContent>
        </w:sdt>
        <w:tc>
          <w:tcPr>
            <w:tcW w:w="6248" w:type="dxa"/>
            <w:vAlign w:val="center"/>
          </w:tcPr>
          <w:p w14:paraId="07A6131E" w14:textId="77777777" w:rsidR="005E000F" w:rsidRDefault="00000000">
            <w:r>
              <w:rPr>
                <w:rFonts w:hint="eastAsia"/>
              </w:rPr>
              <w:t>在公司领取薪酬的非独立董事和高级管理人员</w:t>
            </w:r>
            <w:r>
              <w:rPr>
                <w:rFonts w:hint="eastAsia"/>
              </w:rPr>
              <w:t>2025</w:t>
            </w:r>
            <w:r>
              <w:rPr>
                <w:rFonts w:hint="eastAsia"/>
              </w:rPr>
              <w:t>年度绩效薪酬（以年度薪酬标准的</w:t>
            </w:r>
            <w:r>
              <w:rPr>
                <w:rFonts w:hint="eastAsia"/>
              </w:rPr>
              <w:t>5%</w:t>
            </w:r>
            <w:r>
              <w:rPr>
                <w:rFonts w:hint="eastAsia"/>
              </w:rPr>
              <w:t>为基数），将在年度报告披露和绩效评价后支付。</w:t>
            </w:r>
          </w:p>
        </w:tc>
      </w:tr>
      <w:tr w:rsidR="005E000F" w14:paraId="45850AAE" w14:textId="77777777">
        <w:trPr>
          <w:trHeight w:val="135"/>
        </w:trPr>
        <w:sdt>
          <w:sdtPr>
            <w:tag w:val="_PLD_a6fa328d324e4ee4affdd57274599360"/>
            <w:id w:val="-304238362"/>
          </w:sdtPr>
          <w:sdtContent>
            <w:tc>
              <w:tcPr>
                <w:tcW w:w="2800" w:type="dxa"/>
                <w:vAlign w:val="center"/>
              </w:tcPr>
              <w:p w14:paraId="4835296B" w14:textId="77777777" w:rsidR="005E000F" w:rsidRDefault="00000000">
                <w:r>
                  <w:rPr>
                    <w:rFonts w:hint="eastAsia"/>
                  </w:rPr>
                  <w:t>报告期末全体董事和高级管理人员实际获得薪酬的止付追索情况</w:t>
                </w:r>
              </w:p>
            </w:tc>
          </w:sdtContent>
        </w:sdt>
        <w:tc>
          <w:tcPr>
            <w:tcW w:w="6248" w:type="dxa"/>
            <w:vAlign w:val="center"/>
          </w:tcPr>
          <w:p w14:paraId="3A82C324" w14:textId="77777777" w:rsidR="005E000F" w:rsidRDefault="00000000">
            <w:r>
              <w:rPr>
                <w:rFonts w:hint="eastAsia"/>
              </w:rPr>
              <w:t>不适用</w:t>
            </w:r>
          </w:p>
        </w:tc>
      </w:tr>
    </w:tbl>
    <w:p w14:paraId="1BF77D72" w14:textId="77777777" w:rsidR="005E000F" w:rsidRDefault="005E000F"/>
    <w:p w14:paraId="009435CA" w14:textId="77777777" w:rsidR="005E000F" w:rsidRDefault="00000000">
      <w:pPr>
        <w:pStyle w:val="3"/>
        <w:numPr>
          <w:ilvl w:val="0"/>
          <w:numId w:val="21"/>
        </w:numPr>
        <w:ind w:left="0" w:firstLine="0"/>
      </w:pPr>
      <w:r>
        <w:t>公司董事、高级管理人员变动情况</w:t>
      </w:r>
    </w:p>
    <w:sdt>
      <w:sdtPr>
        <w:alias w:val="是否适用：公司董事、监事、高级管理人员变动情况[双击切换]"/>
        <w:tag w:val="_GBC_a00df019796e4666a1adff20d55baa46"/>
        <w:id w:val="-882180213"/>
        <w:placeholder>
          <w:docPart w:val="GBC22222222222222222222222222222"/>
        </w:placeholder>
      </w:sdtPr>
      <w:sdtContent>
        <w:p w14:paraId="50E042C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2262"/>
        <w:gridCol w:w="2262"/>
        <w:gridCol w:w="2262"/>
        <w:gridCol w:w="2262"/>
      </w:tblGrid>
      <w:tr w:rsidR="005E000F" w14:paraId="371C1E91" w14:textId="77777777">
        <w:trPr>
          <w:trHeight w:val="210"/>
        </w:trPr>
        <w:sdt>
          <w:sdtPr>
            <w:tag w:val="_PLD_10c0965136c84bf6abfceaef8557ae99"/>
            <w:id w:val="-661843900"/>
          </w:sdtPr>
          <w:sdtContent>
            <w:tc>
              <w:tcPr>
                <w:tcW w:w="2262" w:type="dxa"/>
                <w:vAlign w:val="center"/>
              </w:tcPr>
              <w:p w14:paraId="466E8F34" w14:textId="77777777" w:rsidR="005E000F" w:rsidRDefault="00000000">
                <w:pPr>
                  <w:jc w:val="center"/>
                </w:pPr>
                <w:r>
                  <w:t>姓名</w:t>
                </w:r>
              </w:p>
            </w:tc>
          </w:sdtContent>
        </w:sdt>
        <w:sdt>
          <w:sdtPr>
            <w:tag w:val="_PLD_b53cc0c0661e4cffa4f7fa4f6423187d"/>
            <w:id w:val="1408577687"/>
          </w:sdtPr>
          <w:sdtContent>
            <w:tc>
              <w:tcPr>
                <w:tcW w:w="2262" w:type="dxa"/>
                <w:vAlign w:val="center"/>
              </w:tcPr>
              <w:p w14:paraId="1A78AB10" w14:textId="77777777" w:rsidR="005E000F" w:rsidRDefault="00000000">
                <w:pPr>
                  <w:jc w:val="center"/>
                </w:pPr>
                <w:r>
                  <w:t>担任的职务</w:t>
                </w:r>
              </w:p>
            </w:tc>
          </w:sdtContent>
        </w:sdt>
        <w:sdt>
          <w:sdtPr>
            <w:tag w:val="_PLD_012859f523ec430da1dfc6a86c6dde35"/>
            <w:id w:val="1410035854"/>
          </w:sdtPr>
          <w:sdtContent>
            <w:tc>
              <w:tcPr>
                <w:tcW w:w="2262" w:type="dxa"/>
                <w:vAlign w:val="center"/>
              </w:tcPr>
              <w:p w14:paraId="2247513E" w14:textId="77777777" w:rsidR="005E000F" w:rsidRDefault="00000000">
                <w:pPr>
                  <w:jc w:val="center"/>
                </w:pPr>
                <w:r>
                  <w:t>变动情形</w:t>
                </w:r>
              </w:p>
            </w:tc>
          </w:sdtContent>
        </w:sdt>
        <w:sdt>
          <w:sdtPr>
            <w:tag w:val="_PLD_bf76757c55de435a9638407bd56b5199"/>
            <w:id w:val="1668125584"/>
          </w:sdtPr>
          <w:sdtContent>
            <w:tc>
              <w:tcPr>
                <w:tcW w:w="2262" w:type="dxa"/>
                <w:vAlign w:val="center"/>
              </w:tcPr>
              <w:p w14:paraId="2504757E" w14:textId="77777777" w:rsidR="005E000F" w:rsidRDefault="00000000">
                <w:pPr>
                  <w:jc w:val="center"/>
                </w:pPr>
                <w:r>
                  <w:t>变动原因</w:t>
                </w:r>
              </w:p>
            </w:tc>
          </w:sdtContent>
        </w:sdt>
      </w:tr>
      <w:tr w:rsidR="005E000F" w14:paraId="468A9C5F" w14:textId="77777777">
        <w:trPr>
          <w:trHeight w:val="105"/>
        </w:trPr>
        <w:tc>
          <w:tcPr>
            <w:tcW w:w="2262" w:type="dxa"/>
            <w:vAlign w:val="center"/>
          </w:tcPr>
          <w:p w14:paraId="4CCD7891" w14:textId="77777777" w:rsidR="005E000F" w:rsidRDefault="00000000">
            <w:r>
              <w:rPr>
                <w:rFonts w:hint="eastAsia"/>
              </w:rPr>
              <w:t>杨涛</w:t>
            </w:r>
          </w:p>
        </w:tc>
        <w:tc>
          <w:tcPr>
            <w:tcW w:w="2262" w:type="dxa"/>
            <w:vAlign w:val="center"/>
          </w:tcPr>
          <w:p w14:paraId="01972EFE" w14:textId="77777777" w:rsidR="005E000F" w:rsidRDefault="00000000">
            <w:r>
              <w:rPr>
                <w:rFonts w:hint="eastAsia"/>
              </w:rPr>
              <w:t>副董事长</w:t>
            </w:r>
          </w:p>
        </w:tc>
        <w:sdt>
          <w:sdtPr>
            <w:alias w:val="公司董事、监事、高级管理人员的变动情形"/>
            <w:tag w:val="_GBC_258f9ad482344d5fbc1587e6faf0ed7b"/>
            <w:id w:val="1761794998"/>
            <w:comboBox>
              <w:listItem w:displayText="选举" w:value="选举"/>
              <w:listItem w:displayText="离任" w:value="离任"/>
              <w:listItem w:displayText="聘任" w:value="聘任"/>
              <w:listItem w:displayText="解聘" w:value="解聘"/>
            </w:comboBox>
          </w:sdtPr>
          <w:sdtContent>
            <w:tc>
              <w:tcPr>
                <w:tcW w:w="2262" w:type="dxa"/>
                <w:vAlign w:val="center"/>
              </w:tcPr>
              <w:p w14:paraId="1FF2715C" w14:textId="77777777" w:rsidR="005E000F" w:rsidRDefault="00000000">
                <w:r>
                  <w:t>选举</w:t>
                </w:r>
              </w:p>
            </w:tc>
          </w:sdtContent>
        </w:sdt>
        <w:sdt>
          <w:sdtPr>
            <w:alias w:val="在报告期内离任的董事、监事、高级管理人员离任原因"/>
            <w:tag w:val="_GBC_d73defdbf41845d2bd043c385b151039"/>
            <w:id w:val="1170300975"/>
            <w:comboBox>
              <w:listItem w:displayText="换届" w:value="换届"/>
              <w:listItem w:displayText="退休" w:value="退休"/>
              <w:listItem w:displayText="工作调动" w:value="工作调动"/>
              <w:listItem w:displayText="解聘" w:value="解聘"/>
              <w:listItem w:displayText="个人原因" w:value="个人原因"/>
            </w:comboBox>
          </w:sdtPr>
          <w:sdtContent>
            <w:tc>
              <w:tcPr>
                <w:tcW w:w="2262" w:type="dxa"/>
                <w:vAlign w:val="center"/>
              </w:tcPr>
              <w:p w14:paraId="32F39AE9" w14:textId="77777777" w:rsidR="005E000F" w:rsidRDefault="00000000">
                <w:r>
                  <w:t>工作调动</w:t>
                </w:r>
              </w:p>
            </w:tc>
          </w:sdtContent>
        </w:sdt>
      </w:tr>
      <w:tr w:rsidR="005E000F" w14:paraId="3D35B8CE" w14:textId="77777777">
        <w:trPr>
          <w:trHeight w:val="105"/>
        </w:trPr>
        <w:tc>
          <w:tcPr>
            <w:tcW w:w="2262" w:type="dxa"/>
            <w:vAlign w:val="center"/>
          </w:tcPr>
          <w:p w14:paraId="4E9DC1CA" w14:textId="77777777" w:rsidR="005E000F" w:rsidRDefault="00000000">
            <w:r>
              <w:rPr>
                <w:rFonts w:hint="eastAsia"/>
              </w:rPr>
              <w:t>张竑毅</w:t>
            </w:r>
          </w:p>
        </w:tc>
        <w:tc>
          <w:tcPr>
            <w:tcW w:w="2262" w:type="dxa"/>
            <w:vAlign w:val="center"/>
          </w:tcPr>
          <w:p w14:paraId="1520394D" w14:textId="77777777" w:rsidR="005E000F" w:rsidRDefault="00000000">
            <w:r>
              <w:rPr>
                <w:rFonts w:hint="eastAsia"/>
              </w:rPr>
              <w:t>董事</w:t>
            </w:r>
          </w:p>
        </w:tc>
        <w:tc>
          <w:tcPr>
            <w:tcW w:w="2262" w:type="dxa"/>
            <w:vAlign w:val="center"/>
          </w:tcPr>
          <w:p w14:paraId="10430D6D" w14:textId="77777777" w:rsidR="005E000F" w:rsidRDefault="00000000">
            <w:r>
              <w:rPr>
                <w:rFonts w:hint="eastAsia"/>
              </w:rPr>
              <w:t>选举</w:t>
            </w:r>
          </w:p>
        </w:tc>
        <w:tc>
          <w:tcPr>
            <w:tcW w:w="2262" w:type="dxa"/>
            <w:vAlign w:val="center"/>
          </w:tcPr>
          <w:p w14:paraId="7766C8E4" w14:textId="77777777" w:rsidR="005E000F" w:rsidRDefault="00000000">
            <w:r>
              <w:rPr>
                <w:rFonts w:hint="eastAsia"/>
              </w:rPr>
              <w:t>工作调动</w:t>
            </w:r>
          </w:p>
        </w:tc>
      </w:tr>
      <w:tr w:rsidR="005E000F" w14:paraId="116E7166" w14:textId="77777777">
        <w:trPr>
          <w:trHeight w:val="105"/>
        </w:trPr>
        <w:tc>
          <w:tcPr>
            <w:tcW w:w="2262" w:type="dxa"/>
            <w:vAlign w:val="center"/>
          </w:tcPr>
          <w:p w14:paraId="50FF98EB" w14:textId="77777777" w:rsidR="005E000F" w:rsidRDefault="00000000">
            <w:r>
              <w:rPr>
                <w:rFonts w:hint="eastAsia"/>
              </w:rPr>
              <w:t>张竑毅</w:t>
            </w:r>
          </w:p>
        </w:tc>
        <w:tc>
          <w:tcPr>
            <w:tcW w:w="2262" w:type="dxa"/>
            <w:vAlign w:val="center"/>
          </w:tcPr>
          <w:p w14:paraId="789A404A" w14:textId="77777777" w:rsidR="005E000F" w:rsidRDefault="00000000">
            <w:r>
              <w:rPr>
                <w:rFonts w:hint="eastAsia"/>
              </w:rPr>
              <w:t>总经理</w:t>
            </w:r>
          </w:p>
        </w:tc>
        <w:tc>
          <w:tcPr>
            <w:tcW w:w="2262" w:type="dxa"/>
            <w:vAlign w:val="center"/>
          </w:tcPr>
          <w:p w14:paraId="50A15DAE" w14:textId="77777777" w:rsidR="005E000F" w:rsidRDefault="00000000">
            <w:r>
              <w:rPr>
                <w:rFonts w:hint="eastAsia"/>
              </w:rPr>
              <w:t>聘任</w:t>
            </w:r>
          </w:p>
        </w:tc>
        <w:tc>
          <w:tcPr>
            <w:tcW w:w="2262" w:type="dxa"/>
            <w:vAlign w:val="center"/>
          </w:tcPr>
          <w:p w14:paraId="5993AD5B" w14:textId="77777777" w:rsidR="005E000F" w:rsidRDefault="00000000">
            <w:r>
              <w:rPr>
                <w:rFonts w:hint="eastAsia"/>
              </w:rPr>
              <w:t>工作调动</w:t>
            </w:r>
          </w:p>
        </w:tc>
      </w:tr>
      <w:tr w:rsidR="005E000F" w14:paraId="1A844D9A" w14:textId="77777777">
        <w:trPr>
          <w:trHeight w:val="105"/>
        </w:trPr>
        <w:tc>
          <w:tcPr>
            <w:tcW w:w="2262" w:type="dxa"/>
            <w:vAlign w:val="center"/>
          </w:tcPr>
          <w:p w14:paraId="55011AC3" w14:textId="77777777" w:rsidR="005E000F" w:rsidRDefault="00000000">
            <w:r>
              <w:rPr>
                <w:rFonts w:hint="eastAsia"/>
              </w:rPr>
              <w:t>杨庆欣</w:t>
            </w:r>
          </w:p>
        </w:tc>
        <w:tc>
          <w:tcPr>
            <w:tcW w:w="2262" w:type="dxa"/>
            <w:vAlign w:val="center"/>
          </w:tcPr>
          <w:p w14:paraId="266C9A56" w14:textId="77777777" w:rsidR="005E000F" w:rsidRDefault="00000000">
            <w:r>
              <w:rPr>
                <w:rFonts w:hint="eastAsia"/>
              </w:rPr>
              <w:t>职工代表董事</w:t>
            </w:r>
          </w:p>
        </w:tc>
        <w:tc>
          <w:tcPr>
            <w:tcW w:w="2262" w:type="dxa"/>
            <w:vAlign w:val="center"/>
          </w:tcPr>
          <w:p w14:paraId="2F699382" w14:textId="77777777" w:rsidR="005E000F" w:rsidRDefault="00000000">
            <w:r>
              <w:rPr>
                <w:rFonts w:hint="eastAsia"/>
              </w:rPr>
              <w:t>选举</w:t>
            </w:r>
          </w:p>
        </w:tc>
        <w:tc>
          <w:tcPr>
            <w:tcW w:w="2262" w:type="dxa"/>
            <w:vAlign w:val="center"/>
          </w:tcPr>
          <w:p w14:paraId="004CB9E6" w14:textId="77777777" w:rsidR="005E000F" w:rsidRDefault="00000000">
            <w:r>
              <w:rPr>
                <w:rFonts w:hint="eastAsia"/>
              </w:rPr>
              <w:t>工作调动</w:t>
            </w:r>
          </w:p>
        </w:tc>
      </w:tr>
      <w:tr w:rsidR="005E000F" w14:paraId="4F951EC7" w14:textId="77777777">
        <w:trPr>
          <w:trHeight w:val="105"/>
        </w:trPr>
        <w:tc>
          <w:tcPr>
            <w:tcW w:w="2262" w:type="dxa"/>
            <w:vAlign w:val="center"/>
          </w:tcPr>
          <w:p w14:paraId="60A1C464" w14:textId="77777777" w:rsidR="005E000F" w:rsidRDefault="00000000">
            <w:r>
              <w:rPr>
                <w:rFonts w:hint="eastAsia"/>
              </w:rPr>
              <w:t>胡静</w:t>
            </w:r>
          </w:p>
        </w:tc>
        <w:tc>
          <w:tcPr>
            <w:tcW w:w="2262" w:type="dxa"/>
            <w:vAlign w:val="center"/>
          </w:tcPr>
          <w:p w14:paraId="38F8286C" w14:textId="77777777" w:rsidR="005E000F" w:rsidRDefault="00000000">
            <w:r>
              <w:rPr>
                <w:rFonts w:hint="eastAsia"/>
              </w:rPr>
              <w:t>副总经理</w:t>
            </w:r>
          </w:p>
        </w:tc>
        <w:tc>
          <w:tcPr>
            <w:tcW w:w="2262" w:type="dxa"/>
            <w:vAlign w:val="center"/>
          </w:tcPr>
          <w:p w14:paraId="23337919" w14:textId="77777777" w:rsidR="005E000F" w:rsidRDefault="00000000">
            <w:r>
              <w:rPr>
                <w:rFonts w:hint="eastAsia"/>
              </w:rPr>
              <w:t>聘任</w:t>
            </w:r>
          </w:p>
        </w:tc>
        <w:tc>
          <w:tcPr>
            <w:tcW w:w="2262" w:type="dxa"/>
            <w:vAlign w:val="center"/>
          </w:tcPr>
          <w:p w14:paraId="08B980F6" w14:textId="77777777" w:rsidR="005E000F" w:rsidRDefault="00000000">
            <w:r>
              <w:rPr>
                <w:rFonts w:hint="eastAsia"/>
              </w:rPr>
              <w:t>工作调动</w:t>
            </w:r>
          </w:p>
        </w:tc>
      </w:tr>
      <w:tr w:rsidR="005E000F" w14:paraId="67D7C992" w14:textId="77777777">
        <w:trPr>
          <w:trHeight w:val="105"/>
        </w:trPr>
        <w:tc>
          <w:tcPr>
            <w:tcW w:w="2262" w:type="dxa"/>
            <w:vAlign w:val="center"/>
          </w:tcPr>
          <w:p w14:paraId="26CAA816" w14:textId="77777777" w:rsidR="005E000F" w:rsidRDefault="00000000">
            <w:r>
              <w:rPr>
                <w:rFonts w:hint="eastAsia"/>
              </w:rPr>
              <w:t>王道阔</w:t>
            </w:r>
          </w:p>
        </w:tc>
        <w:tc>
          <w:tcPr>
            <w:tcW w:w="2262" w:type="dxa"/>
            <w:vAlign w:val="center"/>
          </w:tcPr>
          <w:p w14:paraId="479F2E21" w14:textId="77777777" w:rsidR="005E000F" w:rsidRDefault="00000000">
            <w:r>
              <w:rPr>
                <w:rFonts w:hint="eastAsia"/>
              </w:rPr>
              <w:t>前任副董事长</w:t>
            </w:r>
          </w:p>
        </w:tc>
        <w:tc>
          <w:tcPr>
            <w:tcW w:w="2262" w:type="dxa"/>
            <w:vAlign w:val="center"/>
          </w:tcPr>
          <w:p w14:paraId="40B99589" w14:textId="77777777" w:rsidR="005E000F" w:rsidRDefault="00000000">
            <w:r>
              <w:rPr>
                <w:rFonts w:hint="eastAsia"/>
              </w:rPr>
              <w:t>离任</w:t>
            </w:r>
          </w:p>
        </w:tc>
        <w:tc>
          <w:tcPr>
            <w:tcW w:w="2262" w:type="dxa"/>
            <w:vAlign w:val="center"/>
          </w:tcPr>
          <w:p w14:paraId="2AAA71AD" w14:textId="77777777" w:rsidR="005E000F" w:rsidRDefault="00000000">
            <w:r>
              <w:rPr>
                <w:rFonts w:hint="eastAsia"/>
              </w:rPr>
              <w:t>工作调动</w:t>
            </w:r>
          </w:p>
        </w:tc>
      </w:tr>
      <w:tr w:rsidR="005E000F" w14:paraId="6355C684" w14:textId="77777777">
        <w:trPr>
          <w:trHeight w:val="105"/>
        </w:trPr>
        <w:tc>
          <w:tcPr>
            <w:tcW w:w="2262" w:type="dxa"/>
            <w:vAlign w:val="center"/>
          </w:tcPr>
          <w:p w14:paraId="5C5CCA11" w14:textId="77777777" w:rsidR="005E000F" w:rsidRDefault="00000000">
            <w:proofErr w:type="gramStart"/>
            <w:r>
              <w:rPr>
                <w:rFonts w:hint="eastAsia"/>
              </w:rPr>
              <w:t>韩洪臣</w:t>
            </w:r>
            <w:proofErr w:type="gramEnd"/>
          </w:p>
        </w:tc>
        <w:tc>
          <w:tcPr>
            <w:tcW w:w="2262" w:type="dxa"/>
            <w:vAlign w:val="center"/>
          </w:tcPr>
          <w:p w14:paraId="6EC0DAD2" w14:textId="77777777" w:rsidR="005E000F" w:rsidRDefault="00000000">
            <w:r>
              <w:rPr>
                <w:rFonts w:hint="eastAsia"/>
              </w:rPr>
              <w:t>前任董事</w:t>
            </w:r>
          </w:p>
        </w:tc>
        <w:sdt>
          <w:sdtPr>
            <w:alias w:val="公司董事、监事、高级管理人员的变动情形"/>
            <w:tag w:val="_GBC_258f9ad482344d5fbc1587e6faf0ed7b"/>
            <w:id w:val="983439591"/>
            <w:comboBox>
              <w:listItem w:displayText="选举" w:value="选举"/>
              <w:listItem w:displayText="离任" w:value="离任"/>
              <w:listItem w:displayText="聘任" w:value="聘任"/>
              <w:listItem w:displayText="解聘" w:value="解聘"/>
            </w:comboBox>
          </w:sdtPr>
          <w:sdtContent>
            <w:tc>
              <w:tcPr>
                <w:tcW w:w="2262" w:type="dxa"/>
                <w:vAlign w:val="center"/>
              </w:tcPr>
              <w:p w14:paraId="779792A9" w14:textId="77777777" w:rsidR="005E000F" w:rsidRDefault="00000000">
                <w:r>
                  <w:t>离任</w:t>
                </w:r>
              </w:p>
            </w:tc>
          </w:sdtContent>
        </w:sdt>
        <w:sdt>
          <w:sdtPr>
            <w:alias w:val="在报告期内离任的董事、监事、高级管理人员离任原因"/>
            <w:tag w:val="_GBC_d73defdbf41845d2bd043c385b151039"/>
            <w:id w:val="-1318107671"/>
            <w:comboBox>
              <w:listItem w:displayText="换届" w:value="换届"/>
              <w:listItem w:displayText="退休" w:value="退休"/>
              <w:listItem w:displayText="工作调动" w:value="工作调动"/>
              <w:listItem w:displayText="解聘" w:value="解聘"/>
              <w:listItem w:displayText="个人原因" w:value="个人原因"/>
            </w:comboBox>
          </w:sdtPr>
          <w:sdtContent>
            <w:tc>
              <w:tcPr>
                <w:tcW w:w="2262" w:type="dxa"/>
                <w:vAlign w:val="center"/>
              </w:tcPr>
              <w:p w14:paraId="0CE25EA6" w14:textId="77777777" w:rsidR="005E000F" w:rsidRDefault="00000000">
                <w:r>
                  <w:t>退休</w:t>
                </w:r>
              </w:p>
            </w:tc>
          </w:sdtContent>
        </w:sdt>
      </w:tr>
      <w:tr w:rsidR="005E000F" w14:paraId="5846AB4C" w14:textId="77777777">
        <w:trPr>
          <w:trHeight w:val="105"/>
        </w:trPr>
        <w:tc>
          <w:tcPr>
            <w:tcW w:w="2262" w:type="dxa"/>
            <w:vAlign w:val="center"/>
          </w:tcPr>
          <w:p w14:paraId="6CADA957" w14:textId="77777777" w:rsidR="005E000F" w:rsidRDefault="00000000">
            <w:proofErr w:type="gramStart"/>
            <w:r>
              <w:rPr>
                <w:rFonts w:hint="eastAsia"/>
              </w:rPr>
              <w:t>韩洪臣</w:t>
            </w:r>
            <w:proofErr w:type="gramEnd"/>
          </w:p>
        </w:tc>
        <w:tc>
          <w:tcPr>
            <w:tcW w:w="2262" w:type="dxa"/>
            <w:vAlign w:val="center"/>
          </w:tcPr>
          <w:p w14:paraId="5D466451" w14:textId="77777777" w:rsidR="005E000F" w:rsidRDefault="00000000">
            <w:r>
              <w:rPr>
                <w:rFonts w:hint="eastAsia"/>
              </w:rPr>
              <w:t>前任总经理</w:t>
            </w:r>
          </w:p>
        </w:tc>
        <w:tc>
          <w:tcPr>
            <w:tcW w:w="2262" w:type="dxa"/>
            <w:vAlign w:val="center"/>
          </w:tcPr>
          <w:p w14:paraId="70835F0D" w14:textId="77777777" w:rsidR="005E000F" w:rsidRDefault="00000000">
            <w:r>
              <w:rPr>
                <w:rFonts w:hint="eastAsia"/>
              </w:rPr>
              <w:t>解聘</w:t>
            </w:r>
          </w:p>
        </w:tc>
        <w:tc>
          <w:tcPr>
            <w:tcW w:w="2262" w:type="dxa"/>
            <w:vAlign w:val="center"/>
          </w:tcPr>
          <w:p w14:paraId="7AE25793" w14:textId="77777777" w:rsidR="005E000F" w:rsidRDefault="00000000">
            <w:r>
              <w:rPr>
                <w:rFonts w:hint="eastAsia"/>
              </w:rPr>
              <w:t>退休</w:t>
            </w:r>
          </w:p>
        </w:tc>
      </w:tr>
      <w:tr w:rsidR="005E000F" w14:paraId="2B7B7B05" w14:textId="77777777">
        <w:trPr>
          <w:trHeight w:val="105"/>
        </w:trPr>
        <w:tc>
          <w:tcPr>
            <w:tcW w:w="2262" w:type="dxa"/>
            <w:vAlign w:val="center"/>
          </w:tcPr>
          <w:p w14:paraId="2A26570E" w14:textId="77777777" w:rsidR="005E000F" w:rsidRDefault="00000000">
            <w:r>
              <w:rPr>
                <w:rFonts w:hint="eastAsia"/>
              </w:rPr>
              <w:t>齐志勇</w:t>
            </w:r>
          </w:p>
        </w:tc>
        <w:tc>
          <w:tcPr>
            <w:tcW w:w="2262" w:type="dxa"/>
            <w:vAlign w:val="center"/>
          </w:tcPr>
          <w:p w14:paraId="1BE682C3" w14:textId="77777777" w:rsidR="005E000F" w:rsidRDefault="00000000">
            <w:proofErr w:type="gramStart"/>
            <w:r>
              <w:rPr>
                <w:rFonts w:hint="eastAsia"/>
              </w:rPr>
              <w:t>前任职工</w:t>
            </w:r>
            <w:proofErr w:type="gramEnd"/>
            <w:r>
              <w:rPr>
                <w:rFonts w:hint="eastAsia"/>
              </w:rPr>
              <w:t>代表董事</w:t>
            </w:r>
          </w:p>
        </w:tc>
        <w:tc>
          <w:tcPr>
            <w:tcW w:w="2262" w:type="dxa"/>
            <w:vAlign w:val="center"/>
          </w:tcPr>
          <w:p w14:paraId="75334209" w14:textId="77777777" w:rsidR="005E000F" w:rsidRDefault="00000000">
            <w:r>
              <w:rPr>
                <w:rFonts w:hint="eastAsia"/>
              </w:rPr>
              <w:t>离任</w:t>
            </w:r>
          </w:p>
        </w:tc>
        <w:tc>
          <w:tcPr>
            <w:tcW w:w="2262" w:type="dxa"/>
            <w:vAlign w:val="center"/>
          </w:tcPr>
          <w:p w14:paraId="4A79533F" w14:textId="77777777" w:rsidR="005E000F" w:rsidRDefault="00000000">
            <w:r>
              <w:rPr>
                <w:rFonts w:hint="eastAsia"/>
              </w:rPr>
              <w:t>退休</w:t>
            </w:r>
          </w:p>
        </w:tc>
      </w:tr>
    </w:tbl>
    <w:p w14:paraId="3B2B2E35" w14:textId="77777777" w:rsidR="005E000F" w:rsidRDefault="005E000F"/>
    <w:p w14:paraId="0298745C" w14:textId="77777777" w:rsidR="005E000F" w:rsidRDefault="00000000">
      <w:pPr>
        <w:pStyle w:val="3"/>
        <w:numPr>
          <w:ilvl w:val="0"/>
          <w:numId w:val="21"/>
        </w:numPr>
        <w:ind w:left="0" w:firstLine="0"/>
      </w:pPr>
      <w:r>
        <w:rPr>
          <w:rFonts w:hint="eastAsia"/>
        </w:rPr>
        <w:t>近三年受证券监管机构处罚的情况说明</w:t>
      </w:r>
    </w:p>
    <w:sdt>
      <w:sdtPr>
        <w:alias w:val="是否适用：近三年受证券监管机构处罚的情况说明[双击切换]"/>
        <w:tag w:val="_GBC_7955674a80d94ddc9e00915de353286e"/>
        <w:id w:val="1112019316"/>
        <w:placeholder>
          <w:docPart w:val="GBC22222222222222222222222222222"/>
        </w:placeholder>
      </w:sdtPr>
      <w:sdtContent>
        <w:p w14:paraId="2DB49D61"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5064F50" w14:textId="77777777" w:rsidR="005E000F" w:rsidRDefault="00000000">
      <w:pPr>
        <w:pStyle w:val="3"/>
        <w:numPr>
          <w:ilvl w:val="0"/>
          <w:numId w:val="21"/>
        </w:numPr>
        <w:ind w:left="0" w:firstLine="0"/>
      </w:pPr>
      <w:bookmarkStart w:id="115" w:name="_Hlk89182759"/>
      <w:r>
        <w:rPr>
          <w:rFonts w:hint="eastAsia"/>
        </w:rPr>
        <w:t>其他</w:t>
      </w:r>
    </w:p>
    <w:sdt>
      <w:sdtPr>
        <w:rPr>
          <w:rFonts w:hint="eastAsia"/>
          <w:bCs/>
        </w:rPr>
        <w:alias w:val="是否适用：其他董事、监事、高级管理人员情况说明[双击切换]"/>
        <w:tag w:val="_GBC_6698e1cba7354d29b0fcdbb38e7287d6"/>
        <w:id w:val="-1654979143"/>
        <w:placeholder>
          <w:docPart w:val="GBC22222222222222222222222222222"/>
        </w:placeholder>
      </w:sdtPr>
      <w:sdtContent>
        <w:p w14:paraId="5E1D559A" w14:textId="77777777" w:rsidR="005E000F" w:rsidRDefault="00000000">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bookmarkEnd w:id="115"/>
    <w:p w14:paraId="2669CEDC" w14:textId="77777777" w:rsidR="005E000F" w:rsidRDefault="00000000">
      <w:pPr>
        <w:pStyle w:val="2"/>
        <w:numPr>
          <w:ilvl w:val="0"/>
          <w:numId w:val="20"/>
        </w:numPr>
      </w:pPr>
      <w:r>
        <w:t>董事履行职责情况</w:t>
      </w:r>
    </w:p>
    <w:p w14:paraId="4431A690" w14:textId="77777777" w:rsidR="005E000F" w:rsidRDefault="00000000">
      <w:pPr>
        <w:pStyle w:val="3"/>
        <w:numPr>
          <w:ilvl w:val="0"/>
          <w:numId w:val="23"/>
        </w:numPr>
      </w:pPr>
      <w:r>
        <w:t>董事参加董事会和</w:t>
      </w:r>
      <w:sdt>
        <w:sdtPr>
          <w:tag w:val="_PLD_47828a77321a429297b4f49878c0e2f1"/>
          <w:id w:val="1415815766"/>
        </w:sdtPr>
        <w:sdtContent>
          <w:r>
            <w:t>股东会</w:t>
          </w:r>
        </w:sdtContent>
      </w:sdt>
      <w:r>
        <w:t>的情况</w:t>
      </w:r>
    </w:p>
    <w:tbl>
      <w:tblPr>
        <w:tblStyle w:val="aff2"/>
        <w:tblW w:w="0" w:type="auto"/>
        <w:tblLayout w:type="fixed"/>
        <w:tblLook w:val="04A0" w:firstRow="1" w:lastRow="0" w:firstColumn="1" w:lastColumn="0" w:noHBand="0" w:noVBand="1"/>
      </w:tblPr>
      <w:tblGrid>
        <w:gridCol w:w="979"/>
        <w:gridCol w:w="845"/>
        <w:gridCol w:w="1098"/>
        <w:gridCol w:w="852"/>
        <w:gridCol w:w="968"/>
        <w:gridCol w:w="904"/>
        <w:gridCol w:w="845"/>
        <w:gridCol w:w="1294"/>
        <w:gridCol w:w="1261"/>
      </w:tblGrid>
      <w:tr w:rsidR="005E000F" w14:paraId="07FDD7F9" w14:textId="77777777">
        <w:trPr>
          <w:trHeight w:val="561"/>
        </w:trPr>
        <w:sdt>
          <w:sdtPr>
            <w:tag w:val="_PLD_fdf987702b2e46a4aaa1e3f20787a76c"/>
            <w:id w:val="328571218"/>
          </w:sdtPr>
          <w:sdtContent>
            <w:tc>
              <w:tcPr>
                <w:tcW w:w="979" w:type="dxa"/>
                <w:vMerge w:val="restart"/>
                <w:vAlign w:val="center"/>
              </w:tcPr>
              <w:p w14:paraId="3FCFB795" w14:textId="77777777" w:rsidR="005E000F" w:rsidRDefault="00000000">
                <w:pPr>
                  <w:jc w:val="center"/>
                </w:pPr>
                <w:r>
                  <w:rPr>
                    <w:rFonts w:hint="eastAsia"/>
                  </w:rPr>
                  <w:t>董事</w:t>
                </w:r>
              </w:p>
              <w:p w14:paraId="1EC29DBB" w14:textId="77777777" w:rsidR="005E000F" w:rsidRDefault="00000000">
                <w:pPr>
                  <w:jc w:val="center"/>
                </w:pPr>
                <w:r>
                  <w:rPr>
                    <w:rFonts w:hint="eastAsia"/>
                  </w:rPr>
                  <w:t>姓名</w:t>
                </w:r>
              </w:p>
            </w:tc>
          </w:sdtContent>
        </w:sdt>
        <w:sdt>
          <w:sdtPr>
            <w:tag w:val="_PLD_8c944f740a3a4784938038ab19e3a6ed"/>
            <w:id w:val="854227487"/>
          </w:sdtPr>
          <w:sdtContent>
            <w:tc>
              <w:tcPr>
                <w:tcW w:w="845" w:type="dxa"/>
                <w:vMerge w:val="restart"/>
                <w:vAlign w:val="center"/>
              </w:tcPr>
              <w:p w14:paraId="2B29D72B" w14:textId="77777777" w:rsidR="005E000F" w:rsidRDefault="00000000">
                <w:pPr>
                  <w:jc w:val="center"/>
                </w:pPr>
                <w:r>
                  <w:t>是否独立</w:t>
                </w:r>
                <w:r>
                  <w:lastRenderedPageBreak/>
                  <w:t>董事</w:t>
                </w:r>
              </w:p>
            </w:tc>
          </w:sdtContent>
        </w:sdt>
        <w:sdt>
          <w:sdtPr>
            <w:tag w:val="_PLD_41002b55426142459adadb76d790d586"/>
            <w:id w:val="1610701863"/>
          </w:sdtPr>
          <w:sdtContent>
            <w:tc>
              <w:tcPr>
                <w:tcW w:w="5961" w:type="dxa"/>
                <w:gridSpan w:val="6"/>
                <w:vAlign w:val="center"/>
              </w:tcPr>
              <w:p w14:paraId="7F3043FD" w14:textId="77777777" w:rsidR="005E000F" w:rsidRDefault="00000000">
                <w:pPr>
                  <w:jc w:val="center"/>
                </w:pPr>
                <w:r>
                  <w:t>参加董事会情况</w:t>
                </w:r>
              </w:p>
            </w:tc>
          </w:sdtContent>
        </w:sdt>
        <w:sdt>
          <w:sdtPr>
            <w:tag w:val="_PLD_a86ab0ba65874193bf46821cd6a13f4f"/>
            <w:id w:val="-1602175633"/>
          </w:sdtPr>
          <w:sdtContent>
            <w:tc>
              <w:tcPr>
                <w:tcW w:w="1261" w:type="dxa"/>
                <w:vAlign w:val="center"/>
              </w:tcPr>
              <w:p w14:paraId="79AD4A07" w14:textId="77777777" w:rsidR="005E000F" w:rsidRDefault="00000000">
                <w:pPr>
                  <w:jc w:val="center"/>
                </w:pPr>
                <w:r>
                  <w:t>参加股东会情况</w:t>
                </w:r>
              </w:p>
            </w:tc>
          </w:sdtContent>
        </w:sdt>
      </w:tr>
      <w:tr w:rsidR="005E000F" w14:paraId="66EF0782" w14:textId="77777777">
        <w:trPr>
          <w:trHeight w:val="120"/>
        </w:trPr>
        <w:tc>
          <w:tcPr>
            <w:tcW w:w="979" w:type="dxa"/>
            <w:vMerge/>
            <w:vAlign w:val="center"/>
          </w:tcPr>
          <w:p w14:paraId="30530E73" w14:textId="77777777" w:rsidR="005E000F" w:rsidRDefault="005E000F">
            <w:pPr>
              <w:jc w:val="center"/>
            </w:pPr>
          </w:p>
        </w:tc>
        <w:tc>
          <w:tcPr>
            <w:tcW w:w="845" w:type="dxa"/>
            <w:vMerge/>
            <w:vAlign w:val="center"/>
          </w:tcPr>
          <w:p w14:paraId="7D5E24F2" w14:textId="77777777" w:rsidR="005E000F" w:rsidRDefault="005E000F">
            <w:pPr>
              <w:jc w:val="center"/>
            </w:pPr>
          </w:p>
        </w:tc>
        <w:sdt>
          <w:sdtPr>
            <w:tag w:val="_PLD_1be3bc3a3d894e22b017b70a7c691233"/>
            <w:id w:val="-1574885276"/>
          </w:sdtPr>
          <w:sdtContent>
            <w:tc>
              <w:tcPr>
                <w:tcW w:w="1098" w:type="dxa"/>
                <w:vAlign w:val="center"/>
              </w:tcPr>
              <w:p w14:paraId="1FBC4995" w14:textId="77777777" w:rsidR="005E000F" w:rsidRDefault="00000000">
                <w:pPr>
                  <w:jc w:val="center"/>
                </w:pPr>
                <w:r>
                  <w:t>本年应参加董事会次数</w:t>
                </w:r>
              </w:p>
            </w:tc>
          </w:sdtContent>
        </w:sdt>
        <w:sdt>
          <w:sdtPr>
            <w:tag w:val="_PLD_3e45fc9802f241cb8e17735983417e9b"/>
            <w:id w:val="-864905049"/>
          </w:sdtPr>
          <w:sdtContent>
            <w:tc>
              <w:tcPr>
                <w:tcW w:w="852" w:type="dxa"/>
                <w:vAlign w:val="center"/>
              </w:tcPr>
              <w:p w14:paraId="155FA1BD" w14:textId="77777777" w:rsidR="005E000F" w:rsidRDefault="00000000">
                <w:pPr>
                  <w:jc w:val="center"/>
                </w:pPr>
                <w:r>
                  <w:t>亲自出席次数</w:t>
                </w:r>
              </w:p>
            </w:tc>
          </w:sdtContent>
        </w:sdt>
        <w:sdt>
          <w:sdtPr>
            <w:tag w:val="_PLD_5b2f1e699fe34def868fe8b765d768ba"/>
            <w:id w:val="-1547830302"/>
          </w:sdtPr>
          <w:sdtContent>
            <w:tc>
              <w:tcPr>
                <w:tcW w:w="968" w:type="dxa"/>
                <w:vAlign w:val="center"/>
              </w:tcPr>
              <w:p w14:paraId="10CC8384" w14:textId="77777777" w:rsidR="005E000F" w:rsidRDefault="00000000">
                <w:pPr>
                  <w:jc w:val="center"/>
                </w:pPr>
                <w:r>
                  <w:t>以通讯方式参加次数</w:t>
                </w:r>
              </w:p>
            </w:tc>
          </w:sdtContent>
        </w:sdt>
        <w:sdt>
          <w:sdtPr>
            <w:tag w:val="_PLD_981a0cb863d94703a5482c1ca67d4cb5"/>
            <w:id w:val="1869563382"/>
          </w:sdtPr>
          <w:sdtContent>
            <w:tc>
              <w:tcPr>
                <w:tcW w:w="904" w:type="dxa"/>
                <w:vAlign w:val="center"/>
              </w:tcPr>
              <w:p w14:paraId="10DE06BE" w14:textId="77777777" w:rsidR="005E000F" w:rsidRDefault="00000000">
                <w:pPr>
                  <w:jc w:val="center"/>
                </w:pPr>
                <w:r>
                  <w:t>委托出席次数</w:t>
                </w:r>
              </w:p>
            </w:tc>
          </w:sdtContent>
        </w:sdt>
        <w:sdt>
          <w:sdtPr>
            <w:tag w:val="_PLD_e955143b8973461bb11aa6e64e6bb542"/>
            <w:id w:val="1311677803"/>
          </w:sdtPr>
          <w:sdtContent>
            <w:tc>
              <w:tcPr>
                <w:tcW w:w="845" w:type="dxa"/>
                <w:vAlign w:val="center"/>
              </w:tcPr>
              <w:p w14:paraId="30B56BCF" w14:textId="77777777" w:rsidR="005E000F" w:rsidRDefault="00000000">
                <w:pPr>
                  <w:jc w:val="center"/>
                </w:pPr>
                <w:r>
                  <w:t>缺席</w:t>
                </w:r>
              </w:p>
              <w:p w14:paraId="3AF5B44C" w14:textId="77777777" w:rsidR="005E000F" w:rsidRDefault="00000000">
                <w:pPr>
                  <w:jc w:val="center"/>
                </w:pPr>
                <w:r>
                  <w:t>次数</w:t>
                </w:r>
              </w:p>
            </w:tc>
          </w:sdtContent>
        </w:sdt>
        <w:sdt>
          <w:sdtPr>
            <w:tag w:val="_PLD_c94de7a455d94af5b8ffe4cc736c4b46"/>
            <w:id w:val="1716467310"/>
          </w:sdtPr>
          <w:sdtContent>
            <w:tc>
              <w:tcPr>
                <w:tcW w:w="1292" w:type="dxa"/>
                <w:vAlign w:val="center"/>
              </w:tcPr>
              <w:p w14:paraId="7F12A81D" w14:textId="77777777" w:rsidR="005E000F" w:rsidRDefault="00000000">
                <w:pPr>
                  <w:jc w:val="center"/>
                </w:pPr>
                <w:r>
                  <w:t>是否连续两次未亲自参加会议</w:t>
                </w:r>
              </w:p>
            </w:tc>
          </w:sdtContent>
        </w:sdt>
        <w:sdt>
          <w:sdtPr>
            <w:tag w:val="_PLD_7f17c2a5ff9540709fafff9460b0756d"/>
            <w:id w:val="2085254799"/>
          </w:sdtPr>
          <w:sdtContent>
            <w:tc>
              <w:tcPr>
                <w:tcW w:w="1261" w:type="dxa"/>
                <w:vAlign w:val="center"/>
              </w:tcPr>
              <w:p w14:paraId="09C85EF1" w14:textId="77777777" w:rsidR="005E000F" w:rsidRDefault="00000000">
                <w:pPr>
                  <w:jc w:val="center"/>
                  <w:rPr>
                    <w:b/>
                  </w:rPr>
                </w:pPr>
                <w:r>
                  <w:t>出席股东会的次数</w:t>
                </w:r>
              </w:p>
            </w:tc>
          </w:sdtContent>
        </w:sdt>
      </w:tr>
      <w:tr w:rsidR="005E000F" w14:paraId="18130C64" w14:textId="77777777">
        <w:trPr>
          <w:trHeight w:val="77"/>
        </w:trPr>
        <w:tc>
          <w:tcPr>
            <w:tcW w:w="979" w:type="dxa"/>
            <w:vAlign w:val="center"/>
          </w:tcPr>
          <w:p w14:paraId="7AFFFCC3" w14:textId="77777777" w:rsidR="005E000F" w:rsidRDefault="00000000">
            <w:proofErr w:type="gramStart"/>
            <w:r>
              <w:rPr>
                <w:rFonts w:hint="eastAsia"/>
              </w:rPr>
              <w:t>陆勇</w:t>
            </w:r>
            <w:proofErr w:type="gramEnd"/>
          </w:p>
        </w:tc>
        <w:sdt>
          <w:sdtPr>
            <w:rPr>
              <w:rFonts w:hint="eastAsia"/>
            </w:rPr>
            <w:alias w:val="董事参加董事会的出席情况明细-是否独立董事"/>
            <w:tag w:val="_GBC_8f65cf2d483747a58ee92c8a36ee6375"/>
            <w:id w:val="-1517069992"/>
            <w:comboBox>
              <w:listItem w:displayText="是" w:value="true"/>
              <w:listItem w:displayText="否" w:value="false"/>
            </w:comboBox>
          </w:sdtPr>
          <w:sdtContent>
            <w:tc>
              <w:tcPr>
                <w:tcW w:w="845" w:type="dxa"/>
                <w:vAlign w:val="center"/>
              </w:tcPr>
              <w:p w14:paraId="4990AC51" w14:textId="77777777" w:rsidR="005E000F" w:rsidRDefault="00000000">
                <w:r>
                  <w:rPr>
                    <w:rFonts w:hint="eastAsia"/>
                  </w:rPr>
                  <w:t>否</w:t>
                </w:r>
              </w:p>
            </w:tc>
          </w:sdtContent>
        </w:sdt>
        <w:tc>
          <w:tcPr>
            <w:tcW w:w="1098" w:type="dxa"/>
            <w:vAlign w:val="center"/>
          </w:tcPr>
          <w:p w14:paraId="4E2F736B" w14:textId="77777777" w:rsidR="005E000F" w:rsidRDefault="00000000">
            <w:pPr>
              <w:jc w:val="right"/>
            </w:pPr>
            <w:r>
              <w:rPr>
                <w:rFonts w:hint="eastAsia"/>
              </w:rPr>
              <w:t>7</w:t>
            </w:r>
          </w:p>
        </w:tc>
        <w:tc>
          <w:tcPr>
            <w:tcW w:w="852" w:type="dxa"/>
            <w:vAlign w:val="center"/>
          </w:tcPr>
          <w:p w14:paraId="0D6BC177" w14:textId="77777777" w:rsidR="005E000F" w:rsidRDefault="00000000">
            <w:pPr>
              <w:jc w:val="right"/>
            </w:pPr>
            <w:r>
              <w:rPr>
                <w:rFonts w:hint="eastAsia"/>
              </w:rPr>
              <w:t>7</w:t>
            </w:r>
          </w:p>
        </w:tc>
        <w:tc>
          <w:tcPr>
            <w:tcW w:w="968" w:type="dxa"/>
            <w:vAlign w:val="center"/>
          </w:tcPr>
          <w:p w14:paraId="79E9B3CA" w14:textId="77777777" w:rsidR="005E000F" w:rsidRDefault="00000000">
            <w:pPr>
              <w:jc w:val="right"/>
            </w:pPr>
            <w:r>
              <w:rPr>
                <w:rFonts w:hint="eastAsia"/>
              </w:rPr>
              <w:t>5</w:t>
            </w:r>
          </w:p>
        </w:tc>
        <w:tc>
          <w:tcPr>
            <w:tcW w:w="904" w:type="dxa"/>
            <w:vAlign w:val="center"/>
          </w:tcPr>
          <w:p w14:paraId="15A34A1E" w14:textId="77777777" w:rsidR="005E000F" w:rsidRDefault="00000000">
            <w:pPr>
              <w:jc w:val="right"/>
            </w:pPr>
            <w:r>
              <w:rPr>
                <w:rFonts w:hint="eastAsia"/>
              </w:rPr>
              <w:t>0</w:t>
            </w:r>
          </w:p>
        </w:tc>
        <w:tc>
          <w:tcPr>
            <w:tcW w:w="845" w:type="dxa"/>
            <w:vAlign w:val="center"/>
          </w:tcPr>
          <w:p w14:paraId="345F0C95" w14:textId="77777777" w:rsidR="005E000F" w:rsidRDefault="00000000">
            <w:pPr>
              <w:jc w:val="right"/>
            </w:pPr>
            <w:r>
              <w:rPr>
                <w:rFonts w:hint="eastAsia"/>
              </w:rPr>
              <w:t>0</w:t>
            </w:r>
          </w:p>
        </w:tc>
        <w:sdt>
          <w:sdtPr>
            <w:rPr>
              <w:rFonts w:hint="eastAsia"/>
            </w:rPr>
            <w:alias w:val="董事参加董事会的出席情况明细-是否连续两次未亲自参加会议"/>
            <w:tag w:val="_GBC_4748dc7c4f9b495f9d97d5c22a5e08e6"/>
            <w:id w:val="-289675226"/>
            <w:comboBox>
              <w:listItem w:displayText="是" w:value="true"/>
              <w:listItem w:displayText="否" w:value="false"/>
            </w:comboBox>
          </w:sdtPr>
          <w:sdtContent>
            <w:tc>
              <w:tcPr>
                <w:tcW w:w="1292" w:type="dxa"/>
                <w:vAlign w:val="center"/>
              </w:tcPr>
              <w:p w14:paraId="3D7285FF" w14:textId="77777777" w:rsidR="005E000F" w:rsidRDefault="00000000">
                <w:r>
                  <w:rPr>
                    <w:rFonts w:hint="eastAsia"/>
                  </w:rPr>
                  <w:t>否</w:t>
                </w:r>
              </w:p>
            </w:tc>
          </w:sdtContent>
        </w:sdt>
        <w:tc>
          <w:tcPr>
            <w:tcW w:w="1261" w:type="dxa"/>
            <w:vAlign w:val="center"/>
          </w:tcPr>
          <w:p w14:paraId="6D8B679E" w14:textId="77777777" w:rsidR="005E000F" w:rsidRDefault="00000000">
            <w:pPr>
              <w:jc w:val="right"/>
            </w:pPr>
            <w:r>
              <w:rPr>
                <w:rFonts w:hint="eastAsia"/>
              </w:rPr>
              <w:t>2</w:t>
            </w:r>
          </w:p>
        </w:tc>
      </w:tr>
      <w:tr w:rsidR="005E000F" w14:paraId="13A5A428" w14:textId="77777777">
        <w:trPr>
          <w:trHeight w:val="77"/>
        </w:trPr>
        <w:tc>
          <w:tcPr>
            <w:tcW w:w="979" w:type="dxa"/>
            <w:vAlign w:val="center"/>
          </w:tcPr>
          <w:p w14:paraId="2DCF12B3" w14:textId="77777777" w:rsidR="005E000F" w:rsidRDefault="00000000">
            <w:r>
              <w:rPr>
                <w:rFonts w:hint="eastAsia"/>
              </w:rPr>
              <w:t>杨涛</w:t>
            </w:r>
          </w:p>
        </w:tc>
        <w:tc>
          <w:tcPr>
            <w:tcW w:w="845" w:type="dxa"/>
            <w:vAlign w:val="center"/>
          </w:tcPr>
          <w:p w14:paraId="7C0D239B" w14:textId="77777777" w:rsidR="005E000F" w:rsidRDefault="00000000">
            <w:r>
              <w:rPr>
                <w:rFonts w:hint="eastAsia"/>
              </w:rPr>
              <w:t>否</w:t>
            </w:r>
          </w:p>
        </w:tc>
        <w:tc>
          <w:tcPr>
            <w:tcW w:w="1098" w:type="dxa"/>
            <w:vAlign w:val="center"/>
          </w:tcPr>
          <w:p w14:paraId="1F1BF58F" w14:textId="77777777" w:rsidR="005E000F" w:rsidRDefault="00000000">
            <w:pPr>
              <w:jc w:val="right"/>
            </w:pPr>
            <w:r>
              <w:rPr>
                <w:rFonts w:hint="eastAsia"/>
              </w:rPr>
              <w:t>2</w:t>
            </w:r>
          </w:p>
        </w:tc>
        <w:tc>
          <w:tcPr>
            <w:tcW w:w="852" w:type="dxa"/>
            <w:vAlign w:val="center"/>
          </w:tcPr>
          <w:p w14:paraId="0EA8395B" w14:textId="77777777" w:rsidR="005E000F" w:rsidRDefault="00000000">
            <w:pPr>
              <w:jc w:val="right"/>
            </w:pPr>
            <w:r>
              <w:rPr>
                <w:rFonts w:hint="eastAsia"/>
              </w:rPr>
              <w:t>2</w:t>
            </w:r>
          </w:p>
        </w:tc>
        <w:tc>
          <w:tcPr>
            <w:tcW w:w="968" w:type="dxa"/>
            <w:vAlign w:val="center"/>
          </w:tcPr>
          <w:p w14:paraId="66AD19B2" w14:textId="77777777" w:rsidR="005E000F" w:rsidRDefault="00000000">
            <w:pPr>
              <w:jc w:val="right"/>
            </w:pPr>
            <w:r>
              <w:rPr>
                <w:rFonts w:hint="eastAsia"/>
              </w:rPr>
              <w:t>2</w:t>
            </w:r>
          </w:p>
        </w:tc>
        <w:tc>
          <w:tcPr>
            <w:tcW w:w="904" w:type="dxa"/>
            <w:vAlign w:val="center"/>
          </w:tcPr>
          <w:p w14:paraId="19BFA000" w14:textId="77777777" w:rsidR="005E000F" w:rsidRDefault="00000000">
            <w:pPr>
              <w:jc w:val="right"/>
            </w:pPr>
            <w:r>
              <w:rPr>
                <w:rFonts w:hint="eastAsia"/>
              </w:rPr>
              <w:t>0</w:t>
            </w:r>
          </w:p>
        </w:tc>
        <w:tc>
          <w:tcPr>
            <w:tcW w:w="845" w:type="dxa"/>
            <w:vAlign w:val="center"/>
          </w:tcPr>
          <w:p w14:paraId="6769EDC6" w14:textId="77777777" w:rsidR="005E000F" w:rsidRDefault="00000000">
            <w:pPr>
              <w:jc w:val="right"/>
            </w:pPr>
            <w:r>
              <w:rPr>
                <w:rFonts w:hint="eastAsia"/>
              </w:rPr>
              <w:t>0</w:t>
            </w:r>
          </w:p>
        </w:tc>
        <w:tc>
          <w:tcPr>
            <w:tcW w:w="1292" w:type="dxa"/>
            <w:vAlign w:val="center"/>
          </w:tcPr>
          <w:p w14:paraId="65D3B399" w14:textId="77777777" w:rsidR="005E000F" w:rsidRDefault="00000000">
            <w:r>
              <w:rPr>
                <w:rFonts w:hint="eastAsia"/>
              </w:rPr>
              <w:t>否</w:t>
            </w:r>
          </w:p>
        </w:tc>
        <w:tc>
          <w:tcPr>
            <w:tcW w:w="1261" w:type="dxa"/>
            <w:vAlign w:val="center"/>
          </w:tcPr>
          <w:p w14:paraId="059DD94A" w14:textId="77777777" w:rsidR="005E000F" w:rsidRDefault="00000000">
            <w:pPr>
              <w:jc w:val="right"/>
            </w:pPr>
            <w:r>
              <w:rPr>
                <w:rFonts w:hint="eastAsia"/>
              </w:rPr>
              <w:t>0</w:t>
            </w:r>
          </w:p>
        </w:tc>
      </w:tr>
      <w:tr w:rsidR="005E000F" w14:paraId="54988C2A" w14:textId="77777777">
        <w:trPr>
          <w:trHeight w:val="77"/>
        </w:trPr>
        <w:tc>
          <w:tcPr>
            <w:tcW w:w="979" w:type="dxa"/>
            <w:vAlign w:val="center"/>
          </w:tcPr>
          <w:p w14:paraId="549755D1" w14:textId="77777777" w:rsidR="005E000F" w:rsidRDefault="00000000">
            <w:r>
              <w:rPr>
                <w:rFonts w:hint="eastAsia"/>
              </w:rPr>
              <w:t>张竑毅</w:t>
            </w:r>
          </w:p>
        </w:tc>
        <w:tc>
          <w:tcPr>
            <w:tcW w:w="845" w:type="dxa"/>
            <w:vAlign w:val="center"/>
          </w:tcPr>
          <w:p w14:paraId="4CC4111C" w14:textId="77777777" w:rsidR="005E000F" w:rsidRDefault="00000000">
            <w:r>
              <w:rPr>
                <w:rFonts w:hint="eastAsia"/>
              </w:rPr>
              <w:t>否</w:t>
            </w:r>
          </w:p>
        </w:tc>
        <w:tc>
          <w:tcPr>
            <w:tcW w:w="1098" w:type="dxa"/>
            <w:vAlign w:val="center"/>
          </w:tcPr>
          <w:p w14:paraId="18D14560" w14:textId="77777777" w:rsidR="005E000F" w:rsidRDefault="00000000">
            <w:pPr>
              <w:jc w:val="right"/>
            </w:pPr>
            <w:r>
              <w:rPr>
                <w:rFonts w:hint="eastAsia"/>
              </w:rPr>
              <w:t>4</w:t>
            </w:r>
          </w:p>
        </w:tc>
        <w:tc>
          <w:tcPr>
            <w:tcW w:w="852" w:type="dxa"/>
            <w:vAlign w:val="center"/>
          </w:tcPr>
          <w:p w14:paraId="2F5F446D" w14:textId="77777777" w:rsidR="005E000F" w:rsidRDefault="00000000">
            <w:pPr>
              <w:jc w:val="right"/>
            </w:pPr>
            <w:r>
              <w:rPr>
                <w:rFonts w:hint="eastAsia"/>
              </w:rPr>
              <w:t>4</w:t>
            </w:r>
          </w:p>
        </w:tc>
        <w:tc>
          <w:tcPr>
            <w:tcW w:w="968" w:type="dxa"/>
            <w:vAlign w:val="center"/>
          </w:tcPr>
          <w:p w14:paraId="74D0C730" w14:textId="77777777" w:rsidR="005E000F" w:rsidRDefault="00000000">
            <w:pPr>
              <w:jc w:val="right"/>
            </w:pPr>
            <w:r>
              <w:rPr>
                <w:rFonts w:hint="eastAsia"/>
              </w:rPr>
              <w:t>4</w:t>
            </w:r>
          </w:p>
        </w:tc>
        <w:tc>
          <w:tcPr>
            <w:tcW w:w="904" w:type="dxa"/>
            <w:vAlign w:val="center"/>
          </w:tcPr>
          <w:p w14:paraId="0876621E" w14:textId="77777777" w:rsidR="005E000F" w:rsidRDefault="00000000">
            <w:pPr>
              <w:jc w:val="right"/>
            </w:pPr>
            <w:r>
              <w:rPr>
                <w:rFonts w:hint="eastAsia"/>
              </w:rPr>
              <w:t>0</w:t>
            </w:r>
          </w:p>
        </w:tc>
        <w:tc>
          <w:tcPr>
            <w:tcW w:w="845" w:type="dxa"/>
            <w:vAlign w:val="center"/>
          </w:tcPr>
          <w:p w14:paraId="409EDF1B" w14:textId="77777777" w:rsidR="005E000F" w:rsidRDefault="00000000">
            <w:pPr>
              <w:jc w:val="right"/>
            </w:pPr>
            <w:r>
              <w:rPr>
                <w:rFonts w:hint="eastAsia"/>
              </w:rPr>
              <w:t>0</w:t>
            </w:r>
          </w:p>
        </w:tc>
        <w:tc>
          <w:tcPr>
            <w:tcW w:w="1292" w:type="dxa"/>
            <w:vAlign w:val="center"/>
          </w:tcPr>
          <w:p w14:paraId="29E1F038" w14:textId="77777777" w:rsidR="005E000F" w:rsidRDefault="00000000">
            <w:r>
              <w:rPr>
                <w:rFonts w:hint="eastAsia"/>
              </w:rPr>
              <w:t>否</w:t>
            </w:r>
          </w:p>
        </w:tc>
        <w:tc>
          <w:tcPr>
            <w:tcW w:w="1261" w:type="dxa"/>
            <w:vAlign w:val="center"/>
          </w:tcPr>
          <w:p w14:paraId="5BC94CEA" w14:textId="77777777" w:rsidR="005E000F" w:rsidRDefault="00000000">
            <w:pPr>
              <w:jc w:val="right"/>
            </w:pPr>
            <w:r>
              <w:rPr>
                <w:rFonts w:hint="eastAsia"/>
              </w:rPr>
              <w:t>1</w:t>
            </w:r>
          </w:p>
        </w:tc>
      </w:tr>
      <w:tr w:rsidR="005E000F" w14:paraId="548EAE2B" w14:textId="77777777">
        <w:trPr>
          <w:trHeight w:val="77"/>
        </w:trPr>
        <w:tc>
          <w:tcPr>
            <w:tcW w:w="979" w:type="dxa"/>
            <w:vAlign w:val="center"/>
          </w:tcPr>
          <w:p w14:paraId="7B461B52" w14:textId="77777777" w:rsidR="005E000F" w:rsidRDefault="00000000">
            <w:r>
              <w:rPr>
                <w:rFonts w:hint="eastAsia"/>
              </w:rPr>
              <w:t>杨庆欣</w:t>
            </w:r>
          </w:p>
        </w:tc>
        <w:tc>
          <w:tcPr>
            <w:tcW w:w="845" w:type="dxa"/>
            <w:vAlign w:val="center"/>
          </w:tcPr>
          <w:p w14:paraId="4B93007D" w14:textId="77777777" w:rsidR="005E000F" w:rsidRDefault="00000000">
            <w:r>
              <w:rPr>
                <w:rFonts w:hint="eastAsia"/>
              </w:rPr>
              <w:t>否</w:t>
            </w:r>
          </w:p>
        </w:tc>
        <w:tc>
          <w:tcPr>
            <w:tcW w:w="1098" w:type="dxa"/>
            <w:vAlign w:val="center"/>
          </w:tcPr>
          <w:p w14:paraId="6186A43C" w14:textId="77777777" w:rsidR="005E000F" w:rsidRDefault="00000000">
            <w:pPr>
              <w:jc w:val="right"/>
            </w:pPr>
            <w:r>
              <w:rPr>
                <w:rFonts w:hint="eastAsia"/>
              </w:rPr>
              <w:t>0</w:t>
            </w:r>
          </w:p>
        </w:tc>
        <w:tc>
          <w:tcPr>
            <w:tcW w:w="852" w:type="dxa"/>
            <w:vAlign w:val="center"/>
          </w:tcPr>
          <w:p w14:paraId="05577010" w14:textId="77777777" w:rsidR="005E000F" w:rsidRDefault="00000000">
            <w:pPr>
              <w:jc w:val="right"/>
            </w:pPr>
            <w:r>
              <w:rPr>
                <w:rFonts w:hint="eastAsia"/>
              </w:rPr>
              <w:t>0</w:t>
            </w:r>
          </w:p>
        </w:tc>
        <w:tc>
          <w:tcPr>
            <w:tcW w:w="968" w:type="dxa"/>
            <w:vAlign w:val="center"/>
          </w:tcPr>
          <w:p w14:paraId="0672B643" w14:textId="77777777" w:rsidR="005E000F" w:rsidRDefault="00000000">
            <w:pPr>
              <w:jc w:val="right"/>
            </w:pPr>
            <w:r>
              <w:rPr>
                <w:rFonts w:hint="eastAsia"/>
              </w:rPr>
              <w:t>0</w:t>
            </w:r>
          </w:p>
        </w:tc>
        <w:tc>
          <w:tcPr>
            <w:tcW w:w="904" w:type="dxa"/>
            <w:vAlign w:val="center"/>
          </w:tcPr>
          <w:p w14:paraId="79C6CE66" w14:textId="77777777" w:rsidR="005E000F" w:rsidRDefault="00000000">
            <w:pPr>
              <w:jc w:val="right"/>
            </w:pPr>
            <w:r>
              <w:rPr>
                <w:rFonts w:hint="eastAsia"/>
              </w:rPr>
              <w:t>0</w:t>
            </w:r>
          </w:p>
        </w:tc>
        <w:tc>
          <w:tcPr>
            <w:tcW w:w="845" w:type="dxa"/>
            <w:vAlign w:val="center"/>
          </w:tcPr>
          <w:p w14:paraId="5AE929BF" w14:textId="77777777" w:rsidR="005E000F" w:rsidRDefault="00000000">
            <w:pPr>
              <w:jc w:val="right"/>
            </w:pPr>
            <w:r>
              <w:rPr>
                <w:rFonts w:hint="eastAsia"/>
              </w:rPr>
              <w:t>0</w:t>
            </w:r>
          </w:p>
        </w:tc>
        <w:tc>
          <w:tcPr>
            <w:tcW w:w="1292" w:type="dxa"/>
            <w:vAlign w:val="center"/>
          </w:tcPr>
          <w:p w14:paraId="3DF3669E" w14:textId="77777777" w:rsidR="005E000F" w:rsidRDefault="00000000">
            <w:r>
              <w:rPr>
                <w:rFonts w:hint="eastAsia"/>
              </w:rPr>
              <w:t>否</w:t>
            </w:r>
          </w:p>
        </w:tc>
        <w:tc>
          <w:tcPr>
            <w:tcW w:w="1261" w:type="dxa"/>
            <w:vAlign w:val="center"/>
          </w:tcPr>
          <w:p w14:paraId="3DB49A42" w14:textId="77777777" w:rsidR="005E000F" w:rsidRDefault="00000000">
            <w:pPr>
              <w:jc w:val="right"/>
            </w:pPr>
            <w:r>
              <w:rPr>
                <w:rFonts w:hint="eastAsia"/>
              </w:rPr>
              <w:t>0</w:t>
            </w:r>
          </w:p>
        </w:tc>
      </w:tr>
      <w:tr w:rsidR="005E000F" w14:paraId="7EC2D36C" w14:textId="77777777">
        <w:trPr>
          <w:trHeight w:val="77"/>
        </w:trPr>
        <w:tc>
          <w:tcPr>
            <w:tcW w:w="979" w:type="dxa"/>
            <w:vAlign w:val="center"/>
          </w:tcPr>
          <w:p w14:paraId="00BC7972" w14:textId="77777777" w:rsidR="005E000F" w:rsidRDefault="00000000">
            <w:r>
              <w:rPr>
                <w:rFonts w:hint="eastAsia"/>
              </w:rPr>
              <w:t>张利荣</w:t>
            </w:r>
          </w:p>
        </w:tc>
        <w:tc>
          <w:tcPr>
            <w:tcW w:w="845" w:type="dxa"/>
            <w:vAlign w:val="center"/>
          </w:tcPr>
          <w:p w14:paraId="598BCB60" w14:textId="77777777" w:rsidR="005E000F" w:rsidRDefault="00000000">
            <w:r>
              <w:rPr>
                <w:rFonts w:hint="eastAsia"/>
              </w:rPr>
              <w:t>否</w:t>
            </w:r>
          </w:p>
        </w:tc>
        <w:tc>
          <w:tcPr>
            <w:tcW w:w="1098" w:type="dxa"/>
            <w:vAlign w:val="center"/>
          </w:tcPr>
          <w:p w14:paraId="63060E38" w14:textId="77777777" w:rsidR="005E000F" w:rsidRDefault="00000000">
            <w:pPr>
              <w:jc w:val="right"/>
            </w:pPr>
            <w:r>
              <w:rPr>
                <w:rFonts w:hint="eastAsia"/>
              </w:rPr>
              <w:t>7</w:t>
            </w:r>
          </w:p>
        </w:tc>
        <w:tc>
          <w:tcPr>
            <w:tcW w:w="852" w:type="dxa"/>
            <w:vAlign w:val="center"/>
          </w:tcPr>
          <w:p w14:paraId="7A5C78AB" w14:textId="77777777" w:rsidR="005E000F" w:rsidRDefault="00000000">
            <w:pPr>
              <w:jc w:val="right"/>
            </w:pPr>
            <w:r>
              <w:rPr>
                <w:rFonts w:hint="eastAsia"/>
              </w:rPr>
              <w:t>7</w:t>
            </w:r>
          </w:p>
        </w:tc>
        <w:tc>
          <w:tcPr>
            <w:tcW w:w="968" w:type="dxa"/>
            <w:vAlign w:val="center"/>
          </w:tcPr>
          <w:p w14:paraId="488E41C4" w14:textId="77777777" w:rsidR="005E000F" w:rsidRDefault="00000000">
            <w:pPr>
              <w:jc w:val="right"/>
            </w:pPr>
            <w:r>
              <w:rPr>
                <w:rFonts w:hint="eastAsia"/>
              </w:rPr>
              <w:t>5</w:t>
            </w:r>
          </w:p>
        </w:tc>
        <w:tc>
          <w:tcPr>
            <w:tcW w:w="904" w:type="dxa"/>
            <w:vAlign w:val="center"/>
          </w:tcPr>
          <w:p w14:paraId="147DC99B" w14:textId="77777777" w:rsidR="005E000F" w:rsidRDefault="00000000">
            <w:pPr>
              <w:jc w:val="right"/>
            </w:pPr>
            <w:r>
              <w:rPr>
                <w:rFonts w:hint="eastAsia"/>
              </w:rPr>
              <w:t>0</w:t>
            </w:r>
          </w:p>
        </w:tc>
        <w:tc>
          <w:tcPr>
            <w:tcW w:w="845" w:type="dxa"/>
            <w:vAlign w:val="center"/>
          </w:tcPr>
          <w:p w14:paraId="38AC0B23" w14:textId="77777777" w:rsidR="005E000F" w:rsidRDefault="00000000">
            <w:pPr>
              <w:jc w:val="right"/>
            </w:pPr>
            <w:r>
              <w:rPr>
                <w:rFonts w:hint="eastAsia"/>
              </w:rPr>
              <w:t>0</w:t>
            </w:r>
          </w:p>
        </w:tc>
        <w:tc>
          <w:tcPr>
            <w:tcW w:w="1292" w:type="dxa"/>
            <w:vAlign w:val="center"/>
          </w:tcPr>
          <w:p w14:paraId="3B3410A9" w14:textId="77777777" w:rsidR="005E000F" w:rsidRDefault="00000000">
            <w:r>
              <w:rPr>
                <w:rFonts w:hint="eastAsia"/>
              </w:rPr>
              <w:t>否</w:t>
            </w:r>
          </w:p>
        </w:tc>
        <w:tc>
          <w:tcPr>
            <w:tcW w:w="1261" w:type="dxa"/>
            <w:vAlign w:val="center"/>
          </w:tcPr>
          <w:p w14:paraId="57700028" w14:textId="77777777" w:rsidR="005E000F" w:rsidRDefault="00000000">
            <w:pPr>
              <w:jc w:val="right"/>
            </w:pPr>
            <w:r>
              <w:rPr>
                <w:rFonts w:hint="eastAsia"/>
              </w:rPr>
              <w:t>3</w:t>
            </w:r>
          </w:p>
        </w:tc>
      </w:tr>
      <w:tr w:rsidR="005E000F" w14:paraId="63225ED2" w14:textId="77777777">
        <w:trPr>
          <w:trHeight w:val="77"/>
        </w:trPr>
        <w:tc>
          <w:tcPr>
            <w:tcW w:w="979" w:type="dxa"/>
            <w:vAlign w:val="center"/>
          </w:tcPr>
          <w:p w14:paraId="1335CEB9" w14:textId="77777777" w:rsidR="005E000F" w:rsidRDefault="00000000">
            <w:r>
              <w:rPr>
                <w:rFonts w:hint="eastAsia"/>
              </w:rPr>
              <w:t>杨文胜</w:t>
            </w:r>
          </w:p>
        </w:tc>
        <w:tc>
          <w:tcPr>
            <w:tcW w:w="845" w:type="dxa"/>
            <w:vAlign w:val="center"/>
          </w:tcPr>
          <w:p w14:paraId="124845AF" w14:textId="77777777" w:rsidR="005E000F" w:rsidRDefault="00000000">
            <w:r>
              <w:rPr>
                <w:rFonts w:hint="eastAsia"/>
              </w:rPr>
              <w:t>否</w:t>
            </w:r>
          </w:p>
        </w:tc>
        <w:tc>
          <w:tcPr>
            <w:tcW w:w="1098" w:type="dxa"/>
            <w:vAlign w:val="center"/>
          </w:tcPr>
          <w:p w14:paraId="79A60012" w14:textId="77777777" w:rsidR="005E000F" w:rsidRDefault="00000000">
            <w:pPr>
              <w:jc w:val="right"/>
            </w:pPr>
            <w:r>
              <w:rPr>
                <w:rFonts w:hint="eastAsia"/>
              </w:rPr>
              <w:t>7</w:t>
            </w:r>
          </w:p>
        </w:tc>
        <w:tc>
          <w:tcPr>
            <w:tcW w:w="852" w:type="dxa"/>
            <w:vAlign w:val="center"/>
          </w:tcPr>
          <w:p w14:paraId="705DA6E6" w14:textId="77777777" w:rsidR="005E000F" w:rsidRDefault="00000000">
            <w:pPr>
              <w:jc w:val="right"/>
            </w:pPr>
            <w:r>
              <w:rPr>
                <w:rFonts w:hint="eastAsia"/>
              </w:rPr>
              <w:t>7</w:t>
            </w:r>
          </w:p>
        </w:tc>
        <w:tc>
          <w:tcPr>
            <w:tcW w:w="968" w:type="dxa"/>
            <w:vAlign w:val="center"/>
          </w:tcPr>
          <w:p w14:paraId="53D8C934" w14:textId="77777777" w:rsidR="005E000F" w:rsidRDefault="00000000">
            <w:pPr>
              <w:jc w:val="right"/>
            </w:pPr>
            <w:r>
              <w:rPr>
                <w:rFonts w:hint="eastAsia"/>
              </w:rPr>
              <w:t>5</w:t>
            </w:r>
          </w:p>
        </w:tc>
        <w:tc>
          <w:tcPr>
            <w:tcW w:w="904" w:type="dxa"/>
            <w:vAlign w:val="center"/>
          </w:tcPr>
          <w:p w14:paraId="3EABAF46" w14:textId="77777777" w:rsidR="005E000F" w:rsidRDefault="00000000">
            <w:pPr>
              <w:jc w:val="right"/>
            </w:pPr>
            <w:r>
              <w:rPr>
                <w:rFonts w:hint="eastAsia"/>
              </w:rPr>
              <w:t>0</w:t>
            </w:r>
          </w:p>
        </w:tc>
        <w:tc>
          <w:tcPr>
            <w:tcW w:w="845" w:type="dxa"/>
            <w:vAlign w:val="center"/>
          </w:tcPr>
          <w:p w14:paraId="5B6FF309" w14:textId="77777777" w:rsidR="005E000F" w:rsidRDefault="00000000">
            <w:pPr>
              <w:jc w:val="right"/>
            </w:pPr>
            <w:r>
              <w:rPr>
                <w:rFonts w:hint="eastAsia"/>
              </w:rPr>
              <w:t>0</w:t>
            </w:r>
          </w:p>
        </w:tc>
        <w:tc>
          <w:tcPr>
            <w:tcW w:w="1292" w:type="dxa"/>
            <w:vAlign w:val="center"/>
          </w:tcPr>
          <w:p w14:paraId="70CB7B9B" w14:textId="77777777" w:rsidR="005E000F" w:rsidRDefault="00000000">
            <w:r>
              <w:rPr>
                <w:rFonts w:hint="eastAsia"/>
              </w:rPr>
              <w:t>否</w:t>
            </w:r>
          </w:p>
        </w:tc>
        <w:tc>
          <w:tcPr>
            <w:tcW w:w="1261" w:type="dxa"/>
            <w:vAlign w:val="center"/>
          </w:tcPr>
          <w:p w14:paraId="4951D342" w14:textId="77777777" w:rsidR="005E000F" w:rsidRDefault="00000000">
            <w:pPr>
              <w:jc w:val="right"/>
            </w:pPr>
            <w:r>
              <w:rPr>
                <w:rFonts w:hint="eastAsia"/>
              </w:rPr>
              <w:t>0</w:t>
            </w:r>
          </w:p>
        </w:tc>
      </w:tr>
      <w:tr w:rsidR="005E000F" w14:paraId="2B3EC5E5" w14:textId="77777777">
        <w:trPr>
          <w:trHeight w:val="77"/>
        </w:trPr>
        <w:tc>
          <w:tcPr>
            <w:tcW w:w="979" w:type="dxa"/>
            <w:vAlign w:val="center"/>
          </w:tcPr>
          <w:p w14:paraId="389C81F2" w14:textId="77777777" w:rsidR="005E000F" w:rsidRDefault="00000000">
            <w:proofErr w:type="gramStart"/>
            <w:r>
              <w:rPr>
                <w:rFonts w:hint="eastAsia"/>
              </w:rPr>
              <w:t>陈鹏君</w:t>
            </w:r>
            <w:proofErr w:type="gramEnd"/>
          </w:p>
        </w:tc>
        <w:tc>
          <w:tcPr>
            <w:tcW w:w="845" w:type="dxa"/>
            <w:vAlign w:val="center"/>
          </w:tcPr>
          <w:p w14:paraId="6731EAB7" w14:textId="77777777" w:rsidR="005E000F" w:rsidRDefault="00000000">
            <w:r>
              <w:rPr>
                <w:rFonts w:hint="eastAsia"/>
              </w:rPr>
              <w:t>否</w:t>
            </w:r>
          </w:p>
        </w:tc>
        <w:tc>
          <w:tcPr>
            <w:tcW w:w="1098" w:type="dxa"/>
            <w:vAlign w:val="center"/>
          </w:tcPr>
          <w:p w14:paraId="01066B77" w14:textId="77777777" w:rsidR="005E000F" w:rsidRDefault="00000000">
            <w:pPr>
              <w:jc w:val="right"/>
            </w:pPr>
            <w:r>
              <w:rPr>
                <w:rFonts w:hint="eastAsia"/>
              </w:rPr>
              <w:t>7</w:t>
            </w:r>
          </w:p>
        </w:tc>
        <w:tc>
          <w:tcPr>
            <w:tcW w:w="852" w:type="dxa"/>
            <w:vAlign w:val="center"/>
          </w:tcPr>
          <w:p w14:paraId="6E5566CE" w14:textId="77777777" w:rsidR="005E000F" w:rsidRDefault="00000000">
            <w:pPr>
              <w:jc w:val="right"/>
            </w:pPr>
            <w:r>
              <w:rPr>
                <w:rFonts w:hint="eastAsia"/>
              </w:rPr>
              <w:t>7</w:t>
            </w:r>
          </w:p>
        </w:tc>
        <w:tc>
          <w:tcPr>
            <w:tcW w:w="968" w:type="dxa"/>
            <w:vAlign w:val="center"/>
          </w:tcPr>
          <w:p w14:paraId="5D55DDFA" w14:textId="77777777" w:rsidR="005E000F" w:rsidRDefault="00000000">
            <w:pPr>
              <w:jc w:val="right"/>
            </w:pPr>
            <w:r>
              <w:rPr>
                <w:rFonts w:hint="eastAsia"/>
              </w:rPr>
              <w:t>5</w:t>
            </w:r>
          </w:p>
        </w:tc>
        <w:tc>
          <w:tcPr>
            <w:tcW w:w="904" w:type="dxa"/>
            <w:vAlign w:val="center"/>
          </w:tcPr>
          <w:p w14:paraId="4231AFD7" w14:textId="77777777" w:rsidR="005E000F" w:rsidRDefault="00000000">
            <w:pPr>
              <w:jc w:val="right"/>
            </w:pPr>
            <w:r>
              <w:rPr>
                <w:rFonts w:hint="eastAsia"/>
              </w:rPr>
              <w:t>0</w:t>
            </w:r>
          </w:p>
        </w:tc>
        <w:tc>
          <w:tcPr>
            <w:tcW w:w="845" w:type="dxa"/>
            <w:vAlign w:val="center"/>
          </w:tcPr>
          <w:p w14:paraId="073393CA" w14:textId="77777777" w:rsidR="005E000F" w:rsidRDefault="00000000">
            <w:pPr>
              <w:jc w:val="right"/>
            </w:pPr>
            <w:r>
              <w:rPr>
                <w:rFonts w:hint="eastAsia"/>
              </w:rPr>
              <w:t>0</w:t>
            </w:r>
          </w:p>
        </w:tc>
        <w:tc>
          <w:tcPr>
            <w:tcW w:w="1292" w:type="dxa"/>
            <w:vAlign w:val="center"/>
          </w:tcPr>
          <w:p w14:paraId="60B96733" w14:textId="77777777" w:rsidR="005E000F" w:rsidRDefault="00000000">
            <w:r>
              <w:rPr>
                <w:rFonts w:hint="eastAsia"/>
              </w:rPr>
              <w:t>否</w:t>
            </w:r>
          </w:p>
        </w:tc>
        <w:tc>
          <w:tcPr>
            <w:tcW w:w="1261" w:type="dxa"/>
            <w:vAlign w:val="center"/>
          </w:tcPr>
          <w:p w14:paraId="43B8FFEB" w14:textId="77777777" w:rsidR="005E000F" w:rsidRDefault="00000000">
            <w:pPr>
              <w:jc w:val="right"/>
            </w:pPr>
            <w:r>
              <w:rPr>
                <w:rFonts w:hint="eastAsia"/>
              </w:rPr>
              <w:t>1</w:t>
            </w:r>
          </w:p>
        </w:tc>
      </w:tr>
      <w:tr w:rsidR="005E000F" w14:paraId="459F06F4" w14:textId="77777777">
        <w:trPr>
          <w:trHeight w:val="77"/>
        </w:trPr>
        <w:tc>
          <w:tcPr>
            <w:tcW w:w="979" w:type="dxa"/>
            <w:vAlign w:val="center"/>
          </w:tcPr>
          <w:p w14:paraId="223AAEC5" w14:textId="77777777" w:rsidR="005E000F" w:rsidRDefault="00000000">
            <w:r>
              <w:rPr>
                <w:rFonts w:hint="eastAsia"/>
              </w:rPr>
              <w:t>郝生跃</w:t>
            </w:r>
          </w:p>
        </w:tc>
        <w:tc>
          <w:tcPr>
            <w:tcW w:w="845" w:type="dxa"/>
            <w:vAlign w:val="center"/>
          </w:tcPr>
          <w:p w14:paraId="404F8778" w14:textId="77777777" w:rsidR="005E000F" w:rsidRDefault="00000000">
            <w:r>
              <w:rPr>
                <w:rFonts w:hint="eastAsia"/>
              </w:rPr>
              <w:t>是</w:t>
            </w:r>
          </w:p>
        </w:tc>
        <w:tc>
          <w:tcPr>
            <w:tcW w:w="1098" w:type="dxa"/>
            <w:vAlign w:val="center"/>
          </w:tcPr>
          <w:p w14:paraId="460CE082" w14:textId="77777777" w:rsidR="005E000F" w:rsidRDefault="00000000">
            <w:pPr>
              <w:jc w:val="right"/>
            </w:pPr>
            <w:r>
              <w:rPr>
                <w:rFonts w:hint="eastAsia"/>
              </w:rPr>
              <w:t>7</w:t>
            </w:r>
          </w:p>
        </w:tc>
        <w:tc>
          <w:tcPr>
            <w:tcW w:w="852" w:type="dxa"/>
            <w:vAlign w:val="center"/>
          </w:tcPr>
          <w:p w14:paraId="770DB3DD" w14:textId="77777777" w:rsidR="005E000F" w:rsidRDefault="00000000">
            <w:pPr>
              <w:jc w:val="right"/>
            </w:pPr>
            <w:r>
              <w:rPr>
                <w:rFonts w:hint="eastAsia"/>
              </w:rPr>
              <w:t>7</w:t>
            </w:r>
          </w:p>
        </w:tc>
        <w:tc>
          <w:tcPr>
            <w:tcW w:w="968" w:type="dxa"/>
            <w:vAlign w:val="center"/>
          </w:tcPr>
          <w:p w14:paraId="63BA20EA" w14:textId="77777777" w:rsidR="005E000F" w:rsidRDefault="00000000">
            <w:pPr>
              <w:jc w:val="right"/>
            </w:pPr>
            <w:r>
              <w:rPr>
                <w:rFonts w:hint="eastAsia"/>
              </w:rPr>
              <w:t>5</w:t>
            </w:r>
          </w:p>
        </w:tc>
        <w:tc>
          <w:tcPr>
            <w:tcW w:w="904" w:type="dxa"/>
            <w:vAlign w:val="center"/>
          </w:tcPr>
          <w:p w14:paraId="768DA61E" w14:textId="77777777" w:rsidR="005E000F" w:rsidRDefault="00000000">
            <w:pPr>
              <w:jc w:val="right"/>
            </w:pPr>
            <w:r>
              <w:rPr>
                <w:rFonts w:hint="eastAsia"/>
              </w:rPr>
              <w:t>0</w:t>
            </w:r>
          </w:p>
        </w:tc>
        <w:tc>
          <w:tcPr>
            <w:tcW w:w="845" w:type="dxa"/>
            <w:vAlign w:val="center"/>
          </w:tcPr>
          <w:p w14:paraId="332AC96E" w14:textId="77777777" w:rsidR="005E000F" w:rsidRDefault="00000000">
            <w:pPr>
              <w:jc w:val="right"/>
            </w:pPr>
            <w:r>
              <w:rPr>
                <w:rFonts w:hint="eastAsia"/>
              </w:rPr>
              <w:t>0</w:t>
            </w:r>
          </w:p>
        </w:tc>
        <w:tc>
          <w:tcPr>
            <w:tcW w:w="1292" w:type="dxa"/>
            <w:vAlign w:val="center"/>
          </w:tcPr>
          <w:p w14:paraId="0B7E569C" w14:textId="77777777" w:rsidR="005E000F" w:rsidRDefault="00000000">
            <w:r>
              <w:rPr>
                <w:rFonts w:hint="eastAsia"/>
              </w:rPr>
              <w:t>否</w:t>
            </w:r>
          </w:p>
        </w:tc>
        <w:tc>
          <w:tcPr>
            <w:tcW w:w="1261" w:type="dxa"/>
            <w:vAlign w:val="center"/>
          </w:tcPr>
          <w:p w14:paraId="08CD4364" w14:textId="77777777" w:rsidR="005E000F" w:rsidRDefault="00000000">
            <w:pPr>
              <w:jc w:val="right"/>
            </w:pPr>
            <w:r>
              <w:rPr>
                <w:rFonts w:hint="eastAsia"/>
              </w:rPr>
              <w:t>3</w:t>
            </w:r>
          </w:p>
        </w:tc>
      </w:tr>
      <w:tr w:rsidR="005E000F" w14:paraId="087028FA" w14:textId="77777777">
        <w:trPr>
          <w:trHeight w:val="77"/>
        </w:trPr>
        <w:tc>
          <w:tcPr>
            <w:tcW w:w="979" w:type="dxa"/>
            <w:vAlign w:val="center"/>
          </w:tcPr>
          <w:p w14:paraId="00DA9E41" w14:textId="77777777" w:rsidR="005E000F" w:rsidRDefault="00000000">
            <w:r>
              <w:rPr>
                <w:rFonts w:hint="eastAsia"/>
              </w:rPr>
              <w:t>许光建</w:t>
            </w:r>
          </w:p>
        </w:tc>
        <w:tc>
          <w:tcPr>
            <w:tcW w:w="845" w:type="dxa"/>
            <w:vAlign w:val="center"/>
          </w:tcPr>
          <w:p w14:paraId="5DF5CE65" w14:textId="77777777" w:rsidR="005E000F" w:rsidRDefault="00000000">
            <w:r>
              <w:rPr>
                <w:rFonts w:hint="eastAsia"/>
              </w:rPr>
              <w:t>是</w:t>
            </w:r>
          </w:p>
        </w:tc>
        <w:tc>
          <w:tcPr>
            <w:tcW w:w="1098" w:type="dxa"/>
            <w:vAlign w:val="center"/>
          </w:tcPr>
          <w:p w14:paraId="39FBEE08" w14:textId="77777777" w:rsidR="005E000F" w:rsidRDefault="00000000">
            <w:pPr>
              <w:jc w:val="right"/>
            </w:pPr>
            <w:r>
              <w:rPr>
                <w:rFonts w:hint="eastAsia"/>
              </w:rPr>
              <w:t>7</w:t>
            </w:r>
          </w:p>
        </w:tc>
        <w:tc>
          <w:tcPr>
            <w:tcW w:w="852" w:type="dxa"/>
            <w:vAlign w:val="center"/>
          </w:tcPr>
          <w:p w14:paraId="10E77915" w14:textId="77777777" w:rsidR="005E000F" w:rsidRDefault="00000000">
            <w:pPr>
              <w:jc w:val="right"/>
            </w:pPr>
            <w:r>
              <w:rPr>
                <w:rFonts w:hint="eastAsia"/>
              </w:rPr>
              <w:t>7</w:t>
            </w:r>
          </w:p>
        </w:tc>
        <w:tc>
          <w:tcPr>
            <w:tcW w:w="968" w:type="dxa"/>
            <w:vAlign w:val="center"/>
          </w:tcPr>
          <w:p w14:paraId="1B1CDBBF" w14:textId="77777777" w:rsidR="005E000F" w:rsidRDefault="00000000">
            <w:pPr>
              <w:jc w:val="right"/>
            </w:pPr>
            <w:r>
              <w:rPr>
                <w:rFonts w:hint="eastAsia"/>
              </w:rPr>
              <w:t>5</w:t>
            </w:r>
          </w:p>
        </w:tc>
        <w:tc>
          <w:tcPr>
            <w:tcW w:w="904" w:type="dxa"/>
            <w:vAlign w:val="center"/>
          </w:tcPr>
          <w:p w14:paraId="3D26DBF2" w14:textId="77777777" w:rsidR="005E000F" w:rsidRDefault="00000000">
            <w:pPr>
              <w:jc w:val="right"/>
            </w:pPr>
            <w:r>
              <w:rPr>
                <w:rFonts w:hint="eastAsia"/>
              </w:rPr>
              <w:t>0</w:t>
            </w:r>
          </w:p>
        </w:tc>
        <w:tc>
          <w:tcPr>
            <w:tcW w:w="845" w:type="dxa"/>
            <w:vAlign w:val="center"/>
          </w:tcPr>
          <w:p w14:paraId="16D0972D" w14:textId="77777777" w:rsidR="005E000F" w:rsidRDefault="00000000">
            <w:pPr>
              <w:jc w:val="right"/>
            </w:pPr>
            <w:r>
              <w:rPr>
                <w:rFonts w:hint="eastAsia"/>
              </w:rPr>
              <w:t>0</w:t>
            </w:r>
          </w:p>
        </w:tc>
        <w:tc>
          <w:tcPr>
            <w:tcW w:w="1292" w:type="dxa"/>
            <w:vAlign w:val="center"/>
          </w:tcPr>
          <w:p w14:paraId="5B445F08" w14:textId="77777777" w:rsidR="005E000F" w:rsidRDefault="00000000">
            <w:r>
              <w:rPr>
                <w:rFonts w:hint="eastAsia"/>
              </w:rPr>
              <w:t>否</w:t>
            </w:r>
          </w:p>
        </w:tc>
        <w:tc>
          <w:tcPr>
            <w:tcW w:w="1261" w:type="dxa"/>
            <w:vAlign w:val="center"/>
          </w:tcPr>
          <w:p w14:paraId="68FE8CE5" w14:textId="77777777" w:rsidR="005E000F" w:rsidRDefault="00000000">
            <w:pPr>
              <w:jc w:val="right"/>
            </w:pPr>
            <w:r>
              <w:rPr>
                <w:rFonts w:hint="eastAsia"/>
              </w:rPr>
              <w:t>2</w:t>
            </w:r>
          </w:p>
        </w:tc>
      </w:tr>
      <w:tr w:rsidR="005E000F" w14:paraId="72801C44" w14:textId="77777777">
        <w:trPr>
          <w:trHeight w:val="77"/>
        </w:trPr>
        <w:tc>
          <w:tcPr>
            <w:tcW w:w="979" w:type="dxa"/>
            <w:vAlign w:val="center"/>
          </w:tcPr>
          <w:p w14:paraId="51E0B4FE" w14:textId="77777777" w:rsidR="005E000F" w:rsidRDefault="00000000">
            <w:r>
              <w:rPr>
                <w:rFonts w:hint="eastAsia"/>
              </w:rPr>
              <w:t>樊燕萍</w:t>
            </w:r>
          </w:p>
        </w:tc>
        <w:tc>
          <w:tcPr>
            <w:tcW w:w="845" w:type="dxa"/>
            <w:vAlign w:val="center"/>
          </w:tcPr>
          <w:p w14:paraId="348C5AA0" w14:textId="77777777" w:rsidR="005E000F" w:rsidRDefault="00000000">
            <w:r>
              <w:rPr>
                <w:rFonts w:hint="eastAsia"/>
              </w:rPr>
              <w:t>是</w:t>
            </w:r>
          </w:p>
        </w:tc>
        <w:tc>
          <w:tcPr>
            <w:tcW w:w="1098" w:type="dxa"/>
            <w:vAlign w:val="center"/>
          </w:tcPr>
          <w:p w14:paraId="077D8A9D" w14:textId="77777777" w:rsidR="005E000F" w:rsidRDefault="00000000">
            <w:pPr>
              <w:jc w:val="right"/>
            </w:pPr>
            <w:r>
              <w:rPr>
                <w:rFonts w:hint="eastAsia"/>
              </w:rPr>
              <w:t>7</w:t>
            </w:r>
          </w:p>
        </w:tc>
        <w:tc>
          <w:tcPr>
            <w:tcW w:w="852" w:type="dxa"/>
            <w:vAlign w:val="center"/>
          </w:tcPr>
          <w:p w14:paraId="763B5E62" w14:textId="77777777" w:rsidR="005E000F" w:rsidRDefault="00000000">
            <w:pPr>
              <w:jc w:val="right"/>
            </w:pPr>
            <w:r>
              <w:rPr>
                <w:rFonts w:hint="eastAsia"/>
              </w:rPr>
              <w:t>7</w:t>
            </w:r>
          </w:p>
        </w:tc>
        <w:tc>
          <w:tcPr>
            <w:tcW w:w="968" w:type="dxa"/>
            <w:vAlign w:val="center"/>
          </w:tcPr>
          <w:p w14:paraId="5EA0BC07" w14:textId="77777777" w:rsidR="005E000F" w:rsidRDefault="00000000">
            <w:pPr>
              <w:jc w:val="right"/>
            </w:pPr>
            <w:r>
              <w:rPr>
                <w:rFonts w:hint="eastAsia"/>
              </w:rPr>
              <w:t>5</w:t>
            </w:r>
          </w:p>
        </w:tc>
        <w:tc>
          <w:tcPr>
            <w:tcW w:w="904" w:type="dxa"/>
            <w:vAlign w:val="center"/>
          </w:tcPr>
          <w:p w14:paraId="575A3E12" w14:textId="77777777" w:rsidR="005E000F" w:rsidRDefault="00000000">
            <w:pPr>
              <w:jc w:val="right"/>
            </w:pPr>
            <w:r>
              <w:rPr>
                <w:rFonts w:hint="eastAsia"/>
              </w:rPr>
              <w:t>0</w:t>
            </w:r>
          </w:p>
        </w:tc>
        <w:tc>
          <w:tcPr>
            <w:tcW w:w="845" w:type="dxa"/>
            <w:vAlign w:val="center"/>
          </w:tcPr>
          <w:p w14:paraId="3C0C1719" w14:textId="77777777" w:rsidR="005E000F" w:rsidRDefault="00000000">
            <w:pPr>
              <w:jc w:val="right"/>
            </w:pPr>
            <w:r>
              <w:rPr>
                <w:rFonts w:hint="eastAsia"/>
              </w:rPr>
              <w:t>0</w:t>
            </w:r>
          </w:p>
        </w:tc>
        <w:tc>
          <w:tcPr>
            <w:tcW w:w="1292" w:type="dxa"/>
            <w:vAlign w:val="center"/>
          </w:tcPr>
          <w:p w14:paraId="36DEFCC3" w14:textId="77777777" w:rsidR="005E000F" w:rsidRDefault="00000000">
            <w:r>
              <w:rPr>
                <w:rFonts w:hint="eastAsia"/>
              </w:rPr>
              <w:t>否</w:t>
            </w:r>
          </w:p>
        </w:tc>
        <w:tc>
          <w:tcPr>
            <w:tcW w:w="1261" w:type="dxa"/>
            <w:vAlign w:val="center"/>
          </w:tcPr>
          <w:p w14:paraId="2393A726" w14:textId="77777777" w:rsidR="005E000F" w:rsidRDefault="00000000">
            <w:pPr>
              <w:jc w:val="right"/>
            </w:pPr>
            <w:r>
              <w:rPr>
                <w:rFonts w:hint="eastAsia"/>
              </w:rPr>
              <w:t>3</w:t>
            </w:r>
          </w:p>
        </w:tc>
      </w:tr>
      <w:tr w:rsidR="005E000F" w14:paraId="7E95FFD9" w14:textId="77777777">
        <w:trPr>
          <w:trHeight w:val="77"/>
        </w:trPr>
        <w:tc>
          <w:tcPr>
            <w:tcW w:w="979" w:type="dxa"/>
            <w:vAlign w:val="center"/>
          </w:tcPr>
          <w:p w14:paraId="37C95723" w14:textId="77777777" w:rsidR="005E000F" w:rsidRDefault="00000000">
            <w:r>
              <w:rPr>
                <w:rFonts w:hint="eastAsia"/>
              </w:rPr>
              <w:t>朱玉杰</w:t>
            </w:r>
          </w:p>
        </w:tc>
        <w:tc>
          <w:tcPr>
            <w:tcW w:w="845" w:type="dxa"/>
            <w:vAlign w:val="center"/>
          </w:tcPr>
          <w:p w14:paraId="4220AC10" w14:textId="77777777" w:rsidR="005E000F" w:rsidRDefault="00000000">
            <w:r>
              <w:rPr>
                <w:rFonts w:hint="eastAsia"/>
              </w:rPr>
              <w:t>是</w:t>
            </w:r>
          </w:p>
        </w:tc>
        <w:tc>
          <w:tcPr>
            <w:tcW w:w="1098" w:type="dxa"/>
            <w:vAlign w:val="center"/>
          </w:tcPr>
          <w:p w14:paraId="7A75AD30" w14:textId="77777777" w:rsidR="005E000F" w:rsidRDefault="00000000">
            <w:pPr>
              <w:jc w:val="right"/>
            </w:pPr>
            <w:r>
              <w:rPr>
                <w:rFonts w:hint="eastAsia"/>
              </w:rPr>
              <w:t>7</w:t>
            </w:r>
          </w:p>
        </w:tc>
        <w:tc>
          <w:tcPr>
            <w:tcW w:w="852" w:type="dxa"/>
            <w:vAlign w:val="center"/>
          </w:tcPr>
          <w:p w14:paraId="0F82004E" w14:textId="77777777" w:rsidR="005E000F" w:rsidRDefault="00000000">
            <w:pPr>
              <w:jc w:val="right"/>
            </w:pPr>
            <w:r>
              <w:rPr>
                <w:rFonts w:hint="eastAsia"/>
              </w:rPr>
              <w:t>6</w:t>
            </w:r>
          </w:p>
        </w:tc>
        <w:tc>
          <w:tcPr>
            <w:tcW w:w="968" w:type="dxa"/>
            <w:vAlign w:val="center"/>
          </w:tcPr>
          <w:p w14:paraId="0952592D" w14:textId="77777777" w:rsidR="005E000F" w:rsidRDefault="00000000">
            <w:pPr>
              <w:jc w:val="right"/>
            </w:pPr>
            <w:r>
              <w:rPr>
                <w:rFonts w:hint="eastAsia"/>
              </w:rPr>
              <w:t>5</w:t>
            </w:r>
          </w:p>
        </w:tc>
        <w:tc>
          <w:tcPr>
            <w:tcW w:w="904" w:type="dxa"/>
            <w:vAlign w:val="center"/>
          </w:tcPr>
          <w:p w14:paraId="3733C699" w14:textId="77777777" w:rsidR="005E000F" w:rsidRDefault="00000000">
            <w:pPr>
              <w:jc w:val="right"/>
            </w:pPr>
            <w:r>
              <w:rPr>
                <w:rFonts w:hint="eastAsia"/>
              </w:rPr>
              <w:t>1</w:t>
            </w:r>
          </w:p>
        </w:tc>
        <w:tc>
          <w:tcPr>
            <w:tcW w:w="845" w:type="dxa"/>
            <w:vAlign w:val="center"/>
          </w:tcPr>
          <w:p w14:paraId="5856BEB6" w14:textId="77777777" w:rsidR="005E000F" w:rsidRDefault="00000000">
            <w:pPr>
              <w:jc w:val="right"/>
            </w:pPr>
            <w:r>
              <w:rPr>
                <w:rFonts w:hint="eastAsia"/>
              </w:rPr>
              <w:t>0</w:t>
            </w:r>
          </w:p>
        </w:tc>
        <w:tc>
          <w:tcPr>
            <w:tcW w:w="1292" w:type="dxa"/>
            <w:vAlign w:val="center"/>
          </w:tcPr>
          <w:p w14:paraId="12DF31DF" w14:textId="77777777" w:rsidR="005E000F" w:rsidRDefault="00000000">
            <w:r>
              <w:rPr>
                <w:rFonts w:hint="eastAsia"/>
              </w:rPr>
              <w:t>否</w:t>
            </w:r>
          </w:p>
        </w:tc>
        <w:tc>
          <w:tcPr>
            <w:tcW w:w="1261" w:type="dxa"/>
            <w:vAlign w:val="center"/>
          </w:tcPr>
          <w:p w14:paraId="1789051E" w14:textId="77777777" w:rsidR="005E000F" w:rsidRDefault="00000000">
            <w:pPr>
              <w:jc w:val="right"/>
            </w:pPr>
            <w:r>
              <w:rPr>
                <w:rFonts w:hint="eastAsia"/>
              </w:rPr>
              <w:t>1</w:t>
            </w:r>
          </w:p>
        </w:tc>
      </w:tr>
      <w:tr w:rsidR="005E000F" w14:paraId="344E5BB9" w14:textId="77777777">
        <w:trPr>
          <w:trHeight w:val="77"/>
        </w:trPr>
        <w:tc>
          <w:tcPr>
            <w:tcW w:w="979" w:type="dxa"/>
            <w:vAlign w:val="center"/>
          </w:tcPr>
          <w:p w14:paraId="5B8531A0" w14:textId="77777777" w:rsidR="005E000F" w:rsidRDefault="00000000">
            <w:r>
              <w:rPr>
                <w:rFonts w:hint="eastAsia"/>
              </w:rPr>
              <w:t>王道阔</w:t>
            </w:r>
          </w:p>
        </w:tc>
        <w:tc>
          <w:tcPr>
            <w:tcW w:w="845" w:type="dxa"/>
            <w:vAlign w:val="center"/>
          </w:tcPr>
          <w:p w14:paraId="1FCDA277" w14:textId="77777777" w:rsidR="005E000F" w:rsidRDefault="00000000">
            <w:r>
              <w:rPr>
                <w:rFonts w:hint="eastAsia"/>
              </w:rPr>
              <w:t>否</w:t>
            </w:r>
          </w:p>
        </w:tc>
        <w:tc>
          <w:tcPr>
            <w:tcW w:w="1098" w:type="dxa"/>
            <w:vAlign w:val="center"/>
          </w:tcPr>
          <w:p w14:paraId="2EDE72D1" w14:textId="77777777" w:rsidR="005E000F" w:rsidRDefault="00000000">
            <w:pPr>
              <w:jc w:val="right"/>
            </w:pPr>
            <w:r>
              <w:rPr>
                <w:rFonts w:hint="eastAsia"/>
              </w:rPr>
              <w:t>4</w:t>
            </w:r>
          </w:p>
        </w:tc>
        <w:tc>
          <w:tcPr>
            <w:tcW w:w="852" w:type="dxa"/>
            <w:vAlign w:val="center"/>
          </w:tcPr>
          <w:p w14:paraId="26E78F9F" w14:textId="77777777" w:rsidR="005E000F" w:rsidRDefault="00000000">
            <w:pPr>
              <w:jc w:val="right"/>
            </w:pPr>
            <w:r>
              <w:rPr>
                <w:rFonts w:hint="eastAsia"/>
              </w:rPr>
              <w:t>4</w:t>
            </w:r>
          </w:p>
        </w:tc>
        <w:tc>
          <w:tcPr>
            <w:tcW w:w="968" w:type="dxa"/>
            <w:vAlign w:val="center"/>
          </w:tcPr>
          <w:p w14:paraId="1C7D9C7B" w14:textId="77777777" w:rsidR="005E000F" w:rsidRDefault="00000000">
            <w:pPr>
              <w:jc w:val="right"/>
            </w:pPr>
            <w:r>
              <w:rPr>
                <w:rFonts w:hint="eastAsia"/>
              </w:rPr>
              <w:t>2</w:t>
            </w:r>
          </w:p>
        </w:tc>
        <w:tc>
          <w:tcPr>
            <w:tcW w:w="904" w:type="dxa"/>
            <w:vAlign w:val="center"/>
          </w:tcPr>
          <w:p w14:paraId="19E8ECBC" w14:textId="77777777" w:rsidR="005E000F" w:rsidRDefault="00000000">
            <w:pPr>
              <w:jc w:val="right"/>
            </w:pPr>
            <w:r>
              <w:rPr>
                <w:rFonts w:hint="eastAsia"/>
              </w:rPr>
              <w:t>0</w:t>
            </w:r>
          </w:p>
        </w:tc>
        <w:tc>
          <w:tcPr>
            <w:tcW w:w="845" w:type="dxa"/>
            <w:vAlign w:val="center"/>
          </w:tcPr>
          <w:p w14:paraId="17CE97CE" w14:textId="77777777" w:rsidR="005E000F" w:rsidRDefault="00000000">
            <w:pPr>
              <w:jc w:val="right"/>
            </w:pPr>
            <w:r>
              <w:rPr>
                <w:rFonts w:hint="eastAsia"/>
              </w:rPr>
              <w:t>0</w:t>
            </w:r>
          </w:p>
        </w:tc>
        <w:tc>
          <w:tcPr>
            <w:tcW w:w="1292" w:type="dxa"/>
            <w:vAlign w:val="center"/>
          </w:tcPr>
          <w:p w14:paraId="6BA27374" w14:textId="77777777" w:rsidR="005E000F" w:rsidRDefault="00000000">
            <w:r>
              <w:rPr>
                <w:rFonts w:hint="eastAsia"/>
              </w:rPr>
              <w:t>否</w:t>
            </w:r>
          </w:p>
        </w:tc>
        <w:tc>
          <w:tcPr>
            <w:tcW w:w="1261" w:type="dxa"/>
            <w:vAlign w:val="center"/>
          </w:tcPr>
          <w:p w14:paraId="52341D21" w14:textId="77777777" w:rsidR="005E000F" w:rsidRDefault="00000000">
            <w:pPr>
              <w:jc w:val="right"/>
            </w:pPr>
            <w:r>
              <w:rPr>
                <w:rFonts w:hint="eastAsia"/>
              </w:rPr>
              <w:t>1</w:t>
            </w:r>
          </w:p>
        </w:tc>
      </w:tr>
      <w:tr w:rsidR="005E000F" w14:paraId="2B9D4E5B" w14:textId="77777777">
        <w:trPr>
          <w:trHeight w:val="77"/>
        </w:trPr>
        <w:tc>
          <w:tcPr>
            <w:tcW w:w="979" w:type="dxa"/>
            <w:vAlign w:val="center"/>
          </w:tcPr>
          <w:p w14:paraId="3D218ECA" w14:textId="77777777" w:rsidR="005E000F" w:rsidRDefault="00000000">
            <w:proofErr w:type="gramStart"/>
            <w:r>
              <w:rPr>
                <w:rFonts w:hint="eastAsia"/>
              </w:rPr>
              <w:t>韩洪臣</w:t>
            </w:r>
            <w:proofErr w:type="gramEnd"/>
          </w:p>
        </w:tc>
        <w:tc>
          <w:tcPr>
            <w:tcW w:w="845" w:type="dxa"/>
            <w:vAlign w:val="center"/>
          </w:tcPr>
          <w:p w14:paraId="4B6FB945" w14:textId="77777777" w:rsidR="005E000F" w:rsidRDefault="00000000">
            <w:r>
              <w:rPr>
                <w:rFonts w:hint="eastAsia"/>
              </w:rPr>
              <w:t>否</w:t>
            </w:r>
          </w:p>
        </w:tc>
        <w:tc>
          <w:tcPr>
            <w:tcW w:w="1098" w:type="dxa"/>
            <w:vAlign w:val="center"/>
          </w:tcPr>
          <w:p w14:paraId="18235666" w14:textId="77777777" w:rsidR="005E000F" w:rsidRDefault="00000000">
            <w:pPr>
              <w:jc w:val="right"/>
            </w:pPr>
            <w:r>
              <w:rPr>
                <w:rFonts w:hint="eastAsia"/>
              </w:rPr>
              <w:t>2</w:t>
            </w:r>
          </w:p>
        </w:tc>
        <w:tc>
          <w:tcPr>
            <w:tcW w:w="852" w:type="dxa"/>
            <w:vAlign w:val="center"/>
          </w:tcPr>
          <w:p w14:paraId="1EB641BA" w14:textId="77777777" w:rsidR="005E000F" w:rsidRDefault="00000000">
            <w:pPr>
              <w:jc w:val="right"/>
            </w:pPr>
            <w:r>
              <w:rPr>
                <w:rFonts w:hint="eastAsia"/>
              </w:rPr>
              <w:t>2</w:t>
            </w:r>
          </w:p>
        </w:tc>
        <w:tc>
          <w:tcPr>
            <w:tcW w:w="968" w:type="dxa"/>
            <w:vAlign w:val="center"/>
          </w:tcPr>
          <w:p w14:paraId="510438A9" w14:textId="77777777" w:rsidR="005E000F" w:rsidRDefault="00000000">
            <w:pPr>
              <w:jc w:val="right"/>
            </w:pPr>
            <w:r>
              <w:rPr>
                <w:rFonts w:hint="eastAsia"/>
              </w:rPr>
              <w:t>1</w:t>
            </w:r>
          </w:p>
        </w:tc>
        <w:tc>
          <w:tcPr>
            <w:tcW w:w="904" w:type="dxa"/>
            <w:vAlign w:val="center"/>
          </w:tcPr>
          <w:p w14:paraId="29FE9F29" w14:textId="77777777" w:rsidR="005E000F" w:rsidRDefault="00000000">
            <w:pPr>
              <w:jc w:val="right"/>
            </w:pPr>
            <w:r>
              <w:rPr>
                <w:rFonts w:hint="eastAsia"/>
              </w:rPr>
              <w:t>0</w:t>
            </w:r>
          </w:p>
        </w:tc>
        <w:tc>
          <w:tcPr>
            <w:tcW w:w="845" w:type="dxa"/>
            <w:vAlign w:val="center"/>
          </w:tcPr>
          <w:p w14:paraId="282CB3B9" w14:textId="77777777" w:rsidR="005E000F" w:rsidRDefault="00000000">
            <w:pPr>
              <w:jc w:val="right"/>
            </w:pPr>
            <w:r>
              <w:rPr>
                <w:rFonts w:hint="eastAsia"/>
              </w:rPr>
              <w:t>0</w:t>
            </w:r>
          </w:p>
        </w:tc>
        <w:tc>
          <w:tcPr>
            <w:tcW w:w="1292" w:type="dxa"/>
            <w:vAlign w:val="center"/>
          </w:tcPr>
          <w:p w14:paraId="55F79327" w14:textId="77777777" w:rsidR="005E000F" w:rsidRDefault="00000000">
            <w:r>
              <w:rPr>
                <w:rFonts w:hint="eastAsia"/>
              </w:rPr>
              <w:t>否</w:t>
            </w:r>
          </w:p>
        </w:tc>
        <w:tc>
          <w:tcPr>
            <w:tcW w:w="1261" w:type="dxa"/>
            <w:vAlign w:val="center"/>
          </w:tcPr>
          <w:p w14:paraId="15D51BEF" w14:textId="77777777" w:rsidR="005E000F" w:rsidRDefault="00000000">
            <w:pPr>
              <w:jc w:val="right"/>
            </w:pPr>
            <w:r>
              <w:rPr>
                <w:rFonts w:hint="eastAsia"/>
              </w:rPr>
              <w:t>1</w:t>
            </w:r>
          </w:p>
        </w:tc>
      </w:tr>
      <w:tr w:rsidR="005E000F" w14:paraId="71E11A52" w14:textId="77777777">
        <w:trPr>
          <w:trHeight w:val="77"/>
        </w:trPr>
        <w:tc>
          <w:tcPr>
            <w:tcW w:w="979" w:type="dxa"/>
            <w:vAlign w:val="center"/>
          </w:tcPr>
          <w:p w14:paraId="4CD3CB2E" w14:textId="77777777" w:rsidR="005E000F" w:rsidRDefault="00000000">
            <w:r>
              <w:rPr>
                <w:rFonts w:hint="eastAsia"/>
              </w:rPr>
              <w:t>齐志勇</w:t>
            </w:r>
          </w:p>
        </w:tc>
        <w:sdt>
          <w:sdtPr>
            <w:rPr>
              <w:rFonts w:hint="eastAsia"/>
            </w:rPr>
            <w:alias w:val="董事参加董事会的出席情况明细-是否独立董事"/>
            <w:tag w:val="_GBC_8f65cf2d483747a58ee92c8a36ee6375"/>
            <w:id w:val="1610089429"/>
            <w:comboBox>
              <w:listItem w:displayText="是" w:value="true"/>
              <w:listItem w:displayText="否" w:value="false"/>
            </w:comboBox>
          </w:sdtPr>
          <w:sdtContent>
            <w:tc>
              <w:tcPr>
                <w:tcW w:w="845" w:type="dxa"/>
                <w:vAlign w:val="center"/>
              </w:tcPr>
              <w:p w14:paraId="7426808B" w14:textId="77777777" w:rsidR="005E000F" w:rsidRDefault="00000000">
                <w:r>
                  <w:rPr>
                    <w:rFonts w:hint="eastAsia"/>
                  </w:rPr>
                  <w:t>否</w:t>
                </w:r>
              </w:p>
            </w:tc>
          </w:sdtContent>
        </w:sdt>
        <w:tc>
          <w:tcPr>
            <w:tcW w:w="1098" w:type="dxa"/>
            <w:vAlign w:val="center"/>
          </w:tcPr>
          <w:p w14:paraId="041E56BA" w14:textId="77777777" w:rsidR="005E000F" w:rsidRDefault="00000000">
            <w:pPr>
              <w:jc w:val="right"/>
            </w:pPr>
            <w:r>
              <w:rPr>
                <w:rFonts w:hint="eastAsia"/>
              </w:rPr>
              <w:t>7</w:t>
            </w:r>
          </w:p>
        </w:tc>
        <w:tc>
          <w:tcPr>
            <w:tcW w:w="852" w:type="dxa"/>
            <w:vAlign w:val="center"/>
          </w:tcPr>
          <w:p w14:paraId="1AF1C55C" w14:textId="77777777" w:rsidR="005E000F" w:rsidRDefault="00000000">
            <w:pPr>
              <w:jc w:val="right"/>
            </w:pPr>
            <w:r>
              <w:rPr>
                <w:rFonts w:hint="eastAsia"/>
              </w:rPr>
              <w:t>7</w:t>
            </w:r>
          </w:p>
        </w:tc>
        <w:tc>
          <w:tcPr>
            <w:tcW w:w="968" w:type="dxa"/>
            <w:vAlign w:val="center"/>
          </w:tcPr>
          <w:p w14:paraId="482D1F35" w14:textId="77777777" w:rsidR="005E000F" w:rsidRDefault="00000000">
            <w:pPr>
              <w:jc w:val="right"/>
            </w:pPr>
            <w:r>
              <w:rPr>
                <w:rFonts w:hint="eastAsia"/>
              </w:rPr>
              <w:t>5</w:t>
            </w:r>
          </w:p>
        </w:tc>
        <w:tc>
          <w:tcPr>
            <w:tcW w:w="904" w:type="dxa"/>
            <w:vAlign w:val="center"/>
          </w:tcPr>
          <w:p w14:paraId="0613045B" w14:textId="77777777" w:rsidR="005E000F" w:rsidRDefault="00000000">
            <w:pPr>
              <w:jc w:val="right"/>
            </w:pPr>
            <w:r>
              <w:rPr>
                <w:rFonts w:hint="eastAsia"/>
              </w:rPr>
              <w:t>0</w:t>
            </w:r>
          </w:p>
        </w:tc>
        <w:tc>
          <w:tcPr>
            <w:tcW w:w="845" w:type="dxa"/>
            <w:vAlign w:val="center"/>
          </w:tcPr>
          <w:p w14:paraId="229AD134" w14:textId="77777777" w:rsidR="005E000F" w:rsidRDefault="00000000">
            <w:pPr>
              <w:jc w:val="right"/>
            </w:pPr>
            <w:r>
              <w:rPr>
                <w:rFonts w:hint="eastAsia"/>
              </w:rPr>
              <w:t>0</w:t>
            </w:r>
          </w:p>
        </w:tc>
        <w:sdt>
          <w:sdtPr>
            <w:rPr>
              <w:rFonts w:hint="eastAsia"/>
            </w:rPr>
            <w:alias w:val="董事参加董事会的出席情况明细-是否连续两次未亲自参加会议"/>
            <w:tag w:val="_GBC_4748dc7c4f9b495f9d97d5c22a5e08e6"/>
            <w:id w:val="-237250065"/>
            <w:comboBox>
              <w:listItem w:displayText="是" w:value="true"/>
              <w:listItem w:displayText="否" w:value="false"/>
            </w:comboBox>
          </w:sdtPr>
          <w:sdtContent>
            <w:tc>
              <w:tcPr>
                <w:tcW w:w="1292" w:type="dxa"/>
                <w:vAlign w:val="center"/>
              </w:tcPr>
              <w:p w14:paraId="28588FEF" w14:textId="77777777" w:rsidR="005E000F" w:rsidRDefault="00000000">
                <w:r>
                  <w:rPr>
                    <w:rFonts w:hint="eastAsia"/>
                  </w:rPr>
                  <w:t>否</w:t>
                </w:r>
              </w:p>
            </w:tc>
          </w:sdtContent>
        </w:sdt>
        <w:tc>
          <w:tcPr>
            <w:tcW w:w="1261" w:type="dxa"/>
            <w:vAlign w:val="center"/>
          </w:tcPr>
          <w:p w14:paraId="689687B5" w14:textId="77777777" w:rsidR="005E000F" w:rsidRDefault="00000000">
            <w:pPr>
              <w:jc w:val="right"/>
            </w:pPr>
            <w:r>
              <w:rPr>
                <w:rFonts w:hint="eastAsia"/>
              </w:rPr>
              <w:t>2</w:t>
            </w:r>
          </w:p>
        </w:tc>
      </w:tr>
    </w:tbl>
    <w:p w14:paraId="63BBA762" w14:textId="77777777" w:rsidR="005E000F" w:rsidRDefault="00000000">
      <w:r>
        <w:t>连续两次未亲自出席董事会会议的说明</w:t>
      </w:r>
    </w:p>
    <w:sdt>
      <w:sdtPr>
        <w:alias w:val="是否适用：连续两次未亲自出席董事会会议的说明[双击切换]"/>
        <w:tag w:val="_GBC_866534c9760844d1a6f6fa69c39ae52d"/>
        <w:id w:val="241145907"/>
        <w:placeholder>
          <w:docPart w:val="GBC22222222222222222222222222222"/>
        </w:placeholder>
      </w:sdtPr>
      <w:sdtContent>
        <w:p w14:paraId="31115483"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0E3ED60" w14:textId="77777777" w:rsidR="005E000F" w:rsidRDefault="005E000F"/>
    <w:tbl>
      <w:tblPr>
        <w:tblStyle w:val="aff2"/>
        <w:tblW w:w="0" w:type="auto"/>
        <w:tblLayout w:type="fixed"/>
        <w:tblLook w:val="04A0" w:firstRow="1" w:lastRow="0" w:firstColumn="1" w:lastColumn="0" w:noHBand="0" w:noVBand="1"/>
      </w:tblPr>
      <w:tblGrid>
        <w:gridCol w:w="4524"/>
        <w:gridCol w:w="4525"/>
      </w:tblGrid>
      <w:tr w:rsidR="005E000F" w14:paraId="0F01B359" w14:textId="77777777">
        <w:sdt>
          <w:sdtPr>
            <w:tag w:val="_PLD_0fc68bf164f04edda97a907df4cc747d"/>
            <w:id w:val="-449936217"/>
          </w:sdtPr>
          <w:sdtEndPr>
            <w:rPr>
              <w:szCs w:val="20"/>
            </w:rPr>
          </w:sdtEndPr>
          <w:sdtContent>
            <w:tc>
              <w:tcPr>
                <w:tcW w:w="4524" w:type="dxa"/>
                <w:vAlign w:val="center"/>
              </w:tcPr>
              <w:p w14:paraId="43162FCD" w14:textId="77777777" w:rsidR="005E000F" w:rsidRDefault="00000000">
                <w:r>
                  <w:t>年内召开董事会会议次数</w:t>
                </w:r>
              </w:p>
            </w:tc>
          </w:sdtContent>
        </w:sdt>
        <w:sdt>
          <w:sdtPr>
            <w:rPr>
              <w:rFonts w:hint="eastAsia"/>
            </w:rPr>
            <w:alias w:val="报告期内召开董事会会议次数"/>
            <w:tag w:val="_GBC_cabd294ab90e40d0afb59e61df002667"/>
            <w:id w:val="1712923782"/>
          </w:sdtPr>
          <w:sdtContent>
            <w:tc>
              <w:tcPr>
                <w:tcW w:w="4525" w:type="dxa"/>
                <w:vAlign w:val="center"/>
              </w:tcPr>
              <w:p w14:paraId="4534A098" w14:textId="77777777" w:rsidR="005E000F" w:rsidRDefault="00000000">
                <w:r>
                  <w:rPr>
                    <w:rFonts w:hint="eastAsia"/>
                  </w:rPr>
                  <w:t>7</w:t>
                </w:r>
              </w:p>
            </w:tc>
          </w:sdtContent>
        </w:sdt>
      </w:tr>
      <w:tr w:rsidR="005E000F" w14:paraId="77D963C9" w14:textId="77777777">
        <w:tc>
          <w:tcPr>
            <w:tcW w:w="4524" w:type="dxa"/>
            <w:vAlign w:val="center"/>
          </w:tcPr>
          <w:p w14:paraId="4F4A25C9" w14:textId="77777777" w:rsidR="005E000F" w:rsidRDefault="00000000">
            <w:r>
              <w:t>其中：现场会议次数</w:t>
            </w:r>
          </w:p>
        </w:tc>
        <w:tc>
          <w:tcPr>
            <w:tcW w:w="4525" w:type="dxa"/>
            <w:vAlign w:val="center"/>
          </w:tcPr>
          <w:p w14:paraId="6A9882A8" w14:textId="77777777" w:rsidR="005E000F" w:rsidRDefault="00000000">
            <w:r>
              <w:rPr>
                <w:rFonts w:hint="eastAsia"/>
              </w:rPr>
              <w:t>1</w:t>
            </w:r>
          </w:p>
        </w:tc>
      </w:tr>
      <w:tr w:rsidR="005E000F" w14:paraId="54D0B672" w14:textId="77777777">
        <w:tc>
          <w:tcPr>
            <w:tcW w:w="4524" w:type="dxa"/>
            <w:vAlign w:val="center"/>
          </w:tcPr>
          <w:p w14:paraId="69D6006A" w14:textId="77777777" w:rsidR="005E000F" w:rsidRDefault="00000000">
            <w:r>
              <w:t>通讯方式召开会议次数</w:t>
            </w:r>
          </w:p>
        </w:tc>
        <w:tc>
          <w:tcPr>
            <w:tcW w:w="4525" w:type="dxa"/>
            <w:vAlign w:val="center"/>
          </w:tcPr>
          <w:p w14:paraId="51DAE003" w14:textId="77777777" w:rsidR="005E000F" w:rsidRDefault="00000000">
            <w:r>
              <w:rPr>
                <w:rFonts w:hint="eastAsia"/>
              </w:rPr>
              <w:t>5</w:t>
            </w:r>
          </w:p>
        </w:tc>
      </w:tr>
      <w:tr w:rsidR="005E000F" w14:paraId="58605600" w14:textId="77777777">
        <w:tc>
          <w:tcPr>
            <w:tcW w:w="4524" w:type="dxa"/>
            <w:vAlign w:val="center"/>
          </w:tcPr>
          <w:p w14:paraId="65F407B5" w14:textId="77777777" w:rsidR="005E000F" w:rsidRDefault="00000000">
            <w:r>
              <w:t>现场结合通讯方式召开会议次数</w:t>
            </w:r>
          </w:p>
        </w:tc>
        <w:tc>
          <w:tcPr>
            <w:tcW w:w="4525" w:type="dxa"/>
            <w:vAlign w:val="center"/>
          </w:tcPr>
          <w:p w14:paraId="5DD891DB" w14:textId="77777777" w:rsidR="005E000F" w:rsidRDefault="00000000">
            <w:r>
              <w:rPr>
                <w:rFonts w:hint="eastAsia"/>
              </w:rPr>
              <w:t>1</w:t>
            </w:r>
          </w:p>
        </w:tc>
      </w:tr>
    </w:tbl>
    <w:p w14:paraId="02D016DE" w14:textId="77777777" w:rsidR="005E000F" w:rsidRDefault="005E000F"/>
    <w:p w14:paraId="040A0676" w14:textId="77777777" w:rsidR="005E000F" w:rsidRDefault="00000000">
      <w:pPr>
        <w:pStyle w:val="3"/>
        <w:numPr>
          <w:ilvl w:val="0"/>
          <w:numId w:val="23"/>
        </w:numPr>
        <w:rPr>
          <w:szCs w:val="21"/>
        </w:rPr>
      </w:pPr>
      <w:r>
        <w:rPr>
          <w:szCs w:val="21"/>
        </w:rPr>
        <w:t>董事对公司有关事项提出异议的情况</w:t>
      </w:r>
    </w:p>
    <w:sdt>
      <w:sdtPr>
        <w:alias w:val="是否适用：独立董事对公司有关事项提出异议的情况[双击切换]"/>
        <w:tag w:val="_GBC_1369df39a53747ff843be7f892cb0cbd"/>
        <w:id w:val="1871804308"/>
        <w:placeholder>
          <w:docPart w:val="GBC22222222222222222222222222222"/>
        </w:placeholder>
      </w:sdtPr>
      <w:sdtContent>
        <w:p w14:paraId="0FA69F1C"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632AF29" w14:textId="77777777" w:rsidR="005E000F" w:rsidRDefault="00000000">
      <w:pPr>
        <w:pStyle w:val="3"/>
        <w:numPr>
          <w:ilvl w:val="0"/>
          <w:numId w:val="23"/>
        </w:numPr>
        <w:rPr>
          <w:szCs w:val="21"/>
        </w:rPr>
      </w:pPr>
      <w:r>
        <w:rPr>
          <w:szCs w:val="21"/>
        </w:rPr>
        <w:t>其他</w:t>
      </w:r>
    </w:p>
    <w:sdt>
      <w:sdtPr>
        <w:rPr>
          <w:rFonts w:hint="eastAsia"/>
        </w:rPr>
        <w:alias w:val="是否适用：其他董事履行职责情况说明[双击切换]"/>
        <w:tag w:val="_GBC_ba1a70dda14046559f72c5b524ca1125"/>
        <w:id w:val="1446889664"/>
        <w:placeholder>
          <w:docPart w:val="GBC22222222222222222222222222222"/>
        </w:placeholder>
      </w:sdtPr>
      <w:sdtContent>
        <w:p w14:paraId="617672C0"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81D1073" w14:textId="77777777" w:rsidR="005E000F" w:rsidRDefault="00000000">
      <w:pPr>
        <w:pStyle w:val="2"/>
        <w:numPr>
          <w:ilvl w:val="0"/>
          <w:numId w:val="20"/>
        </w:numPr>
      </w:pPr>
      <w:r>
        <w:rPr>
          <w:rFonts w:hint="eastAsia"/>
        </w:rPr>
        <w:t>董事会下设专门委员会情况</w:t>
      </w:r>
    </w:p>
    <w:sdt>
      <w:sdtPr>
        <w:rPr>
          <w:rFonts w:hint="eastAsia"/>
        </w:rPr>
        <w:alias w:val="是否适用：董事会下设专门委员会情况[双击切换]"/>
        <w:tag w:val="_GBC_88389a2d52e44644a2332ba32500fe69"/>
        <w:id w:val="1177697977"/>
        <w:lock w:val="contentLocked"/>
        <w:placeholder>
          <w:docPart w:val="GBC22222222222222222222222222222"/>
        </w:placeholder>
      </w:sdtPr>
      <w:sdtContent>
        <w:p w14:paraId="2E0CBBBC"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98AD85D" w14:textId="77777777" w:rsidR="005E000F" w:rsidRDefault="00000000">
      <w:pPr>
        <w:pStyle w:val="3"/>
        <w:numPr>
          <w:ilvl w:val="0"/>
          <w:numId w:val="24"/>
        </w:numPr>
      </w:pPr>
      <w:r>
        <w:rPr>
          <w:rFonts w:hint="eastAsia"/>
        </w:rPr>
        <w:t>董事会下设专门委员会成员情况</w:t>
      </w:r>
    </w:p>
    <w:tbl>
      <w:tblPr>
        <w:tblW w:w="9051" w:type="dxa"/>
        <w:jc w:val="center"/>
        <w:tblLayout w:type="fixed"/>
        <w:tblLook w:val="04A0" w:firstRow="1" w:lastRow="0" w:firstColumn="1" w:lastColumn="0" w:noHBand="0" w:noVBand="1"/>
      </w:tblPr>
      <w:tblGrid>
        <w:gridCol w:w="2586"/>
        <w:gridCol w:w="6465"/>
      </w:tblGrid>
      <w:tr w:rsidR="005E000F" w14:paraId="42C80F6C" w14:textId="77777777">
        <w:trPr>
          <w:trHeight w:val="270"/>
          <w:jc w:val="center"/>
        </w:trPr>
        <w:sdt>
          <w:sdtPr>
            <w:tag w:val="_PLD_d469fc77cfdc44b0b043e0b1ab52e604"/>
            <w:id w:val="-1647589196"/>
          </w:sdtPr>
          <w:sdtContent>
            <w:tc>
              <w:tcPr>
                <w:tcW w:w="2586" w:type="dxa"/>
                <w:tcBorders>
                  <w:top w:val="single" w:sz="4" w:space="0" w:color="auto"/>
                  <w:left w:val="single" w:sz="4" w:space="0" w:color="auto"/>
                  <w:bottom w:val="single" w:sz="4" w:space="0" w:color="auto"/>
                  <w:right w:val="single" w:sz="4" w:space="0" w:color="auto"/>
                </w:tcBorders>
                <w:noWrap/>
                <w:vAlign w:val="center"/>
              </w:tcPr>
              <w:p w14:paraId="1E9B430D" w14:textId="77777777" w:rsidR="005E000F" w:rsidRDefault="00000000">
                <w:pPr>
                  <w:jc w:val="center"/>
                  <w:rPr>
                    <w:color w:val="000000"/>
                    <w:sz w:val="22"/>
                  </w:rPr>
                </w:pPr>
                <w:r>
                  <w:rPr>
                    <w:rFonts w:hint="eastAsia"/>
                    <w:color w:val="000000"/>
                    <w:sz w:val="22"/>
                  </w:rPr>
                  <w:t>专门委员会类别</w:t>
                </w:r>
              </w:p>
            </w:tc>
          </w:sdtContent>
        </w:sdt>
        <w:sdt>
          <w:sdtPr>
            <w:tag w:val="_PLD_32d037161ea94d0eb907c4e766b75044"/>
            <w:id w:val="71472374"/>
          </w:sdtPr>
          <w:sdtContent>
            <w:tc>
              <w:tcPr>
                <w:tcW w:w="6465" w:type="dxa"/>
                <w:tcBorders>
                  <w:top w:val="single" w:sz="4" w:space="0" w:color="auto"/>
                  <w:left w:val="nil"/>
                  <w:bottom w:val="single" w:sz="4" w:space="0" w:color="auto"/>
                  <w:right w:val="single" w:sz="4" w:space="0" w:color="auto"/>
                </w:tcBorders>
                <w:noWrap/>
                <w:vAlign w:val="center"/>
              </w:tcPr>
              <w:p w14:paraId="45680657" w14:textId="77777777" w:rsidR="005E000F" w:rsidRDefault="00000000">
                <w:pPr>
                  <w:jc w:val="center"/>
                  <w:rPr>
                    <w:color w:val="000000"/>
                    <w:sz w:val="22"/>
                  </w:rPr>
                </w:pPr>
                <w:r>
                  <w:rPr>
                    <w:rFonts w:hint="eastAsia"/>
                    <w:color w:val="000000"/>
                    <w:sz w:val="22"/>
                  </w:rPr>
                  <w:t>成员姓名</w:t>
                </w:r>
              </w:p>
            </w:tc>
          </w:sdtContent>
        </w:sdt>
      </w:tr>
      <w:tr w:rsidR="005E000F" w14:paraId="51A02D5A" w14:textId="77777777">
        <w:trPr>
          <w:trHeight w:val="270"/>
          <w:jc w:val="center"/>
        </w:trPr>
        <w:tc>
          <w:tcPr>
            <w:tcW w:w="2586" w:type="dxa"/>
            <w:tcBorders>
              <w:top w:val="nil"/>
              <w:left w:val="single" w:sz="4" w:space="0" w:color="auto"/>
              <w:bottom w:val="single" w:sz="4" w:space="0" w:color="auto"/>
              <w:right w:val="single" w:sz="4" w:space="0" w:color="auto"/>
            </w:tcBorders>
            <w:noWrap/>
            <w:vAlign w:val="center"/>
          </w:tcPr>
          <w:p w14:paraId="10047795" w14:textId="77777777" w:rsidR="005E000F" w:rsidRDefault="00000000">
            <w:pPr>
              <w:rPr>
                <w:color w:val="000000"/>
                <w:sz w:val="22"/>
              </w:rPr>
            </w:pPr>
            <w:r>
              <w:rPr>
                <w:rFonts w:hint="eastAsia"/>
                <w:color w:val="000000"/>
                <w:sz w:val="22"/>
              </w:rPr>
              <w:t>审计委员会</w:t>
            </w:r>
          </w:p>
        </w:tc>
        <w:tc>
          <w:tcPr>
            <w:tcW w:w="6465" w:type="dxa"/>
            <w:tcBorders>
              <w:top w:val="nil"/>
              <w:left w:val="nil"/>
              <w:bottom w:val="single" w:sz="4" w:space="0" w:color="auto"/>
              <w:right w:val="single" w:sz="4" w:space="0" w:color="auto"/>
            </w:tcBorders>
            <w:noWrap/>
            <w:vAlign w:val="center"/>
          </w:tcPr>
          <w:p w14:paraId="166C3E56" w14:textId="77777777" w:rsidR="005E000F" w:rsidRDefault="00000000">
            <w:pPr>
              <w:rPr>
                <w:sz w:val="22"/>
              </w:rPr>
            </w:pPr>
            <w:r>
              <w:t>樊燕萍、许光建、朱玉杰</w:t>
            </w:r>
          </w:p>
        </w:tc>
      </w:tr>
      <w:tr w:rsidR="005E000F" w14:paraId="2C931836" w14:textId="77777777">
        <w:trPr>
          <w:trHeight w:val="270"/>
          <w:jc w:val="center"/>
        </w:trPr>
        <w:tc>
          <w:tcPr>
            <w:tcW w:w="2586" w:type="dxa"/>
            <w:tcBorders>
              <w:top w:val="nil"/>
              <w:left w:val="single" w:sz="4" w:space="0" w:color="auto"/>
              <w:bottom w:val="single" w:sz="4" w:space="0" w:color="auto"/>
              <w:right w:val="single" w:sz="4" w:space="0" w:color="auto"/>
            </w:tcBorders>
            <w:noWrap/>
            <w:vAlign w:val="center"/>
          </w:tcPr>
          <w:p w14:paraId="08F8B3CF" w14:textId="77777777" w:rsidR="005E000F" w:rsidRDefault="00000000">
            <w:pPr>
              <w:rPr>
                <w:color w:val="000000"/>
                <w:sz w:val="22"/>
              </w:rPr>
            </w:pPr>
            <w:r>
              <w:rPr>
                <w:rFonts w:hint="eastAsia"/>
                <w:color w:val="000000"/>
                <w:sz w:val="22"/>
              </w:rPr>
              <w:t>提名委员会</w:t>
            </w:r>
          </w:p>
        </w:tc>
        <w:tc>
          <w:tcPr>
            <w:tcW w:w="6465" w:type="dxa"/>
            <w:tcBorders>
              <w:top w:val="nil"/>
              <w:left w:val="nil"/>
              <w:bottom w:val="single" w:sz="4" w:space="0" w:color="auto"/>
              <w:right w:val="single" w:sz="4" w:space="0" w:color="auto"/>
            </w:tcBorders>
            <w:noWrap/>
            <w:vAlign w:val="center"/>
          </w:tcPr>
          <w:p w14:paraId="4816C512" w14:textId="77777777" w:rsidR="005E000F" w:rsidRDefault="00000000">
            <w:pPr>
              <w:rPr>
                <w:sz w:val="22"/>
              </w:rPr>
            </w:pPr>
            <w:r>
              <w:t>郝生跃、</w:t>
            </w:r>
            <w:r>
              <w:rPr>
                <w:rFonts w:hint="eastAsia"/>
              </w:rPr>
              <w:t>杨涛</w:t>
            </w:r>
            <w:r>
              <w:t>、朱玉杰</w:t>
            </w:r>
          </w:p>
        </w:tc>
      </w:tr>
      <w:tr w:rsidR="005E000F" w14:paraId="0361F882" w14:textId="77777777">
        <w:trPr>
          <w:trHeight w:val="270"/>
          <w:jc w:val="center"/>
        </w:trPr>
        <w:tc>
          <w:tcPr>
            <w:tcW w:w="2586" w:type="dxa"/>
            <w:tcBorders>
              <w:top w:val="nil"/>
              <w:left w:val="single" w:sz="4" w:space="0" w:color="auto"/>
              <w:bottom w:val="single" w:sz="4" w:space="0" w:color="auto"/>
              <w:right w:val="single" w:sz="4" w:space="0" w:color="auto"/>
            </w:tcBorders>
            <w:noWrap/>
            <w:vAlign w:val="center"/>
          </w:tcPr>
          <w:p w14:paraId="22148CD6" w14:textId="77777777" w:rsidR="005E000F" w:rsidRDefault="00000000">
            <w:pPr>
              <w:rPr>
                <w:color w:val="000000"/>
                <w:sz w:val="22"/>
              </w:rPr>
            </w:pPr>
            <w:r>
              <w:rPr>
                <w:rFonts w:hint="eastAsia"/>
                <w:color w:val="000000"/>
                <w:sz w:val="22"/>
              </w:rPr>
              <w:t>薪酬与考核委员会</w:t>
            </w:r>
          </w:p>
        </w:tc>
        <w:tc>
          <w:tcPr>
            <w:tcW w:w="6465" w:type="dxa"/>
            <w:tcBorders>
              <w:top w:val="nil"/>
              <w:left w:val="nil"/>
              <w:bottom w:val="single" w:sz="4" w:space="0" w:color="auto"/>
              <w:right w:val="single" w:sz="4" w:space="0" w:color="auto"/>
            </w:tcBorders>
            <w:noWrap/>
            <w:vAlign w:val="center"/>
          </w:tcPr>
          <w:p w14:paraId="096BB095" w14:textId="77777777" w:rsidR="005E000F" w:rsidRDefault="00000000">
            <w:pPr>
              <w:rPr>
                <w:sz w:val="22"/>
              </w:rPr>
            </w:pPr>
            <w:r>
              <w:t>许光建、樊燕萍</w:t>
            </w:r>
          </w:p>
        </w:tc>
      </w:tr>
      <w:tr w:rsidR="005E000F" w14:paraId="70DCEC0F" w14:textId="77777777">
        <w:trPr>
          <w:trHeight w:val="270"/>
          <w:jc w:val="center"/>
        </w:trPr>
        <w:tc>
          <w:tcPr>
            <w:tcW w:w="2586" w:type="dxa"/>
            <w:tcBorders>
              <w:top w:val="single" w:sz="4" w:space="0" w:color="auto"/>
              <w:left w:val="single" w:sz="4" w:space="0" w:color="auto"/>
              <w:bottom w:val="single" w:sz="4" w:space="0" w:color="auto"/>
              <w:right w:val="single" w:sz="4" w:space="0" w:color="auto"/>
            </w:tcBorders>
            <w:noWrap/>
            <w:vAlign w:val="center"/>
          </w:tcPr>
          <w:p w14:paraId="6087456D" w14:textId="77777777" w:rsidR="005E000F" w:rsidRDefault="00000000">
            <w:pPr>
              <w:rPr>
                <w:color w:val="000000"/>
                <w:sz w:val="22"/>
              </w:rPr>
            </w:pPr>
            <w:r>
              <w:rPr>
                <w:rFonts w:hint="eastAsia"/>
                <w:color w:val="000000"/>
                <w:sz w:val="22"/>
              </w:rPr>
              <w:t>战略委员会</w:t>
            </w:r>
          </w:p>
        </w:tc>
        <w:tc>
          <w:tcPr>
            <w:tcW w:w="6465" w:type="dxa"/>
            <w:tcBorders>
              <w:top w:val="single" w:sz="4" w:space="0" w:color="auto"/>
              <w:left w:val="nil"/>
              <w:bottom w:val="single" w:sz="4" w:space="0" w:color="auto"/>
              <w:right w:val="single" w:sz="4" w:space="0" w:color="auto"/>
            </w:tcBorders>
            <w:noWrap/>
            <w:vAlign w:val="center"/>
          </w:tcPr>
          <w:p w14:paraId="407F5B43" w14:textId="77777777" w:rsidR="005E000F" w:rsidRDefault="00000000">
            <w:pPr>
              <w:rPr>
                <w:sz w:val="22"/>
              </w:rPr>
            </w:pPr>
            <w:r>
              <w:t>陆勇、</w:t>
            </w:r>
            <w:r>
              <w:rPr>
                <w:rFonts w:hint="eastAsia"/>
              </w:rPr>
              <w:t>杨涛</w:t>
            </w:r>
            <w:r>
              <w:t>、</w:t>
            </w:r>
            <w:r>
              <w:rPr>
                <w:rFonts w:hint="eastAsia"/>
              </w:rPr>
              <w:t>张竑毅</w:t>
            </w:r>
            <w:r>
              <w:t>、杨文胜、郝生跃</w:t>
            </w:r>
          </w:p>
        </w:tc>
      </w:tr>
    </w:tbl>
    <w:p w14:paraId="6658E9AB" w14:textId="77777777" w:rsidR="005E000F" w:rsidRDefault="005E000F"/>
    <w:p w14:paraId="7C092673" w14:textId="77777777" w:rsidR="005E000F" w:rsidRDefault="00000000">
      <w:pPr>
        <w:pStyle w:val="3"/>
        <w:numPr>
          <w:ilvl w:val="0"/>
          <w:numId w:val="24"/>
        </w:numPr>
        <w:rPr>
          <w:rFonts w:ascii="宋体" w:hAnsi="宋体" w:cs="宋体"/>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30264080"/>
          <w:placeholder>
            <w:docPart w:val="GBC22222222222222222222222222222"/>
          </w:placeholder>
        </w:sdtPr>
        <w:sdtContent>
          <w:r>
            <w:rPr>
              <w:rFonts w:ascii="宋体" w:hAnsi="宋体" w:cs="宋体" w:hint="eastAsia"/>
              <w:kern w:val="0"/>
              <w:szCs w:val="24"/>
            </w:rPr>
            <w:t>审计</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771591073"/>
          <w:placeholder>
            <w:docPart w:val="GBC22222222222222222222222222222"/>
          </w:placeholder>
        </w:sdtPr>
        <w:sdtContent>
          <w:r>
            <w:rPr>
              <w:rFonts w:ascii="宋体" w:hAnsi="宋体" w:cs="宋体" w:hint="eastAsia"/>
              <w:kern w:val="0"/>
              <w:szCs w:val="24"/>
            </w:rPr>
            <w:t>4</w:t>
          </w:r>
        </w:sdtContent>
      </w:sdt>
      <w:r>
        <w:rPr>
          <w:rFonts w:ascii="宋体" w:hAnsi="宋体" w:cs="宋体" w:hint="eastAsia"/>
          <w:kern w:val="0"/>
          <w:szCs w:val="24"/>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695"/>
        <w:gridCol w:w="1890"/>
        <w:gridCol w:w="2208"/>
      </w:tblGrid>
      <w:tr w:rsidR="005E000F" w14:paraId="344EC98A" w14:textId="77777777">
        <w:sdt>
          <w:sdtPr>
            <w:tag w:val="_PLD_81aefc289fbf48b1865138608d8bd14f"/>
            <w:id w:val="254104306"/>
          </w:sdtPr>
          <w:sdtContent>
            <w:tc>
              <w:tcPr>
                <w:tcW w:w="1242" w:type="dxa"/>
                <w:vAlign w:val="center"/>
              </w:tcPr>
              <w:p w14:paraId="0615081C" w14:textId="77777777" w:rsidR="005E000F" w:rsidRDefault="00000000">
                <w:pPr>
                  <w:widowControl w:val="0"/>
                  <w:jc w:val="center"/>
                </w:pPr>
                <w:r>
                  <w:rPr>
                    <w:rFonts w:hint="eastAsia"/>
                  </w:rPr>
                  <w:t>召开日期</w:t>
                </w:r>
              </w:p>
            </w:tc>
          </w:sdtContent>
        </w:sdt>
        <w:sdt>
          <w:sdtPr>
            <w:tag w:val="_PLD_9d24b601ec70414eb969daf6b393edc8"/>
            <w:id w:val="1490517474"/>
          </w:sdtPr>
          <w:sdtContent>
            <w:tc>
              <w:tcPr>
                <w:tcW w:w="3695" w:type="dxa"/>
                <w:vAlign w:val="center"/>
              </w:tcPr>
              <w:p w14:paraId="6FE4D73C" w14:textId="77777777" w:rsidR="005E000F" w:rsidRDefault="00000000">
                <w:pPr>
                  <w:widowControl w:val="0"/>
                  <w:jc w:val="center"/>
                </w:pPr>
                <w:r>
                  <w:rPr>
                    <w:rFonts w:hint="eastAsia"/>
                  </w:rPr>
                  <w:t>会议内容</w:t>
                </w:r>
              </w:p>
            </w:tc>
          </w:sdtContent>
        </w:sdt>
        <w:sdt>
          <w:sdtPr>
            <w:tag w:val="_PLD_6ea19dadc3684e98a6d98faaf035a9d9"/>
            <w:id w:val="-1628393945"/>
          </w:sdtPr>
          <w:sdtContent>
            <w:tc>
              <w:tcPr>
                <w:tcW w:w="1890" w:type="dxa"/>
                <w:vAlign w:val="center"/>
              </w:tcPr>
              <w:p w14:paraId="39221A6C" w14:textId="77777777" w:rsidR="005E000F" w:rsidRDefault="00000000">
                <w:pPr>
                  <w:widowControl w:val="0"/>
                  <w:jc w:val="center"/>
                </w:pPr>
                <w:r>
                  <w:rPr>
                    <w:rFonts w:hint="eastAsia"/>
                  </w:rPr>
                  <w:t>重要意见和建议</w:t>
                </w:r>
              </w:p>
            </w:tc>
          </w:sdtContent>
        </w:sdt>
        <w:sdt>
          <w:sdtPr>
            <w:tag w:val="_PLD_ef03d3ffb00740008011022cb6a96805"/>
            <w:id w:val="1674069971"/>
          </w:sdtPr>
          <w:sdtContent>
            <w:tc>
              <w:tcPr>
                <w:tcW w:w="2208" w:type="dxa"/>
                <w:vAlign w:val="center"/>
              </w:tcPr>
              <w:p w14:paraId="6C5C845D" w14:textId="77777777" w:rsidR="005E000F" w:rsidRDefault="00000000">
                <w:pPr>
                  <w:widowControl w:val="0"/>
                  <w:jc w:val="center"/>
                </w:pPr>
                <w:r>
                  <w:rPr>
                    <w:rFonts w:hint="eastAsia"/>
                  </w:rPr>
                  <w:t>其他履行职责情况</w:t>
                </w:r>
              </w:p>
            </w:tc>
          </w:sdtContent>
        </w:sdt>
      </w:tr>
      <w:tr w:rsidR="005E000F" w14:paraId="25083EFE" w14:textId="77777777">
        <w:tc>
          <w:tcPr>
            <w:tcW w:w="1242" w:type="dxa"/>
            <w:vAlign w:val="center"/>
          </w:tcPr>
          <w:p w14:paraId="4D968062" w14:textId="77777777" w:rsidR="005E000F" w:rsidRDefault="00000000">
            <w:pPr>
              <w:widowControl w:val="0"/>
              <w:jc w:val="both"/>
            </w:pPr>
            <w:r>
              <w:rPr>
                <w:rFonts w:hint="eastAsia"/>
              </w:rPr>
              <w:t>2025-4-15</w:t>
            </w:r>
          </w:p>
        </w:tc>
        <w:tc>
          <w:tcPr>
            <w:tcW w:w="3695" w:type="dxa"/>
            <w:vAlign w:val="center"/>
          </w:tcPr>
          <w:p w14:paraId="21C813DC" w14:textId="77777777" w:rsidR="005E000F" w:rsidRDefault="00000000">
            <w:pPr>
              <w:widowControl w:val="0"/>
              <w:jc w:val="both"/>
            </w:pPr>
            <w:r>
              <w:rPr>
                <w:rFonts w:hint="eastAsia"/>
              </w:rPr>
              <w:t>对内部控制、年报、</w:t>
            </w:r>
            <w:proofErr w:type="gramStart"/>
            <w:r>
              <w:rPr>
                <w:rFonts w:hint="eastAsia"/>
              </w:rPr>
              <w:t>一</w:t>
            </w:r>
            <w:proofErr w:type="gramEnd"/>
            <w:r>
              <w:rPr>
                <w:rFonts w:hint="eastAsia"/>
              </w:rPr>
              <w:t>季报、变更审计机构等事项进行审议。</w:t>
            </w:r>
          </w:p>
        </w:tc>
        <w:tc>
          <w:tcPr>
            <w:tcW w:w="1890" w:type="dxa"/>
            <w:vAlign w:val="center"/>
          </w:tcPr>
          <w:p w14:paraId="13AE93C0" w14:textId="77777777" w:rsidR="005E000F" w:rsidRDefault="00000000">
            <w:pPr>
              <w:widowControl w:val="0"/>
              <w:jc w:val="both"/>
            </w:pPr>
            <w:r>
              <w:t>同意提交董事会审议。</w:t>
            </w:r>
          </w:p>
        </w:tc>
        <w:tc>
          <w:tcPr>
            <w:tcW w:w="2208" w:type="dxa"/>
            <w:vAlign w:val="center"/>
          </w:tcPr>
          <w:p w14:paraId="2B66E266" w14:textId="77777777" w:rsidR="005E000F" w:rsidRDefault="00000000">
            <w:pPr>
              <w:widowControl w:val="0"/>
              <w:jc w:val="both"/>
            </w:pPr>
            <w:r>
              <w:t>无</w:t>
            </w:r>
          </w:p>
        </w:tc>
      </w:tr>
      <w:tr w:rsidR="005E000F" w14:paraId="2689D264" w14:textId="77777777">
        <w:tc>
          <w:tcPr>
            <w:tcW w:w="1242" w:type="dxa"/>
            <w:vAlign w:val="center"/>
          </w:tcPr>
          <w:p w14:paraId="48656B3E" w14:textId="77777777" w:rsidR="005E000F" w:rsidRDefault="00000000">
            <w:pPr>
              <w:widowControl w:val="0"/>
              <w:jc w:val="both"/>
            </w:pPr>
            <w:r>
              <w:rPr>
                <w:rFonts w:hint="eastAsia"/>
              </w:rPr>
              <w:t>2025-8-12</w:t>
            </w:r>
          </w:p>
        </w:tc>
        <w:tc>
          <w:tcPr>
            <w:tcW w:w="3695" w:type="dxa"/>
            <w:vAlign w:val="center"/>
          </w:tcPr>
          <w:p w14:paraId="75D0029C" w14:textId="77777777" w:rsidR="005E000F" w:rsidRDefault="00000000">
            <w:pPr>
              <w:widowControl w:val="0"/>
              <w:jc w:val="both"/>
            </w:pPr>
            <w:r>
              <w:t>对半年度报告</w:t>
            </w:r>
            <w:r>
              <w:rPr>
                <w:rFonts w:hint="eastAsia"/>
              </w:rPr>
              <w:t>、</w:t>
            </w:r>
            <w:proofErr w:type="gramStart"/>
            <w:r>
              <w:rPr>
                <w:rFonts w:hint="eastAsia"/>
              </w:rPr>
              <w:t>募投资产</w:t>
            </w:r>
            <w:proofErr w:type="gramEnd"/>
            <w:r>
              <w:rPr>
                <w:rFonts w:hint="eastAsia"/>
              </w:rPr>
              <w:t>交割</w:t>
            </w:r>
            <w:r>
              <w:t>等事项进行审议。</w:t>
            </w:r>
          </w:p>
        </w:tc>
        <w:tc>
          <w:tcPr>
            <w:tcW w:w="1890" w:type="dxa"/>
            <w:vAlign w:val="center"/>
          </w:tcPr>
          <w:p w14:paraId="480119C0" w14:textId="77777777" w:rsidR="005E000F" w:rsidRDefault="00000000">
            <w:pPr>
              <w:widowControl w:val="0"/>
              <w:jc w:val="both"/>
            </w:pPr>
            <w:r>
              <w:t>同意提交董事会审议。</w:t>
            </w:r>
          </w:p>
        </w:tc>
        <w:tc>
          <w:tcPr>
            <w:tcW w:w="2208" w:type="dxa"/>
            <w:vAlign w:val="center"/>
          </w:tcPr>
          <w:p w14:paraId="6D45B6FC" w14:textId="77777777" w:rsidR="005E000F" w:rsidRDefault="00000000">
            <w:pPr>
              <w:widowControl w:val="0"/>
              <w:jc w:val="both"/>
            </w:pPr>
            <w:r>
              <w:t>无</w:t>
            </w:r>
          </w:p>
        </w:tc>
      </w:tr>
      <w:tr w:rsidR="005E000F" w14:paraId="10A90EAD" w14:textId="77777777">
        <w:tc>
          <w:tcPr>
            <w:tcW w:w="1242" w:type="dxa"/>
            <w:vAlign w:val="center"/>
          </w:tcPr>
          <w:p w14:paraId="10590F16" w14:textId="77777777" w:rsidR="005E000F" w:rsidRDefault="00000000">
            <w:pPr>
              <w:widowControl w:val="0"/>
              <w:jc w:val="both"/>
            </w:pPr>
            <w:r>
              <w:rPr>
                <w:rFonts w:hint="eastAsia"/>
              </w:rPr>
              <w:t>2025-10-23</w:t>
            </w:r>
          </w:p>
        </w:tc>
        <w:tc>
          <w:tcPr>
            <w:tcW w:w="3695" w:type="dxa"/>
            <w:vAlign w:val="center"/>
          </w:tcPr>
          <w:p w14:paraId="43A480C8" w14:textId="77777777" w:rsidR="005E000F" w:rsidRDefault="00000000">
            <w:pPr>
              <w:widowControl w:val="0"/>
              <w:jc w:val="both"/>
            </w:pPr>
            <w:r>
              <w:t>对第三季度报告等事项进行审议。</w:t>
            </w:r>
          </w:p>
        </w:tc>
        <w:tc>
          <w:tcPr>
            <w:tcW w:w="1890" w:type="dxa"/>
            <w:vAlign w:val="center"/>
          </w:tcPr>
          <w:p w14:paraId="18ED3E91" w14:textId="77777777" w:rsidR="005E000F" w:rsidRDefault="00000000">
            <w:pPr>
              <w:widowControl w:val="0"/>
              <w:jc w:val="both"/>
            </w:pPr>
            <w:r>
              <w:t>同意提交董事会审议。</w:t>
            </w:r>
          </w:p>
        </w:tc>
        <w:tc>
          <w:tcPr>
            <w:tcW w:w="2208" w:type="dxa"/>
            <w:vAlign w:val="center"/>
          </w:tcPr>
          <w:p w14:paraId="60860635" w14:textId="77777777" w:rsidR="005E000F" w:rsidRDefault="00000000">
            <w:pPr>
              <w:widowControl w:val="0"/>
              <w:jc w:val="both"/>
            </w:pPr>
            <w:r>
              <w:t>无</w:t>
            </w:r>
          </w:p>
        </w:tc>
      </w:tr>
      <w:tr w:rsidR="005E000F" w14:paraId="3A137547" w14:textId="77777777">
        <w:tc>
          <w:tcPr>
            <w:tcW w:w="1242" w:type="dxa"/>
            <w:vAlign w:val="center"/>
          </w:tcPr>
          <w:p w14:paraId="40A4BA25" w14:textId="77777777" w:rsidR="005E000F" w:rsidRDefault="00000000">
            <w:pPr>
              <w:widowControl w:val="0"/>
              <w:jc w:val="both"/>
            </w:pPr>
            <w:r>
              <w:rPr>
                <w:rFonts w:hint="eastAsia"/>
              </w:rPr>
              <w:lastRenderedPageBreak/>
              <w:t>2025-12-26</w:t>
            </w:r>
          </w:p>
        </w:tc>
        <w:tc>
          <w:tcPr>
            <w:tcW w:w="3695" w:type="dxa"/>
            <w:vAlign w:val="center"/>
          </w:tcPr>
          <w:p w14:paraId="0A85F93B" w14:textId="77777777" w:rsidR="005E000F" w:rsidRDefault="00000000">
            <w:pPr>
              <w:widowControl w:val="0"/>
              <w:jc w:val="both"/>
            </w:pPr>
            <w:r>
              <w:t>对年报审计工作计划、内审内控工作情况等事项进行审议。</w:t>
            </w:r>
          </w:p>
        </w:tc>
        <w:tc>
          <w:tcPr>
            <w:tcW w:w="1890" w:type="dxa"/>
            <w:vAlign w:val="center"/>
          </w:tcPr>
          <w:p w14:paraId="50B71377" w14:textId="77777777" w:rsidR="005E000F" w:rsidRDefault="00000000">
            <w:pPr>
              <w:widowControl w:val="0"/>
              <w:jc w:val="both"/>
            </w:pPr>
            <w:r>
              <w:t>同意相关事项。</w:t>
            </w:r>
          </w:p>
        </w:tc>
        <w:tc>
          <w:tcPr>
            <w:tcW w:w="2208" w:type="dxa"/>
            <w:vAlign w:val="center"/>
          </w:tcPr>
          <w:p w14:paraId="1A729D91" w14:textId="77777777" w:rsidR="005E000F" w:rsidRDefault="00000000">
            <w:pPr>
              <w:widowControl w:val="0"/>
              <w:jc w:val="both"/>
            </w:pPr>
            <w:r>
              <w:t>无</w:t>
            </w:r>
          </w:p>
        </w:tc>
      </w:tr>
    </w:tbl>
    <w:p w14:paraId="17870813" w14:textId="77777777" w:rsidR="005E000F" w:rsidRDefault="005E000F"/>
    <w:p w14:paraId="324D8E3B" w14:textId="77777777" w:rsidR="005E000F" w:rsidRDefault="00000000">
      <w:pPr>
        <w:pStyle w:val="3"/>
        <w:numPr>
          <w:ilvl w:val="0"/>
          <w:numId w:val="24"/>
        </w:numPr>
        <w:rPr>
          <w:rFonts w:ascii="宋体" w:hAnsi="宋体" w:cs="宋体"/>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161634061"/>
          <w:placeholder>
            <w:docPart w:val="9B79B63DD57C442BB5892DE430192CDC"/>
          </w:placeholder>
        </w:sdtPr>
        <w:sdtContent>
          <w:r>
            <w:rPr>
              <w:rFonts w:ascii="宋体" w:hAnsi="宋体" w:cs="宋体" w:hint="eastAsia"/>
              <w:kern w:val="0"/>
              <w:szCs w:val="24"/>
            </w:rPr>
            <w:t>提名</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976680694"/>
          <w:placeholder>
            <w:docPart w:val="9B79B63DD57C442BB5892DE430192CDC"/>
          </w:placeholder>
        </w:sdtPr>
        <w:sdtContent>
          <w:r>
            <w:rPr>
              <w:rFonts w:ascii="宋体" w:hAnsi="宋体" w:cs="宋体" w:hint="eastAsia"/>
              <w:kern w:val="0"/>
              <w:szCs w:val="24"/>
            </w:rPr>
            <w:t>4</w:t>
          </w:r>
        </w:sdtContent>
      </w:sdt>
      <w:r>
        <w:rPr>
          <w:rFonts w:ascii="宋体" w:hAnsi="宋体" w:cs="宋体" w:hint="eastAsia"/>
          <w:kern w:val="0"/>
          <w:szCs w:val="24"/>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695"/>
        <w:gridCol w:w="1890"/>
        <w:gridCol w:w="2208"/>
      </w:tblGrid>
      <w:tr w:rsidR="005E000F" w14:paraId="1D461988" w14:textId="77777777">
        <w:sdt>
          <w:sdtPr>
            <w:tag w:val="_PLD_81aefc289fbf48b1865138608d8bd14f"/>
            <w:id w:val="-719210971"/>
          </w:sdtPr>
          <w:sdtContent>
            <w:tc>
              <w:tcPr>
                <w:tcW w:w="1242" w:type="dxa"/>
                <w:vAlign w:val="center"/>
              </w:tcPr>
              <w:p w14:paraId="6456324A" w14:textId="77777777" w:rsidR="005E000F" w:rsidRDefault="00000000">
                <w:pPr>
                  <w:jc w:val="center"/>
                </w:pPr>
                <w:r>
                  <w:rPr>
                    <w:rFonts w:hint="eastAsia"/>
                  </w:rPr>
                  <w:t>召开日期</w:t>
                </w:r>
              </w:p>
            </w:tc>
          </w:sdtContent>
        </w:sdt>
        <w:sdt>
          <w:sdtPr>
            <w:tag w:val="_PLD_9d24b601ec70414eb969daf6b393edc8"/>
            <w:id w:val="-698703107"/>
          </w:sdtPr>
          <w:sdtContent>
            <w:tc>
              <w:tcPr>
                <w:tcW w:w="3695" w:type="dxa"/>
                <w:vAlign w:val="center"/>
              </w:tcPr>
              <w:p w14:paraId="59D43E50" w14:textId="77777777" w:rsidR="005E000F" w:rsidRDefault="00000000">
                <w:pPr>
                  <w:jc w:val="center"/>
                </w:pPr>
                <w:r>
                  <w:rPr>
                    <w:rFonts w:hint="eastAsia"/>
                  </w:rPr>
                  <w:t>会议内容</w:t>
                </w:r>
              </w:p>
            </w:tc>
          </w:sdtContent>
        </w:sdt>
        <w:sdt>
          <w:sdtPr>
            <w:tag w:val="_PLD_6ea19dadc3684e98a6d98faaf035a9d9"/>
            <w:id w:val="537316774"/>
          </w:sdtPr>
          <w:sdtContent>
            <w:tc>
              <w:tcPr>
                <w:tcW w:w="1890" w:type="dxa"/>
                <w:vAlign w:val="center"/>
              </w:tcPr>
              <w:p w14:paraId="3E675F73" w14:textId="77777777" w:rsidR="005E000F" w:rsidRDefault="00000000">
                <w:pPr>
                  <w:jc w:val="center"/>
                </w:pPr>
                <w:r>
                  <w:rPr>
                    <w:rFonts w:hint="eastAsia"/>
                  </w:rPr>
                  <w:t>重要意见和建议</w:t>
                </w:r>
              </w:p>
            </w:tc>
          </w:sdtContent>
        </w:sdt>
        <w:sdt>
          <w:sdtPr>
            <w:tag w:val="_PLD_ef03d3ffb00740008011022cb6a96805"/>
            <w:id w:val="-741023658"/>
          </w:sdtPr>
          <w:sdtContent>
            <w:tc>
              <w:tcPr>
                <w:tcW w:w="2208" w:type="dxa"/>
                <w:vAlign w:val="center"/>
              </w:tcPr>
              <w:p w14:paraId="1EC59732" w14:textId="77777777" w:rsidR="005E000F" w:rsidRDefault="00000000">
                <w:pPr>
                  <w:jc w:val="center"/>
                </w:pPr>
                <w:r>
                  <w:rPr>
                    <w:rFonts w:hint="eastAsia"/>
                  </w:rPr>
                  <w:t>其他履行职责情况</w:t>
                </w:r>
              </w:p>
            </w:tc>
          </w:sdtContent>
        </w:sdt>
      </w:tr>
      <w:tr w:rsidR="005E000F" w14:paraId="48AB0CD1" w14:textId="77777777">
        <w:tc>
          <w:tcPr>
            <w:tcW w:w="1242" w:type="dxa"/>
            <w:vAlign w:val="center"/>
          </w:tcPr>
          <w:p w14:paraId="254E2B02" w14:textId="77777777" w:rsidR="005E000F" w:rsidRDefault="00000000">
            <w:r>
              <w:rPr>
                <w:rFonts w:hint="eastAsia"/>
              </w:rPr>
              <w:t>2025-6-11</w:t>
            </w:r>
          </w:p>
        </w:tc>
        <w:tc>
          <w:tcPr>
            <w:tcW w:w="3695" w:type="dxa"/>
            <w:vAlign w:val="center"/>
          </w:tcPr>
          <w:p w14:paraId="42D4B2D5" w14:textId="77777777" w:rsidR="005E000F" w:rsidRDefault="00000000">
            <w:r>
              <w:rPr>
                <w:rFonts w:hint="eastAsia"/>
              </w:rPr>
              <w:t>对总经理人选进行资格审核。</w:t>
            </w:r>
          </w:p>
        </w:tc>
        <w:tc>
          <w:tcPr>
            <w:tcW w:w="1890" w:type="dxa"/>
            <w:vAlign w:val="center"/>
          </w:tcPr>
          <w:p w14:paraId="74DD7DAD" w14:textId="77777777" w:rsidR="005E000F" w:rsidRDefault="00000000">
            <w:r>
              <w:t>同意人选并同意提交董事会审议。</w:t>
            </w:r>
          </w:p>
        </w:tc>
        <w:tc>
          <w:tcPr>
            <w:tcW w:w="2208" w:type="dxa"/>
            <w:vAlign w:val="center"/>
          </w:tcPr>
          <w:p w14:paraId="702B500E" w14:textId="77777777" w:rsidR="005E000F" w:rsidRDefault="00000000">
            <w:r>
              <w:t>无</w:t>
            </w:r>
          </w:p>
        </w:tc>
      </w:tr>
      <w:tr w:rsidR="005E000F" w14:paraId="3F450D70" w14:textId="77777777">
        <w:tc>
          <w:tcPr>
            <w:tcW w:w="1242" w:type="dxa"/>
            <w:vAlign w:val="center"/>
          </w:tcPr>
          <w:p w14:paraId="65177EC5" w14:textId="77777777" w:rsidR="005E000F" w:rsidRDefault="00000000">
            <w:r>
              <w:rPr>
                <w:rFonts w:hint="eastAsia"/>
              </w:rPr>
              <w:t>2025-8-12</w:t>
            </w:r>
          </w:p>
        </w:tc>
        <w:tc>
          <w:tcPr>
            <w:tcW w:w="3695" w:type="dxa"/>
            <w:vAlign w:val="center"/>
          </w:tcPr>
          <w:p w14:paraId="51674B65" w14:textId="77777777" w:rsidR="005E000F" w:rsidRDefault="00000000">
            <w:r>
              <w:t>提名第七届董事会董事候选人。</w:t>
            </w:r>
          </w:p>
        </w:tc>
        <w:tc>
          <w:tcPr>
            <w:tcW w:w="1890" w:type="dxa"/>
            <w:vAlign w:val="center"/>
          </w:tcPr>
          <w:p w14:paraId="02C436E4" w14:textId="77777777" w:rsidR="005E000F" w:rsidRDefault="00000000">
            <w:r>
              <w:t>同意人选并同意提交董事会审议。</w:t>
            </w:r>
          </w:p>
        </w:tc>
        <w:tc>
          <w:tcPr>
            <w:tcW w:w="2208" w:type="dxa"/>
            <w:vAlign w:val="center"/>
          </w:tcPr>
          <w:p w14:paraId="3C7A6A19" w14:textId="77777777" w:rsidR="005E000F" w:rsidRDefault="00000000">
            <w:r>
              <w:t>无</w:t>
            </w:r>
          </w:p>
        </w:tc>
      </w:tr>
      <w:tr w:rsidR="005E000F" w14:paraId="737E6C9C" w14:textId="77777777">
        <w:tc>
          <w:tcPr>
            <w:tcW w:w="1242" w:type="dxa"/>
            <w:vAlign w:val="center"/>
          </w:tcPr>
          <w:p w14:paraId="57214FB0" w14:textId="77777777" w:rsidR="005E000F" w:rsidRDefault="00000000">
            <w:r>
              <w:rPr>
                <w:rFonts w:hint="eastAsia"/>
              </w:rPr>
              <w:t>2025-10-23</w:t>
            </w:r>
          </w:p>
        </w:tc>
        <w:tc>
          <w:tcPr>
            <w:tcW w:w="3695" w:type="dxa"/>
            <w:vAlign w:val="center"/>
          </w:tcPr>
          <w:p w14:paraId="33FAF026" w14:textId="77777777" w:rsidR="005E000F" w:rsidRDefault="00000000">
            <w:r>
              <w:t>提名第七届董事会董事候选人。</w:t>
            </w:r>
          </w:p>
        </w:tc>
        <w:tc>
          <w:tcPr>
            <w:tcW w:w="1890" w:type="dxa"/>
            <w:vAlign w:val="center"/>
          </w:tcPr>
          <w:p w14:paraId="3CDBBA25" w14:textId="77777777" w:rsidR="005E000F" w:rsidRDefault="00000000">
            <w:r>
              <w:t>同意人选并同意提交董事会审议。</w:t>
            </w:r>
          </w:p>
        </w:tc>
        <w:tc>
          <w:tcPr>
            <w:tcW w:w="2208" w:type="dxa"/>
            <w:vAlign w:val="center"/>
          </w:tcPr>
          <w:p w14:paraId="5480FD33" w14:textId="77777777" w:rsidR="005E000F" w:rsidRDefault="00000000">
            <w:r>
              <w:t>无</w:t>
            </w:r>
          </w:p>
        </w:tc>
      </w:tr>
      <w:tr w:rsidR="005E000F" w14:paraId="092ABA39" w14:textId="77777777">
        <w:tc>
          <w:tcPr>
            <w:tcW w:w="1242" w:type="dxa"/>
            <w:vAlign w:val="center"/>
          </w:tcPr>
          <w:p w14:paraId="541989C4" w14:textId="77777777" w:rsidR="005E000F" w:rsidRDefault="00000000">
            <w:r>
              <w:rPr>
                <w:rFonts w:hint="eastAsia"/>
              </w:rPr>
              <w:t>2025-11-27</w:t>
            </w:r>
          </w:p>
        </w:tc>
        <w:tc>
          <w:tcPr>
            <w:tcW w:w="3695" w:type="dxa"/>
            <w:vAlign w:val="center"/>
          </w:tcPr>
          <w:p w14:paraId="72C71006" w14:textId="77777777" w:rsidR="005E000F" w:rsidRDefault="00000000">
            <w:r>
              <w:rPr>
                <w:rFonts w:hint="eastAsia"/>
              </w:rPr>
              <w:t>对副总经理人选进行资格审核。</w:t>
            </w:r>
          </w:p>
        </w:tc>
        <w:tc>
          <w:tcPr>
            <w:tcW w:w="1890" w:type="dxa"/>
            <w:vAlign w:val="center"/>
          </w:tcPr>
          <w:p w14:paraId="59BE9EA1" w14:textId="77777777" w:rsidR="005E000F" w:rsidRDefault="00000000">
            <w:r>
              <w:t>同意人选并同意提交董事会审议。</w:t>
            </w:r>
          </w:p>
        </w:tc>
        <w:tc>
          <w:tcPr>
            <w:tcW w:w="2208" w:type="dxa"/>
            <w:vAlign w:val="center"/>
          </w:tcPr>
          <w:p w14:paraId="00D8686C" w14:textId="77777777" w:rsidR="005E000F" w:rsidRDefault="00000000">
            <w:r>
              <w:t>无</w:t>
            </w:r>
          </w:p>
        </w:tc>
      </w:tr>
    </w:tbl>
    <w:p w14:paraId="4736DF05" w14:textId="77777777" w:rsidR="005E000F" w:rsidRDefault="005E000F"/>
    <w:p w14:paraId="1F169EA5" w14:textId="77777777" w:rsidR="005E000F" w:rsidRDefault="00000000">
      <w:pPr>
        <w:pStyle w:val="3"/>
        <w:numPr>
          <w:ilvl w:val="0"/>
          <w:numId w:val="24"/>
        </w:numPr>
        <w:rPr>
          <w:rFonts w:ascii="宋体" w:hAnsi="宋体" w:cs="宋体"/>
          <w:kern w:val="0"/>
          <w:szCs w:val="24"/>
        </w:rPr>
      </w:pPr>
      <w:r>
        <w:rPr>
          <w:rFonts w:ascii="宋体" w:hAnsi="宋体" w:cs="宋体" w:hint="eastAsia"/>
          <w:kern w:val="0"/>
          <w:szCs w:val="24"/>
        </w:rPr>
        <w:t>报告期内</w:t>
      </w:r>
      <w:sdt>
        <w:sdtPr>
          <w:rPr>
            <w:rFonts w:ascii="宋体" w:hAnsi="宋体" w:cs="宋体" w:hint="eastAsia"/>
            <w:kern w:val="0"/>
            <w:szCs w:val="24"/>
          </w:rPr>
          <w:alias w:val="召开会议的专门委员会类别"/>
          <w:tag w:val="_GBC_adf76ecbe3584f07b573642215a867bd"/>
          <w:id w:val="1498146291"/>
          <w:placeholder>
            <w:docPart w:val="6EEE991819494ABBAD8386ECABF6F86D"/>
          </w:placeholder>
        </w:sdtPr>
        <w:sdtContent>
          <w:r>
            <w:rPr>
              <w:rFonts w:ascii="宋体" w:hAnsi="宋体" w:cs="宋体" w:hint="eastAsia"/>
              <w:kern w:val="0"/>
              <w:szCs w:val="24"/>
            </w:rPr>
            <w:t>薪酬与考核</w:t>
          </w:r>
        </w:sdtContent>
      </w:sdt>
      <w:r>
        <w:rPr>
          <w:rFonts w:ascii="宋体" w:hAnsi="宋体" w:cs="宋体" w:hint="eastAsia"/>
          <w:kern w:val="0"/>
          <w:szCs w:val="24"/>
        </w:rPr>
        <w:t>委员会召开</w:t>
      </w:r>
      <w:sdt>
        <w:sdtPr>
          <w:rPr>
            <w:rFonts w:ascii="宋体" w:hAnsi="宋体" w:cs="宋体" w:hint="eastAsia"/>
            <w:kern w:val="0"/>
            <w:szCs w:val="24"/>
          </w:rPr>
          <w:alias w:val="报告期内召开专门委员会会议次数"/>
          <w:tag w:val="_GBC_7bf2cd7c3a6a4685ac9c89ee396352a0"/>
          <w:id w:val="120893664"/>
          <w:placeholder>
            <w:docPart w:val="6EEE991819494ABBAD8386ECABF6F86D"/>
          </w:placeholder>
        </w:sdtPr>
        <w:sdtContent>
          <w:r>
            <w:rPr>
              <w:rFonts w:ascii="宋体" w:hAnsi="宋体" w:cs="宋体" w:hint="eastAsia"/>
              <w:kern w:val="0"/>
              <w:szCs w:val="24"/>
            </w:rPr>
            <w:t>1</w:t>
          </w:r>
        </w:sdtContent>
      </w:sdt>
      <w:r>
        <w:rPr>
          <w:rFonts w:ascii="宋体" w:hAnsi="宋体" w:cs="宋体" w:hint="eastAsia"/>
          <w:kern w:val="0"/>
          <w:szCs w:val="24"/>
        </w:rPr>
        <w:t>次会议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3833"/>
        <w:gridCol w:w="1890"/>
        <w:gridCol w:w="2208"/>
      </w:tblGrid>
      <w:tr w:rsidR="005E000F" w14:paraId="5DCBDDF2" w14:textId="77777777">
        <w:sdt>
          <w:sdtPr>
            <w:tag w:val="_PLD_81aefc289fbf48b1865138608d8bd14f"/>
            <w:id w:val="-1547821988"/>
          </w:sdtPr>
          <w:sdtContent>
            <w:tc>
              <w:tcPr>
                <w:tcW w:w="1104" w:type="dxa"/>
                <w:vAlign w:val="center"/>
              </w:tcPr>
              <w:p w14:paraId="41D0D73D" w14:textId="77777777" w:rsidR="005E000F" w:rsidRDefault="00000000">
                <w:pPr>
                  <w:jc w:val="center"/>
                </w:pPr>
                <w:r>
                  <w:rPr>
                    <w:rFonts w:hint="eastAsia"/>
                  </w:rPr>
                  <w:t>召开日期</w:t>
                </w:r>
              </w:p>
            </w:tc>
          </w:sdtContent>
        </w:sdt>
        <w:sdt>
          <w:sdtPr>
            <w:tag w:val="_PLD_9d24b601ec70414eb969daf6b393edc8"/>
            <w:id w:val="1435548013"/>
          </w:sdtPr>
          <w:sdtContent>
            <w:tc>
              <w:tcPr>
                <w:tcW w:w="3833" w:type="dxa"/>
                <w:vAlign w:val="center"/>
              </w:tcPr>
              <w:p w14:paraId="03DE1AF4" w14:textId="77777777" w:rsidR="005E000F" w:rsidRDefault="00000000">
                <w:pPr>
                  <w:jc w:val="center"/>
                </w:pPr>
                <w:r>
                  <w:rPr>
                    <w:rFonts w:hint="eastAsia"/>
                  </w:rPr>
                  <w:t>会议内容</w:t>
                </w:r>
              </w:p>
            </w:tc>
          </w:sdtContent>
        </w:sdt>
        <w:sdt>
          <w:sdtPr>
            <w:tag w:val="_PLD_6ea19dadc3684e98a6d98faaf035a9d9"/>
            <w:id w:val="-139421632"/>
          </w:sdtPr>
          <w:sdtContent>
            <w:tc>
              <w:tcPr>
                <w:tcW w:w="1890" w:type="dxa"/>
                <w:vAlign w:val="center"/>
              </w:tcPr>
              <w:p w14:paraId="7ABCA34E" w14:textId="77777777" w:rsidR="005E000F" w:rsidRDefault="00000000">
                <w:pPr>
                  <w:jc w:val="center"/>
                </w:pPr>
                <w:r>
                  <w:rPr>
                    <w:rFonts w:hint="eastAsia"/>
                  </w:rPr>
                  <w:t>重要意见和建议</w:t>
                </w:r>
              </w:p>
            </w:tc>
          </w:sdtContent>
        </w:sdt>
        <w:sdt>
          <w:sdtPr>
            <w:tag w:val="_PLD_ef03d3ffb00740008011022cb6a96805"/>
            <w:id w:val="531155088"/>
          </w:sdtPr>
          <w:sdtContent>
            <w:tc>
              <w:tcPr>
                <w:tcW w:w="2208" w:type="dxa"/>
                <w:vAlign w:val="center"/>
              </w:tcPr>
              <w:p w14:paraId="31D1EF08" w14:textId="77777777" w:rsidR="005E000F" w:rsidRDefault="00000000">
                <w:pPr>
                  <w:jc w:val="center"/>
                </w:pPr>
                <w:r>
                  <w:rPr>
                    <w:rFonts w:hint="eastAsia"/>
                  </w:rPr>
                  <w:t>其他履行职责情况</w:t>
                </w:r>
              </w:p>
            </w:tc>
          </w:sdtContent>
        </w:sdt>
      </w:tr>
      <w:tr w:rsidR="005E000F" w14:paraId="22EC80F8" w14:textId="77777777">
        <w:tc>
          <w:tcPr>
            <w:tcW w:w="1104" w:type="dxa"/>
            <w:vAlign w:val="center"/>
          </w:tcPr>
          <w:p w14:paraId="710E7729" w14:textId="77777777" w:rsidR="005E000F" w:rsidRDefault="00000000">
            <w:r>
              <w:rPr>
                <w:rFonts w:hint="eastAsia"/>
              </w:rPr>
              <w:t>2025-4-15</w:t>
            </w:r>
          </w:p>
        </w:tc>
        <w:tc>
          <w:tcPr>
            <w:tcW w:w="3833" w:type="dxa"/>
            <w:vAlign w:val="center"/>
          </w:tcPr>
          <w:p w14:paraId="52FE4F76" w14:textId="77777777" w:rsidR="005E000F" w:rsidRDefault="00000000">
            <w:r>
              <w:t>审查公司董事、高管绩效考核及薪酬分配方案</w:t>
            </w:r>
          </w:p>
        </w:tc>
        <w:tc>
          <w:tcPr>
            <w:tcW w:w="1890" w:type="dxa"/>
            <w:vAlign w:val="center"/>
          </w:tcPr>
          <w:p w14:paraId="013B4D8B" w14:textId="77777777" w:rsidR="005E000F" w:rsidRDefault="00000000">
            <w:r>
              <w:t>同意该事项。</w:t>
            </w:r>
          </w:p>
        </w:tc>
        <w:tc>
          <w:tcPr>
            <w:tcW w:w="2208" w:type="dxa"/>
            <w:vAlign w:val="center"/>
          </w:tcPr>
          <w:p w14:paraId="5B1A81A5" w14:textId="77777777" w:rsidR="005E000F" w:rsidRDefault="00000000">
            <w:r>
              <w:t>无</w:t>
            </w:r>
          </w:p>
        </w:tc>
      </w:tr>
    </w:tbl>
    <w:p w14:paraId="661C69DB" w14:textId="77777777" w:rsidR="005E000F" w:rsidRDefault="005E000F"/>
    <w:p w14:paraId="6B15E680" w14:textId="77777777" w:rsidR="005E000F" w:rsidRDefault="00000000">
      <w:pPr>
        <w:pStyle w:val="3"/>
        <w:numPr>
          <w:ilvl w:val="0"/>
          <w:numId w:val="24"/>
        </w:numPr>
        <w:rPr>
          <w:rFonts w:ascii="宋体" w:hAnsi="宋体" w:cs="宋体"/>
          <w:kern w:val="0"/>
          <w:szCs w:val="24"/>
        </w:rPr>
      </w:pPr>
      <w:r>
        <w:rPr>
          <w:rFonts w:ascii="宋体" w:hAnsi="宋体" w:cs="宋体" w:hint="eastAsia"/>
          <w:kern w:val="0"/>
          <w:szCs w:val="24"/>
        </w:rPr>
        <w:t>存在异议事项的具体情况</w:t>
      </w:r>
    </w:p>
    <w:sdt>
      <w:sdtPr>
        <w:rPr>
          <w:rFonts w:hint="eastAsia"/>
        </w:rPr>
        <w:alias w:val="是否适用：董事会下设专门委员会在报告期内履行职责时所提出的重要意见和建议[双击切换]"/>
        <w:tag w:val="_GBC_f61de8443c9e4bc6b27047ea31f34f46"/>
        <w:id w:val="-914083645"/>
        <w:placeholder>
          <w:docPart w:val="GBC22222222222222222222222222222"/>
        </w:placeholder>
      </w:sdtPr>
      <w:sdtContent>
        <w:p w14:paraId="4238A49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20E80C9" w14:textId="77777777" w:rsidR="005E000F" w:rsidRDefault="00000000">
      <w:pPr>
        <w:pStyle w:val="2"/>
        <w:numPr>
          <w:ilvl w:val="0"/>
          <w:numId w:val="20"/>
        </w:numPr>
      </w:pPr>
      <w:r>
        <w:rPr>
          <w:rFonts w:hint="eastAsia"/>
        </w:rPr>
        <w:t>审计委员会</w:t>
      </w:r>
      <w:r>
        <w:t>发现公司存在风险的说明</w:t>
      </w:r>
    </w:p>
    <w:sdt>
      <w:sdtPr>
        <w:alias w:val="是否适用：监事会发现公司存在风险的说明[双击切换]"/>
        <w:tag w:val="_GBC_987bc6e795084351a58e9d0bca47f246"/>
        <w:id w:val="225196706"/>
        <w:placeholder>
          <w:docPart w:val="GBC22222222222222222222222222222"/>
        </w:placeholder>
      </w:sdtPr>
      <w:sdtContent>
        <w:p w14:paraId="516F4947"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55B13B7" w14:textId="77777777" w:rsidR="005E000F" w:rsidRDefault="00000000">
      <w:sdt>
        <w:sdtPr>
          <w:tag w:val="_PLD_3da969a146b34cc99cc693934187219d"/>
          <w:id w:val="1278222307"/>
        </w:sdtPr>
        <w:sdtContent>
          <w:r>
            <w:rPr>
              <w:rFonts w:hint="eastAsia"/>
            </w:rPr>
            <w:t>审计委员会</w:t>
          </w:r>
        </w:sdtContent>
      </w:sdt>
      <w:r>
        <w:rPr>
          <w:rFonts w:hint="eastAsia"/>
        </w:rPr>
        <w:t>对报告期内的监督事项</w:t>
      </w:r>
      <w:sdt>
        <w:sdtPr>
          <w:tag w:val="_PLD_66086d7fdf9245bb81102da5ce6dd63d"/>
          <w:id w:val="-2065402506"/>
        </w:sdtPr>
        <w:sdtContent>
          <w:r>
            <w:rPr>
              <w:rFonts w:hint="eastAsia"/>
            </w:rPr>
            <w:t>无异议</w:t>
          </w:r>
        </w:sdtContent>
      </w:sdt>
      <w:r>
        <w:rPr>
          <w:rFonts w:hint="eastAsia"/>
        </w:rPr>
        <w:t>。</w:t>
      </w:r>
    </w:p>
    <w:p w14:paraId="0210350B" w14:textId="77777777" w:rsidR="005E000F" w:rsidRDefault="00000000">
      <w:pPr>
        <w:pStyle w:val="2"/>
        <w:numPr>
          <w:ilvl w:val="0"/>
          <w:numId w:val="20"/>
        </w:numPr>
        <w:rPr>
          <w:rFonts w:ascii="宋体" w:hAnsi="宋体" w:cs="宋体"/>
          <w:kern w:val="0"/>
          <w:szCs w:val="24"/>
        </w:rPr>
      </w:pPr>
      <w:r>
        <w:rPr>
          <w:rFonts w:ascii="宋体" w:hAnsi="宋体" w:cs="宋体" w:hint="eastAsia"/>
          <w:kern w:val="0"/>
          <w:szCs w:val="24"/>
        </w:rPr>
        <w:t>报告期末</w:t>
      </w:r>
      <w:r>
        <w:rPr>
          <w:rFonts w:ascii="宋体" w:hAnsi="宋体" w:cs="宋体"/>
          <w:kern w:val="0"/>
          <w:szCs w:val="24"/>
        </w:rPr>
        <w:t>母公司和主要子公司的员工情况</w:t>
      </w:r>
    </w:p>
    <w:p w14:paraId="42CF8724" w14:textId="77777777" w:rsidR="005E000F" w:rsidRDefault="00000000">
      <w:pPr>
        <w:pStyle w:val="3"/>
        <w:numPr>
          <w:ilvl w:val="0"/>
          <w:numId w:val="25"/>
        </w:numPr>
        <w:rPr>
          <w:szCs w:val="21"/>
        </w:rPr>
      </w:pPr>
      <w:bookmarkStart w:id="116" w:name="_Hlk89184114"/>
      <w:r>
        <w:rPr>
          <w:szCs w:val="21"/>
        </w:rPr>
        <w:t>员工情况</w:t>
      </w:r>
    </w:p>
    <w:tbl>
      <w:tblPr>
        <w:tblStyle w:val="aff2"/>
        <w:tblW w:w="0" w:type="auto"/>
        <w:tblLayout w:type="fixed"/>
        <w:tblLook w:val="04A0" w:firstRow="1" w:lastRow="0" w:firstColumn="1" w:lastColumn="0" w:noHBand="0" w:noVBand="1"/>
      </w:tblPr>
      <w:tblGrid>
        <w:gridCol w:w="4524"/>
        <w:gridCol w:w="4525"/>
      </w:tblGrid>
      <w:tr w:rsidR="005E000F" w14:paraId="032E6BF3" w14:textId="77777777">
        <w:trPr>
          <w:trHeight w:val="120"/>
        </w:trPr>
        <w:bookmarkEnd w:id="116" w:displacedByCustomXml="next"/>
        <w:sdt>
          <w:sdtPr>
            <w:tag w:val="_PLD_cff5d8823807446facbb16ac3f50949e"/>
            <w:id w:val="1743372703"/>
          </w:sdtPr>
          <w:sdtContent>
            <w:tc>
              <w:tcPr>
                <w:tcW w:w="4524" w:type="dxa"/>
                <w:vAlign w:val="center"/>
              </w:tcPr>
              <w:p w14:paraId="2E804700" w14:textId="77777777" w:rsidR="005E000F" w:rsidRDefault="00000000">
                <w:r>
                  <w:t>母公司在职员工的数量</w:t>
                </w:r>
              </w:p>
            </w:tc>
          </w:sdtContent>
        </w:sdt>
        <w:tc>
          <w:tcPr>
            <w:tcW w:w="4525" w:type="dxa"/>
            <w:vAlign w:val="center"/>
          </w:tcPr>
          <w:p w14:paraId="0A308A18" w14:textId="77777777" w:rsidR="005E000F" w:rsidRDefault="00000000">
            <w:pPr>
              <w:jc w:val="right"/>
            </w:pPr>
            <w:r>
              <w:t>87,424</w:t>
            </w:r>
          </w:p>
        </w:tc>
      </w:tr>
      <w:tr w:rsidR="005E000F" w14:paraId="7471237E" w14:textId="77777777">
        <w:trPr>
          <w:trHeight w:val="195"/>
        </w:trPr>
        <w:tc>
          <w:tcPr>
            <w:tcW w:w="4524" w:type="dxa"/>
            <w:vAlign w:val="center"/>
          </w:tcPr>
          <w:p w14:paraId="26F009B8" w14:textId="77777777" w:rsidR="005E000F" w:rsidRDefault="00000000">
            <w:r>
              <w:t>主要子公司在职员工的数量</w:t>
            </w:r>
          </w:p>
        </w:tc>
        <w:tc>
          <w:tcPr>
            <w:tcW w:w="4525" w:type="dxa"/>
            <w:vAlign w:val="center"/>
          </w:tcPr>
          <w:p w14:paraId="61B1936A" w14:textId="77777777" w:rsidR="005E000F" w:rsidRDefault="00000000">
            <w:pPr>
              <w:jc w:val="right"/>
            </w:pPr>
            <w:r>
              <w:t>602</w:t>
            </w:r>
          </w:p>
        </w:tc>
      </w:tr>
      <w:tr w:rsidR="005E000F" w14:paraId="54F414BE" w14:textId="77777777">
        <w:trPr>
          <w:trHeight w:val="116"/>
        </w:trPr>
        <w:tc>
          <w:tcPr>
            <w:tcW w:w="4524" w:type="dxa"/>
            <w:vAlign w:val="center"/>
          </w:tcPr>
          <w:p w14:paraId="336B9EBF" w14:textId="77777777" w:rsidR="005E000F" w:rsidRDefault="00000000">
            <w:r>
              <w:t>在职员工的数量合计</w:t>
            </w:r>
          </w:p>
        </w:tc>
        <w:tc>
          <w:tcPr>
            <w:tcW w:w="4525" w:type="dxa"/>
            <w:vAlign w:val="center"/>
          </w:tcPr>
          <w:p w14:paraId="42B5D689" w14:textId="77777777" w:rsidR="005E000F" w:rsidRDefault="00000000">
            <w:pPr>
              <w:jc w:val="right"/>
            </w:pPr>
            <w:r>
              <w:t>88,026</w:t>
            </w:r>
          </w:p>
        </w:tc>
      </w:tr>
      <w:tr w:rsidR="005E000F" w14:paraId="36FE4C3F" w14:textId="77777777">
        <w:trPr>
          <w:trHeight w:val="180"/>
        </w:trPr>
        <w:tc>
          <w:tcPr>
            <w:tcW w:w="4524" w:type="dxa"/>
            <w:vAlign w:val="center"/>
          </w:tcPr>
          <w:p w14:paraId="32CCA819" w14:textId="77777777" w:rsidR="005E000F" w:rsidRDefault="00000000">
            <w:r>
              <w:t>母公司及主要子公司需承担费用的离退休职工人数</w:t>
            </w:r>
          </w:p>
        </w:tc>
        <w:tc>
          <w:tcPr>
            <w:tcW w:w="4525" w:type="dxa"/>
            <w:vAlign w:val="center"/>
          </w:tcPr>
          <w:p w14:paraId="70599036" w14:textId="77777777" w:rsidR="005E000F" w:rsidRDefault="00000000">
            <w:pPr>
              <w:jc w:val="right"/>
            </w:pPr>
            <w:r>
              <w:t>64,988</w:t>
            </w:r>
          </w:p>
        </w:tc>
      </w:tr>
      <w:tr w:rsidR="005E000F" w14:paraId="60B2C2DD" w14:textId="77777777">
        <w:trPr>
          <w:trHeight w:val="101"/>
        </w:trPr>
        <w:sdt>
          <w:sdtPr>
            <w:tag w:val="_PLD_f37d0297c6bb44dea272632ad4d910e4"/>
            <w:id w:val="1659726608"/>
          </w:sdtPr>
          <w:sdtContent>
            <w:tc>
              <w:tcPr>
                <w:tcW w:w="9049" w:type="dxa"/>
                <w:gridSpan w:val="2"/>
                <w:vAlign w:val="center"/>
              </w:tcPr>
              <w:p w14:paraId="54BFE4A0" w14:textId="77777777" w:rsidR="005E000F" w:rsidRDefault="00000000">
                <w:pPr>
                  <w:jc w:val="center"/>
                </w:pPr>
                <w:r>
                  <w:t>专业构成</w:t>
                </w:r>
              </w:p>
            </w:tc>
          </w:sdtContent>
        </w:sdt>
      </w:tr>
      <w:tr w:rsidR="005E000F" w14:paraId="717CF437" w14:textId="77777777">
        <w:trPr>
          <w:trHeight w:val="150"/>
        </w:trPr>
        <w:sdt>
          <w:sdtPr>
            <w:tag w:val="_PLD_90bef974c0c14508b11a7e84e6f364c5"/>
            <w:id w:val="-1883316962"/>
          </w:sdtPr>
          <w:sdtContent>
            <w:tc>
              <w:tcPr>
                <w:tcW w:w="4524" w:type="dxa"/>
                <w:vAlign w:val="center"/>
              </w:tcPr>
              <w:p w14:paraId="44EA71F9" w14:textId="77777777" w:rsidR="005E000F" w:rsidRDefault="00000000">
                <w:pPr>
                  <w:jc w:val="center"/>
                </w:pPr>
                <w:r>
                  <w:t>专业构成类别</w:t>
                </w:r>
              </w:p>
            </w:tc>
          </w:sdtContent>
        </w:sdt>
        <w:sdt>
          <w:sdtPr>
            <w:tag w:val="_PLD_a5f175a6b2a94ee7a70936fbe5cbc8da"/>
            <w:id w:val="812448452"/>
          </w:sdtPr>
          <w:sdtContent>
            <w:tc>
              <w:tcPr>
                <w:tcW w:w="4525" w:type="dxa"/>
                <w:vAlign w:val="center"/>
              </w:tcPr>
              <w:p w14:paraId="7123478E" w14:textId="77777777" w:rsidR="005E000F" w:rsidRDefault="00000000">
                <w:pPr>
                  <w:jc w:val="center"/>
                </w:pPr>
                <w:r>
                  <w:t>专业构成人数</w:t>
                </w:r>
              </w:p>
            </w:tc>
          </w:sdtContent>
        </w:sdt>
      </w:tr>
      <w:tr w:rsidR="005E000F" w14:paraId="6573E093" w14:textId="77777777">
        <w:trPr>
          <w:trHeight w:val="150"/>
        </w:trPr>
        <w:tc>
          <w:tcPr>
            <w:tcW w:w="4524" w:type="dxa"/>
            <w:vAlign w:val="center"/>
          </w:tcPr>
          <w:p w14:paraId="61B1D5E5" w14:textId="77777777" w:rsidR="005E000F" w:rsidRDefault="00000000">
            <w:pPr>
              <w:jc w:val="center"/>
            </w:pPr>
            <w:r>
              <w:t>生产人员</w:t>
            </w:r>
          </w:p>
        </w:tc>
        <w:tc>
          <w:tcPr>
            <w:tcW w:w="4525" w:type="dxa"/>
            <w:vAlign w:val="center"/>
          </w:tcPr>
          <w:p w14:paraId="7E678C07" w14:textId="77777777" w:rsidR="005E000F" w:rsidRDefault="00000000">
            <w:pPr>
              <w:jc w:val="right"/>
            </w:pPr>
            <w:r>
              <w:t>76,941</w:t>
            </w:r>
          </w:p>
        </w:tc>
      </w:tr>
      <w:tr w:rsidR="005E000F" w14:paraId="1DC1AD03" w14:textId="77777777">
        <w:trPr>
          <w:trHeight w:val="150"/>
        </w:trPr>
        <w:tc>
          <w:tcPr>
            <w:tcW w:w="4524" w:type="dxa"/>
            <w:vAlign w:val="center"/>
          </w:tcPr>
          <w:p w14:paraId="297B674E" w14:textId="77777777" w:rsidR="005E000F" w:rsidRDefault="00000000">
            <w:pPr>
              <w:jc w:val="center"/>
            </w:pPr>
            <w:r>
              <w:t>销售人员</w:t>
            </w:r>
          </w:p>
        </w:tc>
        <w:tc>
          <w:tcPr>
            <w:tcW w:w="4525" w:type="dxa"/>
            <w:vAlign w:val="center"/>
          </w:tcPr>
          <w:p w14:paraId="7E36F77F" w14:textId="77777777" w:rsidR="005E000F" w:rsidRDefault="00000000">
            <w:pPr>
              <w:jc w:val="right"/>
            </w:pPr>
            <w:r>
              <w:t>146</w:t>
            </w:r>
          </w:p>
        </w:tc>
      </w:tr>
      <w:tr w:rsidR="005E000F" w14:paraId="77B811C3" w14:textId="77777777">
        <w:trPr>
          <w:trHeight w:val="101"/>
        </w:trPr>
        <w:tc>
          <w:tcPr>
            <w:tcW w:w="4524" w:type="dxa"/>
            <w:vAlign w:val="center"/>
          </w:tcPr>
          <w:p w14:paraId="2A1718E5" w14:textId="77777777" w:rsidR="005E000F" w:rsidRDefault="00000000">
            <w:pPr>
              <w:jc w:val="center"/>
            </w:pPr>
            <w:r>
              <w:t>技术人员</w:t>
            </w:r>
          </w:p>
        </w:tc>
        <w:tc>
          <w:tcPr>
            <w:tcW w:w="4525" w:type="dxa"/>
            <w:vAlign w:val="center"/>
          </w:tcPr>
          <w:p w14:paraId="5322C3A2" w14:textId="77777777" w:rsidR="005E000F" w:rsidRDefault="00000000">
            <w:pPr>
              <w:jc w:val="right"/>
            </w:pPr>
            <w:r>
              <w:t>7,089</w:t>
            </w:r>
          </w:p>
        </w:tc>
      </w:tr>
      <w:tr w:rsidR="005E000F" w14:paraId="54ED206F" w14:textId="77777777">
        <w:trPr>
          <w:trHeight w:val="116"/>
        </w:trPr>
        <w:tc>
          <w:tcPr>
            <w:tcW w:w="4524" w:type="dxa"/>
            <w:vAlign w:val="center"/>
          </w:tcPr>
          <w:p w14:paraId="6B8E65F7" w14:textId="77777777" w:rsidR="005E000F" w:rsidRDefault="00000000">
            <w:pPr>
              <w:jc w:val="center"/>
            </w:pPr>
            <w:r>
              <w:t>财务人员</w:t>
            </w:r>
          </w:p>
        </w:tc>
        <w:tc>
          <w:tcPr>
            <w:tcW w:w="4525" w:type="dxa"/>
            <w:vAlign w:val="center"/>
          </w:tcPr>
          <w:p w14:paraId="50EAA5F2" w14:textId="77777777" w:rsidR="005E000F" w:rsidRDefault="00000000">
            <w:pPr>
              <w:jc w:val="right"/>
            </w:pPr>
            <w:r>
              <w:t>410</w:t>
            </w:r>
          </w:p>
        </w:tc>
      </w:tr>
      <w:tr w:rsidR="005E000F" w14:paraId="71C23D38" w14:textId="77777777">
        <w:trPr>
          <w:trHeight w:val="165"/>
        </w:trPr>
        <w:tc>
          <w:tcPr>
            <w:tcW w:w="4524" w:type="dxa"/>
            <w:vAlign w:val="center"/>
          </w:tcPr>
          <w:p w14:paraId="28023544" w14:textId="77777777" w:rsidR="005E000F" w:rsidRDefault="00000000">
            <w:pPr>
              <w:jc w:val="center"/>
            </w:pPr>
            <w:r>
              <w:t>行政人员</w:t>
            </w:r>
          </w:p>
        </w:tc>
        <w:tc>
          <w:tcPr>
            <w:tcW w:w="4525" w:type="dxa"/>
            <w:vAlign w:val="center"/>
          </w:tcPr>
          <w:p w14:paraId="77C23D9A" w14:textId="77777777" w:rsidR="005E000F" w:rsidRDefault="00000000">
            <w:pPr>
              <w:jc w:val="right"/>
            </w:pPr>
            <w:r>
              <w:t>3,440</w:t>
            </w:r>
          </w:p>
        </w:tc>
      </w:tr>
      <w:tr w:rsidR="005E000F" w14:paraId="005F4D6C" w14:textId="77777777">
        <w:trPr>
          <w:trHeight w:val="146"/>
        </w:trPr>
        <w:tc>
          <w:tcPr>
            <w:tcW w:w="4524" w:type="dxa"/>
            <w:vAlign w:val="center"/>
          </w:tcPr>
          <w:p w14:paraId="43B38C59" w14:textId="77777777" w:rsidR="005E000F" w:rsidRDefault="00000000">
            <w:pPr>
              <w:jc w:val="center"/>
            </w:pPr>
            <w:r>
              <w:t>合计</w:t>
            </w:r>
          </w:p>
        </w:tc>
        <w:tc>
          <w:tcPr>
            <w:tcW w:w="4525" w:type="dxa"/>
            <w:vAlign w:val="center"/>
          </w:tcPr>
          <w:p w14:paraId="5A1C07AD" w14:textId="77777777" w:rsidR="005E000F" w:rsidRDefault="00000000">
            <w:pPr>
              <w:jc w:val="right"/>
            </w:pPr>
            <w:r>
              <w:t>88,026</w:t>
            </w:r>
          </w:p>
        </w:tc>
      </w:tr>
      <w:tr w:rsidR="005E000F" w14:paraId="549D0C4B" w14:textId="77777777">
        <w:trPr>
          <w:trHeight w:val="101"/>
        </w:trPr>
        <w:sdt>
          <w:sdtPr>
            <w:tag w:val="_PLD_ea58f2d9c900463a8694fdc78940295e"/>
            <w:id w:val="-1502967526"/>
          </w:sdtPr>
          <w:sdtContent>
            <w:tc>
              <w:tcPr>
                <w:tcW w:w="9049" w:type="dxa"/>
                <w:gridSpan w:val="2"/>
                <w:vAlign w:val="center"/>
              </w:tcPr>
              <w:p w14:paraId="6329C5FB" w14:textId="77777777" w:rsidR="005E000F" w:rsidRDefault="00000000">
                <w:pPr>
                  <w:jc w:val="center"/>
                </w:pPr>
                <w:r>
                  <w:t>教育程度</w:t>
                </w:r>
              </w:p>
            </w:tc>
          </w:sdtContent>
        </w:sdt>
      </w:tr>
      <w:tr w:rsidR="005E000F" w14:paraId="01425A49" w14:textId="77777777">
        <w:trPr>
          <w:trHeight w:val="116"/>
        </w:trPr>
        <w:sdt>
          <w:sdtPr>
            <w:tag w:val="_PLD_92fefeded22c454881177d08c5c97d97"/>
            <w:id w:val="-48462067"/>
          </w:sdtPr>
          <w:sdtContent>
            <w:tc>
              <w:tcPr>
                <w:tcW w:w="4524" w:type="dxa"/>
                <w:vAlign w:val="center"/>
              </w:tcPr>
              <w:p w14:paraId="27ED86DE" w14:textId="77777777" w:rsidR="005E000F" w:rsidRDefault="00000000">
                <w:pPr>
                  <w:jc w:val="center"/>
                </w:pPr>
                <w:r>
                  <w:t>教育程度类别</w:t>
                </w:r>
              </w:p>
            </w:tc>
          </w:sdtContent>
        </w:sdt>
        <w:sdt>
          <w:sdtPr>
            <w:tag w:val="_PLD_2a8ff2c52daa4348bedf7a0e6951a5c6"/>
            <w:id w:val="1241755558"/>
          </w:sdtPr>
          <w:sdtContent>
            <w:tc>
              <w:tcPr>
                <w:tcW w:w="4525" w:type="dxa"/>
                <w:vAlign w:val="center"/>
              </w:tcPr>
              <w:p w14:paraId="5E5BC285" w14:textId="77777777" w:rsidR="005E000F" w:rsidRDefault="00000000">
                <w:pPr>
                  <w:jc w:val="center"/>
                </w:pPr>
                <w:r>
                  <w:t>数量（人）</w:t>
                </w:r>
              </w:p>
            </w:tc>
          </w:sdtContent>
        </w:sdt>
      </w:tr>
      <w:tr w:rsidR="005E000F" w14:paraId="2D1CB323" w14:textId="77777777">
        <w:trPr>
          <w:trHeight w:val="131"/>
        </w:trPr>
        <w:tc>
          <w:tcPr>
            <w:tcW w:w="4524" w:type="dxa"/>
            <w:vAlign w:val="center"/>
          </w:tcPr>
          <w:p w14:paraId="698E608F" w14:textId="77777777" w:rsidR="005E000F" w:rsidRDefault="00000000">
            <w:pPr>
              <w:jc w:val="center"/>
            </w:pPr>
            <w:r>
              <w:t>本科及以上</w:t>
            </w:r>
          </w:p>
        </w:tc>
        <w:tc>
          <w:tcPr>
            <w:tcW w:w="4525" w:type="dxa"/>
            <w:vAlign w:val="center"/>
          </w:tcPr>
          <w:p w14:paraId="161B3714" w14:textId="77777777" w:rsidR="005E000F" w:rsidRDefault="00000000">
            <w:pPr>
              <w:jc w:val="right"/>
            </w:pPr>
            <w:r>
              <w:t>22,118</w:t>
            </w:r>
          </w:p>
        </w:tc>
      </w:tr>
      <w:tr w:rsidR="005E000F" w14:paraId="28899EE9" w14:textId="77777777">
        <w:trPr>
          <w:trHeight w:val="131"/>
        </w:trPr>
        <w:tc>
          <w:tcPr>
            <w:tcW w:w="4524" w:type="dxa"/>
            <w:vAlign w:val="center"/>
          </w:tcPr>
          <w:p w14:paraId="41111A62" w14:textId="77777777" w:rsidR="005E000F" w:rsidRDefault="00000000">
            <w:pPr>
              <w:jc w:val="center"/>
            </w:pPr>
            <w:r>
              <w:t>专科</w:t>
            </w:r>
          </w:p>
        </w:tc>
        <w:tc>
          <w:tcPr>
            <w:tcW w:w="4525" w:type="dxa"/>
            <w:vAlign w:val="center"/>
          </w:tcPr>
          <w:p w14:paraId="482E052E" w14:textId="77777777" w:rsidR="005E000F" w:rsidRDefault="00000000">
            <w:pPr>
              <w:jc w:val="right"/>
            </w:pPr>
            <w:r>
              <w:t>37,207</w:t>
            </w:r>
          </w:p>
        </w:tc>
      </w:tr>
      <w:tr w:rsidR="005E000F" w14:paraId="2A566AEC" w14:textId="77777777">
        <w:trPr>
          <w:trHeight w:val="131"/>
        </w:trPr>
        <w:tc>
          <w:tcPr>
            <w:tcW w:w="4524" w:type="dxa"/>
            <w:vAlign w:val="center"/>
          </w:tcPr>
          <w:p w14:paraId="42A22B62" w14:textId="77777777" w:rsidR="005E000F" w:rsidRDefault="00000000">
            <w:pPr>
              <w:jc w:val="center"/>
            </w:pPr>
            <w:r>
              <w:t>中专及以下</w:t>
            </w:r>
          </w:p>
        </w:tc>
        <w:tc>
          <w:tcPr>
            <w:tcW w:w="4525" w:type="dxa"/>
            <w:vAlign w:val="center"/>
          </w:tcPr>
          <w:p w14:paraId="6267272A" w14:textId="77777777" w:rsidR="005E000F" w:rsidRDefault="00000000">
            <w:pPr>
              <w:jc w:val="right"/>
            </w:pPr>
            <w:r>
              <w:t>28,701</w:t>
            </w:r>
          </w:p>
        </w:tc>
      </w:tr>
      <w:tr w:rsidR="005E000F" w14:paraId="65C37CAD" w14:textId="77777777">
        <w:trPr>
          <w:trHeight w:val="165"/>
        </w:trPr>
        <w:tc>
          <w:tcPr>
            <w:tcW w:w="4524" w:type="dxa"/>
            <w:tcBorders>
              <w:bottom w:val="single" w:sz="4" w:space="0" w:color="auto"/>
            </w:tcBorders>
            <w:vAlign w:val="center"/>
          </w:tcPr>
          <w:p w14:paraId="5050B274" w14:textId="77777777" w:rsidR="005E000F" w:rsidRDefault="00000000">
            <w:pPr>
              <w:jc w:val="center"/>
            </w:pPr>
            <w:r>
              <w:t>合计</w:t>
            </w:r>
          </w:p>
        </w:tc>
        <w:tc>
          <w:tcPr>
            <w:tcW w:w="4525" w:type="dxa"/>
            <w:tcBorders>
              <w:bottom w:val="single" w:sz="4" w:space="0" w:color="auto"/>
            </w:tcBorders>
            <w:vAlign w:val="center"/>
          </w:tcPr>
          <w:p w14:paraId="42DAFA5C" w14:textId="77777777" w:rsidR="005E000F" w:rsidRDefault="00000000">
            <w:pPr>
              <w:jc w:val="right"/>
            </w:pPr>
            <w:r>
              <w:rPr>
                <w:rFonts w:hint="eastAsia"/>
              </w:rPr>
              <w:t>8</w:t>
            </w:r>
            <w:r>
              <w:t>8,026</w:t>
            </w:r>
          </w:p>
        </w:tc>
      </w:tr>
    </w:tbl>
    <w:p w14:paraId="1792F036" w14:textId="77777777" w:rsidR="005E000F" w:rsidRDefault="005E000F"/>
    <w:p w14:paraId="7B1608A7" w14:textId="77777777" w:rsidR="005E000F" w:rsidRDefault="00000000">
      <w:pPr>
        <w:pStyle w:val="3"/>
        <w:numPr>
          <w:ilvl w:val="0"/>
          <w:numId w:val="25"/>
        </w:numPr>
        <w:rPr>
          <w:szCs w:val="21"/>
        </w:rPr>
      </w:pPr>
      <w:r>
        <w:t>薪</w:t>
      </w:r>
      <w:r>
        <w:rPr>
          <w:szCs w:val="21"/>
        </w:rPr>
        <w:t>酬政策</w:t>
      </w:r>
    </w:p>
    <w:sdt>
      <w:sdtPr>
        <w:rPr>
          <w:rFonts w:hint="eastAsia"/>
        </w:rPr>
        <w:alias w:val="是否适用：薪酬政策[双击切换]"/>
        <w:tag w:val="_GBC_13404877597d44c38f554884f31b3123"/>
        <w:id w:val="1583334996"/>
        <w:placeholder>
          <w:docPart w:val="GBC22222222222222222222222222222"/>
        </w:placeholder>
      </w:sdtPr>
      <w:sdtContent>
        <w:p w14:paraId="1756E1FC"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员工薪酬政策"/>
        <w:tag w:val="_GBC_c66914a8847a42b2b50437dbe93cdad1"/>
        <w:id w:val="-182363698"/>
        <w:placeholder>
          <w:docPart w:val="GBC22222222222222222222222222222"/>
        </w:placeholder>
      </w:sdtPr>
      <w:sdtContent>
        <w:p w14:paraId="7B284900" w14:textId="77777777" w:rsidR="005E000F" w:rsidRDefault="00000000">
          <w:pPr>
            <w:pStyle w:val="aff8"/>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报告期内，公司继续坚持薪酬总额与经济效益相适应、薪酬水平与行业薪酬水平相适应的原则，控制薪酬总额合理增长。实行与安全业绩、经营业绩、劳动</w:t>
          </w:r>
          <w:r>
            <w:rPr>
              <w:rFonts w:asciiTheme="minorEastAsia" w:eastAsiaTheme="minorEastAsia" w:hAnsiTheme="minorEastAsia"/>
              <w:szCs w:val="21"/>
            </w:rPr>
            <w:t>效</w:t>
          </w:r>
          <w:r>
            <w:rPr>
              <w:rFonts w:asciiTheme="minorEastAsia" w:eastAsiaTheme="minorEastAsia" w:hAnsiTheme="minorEastAsia" w:hint="eastAsia"/>
              <w:szCs w:val="21"/>
            </w:rPr>
            <w:t>率联动</w:t>
          </w:r>
          <w:r>
            <w:rPr>
              <w:rFonts w:asciiTheme="minorEastAsia" w:eastAsiaTheme="minorEastAsia" w:hAnsiTheme="minorEastAsia"/>
              <w:szCs w:val="21"/>
            </w:rPr>
            <w:t>考核的</w:t>
          </w:r>
          <w:r>
            <w:rPr>
              <w:rFonts w:asciiTheme="minorEastAsia" w:eastAsiaTheme="minorEastAsia" w:hAnsiTheme="minorEastAsia" w:hint="eastAsia"/>
              <w:szCs w:val="21"/>
            </w:rPr>
            <w:t>基层</w:t>
          </w:r>
          <w:r>
            <w:rPr>
              <w:rFonts w:asciiTheme="minorEastAsia" w:eastAsiaTheme="minorEastAsia" w:hAnsiTheme="minorEastAsia"/>
              <w:szCs w:val="21"/>
            </w:rPr>
            <w:t>单位薪酬总额</w:t>
          </w:r>
          <w:r>
            <w:rPr>
              <w:rFonts w:asciiTheme="minorEastAsia" w:eastAsiaTheme="minorEastAsia" w:hAnsiTheme="minorEastAsia" w:hint="eastAsia"/>
              <w:szCs w:val="21"/>
            </w:rPr>
            <w:t>决定机制。坚持战略导向和效率公平原则，坚持业绩导向和多劳多得原则，坚持向生产一</w:t>
          </w:r>
          <w:r>
            <w:rPr>
              <w:rFonts w:asciiTheme="minorEastAsia" w:eastAsiaTheme="minorEastAsia" w:hAnsiTheme="minorEastAsia"/>
              <w:szCs w:val="21"/>
            </w:rPr>
            <w:t>线、关键岗位倾斜</w:t>
          </w:r>
          <w:r>
            <w:rPr>
              <w:rFonts w:asciiTheme="minorEastAsia" w:eastAsiaTheme="minorEastAsia" w:hAnsiTheme="minorEastAsia" w:hint="eastAsia"/>
              <w:szCs w:val="21"/>
            </w:rPr>
            <w:t>原则</w:t>
          </w:r>
          <w:r>
            <w:rPr>
              <w:rFonts w:asciiTheme="minorEastAsia" w:eastAsiaTheme="minorEastAsia" w:hAnsiTheme="minorEastAsia"/>
              <w:szCs w:val="21"/>
            </w:rPr>
            <w:t>，</w:t>
          </w:r>
          <w:r>
            <w:rPr>
              <w:rFonts w:asciiTheme="minorEastAsia" w:eastAsiaTheme="minorEastAsia" w:hAnsiTheme="minorEastAsia" w:hint="eastAsia"/>
              <w:szCs w:val="21"/>
            </w:rPr>
            <w:t>逐步</w:t>
          </w:r>
          <w:r>
            <w:rPr>
              <w:rFonts w:asciiTheme="minorEastAsia" w:eastAsiaTheme="minorEastAsia" w:hAnsiTheme="minorEastAsia"/>
              <w:szCs w:val="21"/>
            </w:rPr>
            <w:t>构建以岗位价值为基础、以业绩贡献为依据的薪酬分配体系，</w:t>
          </w:r>
          <w:r>
            <w:rPr>
              <w:rFonts w:asciiTheme="minorEastAsia" w:eastAsiaTheme="minorEastAsia" w:hAnsiTheme="minorEastAsia" w:hint="eastAsia"/>
              <w:szCs w:val="21"/>
            </w:rPr>
            <w:t>建立</w:t>
          </w:r>
          <w:r>
            <w:rPr>
              <w:rFonts w:asciiTheme="minorEastAsia" w:eastAsiaTheme="minorEastAsia" w:hAnsiTheme="minorEastAsia"/>
              <w:szCs w:val="21"/>
            </w:rPr>
            <w:t>完善</w:t>
          </w:r>
          <w:r>
            <w:rPr>
              <w:rFonts w:asciiTheme="minorEastAsia" w:eastAsiaTheme="minorEastAsia" w:hAnsiTheme="minorEastAsia" w:hint="eastAsia"/>
              <w:szCs w:val="21"/>
            </w:rPr>
            <w:t>管理和专业技术人员以岗位责任制考核为</w:t>
          </w:r>
          <w:r>
            <w:rPr>
              <w:rFonts w:asciiTheme="minorEastAsia" w:eastAsiaTheme="minorEastAsia" w:hAnsiTheme="minorEastAsia"/>
              <w:szCs w:val="21"/>
            </w:rPr>
            <w:t>主</w:t>
          </w:r>
          <w:r>
            <w:rPr>
              <w:rFonts w:asciiTheme="minorEastAsia" w:eastAsiaTheme="minorEastAsia" w:hAnsiTheme="minorEastAsia" w:hint="eastAsia"/>
              <w:szCs w:val="21"/>
            </w:rPr>
            <w:t>、操作技能人员以计件工资分配为</w:t>
          </w:r>
          <w:r>
            <w:rPr>
              <w:rFonts w:asciiTheme="minorEastAsia" w:eastAsiaTheme="minorEastAsia" w:hAnsiTheme="minorEastAsia"/>
              <w:szCs w:val="21"/>
            </w:rPr>
            <w:t>主</w:t>
          </w:r>
          <w:r>
            <w:rPr>
              <w:rFonts w:asciiTheme="minorEastAsia" w:eastAsiaTheme="minorEastAsia" w:hAnsiTheme="minorEastAsia" w:hint="eastAsia"/>
              <w:szCs w:val="21"/>
            </w:rPr>
            <w:t>的绩效考核制度。通过建立健全与现代企业制度要求相适应，与公司战略目标相融合的绩效考核体系，调动广大员工保安全、促任务、提效率、增效益的积极性和主动性。</w:t>
          </w:r>
        </w:p>
      </w:sdtContent>
    </w:sdt>
    <w:p w14:paraId="538577A4" w14:textId="77777777" w:rsidR="005E000F" w:rsidRDefault="00000000">
      <w:pPr>
        <w:pStyle w:val="3"/>
        <w:numPr>
          <w:ilvl w:val="0"/>
          <w:numId w:val="25"/>
        </w:numPr>
        <w:rPr>
          <w:szCs w:val="21"/>
        </w:rPr>
      </w:pPr>
      <w:r>
        <w:rPr>
          <w:szCs w:val="21"/>
        </w:rPr>
        <w:t>培训计划</w:t>
      </w:r>
    </w:p>
    <w:sdt>
      <w:sdtPr>
        <w:rPr>
          <w:rFonts w:hint="eastAsia"/>
        </w:rPr>
        <w:alias w:val="是否适用：培训计划[双击切换]"/>
        <w:tag w:val="_GBC_123cfa2c006d4970ae10b316c2c1f95a"/>
        <w:id w:val="-2131391512"/>
        <w:placeholder>
          <w:docPart w:val="GBC22222222222222222222222222222"/>
        </w:placeholder>
      </w:sdtPr>
      <w:sdtContent>
        <w:p w14:paraId="424BA51F"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员工培训计划"/>
        <w:tag w:val="_GBC_266f6e1d93824387ae96645a471738b7"/>
        <w:id w:val="-1583062733"/>
        <w:placeholder>
          <w:docPart w:val="GBC22222222222222222222222222222"/>
        </w:placeholder>
      </w:sdtPr>
      <w:sdtEndPr>
        <w:rPr>
          <w:rFonts w:asciiTheme="minorEastAsia" w:eastAsiaTheme="minorEastAsia" w:hAnsiTheme="minorEastAsia"/>
        </w:rPr>
      </w:sdtEndPr>
      <w:sdtContent>
        <w:p w14:paraId="6B0A683B" w14:textId="77777777" w:rsidR="005E000F" w:rsidRDefault="00000000">
          <w:pPr>
            <w:widowControl w:val="0"/>
            <w:spacing w:line="360" w:lineRule="auto"/>
            <w:ind w:firstLineChars="200" w:firstLine="420"/>
            <w:jc w:val="both"/>
            <w:rPr>
              <w:rFonts w:asciiTheme="minorEastAsia" w:eastAsiaTheme="minorEastAsia" w:hAnsiTheme="minorEastAsia"/>
            </w:rPr>
          </w:pPr>
          <w:r>
            <w:rPr>
              <w:rFonts w:asciiTheme="minorEastAsia" w:eastAsiaTheme="minorEastAsia" w:hAnsiTheme="minorEastAsia" w:hint="eastAsia"/>
            </w:rPr>
            <w:t>在管理和专业技术人员培训方面，全年紧扣公司高质量发展和现代化建设需要，以基本培训为牵引，突出主题主线，强化政治训练，精准履职赋能，全面提升人员素质和能力，总部层面全年共组织各类培训</w:t>
          </w:r>
          <w:r>
            <w:rPr>
              <w:rFonts w:asciiTheme="minorEastAsia" w:eastAsiaTheme="minorEastAsia" w:hAnsiTheme="minorEastAsia"/>
            </w:rPr>
            <w:t>3.0</w:t>
          </w:r>
          <w:r>
            <w:rPr>
              <w:rFonts w:asciiTheme="minorEastAsia" w:eastAsiaTheme="minorEastAsia" w:hAnsiTheme="minorEastAsia" w:hint="eastAsia"/>
            </w:rPr>
            <w:t>万人次。</w:t>
          </w:r>
          <w:r>
            <w:rPr>
              <w:rFonts w:asciiTheme="minorEastAsia" w:eastAsiaTheme="minorEastAsia" w:hAnsiTheme="minorEastAsia" w:hint="eastAsia"/>
              <w:b/>
            </w:rPr>
            <w:t>一是</w:t>
          </w:r>
          <w:r>
            <w:rPr>
              <w:rFonts w:asciiTheme="minorEastAsia" w:eastAsiaTheme="minorEastAsia" w:hAnsiTheme="minorEastAsia"/>
            </w:rPr>
            <w:t>聚焦理论</w:t>
          </w:r>
          <w:proofErr w:type="gramStart"/>
          <w:r>
            <w:rPr>
              <w:rFonts w:asciiTheme="minorEastAsia" w:eastAsiaTheme="minorEastAsia" w:hAnsiTheme="minorEastAsia"/>
            </w:rPr>
            <w:t>武装全</w:t>
          </w:r>
          <w:proofErr w:type="gramEnd"/>
          <w:r>
            <w:rPr>
              <w:rFonts w:asciiTheme="minorEastAsia" w:eastAsiaTheme="minorEastAsia" w:hAnsiTheme="minorEastAsia"/>
            </w:rPr>
            <w:t>覆盖，</w:t>
          </w:r>
          <w:r>
            <w:rPr>
              <w:rFonts w:asciiTheme="minorEastAsia" w:eastAsiaTheme="minorEastAsia" w:hAnsiTheme="minorEastAsia" w:hint="eastAsia"/>
            </w:rPr>
            <w:t>实施“一把手”政治能力提升“领航”、领导人员</w:t>
          </w:r>
          <w:proofErr w:type="gramStart"/>
          <w:r>
            <w:rPr>
              <w:rFonts w:asciiTheme="minorEastAsia" w:eastAsiaTheme="minorEastAsia" w:hAnsiTheme="minorEastAsia" w:hint="eastAsia"/>
            </w:rPr>
            <w:t>履</w:t>
          </w:r>
          <w:proofErr w:type="gramEnd"/>
          <w:r>
            <w:rPr>
              <w:rFonts w:asciiTheme="minorEastAsia" w:eastAsiaTheme="minorEastAsia" w:hAnsiTheme="minorEastAsia" w:hint="eastAsia"/>
            </w:rPr>
            <w:t>职能力强化“续航”轮训，组织全体领导人员接受系统理论教育。将党的创新理论教育专题模块嵌入总部级各类培训班次，采取集中教育和经常性教育相结合、线下线上相融合等方式，实现党员、管理人员应训尽训。</w:t>
          </w:r>
          <w:r>
            <w:rPr>
              <w:rFonts w:asciiTheme="minorEastAsia" w:eastAsiaTheme="minorEastAsia" w:hAnsiTheme="minorEastAsia" w:hint="eastAsia"/>
              <w:b/>
            </w:rPr>
            <w:t>二是</w:t>
          </w:r>
          <w:r>
            <w:rPr>
              <w:rFonts w:asciiTheme="minorEastAsia" w:eastAsiaTheme="minorEastAsia" w:hAnsiTheme="minorEastAsia" w:hint="eastAsia"/>
            </w:rPr>
            <w:t>聚焦年轻管理人员思想淬炼，办好“青”字号精品班次，强化年轻管理人员政治素质提升和专业赋能。</w:t>
          </w:r>
          <w:r>
            <w:rPr>
              <w:rFonts w:asciiTheme="minorEastAsia" w:eastAsiaTheme="minorEastAsia" w:hAnsiTheme="minorEastAsia" w:hint="eastAsia"/>
              <w:b/>
            </w:rPr>
            <w:t>三是</w:t>
          </w:r>
          <w:r>
            <w:rPr>
              <w:rFonts w:asciiTheme="minorEastAsia" w:eastAsiaTheme="minorEastAsia" w:hAnsiTheme="minorEastAsia" w:hint="eastAsia"/>
            </w:rPr>
            <w:t>聚焦</w:t>
          </w:r>
          <w:proofErr w:type="gramStart"/>
          <w:r>
            <w:rPr>
              <w:rFonts w:asciiTheme="minorEastAsia" w:eastAsiaTheme="minorEastAsia" w:hAnsiTheme="minorEastAsia" w:hint="eastAsia"/>
            </w:rPr>
            <w:t>履</w:t>
          </w:r>
          <w:proofErr w:type="gramEnd"/>
          <w:r>
            <w:rPr>
              <w:rFonts w:asciiTheme="minorEastAsia" w:eastAsiaTheme="minorEastAsia" w:hAnsiTheme="minorEastAsia" w:hint="eastAsia"/>
            </w:rPr>
            <w:t>职能力精准赋能，紧扣安全生产和经营需求，分类精准开展</w:t>
          </w:r>
          <w:proofErr w:type="gramStart"/>
          <w:r>
            <w:rPr>
              <w:rFonts w:asciiTheme="minorEastAsia" w:eastAsiaTheme="minorEastAsia" w:hAnsiTheme="minorEastAsia" w:hint="eastAsia"/>
            </w:rPr>
            <w:t>履</w:t>
          </w:r>
          <w:proofErr w:type="gramEnd"/>
          <w:r>
            <w:rPr>
              <w:rFonts w:asciiTheme="minorEastAsia" w:eastAsiaTheme="minorEastAsia" w:hAnsiTheme="minorEastAsia" w:hint="eastAsia"/>
            </w:rPr>
            <w:t>职能力培训。围绕铁路高质量发展和现代化建设，举办消防安全管理、法律事务管理等培训班</w:t>
          </w:r>
          <w:r>
            <w:rPr>
              <w:rFonts w:asciiTheme="minorEastAsia" w:eastAsiaTheme="minorEastAsia" w:hAnsiTheme="minorEastAsia"/>
            </w:rPr>
            <w:t>50期；围绕巩固重载技术优势，实施骨干人才知识更新工程，举办11期重载安全、重载技术等专题培训班</w:t>
          </w:r>
          <w:r>
            <w:rPr>
              <w:rFonts w:asciiTheme="minorEastAsia" w:eastAsiaTheme="minorEastAsia" w:hAnsiTheme="minorEastAsia" w:hint="eastAsia"/>
            </w:rPr>
            <w:t>；围绕</w:t>
          </w:r>
          <w:r>
            <w:rPr>
              <w:rFonts w:asciiTheme="minorEastAsia" w:eastAsiaTheme="minorEastAsia" w:hAnsiTheme="minorEastAsia"/>
            </w:rPr>
            <w:t>推动运输组织变革、推进铁路装备技术现代化，分领域举办货运营销、机务运用等专业赋能培训班36期</w:t>
          </w:r>
          <w:r>
            <w:rPr>
              <w:rFonts w:asciiTheme="minorEastAsia" w:eastAsiaTheme="minorEastAsia" w:hAnsiTheme="minorEastAsia" w:hint="eastAsia"/>
            </w:rPr>
            <w:t>；</w:t>
          </w:r>
          <w:r>
            <w:rPr>
              <w:rFonts w:asciiTheme="minorEastAsia" w:eastAsiaTheme="minorEastAsia" w:hAnsiTheme="minorEastAsia"/>
            </w:rPr>
            <w:t>按照“理论+实务”培训模式，开展任职资格培训及岗位轮训，分系统开展高铁在岗人员和储备人员资格准入及岗位适应性培训10期。</w:t>
          </w:r>
        </w:p>
        <w:p w14:paraId="094D94B3" w14:textId="77777777" w:rsidR="005E000F" w:rsidRDefault="00000000">
          <w:pPr>
            <w:widowControl w:val="0"/>
            <w:spacing w:line="360" w:lineRule="auto"/>
            <w:ind w:firstLineChars="200" w:firstLine="420"/>
            <w:jc w:val="both"/>
            <w:rPr>
              <w:rFonts w:asciiTheme="minorEastAsia" w:eastAsiaTheme="minorEastAsia" w:hAnsiTheme="minorEastAsia"/>
            </w:rPr>
          </w:pPr>
          <w:r>
            <w:rPr>
              <w:rFonts w:asciiTheme="minorEastAsia" w:eastAsiaTheme="minorEastAsia" w:hAnsiTheme="minorEastAsia" w:hint="eastAsia"/>
            </w:rPr>
            <w:t>在操作技能人员培训方面，以全面提升员工思想素质、职业素养、技术技能水平为目标，持续实施“启航、续航、领航、远航”素质提升计划，总部层面全</w:t>
          </w:r>
          <w:r>
            <w:rPr>
              <w:rFonts w:asciiTheme="minorEastAsia" w:eastAsiaTheme="minorEastAsia" w:hAnsiTheme="minorEastAsia"/>
            </w:rPr>
            <w:t>年</w:t>
          </w:r>
          <w:r>
            <w:rPr>
              <w:rFonts w:asciiTheme="minorEastAsia" w:eastAsiaTheme="minorEastAsia" w:hAnsiTheme="minorEastAsia" w:hint="eastAsia"/>
            </w:rPr>
            <w:t>共组织</w:t>
          </w:r>
          <w:r>
            <w:rPr>
              <w:rFonts w:asciiTheme="minorEastAsia" w:eastAsiaTheme="minorEastAsia" w:hAnsiTheme="minorEastAsia"/>
            </w:rPr>
            <w:t>资格性、适应性培训2</w:t>
          </w:r>
          <w:r>
            <w:rPr>
              <w:rFonts w:asciiTheme="minorEastAsia" w:eastAsiaTheme="minorEastAsia" w:hAnsiTheme="minorEastAsia" w:hint="eastAsia"/>
            </w:rPr>
            <w:t>.</w:t>
          </w:r>
          <w:r>
            <w:rPr>
              <w:rFonts w:asciiTheme="minorEastAsia" w:eastAsiaTheme="minorEastAsia" w:hAnsiTheme="minorEastAsia"/>
            </w:rPr>
            <w:t>9</w:t>
          </w:r>
          <w:r>
            <w:rPr>
              <w:rFonts w:asciiTheme="minorEastAsia" w:eastAsiaTheme="minorEastAsia" w:hAnsiTheme="minorEastAsia" w:hint="eastAsia"/>
            </w:rPr>
            <w:t>万人</w:t>
          </w:r>
          <w:r>
            <w:rPr>
              <w:rFonts w:asciiTheme="minorEastAsia" w:eastAsiaTheme="minorEastAsia" w:hAnsiTheme="minorEastAsia"/>
            </w:rPr>
            <w:t>次。</w:t>
          </w:r>
          <w:r>
            <w:rPr>
              <w:rFonts w:asciiTheme="minorEastAsia" w:eastAsiaTheme="minorEastAsia" w:hAnsiTheme="minorEastAsia" w:hint="eastAsia"/>
              <w:b/>
            </w:rPr>
            <w:t>一是</w:t>
          </w:r>
          <w:r>
            <w:rPr>
              <w:rFonts w:asciiTheme="minorEastAsia" w:eastAsiaTheme="minorEastAsia" w:hAnsiTheme="minorEastAsia" w:hint="eastAsia"/>
            </w:rPr>
            <w:t>“启航”培训</w:t>
          </w:r>
          <w:proofErr w:type="gramStart"/>
          <w:r>
            <w:rPr>
              <w:rFonts w:asciiTheme="minorEastAsia" w:eastAsiaTheme="minorEastAsia" w:hAnsiTheme="minorEastAsia" w:hint="eastAsia"/>
            </w:rPr>
            <w:t>盯</w:t>
          </w:r>
          <w:proofErr w:type="gramEnd"/>
          <w:r>
            <w:rPr>
              <w:rFonts w:asciiTheme="minorEastAsia" w:eastAsiaTheme="minorEastAsia" w:hAnsiTheme="minorEastAsia" w:hint="eastAsia"/>
            </w:rPr>
            <w:t>入口，牢牢把住新入职人员任职资格准入关。深化思想政治、职业素养、法治观念、职业健康、榜样</w:t>
          </w:r>
          <w:proofErr w:type="gramStart"/>
          <w:r>
            <w:rPr>
              <w:rFonts w:asciiTheme="minorEastAsia" w:eastAsiaTheme="minorEastAsia" w:hAnsiTheme="minorEastAsia" w:hint="eastAsia"/>
            </w:rPr>
            <w:t>引领五</w:t>
          </w:r>
          <w:proofErr w:type="gramEnd"/>
          <w:r>
            <w:rPr>
              <w:rFonts w:asciiTheme="minorEastAsia" w:eastAsiaTheme="minorEastAsia" w:hAnsiTheme="minorEastAsia" w:hint="eastAsia"/>
            </w:rPr>
            <w:t>维教育，着重提升综合素养；开展军事体能训练，有效衔接培训内容与岗位需求；</w:t>
          </w:r>
          <w:r>
            <w:rPr>
              <w:rFonts w:asciiTheme="minorEastAsia" w:eastAsiaTheme="minorEastAsia" w:hAnsiTheme="minorEastAsia"/>
            </w:rPr>
            <w:t>采用“校企合作”方式，利用实训基地开展差异化培训。</w:t>
          </w:r>
          <w:r>
            <w:rPr>
              <w:rFonts w:asciiTheme="minorEastAsia" w:eastAsiaTheme="minorEastAsia" w:hAnsiTheme="minorEastAsia" w:hint="eastAsia"/>
              <w:b/>
            </w:rPr>
            <w:t>二是</w:t>
          </w:r>
          <w:r>
            <w:rPr>
              <w:rFonts w:asciiTheme="minorEastAsia" w:eastAsiaTheme="minorEastAsia" w:hAnsiTheme="minorEastAsia"/>
            </w:rPr>
            <w:t>“续航”培训带全员，持续巩固在岗人员技能。</w:t>
          </w:r>
          <w:r>
            <w:rPr>
              <w:rFonts w:asciiTheme="minorEastAsia" w:eastAsiaTheme="minorEastAsia" w:hAnsiTheme="minorEastAsia" w:hint="eastAsia"/>
            </w:rPr>
            <w:t>分层组织、分类管理，采用脱产培训和集中培训累计的方式，扎实完成</w:t>
          </w:r>
          <w:r>
            <w:rPr>
              <w:rFonts w:asciiTheme="minorEastAsia" w:eastAsiaTheme="minorEastAsia" w:hAnsiTheme="minorEastAsia"/>
            </w:rPr>
            <w:t>主要行车工种人员轮训。各单位紧扣季节性需求，充分发挥三级培训网络作用，利用慕课、</w:t>
          </w:r>
          <w:proofErr w:type="gramStart"/>
          <w:r>
            <w:rPr>
              <w:rFonts w:asciiTheme="minorEastAsia" w:eastAsiaTheme="minorEastAsia" w:hAnsiTheme="minorEastAsia"/>
            </w:rPr>
            <w:t>主播室多方式</w:t>
          </w:r>
          <w:proofErr w:type="gramEnd"/>
          <w:r>
            <w:rPr>
              <w:rFonts w:asciiTheme="minorEastAsia" w:eastAsiaTheme="minorEastAsia" w:hAnsiTheme="minorEastAsia"/>
            </w:rPr>
            <w:t>完成劳动安全、春运、防洪、防寒等适应性培训26万余人次，4次调</w:t>
          </w:r>
          <w:proofErr w:type="gramStart"/>
          <w:r>
            <w:rPr>
              <w:rFonts w:asciiTheme="minorEastAsia" w:eastAsiaTheme="minorEastAsia" w:hAnsiTheme="minorEastAsia"/>
            </w:rPr>
            <w:t>图培训</w:t>
          </w:r>
          <w:proofErr w:type="gramEnd"/>
          <w:r>
            <w:rPr>
              <w:rFonts w:asciiTheme="minorEastAsia" w:eastAsiaTheme="minorEastAsia" w:hAnsiTheme="minorEastAsia"/>
            </w:rPr>
            <w:t>覆盖11万余人次，确保全员持证上岗</w:t>
          </w:r>
          <w:r>
            <w:rPr>
              <w:rFonts w:asciiTheme="minorEastAsia" w:eastAsiaTheme="minorEastAsia" w:hAnsiTheme="minorEastAsia" w:hint="eastAsia"/>
            </w:rPr>
            <w:t>。</w:t>
          </w:r>
          <w:r>
            <w:rPr>
              <w:rFonts w:asciiTheme="minorEastAsia" w:eastAsiaTheme="minorEastAsia" w:hAnsiTheme="minorEastAsia" w:hint="eastAsia"/>
              <w:b/>
            </w:rPr>
            <w:t>三是</w:t>
          </w:r>
          <w:r>
            <w:rPr>
              <w:rFonts w:asciiTheme="minorEastAsia" w:eastAsiaTheme="minorEastAsia" w:hAnsiTheme="minorEastAsia"/>
            </w:rPr>
            <w:t>“领航”培训强“骨干”，示范引领立标杆。</w:t>
          </w:r>
          <w:r>
            <w:rPr>
              <w:rFonts w:asciiTheme="minorEastAsia" w:eastAsiaTheme="minorEastAsia" w:hAnsiTheme="minorEastAsia" w:hint="eastAsia"/>
            </w:rPr>
            <w:t>实施</w:t>
          </w:r>
          <w:r>
            <w:rPr>
              <w:rFonts w:asciiTheme="minorEastAsia" w:eastAsiaTheme="minorEastAsia" w:hAnsiTheme="minorEastAsia"/>
            </w:rPr>
            <w:t>35岁以下青工三年培育规划，以“校企合作+岗位练兵+名师带徒”为手段，锚定“筑基”解决“会不会”、“提素”解决“精不精”、“培优”解决“强不强”，</w:t>
          </w:r>
          <w:r>
            <w:rPr>
              <w:rFonts w:asciiTheme="minorEastAsia" w:eastAsiaTheme="minorEastAsia" w:hAnsiTheme="minorEastAsia" w:hint="eastAsia"/>
            </w:rPr>
            <w:t>推动青工技能培训稳步强化。</w:t>
          </w:r>
          <w:r>
            <w:rPr>
              <w:rFonts w:asciiTheme="minorEastAsia" w:eastAsiaTheme="minorEastAsia" w:hAnsiTheme="minorEastAsia"/>
            </w:rPr>
            <w:lastRenderedPageBreak/>
            <w:t>落实“先培训、后任职”要求，完成1211名拟任班组长资格培训；采用“线上大班+线下小班”模式轮训2300</w:t>
          </w:r>
          <w:r>
            <w:rPr>
              <w:rFonts w:asciiTheme="minorEastAsia" w:eastAsiaTheme="minorEastAsia" w:hAnsiTheme="minorEastAsia" w:hint="eastAsia"/>
            </w:rPr>
            <w:t>名现职班组长</w:t>
          </w:r>
          <w:r>
            <w:rPr>
              <w:rFonts w:asciiTheme="minorEastAsia" w:eastAsiaTheme="minorEastAsia" w:hAnsiTheme="minorEastAsia"/>
            </w:rPr>
            <w:t>，</w:t>
          </w:r>
          <w:r>
            <w:rPr>
              <w:rFonts w:asciiTheme="minorEastAsia" w:eastAsiaTheme="minorEastAsia" w:hAnsiTheme="minorEastAsia" w:hint="eastAsia"/>
            </w:rPr>
            <w:t>促进</w:t>
          </w:r>
          <w:r>
            <w:rPr>
              <w:rFonts w:asciiTheme="minorEastAsia" w:eastAsiaTheme="minorEastAsia" w:hAnsiTheme="minorEastAsia"/>
            </w:rPr>
            <w:t>现场管理与问题解决能力得到显著提升。</w:t>
          </w:r>
          <w:r>
            <w:rPr>
              <w:rFonts w:asciiTheme="minorEastAsia" w:eastAsiaTheme="minorEastAsia" w:hAnsiTheme="minorEastAsia" w:hint="eastAsia"/>
              <w:b/>
            </w:rPr>
            <w:t>四是</w:t>
          </w:r>
          <w:r>
            <w:rPr>
              <w:rFonts w:asciiTheme="minorEastAsia" w:eastAsiaTheme="minorEastAsia" w:hAnsiTheme="minorEastAsia"/>
            </w:rPr>
            <w:t>“远航”培训拔“尖子”，培养打造高精尖。</w:t>
          </w:r>
          <w:r>
            <w:rPr>
              <w:rFonts w:asciiTheme="minorEastAsia" w:eastAsiaTheme="minorEastAsia" w:hAnsiTheme="minorEastAsia" w:hint="eastAsia"/>
            </w:rPr>
            <w:t>以打造技术尖子、行业能手为目标，推进“劳模工匠进讲堂</w:t>
          </w:r>
          <w:r>
            <w:rPr>
              <w:rFonts w:asciiTheme="minorEastAsia" w:eastAsiaTheme="minorEastAsia" w:hAnsiTheme="minorEastAsia"/>
            </w:rPr>
            <w:t>+”活动，聘请规章“一口清”</w:t>
          </w:r>
          <w:r>
            <w:rPr>
              <w:rFonts w:asciiTheme="minorEastAsia" w:eastAsiaTheme="minorEastAsia" w:hAnsiTheme="minorEastAsia" w:hint="eastAsia"/>
            </w:rPr>
            <w:t>、</w:t>
          </w:r>
          <w:r>
            <w:rPr>
              <w:rFonts w:asciiTheme="minorEastAsia" w:eastAsiaTheme="minorEastAsia" w:hAnsiTheme="minorEastAsia"/>
            </w:rPr>
            <w:t>技能“一手精”的全国劳动模范</w:t>
          </w:r>
          <w:r>
            <w:rPr>
              <w:rFonts w:asciiTheme="minorEastAsia" w:eastAsiaTheme="minorEastAsia" w:hAnsiTheme="minorEastAsia" w:hint="eastAsia"/>
            </w:rPr>
            <w:t>，以及</w:t>
          </w:r>
          <w:r>
            <w:rPr>
              <w:rFonts w:asciiTheme="minorEastAsia" w:eastAsiaTheme="minorEastAsia" w:hAnsiTheme="minorEastAsia"/>
            </w:rPr>
            <w:t>全路技术能手开展“+榜样引领薪火传”“+答疑解惑破难题”等交流研讨活动，通过传经送宝的方式，与青工骨干和技师现场交流，不断培优拔高，组织技师研修785人，组织1409名优秀青工“名师带徒”，打造一支攻坚克难的高技能人才队伍。</w:t>
          </w:r>
        </w:p>
      </w:sdtContent>
    </w:sdt>
    <w:p w14:paraId="004E54D9" w14:textId="77777777" w:rsidR="005E000F" w:rsidRDefault="00000000">
      <w:pPr>
        <w:pStyle w:val="3"/>
        <w:numPr>
          <w:ilvl w:val="0"/>
          <w:numId w:val="25"/>
        </w:numPr>
        <w:ind w:left="420" w:hanging="420"/>
        <w:rPr>
          <w:szCs w:val="21"/>
        </w:rPr>
      </w:pPr>
      <w:bookmarkStart w:id="117" w:name="_Hlk184285495"/>
      <w:r>
        <w:rPr>
          <w:szCs w:val="21"/>
        </w:rPr>
        <w:t>劳务外包情况</w:t>
      </w:r>
    </w:p>
    <w:sdt>
      <w:sdtPr>
        <w:alias w:val="是否适用：劳务外包情况[双击切换]"/>
        <w:tag w:val="_GBC_7647f15955ca4a4f9916c280d684fbc0"/>
        <w:id w:val="991605925"/>
        <w:placeholder>
          <w:docPart w:val="GBC22222222222222222222222222222"/>
        </w:placeholder>
      </w:sdtPr>
      <w:sdtContent>
        <w:p w14:paraId="5819B6B0"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17"/>
    <w:p w14:paraId="6D825E12" w14:textId="77777777" w:rsidR="005E000F" w:rsidRDefault="00000000">
      <w:pPr>
        <w:pStyle w:val="2"/>
        <w:numPr>
          <w:ilvl w:val="0"/>
          <w:numId w:val="20"/>
        </w:numPr>
        <w:ind w:left="450" w:hanging="450"/>
      </w:pPr>
      <w:r>
        <w:t>利润分配或资本公积金转增预案</w:t>
      </w:r>
    </w:p>
    <w:p w14:paraId="3D5FC27D" w14:textId="77777777" w:rsidR="005E000F" w:rsidRDefault="00000000">
      <w:pPr>
        <w:pStyle w:val="3"/>
        <w:numPr>
          <w:ilvl w:val="0"/>
          <w:numId w:val="26"/>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352800550"/>
        <w:placeholder>
          <w:docPart w:val="GBC22222222222222222222222222222"/>
        </w:placeholder>
      </w:sdtPr>
      <w:sdtContent>
        <w:p w14:paraId="1DB50942"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现金分红政策的执行情况"/>
        <w:tag w:val="_GBC_0ba57968760941749cc2f420644f2599"/>
        <w:id w:val="-1759903832"/>
        <w:placeholder>
          <w:docPart w:val="GBC22222222222222222222222222222"/>
        </w:placeholder>
      </w:sdtPr>
      <w:sdtContent>
        <w:sdt>
          <w:sdtPr>
            <w:alias w:val="现金分红政策的执行情况"/>
            <w:tag w:val="_GBC_0ba57968760941749cc2f420644f2599"/>
            <w:id w:val="1587959825"/>
            <w:placeholder>
              <w:docPart w:val="BE7F99FF1C064B0FB2FA2ACEA981A4AA"/>
            </w:placeholder>
          </w:sdtPr>
          <w:sdtContent>
            <w:p w14:paraId="4530E645" w14:textId="77777777" w:rsidR="005E000F" w:rsidRDefault="00000000">
              <w:pPr>
                <w:spacing w:line="360" w:lineRule="auto"/>
                <w:ind w:firstLineChars="200" w:firstLine="420"/>
                <w:jc w:val="both"/>
              </w:pPr>
              <w:r>
                <w:rPr>
                  <w:rFonts w:hint="eastAsia"/>
                </w:rPr>
                <w:t>为进一步完善公司治理，强化公司规范化运作水平，切实保护广大股东的利益。</w:t>
              </w:r>
              <w:r>
                <w:rPr>
                  <w:rFonts w:hint="eastAsia"/>
                </w:rPr>
                <w:t>2024</w:t>
              </w:r>
              <w:r>
                <w:rPr>
                  <w:rFonts w:hint="eastAsia"/>
                </w:rPr>
                <w:t>年</w:t>
              </w:r>
              <w:r>
                <w:rPr>
                  <w:rFonts w:hint="eastAsia"/>
                </w:rPr>
                <w:t>4</w:t>
              </w:r>
              <w:r>
                <w:rPr>
                  <w:rFonts w:hint="eastAsia"/>
                </w:rPr>
                <w:t>月，根据中国证监会</w:t>
              </w:r>
              <w:r>
                <w:rPr>
                  <w:rFonts w:hint="eastAsia"/>
                </w:rPr>
                <w:t>2023</w:t>
              </w:r>
              <w:r>
                <w:rPr>
                  <w:rFonts w:hint="eastAsia"/>
                </w:rPr>
                <w:t>年新修订的《上市公司章程指引》《上市公司独立董事管理办法》</w:t>
              </w:r>
              <w:r>
                <w:t>等</w:t>
              </w:r>
              <w:r>
                <w:rPr>
                  <w:rFonts w:hint="eastAsia"/>
                </w:rPr>
                <w:t>法律</w:t>
              </w:r>
              <w:r>
                <w:t>法规</w:t>
              </w:r>
              <w:r>
                <w:rPr>
                  <w:rFonts w:hint="eastAsia"/>
                </w:rPr>
                <w:t>相关</w:t>
              </w:r>
              <w:r>
                <w:t>要求</w:t>
              </w:r>
              <w:r>
                <w:rPr>
                  <w:rFonts w:hint="eastAsia"/>
                </w:rPr>
                <w:t>，</w:t>
              </w:r>
              <w:r>
                <w:t>对《</w:t>
              </w:r>
              <w:r>
                <w:rPr>
                  <w:rFonts w:hint="eastAsia"/>
                </w:rPr>
                <w:t>大秦铁路股份有限</w:t>
              </w:r>
              <w:r>
                <w:t>公司章程》进行修</w:t>
              </w:r>
              <w:r>
                <w:rPr>
                  <w:rFonts w:hint="eastAsia"/>
                </w:rPr>
                <w:t>订。有关利润分配的条款中增加了“原则上公司按年度进行利润分配，有条件时，可以进行中期利润分配。股东会可以授权董事会，在符合利润分配的条件下制定中期利润分配方案”等相关描述。</w:t>
              </w:r>
              <w:r>
                <w:t>本次章程修订经公司</w:t>
              </w:r>
              <w:r>
                <w:rPr>
                  <w:rFonts w:hint="eastAsia"/>
                </w:rPr>
                <w:t>七</w:t>
              </w:r>
              <w:r>
                <w:t>届</w:t>
              </w:r>
              <w:r>
                <w:rPr>
                  <w:rFonts w:hint="eastAsia"/>
                </w:rPr>
                <w:t>五</w:t>
              </w:r>
              <w:r>
                <w:t>次董事会和</w:t>
              </w:r>
              <w:r>
                <w:t>20</w:t>
              </w:r>
              <w:r>
                <w:rPr>
                  <w:rFonts w:hint="eastAsia"/>
                </w:rPr>
                <w:t>23</w:t>
              </w:r>
              <w:r>
                <w:t>年年度股东会审议通过。</w:t>
              </w:r>
            </w:p>
            <w:p w14:paraId="7FFEAEDE" w14:textId="77777777" w:rsidR="005E000F" w:rsidRDefault="00000000">
              <w:pPr>
                <w:spacing w:line="360" w:lineRule="auto"/>
                <w:ind w:firstLineChars="200" w:firstLine="420"/>
                <w:jc w:val="both"/>
              </w:pPr>
              <w:r>
                <w:rPr>
                  <w:rFonts w:hint="eastAsia"/>
                </w:rPr>
                <w:t>公司制定的现金分红政策、分红标准和比例明确、清晰，相关决策程序和机制完备，中小股东的合法权益得到充分维护。</w:t>
              </w:r>
            </w:p>
            <w:p w14:paraId="688777A0" w14:textId="77777777" w:rsidR="005E000F" w:rsidRDefault="00000000">
              <w:pPr>
                <w:spacing w:line="360" w:lineRule="auto"/>
                <w:ind w:firstLineChars="200" w:firstLine="420"/>
                <w:jc w:val="both"/>
              </w:pPr>
              <w:r>
                <w:rPr>
                  <w:rFonts w:hint="eastAsia"/>
                </w:rPr>
                <w:t>公司连续多年实施稳定的现金分红，积极回报投资者，以实际行动回馈股东，使股东分享企业的经营成果。报告期内，公司实施了</w:t>
              </w:r>
              <w:r>
                <w:t>202</w:t>
              </w:r>
              <w:r>
                <w:rPr>
                  <w:rFonts w:hint="eastAsia"/>
                </w:rPr>
                <w:t>4</w:t>
              </w:r>
              <w:r>
                <w:t>年</w:t>
              </w:r>
              <w:r>
                <w:rPr>
                  <w:rFonts w:hint="eastAsia"/>
                </w:rPr>
                <w:t>末期</w:t>
              </w:r>
              <w:r>
                <w:t>利润分配工作。内容详见</w:t>
              </w:r>
              <w:r>
                <w:t>202</w:t>
              </w:r>
              <w:r>
                <w:rPr>
                  <w:rFonts w:hint="eastAsia"/>
                </w:rPr>
                <w:t>5</w:t>
              </w:r>
              <w:r>
                <w:t>年</w:t>
              </w:r>
              <w:r>
                <w:rPr>
                  <w:rFonts w:hint="eastAsia"/>
                </w:rPr>
                <w:t>7</w:t>
              </w:r>
              <w:r>
                <w:t>月</w:t>
              </w:r>
              <w:r>
                <w:rPr>
                  <w:rFonts w:hint="eastAsia"/>
                </w:rPr>
                <w:t>4</w:t>
              </w:r>
              <w:r>
                <w:t>日登载于上海证券交易所网站及相关媒体的</w:t>
              </w:r>
              <w:r>
                <w:rPr>
                  <w:rFonts w:hint="eastAsia"/>
                </w:rPr>
                <w:t>《</w:t>
              </w:r>
              <w:r>
                <w:t>大秦铁路股份有限公司</w:t>
              </w:r>
              <w:r>
                <w:t>202</w:t>
              </w:r>
              <w:r>
                <w:rPr>
                  <w:rFonts w:hint="eastAsia"/>
                </w:rPr>
                <w:t>4</w:t>
              </w:r>
              <w:r>
                <w:t>年</w:t>
              </w:r>
              <w:r>
                <w:rPr>
                  <w:rFonts w:hint="eastAsia"/>
                </w:rPr>
                <w:t>末期</w:t>
              </w:r>
              <w:r>
                <w:t>权益分派实施</w:t>
              </w:r>
              <w:r>
                <w:rPr>
                  <w:rFonts w:hint="eastAsia"/>
                </w:rPr>
                <w:t>公</w:t>
              </w:r>
              <w:r>
                <w:t>告》。</w:t>
              </w:r>
            </w:p>
            <w:p w14:paraId="3005346E" w14:textId="77777777" w:rsidR="005E000F" w:rsidRDefault="00000000">
              <w:pPr>
                <w:shd w:val="clear" w:color="auto" w:fill="FFFFFF"/>
                <w:spacing w:line="360" w:lineRule="auto"/>
                <w:ind w:firstLineChars="200" w:firstLine="420"/>
                <w:jc w:val="both"/>
              </w:pPr>
              <w:r>
                <w:rPr>
                  <w:rFonts w:hint="eastAsia"/>
                </w:rPr>
                <w:t>此外，根据年度股东会授权和董事会制定的</w:t>
              </w:r>
              <w:r>
                <w:t>半年度</w:t>
              </w:r>
              <w:r>
                <w:rPr>
                  <w:rFonts w:hint="eastAsia"/>
                </w:rPr>
                <w:t>利润分配方案，于</w:t>
              </w:r>
              <w:r>
                <w:rPr>
                  <w:rFonts w:hint="eastAsia"/>
                </w:rPr>
                <w:t>2025</w:t>
              </w:r>
              <w:r>
                <w:rPr>
                  <w:rFonts w:hint="eastAsia"/>
                </w:rPr>
                <w:t>年</w:t>
              </w:r>
              <w:r>
                <w:rPr>
                  <w:rFonts w:hint="eastAsia"/>
                </w:rPr>
                <w:t>10</w:t>
              </w:r>
              <w:r>
                <w:rPr>
                  <w:rFonts w:hint="eastAsia"/>
                </w:rPr>
                <w:t>月实施了</w:t>
              </w:r>
              <w:r>
                <w:rPr>
                  <w:rFonts w:hint="eastAsia"/>
                </w:rPr>
                <w:t>2025</w:t>
              </w:r>
              <w:r>
                <w:rPr>
                  <w:rFonts w:hint="eastAsia"/>
                </w:rPr>
                <w:t>年中期利润分配工作。</w:t>
              </w:r>
              <w:r>
                <w:t>内容详见</w:t>
              </w:r>
              <w:r>
                <w:t>202</w:t>
              </w:r>
              <w:r>
                <w:rPr>
                  <w:rFonts w:hint="eastAsia"/>
                </w:rPr>
                <w:t>5</w:t>
              </w:r>
              <w:r>
                <w:t>年</w:t>
              </w:r>
              <w:r>
                <w:rPr>
                  <w:rFonts w:hint="eastAsia"/>
                </w:rPr>
                <w:t>10</w:t>
              </w:r>
              <w:r>
                <w:t>月</w:t>
              </w:r>
              <w:r>
                <w:rPr>
                  <w:rFonts w:hint="eastAsia"/>
                </w:rPr>
                <w:t>17</w:t>
              </w:r>
              <w:r>
                <w:t>日登载于上海证券交易所网站及相关媒体的《大秦铁路股份有限公司</w:t>
              </w:r>
              <w:r>
                <w:t>202</w:t>
              </w:r>
              <w:r>
                <w:rPr>
                  <w:rFonts w:hint="eastAsia"/>
                </w:rPr>
                <w:t>5</w:t>
              </w:r>
              <w:r>
                <w:t>年</w:t>
              </w:r>
              <w:r>
                <w:rPr>
                  <w:rFonts w:hint="eastAsia"/>
                </w:rPr>
                <w:t>半</w:t>
              </w:r>
              <w:r>
                <w:t>年度权益分派实施公告》。</w:t>
              </w:r>
            </w:p>
          </w:sdtContent>
        </w:sdt>
      </w:sdtContent>
    </w:sdt>
    <w:p w14:paraId="52B92ABD" w14:textId="77777777" w:rsidR="005E000F" w:rsidRDefault="00000000">
      <w:pPr>
        <w:pStyle w:val="3"/>
        <w:numPr>
          <w:ilvl w:val="0"/>
          <w:numId w:val="26"/>
        </w:numPr>
        <w:ind w:left="450" w:hanging="450"/>
      </w:pPr>
      <w:bookmarkStart w:id="118" w:name="_Hlk89446160"/>
      <w:r>
        <w:t>现金分红政策的专项说明</w:t>
      </w:r>
    </w:p>
    <w:sdt>
      <w:sdtPr>
        <w:alias w:val="是否适用：现金分红政策的专项说明 [双击切换]"/>
        <w:tag w:val="_GBC_715d8b6c04924cf19dcd2347ae32471f"/>
        <w:id w:val="1019429993"/>
        <w:placeholder>
          <w:docPart w:val="GBC22222222222222222222222222222"/>
        </w:placeholder>
      </w:sdtPr>
      <w:sdtContent>
        <w:p w14:paraId="24A97924"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1994"/>
      </w:tblGrid>
      <w:tr w:rsidR="005E000F" w14:paraId="53A4E0E4" w14:textId="77777777">
        <w:sdt>
          <w:sdtPr>
            <w:tag w:val="_PLD_be5b642d619e47719375899ad34c31f6"/>
            <w:id w:val="-1180730884"/>
          </w:sdtPr>
          <w:sdtContent>
            <w:tc>
              <w:tcPr>
                <w:tcW w:w="7054" w:type="dxa"/>
                <w:vAlign w:val="center"/>
              </w:tcPr>
              <w:p w14:paraId="149923CF" w14:textId="77777777" w:rsidR="005E000F" w:rsidRDefault="00000000">
                <w:r>
                  <w:rPr>
                    <w:rFonts w:hint="eastAsia"/>
                  </w:rPr>
                  <w:t>是否符合公司章程的规定或股东会决议的要求</w:t>
                </w:r>
              </w:p>
            </w:tc>
          </w:sdtContent>
        </w:sdt>
        <w:sdt>
          <w:sdtPr>
            <w:rPr>
              <w:rFonts w:asciiTheme="minorEastAsia" w:eastAsiaTheme="minorEastAsia" w:hAnsiTheme="minorEastAsia"/>
            </w:rPr>
            <w:alias w:val="是否符合公司章程的规定或股东大会决议的要求[双击切换]"/>
            <w:tag w:val="_GBC_c4c31977f51f4fa0a4f1f65cff248b5c"/>
            <w:id w:val="274605719"/>
          </w:sdtPr>
          <w:sdtContent>
            <w:tc>
              <w:tcPr>
                <w:tcW w:w="1994" w:type="dxa"/>
                <w:vAlign w:val="center"/>
              </w:tcPr>
              <w:p w14:paraId="51FF8BD9" w14:textId="77777777" w:rsidR="005E000F" w:rsidRDefault="00000000">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E000F" w14:paraId="182968AE" w14:textId="77777777">
        <w:tc>
          <w:tcPr>
            <w:tcW w:w="7054" w:type="dxa"/>
            <w:vAlign w:val="center"/>
          </w:tcPr>
          <w:p w14:paraId="77547B98" w14:textId="77777777" w:rsidR="005E000F" w:rsidRDefault="00000000">
            <w:r>
              <w:rPr>
                <w:rFonts w:hint="eastAsia"/>
              </w:rPr>
              <w:t>分红标准和比例是否明确和清晰</w:t>
            </w:r>
          </w:p>
        </w:tc>
        <w:sdt>
          <w:sdtPr>
            <w:rPr>
              <w:rFonts w:asciiTheme="minorEastAsia" w:eastAsiaTheme="minorEastAsia" w:hAnsiTheme="minorEastAsia"/>
            </w:rPr>
            <w:alias w:val="分红标准和比例是否明确和清晰[双击切换]"/>
            <w:tag w:val="_GBC_c8bbad0601c544fca3faeac3b11ee218"/>
            <w:id w:val="-1064794002"/>
          </w:sdtPr>
          <w:sdtContent>
            <w:tc>
              <w:tcPr>
                <w:tcW w:w="1994" w:type="dxa"/>
                <w:vAlign w:val="center"/>
              </w:tcPr>
              <w:p w14:paraId="7F165E37" w14:textId="77777777" w:rsidR="005E000F" w:rsidRDefault="00000000">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E000F" w14:paraId="20271E94" w14:textId="77777777">
        <w:tc>
          <w:tcPr>
            <w:tcW w:w="7054" w:type="dxa"/>
            <w:tcBorders>
              <w:top w:val="single" w:sz="4" w:space="0" w:color="auto"/>
              <w:left w:val="single" w:sz="4" w:space="0" w:color="auto"/>
              <w:bottom w:val="single" w:sz="4" w:space="0" w:color="auto"/>
              <w:right w:val="single" w:sz="4" w:space="0" w:color="auto"/>
            </w:tcBorders>
            <w:vAlign w:val="center"/>
          </w:tcPr>
          <w:p w14:paraId="07A1A911" w14:textId="77777777" w:rsidR="005E000F" w:rsidRDefault="00000000">
            <w:r>
              <w:rPr>
                <w:rFonts w:hint="eastAsia"/>
              </w:rPr>
              <w:t>相关的决策程序和机制是否完备</w:t>
            </w:r>
          </w:p>
        </w:tc>
        <w:sdt>
          <w:sdtPr>
            <w:rPr>
              <w:rFonts w:asciiTheme="minorEastAsia" w:eastAsiaTheme="minorEastAsia" w:hAnsiTheme="minorEastAsia"/>
            </w:rPr>
            <w:alias w:val="相关的决策程序和机制是否完备[双击切换]"/>
            <w:tag w:val="_GBC_b2d0d75abb6f4f14a51595902d0ad7b9"/>
            <w:id w:val="1385676876"/>
          </w:sdtPr>
          <w:sdtContent>
            <w:tc>
              <w:tcPr>
                <w:tcW w:w="1994" w:type="dxa"/>
                <w:tcBorders>
                  <w:top w:val="single" w:sz="4" w:space="0" w:color="auto"/>
                  <w:left w:val="single" w:sz="4" w:space="0" w:color="auto"/>
                  <w:bottom w:val="single" w:sz="4" w:space="0" w:color="auto"/>
                  <w:right w:val="single" w:sz="4" w:space="0" w:color="auto"/>
                </w:tcBorders>
                <w:vAlign w:val="center"/>
              </w:tcPr>
              <w:p w14:paraId="5FDF9A16" w14:textId="77777777" w:rsidR="005E000F" w:rsidRDefault="00000000">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E000F" w14:paraId="4AF24D02" w14:textId="77777777">
        <w:tc>
          <w:tcPr>
            <w:tcW w:w="7054" w:type="dxa"/>
            <w:tcBorders>
              <w:top w:val="single" w:sz="4" w:space="0" w:color="auto"/>
              <w:left w:val="single" w:sz="4" w:space="0" w:color="auto"/>
              <w:bottom w:val="single" w:sz="4" w:space="0" w:color="auto"/>
              <w:right w:val="single" w:sz="4" w:space="0" w:color="auto"/>
            </w:tcBorders>
            <w:vAlign w:val="center"/>
          </w:tcPr>
          <w:p w14:paraId="17CCCC6A" w14:textId="77777777" w:rsidR="005E000F" w:rsidRDefault="00000000">
            <w:r>
              <w:rPr>
                <w:rFonts w:hint="eastAsia"/>
              </w:rPr>
              <w:t>独立董事是否履职尽责并发挥了应有的作用</w:t>
            </w:r>
          </w:p>
        </w:tc>
        <w:sdt>
          <w:sdtPr>
            <w:rPr>
              <w:rFonts w:asciiTheme="minorEastAsia" w:eastAsiaTheme="minorEastAsia" w:hAnsiTheme="minorEastAsia"/>
            </w:rPr>
            <w:alias w:val="独立董事是否履职尽责并发挥了应有的作用[双击切换]"/>
            <w:tag w:val="_GBC_0b8d249fbcc74af893077c4c7eee16ef"/>
            <w:id w:val="-1703933480"/>
          </w:sdtPr>
          <w:sdtContent>
            <w:tc>
              <w:tcPr>
                <w:tcW w:w="1994" w:type="dxa"/>
                <w:tcBorders>
                  <w:top w:val="single" w:sz="4" w:space="0" w:color="auto"/>
                  <w:left w:val="single" w:sz="4" w:space="0" w:color="auto"/>
                  <w:bottom w:val="single" w:sz="4" w:space="0" w:color="auto"/>
                  <w:right w:val="single" w:sz="4" w:space="0" w:color="auto"/>
                </w:tcBorders>
                <w:vAlign w:val="center"/>
              </w:tcPr>
              <w:p w14:paraId="26CABE46" w14:textId="77777777" w:rsidR="005E000F" w:rsidRDefault="00000000">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r w:rsidR="005E000F" w14:paraId="75F5F9F2" w14:textId="77777777">
        <w:tc>
          <w:tcPr>
            <w:tcW w:w="7054" w:type="dxa"/>
            <w:tcBorders>
              <w:top w:val="single" w:sz="4" w:space="0" w:color="auto"/>
              <w:left w:val="single" w:sz="4" w:space="0" w:color="auto"/>
              <w:bottom w:val="single" w:sz="4" w:space="0" w:color="auto"/>
              <w:right w:val="single" w:sz="4" w:space="0" w:color="auto"/>
            </w:tcBorders>
            <w:vAlign w:val="center"/>
          </w:tcPr>
          <w:p w14:paraId="4C812DCD" w14:textId="77777777" w:rsidR="005E000F" w:rsidRDefault="00000000">
            <w:r>
              <w:rPr>
                <w:rFonts w:hint="eastAsia"/>
              </w:rPr>
              <w:t>中小股东是否有充分表达意见和诉求的机会，其合法权益是否得到了充分保护</w:t>
            </w:r>
          </w:p>
        </w:tc>
        <w:sdt>
          <w:sdtPr>
            <w:rPr>
              <w:rFonts w:asciiTheme="minorEastAsia" w:eastAsiaTheme="minorEastAsia" w:hAnsiTheme="minorEastAsia"/>
            </w:rPr>
            <w:alias w:val="中小股东是否有充分表达意见和诉求的机会，其合法权益是否得到了充分保护[双击切换]"/>
            <w:tag w:val="_GBC_827122507d054bfd80b4c5e8d243a91b"/>
            <w:id w:val="-254680070"/>
          </w:sdtPr>
          <w:sdtContent>
            <w:tc>
              <w:tcPr>
                <w:tcW w:w="1994" w:type="dxa"/>
                <w:tcBorders>
                  <w:top w:val="single" w:sz="4" w:space="0" w:color="auto"/>
                  <w:left w:val="single" w:sz="4" w:space="0" w:color="auto"/>
                  <w:bottom w:val="single" w:sz="4" w:space="0" w:color="auto"/>
                  <w:right w:val="single" w:sz="4" w:space="0" w:color="auto"/>
                </w:tcBorders>
                <w:vAlign w:val="center"/>
              </w:tcPr>
              <w:p w14:paraId="12C6F6C7" w14:textId="77777777" w:rsidR="005E000F" w:rsidRDefault="00000000">
                <w:pPr>
                  <w:jc w:val="center"/>
                  <w:rPr>
                    <w:rFonts w:asciiTheme="minorEastAsia" w:eastAsiaTheme="minorEastAsia" w:hAnsiTheme="minorEastAsia"/>
                  </w:rPr>
                </w:pP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√是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□否 </w:instrText>
                </w:r>
                <w:r>
                  <w:rPr>
                    <w:rFonts w:asciiTheme="minorEastAsia" w:eastAsiaTheme="minorEastAsia" w:hAnsiTheme="minorEastAsia"/>
                  </w:rPr>
                  <w:fldChar w:fldCharType="end"/>
                </w:r>
              </w:p>
            </w:tc>
          </w:sdtContent>
        </w:sdt>
      </w:tr>
    </w:tbl>
    <w:p w14:paraId="7882A7F4" w14:textId="77777777" w:rsidR="005E000F" w:rsidRDefault="005E000F"/>
    <w:bookmarkEnd w:id="118"/>
    <w:p w14:paraId="47724356" w14:textId="77777777" w:rsidR="005E000F" w:rsidRDefault="00000000">
      <w:pPr>
        <w:pStyle w:val="3"/>
        <w:numPr>
          <w:ilvl w:val="0"/>
          <w:numId w:val="26"/>
        </w:numPr>
        <w:ind w:left="0" w:firstLine="0"/>
      </w:pPr>
      <w:r>
        <w:rPr>
          <w:rFonts w:hint="eastAsia"/>
        </w:rPr>
        <w:lastRenderedPageBreak/>
        <w:t>报告期内</w:t>
      </w:r>
      <w:proofErr w:type="gramStart"/>
      <w:r>
        <w:rPr>
          <w:rFonts w:hint="eastAsia"/>
        </w:rPr>
        <w:t>盈利且母公司</w:t>
      </w:r>
      <w:proofErr w:type="gramEnd"/>
      <w:r>
        <w:rPr>
          <w:rFonts w:hint="eastAsia"/>
        </w:rPr>
        <w:t>可供股东分配利润为正，但未提出现金利润分配方案预案的，公司应当详细披露原因以及未分配利润的用途和使用计划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1632448157"/>
        <w:placeholder>
          <w:docPart w:val="GBC22222222222222222222222222222"/>
        </w:placeholder>
      </w:sdtPr>
      <w:sdtContent>
        <w:p w14:paraId="058E1249"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6603E68" w14:textId="77777777" w:rsidR="005E000F" w:rsidRDefault="00000000">
      <w:pPr>
        <w:pStyle w:val="3"/>
        <w:numPr>
          <w:ilvl w:val="0"/>
          <w:numId w:val="26"/>
        </w:numPr>
        <w:ind w:left="450" w:hanging="450"/>
      </w:pPr>
      <w:r>
        <w:rPr>
          <w:rFonts w:hint="eastAsia"/>
        </w:rPr>
        <w:t>本报告期利润分配及资本公积金转增股本预案</w:t>
      </w:r>
    </w:p>
    <w:sdt>
      <w:sdtPr>
        <w:alias w:val="是否适用：利润分配及资本公积金转增股本情况[双击切换]"/>
        <w:tag w:val="_GBC_495a4ba42a0f42f09a8ad4b2fade6559"/>
        <w:id w:val="-590237834"/>
        <w:placeholder>
          <w:docPart w:val="GBC22222222222222222222222222222"/>
        </w:placeholder>
      </w:sdtPr>
      <w:sdtContent>
        <w:p w14:paraId="2546E4F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BCB8325" w14:textId="77777777" w:rsidR="005E000F" w:rsidRDefault="00000000">
      <w:pPr>
        <w:jc w:val="right"/>
      </w:pPr>
      <w:r>
        <w:rPr>
          <w:rFonts w:hint="eastAsia"/>
        </w:rPr>
        <w:t>单位：</w:t>
      </w:r>
      <w:sdt>
        <w:sdtPr>
          <w:rPr>
            <w:rFonts w:hint="eastAsia"/>
          </w:rPr>
          <w:alias w:val="单位：利润分配及资本公积金转增股本情况"/>
          <w:tag w:val="_GBC_13401d941a944aa6845e12add2d0dd0e"/>
          <w:id w:val="-169954736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利润分配及资本公积金转增股本情况"/>
          <w:tag w:val="_GBC_7b66af31a51f46208037a812a69070e9"/>
          <w:id w:val="-7545058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4933"/>
        <w:gridCol w:w="4125"/>
      </w:tblGrid>
      <w:tr w:rsidR="005E000F" w14:paraId="47FB0A97" w14:textId="77777777">
        <w:trPr>
          <w:trHeight w:val="380"/>
        </w:trPr>
        <w:sdt>
          <w:sdtPr>
            <w:tag w:val="_PLD_28cd685f5155420cab6b327b3f81025e"/>
            <w:id w:val="-266309631"/>
          </w:sdtPr>
          <w:sdtContent>
            <w:tc>
              <w:tcPr>
                <w:tcW w:w="4933" w:type="dxa"/>
                <w:vAlign w:val="center"/>
              </w:tcPr>
              <w:p w14:paraId="3972F5FD" w14:textId="77777777" w:rsidR="005E000F" w:rsidRDefault="00000000">
                <w:r>
                  <w:t>每</w:t>
                </w:r>
                <w:r>
                  <w:t>10</w:t>
                </w:r>
                <w:r>
                  <w:t>股送红股数（股）</w:t>
                </w:r>
              </w:p>
            </w:tc>
          </w:sdtContent>
        </w:sdt>
        <w:sdt>
          <w:sdtPr>
            <w:alias w:val="每10股送红股数"/>
            <w:tag w:val="_GBC_58f0c45405b7481688ebf758a6c2771d"/>
            <w:id w:val="869573913"/>
          </w:sdtPr>
          <w:sdtContent>
            <w:tc>
              <w:tcPr>
                <w:tcW w:w="4125" w:type="dxa"/>
                <w:vAlign w:val="center"/>
              </w:tcPr>
              <w:p w14:paraId="0A53B2B2" w14:textId="77777777" w:rsidR="005E000F" w:rsidRDefault="00000000">
                <w:pPr>
                  <w:jc w:val="right"/>
                </w:pPr>
                <w:r>
                  <w:rPr>
                    <w:rFonts w:hint="eastAsia"/>
                  </w:rPr>
                  <w:t>0</w:t>
                </w:r>
              </w:p>
            </w:tc>
          </w:sdtContent>
        </w:sdt>
      </w:tr>
      <w:tr w:rsidR="005E000F" w14:paraId="7D766F84" w14:textId="77777777">
        <w:trPr>
          <w:trHeight w:val="340"/>
        </w:trPr>
        <w:tc>
          <w:tcPr>
            <w:tcW w:w="4933" w:type="dxa"/>
            <w:vAlign w:val="center"/>
          </w:tcPr>
          <w:p w14:paraId="04D217FA" w14:textId="77777777" w:rsidR="005E000F" w:rsidRDefault="00000000">
            <w:r>
              <w:rPr>
                <w:rFonts w:hint="eastAsia"/>
              </w:rPr>
              <w:t>每</w:t>
            </w:r>
            <w:r>
              <w:t>10</w:t>
            </w:r>
            <w:r>
              <w:rPr>
                <w:rFonts w:hint="eastAsia"/>
              </w:rPr>
              <w:t>股派息数（元）（含税）（含半年度利润分配）</w:t>
            </w:r>
          </w:p>
        </w:tc>
        <w:tc>
          <w:tcPr>
            <w:tcW w:w="4125" w:type="dxa"/>
            <w:vAlign w:val="center"/>
          </w:tcPr>
          <w:p w14:paraId="0AEE927D" w14:textId="77777777" w:rsidR="005E000F" w:rsidRDefault="00000000">
            <w:pPr>
              <w:jc w:val="right"/>
            </w:pPr>
            <w:r>
              <w:rPr>
                <w:rFonts w:hint="eastAsia"/>
              </w:rPr>
              <w:t>2.20</w:t>
            </w:r>
          </w:p>
        </w:tc>
      </w:tr>
      <w:tr w:rsidR="005E000F" w14:paraId="02C7A690" w14:textId="77777777">
        <w:trPr>
          <w:trHeight w:val="340"/>
        </w:trPr>
        <w:tc>
          <w:tcPr>
            <w:tcW w:w="4933" w:type="dxa"/>
            <w:vAlign w:val="center"/>
          </w:tcPr>
          <w:p w14:paraId="43A11E4D" w14:textId="77777777" w:rsidR="005E000F" w:rsidRDefault="00000000">
            <w:r>
              <w:rPr>
                <w:rFonts w:hint="eastAsia"/>
              </w:rPr>
              <w:t>每</w:t>
            </w:r>
            <w:r>
              <w:t>10</w:t>
            </w:r>
            <w:r>
              <w:rPr>
                <w:rFonts w:hint="eastAsia"/>
              </w:rPr>
              <w:t>股转增数（股）</w:t>
            </w:r>
          </w:p>
        </w:tc>
        <w:tc>
          <w:tcPr>
            <w:tcW w:w="4125" w:type="dxa"/>
            <w:vAlign w:val="center"/>
          </w:tcPr>
          <w:p w14:paraId="171459D9" w14:textId="77777777" w:rsidR="005E000F" w:rsidRDefault="00000000">
            <w:pPr>
              <w:jc w:val="right"/>
            </w:pPr>
            <w:r>
              <w:rPr>
                <w:rFonts w:hint="eastAsia"/>
              </w:rPr>
              <w:t>0</w:t>
            </w:r>
          </w:p>
        </w:tc>
      </w:tr>
      <w:tr w:rsidR="005E000F" w14:paraId="4E0B617A" w14:textId="77777777">
        <w:trPr>
          <w:trHeight w:val="340"/>
        </w:trPr>
        <w:tc>
          <w:tcPr>
            <w:tcW w:w="4933" w:type="dxa"/>
            <w:vAlign w:val="center"/>
          </w:tcPr>
          <w:p w14:paraId="404D95CA" w14:textId="77777777" w:rsidR="005E000F" w:rsidRDefault="00000000">
            <w:r>
              <w:rPr>
                <w:rFonts w:hint="eastAsia"/>
              </w:rPr>
              <w:t>现金分红金额（含税）（含半年度利润分配）</w:t>
            </w:r>
          </w:p>
        </w:tc>
        <w:tc>
          <w:tcPr>
            <w:tcW w:w="4125" w:type="dxa"/>
            <w:vAlign w:val="center"/>
          </w:tcPr>
          <w:p w14:paraId="7B78380E" w14:textId="77777777" w:rsidR="005E000F" w:rsidRDefault="00000000">
            <w:pPr>
              <w:jc w:val="right"/>
            </w:pPr>
            <w:r>
              <w:t>4,426,205,279.52</w:t>
            </w:r>
          </w:p>
        </w:tc>
      </w:tr>
      <w:tr w:rsidR="005E000F" w14:paraId="6D002742" w14:textId="77777777">
        <w:trPr>
          <w:trHeight w:val="340"/>
        </w:trPr>
        <w:tc>
          <w:tcPr>
            <w:tcW w:w="4933" w:type="dxa"/>
            <w:tcBorders>
              <w:top w:val="single" w:sz="4" w:space="0" w:color="auto"/>
              <w:left w:val="single" w:sz="4" w:space="0" w:color="auto"/>
              <w:bottom w:val="single" w:sz="4" w:space="0" w:color="auto"/>
              <w:right w:val="single" w:sz="4" w:space="0" w:color="auto"/>
            </w:tcBorders>
            <w:vAlign w:val="center"/>
          </w:tcPr>
          <w:p w14:paraId="25A770D8" w14:textId="77777777" w:rsidR="005E000F" w:rsidRDefault="00000000">
            <w:r>
              <w:t>合并报表中归属于上市公司</w:t>
            </w:r>
            <w:r>
              <w:rPr>
                <w:rFonts w:hint="eastAsia"/>
              </w:rPr>
              <w:t>普通股</w:t>
            </w:r>
            <w:r>
              <w:t>股东的净利润</w:t>
            </w:r>
          </w:p>
        </w:tc>
        <w:tc>
          <w:tcPr>
            <w:tcW w:w="4125" w:type="dxa"/>
            <w:tcBorders>
              <w:top w:val="single" w:sz="4" w:space="0" w:color="auto"/>
              <w:left w:val="single" w:sz="4" w:space="0" w:color="auto"/>
              <w:bottom w:val="single" w:sz="4" w:space="0" w:color="auto"/>
              <w:right w:val="single" w:sz="4" w:space="0" w:color="auto"/>
            </w:tcBorders>
            <w:vAlign w:val="center"/>
          </w:tcPr>
          <w:p w14:paraId="23A0DB0C" w14:textId="77777777" w:rsidR="005E000F" w:rsidRDefault="00000000">
            <w:pPr>
              <w:jc w:val="right"/>
            </w:pPr>
            <w:r>
              <w:t>5,900,148,479</w:t>
            </w:r>
          </w:p>
        </w:tc>
      </w:tr>
      <w:tr w:rsidR="005E000F" w14:paraId="7854D7E1" w14:textId="77777777">
        <w:trPr>
          <w:trHeight w:val="340"/>
        </w:trPr>
        <w:tc>
          <w:tcPr>
            <w:tcW w:w="4933" w:type="dxa"/>
            <w:tcBorders>
              <w:top w:val="single" w:sz="4" w:space="0" w:color="auto"/>
              <w:left w:val="single" w:sz="4" w:space="0" w:color="auto"/>
              <w:bottom w:val="single" w:sz="4" w:space="0" w:color="auto"/>
              <w:right w:val="single" w:sz="4" w:space="0" w:color="auto"/>
            </w:tcBorders>
            <w:vAlign w:val="center"/>
          </w:tcPr>
          <w:p w14:paraId="39EF0F41" w14:textId="77777777" w:rsidR="005E000F" w:rsidRDefault="00000000">
            <w:r>
              <w:rPr>
                <w:rFonts w:hint="eastAsia"/>
              </w:rPr>
              <w:t>现金分红金额</w:t>
            </w:r>
            <w:r>
              <w:t>占合并报表中归属于上市公司</w:t>
            </w:r>
            <w:r>
              <w:rPr>
                <w:rFonts w:hint="eastAsia"/>
              </w:rPr>
              <w:t>普通股</w:t>
            </w:r>
            <w:r>
              <w:t>股东的净利润的比率</w:t>
            </w:r>
            <w:bookmarkStart w:id="119" w:name="OLE_LINK4"/>
            <w:r>
              <w:rPr>
                <w:rFonts w:hint="eastAsia"/>
              </w:rPr>
              <w:t>（</w:t>
            </w:r>
            <w:r>
              <w:rPr>
                <w:rFonts w:hint="eastAsia"/>
              </w:rPr>
              <w:t>%</w:t>
            </w:r>
            <w:r>
              <w:rPr>
                <w:rFonts w:hint="eastAsia"/>
              </w:rPr>
              <w:t>）</w:t>
            </w:r>
          </w:p>
        </w:tc>
        <w:bookmarkEnd w:id="119"/>
        <w:tc>
          <w:tcPr>
            <w:tcW w:w="4125" w:type="dxa"/>
            <w:tcBorders>
              <w:top w:val="single" w:sz="4" w:space="0" w:color="auto"/>
              <w:left w:val="single" w:sz="4" w:space="0" w:color="auto"/>
              <w:bottom w:val="single" w:sz="4" w:space="0" w:color="auto"/>
              <w:right w:val="single" w:sz="4" w:space="0" w:color="auto"/>
            </w:tcBorders>
            <w:vAlign w:val="center"/>
          </w:tcPr>
          <w:p w14:paraId="23290941" w14:textId="77777777" w:rsidR="005E000F" w:rsidRDefault="00000000">
            <w:pPr>
              <w:jc w:val="right"/>
            </w:pPr>
            <w:r>
              <w:rPr>
                <w:rFonts w:hint="eastAsia"/>
              </w:rPr>
              <w:t>75.02</w:t>
            </w:r>
          </w:p>
        </w:tc>
      </w:tr>
      <w:tr w:rsidR="005E000F" w14:paraId="567FED5E" w14:textId="77777777">
        <w:trPr>
          <w:trHeight w:val="340"/>
        </w:trPr>
        <w:tc>
          <w:tcPr>
            <w:tcW w:w="4933" w:type="dxa"/>
            <w:vAlign w:val="center"/>
          </w:tcPr>
          <w:p w14:paraId="69EAC7B3" w14:textId="77777777" w:rsidR="005E000F" w:rsidRDefault="00000000">
            <w:r>
              <w:rPr>
                <w:rFonts w:hint="eastAsia"/>
              </w:rPr>
              <w:t>以</w:t>
            </w:r>
            <w:r>
              <w:t>现金方式回购股份计入现金分红的</w:t>
            </w:r>
            <w:r>
              <w:rPr>
                <w:rFonts w:hint="eastAsia"/>
              </w:rPr>
              <w:t>金额</w:t>
            </w:r>
          </w:p>
        </w:tc>
        <w:tc>
          <w:tcPr>
            <w:tcW w:w="4125" w:type="dxa"/>
            <w:vAlign w:val="center"/>
          </w:tcPr>
          <w:p w14:paraId="6EFC0CB2" w14:textId="77777777" w:rsidR="005E000F" w:rsidRDefault="00000000">
            <w:pPr>
              <w:jc w:val="right"/>
            </w:pPr>
            <w:r>
              <w:t>247,716,101.00</w:t>
            </w:r>
          </w:p>
        </w:tc>
      </w:tr>
      <w:tr w:rsidR="005E000F" w14:paraId="0A2DDD86" w14:textId="77777777">
        <w:trPr>
          <w:trHeight w:val="340"/>
        </w:trPr>
        <w:tc>
          <w:tcPr>
            <w:tcW w:w="4933" w:type="dxa"/>
            <w:vAlign w:val="center"/>
          </w:tcPr>
          <w:p w14:paraId="04C20DC9" w14:textId="77777777" w:rsidR="005E000F" w:rsidRDefault="00000000">
            <w:r>
              <w:rPr>
                <w:rFonts w:hint="eastAsia"/>
              </w:rPr>
              <w:t>合计分红金额（含税）</w:t>
            </w:r>
          </w:p>
        </w:tc>
        <w:tc>
          <w:tcPr>
            <w:tcW w:w="4125" w:type="dxa"/>
            <w:vAlign w:val="center"/>
          </w:tcPr>
          <w:p w14:paraId="23979B4F" w14:textId="77777777" w:rsidR="005E000F" w:rsidRDefault="00000000">
            <w:pPr>
              <w:jc w:val="right"/>
            </w:pPr>
            <w:r>
              <w:t>4,673,921,380.52</w:t>
            </w:r>
          </w:p>
        </w:tc>
      </w:tr>
      <w:tr w:rsidR="005E000F" w14:paraId="361ECD3E" w14:textId="77777777">
        <w:trPr>
          <w:trHeight w:val="340"/>
        </w:trPr>
        <w:tc>
          <w:tcPr>
            <w:tcW w:w="4933" w:type="dxa"/>
            <w:vAlign w:val="center"/>
          </w:tcPr>
          <w:p w14:paraId="1C981D85" w14:textId="77777777" w:rsidR="005E000F" w:rsidRDefault="00000000">
            <w:r>
              <w:rPr>
                <w:rFonts w:hint="eastAsia"/>
              </w:rPr>
              <w:t>合计分红金额</w:t>
            </w:r>
            <w:r>
              <w:t>占合并报表中归属于上市公司</w:t>
            </w:r>
            <w:r>
              <w:rPr>
                <w:rFonts w:hint="eastAsia"/>
              </w:rPr>
              <w:t>普通股</w:t>
            </w:r>
            <w:r>
              <w:t>股东的净利润的比率</w:t>
            </w:r>
            <w:r>
              <w:rPr>
                <w:rFonts w:hint="eastAsia"/>
              </w:rPr>
              <w:t>（</w:t>
            </w:r>
            <w:r>
              <w:rPr>
                <w:rFonts w:hint="eastAsia"/>
              </w:rPr>
              <w:t>%</w:t>
            </w:r>
            <w:r>
              <w:rPr>
                <w:rFonts w:hint="eastAsia"/>
              </w:rPr>
              <w:t>）</w:t>
            </w:r>
          </w:p>
        </w:tc>
        <w:tc>
          <w:tcPr>
            <w:tcW w:w="4125" w:type="dxa"/>
            <w:vAlign w:val="center"/>
          </w:tcPr>
          <w:p w14:paraId="12B147DE" w14:textId="77777777" w:rsidR="005E000F" w:rsidRDefault="00000000">
            <w:pPr>
              <w:jc w:val="right"/>
            </w:pPr>
            <w:r>
              <w:rPr>
                <w:rFonts w:hint="eastAsia"/>
              </w:rPr>
              <w:t>79.22</w:t>
            </w:r>
          </w:p>
        </w:tc>
      </w:tr>
    </w:tbl>
    <w:p w14:paraId="56B482D6" w14:textId="77777777" w:rsidR="005E000F" w:rsidRDefault="005E000F"/>
    <w:p w14:paraId="660C383D" w14:textId="77777777" w:rsidR="005E000F" w:rsidRDefault="00000000">
      <w:pPr>
        <w:pStyle w:val="3"/>
        <w:numPr>
          <w:ilvl w:val="0"/>
          <w:numId w:val="26"/>
        </w:numPr>
        <w:ind w:left="450" w:hanging="450"/>
      </w:pPr>
      <w:bookmarkStart w:id="120" w:name="_Hlk183089680"/>
      <w:r>
        <w:rPr>
          <w:rFonts w:hint="eastAsia"/>
        </w:rPr>
        <w:t>最近三个会计年度现金分红情况</w:t>
      </w:r>
    </w:p>
    <w:sdt>
      <w:sdtPr>
        <w:rPr>
          <w:rFonts w:hint="eastAsia"/>
        </w:rPr>
        <w:alias w:val="是否适用：最近三个会计年度现金分红情况[双击切换]"/>
        <w:tag w:val="_GBC_28e549783f2141f4b4d8c360788bf33d"/>
        <w:id w:val="79879098"/>
        <w:placeholder>
          <w:docPart w:val="GBC22222222222222222222222222222"/>
        </w:placeholder>
      </w:sdtPr>
      <w:sdtContent>
        <w:p w14:paraId="7DD65698" w14:textId="77777777" w:rsidR="005E000F" w:rsidRDefault="00000000">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p w14:paraId="22C50EA4" w14:textId="77777777" w:rsidR="005E000F" w:rsidRDefault="00000000">
      <w:pPr>
        <w:jc w:val="right"/>
      </w:pPr>
      <w:r>
        <w:rPr>
          <w:rFonts w:hint="eastAsia"/>
        </w:rPr>
        <w:t>单位：</w:t>
      </w:r>
      <w:sdt>
        <w:sdtPr>
          <w:rPr>
            <w:rFonts w:hint="eastAsia"/>
          </w:rPr>
          <w:alias w:val="单位：最近三个会计年度现金分红情况"/>
          <w:tag w:val="_GBC_b8634c7351cc405bb925f28f0a63105b"/>
          <w:id w:val="-91509233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最近三个会计年度现金分红情况"/>
          <w:tag w:val="_GBC_f92d810bf34147c190eacf6f794855d7"/>
          <w:id w:val="-6671012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5075"/>
        <w:gridCol w:w="3978"/>
      </w:tblGrid>
      <w:tr w:rsidR="005E000F" w14:paraId="6A7E1394" w14:textId="77777777">
        <w:trPr>
          <w:trHeight w:val="340"/>
        </w:trPr>
        <w:sdt>
          <w:sdtPr>
            <w:tag w:val="_PLD_f2d866feb6ed4bba8cf4399521757247"/>
            <w:id w:val="-1816096473"/>
          </w:sdtPr>
          <w:sdtContent>
            <w:tc>
              <w:tcPr>
                <w:tcW w:w="5075" w:type="dxa"/>
                <w:vAlign w:val="center"/>
              </w:tcPr>
              <w:p w14:paraId="7CCF6225" w14:textId="77777777" w:rsidR="005E000F" w:rsidRDefault="00000000">
                <w:r>
                  <w:rPr>
                    <w:rFonts w:hint="eastAsia"/>
                  </w:rPr>
                  <w:t>最近三个会计年度累计现金分红金额（含税）（</w:t>
                </w:r>
                <w:r>
                  <w:rPr>
                    <w:rFonts w:hint="eastAsia"/>
                  </w:rPr>
                  <w:t>1</w:t>
                </w:r>
                <w:r>
                  <w:rPr>
                    <w:rFonts w:hint="eastAsia"/>
                  </w:rPr>
                  <w:t>）</w:t>
                </w:r>
              </w:p>
            </w:tc>
          </w:sdtContent>
        </w:sdt>
        <w:sdt>
          <w:sdtPr>
            <w:rPr>
              <w:rFonts w:hint="eastAsia"/>
            </w:rPr>
            <w:alias w:val="最近三个会计年度累计现金分红金额"/>
            <w:tag w:val="_GBC_7995ca7746b5435e81fa91542e8c70a3"/>
            <w:id w:val="-527485211"/>
          </w:sdtPr>
          <w:sdtContent>
            <w:tc>
              <w:tcPr>
                <w:tcW w:w="3978" w:type="dxa"/>
                <w:vAlign w:val="center"/>
              </w:tcPr>
              <w:p w14:paraId="3AF52AF7" w14:textId="77777777" w:rsidR="005E000F" w:rsidRDefault="00000000">
                <w:pPr>
                  <w:jc w:val="right"/>
                </w:pPr>
                <w:r>
                  <w:t>16,535,286,899.8</w:t>
                </w:r>
                <w:r>
                  <w:rPr>
                    <w:rFonts w:hint="eastAsia"/>
                  </w:rPr>
                  <w:t>2</w:t>
                </w:r>
              </w:p>
            </w:tc>
          </w:sdtContent>
        </w:sdt>
      </w:tr>
      <w:tr w:rsidR="005E000F" w14:paraId="40F1C903" w14:textId="77777777">
        <w:trPr>
          <w:trHeight w:val="340"/>
        </w:trPr>
        <w:tc>
          <w:tcPr>
            <w:tcW w:w="5075" w:type="dxa"/>
            <w:vAlign w:val="center"/>
          </w:tcPr>
          <w:p w14:paraId="01C20A68" w14:textId="77777777" w:rsidR="005E000F" w:rsidRDefault="00000000">
            <w:r>
              <w:rPr>
                <w:rFonts w:hint="eastAsia"/>
              </w:rPr>
              <w:t>最近三个会计年度累计回购并注销金额（</w:t>
            </w:r>
            <w:r>
              <w:rPr>
                <w:rFonts w:hint="eastAsia"/>
              </w:rPr>
              <w:t>2</w:t>
            </w:r>
            <w:r>
              <w:rPr>
                <w:rFonts w:hint="eastAsia"/>
              </w:rPr>
              <w:t>）</w:t>
            </w:r>
          </w:p>
        </w:tc>
        <w:tc>
          <w:tcPr>
            <w:tcW w:w="3978" w:type="dxa"/>
            <w:vAlign w:val="center"/>
          </w:tcPr>
          <w:p w14:paraId="0C15F201" w14:textId="77777777" w:rsidR="005E000F" w:rsidRDefault="00000000">
            <w:pPr>
              <w:jc w:val="right"/>
            </w:pPr>
            <w:r>
              <w:rPr>
                <w:rFonts w:hint="eastAsia"/>
              </w:rPr>
              <w:t>0</w:t>
            </w:r>
          </w:p>
        </w:tc>
      </w:tr>
      <w:tr w:rsidR="005E000F" w14:paraId="0E53C00A" w14:textId="77777777">
        <w:trPr>
          <w:trHeight w:val="340"/>
        </w:trPr>
        <w:tc>
          <w:tcPr>
            <w:tcW w:w="5075" w:type="dxa"/>
            <w:vAlign w:val="center"/>
          </w:tcPr>
          <w:p w14:paraId="16B94EDA" w14:textId="77777777" w:rsidR="005E000F" w:rsidRDefault="00000000">
            <w:r>
              <w:rPr>
                <w:rFonts w:hint="eastAsia"/>
              </w:rPr>
              <w:t>最近三个会计年度现金分红和回购并注销累计金额（</w:t>
            </w:r>
            <w:r>
              <w:rPr>
                <w:rFonts w:hint="eastAsia"/>
              </w:rPr>
              <w:t>3</w:t>
            </w:r>
            <w:r>
              <w:rPr>
                <w:rFonts w:hint="eastAsia"/>
              </w:rPr>
              <w:t>）</w:t>
            </w:r>
            <w:r>
              <w:t>=</w:t>
            </w:r>
            <w:r>
              <w:rPr>
                <w:rFonts w:hint="eastAsia"/>
              </w:rPr>
              <w:t>（</w:t>
            </w:r>
            <w:r>
              <w:t>1</w:t>
            </w:r>
            <w:r>
              <w:rPr>
                <w:rFonts w:hint="eastAsia"/>
              </w:rPr>
              <w:t>）</w:t>
            </w:r>
            <w:r>
              <w:t>+</w:t>
            </w:r>
            <w:r>
              <w:rPr>
                <w:rFonts w:hint="eastAsia"/>
              </w:rPr>
              <w:t>（</w:t>
            </w:r>
            <w:r>
              <w:rPr>
                <w:rFonts w:hint="eastAsia"/>
              </w:rPr>
              <w:t>2</w:t>
            </w:r>
            <w:r>
              <w:rPr>
                <w:rFonts w:hint="eastAsia"/>
              </w:rPr>
              <w:t>）</w:t>
            </w:r>
          </w:p>
        </w:tc>
        <w:tc>
          <w:tcPr>
            <w:tcW w:w="3978" w:type="dxa"/>
            <w:vAlign w:val="center"/>
          </w:tcPr>
          <w:p w14:paraId="5E12B26C" w14:textId="77777777" w:rsidR="005E000F" w:rsidRDefault="00000000">
            <w:pPr>
              <w:jc w:val="right"/>
            </w:pPr>
            <w:r>
              <w:t>16,535,286,899.82</w:t>
            </w:r>
          </w:p>
        </w:tc>
      </w:tr>
      <w:tr w:rsidR="005E000F" w14:paraId="38F1C60D" w14:textId="77777777">
        <w:trPr>
          <w:trHeight w:val="340"/>
        </w:trPr>
        <w:tc>
          <w:tcPr>
            <w:tcW w:w="5075" w:type="dxa"/>
            <w:vAlign w:val="center"/>
          </w:tcPr>
          <w:p w14:paraId="3DFAFB34" w14:textId="77777777" w:rsidR="005E000F" w:rsidRDefault="00000000">
            <w:r>
              <w:rPr>
                <w:rFonts w:hint="eastAsia"/>
              </w:rPr>
              <w:t>最近三个会计年度年均净利润金额（</w:t>
            </w:r>
            <w:r>
              <w:rPr>
                <w:rFonts w:hint="eastAsia"/>
              </w:rPr>
              <w:t>4</w:t>
            </w:r>
            <w:r>
              <w:rPr>
                <w:rFonts w:hint="eastAsia"/>
              </w:rPr>
              <w:t>）</w:t>
            </w:r>
          </w:p>
        </w:tc>
        <w:tc>
          <w:tcPr>
            <w:tcW w:w="3978" w:type="dxa"/>
            <w:vAlign w:val="center"/>
          </w:tcPr>
          <w:p w14:paraId="6083BCE0" w14:textId="77777777" w:rsidR="005E000F" w:rsidRDefault="00000000">
            <w:pPr>
              <w:jc w:val="right"/>
            </w:pPr>
            <w:r>
              <w:t>8,956,504,580.33</w:t>
            </w:r>
          </w:p>
        </w:tc>
      </w:tr>
      <w:tr w:rsidR="005E000F" w14:paraId="6D63CFD2" w14:textId="77777777">
        <w:trPr>
          <w:trHeight w:val="340"/>
        </w:trPr>
        <w:tc>
          <w:tcPr>
            <w:tcW w:w="5075" w:type="dxa"/>
            <w:vAlign w:val="center"/>
          </w:tcPr>
          <w:p w14:paraId="2E47B10C" w14:textId="77777777" w:rsidR="005E000F" w:rsidRDefault="00000000">
            <w:r>
              <w:rPr>
                <w:rFonts w:hint="eastAsia"/>
              </w:rPr>
              <w:t>最近三个会计年度现金分红比例（</w:t>
            </w:r>
            <w:r>
              <w:rPr>
                <w:rFonts w:hint="eastAsia"/>
              </w:rPr>
              <w:t>%</w:t>
            </w:r>
            <w:r>
              <w:rPr>
                <w:rFonts w:hint="eastAsia"/>
              </w:rPr>
              <w:t>）（</w:t>
            </w:r>
            <w:r>
              <w:t>5</w:t>
            </w:r>
            <w:r>
              <w:rPr>
                <w:rFonts w:hint="eastAsia"/>
              </w:rPr>
              <w:t>）</w:t>
            </w:r>
            <w:r>
              <w:t>=</w:t>
            </w:r>
            <w:r>
              <w:rPr>
                <w:rFonts w:hint="eastAsia"/>
              </w:rPr>
              <w:t>（</w:t>
            </w:r>
            <w:r>
              <w:t>3</w:t>
            </w:r>
            <w:r>
              <w:rPr>
                <w:rFonts w:hint="eastAsia"/>
              </w:rPr>
              <w:t>）</w:t>
            </w:r>
            <w:r>
              <w:t>/</w:t>
            </w:r>
            <w:r>
              <w:rPr>
                <w:rFonts w:hint="eastAsia"/>
              </w:rPr>
              <w:t>（</w:t>
            </w:r>
            <w:r>
              <w:t>4</w:t>
            </w:r>
            <w:r>
              <w:rPr>
                <w:rFonts w:hint="eastAsia"/>
              </w:rPr>
              <w:t>）</w:t>
            </w:r>
          </w:p>
        </w:tc>
        <w:tc>
          <w:tcPr>
            <w:tcW w:w="3978" w:type="dxa"/>
            <w:vAlign w:val="center"/>
          </w:tcPr>
          <w:p w14:paraId="0F5FE869" w14:textId="77777777" w:rsidR="005E000F" w:rsidRDefault="00000000">
            <w:pPr>
              <w:jc w:val="right"/>
            </w:pPr>
            <w:r>
              <w:rPr>
                <w:rFonts w:hint="eastAsia"/>
              </w:rPr>
              <w:t>184.62</w:t>
            </w:r>
          </w:p>
        </w:tc>
      </w:tr>
      <w:tr w:rsidR="005E000F" w14:paraId="55ED1B12" w14:textId="77777777">
        <w:trPr>
          <w:trHeight w:val="340"/>
        </w:trPr>
        <w:tc>
          <w:tcPr>
            <w:tcW w:w="5075" w:type="dxa"/>
            <w:vAlign w:val="center"/>
          </w:tcPr>
          <w:p w14:paraId="292896AA" w14:textId="77777777" w:rsidR="005E000F" w:rsidRDefault="00000000">
            <w:r>
              <w:rPr>
                <w:rFonts w:hint="eastAsia"/>
              </w:rPr>
              <w:t>最近一个会计年度</w:t>
            </w:r>
            <w:r>
              <w:t>合并报表</w:t>
            </w:r>
            <w:r>
              <w:rPr>
                <w:rFonts w:hint="eastAsia"/>
              </w:rPr>
              <w:t>中</w:t>
            </w:r>
            <w:r>
              <w:t>归属于上市公司</w:t>
            </w:r>
            <w:r>
              <w:rPr>
                <w:rFonts w:hint="eastAsia"/>
              </w:rPr>
              <w:t>普通股</w:t>
            </w:r>
            <w:r>
              <w:t>股东的净利润</w:t>
            </w:r>
          </w:p>
        </w:tc>
        <w:tc>
          <w:tcPr>
            <w:tcW w:w="3978" w:type="dxa"/>
            <w:vAlign w:val="center"/>
          </w:tcPr>
          <w:p w14:paraId="1528B67A" w14:textId="77777777" w:rsidR="005E000F" w:rsidRDefault="00000000">
            <w:pPr>
              <w:jc w:val="right"/>
            </w:pPr>
            <w:r>
              <w:t>5,900,148,479</w:t>
            </w:r>
          </w:p>
        </w:tc>
      </w:tr>
      <w:tr w:rsidR="005E000F" w14:paraId="4B2B7008" w14:textId="77777777">
        <w:trPr>
          <w:trHeight w:val="340"/>
        </w:trPr>
        <w:tc>
          <w:tcPr>
            <w:tcW w:w="5075" w:type="dxa"/>
            <w:vAlign w:val="center"/>
          </w:tcPr>
          <w:p w14:paraId="04345696" w14:textId="77777777" w:rsidR="005E000F" w:rsidRDefault="00000000">
            <w:r>
              <w:rPr>
                <w:rFonts w:hint="eastAsia"/>
              </w:rPr>
              <w:t>最近一个会计年度母公司报表年度末未分配利润</w:t>
            </w:r>
          </w:p>
        </w:tc>
        <w:tc>
          <w:tcPr>
            <w:tcW w:w="3978" w:type="dxa"/>
            <w:vAlign w:val="center"/>
          </w:tcPr>
          <w:p w14:paraId="66EA722F" w14:textId="77777777" w:rsidR="005E000F" w:rsidRDefault="00000000">
            <w:pPr>
              <w:jc w:val="right"/>
            </w:pPr>
            <w:r>
              <w:t>71,709,426,287</w:t>
            </w:r>
          </w:p>
        </w:tc>
      </w:tr>
    </w:tbl>
    <w:p w14:paraId="5C75BF84" w14:textId="77777777" w:rsidR="005E000F" w:rsidRDefault="005E000F"/>
    <w:p w14:paraId="2C411846" w14:textId="77777777" w:rsidR="005E000F" w:rsidRDefault="00000000">
      <w:pPr>
        <w:pStyle w:val="2"/>
        <w:numPr>
          <w:ilvl w:val="0"/>
          <w:numId w:val="20"/>
        </w:numPr>
        <w:ind w:left="450" w:hanging="450"/>
      </w:pPr>
      <w:bookmarkStart w:id="121" w:name="_Toc342491956"/>
      <w:bookmarkStart w:id="122" w:name="_Toc342565948"/>
      <w:bookmarkEnd w:id="120"/>
      <w:r>
        <w:rPr>
          <w:rFonts w:hint="eastAsia"/>
        </w:rPr>
        <w:t>公司股权激励计划、员工持股计划或其他员工激励措施的情况及其影响</w:t>
      </w:r>
      <w:bookmarkEnd w:id="121"/>
      <w:bookmarkEnd w:id="122"/>
    </w:p>
    <w:p w14:paraId="584D0FCB" w14:textId="77777777" w:rsidR="005E000F" w:rsidRDefault="00000000">
      <w:pPr>
        <w:pStyle w:val="3"/>
        <w:numPr>
          <w:ilvl w:val="1"/>
          <w:numId w:val="27"/>
        </w:numPr>
        <w:rPr>
          <w:kern w:val="44"/>
          <w:szCs w:val="21"/>
        </w:rPr>
      </w:pPr>
      <w:bookmarkStart w:id="123" w:name="_Toc342565949"/>
      <w:bookmarkStart w:id="124" w:name="_Toc342491957"/>
      <w:r>
        <w:rPr>
          <w:rFonts w:hint="eastAsia"/>
          <w:kern w:val="44"/>
          <w:szCs w:val="21"/>
        </w:rPr>
        <w:t>相关激励事项已在临时公告披露且后续实施无进展或变化的</w:t>
      </w:r>
      <w:bookmarkEnd w:id="123"/>
      <w:bookmarkEnd w:id="124"/>
    </w:p>
    <w:sdt>
      <w:sdtPr>
        <w:alias w:val="是否适用：相关激励事项已在临时公告披露且后续实施无进展或变化的[双击切换]"/>
        <w:tag w:val="_GBC_0af9dca2858d42619c57d7878f3a7792"/>
        <w:id w:val="1164281261"/>
        <w:placeholder>
          <w:docPart w:val="GBC22222222222222222222222222222"/>
        </w:placeholder>
      </w:sdtPr>
      <w:sdtContent>
        <w:p w14:paraId="1F63BAD6"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0036049" w14:textId="77777777" w:rsidR="005E000F" w:rsidRDefault="00000000">
      <w:pPr>
        <w:pStyle w:val="3"/>
        <w:numPr>
          <w:ilvl w:val="1"/>
          <w:numId w:val="27"/>
        </w:numPr>
        <w:rPr>
          <w:kern w:val="44"/>
          <w:szCs w:val="21"/>
        </w:rPr>
      </w:pPr>
      <w:r>
        <w:rPr>
          <w:rFonts w:hint="eastAsia"/>
          <w:kern w:val="44"/>
          <w:szCs w:val="21"/>
        </w:rPr>
        <w:t>临时公告未披露或有后续进展的激励情况</w:t>
      </w:r>
    </w:p>
    <w:p w14:paraId="2C91A15E" w14:textId="77777777" w:rsidR="005E000F" w:rsidRDefault="00000000">
      <w:r>
        <w:rPr>
          <w:rFonts w:hint="eastAsia"/>
        </w:rPr>
        <w:t>股权激励情况</w:t>
      </w:r>
    </w:p>
    <w:p w14:paraId="69E86C9C" w14:textId="77777777" w:rsidR="005E000F" w:rsidRDefault="00000000">
      <w:sdt>
        <w:sdtPr>
          <w:alias w:val="是否适用：股权激励情况[双击切换]"/>
          <w:tag w:val="_GBC_002ad948ce1449c2a805bfbb132b2202"/>
          <w:id w:val="-2009202027"/>
          <w:placeholder>
            <w:docPart w:val="GBC22222222222222222222222222222"/>
          </w:placeholder>
        </w:sdtPr>
        <w:sdtContent>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149B983B" w14:textId="77777777" w:rsidR="005E000F" w:rsidRDefault="00000000">
      <w:r>
        <w:rPr>
          <w:rFonts w:hint="eastAsia"/>
        </w:rPr>
        <w:t>其他说明：</w:t>
      </w:r>
    </w:p>
    <w:sdt>
      <w:sdtPr>
        <w:rPr>
          <w:rFonts w:hint="eastAsia"/>
        </w:rPr>
        <w:alias w:val="是否适用：股权激励情况的说明[双击切换]"/>
        <w:tag w:val="_GBC_67421581adf34d0f9f06e3042b8d7199"/>
        <w:id w:val="580268572"/>
        <w:placeholder>
          <w:docPart w:val="GBC22222222222222222222222222222"/>
        </w:placeholder>
      </w:sdtPr>
      <w:sdtContent>
        <w:p w14:paraId="302BD711"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CE67388" w14:textId="77777777" w:rsidR="005E000F" w:rsidRDefault="00000000">
      <w:pPr>
        <w:rPr>
          <w:bCs/>
        </w:rPr>
      </w:pPr>
      <w:r>
        <w:rPr>
          <w:rFonts w:hint="eastAsia"/>
          <w:bCs/>
        </w:rPr>
        <w:t>员工持股计划情况</w:t>
      </w:r>
    </w:p>
    <w:sdt>
      <w:sdtPr>
        <w:rPr>
          <w:rFonts w:hint="eastAsia"/>
          <w:bCs/>
        </w:rPr>
        <w:alias w:val="是否适用：员工持股计划情况[双击切换]"/>
        <w:tag w:val="_GBC_58bc54aaaba24427a2a569de76f7f83e"/>
        <w:id w:val="1075789922"/>
        <w:placeholder>
          <w:docPart w:val="GBC22222222222222222222222222222"/>
        </w:placeholder>
      </w:sdtPr>
      <w:sdtContent>
        <w:p w14:paraId="4FEADF67" w14:textId="77777777" w:rsidR="005E000F" w:rsidRDefault="00000000">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008958B3" w14:textId="77777777" w:rsidR="005E000F" w:rsidRDefault="00000000">
      <w:pPr>
        <w:rPr>
          <w:bCs/>
        </w:rPr>
      </w:pPr>
      <w:r>
        <w:rPr>
          <w:rFonts w:hint="eastAsia"/>
          <w:bCs/>
        </w:rPr>
        <w:t>其他激励措施</w:t>
      </w:r>
    </w:p>
    <w:sdt>
      <w:sdtPr>
        <w:alias w:val="是否适用：其他激励措施[双击切换]"/>
        <w:tag w:val="_GBC_1273f753309d4658962c7982b10fa010"/>
        <w:id w:val="-583608331"/>
        <w:placeholder>
          <w:docPart w:val="GBC22222222222222222222222222222"/>
        </w:placeholder>
      </w:sdtPr>
      <w:sdtContent>
        <w:p w14:paraId="301C7C2E" w14:textId="77777777" w:rsidR="005E000F" w:rsidRDefault="00000000">
          <w:pPr>
            <w:rPr>
              <w:bCs/>
            </w:rPr>
          </w:pPr>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FD4D08B" w14:textId="77777777" w:rsidR="005E000F" w:rsidRDefault="00000000">
      <w:pPr>
        <w:pStyle w:val="3"/>
        <w:numPr>
          <w:ilvl w:val="1"/>
          <w:numId w:val="27"/>
        </w:numPr>
        <w:rPr>
          <w:szCs w:val="21"/>
        </w:rPr>
      </w:pPr>
      <w:bookmarkStart w:id="125" w:name="_Toc342057945"/>
      <w:bookmarkStart w:id="126" w:name="_Toc342566005"/>
      <w:r>
        <w:rPr>
          <w:rFonts w:hint="eastAsia"/>
          <w:szCs w:val="21"/>
        </w:rPr>
        <w:t>董事、高级管理人员报告期内被授予的</w:t>
      </w:r>
      <w:r>
        <w:rPr>
          <w:rFonts w:hint="eastAsia"/>
          <w:kern w:val="44"/>
          <w:szCs w:val="21"/>
        </w:rPr>
        <w:t>股权</w:t>
      </w:r>
      <w:r>
        <w:rPr>
          <w:rFonts w:hint="eastAsia"/>
          <w:szCs w:val="21"/>
        </w:rPr>
        <w:t>激励情况</w:t>
      </w:r>
      <w:bookmarkEnd w:id="125"/>
      <w:bookmarkEnd w:id="126"/>
    </w:p>
    <w:p w14:paraId="3251560D" w14:textId="77777777" w:rsidR="005E000F" w:rsidRDefault="00000000">
      <w:pPr>
        <w:kinsoku w:val="0"/>
        <w:overflowPunct w:val="0"/>
        <w:autoSpaceDE w:val="0"/>
        <w:autoSpaceDN w:val="0"/>
        <w:adjustRightInd w:val="0"/>
        <w:snapToGrid w:val="0"/>
      </w:pPr>
      <w:sdt>
        <w:sdtPr>
          <w:rPr>
            <w:rFonts w:hint="eastAsia"/>
          </w:rPr>
          <w:alias w:val="是否适用：董事、监事、高级管理人员报告期内被授予的股权激励情况[双击切换]"/>
          <w:tag w:val="_GBC_c2d0a53ac8044ce0b5022c6f5ccdc0a9"/>
          <w:id w:val="1246683200"/>
          <w:placeholder>
            <w:docPart w:val="GBC22222222222222222222222222222"/>
          </w:placeholder>
        </w:sdtPr>
        <w:sdtContent>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bookmarkStart w:id="127" w:name="_Hlk56780992"/>
    </w:p>
    <w:bookmarkEnd w:id="127"/>
    <w:p w14:paraId="755F01F1" w14:textId="77777777" w:rsidR="005E000F" w:rsidRDefault="00000000">
      <w:pPr>
        <w:pStyle w:val="3"/>
        <w:numPr>
          <w:ilvl w:val="1"/>
          <w:numId w:val="27"/>
        </w:numPr>
      </w:pPr>
      <w:r>
        <w:t>报告期内对高级管理人员的考评机制，以及激励机制的建立、实施情况</w:t>
      </w:r>
    </w:p>
    <w:sdt>
      <w:sdtPr>
        <w:rPr>
          <w:rFonts w:hint="eastAsia"/>
        </w:rPr>
        <w:alias w:val="是否适用：报告期内对高级管理人员的考评机制，以及激励机制的建立、实施情况[双击切换]"/>
        <w:tag w:val="_GBC_f7215667d17c45e88748740889bab9b8"/>
        <w:id w:val="444281975"/>
        <w:placeholder>
          <w:docPart w:val="GBC22222222222222222222222222222"/>
        </w:placeholder>
      </w:sdtPr>
      <w:sdtContent>
        <w:p w14:paraId="58DA76DB"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对高级管理人员的考评及激励情况"/>
        <w:tag w:val="_GBC_ff8dc93589b2464ba735502bf6a2a8ca"/>
        <w:id w:val="81268263"/>
        <w:placeholder>
          <w:docPart w:val="GBC22222222222222222222222222222"/>
        </w:placeholder>
      </w:sdtPr>
      <w:sdtContent>
        <w:p w14:paraId="500E9696" w14:textId="77777777" w:rsidR="005E000F" w:rsidRDefault="00000000">
          <w:pPr>
            <w:widowControl w:val="0"/>
            <w:spacing w:line="360" w:lineRule="auto"/>
            <w:ind w:firstLineChars="200" w:firstLine="420"/>
            <w:jc w:val="both"/>
            <w:rPr>
              <w:rFonts w:asciiTheme="minorEastAsia" w:eastAsiaTheme="minorEastAsia" w:hAnsiTheme="minorEastAsia"/>
              <w:bCs/>
            </w:rPr>
          </w:pPr>
          <w:r>
            <w:rPr>
              <w:rFonts w:asciiTheme="minorEastAsia" w:eastAsiaTheme="minorEastAsia" w:hAnsiTheme="minorEastAsia" w:hint="eastAsia"/>
              <w:bCs/>
            </w:rPr>
            <w:t>报告期内，公司对高级管理人员实行绩效考评机制，遵循过程管理与结果考核相结合、个体目标与总目标相适应、依法治企与廉洁风险防控相统一、责权利相统一的原则，依据</w:t>
          </w:r>
          <w:r>
            <w:rPr>
              <w:rFonts w:asciiTheme="minorEastAsia" w:eastAsiaTheme="minorEastAsia" w:hAnsiTheme="minorEastAsia"/>
              <w:bCs/>
            </w:rPr>
            <w:t>效益效率</w:t>
          </w:r>
          <w:r>
            <w:rPr>
              <w:rFonts w:asciiTheme="minorEastAsia" w:eastAsiaTheme="minorEastAsia" w:hAnsiTheme="minorEastAsia" w:hint="eastAsia"/>
              <w:bCs/>
            </w:rPr>
            <w:t>、安全</w:t>
          </w:r>
          <w:r>
            <w:rPr>
              <w:rFonts w:asciiTheme="minorEastAsia" w:eastAsiaTheme="minorEastAsia" w:hAnsiTheme="minorEastAsia"/>
              <w:bCs/>
            </w:rPr>
            <w:t>管理、</w:t>
          </w:r>
          <w:r>
            <w:rPr>
              <w:rFonts w:asciiTheme="minorEastAsia" w:eastAsiaTheme="minorEastAsia" w:hAnsiTheme="minorEastAsia" w:hint="eastAsia"/>
              <w:bCs/>
            </w:rPr>
            <w:t>党</w:t>
          </w:r>
          <w:r>
            <w:rPr>
              <w:rFonts w:asciiTheme="minorEastAsia" w:eastAsiaTheme="minorEastAsia" w:hAnsiTheme="minorEastAsia"/>
              <w:bCs/>
            </w:rPr>
            <w:t>建管理、</w:t>
          </w:r>
          <w:r>
            <w:rPr>
              <w:rFonts w:asciiTheme="minorEastAsia" w:eastAsiaTheme="minorEastAsia" w:hAnsiTheme="minorEastAsia" w:hint="eastAsia"/>
              <w:bCs/>
            </w:rPr>
            <w:t>综合</w:t>
          </w:r>
          <w:r>
            <w:rPr>
              <w:rFonts w:asciiTheme="minorEastAsia" w:eastAsiaTheme="minorEastAsia" w:hAnsiTheme="minorEastAsia"/>
              <w:bCs/>
            </w:rPr>
            <w:t>管理、</w:t>
          </w:r>
          <w:r>
            <w:rPr>
              <w:rFonts w:asciiTheme="minorEastAsia" w:eastAsiaTheme="minorEastAsia" w:hAnsiTheme="minorEastAsia" w:hint="eastAsia"/>
              <w:bCs/>
            </w:rPr>
            <w:t>社会责任、重大</w:t>
          </w:r>
          <w:r>
            <w:rPr>
              <w:rFonts w:asciiTheme="minorEastAsia" w:eastAsiaTheme="minorEastAsia" w:hAnsiTheme="minorEastAsia"/>
              <w:bCs/>
            </w:rPr>
            <w:t>事项及行为管理、</w:t>
          </w:r>
          <w:r>
            <w:rPr>
              <w:rFonts w:asciiTheme="minorEastAsia" w:eastAsiaTheme="minorEastAsia" w:hAnsiTheme="minorEastAsia" w:hint="eastAsia"/>
              <w:bCs/>
            </w:rPr>
            <w:t>公司治理、</w:t>
          </w:r>
          <w:r>
            <w:rPr>
              <w:rFonts w:asciiTheme="minorEastAsia" w:eastAsiaTheme="minorEastAsia" w:hAnsiTheme="minorEastAsia"/>
              <w:bCs/>
            </w:rPr>
            <w:t>重点任务</w:t>
          </w:r>
          <w:r>
            <w:rPr>
              <w:rFonts w:asciiTheme="minorEastAsia" w:eastAsiaTheme="minorEastAsia" w:hAnsiTheme="minorEastAsia" w:hint="eastAsia"/>
              <w:bCs/>
            </w:rPr>
            <w:t>等指标考核</w:t>
          </w:r>
          <w:r>
            <w:rPr>
              <w:rFonts w:asciiTheme="minorEastAsia" w:eastAsiaTheme="minorEastAsia" w:hAnsiTheme="minorEastAsia"/>
              <w:bCs/>
            </w:rPr>
            <w:t>结果</w:t>
          </w:r>
          <w:r>
            <w:rPr>
              <w:rFonts w:asciiTheme="minorEastAsia" w:eastAsiaTheme="minorEastAsia" w:hAnsiTheme="minorEastAsia" w:hint="eastAsia"/>
              <w:bCs/>
            </w:rPr>
            <w:t>确定发放额度，并将考核结果作为任期考核的重要内容。</w:t>
          </w:r>
        </w:p>
      </w:sdtContent>
    </w:sdt>
    <w:p w14:paraId="5AB3C8F7" w14:textId="77777777" w:rsidR="005E000F" w:rsidRDefault="00000000">
      <w:pPr>
        <w:pStyle w:val="2"/>
        <w:numPr>
          <w:ilvl w:val="0"/>
          <w:numId w:val="20"/>
        </w:numPr>
      </w:pPr>
      <w:r>
        <w:rPr>
          <w:rFonts w:hint="eastAsia"/>
        </w:rPr>
        <w:t>报告期内的内部控制制度建设及实施情况</w:t>
      </w:r>
    </w:p>
    <w:sdt>
      <w:sdtPr>
        <w:alias w:val="是否适用：报告期内的内部控制制度建设及实施情况[双击切换]"/>
        <w:tag w:val="_GBC_f76747fb26ee47cfb00fc8ad5592b038"/>
        <w:id w:val="716864912"/>
        <w:placeholder>
          <w:docPart w:val="GBC22222222222222222222222222222"/>
        </w:placeholder>
      </w:sdtPr>
      <w:sdtContent>
        <w:p w14:paraId="3E3188B8"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内部控制自我评价报告"/>
        <w:tag w:val="_GBC_7ec2120247b647e18f5670c0a1211280"/>
        <w:id w:val="1750922837"/>
        <w:placeholder>
          <w:docPart w:val="GBC22222222222222222222222222222"/>
        </w:placeholder>
      </w:sdtPr>
      <w:sdtContent>
        <w:p w14:paraId="0D56BE48" w14:textId="77777777" w:rsidR="005E000F" w:rsidRDefault="00000000">
          <w:pPr>
            <w:spacing w:line="360" w:lineRule="auto"/>
            <w:ind w:firstLineChars="200" w:firstLine="420"/>
            <w:jc w:val="both"/>
          </w:pPr>
          <w:sdt>
            <w:sdtPr>
              <w:rPr>
                <w:rFonts w:hint="eastAsia"/>
              </w:rPr>
              <w:alias w:val="内部控制自我评价报告"/>
              <w:tag w:val="_GBC_7ec2120247b647e18f5670c0a1211280"/>
              <w:id w:val="21345373"/>
              <w:placeholder>
                <w:docPart w:val="5A4B36C15A9147F18A32ACD66B375025"/>
              </w:placeholder>
            </w:sdtPr>
            <w:sdtContent>
              <w:r>
                <w:rPr>
                  <w:rFonts w:hint="eastAsia"/>
                </w:rPr>
                <w:t>报告期内公司内部控制制度建设及实施情况，详见</w:t>
              </w:r>
              <w:r>
                <w:t>202</w:t>
              </w:r>
              <w:r>
                <w:rPr>
                  <w:rFonts w:hint="eastAsia"/>
                </w:rPr>
                <w:t>6</w:t>
              </w:r>
              <w:r>
                <w:t>年</w:t>
              </w:r>
              <w:r>
                <w:t>4</w:t>
              </w:r>
              <w:r>
                <w:t>月</w:t>
              </w:r>
              <w:r>
                <w:rPr>
                  <w:rFonts w:hint="eastAsia"/>
                </w:rPr>
                <w:t>30</w:t>
              </w:r>
              <w:r>
                <w:t>日登载于上海证券交易所网站的《大秦铁路股份有限公司</w:t>
              </w:r>
              <w:r>
                <w:t>202</w:t>
              </w:r>
              <w:r>
                <w:rPr>
                  <w:rFonts w:hint="eastAsia"/>
                </w:rPr>
                <w:t>5</w:t>
              </w:r>
              <w:r>
                <w:t>年度内部控制评价报告》。</w:t>
              </w:r>
            </w:sdtContent>
          </w:sdt>
        </w:p>
      </w:sdtContent>
    </w:sdt>
    <w:p w14:paraId="53CE95EA" w14:textId="77777777" w:rsidR="005E000F" w:rsidRDefault="00000000">
      <w:pPr>
        <w:tabs>
          <w:tab w:val="left" w:pos="2760"/>
        </w:tabs>
      </w:pPr>
      <w:r>
        <w:rPr>
          <w:rFonts w:hint="eastAsia"/>
        </w:rPr>
        <w:t>报告</w:t>
      </w:r>
      <w:proofErr w:type="gramStart"/>
      <w:r>
        <w:rPr>
          <w:rFonts w:hint="eastAsia"/>
        </w:rPr>
        <w:t>期内部</w:t>
      </w:r>
      <w:proofErr w:type="gramEnd"/>
      <w:r>
        <w:rPr>
          <w:rFonts w:hint="eastAsia"/>
        </w:rPr>
        <w:t>控制存在重大缺陷情况的说明</w:t>
      </w:r>
    </w:p>
    <w:sdt>
      <w:sdtPr>
        <w:alias w:val="是否适用：报告期内部控制存在重大缺陷情况的说明[双击切换]"/>
        <w:tag w:val="_GBC_cad036bd9fe3409f906985f824010f6a"/>
        <w:id w:val="-2065018952"/>
        <w:placeholder>
          <w:docPart w:val="GBC22222222222222222222222222222"/>
        </w:placeholder>
      </w:sdtPr>
      <w:sdtContent>
        <w:p w14:paraId="375A0FF8"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5236E65" w14:textId="77777777" w:rsidR="005E000F" w:rsidRDefault="00000000">
      <w:pPr>
        <w:pStyle w:val="2"/>
        <w:numPr>
          <w:ilvl w:val="0"/>
          <w:numId w:val="20"/>
        </w:numPr>
      </w:pPr>
      <w:r>
        <w:rPr>
          <w:rFonts w:hint="eastAsia"/>
        </w:rPr>
        <w:t>报告期内对子公司的管理控制情况</w:t>
      </w:r>
    </w:p>
    <w:sdt>
      <w:sdtPr>
        <w:rPr>
          <w:rFonts w:hint="eastAsia"/>
        </w:rPr>
        <w:alias w:val="是否适用：报告期内对子公司的管理控制情况[双击切换]"/>
        <w:tag w:val="_GBC_3c41db66329f4aabb0fd91423cfeac3f"/>
        <w:id w:val="-1738084820"/>
        <w:placeholder>
          <w:docPart w:val="GBC22222222222222222222222222222"/>
        </w:placeholder>
      </w:sdtPr>
      <w:sdtContent>
        <w:p w14:paraId="0B4ECF3E"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内对子公司的管理控制情况"/>
        <w:tag w:val="_GBC_c42acb3ad0ff45a1891fd8fa03ee78a2"/>
        <w:id w:val="1991130034"/>
        <w:placeholder>
          <w:docPart w:val="GBC22222222222222222222222222222"/>
        </w:placeholder>
      </w:sdtPr>
      <w:sdtContent>
        <w:p w14:paraId="697139FD" w14:textId="77777777" w:rsidR="005E000F" w:rsidRDefault="00000000">
          <w:pPr>
            <w:spacing w:line="360" w:lineRule="auto"/>
            <w:ind w:firstLineChars="200" w:firstLine="420"/>
            <w:jc w:val="both"/>
          </w:pPr>
          <w:sdt>
            <w:sdtPr>
              <w:rPr>
                <w:rFonts w:hint="eastAsia"/>
              </w:rPr>
              <w:alias w:val="报告期内对子公司的管理控制情况"/>
              <w:tag w:val="_GBC_c42acb3ad0ff45a1891fd8fa03ee78a2"/>
              <w:id w:val="-1469962823"/>
              <w:placeholder>
                <w:docPart w:val="2948EA2FF2134CEAA425134F70A9726F"/>
              </w:placeholder>
            </w:sdtPr>
            <w:sdtContent>
              <w:r>
                <w:rPr>
                  <w:rFonts w:hint="eastAsia"/>
                </w:rPr>
                <w:t>为确保公司整体经营目标的实现，有效降低经营风险，强化对控股子公司的管理，维护和保障公司股东权益，公司通过股权控制关系对下属子公司实施控制。公司控股子公司实行董事会分层管理模式，公司制定了《大秦铁路股份有限公司投资管理办法》《大秦铁路股份有限公司股权投资管理办法》等符合公司法人治理和多元化发展要求的管理制度，对控股子公司在企业法人治理、重大事项管理、财务预算决算、股权投资收益等相关工作予以规范和管控。同时，加强对控股子公司经营风险的管控和</w:t>
              </w:r>
              <w:proofErr w:type="gramStart"/>
              <w:r>
                <w:rPr>
                  <w:rFonts w:hint="eastAsia"/>
                </w:rPr>
                <w:t>研判</w:t>
              </w:r>
              <w:proofErr w:type="gramEnd"/>
              <w:r>
                <w:rPr>
                  <w:rFonts w:hint="eastAsia"/>
                </w:rPr>
                <w:t>，依规指导控股子公司建立完善管理制度体系，切实防范控股子公司的管理风险。</w:t>
              </w:r>
            </w:sdtContent>
          </w:sdt>
        </w:p>
      </w:sdtContent>
    </w:sdt>
    <w:p w14:paraId="37CA8F27" w14:textId="77777777" w:rsidR="005E000F" w:rsidRDefault="00000000">
      <w:pPr>
        <w:tabs>
          <w:tab w:val="left" w:pos="2760"/>
        </w:tabs>
      </w:pPr>
      <w:bookmarkStart w:id="128" w:name="_Hlk190432193"/>
      <w:r>
        <w:rPr>
          <w:rFonts w:hint="eastAsia"/>
        </w:rPr>
        <w:t>对子公司的管理控制存在异常的风险提示</w:t>
      </w:r>
    </w:p>
    <w:sdt>
      <w:sdtPr>
        <w:rPr>
          <w:rFonts w:hint="eastAsia"/>
        </w:rPr>
        <w:alias w:val="是否适用：对子公司的管理控制存在异常的风险提示[双击切换]"/>
        <w:tag w:val="_GBC_edc1e7805eef4d0d8cc96ae5ea6f3fa6"/>
        <w:id w:val="1994296092"/>
        <w:placeholder>
          <w:docPart w:val="GBC22222222222222222222222222222"/>
        </w:placeholder>
      </w:sdtPr>
      <w:sdtContent>
        <w:p w14:paraId="70E2A8C0" w14:textId="77777777" w:rsidR="005E000F" w:rsidRDefault="0000000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bookmarkEnd w:id="128"/>
    <w:p w14:paraId="4270C8EF" w14:textId="77777777" w:rsidR="005E000F" w:rsidRDefault="00000000">
      <w:pPr>
        <w:pStyle w:val="2"/>
        <w:numPr>
          <w:ilvl w:val="0"/>
          <w:numId w:val="20"/>
        </w:numPr>
      </w:pPr>
      <w:r>
        <w:rPr>
          <w:rFonts w:hint="eastAsia"/>
        </w:rPr>
        <w:t>内部控制审计报告的相关情况说明</w:t>
      </w:r>
    </w:p>
    <w:sdt>
      <w:sdtPr>
        <w:rPr>
          <w:rFonts w:hint="eastAsia"/>
        </w:rPr>
        <w:alias w:val="是否适用：内部控制审计报告的相关情况说明[双击切换]"/>
        <w:tag w:val="_GBC_f9211f94ca4347ababf36cfb6829169a"/>
        <w:id w:val="1973489333"/>
        <w:placeholder>
          <w:docPart w:val="GBC22222222222222222222222222222"/>
        </w:placeholder>
      </w:sdtPr>
      <w:sdtContent>
        <w:p w14:paraId="7BD943F9"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审计报告与公司自我评价意见不一致情况"/>
        <w:tag w:val="_GBC_1abfe1ce3c2044e1a311865463691e52"/>
        <w:id w:val="1851213514"/>
        <w:placeholder>
          <w:docPart w:val="GBC22222222222222222222222222222"/>
        </w:placeholder>
      </w:sdtPr>
      <w:sdtContent>
        <w:p w14:paraId="5911AEC7" w14:textId="77777777" w:rsidR="005E000F" w:rsidRDefault="00000000">
          <w:pPr>
            <w:spacing w:line="360" w:lineRule="auto"/>
            <w:ind w:firstLineChars="200" w:firstLine="420"/>
          </w:pPr>
          <w:sdt>
            <w:sdtPr>
              <w:rPr>
                <w:rFonts w:hint="eastAsia"/>
              </w:rPr>
              <w:alias w:val="审计报告与公司自我评价意见不一致情况"/>
              <w:tag w:val="_GBC_1abfe1ce3c2044e1a311865463691e52"/>
              <w:id w:val="-127398144"/>
              <w:placeholder>
                <w:docPart w:val="9A9947B0546741C89ADEB8477BEA750D"/>
              </w:placeholder>
            </w:sdtPr>
            <w:sdtContent>
              <w:r>
                <w:rPr>
                  <w:rFonts w:hint="eastAsia"/>
                </w:rPr>
                <w:t>公司内部控制审计报告详见</w:t>
              </w:r>
              <w:r>
                <w:t>202</w:t>
              </w:r>
              <w:r>
                <w:rPr>
                  <w:rFonts w:hint="eastAsia"/>
                </w:rPr>
                <w:t>6</w:t>
              </w:r>
              <w:r>
                <w:t>年</w:t>
              </w:r>
              <w:r>
                <w:t>4</w:t>
              </w:r>
              <w:r>
                <w:t>月</w:t>
              </w:r>
              <w:r>
                <w:rPr>
                  <w:rFonts w:hint="eastAsia"/>
                </w:rPr>
                <w:t>30</w:t>
              </w:r>
              <w:r>
                <w:t>日登载于上海证券交易所网站的《大秦铁路股份有限公司</w:t>
              </w:r>
              <w:r>
                <w:t>202</w:t>
              </w:r>
              <w:r>
                <w:rPr>
                  <w:rFonts w:hint="eastAsia"/>
                </w:rPr>
                <w:t>5</w:t>
              </w:r>
              <w:r>
                <w:t>年度内部控制审计报告》。</w:t>
              </w:r>
            </w:sdtContent>
          </w:sdt>
        </w:p>
      </w:sdtContent>
    </w:sdt>
    <w:p w14:paraId="166AE3EF" w14:textId="77777777" w:rsidR="005E000F" w:rsidRDefault="00000000">
      <w:r>
        <w:t>是否披露内部控制审计报告：</w:t>
      </w:r>
      <w:sdt>
        <w:sdtPr>
          <w:alias w:val="审计机构是否对公司内部控制出具核实评价意见"/>
          <w:tag w:val="_GBC_c9f332f7c06944ebbd339ca86944d1e2"/>
          <w:id w:val="-72662081"/>
          <w:lock w:val="sdtLocked"/>
          <w:placeholder>
            <w:docPart w:val="GBC22222222222222222222222222222"/>
          </w:placeholder>
          <w:comboBox>
            <w:listItem w:displayText="是" w:value="true"/>
            <w:listItem w:displayText="否" w:value="false"/>
          </w:comboBox>
        </w:sdtPr>
        <w:sdtContent>
          <w:r>
            <w:t>是</w:t>
          </w:r>
        </w:sdtContent>
      </w:sdt>
    </w:p>
    <w:p w14:paraId="1DB700EC" w14:textId="77777777" w:rsidR="005E000F" w:rsidRDefault="00000000">
      <w:pPr>
        <w:rPr>
          <w:lang w:val="zh-CN"/>
        </w:rPr>
      </w:pPr>
      <w:r>
        <w:rPr>
          <w:rFonts w:hint="eastAsia"/>
          <w:lang w:val="zh-CN"/>
        </w:rPr>
        <w:t>内部控制审计报告意见类型：</w:t>
      </w:r>
      <w:sdt>
        <w:sdtPr>
          <w:rPr>
            <w:rFonts w:hint="eastAsia"/>
            <w:lang w:val="zh-CN"/>
          </w:rPr>
          <w:alias w:val="内部控制审计意见类型"/>
          <w:tag w:val="_GBC_70262b41c723466c879c062e5326eee3"/>
          <w:id w:val="1489431398"/>
          <w:placeholder>
            <w:docPart w:val="GBC22222222222222222222222222222"/>
          </w:placeholder>
          <w:comboBox>
            <w:listItem w:displayText="标准的无保留意见" w:value="标准的无保留意见"/>
            <w:listItem w:displayText="带强调事项段的无保留意见" w:value="带强调事项段的无保留意见"/>
            <w:listItem w:displayText="否定意见" w:value="否定意见"/>
            <w:listItem w:displayText="无法表示意见" w:value="无法表示意见"/>
          </w:comboBox>
        </w:sdtPr>
        <w:sdtContent>
          <w:r>
            <w:rPr>
              <w:rFonts w:hint="eastAsia"/>
              <w:lang w:val="zh-CN"/>
            </w:rPr>
            <w:t>标准的无保留意见</w:t>
          </w:r>
        </w:sdtContent>
      </w:sdt>
    </w:p>
    <w:p w14:paraId="10AB20F3" w14:textId="77777777" w:rsidR="005E000F" w:rsidRDefault="005E000F"/>
    <w:p w14:paraId="101BBB22" w14:textId="77777777" w:rsidR="005E000F" w:rsidRDefault="00000000">
      <w:bookmarkStart w:id="129" w:name="_Hlk219122302"/>
      <w:r>
        <w:rPr>
          <w:rFonts w:hint="eastAsia"/>
        </w:rPr>
        <w:t>报告期或上年度是否被出具内部控制非标准审计意见</w:t>
      </w:r>
    </w:p>
    <w:p w14:paraId="12E6CB51" w14:textId="77777777" w:rsidR="005E000F" w:rsidRDefault="00000000">
      <w:sdt>
        <w:sdtPr>
          <w:rPr>
            <w:rFonts w:hint="eastAsia"/>
          </w:rPr>
          <w:alias w:val="报告期或上年度是否被出具内部控制非标准审计意见[双击切换]"/>
          <w:tag w:val="_GBC_36a55dc92df44223953ae0ab74b84a2c"/>
          <w:id w:val="291573429"/>
          <w:placeholder>
            <w:docPart w:val="GBC22222222222222222222222222222"/>
          </w:placeholder>
        </w:sdtPr>
        <w:sdtContent>
          <w:r>
            <w:rPr>
              <w:rFonts w:ascii="宋体" w:hAnsi="宋体"/>
            </w:rPr>
            <w:fldChar w:fldCharType="begin"/>
          </w:r>
          <w:r>
            <w:rPr>
              <w:rFonts w:ascii="宋体" w:hAnsi="宋体"/>
            </w:rPr>
            <w:instrText xml:space="preserve"> MACROBUTTON  SnrToggleCheckbox □是 </w:instrText>
          </w:r>
          <w:r>
            <w:rPr>
              <w:rFonts w:ascii="宋体" w:hAnsi="宋体"/>
            </w:rPr>
            <w:fldChar w:fldCharType="end"/>
          </w:r>
          <w:r>
            <w:rPr>
              <w:rFonts w:ascii="宋体" w:hAnsi="宋体"/>
            </w:rPr>
            <w:fldChar w:fldCharType="begin"/>
          </w:r>
          <w:r>
            <w:rPr>
              <w:rFonts w:ascii="宋体" w:hAnsi="宋体"/>
            </w:rPr>
            <w:instrText xml:space="preserve"> MACROBUTTON  SnrToggleCheckbox √否 </w:instrText>
          </w:r>
          <w:r>
            <w:rPr>
              <w:rFonts w:ascii="宋体" w:hAnsi="宋体"/>
            </w:rPr>
            <w:fldChar w:fldCharType="end"/>
          </w:r>
        </w:sdtContent>
      </w:sdt>
      <w:bookmarkEnd w:id="129"/>
    </w:p>
    <w:p w14:paraId="3B128C3D" w14:textId="77777777" w:rsidR="005E000F" w:rsidRDefault="00000000">
      <w:pPr>
        <w:pStyle w:val="2"/>
        <w:numPr>
          <w:ilvl w:val="0"/>
          <w:numId w:val="20"/>
        </w:numPr>
        <w:ind w:left="420" w:hanging="420"/>
        <w:rPr>
          <w:rFonts w:ascii="宋体" w:hAnsi="宋体" w:cs="宋体"/>
          <w:kern w:val="0"/>
          <w:szCs w:val="24"/>
        </w:rPr>
      </w:pPr>
      <w:bookmarkStart w:id="130" w:name="_Hlk40625199"/>
      <w:bookmarkStart w:id="131" w:name="_Hlk40625163"/>
      <w:r>
        <w:rPr>
          <w:rFonts w:ascii="宋体" w:hAnsi="宋体" w:cs="宋体"/>
          <w:kern w:val="0"/>
          <w:szCs w:val="24"/>
        </w:rPr>
        <w:t>上市公司治理专项行动自查问题整改情况</w:t>
      </w:r>
    </w:p>
    <w:sdt>
      <w:sdtPr>
        <w:alias w:val="上市公司治理专项行动自查问题整改情况"/>
        <w:tag w:val="_GBC_05eb1501ffbf4b83acf20965ad06a2e0"/>
        <w:id w:val="-2032715970"/>
        <w:placeholder>
          <w:docPart w:val="GBC22222222222222222222222222222"/>
        </w:placeholder>
      </w:sdtPr>
      <w:sdtContent>
        <w:p w14:paraId="519AC146" w14:textId="77777777" w:rsidR="005E000F" w:rsidRDefault="00000000">
          <w:pPr>
            <w:spacing w:line="360" w:lineRule="auto"/>
            <w:ind w:firstLineChars="200" w:firstLine="420"/>
            <w:jc w:val="both"/>
          </w:pPr>
          <w:sdt>
            <w:sdtPr>
              <w:alias w:val="上市公司治理专项行动自查问题整改情况"/>
              <w:tag w:val="_GBC_05eb1501ffbf4b83acf20965ad06a2e0"/>
              <w:id w:val="-1253586477"/>
              <w:placeholder>
                <w:docPart w:val="0624734CAF524176AD55E0E351433BEB"/>
              </w:placeholder>
            </w:sdtPr>
            <w:sdtContent>
              <w:r>
                <w:rPr>
                  <w:rFonts w:hint="eastAsia"/>
                </w:rPr>
                <w:t>根据《国务院关于进一步提高上市公司质量的意见》（国发〔</w:t>
              </w:r>
              <w:r>
                <w:t>2020</w:t>
              </w:r>
              <w:r>
                <w:t>〕</w:t>
              </w:r>
              <w:r>
                <w:t>14</w:t>
              </w:r>
              <w:r>
                <w:t>号）文件要求和山西证监局关于开展上市公司治理专项行动的通知，公司完成了公司治理专项自查活动，通过</w:t>
              </w:r>
              <w:r>
                <w:rPr>
                  <w:rFonts w:hint="eastAsia"/>
                </w:rPr>
                <w:t>对董事</w:t>
              </w:r>
              <w:r>
                <w:rPr>
                  <w:rFonts w:hint="eastAsia"/>
                </w:rPr>
                <w:lastRenderedPageBreak/>
                <w:t>会、股东会</w:t>
              </w:r>
              <w:r>
                <w:t>的运行和决策、控股股东、实际控制人、关联交易、内部控制、信息披露等方面的自查与</w:t>
              </w:r>
              <w:r>
                <w:rPr>
                  <w:rFonts w:hint="eastAsia"/>
                </w:rPr>
                <w:t>监管现场检查，</w:t>
              </w:r>
              <w:r>
                <w:t>公司治理更加健全、有效、透明，内部和外部监督相互制衡，内部控制制度健全、运行有效，股东和利益相关者</w:t>
              </w:r>
              <w:r>
                <w:rPr>
                  <w:rFonts w:hint="eastAsia"/>
                </w:rPr>
                <w:t>的合法权益能够得到有效保障，在主要治理方面均符合监管部门有关要求。下一步，公司将认真贯彻落实中国证监会新一轮</w:t>
              </w:r>
              <w:r w:rsidR="00C42CAD">
                <w:rPr>
                  <w:rFonts w:hint="eastAsia"/>
                </w:rPr>
                <w:t>上市公司治理专项</w:t>
              </w:r>
              <w:r w:rsidR="00912BF1">
                <w:rPr>
                  <w:rFonts w:hint="eastAsia"/>
                </w:rPr>
                <w:t>行动</w:t>
              </w:r>
              <w:r>
                <w:t>等有关精神，进一步夯实公司规范发展基础，推动公司整体治理水平</w:t>
              </w:r>
              <w:r>
                <w:rPr>
                  <w:rFonts w:hint="eastAsia"/>
                </w:rPr>
                <w:t>迈上</w:t>
              </w:r>
              <w:r>
                <w:t>新台阶。</w:t>
              </w:r>
            </w:sdtContent>
          </w:sdt>
        </w:p>
      </w:sdtContent>
    </w:sdt>
    <w:p w14:paraId="38F56E5A" w14:textId="77777777" w:rsidR="005E000F" w:rsidRDefault="00000000">
      <w:pPr>
        <w:pStyle w:val="2"/>
        <w:numPr>
          <w:ilvl w:val="0"/>
          <w:numId w:val="20"/>
        </w:numPr>
        <w:ind w:left="420" w:hanging="420"/>
        <w:rPr>
          <w:rFonts w:ascii="宋体" w:hAnsi="宋体" w:cs="宋体"/>
          <w:kern w:val="0"/>
          <w:szCs w:val="24"/>
        </w:rPr>
      </w:pPr>
      <w:bookmarkStart w:id="132" w:name="_Hlk200011887"/>
      <w:bookmarkStart w:id="133" w:name="_Hlk217315508"/>
      <w:bookmarkStart w:id="134" w:name="_Hlk89187025"/>
      <w:bookmarkStart w:id="135" w:name="_Hlk89187063"/>
      <w:bookmarkEnd w:id="130"/>
      <w:bookmarkEnd w:id="131"/>
      <w:r>
        <w:rPr>
          <w:rFonts w:ascii="宋体" w:hAnsi="宋体" w:cs="宋体"/>
          <w:kern w:val="0"/>
          <w:szCs w:val="24"/>
        </w:rPr>
        <w:t>纳入环境信息依法披露企业名单的上市公司及其</w:t>
      </w:r>
      <w:r>
        <w:rPr>
          <w:rFonts w:ascii="宋体" w:hAnsi="宋体" w:cs="宋体" w:hint="eastAsia"/>
          <w:kern w:val="0"/>
          <w:szCs w:val="24"/>
        </w:rPr>
        <w:t>主要</w:t>
      </w:r>
      <w:r>
        <w:rPr>
          <w:rFonts w:ascii="宋体" w:hAnsi="宋体" w:cs="宋体"/>
          <w:kern w:val="0"/>
          <w:szCs w:val="24"/>
        </w:rPr>
        <w:t>子公司的环</w:t>
      </w:r>
      <w:r>
        <w:rPr>
          <w:rFonts w:ascii="宋体" w:hAnsi="宋体" w:cs="宋体" w:hint="eastAsia"/>
          <w:kern w:val="0"/>
          <w:szCs w:val="24"/>
        </w:rPr>
        <w:t>境</w:t>
      </w:r>
      <w:r>
        <w:rPr>
          <w:rFonts w:ascii="宋体" w:hAnsi="宋体" w:cs="宋体"/>
          <w:kern w:val="0"/>
          <w:szCs w:val="24"/>
        </w:rPr>
        <w:t>信息情况</w:t>
      </w:r>
    </w:p>
    <w:sdt>
      <w:sdtPr>
        <w:rPr>
          <w:rFonts w:hint="eastAsia"/>
          <w:color w:val="000000"/>
        </w:rPr>
        <w:alias w:val="是否适用：纳入环境信息依法披露企业名单的上市公司及其主要子公司的环境信息情况[双击切换]"/>
        <w:tag w:val="_GBC_6553e3da66c54f77a89d044d325fe993"/>
        <w:id w:val="-1523470710"/>
        <w:placeholder>
          <w:docPart w:val="GBC22222222222222222222222222222"/>
        </w:placeholder>
      </w:sdtPr>
      <w:sdtContent>
        <w:p w14:paraId="3A9736F5" w14:textId="77777777" w:rsidR="005E000F" w:rsidRDefault="00000000">
          <w:pPr>
            <w:rPr>
              <w:color w:val="000000"/>
            </w:rPr>
          </w:pPr>
          <w:r>
            <w:rPr>
              <w:rFonts w:ascii="宋体" w:hAnsi="宋体" w:hint="eastAsia"/>
              <w:color w:val="000000"/>
            </w:rPr>
            <w:fldChar w:fldCharType="begin"/>
          </w:r>
          <w:r>
            <w:rPr>
              <w:rFonts w:ascii="宋体" w:hAnsi="宋体" w:hint="eastAsia"/>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hint="eastAsia"/>
              <w:color w:val="000000"/>
            </w:rPr>
            <w:instrText xml:space="preserve"> MACROBUTTON  SnrToggleCheckbox □不适用 </w:instrText>
          </w:r>
          <w:r>
            <w:rPr>
              <w:rFonts w:ascii="宋体" w:hAnsi="宋体" w:hint="eastAsia"/>
              <w:color w:val="000000"/>
            </w:rPr>
            <w:fldChar w:fldCharType="end"/>
          </w:r>
        </w:p>
      </w:sdtContent>
    </w:sdt>
    <w:p w14:paraId="56241AB0" w14:textId="77777777" w:rsidR="005E000F" w:rsidRDefault="005E000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098"/>
        <w:gridCol w:w="7525"/>
      </w:tblGrid>
      <w:tr w:rsidR="005E000F" w14:paraId="0E529F47" w14:textId="77777777">
        <w:trPr>
          <w:trHeight w:val="270"/>
        </w:trPr>
        <w:sdt>
          <w:sdtPr>
            <w:tag w:val="_PLD_e65592890892416c8d7c50ff79b106ab"/>
            <w:id w:val="2091584463"/>
          </w:sdtPr>
          <w:sdtEndPr>
            <w:rPr>
              <w:rFonts w:hint="eastAsia"/>
            </w:rPr>
          </w:sdtEndPr>
          <w:sdtContent>
            <w:tc>
              <w:tcPr>
                <w:tcW w:w="1156" w:type="pct"/>
                <w:gridSpan w:val="2"/>
                <w:vAlign w:val="center"/>
              </w:tcPr>
              <w:p w14:paraId="4220A8EE" w14:textId="77777777" w:rsidR="005E000F" w:rsidRDefault="00000000">
                <w:pPr>
                  <w:rPr>
                    <w:color w:val="000000"/>
                  </w:rPr>
                </w:pPr>
                <w:r>
                  <w:rPr>
                    <w:color w:val="000000"/>
                  </w:rPr>
                  <w:t>纳入环境信息依法披露企业名单中的企业数量</w:t>
                </w:r>
                <w:r>
                  <w:rPr>
                    <w:rFonts w:hint="eastAsia"/>
                    <w:color w:val="000000"/>
                  </w:rPr>
                  <w:t>（</w:t>
                </w:r>
                <w:proofErr w:type="gramStart"/>
                <w:r>
                  <w:rPr>
                    <w:rFonts w:hint="eastAsia"/>
                    <w:color w:val="000000"/>
                  </w:rPr>
                  <w:t>个</w:t>
                </w:r>
                <w:proofErr w:type="gramEnd"/>
                <w:r>
                  <w:rPr>
                    <w:rFonts w:hint="eastAsia"/>
                    <w:color w:val="000000"/>
                  </w:rPr>
                  <w:t>）</w:t>
                </w:r>
              </w:p>
            </w:tc>
          </w:sdtContent>
        </w:sdt>
        <w:sdt>
          <w:sdtPr>
            <w:rPr>
              <w:rFonts w:hint="eastAsia"/>
              <w:color w:val="000000"/>
            </w:rPr>
            <w:alias w:val="纳入环境信息依法披露企业名单中的企业数量"/>
            <w:tag w:val="_GBC_7baa182ec31f4a64ab363ea9eeb644b7"/>
            <w:id w:val="1214317680"/>
          </w:sdtPr>
          <w:sdtContent>
            <w:tc>
              <w:tcPr>
                <w:tcW w:w="3844" w:type="pct"/>
                <w:vAlign w:val="center"/>
              </w:tcPr>
              <w:p w14:paraId="79FD87E0" w14:textId="77777777" w:rsidR="005E000F" w:rsidRDefault="00000000">
                <w:pPr>
                  <w:rPr>
                    <w:color w:val="000000"/>
                  </w:rPr>
                </w:pPr>
                <w:r>
                  <w:rPr>
                    <w:rFonts w:hint="eastAsia"/>
                    <w:color w:val="000000"/>
                  </w:rPr>
                  <w:t>2</w:t>
                </w:r>
              </w:p>
            </w:tc>
          </w:sdtContent>
        </w:sdt>
      </w:tr>
      <w:tr w:rsidR="005E000F" w14:paraId="3D304903" w14:textId="77777777">
        <w:trPr>
          <w:trHeight w:val="90"/>
        </w:trPr>
        <w:sdt>
          <w:sdtPr>
            <w:tag w:val="_PLD_aa5264c7cdd741a288e8817aeed291ec"/>
            <w:id w:val="-1931815719"/>
          </w:sdtPr>
          <w:sdtContent>
            <w:tc>
              <w:tcPr>
                <w:tcW w:w="235" w:type="pct"/>
              </w:tcPr>
              <w:p w14:paraId="12B526DC" w14:textId="77777777" w:rsidR="005E000F" w:rsidRDefault="00000000">
                <w:pPr>
                  <w:jc w:val="center"/>
                  <w:rPr>
                    <w:color w:val="000000"/>
                  </w:rPr>
                </w:pPr>
                <w:r>
                  <w:rPr>
                    <w:rFonts w:hint="eastAsia"/>
                    <w:color w:val="000000"/>
                  </w:rPr>
                  <w:t>序号</w:t>
                </w:r>
              </w:p>
            </w:tc>
          </w:sdtContent>
        </w:sdt>
        <w:sdt>
          <w:sdtPr>
            <w:tag w:val="_PLD_ea61f68d8edd490bba2d24075e39baf4"/>
            <w:id w:val="-399598268"/>
          </w:sdtPr>
          <w:sdtContent>
            <w:tc>
              <w:tcPr>
                <w:tcW w:w="921" w:type="pct"/>
                <w:vAlign w:val="center"/>
              </w:tcPr>
              <w:p w14:paraId="4AA08503" w14:textId="77777777" w:rsidR="005E000F" w:rsidRDefault="00000000">
                <w:pPr>
                  <w:jc w:val="center"/>
                  <w:rPr>
                    <w:color w:val="000000"/>
                  </w:rPr>
                </w:pPr>
                <w:r>
                  <w:rPr>
                    <w:rFonts w:hint="eastAsia"/>
                    <w:color w:val="000000"/>
                  </w:rPr>
                  <w:t>企业名称</w:t>
                </w:r>
              </w:p>
            </w:tc>
          </w:sdtContent>
        </w:sdt>
        <w:sdt>
          <w:sdtPr>
            <w:tag w:val="_PLD_ea32e24ff0034b8f8356ec47b456df6a"/>
            <w:id w:val="-1575348021"/>
          </w:sdtPr>
          <w:sdtContent>
            <w:tc>
              <w:tcPr>
                <w:tcW w:w="3844" w:type="pct"/>
                <w:vAlign w:val="center"/>
              </w:tcPr>
              <w:p w14:paraId="0B1B9BAF" w14:textId="77777777" w:rsidR="005E000F" w:rsidRDefault="00000000">
                <w:pPr>
                  <w:jc w:val="center"/>
                  <w:rPr>
                    <w:iCs/>
                    <w:color w:val="000000"/>
                  </w:rPr>
                </w:pPr>
                <w:r>
                  <w:rPr>
                    <w:rFonts w:hint="eastAsia"/>
                    <w:iCs/>
                    <w:color w:val="000000"/>
                  </w:rPr>
                  <w:t>环境信息依法披露报告的查询索引</w:t>
                </w:r>
              </w:p>
            </w:tc>
          </w:sdtContent>
        </w:sdt>
      </w:tr>
      <w:tr w:rsidR="005E000F" w14:paraId="37B026A6" w14:textId="77777777">
        <w:trPr>
          <w:trHeight w:val="270"/>
        </w:trPr>
        <w:tc>
          <w:tcPr>
            <w:tcW w:w="235" w:type="pct"/>
          </w:tcPr>
          <w:p w14:paraId="006DDA06" w14:textId="77777777" w:rsidR="005E000F" w:rsidRDefault="00000000">
            <w:r>
              <w:t>1</w:t>
            </w:r>
          </w:p>
        </w:tc>
        <w:tc>
          <w:tcPr>
            <w:tcW w:w="921" w:type="pct"/>
            <w:vAlign w:val="center"/>
          </w:tcPr>
          <w:p w14:paraId="1151DB2B" w14:textId="77777777" w:rsidR="005E000F" w:rsidRDefault="00000000">
            <w:r>
              <w:t>大秦铁路股份有限公司</w:t>
            </w:r>
            <w:proofErr w:type="gramStart"/>
            <w:r>
              <w:t>侯马北</w:t>
            </w:r>
            <w:proofErr w:type="gramEnd"/>
            <w:r>
              <w:t>机务段</w:t>
            </w:r>
          </w:p>
        </w:tc>
        <w:tc>
          <w:tcPr>
            <w:tcW w:w="3844" w:type="pct"/>
            <w:vAlign w:val="center"/>
          </w:tcPr>
          <w:p w14:paraId="0C51C2F0" w14:textId="77777777" w:rsidR="005E000F" w:rsidRDefault="00000000">
            <w:r>
              <w:t>企业环境信息依法披露系统（山西）</w:t>
            </w:r>
            <w:r>
              <w:t>https://sthjt.shanxi.gov.cn/qyhjxxyfpl/#/DisclosureDetail/1905465391534641153/2025</w:t>
            </w:r>
          </w:p>
        </w:tc>
      </w:tr>
      <w:tr w:rsidR="005E000F" w14:paraId="36EC23B6" w14:textId="77777777">
        <w:trPr>
          <w:trHeight w:val="270"/>
        </w:trPr>
        <w:tc>
          <w:tcPr>
            <w:tcW w:w="235" w:type="pct"/>
          </w:tcPr>
          <w:p w14:paraId="7BC78C00" w14:textId="77777777" w:rsidR="005E000F" w:rsidRDefault="00000000">
            <w:r>
              <w:t>2</w:t>
            </w:r>
          </w:p>
        </w:tc>
        <w:tc>
          <w:tcPr>
            <w:tcW w:w="921" w:type="pct"/>
            <w:vAlign w:val="center"/>
          </w:tcPr>
          <w:p w14:paraId="3152CE7E" w14:textId="77777777" w:rsidR="005E000F" w:rsidRDefault="00000000">
            <w:r>
              <w:t>大秦铁路股份有限公司太原机务段</w:t>
            </w:r>
          </w:p>
        </w:tc>
        <w:tc>
          <w:tcPr>
            <w:tcW w:w="3844" w:type="pct"/>
            <w:vAlign w:val="center"/>
          </w:tcPr>
          <w:p w14:paraId="50C8803A" w14:textId="77777777" w:rsidR="005E000F" w:rsidRDefault="00000000">
            <w:r>
              <w:t>企业环境信息依法披露系统（山西）</w:t>
            </w:r>
            <w:r>
              <w:t>https://sthjt.shanxi.gov.cn/qyhjxxyfpl/#/DisclosureDetail/1909165263471792130/2025</w:t>
            </w:r>
          </w:p>
        </w:tc>
      </w:tr>
    </w:tbl>
    <w:p w14:paraId="1C22D383" w14:textId="77777777" w:rsidR="005E000F" w:rsidRDefault="005E000F"/>
    <w:p w14:paraId="7F190C9F" w14:textId="77777777" w:rsidR="005E000F" w:rsidRDefault="00000000">
      <w:pPr>
        <w:rPr>
          <w:color w:val="000000"/>
        </w:rPr>
      </w:pPr>
      <w:r>
        <w:rPr>
          <w:rFonts w:hint="eastAsia"/>
          <w:color w:val="000000"/>
        </w:rPr>
        <w:t>其他说明</w:t>
      </w:r>
    </w:p>
    <w:sdt>
      <w:sdtPr>
        <w:rPr>
          <w:rFonts w:hint="eastAsia"/>
          <w:color w:val="000000"/>
        </w:rPr>
        <w:alias w:val="是否适用：纳入环境信息依法披露企业名单的上市公司及其主要子公司的环境信息情况其他说明[双击切换]"/>
        <w:tag w:val="_GBC_abd5627e0eb0427eb278825f1b086dc3"/>
        <w:id w:val="-1473668968"/>
        <w:placeholder>
          <w:docPart w:val="GBC22222222222222222222222222222"/>
        </w:placeholder>
      </w:sdtPr>
      <w:sdtContent>
        <w:p w14:paraId="7F062D43" w14:textId="77777777" w:rsidR="005E000F" w:rsidRDefault="00000000">
          <w:pPr>
            <w:rPr>
              <w:color w:val="000000"/>
            </w:rPr>
          </w:pPr>
          <w:r>
            <w:rPr>
              <w:rFonts w:ascii="宋体" w:hAnsi="宋体" w:hint="eastAsia"/>
              <w:color w:val="000000"/>
            </w:rPr>
            <w:fldChar w:fldCharType="begin"/>
          </w:r>
          <w:r>
            <w:rPr>
              <w:rFonts w:ascii="宋体" w:hAnsi="宋体"/>
              <w:color w:val="000000"/>
            </w:rPr>
            <w:instrText xml:space="preserve"> MACROBUTTON  SnrToggleCheckbox □适用 </w:instrText>
          </w:r>
          <w:r>
            <w:rPr>
              <w:rFonts w:ascii="宋体" w:hAnsi="宋体" w:hint="eastAsia"/>
              <w:color w:val="000000"/>
            </w:rPr>
            <w:fldChar w:fldCharType="end"/>
          </w:r>
          <w:r>
            <w:rPr>
              <w:rFonts w:ascii="宋体" w:hAnsi="宋体" w:hint="eastAsia"/>
              <w:color w:val="000000"/>
            </w:rPr>
            <w:fldChar w:fldCharType="begin"/>
          </w:r>
          <w:r>
            <w:rPr>
              <w:rFonts w:ascii="宋体" w:hAnsi="宋体"/>
              <w:color w:val="000000"/>
            </w:rPr>
            <w:instrText xml:space="preserve"> MACROBUTTON  SnrToggleCheckbox √不适用 </w:instrText>
          </w:r>
          <w:r>
            <w:rPr>
              <w:rFonts w:ascii="宋体" w:hAnsi="宋体" w:hint="eastAsia"/>
              <w:color w:val="000000"/>
            </w:rPr>
            <w:fldChar w:fldCharType="end"/>
          </w:r>
        </w:p>
      </w:sdtContent>
    </w:sdt>
    <w:bookmarkEnd w:id="132"/>
    <w:bookmarkEnd w:id="133"/>
    <w:p w14:paraId="2B036D22" w14:textId="77777777" w:rsidR="005E000F" w:rsidRDefault="00000000">
      <w:pPr>
        <w:pStyle w:val="2"/>
        <w:numPr>
          <w:ilvl w:val="0"/>
          <w:numId w:val="20"/>
        </w:numPr>
        <w:ind w:left="420" w:hanging="420"/>
        <w:rPr>
          <w:rFonts w:ascii="宋体" w:hAnsi="宋体" w:cs="宋体"/>
          <w:kern w:val="0"/>
          <w:szCs w:val="24"/>
        </w:rPr>
      </w:pPr>
      <w:r>
        <w:rPr>
          <w:rFonts w:ascii="宋体" w:hAnsi="宋体" w:cs="宋体"/>
          <w:kern w:val="0"/>
          <w:szCs w:val="24"/>
        </w:rPr>
        <w:t>社会责任工作情况</w:t>
      </w:r>
    </w:p>
    <w:p w14:paraId="3D7E8CB1" w14:textId="77777777" w:rsidR="005E000F" w:rsidRDefault="00000000">
      <w:pPr>
        <w:pStyle w:val="3"/>
        <w:numPr>
          <w:ilvl w:val="0"/>
          <w:numId w:val="28"/>
        </w:numPr>
        <w:rPr>
          <w:rFonts w:ascii="宋体" w:hAnsi="宋体"/>
        </w:rPr>
      </w:pPr>
      <w:r>
        <w:rPr>
          <w:rFonts w:ascii="宋体" w:hAnsi="宋体" w:hint="eastAsia"/>
        </w:rPr>
        <w:t>是否单独披露社会责任报告、可持续发展报告或ESG报告</w:t>
      </w:r>
    </w:p>
    <w:sdt>
      <w:sdtPr>
        <w:alias w:val="是否适用：是否单独披露社会责任报告、可持续发展报告或ESG报告[双击切换]"/>
        <w:tag w:val="_GBC_9e7dd53d4e6f44ea9f272442eb9babac"/>
        <w:id w:val="-2117975081"/>
        <w:placeholder>
          <w:docPart w:val="GBC22222222222222222222222222222"/>
        </w:placeholder>
      </w:sdtPr>
      <w:sdtContent>
        <w:p w14:paraId="3AE825E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是否单独披露社会责任报告、可持续发展报告或ESG报告"/>
        <w:tag w:val="_GBC_e26ad08dba0e483a908a6ff4e6e74e3f"/>
        <w:id w:val="-262994379"/>
        <w:placeholder>
          <w:docPart w:val="GBC22222222222222222222222222222"/>
        </w:placeholder>
      </w:sdtPr>
      <w:sdtContent>
        <w:p w14:paraId="77024928" w14:textId="77777777" w:rsidR="005E000F" w:rsidRDefault="00000000">
          <w:sdt>
            <w:sdtPr>
              <w:alias w:val="是否单独披露社会责任报告、可持续发展报告或ESG报告"/>
              <w:tag w:val="_GBC_e26ad08dba0e483a908a6ff4e6e74e3f"/>
              <w:id w:val="1631522643"/>
              <w:placeholder>
                <w:docPart w:val="D8F89ABD367E4D0E9F553E3638F3A23B"/>
              </w:placeholder>
            </w:sdtPr>
            <w:sdtContent>
              <w:r>
                <w:rPr>
                  <w:rFonts w:hint="eastAsia"/>
                </w:rPr>
                <w:t>内容详见</w:t>
              </w:r>
              <w:r>
                <w:t>202</w:t>
              </w:r>
              <w:r>
                <w:rPr>
                  <w:rFonts w:hint="eastAsia"/>
                </w:rPr>
                <w:t>6</w:t>
              </w:r>
              <w:r>
                <w:t>年</w:t>
              </w:r>
              <w:r>
                <w:t>4</w:t>
              </w:r>
              <w:r>
                <w:t>月</w:t>
              </w:r>
              <w:r>
                <w:rPr>
                  <w:rFonts w:hint="eastAsia"/>
                </w:rPr>
                <w:t>30</w:t>
              </w:r>
              <w:r>
                <w:t>日在上海证券交易所网站披露的《大秦铁路股份有限公司</w:t>
              </w:r>
              <w:r>
                <w:t>202</w:t>
              </w:r>
              <w:r>
                <w:rPr>
                  <w:rFonts w:hint="eastAsia"/>
                </w:rPr>
                <w:t>5</w:t>
              </w:r>
              <w:r>
                <w:t>年度</w:t>
              </w:r>
              <w:r>
                <w:rPr>
                  <w:rFonts w:hint="eastAsia"/>
                </w:rPr>
                <w:t>可持续发展</w:t>
              </w:r>
              <w:r>
                <w:t>报告》。</w:t>
              </w:r>
            </w:sdtContent>
          </w:sdt>
        </w:p>
      </w:sdtContent>
    </w:sdt>
    <w:p w14:paraId="2DBD7F9D" w14:textId="77777777" w:rsidR="005E000F" w:rsidRDefault="00000000">
      <w:pPr>
        <w:pStyle w:val="3"/>
        <w:numPr>
          <w:ilvl w:val="0"/>
          <w:numId w:val="28"/>
        </w:numPr>
        <w:rPr>
          <w:rFonts w:ascii="宋体" w:hAnsi="宋体"/>
        </w:rPr>
      </w:pPr>
      <w:r>
        <w:rPr>
          <w:rFonts w:ascii="宋体" w:hAnsi="宋体" w:hint="eastAsia"/>
        </w:rPr>
        <w:t>社会责任工作具体情况</w:t>
      </w:r>
    </w:p>
    <w:sdt>
      <w:sdtPr>
        <w:alias w:val="是否适用：社会责任工作具体情况[双击切换]"/>
        <w:tag w:val="_GBC_2bbbff88e2744d6dbb21a0a502bf51cf"/>
        <w:id w:val="1452662610"/>
        <w:placeholder>
          <w:docPart w:val="GBC22222222222222222222222222222"/>
        </w:placeholder>
      </w:sdtPr>
      <w:sdtContent>
        <w:p w14:paraId="59D57C15"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6"/>
        <w:gridCol w:w="2338"/>
        <w:gridCol w:w="3695"/>
      </w:tblGrid>
      <w:tr w:rsidR="005E000F" w14:paraId="1A5F7A25" w14:textId="77777777">
        <w:sdt>
          <w:sdtPr>
            <w:tag w:val="_PLD_8ccd1f20d787452283cca30b8be75dc8"/>
            <w:id w:val="-1311089735"/>
          </w:sdtPr>
          <w:sdtContent>
            <w:tc>
              <w:tcPr>
                <w:tcW w:w="3016" w:type="dxa"/>
                <w:vAlign w:val="center"/>
              </w:tcPr>
              <w:p w14:paraId="6E06077F" w14:textId="77777777" w:rsidR="005E000F" w:rsidRDefault="00000000">
                <w:pPr>
                  <w:widowControl w:val="0"/>
                  <w:jc w:val="center"/>
                </w:pPr>
                <w:r>
                  <w:rPr>
                    <w:rFonts w:hint="eastAsia"/>
                  </w:rPr>
                  <w:t>对外捐赠、公益项目</w:t>
                </w:r>
              </w:p>
            </w:tc>
          </w:sdtContent>
        </w:sdt>
        <w:sdt>
          <w:sdtPr>
            <w:tag w:val="_PLD_8451b9cc95c641c39056391d3348179e"/>
            <w:id w:val="625663858"/>
          </w:sdtPr>
          <w:sdtContent>
            <w:tc>
              <w:tcPr>
                <w:tcW w:w="2338" w:type="dxa"/>
                <w:vAlign w:val="center"/>
              </w:tcPr>
              <w:p w14:paraId="785A731E" w14:textId="77777777" w:rsidR="005E000F" w:rsidRDefault="00000000">
                <w:pPr>
                  <w:widowControl w:val="0"/>
                  <w:jc w:val="center"/>
                </w:pPr>
                <w:r>
                  <w:rPr>
                    <w:rFonts w:hint="eastAsia"/>
                  </w:rPr>
                  <w:t>数量</w:t>
                </w:r>
                <w:r>
                  <w:rPr>
                    <w:rFonts w:hint="eastAsia"/>
                  </w:rPr>
                  <w:t>/</w:t>
                </w:r>
                <w:r>
                  <w:rPr>
                    <w:rFonts w:hint="eastAsia"/>
                  </w:rPr>
                  <w:t>内容</w:t>
                </w:r>
              </w:p>
            </w:tc>
          </w:sdtContent>
        </w:sdt>
        <w:sdt>
          <w:sdtPr>
            <w:tag w:val="_PLD_681dc2272e304ef499f420c283e82d02"/>
            <w:id w:val="2130113325"/>
          </w:sdtPr>
          <w:sdtContent>
            <w:tc>
              <w:tcPr>
                <w:tcW w:w="3695" w:type="dxa"/>
                <w:vAlign w:val="center"/>
              </w:tcPr>
              <w:p w14:paraId="40FF39F6" w14:textId="77777777" w:rsidR="005E000F" w:rsidRDefault="00000000">
                <w:pPr>
                  <w:widowControl w:val="0"/>
                  <w:jc w:val="center"/>
                </w:pPr>
                <w:r>
                  <w:rPr>
                    <w:rFonts w:hint="eastAsia"/>
                  </w:rPr>
                  <w:t>情况说明</w:t>
                </w:r>
              </w:p>
            </w:tc>
          </w:sdtContent>
        </w:sdt>
      </w:tr>
      <w:tr w:rsidR="005E000F" w14:paraId="76C17399" w14:textId="77777777">
        <w:tc>
          <w:tcPr>
            <w:tcW w:w="3016" w:type="dxa"/>
            <w:vAlign w:val="center"/>
          </w:tcPr>
          <w:p w14:paraId="5BDDA6DF" w14:textId="77777777" w:rsidR="005E000F" w:rsidRDefault="00000000">
            <w:pPr>
              <w:widowControl w:val="0"/>
              <w:jc w:val="both"/>
            </w:pPr>
            <w:sdt>
              <w:sdtPr>
                <w:tag w:val="_PLD_0d7064bea05840f68cf6fa5a0fdfd98b"/>
                <w:id w:val="1657181738"/>
              </w:sdtPr>
              <w:sdtContent>
                <w:r>
                  <w:rPr>
                    <w:rFonts w:hint="eastAsia"/>
                  </w:rPr>
                  <w:t>总投入</w:t>
                </w:r>
              </w:sdtContent>
            </w:sdt>
            <w:r>
              <w:rPr>
                <w:rFonts w:hint="eastAsia"/>
              </w:rPr>
              <w:t>（</w:t>
            </w:r>
            <w:sdt>
              <w:sdtPr>
                <w:rPr>
                  <w:rFonts w:hint="eastAsia"/>
                </w:rPr>
                <w:alias w:val="单位：对外捐赠、公益项目总投入"/>
                <w:tag w:val="_GBC_aab341873e5d4b8da4321e41124d111c"/>
                <w:id w:val="443747841"/>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EndPr>
                <w:rPr>
                  <w:shd w:val="solid" w:color="FFFFFF" w:fill="auto"/>
                </w:rPr>
              </w:sdtEndPr>
              <w:sdtContent>
                <w:r>
                  <w:rPr>
                    <w:rFonts w:hint="eastAsia"/>
                  </w:rPr>
                  <w:t>万元</w:t>
                </w:r>
              </w:sdtContent>
            </w:sdt>
            <w:r>
              <w:rPr>
                <w:rFonts w:hint="eastAsia"/>
              </w:rPr>
              <w:t>）</w:t>
            </w:r>
          </w:p>
        </w:tc>
        <w:tc>
          <w:tcPr>
            <w:tcW w:w="2338" w:type="dxa"/>
            <w:vAlign w:val="center"/>
          </w:tcPr>
          <w:p w14:paraId="61579326" w14:textId="77777777" w:rsidR="005E000F" w:rsidRDefault="00000000">
            <w:pPr>
              <w:widowControl w:val="0"/>
              <w:jc w:val="right"/>
            </w:pPr>
            <w:r>
              <w:rPr>
                <w:rFonts w:hint="eastAsia"/>
              </w:rPr>
              <w:t>106.76</w:t>
            </w:r>
          </w:p>
        </w:tc>
        <w:tc>
          <w:tcPr>
            <w:tcW w:w="3695" w:type="dxa"/>
            <w:vAlign w:val="center"/>
          </w:tcPr>
          <w:p w14:paraId="77B50659" w14:textId="77777777" w:rsidR="005E000F" w:rsidRDefault="00000000">
            <w:pPr>
              <w:widowControl w:val="0"/>
              <w:jc w:val="both"/>
            </w:pPr>
            <w:r>
              <w:rPr>
                <w:rFonts w:hint="eastAsia"/>
              </w:rPr>
              <w:t>2025</w:t>
            </w:r>
            <w:r>
              <w:rPr>
                <w:rFonts w:hint="eastAsia"/>
              </w:rPr>
              <w:t>年，大秦铁路及其子公司、员工、客户等捐赠各类公益资金</w:t>
            </w:r>
            <w:r>
              <w:t>106.76</w:t>
            </w:r>
            <w:r>
              <w:rPr>
                <w:rFonts w:hint="eastAsia"/>
              </w:rPr>
              <w:t>万元。</w:t>
            </w:r>
          </w:p>
        </w:tc>
      </w:tr>
      <w:tr w:rsidR="005E000F" w14:paraId="35DC1A1E" w14:textId="77777777">
        <w:tc>
          <w:tcPr>
            <w:tcW w:w="3016" w:type="dxa"/>
            <w:vAlign w:val="center"/>
          </w:tcPr>
          <w:p w14:paraId="767CAABE" w14:textId="77777777" w:rsidR="005E000F" w:rsidRDefault="00000000">
            <w:pPr>
              <w:widowControl w:val="0"/>
              <w:jc w:val="both"/>
            </w:pPr>
            <w:sdt>
              <w:sdtPr>
                <w:tag w:val="_PLD_74e68264673c4597881c5410d63b6c6f"/>
                <w:id w:val="-1857872966"/>
              </w:sdtPr>
              <w:sdtContent>
                <w:r>
                  <w:rPr>
                    <w:rFonts w:hint="eastAsia"/>
                  </w:rPr>
                  <w:t>其中：资金</w:t>
                </w:r>
              </w:sdtContent>
            </w:sdt>
            <w:r>
              <w:rPr>
                <w:rFonts w:hint="eastAsia"/>
              </w:rPr>
              <w:t>（</w:t>
            </w:r>
            <w:sdt>
              <w:sdtPr>
                <w:rPr>
                  <w:rFonts w:hint="eastAsia"/>
                </w:rPr>
                <w:alias w:val="单位：对外捐赠、公益项目资金"/>
                <w:tag w:val="_GBC_cdf539ba1e6842ba87837cc093e99d8c"/>
                <w:id w:val="-364438688"/>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w:t>
            </w:r>
          </w:p>
        </w:tc>
        <w:tc>
          <w:tcPr>
            <w:tcW w:w="2338" w:type="dxa"/>
            <w:vAlign w:val="center"/>
          </w:tcPr>
          <w:p w14:paraId="27AF2619" w14:textId="77777777" w:rsidR="005E000F" w:rsidRDefault="00000000">
            <w:pPr>
              <w:widowControl w:val="0"/>
              <w:jc w:val="right"/>
            </w:pPr>
            <w:r>
              <w:rPr>
                <w:rFonts w:hint="eastAsia"/>
              </w:rPr>
              <w:t>106.76</w:t>
            </w:r>
          </w:p>
        </w:tc>
        <w:tc>
          <w:tcPr>
            <w:tcW w:w="3695" w:type="dxa"/>
            <w:vAlign w:val="center"/>
          </w:tcPr>
          <w:p w14:paraId="0555564A" w14:textId="77777777" w:rsidR="005E000F" w:rsidRDefault="005E000F">
            <w:pPr>
              <w:widowControl w:val="0"/>
              <w:jc w:val="both"/>
            </w:pPr>
          </w:p>
        </w:tc>
      </w:tr>
    </w:tbl>
    <w:p w14:paraId="57E2C471" w14:textId="77777777" w:rsidR="005E000F" w:rsidRDefault="005E000F"/>
    <w:p w14:paraId="31971132" w14:textId="77777777" w:rsidR="005E000F" w:rsidRDefault="00000000">
      <w:r>
        <w:rPr>
          <w:rFonts w:hint="eastAsia"/>
        </w:rPr>
        <w:t>具体说明</w:t>
      </w:r>
    </w:p>
    <w:sdt>
      <w:sdtPr>
        <w:rPr>
          <w:rFonts w:hint="eastAsia"/>
        </w:rPr>
        <w:alias w:val="是否适用：社会责任工作情况[双击切换]"/>
        <w:tag w:val="_GBC_193e5fab56724eddabaa8d0d74a4b129"/>
        <w:id w:val="740447767"/>
        <w:placeholder>
          <w:docPart w:val="GBC22222222222222222222222222222"/>
        </w:placeholder>
      </w:sdtPr>
      <w:sdtContent>
        <w:p w14:paraId="0B7B8575"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社会责任工作情况"/>
        <w:tag w:val="_GBC_a9b541509de44900b46d09bc29c43131"/>
        <w:id w:val="279542169"/>
        <w:placeholder>
          <w:docPart w:val="GBC22222222222222222222222222222"/>
        </w:placeholder>
      </w:sdtPr>
      <w:sdtContent>
        <w:p w14:paraId="1CBB8843" w14:textId="77777777" w:rsidR="005E000F" w:rsidRDefault="00000000">
          <w:sdt>
            <w:sdtPr>
              <w:alias w:val="社会责任工作情况"/>
              <w:tag w:val="_GBC_a9b541509de44900b46d09bc29c43131"/>
              <w:id w:val="1309905693"/>
              <w:placeholder>
                <w:docPart w:val="313CE5DCF9FD4645943FE6559D2C1B37"/>
              </w:placeholder>
            </w:sdtPr>
            <w:sdtContent>
              <w:r>
                <w:rPr>
                  <w:rFonts w:hint="eastAsia"/>
                </w:rPr>
                <w:t>内容详见《大秦铁路股份有限公司</w:t>
              </w:r>
              <w:r>
                <w:t>202</w:t>
              </w:r>
              <w:r>
                <w:rPr>
                  <w:rFonts w:hint="eastAsia"/>
                </w:rPr>
                <w:t>5</w:t>
              </w:r>
              <w:r>
                <w:t>年度</w:t>
              </w:r>
              <w:r>
                <w:rPr>
                  <w:rFonts w:hint="eastAsia"/>
                </w:rPr>
                <w:t>可持续发展</w:t>
              </w:r>
              <w:r>
                <w:t>报告》。</w:t>
              </w:r>
            </w:sdtContent>
          </w:sdt>
        </w:p>
      </w:sdtContent>
    </w:sdt>
    <w:p w14:paraId="61673300" w14:textId="77777777" w:rsidR="005E000F" w:rsidRDefault="005E000F"/>
    <w:p w14:paraId="4F1C7DD6" w14:textId="77777777" w:rsidR="005E000F" w:rsidRDefault="00000000">
      <w:pPr>
        <w:pStyle w:val="2"/>
        <w:numPr>
          <w:ilvl w:val="0"/>
          <w:numId w:val="20"/>
        </w:numPr>
        <w:ind w:left="420" w:hanging="420"/>
        <w:rPr>
          <w:rFonts w:ascii="宋体" w:hAnsi="宋体" w:cs="宋体"/>
          <w:kern w:val="0"/>
          <w:szCs w:val="24"/>
        </w:rPr>
      </w:pPr>
      <w:r>
        <w:rPr>
          <w:rFonts w:ascii="宋体" w:hAnsi="宋体" w:cs="宋体" w:hint="eastAsia"/>
          <w:kern w:val="0"/>
          <w:szCs w:val="24"/>
        </w:rPr>
        <w:t>巩固拓展脱贫攻坚成果、乡村振兴等工作具体情况</w:t>
      </w:r>
    </w:p>
    <w:sdt>
      <w:sdtPr>
        <w:alias w:val="是否适用：巩固拓展脱贫攻坚成果、乡村振兴工作具体情况[双击切换]"/>
        <w:tag w:val="_GBC_94f5c59c87964f1f83743f3f44109e91"/>
        <w:id w:val="818310000"/>
        <w:placeholder>
          <w:docPart w:val="GBC22222222222222222222222222222"/>
        </w:placeholder>
      </w:sdtPr>
      <w:sdtContent>
        <w:p w14:paraId="131457B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267"/>
        <w:gridCol w:w="3695"/>
      </w:tblGrid>
      <w:tr w:rsidR="005E000F" w14:paraId="4D78A4FD" w14:textId="77777777">
        <w:sdt>
          <w:sdtPr>
            <w:tag w:val="_PLD_d29d252d89d54e55bc5bc96bc0b5b469"/>
            <w:id w:val="-14391185"/>
          </w:sdtPr>
          <w:sdtContent>
            <w:tc>
              <w:tcPr>
                <w:tcW w:w="3085" w:type="dxa"/>
                <w:vAlign w:val="center"/>
              </w:tcPr>
              <w:p w14:paraId="0E76645F" w14:textId="77777777" w:rsidR="005E000F" w:rsidRDefault="00000000">
                <w:pPr>
                  <w:widowControl w:val="0"/>
                  <w:jc w:val="center"/>
                </w:pPr>
                <w:r>
                  <w:rPr>
                    <w:rFonts w:hint="eastAsia"/>
                  </w:rPr>
                  <w:t>扶贫及乡村振兴项目</w:t>
                </w:r>
              </w:p>
            </w:tc>
          </w:sdtContent>
        </w:sdt>
        <w:sdt>
          <w:sdtPr>
            <w:tag w:val="_PLD_a6391e1627b241d296ea0039eb1df6ec"/>
            <w:id w:val="-781950996"/>
          </w:sdtPr>
          <w:sdtContent>
            <w:tc>
              <w:tcPr>
                <w:tcW w:w="2267" w:type="dxa"/>
                <w:vAlign w:val="center"/>
              </w:tcPr>
              <w:p w14:paraId="6EF55644" w14:textId="77777777" w:rsidR="005E000F" w:rsidRDefault="00000000">
                <w:pPr>
                  <w:widowControl w:val="0"/>
                  <w:jc w:val="center"/>
                </w:pPr>
                <w:r>
                  <w:rPr>
                    <w:rFonts w:hint="eastAsia"/>
                  </w:rPr>
                  <w:t>数量</w:t>
                </w:r>
                <w:r>
                  <w:rPr>
                    <w:rFonts w:hint="eastAsia"/>
                  </w:rPr>
                  <w:t>/</w:t>
                </w:r>
                <w:r>
                  <w:rPr>
                    <w:rFonts w:hint="eastAsia"/>
                  </w:rPr>
                  <w:t>内容</w:t>
                </w:r>
              </w:p>
            </w:tc>
          </w:sdtContent>
        </w:sdt>
        <w:sdt>
          <w:sdtPr>
            <w:tag w:val="_PLD_a8d1c4a093dd414b9639e1cb3e55c142"/>
            <w:id w:val="1009250771"/>
          </w:sdtPr>
          <w:sdtContent>
            <w:tc>
              <w:tcPr>
                <w:tcW w:w="3695" w:type="dxa"/>
                <w:vAlign w:val="center"/>
              </w:tcPr>
              <w:p w14:paraId="54FB7307" w14:textId="77777777" w:rsidR="005E000F" w:rsidRDefault="00000000">
                <w:pPr>
                  <w:widowControl w:val="0"/>
                  <w:jc w:val="center"/>
                </w:pPr>
                <w:r>
                  <w:rPr>
                    <w:rFonts w:hint="eastAsia"/>
                  </w:rPr>
                  <w:t>情况说明</w:t>
                </w:r>
              </w:p>
            </w:tc>
          </w:sdtContent>
        </w:sdt>
      </w:tr>
      <w:tr w:rsidR="005E000F" w14:paraId="147E1062" w14:textId="77777777">
        <w:tc>
          <w:tcPr>
            <w:tcW w:w="3085" w:type="dxa"/>
            <w:vAlign w:val="center"/>
          </w:tcPr>
          <w:p w14:paraId="285E68C2" w14:textId="77777777" w:rsidR="005E000F" w:rsidRDefault="00000000">
            <w:pPr>
              <w:widowControl w:val="0"/>
            </w:pPr>
            <w:sdt>
              <w:sdtPr>
                <w:tag w:val="_PLD_dae771cda9a1484bba73d2b716e9e1d0"/>
                <w:id w:val="-1861654928"/>
              </w:sdtPr>
              <w:sdtContent>
                <w:r>
                  <w:rPr>
                    <w:rFonts w:hint="eastAsia"/>
                  </w:rPr>
                  <w:t>总投入</w:t>
                </w:r>
              </w:sdtContent>
            </w:sdt>
            <w:r>
              <w:rPr>
                <w:rFonts w:hint="eastAsia"/>
              </w:rPr>
              <w:t>（</w:t>
            </w:r>
            <w:sdt>
              <w:sdtPr>
                <w:rPr>
                  <w:rFonts w:hint="eastAsia"/>
                </w:rPr>
                <w:alias w:val="单位：扶贫总体投入"/>
                <w:tag w:val="_GBC_5f0221b7e67c41f098047fc332d7fdb0"/>
                <w:id w:val="785007319"/>
                <w:placeholder>
                  <w:docPart w:val="GBC11111111111111111111111111111"/>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w:t>
            </w:r>
          </w:p>
        </w:tc>
        <w:tc>
          <w:tcPr>
            <w:tcW w:w="2267" w:type="dxa"/>
            <w:vAlign w:val="center"/>
          </w:tcPr>
          <w:p w14:paraId="48E5B511" w14:textId="77777777" w:rsidR="005E000F" w:rsidRDefault="00000000">
            <w:pPr>
              <w:widowControl w:val="0"/>
              <w:jc w:val="right"/>
            </w:pPr>
            <w:r>
              <w:t>1,888.03</w:t>
            </w:r>
          </w:p>
        </w:tc>
        <w:tc>
          <w:tcPr>
            <w:tcW w:w="3695" w:type="dxa"/>
            <w:vAlign w:val="center"/>
          </w:tcPr>
          <w:p w14:paraId="2F6017CE" w14:textId="77777777" w:rsidR="005E000F" w:rsidRDefault="005E000F">
            <w:pPr>
              <w:widowControl w:val="0"/>
            </w:pPr>
          </w:p>
        </w:tc>
      </w:tr>
    </w:tbl>
    <w:p w14:paraId="43472B36" w14:textId="77777777" w:rsidR="005E000F" w:rsidRDefault="005E000F"/>
    <w:p w14:paraId="1C518585" w14:textId="77777777" w:rsidR="005E000F" w:rsidRDefault="00000000">
      <w:r>
        <w:t>具体说明</w:t>
      </w:r>
    </w:p>
    <w:sdt>
      <w:sdtPr>
        <w:alias w:val="是否适用：巩固拓展脱贫攻坚成果、乡村振兴等工作具体情况其他说明[双击切换]"/>
        <w:tag w:val="_GBC_da0a87234d174e509f00e24b4a8320dc"/>
        <w:id w:val="899178460"/>
        <w:placeholder>
          <w:docPart w:val="GBC22222222222222222222222222222"/>
        </w:placeholder>
      </w:sdtPr>
      <w:sdtContent>
        <w:p w14:paraId="7E7BFD0E"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Start w:id="136" w:name="_Hlk226711322" w:displacedByCustomXml="next"/>
    <w:sdt>
      <w:sdtPr>
        <w:rPr>
          <w:kern w:val="0"/>
          <w:sz w:val="21"/>
        </w:rPr>
        <w:alias w:val="巩固拓展脱贫攻坚成果、乡村振兴工作具体情况"/>
        <w:tag w:val="_GBC_6af1d9c635ca457eaede5db7b23daa68"/>
        <w:id w:val="-707729886"/>
        <w:placeholder>
          <w:docPart w:val="GBC22222222222222222222222222222"/>
        </w:placeholder>
      </w:sdtPr>
      <w:sdtEndPr>
        <w:rPr>
          <w:rFonts w:asciiTheme="minorEastAsia" w:eastAsiaTheme="minorEastAsia" w:hAnsiTheme="minorEastAsia"/>
          <w:kern w:val="2"/>
          <w:sz w:val="24"/>
        </w:rPr>
      </w:sdtEndPr>
      <w:sdtContent>
        <w:p w14:paraId="75A7F5B3" w14:textId="77777777" w:rsidR="005E000F" w:rsidRDefault="00000000">
          <w:pPr>
            <w:pStyle w:val="affc"/>
            <w:ind w:firstLine="420"/>
            <w:rPr>
              <w:rFonts w:ascii="宋体" w:hAnsi="宋体"/>
              <w:sz w:val="21"/>
            </w:rPr>
          </w:pPr>
          <w:r>
            <w:rPr>
              <w:rFonts w:ascii="宋体" w:hAnsi="宋体" w:hint="eastAsia"/>
              <w:sz w:val="21"/>
            </w:rPr>
            <w:t>公司深入学习贯彻中央《关于有力有序有效推广浙江“千万工程”经验的指导意见》，认真落实国铁集团党组关于支持乡村振兴工作的部署要求，全力推进山西革命老区的帮扶工作，为推进乡村振兴、建设宜</w:t>
          </w:r>
          <w:proofErr w:type="gramStart"/>
          <w:r>
            <w:rPr>
              <w:rFonts w:ascii="宋体" w:hAnsi="宋体" w:hint="eastAsia"/>
              <w:sz w:val="21"/>
            </w:rPr>
            <w:t>居宜业</w:t>
          </w:r>
          <w:proofErr w:type="gramEnd"/>
          <w:r>
            <w:rPr>
              <w:rFonts w:ascii="宋体" w:hAnsi="宋体" w:hint="eastAsia"/>
              <w:sz w:val="21"/>
            </w:rPr>
            <w:t>和美乡村</w:t>
          </w:r>
          <w:proofErr w:type="gramStart"/>
          <w:r>
            <w:rPr>
              <w:rFonts w:ascii="宋体" w:hAnsi="宋体" w:hint="eastAsia"/>
              <w:sz w:val="21"/>
            </w:rPr>
            <w:t>作出</w:t>
          </w:r>
          <w:proofErr w:type="gramEnd"/>
          <w:r>
            <w:rPr>
              <w:rFonts w:ascii="宋体" w:hAnsi="宋体" w:hint="eastAsia"/>
              <w:sz w:val="21"/>
            </w:rPr>
            <w:t>积极贡献。</w:t>
          </w:r>
        </w:p>
        <w:p w14:paraId="4789B85B" w14:textId="77777777" w:rsidR="005E000F" w:rsidRDefault="00000000">
          <w:pPr>
            <w:pStyle w:val="affc"/>
            <w:ind w:firstLine="420"/>
            <w:rPr>
              <w:rFonts w:ascii="宋体" w:hAnsi="宋体"/>
              <w:sz w:val="21"/>
            </w:rPr>
          </w:pPr>
          <w:r>
            <w:rPr>
              <w:rFonts w:ascii="宋体" w:hAnsi="宋体" w:hint="eastAsia"/>
              <w:sz w:val="21"/>
            </w:rPr>
            <w:t>公司立足铁路行业优势，构建了“运输帮扶+产业培育+乡村建设+党建引领”的立体化帮扶模式，持续加大对定点帮扶地区的投入，助力农业强、农村美、农民富。以定点帮扶村段家沟村、鱼头村为重点，联动晋蒙沿线脱贫县，推动乡村产业、人才、文化、生态、组织全面振兴，助力巩固拓展脱贫攻坚成果与乡村振兴有效衔接。</w:t>
          </w:r>
          <w:bookmarkEnd w:id="136"/>
        </w:p>
        <w:p w14:paraId="09725D4B" w14:textId="77777777" w:rsidR="005E000F" w:rsidRDefault="00000000">
          <w:pPr>
            <w:pStyle w:val="affc"/>
            <w:ind w:firstLine="422"/>
            <w:rPr>
              <w:rFonts w:ascii="宋体" w:hAnsi="宋体"/>
              <w:b/>
              <w:bCs/>
              <w:sz w:val="21"/>
            </w:rPr>
          </w:pPr>
          <w:r>
            <w:rPr>
              <w:rFonts w:ascii="宋体" w:hAnsi="宋体" w:hint="eastAsia"/>
              <w:b/>
              <w:bCs/>
              <w:sz w:val="21"/>
            </w:rPr>
            <w:t>巩固脱贫成果，增进民生福祉</w:t>
          </w:r>
        </w:p>
        <w:p w14:paraId="0371BEBF" w14:textId="77777777" w:rsidR="005E000F" w:rsidRDefault="00000000">
          <w:pPr>
            <w:spacing w:line="360" w:lineRule="auto"/>
            <w:ind w:firstLine="480"/>
            <w:rPr>
              <w:rFonts w:ascii="宋体" w:hAnsi="宋体"/>
              <w:kern w:val="2"/>
            </w:rPr>
          </w:pPr>
          <w:r>
            <w:rPr>
              <w:rFonts w:ascii="宋体" w:hAnsi="宋体" w:hint="eastAsia"/>
              <w:kern w:val="2"/>
            </w:rPr>
            <w:t>2025年，公司投入帮扶资金55.04万元，用于帮扶村居家养老驿站配套设施建设和出村道路桥梁新建，直接改善村民生活与出行条件。引入第三方资金30万元，完成村级文化广场、戏台等设施的整修，丰富村民精神文化生活。</w:t>
          </w:r>
        </w:p>
        <w:p w14:paraId="3DAF5737" w14:textId="77777777" w:rsidR="005E000F" w:rsidRDefault="00000000">
          <w:pPr>
            <w:spacing w:line="360" w:lineRule="auto"/>
            <w:ind w:leftChars="200" w:left="420"/>
            <w:outlineLvl w:val="3"/>
            <w:rPr>
              <w:rFonts w:ascii="宋体" w:hAnsi="宋体"/>
              <w:b/>
              <w:bCs/>
              <w:kern w:val="2"/>
            </w:rPr>
          </w:pPr>
          <w:r>
            <w:rPr>
              <w:rFonts w:ascii="宋体" w:hAnsi="宋体" w:hint="eastAsia"/>
              <w:b/>
              <w:bCs/>
              <w:kern w:val="2"/>
            </w:rPr>
            <w:t>推动产业就业，激发内生动力</w:t>
          </w:r>
        </w:p>
        <w:p w14:paraId="0AB1AACE" w14:textId="77777777" w:rsidR="005E000F" w:rsidRDefault="00000000">
          <w:pPr>
            <w:spacing w:line="360" w:lineRule="auto"/>
            <w:ind w:firstLine="480"/>
            <w:rPr>
              <w:rFonts w:ascii="宋体" w:hAnsi="宋体"/>
              <w:kern w:val="2"/>
            </w:rPr>
          </w:pPr>
          <w:r>
            <w:rPr>
              <w:rFonts w:ascii="宋体" w:hAnsi="宋体" w:hint="eastAsia"/>
              <w:kern w:val="2"/>
            </w:rPr>
            <w:t>通过扶持晋中</w:t>
          </w:r>
          <w:proofErr w:type="gramStart"/>
          <w:r>
            <w:rPr>
              <w:rFonts w:ascii="宋体" w:hAnsi="宋体" w:hint="eastAsia"/>
              <w:kern w:val="2"/>
            </w:rPr>
            <w:t>长龙天</w:t>
          </w:r>
          <w:proofErr w:type="gramEnd"/>
          <w:r>
            <w:rPr>
              <w:rFonts w:ascii="宋体" w:hAnsi="宋体" w:hint="eastAsia"/>
              <w:kern w:val="2"/>
            </w:rPr>
            <w:t>源科技有限公司等帮扶企业，开发适销对路产品，创造就业岗位53个，人均月收入</w:t>
          </w:r>
          <w:r>
            <w:rPr>
              <w:rFonts w:ascii="宋体" w:hAnsi="宋体"/>
              <w:kern w:val="2"/>
            </w:rPr>
            <w:t>超3,000元。举办技能培训班，累计培训农民技术人员252人次。积极拓展消费帮扶渠道，将22个国家级脱贫县48家企业产品引入89对动车组餐吧、30个车站</w:t>
          </w:r>
          <w:r>
            <w:rPr>
              <w:rFonts w:ascii="宋体" w:hAnsi="宋体" w:hint="eastAsia"/>
              <w:kern w:val="2"/>
            </w:rPr>
            <w:t>特产店“帮扶产品专柜”，</w:t>
          </w:r>
          <w:r>
            <w:rPr>
              <w:rFonts w:ascii="宋体" w:hAnsi="宋体"/>
              <w:kern w:val="2"/>
            </w:rPr>
            <w:t>帮销</w:t>
          </w:r>
          <w:r>
            <w:rPr>
              <w:rFonts w:ascii="宋体" w:hAnsi="宋体" w:hint="eastAsia"/>
              <w:kern w:val="2"/>
            </w:rPr>
            <w:t>产品</w:t>
          </w:r>
          <w:r>
            <w:rPr>
              <w:rFonts w:ascii="宋体" w:hAnsi="宋体"/>
              <w:kern w:val="2"/>
            </w:rPr>
            <w:t>151.83万元；</w:t>
          </w:r>
          <w:r>
            <w:rPr>
              <w:rFonts w:ascii="宋体" w:hAnsi="宋体" w:hint="eastAsia"/>
              <w:kern w:val="2"/>
            </w:rPr>
            <w:t>完成国家级脱贫县农产品消费帮扶任务</w:t>
          </w:r>
          <w:r>
            <w:rPr>
              <w:rFonts w:ascii="宋体" w:hAnsi="宋体"/>
              <w:kern w:val="2"/>
            </w:rPr>
            <w:t>1</w:t>
          </w:r>
          <w:r>
            <w:rPr>
              <w:rFonts w:ascii="宋体" w:hAnsi="宋体" w:hint="eastAsia"/>
              <w:kern w:val="2"/>
            </w:rPr>
            <w:t>,</w:t>
          </w:r>
          <w:r>
            <w:rPr>
              <w:rFonts w:ascii="宋体" w:hAnsi="宋体"/>
              <w:kern w:val="2"/>
            </w:rPr>
            <w:t>888.03万元</w:t>
          </w:r>
          <w:r>
            <w:rPr>
              <w:rFonts w:ascii="宋体" w:hAnsi="宋体" w:hint="eastAsia"/>
              <w:kern w:val="2"/>
            </w:rPr>
            <w:t>，通过节日慰问、时令助销等活动，帮助帮扶村销售红薯、酥梨、黄杏等农产品累计为村民增收超49万元。</w:t>
          </w:r>
        </w:p>
        <w:p w14:paraId="5CF261CC" w14:textId="77777777" w:rsidR="005E000F" w:rsidRDefault="00000000">
          <w:pPr>
            <w:spacing w:line="360" w:lineRule="auto"/>
            <w:ind w:leftChars="200" w:left="420"/>
            <w:outlineLvl w:val="3"/>
            <w:rPr>
              <w:rFonts w:ascii="宋体" w:hAnsi="宋体"/>
              <w:b/>
              <w:bCs/>
              <w:kern w:val="2"/>
            </w:rPr>
          </w:pPr>
          <w:r>
            <w:rPr>
              <w:rFonts w:ascii="宋体" w:hAnsi="宋体" w:hint="eastAsia"/>
              <w:b/>
              <w:bCs/>
              <w:kern w:val="2"/>
            </w:rPr>
            <w:t>助力“五大振兴”，建设美丽乡村</w:t>
          </w:r>
        </w:p>
        <w:tbl>
          <w:tblPr>
            <w:tblW w:w="5807" w:type="pct"/>
            <w:jc w:val="center"/>
            <w:tblBorders>
              <w:top w:val="single" w:sz="12" w:space="0" w:color="010000"/>
              <w:left w:val="single" w:sz="12" w:space="0" w:color="010000"/>
              <w:bottom w:val="single" w:sz="12" w:space="0" w:color="010000"/>
              <w:right w:val="single" w:sz="12" w:space="0" w:color="010000"/>
              <w:insideH w:val="single" w:sz="4" w:space="0" w:color="010000"/>
              <w:insideV w:val="single" w:sz="4" w:space="0" w:color="010000"/>
            </w:tblBorders>
            <w:tblLook w:val="04A0" w:firstRow="1" w:lastRow="0" w:firstColumn="1" w:lastColumn="0" w:noHBand="0" w:noVBand="1"/>
          </w:tblPr>
          <w:tblGrid>
            <w:gridCol w:w="1373"/>
            <w:gridCol w:w="9137"/>
          </w:tblGrid>
          <w:tr w:rsidR="005E000F" w14:paraId="085FC5AA" w14:textId="77777777">
            <w:trPr>
              <w:cantSplit/>
              <w:trHeight w:val="371"/>
              <w:jc w:val="center"/>
            </w:trPr>
            <w:tc>
              <w:tcPr>
                <w:tcW w:w="653" w:type="pct"/>
                <w:tcBorders>
                  <w:top w:val="single" w:sz="12" w:space="0" w:color="010000"/>
                  <w:left w:val="single" w:sz="12" w:space="0" w:color="010000"/>
                  <w:bottom w:val="single" w:sz="4" w:space="0" w:color="010000"/>
                  <w:right w:val="single" w:sz="4" w:space="0" w:color="010000"/>
                </w:tcBorders>
                <w:shd w:val="clear" w:color="auto" w:fill="E6E0EC" w:themeFill="accent4" w:themeFillTint="32"/>
                <w:vAlign w:val="center"/>
              </w:tcPr>
              <w:p w14:paraId="599EBB74" w14:textId="77777777" w:rsidR="005E000F" w:rsidRDefault="00000000">
                <w:pPr>
                  <w:keepNext/>
                  <w:spacing w:line="460" w:lineRule="exact"/>
                  <w:jc w:val="center"/>
                  <w:rPr>
                    <w:b/>
                    <w:color w:val="000000"/>
                  </w:rPr>
                </w:pPr>
                <w:r>
                  <w:rPr>
                    <w:rFonts w:ascii="宋体" w:hAnsi="宋体"/>
                    <w:b/>
                    <w:color w:val="000000"/>
                  </w:rPr>
                  <w:t>振兴类别</w:t>
                </w:r>
              </w:p>
            </w:tc>
            <w:tc>
              <w:tcPr>
                <w:tcW w:w="4346" w:type="pct"/>
                <w:tcBorders>
                  <w:top w:val="single" w:sz="12" w:space="0" w:color="010000"/>
                  <w:left w:val="single" w:sz="4" w:space="0" w:color="010000"/>
                  <w:bottom w:val="single" w:sz="4" w:space="0" w:color="010000"/>
                  <w:right w:val="single" w:sz="12" w:space="0" w:color="010000"/>
                </w:tcBorders>
                <w:shd w:val="clear" w:color="auto" w:fill="E6E0EC" w:themeFill="accent4" w:themeFillTint="32"/>
                <w:vAlign w:val="center"/>
              </w:tcPr>
              <w:p w14:paraId="398A4402" w14:textId="77777777" w:rsidR="005E000F" w:rsidRDefault="00000000">
                <w:pPr>
                  <w:keepNext/>
                  <w:spacing w:line="460" w:lineRule="exact"/>
                  <w:ind w:firstLine="422"/>
                  <w:jc w:val="center"/>
                  <w:rPr>
                    <w:b/>
                    <w:color w:val="000000"/>
                  </w:rPr>
                </w:pPr>
                <w:r>
                  <w:rPr>
                    <w:rFonts w:ascii="宋体" w:hAnsi="宋体"/>
                    <w:b/>
                    <w:color w:val="000000"/>
                  </w:rPr>
                  <w:t>核心举措</w:t>
                </w:r>
              </w:p>
            </w:tc>
          </w:tr>
          <w:tr w:rsidR="005E000F" w14:paraId="3C255FDC" w14:textId="77777777">
            <w:trPr>
              <w:cantSplit/>
              <w:trHeight w:val="643"/>
              <w:jc w:val="center"/>
            </w:trPr>
            <w:tc>
              <w:tcPr>
                <w:tcW w:w="653" w:type="pct"/>
                <w:tcBorders>
                  <w:top w:val="single" w:sz="4" w:space="0" w:color="010000"/>
                  <w:left w:val="single" w:sz="12" w:space="0" w:color="010000"/>
                  <w:bottom w:val="single" w:sz="4" w:space="0" w:color="010000"/>
                  <w:right w:val="single" w:sz="4" w:space="0" w:color="010000"/>
                </w:tcBorders>
                <w:vAlign w:val="center"/>
              </w:tcPr>
              <w:p w14:paraId="5D2EC26E" w14:textId="77777777" w:rsidR="005E000F" w:rsidRDefault="00000000">
                <w:pPr>
                  <w:spacing w:line="460" w:lineRule="exact"/>
                  <w:jc w:val="center"/>
                  <w:rPr>
                    <w:color w:val="000000"/>
                  </w:rPr>
                </w:pPr>
                <w:r>
                  <w:rPr>
                    <w:rFonts w:ascii="宋体" w:hAnsi="宋体"/>
                    <w:color w:val="000000"/>
                  </w:rPr>
                  <w:t>产业振兴</w:t>
                </w:r>
              </w:p>
            </w:tc>
            <w:tc>
              <w:tcPr>
                <w:tcW w:w="4346" w:type="pct"/>
                <w:tcBorders>
                  <w:top w:val="single" w:sz="4" w:space="0" w:color="010000"/>
                  <w:left w:val="single" w:sz="4" w:space="0" w:color="010000"/>
                  <w:bottom w:val="single" w:sz="4" w:space="0" w:color="010000"/>
                  <w:right w:val="single" w:sz="12" w:space="0" w:color="010000"/>
                </w:tcBorders>
                <w:vAlign w:val="center"/>
              </w:tcPr>
              <w:p w14:paraId="65E5CE39" w14:textId="77777777" w:rsidR="005E000F" w:rsidRDefault="00000000">
                <w:pPr>
                  <w:spacing w:line="420" w:lineRule="exact"/>
                  <w:ind w:firstLine="420"/>
                  <w:rPr>
                    <w:color w:val="000000"/>
                  </w:rPr>
                </w:pPr>
                <w:r>
                  <w:rPr>
                    <w:rFonts w:ascii="宋体" w:hAnsi="宋体"/>
                    <w:color w:val="000000"/>
                  </w:rPr>
                  <w:t>依托</w:t>
                </w:r>
                <w:r>
                  <w:rPr>
                    <w:rFonts w:ascii="宋体" w:hAnsi="宋体" w:hint="eastAsia"/>
                    <w:color w:val="000000"/>
                  </w:rPr>
                  <w:t>公司</w:t>
                </w:r>
                <w:r>
                  <w:rPr>
                    <w:rFonts w:ascii="宋体" w:hAnsi="宋体"/>
                    <w:color w:val="000000"/>
                  </w:rPr>
                  <w:t>控股企业晋中</w:t>
                </w:r>
                <w:proofErr w:type="gramStart"/>
                <w:r>
                  <w:rPr>
                    <w:rFonts w:ascii="宋体" w:hAnsi="宋体"/>
                    <w:color w:val="000000"/>
                  </w:rPr>
                  <w:t>长龙天</w:t>
                </w:r>
                <w:proofErr w:type="gramEnd"/>
                <w:r>
                  <w:rPr>
                    <w:rFonts w:ascii="宋体" w:hAnsi="宋体"/>
                    <w:color w:val="000000"/>
                  </w:rPr>
                  <w:t>源科技有限公司，</w:t>
                </w:r>
                <w:r>
                  <w:rPr>
                    <w:rFonts w:ascii="宋体" w:hAnsi="宋体" w:hint="eastAsia"/>
                    <w:color w:val="000000"/>
                  </w:rPr>
                  <w:t>吸</w:t>
                </w:r>
                <w:r>
                  <w:rPr>
                    <w:color w:val="000000"/>
                  </w:rPr>
                  <w:t>纳</w:t>
                </w:r>
                <w:r>
                  <w:rPr>
                    <w:color w:val="000000"/>
                  </w:rPr>
                  <w:t>53</w:t>
                </w:r>
                <w:r>
                  <w:rPr>
                    <w:color w:val="000000"/>
                  </w:rPr>
                  <w:t>名</w:t>
                </w:r>
                <w:r>
                  <w:rPr>
                    <w:rFonts w:ascii="宋体" w:hAnsi="宋体" w:hint="eastAsia"/>
                    <w:color w:val="000000"/>
                  </w:rPr>
                  <w:t>脱贫</w:t>
                </w:r>
                <w:r>
                  <w:rPr>
                    <w:rFonts w:ascii="宋体" w:hAnsi="宋体"/>
                    <w:color w:val="000000"/>
                  </w:rPr>
                  <w:t>村民</w:t>
                </w:r>
                <w:r>
                  <w:rPr>
                    <w:rFonts w:ascii="宋体" w:hAnsi="宋体" w:hint="eastAsia"/>
                    <w:color w:val="000000"/>
                  </w:rPr>
                  <w:t>就业</w:t>
                </w:r>
                <w:r>
                  <w:rPr>
                    <w:rFonts w:ascii="宋体" w:hAnsi="宋体"/>
                    <w:color w:val="000000"/>
                  </w:rPr>
                  <w:t>，开展脱贫村民岗前岗中培训</w:t>
                </w:r>
                <w:r>
                  <w:rPr>
                    <w:color w:val="000000"/>
                  </w:rPr>
                  <w:t>252</w:t>
                </w:r>
                <w:r>
                  <w:rPr>
                    <w:rFonts w:ascii="宋体" w:hAnsi="宋体"/>
                    <w:color w:val="000000"/>
                  </w:rPr>
                  <w:t>人次</w:t>
                </w:r>
                <w:r>
                  <w:rPr>
                    <w:rFonts w:ascii="宋体" w:hAnsi="宋体" w:hint="eastAsia"/>
                    <w:color w:val="000000"/>
                  </w:rPr>
                  <w:t>，</w:t>
                </w:r>
                <w:r>
                  <w:rPr>
                    <w:rFonts w:ascii="宋体" w:hAnsi="宋体"/>
                    <w:color w:val="000000"/>
                  </w:rPr>
                  <w:t>实现</w:t>
                </w:r>
                <w:r>
                  <w:rPr>
                    <w:rFonts w:ascii="宋体" w:hAnsi="宋体" w:hint="eastAsia"/>
                    <w:color w:val="000000"/>
                  </w:rPr>
                  <w:t>铁路车辆五</w:t>
                </w:r>
                <w:r>
                  <w:rPr>
                    <w:rFonts w:ascii="宋体" w:hAnsi="宋体"/>
                    <w:color w:val="000000"/>
                  </w:rPr>
                  <w:t>种</w:t>
                </w:r>
                <w:r>
                  <w:rPr>
                    <w:rFonts w:ascii="宋体" w:hAnsi="宋体" w:hint="eastAsia"/>
                    <w:color w:val="000000"/>
                  </w:rPr>
                  <w:t>专用</w:t>
                </w:r>
                <w:r>
                  <w:rPr>
                    <w:rFonts w:ascii="宋体" w:hAnsi="宋体"/>
                    <w:color w:val="000000"/>
                  </w:rPr>
                  <w:t>配件</w:t>
                </w:r>
                <w:r>
                  <w:rPr>
                    <w:rFonts w:ascii="宋体" w:hAnsi="宋体" w:hint="eastAsia"/>
                    <w:color w:val="000000"/>
                  </w:rPr>
                  <w:t>自主</w:t>
                </w:r>
                <w:r>
                  <w:rPr>
                    <w:rFonts w:ascii="宋体" w:hAnsi="宋体"/>
                    <w:color w:val="000000"/>
                  </w:rPr>
                  <w:t>生产与内部市场转化</w:t>
                </w:r>
                <w:r>
                  <w:rPr>
                    <w:rFonts w:ascii="宋体" w:hAnsi="宋体" w:hint="eastAsia"/>
                    <w:color w:val="000000"/>
                  </w:rPr>
                  <w:t>。</w:t>
                </w:r>
              </w:p>
            </w:tc>
          </w:tr>
          <w:tr w:rsidR="005E000F" w14:paraId="547CC550" w14:textId="77777777">
            <w:trPr>
              <w:cantSplit/>
              <w:trHeight w:val="643"/>
              <w:jc w:val="center"/>
            </w:trPr>
            <w:tc>
              <w:tcPr>
                <w:tcW w:w="653" w:type="pct"/>
                <w:tcBorders>
                  <w:top w:val="single" w:sz="4" w:space="0" w:color="010000"/>
                  <w:left w:val="single" w:sz="12" w:space="0" w:color="010000"/>
                  <w:bottom w:val="single" w:sz="4" w:space="0" w:color="010000"/>
                  <w:right w:val="single" w:sz="4" w:space="0" w:color="010000"/>
                </w:tcBorders>
                <w:vAlign w:val="center"/>
              </w:tcPr>
              <w:p w14:paraId="00DB5E22" w14:textId="77777777" w:rsidR="005E000F" w:rsidRDefault="00000000">
                <w:pPr>
                  <w:spacing w:line="460" w:lineRule="exact"/>
                  <w:jc w:val="center"/>
                  <w:rPr>
                    <w:color w:val="000000"/>
                  </w:rPr>
                </w:pPr>
                <w:r>
                  <w:rPr>
                    <w:rFonts w:ascii="宋体" w:hAnsi="宋体"/>
                    <w:color w:val="000000"/>
                  </w:rPr>
                  <w:t>人才振兴</w:t>
                </w:r>
              </w:p>
            </w:tc>
            <w:tc>
              <w:tcPr>
                <w:tcW w:w="4346" w:type="pct"/>
                <w:tcBorders>
                  <w:top w:val="single" w:sz="4" w:space="0" w:color="010000"/>
                  <w:left w:val="single" w:sz="4" w:space="0" w:color="010000"/>
                  <w:bottom w:val="single" w:sz="4" w:space="0" w:color="010000"/>
                  <w:right w:val="single" w:sz="12" w:space="0" w:color="010000"/>
                </w:tcBorders>
                <w:vAlign w:val="center"/>
              </w:tcPr>
              <w:p w14:paraId="7AB6DE58" w14:textId="77777777" w:rsidR="005E000F" w:rsidRDefault="00000000">
                <w:pPr>
                  <w:spacing w:line="420" w:lineRule="exact"/>
                  <w:ind w:firstLine="420"/>
                  <w:rPr>
                    <w:color w:val="000000"/>
                  </w:rPr>
                </w:pPr>
                <w:r>
                  <w:rPr>
                    <w:rFonts w:ascii="宋体" w:hAnsi="宋体" w:hint="eastAsia"/>
                    <w:color w:val="000000"/>
                  </w:rPr>
                  <w:t>引导和吸收脱贫地区建档立</w:t>
                </w:r>
                <w:proofErr w:type="gramStart"/>
                <w:r>
                  <w:rPr>
                    <w:rFonts w:ascii="宋体" w:hAnsi="宋体" w:hint="eastAsia"/>
                    <w:color w:val="000000"/>
                  </w:rPr>
                  <w:t>卡贫困</w:t>
                </w:r>
                <w:proofErr w:type="gramEnd"/>
                <w:r>
                  <w:rPr>
                    <w:rFonts w:ascii="宋体" w:hAnsi="宋体" w:hint="eastAsia"/>
                    <w:color w:val="000000"/>
                  </w:rPr>
                  <w:t>大学生到公司就业，</w:t>
                </w:r>
                <w:r>
                  <w:rPr>
                    <w:rFonts w:ascii="宋体" w:hAnsi="宋体"/>
                    <w:color w:val="000000"/>
                  </w:rPr>
                  <w:t>新接收国家级脱贫县大学生</w:t>
                </w:r>
                <w:r>
                  <w:t>804</w:t>
                </w:r>
                <w:r>
                  <w:rPr>
                    <w:rFonts w:ascii="宋体" w:hAnsi="宋体"/>
                    <w:color w:val="000000"/>
                  </w:rPr>
                  <w:t>人；</w:t>
                </w:r>
                <w:r>
                  <w:rPr>
                    <w:rFonts w:ascii="宋体" w:hAnsi="宋体" w:hint="eastAsia"/>
                    <w:color w:val="000000"/>
                  </w:rPr>
                  <w:t>公司管内铁路施工企业优先培训使用</w:t>
                </w:r>
                <w:r>
                  <w:rPr>
                    <w:rFonts w:ascii="宋体" w:hAnsi="宋体"/>
                    <w:color w:val="000000"/>
                  </w:rPr>
                  <w:t>老少边穷地区技术人员、农民工</w:t>
                </w:r>
                <w:r>
                  <w:rPr>
                    <w:color w:val="000000"/>
                  </w:rPr>
                  <w:t>178</w:t>
                </w:r>
                <w:r>
                  <w:rPr>
                    <w:rFonts w:ascii="宋体" w:hAnsi="宋体"/>
                    <w:color w:val="000000"/>
                  </w:rPr>
                  <w:t>人</w:t>
                </w:r>
                <w:r>
                  <w:rPr>
                    <w:rFonts w:ascii="宋体" w:hAnsi="宋体" w:hint="eastAsia"/>
                    <w:color w:val="000000"/>
                  </w:rPr>
                  <w:t>。</w:t>
                </w:r>
              </w:p>
            </w:tc>
          </w:tr>
          <w:tr w:rsidR="005E000F" w14:paraId="0A7D0001" w14:textId="77777777">
            <w:trPr>
              <w:cantSplit/>
              <w:trHeight w:val="961"/>
              <w:jc w:val="center"/>
            </w:trPr>
            <w:tc>
              <w:tcPr>
                <w:tcW w:w="653" w:type="pct"/>
                <w:tcBorders>
                  <w:top w:val="single" w:sz="4" w:space="0" w:color="010000"/>
                  <w:left w:val="single" w:sz="12" w:space="0" w:color="010000"/>
                  <w:bottom w:val="single" w:sz="4" w:space="0" w:color="010000"/>
                  <w:right w:val="single" w:sz="4" w:space="0" w:color="010000"/>
                </w:tcBorders>
                <w:vAlign w:val="center"/>
              </w:tcPr>
              <w:p w14:paraId="51AA704B" w14:textId="77777777" w:rsidR="005E000F" w:rsidRDefault="00000000">
                <w:pPr>
                  <w:spacing w:line="460" w:lineRule="exact"/>
                  <w:jc w:val="center"/>
                  <w:rPr>
                    <w:color w:val="000000"/>
                  </w:rPr>
                </w:pPr>
                <w:r>
                  <w:rPr>
                    <w:rFonts w:ascii="宋体" w:hAnsi="宋体"/>
                    <w:color w:val="000000"/>
                  </w:rPr>
                  <w:t>文化振兴</w:t>
                </w:r>
              </w:p>
            </w:tc>
            <w:tc>
              <w:tcPr>
                <w:tcW w:w="4346" w:type="pct"/>
                <w:tcBorders>
                  <w:top w:val="single" w:sz="4" w:space="0" w:color="010000"/>
                  <w:left w:val="single" w:sz="4" w:space="0" w:color="010000"/>
                  <w:bottom w:val="single" w:sz="4" w:space="0" w:color="010000"/>
                  <w:right w:val="single" w:sz="12" w:space="0" w:color="010000"/>
                </w:tcBorders>
                <w:vAlign w:val="center"/>
              </w:tcPr>
              <w:p w14:paraId="12A2CC1C" w14:textId="77777777" w:rsidR="005E000F" w:rsidRDefault="00000000">
                <w:pPr>
                  <w:spacing w:line="420" w:lineRule="exact"/>
                  <w:ind w:firstLine="420"/>
                  <w:rPr>
                    <w:color w:val="000000"/>
                  </w:rPr>
                </w:pPr>
                <w:r>
                  <w:rPr>
                    <w:rFonts w:ascii="宋体" w:hAnsi="宋体" w:hint="eastAsia"/>
                    <w:color w:val="000000"/>
                  </w:rPr>
                  <w:t>在两个帮扶村</w:t>
                </w:r>
                <w:r>
                  <w:rPr>
                    <w:rFonts w:ascii="宋体" w:hAnsi="宋体"/>
                    <w:color w:val="000000"/>
                  </w:rPr>
                  <w:t>开展道德标兵、</w:t>
                </w:r>
                <w:r>
                  <w:rPr>
                    <w:rFonts w:ascii="宋体" w:hAnsi="宋体" w:hint="eastAsia"/>
                    <w:color w:val="000000"/>
                  </w:rPr>
                  <w:t>致富能手</w:t>
                </w:r>
                <w:r>
                  <w:rPr>
                    <w:rFonts w:ascii="宋体" w:hAnsi="宋体"/>
                    <w:color w:val="000000"/>
                  </w:rPr>
                  <w:t>等评选活动，通过爱心超市积分兑换</w:t>
                </w:r>
                <w:r>
                  <w:rPr>
                    <w:color w:val="000000"/>
                  </w:rPr>
                  <w:t>73</w:t>
                </w:r>
                <w:r>
                  <w:rPr>
                    <w:rFonts w:hint="eastAsia"/>
                  </w:rPr>
                  <w:t>,</w:t>
                </w:r>
                <w:r>
                  <w:rPr>
                    <w:color w:val="000000"/>
                  </w:rPr>
                  <w:t>197</w:t>
                </w:r>
                <w:r>
                  <w:rPr>
                    <w:rFonts w:ascii="宋体" w:hAnsi="宋体"/>
                    <w:color w:val="000000"/>
                  </w:rPr>
                  <w:t>分，激发乡村精神</w:t>
                </w:r>
                <w:r>
                  <w:rPr>
                    <w:rFonts w:ascii="宋体" w:hAnsi="宋体" w:hint="eastAsia"/>
                    <w:color w:val="000000"/>
                  </w:rPr>
                  <w:t>文明建设</w:t>
                </w:r>
                <w:r>
                  <w:rPr>
                    <w:rFonts w:ascii="宋体" w:hAnsi="宋体"/>
                    <w:color w:val="000000"/>
                  </w:rPr>
                  <w:t>内生动力</w:t>
                </w:r>
                <w:r>
                  <w:rPr>
                    <w:rFonts w:ascii="宋体" w:hAnsi="宋体" w:hint="eastAsia"/>
                    <w:color w:val="000000"/>
                  </w:rPr>
                  <w:t>；为村民播放电影戏剧196场次，开展传统文化展播和党的政策宣传。</w:t>
                </w:r>
              </w:p>
            </w:tc>
          </w:tr>
          <w:tr w:rsidR="005E000F" w14:paraId="0F2B0F76" w14:textId="77777777">
            <w:trPr>
              <w:cantSplit/>
              <w:trHeight w:val="643"/>
              <w:jc w:val="center"/>
            </w:trPr>
            <w:tc>
              <w:tcPr>
                <w:tcW w:w="653" w:type="pct"/>
                <w:tcBorders>
                  <w:top w:val="single" w:sz="4" w:space="0" w:color="010000"/>
                  <w:left w:val="single" w:sz="12" w:space="0" w:color="010000"/>
                  <w:bottom w:val="single" w:sz="4" w:space="0" w:color="010000"/>
                  <w:right w:val="single" w:sz="4" w:space="0" w:color="010000"/>
                </w:tcBorders>
                <w:vAlign w:val="center"/>
              </w:tcPr>
              <w:p w14:paraId="7875D1D2" w14:textId="77777777" w:rsidR="005E000F" w:rsidRDefault="00000000">
                <w:pPr>
                  <w:spacing w:line="460" w:lineRule="exact"/>
                  <w:jc w:val="center"/>
                  <w:rPr>
                    <w:color w:val="000000"/>
                  </w:rPr>
                </w:pPr>
                <w:r>
                  <w:rPr>
                    <w:rFonts w:ascii="宋体" w:hAnsi="宋体"/>
                    <w:color w:val="000000"/>
                  </w:rPr>
                  <w:t>生态振兴</w:t>
                </w:r>
              </w:p>
            </w:tc>
            <w:tc>
              <w:tcPr>
                <w:tcW w:w="4346" w:type="pct"/>
                <w:tcBorders>
                  <w:top w:val="single" w:sz="4" w:space="0" w:color="010000"/>
                  <w:left w:val="single" w:sz="4" w:space="0" w:color="010000"/>
                  <w:bottom w:val="single" w:sz="4" w:space="0" w:color="010000"/>
                  <w:right w:val="single" w:sz="12" w:space="0" w:color="010000"/>
                </w:tcBorders>
                <w:vAlign w:val="center"/>
              </w:tcPr>
              <w:p w14:paraId="5AFF4C9D" w14:textId="77777777" w:rsidR="005E000F" w:rsidRDefault="00000000">
                <w:pPr>
                  <w:spacing w:line="420" w:lineRule="exact"/>
                  <w:ind w:firstLine="420"/>
                  <w:rPr>
                    <w:color w:val="000000"/>
                  </w:rPr>
                </w:pPr>
                <w:r>
                  <w:rPr>
                    <w:rFonts w:ascii="宋体" w:hAnsi="宋体"/>
                    <w:color w:val="000000"/>
                  </w:rPr>
                  <w:t>开展</w:t>
                </w:r>
                <w:r>
                  <w:rPr>
                    <w:color w:val="000000"/>
                  </w:rPr>
                  <w:t>“</w:t>
                </w:r>
                <w:r>
                  <w:rPr>
                    <w:rFonts w:ascii="宋体" w:hAnsi="宋体"/>
                    <w:color w:val="000000"/>
                  </w:rPr>
                  <w:t>消灭垃圾歼灭战</w:t>
                </w:r>
                <w:r>
                  <w:rPr>
                    <w:color w:val="000000"/>
                  </w:rPr>
                  <w:t>”</w:t>
                </w:r>
                <w:r>
                  <w:rPr>
                    <w:rFonts w:hint="eastAsia"/>
                    <w:color w:val="000000"/>
                  </w:rPr>
                  <w:t>活动</w:t>
                </w:r>
                <w:r>
                  <w:rPr>
                    <w:rFonts w:ascii="宋体" w:hAnsi="宋体"/>
                    <w:color w:val="000000"/>
                  </w:rPr>
                  <w:t>，组织党员群众清理</w:t>
                </w:r>
                <w:r>
                  <w:rPr>
                    <w:rFonts w:ascii="宋体" w:hAnsi="宋体" w:hint="eastAsia"/>
                    <w:color w:val="000000"/>
                  </w:rPr>
                  <w:t>村</w:t>
                </w:r>
                <w:r>
                  <w:rPr>
                    <w:rFonts w:ascii="宋体" w:hAnsi="宋体"/>
                    <w:color w:val="000000"/>
                  </w:rPr>
                  <w:t>外周边农药瓶、化肥袋，</w:t>
                </w:r>
                <w:r>
                  <w:rPr>
                    <w:rFonts w:ascii="宋体" w:hAnsi="宋体" w:hint="eastAsia"/>
                    <w:color w:val="000000"/>
                  </w:rPr>
                  <w:t>促进</w:t>
                </w:r>
                <w:r>
                  <w:rPr>
                    <w:rFonts w:ascii="宋体" w:hAnsi="宋体"/>
                    <w:color w:val="000000"/>
                  </w:rPr>
                  <w:t>乡村生态环境</w:t>
                </w:r>
                <w:r>
                  <w:rPr>
                    <w:rFonts w:ascii="宋体" w:hAnsi="宋体" w:hint="eastAsia"/>
                    <w:color w:val="000000"/>
                  </w:rPr>
                  <w:t>改善。</w:t>
                </w:r>
              </w:p>
            </w:tc>
          </w:tr>
          <w:tr w:rsidR="005E000F" w14:paraId="5620DE43" w14:textId="77777777">
            <w:trPr>
              <w:cantSplit/>
              <w:trHeight w:val="666"/>
              <w:jc w:val="center"/>
            </w:trPr>
            <w:tc>
              <w:tcPr>
                <w:tcW w:w="653" w:type="pct"/>
                <w:tcBorders>
                  <w:top w:val="single" w:sz="4" w:space="0" w:color="010000"/>
                  <w:left w:val="single" w:sz="12" w:space="0" w:color="010000"/>
                  <w:bottom w:val="single" w:sz="12" w:space="0" w:color="010000"/>
                  <w:right w:val="single" w:sz="4" w:space="0" w:color="010000"/>
                </w:tcBorders>
                <w:vAlign w:val="center"/>
              </w:tcPr>
              <w:p w14:paraId="01FCCEFA" w14:textId="77777777" w:rsidR="005E000F" w:rsidRDefault="00000000">
                <w:pPr>
                  <w:spacing w:line="460" w:lineRule="exact"/>
                  <w:jc w:val="center"/>
                  <w:rPr>
                    <w:color w:val="000000"/>
                  </w:rPr>
                </w:pPr>
                <w:r>
                  <w:rPr>
                    <w:rFonts w:ascii="宋体" w:hAnsi="宋体"/>
                    <w:color w:val="000000"/>
                  </w:rPr>
                  <w:t>组织振兴</w:t>
                </w:r>
              </w:p>
            </w:tc>
            <w:tc>
              <w:tcPr>
                <w:tcW w:w="4346" w:type="pct"/>
                <w:tcBorders>
                  <w:top w:val="single" w:sz="4" w:space="0" w:color="010000"/>
                  <w:left w:val="single" w:sz="4" w:space="0" w:color="010000"/>
                  <w:bottom w:val="single" w:sz="12" w:space="0" w:color="010000"/>
                  <w:right w:val="single" w:sz="12" w:space="0" w:color="010000"/>
                </w:tcBorders>
                <w:vAlign w:val="center"/>
              </w:tcPr>
              <w:p w14:paraId="5A9D0DA2" w14:textId="77777777" w:rsidR="005E000F" w:rsidRDefault="00000000">
                <w:pPr>
                  <w:spacing w:line="420" w:lineRule="exact"/>
                  <w:ind w:firstLine="420"/>
                  <w:rPr>
                    <w:color w:val="000000"/>
                  </w:rPr>
                </w:pPr>
                <w:r>
                  <w:rPr>
                    <w:rFonts w:ascii="宋体" w:hAnsi="宋体"/>
                    <w:color w:val="000000"/>
                  </w:rPr>
                  <w:t>推进铁路党总支与帮扶村党支部联学联建，开展</w:t>
                </w:r>
                <w:r>
                  <w:rPr>
                    <w:rFonts w:ascii="宋体" w:hAnsi="宋体" w:hint="eastAsia"/>
                    <w:color w:val="000000"/>
                  </w:rPr>
                  <w:t>“</w:t>
                </w:r>
                <w:r>
                  <w:rPr>
                    <w:rFonts w:ascii="宋体" w:hAnsi="宋体"/>
                    <w:color w:val="000000"/>
                  </w:rPr>
                  <w:t>读书分享会”</w:t>
                </w:r>
                <w:r>
                  <w:rPr>
                    <w:rFonts w:ascii="宋体" w:hAnsi="宋体" w:hint="eastAsia"/>
                    <w:color w:val="000000"/>
                  </w:rPr>
                  <w:t>等</w:t>
                </w:r>
                <w:r>
                  <w:rPr>
                    <w:rFonts w:ascii="宋体" w:hAnsi="宋体"/>
                    <w:color w:val="000000"/>
                  </w:rPr>
                  <w:t>主题党日活动</w:t>
                </w:r>
                <w:r>
                  <w:rPr>
                    <w:color w:val="000000"/>
                  </w:rPr>
                  <w:t>15</w:t>
                </w:r>
                <w:r>
                  <w:rPr>
                    <w:rFonts w:ascii="宋体" w:hAnsi="宋体"/>
                    <w:color w:val="000000"/>
                  </w:rPr>
                  <w:t>次，赠送学习书籍</w:t>
                </w:r>
                <w:r>
                  <w:rPr>
                    <w:rFonts w:ascii="宋体" w:hAnsi="宋体" w:hint="eastAsia"/>
                    <w:color w:val="000000"/>
                  </w:rPr>
                  <w:t>、</w:t>
                </w:r>
                <w:r>
                  <w:rPr>
                    <w:rFonts w:ascii="宋体" w:hAnsi="宋体"/>
                    <w:color w:val="000000"/>
                  </w:rPr>
                  <w:t>宣传资料等</w:t>
                </w:r>
                <w:r>
                  <w:rPr>
                    <w:color w:val="000000"/>
                  </w:rPr>
                  <w:t>1</w:t>
                </w:r>
                <w:r>
                  <w:rPr>
                    <w:rFonts w:hint="eastAsia"/>
                  </w:rPr>
                  <w:t>,</w:t>
                </w:r>
                <w:r>
                  <w:rPr>
                    <w:color w:val="000000"/>
                  </w:rPr>
                  <w:t>000</w:t>
                </w:r>
                <w:r>
                  <w:rPr>
                    <w:rFonts w:ascii="宋体" w:hAnsi="宋体"/>
                    <w:color w:val="000000"/>
                  </w:rPr>
                  <w:t>余册</w:t>
                </w:r>
                <w:r>
                  <w:rPr>
                    <w:rFonts w:ascii="宋体" w:hAnsi="宋体" w:hint="eastAsia"/>
                    <w:color w:val="000000"/>
                  </w:rPr>
                  <w:t>。</w:t>
                </w:r>
              </w:p>
            </w:tc>
          </w:tr>
        </w:tbl>
        <w:p w14:paraId="45FB9C16" w14:textId="77777777" w:rsidR="005E000F" w:rsidRDefault="00000000">
          <w:pPr>
            <w:spacing w:beforeLines="50" w:before="120" w:afterLines="50" w:after="120"/>
            <w:ind w:leftChars="200" w:left="420"/>
            <w:outlineLvl w:val="3"/>
            <w:rPr>
              <w:rFonts w:asciiTheme="minorEastAsia" w:eastAsiaTheme="minorEastAsia" w:hAnsiTheme="minorEastAsia" w:cs="微软雅黑"/>
              <w:b/>
              <w:bCs/>
              <w14:ligatures w14:val="standardContextual"/>
            </w:rPr>
          </w:pPr>
          <w:r>
            <w:rPr>
              <w:rFonts w:asciiTheme="minorEastAsia" w:eastAsiaTheme="minorEastAsia" w:hAnsiTheme="minorEastAsia" w:cs="微软雅黑" w:hint="eastAsia"/>
              <w:b/>
              <w:bCs/>
              <w14:ligatures w14:val="standardContextual"/>
            </w:rPr>
            <w:t>发挥行业优势，畅通致富通道</w:t>
          </w:r>
        </w:p>
        <w:p w14:paraId="609FD979" w14:textId="77777777" w:rsidR="005E000F" w:rsidRDefault="00000000">
          <w:pPr>
            <w:pStyle w:val="affc"/>
            <w:ind w:firstLine="420"/>
            <w:rPr>
              <w:rFonts w:asciiTheme="minorEastAsia" w:eastAsiaTheme="minorEastAsia" w:hAnsiTheme="minorEastAsia"/>
              <w:sz w:val="21"/>
            </w:rPr>
          </w:pPr>
          <w:r>
            <w:rPr>
              <w:rFonts w:asciiTheme="minorEastAsia" w:eastAsiaTheme="minorEastAsia" w:hAnsiTheme="minorEastAsia" w:hint="eastAsia"/>
              <w:sz w:val="21"/>
            </w:rPr>
            <w:lastRenderedPageBreak/>
            <w:t>利用</w:t>
          </w:r>
          <w:r>
            <w:rPr>
              <w:rFonts w:asciiTheme="minorEastAsia" w:eastAsiaTheme="minorEastAsia" w:hAnsiTheme="minorEastAsia"/>
              <w:sz w:val="21"/>
            </w:rPr>
            <w:t>新开通运营的集大原高铁</w:t>
          </w:r>
          <w:r>
            <w:rPr>
              <w:rFonts w:asciiTheme="minorEastAsia" w:eastAsiaTheme="minorEastAsia" w:hAnsiTheme="minorEastAsia" w:hint="eastAsia"/>
              <w:sz w:val="21"/>
            </w:rPr>
            <w:t>开</w:t>
          </w:r>
          <w:r>
            <w:rPr>
              <w:rFonts w:asciiTheme="minorEastAsia" w:eastAsiaTheme="minorEastAsia" w:hAnsiTheme="minorEastAsia"/>
              <w:sz w:val="21"/>
            </w:rPr>
            <w:t>行旅客列车，</w:t>
          </w:r>
          <w:r>
            <w:rPr>
              <w:rFonts w:asciiTheme="minorEastAsia" w:eastAsiaTheme="minorEastAsia" w:hAnsiTheme="minorEastAsia" w:hint="eastAsia"/>
              <w:sz w:val="21"/>
            </w:rPr>
            <w:t>方便内蒙古察哈尔右翼前旗、山西大同县、代县等脱贫县沿线百姓出行。</w:t>
          </w:r>
          <w:r>
            <w:rPr>
              <w:rFonts w:asciiTheme="minorEastAsia" w:eastAsiaTheme="minorEastAsia" w:hAnsiTheme="minorEastAsia"/>
              <w:sz w:val="21"/>
            </w:rPr>
            <w:t>开行</w:t>
          </w:r>
          <w:r>
            <w:rPr>
              <w:rFonts w:asciiTheme="minorEastAsia" w:eastAsiaTheme="minorEastAsia" w:hAnsiTheme="minorEastAsia" w:hint="eastAsia"/>
              <w:sz w:val="21"/>
            </w:rPr>
            <w:t>晋中</w:t>
          </w:r>
          <w:r>
            <w:rPr>
              <w:rFonts w:asciiTheme="minorEastAsia" w:eastAsiaTheme="minorEastAsia" w:hAnsiTheme="minorEastAsia"/>
              <w:sz w:val="21"/>
            </w:rPr>
            <w:t>左权至太原客运列车，结束</w:t>
          </w:r>
          <w:r>
            <w:rPr>
              <w:rFonts w:asciiTheme="minorEastAsia" w:eastAsiaTheme="minorEastAsia" w:hAnsiTheme="minorEastAsia" w:hint="eastAsia"/>
              <w:sz w:val="21"/>
            </w:rPr>
            <w:t>了</w:t>
          </w:r>
          <w:r>
            <w:rPr>
              <w:rFonts w:asciiTheme="minorEastAsia" w:eastAsiaTheme="minorEastAsia" w:hAnsiTheme="minorEastAsia"/>
              <w:sz w:val="21"/>
            </w:rPr>
            <w:t>平定、昔阳等4个革命老区县不通客运列车的历史。</w:t>
          </w:r>
          <w:proofErr w:type="gramStart"/>
          <w:r>
            <w:rPr>
              <w:rFonts w:asciiTheme="minorEastAsia" w:eastAsiaTheme="minorEastAsia" w:hAnsiTheme="minorEastAsia"/>
              <w:sz w:val="21"/>
            </w:rPr>
            <w:t>丰富班</w:t>
          </w:r>
          <w:proofErr w:type="gramEnd"/>
          <w:r>
            <w:rPr>
              <w:rFonts w:asciiTheme="minorEastAsia" w:eastAsiaTheme="minorEastAsia" w:hAnsiTheme="minorEastAsia"/>
              <w:sz w:val="21"/>
            </w:rPr>
            <w:t>列谱系，开行“三晋通”省内城际快运班列、</w:t>
          </w:r>
          <w:r>
            <w:rPr>
              <w:rFonts w:asciiTheme="minorEastAsia" w:eastAsiaTheme="minorEastAsia" w:hAnsiTheme="minorEastAsia" w:hint="eastAsia"/>
              <w:sz w:val="21"/>
            </w:rPr>
            <w:t>“</w:t>
          </w:r>
          <w:r>
            <w:rPr>
              <w:rFonts w:asciiTheme="minorEastAsia" w:eastAsiaTheme="minorEastAsia" w:hAnsiTheme="minorEastAsia"/>
              <w:sz w:val="21"/>
            </w:rPr>
            <w:t>两日达”晋粤白货专列、光</w:t>
          </w:r>
          <w:proofErr w:type="gramStart"/>
          <w:r>
            <w:rPr>
              <w:rFonts w:asciiTheme="minorEastAsia" w:eastAsiaTheme="minorEastAsia" w:hAnsiTheme="minorEastAsia"/>
              <w:sz w:val="21"/>
            </w:rPr>
            <w:t>伏运输</w:t>
          </w:r>
          <w:proofErr w:type="gramEnd"/>
          <w:r>
            <w:rPr>
              <w:rFonts w:asciiTheme="minorEastAsia" w:eastAsiaTheme="minorEastAsia" w:hAnsiTheme="minorEastAsia"/>
              <w:sz w:val="21"/>
            </w:rPr>
            <w:t>专列等，累计发运</w:t>
          </w:r>
          <w:proofErr w:type="gramStart"/>
          <w:r>
            <w:rPr>
              <w:rFonts w:asciiTheme="minorEastAsia" w:eastAsiaTheme="minorEastAsia" w:hAnsiTheme="minorEastAsia"/>
              <w:sz w:val="21"/>
            </w:rPr>
            <w:t>货物超</w:t>
          </w:r>
          <w:proofErr w:type="gramEnd"/>
          <w:r>
            <w:rPr>
              <w:rFonts w:asciiTheme="minorEastAsia" w:eastAsiaTheme="minorEastAsia" w:hAnsiTheme="minorEastAsia"/>
              <w:sz w:val="21"/>
            </w:rPr>
            <w:t>70万吨</w:t>
          </w:r>
          <w:r>
            <w:rPr>
              <w:rFonts w:asciiTheme="minorEastAsia" w:eastAsiaTheme="minorEastAsia" w:hAnsiTheme="minorEastAsia" w:hint="eastAsia"/>
              <w:sz w:val="21"/>
            </w:rPr>
            <w:t>；</w:t>
          </w:r>
          <w:r>
            <w:rPr>
              <w:rFonts w:asciiTheme="minorEastAsia" w:eastAsiaTheme="minorEastAsia" w:hAnsiTheme="minorEastAsia"/>
              <w:sz w:val="21"/>
            </w:rPr>
            <w:t>开行中欧中亚班列139列，拓展国际物流通道</w:t>
          </w:r>
          <w:r>
            <w:rPr>
              <w:rFonts w:asciiTheme="minorEastAsia" w:eastAsiaTheme="minorEastAsia" w:hAnsiTheme="minorEastAsia" w:hint="eastAsia"/>
              <w:sz w:val="21"/>
            </w:rPr>
            <w:t>。加强全省旅游资源开发，开行旅游专列、</w:t>
          </w:r>
          <w:proofErr w:type="gramStart"/>
          <w:r>
            <w:rPr>
              <w:rFonts w:asciiTheme="minorEastAsia" w:eastAsiaTheme="minorEastAsia" w:hAnsiTheme="minorEastAsia"/>
              <w:sz w:val="21"/>
            </w:rPr>
            <w:t>研学游</w:t>
          </w:r>
          <w:proofErr w:type="gramEnd"/>
          <w:r>
            <w:rPr>
              <w:rFonts w:asciiTheme="minorEastAsia" w:eastAsiaTheme="minorEastAsia" w:hAnsiTheme="minorEastAsia"/>
              <w:sz w:val="21"/>
            </w:rPr>
            <w:t>专列16列。</w:t>
          </w:r>
        </w:p>
        <w:p w14:paraId="6F66DCDB" w14:textId="77777777" w:rsidR="005E000F" w:rsidRDefault="00000000">
          <w:pPr>
            <w:pStyle w:val="affc"/>
            <w:spacing w:afterLines="50" w:after="120"/>
            <w:ind w:firstLine="420"/>
            <w:rPr>
              <w:rFonts w:asciiTheme="minorEastAsia" w:eastAsiaTheme="minorEastAsia" w:hAnsiTheme="minorEastAsia"/>
              <w:sz w:val="21"/>
            </w:rPr>
          </w:pPr>
          <w:r>
            <w:rPr>
              <w:rFonts w:asciiTheme="minorEastAsia" w:eastAsiaTheme="minorEastAsia" w:hAnsiTheme="minorEastAsia" w:hint="eastAsia"/>
              <w:sz w:val="21"/>
            </w:rPr>
            <w:t>公司始终</w:t>
          </w:r>
          <w:proofErr w:type="gramStart"/>
          <w:r>
            <w:rPr>
              <w:rFonts w:asciiTheme="minorEastAsia" w:eastAsiaTheme="minorEastAsia" w:hAnsiTheme="minorEastAsia" w:hint="eastAsia"/>
              <w:sz w:val="21"/>
            </w:rPr>
            <w:t>践行</w:t>
          </w:r>
          <w:proofErr w:type="gramEnd"/>
          <w:r>
            <w:rPr>
              <w:rFonts w:asciiTheme="minorEastAsia" w:eastAsiaTheme="minorEastAsia" w:hAnsiTheme="minorEastAsia" w:hint="eastAsia"/>
              <w:sz w:val="21"/>
            </w:rPr>
            <w:t>“人民铁路为人民”的宗旨，深化公益性“慢火车”服务，让铁路发展成果惠及革命老区与偏远山区群众。持续推进安全标准线、示范站、样板车建设，</w:t>
          </w:r>
          <w:r>
            <w:rPr>
              <w:rFonts w:asciiTheme="minorEastAsia" w:eastAsiaTheme="minorEastAsia" w:hAnsiTheme="minorEastAsia"/>
              <w:sz w:val="21"/>
            </w:rPr>
            <w:t>高质量</w:t>
          </w:r>
          <w:r>
            <w:rPr>
              <w:rFonts w:asciiTheme="minorEastAsia" w:eastAsiaTheme="minorEastAsia" w:hAnsiTheme="minorEastAsia" w:hint="eastAsia"/>
              <w:sz w:val="21"/>
            </w:rPr>
            <w:t>开行太原——灵丘、忻州——河边、宁武——岢岚等</w:t>
          </w:r>
          <w:r>
            <w:rPr>
              <w:rFonts w:asciiTheme="minorEastAsia" w:eastAsiaTheme="minorEastAsia" w:hAnsiTheme="minorEastAsia"/>
              <w:sz w:val="21"/>
            </w:rPr>
            <w:t>公益性“慢火车”</w:t>
          </w:r>
          <w:r>
            <w:rPr>
              <w:rFonts w:asciiTheme="minorEastAsia" w:eastAsiaTheme="minorEastAsia" w:hAnsiTheme="minorEastAsia" w:hint="eastAsia"/>
              <w:sz w:val="21"/>
            </w:rPr>
            <w:t>和“蔡家崖号</w:t>
          </w:r>
          <w:r>
            <w:rPr>
              <w:rFonts w:asciiTheme="minorEastAsia" w:eastAsiaTheme="minorEastAsia" w:hAnsiTheme="minorEastAsia"/>
              <w:sz w:val="21"/>
            </w:rPr>
            <w:t>”</w:t>
          </w:r>
          <w:r>
            <w:rPr>
              <w:rFonts w:asciiTheme="minorEastAsia" w:eastAsiaTheme="minorEastAsia" w:hAnsiTheme="minorEastAsia" w:hint="eastAsia"/>
              <w:sz w:val="21"/>
            </w:rPr>
            <w:t>文化主题列车、“安泽号”“左权号”冠名</w:t>
          </w:r>
          <w:r>
            <w:rPr>
              <w:rFonts w:asciiTheme="minorEastAsia" w:eastAsiaTheme="minorEastAsia" w:hAnsiTheme="minorEastAsia"/>
              <w:sz w:val="21"/>
            </w:rPr>
            <w:t>列车，打造“慢火车+游学”模式，为沿线学生提供购票、候车</w:t>
          </w:r>
          <w:r>
            <w:rPr>
              <w:rFonts w:asciiTheme="minorEastAsia" w:eastAsiaTheme="minorEastAsia" w:hAnsiTheme="minorEastAsia" w:hint="eastAsia"/>
              <w:sz w:val="21"/>
            </w:rPr>
            <w:t>等</w:t>
          </w:r>
          <w:r>
            <w:rPr>
              <w:rFonts w:asciiTheme="minorEastAsia" w:eastAsiaTheme="minorEastAsia" w:hAnsiTheme="minorEastAsia"/>
              <w:sz w:val="21"/>
            </w:rPr>
            <w:t>便利服务</w:t>
          </w:r>
          <w:r>
            <w:rPr>
              <w:rFonts w:asciiTheme="minorEastAsia" w:eastAsiaTheme="minorEastAsia" w:hAnsiTheme="minorEastAsia" w:hint="eastAsia"/>
              <w:sz w:val="21"/>
            </w:rPr>
            <w:t>，切实彰</w:t>
          </w:r>
          <w:proofErr w:type="gramStart"/>
          <w:r>
            <w:rPr>
              <w:rFonts w:asciiTheme="minorEastAsia" w:eastAsiaTheme="minorEastAsia" w:hAnsiTheme="minorEastAsia" w:hint="eastAsia"/>
              <w:sz w:val="21"/>
            </w:rPr>
            <w:t>显铁路</w:t>
          </w:r>
          <w:proofErr w:type="gramEnd"/>
          <w:r>
            <w:rPr>
              <w:rFonts w:asciiTheme="minorEastAsia" w:eastAsiaTheme="minorEastAsia" w:hAnsiTheme="minorEastAsia" w:hint="eastAsia"/>
              <w:sz w:val="21"/>
            </w:rPr>
            <w:t>企业的民生温度与社会责任。</w:t>
          </w:r>
        </w:p>
      </w:sdtContent>
    </w:sdt>
    <w:p w14:paraId="5833BEF5" w14:textId="77777777" w:rsidR="005E000F" w:rsidRDefault="00000000">
      <w:pPr>
        <w:pStyle w:val="2"/>
        <w:numPr>
          <w:ilvl w:val="0"/>
          <w:numId w:val="20"/>
        </w:numPr>
      </w:pPr>
      <w:r>
        <w:t>其他</w:t>
      </w:r>
    </w:p>
    <w:sdt>
      <w:sdtPr>
        <w:rPr>
          <w:rFonts w:hint="eastAsia"/>
        </w:rPr>
        <w:alias w:val="是否适用：其他公司治理情况说明[双击切换]"/>
        <w:tag w:val="_GBC_dc91085943bb4d4ab22a79a9ba7014df"/>
        <w:id w:val="179786321"/>
        <w:placeholder>
          <w:docPart w:val="GBC22222222222222222222222222222"/>
        </w:placeholder>
      </w:sdtPr>
      <w:sdtContent>
        <w:p w14:paraId="5431B184"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174001B" w14:textId="77777777" w:rsidR="005E000F" w:rsidRDefault="005E000F"/>
    <w:p w14:paraId="2A34B58C" w14:textId="77777777" w:rsidR="005E000F" w:rsidRDefault="005E000F">
      <w:pPr>
        <w:sectPr w:rsidR="005E000F">
          <w:pgSz w:w="11906" w:h="16838"/>
          <w:pgMar w:top="1525" w:right="1276" w:bottom="1440" w:left="1797" w:header="851" w:footer="992" w:gutter="0"/>
          <w:cols w:space="425"/>
          <w:docGrid w:linePitch="312"/>
        </w:sectPr>
      </w:pPr>
    </w:p>
    <w:bookmarkEnd w:id="134"/>
    <w:p w14:paraId="43257601" w14:textId="77777777" w:rsidR="005E000F" w:rsidRDefault="005E000F"/>
    <w:p w14:paraId="0F2CDC68" w14:textId="77777777" w:rsidR="005E000F" w:rsidRDefault="00000000">
      <w:pPr>
        <w:pStyle w:val="1"/>
        <w:numPr>
          <w:ilvl w:val="0"/>
          <w:numId w:val="2"/>
        </w:numPr>
      </w:pPr>
      <w:bookmarkStart w:id="137" w:name="_Toc191024260"/>
      <w:bookmarkStart w:id="138" w:name="_Hlk90554245"/>
      <w:bookmarkEnd w:id="135"/>
      <w:r>
        <w:rPr>
          <w:rFonts w:hint="eastAsia"/>
        </w:rPr>
        <w:t>重要事项</w:t>
      </w:r>
    </w:p>
    <w:bookmarkEnd w:id="137"/>
    <w:p w14:paraId="471045AB" w14:textId="77777777" w:rsidR="005E000F" w:rsidRDefault="00000000">
      <w:pPr>
        <w:pStyle w:val="2"/>
        <w:numPr>
          <w:ilvl w:val="0"/>
          <w:numId w:val="29"/>
        </w:numPr>
      </w:pPr>
      <w:r>
        <w:rPr>
          <w:rFonts w:hint="eastAsia"/>
        </w:rPr>
        <w:t>承诺事项履行情况</w:t>
      </w:r>
    </w:p>
    <w:p w14:paraId="564D7A53" w14:textId="77777777" w:rsidR="005E000F" w:rsidRDefault="00000000">
      <w:pPr>
        <w:pStyle w:val="3"/>
        <w:numPr>
          <w:ilvl w:val="1"/>
          <w:numId w:val="30"/>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657610267"/>
        <w:placeholder>
          <w:docPart w:val="GBC22222222222222222222222222222"/>
        </w:placeholder>
      </w:sdtPr>
      <w:sdtContent>
        <w:p w14:paraId="755AADB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6"/>
        <w:gridCol w:w="1234"/>
        <w:gridCol w:w="1270"/>
        <w:gridCol w:w="1324"/>
        <w:gridCol w:w="1358"/>
        <w:gridCol w:w="1358"/>
        <w:gridCol w:w="1335"/>
        <w:gridCol w:w="1335"/>
        <w:gridCol w:w="1541"/>
        <w:gridCol w:w="1234"/>
      </w:tblGrid>
      <w:tr w:rsidR="005E000F" w14:paraId="2DED09A0" w14:textId="77777777">
        <w:sdt>
          <w:sdtPr>
            <w:tag w:val="_PLD_415cfb23b46b41fba9f0b895a1088fd6"/>
            <w:id w:val="195830368"/>
          </w:sdtPr>
          <w:sdtContent>
            <w:tc>
              <w:tcPr>
                <w:tcW w:w="2076" w:type="dxa"/>
                <w:vAlign w:val="center"/>
              </w:tcPr>
              <w:p w14:paraId="32C8724C" w14:textId="77777777" w:rsidR="005E000F" w:rsidRDefault="00000000">
                <w:pPr>
                  <w:jc w:val="center"/>
                </w:pPr>
                <w:r>
                  <w:rPr>
                    <w:rFonts w:hint="eastAsia"/>
                  </w:rPr>
                  <w:t>承诺背景</w:t>
                </w:r>
              </w:p>
            </w:tc>
          </w:sdtContent>
        </w:sdt>
        <w:sdt>
          <w:sdtPr>
            <w:tag w:val="_PLD_6d89eb5533974f2f9b788e2563589a7c"/>
            <w:id w:val="142016956"/>
          </w:sdtPr>
          <w:sdtContent>
            <w:tc>
              <w:tcPr>
                <w:tcW w:w="1234" w:type="dxa"/>
                <w:vAlign w:val="center"/>
              </w:tcPr>
              <w:p w14:paraId="4ED59577" w14:textId="77777777" w:rsidR="005E000F" w:rsidRDefault="00000000">
                <w:pPr>
                  <w:jc w:val="center"/>
                </w:pPr>
                <w:r>
                  <w:rPr>
                    <w:rFonts w:hint="eastAsia"/>
                  </w:rPr>
                  <w:t>承诺</w:t>
                </w:r>
              </w:p>
              <w:p w14:paraId="72D3D77C" w14:textId="77777777" w:rsidR="005E000F" w:rsidRDefault="00000000">
                <w:pPr>
                  <w:jc w:val="center"/>
                </w:pPr>
                <w:r>
                  <w:rPr>
                    <w:rFonts w:hint="eastAsia"/>
                  </w:rPr>
                  <w:t>类型</w:t>
                </w:r>
              </w:p>
            </w:tc>
          </w:sdtContent>
        </w:sdt>
        <w:sdt>
          <w:sdtPr>
            <w:tag w:val="_PLD_4e3459cf954648c5ade489d7f239c9b2"/>
            <w:id w:val="-840925935"/>
          </w:sdtPr>
          <w:sdtContent>
            <w:tc>
              <w:tcPr>
                <w:tcW w:w="1270" w:type="dxa"/>
                <w:vAlign w:val="center"/>
              </w:tcPr>
              <w:p w14:paraId="43FEA768" w14:textId="77777777" w:rsidR="005E000F" w:rsidRDefault="00000000">
                <w:pPr>
                  <w:jc w:val="center"/>
                </w:pPr>
                <w:r>
                  <w:rPr>
                    <w:rFonts w:hint="eastAsia"/>
                  </w:rPr>
                  <w:t>承诺方</w:t>
                </w:r>
              </w:p>
            </w:tc>
          </w:sdtContent>
        </w:sdt>
        <w:sdt>
          <w:sdtPr>
            <w:tag w:val="_PLD_b7ba969a5a9f484b969e33829f8fee27"/>
            <w:id w:val="1344590152"/>
          </w:sdtPr>
          <w:sdtContent>
            <w:tc>
              <w:tcPr>
                <w:tcW w:w="1324" w:type="dxa"/>
                <w:vAlign w:val="center"/>
              </w:tcPr>
              <w:p w14:paraId="1B692843" w14:textId="77777777" w:rsidR="005E000F" w:rsidRDefault="00000000">
                <w:pPr>
                  <w:jc w:val="center"/>
                </w:pPr>
                <w:r>
                  <w:rPr>
                    <w:rFonts w:hint="eastAsia"/>
                  </w:rPr>
                  <w:t>承诺</w:t>
                </w:r>
              </w:p>
              <w:p w14:paraId="2C3A3FE6" w14:textId="77777777" w:rsidR="005E000F" w:rsidRDefault="00000000">
                <w:pPr>
                  <w:jc w:val="center"/>
                </w:pPr>
                <w:r>
                  <w:rPr>
                    <w:rFonts w:hint="eastAsia"/>
                  </w:rPr>
                  <w:t>内容</w:t>
                </w:r>
              </w:p>
            </w:tc>
          </w:sdtContent>
        </w:sdt>
        <w:sdt>
          <w:sdtPr>
            <w:tag w:val="_PLD_080af5a89fc040bc90935cec09ab2cd1"/>
            <w:id w:val="679007405"/>
          </w:sdtPr>
          <w:sdtContent>
            <w:tc>
              <w:tcPr>
                <w:tcW w:w="1358" w:type="dxa"/>
                <w:vAlign w:val="center"/>
              </w:tcPr>
              <w:p w14:paraId="51B21ED0" w14:textId="77777777" w:rsidR="005E000F" w:rsidRDefault="00000000">
                <w:pPr>
                  <w:jc w:val="center"/>
                </w:pPr>
                <w:r>
                  <w:rPr>
                    <w:rFonts w:hint="eastAsia"/>
                  </w:rPr>
                  <w:t>承诺时间</w:t>
                </w:r>
              </w:p>
            </w:tc>
          </w:sdtContent>
        </w:sdt>
        <w:sdt>
          <w:sdtPr>
            <w:tag w:val="_PLD_81953845df7c406091c017485ffe89d0"/>
            <w:id w:val="1377351896"/>
          </w:sdtPr>
          <w:sdtContent>
            <w:tc>
              <w:tcPr>
                <w:tcW w:w="1358" w:type="dxa"/>
                <w:vAlign w:val="center"/>
              </w:tcPr>
              <w:p w14:paraId="3954FD9C" w14:textId="77777777" w:rsidR="005E000F" w:rsidRDefault="00000000">
                <w:pPr>
                  <w:jc w:val="center"/>
                </w:pPr>
                <w:r>
                  <w:rPr>
                    <w:rFonts w:hint="eastAsia"/>
                  </w:rPr>
                  <w:t>是否有履行期限</w:t>
                </w:r>
              </w:p>
            </w:tc>
          </w:sdtContent>
        </w:sdt>
        <w:sdt>
          <w:sdtPr>
            <w:tag w:val="_PLD_95bd18790c864943ab7728a2218411a4"/>
            <w:id w:val="-1561849687"/>
          </w:sdtPr>
          <w:sdtContent>
            <w:tc>
              <w:tcPr>
                <w:tcW w:w="1335" w:type="dxa"/>
                <w:vAlign w:val="center"/>
              </w:tcPr>
              <w:p w14:paraId="0C9220AB" w14:textId="77777777" w:rsidR="005E000F" w:rsidRDefault="00000000">
                <w:pPr>
                  <w:jc w:val="center"/>
                </w:pPr>
                <w:r>
                  <w:rPr>
                    <w:rFonts w:hint="eastAsia"/>
                  </w:rPr>
                  <w:t>承诺期限</w:t>
                </w:r>
              </w:p>
            </w:tc>
          </w:sdtContent>
        </w:sdt>
        <w:sdt>
          <w:sdtPr>
            <w:tag w:val="_PLD_f70c8d8e3e374db7a8e212809462bcc0"/>
            <w:id w:val="1931936958"/>
          </w:sdtPr>
          <w:sdtContent>
            <w:tc>
              <w:tcPr>
                <w:tcW w:w="1335" w:type="dxa"/>
                <w:vAlign w:val="center"/>
              </w:tcPr>
              <w:p w14:paraId="5CFBEF2D" w14:textId="77777777" w:rsidR="005E000F" w:rsidRDefault="00000000">
                <w:pPr>
                  <w:jc w:val="center"/>
                </w:pPr>
                <w:r>
                  <w:rPr>
                    <w:rFonts w:hint="eastAsia"/>
                  </w:rPr>
                  <w:t>是否及时严格履行</w:t>
                </w:r>
              </w:p>
            </w:tc>
          </w:sdtContent>
        </w:sdt>
        <w:sdt>
          <w:sdtPr>
            <w:tag w:val="_PLD_30da9c1a74564266bdab010410b3cfc4"/>
            <w:id w:val="1234515099"/>
          </w:sdtPr>
          <w:sdtContent>
            <w:tc>
              <w:tcPr>
                <w:tcW w:w="1541" w:type="dxa"/>
                <w:vAlign w:val="center"/>
              </w:tcPr>
              <w:p w14:paraId="48136DE2" w14:textId="77777777" w:rsidR="005E000F" w:rsidRDefault="00000000">
                <w:pPr>
                  <w:jc w:val="center"/>
                </w:pPr>
                <w:r>
                  <w:rPr>
                    <w:rFonts w:hint="eastAsia"/>
                  </w:rPr>
                  <w:t>如未能及时履行应说明未完</w:t>
                </w:r>
                <w:proofErr w:type="gramStart"/>
                <w:r>
                  <w:rPr>
                    <w:rFonts w:hint="eastAsia"/>
                  </w:rPr>
                  <w:t>成履行</w:t>
                </w:r>
                <w:proofErr w:type="gramEnd"/>
                <w:r>
                  <w:rPr>
                    <w:rFonts w:hint="eastAsia"/>
                  </w:rPr>
                  <w:t>的具体原因</w:t>
                </w:r>
              </w:p>
            </w:tc>
          </w:sdtContent>
        </w:sdt>
        <w:sdt>
          <w:sdtPr>
            <w:tag w:val="_PLD_885166d72adc442aaa68aa0f496582ae"/>
            <w:id w:val="1976252700"/>
          </w:sdtPr>
          <w:sdtContent>
            <w:tc>
              <w:tcPr>
                <w:tcW w:w="1234" w:type="dxa"/>
                <w:vAlign w:val="center"/>
              </w:tcPr>
              <w:p w14:paraId="2C6B5D75" w14:textId="77777777" w:rsidR="005E000F" w:rsidRDefault="00000000">
                <w:pPr>
                  <w:jc w:val="center"/>
                </w:pPr>
                <w:r>
                  <w:rPr>
                    <w:rFonts w:hint="eastAsia"/>
                  </w:rPr>
                  <w:t>如未能及时履行应说明下一步计划</w:t>
                </w:r>
              </w:p>
            </w:tc>
          </w:sdtContent>
        </w:sdt>
      </w:tr>
      <w:tr w:rsidR="005E000F" w14:paraId="78579418" w14:textId="77777777">
        <w:tc>
          <w:tcPr>
            <w:tcW w:w="2076" w:type="dxa"/>
            <w:vMerge w:val="restart"/>
            <w:vAlign w:val="center"/>
          </w:tcPr>
          <w:p w14:paraId="79971AD6" w14:textId="77777777" w:rsidR="005E000F" w:rsidRDefault="00000000">
            <w:pPr>
              <w:jc w:val="both"/>
            </w:pPr>
            <w:r>
              <w:rPr>
                <w:rFonts w:hint="eastAsia"/>
              </w:rPr>
              <w:t>与再融资相关的承诺</w:t>
            </w:r>
          </w:p>
        </w:tc>
        <w:sdt>
          <w:sdtPr>
            <w:alias w:val="与再融资相关的承诺-承诺类型"/>
            <w:tag w:val="_GBC_43b8e587b05f41abb7a4e371ebc768a4"/>
            <w:id w:val="-1642419438"/>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1234" w:type="dxa"/>
                <w:vAlign w:val="center"/>
              </w:tcPr>
              <w:p w14:paraId="34ED6A2C" w14:textId="77777777" w:rsidR="005E000F" w:rsidRDefault="00000000">
                <w:r>
                  <w:t>其他</w:t>
                </w:r>
              </w:p>
            </w:tc>
          </w:sdtContent>
        </w:sdt>
        <w:tc>
          <w:tcPr>
            <w:tcW w:w="1270" w:type="dxa"/>
            <w:vAlign w:val="center"/>
          </w:tcPr>
          <w:p w14:paraId="130ED927" w14:textId="77777777" w:rsidR="005E000F" w:rsidRDefault="00000000">
            <w:r>
              <w:t>董事、高级管理人员</w:t>
            </w:r>
          </w:p>
        </w:tc>
        <w:tc>
          <w:tcPr>
            <w:tcW w:w="1324" w:type="dxa"/>
            <w:vAlign w:val="center"/>
          </w:tcPr>
          <w:p w14:paraId="3BAD655D" w14:textId="77777777" w:rsidR="005E000F" w:rsidRDefault="00000000">
            <w:r>
              <w:t>公司董事、高级管理人员关于发行可转换公司债</w:t>
            </w:r>
            <w:proofErr w:type="gramStart"/>
            <w:r>
              <w:t>券</w:t>
            </w:r>
            <w:proofErr w:type="gramEnd"/>
            <w:r>
              <w:t>摊薄即期回报采取填补措施的承诺</w:t>
            </w:r>
          </w:p>
        </w:tc>
        <w:tc>
          <w:tcPr>
            <w:tcW w:w="1358" w:type="dxa"/>
            <w:vAlign w:val="center"/>
          </w:tcPr>
          <w:p w14:paraId="06168378" w14:textId="77777777" w:rsidR="005E000F" w:rsidRDefault="00000000">
            <w:r>
              <w:t>2020-4-27</w:t>
            </w:r>
          </w:p>
        </w:tc>
        <w:sdt>
          <w:sdtPr>
            <w:alias w:val="与再融资相关的承诺-是否有履行期限"/>
            <w:tag w:val="_GBC_1745ddad9b514e55a80744937652a72d"/>
            <w:id w:val="1080563964"/>
            <w:comboBox>
              <w:listItem w:displayText="是" w:value="true"/>
              <w:listItem w:displayText="否" w:value="false"/>
            </w:comboBox>
          </w:sdtPr>
          <w:sdtContent>
            <w:tc>
              <w:tcPr>
                <w:tcW w:w="1358" w:type="dxa"/>
                <w:vAlign w:val="center"/>
              </w:tcPr>
              <w:p w14:paraId="28BE4E8A" w14:textId="77777777" w:rsidR="005E000F" w:rsidRDefault="00000000">
                <w:r>
                  <w:t>是</w:t>
                </w:r>
              </w:p>
            </w:tc>
          </w:sdtContent>
        </w:sdt>
        <w:tc>
          <w:tcPr>
            <w:tcW w:w="1335" w:type="dxa"/>
            <w:vAlign w:val="center"/>
          </w:tcPr>
          <w:p w14:paraId="27D7C399" w14:textId="77777777" w:rsidR="005E000F" w:rsidRDefault="00000000">
            <w:r>
              <w:rPr>
                <w:rFonts w:hint="eastAsia"/>
              </w:rPr>
              <w:t>长期有效</w:t>
            </w:r>
          </w:p>
        </w:tc>
        <w:sdt>
          <w:sdtPr>
            <w:alias w:val="与再融资相关的承诺-是否及时严格履行"/>
            <w:tag w:val="_GBC_987e1eea05fb4e60a59f5e8c16ae8c38"/>
            <w:id w:val="-849713923"/>
            <w:comboBox>
              <w:listItem w:displayText="是" w:value="true"/>
              <w:listItem w:displayText="否" w:value="false"/>
            </w:comboBox>
          </w:sdtPr>
          <w:sdtContent>
            <w:tc>
              <w:tcPr>
                <w:tcW w:w="1335" w:type="dxa"/>
                <w:vAlign w:val="center"/>
              </w:tcPr>
              <w:p w14:paraId="1B7798A7" w14:textId="77777777" w:rsidR="005E000F" w:rsidRDefault="00000000">
                <w:r>
                  <w:t>是</w:t>
                </w:r>
              </w:p>
            </w:tc>
          </w:sdtContent>
        </w:sdt>
        <w:tc>
          <w:tcPr>
            <w:tcW w:w="1541" w:type="dxa"/>
            <w:vAlign w:val="center"/>
          </w:tcPr>
          <w:p w14:paraId="562810DD" w14:textId="77777777" w:rsidR="005E000F" w:rsidRDefault="00000000">
            <w:r>
              <w:rPr>
                <w:rFonts w:hint="eastAsia"/>
              </w:rPr>
              <w:t>不适用</w:t>
            </w:r>
          </w:p>
        </w:tc>
        <w:tc>
          <w:tcPr>
            <w:tcW w:w="1234" w:type="dxa"/>
            <w:vAlign w:val="center"/>
          </w:tcPr>
          <w:p w14:paraId="5A1BD217" w14:textId="77777777" w:rsidR="005E000F" w:rsidRDefault="00000000">
            <w:r>
              <w:rPr>
                <w:rFonts w:hint="eastAsia"/>
              </w:rPr>
              <w:t>不适用</w:t>
            </w:r>
          </w:p>
        </w:tc>
      </w:tr>
      <w:tr w:rsidR="005E000F" w14:paraId="01E603DD" w14:textId="77777777">
        <w:tc>
          <w:tcPr>
            <w:tcW w:w="2076" w:type="dxa"/>
            <w:vMerge/>
            <w:vAlign w:val="center"/>
          </w:tcPr>
          <w:p w14:paraId="52D95175" w14:textId="77777777" w:rsidR="005E000F" w:rsidRDefault="005E000F"/>
        </w:tc>
        <w:sdt>
          <w:sdtPr>
            <w:alias w:val="与再融资相关的承诺-承诺类型"/>
            <w:tag w:val="_GBC_43b8e587b05f41abb7a4e371ebc768a4"/>
            <w:id w:val="-1934274252"/>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1234" w:type="dxa"/>
                <w:vAlign w:val="center"/>
              </w:tcPr>
              <w:p w14:paraId="7616CF57" w14:textId="77777777" w:rsidR="005E000F" w:rsidRDefault="00000000">
                <w:r>
                  <w:t>其他</w:t>
                </w:r>
              </w:p>
            </w:tc>
          </w:sdtContent>
        </w:sdt>
        <w:tc>
          <w:tcPr>
            <w:tcW w:w="1270" w:type="dxa"/>
            <w:vAlign w:val="center"/>
          </w:tcPr>
          <w:p w14:paraId="641D34A4" w14:textId="77777777" w:rsidR="005E000F" w:rsidRDefault="00000000">
            <w:r>
              <w:t>控股股东</w:t>
            </w:r>
          </w:p>
        </w:tc>
        <w:tc>
          <w:tcPr>
            <w:tcW w:w="1324" w:type="dxa"/>
            <w:vAlign w:val="center"/>
          </w:tcPr>
          <w:p w14:paraId="4F79511E" w14:textId="77777777" w:rsidR="005E000F" w:rsidRDefault="00000000">
            <w:r>
              <w:t>公司控股股东关于发行可转换公司债</w:t>
            </w:r>
            <w:proofErr w:type="gramStart"/>
            <w:r>
              <w:t>券</w:t>
            </w:r>
            <w:proofErr w:type="gramEnd"/>
            <w:r>
              <w:t>摊薄即期回报采取填补措施的承诺</w:t>
            </w:r>
          </w:p>
        </w:tc>
        <w:tc>
          <w:tcPr>
            <w:tcW w:w="1358" w:type="dxa"/>
            <w:vAlign w:val="center"/>
          </w:tcPr>
          <w:p w14:paraId="7C29C80F" w14:textId="77777777" w:rsidR="005E000F" w:rsidRDefault="00000000">
            <w:r>
              <w:t>2020-4-27</w:t>
            </w:r>
          </w:p>
        </w:tc>
        <w:sdt>
          <w:sdtPr>
            <w:alias w:val="与再融资相关的承诺-是否有履行期限"/>
            <w:tag w:val="_GBC_1745ddad9b514e55a80744937652a72d"/>
            <w:id w:val="2053192152"/>
            <w:comboBox>
              <w:listItem w:displayText="是" w:value="true"/>
              <w:listItem w:displayText="否" w:value="false"/>
            </w:comboBox>
          </w:sdtPr>
          <w:sdtContent>
            <w:tc>
              <w:tcPr>
                <w:tcW w:w="1358" w:type="dxa"/>
                <w:vAlign w:val="center"/>
              </w:tcPr>
              <w:p w14:paraId="69ECD152" w14:textId="77777777" w:rsidR="005E000F" w:rsidRDefault="00000000">
                <w:r>
                  <w:t>是</w:t>
                </w:r>
              </w:p>
            </w:tc>
          </w:sdtContent>
        </w:sdt>
        <w:tc>
          <w:tcPr>
            <w:tcW w:w="1335" w:type="dxa"/>
            <w:vAlign w:val="center"/>
          </w:tcPr>
          <w:p w14:paraId="3D2729F4" w14:textId="77777777" w:rsidR="005E000F" w:rsidRDefault="00000000">
            <w:r>
              <w:rPr>
                <w:rFonts w:hint="eastAsia"/>
              </w:rPr>
              <w:t>长期有效</w:t>
            </w:r>
          </w:p>
        </w:tc>
        <w:sdt>
          <w:sdtPr>
            <w:alias w:val="与再融资相关的承诺-是否及时严格履行"/>
            <w:tag w:val="_GBC_987e1eea05fb4e60a59f5e8c16ae8c38"/>
            <w:id w:val="1892218467"/>
            <w:comboBox>
              <w:listItem w:displayText="是" w:value="true"/>
              <w:listItem w:displayText="否" w:value="false"/>
            </w:comboBox>
          </w:sdtPr>
          <w:sdtContent>
            <w:tc>
              <w:tcPr>
                <w:tcW w:w="1335" w:type="dxa"/>
                <w:vAlign w:val="center"/>
              </w:tcPr>
              <w:p w14:paraId="22815673" w14:textId="77777777" w:rsidR="005E000F" w:rsidRDefault="00000000">
                <w:r>
                  <w:t>是</w:t>
                </w:r>
              </w:p>
            </w:tc>
          </w:sdtContent>
        </w:sdt>
        <w:tc>
          <w:tcPr>
            <w:tcW w:w="1541" w:type="dxa"/>
            <w:vAlign w:val="center"/>
          </w:tcPr>
          <w:p w14:paraId="56DE4754" w14:textId="77777777" w:rsidR="005E000F" w:rsidRDefault="00000000">
            <w:r>
              <w:rPr>
                <w:rFonts w:hint="eastAsia"/>
              </w:rPr>
              <w:t>不适用</w:t>
            </w:r>
          </w:p>
        </w:tc>
        <w:tc>
          <w:tcPr>
            <w:tcW w:w="1234" w:type="dxa"/>
            <w:vAlign w:val="center"/>
          </w:tcPr>
          <w:p w14:paraId="28633B48" w14:textId="77777777" w:rsidR="005E000F" w:rsidRDefault="00000000">
            <w:r>
              <w:rPr>
                <w:rFonts w:hint="eastAsia"/>
              </w:rPr>
              <w:t>不适用</w:t>
            </w:r>
          </w:p>
        </w:tc>
      </w:tr>
    </w:tbl>
    <w:p w14:paraId="702EEC6E" w14:textId="77777777" w:rsidR="005E000F" w:rsidRDefault="005E000F">
      <w:pPr>
        <w:sectPr w:rsidR="005E000F">
          <w:pgSz w:w="16838" w:h="11906" w:orient="landscape"/>
          <w:pgMar w:top="1797" w:right="1525" w:bottom="1276" w:left="1440" w:header="855" w:footer="992" w:gutter="0"/>
          <w:cols w:space="425"/>
          <w:docGrid w:linePitch="312"/>
        </w:sectPr>
      </w:pPr>
    </w:p>
    <w:p w14:paraId="53312C2D" w14:textId="77777777" w:rsidR="005E000F" w:rsidRDefault="005E000F"/>
    <w:p w14:paraId="2078A0A1" w14:textId="77777777" w:rsidR="005E000F" w:rsidRDefault="00000000">
      <w:pPr>
        <w:pStyle w:val="3"/>
        <w:numPr>
          <w:ilvl w:val="1"/>
          <w:numId w:val="30"/>
        </w:numPr>
        <w:ind w:left="0" w:firstLine="0"/>
        <w:rPr>
          <w:rFonts w:ascii="宋体" w:hAnsi="宋体" w:cs="宋体"/>
          <w:kern w:val="0"/>
          <w:szCs w:val="21"/>
        </w:rPr>
      </w:pPr>
      <w:r>
        <w:rPr>
          <w:rFonts w:ascii="宋体" w:hAnsi="宋体" w:cs="宋体"/>
          <w:kern w:val="0"/>
          <w:szCs w:val="21"/>
        </w:rPr>
        <w:t>公司资产或项目存在盈利预测，</w:t>
      </w:r>
      <w:proofErr w:type="gramStart"/>
      <w:r>
        <w:rPr>
          <w:rFonts w:ascii="宋体" w:hAnsi="宋体" w:cs="宋体"/>
          <w:kern w:val="0"/>
          <w:szCs w:val="21"/>
        </w:rPr>
        <w:t>且报告</w:t>
      </w:r>
      <w:proofErr w:type="gramEnd"/>
      <w:r>
        <w:rPr>
          <w:rFonts w:ascii="宋体" w:hAnsi="宋体" w:cs="宋体"/>
          <w:kern w:val="0"/>
          <w:szCs w:val="21"/>
        </w:rPr>
        <w:t>期仍处在盈利预测期间，公司就资产或项目</w:t>
      </w:r>
      <w:r>
        <w:rPr>
          <w:rFonts w:ascii="宋体" w:hAnsi="宋体" w:cs="宋体" w:hint="eastAsia"/>
          <w:kern w:val="0"/>
          <w:szCs w:val="21"/>
        </w:rPr>
        <w:t>是否达到原盈利预测及其原因</w:t>
      </w:r>
      <w:proofErr w:type="gramStart"/>
      <w:r>
        <w:rPr>
          <w:rFonts w:ascii="宋体" w:hAnsi="宋体" w:cs="宋体" w:hint="eastAsia"/>
          <w:kern w:val="0"/>
          <w:szCs w:val="21"/>
        </w:rPr>
        <w:t>作出</w:t>
      </w:r>
      <w:proofErr w:type="gramEnd"/>
      <w:r>
        <w:rPr>
          <w:rFonts w:ascii="宋体" w:hAnsi="宋体" w:cs="宋体" w:hint="eastAsia"/>
          <w:kern w:val="0"/>
          <w:szCs w:val="21"/>
        </w:rPr>
        <w:t>说明</w:t>
      </w:r>
    </w:p>
    <w:sdt>
      <w:sdtPr>
        <w:rPr>
          <w:rFonts w:asciiTheme="minorEastAsia" w:eastAsiaTheme="minorEastAsia" w:hAnsiTheme="minorEastAsia"/>
        </w:rPr>
        <w:alias w:val="是否适用：公司就资产或项目是否达到原盈利预测及其原因作出说明"/>
        <w:tag w:val="_GBC_f8fa889013a24cb79a6ed52423d2c5a8"/>
        <w:id w:val="-33121848"/>
        <w:placeholder>
          <w:docPart w:val="GBC22222222222222222222222222222"/>
        </w:placeholder>
      </w:sdtPr>
      <w:sdtContent>
        <w:p w14:paraId="4EB6F1A4" w14:textId="77777777" w:rsidR="005E000F" w:rsidRDefault="00000000">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□已达到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□未达到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√不适用 </w:instrText>
          </w:r>
          <w:r>
            <w:rPr>
              <w:rFonts w:asciiTheme="minorEastAsia" w:eastAsiaTheme="minorEastAsia" w:hAnsiTheme="minorEastAsia"/>
            </w:rPr>
            <w:fldChar w:fldCharType="end"/>
          </w:r>
        </w:p>
      </w:sdtContent>
    </w:sdt>
    <w:p w14:paraId="5B610069" w14:textId="77777777" w:rsidR="005E000F" w:rsidRDefault="00000000">
      <w:pPr>
        <w:pStyle w:val="3"/>
        <w:numPr>
          <w:ilvl w:val="1"/>
          <w:numId w:val="30"/>
        </w:numPr>
        <w:ind w:left="0" w:firstLine="0"/>
        <w:rPr>
          <w:szCs w:val="21"/>
        </w:rPr>
      </w:pPr>
      <w:bookmarkStart w:id="139" w:name="_Hlk190432639"/>
      <w:bookmarkStart w:id="140" w:name="OLE_LINK7"/>
      <w:r>
        <w:rPr>
          <w:rFonts w:hint="eastAsia"/>
          <w:szCs w:val="21"/>
        </w:rPr>
        <w:t>业绩承诺情况</w:t>
      </w:r>
    </w:p>
    <w:bookmarkEnd w:id="140" w:displacedByCustomXml="next"/>
    <w:sdt>
      <w:sdtPr>
        <w:rPr>
          <w:rFonts w:hint="eastAsia"/>
        </w:rPr>
        <w:alias w:val="是否适用：业绩承诺情况[双击切换]"/>
        <w:tag w:val="_GBC_4bc1b1ef9a5943f1bc075242961e8bbe"/>
        <w:id w:val="-320742863"/>
        <w:placeholder>
          <w:docPart w:val="GBC22222222222222222222222222222"/>
        </w:placeholder>
      </w:sdtPr>
      <w:sdtContent>
        <w:p w14:paraId="3359A233" w14:textId="77777777" w:rsidR="005E000F" w:rsidRDefault="0000000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10B04124" w14:textId="77777777" w:rsidR="005E000F" w:rsidRDefault="00000000">
      <w:r>
        <w:rPr>
          <w:rFonts w:ascii="Calibri" w:hAnsi="Calibri" w:hint="eastAsia"/>
          <w:bCs/>
          <w:kern w:val="2"/>
        </w:rPr>
        <w:t>业绩承诺变更情况</w:t>
      </w:r>
    </w:p>
    <w:sdt>
      <w:sdtPr>
        <w:rPr>
          <w:rFonts w:hint="eastAsia"/>
        </w:rPr>
        <w:alias w:val="是否适用：业绩承诺变更情况[双击切换]"/>
        <w:tag w:val="_GBC_8bb44889d76e41f78196a5f39e535c73"/>
        <w:id w:val="2069382971"/>
        <w:placeholder>
          <w:docPart w:val="GBC22222222222222222222222222222"/>
        </w:placeholder>
      </w:sdtPr>
      <w:sdtContent>
        <w:p w14:paraId="54BFC7E9" w14:textId="77777777" w:rsidR="005E000F" w:rsidRDefault="0000000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p w14:paraId="5C651A92" w14:textId="77777777" w:rsidR="005E000F" w:rsidRDefault="00000000">
      <w:bookmarkStart w:id="141" w:name="_Hlk533667679"/>
      <w:bookmarkStart w:id="142" w:name="_Hlk191039168"/>
      <w:bookmarkEnd w:id="141"/>
      <w:r>
        <w:rPr>
          <w:rFonts w:hint="eastAsia"/>
          <w:bCs/>
        </w:rPr>
        <w:t>其他说明</w:t>
      </w:r>
    </w:p>
    <w:p w14:paraId="2DB94694" w14:textId="77777777" w:rsidR="005E000F" w:rsidRDefault="00000000">
      <w:sdt>
        <w:sdtPr>
          <w:rPr>
            <w:rFonts w:hint="eastAsia"/>
            <w:b/>
          </w:rPr>
          <w:alias w:val="是否适用：承诺事项-商誉减值测试的影响[双击切换]"/>
          <w:tag w:val="_GBC_bbcebd5eccb545a982a878b392419b4e"/>
          <w:id w:val="1923066524"/>
          <w:placeholder>
            <w:docPart w:val="GBC22222222222222222222222222222"/>
          </w:placeholder>
        </w:sdtPr>
        <w:sdtContent>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bookmarkEnd w:id="139"/>
      <w:bookmarkEnd w:id="142"/>
    </w:p>
    <w:p w14:paraId="37D5790D" w14:textId="77777777" w:rsidR="005E000F" w:rsidRDefault="005E000F">
      <w:pPr>
        <w:sectPr w:rsidR="005E000F">
          <w:pgSz w:w="11906" w:h="16838"/>
          <w:pgMar w:top="1525" w:right="1276" w:bottom="1440" w:left="1797" w:header="855" w:footer="992" w:gutter="0"/>
          <w:cols w:space="425"/>
          <w:docGrid w:linePitch="312"/>
        </w:sectPr>
      </w:pPr>
    </w:p>
    <w:p w14:paraId="1391C709" w14:textId="77777777" w:rsidR="005E000F" w:rsidRDefault="00000000">
      <w:pPr>
        <w:pStyle w:val="2"/>
        <w:numPr>
          <w:ilvl w:val="0"/>
          <w:numId w:val="29"/>
        </w:numPr>
        <w:rPr>
          <w:rFonts w:ascii="宋体" w:hAnsi="宋体"/>
        </w:rPr>
      </w:pPr>
      <w:bookmarkStart w:id="143" w:name="_Hlk89336052"/>
      <w:r>
        <w:rPr>
          <w:rFonts w:ascii="宋体" w:hAnsi="宋体" w:hint="eastAsia"/>
        </w:rPr>
        <w:lastRenderedPageBreak/>
        <w:t>报</w:t>
      </w:r>
      <w:r>
        <w:rPr>
          <w:rFonts w:ascii="宋体" w:hAnsi="宋体"/>
        </w:rPr>
        <w:t>告期内</w:t>
      </w:r>
      <w:r>
        <w:rPr>
          <w:rFonts w:ascii="宋体" w:hAnsi="宋体" w:hint="eastAsia"/>
        </w:rPr>
        <w:t>控股股东及其他关联方非经营性占用资金情况</w:t>
      </w:r>
    </w:p>
    <w:sdt>
      <w:sdtPr>
        <w:alias w:val="是否适用：资金被占用情况及清欠进展情况[双击切换]"/>
        <w:tag w:val="_GBC_a94958949e0846929a78a71186526204"/>
        <w:id w:val="206614329"/>
        <w:placeholder>
          <w:docPart w:val="GBC22222222222222222222222222222"/>
        </w:placeholder>
      </w:sdtPr>
      <w:sdtContent>
        <w:p w14:paraId="5A8D598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BB108F4" w14:textId="77777777" w:rsidR="005E000F" w:rsidRDefault="00000000">
      <w:pPr>
        <w:pStyle w:val="2"/>
        <w:numPr>
          <w:ilvl w:val="0"/>
          <w:numId w:val="29"/>
        </w:numPr>
        <w:rPr>
          <w:rFonts w:ascii="宋体" w:hAnsi="宋体"/>
        </w:rPr>
      </w:pPr>
      <w:bookmarkStart w:id="144" w:name="_Hlk74646365"/>
      <w:bookmarkStart w:id="145" w:name="_Hlk89337011"/>
      <w:bookmarkEnd w:id="143"/>
      <w:bookmarkEnd w:id="144"/>
      <w:r>
        <w:rPr>
          <w:rFonts w:ascii="宋体" w:hAnsi="宋体" w:hint="eastAsia"/>
        </w:rPr>
        <w:t>违规担保情况</w:t>
      </w:r>
    </w:p>
    <w:sdt>
      <w:sdtPr>
        <w:alias w:val="是否适用：违规担保情况[双击切换]"/>
        <w:tag w:val="_GBC_b2d16e23c066427a800b40aaa053bc8e"/>
        <w:id w:val="1527439402"/>
        <w:placeholder>
          <w:docPart w:val="GBC22222222222222222222222222222"/>
        </w:placeholder>
      </w:sdtPr>
      <w:sdtContent>
        <w:p w14:paraId="51B16237"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11AF46" w14:textId="77777777" w:rsidR="005E000F" w:rsidRDefault="005E000F">
      <w:pPr>
        <w:sectPr w:rsidR="005E000F">
          <w:pgSz w:w="16838" w:h="11906" w:orient="landscape"/>
          <w:pgMar w:top="1797" w:right="1525" w:bottom="1276" w:left="1440" w:header="855" w:footer="992" w:gutter="0"/>
          <w:cols w:space="425"/>
          <w:docGrid w:linePitch="312"/>
        </w:sectPr>
      </w:pPr>
    </w:p>
    <w:p w14:paraId="4A7DDB5C" w14:textId="77777777" w:rsidR="005E000F" w:rsidRDefault="005E000F"/>
    <w:bookmarkEnd w:id="145"/>
    <w:p w14:paraId="59552479" w14:textId="77777777" w:rsidR="005E000F" w:rsidRDefault="00000000">
      <w:pPr>
        <w:pStyle w:val="2"/>
        <w:numPr>
          <w:ilvl w:val="0"/>
          <w:numId w:val="29"/>
        </w:numPr>
        <w:rPr>
          <w:rFonts w:ascii="宋体" w:hAnsi="宋体" w:cs="宋体"/>
          <w:kern w:val="0"/>
          <w:szCs w:val="24"/>
        </w:rPr>
      </w:pPr>
      <w:r>
        <w:rPr>
          <w:rFonts w:ascii="宋体" w:hAnsi="宋体" w:cs="宋体" w:hint="eastAsia"/>
          <w:kern w:val="0"/>
          <w:szCs w:val="24"/>
        </w:rPr>
        <w:t>公司董事会对会计师事务所“非标准意见审计报告”的说明</w:t>
      </w:r>
    </w:p>
    <w:p w14:paraId="32651DCF" w14:textId="77777777" w:rsidR="005E000F" w:rsidRDefault="00000000">
      <w:sdt>
        <w:sdtPr>
          <w:alias w:val="是否适用：董事会对会计师事务所非标准审计报告的说明[双击切换]"/>
          <w:tag w:val="_GBC_81f7a662b6a641d8aadb05b1cb176ecf"/>
          <w:id w:val="891467082"/>
          <w:placeholder>
            <w:docPart w:val="GBC22222222222222222222222222222"/>
          </w:placeholder>
        </w:sdtPr>
        <w:sdtContent>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6C355E98" w14:textId="77777777" w:rsidR="005E000F" w:rsidRDefault="00000000">
      <w:pPr>
        <w:pStyle w:val="2"/>
        <w:numPr>
          <w:ilvl w:val="0"/>
          <w:numId w:val="29"/>
        </w:numPr>
        <w:rPr>
          <w:rFonts w:ascii="宋体" w:hAnsi="宋体" w:cs="宋体"/>
          <w:kern w:val="0"/>
          <w:szCs w:val="24"/>
        </w:rPr>
      </w:pPr>
      <w:r>
        <w:rPr>
          <w:rFonts w:ascii="宋体" w:hAnsi="宋体" w:cs="宋体" w:hint="eastAsia"/>
          <w:kern w:val="0"/>
          <w:szCs w:val="24"/>
        </w:rPr>
        <w:t>公司对会计政策、会计估计变更或重大会计差错更正原因和影响的分析说明</w:t>
      </w:r>
    </w:p>
    <w:bookmarkStart w:id="146" w:name="_Hlk191559849" w:displacedByCustomXml="next"/>
    <w:sdt>
      <w:sdtPr>
        <w:tag w:val="_PLD_834cf8d61227452a9f43af3bb9507dde"/>
        <w:id w:val="-2141263773"/>
      </w:sdtPr>
      <w:sdtContent>
        <w:p w14:paraId="567AE999" w14:textId="77777777" w:rsidR="005E000F" w:rsidRDefault="00000000">
          <w:pPr>
            <w:pStyle w:val="3"/>
            <w:numPr>
              <w:ilvl w:val="0"/>
              <w:numId w:val="31"/>
            </w:numPr>
          </w:pPr>
          <w:r>
            <w:rPr>
              <w:rFonts w:hint="eastAsia"/>
            </w:rPr>
            <w:t>公司对会计政策、会计估计变更原因及影响的分析说明</w:t>
          </w:r>
        </w:p>
      </w:sdtContent>
    </w:sdt>
    <w:sdt>
      <w:sdtPr>
        <w:rPr>
          <w:rFonts w:hint="eastAsia"/>
        </w:rPr>
        <w:alias w:val="是否适用：公司对会计政策、会计估计更正的原因及影响[双击切换]"/>
        <w:tag w:val="_GBC_af0d7b808dd9452c873bbe81905062f6"/>
        <w:id w:val="-1657678862"/>
        <w:placeholder>
          <w:docPart w:val="GBC22222222222222222222222222222"/>
        </w:placeholder>
      </w:sdtPr>
      <w:sdtContent>
        <w:p w14:paraId="44608080"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46" w:displacedByCustomXml="next"/>
    <w:bookmarkStart w:id="147" w:name="_Hlk191560035" w:displacedByCustomXml="next"/>
    <w:bookmarkStart w:id="148" w:name="_Hlk190433640" w:displacedByCustomXml="next"/>
    <w:sdt>
      <w:sdtPr>
        <w:tag w:val="_PLD_310d5df4f7924e5ca2b78d38d9d5bb26"/>
        <w:id w:val="318854153"/>
      </w:sdtPr>
      <w:sdtContent>
        <w:p w14:paraId="452E9A3F" w14:textId="77777777" w:rsidR="005E000F" w:rsidRDefault="00000000">
          <w:pPr>
            <w:pStyle w:val="3"/>
            <w:numPr>
              <w:ilvl w:val="0"/>
              <w:numId w:val="31"/>
            </w:numPr>
          </w:pPr>
          <w:r>
            <w:rPr>
              <w:rFonts w:hint="eastAsia"/>
            </w:rPr>
            <w:t>公司对重大会计</w:t>
          </w:r>
          <w:r>
            <w:rPr>
              <w:rFonts w:hint="eastAsia"/>
              <w:bCs w:val="0"/>
              <w:szCs w:val="24"/>
            </w:rPr>
            <w:t>差错</w:t>
          </w:r>
          <w:r>
            <w:rPr>
              <w:rFonts w:hint="eastAsia"/>
            </w:rPr>
            <w:t>更正原因及影响的分析说明</w:t>
          </w:r>
        </w:p>
      </w:sdtContent>
    </w:sdt>
    <w:sdt>
      <w:sdtPr>
        <w:rPr>
          <w:rFonts w:hint="eastAsia"/>
        </w:rPr>
        <w:alias w:val="是否适用：公司对重大会计差错更正的原因及影响[双击切换]"/>
        <w:tag w:val="_GBC_20433825c59a4e308939a2a08d3b64f5"/>
        <w:id w:val="729802139"/>
        <w:placeholder>
          <w:docPart w:val="GBC22222222222222222222222222222"/>
        </w:placeholder>
      </w:sdtPr>
      <w:sdtContent>
        <w:p w14:paraId="27E0445F"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48"/>
    <w:bookmarkEnd w:id="147"/>
    <w:p w14:paraId="61ABB00D" w14:textId="77777777" w:rsidR="005E000F" w:rsidRDefault="00000000">
      <w:pPr>
        <w:pStyle w:val="3"/>
        <w:numPr>
          <w:ilvl w:val="0"/>
          <w:numId w:val="31"/>
        </w:numPr>
        <w:ind w:left="0" w:firstLine="0"/>
      </w:pPr>
      <w:r>
        <w:t>与前任会计师事务所进行的沟通情况</w:t>
      </w:r>
    </w:p>
    <w:sdt>
      <w:sdtPr>
        <w:rPr>
          <w:rFonts w:hint="eastAsia"/>
        </w:rPr>
        <w:alias w:val="是否适用：与前任会计师事务所进行的沟通情况[双击切换]"/>
        <w:tag w:val="_GBC_eac5a093c5584c5699f0b1b4b2cc9124"/>
        <w:id w:val="-842937477"/>
        <w:placeholder>
          <w:docPart w:val="GBC22222222222222222222222222222"/>
        </w:placeholder>
      </w:sdtPr>
      <w:sdtContent>
        <w:p w14:paraId="128DBDC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2B5AFEA" w14:textId="77777777" w:rsidR="005E000F" w:rsidRDefault="00000000">
      <w:pPr>
        <w:pStyle w:val="3"/>
        <w:numPr>
          <w:ilvl w:val="0"/>
          <w:numId w:val="31"/>
        </w:numPr>
      </w:pPr>
      <w:r>
        <w:rPr>
          <w:rFonts w:ascii="宋体" w:hAnsi="宋体" w:cs="宋体" w:hint="eastAsia"/>
          <w:kern w:val="0"/>
          <w:szCs w:val="24"/>
        </w:rPr>
        <w:t>审批程序及</w:t>
      </w:r>
      <w:r>
        <w:t>其他说明</w:t>
      </w:r>
    </w:p>
    <w:sdt>
      <w:sdtPr>
        <w:rPr>
          <w:rFonts w:hint="eastAsia"/>
        </w:rPr>
        <w:alias w:val="是否适用：审批程序及其他说明[双击切换]"/>
        <w:tag w:val="_GBC_f59e5141b9f74a2badb652a198d25993"/>
        <w:id w:val="-344635870"/>
        <w:placeholder>
          <w:docPart w:val="GBC22222222222222222222222222222"/>
        </w:placeholder>
      </w:sdtPr>
      <w:sdtContent>
        <w:p w14:paraId="6F2A882F"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DB76DA8" w14:textId="77777777" w:rsidR="005E000F" w:rsidRDefault="00000000">
      <w:pPr>
        <w:pStyle w:val="2"/>
        <w:numPr>
          <w:ilvl w:val="0"/>
          <w:numId w:val="29"/>
        </w:numPr>
        <w:rPr>
          <w:rFonts w:ascii="宋体" w:hAnsi="宋体" w:cs="宋体"/>
          <w:kern w:val="0"/>
          <w:szCs w:val="24"/>
        </w:rPr>
      </w:pPr>
      <w:r>
        <w:rPr>
          <w:rFonts w:ascii="宋体" w:hAnsi="宋体" w:cs="宋体"/>
          <w:kern w:val="0"/>
          <w:szCs w:val="24"/>
        </w:rPr>
        <w:t>聘任、解聘会计师事务所情况</w:t>
      </w:r>
    </w:p>
    <w:p w14:paraId="10F6A62B" w14:textId="77777777" w:rsidR="005E000F" w:rsidRDefault="00000000">
      <w:pPr>
        <w:jc w:val="right"/>
      </w:pPr>
      <w:bookmarkStart w:id="149" w:name="_Hlk40535695"/>
      <w:r>
        <w:rPr>
          <w:rFonts w:hint="eastAsia"/>
        </w:rPr>
        <w:t>单位：</w:t>
      </w:r>
      <w:sdt>
        <w:sdtPr>
          <w:rPr>
            <w:rFonts w:hint="eastAsia"/>
          </w:rPr>
          <w:alias w:val="单位：聘任、解聘会计师事务所情况"/>
          <w:tag w:val="_GBC_4195f1a1b90e49b4b90b5a692501ac49"/>
          <w:id w:val="-18577216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 xml:space="preserve">  </w:t>
      </w:r>
      <w:r>
        <w:rPr>
          <w:rFonts w:hint="eastAsia"/>
        </w:rPr>
        <w:t>币种：</w:t>
      </w:r>
      <w:sdt>
        <w:sdtPr>
          <w:rPr>
            <w:rFonts w:hint="eastAsia"/>
          </w:rPr>
          <w:alias w:val="币种：聘任、解聘会计师事务所情况"/>
          <w:tag w:val="_GBC_27f81bf7b0f5473e85900bf70521ad41"/>
          <w:id w:val="-155307474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977"/>
        <w:gridCol w:w="2987"/>
      </w:tblGrid>
      <w:tr w:rsidR="005E000F" w14:paraId="342637C1" w14:textId="77777777">
        <w:trPr>
          <w:trHeight w:val="195"/>
        </w:trPr>
        <w:tc>
          <w:tcPr>
            <w:tcW w:w="3085" w:type="dxa"/>
            <w:vAlign w:val="center"/>
          </w:tcPr>
          <w:p w14:paraId="615174D2" w14:textId="77777777" w:rsidR="005E000F" w:rsidRDefault="005E000F"/>
        </w:tc>
        <w:sdt>
          <w:sdtPr>
            <w:tag w:val="_PLD_a79987be70c14f119586c5a69f4628db"/>
            <w:id w:val="-596167182"/>
          </w:sdtPr>
          <w:sdtContent>
            <w:tc>
              <w:tcPr>
                <w:tcW w:w="2977" w:type="dxa"/>
                <w:vAlign w:val="center"/>
              </w:tcPr>
              <w:p w14:paraId="0CFB74C8" w14:textId="77777777" w:rsidR="005E000F" w:rsidRDefault="00000000">
                <w:pPr>
                  <w:jc w:val="center"/>
                </w:pPr>
                <w:r>
                  <w:rPr>
                    <w:rFonts w:hint="eastAsia"/>
                  </w:rPr>
                  <w:t>原聘任</w:t>
                </w:r>
              </w:p>
            </w:tc>
          </w:sdtContent>
        </w:sdt>
        <w:sdt>
          <w:sdtPr>
            <w:tag w:val="_PLD_54fa27dc69c24ce391b848a77e34059a"/>
            <w:id w:val="-799067146"/>
          </w:sdtPr>
          <w:sdtContent>
            <w:tc>
              <w:tcPr>
                <w:tcW w:w="2987" w:type="dxa"/>
                <w:vAlign w:val="center"/>
              </w:tcPr>
              <w:p w14:paraId="25BBE3FD" w14:textId="77777777" w:rsidR="005E000F" w:rsidRDefault="00000000">
                <w:pPr>
                  <w:jc w:val="center"/>
                </w:pPr>
                <w:r>
                  <w:rPr>
                    <w:rFonts w:hint="eastAsia"/>
                  </w:rPr>
                  <w:t>现聘任</w:t>
                </w:r>
              </w:p>
            </w:tc>
          </w:sdtContent>
        </w:sdt>
      </w:tr>
      <w:tr w:rsidR="005E000F" w14:paraId="440BDEB0" w14:textId="77777777">
        <w:trPr>
          <w:trHeight w:val="117"/>
        </w:trPr>
        <w:tc>
          <w:tcPr>
            <w:tcW w:w="3085" w:type="dxa"/>
            <w:vAlign w:val="center"/>
          </w:tcPr>
          <w:p w14:paraId="3935AE98" w14:textId="77777777" w:rsidR="005E000F" w:rsidRDefault="00000000">
            <w:r>
              <w:rPr>
                <w:rFonts w:hint="eastAsia"/>
              </w:rPr>
              <w:t>境内会计师事务所名称</w:t>
            </w:r>
          </w:p>
        </w:tc>
        <w:tc>
          <w:tcPr>
            <w:tcW w:w="2977" w:type="dxa"/>
            <w:vAlign w:val="center"/>
          </w:tcPr>
          <w:p w14:paraId="5B77E1FF" w14:textId="77777777" w:rsidR="005E000F" w:rsidRDefault="00000000">
            <w:r>
              <w:rPr>
                <w:rFonts w:hint="eastAsia"/>
              </w:rPr>
              <w:t>毕马威华</w:t>
            </w:r>
            <w:proofErr w:type="gramStart"/>
            <w:r>
              <w:rPr>
                <w:rFonts w:hint="eastAsia"/>
              </w:rPr>
              <w:t>振</w:t>
            </w:r>
            <w:proofErr w:type="gramEnd"/>
            <w:r>
              <w:rPr>
                <w:rFonts w:hint="eastAsia"/>
              </w:rPr>
              <w:t>会计师事务所（特殊普通合伙）</w:t>
            </w:r>
          </w:p>
        </w:tc>
        <w:tc>
          <w:tcPr>
            <w:tcW w:w="2987" w:type="dxa"/>
            <w:vAlign w:val="center"/>
          </w:tcPr>
          <w:p w14:paraId="2125D93E" w14:textId="77777777" w:rsidR="005E000F" w:rsidRDefault="00000000">
            <w:proofErr w:type="gramStart"/>
            <w:r>
              <w:t>信永中和</w:t>
            </w:r>
            <w:proofErr w:type="gramEnd"/>
            <w:r>
              <w:t>会计师事务所（特殊普通合伙）</w:t>
            </w:r>
          </w:p>
        </w:tc>
      </w:tr>
      <w:tr w:rsidR="005E000F" w14:paraId="59E3CF43" w14:textId="77777777">
        <w:trPr>
          <w:trHeight w:val="165"/>
        </w:trPr>
        <w:tc>
          <w:tcPr>
            <w:tcW w:w="3085" w:type="dxa"/>
            <w:vAlign w:val="center"/>
          </w:tcPr>
          <w:p w14:paraId="166AE480" w14:textId="77777777" w:rsidR="005E000F" w:rsidRDefault="00000000">
            <w:r>
              <w:rPr>
                <w:rFonts w:hint="eastAsia"/>
              </w:rPr>
              <w:t>境内会计师事务所报酬</w:t>
            </w:r>
          </w:p>
        </w:tc>
        <w:tc>
          <w:tcPr>
            <w:tcW w:w="2977" w:type="dxa"/>
            <w:vAlign w:val="center"/>
          </w:tcPr>
          <w:p w14:paraId="1DCCBED2" w14:textId="77777777" w:rsidR="005E000F" w:rsidRDefault="00000000">
            <w:pPr>
              <w:jc w:val="right"/>
            </w:pPr>
            <w:r>
              <w:rPr>
                <w:rFonts w:hint="eastAsia"/>
              </w:rPr>
              <w:t>946</w:t>
            </w:r>
          </w:p>
        </w:tc>
        <w:tc>
          <w:tcPr>
            <w:tcW w:w="2987" w:type="dxa"/>
            <w:vAlign w:val="center"/>
          </w:tcPr>
          <w:p w14:paraId="52C13A3B" w14:textId="77777777" w:rsidR="005E000F" w:rsidRDefault="00000000">
            <w:pPr>
              <w:jc w:val="right"/>
            </w:pPr>
            <w:r>
              <w:rPr>
                <w:rFonts w:hint="eastAsia"/>
              </w:rPr>
              <w:t>806</w:t>
            </w:r>
          </w:p>
        </w:tc>
      </w:tr>
      <w:tr w:rsidR="005E000F" w14:paraId="671E7FE2" w14:textId="77777777">
        <w:trPr>
          <w:trHeight w:val="150"/>
        </w:trPr>
        <w:tc>
          <w:tcPr>
            <w:tcW w:w="3085" w:type="dxa"/>
            <w:vAlign w:val="center"/>
          </w:tcPr>
          <w:p w14:paraId="1393116A" w14:textId="77777777" w:rsidR="005E000F" w:rsidRDefault="00000000">
            <w:r>
              <w:rPr>
                <w:rFonts w:hint="eastAsia"/>
              </w:rPr>
              <w:t>境内会计师事务所审计年限</w:t>
            </w:r>
          </w:p>
        </w:tc>
        <w:tc>
          <w:tcPr>
            <w:tcW w:w="2977" w:type="dxa"/>
            <w:vAlign w:val="center"/>
          </w:tcPr>
          <w:p w14:paraId="0C0FBB58" w14:textId="77777777" w:rsidR="005E000F" w:rsidRDefault="00000000">
            <w:pPr>
              <w:jc w:val="right"/>
            </w:pPr>
            <w:r>
              <w:rPr>
                <w:rFonts w:hint="eastAsia"/>
              </w:rPr>
              <w:t>8</w:t>
            </w:r>
          </w:p>
        </w:tc>
        <w:tc>
          <w:tcPr>
            <w:tcW w:w="2987" w:type="dxa"/>
            <w:vAlign w:val="center"/>
          </w:tcPr>
          <w:p w14:paraId="5292DC69" w14:textId="77777777" w:rsidR="005E000F" w:rsidRDefault="00000000">
            <w:pPr>
              <w:jc w:val="right"/>
            </w:pPr>
            <w:r>
              <w:rPr>
                <w:rFonts w:hint="eastAsia"/>
              </w:rPr>
              <w:t>1</w:t>
            </w:r>
          </w:p>
        </w:tc>
      </w:tr>
      <w:tr w:rsidR="005E000F" w14:paraId="3A71431A" w14:textId="77777777">
        <w:trPr>
          <w:trHeight w:val="150"/>
        </w:trPr>
        <w:tc>
          <w:tcPr>
            <w:tcW w:w="3085" w:type="dxa"/>
            <w:vAlign w:val="center"/>
          </w:tcPr>
          <w:p w14:paraId="181CF5D8" w14:textId="77777777" w:rsidR="005E000F" w:rsidRDefault="00000000">
            <w:r>
              <w:rPr>
                <w:rFonts w:hint="eastAsia"/>
              </w:rPr>
              <w:t>境内会计师事务所注册会计师姓名</w:t>
            </w:r>
          </w:p>
        </w:tc>
        <w:tc>
          <w:tcPr>
            <w:tcW w:w="2977" w:type="dxa"/>
            <w:vAlign w:val="center"/>
          </w:tcPr>
          <w:p w14:paraId="2A1012CC" w14:textId="77777777" w:rsidR="005E000F" w:rsidRDefault="00000000">
            <w:pPr>
              <w:jc w:val="center"/>
            </w:pPr>
            <w:r>
              <w:rPr>
                <w:rFonts w:hint="eastAsia"/>
              </w:rPr>
              <w:t>/</w:t>
            </w:r>
          </w:p>
        </w:tc>
        <w:tc>
          <w:tcPr>
            <w:tcW w:w="2987" w:type="dxa"/>
            <w:vAlign w:val="center"/>
          </w:tcPr>
          <w:p w14:paraId="45ADDFD8" w14:textId="77777777" w:rsidR="005E000F" w:rsidRDefault="00000000">
            <w:r>
              <w:t>朱娟娟</w:t>
            </w:r>
            <w:r>
              <w:rPr>
                <w:rFonts w:hint="eastAsia"/>
              </w:rPr>
              <w:t>、</w:t>
            </w:r>
            <w:r>
              <w:t>王存英</w:t>
            </w:r>
          </w:p>
        </w:tc>
      </w:tr>
      <w:tr w:rsidR="005E000F" w14:paraId="105A0193" w14:textId="77777777">
        <w:trPr>
          <w:trHeight w:val="150"/>
        </w:trPr>
        <w:tc>
          <w:tcPr>
            <w:tcW w:w="3085" w:type="dxa"/>
            <w:vAlign w:val="center"/>
          </w:tcPr>
          <w:p w14:paraId="262809EC" w14:textId="77777777" w:rsidR="005E000F" w:rsidRDefault="00000000">
            <w:r>
              <w:rPr>
                <w:rFonts w:hint="eastAsia"/>
              </w:rPr>
              <w:t>境内会计师事务所注册会计师审计服务的累计年限</w:t>
            </w:r>
          </w:p>
        </w:tc>
        <w:tc>
          <w:tcPr>
            <w:tcW w:w="2977" w:type="dxa"/>
            <w:vAlign w:val="center"/>
          </w:tcPr>
          <w:p w14:paraId="69117587" w14:textId="77777777" w:rsidR="005E000F" w:rsidRDefault="00000000">
            <w:pPr>
              <w:jc w:val="center"/>
            </w:pPr>
            <w:r>
              <w:rPr>
                <w:rFonts w:hint="eastAsia"/>
              </w:rPr>
              <w:t>/</w:t>
            </w:r>
          </w:p>
        </w:tc>
        <w:tc>
          <w:tcPr>
            <w:tcW w:w="2987" w:type="dxa"/>
            <w:vAlign w:val="center"/>
          </w:tcPr>
          <w:p w14:paraId="5DD6B13B" w14:textId="77777777" w:rsidR="005E000F" w:rsidRDefault="00000000">
            <w:r>
              <w:rPr>
                <w:rFonts w:hint="eastAsia"/>
              </w:rPr>
              <w:t>朱娟娟（</w:t>
            </w:r>
            <w:r>
              <w:rPr>
                <w:rFonts w:hint="eastAsia"/>
              </w:rPr>
              <w:t>1</w:t>
            </w:r>
            <w:r>
              <w:rPr>
                <w:rFonts w:hint="eastAsia"/>
              </w:rPr>
              <w:t>年）、王存英（</w:t>
            </w:r>
            <w:r>
              <w:rPr>
                <w:rFonts w:hint="eastAsia"/>
              </w:rPr>
              <w:t>1</w:t>
            </w:r>
            <w:r>
              <w:rPr>
                <w:rFonts w:hint="eastAsia"/>
              </w:rPr>
              <w:t>年）</w:t>
            </w:r>
          </w:p>
        </w:tc>
      </w:tr>
    </w:tbl>
    <w:p w14:paraId="67FB0F69" w14:textId="77777777" w:rsidR="005E000F" w:rsidRDefault="005E000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977"/>
        <w:gridCol w:w="2987"/>
      </w:tblGrid>
      <w:tr w:rsidR="005E000F" w14:paraId="228F43B2" w14:textId="77777777">
        <w:trPr>
          <w:trHeight w:val="90"/>
        </w:trPr>
        <w:tc>
          <w:tcPr>
            <w:tcW w:w="3085" w:type="dxa"/>
            <w:vAlign w:val="center"/>
          </w:tcPr>
          <w:p w14:paraId="258B1307" w14:textId="77777777" w:rsidR="005E000F" w:rsidRDefault="005E000F"/>
        </w:tc>
        <w:sdt>
          <w:sdtPr>
            <w:tag w:val="_PLD_cad1edc3279a4f7b8f226d4accf99ff9"/>
            <w:id w:val="-1066877800"/>
          </w:sdtPr>
          <w:sdtContent>
            <w:tc>
              <w:tcPr>
                <w:tcW w:w="2977" w:type="dxa"/>
                <w:vAlign w:val="center"/>
              </w:tcPr>
              <w:p w14:paraId="6365ABE3" w14:textId="77777777" w:rsidR="005E000F" w:rsidRDefault="00000000">
                <w:pPr>
                  <w:jc w:val="center"/>
                </w:pPr>
                <w:r>
                  <w:rPr>
                    <w:rFonts w:hint="eastAsia"/>
                  </w:rPr>
                  <w:t>名称</w:t>
                </w:r>
              </w:p>
            </w:tc>
          </w:sdtContent>
        </w:sdt>
        <w:sdt>
          <w:sdtPr>
            <w:tag w:val="_PLD_a4933dcd45ca4109b3b952ece3e2fb08"/>
            <w:id w:val="-1991700599"/>
          </w:sdtPr>
          <w:sdtContent>
            <w:tc>
              <w:tcPr>
                <w:tcW w:w="2987" w:type="dxa"/>
                <w:vAlign w:val="center"/>
              </w:tcPr>
              <w:p w14:paraId="4E801415" w14:textId="77777777" w:rsidR="005E000F" w:rsidRDefault="00000000">
                <w:pPr>
                  <w:jc w:val="center"/>
                </w:pPr>
                <w:r>
                  <w:rPr>
                    <w:rFonts w:hint="eastAsia"/>
                  </w:rPr>
                  <w:t>报酬</w:t>
                </w:r>
              </w:p>
            </w:tc>
          </w:sdtContent>
        </w:sdt>
      </w:tr>
      <w:tr w:rsidR="005E000F" w14:paraId="7A5231C5" w14:textId="77777777">
        <w:trPr>
          <w:trHeight w:val="150"/>
        </w:trPr>
        <w:tc>
          <w:tcPr>
            <w:tcW w:w="3085" w:type="dxa"/>
            <w:vAlign w:val="center"/>
          </w:tcPr>
          <w:p w14:paraId="6D24C3E0" w14:textId="77777777" w:rsidR="005E000F" w:rsidRDefault="00000000">
            <w:r>
              <w:rPr>
                <w:rFonts w:hint="eastAsia"/>
              </w:rPr>
              <w:t>内部控制审计会计师事务所</w:t>
            </w:r>
          </w:p>
        </w:tc>
        <w:tc>
          <w:tcPr>
            <w:tcW w:w="2977" w:type="dxa"/>
            <w:vAlign w:val="center"/>
          </w:tcPr>
          <w:p w14:paraId="367B5BC4" w14:textId="77777777" w:rsidR="005E000F" w:rsidRDefault="00000000">
            <w:r>
              <w:t>安永华明会计师事务所（特殊普通合伙）</w:t>
            </w:r>
          </w:p>
        </w:tc>
        <w:tc>
          <w:tcPr>
            <w:tcW w:w="2987" w:type="dxa"/>
            <w:vAlign w:val="center"/>
          </w:tcPr>
          <w:p w14:paraId="357C3D8E" w14:textId="77777777" w:rsidR="005E000F" w:rsidRDefault="00000000">
            <w:pPr>
              <w:jc w:val="right"/>
            </w:pPr>
            <w:r>
              <w:rPr>
                <w:rFonts w:hint="eastAsia"/>
              </w:rPr>
              <w:t>315</w:t>
            </w:r>
          </w:p>
        </w:tc>
      </w:tr>
    </w:tbl>
    <w:p w14:paraId="3E4C53D1" w14:textId="77777777" w:rsidR="005E000F" w:rsidRDefault="005E000F"/>
    <w:bookmarkEnd w:id="149"/>
    <w:p w14:paraId="11385F81" w14:textId="77777777" w:rsidR="005E000F" w:rsidRDefault="00000000">
      <w:r>
        <w:t>聘任、解聘会计师事务所的情况说明</w:t>
      </w:r>
    </w:p>
    <w:sdt>
      <w:sdtPr>
        <w:alias w:val="是否适用：聘任、解聘会计师事务所情况[双击切换]"/>
        <w:tag w:val="_GBC_376f0811302240c0a118add2061458b6"/>
        <w:id w:val="1100915671"/>
        <w:placeholder>
          <w:docPart w:val="GBC22222222222222222222222222222"/>
        </w:placeholder>
      </w:sdtPr>
      <w:sdtContent>
        <w:p w14:paraId="3AB4A4E4"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聘任、解聘会计师事务所情况说明"/>
        <w:tag w:val="_GBC_efccae536add449ea09208e1185e3711"/>
        <w:id w:val="-1012445616"/>
        <w:placeholder>
          <w:docPart w:val="GBC22222222222222222222222222222"/>
        </w:placeholder>
      </w:sdtPr>
      <w:sdtContent>
        <w:p w14:paraId="3F268E2D" w14:textId="77777777" w:rsidR="005E000F" w:rsidRDefault="00000000">
          <w:pPr>
            <w:spacing w:line="360" w:lineRule="auto"/>
            <w:ind w:firstLineChars="200" w:firstLine="420"/>
            <w:jc w:val="both"/>
          </w:pPr>
          <w:sdt>
            <w:sdtPr>
              <w:rPr>
                <w:rFonts w:hint="eastAsia"/>
              </w:rPr>
              <w:alias w:val="聘任、解聘会计师事务所情况说明"/>
              <w:tag w:val="_GBC_efccae536add449ea09208e1185e3711"/>
              <w:id w:val="1508699"/>
              <w:placeholder>
                <w:docPart w:val="D6B43E1E9FB84A5F95A261E98FB41DE7"/>
              </w:placeholder>
            </w:sdtPr>
            <w:sdtContent>
              <w:r>
                <w:rPr>
                  <w:rFonts w:hint="eastAsia"/>
                </w:rPr>
                <w:t>内容详见</w:t>
              </w:r>
              <w:r>
                <w:t>202</w:t>
              </w:r>
              <w:r>
                <w:rPr>
                  <w:rFonts w:hint="eastAsia"/>
                </w:rPr>
                <w:t>5</w:t>
              </w:r>
              <w:r>
                <w:t>年</w:t>
              </w:r>
              <w:r>
                <w:t>4</w:t>
              </w:r>
              <w:r>
                <w:t>月</w:t>
              </w:r>
              <w:r>
                <w:rPr>
                  <w:rFonts w:hint="eastAsia"/>
                </w:rPr>
                <w:t>30</w:t>
              </w:r>
              <w:r>
                <w:t>日登载于上海证券交易所网站的《大秦铁路关于</w:t>
              </w:r>
              <w:r>
                <w:rPr>
                  <w:rFonts w:hint="eastAsia"/>
                </w:rPr>
                <w:t>变更</w:t>
              </w:r>
              <w:r>
                <w:t>202</w:t>
              </w:r>
              <w:r>
                <w:rPr>
                  <w:rFonts w:hint="eastAsia"/>
                </w:rPr>
                <w:t>5</w:t>
              </w:r>
              <w:r>
                <w:t>年度财务报告审计机构的公告》《大秦铁路关于</w:t>
              </w:r>
              <w:r>
                <w:rPr>
                  <w:rFonts w:hint="eastAsia"/>
                </w:rPr>
                <w:t>变更</w:t>
              </w:r>
              <w:r>
                <w:t>202</w:t>
              </w:r>
              <w:r>
                <w:rPr>
                  <w:rFonts w:hint="eastAsia"/>
                </w:rPr>
                <w:t>5</w:t>
              </w:r>
              <w:r>
                <w:t>年度内部控制审计机构的公告》</w:t>
              </w:r>
              <w:r>
                <w:rPr>
                  <w:rFonts w:hint="eastAsia"/>
                </w:rPr>
                <w:t>。</w:t>
              </w:r>
            </w:sdtContent>
          </w:sdt>
        </w:p>
      </w:sdtContent>
    </w:sdt>
    <w:p w14:paraId="45293BE6" w14:textId="77777777" w:rsidR="005E000F" w:rsidRDefault="00000000">
      <w:r>
        <w:t>审计期间改聘会计师事务所的情况说明</w:t>
      </w:r>
    </w:p>
    <w:sdt>
      <w:sdtPr>
        <w:rPr>
          <w:rFonts w:hint="eastAsia"/>
        </w:rPr>
        <w:alias w:val="是否适用：审计期间改聘会计师事务所的情况说明[双击切换]"/>
        <w:tag w:val="_GBC_34c57619e2904c83a8840614e4e5d5d0"/>
        <w:id w:val="-1231611643"/>
        <w:placeholder>
          <w:docPart w:val="GBC22222222222222222222222222222"/>
        </w:placeholder>
      </w:sdtPr>
      <w:sdtContent>
        <w:p w14:paraId="59EBC171"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468F28E" w14:textId="77777777" w:rsidR="005E000F" w:rsidRDefault="00000000">
      <w:r>
        <w:rPr>
          <w:rFonts w:hint="eastAsia"/>
        </w:rPr>
        <w:t>审计费用较上一年度下降</w:t>
      </w:r>
      <w:r>
        <w:rPr>
          <w:rFonts w:hint="eastAsia"/>
        </w:rPr>
        <w:t>20%</w:t>
      </w:r>
      <w:r>
        <w:rPr>
          <w:rFonts w:hint="eastAsia"/>
        </w:rPr>
        <w:t>以上（含</w:t>
      </w:r>
      <w:r>
        <w:rPr>
          <w:rFonts w:hint="eastAsia"/>
        </w:rPr>
        <w:t>20%</w:t>
      </w:r>
      <w:r>
        <w:rPr>
          <w:rFonts w:hint="eastAsia"/>
        </w:rPr>
        <w:t>）的情况说明</w:t>
      </w:r>
    </w:p>
    <w:sdt>
      <w:sdtPr>
        <w:rPr>
          <w:rFonts w:hint="eastAsia"/>
        </w:rPr>
        <w:alias w:val="是否适用：审计费用较上一年度下降20%以上（含20%）的情况说明[双击切换]"/>
        <w:tag w:val="_GBC_1b0fa24aa1d645e2aa2ab2a0fe7c67ab"/>
        <w:id w:val="-1190133136"/>
        <w:placeholder>
          <w:docPart w:val="GBC22222222222222222222222222222"/>
        </w:placeholder>
      </w:sdtPr>
      <w:sdtContent>
        <w:p w14:paraId="092DF7A6"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3824869" w14:textId="77777777" w:rsidR="005E000F" w:rsidRDefault="00000000">
      <w:pPr>
        <w:pStyle w:val="2"/>
        <w:numPr>
          <w:ilvl w:val="0"/>
          <w:numId w:val="29"/>
        </w:numPr>
        <w:rPr>
          <w:rFonts w:ascii="宋体" w:hAnsi="宋体" w:cs="宋体"/>
          <w:kern w:val="0"/>
          <w:szCs w:val="24"/>
        </w:rPr>
      </w:pPr>
      <w:r>
        <w:rPr>
          <w:rFonts w:ascii="宋体" w:hAnsi="宋体" w:cs="宋体"/>
          <w:kern w:val="0"/>
          <w:szCs w:val="24"/>
        </w:rPr>
        <w:t>面临</w:t>
      </w:r>
      <w:r>
        <w:rPr>
          <w:rFonts w:ascii="宋体" w:hAnsi="宋体" w:cs="宋体" w:hint="eastAsia"/>
          <w:kern w:val="0"/>
          <w:szCs w:val="24"/>
        </w:rPr>
        <w:t>退</w:t>
      </w:r>
      <w:proofErr w:type="gramStart"/>
      <w:r>
        <w:rPr>
          <w:rFonts w:ascii="宋体" w:hAnsi="宋体" w:cs="宋体"/>
          <w:kern w:val="0"/>
          <w:szCs w:val="24"/>
        </w:rPr>
        <w:t>市风险</w:t>
      </w:r>
      <w:proofErr w:type="gramEnd"/>
      <w:r>
        <w:rPr>
          <w:rFonts w:ascii="宋体" w:hAnsi="宋体" w:cs="宋体"/>
          <w:kern w:val="0"/>
          <w:szCs w:val="24"/>
        </w:rPr>
        <w:t>的情况</w:t>
      </w:r>
    </w:p>
    <w:p w14:paraId="7820CB51" w14:textId="77777777" w:rsidR="005E000F" w:rsidRDefault="00000000">
      <w:pPr>
        <w:pStyle w:val="3"/>
        <w:numPr>
          <w:ilvl w:val="0"/>
          <w:numId w:val="32"/>
        </w:numPr>
        <w:jc w:val="left"/>
      </w:pPr>
      <w:r>
        <w:rPr>
          <w:rFonts w:hint="eastAsia"/>
        </w:rPr>
        <w:t>导</w:t>
      </w:r>
      <w:r>
        <w:rPr>
          <w:szCs w:val="21"/>
        </w:rPr>
        <w:t>致</w:t>
      </w:r>
      <w:r>
        <w:rPr>
          <w:rFonts w:hint="eastAsia"/>
          <w:szCs w:val="21"/>
        </w:rPr>
        <w:t>退</w:t>
      </w:r>
      <w:proofErr w:type="gramStart"/>
      <w:r>
        <w:rPr>
          <w:rFonts w:hint="eastAsia"/>
          <w:szCs w:val="21"/>
        </w:rPr>
        <w:t>市风险</w:t>
      </w:r>
      <w:proofErr w:type="gramEnd"/>
      <w:r>
        <w:rPr>
          <w:rFonts w:hint="eastAsia"/>
          <w:szCs w:val="21"/>
        </w:rPr>
        <w:t>警示</w:t>
      </w:r>
      <w:r>
        <w:rPr>
          <w:szCs w:val="21"/>
        </w:rPr>
        <w:t>的原因</w:t>
      </w:r>
    </w:p>
    <w:sdt>
      <w:sdtPr>
        <w:rPr>
          <w:rFonts w:hint="eastAsia"/>
        </w:rPr>
        <w:alias w:val="是否适用：导致暂停上市的原因[双击切换]"/>
        <w:tag w:val="_GBC_5be6e6fabf4849c7b63c5d08ac7706e1"/>
        <w:id w:val="204229292"/>
        <w:placeholder>
          <w:docPart w:val="GBC22222222222222222222222222222"/>
        </w:placeholder>
      </w:sdtPr>
      <w:sdtContent>
        <w:p w14:paraId="1D24E73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BC66446" w14:textId="77777777" w:rsidR="005E000F" w:rsidRDefault="00000000">
      <w:pPr>
        <w:pStyle w:val="3"/>
        <w:numPr>
          <w:ilvl w:val="0"/>
          <w:numId w:val="32"/>
        </w:numPr>
        <w:rPr>
          <w:szCs w:val="21"/>
        </w:rPr>
      </w:pPr>
      <w:r>
        <w:rPr>
          <w:rFonts w:hint="eastAsia"/>
          <w:szCs w:val="21"/>
        </w:rPr>
        <w:t>公司拟采取的应对措施</w:t>
      </w:r>
    </w:p>
    <w:sdt>
      <w:sdtPr>
        <w:alias w:val="是否适用：公司拟采取的措施[双击切换]"/>
        <w:tag w:val="_GBC_8656f473b4d943fe8fa1477037f607c5"/>
        <w:id w:val="590667015"/>
        <w:placeholder>
          <w:docPart w:val="GBC22222222222222222222222222222"/>
        </w:placeholder>
      </w:sdtPr>
      <w:sdtContent>
        <w:p w14:paraId="7501959D"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8D58D1D" w14:textId="77777777" w:rsidR="005E000F" w:rsidRDefault="00000000">
      <w:pPr>
        <w:pStyle w:val="3"/>
        <w:numPr>
          <w:ilvl w:val="0"/>
          <w:numId w:val="32"/>
        </w:numPr>
        <w:rPr>
          <w:rFonts w:ascii="宋体" w:hAnsi="宋体" w:cs="宋体"/>
          <w:kern w:val="0"/>
          <w:szCs w:val="21"/>
        </w:rPr>
      </w:pPr>
      <w:bookmarkStart w:id="150" w:name="_Hlk89346186"/>
      <w:r>
        <w:rPr>
          <w:rFonts w:ascii="宋体" w:hAnsi="宋体" w:cs="宋体" w:hint="eastAsia"/>
          <w:kern w:val="0"/>
          <w:szCs w:val="21"/>
        </w:rPr>
        <w:lastRenderedPageBreak/>
        <w:t>面临终止上市的情况和原因</w:t>
      </w:r>
    </w:p>
    <w:sdt>
      <w:sdtPr>
        <w:rPr>
          <w:rFonts w:hint="eastAsia"/>
        </w:rPr>
        <w:alias w:val="是否适用：面临终止上市的情况和原因 [双击切换]"/>
        <w:tag w:val="_GBC_36002fff87954035b149cfd20b1790d5"/>
        <w:id w:val="-2108023264"/>
        <w:placeholder>
          <w:docPart w:val="GBC22222222222222222222222222222"/>
        </w:placeholder>
      </w:sdtPr>
      <w:sdtContent>
        <w:p w14:paraId="13936CB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50"/>
    <w:p w14:paraId="19BED139" w14:textId="77777777" w:rsidR="005E000F" w:rsidRDefault="00000000">
      <w:pPr>
        <w:pStyle w:val="2"/>
        <w:numPr>
          <w:ilvl w:val="0"/>
          <w:numId w:val="29"/>
        </w:numPr>
      </w:pPr>
      <w:r>
        <w:t>破产重整相关事项</w:t>
      </w:r>
    </w:p>
    <w:sdt>
      <w:sdtPr>
        <w:alias w:val="是否适用：破产重整相关事项[双击切换]"/>
        <w:tag w:val="_GBC_5840a694c2a04f98893394e6da3bc9cc"/>
        <w:id w:val="1611475572"/>
        <w:placeholder>
          <w:docPart w:val="GBC22222222222222222222222222222"/>
        </w:placeholder>
      </w:sdtPr>
      <w:sdtContent>
        <w:p w14:paraId="486D2D48"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F6EF821" w14:textId="77777777" w:rsidR="005E000F" w:rsidRDefault="00000000">
      <w:pPr>
        <w:pStyle w:val="2"/>
        <w:numPr>
          <w:ilvl w:val="0"/>
          <w:numId w:val="29"/>
        </w:numPr>
      </w:pPr>
      <w:r>
        <w:t>重大诉讼、仲裁事项</w:t>
      </w:r>
    </w:p>
    <w:sdt>
      <w:sdtPr>
        <w:rPr>
          <w:rFonts w:asciiTheme="minorEastAsia" w:eastAsiaTheme="minorEastAsia" w:hAnsiTheme="minorEastAsia"/>
        </w:rPr>
        <w:alias w:val="本年度公司有无重大诉讼、仲裁事项"/>
        <w:tag w:val="_GBC_b7d97a978491465ca563fa610688ebef"/>
        <w:id w:val="-1120135841"/>
        <w:placeholder>
          <w:docPart w:val="GBC22222222222222222222222222222"/>
        </w:placeholder>
      </w:sdtPr>
      <w:sdtContent>
        <w:p w14:paraId="7F31BCB6" w14:textId="77777777" w:rsidR="005E000F" w:rsidRDefault="00000000">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□本年度公司有重大诉讼、仲裁事项 </w:instrText>
          </w:r>
          <w:r>
            <w:rPr>
              <w:rFonts w:asciiTheme="minorEastAsia" w:eastAsiaTheme="minorEastAsia" w:hAnsiTheme="minorEastAsia"/>
            </w:rPr>
            <w:fldChar w:fldCharType="end"/>
          </w:r>
          <w:r>
            <w:rPr>
              <w:rFonts w:asciiTheme="minorEastAsia" w:eastAsiaTheme="minorEastAsia" w:hAnsiTheme="minorEastAsia"/>
            </w:rPr>
            <w:fldChar w:fldCharType="begin"/>
          </w:r>
          <w:r>
            <w:rPr>
              <w:rFonts w:asciiTheme="minorEastAsia" w:eastAsiaTheme="minorEastAsia" w:hAnsiTheme="minorEastAsia"/>
            </w:rPr>
            <w:instrText xml:space="preserve"> MACROBUTTON  SnrToggleCheckbox √本年度公司无重大诉讼、仲裁事项 </w:instrText>
          </w:r>
          <w:r>
            <w:rPr>
              <w:rFonts w:asciiTheme="minorEastAsia" w:eastAsiaTheme="minorEastAsia" w:hAnsiTheme="minorEastAsia"/>
            </w:rPr>
            <w:fldChar w:fldCharType="end"/>
          </w:r>
        </w:p>
      </w:sdtContent>
    </w:sdt>
    <w:p w14:paraId="32219132" w14:textId="77777777" w:rsidR="005E000F" w:rsidRDefault="00000000">
      <w:pPr>
        <w:pStyle w:val="2"/>
        <w:numPr>
          <w:ilvl w:val="0"/>
          <w:numId w:val="29"/>
        </w:numPr>
        <w:ind w:left="0" w:firstLine="0"/>
      </w:pPr>
      <w:r>
        <w:t>上市公司</w:t>
      </w:r>
      <w:r>
        <w:rPr>
          <w:rFonts w:hint="eastAsia"/>
        </w:rPr>
        <w:t>及其董事、高级管理人员、控股股东、实际控制人</w:t>
      </w:r>
      <w:r>
        <w:t>涉嫌违法违规、受到处罚及整改情况</w:t>
      </w:r>
    </w:p>
    <w:sdt>
      <w:sdtPr>
        <w:alias w:val="是否适用：上市公司及其董事、监事、高级管理人员、持有5%以上股份的股东、实际控制人、收购人处罚及整改情况[双击切换]"/>
        <w:tag w:val="_GBC_123762bb7717485a933e24f7a072833b"/>
        <w:id w:val="313764155"/>
        <w:placeholder>
          <w:docPart w:val="GBC22222222222222222222222222222"/>
        </w:placeholder>
      </w:sdtPr>
      <w:sdtContent>
        <w:p w14:paraId="4CCC0766"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A44C4E5" w14:textId="77777777" w:rsidR="005E000F" w:rsidRDefault="00000000">
      <w:pPr>
        <w:pStyle w:val="2"/>
        <w:numPr>
          <w:ilvl w:val="0"/>
          <w:numId w:val="29"/>
        </w:numPr>
      </w:pPr>
      <w:r>
        <w:rPr>
          <w:rFonts w:hint="eastAsia"/>
        </w:rPr>
        <w:t>报告期内公司及其控股股东、实际控制人诚信状况的说明</w:t>
      </w:r>
    </w:p>
    <w:sdt>
      <w:sdtPr>
        <w:rPr>
          <w:rFonts w:hint="eastAsia"/>
        </w:rPr>
        <w:alias w:val="是否适用：报告期内公司及其控股股东、实际控制人诚信状况的说明[双击切换]"/>
        <w:tag w:val="_GBC_c52f51ce49eb4245a9df7baca2947656"/>
        <w:id w:val="1488048018"/>
        <w:placeholder>
          <w:docPart w:val="GBC22222222222222222222222222222"/>
        </w:placeholder>
      </w:sdtPr>
      <w:sdtContent>
        <w:p w14:paraId="4B427429"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F6F231C" w14:textId="77777777" w:rsidR="005E000F" w:rsidRDefault="00000000">
      <w:pPr>
        <w:pStyle w:val="2"/>
        <w:numPr>
          <w:ilvl w:val="0"/>
          <w:numId w:val="29"/>
        </w:numPr>
      </w:pPr>
      <w:r>
        <w:rPr>
          <w:rFonts w:hint="eastAsia"/>
        </w:rPr>
        <w:t>重大关联交易</w:t>
      </w:r>
    </w:p>
    <w:p w14:paraId="75A2B752" w14:textId="77777777" w:rsidR="005E000F" w:rsidRDefault="00000000">
      <w:pPr>
        <w:pStyle w:val="3"/>
        <w:numPr>
          <w:ilvl w:val="2"/>
          <w:numId w:val="5"/>
        </w:numPr>
        <w:rPr>
          <w:szCs w:val="21"/>
        </w:rPr>
      </w:pPr>
      <w:bookmarkStart w:id="151" w:name="_Toc342565953"/>
      <w:bookmarkStart w:id="152" w:name="_Toc342491961"/>
      <w:r>
        <w:rPr>
          <w:rFonts w:hint="eastAsia"/>
          <w:szCs w:val="21"/>
        </w:rPr>
        <w:t>与日常经营相关的关联交易</w:t>
      </w:r>
      <w:bookmarkEnd w:id="151"/>
      <w:bookmarkEnd w:id="152"/>
    </w:p>
    <w:p w14:paraId="7E5FAFEF" w14:textId="77777777" w:rsidR="005E000F" w:rsidRDefault="00000000">
      <w:pPr>
        <w:pStyle w:val="4"/>
        <w:numPr>
          <w:ilvl w:val="2"/>
          <w:numId w:val="33"/>
        </w:numPr>
      </w:pPr>
      <w:r>
        <w:t>已在临时公告披露且后续实施无进展或变化的事项</w:t>
      </w:r>
    </w:p>
    <w:sdt>
      <w:sdtPr>
        <w:alias w:val="是否适用：已在临时公告披露且后续实施无进展或变化的事项_与日常经营相关的关联交易[双击切换]"/>
        <w:tag w:val="_GBC_6194ac6d54054fcc9f40dc3e35772780"/>
        <w:id w:val="-606348393"/>
        <w:placeholder>
          <w:docPart w:val="GBC22222222222222222222222222222"/>
        </w:placeholder>
      </w:sdtPr>
      <w:sdtContent>
        <w:p w14:paraId="37ED5A70"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7B342D8" w14:textId="77777777" w:rsidR="005E000F" w:rsidRDefault="00000000">
      <w:pPr>
        <w:pStyle w:val="4"/>
        <w:numPr>
          <w:ilvl w:val="2"/>
          <w:numId w:val="33"/>
        </w:numPr>
      </w:pPr>
      <w:r>
        <w:t>已在临时公告披露，但有后续实施的进展或变化的事项</w:t>
      </w:r>
    </w:p>
    <w:sdt>
      <w:sdtPr>
        <w:rPr>
          <w:rFonts w:hint="eastAsia"/>
        </w:rPr>
        <w:alias w:val="是否适用：已在临时公告披露，但有后续实施的进展或变化的事项_与日常经营相关的关联交易[双击切换]"/>
        <w:tag w:val="_GBC_19ed12f3e7b5456b8509a0a5457f26b3"/>
        <w:id w:val="-1937737722"/>
        <w:placeholder>
          <w:docPart w:val="GBC22222222222222222222222222222"/>
        </w:placeholder>
      </w:sdtPr>
      <w:sdtContent>
        <w:p w14:paraId="23182F3D"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与日常经营相关的关联交易事项已在临时报告披露，后续实施的进展或变化"/>
        <w:tag w:val="_GBC_5fbfc287aede44a486960ae219233887"/>
        <w:id w:val="-394894122"/>
        <w:placeholder>
          <w:docPart w:val="GBC22222222222222222222222222222"/>
        </w:placeholder>
      </w:sdtPr>
      <w:sdtContent>
        <w:sdt>
          <w:sdtPr>
            <w:alias w:val="与日常经营相关的关联交易事项已在临时报告披露，后续实施的进展或变化"/>
            <w:tag w:val="_GBC_5fbfc287aede44a486960ae219233887"/>
            <w:id w:val="1598237"/>
            <w:placeholder>
              <w:docPart w:val="7DC4B30543614A04808EE287C4F889F5"/>
            </w:placeholder>
          </w:sdtPr>
          <w:sdtContent>
            <w:p w14:paraId="71D8F7AC" w14:textId="77777777" w:rsidR="005E000F" w:rsidRDefault="00000000">
              <w:pPr>
                <w:spacing w:line="360" w:lineRule="auto"/>
                <w:ind w:firstLineChars="200" w:firstLine="420"/>
                <w:jc w:val="both"/>
                <w:rPr>
                  <w:rFonts w:eastAsiaTheme="minorEastAsia"/>
                </w:rPr>
              </w:pPr>
              <w:r>
                <w:rPr>
                  <w:rFonts w:eastAsiaTheme="minorEastAsia"/>
                </w:rPr>
                <w:t>2025</w:t>
              </w:r>
              <w:r>
                <w:rPr>
                  <w:rFonts w:eastAsiaTheme="minorEastAsia"/>
                </w:rPr>
                <w:t>年</w:t>
              </w:r>
              <w:r>
                <w:rPr>
                  <w:rFonts w:eastAsiaTheme="minorEastAsia"/>
                </w:rPr>
                <w:t>4</w:t>
              </w:r>
              <w:r>
                <w:rPr>
                  <w:rFonts w:eastAsiaTheme="minorEastAsia"/>
                </w:rPr>
                <w:t>月</w:t>
              </w:r>
              <w:r>
                <w:rPr>
                  <w:rFonts w:eastAsiaTheme="minorEastAsia"/>
                </w:rPr>
                <w:t>28</w:t>
              </w:r>
              <w:r>
                <w:rPr>
                  <w:rFonts w:eastAsiaTheme="minorEastAsia"/>
                </w:rPr>
                <w:t>日，公司召开第七届董事会第十一次会议，审议通过《关于预计</w:t>
              </w:r>
              <w:r>
                <w:rPr>
                  <w:rFonts w:eastAsiaTheme="minorEastAsia"/>
                </w:rPr>
                <w:t>2025</w:t>
              </w:r>
              <w:r>
                <w:rPr>
                  <w:rFonts w:eastAsiaTheme="minorEastAsia"/>
                </w:rPr>
                <w:t>年度日常关联交易金额的议案》。内容详见</w:t>
              </w:r>
              <w:r>
                <w:rPr>
                  <w:rFonts w:eastAsiaTheme="minorEastAsia"/>
                </w:rPr>
                <w:t>2025</w:t>
              </w:r>
              <w:r>
                <w:rPr>
                  <w:rFonts w:eastAsiaTheme="minorEastAsia"/>
                </w:rPr>
                <w:t>年</w:t>
              </w:r>
              <w:r>
                <w:rPr>
                  <w:rFonts w:eastAsiaTheme="minorEastAsia"/>
                </w:rPr>
                <w:t>4</w:t>
              </w:r>
              <w:r>
                <w:rPr>
                  <w:rFonts w:eastAsiaTheme="minorEastAsia"/>
                </w:rPr>
                <w:t>月</w:t>
              </w:r>
              <w:r>
                <w:rPr>
                  <w:rFonts w:eastAsiaTheme="minorEastAsia"/>
                </w:rPr>
                <w:t>30</w:t>
              </w:r>
              <w:r>
                <w:rPr>
                  <w:rFonts w:eastAsiaTheme="minorEastAsia"/>
                </w:rPr>
                <w:t>日登载于上海证券交易所网站的《大秦铁路股份有限公司日常关联交易</w:t>
              </w:r>
              <w:r>
                <w:rPr>
                  <w:rFonts w:eastAsiaTheme="minorEastAsia"/>
                </w:rPr>
                <w:t>2024</w:t>
              </w:r>
              <w:r>
                <w:rPr>
                  <w:rFonts w:eastAsiaTheme="minorEastAsia"/>
                </w:rPr>
                <w:t>年度完成及</w:t>
              </w:r>
              <w:r>
                <w:rPr>
                  <w:rFonts w:eastAsiaTheme="minorEastAsia"/>
                </w:rPr>
                <w:t>2025</w:t>
              </w:r>
              <w:r>
                <w:rPr>
                  <w:rFonts w:eastAsiaTheme="minorEastAsia"/>
                </w:rPr>
                <w:t>年预计公告》。</w:t>
              </w:r>
            </w:p>
            <w:p w14:paraId="2BA26A63" w14:textId="77777777" w:rsidR="005E000F" w:rsidRDefault="00000000">
              <w:pPr>
                <w:spacing w:line="360" w:lineRule="auto"/>
                <w:ind w:firstLineChars="200" w:firstLine="420"/>
                <w:jc w:val="both"/>
              </w:pPr>
              <w:r>
                <w:rPr>
                  <w:rFonts w:eastAsiaTheme="minorEastAsia"/>
                </w:rPr>
                <w:t>公司</w:t>
              </w:r>
              <w:r>
                <w:rPr>
                  <w:rFonts w:eastAsiaTheme="minorEastAsia"/>
                </w:rPr>
                <w:t>2025</w:t>
              </w:r>
              <w:r>
                <w:rPr>
                  <w:rFonts w:eastAsiaTheme="minorEastAsia"/>
                </w:rPr>
                <w:t>年日常关联交易实际完成情况及</w:t>
              </w:r>
              <w:r>
                <w:rPr>
                  <w:rFonts w:eastAsiaTheme="minorEastAsia"/>
                </w:rPr>
                <w:t>2026</w:t>
              </w:r>
              <w:r>
                <w:rPr>
                  <w:rFonts w:eastAsiaTheme="minorEastAsia"/>
                </w:rPr>
                <w:t>年预计情况详见</w:t>
              </w:r>
              <w:r>
                <w:rPr>
                  <w:rFonts w:eastAsiaTheme="minorEastAsia"/>
                </w:rPr>
                <w:t>2026</w:t>
              </w:r>
              <w:r>
                <w:rPr>
                  <w:rFonts w:eastAsiaTheme="minorEastAsia"/>
                </w:rPr>
                <w:t>年</w:t>
              </w:r>
              <w:r>
                <w:rPr>
                  <w:rFonts w:eastAsiaTheme="minorEastAsia"/>
                </w:rPr>
                <w:t>4</w:t>
              </w:r>
              <w:r>
                <w:rPr>
                  <w:rFonts w:eastAsiaTheme="minorEastAsia"/>
                </w:rPr>
                <w:t>月</w:t>
              </w:r>
              <w:r>
                <w:rPr>
                  <w:rFonts w:eastAsiaTheme="minorEastAsia"/>
                </w:rPr>
                <w:t>30</w:t>
              </w:r>
              <w:r>
                <w:rPr>
                  <w:rFonts w:eastAsiaTheme="minorEastAsia"/>
                </w:rPr>
                <w:t>日登载于上海证券交易所网站的《大秦铁路股份有限公司日常关联交易</w:t>
              </w:r>
              <w:r>
                <w:rPr>
                  <w:rFonts w:eastAsiaTheme="minorEastAsia"/>
                </w:rPr>
                <w:t>2025</w:t>
              </w:r>
              <w:r>
                <w:rPr>
                  <w:rFonts w:eastAsiaTheme="minorEastAsia"/>
                </w:rPr>
                <w:t>年度完成及</w:t>
              </w:r>
              <w:r>
                <w:rPr>
                  <w:rFonts w:eastAsiaTheme="minorEastAsia"/>
                </w:rPr>
                <w:t>2026</w:t>
              </w:r>
              <w:r>
                <w:rPr>
                  <w:rFonts w:eastAsiaTheme="minorEastAsia"/>
                </w:rPr>
                <w:t>年预计公告》。</w:t>
              </w:r>
            </w:p>
          </w:sdtContent>
        </w:sdt>
      </w:sdtContent>
    </w:sdt>
    <w:p w14:paraId="10D816D5" w14:textId="77777777" w:rsidR="005E000F" w:rsidRDefault="00000000">
      <w:pPr>
        <w:pStyle w:val="4"/>
        <w:numPr>
          <w:ilvl w:val="2"/>
          <w:numId w:val="33"/>
        </w:numPr>
      </w:pPr>
      <w:bookmarkStart w:id="153" w:name="_Toc342491964"/>
      <w:bookmarkStart w:id="154" w:name="_Toc342565956"/>
      <w:r>
        <w:rPr>
          <w:rFonts w:hint="eastAsia"/>
        </w:rPr>
        <w:t>临时公告未披露的事</w:t>
      </w:r>
      <w:bookmarkEnd w:id="153"/>
      <w:bookmarkEnd w:id="154"/>
      <w:r>
        <w:rPr>
          <w:rFonts w:hint="eastAsia"/>
        </w:rPr>
        <w:t>项</w:t>
      </w:r>
    </w:p>
    <w:sdt>
      <w:sdtPr>
        <w:alias w:val="是否适用：与日常经营相关的关联交易_临时公告未披露的事项[双击切换]"/>
        <w:tag w:val="_GBC_3f1135e0d6d440e6a4af283441bd65d2"/>
        <w:id w:val="-961720610"/>
        <w:placeholder>
          <w:docPart w:val="GBC22222222222222222222222222222"/>
        </w:placeholder>
      </w:sdtPr>
      <w:sdtContent>
        <w:p w14:paraId="4CF0AC11"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805D4FA" w14:textId="77777777" w:rsidR="005E000F" w:rsidRDefault="00000000">
      <w:pPr>
        <w:pStyle w:val="3"/>
        <w:numPr>
          <w:ilvl w:val="2"/>
          <w:numId w:val="5"/>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p w14:paraId="22C85BA1" w14:textId="77777777" w:rsidR="005E000F" w:rsidRDefault="00000000">
      <w:pPr>
        <w:pStyle w:val="4"/>
        <w:numPr>
          <w:ilvl w:val="0"/>
          <w:numId w:val="34"/>
        </w:numPr>
      </w:pPr>
      <w:r>
        <w:t>已在临时公告披露且后续实施无进展或变化的事项</w:t>
      </w:r>
    </w:p>
    <w:sdt>
      <w:sdtPr>
        <w:alias w:val="是否适用：已在临时公告披露且后续实施无进展或变化的事项_资产或股权收购、出售发生的关联交易[双击切换]"/>
        <w:tag w:val="_GBC_543ebf3bec89495c98a461a0509a331d"/>
        <w:id w:val="1732658394"/>
        <w:placeholder>
          <w:docPart w:val="GBC22222222222222222222222222222"/>
        </w:placeholder>
      </w:sdtPr>
      <w:sdtContent>
        <w:p w14:paraId="7B6FFD0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4524"/>
        <w:gridCol w:w="4524"/>
      </w:tblGrid>
      <w:tr w:rsidR="005E000F" w14:paraId="4A0568BA" w14:textId="77777777">
        <w:sdt>
          <w:sdtPr>
            <w:tag w:val="_PLD_1188ee45227d45f381d6f25e86478458"/>
            <w:id w:val="-1190830369"/>
          </w:sdtPr>
          <w:sdtContent>
            <w:tc>
              <w:tcPr>
                <w:tcW w:w="4524" w:type="dxa"/>
                <w:vAlign w:val="center"/>
              </w:tcPr>
              <w:p w14:paraId="124B4266" w14:textId="77777777" w:rsidR="005E000F" w:rsidRDefault="00000000">
                <w:pPr>
                  <w:jc w:val="center"/>
                </w:pPr>
                <w:r>
                  <w:t>事项概述</w:t>
                </w:r>
              </w:p>
            </w:tc>
          </w:sdtContent>
        </w:sdt>
        <w:sdt>
          <w:sdtPr>
            <w:tag w:val="_PLD_0c44a61d6566427086931bb8189dad89"/>
            <w:id w:val="-528953611"/>
          </w:sdtPr>
          <w:sdtContent>
            <w:tc>
              <w:tcPr>
                <w:tcW w:w="4524" w:type="dxa"/>
                <w:vAlign w:val="center"/>
              </w:tcPr>
              <w:p w14:paraId="6C3F0DE8" w14:textId="77777777" w:rsidR="005E000F" w:rsidRDefault="00000000">
                <w:pPr>
                  <w:jc w:val="center"/>
                </w:pPr>
                <w:r>
                  <w:t>查询索引</w:t>
                </w:r>
              </w:p>
            </w:tc>
          </w:sdtContent>
        </w:sdt>
      </w:tr>
      <w:tr w:rsidR="005E000F" w14:paraId="1A7F9AA4" w14:textId="77777777">
        <w:tc>
          <w:tcPr>
            <w:tcW w:w="4524" w:type="dxa"/>
            <w:vAlign w:val="center"/>
          </w:tcPr>
          <w:p w14:paraId="4C8F93B1" w14:textId="77777777" w:rsidR="005E000F" w:rsidRDefault="00000000">
            <w:r>
              <w:t>公司与</w:t>
            </w:r>
            <w:r>
              <w:rPr>
                <w:rFonts w:hint="eastAsia"/>
              </w:rPr>
              <w:t>中国铁路</w:t>
            </w:r>
            <w:r>
              <w:t>太原</w:t>
            </w:r>
            <w:proofErr w:type="gramStart"/>
            <w:r>
              <w:t>局集团</w:t>
            </w:r>
            <w:proofErr w:type="gramEnd"/>
            <w:r>
              <w:rPr>
                <w:rFonts w:hint="eastAsia"/>
              </w:rPr>
              <w:t>有限</w:t>
            </w:r>
            <w:r>
              <w:t>公司重新签订《国有授权经营土地使用权转让协议》</w:t>
            </w:r>
            <w:r>
              <w:rPr>
                <w:rFonts w:hint="eastAsia"/>
              </w:rPr>
              <w:t>事项</w:t>
            </w:r>
          </w:p>
        </w:tc>
        <w:tc>
          <w:tcPr>
            <w:tcW w:w="4524" w:type="dxa"/>
            <w:vAlign w:val="center"/>
          </w:tcPr>
          <w:p w14:paraId="3B21CB43" w14:textId="77777777" w:rsidR="005E000F" w:rsidRDefault="00000000">
            <w:r>
              <w:rPr>
                <w:rFonts w:hint="eastAsia"/>
              </w:rPr>
              <w:t>内容详见</w:t>
            </w:r>
            <w:r>
              <w:rPr>
                <w:rFonts w:hint="eastAsia"/>
              </w:rPr>
              <w:t>2025</w:t>
            </w:r>
            <w:r>
              <w:rPr>
                <w:rFonts w:hint="eastAsia"/>
              </w:rPr>
              <w:t>年</w:t>
            </w:r>
            <w:r>
              <w:rPr>
                <w:rFonts w:hint="eastAsia"/>
              </w:rPr>
              <w:t>8</w:t>
            </w:r>
            <w:r>
              <w:rPr>
                <w:rFonts w:hint="eastAsia"/>
              </w:rPr>
              <w:t>月</w:t>
            </w:r>
            <w:r>
              <w:rPr>
                <w:rFonts w:hint="eastAsia"/>
              </w:rPr>
              <w:t>29</w:t>
            </w:r>
            <w:r>
              <w:rPr>
                <w:rFonts w:hint="eastAsia"/>
              </w:rPr>
              <w:t>日登载于上海证券交易所网站的《</w:t>
            </w:r>
            <w:r>
              <w:t>大秦铁路股份有限公司关于重新签订</w:t>
            </w:r>
            <w:r>
              <w:rPr>
                <w:rFonts w:hint="eastAsia"/>
              </w:rPr>
              <w:t>&lt;</w:t>
            </w:r>
            <w:r>
              <w:t>国有授权经营土地使用权转让协议</w:t>
            </w:r>
            <w:r>
              <w:rPr>
                <w:rFonts w:hint="eastAsia"/>
              </w:rPr>
              <w:t>&gt;</w:t>
            </w:r>
            <w:r>
              <w:t>暨关联交易的公告</w:t>
            </w:r>
            <w:r>
              <w:rPr>
                <w:rFonts w:hint="eastAsia"/>
              </w:rPr>
              <w:t>》。</w:t>
            </w:r>
          </w:p>
        </w:tc>
      </w:tr>
    </w:tbl>
    <w:p w14:paraId="2C5C3C21" w14:textId="77777777" w:rsidR="005E000F" w:rsidRDefault="005E000F"/>
    <w:p w14:paraId="697B7A74" w14:textId="77777777" w:rsidR="005E000F" w:rsidRDefault="00000000">
      <w:pPr>
        <w:pStyle w:val="4"/>
        <w:numPr>
          <w:ilvl w:val="0"/>
          <w:numId w:val="34"/>
        </w:numPr>
      </w:pPr>
      <w:bookmarkStart w:id="155" w:name="_Hlk90309315"/>
      <w:r>
        <w:t>已在临时公告披露，但有后续实施的进展或变化的事项</w:t>
      </w:r>
    </w:p>
    <w:sdt>
      <w:sdtPr>
        <w:rPr>
          <w:rFonts w:hint="eastAsia"/>
        </w:rPr>
        <w:alias w:val="是否适用：已在临时公告披露，但有后续实施的进展或变化的事项_资产或股权收购、出售发生的关联交易[双击切换]"/>
        <w:tag w:val="_GBC_f85ce314be044952b84cb0c7825e3be3"/>
        <w:id w:val="-34582138"/>
        <w:placeholder>
          <w:docPart w:val="GBC22222222222222222222222222222"/>
        </w:placeholder>
      </w:sdtPr>
      <w:sdtContent>
        <w:p w14:paraId="4115A462"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155"/>
    <w:p w14:paraId="7650212F" w14:textId="77777777" w:rsidR="005E000F" w:rsidRDefault="00000000">
      <w:pPr>
        <w:pStyle w:val="4"/>
        <w:numPr>
          <w:ilvl w:val="0"/>
          <w:numId w:val="34"/>
        </w:numPr>
      </w:pPr>
      <w:r>
        <w:t>临时公告未披露的事项</w:t>
      </w:r>
    </w:p>
    <w:sdt>
      <w:sdtPr>
        <w:alias w:val="是否适用：资产收购、出售发生的关联交易_临时公告未披露的事项[双击切换]"/>
        <w:tag w:val="_GBC_c2403e21caad4498842c2f1cf3384c0d"/>
        <w:id w:val="-717128070"/>
        <w:placeholder>
          <w:docPart w:val="GBC22222222222222222222222222222"/>
        </w:placeholder>
      </w:sdtPr>
      <w:sdtContent>
        <w:p w14:paraId="7B160341"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687C622" w14:textId="77777777" w:rsidR="005E000F" w:rsidRDefault="005E000F"/>
    <w:p w14:paraId="71C8C105" w14:textId="77777777" w:rsidR="005E000F" w:rsidRDefault="005E000F"/>
    <w:p w14:paraId="3DA1BF46" w14:textId="77777777" w:rsidR="005E000F" w:rsidRDefault="00000000">
      <w:pPr>
        <w:pStyle w:val="4"/>
        <w:numPr>
          <w:ilvl w:val="0"/>
          <w:numId w:val="34"/>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226810611"/>
        <w:placeholder>
          <w:docPart w:val="GBC22222222222222222222222222222"/>
        </w:placeholder>
      </w:sdtPr>
      <w:sdtContent>
        <w:p w14:paraId="0133ADF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6A64FF3" w14:textId="77777777" w:rsidR="005E000F" w:rsidRDefault="00000000">
      <w:pPr>
        <w:pStyle w:val="3"/>
        <w:numPr>
          <w:ilvl w:val="2"/>
          <w:numId w:val="5"/>
        </w:numPr>
        <w:rPr>
          <w:szCs w:val="21"/>
        </w:rPr>
      </w:pPr>
      <w:r>
        <w:rPr>
          <w:szCs w:val="21"/>
        </w:rPr>
        <w:t>共同对外投资的重大关联交易</w:t>
      </w:r>
    </w:p>
    <w:p w14:paraId="2555E7FC" w14:textId="77777777" w:rsidR="005E000F" w:rsidRDefault="00000000">
      <w:pPr>
        <w:pStyle w:val="4"/>
        <w:numPr>
          <w:ilvl w:val="0"/>
          <w:numId w:val="35"/>
        </w:numPr>
      </w:pPr>
      <w: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1188558024"/>
        <w:placeholder>
          <w:docPart w:val="GBC22222222222222222222222222222"/>
        </w:placeholder>
      </w:sdtPr>
      <w:sdtContent>
        <w:p w14:paraId="6BB17128"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14EF7BB" w14:textId="77777777" w:rsidR="005E000F" w:rsidRDefault="00000000">
      <w:pPr>
        <w:pStyle w:val="4"/>
        <w:numPr>
          <w:ilvl w:val="0"/>
          <w:numId w:val="35"/>
        </w:numPr>
      </w:pPr>
      <w:r>
        <w:t>已在临时公告披露，但有后续实施的进展或变化的事项</w:t>
      </w:r>
    </w:p>
    <w:sdt>
      <w:sdtPr>
        <w:rPr>
          <w:rFonts w:hint="eastAsia"/>
        </w:rPr>
        <w:alias w:val="是否适用：已在临时公告披露，但有后续实施的进展或变化的事项_共同对外投资的重大关联交易[双击切换]"/>
        <w:tag w:val="_GBC_5d21c9b653cf41df993294ab4dfbca74"/>
        <w:id w:val="-1109121247"/>
        <w:placeholder>
          <w:docPart w:val="GBC22222222222222222222222222222"/>
        </w:placeholder>
      </w:sdtPr>
      <w:sdtContent>
        <w:p w14:paraId="1D827F80"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2621EAD" w14:textId="77777777" w:rsidR="005E000F" w:rsidRDefault="00000000">
      <w:pPr>
        <w:pStyle w:val="4"/>
        <w:numPr>
          <w:ilvl w:val="0"/>
          <w:numId w:val="35"/>
        </w:numPr>
      </w:pPr>
      <w:r>
        <w:t>临时公告未披露的事项</w:t>
      </w:r>
    </w:p>
    <w:sdt>
      <w:sdtPr>
        <w:alias w:val="是否适用：共同对外投资的重大关联交易_临时公告未披露的事项[双击切换]"/>
        <w:tag w:val="_GBC_0a8e93fe81464e209d3619d1be6a3349"/>
        <w:id w:val="242535906"/>
        <w:placeholder>
          <w:docPart w:val="GBC22222222222222222222222222222"/>
        </w:placeholder>
      </w:sdtPr>
      <w:sdtContent>
        <w:p w14:paraId="793FB021"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B54E7AA" w14:textId="77777777" w:rsidR="005E000F" w:rsidRDefault="00000000">
      <w:pPr>
        <w:pStyle w:val="3"/>
        <w:numPr>
          <w:ilvl w:val="2"/>
          <w:numId w:val="5"/>
        </w:numPr>
        <w:rPr>
          <w:szCs w:val="21"/>
        </w:rPr>
      </w:pPr>
      <w:r>
        <w:rPr>
          <w:rFonts w:hint="eastAsia"/>
          <w:szCs w:val="21"/>
        </w:rPr>
        <w:t>关联债权债务往来</w:t>
      </w:r>
    </w:p>
    <w:p w14:paraId="23481A09" w14:textId="77777777" w:rsidR="005E000F" w:rsidRDefault="00000000">
      <w:pPr>
        <w:pStyle w:val="4"/>
        <w:numPr>
          <w:ilvl w:val="0"/>
          <w:numId w:val="36"/>
        </w:numPr>
      </w:pPr>
      <w:r>
        <w:t>已在临时公告披露且后续实施无进展或变化的事项</w:t>
      </w:r>
    </w:p>
    <w:sdt>
      <w:sdtPr>
        <w:alias w:val="是否适用：已在临时公告披露且后续实施无进展或变化的事项_关联债权债务往来[双击切换]"/>
        <w:tag w:val="_GBC_7465d4a4508a455591694c4e59f1f59b"/>
        <w:id w:val="1570302524"/>
        <w:placeholder>
          <w:docPart w:val="GBC22222222222222222222222222222"/>
        </w:placeholder>
      </w:sdtPr>
      <w:sdtContent>
        <w:p w14:paraId="201B845E"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AB1CD5C" w14:textId="77777777" w:rsidR="005E000F" w:rsidRDefault="00000000">
      <w:pPr>
        <w:pStyle w:val="4"/>
        <w:numPr>
          <w:ilvl w:val="0"/>
          <w:numId w:val="36"/>
        </w:numPr>
      </w:pPr>
      <w:r>
        <w:t>已在临时公告披露，但有后续实施的进展或变化的事项</w:t>
      </w:r>
    </w:p>
    <w:sdt>
      <w:sdtPr>
        <w:rPr>
          <w:rFonts w:hint="eastAsia"/>
        </w:rPr>
        <w:alias w:val="是否适用：已在临时公告披露，但有后续实施的进展或变化的事项_关联债权债务往来[双击切换]"/>
        <w:tag w:val="_GBC_fe8fc12ee5c547d690bcc3fb3f1f4e32"/>
        <w:id w:val="-60016700"/>
        <w:placeholder>
          <w:docPart w:val="GBC22222222222222222222222222222"/>
        </w:placeholder>
      </w:sdtPr>
      <w:sdtContent>
        <w:p w14:paraId="722019A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4846C8A" w14:textId="77777777" w:rsidR="005E000F" w:rsidRDefault="00000000">
      <w:pPr>
        <w:pStyle w:val="4"/>
        <w:numPr>
          <w:ilvl w:val="0"/>
          <w:numId w:val="36"/>
        </w:numPr>
      </w:pPr>
      <w:r>
        <w:rPr>
          <w:rFonts w:hint="eastAsia"/>
        </w:rPr>
        <w:t>临时公告未披露的事项</w:t>
      </w:r>
    </w:p>
    <w:sdt>
      <w:sdtPr>
        <w:alias w:val="是否适用：关联债权债务往来_临时公告未披露的事项[双击切换]"/>
        <w:tag w:val="_GBC_d9a88c6705ef48d49848c2b93cb503f2"/>
        <w:id w:val="-1269629069"/>
        <w:placeholder>
          <w:docPart w:val="GBC22222222222222222222222222222"/>
        </w:placeholder>
      </w:sdtPr>
      <w:sdtContent>
        <w:p w14:paraId="7744BA61"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2AF09AF" w14:textId="77777777" w:rsidR="005E000F" w:rsidRDefault="00000000">
      <w:pPr>
        <w:pStyle w:val="3"/>
        <w:numPr>
          <w:ilvl w:val="2"/>
          <w:numId w:val="5"/>
        </w:numPr>
        <w:rPr>
          <w:rFonts w:ascii="宋体" w:hAnsi="宋体"/>
        </w:rPr>
      </w:pPr>
      <w:bookmarkStart w:id="156" w:name="_Hlk89953756"/>
      <w:bookmarkStart w:id="157" w:name="_Hlk89346519"/>
      <w:r>
        <w:rPr>
          <w:rFonts w:ascii="宋体" w:hAnsi="宋体"/>
        </w:rPr>
        <w:t>公司与存在关联关系的财务公司、公司控股财务公司与关联方之间的金融业务</w:t>
      </w:r>
    </w:p>
    <w:sdt>
      <w:sdtPr>
        <w:alias w:val="是否适用：公司与存在关联关系的财务公司、公司控股财务公司与关联方之间的金融业务 [双击切换]"/>
        <w:tag w:val="_GBC_5a345568387542318c17a9fa2dcc2dbc"/>
        <w:id w:val="-1222446363"/>
        <w:placeholder>
          <w:docPart w:val="GBC22222222222222222222222222222"/>
        </w:placeholder>
      </w:sdtPr>
      <w:sdtContent>
        <w:p w14:paraId="30134E86"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FB83D40" w14:textId="77777777" w:rsidR="005E000F" w:rsidRDefault="00000000">
      <w:pPr>
        <w:pStyle w:val="4"/>
        <w:numPr>
          <w:ilvl w:val="0"/>
          <w:numId w:val="37"/>
        </w:numPr>
        <w:ind w:left="425" w:hanging="425"/>
        <w:rPr>
          <w:rFonts w:ascii="宋体" w:hAnsi="宋体"/>
        </w:rPr>
      </w:pPr>
      <w:r>
        <w:rPr>
          <w:rFonts w:ascii="宋体" w:hAnsi="宋体" w:hint="eastAsia"/>
        </w:rPr>
        <w:t>存款业务</w:t>
      </w:r>
    </w:p>
    <w:sdt>
      <w:sdtPr>
        <w:alias w:val="是否适用：存款业务[双击切换]"/>
        <w:tag w:val="_GBC_f91d5ba8911645af92109a1b977343e2"/>
        <w:id w:val="-1211953361"/>
        <w:placeholder>
          <w:docPart w:val="GBC22222222222222222222222222222"/>
        </w:placeholder>
      </w:sdtPr>
      <w:sdtContent>
        <w:p w14:paraId="0A12A089"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7A56AFC" w14:textId="77777777" w:rsidR="005E000F" w:rsidRDefault="00000000">
      <w:pPr>
        <w:jc w:val="right"/>
      </w:pPr>
      <w:r>
        <w:rPr>
          <w:rFonts w:hint="eastAsia"/>
        </w:rPr>
        <w:t>单位：</w:t>
      </w:r>
      <w:sdt>
        <w:sdtPr>
          <w:rPr>
            <w:rFonts w:hint="eastAsia"/>
          </w:rPr>
          <w:alias w:val="单位：存款业务情况"/>
          <w:tag w:val="_GBC_3c39941625c0404dacda9210d5f10426"/>
          <w:id w:val="-72783802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存款业务情况"/>
          <w:tag w:val="_GBC_f9cda9c00cdf40b5a544fdcc0e086854"/>
          <w:id w:val="21252742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1276"/>
        <w:gridCol w:w="992"/>
        <w:gridCol w:w="1276"/>
        <w:gridCol w:w="1275"/>
        <w:gridCol w:w="1272"/>
        <w:gridCol w:w="1280"/>
      </w:tblGrid>
      <w:tr w:rsidR="005E000F" w14:paraId="6088137F" w14:textId="77777777">
        <w:trPr>
          <w:jc w:val="center"/>
        </w:trPr>
        <w:sdt>
          <w:sdtPr>
            <w:tag w:val="_PLD_e6f8a0bf4fa44cc6a5830ca60560c631"/>
            <w:id w:val="-1062555593"/>
          </w:sdtPr>
          <w:sdtContent>
            <w:tc>
              <w:tcPr>
                <w:tcW w:w="1418" w:type="dxa"/>
                <w:vMerge w:val="restart"/>
                <w:vAlign w:val="center"/>
              </w:tcPr>
              <w:p w14:paraId="7005F666" w14:textId="77777777" w:rsidR="005E000F" w:rsidRDefault="00000000">
                <w:pPr>
                  <w:autoSpaceDE w:val="0"/>
                  <w:autoSpaceDN w:val="0"/>
                  <w:adjustRightInd w:val="0"/>
                  <w:jc w:val="center"/>
                </w:pPr>
                <w:r>
                  <w:rPr>
                    <w:rFonts w:hint="eastAsia"/>
                  </w:rPr>
                  <w:t>关联方</w:t>
                </w:r>
              </w:p>
            </w:tc>
          </w:sdtContent>
        </w:sdt>
        <w:sdt>
          <w:sdtPr>
            <w:tag w:val="_PLD_8aebf5d34bff4522b47150e7ac619932"/>
            <w:id w:val="-1795589471"/>
          </w:sdtPr>
          <w:sdtContent>
            <w:tc>
              <w:tcPr>
                <w:tcW w:w="1134" w:type="dxa"/>
                <w:vMerge w:val="restart"/>
                <w:vAlign w:val="center"/>
              </w:tcPr>
              <w:p w14:paraId="2FCA9161" w14:textId="77777777" w:rsidR="005E000F" w:rsidRDefault="00000000">
                <w:pPr>
                  <w:autoSpaceDE w:val="0"/>
                  <w:autoSpaceDN w:val="0"/>
                  <w:adjustRightInd w:val="0"/>
                  <w:jc w:val="center"/>
                </w:pPr>
                <w:r>
                  <w:rPr>
                    <w:rFonts w:hint="eastAsia"/>
                  </w:rPr>
                  <w:t>关联关系</w:t>
                </w:r>
              </w:p>
            </w:tc>
          </w:sdtContent>
        </w:sdt>
        <w:sdt>
          <w:sdtPr>
            <w:tag w:val="_PLD_6926102d22164a98841f060797e60bdf"/>
            <w:id w:val="-980231449"/>
          </w:sdtPr>
          <w:sdtContent>
            <w:tc>
              <w:tcPr>
                <w:tcW w:w="1276" w:type="dxa"/>
                <w:vMerge w:val="restart"/>
                <w:vAlign w:val="center"/>
              </w:tcPr>
              <w:p w14:paraId="0938067D" w14:textId="77777777" w:rsidR="005E000F" w:rsidRDefault="00000000">
                <w:pPr>
                  <w:autoSpaceDE w:val="0"/>
                  <w:autoSpaceDN w:val="0"/>
                  <w:adjustRightInd w:val="0"/>
                  <w:jc w:val="center"/>
                </w:pPr>
                <w:r>
                  <w:t>每日最高存款限额</w:t>
                </w:r>
              </w:p>
            </w:tc>
          </w:sdtContent>
        </w:sdt>
        <w:sdt>
          <w:sdtPr>
            <w:tag w:val="_PLD_35120e1d137a49a58b458aa55e4b9d03"/>
            <w:id w:val="1087342008"/>
          </w:sdtPr>
          <w:sdtContent>
            <w:tc>
              <w:tcPr>
                <w:tcW w:w="992" w:type="dxa"/>
                <w:vMerge w:val="restart"/>
                <w:vAlign w:val="center"/>
              </w:tcPr>
              <w:p w14:paraId="455DB17E" w14:textId="77777777" w:rsidR="005E000F" w:rsidRDefault="00000000">
                <w:pPr>
                  <w:autoSpaceDE w:val="0"/>
                  <w:autoSpaceDN w:val="0"/>
                  <w:adjustRightInd w:val="0"/>
                  <w:jc w:val="center"/>
                </w:pPr>
                <w:r>
                  <w:t>存款利率范围</w:t>
                </w:r>
              </w:p>
            </w:tc>
          </w:sdtContent>
        </w:sdt>
        <w:sdt>
          <w:sdtPr>
            <w:tag w:val="_PLD_3f62fc64d6bc4210a25dd2bd7c73a3b2"/>
            <w:id w:val="936408496"/>
          </w:sdtPr>
          <w:sdtContent>
            <w:tc>
              <w:tcPr>
                <w:tcW w:w="1276" w:type="dxa"/>
                <w:vMerge w:val="restart"/>
                <w:vAlign w:val="center"/>
              </w:tcPr>
              <w:p w14:paraId="366EFE93" w14:textId="77777777" w:rsidR="005E000F" w:rsidRDefault="00000000">
                <w:pPr>
                  <w:autoSpaceDE w:val="0"/>
                  <w:autoSpaceDN w:val="0"/>
                  <w:adjustRightInd w:val="0"/>
                  <w:jc w:val="center"/>
                </w:pPr>
                <w:r>
                  <w:t>期初余额</w:t>
                </w:r>
              </w:p>
            </w:tc>
          </w:sdtContent>
        </w:sdt>
        <w:sdt>
          <w:sdtPr>
            <w:tag w:val="_PLD_2c020463045344b1a08898f249b93e22"/>
            <w:id w:val="1280842020"/>
          </w:sdtPr>
          <w:sdtContent>
            <w:tc>
              <w:tcPr>
                <w:tcW w:w="2547" w:type="dxa"/>
                <w:gridSpan w:val="2"/>
                <w:vAlign w:val="center"/>
              </w:tcPr>
              <w:p w14:paraId="5B291209" w14:textId="77777777" w:rsidR="005E000F" w:rsidRDefault="00000000">
                <w:pPr>
                  <w:autoSpaceDE w:val="0"/>
                  <w:autoSpaceDN w:val="0"/>
                  <w:adjustRightInd w:val="0"/>
                  <w:jc w:val="center"/>
                </w:pPr>
                <w:r>
                  <w:t>本期发生额</w:t>
                </w:r>
              </w:p>
            </w:tc>
          </w:sdtContent>
        </w:sdt>
        <w:sdt>
          <w:sdtPr>
            <w:tag w:val="_PLD_7256a341c00d4ea9bfda5df6a6c75070"/>
            <w:id w:val="-691995281"/>
          </w:sdtPr>
          <w:sdtContent>
            <w:tc>
              <w:tcPr>
                <w:tcW w:w="1280" w:type="dxa"/>
                <w:vMerge w:val="restart"/>
                <w:vAlign w:val="center"/>
              </w:tcPr>
              <w:p w14:paraId="51A5CBCB" w14:textId="77777777" w:rsidR="005E000F" w:rsidRDefault="00000000">
                <w:pPr>
                  <w:autoSpaceDE w:val="0"/>
                  <w:autoSpaceDN w:val="0"/>
                  <w:adjustRightInd w:val="0"/>
                  <w:jc w:val="center"/>
                </w:pPr>
                <w:r>
                  <w:t>期末余额</w:t>
                </w:r>
              </w:p>
            </w:tc>
          </w:sdtContent>
        </w:sdt>
      </w:tr>
      <w:tr w:rsidR="005E000F" w14:paraId="7C0F9485" w14:textId="77777777">
        <w:trPr>
          <w:jc w:val="center"/>
        </w:trPr>
        <w:tc>
          <w:tcPr>
            <w:tcW w:w="1418" w:type="dxa"/>
            <w:vMerge/>
            <w:vAlign w:val="center"/>
          </w:tcPr>
          <w:p w14:paraId="5F60C66D" w14:textId="77777777" w:rsidR="005E000F" w:rsidRDefault="005E000F">
            <w:pPr>
              <w:autoSpaceDE w:val="0"/>
              <w:autoSpaceDN w:val="0"/>
              <w:adjustRightInd w:val="0"/>
              <w:jc w:val="center"/>
            </w:pPr>
          </w:p>
        </w:tc>
        <w:tc>
          <w:tcPr>
            <w:tcW w:w="1134" w:type="dxa"/>
            <w:vMerge/>
            <w:vAlign w:val="center"/>
          </w:tcPr>
          <w:p w14:paraId="1EA934E4" w14:textId="77777777" w:rsidR="005E000F" w:rsidRDefault="005E000F">
            <w:pPr>
              <w:autoSpaceDE w:val="0"/>
              <w:autoSpaceDN w:val="0"/>
              <w:adjustRightInd w:val="0"/>
              <w:jc w:val="center"/>
            </w:pPr>
          </w:p>
        </w:tc>
        <w:tc>
          <w:tcPr>
            <w:tcW w:w="1276" w:type="dxa"/>
            <w:vMerge/>
            <w:vAlign w:val="center"/>
          </w:tcPr>
          <w:p w14:paraId="5C5EDAE1" w14:textId="77777777" w:rsidR="005E000F" w:rsidRDefault="005E000F">
            <w:pPr>
              <w:autoSpaceDE w:val="0"/>
              <w:autoSpaceDN w:val="0"/>
              <w:adjustRightInd w:val="0"/>
              <w:jc w:val="center"/>
            </w:pPr>
          </w:p>
        </w:tc>
        <w:tc>
          <w:tcPr>
            <w:tcW w:w="992" w:type="dxa"/>
            <w:vMerge/>
            <w:vAlign w:val="center"/>
          </w:tcPr>
          <w:p w14:paraId="3DFFD197" w14:textId="77777777" w:rsidR="005E000F" w:rsidRDefault="005E000F">
            <w:pPr>
              <w:autoSpaceDE w:val="0"/>
              <w:autoSpaceDN w:val="0"/>
              <w:adjustRightInd w:val="0"/>
              <w:jc w:val="center"/>
            </w:pPr>
          </w:p>
        </w:tc>
        <w:tc>
          <w:tcPr>
            <w:tcW w:w="1276" w:type="dxa"/>
            <w:vMerge/>
            <w:vAlign w:val="center"/>
          </w:tcPr>
          <w:p w14:paraId="1A185E42" w14:textId="77777777" w:rsidR="005E000F" w:rsidRDefault="005E000F">
            <w:pPr>
              <w:autoSpaceDE w:val="0"/>
              <w:autoSpaceDN w:val="0"/>
              <w:adjustRightInd w:val="0"/>
              <w:jc w:val="center"/>
            </w:pPr>
          </w:p>
        </w:tc>
        <w:sdt>
          <w:sdtPr>
            <w:tag w:val="_PLD_a7c089b9b9c848cda9c2d0d39ffd15d1"/>
            <w:id w:val="209783199"/>
          </w:sdtPr>
          <w:sdtContent>
            <w:tc>
              <w:tcPr>
                <w:tcW w:w="1275" w:type="dxa"/>
                <w:vAlign w:val="center"/>
              </w:tcPr>
              <w:p w14:paraId="33E4B9A2" w14:textId="77777777" w:rsidR="005E000F" w:rsidRDefault="00000000">
                <w:pPr>
                  <w:autoSpaceDE w:val="0"/>
                  <w:autoSpaceDN w:val="0"/>
                  <w:adjustRightInd w:val="0"/>
                  <w:jc w:val="center"/>
                </w:pPr>
                <w:r>
                  <w:rPr>
                    <w:rFonts w:hint="eastAsia"/>
                  </w:rPr>
                  <w:t>本期合计存入金额</w:t>
                </w:r>
              </w:p>
            </w:tc>
          </w:sdtContent>
        </w:sdt>
        <w:sdt>
          <w:sdtPr>
            <w:tag w:val="_PLD_d5c42deb4e87457db7957c53e44d1d9b"/>
            <w:id w:val="1668751310"/>
          </w:sdtPr>
          <w:sdtContent>
            <w:tc>
              <w:tcPr>
                <w:tcW w:w="1272" w:type="dxa"/>
                <w:vAlign w:val="center"/>
              </w:tcPr>
              <w:p w14:paraId="68B24368" w14:textId="77777777" w:rsidR="005E000F" w:rsidRDefault="00000000">
                <w:pPr>
                  <w:autoSpaceDE w:val="0"/>
                  <w:autoSpaceDN w:val="0"/>
                  <w:adjustRightInd w:val="0"/>
                  <w:jc w:val="center"/>
                </w:pPr>
                <w:r>
                  <w:rPr>
                    <w:rFonts w:hint="eastAsia"/>
                  </w:rPr>
                  <w:t>本期合计取出金额</w:t>
                </w:r>
              </w:p>
            </w:tc>
          </w:sdtContent>
        </w:sdt>
        <w:tc>
          <w:tcPr>
            <w:tcW w:w="1280" w:type="dxa"/>
            <w:vMerge/>
            <w:vAlign w:val="center"/>
          </w:tcPr>
          <w:p w14:paraId="19D0D888" w14:textId="77777777" w:rsidR="005E000F" w:rsidRDefault="005E000F">
            <w:pPr>
              <w:autoSpaceDE w:val="0"/>
              <w:autoSpaceDN w:val="0"/>
              <w:adjustRightInd w:val="0"/>
              <w:jc w:val="center"/>
            </w:pPr>
          </w:p>
        </w:tc>
      </w:tr>
      <w:tr w:rsidR="005E000F" w14:paraId="587C3669" w14:textId="77777777">
        <w:trPr>
          <w:jc w:val="center"/>
        </w:trPr>
        <w:tc>
          <w:tcPr>
            <w:tcW w:w="1418" w:type="dxa"/>
            <w:vAlign w:val="center"/>
          </w:tcPr>
          <w:p w14:paraId="7CC1BE94" w14:textId="77777777" w:rsidR="005E000F" w:rsidRDefault="00000000">
            <w:pPr>
              <w:autoSpaceDE w:val="0"/>
              <w:autoSpaceDN w:val="0"/>
              <w:adjustRightInd w:val="0"/>
              <w:jc w:val="center"/>
              <w:rPr>
                <w:sz w:val="18"/>
                <w:szCs w:val="18"/>
              </w:rPr>
            </w:pPr>
            <w:r>
              <w:rPr>
                <w:rFonts w:hint="eastAsia"/>
                <w:sz w:val="18"/>
                <w:szCs w:val="18"/>
              </w:rPr>
              <w:t>中国铁路财务有限责任公司</w:t>
            </w:r>
          </w:p>
        </w:tc>
        <w:tc>
          <w:tcPr>
            <w:tcW w:w="1134" w:type="dxa"/>
            <w:vAlign w:val="center"/>
          </w:tcPr>
          <w:p w14:paraId="2FB9352B" w14:textId="77777777" w:rsidR="005E000F" w:rsidRDefault="00000000">
            <w:pPr>
              <w:autoSpaceDE w:val="0"/>
              <w:autoSpaceDN w:val="0"/>
              <w:adjustRightInd w:val="0"/>
              <w:jc w:val="center"/>
              <w:rPr>
                <w:sz w:val="18"/>
                <w:szCs w:val="18"/>
              </w:rPr>
            </w:pPr>
            <w:r>
              <w:rPr>
                <w:rFonts w:hint="eastAsia"/>
                <w:sz w:val="18"/>
                <w:szCs w:val="18"/>
              </w:rPr>
              <w:t>最终控股公司之子公司</w:t>
            </w:r>
          </w:p>
        </w:tc>
        <w:tc>
          <w:tcPr>
            <w:tcW w:w="1276" w:type="dxa"/>
            <w:vAlign w:val="center"/>
          </w:tcPr>
          <w:p w14:paraId="6F3980C5" w14:textId="77777777" w:rsidR="005E000F" w:rsidRDefault="00000000">
            <w:pPr>
              <w:autoSpaceDE w:val="0"/>
              <w:autoSpaceDN w:val="0"/>
              <w:adjustRightInd w:val="0"/>
              <w:jc w:val="right"/>
              <w:rPr>
                <w:sz w:val="18"/>
                <w:szCs w:val="18"/>
              </w:rPr>
            </w:pPr>
            <w:r>
              <w:rPr>
                <w:sz w:val="18"/>
                <w:szCs w:val="18"/>
              </w:rPr>
              <w:t>5,000,000,000</w:t>
            </w:r>
          </w:p>
        </w:tc>
        <w:tc>
          <w:tcPr>
            <w:tcW w:w="992" w:type="dxa"/>
            <w:vAlign w:val="center"/>
          </w:tcPr>
          <w:p w14:paraId="0C0DF0B8" w14:textId="77777777" w:rsidR="005E000F" w:rsidRDefault="00000000">
            <w:pPr>
              <w:autoSpaceDE w:val="0"/>
              <w:autoSpaceDN w:val="0"/>
              <w:adjustRightInd w:val="0"/>
              <w:jc w:val="right"/>
              <w:rPr>
                <w:sz w:val="18"/>
                <w:szCs w:val="18"/>
              </w:rPr>
            </w:pPr>
            <w:r>
              <w:rPr>
                <w:rFonts w:hint="eastAsia"/>
                <w:sz w:val="18"/>
                <w:szCs w:val="18"/>
              </w:rPr>
              <w:t>按实际利率</w:t>
            </w:r>
          </w:p>
        </w:tc>
        <w:tc>
          <w:tcPr>
            <w:tcW w:w="1276" w:type="dxa"/>
            <w:vAlign w:val="center"/>
          </w:tcPr>
          <w:p w14:paraId="0DD86CBB" w14:textId="77777777" w:rsidR="005E000F" w:rsidRDefault="00000000">
            <w:pPr>
              <w:autoSpaceDE w:val="0"/>
              <w:autoSpaceDN w:val="0"/>
              <w:adjustRightInd w:val="0"/>
              <w:jc w:val="right"/>
              <w:rPr>
                <w:sz w:val="18"/>
                <w:szCs w:val="18"/>
              </w:rPr>
            </w:pPr>
            <w:r>
              <w:rPr>
                <w:sz w:val="18"/>
                <w:szCs w:val="18"/>
              </w:rPr>
              <w:t>3,801,033,777</w:t>
            </w:r>
          </w:p>
        </w:tc>
        <w:tc>
          <w:tcPr>
            <w:tcW w:w="1275" w:type="dxa"/>
            <w:vAlign w:val="center"/>
          </w:tcPr>
          <w:p w14:paraId="42D00A04" w14:textId="77777777" w:rsidR="005E000F" w:rsidRDefault="00000000">
            <w:pPr>
              <w:autoSpaceDE w:val="0"/>
              <w:autoSpaceDN w:val="0"/>
              <w:adjustRightInd w:val="0"/>
              <w:jc w:val="right"/>
              <w:rPr>
                <w:sz w:val="18"/>
                <w:szCs w:val="18"/>
              </w:rPr>
            </w:pPr>
            <w:r>
              <w:rPr>
                <w:sz w:val="18"/>
                <w:szCs w:val="18"/>
              </w:rPr>
              <w:t>8,697,205,242</w:t>
            </w:r>
          </w:p>
        </w:tc>
        <w:tc>
          <w:tcPr>
            <w:tcW w:w="1272" w:type="dxa"/>
            <w:vAlign w:val="center"/>
          </w:tcPr>
          <w:p w14:paraId="421D0B41" w14:textId="77777777" w:rsidR="005E000F" w:rsidRDefault="00000000">
            <w:pPr>
              <w:autoSpaceDE w:val="0"/>
              <w:autoSpaceDN w:val="0"/>
              <w:adjustRightInd w:val="0"/>
              <w:jc w:val="right"/>
              <w:rPr>
                <w:sz w:val="18"/>
                <w:szCs w:val="18"/>
              </w:rPr>
            </w:pPr>
            <w:r>
              <w:rPr>
                <w:sz w:val="18"/>
                <w:szCs w:val="18"/>
              </w:rPr>
              <w:t>7,891,974,558</w:t>
            </w:r>
          </w:p>
        </w:tc>
        <w:tc>
          <w:tcPr>
            <w:tcW w:w="1280" w:type="dxa"/>
            <w:vAlign w:val="center"/>
          </w:tcPr>
          <w:p w14:paraId="6F45813F" w14:textId="77777777" w:rsidR="005E000F" w:rsidRDefault="00000000">
            <w:pPr>
              <w:autoSpaceDE w:val="0"/>
              <w:autoSpaceDN w:val="0"/>
              <w:adjustRightInd w:val="0"/>
              <w:jc w:val="right"/>
              <w:rPr>
                <w:sz w:val="18"/>
                <w:szCs w:val="18"/>
              </w:rPr>
            </w:pPr>
            <w:r>
              <w:rPr>
                <w:sz w:val="18"/>
                <w:szCs w:val="18"/>
              </w:rPr>
              <w:t>4,606,264,461</w:t>
            </w:r>
          </w:p>
        </w:tc>
      </w:tr>
      <w:tr w:rsidR="005E000F" w14:paraId="11779D7A" w14:textId="77777777">
        <w:trPr>
          <w:jc w:val="center"/>
        </w:trPr>
        <w:tc>
          <w:tcPr>
            <w:tcW w:w="1418" w:type="dxa"/>
            <w:vAlign w:val="center"/>
          </w:tcPr>
          <w:p w14:paraId="304042F8" w14:textId="77777777" w:rsidR="005E000F" w:rsidRDefault="00000000">
            <w:pPr>
              <w:autoSpaceDE w:val="0"/>
              <w:autoSpaceDN w:val="0"/>
              <w:adjustRightInd w:val="0"/>
              <w:jc w:val="center"/>
              <w:rPr>
                <w:sz w:val="18"/>
                <w:szCs w:val="18"/>
              </w:rPr>
            </w:pPr>
            <w:r>
              <w:rPr>
                <w:sz w:val="18"/>
                <w:szCs w:val="18"/>
              </w:rPr>
              <w:t>合计</w:t>
            </w:r>
          </w:p>
        </w:tc>
        <w:tc>
          <w:tcPr>
            <w:tcW w:w="1134" w:type="dxa"/>
            <w:vAlign w:val="center"/>
          </w:tcPr>
          <w:p w14:paraId="2C56025B" w14:textId="77777777" w:rsidR="005E000F" w:rsidRDefault="00000000">
            <w:pPr>
              <w:autoSpaceDE w:val="0"/>
              <w:autoSpaceDN w:val="0"/>
              <w:adjustRightInd w:val="0"/>
              <w:jc w:val="center"/>
              <w:rPr>
                <w:sz w:val="18"/>
                <w:szCs w:val="18"/>
              </w:rPr>
            </w:pPr>
            <w:r>
              <w:rPr>
                <w:rFonts w:hint="eastAsia"/>
                <w:sz w:val="18"/>
                <w:szCs w:val="18"/>
              </w:rPr>
              <w:t>/</w:t>
            </w:r>
          </w:p>
        </w:tc>
        <w:tc>
          <w:tcPr>
            <w:tcW w:w="1276" w:type="dxa"/>
            <w:vAlign w:val="center"/>
          </w:tcPr>
          <w:p w14:paraId="7AA523DD" w14:textId="77777777" w:rsidR="005E000F" w:rsidRDefault="00000000">
            <w:pPr>
              <w:autoSpaceDE w:val="0"/>
              <w:autoSpaceDN w:val="0"/>
              <w:adjustRightInd w:val="0"/>
              <w:jc w:val="right"/>
              <w:rPr>
                <w:sz w:val="18"/>
                <w:szCs w:val="18"/>
              </w:rPr>
            </w:pPr>
            <w:r>
              <w:rPr>
                <w:rFonts w:hint="eastAsia"/>
                <w:sz w:val="18"/>
                <w:szCs w:val="18"/>
              </w:rPr>
              <w:t>/</w:t>
            </w:r>
          </w:p>
        </w:tc>
        <w:tc>
          <w:tcPr>
            <w:tcW w:w="992" w:type="dxa"/>
            <w:vAlign w:val="center"/>
          </w:tcPr>
          <w:p w14:paraId="2C5DC814" w14:textId="77777777" w:rsidR="005E000F" w:rsidRDefault="00000000">
            <w:pPr>
              <w:autoSpaceDE w:val="0"/>
              <w:autoSpaceDN w:val="0"/>
              <w:adjustRightInd w:val="0"/>
              <w:jc w:val="right"/>
              <w:rPr>
                <w:sz w:val="18"/>
                <w:szCs w:val="18"/>
              </w:rPr>
            </w:pPr>
            <w:r>
              <w:rPr>
                <w:rFonts w:hint="eastAsia"/>
                <w:sz w:val="18"/>
                <w:szCs w:val="18"/>
              </w:rPr>
              <w:t>/</w:t>
            </w:r>
          </w:p>
        </w:tc>
        <w:tc>
          <w:tcPr>
            <w:tcW w:w="1276" w:type="dxa"/>
            <w:vAlign w:val="center"/>
          </w:tcPr>
          <w:p w14:paraId="24D1653C" w14:textId="77777777" w:rsidR="005E000F" w:rsidRDefault="00000000">
            <w:pPr>
              <w:autoSpaceDE w:val="0"/>
              <w:autoSpaceDN w:val="0"/>
              <w:adjustRightInd w:val="0"/>
              <w:jc w:val="right"/>
              <w:rPr>
                <w:sz w:val="18"/>
                <w:szCs w:val="18"/>
              </w:rPr>
            </w:pPr>
            <w:r>
              <w:rPr>
                <w:sz w:val="18"/>
                <w:szCs w:val="18"/>
              </w:rPr>
              <w:t>3,801,033,777</w:t>
            </w:r>
          </w:p>
        </w:tc>
        <w:tc>
          <w:tcPr>
            <w:tcW w:w="1275" w:type="dxa"/>
            <w:vAlign w:val="center"/>
          </w:tcPr>
          <w:p w14:paraId="10256A98" w14:textId="77777777" w:rsidR="005E000F" w:rsidRDefault="00000000">
            <w:pPr>
              <w:autoSpaceDE w:val="0"/>
              <w:autoSpaceDN w:val="0"/>
              <w:adjustRightInd w:val="0"/>
              <w:jc w:val="right"/>
              <w:rPr>
                <w:sz w:val="18"/>
                <w:szCs w:val="18"/>
              </w:rPr>
            </w:pPr>
            <w:r>
              <w:rPr>
                <w:sz w:val="18"/>
                <w:szCs w:val="18"/>
              </w:rPr>
              <w:t>8,697,205,242</w:t>
            </w:r>
          </w:p>
        </w:tc>
        <w:tc>
          <w:tcPr>
            <w:tcW w:w="1272" w:type="dxa"/>
            <w:vAlign w:val="center"/>
          </w:tcPr>
          <w:p w14:paraId="0676FAC0" w14:textId="77777777" w:rsidR="005E000F" w:rsidRDefault="00000000">
            <w:pPr>
              <w:autoSpaceDE w:val="0"/>
              <w:autoSpaceDN w:val="0"/>
              <w:adjustRightInd w:val="0"/>
              <w:jc w:val="right"/>
              <w:rPr>
                <w:sz w:val="18"/>
                <w:szCs w:val="18"/>
              </w:rPr>
            </w:pPr>
            <w:r>
              <w:rPr>
                <w:sz w:val="18"/>
                <w:szCs w:val="18"/>
              </w:rPr>
              <w:t>7,891,974,558</w:t>
            </w:r>
          </w:p>
        </w:tc>
        <w:tc>
          <w:tcPr>
            <w:tcW w:w="1280" w:type="dxa"/>
            <w:vAlign w:val="center"/>
          </w:tcPr>
          <w:p w14:paraId="1D7E4DB3" w14:textId="77777777" w:rsidR="005E000F" w:rsidRDefault="00000000">
            <w:pPr>
              <w:autoSpaceDE w:val="0"/>
              <w:autoSpaceDN w:val="0"/>
              <w:adjustRightInd w:val="0"/>
              <w:jc w:val="right"/>
              <w:rPr>
                <w:sz w:val="18"/>
                <w:szCs w:val="18"/>
              </w:rPr>
            </w:pPr>
            <w:r>
              <w:rPr>
                <w:sz w:val="18"/>
                <w:szCs w:val="18"/>
              </w:rPr>
              <w:t>4,606,264,461</w:t>
            </w:r>
          </w:p>
        </w:tc>
      </w:tr>
    </w:tbl>
    <w:p w14:paraId="34E115CE" w14:textId="77777777" w:rsidR="005E000F" w:rsidRDefault="005E000F"/>
    <w:p w14:paraId="3A0E5A6D" w14:textId="77777777" w:rsidR="005E000F" w:rsidRDefault="00000000">
      <w:pPr>
        <w:pStyle w:val="4"/>
        <w:numPr>
          <w:ilvl w:val="0"/>
          <w:numId w:val="37"/>
        </w:numPr>
        <w:ind w:left="425" w:hanging="425"/>
        <w:rPr>
          <w:rFonts w:ascii="宋体" w:hAnsi="宋体"/>
        </w:rPr>
      </w:pPr>
      <w:r>
        <w:rPr>
          <w:rFonts w:ascii="宋体" w:hAnsi="宋体" w:hint="eastAsia"/>
        </w:rPr>
        <w:t>贷款业务</w:t>
      </w:r>
    </w:p>
    <w:sdt>
      <w:sdtPr>
        <w:alias w:val="是否适用：贷款业务[双击切换]"/>
        <w:tag w:val="_GBC_c6196556cf0343eb8e53770deb1ab020"/>
        <w:id w:val="1649781765"/>
        <w:placeholder>
          <w:docPart w:val="GBC22222222222222222222222222222"/>
        </w:placeholder>
      </w:sdtPr>
      <w:sdtContent>
        <w:p w14:paraId="53AFD23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B20D19D" w14:textId="77777777" w:rsidR="005E000F" w:rsidRDefault="00000000">
      <w:pPr>
        <w:pStyle w:val="4"/>
        <w:numPr>
          <w:ilvl w:val="0"/>
          <w:numId w:val="37"/>
        </w:numPr>
        <w:ind w:left="425" w:hanging="425"/>
        <w:rPr>
          <w:rFonts w:ascii="宋体" w:hAnsi="宋体" w:cs="宋体"/>
          <w:kern w:val="0"/>
          <w:szCs w:val="24"/>
        </w:rPr>
      </w:pPr>
      <w:bookmarkStart w:id="158" w:name="_Hlk41316014"/>
      <w:r>
        <w:rPr>
          <w:rFonts w:ascii="宋体" w:hAnsi="宋体" w:cs="宋体"/>
          <w:kern w:val="0"/>
          <w:szCs w:val="24"/>
        </w:rPr>
        <w:t>授信业务或其他金融业务</w:t>
      </w:r>
    </w:p>
    <w:sdt>
      <w:sdtPr>
        <w:rPr>
          <w:rFonts w:hint="eastAsia"/>
        </w:rPr>
        <w:alias w:val="是否适用：授信业务或其他金融业务[双击切换]"/>
        <w:tag w:val="_GBC_2f9c3833f7e34ead9932532e40fbb1b9"/>
        <w:id w:val="921298053"/>
        <w:placeholder>
          <w:docPart w:val="GBC22222222222222222222222222222"/>
        </w:placeholder>
      </w:sdtPr>
      <w:sdtContent>
        <w:p w14:paraId="55164601"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28889A0" w14:textId="77777777" w:rsidR="005E000F" w:rsidRDefault="00000000">
      <w:pPr>
        <w:pStyle w:val="4"/>
        <w:numPr>
          <w:ilvl w:val="0"/>
          <w:numId w:val="37"/>
        </w:numPr>
        <w:ind w:left="425" w:hanging="425"/>
        <w:rPr>
          <w:rFonts w:ascii="宋体" w:hAnsi="宋体" w:cs="宋体"/>
          <w:kern w:val="0"/>
          <w:szCs w:val="24"/>
        </w:rPr>
      </w:pPr>
      <w:bookmarkStart w:id="159" w:name="_Hlk41316022"/>
      <w:bookmarkEnd w:id="158"/>
      <w:r>
        <w:rPr>
          <w:rFonts w:ascii="宋体" w:hAnsi="宋体" w:cs="宋体"/>
          <w:kern w:val="0"/>
          <w:szCs w:val="24"/>
        </w:rPr>
        <w:t>其他说明</w:t>
      </w:r>
    </w:p>
    <w:sdt>
      <w:sdtPr>
        <w:rPr>
          <w:color w:val="000000" w:themeColor="text1"/>
        </w:rPr>
        <w:alias w:val="是否适用：公司与存在关联关系的财务公司、公司控股财务公司与关联方之间的金融业务的其他说明[双击切换]"/>
        <w:tag w:val="_GBC_ff93404f5d40495f9fc89732d74edc89"/>
        <w:id w:val="-975451727"/>
        <w:placeholder>
          <w:docPart w:val="GBC22222222222222222222222222222"/>
        </w:placeholder>
      </w:sdtPr>
      <w:sdtContent>
        <w:p w14:paraId="5B14A33A"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56"/>
    <w:bookmarkEnd w:id="157"/>
    <w:bookmarkEnd w:id="159"/>
    <w:p w14:paraId="41C6DBAF" w14:textId="77777777" w:rsidR="005E000F" w:rsidRDefault="00000000">
      <w:pPr>
        <w:pStyle w:val="3"/>
        <w:numPr>
          <w:ilvl w:val="2"/>
          <w:numId w:val="5"/>
        </w:numPr>
        <w:rPr>
          <w:szCs w:val="21"/>
        </w:rPr>
      </w:pPr>
      <w:r>
        <w:rPr>
          <w:rFonts w:hint="eastAsia"/>
          <w:szCs w:val="21"/>
        </w:rPr>
        <w:t>其他</w:t>
      </w:r>
    </w:p>
    <w:sdt>
      <w:sdtPr>
        <w:rPr>
          <w:rFonts w:asciiTheme="minorEastAsia" w:eastAsiaTheme="minorEastAsia" w:hAnsiTheme="minorEastAsia" w:hint="eastAsia"/>
        </w:rPr>
        <w:alias w:val="是否适用：重大关联交易其他说明[双击切换]"/>
        <w:tag w:val="_GBC_49b04883b7a84a83b6a8bfec05cbb445"/>
        <w:id w:val="1851071553"/>
        <w:placeholder>
          <w:docPart w:val="GBC22222222222222222222222222222"/>
        </w:placeholder>
      </w:sdtPr>
      <w:sdtContent>
        <w:p w14:paraId="04E6ACD5"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0811C35" w14:textId="77777777" w:rsidR="005E000F" w:rsidRDefault="00000000">
      <w:pPr>
        <w:pStyle w:val="2"/>
        <w:numPr>
          <w:ilvl w:val="0"/>
          <w:numId w:val="29"/>
        </w:numPr>
      </w:pPr>
      <w:r>
        <w:rPr>
          <w:rFonts w:hint="eastAsia"/>
        </w:rPr>
        <w:lastRenderedPageBreak/>
        <w:t>重大合同及其履行情况</w:t>
      </w:r>
    </w:p>
    <w:p w14:paraId="1423D2E8" w14:textId="77777777" w:rsidR="005E000F" w:rsidRDefault="00000000">
      <w:pPr>
        <w:pStyle w:val="3"/>
        <w:numPr>
          <w:ilvl w:val="0"/>
          <w:numId w:val="38"/>
        </w:numPr>
        <w:rPr>
          <w:szCs w:val="21"/>
        </w:rPr>
      </w:pPr>
      <w:r>
        <w:rPr>
          <w:szCs w:val="21"/>
        </w:rPr>
        <w:t>托管、承包、租赁事项</w:t>
      </w:r>
    </w:p>
    <w:p w14:paraId="3D5EC3DB" w14:textId="77777777" w:rsidR="005E000F" w:rsidRDefault="00000000">
      <w:pPr>
        <w:pStyle w:val="4"/>
        <w:numPr>
          <w:ilvl w:val="0"/>
          <w:numId w:val="39"/>
        </w:numPr>
      </w:pPr>
      <w:r>
        <w:rPr>
          <w:rFonts w:hint="eastAsia"/>
        </w:rPr>
        <w:t>托管情况</w:t>
      </w:r>
    </w:p>
    <w:sdt>
      <w:sdtPr>
        <w:alias w:val="是否适用：托管情况[双击切换]"/>
        <w:tag w:val="_GBC_f528f5eedb9346f6b0fbdbe3967882e7"/>
        <w:id w:val="412365540"/>
        <w:placeholder>
          <w:docPart w:val="GBC22222222222222222222222222222"/>
        </w:placeholder>
      </w:sdtPr>
      <w:sdtContent>
        <w:p w14:paraId="778C7D86"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3B87D22" w14:textId="77777777" w:rsidR="005E000F" w:rsidRDefault="00000000">
      <w:pPr>
        <w:pStyle w:val="4"/>
        <w:numPr>
          <w:ilvl w:val="0"/>
          <w:numId w:val="39"/>
        </w:numPr>
      </w:pPr>
      <w:r>
        <w:t>承包情况</w:t>
      </w:r>
    </w:p>
    <w:sdt>
      <w:sdtPr>
        <w:alias w:val="是否适用：承包情况[双击切换]"/>
        <w:tag w:val="_GBC_ef45025eb2d84c78907511abec2bd222"/>
        <w:id w:val="1279993348"/>
        <w:placeholder>
          <w:docPart w:val="GBC22222222222222222222222222222"/>
        </w:placeholder>
      </w:sdtPr>
      <w:sdtContent>
        <w:p w14:paraId="37A55A24"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D7FFA48" w14:textId="77777777" w:rsidR="005E000F" w:rsidRDefault="00000000">
      <w:pPr>
        <w:pStyle w:val="4"/>
        <w:numPr>
          <w:ilvl w:val="0"/>
          <w:numId w:val="39"/>
        </w:numPr>
      </w:pPr>
      <w:r>
        <w:t>租赁情况</w:t>
      </w:r>
    </w:p>
    <w:sdt>
      <w:sdtPr>
        <w:alias w:val="是否适用：租赁情况[双击切换]"/>
        <w:tag w:val="_GBC_c1d0d78a63af4d48a7427277c2db3ac5"/>
        <w:id w:val="756105771"/>
        <w:placeholder>
          <w:docPart w:val="GBC22222222222222222222222222222"/>
        </w:placeholder>
      </w:sdtPr>
      <w:sdtContent>
        <w:p w14:paraId="11B188E1"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2DCE8B7" w14:textId="77777777" w:rsidR="005E000F" w:rsidRDefault="005E000F"/>
    <w:p w14:paraId="4FD8B189" w14:textId="77777777" w:rsidR="005E000F" w:rsidRDefault="005E000F"/>
    <w:p w14:paraId="471FB4AD" w14:textId="77777777" w:rsidR="005E000F" w:rsidRDefault="005E000F">
      <w:pPr>
        <w:sectPr w:rsidR="005E000F">
          <w:pgSz w:w="11906" w:h="16838"/>
          <w:pgMar w:top="1525" w:right="1276" w:bottom="1440" w:left="1797" w:header="855" w:footer="992" w:gutter="0"/>
          <w:cols w:space="425"/>
          <w:docGrid w:linePitch="312"/>
        </w:sectPr>
      </w:pPr>
    </w:p>
    <w:p w14:paraId="26633DDF" w14:textId="77777777" w:rsidR="005E000F" w:rsidRDefault="00000000">
      <w:pPr>
        <w:pStyle w:val="3"/>
        <w:numPr>
          <w:ilvl w:val="0"/>
          <w:numId w:val="38"/>
        </w:numPr>
        <w:rPr>
          <w:szCs w:val="21"/>
        </w:rPr>
      </w:pPr>
      <w:bookmarkStart w:id="160" w:name="_Toc342491982"/>
      <w:bookmarkStart w:id="161" w:name="_Toc342565974"/>
      <w:bookmarkStart w:id="162" w:name="OLE_LINK3"/>
      <w:bookmarkStart w:id="163" w:name="OLE_LINK2"/>
      <w:r>
        <w:rPr>
          <w:rFonts w:hint="eastAsia"/>
          <w:szCs w:val="21"/>
        </w:rPr>
        <w:lastRenderedPageBreak/>
        <w:t>担保情况</w:t>
      </w:r>
      <w:bookmarkEnd w:id="160"/>
      <w:bookmarkEnd w:id="161"/>
    </w:p>
    <w:bookmarkEnd w:id="163" w:displacedByCustomXml="next"/>
    <w:bookmarkEnd w:id="162" w:displacedByCustomXml="next"/>
    <w:sdt>
      <w:sdtPr>
        <w:alias w:val="是否适用：担保情况[双击切换]"/>
        <w:tag w:val="_GBC_b799a3ac65f846e088fcfb2dd2591ede"/>
        <w:id w:val="1502002482"/>
        <w:placeholder>
          <w:docPart w:val="GBC22222222222222222222222222222"/>
        </w:placeholder>
      </w:sdtPr>
      <w:sdtContent>
        <w:p w14:paraId="48495280"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FEEE512" w14:textId="77777777" w:rsidR="005E000F" w:rsidRDefault="00000000">
      <w:pPr>
        <w:pStyle w:val="3"/>
        <w:numPr>
          <w:ilvl w:val="0"/>
          <w:numId w:val="38"/>
        </w:numPr>
        <w:rPr>
          <w:szCs w:val="21"/>
        </w:rPr>
      </w:pPr>
      <w:r>
        <w:rPr>
          <w:rFonts w:hint="eastAsia"/>
          <w:szCs w:val="21"/>
        </w:rPr>
        <w:t>委托他人进行现金资产管理的情况</w:t>
      </w:r>
    </w:p>
    <w:p w14:paraId="4AD6C4F2" w14:textId="77777777" w:rsidR="005E000F" w:rsidRDefault="00000000">
      <w:pPr>
        <w:pStyle w:val="4"/>
        <w:numPr>
          <w:ilvl w:val="0"/>
          <w:numId w:val="40"/>
        </w:numPr>
      </w:pPr>
      <w:r>
        <w:rPr>
          <w:rFonts w:hint="eastAsia"/>
        </w:rPr>
        <w:t>委托理财情况</w:t>
      </w:r>
    </w:p>
    <w:p w14:paraId="2C4E56DA" w14:textId="77777777" w:rsidR="005E000F" w:rsidRDefault="00000000">
      <w:pPr>
        <w:pStyle w:val="5"/>
        <w:numPr>
          <w:ilvl w:val="0"/>
          <w:numId w:val="41"/>
        </w:numPr>
        <w:ind w:leftChars="0" w:left="357" w:hanging="357"/>
      </w:pPr>
      <w:r>
        <w:t>委托理财总体情况</w:t>
      </w:r>
    </w:p>
    <w:sdt>
      <w:sdtPr>
        <w:rPr>
          <w:rFonts w:hint="eastAsia"/>
        </w:rPr>
        <w:alias w:val="是否适用：委托理财总体情况[双击切换]"/>
        <w:tag w:val="_GBC_939edce711f74cc3bede852019388a3e"/>
        <w:id w:val="-656156562"/>
        <w:placeholder>
          <w:docPart w:val="GBC22222222222222222222222222222"/>
        </w:placeholder>
      </w:sdtPr>
      <w:sdtContent>
        <w:p w14:paraId="5466A1F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0615AFA" w14:textId="77777777" w:rsidR="005E000F" w:rsidRDefault="00000000">
      <w:pPr>
        <w:rPr>
          <w:bCs/>
        </w:rPr>
      </w:pPr>
      <w:r>
        <w:rPr>
          <w:rFonts w:hint="eastAsia"/>
          <w:bCs/>
        </w:rPr>
        <w:t>其他情况</w:t>
      </w:r>
    </w:p>
    <w:sdt>
      <w:sdtPr>
        <w:rPr>
          <w:rFonts w:hint="eastAsia"/>
        </w:rPr>
        <w:alias w:val="是否适用：委托理财总体其他情况[双击切换]"/>
        <w:tag w:val="_GBC_4fb72032e5bd4642bf5eb2d83d5ca874"/>
        <w:id w:val="-607884639"/>
        <w:placeholder>
          <w:docPart w:val="GBC22222222222222222222222222222"/>
        </w:placeholder>
      </w:sdtPr>
      <w:sdtContent>
        <w:p w14:paraId="31EBEA29"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282E95C" w14:textId="77777777" w:rsidR="005E000F" w:rsidRDefault="00000000">
      <w:pPr>
        <w:pStyle w:val="5"/>
        <w:numPr>
          <w:ilvl w:val="0"/>
          <w:numId w:val="41"/>
        </w:numPr>
        <w:ind w:leftChars="0" w:left="357" w:hanging="357"/>
      </w:pPr>
      <w:r>
        <w:t>单项委托理财情况</w:t>
      </w:r>
    </w:p>
    <w:sdt>
      <w:sdtPr>
        <w:rPr>
          <w:rFonts w:hint="eastAsia"/>
        </w:rPr>
        <w:alias w:val="是否适用：单项委托理财情况[双击切换]"/>
        <w:tag w:val="_GBC_049960b74e79480d8781c2d7d6a997dc"/>
        <w:id w:val="-1230222538"/>
        <w:placeholder>
          <w:docPart w:val="GBC22222222222222222222222222222"/>
        </w:placeholder>
      </w:sdtPr>
      <w:sdtContent>
        <w:p w14:paraId="333F34B5"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AD5C5C5" w14:textId="77777777" w:rsidR="005E000F" w:rsidRDefault="00000000">
      <w:pPr>
        <w:rPr>
          <w:bCs/>
        </w:rPr>
      </w:pPr>
      <w:r>
        <w:rPr>
          <w:rFonts w:hint="eastAsia"/>
          <w:bCs/>
        </w:rPr>
        <w:t>其他情况</w:t>
      </w:r>
    </w:p>
    <w:sdt>
      <w:sdtPr>
        <w:rPr>
          <w:rFonts w:hint="eastAsia"/>
        </w:rPr>
        <w:alias w:val="是否适用：单项委托理财其他情况[双击切换]"/>
        <w:tag w:val="_GBC_627c77e5ab674442a3b768741f653602"/>
        <w:id w:val="-1547063812"/>
        <w:placeholder>
          <w:docPart w:val="GBC22222222222222222222222222222"/>
        </w:placeholder>
      </w:sdtPr>
      <w:sdtContent>
        <w:p w14:paraId="1610CB05"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4937FD" w14:textId="77777777" w:rsidR="005E000F" w:rsidRDefault="00000000">
      <w:pPr>
        <w:pStyle w:val="5"/>
        <w:numPr>
          <w:ilvl w:val="0"/>
          <w:numId w:val="41"/>
        </w:numPr>
        <w:ind w:leftChars="0" w:left="357" w:hanging="357"/>
      </w:pPr>
      <w:r>
        <w:t>委托理财减值准备</w:t>
      </w:r>
    </w:p>
    <w:sdt>
      <w:sdtPr>
        <w:rPr>
          <w:rFonts w:hint="eastAsia"/>
        </w:rPr>
        <w:alias w:val="是否适用：委托理财减值准备[双击切换]"/>
        <w:tag w:val="_GBC_8db4f6600a6746739610ffaaa34abeac"/>
        <w:id w:val="353084497"/>
        <w:placeholder>
          <w:docPart w:val="GBC22222222222222222222222222222"/>
        </w:placeholder>
      </w:sdtPr>
      <w:sdtContent>
        <w:p w14:paraId="1CF5AF17"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84AD874" w14:textId="77777777" w:rsidR="005E000F" w:rsidRDefault="00000000">
      <w:pPr>
        <w:pStyle w:val="4"/>
        <w:numPr>
          <w:ilvl w:val="0"/>
          <w:numId w:val="40"/>
        </w:numPr>
      </w:pPr>
      <w:r>
        <w:t>委托贷款情况</w:t>
      </w:r>
    </w:p>
    <w:p w14:paraId="0A5E9E7B" w14:textId="77777777" w:rsidR="005E000F" w:rsidRDefault="00000000">
      <w:pPr>
        <w:pStyle w:val="5"/>
        <w:numPr>
          <w:ilvl w:val="0"/>
          <w:numId w:val="42"/>
        </w:numPr>
        <w:ind w:leftChars="0"/>
        <w:rPr>
          <w:rFonts w:ascii="宋体" w:hAnsi="宋体" w:cs="宋体"/>
          <w:kern w:val="0"/>
          <w:szCs w:val="24"/>
        </w:rPr>
      </w:pPr>
      <w:r>
        <w:rPr>
          <w:rFonts w:ascii="宋体" w:hAnsi="宋体" w:cs="宋体"/>
          <w:kern w:val="0"/>
          <w:szCs w:val="24"/>
        </w:rPr>
        <w:t>委托贷款总体情况</w:t>
      </w:r>
    </w:p>
    <w:sdt>
      <w:sdtPr>
        <w:rPr>
          <w:rFonts w:hint="eastAsia"/>
        </w:rPr>
        <w:alias w:val="是否适用：委托贷款总体情况[双击切换]"/>
        <w:tag w:val="_GBC_6f663504a9e74d5c978e23554b4b84e4"/>
        <w:id w:val="240455786"/>
        <w:placeholder>
          <w:docPart w:val="GBC22222222222222222222222222222"/>
        </w:placeholder>
      </w:sdtPr>
      <w:sdtContent>
        <w:p w14:paraId="6AF27AF8"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3647553" w14:textId="77777777" w:rsidR="005E000F" w:rsidRDefault="00000000">
      <w:pPr>
        <w:rPr>
          <w:bCs/>
        </w:rPr>
      </w:pPr>
      <w:r>
        <w:rPr>
          <w:rFonts w:hint="eastAsia"/>
          <w:bCs/>
        </w:rPr>
        <w:t>其他情况</w:t>
      </w:r>
    </w:p>
    <w:sdt>
      <w:sdtPr>
        <w:rPr>
          <w:rFonts w:hint="eastAsia"/>
        </w:rPr>
        <w:alias w:val="是否适用：委托贷款总体其他情况[双击切换]"/>
        <w:tag w:val="_GBC_a071e3ce40374c6bb1b2f2dc2158413e"/>
        <w:id w:val="-2125987110"/>
        <w:placeholder>
          <w:docPart w:val="GBC22222222222222222222222222222"/>
        </w:placeholder>
      </w:sdtPr>
      <w:sdtContent>
        <w:p w14:paraId="6FF5ED75"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8A38888" w14:textId="77777777" w:rsidR="005E000F" w:rsidRDefault="00000000">
      <w:pPr>
        <w:pStyle w:val="5"/>
        <w:numPr>
          <w:ilvl w:val="0"/>
          <w:numId w:val="42"/>
        </w:numPr>
        <w:ind w:leftChars="0"/>
        <w:rPr>
          <w:rFonts w:ascii="宋体" w:hAnsi="宋体" w:cs="宋体"/>
          <w:kern w:val="0"/>
          <w:szCs w:val="24"/>
        </w:rPr>
      </w:pPr>
      <w:r>
        <w:rPr>
          <w:rFonts w:ascii="宋体" w:hAnsi="宋体" w:cs="宋体"/>
          <w:kern w:val="0"/>
          <w:szCs w:val="24"/>
        </w:rPr>
        <w:t>单项委托贷款情况</w:t>
      </w:r>
    </w:p>
    <w:sdt>
      <w:sdtPr>
        <w:rPr>
          <w:rFonts w:hint="eastAsia"/>
        </w:rPr>
        <w:alias w:val="是否适用：单项委托贷款情况[双击切换]"/>
        <w:tag w:val="_GBC_30b7c4837f704dff80c05190f23d6f3e"/>
        <w:id w:val="2020192053"/>
        <w:placeholder>
          <w:docPart w:val="GBC22222222222222222222222222222"/>
        </w:placeholder>
      </w:sdtPr>
      <w:sdtContent>
        <w:p w14:paraId="44B999F4"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F540999" w14:textId="77777777" w:rsidR="005E000F" w:rsidRDefault="00000000">
      <w:pPr>
        <w:rPr>
          <w:bCs/>
        </w:rPr>
      </w:pPr>
      <w:r>
        <w:rPr>
          <w:rFonts w:hint="eastAsia"/>
          <w:bCs/>
        </w:rPr>
        <w:t>其他情况</w:t>
      </w:r>
    </w:p>
    <w:sdt>
      <w:sdtPr>
        <w:rPr>
          <w:rFonts w:hint="eastAsia"/>
        </w:rPr>
        <w:alias w:val="是否适用：单项委托贷款其他情况[双击切换]"/>
        <w:tag w:val="_GBC_7fbd63dcaf8a4899bcd830951796a261"/>
        <w:id w:val="-579521591"/>
        <w:placeholder>
          <w:docPart w:val="GBC22222222222222222222222222222"/>
        </w:placeholder>
      </w:sdtPr>
      <w:sdtContent>
        <w:p w14:paraId="7600F1E5"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D4CCAB1" w14:textId="77777777" w:rsidR="005E000F" w:rsidRDefault="005E000F"/>
    <w:p w14:paraId="26089C61" w14:textId="77777777" w:rsidR="005E000F" w:rsidRDefault="00000000">
      <w:pPr>
        <w:pStyle w:val="5"/>
        <w:numPr>
          <w:ilvl w:val="0"/>
          <w:numId w:val="42"/>
        </w:numPr>
        <w:ind w:leftChars="0"/>
        <w:rPr>
          <w:rFonts w:ascii="宋体" w:hAnsi="宋体" w:cs="宋体"/>
          <w:kern w:val="0"/>
          <w:szCs w:val="24"/>
        </w:rPr>
      </w:pPr>
      <w:r>
        <w:rPr>
          <w:rFonts w:ascii="宋体" w:hAnsi="宋体" w:cs="宋体"/>
          <w:kern w:val="0"/>
          <w:szCs w:val="24"/>
        </w:rPr>
        <w:lastRenderedPageBreak/>
        <w:t>委托贷款减值</w:t>
      </w:r>
      <w:r>
        <w:rPr>
          <w:rFonts w:ascii="宋体" w:hAnsi="宋体" w:cs="宋体" w:hint="eastAsia"/>
          <w:kern w:val="0"/>
          <w:szCs w:val="24"/>
        </w:rPr>
        <w:t>准备</w:t>
      </w:r>
    </w:p>
    <w:sdt>
      <w:sdtPr>
        <w:rPr>
          <w:rFonts w:hint="eastAsia"/>
        </w:rPr>
        <w:alias w:val="是否适用：委托贷款减值准备[双击切换]"/>
        <w:tag w:val="_GBC_72dc10eff44f4851bd80447a1199a033"/>
        <w:id w:val="-495567772"/>
        <w:placeholder>
          <w:docPart w:val="GBC22222222222222222222222222222"/>
        </w:placeholder>
      </w:sdtPr>
      <w:sdtContent>
        <w:p w14:paraId="3363F1EE"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C45163F" w14:textId="77777777" w:rsidR="005E000F" w:rsidRDefault="00000000">
      <w:pPr>
        <w:pStyle w:val="4"/>
        <w:numPr>
          <w:ilvl w:val="0"/>
          <w:numId w:val="40"/>
        </w:numPr>
      </w:pPr>
      <w:r>
        <w:t>其他</w:t>
      </w:r>
      <w:r>
        <w:rPr>
          <w:rFonts w:hint="eastAsia"/>
        </w:rPr>
        <w:t>情况</w:t>
      </w:r>
    </w:p>
    <w:sdt>
      <w:sdtPr>
        <w:rPr>
          <w:rFonts w:hint="eastAsia"/>
        </w:rPr>
        <w:alias w:val="是否适用：委托他人进行现金资产管理的其他情况[双击切换]"/>
        <w:tag w:val="_GBC_c408f1ecbaff4ed08e4dcfbbac8e0ccd"/>
        <w:id w:val="-1857572586"/>
        <w:placeholder>
          <w:docPart w:val="GBC22222222222222222222222222222"/>
        </w:placeholder>
      </w:sdtPr>
      <w:sdtContent>
        <w:p w14:paraId="2173401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D6F481D" w14:textId="77777777" w:rsidR="005E000F" w:rsidRDefault="00000000">
      <w:pPr>
        <w:pStyle w:val="3"/>
        <w:numPr>
          <w:ilvl w:val="0"/>
          <w:numId w:val="38"/>
        </w:numPr>
        <w:rPr>
          <w:szCs w:val="21"/>
        </w:rPr>
      </w:pPr>
      <w:r>
        <w:rPr>
          <w:szCs w:val="21"/>
        </w:rPr>
        <w:t>其他重大合同</w:t>
      </w:r>
    </w:p>
    <w:sdt>
      <w:sdtPr>
        <w:rPr>
          <w:rFonts w:hint="eastAsia"/>
        </w:rPr>
        <w:alias w:val="是否适用：其他重大合同[双击切换]"/>
        <w:tag w:val="_GBC_541dd80939ae4bafb641675f942c4c14"/>
        <w:id w:val="492296692"/>
        <w:placeholder>
          <w:docPart w:val="GBC22222222222222222222222222222"/>
        </w:placeholder>
      </w:sdtPr>
      <w:sdtContent>
        <w:p w14:paraId="112E677D"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其他重大合同"/>
        <w:tag w:val="_GBC_4b2fbb76f8534d40a4da6e0337202650"/>
        <w:id w:val="-1051997560"/>
        <w:placeholder>
          <w:docPart w:val="GBC22222222222222222222222222222"/>
        </w:placeholder>
      </w:sdtPr>
      <w:sdtContent>
        <w:p w14:paraId="3C44EFEA" w14:textId="77777777" w:rsidR="005E000F" w:rsidRDefault="00000000">
          <w:pPr>
            <w:spacing w:line="360" w:lineRule="auto"/>
            <w:ind w:firstLineChars="200" w:firstLine="420"/>
          </w:pPr>
          <w:r>
            <w:rPr>
              <w:rFonts w:hint="eastAsia"/>
            </w:rPr>
            <w:t>报告期内，</w:t>
          </w:r>
          <w:r>
            <w:t>公司与</w:t>
          </w:r>
          <w:r>
            <w:rPr>
              <w:rFonts w:hint="eastAsia"/>
            </w:rPr>
            <w:t>中国铁路</w:t>
          </w:r>
          <w:r>
            <w:t>太原局集团公司重新签订《国有授权经营土地使用权转让协议》。</w:t>
          </w:r>
          <w:r>
            <w:rPr>
              <w:rFonts w:hint="eastAsia"/>
            </w:rPr>
            <w:t>内容详见</w:t>
          </w:r>
          <w:r>
            <w:rPr>
              <w:rFonts w:hint="eastAsia"/>
            </w:rPr>
            <w:t>2025</w:t>
          </w:r>
          <w:r>
            <w:rPr>
              <w:rFonts w:hint="eastAsia"/>
            </w:rPr>
            <w:t>年</w:t>
          </w:r>
          <w:r>
            <w:rPr>
              <w:rFonts w:hint="eastAsia"/>
            </w:rPr>
            <w:t>8</w:t>
          </w:r>
          <w:r>
            <w:rPr>
              <w:rFonts w:hint="eastAsia"/>
            </w:rPr>
            <w:t>月</w:t>
          </w:r>
          <w:r>
            <w:rPr>
              <w:rFonts w:hint="eastAsia"/>
            </w:rPr>
            <w:t>29</w:t>
          </w:r>
          <w:r>
            <w:rPr>
              <w:rFonts w:hint="eastAsia"/>
            </w:rPr>
            <w:t>日登载于上海证券交易所网站的《</w:t>
          </w:r>
          <w:r>
            <w:t>大秦铁路股份有限公司关于重新签订</w:t>
          </w:r>
          <w:r>
            <w:rPr>
              <w:rFonts w:hint="eastAsia"/>
            </w:rPr>
            <w:t>&lt;</w:t>
          </w:r>
          <w:r>
            <w:t>国有授权经营土地使用权转让协议</w:t>
          </w:r>
          <w:r>
            <w:rPr>
              <w:rFonts w:hint="eastAsia"/>
            </w:rPr>
            <w:t>&gt;</w:t>
          </w:r>
          <w:r>
            <w:t>暨关联交易的公告</w:t>
          </w:r>
          <w:r>
            <w:rPr>
              <w:rFonts w:hint="eastAsia"/>
            </w:rPr>
            <w:t>》。</w:t>
          </w:r>
        </w:p>
        <w:p w14:paraId="3BB4C51E" w14:textId="77777777" w:rsidR="005E000F" w:rsidRDefault="00000000">
          <w:pPr>
            <w:spacing w:line="360" w:lineRule="auto"/>
            <w:ind w:firstLineChars="200" w:firstLine="420"/>
          </w:pPr>
          <w:r>
            <w:rPr>
              <w:rFonts w:hint="eastAsia"/>
            </w:rPr>
            <w:t>报告期内，公司</w:t>
          </w:r>
          <w:r>
            <w:t>与中国国家铁路集团有限公司续签《综合服务框架协议》</w:t>
          </w:r>
          <w:r>
            <w:rPr>
              <w:rFonts w:hint="eastAsia"/>
            </w:rPr>
            <w:t>。内容详见</w:t>
          </w:r>
          <w:r>
            <w:rPr>
              <w:rFonts w:hint="eastAsia"/>
            </w:rPr>
            <w:t>2025</w:t>
          </w:r>
          <w:r>
            <w:rPr>
              <w:rFonts w:hint="eastAsia"/>
            </w:rPr>
            <w:t>年</w:t>
          </w:r>
          <w:r>
            <w:rPr>
              <w:rFonts w:hint="eastAsia"/>
            </w:rPr>
            <w:t>12</w:t>
          </w:r>
          <w:r>
            <w:rPr>
              <w:rFonts w:hint="eastAsia"/>
            </w:rPr>
            <w:t>月</w:t>
          </w:r>
          <w:r>
            <w:rPr>
              <w:rFonts w:hint="eastAsia"/>
            </w:rPr>
            <w:t>17</w:t>
          </w:r>
          <w:r>
            <w:rPr>
              <w:rFonts w:hint="eastAsia"/>
            </w:rPr>
            <w:t>日登载于上海证券交易所网站的《</w:t>
          </w:r>
          <w:r>
            <w:t>大秦铁路股份有限公司关于与中国国家铁路集团有限公司续签</w:t>
          </w:r>
          <w:r>
            <w:rPr>
              <w:rFonts w:hint="eastAsia"/>
            </w:rPr>
            <w:t>&lt;</w:t>
          </w:r>
          <w:r>
            <w:t>综合服务框架协议</w:t>
          </w:r>
          <w:r>
            <w:rPr>
              <w:rFonts w:hint="eastAsia"/>
            </w:rPr>
            <w:t>&gt;</w:t>
          </w:r>
          <w:r>
            <w:t>暨关联交易的公告</w:t>
          </w:r>
          <w:r>
            <w:rPr>
              <w:rFonts w:hint="eastAsia"/>
            </w:rPr>
            <w:t>》。</w:t>
          </w:r>
        </w:p>
        <w:p w14:paraId="20FAD2F6" w14:textId="77777777" w:rsidR="005E000F" w:rsidRDefault="00000000">
          <w:pPr>
            <w:spacing w:line="360" w:lineRule="auto"/>
            <w:ind w:firstLineChars="200" w:firstLine="420"/>
          </w:pPr>
          <w:r>
            <w:rPr>
              <w:rFonts w:hint="eastAsia"/>
            </w:rPr>
            <w:t>报告期内，公司</w:t>
          </w:r>
          <w:r>
            <w:t>与中国铁路财务有限责任公司续签《金融财务服务协议》</w:t>
          </w:r>
          <w:r>
            <w:rPr>
              <w:rFonts w:hint="eastAsia"/>
            </w:rPr>
            <w:t>。内容详见</w:t>
          </w:r>
          <w:r>
            <w:rPr>
              <w:rFonts w:hint="eastAsia"/>
            </w:rPr>
            <w:t>2025</w:t>
          </w:r>
          <w:r>
            <w:rPr>
              <w:rFonts w:hint="eastAsia"/>
            </w:rPr>
            <w:t>年</w:t>
          </w:r>
          <w:r>
            <w:rPr>
              <w:rFonts w:hint="eastAsia"/>
            </w:rPr>
            <w:t>12</w:t>
          </w:r>
          <w:r>
            <w:rPr>
              <w:rFonts w:hint="eastAsia"/>
            </w:rPr>
            <w:t>月</w:t>
          </w:r>
          <w:r>
            <w:rPr>
              <w:rFonts w:hint="eastAsia"/>
            </w:rPr>
            <w:t>17</w:t>
          </w:r>
          <w:r>
            <w:rPr>
              <w:rFonts w:hint="eastAsia"/>
            </w:rPr>
            <w:t>日登载于上海证券交易所网站的《</w:t>
          </w:r>
          <w:r>
            <w:t>大秦铁路股份有限公司关于与中国铁路财务有限责任公司续签</w:t>
          </w:r>
          <w:r>
            <w:rPr>
              <w:rFonts w:hint="eastAsia"/>
            </w:rPr>
            <w:t>&lt;</w:t>
          </w:r>
          <w:r>
            <w:t>金融财务服务协议</w:t>
          </w:r>
          <w:r>
            <w:rPr>
              <w:rFonts w:hint="eastAsia"/>
            </w:rPr>
            <w:t>&gt;</w:t>
          </w:r>
          <w:r>
            <w:t>暨关联交易的公告</w:t>
          </w:r>
          <w:r>
            <w:rPr>
              <w:rFonts w:hint="eastAsia"/>
            </w:rPr>
            <w:t>》。</w:t>
          </w:r>
        </w:p>
      </w:sdtContent>
    </w:sdt>
    <w:p w14:paraId="517BF0A5" w14:textId="77777777" w:rsidR="005E000F" w:rsidRDefault="00000000">
      <w:pPr>
        <w:pStyle w:val="2"/>
        <w:numPr>
          <w:ilvl w:val="0"/>
          <w:numId w:val="29"/>
        </w:numPr>
      </w:pPr>
      <w:bookmarkStart w:id="164" w:name="_Hlk72846301"/>
      <w:bookmarkStart w:id="165" w:name="_Hlk182989663"/>
      <w:bookmarkStart w:id="166" w:name="_Hlk170206295"/>
      <w:bookmarkStart w:id="167" w:name="_Hlk170215658"/>
      <w:r>
        <w:rPr>
          <w:rFonts w:hint="eastAsia"/>
        </w:rPr>
        <w:t>募集资金使用进展说明</w:t>
      </w:r>
    </w:p>
    <w:sdt>
      <w:sdtPr>
        <w:rPr>
          <w:color w:val="000000" w:themeColor="text1"/>
        </w:rPr>
        <w:alias w:val="是否适用：募集资金使用进展说明[双击切换]"/>
        <w:tag w:val="_GBC_4a9b3f05f0c443b28b4863d3686af0a7"/>
        <w:id w:val="609015786"/>
        <w:lock w:val="contentLocked"/>
        <w:placeholder>
          <w:docPart w:val="GBC22222222222222222222222222222"/>
        </w:placeholder>
      </w:sdtPr>
      <w:sdtContent>
        <w:p w14:paraId="1ACBDC82"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19D736A7" w14:textId="77777777" w:rsidR="005E000F" w:rsidRDefault="00000000">
      <w:pPr>
        <w:pStyle w:val="3"/>
        <w:numPr>
          <w:ilvl w:val="0"/>
          <w:numId w:val="43"/>
        </w:numPr>
        <w:tabs>
          <w:tab w:val="left" w:pos="360"/>
        </w:tabs>
        <w:ind w:left="450" w:hanging="450"/>
        <w:rPr>
          <w:rFonts w:ascii="宋体" w:hAnsi="宋体"/>
          <w:color w:val="000000" w:themeColor="text1"/>
        </w:rPr>
      </w:pPr>
      <w:bookmarkStart w:id="168" w:name="_Hlk90391863"/>
      <w:bookmarkStart w:id="169" w:name="_Hlk151129531"/>
      <w:bookmarkStart w:id="170" w:name="_Hlk168575638"/>
      <w:bookmarkStart w:id="171" w:name="_Hlk106290436"/>
      <w:r>
        <w:rPr>
          <w:rFonts w:ascii="宋体" w:hAnsi="宋体" w:hint="eastAsia"/>
          <w:color w:val="000000" w:themeColor="text1"/>
        </w:rPr>
        <w:t>募集资金整体使用情况</w:t>
      </w:r>
    </w:p>
    <w:sdt>
      <w:sdtPr>
        <w:rPr>
          <w:color w:val="000000" w:themeColor="text1"/>
        </w:rPr>
        <w:alias w:val="是否适用：募集资金整体使用情况[双击切换]"/>
        <w:tag w:val="_GBC_f7ce1753f5bd4373adb2e16c333fbcf8"/>
        <w:id w:val="-1668084318"/>
        <w:placeholder>
          <w:docPart w:val="GBC22222222222222222222222222222"/>
        </w:placeholder>
      </w:sdtPr>
      <w:sdtContent>
        <w:p w14:paraId="70586CD2"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0B53B16C" w14:textId="77777777" w:rsidR="005E000F" w:rsidRDefault="00000000">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总体使用情况"/>
          <w:tag w:val="_GBC_ad688d771b5e424385610c20e582648e"/>
          <w:id w:val="147117427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color w:val="000000" w:themeColor="text1"/>
            </w:rPr>
            <w:t>万元</w:t>
          </w:r>
        </w:sdtContent>
      </w:sdt>
    </w:p>
    <w:tbl>
      <w:tblPr>
        <w:tblW w:w="14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1134"/>
        <w:gridCol w:w="1275"/>
        <w:gridCol w:w="1229"/>
        <w:gridCol w:w="1224"/>
        <w:gridCol w:w="936"/>
        <w:gridCol w:w="1190"/>
        <w:gridCol w:w="1134"/>
        <w:gridCol w:w="992"/>
        <w:gridCol w:w="1044"/>
        <w:gridCol w:w="1224"/>
        <w:gridCol w:w="1134"/>
        <w:gridCol w:w="794"/>
      </w:tblGrid>
      <w:tr w:rsidR="005E000F" w14:paraId="73A00606" w14:textId="77777777">
        <w:trPr>
          <w:trHeight w:val="996"/>
          <w:jc w:val="center"/>
        </w:trPr>
        <w:sdt>
          <w:sdtPr>
            <w:tag w:val="_PLD_f6f1d998ccd247978de3bf98d3ec7d14"/>
            <w:id w:val="-1296362604"/>
          </w:sdtPr>
          <w:sdtContent>
            <w:tc>
              <w:tcPr>
                <w:tcW w:w="1187" w:type="dxa"/>
                <w:vAlign w:val="center"/>
              </w:tcPr>
              <w:p w14:paraId="24CA3CE6" w14:textId="77777777" w:rsidR="005E000F" w:rsidRDefault="00000000">
                <w:pPr>
                  <w:jc w:val="center"/>
                  <w:rPr>
                    <w:bCs/>
                    <w:color w:val="000000" w:themeColor="text1"/>
                  </w:rPr>
                </w:pPr>
                <w:r>
                  <w:rPr>
                    <w:rFonts w:hint="eastAsia"/>
                    <w:color w:val="000000" w:themeColor="text1"/>
                  </w:rPr>
                  <w:t>募集资金</w:t>
                </w:r>
                <w:r>
                  <w:rPr>
                    <w:color w:val="000000" w:themeColor="text1"/>
                  </w:rPr>
                  <w:t>来源</w:t>
                </w:r>
              </w:p>
            </w:tc>
          </w:sdtContent>
        </w:sdt>
        <w:tc>
          <w:tcPr>
            <w:tcW w:w="1134" w:type="dxa"/>
            <w:vAlign w:val="center"/>
          </w:tcPr>
          <w:sdt>
            <w:sdtPr>
              <w:tag w:val="_PLD_d475cde67d434322b3926f8ee6cb6efe"/>
              <w:id w:val="1554039910"/>
            </w:sdtPr>
            <w:sdtContent>
              <w:p w14:paraId="7D8F1406" w14:textId="77777777" w:rsidR="005E000F" w:rsidRDefault="00000000">
                <w:pPr>
                  <w:jc w:val="center"/>
                  <w:rPr>
                    <w:bCs/>
                    <w:color w:val="000000" w:themeColor="text1"/>
                  </w:rPr>
                </w:pPr>
                <w:r>
                  <w:rPr>
                    <w:rFonts w:hint="eastAsia"/>
                    <w:color w:val="000000" w:themeColor="text1"/>
                  </w:rPr>
                  <w:t>募集资金到位时间</w:t>
                </w:r>
              </w:p>
            </w:sdtContent>
          </w:sdt>
        </w:tc>
        <w:sdt>
          <w:sdtPr>
            <w:tag w:val="_PLD_252fbd39a9aa4efb883074d613e0a1e1"/>
            <w:id w:val="-456725990"/>
          </w:sdtPr>
          <w:sdtContent>
            <w:tc>
              <w:tcPr>
                <w:tcW w:w="1275" w:type="dxa"/>
                <w:vAlign w:val="center"/>
              </w:tcPr>
              <w:p w14:paraId="75002D87" w14:textId="77777777" w:rsidR="005E000F" w:rsidRDefault="00000000">
                <w:pPr>
                  <w:jc w:val="center"/>
                  <w:rPr>
                    <w:bCs/>
                    <w:color w:val="000000" w:themeColor="text1"/>
                  </w:rPr>
                </w:pPr>
                <w:r>
                  <w:rPr>
                    <w:rFonts w:hint="eastAsia"/>
                    <w:color w:val="000000" w:themeColor="text1"/>
                  </w:rPr>
                  <w:t>募集资金总额</w:t>
                </w:r>
              </w:p>
            </w:tc>
          </w:sdtContent>
        </w:sdt>
        <w:sdt>
          <w:sdtPr>
            <w:tag w:val="_PLD_a851d7026a994562b874effec1349b64"/>
            <w:id w:val="1165357729"/>
          </w:sdtPr>
          <w:sdtContent>
            <w:tc>
              <w:tcPr>
                <w:tcW w:w="1229" w:type="dxa"/>
                <w:vAlign w:val="center"/>
              </w:tcPr>
              <w:p w14:paraId="22DF7DEB" w14:textId="77777777" w:rsidR="005E000F" w:rsidRDefault="00000000">
                <w:pPr>
                  <w:jc w:val="center"/>
                  <w:rPr>
                    <w:bCs/>
                    <w:color w:val="000000" w:themeColor="text1"/>
                  </w:rPr>
                </w:pPr>
                <w:r>
                  <w:rPr>
                    <w:rFonts w:hint="eastAsia"/>
                    <w:color w:val="000000" w:themeColor="text1"/>
                  </w:rPr>
                  <w:t>募集资金净额（</w:t>
                </w:r>
                <w:r>
                  <w:rPr>
                    <w:rFonts w:hint="eastAsia"/>
                    <w:color w:val="000000" w:themeColor="text1"/>
                  </w:rPr>
                  <w:t>1</w:t>
                </w:r>
                <w:r>
                  <w:rPr>
                    <w:rFonts w:hint="eastAsia"/>
                    <w:color w:val="000000" w:themeColor="text1"/>
                  </w:rPr>
                  <w:t>）</w:t>
                </w:r>
              </w:p>
            </w:tc>
          </w:sdtContent>
        </w:sdt>
        <w:sdt>
          <w:sdtPr>
            <w:tag w:val="_PLD_6daf672bf88347618659de27fe421de3"/>
            <w:id w:val="1827855024"/>
          </w:sdtPr>
          <w:sdtContent>
            <w:tc>
              <w:tcPr>
                <w:tcW w:w="1224" w:type="dxa"/>
                <w:vAlign w:val="center"/>
              </w:tcPr>
              <w:p w14:paraId="72EE6D2B" w14:textId="77777777" w:rsidR="005E000F" w:rsidRDefault="00000000">
                <w:pPr>
                  <w:jc w:val="center"/>
                  <w:rPr>
                    <w:bCs/>
                    <w:color w:val="000000" w:themeColor="text1"/>
                  </w:rPr>
                </w:pPr>
                <w:r>
                  <w:rPr>
                    <w:rFonts w:hint="eastAsia"/>
                    <w:color w:val="000000" w:themeColor="text1"/>
                  </w:rPr>
                  <w:t>招股书或募集说明书中募集资金承诺投资总额（</w:t>
                </w:r>
                <w:r>
                  <w:rPr>
                    <w:rFonts w:hint="eastAsia"/>
                    <w:color w:val="000000" w:themeColor="text1"/>
                  </w:rPr>
                  <w:t>2</w:t>
                </w:r>
                <w:r>
                  <w:rPr>
                    <w:color w:val="000000" w:themeColor="text1"/>
                  </w:rPr>
                  <w:t>）</w:t>
                </w:r>
              </w:p>
            </w:tc>
          </w:sdtContent>
        </w:sdt>
        <w:sdt>
          <w:sdtPr>
            <w:tag w:val="_PLD_4457c04ac0cd4c058c1d86573213f47c"/>
            <w:id w:val="-198709370"/>
          </w:sdtPr>
          <w:sdtContent>
            <w:tc>
              <w:tcPr>
                <w:tcW w:w="936" w:type="dxa"/>
                <w:vAlign w:val="center"/>
              </w:tcPr>
              <w:p w14:paraId="3FDF11CB" w14:textId="77777777" w:rsidR="005E000F" w:rsidRDefault="00000000">
                <w:pPr>
                  <w:jc w:val="center"/>
                  <w:rPr>
                    <w:bCs/>
                    <w:color w:val="000000" w:themeColor="text1"/>
                  </w:rPr>
                </w:pPr>
                <w:r>
                  <w:rPr>
                    <w:rFonts w:hint="eastAsia"/>
                    <w:color w:val="000000" w:themeColor="text1"/>
                  </w:rPr>
                  <w:t>超募资金总额（</w:t>
                </w:r>
                <w:r>
                  <w:rPr>
                    <w:color w:val="000000" w:themeColor="text1"/>
                  </w:rPr>
                  <w:t>3</w:t>
                </w:r>
                <w:r>
                  <w:rPr>
                    <w:color w:val="000000" w:themeColor="text1"/>
                  </w:rPr>
                  <w:t>）</w:t>
                </w:r>
                <w:r>
                  <w:rPr>
                    <w:color w:val="000000" w:themeColor="text1"/>
                  </w:rPr>
                  <w:t>=</w:t>
                </w:r>
                <w:r>
                  <w:rPr>
                    <w:color w:val="000000" w:themeColor="text1"/>
                  </w:rPr>
                  <w:t>（</w:t>
                </w:r>
                <w:r>
                  <w:rPr>
                    <w:color w:val="000000" w:themeColor="text1"/>
                  </w:rPr>
                  <w:t>1</w:t>
                </w:r>
                <w:r>
                  <w:rPr>
                    <w:color w:val="000000" w:themeColor="text1"/>
                  </w:rPr>
                  <w:t>）</w:t>
                </w:r>
                <w:r>
                  <w:rPr>
                    <w:color w:val="000000" w:themeColor="text1"/>
                  </w:rPr>
                  <w:t>-</w:t>
                </w:r>
                <w:r>
                  <w:rPr>
                    <w:color w:val="000000" w:themeColor="text1"/>
                  </w:rPr>
                  <w:t>（</w:t>
                </w:r>
                <w:r>
                  <w:rPr>
                    <w:color w:val="000000" w:themeColor="text1"/>
                  </w:rPr>
                  <w:t>2</w:t>
                </w:r>
                <w:r>
                  <w:rPr>
                    <w:color w:val="000000" w:themeColor="text1"/>
                  </w:rPr>
                  <w:t>）</w:t>
                </w:r>
              </w:p>
            </w:tc>
          </w:sdtContent>
        </w:sdt>
        <w:sdt>
          <w:sdtPr>
            <w:tag w:val="_PLD_2001aaa3bce24644967289df40b3ceb9"/>
            <w:id w:val="1179162460"/>
          </w:sdtPr>
          <w:sdtContent>
            <w:tc>
              <w:tcPr>
                <w:tcW w:w="1190" w:type="dxa"/>
                <w:vAlign w:val="center"/>
              </w:tcPr>
              <w:p w14:paraId="6BBA664B" w14:textId="77777777" w:rsidR="005E000F" w:rsidRDefault="00000000">
                <w:pPr>
                  <w:jc w:val="center"/>
                  <w:rPr>
                    <w:bCs/>
                    <w:color w:val="000000" w:themeColor="text1"/>
                  </w:rPr>
                </w:pPr>
                <w:r>
                  <w:rPr>
                    <w:rFonts w:hint="eastAsia"/>
                    <w:color w:val="000000" w:themeColor="text1"/>
                  </w:rPr>
                  <w:t>截至</w:t>
                </w:r>
                <w:r>
                  <w:rPr>
                    <w:color w:val="000000" w:themeColor="text1"/>
                  </w:rPr>
                  <w:t>报告期末</w:t>
                </w:r>
                <w:r>
                  <w:rPr>
                    <w:rFonts w:hint="eastAsia"/>
                    <w:color w:val="000000" w:themeColor="text1"/>
                  </w:rPr>
                  <w:t>累计投入募集资金总额（</w:t>
                </w:r>
                <w:r>
                  <w:rPr>
                    <w:rFonts w:hint="eastAsia"/>
                    <w:color w:val="000000" w:themeColor="text1"/>
                  </w:rPr>
                  <w:t>4</w:t>
                </w:r>
                <w:r>
                  <w:rPr>
                    <w:rFonts w:hint="eastAsia"/>
                    <w:color w:val="000000" w:themeColor="text1"/>
                  </w:rPr>
                  <w:t>）</w:t>
                </w:r>
              </w:p>
            </w:tc>
          </w:sdtContent>
        </w:sdt>
        <w:sdt>
          <w:sdtPr>
            <w:tag w:val="_PLD_287b63bde2f94d56bd75a4879a66d85a"/>
            <w:id w:val="180632675"/>
          </w:sdtPr>
          <w:sdtContent>
            <w:tc>
              <w:tcPr>
                <w:tcW w:w="1134" w:type="dxa"/>
                <w:vAlign w:val="center"/>
              </w:tcPr>
              <w:p w14:paraId="68F34B5F" w14:textId="77777777" w:rsidR="005E000F" w:rsidRDefault="00000000">
                <w:pPr>
                  <w:jc w:val="center"/>
                  <w:rPr>
                    <w:bCs/>
                    <w:color w:val="000000" w:themeColor="text1"/>
                  </w:rPr>
                </w:pPr>
                <w:r>
                  <w:rPr>
                    <w:rFonts w:hint="eastAsia"/>
                    <w:color w:val="000000" w:themeColor="text1"/>
                  </w:rPr>
                  <w:t>其中：截至报告期末超募资金累计投入总额</w:t>
                </w:r>
                <w:r>
                  <w:rPr>
                    <w:color w:val="000000" w:themeColor="text1"/>
                  </w:rPr>
                  <w:t xml:space="preserve"> </w:t>
                </w:r>
                <w:r>
                  <w:rPr>
                    <w:color w:val="000000" w:themeColor="text1"/>
                  </w:rPr>
                  <w:t>（</w:t>
                </w:r>
                <w:r>
                  <w:rPr>
                    <w:color w:val="000000" w:themeColor="text1"/>
                  </w:rPr>
                  <w:t>5</w:t>
                </w:r>
                <w:r>
                  <w:rPr>
                    <w:color w:val="000000" w:themeColor="text1"/>
                  </w:rPr>
                  <w:t>）</w:t>
                </w:r>
              </w:p>
            </w:tc>
          </w:sdtContent>
        </w:sdt>
        <w:sdt>
          <w:sdtPr>
            <w:tag w:val="_PLD_893378377fcf4f1b98058ddbe54894ac"/>
            <w:id w:val="105470328"/>
          </w:sdtPr>
          <w:sdtContent>
            <w:tc>
              <w:tcPr>
                <w:tcW w:w="992" w:type="dxa"/>
                <w:vAlign w:val="center"/>
              </w:tcPr>
              <w:p w14:paraId="589F6CBA" w14:textId="77777777" w:rsidR="005E000F" w:rsidRDefault="00000000">
                <w:pPr>
                  <w:jc w:val="center"/>
                  <w:rPr>
                    <w:bCs/>
                    <w:color w:val="000000" w:themeColor="text1"/>
                  </w:rPr>
                </w:pPr>
                <w:r>
                  <w:rPr>
                    <w:rFonts w:hint="eastAsia"/>
                    <w:color w:val="000000" w:themeColor="text1"/>
                  </w:rPr>
                  <w:t>截至报告期末募集资金累计投入进度（</w:t>
                </w:r>
                <w:r>
                  <w:rPr>
                    <w:color w:val="000000" w:themeColor="text1"/>
                  </w:rPr>
                  <w:t>%</w:t>
                </w:r>
                <w:r>
                  <w:rPr>
                    <w:color w:val="000000" w:themeColor="text1"/>
                  </w:rPr>
                  <w:t>）</w:t>
                </w:r>
                <w:r>
                  <w:rPr>
                    <w:rFonts w:hint="eastAsia"/>
                    <w:color w:val="000000" w:themeColor="text1"/>
                  </w:rPr>
                  <w:t>（</w:t>
                </w:r>
                <w:r>
                  <w:rPr>
                    <w:color w:val="000000" w:themeColor="text1"/>
                  </w:rPr>
                  <w:t>6</w:t>
                </w:r>
                <w:r>
                  <w:rPr>
                    <w:rFonts w:hint="eastAsia"/>
                    <w:color w:val="000000" w:themeColor="text1"/>
                  </w:rPr>
                  <w:t>）</w:t>
                </w:r>
                <w:r>
                  <w:rPr>
                    <w:color w:val="000000" w:themeColor="text1"/>
                  </w:rPr>
                  <w:t>＝</w:t>
                </w:r>
                <w:r>
                  <w:rPr>
                    <w:rFonts w:hint="eastAsia"/>
                    <w:color w:val="000000" w:themeColor="text1"/>
                  </w:rPr>
                  <w:t>（</w:t>
                </w:r>
                <w:r>
                  <w:rPr>
                    <w:color w:val="000000" w:themeColor="text1"/>
                  </w:rPr>
                  <w:t>4</w:t>
                </w:r>
                <w:r>
                  <w:rPr>
                    <w:rFonts w:hint="eastAsia"/>
                    <w:color w:val="000000" w:themeColor="text1"/>
                  </w:rPr>
                  <w:t>）</w:t>
                </w:r>
                <w:r>
                  <w:rPr>
                    <w:color w:val="000000" w:themeColor="text1"/>
                  </w:rPr>
                  <w:t>/</w:t>
                </w:r>
                <w:r>
                  <w:rPr>
                    <w:rFonts w:hint="eastAsia"/>
                    <w:color w:val="000000" w:themeColor="text1"/>
                  </w:rPr>
                  <w:lastRenderedPageBreak/>
                  <w:t>（</w:t>
                </w:r>
                <w:r>
                  <w:rPr>
                    <w:color w:val="000000" w:themeColor="text1"/>
                  </w:rPr>
                  <w:t>1</w:t>
                </w:r>
                <w:r>
                  <w:rPr>
                    <w:rFonts w:hint="eastAsia"/>
                    <w:color w:val="000000" w:themeColor="text1"/>
                  </w:rPr>
                  <w:t>）</w:t>
                </w:r>
              </w:p>
            </w:tc>
          </w:sdtContent>
        </w:sdt>
        <w:sdt>
          <w:sdtPr>
            <w:tag w:val="_PLD_18e3fddd7206486287c3bd864b934e3a"/>
            <w:id w:val="-1532496904"/>
          </w:sdtPr>
          <w:sdtContent>
            <w:tc>
              <w:tcPr>
                <w:tcW w:w="1044" w:type="dxa"/>
                <w:vAlign w:val="center"/>
              </w:tcPr>
              <w:p w14:paraId="771B0704" w14:textId="77777777" w:rsidR="005E000F" w:rsidRDefault="00000000">
                <w:pPr>
                  <w:jc w:val="center"/>
                  <w:rPr>
                    <w:bCs/>
                    <w:color w:val="000000" w:themeColor="text1"/>
                  </w:rPr>
                </w:pPr>
                <w:r>
                  <w:rPr>
                    <w:rFonts w:hint="eastAsia"/>
                    <w:color w:val="000000" w:themeColor="text1"/>
                  </w:rPr>
                  <w:t>截至报告期末超募资金累计投入进度（</w:t>
                </w:r>
                <w:r>
                  <w:rPr>
                    <w:color w:val="000000" w:themeColor="text1"/>
                  </w:rPr>
                  <w:t>%</w:t>
                </w:r>
                <w:r>
                  <w:rPr>
                    <w:color w:val="000000" w:themeColor="text1"/>
                  </w:rPr>
                  <w:t>）</w:t>
                </w:r>
                <w:r>
                  <w:rPr>
                    <w:rFonts w:hint="eastAsia"/>
                    <w:color w:val="000000" w:themeColor="text1"/>
                  </w:rPr>
                  <w:t>（</w:t>
                </w:r>
                <w:r>
                  <w:rPr>
                    <w:color w:val="000000" w:themeColor="text1"/>
                  </w:rPr>
                  <w:t>7</w:t>
                </w:r>
                <w:r>
                  <w:rPr>
                    <w:rFonts w:hint="eastAsia"/>
                    <w:color w:val="000000" w:themeColor="text1"/>
                  </w:rPr>
                  <w:t>）</w:t>
                </w:r>
                <w:r>
                  <w:rPr>
                    <w:color w:val="000000" w:themeColor="text1"/>
                  </w:rPr>
                  <w:t>＝</w:t>
                </w:r>
                <w:r>
                  <w:rPr>
                    <w:rFonts w:hint="eastAsia"/>
                    <w:color w:val="000000" w:themeColor="text1"/>
                  </w:rPr>
                  <w:t>（</w:t>
                </w:r>
                <w:r>
                  <w:rPr>
                    <w:color w:val="000000" w:themeColor="text1"/>
                  </w:rPr>
                  <w:t>5</w:t>
                </w:r>
                <w:r>
                  <w:rPr>
                    <w:rFonts w:hint="eastAsia"/>
                    <w:color w:val="000000" w:themeColor="text1"/>
                  </w:rPr>
                  <w:t>）</w:t>
                </w:r>
                <w:r>
                  <w:rPr>
                    <w:color w:val="000000" w:themeColor="text1"/>
                  </w:rPr>
                  <w:t>/</w:t>
                </w:r>
                <w:r>
                  <w:rPr>
                    <w:rFonts w:hint="eastAsia"/>
                    <w:color w:val="000000" w:themeColor="text1"/>
                  </w:rPr>
                  <w:t>（</w:t>
                </w:r>
                <w:r>
                  <w:rPr>
                    <w:color w:val="000000" w:themeColor="text1"/>
                  </w:rPr>
                  <w:t>3</w:t>
                </w:r>
                <w:r>
                  <w:rPr>
                    <w:rFonts w:hint="eastAsia"/>
                    <w:color w:val="000000" w:themeColor="text1"/>
                  </w:rPr>
                  <w:t>）</w:t>
                </w:r>
              </w:p>
            </w:tc>
          </w:sdtContent>
        </w:sdt>
        <w:sdt>
          <w:sdtPr>
            <w:tag w:val="_PLD_5a5a62f015214297bbf828465bfbc8f4"/>
            <w:id w:val="-580139763"/>
          </w:sdtPr>
          <w:sdtContent>
            <w:tc>
              <w:tcPr>
                <w:tcW w:w="1224" w:type="dxa"/>
                <w:vAlign w:val="center"/>
              </w:tcPr>
              <w:p w14:paraId="62E9106C" w14:textId="77777777" w:rsidR="005E000F" w:rsidRDefault="00000000">
                <w:pPr>
                  <w:jc w:val="center"/>
                  <w:rPr>
                    <w:bCs/>
                    <w:color w:val="000000" w:themeColor="text1"/>
                  </w:rPr>
                </w:pPr>
                <w:r>
                  <w:rPr>
                    <w:rFonts w:hint="eastAsia"/>
                    <w:color w:val="000000" w:themeColor="text1"/>
                  </w:rPr>
                  <w:t>本年度投入金额（</w:t>
                </w:r>
                <w:r>
                  <w:rPr>
                    <w:rFonts w:hint="eastAsia"/>
                    <w:color w:val="000000" w:themeColor="text1"/>
                  </w:rPr>
                  <w:t>8</w:t>
                </w:r>
                <w:r>
                  <w:rPr>
                    <w:rFonts w:hint="eastAsia"/>
                    <w:color w:val="000000" w:themeColor="text1"/>
                  </w:rPr>
                  <w:t>）</w:t>
                </w:r>
              </w:p>
            </w:tc>
          </w:sdtContent>
        </w:sdt>
        <w:sdt>
          <w:sdtPr>
            <w:tag w:val="_PLD_36978a8c17d4468c9ed997ff6b3b41b7"/>
            <w:id w:val="-574130770"/>
          </w:sdtPr>
          <w:sdtContent>
            <w:tc>
              <w:tcPr>
                <w:tcW w:w="1134" w:type="dxa"/>
                <w:vAlign w:val="center"/>
              </w:tcPr>
              <w:p w14:paraId="2227F5B3" w14:textId="77777777" w:rsidR="005E000F" w:rsidRDefault="00000000">
                <w:pPr>
                  <w:jc w:val="center"/>
                  <w:rPr>
                    <w:bCs/>
                    <w:color w:val="000000" w:themeColor="text1"/>
                  </w:rPr>
                </w:pPr>
                <w:r>
                  <w:rPr>
                    <w:rFonts w:hint="eastAsia"/>
                    <w:color w:val="000000" w:themeColor="text1"/>
                  </w:rPr>
                  <w:t>本年度投入金额占比（</w:t>
                </w:r>
                <w:r>
                  <w:rPr>
                    <w:rFonts w:hint="eastAsia"/>
                    <w:color w:val="000000" w:themeColor="text1"/>
                  </w:rPr>
                  <w:t>%</w:t>
                </w:r>
                <w:r>
                  <w:rPr>
                    <w:rFonts w:hint="eastAsia"/>
                    <w:color w:val="000000" w:themeColor="text1"/>
                  </w:rPr>
                  <w:t>）（</w:t>
                </w:r>
                <w:r>
                  <w:rPr>
                    <w:color w:val="000000" w:themeColor="text1"/>
                  </w:rPr>
                  <w:t>9</w:t>
                </w:r>
                <w:r>
                  <w:rPr>
                    <w:color w:val="000000" w:themeColor="text1"/>
                  </w:rPr>
                  <w:t>）</w:t>
                </w:r>
                <w:r>
                  <w:rPr>
                    <w:color w:val="000000" w:themeColor="text1"/>
                  </w:rPr>
                  <w:t>=</w:t>
                </w:r>
                <w:r>
                  <w:rPr>
                    <w:rFonts w:hint="eastAsia"/>
                    <w:color w:val="000000" w:themeColor="text1"/>
                  </w:rPr>
                  <w:t>（</w:t>
                </w:r>
                <w:r>
                  <w:rPr>
                    <w:rFonts w:hint="eastAsia"/>
                    <w:color w:val="000000" w:themeColor="text1"/>
                  </w:rPr>
                  <w:t>8</w:t>
                </w:r>
                <w:r>
                  <w:rPr>
                    <w:rFonts w:hint="eastAsia"/>
                    <w:color w:val="000000" w:themeColor="text1"/>
                  </w:rPr>
                  <w:t>）</w:t>
                </w:r>
                <w:r>
                  <w:rPr>
                    <w:color w:val="000000" w:themeColor="text1"/>
                  </w:rPr>
                  <w:t>/</w:t>
                </w:r>
                <w:r>
                  <w:rPr>
                    <w:rFonts w:hint="eastAsia"/>
                    <w:color w:val="000000" w:themeColor="text1"/>
                  </w:rPr>
                  <w:t>（</w:t>
                </w:r>
                <w:r>
                  <w:rPr>
                    <w:color w:val="000000" w:themeColor="text1"/>
                  </w:rPr>
                  <w:t>1</w:t>
                </w:r>
                <w:r>
                  <w:rPr>
                    <w:rFonts w:hint="eastAsia"/>
                    <w:color w:val="000000" w:themeColor="text1"/>
                  </w:rPr>
                  <w:t>）</w:t>
                </w:r>
              </w:p>
            </w:tc>
          </w:sdtContent>
        </w:sdt>
        <w:tc>
          <w:tcPr>
            <w:tcW w:w="794" w:type="dxa"/>
            <w:vAlign w:val="center"/>
          </w:tcPr>
          <w:sdt>
            <w:sdtPr>
              <w:tag w:val="_PLD_387eaf1380e44b8ab68c14cd62262945"/>
              <w:id w:val="-558235583"/>
            </w:sdtPr>
            <w:sdtContent>
              <w:p w14:paraId="72098E2B" w14:textId="77777777" w:rsidR="005E000F" w:rsidRDefault="00000000">
                <w:pPr>
                  <w:jc w:val="center"/>
                  <w:rPr>
                    <w:bCs/>
                    <w:color w:val="000000" w:themeColor="text1"/>
                  </w:rPr>
                </w:pPr>
                <w:r>
                  <w:rPr>
                    <w:rFonts w:hint="eastAsia"/>
                    <w:color w:val="000000" w:themeColor="text1"/>
                  </w:rPr>
                  <w:t>变更用途的募集资金总额</w:t>
                </w:r>
              </w:p>
            </w:sdtContent>
          </w:sdt>
        </w:tc>
      </w:tr>
      <w:tr w:rsidR="005E000F" w14:paraId="32A61D15" w14:textId="77777777">
        <w:trPr>
          <w:trHeight w:val="194"/>
          <w:jc w:val="center"/>
        </w:trPr>
        <w:bookmarkStart w:id="172" w:name="_Hlk169881517" w:displacedByCustomXml="next"/>
        <w:sdt>
          <w:sdtPr>
            <w:rPr>
              <w:bCs/>
              <w:color w:val="000000" w:themeColor="text1"/>
            </w:rPr>
            <w:alias w:val="募集资金整体使用情况_募集资金来源"/>
            <w:tag w:val="_GBC_c7eb32810fc5438a8c61d8f1cff9aaf5"/>
            <w:id w:val="-149065492"/>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1187" w:type="dxa"/>
                <w:vAlign w:val="center"/>
              </w:tcPr>
              <w:p w14:paraId="5D13FE80" w14:textId="77777777" w:rsidR="005E000F" w:rsidRDefault="00000000">
                <w:pPr>
                  <w:rPr>
                    <w:bCs/>
                    <w:color w:val="000000" w:themeColor="text1"/>
                  </w:rPr>
                </w:pPr>
                <w:r>
                  <w:rPr>
                    <w:bCs/>
                    <w:color w:val="000000" w:themeColor="text1"/>
                  </w:rPr>
                  <w:t>发行可转换债券</w:t>
                </w:r>
              </w:p>
            </w:tc>
          </w:sdtContent>
        </w:sdt>
        <w:tc>
          <w:tcPr>
            <w:tcW w:w="1134" w:type="dxa"/>
            <w:vAlign w:val="center"/>
          </w:tcPr>
          <w:p w14:paraId="63176B1C" w14:textId="77777777" w:rsidR="005E000F" w:rsidRDefault="00000000">
            <w:pPr>
              <w:jc w:val="right"/>
              <w:rPr>
                <w:bCs/>
                <w:color w:val="000000" w:themeColor="text1"/>
                <w:sz w:val="18"/>
                <w:szCs w:val="18"/>
              </w:rPr>
            </w:pPr>
            <w:r>
              <w:rPr>
                <w:rFonts w:hint="eastAsia"/>
                <w:color w:val="000000" w:themeColor="text1"/>
                <w:sz w:val="18"/>
                <w:szCs w:val="18"/>
              </w:rPr>
              <w:t>2020-12-18</w:t>
            </w:r>
            <w:r>
              <w:rPr>
                <w:rFonts w:hint="eastAsia"/>
                <w:color w:val="000000" w:themeColor="text1"/>
                <w:sz w:val="18"/>
                <w:szCs w:val="18"/>
              </w:rPr>
              <w:t xml:space="preserve">　</w:t>
            </w:r>
          </w:p>
        </w:tc>
        <w:tc>
          <w:tcPr>
            <w:tcW w:w="1275" w:type="dxa"/>
            <w:vAlign w:val="center"/>
          </w:tcPr>
          <w:p w14:paraId="1474FF9F" w14:textId="77777777" w:rsidR="005E000F" w:rsidRDefault="00000000">
            <w:pPr>
              <w:jc w:val="right"/>
              <w:rPr>
                <w:bCs/>
                <w:sz w:val="18"/>
                <w:szCs w:val="18"/>
              </w:rPr>
            </w:pPr>
            <w:r>
              <w:rPr>
                <w:sz w:val="18"/>
                <w:szCs w:val="18"/>
              </w:rPr>
              <w:t>3,200,000.00</w:t>
            </w:r>
          </w:p>
        </w:tc>
        <w:tc>
          <w:tcPr>
            <w:tcW w:w="1229" w:type="dxa"/>
            <w:vAlign w:val="center"/>
          </w:tcPr>
          <w:p w14:paraId="677F2032" w14:textId="77777777" w:rsidR="005E000F" w:rsidRDefault="00000000">
            <w:pPr>
              <w:jc w:val="right"/>
              <w:rPr>
                <w:bCs/>
                <w:sz w:val="18"/>
                <w:szCs w:val="18"/>
              </w:rPr>
            </w:pPr>
            <w:r>
              <w:rPr>
                <w:bCs/>
                <w:sz w:val="18"/>
                <w:szCs w:val="18"/>
              </w:rPr>
              <w:t>3,197,394.43</w:t>
            </w:r>
          </w:p>
        </w:tc>
        <w:tc>
          <w:tcPr>
            <w:tcW w:w="1224" w:type="dxa"/>
            <w:vAlign w:val="center"/>
          </w:tcPr>
          <w:p w14:paraId="1303092A" w14:textId="77777777" w:rsidR="005E000F" w:rsidRDefault="00000000">
            <w:pPr>
              <w:jc w:val="right"/>
              <w:rPr>
                <w:bCs/>
                <w:sz w:val="18"/>
                <w:szCs w:val="18"/>
              </w:rPr>
            </w:pPr>
            <w:r>
              <w:rPr>
                <w:bCs/>
                <w:sz w:val="18"/>
                <w:szCs w:val="18"/>
              </w:rPr>
              <w:t>3,197,394.43</w:t>
            </w:r>
          </w:p>
        </w:tc>
        <w:tc>
          <w:tcPr>
            <w:tcW w:w="936" w:type="dxa"/>
            <w:vAlign w:val="center"/>
          </w:tcPr>
          <w:p w14:paraId="7683526B" w14:textId="77777777" w:rsidR="005E000F" w:rsidRDefault="00000000">
            <w:pPr>
              <w:jc w:val="right"/>
              <w:rPr>
                <w:bCs/>
                <w:sz w:val="18"/>
                <w:szCs w:val="18"/>
              </w:rPr>
            </w:pPr>
            <w:r>
              <w:rPr>
                <w:rFonts w:hint="eastAsia"/>
                <w:bCs/>
                <w:sz w:val="18"/>
                <w:szCs w:val="18"/>
              </w:rPr>
              <w:t>0</w:t>
            </w:r>
          </w:p>
        </w:tc>
        <w:tc>
          <w:tcPr>
            <w:tcW w:w="1190" w:type="dxa"/>
            <w:vAlign w:val="center"/>
          </w:tcPr>
          <w:p w14:paraId="26FDBB9F" w14:textId="77777777" w:rsidR="005E000F" w:rsidRDefault="00000000">
            <w:pPr>
              <w:jc w:val="right"/>
              <w:rPr>
                <w:bCs/>
                <w:sz w:val="18"/>
                <w:szCs w:val="18"/>
              </w:rPr>
            </w:pPr>
            <w:r>
              <w:rPr>
                <w:bCs/>
                <w:sz w:val="18"/>
                <w:szCs w:val="18"/>
              </w:rPr>
              <w:t>2,939,696.20</w:t>
            </w:r>
          </w:p>
        </w:tc>
        <w:tc>
          <w:tcPr>
            <w:tcW w:w="1134" w:type="dxa"/>
            <w:vAlign w:val="center"/>
          </w:tcPr>
          <w:p w14:paraId="6F139A33" w14:textId="77777777" w:rsidR="005E000F" w:rsidRDefault="00000000">
            <w:pPr>
              <w:jc w:val="right"/>
              <w:rPr>
                <w:bCs/>
                <w:sz w:val="18"/>
                <w:szCs w:val="18"/>
              </w:rPr>
            </w:pPr>
            <w:r>
              <w:rPr>
                <w:rFonts w:hint="eastAsia"/>
                <w:bCs/>
                <w:sz w:val="18"/>
                <w:szCs w:val="18"/>
              </w:rPr>
              <w:t>0</w:t>
            </w:r>
          </w:p>
        </w:tc>
        <w:tc>
          <w:tcPr>
            <w:tcW w:w="992" w:type="dxa"/>
            <w:vAlign w:val="center"/>
          </w:tcPr>
          <w:p w14:paraId="5E0F95C1" w14:textId="77777777" w:rsidR="005E000F" w:rsidRDefault="00000000">
            <w:pPr>
              <w:jc w:val="right"/>
              <w:rPr>
                <w:bCs/>
                <w:sz w:val="18"/>
                <w:szCs w:val="18"/>
              </w:rPr>
            </w:pPr>
            <w:r>
              <w:rPr>
                <w:rFonts w:hint="eastAsia"/>
                <w:bCs/>
                <w:sz w:val="18"/>
                <w:szCs w:val="18"/>
              </w:rPr>
              <w:t>91.94</w:t>
            </w:r>
          </w:p>
        </w:tc>
        <w:tc>
          <w:tcPr>
            <w:tcW w:w="1044" w:type="dxa"/>
            <w:vAlign w:val="center"/>
          </w:tcPr>
          <w:p w14:paraId="16F0F770" w14:textId="77777777" w:rsidR="005E000F" w:rsidRDefault="00000000">
            <w:pPr>
              <w:jc w:val="right"/>
              <w:rPr>
                <w:bCs/>
                <w:sz w:val="18"/>
                <w:szCs w:val="18"/>
              </w:rPr>
            </w:pPr>
            <w:r>
              <w:rPr>
                <w:rFonts w:hint="eastAsia"/>
                <w:bCs/>
                <w:sz w:val="18"/>
                <w:szCs w:val="18"/>
              </w:rPr>
              <w:t>0</w:t>
            </w:r>
          </w:p>
        </w:tc>
        <w:tc>
          <w:tcPr>
            <w:tcW w:w="1224" w:type="dxa"/>
            <w:vAlign w:val="center"/>
          </w:tcPr>
          <w:p w14:paraId="355153DD" w14:textId="77777777" w:rsidR="005E000F" w:rsidRDefault="00000000">
            <w:pPr>
              <w:jc w:val="right"/>
              <w:rPr>
                <w:bCs/>
                <w:sz w:val="18"/>
                <w:szCs w:val="18"/>
              </w:rPr>
            </w:pPr>
            <w:r>
              <w:rPr>
                <w:sz w:val="18"/>
                <w:szCs w:val="18"/>
              </w:rPr>
              <w:t>2,569,993.98</w:t>
            </w:r>
          </w:p>
        </w:tc>
        <w:tc>
          <w:tcPr>
            <w:tcW w:w="1134" w:type="dxa"/>
            <w:vAlign w:val="center"/>
          </w:tcPr>
          <w:p w14:paraId="0C0B0667" w14:textId="77777777" w:rsidR="005E000F" w:rsidRDefault="00000000">
            <w:pPr>
              <w:jc w:val="right"/>
              <w:rPr>
                <w:bCs/>
                <w:sz w:val="18"/>
                <w:szCs w:val="18"/>
              </w:rPr>
            </w:pPr>
            <w:r>
              <w:rPr>
                <w:rFonts w:hint="eastAsia"/>
                <w:bCs/>
                <w:sz w:val="18"/>
                <w:szCs w:val="18"/>
              </w:rPr>
              <w:t>80.38</w:t>
            </w:r>
          </w:p>
        </w:tc>
        <w:tc>
          <w:tcPr>
            <w:tcW w:w="794" w:type="dxa"/>
            <w:vAlign w:val="center"/>
          </w:tcPr>
          <w:p w14:paraId="1E014AFA" w14:textId="77777777" w:rsidR="005E000F" w:rsidRDefault="00000000">
            <w:pPr>
              <w:jc w:val="right"/>
              <w:rPr>
                <w:bCs/>
                <w:sz w:val="18"/>
                <w:szCs w:val="18"/>
              </w:rPr>
            </w:pPr>
            <w:r>
              <w:rPr>
                <w:rFonts w:hint="eastAsia"/>
                <w:bCs/>
                <w:sz w:val="18"/>
                <w:szCs w:val="18"/>
              </w:rPr>
              <w:t>0</w:t>
            </w:r>
          </w:p>
        </w:tc>
      </w:tr>
      <w:bookmarkEnd w:id="172"/>
      <w:tr w:rsidR="005E000F" w14:paraId="6CABB0E2" w14:textId="77777777">
        <w:trPr>
          <w:trHeight w:val="194"/>
          <w:jc w:val="center"/>
        </w:trPr>
        <w:tc>
          <w:tcPr>
            <w:tcW w:w="1187" w:type="dxa"/>
            <w:vAlign w:val="center"/>
          </w:tcPr>
          <w:p w14:paraId="29B67450" w14:textId="77777777" w:rsidR="005E000F" w:rsidRDefault="00000000">
            <w:pPr>
              <w:jc w:val="center"/>
              <w:rPr>
                <w:bCs/>
                <w:color w:val="000000" w:themeColor="text1"/>
              </w:rPr>
            </w:pPr>
            <w:r>
              <w:rPr>
                <w:rFonts w:hint="eastAsia"/>
                <w:color w:val="000000" w:themeColor="text1"/>
              </w:rPr>
              <w:t>合计</w:t>
            </w:r>
          </w:p>
        </w:tc>
        <w:tc>
          <w:tcPr>
            <w:tcW w:w="1134" w:type="dxa"/>
            <w:vAlign w:val="center"/>
          </w:tcPr>
          <w:p w14:paraId="5798F80E" w14:textId="77777777" w:rsidR="005E000F" w:rsidRDefault="00000000">
            <w:pPr>
              <w:jc w:val="right"/>
              <w:rPr>
                <w:bCs/>
                <w:color w:val="000000" w:themeColor="text1"/>
              </w:rPr>
            </w:pPr>
            <w:r>
              <w:rPr>
                <w:color w:val="000000" w:themeColor="text1"/>
              </w:rPr>
              <w:t>/</w:t>
            </w:r>
          </w:p>
        </w:tc>
        <w:tc>
          <w:tcPr>
            <w:tcW w:w="1275" w:type="dxa"/>
            <w:vAlign w:val="center"/>
          </w:tcPr>
          <w:p w14:paraId="22710682" w14:textId="77777777" w:rsidR="005E000F" w:rsidRDefault="00000000">
            <w:pPr>
              <w:jc w:val="right"/>
              <w:rPr>
                <w:bCs/>
                <w:sz w:val="18"/>
                <w:szCs w:val="18"/>
              </w:rPr>
            </w:pPr>
            <w:r>
              <w:rPr>
                <w:sz w:val="18"/>
                <w:szCs w:val="18"/>
              </w:rPr>
              <w:t>3,200,000.00</w:t>
            </w:r>
          </w:p>
        </w:tc>
        <w:tc>
          <w:tcPr>
            <w:tcW w:w="1229" w:type="dxa"/>
            <w:vAlign w:val="center"/>
          </w:tcPr>
          <w:p w14:paraId="65135F66" w14:textId="77777777" w:rsidR="005E000F" w:rsidRDefault="00000000">
            <w:pPr>
              <w:jc w:val="right"/>
              <w:rPr>
                <w:bCs/>
                <w:sz w:val="18"/>
                <w:szCs w:val="18"/>
              </w:rPr>
            </w:pPr>
            <w:r>
              <w:rPr>
                <w:sz w:val="18"/>
                <w:szCs w:val="18"/>
              </w:rPr>
              <w:t>3,197,394.43</w:t>
            </w:r>
          </w:p>
        </w:tc>
        <w:tc>
          <w:tcPr>
            <w:tcW w:w="1224" w:type="dxa"/>
            <w:vAlign w:val="center"/>
          </w:tcPr>
          <w:p w14:paraId="333FB268" w14:textId="77777777" w:rsidR="005E000F" w:rsidRDefault="00000000">
            <w:pPr>
              <w:jc w:val="right"/>
              <w:rPr>
                <w:bCs/>
                <w:sz w:val="18"/>
                <w:szCs w:val="18"/>
              </w:rPr>
            </w:pPr>
            <w:r>
              <w:rPr>
                <w:sz w:val="18"/>
                <w:szCs w:val="18"/>
              </w:rPr>
              <w:t>3,197,394.43</w:t>
            </w:r>
          </w:p>
        </w:tc>
        <w:tc>
          <w:tcPr>
            <w:tcW w:w="936" w:type="dxa"/>
            <w:vAlign w:val="center"/>
          </w:tcPr>
          <w:p w14:paraId="2DAC1E44" w14:textId="77777777" w:rsidR="005E000F" w:rsidRDefault="00000000">
            <w:pPr>
              <w:jc w:val="right"/>
              <w:rPr>
                <w:bCs/>
                <w:sz w:val="18"/>
                <w:szCs w:val="18"/>
              </w:rPr>
            </w:pPr>
            <w:r>
              <w:rPr>
                <w:sz w:val="18"/>
                <w:szCs w:val="18"/>
              </w:rPr>
              <w:t>0</w:t>
            </w:r>
          </w:p>
        </w:tc>
        <w:tc>
          <w:tcPr>
            <w:tcW w:w="1190" w:type="dxa"/>
            <w:vAlign w:val="center"/>
          </w:tcPr>
          <w:p w14:paraId="3F11F26A" w14:textId="77777777" w:rsidR="005E000F" w:rsidRDefault="00000000">
            <w:pPr>
              <w:jc w:val="right"/>
              <w:rPr>
                <w:bCs/>
                <w:sz w:val="18"/>
                <w:szCs w:val="18"/>
              </w:rPr>
            </w:pPr>
            <w:r>
              <w:rPr>
                <w:sz w:val="18"/>
                <w:szCs w:val="18"/>
              </w:rPr>
              <w:t>2,939,696.20</w:t>
            </w:r>
          </w:p>
        </w:tc>
        <w:tc>
          <w:tcPr>
            <w:tcW w:w="1134" w:type="dxa"/>
            <w:vAlign w:val="center"/>
          </w:tcPr>
          <w:p w14:paraId="2E8DB2F0" w14:textId="77777777" w:rsidR="005E000F" w:rsidRDefault="00000000">
            <w:pPr>
              <w:jc w:val="right"/>
              <w:rPr>
                <w:bCs/>
                <w:sz w:val="18"/>
                <w:szCs w:val="18"/>
              </w:rPr>
            </w:pPr>
            <w:r>
              <w:rPr>
                <w:sz w:val="18"/>
                <w:szCs w:val="18"/>
              </w:rPr>
              <w:t>0</w:t>
            </w:r>
          </w:p>
        </w:tc>
        <w:tc>
          <w:tcPr>
            <w:tcW w:w="992" w:type="dxa"/>
            <w:vAlign w:val="center"/>
          </w:tcPr>
          <w:p w14:paraId="0D166048" w14:textId="77777777" w:rsidR="005E000F" w:rsidRDefault="00000000">
            <w:pPr>
              <w:jc w:val="right"/>
              <w:rPr>
                <w:bCs/>
                <w:color w:val="000000" w:themeColor="text1"/>
              </w:rPr>
            </w:pPr>
            <w:r>
              <w:rPr>
                <w:color w:val="000000" w:themeColor="text1"/>
              </w:rPr>
              <w:t>/</w:t>
            </w:r>
          </w:p>
        </w:tc>
        <w:tc>
          <w:tcPr>
            <w:tcW w:w="1044" w:type="dxa"/>
            <w:vAlign w:val="center"/>
          </w:tcPr>
          <w:p w14:paraId="2E785B63" w14:textId="77777777" w:rsidR="005E000F" w:rsidRDefault="00000000">
            <w:pPr>
              <w:jc w:val="right"/>
              <w:rPr>
                <w:bCs/>
                <w:color w:val="000000" w:themeColor="text1"/>
              </w:rPr>
            </w:pPr>
            <w:r>
              <w:rPr>
                <w:color w:val="000000" w:themeColor="text1"/>
              </w:rPr>
              <w:t>/</w:t>
            </w:r>
          </w:p>
        </w:tc>
        <w:tc>
          <w:tcPr>
            <w:tcW w:w="1224" w:type="dxa"/>
            <w:vAlign w:val="center"/>
          </w:tcPr>
          <w:p w14:paraId="5A56A567" w14:textId="77777777" w:rsidR="005E000F" w:rsidRDefault="00000000">
            <w:pPr>
              <w:jc w:val="right"/>
              <w:rPr>
                <w:bCs/>
                <w:sz w:val="18"/>
                <w:szCs w:val="18"/>
              </w:rPr>
            </w:pPr>
            <w:r>
              <w:rPr>
                <w:bCs/>
                <w:sz w:val="18"/>
                <w:szCs w:val="18"/>
              </w:rPr>
              <w:t>2,569,993.98</w:t>
            </w:r>
          </w:p>
        </w:tc>
        <w:tc>
          <w:tcPr>
            <w:tcW w:w="1134" w:type="dxa"/>
            <w:vAlign w:val="center"/>
          </w:tcPr>
          <w:p w14:paraId="49144259" w14:textId="77777777" w:rsidR="005E000F" w:rsidRDefault="00000000">
            <w:pPr>
              <w:jc w:val="right"/>
              <w:rPr>
                <w:bCs/>
                <w:color w:val="000000" w:themeColor="text1"/>
              </w:rPr>
            </w:pPr>
            <w:r>
              <w:rPr>
                <w:color w:val="000000" w:themeColor="text1"/>
              </w:rPr>
              <w:t>/</w:t>
            </w:r>
          </w:p>
        </w:tc>
        <w:tc>
          <w:tcPr>
            <w:tcW w:w="794" w:type="dxa"/>
            <w:vAlign w:val="center"/>
          </w:tcPr>
          <w:p w14:paraId="294239AF" w14:textId="77777777" w:rsidR="005E000F" w:rsidRDefault="005E000F">
            <w:pPr>
              <w:jc w:val="right"/>
              <w:rPr>
                <w:bCs/>
              </w:rPr>
            </w:pPr>
          </w:p>
        </w:tc>
      </w:tr>
    </w:tbl>
    <w:p w14:paraId="11ADC4CB" w14:textId="77777777" w:rsidR="005E000F" w:rsidRDefault="005E000F">
      <w:pPr>
        <w:rPr>
          <w:color w:val="000000" w:themeColor="text1"/>
        </w:rPr>
      </w:pPr>
    </w:p>
    <w:p w14:paraId="5263486E" w14:textId="77777777" w:rsidR="005E000F" w:rsidRDefault="00000000">
      <w:bookmarkStart w:id="173" w:name="_Hlk184400120"/>
      <w:bookmarkEnd w:id="168"/>
      <w:r>
        <w:rPr>
          <w:rFonts w:hint="eastAsia"/>
        </w:rPr>
        <w:t>其他说明</w:t>
      </w:r>
    </w:p>
    <w:sdt>
      <w:sdtPr>
        <w:rPr>
          <w:rFonts w:hint="eastAsia"/>
        </w:rPr>
        <w:alias w:val="是否适用：募集资金整体使用情况的其他说明[双击切换]"/>
        <w:tag w:val="_GBC_43d5b01093724b4eaae8b06c3d8b68ca"/>
        <w:id w:val="1888680769"/>
        <w:placeholder>
          <w:docPart w:val="GBC22222222222222222222222222222"/>
        </w:placeholder>
      </w:sdtPr>
      <w:sdtContent>
        <w:p w14:paraId="45DE9600" w14:textId="77777777" w:rsidR="005E000F" w:rsidRDefault="00000000">
          <w:r>
            <w:rPr>
              <w:rFonts w:ascii="宋体" w:hAnsi="宋体" w:hint="eastAsia"/>
            </w:rPr>
            <w:fldChar w:fldCharType="begin"/>
          </w:r>
          <w:r>
            <w:rPr>
              <w:rFonts w:ascii="宋体" w:hAnsi="宋体" w:hint="eastAsia"/>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hint="eastAsia"/>
            </w:rPr>
            <w:instrText xml:space="preserve"> MACROBUTTON  SnrToggleCheckbox □不适用 </w:instrText>
          </w:r>
          <w:r>
            <w:rPr>
              <w:rFonts w:ascii="宋体" w:hAnsi="宋体" w:hint="eastAsia"/>
            </w:rPr>
            <w:fldChar w:fldCharType="end"/>
          </w:r>
        </w:p>
      </w:sdtContent>
    </w:sdt>
    <w:sdt>
      <w:sdtPr>
        <w:rPr>
          <w:rFonts w:hint="eastAsia"/>
        </w:rPr>
        <w:alias w:val="募集资金整体使用情况的其他说明"/>
        <w:tag w:val="_GBC_aaa1ea5727b048a788e51caab5e4e137"/>
        <w:id w:val="1622650867"/>
        <w:placeholder>
          <w:docPart w:val="GBC22222222222222222222222222222"/>
        </w:placeholder>
      </w:sdtPr>
      <w:sdtContent>
        <w:p w14:paraId="072D6960" w14:textId="77777777" w:rsidR="005E000F" w:rsidRDefault="00000000">
          <w:pPr>
            <w:rPr>
              <w:color w:val="000000" w:themeColor="text1"/>
            </w:rPr>
          </w:pPr>
          <w:r>
            <w:rPr>
              <w:rFonts w:cs="Arial" w:hint="eastAsia"/>
            </w:rPr>
            <w:t>募集资金净额</w:t>
          </w:r>
          <w:r>
            <w:rPr>
              <w:rFonts w:cs="Arial"/>
            </w:rPr>
            <w:t>3,197,394.43</w:t>
          </w:r>
          <w:r>
            <w:rPr>
              <w:rFonts w:cs="Arial" w:hint="eastAsia"/>
            </w:rPr>
            <w:t>万</w:t>
          </w:r>
          <w:r>
            <w:rPr>
              <w:rFonts w:cs="Arial"/>
            </w:rPr>
            <w:t>元</w:t>
          </w:r>
          <w:r>
            <w:rPr>
              <w:rFonts w:cs="Arial" w:hint="eastAsia"/>
            </w:rPr>
            <w:t>为募集资金计划投资总额</w:t>
          </w:r>
          <w:r>
            <w:rPr>
              <w:rFonts w:cs="Arial"/>
            </w:rPr>
            <w:t>3,200,000.00</w:t>
          </w:r>
          <w:r>
            <w:rPr>
              <w:rFonts w:cs="Arial" w:hint="eastAsia"/>
            </w:rPr>
            <w:t>万</w:t>
          </w:r>
          <w:r>
            <w:rPr>
              <w:rFonts w:cs="Arial"/>
            </w:rPr>
            <w:t>元，扣除发行费用</w:t>
          </w:r>
          <w:r>
            <w:rPr>
              <w:rFonts w:cs="Arial" w:hint="eastAsia"/>
            </w:rPr>
            <w:t>2605.57</w:t>
          </w:r>
          <w:r>
            <w:rPr>
              <w:rFonts w:cs="Arial" w:hint="eastAsia"/>
            </w:rPr>
            <w:t>万</w:t>
          </w:r>
          <w:r>
            <w:rPr>
              <w:rFonts w:cs="Arial"/>
            </w:rPr>
            <w:t>元</w:t>
          </w:r>
          <w:r>
            <w:rPr>
              <w:rFonts w:cs="Arial" w:hint="eastAsia"/>
            </w:rPr>
            <w:t>计算所得。</w:t>
          </w:r>
        </w:p>
      </w:sdtContent>
    </w:sdt>
    <w:p w14:paraId="74304683" w14:textId="77777777" w:rsidR="005E000F" w:rsidRDefault="00000000">
      <w:pPr>
        <w:pStyle w:val="3"/>
        <w:numPr>
          <w:ilvl w:val="0"/>
          <w:numId w:val="43"/>
        </w:numPr>
        <w:tabs>
          <w:tab w:val="left" w:pos="360"/>
        </w:tabs>
        <w:ind w:left="450" w:hanging="450"/>
        <w:rPr>
          <w:rFonts w:ascii="宋体" w:hAnsi="宋体"/>
          <w:color w:val="000000" w:themeColor="text1"/>
        </w:rPr>
      </w:pPr>
      <w:bookmarkStart w:id="174" w:name="_Hlk170305543"/>
      <w:bookmarkEnd w:id="173"/>
      <w:proofErr w:type="gramStart"/>
      <w:r>
        <w:rPr>
          <w:rFonts w:ascii="宋体" w:hAnsi="宋体" w:hint="eastAsia"/>
          <w:color w:val="000000" w:themeColor="text1"/>
        </w:rPr>
        <w:t>募投项目</w:t>
      </w:r>
      <w:proofErr w:type="gramEnd"/>
      <w:r>
        <w:rPr>
          <w:rFonts w:ascii="宋体" w:hAnsi="宋体"/>
          <w:color w:val="000000" w:themeColor="text1"/>
        </w:rPr>
        <w:t>明细</w:t>
      </w:r>
    </w:p>
    <w:sdt>
      <w:sdtPr>
        <w:rPr>
          <w:color w:val="000000" w:themeColor="text1"/>
        </w:rPr>
        <w:alias w:val="是否适用：募投项目明细[双击切换]"/>
        <w:tag w:val="_GBC_abbead06593244249f87dc857fe5bf23"/>
        <w:id w:val="1304433837"/>
        <w:placeholder>
          <w:docPart w:val="GBC22222222222222222222222222222"/>
        </w:placeholder>
      </w:sdtPr>
      <w:sdtContent>
        <w:p w14:paraId="7B0E0A18"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4A63A52" w14:textId="77777777" w:rsidR="005E000F" w:rsidRDefault="00000000">
      <w:pPr>
        <w:pStyle w:val="aff8"/>
        <w:numPr>
          <w:ilvl w:val="0"/>
          <w:numId w:val="44"/>
        </w:numPr>
        <w:ind w:firstLineChars="0"/>
        <w:rPr>
          <w:rFonts w:ascii="宋体" w:hAnsi="宋体" w:cs="宋体"/>
          <w:color w:val="000000" w:themeColor="text1"/>
          <w:kern w:val="0"/>
          <w:szCs w:val="21"/>
        </w:rPr>
      </w:pPr>
      <w:bookmarkStart w:id="175" w:name="_Hlk90391869"/>
      <w:bookmarkEnd w:id="174"/>
      <w:r>
        <w:rPr>
          <w:rFonts w:ascii="宋体" w:hAnsi="宋体" w:cs="宋体" w:hint="eastAsia"/>
          <w:color w:val="000000" w:themeColor="text1"/>
          <w:kern w:val="0"/>
          <w:szCs w:val="21"/>
        </w:rPr>
        <w:t>募集资金明细使用情况</w:t>
      </w:r>
    </w:p>
    <w:p w14:paraId="58184284" w14:textId="77777777" w:rsidR="005E000F" w:rsidRDefault="00000000">
      <w:pPr>
        <w:rPr>
          <w:color w:val="000000" w:themeColor="text1"/>
        </w:rPr>
      </w:pPr>
      <w:sdt>
        <w:sdtPr>
          <w:rPr>
            <w:color w:val="000000" w:themeColor="text1"/>
          </w:rPr>
          <w:alias w:val="是否适用：募集资金明细使用情况[双击切换]"/>
          <w:tag w:val="_GBC_839f16b9626e4da581dbceef0e7a9f03"/>
          <w:id w:val="1952129323"/>
          <w:placeholder>
            <w:docPart w:val="GBC22222222222222222222222222222"/>
          </w:placeholder>
        </w:sdtPr>
        <w:sdtContent>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sdtContent>
      </w:sdt>
    </w:p>
    <w:p w14:paraId="35BC9CEB" w14:textId="77777777" w:rsidR="005E000F" w:rsidRDefault="00000000">
      <w:pPr>
        <w:ind w:right="105"/>
        <w:jc w:val="right"/>
        <w:rPr>
          <w:color w:val="000000" w:themeColor="text1"/>
        </w:rPr>
      </w:pPr>
      <w:r>
        <w:rPr>
          <w:rFonts w:hint="eastAsia"/>
          <w:color w:val="000000" w:themeColor="text1"/>
        </w:rPr>
        <w:t>单位</w:t>
      </w:r>
      <w:r>
        <w:rPr>
          <w:color w:val="000000" w:themeColor="text1"/>
        </w:rPr>
        <w:t>：</w:t>
      </w:r>
      <w:sdt>
        <w:sdtPr>
          <w:rPr>
            <w:color w:val="000000" w:themeColor="text1"/>
          </w:rPr>
          <w:alias w:val="单位：募集资金承诺项目情况"/>
          <w:tag w:val="_GBC_3e32cc36abc7448ab307b3c31209b85f"/>
          <w:id w:val="-137707925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color w:val="000000" w:themeColor="text1"/>
            </w:rPr>
            <w:t>万元</w:t>
          </w:r>
        </w:sdtContent>
      </w:sdt>
    </w:p>
    <w:tbl>
      <w:tblPr>
        <w:tblW w:w="14874" w:type="dxa"/>
        <w:jc w:val="center"/>
        <w:tblLayout w:type="fixed"/>
        <w:tblLook w:val="04A0" w:firstRow="1" w:lastRow="0" w:firstColumn="1" w:lastColumn="0" w:noHBand="0" w:noVBand="1"/>
      </w:tblPr>
      <w:tblGrid>
        <w:gridCol w:w="670"/>
        <w:gridCol w:w="1276"/>
        <w:gridCol w:w="708"/>
        <w:gridCol w:w="709"/>
        <w:gridCol w:w="567"/>
        <w:gridCol w:w="1273"/>
        <w:gridCol w:w="1177"/>
        <w:gridCol w:w="1276"/>
        <w:gridCol w:w="850"/>
        <w:gridCol w:w="851"/>
        <w:gridCol w:w="567"/>
        <w:gridCol w:w="708"/>
        <w:gridCol w:w="666"/>
        <w:gridCol w:w="894"/>
        <w:gridCol w:w="762"/>
        <w:gridCol w:w="845"/>
        <w:gridCol w:w="1075"/>
      </w:tblGrid>
      <w:tr w:rsidR="005E000F" w14:paraId="1AAEBADC" w14:textId="77777777">
        <w:trPr>
          <w:trHeight w:val="800"/>
          <w:jc w:val="center"/>
        </w:trPr>
        <w:sdt>
          <w:sdtPr>
            <w:tag w:val="_PLD_9b7af6ea34414343987ed059a3cec563"/>
            <w:id w:val="-1467428356"/>
          </w:sdtPr>
          <w:sdtContent>
            <w:tc>
              <w:tcPr>
                <w:tcW w:w="670" w:type="dxa"/>
                <w:tcBorders>
                  <w:top w:val="single" w:sz="4" w:space="0" w:color="auto"/>
                  <w:left w:val="single" w:sz="4" w:space="0" w:color="auto"/>
                  <w:bottom w:val="single" w:sz="4" w:space="0" w:color="auto"/>
                  <w:right w:val="single" w:sz="4" w:space="0" w:color="auto"/>
                </w:tcBorders>
                <w:vAlign w:val="center"/>
              </w:tcPr>
              <w:p w14:paraId="1FDCAA7B" w14:textId="77777777" w:rsidR="005E000F" w:rsidRDefault="00000000">
                <w:pPr>
                  <w:jc w:val="center"/>
                  <w:rPr>
                    <w:bCs/>
                    <w:color w:val="000000" w:themeColor="text1"/>
                  </w:rPr>
                </w:pPr>
                <w:r>
                  <w:rPr>
                    <w:rFonts w:hint="eastAsia"/>
                    <w:color w:val="000000" w:themeColor="text1"/>
                  </w:rPr>
                  <w:t>募集资金来源</w:t>
                </w:r>
              </w:p>
            </w:tc>
          </w:sdtContent>
        </w:sdt>
        <w:sdt>
          <w:sdtPr>
            <w:tag w:val="_PLD_ecf366bee20d4650acb64a3a8375f8df"/>
            <w:id w:val="565463434"/>
          </w:sdtPr>
          <w:sdtContent>
            <w:tc>
              <w:tcPr>
                <w:tcW w:w="1276" w:type="dxa"/>
                <w:tcBorders>
                  <w:top w:val="single" w:sz="4" w:space="0" w:color="auto"/>
                  <w:left w:val="single" w:sz="4" w:space="0" w:color="auto"/>
                  <w:bottom w:val="single" w:sz="4" w:space="0" w:color="auto"/>
                  <w:right w:val="single" w:sz="4" w:space="0" w:color="auto"/>
                </w:tcBorders>
                <w:vAlign w:val="center"/>
              </w:tcPr>
              <w:p w14:paraId="6F84F29E" w14:textId="77777777" w:rsidR="005E000F" w:rsidRDefault="00000000">
                <w:pPr>
                  <w:jc w:val="center"/>
                  <w:rPr>
                    <w:bCs/>
                    <w:color w:val="000000" w:themeColor="text1"/>
                  </w:rPr>
                </w:pPr>
                <w:r>
                  <w:rPr>
                    <w:rFonts w:hint="eastAsia"/>
                    <w:color w:val="000000" w:themeColor="text1"/>
                  </w:rPr>
                  <w:t>项目</w:t>
                </w:r>
                <w:r>
                  <w:rPr>
                    <w:color w:val="000000" w:themeColor="text1"/>
                  </w:rPr>
                  <w:t>名称</w:t>
                </w:r>
              </w:p>
            </w:tc>
          </w:sdtContent>
        </w:sdt>
        <w:tc>
          <w:tcPr>
            <w:tcW w:w="708" w:type="dxa"/>
            <w:tcBorders>
              <w:top w:val="single" w:sz="4" w:space="0" w:color="auto"/>
              <w:left w:val="single" w:sz="4" w:space="0" w:color="auto"/>
              <w:bottom w:val="single" w:sz="4" w:space="0" w:color="auto"/>
              <w:right w:val="single" w:sz="4" w:space="0" w:color="auto"/>
            </w:tcBorders>
            <w:vAlign w:val="center"/>
          </w:tcPr>
          <w:sdt>
            <w:sdtPr>
              <w:tag w:val="_PLD_f98cac7bcf78466c85ecb218f09ac39c"/>
              <w:id w:val="-1839764666"/>
            </w:sdtPr>
            <w:sdtContent>
              <w:p w14:paraId="5A5C919B" w14:textId="77777777" w:rsidR="005E000F" w:rsidRDefault="00000000">
                <w:pPr>
                  <w:jc w:val="center"/>
                  <w:rPr>
                    <w:bCs/>
                    <w:color w:val="000000" w:themeColor="text1"/>
                  </w:rPr>
                </w:pPr>
                <w:r>
                  <w:rPr>
                    <w:rFonts w:hint="eastAsia"/>
                    <w:color w:val="000000" w:themeColor="text1"/>
                  </w:rPr>
                  <w:t>项目性质</w:t>
                </w:r>
              </w:p>
            </w:sdtContent>
          </w:sdt>
        </w:tc>
        <w:tc>
          <w:tcPr>
            <w:tcW w:w="709" w:type="dxa"/>
            <w:tcBorders>
              <w:top w:val="single" w:sz="4" w:space="0" w:color="auto"/>
              <w:left w:val="single" w:sz="4" w:space="0" w:color="auto"/>
              <w:bottom w:val="single" w:sz="4" w:space="0" w:color="auto"/>
              <w:right w:val="single" w:sz="4" w:space="0" w:color="auto"/>
            </w:tcBorders>
            <w:vAlign w:val="center"/>
          </w:tcPr>
          <w:sdt>
            <w:sdtPr>
              <w:tag w:val="_PLD_e944350c269141a09d74509d4f1092a5"/>
              <w:id w:val="-989172697"/>
            </w:sdtPr>
            <w:sdtContent>
              <w:p w14:paraId="2C4ACB0A" w14:textId="77777777" w:rsidR="005E000F" w:rsidRDefault="00000000">
                <w:pPr>
                  <w:jc w:val="center"/>
                  <w:rPr>
                    <w:bCs/>
                    <w:color w:val="000000" w:themeColor="text1"/>
                  </w:rPr>
                </w:pPr>
                <w:r>
                  <w:rPr>
                    <w:rFonts w:hint="eastAsia"/>
                    <w:color w:val="000000" w:themeColor="text1"/>
                  </w:rPr>
                  <w:t>是否为招股书或者募集说明书中的承诺投资项目</w:t>
                </w:r>
              </w:p>
            </w:sdtContent>
          </w:sdt>
        </w:tc>
        <w:sdt>
          <w:sdtPr>
            <w:tag w:val="_PLD_3ee434ecffb542048a232e9d2b4d6b3b"/>
            <w:id w:val="2000769269"/>
          </w:sdtPr>
          <w:sdtContent>
            <w:tc>
              <w:tcPr>
                <w:tcW w:w="567" w:type="dxa"/>
                <w:tcBorders>
                  <w:top w:val="single" w:sz="4" w:space="0" w:color="auto"/>
                  <w:left w:val="single" w:sz="4" w:space="0" w:color="auto"/>
                  <w:bottom w:val="single" w:sz="4" w:space="0" w:color="auto"/>
                  <w:right w:val="single" w:sz="4" w:space="0" w:color="auto"/>
                </w:tcBorders>
                <w:vAlign w:val="center"/>
              </w:tcPr>
              <w:p w14:paraId="4C5C0F68" w14:textId="77777777" w:rsidR="005E000F" w:rsidRDefault="00000000">
                <w:pPr>
                  <w:jc w:val="center"/>
                  <w:rPr>
                    <w:bCs/>
                    <w:color w:val="000000" w:themeColor="text1"/>
                  </w:rPr>
                </w:pPr>
                <w:r>
                  <w:rPr>
                    <w:rFonts w:hint="eastAsia"/>
                    <w:color w:val="000000" w:themeColor="text1"/>
                  </w:rPr>
                  <w:t>是否涉及变更投向</w:t>
                </w:r>
              </w:p>
            </w:tc>
          </w:sdtContent>
        </w:sdt>
        <w:tc>
          <w:tcPr>
            <w:tcW w:w="1273" w:type="dxa"/>
            <w:tcBorders>
              <w:top w:val="single" w:sz="4" w:space="0" w:color="auto"/>
              <w:left w:val="nil"/>
              <w:bottom w:val="single" w:sz="4" w:space="0" w:color="auto"/>
              <w:right w:val="single" w:sz="4" w:space="0" w:color="auto"/>
            </w:tcBorders>
            <w:vAlign w:val="center"/>
          </w:tcPr>
          <w:sdt>
            <w:sdtPr>
              <w:tag w:val="_PLD_c79d561be6464936b713d5683391a4c8"/>
              <w:id w:val="191512124"/>
            </w:sdtPr>
            <w:sdtContent>
              <w:p w14:paraId="02C7DB48" w14:textId="77777777" w:rsidR="005E000F" w:rsidRDefault="00000000">
                <w:pPr>
                  <w:jc w:val="center"/>
                  <w:rPr>
                    <w:bCs/>
                    <w:color w:val="000000" w:themeColor="text1"/>
                  </w:rPr>
                </w:pPr>
                <w:r>
                  <w:rPr>
                    <w:rFonts w:hint="eastAsia"/>
                    <w:color w:val="000000" w:themeColor="text1"/>
                  </w:rPr>
                  <w:t>募集资金计划投资总额</w:t>
                </w:r>
                <w:r>
                  <w:rPr>
                    <w:color w:val="000000" w:themeColor="text1"/>
                  </w:rPr>
                  <w:t xml:space="preserve">  </w:t>
                </w:r>
                <w:r>
                  <w:rPr>
                    <w:rFonts w:hint="eastAsia"/>
                    <w:color w:val="000000" w:themeColor="text1"/>
                  </w:rPr>
                  <w:t>（</w:t>
                </w:r>
                <w:r>
                  <w:rPr>
                    <w:color w:val="000000" w:themeColor="text1"/>
                  </w:rPr>
                  <w:t>1</w:t>
                </w:r>
                <w:r>
                  <w:rPr>
                    <w:rFonts w:hint="eastAsia"/>
                    <w:color w:val="000000" w:themeColor="text1"/>
                  </w:rPr>
                  <w:t>）</w:t>
                </w:r>
              </w:p>
            </w:sdtContent>
          </w:sdt>
        </w:tc>
        <w:sdt>
          <w:sdtPr>
            <w:tag w:val="_PLD_8dc6ececb3c7439c897a8b394096aa2f"/>
            <w:id w:val="-585925014"/>
          </w:sdtPr>
          <w:sdtContent>
            <w:tc>
              <w:tcPr>
                <w:tcW w:w="1177" w:type="dxa"/>
                <w:tcBorders>
                  <w:top w:val="single" w:sz="4" w:space="0" w:color="auto"/>
                  <w:left w:val="single" w:sz="4" w:space="0" w:color="auto"/>
                  <w:bottom w:val="single" w:sz="4" w:space="0" w:color="auto"/>
                  <w:right w:val="single" w:sz="4" w:space="0" w:color="auto"/>
                </w:tcBorders>
                <w:vAlign w:val="center"/>
              </w:tcPr>
              <w:p w14:paraId="48340C1B" w14:textId="77777777" w:rsidR="005E000F" w:rsidRDefault="00000000">
                <w:pPr>
                  <w:jc w:val="center"/>
                  <w:rPr>
                    <w:bCs/>
                    <w:color w:val="000000" w:themeColor="text1"/>
                  </w:rPr>
                </w:pPr>
                <w:r>
                  <w:rPr>
                    <w:rFonts w:hint="eastAsia"/>
                    <w:color w:val="000000" w:themeColor="text1"/>
                  </w:rPr>
                  <w:t>本年投入金额</w:t>
                </w:r>
              </w:p>
            </w:tc>
          </w:sdtContent>
        </w:sdt>
        <w:sdt>
          <w:sdtPr>
            <w:tag w:val="_PLD_f16e87a767cc4d1f9a4b73758a01d1c7"/>
            <w:id w:val="186184876"/>
          </w:sdtPr>
          <w:sdtContent>
            <w:tc>
              <w:tcPr>
                <w:tcW w:w="1276" w:type="dxa"/>
                <w:tcBorders>
                  <w:top w:val="single" w:sz="4" w:space="0" w:color="auto"/>
                  <w:left w:val="single" w:sz="4" w:space="0" w:color="auto"/>
                  <w:bottom w:val="single" w:sz="4" w:space="0" w:color="auto"/>
                  <w:right w:val="single" w:sz="4" w:space="0" w:color="auto"/>
                </w:tcBorders>
                <w:vAlign w:val="center"/>
              </w:tcPr>
              <w:p w14:paraId="0FC1556F" w14:textId="77777777" w:rsidR="005E000F" w:rsidRDefault="00000000">
                <w:pPr>
                  <w:jc w:val="center"/>
                  <w:rPr>
                    <w:bCs/>
                    <w:color w:val="000000" w:themeColor="text1"/>
                  </w:rPr>
                </w:pPr>
                <w:r>
                  <w:rPr>
                    <w:rFonts w:hint="eastAsia"/>
                    <w:color w:val="000000" w:themeColor="text1"/>
                  </w:rPr>
                  <w:t>截至</w:t>
                </w:r>
                <w:r>
                  <w:rPr>
                    <w:color w:val="000000" w:themeColor="text1"/>
                  </w:rPr>
                  <w:t>报告期末</w:t>
                </w:r>
                <w:r>
                  <w:rPr>
                    <w:rFonts w:hint="eastAsia"/>
                    <w:color w:val="000000" w:themeColor="text1"/>
                  </w:rPr>
                  <w:t>累计投入募集资金总额（</w:t>
                </w:r>
                <w:r>
                  <w:rPr>
                    <w:rFonts w:hint="eastAsia"/>
                    <w:color w:val="000000" w:themeColor="text1"/>
                  </w:rPr>
                  <w:t>2</w:t>
                </w:r>
                <w:r>
                  <w:rPr>
                    <w:rFonts w:hint="eastAsia"/>
                    <w:color w:val="000000" w:themeColor="text1"/>
                  </w:rPr>
                  <w:t>）</w:t>
                </w:r>
              </w:p>
            </w:tc>
          </w:sdtContent>
        </w:sdt>
        <w:sdt>
          <w:sdtPr>
            <w:tag w:val="_PLD_b986d7b889874c9dbd5510b848cca604"/>
            <w:id w:val="-736476571"/>
          </w:sdtPr>
          <w:sdtContent>
            <w:tc>
              <w:tcPr>
                <w:tcW w:w="850" w:type="dxa"/>
                <w:tcBorders>
                  <w:top w:val="single" w:sz="4" w:space="0" w:color="auto"/>
                  <w:left w:val="nil"/>
                  <w:bottom w:val="single" w:sz="4" w:space="0" w:color="auto"/>
                  <w:right w:val="single" w:sz="4" w:space="0" w:color="auto"/>
                </w:tcBorders>
                <w:vAlign w:val="center"/>
              </w:tcPr>
              <w:p w14:paraId="06F743D7" w14:textId="77777777" w:rsidR="005E000F" w:rsidRDefault="00000000">
                <w:pPr>
                  <w:jc w:val="center"/>
                  <w:rPr>
                    <w:bCs/>
                    <w:color w:val="000000" w:themeColor="text1"/>
                  </w:rPr>
                </w:pPr>
                <w:r>
                  <w:rPr>
                    <w:rFonts w:hint="eastAsia"/>
                    <w:color w:val="000000" w:themeColor="text1"/>
                  </w:rPr>
                  <w:t>截至报告期末累计投入进度（</w:t>
                </w:r>
                <w:r>
                  <w:rPr>
                    <w:rFonts w:hint="eastAsia"/>
                    <w:color w:val="000000" w:themeColor="text1"/>
                  </w:rPr>
                  <w:t>%</w:t>
                </w:r>
                <w:r>
                  <w:rPr>
                    <w:rFonts w:hint="eastAsia"/>
                    <w:color w:val="000000" w:themeColor="text1"/>
                  </w:rPr>
                  <w:t>）</w:t>
                </w:r>
              </w:p>
              <w:p w14:paraId="56F251A4" w14:textId="77777777" w:rsidR="005E000F" w:rsidRDefault="00000000">
                <w:pPr>
                  <w:jc w:val="center"/>
                  <w:rPr>
                    <w:bCs/>
                    <w:color w:val="000000" w:themeColor="text1"/>
                  </w:rPr>
                </w:pPr>
                <w:r>
                  <w:rPr>
                    <w:rFonts w:hint="eastAsia"/>
                    <w:color w:val="000000" w:themeColor="text1"/>
                  </w:rPr>
                  <w:t>（</w:t>
                </w:r>
                <w:r>
                  <w:rPr>
                    <w:rFonts w:hint="eastAsia"/>
                    <w:color w:val="000000" w:themeColor="text1"/>
                  </w:rPr>
                  <w:t>3</w:t>
                </w:r>
                <w:r>
                  <w:rPr>
                    <w:rFonts w:hint="eastAsia"/>
                    <w:color w:val="000000" w:themeColor="text1"/>
                  </w:rPr>
                  <w:t>）＝（</w:t>
                </w:r>
                <w:r>
                  <w:rPr>
                    <w:rFonts w:hint="eastAsia"/>
                    <w:color w:val="000000" w:themeColor="text1"/>
                  </w:rPr>
                  <w:t>2</w:t>
                </w:r>
                <w:r>
                  <w:rPr>
                    <w:rFonts w:hint="eastAsia"/>
                    <w:color w:val="000000" w:themeColor="text1"/>
                  </w:rPr>
                  <w:t>）</w:t>
                </w:r>
                <w:r>
                  <w:rPr>
                    <w:rFonts w:hint="eastAsia"/>
                    <w:color w:val="000000" w:themeColor="text1"/>
                  </w:rPr>
                  <w:t>/</w:t>
                </w:r>
                <w:r>
                  <w:rPr>
                    <w:rFonts w:hint="eastAsia"/>
                    <w:color w:val="000000" w:themeColor="text1"/>
                  </w:rPr>
                  <w:t>（</w:t>
                </w:r>
                <w:r>
                  <w:rPr>
                    <w:rFonts w:hint="eastAsia"/>
                    <w:color w:val="000000" w:themeColor="text1"/>
                  </w:rPr>
                  <w:t>1</w:t>
                </w:r>
                <w:r>
                  <w:rPr>
                    <w:rFonts w:hint="eastAsia"/>
                    <w:color w:val="000000" w:themeColor="text1"/>
                  </w:rPr>
                  <w:t>）</w:t>
                </w:r>
              </w:p>
            </w:tc>
          </w:sdtContent>
        </w:sdt>
        <w:sdt>
          <w:sdtPr>
            <w:tag w:val="_PLD_39fcb47f6a914e0ab943c799f14760aa"/>
            <w:id w:val="-2112961911"/>
          </w:sdtPr>
          <w:sdtContent>
            <w:tc>
              <w:tcPr>
                <w:tcW w:w="851" w:type="dxa"/>
                <w:tcBorders>
                  <w:top w:val="single" w:sz="4" w:space="0" w:color="auto"/>
                  <w:left w:val="nil"/>
                  <w:bottom w:val="single" w:sz="4" w:space="0" w:color="auto"/>
                  <w:right w:val="single" w:sz="4" w:space="0" w:color="auto"/>
                </w:tcBorders>
                <w:vAlign w:val="center"/>
              </w:tcPr>
              <w:p w14:paraId="2932E5CF" w14:textId="77777777" w:rsidR="005E000F" w:rsidRDefault="00000000">
                <w:pPr>
                  <w:jc w:val="center"/>
                  <w:rPr>
                    <w:bCs/>
                    <w:color w:val="000000" w:themeColor="text1"/>
                  </w:rPr>
                </w:pPr>
                <w:r>
                  <w:rPr>
                    <w:rFonts w:hint="eastAsia"/>
                    <w:color w:val="000000" w:themeColor="text1"/>
                  </w:rPr>
                  <w:t>项目达到预定可使用状态日期</w:t>
                </w:r>
              </w:p>
            </w:tc>
          </w:sdtContent>
        </w:sdt>
        <w:sdt>
          <w:sdtPr>
            <w:tag w:val="_PLD_9381d6c6fe2941a49b34cec3bd1be56f"/>
            <w:id w:val="1631280838"/>
          </w:sdtPr>
          <w:sdtContent>
            <w:tc>
              <w:tcPr>
                <w:tcW w:w="567" w:type="dxa"/>
                <w:tcBorders>
                  <w:top w:val="single" w:sz="4" w:space="0" w:color="auto"/>
                  <w:left w:val="nil"/>
                  <w:bottom w:val="single" w:sz="4" w:space="0" w:color="auto"/>
                  <w:right w:val="single" w:sz="4" w:space="0" w:color="auto"/>
                </w:tcBorders>
                <w:vAlign w:val="center"/>
              </w:tcPr>
              <w:p w14:paraId="20A6F8E3" w14:textId="77777777" w:rsidR="005E000F" w:rsidRDefault="00000000">
                <w:pPr>
                  <w:jc w:val="center"/>
                  <w:rPr>
                    <w:bCs/>
                    <w:color w:val="000000" w:themeColor="text1"/>
                  </w:rPr>
                </w:pPr>
                <w:r>
                  <w:rPr>
                    <w:rFonts w:hint="eastAsia"/>
                    <w:color w:val="000000" w:themeColor="text1"/>
                  </w:rPr>
                  <w:t>是否</w:t>
                </w:r>
                <w:proofErr w:type="gramStart"/>
                <w:r>
                  <w:rPr>
                    <w:rFonts w:hint="eastAsia"/>
                    <w:color w:val="000000" w:themeColor="text1"/>
                  </w:rPr>
                  <w:t>已结项</w:t>
                </w:r>
                <w:proofErr w:type="gramEnd"/>
              </w:p>
            </w:tc>
          </w:sdtContent>
        </w:sdt>
        <w:sdt>
          <w:sdtPr>
            <w:tag w:val="_PLD_d4208a32e2114142a41d010c92fb7a18"/>
            <w:id w:val="924227834"/>
          </w:sdtPr>
          <w:sdtContent>
            <w:tc>
              <w:tcPr>
                <w:tcW w:w="708" w:type="dxa"/>
                <w:tcBorders>
                  <w:top w:val="single" w:sz="4" w:space="0" w:color="auto"/>
                  <w:left w:val="nil"/>
                  <w:bottom w:val="single" w:sz="4" w:space="0" w:color="auto"/>
                  <w:right w:val="single" w:sz="4" w:space="0" w:color="auto"/>
                </w:tcBorders>
                <w:vAlign w:val="center"/>
              </w:tcPr>
              <w:p w14:paraId="40A6E944" w14:textId="77777777" w:rsidR="005E000F" w:rsidRDefault="00000000">
                <w:pPr>
                  <w:jc w:val="center"/>
                  <w:rPr>
                    <w:bCs/>
                    <w:color w:val="000000" w:themeColor="text1"/>
                  </w:rPr>
                </w:pPr>
                <w:r>
                  <w:rPr>
                    <w:rFonts w:hint="eastAsia"/>
                    <w:color w:val="000000" w:themeColor="text1"/>
                  </w:rPr>
                  <w:t>投入进度是否符合计划的进度</w:t>
                </w:r>
              </w:p>
            </w:tc>
          </w:sdtContent>
        </w:sdt>
        <w:sdt>
          <w:sdtPr>
            <w:tag w:val="_PLD_5e06c0a807df4cb9b107804b798d4796"/>
            <w:id w:val="113172230"/>
          </w:sdtPr>
          <w:sdtContent>
            <w:tc>
              <w:tcPr>
                <w:tcW w:w="666" w:type="dxa"/>
                <w:tcBorders>
                  <w:top w:val="single" w:sz="4" w:space="0" w:color="auto"/>
                  <w:left w:val="nil"/>
                  <w:bottom w:val="single" w:sz="4" w:space="0" w:color="auto"/>
                  <w:right w:val="single" w:sz="4" w:space="0" w:color="auto"/>
                </w:tcBorders>
                <w:vAlign w:val="center"/>
              </w:tcPr>
              <w:p w14:paraId="5E4FB682" w14:textId="77777777" w:rsidR="005E000F" w:rsidRDefault="00000000">
                <w:pPr>
                  <w:jc w:val="center"/>
                  <w:rPr>
                    <w:bCs/>
                    <w:color w:val="000000" w:themeColor="text1"/>
                  </w:rPr>
                </w:pPr>
                <w:r>
                  <w:rPr>
                    <w:rFonts w:hint="eastAsia"/>
                    <w:color w:val="000000" w:themeColor="text1"/>
                  </w:rPr>
                  <w:t>投入进度未达计划的具体原因</w:t>
                </w:r>
              </w:p>
            </w:tc>
          </w:sdtContent>
        </w:sdt>
        <w:sdt>
          <w:sdtPr>
            <w:tag w:val="_PLD_42c857d45f4a4ca4bcae54e05ead4c08"/>
            <w:id w:val="1311754327"/>
          </w:sdtPr>
          <w:sdtContent>
            <w:tc>
              <w:tcPr>
                <w:tcW w:w="894" w:type="dxa"/>
                <w:tcBorders>
                  <w:top w:val="single" w:sz="4" w:space="0" w:color="auto"/>
                  <w:left w:val="single" w:sz="4" w:space="0" w:color="auto"/>
                  <w:bottom w:val="single" w:sz="4" w:space="0" w:color="auto"/>
                  <w:right w:val="single" w:sz="4" w:space="0" w:color="auto"/>
                </w:tcBorders>
                <w:vAlign w:val="center"/>
              </w:tcPr>
              <w:p w14:paraId="33198D24" w14:textId="77777777" w:rsidR="005E000F" w:rsidRDefault="00000000">
                <w:pPr>
                  <w:jc w:val="center"/>
                  <w:rPr>
                    <w:bCs/>
                    <w:color w:val="000000" w:themeColor="text1"/>
                  </w:rPr>
                </w:pPr>
                <w:r>
                  <w:rPr>
                    <w:rFonts w:hint="eastAsia"/>
                    <w:color w:val="000000" w:themeColor="text1"/>
                  </w:rPr>
                  <w:t>本年实现的效益</w:t>
                </w:r>
              </w:p>
            </w:tc>
          </w:sdtContent>
        </w:sdt>
        <w:sdt>
          <w:sdtPr>
            <w:tag w:val="_PLD_025d24d144c44f1ba8da65ef3c2fb31a"/>
            <w:id w:val="389927040"/>
          </w:sdtPr>
          <w:sdtContent>
            <w:tc>
              <w:tcPr>
                <w:tcW w:w="762" w:type="dxa"/>
                <w:tcBorders>
                  <w:top w:val="single" w:sz="4" w:space="0" w:color="auto"/>
                  <w:left w:val="single" w:sz="4" w:space="0" w:color="auto"/>
                  <w:bottom w:val="single" w:sz="4" w:space="0" w:color="auto"/>
                  <w:right w:val="single" w:sz="4" w:space="0" w:color="auto"/>
                </w:tcBorders>
                <w:vAlign w:val="center"/>
              </w:tcPr>
              <w:p w14:paraId="764877D7" w14:textId="77777777" w:rsidR="005E000F" w:rsidRDefault="00000000">
                <w:pPr>
                  <w:jc w:val="center"/>
                  <w:rPr>
                    <w:bCs/>
                    <w:color w:val="000000" w:themeColor="text1"/>
                  </w:rPr>
                </w:pPr>
                <w:r>
                  <w:rPr>
                    <w:rFonts w:hint="eastAsia"/>
                    <w:color w:val="000000" w:themeColor="text1"/>
                  </w:rPr>
                  <w:t>本项目已实现的效益或者研发成果</w:t>
                </w:r>
              </w:p>
            </w:tc>
          </w:sdtContent>
        </w:sdt>
        <w:sdt>
          <w:sdtPr>
            <w:tag w:val="_PLD_9a999714f8c54bac844f2b200cd4ffa1"/>
            <w:id w:val="670610289"/>
          </w:sdtPr>
          <w:sdtContent>
            <w:tc>
              <w:tcPr>
                <w:tcW w:w="845" w:type="dxa"/>
                <w:tcBorders>
                  <w:top w:val="single" w:sz="4" w:space="0" w:color="auto"/>
                  <w:left w:val="nil"/>
                  <w:bottom w:val="single" w:sz="4" w:space="0" w:color="auto"/>
                  <w:right w:val="single" w:sz="4" w:space="0" w:color="auto"/>
                </w:tcBorders>
                <w:vAlign w:val="center"/>
              </w:tcPr>
              <w:p w14:paraId="552A642C" w14:textId="77777777" w:rsidR="005E000F" w:rsidRDefault="00000000">
                <w:pPr>
                  <w:jc w:val="center"/>
                  <w:rPr>
                    <w:bCs/>
                    <w:color w:val="000000" w:themeColor="text1"/>
                  </w:rPr>
                </w:pPr>
                <w:r>
                  <w:rPr>
                    <w:rFonts w:hint="eastAsia"/>
                    <w:color w:val="000000" w:themeColor="text1"/>
                  </w:rPr>
                  <w:t>项目可行性是否发生重大变化，</w:t>
                </w:r>
                <w:r>
                  <w:rPr>
                    <w:color w:val="000000" w:themeColor="text1"/>
                  </w:rPr>
                  <w:t>如是，请说明具体情况</w:t>
                </w:r>
              </w:p>
            </w:tc>
          </w:sdtContent>
        </w:sdt>
        <w:sdt>
          <w:sdtPr>
            <w:tag w:val="_PLD_f97802568f6e40899f68486ce6661a46"/>
            <w:id w:val="1594439932"/>
          </w:sdtPr>
          <w:sdtContent>
            <w:tc>
              <w:tcPr>
                <w:tcW w:w="1075" w:type="dxa"/>
                <w:tcBorders>
                  <w:top w:val="single" w:sz="4" w:space="0" w:color="auto"/>
                  <w:left w:val="nil"/>
                  <w:bottom w:val="single" w:sz="4" w:space="0" w:color="auto"/>
                  <w:right w:val="single" w:sz="4" w:space="0" w:color="auto"/>
                </w:tcBorders>
                <w:vAlign w:val="center"/>
              </w:tcPr>
              <w:p w14:paraId="5651C992" w14:textId="77777777" w:rsidR="005E000F" w:rsidRDefault="00000000">
                <w:pPr>
                  <w:jc w:val="center"/>
                  <w:rPr>
                    <w:bCs/>
                    <w:color w:val="000000" w:themeColor="text1"/>
                  </w:rPr>
                </w:pPr>
                <w:r>
                  <w:rPr>
                    <w:rFonts w:hint="eastAsia"/>
                    <w:color w:val="000000" w:themeColor="text1"/>
                  </w:rPr>
                  <w:t>节余金额</w:t>
                </w:r>
              </w:p>
            </w:tc>
          </w:sdtContent>
        </w:sdt>
      </w:tr>
      <w:tr w:rsidR="005E000F" w14:paraId="7C480E5A" w14:textId="77777777">
        <w:trPr>
          <w:trHeight w:val="160"/>
          <w:jc w:val="center"/>
        </w:trPr>
        <w:bookmarkStart w:id="176" w:name="_Hlk169882430" w:displacedByCustomXml="next"/>
        <w:sdt>
          <w:sdtPr>
            <w:rPr>
              <w:bCs/>
              <w:color w:val="000000" w:themeColor="text1"/>
              <w:sz w:val="18"/>
              <w:szCs w:val="18"/>
            </w:rPr>
            <w:alias w:val="募集资金使用进展明细_募集资金来源"/>
            <w:tag w:val="_GBC_951af72cf70147edb2fff54b7abd30b3"/>
            <w:id w:val="1964147526"/>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670" w:type="dxa"/>
                <w:tcBorders>
                  <w:top w:val="single" w:sz="4" w:space="0" w:color="auto"/>
                  <w:left w:val="single" w:sz="4" w:space="0" w:color="auto"/>
                  <w:bottom w:val="single" w:sz="4" w:space="0" w:color="auto"/>
                  <w:right w:val="single" w:sz="4" w:space="0" w:color="auto"/>
                </w:tcBorders>
                <w:vAlign w:val="center"/>
              </w:tcPr>
              <w:p w14:paraId="3C435513" w14:textId="77777777" w:rsidR="005E000F" w:rsidRDefault="00000000">
                <w:pPr>
                  <w:rPr>
                    <w:bCs/>
                    <w:color w:val="000000" w:themeColor="text1"/>
                    <w:sz w:val="18"/>
                    <w:szCs w:val="18"/>
                  </w:rPr>
                </w:pPr>
                <w:r>
                  <w:rPr>
                    <w:bCs/>
                    <w:color w:val="000000" w:themeColor="text1"/>
                    <w:sz w:val="18"/>
                    <w:szCs w:val="18"/>
                  </w:rPr>
                  <w:t>发行可转换债券</w:t>
                </w:r>
              </w:p>
            </w:tc>
          </w:sdtContent>
        </w:sdt>
        <w:tc>
          <w:tcPr>
            <w:tcW w:w="1276" w:type="dxa"/>
            <w:tcBorders>
              <w:top w:val="single" w:sz="4" w:space="0" w:color="auto"/>
              <w:left w:val="single" w:sz="4" w:space="0" w:color="auto"/>
              <w:bottom w:val="single" w:sz="4" w:space="0" w:color="auto"/>
              <w:right w:val="single" w:sz="4" w:space="0" w:color="auto"/>
            </w:tcBorders>
            <w:vAlign w:val="center"/>
          </w:tcPr>
          <w:p w14:paraId="7E239ADB" w14:textId="77777777" w:rsidR="005E000F" w:rsidRDefault="00000000">
            <w:pPr>
              <w:rPr>
                <w:bCs/>
                <w:sz w:val="18"/>
                <w:szCs w:val="18"/>
              </w:rPr>
            </w:pPr>
            <w:r>
              <w:rPr>
                <w:sz w:val="18"/>
                <w:szCs w:val="18"/>
              </w:rPr>
              <w:t>收购中国铁路太原</w:t>
            </w:r>
            <w:proofErr w:type="gramStart"/>
            <w:r>
              <w:rPr>
                <w:sz w:val="18"/>
                <w:szCs w:val="18"/>
              </w:rPr>
              <w:t>局集团</w:t>
            </w:r>
            <w:proofErr w:type="gramEnd"/>
            <w:r>
              <w:rPr>
                <w:sz w:val="18"/>
                <w:szCs w:val="18"/>
              </w:rPr>
              <w:t>有限公司国有授权经营土地使用</w:t>
            </w:r>
            <w:r>
              <w:rPr>
                <w:sz w:val="18"/>
                <w:szCs w:val="18"/>
              </w:rPr>
              <w:lastRenderedPageBreak/>
              <w:t>权</w:t>
            </w:r>
          </w:p>
        </w:tc>
        <w:sdt>
          <w:sdtPr>
            <w:rPr>
              <w:bCs/>
              <w:color w:val="000000" w:themeColor="text1"/>
              <w:sz w:val="18"/>
              <w:szCs w:val="18"/>
            </w:rPr>
            <w:alias w:val="募集资金使用进展明细_项目性质"/>
            <w:tag w:val="_GBC_7aae89f2426148daa6b4430bf5dcfc93"/>
            <w:id w:val="-2081206083"/>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708" w:type="dxa"/>
                <w:tcBorders>
                  <w:top w:val="single" w:sz="4" w:space="0" w:color="auto"/>
                  <w:left w:val="single" w:sz="4" w:space="0" w:color="auto"/>
                  <w:bottom w:val="single" w:sz="4" w:space="0" w:color="auto"/>
                  <w:right w:val="single" w:sz="4" w:space="0" w:color="auto"/>
                </w:tcBorders>
                <w:vAlign w:val="center"/>
              </w:tcPr>
              <w:p w14:paraId="36F8C569" w14:textId="77777777" w:rsidR="005E000F" w:rsidRDefault="00000000">
                <w:pPr>
                  <w:rPr>
                    <w:bCs/>
                    <w:color w:val="000000" w:themeColor="text1"/>
                    <w:sz w:val="18"/>
                    <w:szCs w:val="18"/>
                  </w:rPr>
                </w:pPr>
                <w:r>
                  <w:rPr>
                    <w:bCs/>
                    <w:color w:val="000000" w:themeColor="text1"/>
                    <w:sz w:val="18"/>
                    <w:szCs w:val="18"/>
                  </w:rPr>
                  <w:t>其他</w:t>
                </w:r>
              </w:p>
            </w:tc>
          </w:sdtContent>
        </w:sdt>
        <w:sdt>
          <w:sdtPr>
            <w:rPr>
              <w:bCs/>
              <w:color w:val="000000" w:themeColor="text1"/>
              <w:sz w:val="18"/>
              <w:szCs w:val="18"/>
            </w:rPr>
            <w:alias w:val="募集资金使用进展明细_是否为招股书或者募集说明书中的承诺投资项目"/>
            <w:tag w:val="_GBC_cc96b791a1c14daba3e65ec5d8b75d5a"/>
            <w:id w:val="-1133793334"/>
            <w:comboBox>
              <w:listItem w:displayText="是" w:value="是"/>
              <w:listItem w:displayText="否" w:value="否"/>
            </w:comboBox>
          </w:sdtPr>
          <w:sdtContent>
            <w:tc>
              <w:tcPr>
                <w:tcW w:w="709" w:type="dxa"/>
                <w:tcBorders>
                  <w:top w:val="single" w:sz="4" w:space="0" w:color="auto"/>
                  <w:left w:val="single" w:sz="4" w:space="0" w:color="auto"/>
                  <w:bottom w:val="single" w:sz="4" w:space="0" w:color="auto"/>
                  <w:right w:val="single" w:sz="4" w:space="0" w:color="auto"/>
                </w:tcBorders>
                <w:vAlign w:val="center"/>
              </w:tcPr>
              <w:p w14:paraId="00BA1EBF" w14:textId="77777777" w:rsidR="005E000F" w:rsidRDefault="00000000">
                <w:pPr>
                  <w:rPr>
                    <w:bCs/>
                    <w:color w:val="000000" w:themeColor="text1"/>
                    <w:sz w:val="18"/>
                    <w:szCs w:val="18"/>
                  </w:rPr>
                </w:pPr>
                <w:r>
                  <w:rPr>
                    <w:bCs/>
                    <w:color w:val="000000" w:themeColor="text1"/>
                    <w:sz w:val="18"/>
                    <w:szCs w:val="18"/>
                  </w:rPr>
                  <w:t>是</w:t>
                </w:r>
              </w:p>
            </w:tc>
          </w:sdtContent>
        </w:sdt>
        <w:sdt>
          <w:sdtPr>
            <w:rPr>
              <w:bCs/>
              <w:color w:val="000000" w:themeColor="text1"/>
              <w:sz w:val="18"/>
              <w:szCs w:val="18"/>
            </w:rPr>
            <w:alias w:val="募集资金使用进展明细_是否涉及变更投向"/>
            <w:tag w:val="_GBC_9346d63d6a6c4ec8b0c5165d08fa2bb9"/>
            <w:id w:val="1165832774"/>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Content>
            <w:tc>
              <w:tcPr>
                <w:tcW w:w="567" w:type="dxa"/>
                <w:tcBorders>
                  <w:top w:val="single" w:sz="4" w:space="0" w:color="auto"/>
                  <w:left w:val="single" w:sz="4" w:space="0" w:color="auto"/>
                  <w:bottom w:val="single" w:sz="4" w:space="0" w:color="auto"/>
                  <w:right w:val="single" w:sz="4" w:space="0" w:color="auto"/>
                </w:tcBorders>
                <w:vAlign w:val="center"/>
              </w:tcPr>
              <w:p w14:paraId="7F3A3171" w14:textId="77777777" w:rsidR="005E000F" w:rsidRDefault="00000000">
                <w:pPr>
                  <w:rPr>
                    <w:bCs/>
                    <w:color w:val="000000" w:themeColor="text1"/>
                    <w:sz w:val="18"/>
                    <w:szCs w:val="18"/>
                  </w:rPr>
                </w:pPr>
                <w:r>
                  <w:rPr>
                    <w:bCs/>
                    <w:color w:val="000000" w:themeColor="text1"/>
                    <w:sz w:val="18"/>
                    <w:szCs w:val="18"/>
                  </w:rPr>
                  <w:t>否</w:t>
                </w:r>
              </w:p>
            </w:tc>
          </w:sdtContent>
        </w:sdt>
        <w:tc>
          <w:tcPr>
            <w:tcW w:w="1273" w:type="dxa"/>
            <w:tcBorders>
              <w:top w:val="single" w:sz="4" w:space="0" w:color="auto"/>
              <w:left w:val="nil"/>
              <w:bottom w:val="single" w:sz="4" w:space="0" w:color="auto"/>
              <w:right w:val="single" w:sz="4" w:space="0" w:color="auto"/>
            </w:tcBorders>
            <w:vAlign w:val="center"/>
          </w:tcPr>
          <w:p w14:paraId="7687B4C2" w14:textId="77777777" w:rsidR="005E000F" w:rsidRDefault="00000000">
            <w:pPr>
              <w:jc w:val="right"/>
              <w:rPr>
                <w:bCs/>
                <w:sz w:val="18"/>
                <w:szCs w:val="18"/>
              </w:rPr>
            </w:pPr>
            <w:r>
              <w:rPr>
                <w:sz w:val="18"/>
                <w:szCs w:val="18"/>
              </w:rPr>
              <w:t>2,830,901.53</w:t>
            </w:r>
          </w:p>
        </w:tc>
        <w:tc>
          <w:tcPr>
            <w:tcW w:w="1177" w:type="dxa"/>
            <w:tcBorders>
              <w:top w:val="single" w:sz="4" w:space="0" w:color="auto"/>
              <w:left w:val="single" w:sz="4" w:space="0" w:color="auto"/>
              <w:bottom w:val="single" w:sz="4" w:space="0" w:color="auto"/>
              <w:right w:val="single" w:sz="4" w:space="0" w:color="auto"/>
            </w:tcBorders>
            <w:vAlign w:val="center"/>
          </w:tcPr>
          <w:p w14:paraId="4F2E73D5" w14:textId="77777777" w:rsidR="005E000F" w:rsidRDefault="00000000">
            <w:pPr>
              <w:jc w:val="right"/>
              <w:rPr>
                <w:bCs/>
                <w:sz w:val="18"/>
                <w:szCs w:val="18"/>
              </w:rPr>
            </w:pPr>
            <w:r>
              <w:rPr>
                <w:sz w:val="18"/>
                <w:szCs w:val="18"/>
              </w:rPr>
              <w:t>2,569,993.98</w:t>
            </w:r>
          </w:p>
        </w:tc>
        <w:tc>
          <w:tcPr>
            <w:tcW w:w="1276" w:type="dxa"/>
            <w:tcBorders>
              <w:top w:val="single" w:sz="4" w:space="0" w:color="auto"/>
              <w:left w:val="single" w:sz="4" w:space="0" w:color="auto"/>
              <w:bottom w:val="single" w:sz="4" w:space="0" w:color="auto"/>
              <w:right w:val="single" w:sz="4" w:space="0" w:color="auto"/>
            </w:tcBorders>
            <w:vAlign w:val="center"/>
          </w:tcPr>
          <w:p w14:paraId="441E87DF" w14:textId="77777777" w:rsidR="005E000F" w:rsidRDefault="00000000">
            <w:pPr>
              <w:jc w:val="right"/>
              <w:rPr>
                <w:bCs/>
                <w:sz w:val="18"/>
                <w:szCs w:val="18"/>
              </w:rPr>
            </w:pPr>
            <w:r>
              <w:rPr>
                <w:bCs/>
                <w:sz w:val="18"/>
                <w:szCs w:val="18"/>
              </w:rPr>
              <w:t>2,569,993.98</w:t>
            </w:r>
          </w:p>
        </w:tc>
        <w:tc>
          <w:tcPr>
            <w:tcW w:w="850" w:type="dxa"/>
            <w:tcBorders>
              <w:top w:val="single" w:sz="4" w:space="0" w:color="auto"/>
              <w:left w:val="nil"/>
              <w:bottom w:val="single" w:sz="4" w:space="0" w:color="auto"/>
              <w:right w:val="single" w:sz="4" w:space="0" w:color="auto"/>
            </w:tcBorders>
            <w:vAlign w:val="center"/>
          </w:tcPr>
          <w:p w14:paraId="624F5984" w14:textId="77777777" w:rsidR="005E000F" w:rsidRDefault="00000000">
            <w:pPr>
              <w:jc w:val="right"/>
              <w:rPr>
                <w:bCs/>
                <w:sz w:val="18"/>
                <w:szCs w:val="18"/>
              </w:rPr>
            </w:pPr>
            <w:r>
              <w:rPr>
                <w:rFonts w:hint="eastAsia"/>
                <w:bCs/>
                <w:sz w:val="18"/>
                <w:szCs w:val="18"/>
              </w:rPr>
              <w:t>90.78</w:t>
            </w:r>
          </w:p>
        </w:tc>
        <w:tc>
          <w:tcPr>
            <w:tcW w:w="851" w:type="dxa"/>
            <w:tcBorders>
              <w:top w:val="single" w:sz="4" w:space="0" w:color="auto"/>
              <w:left w:val="nil"/>
              <w:bottom w:val="single" w:sz="4" w:space="0" w:color="auto"/>
              <w:right w:val="single" w:sz="4" w:space="0" w:color="auto"/>
            </w:tcBorders>
            <w:vAlign w:val="center"/>
          </w:tcPr>
          <w:p w14:paraId="1929FF30" w14:textId="77777777" w:rsidR="005E000F" w:rsidRDefault="00000000">
            <w:pPr>
              <w:rPr>
                <w:bCs/>
                <w:sz w:val="18"/>
                <w:szCs w:val="18"/>
              </w:rPr>
            </w:pPr>
            <w:r>
              <w:rPr>
                <w:rFonts w:hint="eastAsia"/>
                <w:bCs/>
                <w:sz w:val="18"/>
                <w:szCs w:val="18"/>
              </w:rPr>
              <w:t>不适用</w:t>
            </w:r>
          </w:p>
        </w:tc>
        <w:sdt>
          <w:sdtPr>
            <w:rPr>
              <w:bCs/>
              <w:color w:val="000000" w:themeColor="text1"/>
              <w:sz w:val="18"/>
              <w:szCs w:val="18"/>
            </w:rPr>
            <w:alias w:val="募集资金使用进展明细_是否已结项"/>
            <w:tag w:val="_GBC_12a69f39e8ab43aca710914c5ba0dfac"/>
            <w:id w:val="-200638752"/>
            <w:comboBox>
              <w:listItem w:displayText="是" w:value="是"/>
              <w:listItem w:displayText="否" w:value="否"/>
            </w:comboBox>
          </w:sdtPr>
          <w:sdtContent>
            <w:tc>
              <w:tcPr>
                <w:tcW w:w="567" w:type="dxa"/>
                <w:tcBorders>
                  <w:top w:val="single" w:sz="4" w:space="0" w:color="auto"/>
                  <w:left w:val="nil"/>
                  <w:bottom w:val="single" w:sz="4" w:space="0" w:color="auto"/>
                  <w:right w:val="single" w:sz="4" w:space="0" w:color="auto"/>
                </w:tcBorders>
                <w:vAlign w:val="center"/>
              </w:tcPr>
              <w:p w14:paraId="7B2F8CEE" w14:textId="77777777" w:rsidR="005E000F" w:rsidRDefault="00000000">
                <w:pPr>
                  <w:rPr>
                    <w:bCs/>
                    <w:color w:val="000000" w:themeColor="text1"/>
                    <w:sz w:val="18"/>
                    <w:szCs w:val="18"/>
                  </w:rPr>
                </w:pPr>
                <w:r>
                  <w:rPr>
                    <w:bCs/>
                    <w:color w:val="000000" w:themeColor="text1"/>
                    <w:sz w:val="18"/>
                    <w:szCs w:val="18"/>
                  </w:rPr>
                  <w:t>是</w:t>
                </w:r>
              </w:p>
            </w:tc>
          </w:sdtContent>
        </w:sdt>
        <w:sdt>
          <w:sdtPr>
            <w:rPr>
              <w:bCs/>
              <w:color w:val="000000" w:themeColor="text1"/>
              <w:sz w:val="18"/>
              <w:szCs w:val="18"/>
            </w:rPr>
            <w:alias w:val="募集资金使用进展明细_投入进度是否符合计划的进度"/>
            <w:tag w:val="_GBC_4f4276afb0f242da9b0a07c877927465"/>
            <w:id w:val="-1200850932"/>
            <w:comboBox>
              <w:listItem w:displayText="是" w:value="是"/>
              <w:listItem w:displayText="否" w:value="否"/>
            </w:comboBox>
          </w:sdtPr>
          <w:sdtContent>
            <w:tc>
              <w:tcPr>
                <w:tcW w:w="708" w:type="dxa"/>
                <w:tcBorders>
                  <w:top w:val="single" w:sz="4" w:space="0" w:color="auto"/>
                  <w:left w:val="nil"/>
                  <w:bottom w:val="single" w:sz="4" w:space="0" w:color="auto"/>
                  <w:right w:val="single" w:sz="4" w:space="0" w:color="auto"/>
                </w:tcBorders>
                <w:vAlign w:val="center"/>
              </w:tcPr>
              <w:p w14:paraId="6A3E8503" w14:textId="77777777" w:rsidR="005E000F" w:rsidRDefault="00000000">
                <w:pPr>
                  <w:rPr>
                    <w:bCs/>
                    <w:color w:val="000000" w:themeColor="text1"/>
                    <w:sz w:val="18"/>
                    <w:szCs w:val="18"/>
                  </w:rPr>
                </w:pPr>
                <w:r>
                  <w:rPr>
                    <w:bCs/>
                    <w:color w:val="000000" w:themeColor="text1"/>
                    <w:sz w:val="18"/>
                    <w:szCs w:val="18"/>
                  </w:rPr>
                  <w:t>是</w:t>
                </w:r>
              </w:p>
            </w:tc>
          </w:sdtContent>
        </w:sdt>
        <w:tc>
          <w:tcPr>
            <w:tcW w:w="666" w:type="dxa"/>
            <w:tcBorders>
              <w:top w:val="single" w:sz="4" w:space="0" w:color="auto"/>
              <w:left w:val="nil"/>
              <w:bottom w:val="single" w:sz="4" w:space="0" w:color="auto"/>
              <w:right w:val="single" w:sz="4" w:space="0" w:color="auto"/>
            </w:tcBorders>
            <w:vAlign w:val="center"/>
          </w:tcPr>
          <w:p w14:paraId="7B81BC59" w14:textId="77777777" w:rsidR="005E000F" w:rsidRDefault="00000000">
            <w:pPr>
              <w:rPr>
                <w:bCs/>
                <w:sz w:val="18"/>
                <w:szCs w:val="18"/>
              </w:rPr>
            </w:pPr>
            <w:r>
              <w:rPr>
                <w:rFonts w:hint="eastAsia"/>
                <w:bCs/>
                <w:sz w:val="18"/>
                <w:szCs w:val="18"/>
              </w:rPr>
              <w:t>不适用</w:t>
            </w:r>
          </w:p>
        </w:tc>
        <w:tc>
          <w:tcPr>
            <w:tcW w:w="894" w:type="dxa"/>
            <w:tcBorders>
              <w:top w:val="single" w:sz="4" w:space="0" w:color="auto"/>
              <w:left w:val="single" w:sz="4" w:space="0" w:color="auto"/>
              <w:bottom w:val="single" w:sz="4" w:space="0" w:color="auto"/>
              <w:right w:val="single" w:sz="4" w:space="0" w:color="auto"/>
            </w:tcBorders>
            <w:vAlign w:val="center"/>
          </w:tcPr>
          <w:p w14:paraId="3B2390A1" w14:textId="77777777" w:rsidR="005E000F" w:rsidRDefault="00000000">
            <w:pPr>
              <w:jc w:val="right"/>
              <w:rPr>
                <w:bCs/>
                <w:sz w:val="18"/>
                <w:szCs w:val="18"/>
              </w:rPr>
            </w:pPr>
            <w:r>
              <w:rPr>
                <w:rFonts w:hint="eastAsia"/>
                <w:bCs/>
                <w:sz w:val="18"/>
                <w:szCs w:val="18"/>
              </w:rPr>
              <w:t>不适用</w:t>
            </w:r>
          </w:p>
        </w:tc>
        <w:tc>
          <w:tcPr>
            <w:tcW w:w="762" w:type="dxa"/>
            <w:tcBorders>
              <w:top w:val="single" w:sz="4" w:space="0" w:color="auto"/>
              <w:left w:val="single" w:sz="4" w:space="0" w:color="auto"/>
              <w:bottom w:val="single" w:sz="4" w:space="0" w:color="auto"/>
              <w:right w:val="single" w:sz="4" w:space="0" w:color="auto"/>
            </w:tcBorders>
            <w:vAlign w:val="center"/>
          </w:tcPr>
          <w:p w14:paraId="5E703259" w14:textId="77777777" w:rsidR="005E000F" w:rsidRDefault="00000000">
            <w:pPr>
              <w:rPr>
                <w:bCs/>
                <w:sz w:val="18"/>
                <w:szCs w:val="18"/>
              </w:rPr>
            </w:pPr>
            <w:r>
              <w:rPr>
                <w:rFonts w:hint="eastAsia"/>
                <w:bCs/>
                <w:sz w:val="18"/>
                <w:szCs w:val="18"/>
              </w:rPr>
              <w:t>不适用</w:t>
            </w:r>
          </w:p>
        </w:tc>
        <w:tc>
          <w:tcPr>
            <w:tcW w:w="845" w:type="dxa"/>
            <w:tcBorders>
              <w:top w:val="single" w:sz="4" w:space="0" w:color="auto"/>
              <w:left w:val="nil"/>
              <w:bottom w:val="single" w:sz="4" w:space="0" w:color="auto"/>
              <w:right w:val="single" w:sz="4" w:space="0" w:color="auto"/>
            </w:tcBorders>
            <w:vAlign w:val="center"/>
          </w:tcPr>
          <w:p w14:paraId="11487393" w14:textId="77777777" w:rsidR="005E000F" w:rsidRDefault="00000000">
            <w:pPr>
              <w:rPr>
                <w:bCs/>
                <w:sz w:val="18"/>
                <w:szCs w:val="18"/>
              </w:rPr>
            </w:pPr>
            <w:r>
              <w:rPr>
                <w:rFonts w:hint="eastAsia"/>
                <w:bCs/>
                <w:sz w:val="18"/>
                <w:szCs w:val="18"/>
              </w:rPr>
              <w:t>否</w:t>
            </w:r>
          </w:p>
        </w:tc>
        <w:tc>
          <w:tcPr>
            <w:tcW w:w="1075" w:type="dxa"/>
            <w:tcBorders>
              <w:top w:val="single" w:sz="4" w:space="0" w:color="auto"/>
              <w:left w:val="nil"/>
              <w:bottom w:val="single" w:sz="4" w:space="0" w:color="auto"/>
              <w:right w:val="single" w:sz="4" w:space="0" w:color="auto"/>
            </w:tcBorders>
            <w:vAlign w:val="center"/>
          </w:tcPr>
          <w:p w14:paraId="23868FD1" w14:textId="77777777" w:rsidR="005E000F" w:rsidRDefault="00000000">
            <w:pPr>
              <w:jc w:val="right"/>
              <w:rPr>
                <w:bCs/>
                <w:sz w:val="18"/>
                <w:szCs w:val="18"/>
              </w:rPr>
            </w:pPr>
            <w:r>
              <w:rPr>
                <w:bCs/>
                <w:sz w:val="18"/>
                <w:szCs w:val="18"/>
              </w:rPr>
              <w:t>260,907.55</w:t>
            </w:r>
          </w:p>
        </w:tc>
      </w:tr>
      <w:tr w:rsidR="005E000F" w14:paraId="53C536B7" w14:textId="77777777">
        <w:trPr>
          <w:trHeight w:val="160"/>
          <w:jc w:val="center"/>
        </w:trPr>
        <w:sdt>
          <w:sdtPr>
            <w:rPr>
              <w:bCs/>
              <w:color w:val="000000" w:themeColor="text1"/>
              <w:sz w:val="18"/>
              <w:szCs w:val="18"/>
            </w:rPr>
            <w:alias w:val="募集资金使用进展明细_募集资金来源"/>
            <w:tag w:val="_GBC_951af72cf70147edb2fff54b7abd30b3"/>
            <w:id w:val="-1065333490"/>
            <w:comboBox>
              <w:listItem w:displayText="首次公开发行股票" w:value="首次公开发行股票"/>
              <w:listItem w:displayText="向特定对象发行股票" w:value="向特定对象发行股票"/>
              <w:listItem w:displayText="发行可转换债券" w:value="发行可转换债券"/>
              <w:listItem w:displayText="其他" w:value="其他"/>
            </w:comboBox>
          </w:sdtPr>
          <w:sdtContent>
            <w:tc>
              <w:tcPr>
                <w:tcW w:w="670" w:type="dxa"/>
                <w:tcBorders>
                  <w:top w:val="single" w:sz="4" w:space="0" w:color="auto"/>
                  <w:left w:val="single" w:sz="4" w:space="0" w:color="auto"/>
                  <w:bottom w:val="single" w:sz="4" w:space="0" w:color="auto"/>
                  <w:right w:val="single" w:sz="4" w:space="0" w:color="auto"/>
                </w:tcBorders>
                <w:vAlign w:val="center"/>
              </w:tcPr>
              <w:p w14:paraId="735B9332" w14:textId="77777777" w:rsidR="005E000F" w:rsidRDefault="00000000">
                <w:pPr>
                  <w:rPr>
                    <w:bCs/>
                    <w:color w:val="000000" w:themeColor="text1"/>
                    <w:sz w:val="18"/>
                    <w:szCs w:val="18"/>
                  </w:rPr>
                </w:pPr>
                <w:r>
                  <w:rPr>
                    <w:bCs/>
                    <w:color w:val="000000" w:themeColor="text1"/>
                    <w:sz w:val="18"/>
                    <w:szCs w:val="18"/>
                  </w:rPr>
                  <w:t>发行可转换债券</w:t>
                </w:r>
              </w:p>
            </w:tc>
          </w:sdtContent>
        </w:sdt>
        <w:tc>
          <w:tcPr>
            <w:tcW w:w="1276" w:type="dxa"/>
            <w:tcBorders>
              <w:top w:val="single" w:sz="4" w:space="0" w:color="auto"/>
              <w:left w:val="single" w:sz="4" w:space="0" w:color="auto"/>
              <w:bottom w:val="single" w:sz="4" w:space="0" w:color="auto"/>
              <w:right w:val="single" w:sz="4" w:space="0" w:color="auto"/>
            </w:tcBorders>
            <w:vAlign w:val="center"/>
          </w:tcPr>
          <w:p w14:paraId="1B2AD2C9" w14:textId="77777777" w:rsidR="005E000F" w:rsidRDefault="00000000">
            <w:pPr>
              <w:rPr>
                <w:bCs/>
                <w:sz w:val="18"/>
                <w:szCs w:val="18"/>
              </w:rPr>
            </w:pPr>
            <w:r>
              <w:rPr>
                <w:sz w:val="18"/>
                <w:szCs w:val="18"/>
              </w:rPr>
              <w:t>收购中国铁路太原</w:t>
            </w:r>
            <w:proofErr w:type="gramStart"/>
            <w:r>
              <w:rPr>
                <w:sz w:val="18"/>
                <w:szCs w:val="18"/>
              </w:rPr>
              <w:t>局集团</w:t>
            </w:r>
            <w:proofErr w:type="gramEnd"/>
            <w:r>
              <w:rPr>
                <w:sz w:val="18"/>
                <w:szCs w:val="18"/>
              </w:rPr>
              <w:t>有限公司持有的太原铁路枢纽西南环线有限责任公司</w:t>
            </w:r>
            <w:r>
              <w:rPr>
                <w:sz w:val="18"/>
                <w:szCs w:val="18"/>
              </w:rPr>
              <w:t>51%</w:t>
            </w:r>
            <w:r>
              <w:rPr>
                <w:sz w:val="18"/>
                <w:szCs w:val="18"/>
              </w:rPr>
              <w:t>股权</w:t>
            </w:r>
          </w:p>
        </w:tc>
        <w:sdt>
          <w:sdtPr>
            <w:rPr>
              <w:bCs/>
              <w:color w:val="000000" w:themeColor="text1"/>
              <w:sz w:val="18"/>
              <w:szCs w:val="18"/>
            </w:rPr>
            <w:alias w:val="募集资金使用进展明细_项目性质"/>
            <w:tag w:val="_GBC_7aae89f2426148daa6b4430bf5dcfc93"/>
            <w:id w:val="1959752910"/>
            <w:comboBox>
              <w:listItem w:displayText="研发" w:value="研发"/>
              <w:listItem w:displayText="生产建设" w:value="生产建设"/>
              <w:listItem w:displayText="运营管理" w:value="运营管理"/>
              <w:listItem w:displayText="补流还贷" w:value="补流还贷"/>
              <w:listItem w:displayText="其他" w:value="其他"/>
            </w:comboBox>
          </w:sdtPr>
          <w:sdtContent>
            <w:tc>
              <w:tcPr>
                <w:tcW w:w="708" w:type="dxa"/>
                <w:tcBorders>
                  <w:top w:val="single" w:sz="4" w:space="0" w:color="auto"/>
                  <w:left w:val="single" w:sz="4" w:space="0" w:color="auto"/>
                  <w:bottom w:val="single" w:sz="4" w:space="0" w:color="auto"/>
                  <w:right w:val="single" w:sz="4" w:space="0" w:color="auto"/>
                </w:tcBorders>
                <w:vAlign w:val="center"/>
              </w:tcPr>
              <w:p w14:paraId="54E538F8" w14:textId="77777777" w:rsidR="005E000F" w:rsidRDefault="00000000">
                <w:pPr>
                  <w:rPr>
                    <w:bCs/>
                    <w:color w:val="000000" w:themeColor="text1"/>
                    <w:sz w:val="18"/>
                    <w:szCs w:val="18"/>
                  </w:rPr>
                </w:pPr>
                <w:r>
                  <w:rPr>
                    <w:bCs/>
                    <w:color w:val="000000" w:themeColor="text1"/>
                    <w:sz w:val="18"/>
                    <w:szCs w:val="18"/>
                  </w:rPr>
                  <w:t>其他</w:t>
                </w:r>
              </w:p>
            </w:tc>
          </w:sdtContent>
        </w:sdt>
        <w:sdt>
          <w:sdtPr>
            <w:rPr>
              <w:bCs/>
              <w:color w:val="000000" w:themeColor="text1"/>
              <w:sz w:val="18"/>
              <w:szCs w:val="18"/>
            </w:rPr>
            <w:alias w:val="募集资金使用进展明细_是否为招股书或者募集说明书中的承诺投资项目"/>
            <w:tag w:val="_GBC_cc96b791a1c14daba3e65ec5d8b75d5a"/>
            <w:id w:val="1736351917"/>
            <w:comboBox>
              <w:listItem w:displayText="是" w:value="是"/>
              <w:listItem w:displayText="否" w:value="否"/>
            </w:comboBox>
          </w:sdtPr>
          <w:sdtContent>
            <w:tc>
              <w:tcPr>
                <w:tcW w:w="709" w:type="dxa"/>
                <w:tcBorders>
                  <w:top w:val="single" w:sz="4" w:space="0" w:color="auto"/>
                  <w:left w:val="single" w:sz="4" w:space="0" w:color="auto"/>
                  <w:bottom w:val="single" w:sz="4" w:space="0" w:color="auto"/>
                  <w:right w:val="single" w:sz="4" w:space="0" w:color="auto"/>
                </w:tcBorders>
                <w:vAlign w:val="center"/>
              </w:tcPr>
              <w:p w14:paraId="78C754A9" w14:textId="77777777" w:rsidR="005E000F" w:rsidRDefault="00000000">
                <w:pPr>
                  <w:rPr>
                    <w:bCs/>
                    <w:color w:val="000000" w:themeColor="text1"/>
                    <w:sz w:val="18"/>
                    <w:szCs w:val="18"/>
                  </w:rPr>
                </w:pPr>
                <w:r>
                  <w:rPr>
                    <w:bCs/>
                    <w:color w:val="000000" w:themeColor="text1"/>
                    <w:sz w:val="18"/>
                    <w:szCs w:val="18"/>
                  </w:rPr>
                  <w:t>是</w:t>
                </w:r>
              </w:p>
            </w:tc>
          </w:sdtContent>
        </w:sdt>
        <w:sdt>
          <w:sdtPr>
            <w:rPr>
              <w:bCs/>
              <w:color w:val="000000" w:themeColor="text1"/>
              <w:sz w:val="18"/>
              <w:szCs w:val="18"/>
            </w:rPr>
            <w:alias w:val="募集资金使用进展明细_是否涉及变更投向"/>
            <w:tag w:val="_GBC_9346d63d6a6c4ec8b0c5165d08fa2bb9"/>
            <w:id w:val="1749230202"/>
            <w:comboBox>
              <w:listItem w:displayText="是，此项目取消或终止" w:value="是，此项目取消或终止"/>
              <w:listItem w:displayText="是，此项目为新项目" w:value="是，此项目为新项目"/>
              <w:listItem w:displayText="是，此项目未取消，调整募集资金投资总额" w:value="是，此项目未取消，调整募集资金投资总额"/>
              <w:listItem w:displayText="否" w:value="否"/>
            </w:comboBox>
          </w:sdtPr>
          <w:sdtContent>
            <w:tc>
              <w:tcPr>
                <w:tcW w:w="567" w:type="dxa"/>
                <w:tcBorders>
                  <w:top w:val="single" w:sz="4" w:space="0" w:color="auto"/>
                  <w:left w:val="single" w:sz="4" w:space="0" w:color="auto"/>
                  <w:bottom w:val="single" w:sz="4" w:space="0" w:color="auto"/>
                  <w:right w:val="single" w:sz="4" w:space="0" w:color="auto"/>
                </w:tcBorders>
                <w:vAlign w:val="center"/>
              </w:tcPr>
              <w:p w14:paraId="1207DE0B" w14:textId="77777777" w:rsidR="005E000F" w:rsidRDefault="00000000">
                <w:pPr>
                  <w:rPr>
                    <w:bCs/>
                    <w:color w:val="000000" w:themeColor="text1"/>
                    <w:sz w:val="18"/>
                    <w:szCs w:val="18"/>
                  </w:rPr>
                </w:pPr>
                <w:r>
                  <w:rPr>
                    <w:bCs/>
                    <w:color w:val="000000" w:themeColor="text1"/>
                    <w:sz w:val="18"/>
                    <w:szCs w:val="18"/>
                  </w:rPr>
                  <w:t>否</w:t>
                </w:r>
              </w:p>
            </w:tc>
          </w:sdtContent>
        </w:sdt>
        <w:tc>
          <w:tcPr>
            <w:tcW w:w="1273" w:type="dxa"/>
            <w:tcBorders>
              <w:top w:val="single" w:sz="4" w:space="0" w:color="auto"/>
              <w:left w:val="nil"/>
              <w:bottom w:val="single" w:sz="4" w:space="0" w:color="auto"/>
              <w:right w:val="single" w:sz="4" w:space="0" w:color="auto"/>
            </w:tcBorders>
            <w:vAlign w:val="center"/>
          </w:tcPr>
          <w:p w14:paraId="52DE0F35" w14:textId="77777777" w:rsidR="005E000F" w:rsidRDefault="00000000">
            <w:pPr>
              <w:jc w:val="right"/>
              <w:rPr>
                <w:bCs/>
                <w:sz w:val="18"/>
                <w:szCs w:val="18"/>
              </w:rPr>
            </w:pPr>
            <w:r>
              <w:rPr>
                <w:sz w:val="18"/>
                <w:szCs w:val="18"/>
              </w:rPr>
              <w:t>369,098.47</w:t>
            </w:r>
          </w:p>
        </w:tc>
        <w:tc>
          <w:tcPr>
            <w:tcW w:w="1177" w:type="dxa"/>
            <w:tcBorders>
              <w:top w:val="single" w:sz="4" w:space="0" w:color="auto"/>
              <w:left w:val="single" w:sz="4" w:space="0" w:color="auto"/>
              <w:bottom w:val="single" w:sz="4" w:space="0" w:color="auto"/>
              <w:right w:val="single" w:sz="4" w:space="0" w:color="auto"/>
            </w:tcBorders>
            <w:vAlign w:val="center"/>
          </w:tcPr>
          <w:p w14:paraId="2BFA3B79" w14:textId="77777777" w:rsidR="005E000F" w:rsidRDefault="00000000">
            <w:pPr>
              <w:jc w:val="right"/>
              <w:rPr>
                <w:bCs/>
                <w:sz w:val="18"/>
                <w:szCs w:val="18"/>
              </w:rPr>
            </w:pPr>
            <w:r>
              <w:rPr>
                <w:rFonts w:hint="eastAsia"/>
                <w:bCs/>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14:paraId="39C854EB" w14:textId="77777777" w:rsidR="005E000F" w:rsidRDefault="00000000">
            <w:pPr>
              <w:jc w:val="right"/>
              <w:rPr>
                <w:bCs/>
                <w:sz w:val="18"/>
                <w:szCs w:val="18"/>
              </w:rPr>
            </w:pPr>
            <w:r>
              <w:rPr>
                <w:bCs/>
                <w:sz w:val="18"/>
                <w:szCs w:val="18"/>
              </w:rPr>
              <w:t>369,702.22</w:t>
            </w:r>
          </w:p>
        </w:tc>
        <w:tc>
          <w:tcPr>
            <w:tcW w:w="850" w:type="dxa"/>
            <w:tcBorders>
              <w:top w:val="single" w:sz="4" w:space="0" w:color="auto"/>
              <w:left w:val="nil"/>
              <w:bottom w:val="single" w:sz="4" w:space="0" w:color="auto"/>
              <w:right w:val="single" w:sz="4" w:space="0" w:color="auto"/>
            </w:tcBorders>
            <w:vAlign w:val="center"/>
          </w:tcPr>
          <w:p w14:paraId="556E8B8B" w14:textId="77777777" w:rsidR="005E000F" w:rsidRDefault="00000000">
            <w:pPr>
              <w:jc w:val="right"/>
              <w:rPr>
                <w:bCs/>
                <w:sz w:val="18"/>
                <w:szCs w:val="18"/>
              </w:rPr>
            </w:pPr>
            <w:r>
              <w:rPr>
                <w:rFonts w:hint="eastAsia"/>
                <w:bCs/>
                <w:sz w:val="18"/>
                <w:szCs w:val="18"/>
              </w:rPr>
              <w:t>100.16</w:t>
            </w:r>
          </w:p>
        </w:tc>
        <w:tc>
          <w:tcPr>
            <w:tcW w:w="851" w:type="dxa"/>
            <w:tcBorders>
              <w:top w:val="single" w:sz="4" w:space="0" w:color="auto"/>
              <w:left w:val="nil"/>
              <w:bottom w:val="single" w:sz="4" w:space="0" w:color="auto"/>
              <w:right w:val="single" w:sz="4" w:space="0" w:color="auto"/>
            </w:tcBorders>
            <w:vAlign w:val="center"/>
          </w:tcPr>
          <w:p w14:paraId="0CEC3AFA" w14:textId="77777777" w:rsidR="005E000F" w:rsidRDefault="00000000">
            <w:pPr>
              <w:rPr>
                <w:bCs/>
                <w:sz w:val="18"/>
                <w:szCs w:val="18"/>
              </w:rPr>
            </w:pPr>
            <w:r>
              <w:rPr>
                <w:rFonts w:hint="eastAsia"/>
                <w:bCs/>
                <w:sz w:val="18"/>
                <w:szCs w:val="18"/>
              </w:rPr>
              <w:t>不适用</w:t>
            </w:r>
          </w:p>
        </w:tc>
        <w:sdt>
          <w:sdtPr>
            <w:rPr>
              <w:bCs/>
              <w:color w:val="000000" w:themeColor="text1"/>
              <w:sz w:val="18"/>
              <w:szCs w:val="18"/>
            </w:rPr>
            <w:alias w:val="募集资金使用进展明细_是否已结项"/>
            <w:tag w:val="_GBC_12a69f39e8ab43aca710914c5ba0dfac"/>
            <w:id w:val="-440615353"/>
            <w:comboBox>
              <w:listItem w:displayText="是" w:value="是"/>
              <w:listItem w:displayText="否" w:value="否"/>
            </w:comboBox>
          </w:sdtPr>
          <w:sdtContent>
            <w:tc>
              <w:tcPr>
                <w:tcW w:w="567" w:type="dxa"/>
                <w:tcBorders>
                  <w:top w:val="single" w:sz="4" w:space="0" w:color="auto"/>
                  <w:left w:val="nil"/>
                  <w:bottom w:val="single" w:sz="4" w:space="0" w:color="auto"/>
                  <w:right w:val="single" w:sz="4" w:space="0" w:color="auto"/>
                </w:tcBorders>
                <w:vAlign w:val="center"/>
              </w:tcPr>
              <w:p w14:paraId="5D9F3660" w14:textId="77777777" w:rsidR="005E000F" w:rsidRDefault="00000000">
                <w:pPr>
                  <w:rPr>
                    <w:bCs/>
                    <w:color w:val="000000" w:themeColor="text1"/>
                    <w:sz w:val="18"/>
                    <w:szCs w:val="18"/>
                  </w:rPr>
                </w:pPr>
                <w:r>
                  <w:rPr>
                    <w:bCs/>
                    <w:color w:val="000000" w:themeColor="text1"/>
                    <w:sz w:val="18"/>
                    <w:szCs w:val="18"/>
                  </w:rPr>
                  <w:t>是</w:t>
                </w:r>
              </w:p>
            </w:tc>
          </w:sdtContent>
        </w:sdt>
        <w:sdt>
          <w:sdtPr>
            <w:rPr>
              <w:bCs/>
              <w:color w:val="000000" w:themeColor="text1"/>
              <w:sz w:val="18"/>
              <w:szCs w:val="18"/>
            </w:rPr>
            <w:alias w:val="募集资金使用进展明细_投入进度是否符合计划的进度"/>
            <w:tag w:val="_GBC_4f4276afb0f242da9b0a07c877927465"/>
            <w:id w:val="493923447"/>
            <w:comboBox>
              <w:listItem w:displayText="是" w:value="是"/>
              <w:listItem w:displayText="否" w:value="否"/>
            </w:comboBox>
          </w:sdtPr>
          <w:sdtContent>
            <w:tc>
              <w:tcPr>
                <w:tcW w:w="708" w:type="dxa"/>
                <w:tcBorders>
                  <w:top w:val="single" w:sz="4" w:space="0" w:color="auto"/>
                  <w:left w:val="nil"/>
                  <w:bottom w:val="single" w:sz="4" w:space="0" w:color="auto"/>
                  <w:right w:val="single" w:sz="4" w:space="0" w:color="auto"/>
                </w:tcBorders>
                <w:vAlign w:val="center"/>
              </w:tcPr>
              <w:p w14:paraId="3FF5EB80" w14:textId="77777777" w:rsidR="005E000F" w:rsidRDefault="00000000">
                <w:pPr>
                  <w:rPr>
                    <w:bCs/>
                    <w:color w:val="000000" w:themeColor="text1"/>
                    <w:sz w:val="18"/>
                    <w:szCs w:val="18"/>
                  </w:rPr>
                </w:pPr>
                <w:r>
                  <w:rPr>
                    <w:bCs/>
                    <w:color w:val="000000" w:themeColor="text1"/>
                    <w:sz w:val="18"/>
                    <w:szCs w:val="18"/>
                  </w:rPr>
                  <w:t>是</w:t>
                </w:r>
              </w:p>
            </w:tc>
          </w:sdtContent>
        </w:sdt>
        <w:tc>
          <w:tcPr>
            <w:tcW w:w="666" w:type="dxa"/>
            <w:tcBorders>
              <w:top w:val="single" w:sz="4" w:space="0" w:color="auto"/>
              <w:left w:val="nil"/>
              <w:bottom w:val="single" w:sz="4" w:space="0" w:color="auto"/>
              <w:right w:val="single" w:sz="4" w:space="0" w:color="auto"/>
            </w:tcBorders>
            <w:vAlign w:val="center"/>
          </w:tcPr>
          <w:p w14:paraId="5858532F" w14:textId="77777777" w:rsidR="005E000F" w:rsidRDefault="00000000">
            <w:pPr>
              <w:rPr>
                <w:bCs/>
                <w:sz w:val="18"/>
                <w:szCs w:val="18"/>
              </w:rPr>
            </w:pPr>
            <w:r>
              <w:rPr>
                <w:rFonts w:hint="eastAsia"/>
                <w:bCs/>
                <w:sz w:val="18"/>
                <w:szCs w:val="18"/>
              </w:rPr>
              <w:t>不适用</w:t>
            </w:r>
          </w:p>
        </w:tc>
        <w:tc>
          <w:tcPr>
            <w:tcW w:w="894" w:type="dxa"/>
            <w:tcBorders>
              <w:top w:val="single" w:sz="4" w:space="0" w:color="auto"/>
              <w:left w:val="single" w:sz="4" w:space="0" w:color="auto"/>
              <w:bottom w:val="single" w:sz="4" w:space="0" w:color="auto"/>
              <w:right w:val="single" w:sz="4" w:space="0" w:color="auto"/>
            </w:tcBorders>
            <w:vAlign w:val="center"/>
          </w:tcPr>
          <w:p w14:paraId="4F7C0911" w14:textId="77777777" w:rsidR="005E000F" w:rsidRDefault="00000000">
            <w:pPr>
              <w:jc w:val="right"/>
              <w:rPr>
                <w:bCs/>
                <w:sz w:val="18"/>
                <w:szCs w:val="18"/>
              </w:rPr>
            </w:pPr>
            <w:r>
              <w:rPr>
                <w:rFonts w:hint="eastAsia"/>
                <w:bCs/>
                <w:sz w:val="18"/>
                <w:szCs w:val="18"/>
              </w:rPr>
              <w:t>不适用</w:t>
            </w:r>
          </w:p>
        </w:tc>
        <w:tc>
          <w:tcPr>
            <w:tcW w:w="762" w:type="dxa"/>
            <w:tcBorders>
              <w:top w:val="single" w:sz="4" w:space="0" w:color="auto"/>
              <w:left w:val="single" w:sz="4" w:space="0" w:color="auto"/>
              <w:bottom w:val="single" w:sz="4" w:space="0" w:color="auto"/>
              <w:right w:val="single" w:sz="4" w:space="0" w:color="auto"/>
            </w:tcBorders>
            <w:vAlign w:val="center"/>
          </w:tcPr>
          <w:p w14:paraId="6474A698" w14:textId="77777777" w:rsidR="005E000F" w:rsidRDefault="00000000">
            <w:pPr>
              <w:rPr>
                <w:bCs/>
                <w:sz w:val="18"/>
                <w:szCs w:val="18"/>
              </w:rPr>
            </w:pPr>
            <w:r>
              <w:rPr>
                <w:rFonts w:hint="eastAsia"/>
                <w:bCs/>
                <w:sz w:val="18"/>
                <w:szCs w:val="18"/>
              </w:rPr>
              <w:t>不适用</w:t>
            </w:r>
          </w:p>
        </w:tc>
        <w:tc>
          <w:tcPr>
            <w:tcW w:w="845" w:type="dxa"/>
            <w:tcBorders>
              <w:top w:val="single" w:sz="4" w:space="0" w:color="auto"/>
              <w:left w:val="nil"/>
              <w:bottom w:val="single" w:sz="4" w:space="0" w:color="auto"/>
              <w:right w:val="single" w:sz="4" w:space="0" w:color="auto"/>
            </w:tcBorders>
            <w:vAlign w:val="center"/>
          </w:tcPr>
          <w:p w14:paraId="6A27F1C1" w14:textId="77777777" w:rsidR="005E000F" w:rsidRDefault="00000000">
            <w:pPr>
              <w:rPr>
                <w:bCs/>
                <w:sz w:val="18"/>
                <w:szCs w:val="18"/>
              </w:rPr>
            </w:pPr>
            <w:r>
              <w:rPr>
                <w:rFonts w:hint="eastAsia"/>
                <w:bCs/>
                <w:sz w:val="18"/>
                <w:szCs w:val="18"/>
              </w:rPr>
              <w:t>否</w:t>
            </w:r>
          </w:p>
        </w:tc>
        <w:tc>
          <w:tcPr>
            <w:tcW w:w="1075" w:type="dxa"/>
            <w:tcBorders>
              <w:top w:val="single" w:sz="4" w:space="0" w:color="auto"/>
              <w:left w:val="nil"/>
              <w:bottom w:val="single" w:sz="4" w:space="0" w:color="auto"/>
              <w:right w:val="single" w:sz="4" w:space="0" w:color="auto"/>
            </w:tcBorders>
            <w:vAlign w:val="center"/>
          </w:tcPr>
          <w:p w14:paraId="19725F78" w14:textId="77777777" w:rsidR="005E000F" w:rsidRDefault="00000000">
            <w:pPr>
              <w:jc w:val="right"/>
              <w:rPr>
                <w:bCs/>
                <w:sz w:val="18"/>
                <w:szCs w:val="18"/>
              </w:rPr>
            </w:pPr>
            <w:r>
              <w:rPr>
                <w:rFonts w:hint="eastAsia"/>
                <w:bCs/>
                <w:sz w:val="18"/>
                <w:szCs w:val="18"/>
              </w:rPr>
              <w:t>0</w:t>
            </w:r>
          </w:p>
        </w:tc>
      </w:tr>
      <w:bookmarkEnd w:id="176"/>
      <w:tr w:rsidR="005E000F" w14:paraId="6487BEC5" w14:textId="77777777">
        <w:trPr>
          <w:trHeight w:val="160"/>
          <w:jc w:val="center"/>
        </w:trPr>
        <w:tc>
          <w:tcPr>
            <w:tcW w:w="670" w:type="dxa"/>
            <w:tcBorders>
              <w:top w:val="single" w:sz="4" w:space="0" w:color="auto"/>
              <w:left w:val="single" w:sz="4" w:space="0" w:color="auto"/>
              <w:bottom w:val="single" w:sz="4" w:space="0" w:color="auto"/>
              <w:right w:val="single" w:sz="4" w:space="0" w:color="auto"/>
            </w:tcBorders>
            <w:vAlign w:val="center"/>
          </w:tcPr>
          <w:p w14:paraId="4FD0E631" w14:textId="77777777" w:rsidR="005E000F" w:rsidRDefault="00000000">
            <w:pPr>
              <w:jc w:val="center"/>
              <w:rPr>
                <w:bCs/>
                <w:color w:val="000000" w:themeColor="text1"/>
                <w:sz w:val="18"/>
                <w:szCs w:val="18"/>
              </w:rPr>
            </w:pPr>
            <w:r>
              <w:rPr>
                <w:rFonts w:hint="eastAsia"/>
                <w:color w:val="000000" w:themeColor="text1"/>
                <w:sz w:val="18"/>
                <w:szCs w:val="18"/>
              </w:rPr>
              <w:t>合计</w:t>
            </w:r>
          </w:p>
        </w:tc>
        <w:tc>
          <w:tcPr>
            <w:tcW w:w="1276" w:type="dxa"/>
            <w:tcBorders>
              <w:top w:val="single" w:sz="4" w:space="0" w:color="auto"/>
              <w:left w:val="single" w:sz="4" w:space="0" w:color="auto"/>
              <w:bottom w:val="single" w:sz="4" w:space="0" w:color="auto"/>
              <w:right w:val="single" w:sz="4" w:space="0" w:color="auto"/>
            </w:tcBorders>
            <w:vAlign w:val="center"/>
          </w:tcPr>
          <w:p w14:paraId="1C1BCC3B" w14:textId="77777777" w:rsidR="005E000F" w:rsidRDefault="00000000">
            <w:pPr>
              <w:rPr>
                <w:bCs/>
                <w:color w:val="000000" w:themeColor="text1"/>
                <w:sz w:val="18"/>
                <w:szCs w:val="18"/>
              </w:rPr>
            </w:pPr>
            <w:r>
              <w:rPr>
                <w:color w:val="000000" w:themeColor="text1"/>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14:paraId="7176B285" w14:textId="77777777" w:rsidR="005E000F" w:rsidRDefault="00000000">
            <w:pPr>
              <w:rPr>
                <w:bCs/>
                <w:color w:val="000000" w:themeColor="text1"/>
                <w:sz w:val="18"/>
                <w:szCs w:val="18"/>
              </w:rPr>
            </w:pPr>
            <w:r>
              <w:rPr>
                <w:color w:val="000000" w:themeColor="text1"/>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1AB9645" w14:textId="77777777" w:rsidR="005E000F" w:rsidRDefault="00000000">
            <w:pPr>
              <w:rPr>
                <w:bCs/>
                <w:color w:val="000000" w:themeColor="text1"/>
                <w:sz w:val="18"/>
                <w:szCs w:val="18"/>
              </w:rPr>
            </w:pPr>
            <w:r>
              <w:rPr>
                <w:color w:val="000000" w:themeColor="text1"/>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5EB0BBF1" w14:textId="77777777" w:rsidR="005E000F" w:rsidRDefault="00000000">
            <w:pPr>
              <w:rPr>
                <w:bCs/>
                <w:color w:val="000000" w:themeColor="text1"/>
                <w:sz w:val="18"/>
                <w:szCs w:val="18"/>
              </w:rPr>
            </w:pPr>
            <w:r>
              <w:rPr>
                <w:color w:val="000000" w:themeColor="text1"/>
                <w:sz w:val="18"/>
                <w:szCs w:val="18"/>
              </w:rPr>
              <w:t>/</w:t>
            </w:r>
          </w:p>
        </w:tc>
        <w:tc>
          <w:tcPr>
            <w:tcW w:w="1273" w:type="dxa"/>
            <w:tcBorders>
              <w:top w:val="single" w:sz="4" w:space="0" w:color="auto"/>
              <w:left w:val="nil"/>
              <w:bottom w:val="single" w:sz="4" w:space="0" w:color="auto"/>
              <w:right w:val="single" w:sz="4" w:space="0" w:color="auto"/>
            </w:tcBorders>
            <w:vAlign w:val="center"/>
          </w:tcPr>
          <w:p w14:paraId="3D26F587" w14:textId="77777777" w:rsidR="005E000F" w:rsidRDefault="00000000">
            <w:pPr>
              <w:jc w:val="right"/>
              <w:rPr>
                <w:bCs/>
                <w:sz w:val="18"/>
                <w:szCs w:val="18"/>
              </w:rPr>
            </w:pPr>
            <w:r>
              <w:rPr>
                <w:sz w:val="18"/>
                <w:szCs w:val="18"/>
              </w:rPr>
              <w:t>3,200,000</w:t>
            </w:r>
          </w:p>
        </w:tc>
        <w:tc>
          <w:tcPr>
            <w:tcW w:w="1177" w:type="dxa"/>
            <w:tcBorders>
              <w:top w:val="single" w:sz="4" w:space="0" w:color="auto"/>
              <w:left w:val="single" w:sz="4" w:space="0" w:color="auto"/>
              <w:bottom w:val="single" w:sz="4" w:space="0" w:color="auto"/>
              <w:right w:val="single" w:sz="4" w:space="0" w:color="auto"/>
            </w:tcBorders>
            <w:vAlign w:val="center"/>
          </w:tcPr>
          <w:p w14:paraId="1AA601E1" w14:textId="77777777" w:rsidR="005E000F" w:rsidRDefault="00000000">
            <w:pPr>
              <w:jc w:val="right"/>
              <w:rPr>
                <w:bCs/>
                <w:sz w:val="18"/>
                <w:szCs w:val="18"/>
              </w:rPr>
            </w:pPr>
            <w:r>
              <w:rPr>
                <w:bCs/>
                <w:sz w:val="18"/>
                <w:szCs w:val="18"/>
              </w:rPr>
              <w:t>2,569,993.98</w:t>
            </w:r>
          </w:p>
        </w:tc>
        <w:tc>
          <w:tcPr>
            <w:tcW w:w="1276" w:type="dxa"/>
            <w:tcBorders>
              <w:top w:val="single" w:sz="4" w:space="0" w:color="auto"/>
              <w:left w:val="single" w:sz="4" w:space="0" w:color="auto"/>
              <w:bottom w:val="single" w:sz="4" w:space="0" w:color="auto"/>
              <w:right w:val="single" w:sz="4" w:space="0" w:color="auto"/>
            </w:tcBorders>
            <w:vAlign w:val="center"/>
          </w:tcPr>
          <w:p w14:paraId="6DA2D34D" w14:textId="77777777" w:rsidR="005E000F" w:rsidRDefault="00000000">
            <w:pPr>
              <w:jc w:val="right"/>
              <w:rPr>
                <w:bCs/>
                <w:sz w:val="18"/>
                <w:szCs w:val="18"/>
              </w:rPr>
            </w:pPr>
            <w:r>
              <w:rPr>
                <w:bCs/>
                <w:sz w:val="18"/>
                <w:szCs w:val="18"/>
              </w:rPr>
              <w:t>2,939,696.20</w:t>
            </w:r>
          </w:p>
        </w:tc>
        <w:tc>
          <w:tcPr>
            <w:tcW w:w="850" w:type="dxa"/>
            <w:tcBorders>
              <w:top w:val="single" w:sz="4" w:space="0" w:color="auto"/>
              <w:left w:val="nil"/>
              <w:bottom w:val="single" w:sz="4" w:space="0" w:color="auto"/>
              <w:right w:val="single" w:sz="4" w:space="0" w:color="auto"/>
            </w:tcBorders>
            <w:vAlign w:val="center"/>
          </w:tcPr>
          <w:p w14:paraId="1A912484" w14:textId="77777777" w:rsidR="005E000F" w:rsidRDefault="00000000">
            <w:pPr>
              <w:jc w:val="right"/>
              <w:rPr>
                <w:bCs/>
                <w:color w:val="000000" w:themeColor="text1"/>
                <w:sz w:val="18"/>
                <w:szCs w:val="18"/>
              </w:rPr>
            </w:pPr>
            <w:r>
              <w:rPr>
                <w:color w:val="000000" w:themeColor="text1"/>
                <w:sz w:val="18"/>
                <w:szCs w:val="18"/>
              </w:rPr>
              <w:t>/</w:t>
            </w:r>
          </w:p>
        </w:tc>
        <w:tc>
          <w:tcPr>
            <w:tcW w:w="851" w:type="dxa"/>
            <w:tcBorders>
              <w:top w:val="single" w:sz="4" w:space="0" w:color="auto"/>
              <w:left w:val="nil"/>
              <w:bottom w:val="single" w:sz="4" w:space="0" w:color="auto"/>
              <w:right w:val="single" w:sz="4" w:space="0" w:color="auto"/>
            </w:tcBorders>
            <w:vAlign w:val="center"/>
          </w:tcPr>
          <w:p w14:paraId="4D329306" w14:textId="77777777" w:rsidR="005E000F" w:rsidRDefault="00000000">
            <w:pPr>
              <w:rPr>
                <w:bCs/>
                <w:color w:val="000000" w:themeColor="text1"/>
                <w:sz w:val="18"/>
                <w:szCs w:val="18"/>
              </w:rPr>
            </w:pPr>
            <w:r>
              <w:rPr>
                <w:color w:val="000000" w:themeColor="text1"/>
                <w:sz w:val="18"/>
                <w:szCs w:val="18"/>
              </w:rPr>
              <w:t>/</w:t>
            </w:r>
          </w:p>
        </w:tc>
        <w:tc>
          <w:tcPr>
            <w:tcW w:w="567" w:type="dxa"/>
            <w:tcBorders>
              <w:top w:val="single" w:sz="4" w:space="0" w:color="auto"/>
              <w:left w:val="nil"/>
              <w:bottom w:val="single" w:sz="4" w:space="0" w:color="auto"/>
              <w:right w:val="single" w:sz="4" w:space="0" w:color="auto"/>
            </w:tcBorders>
            <w:vAlign w:val="center"/>
          </w:tcPr>
          <w:p w14:paraId="283F3A6D" w14:textId="77777777" w:rsidR="005E000F" w:rsidRDefault="00000000">
            <w:pPr>
              <w:rPr>
                <w:bCs/>
                <w:color w:val="000000" w:themeColor="text1"/>
                <w:sz w:val="18"/>
                <w:szCs w:val="18"/>
              </w:rPr>
            </w:pPr>
            <w:r>
              <w:rPr>
                <w:color w:val="000000" w:themeColor="text1"/>
                <w:sz w:val="18"/>
                <w:szCs w:val="18"/>
              </w:rPr>
              <w:t>/</w:t>
            </w:r>
          </w:p>
        </w:tc>
        <w:tc>
          <w:tcPr>
            <w:tcW w:w="708" w:type="dxa"/>
            <w:tcBorders>
              <w:top w:val="single" w:sz="4" w:space="0" w:color="auto"/>
              <w:left w:val="nil"/>
              <w:bottom w:val="single" w:sz="4" w:space="0" w:color="auto"/>
              <w:right w:val="single" w:sz="4" w:space="0" w:color="auto"/>
            </w:tcBorders>
            <w:vAlign w:val="center"/>
          </w:tcPr>
          <w:p w14:paraId="1CB13AFF" w14:textId="77777777" w:rsidR="005E000F" w:rsidRDefault="00000000">
            <w:pPr>
              <w:rPr>
                <w:bCs/>
                <w:color w:val="000000" w:themeColor="text1"/>
                <w:sz w:val="18"/>
                <w:szCs w:val="18"/>
              </w:rPr>
            </w:pPr>
            <w:r>
              <w:rPr>
                <w:color w:val="000000" w:themeColor="text1"/>
                <w:sz w:val="18"/>
                <w:szCs w:val="18"/>
              </w:rPr>
              <w:t>/</w:t>
            </w:r>
          </w:p>
        </w:tc>
        <w:tc>
          <w:tcPr>
            <w:tcW w:w="666" w:type="dxa"/>
            <w:tcBorders>
              <w:top w:val="single" w:sz="4" w:space="0" w:color="auto"/>
              <w:left w:val="nil"/>
              <w:bottom w:val="single" w:sz="4" w:space="0" w:color="auto"/>
              <w:right w:val="single" w:sz="4" w:space="0" w:color="auto"/>
            </w:tcBorders>
            <w:vAlign w:val="center"/>
          </w:tcPr>
          <w:p w14:paraId="5631027B" w14:textId="77777777" w:rsidR="005E000F" w:rsidRDefault="00000000">
            <w:pPr>
              <w:rPr>
                <w:bCs/>
                <w:color w:val="000000" w:themeColor="text1"/>
                <w:sz w:val="18"/>
                <w:szCs w:val="18"/>
              </w:rPr>
            </w:pPr>
            <w:r>
              <w:rPr>
                <w:color w:val="000000" w:themeColor="text1"/>
                <w:sz w:val="18"/>
                <w:szCs w:val="18"/>
              </w:rPr>
              <w:t>/</w:t>
            </w:r>
          </w:p>
        </w:tc>
        <w:tc>
          <w:tcPr>
            <w:tcW w:w="894" w:type="dxa"/>
            <w:tcBorders>
              <w:top w:val="single" w:sz="4" w:space="0" w:color="auto"/>
              <w:left w:val="single" w:sz="4" w:space="0" w:color="auto"/>
              <w:bottom w:val="single" w:sz="4" w:space="0" w:color="auto"/>
              <w:right w:val="single" w:sz="4" w:space="0" w:color="auto"/>
            </w:tcBorders>
            <w:vAlign w:val="center"/>
          </w:tcPr>
          <w:p w14:paraId="31390B37" w14:textId="77777777" w:rsidR="005E000F" w:rsidRDefault="00000000">
            <w:pPr>
              <w:jc w:val="right"/>
              <w:rPr>
                <w:bCs/>
                <w:sz w:val="18"/>
                <w:szCs w:val="18"/>
              </w:rPr>
            </w:pPr>
            <w:r>
              <w:rPr>
                <w:rFonts w:hint="eastAsia"/>
                <w:bCs/>
                <w:sz w:val="18"/>
                <w:szCs w:val="18"/>
              </w:rPr>
              <w:t>不适用</w:t>
            </w:r>
          </w:p>
        </w:tc>
        <w:tc>
          <w:tcPr>
            <w:tcW w:w="762" w:type="dxa"/>
            <w:tcBorders>
              <w:top w:val="single" w:sz="4" w:space="0" w:color="auto"/>
              <w:left w:val="single" w:sz="4" w:space="0" w:color="auto"/>
              <w:bottom w:val="single" w:sz="4" w:space="0" w:color="auto"/>
              <w:right w:val="single" w:sz="4" w:space="0" w:color="auto"/>
            </w:tcBorders>
            <w:vAlign w:val="center"/>
          </w:tcPr>
          <w:p w14:paraId="74701159" w14:textId="77777777" w:rsidR="005E000F" w:rsidRDefault="00000000">
            <w:pPr>
              <w:rPr>
                <w:bCs/>
                <w:color w:val="000000" w:themeColor="text1"/>
                <w:sz w:val="18"/>
                <w:szCs w:val="18"/>
              </w:rPr>
            </w:pPr>
            <w:r>
              <w:rPr>
                <w:color w:val="000000" w:themeColor="text1"/>
                <w:sz w:val="18"/>
                <w:szCs w:val="18"/>
              </w:rPr>
              <w:t>/</w:t>
            </w:r>
          </w:p>
        </w:tc>
        <w:tc>
          <w:tcPr>
            <w:tcW w:w="845" w:type="dxa"/>
            <w:tcBorders>
              <w:top w:val="single" w:sz="4" w:space="0" w:color="auto"/>
              <w:left w:val="nil"/>
              <w:bottom w:val="single" w:sz="4" w:space="0" w:color="auto"/>
              <w:right w:val="single" w:sz="4" w:space="0" w:color="auto"/>
            </w:tcBorders>
            <w:vAlign w:val="center"/>
          </w:tcPr>
          <w:p w14:paraId="0A567168" w14:textId="77777777" w:rsidR="005E000F" w:rsidRDefault="00000000">
            <w:pPr>
              <w:rPr>
                <w:bCs/>
                <w:color w:val="000000" w:themeColor="text1"/>
                <w:sz w:val="18"/>
                <w:szCs w:val="18"/>
              </w:rPr>
            </w:pPr>
            <w:r>
              <w:rPr>
                <w:color w:val="000000" w:themeColor="text1"/>
                <w:sz w:val="18"/>
                <w:szCs w:val="18"/>
              </w:rPr>
              <w:t>/</w:t>
            </w:r>
          </w:p>
        </w:tc>
        <w:tc>
          <w:tcPr>
            <w:tcW w:w="1075" w:type="dxa"/>
            <w:tcBorders>
              <w:top w:val="single" w:sz="4" w:space="0" w:color="auto"/>
              <w:left w:val="nil"/>
              <w:bottom w:val="single" w:sz="4" w:space="0" w:color="auto"/>
              <w:right w:val="single" w:sz="4" w:space="0" w:color="auto"/>
            </w:tcBorders>
            <w:vAlign w:val="center"/>
          </w:tcPr>
          <w:p w14:paraId="31494FD0" w14:textId="77777777" w:rsidR="005E000F" w:rsidRDefault="00000000">
            <w:pPr>
              <w:jc w:val="right"/>
              <w:rPr>
                <w:bCs/>
                <w:sz w:val="18"/>
                <w:szCs w:val="18"/>
              </w:rPr>
            </w:pPr>
            <w:r>
              <w:rPr>
                <w:bCs/>
                <w:sz w:val="18"/>
                <w:szCs w:val="18"/>
              </w:rPr>
              <w:t>260,907.55</w:t>
            </w:r>
          </w:p>
        </w:tc>
      </w:tr>
    </w:tbl>
    <w:p w14:paraId="46AE6E19" w14:textId="77777777" w:rsidR="005E000F" w:rsidRDefault="00000000">
      <w:pPr>
        <w:spacing w:line="360" w:lineRule="auto"/>
        <w:ind w:firstLine="480"/>
      </w:pPr>
      <w:r>
        <w:rPr>
          <w:rFonts w:hint="eastAsia"/>
          <w:color w:val="000000" w:themeColor="text1"/>
        </w:rPr>
        <w:t>注：</w:t>
      </w:r>
      <w:r>
        <w:t>鉴于募集资金投资项目中国铁路太原</w:t>
      </w:r>
      <w:proofErr w:type="gramStart"/>
      <w:r>
        <w:t>局集团</w:t>
      </w:r>
      <w:proofErr w:type="gramEnd"/>
      <w:r>
        <w:t>有限公司国有授权经营土地收购范围且具备交割条件的土地宗数、面积、价款等均发生变化，公司与太原局集团公司重新签订《国有授权经营土地使用权转让协议》。北京中企</w:t>
      </w:r>
      <w:proofErr w:type="gramStart"/>
      <w:r>
        <w:t>华资产</w:t>
      </w:r>
      <w:proofErr w:type="gramEnd"/>
      <w:r>
        <w:t>评估有限责任公司对纳入收购范围且具备交割条件的土地进行了重新评估，双方确认交易总价款为</w:t>
      </w:r>
      <w:r>
        <w:t>2,569,993.98</w:t>
      </w:r>
      <w:r>
        <w:t>万元（含税）</w:t>
      </w:r>
      <w:r>
        <w:rPr>
          <w:rFonts w:hint="eastAsia"/>
        </w:rPr>
        <w:t>。</w:t>
      </w:r>
    </w:p>
    <w:p w14:paraId="2CC28974" w14:textId="77777777" w:rsidR="005E000F" w:rsidRDefault="00000000">
      <w:pPr>
        <w:spacing w:line="360" w:lineRule="auto"/>
        <w:ind w:firstLine="480"/>
      </w:pPr>
      <w:r>
        <w:rPr>
          <w:rFonts w:hint="eastAsia"/>
        </w:rPr>
        <w:t>公司七</w:t>
      </w:r>
      <w:r>
        <w:t>届</w:t>
      </w:r>
      <w:r>
        <w:rPr>
          <w:rFonts w:hint="eastAsia"/>
        </w:rPr>
        <w:t>十三次</w:t>
      </w:r>
      <w:r>
        <w:t>董事会</w:t>
      </w:r>
      <w:r>
        <w:rPr>
          <w:rFonts w:hint="eastAsia"/>
        </w:rPr>
        <w:t>、七届九次监事会、</w:t>
      </w:r>
      <w:r>
        <w:rPr>
          <w:rFonts w:hint="eastAsia"/>
        </w:rPr>
        <w:t>2025</w:t>
      </w:r>
      <w:r>
        <w:rPr>
          <w:rFonts w:hint="eastAsia"/>
        </w:rPr>
        <w:t>年第一次临时股东会</w:t>
      </w:r>
      <w:r>
        <w:t>，审议通过了《</w:t>
      </w:r>
      <w:r>
        <w:rPr>
          <w:rFonts w:hint="eastAsia"/>
        </w:rPr>
        <w:t>关于募集资金投资项目结项并将节余募集资金永久补充流动资金的议案</w:t>
      </w:r>
      <w:r>
        <w:t>》</w:t>
      </w:r>
      <w:r>
        <w:rPr>
          <w:rFonts w:hint="eastAsia"/>
        </w:rPr>
        <w:t>，决定</w:t>
      </w:r>
      <w:proofErr w:type="gramStart"/>
      <w:r>
        <w:rPr>
          <w:rFonts w:hint="eastAsia"/>
        </w:rPr>
        <w:t>募投项目结项</w:t>
      </w:r>
      <w:proofErr w:type="gramEnd"/>
      <w:r>
        <w:rPr>
          <w:rFonts w:hint="eastAsia"/>
        </w:rPr>
        <w:t>后，</w:t>
      </w:r>
      <w:r>
        <w:t>节余募集资金永久补充流动资金，用于公司日常生产经营</w:t>
      </w:r>
      <w:r>
        <w:rPr>
          <w:rFonts w:hint="eastAsia"/>
        </w:rPr>
        <w:t>活动</w:t>
      </w:r>
      <w:r>
        <w:t>。</w:t>
      </w:r>
    </w:p>
    <w:p w14:paraId="3E1FEED9" w14:textId="77777777" w:rsidR="005E000F" w:rsidRDefault="00000000">
      <w:pPr>
        <w:spacing w:line="360" w:lineRule="auto"/>
        <w:ind w:firstLineChars="200" w:firstLine="420"/>
      </w:pPr>
      <w:r>
        <w:t>2025</w:t>
      </w:r>
      <w:r>
        <w:t>年</w:t>
      </w:r>
      <w:r>
        <w:t>10</w:t>
      </w:r>
      <w:r>
        <w:t>月</w:t>
      </w:r>
      <w:r>
        <w:t>9</w:t>
      </w:r>
      <w:r>
        <w:t>日</w:t>
      </w:r>
      <w:r>
        <w:rPr>
          <w:rFonts w:hint="eastAsia"/>
        </w:rPr>
        <w:t>，</w:t>
      </w:r>
      <w:r>
        <w:t>公司已全额支付</w:t>
      </w:r>
      <w:r>
        <w:t>“</w:t>
      </w:r>
      <w:r>
        <w:t>收购中国铁路太原局集团有限公司国有授权经营土地使用权</w:t>
      </w:r>
      <w:r>
        <w:t>”</w:t>
      </w:r>
      <w:r>
        <w:t>项目总价款，公司募集资金已按规定用途</w:t>
      </w:r>
      <w:r>
        <w:rPr>
          <w:rFonts w:hint="eastAsia"/>
        </w:rPr>
        <w:t>使用完毕。</w:t>
      </w:r>
      <w:r>
        <w:t>同时，将募集资金专项账户中节余募集资金全部转入公司自有资金账户用于永久性补充流动资金。</w:t>
      </w:r>
    </w:p>
    <w:p w14:paraId="6A1ACE26" w14:textId="77777777" w:rsidR="005E000F" w:rsidRDefault="00000000">
      <w:pPr>
        <w:pStyle w:val="aff8"/>
        <w:numPr>
          <w:ilvl w:val="0"/>
          <w:numId w:val="44"/>
        </w:numPr>
        <w:ind w:firstLineChars="0"/>
        <w:rPr>
          <w:color w:val="000000" w:themeColor="text1"/>
          <w:szCs w:val="21"/>
        </w:rPr>
      </w:pPr>
      <w:bookmarkStart w:id="177" w:name="_Hlk169882642"/>
      <w:bookmarkEnd w:id="169"/>
      <w:bookmarkEnd w:id="175"/>
      <w:r>
        <w:rPr>
          <w:rFonts w:hint="eastAsia"/>
          <w:color w:val="000000" w:themeColor="text1"/>
          <w:szCs w:val="21"/>
        </w:rPr>
        <w:t>超募</w:t>
      </w:r>
      <w:r>
        <w:rPr>
          <w:color w:val="000000" w:themeColor="text1"/>
          <w:szCs w:val="21"/>
        </w:rPr>
        <w:t>资金</w:t>
      </w:r>
      <w:r>
        <w:rPr>
          <w:rFonts w:hint="eastAsia"/>
          <w:color w:val="000000" w:themeColor="text1"/>
          <w:szCs w:val="21"/>
        </w:rPr>
        <w:t>明细</w:t>
      </w:r>
      <w:r>
        <w:rPr>
          <w:color w:val="000000" w:themeColor="text1"/>
          <w:szCs w:val="21"/>
        </w:rPr>
        <w:t>使用情况</w:t>
      </w:r>
    </w:p>
    <w:sdt>
      <w:sdtPr>
        <w:rPr>
          <w:rFonts w:hint="eastAsia"/>
          <w:color w:val="000000" w:themeColor="text1"/>
          <w:szCs w:val="22"/>
        </w:rPr>
        <w:alias w:val="是否适用：超募资金明细使用情况[双击切换]"/>
        <w:tag w:val="_GBC_d4d5528e8ab14707b1f96f506968e488"/>
        <w:id w:val="-1046680401"/>
        <w:placeholder>
          <w:docPart w:val="GBC22222222222222222222222222222"/>
        </w:placeholder>
      </w:sdtPr>
      <w:sdtContent>
        <w:p w14:paraId="21638769" w14:textId="77777777" w:rsidR="005E000F" w:rsidRDefault="00000000">
          <w:pPr>
            <w:rPr>
              <w:color w:val="000000" w:themeColor="text1"/>
              <w:szCs w:val="22"/>
            </w:rPr>
          </w:pPr>
          <w:r>
            <w:rPr>
              <w:rFonts w:ascii="宋体" w:hAnsi="宋体"/>
              <w:color w:val="000000" w:themeColor="text1"/>
              <w:szCs w:val="22"/>
            </w:rPr>
            <w:fldChar w:fldCharType="begin"/>
          </w:r>
          <w:r>
            <w:rPr>
              <w:rFonts w:ascii="宋体" w:hAnsi="宋体"/>
              <w:color w:val="000000" w:themeColor="text1"/>
              <w:szCs w:val="22"/>
            </w:rPr>
            <w:instrText xml:space="preserve"> MACROBUTTON  SnrToggleCheckbox □适用 </w:instrText>
          </w:r>
          <w:r>
            <w:rPr>
              <w:rFonts w:ascii="宋体" w:hAnsi="宋体"/>
              <w:color w:val="000000" w:themeColor="text1"/>
              <w:szCs w:val="22"/>
            </w:rPr>
            <w:fldChar w:fldCharType="end"/>
          </w:r>
          <w:r>
            <w:rPr>
              <w:rFonts w:ascii="宋体" w:hAnsi="宋体"/>
              <w:color w:val="000000" w:themeColor="text1"/>
              <w:szCs w:val="22"/>
            </w:rPr>
            <w:fldChar w:fldCharType="begin"/>
          </w:r>
          <w:r>
            <w:rPr>
              <w:rFonts w:ascii="宋体" w:hAnsi="宋体"/>
              <w:color w:val="000000" w:themeColor="text1"/>
              <w:szCs w:val="22"/>
            </w:rPr>
            <w:instrText xml:space="preserve"> MACROBUTTON  SnrToggleCheckbox √不适用 </w:instrText>
          </w:r>
          <w:r>
            <w:rPr>
              <w:rFonts w:ascii="宋体" w:hAnsi="宋体"/>
              <w:color w:val="000000" w:themeColor="text1"/>
              <w:szCs w:val="22"/>
            </w:rPr>
            <w:fldChar w:fldCharType="end"/>
          </w:r>
        </w:p>
      </w:sdtContent>
    </w:sdt>
    <w:p w14:paraId="024E8770" w14:textId="77777777" w:rsidR="005E000F" w:rsidRDefault="00000000">
      <w:pPr>
        <w:pStyle w:val="aff8"/>
        <w:numPr>
          <w:ilvl w:val="0"/>
          <w:numId w:val="44"/>
        </w:numPr>
        <w:ind w:firstLineChars="0"/>
        <w:rPr>
          <w:rFonts w:ascii="宋体" w:hAnsi="宋体" w:cs="宋体"/>
          <w:color w:val="000000" w:themeColor="text1"/>
          <w:kern w:val="0"/>
          <w:szCs w:val="21"/>
        </w:rPr>
      </w:pPr>
      <w:bookmarkStart w:id="178" w:name="_Hlk219389136"/>
      <w:bookmarkStart w:id="179" w:name="_Hlk219391702"/>
      <w:bookmarkEnd w:id="177"/>
      <w:r>
        <w:rPr>
          <w:rFonts w:ascii="宋体" w:hAnsi="宋体" w:cs="宋体" w:hint="eastAsia"/>
          <w:color w:val="000000" w:themeColor="text1"/>
          <w:kern w:val="0"/>
          <w:szCs w:val="21"/>
        </w:rPr>
        <w:t>报告期内</w:t>
      </w:r>
      <w:proofErr w:type="gramStart"/>
      <w:r>
        <w:rPr>
          <w:rFonts w:ascii="宋体" w:hAnsi="宋体" w:cs="宋体"/>
          <w:color w:val="000000" w:themeColor="text1"/>
          <w:kern w:val="0"/>
          <w:szCs w:val="21"/>
        </w:rPr>
        <w:t>募投项目</w:t>
      </w:r>
      <w:proofErr w:type="gramEnd"/>
      <w:r>
        <w:rPr>
          <w:rFonts w:ascii="宋体" w:hAnsi="宋体" w:cs="宋体"/>
          <w:color w:val="000000" w:themeColor="text1"/>
          <w:kern w:val="0"/>
          <w:szCs w:val="21"/>
        </w:rPr>
        <w:t>重新论证的具体情况</w:t>
      </w:r>
    </w:p>
    <w:sdt>
      <w:sdtPr>
        <w:rPr>
          <w:color w:val="000000"/>
          <w:szCs w:val="22"/>
        </w:rPr>
        <w:alias w:val="是否适用：报告期内募投项目重新论证的具体情况[双击切换]"/>
        <w:tag w:val="_GBC_17ebc5be770648878caf1408f0553bc5"/>
        <w:id w:val="-1706249188"/>
        <w:placeholder>
          <w:docPart w:val="GBC22222222222222222222222222222"/>
        </w:placeholder>
      </w:sdtPr>
      <w:sdtContent>
        <w:p w14:paraId="19AE8152" w14:textId="77777777" w:rsidR="005E000F" w:rsidRDefault="00000000">
          <w:pPr>
            <w:rPr>
              <w:color w:val="000000"/>
              <w:szCs w:val="22"/>
            </w:rPr>
          </w:pPr>
          <w:r>
            <w:rPr>
              <w:rFonts w:ascii="宋体" w:hAnsi="宋体"/>
              <w:color w:val="000000"/>
              <w:szCs w:val="22"/>
            </w:rPr>
            <w:fldChar w:fldCharType="begin"/>
          </w:r>
          <w:r>
            <w:rPr>
              <w:rFonts w:ascii="宋体" w:hAnsi="宋体"/>
              <w:color w:val="000000"/>
              <w:szCs w:val="22"/>
            </w:rPr>
            <w:instrText xml:space="preserve"> MACROBUTTON  SnrToggleCheckbox √适用 </w:instrText>
          </w:r>
          <w:r>
            <w:rPr>
              <w:rFonts w:ascii="宋体" w:hAnsi="宋体"/>
              <w:color w:val="000000"/>
              <w:szCs w:val="22"/>
            </w:rPr>
            <w:fldChar w:fldCharType="end"/>
          </w:r>
          <w:r>
            <w:rPr>
              <w:rFonts w:ascii="宋体" w:hAnsi="宋体"/>
              <w:color w:val="000000"/>
              <w:szCs w:val="22"/>
            </w:rPr>
            <w:fldChar w:fldCharType="begin"/>
          </w:r>
          <w:r>
            <w:rPr>
              <w:rFonts w:ascii="宋体" w:hAnsi="宋体"/>
              <w:color w:val="000000"/>
              <w:szCs w:val="22"/>
            </w:rPr>
            <w:instrText xml:space="preserve"> MACROBUTTON  SnrToggleCheckbox □不适用 </w:instrText>
          </w:r>
          <w:r>
            <w:rPr>
              <w:rFonts w:ascii="宋体" w:hAnsi="宋体"/>
              <w:color w:val="000000"/>
              <w:szCs w:val="22"/>
            </w:rPr>
            <w:fldChar w:fldCharType="end"/>
          </w:r>
        </w:p>
      </w:sdtContent>
    </w:sdt>
    <w:sdt>
      <w:sdtPr>
        <w:rPr>
          <w:color w:val="000000"/>
        </w:rPr>
        <w:alias w:val="报告期内募投项目重新论证的具体情况"/>
        <w:tag w:val="_GBC_606da054998b40ca82b4718c40bd1439"/>
        <w:id w:val="-367067272"/>
        <w:placeholder>
          <w:docPart w:val="GBC22222222222222222222222222222"/>
        </w:placeholder>
      </w:sdtPr>
      <w:sdtContent>
        <w:p w14:paraId="56A3F205" w14:textId="77777777" w:rsidR="005E000F" w:rsidRDefault="00000000">
          <w:pPr>
            <w:spacing w:line="360" w:lineRule="auto"/>
            <w:ind w:firstLineChars="200" w:firstLine="420"/>
          </w:pPr>
          <w:r>
            <w:rPr>
              <w:rFonts w:hint="eastAsia"/>
              <w:color w:val="000000"/>
            </w:rPr>
            <w:t>发行可转</w:t>
          </w:r>
          <w:proofErr w:type="gramStart"/>
          <w:r>
            <w:rPr>
              <w:rFonts w:hint="eastAsia"/>
              <w:color w:val="000000"/>
            </w:rPr>
            <w:t>债</w:t>
          </w:r>
          <w:r>
            <w:t>收购</w:t>
          </w:r>
          <w:proofErr w:type="gramEnd"/>
          <w:r>
            <w:t>中国铁路太原</w:t>
          </w:r>
          <w:proofErr w:type="gramStart"/>
          <w:r>
            <w:t>局集团</w:t>
          </w:r>
          <w:proofErr w:type="gramEnd"/>
          <w:r>
            <w:t>有限公司国有授权经营土地使用权项目涉及的土地分证合证、规划调整等情况复杂、变化因素多、协调周期长，截至</w:t>
          </w:r>
          <w:r>
            <w:t xml:space="preserve">2025 </w:t>
          </w:r>
          <w:r>
            <w:t>年</w:t>
          </w:r>
          <w:r>
            <w:t>6</w:t>
          </w:r>
          <w:r>
            <w:t>月</w:t>
          </w:r>
          <w:r>
            <w:t>30</w:t>
          </w:r>
          <w:r>
            <w:t>日，项目尚未完成交割。</w:t>
          </w:r>
        </w:p>
        <w:p w14:paraId="6A888261" w14:textId="77777777" w:rsidR="005E000F" w:rsidRDefault="00000000">
          <w:pPr>
            <w:spacing w:line="360" w:lineRule="auto"/>
            <w:ind w:firstLineChars="200" w:firstLine="420"/>
          </w:pPr>
          <w:r>
            <w:t>2025</w:t>
          </w:r>
          <w:r>
            <w:t>年</w:t>
          </w:r>
          <w:r>
            <w:t>8</w:t>
          </w:r>
          <w:r>
            <w:t>月</w:t>
          </w:r>
          <w:r>
            <w:t>27</w:t>
          </w:r>
          <w:r>
            <w:t>日，公司召开第七届董事会第十三次会议和第七届监事会第九次会议，审议通过了</w:t>
          </w:r>
          <w:proofErr w:type="gramStart"/>
          <w:r>
            <w:t>《</w:t>
          </w:r>
          <w:proofErr w:type="gramEnd"/>
          <w:r>
            <w:t>关于重新签订</w:t>
          </w:r>
          <w:proofErr w:type="gramStart"/>
          <w:r>
            <w:t>《</w:t>
          </w:r>
          <w:proofErr w:type="gramEnd"/>
          <w:r>
            <w:t>国有授权经营土地使用权转让协议</w:t>
          </w:r>
          <w:proofErr w:type="gramStart"/>
          <w:r>
            <w:t>》</w:t>
          </w:r>
          <w:proofErr w:type="gramEnd"/>
          <w:r>
            <w:t>的议案</w:t>
          </w:r>
          <w:proofErr w:type="gramStart"/>
          <w:r>
            <w:t>》</w:t>
          </w:r>
          <w:proofErr w:type="gramEnd"/>
          <w:r>
            <w:t>。鉴于募集资金投资项目国有授权经营土地收购范围且具备交割条件的土地宗数、面积、价款等均发生变化，公司拟与太原局集团公司重新签订《国有授权经营土地使用权转让协议》。北京中企</w:t>
          </w:r>
          <w:proofErr w:type="gramStart"/>
          <w:r>
            <w:t>华资产</w:t>
          </w:r>
          <w:proofErr w:type="gramEnd"/>
          <w:r>
            <w:t>评估有限责任公司对纳入收购范围且具备交割条件的土地进行了重新评估，双方确认交易总价款为</w:t>
          </w:r>
          <w:r>
            <w:t>2,569,993.98</w:t>
          </w:r>
          <w:r>
            <w:t>万元（含税）。</w:t>
          </w:r>
          <w:r>
            <w:rPr>
              <w:rFonts w:hint="eastAsia"/>
            </w:rPr>
            <w:t>内容详见</w:t>
          </w:r>
          <w:r>
            <w:rPr>
              <w:rFonts w:hint="eastAsia"/>
            </w:rPr>
            <w:t>2025</w:t>
          </w:r>
          <w:r>
            <w:rPr>
              <w:rFonts w:hint="eastAsia"/>
            </w:rPr>
            <w:t>年</w:t>
          </w:r>
          <w:r>
            <w:rPr>
              <w:rFonts w:hint="eastAsia"/>
            </w:rPr>
            <w:t>8</w:t>
          </w:r>
          <w:r>
            <w:rPr>
              <w:rFonts w:hint="eastAsia"/>
            </w:rPr>
            <w:t>月</w:t>
          </w:r>
          <w:r>
            <w:rPr>
              <w:rFonts w:hint="eastAsia"/>
            </w:rPr>
            <w:t>29</w:t>
          </w:r>
          <w:r>
            <w:rPr>
              <w:rFonts w:hint="eastAsia"/>
            </w:rPr>
            <w:t>日登载于上海证券交易所网站的《</w:t>
          </w:r>
          <w:r>
            <w:t>大秦铁路股份有限公司关于重新签订</w:t>
          </w:r>
          <w:r>
            <w:rPr>
              <w:rFonts w:hint="eastAsia"/>
            </w:rPr>
            <w:t>&lt;</w:t>
          </w:r>
          <w:r>
            <w:t>国有授权经</w:t>
          </w:r>
          <w:r>
            <w:lastRenderedPageBreak/>
            <w:t>营土地使用权转让协议</w:t>
          </w:r>
          <w:r>
            <w:rPr>
              <w:rFonts w:hint="eastAsia"/>
            </w:rPr>
            <w:t>&gt;</w:t>
          </w:r>
          <w:r>
            <w:t>暨关联交易的公告</w:t>
          </w:r>
          <w:r>
            <w:rPr>
              <w:rFonts w:hint="eastAsia"/>
            </w:rPr>
            <w:t>》。该事项已经公司</w:t>
          </w:r>
          <w:r>
            <w:rPr>
              <w:rFonts w:hint="eastAsia"/>
            </w:rPr>
            <w:t>2025</w:t>
          </w:r>
          <w:r>
            <w:rPr>
              <w:rFonts w:hint="eastAsia"/>
            </w:rPr>
            <w:t>年</w:t>
          </w:r>
          <w:r>
            <w:rPr>
              <w:rFonts w:hint="eastAsia"/>
            </w:rPr>
            <w:t>9</w:t>
          </w:r>
          <w:r>
            <w:rPr>
              <w:rFonts w:hint="eastAsia"/>
            </w:rPr>
            <w:t>月</w:t>
          </w:r>
          <w:r>
            <w:rPr>
              <w:rFonts w:hint="eastAsia"/>
            </w:rPr>
            <w:t>23</w:t>
          </w:r>
          <w:r>
            <w:rPr>
              <w:rFonts w:hint="eastAsia"/>
            </w:rPr>
            <w:t>日召开的</w:t>
          </w:r>
          <w:r>
            <w:rPr>
              <w:rFonts w:hint="eastAsia"/>
            </w:rPr>
            <w:t>2025</w:t>
          </w:r>
          <w:r>
            <w:rPr>
              <w:rFonts w:hint="eastAsia"/>
            </w:rPr>
            <w:t>年第一次临时股东会审议通过。内容详见</w:t>
          </w:r>
          <w:r>
            <w:rPr>
              <w:rFonts w:hint="eastAsia"/>
            </w:rPr>
            <w:t>2025</w:t>
          </w:r>
          <w:r>
            <w:rPr>
              <w:rFonts w:hint="eastAsia"/>
            </w:rPr>
            <w:t>年</w:t>
          </w:r>
          <w:r>
            <w:rPr>
              <w:rFonts w:hint="eastAsia"/>
            </w:rPr>
            <w:t>9</w:t>
          </w:r>
          <w:r>
            <w:rPr>
              <w:rFonts w:hint="eastAsia"/>
            </w:rPr>
            <w:t>月</w:t>
          </w:r>
          <w:r>
            <w:rPr>
              <w:rFonts w:hint="eastAsia"/>
            </w:rPr>
            <w:t>24</w:t>
          </w:r>
          <w:r>
            <w:rPr>
              <w:rFonts w:hint="eastAsia"/>
            </w:rPr>
            <w:t>日登载于上海证券交易所网站的《</w:t>
          </w:r>
          <w:r>
            <w:t>大秦铁路股份有限公司</w:t>
          </w:r>
          <w:r>
            <w:rPr>
              <w:rFonts w:hint="eastAsia"/>
            </w:rPr>
            <w:t>2025</w:t>
          </w:r>
          <w:r>
            <w:rPr>
              <w:rFonts w:hint="eastAsia"/>
            </w:rPr>
            <w:t>年第一次临时股东会决议</w:t>
          </w:r>
          <w:r>
            <w:t>公告</w:t>
          </w:r>
          <w:r>
            <w:rPr>
              <w:rFonts w:hint="eastAsia"/>
            </w:rPr>
            <w:t>》。</w:t>
          </w:r>
        </w:p>
        <w:p w14:paraId="11FEB7E8" w14:textId="77777777" w:rsidR="005E000F" w:rsidRDefault="00000000">
          <w:pPr>
            <w:spacing w:line="360" w:lineRule="auto"/>
            <w:ind w:firstLineChars="200" w:firstLine="420"/>
            <w:rPr>
              <w:color w:val="000000"/>
            </w:rPr>
          </w:pPr>
          <w:r>
            <w:t>2025</w:t>
          </w:r>
          <w:r>
            <w:t>年</w:t>
          </w:r>
          <w:r>
            <w:t>10</w:t>
          </w:r>
          <w:r>
            <w:t>月</w:t>
          </w:r>
          <w:r>
            <w:t>9</w:t>
          </w:r>
          <w:r>
            <w:t>日</w:t>
          </w:r>
          <w:r>
            <w:rPr>
              <w:rFonts w:hint="eastAsia"/>
            </w:rPr>
            <w:t>，</w:t>
          </w:r>
          <w:r>
            <w:t>公司已全额支付</w:t>
          </w:r>
          <w:r>
            <w:t>“</w:t>
          </w:r>
          <w:r>
            <w:t>收购中国铁路太原局集团有限公司国有授权经营土地使用权</w:t>
          </w:r>
          <w:r>
            <w:t>”</w:t>
          </w:r>
          <w:r>
            <w:t>项目总价款，公司募集资金已按规定用途使用完毕。同时，将募集资金专项账户中节余募集资金全部转入公司自有资金账户用于永久性补充流动资金。</w:t>
          </w:r>
          <w:r>
            <w:rPr>
              <w:rFonts w:hint="eastAsia"/>
            </w:rPr>
            <w:t>内容详见</w:t>
          </w:r>
          <w:r>
            <w:rPr>
              <w:rFonts w:hint="eastAsia"/>
            </w:rPr>
            <w:t>2025</w:t>
          </w:r>
          <w:r>
            <w:rPr>
              <w:rFonts w:hint="eastAsia"/>
            </w:rPr>
            <w:t>年</w:t>
          </w:r>
          <w:r>
            <w:rPr>
              <w:rFonts w:hint="eastAsia"/>
            </w:rPr>
            <w:t>10</w:t>
          </w:r>
          <w:r>
            <w:rPr>
              <w:rFonts w:hint="eastAsia"/>
            </w:rPr>
            <w:t>月</w:t>
          </w:r>
          <w:r>
            <w:rPr>
              <w:rFonts w:hint="eastAsia"/>
            </w:rPr>
            <w:t>15</w:t>
          </w:r>
          <w:r>
            <w:rPr>
              <w:rFonts w:hint="eastAsia"/>
            </w:rPr>
            <w:t>日登载于上海证券交易所网站的《</w:t>
          </w:r>
          <w:r>
            <w:t>大秦铁路股份有限公司关于募集资金使用完毕及注销募集资金账户的公告</w:t>
          </w:r>
          <w:r>
            <w:rPr>
              <w:rFonts w:hint="eastAsia"/>
            </w:rPr>
            <w:t>》。</w:t>
          </w:r>
        </w:p>
      </w:sdtContent>
    </w:sdt>
    <w:p w14:paraId="73E1EBA3" w14:textId="77777777" w:rsidR="005E000F" w:rsidRDefault="00000000">
      <w:pPr>
        <w:pStyle w:val="3"/>
        <w:numPr>
          <w:ilvl w:val="0"/>
          <w:numId w:val="43"/>
        </w:numPr>
        <w:tabs>
          <w:tab w:val="left" w:pos="360"/>
        </w:tabs>
        <w:ind w:left="450" w:hanging="450"/>
        <w:rPr>
          <w:rFonts w:ascii="宋体" w:hAnsi="宋体"/>
          <w:color w:val="000000" w:themeColor="text1"/>
          <w:szCs w:val="21"/>
        </w:rPr>
      </w:pPr>
      <w:bookmarkStart w:id="180" w:name="_Hlk90391874"/>
      <w:bookmarkEnd w:id="178"/>
      <w:bookmarkEnd w:id="179"/>
      <w:r>
        <w:rPr>
          <w:rFonts w:ascii="宋体" w:hAnsi="宋体" w:hint="eastAsia"/>
          <w:color w:val="000000" w:themeColor="text1"/>
          <w:szCs w:val="21"/>
        </w:rPr>
        <w:t>报告期</w:t>
      </w:r>
      <w:proofErr w:type="gramStart"/>
      <w:r>
        <w:rPr>
          <w:rFonts w:ascii="宋体" w:hAnsi="宋体"/>
          <w:color w:val="000000" w:themeColor="text1"/>
          <w:szCs w:val="21"/>
        </w:rPr>
        <w:t>内</w:t>
      </w:r>
      <w:r>
        <w:rPr>
          <w:rFonts w:ascii="宋体" w:hAnsi="宋体" w:hint="eastAsia"/>
          <w:color w:val="000000" w:themeColor="text1"/>
          <w:szCs w:val="21"/>
        </w:rPr>
        <w:t>募投变更</w:t>
      </w:r>
      <w:proofErr w:type="gramEnd"/>
      <w:r>
        <w:rPr>
          <w:rFonts w:ascii="宋体" w:hAnsi="宋体" w:hint="eastAsia"/>
          <w:color w:val="000000" w:themeColor="text1"/>
          <w:szCs w:val="21"/>
        </w:rPr>
        <w:t>或终止情况</w:t>
      </w:r>
    </w:p>
    <w:sdt>
      <w:sdtPr>
        <w:rPr>
          <w:color w:val="000000" w:themeColor="text1"/>
        </w:rPr>
        <w:alias w:val="是否适用：报告期内募投变更情况  [双击切换]"/>
        <w:tag w:val="_GBC_61c6bb17977047c182c97c4ccdd9b239"/>
        <w:id w:val="471108485"/>
        <w:placeholder>
          <w:docPart w:val="GBC22222222222222222222222222222"/>
        </w:placeholder>
      </w:sdtPr>
      <w:sdtContent>
        <w:p w14:paraId="3D19BA6F"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70"/>
    <w:bookmarkEnd w:id="180"/>
    <w:p w14:paraId="1F1215A9" w14:textId="77777777" w:rsidR="005E000F" w:rsidRDefault="005E000F">
      <w:pPr>
        <w:rPr>
          <w:color w:val="000000" w:themeColor="text1"/>
        </w:rPr>
        <w:sectPr w:rsidR="005E000F">
          <w:pgSz w:w="16838" w:h="11906" w:orient="landscape"/>
          <w:pgMar w:top="1797" w:right="1525" w:bottom="1276" w:left="1440" w:header="855" w:footer="992" w:gutter="0"/>
          <w:cols w:space="425"/>
          <w:docGrid w:linePitch="312"/>
        </w:sectPr>
      </w:pPr>
    </w:p>
    <w:p w14:paraId="13D5A600" w14:textId="77777777" w:rsidR="005E000F" w:rsidRDefault="00000000">
      <w:pPr>
        <w:pStyle w:val="3"/>
        <w:numPr>
          <w:ilvl w:val="0"/>
          <w:numId w:val="43"/>
        </w:numPr>
        <w:tabs>
          <w:tab w:val="left" w:pos="360"/>
        </w:tabs>
        <w:ind w:left="450" w:hanging="450"/>
        <w:rPr>
          <w:rFonts w:ascii="宋体" w:hAnsi="宋体"/>
          <w:color w:val="000000" w:themeColor="text1"/>
          <w:szCs w:val="21"/>
        </w:rPr>
      </w:pPr>
      <w:bookmarkStart w:id="181" w:name="_Hlk106701941"/>
      <w:bookmarkEnd w:id="164"/>
      <w:bookmarkEnd w:id="171"/>
      <w:r>
        <w:rPr>
          <w:rFonts w:ascii="宋体" w:hAnsi="宋体" w:hint="eastAsia"/>
          <w:color w:val="000000" w:themeColor="text1"/>
          <w:szCs w:val="21"/>
        </w:rPr>
        <w:lastRenderedPageBreak/>
        <w:t>报告期</w:t>
      </w:r>
      <w:r>
        <w:rPr>
          <w:rFonts w:ascii="宋体" w:hAnsi="宋体"/>
          <w:color w:val="000000" w:themeColor="text1"/>
          <w:szCs w:val="21"/>
        </w:rPr>
        <w:t>内</w:t>
      </w:r>
      <w:r>
        <w:rPr>
          <w:rFonts w:ascii="宋体" w:hAnsi="宋体" w:hint="eastAsia"/>
          <w:color w:val="000000" w:themeColor="text1"/>
          <w:szCs w:val="21"/>
        </w:rPr>
        <w:t>募集</w:t>
      </w:r>
      <w:r>
        <w:rPr>
          <w:rFonts w:ascii="宋体" w:hAnsi="宋体"/>
          <w:color w:val="000000" w:themeColor="text1"/>
          <w:szCs w:val="21"/>
        </w:rPr>
        <w:t>资金使用</w:t>
      </w:r>
      <w:r>
        <w:rPr>
          <w:rFonts w:ascii="宋体" w:hAnsi="宋体" w:hint="eastAsia"/>
          <w:color w:val="000000" w:themeColor="text1"/>
          <w:szCs w:val="21"/>
        </w:rPr>
        <w:t>的</w:t>
      </w:r>
      <w:r>
        <w:rPr>
          <w:rFonts w:ascii="宋体" w:hAnsi="宋体"/>
          <w:color w:val="000000" w:themeColor="text1"/>
          <w:szCs w:val="21"/>
        </w:rPr>
        <w:t>其他</w:t>
      </w:r>
      <w:r>
        <w:rPr>
          <w:rFonts w:ascii="宋体" w:hAnsi="宋体" w:hint="eastAsia"/>
          <w:color w:val="000000" w:themeColor="text1"/>
          <w:szCs w:val="21"/>
        </w:rPr>
        <w:t>情况</w:t>
      </w:r>
    </w:p>
    <w:p w14:paraId="064E0AEC" w14:textId="77777777" w:rsidR="005E000F" w:rsidRDefault="00000000">
      <w:pPr>
        <w:pStyle w:val="4"/>
        <w:numPr>
          <w:ilvl w:val="0"/>
          <w:numId w:val="45"/>
        </w:numPr>
        <w:tabs>
          <w:tab w:val="left" w:pos="360"/>
        </w:tabs>
        <w:ind w:left="0" w:firstLine="0"/>
        <w:rPr>
          <w:b w:val="0"/>
          <w:color w:val="000000" w:themeColor="text1"/>
        </w:rPr>
      </w:pPr>
      <w:bookmarkStart w:id="182" w:name="_Hlk90391881"/>
      <w:r>
        <w:rPr>
          <w:rFonts w:hint="eastAsia"/>
          <w:b w:val="0"/>
          <w:color w:val="000000" w:themeColor="text1"/>
        </w:rPr>
        <w:t>募集资金投资项目先期投入及置换情况</w:t>
      </w:r>
    </w:p>
    <w:sdt>
      <w:sdtPr>
        <w:rPr>
          <w:color w:val="000000" w:themeColor="text1"/>
        </w:rPr>
        <w:alias w:val="是否适用：募集资金投资项目先期投入及置换情况[双击切换]"/>
        <w:tag w:val="_GBC_b06d44c662884677b070104fc12a6377"/>
        <w:id w:val="-1648514471"/>
        <w:placeholder>
          <w:docPart w:val="GBC22222222222222222222222222222"/>
        </w:placeholder>
      </w:sdtPr>
      <w:sdtContent>
        <w:p w14:paraId="7B05A6B2"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22D8E5E3" w14:textId="77777777" w:rsidR="005E000F" w:rsidRDefault="00000000">
      <w:pPr>
        <w:pStyle w:val="4"/>
        <w:numPr>
          <w:ilvl w:val="0"/>
          <w:numId w:val="45"/>
        </w:numPr>
        <w:tabs>
          <w:tab w:val="left" w:pos="360"/>
        </w:tabs>
        <w:ind w:left="0" w:firstLine="0"/>
        <w:rPr>
          <w:b w:val="0"/>
          <w:color w:val="000000" w:themeColor="text1"/>
        </w:rPr>
      </w:pPr>
      <w:bookmarkStart w:id="183" w:name="_Hlk90391885"/>
      <w:bookmarkEnd w:id="182"/>
      <w:r>
        <w:rPr>
          <w:rFonts w:hint="eastAsia"/>
          <w:b w:val="0"/>
          <w:color w:val="000000" w:themeColor="text1"/>
        </w:rPr>
        <w:t>用闲置募集资金暂时补充流动资金情况</w:t>
      </w:r>
    </w:p>
    <w:sdt>
      <w:sdtPr>
        <w:rPr>
          <w:color w:val="000000" w:themeColor="text1"/>
        </w:rPr>
        <w:alias w:val="是否适用：用闲置募集资金暂时补充流动资金情况[双击切换]"/>
        <w:tag w:val="_GBC_ff43f380569e44b3a8133e22e550808e"/>
        <w:id w:val="1232740796"/>
        <w:placeholder>
          <w:docPart w:val="GBC22222222222222222222222222222"/>
        </w:placeholder>
      </w:sdtPr>
      <w:sdtContent>
        <w:p w14:paraId="75F80C9A"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80879AA" w14:textId="77777777" w:rsidR="005E000F" w:rsidRDefault="00000000">
      <w:pPr>
        <w:pStyle w:val="4"/>
        <w:numPr>
          <w:ilvl w:val="0"/>
          <w:numId w:val="45"/>
        </w:numPr>
        <w:tabs>
          <w:tab w:val="left" w:pos="360"/>
        </w:tabs>
        <w:ind w:left="0" w:firstLine="0"/>
        <w:rPr>
          <w:b w:val="0"/>
          <w:color w:val="000000" w:themeColor="text1"/>
        </w:rPr>
      </w:pPr>
      <w:bookmarkStart w:id="184" w:name="_Hlk90391888"/>
      <w:bookmarkStart w:id="185" w:name="_Hlk168577344"/>
      <w:bookmarkEnd w:id="183"/>
      <w:r>
        <w:rPr>
          <w:rFonts w:hint="eastAsia"/>
          <w:b w:val="0"/>
          <w:color w:val="000000" w:themeColor="text1"/>
        </w:rPr>
        <w:t>对闲置募集资金进行现金管理，投资相关产品情况</w:t>
      </w:r>
    </w:p>
    <w:sdt>
      <w:sdtPr>
        <w:rPr>
          <w:color w:val="000000" w:themeColor="text1"/>
        </w:rPr>
        <w:alias w:val="是否适用：对闲置募集资金进行现金管理，投资相关产品情况[双击切换]"/>
        <w:tag w:val="_GBC_92cbbe7d67804f08b5eee0f9fcfc832c"/>
        <w:id w:val="-1138500215"/>
        <w:placeholder>
          <w:docPart w:val="GBC22222222222222222222222222222"/>
        </w:placeholder>
      </w:sdtPr>
      <w:sdtContent>
        <w:p w14:paraId="08304335"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bookmarkEnd w:id="184"/>
    <w:bookmarkEnd w:id="185"/>
    <w:p w14:paraId="3E8EF091" w14:textId="77777777" w:rsidR="005E000F" w:rsidRDefault="00000000">
      <w:pPr>
        <w:pStyle w:val="4"/>
        <w:numPr>
          <w:ilvl w:val="0"/>
          <w:numId w:val="45"/>
        </w:numPr>
        <w:tabs>
          <w:tab w:val="left" w:pos="360"/>
        </w:tabs>
        <w:ind w:left="0" w:firstLine="0"/>
        <w:rPr>
          <w:b w:val="0"/>
          <w:color w:val="000000" w:themeColor="text1"/>
        </w:rPr>
      </w:pPr>
      <w:r>
        <w:rPr>
          <w:b w:val="0"/>
          <w:color w:val="000000" w:themeColor="text1"/>
        </w:rPr>
        <w:t>其他</w:t>
      </w:r>
    </w:p>
    <w:sdt>
      <w:sdtPr>
        <w:rPr>
          <w:color w:val="000000" w:themeColor="text1"/>
        </w:rPr>
        <w:alias w:val="是否适用：募集资金使用的其他情况?[双击切换]"/>
        <w:tag w:val="_GBC_9e056ad2df86481f90515884d4d4be4c"/>
        <w:id w:val="1858696802"/>
        <w:placeholder>
          <w:docPart w:val="GBC22222222222222222222222222222"/>
        </w:placeholder>
      </w:sdtPr>
      <w:sdtContent>
        <w:p w14:paraId="0CAFB9E1"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4C7A9FFD" w14:textId="77777777" w:rsidR="005E000F" w:rsidRDefault="00000000">
      <w:pPr>
        <w:pStyle w:val="3"/>
        <w:numPr>
          <w:ilvl w:val="0"/>
          <w:numId w:val="43"/>
        </w:numPr>
        <w:tabs>
          <w:tab w:val="left" w:pos="360"/>
        </w:tabs>
        <w:ind w:left="450" w:hanging="450"/>
        <w:rPr>
          <w:rFonts w:ascii="宋体" w:hAnsi="宋体"/>
          <w:szCs w:val="21"/>
        </w:rPr>
      </w:pPr>
      <w:bookmarkStart w:id="186" w:name="_Hlk214868889"/>
      <w:bookmarkStart w:id="187" w:name="_Hlk216883419"/>
      <w:bookmarkStart w:id="188" w:name="_Hlk216874679"/>
      <w:bookmarkStart w:id="189" w:name="_Hlk216881079"/>
      <w:bookmarkStart w:id="190" w:name="_Hlk216946428"/>
      <w:bookmarkEnd w:id="165"/>
      <w:bookmarkEnd w:id="166"/>
      <w:bookmarkEnd w:id="167"/>
      <w:bookmarkEnd w:id="181"/>
      <w:r>
        <w:rPr>
          <w:rFonts w:ascii="宋体" w:hAnsi="宋体"/>
          <w:szCs w:val="21"/>
        </w:rPr>
        <w:t>中介机构</w:t>
      </w:r>
      <w:r>
        <w:rPr>
          <w:rFonts w:ascii="宋体" w:hAnsi="宋体" w:hint="eastAsia"/>
          <w:szCs w:val="21"/>
        </w:rPr>
        <w:t>关于募集资金存储与使用情况的专项核查、</w:t>
      </w:r>
      <w:proofErr w:type="gramStart"/>
      <w:r>
        <w:rPr>
          <w:rFonts w:ascii="宋体" w:hAnsi="宋体" w:hint="eastAsia"/>
          <w:szCs w:val="21"/>
        </w:rPr>
        <w:t>鉴证</w:t>
      </w:r>
      <w:proofErr w:type="gramEnd"/>
      <w:r>
        <w:rPr>
          <w:rFonts w:ascii="宋体" w:hAnsi="宋体" w:hint="eastAsia"/>
          <w:szCs w:val="21"/>
        </w:rPr>
        <w:t>的结论性意见</w:t>
      </w:r>
    </w:p>
    <w:sdt>
      <w:sdtPr>
        <w:rPr>
          <w:rFonts w:hint="eastAsia"/>
        </w:rPr>
        <w:alias w:val="是否适用：中介机构关于募集资金存储与使用情况的专项核查、鉴证的结论性意见[双击切换]"/>
        <w:tag w:val="_GBC_0c07a997d1b64dd08b6cf0d35cb3a756"/>
        <w:id w:val="-333836028"/>
        <w:placeholder>
          <w:docPart w:val="GBC22222222222222222222222222222"/>
        </w:placeholder>
      </w:sdtPr>
      <w:sdtContent>
        <w:p w14:paraId="1758900B" w14:textId="77777777" w:rsidR="005E000F" w:rsidRDefault="00000000">
          <w:r>
            <w:rPr>
              <w:rFonts w:hint="eastAsia"/>
            </w:rP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rPr>
              <w:rFonts w:hint="eastAsia"/>
            </w:rPr>
            <w:fldChar w:fldCharType="end"/>
          </w:r>
          <w:r>
            <w:rPr>
              <w:rFonts w:hint="eastAsia"/>
            </w:rP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rPr>
              <w:rFonts w:hint="eastAsia"/>
            </w:rPr>
            <w:fldChar w:fldCharType="end"/>
          </w:r>
        </w:p>
      </w:sdtContent>
    </w:sdt>
    <w:sdt>
      <w:sdtPr>
        <w:alias w:val="中介机构关于募集资金存储与使用情况的专项核查、鉴证的结论性意见"/>
        <w:tag w:val="_GBC_f66f056e925f4ba39cf34293af5d7e23"/>
        <w:id w:val="616414320"/>
        <w:placeholder>
          <w:docPart w:val="GBC22222222222222222222222222222"/>
        </w:placeholder>
      </w:sdtPr>
      <w:sdtEndPr>
        <w:rPr>
          <w:rFonts w:eastAsiaTheme="minorEastAsia"/>
          <w:lang w:bidi="en-US"/>
        </w:rPr>
      </w:sdtEndPr>
      <w:sdtContent>
        <w:p w14:paraId="3B9AB563" w14:textId="77777777" w:rsidR="005E000F" w:rsidRDefault="00000000">
          <w:pPr>
            <w:spacing w:line="360" w:lineRule="auto"/>
            <w:ind w:firstLineChars="200" w:firstLine="420"/>
            <w:rPr>
              <w:rFonts w:eastAsiaTheme="minorEastAsia"/>
              <w:lang w:bidi="en-US"/>
            </w:rPr>
          </w:pPr>
          <w:proofErr w:type="gramStart"/>
          <w:r>
            <w:rPr>
              <w:rFonts w:eastAsiaTheme="minorEastAsia"/>
              <w:lang w:bidi="en-US"/>
            </w:rPr>
            <w:t>国泰海通</w:t>
          </w:r>
          <w:proofErr w:type="gramEnd"/>
          <w:r>
            <w:rPr>
              <w:rFonts w:eastAsiaTheme="minorEastAsia"/>
              <w:lang w:bidi="en-US"/>
            </w:rPr>
            <w:t>证券股份有限公司出具了《</w:t>
          </w:r>
          <w:r>
            <w:t>关于大秦铁路股份有限公司募集资金投资项目结项并将节余募集资金永久补充流动资金的核查意见</w:t>
          </w:r>
          <w:r>
            <w:rPr>
              <w:rFonts w:eastAsiaTheme="minorEastAsia"/>
              <w:lang w:bidi="en-US"/>
            </w:rPr>
            <w:t>》。认为：公司本次募集资金投资</w:t>
          </w:r>
          <w:proofErr w:type="gramStart"/>
          <w:r>
            <w:rPr>
              <w:rFonts w:eastAsiaTheme="minorEastAsia"/>
              <w:lang w:bidi="en-US"/>
            </w:rPr>
            <w:t>项目结项并</w:t>
          </w:r>
          <w:proofErr w:type="gramEnd"/>
          <w:r>
            <w:rPr>
              <w:rFonts w:eastAsiaTheme="minorEastAsia"/>
              <w:lang w:bidi="en-US"/>
            </w:rPr>
            <w:t>将节余募集资金永久补充流动资金事项已经公司董事会、监事会审议通过，符合相关法律法规，尚需提交公司股东会审议。公司本次募集资金投资</w:t>
          </w:r>
          <w:proofErr w:type="gramStart"/>
          <w:r>
            <w:rPr>
              <w:rFonts w:eastAsiaTheme="minorEastAsia"/>
              <w:lang w:bidi="en-US"/>
            </w:rPr>
            <w:t>项目结项并</w:t>
          </w:r>
          <w:proofErr w:type="gramEnd"/>
          <w:r>
            <w:rPr>
              <w:rFonts w:eastAsiaTheme="minorEastAsia"/>
              <w:lang w:bidi="en-US"/>
            </w:rPr>
            <w:t>将节余募集资金永久补充流动资金事项符合《上市公司募集资金监管规则》《上海证券交易所股票上市规则》《上海证券交易所上市公司自律监管指引第</w:t>
          </w:r>
          <w:r>
            <w:rPr>
              <w:rFonts w:eastAsiaTheme="minorEastAsia"/>
              <w:lang w:bidi="en-US"/>
            </w:rPr>
            <w:t>1</w:t>
          </w:r>
          <w:r>
            <w:rPr>
              <w:rFonts w:eastAsiaTheme="minorEastAsia"/>
              <w:lang w:bidi="en-US"/>
            </w:rPr>
            <w:t>号</w:t>
          </w:r>
          <w:r>
            <w:rPr>
              <w:rFonts w:eastAsiaTheme="minorEastAsia"/>
              <w:lang w:bidi="en-US"/>
            </w:rPr>
            <w:t>——</w:t>
          </w:r>
          <w:r>
            <w:rPr>
              <w:rFonts w:eastAsiaTheme="minorEastAsia"/>
              <w:lang w:bidi="en-US"/>
            </w:rPr>
            <w:t>规范运作》等相关法律法规及公司募集资金管理制度的规定，不存在变相改变募集资金使用用途的情形，不存在损害公司及中小股东利益的情形。</w:t>
          </w:r>
        </w:p>
        <w:p w14:paraId="392D6411" w14:textId="77777777" w:rsidR="005E000F" w:rsidRDefault="00000000">
          <w:pPr>
            <w:autoSpaceDE w:val="0"/>
            <w:autoSpaceDN w:val="0"/>
            <w:spacing w:beforeLines="50" w:before="120" w:afterLines="50" w:after="120" w:line="360" w:lineRule="auto"/>
            <w:ind w:firstLineChars="200" w:firstLine="420"/>
            <w:rPr>
              <w:rFonts w:eastAsiaTheme="minorEastAsia"/>
              <w:lang w:bidi="en-US"/>
            </w:rPr>
          </w:pPr>
          <w:proofErr w:type="gramStart"/>
          <w:r>
            <w:rPr>
              <w:rFonts w:eastAsiaTheme="minorEastAsia"/>
              <w:lang w:bidi="en-US"/>
            </w:rPr>
            <w:t>国泰海通</w:t>
          </w:r>
          <w:proofErr w:type="gramEnd"/>
          <w:r>
            <w:rPr>
              <w:rFonts w:eastAsiaTheme="minorEastAsia"/>
              <w:lang w:bidi="en-US"/>
            </w:rPr>
            <w:t>证券股份有限公司出具了《关于大秦铁路股份有限公司</w:t>
          </w:r>
          <w:r>
            <w:rPr>
              <w:rFonts w:eastAsiaTheme="minorEastAsia"/>
              <w:lang w:bidi="en-US"/>
            </w:rPr>
            <w:t>2025</w:t>
          </w:r>
          <w:r>
            <w:rPr>
              <w:rFonts w:eastAsiaTheme="minorEastAsia"/>
              <w:lang w:bidi="en-US"/>
            </w:rPr>
            <w:t>年度募集资金存放与实际使用情况的专项核查报告》。认为：</w:t>
          </w:r>
          <w:r>
            <w:rPr>
              <w:rFonts w:eastAsiaTheme="minorEastAsia"/>
              <w:lang w:bidi="en-US"/>
            </w:rPr>
            <w:t>2025</w:t>
          </w:r>
          <w:r>
            <w:rPr>
              <w:rFonts w:eastAsiaTheme="minorEastAsia"/>
              <w:lang w:bidi="en-US"/>
            </w:rPr>
            <w:t>年度公司募集资金存放、管理与实际使用情况符合《证券发行上市保荐业务管理办法》《上市公司募集资金监管规则》《上海证券交易所上市公司自律监管指引第</w:t>
          </w:r>
          <w:r>
            <w:rPr>
              <w:rFonts w:eastAsiaTheme="minorEastAsia"/>
              <w:lang w:bidi="en-US"/>
            </w:rPr>
            <w:t>1</w:t>
          </w:r>
          <w:r>
            <w:rPr>
              <w:rFonts w:eastAsiaTheme="minorEastAsia"/>
              <w:lang w:bidi="en-US"/>
            </w:rPr>
            <w:t>号</w:t>
          </w:r>
          <w:r>
            <w:rPr>
              <w:rFonts w:eastAsiaTheme="minorEastAsia"/>
              <w:lang w:bidi="en-US"/>
            </w:rPr>
            <w:t>——</w:t>
          </w:r>
          <w:r>
            <w:rPr>
              <w:rFonts w:eastAsiaTheme="minorEastAsia"/>
              <w:lang w:bidi="en-US"/>
            </w:rPr>
            <w:t>规范运作》等相关法规和规范性文件的要求；公司对募集资金进行了专户存放和专项使用，并及时履行了相关信息披露义务；募集资金具体使用情况与披露情况一致；不存在变相改变募集资金用途和损害股东利益的情形；不存在募集资金使用违反相关法律法规的情形。</w:t>
          </w:r>
        </w:p>
        <w:p w14:paraId="1D64B67F" w14:textId="77777777" w:rsidR="005E000F" w:rsidRDefault="00000000">
          <w:pPr>
            <w:autoSpaceDE w:val="0"/>
            <w:autoSpaceDN w:val="0"/>
            <w:spacing w:beforeLines="50" w:before="120" w:afterLines="50" w:after="120" w:line="360" w:lineRule="auto"/>
            <w:ind w:firstLineChars="200" w:firstLine="420"/>
            <w:rPr>
              <w:rFonts w:eastAsiaTheme="minorEastAsia"/>
              <w:lang w:bidi="en-US"/>
            </w:rPr>
          </w:pPr>
          <w:proofErr w:type="gramStart"/>
          <w:r>
            <w:rPr>
              <w:rFonts w:eastAsiaTheme="minorEastAsia"/>
              <w:lang w:bidi="en-US"/>
            </w:rPr>
            <w:t>信永中和</w:t>
          </w:r>
          <w:proofErr w:type="gramEnd"/>
          <w:r>
            <w:rPr>
              <w:rFonts w:eastAsiaTheme="minorEastAsia"/>
              <w:lang w:bidi="en-US"/>
            </w:rPr>
            <w:t>会计师事务所</w:t>
          </w:r>
          <w:r>
            <w:rPr>
              <w:rFonts w:eastAsiaTheme="minorEastAsia"/>
              <w:lang w:bidi="en-US"/>
            </w:rPr>
            <w:t>(</w:t>
          </w:r>
          <w:r>
            <w:rPr>
              <w:rFonts w:eastAsiaTheme="minorEastAsia"/>
              <w:lang w:bidi="en-US"/>
            </w:rPr>
            <w:t>特殊普通合伙</w:t>
          </w:r>
          <w:r>
            <w:rPr>
              <w:rFonts w:eastAsiaTheme="minorEastAsia"/>
              <w:lang w:bidi="en-US"/>
            </w:rPr>
            <w:t>)</w:t>
          </w:r>
          <w:r>
            <w:rPr>
              <w:rFonts w:eastAsiaTheme="minorEastAsia"/>
              <w:lang w:bidi="en-US"/>
            </w:rPr>
            <w:t>对大秦铁路</w:t>
          </w:r>
          <w:r>
            <w:rPr>
              <w:rFonts w:eastAsiaTheme="minorEastAsia"/>
              <w:lang w:bidi="en-US"/>
            </w:rPr>
            <w:t>2025</w:t>
          </w:r>
          <w:r>
            <w:rPr>
              <w:rFonts w:eastAsiaTheme="minorEastAsia"/>
              <w:lang w:bidi="en-US"/>
            </w:rPr>
            <w:t>年度募集资金存放、管理与实际使用情况进行了</w:t>
          </w:r>
          <w:proofErr w:type="gramStart"/>
          <w:r>
            <w:rPr>
              <w:rFonts w:eastAsiaTheme="minorEastAsia"/>
              <w:lang w:bidi="en-US"/>
            </w:rPr>
            <w:t>鉴证</w:t>
          </w:r>
          <w:proofErr w:type="gramEnd"/>
          <w:r>
            <w:rPr>
              <w:rFonts w:eastAsiaTheme="minorEastAsia"/>
              <w:lang w:bidi="en-US"/>
            </w:rPr>
            <w:t>，并出具了《对大秦铁路股份有限公司关于募集资金</w:t>
          </w:r>
          <w:r>
            <w:rPr>
              <w:rFonts w:eastAsiaTheme="minorEastAsia"/>
              <w:lang w:bidi="en-US"/>
            </w:rPr>
            <w:t>2025</w:t>
          </w:r>
          <w:r>
            <w:rPr>
              <w:rFonts w:eastAsiaTheme="minorEastAsia"/>
              <w:lang w:bidi="en-US"/>
            </w:rPr>
            <w:t>年度存放、管理与实际使用情况的专项报告》，认为：大秦铁路已经按照《上市公司募集资金监管规则》（证监会公告</w:t>
          </w:r>
          <w:r>
            <w:rPr>
              <w:rFonts w:eastAsiaTheme="minorEastAsia"/>
              <w:lang w:bidi="en-US"/>
            </w:rPr>
            <w:t>[2025]10</w:t>
          </w:r>
          <w:r>
            <w:rPr>
              <w:rFonts w:eastAsiaTheme="minorEastAsia"/>
              <w:lang w:bidi="en-US"/>
            </w:rPr>
            <w:t>号）和《上海证券交易所上市公司自律监管指引第</w:t>
          </w:r>
          <w:r>
            <w:rPr>
              <w:rFonts w:eastAsiaTheme="minorEastAsia"/>
              <w:lang w:bidi="en-US"/>
            </w:rPr>
            <w:t>1</w:t>
          </w:r>
          <w:r>
            <w:rPr>
              <w:rFonts w:eastAsiaTheme="minorEastAsia"/>
              <w:lang w:bidi="en-US"/>
            </w:rPr>
            <w:t>号</w:t>
          </w:r>
          <w:r>
            <w:rPr>
              <w:rFonts w:eastAsiaTheme="minorEastAsia"/>
              <w:lang w:bidi="en-US"/>
            </w:rPr>
            <w:t>——</w:t>
          </w:r>
          <w:r>
            <w:rPr>
              <w:rFonts w:eastAsiaTheme="minorEastAsia"/>
              <w:lang w:bidi="en-US"/>
            </w:rPr>
            <w:t>规范运作》（</w:t>
          </w:r>
          <w:r>
            <w:rPr>
              <w:rFonts w:eastAsiaTheme="minorEastAsia"/>
              <w:lang w:bidi="en-US"/>
            </w:rPr>
            <w:t>2025</w:t>
          </w:r>
          <w:r>
            <w:rPr>
              <w:rFonts w:eastAsiaTheme="minorEastAsia"/>
              <w:lang w:bidi="en-US"/>
            </w:rPr>
            <w:t>年</w:t>
          </w:r>
          <w:r>
            <w:rPr>
              <w:rFonts w:eastAsiaTheme="minorEastAsia"/>
              <w:lang w:bidi="en-US"/>
            </w:rPr>
            <w:t>5</w:t>
          </w:r>
          <w:r>
            <w:rPr>
              <w:rFonts w:eastAsiaTheme="minorEastAsia"/>
              <w:lang w:bidi="en-US"/>
            </w:rPr>
            <w:t>月修订）及相关格式指引的规定编制，在所有重大方面如实反映了大秦铁路</w:t>
          </w:r>
          <w:r>
            <w:rPr>
              <w:rFonts w:eastAsiaTheme="minorEastAsia"/>
              <w:lang w:bidi="en-US"/>
            </w:rPr>
            <w:t>2025</w:t>
          </w:r>
          <w:r>
            <w:rPr>
              <w:rFonts w:eastAsiaTheme="minorEastAsia"/>
              <w:lang w:bidi="en-US"/>
            </w:rPr>
            <w:t>年度募集资金的存放、管理与实际使用情况。</w:t>
          </w:r>
        </w:p>
      </w:sdtContent>
    </w:sdt>
    <w:p w14:paraId="3BB9E334" w14:textId="77777777" w:rsidR="005E000F" w:rsidRDefault="00000000">
      <w:pPr>
        <w:rPr>
          <w:rFonts w:asciiTheme="minorEastAsia" w:eastAsiaTheme="minorEastAsia" w:hAnsiTheme="minorEastAsia"/>
          <w:bCs/>
          <w:kern w:val="2"/>
          <w:szCs w:val="28"/>
        </w:rPr>
      </w:pPr>
      <w:r>
        <w:rPr>
          <w:rFonts w:asciiTheme="minorEastAsia" w:eastAsiaTheme="minorEastAsia" w:hAnsiTheme="minorEastAsia" w:hint="eastAsia"/>
          <w:bCs/>
          <w:kern w:val="2"/>
          <w:szCs w:val="28"/>
        </w:rPr>
        <w:t>核查异常的相关情况说明</w:t>
      </w:r>
    </w:p>
    <w:sdt>
      <w:sdtPr>
        <w:rPr>
          <w:rFonts w:hint="eastAsia"/>
        </w:rPr>
        <w:alias w:val="是否适用：核查异常的相关情况说明[双击切换]"/>
        <w:tag w:val="_GBC_8e77a9b007b24b85b582b7f1c28ac20a"/>
        <w:id w:val="-2083439040"/>
        <w:placeholder>
          <w:docPart w:val="GBC22222222222222222222222222222"/>
        </w:placeholder>
      </w:sdtPr>
      <w:sdtContent>
        <w:p w14:paraId="654E1D27" w14:textId="77777777" w:rsidR="005E000F" w:rsidRDefault="00000000">
          <w:r>
            <w:rPr>
              <w:rFonts w:hint="eastAsia"/>
            </w:rP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rPr>
              <w:rFonts w:hint="eastAsia"/>
            </w:rPr>
            <w:fldChar w:fldCharType="end"/>
          </w:r>
          <w:r>
            <w:rPr>
              <w:rFonts w:hint="eastAsia"/>
            </w:rP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rPr>
              <w:rFonts w:hint="eastAsia"/>
            </w:rPr>
            <w:fldChar w:fldCharType="end"/>
          </w:r>
        </w:p>
      </w:sdtContent>
    </w:sdt>
    <w:p w14:paraId="00C14427" w14:textId="77777777" w:rsidR="005E000F" w:rsidRDefault="00000000">
      <w:pPr>
        <w:pStyle w:val="3"/>
        <w:numPr>
          <w:ilvl w:val="0"/>
          <w:numId w:val="43"/>
        </w:numPr>
        <w:tabs>
          <w:tab w:val="left" w:pos="360"/>
        </w:tabs>
        <w:ind w:left="450" w:hanging="450"/>
        <w:rPr>
          <w:rFonts w:ascii="宋体" w:hAnsi="宋体"/>
          <w:szCs w:val="21"/>
        </w:rPr>
      </w:pPr>
      <w:bookmarkStart w:id="191" w:name="_Hlk190354057"/>
      <w:bookmarkStart w:id="192" w:name="_Hlk190697760"/>
      <w:bookmarkEnd w:id="186"/>
      <w:bookmarkEnd w:id="187"/>
      <w:bookmarkEnd w:id="188"/>
      <w:bookmarkEnd w:id="189"/>
      <w:bookmarkEnd w:id="190"/>
      <w:r>
        <w:rPr>
          <w:rFonts w:ascii="宋体" w:hAnsi="宋体" w:hint="eastAsia"/>
          <w:szCs w:val="21"/>
        </w:rPr>
        <w:t>擅自变更募集资金用途、违规占用募集资金的后续整改情况</w:t>
      </w:r>
    </w:p>
    <w:sdt>
      <w:sdtPr>
        <w:rPr>
          <w:rFonts w:hint="eastAsia"/>
        </w:rPr>
        <w:alias w:val="是否适用：擅自变更募集资金用途、违规占用募集资金的后续整改情况[双击切换]"/>
        <w:tag w:val="_GBC_1aa49320bb78494a84743660ea096b93"/>
        <w:id w:val="1628276974"/>
        <w:placeholder>
          <w:docPart w:val="GBC22222222222222222222222222222"/>
        </w:placeholder>
      </w:sdtPr>
      <w:sdtContent>
        <w:p w14:paraId="11603DA0" w14:textId="77777777" w:rsidR="005E000F" w:rsidRDefault="00000000">
          <w:r>
            <w:rPr>
              <w:rFonts w:ascii="宋体" w:hAnsi="宋体" w:hint="eastAsia"/>
            </w:rPr>
            <w:fldChar w:fldCharType="begin"/>
          </w:r>
          <w:r>
            <w:rPr>
              <w:rFonts w:ascii="宋体" w:hAnsi="宋体"/>
            </w:rPr>
            <w:instrText xml:space="preserve"> MACROBUTTON  SnrToggleCheckbox □适用 </w:instrText>
          </w:r>
          <w:r>
            <w:rPr>
              <w:rFonts w:ascii="宋体" w:hAnsi="宋体" w:hint="eastAsia"/>
            </w:rPr>
            <w:fldChar w:fldCharType="end"/>
          </w:r>
          <w:r>
            <w:rPr>
              <w:rFonts w:ascii="宋体" w:hAnsi="宋体" w:hint="eastAsia"/>
            </w:rPr>
            <w:fldChar w:fldCharType="begin"/>
          </w:r>
          <w:r>
            <w:rPr>
              <w:rFonts w:ascii="宋体" w:hAnsi="宋体"/>
            </w:rPr>
            <w:instrText xml:space="preserve"> MACROBUTTON  SnrToggleCheckbox √不适用 </w:instrText>
          </w:r>
          <w:r>
            <w:rPr>
              <w:rFonts w:ascii="宋体" w:hAnsi="宋体" w:hint="eastAsia"/>
            </w:rPr>
            <w:fldChar w:fldCharType="end"/>
          </w:r>
        </w:p>
      </w:sdtContent>
    </w:sdt>
    <w:bookmarkEnd w:id="191"/>
    <w:bookmarkEnd w:id="192"/>
    <w:p w14:paraId="3428D21B" w14:textId="77777777" w:rsidR="005E000F" w:rsidRDefault="00000000">
      <w:pPr>
        <w:pStyle w:val="2"/>
        <w:numPr>
          <w:ilvl w:val="0"/>
          <w:numId w:val="29"/>
        </w:numPr>
      </w:pPr>
      <w:r>
        <w:rPr>
          <w:rFonts w:hint="eastAsia"/>
        </w:rPr>
        <w:lastRenderedPageBreak/>
        <w:t>其</w:t>
      </w:r>
      <w:r>
        <w:t>他</w:t>
      </w:r>
      <w:r>
        <w:rPr>
          <w:rFonts w:hint="eastAsia"/>
        </w:rPr>
        <w:t>对投资者</w:t>
      </w:r>
      <w:proofErr w:type="gramStart"/>
      <w:r>
        <w:rPr>
          <w:rFonts w:hint="eastAsia"/>
        </w:rPr>
        <w:t>作出</w:t>
      </w:r>
      <w:proofErr w:type="gramEnd"/>
      <w:r>
        <w:rPr>
          <w:rFonts w:hint="eastAsia"/>
        </w:rPr>
        <w:t>价值判断和投资决策有重大影响的重大事项的说明</w:t>
      </w:r>
    </w:p>
    <w:sdt>
      <w:sdtPr>
        <w:alias w:val="是否适用：其他对投资者作出价值判断和投资决策有重大影响的重大事项的说明[双击切换]"/>
        <w:tag w:val="_GBC_a560f17fa4c7429db7d87dca59f4df08"/>
        <w:id w:val="1363783932"/>
        <w:placeholder>
          <w:docPart w:val="GBC22222222222222222222222222222"/>
        </w:placeholder>
      </w:sdtPr>
      <w:sdtContent>
        <w:p w14:paraId="1D1136E1"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873287F" w14:textId="77777777" w:rsidR="005E000F" w:rsidRDefault="005E000F">
      <w:pPr>
        <w:sectPr w:rsidR="005E000F">
          <w:pgSz w:w="11906" w:h="16838"/>
          <w:pgMar w:top="1525" w:right="1276" w:bottom="1440" w:left="1797" w:header="855" w:footer="992" w:gutter="0"/>
          <w:cols w:space="425"/>
          <w:docGrid w:linePitch="312"/>
        </w:sectPr>
      </w:pPr>
    </w:p>
    <w:bookmarkEnd w:id="138"/>
    <w:p w14:paraId="34E56EA9" w14:textId="77777777" w:rsidR="005E000F" w:rsidRDefault="005E000F"/>
    <w:p w14:paraId="60D3155F" w14:textId="77777777" w:rsidR="005E000F" w:rsidRDefault="00000000">
      <w:pPr>
        <w:pStyle w:val="1"/>
        <w:numPr>
          <w:ilvl w:val="0"/>
          <w:numId w:val="2"/>
        </w:numPr>
        <w:rPr>
          <w:szCs w:val="28"/>
        </w:rPr>
      </w:pPr>
      <w:bookmarkStart w:id="193" w:name="_Toc409437607"/>
      <w:bookmarkStart w:id="194" w:name="_Toc437440713"/>
      <w:bookmarkStart w:id="195" w:name="_Toc191024261"/>
      <w:r>
        <w:rPr>
          <w:rFonts w:hint="eastAsia"/>
          <w:szCs w:val="28"/>
        </w:rPr>
        <w:t>股份变动及股东情况</w:t>
      </w:r>
    </w:p>
    <w:bookmarkEnd w:id="193"/>
    <w:bookmarkEnd w:id="194"/>
    <w:bookmarkEnd w:id="195"/>
    <w:p w14:paraId="1CE7BE65" w14:textId="77777777" w:rsidR="005E000F" w:rsidRDefault="005E000F"/>
    <w:p w14:paraId="017FFD37" w14:textId="77777777" w:rsidR="005E000F" w:rsidRDefault="00000000">
      <w:pPr>
        <w:pStyle w:val="2"/>
        <w:numPr>
          <w:ilvl w:val="0"/>
          <w:numId w:val="46"/>
        </w:numPr>
      </w:pPr>
      <w:bookmarkStart w:id="196" w:name="_Toc342565989"/>
      <w:bookmarkStart w:id="197" w:name="_Toc342059476"/>
      <w:r>
        <w:t>股</w:t>
      </w:r>
      <w:r>
        <w:rPr>
          <w:rFonts w:hint="eastAsia"/>
        </w:rPr>
        <w:t>本变动情况</w:t>
      </w:r>
      <w:bookmarkEnd w:id="196"/>
      <w:bookmarkEnd w:id="197"/>
    </w:p>
    <w:p w14:paraId="2621D643" w14:textId="77777777" w:rsidR="005E000F" w:rsidRDefault="00000000">
      <w:pPr>
        <w:pStyle w:val="3"/>
        <w:numPr>
          <w:ilvl w:val="1"/>
          <w:numId w:val="47"/>
        </w:numPr>
        <w:rPr>
          <w:szCs w:val="21"/>
        </w:rPr>
      </w:pPr>
      <w:bookmarkStart w:id="198" w:name="_Toc342565990"/>
      <w:bookmarkStart w:id="199" w:name="_Toc342059477"/>
      <w:r>
        <w:rPr>
          <w:rFonts w:hint="eastAsia"/>
          <w:szCs w:val="21"/>
        </w:rPr>
        <w:t>股份变动情况表</w:t>
      </w:r>
      <w:bookmarkEnd w:id="198"/>
      <w:bookmarkEnd w:id="199"/>
    </w:p>
    <w:p w14:paraId="7B25936A" w14:textId="77777777" w:rsidR="005E000F" w:rsidRDefault="00000000">
      <w:pPr>
        <w:pStyle w:val="4"/>
        <w:numPr>
          <w:ilvl w:val="2"/>
          <w:numId w:val="48"/>
        </w:numPr>
      </w:pPr>
      <w:r>
        <w:rPr>
          <w:rFonts w:hint="eastAsia"/>
        </w:rPr>
        <w:t>股份变动情况表</w:t>
      </w:r>
    </w:p>
    <w:p w14:paraId="6B95555C" w14:textId="77777777" w:rsidR="005E000F" w:rsidRDefault="00000000">
      <w:pPr>
        <w:jc w:val="right"/>
      </w:pPr>
      <w:r>
        <w:t>单位：</w:t>
      </w:r>
      <w:sdt>
        <w:sdtPr>
          <w:rPr>
            <w:rFonts w:hint="eastAsia"/>
          </w:rPr>
          <w:alias w:val="单位：股份变动情况表"/>
          <w:tag w:val="_GBC_852d31b746dd490d9366194fca5e9598"/>
          <w:id w:val="-1960793017"/>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rPr>
            <w:t>股</w:t>
          </w:r>
        </w:sdtContent>
      </w:sdt>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567"/>
        <w:gridCol w:w="567"/>
        <w:gridCol w:w="426"/>
        <w:gridCol w:w="567"/>
        <w:gridCol w:w="1559"/>
        <w:gridCol w:w="1559"/>
        <w:gridCol w:w="1559"/>
        <w:gridCol w:w="567"/>
      </w:tblGrid>
      <w:tr w:rsidR="005E000F" w14:paraId="6FC211B4" w14:textId="77777777">
        <w:trPr>
          <w:jc w:val="center"/>
        </w:trPr>
        <w:tc>
          <w:tcPr>
            <w:tcW w:w="1418" w:type="dxa"/>
            <w:vMerge w:val="restart"/>
            <w:vAlign w:val="center"/>
          </w:tcPr>
          <w:p w14:paraId="5AF898CA" w14:textId="77777777" w:rsidR="005E000F" w:rsidRDefault="005E000F">
            <w:pPr>
              <w:jc w:val="center"/>
            </w:pPr>
          </w:p>
        </w:tc>
        <w:sdt>
          <w:sdtPr>
            <w:tag w:val="_PLD_b9527a064e50418b9212da4d2a1d0df3"/>
            <w:id w:val="-399436625"/>
          </w:sdtPr>
          <w:sdtContent>
            <w:tc>
              <w:tcPr>
                <w:tcW w:w="2126" w:type="dxa"/>
                <w:gridSpan w:val="2"/>
                <w:vAlign w:val="center"/>
              </w:tcPr>
              <w:p w14:paraId="0E0A6CA8" w14:textId="77777777" w:rsidR="005E000F" w:rsidRDefault="00000000">
                <w:pPr>
                  <w:pStyle w:val="af"/>
                  <w:jc w:val="center"/>
                  <w:rPr>
                    <w:rFonts w:hAnsi="宋体"/>
                  </w:rPr>
                </w:pPr>
                <w:r>
                  <w:rPr>
                    <w:rFonts w:hAnsi="宋体"/>
                  </w:rPr>
                  <w:t>本次变动前</w:t>
                </w:r>
              </w:p>
            </w:tc>
          </w:sdtContent>
        </w:sdt>
        <w:sdt>
          <w:sdtPr>
            <w:tag w:val="_PLD_ca58bf210de644a080d50250f302f3c8"/>
            <w:id w:val="-823816359"/>
          </w:sdtPr>
          <w:sdtContent>
            <w:tc>
              <w:tcPr>
                <w:tcW w:w="4678" w:type="dxa"/>
                <w:gridSpan w:val="5"/>
                <w:vAlign w:val="center"/>
              </w:tcPr>
              <w:p w14:paraId="40F71264" w14:textId="77777777" w:rsidR="005E000F" w:rsidRDefault="00000000">
                <w:pPr>
                  <w:jc w:val="center"/>
                </w:pPr>
                <w:r>
                  <w:t>本次变动增减（</w:t>
                </w:r>
                <w:r>
                  <w:rPr>
                    <w:rFonts w:hint="eastAsia"/>
                  </w:rPr>
                  <w:t>+</w:t>
                </w:r>
                <w:r>
                  <w:rPr>
                    <w:rFonts w:hint="eastAsia"/>
                  </w:rPr>
                  <w:t>，</w:t>
                </w:r>
                <w:r>
                  <w:rPr>
                    <w:rFonts w:hint="eastAsia"/>
                  </w:rPr>
                  <w:t>-</w:t>
                </w:r>
                <w:r>
                  <w:t>）</w:t>
                </w:r>
              </w:p>
            </w:tc>
          </w:sdtContent>
        </w:sdt>
        <w:sdt>
          <w:sdtPr>
            <w:tag w:val="_PLD_257b6e7d34b34e838617d3ec2e88c450"/>
            <w:id w:val="-1681813554"/>
          </w:sdtPr>
          <w:sdtContent>
            <w:tc>
              <w:tcPr>
                <w:tcW w:w="2126" w:type="dxa"/>
                <w:gridSpan w:val="2"/>
                <w:vAlign w:val="center"/>
              </w:tcPr>
              <w:p w14:paraId="61896A5B" w14:textId="77777777" w:rsidR="005E000F" w:rsidRDefault="00000000">
                <w:pPr>
                  <w:jc w:val="center"/>
                </w:pPr>
                <w:r>
                  <w:t>本次变动后</w:t>
                </w:r>
              </w:p>
            </w:tc>
          </w:sdtContent>
        </w:sdt>
      </w:tr>
      <w:tr w:rsidR="005E000F" w14:paraId="030C3F3F" w14:textId="77777777">
        <w:trPr>
          <w:trHeight w:val="273"/>
          <w:jc w:val="center"/>
        </w:trPr>
        <w:tc>
          <w:tcPr>
            <w:tcW w:w="1418" w:type="dxa"/>
            <w:vMerge/>
            <w:vAlign w:val="center"/>
          </w:tcPr>
          <w:p w14:paraId="032E0EC5" w14:textId="77777777" w:rsidR="005E000F" w:rsidRDefault="005E000F">
            <w:pPr>
              <w:jc w:val="center"/>
            </w:pPr>
          </w:p>
        </w:tc>
        <w:sdt>
          <w:sdtPr>
            <w:tag w:val="_PLD_795b6515b9ff4e1db17e1116ff60e13f"/>
            <w:id w:val="1023442564"/>
          </w:sdtPr>
          <w:sdtContent>
            <w:tc>
              <w:tcPr>
                <w:tcW w:w="1559" w:type="dxa"/>
                <w:vAlign w:val="center"/>
              </w:tcPr>
              <w:p w14:paraId="18F95018" w14:textId="77777777" w:rsidR="005E000F" w:rsidRDefault="00000000">
                <w:pPr>
                  <w:pStyle w:val="af"/>
                  <w:jc w:val="center"/>
                  <w:rPr>
                    <w:rFonts w:hAnsi="宋体"/>
                  </w:rPr>
                </w:pPr>
                <w:r>
                  <w:rPr>
                    <w:rFonts w:hAnsi="宋体"/>
                  </w:rPr>
                  <w:t>数量</w:t>
                </w:r>
              </w:p>
            </w:tc>
          </w:sdtContent>
        </w:sdt>
        <w:sdt>
          <w:sdtPr>
            <w:tag w:val="_PLD_73d5343b919442adb141c63d11c2cfe3"/>
            <w:id w:val="-109909134"/>
          </w:sdtPr>
          <w:sdtContent>
            <w:tc>
              <w:tcPr>
                <w:tcW w:w="567" w:type="dxa"/>
                <w:vAlign w:val="center"/>
              </w:tcPr>
              <w:p w14:paraId="2F8268DC" w14:textId="77777777" w:rsidR="005E000F" w:rsidRDefault="00000000">
                <w:pPr>
                  <w:pStyle w:val="af"/>
                  <w:jc w:val="center"/>
                  <w:rPr>
                    <w:rFonts w:hAnsi="宋体"/>
                  </w:rPr>
                </w:pPr>
                <w:r>
                  <w:rPr>
                    <w:rFonts w:hAnsi="宋体"/>
                  </w:rPr>
                  <w:t>比例</w:t>
                </w:r>
                <w:r>
                  <w:rPr>
                    <w:rFonts w:hAnsi="宋体" w:hint="eastAsia"/>
                  </w:rPr>
                  <w:t>（</w:t>
                </w:r>
                <w:r>
                  <w:rPr>
                    <w:rFonts w:hAnsi="宋体"/>
                  </w:rPr>
                  <w:t>%</w:t>
                </w:r>
                <w:r>
                  <w:rPr>
                    <w:rFonts w:hAnsi="宋体" w:hint="eastAsia"/>
                  </w:rPr>
                  <w:t>）</w:t>
                </w:r>
              </w:p>
            </w:tc>
          </w:sdtContent>
        </w:sdt>
        <w:sdt>
          <w:sdtPr>
            <w:tag w:val="_PLD_ed98679a849f41f4aed274ab444cfaf5"/>
            <w:id w:val="-539515266"/>
          </w:sdtPr>
          <w:sdtContent>
            <w:tc>
              <w:tcPr>
                <w:tcW w:w="567" w:type="dxa"/>
                <w:vAlign w:val="center"/>
              </w:tcPr>
              <w:p w14:paraId="38FD9CFC" w14:textId="77777777" w:rsidR="005E000F" w:rsidRDefault="00000000">
                <w:pPr>
                  <w:pStyle w:val="af"/>
                  <w:jc w:val="center"/>
                  <w:rPr>
                    <w:rFonts w:hAnsi="宋体"/>
                  </w:rPr>
                </w:pPr>
                <w:r>
                  <w:rPr>
                    <w:rFonts w:hAnsi="宋体"/>
                  </w:rPr>
                  <w:t>发行新股</w:t>
                </w:r>
              </w:p>
            </w:tc>
          </w:sdtContent>
        </w:sdt>
        <w:sdt>
          <w:sdtPr>
            <w:tag w:val="_PLD_9a9769412f3c455c9ccdd17bf518a278"/>
            <w:id w:val="-1770468353"/>
          </w:sdtPr>
          <w:sdtContent>
            <w:tc>
              <w:tcPr>
                <w:tcW w:w="426" w:type="dxa"/>
                <w:vAlign w:val="center"/>
              </w:tcPr>
              <w:p w14:paraId="747C39F3" w14:textId="77777777" w:rsidR="005E000F" w:rsidRDefault="00000000">
                <w:pPr>
                  <w:jc w:val="center"/>
                </w:pPr>
                <w:r>
                  <w:t>送股</w:t>
                </w:r>
              </w:p>
            </w:tc>
          </w:sdtContent>
        </w:sdt>
        <w:sdt>
          <w:sdtPr>
            <w:tag w:val="_PLD_a08a8657c2504fb0907fe95adcc9b83a"/>
            <w:id w:val="1744603209"/>
          </w:sdtPr>
          <w:sdtContent>
            <w:tc>
              <w:tcPr>
                <w:tcW w:w="567" w:type="dxa"/>
                <w:vAlign w:val="center"/>
              </w:tcPr>
              <w:p w14:paraId="5CC80747" w14:textId="77777777" w:rsidR="005E000F" w:rsidRDefault="00000000">
                <w:pPr>
                  <w:jc w:val="center"/>
                </w:pPr>
                <w:r>
                  <w:t>公积金转股</w:t>
                </w:r>
              </w:p>
            </w:tc>
          </w:sdtContent>
        </w:sdt>
        <w:sdt>
          <w:sdtPr>
            <w:tag w:val="_PLD_8ec878ba584746ca9ce366f5c50b97db"/>
            <w:id w:val="-1196464273"/>
          </w:sdtPr>
          <w:sdtContent>
            <w:tc>
              <w:tcPr>
                <w:tcW w:w="1559" w:type="dxa"/>
                <w:vAlign w:val="center"/>
              </w:tcPr>
              <w:p w14:paraId="00CC0D22" w14:textId="77777777" w:rsidR="005E000F" w:rsidRDefault="00000000">
                <w:pPr>
                  <w:pStyle w:val="af"/>
                  <w:jc w:val="center"/>
                  <w:rPr>
                    <w:rFonts w:hAnsi="宋体"/>
                  </w:rPr>
                </w:pPr>
                <w:r>
                  <w:rPr>
                    <w:rFonts w:hAnsi="宋体"/>
                  </w:rPr>
                  <w:t>其他</w:t>
                </w:r>
              </w:p>
            </w:tc>
          </w:sdtContent>
        </w:sdt>
        <w:sdt>
          <w:sdtPr>
            <w:tag w:val="_PLD_0597d73f82274779afc0a06c1888e731"/>
            <w:id w:val="1954514370"/>
          </w:sdtPr>
          <w:sdtContent>
            <w:tc>
              <w:tcPr>
                <w:tcW w:w="1559" w:type="dxa"/>
                <w:vAlign w:val="center"/>
              </w:tcPr>
              <w:p w14:paraId="2F2078C4" w14:textId="77777777" w:rsidR="005E000F" w:rsidRDefault="00000000">
                <w:pPr>
                  <w:pStyle w:val="af"/>
                  <w:jc w:val="center"/>
                  <w:rPr>
                    <w:rFonts w:hAnsi="宋体"/>
                  </w:rPr>
                </w:pPr>
                <w:r>
                  <w:rPr>
                    <w:rFonts w:hAnsi="宋体"/>
                  </w:rPr>
                  <w:t>小计</w:t>
                </w:r>
              </w:p>
            </w:tc>
          </w:sdtContent>
        </w:sdt>
        <w:sdt>
          <w:sdtPr>
            <w:tag w:val="_PLD_95f452be51ff468b8cac4a86637d7617"/>
            <w:id w:val="-962570560"/>
          </w:sdtPr>
          <w:sdtContent>
            <w:tc>
              <w:tcPr>
                <w:tcW w:w="1559" w:type="dxa"/>
                <w:vAlign w:val="center"/>
              </w:tcPr>
              <w:p w14:paraId="0BC5BF83" w14:textId="77777777" w:rsidR="005E000F" w:rsidRDefault="00000000">
                <w:pPr>
                  <w:pStyle w:val="af"/>
                  <w:jc w:val="center"/>
                  <w:rPr>
                    <w:rFonts w:hAnsi="宋体"/>
                  </w:rPr>
                </w:pPr>
                <w:r>
                  <w:rPr>
                    <w:rFonts w:hAnsi="宋体"/>
                  </w:rPr>
                  <w:t>数量</w:t>
                </w:r>
              </w:p>
            </w:tc>
          </w:sdtContent>
        </w:sdt>
        <w:sdt>
          <w:sdtPr>
            <w:tag w:val="_PLD_27544b89219e425da5c77cd21408a3b6"/>
            <w:id w:val="1295407123"/>
          </w:sdtPr>
          <w:sdtContent>
            <w:tc>
              <w:tcPr>
                <w:tcW w:w="567" w:type="dxa"/>
                <w:vAlign w:val="center"/>
              </w:tcPr>
              <w:p w14:paraId="3C50CE6F" w14:textId="77777777" w:rsidR="005E000F" w:rsidRDefault="00000000">
                <w:pPr>
                  <w:pStyle w:val="af"/>
                  <w:jc w:val="center"/>
                  <w:rPr>
                    <w:rFonts w:hAnsi="宋体"/>
                  </w:rPr>
                </w:pPr>
                <w:r>
                  <w:rPr>
                    <w:rFonts w:hAnsi="宋体"/>
                  </w:rPr>
                  <w:t>比例</w:t>
                </w:r>
                <w:r>
                  <w:rPr>
                    <w:rFonts w:hAnsi="宋体" w:hint="eastAsia"/>
                  </w:rPr>
                  <w:t>（</w:t>
                </w:r>
                <w:r>
                  <w:rPr>
                    <w:rFonts w:hAnsi="宋体"/>
                  </w:rPr>
                  <w:t>%</w:t>
                </w:r>
                <w:r>
                  <w:rPr>
                    <w:rFonts w:hAnsi="宋体" w:hint="eastAsia"/>
                  </w:rPr>
                  <w:t>）</w:t>
                </w:r>
              </w:p>
            </w:tc>
          </w:sdtContent>
        </w:sdt>
      </w:tr>
      <w:tr w:rsidR="005E000F" w14:paraId="73DA165E" w14:textId="77777777">
        <w:trPr>
          <w:jc w:val="center"/>
        </w:trPr>
        <w:tc>
          <w:tcPr>
            <w:tcW w:w="1418" w:type="dxa"/>
            <w:vAlign w:val="center"/>
          </w:tcPr>
          <w:p w14:paraId="07E317A0" w14:textId="77777777" w:rsidR="005E000F" w:rsidRDefault="00000000">
            <w:r>
              <w:t>一、有限</w:t>
            </w:r>
            <w:proofErr w:type="gramStart"/>
            <w:r>
              <w:t>售条件</w:t>
            </w:r>
            <w:proofErr w:type="gramEnd"/>
            <w:r>
              <w:t>股份</w:t>
            </w:r>
          </w:p>
        </w:tc>
        <w:tc>
          <w:tcPr>
            <w:tcW w:w="1559" w:type="dxa"/>
            <w:vAlign w:val="center"/>
          </w:tcPr>
          <w:p w14:paraId="2E0E1066" w14:textId="77777777" w:rsidR="005E000F" w:rsidRDefault="00000000">
            <w:pPr>
              <w:jc w:val="right"/>
            </w:pPr>
            <w:r>
              <w:t>0</w:t>
            </w:r>
          </w:p>
        </w:tc>
        <w:tc>
          <w:tcPr>
            <w:tcW w:w="567" w:type="dxa"/>
            <w:vAlign w:val="center"/>
          </w:tcPr>
          <w:p w14:paraId="6C97D729" w14:textId="77777777" w:rsidR="005E000F" w:rsidRDefault="00000000">
            <w:pPr>
              <w:jc w:val="right"/>
            </w:pPr>
            <w:r>
              <w:t>0</w:t>
            </w:r>
          </w:p>
        </w:tc>
        <w:tc>
          <w:tcPr>
            <w:tcW w:w="567" w:type="dxa"/>
            <w:vAlign w:val="center"/>
          </w:tcPr>
          <w:p w14:paraId="182620BE" w14:textId="77777777" w:rsidR="005E000F" w:rsidRDefault="00000000">
            <w:pPr>
              <w:jc w:val="right"/>
            </w:pPr>
            <w:r>
              <w:t>0</w:t>
            </w:r>
          </w:p>
        </w:tc>
        <w:tc>
          <w:tcPr>
            <w:tcW w:w="426" w:type="dxa"/>
            <w:vAlign w:val="center"/>
          </w:tcPr>
          <w:p w14:paraId="09C2D6FE" w14:textId="77777777" w:rsidR="005E000F" w:rsidRDefault="00000000">
            <w:pPr>
              <w:jc w:val="right"/>
            </w:pPr>
            <w:r>
              <w:t>0</w:t>
            </w:r>
          </w:p>
        </w:tc>
        <w:tc>
          <w:tcPr>
            <w:tcW w:w="567" w:type="dxa"/>
            <w:vAlign w:val="center"/>
          </w:tcPr>
          <w:p w14:paraId="12BE8A12" w14:textId="77777777" w:rsidR="005E000F" w:rsidRDefault="00000000">
            <w:pPr>
              <w:jc w:val="right"/>
            </w:pPr>
            <w:r>
              <w:t>0</w:t>
            </w:r>
          </w:p>
        </w:tc>
        <w:tc>
          <w:tcPr>
            <w:tcW w:w="1559" w:type="dxa"/>
            <w:vAlign w:val="center"/>
          </w:tcPr>
          <w:p w14:paraId="32C38611" w14:textId="77777777" w:rsidR="005E000F" w:rsidRDefault="00000000">
            <w:pPr>
              <w:jc w:val="right"/>
            </w:pPr>
            <w:r>
              <w:t>0</w:t>
            </w:r>
          </w:p>
        </w:tc>
        <w:tc>
          <w:tcPr>
            <w:tcW w:w="1559" w:type="dxa"/>
            <w:vAlign w:val="center"/>
          </w:tcPr>
          <w:p w14:paraId="11FB167E" w14:textId="77777777" w:rsidR="005E000F" w:rsidRDefault="00000000">
            <w:pPr>
              <w:jc w:val="right"/>
            </w:pPr>
            <w:r>
              <w:t>0</w:t>
            </w:r>
          </w:p>
        </w:tc>
        <w:tc>
          <w:tcPr>
            <w:tcW w:w="1559" w:type="dxa"/>
            <w:vAlign w:val="center"/>
          </w:tcPr>
          <w:p w14:paraId="689A8ADB" w14:textId="77777777" w:rsidR="005E000F" w:rsidRDefault="00000000">
            <w:pPr>
              <w:jc w:val="right"/>
            </w:pPr>
            <w:r>
              <w:t>0</w:t>
            </w:r>
          </w:p>
        </w:tc>
        <w:tc>
          <w:tcPr>
            <w:tcW w:w="567" w:type="dxa"/>
            <w:vAlign w:val="center"/>
          </w:tcPr>
          <w:p w14:paraId="0BCDDE69" w14:textId="77777777" w:rsidR="005E000F" w:rsidRDefault="00000000">
            <w:pPr>
              <w:jc w:val="right"/>
            </w:pPr>
            <w:r>
              <w:t>0</w:t>
            </w:r>
          </w:p>
        </w:tc>
      </w:tr>
      <w:tr w:rsidR="005E000F" w14:paraId="560F1DE9" w14:textId="77777777">
        <w:trPr>
          <w:jc w:val="center"/>
        </w:trPr>
        <w:tc>
          <w:tcPr>
            <w:tcW w:w="1418" w:type="dxa"/>
            <w:vAlign w:val="center"/>
          </w:tcPr>
          <w:p w14:paraId="10990525" w14:textId="77777777" w:rsidR="005E000F" w:rsidRDefault="00000000">
            <w:pPr>
              <w:pStyle w:val="ab"/>
              <w:rPr>
                <w:rFonts w:ascii="宋体" w:hAnsi="宋体"/>
              </w:rPr>
            </w:pPr>
            <w:r>
              <w:rPr>
                <w:rFonts w:ascii="宋体" w:hAnsi="宋体"/>
              </w:rPr>
              <w:t>二、无限</w:t>
            </w:r>
            <w:proofErr w:type="gramStart"/>
            <w:r>
              <w:rPr>
                <w:rFonts w:ascii="宋体" w:hAnsi="宋体"/>
              </w:rPr>
              <w:t>售条件</w:t>
            </w:r>
            <w:proofErr w:type="gramEnd"/>
            <w:r>
              <w:rPr>
                <w:rFonts w:ascii="宋体" w:hAnsi="宋体"/>
              </w:rPr>
              <w:t>流通股份</w:t>
            </w:r>
          </w:p>
        </w:tc>
        <w:tc>
          <w:tcPr>
            <w:tcW w:w="1559" w:type="dxa"/>
            <w:vAlign w:val="center"/>
          </w:tcPr>
          <w:p w14:paraId="59670C9E" w14:textId="77777777" w:rsidR="005E000F" w:rsidRDefault="00000000">
            <w:pPr>
              <w:jc w:val="right"/>
            </w:pPr>
            <w:r>
              <w:t>18,807,273,822</w:t>
            </w:r>
          </w:p>
        </w:tc>
        <w:tc>
          <w:tcPr>
            <w:tcW w:w="567" w:type="dxa"/>
            <w:vAlign w:val="center"/>
          </w:tcPr>
          <w:p w14:paraId="615C01BB" w14:textId="77777777" w:rsidR="005E000F" w:rsidRDefault="00000000">
            <w:pPr>
              <w:jc w:val="right"/>
            </w:pPr>
            <w:r>
              <w:t>100</w:t>
            </w:r>
          </w:p>
        </w:tc>
        <w:tc>
          <w:tcPr>
            <w:tcW w:w="567" w:type="dxa"/>
            <w:vAlign w:val="center"/>
          </w:tcPr>
          <w:p w14:paraId="21BB5833" w14:textId="77777777" w:rsidR="005E000F" w:rsidRDefault="00000000">
            <w:pPr>
              <w:jc w:val="right"/>
            </w:pPr>
            <w:r>
              <w:t>0</w:t>
            </w:r>
          </w:p>
        </w:tc>
        <w:tc>
          <w:tcPr>
            <w:tcW w:w="426" w:type="dxa"/>
            <w:vAlign w:val="center"/>
          </w:tcPr>
          <w:p w14:paraId="2B335A45" w14:textId="77777777" w:rsidR="005E000F" w:rsidRDefault="00000000">
            <w:pPr>
              <w:jc w:val="right"/>
            </w:pPr>
            <w:r>
              <w:t>0</w:t>
            </w:r>
          </w:p>
        </w:tc>
        <w:tc>
          <w:tcPr>
            <w:tcW w:w="567" w:type="dxa"/>
            <w:vAlign w:val="center"/>
          </w:tcPr>
          <w:p w14:paraId="6C1AD651" w14:textId="77777777" w:rsidR="005E000F" w:rsidRDefault="00000000">
            <w:pPr>
              <w:jc w:val="right"/>
            </w:pPr>
            <w:r>
              <w:t>0</w:t>
            </w:r>
          </w:p>
        </w:tc>
        <w:tc>
          <w:tcPr>
            <w:tcW w:w="1559" w:type="dxa"/>
            <w:vAlign w:val="center"/>
          </w:tcPr>
          <w:p w14:paraId="5C9CC5AE" w14:textId="77777777" w:rsidR="005E000F" w:rsidRDefault="00000000">
            <w:pPr>
              <w:jc w:val="right"/>
            </w:pPr>
            <w:r>
              <w:t>1,339,903,894</w:t>
            </w:r>
          </w:p>
        </w:tc>
        <w:tc>
          <w:tcPr>
            <w:tcW w:w="1559" w:type="dxa"/>
            <w:vAlign w:val="center"/>
          </w:tcPr>
          <w:p w14:paraId="05587F8D" w14:textId="77777777" w:rsidR="005E000F" w:rsidRDefault="00000000">
            <w:pPr>
              <w:jc w:val="right"/>
            </w:pPr>
            <w:r>
              <w:t>1,339,903,894</w:t>
            </w:r>
          </w:p>
        </w:tc>
        <w:tc>
          <w:tcPr>
            <w:tcW w:w="1559" w:type="dxa"/>
            <w:vAlign w:val="center"/>
          </w:tcPr>
          <w:p w14:paraId="2F2207CF" w14:textId="77777777" w:rsidR="005E000F" w:rsidRDefault="00000000">
            <w:pPr>
              <w:jc w:val="right"/>
            </w:pPr>
            <w:r>
              <w:t>20,147,177,716</w:t>
            </w:r>
          </w:p>
        </w:tc>
        <w:tc>
          <w:tcPr>
            <w:tcW w:w="567" w:type="dxa"/>
            <w:vAlign w:val="center"/>
          </w:tcPr>
          <w:p w14:paraId="479263E5" w14:textId="77777777" w:rsidR="005E000F" w:rsidRDefault="00000000">
            <w:pPr>
              <w:jc w:val="right"/>
            </w:pPr>
            <w:r>
              <w:t>100</w:t>
            </w:r>
          </w:p>
        </w:tc>
      </w:tr>
      <w:tr w:rsidR="005E000F" w14:paraId="4E164AFB" w14:textId="77777777">
        <w:trPr>
          <w:jc w:val="center"/>
        </w:trPr>
        <w:tc>
          <w:tcPr>
            <w:tcW w:w="1418" w:type="dxa"/>
            <w:vAlign w:val="center"/>
          </w:tcPr>
          <w:p w14:paraId="1CFB45B2" w14:textId="77777777" w:rsidR="005E000F" w:rsidRDefault="00000000">
            <w:r>
              <w:t>1</w:t>
            </w:r>
            <w:r>
              <w:t>、人民币普通股</w:t>
            </w:r>
          </w:p>
        </w:tc>
        <w:tc>
          <w:tcPr>
            <w:tcW w:w="1559" w:type="dxa"/>
            <w:vAlign w:val="center"/>
          </w:tcPr>
          <w:p w14:paraId="6EAD6D2B" w14:textId="77777777" w:rsidR="005E000F" w:rsidRDefault="00000000">
            <w:pPr>
              <w:jc w:val="right"/>
            </w:pPr>
            <w:r>
              <w:t>18,807,273,822</w:t>
            </w:r>
          </w:p>
        </w:tc>
        <w:tc>
          <w:tcPr>
            <w:tcW w:w="567" w:type="dxa"/>
            <w:vAlign w:val="center"/>
          </w:tcPr>
          <w:p w14:paraId="0E41EA9C" w14:textId="77777777" w:rsidR="005E000F" w:rsidRDefault="00000000">
            <w:pPr>
              <w:jc w:val="right"/>
            </w:pPr>
            <w:r>
              <w:t>100</w:t>
            </w:r>
          </w:p>
        </w:tc>
        <w:tc>
          <w:tcPr>
            <w:tcW w:w="567" w:type="dxa"/>
            <w:vAlign w:val="center"/>
          </w:tcPr>
          <w:p w14:paraId="11D20A03" w14:textId="77777777" w:rsidR="005E000F" w:rsidRDefault="00000000">
            <w:pPr>
              <w:jc w:val="right"/>
            </w:pPr>
            <w:r>
              <w:t>0</w:t>
            </w:r>
          </w:p>
        </w:tc>
        <w:tc>
          <w:tcPr>
            <w:tcW w:w="426" w:type="dxa"/>
            <w:vAlign w:val="center"/>
          </w:tcPr>
          <w:p w14:paraId="41D6D66D" w14:textId="77777777" w:rsidR="005E000F" w:rsidRDefault="00000000">
            <w:pPr>
              <w:jc w:val="right"/>
            </w:pPr>
            <w:r>
              <w:t>0</w:t>
            </w:r>
          </w:p>
        </w:tc>
        <w:tc>
          <w:tcPr>
            <w:tcW w:w="567" w:type="dxa"/>
            <w:vAlign w:val="center"/>
          </w:tcPr>
          <w:p w14:paraId="69ECFC6C" w14:textId="77777777" w:rsidR="005E000F" w:rsidRDefault="00000000">
            <w:pPr>
              <w:jc w:val="right"/>
            </w:pPr>
            <w:r>
              <w:t>0</w:t>
            </w:r>
          </w:p>
        </w:tc>
        <w:tc>
          <w:tcPr>
            <w:tcW w:w="1559" w:type="dxa"/>
            <w:vAlign w:val="center"/>
          </w:tcPr>
          <w:p w14:paraId="439C997F" w14:textId="77777777" w:rsidR="005E000F" w:rsidRDefault="00000000">
            <w:pPr>
              <w:jc w:val="right"/>
            </w:pPr>
            <w:r>
              <w:t>1,339,903,894</w:t>
            </w:r>
          </w:p>
        </w:tc>
        <w:tc>
          <w:tcPr>
            <w:tcW w:w="1559" w:type="dxa"/>
            <w:vAlign w:val="center"/>
          </w:tcPr>
          <w:p w14:paraId="69B963F1" w14:textId="77777777" w:rsidR="005E000F" w:rsidRDefault="00000000">
            <w:pPr>
              <w:jc w:val="right"/>
            </w:pPr>
            <w:r>
              <w:t>1,339,903,894</w:t>
            </w:r>
          </w:p>
        </w:tc>
        <w:tc>
          <w:tcPr>
            <w:tcW w:w="1559" w:type="dxa"/>
            <w:vAlign w:val="center"/>
          </w:tcPr>
          <w:p w14:paraId="083C0758" w14:textId="77777777" w:rsidR="005E000F" w:rsidRDefault="00000000">
            <w:pPr>
              <w:jc w:val="right"/>
            </w:pPr>
            <w:r>
              <w:t>20,147,177,716</w:t>
            </w:r>
          </w:p>
        </w:tc>
        <w:tc>
          <w:tcPr>
            <w:tcW w:w="567" w:type="dxa"/>
            <w:vAlign w:val="center"/>
          </w:tcPr>
          <w:p w14:paraId="01F278F0" w14:textId="77777777" w:rsidR="005E000F" w:rsidRDefault="00000000">
            <w:pPr>
              <w:jc w:val="right"/>
            </w:pPr>
            <w:r>
              <w:t>100</w:t>
            </w:r>
          </w:p>
        </w:tc>
      </w:tr>
      <w:tr w:rsidR="005E000F" w14:paraId="7C7605EF" w14:textId="77777777">
        <w:trPr>
          <w:jc w:val="center"/>
        </w:trPr>
        <w:tc>
          <w:tcPr>
            <w:tcW w:w="1418" w:type="dxa"/>
            <w:vAlign w:val="center"/>
          </w:tcPr>
          <w:p w14:paraId="48475714" w14:textId="77777777" w:rsidR="005E000F" w:rsidRDefault="00000000">
            <w:r>
              <w:t>三、股份</w:t>
            </w:r>
            <w:r>
              <w:rPr>
                <w:rFonts w:hint="eastAsia"/>
              </w:rPr>
              <w:t>总数</w:t>
            </w:r>
          </w:p>
        </w:tc>
        <w:tc>
          <w:tcPr>
            <w:tcW w:w="1559" w:type="dxa"/>
            <w:vAlign w:val="center"/>
          </w:tcPr>
          <w:p w14:paraId="73E46737" w14:textId="77777777" w:rsidR="005E000F" w:rsidRDefault="00000000">
            <w:pPr>
              <w:jc w:val="right"/>
            </w:pPr>
            <w:r>
              <w:t>18,807,273,822</w:t>
            </w:r>
          </w:p>
        </w:tc>
        <w:tc>
          <w:tcPr>
            <w:tcW w:w="567" w:type="dxa"/>
            <w:vAlign w:val="center"/>
          </w:tcPr>
          <w:p w14:paraId="1C5897BA" w14:textId="77777777" w:rsidR="005E000F" w:rsidRDefault="00000000">
            <w:pPr>
              <w:jc w:val="right"/>
            </w:pPr>
            <w:r>
              <w:t>100</w:t>
            </w:r>
          </w:p>
        </w:tc>
        <w:tc>
          <w:tcPr>
            <w:tcW w:w="567" w:type="dxa"/>
            <w:vAlign w:val="center"/>
          </w:tcPr>
          <w:p w14:paraId="0DC18008" w14:textId="77777777" w:rsidR="005E000F" w:rsidRDefault="00000000">
            <w:pPr>
              <w:jc w:val="right"/>
            </w:pPr>
            <w:r>
              <w:t>0</w:t>
            </w:r>
          </w:p>
        </w:tc>
        <w:tc>
          <w:tcPr>
            <w:tcW w:w="426" w:type="dxa"/>
            <w:vAlign w:val="center"/>
          </w:tcPr>
          <w:p w14:paraId="535974FE" w14:textId="77777777" w:rsidR="005E000F" w:rsidRDefault="00000000">
            <w:pPr>
              <w:jc w:val="right"/>
            </w:pPr>
            <w:r>
              <w:t>0</w:t>
            </w:r>
          </w:p>
        </w:tc>
        <w:tc>
          <w:tcPr>
            <w:tcW w:w="567" w:type="dxa"/>
            <w:vAlign w:val="center"/>
          </w:tcPr>
          <w:p w14:paraId="29EA160E" w14:textId="77777777" w:rsidR="005E000F" w:rsidRDefault="00000000">
            <w:pPr>
              <w:jc w:val="right"/>
            </w:pPr>
            <w:r>
              <w:t>0</w:t>
            </w:r>
          </w:p>
        </w:tc>
        <w:tc>
          <w:tcPr>
            <w:tcW w:w="1559" w:type="dxa"/>
            <w:vAlign w:val="center"/>
          </w:tcPr>
          <w:p w14:paraId="145CF280" w14:textId="77777777" w:rsidR="005E000F" w:rsidRDefault="00000000">
            <w:pPr>
              <w:jc w:val="right"/>
            </w:pPr>
            <w:r>
              <w:t>1,339,903,894</w:t>
            </w:r>
          </w:p>
        </w:tc>
        <w:tc>
          <w:tcPr>
            <w:tcW w:w="1559" w:type="dxa"/>
            <w:vAlign w:val="center"/>
          </w:tcPr>
          <w:p w14:paraId="4CCFE30E" w14:textId="77777777" w:rsidR="005E000F" w:rsidRDefault="00000000">
            <w:pPr>
              <w:jc w:val="right"/>
            </w:pPr>
            <w:r>
              <w:t>1,339,903,894</w:t>
            </w:r>
          </w:p>
        </w:tc>
        <w:tc>
          <w:tcPr>
            <w:tcW w:w="1559" w:type="dxa"/>
            <w:vAlign w:val="center"/>
          </w:tcPr>
          <w:p w14:paraId="5E465FA9" w14:textId="77777777" w:rsidR="005E000F" w:rsidRDefault="00000000">
            <w:pPr>
              <w:jc w:val="right"/>
            </w:pPr>
            <w:r>
              <w:t>20,147,177,716</w:t>
            </w:r>
          </w:p>
        </w:tc>
        <w:tc>
          <w:tcPr>
            <w:tcW w:w="567" w:type="dxa"/>
            <w:vAlign w:val="center"/>
          </w:tcPr>
          <w:p w14:paraId="4CD0AC7D" w14:textId="77777777" w:rsidR="005E000F" w:rsidRDefault="00000000">
            <w:pPr>
              <w:jc w:val="right"/>
            </w:pPr>
            <w:r>
              <w:t>100</w:t>
            </w:r>
          </w:p>
        </w:tc>
      </w:tr>
    </w:tbl>
    <w:p w14:paraId="56CE8973" w14:textId="77777777" w:rsidR="005E000F" w:rsidRDefault="005E000F"/>
    <w:p w14:paraId="4C7BE2B5" w14:textId="77777777" w:rsidR="005E000F" w:rsidRDefault="00000000">
      <w:pPr>
        <w:pStyle w:val="4"/>
        <w:numPr>
          <w:ilvl w:val="2"/>
          <w:numId w:val="48"/>
        </w:numPr>
      </w:pPr>
      <w:r>
        <w:t>股份变动情况说明</w:t>
      </w:r>
    </w:p>
    <w:sdt>
      <w:sdtPr>
        <w:rPr>
          <w:rFonts w:hint="eastAsia"/>
        </w:rPr>
        <w:alias w:val="是否适用：普通股股份变动情况说明[双击切换]"/>
        <w:tag w:val="_GBC_b52413c1d37b456ba72aa8b8840cb9d8"/>
        <w:id w:val="-545760479"/>
        <w:placeholder>
          <w:docPart w:val="GBC22222222222222222222222222222"/>
        </w:placeholder>
      </w:sdtPr>
      <w:sdtContent>
        <w:p w14:paraId="47B5231A"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股份变动情况说明"/>
        <w:tag w:val="_GBC_0049817ff5b44e28a8751c37cab3f894"/>
        <w:id w:val="1255097459"/>
        <w:placeholder>
          <w:docPart w:val="GBC22222222222222222222222222222"/>
        </w:placeholder>
      </w:sdtPr>
      <w:sdtContent>
        <w:p w14:paraId="0B108520" w14:textId="77777777" w:rsidR="005E000F" w:rsidRDefault="00000000">
          <w:pPr>
            <w:spacing w:line="360" w:lineRule="auto"/>
            <w:ind w:firstLineChars="200" w:firstLine="420"/>
            <w:jc w:val="both"/>
          </w:pPr>
          <w:r>
            <w:rPr>
              <w:rFonts w:hint="eastAsia"/>
            </w:rPr>
            <w:t>经证监会核准，公司于</w:t>
          </w:r>
          <w:r>
            <w:t>2020</w:t>
          </w:r>
          <w:r>
            <w:t>年</w:t>
          </w:r>
          <w:r>
            <w:t>12</w:t>
          </w:r>
          <w:r>
            <w:t>月</w:t>
          </w:r>
          <w:r>
            <w:t>14</w:t>
          </w:r>
          <w:r>
            <w:t>日向社会公开发行面值总额</w:t>
          </w:r>
          <w:r>
            <w:t>320</w:t>
          </w:r>
          <w:r>
            <w:t>亿元可转换公司债</w:t>
          </w:r>
          <w:proofErr w:type="gramStart"/>
          <w:r>
            <w:t>券</w:t>
          </w:r>
          <w:proofErr w:type="gramEnd"/>
          <w:r>
            <w:t>，发行价格</w:t>
          </w:r>
          <w:r>
            <w:t>100.00</w:t>
          </w:r>
          <w:r>
            <w:t>元</w:t>
          </w:r>
          <w:r>
            <w:t>/</w:t>
          </w:r>
          <w:r>
            <w:t>张，共计</w:t>
          </w:r>
          <w:r>
            <w:t>32,000</w:t>
          </w:r>
          <w:r>
            <w:t>万张，募集资金总额为人民币</w:t>
          </w:r>
          <w:r>
            <w:t>320</w:t>
          </w:r>
          <w:r>
            <w:t>亿元。本次发行的</w:t>
          </w:r>
          <w:proofErr w:type="gramStart"/>
          <w:r>
            <w:t>可转债于</w:t>
          </w:r>
          <w:r>
            <w:t>2021</w:t>
          </w:r>
          <w:r>
            <w:t>年</w:t>
          </w:r>
          <w:r>
            <w:t>1</w:t>
          </w:r>
          <w:r>
            <w:t>月</w:t>
          </w:r>
          <w:r>
            <w:t>15</w:t>
          </w:r>
          <w:r>
            <w:t>日起</w:t>
          </w:r>
          <w:proofErr w:type="gramEnd"/>
          <w:r>
            <w:t>在上海证券交易所挂牌交易，债券简称</w:t>
          </w:r>
          <w:r>
            <w:t>“</w:t>
          </w:r>
          <w:r>
            <w:t>大秦转债</w:t>
          </w:r>
          <w:r>
            <w:t>”</w:t>
          </w:r>
          <w:r>
            <w:t>，债券代码</w:t>
          </w:r>
          <w:r>
            <w:t>“113044”</w:t>
          </w:r>
          <w:r>
            <w:t>。</w:t>
          </w:r>
        </w:p>
        <w:p w14:paraId="13CFC696" w14:textId="77777777" w:rsidR="005E000F" w:rsidRDefault="00000000">
          <w:pPr>
            <w:spacing w:line="360" w:lineRule="auto"/>
            <w:jc w:val="both"/>
          </w:pPr>
          <w:r>
            <w:rPr>
              <w:rFonts w:hint="eastAsia"/>
            </w:rPr>
            <w:t>“大秦转债”自</w:t>
          </w:r>
          <w:r>
            <w:t>2021</w:t>
          </w:r>
          <w:r>
            <w:t>年</w:t>
          </w:r>
          <w:r>
            <w:t>6</w:t>
          </w:r>
          <w:r>
            <w:t>月</w:t>
          </w:r>
          <w:r>
            <w:t>18</w:t>
          </w:r>
          <w:r>
            <w:t>日起可转换为公司股份。</w:t>
          </w:r>
        </w:p>
        <w:p w14:paraId="2502378B" w14:textId="77777777" w:rsidR="005E000F" w:rsidRDefault="00000000">
          <w:pPr>
            <w:spacing w:line="360" w:lineRule="auto"/>
            <w:ind w:firstLineChars="200" w:firstLine="420"/>
            <w:jc w:val="both"/>
          </w:pPr>
          <w:r>
            <w:rPr>
              <w:rFonts w:hint="eastAsia"/>
            </w:rPr>
            <w:t>根据《公开发行可转换公司债券募集说明书》的约定，</w:t>
          </w:r>
          <w:r>
            <w:rPr>
              <w:rFonts w:hint="eastAsia"/>
            </w:rPr>
            <w:t>2024</w:t>
          </w:r>
          <w:r>
            <w:rPr>
              <w:rFonts w:hint="eastAsia"/>
            </w:rPr>
            <w:t>年</w:t>
          </w:r>
          <w:r>
            <w:rPr>
              <w:rFonts w:hint="eastAsia"/>
            </w:rPr>
            <w:t>12</w:t>
          </w:r>
          <w:r>
            <w:rPr>
              <w:rFonts w:hint="eastAsia"/>
            </w:rPr>
            <w:t>月</w:t>
          </w:r>
          <w:r>
            <w:rPr>
              <w:rFonts w:hint="eastAsia"/>
            </w:rPr>
            <w:t>24</w:t>
          </w:r>
          <w:r>
            <w:rPr>
              <w:rFonts w:hint="eastAsia"/>
            </w:rPr>
            <w:t>日，“大秦转债”</w:t>
          </w:r>
          <w:r>
            <w:t>触发有条件赎回条款。</w:t>
          </w:r>
          <w:r>
            <w:rPr>
              <w:rFonts w:hint="eastAsia"/>
            </w:rPr>
            <w:t>当</w:t>
          </w:r>
          <w:r>
            <w:t>日召开</w:t>
          </w:r>
          <w:r>
            <w:rPr>
              <w:rFonts w:hint="eastAsia"/>
            </w:rPr>
            <w:t>的公司</w:t>
          </w:r>
          <w:r>
            <w:t>七届董事会十次会议审议通过《关于提前赎回</w:t>
          </w:r>
          <w:r>
            <w:rPr>
              <w:rFonts w:hint="eastAsia"/>
            </w:rPr>
            <w:t>“大秦转债”</w:t>
          </w:r>
          <w:r>
            <w:t>的议案》，决定行使</w:t>
          </w:r>
          <w:r>
            <w:t>“</w:t>
          </w:r>
          <w:r>
            <w:t>大秦转债</w:t>
          </w:r>
          <w:r>
            <w:t>”</w:t>
          </w:r>
          <w:r>
            <w:t>的提前赎回权利，按照债券面值加当期应计利息的价格赎回全部未转股的可转换公司债</w:t>
          </w:r>
          <w:proofErr w:type="gramStart"/>
          <w:r>
            <w:t>券</w:t>
          </w:r>
          <w:proofErr w:type="gramEnd"/>
          <w:r>
            <w:t>。</w:t>
          </w:r>
          <w:r>
            <w:rPr>
              <w:rFonts w:hint="eastAsia"/>
            </w:rPr>
            <w:t>2025</w:t>
          </w:r>
          <w:r>
            <w:rPr>
              <w:rFonts w:hint="eastAsia"/>
            </w:rPr>
            <w:t>年</w:t>
          </w:r>
          <w:r>
            <w:rPr>
              <w:rFonts w:hint="eastAsia"/>
            </w:rPr>
            <w:t>2</w:t>
          </w:r>
          <w:r>
            <w:rPr>
              <w:rFonts w:hint="eastAsia"/>
            </w:rPr>
            <w:t>月</w:t>
          </w:r>
          <w:r>
            <w:rPr>
              <w:rFonts w:hint="eastAsia"/>
            </w:rPr>
            <w:t>11</w:t>
          </w:r>
          <w:r>
            <w:rPr>
              <w:rFonts w:hint="eastAsia"/>
            </w:rPr>
            <w:t>日，“大秦转债”提前赎回实施完毕，“大秦转债”摘牌，同时</w:t>
          </w:r>
          <w:r>
            <w:t>公司总股本增至</w:t>
          </w:r>
          <w:r>
            <w:t>20,147,177,716</w:t>
          </w:r>
          <w:r>
            <w:t>股。内容详见</w:t>
          </w:r>
          <w:r>
            <w:t>2025</w:t>
          </w:r>
          <w:r>
            <w:t>年</w:t>
          </w:r>
          <w:r>
            <w:t>2</w:t>
          </w:r>
          <w:r>
            <w:t>月</w:t>
          </w:r>
          <w:r>
            <w:t>12</w:t>
          </w:r>
          <w:r>
            <w:t>日登载于上海证券交易所网站的《大秦铁路关于</w:t>
          </w:r>
          <w:r>
            <w:t>“</w:t>
          </w:r>
          <w:r>
            <w:t>大秦转债</w:t>
          </w:r>
          <w:r>
            <w:t>”</w:t>
          </w:r>
          <w:r>
            <w:t>赎回结果暨股份变动的公告》。</w:t>
          </w:r>
        </w:p>
      </w:sdtContent>
    </w:sdt>
    <w:p w14:paraId="61199B2C" w14:textId="77777777" w:rsidR="005E000F" w:rsidRDefault="00000000">
      <w:pPr>
        <w:pStyle w:val="4"/>
        <w:numPr>
          <w:ilvl w:val="2"/>
          <w:numId w:val="48"/>
        </w:numPr>
      </w:pPr>
      <w:r>
        <w:rPr>
          <w:rFonts w:hint="eastAsia"/>
        </w:rPr>
        <w:t>股份变动对最近一年和最近一期</w:t>
      </w:r>
      <w:r>
        <w:t>每股收益、每股净资产等财务指标的影响（如有）</w:t>
      </w:r>
    </w:p>
    <w:sdt>
      <w:sdtPr>
        <w:rPr>
          <w:rFonts w:hint="eastAsia"/>
        </w:rPr>
        <w:alias w:val="是否适用：普通股股份变动对最近一年和最近一期每股收益、每股净资产等财务指标的影响[双击切换]"/>
        <w:tag w:val="_GBC_f6d6c5b3580241f5b23493659505a79e"/>
        <w:id w:val="1047415084"/>
        <w:placeholder>
          <w:docPart w:val="GBC22222222222222222222222222222"/>
        </w:placeholder>
      </w:sdtPr>
      <w:sdtContent>
        <w:p w14:paraId="2E62D25C"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股份变动对最近一年和最近一期财务指标的影响"/>
        <w:tag w:val="_GBC_18dc915b15db45f9ad252a23be29055d"/>
        <w:id w:val="2085957461"/>
        <w:placeholder>
          <w:docPart w:val="GBC22222222222222222222222222222"/>
        </w:placeholder>
      </w:sdtPr>
      <w:sdtContent>
        <w:p w14:paraId="202CD210" w14:textId="77777777" w:rsidR="005E000F" w:rsidRDefault="00000000">
          <w:pPr>
            <w:spacing w:line="360" w:lineRule="auto"/>
            <w:ind w:firstLineChars="200" w:firstLine="420"/>
          </w:pPr>
          <w:sdt>
            <w:sdtPr>
              <w:rPr>
                <w:rFonts w:hint="eastAsia"/>
              </w:rPr>
              <w:alias w:val="股份变动对最近一年和最近一期财务指标的影响"/>
              <w:tag w:val="_GBC_18dc915b15db45f9ad252a23be29055d"/>
              <w:id w:val="19905614"/>
              <w:placeholder>
                <w:docPart w:val="C267AC9D08714EE48A33C9CE94E3B3AC"/>
              </w:placeholder>
            </w:sdtPr>
            <w:sdtContent>
              <w:r>
                <w:rPr>
                  <w:rFonts w:hint="eastAsia"/>
                </w:rPr>
                <w:t>报告期内，</w:t>
              </w:r>
              <w:r>
                <w:t>“</w:t>
              </w:r>
              <w:r>
                <w:t>大秦转债</w:t>
              </w:r>
              <w:r>
                <w:t>”</w:t>
              </w:r>
              <w:r>
                <w:rPr>
                  <w:rFonts w:hint="eastAsia"/>
                </w:rPr>
                <w:t>转股</w:t>
              </w:r>
              <w:r>
                <w:t>1,339,903,894</w:t>
              </w:r>
              <w:r>
                <w:rPr>
                  <w:rFonts w:hint="eastAsia"/>
                </w:rPr>
                <w:t>股，公司总股本增至</w:t>
              </w:r>
              <w:r>
                <w:t>20,147,177,716</w:t>
              </w:r>
              <w:r>
                <w:t>股</w:t>
              </w:r>
              <w:r>
                <w:rPr>
                  <w:rFonts w:hint="eastAsia"/>
                </w:rPr>
                <w:t>，摊薄当期每股收益和资产收益率，具体见第二节</w:t>
              </w:r>
              <w:r>
                <w:t>“</w:t>
              </w:r>
              <w:r>
                <w:rPr>
                  <w:rFonts w:hint="eastAsia"/>
                </w:rPr>
                <w:t>公司简介和主要财务指标</w:t>
              </w:r>
              <w:r>
                <w:t>”</w:t>
              </w:r>
              <w:r>
                <w:rPr>
                  <w:rFonts w:hint="eastAsia"/>
                </w:rPr>
                <w:t>七（二）主要财务指标。</w:t>
              </w:r>
            </w:sdtContent>
          </w:sdt>
        </w:p>
      </w:sdtContent>
    </w:sdt>
    <w:p w14:paraId="728383F4" w14:textId="77777777" w:rsidR="005E000F" w:rsidRDefault="00000000">
      <w:pPr>
        <w:pStyle w:val="4"/>
        <w:numPr>
          <w:ilvl w:val="2"/>
          <w:numId w:val="48"/>
        </w:numPr>
      </w:pPr>
      <w:r>
        <w:t>公司认为必要或证券监管机构要求披露的其他内容</w:t>
      </w:r>
    </w:p>
    <w:sdt>
      <w:sdtPr>
        <w:rPr>
          <w:rFonts w:hint="eastAsia"/>
        </w:rPr>
        <w:alias w:val="是否适用：公司认为必要或证券监管机构要求披露的其他内容[双击切换]"/>
        <w:tag w:val="_GBC_b944a9eaa1de4bf49df496a2cfe2824e"/>
        <w:id w:val="271441219"/>
        <w:placeholder>
          <w:docPart w:val="GBC22222222222222222222222222222"/>
        </w:placeholder>
      </w:sdtPr>
      <w:sdtContent>
        <w:p w14:paraId="3A6A272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56D7C75" w14:textId="77777777" w:rsidR="005E000F" w:rsidRDefault="005E000F"/>
    <w:p w14:paraId="244C5432" w14:textId="77777777" w:rsidR="005E000F" w:rsidRDefault="00000000">
      <w:pPr>
        <w:pStyle w:val="3"/>
        <w:numPr>
          <w:ilvl w:val="1"/>
          <w:numId w:val="47"/>
        </w:numPr>
        <w:rPr>
          <w:szCs w:val="21"/>
        </w:rPr>
      </w:pPr>
      <w:r>
        <w:rPr>
          <w:szCs w:val="21"/>
        </w:rPr>
        <w:t>限售股份变动情况</w:t>
      </w:r>
    </w:p>
    <w:sdt>
      <w:sdtPr>
        <w:alias w:val="是否适用：限售股份变动情况表[双击切换]"/>
        <w:tag w:val="_GBC_c7cc39830d364bf68db1ac8777908a9e"/>
        <w:id w:val="1547725237"/>
        <w:placeholder>
          <w:docPart w:val="GBC22222222222222222222222222222"/>
        </w:placeholder>
      </w:sdtPr>
      <w:sdtContent>
        <w:p w14:paraId="1F46C4C7"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8F7CC1F" w14:textId="77777777" w:rsidR="005E000F" w:rsidRDefault="00000000">
      <w:pPr>
        <w:pStyle w:val="2"/>
        <w:numPr>
          <w:ilvl w:val="0"/>
          <w:numId w:val="46"/>
        </w:numPr>
      </w:pPr>
      <w:r>
        <w:t>证券发行与上市情况</w:t>
      </w:r>
    </w:p>
    <w:p w14:paraId="555ECC8D" w14:textId="77777777" w:rsidR="005E000F" w:rsidRDefault="00000000">
      <w:pPr>
        <w:pStyle w:val="3"/>
        <w:numPr>
          <w:ilvl w:val="0"/>
          <w:numId w:val="49"/>
        </w:numPr>
      </w:pPr>
      <w:bookmarkStart w:id="200" w:name="_Hlk89954403"/>
      <w:r>
        <w:t>截至</w:t>
      </w:r>
      <w:r>
        <w:rPr>
          <w:rFonts w:hint="eastAsia"/>
        </w:rPr>
        <w:t>报告期内</w:t>
      </w:r>
      <w:r>
        <w:t>证券发行情况</w:t>
      </w:r>
    </w:p>
    <w:sdt>
      <w:sdtPr>
        <w:alias w:val="是否适用：截至报告期内证券发行情况[双击切换]"/>
        <w:tag w:val="_GBC_a9b53137ff4442baa307fbc68ebc8cbc"/>
        <w:id w:val="250855942"/>
        <w:placeholder>
          <w:docPart w:val="GBC22222222222222222222222222222"/>
        </w:placeholder>
      </w:sdtPr>
      <w:sdtContent>
        <w:p w14:paraId="30DA30D7"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D9065FF" w14:textId="77777777" w:rsidR="005E000F" w:rsidRDefault="00000000">
      <w:r>
        <w:t>截至</w:t>
      </w:r>
      <w:r>
        <w:rPr>
          <w:rFonts w:hint="eastAsia"/>
        </w:rPr>
        <w:t>报告期内</w:t>
      </w:r>
      <w:r>
        <w:t>证券发行情况的说明（存续期内利率不同的债券，请分别说明）：</w:t>
      </w:r>
    </w:p>
    <w:sdt>
      <w:sdtPr>
        <w:rPr>
          <w:rFonts w:hint="eastAsia"/>
        </w:rPr>
        <w:alias w:val="是否适用：截至报告期内证券发行情况的说明[双击切换]"/>
        <w:tag w:val="_GBC_41eee01683bd43189dc24a776753e295"/>
        <w:id w:val="909732043"/>
        <w:placeholder>
          <w:docPart w:val="GBC22222222222222222222222222222"/>
        </w:placeholder>
      </w:sdtPr>
      <w:sdtContent>
        <w:p w14:paraId="67A5C2D3"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报告期内证券发行情况的说明"/>
        <w:tag w:val="_GBC_554181dc253a4fa496d2a732435f9c84"/>
        <w:id w:val="-2060471591"/>
        <w:placeholder>
          <w:docPart w:val="GBC22222222222222222222222222222"/>
        </w:placeholder>
      </w:sdtPr>
      <w:sdtContent>
        <w:sdt>
          <w:sdtPr>
            <w:rPr>
              <w:rFonts w:hint="eastAsia"/>
            </w:rPr>
            <w:alias w:val="报告期内证券发行情况的说明"/>
            <w:tag w:val="_GBC_554181dc253a4fa496d2a732435f9c84"/>
            <w:id w:val="16402583"/>
            <w:placeholder>
              <w:docPart w:val="F8AEF1EFE5F3463AA053067EDB0EBE9D"/>
            </w:placeholder>
          </w:sdtPr>
          <w:sdtContent>
            <w:p w14:paraId="5D2FF4AA" w14:textId="77777777" w:rsidR="005E000F" w:rsidRDefault="00000000">
              <w:pPr>
                <w:spacing w:line="360" w:lineRule="auto"/>
                <w:ind w:firstLineChars="200" w:firstLine="420"/>
                <w:jc w:val="both"/>
              </w:pPr>
              <w:r>
                <w:rPr>
                  <w:rFonts w:hint="eastAsia"/>
                </w:rPr>
                <w:t>公司于</w:t>
              </w:r>
              <w:r>
                <w:t>2020</w:t>
              </w:r>
              <w:r>
                <w:t>年</w:t>
              </w:r>
              <w:r>
                <w:t>12</w:t>
              </w:r>
              <w:r>
                <w:t>月</w:t>
              </w:r>
              <w:r>
                <w:t>14</w:t>
              </w:r>
              <w:r>
                <w:t>日发行</w:t>
              </w:r>
              <w:r>
                <w:t>320</w:t>
              </w:r>
              <w:r>
                <w:t>亿元可转换公司债</w:t>
              </w:r>
              <w:proofErr w:type="gramStart"/>
              <w:r>
                <w:t>券</w:t>
              </w:r>
              <w:proofErr w:type="gramEnd"/>
              <w:r>
                <w:t>，内容详见</w:t>
              </w:r>
              <w:r>
                <w:t>2020</w:t>
              </w:r>
              <w:r>
                <w:t>年</w:t>
              </w:r>
              <w:r>
                <w:t>12</w:t>
              </w:r>
              <w:r>
                <w:t>月</w:t>
              </w:r>
              <w:r>
                <w:t>10</w:t>
              </w:r>
              <w:r>
                <w:t>日登载于上海证券交易所的《大秦铁路股份有限公司公开发行可转换公司债券发行公告》。</w:t>
              </w:r>
            </w:p>
            <w:p w14:paraId="13C9F9B3" w14:textId="77777777" w:rsidR="005E000F" w:rsidRDefault="00000000">
              <w:pPr>
                <w:spacing w:line="360" w:lineRule="auto"/>
                <w:ind w:firstLineChars="200" w:firstLine="420"/>
                <w:jc w:val="both"/>
              </w:pPr>
              <w:r>
                <w:rPr>
                  <w:rFonts w:hint="eastAsia"/>
                </w:rPr>
                <w:t>根据公司七届十次董事会决议及赎回时间安排，“大秦转债”于</w:t>
              </w:r>
              <w:r>
                <w:t>2025</w:t>
              </w:r>
              <w:r>
                <w:t>年</w:t>
              </w:r>
              <w:r>
                <w:t>2</w:t>
              </w:r>
              <w:r>
                <w:t>月</w:t>
              </w:r>
              <w:r>
                <w:t>11</w:t>
              </w:r>
              <w:r>
                <w:t>日完成了提前赎回，赎回完成后，</w:t>
              </w:r>
              <w:r>
                <w:t>“</w:t>
              </w:r>
              <w:r>
                <w:t>大秦转债</w:t>
              </w:r>
              <w:r>
                <w:t>”</w:t>
              </w:r>
              <w:r>
                <w:t>于</w:t>
              </w:r>
              <w:r>
                <w:t>2025</w:t>
              </w:r>
              <w:r>
                <w:t>年</w:t>
              </w:r>
              <w:r>
                <w:t>2</w:t>
              </w:r>
              <w:r>
                <w:t>月</w:t>
              </w:r>
              <w:r>
                <w:t>11</w:t>
              </w:r>
              <w:r>
                <w:t>日在上海证券交易所摘牌。内容详见</w:t>
              </w:r>
              <w:r>
                <w:t>2025</w:t>
              </w:r>
              <w:r>
                <w:t>年</w:t>
              </w:r>
              <w:r>
                <w:t>2</w:t>
              </w:r>
              <w:r>
                <w:t>月</w:t>
              </w:r>
              <w:r>
                <w:t>12</w:t>
              </w:r>
              <w:r>
                <w:t>日登载于上海证券交易所网站的《大秦铁路关于</w:t>
              </w:r>
              <w:r>
                <w:t>“</w:t>
              </w:r>
              <w:r>
                <w:t>大秦转债</w:t>
              </w:r>
              <w:r>
                <w:t>”</w:t>
              </w:r>
              <w:r>
                <w:t>赎回结果暨股份变动的公告》。</w:t>
              </w:r>
            </w:p>
          </w:sdtContent>
        </w:sdt>
      </w:sdtContent>
    </w:sdt>
    <w:bookmarkEnd w:id="200"/>
    <w:p w14:paraId="467CF6A2" w14:textId="77777777" w:rsidR="005E000F" w:rsidRDefault="00000000">
      <w:pPr>
        <w:pStyle w:val="3"/>
        <w:numPr>
          <w:ilvl w:val="0"/>
          <w:numId w:val="49"/>
        </w:numPr>
        <w:rPr>
          <w:szCs w:val="21"/>
        </w:rPr>
      </w:pPr>
      <w:r>
        <w:rPr>
          <w:rFonts w:hint="eastAsia"/>
          <w:szCs w:val="21"/>
        </w:rPr>
        <w:t>公司股份总数及股东结构变动及公司资产和负债结构的变动情况</w:t>
      </w:r>
    </w:p>
    <w:sdt>
      <w:sdtPr>
        <w:rPr>
          <w:rFonts w:hint="eastAsia"/>
        </w:rPr>
        <w:alias w:val="是否适用：公司普通股股份总数及股东结构变动及公司资产和负债结构的变动情况[双击切换]"/>
        <w:tag w:val="_GBC_fb36c697d5b04775a7cf181dc8c2e9c2"/>
        <w:id w:val="-1964175938"/>
        <w:placeholder>
          <w:docPart w:val="GBC22222222222222222222222222222"/>
        </w:placeholder>
      </w:sdtPr>
      <w:sdtContent>
        <w:p w14:paraId="430E7DF1"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股份总数及结构的变动的说明"/>
        <w:tag w:val="_GBC_f052eac1038944c191b4dbc4a4fa7ea9"/>
        <w:id w:val="1886136980"/>
        <w:placeholder>
          <w:docPart w:val="GBC22222222222222222222222222222"/>
        </w:placeholder>
      </w:sdtPr>
      <w:sdtContent>
        <w:p w14:paraId="1E025F45" w14:textId="77777777" w:rsidR="005E000F" w:rsidRDefault="00000000">
          <w:pPr>
            <w:spacing w:line="360" w:lineRule="auto"/>
            <w:ind w:firstLineChars="200" w:firstLine="420"/>
            <w:jc w:val="both"/>
          </w:pPr>
          <w:sdt>
            <w:sdtPr>
              <w:rPr>
                <w:rFonts w:hint="eastAsia"/>
              </w:rPr>
              <w:alias w:val="公司股份总数及结构的变动的说明"/>
              <w:tag w:val="_GBC_f052eac1038944c191b4dbc4a4fa7ea9"/>
              <w:id w:val="-1981685635"/>
              <w:placeholder>
                <w:docPart w:val="C8629D969A594B3F8E1642168D804037"/>
              </w:placeholder>
            </w:sdtPr>
            <w:sdtContent>
              <w:r>
                <w:rPr>
                  <w:rFonts w:hint="eastAsia"/>
                </w:rPr>
                <w:t>公司股份总数及股东结构变动情况请见本报告第六节“一、（一）</w:t>
              </w:r>
              <w:r>
                <w:t>1</w:t>
              </w:r>
              <w:r>
                <w:t>、股份变动情况表</w:t>
              </w:r>
              <w:r>
                <w:rPr>
                  <w:rFonts w:hint="eastAsia"/>
                </w:rPr>
                <w:t>和</w:t>
              </w:r>
              <w:r>
                <w:rPr>
                  <w:rFonts w:hint="eastAsia"/>
                </w:rPr>
                <w:t>2</w:t>
              </w:r>
              <w:r>
                <w:rPr>
                  <w:rFonts w:hint="eastAsia"/>
                </w:rPr>
                <w:t>、股份变动情况说明</w:t>
              </w:r>
              <w:r>
                <w:t>”</w:t>
              </w:r>
              <w:r>
                <w:t>。</w:t>
              </w:r>
              <w:r>
                <w:rPr>
                  <w:rFonts w:hint="eastAsia"/>
                </w:rPr>
                <w:t>截至</w:t>
              </w:r>
              <w:r>
                <w:t>202</w:t>
              </w:r>
              <w:r>
                <w:rPr>
                  <w:rFonts w:hint="eastAsia"/>
                </w:rPr>
                <w:t>5</w:t>
              </w:r>
              <w:r>
                <w:rPr>
                  <w:rFonts w:hint="eastAsia"/>
                </w:rPr>
                <w:t>年</w:t>
              </w:r>
              <w:r>
                <w:rPr>
                  <w:rFonts w:hint="eastAsia"/>
                </w:rPr>
                <w:t>12</w:t>
              </w:r>
              <w:r>
                <w:rPr>
                  <w:rFonts w:hint="eastAsia"/>
                </w:rPr>
                <w:t>月</w:t>
              </w:r>
              <w:r>
                <w:rPr>
                  <w:rFonts w:hint="eastAsia"/>
                </w:rPr>
                <w:t>31</w:t>
              </w:r>
              <w:r>
                <w:rPr>
                  <w:rFonts w:hint="eastAsia"/>
                </w:rPr>
                <w:t>日，公司总股本为</w:t>
              </w:r>
              <w:r>
                <w:t>20,147,177,716</w:t>
              </w:r>
              <w:r>
                <w:rPr>
                  <w:rFonts w:hint="eastAsia"/>
                </w:rPr>
                <w:t>股</w:t>
              </w:r>
              <w:r>
                <w:t>。</w:t>
              </w:r>
            </w:sdtContent>
          </w:sdt>
        </w:p>
      </w:sdtContent>
    </w:sdt>
    <w:p w14:paraId="5C0D8FF0" w14:textId="77777777" w:rsidR="005E000F" w:rsidRDefault="00000000">
      <w:pPr>
        <w:pStyle w:val="3"/>
        <w:numPr>
          <w:ilvl w:val="0"/>
          <w:numId w:val="49"/>
        </w:numPr>
        <w:rPr>
          <w:szCs w:val="21"/>
        </w:rPr>
      </w:pPr>
      <w:r>
        <w:rPr>
          <w:rFonts w:hint="eastAsia"/>
          <w:szCs w:val="21"/>
        </w:rPr>
        <w:t>现存的内部职工股情况</w:t>
      </w:r>
    </w:p>
    <w:sdt>
      <w:sdtPr>
        <w:alias w:val="是否适用：现存的内部职工股情况[双击切换]"/>
        <w:tag w:val="_GBC_fa5e90226e14408b891f1c5a9dbbf2c5"/>
        <w:id w:val="-864827274"/>
        <w:placeholder>
          <w:docPart w:val="GBC22222222222222222222222222222"/>
        </w:placeholder>
      </w:sdtPr>
      <w:sdtContent>
        <w:p w14:paraId="0F57DB08"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87A8A83" w14:textId="77777777" w:rsidR="005E000F" w:rsidRDefault="00000000">
      <w:pPr>
        <w:pStyle w:val="2"/>
        <w:numPr>
          <w:ilvl w:val="0"/>
          <w:numId w:val="46"/>
        </w:numPr>
      </w:pPr>
      <w:r>
        <w:t>股东</w:t>
      </w:r>
      <w:r>
        <w:rPr>
          <w:rFonts w:hint="eastAsia"/>
        </w:rPr>
        <w:t>和实际控制人</w:t>
      </w:r>
      <w:r>
        <w:t>情况</w:t>
      </w:r>
    </w:p>
    <w:p w14:paraId="50209DCE" w14:textId="77777777" w:rsidR="005E000F" w:rsidRDefault="00000000">
      <w:pPr>
        <w:pStyle w:val="3"/>
        <w:numPr>
          <w:ilvl w:val="1"/>
          <w:numId w:val="50"/>
        </w:numPr>
        <w:tabs>
          <w:tab w:val="left" w:pos="851"/>
        </w:tabs>
        <w:ind w:left="426" w:hanging="426"/>
        <w:rPr>
          <w:szCs w:val="21"/>
        </w:rPr>
      </w:pPr>
      <w:r>
        <w:rPr>
          <w:rFonts w:hint="eastAsia"/>
          <w:szCs w:val="21"/>
        </w:rPr>
        <w:t>股东总数</w:t>
      </w:r>
    </w:p>
    <w:tbl>
      <w:tblPr>
        <w:tblStyle w:val="aff2"/>
        <w:tblW w:w="0" w:type="auto"/>
        <w:tblLayout w:type="fixed"/>
        <w:tblLook w:val="04A0" w:firstRow="1" w:lastRow="0" w:firstColumn="1" w:lastColumn="0" w:noHBand="0" w:noVBand="1"/>
      </w:tblPr>
      <w:tblGrid>
        <w:gridCol w:w="4524"/>
        <w:gridCol w:w="4524"/>
      </w:tblGrid>
      <w:tr w:rsidR="005E000F" w14:paraId="5BF5CFC3" w14:textId="77777777">
        <w:sdt>
          <w:sdtPr>
            <w:tag w:val="_PLD_34738880649c43ac9597effd663adc10"/>
            <w:id w:val="348837142"/>
          </w:sdtPr>
          <w:sdtContent>
            <w:tc>
              <w:tcPr>
                <w:tcW w:w="4524" w:type="dxa"/>
                <w:vAlign w:val="center"/>
              </w:tcPr>
              <w:p w14:paraId="0E52B5FD" w14:textId="77777777" w:rsidR="005E000F" w:rsidRDefault="00000000">
                <w:r>
                  <w:t>截</w:t>
                </w:r>
                <w:r>
                  <w:rPr>
                    <w:rFonts w:hint="eastAsia"/>
                  </w:rPr>
                  <w:t>至</w:t>
                </w:r>
                <w:r>
                  <w:t>报告期末</w:t>
                </w:r>
                <w:r>
                  <w:rPr>
                    <w:rFonts w:hint="eastAsia"/>
                  </w:rPr>
                  <w:t>普通股</w:t>
                </w:r>
                <w:r>
                  <w:t>股东总数</w:t>
                </w:r>
                <w:r>
                  <w:rPr>
                    <w:rFonts w:hint="eastAsia"/>
                  </w:rPr>
                  <w:t>（</w:t>
                </w:r>
                <w:r>
                  <w:t>户</w:t>
                </w:r>
                <w:r>
                  <w:rPr>
                    <w:rFonts w:hint="eastAsia"/>
                  </w:rPr>
                  <w:t>）</w:t>
                </w:r>
              </w:p>
            </w:tc>
          </w:sdtContent>
        </w:sdt>
        <w:sdt>
          <w:sdtPr>
            <w:alias w:val="报告期末股东总数"/>
            <w:tag w:val="_GBC_510087fb1e024fb293d32127713e45f8"/>
            <w:id w:val="95142085"/>
          </w:sdtPr>
          <w:sdtContent>
            <w:tc>
              <w:tcPr>
                <w:tcW w:w="4524" w:type="dxa"/>
                <w:vAlign w:val="center"/>
              </w:tcPr>
              <w:p w14:paraId="161C6FB2" w14:textId="77777777" w:rsidR="005E000F" w:rsidRDefault="00000000">
                <w:pPr>
                  <w:jc w:val="right"/>
                </w:pPr>
                <w:r>
                  <w:t>262,823</w:t>
                </w:r>
              </w:p>
            </w:tc>
          </w:sdtContent>
        </w:sdt>
      </w:tr>
      <w:tr w:rsidR="005E000F" w14:paraId="587988C3" w14:textId="77777777">
        <w:tc>
          <w:tcPr>
            <w:tcW w:w="4524" w:type="dxa"/>
            <w:vAlign w:val="center"/>
          </w:tcPr>
          <w:p w14:paraId="00304C5A" w14:textId="77777777" w:rsidR="005E000F" w:rsidRDefault="00000000">
            <w:r>
              <w:rPr>
                <w:rFonts w:hint="eastAsia"/>
              </w:rPr>
              <w:t>年度报告披露日前上一月末的普通股股东总数（</w:t>
            </w:r>
            <w:r>
              <w:t>户</w:t>
            </w:r>
            <w:r>
              <w:rPr>
                <w:rFonts w:hint="eastAsia"/>
              </w:rPr>
              <w:t>）</w:t>
            </w:r>
          </w:p>
        </w:tc>
        <w:tc>
          <w:tcPr>
            <w:tcW w:w="4524" w:type="dxa"/>
            <w:vAlign w:val="center"/>
          </w:tcPr>
          <w:p w14:paraId="57EDCA5F" w14:textId="77777777" w:rsidR="005E000F" w:rsidRDefault="00000000">
            <w:pPr>
              <w:jc w:val="right"/>
            </w:pPr>
            <w:r>
              <w:t>327,538</w:t>
            </w:r>
          </w:p>
        </w:tc>
      </w:tr>
    </w:tbl>
    <w:p w14:paraId="4980786E" w14:textId="77777777" w:rsidR="005E000F" w:rsidRDefault="005E000F"/>
    <w:p w14:paraId="6098FAC3" w14:textId="77777777" w:rsidR="005E000F" w:rsidRDefault="00000000">
      <w:pPr>
        <w:pStyle w:val="3"/>
        <w:numPr>
          <w:ilvl w:val="1"/>
          <w:numId w:val="50"/>
        </w:numPr>
        <w:ind w:left="426" w:hanging="426"/>
      </w:pPr>
      <w:bookmarkStart w:id="201" w:name="_Toc342565998"/>
      <w:bookmarkStart w:id="202" w:name="_Toc342059485"/>
      <w:r>
        <w:rPr>
          <w:rFonts w:hint="eastAsia"/>
          <w:szCs w:val="21"/>
        </w:rPr>
        <w:t>截至报告</w:t>
      </w:r>
      <w:proofErr w:type="gramStart"/>
      <w:r>
        <w:rPr>
          <w:rFonts w:hint="eastAsia"/>
          <w:szCs w:val="21"/>
        </w:rPr>
        <w:t>期末前</w:t>
      </w:r>
      <w:proofErr w:type="gramEnd"/>
      <w:r>
        <w:rPr>
          <w:rFonts w:hint="eastAsia"/>
          <w:szCs w:val="21"/>
        </w:rPr>
        <w:t>十名股东、前十名流通股东（或无限</w:t>
      </w:r>
      <w:proofErr w:type="gramStart"/>
      <w:r>
        <w:rPr>
          <w:rFonts w:hint="eastAsia"/>
          <w:szCs w:val="21"/>
        </w:rPr>
        <w:t>售条件</w:t>
      </w:r>
      <w:proofErr w:type="gramEnd"/>
      <w:r>
        <w:rPr>
          <w:rFonts w:hint="eastAsia"/>
          <w:szCs w:val="21"/>
        </w:rPr>
        <w:t>股东）持股情况表</w:t>
      </w:r>
    </w:p>
    <w:p w14:paraId="67D8ECC5" w14:textId="77777777" w:rsidR="005E000F" w:rsidRDefault="00000000">
      <w:pPr>
        <w:jc w:val="right"/>
      </w:pPr>
      <w:bookmarkStart w:id="203" w:name="_Hlk27487213"/>
      <w:bookmarkEnd w:id="201"/>
      <w:bookmarkEnd w:id="202"/>
      <w:r>
        <w:rPr>
          <w:bCs/>
        </w:rPr>
        <w:t>单位：</w:t>
      </w:r>
      <w:sdt>
        <w:sdtPr>
          <w:rPr>
            <w:bCs/>
          </w:rPr>
          <w:alias w:val="单位：前十名股东持股情况"/>
          <w:tag w:val="_GBC_b59e95c09d914c83b42ae5b68d0d6987"/>
          <w:id w:val="-1388872567"/>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bCs/>
            </w:rPr>
            <w:t>股</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4"/>
        <w:gridCol w:w="1560"/>
        <w:gridCol w:w="1559"/>
        <w:gridCol w:w="142"/>
        <w:gridCol w:w="567"/>
        <w:gridCol w:w="425"/>
        <w:gridCol w:w="709"/>
        <w:gridCol w:w="607"/>
        <w:gridCol w:w="1094"/>
      </w:tblGrid>
      <w:tr w:rsidR="005E000F" w14:paraId="097B3BB0" w14:textId="77777777">
        <w:trPr>
          <w:cantSplit/>
          <w:jc w:val="center"/>
        </w:trPr>
        <w:sdt>
          <w:sdtPr>
            <w:tag w:val="_PLD_12180439b5ff4b00a01ff1f87b70f1de"/>
            <w:id w:val="-106424127"/>
          </w:sdtPr>
          <w:sdtContent>
            <w:tc>
              <w:tcPr>
                <w:tcW w:w="10027" w:type="dxa"/>
                <w:gridSpan w:val="9"/>
                <w:vAlign w:val="center"/>
              </w:tcPr>
              <w:p w14:paraId="08002AEB" w14:textId="77777777" w:rsidR="005E000F" w:rsidRDefault="00000000">
                <w:pPr>
                  <w:pStyle w:val="ab"/>
                  <w:jc w:val="center"/>
                  <w:rPr>
                    <w:rFonts w:ascii="宋体" w:hAnsi="宋体"/>
                  </w:rPr>
                </w:pPr>
                <w:r>
                  <w:rPr>
                    <w:rFonts w:ascii="宋体" w:hAnsi="宋体"/>
                  </w:rPr>
                  <w:t>前十名股东持股情况</w:t>
                </w:r>
                <w:r>
                  <w:rPr>
                    <w:rFonts w:ascii="宋体" w:hAnsi="宋体" w:hint="eastAsia"/>
                  </w:rPr>
                  <w:t>（不含通过转融通出借股份）</w:t>
                </w:r>
              </w:p>
            </w:tc>
          </w:sdtContent>
        </w:sdt>
      </w:tr>
      <w:tr w:rsidR="005E000F" w14:paraId="18E46057" w14:textId="77777777">
        <w:trPr>
          <w:cantSplit/>
          <w:jc w:val="center"/>
        </w:trPr>
        <w:sdt>
          <w:sdtPr>
            <w:tag w:val="_PLD_4e40ad86e5ee4c0cb28f819aa3924fb2"/>
            <w:id w:val="-301933599"/>
          </w:sdtPr>
          <w:sdtContent>
            <w:tc>
              <w:tcPr>
                <w:tcW w:w="3364" w:type="dxa"/>
                <w:vMerge w:val="restart"/>
                <w:vAlign w:val="center"/>
              </w:tcPr>
              <w:p w14:paraId="57AD78E5" w14:textId="77777777" w:rsidR="005E000F" w:rsidRDefault="00000000">
                <w:pPr>
                  <w:jc w:val="center"/>
                </w:pPr>
                <w:r>
                  <w:t>股东名称</w:t>
                </w:r>
              </w:p>
              <w:p w14:paraId="3503DE9B" w14:textId="77777777" w:rsidR="005E000F" w:rsidRDefault="00000000">
                <w:pPr>
                  <w:jc w:val="center"/>
                </w:pPr>
                <w:r>
                  <w:rPr>
                    <w:rFonts w:hint="eastAsia"/>
                  </w:rPr>
                  <w:t>（全称）</w:t>
                </w:r>
              </w:p>
            </w:tc>
          </w:sdtContent>
        </w:sdt>
        <w:sdt>
          <w:sdtPr>
            <w:tag w:val="_PLD_587b672a54ed4481b14f0963f010aefb"/>
            <w:id w:val="-1471750898"/>
          </w:sdtPr>
          <w:sdtContent>
            <w:tc>
              <w:tcPr>
                <w:tcW w:w="1560" w:type="dxa"/>
                <w:vMerge w:val="restart"/>
                <w:vAlign w:val="center"/>
              </w:tcPr>
              <w:p w14:paraId="707FABFC" w14:textId="77777777" w:rsidR="005E000F" w:rsidRDefault="00000000">
                <w:pPr>
                  <w:jc w:val="center"/>
                </w:pPr>
                <w:r>
                  <w:t>报告期内增减</w:t>
                </w:r>
              </w:p>
            </w:tc>
          </w:sdtContent>
        </w:sdt>
        <w:sdt>
          <w:sdtPr>
            <w:tag w:val="_PLD_580f25e9dfa24c1d91f3845b6a6a42e5"/>
            <w:id w:val="-856117164"/>
          </w:sdtPr>
          <w:sdtContent>
            <w:tc>
              <w:tcPr>
                <w:tcW w:w="1559" w:type="dxa"/>
                <w:vMerge w:val="restart"/>
                <w:vAlign w:val="center"/>
              </w:tcPr>
              <w:p w14:paraId="6CF5CDEB" w14:textId="77777777" w:rsidR="005E000F" w:rsidRDefault="00000000">
                <w:pPr>
                  <w:jc w:val="center"/>
                </w:pPr>
                <w:r>
                  <w:t>期末持股数量</w:t>
                </w:r>
              </w:p>
            </w:tc>
          </w:sdtContent>
        </w:sdt>
        <w:sdt>
          <w:sdtPr>
            <w:tag w:val="_PLD_e80658c5388c4bb0871489372e62334d"/>
            <w:id w:val="-176421126"/>
          </w:sdtPr>
          <w:sdtContent>
            <w:tc>
              <w:tcPr>
                <w:tcW w:w="709" w:type="dxa"/>
                <w:gridSpan w:val="2"/>
                <w:vMerge w:val="restart"/>
                <w:vAlign w:val="center"/>
              </w:tcPr>
              <w:p w14:paraId="2CE99573" w14:textId="77777777" w:rsidR="005E000F" w:rsidRDefault="00000000">
                <w:pPr>
                  <w:jc w:val="center"/>
                </w:pPr>
                <w:r>
                  <w:t>比例</w:t>
                </w:r>
                <w:r>
                  <w:rPr>
                    <w:rFonts w:hint="eastAsia"/>
                  </w:rPr>
                  <w:t>（</w:t>
                </w:r>
                <w:r>
                  <w:t>%</w:t>
                </w:r>
                <w:r>
                  <w:rPr>
                    <w:rFonts w:hint="eastAsia"/>
                  </w:rPr>
                  <w:t>）</w:t>
                </w:r>
              </w:p>
            </w:tc>
          </w:sdtContent>
        </w:sdt>
        <w:sdt>
          <w:sdtPr>
            <w:tag w:val="_PLD_0ed52eb839784cb0ab83b1692dc8b283"/>
            <w:id w:val="-114285449"/>
          </w:sdtPr>
          <w:sdtContent>
            <w:tc>
              <w:tcPr>
                <w:tcW w:w="425" w:type="dxa"/>
                <w:vMerge w:val="restart"/>
                <w:vAlign w:val="center"/>
              </w:tcPr>
              <w:p w14:paraId="181737F8" w14:textId="77777777" w:rsidR="005E000F" w:rsidRDefault="00000000">
                <w:pPr>
                  <w:pStyle w:val="a3"/>
                  <w:rPr>
                    <w:rFonts w:ascii="宋体" w:hAnsi="宋体"/>
                    <w:bCs/>
                    <w:color w:val="00B050"/>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sdtContent>
        </w:sdt>
        <w:sdt>
          <w:sdtPr>
            <w:tag w:val="_PLD_6d0fce9e7c914a578f4702348340f346"/>
            <w:id w:val="833335943"/>
          </w:sdtPr>
          <w:sdtContent>
            <w:tc>
              <w:tcPr>
                <w:tcW w:w="1316" w:type="dxa"/>
                <w:gridSpan w:val="2"/>
                <w:vAlign w:val="center"/>
              </w:tcPr>
              <w:p w14:paraId="4DCADABE" w14:textId="77777777" w:rsidR="005E000F" w:rsidRDefault="00000000">
                <w:pPr>
                  <w:jc w:val="center"/>
                </w:pPr>
                <w:r>
                  <w:t>质押</w:t>
                </w:r>
                <w:r>
                  <w:rPr>
                    <w:rFonts w:hint="eastAsia"/>
                  </w:rPr>
                  <w:t>、标记</w:t>
                </w:r>
                <w:r>
                  <w:t>或冻结情况</w:t>
                </w:r>
              </w:p>
            </w:tc>
          </w:sdtContent>
        </w:sdt>
        <w:sdt>
          <w:sdtPr>
            <w:tag w:val="_PLD_57b1e0d0ab2d4113aada0c0394d1589d"/>
            <w:id w:val="915667425"/>
          </w:sdtPr>
          <w:sdtContent>
            <w:tc>
              <w:tcPr>
                <w:tcW w:w="1094" w:type="dxa"/>
                <w:vMerge w:val="restart"/>
                <w:vAlign w:val="center"/>
              </w:tcPr>
              <w:p w14:paraId="7A3686F5" w14:textId="77777777" w:rsidR="005E000F" w:rsidRDefault="00000000">
                <w:pPr>
                  <w:jc w:val="center"/>
                </w:pPr>
                <w:r>
                  <w:t>股东性质</w:t>
                </w:r>
              </w:p>
            </w:tc>
          </w:sdtContent>
        </w:sdt>
      </w:tr>
      <w:tr w:rsidR="005E000F" w14:paraId="15AD1840" w14:textId="77777777">
        <w:trPr>
          <w:cantSplit/>
          <w:jc w:val="center"/>
        </w:trPr>
        <w:tc>
          <w:tcPr>
            <w:tcW w:w="3364" w:type="dxa"/>
            <w:vMerge/>
            <w:tcBorders>
              <w:bottom w:val="single" w:sz="4" w:space="0" w:color="auto"/>
            </w:tcBorders>
            <w:vAlign w:val="center"/>
          </w:tcPr>
          <w:p w14:paraId="0C509C7C" w14:textId="77777777" w:rsidR="005E000F" w:rsidRDefault="005E000F">
            <w:pPr>
              <w:jc w:val="center"/>
            </w:pPr>
          </w:p>
        </w:tc>
        <w:tc>
          <w:tcPr>
            <w:tcW w:w="1560" w:type="dxa"/>
            <w:vMerge/>
            <w:tcBorders>
              <w:bottom w:val="single" w:sz="4" w:space="0" w:color="auto"/>
            </w:tcBorders>
            <w:vAlign w:val="center"/>
          </w:tcPr>
          <w:p w14:paraId="0B900157" w14:textId="77777777" w:rsidR="005E000F" w:rsidRDefault="005E000F">
            <w:pPr>
              <w:jc w:val="center"/>
            </w:pPr>
          </w:p>
        </w:tc>
        <w:tc>
          <w:tcPr>
            <w:tcW w:w="1559" w:type="dxa"/>
            <w:vMerge/>
            <w:tcBorders>
              <w:bottom w:val="single" w:sz="4" w:space="0" w:color="auto"/>
            </w:tcBorders>
            <w:vAlign w:val="center"/>
          </w:tcPr>
          <w:p w14:paraId="2E90143D" w14:textId="77777777" w:rsidR="005E000F" w:rsidRDefault="005E000F">
            <w:pPr>
              <w:jc w:val="center"/>
            </w:pPr>
          </w:p>
        </w:tc>
        <w:tc>
          <w:tcPr>
            <w:tcW w:w="709" w:type="dxa"/>
            <w:gridSpan w:val="2"/>
            <w:vMerge/>
            <w:tcBorders>
              <w:bottom w:val="single" w:sz="4" w:space="0" w:color="auto"/>
            </w:tcBorders>
            <w:vAlign w:val="center"/>
          </w:tcPr>
          <w:p w14:paraId="68653363" w14:textId="77777777" w:rsidR="005E000F" w:rsidRDefault="005E000F">
            <w:pPr>
              <w:jc w:val="center"/>
            </w:pPr>
          </w:p>
        </w:tc>
        <w:tc>
          <w:tcPr>
            <w:tcW w:w="425" w:type="dxa"/>
            <w:vMerge/>
            <w:tcBorders>
              <w:bottom w:val="single" w:sz="4" w:space="0" w:color="auto"/>
            </w:tcBorders>
            <w:vAlign w:val="center"/>
          </w:tcPr>
          <w:p w14:paraId="0D7144E5" w14:textId="77777777" w:rsidR="005E000F" w:rsidRDefault="005E000F">
            <w:pPr>
              <w:jc w:val="center"/>
            </w:pPr>
          </w:p>
        </w:tc>
        <w:sdt>
          <w:sdtPr>
            <w:tag w:val="_PLD_72b090b1925c46349c7beb3ca6c0032f"/>
            <w:id w:val="-1722898198"/>
          </w:sdtPr>
          <w:sdtContent>
            <w:tc>
              <w:tcPr>
                <w:tcW w:w="709" w:type="dxa"/>
                <w:tcBorders>
                  <w:bottom w:val="single" w:sz="4" w:space="0" w:color="auto"/>
                </w:tcBorders>
                <w:vAlign w:val="center"/>
              </w:tcPr>
              <w:p w14:paraId="4D6CB632" w14:textId="77777777" w:rsidR="005E000F" w:rsidRDefault="00000000">
                <w:pPr>
                  <w:jc w:val="center"/>
                </w:pPr>
                <w:r>
                  <w:t>股份状态</w:t>
                </w:r>
              </w:p>
            </w:tc>
          </w:sdtContent>
        </w:sdt>
        <w:sdt>
          <w:sdtPr>
            <w:tag w:val="_PLD_76e0ca0392384ff795b7613d764041da"/>
            <w:id w:val="-1920390198"/>
          </w:sdtPr>
          <w:sdtContent>
            <w:tc>
              <w:tcPr>
                <w:tcW w:w="607" w:type="dxa"/>
                <w:tcBorders>
                  <w:bottom w:val="single" w:sz="4" w:space="0" w:color="auto"/>
                </w:tcBorders>
                <w:vAlign w:val="center"/>
              </w:tcPr>
              <w:p w14:paraId="5E966E0F" w14:textId="77777777" w:rsidR="005E000F" w:rsidRDefault="00000000">
                <w:pPr>
                  <w:jc w:val="center"/>
                </w:pPr>
                <w:r>
                  <w:t>数量</w:t>
                </w:r>
              </w:p>
            </w:tc>
          </w:sdtContent>
        </w:sdt>
        <w:tc>
          <w:tcPr>
            <w:tcW w:w="1094" w:type="dxa"/>
            <w:vMerge/>
            <w:vAlign w:val="center"/>
          </w:tcPr>
          <w:p w14:paraId="4C0923BE" w14:textId="77777777" w:rsidR="005E000F" w:rsidRDefault="005E000F">
            <w:pPr>
              <w:jc w:val="center"/>
            </w:pPr>
          </w:p>
        </w:tc>
      </w:tr>
      <w:tr w:rsidR="005E000F" w14:paraId="6D8FB8DD" w14:textId="77777777">
        <w:trPr>
          <w:cantSplit/>
          <w:jc w:val="center"/>
        </w:trPr>
        <w:tc>
          <w:tcPr>
            <w:tcW w:w="3364" w:type="dxa"/>
            <w:vAlign w:val="center"/>
          </w:tcPr>
          <w:p w14:paraId="2C881C21" w14:textId="77777777" w:rsidR="005E000F" w:rsidRDefault="00000000">
            <w:pPr>
              <w:jc w:val="both"/>
            </w:pPr>
            <w:r>
              <w:rPr>
                <w:rStyle w:val="affa"/>
                <w:rFonts w:hint="eastAsia"/>
              </w:rPr>
              <w:t>中国铁路太原</w:t>
            </w:r>
            <w:proofErr w:type="gramStart"/>
            <w:r>
              <w:rPr>
                <w:rStyle w:val="affa"/>
                <w:rFonts w:hint="eastAsia"/>
              </w:rPr>
              <w:t>局集团</w:t>
            </w:r>
            <w:proofErr w:type="gramEnd"/>
            <w:r>
              <w:rPr>
                <w:rStyle w:val="affa"/>
                <w:rFonts w:hint="eastAsia"/>
              </w:rPr>
              <w:t>有限公司</w:t>
            </w:r>
          </w:p>
        </w:tc>
        <w:tc>
          <w:tcPr>
            <w:tcW w:w="1560" w:type="dxa"/>
            <w:vAlign w:val="center"/>
          </w:tcPr>
          <w:p w14:paraId="7CABDF66" w14:textId="77777777" w:rsidR="005E000F" w:rsidRDefault="00000000">
            <w:pPr>
              <w:jc w:val="right"/>
            </w:pPr>
            <w:r>
              <w:t>542,814,535</w:t>
            </w:r>
          </w:p>
        </w:tc>
        <w:tc>
          <w:tcPr>
            <w:tcW w:w="1559" w:type="dxa"/>
            <w:vAlign w:val="center"/>
          </w:tcPr>
          <w:p w14:paraId="68A63BD8" w14:textId="77777777" w:rsidR="005E000F" w:rsidRDefault="00000000">
            <w:pPr>
              <w:jc w:val="right"/>
            </w:pPr>
            <w:r>
              <w:t>9,863,576,055</w:t>
            </w:r>
          </w:p>
        </w:tc>
        <w:tc>
          <w:tcPr>
            <w:tcW w:w="709" w:type="dxa"/>
            <w:gridSpan w:val="2"/>
            <w:vAlign w:val="center"/>
          </w:tcPr>
          <w:p w14:paraId="4C52CDF8" w14:textId="77777777" w:rsidR="005E000F" w:rsidRDefault="00000000">
            <w:pPr>
              <w:jc w:val="right"/>
            </w:pPr>
            <w:r>
              <w:rPr>
                <w:rFonts w:hint="eastAsia"/>
              </w:rPr>
              <w:t>48.96</w:t>
            </w:r>
          </w:p>
        </w:tc>
        <w:tc>
          <w:tcPr>
            <w:tcW w:w="425" w:type="dxa"/>
            <w:vAlign w:val="center"/>
          </w:tcPr>
          <w:p w14:paraId="1FB490A4" w14:textId="77777777" w:rsidR="005E000F" w:rsidRDefault="00000000">
            <w:pPr>
              <w:jc w:val="right"/>
            </w:pPr>
            <w:r>
              <w:rPr>
                <w:rFonts w:hint="eastAsia"/>
              </w:rPr>
              <w:t>0</w:t>
            </w:r>
          </w:p>
        </w:tc>
        <w:sdt>
          <w:sdtPr>
            <w:alias w:val="前十名股东持有股份状态"/>
            <w:tag w:val="_GBC_46a2e2b7fded452b84eec75a5e47296b"/>
            <w:id w:val="1064532836"/>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6D1DAC7B" w14:textId="77777777" w:rsidR="005E000F" w:rsidRDefault="00000000">
                <w:pPr>
                  <w:jc w:val="both"/>
                  <w:rPr>
                    <w:color w:val="FF9900"/>
                  </w:rPr>
                </w:pPr>
                <w:r>
                  <w:t>无</w:t>
                </w:r>
              </w:p>
            </w:tc>
          </w:sdtContent>
        </w:sdt>
        <w:tc>
          <w:tcPr>
            <w:tcW w:w="607" w:type="dxa"/>
            <w:vAlign w:val="center"/>
          </w:tcPr>
          <w:p w14:paraId="266EE0C6" w14:textId="77777777" w:rsidR="005E000F" w:rsidRDefault="005E000F">
            <w:pPr>
              <w:jc w:val="right"/>
            </w:pPr>
          </w:p>
        </w:tc>
        <w:sdt>
          <w:sdtPr>
            <w:alias w:val="前十名股东的股东性质"/>
            <w:tag w:val="_GBC_84391eccdbd14aa7bbd07a260ff9d747"/>
            <w:id w:val="22680784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06B1C999" w14:textId="77777777" w:rsidR="005E000F" w:rsidRDefault="00000000">
                <w:pPr>
                  <w:jc w:val="both"/>
                  <w:rPr>
                    <w:color w:val="FF9900"/>
                  </w:rPr>
                </w:pPr>
                <w:r>
                  <w:t>国有法人</w:t>
                </w:r>
              </w:p>
            </w:tc>
          </w:sdtContent>
        </w:sdt>
      </w:tr>
      <w:tr w:rsidR="005E000F" w14:paraId="56686298" w14:textId="77777777">
        <w:trPr>
          <w:cantSplit/>
          <w:jc w:val="center"/>
        </w:trPr>
        <w:tc>
          <w:tcPr>
            <w:tcW w:w="3364" w:type="dxa"/>
            <w:vAlign w:val="center"/>
          </w:tcPr>
          <w:p w14:paraId="3DB3DEA9" w14:textId="77777777" w:rsidR="005E000F" w:rsidRDefault="00000000">
            <w:pPr>
              <w:jc w:val="both"/>
            </w:pPr>
            <w:r>
              <w:rPr>
                <w:rStyle w:val="affa"/>
                <w:rFonts w:hint="eastAsia"/>
              </w:rPr>
              <w:lastRenderedPageBreak/>
              <w:t>中国中信金融资产管理股份有限公司</w:t>
            </w:r>
          </w:p>
        </w:tc>
        <w:tc>
          <w:tcPr>
            <w:tcW w:w="1560" w:type="dxa"/>
            <w:vAlign w:val="center"/>
          </w:tcPr>
          <w:p w14:paraId="3871D449" w14:textId="77777777" w:rsidR="005E000F" w:rsidRDefault="00000000">
            <w:pPr>
              <w:jc w:val="right"/>
            </w:pPr>
            <w:r>
              <w:rPr>
                <w:rFonts w:hint="eastAsia"/>
              </w:rPr>
              <w:t>0</w:t>
            </w:r>
          </w:p>
        </w:tc>
        <w:tc>
          <w:tcPr>
            <w:tcW w:w="1559" w:type="dxa"/>
            <w:vAlign w:val="center"/>
          </w:tcPr>
          <w:p w14:paraId="01E9B4AA" w14:textId="77777777" w:rsidR="005E000F" w:rsidRDefault="00000000">
            <w:pPr>
              <w:jc w:val="right"/>
            </w:pPr>
            <w:r>
              <w:t>1,005,346,482</w:t>
            </w:r>
          </w:p>
        </w:tc>
        <w:tc>
          <w:tcPr>
            <w:tcW w:w="709" w:type="dxa"/>
            <w:gridSpan w:val="2"/>
            <w:vAlign w:val="center"/>
          </w:tcPr>
          <w:p w14:paraId="7DC47D73" w14:textId="77777777" w:rsidR="005E000F" w:rsidRDefault="00000000">
            <w:pPr>
              <w:jc w:val="right"/>
            </w:pPr>
            <w:r>
              <w:rPr>
                <w:rFonts w:hint="eastAsia"/>
              </w:rPr>
              <w:t>4.99</w:t>
            </w:r>
          </w:p>
        </w:tc>
        <w:tc>
          <w:tcPr>
            <w:tcW w:w="425" w:type="dxa"/>
            <w:vAlign w:val="center"/>
          </w:tcPr>
          <w:p w14:paraId="760D9E9C" w14:textId="77777777" w:rsidR="005E000F" w:rsidRDefault="00000000">
            <w:pPr>
              <w:jc w:val="right"/>
            </w:pPr>
            <w:r>
              <w:rPr>
                <w:rFonts w:hint="eastAsia"/>
              </w:rPr>
              <w:t>0</w:t>
            </w:r>
          </w:p>
        </w:tc>
        <w:sdt>
          <w:sdtPr>
            <w:alias w:val="前十名股东持有股份状态"/>
            <w:tag w:val="_GBC_46a2e2b7fded452b84eec75a5e47296b"/>
            <w:id w:val="-504830981"/>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038AC4EE" w14:textId="77777777" w:rsidR="005E000F" w:rsidRDefault="00000000">
                <w:pPr>
                  <w:jc w:val="both"/>
                  <w:rPr>
                    <w:color w:val="FF9900"/>
                  </w:rPr>
                </w:pPr>
                <w:r>
                  <w:t>无</w:t>
                </w:r>
              </w:p>
            </w:tc>
          </w:sdtContent>
        </w:sdt>
        <w:tc>
          <w:tcPr>
            <w:tcW w:w="607" w:type="dxa"/>
            <w:vAlign w:val="center"/>
          </w:tcPr>
          <w:p w14:paraId="7DB1947B" w14:textId="77777777" w:rsidR="005E000F" w:rsidRDefault="005E000F">
            <w:pPr>
              <w:jc w:val="right"/>
            </w:pPr>
          </w:p>
        </w:tc>
        <w:sdt>
          <w:sdtPr>
            <w:alias w:val="前十名股东的股东性质"/>
            <w:tag w:val="_GBC_84391eccdbd14aa7bbd07a260ff9d747"/>
            <w:id w:val="212171792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209A3177" w14:textId="77777777" w:rsidR="005E000F" w:rsidRDefault="00000000">
                <w:pPr>
                  <w:jc w:val="both"/>
                  <w:rPr>
                    <w:color w:val="FF9900"/>
                  </w:rPr>
                </w:pPr>
                <w:r>
                  <w:t>国有法人</w:t>
                </w:r>
              </w:p>
            </w:tc>
          </w:sdtContent>
        </w:sdt>
      </w:tr>
      <w:tr w:rsidR="005E000F" w14:paraId="283CC7FB" w14:textId="77777777">
        <w:trPr>
          <w:cantSplit/>
          <w:jc w:val="center"/>
        </w:trPr>
        <w:tc>
          <w:tcPr>
            <w:tcW w:w="3364" w:type="dxa"/>
            <w:vAlign w:val="center"/>
          </w:tcPr>
          <w:p w14:paraId="7D9B3C2E" w14:textId="77777777" w:rsidR="005E000F" w:rsidRDefault="00000000">
            <w:pPr>
              <w:jc w:val="both"/>
            </w:pPr>
            <w:r>
              <w:rPr>
                <w:rStyle w:val="affa"/>
                <w:rFonts w:hint="eastAsia"/>
              </w:rPr>
              <w:t>中国人寿保险股份有限公司－传统－普通保险产品－</w:t>
            </w:r>
            <w:r>
              <w:rPr>
                <w:rStyle w:val="affa"/>
                <w:rFonts w:hint="eastAsia"/>
              </w:rPr>
              <w:t>005L</w:t>
            </w:r>
            <w:r>
              <w:rPr>
                <w:rStyle w:val="affa"/>
                <w:rFonts w:hint="eastAsia"/>
              </w:rPr>
              <w:t>－</w:t>
            </w:r>
            <w:r>
              <w:rPr>
                <w:rStyle w:val="affa"/>
                <w:rFonts w:hint="eastAsia"/>
              </w:rPr>
              <w:t>CT001</w:t>
            </w:r>
            <w:r>
              <w:rPr>
                <w:rStyle w:val="affa"/>
                <w:rFonts w:hint="eastAsia"/>
              </w:rPr>
              <w:t>沪</w:t>
            </w:r>
          </w:p>
        </w:tc>
        <w:tc>
          <w:tcPr>
            <w:tcW w:w="1560" w:type="dxa"/>
            <w:vAlign w:val="center"/>
          </w:tcPr>
          <w:p w14:paraId="47609E2E" w14:textId="77777777" w:rsidR="005E000F" w:rsidRDefault="00000000">
            <w:pPr>
              <w:jc w:val="right"/>
            </w:pPr>
            <w:r>
              <w:t>185,074,016</w:t>
            </w:r>
          </w:p>
        </w:tc>
        <w:tc>
          <w:tcPr>
            <w:tcW w:w="1559" w:type="dxa"/>
            <w:vAlign w:val="center"/>
          </w:tcPr>
          <w:p w14:paraId="60A13316" w14:textId="77777777" w:rsidR="005E000F" w:rsidRDefault="00000000">
            <w:pPr>
              <w:jc w:val="right"/>
            </w:pPr>
            <w:r>
              <w:t>544,872,154</w:t>
            </w:r>
          </w:p>
        </w:tc>
        <w:tc>
          <w:tcPr>
            <w:tcW w:w="709" w:type="dxa"/>
            <w:gridSpan w:val="2"/>
            <w:vAlign w:val="center"/>
          </w:tcPr>
          <w:p w14:paraId="2331ADCF" w14:textId="77777777" w:rsidR="005E000F" w:rsidRDefault="00000000">
            <w:pPr>
              <w:jc w:val="right"/>
            </w:pPr>
            <w:r>
              <w:rPr>
                <w:rFonts w:hint="eastAsia"/>
              </w:rPr>
              <w:t>2.70</w:t>
            </w:r>
          </w:p>
        </w:tc>
        <w:tc>
          <w:tcPr>
            <w:tcW w:w="425" w:type="dxa"/>
            <w:vAlign w:val="center"/>
          </w:tcPr>
          <w:p w14:paraId="43E5975F" w14:textId="77777777" w:rsidR="005E000F" w:rsidRDefault="00000000">
            <w:pPr>
              <w:jc w:val="right"/>
            </w:pPr>
            <w:r>
              <w:rPr>
                <w:rFonts w:hint="eastAsia"/>
              </w:rPr>
              <w:t>0</w:t>
            </w:r>
          </w:p>
        </w:tc>
        <w:sdt>
          <w:sdtPr>
            <w:alias w:val="前十名股东持有股份状态"/>
            <w:tag w:val="_GBC_46a2e2b7fded452b84eec75a5e47296b"/>
            <w:id w:val="-795138601"/>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59ECE1B1" w14:textId="77777777" w:rsidR="005E000F" w:rsidRDefault="00000000">
                <w:pPr>
                  <w:jc w:val="both"/>
                  <w:rPr>
                    <w:color w:val="FF9900"/>
                  </w:rPr>
                </w:pPr>
                <w:r>
                  <w:t>无</w:t>
                </w:r>
              </w:p>
            </w:tc>
          </w:sdtContent>
        </w:sdt>
        <w:tc>
          <w:tcPr>
            <w:tcW w:w="607" w:type="dxa"/>
            <w:vAlign w:val="center"/>
          </w:tcPr>
          <w:p w14:paraId="6F9B1665" w14:textId="77777777" w:rsidR="005E000F" w:rsidRDefault="005E000F">
            <w:pPr>
              <w:jc w:val="right"/>
            </w:pPr>
          </w:p>
        </w:tc>
        <w:sdt>
          <w:sdtPr>
            <w:alias w:val="前十名股东的股东性质"/>
            <w:tag w:val="_GBC_84391eccdbd14aa7bbd07a260ff9d747"/>
            <w:id w:val="-43482302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2BB70B64" w14:textId="77777777" w:rsidR="005E000F" w:rsidRDefault="00000000">
                <w:pPr>
                  <w:jc w:val="both"/>
                  <w:rPr>
                    <w:color w:val="FF9900"/>
                  </w:rPr>
                </w:pPr>
                <w:r>
                  <w:t>其他</w:t>
                </w:r>
              </w:p>
            </w:tc>
          </w:sdtContent>
        </w:sdt>
      </w:tr>
      <w:tr w:rsidR="005E000F" w14:paraId="67605EFF" w14:textId="77777777">
        <w:trPr>
          <w:cantSplit/>
          <w:jc w:val="center"/>
        </w:trPr>
        <w:tc>
          <w:tcPr>
            <w:tcW w:w="3364" w:type="dxa"/>
            <w:vAlign w:val="center"/>
          </w:tcPr>
          <w:p w14:paraId="3ED0BB0E" w14:textId="77777777" w:rsidR="005E000F" w:rsidRDefault="00000000">
            <w:proofErr w:type="gramStart"/>
            <w:r>
              <w:rPr>
                <w:rFonts w:hint="eastAsia"/>
              </w:rPr>
              <w:t>国丰兴华</w:t>
            </w:r>
            <w:proofErr w:type="gramEnd"/>
            <w:r>
              <w:rPr>
                <w:rFonts w:hint="eastAsia"/>
              </w:rPr>
              <w:t>（北京）私募基金管理有限公司－</w:t>
            </w:r>
            <w:proofErr w:type="gramStart"/>
            <w:r>
              <w:rPr>
                <w:rFonts w:hint="eastAsia"/>
              </w:rPr>
              <w:t>国丰兴华</w:t>
            </w:r>
            <w:proofErr w:type="gramEnd"/>
            <w:r>
              <w:rPr>
                <w:rFonts w:hint="eastAsia"/>
              </w:rPr>
              <w:t>鸿鹄志远三期私募证券投资基金</w:t>
            </w:r>
            <w:r>
              <w:rPr>
                <w:rFonts w:hint="eastAsia"/>
              </w:rPr>
              <w:t>1</w:t>
            </w:r>
            <w:r>
              <w:rPr>
                <w:rFonts w:hint="eastAsia"/>
              </w:rPr>
              <w:t>号</w:t>
            </w:r>
          </w:p>
        </w:tc>
        <w:tc>
          <w:tcPr>
            <w:tcW w:w="1560" w:type="dxa"/>
            <w:vAlign w:val="center"/>
          </w:tcPr>
          <w:p w14:paraId="68A4DDE0" w14:textId="77777777" w:rsidR="005E000F" w:rsidRDefault="00000000">
            <w:pPr>
              <w:jc w:val="right"/>
            </w:pPr>
            <w:r>
              <w:t>298,487,115</w:t>
            </w:r>
          </w:p>
        </w:tc>
        <w:tc>
          <w:tcPr>
            <w:tcW w:w="1559" w:type="dxa"/>
            <w:vAlign w:val="center"/>
          </w:tcPr>
          <w:p w14:paraId="17E0D9C2" w14:textId="77777777" w:rsidR="005E000F" w:rsidRDefault="00000000">
            <w:pPr>
              <w:jc w:val="right"/>
            </w:pPr>
            <w:r>
              <w:t>298,487,115</w:t>
            </w:r>
          </w:p>
        </w:tc>
        <w:tc>
          <w:tcPr>
            <w:tcW w:w="709" w:type="dxa"/>
            <w:gridSpan w:val="2"/>
            <w:vAlign w:val="center"/>
          </w:tcPr>
          <w:p w14:paraId="280E92DD" w14:textId="77777777" w:rsidR="005E000F" w:rsidRDefault="00000000">
            <w:pPr>
              <w:jc w:val="right"/>
            </w:pPr>
            <w:r>
              <w:rPr>
                <w:rFonts w:hint="eastAsia"/>
              </w:rPr>
              <w:t>1.48</w:t>
            </w:r>
          </w:p>
        </w:tc>
        <w:tc>
          <w:tcPr>
            <w:tcW w:w="425" w:type="dxa"/>
            <w:vAlign w:val="center"/>
          </w:tcPr>
          <w:p w14:paraId="5224E247" w14:textId="77777777" w:rsidR="005E000F" w:rsidRDefault="00000000">
            <w:pPr>
              <w:jc w:val="right"/>
            </w:pPr>
            <w:r>
              <w:rPr>
                <w:rFonts w:hint="eastAsia"/>
              </w:rPr>
              <w:t>0</w:t>
            </w:r>
          </w:p>
        </w:tc>
        <w:sdt>
          <w:sdtPr>
            <w:alias w:val="前十名股东持有股份状态"/>
            <w:tag w:val="_GBC_46a2e2b7fded452b84eec75a5e47296b"/>
            <w:id w:val="663745286"/>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6C09AE42" w14:textId="77777777" w:rsidR="005E000F" w:rsidRDefault="00000000">
                <w:pPr>
                  <w:jc w:val="right"/>
                </w:pPr>
                <w:r>
                  <w:t>无</w:t>
                </w:r>
              </w:p>
            </w:tc>
          </w:sdtContent>
        </w:sdt>
        <w:tc>
          <w:tcPr>
            <w:tcW w:w="607" w:type="dxa"/>
            <w:vAlign w:val="center"/>
          </w:tcPr>
          <w:p w14:paraId="4A6F0C77" w14:textId="77777777" w:rsidR="005E000F" w:rsidRDefault="005E000F">
            <w:pPr>
              <w:jc w:val="right"/>
            </w:pPr>
          </w:p>
        </w:tc>
        <w:sdt>
          <w:sdtPr>
            <w:alias w:val="前十名股东的股东性质"/>
            <w:tag w:val="_GBC_84391eccdbd14aa7bbd07a260ff9d747"/>
            <w:id w:val="-165298313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213E200D" w14:textId="77777777" w:rsidR="005E000F" w:rsidRDefault="00000000">
                <w:r>
                  <w:t>其他</w:t>
                </w:r>
              </w:p>
            </w:tc>
          </w:sdtContent>
        </w:sdt>
      </w:tr>
      <w:tr w:rsidR="005E000F" w14:paraId="37BD9525" w14:textId="77777777">
        <w:trPr>
          <w:cantSplit/>
          <w:jc w:val="center"/>
        </w:trPr>
        <w:tc>
          <w:tcPr>
            <w:tcW w:w="3364" w:type="dxa"/>
            <w:vAlign w:val="center"/>
          </w:tcPr>
          <w:p w14:paraId="77295964" w14:textId="77777777" w:rsidR="005E000F" w:rsidRDefault="00000000">
            <w:pPr>
              <w:jc w:val="both"/>
            </w:pPr>
            <w:r>
              <w:rPr>
                <w:rStyle w:val="affa"/>
                <w:rFonts w:hint="eastAsia"/>
              </w:rPr>
              <w:t>香港中央结算有限公司</w:t>
            </w:r>
          </w:p>
        </w:tc>
        <w:tc>
          <w:tcPr>
            <w:tcW w:w="1560" w:type="dxa"/>
            <w:vAlign w:val="center"/>
          </w:tcPr>
          <w:p w14:paraId="08573BBB" w14:textId="77777777" w:rsidR="005E000F" w:rsidRDefault="00000000">
            <w:pPr>
              <w:jc w:val="right"/>
            </w:pPr>
            <w:r>
              <w:t>-138,701,934</w:t>
            </w:r>
          </w:p>
        </w:tc>
        <w:tc>
          <w:tcPr>
            <w:tcW w:w="1559" w:type="dxa"/>
            <w:vAlign w:val="center"/>
          </w:tcPr>
          <w:p w14:paraId="159B25B7" w14:textId="77777777" w:rsidR="005E000F" w:rsidRDefault="00000000">
            <w:pPr>
              <w:jc w:val="right"/>
            </w:pPr>
            <w:r>
              <w:t>280,467,604</w:t>
            </w:r>
          </w:p>
        </w:tc>
        <w:tc>
          <w:tcPr>
            <w:tcW w:w="709" w:type="dxa"/>
            <w:gridSpan w:val="2"/>
            <w:vAlign w:val="center"/>
          </w:tcPr>
          <w:p w14:paraId="7C029A78" w14:textId="77777777" w:rsidR="005E000F" w:rsidRDefault="00000000">
            <w:pPr>
              <w:jc w:val="right"/>
            </w:pPr>
            <w:r>
              <w:rPr>
                <w:rFonts w:hint="eastAsia"/>
              </w:rPr>
              <w:t>1.39</w:t>
            </w:r>
          </w:p>
        </w:tc>
        <w:tc>
          <w:tcPr>
            <w:tcW w:w="425" w:type="dxa"/>
            <w:vAlign w:val="center"/>
          </w:tcPr>
          <w:p w14:paraId="0AECE841" w14:textId="77777777" w:rsidR="005E000F" w:rsidRDefault="00000000">
            <w:pPr>
              <w:jc w:val="right"/>
            </w:pPr>
            <w:r>
              <w:rPr>
                <w:rFonts w:hint="eastAsia"/>
              </w:rPr>
              <w:t>0</w:t>
            </w:r>
          </w:p>
        </w:tc>
        <w:sdt>
          <w:sdtPr>
            <w:alias w:val="前十名股东持有股份状态"/>
            <w:tag w:val="_GBC_46a2e2b7fded452b84eec75a5e47296b"/>
            <w:id w:val="-228616265"/>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3D96C66D" w14:textId="77777777" w:rsidR="005E000F" w:rsidRDefault="00000000">
                <w:pPr>
                  <w:jc w:val="both"/>
                  <w:rPr>
                    <w:color w:val="FF9900"/>
                  </w:rPr>
                </w:pPr>
                <w:r>
                  <w:t>无</w:t>
                </w:r>
              </w:p>
            </w:tc>
          </w:sdtContent>
        </w:sdt>
        <w:tc>
          <w:tcPr>
            <w:tcW w:w="607" w:type="dxa"/>
            <w:vAlign w:val="center"/>
          </w:tcPr>
          <w:p w14:paraId="5C472202" w14:textId="77777777" w:rsidR="005E000F" w:rsidRDefault="005E000F">
            <w:pPr>
              <w:jc w:val="right"/>
            </w:pPr>
          </w:p>
        </w:tc>
        <w:sdt>
          <w:sdtPr>
            <w:alias w:val="前十名股东的股东性质"/>
            <w:tag w:val="_GBC_84391eccdbd14aa7bbd07a260ff9d747"/>
            <w:id w:val="-1404824240"/>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2FF07B79" w14:textId="77777777" w:rsidR="005E000F" w:rsidRDefault="00000000">
                <w:pPr>
                  <w:jc w:val="both"/>
                  <w:rPr>
                    <w:color w:val="FF9900"/>
                  </w:rPr>
                </w:pPr>
                <w:r>
                  <w:t>未知</w:t>
                </w:r>
              </w:p>
            </w:tc>
          </w:sdtContent>
        </w:sdt>
      </w:tr>
      <w:tr w:rsidR="005E000F" w14:paraId="63C604E4" w14:textId="77777777">
        <w:trPr>
          <w:cantSplit/>
          <w:jc w:val="center"/>
        </w:trPr>
        <w:tc>
          <w:tcPr>
            <w:tcW w:w="3364" w:type="dxa"/>
            <w:vAlign w:val="center"/>
          </w:tcPr>
          <w:p w14:paraId="7F0F6B27" w14:textId="77777777" w:rsidR="005E000F" w:rsidRDefault="00000000">
            <w:pPr>
              <w:jc w:val="both"/>
            </w:pPr>
            <w:r>
              <w:rPr>
                <w:rStyle w:val="affa"/>
                <w:rFonts w:hint="eastAsia"/>
              </w:rPr>
              <w:t>中央汇金资产管理有限责任公司</w:t>
            </w:r>
          </w:p>
        </w:tc>
        <w:tc>
          <w:tcPr>
            <w:tcW w:w="1560" w:type="dxa"/>
            <w:vAlign w:val="center"/>
          </w:tcPr>
          <w:p w14:paraId="0D8EB8A6" w14:textId="77777777" w:rsidR="005E000F" w:rsidRDefault="00000000">
            <w:pPr>
              <w:jc w:val="right"/>
            </w:pPr>
            <w:r>
              <w:rPr>
                <w:rFonts w:hint="eastAsia"/>
              </w:rPr>
              <w:t>0</w:t>
            </w:r>
          </w:p>
        </w:tc>
        <w:tc>
          <w:tcPr>
            <w:tcW w:w="1559" w:type="dxa"/>
            <w:vAlign w:val="center"/>
          </w:tcPr>
          <w:p w14:paraId="374E66FC" w14:textId="77777777" w:rsidR="005E000F" w:rsidRDefault="00000000">
            <w:pPr>
              <w:jc w:val="right"/>
            </w:pPr>
            <w:r>
              <w:t>199,894,100</w:t>
            </w:r>
          </w:p>
        </w:tc>
        <w:tc>
          <w:tcPr>
            <w:tcW w:w="709" w:type="dxa"/>
            <w:gridSpan w:val="2"/>
            <w:vAlign w:val="center"/>
          </w:tcPr>
          <w:p w14:paraId="55D1B19B" w14:textId="77777777" w:rsidR="005E000F" w:rsidRDefault="00000000">
            <w:pPr>
              <w:jc w:val="right"/>
            </w:pPr>
            <w:r>
              <w:rPr>
                <w:rFonts w:hint="eastAsia"/>
              </w:rPr>
              <w:t>0.99</w:t>
            </w:r>
          </w:p>
        </w:tc>
        <w:tc>
          <w:tcPr>
            <w:tcW w:w="425" w:type="dxa"/>
            <w:vAlign w:val="center"/>
          </w:tcPr>
          <w:p w14:paraId="68975BE7" w14:textId="77777777" w:rsidR="005E000F" w:rsidRDefault="00000000">
            <w:pPr>
              <w:jc w:val="right"/>
            </w:pPr>
            <w:r>
              <w:rPr>
                <w:rFonts w:hint="eastAsia"/>
              </w:rPr>
              <w:t>0</w:t>
            </w:r>
          </w:p>
        </w:tc>
        <w:sdt>
          <w:sdtPr>
            <w:alias w:val="前十名股东持有股份状态"/>
            <w:tag w:val="_GBC_46a2e2b7fded452b84eec75a5e47296b"/>
            <w:id w:val="-38358673"/>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11AD8988" w14:textId="77777777" w:rsidR="005E000F" w:rsidRDefault="00000000">
                <w:pPr>
                  <w:jc w:val="both"/>
                  <w:rPr>
                    <w:color w:val="FF9900"/>
                  </w:rPr>
                </w:pPr>
                <w:r>
                  <w:t>无</w:t>
                </w:r>
              </w:p>
            </w:tc>
          </w:sdtContent>
        </w:sdt>
        <w:tc>
          <w:tcPr>
            <w:tcW w:w="607" w:type="dxa"/>
            <w:vAlign w:val="center"/>
          </w:tcPr>
          <w:p w14:paraId="4981ED5D" w14:textId="77777777" w:rsidR="005E000F" w:rsidRDefault="005E000F">
            <w:pPr>
              <w:jc w:val="right"/>
            </w:pPr>
          </w:p>
        </w:tc>
        <w:sdt>
          <w:sdtPr>
            <w:alias w:val="前十名股东的股东性质"/>
            <w:tag w:val="_GBC_84391eccdbd14aa7bbd07a260ff9d747"/>
            <w:id w:val="134258836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187BE327" w14:textId="77777777" w:rsidR="005E000F" w:rsidRDefault="00000000">
                <w:pPr>
                  <w:jc w:val="both"/>
                  <w:rPr>
                    <w:color w:val="FF9900"/>
                  </w:rPr>
                </w:pPr>
                <w:r>
                  <w:t>国有法人</w:t>
                </w:r>
              </w:p>
            </w:tc>
          </w:sdtContent>
        </w:sdt>
      </w:tr>
      <w:tr w:rsidR="005E000F" w14:paraId="11C51352" w14:textId="77777777">
        <w:trPr>
          <w:cantSplit/>
          <w:jc w:val="center"/>
        </w:trPr>
        <w:tc>
          <w:tcPr>
            <w:tcW w:w="3364" w:type="dxa"/>
            <w:vAlign w:val="center"/>
          </w:tcPr>
          <w:p w14:paraId="3EB681BC" w14:textId="77777777" w:rsidR="005E000F" w:rsidRDefault="00000000">
            <w:pPr>
              <w:jc w:val="both"/>
            </w:pPr>
            <w:r>
              <w:rPr>
                <w:rStyle w:val="affa"/>
                <w:rFonts w:hint="eastAsia"/>
              </w:rPr>
              <w:t>中国工商银行股份有限公司－华泰柏瑞沪深</w:t>
            </w:r>
            <w:r>
              <w:rPr>
                <w:rStyle w:val="affa"/>
                <w:rFonts w:hint="eastAsia"/>
              </w:rPr>
              <w:t>300</w:t>
            </w:r>
            <w:r>
              <w:rPr>
                <w:rStyle w:val="affa"/>
                <w:rFonts w:hint="eastAsia"/>
              </w:rPr>
              <w:t>交易型开放式指数证券投资基金</w:t>
            </w:r>
          </w:p>
        </w:tc>
        <w:tc>
          <w:tcPr>
            <w:tcW w:w="1560" w:type="dxa"/>
            <w:vAlign w:val="center"/>
          </w:tcPr>
          <w:p w14:paraId="7A9BDA24" w14:textId="77777777" w:rsidR="005E000F" w:rsidRDefault="00000000">
            <w:pPr>
              <w:jc w:val="right"/>
            </w:pPr>
            <w:r>
              <w:t>42,843,745</w:t>
            </w:r>
          </w:p>
        </w:tc>
        <w:tc>
          <w:tcPr>
            <w:tcW w:w="1559" w:type="dxa"/>
            <w:vAlign w:val="center"/>
          </w:tcPr>
          <w:p w14:paraId="480C96E8" w14:textId="77777777" w:rsidR="005E000F" w:rsidRDefault="00000000">
            <w:pPr>
              <w:jc w:val="right"/>
            </w:pPr>
            <w:r>
              <w:t>199,674,984</w:t>
            </w:r>
          </w:p>
        </w:tc>
        <w:tc>
          <w:tcPr>
            <w:tcW w:w="709" w:type="dxa"/>
            <w:gridSpan w:val="2"/>
            <w:vAlign w:val="center"/>
          </w:tcPr>
          <w:p w14:paraId="260617A0" w14:textId="77777777" w:rsidR="005E000F" w:rsidRDefault="00000000">
            <w:pPr>
              <w:jc w:val="right"/>
            </w:pPr>
            <w:r>
              <w:rPr>
                <w:rFonts w:hint="eastAsia"/>
              </w:rPr>
              <w:t>0.99</w:t>
            </w:r>
          </w:p>
        </w:tc>
        <w:tc>
          <w:tcPr>
            <w:tcW w:w="425" w:type="dxa"/>
            <w:vAlign w:val="center"/>
          </w:tcPr>
          <w:p w14:paraId="52C52AB1" w14:textId="77777777" w:rsidR="005E000F" w:rsidRDefault="00000000">
            <w:pPr>
              <w:jc w:val="right"/>
            </w:pPr>
            <w:r>
              <w:rPr>
                <w:rFonts w:hint="eastAsia"/>
              </w:rPr>
              <w:t>0</w:t>
            </w:r>
          </w:p>
        </w:tc>
        <w:sdt>
          <w:sdtPr>
            <w:alias w:val="前十名股东持有股份状态"/>
            <w:tag w:val="_GBC_46a2e2b7fded452b84eec75a5e47296b"/>
            <w:id w:val="-1021079826"/>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7103B2C5" w14:textId="77777777" w:rsidR="005E000F" w:rsidRDefault="00000000">
                <w:pPr>
                  <w:jc w:val="both"/>
                  <w:rPr>
                    <w:color w:val="FF9900"/>
                  </w:rPr>
                </w:pPr>
                <w:r>
                  <w:t>无</w:t>
                </w:r>
              </w:p>
            </w:tc>
          </w:sdtContent>
        </w:sdt>
        <w:tc>
          <w:tcPr>
            <w:tcW w:w="607" w:type="dxa"/>
            <w:vAlign w:val="center"/>
          </w:tcPr>
          <w:p w14:paraId="35EE340A" w14:textId="77777777" w:rsidR="005E000F" w:rsidRDefault="005E000F">
            <w:pPr>
              <w:jc w:val="right"/>
            </w:pPr>
          </w:p>
        </w:tc>
        <w:sdt>
          <w:sdtPr>
            <w:alias w:val="前十名股东的股东性质"/>
            <w:tag w:val="_GBC_84391eccdbd14aa7bbd07a260ff9d747"/>
            <w:id w:val="-1355497919"/>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0E4F42DF" w14:textId="77777777" w:rsidR="005E000F" w:rsidRDefault="00000000">
                <w:pPr>
                  <w:jc w:val="both"/>
                  <w:rPr>
                    <w:color w:val="FF9900"/>
                  </w:rPr>
                </w:pPr>
                <w:r>
                  <w:t>其他</w:t>
                </w:r>
              </w:p>
            </w:tc>
          </w:sdtContent>
        </w:sdt>
      </w:tr>
      <w:tr w:rsidR="005E000F" w14:paraId="77C664E8" w14:textId="77777777">
        <w:trPr>
          <w:cantSplit/>
          <w:jc w:val="center"/>
        </w:trPr>
        <w:tc>
          <w:tcPr>
            <w:tcW w:w="3364" w:type="dxa"/>
            <w:vAlign w:val="center"/>
          </w:tcPr>
          <w:p w14:paraId="5082EE01" w14:textId="77777777" w:rsidR="005E000F" w:rsidRDefault="00000000">
            <w:pPr>
              <w:jc w:val="both"/>
            </w:pPr>
            <w:r>
              <w:rPr>
                <w:rStyle w:val="affa"/>
                <w:rFonts w:hint="eastAsia"/>
              </w:rPr>
              <w:t>中国证券金融股份有限公司</w:t>
            </w:r>
          </w:p>
        </w:tc>
        <w:tc>
          <w:tcPr>
            <w:tcW w:w="1560" w:type="dxa"/>
            <w:vAlign w:val="center"/>
          </w:tcPr>
          <w:p w14:paraId="49F18590" w14:textId="77777777" w:rsidR="005E000F" w:rsidRDefault="00000000">
            <w:pPr>
              <w:jc w:val="right"/>
            </w:pPr>
            <w:r>
              <w:rPr>
                <w:rFonts w:hint="eastAsia"/>
              </w:rPr>
              <w:t>0</w:t>
            </w:r>
          </w:p>
        </w:tc>
        <w:tc>
          <w:tcPr>
            <w:tcW w:w="1559" w:type="dxa"/>
            <w:vAlign w:val="center"/>
          </w:tcPr>
          <w:p w14:paraId="519DC00D" w14:textId="77777777" w:rsidR="005E000F" w:rsidRDefault="00000000">
            <w:pPr>
              <w:jc w:val="right"/>
            </w:pPr>
            <w:r>
              <w:t>199,494,812</w:t>
            </w:r>
          </w:p>
        </w:tc>
        <w:tc>
          <w:tcPr>
            <w:tcW w:w="709" w:type="dxa"/>
            <w:gridSpan w:val="2"/>
            <w:vAlign w:val="center"/>
          </w:tcPr>
          <w:p w14:paraId="2BDD8B4A" w14:textId="77777777" w:rsidR="005E000F" w:rsidRDefault="00000000">
            <w:pPr>
              <w:jc w:val="right"/>
            </w:pPr>
            <w:r>
              <w:rPr>
                <w:rFonts w:hint="eastAsia"/>
              </w:rPr>
              <w:t>0.99</w:t>
            </w:r>
          </w:p>
        </w:tc>
        <w:tc>
          <w:tcPr>
            <w:tcW w:w="425" w:type="dxa"/>
            <w:vAlign w:val="center"/>
          </w:tcPr>
          <w:p w14:paraId="6D35642E" w14:textId="77777777" w:rsidR="005E000F" w:rsidRDefault="00000000">
            <w:pPr>
              <w:jc w:val="right"/>
            </w:pPr>
            <w:r>
              <w:rPr>
                <w:rFonts w:hint="eastAsia"/>
              </w:rPr>
              <w:t>0</w:t>
            </w:r>
          </w:p>
        </w:tc>
        <w:sdt>
          <w:sdtPr>
            <w:alias w:val="前十名股东持有股份状态"/>
            <w:tag w:val="_GBC_46a2e2b7fded452b84eec75a5e47296b"/>
            <w:id w:val="790551633"/>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345131CC" w14:textId="77777777" w:rsidR="005E000F" w:rsidRDefault="00000000">
                <w:pPr>
                  <w:jc w:val="both"/>
                  <w:rPr>
                    <w:color w:val="FF9900"/>
                  </w:rPr>
                </w:pPr>
                <w:r>
                  <w:t>无</w:t>
                </w:r>
              </w:p>
            </w:tc>
          </w:sdtContent>
        </w:sdt>
        <w:tc>
          <w:tcPr>
            <w:tcW w:w="607" w:type="dxa"/>
            <w:vAlign w:val="center"/>
          </w:tcPr>
          <w:p w14:paraId="29F026F8" w14:textId="77777777" w:rsidR="005E000F" w:rsidRDefault="005E000F">
            <w:pPr>
              <w:jc w:val="right"/>
            </w:pPr>
          </w:p>
        </w:tc>
        <w:sdt>
          <w:sdtPr>
            <w:alias w:val="前十名股东的股东性质"/>
            <w:tag w:val="_GBC_84391eccdbd14aa7bbd07a260ff9d747"/>
            <w:id w:val="-201537385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7D13B2FC" w14:textId="77777777" w:rsidR="005E000F" w:rsidRDefault="00000000">
                <w:pPr>
                  <w:jc w:val="both"/>
                  <w:rPr>
                    <w:color w:val="FF9900"/>
                  </w:rPr>
                </w:pPr>
                <w:r>
                  <w:t>国有法人</w:t>
                </w:r>
              </w:p>
            </w:tc>
          </w:sdtContent>
        </w:sdt>
      </w:tr>
      <w:tr w:rsidR="005E000F" w14:paraId="0CCEA7F1" w14:textId="77777777">
        <w:trPr>
          <w:cantSplit/>
          <w:jc w:val="center"/>
        </w:trPr>
        <w:tc>
          <w:tcPr>
            <w:tcW w:w="3364" w:type="dxa"/>
            <w:vAlign w:val="center"/>
          </w:tcPr>
          <w:p w14:paraId="1119FFC3" w14:textId="77777777" w:rsidR="005E000F" w:rsidRDefault="00000000">
            <w:pPr>
              <w:jc w:val="both"/>
            </w:pPr>
            <w:r>
              <w:rPr>
                <w:rStyle w:val="affa"/>
                <w:rFonts w:hint="eastAsia"/>
              </w:rPr>
              <w:t>河北港口集团有限公司</w:t>
            </w:r>
          </w:p>
        </w:tc>
        <w:tc>
          <w:tcPr>
            <w:tcW w:w="1560" w:type="dxa"/>
            <w:vAlign w:val="center"/>
          </w:tcPr>
          <w:p w14:paraId="2D758979" w14:textId="77777777" w:rsidR="005E000F" w:rsidRDefault="00000000">
            <w:pPr>
              <w:jc w:val="right"/>
            </w:pPr>
            <w:r>
              <w:rPr>
                <w:rFonts w:hint="eastAsia"/>
              </w:rPr>
              <w:t>0</w:t>
            </w:r>
          </w:p>
        </w:tc>
        <w:tc>
          <w:tcPr>
            <w:tcW w:w="1559" w:type="dxa"/>
            <w:vAlign w:val="center"/>
          </w:tcPr>
          <w:p w14:paraId="1127B230" w14:textId="77777777" w:rsidR="005E000F" w:rsidRDefault="00000000">
            <w:pPr>
              <w:jc w:val="right"/>
            </w:pPr>
            <w:r>
              <w:t>158,702,841</w:t>
            </w:r>
          </w:p>
        </w:tc>
        <w:tc>
          <w:tcPr>
            <w:tcW w:w="709" w:type="dxa"/>
            <w:gridSpan w:val="2"/>
            <w:vAlign w:val="center"/>
          </w:tcPr>
          <w:p w14:paraId="3AEB9D00" w14:textId="77777777" w:rsidR="005E000F" w:rsidRDefault="00000000">
            <w:pPr>
              <w:jc w:val="right"/>
            </w:pPr>
            <w:r>
              <w:rPr>
                <w:rFonts w:hint="eastAsia"/>
              </w:rPr>
              <w:t>0.79</w:t>
            </w:r>
          </w:p>
        </w:tc>
        <w:tc>
          <w:tcPr>
            <w:tcW w:w="425" w:type="dxa"/>
            <w:vAlign w:val="center"/>
          </w:tcPr>
          <w:p w14:paraId="7BF2E05D" w14:textId="77777777" w:rsidR="005E000F" w:rsidRDefault="00000000">
            <w:pPr>
              <w:jc w:val="right"/>
            </w:pPr>
            <w:r>
              <w:rPr>
                <w:rFonts w:hint="eastAsia"/>
              </w:rPr>
              <w:t>0</w:t>
            </w:r>
          </w:p>
        </w:tc>
        <w:sdt>
          <w:sdtPr>
            <w:alias w:val="前十名股东持有股份状态"/>
            <w:tag w:val="_GBC_46a2e2b7fded452b84eec75a5e47296b"/>
            <w:id w:val="-370687442"/>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2F96480C" w14:textId="77777777" w:rsidR="005E000F" w:rsidRDefault="00000000">
                <w:pPr>
                  <w:jc w:val="both"/>
                  <w:rPr>
                    <w:color w:val="FF9900"/>
                  </w:rPr>
                </w:pPr>
                <w:r>
                  <w:t>无</w:t>
                </w:r>
              </w:p>
            </w:tc>
          </w:sdtContent>
        </w:sdt>
        <w:tc>
          <w:tcPr>
            <w:tcW w:w="607" w:type="dxa"/>
            <w:vAlign w:val="center"/>
          </w:tcPr>
          <w:p w14:paraId="3356BC5E" w14:textId="77777777" w:rsidR="005E000F" w:rsidRDefault="005E000F">
            <w:pPr>
              <w:jc w:val="right"/>
            </w:pPr>
          </w:p>
        </w:tc>
        <w:sdt>
          <w:sdtPr>
            <w:alias w:val="前十名股东的股东性质"/>
            <w:tag w:val="_GBC_84391eccdbd14aa7bbd07a260ff9d747"/>
            <w:id w:val="-110634511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21852AFB" w14:textId="77777777" w:rsidR="005E000F" w:rsidRDefault="00000000">
                <w:pPr>
                  <w:jc w:val="both"/>
                  <w:rPr>
                    <w:color w:val="FF9900"/>
                  </w:rPr>
                </w:pPr>
                <w:r>
                  <w:t>国有法人</w:t>
                </w:r>
              </w:p>
            </w:tc>
          </w:sdtContent>
        </w:sdt>
      </w:tr>
      <w:tr w:rsidR="005E000F" w14:paraId="1505FAA5" w14:textId="77777777">
        <w:trPr>
          <w:cantSplit/>
          <w:jc w:val="center"/>
        </w:trPr>
        <w:tc>
          <w:tcPr>
            <w:tcW w:w="3364" w:type="dxa"/>
            <w:vAlign w:val="center"/>
          </w:tcPr>
          <w:p w14:paraId="6F0D8A56" w14:textId="77777777" w:rsidR="005E000F" w:rsidRDefault="00000000">
            <w:pPr>
              <w:jc w:val="both"/>
            </w:pPr>
            <w:r>
              <w:rPr>
                <w:rStyle w:val="affa"/>
                <w:rFonts w:hint="eastAsia"/>
              </w:rPr>
              <w:t>中国建设银行股份有限公司－易</w:t>
            </w:r>
            <w:proofErr w:type="gramStart"/>
            <w:r>
              <w:rPr>
                <w:rStyle w:val="affa"/>
                <w:rFonts w:hint="eastAsia"/>
              </w:rPr>
              <w:t>方达沪深</w:t>
            </w:r>
            <w:proofErr w:type="gramEnd"/>
            <w:r>
              <w:rPr>
                <w:rStyle w:val="affa"/>
                <w:rFonts w:hint="eastAsia"/>
              </w:rPr>
              <w:t>300</w:t>
            </w:r>
            <w:r>
              <w:rPr>
                <w:rStyle w:val="affa"/>
                <w:rFonts w:hint="eastAsia"/>
              </w:rPr>
              <w:t>交易型开放式指数发起式证券投资基金</w:t>
            </w:r>
          </w:p>
        </w:tc>
        <w:tc>
          <w:tcPr>
            <w:tcW w:w="1560" w:type="dxa"/>
            <w:vAlign w:val="center"/>
          </w:tcPr>
          <w:p w14:paraId="7580F183" w14:textId="77777777" w:rsidR="005E000F" w:rsidRDefault="00000000">
            <w:pPr>
              <w:jc w:val="right"/>
            </w:pPr>
            <w:r>
              <w:t>33,734,100</w:t>
            </w:r>
          </w:p>
        </w:tc>
        <w:tc>
          <w:tcPr>
            <w:tcW w:w="1559" w:type="dxa"/>
            <w:vAlign w:val="center"/>
          </w:tcPr>
          <w:p w14:paraId="6EBE1A8F" w14:textId="77777777" w:rsidR="005E000F" w:rsidRDefault="00000000">
            <w:pPr>
              <w:jc w:val="right"/>
            </w:pPr>
            <w:r>
              <w:t>142,450,664</w:t>
            </w:r>
          </w:p>
        </w:tc>
        <w:tc>
          <w:tcPr>
            <w:tcW w:w="709" w:type="dxa"/>
            <w:gridSpan w:val="2"/>
            <w:vAlign w:val="center"/>
          </w:tcPr>
          <w:p w14:paraId="0E0DD66A" w14:textId="77777777" w:rsidR="005E000F" w:rsidRDefault="00000000">
            <w:pPr>
              <w:jc w:val="right"/>
            </w:pPr>
            <w:r>
              <w:rPr>
                <w:rFonts w:hint="eastAsia"/>
              </w:rPr>
              <w:t>0.71</w:t>
            </w:r>
          </w:p>
        </w:tc>
        <w:tc>
          <w:tcPr>
            <w:tcW w:w="425" w:type="dxa"/>
            <w:vAlign w:val="center"/>
          </w:tcPr>
          <w:p w14:paraId="43E75ABA" w14:textId="77777777" w:rsidR="005E000F" w:rsidRDefault="00000000">
            <w:pPr>
              <w:jc w:val="right"/>
            </w:pPr>
            <w:r>
              <w:rPr>
                <w:rFonts w:hint="eastAsia"/>
              </w:rPr>
              <w:t>0</w:t>
            </w:r>
          </w:p>
        </w:tc>
        <w:sdt>
          <w:sdtPr>
            <w:alias w:val="前十名股东持有股份状态"/>
            <w:tag w:val="_GBC_46a2e2b7fded452b84eec75a5e47296b"/>
            <w:id w:val="-858588581"/>
            <w:comboBox>
              <w:listItem w:displayText="无" w:value="无"/>
              <w:listItem w:displayText="质押" w:value="质押"/>
              <w:listItem w:displayText="标记" w:value="标记"/>
              <w:listItem w:displayText="冻结" w:value="冻结"/>
              <w:listItem w:displayText="未知" w:value="未知"/>
            </w:comboBox>
          </w:sdtPr>
          <w:sdtContent>
            <w:tc>
              <w:tcPr>
                <w:tcW w:w="709" w:type="dxa"/>
                <w:vAlign w:val="center"/>
              </w:tcPr>
              <w:p w14:paraId="1D907095" w14:textId="77777777" w:rsidR="005E000F" w:rsidRDefault="00000000">
                <w:pPr>
                  <w:jc w:val="both"/>
                  <w:rPr>
                    <w:color w:val="FF9900"/>
                  </w:rPr>
                </w:pPr>
                <w:r>
                  <w:t>无</w:t>
                </w:r>
              </w:p>
            </w:tc>
          </w:sdtContent>
        </w:sdt>
        <w:tc>
          <w:tcPr>
            <w:tcW w:w="607" w:type="dxa"/>
            <w:vAlign w:val="center"/>
          </w:tcPr>
          <w:p w14:paraId="493BC3E5" w14:textId="77777777" w:rsidR="005E000F" w:rsidRDefault="005E000F">
            <w:pPr>
              <w:jc w:val="right"/>
            </w:pPr>
          </w:p>
        </w:tc>
        <w:sdt>
          <w:sdtPr>
            <w:alias w:val="前十名股东的股东性质"/>
            <w:tag w:val="_GBC_84391eccdbd14aa7bbd07a260ff9d747"/>
            <w:id w:val="-52001126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094" w:type="dxa"/>
                <w:vAlign w:val="center"/>
              </w:tcPr>
              <w:p w14:paraId="14D6F1C6" w14:textId="77777777" w:rsidR="005E000F" w:rsidRDefault="00000000">
                <w:pPr>
                  <w:jc w:val="both"/>
                  <w:rPr>
                    <w:color w:val="FF9900"/>
                  </w:rPr>
                </w:pPr>
                <w:r>
                  <w:t>其他</w:t>
                </w:r>
              </w:p>
            </w:tc>
          </w:sdtContent>
        </w:sdt>
      </w:tr>
      <w:tr w:rsidR="005E000F" w14:paraId="78DE89C1" w14:textId="77777777">
        <w:trPr>
          <w:cantSplit/>
          <w:jc w:val="center"/>
        </w:trPr>
        <w:sdt>
          <w:sdtPr>
            <w:tag w:val="_PLD_7f241e5dc05a4ae7b61268f4f1627ca0"/>
            <w:id w:val="989220623"/>
          </w:sdtPr>
          <w:sdtContent>
            <w:tc>
              <w:tcPr>
                <w:tcW w:w="10027" w:type="dxa"/>
                <w:gridSpan w:val="9"/>
                <w:vAlign w:val="center"/>
              </w:tcPr>
              <w:p w14:paraId="216D4AE2" w14:textId="77777777" w:rsidR="005E000F" w:rsidRDefault="00000000">
                <w:pPr>
                  <w:jc w:val="center"/>
                  <w:rPr>
                    <w:color w:val="FF9900"/>
                  </w:rPr>
                </w:pPr>
                <w:r>
                  <w:t>前十名无限</w:t>
                </w:r>
                <w:proofErr w:type="gramStart"/>
                <w:r>
                  <w:t>售条件</w:t>
                </w:r>
                <w:proofErr w:type="gramEnd"/>
                <w:r>
                  <w:t>股东持股情况</w:t>
                </w:r>
                <w:r>
                  <w:rPr>
                    <w:rFonts w:hint="eastAsia"/>
                  </w:rPr>
                  <w:t>（不含通过转融通出借股份）</w:t>
                </w:r>
              </w:p>
            </w:tc>
          </w:sdtContent>
        </w:sdt>
      </w:tr>
      <w:tr w:rsidR="005E000F" w14:paraId="71770F87" w14:textId="77777777">
        <w:trPr>
          <w:cantSplit/>
          <w:jc w:val="center"/>
        </w:trPr>
        <w:sdt>
          <w:sdtPr>
            <w:tag w:val="_PLD_0443ad39720a4d59be87cdf7b0bc4970"/>
            <w:id w:val="1380209754"/>
          </w:sdtPr>
          <w:sdtContent>
            <w:tc>
              <w:tcPr>
                <w:tcW w:w="4924" w:type="dxa"/>
                <w:gridSpan w:val="2"/>
                <w:vMerge w:val="restart"/>
                <w:vAlign w:val="center"/>
              </w:tcPr>
              <w:p w14:paraId="0C57A029" w14:textId="77777777" w:rsidR="005E000F" w:rsidRDefault="00000000">
                <w:pPr>
                  <w:jc w:val="center"/>
                  <w:rPr>
                    <w:color w:val="FF9900"/>
                  </w:rPr>
                </w:pPr>
                <w:r>
                  <w:t>股东名称</w:t>
                </w:r>
              </w:p>
            </w:tc>
          </w:sdtContent>
        </w:sdt>
        <w:sdt>
          <w:sdtPr>
            <w:tag w:val="_PLD_a7f143afa2b94466a44af03e770016b0"/>
            <w:id w:val="1705988833"/>
          </w:sdtPr>
          <w:sdtContent>
            <w:tc>
              <w:tcPr>
                <w:tcW w:w="1701" w:type="dxa"/>
                <w:gridSpan w:val="2"/>
                <w:vMerge w:val="restart"/>
                <w:vAlign w:val="center"/>
              </w:tcPr>
              <w:p w14:paraId="18A7FFDE" w14:textId="77777777" w:rsidR="005E000F" w:rsidRDefault="00000000">
                <w:pPr>
                  <w:jc w:val="center"/>
                  <w:rPr>
                    <w:color w:val="FF9900"/>
                  </w:rPr>
                </w:pPr>
                <w:r>
                  <w:t>持有无限</w:t>
                </w:r>
                <w:proofErr w:type="gramStart"/>
                <w:r>
                  <w:t>售条件</w:t>
                </w:r>
                <w:proofErr w:type="gramEnd"/>
                <w:r>
                  <w:t>流通股的数量</w:t>
                </w:r>
              </w:p>
            </w:tc>
          </w:sdtContent>
        </w:sdt>
        <w:sdt>
          <w:sdtPr>
            <w:tag w:val="_PLD_fa97ca004a544042af7e1d7463bea345"/>
            <w:id w:val="-666710890"/>
          </w:sdtPr>
          <w:sdtContent>
            <w:tc>
              <w:tcPr>
                <w:tcW w:w="3402" w:type="dxa"/>
                <w:gridSpan w:val="5"/>
                <w:tcBorders>
                  <w:bottom w:val="single" w:sz="4" w:space="0" w:color="auto"/>
                </w:tcBorders>
                <w:vAlign w:val="center"/>
              </w:tcPr>
              <w:p w14:paraId="000F9941" w14:textId="77777777" w:rsidR="005E000F" w:rsidRDefault="00000000">
                <w:pPr>
                  <w:jc w:val="center"/>
                  <w:rPr>
                    <w:color w:val="FF9900"/>
                  </w:rPr>
                </w:pPr>
                <w:r>
                  <w:t>股份种类</w:t>
                </w:r>
                <w:r>
                  <w:rPr>
                    <w:rFonts w:hint="eastAsia"/>
                  </w:rPr>
                  <w:t>及数量</w:t>
                </w:r>
              </w:p>
            </w:tc>
          </w:sdtContent>
        </w:sdt>
      </w:tr>
      <w:tr w:rsidR="005E000F" w14:paraId="3B1C79B6" w14:textId="77777777">
        <w:trPr>
          <w:cantSplit/>
          <w:jc w:val="center"/>
        </w:trPr>
        <w:tc>
          <w:tcPr>
            <w:tcW w:w="4924" w:type="dxa"/>
            <w:gridSpan w:val="2"/>
            <w:vMerge/>
            <w:vAlign w:val="center"/>
          </w:tcPr>
          <w:p w14:paraId="7F9BA1BB" w14:textId="77777777" w:rsidR="005E000F" w:rsidRDefault="005E000F">
            <w:pPr>
              <w:jc w:val="center"/>
              <w:rPr>
                <w:color w:val="FF9900"/>
              </w:rPr>
            </w:pPr>
          </w:p>
        </w:tc>
        <w:tc>
          <w:tcPr>
            <w:tcW w:w="1701" w:type="dxa"/>
            <w:gridSpan w:val="2"/>
            <w:vMerge/>
            <w:vAlign w:val="center"/>
          </w:tcPr>
          <w:p w14:paraId="10987BF2" w14:textId="77777777" w:rsidR="005E000F" w:rsidRDefault="005E000F">
            <w:pPr>
              <w:jc w:val="center"/>
              <w:rPr>
                <w:color w:val="FF9900"/>
              </w:rPr>
            </w:pPr>
          </w:p>
        </w:tc>
        <w:sdt>
          <w:sdtPr>
            <w:tag w:val="_PLD_e67773187f2f4233a6666596947248e8"/>
            <w:id w:val="-181440542"/>
          </w:sdtPr>
          <w:sdtContent>
            <w:tc>
              <w:tcPr>
                <w:tcW w:w="1701" w:type="dxa"/>
                <w:gridSpan w:val="3"/>
                <w:vAlign w:val="center"/>
              </w:tcPr>
              <w:p w14:paraId="44D7B3E0" w14:textId="77777777" w:rsidR="005E000F" w:rsidRDefault="00000000">
                <w:pPr>
                  <w:jc w:val="center"/>
                  <w:rPr>
                    <w:color w:val="008000"/>
                  </w:rPr>
                </w:pPr>
                <w:r>
                  <w:rPr>
                    <w:rFonts w:hint="eastAsia"/>
                  </w:rPr>
                  <w:t>种类</w:t>
                </w:r>
              </w:p>
            </w:tc>
          </w:sdtContent>
        </w:sdt>
        <w:sdt>
          <w:sdtPr>
            <w:tag w:val="_PLD_2f2fd5088a82440f9265e00f4e298be0"/>
            <w:id w:val="-1693452963"/>
          </w:sdtPr>
          <w:sdtContent>
            <w:tc>
              <w:tcPr>
                <w:tcW w:w="1701" w:type="dxa"/>
                <w:gridSpan w:val="2"/>
                <w:vAlign w:val="center"/>
              </w:tcPr>
              <w:p w14:paraId="221C84B9" w14:textId="77777777" w:rsidR="005E000F" w:rsidRDefault="00000000">
                <w:pPr>
                  <w:jc w:val="center"/>
                  <w:rPr>
                    <w:color w:val="008000"/>
                  </w:rPr>
                </w:pPr>
                <w:r>
                  <w:rPr>
                    <w:rFonts w:hint="eastAsia"/>
                  </w:rPr>
                  <w:t>数量</w:t>
                </w:r>
              </w:p>
            </w:tc>
          </w:sdtContent>
        </w:sdt>
      </w:tr>
      <w:tr w:rsidR="005E000F" w14:paraId="08FF45C5" w14:textId="77777777">
        <w:trPr>
          <w:cantSplit/>
          <w:jc w:val="center"/>
        </w:trPr>
        <w:tc>
          <w:tcPr>
            <w:tcW w:w="4924" w:type="dxa"/>
            <w:gridSpan w:val="2"/>
            <w:vAlign w:val="center"/>
          </w:tcPr>
          <w:p w14:paraId="4E76000D" w14:textId="77777777" w:rsidR="005E000F" w:rsidRDefault="00000000">
            <w:pPr>
              <w:rPr>
                <w:color w:val="FF9900"/>
              </w:rPr>
            </w:pPr>
            <w:r>
              <w:rPr>
                <w:rStyle w:val="affa"/>
                <w:rFonts w:hint="eastAsia"/>
              </w:rPr>
              <w:t>中国铁路太原</w:t>
            </w:r>
            <w:proofErr w:type="gramStart"/>
            <w:r>
              <w:rPr>
                <w:rStyle w:val="affa"/>
                <w:rFonts w:hint="eastAsia"/>
              </w:rPr>
              <w:t>局集团</w:t>
            </w:r>
            <w:proofErr w:type="gramEnd"/>
            <w:r>
              <w:rPr>
                <w:rStyle w:val="affa"/>
                <w:rFonts w:hint="eastAsia"/>
              </w:rPr>
              <w:t>有限公司</w:t>
            </w:r>
          </w:p>
        </w:tc>
        <w:tc>
          <w:tcPr>
            <w:tcW w:w="1701" w:type="dxa"/>
            <w:gridSpan w:val="2"/>
            <w:vAlign w:val="center"/>
          </w:tcPr>
          <w:p w14:paraId="1FECD0C3" w14:textId="77777777" w:rsidR="005E000F" w:rsidRDefault="00000000">
            <w:pPr>
              <w:jc w:val="right"/>
            </w:pPr>
            <w:r>
              <w:t>9,863,576,055</w:t>
            </w:r>
          </w:p>
        </w:tc>
        <w:sdt>
          <w:sdtPr>
            <w:rPr>
              <w:bCs/>
            </w:rPr>
            <w:alias w:val="前十名无限售条件股东期末持有流通股的种类"/>
            <w:tag w:val="_GBC_b35ef493948141e0b9d0c3fd14aad59a"/>
            <w:id w:val="1580249596"/>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5B117ABE" w14:textId="77777777" w:rsidR="005E000F" w:rsidRDefault="00000000">
                <w:pPr>
                  <w:jc w:val="center"/>
                  <w:rPr>
                    <w:bCs/>
                  </w:rPr>
                </w:pPr>
                <w:r>
                  <w:rPr>
                    <w:bCs/>
                  </w:rPr>
                  <w:t>人民币普通股</w:t>
                </w:r>
              </w:p>
            </w:tc>
          </w:sdtContent>
        </w:sdt>
        <w:tc>
          <w:tcPr>
            <w:tcW w:w="1701" w:type="dxa"/>
            <w:gridSpan w:val="2"/>
            <w:vAlign w:val="center"/>
          </w:tcPr>
          <w:p w14:paraId="489EA3D0" w14:textId="77777777" w:rsidR="005E000F" w:rsidRDefault="00000000">
            <w:pPr>
              <w:jc w:val="right"/>
            </w:pPr>
            <w:r>
              <w:t>9,863,576,055</w:t>
            </w:r>
          </w:p>
        </w:tc>
      </w:tr>
      <w:tr w:rsidR="005E000F" w14:paraId="30F32FAB" w14:textId="77777777">
        <w:trPr>
          <w:cantSplit/>
          <w:jc w:val="center"/>
        </w:trPr>
        <w:tc>
          <w:tcPr>
            <w:tcW w:w="4924" w:type="dxa"/>
            <w:gridSpan w:val="2"/>
            <w:vAlign w:val="center"/>
          </w:tcPr>
          <w:p w14:paraId="44245CED" w14:textId="77777777" w:rsidR="005E000F" w:rsidRDefault="00000000">
            <w:pPr>
              <w:rPr>
                <w:color w:val="FF9900"/>
              </w:rPr>
            </w:pPr>
            <w:r>
              <w:rPr>
                <w:rStyle w:val="affa"/>
                <w:rFonts w:hint="eastAsia"/>
              </w:rPr>
              <w:t>中国中信金融资产管理股份有限公司</w:t>
            </w:r>
          </w:p>
        </w:tc>
        <w:tc>
          <w:tcPr>
            <w:tcW w:w="1701" w:type="dxa"/>
            <w:gridSpan w:val="2"/>
            <w:vAlign w:val="center"/>
          </w:tcPr>
          <w:p w14:paraId="420DB914" w14:textId="77777777" w:rsidR="005E000F" w:rsidRDefault="00000000">
            <w:pPr>
              <w:jc w:val="right"/>
            </w:pPr>
            <w:r>
              <w:t>1,005,346,482</w:t>
            </w:r>
          </w:p>
        </w:tc>
        <w:sdt>
          <w:sdtPr>
            <w:rPr>
              <w:bCs/>
            </w:rPr>
            <w:alias w:val="前十名无限售条件股东期末持有流通股的种类"/>
            <w:tag w:val="_GBC_b35ef493948141e0b9d0c3fd14aad59a"/>
            <w:id w:val="1938790370"/>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23820AF6" w14:textId="77777777" w:rsidR="005E000F" w:rsidRDefault="00000000">
                <w:pPr>
                  <w:jc w:val="center"/>
                  <w:rPr>
                    <w:bCs/>
                  </w:rPr>
                </w:pPr>
                <w:r>
                  <w:rPr>
                    <w:bCs/>
                  </w:rPr>
                  <w:t>人民币普通股</w:t>
                </w:r>
              </w:p>
            </w:tc>
          </w:sdtContent>
        </w:sdt>
        <w:tc>
          <w:tcPr>
            <w:tcW w:w="1701" w:type="dxa"/>
            <w:gridSpan w:val="2"/>
            <w:vAlign w:val="center"/>
          </w:tcPr>
          <w:p w14:paraId="4EEB38E9" w14:textId="77777777" w:rsidR="005E000F" w:rsidRDefault="00000000">
            <w:pPr>
              <w:jc w:val="right"/>
            </w:pPr>
            <w:r>
              <w:t>1,005,346,482</w:t>
            </w:r>
          </w:p>
        </w:tc>
      </w:tr>
      <w:tr w:rsidR="005E000F" w14:paraId="6429B5BD" w14:textId="77777777">
        <w:trPr>
          <w:cantSplit/>
          <w:jc w:val="center"/>
        </w:trPr>
        <w:tc>
          <w:tcPr>
            <w:tcW w:w="4924" w:type="dxa"/>
            <w:gridSpan w:val="2"/>
            <w:vAlign w:val="center"/>
          </w:tcPr>
          <w:p w14:paraId="7C78719C" w14:textId="77777777" w:rsidR="005E000F" w:rsidRDefault="00000000">
            <w:pPr>
              <w:rPr>
                <w:color w:val="FF9900"/>
              </w:rPr>
            </w:pPr>
            <w:r>
              <w:rPr>
                <w:rStyle w:val="affa"/>
                <w:rFonts w:hint="eastAsia"/>
              </w:rPr>
              <w:t>中国人寿保险股份有限公司－传统－普通保险产品－</w:t>
            </w:r>
            <w:r>
              <w:rPr>
                <w:rStyle w:val="affa"/>
                <w:rFonts w:hint="eastAsia"/>
              </w:rPr>
              <w:t>005L</w:t>
            </w:r>
            <w:r>
              <w:rPr>
                <w:rStyle w:val="affa"/>
                <w:rFonts w:hint="eastAsia"/>
              </w:rPr>
              <w:t>－</w:t>
            </w:r>
            <w:r>
              <w:rPr>
                <w:rStyle w:val="affa"/>
                <w:rFonts w:hint="eastAsia"/>
              </w:rPr>
              <w:t>CT001</w:t>
            </w:r>
            <w:r>
              <w:rPr>
                <w:rStyle w:val="affa"/>
                <w:rFonts w:hint="eastAsia"/>
              </w:rPr>
              <w:t>沪</w:t>
            </w:r>
          </w:p>
        </w:tc>
        <w:tc>
          <w:tcPr>
            <w:tcW w:w="1701" w:type="dxa"/>
            <w:gridSpan w:val="2"/>
            <w:vAlign w:val="center"/>
          </w:tcPr>
          <w:p w14:paraId="33AB5A3E" w14:textId="77777777" w:rsidR="005E000F" w:rsidRDefault="00000000">
            <w:pPr>
              <w:jc w:val="right"/>
            </w:pPr>
            <w:r>
              <w:t>544,872,154</w:t>
            </w:r>
          </w:p>
        </w:tc>
        <w:sdt>
          <w:sdtPr>
            <w:rPr>
              <w:bCs/>
            </w:rPr>
            <w:alias w:val="前十名无限售条件股东期末持有流通股的种类"/>
            <w:tag w:val="_GBC_b35ef493948141e0b9d0c3fd14aad59a"/>
            <w:id w:val="484362791"/>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4FB1DE01" w14:textId="77777777" w:rsidR="005E000F" w:rsidRDefault="00000000">
                <w:pPr>
                  <w:jc w:val="center"/>
                  <w:rPr>
                    <w:bCs/>
                  </w:rPr>
                </w:pPr>
                <w:r>
                  <w:rPr>
                    <w:bCs/>
                  </w:rPr>
                  <w:t>人民币普通股</w:t>
                </w:r>
              </w:p>
            </w:tc>
          </w:sdtContent>
        </w:sdt>
        <w:tc>
          <w:tcPr>
            <w:tcW w:w="1701" w:type="dxa"/>
            <w:gridSpan w:val="2"/>
            <w:vAlign w:val="center"/>
          </w:tcPr>
          <w:p w14:paraId="759EB243" w14:textId="77777777" w:rsidR="005E000F" w:rsidRDefault="00000000">
            <w:pPr>
              <w:jc w:val="right"/>
            </w:pPr>
            <w:r>
              <w:t>544,872,154</w:t>
            </w:r>
          </w:p>
        </w:tc>
      </w:tr>
      <w:tr w:rsidR="005E000F" w14:paraId="470D338F" w14:textId="77777777">
        <w:trPr>
          <w:cantSplit/>
          <w:jc w:val="center"/>
        </w:trPr>
        <w:tc>
          <w:tcPr>
            <w:tcW w:w="4924" w:type="dxa"/>
            <w:gridSpan w:val="2"/>
            <w:vAlign w:val="center"/>
          </w:tcPr>
          <w:p w14:paraId="2F2E082D" w14:textId="77777777" w:rsidR="005E000F" w:rsidRDefault="00000000">
            <w:pPr>
              <w:rPr>
                <w:color w:val="FF9900"/>
              </w:rPr>
            </w:pPr>
            <w:proofErr w:type="gramStart"/>
            <w:r>
              <w:rPr>
                <w:rStyle w:val="affa"/>
                <w:rFonts w:hint="eastAsia"/>
              </w:rPr>
              <w:t>国丰兴华</w:t>
            </w:r>
            <w:proofErr w:type="gramEnd"/>
            <w:r>
              <w:rPr>
                <w:rStyle w:val="affa"/>
                <w:rFonts w:hint="eastAsia"/>
              </w:rPr>
              <w:t>（北京）私募基金管理有限公司－</w:t>
            </w:r>
            <w:proofErr w:type="gramStart"/>
            <w:r>
              <w:rPr>
                <w:rStyle w:val="affa"/>
                <w:rFonts w:hint="eastAsia"/>
              </w:rPr>
              <w:t>国丰兴华</w:t>
            </w:r>
            <w:proofErr w:type="gramEnd"/>
            <w:r>
              <w:rPr>
                <w:rStyle w:val="affa"/>
                <w:rFonts w:hint="eastAsia"/>
              </w:rPr>
              <w:t>鸿鹄志远三期私募证券投资基金</w:t>
            </w:r>
            <w:r>
              <w:rPr>
                <w:rStyle w:val="affa"/>
                <w:rFonts w:hint="eastAsia"/>
              </w:rPr>
              <w:t>1</w:t>
            </w:r>
            <w:r>
              <w:rPr>
                <w:rStyle w:val="affa"/>
                <w:rFonts w:hint="eastAsia"/>
              </w:rPr>
              <w:t>号</w:t>
            </w:r>
          </w:p>
        </w:tc>
        <w:tc>
          <w:tcPr>
            <w:tcW w:w="1701" w:type="dxa"/>
            <w:gridSpan w:val="2"/>
            <w:vAlign w:val="center"/>
          </w:tcPr>
          <w:p w14:paraId="13FC6B23" w14:textId="77777777" w:rsidR="005E000F" w:rsidRDefault="00000000">
            <w:pPr>
              <w:jc w:val="right"/>
            </w:pPr>
            <w:r>
              <w:t>298,487,115</w:t>
            </w:r>
          </w:p>
        </w:tc>
        <w:sdt>
          <w:sdtPr>
            <w:rPr>
              <w:bCs/>
            </w:rPr>
            <w:alias w:val="前十名无限售条件股东期末持有流通股的种类"/>
            <w:tag w:val="_GBC_b35ef493948141e0b9d0c3fd14aad59a"/>
            <w:id w:val="-1769378288"/>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55A6C773" w14:textId="77777777" w:rsidR="005E000F" w:rsidRDefault="00000000">
                <w:pPr>
                  <w:jc w:val="center"/>
                  <w:rPr>
                    <w:bCs/>
                  </w:rPr>
                </w:pPr>
                <w:r>
                  <w:rPr>
                    <w:bCs/>
                  </w:rPr>
                  <w:t>人民币普通股</w:t>
                </w:r>
              </w:p>
            </w:tc>
          </w:sdtContent>
        </w:sdt>
        <w:tc>
          <w:tcPr>
            <w:tcW w:w="1701" w:type="dxa"/>
            <w:gridSpan w:val="2"/>
            <w:vAlign w:val="center"/>
          </w:tcPr>
          <w:p w14:paraId="7A3E6748" w14:textId="77777777" w:rsidR="005E000F" w:rsidRDefault="00000000">
            <w:pPr>
              <w:jc w:val="right"/>
            </w:pPr>
            <w:r>
              <w:t>298,487,115</w:t>
            </w:r>
          </w:p>
        </w:tc>
      </w:tr>
      <w:tr w:rsidR="005E000F" w14:paraId="35587CCB" w14:textId="77777777">
        <w:trPr>
          <w:cantSplit/>
          <w:jc w:val="center"/>
        </w:trPr>
        <w:tc>
          <w:tcPr>
            <w:tcW w:w="4924" w:type="dxa"/>
            <w:gridSpan w:val="2"/>
            <w:vAlign w:val="center"/>
          </w:tcPr>
          <w:p w14:paraId="607FDF45" w14:textId="77777777" w:rsidR="005E000F" w:rsidRDefault="00000000">
            <w:pPr>
              <w:rPr>
                <w:color w:val="FF9900"/>
              </w:rPr>
            </w:pPr>
            <w:r>
              <w:rPr>
                <w:rStyle w:val="affa"/>
                <w:rFonts w:hint="eastAsia"/>
              </w:rPr>
              <w:t>香港中央结算有限公司</w:t>
            </w:r>
          </w:p>
        </w:tc>
        <w:tc>
          <w:tcPr>
            <w:tcW w:w="1701" w:type="dxa"/>
            <w:gridSpan w:val="2"/>
            <w:vAlign w:val="center"/>
          </w:tcPr>
          <w:p w14:paraId="24A5509B" w14:textId="77777777" w:rsidR="005E000F" w:rsidRDefault="00000000">
            <w:pPr>
              <w:jc w:val="right"/>
            </w:pPr>
            <w:r>
              <w:t>280,467,604</w:t>
            </w:r>
          </w:p>
        </w:tc>
        <w:sdt>
          <w:sdtPr>
            <w:rPr>
              <w:bCs/>
            </w:rPr>
            <w:alias w:val="前十名无限售条件股东期末持有流通股的种类"/>
            <w:tag w:val="_GBC_b35ef493948141e0b9d0c3fd14aad59a"/>
            <w:id w:val="-1288733068"/>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75120B6B" w14:textId="77777777" w:rsidR="005E000F" w:rsidRDefault="00000000">
                <w:pPr>
                  <w:jc w:val="center"/>
                  <w:rPr>
                    <w:bCs/>
                  </w:rPr>
                </w:pPr>
                <w:r>
                  <w:rPr>
                    <w:bCs/>
                  </w:rPr>
                  <w:t>人民币普通股</w:t>
                </w:r>
              </w:p>
            </w:tc>
          </w:sdtContent>
        </w:sdt>
        <w:tc>
          <w:tcPr>
            <w:tcW w:w="1701" w:type="dxa"/>
            <w:gridSpan w:val="2"/>
            <w:vAlign w:val="center"/>
          </w:tcPr>
          <w:p w14:paraId="504D0227" w14:textId="77777777" w:rsidR="005E000F" w:rsidRDefault="00000000">
            <w:pPr>
              <w:jc w:val="right"/>
            </w:pPr>
            <w:r>
              <w:t>280,467,604</w:t>
            </w:r>
          </w:p>
        </w:tc>
      </w:tr>
      <w:tr w:rsidR="005E000F" w14:paraId="745FF5F9" w14:textId="77777777">
        <w:trPr>
          <w:cantSplit/>
          <w:jc w:val="center"/>
        </w:trPr>
        <w:tc>
          <w:tcPr>
            <w:tcW w:w="4924" w:type="dxa"/>
            <w:gridSpan w:val="2"/>
            <w:vAlign w:val="center"/>
          </w:tcPr>
          <w:p w14:paraId="1EB83D6F" w14:textId="77777777" w:rsidR="005E000F" w:rsidRDefault="00000000">
            <w:pPr>
              <w:rPr>
                <w:color w:val="FF9900"/>
              </w:rPr>
            </w:pPr>
            <w:r>
              <w:rPr>
                <w:rStyle w:val="affa"/>
                <w:rFonts w:hint="eastAsia"/>
              </w:rPr>
              <w:t>中央汇金资产管理有限责任公司</w:t>
            </w:r>
          </w:p>
        </w:tc>
        <w:tc>
          <w:tcPr>
            <w:tcW w:w="1701" w:type="dxa"/>
            <w:gridSpan w:val="2"/>
            <w:vAlign w:val="center"/>
          </w:tcPr>
          <w:p w14:paraId="1D197BF5" w14:textId="77777777" w:rsidR="005E000F" w:rsidRDefault="00000000">
            <w:pPr>
              <w:jc w:val="right"/>
            </w:pPr>
            <w:r>
              <w:t>199,894,100</w:t>
            </w:r>
          </w:p>
        </w:tc>
        <w:sdt>
          <w:sdtPr>
            <w:rPr>
              <w:bCs/>
            </w:rPr>
            <w:alias w:val="前十名无限售条件股东期末持有流通股的种类"/>
            <w:tag w:val="_GBC_b35ef493948141e0b9d0c3fd14aad59a"/>
            <w:id w:val="2051954053"/>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75B5150E" w14:textId="77777777" w:rsidR="005E000F" w:rsidRDefault="00000000">
                <w:pPr>
                  <w:jc w:val="center"/>
                  <w:rPr>
                    <w:bCs/>
                  </w:rPr>
                </w:pPr>
                <w:r>
                  <w:rPr>
                    <w:bCs/>
                  </w:rPr>
                  <w:t>人民币普通股</w:t>
                </w:r>
              </w:p>
            </w:tc>
          </w:sdtContent>
        </w:sdt>
        <w:tc>
          <w:tcPr>
            <w:tcW w:w="1701" w:type="dxa"/>
            <w:gridSpan w:val="2"/>
            <w:vAlign w:val="center"/>
          </w:tcPr>
          <w:p w14:paraId="3EF5BCFC" w14:textId="77777777" w:rsidR="005E000F" w:rsidRDefault="00000000">
            <w:pPr>
              <w:jc w:val="right"/>
            </w:pPr>
            <w:r>
              <w:t>199,894,100</w:t>
            </w:r>
          </w:p>
        </w:tc>
      </w:tr>
      <w:tr w:rsidR="005E000F" w14:paraId="57900216" w14:textId="77777777">
        <w:trPr>
          <w:cantSplit/>
          <w:jc w:val="center"/>
        </w:trPr>
        <w:tc>
          <w:tcPr>
            <w:tcW w:w="4924" w:type="dxa"/>
            <w:gridSpan w:val="2"/>
            <w:vAlign w:val="center"/>
          </w:tcPr>
          <w:p w14:paraId="206C36EA" w14:textId="77777777" w:rsidR="005E000F" w:rsidRDefault="00000000">
            <w:pPr>
              <w:rPr>
                <w:color w:val="FF9900"/>
              </w:rPr>
            </w:pPr>
            <w:r>
              <w:rPr>
                <w:rStyle w:val="affa"/>
                <w:rFonts w:hint="eastAsia"/>
              </w:rPr>
              <w:t>中国工商银行股份有限公司－华泰柏瑞沪深</w:t>
            </w:r>
            <w:r>
              <w:rPr>
                <w:rStyle w:val="affa"/>
                <w:rFonts w:hint="eastAsia"/>
              </w:rPr>
              <w:t>300</w:t>
            </w:r>
            <w:r>
              <w:rPr>
                <w:rStyle w:val="affa"/>
                <w:rFonts w:hint="eastAsia"/>
              </w:rPr>
              <w:t>交易型开放式指数证券投资基金</w:t>
            </w:r>
          </w:p>
        </w:tc>
        <w:tc>
          <w:tcPr>
            <w:tcW w:w="1701" w:type="dxa"/>
            <w:gridSpan w:val="2"/>
            <w:vAlign w:val="center"/>
          </w:tcPr>
          <w:p w14:paraId="72836062" w14:textId="77777777" w:rsidR="005E000F" w:rsidRDefault="00000000">
            <w:pPr>
              <w:jc w:val="right"/>
            </w:pPr>
            <w:r>
              <w:t>199,674,984</w:t>
            </w:r>
          </w:p>
        </w:tc>
        <w:sdt>
          <w:sdtPr>
            <w:rPr>
              <w:bCs/>
            </w:rPr>
            <w:alias w:val="前十名无限售条件股东期末持有流通股的种类"/>
            <w:tag w:val="_GBC_b35ef493948141e0b9d0c3fd14aad59a"/>
            <w:id w:val="809745031"/>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35158457" w14:textId="77777777" w:rsidR="005E000F" w:rsidRDefault="00000000">
                <w:pPr>
                  <w:jc w:val="center"/>
                  <w:rPr>
                    <w:bCs/>
                  </w:rPr>
                </w:pPr>
                <w:r>
                  <w:rPr>
                    <w:bCs/>
                  </w:rPr>
                  <w:t>人民币普通股</w:t>
                </w:r>
              </w:p>
            </w:tc>
          </w:sdtContent>
        </w:sdt>
        <w:tc>
          <w:tcPr>
            <w:tcW w:w="1701" w:type="dxa"/>
            <w:gridSpan w:val="2"/>
            <w:vAlign w:val="center"/>
          </w:tcPr>
          <w:p w14:paraId="1582D773" w14:textId="77777777" w:rsidR="005E000F" w:rsidRDefault="00000000">
            <w:pPr>
              <w:jc w:val="right"/>
            </w:pPr>
            <w:r>
              <w:t>199,674,984</w:t>
            </w:r>
          </w:p>
        </w:tc>
      </w:tr>
      <w:tr w:rsidR="005E000F" w14:paraId="5AE0B261" w14:textId="77777777">
        <w:trPr>
          <w:cantSplit/>
          <w:jc w:val="center"/>
        </w:trPr>
        <w:tc>
          <w:tcPr>
            <w:tcW w:w="4924" w:type="dxa"/>
            <w:gridSpan w:val="2"/>
            <w:vAlign w:val="center"/>
          </w:tcPr>
          <w:p w14:paraId="4AACDF62" w14:textId="77777777" w:rsidR="005E000F" w:rsidRDefault="00000000">
            <w:pPr>
              <w:rPr>
                <w:color w:val="FF9900"/>
              </w:rPr>
            </w:pPr>
            <w:r>
              <w:rPr>
                <w:rStyle w:val="affa"/>
                <w:rFonts w:hint="eastAsia"/>
              </w:rPr>
              <w:t>中国证券金融股份有限公司</w:t>
            </w:r>
          </w:p>
        </w:tc>
        <w:tc>
          <w:tcPr>
            <w:tcW w:w="1701" w:type="dxa"/>
            <w:gridSpan w:val="2"/>
            <w:vAlign w:val="center"/>
          </w:tcPr>
          <w:p w14:paraId="650280D3" w14:textId="77777777" w:rsidR="005E000F" w:rsidRDefault="00000000">
            <w:pPr>
              <w:jc w:val="right"/>
            </w:pPr>
            <w:r>
              <w:t>199,494,812</w:t>
            </w:r>
          </w:p>
        </w:tc>
        <w:sdt>
          <w:sdtPr>
            <w:rPr>
              <w:bCs/>
            </w:rPr>
            <w:alias w:val="前十名无限售条件股东期末持有流通股的种类"/>
            <w:tag w:val="_GBC_b35ef493948141e0b9d0c3fd14aad59a"/>
            <w:id w:val="892777288"/>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2C1510C5" w14:textId="77777777" w:rsidR="005E000F" w:rsidRDefault="00000000">
                <w:pPr>
                  <w:jc w:val="center"/>
                  <w:rPr>
                    <w:bCs/>
                  </w:rPr>
                </w:pPr>
                <w:r>
                  <w:rPr>
                    <w:bCs/>
                  </w:rPr>
                  <w:t>人民币普通股</w:t>
                </w:r>
              </w:p>
            </w:tc>
          </w:sdtContent>
        </w:sdt>
        <w:tc>
          <w:tcPr>
            <w:tcW w:w="1701" w:type="dxa"/>
            <w:gridSpan w:val="2"/>
            <w:vAlign w:val="center"/>
          </w:tcPr>
          <w:p w14:paraId="3F31218B" w14:textId="77777777" w:rsidR="005E000F" w:rsidRDefault="00000000">
            <w:pPr>
              <w:jc w:val="right"/>
            </w:pPr>
            <w:r>
              <w:t>199,494,812</w:t>
            </w:r>
          </w:p>
        </w:tc>
      </w:tr>
      <w:tr w:rsidR="005E000F" w14:paraId="4B74B6B8" w14:textId="77777777">
        <w:trPr>
          <w:cantSplit/>
          <w:jc w:val="center"/>
        </w:trPr>
        <w:tc>
          <w:tcPr>
            <w:tcW w:w="4924" w:type="dxa"/>
            <w:gridSpan w:val="2"/>
            <w:vAlign w:val="center"/>
          </w:tcPr>
          <w:p w14:paraId="792807C1" w14:textId="77777777" w:rsidR="005E000F" w:rsidRDefault="00000000">
            <w:pPr>
              <w:rPr>
                <w:color w:val="FF9900"/>
              </w:rPr>
            </w:pPr>
            <w:r>
              <w:rPr>
                <w:rStyle w:val="affa"/>
                <w:rFonts w:hint="eastAsia"/>
              </w:rPr>
              <w:t>河北港口集团有限公司</w:t>
            </w:r>
          </w:p>
        </w:tc>
        <w:tc>
          <w:tcPr>
            <w:tcW w:w="1701" w:type="dxa"/>
            <w:gridSpan w:val="2"/>
            <w:vAlign w:val="center"/>
          </w:tcPr>
          <w:p w14:paraId="0FBE731F" w14:textId="77777777" w:rsidR="005E000F" w:rsidRDefault="00000000">
            <w:pPr>
              <w:jc w:val="right"/>
            </w:pPr>
            <w:r>
              <w:t>158,702,841</w:t>
            </w:r>
          </w:p>
        </w:tc>
        <w:sdt>
          <w:sdtPr>
            <w:rPr>
              <w:bCs/>
            </w:rPr>
            <w:alias w:val="前十名无限售条件股东期末持有流通股的种类"/>
            <w:tag w:val="_GBC_b35ef493948141e0b9d0c3fd14aad59a"/>
            <w:id w:val="925387923"/>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1853376B" w14:textId="77777777" w:rsidR="005E000F" w:rsidRDefault="00000000">
                <w:pPr>
                  <w:jc w:val="center"/>
                  <w:rPr>
                    <w:bCs/>
                  </w:rPr>
                </w:pPr>
                <w:r>
                  <w:rPr>
                    <w:bCs/>
                  </w:rPr>
                  <w:t>人民币普通股</w:t>
                </w:r>
              </w:p>
            </w:tc>
          </w:sdtContent>
        </w:sdt>
        <w:tc>
          <w:tcPr>
            <w:tcW w:w="1701" w:type="dxa"/>
            <w:gridSpan w:val="2"/>
            <w:vAlign w:val="center"/>
          </w:tcPr>
          <w:p w14:paraId="4B81BE77" w14:textId="77777777" w:rsidR="005E000F" w:rsidRDefault="00000000">
            <w:pPr>
              <w:jc w:val="right"/>
            </w:pPr>
            <w:r>
              <w:t>158,702,841</w:t>
            </w:r>
          </w:p>
        </w:tc>
      </w:tr>
      <w:tr w:rsidR="005E000F" w14:paraId="4A668E9C" w14:textId="77777777">
        <w:trPr>
          <w:cantSplit/>
          <w:jc w:val="center"/>
        </w:trPr>
        <w:tc>
          <w:tcPr>
            <w:tcW w:w="4924" w:type="dxa"/>
            <w:gridSpan w:val="2"/>
            <w:vAlign w:val="center"/>
          </w:tcPr>
          <w:p w14:paraId="5792825D" w14:textId="77777777" w:rsidR="005E000F" w:rsidRDefault="00000000">
            <w:pPr>
              <w:rPr>
                <w:color w:val="FF9900"/>
              </w:rPr>
            </w:pPr>
            <w:r>
              <w:rPr>
                <w:rStyle w:val="affa"/>
                <w:rFonts w:hint="eastAsia"/>
              </w:rPr>
              <w:t>中国建设银行股份有限公司－易</w:t>
            </w:r>
            <w:proofErr w:type="gramStart"/>
            <w:r>
              <w:rPr>
                <w:rStyle w:val="affa"/>
                <w:rFonts w:hint="eastAsia"/>
              </w:rPr>
              <w:t>方达沪深</w:t>
            </w:r>
            <w:proofErr w:type="gramEnd"/>
            <w:r>
              <w:rPr>
                <w:rStyle w:val="affa"/>
                <w:rFonts w:hint="eastAsia"/>
              </w:rPr>
              <w:t>300</w:t>
            </w:r>
            <w:r>
              <w:rPr>
                <w:rStyle w:val="affa"/>
                <w:rFonts w:hint="eastAsia"/>
              </w:rPr>
              <w:t>交易型开放式指数发起式证券投资基金</w:t>
            </w:r>
          </w:p>
        </w:tc>
        <w:tc>
          <w:tcPr>
            <w:tcW w:w="1701" w:type="dxa"/>
            <w:gridSpan w:val="2"/>
            <w:vAlign w:val="center"/>
          </w:tcPr>
          <w:p w14:paraId="2AA01B9A" w14:textId="77777777" w:rsidR="005E000F" w:rsidRDefault="00000000">
            <w:pPr>
              <w:jc w:val="right"/>
            </w:pPr>
            <w:r>
              <w:t>142,450,664</w:t>
            </w:r>
          </w:p>
        </w:tc>
        <w:sdt>
          <w:sdtPr>
            <w:rPr>
              <w:bCs/>
            </w:rPr>
            <w:alias w:val="前十名无限售条件股东期末持有流通股的种类"/>
            <w:tag w:val="_GBC_b35ef493948141e0b9d0c3fd14aad59a"/>
            <w:id w:val="10026986"/>
            <w:comboBox>
              <w:listItem w:displayText="人民币普通股" w:value="人民币普通股"/>
              <w:listItem w:displayText="优先股" w:value="优先股"/>
              <w:listItem w:displayText="境内上市外资股" w:value="境内上市外资股"/>
              <w:listItem w:displayText="境外上市外资股" w:value="境外上市外资股"/>
              <w:listItem w:displayText="其它" w:value="其它"/>
            </w:comboBox>
          </w:sdtPr>
          <w:sdtContent>
            <w:tc>
              <w:tcPr>
                <w:tcW w:w="1701" w:type="dxa"/>
                <w:gridSpan w:val="3"/>
                <w:vAlign w:val="center"/>
              </w:tcPr>
              <w:p w14:paraId="5B4FB969" w14:textId="77777777" w:rsidR="005E000F" w:rsidRDefault="00000000">
                <w:pPr>
                  <w:jc w:val="center"/>
                  <w:rPr>
                    <w:bCs/>
                  </w:rPr>
                </w:pPr>
                <w:r>
                  <w:rPr>
                    <w:bCs/>
                  </w:rPr>
                  <w:t>人民币普通股</w:t>
                </w:r>
              </w:p>
            </w:tc>
          </w:sdtContent>
        </w:sdt>
        <w:tc>
          <w:tcPr>
            <w:tcW w:w="1701" w:type="dxa"/>
            <w:gridSpan w:val="2"/>
            <w:vAlign w:val="center"/>
          </w:tcPr>
          <w:p w14:paraId="1C88E283" w14:textId="77777777" w:rsidR="005E000F" w:rsidRDefault="00000000">
            <w:pPr>
              <w:jc w:val="right"/>
            </w:pPr>
            <w:r>
              <w:t>142,450,664</w:t>
            </w:r>
          </w:p>
        </w:tc>
      </w:tr>
      <w:tr w:rsidR="005E000F" w14:paraId="1475944D" w14:textId="77777777">
        <w:trPr>
          <w:cantSplit/>
          <w:jc w:val="center"/>
        </w:trPr>
        <w:tc>
          <w:tcPr>
            <w:tcW w:w="4924" w:type="dxa"/>
            <w:gridSpan w:val="2"/>
            <w:vAlign w:val="center"/>
          </w:tcPr>
          <w:p w14:paraId="5B79DA66" w14:textId="77777777" w:rsidR="005E000F" w:rsidRDefault="00000000">
            <w:r>
              <w:rPr>
                <w:rFonts w:hint="eastAsia"/>
              </w:rPr>
              <w:t>前十名股东中回购专户情况说明</w:t>
            </w:r>
          </w:p>
        </w:tc>
        <w:tc>
          <w:tcPr>
            <w:tcW w:w="5103" w:type="dxa"/>
            <w:gridSpan w:val="7"/>
            <w:vAlign w:val="center"/>
          </w:tcPr>
          <w:p w14:paraId="6CBC7230" w14:textId="77777777" w:rsidR="005E000F" w:rsidRDefault="00000000">
            <w:r>
              <w:rPr>
                <w:rFonts w:hint="eastAsia"/>
              </w:rPr>
              <w:t>无</w:t>
            </w:r>
          </w:p>
        </w:tc>
      </w:tr>
      <w:tr w:rsidR="005E000F" w14:paraId="414D1BD3" w14:textId="77777777">
        <w:trPr>
          <w:cantSplit/>
          <w:jc w:val="center"/>
        </w:trPr>
        <w:tc>
          <w:tcPr>
            <w:tcW w:w="4924" w:type="dxa"/>
            <w:gridSpan w:val="2"/>
            <w:vAlign w:val="center"/>
          </w:tcPr>
          <w:p w14:paraId="7DC700FF" w14:textId="77777777" w:rsidR="005E000F" w:rsidRDefault="00000000">
            <w:r>
              <w:t>上述股东</w:t>
            </w:r>
            <w:r>
              <w:rPr>
                <w:rFonts w:hint="eastAsia"/>
              </w:rPr>
              <w:t>委托表决权、受托表决权、放弃表决权</w:t>
            </w:r>
            <w:r>
              <w:t>的说明</w:t>
            </w:r>
          </w:p>
        </w:tc>
        <w:tc>
          <w:tcPr>
            <w:tcW w:w="5103" w:type="dxa"/>
            <w:gridSpan w:val="7"/>
            <w:vAlign w:val="center"/>
          </w:tcPr>
          <w:p w14:paraId="567E2B39" w14:textId="77777777" w:rsidR="005E000F" w:rsidRDefault="00000000">
            <w:r>
              <w:rPr>
                <w:rFonts w:hint="eastAsia"/>
              </w:rPr>
              <w:t>无</w:t>
            </w:r>
          </w:p>
        </w:tc>
      </w:tr>
      <w:tr w:rsidR="005E000F" w14:paraId="706D2F07" w14:textId="77777777">
        <w:trPr>
          <w:cantSplit/>
          <w:jc w:val="center"/>
        </w:trPr>
        <w:tc>
          <w:tcPr>
            <w:tcW w:w="4924" w:type="dxa"/>
            <w:gridSpan w:val="2"/>
            <w:vAlign w:val="center"/>
          </w:tcPr>
          <w:p w14:paraId="463139A1" w14:textId="77777777" w:rsidR="005E000F" w:rsidRDefault="00000000">
            <w:r>
              <w:t>上述股东关联关系或一致行动的说明</w:t>
            </w:r>
          </w:p>
        </w:tc>
        <w:tc>
          <w:tcPr>
            <w:tcW w:w="5103" w:type="dxa"/>
            <w:gridSpan w:val="7"/>
            <w:vAlign w:val="center"/>
          </w:tcPr>
          <w:p w14:paraId="697CB65E" w14:textId="77777777" w:rsidR="005E000F" w:rsidRDefault="00000000">
            <w:r>
              <w:rPr>
                <w:rFonts w:hint="eastAsia"/>
              </w:rPr>
              <w:t>未知上述股东之间是否存在关联关系或属于《上市公司收购管理办法》规定的一致行动人。</w:t>
            </w:r>
          </w:p>
        </w:tc>
      </w:tr>
    </w:tbl>
    <w:p w14:paraId="27B21B8D" w14:textId="77777777" w:rsidR="005E000F" w:rsidRDefault="005E000F"/>
    <w:p w14:paraId="76D7BB5F" w14:textId="77777777" w:rsidR="005E000F" w:rsidRDefault="00000000">
      <w:bookmarkStart w:id="204" w:name="_Hlk155094173"/>
      <w:r>
        <w:t>持</w:t>
      </w:r>
      <w:r>
        <w:rPr>
          <w:rFonts w:hint="eastAsia"/>
        </w:rPr>
        <w:t>股</w:t>
      </w:r>
      <w:r>
        <w:t>5%</w:t>
      </w:r>
      <w:r>
        <w:t>以上股东、前十名股东及前十名无限</w:t>
      </w:r>
      <w:proofErr w:type="gramStart"/>
      <w:r>
        <w:t>售流通</w:t>
      </w:r>
      <w:proofErr w:type="gramEnd"/>
      <w:r>
        <w:t>股股东参与转融通业务出借股份情</w:t>
      </w:r>
      <w:r>
        <w:rPr>
          <w:rFonts w:hint="eastAsia"/>
        </w:rPr>
        <w:t>况</w:t>
      </w:r>
    </w:p>
    <w:sdt>
      <w:sdtPr>
        <w:rPr>
          <w:bCs/>
        </w:rPr>
        <w:alias w:val="是否适用：前十名股东参与转融通业务出借股份情况[双击切换]"/>
        <w:tag w:val="_GBC_2d74b1abb153475cb0679c2ab4305c0d"/>
        <w:id w:val="806443341"/>
        <w:placeholder>
          <w:docPart w:val="GBC22222222222222222222222222222"/>
        </w:placeholder>
      </w:sdtPr>
      <w:sdtContent>
        <w:p w14:paraId="4D3C32D5" w14:textId="77777777" w:rsidR="005E000F" w:rsidRDefault="00000000">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1976F105" w14:textId="77777777" w:rsidR="005E000F" w:rsidRDefault="00000000">
      <w:bookmarkStart w:id="205" w:name="_Hlk155094189"/>
      <w:bookmarkEnd w:id="204"/>
      <w:r>
        <w:t>前十名股东及前</w:t>
      </w:r>
      <w:r>
        <w:rPr>
          <w:rFonts w:hint="eastAsia"/>
        </w:rPr>
        <w:t>十</w:t>
      </w:r>
      <w:r>
        <w:t>名无限</w:t>
      </w:r>
      <w:proofErr w:type="gramStart"/>
      <w:r>
        <w:t>售流通</w:t>
      </w:r>
      <w:proofErr w:type="gramEnd"/>
      <w:r>
        <w:t>股股东因转融通出借</w:t>
      </w:r>
      <w:r>
        <w:t>/</w:t>
      </w:r>
      <w:r>
        <w:t>归还原因导致较上期发生变化</w:t>
      </w:r>
    </w:p>
    <w:sdt>
      <w:sdtPr>
        <w:rPr>
          <w:rFonts w:hint="eastAsia"/>
        </w:rPr>
        <w:alias w:val="是否适用：前十名股东较上期发生变化[双击切换]"/>
        <w:tag w:val="_GBC_610830f75bf04d59a67019ded47646e5"/>
        <w:id w:val="-533573345"/>
        <w:placeholder>
          <w:docPart w:val="GBC22222222222222222222222222222"/>
        </w:placeholder>
      </w:sdtPr>
      <w:sdtContent>
        <w:p w14:paraId="030905E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05"/>
    <w:p w14:paraId="0C34A539" w14:textId="77777777" w:rsidR="005E000F" w:rsidRDefault="00000000">
      <w:r>
        <w:t>前十名有限</w:t>
      </w:r>
      <w:proofErr w:type="gramStart"/>
      <w:r>
        <w:t>售条件</w:t>
      </w:r>
      <w:proofErr w:type="gramEnd"/>
      <w:r>
        <w:t>股东持股数量及限售条件</w:t>
      </w:r>
    </w:p>
    <w:sdt>
      <w:sdtPr>
        <w:rPr>
          <w:bCs/>
        </w:rPr>
        <w:alias w:val="是否适用：前十名有限售条件股东持股数量及限售条件[双击切换]"/>
        <w:tag w:val="_GBC_99ceff37849a42f4b21400880589fbc1"/>
        <w:id w:val="2124961389"/>
        <w:placeholder>
          <w:docPart w:val="GBC22222222222222222222222222222"/>
        </w:placeholder>
      </w:sdtPr>
      <w:sdtContent>
        <w:p w14:paraId="5AB32C90" w14:textId="77777777" w:rsidR="005E000F" w:rsidRDefault="00000000">
          <w:pPr>
            <w:rPr>
              <w:bCs/>
            </w:rPr>
          </w:pPr>
          <w:r>
            <w:rPr>
              <w:rFonts w:ascii="宋体" w:hAnsi="宋体"/>
              <w:bCs/>
            </w:rPr>
            <w:fldChar w:fldCharType="begin"/>
          </w:r>
          <w:r>
            <w:rPr>
              <w:rFonts w:ascii="宋体" w:hAnsi="宋体"/>
              <w:bCs/>
            </w:rPr>
            <w:instrText xml:space="preserve">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26C16B45" w14:textId="77777777" w:rsidR="005E000F" w:rsidRDefault="005E000F"/>
    <w:p w14:paraId="653CEDE3" w14:textId="77777777" w:rsidR="005E000F" w:rsidRDefault="00000000">
      <w:pPr>
        <w:pStyle w:val="3"/>
        <w:numPr>
          <w:ilvl w:val="1"/>
          <w:numId w:val="50"/>
        </w:numPr>
        <w:ind w:left="426" w:hanging="426"/>
        <w:rPr>
          <w:szCs w:val="21"/>
        </w:rPr>
      </w:pPr>
      <w:bookmarkStart w:id="206" w:name="_Hlk89352705"/>
      <w:bookmarkEnd w:id="203"/>
      <w:bookmarkEnd w:id="206"/>
      <w:r>
        <w:rPr>
          <w:szCs w:val="21"/>
        </w:rPr>
        <w:lastRenderedPageBreak/>
        <w:t>战略投资者或一般法人因配售新股成为前</w:t>
      </w:r>
      <w:r>
        <w:rPr>
          <w:szCs w:val="21"/>
        </w:rPr>
        <w:t>10</w:t>
      </w:r>
      <w:r>
        <w:rPr>
          <w:szCs w:val="21"/>
        </w:rPr>
        <w:t>名股东</w:t>
      </w:r>
    </w:p>
    <w:sdt>
      <w:sdtPr>
        <w:alias w:val="是否适用：战略投资者或一般法人因配售新股成为前10名股东[双击切换]"/>
        <w:tag w:val="_GBC_f3c63aafb8134fdcbdeb39fd33c2cd8d"/>
        <w:id w:val="16133362"/>
        <w:placeholder>
          <w:docPart w:val="GBC22222222222222222222222222222"/>
        </w:placeholder>
      </w:sdtPr>
      <w:sdtContent>
        <w:p w14:paraId="6D7F03AA"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CBC87AB" w14:textId="77777777" w:rsidR="005E000F" w:rsidRDefault="00000000">
      <w:pPr>
        <w:pStyle w:val="2"/>
        <w:numPr>
          <w:ilvl w:val="0"/>
          <w:numId w:val="46"/>
        </w:numPr>
      </w:pPr>
      <w:r>
        <w:rPr>
          <w:rFonts w:hint="eastAsia"/>
        </w:rPr>
        <w:t>控股股东及实际控制人情况</w:t>
      </w:r>
    </w:p>
    <w:p w14:paraId="27AD8F27" w14:textId="77777777" w:rsidR="005E000F" w:rsidRDefault="00000000">
      <w:pPr>
        <w:pStyle w:val="3"/>
        <w:numPr>
          <w:ilvl w:val="0"/>
          <w:numId w:val="51"/>
        </w:numPr>
      </w:pPr>
      <w:r>
        <w:t>控股股东情况</w:t>
      </w:r>
    </w:p>
    <w:p w14:paraId="48599173" w14:textId="77777777" w:rsidR="005E000F" w:rsidRDefault="00000000">
      <w:pPr>
        <w:pStyle w:val="4"/>
        <w:numPr>
          <w:ilvl w:val="0"/>
          <w:numId w:val="52"/>
        </w:numPr>
      </w:pPr>
      <w:r>
        <w:t>法人</w:t>
      </w:r>
    </w:p>
    <w:sdt>
      <w:sdtPr>
        <w:alias w:val="是否适用：法人_控股股东情况[双击切换]"/>
        <w:tag w:val="_GBC_eab2d7c8478645dbae996b49d203b0d9"/>
        <w:id w:val="691647202"/>
        <w:placeholder>
          <w:docPart w:val="GBC22222222222222222222222222222"/>
        </w:placeholder>
      </w:sdtPr>
      <w:sdtContent>
        <w:p w14:paraId="2F2DD12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3369"/>
        <w:gridCol w:w="5680"/>
      </w:tblGrid>
      <w:tr w:rsidR="005E000F" w14:paraId="522C4006" w14:textId="77777777">
        <w:trPr>
          <w:trHeight w:val="117"/>
        </w:trPr>
        <w:sdt>
          <w:sdtPr>
            <w:tag w:val="_PLD_e1d45d230e0e4c06bc451af63b51d4e2"/>
            <w:id w:val="-510981649"/>
          </w:sdtPr>
          <w:sdtContent>
            <w:tc>
              <w:tcPr>
                <w:tcW w:w="3369" w:type="dxa"/>
                <w:vAlign w:val="center"/>
              </w:tcPr>
              <w:p w14:paraId="0BBD9FFC" w14:textId="77777777" w:rsidR="005E000F" w:rsidRDefault="00000000">
                <w:r>
                  <w:rPr>
                    <w:rFonts w:hint="eastAsia"/>
                  </w:rPr>
                  <w:t>名称</w:t>
                </w:r>
              </w:p>
            </w:tc>
          </w:sdtContent>
        </w:sdt>
        <w:tc>
          <w:tcPr>
            <w:tcW w:w="5680" w:type="dxa"/>
            <w:vAlign w:val="center"/>
          </w:tcPr>
          <w:p w14:paraId="04AF3FB9" w14:textId="77777777" w:rsidR="005E000F" w:rsidRDefault="00000000">
            <w:r>
              <w:t>中国铁路太原</w:t>
            </w:r>
            <w:proofErr w:type="gramStart"/>
            <w:r>
              <w:t>局集团</w:t>
            </w:r>
            <w:proofErr w:type="gramEnd"/>
            <w:r>
              <w:t>有限公司</w:t>
            </w:r>
          </w:p>
        </w:tc>
      </w:tr>
      <w:tr w:rsidR="005E000F" w14:paraId="3F3B07A4" w14:textId="77777777">
        <w:trPr>
          <w:trHeight w:val="75"/>
        </w:trPr>
        <w:tc>
          <w:tcPr>
            <w:tcW w:w="3369" w:type="dxa"/>
            <w:vAlign w:val="center"/>
          </w:tcPr>
          <w:p w14:paraId="06A0F947" w14:textId="77777777" w:rsidR="005E000F" w:rsidRDefault="00000000">
            <w:r>
              <w:rPr>
                <w:rFonts w:hint="eastAsia"/>
              </w:rPr>
              <w:t>单位负责人或法定代表人</w:t>
            </w:r>
          </w:p>
        </w:tc>
        <w:tc>
          <w:tcPr>
            <w:tcW w:w="5680" w:type="dxa"/>
            <w:vAlign w:val="center"/>
          </w:tcPr>
          <w:p w14:paraId="6887DD20" w14:textId="77777777" w:rsidR="005E000F" w:rsidRDefault="00000000">
            <w:proofErr w:type="gramStart"/>
            <w:r>
              <w:t>陆勇</w:t>
            </w:r>
            <w:proofErr w:type="gramEnd"/>
          </w:p>
        </w:tc>
      </w:tr>
      <w:tr w:rsidR="005E000F" w14:paraId="10DF200F" w14:textId="77777777">
        <w:trPr>
          <w:trHeight w:val="225"/>
        </w:trPr>
        <w:tc>
          <w:tcPr>
            <w:tcW w:w="3369" w:type="dxa"/>
            <w:vAlign w:val="center"/>
          </w:tcPr>
          <w:p w14:paraId="56A0F173" w14:textId="77777777" w:rsidR="005E000F" w:rsidRDefault="00000000">
            <w:r>
              <w:rPr>
                <w:rFonts w:hint="eastAsia"/>
              </w:rPr>
              <w:t>成立日期</w:t>
            </w:r>
          </w:p>
        </w:tc>
        <w:tc>
          <w:tcPr>
            <w:tcW w:w="5680" w:type="dxa"/>
            <w:vAlign w:val="center"/>
          </w:tcPr>
          <w:p w14:paraId="775B9E91" w14:textId="77777777" w:rsidR="005E000F" w:rsidRDefault="00000000">
            <w:r>
              <w:t>2005</w:t>
            </w:r>
            <w:r>
              <w:t>年</w:t>
            </w:r>
            <w:r>
              <w:t>04</w:t>
            </w:r>
            <w:r>
              <w:t>月</w:t>
            </w:r>
            <w:r>
              <w:t>29</w:t>
            </w:r>
            <w:r>
              <w:t>日</w:t>
            </w:r>
          </w:p>
        </w:tc>
      </w:tr>
      <w:tr w:rsidR="005E000F" w14:paraId="7D6435C3" w14:textId="77777777">
        <w:trPr>
          <w:trHeight w:val="150"/>
        </w:trPr>
        <w:tc>
          <w:tcPr>
            <w:tcW w:w="3369" w:type="dxa"/>
            <w:vAlign w:val="center"/>
          </w:tcPr>
          <w:p w14:paraId="5ADD8AD5" w14:textId="77777777" w:rsidR="005E000F" w:rsidRDefault="00000000">
            <w:r>
              <w:rPr>
                <w:rFonts w:hint="eastAsia"/>
              </w:rPr>
              <w:t>主要经营业务</w:t>
            </w:r>
          </w:p>
        </w:tc>
        <w:tc>
          <w:tcPr>
            <w:tcW w:w="5680" w:type="dxa"/>
            <w:vAlign w:val="center"/>
          </w:tcPr>
          <w:p w14:paraId="0023EDBE" w14:textId="77777777" w:rsidR="005E000F" w:rsidRDefault="00000000">
            <w:r>
              <w:t>铁路客货运输及相关服务业务，铁路运输；铁路运输设备、设施、配件的制造、安装、销售、维修、租赁等</w:t>
            </w:r>
          </w:p>
        </w:tc>
      </w:tr>
      <w:tr w:rsidR="005E000F" w14:paraId="357CB3B1" w14:textId="77777777">
        <w:trPr>
          <w:trHeight w:val="132"/>
        </w:trPr>
        <w:tc>
          <w:tcPr>
            <w:tcW w:w="3369" w:type="dxa"/>
            <w:vAlign w:val="center"/>
          </w:tcPr>
          <w:p w14:paraId="086F6C56" w14:textId="77777777" w:rsidR="005E000F" w:rsidRDefault="00000000">
            <w:r>
              <w:rPr>
                <w:rFonts w:hint="eastAsia"/>
              </w:rPr>
              <w:t>报告期内控股和参股的其他境内外上市公司的股权情况</w:t>
            </w:r>
          </w:p>
        </w:tc>
        <w:tc>
          <w:tcPr>
            <w:tcW w:w="5680" w:type="dxa"/>
            <w:vAlign w:val="center"/>
          </w:tcPr>
          <w:p w14:paraId="359BCFB9" w14:textId="77777777" w:rsidR="005E000F" w:rsidRDefault="00000000">
            <w:r>
              <w:t>无</w:t>
            </w:r>
          </w:p>
        </w:tc>
      </w:tr>
      <w:tr w:rsidR="005E000F" w14:paraId="0031B829" w14:textId="77777777">
        <w:trPr>
          <w:trHeight w:val="147"/>
        </w:trPr>
        <w:tc>
          <w:tcPr>
            <w:tcW w:w="3369" w:type="dxa"/>
            <w:vAlign w:val="center"/>
          </w:tcPr>
          <w:p w14:paraId="0C064BB8" w14:textId="77777777" w:rsidR="005E000F" w:rsidRDefault="00000000">
            <w:r>
              <w:rPr>
                <w:rFonts w:hint="eastAsia"/>
              </w:rPr>
              <w:t>其他情况说明</w:t>
            </w:r>
          </w:p>
        </w:tc>
        <w:tc>
          <w:tcPr>
            <w:tcW w:w="5680" w:type="dxa"/>
            <w:vAlign w:val="center"/>
          </w:tcPr>
          <w:p w14:paraId="68939115" w14:textId="77777777" w:rsidR="005E000F" w:rsidRDefault="00000000">
            <w:r>
              <w:t>无</w:t>
            </w:r>
          </w:p>
        </w:tc>
      </w:tr>
    </w:tbl>
    <w:p w14:paraId="0E72B518" w14:textId="77777777" w:rsidR="005E000F" w:rsidRDefault="005E000F"/>
    <w:p w14:paraId="619A1609" w14:textId="77777777" w:rsidR="005E000F" w:rsidRDefault="00000000">
      <w:pPr>
        <w:pStyle w:val="4"/>
        <w:numPr>
          <w:ilvl w:val="0"/>
          <w:numId w:val="52"/>
        </w:numPr>
      </w:pPr>
      <w:r>
        <w:t>自然人</w:t>
      </w:r>
    </w:p>
    <w:sdt>
      <w:sdtPr>
        <w:alias w:val="是否适用：自然人_控股股东情况[双击切换]"/>
        <w:tag w:val="_GBC_050e33c59070475b9b048117126cc6ba"/>
        <w:id w:val="-2121903835"/>
        <w:placeholder>
          <w:docPart w:val="GBC22222222222222222222222222222"/>
        </w:placeholder>
      </w:sdtPr>
      <w:sdtContent>
        <w:p w14:paraId="6F4C47F1"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C70D173" w14:textId="77777777" w:rsidR="005E000F" w:rsidRDefault="00000000">
      <w:pPr>
        <w:pStyle w:val="4"/>
        <w:numPr>
          <w:ilvl w:val="0"/>
          <w:numId w:val="52"/>
        </w:numPr>
      </w:pPr>
      <w:r>
        <w:rPr>
          <w:rFonts w:hint="eastAsia"/>
        </w:rPr>
        <w:t>公司不存在控股股东情况的特别说明</w:t>
      </w:r>
    </w:p>
    <w:sdt>
      <w:sdtPr>
        <w:rPr>
          <w:rFonts w:hint="eastAsia"/>
        </w:rPr>
        <w:alias w:val="是否适用：公司不存在控股股东情况的特别说明[双击切换]"/>
        <w:tag w:val="_GBC_2c420ad8f9bd455b89ad3a0d10597af2"/>
        <w:id w:val="109630430"/>
        <w:placeholder>
          <w:docPart w:val="GBC22222222222222222222222222222"/>
        </w:placeholder>
      </w:sdtPr>
      <w:sdtContent>
        <w:p w14:paraId="6F200E01"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BC6256A" w14:textId="77777777" w:rsidR="005E000F" w:rsidRDefault="00000000">
      <w:pPr>
        <w:pStyle w:val="4"/>
        <w:numPr>
          <w:ilvl w:val="0"/>
          <w:numId w:val="52"/>
        </w:numPr>
      </w:pPr>
      <w:r>
        <w:rPr>
          <w:rFonts w:hint="eastAsia"/>
        </w:rPr>
        <w:t>报告期内控股股东变更情况的说明</w:t>
      </w:r>
    </w:p>
    <w:sdt>
      <w:sdtPr>
        <w:rPr>
          <w:rFonts w:hint="eastAsia"/>
        </w:rPr>
        <w:alias w:val="是否适用：报告期内控股股东变更情况的说明[双击切换]"/>
        <w:tag w:val="_GBC_ba32d923117643d78736fd77472e578b"/>
        <w:id w:val="123513830"/>
        <w:placeholder>
          <w:docPart w:val="GBC22222222222222222222222222222"/>
        </w:placeholder>
      </w:sdtPr>
      <w:sdtContent>
        <w:p w14:paraId="3B962076"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9681740" w14:textId="77777777" w:rsidR="005E000F" w:rsidRDefault="00000000">
      <w:pPr>
        <w:pStyle w:val="4"/>
        <w:numPr>
          <w:ilvl w:val="0"/>
          <w:numId w:val="52"/>
        </w:numPr>
      </w:pPr>
      <w:r>
        <w:rPr>
          <w:rFonts w:hint="eastAsia"/>
        </w:rPr>
        <w:t>公司与控股股东之间的产权及控制关系的方框图</w:t>
      </w:r>
    </w:p>
    <w:sdt>
      <w:sdtPr>
        <w:alias w:val="是否适用：公司与控股股东之间的产权及控制关系的方框图[双击切换]"/>
        <w:tag w:val="_GBC_aa1ed4124bd443219ac5782763143cd7"/>
        <w:id w:val="-2122212829"/>
        <w:placeholder>
          <w:docPart w:val="GBC22222222222222222222222222222"/>
        </w:placeholder>
      </w:sdtPr>
      <w:sdtContent>
        <w:p w14:paraId="7950B78E"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rPr>
          <w:rFonts w:hint="eastAsia"/>
        </w:rPr>
        <w:alias w:val="图片：公司与控股股东之间的产权及控制关系的方框图"/>
        <w:tag w:val="_GBC_237afe95a2de48a5baec021682951b46"/>
        <w:id w:val="-1726751049"/>
        <w:placeholder>
          <w:docPart w:val="GBC22222222222222222222222222222"/>
        </w:placeholder>
        <w:picture/>
      </w:sdtPr>
      <w:sdtContent>
        <w:p w14:paraId="289EC377" w14:textId="77777777" w:rsidR="005E000F" w:rsidRDefault="00000000">
          <w:r>
            <w:rPr>
              <w:rFonts w:hint="eastAsia"/>
              <w:noProof/>
            </w:rPr>
            <w:drawing>
              <wp:inline distT="0" distB="0" distL="0" distR="0" wp14:anchorId="5842E96D">
                <wp:extent cx="2657475" cy="227012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657519" cy="2270243"/>
                        </a:xfrm>
                        <a:prstGeom prst="rect">
                          <a:avLst/>
                        </a:prstGeom>
                        <a:noFill/>
                        <a:ln w="9525">
                          <a:noFill/>
                          <a:miter lim="800000"/>
                          <a:headEnd/>
                          <a:tailEnd/>
                        </a:ln>
                      </pic:spPr>
                    </pic:pic>
                  </a:graphicData>
                </a:graphic>
              </wp:inline>
            </w:drawing>
          </w:r>
        </w:p>
      </w:sdtContent>
    </w:sdt>
    <w:p w14:paraId="6DBD6FE3" w14:textId="77777777" w:rsidR="005E000F" w:rsidRDefault="005E000F"/>
    <w:p w14:paraId="177A587F" w14:textId="77777777" w:rsidR="005E000F" w:rsidRDefault="00000000">
      <w:pPr>
        <w:pStyle w:val="3"/>
        <w:numPr>
          <w:ilvl w:val="0"/>
          <w:numId w:val="51"/>
        </w:numPr>
      </w:pPr>
      <w:r>
        <w:rPr>
          <w:rFonts w:hint="eastAsia"/>
        </w:rPr>
        <w:t>实际控制人情况</w:t>
      </w:r>
    </w:p>
    <w:p w14:paraId="4BA1AB85" w14:textId="77777777" w:rsidR="005E000F" w:rsidRDefault="00000000">
      <w:pPr>
        <w:pStyle w:val="4"/>
        <w:numPr>
          <w:ilvl w:val="0"/>
          <w:numId w:val="53"/>
        </w:numPr>
      </w:pPr>
      <w:r>
        <w:rPr>
          <w:rFonts w:hint="eastAsia"/>
        </w:rPr>
        <w:t>法人</w:t>
      </w:r>
    </w:p>
    <w:sdt>
      <w:sdtPr>
        <w:alias w:val="是否适用：法人_实际控制人情况[双击切换]"/>
        <w:tag w:val="_GBC_6cb3195cd6c545489bd6151d0ee57d58"/>
        <w:id w:val="-1164309024"/>
        <w:placeholder>
          <w:docPart w:val="GBC22222222222222222222222222222"/>
        </w:placeholder>
      </w:sdtPr>
      <w:sdtContent>
        <w:p w14:paraId="143DEDA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Style w:val="aff2"/>
        <w:tblW w:w="0" w:type="auto"/>
        <w:tblLayout w:type="fixed"/>
        <w:tblLook w:val="04A0" w:firstRow="1" w:lastRow="0" w:firstColumn="1" w:lastColumn="0" w:noHBand="0" w:noVBand="1"/>
      </w:tblPr>
      <w:tblGrid>
        <w:gridCol w:w="3404"/>
        <w:gridCol w:w="5644"/>
      </w:tblGrid>
      <w:tr w:rsidR="005E000F" w14:paraId="1CE14106" w14:textId="77777777">
        <w:trPr>
          <w:trHeight w:val="90"/>
        </w:trPr>
        <w:sdt>
          <w:sdtPr>
            <w:tag w:val="_PLD_9fd7942883b74d698fa4ca37d86c3d17"/>
            <w:id w:val="-2023234308"/>
          </w:sdtPr>
          <w:sdtContent>
            <w:tc>
              <w:tcPr>
                <w:tcW w:w="3404" w:type="dxa"/>
                <w:vAlign w:val="center"/>
              </w:tcPr>
              <w:p w14:paraId="26D3CFF4" w14:textId="77777777" w:rsidR="005E000F" w:rsidRDefault="00000000">
                <w:r>
                  <w:t>名称</w:t>
                </w:r>
              </w:p>
            </w:tc>
          </w:sdtContent>
        </w:sdt>
        <w:tc>
          <w:tcPr>
            <w:tcW w:w="5644" w:type="dxa"/>
            <w:vAlign w:val="center"/>
          </w:tcPr>
          <w:p w14:paraId="26DD8FC5" w14:textId="77777777" w:rsidR="005E000F" w:rsidRDefault="00000000">
            <w:r>
              <w:t>中国国家铁路集团有限公司</w:t>
            </w:r>
          </w:p>
        </w:tc>
      </w:tr>
      <w:tr w:rsidR="005E000F" w14:paraId="3D846897" w14:textId="77777777">
        <w:trPr>
          <w:trHeight w:val="195"/>
        </w:trPr>
        <w:tc>
          <w:tcPr>
            <w:tcW w:w="3404" w:type="dxa"/>
            <w:vAlign w:val="center"/>
          </w:tcPr>
          <w:p w14:paraId="08884F76" w14:textId="77777777" w:rsidR="005E000F" w:rsidRDefault="00000000">
            <w:r>
              <w:t>单位负责人或法定代表人</w:t>
            </w:r>
          </w:p>
        </w:tc>
        <w:tc>
          <w:tcPr>
            <w:tcW w:w="5644" w:type="dxa"/>
            <w:vAlign w:val="center"/>
          </w:tcPr>
          <w:p w14:paraId="705D11E5" w14:textId="77777777" w:rsidR="005E000F" w:rsidRDefault="00000000">
            <w:r>
              <w:t>郭竹学</w:t>
            </w:r>
          </w:p>
        </w:tc>
      </w:tr>
      <w:tr w:rsidR="005E000F" w14:paraId="36027092" w14:textId="77777777">
        <w:trPr>
          <w:trHeight w:val="102"/>
        </w:trPr>
        <w:tc>
          <w:tcPr>
            <w:tcW w:w="3404" w:type="dxa"/>
            <w:vAlign w:val="center"/>
          </w:tcPr>
          <w:p w14:paraId="1BAD4000" w14:textId="77777777" w:rsidR="005E000F" w:rsidRDefault="00000000">
            <w:r>
              <w:t>成立日期</w:t>
            </w:r>
          </w:p>
        </w:tc>
        <w:tc>
          <w:tcPr>
            <w:tcW w:w="5644" w:type="dxa"/>
            <w:vAlign w:val="center"/>
          </w:tcPr>
          <w:p w14:paraId="607CFCFD" w14:textId="77777777" w:rsidR="005E000F" w:rsidRDefault="00000000">
            <w:r>
              <w:t>2013</w:t>
            </w:r>
            <w:r>
              <w:t>年</w:t>
            </w:r>
            <w:r>
              <w:t>03</w:t>
            </w:r>
            <w:r>
              <w:t>月</w:t>
            </w:r>
            <w:r>
              <w:t>14</w:t>
            </w:r>
            <w:r>
              <w:t>日</w:t>
            </w:r>
          </w:p>
        </w:tc>
      </w:tr>
      <w:tr w:rsidR="005E000F" w14:paraId="1258032A" w14:textId="77777777">
        <w:trPr>
          <w:trHeight w:val="165"/>
        </w:trPr>
        <w:tc>
          <w:tcPr>
            <w:tcW w:w="3404" w:type="dxa"/>
            <w:vAlign w:val="center"/>
          </w:tcPr>
          <w:p w14:paraId="16A551C8" w14:textId="77777777" w:rsidR="005E000F" w:rsidRDefault="00000000">
            <w:r>
              <w:lastRenderedPageBreak/>
              <w:t>主要经营业务</w:t>
            </w:r>
          </w:p>
        </w:tc>
        <w:tc>
          <w:tcPr>
            <w:tcW w:w="5644" w:type="dxa"/>
            <w:vAlign w:val="center"/>
          </w:tcPr>
          <w:p w14:paraId="5F3F16BC" w14:textId="77777777" w:rsidR="005E000F" w:rsidRDefault="00000000">
            <w:r>
              <w:t>铁路客货运输等</w:t>
            </w:r>
          </w:p>
        </w:tc>
      </w:tr>
      <w:tr w:rsidR="005E000F" w14:paraId="571995A6" w14:textId="77777777">
        <w:trPr>
          <w:trHeight w:val="150"/>
        </w:trPr>
        <w:tc>
          <w:tcPr>
            <w:tcW w:w="3404" w:type="dxa"/>
            <w:vAlign w:val="center"/>
          </w:tcPr>
          <w:p w14:paraId="557E2611" w14:textId="77777777" w:rsidR="005E000F" w:rsidRDefault="00000000">
            <w:r>
              <w:t>报告期内控股和参股的其他境内外上市公司的股权情况</w:t>
            </w:r>
          </w:p>
        </w:tc>
        <w:tc>
          <w:tcPr>
            <w:tcW w:w="5644" w:type="dxa"/>
            <w:vAlign w:val="center"/>
          </w:tcPr>
          <w:p w14:paraId="638742C6" w14:textId="77777777" w:rsidR="005E000F" w:rsidRDefault="00000000">
            <w:r>
              <w:t>中国国家铁路集团有限公司是广深铁路（股票代码：</w:t>
            </w:r>
            <w:r>
              <w:t>601333</w:t>
            </w:r>
            <w:r>
              <w:t>；</w:t>
            </w:r>
            <w:r>
              <w:t>HK0525</w:t>
            </w:r>
            <w:r>
              <w:t>）、铁龙物流（股票代码：</w:t>
            </w:r>
            <w:r>
              <w:t>600125</w:t>
            </w:r>
            <w:r>
              <w:t>）、京沪高铁（股票代码：</w:t>
            </w:r>
            <w:r>
              <w:t>601816</w:t>
            </w:r>
            <w:r>
              <w:t>）、铁科轨道（股票代码：</w:t>
            </w:r>
            <w:r>
              <w:t>688569</w:t>
            </w:r>
            <w:r>
              <w:t>）、中铁</w:t>
            </w:r>
            <w:proofErr w:type="gramStart"/>
            <w:r>
              <w:t>特</w:t>
            </w:r>
            <w:proofErr w:type="gramEnd"/>
            <w:r>
              <w:t>货（股票代码：</w:t>
            </w:r>
            <w:r>
              <w:t>001213</w:t>
            </w:r>
            <w:r>
              <w:t>）、金鹰重工（股票代码：</w:t>
            </w:r>
            <w:r>
              <w:t>301048</w:t>
            </w:r>
            <w:r>
              <w:t>）、哈铁科技（股票代码：</w:t>
            </w:r>
            <w:r>
              <w:t>688459</w:t>
            </w:r>
            <w:r>
              <w:t>）的实际控制人。</w:t>
            </w:r>
          </w:p>
        </w:tc>
      </w:tr>
      <w:tr w:rsidR="005E000F" w14:paraId="43E91DA8" w14:textId="77777777">
        <w:trPr>
          <w:trHeight w:val="120"/>
        </w:trPr>
        <w:tc>
          <w:tcPr>
            <w:tcW w:w="3404" w:type="dxa"/>
            <w:vAlign w:val="center"/>
          </w:tcPr>
          <w:p w14:paraId="0B8ED47B" w14:textId="77777777" w:rsidR="005E000F" w:rsidRDefault="00000000">
            <w:r>
              <w:rPr>
                <w:rFonts w:hint="eastAsia"/>
              </w:rPr>
              <w:t>其他情况说明</w:t>
            </w:r>
          </w:p>
        </w:tc>
        <w:tc>
          <w:tcPr>
            <w:tcW w:w="5644" w:type="dxa"/>
            <w:vAlign w:val="center"/>
          </w:tcPr>
          <w:p w14:paraId="017A17A1" w14:textId="77777777" w:rsidR="005E000F" w:rsidRDefault="00000000">
            <w:r>
              <w:t>无</w:t>
            </w:r>
          </w:p>
        </w:tc>
      </w:tr>
    </w:tbl>
    <w:p w14:paraId="61238947" w14:textId="77777777" w:rsidR="005E000F" w:rsidRDefault="005E000F"/>
    <w:p w14:paraId="2B564688" w14:textId="77777777" w:rsidR="005E000F" w:rsidRDefault="00000000">
      <w:pPr>
        <w:pStyle w:val="4"/>
        <w:numPr>
          <w:ilvl w:val="0"/>
          <w:numId w:val="53"/>
        </w:numPr>
      </w:pPr>
      <w:r>
        <w:rPr>
          <w:rFonts w:hint="eastAsia"/>
        </w:rPr>
        <w:t>自然人</w:t>
      </w:r>
    </w:p>
    <w:sdt>
      <w:sdtPr>
        <w:alias w:val="是否适用：自然人_实际控制人情况[双击切换]"/>
        <w:tag w:val="_GBC_359229fa8cca4506ac3cec3de8b5e99b"/>
        <w:id w:val="-1085525005"/>
        <w:placeholder>
          <w:docPart w:val="GBC22222222222222222222222222222"/>
        </w:placeholder>
      </w:sdtPr>
      <w:sdtContent>
        <w:p w14:paraId="27DC8BCD"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2EBFA62" w14:textId="77777777" w:rsidR="005E000F" w:rsidRDefault="00000000">
      <w:pPr>
        <w:pStyle w:val="4"/>
        <w:numPr>
          <w:ilvl w:val="0"/>
          <w:numId w:val="53"/>
        </w:numPr>
      </w:pPr>
      <w:r>
        <w:t>公司不存在实际控制人情况的特别说明</w:t>
      </w:r>
    </w:p>
    <w:sdt>
      <w:sdtPr>
        <w:rPr>
          <w:rFonts w:hint="eastAsia"/>
        </w:rPr>
        <w:alias w:val="是否适用：公司不存在实际控制人情况的特别说明[双击切换]"/>
        <w:tag w:val="_GBC_7380ff5e0fc6471583dc22db2252e039"/>
        <w:id w:val="-641891860"/>
        <w:placeholder>
          <w:docPart w:val="GBC22222222222222222222222222222"/>
        </w:placeholder>
      </w:sdtPr>
      <w:sdtContent>
        <w:p w14:paraId="41F1634F"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47BA224" w14:textId="77777777" w:rsidR="005E000F" w:rsidRDefault="00000000">
      <w:pPr>
        <w:pStyle w:val="4"/>
        <w:numPr>
          <w:ilvl w:val="0"/>
          <w:numId w:val="53"/>
        </w:numPr>
      </w:pPr>
      <w:r>
        <w:t>报告期内</w:t>
      </w:r>
      <w:r>
        <w:rPr>
          <w:rFonts w:hint="eastAsia"/>
        </w:rPr>
        <w:t>公司</w:t>
      </w:r>
      <w:r>
        <w:t>控制</w:t>
      </w:r>
      <w:r>
        <w:rPr>
          <w:rFonts w:hint="eastAsia"/>
        </w:rPr>
        <w:t>权发生</w:t>
      </w:r>
      <w:r>
        <w:t>变更</w:t>
      </w:r>
      <w:r>
        <w:rPr>
          <w:rFonts w:hint="eastAsia"/>
        </w:rPr>
        <w:t>的情况说明</w:t>
      </w:r>
    </w:p>
    <w:sdt>
      <w:sdtPr>
        <w:rPr>
          <w:rFonts w:hint="eastAsia"/>
        </w:rPr>
        <w:alias w:val="是否适用：报告期内公司控制权发生变更的情况说明 [双击切换]"/>
        <w:tag w:val="_GBC_f12f62e5c67e473692b22389cda35aaa"/>
        <w:id w:val="1973485587"/>
        <w:placeholder>
          <w:docPart w:val="GBC22222222222222222222222222222"/>
        </w:placeholder>
      </w:sdtPr>
      <w:sdtContent>
        <w:p w14:paraId="7608341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3C43219" w14:textId="77777777" w:rsidR="005E000F" w:rsidRDefault="00000000">
      <w:pPr>
        <w:pStyle w:val="4"/>
        <w:numPr>
          <w:ilvl w:val="0"/>
          <w:numId w:val="53"/>
        </w:numPr>
      </w:pPr>
      <w:r>
        <w:t>公司与实际控制人之间的产权及控制关系的方框图</w:t>
      </w:r>
    </w:p>
    <w:sdt>
      <w:sdtPr>
        <w:alias w:val="是否适用：公司与实际控制人之间的产权及控制关系的方框图[双击切换]"/>
        <w:tag w:val="_GBC_8ddc5ba6a04141dc94582029460f81bd"/>
        <w:id w:val="-127246469"/>
        <w:placeholder>
          <w:docPart w:val="GBC22222222222222222222222222222"/>
        </w:placeholder>
      </w:sdtPr>
      <w:sdtContent>
        <w:p w14:paraId="08C2C2C6"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2B6E9AA" w14:textId="77777777" w:rsidR="005E000F" w:rsidRDefault="00000000">
      <w:sdt>
        <w:sdtPr>
          <w:rPr>
            <w:rFonts w:hint="eastAsia"/>
          </w:rPr>
          <w:alias w:val="图片：公司与实际控制人之间的产权及控制关系的方框图"/>
          <w:tag w:val="_GBC_538f0b25ae684717a3c8362262a5a004"/>
          <w:id w:val="1215702556"/>
          <w:placeholder>
            <w:docPart w:val="GBC22222222222222222222222222222"/>
          </w:placeholder>
          <w:picture/>
        </w:sdtPr>
        <w:sdtContent>
          <w:r>
            <w:rPr>
              <w:rFonts w:hint="eastAsia"/>
              <w:noProof/>
            </w:rPr>
            <w:drawing>
              <wp:inline distT="0" distB="0" distL="0" distR="0" wp14:anchorId="1A01D2F1">
                <wp:extent cx="3476625" cy="332232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6"/>
                        <a:stretch>
                          <a:fillRect/>
                        </a:stretch>
                      </pic:blipFill>
                      <pic:spPr>
                        <a:xfrm>
                          <a:off x="0" y="0"/>
                          <a:ext cx="3480678" cy="3326585"/>
                        </a:xfrm>
                        <a:prstGeom prst="rect">
                          <a:avLst/>
                        </a:prstGeom>
                        <a:noFill/>
                        <a:ln>
                          <a:noFill/>
                        </a:ln>
                      </pic:spPr>
                    </pic:pic>
                  </a:graphicData>
                </a:graphic>
              </wp:inline>
            </w:drawing>
          </w:r>
        </w:sdtContent>
      </w:sdt>
    </w:p>
    <w:p w14:paraId="2E2F0064" w14:textId="77777777" w:rsidR="005E000F" w:rsidRDefault="00000000">
      <w:pPr>
        <w:pStyle w:val="4"/>
        <w:numPr>
          <w:ilvl w:val="0"/>
          <w:numId w:val="53"/>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1646625215"/>
        <w:placeholder>
          <w:docPart w:val="GBC22222222222222222222222222222"/>
        </w:placeholder>
      </w:sdtPr>
      <w:sdtContent>
        <w:p w14:paraId="5C2EC9C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A00B6A3" w14:textId="77777777" w:rsidR="005E000F" w:rsidRDefault="00000000">
      <w:pPr>
        <w:pStyle w:val="3"/>
        <w:numPr>
          <w:ilvl w:val="0"/>
          <w:numId w:val="51"/>
        </w:numPr>
      </w:pPr>
      <w:r>
        <w:t>控股股东及实际控制人其他情况介绍</w:t>
      </w:r>
    </w:p>
    <w:sdt>
      <w:sdtPr>
        <w:rPr>
          <w:rFonts w:hint="eastAsia"/>
        </w:rPr>
        <w:alias w:val="是否适用：控股股东及实际控制人其他情况介绍[双击切换]"/>
        <w:tag w:val="_GBC_f45ea2fa04e04b71a116fba6ba3bff32"/>
        <w:id w:val="2094813019"/>
        <w:placeholder>
          <w:docPart w:val="GBC22222222222222222222222222222"/>
        </w:placeholder>
      </w:sdtPr>
      <w:sdtContent>
        <w:p w14:paraId="586B33A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3AA50FC" w14:textId="77777777" w:rsidR="005E000F" w:rsidRDefault="00000000">
      <w:pPr>
        <w:pStyle w:val="2"/>
        <w:numPr>
          <w:ilvl w:val="0"/>
          <w:numId w:val="46"/>
        </w:numPr>
        <w:ind w:left="0" w:firstLine="0"/>
      </w:pPr>
      <w:bookmarkStart w:id="207" w:name="_Hlk89353035"/>
      <w:r>
        <w:t>公司控股股东或第一大股东及其一致行动人累计质押股份数量占其所持公司股份数量比例达到</w:t>
      </w:r>
      <w:r>
        <w:t>80%</w:t>
      </w:r>
      <w:r>
        <w:t>以上</w:t>
      </w:r>
    </w:p>
    <w:sdt>
      <w:sdtPr>
        <w:rPr>
          <w:rFonts w:hint="eastAsia"/>
        </w:rPr>
        <w:alias w:val="是否适用：公司控股股东或第一大股东及其一致行动人累计质押股份数量情况明细[双击切换]"/>
        <w:tag w:val="_GBC_f07bbd5a46a94903bbea3fbbdc7b769f"/>
        <w:id w:val="1642305648"/>
        <w:placeholder>
          <w:docPart w:val="GBC22222222222222222222222222222"/>
        </w:placeholder>
      </w:sdtPr>
      <w:sdtContent>
        <w:p w14:paraId="57F1A4E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07"/>
    <w:p w14:paraId="6C50AF40" w14:textId="77777777" w:rsidR="005E000F" w:rsidRDefault="00000000">
      <w:pPr>
        <w:pStyle w:val="2"/>
        <w:numPr>
          <w:ilvl w:val="0"/>
          <w:numId w:val="46"/>
        </w:numPr>
      </w:pPr>
      <w:r>
        <w:rPr>
          <w:rFonts w:hint="eastAsia"/>
        </w:rPr>
        <w:t>其他持股在百分之十以上的法人股东</w:t>
      </w:r>
    </w:p>
    <w:sdt>
      <w:sdtPr>
        <w:alias w:val="是否适用：其他持股在百分之十以上的法人股东[双击切换]"/>
        <w:tag w:val="_GBC_7c5d05f2d72d4d3c9ef6e9b93777b39f"/>
        <w:id w:val="1473335733"/>
        <w:placeholder>
          <w:docPart w:val="GBC22222222222222222222222222222"/>
        </w:placeholder>
      </w:sdtPr>
      <w:sdtContent>
        <w:p w14:paraId="6E6008F5"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5448F9E" w14:textId="77777777" w:rsidR="005E000F" w:rsidRDefault="00000000">
      <w:pPr>
        <w:pStyle w:val="2"/>
        <w:numPr>
          <w:ilvl w:val="0"/>
          <w:numId w:val="46"/>
        </w:numPr>
      </w:pPr>
      <w:r>
        <w:rPr>
          <w:rFonts w:hint="eastAsia"/>
        </w:rPr>
        <w:lastRenderedPageBreak/>
        <w:t>股份限制减</w:t>
      </w:r>
      <w:proofErr w:type="gramStart"/>
      <w:r>
        <w:rPr>
          <w:rFonts w:hint="eastAsia"/>
        </w:rPr>
        <w:t>持情况</w:t>
      </w:r>
      <w:proofErr w:type="gramEnd"/>
      <w:r>
        <w:rPr>
          <w:rFonts w:hint="eastAsia"/>
        </w:rPr>
        <w:t>说明</w:t>
      </w:r>
    </w:p>
    <w:p w14:paraId="6246A0E6" w14:textId="77777777" w:rsidR="005E000F" w:rsidRDefault="00000000">
      <w:sdt>
        <w:sdtPr>
          <w:rPr>
            <w:rFonts w:hint="eastAsia"/>
          </w:rPr>
          <w:alias w:val="是否适用：股份限制减持情况说明[双击切换]"/>
          <w:tag w:val="_GBC_38db60098ddc4e12bffd328b521e0c35"/>
          <w:id w:val="-1814550818"/>
          <w:placeholder>
            <w:docPart w:val="GBC22222222222222222222222222222"/>
          </w:placeholder>
        </w:sdtPr>
        <w:sdtEndPr>
          <w:rPr>
            <w:rFonts w:hint="default"/>
          </w:rPr>
        </w:sdtEndPr>
        <w:sdtContent>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4A97852D" w14:textId="77777777" w:rsidR="005E000F" w:rsidRDefault="00000000">
      <w:pPr>
        <w:pStyle w:val="2"/>
        <w:numPr>
          <w:ilvl w:val="0"/>
          <w:numId w:val="46"/>
        </w:numPr>
      </w:pPr>
      <w:bookmarkStart w:id="208" w:name="_Hlk89353439"/>
      <w:bookmarkStart w:id="209" w:name="_Hlk90042255"/>
      <w:r>
        <w:rPr>
          <w:rFonts w:hint="eastAsia"/>
        </w:rPr>
        <w:t>股份回购在报告期的具体实施情况</w:t>
      </w:r>
    </w:p>
    <w:sdt>
      <w:sdtPr>
        <w:rPr>
          <w:rFonts w:hint="eastAsia"/>
        </w:rPr>
        <w:alias w:val="是否适用：股份回购在报告期的具体实施情况[双击切换]"/>
        <w:tag w:val="_GBC_382f884c74d74cfd9a74c18c52645b0e"/>
        <w:id w:val="250325937"/>
        <w:placeholder>
          <w:docPart w:val="GBC22222222222222222222222222222"/>
        </w:placeholder>
      </w:sdtPr>
      <w:sdtContent>
        <w:p w14:paraId="31DCDF39"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16C5950" w14:textId="77777777" w:rsidR="005E000F" w:rsidRDefault="00000000">
      <w:pPr>
        <w:jc w:val="right"/>
      </w:pPr>
      <w:r>
        <w:rPr>
          <w:rFonts w:hint="eastAsia"/>
        </w:rPr>
        <w:t>单位：</w:t>
      </w:r>
      <w:sdt>
        <w:sdtPr>
          <w:rPr>
            <w:rFonts w:hint="eastAsia"/>
          </w:rPr>
          <w:alias w:val="单位：股份回购在报告期的具体实施情况"/>
          <w:tag w:val="_GBC_21792546ad004ee39a278a585bed9af7"/>
          <w:id w:val="37914140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亿元</w:t>
          </w:r>
        </w:sdtContent>
      </w:sdt>
      <w:r>
        <w:rPr>
          <w:rFonts w:hint="eastAsia"/>
        </w:rPr>
        <w:t xml:space="preserve">  </w:t>
      </w:r>
      <w:r>
        <w:rPr>
          <w:rFonts w:hint="eastAsia"/>
        </w:rPr>
        <w:t>币种：</w:t>
      </w:r>
      <w:sdt>
        <w:sdtPr>
          <w:rPr>
            <w:rFonts w:hint="eastAsia"/>
          </w:rPr>
          <w:alias w:val="币种：股份回购在报告期的具体实施情况"/>
          <w:tag w:val="_GBC_d28ce55fd5d44a2a8978fe14c4fed7a0"/>
          <w:id w:val="8341885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5679"/>
      </w:tblGrid>
      <w:tr w:rsidR="005E000F" w14:paraId="03F12650" w14:textId="77777777">
        <w:trPr>
          <w:trHeight w:val="102"/>
        </w:trPr>
        <w:sdt>
          <w:sdtPr>
            <w:tag w:val="_PLD_b8991132154646319b355a22c4f93ad1"/>
            <w:id w:val="399872280"/>
          </w:sdtPr>
          <w:sdtContent>
            <w:tc>
              <w:tcPr>
                <w:tcW w:w="3369" w:type="dxa"/>
                <w:vAlign w:val="center"/>
              </w:tcPr>
              <w:p w14:paraId="34AB101B" w14:textId="77777777" w:rsidR="005E000F" w:rsidRDefault="00000000">
                <w:pPr>
                  <w:widowControl w:val="0"/>
                  <w:jc w:val="both"/>
                </w:pPr>
                <w:r>
                  <w:rPr>
                    <w:rFonts w:hint="eastAsia"/>
                  </w:rPr>
                  <w:t>回购股</w:t>
                </w:r>
                <w:proofErr w:type="gramStart"/>
                <w:r>
                  <w:rPr>
                    <w:rFonts w:hint="eastAsia"/>
                  </w:rPr>
                  <w:t>份方案</w:t>
                </w:r>
                <w:proofErr w:type="gramEnd"/>
                <w:r>
                  <w:rPr>
                    <w:rFonts w:hint="eastAsia"/>
                  </w:rPr>
                  <w:t>名称</w:t>
                </w:r>
              </w:p>
            </w:tc>
          </w:sdtContent>
        </w:sdt>
        <w:sdt>
          <w:sdtPr>
            <w:alias w:val="回购股份方案名称"/>
            <w:tag w:val="_GBC_4613feedd9fa4680b4c5e8a18b0d9a89"/>
            <w:id w:val="-1608572338"/>
          </w:sdtPr>
          <w:sdtContent>
            <w:tc>
              <w:tcPr>
                <w:tcW w:w="5679" w:type="dxa"/>
                <w:vAlign w:val="center"/>
              </w:tcPr>
              <w:p w14:paraId="21959E93" w14:textId="77777777" w:rsidR="005E000F" w:rsidRDefault="00000000">
                <w:pPr>
                  <w:widowControl w:val="0"/>
                  <w:jc w:val="both"/>
                </w:pPr>
                <w:r>
                  <w:rPr>
                    <w:rFonts w:hint="eastAsia"/>
                  </w:rPr>
                  <w:t>大秦铁路</w:t>
                </w:r>
                <w:r>
                  <w:t>关于以集中竞价方式回购公司股份</w:t>
                </w:r>
                <w:r>
                  <w:rPr>
                    <w:rFonts w:hint="eastAsia"/>
                  </w:rPr>
                  <w:t>的</w:t>
                </w:r>
                <w:r>
                  <w:t>方案</w:t>
                </w:r>
              </w:p>
            </w:tc>
          </w:sdtContent>
        </w:sdt>
      </w:tr>
      <w:tr w:rsidR="005E000F" w14:paraId="20225EA9" w14:textId="77777777">
        <w:trPr>
          <w:trHeight w:val="102"/>
        </w:trPr>
        <w:tc>
          <w:tcPr>
            <w:tcW w:w="3369" w:type="dxa"/>
            <w:vAlign w:val="center"/>
          </w:tcPr>
          <w:p w14:paraId="55579008" w14:textId="77777777" w:rsidR="005E000F" w:rsidRDefault="00000000">
            <w:pPr>
              <w:widowControl w:val="0"/>
              <w:jc w:val="both"/>
            </w:pPr>
            <w:r>
              <w:rPr>
                <w:rFonts w:hint="eastAsia"/>
              </w:rPr>
              <w:t>回购股</w:t>
            </w:r>
            <w:proofErr w:type="gramStart"/>
            <w:r>
              <w:rPr>
                <w:rFonts w:hint="eastAsia"/>
              </w:rPr>
              <w:t>份方案</w:t>
            </w:r>
            <w:proofErr w:type="gramEnd"/>
            <w:r>
              <w:rPr>
                <w:rFonts w:hint="eastAsia"/>
              </w:rPr>
              <w:t>披露时间</w:t>
            </w:r>
          </w:p>
        </w:tc>
        <w:tc>
          <w:tcPr>
            <w:tcW w:w="5679" w:type="dxa"/>
            <w:vAlign w:val="center"/>
          </w:tcPr>
          <w:p w14:paraId="1B3D779C" w14:textId="77777777" w:rsidR="005E000F" w:rsidRDefault="00000000">
            <w:pPr>
              <w:widowControl w:val="0"/>
              <w:jc w:val="both"/>
            </w:pPr>
            <w:r>
              <w:rPr>
                <w:rFonts w:hint="eastAsia"/>
              </w:rPr>
              <w:t>2025</w:t>
            </w:r>
            <w:r>
              <w:rPr>
                <w:rFonts w:hint="eastAsia"/>
              </w:rPr>
              <w:t>年</w:t>
            </w:r>
            <w:r>
              <w:rPr>
                <w:rFonts w:hint="eastAsia"/>
              </w:rPr>
              <w:t>8</w:t>
            </w:r>
            <w:r>
              <w:rPr>
                <w:rFonts w:hint="eastAsia"/>
              </w:rPr>
              <w:t>月</w:t>
            </w:r>
            <w:r>
              <w:rPr>
                <w:rFonts w:hint="eastAsia"/>
              </w:rPr>
              <w:t>29</w:t>
            </w:r>
            <w:r>
              <w:rPr>
                <w:rFonts w:hint="eastAsia"/>
              </w:rPr>
              <w:t>日</w:t>
            </w:r>
          </w:p>
        </w:tc>
      </w:tr>
      <w:tr w:rsidR="005E000F" w14:paraId="73B55150" w14:textId="77777777">
        <w:trPr>
          <w:trHeight w:val="102"/>
        </w:trPr>
        <w:tc>
          <w:tcPr>
            <w:tcW w:w="3369" w:type="dxa"/>
            <w:tcBorders>
              <w:top w:val="single" w:sz="4" w:space="0" w:color="auto"/>
              <w:left w:val="single" w:sz="4" w:space="0" w:color="auto"/>
              <w:bottom w:val="single" w:sz="4" w:space="0" w:color="auto"/>
              <w:right w:val="single" w:sz="4" w:space="0" w:color="auto"/>
            </w:tcBorders>
            <w:vAlign w:val="center"/>
          </w:tcPr>
          <w:p w14:paraId="61963BB4" w14:textId="77777777" w:rsidR="005E000F" w:rsidRDefault="00000000">
            <w:pPr>
              <w:widowControl w:val="0"/>
              <w:jc w:val="both"/>
            </w:pPr>
            <w:proofErr w:type="gramStart"/>
            <w:r>
              <w:rPr>
                <w:rFonts w:hint="eastAsia"/>
              </w:rPr>
              <w:t>拟回购股</w:t>
            </w:r>
            <w:proofErr w:type="gramEnd"/>
            <w:r>
              <w:rPr>
                <w:rFonts w:hint="eastAsia"/>
              </w:rPr>
              <w:t>份数量及占总股本的比例（</w:t>
            </w:r>
            <w:r>
              <w:rPr>
                <w:rFonts w:hint="eastAsia"/>
              </w:rPr>
              <w:t>%</w:t>
            </w:r>
            <w:r>
              <w:rPr>
                <w:rFonts w:hint="eastAsia"/>
              </w:rPr>
              <w:t>）</w:t>
            </w:r>
          </w:p>
        </w:tc>
        <w:tc>
          <w:tcPr>
            <w:tcW w:w="5679" w:type="dxa"/>
            <w:tcBorders>
              <w:top w:val="single" w:sz="4" w:space="0" w:color="auto"/>
              <w:left w:val="single" w:sz="4" w:space="0" w:color="auto"/>
              <w:bottom w:val="single" w:sz="4" w:space="0" w:color="auto"/>
              <w:right w:val="single" w:sz="4" w:space="0" w:color="auto"/>
            </w:tcBorders>
            <w:vAlign w:val="center"/>
          </w:tcPr>
          <w:p w14:paraId="5B7D5F13" w14:textId="77777777" w:rsidR="005E000F" w:rsidRDefault="00000000">
            <w:pPr>
              <w:widowControl w:val="0"/>
            </w:pPr>
            <w:r>
              <w:t>122,100,122</w:t>
            </w:r>
            <w:r>
              <w:t>股</w:t>
            </w:r>
            <w:r>
              <w:t>—183,150,183</w:t>
            </w:r>
            <w:r>
              <w:t>股，</w:t>
            </w:r>
            <w:r>
              <w:t>0.61</w:t>
            </w:r>
            <w:r>
              <w:rPr>
                <w:rFonts w:hint="eastAsia"/>
              </w:rPr>
              <w:t>%</w:t>
            </w:r>
            <w:r>
              <w:t>~0.91</w:t>
            </w:r>
            <w:r>
              <w:rPr>
                <w:rFonts w:hint="eastAsia"/>
              </w:rPr>
              <w:t>%</w:t>
            </w:r>
          </w:p>
        </w:tc>
      </w:tr>
      <w:tr w:rsidR="005E000F" w14:paraId="1C06C2AC" w14:textId="77777777">
        <w:trPr>
          <w:trHeight w:val="102"/>
        </w:trPr>
        <w:tc>
          <w:tcPr>
            <w:tcW w:w="3369" w:type="dxa"/>
            <w:tcBorders>
              <w:top w:val="single" w:sz="4" w:space="0" w:color="auto"/>
              <w:left w:val="single" w:sz="4" w:space="0" w:color="auto"/>
              <w:bottom w:val="single" w:sz="4" w:space="0" w:color="auto"/>
              <w:right w:val="single" w:sz="4" w:space="0" w:color="auto"/>
            </w:tcBorders>
            <w:vAlign w:val="center"/>
          </w:tcPr>
          <w:p w14:paraId="0DFD5C1B" w14:textId="77777777" w:rsidR="005E000F" w:rsidRDefault="00000000">
            <w:pPr>
              <w:widowControl w:val="0"/>
              <w:jc w:val="both"/>
            </w:pPr>
            <w:r>
              <w:rPr>
                <w:rFonts w:hint="eastAsia"/>
              </w:rPr>
              <w:t>拟回购金额</w:t>
            </w:r>
          </w:p>
        </w:tc>
        <w:tc>
          <w:tcPr>
            <w:tcW w:w="5679" w:type="dxa"/>
            <w:tcBorders>
              <w:top w:val="single" w:sz="4" w:space="0" w:color="auto"/>
              <w:left w:val="single" w:sz="4" w:space="0" w:color="auto"/>
              <w:bottom w:val="single" w:sz="4" w:space="0" w:color="auto"/>
              <w:right w:val="single" w:sz="4" w:space="0" w:color="auto"/>
            </w:tcBorders>
            <w:vAlign w:val="center"/>
          </w:tcPr>
          <w:p w14:paraId="4BC33CF8" w14:textId="77777777" w:rsidR="005E000F" w:rsidRDefault="00000000">
            <w:pPr>
              <w:widowControl w:val="0"/>
            </w:pPr>
            <w:r>
              <w:rPr>
                <w:rFonts w:hint="eastAsia"/>
              </w:rPr>
              <w:t>10-15</w:t>
            </w:r>
          </w:p>
        </w:tc>
      </w:tr>
      <w:tr w:rsidR="005E000F" w14:paraId="02FB8F62" w14:textId="77777777">
        <w:trPr>
          <w:trHeight w:val="102"/>
        </w:trPr>
        <w:tc>
          <w:tcPr>
            <w:tcW w:w="3369" w:type="dxa"/>
            <w:tcBorders>
              <w:top w:val="single" w:sz="4" w:space="0" w:color="auto"/>
              <w:left w:val="single" w:sz="4" w:space="0" w:color="auto"/>
              <w:bottom w:val="single" w:sz="4" w:space="0" w:color="auto"/>
              <w:right w:val="single" w:sz="4" w:space="0" w:color="auto"/>
            </w:tcBorders>
            <w:vAlign w:val="center"/>
          </w:tcPr>
          <w:p w14:paraId="4A670C63" w14:textId="77777777" w:rsidR="005E000F" w:rsidRDefault="00000000">
            <w:pPr>
              <w:widowControl w:val="0"/>
              <w:jc w:val="both"/>
            </w:pPr>
            <w:r>
              <w:rPr>
                <w:rFonts w:hint="eastAsia"/>
              </w:rPr>
              <w:t>拟回购期间</w:t>
            </w:r>
          </w:p>
        </w:tc>
        <w:tc>
          <w:tcPr>
            <w:tcW w:w="5679" w:type="dxa"/>
            <w:tcBorders>
              <w:top w:val="single" w:sz="4" w:space="0" w:color="auto"/>
              <w:left w:val="single" w:sz="4" w:space="0" w:color="auto"/>
              <w:bottom w:val="single" w:sz="4" w:space="0" w:color="auto"/>
              <w:right w:val="single" w:sz="4" w:space="0" w:color="auto"/>
            </w:tcBorders>
            <w:vAlign w:val="center"/>
          </w:tcPr>
          <w:p w14:paraId="6E530BE0" w14:textId="77777777" w:rsidR="005E000F" w:rsidRDefault="00000000">
            <w:pPr>
              <w:widowControl w:val="0"/>
            </w:pPr>
            <w:r>
              <w:t>2025</w:t>
            </w:r>
            <w:r>
              <w:t>年</w:t>
            </w:r>
            <w:r>
              <w:t>9</w:t>
            </w:r>
            <w:r>
              <w:t>月</w:t>
            </w:r>
            <w:r>
              <w:t>23</w:t>
            </w:r>
            <w:r>
              <w:t>日</w:t>
            </w:r>
            <w:r>
              <w:t>~2026</w:t>
            </w:r>
            <w:r>
              <w:t>年</w:t>
            </w:r>
            <w:r>
              <w:t>9</w:t>
            </w:r>
            <w:r>
              <w:t>月</w:t>
            </w:r>
            <w:r>
              <w:t>22</w:t>
            </w:r>
            <w:r>
              <w:t>日</w:t>
            </w:r>
          </w:p>
        </w:tc>
      </w:tr>
      <w:tr w:rsidR="005E000F" w14:paraId="41882C22" w14:textId="77777777">
        <w:trPr>
          <w:trHeight w:val="102"/>
        </w:trPr>
        <w:tc>
          <w:tcPr>
            <w:tcW w:w="3369" w:type="dxa"/>
            <w:tcBorders>
              <w:top w:val="single" w:sz="4" w:space="0" w:color="auto"/>
              <w:left w:val="single" w:sz="4" w:space="0" w:color="auto"/>
              <w:bottom w:val="single" w:sz="4" w:space="0" w:color="auto"/>
              <w:right w:val="single" w:sz="4" w:space="0" w:color="auto"/>
            </w:tcBorders>
            <w:vAlign w:val="center"/>
          </w:tcPr>
          <w:p w14:paraId="07B85196" w14:textId="77777777" w:rsidR="005E000F" w:rsidRDefault="00000000">
            <w:pPr>
              <w:widowControl w:val="0"/>
              <w:jc w:val="both"/>
            </w:pPr>
            <w:r>
              <w:rPr>
                <w:rFonts w:hint="eastAsia"/>
              </w:rPr>
              <w:t>回购用途</w:t>
            </w:r>
          </w:p>
        </w:tc>
        <w:tc>
          <w:tcPr>
            <w:tcW w:w="5679" w:type="dxa"/>
            <w:tcBorders>
              <w:top w:val="single" w:sz="4" w:space="0" w:color="auto"/>
              <w:left w:val="single" w:sz="4" w:space="0" w:color="auto"/>
              <w:bottom w:val="single" w:sz="4" w:space="0" w:color="auto"/>
              <w:right w:val="single" w:sz="4" w:space="0" w:color="auto"/>
            </w:tcBorders>
            <w:vAlign w:val="center"/>
          </w:tcPr>
          <w:p w14:paraId="451E96B3" w14:textId="77777777" w:rsidR="005E000F" w:rsidRDefault="00000000">
            <w:pPr>
              <w:widowControl w:val="0"/>
            </w:pPr>
            <w:r>
              <w:t>减少</w:t>
            </w:r>
            <w:r>
              <w:rPr>
                <w:rFonts w:hint="eastAsia"/>
              </w:rPr>
              <w:t>公司</w:t>
            </w:r>
            <w:r>
              <w:t>注册资本</w:t>
            </w:r>
          </w:p>
        </w:tc>
      </w:tr>
      <w:tr w:rsidR="005E000F" w14:paraId="7A9AE3A5" w14:textId="77777777">
        <w:trPr>
          <w:trHeight w:val="102"/>
        </w:trPr>
        <w:tc>
          <w:tcPr>
            <w:tcW w:w="3369" w:type="dxa"/>
            <w:tcBorders>
              <w:top w:val="single" w:sz="4" w:space="0" w:color="auto"/>
              <w:left w:val="single" w:sz="4" w:space="0" w:color="auto"/>
              <w:bottom w:val="single" w:sz="4" w:space="0" w:color="auto"/>
              <w:right w:val="single" w:sz="4" w:space="0" w:color="auto"/>
            </w:tcBorders>
            <w:vAlign w:val="center"/>
          </w:tcPr>
          <w:p w14:paraId="2011DA1D" w14:textId="77777777" w:rsidR="005E000F" w:rsidRDefault="00000000">
            <w:pPr>
              <w:widowControl w:val="0"/>
              <w:jc w:val="both"/>
            </w:pPr>
            <w:r>
              <w:rPr>
                <w:rFonts w:hint="eastAsia"/>
              </w:rPr>
              <w:t>已回购数量（股）</w:t>
            </w:r>
          </w:p>
        </w:tc>
        <w:tc>
          <w:tcPr>
            <w:tcW w:w="5679" w:type="dxa"/>
            <w:tcBorders>
              <w:top w:val="single" w:sz="4" w:space="0" w:color="auto"/>
              <w:left w:val="single" w:sz="4" w:space="0" w:color="auto"/>
              <w:bottom w:val="single" w:sz="4" w:space="0" w:color="auto"/>
              <w:right w:val="single" w:sz="4" w:space="0" w:color="auto"/>
            </w:tcBorders>
            <w:vAlign w:val="center"/>
          </w:tcPr>
          <w:p w14:paraId="67E94221" w14:textId="77777777" w:rsidR="005E000F" w:rsidRDefault="00000000">
            <w:pPr>
              <w:widowControl w:val="0"/>
            </w:pPr>
            <w:r>
              <w:t>44,098,700</w:t>
            </w:r>
          </w:p>
        </w:tc>
      </w:tr>
      <w:tr w:rsidR="005E000F" w14:paraId="44216971" w14:textId="77777777">
        <w:trPr>
          <w:trHeight w:val="102"/>
        </w:trPr>
        <w:tc>
          <w:tcPr>
            <w:tcW w:w="3369" w:type="dxa"/>
            <w:tcBorders>
              <w:top w:val="single" w:sz="4" w:space="0" w:color="auto"/>
              <w:left w:val="single" w:sz="4" w:space="0" w:color="auto"/>
              <w:bottom w:val="single" w:sz="4" w:space="0" w:color="auto"/>
              <w:right w:val="single" w:sz="4" w:space="0" w:color="auto"/>
            </w:tcBorders>
            <w:vAlign w:val="center"/>
          </w:tcPr>
          <w:p w14:paraId="231C3438" w14:textId="77777777" w:rsidR="005E000F" w:rsidRDefault="00000000">
            <w:pPr>
              <w:widowControl w:val="0"/>
              <w:jc w:val="both"/>
            </w:pPr>
            <w:r>
              <w:rPr>
                <w:rFonts w:hint="eastAsia"/>
              </w:rPr>
              <w:t>已回购数量占股权激励计划所涉及的标的股票的比例（</w:t>
            </w:r>
            <w:r>
              <w:rPr>
                <w:rFonts w:hint="eastAsia"/>
              </w:rPr>
              <w:t>%</w:t>
            </w:r>
            <w:r>
              <w:rPr>
                <w:rFonts w:hint="eastAsia"/>
              </w:rPr>
              <w:t>）（如有）</w:t>
            </w:r>
          </w:p>
        </w:tc>
        <w:tc>
          <w:tcPr>
            <w:tcW w:w="5679" w:type="dxa"/>
            <w:tcBorders>
              <w:top w:val="single" w:sz="4" w:space="0" w:color="auto"/>
              <w:left w:val="single" w:sz="4" w:space="0" w:color="auto"/>
              <w:bottom w:val="single" w:sz="4" w:space="0" w:color="auto"/>
              <w:right w:val="single" w:sz="4" w:space="0" w:color="auto"/>
            </w:tcBorders>
            <w:vAlign w:val="center"/>
          </w:tcPr>
          <w:p w14:paraId="0C0C04D0" w14:textId="77777777" w:rsidR="005E000F" w:rsidRDefault="00000000">
            <w:pPr>
              <w:widowControl w:val="0"/>
            </w:pPr>
            <w:r>
              <w:rPr>
                <w:rFonts w:hint="eastAsia"/>
              </w:rPr>
              <w:t>不适用</w:t>
            </w:r>
          </w:p>
        </w:tc>
      </w:tr>
      <w:tr w:rsidR="005E000F" w14:paraId="7713576B" w14:textId="77777777">
        <w:trPr>
          <w:trHeight w:val="102"/>
        </w:trPr>
        <w:tc>
          <w:tcPr>
            <w:tcW w:w="3369" w:type="dxa"/>
            <w:tcBorders>
              <w:top w:val="single" w:sz="4" w:space="0" w:color="auto"/>
              <w:left w:val="single" w:sz="4" w:space="0" w:color="auto"/>
              <w:bottom w:val="single" w:sz="4" w:space="0" w:color="auto"/>
              <w:right w:val="single" w:sz="4" w:space="0" w:color="auto"/>
            </w:tcBorders>
            <w:vAlign w:val="center"/>
          </w:tcPr>
          <w:p w14:paraId="50D6F1A3" w14:textId="77777777" w:rsidR="005E000F" w:rsidRDefault="00000000">
            <w:pPr>
              <w:widowControl w:val="0"/>
              <w:jc w:val="both"/>
            </w:pPr>
            <w:r>
              <w:rPr>
                <w:rFonts w:hint="eastAsia"/>
              </w:rPr>
              <w:t>公司采用集中竞价交易方式减持回购股份的进展情况</w:t>
            </w:r>
          </w:p>
        </w:tc>
        <w:tc>
          <w:tcPr>
            <w:tcW w:w="5679" w:type="dxa"/>
            <w:tcBorders>
              <w:top w:val="single" w:sz="4" w:space="0" w:color="auto"/>
              <w:left w:val="single" w:sz="4" w:space="0" w:color="auto"/>
              <w:bottom w:val="single" w:sz="4" w:space="0" w:color="auto"/>
              <w:right w:val="single" w:sz="4" w:space="0" w:color="auto"/>
            </w:tcBorders>
            <w:vAlign w:val="center"/>
          </w:tcPr>
          <w:p w14:paraId="6100CF08" w14:textId="77777777" w:rsidR="005E000F" w:rsidRDefault="00000000">
            <w:pPr>
              <w:widowControl w:val="0"/>
            </w:pPr>
            <w:r>
              <w:rPr>
                <w:rFonts w:hint="eastAsia"/>
              </w:rPr>
              <w:t>不适用</w:t>
            </w:r>
          </w:p>
        </w:tc>
      </w:tr>
    </w:tbl>
    <w:p w14:paraId="3C0DAB31" w14:textId="77777777" w:rsidR="005E000F" w:rsidRDefault="005E000F">
      <w:pPr>
        <w:pStyle w:val="affb"/>
      </w:pPr>
    </w:p>
    <w:bookmarkEnd w:id="208"/>
    <w:bookmarkEnd w:id="209"/>
    <w:p w14:paraId="736D526F" w14:textId="77777777" w:rsidR="005E000F" w:rsidRDefault="00000000">
      <w:pPr>
        <w:pStyle w:val="2"/>
        <w:numPr>
          <w:ilvl w:val="0"/>
          <w:numId w:val="46"/>
        </w:numPr>
        <w:rPr>
          <w:rFonts w:ascii="Calibri" w:hAnsi="Calibri"/>
          <w:szCs w:val="22"/>
        </w:rPr>
      </w:pPr>
      <w:r>
        <w:rPr>
          <w:rFonts w:ascii="Calibri" w:hAnsi="Calibri" w:hint="eastAsia"/>
          <w:szCs w:val="22"/>
        </w:rPr>
        <w:t>优先股相关情况</w:t>
      </w:r>
    </w:p>
    <w:sdt>
      <w:sdtPr>
        <w:alias w:val="是否适用：优先股相关情况[双击切换]"/>
        <w:tag w:val="_GBC_0076278996ac412e9bff14977615c2e3"/>
        <w:id w:val="1434553299"/>
        <w:placeholder>
          <w:docPart w:val="GBC22222222222222222222222222222"/>
        </w:placeholder>
      </w:sdtPr>
      <w:sdtContent>
        <w:p w14:paraId="44007225"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027DF2A" w14:textId="77777777" w:rsidR="005E000F" w:rsidRDefault="005E000F">
      <w:bookmarkStart w:id="210" w:name="_Toc342566003"/>
    </w:p>
    <w:p w14:paraId="74A93368" w14:textId="77777777" w:rsidR="005E000F" w:rsidRDefault="005E000F"/>
    <w:p w14:paraId="1A26253A" w14:textId="77777777" w:rsidR="005E000F" w:rsidRDefault="005E000F">
      <w:pPr>
        <w:sectPr w:rsidR="005E000F">
          <w:pgSz w:w="11906" w:h="16838"/>
          <w:pgMar w:top="1525" w:right="1276" w:bottom="1440" w:left="1797" w:header="855" w:footer="992" w:gutter="0"/>
          <w:cols w:space="425"/>
          <w:docGrid w:linePitch="312"/>
        </w:sectPr>
      </w:pPr>
    </w:p>
    <w:p w14:paraId="446EF311" w14:textId="77777777" w:rsidR="005E000F" w:rsidRDefault="00000000">
      <w:pPr>
        <w:pStyle w:val="1"/>
        <w:numPr>
          <w:ilvl w:val="0"/>
          <w:numId w:val="2"/>
        </w:numPr>
        <w:rPr>
          <w:bCs w:val="0"/>
          <w:szCs w:val="28"/>
        </w:rPr>
      </w:pPr>
      <w:bookmarkStart w:id="211" w:name="_Toc191024262"/>
      <w:bookmarkStart w:id="212" w:name="_Toc437440717"/>
      <w:bookmarkStart w:id="213" w:name="_Hlk90555499"/>
      <w:bookmarkEnd w:id="210"/>
      <w:r>
        <w:rPr>
          <w:rFonts w:hint="eastAsia"/>
          <w:bCs w:val="0"/>
          <w:szCs w:val="28"/>
        </w:rPr>
        <w:lastRenderedPageBreak/>
        <w:t>债券相关情况</w:t>
      </w:r>
    </w:p>
    <w:p w14:paraId="6F6FBA93" w14:textId="77777777" w:rsidR="005E000F" w:rsidRDefault="00000000">
      <w:pPr>
        <w:pStyle w:val="2"/>
        <w:numPr>
          <w:ilvl w:val="0"/>
          <w:numId w:val="54"/>
        </w:numPr>
        <w:ind w:left="425" w:hanging="425"/>
        <w:rPr>
          <w:rFonts w:ascii="宋体" w:hAnsi="宋体"/>
        </w:rPr>
      </w:pPr>
      <w:bookmarkStart w:id="214" w:name="_Hlk89955979"/>
      <w:bookmarkStart w:id="215" w:name="_Hlk89353982"/>
      <w:bookmarkStart w:id="216" w:name="_Hlk90042478"/>
      <w:bookmarkEnd w:id="211"/>
      <w:bookmarkEnd w:id="212"/>
      <w:r>
        <w:rPr>
          <w:rFonts w:ascii="宋体" w:hAnsi="宋体" w:hint="eastAsia"/>
        </w:rPr>
        <w:t>公司债券（含企业债券）和非金融企业债务融资工具</w:t>
      </w:r>
    </w:p>
    <w:bookmarkStart w:id="217" w:name="_Hlk73352152" w:displacedByCustomXml="next"/>
    <w:sdt>
      <w:sdtPr>
        <w:alias w:val="是否适用：债券相关情况[双击切换]"/>
        <w:tag w:val="_GBC_804ac0b5f8c94edbbb148299204e0a43"/>
        <w:id w:val="-584762587"/>
        <w:placeholder>
          <w:docPart w:val="GBC22222222222222222222222222222"/>
        </w:placeholder>
      </w:sdtPr>
      <w:sdtContent>
        <w:p w14:paraId="2C558CB8"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14"/>
    <w:bookmarkEnd w:id="215"/>
    <w:bookmarkEnd w:id="217"/>
    <w:p w14:paraId="6904374C" w14:textId="77777777" w:rsidR="005E000F" w:rsidRDefault="00000000">
      <w:pPr>
        <w:pStyle w:val="2"/>
        <w:numPr>
          <w:ilvl w:val="0"/>
          <w:numId w:val="54"/>
        </w:numPr>
        <w:ind w:left="425" w:hanging="425"/>
        <w:rPr>
          <w:rFonts w:ascii="宋体" w:hAnsi="宋体"/>
        </w:rPr>
      </w:pPr>
      <w:r>
        <w:rPr>
          <w:rFonts w:ascii="宋体" w:hAnsi="宋体" w:hint="eastAsia"/>
        </w:rPr>
        <w:t>可转换公司债</w:t>
      </w:r>
      <w:proofErr w:type="gramStart"/>
      <w:r>
        <w:rPr>
          <w:rFonts w:ascii="宋体" w:hAnsi="宋体" w:hint="eastAsia"/>
        </w:rPr>
        <w:t>券</w:t>
      </w:r>
      <w:proofErr w:type="gramEnd"/>
      <w:r>
        <w:rPr>
          <w:rFonts w:ascii="宋体" w:hAnsi="宋体" w:hint="eastAsia"/>
        </w:rPr>
        <w:t>情况</w:t>
      </w:r>
    </w:p>
    <w:sdt>
      <w:sdtPr>
        <w:rPr>
          <w:rFonts w:hint="eastAsia"/>
        </w:rPr>
        <w:alias w:val="是否适用：可转换公司债券情况[双击切换]"/>
        <w:tag w:val="_GBC_9680c57d3e6a4ee9b01aefbd4b8545db"/>
        <w:id w:val="-293218530"/>
        <w:placeholder>
          <w:docPart w:val="GBC22222222222222222222222222222"/>
        </w:placeholder>
      </w:sdtPr>
      <w:sdtContent>
        <w:p w14:paraId="61CA513F"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99BDAA5" w14:textId="77777777" w:rsidR="005E000F" w:rsidRDefault="00000000">
      <w:pPr>
        <w:pStyle w:val="3"/>
        <w:numPr>
          <w:ilvl w:val="0"/>
          <w:numId w:val="55"/>
        </w:numPr>
        <w:rPr>
          <w:szCs w:val="21"/>
        </w:rPr>
      </w:pPr>
      <w:r>
        <w:rPr>
          <w:szCs w:val="21"/>
        </w:rPr>
        <w:t>转债发行情况</w:t>
      </w:r>
    </w:p>
    <w:bookmarkStart w:id="218" w:name="_Toc342565982" w:displacedByCustomXml="next"/>
    <w:bookmarkStart w:id="219" w:name="_Toc342491990" w:displacedByCustomXml="next"/>
    <w:sdt>
      <w:sdtPr>
        <w:rPr>
          <w:rFonts w:hint="eastAsia"/>
        </w:rPr>
        <w:alias w:val="是否适用：转债发行情况[双击切换]"/>
        <w:tag w:val="_GBC_2a10a4672aaf437896f5a3067eae9eee"/>
        <w:id w:val="-105588574"/>
        <w:placeholder>
          <w:docPart w:val="GBC22222222222222222222222222222"/>
        </w:placeholder>
      </w:sdtPr>
      <w:sdtContent>
        <w:p w14:paraId="5B1FAFFA"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转债发行情况"/>
        <w:tag w:val="_GBC_e96a2cbcf2ab4a508c7a2b0afcbce632"/>
        <w:id w:val="557599174"/>
        <w:placeholder>
          <w:docPart w:val="GBC22222222222222222222222222222"/>
        </w:placeholder>
      </w:sdtPr>
      <w:sdtContent>
        <w:p w14:paraId="69AEE0F6" w14:textId="77777777" w:rsidR="005E000F" w:rsidRDefault="00000000">
          <w:pPr>
            <w:spacing w:line="360" w:lineRule="auto"/>
            <w:ind w:firstLineChars="200" w:firstLine="420"/>
            <w:jc w:val="both"/>
          </w:pPr>
          <w:r>
            <w:t>2020</w:t>
          </w:r>
          <w:r>
            <w:t>年</w:t>
          </w:r>
          <w:r>
            <w:t>4</w:t>
          </w:r>
          <w:r>
            <w:t>月</w:t>
          </w:r>
          <w:r>
            <w:t>27</w:t>
          </w:r>
          <w:r>
            <w:t>日，公司召开第五届董事会第十七次会议，审议通过了《关于公司符合公开发行</w:t>
          </w:r>
          <w:r>
            <w:t>A</w:t>
          </w:r>
          <w:r>
            <w:t>股可转换公司债券条件的议案》等相关议案。</w:t>
          </w:r>
          <w:r>
            <w:t>2020</w:t>
          </w:r>
          <w:r>
            <w:t>年</w:t>
          </w:r>
          <w:r>
            <w:t>5</w:t>
          </w:r>
          <w:r>
            <w:t>月</w:t>
          </w:r>
          <w:r>
            <w:t>20</w:t>
          </w:r>
          <w:r>
            <w:t>日，公司召开</w:t>
          </w:r>
          <w:r>
            <w:t>2019</w:t>
          </w:r>
          <w:r>
            <w:t>年年度股东大会，审议通过了关于公开发行</w:t>
          </w:r>
          <w:r>
            <w:t>A</w:t>
          </w:r>
          <w:r>
            <w:t>股可转换公司债</w:t>
          </w:r>
          <w:proofErr w:type="gramStart"/>
          <w:r>
            <w:t>券</w:t>
          </w:r>
          <w:proofErr w:type="gramEnd"/>
          <w:r>
            <w:t>的有关议案。</w:t>
          </w:r>
        </w:p>
        <w:p w14:paraId="74F920B8" w14:textId="77777777" w:rsidR="005E000F" w:rsidRDefault="00000000">
          <w:pPr>
            <w:spacing w:line="360" w:lineRule="auto"/>
            <w:ind w:firstLineChars="200" w:firstLine="420"/>
            <w:jc w:val="both"/>
          </w:pPr>
          <w:r>
            <w:rPr>
              <w:rFonts w:hint="eastAsia"/>
            </w:rPr>
            <w:t>经中国证券监督管理委员会《关于核准大秦铁路股份有限公司公开发行可转换公司债券的批复》（证监许可〔</w:t>
          </w:r>
          <w:r>
            <w:t>2020</w:t>
          </w:r>
          <w:r>
            <w:t>〕</w:t>
          </w:r>
          <w:r>
            <w:t>2263</w:t>
          </w:r>
          <w:r>
            <w:t>号）核准，大秦铁路股份有限公司（以下简称</w:t>
          </w:r>
          <w:r>
            <w:t>“</w:t>
          </w:r>
          <w:r>
            <w:t>公司</w:t>
          </w:r>
          <w:r>
            <w:t>”</w:t>
          </w:r>
          <w:r>
            <w:t>）于</w:t>
          </w:r>
          <w:r>
            <w:t>2020</w:t>
          </w:r>
          <w:r>
            <w:t>年</w:t>
          </w:r>
          <w:r>
            <w:t>12</w:t>
          </w:r>
          <w:r>
            <w:t>月</w:t>
          </w:r>
          <w:r>
            <w:t>14</w:t>
          </w:r>
          <w:r>
            <w:t>日向社会公开发行面值总额</w:t>
          </w:r>
          <w:r>
            <w:t>320.00</w:t>
          </w:r>
          <w:r>
            <w:t>亿元可转换公司债</w:t>
          </w:r>
          <w:proofErr w:type="gramStart"/>
          <w:r>
            <w:t>券</w:t>
          </w:r>
          <w:proofErr w:type="gramEnd"/>
          <w:r>
            <w:t>，发行价格</w:t>
          </w:r>
          <w:r>
            <w:t>100.00</w:t>
          </w:r>
          <w:r>
            <w:t>元</w:t>
          </w:r>
          <w:r>
            <w:t>/</w:t>
          </w:r>
          <w:r>
            <w:t>张，共计</w:t>
          </w:r>
          <w:r>
            <w:t>32,000</w:t>
          </w:r>
          <w:r>
            <w:t>万张，募集资金总额为人民币</w:t>
          </w:r>
          <w:r>
            <w:t>320.00</w:t>
          </w:r>
          <w:r>
            <w:t>亿元。</w:t>
          </w:r>
        </w:p>
        <w:p w14:paraId="14692D81" w14:textId="77777777" w:rsidR="005E000F" w:rsidRDefault="00000000">
          <w:pPr>
            <w:spacing w:line="360" w:lineRule="auto"/>
            <w:ind w:firstLineChars="200" w:firstLine="420"/>
            <w:jc w:val="both"/>
          </w:pPr>
          <w:r>
            <w:rPr>
              <w:rFonts w:hint="eastAsia"/>
            </w:rPr>
            <w:t>经上海证券交易所自律监管决定书〔</w:t>
          </w:r>
          <w:r>
            <w:t>2021</w:t>
          </w:r>
          <w:r>
            <w:t>〕</w:t>
          </w:r>
          <w:r>
            <w:t>14</w:t>
          </w:r>
          <w:r>
            <w:t>号文同意，公司</w:t>
          </w:r>
          <w:r>
            <w:t>320</w:t>
          </w:r>
          <w:r>
            <w:t>亿元可转换公司债</w:t>
          </w:r>
          <w:proofErr w:type="gramStart"/>
          <w:r>
            <w:t>券</w:t>
          </w:r>
          <w:proofErr w:type="gramEnd"/>
          <w:r>
            <w:t>于</w:t>
          </w:r>
          <w:r>
            <w:t>2021</w:t>
          </w:r>
          <w:r>
            <w:t>年</w:t>
          </w:r>
          <w:r>
            <w:t>1</w:t>
          </w:r>
          <w:r>
            <w:t>月</w:t>
          </w:r>
          <w:r>
            <w:t>15</w:t>
          </w:r>
          <w:r>
            <w:t>日起在上海证券交易所挂牌交易，债券简称</w:t>
          </w:r>
          <w:r>
            <w:t>“</w:t>
          </w:r>
          <w:r>
            <w:t>大秦转债</w:t>
          </w:r>
          <w:r>
            <w:t>”</w:t>
          </w:r>
          <w:r>
            <w:t>，债券代码</w:t>
          </w:r>
          <w:r>
            <w:t>“113044”</w:t>
          </w:r>
          <w:r>
            <w:t>。</w:t>
          </w:r>
        </w:p>
        <w:p w14:paraId="22036EAE" w14:textId="77777777" w:rsidR="005E000F" w:rsidRDefault="00000000">
          <w:pPr>
            <w:spacing w:line="360" w:lineRule="auto"/>
            <w:ind w:firstLineChars="200" w:firstLine="420"/>
            <w:jc w:val="both"/>
          </w:pPr>
          <w:r>
            <w:rPr>
              <w:rFonts w:hint="eastAsia"/>
            </w:rPr>
            <w:t>2024</w:t>
          </w:r>
          <w:r>
            <w:rPr>
              <w:rFonts w:hint="eastAsia"/>
            </w:rPr>
            <w:t>年</w:t>
          </w:r>
          <w:r>
            <w:rPr>
              <w:rFonts w:hint="eastAsia"/>
            </w:rPr>
            <w:t>12</w:t>
          </w:r>
          <w:r>
            <w:rPr>
              <w:rFonts w:hint="eastAsia"/>
            </w:rPr>
            <w:t>月</w:t>
          </w:r>
          <w:r>
            <w:rPr>
              <w:rFonts w:hint="eastAsia"/>
            </w:rPr>
            <w:t>24</w:t>
          </w:r>
          <w:r>
            <w:rPr>
              <w:rFonts w:hint="eastAsia"/>
            </w:rPr>
            <w:t>日，公司召开七届十次董事会，审议通过了《关于提前赎回“大秦转债”的议案》。公司于</w:t>
          </w:r>
          <w:r>
            <w:rPr>
              <w:rFonts w:hint="eastAsia"/>
            </w:rPr>
            <w:t>2025</w:t>
          </w:r>
          <w:r>
            <w:rPr>
              <w:rFonts w:hint="eastAsia"/>
            </w:rPr>
            <w:t>年</w:t>
          </w:r>
          <w:r>
            <w:rPr>
              <w:rFonts w:hint="eastAsia"/>
            </w:rPr>
            <w:t>1</w:t>
          </w:r>
          <w:r>
            <w:rPr>
              <w:rFonts w:hint="eastAsia"/>
            </w:rPr>
            <w:t>月</w:t>
          </w:r>
          <w:r>
            <w:rPr>
              <w:rFonts w:hint="eastAsia"/>
            </w:rPr>
            <w:t>7</w:t>
          </w:r>
          <w:r>
            <w:rPr>
              <w:rFonts w:hint="eastAsia"/>
            </w:rPr>
            <w:t>日发布了《关于实施“大秦转债”赎回暨摘牌的公告》，确定赎回价格为</w:t>
          </w:r>
          <w:r>
            <w:rPr>
              <w:rFonts w:hint="eastAsia"/>
            </w:rPr>
            <w:t>100.4203</w:t>
          </w:r>
          <w:r>
            <w:rPr>
              <w:rFonts w:hint="eastAsia"/>
            </w:rPr>
            <w:t>元</w:t>
          </w:r>
          <w:r>
            <w:rPr>
              <w:rFonts w:hint="eastAsia"/>
            </w:rPr>
            <w:t>/</w:t>
          </w:r>
          <w:r>
            <w:rPr>
              <w:rFonts w:hint="eastAsia"/>
            </w:rPr>
            <w:t>张，赎回登记日为</w:t>
          </w:r>
          <w:r>
            <w:rPr>
              <w:rFonts w:hint="eastAsia"/>
            </w:rPr>
            <w:t>2025</w:t>
          </w:r>
          <w:r>
            <w:rPr>
              <w:rFonts w:hint="eastAsia"/>
            </w:rPr>
            <w:t>年</w:t>
          </w:r>
          <w:r>
            <w:rPr>
              <w:rFonts w:hint="eastAsia"/>
            </w:rPr>
            <w:t>2</w:t>
          </w:r>
          <w:r>
            <w:rPr>
              <w:rFonts w:hint="eastAsia"/>
            </w:rPr>
            <w:t>月</w:t>
          </w:r>
          <w:r>
            <w:rPr>
              <w:rFonts w:hint="eastAsia"/>
            </w:rPr>
            <w:t>10</w:t>
          </w:r>
          <w:r>
            <w:rPr>
              <w:rFonts w:hint="eastAsia"/>
            </w:rPr>
            <w:t>日，</w:t>
          </w:r>
          <w:proofErr w:type="gramStart"/>
          <w:r>
            <w:rPr>
              <w:rFonts w:hint="eastAsia"/>
            </w:rPr>
            <w:t>赎回款</w:t>
          </w:r>
          <w:proofErr w:type="gramEnd"/>
          <w:r>
            <w:rPr>
              <w:rFonts w:hint="eastAsia"/>
            </w:rPr>
            <w:t>发放日为</w:t>
          </w:r>
          <w:r>
            <w:rPr>
              <w:rFonts w:hint="eastAsia"/>
            </w:rPr>
            <w:t>2025</w:t>
          </w:r>
          <w:r>
            <w:rPr>
              <w:rFonts w:hint="eastAsia"/>
            </w:rPr>
            <w:t>年</w:t>
          </w:r>
          <w:r>
            <w:rPr>
              <w:rFonts w:hint="eastAsia"/>
            </w:rPr>
            <w:t>2</w:t>
          </w:r>
          <w:r>
            <w:rPr>
              <w:rFonts w:hint="eastAsia"/>
            </w:rPr>
            <w:t>月</w:t>
          </w:r>
          <w:r>
            <w:rPr>
              <w:rFonts w:hint="eastAsia"/>
            </w:rPr>
            <w:t>11</w:t>
          </w:r>
          <w:r>
            <w:rPr>
              <w:rFonts w:hint="eastAsia"/>
            </w:rPr>
            <w:t>日。根据赎回时间安排，于</w:t>
          </w:r>
          <w:r>
            <w:rPr>
              <w:rFonts w:hint="eastAsia"/>
            </w:rPr>
            <w:t>2025</w:t>
          </w:r>
          <w:r>
            <w:rPr>
              <w:rFonts w:hint="eastAsia"/>
            </w:rPr>
            <w:t>年</w:t>
          </w:r>
          <w:r>
            <w:rPr>
              <w:rFonts w:hint="eastAsia"/>
            </w:rPr>
            <w:t>2</w:t>
          </w:r>
          <w:r>
            <w:rPr>
              <w:rFonts w:hint="eastAsia"/>
            </w:rPr>
            <w:t>月</w:t>
          </w:r>
          <w:r>
            <w:rPr>
              <w:rFonts w:hint="eastAsia"/>
            </w:rPr>
            <w:t>11</w:t>
          </w:r>
          <w:r>
            <w:rPr>
              <w:rFonts w:hint="eastAsia"/>
            </w:rPr>
            <w:t>日完成了“大秦转债”提前赎回，本次</w:t>
          </w:r>
          <w:r>
            <w:t>赎回总金额</w:t>
          </w:r>
          <w:r>
            <w:rPr>
              <w:rFonts w:hint="eastAsia"/>
            </w:rPr>
            <w:t>为</w:t>
          </w:r>
          <w:r>
            <w:t>19,509,643.57</w:t>
          </w:r>
          <w:r>
            <w:t>元（含当期利息）</w:t>
          </w:r>
          <w:r>
            <w:rPr>
              <w:rFonts w:hint="eastAsia"/>
            </w:rPr>
            <w:t>，赎回完成后，“大秦转债”于</w:t>
          </w:r>
          <w:r>
            <w:rPr>
              <w:rFonts w:hint="eastAsia"/>
            </w:rPr>
            <w:t>2025</w:t>
          </w:r>
          <w:r>
            <w:rPr>
              <w:rFonts w:hint="eastAsia"/>
            </w:rPr>
            <w:t>年</w:t>
          </w:r>
          <w:r>
            <w:rPr>
              <w:rFonts w:hint="eastAsia"/>
            </w:rPr>
            <w:t>2</w:t>
          </w:r>
          <w:r>
            <w:rPr>
              <w:rFonts w:hint="eastAsia"/>
            </w:rPr>
            <w:t>月</w:t>
          </w:r>
          <w:r>
            <w:rPr>
              <w:rFonts w:hint="eastAsia"/>
            </w:rPr>
            <w:t>11</w:t>
          </w:r>
          <w:r>
            <w:rPr>
              <w:rFonts w:hint="eastAsia"/>
            </w:rPr>
            <w:t>日在上海证券交易所摘牌。</w:t>
          </w:r>
        </w:p>
      </w:sdtContent>
    </w:sdt>
    <w:p w14:paraId="78B9C141" w14:textId="77777777" w:rsidR="005E000F" w:rsidRDefault="00000000">
      <w:pPr>
        <w:pStyle w:val="3"/>
        <w:numPr>
          <w:ilvl w:val="0"/>
          <w:numId w:val="55"/>
        </w:numPr>
        <w:rPr>
          <w:szCs w:val="21"/>
        </w:rPr>
      </w:pPr>
      <w:proofErr w:type="gramStart"/>
      <w:r>
        <w:rPr>
          <w:rFonts w:hint="eastAsia"/>
          <w:szCs w:val="21"/>
        </w:rPr>
        <w:t>报告期转债</w:t>
      </w:r>
      <w:proofErr w:type="gramEnd"/>
      <w:r>
        <w:rPr>
          <w:rFonts w:hint="eastAsia"/>
          <w:szCs w:val="21"/>
        </w:rPr>
        <w:t>持有人及担保人情况</w:t>
      </w:r>
      <w:bookmarkEnd w:id="219"/>
      <w:bookmarkEnd w:id="218"/>
    </w:p>
    <w:sdt>
      <w:sdtPr>
        <w:alias w:val="是否适用：报告期转债持有人及担保人情况[双击切换]"/>
        <w:tag w:val="_GBC_6a8eda7be111431bb27877dccef03813"/>
        <w:id w:val="-1778555288"/>
        <w:placeholder>
          <w:docPart w:val="GBC22222222222222222222222222222"/>
        </w:placeholder>
      </w:sdtPr>
      <w:sdtContent>
        <w:p w14:paraId="0937D5B9"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E0EDE78" w14:textId="77777777" w:rsidR="005E000F" w:rsidRDefault="00000000">
      <w:pPr>
        <w:pStyle w:val="3"/>
        <w:numPr>
          <w:ilvl w:val="0"/>
          <w:numId w:val="55"/>
        </w:numPr>
        <w:rPr>
          <w:szCs w:val="21"/>
        </w:rPr>
      </w:pPr>
      <w:bookmarkStart w:id="220" w:name="_Hlk56779160"/>
      <w:bookmarkEnd w:id="220"/>
      <w:proofErr w:type="gramStart"/>
      <w:r>
        <w:rPr>
          <w:szCs w:val="21"/>
        </w:rPr>
        <w:t>报告期转债</w:t>
      </w:r>
      <w:proofErr w:type="gramEnd"/>
      <w:r>
        <w:rPr>
          <w:szCs w:val="21"/>
        </w:rPr>
        <w:t>变动情况</w:t>
      </w:r>
    </w:p>
    <w:sdt>
      <w:sdtPr>
        <w:alias w:val="是否适用：报告期转债变动情况[双击切换]"/>
        <w:tag w:val="_GBC_897425a625044ed9a9b171abdd6fbe5f"/>
        <w:id w:val="-1683503233"/>
        <w:placeholder>
          <w:docPart w:val="GBC22222222222222222222222222222"/>
        </w:placeholder>
      </w:sdtPr>
      <w:sdtContent>
        <w:p w14:paraId="5B79674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B7BE5C9" w14:textId="77777777" w:rsidR="005E000F" w:rsidRDefault="00000000">
      <w:pPr>
        <w:jc w:val="right"/>
      </w:pPr>
      <w:r>
        <w:rPr>
          <w:rFonts w:hint="eastAsia"/>
        </w:rPr>
        <w:t>单位：</w:t>
      </w:r>
      <w:sdt>
        <w:sdtPr>
          <w:rPr>
            <w:rFonts w:hint="eastAsia"/>
          </w:rPr>
          <w:alias w:val="单位：报告期转债变动情况"/>
          <w:tag w:val="_GBC_2955069ae42c493685cceab8b26ae973"/>
          <w:id w:val="-14424507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报告期转债变动情况"/>
          <w:tag w:val="_GBC_487580f1b4a74b41b69dda772b0b79a6"/>
          <w:id w:val="1241305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1508"/>
        <w:gridCol w:w="1861"/>
        <w:gridCol w:w="1842"/>
        <w:gridCol w:w="1276"/>
        <w:gridCol w:w="1276"/>
        <w:gridCol w:w="1285"/>
      </w:tblGrid>
      <w:tr w:rsidR="005E000F" w14:paraId="0ED76801" w14:textId="77777777">
        <w:sdt>
          <w:sdtPr>
            <w:tag w:val="_PLD_0678eb2d4d8f4a3c96d81cb30f25b8ef"/>
            <w:id w:val="-481705009"/>
          </w:sdtPr>
          <w:sdtContent>
            <w:tc>
              <w:tcPr>
                <w:tcW w:w="1508" w:type="dxa"/>
                <w:vMerge w:val="restart"/>
                <w:vAlign w:val="center"/>
              </w:tcPr>
              <w:p w14:paraId="3B2B2570" w14:textId="77777777" w:rsidR="005E000F" w:rsidRDefault="00000000">
                <w:pPr>
                  <w:jc w:val="center"/>
                </w:pPr>
                <w:r>
                  <w:t>可转换公司债</w:t>
                </w:r>
                <w:proofErr w:type="gramStart"/>
                <w:r>
                  <w:t>券</w:t>
                </w:r>
                <w:proofErr w:type="gramEnd"/>
                <w:r>
                  <w:t>名称</w:t>
                </w:r>
              </w:p>
            </w:tc>
          </w:sdtContent>
        </w:sdt>
        <w:sdt>
          <w:sdtPr>
            <w:tag w:val="_PLD_6ff190055d504d41b8867dd5a506ba88"/>
            <w:id w:val="1195885099"/>
          </w:sdtPr>
          <w:sdtContent>
            <w:tc>
              <w:tcPr>
                <w:tcW w:w="1861" w:type="dxa"/>
                <w:vMerge w:val="restart"/>
                <w:vAlign w:val="center"/>
              </w:tcPr>
              <w:p w14:paraId="0148163A" w14:textId="77777777" w:rsidR="005E000F" w:rsidRDefault="00000000">
                <w:pPr>
                  <w:jc w:val="center"/>
                </w:pPr>
                <w:r>
                  <w:t>本次变动前</w:t>
                </w:r>
              </w:p>
            </w:tc>
          </w:sdtContent>
        </w:sdt>
        <w:sdt>
          <w:sdtPr>
            <w:tag w:val="_PLD_174f6359aa6547049734cd8fa865fa30"/>
            <w:id w:val="1183708091"/>
          </w:sdtPr>
          <w:sdtContent>
            <w:tc>
              <w:tcPr>
                <w:tcW w:w="4394" w:type="dxa"/>
                <w:gridSpan w:val="3"/>
                <w:vAlign w:val="center"/>
              </w:tcPr>
              <w:p w14:paraId="45896F0F" w14:textId="77777777" w:rsidR="005E000F" w:rsidRDefault="00000000">
                <w:pPr>
                  <w:jc w:val="center"/>
                </w:pPr>
                <w:r>
                  <w:t>本次变动增减</w:t>
                </w:r>
              </w:p>
            </w:tc>
          </w:sdtContent>
        </w:sdt>
        <w:sdt>
          <w:sdtPr>
            <w:tag w:val="_PLD_6e092c44c3754ed484cd38786155eca8"/>
            <w:id w:val="-1482681098"/>
          </w:sdtPr>
          <w:sdtContent>
            <w:tc>
              <w:tcPr>
                <w:tcW w:w="1285" w:type="dxa"/>
                <w:vMerge w:val="restart"/>
                <w:vAlign w:val="center"/>
              </w:tcPr>
              <w:p w14:paraId="447670EF" w14:textId="77777777" w:rsidR="005E000F" w:rsidRDefault="00000000">
                <w:pPr>
                  <w:jc w:val="center"/>
                </w:pPr>
                <w:r>
                  <w:t>本次变动后</w:t>
                </w:r>
              </w:p>
            </w:tc>
          </w:sdtContent>
        </w:sdt>
      </w:tr>
      <w:tr w:rsidR="005E000F" w14:paraId="4D1C2708" w14:textId="77777777">
        <w:tc>
          <w:tcPr>
            <w:tcW w:w="1508" w:type="dxa"/>
            <w:vMerge/>
            <w:vAlign w:val="center"/>
          </w:tcPr>
          <w:p w14:paraId="78BDA668" w14:textId="77777777" w:rsidR="005E000F" w:rsidRDefault="005E000F"/>
        </w:tc>
        <w:tc>
          <w:tcPr>
            <w:tcW w:w="1861" w:type="dxa"/>
            <w:vMerge/>
            <w:vAlign w:val="center"/>
          </w:tcPr>
          <w:p w14:paraId="1EA5DEE4" w14:textId="77777777" w:rsidR="005E000F" w:rsidRDefault="005E000F"/>
        </w:tc>
        <w:sdt>
          <w:sdtPr>
            <w:tag w:val="_PLD_f46020ae8726463a932c03f557ed400d"/>
            <w:id w:val="1615941936"/>
          </w:sdtPr>
          <w:sdtContent>
            <w:tc>
              <w:tcPr>
                <w:tcW w:w="1842" w:type="dxa"/>
                <w:vAlign w:val="center"/>
              </w:tcPr>
              <w:p w14:paraId="5C649516" w14:textId="77777777" w:rsidR="005E000F" w:rsidRDefault="00000000">
                <w:pPr>
                  <w:jc w:val="center"/>
                </w:pPr>
                <w:r>
                  <w:t>转股</w:t>
                </w:r>
              </w:p>
            </w:tc>
          </w:sdtContent>
        </w:sdt>
        <w:sdt>
          <w:sdtPr>
            <w:tag w:val="_PLD_7d6680caadd2408ab7a737ad1dea4c47"/>
            <w:id w:val="-65185873"/>
          </w:sdtPr>
          <w:sdtContent>
            <w:tc>
              <w:tcPr>
                <w:tcW w:w="1276" w:type="dxa"/>
                <w:vAlign w:val="center"/>
              </w:tcPr>
              <w:p w14:paraId="19B8590B" w14:textId="77777777" w:rsidR="005E000F" w:rsidRDefault="00000000">
                <w:pPr>
                  <w:jc w:val="center"/>
                </w:pPr>
                <w:r>
                  <w:t>赎回</w:t>
                </w:r>
              </w:p>
            </w:tc>
          </w:sdtContent>
        </w:sdt>
        <w:sdt>
          <w:sdtPr>
            <w:tag w:val="_PLD_317f5c39637244db8e33de571aef683d"/>
            <w:id w:val="932473943"/>
          </w:sdtPr>
          <w:sdtContent>
            <w:tc>
              <w:tcPr>
                <w:tcW w:w="1276" w:type="dxa"/>
                <w:vAlign w:val="center"/>
              </w:tcPr>
              <w:p w14:paraId="503CABA0" w14:textId="77777777" w:rsidR="005E000F" w:rsidRDefault="00000000">
                <w:pPr>
                  <w:jc w:val="center"/>
                </w:pPr>
                <w:r>
                  <w:t>回售</w:t>
                </w:r>
              </w:p>
            </w:tc>
          </w:sdtContent>
        </w:sdt>
        <w:tc>
          <w:tcPr>
            <w:tcW w:w="1285" w:type="dxa"/>
            <w:vMerge/>
            <w:vAlign w:val="center"/>
          </w:tcPr>
          <w:p w14:paraId="4290EE8B" w14:textId="77777777" w:rsidR="005E000F" w:rsidRDefault="005E000F"/>
        </w:tc>
      </w:tr>
      <w:tr w:rsidR="005E000F" w14:paraId="5BAA03B1" w14:textId="77777777">
        <w:tc>
          <w:tcPr>
            <w:tcW w:w="1508" w:type="dxa"/>
            <w:vAlign w:val="center"/>
          </w:tcPr>
          <w:p w14:paraId="4C124442" w14:textId="77777777" w:rsidR="005E000F" w:rsidRDefault="00000000">
            <w:r>
              <w:t>2020</w:t>
            </w:r>
            <w:r>
              <w:t>年大秦铁路股份有限公司可转换公司债</w:t>
            </w:r>
            <w:proofErr w:type="gramStart"/>
            <w:r>
              <w:t>券</w:t>
            </w:r>
            <w:proofErr w:type="gramEnd"/>
          </w:p>
        </w:tc>
        <w:tc>
          <w:tcPr>
            <w:tcW w:w="1861" w:type="dxa"/>
            <w:vAlign w:val="center"/>
          </w:tcPr>
          <w:p w14:paraId="73D17675" w14:textId="77777777" w:rsidR="005E000F" w:rsidRDefault="00000000">
            <w:pPr>
              <w:jc w:val="right"/>
            </w:pPr>
            <w:r>
              <w:t>7,670,295,000</w:t>
            </w:r>
          </w:p>
        </w:tc>
        <w:tc>
          <w:tcPr>
            <w:tcW w:w="1842" w:type="dxa"/>
            <w:vAlign w:val="center"/>
          </w:tcPr>
          <w:p w14:paraId="45BA6894" w14:textId="77777777" w:rsidR="005E000F" w:rsidRDefault="00000000">
            <w:pPr>
              <w:jc w:val="right"/>
            </w:pPr>
            <w:r>
              <w:t>7,650,867,000.00</w:t>
            </w:r>
          </w:p>
        </w:tc>
        <w:tc>
          <w:tcPr>
            <w:tcW w:w="1276" w:type="dxa"/>
            <w:vAlign w:val="center"/>
          </w:tcPr>
          <w:p w14:paraId="1B4ADC32" w14:textId="77777777" w:rsidR="005E000F" w:rsidRDefault="00000000">
            <w:pPr>
              <w:jc w:val="right"/>
            </w:pPr>
            <w:r>
              <w:t>19,428,000</w:t>
            </w:r>
          </w:p>
        </w:tc>
        <w:tc>
          <w:tcPr>
            <w:tcW w:w="1276" w:type="dxa"/>
            <w:vAlign w:val="center"/>
          </w:tcPr>
          <w:p w14:paraId="21EE2941" w14:textId="77777777" w:rsidR="005E000F" w:rsidRDefault="00000000">
            <w:pPr>
              <w:jc w:val="right"/>
            </w:pPr>
            <w:r>
              <w:t>0</w:t>
            </w:r>
          </w:p>
        </w:tc>
        <w:tc>
          <w:tcPr>
            <w:tcW w:w="1285" w:type="dxa"/>
            <w:vAlign w:val="center"/>
          </w:tcPr>
          <w:p w14:paraId="48B17A34" w14:textId="77777777" w:rsidR="005E000F" w:rsidRDefault="00000000">
            <w:pPr>
              <w:jc w:val="right"/>
            </w:pPr>
            <w:r>
              <w:t>0</w:t>
            </w:r>
          </w:p>
        </w:tc>
      </w:tr>
    </w:tbl>
    <w:p w14:paraId="245C7F3C" w14:textId="77777777" w:rsidR="005E000F" w:rsidRDefault="005E000F"/>
    <w:p w14:paraId="0B89E3C9" w14:textId="77777777" w:rsidR="005E000F" w:rsidRDefault="00000000">
      <w:proofErr w:type="gramStart"/>
      <w:r>
        <w:t>报告期转债</w:t>
      </w:r>
      <w:proofErr w:type="gramEnd"/>
      <w:r>
        <w:t>累计转股情况</w:t>
      </w:r>
    </w:p>
    <w:sdt>
      <w:sdtPr>
        <w:alias w:val="是否适用：报告期转债累计转股情况[双击切换]"/>
        <w:tag w:val="_GBC_17fac391a9434849b418b1c91de8d200"/>
        <w:id w:val="1311985866"/>
        <w:lock w:val="contentLocked"/>
        <w:placeholder>
          <w:docPart w:val="GBC22222222222222222222222222222"/>
        </w:placeholder>
      </w:sdtPr>
      <w:sdtContent>
        <w:p w14:paraId="43F4585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FED8535" w14:textId="77777777" w:rsidR="005E000F" w:rsidRDefault="005E000F">
      <w:bookmarkStart w:id="221" w:name="_Hlk56779376"/>
    </w:p>
    <w:tbl>
      <w:tblPr>
        <w:tblStyle w:val="aff2"/>
        <w:tblW w:w="0" w:type="auto"/>
        <w:tblLayout w:type="fixed"/>
        <w:tblLook w:val="04A0" w:firstRow="1" w:lastRow="0" w:firstColumn="1" w:lastColumn="0" w:noHBand="0" w:noVBand="1"/>
      </w:tblPr>
      <w:tblGrid>
        <w:gridCol w:w="4524"/>
        <w:gridCol w:w="4524"/>
      </w:tblGrid>
      <w:tr w:rsidR="005E000F" w14:paraId="5C1CFB71" w14:textId="77777777">
        <w:tc>
          <w:tcPr>
            <w:tcW w:w="4524" w:type="dxa"/>
            <w:vAlign w:val="center"/>
          </w:tcPr>
          <w:sdt>
            <w:sdtPr>
              <w:tag w:val="_PLD_5f08623115964e538e7154b674a3f079"/>
              <w:id w:val="-1275402960"/>
            </w:sdtPr>
            <w:sdtContent>
              <w:p w14:paraId="261BEAF1" w14:textId="77777777" w:rsidR="005E000F" w:rsidRDefault="00000000">
                <w:r>
                  <w:rPr>
                    <w:rFonts w:hint="eastAsia"/>
                  </w:rPr>
                  <w:t>可转换公司债</w:t>
                </w:r>
                <w:proofErr w:type="gramStart"/>
                <w:r>
                  <w:rPr>
                    <w:rFonts w:hint="eastAsia"/>
                  </w:rPr>
                  <w:t>券</w:t>
                </w:r>
                <w:proofErr w:type="gramEnd"/>
                <w:r>
                  <w:rPr>
                    <w:rFonts w:hint="eastAsia"/>
                  </w:rPr>
                  <w:t>名称</w:t>
                </w:r>
              </w:p>
            </w:sdtContent>
          </w:sdt>
        </w:tc>
        <w:sdt>
          <w:sdtPr>
            <w:rPr>
              <w:rFonts w:hint="eastAsia"/>
            </w:rPr>
            <w:alias w:val="可转换公司债券名称"/>
            <w:tag w:val="_GBC_a35eb604d57a4afc8454d167b5bfa794"/>
            <w:id w:val="-711493079"/>
          </w:sdtPr>
          <w:sdtContent>
            <w:tc>
              <w:tcPr>
                <w:tcW w:w="4524" w:type="dxa"/>
                <w:vAlign w:val="center"/>
              </w:tcPr>
              <w:p w14:paraId="1810EB3B" w14:textId="77777777" w:rsidR="005E000F" w:rsidRDefault="00000000">
                <w:r>
                  <w:rPr>
                    <w:rFonts w:hint="eastAsia"/>
                  </w:rPr>
                  <w:t>2020</w:t>
                </w:r>
                <w:r>
                  <w:rPr>
                    <w:rFonts w:hint="eastAsia"/>
                  </w:rPr>
                  <w:t>年大秦铁路股份有限公司可转换公司债</w:t>
                </w:r>
                <w:proofErr w:type="gramStart"/>
                <w:r>
                  <w:rPr>
                    <w:rFonts w:hint="eastAsia"/>
                  </w:rPr>
                  <w:t>券</w:t>
                </w:r>
                <w:proofErr w:type="gramEnd"/>
              </w:p>
            </w:tc>
          </w:sdtContent>
        </w:sdt>
      </w:tr>
      <w:tr w:rsidR="005E000F" w14:paraId="74482498" w14:textId="77777777">
        <w:tc>
          <w:tcPr>
            <w:tcW w:w="4524" w:type="dxa"/>
            <w:vAlign w:val="center"/>
          </w:tcPr>
          <w:p w14:paraId="5EE7030D" w14:textId="77777777" w:rsidR="005E000F" w:rsidRDefault="00000000">
            <w:proofErr w:type="gramStart"/>
            <w:r>
              <w:lastRenderedPageBreak/>
              <w:t>报告期转股额</w:t>
            </w:r>
            <w:proofErr w:type="gramEnd"/>
            <w:r>
              <w:t>（元）</w:t>
            </w:r>
          </w:p>
        </w:tc>
        <w:tc>
          <w:tcPr>
            <w:tcW w:w="4524" w:type="dxa"/>
            <w:vAlign w:val="center"/>
          </w:tcPr>
          <w:p w14:paraId="5F6D043B" w14:textId="77777777" w:rsidR="005E000F" w:rsidRDefault="00000000">
            <w:pPr>
              <w:jc w:val="right"/>
            </w:pPr>
            <w:r>
              <w:t>7,650,867,000</w:t>
            </w:r>
          </w:p>
        </w:tc>
      </w:tr>
      <w:tr w:rsidR="005E000F" w14:paraId="5BBAB403" w14:textId="77777777">
        <w:tc>
          <w:tcPr>
            <w:tcW w:w="4524" w:type="dxa"/>
            <w:vAlign w:val="center"/>
          </w:tcPr>
          <w:p w14:paraId="0EB0E145" w14:textId="77777777" w:rsidR="005E000F" w:rsidRDefault="00000000">
            <w:proofErr w:type="gramStart"/>
            <w:r>
              <w:t>报告期转股数</w:t>
            </w:r>
            <w:proofErr w:type="gramEnd"/>
            <w:r>
              <w:t>（股）</w:t>
            </w:r>
          </w:p>
        </w:tc>
        <w:tc>
          <w:tcPr>
            <w:tcW w:w="4524" w:type="dxa"/>
            <w:vAlign w:val="center"/>
          </w:tcPr>
          <w:p w14:paraId="32BEC5E5" w14:textId="77777777" w:rsidR="005E000F" w:rsidRDefault="00000000">
            <w:pPr>
              <w:jc w:val="right"/>
            </w:pPr>
            <w:r>
              <w:t>1,339,903,894</w:t>
            </w:r>
          </w:p>
        </w:tc>
      </w:tr>
      <w:tr w:rsidR="005E000F" w14:paraId="7D6BA20F" w14:textId="77777777">
        <w:tc>
          <w:tcPr>
            <w:tcW w:w="4524" w:type="dxa"/>
            <w:vAlign w:val="center"/>
          </w:tcPr>
          <w:p w14:paraId="2498BE6B" w14:textId="77777777" w:rsidR="005E000F" w:rsidRDefault="00000000">
            <w:r>
              <w:t>累计转股数（股）</w:t>
            </w:r>
          </w:p>
        </w:tc>
        <w:tc>
          <w:tcPr>
            <w:tcW w:w="4524" w:type="dxa"/>
            <w:vAlign w:val="center"/>
          </w:tcPr>
          <w:p w14:paraId="12CDD4DB" w14:textId="77777777" w:rsidR="005E000F" w:rsidRDefault="00000000">
            <w:pPr>
              <w:jc w:val="right"/>
            </w:pPr>
            <w:r>
              <w:t>5,280,386,225</w:t>
            </w:r>
          </w:p>
        </w:tc>
      </w:tr>
      <w:tr w:rsidR="005E000F" w14:paraId="7851947F" w14:textId="77777777">
        <w:tc>
          <w:tcPr>
            <w:tcW w:w="4524" w:type="dxa"/>
            <w:vAlign w:val="center"/>
          </w:tcPr>
          <w:p w14:paraId="253504C0" w14:textId="77777777" w:rsidR="005E000F" w:rsidRDefault="00000000">
            <w:r>
              <w:t>累计转</w:t>
            </w:r>
            <w:proofErr w:type="gramStart"/>
            <w:r>
              <w:t>股数占转股</w:t>
            </w:r>
            <w:proofErr w:type="gramEnd"/>
            <w:r>
              <w:t>前公司已发行股份总数（</w:t>
            </w:r>
            <w:r>
              <w:t>%</w:t>
            </w:r>
            <w:r>
              <w:t>）</w:t>
            </w:r>
          </w:p>
        </w:tc>
        <w:tc>
          <w:tcPr>
            <w:tcW w:w="4524" w:type="dxa"/>
            <w:vAlign w:val="center"/>
          </w:tcPr>
          <w:p w14:paraId="7E03F16B" w14:textId="77777777" w:rsidR="005E000F" w:rsidRDefault="00000000">
            <w:pPr>
              <w:jc w:val="right"/>
            </w:pPr>
            <w:r>
              <w:t>35.52</w:t>
            </w:r>
          </w:p>
        </w:tc>
      </w:tr>
      <w:tr w:rsidR="005E000F" w14:paraId="19FA2171" w14:textId="77777777">
        <w:tc>
          <w:tcPr>
            <w:tcW w:w="4524" w:type="dxa"/>
            <w:vAlign w:val="center"/>
          </w:tcPr>
          <w:p w14:paraId="6CBACB70" w14:textId="77777777" w:rsidR="005E000F" w:rsidRDefault="00000000">
            <w:r>
              <w:t>尚未转股额（元）</w:t>
            </w:r>
          </w:p>
        </w:tc>
        <w:tc>
          <w:tcPr>
            <w:tcW w:w="4524" w:type="dxa"/>
            <w:vAlign w:val="center"/>
          </w:tcPr>
          <w:p w14:paraId="551B78E7" w14:textId="77777777" w:rsidR="005E000F" w:rsidRDefault="00000000">
            <w:pPr>
              <w:jc w:val="right"/>
            </w:pPr>
            <w:r>
              <w:t>0</w:t>
            </w:r>
          </w:p>
        </w:tc>
      </w:tr>
      <w:tr w:rsidR="005E000F" w14:paraId="539F0A3E" w14:textId="77777777">
        <w:tc>
          <w:tcPr>
            <w:tcW w:w="4524" w:type="dxa"/>
            <w:vAlign w:val="center"/>
          </w:tcPr>
          <w:p w14:paraId="2BE1B8A1" w14:textId="77777777" w:rsidR="005E000F" w:rsidRDefault="00000000">
            <w:r>
              <w:t>未转股转</w:t>
            </w:r>
            <w:proofErr w:type="gramStart"/>
            <w:r>
              <w:t>债占转</w:t>
            </w:r>
            <w:proofErr w:type="gramEnd"/>
            <w:r>
              <w:t>债发行总量比例（</w:t>
            </w:r>
            <w:r>
              <w:t>%</w:t>
            </w:r>
            <w:r>
              <w:t>）</w:t>
            </w:r>
          </w:p>
        </w:tc>
        <w:tc>
          <w:tcPr>
            <w:tcW w:w="4524" w:type="dxa"/>
            <w:vAlign w:val="center"/>
          </w:tcPr>
          <w:p w14:paraId="0D74C465" w14:textId="77777777" w:rsidR="005E000F" w:rsidRDefault="00000000">
            <w:pPr>
              <w:jc w:val="right"/>
            </w:pPr>
            <w:r>
              <w:t>0</w:t>
            </w:r>
          </w:p>
        </w:tc>
      </w:tr>
    </w:tbl>
    <w:p w14:paraId="1758C52B" w14:textId="77777777" w:rsidR="005E000F" w:rsidRDefault="005E000F"/>
    <w:bookmarkEnd w:id="221"/>
    <w:p w14:paraId="4390B187" w14:textId="77777777" w:rsidR="005E000F" w:rsidRDefault="00000000">
      <w:pPr>
        <w:pStyle w:val="3"/>
        <w:numPr>
          <w:ilvl w:val="0"/>
          <w:numId w:val="55"/>
        </w:numPr>
        <w:rPr>
          <w:szCs w:val="21"/>
        </w:rPr>
      </w:pPr>
      <w:r>
        <w:rPr>
          <w:szCs w:val="21"/>
        </w:rPr>
        <w:t>转股价格历次调整情况</w:t>
      </w:r>
    </w:p>
    <w:sdt>
      <w:sdtPr>
        <w:alias w:val="是否适用：转股价格历次调整情况[双击切换]"/>
        <w:tag w:val="_GBC_0fe6da18026a4a54834707bcfb7e8798"/>
        <w:id w:val="-481151800"/>
        <w:placeholder>
          <w:docPart w:val="GBC22222222222222222222222222222"/>
        </w:placeholder>
      </w:sdtPr>
      <w:sdtContent>
        <w:p w14:paraId="20F756A5"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BC3C02C" w14:textId="77777777" w:rsidR="005E000F" w:rsidRDefault="00000000">
      <w:pPr>
        <w:pStyle w:val="3"/>
        <w:numPr>
          <w:ilvl w:val="0"/>
          <w:numId w:val="55"/>
        </w:numPr>
        <w:rPr>
          <w:szCs w:val="21"/>
        </w:rPr>
      </w:pPr>
      <w:r>
        <w:rPr>
          <w:szCs w:val="21"/>
        </w:rPr>
        <w:t>公司的负债情况、资信变化情况及在未来年度还债的现金安排</w:t>
      </w:r>
    </w:p>
    <w:sdt>
      <w:sdtPr>
        <w:rPr>
          <w:rFonts w:hint="eastAsia"/>
        </w:rPr>
        <w:alias w:val="是否适用：公司的负债情况、资信变化情况及在未来年度还债的现金安排[双击切换]"/>
        <w:tag w:val="_GBC_0147137d8b4d4bfa8b2d4b32dcdaf596"/>
        <w:id w:val="2125963418"/>
        <w:placeholder>
          <w:docPart w:val="GBC22222222222222222222222222222"/>
        </w:placeholder>
      </w:sdtPr>
      <w:sdtContent>
        <w:p w14:paraId="2FB035B9"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本公司转债发行人的情况说明"/>
        <w:tag w:val="_GBC_4d2f90da635e49e5b39f065fd875f6bf"/>
        <w:id w:val="-1784186083"/>
        <w:placeholder>
          <w:docPart w:val="GBC22222222222222222222222222222"/>
        </w:placeholder>
      </w:sdtPr>
      <w:sdtContent>
        <w:p w14:paraId="1609B69A" w14:textId="77777777" w:rsidR="005E000F" w:rsidRDefault="00000000">
          <w:pPr>
            <w:spacing w:line="360" w:lineRule="auto"/>
            <w:ind w:firstLineChars="200" w:firstLine="420"/>
            <w:jc w:val="both"/>
          </w:pPr>
          <w:r>
            <w:rPr>
              <w:rFonts w:hint="eastAsia"/>
            </w:rPr>
            <w:t>截至本报告期末，公司总资产为</w:t>
          </w:r>
          <w:r>
            <w:rPr>
              <w:rFonts w:hint="eastAsia"/>
            </w:rPr>
            <w:t>2118.18</w:t>
          </w:r>
          <w:r>
            <w:t>亿元，总负债</w:t>
          </w:r>
          <w:r>
            <w:rPr>
              <w:rFonts w:hint="eastAsia"/>
            </w:rPr>
            <w:t>322.79</w:t>
          </w:r>
          <w:r>
            <w:t>亿元，资产负债率为</w:t>
          </w:r>
          <w:r>
            <w:rPr>
              <w:rFonts w:hint="eastAsia"/>
            </w:rPr>
            <w:t>15.24</w:t>
          </w:r>
          <w:r>
            <w:t>%</w:t>
          </w:r>
          <w:r>
            <w:t>。</w:t>
          </w:r>
          <w:r>
            <w:rPr>
              <w:rFonts w:hint="eastAsia"/>
            </w:rPr>
            <w:t>“大秦转债”已于</w:t>
          </w:r>
          <w:r>
            <w:rPr>
              <w:rFonts w:hint="eastAsia"/>
            </w:rPr>
            <w:t>2025</w:t>
          </w:r>
          <w:r>
            <w:rPr>
              <w:rFonts w:hint="eastAsia"/>
            </w:rPr>
            <w:t>年</w:t>
          </w:r>
          <w:r>
            <w:rPr>
              <w:rFonts w:hint="eastAsia"/>
            </w:rPr>
            <w:t>2</w:t>
          </w:r>
          <w:r>
            <w:rPr>
              <w:rFonts w:hint="eastAsia"/>
            </w:rPr>
            <w:t>月</w:t>
          </w:r>
          <w:r>
            <w:rPr>
              <w:rFonts w:hint="eastAsia"/>
            </w:rPr>
            <w:t>11</w:t>
          </w:r>
          <w:r>
            <w:rPr>
              <w:rFonts w:hint="eastAsia"/>
            </w:rPr>
            <w:t>日完成了提前赎回，并于</w:t>
          </w:r>
          <w:r>
            <w:rPr>
              <w:rFonts w:hint="eastAsia"/>
            </w:rPr>
            <w:t>2025</w:t>
          </w:r>
          <w:r>
            <w:rPr>
              <w:rFonts w:hint="eastAsia"/>
            </w:rPr>
            <w:t>年</w:t>
          </w:r>
          <w:r>
            <w:rPr>
              <w:rFonts w:hint="eastAsia"/>
            </w:rPr>
            <w:t>2</w:t>
          </w:r>
          <w:r>
            <w:rPr>
              <w:rFonts w:hint="eastAsia"/>
            </w:rPr>
            <w:t>月</w:t>
          </w:r>
          <w:r>
            <w:rPr>
              <w:rFonts w:hint="eastAsia"/>
            </w:rPr>
            <w:t>11</w:t>
          </w:r>
          <w:r>
            <w:rPr>
              <w:rFonts w:hint="eastAsia"/>
            </w:rPr>
            <w:t>日在上海证券交易所摘牌。</w:t>
          </w:r>
        </w:p>
      </w:sdtContent>
    </w:sdt>
    <w:p w14:paraId="0DAEF4DC" w14:textId="77777777" w:rsidR="005E000F" w:rsidRDefault="00000000">
      <w:pPr>
        <w:pStyle w:val="3"/>
        <w:numPr>
          <w:ilvl w:val="0"/>
          <w:numId w:val="55"/>
        </w:numPr>
        <w:rPr>
          <w:szCs w:val="21"/>
        </w:rPr>
      </w:pPr>
      <w:r>
        <w:rPr>
          <w:szCs w:val="21"/>
        </w:rPr>
        <w:t>转</w:t>
      </w:r>
      <w:proofErr w:type="gramStart"/>
      <w:r>
        <w:rPr>
          <w:szCs w:val="21"/>
        </w:rPr>
        <w:t>债其他</w:t>
      </w:r>
      <w:proofErr w:type="gramEnd"/>
      <w:r>
        <w:rPr>
          <w:szCs w:val="21"/>
        </w:rPr>
        <w:t>情况说明</w:t>
      </w:r>
    </w:p>
    <w:sdt>
      <w:sdtPr>
        <w:rPr>
          <w:rFonts w:hint="eastAsia"/>
        </w:rPr>
        <w:alias w:val="是否适用：转债其他情况说明[双击切换]"/>
        <w:tag w:val="_GBC_503be30271664d9fa07cf3fdadcad09d"/>
        <w:id w:val="1593888285"/>
        <w:placeholder>
          <w:docPart w:val="GBC22222222222222222222222222222"/>
        </w:placeholder>
      </w:sdtPr>
      <w:sdtContent>
        <w:p w14:paraId="0BF45745"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Start w:id="222" w:name="_Hlk192698016" w:displacedByCustomXml="next"/>
    <w:sdt>
      <w:sdtPr>
        <w:rPr>
          <w:rFonts w:hint="eastAsia"/>
        </w:rPr>
        <w:alias w:val="其他转债情况说明"/>
        <w:tag w:val="_GBC_a4eb2509aa4149e0a0f2b62ea6e8faf8"/>
        <w:id w:val="-1767148372"/>
        <w:placeholder>
          <w:docPart w:val="GBC22222222222222222222222222222"/>
        </w:placeholder>
      </w:sdtPr>
      <w:sdtContent>
        <w:p w14:paraId="37C4A026" w14:textId="77777777" w:rsidR="005E000F" w:rsidRDefault="00000000">
          <w:pPr>
            <w:spacing w:line="360" w:lineRule="auto"/>
            <w:ind w:firstLineChars="200" w:firstLine="420"/>
            <w:jc w:val="both"/>
          </w:pPr>
          <w:r>
            <w:rPr>
              <w:rFonts w:hint="eastAsia"/>
            </w:rPr>
            <w:t>根据公司七届十次董事会决议及赎回时间安排，“大秦转债”于</w:t>
          </w:r>
          <w:r>
            <w:rPr>
              <w:rFonts w:hint="eastAsia"/>
            </w:rPr>
            <w:t>2025</w:t>
          </w:r>
          <w:r>
            <w:rPr>
              <w:rFonts w:hint="eastAsia"/>
            </w:rPr>
            <w:t>年</w:t>
          </w:r>
          <w:r>
            <w:rPr>
              <w:rFonts w:hint="eastAsia"/>
            </w:rPr>
            <w:t>2</w:t>
          </w:r>
          <w:r>
            <w:rPr>
              <w:rFonts w:hint="eastAsia"/>
            </w:rPr>
            <w:t>月</w:t>
          </w:r>
          <w:r>
            <w:rPr>
              <w:rFonts w:hint="eastAsia"/>
            </w:rPr>
            <w:t>11</w:t>
          </w:r>
          <w:r>
            <w:rPr>
              <w:rFonts w:hint="eastAsia"/>
            </w:rPr>
            <w:t>日完成了提前赎回，</w:t>
          </w:r>
          <w:r>
            <w:t>赎回总金额</w:t>
          </w:r>
          <w:r>
            <w:rPr>
              <w:rFonts w:hint="eastAsia"/>
            </w:rPr>
            <w:t>为</w:t>
          </w:r>
          <w:r>
            <w:t>19,509,643.57</w:t>
          </w:r>
          <w:r>
            <w:t>元（含当期利息）</w:t>
          </w:r>
          <w:r>
            <w:rPr>
              <w:rFonts w:hint="eastAsia"/>
            </w:rPr>
            <w:t>，赎回完成后，“大秦转债”于</w:t>
          </w:r>
          <w:r>
            <w:rPr>
              <w:rFonts w:hint="eastAsia"/>
            </w:rPr>
            <w:t>2025</w:t>
          </w:r>
          <w:r>
            <w:rPr>
              <w:rFonts w:hint="eastAsia"/>
            </w:rPr>
            <w:t>年</w:t>
          </w:r>
          <w:r>
            <w:rPr>
              <w:rFonts w:hint="eastAsia"/>
            </w:rPr>
            <w:t>2</w:t>
          </w:r>
          <w:r>
            <w:rPr>
              <w:rFonts w:hint="eastAsia"/>
            </w:rPr>
            <w:t>月</w:t>
          </w:r>
          <w:r>
            <w:rPr>
              <w:rFonts w:hint="eastAsia"/>
            </w:rPr>
            <w:t>11</w:t>
          </w:r>
          <w:r>
            <w:rPr>
              <w:rFonts w:hint="eastAsia"/>
            </w:rPr>
            <w:t>日在上海证券交易所摘牌。内容详见</w:t>
          </w:r>
          <w:r>
            <w:rPr>
              <w:rFonts w:hint="eastAsia"/>
            </w:rPr>
            <w:t>2025</w:t>
          </w:r>
          <w:r>
            <w:rPr>
              <w:rFonts w:hint="eastAsia"/>
            </w:rPr>
            <w:t>年</w:t>
          </w:r>
          <w:r>
            <w:rPr>
              <w:rFonts w:hint="eastAsia"/>
            </w:rPr>
            <w:t>2</w:t>
          </w:r>
          <w:r>
            <w:rPr>
              <w:rFonts w:hint="eastAsia"/>
            </w:rPr>
            <w:t>月</w:t>
          </w:r>
          <w:r>
            <w:rPr>
              <w:rFonts w:hint="eastAsia"/>
            </w:rPr>
            <w:t>12</w:t>
          </w:r>
          <w:r>
            <w:rPr>
              <w:rFonts w:hint="eastAsia"/>
            </w:rPr>
            <w:t>日登载于上海证券交易所网站的《大秦铁路</w:t>
          </w:r>
          <w:r>
            <w:t>关于</w:t>
          </w:r>
          <w:r>
            <w:rPr>
              <w:rFonts w:hint="eastAsia"/>
            </w:rPr>
            <w:t>“大秦转债”</w:t>
          </w:r>
          <w:r>
            <w:t>赎回结果暨股份变动的公告</w:t>
          </w:r>
          <w:r>
            <w:rPr>
              <w:rFonts w:hint="eastAsia"/>
            </w:rPr>
            <w:t>》。</w:t>
          </w:r>
        </w:p>
      </w:sdtContent>
    </w:sdt>
    <w:bookmarkEnd w:id="222"/>
    <w:p w14:paraId="0D40A07C" w14:textId="77777777" w:rsidR="005E000F" w:rsidRDefault="005E000F">
      <w:pPr>
        <w:spacing w:line="360" w:lineRule="exact"/>
        <w:ind w:right="5"/>
      </w:pPr>
    </w:p>
    <w:bookmarkEnd w:id="213"/>
    <w:bookmarkEnd w:id="216"/>
    <w:p w14:paraId="03595DE3" w14:textId="77777777" w:rsidR="005E000F" w:rsidRDefault="005E000F">
      <w:pPr>
        <w:spacing w:line="360" w:lineRule="exact"/>
        <w:ind w:right="5"/>
      </w:pPr>
    </w:p>
    <w:p w14:paraId="167380B8" w14:textId="77777777" w:rsidR="005E000F" w:rsidRDefault="00000000">
      <w:pPr>
        <w:pStyle w:val="1"/>
        <w:numPr>
          <w:ilvl w:val="0"/>
          <w:numId w:val="2"/>
        </w:numPr>
        <w:rPr>
          <w:bCs w:val="0"/>
          <w:szCs w:val="28"/>
        </w:rPr>
      </w:pPr>
      <w:bookmarkStart w:id="223" w:name="_Toc407111364"/>
      <w:bookmarkStart w:id="224" w:name="_Toc191024263"/>
      <w:r>
        <w:rPr>
          <w:bCs w:val="0"/>
          <w:szCs w:val="28"/>
        </w:rPr>
        <w:t>财务报告</w:t>
      </w:r>
    </w:p>
    <w:bookmarkEnd w:id="223"/>
    <w:bookmarkEnd w:id="224"/>
    <w:p w14:paraId="681DCF9C" w14:textId="77777777" w:rsidR="005E000F" w:rsidRDefault="00000000">
      <w:pPr>
        <w:pStyle w:val="2"/>
        <w:numPr>
          <w:ilvl w:val="0"/>
          <w:numId w:val="56"/>
        </w:numPr>
        <w:rPr>
          <w:rFonts w:ascii="宋体" w:hAnsi="宋体"/>
        </w:rPr>
      </w:pPr>
      <w:r>
        <w:rPr>
          <w:rFonts w:hint="eastAsia"/>
        </w:rPr>
        <w:t>审计报告</w:t>
      </w:r>
    </w:p>
    <w:sdt>
      <w:sdtPr>
        <w:alias w:val="是否适用：审计报告[双击切换]"/>
        <w:tag w:val="_GBC_8a37b9861aa34a8d89cae86ad0133ffb"/>
        <w:id w:val="847758436"/>
        <w:placeholder>
          <w:docPart w:val="GBC22222222222222222222222222222"/>
        </w:placeholder>
      </w:sdtPr>
      <w:sdtContent>
        <w:p w14:paraId="5AB2796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审计报告全文"/>
        <w:tag w:val="_GBC_08aaee8d8997491cb4fc7ef77b493e65"/>
        <w:id w:val="-1531716604"/>
        <w:placeholder>
          <w:docPart w:val="GBC22222222222222222222222222222"/>
        </w:placeholder>
      </w:sdtPr>
      <w:sdtContent>
        <w:p w14:paraId="0BE917B4" w14:textId="77777777" w:rsidR="005E000F" w:rsidRDefault="00000000">
          <w:pPr>
            <w:jc w:val="center"/>
          </w:pPr>
          <w:r>
            <w:rPr>
              <w:rFonts w:hint="eastAsia"/>
              <w:b/>
              <w:bCs/>
              <w:sz w:val="28"/>
              <w:szCs w:val="28"/>
            </w:rPr>
            <w:t>审计报告</w:t>
          </w:r>
        </w:p>
        <w:p w14:paraId="083F0459" w14:textId="77777777" w:rsidR="005E000F" w:rsidRDefault="005E000F"/>
        <w:p w14:paraId="74968765" w14:textId="77777777" w:rsidR="005E000F" w:rsidRDefault="00000000">
          <w:pPr>
            <w:jc w:val="right"/>
          </w:pPr>
          <w:r>
            <w:rPr>
              <w:rFonts w:hint="eastAsia"/>
            </w:rPr>
            <w:t>XYZH/2026TYAA2B0191</w:t>
          </w:r>
        </w:p>
        <w:p w14:paraId="4DD52F51" w14:textId="77777777" w:rsidR="005E000F" w:rsidRDefault="00000000">
          <w:pPr>
            <w:jc w:val="right"/>
          </w:pPr>
          <w:r>
            <w:rPr>
              <w:rFonts w:hint="eastAsia"/>
            </w:rPr>
            <w:t>大秦铁路股份有限公司</w:t>
          </w:r>
        </w:p>
        <w:p w14:paraId="0685198F" w14:textId="77777777" w:rsidR="005E000F" w:rsidRDefault="005E000F"/>
        <w:p w14:paraId="3B324257" w14:textId="77777777" w:rsidR="005E000F" w:rsidRDefault="00000000">
          <w:pPr>
            <w:rPr>
              <w:b/>
              <w:bCs/>
            </w:rPr>
          </w:pPr>
          <w:r>
            <w:rPr>
              <w:rFonts w:hint="eastAsia"/>
              <w:b/>
              <w:bCs/>
            </w:rPr>
            <w:t>大秦铁路股份有限公司全体股东：</w:t>
          </w:r>
        </w:p>
        <w:p w14:paraId="1227D0B6" w14:textId="77777777" w:rsidR="005E000F" w:rsidRDefault="005E000F"/>
        <w:p w14:paraId="1C7E8613" w14:textId="77777777" w:rsidR="005E000F" w:rsidRDefault="00000000">
          <w:pPr>
            <w:rPr>
              <w:b/>
              <w:bCs/>
            </w:rPr>
          </w:pPr>
          <w:r>
            <w:rPr>
              <w:rFonts w:hint="eastAsia"/>
              <w:b/>
              <w:bCs/>
            </w:rPr>
            <w:t>一、审计意见</w:t>
          </w:r>
        </w:p>
        <w:p w14:paraId="3CEA43F8" w14:textId="77777777" w:rsidR="005E000F" w:rsidRDefault="005E000F"/>
        <w:p w14:paraId="023E5C5C" w14:textId="77777777" w:rsidR="005E000F" w:rsidRDefault="00000000">
          <w:pPr>
            <w:ind w:firstLineChars="200" w:firstLine="420"/>
          </w:pPr>
          <w:r>
            <w:rPr>
              <w:rFonts w:hint="eastAsia"/>
            </w:rPr>
            <w:t>我们审计了大秦铁路股份有限公司（以下简称大秦铁路公司）财务报表，包括</w:t>
          </w:r>
          <w:r>
            <w:rPr>
              <w:rFonts w:hint="eastAsia"/>
            </w:rPr>
            <w:t>2025</w:t>
          </w:r>
          <w:r>
            <w:rPr>
              <w:rFonts w:hint="eastAsia"/>
            </w:rPr>
            <w:t>年</w:t>
          </w:r>
          <w:r>
            <w:rPr>
              <w:rFonts w:hint="eastAsia"/>
            </w:rPr>
            <w:t>12</w:t>
          </w:r>
          <w:r>
            <w:rPr>
              <w:rFonts w:hint="eastAsia"/>
            </w:rPr>
            <w:t>月</w:t>
          </w:r>
          <w:r>
            <w:rPr>
              <w:rFonts w:hint="eastAsia"/>
            </w:rPr>
            <w:t>31</w:t>
          </w:r>
          <w:r>
            <w:rPr>
              <w:rFonts w:hint="eastAsia"/>
            </w:rPr>
            <w:t>日的合并及母公司资产负债表，</w:t>
          </w:r>
          <w:r>
            <w:rPr>
              <w:rFonts w:hint="eastAsia"/>
            </w:rPr>
            <w:t>2025</w:t>
          </w:r>
          <w:r>
            <w:rPr>
              <w:rFonts w:hint="eastAsia"/>
            </w:rPr>
            <w:t>年度的合并及母公司利润表、合并及母公司现金流量表、合并及母公司股东权益变动表，以及相关财务报表附注。</w:t>
          </w:r>
        </w:p>
        <w:p w14:paraId="2D69F20A" w14:textId="77777777" w:rsidR="005E000F" w:rsidRDefault="005E000F">
          <w:pPr>
            <w:ind w:firstLineChars="200" w:firstLine="420"/>
          </w:pPr>
        </w:p>
        <w:p w14:paraId="54774173" w14:textId="77777777" w:rsidR="005E000F" w:rsidRDefault="00000000">
          <w:pPr>
            <w:ind w:firstLineChars="200" w:firstLine="420"/>
          </w:pPr>
          <w:r>
            <w:rPr>
              <w:rFonts w:hint="eastAsia"/>
            </w:rPr>
            <w:t>我们认为，后附的财务报表在所有重大方面按照企业会计准则的规定编制，公允反映了大秦铁路公司</w:t>
          </w:r>
          <w:r>
            <w:rPr>
              <w:rFonts w:hint="eastAsia"/>
            </w:rPr>
            <w:t>2025</w:t>
          </w:r>
          <w:r>
            <w:rPr>
              <w:rFonts w:hint="eastAsia"/>
            </w:rPr>
            <w:t>年</w:t>
          </w:r>
          <w:r>
            <w:rPr>
              <w:rFonts w:hint="eastAsia"/>
            </w:rPr>
            <w:t>12</w:t>
          </w:r>
          <w:r>
            <w:rPr>
              <w:rFonts w:hint="eastAsia"/>
            </w:rPr>
            <w:t>月</w:t>
          </w:r>
          <w:r>
            <w:rPr>
              <w:rFonts w:hint="eastAsia"/>
            </w:rPr>
            <w:t>31</w:t>
          </w:r>
          <w:r>
            <w:rPr>
              <w:rFonts w:hint="eastAsia"/>
            </w:rPr>
            <w:t>日的合并及母公司财务状况以及</w:t>
          </w:r>
          <w:r>
            <w:rPr>
              <w:rFonts w:hint="eastAsia"/>
            </w:rPr>
            <w:t>2025</w:t>
          </w:r>
          <w:r>
            <w:rPr>
              <w:rFonts w:hint="eastAsia"/>
            </w:rPr>
            <w:t>年度的合并及母公司经营成果和现金流量。</w:t>
          </w:r>
        </w:p>
        <w:p w14:paraId="7E16C51F" w14:textId="77777777" w:rsidR="005E000F" w:rsidRDefault="005E000F">
          <w:pPr>
            <w:rPr>
              <w:b/>
              <w:bCs/>
            </w:rPr>
          </w:pPr>
        </w:p>
        <w:p w14:paraId="4A952920" w14:textId="77777777" w:rsidR="005E000F" w:rsidRDefault="00000000">
          <w:pPr>
            <w:rPr>
              <w:b/>
              <w:bCs/>
            </w:rPr>
          </w:pPr>
          <w:r>
            <w:rPr>
              <w:rFonts w:hint="eastAsia"/>
              <w:b/>
              <w:bCs/>
            </w:rPr>
            <w:t>二、形成审计意见的基础</w:t>
          </w:r>
        </w:p>
        <w:p w14:paraId="57579BFF" w14:textId="77777777" w:rsidR="005E000F" w:rsidRDefault="005E000F"/>
        <w:p w14:paraId="57086AA4" w14:textId="77777777" w:rsidR="005E000F" w:rsidRDefault="00000000">
          <w:pPr>
            <w:ind w:firstLineChars="200" w:firstLine="420"/>
          </w:pPr>
          <w:r>
            <w:rPr>
              <w:rFonts w:hint="eastAsia"/>
            </w:rPr>
            <w:t>我们按照中国注册会计师审计准则的规定执行了审计工作。审计报告的“注册会计师对财务报表审计的责任”部分进一步阐述了我们在这些准则下的责任。按照中国注册会计师独立性准则和中国注册会计师职业道德守则中适用于公众利益实体财务报表审计的独立性要求，我们独立于大秦铁路公司，并履行了独立性和职业道德方面的其他责任。我们相信，我们获取的审计证据是充分、适当的，为发表审计意见提供了基础。</w:t>
          </w:r>
        </w:p>
        <w:p w14:paraId="78EFE9B8" w14:textId="77777777" w:rsidR="005E000F" w:rsidRDefault="005E000F"/>
        <w:p w14:paraId="26E63760" w14:textId="77777777" w:rsidR="005E000F" w:rsidRDefault="00000000">
          <w:pPr>
            <w:rPr>
              <w:b/>
              <w:bCs/>
            </w:rPr>
          </w:pPr>
          <w:r>
            <w:rPr>
              <w:rFonts w:hint="eastAsia"/>
              <w:b/>
              <w:bCs/>
            </w:rPr>
            <w:t>三、关键审计事项</w:t>
          </w:r>
        </w:p>
        <w:p w14:paraId="68E71758" w14:textId="77777777" w:rsidR="005E000F" w:rsidRDefault="005E000F"/>
        <w:p w14:paraId="04777106" w14:textId="77777777" w:rsidR="005E000F" w:rsidRDefault="00000000">
          <w:pPr>
            <w:ind w:firstLineChars="200" w:firstLine="420"/>
          </w:pPr>
          <w:r>
            <w:rPr>
              <w:rFonts w:hint="eastAsia"/>
            </w:rPr>
            <w:t>关键审计事项是我们根据职业判断，认为对本期财务报表审计最为重要的事项。这些事项的应对以对财务报表整体进行审计并形成审计意见为背景，我们不对这些事项单独发表意见。</w:t>
          </w:r>
        </w:p>
        <w:p w14:paraId="7537B5CA" w14:textId="77777777" w:rsidR="005E000F" w:rsidRDefault="005E000F">
          <w:pPr>
            <w:ind w:firstLineChars="200" w:firstLine="42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39"/>
          </w:tblGrid>
          <w:tr w:rsidR="005E000F" w14:paraId="1777FCB2" w14:textId="77777777">
            <w:trPr>
              <w:trHeight w:val="397"/>
              <w:jc w:val="center"/>
            </w:trPr>
            <w:tc>
              <w:tcPr>
                <w:tcW w:w="5000" w:type="pct"/>
                <w:gridSpan w:val="2"/>
                <w:vAlign w:val="center"/>
              </w:tcPr>
              <w:p w14:paraId="7545F294" w14:textId="77777777" w:rsidR="005E000F" w:rsidRDefault="00000000">
                <w:r>
                  <w:rPr>
                    <w:rFonts w:hint="eastAsia"/>
                    <w:b/>
                    <w:bCs/>
                  </w:rPr>
                  <w:t>1.</w:t>
                </w:r>
                <w:r>
                  <w:rPr>
                    <w:rFonts w:hint="eastAsia"/>
                    <w:b/>
                    <w:bCs/>
                  </w:rPr>
                  <w:t>应收账款坏账准备</w:t>
                </w:r>
              </w:p>
            </w:tc>
          </w:tr>
          <w:tr w:rsidR="005E000F" w14:paraId="3D6BD3AE" w14:textId="77777777">
            <w:trPr>
              <w:trHeight w:val="397"/>
              <w:jc w:val="center"/>
            </w:trPr>
            <w:tc>
              <w:tcPr>
                <w:tcW w:w="2437" w:type="pct"/>
                <w:vAlign w:val="center"/>
              </w:tcPr>
              <w:p w14:paraId="712605EA" w14:textId="77777777" w:rsidR="005E000F" w:rsidRDefault="00000000">
                <w:pPr>
                  <w:jc w:val="center"/>
                  <w:rPr>
                    <w:b/>
                    <w:bCs/>
                  </w:rPr>
                </w:pPr>
                <w:r>
                  <w:rPr>
                    <w:rFonts w:hint="eastAsia"/>
                    <w:b/>
                    <w:bCs/>
                  </w:rPr>
                  <w:t>关键审计事项</w:t>
                </w:r>
              </w:p>
            </w:tc>
            <w:tc>
              <w:tcPr>
                <w:tcW w:w="2562" w:type="pct"/>
                <w:vAlign w:val="center"/>
              </w:tcPr>
              <w:p w14:paraId="5ABDC643" w14:textId="77777777" w:rsidR="005E000F" w:rsidRDefault="00000000">
                <w:pPr>
                  <w:jc w:val="center"/>
                  <w:rPr>
                    <w:b/>
                    <w:bCs/>
                  </w:rPr>
                </w:pPr>
                <w:r>
                  <w:rPr>
                    <w:rFonts w:hint="eastAsia"/>
                    <w:b/>
                    <w:bCs/>
                  </w:rPr>
                  <w:t>审计中的应对</w:t>
                </w:r>
              </w:p>
            </w:tc>
          </w:tr>
          <w:tr w:rsidR="005E000F" w14:paraId="68E3E389" w14:textId="77777777">
            <w:trPr>
              <w:trHeight w:val="397"/>
              <w:jc w:val="center"/>
            </w:trPr>
            <w:tc>
              <w:tcPr>
                <w:tcW w:w="2437" w:type="pct"/>
              </w:tcPr>
              <w:p w14:paraId="6CA47DCB" w14:textId="77777777" w:rsidR="005E000F" w:rsidRDefault="00000000">
                <w:r>
                  <w:rPr>
                    <w:rFonts w:hint="eastAsia"/>
                  </w:rPr>
                  <w:t>2025</w:t>
                </w:r>
                <w:r>
                  <w:rPr>
                    <w:rFonts w:hint="eastAsia"/>
                  </w:rPr>
                  <w:t>年</w:t>
                </w:r>
                <w:r>
                  <w:rPr>
                    <w:rFonts w:hint="eastAsia"/>
                  </w:rPr>
                  <w:t>12</w:t>
                </w:r>
                <w:r>
                  <w:rPr>
                    <w:rFonts w:hint="eastAsia"/>
                  </w:rPr>
                  <w:t>月</w:t>
                </w:r>
                <w:r>
                  <w:rPr>
                    <w:rFonts w:hint="eastAsia"/>
                  </w:rPr>
                  <w:t>31</w:t>
                </w:r>
                <w:r>
                  <w:rPr>
                    <w:rFonts w:hint="eastAsia"/>
                  </w:rPr>
                  <w:t>日，大秦铁路公司及其子公司</w:t>
                </w:r>
                <w:r>
                  <w:rPr>
                    <w:rFonts w:hint="eastAsia"/>
                  </w:rPr>
                  <w:t>(</w:t>
                </w:r>
                <w:r>
                  <w:rPr>
                    <w:rFonts w:hint="eastAsia"/>
                  </w:rPr>
                  <w:t>以下简称“大秦铁路集团”</w:t>
                </w:r>
                <w:r>
                  <w:rPr>
                    <w:rFonts w:hint="eastAsia"/>
                  </w:rPr>
                  <w:t>)</w:t>
                </w:r>
                <w:r>
                  <w:rPr>
                    <w:rFonts w:hint="eastAsia"/>
                  </w:rPr>
                  <w:t>应收账款余额为人民币</w:t>
                </w:r>
                <w:r>
                  <w:rPr>
                    <w:rFonts w:hint="eastAsia"/>
                  </w:rPr>
                  <w:t>4,200,985,954</w:t>
                </w:r>
                <w:r>
                  <w:rPr>
                    <w:rFonts w:hint="eastAsia"/>
                  </w:rPr>
                  <w:t>元，已计提坏账准备人民币</w:t>
                </w:r>
                <w:r>
                  <w:rPr>
                    <w:rFonts w:hint="eastAsia"/>
                  </w:rPr>
                  <w:t>71,227,013</w:t>
                </w:r>
                <w:r>
                  <w:rPr>
                    <w:rFonts w:hint="eastAsia"/>
                  </w:rPr>
                  <w:t>元。大秦铁路集团应收账款主要来自大秦铁路公司之母公司中国铁路太原</w:t>
                </w:r>
                <w:proofErr w:type="gramStart"/>
                <w:r>
                  <w:rPr>
                    <w:rFonts w:hint="eastAsia"/>
                  </w:rPr>
                  <w:t>局集团</w:t>
                </w:r>
                <w:proofErr w:type="gramEnd"/>
                <w:r>
                  <w:rPr>
                    <w:rFonts w:hint="eastAsia"/>
                  </w:rPr>
                  <w:t>有限公司或实际控制人中国国家铁路集团有限公司</w:t>
                </w:r>
                <w:r>
                  <w:rPr>
                    <w:rFonts w:hint="eastAsia"/>
                  </w:rPr>
                  <w:t>(</w:t>
                </w:r>
                <w:r>
                  <w:rPr>
                    <w:rFonts w:hint="eastAsia"/>
                  </w:rPr>
                  <w:t>以下简称“国铁集团”</w:t>
                </w:r>
                <w:r>
                  <w:rPr>
                    <w:rFonts w:hint="eastAsia"/>
                  </w:rPr>
                  <w:t>)</w:t>
                </w:r>
                <w:r>
                  <w:rPr>
                    <w:rFonts w:hint="eastAsia"/>
                  </w:rPr>
                  <w:t>投资的公司或下属单位。</w:t>
                </w:r>
              </w:p>
              <w:p w14:paraId="7D7ACECD" w14:textId="77777777" w:rsidR="005E000F" w:rsidRDefault="005E000F"/>
              <w:p w14:paraId="6B5C8AA0" w14:textId="77777777" w:rsidR="005E000F" w:rsidRDefault="00000000">
                <w:r>
                  <w:rPr>
                    <w:rFonts w:hint="eastAsia"/>
                  </w:rPr>
                  <w:t>管理层基于每类应收账款的预期损失率，按照相当于整个存续期内预期信用损失的金额计量应收账款坏账准备。预期损失率考虑应收账款账龄、大秦铁路集团不同信用风险特征客户的回收历史、当前市场情况、客户特定情况和前瞻性信息。该评估涉及重大的管理</w:t>
                </w:r>
                <w:proofErr w:type="gramStart"/>
                <w:r>
                  <w:rPr>
                    <w:rFonts w:hint="eastAsia"/>
                  </w:rPr>
                  <w:t>层判断</w:t>
                </w:r>
                <w:proofErr w:type="gramEnd"/>
                <w:r>
                  <w:rPr>
                    <w:rFonts w:hint="eastAsia"/>
                  </w:rPr>
                  <w:t>和估计。</w:t>
                </w:r>
              </w:p>
              <w:p w14:paraId="583F1B94" w14:textId="77777777" w:rsidR="005E000F" w:rsidRDefault="005E000F"/>
              <w:p w14:paraId="0811D58F" w14:textId="77777777" w:rsidR="005E000F" w:rsidRDefault="00000000">
                <w:r>
                  <w:rPr>
                    <w:rFonts w:hint="eastAsia"/>
                  </w:rPr>
                  <w:t>由于坏账准备的确定涉及重大的管理层判断，且其存在固有不确定性，我们将应收账款坏账准备识别为关键审计事项。</w:t>
                </w:r>
              </w:p>
              <w:p w14:paraId="2F3A8BCB" w14:textId="77777777" w:rsidR="005E000F" w:rsidRDefault="005E000F"/>
              <w:p w14:paraId="7411B11A" w14:textId="77777777" w:rsidR="005E000F" w:rsidRDefault="00000000">
                <w:r>
                  <w:rPr>
                    <w:rFonts w:hint="eastAsia"/>
                  </w:rPr>
                  <w:t>请参阅财务报表【附注五、</w:t>
                </w:r>
                <w:r>
                  <w:rPr>
                    <w:rFonts w:hint="eastAsia"/>
                  </w:rPr>
                  <w:t>13</w:t>
                </w:r>
                <w:r>
                  <w:rPr>
                    <w:rFonts w:hint="eastAsia"/>
                  </w:rPr>
                  <w:t>】所述的会计政策及【附注七、</w:t>
                </w:r>
                <w:r>
                  <w:rPr>
                    <w:rFonts w:hint="eastAsia"/>
                  </w:rPr>
                  <w:t>5</w:t>
                </w:r>
                <w:r>
                  <w:rPr>
                    <w:rFonts w:hint="eastAsia"/>
                  </w:rPr>
                  <w:t>】【附注十九、</w:t>
                </w:r>
                <w:r>
                  <w:rPr>
                    <w:rFonts w:hint="eastAsia"/>
                  </w:rPr>
                  <w:t>1</w:t>
                </w:r>
                <w:r>
                  <w:rPr>
                    <w:rFonts w:hint="eastAsia"/>
                  </w:rPr>
                  <w:t>】。</w:t>
                </w:r>
              </w:p>
            </w:tc>
            <w:tc>
              <w:tcPr>
                <w:tcW w:w="2562" w:type="pct"/>
              </w:tcPr>
              <w:p w14:paraId="65C421C9" w14:textId="77777777" w:rsidR="005E000F" w:rsidRDefault="00000000">
                <w:r>
                  <w:rPr>
                    <w:rFonts w:hint="eastAsia"/>
                  </w:rPr>
                  <w:t>与评价应收账款坏账准备相关的审计程序中包括以下程序：</w:t>
                </w:r>
              </w:p>
              <w:p w14:paraId="3051193A" w14:textId="77777777" w:rsidR="005E000F" w:rsidRDefault="005E000F"/>
              <w:p w14:paraId="32418D8E" w14:textId="77777777" w:rsidR="005E000F" w:rsidRDefault="00000000">
                <w:r>
                  <w:rPr>
                    <w:rFonts w:hint="eastAsia"/>
                  </w:rPr>
                  <w:t>（</w:t>
                </w:r>
                <w:r>
                  <w:rPr>
                    <w:rFonts w:hint="eastAsia"/>
                  </w:rPr>
                  <w:t>1</w:t>
                </w:r>
                <w:r>
                  <w:rPr>
                    <w:rFonts w:hint="eastAsia"/>
                  </w:rPr>
                  <w:t>）了解与应收账款组合划分、预期信用损失估计相关的关键财务报告内部控制；</w:t>
                </w:r>
              </w:p>
              <w:p w14:paraId="17E03F01" w14:textId="77777777" w:rsidR="005E000F" w:rsidRDefault="005E000F"/>
              <w:p w14:paraId="10DDC89B" w14:textId="77777777" w:rsidR="005E000F" w:rsidRDefault="00000000">
                <w:r>
                  <w:rPr>
                    <w:rFonts w:hint="eastAsia"/>
                  </w:rPr>
                  <w:t>（</w:t>
                </w:r>
                <w:r>
                  <w:rPr>
                    <w:rFonts w:hint="eastAsia"/>
                  </w:rPr>
                  <w:t>2</w:t>
                </w:r>
                <w:r>
                  <w:rPr>
                    <w:rFonts w:hint="eastAsia"/>
                  </w:rPr>
                  <w:t>）按照相关会计准则的要求，评价大秦铁路集团估计信用损失准备的会计政策；</w:t>
                </w:r>
              </w:p>
              <w:p w14:paraId="2765A17A" w14:textId="77777777" w:rsidR="005E000F" w:rsidRDefault="005E000F"/>
              <w:p w14:paraId="00F07D85" w14:textId="77777777" w:rsidR="005E000F" w:rsidRDefault="00000000">
                <w:r>
                  <w:rPr>
                    <w:rFonts w:hint="eastAsia"/>
                  </w:rPr>
                  <w:t>（</w:t>
                </w:r>
                <w:r>
                  <w:rPr>
                    <w:rFonts w:hint="eastAsia"/>
                  </w:rPr>
                  <w:t>3</w:t>
                </w:r>
                <w:r>
                  <w:rPr>
                    <w:rFonts w:hint="eastAsia"/>
                  </w:rPr>
                  <w:t>）了解管理层预期信用损失模型中所运用的关键参数及假设，包括管理层基于客户信用风险特征对应收账款进行分组的基础、以及管理层预期损失率中包含的历史违约数据等；</w:t>
                </w:r>
              </w:p>
              <w:p w14:paraId="250C13A3" w14:textId="77777777" w:rsidR="005E000F" w:rsidRDefault="005E000F"/>
              <w:p w14:paraId="5B5A1028" w14:textId="77777777" w:rsidR="005E000F" w:rsidRDefault="00000000">
                <w:r>
                  <w:rPr>
                    <w:rFonts w:hint="eastAsia"/>
                  </w:rPr>
                  <w:t>（</w:t>
                </w:r>
                <w:r>
                  <w:rPr>
                    <w:rFonts w:hint="eastAsia"/>
                  </w:rPr>
                  <w:t>4</w:t>
                </w:r>
                <w:r>
                  <w:rPr>
                    <w:rFonts w:hint="eastAsia"/>
                  </w:rPr>
                  <w:t>）通过检查管理</w:t>
                </w:r>
                <w:proofErr w:type="gramStart"/>
                <w:r>
                  <w:rPr>
                    <w:rFonts w:hint="eastAsia"/>
                  </w:rPr>
                  <w:t>层用于</w:t>
                </w:r>
                <w:proofErr w:type="gramEnd"/>
                <w:r>
                  <w:rPr>
                    <w:rFonts w:hint="eastAsia"/>
                  </w:rPr>
                  <w:t>做出判断的信息，包括测试历史违约数据的准确性，评估历史损失率是否需要根据当前经济状况及前瞻性信息进行调整，评价管理层对于坏账准备估计的合理性；</w:t>
                </w:r>
              </w:p>
              <w:p w14:paraId="292ABFDD" w14:textId="77777777" w:rsidR="005E000F" w:rsidRDefault="005E000F"/>
              <w:p w14:paraId="680F3DAD" w14:textId="77777777" w:rsidR="005E000F" w:rsidRDefault="00000000">
                <w:r>
                  <w:rPr>
                    <w:rFonts w:hint="eastAsia"/>
                  </w:rPr>
                  <w:t>（</w:t>
                </w:r>
                <w:r>
                  <w:rPr>
                    <w:rFonts w:hint="eastAsia"/>
                  </w:rPr>
                  <w:t>5</w:t>
                </w:r>
                <w:r>
                  <w:rPr>
                    <w:rFonts w:hint="eastAsia"/>
                  </w:rPr>
                  <w:t>）从应收账款账龄分析报告中选取测试项目，核对至相关支持性文件，以评价账龄分析报告中的账龄区间划分的准确性；</w:t>
                </w:r>
              </w:p>
              <w:p w14:paraId="2BBDFF20" w14:textId="77777777" w:rsidR="005E000F" w:rsidRDefault="005E000F"/>
              <w:p w14:paraId="32F129F8" w14:textId="77777777" w:rsidR="005E000F" w:rsidRDefault="00000000">
                <w:r>
                  <w:rPr>
                    <w:rFonts w:hint="eastAsia"/>
                  </w:rPr>
                  <w:t>（</w:t>
                </w:r>
                <w:r>
                  <w:rPr>
                    <w:rFonts w:hint="eastAsia"/>
                  </w:rPr>
                  <w:t>6</w:t>
                </w:r>
                <w:r>
                  <w:rPr>
                    <w:rFonts w:hint="eastAsia"/>
                  </w:rPr>
                  <w:t>）基于大秦铁路集团信用损失准备计提的会计政策重新计算于</w:t>
                </w:r>
                <w:r>
                  <w:rPr>
                    <w:rFonts w:hint="eastAsia"/>
                  </w:rPr>
                  <w:t>2025</w:t>
                </w:r>
                <w:r>
                  <w:rPr>
                    <w:rFonts w:hint="eastAsia"/>
                  </w:rPr>
                  <w:t>年</w:t>
                </w:r>
                <w:r>
                  <w:rPr>
                    <w:rFonts w:hint="eastAsia"/>
                  </w:rPr>
                  <w:t>12</w:t>
                </w:r>
                <w:r>
                  <w:rPr>
                    <w:rFonts w:hint="eastAsia"/>
                  </w:rPr>
                  <w:t>月</w:t>
                </w:r>
                <w:r>
                  <w:rPr>
                    <w:rFonts w:hint="eastAsia"/>
                  </w:rPr>
                  <w:t>31</w:t>
                </w:r>
                <w:r>
                  <w:rPr>
                    <w:rFonts w:hint="eastAsia"/>
                  </w:rPr>
                  <w:t>日的坏账准备。</w:t>
                </w:r>
              </w:p>
            </w:tc>
          </w:tr>
          <w:tr w:rsidR="005E000F" w14:paraId="65421B65" w14:textId="77777777">
            <w:trPr>
              <w:trHeight w:val="397"/>
              <w:jc w:val="center"/>
            </w:trPr>
            <w:tc>
              <w:tcPr>
                <w:tcW w:w="5000" w:type="pct"/>
                <w:gridSpan w:val="2"/>
              </w:tcPr>
              <w:p w14:paraId="099CF3D0" w14:textId="77777777" w:rsidR="005E000F" w:rsidRDefault="00000000">
                <w:pPr>
                  <w:rPr>
                    <w:b/>
                    <w:bCs/>
                  </w:rPr>
                </w:pPr>
                <w:r>
                  <w:rPr>
                    <w:rFonts w:hint="eastAsia"/>
                    <w:b/>
                    <w:bCs/>
                  </w:rPr>
                  <w:t>2.</w:t>
                </w:r>
                <w:r>
                  <w:rPr>
                    <w:rFonts w:hint="eastAsia"/>
                    <w:b/>
                    <w:bCs/>
                  </w:rPr>
                  <w:t>铁路运输服务收入确认</w:t>
                </w:r>
              </w:p>
            </w:tc>
          </w:tr>
          <w:tr w:rsidR="005E000F" w14:paraId="7C194D00" w14:textId="77777777">
            <w:trPr>
              <w:trHeight w:val="397"/>
              <w:jc w:val="center"/>
            </w:trPr>
            <w:tc>
              <w:tcPr>
                <w:tcW w:w="2437" w:type="pct"/>
                <w:vAlign w:val="center"/>
              </w:tcPr>
              <w:p w14:paraId="3421F1AC" w14:textId="77777777" w:rsidR="005E000F" w:rsidRDefault="00000000">
                <w:pPr>
                  <w:jc w:val="center"/>
                  <w:rPr>
                    <w:b/>
                    <w:bCs/>
                  </w:rPr>
                </w:pPr>
                <w:r>
                  <w:rPr>
                    <w:rFonts w:hint="eastAsia"/>
                    <w:b/>
                    <w:bCs/>
                  </w:rPr>
                  <w:t>关键审计事项</w:t>
                </w:r>
              </w:p>
            </w:tc>
            <w:tc>
              <w:tcPr>
                <w:tcW w:w="2562" w:type="pct"/>
                <w:vAlign w:val="center"/>
              </w:tcPr>
              <w:p w14:paraId="15411041" w14:textId="77777777" w:rsidR="005E000F" w:rsidRDefault="00000000">
                <w:pPr>
                  <w:jc w:val="center"/>
                  <w:rPr>
                    <w:b/>
                    <w:bCs/>
                  </w:rPr>
                </w:pPr>
                <w:r>
                  <w:rPr>
                    <w:rFonts w:hint="eastAsia"/>
                    <w:b/>
                    <w:bCs/>
                  </w:rPr>
                  <w:t>审计中的应对</w:t>
                </w:r>
              </w:p>
            </w:tc>
          </w:tr>
          <w:tr w:rsidR="005E000F" w14:paraId="4B38592A" w14:textId="77777777">
            <w:trPr>
              <w:trHeight w:val="397"/>
              <w:jc w:val="center"/>
            </w:trPr>
            <w:tc>
              <w:tcPr>
                <w:tcW w:w="2437" w:type="pct"/>
              </w:tcPr>
              <w:p w14:paraId="71ABEC76" w14:textId="77777777" w:rsidR="005E000F" w:rsidRDefault="00000000">
                <w:r>
                  <w:rPr>
                    <w:rFonts w:hint="eastAsia"/>
                  </w:rPr>
                  <w:t>大秦铁路集团的收入主要来源于铁路运输服务收入，包括客运收入、货运收入及提供服务收入。铁路运输服务收入在提供相关运输服务时确认为收入。</w:t>
                </w:r>
              </w:p>
              <w:p w14:paraId="6B9B679F" w14:textId="77777777" w:rsidR="005E000F" w:rsidRDefault="005E000F"/>
              <w:p w14:paraId="43E3293C" w14:textId="77777777" w:rsidR="005E000F" w:rsidRDefault="00000000">
                <w:r>
                  <w:rPr>
                    <w:rFonts w:hint="eastAsia"/>
                  </w:rPr>
                  <w:t>大秦铁路集团的铁路运输收入采用信息技术系统，通过信息技术系统对铁路运输基础数据进行处理，根据国铁集团统一的清算规则以确定收入的确认时点和准确金额。</w:t>
                </w:r>
              </w:p>
              <w:p w14:paraId="7CB1C0FA" w14:textId="77777777" w:rsidR="005E000F" w:rsidRDefault="005E000F"/>
              <w:p w14:paraId="4A454363" w14:textId="77777777" w:rsidR="005E000F" w:rsidRDefault="00000000">
                <w:r>
                  <w:rPr>
                    <w:rFonts w:hint="eastAsia"/>
                  </w:rPr>
                  <w:t>收入是大秦铁路集团的关键绩效指标之一，涉及信息系统对运输基础数据进行处理，可能会导致收入确认金额不准确或计入不正确的会计期间，因此，我们将铁路运输服务收入确认识别为关键审计事项。</w:t>
                </w:r>
              </w:p>
              <w:p w14:paraId="5E36FD83" w14:textId="77777777" w:rsidR="005E000F" w:rsidRDefault="005E000F"/>
              <w:p w14:paraId="7EA86E8A" w14:textId="77777777" w:rsidR="005E000F" w:rsidRDefault="00000000">
                <w:r>
                  <w:rPr>
                    <w:rFonts w:hint="eastAsia"/>
                  </w:rPr>
                  <w:t>请参阅财务报表【附注五、</w:t>
                </w:r>
                <w:r>
                  <w:rPr>
                    <w:rFonts w:hint="eastAsia"/>
                  </w:rPr>
                  <w:t>34</w:t>
                </w:r>
                <w:r>
                  <w:rPr>
                    <w:rFonts w:hint="eastAsia"/>
                  </w:rPr>
                  <w:t>】所述的会计政策及【附注七、</w:t>
                </w:r>
                <w:r>
                  <w:rPr>
                    <w:rFonts w:hint="eastAsia"/>
                  </w:rPr>
                  <w:t>61</w:t>
                </w:r>
                <w:r>
                  <w:rPr>
                    <w:rFonts w:hint="eastAsia"/>
                  </w:rPr>
                  <w:t>】【附注十九、</w:t>
                </w:r>
                <w:r>
                  <w:rPr>
                    <w:rFonts w:hint="eastAsia"/>
                  </w:rPr>
                  <w:t>4</w:t>
                </w:r>
                <w:r>
                  <w:rPr>
                    <w:rFonts w:hint="eastAsia"/>
                  </w:rPr>
                  <w:t>】。</w:t>
                </w:r>
              </w:p>
            </w:tc>
            <w:tc>
              <w:tcPr>
                <w:tcW w:w="2562" w:type="pct"/>
              </w:tcPr>
              <w:p w14:paraId="1EA5B02D" w14:textId="77777777" w:rsidR="005E000F" w:rsidRDefault="00000000">
                <w:r>
                  <w:rPr>
                    <w:rFonts w:hint="eastAsia"/>
                  </w:rPr>
                  <w:lastRenderedPageBreak/>
                  <w:t>与评价收入确认相关的审计程序中包括以下程序：</w:t>
                </w:r>
              </w:p>
              <w:p w14:paraId="5564748E" w14:textId="77777777" w:rsidR="005E000F" w:rsidRDefault="00000000">
                <w:r>
                  <w:rPr>
                    <w:rFonts w:hint="eastAsia"/>
                  </w:rPr>
                  <w:t>（</w:t>
                </w:r>
                <w:r>
                  <w:rPr>
                    <w:rFonts w:hint="eastAsia"/>
                  </w:rPr>
                  <w:t>1</w:t>
                </w:r>
                <w:r>
                  <w:rPr>
                    <w:rFonts w:hint="eastAsia"/>
                  </w:rPr>
                  <w:t>）了解和评价与收入确认相关的关键财务报告内部控制的设计和运行有效性；</w:t>
                </w:r>
              </w:p>
              <w:p w14:paraId="09D84CFF" w14:textId="77777777" w:rsidR="005E000F" w:rsidRDefault="005E000F"/>
              <w:p w14:paraId="4A0E8B35" w14:textId="77777777" w:rsidR="005E000F" w:rsidRDefault="00000000">
                <w:r>
                  <w:rPr>
                    <w:rFonts w:hint="eastAsia"/>
                  </w:rPr>
                  <w:t>（</w:t>
                </w:r>
                <w:r>
                  <w:rPr>
                    <w:rFonts w:hint="eastAsia"/>
                  </w:rPr>
                  <w:t>2</w:t>
                </w:r>
                <w:r>
                  <w:rPr>
                    <w:rFonts w:hint="eastAsia"/>
                  </w:rPr>
                  <w:t>）利用我们的信息技术专家工作，了解和评价相关信息系统的设计和运行有效性，包括：信息技术一般控制、相关数据运算逻辑设置、数据传输等；</w:t>
                </w:r>
              </w:p>
              <w:p w14:paraId="2AFF4F6A" w14:textId="77777777" w:rsidR="005E000F" w:rsidRDefault="005E000F"/>
              <w:p w14:paraId="1F966336" w14:textId="77777777" w:rsidR="005E000F" w:rsidRDefault="00000000">
                <w:r>
                  <w:rPr>
                    <w:rFonts w:hint="eastAsia"/>
                  </w:rPr>
                  <w:t>（</w:t>
                </w:r>
                <w:r>
                  <w:rPr>
                    <w:rFonts w:hint="eastAsia"/>
                  </w:rPr>
                  <w:t>3</w:t>
                </w:r>
                <w:r>
                  <w:rPr>
                    <w:rFonts w:hint="eastAsia"/>
                  </w:rPr>
                  <w:t>）使用计算机辅助审计技术，从收入确认相关信息系统中提取数据，抽查验算收入归集与分类的金额，并将相关结果与大秦铁路集团财务记录进行核对；</w:t>
                </w:r>
              </w:p>
              <w:p w14:paraId="6768CFF4" w14:textId="77777777" w:rsidR="005E000F" w:rsidRDefault="005E000F"/>
              <w:p w14:paraId="3AFEAC77" w14:textId="77777777" w:rsidR="005E000F" w:rsidRDefault="00000000">
                <w:r>
                  <w:rPr>
                    <w:rFonts w:hint="eastAsia"/>
                  </w:rPr>
                  <w:t>（</w:t>
                </w:r>
                <w:r>
                  <w:rPr>
                    <w:rFonts w:hint="eastAsia"/>
                  </w:rPr>
                  <w:t>4</w:t>
                </w:r>
                <w:r>
                  <w:rPr>
                    <w:rFonts w:hint="eastAsia"/>
                  </w:rPr>
                  <w:t>）在抽样的基础上，将大秦铁路集团的客运、货运运费收入核对至收款记录；</w:t>
                </w:r>
              </w:p>
              <w:p w14:paraId="572B2F7D" w14:textId="77777777" w:rsidR="005E000F" w:rsidRDefault="005E000F"/>
              <w:p w14:paraId="2EC9BB95" w14:textId="77777777" w:rsidR="005E000F" w:rsidRDefault="00000000">
                <w:r>
                  <w:rPr>
                    <w:rFonts w:hint="eastAsia"/>
                  </w:rPr>
                  <w:t>（</w:t>
                </w:r>
                <w:r>
                  <w:rPr>
                    <w:rFonts w:hint="eastAsia"/>
                  </w:rPr>
                  <w:t>5</w:t>
                </w:r>
                <w:r>
                  <w:rPr>
                    <w:rFonts w:hint="eastAsia"/>
                  </w:rPr>
                  <w:t>）将铁路运输服务收入与国铁集团的《清算资金通知清单》中的相关金额进行核对，并向国铁集团函证，以确认铁路运输服务收入金额的准确性；</w:t>
                </w:r>
              </w:p>
              <w:p w14:paraId="0C2E0F8F" w14:textId="77777777" w:rsidR="005E000F" w:rsidRDefault="005E000F"/>
              <w:p w14:paraId="5E179EEA" w14:textId="77777777" w:rsidR="005E000F" w:rsidRDefault="00000000">
                <w:r>
                  <w:rPr>
                    <w:rFonts w:hint="eastAsia"/>
                  </w:rPr>
                  <w:t>（</w:t>
                </w:r>
                <w:r>
                  <w:rPr>
                    <w:rFonts w:hint="eastAsia"/>
                  </w:rPr>
                  <w:t>6</w:t>
                </w:r>
                <w:r>
                  <w:rPr>
                    <w:rFonts w:hint="eastAsia"/>
                  </w:rPr>
                  <w:t>）对货运运费收入执行实质性分析程序，使用相关业务统计数据和其他外部信息，为货运运费收入设定预期值，并将预期值与货运运费收入账面金额进行比较。</w:t>
                </w:r>
              </w:p>
            </w:tc>
          </w:tr>
        </w:tbl>
        <w:p w14:paraId="4BC17826" w14:textId="77777777" w:rsidR="005E000F" w:rsidRDefault="005E000F"/>
        <w:p w14:paraId="582B261D" w14:textId="77777777" w:rsidR="005E000F" w:rsidRDefault="00000000">
          <w:pPr>
            <w:rPr>
              <w:b/>
              <w:bCs/>
            </w:rPr>
          </w:pPr>
          <w:r>
            <w:rPr>
              <w:rFonts w:hint="eastAsia"/>
              <w:b/>
              <w:bCs/>
            </w:rPr>
            <w:t>四、其他信息</w:t>
          </w:r>
        </w:p>
        <w:p w14:paraId="0A621E59" w14:textId="77777777" w:rsidR="005E000F" w:rsidRDefault="005E000F"/>
        <w:p w14:paraId="713300D0" w14:textId="77777777" w:rsidR="005E000F" w:rsidRDefault="00000000">
          <w:pPr>
            <w:ind w:firstLineChars="200" w:firstLine="420"/>
          </w:pPr>
          <w:r>
            <w:rPr>
              <w:rFonts w:hint="eastAsia"/>
            </w:rPr>
            <w:t>大秦铁路公司管理层</w:t>
          </w:r>
          <w:r>
            <w:rPr>
              <w:rFonts w:hint="eastAsia"/>
            </w:rPr>
            <w:t>(</w:t>
          </w:r>
          <w:r>
            <w:rPr>
              <w:rFonts w:hint="eastAsia"/>
            </w:rPr>
            <w:t>以下简称管理层</w:t>
          </w:r>
          <w:r>
            <w:rPr>
              <w:rFonts w:hint="eastAsia"/>
            </w:rPr>
            <w:t>)</w:t>
          </w:r>
          <w:r>
            <w:rPr>
              <w:rFonts w:hint="eastAsia"/>
            </w:rPr>
            <w:t>对其他信息负责。其他信息包括大秦铁路公司</w:t>
          </w:r>
          <w:r>
            <w:rPr>
              <w:rFonts w:hint="eastAsia"/>
            </w:rPr>
            <w:t>2025</w:t>
          </w:r>
          <w:r>
            <w:rPr>
              <w:rFonts w:hint="eastAsia"/>
            </w:rPr>
            <w:t>年年度报告中涵盖的信息，但不包括财务报表和我们的审计报告。</w:t>
          </w:r>
        </w:p>
        <w:p w14:paraId="4CB32C83" w14:textId="77777777" w:rsidR="005E000F" w:rsidRDefault="005E000F">
          <w:pPr>
            <w:ind w:firstLineChars="200" w:firstLine="420"/>
          </w:pPr>
        </w:p>
        <w:p w14:paraId="10BF8EA9" w14:textId="77777777" w:rsidR="005E000F" w:rsidRDefault="00000000">
          <w:pPr>
            <w:ind w:firstLineChars="200" w:firstLine="420"/>
          </w:pPr>
          <w:r>
            <w:rPr>
              <w:rFonts w:hint="eastAsia"/>
            </w:rPr>
            <w:t>我们对财务报表发表的审计意见</w:t>
          </w:r>
          <w:proofErr w:type="gramStart"/>
          <w:r>
            <w:rPr>
              <w:rFonts w:hint="eastAsia"/>
            </w:rPr>
            <w:t>不</w:t>
          </w:r>
          <w:proofErr w:type="gramEnd"/>
          <w:r>
            <w:rPr>
              <w:rFonts w:hint="eastAsia"/>
            </w:rPr>
            <w:t>涵盖其他信息，我们也不对其他信息发表任何形式的</w:t>
          </w:r>
          <w:proofErr w:type="gramStart"/>
          <w:r>
            <w:rPr>
              <w:rFonts w:hint="eastAsia"/>
            </w:rPr>
            <w:t>鉴证</w:t>
          </w:r>
          <w:proofErr w:type="gramEnd"/>
          <w:r>
            <w:rPr>
              <w:rFonts w:hint="eastAsia"/>
            </w:rPr>
            <w:t>结论。</w:t>
          </w:r>
        </w:p>
        <w:p w14:paraId="1FD0A08B" w14:textId="77777777" w:rsidR="005E000F" w:rsidRDefault="005E000F">
          <w:pPr>
            <w:ind w:firstLineChars="200" w:firstLine="420"/>
          </w:pPr>
        </w:p>
        <w:p w14:paraId="21ABC259" w14:textId="77777777" w:rsidR="005E000F" w:rsidRDefault="00000000">
          <w:pPr>
            <w:ind w:firstLineChars="200" w:firstLine="420"/>
          </w:pPr>
          <w:r>
            <w:rPr>
              <w:rFonts w:hint="eastAsia"/>
            </w:rPr>
            <w:t>结合我们对财务报表的审计，我们的责任是阅读其他信息，在此过程中，考虑其他信息是否与财务报表或我们在审计过程中了解到的情况存在重大不一致或者似乎存在重大错报。</w:t>
          </w:r>
        </w:p>
        <w:p w14:paraId="554B9F9B" w14:textId="77777777" w:rsidR="005E000F" w:rsidRDefault="005E000F">
          <w:pPr>
            <w:ind w:firstLineChars="200" w:firstLine="420"/>
          </w:pPr>
        </w:p>
        <w:p w14:paraId="5136DDE4" w14:textId="77777777" w:rsidR="005E000F" w:rsidRDefault="00000000">
          <w:pPr>
            <w:ind w:firstLineChars="200" w:firstLine="420"/>
          </w:pPr>
          <w:r>
            <w:rPr>
              <w:rFonts w:hint="eastAsia"/>
            </w:rPr>
            <w:t>基于我们已执行的工作，如果我们确定其他信息存在重大错报，我们应当报告该事实。在这方面，我们无任何事项需要报告。</w:t>
          </w:r>
        </w:p>
        <w:p w14:paraId="40EB52D6" w14:textId="77777777" w:rsidR="005E000F" w:rsidRDefault="005E000F">
          <w:pPr>
            <w:ind w:firstLineChars="200" w:firstLine="420"/>
          </w:pPr>
        </w:p>
        <w:p w14:paraId="1ED5C1DF" w14:textId="77777777" w:rsidR="005E000F" w:rsidRDefault="00000000">
          <w:pPr>
            <w:rPr>
              <w:b/>
              <w:bCs/>
            </w:rPr>
          </w:pPr>
          <w:r>
            <w:rPr>
              <w:rFonts w:hint="eastAsia"/>
              <w:b/>
              <w:bCs/>
            </w:rPr>
            <w:t>五、管理层和治理层对财务报表的责任</w:t>
          </w:r>
          <w:r>
            <w:rPr>
              <w:rFonts w:hint="eastAsia"/>
              <w:b/>
              <w:bCs/>
            </w:rPr>
            <w:t xml:space="preserve"> </w:t>
          </w:r>
        </w:p>
        <w:p w14:paraId="097B5198" w14:textId="77777777" w:rsidR="005E000F" w:rsidRDefault="005E000F"/>
        <w:p w14:paraId="5AF5F5EE" w14:textId="77777777" w:rsidR="005E000F" w:rsidRDefault="00000000">
          <w:pPr>
            <w:ind w:firstLineChars="200" w:firstLine="420"/>
          </w:pPr>
          <w:r>
            <w:rPr>
              <w:rFonts w:hint="eastAsia"/>
            </w:rPr>
            <w:t>管理</w:t>
          </w:r>
          <w:proofErr w:type="gramStart"/>
          <w:r>
            <w:rPr>
              <w:rFonts w:hint="eastAsia"/>
            </w:rPr>
            <w:t>层负责</w:t>
          </w:r>
          <w:proofErr w:type="gramEnd"/>
          <w:r>
            <w:rPr>
              <w:rFonts w:hint="eastAsia"/>
            </w:rPr>
            <w:t>按照企业会计准则的规定编制财务报表，使其实现公允反映，并设计、执行和维护必要的内部控制，以使财务报表不存在由于舞弊或错误导致的重大错报。</w:t>
          </w:r>
          <w:r>
            <w:rPr>
              <w:rFonts w:hint="eastAsia"/>
            </w:rPr>
            <w:t xml:space="preserve"> </w:t>
          </w:r>
        </w:p>
        <w:p w14:paraId="28E890C4" w14:textId="77777777" w:rsidR="005E000F" w:rsidRDefault="005E000F">
          <w:pPr>
            <w:ind w:firstLineChars="200" w:firstLine="420"/>
          </w:pPr>
        </w:p>
        <w:p w14:paraId="7D0678DB" w14:textId="77777777" w:rsidR="005E000F" w:rsidRDefault="00000000">
          <w:pPr>
            <w:ind w:firstLineChars="200" w:firstLine="420"/>
          </w:pPr>
          <w:r>
            <w:rPr>
              <w:rFonts w:hint="eastAsia"/>
            </w:rPr>
            <w:t>在编制财务报表时，管理</w:t>
          </w:r>
          <w:proofErr w:type="gramStart"/>
          <w:r>
            <w:rPr>
              <w:rFonts w:hint="eastAsia"/>
            </w:rPr>
            <w:t>层负责</w:t>
          </w:r>
          <w:proofErr w:type="gramEnd"/>
          <w:r>
            <w:rPr>
              <w:rFonts w:hint="eastAsia"/>
            </w:rPr>
            <w:t>评估大秦铁路公司的持续经营能力，披露与持续经营相关的事项（如适用），并运用持续经营假设，除非管理</w:t>
          </w:r>
          <w:proofErr w:type="gramStart"/>
          <w:r>
            <w:rPr>
              <w:rFonts w:hint="eastAsia"/>
            </w:rPr>
            <w:t>层计划</w:t>
          </w:r>
          <w:proofErr w:type="gramEnd"/>
          <w:r>
            <w:rPr>
              <w:rFonts w:hint="eastAsia"/>
            </w:rPr>
            <w:t>清算大秦铁路公司、终止运营或别无其他现实的选择。</w:t>
          </w:r>
        </w:p>
        <w:p w14:paraId="7C575899" w14:textId="77777777" w:rsidR="005E000F" w:rsidRDefault="005E000F">
          <w:pPr>
            <w:ind w:firstLineChars="200" w:firstLine="420"/>
          </w:pPr>
        </w:p>
        <w:p w14:paraId="3DEEED47" w14:textId="77777777" w:rsidR="005E000F" w:rsidRDefault="00000000">
          <w:pPr>
            <w:ind w:firstLineChars="200" w:firstLine="420"/>
          </w:pPr>
          <w:r>
            <w:rPr>
              <w:rFonts w:hint="eastAsia"/>
            </w:rPr>
            <w:t>治理</w:t>
          </w:r>
          <w:proofErr w:type="gramStart"/>
          <w:r>
            <w:rPr>
              <w:rFonts w:hint="eastAsia"/>
            </w:rPr>
            <w:t>层负责</w:t>
          </w:r>
          <w:proofErr w:type="gramEnd"/>
          <w:r>
            <w:rPr>
              <w:rFonts w:hint="eastAsia"/>
            </w:rPr>
            <w:t>监督大秦铁路公司的财务报告过程。</w:t>
          </w:r>
        </w:p>
        <w:p w14:paraId="121194D6" w14:textId="77777777" w:rsidR="005E000F" w:rsidRDefault="005E000F">
          <w:pPr>
            <w:ind w:firstLineChars="200" w:firstLine="420"/>
          </w:pPr>
        </w:p>
        <w:p w14:paraId="478799A1" w14:textId="77777777" w:rsidR="005E000F" w:rsidRDefault="00000000">
          <w:pPr>
            <w:rPr>
              <w:b/>
              <w:bCs/>
            </w:rPr>
          </w:pPr>
          <w:r>
            <w:rPr>
              <w:rFonts w:hint="eastAsia"/>
              <w:b/>
              <w:bCs/>
            </w:rPr>
            <w:t>六、注册会计师对财务报表审计的责任</w:t>
          </w:r>
        </w:p>
        <w:p w14:paraId="381D7EB2" w14:textId="77777777" w:rsidR="005E000F" w:rsidRDefault="005E000F"/>
        <w:p w14:paraId="5E9237E5" w14:textId="77777777" w:rsidR="005E000F" w:rsidRDefault="00000000">
          <w:pPr>
            <w:ind w:firstLineChars="200" w:firstLine="420"/>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rFonts w:hint="eastAsia"/>
            </w:rPr>
            <w:t>报存在</w:t>
          </w:r>
          <w:proofErr w:type="gramEnd"/>
          <w:r>
            <w:rPr>
              <w:rFonts w:hint="eastAsia"/>
            </w:rPr>
            <w:t>时总能发现。错报可能由于舞弊或错误导致，如果合理预期错报单独或汇总起来可能影响财务报表使用者依据财务报表</w:t>
          </w:r>
          <w:proofErr w:type="gramStart"/>
          <w:r>
            <w:rPr>
              <w:rFonts w:hint="eastAsia"/>
            </w:rPr>
            <w:t>作出</w:t>
          </w:r>
          <w:proofErr w:type="gramEnd"/>
          <w:r>
            <w:rPr>
              <w:rFonts w:hint="eastAsia"/>
            </w:rPr>
            <w:t>的经济决策，则通常认为错报是重大的。</w:t>
          </w:r>
        </w:p>
        <w:p w14:paraId="2A77461A" w14:textId="77777777" w:rsidR="005E000F" w:rsidRDefault="005E000F">
          <w:pPr>
            <w:ind w:firstLineChars="200" w:firstLine="420"/>
          </w:pPr>
        </w:p>
        <w:p w14:paraId="3CC91B3A" w14:textId="77777777" w:rsidR="005E000F" w:rsidRDefault="00000000">
          <w:pPr>
            <w:ind w:firstLineChars="200" w:firstLine="420"/>
          </w:pPr>
          <w:r>
            <w:rPr>
              <w:rFonts w:hint="eastAsia"/>
            </w:rPr>
            <w:lastRenderedPageBreak/>
            <w:t>在按照审计准则执行审计工作的过程中，我们运用职业判断，并保持职业怀疑。同时，我们也执行以下工作：</w:t>
          </w:r>
        </w:p>
        <w:p w14:paraId="0A265A5D" w14:textId="77777777" w:rsidR="005E000F" w:rsidRDefault="005E000F">
          <w:pPr>
            <w:ind w:firstLineChars="200" w:firstLine="420"/>
          </w:pPr>
        </w:p>
        <w:p w14:paraId="7C655089" w14:textId="77777777" w:rsidR="005E000F" w:rsidRDefault="00000000">
          <w:pPr>
            <w:ind w:firstLineChars="200" w:firstLine="420"/>
          </w:pPr>
          <w:r>
            <w:rPr>
              <w:rFonts w:hint="eastAsia"/>
            </w:rPr>
            <w:t>（</w:t>
          </w:r>
          <w:r>
            <w:rPr>
              <w:rFonts w:hint="eastAsia"/>
            </w:rPr>
            <w:t>1</w:t>
          </w:r>
          <w:r>
            <w:rPr>
              <w:rFonts w:hint="eastAsia"/>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55CFA529" w14:textId="77777777" w:rsidR="005E000F" w:rsidRDefault="005E000F">
          <w:pPr>
            <w:ind w:firstLineChars="200" w:firstLine="420"/>
          </w:pPr>
        </w:p>
        <w:p w14:paraId="19FFE672" w14:textId="77777777" w:rsidR="005E000F" w:rsidRDefault="00000000">
          <w:pPr>
            <w:ind w:firstLineChars="200" w:firstLine="420"/>
          </w:pPr>
          <w:r>
            <w:rPr>
              <w:rFonts w:hint="eastAsia"/>
            </w:rPr>
            <w:t>（</w:t>
          </w:r>
          <w:r>
            <w:rPr>
              <w:rFonts w:hint="eastAsia"/>
            </w:rPr>
            <w:t>2</w:t>
          </w:r>
          <w:r>
            <w:rPr>
              <w:rFonts w:hint="eastAsia"/>
            </w:rPr>
            <w:t>）了解与审计相关的内部控制，以设计恰当的审计程序，但目的并非对内部控制的有效性发表意见。</w:t>
          </w:r>
        </w:p>
        <w:p w14:paraId="09386102" w14:textId="77777777" w:rsidR="005E000F" w:rsidRDefault="005E000F">
          <w:pPr>
            <w:ind w:firstLineChars="200" w:firstLine="420"/>
          </w:pPr>
        </w:p>
        <w:p w14:paraId="52EE490A" w14:textId="77777777" w:rsidR="005E000F" w:rsidRDefault="00000000">
          <w:pPr>
            <w:ind w:firstLineChars="200" w:firstLine="420"/>
          </w:pPr>
          <w:r>
            <w:rPr>
              <w:rFonts w:hint="eastAsia"/>
            </w:rPr>
            <w:t>（</w:t>
          </w:r>
          <w:r>
            <w:rPr>
              <w:rFonts w:hint="eastAsia"/>
            </w:rPr>
            <w:t>3</w:t>
          </w:r>
          <w:r>
            <w:rPr>
              <w:rFonts w:hint="eastAsia"/>
            </w:rPr>
            <w:t>）评价管理层选用会计政策的恰当性和</w:t>
          </w:r>
          <w:proofErr w:type="gramStart"/>
          <w:r>
            <w:rPr>
              <w:rFonts w:hint="eastAsia"/>
            </w:rPr>
            <w:t>作出</w:t>
          </w:r>
          <w:proofErr w:type="gramEnd"/>
          <w:r>
            <w:rPr>
              <w:rFonts w:hint="eastAsia"/>
            </w:rPr>
            <w:t>会计估计及相关披露的合理性。</w:t>
          </w:r>
        </w:p>
        <w:p w14:paraId="1A74F122" w14:textId="77777777" w:rsidR="005E000F" w:rsidRDefault="005E000F">
          <w:pPr>
            <w:ind w:firstLineChars="200" w:firstLine="420"/>
          </w:pPr>
        </w:p>
        <w:p w14:paraId="1353596E" w14:textId="77777777" w:rsidR="005E000F" w:rsidRDefault="00000000">
          <w:pPr>
            <w:ind w:firstLineChars="200" w:firstLine="420"/>
          </w:pPr>
          <w:r>
            <w:rPr>
              <w:rFonts w:hint="eastAsia"/>
            </w:rPr>
            <w:t>（</w:t>
          </w:r>
          <w:r>
            <w:rPr>
              <w:rFonts w:hint="eastAsia"/>
            </w:rPr>
            <w:t>4</w:t>
          </w:r>
          <w:r>
            <w:rPr>
              <w:rFonts w:hint="eastAsia"/>
            </w:rPr>
            <w:t>）对管理层使用持续经营假设的恰当性得出结论。同时，根据获取的审计证据，就可能导致对大秦铁路公司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大秦铁路公司不能持续经营。</w:t>
          </w:r>
        </w:p>
        <w:p w14:paraId="7F9A8DA6" w14:textId="77777777" w:rsidR="005E000F" w:rsidRDefault="005E000F">
          <w:pPr>
            <w:ind w:firstLineChars="200" w:firstLine="420"/>
          </w:pPr>
        </w:p>
        <w:p w14:paraId="67391E73" w14:textId="77777777" w:rsidR="005E000F" w:rsidRDefault="00000000">
          <w:pPr>
            <w:ind w:firstLineChars="200" w:firstLine="420"/>
          </w:pPr>
          <w:r>
            <w:rPr>
              <w:rFonts w:hint="eastAsia"/>
            </w:rPr>
            <w:t>（</w:t>
          </w:r>
          <w:r>
            <w:rPr>
              <w:rFonts w:hint="eastAsia"/>
            </w:rPr>
            <w:t>5</w:t>
          </w:r>
          <w:r>
            <w:rPr>
              <w:rFonts w:hint="eastAsia"/>
            </w:rPr>
            <w:t>）评价财务报表的总</w:t>
          </w:r>
          <w:proofErr w:type="gramStart"/>
          <w:r>
            <w:rPr>
              <w:rFonts w:hint="eastAsia"/>
            </w:rPr>
            <w:t>体列</w:t>
          </w:r>
          <w:proofErr w:type="gramEnd"/>
          <w:r>
            <w:rPr>
              <w:rFonts w:hint="eastAsia"/>
            </w:rPr>
            <w:t>报、结构和内容，并评价财务报表是否公允反映相关交易和事项。</w:t>
          </w:r>
        </w:p>
        <w:p w14:paraId="15521971" w14:textId="77777777" w:rsidR="005E000F" w:rsidRDefault="005E000F">
          <w:pPr>
            <w:ind w:firstLineChars="200" w:firstLine="420"/>
          </w:pPr>
        </w:p>
        <w:p w14:paraId="09A6BA9A" w14:textId="77777777" w:rsidR="005E000F" w:rsidRDefault="00000000">
          <w:pPr>
            <w:ind w:firstLineChars="200" w:firstLine="420"/>
          </w:pPr>
          <w:r>
            <w:rPr>
              <w:rFonts w:hint="eastAsia"/>
            </w:rPr>
            <w:t>（</w:t>
          </w:r>
          <w:r>
            <w:rPr>
              <w:rFonts w:hint="eastAsia"/>
            </w:rPr>
            <w:t>6</w:t>
          </w:r>
          <w:r>
            <w:rPr>
              <w:rFonts w:hint="eastAsia"/>
            </w:rPr>
            <w:t>）就大秦铁路公司中实体或业务活动的财务信息获取充分、适当的审计证据，以对财务报表发表审计意见。我们负责指导、监督和执行集团审计，并对审计意见承担全部责任。</w:t>
          </w:r>
        </w:p>
        <w:p w14:paraId="5C516269" w14:textId="77777777" w:rsidR="005E000F" w:rsidRDefault="005E000F">
          <w:pPr>
            <w:ind w:firstLineChars="200" w:firstLine="420"/>
          </w:pPr>
        </w:p>
        <w:p w14:paraId="39394663" w14:textId="77777777" w:rsidR="005E000F" w:rsidRDefault="00000000">
          <w:pPr>
            <w:ind w:firstLineChars="200" w:firstLine="420"/>
          </w:pPr>
          <w:r>
            <w:rPr>
              <w:rFonts w:hint="eastAsia"/>
            </w:rPr>
            <w:t>我们与治理层就计划的审计范围、时间安排和重大审计发现等事项进行沟通，包括沟通我们在审计中识别出的值得关注的内部控制缺陷。</w:t>
          </w:r>
        </w:p>
        <w:p w14:paraId="654E218C" w14:textId="77777777" w:rsidR="005E000F" w:rsidRDefault="005E000F">
          <w:pPr>
            <w:ind w:firstLineChars="200" w:firstLine="420"/>
          </w:pPr>
        </w:p>
        <w:p w14:paraId="0169F30C" w14:textId="77777777" w:rsidR="005E000F" w:rsidRDefault="00000000">
          <w:pPr>
            <w:ind w:firstLineChars="200" w:firstLine="420"/>
          </w:pPr>
          <w:r>
            <w:rPr>
              <w:rFonts w:hint="eastAsia"/>
            </w:rPr>
            <w:t>我们还就已遵守与独立性相关的职业道德要求向治理层提供声明，并与治理层沟通可能被</w:t>
          </w:r>
          <w:proofErr w:type="gramStart"/>
          <w:r>
            <w:rPr>
              <w:rFonts w:hint="eastAsia"/>
            </w:rPr>
            <w:t>合理认为</w:t>
          </w:r>
          <w:proofErr w:type="gramEnd"/>
          <w:r>
            <w:rPr>
              <w:rFonts w:hint="eastAsia"/>
            </w:rPr>
            <w:t>影响我们独立性的所有关系和其他事项，以及相关的防范措施（如适用）。</w:t>
          </w:r>
        </w:p>
        <w:p w14:paraId="589DB826" w14:textId="77777777" w:rsidR="005E000F" w:rsidRDefault="005E000F">
          <w:pPr>
            <w:ind w:firstLineChars="200" w:firstLine="420"/>
          </w:pPr>
        </w:p>
        <w:p w14:paraId="35AE6AC4" w14:textId="77777777" w:rsidR="005E000F" w:rsidRDefault="00000000">
          <w:pPr>
            <w:ind w:firstLineChars="200" w:firstLine="420"/>
          </w:pPr>
          <w:r>
            <w:rPr>
              <w:rFonts w:hint="eastAsia"/>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14:paraId="7F42A1CA" w14:textId="77777777" w:rsidR="005E000F" w:rsidRDefault="005E000F"/>
        <w:p w14:paraId="3A45B240" w14:textId="77777777" w:rsidR="005E000F" w:rsidRDefault="005E000F"/>
        <w:p w14:paraId="1ED4226F" w14:textId="77777777" w:rsidR="005E000F" w:rsidRDefault="005E000F"/>
        <w:p w14:paraId="4B39C65A" w14:textId="77777777" w:rsidR="005E000F" w:rsidRDefault="005E000F"/>
        <w:p w14:paraId="027B5639" w14:textId="77777777" w:rsidR="005E000F" w:rsidRDefault="005E000F"/>
        <w:p w14:paraId="50A76EEB" w14:textId="77777777" w:rsidR="005E000F" w:rsidRDefault="005E000F"/>
        <w:p w14:paraId="42571FA4" w14:textId="77777777" w:rsidR="005E000F" w:rsidRDefault="005E000F"/>
        <w:p w14:paraId="2365A122" w14:textId="77777777" w:rsidR="005E000F" w:rsidRDefault="005E000F"/>
        <w:tbl>
          <w:tblPr>
            <w:tblW w:w="4998" w:type="pct"/>
            <w:jc w:val="center"/>
            <w:tblLook w:val="04A0" w:firstRow="1" w:lastRow="0" w:firstColumn="1" w:lastColumn="0" w:noHBand="0" w:noVBand="1"/>
          </w:tblPr>
          <w:tblGrid>
            <w:gridCol w:w="4320"/>
            <w:gridCol w:w="402"/>
            <w:gridCol w:w="4323"/>
          </w:tblGrid>
          <w:tr w:rsidR="005E000F" w14:paraId="324B8B27" w14:textId="77777777">
            <w:trPr>
              <w:trHeight w:val="397"/>
              <w:jc w:val="center"/>
            </w:trPr>
            <w:tc>
              <w:tcPr>
                <w:tcW w:w="3969" w:type="dxa"/>
              </w:tcPr>
              <w:p w14:paraId="0CE364EE" w14:textId="77777777" w:rsidR="005E000F" w:rsidRDefault="00000000">
                <w:proofErr w:type="gramStart"/>
                <w:r>
                  <w:rPr>
                    <w:rFonts w:hint="eastAsia"/>
                  </w:rPr>
                  <w:t>信永中和</w:t>
                </w:r>
                <w:proofErr w:type="gramEnd"/>
                <w:r>
                  <w:rPr>
                    <w:rFonts w:hint="eastAsia"/>
                  </w:rPr>
                  <w:t>会计师事务所（特殊普通合伙）</w:t>
                </w:r>
              </w:p>
            </w:tc>
            <w:tc>
              <w:tcPr>
                <w:tcW w:w="369" w:type="dxa"/>
              </w:tcPr>
              <w:p w14:paraId="0AA3AE32" w14:textId="77777777" w:rsidR="005E000F" w:rsidRDefault="005E000F"/>
            </w:tc>
            <w:tc>
              <w:tcPr>
                <w:tcW w:w="3971" w:type="dxa"/>
              </w:tcPr>
              <w:p w14:paraId="445E5C53" w14:textId="77777777" w:rsidR="005E000F" w:rsidRDefault="00000000">
                <w:r>
                  <w:rPr>
                    <w:rFonts w:hint="eastAsia"/>
                  </w:rPr>
                  <w:t>中国注册会计师：朱娟娟</w:t>
                </w:r>
              </w:p>
              <w:p w14:paraId="7308C3C6" w14:textId="77777777" w:rsidR="005E000F" w:rsidRDefault="00000000">
                <w:r>
                  <w:rPr>
                    <w:rFonts w:hint="eastAsia"/>
                  </w:rPr>
                  <w:t>（项目合伙人）</w:t>
                </w:r>
                <w:r>
                  <w:rPr>
                    <w:rFonts w:hint="eastAsia"/>
                  </w:rPr>
                  <w:t xml:space="preserve">       </w:t>
                </w:r>
              </w:p>
            </w:tc>
          </w:tr>
          <w:tr w:rsidR="005E000F" w14:paraId="02CFB059" w14:textId="77777777">
            <w:trPr>
              <w:trHeight w:val="397"/>
              <w:jc w:val="center"/>
            </w:trPr>
            <w:tc>
              <w:tcPr>
                <w:tcW w:w="3969" w:type="dxa"/>
              </w:tcPr>
              <w:p w14:paraId="17261357" w14:textId="77777777" w:rsidR="005E000F" w:rsidRDefault="005E000F"/>
            </w:tc>
            <w:tc>
              <w:tcPr>
                <w:tcW w:w="369" w:type="dxa"/>
              </w:tcPr>
              <w:p w14:paraId="2AC09E9D" w14:textId="77777777" w:rsidR="005E000F" w:rsidRDefault="005E000F"/>
            </w:tc>
            <w:tc>
              <w:tcPr>
                <w:tcW w:w="3971" w:type="dxa"/>
              </w:tcPr>
              <w:p w14:paraId="3A91B4BE" w14:textId="77777777" w:rsidR="005E000F" w:rsidRDefault="00000000">
                <w:r>
                  <w:rPr>
                    <w:rFonts w:hint="eastAsia"/>
                  </w:rPr>
                  <w:t xml:space="preserve"> </w:t>
                </w:r>
              </w:p>
            </w:tc>
          </w:tr>
          <w:tr w:rsidR="005E000F" w14:paraId="4367AB30" w14:textId="77777777">
            <w:trPr>
              <w:trHeight w:val="397"/>
              <w:jc w:val="center"/>
            </w:trPr>
            <w:tc>
              <w:tcPr>
                <w:tcW w:w="3969" w:type="dxa"/>
              </w:tcPr>
              <w:p w14:paraId="74ACF935" w14:textId="77777777" w:rsidR="005E000F" w:rsidRDefault="005E000F"/>
            </w:tc>
            <w:tc>
              <w:tcPr>
                <w:tcW w:w="369" w:type="dxa"/>
              </w:tcPr>
              <w:p w14:paraId="2AE14CE9" w14:textId="77777777" w:rsidR="005E000F" w:rsidRDefault="005E000F"/>
            </w:tc>
            <w:tc>
              <w:tcPr>
                <w:tcW w:w="3971" w:type="dxa"/>
              </w:tcPr>
              <w:p w14:paraId="20504B5B" w14:textId="77777777" w:rsidR="005E000F" w:rsidRDefault="00000000">
                <w:r>
                  <w:rPr>
                    <w:rFonts w:hint="eastAsia"/>
                  </w:rPr>
                  <w:t>中国注册会计师：王存英</w:t>
                </w:r>
              </w:p>
            </w:tc>
          </w:tr>
          <w:tr w:rsidR="005E000F" w14:paraId="1E486401" w14:textId="77777777">
            <w:trPr>
              <w:trHeight w:val="397"/>
              <w:jc w:val="center"/>
            </w:trPr>
            <w:tc>
              <w:tcPr>
                <w:tcW w:w="3969" w:type="dxa"/>
              </w:tcPr>
              <w:p w14:paraId="7B1F3510" w14:textId="77777777" w:rsidR="005E000F" w:rsidRDefault="005E000F"/>
            </w:tc>
            <w:tc>
              <w:tcPr>
                <w:tcW w:w="369" w:type="dxa"/>
              </w:tcPr>
              <w:p w14:paraId="7743A4D7" w14:textId="77777777" w:rsidR="005E000F" w:rsidRDefault="005E000F"/>
            </w:tc>
            <w:tc>
              <w:tcPr>
                <w:tcW w:w="3971" w:type="dxa"/>
              </w:tcPr>
              <w:p w14:paraId="7917BA06" w14:textId="77777777" w:rsidR="005E000F" w:rsidRDefault="005E000F"/>
            </w:tc>
          </w:tr>
          <w:tr w:rsidR="005E000F" w14:paraId="6795808A" w14:textId="77777777">
            <w:trPr>
              <w:trHeight w:val="397"/>
              <w:jc w:val="center"/>
            </w:trPr>
            <w:tc>
              <w:tcPr>
                <w:tcW w:w="3969" w:type="dxa"/>
              </w:tcPr>
              <w:p w14:paraId="5A313C86" w14:textId="77777777" w:rsidR="005E000F" w:rsidRDefault="00000000">
                <w:r>
                  <w:rPr>
                    <w:rFonts w:hint="eastAsia"/>
                  </w:rPr>
                  <w:t>中国</w:t>
                </w:r>
                <w:r>
                  <w:rPr>
                    <w:rFonts w:hint="eastAsia"/>
                  </w:rPr>
                  <w:t xml:space="preserve">  </w:t>
                </w:r>
                <w:r>
                  <w:rPr>
                    <w:rFonts w:hint="eastAsia"/>
                  </w:rPr>
                  <w:t>北京</w:t>
                </w:r>
              </w:p>
            </w:tc>
            <w:tc>
              <w:tcPr>
                <w:tcW w:w="369" w:type="dxa"/>
              </w:tcPr>
              <w:p w14:paraId="2DEBC96E" w14:textId="77777777" w:rsidR="005E000F" w:rsidRDefault="005E000F"/>
            </w:tc>
            <w:tc>
              <w:tcPr>
                <w:tcW w:w="3971" w:type="dxa"/>
              </w:tcPr>
              <w:p w14:paraId="499B5841" w14:textId="77777777" w:rsidR="005E000F" w:rsidRDefault="00000000">
                <w:r>
                  <w:rPr>
                    <w:rFonts w:hint="eastAsia"/>
                  </w:rPr>
                  <w:t>二○二六年四月二十八日</w:t>
                </w:r>
              </w:p>
            </w:tc>
          </w:tr>
        </w:tbl>
        <w:p w14:paraId="6D71208C" w14:textId="77777777" w:rsidR="005E000F" w:rsidRDefault="005E000F"/>
        <w:p w14:paraId="27FA82B6" w14:textId="77777777" w:rsidR="005E000F" w:rsidRDefault="00000000"/>
      </w:sdtContent>
    </w:sdt>
    <w:p w14:paraId="507550AA" w14:textId="77777777" w:rsidR="005E000F" w:rsidRDefault="005E000F"/>
    <w:p w14:paraId="3FA46DB6" w14:textId="77777777" w:rsidR="005E000F" w:rsidRDefault="00000000">
      <w:pPr>
        <w:pStyle w:val="2"/>
        <w:numPr>
          <w:ilvl w:val="0"/>
          <w:numId w:val="56"/>
        </w:numPr>
        <w:rPr>
          <w:rFonts w:ascii="宋体" w:hAnsi="宋体"/>
        </w:rPr>
      </w:pPr>
      <w:r>
        <w:rPr>
          <w:rFonts w:ascii="宋体" w:hAnsi="宋体" w:hint="eastAsia"/>
        </w:rPr>
        <w:lastRenderedPageBreak/>
        <w:t>财务报表</w:t>
      </w:r>
    </w:p>
    <w:p w14:paraId="2211C4CC" w14:textId="77777777" w:rsidR="005E000F" w:rsidRDefault="00000000">
      <w:pPr>
        <w:pStyle w:val="3"/>
        <w:jc w:val="center"/>
      </w:pPr>
      <w:bookmarkStart w:id="225" w:name="_Hlk24034092"/>
      <w:bookmarkStart w:id="226" w:name="_Hlk182475374"/>
      <w:bookmarkEnd w:id="225"/>
      <w:r>
        <w:rPr>
          <w:rFonts w:hint="eastAsia"/>
        </w:rPr>
        <w:t>合并资产负债表</w:t>
      </w:r>
    </w:p>
    <w:p w14:paraId="1EB78C3F" w14:textId="77777777" w:rsidR="005E000F" w:rsidRDefault="00000000">
      <w:pPr>
        <w:snapToGrid w:val="0"/>
        <w:spacing w:line="240" w:lineRule="atLeast"/>
        <w:jc w:val="center"/>
        <w:rPr>
          <w:b/>
        </w:rPr>
      </w:pPr>
      <w:r>
        <w:t>2025</w:t>
      </w:r>
      <w:r>
        <w:t>年</w:t>
      </w:r>
      <w:r>
        <w:t>12</w:t>
      </w:r>
      <w:r>
        <w:t>月</w:t>
      </w:r>
      <w:r>
        <w:t>31</w:t>
      </w:r>
      <w:r>
        <w:t>日</w:t>
      </w:r>
    </w:p>
    <w:p w14:paraId="028C00F7" w14:textId="77777777" w:rsidR="005E000F" w:rsidRDefault="00000000">
      <w:r>
        <w:t>编制单位</w:t>
      </w:r>
      <w:r>
        <w:rPr>
          <w:rFonts w:hint="eastAsia"/>
        </w:rPr>
        <w:t>：</w:t>
      </w:r>
      <w:sdt>
        <w:sdtPr>
          <w:alias w:val="公司法定中文名称"/>
          <w:tag w:val="_GBC_22071e1c4bb04578b94539b252cb1c67"/>
          <w:id w:val="-147602092"/>
          <w:placeholder>
            <w:docPart w:val="GBC22222222222222222222222222222"/>
          </w:placeholder>
          <w:dataBinding w:prefixMappings="xmlns:clcid-cgi='clcid-cgi'" w:xpath="/*/clcid-cgi:GongSiFaDingZhongWenMingCheng[not(@periodRef)]" w:storeItemID="{89EBAB94-44A0-46A2-B712-30D997D04A6D}"/>
          <w:text/>
        </w:sdtPr>
        <w:sdtContent>
          <w:r>
            <w:t>大秦铁路股份有限公司</w:t>
          </w:r>
        </w:sdtContent>
      </w:sdt>
    </w:p>
    <w:p w14:paraId="500DC06C" w14:textId="77777777" w:rsidR="005E000F" w:rsidRDefault="00000000">
      <w:pPr>
        <w:jc w:val="right"/>
      </w:pPr>
      <w:r>
        <w:t>单位：</w:t>
      </w:r>
      <w:sdt>
        <w:sdtPr>
          <w:alias w:val="单位：合并资产负债表"/>
          <w:tag w:val="_GBC_8c6918f285a44e0f8fb06fefffa27df4"/>
          <w:id w:val="-16900581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w:t>
      </w:r>
      <w:r>
        <w:t>币种：</w:t>
      </w:r>
      <w:sdt>
        <w:sdtPr>
          <w:alias w:val="币种：合并资产负债表"/>
          <w:tag w:val="_GBC_0953b26208a64010937af0b40efed509"/>
          <w:id w:val="-20155247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4"/>
        <w:gridCol w:w="1133"/>
        <w:gridCol w:w="2550"/>
        <w:gridCol w:w="2411"/>
      </w:tblGrid>
      <w:tr w:rsidR="005E000F" w14:paraId="4545D0D0" w14:textId="77777777">
        <w:bookmarkStart w:id="227" w:name="_Hlk137046697" w:displacedByCustomXml="next"/>
        <w:sdt>
          <w:sdtPr>
            <w:tag w:val="_PLD_e88f994cf669436ebd34aa04979abc4a"/>
            <w:id w:val="-273482576"/>
          </w:sdtPr>
          <w:sdtContent>
            <w:tc>
              <w:tcPr>
                <w:tcW w:w="2944" w:type="dxa"/>
                <w:tcBorders>
                  <w:top w:val="outset" w:sz="6" w:space="0" w:color="auto"/>
                  <w:left w:val="outset" w:sz="6" w:space="0" w:color="auto"/>
                  <w:bottom w:val="outset" w:sz="6" w:space="0" w:color="auto"/>
                  <w:right w:val="outset" w:sz="6" w:space="0" w:color="auto"/>
                </w:tcBorders>
                <w:vAlign w:val="center"/>
              </w:tcPr>
              <w:p w14:paraId="3A9BCE06" w14:textId="77777777" w:rsidR="005E000F" w:rsidRDefault="00000000">
                <w:pPr>
                  <w:jc w:val="center"/>
                  <w:rPr>
                    <w:b/>
                    <w:color w:val="000000" w:themeColor="text1"/>
                  </w:rPr>
                </w:pPr>
                <w:r>
                  <w:rPr>
                    <w:b/>
                    <w:color w:val="000000" w:themeColor="text1"/>
                  </w:rPr>
                  <w:t>项目</w:t>
                </w:r>
              </w:p>
            </w:tc>
          </w:sdtContent>
        </w:sdt>
        <w:sdt>
          <w:sdtPr>
            <w:tag w:val="_PLD_1b1f75a08f0046c7a2abc9d59780d042"/>
            <w:id w:val="1330488261"/>
          </w:sdtPr>
          <w:sdtContent>
            <w:tc>
              <w:tcPr>
                <w:tcW w:w="1133" w:type="dxa"/>
                <w:tcBorders>
                  <w:top w:val="outset" w:sz="6" w:space="0" w:color="auto"/>
                  <w:left w:val="outset" w:sz="6" w:space="0" w:color="auto"/>
                  <w:bottom w:val="outset" w:sz="6" w:space="0" w:color="auto"/>
                  <w:right w:val="outset" w:sz="6" w:space="0" w:color="auto"/>
                </w:tcBorders>
                <w:vAlign w:val="center"/>
              </w:tcPr>
              <w:p w14:paraId="063B7E0C" w14:textId="77777777" w:rsidR="005E000F" w:rsidRDefault="00000000">
                <w:pPr>
                  <w:jc w:val="center"/>
                  <w:rPr>
                    <w:b/>
                    <w:color w:val="000000" w:themeColor="text1"/>
                  </w:rPr>
                </w:pPr>
                <w:r>
                  <w:rPr>
                    <w:rFonts w:hint="eastAsia"/>
                    <w:b/>
                    <w:color w:val="000000" w:themeColor="text1"/>
                  </w:rPr>
                  <w:t>附注</w:t>
                </w:r>
              </w:p>
            </w:tc>
          </w:sdtContent>
        </w:sdt>
        <w:sdt>
          <w:sdtPr>
            <w:tag w:val="_PLD_afa4cd62e5184f80ba13c8e19e91baa5"/>
            <w:id w:val="373424075"/>
          </w:sdtPr>
          <w:sdtContent>
            <w:tc>
              <w:tcPr>
                <w:tcW w:w="2550" w:type="dxa"/>
                <w:tcBorders>
                  <w:top w:val="outset" w:sz="6" w:space="0" w:color="auto"/>
                  <w:left w:val="outset" w:sz="6" w:space="0" w:color="auto"/>
                  <w:bottom w:val="outset" w:sz="6" w:space="0" w:color="auto"/>
                  <w:right w:val="outset" w:sz="6" w:space="0" w:color="auto"/>
                </w:tcBorders>
                <w:vAlign w:val="center"/>
              </w:tcPr>
              <w:p w14:paraId="335F38E0" w14:textId="77777777" w:rsidR="005E000F" w:rsidRDefault="00000000">
                <w:pPr>
                  <w:jc w:val="center"/>
                  <w:rPr>
                    <w:b/>
                    <w:color w:val="000000" w:themeColor="text1"/>
                  </w:rPr>
                </w:pPr>
                <w:r>
                  <w:rPr>
                    <w:rFonts w:hint="eastAsia"/>
                    <w:b/>
                    <w:color w:val="000000" w:themeColor="text1"/>
                  </w:rPr>
                  <w:t>2025</w:t>
                </w:r>
                <w:r>
                  <w:rPr>
                    <w:rFonts w:hint="eastAsia"/>
                    <w:b/>
                    <w:color w:val="000000" w:themeColor="text1"/>
                  </w:rPr>
                  <w:t>年</w:t>
                </w:r>
                <w:r>
                  <w:rPr>
                    <w:rFonts w:hint="eastAsia"/>
                    <w:b/>
                    <w:color w:val="000000" w:themeColor="text1"/>
                  </w:rPr>
                  <w:t>12</w:t>
                </w:r>
                <w:r>
                  <w:rPr>
                    <w:rFonts w:hint="eastAsia"/>
                    <w:b/>
                    <w:color w:val="000000" w:themeColor="text1"/>
                  </w:rPr>
                  <w:t>月</w:t>
                </w:r>
                <w:r>
                  <w:rPr>
                    <w:b/>
                    <w:color w:val="000000" w:themeColor="text1"/>
                  </w:rPr>
                  <w:t>3</w:t>
                </w:r>
                <w:r>
                  <w:rPr>
                    <w:rFonts w:hint="eastAsia"/>
                    <w:b/>
                    <w:color w:val="000000" w:themeColor="text1"/>
                  </w:rPr>
                  <w:t>1</w:t>
                </w:r>
                <w:r>
                  <w:rPr>
                    <w:rFonts w:hint="eastAsia"/>
                    <w:b/>
                    <w:color w:val="000000" w:themeColor="text1"/>
                  </w:rPr>
                  <w:t>日</w:t>
                </w:r>
              </w:p>
            </w:tc>
          </w:sdtContent>
        </w:sdt>
        <w:sdt>
          <w:sdtPr>
            <w:tag w:val="_PLD_af2c4ec348eb42cba64145c988fe0f69"/>
            <w:id w:val="1814744928"/>
          </w:sdtPr>
          <w:sdtContent>
            <w:tc>
              <w:tcPr>
                <w:tcW w:w="2411" w:type="dxa"/>
                <w:tcBorders>
                  <w:top w:val="outset" w:sz="6" w:space="0" w:color="auto"/>
                  <w:left w:val="outset" w:sz="6" w:space="0" w:color="auto"/>
                  <w:bottom w:val="outset" w:sz="6" w:space="0" w:color="auto"/>
                  <w:right w:val="outset" w:sz="6" w:space="0" w:color="auto"/>
                </w:tcBorders>
                <w:vAlign w:val="center"/>
              </w:tcPr>
              <w:p w14:paraId="6715AAC9" w14:textId="77777777" w:rsidR="005E000F" w:rsidRDefault="00000000">
                <w:pPr>
                  <w:jc w:val="center"/>
                  <w:rPr>
                    <w:b/>
                    <w:color w:val="000000" w:themeColor="text1"/>
                  </w:rPr>
                </w:pPr>
                <w:r>
                  <w:rPr>
                    <w:b/>
                    <w:color w:val="000000" w:themeColor="text1"/>
                  </w:rPr>
                  <w:t>2024</w:t>
                </w:r>
                <w:r>
                  <w:rPr>
                    <w:b/>
                    <w:color w:val="000000" w:themeColor="text1"/>
                  </w:rPr>
                  <w:t>年</w:t>
                </w:r>
                <w:r>
                  <w:rPr>
                    <w:b/>
                    <w:color w:val="000000" w:themeColor="text1"/>
                  </w:rPr>
                  <w:t>12</w:t>
                </w:r>
                <w:r>
                  <w:rPr>
                    <w:b/>
                    <w:color w:val="000000" w:themeColor="text1"/>
                  </w:rPr>
                  <w:t>月</w:t>
                </w:r>
                <w:r>
                  <w:rPr>
                    <w:b/>
                    <w:color w:val="000000" w:themeColor="text1"/>
                  </w:rPr>
                  <w:t>31</w:t>
                </w:r>
                <w:r>
                  <w:rPr>
                    <w:b/>
                    <w:color w:val="000000" w:themeColor="text1"/>
                  </w:rPr>
                  <w:t>日</w:t>
                </w:r>
              </w:p>
            </w:tc>
          </w:sdtContent>
        </w:sdt>
      </w:tr>
      <w:tr w:rsidR="005E000F" w14:paraId="2143E193" w14:textId="77777777">
        <w:sdt>
          <w:sdtPr>
            <w:tag w:val="_PLD_38b46463546242c595dc585220b1a4b3"/>
            <w:id w:val="-214901898"/>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226895B4" w14:textId="77777777" w:rsidR="005E000F" w:rsidRDefault="00000000">
                <w:pPr>
                  <w:rPr>
                    <w:b/>
                    <w:color w:val="000000" w:themeColor="text1"/>
                  </w:rPr>
                </w:pPr>
                <w:r>
                  <w:rPr>
                    <w:rFonts w:hint="eastAsia"/>
                    <w:b/>
                    <w:color w:val="000000" w:themeColor="text1"/>
                  </w:rPr>
                  <w:t>流动资产：</w:t>
                </w:r>
              </w:p>
            </w:tc>
          </w:sdtContent>
        </w:sdt>
      </w:tr>
      <w:tr w:rsidR="005E000F" w14:paraId="20435013" w14:textId="77777777">
        <w:tc>
          <w:tcPr>
            <w:tcW w:w="2944" w:type="dxa"/>
            <w:tcBorders>
              <w:top w:val="outset" w:sz="6" w:space="0" w:color="auto"/>
              <w:left w:val="outset" w:sz="6" w:space="0" w:color="auto"/>
              <w:bottom w:val="outset" w:sz="6" w:space="0" w:color="auto"/>
              <w:right w:val="outset" w:sz="6" w:space="0" w:color="auto"/>
            </w:tcBorders>
            <w:vAlign w:val="center"/>
          </w:tcPr>
          <w:p w14:paraId="44318D4F" w14:textId="77777777" w:rsidR="005E000F" w:rsidRDefault="00000000">
            <w:pPr>
              <w:ind w:firstLineChars="100" w:firstLine="210"/>
              <w:rPr>
                <w:color w:val="000000" w:themeColor="text1"/>
              </w:rPr>
            </w:pPr>
            <w:r>
              <w:rPr>
                <w:rFonts w:hint="eastAsia"/>
                <w:color w:val="000000" w:themeColor="text1"/>
              </w:rPr>
              <w:t>货币资金</w:t>
            </w:r>
          </w:p>
        </w:tc>
        <w:tc>
          <w:tcPr>
            <w:tcW w:w="1133" w:type="dxa"/>
            <w:tcBorders>
              <w:top w:val="outset" w:sz="6" w:space="0" w:color="auto"/>
              <w:left w:val="outset" w:sz="6" w:space="0" w:color="auto"/>
              <w:bottom w:val="outset" w:sz="6" w:space="0" w:color="auto"/>
              <w:right w:val="outset" w:sz="6" w:space="0" w:color="auto"/>
            </w:tcBorders>
            <w:vAlign w:val="center"/>
          </w:tcPr>
          <w:p w14:paraId="3C06DF6C" w14:textId="77777777" w:rsidR="005E000F" w:rsidRDefault="00000000">
            <w:r>
              <w:rPr>
                <w:rFonts w:hint="eastAsia"/>
              </w:rPr>
              <w:t>七、</w:t>
            </w:r>
            <w:r>
              <w:t>1</w:t>
            </w:r>
          </w:p>
        </w:tc>
        <w:tc>
          <w:tcPr>
            <w:tcW w:w="2550" w:type="dxa"/>
            <w:tcBorders>
              <w:top w:val="outset" w:sz="6" w:space="0" w:color="auto"/>
              <w:left w:val="outset" w:sz="6" w:space="0" w:color="auto"/>
              <w:bottom w:val="outset" w:sz="6" w:space="0" w:color="auto"/>
              <w:right w:val="outset" w:sz="6" w:space="0" w:color="auto"/>
            </w:tcBorders>
            <w:vAlign w:val="center"/>
          </w:tcPr>
          <w:p w14:paraId="6EB61643" w14:textId="77777777" w:rsidR="005E000F" w:rsidRDefault="00000000">
            <w:pPr>
              <w:jc w:val="right"/>
            </w:pPr>
            <w:r>
              <w:t>35,850,008,755</w:t>
            </w:r>
          </w:p>
        </w:tc>
        <w:tc>
          <w:tcPr>
            <w:tcW w:w="2411" w:type="dxa"/>
            <w:tcBorders>
              <w:top w:val="outset" w:sz="6" w:space="0" w:color="auto"/>
              <w:left w:val="outset" w:sz="6" w:space="0" w:color="auto"/>
              <w:bottom w:val="outset" w:sz="6" w:space="0" w:color="auto"/>
              <w:right w:val="outset" w:sz="6" w:space="0" w:color="auto"/>
            </w:tcBorders>
            <w:vAlign w:val="center"/>
          </w:tcPr>
          <w:p w14:paraId="5A80F4FC" w14:textId="77777777" w:rsidR="005E000F" w:rsidRDefault="00000000">
            <w:pPr>
              <w:jc w:val="right"/>
            </w:pPr>
            <w:r>
              <w:rPr>
                <w:rFonts w:hint="eastAsia"/>
              </w:rPr>
              <w:t>61,346,794,931</w:t>
            </w:r>
          </w:p>
        </w:tc>
      </w:tr>
      <w:tr w:rsidR="005E000F" w14:paraId="22396B52" w14:textId="77777777">
        <w:tc>
          <w:tcPr>
            <w:tcW w:w="2944" w:type="dxa"/>
            <w:tcBorders>
              <w:top w:val="outset" w:sz="6" w:space="0" w:color="auto"/>
              <w:left w:val="outset" w:sz="6" w:space="0" w:color="auto"/>
              <w:bottom w:val="outset" w:sz="6" w:space="0" w:color="auto"/>
              <w:right w:val="outset" w:sz="6" w:space="0" w:color="auto"/>
            </w:tcBorders>
            <w:vAlign w:val="center"/>
          </w:tcPr>
          <w:p w14:paraId="5163AB4A" w14:textId="77777777" w:rsidR="005E000F" w:rsidRDefault="00000000">
            <w:pPr>
              <w:ind w:firstLineChars="100" w:firstLine="210"/>
              <w:rPr>
                <w:color w:val="000000" w:themeColor="text1"/>
              </w:rPr>
            </w:pPr>
            <w:r>
              <w:rPr>
                <w:rFonts w:hint="eastAsia"/>
                <w:color w:val="000000" w:themeColor="text1"/>
              </w:rPr>
              <w:t>结算备付金</w:t>
            </w:r>
          </w:p>
        </w:tc>
        <w:tc>
          <w:tcPr>
            <w:tcW w:w="1133" w:type="dxa"/>
            <w:tcBorders>
              <w:top w:val="outset" w:sz="6" w:space="0" w:color="auto"/>
              <w:left w:val="outset" w:sz="6" w:space="0" w:color="auto"/>
              <w:bottom w:val="outset" w:sz="6" w:space="0" w:color="auto"/>
              <w:right w:val="outset" w:sz="6" w:space="0" w:color="auto"/>
            </w:tcBorders>
            <w:vAlign w:val="center"/>
          </w:tcPr>
          <w:p w14:paraId="77AF0D2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1994247"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F9069D8" w14:textId="77777777" w:rsidR="005E000F" w:rsidRDefault="00000000">
            <w:pPr>
              <w:jc w:val="right"/>
            </w:pPr>
            <w:r>
              <w:rPr>
                <w:rFonts w:hint="eastAsia"/>
              </w:rPr>
              <w:t>0</w:t>
            </w:r>
          </w:p>
        </w:tc>
      </w:tr>
      <w:tr w:rsidR="005E000F" w14:paraId="0A623AA6" w14:textId="77777777">
        <w:tc>
          <w:tcPr>
            <w:tcW w:w="2944" w:type="dxa"/>
            <w:tcBorders>
              <w:top w:val="outset" w:sz="6" w:space="0" w:color="auto"/>
              <w:left w:val="outset" w:sz="6" w:space="0" w:color="auto"/>
              <w:bottom w:val="outset" w:sz="6" w:space="0" w:color="auto"/>
              <w:right w:val="outset" w:sz="6" w:space="0" w:color="auto"/>
            </w:tcBorders>
            <w:vAlign w:val="center"/>
          </w:tcPr>
          <w:p w14:paraId="0FD6F931" w14:textId="77777777" w:rsidR="005E000F" w:rsidRDefault="00000000">
            <w:pPr>
              <w:ind w:firstLineChars="100" w:firstLine="210"/>
              <w:rPr>
                <w:color w:val="000000" w:themeColor="text1"/>
              </w:rPr>
            </w:pPr>
            <w:r>
              <w:rPr>
                <w:rFonts w:hint="eastAsia"/>
                <w:color w:val="000000" w:themeColor="text1"/>
              </w:rPr>
              <w:t>拆出资金</w:t>
            </w:r>
          </w:p>
        </w:tc>
        <w:tc>
          <w:tcPr>
            <w:tcW w:w="1133" w:type="dxa"/>
            <w:tcBorders>
              <w:top w:val="outset" w:sz="6" w:space="0" w:color="auto"/>
              <w:left w:val="outset" w:sz="6" w:space="0" w:color="auto"/>
              <w:bottom w:val="outset" w:sz="6" w:space="0" w:color="auto"/>
              <w:right w:val="outset" w:sz="6" w:space="0" w:color="auto"/>
            </w:tcBorders>
            <w:vAlign w:val="center"/>
          </w:tcPr>
          <w:p w14:paraId="45227C75"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70D5C0F"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6919732" w14:textId="77777777" w:rsidR="005E000F" w:rsidRDefault="00000000">
            <w:pPr>
              <w:jc w:val="right"/>
            </w:pPr>
            <w:r>
              <w:rPr>
                <w:rFonts w:hint="eastAsia"/>
              </w:rPr>
              <w:t>0</w:t>
            </w:r>
          </w:p>
        </w:tc>
      </w:tr>
      <w:tr w:rsidR="005E000F" w14:paraId="4A6FDB26" w14:textId="77777777">
        <w:tc>
          <w:tcPr>
            <w:tcW w:w="2944" w:type="dxa"/>
            <w:tcBorders>
              <w:top w:val="outset" w:sz="6" w:space="0" w:color="auto"/>
              <w:left w:val="outset" w:sz="6" w:space="0" w:color="auto"/>
              <w:bottom w:val="outset" w:sz="6" w:space="0" w:color="auto"/>
              <w:right w:val="outset" w:sz="6" w:space="0" w:color="auto"/>
            </w:tcBorders>
            <w:vAlign w:val="center"/>
          </w:tcPr>
          <w:p w14:paraId="7570B1D7" w14:textId="77777777" w:rsidR="005E000F" w:rsidRDefault="00000000">
            <w:pPr>
              <w:ind w:firstLineChars="100" w:firstLine="210"/>
              <w:rPr>
                <w:color w:val="000000" w:themeColor="text1"/>
              </w:rPr>
            </w:pPr>
            <w:r>
              <w:rPr>
                <w:rFonts w:hint="eastAsia"/>
                <w:color w:val="000000" w:themeColor="text1"/>
              </w:rPr>
              <w:t>交易性金融资产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7F638681"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82BF761"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9BE0919" w14:textId="77777777" w:rsidR="005E000F" w:rsidRDefault="00000000">
            <w:pPr>
              <w:jc w:val="right"/>
            </w:pPr>
            <w:r>
              <w:rPr>
                <w:rFonts w:hint="eastAsia"/>
              </w:rPr>
              <w:t>0</w:t>
            </w:r>
          </w:p>
        </w:tc>
      </w:tr>
      <w:tr w:rsidR="005E000F" w14:paraId="39860CF4" w14:textId="77777777">
        <w:tc>
          <w:tcPr>
            <w:tcW w:w="2944" w:type="dxa"/>
            <w:tcBorders>
              <w:top w:val="outset" w:sz="6" w:space="0" w:color="auto"/>
              <w:left w:val="outset" w:sz="6" w:space="0" w:color="auto"/>
              <w:bottom w:val="outset" w:sz="6" w:space="0" w:color="auto"/>
              <w:right w:val="outset" w:sz="6" w:space="0" w:color="auto"/>
            </w:tcBorders>
            <w:vAlign w:val="center"/>
          </w:tcPr>
          <w:p w14:paraId="40371D31" w14:textId="77777777" w:rsidR="005E000F" w:rsidRDefault="00000000">
            <w:pPr>
              <w:ind w:firstLineChars="100" w:firstLine="210"/>
              <w:rPr>
                <w:color w:val="000000" w:themeColor="text1"/>
              </w:rPr>
            </w:pPr>
            <w:r>
              <w:rPr>
                <w:rFonts w:hint="eastAsia"/>
                <w:color w:val="000000" w:themeColor="text1"/>
              </w:rPr>
              <w:t>衍生金融资产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1D67B93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F3959B5"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6334FB8" w14:textId="77777777" w:rsidR="005E000F" w:rsidRDefault="00000000">
            <w:pPr>
              <w:jc w:val="right"/>
            </w:pPr>
            <w:r>
              <w:rPr>
                <w:rFonts w:hint="eastAsia"/>
              </w:rPr>
              <w:t>0</w:t>
            </w:r>
          </w:p>
        </w:tc>
      </w:tr>
      <w:tr w:rsidR="005E000F" w14:paraId="61E07768" w14:textId="77777777">
        <w:tc>
          <w:tcPr>
            <w:tcW w:w="2944" w:type="dxa"/>
            <w:tcBorders>
              <w:top w:val="outset" w:sz="6" w:space="0" w:color="auto"/>
              <w:left w:val="outset" w:sz="6" w:space="0" w:color="auto"/>
              <w:bottom w:val="outset" w:sz="6" w:space="0" w:color="auto"/>
              <w:right w:val="outset" w:sz="6" w:space="0" w:color="auto"/>
            </w:tcBorders>
            <w:vAlign w:val="center"/>
          </w:tcPr>
          <w:p w14:paraId="66ABAE93" w14:textId="77777777" w:rsidR="005E000F" w:rsidRDefault="00000000">
            <w:pPr>
              <w:ind w:firstLineChars="100" w:firstLine="210"/>
              <w:rPr>
                <w:color w:val="000000" w:themeColor="text1"/>
              </w:rPr>
            </w:pPr>
            <w:r>
              <w:rPr>
                <w:rFonts w:hint="eastAsia"/>
                <w:color w:val="000000" w:themeColor="text1"/>
              </w:rPr>
              <w:t>应收票据</w:t>
            </w:r>
          </w:p>
        </w:tc>
        <w:tc>
          <w:tcPr>
            <w:tcW w:w="1133" w:type="dxa"/>
            <w:tcBorders>
              <w:top w:val="outset" w:sz="6" w:space="0" w:color="auto"/>
              <w:left w:val="outset" w:sz="6" w:space="0" w:color="auto"/>
              <w:bottom w:val="outset" w:sz="6" w:space="0" w:color="auto"/>
              <w:right w:val="outset" w:sz="6" w:space="0" w:color="auto"/>
            </w:tcBorders>
            <w:vAlign w:val="center"/>
          </w:tcPr>
          <w:p w14:paraId="6355379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7433F53"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9E14352" w14:textId="77777777" w:rsidR="005E000F" w:rsidRDefault="00000000">
            <w:pPr>
              <w:jc w:val="right"/>
            </w:pPr>
            <w:r>
              <w:rPr>
                <w:rFonts w:hint="eastAsia"/>
              </w:rPr>
              <w:t>0</w:t>
            </w:r>
          </w:p>
        </w:tc>
      </w:tr>
      <w:tr w:rsidR="005E000F" w14:paraId="42094EDC" w14:textId="77777777">
        <w:tc>
          <w:tcPr>
            <w:tcW w:w="2944" w:type="dxa"/>
            <w:tcBorders>
              <w:top w:val="outset" w:sz="6" w:space="0" w:color="auto"/>
              <w:left w:val="outset" w:sz="6" w:space="0" w:color="auto"/>
              <w:bottom w:val="outset" w:sz="6" w:space="0" w:color="auto"/>
              <w:right w:val="outset" w:sz="6" w:space="0" w:color="auto"/>
            </w:tcBorders>
            <w:vAlign w:val="center"/>
          </w:tcPr>
          <w:p w14:paraId="7B51A9B8" w14:textId="77777777" w:rsidR="005E000F" w:rsidRDefault="00000000">
            <w:pPr>
              <w:ind w:firstLineChars="100" w:firstLine="210"/>
              <w:rPr>
                <w:color w:val="000000" w:themeColor="text1"/>
              </w:rPr>
            </w:pPr>
            <w:r>
              <w:rPr>
                <w:rFonts w:hint="eastAsia"/>
                <w:color w:val="000000" w:themeColor="text1"/>
              </w:rPr>
              <w:t>应收账款</w:t>
            </w:r>
          </w:p>
        </w:tc>
        <w:tc>
          <w:tcPr>
            <w:tcW w:w="1133" w:type="dxa"/>
            <w:tcBorders>
              <w:top w:val="outset" w:sz="6" w:space="0" w:color="auto"/>
              <w:left w:val="outset" w:sz="6" w:space="0" w:color="auto"/>
              <w:bottom w:val="outset" w:sz="6" w:space="0" w:color="auto"/>
              <w:right w:val="outset" w:sz="6" w:space="0" w:color="auto"/>
            </w:tcBorders>
            <w:vAlign w:val="center"/>
          </w:tcPr>
          <w:p w14:paraId="06E8E8FD" w14:textId="77777777" w:rsidR="005E000F" w:rsidRDefault="00000000">
            <w:r>
              <w:rPr>
                <w:rFonts w:hint="eastAsia"/>
              </w:rPr>
              <w:t>七、</w:t>
            </w:r>
            <w:r>
              <w:t>5</w:t>
            </w:r>
          </w:p>
        </w:tc>
        <w:tc>
          <w:tcPr>
            <w:tcW w:w="2550" w:type="dxa"/>
            <w:tcBorders>
              <w:top w:val="outset" w:sz="6" w:space="0" w:color="auto"/>
              <w:left w:val="outset" w:sz="6" w:space="0" w:color="auto"/>
              <w:bottom w:val="outset" w:sz="6" w:space="0" w:color="auto"/>
              <w:right w:val="outset" w:sz="6" w:space="0" w:color="auto"/>
            </w:tcBorders>
            <w:vAlign w:val="center"/>
          </w:tcPr>
          <w:p w14:paraId="303EF02D" w14:textId="77777777" w:rsidR="005E000F" w:rsidRDefault="00000000">
            <w:pPr>
              <w:jc w:val="right"/>
            </w:pPr>
            <w:r>
              <w:t>4,129,758,941</w:t>
            </w:r>
          </w:p>
        </w:tc>
        <w:tc>
          <w:tcPr>
            <w:tcW w:w="2411" w:type="dxa"/>
            <w:tcBorders>
              <w:top w:val="outset" w:sz="6" w:space="0" w:color="auto"/>
              <w:left w:val="outset" w:sz="6" w:space="0" w:color="auto"/>
              <w:bottom w:val="outset" w:sz="6" w:space="0" w:color="auto"/>
              <w:right w:val="outset" w:sz="6" w:space="0" w:color="auto"/>
            </w:tcBorders>
            <w:vAlign w:val="center"/>
          </w:tcPr>
          <w:p w14:paraId="7990C603" w14:textId="77777777" w:rsidR="005E000F" w:rsidRDefault="00000000">
            <w:pPr>
              <w:jc w:val="right"/>
            </w:pPr>
            <w:r>
              <w:rPr>
                <w:rFonts w:hint="eastAsia"/>
              </w:rPr>
              <w:t>4,810,802,229</w:t>
            </w:r>
          </w:p>
        </w:tc>
      </w:tr>
      <w:tr w:rsidR="005E000F" w14:paraId="03D4A7FA" w14:textId="77777777">
        <w:tc>
          <w:tcPr>
            <w:tcW w:w="2944" w:type="dxa"/>
            <w:tcBorders>
              <w:top w:val="outset" w:sz="6" w:space="0" w:color="auto"/>
              <w:left w:val="outset" w:sz="6" w:space="0" w:color="auto"/>
              <w:bottom w:val="outset" w:sz="6" w:space="0" w:color="auto"/>
              <w:right w:val="outset" w:sz="6" w:space="0" w:color="auto"/>
            </w:tcBorders>
            <w:vAlign w:val="center"/>
          </w:tcPr>
          <w:p w14:paraId="7A232BCE" w14:textId="77777777" w:rsidR="005E000F" w:rsidRDefault="00000000">
            <w:pPr>
              <w:ind w:firstLineChars="100" w:firstLine="210"/>
              <w:rPr>
                <w:color w:val="000000" w:themeColor="text1"/>
              </w:rPr>
            </w:pPr>
            <w:r>
              <w:rPr>
                <w:rFonts w:hint="eastAsia"/>
                <w:color w:val="000000" w:themeColor="text1"/>
              </w:rPr>
              <w:t>应收款项融资</w:t>
            </w:r>
          </w:p>
        </w:tc>
        <w:tc>
          <w:tcPr>
            <w:tcW w:w="1133" w:type="dxa"/>
            <w:tcBorders>
              <w:top w:val="outset" w:sz="6" w:space="0" w:color="auto"/>
              <w:left w:val="outset" w:sz="6" w:space="0" w:color="auto"/>
              <w:bottom w:val="outset" w:sz="6" w:space="0" w:color="auto"/>
              <w:right w:val="outset" w:sz="6" w:space="0" w:color="auto"/>
            </w:tcBorders>
            <w:vAlign w:val="center"/>
          </w:tcPr>
          <w:p w14:paraId="32546E87" w14:textId="77777777" w:rsidR="005E000F" w:rsidRDefault="00000000">
            <w:r>
              <w:rPr>
                <w:rFonts w:hint="eastAsia"/>
              </w:rPr>
              <w:t>七、</w:t>
            </w:r>
            <w:r>
              <w:t>7</w:t>
            </w:r>
          </w:p>
        </w:tc>
        <w:tc>
          <w:tcPr>
            <w:tcW w:w="2550" w:type="dxa"/>
            <w:tcBorders>
              <w:top w:val="outset" w:sz="6" w:space="0" w:color="auto"/>
              <w:left w:val="outset" w:sz="6" w:space="0" w:color="auto"/>
              <w:bottom w:val="outset" w:sz="6" w:space="0" w:color="auto"/>
              <w:right w:val="outset" w:sz="6" w:space="0" w:color="auto"/>
            </w:tcBorders>
            <w:vAlign w:val="center"/>
          </w:tcPr>
          <w:p w14:paraId="6C211213" w14:textId="77777777" w:rsidR="005E000F" w:rsidRDefault="00000000">
            <w:pPr>
              <w:jc w:val="right"/>
            </w:pPr>
            <w:r>
              <w:t>3,110,596,621</w:t>
            </w:r>
          </w:p>
        </w:tc>
        <w:tc>
          <w:tcPr>
            <w:tcW w:w="2411" w:type="dxa"/>
            <w:tcBorders>
              <w:top w:val="outset" w:sz="6" w:space="0" w:color="auto"/>
              <w:left w:val="outset" w:sz="6" w:space="0" w:color="auto"/>
              <w:bottom w:val="outset" w:sz="6" w:space="0" w:color="auto"/>
              <w:right w:val="outset" w:sz="6" w:space="0" w:color="auto"/>
            </w:tcBorders>
            <w:vAlign w:val="center"/>
          </w:tcPr>
          <w:p w14:paraId="4BBF455C" w14:textId="77777777" w:rsidR="005E000F" w:rsidRDefault="00000000">
            <w:pPr>
              <w:jc w:val="right"/>
            </w:pPr>
            <w:r>
              <w:rPr>
                <w:rFonts w:hint="eastAsia"/>
              </w:rPr>
              <w:t>2,440,076,387</w:t>
            </w:r>
          </w:p>
        </w:tc>
      </w:tr>
      <w:tr w:rsidR="005E000F" w14:paraId="44AF2E60" w14:textId="77777777">
        <w:tc>
          <w:tcPr>
            <w:tcW w:w="2944" w:type="dxa"/>
            <w:tcBorders>
              <w:top w:val="outset" w:sz="6" w:space="0" w:color="auto"/>
              <w:left w:val="outset" w:sz="6" w:space="0" w:color="auto"/>
              <w:bottom w:val="outset" w:sz="6" w:space="0" w:color="auto"/>
              <w:right w:val="outset" w:sz="6" w:space="0" w:color="auto"/>
            </w:tcBorders>
            <w:vAlign w:val="center"/>
          </w:tcPr>
          <w:p w14:paraId="103CD539" w14:textId="77777777" w:rsidR="005E000F" w:rsidRDefault="00000000">
            <w:pPr>
              <w:ind w:firstLineChars="100" w:firstLine="210"/>
              <w:rPr>
                <w:color w:val="000000" w:themeColor="text1"/>
              </w:rPr>
            </w:pPr>
            <w:r>
              <w:rPr>
                <w:rFonts w:hint="eastAsia"/>
                <w:color w:val="000000" w:themeColor="text1"/>
              </w:rPr>
              <w:t>预付款项</w:t>
            </w:r>
          </w:p>
        </w:tc>
        <w:tc>
          <w:tcPr>
            <w:tcW w:w="1133" w:type="dxa"/>
            <w:tcBorders>
              <w:top w:val="outset" w:sz="6" w:space="0" w:color="auto"/>
              <w:left w:val="outset" w:sz="6" w:space="0" w:color="auto"/>
              <w:bottom w:val="outset" w:sz="6" w:space="0" w:color="auto"/>
              <w:right w:val="outset" w:sz="6" w:space="0" w:color="auto"/>
            </w:tcBorders>
            <w:vAlign w:val="center"/>
          </w:tcPr>
          <w:p w14:paraId="08CCB66A" w14:textId="77777777" w:rsidR="005E000F" w:rsidRDefault="00000000">
            <w:r>
              <w:rPr>
                <w:rFonts w:hint="eastAsia"/>
              </w:rPr>
              <w:t>七、</w:t>
            </w:r>
            <w:r>
              <w:t>8</w:t>
            </w:r>
          </w:p>
        </w:tc>
        <w:tc>
          <w:tcPr>
            <w:tcW w:w="2550" w:type="dxa"/>
            <w:tcBorders>
              <w:top w:val="outset" w:sz="6" w:space="0" w:color="auto"/>
              <w:left w:val="outset" w:sz="6" w:space="0" w:color="auto"/>
              <w:bottom w:val="outset" w:sz="6" w:space="0" w:color="auto"/>
              <w:right w:val="outset" w:sz="6" w:space="0" w:color="auto"/>
            </w:tcBorders>
            <w:vAlign w:val="center"/>
          </w:tcPr>
          <w:p w14:paraId="307EB7A8" w14:textId="77777777" w:rsidR="005E000F" w:rsidRDefault="00000000">
            <w:pPr>
              <w:jc w:val="right"/>
            </w:pPr>
            <w:r>
              <w:t>289,401,870</w:t>
            </w:r>
          </w:p>
        </w:tc>
        <w:tc>
          <w:tcPr>
            <w:tcW w:w="2411" w:type="dxa"/>
            <w:tcBorders>
              <w:top w:val="outset" w:sz="6" w:space="0" w:color="auto"/>
              <w:left w:val="outset" w:sz="6" w:space="0" w:color="auto"/>
              <w:bottom w:val="outset" w:sz="6" w:space="0" w:color="auto"/>
              <w:right w:val="outset" w:sz="6" w:space="0" w:color="auto"/>
            </w:tcBorders>
            <w:vAlign w:val="center"/>
          </w:tcPr>
          <w:p w14:paraId="085875E3" w14:textId="77777777" w:rsidR="005E000F" w:rsidRDefault="00000000">
            <w:pPr>
              <w:jc w:val="right"/>
            </w:pPr>
            <w:r>
              <w:rPr>
                <w:rFonts w:hint="eastAsia"/>
              </w:rPr>
              <w:t>298,949,165</w:t>
            </w:r>
          </w:p>
        </w:tc>
      </w:tr>
      <w:tr w:rsidR="005E000F" w14:paraId="25DFCE76" w14:textId="77777777">
        <w:tc>
          <w:tcPr>
            <w:tcW w:w="2944" w:type="dxa"/>
            <w:tcBorders>
              <w:top w:val="outset" w:sz="6" w:space="0" w:color="auto"/>
              <w:left w:val="outset" w:sz="6" w:space="0" w:color="auto"/>
              <w:bottom w:val="outset" w:sz="6" w:space="0" w:color="auto"/>
              <w:right w:val="outset" w:sz="6" w:space="0" w:color="auto"/>
            </w:tcBorders>
            <w:vAlign w:val="center"/>
          </w:tcPr>
          <w:p w14:paraId="0F92F976" w14:textId="77777777" w:rsidR="005E000F" w:rsidRDefault="00000000">
            <w:pPr>
              <w:ind w:firstLineChars="100" w:firstLine="210"/>
              <w:rPr>
                <w:color w:val="000000" w:themeColor="text1"/>
              </w:rPr>
            </w:pPr>
            <w:r>
              <w:rPr>
                <w:rFonts w:hint="eastAsia"/>
                <w:color w:val="000000" w:themeColor="text1"/>
              </w:rPr>
              <w:t>应收保费</w:t>
            </w:r>
          </w:p>
        </w:tc>
        <w:tc>
          <w:tcPr>
            <w:tcW w:w="1133" w:type="dxa"/>
            <w:tcBorders>
              <w:top w:val="outset" w:sz="6" w:space="0" w:color="auto"/>
              <w:left w:val="outset" w:sz="6" w:space="0" w:color="auto"/>
              <w:bottom w:val="outset" w:sz="6" w:space="0" w:color="auto"/>
              <w:right w:val="outset" w:sz="6" w:space="0" w:color="auto"/>
            </w:tcBorders>
            <w:vAlign w:val="center"/>
          </w:tcPr>
          <w:p w14:paraId="1478DC8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7BB073B7"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B54236D" w14:textId="77777777" w:rsidR="005E000F" w:rsidRDefault="00000000">
            <w:pPr>
              <w:jc w:val="right"/>
            </w:pPr>
            <w:r>
              <w:rPr>
                <w:rFonts w:hint="eastAsia"/>
              </w:rPr>
              <w:t>0</w:t>
            </w:r>
          </w:p>
        </w:tc>
      </w:tr>
      <w:tr w:rsidR="005E000F" w14:paraId="6B2AE8A1" w14:textId="77777777">
        <w:tc>
          <w:tcPr>
            <w:tcW w:w="2944" w:type="dxa"/>
            <w:tcBorders>
              <w:top w:val="outset" w:sz="6" w:space="0" w:color="auto"/>
              <w:left w:val="outset" w:sz="6" w:space="0" w:color="auto"/>
              <w:bottom w:val="outset" w:sz="6" w:space="0" w:color="auto"/>
              <w:right w:val="outset" w:sz="6" w:space="0" w:color="auto"/>
            </w:tcBorders>
            <w:vAlign w:val="center"/>
          </w:tcPr>
          <w:p w14:paraId="160051BF" w14:textId="77777777" w:rsidR="005E000F" w:rsidRDefault="00000000">
            <w:pPr>
              <w:ind w:firstLineChars="100" w:firstLine="210"/>
              <w:rPr>
                <w:color w:val="000000" w:themeColor="text1"/>
              </w:rPr>
            </w:pPr>
            <w:r>
              <w:rPr>
                <w:rFonts w:hint="eastAsia"/>
                <w:color w:val="000000" w:themeColor="text1"/>
              </w:rPr>
              <w:t>应收分保账款</w:t>
            </w:r>
          </w:p>
        </w:tc>
        <w:tc>
          <w:tcPr>
            <w:tcW w:w="1133" w:type="dxa"/>
            <w:tcBorders>
              <w:top w:val="outset" w:sz="6" w:space="0" w:color="auto"/>
              <w:left w:val="outset" w:sz="6" w:space="0" w:color="auto"/>
              <w:bottom w:val="outset" w:sz="6" w:space="0" w:color="auto"/>
              <w:right w:val="outset" w:sz="6" w:space="0" w:color="auto"/>
            </w:tcBorders>
            <w:vAlign w:val="center"/>
          </w:tcPr>
          <w:p w14:paraId="254CCDC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E7FFAE8"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EC94A0E" w14:textId="77777777" w:rsidR="005E000F" w:rsidRDefault="00000000">
            <w:pPr>
              <w:jc w:val="right"/>
            </w:pPr>
            <w:r>
              <w:rPr>
                <w:rFonts w:hint="eastAsia"/>
              </w:rPr>
              <w:t>0</w:t>
            </w:r>
          </w:p>
        </w:tc>
      </w:tr>
      <w:tr w:rsidR="005E000F" w14:paraId="52D22D03" w14:textId="77777777">
        <w:tc>
          <w:tcPr>
            <w:tcW w:w="2944" w:type="dxa"/>
            <w:tcBorders>
              <w:top w:val="outset" w:sz="6" w:space="0" w:color="auto"/>
              <w:left w:val="outset" w:sz="6" w:space="0" w:color="auto"/>
              <w:bottom w:val="outset" w:sz="6" w:space="0" w:color="auto"/>
              <w:right w:val="outset" w:sz="6" w:space="0" w:color="auto"/>
            </w:tcBorders>
            <w:vAlign w:val="center"/>
          </w:tcPr>
          <w:p w14:paraId="682B57C1" w14:textId="77777777" w:rsidR="005E000F" w:rsidRDefault="00000000">
            <w:pPr>
              <w:ind w:firstLineChars="100" w:firstLine="210"/>
              <w:rPr>
                <w:color w:val="000000" w:themeColor="text1"/>
              </w:rPr>
            </w:pPr>
            <w:r>
              <w:rPr>
                <w:rFonts w:hint="eastAsia"/>
                <w:color w:val="000000" w:themeColor="text1"/>
              </w:rPr>
              <w:t>应收分保合同准备金</w:t>
            </w:r>
          </w:p>
        </w:tc>
        <w:tc>
          <w:tcPr>
            <w:tcW w:w="1133" w:type="dxa"/>
            <w:tcBorders>
              <w:top w:val="outset" w:sz="6" w:space="0" w:color="auto"/>
              <w:left w:val="outset" w:sz="6" w:space="0" w:color="auto"/>
              <w:bottom w:val="outset" w:sz="6" w:space="0" w:color="auto"/>
              <w:right w:val="outset" w:sz="6" w:space="0" w:color="auto"/>
            </w:tcBorders>
            <w:vAlign w:val="center"/>
          </w:tcPr>
          <w:p w14:paraId="61D27D46"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31CD16D"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639B2B1F" w14:textId="77777777" w:rsidR="005E000F" w:rsidRDefault="00000000">
            <w:pPr>
              <w:jc w:val="right"/>
            </w:pPr>
            <w:r>
              <w:rPr>
                <w:rFonts w:hint="eastAsia"/>
              </w:rPr>
              <w:t>0</w:t>
            </w:r>
          </w:p>
        </w:tc>
      </w:tr>
      <w:tr w:rsidR="005E000F" w14:paraId="2F26ED75" w14:textId="77777777">
        <w:tc>
          <w:tcPr>
            <w:tcW w:w="2944" w:type="dxa"/>
            <w:tcBorders>
              <w:top w:val="outset" w:sz="6" w:space="0" w:color="auto"/>
              <w:left w:val="outset" w:sz="6" w:space="0" w:color="auto"/>
              <w:bottom w:val="outset" w:sz="6" w:space="0" w:color="auto"/>
              <w:right w:val="outset" w:sz="6" w:space="0" w:color="auto"/>
            </w:tcBorders>
            <w:vAlign w:val="center"/>
          </w:tcPr>
          <w:p w14:paraId="6415A361" w14:textId="77777777" w:rsidR="005E000F" w:rsidRDefault="00000000">
            <w:pPr>
              <w:ind w:firstLineChars="100" w:firstLine="210"/>
              <w:rPr>
                <w:color w:val="000000" w:themeColor="text1"/>
              </w:rPr>
            </w:pPr>
            <w:r>
              <w:rPr>
                <w:rFonts w:hint="eastAsia"/>
                <w:color w:val="000000" w:themeColor="text1"/>
              </w:rPr>
              <w:t>其他应收款</w:t>
            </w:r>
          </w:p>
        </w:tc>
        <w:tc>
          <w:tcPr>
            <w:tcW w:w="1133" w:type="dxa"/>
            <w:tcBorders>
              <w:top w:val="outset" w:sz="6" w:space="0" w:color="auto"/>
              <w:left w:val="outset" w:sz="6" w:space="0" w:color="auto"/>
              <w:bottom w:val="outset" w:sz="6" w:space="0" w:color="auto"/>
              <w:right w:val="outset" w:sz="6" w:space="0" w:color="auto"/>
            </w:tcBorders>
            <w:vAlign w:val="center"/>
          </w:tcPr>
          <w:p w14:paraId="2D29B188" w14:textId="77777777" w:rsidR="005E000F" w:rsidRDefault="00000000">
            <w:r>
              <w:rPr>
                <w:rFonts w:hint="eastAsia"/>
              </w:rPr>
              <w:t>七、</w:t>
            </w:r>
            <w:r>
              <w:t>9</w:t>
            </w:r>
          </w:p>
        </w:tc>
        <w:tc>
          <w:tcPr>
            <w:tcW w:w="2550" w:type="dxa"/>
            <w:tcBorders>
              <w:top w:val="outset" w:sz="6" w:space="0" w:color="auto"/>
              <w:left w:val="outset" w:sz="6" w:space="0" w:color="auto"/>
              <w:bottom w:val="outset" w:sz="6" w:space="0" w:color="auto"/>
              <w:right w:val="outset" w:sz="6" w:space="0" w:color="auto"/>
            </w:tcBorders>
            <w:vAlign w:val="center"/>
          </w:tcPr>
          <w:p w14:paraId="338C7A76" w14:textId="77777777" w:rsidR="005E000F" w:rsidRDefault="00000000">
            <w:pPr>
              <w:jc w:val="right"/>
            </w:pPr>
            <w:r>
              <w:t>3,714,839,998</w:t>
            </w:r>
          </w:p>
        </w:tc>
        <w:tc>
          <w:tcPr>
            <w:tcW w:w="2411" w:type="dxa"/>
            <w:tcBorders>
              <w:top w:val="outset" w:sz="6" w:space="0" w:color="auto"/>
              <w:left w:val="outset" w:sz="6" w:space="0" w:color="auto"/>
              <w:bottom w:val="outset" w:sz="6" w:space="0" w:color="auto"/>
              <w:right w:val="outset" w:sz="6" w:space="0" w:color="auto"/>
            </w:tcBorders>
            <w:vAlign w:val="center"/>
          </w:tcPr>
          <w:p w14:paraId="2F42C25B" w14:textId="77777777" w:rsidR="005E000F" w:rsidRDefault="00000000">
            <w:pPr>
              <w:jc w:val="right"/>
            </w:pPr>
            <w:r>
              <w:rPr>
                <w:rFonts w:hint="eastAsia"/>
              </w:rPr>
              <w:t>4,230,973,093</w:t>
            </w:r>
          </w:p>
        </w:tc>
      </w:tr>
      <w:tr w:rsidR="005E000F" w14:paraId="35BE81B9" w14:textId="77777777">
        <w:tc>
          <w:tcPr>
            <w:tcW w:w="2944" w:type="dxa"/>
            <w:tcBorders>
              <w:top w:val="outset" w:sz="6" w:space="0" w:color="auto"/>
              <w:left w:val="outset" w:sz="6" w:space="0" w:color="auto"/>
              <w:bottom w:val="outset" w:sz="6" w:space="0" w:color="auto"/>
              <w:right w:val="outset" w:sz="6" w:space="0" w:color="auto"/>
            </w:tcBorders>
            <w:vAlign w:val="center"/>
          </w:tcPr>
          <w:p w14:paraId="03707787" w14:textId="77777777" w:rsidR="005E000F" w:rsidRDefault="00000000">
            <w:pPr>
              <w:ind w:firstLineChars="100" w:firstLine="210"/>
              <w:rPr>
                <w:color w:val="000000" w:themeColor="text1"/>
              </w:rPr>
            </w:pPr>
            <w:r>
              <w:rPr>
                <w:rFonts w:hint="eastAsia"/>
                <w:color w:val="000000" w:themeColor="text1"/>
              </w:rPr>
              <w:t>其中：应收利息</w:t>
            </w:r>
          </w:p>
        </w:tc>
        <w:tc>
          <w:tcPr>
            <w:tcW w:w="1133" w:type="dxa"/>
            <w:tcBorders>
              <w:top w:val="outset" w:sz="6" w:space="0" w:color="auto"/>
              <w:left w:val="outset" w:sz="6" w:space="0" w:color="auto"/>
              <w:bottom w:val="outset" w:sz="6" w:space="0" w:color="auto"/>
              <w:right w:val="outset" w:sz="6" w:space="0" w:color="auto"/>
            </w:tcBorders>
            <w:vAlign w:val="center"/>
          </w:tcPr>
          <w:p w14:paraId="0CA6173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AD6448B"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691069FA" w14:textId="77777777" w:rsidR="005E000F" w:rsidRDefault="00000000">
            <w:pPr>
              <w:jc w:val="right"/>
            </w:pPr>
            <w:r>
              <w:rPr>
                <w:rFonts w:hint="eastAsia"/>
              </w:rPr>
              <w:t>0</w:t>
            </w:r>
          </w:p>
        </w:tc>
      </w:tr>
      <w:tr w:rsidR="005E000F" w14:paraId="67451266" w14:textId="77777777">
        <w:tc>
          <w:tcPr>
            <w:tcW w:w="2944" w:type="dxa"/>
            <w:tcBorders>
              <w:top w:val="outset" w:sz="6" w:space="0" w:color="auto"/>
              <w:left w:val="outset" w:sz="6" w:space="0" w:color="auto"/>
              <w:bottom w:val="outset" w:sz="6" w:space="0" w:color="auto"/>
              <w:right w:val="outset" w:sz="6" w:space="0" w:color="auto"/>
            </w:tcBorders>
            <w:vAlign w:val="center"/>
          </w:tcPr>
          <w:p w14:paraId="6883713E" w14:textId="77777777" w:rsidR="005E000F" w:rsidRDefault="00000000">
            <w:pPr>
              <w:ind w:firstLineChars="400" w:firstLine="840"/>
              <w:rPr>
                <w:color w:val="000000" w:themeColor="text1"/>
              </w:rPr>
            </w:pPr>
            <w:r>
              <w:rPr>
                <w:rFonts w:hint="eastAsia"/>
                <w:color w:val="000000" w:themeColor="text1"/>
              </w:rPr>
              <w:t>应收股利</w:t>
            </w:r>
          </w:p>
        </w:tc>
        <w:tc>
          <w:tcPr>
            <w:tcW w:w="1133" w:type="dxa"/>
            <w:tcBorders>
              <w:top w:val="outset" w:sz="6" w:space="0" w:color="auto"/>
              <w:left w:val="outset" w:sz="6" w:space="0" w:color="auto"/>
              <w:bottom w:val="outset" w:sz="6" w:space="0" w:color="auto"/>
              <w:right w:val="outset" w:sz="6" w:space="0" w:color="auto"/>
            </w:tcBorders>
            <w:vAlign w:val="center"/>
          </w:tcPr>
          <w:p w14:paraId="159C4BF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81B008C"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EF0CF15" w14:textId="77777777" w:rsidR="005E000F" w:rsidRDefault="00000000">
            <w:pPr>
              <w:jc w:val="right"/>
            </w:pPr>
            <w:r>
              <w:rPr>
                <w:rFonts w:hint="eastAsia"/>
              </w:rPr>
              <w:t>2,433,551,412</w:t>
            </w:r>
          </w:p>
        </w:tc>
      </w:tr>
      <w:tr w:rsidR="005E000F" w14:paraId="0413F225" w14:textId="77777777">
        <w:tc>
          <w:tcPr>
            <w:tcW w:w="2944" w:type="dxa"/>
            <w:tcBorders>
              <w:top w:val="outset" w:sz="6" w:space="0" w:color="auto"/>
              <w:left w:val="outset" w:sz="6" w:space="0" w:color="auto"/>
              <w:bottom w:val="outset" w:sz="6" w:space="0" w:color="auto"/>
              <w:right w:val="outset" w:sz="6" w:space="0" w:color="auto"/>
            </w:tcBorders>
            <w:vAlign w:val="center"/>
          </w:tcPr>
          <w:p w14:paraId="5FDFAE9E" w14:textId="77777777" w:rsidR="005E000F" w:rsidRDefault="00000000">
            <w:pPr>
              <w:ind w:firstLineChars="100" w:firstLine="210"/>
              <w:rPr>
                <w:color w:val="000000" w:themeColor="text1"/>
              </w:rPr>
            </w:pPr>
            <w:r>
              <w:rPr>
                <w:rFonts w:hint="eastAsia"/>
                <w:color w:val="000000" w:themeColor="text1"/>
              </w:rPr>
              <w:t>买入返售金融资产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233ABBE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F46E12A"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7D38B8BC" w14:textId="77777777" w:rsidR="005E000F" w:rsidRDefault="00000000">
            <w:pPr>
              <w:jc w:val="right"/>
            </w:pPr>
            <w:r>
              <w:rPr>
                <w:rFonts w:hint="eastAsia"/>
              </w:rPr>
              <w:t>0</w:t>
            </w:r>
          </w:p>
        </w:tc>
      </w:tr>
      <w:tr w:rsidR="005E000F" w14:paraId="2995C62B" w14:textId="77777777">
        <w:tc>
          <w:tcPr>
            <w:tcW w:w="2944" w:type="dxa"/>
            <w:tcBorders>
              <w:top w:val="outset" w:sz="6" w:space="0" w:color="auto"/>
              <w:left w:val="outset" w:sz="6" w:space="0" w:color="auto"/>
              <w:bottom w:val="outset" w:sz="6" w:space="0" w:color="auto"/>
              <w:right w:val="outset" w:sz="6" w:space="0" w:color="auto"/>
            </w:tcBorders>
            <w:vAlign w:val="center"/>
          </w:tcPr>
          <w:p w14:paraId="0C3D3403" w14:textId="77777777" w:rsidR="005E000F" w:rsidRDefault="00000000">
            <w:pPr>
              <w:ind w:firstLineChars="100" w:firstLine="210"/>
              <w:rPr>
                <w:color w:val="000000" w:themeColor="text1"/>
              </w:rPr>
            </w:pPr>
            <w:r>
              <w:rPr>
                <w:rFonts w:hint="eastAsia"/>
                <w:color w:val="000000" w:themeColor="text1"/>
              </w:rPr>
              <w:t>存货</w:t>
            </w:r>
          </w:p>
        </w:tc>
        <w:tc>
          <w:tcPr>
            <w:tcW w:w="1133" w:type="dxa"/>
            <w:tcBorders>
              <w:top w:val="outset" w:sz="6" w:space="0" w:color="auto"/>
              <w:left w:val="outset" w:sz="6" w:space="0" w:color="auto"/>
              <w:bottom w:val="outset" w:sz="6" w:space="0" w:color="auto"/>
              <w:right w:val="outset" w:sz="6" w:space="0" w:color="auto"/>
            </w:tcBorders>
            <w:vAlign w:val="center"/>
          </w:tcPr>
          <w:p w14:paraId="2300FDE8" w14:textId="77777777" w:rsidR="005E000F" w:rsidRDefault="00000000">
            <w:r>
              <w:rPr>
                <w:rFonts w:hint="eastAsia"/>
              </w:rPr>
              <w:t>七、</w:t>
            </w:r>
            <w:r>
              <w:t>10</w:t>
            </w:r>
          </w:p>
        </w:tc>
        <w:tc>
          <w:tcPr>
            <w:tcW w:w="2550" w:type="dxa"/>
            <w:tcBorders>
              <w:top w:val="outset" w:sz="6" w:space="0" w:color="auto"/>
              <w:left w:val="outset" w:sz="6" w:space="0" w:color="auto"/>
              <w:bottom w:val="outset" w:sz="6" w:space="0" w:color="auto"/>
              <w:right w:val="outset" w:sz="6" w:space="0" w:color="auto"/>
            </w:tcBorders>
            <w:vAlign w:val="center"/>
          </w:tcPr>
          <w:p w14:paraId="78196433" w14:textId="77777777" w:rsidR="005E000F" w:rsidRDefault="00000000">
            <w:pPr>
              <w:jc w:val="right"/>
            </w:pPr>
            <w:r>
              <w:t>1,685,710,973</w:t>
            </w:r>
          </w:p>
        </w:tc>
        <w:tc>
          <w:tcPr>
            <w:tcW w:w="2411" w:type="dxa"/>
            <w:tcBorders>
              <w:top w:val="outset" w:sz="6" w:space="0" w:color="auto"/>
              <w:left w:val="outset" w:sz="6" w:space="0" w:color="auto"/>
              <w:bottom w:val="outset" w:sz="6" w:space="0" w:color="auto"/>
              <w:right w:val="outset" w:sz="6" w:space="0" w:color="auto"/>
            </w:tcBorders>
            <w:vAlign w:val="center"/>
          </w:tcPr>
          <w:p w14:paraId="0125FE34" w14:textId="77777777" w:rsidR="005E000F" w:rsidRDefault="00000000">
            <w:pPr>
              <w:jc w:val="right"/>
            </w:pPr>
            <w:r>
              <w:rPr>
                <w:rFonts w:hint="eastAsia"/>
              </w:rPr>
              <w:t>1,700,132,798</w:t>
            </w:r>
          </w:p>
        </w:tc>
      </w:tr>
      <w:tr w:rsidR="005E000F" w14:paraId="585DC3BE" w14:textId="77777777">
        <w:tc>
          <w:tcPr>
            <w:tcW w:w="2944" w:type="dxa"/>
            <w:tcBorders>
              <w:top w:val="outset" w:sz="6" w:space="0" w:color="auto"/>
              <w:left w:val="outset" w:sz="6" w:space="0" w:color="auto"/>
              <w:bottom w:val="outset" w:sz="6" w:space="0" w:color="auto"/>
              <w:right w:val="outset" w:sz="6" w:space="0" w:color="auto"/>
            </w:tcBorders>
            <w:vAlign w:val="center"/>
          </w:tcPr>
          <w:p w14:paraId="71E018B7" w14:textId="77777777" w:rsidR="005E000F" w:rsidRDefault="00000000">
            <w:pPr>
              <w:rPr>
                <w:color w:val="000000" w:themeColor="text1"/>
              </w:rPr>
            </w:pPr>
            <w:r>
              <w:rPr>
                <w:rFonts w:hint="eastAsia"/>
                <w:color w:val="000000" w:themeColor="text1"/>
              </w:rPr>
              <w:t xml:space="preserve">  </w:t>
            </w: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3D21198E"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9DE4290"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EAC7052" w14:textId="77777777" w:rsidR="005E000F" w:rsidRDefault="00000000">
            <w:pPr>
              <w:jc w:val="right"/>
            </w:pPr>
            <w:r>
              <w:rPr>
                <w:rFonts w:hint="eastAsia"/>
              </w:rPr>
              <w:t>0</w:t>
            </w:r>
          </w:p>
        </w:tc>
      </w:tr>
      <w:tr w:rsidR="005E000F" w14:paraId="5761B4E4" w14:textId="77777777">
        <w:tc>
          <w:tcPr>
            <w:tcW w:w="2944" w:type="dxa"/>
            <w:tcBorders>
              <w:top w:val="outset" w:sz="6" w:space="0" w:color="auto"/>
              <w:left w:val="outset" w:sz="6" w:space="0" w:color="auto"/>
              <w:bottom w:val="outset" w:sz="6" w:space="0" w:color="auto"/>
              <w:right w:val="outset" w:sz="6" w:space="0" w:color="auto"/>
            </w:tcBorders>
            <w:vAlign w:val="center"/>
          </w:tcPr>
          <w:p w14:paraId="202B3494" w14:textId="77777777" w:rsidR="005E000F" w:rsidRDefault="00000000">
            <w:pPr>
              <w:ind w:firstLineChars="100" w:firstLine="210"/>
              <w:rPr>
                <w:color w:val="000000" w:themeColor="text1"/>
              </w:rPr>
            </w:pPr>
            <w:r>
              <w:rPr>
                <w:rFonts w:hint="eastAsia"/>
                <w:color w:val="000000" w:themeColor="text1"/>
              </w:rPr>
              <w:t>合同资产</w:t>
            </w:r>
          </w:p>
        </w:tc>
        <w:tc>
          <w:tcPr>
            <w:tcW w:w="1133" w:type="dxa"/>
            <w:tcBorders>
              <w:top w:val="outset" w:sz="6" w:space="0" w:color="auto"/>
              <w:left w:val="outset" w:sz="6" w:space="0" w:color="auto"/>
              <w:bottom w:val="outset" w:sz="6" w:space="0" w:color="auto"/>
              <w:right w:val="outset" w:sz="6" w:space="0" w:color="auto"/>
            </w:tcBorders>
            <w:vAlign w:val="center"/>
          </w:tcPr>
          <w:p w14:paraId="348CE27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BD8BAC3"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648181E9" w14:textId="77777777" w:rsidR="005E000F" w:rsidRDefault="00000000">
            <w:pPr>
              <w:jc w:val="right"/>
            </w:pPr>
            <w:r>
              <w:rPr>
                <w:rFonts w:hint="eastAsia"/>
              </w:rPr>
              <w:t>0</w:t>
            </w:r>
          </w:p>
        </w:tc>
      </w:tr>
      <w:tr w:rsidR="005E000F" w14:paraId="73161570" w14:textId="77777777">
        <w:tc>
          <w:tcPr>
            <w:tcW w:w="2944" w:type="dxa"/>
            <w:tcBorders>
              <w:top w:val="outset" w:sz="6" w:space="0" w:color="auto"/>
              <w:left w:val="outset" w:sz="6" w:space="0" w:color="auto"/>
              <w:bottom w:val="outset" w:sz="6" w:space="0" w:color="auto"/>
              <w:right w:val="outset" w:sz="6" w:space="0" w:color="auto"/>
            </w:tcBorders>
            <w:vAlign w:val="center"/>
          </w:tcPr>
          <w:p w14:paraId="5A656239" w14:textId="77777777" w:rsidR="005E000F" w:rsidRDefault="00000000">
            <w:pPr>
              <w:ind w:firstLineChars="100" w:firstLine="210"/>
              <w:rPr>
                <w:color w:val="000000" w:themeColor="text1"/>
              </w:rPr>
            </w:pPr>
            <w:r>
              <w:rPr>
                <w:rFonts w:hint="eastAsia"/>
                <w:color w:val="000000" w:themeColor="text1"/>
              </w:rPr>
              <w:t>持有待售资产</w:t>
            </w:r>
          </w:p>
        </w:tc>
        <w:tc>
          <w:tcPr>
            <w:tcW w:w="1133" w:type="dxa"/>
            <w:tcBorders>
              <w:top w:val="outset" w:sz="6" w:space="0" w:color="auto"/>
              <w:left w:val="outset" w:sz="6" w:space="0" w:color="auto"/>
              <w:bottom w:val="outset" w:sz="6" w:space="0" w:color="auto"/>
              <w:right w:val="outset" w:sz="6" w:space="0" w:color="auto"/>
            </w:tcBorders>
            <w:vAlign w:val="center"/>
          </w:tcPr>
          <w:p w14:paraId="7E7604E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0A7678B"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013BED95" w14:textId="77777777" w:rsidR="005E000F" w:rsidRDefault="00000000">
            <w:pPr>
              <w:jc w:val="right"/>
            </w:pPr>
            <w:r>
              <w:rPr>
                <w:rFonts w:hint="eastAsia"/>
              </w:rPr>
              <w:t>0</w:t>
            </w:r>
          </w:p>
        </w:tc>
      </w:tr>
      <w:tr w:rsidR="005E000F" w14:paraId="08D396E0" w14:textId="77777777">
        <w:tc>
          <w:tcPr>
            <w:tcW w:w="2944" w:type="dxa"/>
            <w:tcBorders>
              <w:top w:val="outset" w:sz="6" w:space="0" w:color="auto"/>
              <w:left w:val="outset" w:sz="6" w:space="0" w:color="auto"/>
              <w:bottom w:val="outset" w:sz="6" w:space="0" w:color="auto"/>
              <w:right w:val="outset" w:sz="6" w:space="0" w:color="auto"/>
            </w:tcBorders>
            <w:vAlign w:val="center"/>
          </w:tcPr>
          <w:p w14:paraId="31415F41" w14:textId="77777777" w:rsidR="005E000F" w:rsidRDefault="00000000">
            <w:pPr>
              <w:ind w:firstLineChars="100" w:firstLine="210"/>
              <w:rPr>
                <w:color w:val="000000" w:themeColor="text1"/>
              </w:rPr>
            </w:pPr>
            <w:r>
              <w:rPr>
                <w:rFonts w:hint="eastAsia"/>
                <w:color w:val="000000" w:themeColor="text1"/>
              </w:rPr>
              <w:t>一年内到期的非流动资产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33EFFF7B"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928D45F"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E680D50" w14:textId="77777777" w:rsidR="005E000F" w:rsidRDefault="00000000">
            <w:pPr>
              <w:jc w:val="right"/>
            </w:pPr>
            <w:r>
              <w:rPr>
                <w:rFonts w:hint="eastAsia"/>
              </w:rPr>
              <w:t>0</w:t>
            </w:r>
          </w:p>
        </w:tc>
      </w:tr>
      <w:tr w:rsidR="005E000F" w14:paraId="2A0E2029" w14:textId="77777777">
        <w:tc>
          <w:tcPr>
            <w:tcW w:w="2944" w:type="dxa"/>
            <w:tcBorders>
              <w:top w:val="outset" w:sz="6" w:space="0" w:color="auto"/>
              <w:left w:val="outset" w:sz="6" w:space="0" w:color="auto"/>
              <w:bottom w:val="outset" w:sz="6" w:space="0" w:color="auto"/>
              <w:right w:val="outset" w:sz="6" w:space="0" w:color="auto"/>
            </w:tcBorders>
            <w:vAlign w:val="center"/>
          </w:tcPr>
          <w:p w14:paraId="384FB690" w14:textId="77777777" w:rsidR="005E000F" w:rsidRDefault="00000000">
            <w:pPr>
              <w:ind w:firstLineChars="100" w:firstLine="210"/>
              <w:rPr>
                <w:color w:val="000000" w:themeColor="text1"/>
              </w:rPr>
            </w:pPr>
            <w:r>
              <w:rPr>
                <w:rFonts w:hint="eastAsia"/>
                <w:color w:val="000000" w:themeColor="text1"/>
              </w:rPr>
              <w:t>其他流动资产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651B8C13" w14:textId="77777777" w:rsidR="005E000F" w:rsidRDefault="00000000">
            <w:r>
              <w:rPr>
                <w:rFonts w:hint="eastAsia"/>
              </w:rPr>
              <w:t>七、</w:t>
            </w:r>
            <w:r>
              <w:t>13</w:t>
            </w:r>
          </w:p>
        </w:tc>
        <w:tc>
          <w:tcPr>
            <w:tcW w:w="2550" w:type="dxa"/>
            <w:tcBorders>
              <w:top w:val="outset" w:sz="6" w:space="0" w:color="auto"/>
              <w:left w:val="outset" w:sz="6" w:space="0" w:color="auto"/>
              <w:bottom w:val="outset" w:sz="6" w:space="0" w:color="auto"/>
              <w:right w:val="outset" w:sz="6" w:space="0" w:color="auto"/>
            </w:tcBorders>
            <w:vAlign w:val="center"/>
          </w:tcPr>
          <w:p w14:paraId="6CD9A5F7" w14:textId="77777777" w:rsidR="005E000F" w:rsidRDefault="00000000">
            <w:pPr>
              <w:jc w:val="right"/>
            </w:pPr>
            <w:r>
              <w:t>1,923,653,64</w:t>
            </w:r>
            <w:r>
              <w:rPr>
                <w:rFonts w:hint="eastAsia"/>
              </w:rPr>
              <w:t>7</w:t>
            </w:r>
          </w:p>
        </w:tc>
        <w:tc>
          <w:tcPr>
            <w:tcW w:w="2411" w:type="dxa"/>
            <w:tcBorders>
              <w:top w:val="outset" w:sz="6" w:space="0" w:color="auto"/>
              <w:left w:val="outset" w:sz="6" w:space="0" w:color="auto"/>
              <w:bottom w:val="outset" w:sz="6" w:space="0" w:color="auto"/>
              <w:right w:val="outset" w:sz="6" w:space="0" w:color="auto"/>
            </w:tcBorders>
            <w:vAlign w:val="center"/>
          </w:tcPr>
          <w:p w14:paraId="74C0F89A" w14:textId="77777777" w:rsidR="005E000F" w:rsidRDefault="00000000">
            <w:pPr>
              <w:jc w:val="right"/>
            </w:pPr>
            <w:r>
              <w:rPr>
                <w:rFonts w:hint="eastAsia"/>
              </w:rPr>
              <w:t>404,895,428</w:t>
            </w:r>
          </w:p>
        </w:tc>
      </w:tr>
      <w:tr w:rsidR="005E000F" w14:paraId="7FFE964D" w14:textId="77777777">
        <w:tc>
          <w:tcPr>
            <w:tcW w:w="2944" w:type="dxa"/>
            <w:tcBorders>
              <w:top w:val="outset" w:sz="6" w:space="0" w:color="auto"/>
              <w:left w:val="outset" w:sz="6" w:space="0" w:color="auto"/>
              <w:bottom w:val="outset" w:sz="6" w:space="0" w:color="auto"/>
              <w:right w:val="outset" w:sz="6" w:space="0" w:color="auto"/>
            </w:tcBorders>
            <w:vAlign w:val="center"/>
          </w:tcPr>
          <w:p w14:paraId="7AF4943E" w14:textId="77777777" w:rsidR="005E000F" w:rsidRDefault="00000000">
            <w:pPr>
              <w:ind w:firstLineChars="200" w:firstLine="420"/>
              <w:rPr>
                <w:color w:val="000000" w:themeColor="text1"/>
              </w:rPr>
            </w:pPr>
            <w:r>
              <w:rPr>
                <w:rFonts w:hint="eastAsia"/>
                <w:color w:val="000000" w:themeColor="text1"/>
              </w:rPr>
              <w:t>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13E7F61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4D811F1" w14:textId="77777777" w:rsidR="005E000F" w:rsidRDefault="00000000">
            <w:pPr>
              <w:jc w:val="right"/>
            </w:pPr>
            <w:r>
              <w:t>50,703,970,80</w:t>
            </w:r>
            <w:r>
              <w:rPr>
                <w:rFonts w:hint="eastAsia"/>
              </w:rPr>
              <w:t>5</w:t>
            </w:r>
          </w:p>
        </w:tc>
        <w:tc>
          <w:tcPr>
            <w:tcW w:w="2411" w:type="dxa"/>
            <w:tcBorders>
              <w:top w:val="outset" w:sz="6" w:space="0" w:color="auto"/>
              <w:left w:val="outset" w:sz="6" w:space="0" w:color="auto"/>
              <w:bottom w:val="outset" w:sz="6" w:space="0" w:color="auto"/>
              <w:right w:val="outset" w:sz="6" w:space="0" w:color="auto"/>
            </w:tcBorders>
            <w:vAlign w:val="center"/>
          </w:tcPr>
          <w:p w14:paraId="303518A1" w14:textId="77777777" w:rsidR="005E000F" w:rsidRDefault="00000000">
            <w:pPr>
              <w:jc w:val="right"/>
            </w:pPr>
            <w:r>
              <w:rPr>
                <w:rFonts w:hint="eastAsia"/>
              </w:rPr>
              <w:t>75,232,624,031</w:t>
            </w:r>
          </w:p>
        </w:tc>
      </w:tr>
      <w:tr w:rsidR="005E000F" w14:paraId="7443E1B7" w14:textId="77777777">
        <w:sdt>
          <w:sdtPr>
            <w:tag w:val="_PLD_2b01add84ac3492abc16500182326d8e"/>
            <w:id w:val="-1761365413"/>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64D9028E" w14:textId="77777777" w:rsidR="005E000F" w:rsidRDefault="00000000">
                <w:pPr>
                  <w:rPr>
                    <w:color w:val="000000" w:themeColor="text1"/>
                  </w:rPr>
                </w:pPr>
                <w:r>
                  <w:rPr>
                    <w:rFonts w:hint="eastAsia"/>
                    <w:b/>
                    <w:color w:val="000000" w:themeColor="text1"/>
                  </w:rPr>
                  <w:t>非流动资产：</w:t>
                </w:r>
              </w:p>
            </w:tc>
          </w:sdtContent>
        </w:sdt>
      </w:tr>
      <w:tr w:rsidR="005E000F" w14:paraId="5CD5235A" w14:textId="77777777">
        <w:tc>
          <w:tcPr>
            <w:tcW w:w="2944" w:type="dxa"/>
            <w:tcBorders>
              <w:top w:val="outset" w:sz="6" w:space="0" w:color="auto"/>
              <w:left w:val="outset" w:sz="6" w:space="0" w:color="auto"/>
              <w:bottom w:val="outset" w:sz="6" w:space="0" w:color="auto"/>
              <w:right w:val="outset" w:sz="6" w:space="0" w:color="auto"/>
            </w:tcBorders>
            <w:vAlign w:val="center"/>
          </w:tcPr>
          <w:p w14:paraId="6B372B67" w14:textId="77777777" w:rsidR="005E000F" w:rsidRDefault="00000000">
            <w:pPr>
              <w:ind w:firstLineChars="100" w:firstLine="210"/>
              <w:rPr>
                <w:color w:val="000000" w:themeColor="text1"/>
              </w:rPr>
            </w:pPr>
            <w:r>
              <w:rPr>
                <w:rFonts w:hint="eastAsia"/>
                <w:color w:val="000000" w:themeColor="text1"/>
              </w:rPr>
              <w:t>发放贷款和垫款</w:t>
            </w:r>
          </w:p>
        </w:tc>
        <w:tc>
          <w:tcPr>
            <w:tcW w:w="1133" w:type="dxa"/>
            <w:tcBorders>
              <w:top w:val="outset" w:sz="6" w:space="0" w:color="auto"/>
              <w:left w:val="outset" w:sz="6" w:space="0" w:color="auto"/>
              <w:bottom w:val="outset" w:sz="6" w:space="0" w:color="auto"/>
              <w:right w:val="outset" w:sz="6" w:space="0" w:color="auto"/>
            </w:tcBorders>
            <w:vAlign w:val="center"/>
          </w:tcPr>
          <w:p w14:paraId="3E890D6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AD4BD94"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E79AC56" w14:textId="77777777" w:rsidR="005E000F" w:rsidRDefault="00000000">
            <w:pPr>
              <w:jc w:val="right"/>
            </w:pPr>
            <w:r>
              <w:rPr>
                <w:rFonts w:hint="eastAsia"/>
              </w:rPr>
              <w:t>0</w:t>
            </w:r>
          </w:p>
        </w:tc>
      </w:tr>
      <w:tr w:rsidR="005E000F" w14:paraId="7061D877" w14:textId="77777777">
        <w:tc>
          <w:tcPr>
            <w:tcW w:w="2944" w:type="dxa"/>
            <w:tcBorders>
              <w:top w:val="outset" w:sz="6" w:space="0" w:color="auto"/>
              <w:left w:val="outset" w:sz="6" w:space="0" w:color="auto"/>
              <w:bottom w:val="outset" w:sz="6" w:space="0" w:color="auto"/>
              <w:right w:val="outset" w:sz="6" w:space="0" w:color="auto"/>
            </w:tcBorders>
            <w:vAlign w:val="center"/>
          </w:tcPr>
          <w:p w14:paraId="77BA11CD" w14:textId="77777777" w:rsidR="005E000F" w:rsidRDefault="00000000">
            <w:pPr>
              <w:ind w:firstLineChars="100" w:firstLine="210"/>
              <w:rPr>
                <w:color w:val="000000" w:themeColor="text1"/>
              </w:rPr>
            </w:pPr>
            <w:r>
              <w:rPr>
                <w:rFonts w:hint="eastAsia"/>
                <w:color w:val="000000" w:themeColor="text1"/>
              </w:rPr>
              <w:t>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3849EB1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6CBE649"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74E42B4" w14:textId="77777777" w:rsidR="005E000F" w:rsidRDefault="00000000">
            <w:pPr>
              <w:jc w:val="right"/>
            </w:pPr>
            <w:r>
              <w:rPr>
                <w:rFonts w:hint="eastAsia"/>
              </w:rPr>
              <w:t>0</w:t>
            </w:r>
          </w:p>
        </w:tc>
      </w:tr>
      <w:tr w:rsidR="005E000F" w14:paraId="0DE9E67C" w14:textId="77777777">
        <w:tc>
          <w:tcPr>
            <w:tcW w:w="2944" w:type="dxa"/>
            <w:tcBorders>
              <w:top w:val="outset" w:sz="6" w:space="0" w:color="auto"/>
              <w:left w:val="outset" w:sz="6" w:space="0" w:color="auto"/>
              <w:bottom w:val="outset" w:sz="6" w:space="0" w:color="auto"/>
              <w:right w:val="outset" w:sz="6" w:space="0" w:color="auto"/>
            </w:tcBorders>
            <w:vAlign w:val="center"/>
          </w:tcPr>
          <w:p w14:paraId="74BA4EB4" w14:textId="77777777" w:rsidR="005E000F" w:rsidRDefault="00000000">
            <w:pPr>
              <w:ind w:firstLineChars="100" w:firstLine="210"/>
              <w:rPr>
                <w:color w:val="000000" w:themeColor="text1"/>
              </w:rPr>
            </w:pPr>
            <w:r>
              <w:rPr>
                <w:rFonts w:hint="eastAsia"/>
                <w:color w:val="000000" w:themeColor="text1"/>
              </w:rPr>
              <w:t>其他债权投资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2A6A4AC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AC4543E"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68E0AA15" w14:textId="77777777" w:rsidR="005E000F" w:rsidRDefault="00000000">
            <w:pPr>
              <w:jc w:val="right"/>
            </w:pPr>
            <w:r>
              <w:rPr>
                <w:rFonts w:hint="eastAsia"/>
              </w:rPr>
              <w:t>0</w:t>
            </w:r>
          </w:p>
        </w:tc>
      </w:tr>
      <w:tr w:rsidR="005E000F" w14:paraId="15BD4CE2" w14:textId="77777777">
        <w:tc>
          <w:tcPr>
            <w:tcW w:w="2944" w:type="dxa"/>
            <w:tcBorders>
              <w:top w:val="outset" w:sz="6" w:space="0" w:color="auto"/>
              <w:left w:val="outset" w:sz="6" w:space="0" w:color="auto"/>
              <w:bottom w:val="outset" w:sz="6" w:space="0" w:color="auto"/>
              <w:right w:val="outset" w:sz="6" w:space="0" w:color="auto"/>
            </w:tcBorders>
            <w:vAlign w:val="center"/>
          </w:tcPr>
          <w:p w14:paraId="613BEA60" w14:textId="77777777" w:rsidR="005E000F" w:rsidRDefault="00000000">
            <w:pPr>
              <w:ind w:firstLineChars="100" w:firstLine="210"/>
              <w:rPr>
                <w:color w:val="000000" w:themeColor="text1"/>
              </w:rPr>
            </w:pPr>
            <w:r>
              <w:rPr>
                <w:rFonts w:hint="eastAsia"/>
                <w:color w:val="000000" w:themeColor="text1"/>
              </w:rPr>
              <w:t>长期应收款</w:t>
            </w:r>
          </w:p>
        </w:tc>
        <w:tc>
          <w:tcPr>
            <w:tcW w:w="1133" w:type="dxa"/>
            <w:tcBorders>
              <w:top w:val="outset" w:sz="6" w:space="0" w:color="auto"/>
              <w:left w:val="outset" w:sz="6" w:space="0" w:color="auto"/>
              <w:bottom w:val="outset" w:sz="6" w:space="0" w:color="auto"/>
              <w:right w:val="outset" w:sz="6" w:space="0" w:color="auto"/>
            </w:tcBorders>
            <w:vAlign w:val="center"/>
          </w:tcPr>
          <w:p w14:paraId="529B621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E0E871D"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7E6221F2" w14:textId="77777777" w:rsidR="005E000F" w:rsidRDefault="00000000">
            <w:pPr>
              <w:jc w:val="right"/>
            </w:pPr>
            <w:r>
              <w:rPr>
                <w:rFonts w:hint="eastAsia"/>
              </w:rPr>
              <w:t>0</w:t>
            </w:r>
          </w:p>
        </w:tc>
      </w:tr>
      <w:tr w:rsidR="005E000F" w14:paraId="40812DF6" w14:textId="77777777">
        <w:tc>
          <w:tcPr>
            <w:tcW w:w="2944" w:type="dxa"/>
            <w:tcBorders>
              <w:top w:val="outset" w:sz="6" w:space="0" w:color="auto"/>
              <w:left w:val="outset" w:sz="6" w:space="0" w:color="auto"/>
              <w:bottom w:val="outset" w:sz="6" w:space="0" w:color="auto"/>
              <w:right w:val="outset" w:sz="6" w:space="0" w:color="auto"/>
            </w:tcBorders>
            <w:vAlign w:val="center"/>
          </w:tcPr>
          <w:p w14:paraId="1A3B3945" w14:textId="77777777" w:rsidR="005E000F" w:rsidRDefault="00000000">
            <w:pPr>
              <w:ind w:firstLineChars="100" w:firstLine="210"/>
              <w:rPr>
                <w:color w:val="000000" w:themeColor="text1"/>
              </w:rPr>
            </w:pPr>
            <w:r>
              <w:rPr>
                <w:rFonts w:hint="eastAsia"/>
                <w:color w:val="000000" w:themeColor="text1"/>
              </w:rPr>
              <w:t>长期股权投资</w:t>
            </w:r>
          </w:p>
        </w:tc>
        <w:tc>
          <w:tcPr>
            <w:tcW w:w="1133" w:type="dxa"/>
            <w:tcBorders>
              <w:top w:val="outset" w:sz="6" w:space="0" w:color="auto"/>
              <w:left w:val="outset" w:sz="6" w:space="0" w:color="auto"/>
              <w:bottom w:val="outset" w:sz="6" w:space="0" w:color="auto"/>
              <w:right w:val="outset" w:sz="6" w:space="0" w:color="auto"/>
            </w:tcBorders>
            <w:vAlign w:val="center"/>
          </w:tcPr>
          <w:p w14:paraId="6D10C443" w14:textId="77777777" w:rsidR="005E000F" w:rsidRDefault="00000000">
            <w:r>
              <w:rPr>
                <w:rFonts w:hint="eastAsia"/>
              </w:rPr>
              <w:t>七、</w:t>
            </w:r>
            <w:r>
              <w:t>17</w:t>
            </w:r>
          </w:p>
        </w:tc>
        <w:tc>
          <w:tcPr>
            <w:tcW w:w="2550" w:type="dxa"/>
            <w:tcBorders>
              <w:top w:val="outset" w:sz="6" w:space="0" w:color="auto"/>
              <w:left w:val="outset" w:sz="6" w:space="0" w:color="auto"/>
              <w:bottom w:val="outset" w:sz="6" w:space="0" w:color="auto"/>
              <w:right w:val="outset" w:sz="6" w:space="0" w:color="auto"/>
            </w:tcBorders>
            <w:vAlign w:val="center"/>
          </w:tcPr>
          <w:p w14:paraId="37462105" w14:textId="77777777" w:rsidR="005E000F" w:rsidRDefault="00000000">
            <w:pPr>
              <w:jc w:val="right"/>
            </w:pPr>
            <w:r>
              <w:t>27,708,829,445</w:t>
            </w:r>
          </w:p>
        </w:tc>
        <w:tc>
          <w:tcPr>
            <w:tcW w:w="2411" w:type="dxa"/>
            <w:tcBorders>
              <w:top w:val="outset" w:sz="6" w:space="0" w:color="auto"/>
              <w:left w:val="outset" w:sz="6" w:space="0" w:color="auto"/>
              <w:bottom w:val="outset" w:sz="6" w:space="0" w:color="auto"/>
              <w:right w:val="outset" w:sz="6" w:space="0" w:color="auto"/>
            </w:tcBorders>
            <w:vAlign w:val="center"/>
          </w:tcPr>
          <w:p w14:paraId="186D9F33" w14:textId="77777777" w:rsidR="005E000F" w:rsidRDefault="00000000">
            <w:pPr>
              <w:jc w:val="right"/>
            </w:pPr>
            <w:r>
              <w:rPr>
                <w:rFonts w:hint="eastAsia"/>
              </w:rPr>
              <w:t>24,658,594,428</w:t>
            </w:r>
          </w:p>
        </w:tc>
      </w:tr>
      <w:tr w:rsidR="005E000F" w14:paraId="0D77B022" w14:textId="77777777">
        <w:tc>
          <w:tcPr>
            <w:tcW w:w="2944" w:type="dxa"/>
            <w:tcBorders>
              <w:top w:val="outset" w:sz="6" w:space="0" w:color="auto"/>
              <w:left w:val="outset" w:sz="6" w:space="0" w:color="auto"/>
              <w:bottom w:val="outset" w:sz="6" w:space="0" w:color="auto"/>
              <w:right w:val="outset" w:sz="6" w:space="0" w:color="auto"/>
            </w:tcBorders>
            <w:vAlign w:val="center"/>
          </w:tcPr>
          <w:p w14:paraId="36CD0651" w14:textId="77777777" w:rsidR="005E000F" w:rsidRDefault="00000000">
            <w:pPr>
              <w:ind w:firstLineChars="100" w:firstLine="210"/>
              <w:rPr>
                <w:color w:val="000000" w:themeColor="text1"/>
              </w:rPr>
            </w:pPr>
            <w:r>
              <w:rPr>
                <w:rFonts w:hint="eastAsia"/>
                <w:color w:val="000000" w:themeColor="text1"/>
              </w:rPr>
              <w:t>其他权益工具投资</w:t>
            </w:r>
          </w:p>
        </w:tc>
        <w:tc>
          <w:tcPr>
            <w:tcW w:w="1133" w:type="dxa"/>
            <w:tcBorders>
              <w:top w:val="outset" w:sz="6" w:space="0" w:color="auto"/>
              <w:left w:val="outset" w:sz="6" w:space="0" w:color="auto"/>
              <w:bottom w:val="outset" w:sz="6" w:space="0" w:color="auto"/>
              <w:right w:val="outset" w:sz="6" w:space="0" w:color="auto"/>
            </w:tcBorders>
            <w:vAlign w:val="center"/>
          </w:tcPr>
          <w:p w14:paraId="727823FE" w14:textId="77777777" w:rsidR="005E000F" w:rsidRDefault="00000000">
            <w:r>
              <w:rPr>
                <w:rFonts w:hint="eastAsia"/>
              </w:rPr>
              <w:t>七、</w:t>
            </w:r>
            <w:r>
              <w:t>18</w:t>
            </w:r>
          </w:p>
        </w:tc>
        <w:tc>
          <w:tcPr>
            <w:tcW w:w="2550" w:type="dxa"/>
            <w:tcBorders>
              <w:top w:val="outset" w:sz="6" w:space="0" w:color="auto"/>
              <w:left w:val="outset" w:sz="6" w:space="0" w:color="auto"/>
              <w:bottom w:val="outset" w:sz="6" w:space="0" w:color="auto"/>
              <w:right w:val="outset" w:sz="6" w:space="0" w:color="auto"/>
            </w:tcBorders>
            <w:vAlign w:val="center"/>
          </w:tcPr>
          <w:p w14:paraId="0609CDEC" w14:textId="77777777" w:rsidR="005E000F" w:rsidRDefault="00000000">
            <w:pPr>
              <w:jc w:val="right"/>
            </w:pPr>
            <w:r>
              <w:t>240,748,500</w:t>
            </w:r>
          </w:p>
        </w:tc>
        <w:tc>
          <w:tcPr>
            <w:tcW w:w="2411" w:type="dxa"/>
            <w:tcBorders>
              <w:top w:val="outset" w:sz="6" w:space="0" w:color="auto"/>
              <w:left w:val="outset" w:sz="6" w:space="0" w:color="auto"/>
              <w:bottom w:val="outset" w:sz="6" w:space="0" w:color="auto"/>
              <w:right w:val="outset" w:sz="6" w:space="0" w:color="auto"/>
            </w:tcBorders>
            <w:vAlign w:val="center"/>
          </w:tcPr>
          <w:p w14:paraId="412D99F2" w14:textId="77777777" w:rsidR="005E000F" w:rsidRDefault="00000000">
            <w:pPr>
              <w:jc w:val="right"/>
            </w:pPr>
            <w:r>
              <w:rPr>
                <w:rFonts w:hint="eastAsia"/>
              </w:rPr>
              <w:t>234,763,500</w:t>
            </w:r>
          </w:p>
        </w:tc>
      </w:tr>
      <w:tr w:rsidR="005E000F" w14:paraId="56A507F4" w14:textId="77777777">
        <w:tc>
          <w:tcPr>
            <w:tcW w:w="2944" w:type="dxa"/>
            <w:tcBorders>
              <w:top w:val="outset" w:sz="6" w:space="0" w:color="auto"/>
              <w:left w:val="outset" w:sz="6" w:space="0" w:color="auto"/>
              <w:bottom w:val="outset" w:sz="6" w:space="0" w:color="auto"/>
              <w:right w:val="outset" w:sz="6" w:space="0" w:color="auto"/>
            </w:tcBorders>
            <w:vAlign w:val="center"/>
          </w:tcPr>
          <w:p w14:paraId="43ACCC50" w14:textId="77777777" w:rsidR="005E000F" w:rsidRDefault="00000000">
            <w:pPr>
              <w:ind w:firstLineChars="100" w:firstLine="210"/>
              <w:rPr>
                <w:color w:val="000000" w:themeColor="text1"/>
              </w:rPr>
            </w:pPr>
            <w:r>
              <w:rPr>
                <w:rFonts w:hint="eastAsia"/>
                <w:color w:val="000000" w:themeColor="text1"/>
              </w:rPr>
              <w:t>其他非流动金融资产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5726E93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ACE8A47"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09B735A" w14:textId="77777777" w:rsidR="005E000F" w:rsidRDefault="00000000">
            <w:pPr>
              <w:jc w:val="right"/>
            </w:pPr>
            <w:r>
              <w:rPr>
                <w:rFonts w:hint="eastAsia"/>
              </w:rPr>
              <w:t>0</w:t>
            </w:r>
          </w:p>
        </w:tc>
      </w:tr>
      <w:tr w:rsidR="005E000F" w14:paraId="3EFBA3C8" w14:textId="77777777">
        <w:tc>
          <w:tcPr>
            <w:tcW w:w="2944" w:type="dxa"/>
            <w:tcBorders>
              <w:top w:val="outset" w:sz="6" w:space="0" w:color="auto"/>
              <w:left w:val="outset" w:sz="6" w:space="0" w:color="auto"/>
              <w:bottom w:val="outset" w:sz="6" w:space="0" w:color="auto"/>
              <w:right w:val="outset" w:sz="6" w:space="0" w:color="auto"/>
            </w:tcBorders>
            <w:vAlign w:val="center"/>
          </w:tcPr>
          <w:p w14:paraId="142F07B1" w14:textId="77777777" w:rsidR="005E000F" w:rsidRDefault="00000000">
            <w:pPr>
              <w:ind w:firstLineChars="100" w:firstLine="210"/>
              <w:rPr>
                <w:color w:val="000000" w:themeColor="text1"/>
              </w:rPr>
            </w:pPr>
            <w:r>
              <w:rPr>
                <w:rFonts w:hint="eastAsia"/>
                <w:color w:val="000000" w:themeColor="text1"/>
              </w:rPr>
              <w:t>投资性房地产</w:t>
            </w:r>
          </w:p>
        </w:tc>
        <w:tc>
          <w:tcPr>
            <w:tcW w:w="1133" w:type="dxa"/>
            <w:tcBorders>
              <w:top w:val="outset" w:sz="6" w:space="0" w:color="auto"/>
              <w:left w:val="outset" w:sz="6" w:space="0" w:color="auto"/>
              <w:bottom w:val="outset" w:sz="6" w:space="0" w:color="auto"/>
              <w:right w:val="outset" w:sz="6" w:space="0" w:color="auto"/>
            </w:tcBorders>
            <w:vAlign w:val="center"/>
          </w:tcPr>
          <w:p w14:paraId="6B46C1E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48A9CE2"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4B14047" w14:textId="77777777" w:rsidR="005E000F" w:rsidRDefault="00000000">
            <w:pPr>
              <w:jc w:val="right"/>
            </w:pPr>
            <w:r>
              <w:rPr>
                <w:rFonts w:hint="eastAsia"/>
              </w:rPr>
              <w:t>0</w:t>
            </w:r>
          </w:p>
        </w:tc>
      </w:tr>
      <w:tr w:rsidR="005E000F" w14:paraId="7FF95141" w14:textId="77777777">
        <w:tc>
          <w:tcPr>
            <w:tcW w:w="2944" w:type="dxa"/>
            <w:tcBorders>
              <w:top w:val="outset" w:sz="6" w:space="0" w:color="auto"/>
              <w:left w:val="outset" w:sz="6" w:space="0" w:color="auto"/>
              <w:bottom w:val="outset" w:sz="6" w:space="0" w:color="auto"/>
              <w:right w:val="outset" w:sz="6" w:space="0" w:color="auto"/>
            </w:tcBorders>
            <w:vAlign w:val="center"/>
          </w:tcPr>
          <w:p w14:paraId="56C70E24" w14:textId="77777777" w:rsidR="005E000F" w:rsidRDefault="00000000">
            <w:pPr>
              <w:ind w:firstLineChars="100" w:firstLine="210"/>
              <w:rPr>
                <w:color w:val="000000" w:themeColor="text1"/>
              </w:rPr>
            </w:pPr>
            <w:r>
              <w:rPr>
                <w:rFonts w:hint="eastAsia"/>
                <w:color w:val="000000" w:themeColor="text1"/>
              </w:rPr>
              <w:t>固定资产</w:t>
            </w:r>
          </w:p>
        </w:tc>
        <w:tc>
          <w:tcPr>
            <w:tcW w:w="1133" w:type="dxa"/>
            <w:tcBorders>
              <w:top w:val="outset" w:sz="6" w:space="0" w:color="auto"/>
              <w:left w:val="outset" w:sz="6" w:space="0" w:color="auto"/>
              <w:bottom w:val="outset" w:sz="6" w:space="0" w:color="auto"/>
              <w:right w:val="outset" w:sz="6" w:space="0" w:color="auto"/>
            </w:tcBorders>
            <w:vAlign w:val="center"/>
          </w:tcPr>
          <w:p w14:paraId="2D7656CB" w14:textId="77777777" w:rsidR="005E000F" w:rsidRDefault="00000000">
            <w:r>
              <w:rPr>
                <w:rFonts w:hint="eastAsia"/>
              </w:rPr>
              <w:t>七、</w:t>
            </w:r>
            <w:r>
              <w:t>21</w:t>
            </w:r>
          </w:p>
        </w:tc>
        <w:tc>
          <w:tcPr>
            <w:tcW w:w="2550" w:type="dxa"/>
            <w:tcBorders>
              <w:top w:val="outset" w:sz="6" w:space="0" w:color="auto"/>
              <w:left w:val="outset" w:sz="6" w:space="0" w:color="auto"/>
              <w:bottom w:val="outset" w:sz="6" w:space="0" w:color="auto"/>
              <w:right w:val="outset" w:sz="6" w:space="0" w:color="auto"/>
            </w:tcBorders>
            <w:vAlign w:val="center"/>
          </w:tcPr>
          <w:p w14:paraId="2FEC69D0" w14:textId="77777777" w:rsidR="005E000F" w:rsidRDefault="00000000">
            <w:pPr>
              <w:jc w:val="right"/>
            </w:pPr>
            <w:r>
              <w:t>89,698,623,240</w:t>
            </w:r>
          </w:p>
        </w:tc>
        <w:tc>
          <w:tcPr>
            <w:tcW w:w="2411" w:type="dxa"/>
            <w:tcBorders>
              <w:top w:val="outset" w:sz="6" w:space="0" w:color="auto"/>
              <w:left w:val="outset" w:sz="6" w:space="0" w:color="auto"/>
              <w:bottom w:val="outset" w:sz="6" w:space="0" w:color="auto"/>
              <w:right w:val="outset" w:sz="6" w:space="0" w:color="auto"/>
            </w:tcBorders>
            <w:vAlign w:val="center"/>
          </w:tcPr>
          <w:p w14:paraId="1BA40FA8" w14:textId="77777777" w:rsidR="005E000F" w:rsidRDefault="00000000">
            <w:pPr>
              <w:jc w:val="right"/>
            </w:pPr>
            <w:r>
              <w:rPr>
                <w:rFonts w:hint="eastAsia"/>
              </w:rPr>
              <w:t>88,308,761,406</w:t>
            </w:r>
          </w:p>
        </w:tc>
      </w:tr>
      <w:tr w:rsidR="005E000F" w14:paraId="38E1E52A" w14:textId="77777777">
        <w:tc>
          <w:tcPr>
            <w:tcW w:w="2944" w:type="dxa"/>
            <w:tcBorders>
              <w:top w:val="outset" w:sz="6" w:space="0" w:color="auto"/>
              <w:left w:val="outset" w:sz="6" w:space="0" w:color="auto"/>
              <w:bottom w:val="outset" w:sz="6" w:space="0" w:color="auto"/>
              <w:right w:val="outset" w:sz="6" w:space="0" w:color="auto"/>
            </w:tcBorders>
            <w:vAlign w:val="center"/>
          </w:tcPr>
          <w:p w14:paraId="1AAF37C8" w14:textId="77777777" w:rsidR="005E000F" w:rsidRDefault="00000000">
            <w:pPr>
              <w:ind w:firstLineChars="100" w:firstLine="210"/>
              <w:rPr>
                <w:color w:val="000000" w:themeColor="text1"/>
              </w:rPr>
            </w:pPr>
            <w:r>
              <w:rPr>
                <w:rFonts w:hint="eastAsia"/>
                <w:color w:val="000000" w:themeColor="text1"/>
              </w:rPr>
              <w:t>在建工程</w:t>
            </w:r>
          </w:p>
        </w:tc>
        <w:tc>
          <w:tcPr>
            <w:tcW w:w="1133" w:type="dxa"/>
            <w:tcBorders>
              <w:top w:val="outset" w:sz="6" w:space="0" w:color="auto"/>
              <w:left w:val="outset" w:sz="6" w:space="0" w:color="auto"/>
              <w:bottom w:val="outset" w:sz="6" w:space="0" w:color="auto"/>
              <w:right w:val="outset" w:sz="6" w:space="0" w:color="auto"/>
            </w:tcBorders>
            <w:vAlign w:val="center"/>
          </w:tcPr>
          <w:p w14:paraId="4EFBAF39" w14:textId="77777777" w:rsidR="005E000F" w:rsidRDefault="00000000">
            <w:r>
              <w:rPr>
                <w:rFonts w:hint="eastAsia"/>
              </w:rPr>
              <w:t>七、</w:t>
            </w:r>
            <w:r>
              <w:t>22</w:t>
            </w:r>
          </w:p>
        </w:tc>
        <w:tc>
          <w:tcPr>
            <w:tcW w:w="2550" w:type="dxa"/>
            <w:tcBorders>
              <w:top w:val="outset" w:sz="6" w:space="0" w:color="auto"/>
              <w:left w:val="outset" w:sz="6" w:space="0" w:color="auto"/>
              <w:bottom w:val="outset" w:sz="6" w:space="0" w:color="auto"/>
              <w:right w:val="outset" w:sz="6" w:space="0" w:color="auto"/>
            </w:tcBorders>
            <w:vAlign w:val="center"/>
          </w:tcPr>
          <w:p w14:paraId="287E070F" w14:textId="77777777" w:rsidR="005E000F" w:rsidRDefault="00000000">
            <w:pPr>
              <w:jc w:val="right"/>
            </w:pPr>
            <w:r>
              <w:t>881,585,231</w:t>
            </w:r>
          </w:p>
        </w:tc>
        <w:tc>
          <w:tcPr>
            <w:tcW w:w="2411" w:type="dxa"/>
            <w:tcBorders>
              <w:top w:val="outset" w:sz="6" w:space="0" w:color="auto"/>
              <w:left w:val="outset" w:sz="6" w:space="0" w:color="auto"/>
              <w:bottom w:val="outset" w:sz="6" w:space="0" w:color="auto"/>
              <w:right w:val="outset" w:sz="6" w:space="0" w:color="auto"/>
            </w:tcBorders>
            <w:vAlign w:val="center"/>
          </w:tcPr>
          <w:p w14:paraId="05E18CC4" w14:textId="77777777" w:rsidR="005E000F" w:rsidRDefault="00000000">
            <w:pPr>
              <w:jc w:val="right"/>
            </w:pPr>
            <w:r>
              <w:rPr>
                <w:rFonts w:hint="eastAsia"/>
              </w:rPr>
              <w:t>1,960,725,579</w:t>
            </w:r>
          </w:p>
        </w:tc>
      </w:tr>
      <w:tr w:rsidR="005E000F" w14:paraId="6F5682F8" w14:textId="77777777">
        <w:tc>
          <w:tcPr>
            <w:tcW w:w="2944" w:type="dxa"/>
            <w:tcBorders>
              <w:top w:val="outset" w:sz="6" w:space="0" w:color="auto"/>
              <w:left w:val="outset" w:sz="6" w:space="0" w:color="auto"/>
              <w:bottom w:val="outset" w:sz="6" w:space="0" w:color="auto"/>
              <w:right w:val="outset" w:sz="6" w:space="0" w:color="auto"/>
            </w:tcBorders>
            <w:vAlign w:val="center"/>
          </w:tcPr>
          <w:p w14:paraId="4D214B4F" w14:textId="77777777" w:rsidR="005E000F" w:rsidRDefault="00000000">
            <w:pPr>
              <w:ind w:firstLineChars="100" w:firstLine="210"/>
              <w:rPr>
                <w:color w:val="000000" w:themeColor="text1"/>
              </w:rPr>
            </w:pPr>
            <w:r>
              <w:rPr>
                <w:rFonts w:hint="eastAsia"/>
                <w:color w:val="000000" w:themeColor="text1"/>
              </w:rPr>
              <w:t>生产性生物资产</w:t>
            </w:r>
          </w:p>
        </w:tc>
        <w:tc>
          <w:tcPr>
            <w:tcW w:w="1133" w:type="dxa"/>
            <w:tcBorders>
              <w:top w:val="outset" w:sz="6" w:space="0" w:color="auto"/>
              <w:left w:val="outset" w:sz="6" w:space="0" w:color="auto"/>
              <w:bottom w:val="outset" w:sz="6" w:space="0" w:color="auto"/>
              <w:right w:val="outset" w:sz="6" w:space="0" w:color="auto"/>
            </w:tcBorders>
            <w:vAlign w:val="center"/>
          </w:tcPr>
          <w:p w14:paraId="1152E161"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39D0B40"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AC554E4" w14:textId="77777777" w:rsidR="005E000F" w:rsidRDefault="00000000">
            <w:pPr>
              <w:jc w:val="right"/>
            </w:pPr>
            <w:r>
              <w:rPr>
                <w:rFonts w:hint="eastAsia"/>
              </w:rPr>
              <w:t>0</w:t>
            </w:r>
          </w:p>
        </w:tc>
      </w:tr>
      <w:tr w:rsidR="005E000F" w14:paraId="544CD2D4" w14:textId="77777777">
        <w:tc>
          <w:tcPr>
            <w:tcW w:w="2944" w:type="dxa"/>
            <w:tcBorders>
              <w:top w:val="outset" w:sz="6" w:space="0" w:color="auto"/>
              <w:left w:val="outset" w:sz="6" w:space="0" w:color="auto"/>
              <w:bottom w:val="outset" w:sz="6" w:space="0" w:color="auto"/>
              <w:right w:val="outset" w:sz="6" w:space="0" w:color="auto"/>
            </w:tcBorders>
            <w:vAlign w:val="center"/>
          </w:tcPr>
          <w:p w14:paraId="64EB639F" w14:textId="77777777" w:rsidR="005E000F" w:rsidRDefault="00000000">
            <w:pPr>
              <w:ind w:firstLineChars="100" w:firstLine="210"/>
              <w:rPr>
                <w:color w:val="000000" w:themeColor="text1"/>
              </w:rPr>
            </w:pPr>
            <w:r>
              <w:rPr>
                <w:rFonts w:hint="eastAsia"/>
                <w:color w:val="000000" w:themeColor="text1"/>
              </w:rPr>
              <w:t>油气资产</w:t>
            </w:r>
          </w:p>
        </w:tc>
        <w:tc>
          <w:tcPr>
            <w:tcW w:w="1133" w:type="dxa"/>
            <w:tcBorders>
              <w:top w:val="outset" w:sz="6" w:space="0" w:color="auto"/>
              <w:left w:val="outset" w:sz="6" w:space="0" w:color="auto"/>
              <w:bottom w:val="outset" w:sz="6" w:space="0" w:color="auto"/>
              <w:right w:val="outset" w:sz="6" w:space="0" w:color="auto"/>
            </w:tcBorders>
            <w:vAlign w:val="center"/>
          </w:tcPr>
          <w:p w14:paraId="3559AA9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BF26F45"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EA3930B" w14:textId="77777777" w:rsidR="005E000F" w:rsidRDefault="00000000">
            <w:pPr>
              <w:jc w:val="right"/>
            </w:pPr>
            <w:r>
              <w:rPr>
                <w:rFonts w:hint="eastAsia"/>
              </w:rPr>
              <w:t>0</w:t>
            </w:r>
          </w:p>
        </w:tc>
      </w:tr>
      <w:tr w:rsidR="005E000F" w14:paraId="1ADF091B" w14:textId="77777777">
        <w:tc>
          <w:tcPr>
            <w:tcW w:w="2944" w:type="dxa"/>
            <w:tcBorders>
              <w:top w:val="outset" w:sz="6" w:space="0" w:color="auto"/>
              <w:left w:val="outset" w:sz="6" w:space="0" w:color="auto"/>
              <w:bottom w:val="outset" w:sz="6" w:space="0" w:color="auto"/>
              <w:right w:val="outset" w:sz="6" w:space="0" w:color="auto"/>
            </w:tcBorders>
            <w:vAlign w:val="center"/>
          </w:tcPr>
          <w:p w14:paraId="2240F3F2" w14:textId="77777777" w:rsidR="005E000F" w:rsidRDefault="00000000">
            <w:pPr>
              <w:ind w:firstLineChars="100" w:firstLine="210"/>
              <w:rPr>
                <w:color w:val="000000" w:themeColor="text1"/>
              </w:rPr>
            </w:pPr>
            <w:r>
              <w:rPr>
                <w:rFonts w:hint="eastAsia"/>
                <w:color w:val="000000" w:themeColor="text1"/>
              </w:rPr>
              <w:t>使用权资产</w:t>
            </w:r>
          </w:p>
        </w:tc>
        <w:tc>
          <w:tcPr>
            <w:tcW w:w="1133" w:type="dxa"/>
            <w:tcBorders>
              <w:top w:val="outset" w:sz="6" w:space="0" w:color="auto"/>
              <w:left w:val="outset" w:sz="6" w:space="0" w:color="auto"/>
              <w:bottom w:val="outset" w:sz="6" w:space="0" w:color="auto"/>
              <w:right w:val="outset" w:sz="6" w:space="0" w:color="auto"/>
            </w:tcBorders>
            <w:vAlign w:val="center"/>
          </w:tcPr>
          <w:p w14:paraId="30DB5817" w14:textId="77777777" w:rsidR="005E000F" w:rsidRDefault="00000000">
            <w:r>
              <w:rPr>
                <w:rFonts w:hint="eastAsia"/>
              </w:rPr>
              <w:t>七、</w:t>
            </w:r>
            <w:r>
              <w:t>25</w:t>
            </w:r>
          </w:p>
        </w:tc>
        <w:tc>
          <w:tcPr>
            <w:tcW w:w="2550" w:type="dxa"/>
            <w:tcBorders>
              <w:top w:val="outset" w:sz="6" w:space="0" w:color="auto"/>
              <w:left w:val="outset" w:sz="6" w:space="0" w:color="auto"/>
              <w:bottom w:val="outset" w:sz="6" w:space="0" w:color="auto"/>
              <w:right w:val="outset" w:sz="6" w:space="0" w:color="auto"/>
            </w:tcBorders>
            <w:vAlign w:val="center"/>
          </w:tcPr>
          <w:p w14:paraId="69CF47A4" w14:textId="77777777" w:rsidR="005E000F" w:rsidRDefault="00000000">
            <w:pPr>
              <w:jc w:val="right"/>
            </w:pPr>
            <w:r>
              <w:t>2,359,026,602</w:t>
            </w:r>
          </w:p>
        </w:tc>
        <w:tc>
          <w:tcPr>
            <w:tcW w:w="2411" w:type="dxa"/>
            <w:tcBorders>
              <w:top w:val="outset" w:sz="6" w:space="0" w:color="auto"/>
              <w:left w:val="outset" w:sz="6" w:space="0" w:color="auto"/>
              <w:bottom w:val="outset" w:sz="6" w:space="0" w:color="auto"/>
              <w:right w:val="outset" w:sz="6" w:space="0" w:color="auto"/>
            </w:tcBorders>
            <w:vAlign w:val="center"/>
          </w:tcPr>
          <w:p w14:paraId="4FFC3DE3" w14:textId="77777777" w:rsidR="005E000F" w:rsidRDefault="00000000">
            <w:pPr>
              <w:jc w:val="right"/>
            </w:pPr>
            <w:r>
              <w:rPr>
                <w:rFonts w:hint="eastAsia"/>
              </w:rPr>
              <w:t>912,285,308</w:t>
            </w:r>
          </w:p>
        </w:tc>
      </w:tr>
      <w:tr w:rsidR="005E000F" w14:paraId="0413AFDD" w14:textId="77777777">
        <w:tc>
          <w:tcPr>
            <w:tcW w:w="2944" w:type="dxa"/>
            <w:tcBorders>
              <w:top w:val="outset" w:sz="6" w:space="0" w:color="auto"/>
              <w:left w:val="outset" w:sz="6" w:space="0" w:color="auto"/>
              <w:bottom w:val="outset" w:sz="6" w:space="0" w:color="auto"/>
              <w:right w:val="outset" w:sz="6" w:space="0" w:color="auto"/>
            </w:tcBorders>
            <w:vAlign w:val="center"/>
          </w:tcPr>
          <w:p w14:paraId="796D09E7" w14:textId="77777777" w:rsidR="005E000F" w:rsidRDefault="00000000">
            <w:pPr>
              <w:ind w:firstLineChars="100" w:firstLine="210"/>
              <w:rPr>
                <w:color w:val="000000" w:themeColor="text1"/>
              </w:rPr>
            </w:pPr>
            <w:r>
              <w:rPr>
                <w:rFonts w:hint="eastAsia"/>
                <w:color w:val="000000" w:themeColor="text1"/>
              </w:rPr>
              <w:t>无形资产</w:t>
            </w:r>
          </w:p>
        </w:tc>
        <w:tc>
          <w:tcPr>
            <w:tcW w:w="1133" w:type="dxa"/>
            <w:tcBorders>
              <w:top w:val="outset" w:sz="6" w:space="0" w:color="auto"/>
              <w:left w:val="outset" w:sz="6" w:space="0" w:color="auto"/>
              <w:bottom w:val="outset" w:sz="6" w:space="0" w:color="auto"/>
              <w:right w:val="outset" w:sz="6" w:space="0" w:color="auto"/>
            </w:tcBorders>
            <w:vAlign w:val="center"/>
          </w:tcPr>
          <w:p w14:paraId="6721CC7D" w14:textId="77777777" w:rsidR="005E000F" w:rsidRDefault="00000000">
            <w:r>
              <w:rPr>
                <w:rFonts w:hint="eastAsia"/>
              </w:rPr>
              <w:t>七、</w:t>
            </w:r>
            <w:r>
              <w:t>26</w:t>
            </w:r>
          </w:p>
        </w:tc>
        <w:tc>
          <w:tcPr>
            <w:tcW w:w="2550" w:type="dxa"/>
            <w:tcBorders>
              <w:top w:val="outset" w:sz="6" w:space="0" w:color="auto"/>
              <w:left w:val="outset" w:sz="6" w:space="0" w:color="auto"/>
              <w:bottom w:val="outset" w:sz="6" w:space="0" w:color="auto"/>
              <w:right w:val="outset" w:sz="6" w:space="0" w:color="auto"/>
            </w:tcBorders>
            <w:vAlign w:val="center"/>
          </w:tcPr>
          <w:p w14:paraId="16AED511" w14:textId="77777777" w:rsidR="005E000F" w:rsidRDefault="00000000">
            <w:pPr>
              <w:jc w:val="right"/>
            </w:pPr>
            <w:r>
              <w:t>34,512,368,917</w:t>
            </w:r>
          </w:p>
        </w:tc>
        <w:tc>
          <w:tcPr>
            <w:tcW w:w="2411" w:type="dxa"/>
            <w:tcBorders>
              <w:top w:val="outset" w:sz="6" w:space="0" w:color="auto"/>
              <w:left w:val="outset" w:sz="6" w:space="0" w:color="auto"/>
              <w:bottom w:val="outset" w:sz="6" w:space="0" w:color="auto"/>
              <w:right w:val="outset" w:sz="6" w:space="0" w:color="auto"/>
            </w:tcBorders>
            <w:vAlign w:val="center"/>
          </w:tcPr>
          <w:p w14:paraId="4C30B81B" w14:textId="77777777" w:rsidR="005E000F" w:rsidRDefault="00000000">
            <w:pPr>
              <w:jc w:val="right"/>
            </w:pPr>
            <w:r>
              <w:rPr>
                <w:rFonts w:hint="eastAsia"/>
              </w:rPr>
              <w:t>10,531,749,061</w:t>
            </w:r>
          </w:p>
        </w:tc>
      </w:tr>
      <w:tr w:rsidR="005E000F" w14:paraId="29AED133" w14:textId="77777777">
        <w:tc>
          <w:tcPr>
            <w:tcW w:w="2944" w:type="dxa"/>
            <w:tcBorders>
              <w:top w:val="outset" w:sz="6" w:space="0" w:color="auto"/>
              <w:left w:val="outset" w:sz="6" w:space="0" w:color="auto"/>
              <w:bottom w:val="outset" w:sz="6" w:space="0" w:color="auto"/>
              <w:right w:val="outset" w:sz="6" w:space="0" w:color="auto"/>
            </w:tcBorders>
            <w:vAlign w:val="center"/>
          </w:tcPr>
          <w:p w14:paraId="024E72C7" w14:textId="77777777" w:rsidR="005E000F" w:rsidRDefault="00000000">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1695E655"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FB1FA8A"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9E53854" w14:textId="77777777" w:rsidR="005E000F" w:rsidRDefault="00000000">
            <w:pPr>
              <w:jc w:val="right"/>
            </w:pPr>
            <w:r>
              <w:rPr>
                <w:rFonts w:hint="eastAsia"/>
              </w:rPr>
              <w:t>0</w:t>
            </w:r>
          </w:p>
        </w:tc>
      </w:tr>
      <w:tr w:rsidR="005E000F" w14:paraId="774B1C35" w14:textId="77777777">
        <w:tc>
          <w:tcPr>
            <w:tcW w:w="2944" w:type="dxa"/>
            <w:tcBorders>
              <w:top w:val="outset" w:sz="6" w:space="0" w:color="auto"/>
              <w:left w:val="outset" w:sz="6" w:space="0" w:color="auto"/>
              <w:bottom w:val="outset" w:sz="6" w:space="0" w:color="auto"/>
              <w:right w:val="outset" w:sz="6" w:space="0" w:color="auto"/>
            </w:tcBorders>
            <w:vAlign w:val="center"/>
          </w:tcPr>
          <w:p w14:paraId="329C4D79" w14:textId="77777777" w:rsidR="005E000F" w:rsidRDefault="00000000">
            <w:pPr>
              <w:ind w:firstLineChars="100" w:firstLine="210"/>
              <w:rPr>
                <w:color w:val="000000" w:themeColor="text1"/>
              </w:rPr>
            </w:pPr>
            <w:r>
              <w:rPr>
                <w:rFonts w:hint="eastAsia"/>
                <w:color w:val="000000" w:themeColor="text1"/>
              </w:rPr>
              <w:t>开发支出</w:t>
            </w:r>
          </w:p>
        </w:tc>
        <w:tc>
          <w:tcPr>
            <w:tcW w:w="1133" w:type="dxa"/>
            <w:tcBorders>
              <w:top w:val="outset" w:sz="6" w:space="0" w:color="auto"/>
              <w:left w:val="outset" w:sz="6" w:space="0" w:color="auto"/>
              <w:bottom w:val="outset" w:sz="6" w:space="0" w:color="auto"/>
              <w:right w:val="outset" w:sz="6" w:space="0" w:color="auto"/>
            </w:tcBorders>
            <w:vAlign w:val="center"/>
          </w:tcPr>
          <w:p w14:paraId="3154DA6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F4C354E"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9A5C388" w14:textId="77777777" w:rsidR="005E000F" w:rsidRDefault="00000000">
            <w:pPr>
              <w:jc w:val="right"/>
            </w:pPr>
            <w:r>
              <w:rPr>
                <w:rFonts w:hint="eastAsia"/>
              </w:rPr>
              <w:t>0</w:t>
            </w:r>
          </w:p>
        </w:tc>
      </w:tr>
      <w:tr w:rsidR="005E000F" w14:paraId="75813016" w14:textId="77777777">
        <w:tc>
          <w:tcPr>
            <w:tcW w:w="2944" w:type="dxa"/>
            <w:tcBorders>
              <w:top w:val="outset" w:sz="6" w:space="0" w:color="auto"/>
              <w:left w:val="outset" w:sz="6" w:space="0" w:color="auto"/>
              <w:bottom w:val="outset" w:sz="6" w:space="0" w:color="auto"/>
              <w:right w:val="outset" w:sz="6" w:space="0" w:color="auto"/>
            </w:tcBorders>
            <w:vAlign w:val="center"/>
          </w:tcPr>
          <w:p w14:paraId="17861B5C" w14:textId="77777777" w:rsidR="005E000F" w:rsidRDefault="00000000">
            <w:pPr>
              <w:ind w:firstLineChars="100" w:firstLine="210"/>
              <w:rPr>
                <w:color w:val="000000" w:themeColor="text1"/>
              </w:rPr>
            </w:pPr>
            <w:r>
              <w:rPr>
                <w:rFonts w:hint="eastAsia"/>
                <w:color w:val="000000" w:themeColor="text1"/>
              </w:rPr>
              <w:lastRenderedPageBreak/>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0ED466E0"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57B59AC"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682BDB19" w14:textId="77777777" w:rsidR="005E000F" w:rsidRDefault="00000000">
            <w:pPr>
              <w:jc w:val="right"/>
            </w:pPr>
            <w:r>
              <w:rPr>
                <w:rFonts w:hint="eastAsia"/>
              </w:rPr>
              <w:t>0</w:t>
            </w:r>
          </w:p>
        </w:tc>
      </w:tr>
      <w:tr w:rsidR="005E000F" w14:paraId="52C47162" w14:textId="77777777">
        <w:tc>
          <w:tcPr>
            <w:tcW w:w="2944" w:type="dxa"/>
            <w:tcBorders>
              <w:top w:val="outset" w:sz="6" w:space="0" w:color="auto"/>
              <w:left w:val="outset" w:sz="6" w:space="0" w:color="auto"/>
              <w:bottom w:val="outset" w:sz="6" w:space="0" w:color="auto"/>
              <w:right w:val="outset" w:sz="6" w:space="0" w:color="auto"/>
            </w:tcBorders>
            <w:vAlign w:val="center"/>
          </w:tcPr>
          <w:p w14:paraId="781EAC4E" w14:textId="77777777" w:rsidR="005E000F" w:rsidRDefault="00000000">
            <w:pPr>
              <w:ind w:firstLineChars="100" w:firstLine="210"/>
              <w:rPr>
                <w:color w:val="000000" w:themeColor="text1"/>
              </w:rPr>
            </w:pPr>
            <w:r>
              <w:rPr>
                <w:rFonts w:hint="eastAsia"/>
                <w:color w:val="000000" w:themeColor="text1"/>
              </w:rPr>
              <w:t>商誉</w:t>
            </w:r>
          </w:p>
        </w:tc>
        <w:tc>
          <w:tcPr>
            <w:tcW w:w="1133" w:type="dxa"/>
            <w:tcBorders>
              <w:top w:val="outset" w:sz="6" w:space="0" w:color="auto"/>
              <w:left w:val="outset" w:sz="6" w:space="0" w:color="auto"/>
              <w:bottom w:val="outset" w:sz="6" w:space="0" w:color="auto"/>
              <w:right w:val="outset" w:sz="6" w:space="0" w:color="auto"/>
            </w:tcBorders>
            <w:vAlign w:val="center"/>
          </w:tcPr>
          <w:p w14:paraId="4BC5375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7E86941"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A1AD75A" w14:textId="77777777" w:rsidR="005E000F" w:rsidRDefault="00000000">
            <w:pPr>
              <w:jc w:val="right"/>
            </w:pPr>
            <w:r>
              <w:rPr>
                <w:rFonts w:hint="eastAsia"/>
              </w:rPr>
              <w:t>0</w:t>
            </w:r>
          </w:p>
        </w:tc>
      </w:tr>
      <w:tr w:rsidR="005E000F" w14:paraId="23EB2707" w14:textId="77777777">
        <w:tc>
          <w:tcPr>
            <w:tcW w:w="2944" w:type="dxa"/>
            <w:tcBorders>
              <w:top w:val="outset" w:sz="6" w:space="0" w:color="auto"/>
              <w:left w:val="outset" w:sz="6" w:space="0" w:color="auto"/>
              <w:bottom w:val="outset" w:sz="6" w:space="0" w:color="auto"/>
              <w:right w:val="outset" w:sz="6" w:space="0" w:color="auto"/>
            </w:tcBorders>
            <w:vAlign w:val="center"/>
          </w:tcPr>
          <w:p w14:paraId="553EA6B3" w14:textId="77777777" w:rsidR="005E000F" w:rsidRDefault="00000000">
            <w:pPr>
              <w:ind w:firstLineChars="100" w:firstLine="210"/>
              <w:rPr>
                <w:color w:val="000000" w:themeColor="text1"/>
              </w:rPr>
            </w:pPr>
            <w:r>
              <w:rPr>
                <w:rFonts w:hint="eastAsia"/>
                <w:color w:val="000000" w:themeColor="text1"/>
              </w:rPr>
              <w:t>长期待摊费用</w:t>
            </w:r>
          </w:p>
        </w:tc>
        <w:tc>
          <w:tcPr>
            <w:tcW w:w="1133" w:type="dxa"/>
            <w:tcBorders>
              <w:top w:val="outset" w:sz="6" w:space="0" w:color="auto"/>
              <w:left w:val="outset" w:sz="6" w:space="0" w:color="auto"/>
              <w:bottom w:val="outset" w:sz="6" w:space="0" w:color="auto"/>
              <w:right w:val="outset" w:sz="6" w:space="0" w:color="auto"/>
            </w:tcBorders>
            <w:vAlign w:val="center"/>
          </w:tcPr>
          <w:p w14:paraId="5F8E02A8" w14:textId="77777777" w:rsidR="005E000F" w:rsidRDefault="00000000">
            <w:r>
              <w:rPr>
                <w:rFonts w:hint="eastAsia"/>
              </w:rPr>
              <w:t>七、</w:t>
            </w:r>
            <w:r>
              <w:t>28</w:t>
            </w:r>
          </w:p>
        </w:tc>
        <w:tc>
          <w:tcPr>
            <w:tcW w:w="2550" w:type="dxa"/>
            <w:tcBorders>
              <w:top w:val="outset" w:sz="6" w:space="0" w:color="auto"/>
              <w:left w:val="outset" w:sz="6" w:space="0" w:color="auto"/>
              <w:bottom w:val="outset" w:sz="6" w:space="0" w:color="auto"/>
              <w:right w:val="outset" w:sz="6" w:space="0" w:color="auto"/>
            </w:tcBorders>
            <w:vAlign w:val="center"/>
          </w:tcPr>
          <w:p w14:paraId="6608DADE" w14:textId="77777777" w:rsidR="005E000F" w:rsidRDefault="00000000">
            <w:pPr>
              <w:jc w:val="right"/>
            </w:pPr>
            <w:r>
              <w:t>118,204,110</w:t>
            </w:r>
          </w:p>
        </w:tc>
        <w:tc>
          <w:tcPr>
            <w:tcW w:w="2411" w:type="dxa"/>
            <w:tcBorders>
              <w:top w:val="outset" w:sz="6" w:space="0" w:color="auto"/>
              <w:left w:val="outset" w:sz="6" w:space="0" w:color="auto"/>
              <w:bottom w:val="outset" w:sz="6" w:space="0" w:color="auto"/>
              <w:right w:val="outset" w:sz="6" w:space="0" w:color="auto"/>
            </w:tcBorders>
            <w:vAlign w:val="center"/>
          </w:tcPr>
          <w:p w14:paraId="7CC16FCE" w14:textId="77777777" w:rsidR="005E000F" w:rsidRDefault="00000000">
            <w:pPr>
              <w:jc w:val="right"/>
            </w:pPr>
            <w:r>
              <w:rPr>
                <w:rFonts w:hint="eastAsia"/>
              </w:rPr>
              <w:t>157,142,415</w:t>
            </w:r>
          </w:p>
        </w:tc>
      </w:tr>
      <w:tr w:rsidR="005E000F" w14:paraId="50EC3504" w14:textId="77777777">
        <w:tc>
          <w:tcPr>
            <w:tcW w:w="2944" w:type="dxa"/>
            <w:tcBorders>
              <w:top w:val="outset" w:sz="6" w:space="0" w:color="auto"/>
              <w:left w:val="outset" w:sz="6" w:space="0" w:color="auto"/>
              <w:bottom w:val="outset" w:sz="6" w:space="0" w:color="auto"/>
              <w:right w:val="outset" w:sz="6" w:space="0" w:color="auto"/>
            </w:tcBorders>
            <w:vAlign w:val="center"/>
          </w:tcPr>
          <w:p w14:paraId="0F44EE52" w14:textId="77777777" w:rsidR="005E000F" w:rsidRDefault="00000000">
            <w:pPr>
              <w:ind w:firstLineChars="100" w:firstLine="210"/>
              <w:rPr>
                <w:color w:val="000000" w:themeColor="text1"/>
              </w:rPr>
            </w:pPr>
            <w:r>
              <w:rPr>
                <w:rFonts w:hint="eastAsia"/>
                <w:color w:val="000000" w:themeColor="text1"/>
              </w:rPr>
              <w:t>递延所得税资产</w:t>
            </w:r>
          </w:p>
        </w:tc>
        <w:tc>
          <w:tcPr>
            <w:tcW w:w="1133" w:type="dxa"/>
            <w:tcBorders>
              <w:top w:val="outset" w:sz="6" w:space="0" w:color="auto"/>
              <w:left w:val="outset" w:sz="6" w:space="0" w:color="auto"/>
              <w:bottom w:val="outset" w:sz="6" w:space="0" w:color="auto"/>
              <w:right w:val="outset" w:sz="6" w:space="0" w:color="auto"/>
            </w:tcBorders>
            <w:vAlign w:val="center"/>
          </w:tcPr>
          <w:p w14:paraId="62776ACC" w14:textId="77777777" w:rsidR="005E000F" w:rsidRDefault="00000000">
            <w:r>
              <w:rPr>
                <w:rFonts w:hint="eastAsia"/>
              </w:rPr>
              <w:t>七、</w:t>
            </w:r>
            <w:r>
              <w:t>29</w:t>
            </w:r>
          </w:p>
        </w:tc>
        <w:tc>
          <w:tcPr>
            <w:tcW w:w="2550" w:type="dxa"/>
            <w:tcBorders>
              <w:top w:val="outset" w:sz="6" w:space="0" w:color="auto"/>
              <w:left w:val="outset" w:sz="6" w:space="0" w:color="auto"/>
              <w:bottom w:val="outset" w:sz="6" w:space="0" w:color="auto"/>
              <w:right w:val="outset" w:sz="6" w:space="0" w:color="auto"/>
            </w:tcBorders>
            <w:vAlign w:val="center"/>
          </w:tcPr>
          <w:p w14:paraId="1A48F7FE" w14:textId="77777777" w:rsidR="005E000F" w:rsidRDefault="00000000">
            <w:pPr>
              <w:jc w:val="right"/>
            </w:pPr>
            <w:r>
              <w:t>1,406,639,50</w:t>
            </w:r>
            <w:r>
              <w:rPr>
                <w:rFonts w:hint="eastAsia"/>
              </w:rPr>
              <w:t>1</w:t>
            </w:r>
          </w:p>
        </w:tc>
        <w:tc>
          <w:tcPr>
            <w:tcW w:w="2411" w:type="dxa"/>
            <w:tcBorders>
              <w:top w:val="outset" w:sz="6" w:space="0" w:color="auto"/>
              <w:left w:val="outset" w:sz="6" w:space="0" w:color="auto"/>
              <w:bottom w:val="outset" w:sz="6" w:space="0" w:color="auto"/>
              <w:right w:val="outset" w:sz="6" w:space="0" w:color="auto"/>
            </w:tcBorders>
            <w:vAlign w:val="center"/>
          </w:tcPr>
          <w:p w14:paraId="7C5E839E" w14:textId="77777777" w:rsidR="005E000F" w:rsidRDefault="00000000">
            <w:pPr>
              <w:jc w:val="right"/>
            </w:pPr>
            <w:r>
              <w:rPr>
                <w:rFonts w:hint="eastAsia"/>
              </w:rPr>
              <w:t>1,405,768,123</w:t>
            </w:r>
          </w:p>
        </w:tc>
      </w:tr>
      <w:tr w:rsidR="005E000F" w14:paraId="38AF0A68" w14:textId="77777777">
        <w:tc>
          <w:tcPr>
            <w:tcW w:w="2944" w:type="dxa"/>
            <w:tcBorders>
              <w:top w:val="outset" w:sz="6" w:space="0" w:color="auto"/>
              <w:left w:val="outset" w:sz="6" w:space="0" w:color="auto"/>
              <w:bottom w:val="outset" w:sz="6" w:space="0" w:color="auto"/>
              <w:right w:val="outset" w:sz="6" w:space="0" w:color="auto"/>
            </w:tcBorders>
            <w:vAlign w:val="center"/>
          </w:tcPr>
          <w:p w14:paraId="10BAB498" w14:textId="77777777" w:rsidR="005E000F" w:rsidRDefault="00000000">
            <w:pPr>
              <w:ind w:firstLineChars="100" w:firstLine="210"/>
              <w:rPr>
                <w:color w:val="000000" w:themeColor="text1"/>
              </w:rPr>
            </w:pPr>
            <w:r>
              <w:rPr>
                <w:rFonts w:hint="eastAsia"/>
                <w:color w:val="000000" w:themeColor="text1"/>
              </w:rPr>
              <w:t>其他非流动资产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65AEF266" w14:textId="77777777" w:rsidR="005E000F" w:rsidRDefault="00000000">
            <w:r>
              <w:rPr>
                <w:rFonts w:hint="eastAsia"/>
              </w:rPr>
              <w:t>七、</w:t>
            </w:r>
            <w:r>
              <w:t>30</w:t>
            </w:r>
          </w:p>
        </w:tc>
        <w:tc>
          <w:tcPr>
            <w:tcW w:w="2550" w:type="dxa"/>
            <w:tcBorders>
              <w:top w:val="outset" w:sz="6" w:space="0" w:color="auto"/>
              <w:left w:val="outset" w:sz="6" w:space="0" w:color="auto"/>
              <w:bottom w:val="outset" w:sz="6" w:space="0" w:color="auto"/>
              <w:right w:val="outset" w:sz="6" w:space="0" w:color="auto"/>
            </w:tcBorders>
            <w:vAlign w:val="center"/>
          </w:tcPr>
          <w:p w14:paraId="03962254" w14:textId="77777777" w:rsidR="005E000F" w:rsidRDefault="00000000">
            <w:pPr>
              <w:jc w:val="right"/>
            </w:pPr>
            <w:r>
              <w:t>4,187,905,164</w:t>
            </w:r>
          </w:p>
        </w:tc>
        <w:tc>
          <w:tcPr>
            <w:tcW w:w="2411" w:type="dxa"/>
            <w:tcBorders>
              <w:top w:val="outset" w:sz="6" w:space="0" w:color="auto"/>
              <w:left w:val="outset" w:sz="6" w:space="0" w:color="auto"/>
              <w:bottom w:val="outset" w:sz="6" w:space="0" w:color="auto"/>
              <w:right w:val="outset" w:sz="6" w:space="0" w:color="auto"/>
            </w:tcBorders>
            <w:vAlign w:val="center"/>
          </w:tcPr>
          <w:p w14:paraId="31AF99E1" w14:textId="77777777" w:rsidR="005E000F" w:rsidRDefault="00000000">
            <w:pPr>
              <w:jc w:val="right"/>
            </w:pPr>
            <w:r>
              <w:rPr>
                <w:rFonts w:hint="eastAsia"/>
              </w:rPr>
              <w:t>3,615,417,402</w:t>
            </w:r>
          </w:p>
        </w:tc>
      </w:tr>
      <w:tr w:rsidR="005E000F" w14:paraId="6E3D1732" w14:textId="77777777">
        <w:tc>
          <w:tcPr>
            <w:tcW w:w="2944" w:type="dxa"/>
            <w:tcBorders>
              <w:top w:val="outset" w:sz="6" w:space="0" w:color="auto"/>
              <w:left w:val="outset" w:sz="6" w:space="0" w:color="auto"/>
              <w:bottom w:val="outset" w:sz="6" w:space="0" w:color="auto"/>
              <w:right w:val="outset" w:sz="6" w:space="0" w:color="auto"/>
            </w:tcBorders>
            <w:vAlign w:val="center"/>
          </w:tcPr>
          <w:p w14:paraId="2E2EFE11" w14:textId="77777777" w:rsidR="005E000F" w:rsidRDefault="00000000">
            <w:pPr>
              <w:ind w:firstLineChars="200" w:firstLine="420"/>
              <w:rPr>
                <w:color w:val="000000" w:themeColor="text1"/>
              </w:rPr>
            </w:pPr>
            <w:r>
              <w:rPr>
                <w:rFonts w:hint="eastAsia"/>
                <w:color w:val="000000" w:themeColor="text1"/>
              </w:rPr>
              <w:t>非流动资产合计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5BD59430"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BA2D041" w14:textId="77777777" w:rsidR="005E000F" w:rsidRDefault="00000000">
            <w:pPr>
              <w:jc w:val="right"/>
            </w:pPr>
            <w:r>
              <w:t>161,113,930,71</w:t>
            </w: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01C06C9" w14:textId="77777777" w:rsidR="005E000F" w:rsidRDefault="00000000">
            <w:pPr>
              <w:jc w:val="right"/>
            </w:pPr>
            <w:r>
              <w:rPr>
                <w:rFonts w:hint="eastAsia"/>
              </w:rPr>
              <w:t>131,785,207,222</w:t>
            </w:r>
          </w:p>
        </w:tc>
      </w:tr>
      <w:tr w:rsidR="005E000F" w14:paraId="01DA2F70" w14:textId="77777777">
        <w:tc>
          <w:tcPr>
            <w:tcW w:w="2944" w:type="dxa"/>
            <w:tcBorders>
              <w:top w:val="outset" w:sz="6" w:space="0" w:color="auto"/>
              <w:left w:val="outset" w:sz="6" w:space="0" w:color="auto"/>
              <w:bottom w:val="outset" w:sz="6" w:space="0" w:color="auto"/>
              <w:right w:val="outset" w:sz="6" w:space="0" w:color="auto"/>
            </w:tcBorders>
            <w:vAlign w:val="center"/>
          </w:tcPr>
          <w:p w14:paraId="38AFD2A0" w14:textId="77777777" w:rsidR="005E000F" w:rsidRDefault="00000000">
            <w:pPr>
              <w:ind w:firstLineChars="300" w:firstLine="630"/>
              <w:rPr>
                <w:color w:val="000000" w:themeColor="text1"/>
              </w:rPr>
            </w:pPr>
            <w:r>
              <w:rPr>
                <w:rFonts w:hint="eastAsia"/>
                <w:color w:val="000000" w:themeColor="text1"/>
              </w:rPr>
              <w:t>资产总计</w:t>
            </w:r>
          </w:p>
        </w:tc>
        <w:tc>
          <w:tcPr>
            <w:tcW w:w="1133" w:type="dxa"/>
            <w:tcBorders>
              <w:top w:val="outset" w:sz="6" w:space="0" w:color="auto"/>
              <w:left w:val="outset" w:sz="6" w:space="0" w:color="auto"/>
              <w:bottom w:val="outset" w:sz="6" w:space="0" w:color="auto"/>
              <w:right w:val="outset" w:sz="6" w:space="0" w:color="auto"/>
            </w:tcBorders>
            <w:vAlign w:val="center"/>
          </w:tcPr>
          <w:p w14:paraId="4C30088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9C44363" w14:textId="77777777" w:rsidR="005E000F" w:rsidRDefault="00000000">
            <w:pPr>
              <w:jc w:val="right"/>
            </w:pPr>
            <w:r>
              <w:t>211,817,901,515</w:t>
            </w:r>
          </w:p>
        </w:tc>
        <w:tc>
          <w:tcPr>
            <w:tcW w:w="2411" w:type="dxa"/>
            <w:tcBorders>
              <w:top w:val="outset" w:sz="6" w:space="0" w:color="auto"/>
              <w:left w:val="outset" w:sz="6" w:space="0" w:color="auto"/>
              <w:bottom w:val="outset" w:sz="6" w:space="0" w:color="auto"/>
              <w:right w:val="outset" w:sz="6" w:space="0" w:color="auto"/>
            </w:tcBorders>
            <w:vAlign w:val="center"/>
          </w:tcPr>
          <w:p w14:paraId="295A2214" w14:textId="77777777" w:rsidR="005E000F" w:rsidRDefault="00000000">
            <w:pPr>
              <w:jc w:val="right"/>
            </w:pPr>
            <w:r>
              <w:rPr>
                <w:rFonts w:hint="eastAsia"/>
              </w:rPr>
              <w:t>207,017,831,253</w:t>
            </w:r>
          </w:p>
        </w:tc>
      </w:tr>
      <w:tr w:rsidR="005E000F" w14:paraId="6E8C576E" w14:textId="77777777">
        <w:sdt>
          <w:sdtPr>
            <w:tag w:val="_PLD_411fdd3766f04bf1851e3afed0dd2f74"/>
            <w:id w:val="-1614752028"/>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2A5A8AD2" w14:textId="77777777" w:rsidR="005E000F" w:rsidRDefault="00000000">
                <w:pPr>
                  <w:rPr>
                    <w:color w:val="000000" w:themeColor="text1"/>
                  </w:rPr>
                </w:pPr>
                <w:r>
                  <w:rPr>
                    <w:rFonts w:hint="eastAsia"/>
                    <w:b/>
                    <w:color w:val="000000" w:themeColor="text1"/>
                  </w:rPr>
                  <w:t>流动负债：</w:t>
                </w:r>
              </w:p>
            </w:tc>
          </w:sdtContent>
        </w:sdt>
      </w:tr>
      <w:tr w:rsidR="005E000F" w14:paraId="52968113" w14:textId="77777777">
        <w:tc>
          <w:tcPr>
            <w:tcW w:w="2944" w:type="dxa"/>
            <w:tcBorders>
              <w:top w:val="outset" w:sz="6" w:space="0" w:color="auto"/>
              <w:left w:val="outset" w:sz="6" w:space="0" w:color="auto"/>
              <w:bottom w:val="outset" w:sz="6" w:space="0" w:color="auto"/>
              <w:right w:val="outset" w:sz="6" w:space="0" w:color="auto"/>
            </w:tcBorders>
            <w:vAlign w:val="center"/>
          </w:tcPr>
          <w:p w14:paraId="19031033" w14:textId="77777777" w:rsidR="005E000F" w:rsidRDefault="00000000">
            <w:pPr>
              <w:ind w:firstLineChars="100" w:firstLine="210"/>
              <w:rPr>
                <w:color w:val="000000" w:themeColor="text1"/>
              </w:rPr>
            </w:pPr>
            <w:r>
              <w:rPr>
                <w:rFonts w:hint="eastAsia"/>
                <w:color w:val="000000" w:themeColor="text1"/>
              </w:rPr>
              <w:t>短期借款</w:t>
            </w:r>
          </w:p>
        </w:tc>
        <w:tc>
          <w:tcPr>
            <w:tcW w:w="1133" w:type="dxa"/>
            <w:tcBorders>
              <w:top w:val="outset" w:sz="6" w:space="0" w:color="auto"/>
              <w:left w:val="outset" w:sz="6" w:space="0" w:color="auto"/>
              <w:bottom w:val="outset" w:sz="6" w:space="0" w:color="auto"/>
              <w:right w:val="outset" w:sz="6" w:space="0" w:color="auto"/>
            </w:tcBorders>
            <w:vAlign w:val="center"/>
          </w:tcPr>
          <w:p w14:paraId="2591241C" w14:textId="77777777" w:rsidR="005E000F" w:rsidRDefault="00000000">
            <w:r>
              <w:rPr>
                <w:rFonts w:hint="eastAsia"/>
              </w:rPr>
              <w:t>七、</w:t>
            </w:r>
            <w:r>
              <w:t>32</w:t>
            </w:r>
          </w:p>
        </w:tc>
        <w:tc>
          <w:tcPr>
            <w:tcW w:w="2550" w:type="dxa"/>
            <w:tcBorders>
              <w:top w:val="outset" w:sz="6" w:space="0" w:color="auto"/>
              <w:left w:val="outset" w:sz="6" w:space="0" w:color="auto"/>
              <w:bottom w:val="outset" w:sz="6" w:space="0" w:color="auto"/>
              <w:right w:val="outset" w:sz="6" w:space="0" w:color="auto"/>
            </w:tcBorders>
            <w:vAlign w:val="center"/>
          </w:tcPr>
          <w:p w14:paraId="4C2306C2" w14:textId="77777777" w:rsidR="005E000F" w:rsidRDefault="00000000">
            <w:pPr>
              <w:jc w:val="right"/>
            </w:pPr>
            <w:r>
              <w:t>289,147,358</w:t>
            </w:r>
          </w:p>
        </w:tc>
        <w:tc>
          <w:tcPr>
            <w:tcW w:w="2411" w:type="dxa"/>
            <w:tcBorders>
              <w:top w:val="outset" w:sz="6" w:space="0" w:color="auto"/>
              <w:left w:val="outset" w:sz="6" w:space="0" w:color="auto"/>
              <w:bottom w:val="outset" w:sz="6" w:space="0" w:color="auto"/>
              <w:right w:val="outset" w:sz="6" w:space="0" w:color="auto"/>
            </w:tcBorders>
            <w:vAlign w:val="center"/>
          </w:tcPr>
          <w:p w14:paraId="76C73057" w14:textId="77777777" w:rsidR="005E000F" w:rsidRDefault="00000000">
            <w:pPr>
              <w:jc w:val="right"/>
            </w:pPr>
            <w:r>
              <w:rPr>
                <w:rFonts w:hint="eastAsia"/>
              </w:rPr>
              <w:t>238,158,266</w:t>
            </w:r>
          </w:p>
        </w:tc>
      </w:tr>
      <w:tr w:rsidR="005E000F" w14:paraId="791FCB37" w14:textId="77777777">
        <w:tc>
          <w:tcPr>
            <w:tcW w:w="2944" w:type="dxa"/>
            <w:tcBorders>
              <w:top w:val="outset" w:sz="6" w:space="0" w:color="auto"/>
              <w:left w:val="outset" w:sz="6" w:space="0" w:color="auto"/>
              <w:bottom w:val="outset" w:sz="6" w:space="0" w:color="auto"/>
              <w:right w:val="outset" w:sz="6" w:space="0" w:color="auto"/>
            </w:tcBorders>
            <w:vAlign w:val="center"/>
          </w:tcPr>
          <w:p w14:paraId="72E29F53" w14:textId="77777777" w:rsidR="005E000F" w:rsidRDefault="00000000">
            <w:pPr>
              <w:ind w:firstLineChars="100" w:firstLine="210"/>
              <w:rPr>
                <w:color w:val="000000" w:themeColor="text1"/>
              </w:rPr>
            </w:pPr>
            <w:r>
              <w:rPr>
                <w:rFonts w:hint="eastAsia"/>
                <w:color w:val="000000" w:themeColor="text1"/>
              </w:rPr>
              <w:t>向中央银行借款</w:t>
            </w:r>
          </w:p>
        </w:tc>
        <w:tc>
          <w:tcPr>
            <w:tcW w:w="1133" w:type="dxa"/>
            <w:tcBorders>
              <w:top w:val="outset" w:sz="6" w:space="0" w:color="auto"/>
              <w:left w:val="outset" w:sz="6" w:space="0" w:color="auto"/>
              <w:bottom w:val="outset" w:sz="6" w:space="0" w:color="auto"/>
              <w:right w:val="outset" w:sz="6" w:space="0" w:color="auto"/>
            </w:tcBorders>
            <w:vAlign w:val="center"/>
          </w:tcPr>
          <w:p w14:paraId="7B0722CB"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BCEB876"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487644E" w14:textId="77777777" w:rsidR="005E000F" w:rsidRDefault="00000000">
            <w:pPr>
              <w:jc w:val="right"/>
            </w:pPr>
            <w:r>
              <w:rPr>
                <w:rFonts w:hint="eastAsia"/>
              </w:rPr>
              <w:t>0</w:t>
            </w:r>
          </w:p>
        </w:tc>
      </w:tr>
      <w:tr w:rsidR="005E000F" w14:paraId="4CD7E18A" w14:textId="77777777">
        <w:tc>
          <w:tcPr>
            <w:tcW w:w="2944" w:type="dxa"/>
            <w:tcBorders>
              <w:top w:val="outset" w:sz="6" w:space="0" w:color="auto"/>
              <w:left w:val="outset" w:sz="6" w:space="0" w:color="auto"/>
              <w:bottom w:val="outset" w:sz="6" w:space="0" w:color="auto"/>
              <w:right w:val="outset" w:sz="6" w:space="0" w:color="auto"/>
            </w:tcBorders>
            <w:vAlign w:val="center"/>
          </w:tcPr>
          <w:p w14:paraId="53C3F6BD" w14:textId="77777777" w:rsidR="005E000F" w:rsidRDefault="00000000">
            <w:pPr>
              <w:ind w:firstLineChars="100" w:firstLine="210"/>
              <w:rPr>
                <w:color w:val="000000" w:themeColor="text1"/>
              </w:rPr>
            </w:pPr>
            <w:r>
              <w:rPr>
                <w:rFonts w:hint="eastAsia"/>
                <w:color w:val="000000" w:themeColor="text1"/>
              </w:rPr>
              <w:t>拆入资金</w:t>
            </w:r>
          </w:p>
        </w:tc>
        <w:tc>
          <w:tcPr>
            <w:tcW w:w="1133" w:type="dxa"/>
            <w:tcBorders>
              <w:top w:val="outset" w:sz="6" w:space="0" w:color="auto"/>
              <w:left w:val="outset" w:sz="6" w:space="0" w:color="auto"/>
              <w:bottom w:val="outset" w:sz="6" w:space="0" w:color="auto"/>
              <w:right w:val="outset" w:sz="6" w:space="0" w:color="auto"/>
            </w:tcBorders>
            <w:vAlign w:val="center"/>
          </w:tcPr>
          <w:p w14:paraId="1FDD90F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20E570E"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B2E5DF8" w14:textId="77777777" w:rsidR="005E000F" w:rsidRDefault="00000000">
            <w:pPr>
              <w:jc w:val="right"/>
            </w:pPr>
            <w:r>
              <w:rPr>
                <w:rFonts w:hint="eastAsia"/>
              </w:rPr>
              <w:t>0</w:t>
            </w:r>
          </w:p>
        </w:tc>
      </w:tr>
      <w:tr w:rsidR="005E000F" w14:paraId="3AF0118A" w14:textId="77777777">
        <w:tc>
          <w:tcPr>
            <w:tcW w:w="2944" w:type="dxa"/>
            <w:tcBorders>
              <w:top w:val="outset" w:sz="6" w:space="0" w:color="auto"/>
              <w:left w:val="outset" w:sz="6" w:space="0" w:color="auto"/>
              <w:bottom w:val="outset" w:sz="6" w:space="0" w:color="auto"/>
              <w:right w:val="outset" w:sz="6" w:space="0" w:color="auto"/>
            </w:tcBorders>
            <w:vAlign w:val="center"/>
          </w:tcPr>
          <w:p w14:paraId="10F43AEF" w14:textId="77777777" w:rsidR="005E000F" w:rsidRDefault="00000000">
            <w:pPr>
              <w:ind w:firstLineChars="100" w:firstLine="210"/>
              <w:rPr>
                <w:color w:val="000000" w:themeColor="text1"/>
              </w:rPr>
            </w:pPr>
            <w:r>
              <w:rPr>
                <w:rFonts w:hint="eastAsia"/>
                <w:color w:val="000000" w:themeColor="text1"/>
              </w:rPr>
              <w:t>交易性金融负债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0485A776"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6761C08"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C1E214B" w14:textId="77777777" w:rsidR="005E000F" w:rsidRDefault="00000000">
            <w:pPr>
              <w:jc w:val="right"/>
            </w:pPr>
            <w:r>
              <w:rPr>
                <w:rFonts w:hint="eastAsia"/>
              </w:rPr>
              <w:t>0</w:t>
            </w:r>
          </w:p>
        </w:tc>
      </w:tr>
      <w:tr w:rsidR="005E000F" w14:paraId="5BBDD28D" w14:textId="77777777">
        <w:tc>
          <w:tcPr>
            <w:tcW w:w="2944" w:type="dxa"/>
            <w:tcBorders>
              <w:top w:val="outset" w:sz="6" w:space="0" w:color="auto"/>
              <w:left w:val="outset" w:sz="6" w:space="0" w:color="auto"/>
              <w:bottom w:val="outset" w:sz="6" w:space="0" w:color="auto"/>
              <w:right w:val="outset" w:sz="6" w:space="0" w:color="auto"/>
            </w:tcBorders>
            <w:vAlign w:val="center"/>
          </w:tcPr>
          <w:p w14:paraId="26DDA610" w14:textId="77777777" w:rsidR="005E000F" w:rsidRDefault="00000000">
            <w:pPr>
              <w:ind w:firstLineChars="100" w:firstLine="210"/>
              <w:rPr>
                <w:color w:val="000000" w:themeColor="text1"/>
              </w:rPr>
            </w:pPr>
            <w:r>
              <w:rPr>
                <w:rFonts w:hint="eastAsia"/>
                <w:color w:val="000000" w:themeColor="text1"/>
              </w:rPr>
              <w:t>衍生金融负债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20387FDE"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28E2923"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2CCF41E" w14:textId="77777777" w:rsidR="005E000F" w:rsidRDefault="00000000">
            <w:pPr>
              <w:jc w:val="right"/>
            </w:pPr>
            <w:r>
              <w:rPr>
                <w:rFonts w:hint="eastAsia"/>
              </w:rPr>
              <w:t>0</w:t>
            </w:r>
          </w:p>
        </w:tc>
      </w:tr>
      <w:tr w:rsidR="005E000F" w14:paraId="5E6A97A6" w14:textId="77777777">
        <w:tc>
          <w:tcPr>
            <w:tcW w:w="2944" w:type="dxa"/>
            <w:tcBorders>
              <w:top w:val="outset" w:sz="6" w:space="0" w:color="auto"/>
              <w:left w:val="outset" w:sz="6" w:space="0" w:color="auto"/>
              <w:bottom w:val="outset" w:sz="6" w:space="0" w:color="auto"/>
              <w:right w:val="outset" w:sz="6" w:space="0" w:color="auto"/>
            </w:tcBorders>
            <w:vAlign w:val="center"/>
          </w:tcPr>
          <w:p w14:paraId="1C435925" w14:textId="77777777" w:rsidR="005E000F" w:rsidRDefault="00000000">
            <w:pPr>
              <w:ind w:firstLineChars="100" w:firstLine="210"/>
              <w:rPr>
                <w:color w:val="000000" w:themeColor="text1"/>
              </w:rPr>
            </w:pPr>
            <w:r>
              <w:rPr>
                <w:rFonts w:hint="eastAsia"/>
                <w:color w:val="000000" w:themeColor="text1"/>
              </w:rPr>
              <w:t>应付票据</w:t>
            </w:r>
          </w:p>
        </w:tc>
        <w:tc>
          <w:tcPr>
            <w:tcW w:w="1133" w:type="dxa"/>
            <w:tcBorders>
              <w:top w:val="outset" w:sz="6" w:space="0" w:color="auto"/>
              <w:left w:val="outset" w:sz="6" w:space="0" w:color="auto"/>
              <w:bottom w:val="outset" w:sz="6" w:space="0" w:color="auto"/>
              <w:right w:val="outset" w:sz="6" w:space="0" w:color="auto"/>
            </w:tcBorders>
            <w:vAlign w:val="center"/>
          </w:tcPr>
          <w:p w14:paraId="5EBFA5D3" w14:textId="77777777" w:rsidR="005E000F" w:rsidRDefault="00000000">
            <w:r>
              <w:rPr>
                <w:rFonts w:hint="eastAsia"/>
              </w:rPr>
              <w:t>七、</w:t>
            </w:r>
            <w:r>
              <w:t>35</w:t>
            </w:r>
          </w:p>
        </w:tc>
        <w:tc>
          <w:tcPr>
            <w:tcW w:w="2550" w:type="dxa"/>
            <w:tcBorders>
              <w:top w:val="outset" w:sz="6" w:space="0" w:color="auto"/>
              <w:left w:val="outset" w:sz="6" w:space="0" w:color="auto"/>
              <w:bottom w:val="outset" w:sz="6" w:space="0" w:color="auto"/>
              <w:right w:val="outset" w:sz="6" w:space="0" w:color="auto"/>
            </w:tcBorders>
            <w:vAlign w:val="center"/>
          </w:tcPr>
          <w:p w14:paraId="79497122" w14:textId="77777777" w:rsidR="005E000F" w:rsidRDefault="00000000">
            <w:pPr>
              <w:jc w:val="right"/>
            </w:pPr>
            <w:r>
              <w:t>131,262,922</w:t>
            </w:r>
          </w:p>
        </w:tc>
        <w:tc>
          <w:tcPr>
            <w:tcW w:w="2411" w:type="dxa"/>
            <w:tcBorders>
              <w:top w:val="outset" w:sz="6" w:space="0" w:color="auto"/>
              <w:left w:val="outset" w:sz="6" w:space="0" w:color="auto"/>
              <w:bottom w:val="outset" w:sz="6" w:space="0" w:color="auto"/>
              <w:right w:val="outset" w:sz="6" w:space="0" w:color="auto"/>
            </w:tcBorders>
            <w:vAlign w:val="center"/>
          </w:tcPr>
          <w:p w14:paraId="11860B42" w14:textId="77777777" w:rsidR="005E000F" w:rsidRDefault="00000000">
            <w:pPr>
              <w:jc w:val="right"/>
            </w:pPr>
            <w:r>
              <w:rPr>
                <w:rFonts w:hint="eastAsia"/>
              </w:rPr>
              <w:t>128,225,073</w:t>
            </w:r>
          </w:p>
        </w:tc>
      </w:tr>
      <w:tr w:rsidR="005E000F" w14:paraId="49C29CE6" w14:textId="77777777">
        <w:tc>
          <w:tcPr>
            <w:tcW w:w="2944" w:type="dxa"/>
            <w:tcBorders>
              <w:top w:val="outset" w:sz="6" w:space="0" w:color="auto"/>
              <w:left w:val="outset" w:sz="6" w:space="0" w:color="auto"/>
              <w:bottom w:val="outset" w:sz="6" w:space="0" w:color="auto"/>
              <w:right w:val="outset" w:sz="6" w:space="0" w:color="auto"/>
            </w:tcBorders>
            <w:vAlign w:val="center"/>
          </w:tcPr>
          <w:p w14:paraId="3A48AFBE" w14:textId="77777777" w:rsidR="005E000F" w:rsidRDefault="00000000">
            <w:pPr>
              <w:ind w:firstLineChars="100" w:firstLine="210"/>
              <w:rPr>
                <w:color w:val="000000" w:themeColor="text1"/>
              </w:rPr>
            </w:pPr>
            <w:r>
              <w:rPr>
                <w:rFonts w:hint="eastAsia"/>
                <w:color w:val="000000" w:themeColor="text1"/>
              </w:rPr>
              <w:t>应付账款</w:t>
            </w:r>
          </w:p>
        </w:tc>
        <w:tc>
          <w:tcPr>
            <w:tcW w:w="1133" w:type="dxa"/>
            <w:tcBorders>
              <w:top w:val="outset" w:sz="6" w:space="0" w:color="auto"/>
              <w:left w:val="outset" w:sz="6" w:space="0" w:color="auto"/>
              <w:bottom w:val="outset" w:sz="6" w:space="0" w:color="auto"/>
              <w:right w:val="outset" w:sz="6" w:space="0" w:color="auto"/>
            </w:tcBorders>
            <w:vAlign w:val="center"/>
          </w:tcPr>
          <w:p w14:paraId="118AF035" w14:textId="77777777" w:rsidR="005E000F" w:rsidRDefault="00000000">
            <w:r>
              <w:rPr>
                <w:rFonts w:hint="eastAsia"/>
              </w:rPr>
              <w:t>七、</w:t>
            </w:r>
            <w:r>
              <w:t>36</w:t>
            </w:r>
          </w:p>
        </w:tc>
        <w:tc>
          <w:tcPr>
            <w:tcW w:w="2550" w:type="dxa"/>
            <w:tcBorders>
              <w:top w:val="outset" w:sz="6" w:space="0" w:color="auto"/>
              <w:left w:val="outset" w:sz="6" w:space="0" w:color="auto"/>
              <w:bottom w:val="outset" w:sz="6" w:space="0" w:color="auto"/>
              <w:right w:val="outset" w:sz="6" w:space="0" w:color="auto"/>
            </w:tcBorders>
            <w:vAlign w:val="center"/>
          </w:tcPr>
          <w:p w14:paraId="1A2DCF1D" w14:textId="77777777" w:rsidR="005E000F" w:rsidRDefault="00000000">
            <w:pPr>
              <w:jc w:val="right"/>
            </w:pPr>
            <w:r>
              <w:t>5,138,916,834</w:t>
            </w:r>
          </w:p>
        </w:tc>
        <w:tc>
          <w:tcPr>
            <w:tcW w:w="2411" w:type="dxa"/>
            <w:tcBorders>
              <w:top w:val="outset" w:sz="6" w:space="0" w:color="auto"/>
              <w:left w:val="outset" w:sz="6" w:space="0" w:color="auto"/>
              <w:bottom w:val="outset" w:sz="6" w:space="0" w:color="auto"/>
              <w:right w:val="outset" w:sz="6" w:space="0" w:color="auto"/>
            </w:tcBorders>
            <w:vAlign w:val="center"/>
          </w:tcPr>
          <w:p w14:paraId="6A6F454D" w14:textId="77777777" w:rsidR="005E000F" w:rsidRDefault="00000000">
            <w:pPr>
              <w:jc w:val="right"/>
            </w:pPr>
            <w:r>
              <w:rPr>
                <w:rFonts w:hint="eastAsia"/>
              </w:rPr>
              <w:t>5,001,757,702</w:t>
            </w:r>
          </w:p>
        </w:tc>
      </w:tr>
      <w:tr w:rsidR="005E000F" w14:paraId="77438C61" w14:textId="77777777">
        <w:tc>
          <w:tcPr>
            <w:tcW w:w="2944" w:type="dxa"/>
            <w:tcBorders>
              <w:top w:val="outset" w:sz="6" w:space="0" w:color="auto"/>
              <w:left w:val="outset" w:sz="6" w:space="0" w:color="auto"/>
              <w:bottom w:val="outset" w:sz="6" w:space="0" w:color="auto"/>
              <w:right w:val="outset" w:sz="6" w:space="0" w:color="auto"/>
            </w:tcBorders>
            <w:vAlign w:val="center"/>
          </w:tcPr>
          <w:p w14:paraId="4A09FC0B" w14:textId="77777777" w:rsidR="005E000F" w:rsidRDefault="00000000">
            <w:pPr>
              <w:ind w:firstLineChars="100" w:firstLine="210"/>
              <w:rPr>
                <w:color w:val="000000" w:themeColor="text1"/>
              </w:rPr>
            </w:pPr>
            <w:r>
              <w:rPr>
                <w:rFonts w:hint="eastAsia"/>
                <w:color w:val="000000" w:themeColor="text1"/>
              </w:rPr>
              <w:t>预收款项</w:t>
            </w:r>
          </w:p>
        </w:tc>
        <w:tc>
          <w:tcPr>
            <w:tcW w:w="1133" w:type="dxa"/>
            <w:tcBorders>
              <w:top w:val="outset" w:sz="6" w:space="0" w:color="auto"/>
              <w:left w:val="outset" w:sz="6" w:space="0" w:color="auto"/>
              <w:bottom w:val="outset" w:sz="6" w:space="0" w:color="auto"/>
              <w:right w:val="outset" w:sz="6" w:space="0" w:color="auto"/>
            </w:tcBorders>
            <w:vAlign w:val="center"/>
          </w:tcPr>
          <w:p w14:paraId="7C171FB0" w14:textId="77777777" w:rsidR="005E000F" w:rsidRDefault="00000000">
            <w:r>
              <w:rPr>
                <w:rFonts w:hint="eastAsia"/>
              </w:rPr>
              <w:t>七、</w:t>
            </w:r>
            <w:r>
              <w:t>37</w:t>
            </w:r>
          </w:p>
        </w:tc>
        <w:tc>
          <w:tcPr>
            <w:tcW w:w="2550" w:type="dxa"/>
            <w:tcBorders>
              <w:top w:val="outset" w:sz="6" w:space="0" w:color="auto"/>
              <w:left w:val="outset" w:sz="6" w:space="0" w:color="auto"/>
              <w:bottom w:val="outset" w:sz="6" w:space="0" w:color="auto"/>
              <w:right w:val="outset" w:sz="6" w:space="0" w:color="auto"/>
            </w:tcBorders>
            <w:vAlign w:val="center"/>
          </w:tcPr>
          <w:p w14:paraId="1E27A025" w14:textId="77777777" w:rsidR="005E000F" w:rsidRDefault="00000000">
            <w:pPr>
              <w:jc w:val="right"/>
            </w:pPr>
            <w:r>
              <w:t>9,075,644</w:t>
            </w:r>
          </w:p>
        </w:tc>
        <w:tc>
          <w:tcPr>
            <w:tcW w:w="2411" w:type="dxa"/>
            <w:tcBorders>
              <w:top w:val="outset" w:sz="6" w:space="0" w:color="auto"/>
              <w:left w:val="outset" w:sz="6" w:space="0" w:color="auto"/>
              <w:bottom w:val="outset" w:sz="6" w:space="0" w:color="auto"/>
              <w:right w:val="outset" w:sz="6" w:space="0" w:color="auto"/>
            </w:tcBorders>
            <w:vAlign w:val="center"/>
          </w:tcPr>
          <w:p w14:paraId="713772FF" w14:textId="77777777" w:rsidR="005E000F" w:rsidRDefault="00000000">
            <w:pPr>
              <w:jc w:val="right"/>
            </w:pPr>
            <w:r>
              <w:rPr>
                <w:rFonts w:hint="eastAsia"/>
              </w:rPr>
              <w:t>9,549,615</w:t>
            </w:r>
          </w:p>
        </w:tc>
      </w:tr>
      <w:tr w:rsidR="005E000F" w14:paraId="23FEE680" w14:textId="77777777">
        <w:tc>
          <w:tcPr>
            <w:tcW w:w="2944" w:type="dxa"/>
            <w:tcBorders>
              <w:top w:val="outset" w:sz="6" w:space="0" w:color="auto"/>
              <w:left w:val="outset" w:sz="6" w:space="0" w:color="auto"/>
              <w:bottom w:val="outset" w:sz="6" w:space="0" w:color="auto"/>
              <w:right w:val="outset" w:sz="6" w:space="0" w:color="auto"/>
            </w:tcBorders>
            <w:vAlign w:val="center"/>
          </w:tcPr>
          <w:p w14:paraId="756D6D3B" w14:textId="77777777" w:rsidR="005E000F" w:rsidRDefault="00000000">
            <w:pPr>
              <w:ind w:firstLineChars="100" w:firstLine="210"/>
              <w:rPr>
                <w:color w:val="000000" w:themeColor="text1"/>
              </w:rPr>
            </w:pPr>
            <w:r>
              <w:rPr>
                <w:rFonts w:hint="eastAsia"/>
                <w:color w:val="000000" w:themeColor="text1"/>
              </w:rPr>
              <w:t>合同负债</w:t>
            </w:r>
          </w:p>
        </w:tc>
        <w:tc>
          <w:tcPr>
            <w:tcW w:w="1133" w:type="dxa"/>
            <w:tcBorders>
              <w:top w:val="outset" w:sz="6" w:space="0" w:color="auto"/>
              <w:left w:val="outset" w:sz="6" w:space="0" w:color="auto"/>
              <w:bottom w:val="outset" w:sz="6" w:space="0" w:color="auto"/>
              <w:right w:val="outset" w:sz="6" w:space="0" w:color="auto"/>
            </w:tcBorders>
            <w:vAlign w:val="center"/>
          </w:tcPr>
          <w:p w14:paraId="0204645A" w14:textId="77777777" w:rsidR="005E000F" w:rsidRDefault="00000000">
            <w:r>
              <w:rPr>
                <w:rFonts w:hint="eastAsia"/>
              </w:rPr>
              <w:t>七、</w:t>
            </w:r>
            <w:r>
              <w:t>38</w:t>
            </w:r>
          </w:p>
        </w:tc>
        <w:tc>
          <w:tcPr>
            <w:tcW w:w="2550" w:type="dxa"/>
            <w:tcBorders>
              <w:top w:val="outset" w:sz="6" w:space="0" w:color="auto"/>
              <w:left w:val="outset" w:sz="6" w:space="0" w:color="auto"/>
              <w:bottom w:val="outset" w:sz="6" w:space="0" w:color="auto"/>
              <w:right w:val="outset" w:sz="6" w:space="0" w:color="auto"/>
            </w:tcBorders>
            <w:vAlign w:val="center"/>
          </w:tcPr>
          <w:p w14:paraId="7D8A842B" w14:textId="77777777" w:rsidR="005E000F" w:rsidRDefault="00000000">
            <w:pPr>
              <w:jc w:val="right"/>
            </w:pPr>
            <w:r>
              <w:t>1,820,110,025</w:t>
            </w:r>
          </w:p>
        </w:tc>
        <w:tc>
          <w:tcPr>
            <w:tcW w:w="2411" w:type="dxa"/>
            <w:tcBorders>
              <w:top w:val="outset" w:sz="6" w:space="0" w:color="auto"/>
              <w:left w:val="outset" w:sz="6" w:space="0" w:color="auto"/>
              <w:bottom w:val="outset" w:sz="6" w:space="0" w:color="auto"/>
              <w:right w:val="outset" w:sz="6" w:space="0" w:color="auto"/>
            </w:tcBorders>
            <w:vAlign w:val="center"/>
          </w:tcPr>
          <w:p w14:paraId="45FD5DA9" w14:textId="77777777" w:rsidR="005E000F" w:rsidRDefault="00000000">
            <w:pPr>
              <w:jc w:val="right"/>
            </w:pPr>
            <w:r>
              <w:rPr>
                <w:rFonts w:hint="eastAsia"/>
              </w:rPr>
              <w:t>1,451,865,484</w:t>
            </w:r>
          </w:p>
        </w:tc>
      </w:tr>
      <w:tr w:rsidR="005E000F" w14:paraId="221F1833" w14:textId="77777777">
        <w:tc>
          <w:tcPr>
            <w:tcW w:w="2944" w:type="dxa"/>
            <w:tcBorders>
              <w:top w:val="outset" w:sz="6" w:space="0" w:color="auto"/>
              <w:left w:val="outset" w:sz="6" w:space="0" w:color="auto"/>
              <w:bottom w:val="outset" w:sz="6" w:space="0" w:color="auto"/>
              <w:right w:val="outset" w:sz="6" w:space="0" w:color="auto"/>
            </w:tcBorders>
            <w:vAlign w:val="center"/>
          </w:tcPr>
          <w:p w14:paraId="04DD88A2" w14:textId="77777777" w:rsidR="005E000F" w:rsidRDefault="00000000">
            <w:pPr>
              <w:ind w:firstLineChars="100" w:firstLine="210"/>
              <w:rPr>
                <w:color w:val="000000" w:themeColor="text1"/>
              </w:rPr>
            </w:pPr>
            <w:r>
              <w:rPr>
                <w:rFonts w:hint="eastAsia"/>
                <w:color w:val="000000" w:themeColor="text1"/>
              </w:rPr>
              <w:t>卖出回购金融资产款</w:t>
            </w:r>
          </w:p>
        </w:tc>
        <w:tc>
          <w:tcPr>
            <w:tcW w:w="1133" w:type="dxa"/>
            <w:tcBorders>
              <w:top w:val="outset" w:sz="6" w:space="0" w:color="auto"/>
              <w:left w:val="outset" w:sz="6" w:space="0" w:color="auto"/>
              <w:bottom w:val="outset" w:sz="6" w:space="0" w:color="auto"/>
              <w:right w:val="outset" w:sz="6" w:space="0" w:color="auto"/>
            </w:tcBorders>
            <w:vAlign w:val="center"/>
          </w:tcPr>
          <w:p w14:paraId="41CF50F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9612031"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E1CCE32" w14:textId="77777777" w:rsidR="005E000F" w:rsidRDefault="00000000">
            <w:pPr>
              <w:jc w:val="right"/>
            </w:pPr>
            <w:r>
              <w:rPr>
                <w:rFonts w:hint="eastAsia"/>
              </w:rPr>
              <w:t>0</w:t>
            </w:r>
          </w:p>
        </w:tc>
      </w:tr>
      <w:tr w:rsidR="005E000F" w14:paraId="13723A29" w14:textId="77777777">
        <w:tc>
          <w:tcPr>
            <w:tcW w:w="2944" w:type="dxa"/>
            <w:tcBorders>
              <w:top w:val="outset" w:sz="6" w:space="0" w:color="auto"/>
              <w:left w:val="outset" w:sz="6" w:space="0" w:color="auto"/>
              <w:bottom w:val="outset" w:sz="6" w:space="0" w:color="auto"/>
              <w:right w:val="outset" w:sz="6" w:space="0" w:color="auto"/>
            </w:tcBorders>
            <w:vAlign w:val="center"/>
          </w:tcPr>
          <w:p w14:paraId="1DF033AC" w14:textId="77777777" w:rsidR="005E000F" w:rsidRDefault="00000000">
            <w:pPr>
              <w:ind w:firstLineChars="100" w:firstLine="210"/>
              <w:rPr>
                <w:color w:val="000000" w:themeColor="text1"/>
              </w:rPr>
            </w:pPr>
            <w:r>
              <w:rPr>
                <w:rFonts w:hint="eastAsia"/>
                <w:color w:val="000000" w:themeColor="text1"/>
              </w:rPr>
              <w:t>吸收存款及同业存放</w:t>
            </w:r>
          </w:p>
        </w:tc>
        <w:tc>
          <w:tcPr>
            <w:tcW w:w="1133" w:type="dxa"/>
            <w:tcBorders>
              <w:top w:val="outset" w:sz="6" w:space="0" w:color="auto"/>
              <w:left w:val="outset" w:sz="6" w:space="0" w:color="auto"/>
              <w:bottom w:val="outset" w:sz="6" w:space="0" w:color="auto"/>
              <w:right w:val="outset" w:sz="6" w:space="0" w:color="auto"/>
            </w:tcBorders>
            <w:vAlign w:val="center"/>
          </w:tcPr>
          <w:p w14:paraId="22FB0A7A"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3CDBE9E"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7167423" w14:textId="77777777" w:rsidR="005E000F" w:rsidRDefault="00000000">
            <w:pPr>
              <w:jc w:val="right"/>
            </w:pPr>
            <w:r>
              <w:rPr>
                <w:rFonts w:hint="eastAsia"/>
              </w:rPr>
              <w:t>0</w:t>
            </w:r>
          </w:p>
        </w:tc>
      </w:tr>
      <w:tr w:rsidR="005E000F" w14:paraId="6C51EF75" w14:textId="77777777">
        <w:tc>
          <w:tcPr>
            <w:tcW w:w="2944" w:type="dxa"/>
            <w:tcBorders>
              <w:top w:val="outset" w:sz="6" w:space="0" w:color="auto"/>
              <w:left w:val="outset" w:sz="6" w:space="0" w:color="auto"/>
              <w:bottom w:val="outset" w:sz="6" w:space="0" w:color="auto"/>
              <w:right w:val="outset" w:sz="6" w:space="0" w:color="auto"/>
            </w:tcBorders>
            <w:vAlign w:val="center"/>
          </w:tcPr>
          <w:p w14:paraId="202DE966" w14:textId="77777777" w:rsidR="005E000F" w:rsidRDefault="00000000">
            <w:pPr>
              <w:ind w:firstLineChars="100" w:firstLine="210"/>
              <w:rPr>
                <w:color w:val="000000" w:themeColor="text1"/>
              </w:rPr>
            </w:pPr>
            <w:r>
              <w:rPr>
                <w:rFonts w:hint="eastAsia"/>
                <w:color w:val="000000" w:themeColor="text1"/>
              </w:rPr>
              <w:t>代理买卖证券款</w:t>
            </w:r>
          </w:p>
        </w:tc>
        <w:tc>
          <w:tcPr>
            <w:tcW w:w="1133" w:type="dxa"/>
            <w:tcBorders>
              <w:top w:val="outset" w:sz="6" w:space="0" w:color="auto"/>
              <w:left w:val="outset" w:sz="6" w:space="0" w:color="auto"/>
              <w:bottom w:val="outset" w:sz="6" w:space="0" w:color="auto"/>
              <w:right w:val="outset" w:sz="6" w:space="0" w:color="auto"/>
            </w:tcBorders>
            <w:vAlign w:val="center"/>
          </w:tcPr>
          <w:p w14:paraId="1C5FB1DE"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E3753E3"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B99F4D2" w14:textId="77777777" w:rsidR="005E000F" w:rsidRDefault="00000000">
            <w:pPr>
              <w:jc w:val="right"/>
            </w:pPr>
            <w:r>
              <w:rPr>
                <w:rFonts w:hint="eastAsia"/>
              </w:rPr>
              <w:t>0</w:t>
            </w:r>
          </w:p>
        </w:tc>
      </w:tr>
      <w:tr w:rsidR="005E000F" w14:paraId="592A1B15" w14:textId="77777777">
        <w:tc>
          <w:tcPr>
            <w:tcW w:w="2944" w:type="dxa"/>
            <w:tcBorders>
              <w:top w:val="outset" w:sz="6" w:space="0" w:color="auto"/>
              <w:left w:val="outset" w:sz="6" w:space="0" w:color="auto"/>
              <w:bottom w:val="outset" w:sz="6" w:space="0" w:color="auto"/>
              <w:right w:val="outset" w:sz="6" w:space="0" w:color="auto"/>
            </w:tcBorders>
            <w:vAlign w:val="center"/>
          </w:tcPr>
          <w:p w14:paraId="1E5C4D2C" w14:textId="77777777" w:rsidR="005E000F" w:rsidRDefault="00000000">
            <w:pPr>
              <w:ind w:firstLineChars="100" w:firstLine="210"/>
              <w:rPr>
                <w:color w:val="000000" w:themeColor="text1"/>
              </w:rPr>
            </w:pPr>
            <w:r>
              <w:rPr>
                <w:rFonts w:hint="eastAsia"/>
                <w:color w:val="000000" w:themeColor="text1"/>
              </w:rPr>
              <w:t>代理承销证券款</w:t>
            </w:r>
          </w:p>
        </w:tc>
        <w:tc>
          <w:tcPr>
            <w:tcW w:w="1133" w:type="dxa"/>
            <w:tcBorders>
              <w:top w:val="outset" w:sz="6" w:space="0" w:color="auto"/>
              <w:left w:val="outset" w:sz="6" w:space="0" w:color="auto"/>
              <w:bottom w:val="outset" w:sz="6" w:space="0" w:color="auto"/>
              <w:right w:val="outset" w:sz="6" w:space="0" w:color="auto"/>
            </w:tcBorders>
            <w:vAlign w:val="center"/>
          </w:tcPr>
          <w:p w14:paraId="5609599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FBED012"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64110B1" w14:textId="77777777" w:rsidR="005E000F" w:rsidRDefault="00000000">
            <w:pPr>
              <w:jc w:val="right"/>
            </w:pPr>
            <w:r>
              <w:rPr>
                <w:rFonts w:hint="eastAsia"/>
              </w:rPr>
              <w:t>0</w:t>
            </w:r>
          </w:p>
        </w:tc>
      </w:tr>
      <w:tr w:rsidR="005E000F" w14:paraId="48FD859F" w14:textId="77777777">
        <w:tc>
          <w:tcPr>
            <w:tcW w:w="2944" w:type="dxa"/>
            <w:tcBorders>
              <w:top w:val="outset" w:sz="6" w:space="0" w:color="auto"/>
              <w:left w:val="outset" w:sz="6" w:space="0" w:color="auto"/>
              <w:bottom w:val="outset" w:sz="6" w:space="0" w:color="auto"/>
              <w:right w:val="outset" w:sz="6" w:space="0" w:color="auto"/>
            </w:tcBorders>
            <w:vAlign w:val="center"/>
          </w:tcPr>
          <w:p w14:paraId="3F5DEB17" w14:textId="77777777" w:rsidR="005E000F" w:rsidRDefault="00000000">
            <w:pPr>
              <w:ind w:firstLineChars="100" w:firstLine="210"/>
              <w:rPr>
                <w:color w:val="000000" w:themeColor="text1"/>
              </w:rPr>
            </w:pPr>
            <w:r>
              <w:rPr>
                <w:rFonts w:hint="eastAsia"/>
                <w:color w:val="000000" w:themeColor="text1"/>
              </w:rPr>
              <w:t>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1110B1DE" w14:textId="77777777" w:rsidR="005E000F" w:rsidRDefault="00000000">
            <w:r>
              <w:rPr>
                <w:rFonts w:hint="eastAsia"/>
              </w:rPr>
              <w:t>七、</w:t>
            </w:r>
            <w:r>
              <w:t>39</w:t>
            </w:r>
          </w:p>
        </w:tc>
        <w:tc>
          <w:tcPr>
            <w:tcW w:w="2550" w:type="dxa"/>
            <w:tcBorders>
              <w:top w:val="outset" w:sz="6" w:space="0" w:color="auto"/>
              <w:left w:val="outset" w:sz="6" w:space="0" w:color="auto"/>
              <w:bottom w:val="outset" w:sz="6" w:space="0" w:color="auto"/>
              <w:right w:val="outset" w:sz="6" w:space="0" w:color="auto"/>
            </w:tcBorders>
            <w:vAlign w:val="center"/>
          </w:tcPr>
          <w:p w14:paraId="48844353" w14:textId="77777777" w:rsidR="005E000F" w:rsidRDefault="00000000">
            <w:pPr>
              <w:jc w:val="right"/>
            </w:pPr>
            <w:r>
              <w:t>1,971,191,597</w:t>
            </w:r>
          </w:p>
        </w:tc>
        <w:tc>
          <w:tcPr>
            <w:tcW w:w="2411" w:type="dxa"/>
            <w:tcBorders>
              <w:top w:val="outset" w:sz="6" w:space="0" w:color="auto"/>
              <w:left w:val="outset" w:sz="6" w:space="0" w:color="auto"/>
              <w:bottom w:val="outset" w:sz="6" w:space="0" w:color="auto"/>
              <w:right w:val="outset" w:sz="6" w:space="0" w:color="auto"/>
            </w:tcBorders>
            <w:vAlign w:val="center"/>
          </w:tcPr>
          <w:p w14:paraId="1517B167" w14:textId="77777777" w:rsidR="005E000F" w:rsidRDefault="00000000">
            <w:pPr>
              <w:jc w:val="right"/>
            </w:pPr>
            <w:r>
              <w:rPr>
                <w:rFonts w:hint="eastAsia"/>
              </w:rPr>
              <w:t>1,709,947,501</w:t>
            </w:r>
          </w:p>
        </w:tc>
      </w:tr>
      <w:tr w:rsidR="005E000F" w14:paraId="44A682F4" w14:textId="77777777">
        <w:tc>
          <w:tcPr>
            <w:tcW w:w="2944" w:type="dxa"/>
            <w:tcBorders>
              <w:top w:val="outset" w:sz="6" w:space="0" w:color="auto"/>
              <w:left w:val="outset" w:sz="6" w:space="0" w:color="auto"/>
              <w:bottom w:val="outset" w:sz="6" w:space="0" w:color="auto"/>
              <w:right w:val="outset" w:sz="6" w:space="0" w:color="auto"/>
            </w:tcBorders>
            <w:vAlign w:val="center"/>
          </w:tcPr>
          <w:p w14:paraId="40FC105C" w14:textId="77777777" w:rsidR="005E000F" w:rsidRDefault="00000000">
            <w:pPr>
              <w:ind w:firstLineChars="100" w:firstLine="210"/>
              <w:rPr>
                <w:color w:val="000000" w:themeColor="text1"/>
              </w:rPr>
            </w:pPr>
            <w:r>
              <w:rPr>
                <w:rFonts w:hint="eastAsia"/>
                <w:color w:val="000000" w:themeColor="text1"/>
              </w:rPr>
              <w:t>应交税费</w:t>
            </w:r>
          </w:p>
        </w:tc>
        <w:tc>
          <w:tcPr>
            <w:tcW w:w="1133" w:type="dxa"/>
            <w:tcBorders>
              <w:top w:val="outset" w:sz="6" w:space="0" w:color="auto"/>
              <w:left w:val="outset" w:sz="6" w:space="0" w:color="auto"/>
              <w:bottom w:val="outset" w:sz="6" w:space="0" w:color="auto"/>
              <w:right w:val="outset" w:sz="6" w:space="0" w:color="auto"/>
            </w:tcBorders>
            <w:vAlign w:val="center"/>
          </w:tcPr>
          <w:p w14:paraId="210C6CF8" w14:textId="77777777" w:rsidR="005E000F" w:rsidRDefault="00000000">
            <w:r>
              <w:rPr>
                <w:rFonts w:hint="eastAsia"/>
              </w:rPr>
              <w:t>七、</w:t>
            </w:r>
            <w:r>
              <w:t>40</w:t>
            </w:r>
          </w:p>
        </w:tc>
        <w:tc>
          <w:tcPr>
            <w:tcW w:w="2550" w:type="dxa"/>
            <w:tcBorders>
              <w:top w:val="outset" w:sz="6" w:space="0" w:color="auto"/>
              <w:left w:val="outset" w:sz="6" w:space="0" w:color="auto"/>
              <w:bottom w:val="outset" w:sz="6" w:space="0" w:color="auto"/>
              <w:right w:val="outset" w:sz="6" w:space="0" w:color="auto"/>
            </w:tcBorders>
            <w:vAlign w:val="center"/>
          </w:tcPr>
          <w:p w14:paraId="74BD2DDF" w14:textId="77777777" w:rsidR="005E000F" w:rsidRDefault="00000000">
            <w:pPr>
              <w:jc w:val="right"/>
            </w:pPr>
            <w:r>
              <w:t>1,104,533,015</w:t>
            </w:r>
          </w:p>
        </w:tc>
        <w:tc>
          <w:tcPr>
            <w:tcW w:w="2411" w:type="dxa"/>
            <w:tcBorders>
              <w:top w:val="outset" w:sz="6" w:space="0" w:color="auto"/>
              <w:left w:val="outset" w:sz="6" w:space="0" w:color="auto"/>
              <w:bottom w:val="outset" w:sz="6" w:space="0" w:color="auto"/>
              <w:right w:val="outset" w:sz="6" w:space="0" w:color="auto"/>
            </w:tcBorders>
            <w:vAlign w:val="center"/>
          </w:tcPr>
          <w:p w14:paraId="1895C4AB" w14:textId="77777777" w:rsidR="005E000F" w:rsidRDefault="00000000">
            <w:pPr>
              <w:jc w:val="right"/>
            </w:pPr>
            <w:r>
              <w:rPr>
                <w:rFonts w:hint="eastAsia"/>
              </w:rPr>
              <w:t>689,855,659</w:t>
            </w:r>
          </w:p>
        </w:tc>
      </w:tr>
      <w:tr w:rsidR="005E000F" w14:paraId="3155A573" w14:textId="77777777">
        <w:tc>
          <w:tcPr>
            <w:tcW w:w="2944" w:type="dxa"/>
            <w:tcBorders>
              <w:top w:val="outset" w:sz="6" w:space="0" w:color="auto"/>
              <w:left w:val="outset" w:sz="6" w:space="0" w:color="auto"/>
              <w:bottom w:val="outset" w:sz="6" w:space="0" w:color="auto"/>
              <w:right w:val="outset" w:sz="6" w:space="0" w:color="auto"/>
            </w:tcBorders>
            <w:vAlign w:val="center"/>
          </w:tcPr>
          <w:p w14:paraId="42FA9246" w14:textId="77777777" w:rsidR="005E000F" w:rsidRDefault="00000000">
            <w:pPr>
              <w:ind w:firstLineChars="100" w:firstLine="210"/>
              <w:rPr>
                <w:color w:val="000000" w:themeColor="text1"/>
              </w:rPr>
            </w:pPr>
            <w:r>
              <w:rPr>
                <w:rFonts w:hint="eastAsia"/>
                <w:color w:val="000000" w:themeColor="text1"/>
              </w:rPr>
              <w:t>其他应付款</w:t>
            </w:r>
          </w:p>
        </w:tc>
        <w:tc>
          <w:tcPr>
            <w:tcW w:w="1133" w:type="dxa"/>
            <w:tcBorders>
              <w:top w:val="outset" w:sz="6" w:space="0" w:color="auto"/>
              <w:left w:val="outset" w:sz="6" w:space="0" w:color="auto"/>
              <w:bottom w:val="outset" w:sz="6" w:space="0" w:color="auto"/>
              <w:right w:val="outset" w:sz="6" w:space="0" w:color="auto"/>
            </w:tcBorders>
            <w:vAlign w:val="center"/>
          </w:tcPr>
          <w:p w14:paraId="21CA53C9" w14:textId="77777777" w:rsidR="005E000F" w:rsidRDefault="00000000">
            <w:r>
              <w:rPr>
                <w:rFonts w:hint="eastAsia"/>
              </w:rPr>
              <w:t>七、</w:t>
            </w:r>
            <w:r>
              <w:t>41</w:t>
            </w:r>
          </w:p>
        </w:tc>
        <w:tc>
          <w:tcPr>
            <w:tcW w:w="2550" w:type="dxa"/>
            <w:tcBorders>
              <w:top w:val="outset" w:sz="6" w:space="0" w:color="auto"/>
              <w:left w:val="outset" w:sz="6" w:space="0" w:color="auto"/>
              <w:bottom w:val="outset" w:sz="6" w:space="0" w:color="auto"/>
              <w:right w:val="outset" w:sz="6" w:space="0" w:color="auto"/>
            </w:tcBorders>
            <w:vAlign w:val="center"/>
          </w:tcPr>
          <w:p w14:paraId="69FCFD04" w14:textId="77777777" w:rsidR="005E000F" w:rsidRDefault="00000000">
            <w:pPr>
              <w:jc w:val="right"/>
            </w:pPr>
            <w:r>
              <w:t>4,461,623,443</w:t>
            </w:r>
          </w:p>
        </w:tc>
        <w:tc>
          <w:tcPr>
            <w:tcW w:w="2411" w:type="dxa"/>
            <w:tcBorders>
              <w:top w:val="outset" w:sz="6" w:space="0" w:color="auto"/>
              <w:left w:val="outset" w:sz="6" w:space="0" w:color="auto"/>
              <w:bottom w:val="outset" w:sz="6" w:space="0" w:color="auto"/>
              <w:right w:val="outset" w:sz="6" w:space="0" w:color="auto"/>
            </w:tcBorders>
            <w:vAlign w:val="center"/>
          </w:tcPr>
          <w:p w14:paraId="298368BB" w14:textId="77777777" w:rsidR="005E000F" w:rsidRDefault="00000000">
            <w:pPr>
              <w:jc w:val="right"/>
            </w:pPr>
            <w:r>
              <w:rPr>
                <w:rFonts w:hint="eastAsia"/>
              </w:rPr>
              <w:t>4,138,750,892</w:t>
            </w:r>
          </w:p>
        </w:tc>
      </w:tr>
      <w:tr w:rsidR="005E000F" w14:paraId="7B127514" w14:textId="77777777">
        <w:tc>
          <w:tcPr>
            <w:tcW w:w="2944" w:type="dxa"/>
            <w:tcBorders>
              <w:top w:val="outset" w:sz="6" w:space="0" w:color="auto"/>
              <w:left w:val="outset" w:sz="6" w:space="0" w:color="auto"/>
              <w:bottom w:val="outset" w:sz="6" w:space="0" w:color="auto"/>
              <w:right w:val="outset" w:sz="6" w:space="0" w:color="auto"/>
            </w:tcBorders>
            <w:vAlign w:val="center"/>
          </w:tcPr>
          <w:p w14:paraId="3DB90C9C" w14:textId="77777777" w:rsidR="005E000F" w:rsidRDefault="00000000">
            <w:pPr>
              <w:ind w:firstLineChars="100" w:firstLine="210"/>
              <w:rPr>
                <w:color w:val="000000" w:themeColor="text1"/>
              </w:rPr>
            </w:pPr>
            <w:r>
              <w:rPr>
                <w:rFonts w:hint="eastAsia"/>
                <w:color w:val="000000" w:themeColor="text1"/>
              </w:rPr>
              <w:t>其中：应付利息</w:t>
            </w:r>
          </w:p>
        </w:tc>
        <w:tc>
          <w:tcPr>
            <w:tcW w:w="1133" w:type="dxa"/>
            <w:tcBorders>
              <w:top w:val="outset" w:sz="6" w:space="0" w:color="auto"/>
              <w:left w:val="outset" w:sz="6" w:space="0" w:color="auto"/>
              <w:bottom w:val="outset" w:sz="6" w:space="0" w:color="auto"/>
              <w:right w:val="outset" w:sz="6" w:space="0" w:color="auto"/>
            </w:tcBorders>
            <w:vAlign w:val="center"/>
          </w:tcPr>
          <w:p w14:paraId="7F25A2B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1E07C2E"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7C08DCFB" w14:textId="77777777" w:rsidR="005E000F" w:rsidRDefault="00000000">
            <w:pPr>
              <w:jc w:val="right"/>
            </w:pPr>
            <w:r>
              <w:rPr>
                <w:rFonts w:hint="eastAsia"/>
              </w:rPr>
              <w:t>0</w:t>
            </w:r>
          </w:p>
        </w:tc>
      </w:tr>
      <w:tr w:rsidR="005E000F" w14:paraId="4DBF5637" w14:textId="77777777">
        <w:tc>
          <w:tcPr>
            <w:tcW w:w="2944" w:type="dxa"/>
            <w:tcBorders>
              <w:top w:val="outset" w:sz="6" w:space="0" w:color="auto"/>
              <w:left w:val="outset" w:sz="6" w:space="0" w:color="auto"/>
              <w:bottom w:val="outset" w:sz="6" w:space="0" w:color="auto"/>
              <w:right w:val="outset" w:sz="6" w:space="0" w:color="auto"/>
            </w:tcBorders>
            <w:vAlign w:val="center"/>
          </w:tcPr>
          <w:p w14:paraId="0E226FB0" w14:textId="77777777" w:rsidR="005E000F" w:rsidRDefault="00000000">
            <w:pPr>
              <w:ind w:firstLineChars="400" w:firstLine="840"/>
              <w:rPr>
                <w:color w:val="000000" w:themeColor="text1"/>
              </w:rPr>
            </w:pPr>
            <w:r>
              <w:rPr>
                <w:rFonts w:hint="eastAsia"/>
                <w:color w:val="000000" w:themeColor="text1"/>
              </w:rPr>
              <w:t>应付股利</w:t>
            </w:r>
          </w:p>
        </w:tc>
        <w:tc>
          <w:tcPr>
            <w:tcW w:w="1133" w:type="dxa"/>
            <w:tcBorders>
              <w:top w:val="outset" w:sz="6" w:space="0" w:color="auto"/>
              <w:left w:val="outset" w:sz="6" w:space="0" w:color="auto"/>
              <w:bottom w:val="outset" w:sz="6" w:space="0" w:color="auto"/>
              <w:right w:val="outset" w:sz="6" w:space="0" w:color="auto"/>
            </w:tcBorders>
            <w:vAlign w:val="center"/>
          </w:tcPr>
          <w:p w14:paraId="5A236A4F"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BB23B75" w14:textId="77777777" w:rsidR="005E000F" w:rsidRDefault="00000000">
            <w:pPr>
              <w:jc w:val="right"/>
            </w:pPr>
            <w:r>
              <w:t>95,876,561</w:t>
            </w:r>
          </w:p>
        </w:tc>
        <w:tc>
          <w:tcPr>
            <w:tcW w:w="2411" w:type="dxa"/>
            <w:tcBorders>
              <w:top w:val="outset" w:sz="6" w:space="0" w:color="auto"/>
              <w:left w:val="outset" w:sz="6" w:space="0" w:color="auto"/>
              <w:bottom w:val="outset" w:sz="6" w:space="0" w:color="auto"/>
              <w:right w:val="outset" w:sz="6" w:space="0" w:color="auto"/>
            </w:tcBorders>
            <w:vAlign w:val="center"/>
          </w:tcPr>
          <w:p w14:paraId="1F9FBA6B" w14:textId="77777777" w:rsidR="005E000F" w:rsidRDefault="00000000">
            <w:pPr>
              <w:jc w:val="right"/>
            </w:pPr>
            <w:r>
              <w:rPr>
                <w:rFonts w:hint="eastAsia"/>
              </w:rPr>
              <w:t>121,207,654</w:t>
            </w:r>
          </w:p>
        </w:tc>
      </w:tr>
      <w:tr w:rsidR="005E000F" w14:paraId="60704A93" w14:textId="77777777">
        <w:tc>
          <w:tcPr>
            <w:tcW w:w="2944" w:type="dxa"/>
            <w:tcBorders>
              <w:top w:val="outset" w:sz="6" w:space="0" w:color="auto"/>
              <w:left w:val="outset" w:sz="6" w:space="0" w:color="auto"/>
              <w:bottom w:val="outset" w:sz="6" w:space="0" w:color="auto"/>
              <w:right w:val="outset" w:sz="6" w:space="0" w:color="auto"/>
            </w:tcBorders>
            <w:vAlign w:val="center"/>
          </w:tcPr>
          <w:p w14:paraId="405B506D" w14:textId="77777777" w:rsidR="005E000F" w:rsidRDefault="00000000">
            <w:pPr>
              <w:ind w:firstLineChars="100" w:firstLine="210"/>
              <w:rPr>
                <w:color w:val="000000" w:themeColor="text1"/>
              </w:rPr>
            </w:pPr>
            <w:r>
              <w:rPr>
                <w:rFonts w:hint="eastAsia"/>
                <w:color w:val="000000" w:themeColor="text1"/>
              </w:rPr>
              <w:t>应付手续费及佣金</w:t>
            </w:r>
          </w:p>
        </w:tc>
        <w:tc>
          <w:tcPr>
            <w:tcW w:w="1133" w:type="dxa"/>
            <w:tcBorders>
              <w:top w:val="outset" w:sz="6" w:space="0" w:color="auto"/>
              <w:left w:val="outset" w:sz="6" w:space="0" w:color="auto"/>
              <w:bottom w:val="outset" w:sz="6" w:space="0" w:color="auto"/>
              <w:right w:val="outset" w:sz="6" w:space="0" w:color="auto"/>
            </w:tcBorders>
            <w:vAlign w:val="center"/>
          </w:tcPr>
          <w:p w14:paraId="0A29344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9C730A0"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9A16A1B" w14:textId="77777777" w:rsidR="005E000F" w:rsidRDefault="00000000">
            <w:pPr>
              <w:jc w:val="right"/>
            </w:pPr>
            <w:r>
              <w:rPr>
                <w:rFonts w:hint="eastAsia"/>
              </w:rPr>
              <w:t>0</w:t>
            </w:r>
          </w:p>
        </w:tc>
      </w:tr>
      <w:tr w:rsidR="005E000F" w14:paraId="0F6069FD" w14:textId="77777777">
        <w:tc>
          <w:tcPr>
            <w:tcW w:w="2944" w:type="dxa"/>
            <w:tcBorders>
              <w:top w:val="outset" w:sz="6" w:space="0" w:color="auto"/>
              <w:left w:val="outset" w:sz="6" w:space="0" w:color="auto"/>
              <w:bottom w:val="outset" w:sz="6" w:space="0" w:color="auto"/>
              <w:right w:val="outset" w:sz="6" w:space="0" w:color="auto"/>
            </w:tcBorders>
            <w:vAlign w:val="center"/>
          </w:tcPr>
          <w:p w14:paraId="4EE9CF28" w14:textId="77777777" w:rsidR="005E000F" w:rsidRDefault="00000000">
            <w:pPr>
              <w:ind w:firstLineChars="100" w:firstLine="210"/>
              <w:rPr>
                <w:color w:val="000000" w:themeColor="text1"/>
              </w:rPr>
            </w:pPr>
            <w:r>
              <w:rPr>
                <w:rFonts w:hint="eastAsia"/>
                <w:color w:val="000000" w:themeColor="text1"/>
              </w:rPr>
              <w:t>应付分保账款</w:t>
            </w:r>
          </w:p>
        </w:tc>
        <w:tc>
          <w:tcPr>
            <w:tcW w:w="1133" w:type="dxa"/>
            <w:tcBorders>
              <w:top w:val="outset" w:sz="6" w:space="0" w:color="auto"/>
              <w:left w:val="outset" w:sz="6" w:space="0" w:color="auto"/>
              <w:bottom w:val="outset" w:sz="6" w:space="0" w:color="auto"/>
              <w:right w:val="outset" w:sz="6" w:space="0" w:color="auto"/>
            </w:tcBorders>
            <w:vAlign w:val="center"/>
          </w:tcPr>
          <w:p w14:paraId="7ABCFEA1"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F81632B"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61C64C0D" w14:textId="77777777" w:rsidR="005E000F" w:rsidRDefault="00000000">
            <w:pPr>
              <w:jc w:val="right"/>
            </w:pPr>
            <w:r>
              <w:rPr>
                <w:rFonts w:hint="eastAsia"/>
              </w:rPr>
              <w:t>0</w:t>
            </w:r>
          </w:p>
        </w:tc>
      </w:tr>
      <w:tr w:rsidR="005E000F" w14:paraId="6996B5B0" w14:textId="77777777">
        <w:tc>
          <w:tcPr>
            <w:tcW w:w="2944" w:type="dxa"/>
            <w:tcBorders>
              <w:top w:val="outset" w:sz="6" w:space="0" w:color="auto"/>
              <w:left w:val="outset" w:sz="6" w:space="0" w:color="auto"/>
              <w:bottom w:val="outset" w:sz="6" w:space="0" w:color="auto"/>
              <w:right w:val="outset" w:sz="6" w:space="0" w:color="auto"/>
            </w:tcBorders>
            <w:vAlign w:val="center"/>
          </w:tcPr>
          <w:p w14:paraId="00CECB88" w14:textId="77777777" w:rsidR="005E000F" w:rsidRDefault="00000000">
            <w:pPr>
              <w:ind w:firstLineChars="100" w:firstLine="210"/>
              <w:rPr>
                <w:color w:val="000000" w:themeColor="text1"/>
              </w:rPr>
            </w:pPr>
            <w:r>
              <w:rPr>
                <w:rFonts w:hint="eastAsia"/>
                <w:color w:val="000000" w:themeColor="text1"/>
              </w:rPr>
              <w:t>持有待售负债</w:t>
            </w:r>
          </w:p>
        </w:tc>
        <w:tc>
          <w:tcPr>
            <w:tcW w:w="1133" w:type="dxa"/>
            <w:tcBorders>
              <w:top w:val="outset" w:sz="6" w:space="0" w:color="auto"/>
              <w:left w:val="outset" w:sz="6" w:space="0" w:color="auto"/>
              <w:bottom w:val="outset" w:sz="6" w:space="0" w:color="auto"/>
              <w:right w:val="outset" w:sz="6" w:space="0" w:color="auto"/>
            </w:tcBorders>
            <w:vAlign w:val="center"/>
          </w:tcPr>
          <w:p w14:paraId="1862D1D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219BA45"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00BA3C6" w14:textId="77777777" w:rsidR="005E000F" w:rsidRDefault="00000000">
            <w:pPr>
              <w:jc w:val="right"/>
            </w:pPr>
            <w:r>
              <w:rPr>
                <w:rFonts w:hint="eastAsia"/>
              </w:rPr>
              <w:t>0</w:t>
            </w:r>
          </w:p>
        </w:tc>
      </w:tr>
      <w:tr w:rsidR="005E000F" w14:paraId="6D0027DF" w14:textId="77777777">
        <w:tc>
          <w:tcPr>
            <w:tcW w:w="2944" w:type="dxa"/>
            <w:tcBorders>
              <w:top w:val="outset" w:sz="6" w:space="0" w:color="auto"/>
              <w:left w:val="outset" w:sz="6" w:space="0" w:color="auto"/>
              <w:bottom w:val="outset" w:sz="6" w:space="0" w:color="auto"/>
              <w:right w:val="outset" w:sz="6" w:space="0" w:color="auto"/>
            </w:tcBorders>
            <w:vAlign w:val="center"/>
          </w:tcPr>
          <w:p w14:paraId="55C4FF7F" w14:textId="77777777" w:rsidR="005E000F" w:rsidRDefault="00000000">
            <w:pPr>
              <w:ind w:firstLineChars="100" w:firstLine="210"/>
              <w:rPr>
                <w:color w:val="000000" w:themeColor="text1"/>
              </w:rPr>
            </w:pPr>
            <w:r>
              <w:rPr>
                <w:rFonts w:hint="eastAsia"/>
                <w:color w:val="000000" w:themeColor="text1"/>
              </w:rPr>
              <w:t>一年内到期的非流动负债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018A8DD2" w14:textId="77777777" w:rsidR="005E000F" w:rsidRDefault="00000000">
            <w:r>
              <w:rPr>
                <w:rFonts w:hint="eastAsia"/>
              </w:rPr>
              <w:t>七、</w:t>
            </w:r>
            <w:r>
              <w:t>43</w:t>
            </w:r>
          </w:p>
        </w:tc>
        <w:tc>
          <w:tcPr>
            <w:tcW w:w="2550" w:type="dxa"/>
            <w:tcBorders>
              <w:top w:val="outset" w:sz="6" w:space="0" w:color="auto"/>
              <w:left w:val="outset" w:sz="6" w:space="0" w:color="auto"/>
              <w:bottom w:val="outset" w:sz="6" w:space="0" w:color="auto"/>
              <w:right w:val="outset" w:sz="6" w:space="0" w:color="auto"/>
            </w:tcBorders>
            <w:vAlign w:val="center"/>
          </w:tcPr>
          <w:p w14:paraId="3B6F6D3B" w14:textId="77777777" w:rsidR="005E000F" w:rsidRDefault="00000000">
            <w:pPr>
              <w:jc w:val="right"/>
            </w:pPr>
            <w:r>
              <w:t>1,372,082,993</w:t>
            </w:r>
          </w:p>
        </w:tc>
        <w:tc>
          <w:tcPr>
            <w:tcW w:w="2411" w:type="dxa"/>
            <w:tcBorders>
              <w:top w:val="outset" w:sz="6" w:space="0" w:color="auto"/>
              <w:left w:val="outset" w:sz="6" w:space="0" w:color="auto"/>
              <w:bottom w:val="outset" w:sz="6" w:space="0" w:color="auto"/>
              <w:right w:val="outset" w:sz="6" w:space="0" w:color="auto"/>
            </w:tcBorders>
            <w:vAlign w:val="center"/>
          </w:tcPr>
          <w:p w14:paraId="3CBE5643" w14:textId="77777777" w:rsidR="005E000F" w:rsidRDefault="00000000">
            <w:pPr>
              <w:jc w:val="right"/>
            </w:pPr>
            <w:r>
              <w:rPr>
                <w:rFonts w:hint="eastAsia"/>
              </w:rPr>
              <w:t>1,796,465,913</w:t>
            </w:r>
          </w:p>
        </w:tc>
      </w:tr>
      <w:tr w:rsidR="005E000F" w14:paraId="4DCDDEE3" w14:textId="77777777">
        <w:tc>
          <w:tcPr>
            <w:tcW w:w="2944" w:type="dxa"/>
            <w:tcBorders>
              <w:top w:val="outset" w:sz="6" w:space="0" w:color="auto"/>
              <w:left w:val="outset" w:sz="6" w:space="0" w:color="auto"/>
              <w:bottom w:val="outset" w:sz="6" w:space="0" w:color="auto"/>
              <w:right w:val="outset" w:sz="6" w:space="0" w:color="auto"/>
            </w:tcBorders>
            <w:vAlign w:val="center"/>
          </w:tcPr>
          <w:p w14:paraId="3A06868E" w14:textId="77777777" w:rsidR="005E000F" w:rsidRDefault="00000000">
            <w:pPr>
              <w:ind w:firstLineChars="100" w:firstLine="210"/>
              <w:rPr>
                <w:color w:val="000000" w:themeColor="text1"/>
              </w:rPr>
            </w:pPr>
            <w:r>
              <w:rPr>
                <w:rFonts w:hint="eastAsia"/>
                <w:color w:val="000000" w:themeColor="text1"/>
              </w:rPr>
              <w:t>其他流动负债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2764C8D5" w14:textId="77777777" w:rsidR="005E000F" w:rsidRDefault="00000000">
            <w:r>
              <w:rPr>
                <w:rFonts w:hint="eastAsia"/>
              </w:rPr>
              <w:t>七、</w:t>
            </w:r>
            <w:r>
              <w:t>44</w:t>
            </w:r>
          </w:p>
        </w:tc>
        <w:tc>
          <w:tcPr>
            <w:tcW w:w="2550" w:type="dxa"/>
            <w:tcBorders>
              <w:top w:val="outset" w:sz="6" w:space="0" w:color="auto"/>
              <w:left w:val="outset" w:sz="6" w:space="0" w:color="auto"/>
              <w:bottom w:val="outset" w:sz="6" w:space="0" w:color="auto"/>
              <w:right w:val="outset" w:sz="6" w:space="0" w:color="auto"/>
            </w:tcBorders>
            <w:vAlign w:val="center"/>
          </w:tcPr>
          <w:p w14:paraId="607965A6" w14:textId="77777777" w:rsidR="005E000F" w:rsidRDefault="00000000">
            <w:pPr>
              <w:jc w:val="right"/>
            </w:pPr>
            <w:r>
              <w:t>143,025,104</w:t>
            </w:r>
          </w:p>
        </w:tc>
        <w:tc>
          <w:tcPr>
            <w:tcW w:w="2411" w:type="dxa"/>
            <w:tcBorders>
              <w:top w:val="outset" w:sz="6" w:space="0" w:color="auto"/>
              <w:left w:val="outset" w:sz="6" w:space="0" w:color="auto"/>
              <w:bottom w:val="outset" w:sz="6" w:space="0" w:color="auto"/>
              <w:right w:val="outset" w:sz="6" w:space="0" w:color="auto"/>
            </w:tcBorders>
            <w:vAlign w:val="center"/>
          </w:tcPr>
          <w:p w14:paraId="2C3D7C14" w14:textId="77777777" w:rsidR="005E000F" w:rsidRDefault="00000000">
            <w:pPr>
              <w:jc w:val="right"/>
            </w:pPr>
            <w:r>
              <w:rPr>
                <w:rFonts w:hint="eastAsia"/>
              </w:rPr>
              <w:t>125,486,662</w:t>
            </w:r>
          </w:p>
        </w:tc>
      </w:tr>
      <w:tr w:rsidR="005E000F" w14:paraId="0FF8058D" w14:textId="77777777">
        <w:tc>
          <w:tcPr>
            <w:tcW w:w="2944" w:type="dxa"/>
            <w:tcBorders>
              <w:top w:val="outset" w:sz="6" w:space="0" w:color="auto"/>
              <w:left w:val="outset" w:sz="6" w:space="0" w:color="auto"/>
              <w:bottom w:val="outset" w:sz="6" w:space="0" w:color="auto"/>
              <w:right w:val="outset" w:sz="6" w:space="0" w:color="auto"/>
            </w:tcBorders>
            <w:vAlign w:val="center"/>
          </w:tcPr>
          <w:p w14:paraId="6DEC7936" w14:textId="77777777" w:rsidR="005E000F" w:rsidRDefault="00000000">
            <w:pPr>
              <w:ind w:firstLineChars="200" w:firstLine="420"/>
              <w:rPr>
                <w:color w:val="000000" w:themeColor="text1"/>
              </w:rPr>
            </w:pPr>
            <w:r>
              <w:rPr>
                <w:rFonts w:hint="eastAsia"/>
                <w:color w:val="000000" w:themeColor="text1"/>
              </w:rPr>
              <w:t>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23F30926"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DB2CC73" w14:textId="77777777" w:rsidR="005E000F" w:rsidRDefault="00000000">
            <w:pPr>
              <w:jc w:val="right"/>
            </w:pPr>
            <w:r>
              <w:t>16,440,968,935</w:t>
            </w:r>
          </w:p>
        </w:tc>
        <w:tc>
          <w:tcPr>
            <w:tcW w:w="2411" w:type="dxa"/>
            <w:tcBorders>
              <w:top w:val="outset" w:sz="6" w:space="0" w:color="auto"/>
              <w:left w:val="outset" w:sz="6" w:space="0" w:color="auto"/>
              <w:bottom w:val="outset" w:sz="6" w:space="0" w:color="auto"/>
              <w:right w:val="outset" w:sz="6" w:space="0" w:color="auto"/>
            </w:tcBorders>
            <w:vAlign w:val="center"/>
          </w:tcPr>
          <w:p w14:paraId="0F5A22DC" w14:textId="77777777" w:rsidR="005E000F" w:rsidRDefault="00000000">
            <w:pPr>
              <w:jc w:val="right"/>
            </w:pPr>
            <w:r>
              <w:rPr>
                <w:rFonts w:hint="eastAsia"/>
              </w:rPr>
              <w:t>15,290,062,767</w:t>
            </w:r>
          </w:p>
        </w:tc>
      </w:tr>
      <w:tr w:rsidR="005E000F" w14:paraId="5D33EBBD" w14:textId="77777777">
        <w:sdt>
          <w:sdtPr>
            <w:tag w:val="_PLD_371b1fd441234f58b41e1d581fa3f62e"/>
            <w:id w:val="1377666217"/>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38F9AB78" w14:textId="77777777" w:rsidR="005E000F" w:rsidRDefault="00000000">
                <w:pPr>
                  <w:rPr>
                    <w:color w:val="000000" w:themeColor="text1"/>
                  </w:rPr>
                </w:pPr>
                <w:r>
                  <w:rPr>
                    <w:rFonts w:hint="eastAsia"/>
                    <w:b/>
                    <w:color w:val="000000" w:themeColor="text1"/>
                  </w:rPr>
                  <w:t>非流动负债：</w:t>
                </w:r>
              </w:p>
            </w:tc>
          </w:sdtContent>
        </w:sdt>
      </w:tr>
      <w:tr w:rsidR="005E000F" w14:paraId="521272B2" w14:textId="77777777">
        <w:tc>
          <w:tcPr>
            <w:tcW w:w="2944" w:type="dxa"/>
            <w:tcBorders>
              <w:top w:val="outset" w:sz="6" w:space="0" w:color="auto"/>
              <w:left w:val="outset" w:sz="6" w:space="0" w:color="auto"/>
              <w:bottom w:val="outset" w:sz="6" w:space="0" w:color="auto"/>
              <w:right w:val="outset" w:sz="6" w:space="0" w:color="auto"/>
            </w:tcBorders>
            <w:vAlign w:val="center"/>
          </w:tcPr>
          <w:p w14:paraId="2BE7A700" w14:textId="77777777" w:rsidR="005E000F" w:rsidRDefault="00000000">
            <w:pPr>
              <w:ind w:firstLineChars="100" w:firstLine="210"/>
              <w:rPr>
                <w:color w:val="000000" w:themeColor="text1"/>
              </w:rPr>
            </w:pPr>
            <w:r>
              <w:rPr>
                <w:rFonts w:hint="eastAsia"/>
                <w:color w:val="000000" w:themeColor="text1"/>
              </w:rPr>
              <w:t>保险合同准备金</w:t>
            </w:r>
          </w:p>
        </w:tc>
        <w:tc>
          <w:tcPr>
            <w:tcW w:w="1133" w:type="dxa"/>
            <w:tcBorders>
              <w:top w:val="outset" w:sz="6" w:space="0" w:color="auto"/>
              <w:left w:val="outset" w:sz="6" w:space="0" w:color="auto"/>
              <w:bottom w:val="outset" w:sz="6" w:space="0" w:color="auto"/>
              <w:right w:val="outset" w:sz="6" w:space="0" w:color="auto"/>
            </w:tcBorders>
            <w:vAlign w:val="center"/>
          </w:tcPr>
          <w:p w14:paraId="70FE6FB5"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C10623F"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B95EF84" w14:textId="77777777" w:rsidR="005E000F" w:rsidRDefault="00000000">
            <w:pPr>
              <w:jc w:val="right"/>
            </w:pPr>
            <w:r>
              <w:rPr>
                <w:rFonts w:hint="eastAsia"/>
              </w:rPr>
              <w:t>0</w:t>
            </w:r>
          </w:p>
        </w:tc>
      </w:tr>
      <w:tr w:rsidR="005E000F" w14:paraId="6801D78E" w14:textId="77777777">
        <w:tc>
          <w:tcPr>
            <w:tcW w:w="2944" w:type="dxa"/>
            <w:tcBorders>
              <w:top w:val="outset" w:sz="6" w:space="0" w:color="auto"/>
              <w:left w:val="outset" w:sz="6" w:space="0" w:color="auto"/>
              <w:bottom w:val="outset" w:sz="6" w:space="0" w:color="auto"/>
              <w:right w:val="outset" w:sz="6" w:space="0" w:color="auto"/>
            </w:tcBorders>
            <w:vAlign w:val="center"/>
          </w:tcPr>
          <w:p w14:paraId="28C6E50A" w14:textId="77777777" w:rsidR="005E000F" w:rsidRDefault="00000000">
            <w:pPr>
              <w:ind w:firstLineChars="100" w:firstLine="210"/>
              <w:rPr>
                <w:color w:val="000000" w:themeColor="text1"/>
              </w:rPr>
            </w:pPr>
            <w:r>
              <w:rPr>
                <w:rFonts w:hint="eastAsia"/>
                <w:color w:val="000000" w:themeColor="text1"/>
              </w:rPr>
              <w:t>长期借款</w:t>
            </w:r>
          </w:p>
        </w:tc>
        <w:tc>
          <w:tcPr>
            <w:tcW w:w="1133" w:type="dxa"/>
            <w:tcBorders>
              <w:top w:val="outset" w:sz="6" w:space="0" w:color="auto"/>
              <w:left w:val="outset" w:sz="6" w:space="0" w:color="auto"/>
              <w:bottom w:val="outset" w:sz="6" w:space="0" w:color="auto"/>
              <w:right w:val="outset" w:sz="6" w:space="0" w:color="auto"/>
            </w:tcBorders>
            <w:vAlign w:val="center"/>
          </w:tcPr>
          <w:p w14:paraId="714D8A52" w14:textId="77777777" w:rsidR="005E000F" w:rsidRDefault="00000000">
            <w:r>
              <w:rPr>
                <w:rFonts w:hint="eastAsia"/>
              </w:rPr>
              <w:t>七、</w:t>
            </w:r>
            <w:r>
              <w:t>45</w:t>
            </w:r>
          </w:p>
        </w:tc>
        <w:tc>
          <w:tcPr>
            <w:tcW w:w="2550" w:type="dxa"/>
            <w:tcBorders>
              <w:top w:val="outset" w:sz="6" w:space="0" w:color="auto"/>
              <w:left w:val="outset" w:sz="6" w:space="0" w:color="auto"/>
              <w:bottom w:val="outset" w:sz="6" w:space="0" w:color="auto"/>
              <w:right w:val="outset" w:sz="6" w:space="0" w:color="auto"/>
            </w:tcBorders>
            <w:vAlign w:val="center"/>
          </w:tcPr>
          <w:p w14:paraId="46C055E3" w14:textId="77777777" w:rsidR="005E000F" w:rsidRDefault="00000000">
            <w:pPr>
              <w:jc w:val="right"/>
            </w:pPr>
            <w:r>
              <w:t>9,836,518,799</w:t>
            </w:r>
          </w:p>
        </w:tc>
        <w:tc>
          <w:tcPr>
            <w:tcW w:w="2411" w:type="dxa"/>
            <w:tcBorders>
              <w:top w:val="outset" w:sz="6" w:space="0" w:color="auto"/>
              <w:left w:val="outset" w:sz="6" w:space="0" w:color="auto"/>
              <w:bottom w:val="outset" w:sz="6" w:space="0" w:color="auto"/>
              <w:right w:val="outset" w:sz="6" w:space="0" w:color="auto"/>
            </w:tcBorders>
            <w:vAlign w:val="center"/>
          </w:tcPr>
          <w:p w14:paraId="5BABC718" w14:textId="77777777" w:rsidR="005E000F" w:rsidRDefault="00000000">
            <w:pPr>
              <w:jc w:val="right"/>
            </w:pPr>
            <w:r>
              <w:rPr>
                <w:rFonts w:hint="eastAsia"/>
              </w:rPr>
              <w:t>9,483,288,955</w:t>
            </w:r>
          </w:p>
        </w:tc>
      </w:tr>
      <w:tr w:rsidR="005E000F" w14:paraId="36FF06CC" w14:textId="77777777">
        <w:tc>
          <w:tcPr>
            <w:tcW w:w="2944" w:type="dxa"/>
            <w:tcBorders>
              <w:top w:val="outset" w:sz="6" w:space="0" w:color="auto"/>
              <w:left w:val="outset" w:sz="6" w:space="0" w:color="auto"/>
              <w:bottom w:val="outset" w:sz="6" w:space="0" w:color="auto"/>
              <w:right w:val="outset" w:sz="6" w:space="0" w:color="auto"/>
            </w:tcBorders>
            <w:vAlign w:val="center"/>
          </w:tcPr>
          <w:p w14:paraId="29B75BBF" w14:textId="77777777" w:rsidR="005E000F" w:rsidRDefault="00000000">
            <w:pPr>
              <w:ind w:firstLineChars="100" w:firstLine="210"/>
              <w:rPr>
                <w:color w:val="000000" w:themeColor="text1"/>
              </w:rPr>
            </w:pPr>
            <w:r>
              <w:rPr>
                <w:rFonts w:hint="eastAsia"/>
                <w:color w:val="000000" w:themeColor="text1"/>
              </w:rPr>
              <w:t>应付债券</w:t>
            </w:r>
          </w:p>
        </w:tc>
        <w:tc>
          <w:tcPr>
            <w:tcW w:w="1133" w:type="dxa"/>
            <w:tcBorders>
              <w:top w:val="outset" w:sz="6" w:space="0" w:color="auto"/>
              <w:left w:val="outset" w:sz="6" w:space="0" w:color="auto"/>
              <w:bottom w:val="outset" w:sz="6" w:space="0" w:color="auto"/>
              <w:right w:val="outset" w:sz="6" w:space="0" w:color="auto"/>
            </w:tcBorders>
            <w:vAlign w:val="center"/>
          </w:tcPr>
          <w:p w14:paraId="7A477D35" w14:textId="77777777" w:rsidR="005E000F" w:rsidRDefault="00000000">
            <w:r>
              <w:rPr>
                <w:rFonts w:hint="eastAsia"/>
              </w:rPr>
              <w:t>七、</w:t>
            </w:r>
            <w:r>
              <w:t>46</w:t>
            </w:r>
          </w:p>
        </w:tc>
        <w:tc>
          <w:tcPr>
            <w:tcW w:w="2550" w:type="dxa"/>
            <w:tcBorders>
              <w:top w:val="outset" w:sz="6" w:space="0" w:color="auto"/>
              <w:left w:val="outset" w:sz="6" w:space="0" w:color="auto"/>
              <w:bottom w:val="outset" w:sz="6" w:space="0" w:color="auto"/>
              <w:right w:val="outset" w:sz="6" w:space="0" w:color="auto"/>
            </w:tcBorders>
            <w:vAlign w:val="center"/>
          </w:tcPr>
          <w:p w14:paraId="239B5DC1"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A688690" w14:textId="77777777" w:rsidR="005E000F" w:rsidRDefault="00000000">
            <w:pPr>
              <w:jc w:val="right"/>
            </w:pPr>
            <w:r>
              <w:rPr>
                <w:rFonts w:hint="eastAsia"/>
              </w:rPr>
              <w:t>7,593,350,951</w:t>
            </w:r>
          </w:p>
        </w:tc>
      </w:tr>
      <w:tr w:rsidR="005E000F" w14:paraId="0FDF2CC7" w14:textId="77777777">
        <w:tc>
          <w:tcPr>
            <w:tcW w:w="2944" w:type="dxa"/>
            <w:tcBorders>
              <w:top w:val="outset" w:sz="6" w:space="0" w:color="auto"/>
              <w:left w:val="outset" w:sz="6" w:space="0" w:color="auto"/>
              <w:bottom w:val="outset" w:sz="6" w:space="0" w:color="auto"/>
              <w:right w:val="outset" w:sz="6" w:space="0" w:color="auto"/>
            </w:tcBorders>
            <w:vAlign w:val="center"/>
          </w:tcPr>
          <w:p w14:paraId="70B49AB2" w14:textId="77777777" w:rsidR="005E000F" w:rsidRDefault="00000000">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5B9F8FA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356F694"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0A3E3761" w14:textId="77777777" w:rsidR="005E000F" w:rsidRDefault="00000000">
            <w:pPr>
              <w:jc w:val="right"/>
            </w:pPr>
            <w:r>
              <w:rPr>
                <w:rFonts w:hint="eastAsia"/>
              </w:rPr>
              <w:t>0</w:t>
            </w:r>
          </w:p>
        </w:tc>
      </w:tr>
      <w:tr w:rsidR="005E000F" w14:paraId="75432EF8" w14:textId="77777777">
        <w:tc>
          <w:tcPr>
            <w:tcW w:w="2944" w:type="dxa"/>
            <w:tcBorders>
              <w:top w:val="outset" w:sz="6" w:space="0" w:color="auto"/>
              <w:left w:val="outset" w:sz="6" w:space="0" w:color="auto"/>
              <w:bottom w:val="outset" w:sz="6" w:space="0" w:color="auto"/>
              <w:right w:val="outset" w:sz="6" w:space="0" w:color="auto"/>
            </w:tcBorders>
            <w:vAlign w:val="center"/>
          </w:tcPr>
          <w:p w14:paraId="7FC58C08" w14:textId="77777777" w:rsidR="005E000F" w:rsidRDefault="00000000">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589A0285"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75F8CA6"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7A3781A" w14:textId="77777777" w:rsidR="005E000F" w:rsidRDefault="00000000">
            <w:pPr>
              <w:jc w:val="right"/>
            </w:pPr>
            <w:r>
              <w:rPr>
                <w:rFonts w:hint="eastAsia"/>
              </w:rPr>
              <w:t>0</w:t>
            </w:r>
          </w:p>
        </w:tc>
      </w:tr>
      <w:tr w:rsidR="005E000F" w14:paraId="168883AA" w14:textId="77777777">
        <w:tc>
          <w:tcPr>
            <w:tcW w:w="2944" w:type="dxa"/>
            <w:tcBorders>
              <w:top w:val="outset" w:sz="6" w:space="0" w:color="auto"/>
              <w:left w:val="outset" w:sz="6" w:space="0" w:color="auto"/>
              <w:bottom w:val="outset" w:sz="6" w:space="0" w:color="auto"/>
              <w:right w:val="outset" w:sz="6" w:space="0" w:color="auto"/>
            </w:tcBorders>
            <w:vAlign w:val="center"/>
          </w:tcPr>
          <w:p w14:paraId="2D6DE2C5" w14:textId="77777777" w:rsidR="005E000F" w:rsidRDefault="00000000">
            <w:pPr>
              <w:ind w:firstLineChars="100" w:firstLine="210"/>
              <w:rPr>
                <w:color w:val="000000" w:themeColor="text1"/>
              </w:rPr>
            </w:pPr>
            <w:r>
              <w:rPr>
                <w:rFonts w:hint="eastAsia"/>
                <w:color w:val="000000" w:themeColor="text1"/>
              </w:rPr>
              <w:t>租赁负债</w:t>
            </w:r>
          </w:p>
        </w:tc>
        <w:tc>
          <w:tcPr>
            <w:tcW w:w="1133" w:type="dxa"/>
            <w:tcBorders>
              <w:top w:val="outset" w:sz="6" w:space="0" w:color="auto"/>
              <w:left w:val="outset" w:sz="6" w:space="0" w:color="auto"/>
              <w:bottom w:val="outset" w:sz="6" w:space="0" w:color="auto"/>
              <w:right w:val="outset" w:sz="6" w:space="0" w:color="auto"/>
            </w:tcBorders>
            <w:vAlign w:val="center"/>
          </w:tcPr>
          <w:p w14:paraId="6BA17103" w14:textId="77777777" w:rsidR="005E000F" w:rsidRDefault="00000000">
            <w:r>
              <w:rPr>
                <w:rFonts w:hint="eastAsia"/>
              </w:rPr>
              <w:t>七、</w:t>
            </w:r>
            <w:r>
              <w:t>47</w:t>
            </w:r>
          </w:p>
        </w:tc>
        <w:tc>
          <w:tcPr>
            <w:tcW w:w="2550" w:type="dxa"/>
            <w:tcBorders>
              <w:top w:val="outset" w:sz="6" w:space="0" w:color="auto"/>
              <w:left w:val="outset" w:sz="6" w:space="0" w:color="auto"/>
              <w:bottom w:val="outset" w:sz="6" w:space="0" w:color="auto"/>
              <w:right w:val="outset" w:sz="6" w:space="0" w:color="auto"/>
            </w:tcBorders>
            <w:vAlign w:val="center"/>
          </w:tcPr>
          <w:p w14:paraId="2B796AF0" w14:textId="77777777" w:rsidR="005E000F" w:rsidRDefault="00000000">
            <w:pPr>
              <w:jc w:val="right"/>
            </w:pPr>
            <w:r>
              <w:t>2,151,433,413</w:t>
            </w:r>
          </w:p>
        </w:tc>
        <w:tc>
          <w:tcPr>
            <w:tcW w:w="2411" w:type="dxa"/>
            <w:tcBorders>
              <w:top w:val="outset" w:sz="6" w:space="0" w:color="auto"/>
              <w:left w:val="outset" w:sz="6" w:space="0" w:color="auto"/>
              <w:bottom w:val="outset" w:sz="6" w:space="0" w:color="auto"/>
              <w:right w:val="outset" w:sz="6" w:space="0" w:color="auto"/>
            </w:tcBorders>
            <w:vAlign w:val="center"/>
          </w:tcPr>
          <w:p w14:paraId="6C0853EC" w14:textId="77777777" w:rsidR="005E000F" w:rsidRDefault="00000000">
            <w:pPr>
              <w:jc w:val="right"/>
            </w:pPr>
            <w:r>
              <w:rPr>
                <w:rFonts w:hint="eastAsia"/>
              </w:rPr>
              <w:t>805,447,713</w:t>
            </w:r>
          </w:p>
        </w:tc>
      </w:tr>
      <w:tr w:rsidR="005E000F" w14:paraId="04F68486" w14:textId="77777777">
        <w:tc>
          <w:tcPr>
            <w:tcW w:w="2944" w:type="dxa"/>
            <w:tcBorders>
              <w:top w:val="outset" w:sz="6" w:space="0" w:color="auto"/>
              <w:left w:val="outset" w:sz="6" w:space="0" w:color="auto"/>
              <w:bottom w:val="outset" w:sz="6" w:space="0" w:color="auto"/>
              <w:right w:val="outset" w:sz="6" w:space="0" w:color="auto"/>
            </w:tcBorders>
            <w:vAlign w:val="center"/>
          </w:tcPr>
          <w:p w14:paraId="0E2FDF36" w14:textId="77777777" w:rsidR="005E000F" w:rsidRDefault="00000000">
            <w:pPr>
              <w:ind w:firstLineChars="100" w:firstLine="210"/>
              <w:rPr>
                <w:color w:val="000000" w:themeColor="text1"/>
              </w:rPr>
            </w:pPr>
            <w:r>
              <w:rPr>
                <w:rFonts w:hint="eastAsia"/>
                <w:color w:val="000000" w:themeColor="text1"/>
              </w:rPr>
              <w:t>长期应付款</w:t>
            </w:r>
          </w:p>
        </w:tc>
        <w:tc>
          <w:tcPr>
            <w:tcW w:w="1133" w:type="dxa"/>
            <w:tcBorders>
              <w:top w:val="outset" w:sz="6" w:space="0" w:color="auto"/>
              <w:left w:val="outset" w:sz="6" w:space="0" w:color="auto"/>
              <w:bottom w:val="outset" w:sz="6" w:space="0" w:color="auto"/>
              <w:right w:val="outset" w:sz="6" w:space="0" w:color="auto"/>
            </w:tcBorders>
            <w:vAlign w:val="center"/>
          </w:tcPr>
          <w:p w14:paraId="5D92D4E9" w14:textId="77777777" w:rsidR="005E000F" w:rsidRDefault="00000000">
            <w:r>
              <w:rPr>
                <w:rFonts w:hint="eastAsia"/>
              </w:rPr>
              <w:t>七、</w:t>
            </w:r>
            <w:r>
              <w:t>48</w:t>
            </w:r>
          </w:p>
        </w:tc>
        <w:tc>
          <w:tcPr>
            <w:tcW w:w="2550" w:type="dxa"/>
            <w:tcBorders>
              <w:top w:val="outset" w:sz="6" w:space="0" w:color="auto"/>
              <w:left w:val="outset" w:sz="6" w:space="0" w:color="auto"/>
              <w:bottom w:val="outset" w:sz="6" w:space="0" w:color="auto"/>
              <w:right w:val="outset" w:sz="6" w:space="0" w:color="auto"/>
            </w:tcBorders>
            <w:vAlign w:val="center"/>
          </w:tcPr>
          <w:p w14:paraId="64FED49F" w14:textId="77777777" w:rsidR="005E000F" w:rsidRDefault="00000000">
            <w:pPr>
              <w:jc w:val="right"/>
            </w:pPr>
            <w:r>
              <w:t>62,305,667</w:t>
            </w:r>
          </w:p>
        </w:tc>
        <w:tc>
          <w:tcPr>
            <w:tcW w:w="2411" w:type="dxa"/>
            <w:tcBorders>
              <w:top w:val="outset" w:sz="6" w:space="0" w:color="auto"/>
              <w:left w:val="outset" w:sz="6" w:space="0" w:color="auto"/>
              <w:bottom w:val="outset" w:sz="6" w:space="0" w:color="auto"/>
              <w:right w:val="outset" w:sz="6" w:space="0" w:color="auto"/>
            </w:tcBorders>
            <w:vAlign w:val="center"/>
          </w:tcPr>
          <w:p w14:paraId="1F2FB9C5" w14:textId="77777777" w:rsidR="005E000F" w:rsidRDefault="00000000">
            <w:pPr>
              <w:jc w:val="right"/>
            </w:pPr>
            <w:r>
              <w:rPr>
                <w:rFonts w:hint="eastAsia"/>
              </w:rPr>
              <w:t>62,306,528</w:t>
            </w:r>
          </w:p>
        </w:tc>
      </w:tr>
      <w:tr w:rsidR="005E000F" w14:paraId="5EC8384A" w14:textId="77777777">
        <w:tc>
          <w:tcPr>
            <w:tcW w:w="2944" w:type="dxa"/>
            <w:tcBorders>
              <w:top w:val="outset" w:sz="6" w:space="0" w:color="auto"/>
              <w:left w:val="outset" w:sz="6" w:space="0" w:color="auto"/>
              <w:bottom w:val="outset" w:sz="6" w:space="0" w:color="auto"/>
              <w:right w:val="outset" w:sz="6" w:space="0" w:color="auto"/>
            </w:tcBorders>
            <w:vAlign w:val="center"/>
          </w:tcPr>
          <w:p w14:paraId="0046C6E0" w14:textId="77777777" w:rsidR="005E000F" w:rsidRDefault="00000000">
            <w:pPr>
              <w:ind w:firstLineChars="100" w:firstLine="210"/>
              <w:rPr>
                <w:color w:val="000000" w:themeColor="text1"/>
              </w:rPr>
            </w:pPr>
            <w:r>
              <w:rPr>
                <w:rFonts w:hint="eastAsia"/>
                <w:color w:val="000000" w:themeColor="text1"/>
              </w:rPr>
              <w:t>长期应付职工薪酬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364829B6" w14:textId="77777777" w:rsidR="005E000F" w:rsidRDefault="00000000">
            <w:r>
              <w:rPr>
                <w:rFonts w:hint="eastAsia"/>
              </w:rPr>
              <w:t>七、</w:t>
            </w:r>
            <w:r>
              <w:t>49</w:t>
            </w:r>
          </w:p>
        </w:tc>
        <w:tc>
          <w:tcPr>
            <w:tcW w:w="2550" w:type="dxa"/>
            <w:tcBorders>
              <w:top w:val="outset" w:sz="6" w:space="0" w:color="auto"/>
              <w:left w:val="outset" w:sz="6" w:space="0" w:color="auto"/>
              <w:bottom w:val="outset" w:sz="6" w:space="0" w:color="auto"/>
              <w:right w:val="outset" w:sz="6" w:space="0" w:color="auto"/>
            </w:tcBorders>
            <w:vAlign w:val="center"/>
          </w:tcPr>
          <w:p w14:paraId="0974F6A6" w14:textId="77777777" w:rsidR="005E000F" w:rsidRDefault="00000000">
            <w:pPr>
              <w:jc w:val="right"/>
            </w:pPr>
            <w:r>
              <w:t>3,257,026,846</w:t>
            </w:r>
          </w:p>
        </w:tc>
        <w:tc>
          <w:tcPr>
            <w:tcW w:w="2411" w:type="dxa"/>
            <w:tcBorders>
              <w:top w:val="outset" w:sz="6" w:space="0" w:color="auto"/>
              <w:left w:val="outset" w:sz="6" w:space="0" w:color="auto"/>
              <w:bottom w:val="outset" w:sz="6" w:space="0" w:color="auto"/>
              <w:right w:val="outset" w:sz="6" w:space="0" w:color="auto"/>
            </w:tcBorders>
            <w:vAlign w:val="center"/>
          </w:tcPr>
          <w:p w14:paraId="672703C3" w14:textId="77777777" w:rsidR="005E000F" w:rsidRDefault="00000000">
            <w:pPr>
              <w:jc w:val="right"/>
            </w:pPr>
            <w:r>
              <w:rPr>
                <w:rFonts w:hint="eastAsia"/>
              </w:rPr>
              <w:t>3,244,077,004</w:t>
            </w:r>
          </w:p>
        </w:tc>
      </w:tr>
      <w:tr w:rsidR="005E000F" w14:paraId="436F49D9" w14:textId="77777777">
        <w:tc>
          <w:tcPr>
            <w:tcW w:w="2944" w:type="dxa"/>
            <w:tcBorders>
              <w:top w:val="outset" w:sz="6" w:space="0" w:color="auto"/>
              <w:left w:val="outset" w:sz="6" w:space="0" w:color="auto"/>
              <w:bottom w:val="outset" w:sz="6" w:space="0" w:color="auto"/>
              <w:right w:val="outset" w:sz="6" w:space="0" w:color="auto"/>
            </w:tcBorders>
            <w:vAlign w:val="center"/>
          </w:tcPr>
          <w:p w14:paraId="422450AA" w14:textId="77777777" w:rsidR="005E000F" w:rsidRDefault="00000000">
            <w:pPr>
              <w:ind w:firstLineChars="100" w:firstLine="210"/>
              <w:rPr>
                <w:color w:val="000000" w:themeColor="text1"/>
              </w:rPr>
            </w:pPr>
            <w:r>
              <w:rPr>
                <w:rFonts w:hint="eastAsia"/>
                <w:color w:val="000000" w:themeColor="text1"/>
              </w:rPr>
              <w:t>预计负债</w:t>
            </w:r>
          </w:p>
        </w:tc>
        <w:tc>
          <w:tcPr>
            <w:tcW w:w="1133" w:type="dxa"/>
            <w:tcBorders>
              <w:top w:val="outset" w:sz="6" w:space="0" w:color="auto"/>
              <w:left w:val="outset" w:sz="6" w:space="0" w:color="auto"/>
              <w:bottom w:val="outset" w:sz="6" w:space="0" w:color="auto"/>
              <w:right w:val="outset" w:sz="6" w:space="0" w:color="auto"/>
            </w:tcBorders>
            <w:vAlign w:val="center"/>
          </w:tcPr>
          <w:p w14:paraId="0637652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631138A"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73C764B4" w14:textId="77777777" w:rsidR="005E000F" w:rsidRDefault="00000000">
            <w:pPr>
              <w:jc w:val="right"/>
            </w:pPr>
            <w:r>
              <w:rPr>
                <w:rFonts w:hint="eastAsia"/>
              </w:rPr>
              <w:t>0</w:t>
            </w:r>
          </w:p>
        </w:tc>
      </w:tr>
      <w:tr w:rsidR="005E000F" w14:paraId="405A30EC" w14:textId="77777777">
        <w:tc>
          <w:tcPr>
            <w:tcW w:w="2944" w:type="dxa"/>
            <w:tcBorders>
              <w:top w:val="outset" w:sz="6" w:space="0" w:color="auto"/>
              <w:left w:val="outset" w:sz="6" w:space="0" w:color="auto"/>
              <w:bottom w:val="outset" w:sz="6" w:space="0" w:color="auto"/>
              <w:right w:val="outset" w:sz="6" w:space="0" w:color="auto"/>
            </w:tcBorders>
            <w:vAlign w:val="center"/>
          </w:tcPr>
          <w:p w14:paraId="1F70D86F" w14:textId="77777777" w:rsidR="005E000F" w:rsidRDefault="00000000">
            <w:pPr>
              <w:ind w:firstLineChars="100" w:firstLine="210"/>
              <w:rPr>
                <w:color w:val="000000" w:themeColor="text1"/>
              </w:rPr>
            </w:pPr>
            <w:r>
              <w:rPr>
                <w:rFonts w:hint="eastAsia"/>
                <w:color w:val="000000" w:themeColor="text1"/>
              </w:rPr>
              <w:t>递延收益</w:t>
            </w:r>
          </w:p>
        </w:tc>
        <w:tc>
          <w:tcPr>
            <w:tcW w:w="1133" w:type="dxa"/>
            <w:tcBorders>
              <w:top w:val="outset" w:sz="6" w:space="0" w:color="auto"/>
              <w:left w:val="outset" w:sz="6" w:space="0" w:color="auto"/>
              <w:bottom w:val="outset" w:sz="6" w:space="0" w:color="auto"/>
              <w:right w:val="outset" w:sz="6" w:space="0" w:color="auto"/>
            </w:tcBorders>
            <w:vAlign w:val="center"/>
          </w:tcPr>
          <w:p w14:paraId="472BE28E"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799F3F51" w14:textId="77777777" w:rsidR="005E000F" w:rsidRDefault="00000000">
            <w:pPr>
              <w:jc w:val="right"/>
            </w:pPr>
            <w:r>
              <w:t>200,587,186</w:t>
            </w:r>
          </w:p>
        </w:tc>
        <w:tc>
          <w:tcPr>
            <w:tcW w:w="2411" w:type="dxa"/>
            <w:tcBorders>
              <w:top w:val="outset" w:sz="6" w:space="0" w:color="auto"/>
              <w:left w:val="outset" w:sz="6" w:space="0" w:color="auto"/>
              <w:bottom w:val="outset" w:sz="6" w:space="0" w:color="auto"/>
              <w:right w:val="outset" w:sz="6" w:space="0" w:color="auto"/>
            </w:tcBorders>
            <w:vAlign w:val="center"/>
          </w:tcPr>
          <w:p w14:paraId="6D4D0F8B" w14:textId="77777777" w:rsidR="005E000F" w:rsidRDefault="00000000">
            <w:pPr>
              <w:jc w:val="right"/>
            </w:pPr>
            <w:r>
              <w:rPr>
                <w:rFonts w:hint="eastAsia"/>
              </w:rPr>
              <w:t>224,319,630</w:t>
            </w:r>
          </w:p>
        </w:tc>
      </w:tr>
      <w:tr w:rsidR="005E000F" w14:paraId="79732D87" w14:textId="77777777">
        <w:tc>
          <w:tcPr>
            <w:tcW w:w="2944" w:type="dxa"/>
            <w:tcBorders>
              <w:top w:val="outset" w:sz="6" w:space="0" w:color="auto"/>
              <w:left w:val="outset" w:sz="6" w:space="0" w:color="auto"/>
              <w:bottom w:val="outset" w:sz="6" w:space="0" w:color="auto"/>
              <w:right w:val="outset" w:sz="6" w:space="0" w:color="auto"/>
            </w:tcBorders>
            <w:vAlign w:val="center"/>
          </w:tcPr>
          <w:p w14:paraId="5F139716" w14:textId="77777777" w:rsidR="005E000F" w:rsidRDefault="00000000">
            <w:pPr>
              <w:ind w:firstLineChars="100" w:firstLine="210"/>
              <w:rPr>
                <w:color w:val="000000" w:themeColor="text1"/>
              </w:rPr>
            </w:pPr>
            <w:r>
              <w:rPr>
                <w:rFonts w:hint="eastAsia"/>
                <w:color w:val="000000" w:themeColor="text1"/>
              </w:rPr>
              <w:t>递延所得税负债</w:t>
            </w:r>
          </w:p>
        </w:tc>
        <w:tc>
          <w:tcPr>
            <w:tcW w:w="1133" w:type="dxa"/>
            <w:tcBorders>
              <w:top w:val="outset" w:sz="6" w:space="0" w:color="auto"/>
              <w:left w:val="outset" w:sz="6" w:space="0" w:color="auto"/>
              <w:bottom w:val="outset" w:sz="6" w:space="0" w:color="auto"/>
              <w:right w:val="outset" w:sz="6" w:space="0" w:color="auto"/>
            </w:tcBorders>
            <w:vAlign w:val="center"/>
          </w:tcPr>
          <w:p w14:paraId="0D98208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024A659"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90E6CDD" w14:textId="77777777" w:rsidR="005E000F" w:rsidRDefault="00000000">
            <w:pPr>
              <w:jc w:val="right"/>
            </w:pPr>
            <w:r>
              <w:rPr>
                <w:rFonts w:hint="eastAsia"/>
              </w:rPr>
              <w:t>0</w:t>
            </w:r>
          </w:p>
        </w:tc>
      </w:tr>
      <w:tr w:rsidR="005E000F" w14:paraId="187C5745" w14:textId="77777777">
        <w:tc>
          <w:tcPr>
            <w:tcW w:w="2944" w:type="dxa"/>
            <w:tcBorders>
              <w:top w:val="outset" w:sz="6" w:space="0" w:color="auto"/>
              <w:left w:val="outset" w:sz="6" w:space="0" w:color="auto"/>
              <w:bottom w:val="outset" w:sz="6" w:space="0" w:color="auto"/>
              <w:right w:val="outset" w:sz="6" w:space="0" w:color="auto"/>
            </w:tcBorders>
            <w:vAlign w:val="center"/>
          </w:tcPr>
          <w:p w14:paraId="52A68CAD" w14:textId="77777777" w:rsidR="005E000F" w:rsidRDefault="00000000">
            <w:pPr>
              <w:ind w:firstLineChars="100" w:firstLine="210"/>
              <w:rPr>
                <w:color w:val="000000" w:themeColor="text1"/>
              </w:rPr>
            </w:pPr>
            <w:r>
              <w:rPr>
                <w:rFonts w:hint="eastAsia"/>
                <w:color w:val="000000" w:themeColor="text1"/>
              </w:rPr>
              <w:t>其他非流动负债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5A6FB3C5" w14:textId="77777777" w:rsidR="005E000F" w:rsidRDefault="00000000">
            <w:r>
              <w:rPr>
                <w:rFonts w:hint="eastAsia"/>
              </w:rPr>
              <w:t>七、</w:t>
            </w:r>
            <w:r>
              <w:t>52</w:t>
            </w:r>
          </w:p>
        </w:tc>
        <w:tc>
          <w:tcPr>
            <w:tcW w:w="2550" w:type="dxa"/>
            <w:tcBorders>
              <w:top w:val="outset" w:sz="6" w:space="0" w:color="auto"/>
              <w:left w:val="outset" w:sz="6" w:space="0" w:color="auto"/>
              <w:bottom w:val="outset" w:sz="6" w:space="0" w:color="auto"/>
              <w:right w:val="outset" w:sz="6" w:space="0" w:color="auto"/>
            </w:tcBorders>
            <w:vAlign w:val="center"/>
          </w:tcPr>
          <w:p w14:paraId="0A506E20" w14:textId="77777777" w:rsidR="005E000F" w:rsidRDefault="00000000">
            <w:pPr>
              <w:jc w:val="right"/>
            </w:pPr>
            <w:r>
              <w:t>330,414,861</w:t>
            </w:r>
          </w:p>
        </w:tc>
        <w:tc>
          <w:tcPr>
            <w:tcW w:w="2411" w:type="dxa"/>
            <w:tcBorders>
              <w:top w:val="outset" w:sz="6" w:space="0" w:color="auto"/>
              <w:left w:val="outset" w:sz="6" w:space="0" w:color="auto"/>
              <w:bottom w:val="outset" w:sz="6" w:space="0" w:color="auto"/>
              <w:right w:val="outset" w:sz="6" w:space="0" w:color="auto"/>
            </w:tcBorders>
            <w:vAlign w:val="center"/>
          </w:tcPr>
          <w:p w14:paraId="4A9D8822" w14:textId="77777777" w:rsidR="005E000F" w:rsidRDefault="00000000">
            <w:pPr>
              <w:jc w:val="right"/>
            </w:pPr>
            <w:r>
              <w:rPr>
                <w:rFonts w:hint="eastAsia"/>
              </w:rPr>
              <w:t>346,094,969</w:t>
            </w:r>
          </w:p>
        </w:tc>
      </w:tr>
      <w:tr w:rsidR="005E000F" w14:paraId="6DFE12CC" w14:textId="77777777">
        <w:tc>
          <w:tcPr>
            <w:tcW w:w="2944" w:type="dxa"/>
            <w:tcBorders>
              <w:top w:val="outset" w:sz="6" w:space="0" w:color="auto"/>
              <w:left w:val="outset" w:sz="6" w:space="0" w:color="auto"/>
              <w:bottom w:val="outset" w:sz="6" w:space="0" w:color="auto"/>
              <w:right w:val="outset" w:sz="6" w:space="0" w:color="auto"/>
            </w:tcBorders>
            <w:vAlign w:val="center"/>
          </w:tcPr>
          <w:p w14:paraId="752CC083" w14:textId="77777777" w:rsidR="005E000F" w:rsidRDefault="00000000">
            <w:pPr>
              <w:ind w:firstLineChars="200" w:firstLine="420"/>
              <w:rPr>
                <w:color w:val="000000" w:themeColor="text1"/>
              </w:rPr>
            </w:pPr>
            <w:r>
              <w:rPr>
                <w:rFonts w:hint="eastAsia"/>
                <w:color w:val="000000" w:themeColor="text1"/>
              </w:rPr>
              <w:t>非流动负债合计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50E2689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8D40ECD" w14:textId="77777777" w:rsidR="005E000F" w:rsidRDefault="00000000">
            <w:pPr>
              <w:jc w:val="right"/>
            </w:pPr>
            <w:r>
              <w:t>15,838,286,772</w:t>
            </w:r>
          </w:p>
        </w:tc>
        <w:tc>
          <w:tcPr>
            <w:tcW w:w="2411" w:type="dxa"/>
            <w:tcBorders>
              <w:top w:val="outset" w:sz="6" w:space="0" w:color="auto"/>
              <w:left w:val="outset" w:sz="6" w:space="0" w:color="auto"/>
              <w:bottom w:val="outset" w:sz="6" w:space="0" w:color="auto"/>
              <w:right w:val="outset" w:sz="6" w:space="0" w:color="auto"/>
            </w:tcBorders>
            <w:vAlign w:val="center"/>
          </w:tcPr>
          <w:p w14:paraId="1A48980E" w14:textId="77777777" w:rsidR="005E000F" w:rsidRDefault="00000000">
            <w:pPr>
              <w:jc w:val="right"/>
            </w:pPr>
            <w:r>
              <w:rPr>
                <w:rFonts w:hint="eastAsia"/>
              </w:rPr>
              <w:t>21,758,885,750</w:t>
            </w:r>
          </w:p>
        </w:tc>
      </w:tr>
      <w:tr w:rsidR="005E000F" w14:paraId="22A5968B" w14:textId="77777777">
        <w:tc>
          <w:tcPr>
            <w:tcW w:w="2944" w:type="dxa"/>
            <w:tcBorders>
              <w:top w:val="outset" w:sz="6" w:space="0" w:color="auto"/>
              <w:left w:val="outset" w:sz="6" w:space="0" w:color="auto"/>
              <w:bottom w:val="outset" w:sz="6" w:space="0" w:color="auto"/>
              <w:right w:val="outset" w:sz="6" w:space="0" w:color="auto"/>
            </w:tcBorders>
            <w:vAlign w:val="center"/>
          </w:tcPr>
          <w:p w14:paraId="4724016A" w14:textId="77777777" w:rsidR="005E000F" w:rsidRDefault="00000000">
            <w:pPr>
              <w:ind w:firstLineChars="300" w:firstLine="630"/>
              <w:rPr>
                <w:color w:val="000000" w:themeColor="text1"/>
              </w:rPr>
            </w:pPr>
            <w:r>
              <w:rPr>
                <w:rFonts w:hint="eastAsia"/>
                <w:color w:val="000000" w:themeColor="text1"/>
              </w:rPr>
              <w:t>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4B57092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50758F0" w14:textId="77777777" w:rsidR="005E000F" w:rsidRDefault="00000000">
            <w:pPr>
              <w:jc w:val="right"/>
            </w:pPr>
            <w:r>
              <w:t>32,279,255,707</w:t>
            </w:r>
          </w:p>
        </w:tc>
        <w:tc>
          <w:tcPr>
            <w:tcW w:w="2411" w:type="dxa"/>
            <w:tcBorders>
              <w:top w:val="outset" w:sz="6" w:space="0" w:color="auto"/>
              <w:left w:val="outset" w:sz="6" w:space="0" w:color="auto"/>
              <w:bottom w:val="outset" w:sz="6" w:space="0" w:color="auto"/>
              <w:right w:val="outset" w:sz="6" w:space="0" w:color="auto"/>
            </w:tcBorders>
            <w:vAlign w:val="center"/>
          </w:tcPr>
          <w:p w14:paraId="65EBD05E" w14:textId="77777777" w:rsidR="005E000F" w:rsidRDefault="00000000">
            <w:pPr>
              <w:jc w:val="right"/>
            </w:pPr>
            <w:r>
              <w:rPr>
                <w:rFonts w:hint="eastAsia"/>
              </w:rPr>
              <w:t>37,048,948,517</w:t>
            </w:r>
          </w:p>
        </w:tc>
      </w:tr>
      <w:tr w:rsidR="005E000F" w14:paraId="50D1549B" w14:textId="77777777">
        <w:sdt>
          <w:sdtPr>
            <w:tag w:val="_PLD_7d66d1050f504dbab14e7e96bff21c69"/>
            <w:id w:val="-1687752402"/>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458D17A8" w14:textId="77777777" w:rsidR="005E000F" w:rsidRDefault="00000000">
                <w:pPr>
                  <w:rPr>
                    <w:color w:val="000000" w:themeColor="text1"/>
                  </w:rPr>
                </w:pPr>
                <w:r>
                  <w:rPr>
                    <w:rFonts w:hint="eastAsia"/>
                    <w:b/>
                    <w:color w:val="000000" w:themeColor="text1"/>
                  </w:rPr>
                  <w:t>所有者权益（或股东权益）：</w:t>
                </w:r>
              </w:p>
            </w:tc>
          </w:sdtContent>
        </w:sdt>
      </w:tr>
      <w:tr w:rsidR="005E000F" w14:paraId="08F11D7B" w14:textId="77777777">
        <w:tc>
          <w:tcPr>
            <w:tcW w:w="2944" w:type="dxa"/>
            <w:tcBorders>
              <w:top w:val="outset" w:sz="6" w:space="0" w:color="auto"/>
              <w:left w:val="outset" w:sz="6" w:space="0" w:color="auto"/>
              <w:bottom w:val="outset" w:sz="6" w:space="0" w:color="auto"/>
              <w:right w:val="outset" w:sz="6" w:space="0" w:color="auto"/>
            </w:tcBorders>
            <w:vAlign w:val="center"/>
          </w:tcPr>
          <w:p w14:paraId="09A7B094" w14:textId="77777777" w:rsidR="005E000F" w:rsidRDefault="00000000">
            <w:pPr>
              <w:ind w:firstLineChars="100" w:firstLine="210"/>
              <w:rPr>
                <w:color w:val="000000" w:themeColor="text1"/>
              </w:rPr>
            </w:pPr>
            <w:r>
              <w:rPr>
                <w:rFonts w:hint="eastAsia"/>
                <w:color w:val="000000" w:themeColor="text1"/>
              </w:rPr>
              <w:lastRenderedPageBreak/>
              <w:t>实收资本（或股本）</w:t>
            </w:r>
          </w:p>
        </w:tc>
        <w:tc>
          <w:tcPr>
            <w:tcW w:w="1133" w:type="dxa"/>
            <w:tcBorders>
              <w:top w:val="outset" w:sz="6" w:space="0" w:color="auto"/>
              <w:left w:val="outset" w:sz="6" w:space="0" w:color="auto"/>
              <w:bottom w:val="outset" w:sz="6" w:space="0" w:color="auto"/>
              <w:right w:val="outset" w:sz="6" w:space="0" w:color="auto"/>
            </w:tcBorders>
            <w:vAlign w:val="center"/>
          </w:tcPr>
          <w:p w14:paraId="012DD152" w14:textId="77777777" w:rsidR="005E000F" w:rsidRDefault="00000000">
            <w:r>
              <w:rPr>
                <w:rFonts w:hint="eastAsia"/>
              </w:rPr>
              <w:t>七、</w:t>
            </w:r>
            <w:r>
              <w:t>53</w:t>
            </w:r>
          </w:p>
        </w:tc>
        <w:tc>
          <w:tcPr>
            <w:tcW w:w="2550" w:type="dxa"/>
            <w:tcBorders>
              <w:top w:val="outset" w:sz="6" w:space="0" w:color="auto"/>
              <w:left w:val="outset" w:sz="6" w:space="0" w:color="auto"/>
              <w:bottom w:val="outset" w:sz="6" w:space="0" w:color="auto"/>
              <w:right w:val="outset" w:sz="6" w:space="0" w:color="auto"/>
            </w:tcBorders>
            <w:vAlign w:val="center"/>
          </w:tcPr>
          <w:p w14:paraId="55C3E911" w14:textId="77777777" w:rsidR="005E000F" w:rsidRDefault="00000000">
            <w:pPr>
              <w:jc w:val="right"/>
            </w:pPr>
            <w:r>
              <w:t>20,147,177,716</w:t>
            </w:r>
          </w:p>
        </w:tc>
        <w:tc>
          <w:tcPr>
            <w:tcW w:w="2411" w:type="dxa"/>
            <w:tcBorders>
              <w:top w:val="outset" w:sz="6" w:space="0" w:color="auto"/>
              <w:left w:val="outset" w:sz="6" w:space="0" w:color="auto"/>
              <w:bottom w:val="outset" w:sz="6" w:space="0" w:color="auto"/>
              <w:right w:val="outset" w:sz="6" w:space="0" w:color="auto"/>
            </w:tcBorders>
            <w:vAlign w:val="center"/>
          </w:tcPr>
          <w:p w14:paraId="57D10672" w14:textId="77777777" w:rsidR="005E000F" w:rsidRDefault="00000000">
            <w:pPr>
              <w:jc w:val="right"/>
            </w:pPr>
            <w:r>
              <w:rPr>
                <w:rFonts w:hint="eastAsia"/>
              </w:rPr>
              <w:t>18,807,273,822</w:t>
            </w:r>
          </w:p>
        </w:tc>
      </w:tr>
      <w:tr w:rsidR="005E000F" w14:paraId="72708EE6" w14:textId="77777777">
        <w:tc>
          <w:tcPr>
            <w:tcW w:w="2944" w:type="dxa"/>
            <w:tcBorders>
              <w:top w:val="outset" w:sz="6" w:space="0" w:color="auto"/>
              <w:left w:val="outset" w:sz="6" w:space="0" w:color="auto"/>
              <w:bottom w:val="outset" w:sz="6" w:space="0" w:color="auto"/>
              <w:right w:val="outset" w:sz="6" w:space="0" w:color="auto"/>
            </w:tcBorders>
            <w:vAlign w:val="center"/>
          </w:tcPr>
          <w:p w14:paraId="2504B7E6" w14:textId="77777777" w:rsidR="005E000F" w:rsidRDefault="00000000">
            <w:pPr>
              <w:ind w:firstLineChars="100" w:firstLine="210"/>
              <w:rPr>
                <w:color w:val="000000" w:themeColor="text1"/>
              </w:rPr>
            </w:pPr>
            <w:r>
              <w:rPr>
                <w:rFonts w:hint="eastAsia"/>
                <w:color w:val="000000" w:themeColor="text1"/>
              </w:rPr>
              <w:t>其他权益工具</w:t>
            </w:r>
          </w:p>
        </w:tc>
        <w:tc>
          <w:tcPr>
            <w:tcW w:w="1133" w:type="dxa"/>
            <w:tcBorders>
              <w:top w:val="outset" w:sz="6" w:space="0" w:color="auto"/>
              <w:left w:val="outset" w:sz="6" w:space="0" w:color="auto"/>
              <w:bottom w:val="outset" w:sz="6" w:space="0" w:color="auto"/>
              <w:right w:val="outset" w:sz="6" w:space="0" w:color="auto"/>
            </w:tcBorders>
            <w:vAlign w:val="center"/>
          </w:tcPr>
          <w:p w14:paraId="410FBF95" w14:textId="77777777" w:rsidR="005E000F" w:rsidRDefault="00000000">
            <w:r>
              <w:rPr>
                <w:rFonts w:hint="eastAsia"/>
              </w:rPr>
              <w:t>七、</w:t>
            </w:r>
            <w:r>
              <w:t>54</w:t>
            </w:r>
          </w:p>
        </w:tc>
        <w:tc>
          <w:tcPr>
            <w:tcW w:w="2550" w:type="dxa"/>
            <w:tcBorders>
              <w:top w:val="outset" w:sz="6" w:space="0" w:color="auto"/>
              <w:left w:val="outset" w:sz="6" w:space="0" w:color="auto"/>
              <w:bottom w:val="outset" w:sz="6" w:space="0" w:color="auto"/>
              <w:right w:val="outset" w:sz="6" w:space="0" w:color="auto"/>
            </w:tcBorders>
            <w:vAlign w:val="center"/>
          </w:tcPr>
          <w:p w14:paraId="1435867B"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6474DDDF" w14:textId="77777777" w:rsidR="005E000F" w:rsidRDefault="00000000">
            <w:pPr>
              <w:jc w:val="right"/>
            </w:pPr>
            <w:r>
              <w:rPr>
                <w:rFonts w:hint="eastAsia"/>
              </w:rPr>
              <w:t>804,984,728</w:t>
            </w:r>
          </w:p>
        </w:tc>
      </w:tr>
      <w:tr w:rsidR="005E000F" w14:paraId="317F0884" w14:textId="77777777">
        <w:tc>
          <w:tcPr>
            <w:tcW w:w="2944" w:type="dxa"/>
            <w:tcBorders>
              <w:top w:val="outset" w:sz="6" w:space="0" w:color="auto"/>
              <w:left w:val="outset" w:sz="6" w:space="0" w:color="auto"/>
              <w:bottom w:val="outset" w:sz="6" w:space="0" w:color="auto"/>
              <w:right w:val="outset" w:sz="6" w:space="0" w:color="auto"/>
            </w:tcBorders>
            <w:vAlign w:val="center"/>
          </w:tcPr>
          <w:p w14:paraId="6326F40E" w14:textId="77777777" w:rsidR="005E000F" w:rsidRDefault="00000000">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686DA981"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20CB3B2"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C569AD7" w14:textId="77777777" w:rsidR="005E000F" w:rsidRDefault="00000000">
            <w:pPr>
              <w:jc w:val="right"/>
            </w:pPr>
            <w:r>
              <w:rPr>
                <w:rFonts w:hint="eastAsia"/>
              </w:rPr>
              <w:t>0</w:t>
            </w:r>
          </w:p>
        </w:tc>
      </w:tr>
      <w:tr w:rsidR="005E000F" w14:paraId="3441F8FD" w14:textId="77777777">
        <w:tc>
          <w:tcPr>
            <w:tcW w:w="2944" w:type="dxa"/>
            <w:tcBorders>
              <w:top w:val="outset" w:sz="6" w:space="0" w:color="auto"/>
              <w:left w:val="outset" w:sz="6" w:space="0" w:color="auto"/>
              <w:bottom w:val="outset" w:sz="6" w:space="0" w:color="auto"/>
              <w:right w:val="outset" w:sz="6" w:space="0" w:color="auto"/>
            </w:tcBorders>
            <w:vAlign w:val="center"/>
          </w:tcPr>
          <w:p w14:paraId="717684B2" w14:textId="77777777" w:rsidR="005E000F" w:rsidRDefault="00000000">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6ACD8B36"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A627BD8"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F35F697" w14:textId="77777777" w:rsidR="005E000F" w:rsidRDefault="00000000">
            <w:pPr>
              <w:jc w:val="right"/>
            </w:pPr>
            <w:r>
              <w:rPr>
                <w:rFonts w:hint="eastAsia"/>
              </w:rPr>
              <w:t>0</w:t>
            </w:r>
          </w:p>
        </w:tc>
      </w:tr>
      <w:tr w:rsidR="005E000F" w14:paraId="789AEE77" w14:textId="77777777">
        <w:tc>
          <w:tcPr>
            <w:tcW w:w="2944" w:type="dxa"/>
            <w:tcBorders>
              <w:top w:val="outset" w:sz="6" w:space="0" w:color="auto"/>
              <w:left w:val="outset" w:sz="6" w:space="0" w:color="auto"/>
              <w:bottom w:val="outset" w:sz="6" w:space="0" w:color="auto"/>
              <w:right w:val="outset" w:sz="6" w:space="0" w:color="auto"/>
            </w:tcBorders>
            <w:vAlign w:val="center"/>
          </w:tcPr>
          <w:p w14:paraId="61F9DE98" w14:textId="77777777" w:rsidR="005E000F" w:rsidRDefault="00000000">
            <w:pPr>
              <w:ind w:firstLineChars="100" w:firstLine="210"/>
              <w:rPr>
                <w:color w:val="000000" w:themeColor="text1"/>
              </w:rPr>
            </w:pPr>
            <w:r>
              <w:rPr>
                <w:rFonts w:hint="eastAsia"/>
                <w:color w:val="000000" w:themeColor="text1"/>
              </w:rPr>
              <w:t>资本公积</w:t>
            </w:r>
          </w:p>
        </w:tc>
        <w:tc>
          <w:tcPr>
            <w:tcW w:w="1133" w:type="dxa"/>
            <w:tcBorders>
              <w:top w:val="outset" w:sz="6" w:space="0" w:color="auto"/>
              <w:left w:val="outset" w:sz="6" w:space="0" w:color="auto"/>
              <w:bottom w:val="outset" w:sz="6" w:space="0" w:color="auto"/>
              <w:right w:val="outset" w:sz="6" w:space="0" w:color="auto"/>
            </w:tcBorders>
            <w:vAlign w:val="center"/>
          </w:tcPr>
          <w:p w14:paraId="49DD6182" w14:textId="77777777" w:rsidR="005E000F" w:rsidRDefault="00000000">
            <w:r>
              <w:rPr>
                <w:rFonts w:hint="eastAsia"/>
              </w:rPr>
              <w:t>七、</w:t>
            </w:r>
            <w:r>
              <w:t>55</w:t>
            </w:r>
          </w:p>
        </w:tc>
        <w:tc>
          <w:tcPr>
            <w:tcW w:w="2550" w:type="dxa"/>
            <w:tcBorders>
              <w:top w:val="outset" w:sz="6" w:space="0" w:color="auto"/>
              <w:left w:val="outset" w:sz="6" w:space="0" w:color="auto"/>
              <w:bottom w:val="outset" w:sz="6" w:space="0" w:color="auto"/>
              <w:right w:val="outset" w:sz="6" w:space="0" w:color="auto"/>
            </w:tcBorders>
            <w:vAlign w:val="center"/>
          </w:tcPr>
          <w:p w14:paraId="4CF28E78" w14:textId="77777777" w:rsidR="005E000F" w:rsidRDefault="00000000">
            <w:pPr>
              <w:jc w:val="right"/>
            </w:pPr>
            <w:r>
              <w:t>53,514,144,855</w:t>
            </w:r>
          </w:p>
        </w:tc>
        <w:tc>
          <w:tcPr>
            <w:tcW w:w="2411" w:type="dxa"/>
            <w:tcBorders>
              <w:top w:val="outset" w:sz="6" w:space="0" w:color="auto"/>
              <w:left w:val="outset" w:sz="6" w:space="0" w:color="auto"/>
              <w:bottom w:val="outset" w:sz="6" w:space="0" w:color="auto"/>
              <w:right w:val="outset" w:sz="6" w:space="0" w:color="auto"/>
            </w:tcBorders>
            <w:vAlign w:val="center"/>
          </w:tcPr>
          <w:p w14:paraId="10506E0F" w14:textId="77777777" w:rsidR="005E000F" w:rsidRDefault="00000000">
            <w:pPr>
              <w:jc w:val="right"/>
            </w:pPr>
            <w:r>
              <w:rPr>
                <w:rFonts w:hint="eastAsia"/>
              </w:rPr>
              <w:t>45,971,604,759</w:t>
            </w:r>
          </w:p>
        </w:tc>
      </w:tr>
      <w:tr w:rsidR="005E000F" w14:paraId="3378FB7E" w14:textId="77777777">
        <w:tc>
          <w:tcPr>
            <w:tcW w:w="2944" w:type="dxa"/>
            <w:tcBorders>
              <w:top w:val="outset" w:sz="6" w:space="0" w:color="auto"/>
              <w:left w:val="outset" w:sz="6" w:space="0" w:color="auto"/>
              <w:bottom w:val="outset" w:sz="6" w:space="0" w:color="auto"/>
              <w:right w:val="outset" w:sz="6" w:space="0" w:color="auto"/>
            </w:tcBorders>
            <w:vAlign w:val="center"/>
          </w:tcPr>
          <w:p w14:paraId="6ABB5432" w14:textId="77777777" w:rsidR="005E000F" w:rsidRDefault="00000000">
            <w:pPr>
              <w:ind w:firstLineChars="100" w:firstLine="210"/>
              <w:rPr>
                <w:color w:val="000000" w:themeColor="text1"/>
              </w:rPr>
            </w:pPr>
            <w:r>
              <w:rPr>
                <w:rFonts w:hint="eastAsia"/>
                <w:color w:val="000000" w:themeColor="text1"/>
              </w:rPr>
              <w:t>减：库存股</w:t>
            </w:r>
          </w:p>
        </w:tc>
        <w:tc>
          <w:tcPr>
            <w:tcW w:w="1133" w:type="dxa"/>
            <w:tcBorders>
              <w:top w:val="outset" w:sz="6" w:space="0" w:color="auto"/>
              <w:left w:val="outset" w:sz="6" w:space="0" w:color="auto"/>
              <w:bottom w:val="outset" w:sz="6" w:space="0" w:color="auto"/>
              <w:right w:val="outset" w:sz="6" w:space="0" w:color="auto"/>
            </w:tcBorders>
            <w:vAlign w:val="center"/>
          </w:tcPr>
          <w:p w14:paraId="2F9A03DE" w14:textId="77777777" w:rsidR="005E000F" w:rsidRDefault="00000000">
            <w:r>
              <w:rPr>
                <w:rFonts w:hint="eastAsia"/>
              </w:rPr>
              <w:t>七、</w:t>
            </w:r>
            <w:r>
              <w:t>5</w:t>
            </w:r>
            <w:r>
              <w:rPr>
                <w:rFonts w:hint="eastAsia"/>
              </w:rPr>
              <w:t>6</w:t>
            </w:r>
          </w:p>
        </w:tc>
        <w:tc>
          <w:tcPr>
            <w:tcW w:w="2550" w:type="dxa"/>
            <w:tcBorders>
              <w:top w:val="outset" w:sz="6" w:space="0" w:color="auto"/>
              <w:left w:val="outset" w:sz="6" w:space="0" w:color="auto"/>
              <w:bottom w:val="outset" w:sz="6" w:space="0" w:color="auto"/>
              <w:right w:val="outset" w:sz="6" w:space="0" w:color="auto"/>
            </w:tcBorders>
            <w:vAlign w:val="center"/>
          </w:tcPr>
          <w:p w14:paraId="42931F3C" w14:textId="77777777" w:rsidR="005E000F" w:rsidRDefault="00000000">
            <w:pPr>
              <w:jc w:val="right"/>
            </w:pPr>
            <w:r>
              <w:t>247,783,807</w:t>
            </w:r>
          </w:p>
        </w:tc>
        <w:tc>
          <w:tcPr>
            <w:tcW w:w="2411" w:type="dxa"/>
            <w:tcBorders>
              <w:top w:val="outset" w:sz="6" w:space="0" w:color="auto"/>
              <w:left w:val="outset" w:sz="6" w:space="0" w:color="auto"/>
              <w:bottom w:val="outset" w:sz="6" w:space="0" w:color="auto"/>
              <w:right w:val="outset" w:sz="6" w:space="0" w:color="auto"/>
            </w:tcBorders>
            <w:vAlign w:val="center"/>
          </w:tcPr>
          <w:p w14:paraId="2122147E" w14:textId="77777777" w:rsidR="005E000F" w:rsidRDefault="00000000">
            <w:pPr>
              <w:jc w:val="right"/>
            </w:pPr>
            <w:r>
              <w:rPr>
                <w:rFonts w:hint="eastAsia"/>
              </w:rPr>
              <w:t>0</w:t>
            </w:r>
          </w:p>
        </w:tc>
      </w:tr>
      <w:tr w:rsidR="005E000F" w14:paraId="6BD5857F" w14:textId="77777777">
        <w:tc>
          <w:tcPr>
            <w:tcW w:w="2944" w:type="dxa"/>
            <w:tcBorders>
              <w:top w:val="outset" w:sz="6" w:space="0" w:color="auto"/>
              <w:left w:val="outset" w:sz="6" w:space="0" w:color="auto"/>
              <w:bottom w:val="outset" w:sz="6" w:space="0" w:color="auto"/>
              <w:right w:val="outset" w:sz="6" w:space="0" w:color="auto"/>
            </w:tcBorders>
            <w:vAlign w:val="center"/>
          </w:tcPr>
          <w:p w14:paraId="4354E2D2" w14:textId="77777777" w:rsidR="005E000F" w:rsidRDefault="00000000">
            <w:pPr>
              <w:ind w:firstLineChars="100" w:firstLine="210"/>
              <w:rPr>
                <w:color w:val="000000" w:themeColor="text1"/>
              </w:rPr>
            </w:pPr>
            <w:r>
              <w:rPr>
                <w:rFonts w:hint="eastAsia"/>
                <w:color w:val="000000" w:themeColor="text1"/>
              </w:rPr>
              <w:t>其他综合收益</w:t>
            </w:r>
          </w:p>
        </w:tc>
        <w:tc>
          <w:tcPr>
            <w:tcW w:w="1133" w:type="dxa"/>
            <w:tcBorders>
              <w:top w:val="outset" w:sz="6" w:space="0" w:color="auto"/>
              <w:left w:val="outset" w:sz="6" w:space="0" w:color="auto"/>
              <w:bottom w:val="outset" w:sz="6" w:space="0" w:color="auto"/>
              <w:right w:val="outset" w:sz="6" w:space="0" w:color="auto"/>
            </w:tcBorders>
            <w:vAlign w:val="center"/>
          </w:tcPr>
          <w:p w14:paraId="2A8E6829" w14:textId="77777777" w:rsidR="005E000F" w:rsidRDefault="00000000">
            <w:r>
              <w:rPr>
                <w:rFonts w:hint="eastAsia"/>
              </w:rPr>
              <w:t>七、</w:t>
            </w:r>
            <w:r>
              <w:t>57</w:t>
            </w:r>
          </w:p>
        </w:tc>
        <w:tc>
          <w:tcPr>
            <w:tcW w:w="2550" w:type="dxa"/>
            <w:tcBorders>
              <w:top w:val="outset" w:sz="6" w:space="0" w:color="auto"/>
              <w:left w:val="outset" w:sz="6" w:space="0" w:color="auto"/>
              <w:bottom w:val="outset" w:sz="6" w:space="0" w:color="auto"/>
              <w:right w:val="outset" w:sz="6" w:space="0" w:color="auto"/>
            </w:tcBorders>
            <w:vAlign w:val="center"/>
          </w:tcPr>
          <w:p w14:paraId="343EA684" w14:textId="77777777" w:rsidR="005E000F" w:rsidRDefault="00000000">
            <w:pPr>
              <w:jc w:val="right"/>
            </w:pPr>
            <w:r>
              <w:t>-1,972,577,195</w:t>
            </w:r>
          </w:p>
        </w:tc>
        <w:tc>
          <w:tcPr>
            <w:tcW w:w="2411" w:type="dxa"/>
            <w:tcBorders>
              <w:top w:val="outset" w:sz="6" w:space="0" w:color="auto"/>
              <w:left w:val="outset" w:sz="6" w:space="0" w:color="auto"/>
              <w:bottom w:val="outset" w:sz="6" w:space="0" w:color="auto"/>
              <w:right w:val="outset" w:sz="6" w:space="0" w:color="auto"/>
            </w:tcBorders>
            <w:vAlign w:val="center"/>
          </w:tcPr>
          <w:p w14:paraId="6286E394" w14:textId="77777777" w:rsidR="005E000F" w:rsidRDefault="00000000">
            <w:pPr>
              <w:jc w:val="right"/>
            </w:pPr>
            <w:r>
              <w:rPr>
                <w:rFonts w:hint="eastAsia"/>
              </w:rPr>
              <w:t>-1,920,952,306</w:t>
            </w:r>
          </w:p>
        </w:tc>
      </w:tr>
      <w:tr w:rsidR="005E000F" w14:paraId="5CF51430" w14:textId="77777777">
        <w:tc>
          <w:tcPr>
            <w:tcW w:w="2944" w:type="dxa"/>
            <w:tcBorders>
              <w:top w:val="outset" w:sz="6" w:space="0" w:color="auto"/>
              <w:left w:val="outset" w:sz="6" w:space="0" w:color="auto"/>
              <w:bottom w:val="outset" w:sz="6" w:space="0" w:color="auto"/>
              <w:right w:val="outset" w:sz="6" w:space="0" w:color="auto"/>
            </w:tcBorders>
            <w:vAlign w:val="center"/>
          </w:tcPr>
          <w:p w14:paraId="796F4614" w14:textId="77777777" w:rsidR="005E000F" w:rsidRDefault="00000000">
            <w:pPr>
              <w:ind w:firstLineChars="100" w:firstLine="210"/>
              <w:rPr>
                <w:color w:val="000000" w:themeColor="text1"/>
              </w:rPr>
            </w:pPr>
            <w:r>
              <w:rPr>
                <w:rFonts w:hint="eastAsia"/>
                <w:color w:val="000000" w:themeColor="text1"/>
              </w:rPr>
              <w:t>专项储备</w:t>
            </w:r>
          </w:p>
        </w:tc>
        <w:tc>
          <w:tcPr>
            <w:tcW w:w="1133" w:type="dxa"/>
            <w:tcBorders>
              <w:top w:val="outset" w:sz="6" w:space="0" w:color="auto"/>
              <w:left w:val="outset" w:sz="6" w:space="0" w:color="auto"/>
              <w:bottom w:val="outset" w:sz="6" w:space="0" w:color="auto"/>
              <w:right w:val="outset" w:sz="6" w:space="0" w:color="auto"/>
            </w:tcBorders>
            <w:vAlign w:val="center"/>
          </w:tcPr>
          <w:p w14:paraId="3CE071AA" w14:textId="77777777" w:rsidR="005E000F" w:rsidRDefault="00000000">
            <w:r>
              <w:rPr>
                <w:rFonts w:hint="eastAsia"/>
              </w:rPr>
              <w:t>七、</w:t>
            </w:r>
            <w:r>
              <w:t>58</w:t>
            </w:r>
          </w:p>
        </w:tc>
        <w:tc>
          <w:tcPr>
            <w:tcW w:w="2550" w:type="dxa"/>
            <w:tcBorders>
              <w:top w:val="outset" w:sz="6" w:space="0" w:color="auto"/>
              <w:left w:val="outset" w:sz="6" w:space="0" w:color="auto"/>
              <w:bottom w:val="outset" w:sz="6" w:space="0" w:color="auto"/>
              <w:right w:val="outset" w:sz="6" w:space="0" w:color="auto"/>
            </w:tcBorders>
            <w:vAlign w:val="center"/>
          </w:tcPr>
          <w:p w14:paraId="09755F1A" w14:textId="77777777" w:rsidR="005E000F" w:rsidRDefault="00000000">
            <w:pPr>
              <w:jc w:val="right"/>
            </w:pPr>
            <w:r>
              <w:t>195,032,768</w:t>
            </w:r>
          </w:p>
        </w:tc>
        <w:tc>
          <w:tcPr>
            <w:tcW w:w="2411" w:type="dxa"/>
            <w:tcBorders>
              <w:top w:val="outset" w:sz="6" w:space="0" w:color="auto"/>
              <w:left w:val="outset" w:sz="6" w:space="0" w:color="auto"/>
              <w:bottom w:val="outset" w:sz="6" w:space="0" w:color="auto"/>
              <w:right w:val="outset" w:sz="6" w:space="0" w:color="auto"/>
            </w:tcBorders>
            <w:vAlign w:val="center"/>
          </w:tcPr>
          <w:p w14:paraId="76CE21D6" w14:textId="77777777" w:rsidR="005E000F" w:rsidRDefault="00000000">
            <w:pPr>
              <w:jc w:val="right"/>
            </w:pPr>
            <w:r>
              <w:rPr>
                <w:rFonts w:hint="eastAsia"/>
              </w:rPr>
              <w:t>235,448,207</w:t>
            </w:r>
          </w:p>
        </w:tc>
      </w:tr>
      <w:tr w:rsidR="005E000F" w14:paraId="5047A5DD" w14:textId="77777777">
        <w:tc>
          <w:tcPr>
            <w:tcW w:w="2944" w:type="dxa"/>
            <w:tcBorders>
              <w:top w:val="outset" w:sz="6" w:space="0" w:color="auto"/>
              <w:left w:val="outset" w:sz="6" w:space="0" w:color="auto"/>
              <w:bottom w:val="outset" w:sz="6" w:space="0" w:color="auto"/>
              <w:right w:val="outset" w:sz="6" w:space="0" w:color="auto"/>
            </w:tcBorders>
            <w:vAlign w:val="center"/>
          </w:tcPr>
          <w:p w14:paraId="4114629C" w14:textId="77777777" w:rsidR="005E000F" w:rsidRDefault="00000000">
            <w:pPr>
              <w:ind w:firstLineChars="100" w:firstLine="210"/>
              <w:rPr>
                <w:color w:val="000000" w:themeColor="text1"/>
              </w:rPr>
            </w:pPr>
            <w:r>
              <w:rPr>
                <w:rFonts w:hint="eastAsia"/>
                <w:color w:val="000000" w:themeColor="text1"/>
              </w:rPr>
              <w:t>盈余公积</w:t>
            </w:r>
          </w:p>
        </w:tc>
        <w:tc>
          <w:tcPr>
            <w:tcW w:w="1133" w:type="dxa"/>
            <w:tcBorders>
              <w:top w:val="outset" w:sz="6" w:space="0" w:color="auto"/>
              <w:left w:val="outset" w:sz="6" w:space="0" w:color="auto"/>
              <w:bottom w:val="outset" w:sz="6" w:space="0" w:color="auto"/>
              <w:right w:val="outset" w:sz="6" w:space="0" w:color="auto"/>
            </w:tcBorders>
            <w:vAlign w:val="center"/>
          </w:tcPr>
          <w:p w14:paraId="4617C719" w14:textId="77777777" w:rsidR="005E000F" w:rsidRDefault="00000000">
            <w:r>
              <w:rPr>
                <w:rFonts w:hint="eastAsia"/>
              </w:rPr>
              <w:t>七、</w:t>
            </w:r>
            <w:r>
              <w:t>59</w:t>
            </w:r>
          </w:p>
        </w:tc>
        <w:tc>
          <w:tcPr>
            <w:tcW w:w="2550" w:type="dxa"/>
            <w:tcBorders>
              <w:top w:val="outset" w:sz="6" w:space="0" w:color="auto"/>
              <w:left w:val="outset" w:sz="6" w:space="0" w:color="auto"/>
              <w:bottom w:val="outset" w:sz="6" w:space="0" w:color="auto"/>
              <w:right w:val="outset" w:sz="6" w:space="0" w:color="auto"/>
            </w:tcBorders>
            <w:vAlign w:val="center"/>
          </w:tcPr>
          <w:p w14:paraId="193DEE6A" w14:textId="77777777" w:rsidR="005E000F" w:rsidRDefault="00000000">
            <w:pPr>
              <w:jc w:val="right"/>
            </w:pPr>
            <w:r>
              <w:t>22,110,014,702</w:t>
            </w:r>
          </w:p>
        </w:tc>
        <w:tc>
          <w:tcPr>
            <w:tcW w:w="2411" w:type="dxa"/>
            <w:tcBorders>
              <w:top w:val="outset" w:sz="6" w:space="0" w:color="auto"/>
              <w:left w:val="outset" w:sz="6" w:space="0" w:color="auto"/>
              <w:bottom w:val="outset" w:sz="6" w:space="0" w:color="auto"/>
              <w:right w:val="outset" w:sz="6" w:space="0" w:color="auto"/>
            </w:tcBorders>
            <w:vAlign w:val="center"/>
          </w:tcPr>
          <w:p w14:paraId="77F0144C" w14:textId="77777777" w:rsidR="005E000F" w:rsidRDefault="00000000">
            <w:pPr>
              <w:jc w:val="right"/>
            </w:pPr>
            <w:r>
              <w:rPr>
                <w:rFonts w:hint="eastAsia"/>
              </w:rPr>
              <w:t>21,495,996,826</w:t>
            </w:r>
          </w:p>
        </w:tc>
      </w:tr>
      <w:tr w:rsidR="005E000F" w14:paraId="5A8D1C5E" w14:textId="77777777">
        <w:tc>
          <w:tcPr>
            <w:tcW w:w="2944" w:type="dxa"/>
            <w:tcBorders>
              <w:top w:val="outset" w:sz="6" w:space="0" w:color="auto"/>
              <w:left w:val="outset" w:sz="6" w:space="0" w:color="auto"/>
              <w:bottom w:val="outset" w:sz="6" w:space="0" w:color="auto"/>
              <w:right w:val="outset" w:sz="6" w:space="0" w:color="auto"/>
            </w:tcBorders>
            <w:vAlign w:val="center"/>
          </w:tcPr>
          <w:p w14:paraId="67B2EBAB" w14:textId="77777777" w:rsidR="005E000F" w:rsidRDefault="00000000">
            <w:pPr>
              <w:ind w:firstLineChars="100" w:firstLine="210"/>
              <w:rPr>
                <w:color w:val="000000" w:themeColor="text1"/>
              </w:rPr>
            </w:pPr>
            <w:r>
              <w:rPr>
                <w:rFonts w:hint="eastAsia"/>
                <w:color w:val="000000" w:themeColor="text1"/>
              </w:rPr>
              <w:t>一般风险准备</w:t>
            </w:r>
          </w:p>
        </w:tc>
        <w:tc>
          <w:tcPr>
            <w:tcW w:w="1133" w:type="dxa"/>
            <w:tcBorders>
              <w:top w:val="outset" w:sz="6" w:space="0" w:color="auto"/>
              <w:left w:val="outset" w:sz="6" w:space="0" w:color="auto"/>
              <w:bottom w:val="outset" w:sz="6" w:space="0" w:color="auto"/>
              <w:right w:val="outset" w:sz="6" w:space="0" w:color="auto"/>
            </w:tcBorders>
            <w:vAlign w:val="center"/>
          </w:tcPr>
          <w:p w14:paraId="5607FDE6"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BA44749"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84F701F" w14:textId="77777777" w:rsidR="005E000F" w:rsidRDefault="00000000">
            <w:pPr>
              <w:jc w:val="right"/>
            </w:pPr>
            <w:r>
              <w:rPr>
                <w:rFonts w:hint="eastAsia"/>
              </w:rPr>
              <w:t>0</w:t>
            </w:r>
          </w:p>
        </w:tc>
      </w:tr>
      <w:tr w:rsidR="005E000F" w14:paraId="38BCBB5B" w14:textId="77777777">
        <w:tc>
          <w:tcPr>
            <w:tcW w:w="2944" w:type="dxa"/>
            <w:tcBorders>
              <w:top w:val="outset" w:sz="6" w:space="0" w:color="auto"/>
              <w:left w:val="outset" w:sz="6" w:space="0" w:color="auto"/>
              <w:bottom w:val="outset" w:sz="6" w:space="0" w:color="auto"/>
              <w:right w:val="outset" w:sz="6" w:space="0" w:color="auto"/>
            </w:tcBorders>
            <w:vAlign w:val="center"/>
          </w:tcPr>
          <w:p w14:paraId="72862A72" w14:textId="77777777" w:rsidR="005E000F" w:rsidRDefault="00000000">
            <w:pPr>
              <w:ind w:firstLineChars="100" w:firstLine="210"/>
              <w:rPr>
                <w:color w:val="000000" w:themeColor="text1"/>
              </w:rPr>
            </w:pPr>
            <w:r>
              <w:rPr>
                <w:rFonts w:hint="eastAsia"/>
                <w:color w:val="000000" w:themeColor="text1"/>
              </w:rPr>
              <w:t>未分配利润</w:t>
            </w:r>
          </w:p>
        </w:tc>
        <w:tc>
          <w:tcPr>
            <w:tcW w:w="1133" w:type="dxa"/>
            <w:tcBorders>
              <w:top w:val="outset" w:sz="6" w:space="0" w:color="auto"/>
              <w:left w:val="outset" w:sz="6" w:space="0" w:color="auto"/>
              <w:bottom w:val="outset" w:sz="6" w:space="0" w:color="auto"/>
              <w:right w:val="outset" w:sz="6" w:space="0" w:color="auto"/>
            </w:tcBorders>
            <w:vAlign w:val="center"/>
          </w:tcPr>
          <w:p w14:paraId="201751A0" w14:textId="77777777" w:rsidR="005E000F" w:rsidRDefault="00000000">
            <w:r>
              <w:rPr>
                <w:rFonts w:hint="eastAsia"/>
              </w:rPr>
              <w:t>七、</w:t>
            </w:r>
            <w:r>
              <w:t>60</w:t>
            </w:r>
          </w:p>
        </w:tc>
        <w:tc>
          <w:tcPr>
            <w:tcW w:w="2550" w:type="dxa"/>
            <w:tcBorders>
              <w:top w:val="outset" w:sz="6" w:space="0" w:color="auto"/>
              <w:left w:val="outset" w:sz="6" w:space="0" w:color="auto"/>
              <w:bottom w:val="outset" w:sz="6" w:space="0" w:color="auto"/>
              <w:right w:val="outset" w:sz="6" w:space="0" w:color="auto"/>
            </w:tcBorders>
            <w:vAlign w:val="center"/>
          </w:tcPr>
          <w:p w14:paraId="39A3247E" w14:textId="77777777" w:rsidR="005E000F" w:rsidRDefault="00000000">
            <w:pPr>
              <w:jc w:val="right"/>
            </w:pPr>
            <w:r>
              <w:t>70,530,246,795</w:t>
            </w:r>
          </w:p>
        </w:tc>
        <w:tc>
          <w:tcPr>
            <w:tcW w:w="2411" w:type="dxa"/>
            <w:tcBorders>
              <w:top w:val="outset" w:sz="6" w:space="0" w:color="auto"/>
              <w:left w:val="outset" w:sz="6" w:space="0" w:color="auto"/>
              <w:bottom w:val="outset" w:sz="6" w:space="0" w:color="auto"/>
              <w:right w:val="outset" w:sz="6" w:space="0" w:color="auto"/>
            </w:tcBorders>
            <w:vAlign w:val="center"/>
          </w:tcPr>
          <w:p w14:paraId="42BBC68C" w14:textId="77777777" w:rsidR="005E000F" w:rsidRDefault="00000000">
            <w:pPr>
              <w:jc w:val="right"/>
            </w:pPr>
            <w:r>
              <w:rPr>
                <w:rFonts w:hint="eastAsia"/>
              </w:rPr>
              <w:t>69,489,614,587</w:t>
            </w:r>
          </w:p>
        </w:tc>
      </w:tr>
      <w:tr w:rsidR="005E000F" w14:paraId="149C0BE4" w14:textId="77777777">
        <w:tc>
          <w:tcPr>
            <w:tcW w:w="2944" w:type="dxa"/>
            <w:tcBorders>
              <w:top w:val="outset" w:sz="6" w:space="0" w:color="auto"/>
              <w:left w:val="outset" w:sz="6" w:space="0" w:color="auto"/>
              <w:bottom w:val="outset" w:sz="6" w:space="0" w:color="auto"/>
              <w:right w:val="outset" w:sz="6" w:space="0" w:color="auto"/>
            </w:tcBorders>
            <w:vAlign w:val="center"/>
          </w:tcPr>
          <w:p w14:paraId="3B6C6B60" w14:textId="77777777" w:rsidR="005E000F" w:rsidRDefault="00000000">
            <w:pPr>
              <w:ind w:firstLineChars="100" w:firstLine="210"/>
              <w:rPr>
                <w:color w:val="000000" w:themeColor="text1"/>
              </w:rPr>
            </w:pPr>
            <w:r>
              <w:rPr>
                <w:rFonts w:hint="eastAsia"/>
                <w:color w:val="000000" w:themeColor="text1"/>
              </w:rPr>
              <w:t>归属于母公司所有者权益（或股东权益）合计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4960092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44B2D3B" w14:textId="77777777" w:rsidR="005E000F" w:rsidRDefault="00000000">
            <w:pPr>
              <w:jc w:val="right"/>
            </w:pPr>
            <w:r>
              <w:t>164,276,255,834</w:t>
            </w:r>
          </w:p>
        </w:tc>
        <w:tc>
          <w:tcPr>
            <w:tcW w:w="2411" w:type="dxa"/>
            <w:tcBorders>
              <w:top w:val="outset" w:sz="6" w:space="0" w:color="auto"/>
              <w:left w:val="outset" w:sz="6" w:space="0" w:color="auto"/>
              <w:bottom w:val="outset" w:sz="6" w:space="0" w:color="auto"/>
              <w:right w:val="outset" w:sz="6" w:space="0" w:color="auto"/>
            </w:tcBorders>
            <w:vAlign w:val="center"/>
          </w:tcPr>
          <w:p w14:paraId="5312D5AC" w14:textId="77777777" w:rsidR="005E000F" w:rsidRDefault="00000000">
            <w:pPr>
              <w:jc w:val="right"/>
            </w:pPr>
            <w:r>
              <w:rPr>
                <w:rFonts w:hint="eastAsia"/>
              </w:rPr>
              <w:t>154,883,970,623</w:t>
            </w:r>
          </w:p>
        </w:tc>
      </w:tr>
      <w:tr w:rsidR="005E000F" w14:paraId="5C7EFCA7" w14:textId="77777777">
        <w:tc>
          <w:tcPr>
            <w:tcW w:w="2944" w:type="dxa"/>
            <w:tcBorders>
              <w:top w:val="outset" w:sz="6" w:space="0" w:color="auto"/>
              <w:left w:val="outset" w:sz="6" w:space="0" w:color="auto"/>
              <w:bottom w:val="outset" w:sz="6" w:space="0" w:color="auto"/>
              <w:right w:val="outset" w:sz="6" w:space="0" w:color="auto"/>
            </w:tcBorders>
            <w:vAlign w:val="center"/>
          </w:tcPr>
          <w:p w14:paraId="4180EC97" w14:textId="77777777" w:rsidR="005E000F" w:rsidRDefault="00000000">
            <w:pPr>
              <w:ind w:firstLineChars="100" w:firstLine="210"/>
              <w:rPr>
                <w:color w:val="000000" w:themeColor="text1"/>
              </w:rPr>
            </w:pPr>
            <w:r>
              <w:rPr>
                <w:rFonts w:hint="eastAsia"/>
                <w:color w:val="000000" w:themeColor="text1"/>
              </w:rPr>
              <w:t>少数股东权益</w:t>
            </w:r>
          </w:p>
        </w:tc>
        <w:tc>
          <w:tcPr>
            <w:tcW w:w="1133" w:type="dxa"/>
            <w:tcBorders>
              <w:top w:val="outset" w:sz="6" w:space="0" w:color="auto"/>
              <w:left w:val="outset" w:sz="6" w:space="0" w:color="auto"/>
              <w:bottom w:val="outset" w:sz="6" w:space="0" w:color="auto"/>
              <w:right w:val="outset" w:sz="6" w:space="0" w:color="auto"/>
            </w:tcBorders>
            <w:vAlign w:val="center"/>
          </w:tcPr>
          <w:p w14:paraId="0A0130A1"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AB346CF" w14:textId="77777777" w:rsidR="005E000F" w:rsidRDefault="00000000">
            <w:pPr>
              <w:jc w:val="right"/>
            </w:pPr>
            <w:r>
              <w:t>15,262,389,974</w:t>
            </w:r>
          </w:p>
        </w:tc>
        <w:tc>
          <w:tcPr>
            <w:tcW w:w="2411" w:type="dxa"/>
            <w:tcBorders>
              <w:top w:val="outset" w:sz="6" w:space="0" w:color="auto"/>
              <w:left w:val="outset" w:sz="6" w:space="0" w:color="auto"/>
              <w:bottom w:val="outset" w:sz="6" w:space="0" w:color="auto"/>
              <w:right w:val="outset" w:sz="6" w:space="0" w:color="auto"/>
            </w:tcBorders>
            <w:vAlign w:val="center"/>
          </w:tcPr>
          <w:p w14:paraId="7AB0677C" w14:textId="77777777" w:rsidR="005E000F" w:rsidRDefault="00000000">
            <w:pPr>
              <w:jc w:val="right"/>
            </w:pPr>
            <w:r>
              <w:rPr>
                <w:rFonts w:hint="eastAsia"/>
              </w:rPr>
              <w:t>15,084,912,113</w:t>
            </w:r>
          </w:p>
        </w:tc>
      </w:tr>
      <w:tr w:rsidR="005E000F" w14:paraId="22155BFD" w14:textId="77777777">
        <w:tc>
          <w:tcPr>
            <w:tcW w:w="2944" w:type="dxa"/>
            <w:tcBorders>
              <w:top w:val="outset" w:sz="6" w:space="0" w:color="auto"/>
              <w:left w:val="outset" w:sz="6" w:space="0" w:color="auto"/>
              <w:bottom w:val="outset" w:sz="6" w:space="0" w:color="auto"/>
              <w:right w:val="outset" w:sz="6" w:space="0" w:color="auto"/>
            </w:tcBorders>
            <w:vAlign w:val="center"/>
          </w:tcPr>
          <w:p w14:paraId="0EAF6F35" w14:textId="77777777" w:rsidR="005E000F" w:rsidRDefault="00000000">
            <w:pPr>
              <w:ind w:firstLineChars="200" w:firstLine="420"/>
              <w:rPr>
                <w:color w:val="000000" w:themeColor="text1"/>
              </w:rPr>
            </w:pPr>
            <w:r>
              <w:rPr>
                <w:rFonts w:hint="eastAsia"/>
                <w:color w:val="000000" w:themeColor="text1"/>
              </w:rPr>
              <w:t>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7B4A043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1919D02" w14:textId="77777777" w:rsidR="005E000F" w:rsidRDefault="00000000">
            <w:pPr>
              <w:jc w:val="right"/>
            </w:pPr>
            <w:r>
              <w:t>179,538,645,808</w:t>
            </w:r>
          </w:p>
        </w:tc>
        <w:tc>
          <w:tcPr>
            <w:tcW w:w="2411" w:type="dxa"/>
            <w:tcBorders>
              <w:top w:val="outset" w:sz="6" w:space="0" w:color="auto"/>
              <w:left w:val="outset" w:sz="6" w:space="0" w:color="auto"/>
              <w:bottom w:val="outset" w:sz="6" w:space="0" w:color="auto"/>
              <w:right w:val="outset" w:sz="6" w:space="0" w:color="auto"/>
            </w:tcBorders>
            <w:vAlign w:val="center"/>
          </w:tcPr>
          <w:p w14:paraId="2A413184" w14:textId="77777777" w:rsidR="005E000F" w:rsidRDefault="00000000">
            <w:pPr>
              <w:jc w:val="right"/>
            </w:pPr>
            <w:r>
              <w:rPr>
                <w:rFonts w:hint="eastAsia"/>
              </w:rPr>
              <w:t>169,968,882,736</w:t>
            </w:r>
          </w:p>
        </w:tc>
      </w:tr>
      <w:tr w:rsidR="005E000F" w14:paraId="0549E14C" w14:textId="77777777">
        <w:tc>
          <w:tcPr>
            <w:tcW w:w="2944" w:type="dxa"/>
            <w:tcBorders>
              <w:top w:val="outset" w:sz="6" w:space="0" w:color="auto"/>
              <w:left w:val="outset" w:sz="6" w:space="0" w:color="auto"/>
              <w:bottom w:val="outset" w:sz="6" w:space="0" w:color="auto"/>
              <w:right w:val="outset" w:sz="6" w:space="0" w:color="auto"/>
            </w:tcBorders>
            <w:vAlign w:val="center"/>
          </w:tcPr>
          <w:p w14:paraId="2876B3E1" w14:textId="77777777" w:rsidR="005E000F" w:rsidRDefault="00000000">
            <w:pPr>
              <w:ind w:firstLineChars="300" w:firstLine="630"/>
              <w:rPr>
                <w:color w:val="000000" w:themeColor="text1"/>
              </w:rPr>
            </w:pPr>
            <w:r>
              <w:rPr>
                <w:rFonts w:hint="eastAsia"/>
                <w:color w:val="000000" w:themeColor="text1"/>
              </w:rPr>
              <w:t>负债和所有者权益（或股东权益）总计</w:t>
            </w:r>
          </w:p>
        </w:tc>
        <w:tc>
          <w:tcPr>
            <w:tcW w:w="1133" w:type="dxa"/>
            <w:tcBorders>
              <w:top w:val="outset" w:sz="6" w:space="0" w:color="auto"/>
              <w:left w:val="outset" w:sz="6" w:space="0" w:color="auto"/>
              <w:bottom w:val="outset" w:sz="6" w:space="0" w:color="auto"/>
              <w:right w:val="outset" w:sz="6" w:space="0" w:color="auto"/>
            </w:tcBorders>
            <w:vAlign w:val="center"/>
          </w:tcPr>
          <w:p w14:paraId="6CDF96B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8A55AAB" w14:textId="77777777" w:rsidR="005E000F" w:rsidRDefault="00000000">
            <w:pPr>
              <w:jc w:val="right"/>
            </w:pPr>
            <w:r>
              <w:t>211,817,901,515</w:t>
            </w:r>
          </w:p>
        </w:tc>
        <w:tc>
          <w:tcPr>
            <w:tcW w:w="2411" w:type="dxa"/>
            <w:tcBorders>
              <w:top w:val="outset" w:sz="6" w:space="0" w:color="auto"/>
              <w:left w:val="outset" w:sz="6" w:space="0" w:color="auto"/>
              <w:bottom w:val="outset" w:sz="6" w:space="0" w:color="auto"/>
              <w:right w:val="outset" w:sz="6" w:space="0" w:color="auto"/>
            </w:tcBorders>
            <w:vAlign w:val="center"/>
          </w:tcPr>
          <w:p w14:paraId="5A9445E2" w14:textId="77777777" w:rsidR="005E000F" w:rsidRDefault="00000000">
            <w:pPr>
              <w:jc w:val="right"/>
            </w:pPr>
            <w:r>
              <w:rPr>
                <w:rFonts w:hint="eastAsia"/>
              </w:rPr>
              <w:t>207,017,831,253</w:t>
            </w:r>
          </w:p>
        </w:tc>
      </w:tr>
    </w:tbl>
    <w:bookmarkEnd w:id="227"/>
    <w:p w14:paraId="7E54CD30" w14:textId="77777777" w:rsidR="005E000F" w:rsidRDefault="00000000">
      <w:pPr>
        <w:ind w:rightChars="-73" w:right="-153"/>
        <w:rPr>
          <w:color w:val="008000"/>
          <w:u w:val="single"/>
        </w:rPr>
      </w:pPr>
      <w:r>
        <w:rPr>
          <w:rFonts w:hint="eastAsia"/>
        </w:rPr>
        <w:t>公司负责</w:t>
      </w:r>
      <w:r>
        <w:t>人</w:t>
      </w:r>
      <w:r>
        <w:rPr>
          <w:rFonts w:hint="eastAsia"/>
        </w:rPr>
        <w:t>：</w:t>
      </w:r>
      <w:sdt>
        <w:sdtPr>
          <w:rPr>
            <w:rFonts w:hint="eastAsia"/>
          </w:rPr>
          <w:alias w:val="公司负责人姓名"/>
          <w:tag w:val="_GBC_295740a12aa8498286bf2ef11896dbe9"/>
          <w:id w:val="-574827843"/>
          <w:placeholder>
            <w:docPart w:val="GBC22222222222222222222222222222"/>
          </w:placeholder>
          <w:dataBinding w:prefixMappings="xmlns:clcid-mr='clcid-mr'" w:xpath="/*/clcid-mr:GongSiFuZeRenXingMing[not(@periodRef)]" w:storeItemID="{89EBAB94-44A0-46A2-B712-30D997D04A6D}"/>
          <w:text/>
        </w:sdtPr>
        <w:sdtContent>
          <w:proofErr w:type="gramStart"/>
          <w:r>
            <w:rPr>
              <w:rFonts w:hint="eastAsia"/>
            </w:rPr>
            <w:t>陆勇</w:t>
          </w:r>
          <w:proofErr w:type="gramEnd"/>
        </w:sdtContent>
      </w:sdt>
      <w:r>
        <w:rPr>
          <w:rFonts w:hint="eastAsia"/>
        </w:rPr>
        <w:t xml:space="preserve"> </w:t>
      </w:r>
      <w:r>
        <w:rPr>
          <w:rFonts w:hint="eastAsia"/>
          <w:color w:val="000000" w:themeColor="text1"/>
        </w:rPr>
        <w:t>总经理：</w:t>
      </w:r>
      <w:r>
        <w:rPr>
          <w:rFonts w:hint="eastAsia"/>
        </w:rPr>
        <w:t>张竑毅</w:t>
      </w:r>
      <w:r>
        <w:rPr>
          <w:rFonts w:hint="eastAsia"/>
        </w:rPr>
        <w:t xml:space="preserve"> </w:t>
      </w:r>
      <w:r>
        <w:t>主管会计工作负责人</w:t>
      </w:r>
      <w:r>
        <w:rPr>
          <w:rFonts w:hint="eastAsia"/>
        </w:rPr>
        <w:t>：</w:t>
      </w:r>
      <w:sdt>
        <w:sdtPr>
          <w:rPr>
            <w:rFonts w:hint="eastAsia"/>
          </w:rPr>
          <w:alias w:val="主管会计工作负责人姓名"/>
          <w:tag w:val="_GBC_095c1df7dd6b412590466f3e711cd1e6"/>
          <w:id w:val="249090524"/>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b9cb47d6db784ba8a6b148d9331df451"/>
          <w:id w:val="1048106790"/>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孔韶鹏</w:t>
          </w:r>
        </w:sdtContent>
      </w:sdt>
    </w:p>
    <w:p w14:paraId="1650AD91" w14:textId="77777777" w:rsidR="005E000F" w:rsidRDefault="005E000F"/>
    <w:p w14:paraId="301F425B" w14:textId="77777777" w:rsidR="005E000F" w:rsidRDefault="005E000F"/>
    <w:p w14:paraId="3A417D1E" w14:textId="77777777" w:rsidR="005E000F" w:rsidRDefault="00000000">
      <w:pPr>
        <w:pStyle w:val="3"/>
        <w:jc w:val="center"/>
      </w:pPr>
      <w:bookmarkStart w:id="228" w:name="_Hlk24034197"/>
      <w:r>
        <w:rPr>
          <w:rFonts w:hint="eastAsia"/>
        </w:rPr>
        <w:t>母公司</w:t>
      </w:r>
      <w:r>
        <w:t>资产负债表</w:t>
      </w:r>
    </w:p>
    <w:p w14:paraId="7D69BC7D" w14:textId="77777777" w:rsidR="005E000F" w:rsidRDefault="00000000">
      <w:pPr>
        <w:jc w:val="center"/>
        <w:rPr>
          <w:b/>
          <w:bCs/>
        </w:rPr>
      </w:pPr>
      <w:r>
        <w:t>2025</w:t>
      </w:r>
      <w:r>
        <w:t>年</w:t>
      </w:r>
      <w:r>
        <w:t>12</w:t>
      </w:r>
      <w:r>
        <w:t>月</w:t>
      </w:r>
      <w:r>
        <w:t>31</w:t>
      </w:r>
      <w:r>
        <w:t>日</w:t>
      </w:r>
    </w:p>
    <w:p w14:paraId="5C710A62" w14:textId="77777777" w:rsidR="005E000F" w:rsidRDefault="00000000">
      <w:r>
        <w:t>编制单位</w:t>
      </w:r>
      <w:r>
        <w:rPr>
          <w:rFonts w:hint="eastAsia"/>
        </w:rPr>
        <w:t>：</w:t>
      </w:r>
      <w:sdt>
        <w:sdtPr>
          <w:alias w:val="公司法定中文名称"/>
          <w:tag w:val="_GBC_476f9df1cf8d4d36868d3058a4da7d15"/>
          <w:id w:val="1097139982"/>
          <w:placeholder>
            <w:docPart w:val="GBC22222222222222222222222222222"/>
          </w:placeholder>
          <w:dataBinding w:prefixMappings="xmlns:clcid-cgi='clcid-cgi'" w:xpath="/*/clcid-cgi:GongSiFaDingZhongWenMingCheng[not(@periodRef)]" w:storeItemID="{89EBAB94-44A0-46A2-B712-30D997D04A6D}"/>
          <w:text/>
        </w:sdtPr>
        <w:sdtContent>
          <w:r>
            <w:t>大秦铁路股份有限公司</w:t>
          </w:r>
        </w:sdtContent>
      </w:sdt>
      <w:r>
        <w:t> </w:t>
      </w:r>
    </w:p>
    <w:p w14:paraId="77A83EEB" w14:textId="77777777" w:rsidR="005E000F" w:rsidRDefault="00000000">
      <w:pPr>
        <w:jc w:val="right"/>
      </w:pPr>
      <w:r>
        <w:t>单位：</w:t>
      </w:r>
      <w:sdt>
        <w:sdtPr>
          <w:alias w:val="单位：母公司资产负债表"/>
          <w:tag w:val="_GBC_e3e6bb2b9b89482085daf4528af32780"/>
          <w:id w:val="-18228274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w:t>
      </w:r>
      <w:r>
        <w:t>币种：</w:t>
      </w:r>
      <w:sdt>
        <w:sdtPr>
          <w:alias w:val="币种：母公司资产负债表"/>
          <w:tag w:val="_GBC_31e3f7c7e30144c684d9b3387d64ec2f"/>
          <w:id w:val="4717305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44"/>
        <w:gridCol w:w="1133"/>
        <w:gridCol w:w="2550"/>
        <w:gridCol w:w="2411"/>
      </w:tblGrid>
      <w:tr w:rsidR="005E000F" w14:paraId="6A35BCB3" w14:textId="77777777">
        <w:bookmarkStart w:id="229" w:name="_Hlk105686791" w:displacedByCustomXml="next"/>
        <w:sdt>
          <w:sdtPr>
            <w:tag w:val="_PLD_e123561b4eea486cbee629a83db9ddc0"/>
            <w:id w:val="1104075604"/>
          </w:sdtPr>
          <w:sdtContent>
            <w:tc>
              <w:tcPr>
                <w:tcW w:w="2944" w:type="dxa"/>
                <w:tcBorders>
                  <w:top w:val="outset" w:sz="6" w:space="0" w:color="auto"/>
                  <w:left w:val="outset" w:sz="6" w:space="0" w:color="auto"/>
                  <w:bottom w:val="outset" w:sz="6" w:space="0" w:color="auto"/>
                  <w:right w:val="outset" w:sz="6" w:space="0" w:color="auto"/>
                </w:tcBorders>
                <w:vAlign w:val="center"/>
              </w:tcPr>
              <w:p w14:paraId="0C82BE1A" w14:textId="77777777" w:rsidR="005E000F" w:rsidRDefault="00000000">
                <w:pPr>
                  <w:jc w:val="center"/>
                  <w:rPr>
                    <w:b/>
                    <w:bCs/>
                    <w:color w:val="000000" w:themeColor="text1"/>
                  </w:rPr>
                </w:pPr>
                <w:r>
                  <w:rPr>
                    <w:b/>
                    <w:color w:val="000000" w:themeColor="text1"/>
                  </w:rPr>
                  <w:t>项目</w:t>
                </w:r>
              </w:p>
            </w:tc>
          </w:sdtContent>
        </w:sdt>
        <w:sdt>
          <w:sdtPr>
            <w:tag w:val="_PLD_06c4ac69e0084d108604170c58444649"/>
            <w:id w:val="-2115511431"/>
          </w:sdtPr>
          <w:sdtContent>
            <w:tc>
              <w:tcPr>
                <w:tcW w:w="1133" w:type="dxa"/>
                <w:tcBorders>
                  <w:top w:val="outset" w:sz="6" w:space="0" w:color="auto"/>
                  <w:left w:val="outset" w:sz="6" w:space="0" w:color="auto"/>
                  <w:bottom w:val="outset" w:sz="6" w:space="0" w:color="auto"/>
                  <w:right w:val="outset" w:sz="6" w:space="0" w:color="auto"/>
                </w:tcBorders>
                <w:vAlign w:val="center"/>
              </w:tcPr>
              <w:p w14:paraId="0EC3A152" w14:textId="77777777" w:rsidR="005E000F" w:rsidRDefault="00000000">
                <w:pPr>
                  <w:jc w:val="center"/>
                  <w:rPr>
                    <w:b/>
                    <w:bCs/>
                    <w:color w:val="000000" w:themeColor="text1"/>
                  </w:rPr>
                </w:pPr>
                <w:r>
                  <w:rPr>
                    <w:rFonts w:hint="eastAsia"/>
                    <w:b/>
                    <w:color w:val="000000" w:themeColor="text1"/>
                  </w:rPr>
                  <w:t>附注</w:t>
                </w:r>
              </w:p>
            </w:tc>
          </w:sdtContent>
        </w:sdt>
        <w:sdt>
          <w:sdtPr>
            <w:tag w:val="_PLD_b1c54371985a4504b749b9d71cf1412e"/>
            <w:id w:val="441495749"/>
          </w:sdtPr>
          <w:sdtContent>
            <w:tc>
              <w:tcPr>
                <w:tcW w:w="2550" w:type="dxa"/>
                <w:tcBorders>
                  <w:top w:val="outset" w:sz="6" w:space="0" w:color="auto"/>
                  <w:left w:val="outset" w:sz="6" w:space="0" w:color="auto"/>
                  <w:bottom w:val="outset" w:sz="6" w:space="0" w:color="auto"/>
                  <w:right w:val="outset" w:sz="6" w:space="0" w:color="auto"/>
                </w:tcBorders>
                <w:vAlign w:val="center"/>
              </w:tcPr>
              <w:p w14:paraId="02109146" w14:textId="77777777" w:rsidR="005E000F" w:rsidRDefault="00000000">
                <w:pPr>
                  <w:jc w:val="center"/>
                  <w:rPr>
                    <w:b/>
                    <w:bCs/>
                    <w:color w:val="000000" w:themeColor="text1"/>
                  </w:rPr>
                </w:pPr>
                <w:r>
                  <w:rPr>
                    <w:rFonts w:hint="eastAsia"/>
                    <w:b/>
                    <w:color w:val="000000" w:themeColor="text1"/>
                  </w:rPr>
                  <w:t>2025</w:t>
                </w:r>
                <w:r>
                  <w:rPr>
                    <w:rFonts w:hint="eastAsia"/>
                    <w:b/>
                    <w:color w:val="000000" w:themeColor="text1"/>
                  </w:rPr>
                  <w:t>年</w:t>
                </w:r>
                <w:r>
                  <w:rPr>
                    <w:rFonts w:hint="eastAsia"/>
                    <w:b/>
                    <w:color w:val="000000" w:themeColor="text1"/>
                  </w:rPr>
                  <w:t>12</w:t>
                </w:r>
                <w:r>
                  <w:rPr>
                    <w:rFonts w:hint="eastAsia"/>
                    <w:b/>
                    <w:color w:val="000000" w:themeColor="text1"/>
                  </w:rPr>
                  <w:t>月</w:t>
                </w:r>
                <w:r>
                  <w:rPr>
                    <w:b/>
                    <w:color w:val="000000" w:themeColor="text1"/>
                  </w:rPr>
                  <w:t>3</w:t>
                </w:r>
                <w:r>
                  <w:rPr>
                    <w:rFonts w:hint="eastAsia"/>
                    <w:b/>
                    <w:color w:val="000000" w:themeColor="text1"/>
                  </w:rPr>
                  <w:t>1</w:t>
                </w:r>
                <w:r>
                  <w:rPr>
                    <w:rFonts w:hint="eastAsia"/>
                    <w:b/>
                    <w:color w:val="000000" w:themeColor="text1"/>
                  </w:rPr>
                  <w:t>日</w:t>
                </w:r>
              </w:p>
            </w:tc>
          </w:sdtContent>
        </w:sdt>
        <w:sdt>
          <w:sdtPr>
            <w:tag w:val="_PLD_26edb5cd36ce4083a97dc26772b099ab"/>
            <w:id w:val="-340851483"/>
          </w:sdtPr>
          <w:sdtContent>
            <w:tc>
              <w:tcPr>
                <w:tcW w:w="2411" w:type="dxa"/>
                <w:tcBorders>
                  <w:top w:val="outset" w:sz="6" w:space="0" w:color="auto"/>
                  <w:left w:val="outset" w:sz="6" w:space="0" w:color="auto"/>
                  <w:bottom w:val="outset" w:sz="6" w:space="0" w:color="auto"/>
                  <w:right w:val="outset" w:sz="6" w:space="0" w:color="auto"/>
                </w:tcBorders>
                <w:vAlign w:val="center"/>
              </w:tcPr>
              <w:p w14:paraId="50A1CCAC" w14:textId="77777777" w:rsidR="005E000F" w:rsidRDefault="00000000">
                <w:pPr>
                  <w:jc w:val="center"/>
                  <w:rPr>
                    <w:b/>
                    <w:bCs/>
                    <w:color w:val="000000" w:themeColor="text1"/>
                  </w:rPr>
                </w:pPr>
                <w:r>
                  <w:rPr>
                    <w:b/>
                    <w:color w:val="000000" w:themeColor="text1"/>
                  </w:rPr>
                  <w:t>2024</w:t>
                </w:r>
                <w:r>
                  <w:rPr>
                    <w:b/>
                    <w:color w:val="000000" w:themeColor="text1"/>
                  </w:rPr>
                  <w:t>年</w:t>
                </w:r>
                <w:r>
                  <w:rPr>
                    <w:b/>
                    <w:color w:val="000000" w:themeColor="text1"/>
                  </w:rPr>
                  <w:t>12</w:t>
                </w:r>
                <w:r>
                  <w:rPr>
                    <w:b/>
                    <w:color w:val="000000" w:themeColor="text1"/>
                  </w:rPr>
                  <w:t>月</w:t>
                </w:r>
                <w:r>
                  <w:rPr>
                    <w:b/>
                    <w:color w:val="000000" w:themeColor="text1"/>
                  </w:rPr>
                  <w:t>31</w:t>
                </w:r>
                <w:r>
                  <w:rPr>
                    <w:b/>
                    <w:color w:val="000000" w:themeColor="text1"/>
                  </w:rPr>
                  <w:t>日</w:t>
                </w:r>
              </w:p>
            </w:tc>
          </w:sdtContent>
        </w:sdt>
      </w:tr>
      <w:tr w:rsidR="005E000F" w14:paraId="31CE3ACB" w14:textId="77777777">
        <w:sdt>
          <w:sdtPr>
            <w:tag w:val="_PLD_b54d834a04b8464892f4dccc28fbd9e0"/>
            <w:id w:val="194662364"/>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2A95042F" w14:textId="77777777" w:rsidR="005E000F" w:rsidRDefault="00000000">
                <w:pPr>
                  <w:rPr>
                    <w:b/>
                    <w:color w:val="000000" w:themeColor="text1"/>
                  </w:rPr>
                </w:pPr>
                <w:r>
                  <w:rPr>
                    <w:rFonts w:hint="eastAsia"/>
                    <w:b/>
                    <w:color w:val="000000" w:themeColor="text1"/>
                  </w:rPr>
                  <w:t>流动资产：</w:t>
                </w:r>
              </w:p>
            </w:tc>
          </w:sdtContent>
        </w:sdt>
      </w:tr>
      <w:tr w:rsidR="005E000F" w14:paraId="2B270D40" w14:textId="77777777">
        <w:tc>
          <w:tcPr>
            <w:tcW w:w="2944" w:type="dxa"/>
            <w:tcBorders>
              <w:top w:val="outset" w:sz="6" w:space="0" w:color="auto"/>
              <w:left w:val="outset" w:sz="6" w:space="0" w:color="auto"/>
              <w:bottom w:val="outset" w:sz="6" w:space="0" w:color="auto"/>
              <w:right w:val="outset" w:sz="6" w:space="0" w:color="auto"/>
            </w:tcBorders>
            <w:vAlign w:val="center"/>
          </w:tcPr>
          <w:p w14:paraId="4FB24EAB" w14:textId="77777777" w:rsidR="005E000F" w:rsidRDefault="00000000">
            <w:pPr>
              <w:ind w:firstLineChars="100" w:firstLine="210"/>
              <w:rPr>
                <w:color w:val="000000" w:themeColor="text1"/>
              </w:rPr>
            </w:pPr>
            <w:bookmarkStart w:id="230" w:name="_Hlk225675791"/>
            <w:r>
              <w:rPr>
                <w:rFonts w:hint="eastAsia"/>
                <w:color w:val="000000" w:themeColor="text1"/>
              </w:rPr>
              <w:t>货币资金</w:t>
            </w:r>
          </w:p>
        </w:tc>
        <w:tc>
          <w:tcPr>
            <w:tcW w:w="1133" w:type="dxa"/>
            <w:tcBorders>
              <w:top w:val="outset" w:sz="6" w:space="0" w:color="auto"/>
              <w:left w:val="outset" w:sz="6" w:space="0" w:color="auto"/>
              <w:bottom w:val="outset" w:sz="6" w:space="0" w:color="auto"/>
              <w:right w:val="outset" w:sz="6" w:space="0" w:color="auto"/>
            </w:tcBorders>
            <w:vAlign w:val="center"/>
          </w:tcPr>
          <w:p w14:paraId="0680D68F"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7B3D6A9" w14:textId="77777777" w:rsidR="005E000F" w:rsidRDefault="00000000">
            <w:pPr>
              <w:jc w:val="right"/>
            </w:pPr>
            <w:r>
              <w:t>35,849,176,421</w:t>
            </w:r>
          </w:p>
        </w:tc>
        <w:tc>
          <w:tcPr>
            <w:tcW w:w="2411" w:type="dxa"/>
            <w:tcBorders>
              <w:top w:val="outset" w:sz="6" w:space="0" w:color="auto"/>
              <w:left w:val="outset" w:sz="6" w:space="0" w:color="auto"/>
              <w:bottom w:val="outset" w:sz="6" w:space="0" w:color="auto"/>
              <w:right w:val="outset" w:sz="6" w:space="0" w:color="auto"/>
            </w:tcBorders>
            <w:vAlign w:val="center"/>
          </w:tcPr>
          <w:p w14:paraId="693ED966" w14:textId="77777777" w:rsidR="005E000F" w:rsidRDefault="00000000">
            <w:pPr>
              <w:jc w:val="right"/>
            </w:pPr>
            <w:r>
              <w:rPr>
                <w:rFonts w:hint="eastAsia"/>
              </w:rPr>
              <w:t>61,345,847,855</w:t>
            </w:r>
          </w:p>
        </w:tc>
      </w:tr>
      <w:tr w:rsidR="005E000F" w14:paraId="2AFA1C59" w14:textId="77777777">
        <w:tc>
          <w:tcPr>
            <w:tcW w:w="2944" w:type="dxa"/>
            <w:tcBorders>
              <w:top w:val="outset" w:sz="6" w:space="0" w:color="auto"/>
              <w:left w:val="outset" w:sz="6" w:space="0" w:color="auto"/>
              <w:bottom w:val="outset" w:sz="6" w:space="0" w:color="auto"/>
              <w:right w:val="outset" w:sz="6" w:space="0" w:color="auto"/>
            </w:tcBorders>
            <w:vAlign w:val="center"/>
          </w:tcPr>
          <w:p w14:paraId="14341902" w14:textId="77777777" w:rsidR="005E000F" w:rsidRDefault="00000000">
            <w:pPr>
              <w:ind w:firstLineChars="100" w:firstLine="210"/>
              <w:rPr>
                <w:color w:val="000000" w:themeColor="text1"/>
              </w:rPr>
            </w:pPr>
            <w:r>
              <w:rPr>
                <w:rFonts w:hint="eastAsia"/>
                <w:color w:val="000000" w:themeColor="text1"/>
              </w:rPr>
              <w:t>交易性金融资产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2DB0238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94F44DC"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11197D1" w14:textId="77777777" w:rsidR="005E000F" w:rsidRDefault="00000000">
            <w:pPr>
              <w:jc w:val="right"/>
            </w:pPr>
            <w:r>
              <w:rPr>
                <w:rFonts w:hint="eastAsia"/>
              </w:rPr>
              <w:t>0</w:t>
            </w:r>
          </w:p>
        </w:tc>
      </w:tr>
      <w:tr w:rsidR="005E000F" w14:paraId="140F6D97" w14:textId="77777777">
        <w:tc>
          <w:tcPr>
            <w:tcW w:w="2944" w:type="dxa"/>
            <w:tcBorders>
              <w:top w:val="outset" w:sz="6" w:space="0" w:color="auto"/>
              <w:left w:val="outset" w:sz="6" w:space="0" w:color="auto"/>
              <w:bottom w:val="outset" w:sz="6" w:space="0" w:color="auto"/>
              <w:right w:val="outset" w:sz="6" w:space="0" w:color="auto"/>
            </w:tcBorders>
            <w:vAlign w:val="center"/>
          </w:tcPr>
          <w:p w14:paraId="581E39A1" w14:textId="77777777" w:rsidR="005E000F" w:rsidRDefault="00000000">
            <w:pPr>
              <w:ind w:firstLineChars="100" w:firstLine="210"/>
              <w:rPr>
                <w:color w:val="000000" w:themeColor="text1"/>
              </w:rPr>
            </w:pPr>
            <w:r>
              <w:rPr>
                <w:rFonts w:hint="eastAsia"/>
                <w:color w:val="000000" w:themeColor="text1"/>
              </w:rPr>
              <w:t>衍生金融资产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1A95B14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7BBEB7D2"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E9EFAFC" w14:textId="77777777" w:rsidR="005E000F" w:rsidRDefault="00000000">
            <w:pPr>
              <w:jc w:val="right"/>
            </w:pPr>
            <w:r>
              <w:rPr>
                <w:rFonts w:hint="eastAsia"/>
              </w:rPr>
              <w:t>0</w:t>
            </w:r>
          </w:p>
        </w:tc>
      </w:tr>
      <w:tr w:rsidR="005E000F" w14:paraId="542681FA" w14:textId="77777777">
        <w:tc>
          <w:tcPr>
            <w:tcW w:w="2944" w:type="dxa"/>
            <w:tcBorders>
              <w:top w:val="outset" w:sz="6" w:space="0" w:color="auto"/>
              <w:left w:val="outset" w:sz="6" w:space="0" w:color="auto"/>
              <w:bottom w:val="outset" w:sz="6" w:space="0" w:color="auto"/>
              <w:right w:val="outset" w:sz="6" w:space="0" w:color="auto"/>
            </w:tcBorders>
            <w:vAlign w:val="center"/>
          </w:tcPr>
          <w:p w14:paraId="2EEBFDBE" w14:textId="77777777" w:rsidR="005E000F" w:rsidRDefault="00000000">
            <w:pPr>
              <w:ind w:firstLineChars="100" w:firstLine="210"/>
              <w:rPr>
                <w:color w:val="000000" w:themeColor="text1"/>
              </w:rPr>
            </w:pPr>
            <w:r>
              <w:rPr>
                <w:rFonts w:hint="eastAsia"/>
                <w:color w:val="000000" w:themeColor="text1"/>
              </w:rPr>
              <w:t>应收票据</w:t>
            </w:r>
          </w:p>
        </w:tc>
        <w:tc>
          <w:tcPr>
            <w:tcW w:w="1133" w:type="dxa"/>
            <w:tcBorders>
              <w:top w:val="outset" w:sz="6" w:space="0" w:color="auto"/>
              <w:left w:val="outset" w:sz="6" w:space="0" w:color="auto"/>
              <w:bottom w:val="outset" w:sz="6" w:space="0" w:color="auto"/>
              <w:right w:val="outset" w:sz="6" w:space="0" w:color="auto"/>
            </w:tcBorders>
            <w:vAlign w:val="center"/>
          </w:tcPr>
          <w:p w14:paraId="2E722B3B"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CF13BAA"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7D8AE2AA" w14:textId="77777777" w:rsidR="005E000F" w:rsidRDefault="00000000">
            <w:pPr>
              <w:jc w:val="right"/>
            </w:pPr>
            <w:r>
              <w:rPr>
                <w:rFonts w:hint="eastAsia"/>
              </w:rPr>
              <w:t>0</w:t>
            </w:r>
          </w:p>
        </w:tc>
      </w:tr>
      <w:tr w:rsidR="005E000F" w14:paraId="47B1B592" w14:textId="77777777">
        <w:tc>
          <w:tcPr>
            <w:tcW w:w="2944" w:type="dxa"/>
            <w:tcBorders>
              <w:top w:val="outset" w:sz="6" w:space="0" w:color="auto"/>
              <w:left w:val="outset" w:sz="6" w:space="0" w:color="auto"/>
              <w:bottom w:val="outset" w:sz="6" w:space="0" w:color="auto"/>
              <w:right w:val="outset" w:sz="6" w:space="0" w:color="auto"/>
            </w:tcBorders>
            <w:vAlign w:val="center"/>
          </w:tcPr>
          <w:p w14:paraId="64553526" w14:textId="77777777" w:rsidR="005E000F" w:rsidRDefault="00000000">
            <w:pPr>
              <w:ind w:firstLineChars="100" w:firstLine="210"/>
              <w:rPr>
                <w:color w:val="000000" w:themeColor="text1"/>
              </w:rPr>
            </w:pPr>
            <w:r>
              <w:rPr>
                <w:rFonts w:hint="eastAsia"/>
                <w:color w:val="000000" w:themeColor="text1"/>
              </w:rPr>
              <w:t>应收账款</w:t>
            </w:r>
          </w:p>
        </w:tc>
        <w:tc>
          <w:tcPr>
            <w:tcW w:w="1133" w:type="dxa"/>
            <w:tcBorders>
              <w:top w:val="outset" w:sz="6" w:space="0" w:color="auto"/>
              <w:left w:val="outset" w:sz="6" w:space="0" w:color="auto"/>
              <w:bottom w:val="outset" w:sz="6" w:space="0" w:color="auto"/>
              <w:right w:val="outset" w:sz="6" w:space="0" w:color="auto"/>
            </w:tcBorders>
            <w:vAlign w:val="center"/>
          </w:tcPr>
          <w:p w14:paraId="33E4F123" w14:textId="77777777" w:rsidR="005E000F" w:rsidRDefault="00000000">
            <w:r>
              <w:rPr>
                <w:rFonts w:hint="eastAsia"/>
              </w:rPr>
              <w:t>十九、</w:t>
            </w:r>
            <w:r>
              <w:t>1</w:t>
            </w:r>
          </w:p>
        </w:tc>
        <w:tc>
          <w:tcPr>
            <w:tcW w:w="2550" w:type="dxa"/>
            <w:tcBorders>
              <w:top w:val="outset" w:sz="6" w:space="0" w:color="auto"/>
              <w:left w:val="outset" w:sz="6" w:space="0" w:color="auto"/>
              <w:bottom w:val="outset" w:sz="6" w:space="0" w:color="auto"/>
              <w:right w:val="outset" w:sz="6" w:space="0" w:color="auto"/>
            </w:tcBorders>
            <w:vAlign w:val="center"/>
          </w:tcPr>
          <w:p w14:paraId="710388A1" w14:textId="77777777" w:rsidR="005E000F" w:rsidRDefault="00000000">
            <w:pPr>
              <w:jc w:val="right"/>
            </w:pPr>
            <w:r>
              <w:t>4,073,220,391</w:t>
            </w:r>
          </w:p>
        </w:tc>
        <w:tc>
          <w:tcPr>
            <w:tcW w:w="2411" w:type="dxa"/>
            <w:tcBorders>
              <w:top w:val="outset" w:sz="6" w:space="0" w:color="auto"/>
              <w:left w:val="outset" w:sz="6" w:space="0" w:color="auto"/>
              <w:bottom w:val="outset" w:sz="6" w:space="0" w:color="auto"/>
              <w:right w:val="outset" w:sz="6" w:space="0" w:color="auto"/>
            </w:tcBorders>
            <w:vAlign w:val="center"/>
          </w:tcPr>
          <w:p w14:paraId="2F9D7C2E" w14:textId="77777777" w:rsidR="005E000F" w:rsidRDefault="00000000">
            <w:pPr>
              <w:jc w:val="right"/>
            </w:pPr>
            <w:r>
              <w:rPr>
                <w:rFonts w:hint="eastAsia"/>
              </w:rPr>
              <w:t>4,701,666,391</w:t>
            </w:r>
          </w:p>
        </w:tc>
      </w:tr>
      <w:tr w:rsidR="005E000F" w14:paraId="16B0D7BD" w14:textId="77777777">
        <w:tc>
          <w:tcPr>
            <w:tcW w:w="2944" w:type="dxa"/>
            <w:tcBorders>
              <w:top w:val="outset" w:sz="6" w:space="0" w:color="auto"/>
              <w:left w:val="outset" w:sz="6" w:space="0" w:color="auto"/>
              <w:bottom w:val="outset" w:sz="6" w:space="0" w:color="auto"/>
              <w:right w:val="outset" w:sz="6" w:space="0" w:color="auto"/>
            </w:tcBorders>
            <w:vAlign w:val="center"/>
          </w:tcPr>
          <w:p w14:paraId="078F791C" w14:textId="77777777" w:rsidR="005E000F" w:rsidRDefault="00000000">
            <w:pPr>
              <w:ind w:firstLineChars="100" w:firstLine="210"/>
              <w:rPr>
                <w:color w:val="000000" w:themeColor="text1"/>
              </w:rPr>
            </w:pPr>
            <w:r>
              <w:rPr>
                <w:rFonts w:hint="eastAsia"/>
                <w:color w:val="000000" w:themeColor="text1"/>
              </w:rPr>
              <w:t>应收款项融资</w:t>
            </w:r>
          </w:p>
        </w:tc>
        <w:tc>
          <w:tcPr>
            <w:tcW w:w="1133" w:type="dxa"/>
            <w:tcBorders>
              <w:top w:val="outset" w:sz="6" w:space="0" w:color="auto"/>
              <w:left w:val="outset" w:sz="6" w:space="0" w:color="auto"/>
              <w:bottom w:val="outset" w:sz="6" w:space="0" w:color="auto"/>
              <w:right w:val="outset" w:sz="6" w:space="0" w:color="auto"/>
            </w:tcBorders>
            <w:vAlign w:val="center"/>
          </w:tcPr>
          <w:p w14:paraId="2625DD3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5A39F95" w14:textId="77777777" w:rsidR="005E000F" w:rsidRDefault="00000000">
            <w:pPr>
              <w:jc w:val="right"/>
            </w:pPr>
            <w:r>
              <w:t>3,109,736,621</w:t>
            </w:r>
          </w:p>
        </w:tc>
        <w:tc>
          <w:tcPr>
            <w:tcW w:w="2411" w:type="dxa"/>
            <w:tcBorders>
              <w:top w:val="outset" w:sz="6" w:space="0" w:color="auto"/>
              <w:left w:val="outset" w:sz="6" w:space="0" w:color="auto"/>
              <w:bottom w:val="outset" w:sz="6" w:space="0" w:color="auto"/>
              <w:right w:val="outset" w:sz="6" w:space="0" w:color="auto"/>
            </w:tcBorders>
            <w:vAlign w:val="center"/>
          </w:tcPr>
          <w:p w14:paraId="412DD77E" w14:textId="77777777" w:rsidR="005E000F" w:rsidRDefault="00000000">
            <w:pPr>
              <w:jc w:val="right"/>
            </w:pPr>
            <w:r>
              <w:rPr>
                <w:rFonts w:hint="eastAsia"/>
              </w:rPr>
              <w:t>2,407,988,224</w:t>
            </w:r>
          </w:p>
        </w:tc>
      </w:tr>
      <w:tr w:rsidR="005E000F" w14:paraId="3661DBF3" w14:textId="77777777">
        <w:tc>
          <w:tcPr>
            <w:tcW w:w="2944" w:type="dxa"/>
            <w:tcBorders>
              <w:top w:val="outset" w:sz="6" w:space="0" w:color="auto"/>
              <w:left w:val="outset" w:sz="6" w:space="0" w:color="auto"/>
              <w:bottom w:val="outset" w:sz="6" w:space="0" w:color="auto"/>
              <w:right w:val="outset" w:sz="6" w:space="0" w:color="auto"/>
            </w:tcBorders>
            <w:vAlign w:val="center"/>
          </w:tcPr>
          <w:p w14:paraId="195134C5" w14:textId="77777777" w:rsidR="005E000F" w:rsidRDefault="00000000">
            <w:pPr>
              <w:ind w:firstLineChars="100" w:firstLine="210"/>
              <w:rPr>
                <w:color w:val="000000" w:themeColor="text1"/>
              </w:rPr>
            </w:pPr>
            <w:r>
              <w:rPr>
                <w:rFonts w:hint="eastAsia"/>
                <w:color w:val="000000" w:themeColor="text1"/>
              </w:rPr>
              <w:t>预付款项</w:t>
            </w:r>
          </w:p>
        </w:tc>
        <w:tc>
          <w:tcPr>
            <w:tcW w:w="1133" w:type="dxa"/>
            <w:tcBorders>
              <w:top w:val="outset" w:sz="6" w:space="0" w:color="auto"/>
              <w:left w:val="outset" w:sz="6" w:space="0" w:color="auto"/>
              <w:bottom w:val="outset" w:sz="6" w:space="0" w:color="auto"/>
              <w:right w:val="outset" w:sz="6" w:space="0" w:color="auto"/>
            </w:tcBorders>
            <w:vAlign w:val="center"/>
          </w:tcPr>
          <w:p w14:paraId="5B622B81"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02BC7B5" w14:textId="77777777" w:rsidR="005E000F" w:rsidRDefault="00000000">
            <w:pPr>
              <w:jc w:val="right"/>
            </w:pPr>
            <w:r>
              <w:t>233,715,604</w:t>
            </w:r>
          </w:p>
        </w:tc>
        <w:tc>
          <w:tcPr>
            <w:tcW w:w="2411" w:type="dxa"/>
            <w:tcBorders>
              <w:top w:val="outset" w:sz="6" w:space="0" w:color="auto"/>
              <w:left w:val="outset" w:sz="6" w:space="0" w:color="auto"/>
              <w:bottom w:val="outset" w:sz="6" w:space="0" w:color="auto"/>
              <w:right w:val="outset" w:sz="6" w:space="0" w:color="auto"/>
            </w:tcBorders>
            <w:vAlign w:val="center"/>
          </w:tcPr>
          <w:p w14:paraId="0A994E6A" w14:textId="77777777" w:rsidR="005E000F" w:rsidRDefault="00000000">
            <w:pPr>
              <w:jc w:val="right"/>
            </w:pPr>
            <w:r>
              <w:rPr>
                <w:rFonts w:hint="eastAsia"/>
              </w:rPr>
              <w:t>275,235,030</w:t>
            </w:r>
          </w:p>
        </w:tc>
      </w:tr>
      <w:tr w:rsidR="005E000F" w14:paraId="7B1C8F65" w14:textId="77777777">
        <w:tc>
          <w:tcPr>
            <w:tcW w:w="2944" w:type="dxa"/>
            <w:tcBorders>
              <w:top w:val="outset" w:sz="6" w:space="0" w:color="auto"/>
              <w:left w:val="outset" w:sz="6" w:space="0" w:color="auto"/>
              <w:bottom w:val="outset" w:sz="6" w:space="0" w:color="auto"/>
              <w:right w:val="outset" w:sz="6" w:space="0" w:color="auto"/>
            </w:tcBorders>
            <w:vAlign w:val="center"/>
          </w:tcPr>
          <w:p w14:paraId="633FCFE5" w14:textId="77777777" w:rsidR="005E000F" w:rsidRDefault="00000000">
            <w:pPr>
              <w:ind w:firstLineChars="100" w:firstLine="210"/>
              <w:rPr>
                <w:color w:val="000000" w:themeColor="text1"/>
              </w:rPr>
            </w:pPr>
            <w:r>
              <w:rPr>
                <w:rFonts w:hint="eastAsia"/>
                <w:color w:val="000000" w:themeColor="text1"/>
              </w:rPr>
              <w:t>其他应收款</w:t>
            </w:r>
          </w:p>
        </w:tc>
        <w:tc>
          <w:tcPr>
            <w:tcW w:w="1133" w:type="dxa"/>
            <w:tcBorders>
              <w:top w:val="outset" w:sz="6" w:space="0" w:color="auto"/>
              <w:left w:val="outset" w:sz="6" w:space="0" w:color="auto"/>
              <w:bottom w:val="outset" w:sz="6" w:space="0" w:color="auto"/>
              <w:right w:val="outset" w:sz="6" w:space="0" w:color="auto"/>
            </w:tcBorders>
            <w:vAlign w:val="center"/>
          </w:tcPr>
          <w:p w14:paraId="22175D22" w14:textId="77777777" w:rsidR="005E000F" w:rsidRDefault="00000000">
            <w:r>
              <w:rPr>
                <w:rFonts w:hint="eastAsia"/>
              </w:rPr>
              <w:t>十九、</w:t>
            </w:r>
            <w:r>
              <w:t>2</w:t>
            </w:r>
          </w:p>
        </w:tc>
        <w:tc>
          <w:tcPr>
            <w:tcW w:w="2550" w:type="dxa"/>
            <w:tcBorders>
              <w:top w:val="outset" w:sz="6" w:space="0" w:color="auto"/>
              <w:left w:val="outset" w:sz="6" w:space="0" w:color="auto"/>
              <w:bottom w:val="outset" w:sz="6" w:space="0" w:color="auto"/>
              <w:right w:val="outset" w:sz="6" w:space="0" w:color="auto"/>
            </w:tcBorders>
            <w:vAlign w:val="center"/>
          </w:tcPr>
          <w:p w14:paraId="755CAC21" w14:textId="77777777" w:rsidR="005E000F" w:rsidRDefault="00000000">
            <w:pPr>
              <w:jc w:val="right"/>
            </w:pPr>
            <w:r>
              <w:t>3,347,724,566</w:t>
            </w:r>
          </w:p>
        </w:tc>
        <w:tc>
          <w:tcPr>
            <w:tcW w:w="2411" w:type="dxa"/>
            <w:tcBorders>
              <w:top w:val="outset" w:sz="6" w:space="0" w:color="auto"/>
              <w:left w:val="outset" w:sz="6" w:space="0" w:color="auto"/>
              <w:bottom w:val="outset" w:sz="6" w:space="0" w:color="auto"/>
              <w:right w:val="outset" w:sz="6" w:space="0" w:color="auto"/>
            </w:tcBorders>
            <w:vAlign w:val="center"/>
          </w:tcPr>
          <w:p w14:paraId="7F445277" w14:textId="77777777" w:rsidR="005E000F" w:rsidRDefault="00000000">
            <w:pPr>
              <w:jc w:val="right"/>
            </w:pPr>
            <w:r>
              <w:rPr>
                <w:rFonts w:hint="eastAsia"/>
              </w:rPr>
              <w:t>3,956,539,646</w:t>
            </w:r>
          </w:p>
        </w:tc>
      </w:tr>
      <w:tr w:rsidR="005E000F" w14:paraId="6CD44C5B" w14:textId="77777777">
        <w:tc>
          <w:tcPr>
            <w:tcW w:w="2944" w:type="dxa"/>
            <w:tcBorders>
              <w:top w:val="outset" w:sz="6" w:space="0" w:color="auto"/>
              <w:left w:val="outset" w:sz="6" w:space="0" w:color="auto"/>
              <w:bottom w:val="outset" w:sz="6" w:space="0" w:color="auto"/>
              <w:right w:val="outset" w:sz="6" w:space="0" w:color="auto"/>
            </w:tcBorders>
            <w:vAlign w:val="center"/>
          </w:tcPr>
          <w:p w14:paraId="11B612C0" w14:textId="77777777" w:rsidR="005E000F" w:rsidRDefault="00000000">
            <w:pPr>
              <w:ind w:firstLineChars="100" w:firstLine="210"/>
              <w:rPr>
                <w:color w:val="000000" w:themeColor="text1"/>
              </w:rPr>
            </w:pPr>
            <w:r>
              <w:rPr>
                <w:rFonts w:hint="eastAsia"/>
                <w:color w:val="000000" w:themeColor="text1"/>
              </w:rPr>
              <w:t>其中：应收利息</w:t>
            </w:r>
          </w:p>
        </w:tc>
        <w:tc>
          <w:tcPr>
            <w:tcW w:w="1133" w:type="dxa"/>
            <w:tcBorders>
              <w:top w:val="outset" w:sz="6" w:space="0" w:color="auto"/>
              <w:left w:val="outset" w:sz="6" w:space="0" w:color="auto"/>
              <w:bottom w:val="outset" w:sz="6" w:space="0" w:color="auto"/>
              <w:right w:val="outset" w:sz="6" w:space="0" w:color="auto"/>
            </w:tcBorders>
            <w:vAlign w:val="center"/>
          </w:tcPr>
          <w:p w14:paraId="10FA0960"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3464F23"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B56D273" w14:textId="77777777" w:rsidR="005E000F" w:rsidRDefault="00000000">
            <w:pPr>
              <w:jc w:val="right"/>
            </w:pPr>
            <w:r>
              <w:rPr>
                <w:rFonts w:hint="eastAsia"/>
              </w:rPr>
              <w:t>0</w:t>
            </w:r>
          </w:p>
        </w:tc>
      </w:tr>
      <w:tr w:rsidR="005E000F" w14:paraId="0437A788" w14:textId="77777777">
        <w:tc>
          <w:tcPr>
            <w:tcW w:w="2944" w:type="dxa"/>
            <w:tcBorders>
              <w:top w:val="outset" w:sz="6" w:space="0" w:color="auto"/>
              <w:left w:val="outset" w:sz="6" w:space="0" w:color="auto"/>
              <w:bottom w:val="outset" w:sz="6" w:space="0" w:color="auto"/>
              <w:right w:val="outset" w:sz="6" w:space="0" w:color="auto"/>
            </w:tcBorders>
            <w:vAlign w:val="center"/>
          </w:tcPr>
          <w:p w14:paraId="2782434F" w14:textId="77777777" w:rsidR="005E000F" w:rsidRDefault="00000000">
            <w:pPr>
              <w:ind w:firstLineChars="400" w:firstLine="840"/>
              <w:rPr>
                <w:color w:val="000000" w:themeColor="text1"/>
              </w:rPr>
            </w:pPr>
            <w:r>
              <w:rPr>
                <w:rFonts w:hint="eastAsia"/>
                <w:color w:val="000000" w:themeColor="text1"/>
              </w:rPr>
              <w:t>应收股利</w:t>
            </w:r>
          </w:p>
        </w:tc>
        <w:tc>
          <w:tcPr>
            <w:tcW w:w="1133" w:type="dxa"/>
            <w:tcBorders>
              <w:top w:val="outset" w:sz="6" w:space="0" w:color="auto"/>
              <w:left w:val="outset" w:sz="6" w:space="0" w:color="auto"/>
              <w:bottom w:val="outset" w:sz="6" w:space="0" w:color="auto"/>
              <w:right w:val="outset" w:sz="6" w:space="0" w:color="auto"/>
            </w:tcBorders>
            <w:vAlign w:val="center"/>
          </w:tcPr>
          <w:p w14:paraId="4B5CF81A"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8A6E572"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5BD24C0" w14:textId="77777777" w:rsidR="005E000F" w:rsidRDefault="00000000">
            <w:pPr>
              <w:jc w:val="right"/>
            </w:pPr>
            <w:r>
              <w:rPr>
                <w:rFonts w:hint="eastAsia"/>
              </w:rPr>
              <w:t>2,433,551,412</w:t>
            </w:r>
          </w:p>
        </w:tc>
      </w:tr>
      <w:tr w:rsidR="005E000F" w14:paraId="0C220804" w14:textId="77777777">
        <w:tc>
          <w:tcPr>
            <w:tcW w:w="2944" w:type="dxa"/>
            <w:tcBorders>
              <w:top w:val="outset" w:sz="6" w:space="0" w:color="auto"/>
              <w:left w:val="outset" w:sz="6" w:space="0" w:color="auto"/>
              <w:bottom w:val="outset" w:sz="6" w:space="0" w:color="auto"/>
              <w:right w:val="outset" w:sz="6" w:space="0" w:color="auto"/>
            </w:tcBorders>
            <w:vAlign w:val="center"/>
          </w:tcPr>
          <w:p w14:paraId="6622AE59" w14:textId="77777777" w:rsidR="005E000F" w:rsidRDefault="00000000">
            <w:pPr>
              <w:ind w:firstLineChars="100" w:firstLine="210"/>
              <w:rPr>
                <w:color w:val="000000" w:themeColor="text1"/>
              </w:rPr>
            </w:pPr>
            <w:r>
              <w:rPr>
                <w:rFonts w:hint="eastAsia"/>
                <w:color w:val="000000" w:themeColor="text1"/>
              </w:rPr>
              <w:t>存货</w:t>
            </w:r>
          </w:p>
        </w:tc>
        <w:tc>
          <w:tcPr>
            <w:tcW w:w="1133" w:type="dxa"/>
            <w:tcBorders>
              <w:top w:val="outset" w:sz="6" w:space="0" w:color="auto"/>
              <w:left w:val="outset" w:sz="6" w:space="0" w:color="auto"/>
              <w:bottom w:val="outset" w:sz="6" w:space="0" w:color="auto"/>
              <w:right w:val="outset" w:sz="6" w:space="0" w:color="auto"/>
            </w:tcBorders>
            <w:vAlign w:val="center"/>
          </w:tcPr>
          <w:p w14:paraId="5B87710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760844E7" w14:textId="77777777" w:rsidR="005E000F" w:rsidRDefault="00000000">
            <w:pPr>
              <w:jc w:val="right"/>
            </w:pPr>
            <w:r>
              <w:t>1,607,802,588</w:t>
            </w:r>
          </w:p>
        </w:tc>
        <w:tc>
          <w:tcPr>
            <w:tcW w:w="2411" w:type="dxa"/>
            <w:tcBorders>
              <w:top w:val="outset" w:sz="6" w:space="0" w:color="auto"/>
              <w:left w:val="outset" w:sz="6" w:space="0" w:color="auto"/>
              <w:bottom w:val="outset" w:sz="6" w:space="0" w:color="auto"/>
              <w:right w:val="outset" w:sz="6" w:space="0" w:color="auto"/>
            </w:tcBorders>
            <w:vAlign w:val="center"/>
          </w:tcPr>
          <w:p w14:paraId="36483B91" w14:textId="77777777" w:rsidR="005E000F" w:rsidRDefault="00000000">
            <w:pPr>
              <w:jc w:val="right"/>
            </w:pPr>
            <w:r>
              <w:rPr>
                <w:rFonts w:hint="eastAsia"/>
              </w:rPr>
              <w:t>1,632,613,083</w:t>
            </w:r>
          </w:p>
        </w:tc>
      </w:tr>
      <w:tr w:rsidR="005E000F" w14:paraId="731DD498" w14:textId="77777777">
        <w:tc>
          <w:tcPr>
            <w:tcW w:w="2944" w:type="dxa"/>
            <w:tcBorders>
              <w:top w:val="outset" w:sz="6" w:space="0" w:color="auto"/>
              <w:left w:val="outset" w:sz="6" w:space="0" w:color="auto"/>
              <w:bottom w:val="outset" w:sz="6" w:space="0" w:color="auto"/>
              <w:right w:val="outset" w:sz="6" w:space="0" w:color="auto"/>
            </w:tcBorders>
            <w:vAlign w:val="center"/>
          </w:tcPr>
          <w:p w14:paraId="109A28DE" w14:textId="77777777" w:rsidR="005E000F" w:rsidRDefault="00000000">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051E94F5"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1453959"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7B5C39A" w14:textId="77777777" w:rsidR="005E000F" w:rsidRDefault="00000000">
            <w:pPr>
              <w:jc w:val="right"/>
            </w:pPr>
            <w:r>
              <w:rPr>
                <w:rFonts w:hint="eastAsia"/>
              </w:rPr>
              <w:t>0</w:t>
            </w:r>
          </w:p>
        </w:tc>
      </w:tr>
      <w:tr w:rsidR="005E000F" w14:paraId="3F0F3C35" w14:textId="77777777">
        <w:tc>
          <w:tcPr>
            <w:tcW w:w="2944" w:type="dxa"/>
            <w:tcBorders>
              <w:top w:val="outset" w:sz="6" w:space="0" w:color="auto"/>
              <w:left w:val="outset" w:sz="6" w:space="0" w:color="auto"/>
              <w:bottom w:val="outset" w:sz="6" w:space="0" w:color="auto"/>
              <w:right w:val="outset" w:sz="6" w:space="0" w:color="auto"/>
            </w:tcBorders>
            <w:vAlign w:val="center"/>
          </w:tcPr>
          <w:p w14:paraId="5A71B4DE" w14:textId="77777777" w:rsidR="005E000F" w:rsidRDefault="00000000">
            <w:pPr>
              <w:ind w:firstLineChars="100" w:firstLine="210"/>
              <w:rPr>
                <w:color w:val="000000" w:themeColor="text1"/>
              </w:rPr>
            </w:pPr>
            <w:r>
              <w:rPr>
                <w:rFonts w:hint="eastAsia"/>
                <w:color w:val="000000" w:themeColor="text1"/>
              </w:rPr>
              <w:t>合同资产</w:t>
            </w:r>
          </w:p>
        </w:tc>
        <w:tc>
          <w:tcPr>
            <w:tcW w:w="1133" w:type="dxa"/>
            <w:tcBorders>
              <w:top w:val="outset" w:sz="6" w:space="0" w:color="auto"/>
              <w:left w:val="outset" w:sz="6" w:space="0" w:color="auto"/>
              <w:bottom w:val="outset" w:sz="6" w:space="0" w:color="auto"/>
              <w:right w:val="outset" w:sz="6" w:space="0" w:color="auto"/>
            </w:tcBorders>
            <w:vAlign w:val="center"/>
          </w:tcPr>
          <w:p w14:paraId="573486FB"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52B3F53"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7291B76" w14:textId="77777777" w:rsidR="005E000F" w:rsidRDefault="00000000">
            <w:pPr>
              <w:jc w:val="right"/>
            </w:pPr>
            <w:r>
              <w:rPr>
                <w:rFonts w:hint="eastAsia"/>
              </w:rPr>
              <w:t>0</w:t>
            </w:r>
          </w:p>
        </w:tc>
      </w:tr>
      <w:tr w:rsidR="005E000F" w14:paraId="4A6528E8" w14:textId="77777777">
        <w:tc>
          <w:tcPr>
            <w:tcW w:w="2944" w:type="dxa"/>
            <w:tcBorders>
              <w:top w:val="outset" w:sz="6" w:space="0" w:color="auto"/>
              <w:left w:val="outset" w:sz="6" w:space="0" w:color="auto"/>
              <w:bottom w:val="outset" w:sz="6" w:space="0" w:color="auto"/>
              <w:right w:val="outset" w:sz="6" w:space="0" w:color="auto"/>
            </w:tcBorders>
            <w:vAlign w:val="center"/>
          </w:tcPr>
          <w:p w14:paraId="46859BE3" w14:textId="77777777" w:rsidR="005E000F" w:rsidRDefault="00000000">
            <w:pPr>
              <w:ind w:firstLineChars="100" w:firstLine="210"/>
              <w:rPr>
                <w:color w:val="000000" w:themeColor="text1"/>
              </w:rPr>
            </w:pPr>
            <w:r>
              <w:rPr>
                <w:rFonts w:hint="eastAsia"/>
                <w:color w:val="000000" w:themeColor="text1"/>
              </w:rPr>
              <w:t>持有待售资产</w:t>
            </w:r>
          </w:p>
        </w:tc>
        <w:tc>
          <w:tcPr>
            <w:tcW w:w="1133" w:type="dxa"/>
            <w:tcBorders>
              <w:top w:val="outset" w:sz="6" w:space="0" w:color="auto"/>
              <w:left w:val="outset" w:sz="6" w:space="0" w:color="auto"/>
              <w:bottom w:val="outset" w:sz="6" w:space="0" w:color="auto"/>
              <w:right w:val="outset" w:sz="6" w:space="0" w:color="auto"/>
            </w:tcBorders>
            <w:vAlign w:val="center"/>
          </w:tcPr>
          <w:p w14:paraId="0EBA3D1E"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9C75FB9"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0AFFC0D" w14:textId="77777777" w:rsidR="005E000F" w:rsidRDefault="00000000">
            <w:pPr>
              <w:jc w:val="right"/>
            </w:pPr>
            <w:r>
              <w:rPr>
                <w:rFonts w:hint="eastAsia"/>
              </w:rPr>
              <w:t>0</w:t>
            </w:r>
          </w:p>
        </w:tc>
      </w:tr>
      <w:tr w:rsidR="005E000F" w14:paraId="0E0A79D3" w14:textId="77777777">
        <w:tc>
          <w:tcPr>
            <w:tcW w:w="2944" w:type="dxa"/>
            <w:tcBorders>
              <w:top w:val="outset" w:sz="6" w:space="0" w:color="auto"/>
              <w:left w:val="outset" w:sz="6" w:space="0" w:color="auto"/>
              <w:bottom w:val="outset" w:sz="6" w:space="0" w:color="auto"/>
              <w:right w:val="outset" w:sz="6" w:space="0" w:color="auto"/>
            </w:tcBorders>
            <w:vAlign w:val="center"/>
          </w:tcPr>
          <w:p w14:paraId="25DF303D" w14:textId="77777777" w:rsidR="005E000F" w:rsidRDefault="00000000">
            <w:pPr>
              <w:ind w:firstLineChars="100" w:firstLine="210"/>
              <w:rPr>
                <w:color w:val="000000" w:themeColor="text1"/>
              </w:rPr>
            </w:pPr>
            <w:r>
              <w:rPr>
                <w:rFonts w:hint="eastAsia"/>
                <w:color w:val="000000" w:themeColor="text1"/>
              </w:rPr>
              <w:t>一年内到期的非流动资产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7E4A537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4713575"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061C7D95" w14:textId="77777777" w:rsidR="005E000F" w:rsidRDefault="00000000">
            <w:pPr>
              <w:jc w:val="right"/>
            </w:pPr>
            <w:r>
              <w:rPr>
                <w:rFonts w:hint="eastAsia"/>
              </w:rPr>
              <w:t>0</w:t>
            </w:r>
          </w:p>
        </w:tc>
      </w:tr>
      <w:tr w:rsidR="005E000F" w14:paraId="35342E25" w14:textId="77777777">
        <w:tc>
          <w:tcPr>
            <w:tcW w:w="2944" w:type="dxa"/>
            <w:tcBorders>
              <w:top w:val="outset" w:sz="6" w:space="0" w:color="auto"/>
              <w:left w:val="outset" w:sz="6" w:space="0" w:color="auto"/>
              <w:bottom w:val="outset" w:sz="6" w:space="0" w:color="auto"/>
              <w:right w:val="outset" w:sz="6" w:space="0" w:color="auto"/>
            </w:tcBorders>
            <w:vAlign w:val="center"/>
          </w:tcPr>
          <w:p w14:paraId="42F04C13" w14:textId="77777777" w:rsidR="005E000F" w:rsidRDefault="00000000">
            <w:pPr>
              <w:ind w:firstLineChars="100" w:firstLine="210"/>
              <w:rPr>
                <w:color w:val="000000" w:themeColor="text1"/>
              </w:rPr>
            </w:pPr>
            <w:r>
              <w:rPr>
                <w:rFonts w:hint="eastAsia"/>
                <w:color w:val="000000" w:themeColor="text1"/>
              </w:rPr>
              <w:t>其他流动资产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17A34621"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DC60F91" w14:textId="77777777" w:rsidR="005E000F" w:rsidRDefault="00000000">
            <w:pPr>
              <w:jc w:val="right"/>
            </w:pPr>
            <w:r>
              <w:t>1,880,812,848</w:t>
            </w:r>
          </w:p>
        </w:tc>
        <w:tc>
          <w:tcPr>
            <w:tcW w:w="2411" w:type="dxa"/>
            <w:tcBorders>
              <w:top w:val="outset" w:sz="6" w:space="0" w:color="auto"/>
              <w:left w:val="outset" w:sz="6" w:space="0" w:color="auto"/>
              <w:bottom w:val="outset" w:sz="6" w:space="0" w:color="auto"/>
              <w:right w:val="outset" w:sz="6" w:space="0" w:color="auto"/>
            </w:tcBorders>
            <w:vAlign w:val="center"/>
          </w:tcPr>
          <w:p w14:paraId="625014A0" w14:textId="77777777" w:rsidR="005E000F" w:rsidRDefault="00000000">
            <w:pPr>
              <w:jc w:val="right"/>
            </w:pPr>
            <w:r>
              <w:rPr>
                <w:rFonts w:hint="eastAsia"/>
              </w:rPr>
              <w:t>378,757,495</w:t>
            </w:r>
          </w:p>
        </w:tc>
      </w:tr>
      <w:tr w:rsidR="005E000F" w14:paraId="174EE4FB" w14:textId="77777777">
        <w:tc>
          <w:tcPr>
            <w:tcW w:w="2944" w:type="dxa"/>
            <w:tcBorders>
              <w:top w:val="outset" w:sz="6" w:space="0" w:color="auto"/>
              <w:left w:val="outset" w:sz="6" w:space="0" w:color="auto"/>
              <w:bottom w:val="outset" w:sz="6" w:space="0" w:color="auto"/>
              <w:right w:val="outset" w:sz="6" w:space="0" w:color="auto"/>
            </w:tcBorders>
            <w:vAlign w:val="center"/>
          </w:tcPr>
          <w:p w14:paraId="2DDB0A20" w14:textId="77777777" w:rsidR="005E000F" w:rsidRDefault="00000000">
            <w:pPr>
              <w:ind w:firstLineChars="200" w:firstLine="420"/>
              <w:rPr>
                <w:color w:val="000000" w:themeColor="text1"/>
              </w:rPr>
            </w:pPr>
            <w:r>
              <w:rPr>
                <w:rFonts w:hint="eastAsia"/>
                <w:color w:val="000000" w:themeColor="text1"/>
              </w:rPr>
              <w:t>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4720287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7BC6772" w14:textId="77777777" w:rsidR="005E000F" w:rsidRDefault="00000000">
            <w:pPr>
              <w:jc w:val="right"/>
            </w:pPr>
            <w:r>
              <w:t>50,102,189,039</w:t>
            </w:r>
          </w:p>
        </w:tc>
        <w:tc>
          <w:tcPr>
            <w:tcW w:w="2411" w:type="dxa"/>
            <w:tcBorders>
              <w:top w:val="outset" w:sz="6" w:space="0" w:color="auto"/>
              <w:left w:val="outset" w:sz="6" w:space="0" w:color="auto"/>
              <w:bottom w:val="outset" w:sz="6" w:space="0" w:color="auto"/>
              <w:right w:val="outset" w:sz="6" w:space="0" w:color="auto"/>
            </w:tcBorders>
            <w:vAlign w:val="center"/>
          </w:tcPr>
          <w:p w14:paraId="51D94592" w14:textId="77777777" w:rsidR="005E000F" w:rsidRDefault="00000000">
            <w:pPr>
              <w:jc w:val="right"/>
            </w:pPr>
            <w:r>
              <w:rPr>
                <w:rFonts w:hint="eastAsia"/>
              </w:rPr>
              <w:t>74,698,647,724</w:t>
            </w:r>
          </w:p>
        </w:tc>
      </w:tr>
      <w:tr w:rsidR="005E000F" w14:paraId="1F3B4EE9" w14:textId="77777777">
        <w:sdt>
          <w:sdtPr>
            <w:tag w:val="_PLD_3bf4878ec6d14b78be43557bc0d9a302"/>
            <w:id w:val="-269546071"/>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48B33D16" w14:textId="77777777" w:rsidR="005E000F" w:rsidRDefault="00000000">
                <w:pPr>
                  <w:rPr>
                    <w:color w:val="000000" w:themeColor="text1"/>
                  </w:rPr>
                </w:pPr>
                <w:r>
                  <w:rPr>
                    <w:rFonts w:hint="eastAsia"/>
                    <w:b/>
                    <w:color w:val="000000" w:themeColor="text1"/>
                  </w:rPr>
                  <w:t>非流动资产：</w:t>
                </w:r>
              </w:p>
            </w:tc>
          </w:sdtContent>
        </w:sdt>
      </w:tr>
      <w:tr w:rsidR="005E000F" w14:paraId="47549F1A" w14:textId="77777777">
        <w:tc>
          <w:tcPr>
            <w:tcW w:w="2944" w:type="dxa"/>
            <w:tcBorders>
              <w:top w:val="outset" w:sz="6" w:space="0" w:color="auto"/>
              <w:left w:val="outset" w:sz="6" w:space="0" w:color="auto"/>
              <w:bottom w:val="outset" w:sz="6" w:space="0" w:color="auto"/>
              <w:right w:val="outset" w:sz="6" w:space="0" w:color="auto"/>
            </w:tcBorders>
            <w:vAlign w:val="center"/>
          </w:tcPr>
          <w:p w14:paraId="414EF2EC" w14:textId="77777777" w:rsidR="005E000F" w:rsidRDefault="00000000">
            <w:pPr>
              <w:ind w:firstLineChars="100" w:firstLine="210"/>
              <w:rPr>
                <w:color w:val="000000" w:themeColor="text1"/>
              </w:rPr>
            </w:pPr>
            <w:r>
              <w:rPr>
                <w:rFonts w:hint="eastAsia"/>
                <w:color w:val="000000" w:themeColor="text1"/>
              </w:rPr>
              <w:t>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0CCA1D0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0C77DF7"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03834F6" w14:textId="77777777" w:rsidR="005E000F" w:rsidRDefault="00000000">
            <w:pPr>
              <w:jc w:val="right"/>
            </w:pPr>
            <w:r>
              <w:rPr>
                <w:rFonts w:hint="eastAsia"/>
              </w:rPr>
              <w:t>0</w:t>
            </w:r>
          </w:p>
        </w:tc>
      </w:tr>
      <w:tr w:rsidR="005E000F" w14:paraId="30762835" w14:textId="77777777">
        <w:tc>
          <w:tcPr>
            <w:tcW w:w="2944" w:type="dxa"/>
            <w:tcBorders>
              <w:top w:val="outset" w:sz="6" w:space="0" w:color="auto"/>
              <w:left w:val="outset" w:sz="6" w:space="0" w:color="auto"/>
              <w:bottom w:val="outset" w:sz="6" w:space="0" w:color="auto"/>
              <w:right w:val="outset" w:sz="6" w:space="0" w:color="auto"/>
            </w:tcBorders>
            <w:vAlign w:val="center"/>
          </w:tcPr>
          <w:p w14:paraId="14688B34" w14:textId="77777777" w:rsidR="005E000F" w:rsidRDefault="00000000">
            <w:pPr>
              <w:ind w:firstLineChars="100" w:firstLine="210"/>
              <w:rPr>
                <w:color w:val="000000" w:themeColor="text1"/>
              </w:rPr>
            </w:pPr>
            <w:r>
              <w:rPr>
                <w:rFonts w:hint="eastAsia"/>
                <w:color w:val="000000" w:themeColor="text1"/>
              </w:rPr>
              <w:t>其他债权投资</w:t>
            </w:r>
          </w:p>
        </w:tc>
        <w:tc>
          <w:tcPr>
            <w:tcW w:w="1133" w:type="dxa"/>
            <w:tcBorders>
              <w:top w:val="outset" w:sz="6" w:space="0" w:color="auto"/>
              <w:left w:val="outset" w:sz="6" w:space="0" w:color="auto"/>
              <w:bottom w:val="outset" w:sz="6" w:space="0" w:color="auto"/>
              <w:right w:val="outset" w:sz="6" w:space="0" w:color="auto"/>
            </w:tcBorders>
            <w:vAlign w:val="center"/>
          </w:tcPr>
          <w:p w14:paraId="09B10CCE"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844F62D"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8A51728" w14:textId="77777777" w:rsidR="005E000F" w:rsidRDefault="00000000">
            <w:pPr>
              <w:jc w:val="right"/>
            </w:pPr>
            <w:r>
              <w:rPr>
                <w:rFonts w:hint="eastAsia"/>
              </w:rPr>
              <w:t>0</w:t>
            </w:r>
          </w:p>
        </w:tc>
      </w:tr>
      <w:tr w:rsidR="005E000F" w14:paraId="6E9056E5" w14:textId="77777777">
        <w:tc>
          <w:tcPr>
            <w:tcW w:w="2944" w:type="dxa"/>
            <w:tcBorders>
              <w:top w:val="outset" w:sz="6" w:space="0" w:color="auto"/>
              <w:left w:val="outset" w:sz="6" w:space="0" w:color="auto"/>
              <w:bottom w:val="outset" w:sz="6" w:space="0" w:color="auto"/>
              <w:right w:val="outset" w:sz="6" w:space="0" w:color="auto"/>
            </w:tcBorders>
            <w:vAlign w:val="center"/>
          </w:tcPr>
          <w:p w14:paraId="3FF14874" w14:textId="77777777" w:rsidR="005E000F" w:rsidRDefault="00000000">
            <w:pPr>
              <w:ind w:firstLineChars="100" w:firstLine="210"/>
              <w:rPr>
                <w:color w:val="000000" w:themeColor="text1"/>
              </w:rPr>
            </w:pPr>
            <w:r>
              <w:rPr>
                <w:rFonts w:hint="eastAsia"/>
                <w:color w:val="000000" w:themeColor="text1"/>
              </w:rPr>
              <w:t>长期应收款</w:t>
            </w:r>
          </w:p>
        </w:tc>
        <w:tc>
          <w:tcPr>
            <w:tcW w:w="1133" w:type="dxa"/>
            <w:tcBorders>
              <w:top w:val="outset" w:sz="6" w:space="0" w:color="auto"/>
              <w:left w:val="outset" w:sz="6" w:space="0" w:color="auto"/>
              <w:bottom w:val="outset" w:sz="6" w:space="0" w:color="auto"/>
              <w:right w:val="outset" w:sz="6" w:space="0" w:color="auto"/>
            </w:tcBorders>
            <w:vAlign w:val="center"/>
          </w:tcPr>
          <w:p w14:paraId="267563C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080C63F"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67421E46" w14:textId="77777777" w:rsidR="005E000F" w:rsidRDefault="00000000">
            <w:pPr>
              <w:jc w:val="right"/>
            </w:pPr>
            <w:r>
              <w:rPr>
                <w:rFonts w:hint="eastAsia"/>
              </w:rPr>
              <w:t>0</w:t>
            </w:r>
          </w:p>
        </w:tc>
      </w:tr>
      <w:tr w:rsidR="005E000F" w14:paraId="01D3C38D" w14:textId="77777777">
        <w:tc>
          <w:tcPr>
            <w:tcW w:w="2944" w:type="dxa"/>
            <w:tcBorders>
              <w:top w:val="outset" w:sz="6" w:space="0" w:color="auto"/>
              <w:left w:val="outset" w:sz="6" w:space="0" w:color="auto"/>
              <w:bottom w:val="outset" w:sz="6" w:space="0" w:color="auto"/>
              <w:right w:val="outset" w:sz="6" w:space="0" w:color="auto"/>
            </w:tcBorders>
            <w:vAlign w:val="center"/>
          </w:tcPr>
          <w:p w14:paraId="326270F9" w14:textId="77777777" w:rsidR="005E000F" w:rsidRDefault="00000000">
            <w:pPr>
              <w:ind w:firstLineChars="100" w:firstLine="210"/>
              <w:rPr>
                <w:color w:val="000000" w:themeColor="text1"/>
              </w:rPr>
            </w:pPr>
            <w:r>
              <w:rPr>
                <w:rFonts w:hint="eastAsia"/>
                <w:color w:val="000000" w:themeColor="text1"/>
              </w:rPr>
              <w:lastRenderedPageBreak/>
              <w:t>长期股权投资</w:t>
            </w:r>
          </w:p>
        </w:tc>
        <w:tc>
          <w:tcPr>
            <w:tcW w:w="1133" w:type="dxa"/>
            <w:tcBorders>
              <w:top w:val="outset" w:sz="6" w:space="0" w:color="auto"/>
              <w:left w:val="outset" w:sz="6" w:space="0" w:color="auto"/>
              <w:bottom w:val="outset" w:sz="6" w:space="0" w:color="auto"/>
              <w:right w:val="outset" w:sz="6" w:space="0" w:color="auto"/>
            </w:tcBorders>
            <w:vAlign w:val="center"/>
          </w:tcPr>
          <w:p w14:paraId="0594DBF3" w14:textId="77777777" w:rsidR="005E000F" w:rsidRDefault="00000000">
            <w:r>
              <w:rPr>
                <w:rFonts w:hint="eastAsia"/>
              </w:rPr>
              <w:t>十九、</w:t>
            </w:r>
            <w:r>
              <w:t>3</w:t>
            </w:r>
          </w:p>
        </w:tc>
        <w:tc>
          <w:tcPr>
            <w:tcW w:w="2550" w:type="dxa"/>
            <w:tcBorders>
              <w:top w:val="outset" w:sz="6" w:space="0" w:color="auto"/>
              <w:left w:val="outset" w:sz="6" w:space="0" w:color="auto"/>
              <w:bottom w:val="outset" w:sz="6" w:space="0" w:color="auto"/>
              <w:right w:val="outset" w:sz="6" w:space="0" w:color="auto"/>
            </w:tcBorders>
            <w:vAlign w:val="center"/>
          </w:tcPr>
          <w:p w14:paraId="3AC6A470" w14:textId="77777777" w:rsidR="005E000F" w:rsidRDefault="00000000">
            <w:pPr>
              <w:jc w:val="right"/>
            </w:pPr>
            <w:r>
              <w:t>40,006,780,110</w:t>
            </w:r>
          </w:p>
        </w:tc>
        <w:tc>
          <w:tcPr>
            <w:tcW w:w="2411" w:type="dxa"/>
            <w:tcBorders>
              <w:top w:val="outset" w:sz="6" w:space="0" w:color="auto"/>
              <w:left w:val="outset" w:sz="6" w:space="0" w:color="auto"/>
              <w:bottom w:val="outset" w:sz="6" w:space="0" w:color="auto"/>
              <w:right w:val="outset" w:sz="6" w:space="0" w:color="auto"/>
            </w:tcBorders>
            <w:vAlign w:val="center"/>
          </w:tcPr>
          <w:p w14:paraId="719F2823" w14:textId="77777777" w:rsidR="005E000F" w:rsidRDefault="00000000">
            <w:pPr>
              <w:jc w:val="right"/>
            </w:pPr>
            <w:r>
              <w:rPr>
                <w:rFonts w:hint="eastAsia"/>
              </w:rPr>
              <w:t>36,951,969,738</w:t>
            </w:r>
          </w:p>
        </w:tc>
      </w:tr>
      <w:tr w:rsidR="005E000F" w14:paraId="04F298F3" w14:textId="77777777">
        <w:tc>
          <w:tcPr>
            <w:tcW w:w="2944" w:type="dxa"/>
            <w:tcBorders>
              <w:top w:val="outset" w:sz="6" w:space="0" w:color="auto"/>
              <w:left w:val="outset" w:sz="6" w:space="0" w:color="auto"/>
              <w:bottom w:val="outset" w:sz="6" w:space="0" w:color="auto"/>
              <w:right w:val="outset" w:sz="6" w:space="0" w:color="auto"/>
            </w:tcBorders>
            <w:vAlign w:val="center"/>
          </w:tcPr>
          <w:p w14:paraId="34019D03" w14:textId="77777777" w:rsidR="005E000F" w:rsidRDefault="00000000">
            <w:pPr>
              <w:ind w:firstLineChars="100" w:firstLine="210"/>
              <w:rPr>
                <w:color w:val="000000" w:themeColor="text1"/>
              </w:rPr>
            </w:pPr>
            <w:r>
              <w:rPr>
                <w:rFonts w:hint="eastAsia"/>
                <w:color w:val="000000" w:themeColor="text1"/>
              </w:rPr>
              <w:t>其他权益工具投资</w:t>
            </w:r>
          </w:p>
        </w:tc>
        <w:tc>
          <w:tcPr>
            <w:tcW w:w="1133" w:type="dxa"/>
            <w:tcBorders>
              <w:top w:val="outset" w:sz="6" w:space="0" w:color="auto"/>
              <w:left w:val="outset" w:sz="6" w:space="0" w:color="auto"/>
              <w:bottom w:val="outset" w:sz="6" w:space="0" w:color="auto"/>
              <w:right w:val="outset" w:sz="6" w:space="0" w:color="auto"/>
            </w:tcBorders>
            <w:vAlign w:val="center"/>
          </w:tcPr>
          <w:p w14:paraId="3CF15D0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28B87DA" w14:textId="77777777" w:rsidR="005E000F" w:rsidRDefault="00000000">
            <w:pPr>
              <w:jc w:val="right"/>
            </w:pPr>
            <w:r>
              <w:t>240,748,500</w:t>
            </w:r>
          </w:p>
        </w:tc>
        <w:tc>
          <w:tcPr>
            <w:tcW w:w="2411" w:type="dxa"/>
            <w:tcBorders>
              <w:top w:val="outset" w:sz="6" w:space="0" w:color="auto"/>
              <w:left w:val="outset" w:sz="6" w:space="0" w:color="auto"/>
              <w:bottom w:val="outset" w:sz="6" w:space="0" w:color="auto"/>
              <w:right w:val="outset" w:sz="6" w:space="0" w:color="auto"/>
            </w:tcBorders>
            <w:vAlign w:val="center"/>
          </w:tcPr>
          <w:p w14:paraId="0DE77EA8" w14:textId="77777777" w:rsidR="005E000F" w:rsidRDefault="00000000">
            <w:pPr>
              <w:jc w:val="right"/>
            </w:pPr>
            <w:r>
              <w:rPr>
                <w:rFonts w:hint="eastAsia"/>
              </w:rPr>
              <w:t>234,763,500</w:t>
            </w:r>
          </w:p>
        </w:tc>
      </w:tr>
      <w:tr w:rsidR="005E000F" w14:paraId="2256454B" w14:textId="77777777">
        <w:tc>
          <w:tcPr>
            <w:tcW w:w="2944" w:type="dxa"/>
            <w:tcBorders>
              <w:top w:val="outset" w:sz="6" w:space="0" w:color="auto"/>
              <w:left w:val="outset" w:sz="6" w:space="0" w:color="auto"/>
              <w:bottom w:val="outset" w:sz="6" w:space="0" w:color="auto"/>
              <w:right w:val="outset" w:sz="6" w:space="0" w:color="auto"/>
            </w:tcBorders>
            <w:vAlign w:val="center"/>
          </w:tcPr>
          <w:p w14:paraId="69E2524E" w14:textId="77777777" w:rsidR="005E000F" w:rsidRDefault="00000000">
            <w:pPr>
              <w:ind w:firstLineChars="100" w:firstLine="210"/>
              <w:rPr>
                <w:color w:val="000000" w:themeColor="text1"/>
              </w:rPr>
            </w:pPr>
            <w:r>
              <w:rPr>
                <w:rFonts w:hint="eastAsia"/>
                <w:color w:val="000000" w:themeColor="text1"/>
              </w:rPr>
              <w:t>其他非流动金融资产</w:t>
            </w:r>
          </w:p>
        </w:tc>
        <w:tc>
          <w:tcPr>
            <w:tcW w:w="1133" w:type="dxa"/>
            <w:tcBorders>
              <w:top w:val="outset" w:sz="6" w:space="0" w:color="auto"/>
              <w:left w:val="outset" w:sz="6" w:space="0" w:color="auto"/>
              <w:bottom w:val="outset" w:sz="6" w:space="0" w:color="auto"/>
              <w:right w:val="outset" w:sz="6" w:space="0" w:color="auto"/>
            </w:tcBorders>
            <w:vAlign w:val="center"/>
          </w:tcPr>
          <w:p w14:paraId="2A7C64B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1315771"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CF4470A" w14:textId="77777777" w:rsidR="005E000F" w:rsidRDefault="00000000">
            <w:pPr>
              <w:jc w:val="right"/>
            </w:pPr>
            <w:r>
              <w:rPr>
                <w:rFonts w:hint="eastAsia"/>
              </w:rPr>
              <w:t>0</w:t>
            </w:r>
          </w:p>
        </w:tc>
      </w:tr>
      <w:tr w:rsidR="005E000F" w14:paraId="4239C580" w14:textId="77777777">
        <w:tc>
          <w:tcPr>
            <w:tcW w:w="2944" w:type="dxa"/>
            <w:tcBorders>
              <w:top w:val="outset" w:sz="6" w:space="0" w:color="auto"/>
              <w:left w:val="outset" w:sz="6" w:space="0" w:color="auto"/>
              <w:bottom w:val="outset" w:sz="6" w:space="0" w:color="auto"/>
              <w:right w:val="outset" w:sz="6" w:space="0" w:color="auto"/>
            </w:tcBorders>
            <w:vAlign w:val="center"/>
          </w:tcPr>
          <w:p w14:paraId="62AD1A72" w14:textId="77777777" w:rsidR="005E000F" w:rsidRDefault="00000000">
            <w:pPr>
              <w:ind w:firstLineChars="100" w:firstLine="210"/>
              <w:rPr>
                <w:color w:val="000000" w:themeColor="text1"/>
              </w:rPr>
            </w:pPr>
            <w:r>
              <w:rPr>
                <w:rFonts w:hint="eastAsia"/>
                <w:color w:val="000000" w:themeColor="text1"/>
              </w:rPr>
              <w:t>投资性房地产</w:t>
            </w:r>
          </w:p>
        </w:tc>
        <w:tc>
          <w:tcPr>
            <w:tcW w:w="1133" w:type="dxa"/>
            <w:tcBorders>
              <w:top w:val="outset" w:sz="6" w:space="0" w:color="auto"/>
              <w:left w:val="outset" w:sz="6" w:space="0" w:color="auto"/>
              <w:bottom w:val="outset" w:sz="6" w:space="0" w:color="auto"/>
              <w:right w:val="outset" w:sz="6" w:space="0" w:color="auto"/>
            </w:tcBorders>
            <w:vAlign w:val="center"/>
          </w:tcPr>
          <w:p w14:paraId="25DC7D3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6BBFC0D"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4C12F20" w14:textId="77777777" w:rsidR="005E000F" w:rsidRDefault="00000000">
            <w:pPr>
              <w:jc w:val="right"/>
            </w:pPr>
            <w:r>
              <w:rPr>
                <w:rFonts w:hint="eastAsia"/>
              </w:rPr>
              <w:t>0</w:t>
            </w:r>
          </w:p>
        </w:tc>
      </w:tr>
      <w:tr w:rsidR="005E000F" w14:paraId="5DA698E4" w14:textId="77777777">
        <w:tc>
          <w:tcPr>
            <w:tcW w:w="2944" w:type="dxa"/>
            <w:tcBorders>
              <w:top w:val="outset" w:sz="6" w:space="0" w:color="auto"/>
              <w:left w:val="outset" w:sz="6" w:space="0" w:color="auto"/>
              <w:bottom w:val="outset" w:sz="6" w:space="0" w:color="auto"/>
              <w:right w:val="outset" w:sz="6" w:space="0" w:color="auto"/>
            </w:tcBorders>
            <w:vAlign w:val="center"/>
          </w:tcPr>
          <w:p w14:paraId="3D5AA866" w14:textId="77777777" w:rsidR="005E000F" w:rsidRDefault="00000000">
            <w:pPr>
              <w:ind w:firstLineChars="100" w:firstLine="210"/>
              <w:rPr>
                <w:color w:val="000000" w:themeColor="text1"/>
              </w:rPr>
            </w:pPr>
            <w:r>
              <w:rPr>
                <w:rFonts w:hint="eastAsia"/>
                <w:color w:val="000000" w:themeColor="text1"/>
              </w:rPr>
              <w:t>固定资产</w:t>
            </w:r>
          </w:p>
        </w:tc>
        <w:tc>
          <w:tcPr>
            <w:tcW w:w="1133" w:type="dxa"/>
            <w:tcBorders>
              <w:top w:val="outset" w:sz="6" w:space="0" w:color="auto"/>
              <w:left w:val="outset" w:sz="6" w:space="0" w:color="auto"/>
              <w:bottom w:val="outset" w:sz="6" w:space="0" w:color="auto"/>
              <w:right w:val="outset" w:sz="6" w:space="0" w:color="auto"/>
            </w:tcBorders>
            <w:vAlign w:val="center"/>
          </w:tcPr>
          <w:p w14:paraId="59FB364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55E5135" w14:textId="77777777" w:rsidR="005E000F" w:rsidRDefault="00000000">
            <w:pPr>
              <w:jc w:val="right"/>
            </w:pPr>
            <w:r>
              <w:t>65,435,725,608</w:t>
            </w:r>
          </w:p>
        </w:tc>
        <w:tc>
          <w:tcPr>
            <w:tcW w:w="2411" w:type="dxa"/>
            <w:tcBorders>
              <w:top w:val="outset" w:sz="6" w:space="0" w:color="auto"/>
              <w:left w:val="outset" w:sz="6" w:space="0" w:color="auto"/>
              <w:bottom w:val="outset" w:sz="6" w:space="0" w:color="auto"/>
              <w:right w:val="outset" w:sz="6" w:space="0" w:color="auto"/>
            </w:tcBorders>
            <w:vAlign w:val="center"/>
          </w:tcPr>
          <w:p w14:paraId="5E5E2B0E" w14:textId="77777777" w:rsidR="005E000F" w:rsidRDefault="00000000">
            <w:pPr>
              <w:jc w:val="right"/>
            </w:pPr>
            <w:r>
              <w:rPr>
                <w:rFonts w:hint="eastAsia"/>
              </w:rPr>
              <w:t>63,606,542,135</w:t>
            </w:r>
          </w:p>
        </w:tc>
      </w:tr>
      <w:tr w:rsidR="005E000F" w14:paraId="0CF767B8" w14:textId="77777777">
        <w:tc>
          <w:tcPr>
            <w:tcW w:w="2944" w:type="dxa"/>
            <w:tcBorders>
              <w:top w:val="outset" w:sz="6" w:space="0" w:color="auto"/>
              <w:left w:val="outset" w:sz="6" w:space="0" w:color="auto"/>
              <w:bottom w:val="outset" w:sz="6" w:space="0" w:color="auto"/>
              <w:right w:val="outset" w:sz="6" w:space="0" w:color="auto"/>
            </w:tcBorders>
            <w:vAlign w:val="center"/>
          </w:tcPr>
          <w:p w14:paraId="5B4456BE" w14:textId="77777777" w:rsidR="005E000F" w:rsidRDefault="00000000">
            <w:pPr>
              <w:ind w:firstLineChars="100" w:firstLine="210"/>
              <w:rPr>
                <w:color w:val="000000" w:themeColor="text1"/>
              </w:rPr>
            </w:pPr>
            <w:r>
              <w:rPr>
                <w:rFonts w:hint="eastAsia"/>
                <w:color w:val="000000" w:themeColor="text1"/>
              </w:rPr>
              <w:t>在建工程</w:t>
            </w:r>
          </w:p>
        </w:tc>
        <w:tc>
          <w:tcPr>
            <w:tcW w:w="1133" w:type="dxa"/>
            <w:tcBorders>
              <w:top w:val="outset" w:sz="6" w:space="0" w:color="auto"/>
              <w:left w:val="outset" w:sz="6" w:space="0" w:color="auto"/>
              <w:bottom w:val="outset" w:sz="6" w:space="0" w:color="auto"/>
              <w:right w:val="outset" w:sz="6" w:space="0" w:color="auto"/>
            </w:tcBorders>
            <w:vAlign w:val="center"/>
          </w:tcPr>
          <w:p w14:paraId="67C090C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17F6016" w14:textId="77777777" w:rsidR="005E000F" w:rsidRDefault="00000000">
            <w:pPr>
              <w:jc w:val="right"/>
            </w:pPr>
            <w:r>
              <w:t>790,454,238</w:t>
            </w:r>
          </w:p>
        </w:tc>
        <w:tc>
          <w:tcPr>
            <w:tcW w:w="2411" w:type="dxa"/>
            <w:tcBorders>
              <w:top w:val="outset" w:sz="6" w:space="0" w:color="auto"/>
              <w:left w:val="outset" w:sz="6" w:space="0" w:color="auto"/>
              <w:bottom w:val="outset" w:sz="6" w:space="0" w:color="auto"/>
              <w:right w:val="outset" w:sz="6" w:space="0" w:color="auto"/>
            </w:tcBorders>
            <w:vAlign w:val="center"/>
          </w:tcPr>
          <w:p w14:paraId="6E960980" w14:textId="77777777" w:rsidR="005E000F" w:rsidRDefault="00000000">
            <w:pPr>
              <w:jc w:val="right"/>
            </w:pPr>
            <w:r>
              <w:rPr>
                <w:rFonts w:hint="eastAsia"/>
              </w:rPr>
              <w:t>1,598,893,169</w:t>
            </w:r>
          </w:p>
        </w:tc>
      </w:tr>
      <w:tr w:rsidR="005E000F" w14:paraId="367948FC" w14:textId="77777777">
        <w:tc>
          <w:tcPr>
            <w:tcW w:w="2944" w:type="dxa"/>
            <w:tcBorders>
              <w:top w:val="outset" w:sz="6" w:space="0" w:color="auto"/>
              <w:left w:val="outset" w:sz="6" w:space="0" w:color="auto"/>
              <w:bottom w:val="outset" w:sz="6" w:space="0" w:color="auto"/>
              <w:right w:val="outset" w:sz="6" w:space="0" w:color="auto"/>
            </w:tcBorders>
            <w:vAlign w:val="center"/>
          </w:tcPr>
          <w:p w14:paraId="0A52A6D5" w14:textId="77777777" w:rsidR="005E000F" w:rsidRDefault="00000000">
            <w:pPr>
              <w:ind w:firstLineChars="100" w:firstLine="210"/>
              <w:rPr>
                <w:color w:val="000000" w:themeColor="text1"/>
              </w:rPr>
            </w:pPr>
            <w:r>
              <w:rPr>
                <w:rFonts w:hint="eastAsia"/>
                <w:color w:val="000000" w:themeColor="text1"/>
              </w:rPr>
              <w:t>生产性生物资产</w:t>
            </w:r>
          </w:p>
        </w:tc>
        <w:tc>
          <w:tcPr>
            <w:tcW w:w="1133" w:type="dxa"/>
            <w:tcBorders>
              <w:top w:val="outset" w:sz="6" w:space="0" w:color="auto"/>
              <w:left w:val="outset" w:sz="6" w:space="0" w:color="auto"/>
              <w:bottom w:val="outset" w:sz="6" w:space="0" w:color="auto"/>
              <w:right w:val="outset" w:sz="6" w:space="0" w:color="auto"/>
            </w:tcBorders>
            <w:vAlign w:val="center"/>
          </w:tcPr>
          <w:p w14:paraId="1FD6FA9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5576791"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52CE5D0" w14:textId="77777777" w:rsidR="005E000F" w:rsidRDefault="00000000">
            <w:pPr>
              <w:jc w:val="right"/>
            </w:pPr>
            <w:r>
              <w:rPr>
                <w:rFonts w:hint="eastAsia"/>
              </w:rPr>
              <w:t>0</w:t>
            </w:r>
          </w:p>
        </w:tc>
      </w:tr>
      <w:tr w:rsidR="005E000F" w14:paraId="1399C73C" w14:textId="77777777">
        <w:tc>
          <w:tcPr>
            <w:tcW w:w="2944" w:type="dxa"/>
            <w:tcBorders>
              <w:top w:val="outset" w:sz="6" w:space="0" w:color="auto"/>
              <w:left w:val="outset" w:sz="6" w:space="0" w:color="auto"/>
              <w:bottom w:val="outset" w:sz="6" w:space="0" w:color="auto"/>
              <w:right w:val="outset" w:sz="6" w:space="0" w:color="auto"/>
            </w:tcBorders>
            <w:vAlign w:val="center"/>
          </w:tcPr>
          <w:p w14:paraId="65F1BF04" w14:textId="77777777" w:rsidR="005E000F" w:rsidRDefault="00000000">
            <w:pPr>
              <w:ind w:firstLineChars="100" w:firstLine="210"/>
              <w:rPr>
                <w:color w:val="000000" w:themeColor="text1"/>
              </w:rPr>
            </w:pPr>
            <w:r>
              <w:rPr>
                <w:rFonts w:hint="eastAsia"/>
                <w:color w:val="000000" w:themeColor="text1"/>
              </w:rPr>
              <w:t>油气资产</w:t>
            </w:r>
          </w:p>
        </w:tc>
        <w:tc>
          <w:tcPr>
            <w:tcW w:w="1133" w:type="dxa"/>
            <w:tcBorders>
              <w:top w:val="outset" w:sz="6" w:space="0" w:color="auto"/>
              <w:left w:val="outset" w:sz="6" w:space="0" w:color="auto"/>
              <w:bottom w:val="outset" w:sz="6" w:space="0" w:color="auto"/>
              <w:right w:val="outset" w:sz="6" w:space="0" w:color="auto"/>
            </w:tcBorders>
            <w:vAlign w:val="center"/>
          </w:tcPr>
          <w:p w14:paraId="0639E3A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75DE75E5"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725DCD4C" w14:textId="77777777" w:rsidR="005E000F" w:rsidRDefault="00000000">
            <w:pPr>
              <w:jc w:val="right"/>
            </w:pPr>
            <w:r>
              <w:rPr>
                <w:rFonts w:hint="eastAsia"/>
              </w:rPr>
              <w:t>0</w:t>
            </w:r>
          </w:p>
        </w:tc>
      </w:tr>
      <w:tr w:rsidR="005E000F" w14:paraId="79EBB3E1" w14:textId="77777777">
        <w:tc>
          <w:tcPr>
            <w:tcW w:w="2944" w:type="dxa"/>
            <w:tcBorders>
              <w:top w:val="outset" w:sz="6" w:space="0" w:color="auto"/>
              <w:left w:val="outset" w:sz="6" w:space="0" w:color="auto"/>
              <w:bottom w:val="outset" w:sz="6" w:space="0" w:color="auto"/>
              <w:right w:val="outset" w:sz="6" w:space="0" w:color="auto"/>
            </w:tcBorders>
            <w:vAlign w:val="center"/>
          </w:tcPr>
          <w:p w14:paraId="0D7D0E8F" w14:textId="77777777" w:rsidR="005E000F" w:rsidRDefault="00000000">
            <w:pPr>
              <w:ind w:firstLineChars="100" w:firstLine="210"/>
              <w:rPr>
                <w:color w:val="000000" w:themeColor="text1"/>
              </w:rPr>
            </w:pPr>
            <w:r>
              <w:rPr>
                <w:rFonts w:hint="eastAsia"/>
                <w:color w:val="000000" w:themeColor="text1"/>
              </w:rPr>
              <w:t>使用权资产</w:t>
            </w:r>
          </w:p>
        </w:tc>
        <w:tc>
          <w:tcPr>
            <w:tcW w:w="1133" w:type="dxa"/>
            <w:tcBorders>
              <w:top w:val="outset" w:sz="6" w:space="0" w:color="auto"/>
              <w:left w:val="outset" w:sz="6" w:space="0" w:color="auto"/>
              <w:bottom w:val="outset" w:sz="6" w:space="0" w:color="auto"/>
              <w:right w:val="outset" w:sz="6" w:space="0" w:color="auto"/>
            </w:tcBorders>
            <w:vAlign w:val="center"/>
          </w:tcPr>
          <w:p w14:paraId="11A43B8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48D3B28" w14:textId="77777777" w:rsidR="005E000F" w:rsidRDefault="00000000">
            <w:pPr>
              <w:jc w:val="right"/>
            </w:pPr>
            <w:r>
              <w:t>2,370,309,471</w:t>
            </w:r>
          </w:p>
        </w:tc>
        <w:tc>
          <w:tcPr>
            <w:tcW w:w="2411" w:type="dxa"/>
            <w:tcBorders>
              <w:top w:val="outset" w:sz="6" w:space="0" w:color="auto"/>
              <w:left w:val="outset" w:sz="6" w:space="0" w:color="auto"/>
              <w:bottom w:val="outset" w:sz="6" w:space="0" w:color="auto"/>
              <w:right w:val="outset" w:sz="6" w:space="0" w:color="auto"/>
            </w:tcBorders>
            <w:vAlign w:val="center"/>
          </w:tcPr>
          <w:p w14:paraId="19234A72" w14:textId="77777777" w:rsidR="005E000F" w:rsidRDefault="00000000">
            <w:pPr>
              <w:jc w:val="right"/>
            </w:pPr>
            <w:r>
              <w:rPr>
                <w:rFonts w:hint="eastAsia"/>
              </w:rPr>
              <w:t>935,045,525</w:t>
            </w:r>
          </w:p>
        </w:tc>
      </w:tr>
      <w:tr w:rsidR="005E000F" w14:paraId="4F889756" w14:textId="77777777">
        <w:tc>
          <w:tcPr>
            <w:tcW w:w="2944" w:type="dxa"/>
            <w:tcBorders>
              <w:top w:val="outset" w:sz="6" w:space="0" w:color="auto"/>
              <w:left w:val="outset" w:sz="6" w:space="0" w:color="auto"/>
              <w:bottom w:val="outset" w:sz="6" w:space="0" w:color="auto"/>
              <w:right w:val="outset" w:sz="6" w:space="0" w:color="auto"/>
            </w:tcBorders>
            <w:vAlign w:val="center"/>
          </w:tcPr>
          <w:p w14:paraId="6260AEFB" w14:textId="77777777" w:rsidR="005E000F" w:rsidRDefault="00000000">
            <w:pPr>
              <w:ind w:firstLineChars="100" w:firstLine="210"/>
              <w:rPr>
                <w:color w:val="000000" w:themeColor="text1"/>
              </w:rPr>
            </w:pPr>
            <w:r>
              <w:rPr>
                <w:rFonts w:hint="eastAsia"/>
                <w:color w:val="000000" w:themeColor="text1"/>
              </w:rPr>
              <w:t>无形资产</w:t>
            </w:r>
          </w:p>
        </w:tc>
        <w:tc>
          <w:tcPr>
            <w:tcW w:w="1133" w:type="dxa"/>
            <w:tcBorders>
              <w:top w:val="outset" w:sz="6" w:space="0" w:color="auto"/>
              <w:left w:val="outset" w:sz="6" w:space="0" w:color="auto"/>
              <w:bottom w:val="outset" w:sz="6" w:space="0" w:color="auto"/>
              <w:right w:val="outset" w:sz="6" w:space="0" w:color="auto"/>
            </w:tcBorders>
            <w:vAlign w:val="center"/>
          </w:tcPr>
          <w:p w14:paraId="3225B0E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B010A20" w14:textId="77777777" w:rsidR="005E000F" w:rsidRDefault="00000000">
            <w:pPr>
              <w:jc w:val="right"/>
            </w:pPr>
            <w:r>
              <w:t>27,124,428,311</w:t>
            </w:r>
          </w:p>
        </w:tc>
        <w:tc>
          <w:tcPr>
            <w:tcW w:w="2411" w:type="dxa"/>
            <w:tcBorders>
              <w:top w:val="outset" w:sz="6" w:space="0" w:color="auto"/>
              <w:left w:val="outset" w:sz="6" w:space="0" w:color="auto"/>
              <w:bottom w:val="outset" w:sz="6" w:space="0" w:color="auto"/>
              <w:right w:val="outset" w:sz="6" w:space="0" w:color="auto"/>
            </w:tcBorders>
            <w:vAlign w:val="center"/>
          </w:tcPr>
          <w:p w14:paraId="21EE56E7" w14:textId="77777777" w:rsidR="005E000F" w:rsidRDefault="00000000">
            <w:pPr>
              <w:jc w:val="right"/>
            </w:pPr>
            <w:r>
              <w:rPr>
                <w:rFonts w:hint="eastAsia"/>
              </w:rPr>
              <w:t>3,118,340,424</w:t>
            </w:r>
          </w:p>
        </w:tc>
      </w:tr>
      <w:tr w:rsidR="005E000F" w14:paraId="5E149597" w14:textId="77777777">
        <w:tc>
          <w:tcPr>
            <w:tcW w:w="2944" w:type="dxa"/>
            <w:tcBorders>
              <w:top w:val="outset" w:sz="6" w:space="0" w:color="auto"/>
              <w:left w:val="outset" w:sz="6" w:space="0" w:color="auto"/>
              <w:bottom w:val="outset" w:sz="6" w:space="0" w:color="auto"/>
              <w:right w:val="outset" w:sz="6" w:space="0" w:color="auto"/>
            </w:tcBorders>
            <w:vAlign w:val="center"/>
          </w:tcPr>
          <w:p w14:paraId="462299A8" w14:textId="77777777" w:rsidR="005E000F" w:rsidRDefault="00000000">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386D8C96"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DB72611"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63C3044" w14:textId="77777777" w:rsidR="005E000F" w:rsidRDefault="00000000">
            <w:pPr>
              <w:jc w:val="right"/>
            </w:pPr>
            <w:r>
              <w:rPr>
                <w:rFonts w:hint="eastAsia"/>
              </w:rPr>
              <w:t>0</w:t>
            </w:r>
          </w:p>
        </w:tc>
      </w:tr>
      <w:tr w:rsidR="005E000F" w14:paraId="2E00B4C9" w14:textId="77777777">
        <w:tc>
          <w:tcPr>
            <w:tcW w:w="2944" w:type="dxa"/>
            <w:tcBorders>
              <w:top w:val="outset" w:sz="6" w:space="0" w:color="auto"/>
              <w:left w:val="outset" w:sz="6" w:space="0" w:color="auto"/>
              <w:bottom w:val="outset" w:sz="6" w:space="0" w:color="auto"/>
              <w:right w:val="outset" w:sz="6" w:space="0" w:color="auto"/>
            </w:tcBorders>
            <w:vAlign w:val="center"/>
          </w:tcPr>
          <w:p w14:paraId="56BBA97B" w14:textId="77777777" w:rsidR="005E000F" w:rsidRDefault="00000000">
            <w:pPr>
              <w:ind w:firstLineChars="100" w:firstLine="210"/>
              <w:rPr>
                <w:color w:val="000000" w:themeColor="text1"/>
              </w:rPr>
            </w:pPr>
            <w:r>
              <w:rPr>
                <w:rFonts w:hint="eastAsia"/>
                <w:color w:val="000000" w:themeColor="text1"/>
              </w:rPr>
              <w:t>开发支出</w:t>
            </w:r>
          </w:p>
        </w:tc>
        <w:tc>
          <w:tcPr>
            <w:tcW w:w="1133" w:type="dxa"/>
            <w:tcBorders>
              <w:top w:val="outset" w:sz="6" w:space="0" w:color="auto"/>
              <w:left w:val="outset" w:sz="6" w:space="0" w:color="auto"/>
              <w:bottom w:val="outset" w:sz="6" w:space="0" w:color="auto"/>
              <w:right w:val="outset" w:sz="6" w:space="0" w:color="auto"/>
            </w:tcBorders>
            <w:vAlign w:val="center"/>
          </w:tcPr>
          <w:p w14:paraId="7861B58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77E5183"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409FB76" w14:textId="77777777" w:rsidR="005E000F" w:rsidRDefault="00000000">
            <w:pPr>
              <w:jc w:val="right"/>
            </w:pPr>
            <w:r>
              <w:rPr>
                <w:rFonts w:hint="eastAsia"/>
              </w:rPr>
              <w:t>0</w:t>
            </w:r>
          </w:p>
        </w:tc>
      </w:tr>
      <w:tr w:rsidR="005E000F" w14:paraId="21ED9601" w14:textId="77777777">
        <w:tc>
          <w:tcPr>
            <w:tcW w:w="2944" w:type="dxa"/>
            <w:tcBorders>
              <w:top w:val="outset" w:sz="6" w:space="0" w:color="auto"/>
              <w:left w:val="outset" w:sz="6" w:space="0" w:color="auto"/>
              <w:bottom w:val="outset" w:sz="6" w:space="0" w:color="auto"/>
              <w:right w:val="outset" w:sz="6" w:space="0" w:color="auto"/>
            </w:tcBorders>
            <w:vAlign w:val="center"/>
          </w:tcPr>
          <w:p w14:paraId="6C245178" w14:textId="77777777" w:rsidR="005E000F" w:rsidRDefault="00000000">
            <w:pPr>
              <w:ind w:firstLineChars="100" w:firstLine="210"/>
              <w:rPr>
                <w:color w:val="000000" w:themeColor="text1"/>
              </w:rPr>
            </w:pPr>
            <w:r>
              <w:rPr>
                <w:rFonts w:hint="eastAsia"/>
                <w:color w:val="000000" w:themeColor="text1"/>
              </w:rPr>
              <w:t>其中：数据资源</w:t>
            </w:r>
          </w:p>
        </w:tc>
        <w:tc>
          <w:tcPr>
            <w:tcW w:w="1133" w:type="dxa"/>
            <w:tcBorders>
              <w:top w:val="outset" w:sz="6" w:space="0" w:color="auto"/>
              <w:left w:val="outset" w:sz="6" w:space="0" w:color="auto"/>
              <w:bottom w:val="outset" w:sz="6" w:space="0" w:color="auto"/>
              <w:right w:val="outset" w:sz="6" w:space="0" w:color="auto"/>
            </w:tcBorders>
            <w:vAlign w:val="center"/>
          </w:tcPr>
          <w:p w14:paraId="48564940"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1450261"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F790CD1" w14:textId="77777777" w:rsidR="005E000F" w:rsidRDefault="00000000">
            <w:pPr>
              <w:jc w:val="right"/>
            </w:pPr>
            <w:r>
              <w:rPr>
                <w:rFonts w:hint="eastAsia"/>
              </w:rPr>
              <w:t>0</w:t>
            </w:r>
          </w:p>
        </w:tc>
      </w:tr>
      <w:tr w:rsidR="005E000F" w14:paraId="7D143DAE" w14:textId="77777777">
        <w:tc>
          <w:tcPr>
            <w:tcW w:w="2944" w:type="dxa"/>
            <w:tcBorders>
              <w:top w:val="outset" w:sz="6" w:space="0" w:color="auto"/>
              <w:left w:val="outset" w:sz="6" w:space="0" w:color="auto"/>
              <w:bottom w:val="outset" w:sz="6" w:space="0" w:color="auto"/>
              <w:right w:val="outset" w:sz="6" w:space="0" w:color="auto"/>
            </w:tcBorders>
            <w:vAlign w:val="center"/>
          </w:tcPr>
          <w:p w14:paraId="32A0634E" w14:textId="77777777" w:rsidR="005E000F" w:rsidRDefault="00000000">
            <w:pPr>
              <w:ind w:firstLineChars="100" w:firstLine="210"/>
              <w:rPr>
                <w:color w:val="000000" w:themeColor="text1"/>
              </w:rPr>
            </w:pPr>
            <w:r>
              <w:rPr>
                <w:rFonts w:hint="eastAsia"/>
                <w:color w:val="000000" w:themeColor="text1"/>
              </w:rPr>
              <w:t>商誉</w:t>
            </w:r>
          </w:p>
        </w:tc>
        <w:tc>
          <w:tcPr>
            <w:tcW w:w="1133" w:type="dxa"/>
            <w:tcBorders>
              <w:top w:val="outset" w:sz="6" w:space="0" w:color="auto"/>
              <w:left w:val="outset" w:sz="6" w:space="0" w:color="auto"/>
              <w:bottom w:val="outset" w:sz="6" w:space="0" w:color="auto"/>
              <w:right w:val="outset" w:sz="6" w:space="0" w:color="auto"/>
            </w:tcBorders>
            <w:vAlign w:val="center"/>
          </w:tcPr>
          <w:p w14:paraId="4E0E70F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B1188F5"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0ABFD9D4" w14:textId="77777777" w:rsidR="005E000F" w:rsidRDefault="00000000">
            <w:pPr>
              <w:jc w:val="right"/>
            </w:pPr>
            <w:r>
              <w:rPr>
                <w:rFonts w:hint="eastAsia"/>
              </w:rPr>
              <w:t>0</w:t>
            </w:r>
          </w:p>
        </w:tc>
      </w:tr>
      <w:tr w:rsidR="005E000F" w14:paraId="12BD2557" w14:textId="77777777">
        <w:tc>
          <w:tcPr>
            <w:tcW w:w="2944" w:type="dxa"/>
            <w:tcBorders>
              <w:top w:val="outset" w:sz="6" w:space="0" w:color="auto"/>
              <w:left w:val="outset" w:sz="6" w:space="0" w:color="auto"/>
              <w:bottom w:val="outset" w:sz="6" w:space="0" w:color="auto"/>
              <w:right w:val="outset" w:sz="6" w:space="0" w:color="auto"/>
            </w:tcBorders>
            <w:vAlign w:val="center"/>
          </w:tcPr>
          <w:p w14:paraId="0C8F27BD" w14:textId="77777777" w:rsidR="005E000F" w:rsidRDefault="00000000">
            <w:pPr>
              <w:ind w:firstLineChars="100" w:firstLine="210"/>
              <w:rPr>
                <w:color w:val="000000" w:themeColor="text1"/>
              </w:rPr>
            </w:pPr>
            <w:r>
              <w:rPr>
                <w:rFonts w:hint="eastAsia"/>
                <w:color w:val="000000" w:themeColor="text1"/>
              </w:rPr>
              <w:t>长期待摊费用</w:t>
            </w:r>
          </w:p>
        </w:tc>
        <w:tc>
          <w:tcPr>
            <w:tcW w:w="1133" w:type="dxa"/>
            <w:tcBorders>
              <w:top w:val="outset" w:sz="6" w:space="0" w:color="auto"/>
              <w:left w:val="outset" w:sz="6" w:space="0" w:color="auto"/>
              <w:bottom w:val="outset" w:sz="6" w:space="0" w:color="auto"/>
              <w:right w:val="outset" w:sz="6" w:space="0" w:color="auto"/>
            </w:tcBorders>
            <w:vAlign w:val="center"/>
          </w:tcPr>
          <w:p w14:paraId="6AF423F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313F426" w14:textId="77777777" w:rsidR="005E000F" w:rsidRDefault="00000000">
            <w:pPr>
              <w:jc w:val="right"/>
            </w:pPr>
            <w:r>
              <w:t>117,655,081</w:t>
            </w:r>
          </w:p>
        </w:tc>
        <w:tc>
          <w:tcPr>
            <w:tcW w:w="2411" w:type="dxa"/>
            <w:tcBorders>
              <w:top w:val="outset" w:sz="6" w:space="0" w:color="auto"/>
              <w:left w:val="outset" w:sz="6" w:space="0" w:color="auto"/>
              <w:bottom w:val="outset" w:sz="6" w:space="0" w:color="auto"/>
              <w:right w:val="outset" w:sz="6" w:space="0" w:color="auto"/>
            </w:tcBorders>
            <w:vAlign w:val="center"/>
          </w:tcPr>
          <w:p w14:paraId="1F8A2BC0" w14:textId="77777777" w:rsidR="005E000F" w:rsidRDefault="00000000">
            <w:pPr>
              <w:jc w:val="right"/>
            </w:pPr>
            <w:r>
              <w:rPr>
                <w:rFonts w:hint="eastAsia"/>
              </w:rPr>
              <w:t>157,142,415</w:t>
            </w:r>
          </w:p>
        </w:tc>
      </w:tr>
      <w:tr w:rsidR="005E000F" w14:paraId="4389B754" w14:textId="77777777">
        <w:tc>
          <w:tcPr>
            <w:tcW w:w="2944" w:type="dxa"/>
            <w:tcBorders>
              <w:top w:val="outset" w:sz="6" w:space="0" w:color="auto"/>
              <w:left w:val="outset" w:sz="6" w:space="0" w:color="auto"/>
              <w:bottom w:val="outset" w:sz="6" w:space="0" w:color="auto"/>
              <w:right w:val="outset" w:sz="6" w:space="0" w:color="auto"/>
            </w:tcBorders>
            <w:vAlign w:val="center"/>
          </w:tcPr>
          <w:p w14:paraId="7D4E441B" w14:textId="77777777" w:rsidR="005E000F" w:rsidRDefault="00000000">
            <w:pPr>
              <w:ind w:firstLineChars="100" w:firstLine="210"/>
              <w:rPr>
                <w:color w:val="000000" w:themeColor="text1"/>
              </w:rPr>
            </w:pPr>
            <w:r>
              <w:rPr>
                <w:rFonts w:hint="eastAsia"/>
                <w:color w:val="000000" w:themeColor="text1"/>
              </w:rPr>
              <w:t>递延所得税资产</w:t>
            </w:r>
          </w:p>
        </w:tc>
        <w:tc>
          <w:tcPr>
            <w:tcW w:w="1133" w:type="dxa"/>
            <w:tcBorders>
              <w:top w:val="outset" w:sz="6" w:space="0" w:color="auto"/>
              <w:left w:val="outset" w:sz="6" w:space="0" w:color="auto"/>
              <w:bottom w:val="outset" w:sz="6" w:space="0" w:color="auto"/>
              <w:right w:val="outset" w:sz="6" w:space="0" w:color="auto"/>
            </w:tcBorders>
            <w:vAlign w:val="center"/>
          </w:tcPr>
          <w:p w14:paraId="3E97C74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FC4D837" w14:textId="77777777" w:rsidR="005E000F" w:rsidRDefault="00000000">
            <w:pPr>
              <w:jc w:val="right"/>
            </w:pPr>
            <w:r>
              <w:t>1,204,919,901</w:t>
            </w:r>
          </w:p>
        </w:tc>
        <w:tc>
          <w:tcPr>
            <w:tcW w:w="2411" w:type="dxa"/>
            <w:tcBorders>
              <w:top w:val="outset" w:sz="6" w:space="0" w:color="auto"/>
              <w:left w:val="outset" w:sz="6" w:space="0" w:color="auto"/>
              <w:bottom w:val="outset" w:sz="6" w:space="0" w:color="auto"/>
              <w:right w:val="outset" w:sz="6" w:space="0" w:color="auto"/>
            </w:tcBorders>
            <w:vAlign w:val="center"/>
          </w:tcPr>
          <w:p w14:paraId="1DA7A5A0" w14:textId="77777777" w:rsidR="005E000F" w:rsidRDefault="00000000">
            <w:pPr>
              <w:jc w:val="right"/>
            </w:pPr>
            <w:r>
              <w:rPr>
                <w:rFonts w:hint="eastAsia"/>
              </w:rPr>
              <w:t>1,191,594,709</w:t>
            </w:r>
          </w:p>
        </w:tc>
      </w:tr>
      <w:tr w:rsidR="005E000F" w14:paraId="2EC0E071" w14:textId="77777777">
        <w:tc>
          <w:tcPr>
            <w:tcW w:w="2944" w:type="dxa"/>
            <w:tcBorders>
              <w:top w:val="outset" w:sz="6" w:space="0" w:color="auto"/>
              <w:left w:val="outset" w:sz="6" w:space="0" w:color="auto"/>
              <w:bottom w:val="outset" w:sz="6" w:space="0" w:color="auto"/>
              <w:right w:val="outset" w:sz="6" w:space="0" w:color="auto"/>
            </w:tcBorders>
            <w:vAlign w:val="center"/>
          </w:tcPr>
          <w:p w14:paraId="154AE0F1" w14:textId="77777777" w:rsidR="005E000F" w:rsidRDefault="00000000">
            <w:pPr>
              <w:ind w:firstLineChars="100" w:firstLine="210"/>
              <w:rPr>
                <w:color w:val="000000" w:themeColor="text1"/>
              </w:rPr>
            </w:pPr>
            <w:r>
              <w:rPr>
                <w:rFonts w:hint="eastAsia"/>
                <w:color w:val="000000" w:themeColor="text1"/>
              </w:rPr>
              <w:t>其他非流动资产</w:t>
            </w:r>
          </w:p>
        </w:tc>
        <w:tc>
          <w:tcPr>
            <w:tcW w:w="1133" w:type="dxa"/>
            <w:tcBorders>
              <w:top w:val="outset" w:sz="6" w:space="0" w:color="auto"/>
              <w:left w:val="outset" w:sz="6" w:space="0" w:color="auto"/>
              <w:bottom w:val="outset" w:sz="6" w:space="0" w:color="auto"/>
              <w:right w:val="outset" w:sz="6" w:space="0" w:color="auto"/>
            </w:tcBorders>
            <w:vAlign w:val="center"/>
          </w:tcPr>
          <w:p w14:paraId="74A445B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D130785" w14:textId="77777777" w:rsidR="005E000F" w:rsidRDefault="00000000">
            <w:pPr>
              <w:jc w:val="right"/>
            </w:pPr>
            <w:r>
              <w:t>4,100,982,430</w:t>
            </w:r>
          </w:p>
        </w:tc>
        <w:tc>
          <w:tcPr>
            <w:tcW w:w="2411" w:type="dxa"/>
            <w:tcBorders>
              <w:top w:val="outset" w:sz="6" w:space="0" w:color="auto"/>
              <w:left w:val="outset" w:sz="6" w:space="0" w:color="auto"/>
              <w:bottom w:val="outset" w:sz="6" w:space="0" w:color="auto"/>
              <w:right w:val="outset" w:sz="6" w:space="0" w:color="auto"/>
            </w:tcBorders>
            <w:vAlign w:val="center"/>
          </w:tcPr>
          <w:p w14:paraId="3E146058" w14:textId="77777777" w:rsidR="005E000F" w:rsidRDefault="00000000">
            <w:pPr>
              <w:jc w:val="right"/>
            </w:pPr>
            <w:r>
              <w:rPr>
                <w:rFonts w:hint="eastAsia"/>
              </w:rPr>
              <w:t>3,511,320,483</w:t>
            </w:r>
          </w:p>
        </w:tc>
      </w:tr>
      <w:tr w:rsidR="005E000F" w14:paraId="716BC255" w14:textId="77777777">
        <w:tc>
          <w:tcPr>
            <w:tcW w:w="2944" w:type="dxa"/>
            <w:tcBorders>
              <w:top w:val="outset" w:sz="6" w:space="0" w:color="auto"/>
              <w:left w:val="outset" w:sz="6" w:space="0" w:color="auto"/>
              <w:bottom w:val="outset" w:sz="6" w:space="0" w:color="auto"/>
              <w:right w:val="outset" w:sz="6" w:space="0" w:color="auto"/>
            </w:tcBorders>
            <w:vAlign w:val="center"/>
          </w:tcPr>
          <w:p w14:paraId="386F2C0A" w14:textId="77777777" w:rsidR="005E000F" w:rsidRDefault="00000000">
            <w:pPr>
              <w:ind w:firstLineChars="200" w:firstLine="420"/>
              <w:rPr>
                <w:color w:val="000000" w:themeColor="text1"/>
              </w:rPr>
            </w:pPr>
            <w:r>
              <w:rPr>
                <w:rFonts w:hint="eastAsia"/>
                <w:color w:val="000000" w:themeColor="text1"/>
              </w:rPr>
              <w:t>非流动资产合计</w:t>
            </w:r>
          </w:p>
        </w:tc>
        <w:tc>
          <w:tcPr>
            <w:tcW w:w="1133" w:type="dxa"/>
            <w:tcBorders>
              <w:top w:val="outset" w:sz="6" w:space="0" w:color="auto"/>
              <w:left w:val="outset" w:sz="6" w:space="0" w:color="auto"/>
              <w:bottom w:val="outset" w:sz="6" w:space="0" w:color="auto"/>
              <w:right w:val="outset" w:sz="6" w:space="0" w:color="auto"/>
            </w:tcBorders>
            <w:vAlign w:val="center"/>
          </w:tcPr>
          <w:p w14:paraId="1BF93F1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3F55B4C" w14:textId="77777777" w:rsidR="005E000F" w:rsidRDefault="00000000">
            <w:pPr>
              <w:jc w:val="right"/>
            </w:pPr>
            <w:r>
              <w:t>141,392,003,650</w:t>
            </w:r>
          </w:p>
        </w:tc>
        <w:tc>
          <w:tcPr>
            <w:tcW w:w="2411" w:type="dxa"/>
            <w:tcBorders>
              <w:top w:val="outset" w:sz="6" w:space="0" w:color="auto"/>
              <w:left w:val="outset" w:sz="6" w:space="0" w:color="auto"/>
              <w:bottom w:val="outset" w:sz="6" w:space="0" w:color="auto"/>
              <w:right w:val="outset" w:sz="6" w:space="0" w:color="auto"/>
            </w:tcBorders>
            <w:vAlign w:val="center"/>
          </w:tcPr>
          <w:p w14:paraId="36BC5092" w14:textId="77777777" w:rsidR="005E000F" w:rsidRDefault="00000000">
            <w:pPr>
              <w:jc w:val="right"/>
            </w:pPr>
            <w:r>
              <w:rPr>
                <w:rFonts w:hint="eastAsia"/>
              </w:rPr>
              <w:t>111,305,612,098</w:t>
            </w:r>
          </w:p>
        </w:tc>
      </w:tr>
      <w:tr w:rsidR="005E000F" w14:paraId="4F8837F8" w14:textId="77777777">
        <w:tc>
          <w:tcPr>
            <w:tcW w:w="2944" w:type="dxa"/>
            <w:tcBorders>
              <w:top w:val="outset" w:sz="6" w:space="0" w:color="auto"/>
              <w:left w:val="outset" w:sz="6" w:space="0" w:color="auto"/>
              <w:bottom w:val="outset" w:sz="6" w:space="0" w:color="auto"/>
              <w:right w:val="outset" w:sz="6" w:space="0" w:color="auto"/>
            </w:tcBorders>
            <w:vAlign w:val="center"/>
          </w:tcPr>
          <w:p w14:paraId="4E0B3A27" w14:textId="77777777" w:rsidR="005E000F" w:rsidRDefault="00000000">
            <w:pPr>
              <w:ind w:firstLineChars="300" w:firstLine="630"/>
              <w:rPr>
                <w:color w:val="000000" w:themeColor="text1"/>
              </w:rPr>
            </w:pPr>
            <w:r>
              <w:rPr>
                <w:rFonts w:hint="eastAsia"/>
                <w:color w:val="000000" w:themeColor="text1"/>
              </w:rPr>
              <w:t>资产总计</w:t>
            </w:r>
          </w:p>
        </w:tc>
        <w:tc>
          <w:tcPr>
            <w:tcW w:w="1133" w:type="dxa"/>
            <w:tcBorders>
              <w:top w:val="outset" w:sz="6" w:space="0" w:color="auto"/>
              <w:left w:val="outset" w:sz="6" w:space="0" w:color="auto"/>
              <w:bottom w:val="outset" w:sz="6" w:space="0" w:color="auto"/>
              <w:right w:val="outset" w:sz="6" w:space="0" w:color="auto"/>
            </w:tcBorders>
            <w:vAlign w:val="center"/>
          </w:tcPr>
          <w:p w14:paraId="1FC2CD00"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F3F42E2" w14:textId="77777777" w:rsidR="005E000F" w:rsidRDefault="00000000">
            <w:pPr>
              <w:jc w:val="right"/>
            </w:pPr>
            <w:r>
              <w:t>191,494,192,689</w:t>
            </w:r>
          </w:p>
        </w:tc>
        <w:tc>
          <w:tcPr>
            <w:tcW w:w="2411" w:type="dxa"/>
            <w:tcBorders>
              <w:top w:val="outset" w:sz="6" w:space="0" w:color="auto"/>
              <w:left w:val="outset" w:sz="6" w:space="0" w:color="auto"/>
              <w:bottom w:val="outset" w:sz="6" w:space="0" w:color="auto"/>
              <w:right w:val="outset" w:sz="6" w:space="0" w:color="auto"/>
            </w:tcBorders>
            <w:vAlign w:val="center"/>
          </w:tcPr>
          <w:p w14:paraId="08F58F54" w14:textId="77777777" w:rsidR="005E000F" w:rsidRDefault="00000000">
            <w:pPr>
              <w:jc w:val="right"/>
            </w:pPr>
            <w:r>
              <w:rPr>
                <w:rFonts w:hint="eastAsia"/>
              </w:rPr>
              <w:t>186,004,259,822</w:t>
            </w:r>
          </w:p>
        </w:tc>
      </w:tr>
      <w:tr w:rsidR="005E000F" w14:paraId="77E83FA0" w14:textId="77777777">
        <w:sdt>
          <w:sdtPr>
            <w:tag w:val="_PLD_3c4382c3caa043de84ae1c13bc2ce793"/>
            <w:id w:val="1312138089"/>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37D8169C" w14:textId="77777777" w:rsidR="005E000F" w:rsidRDefault="00000000">
                <w:pPr>
                  <w:rPr>
                    <w:color w:val="000000" w:themeColor="text1"/>
                  </w:rPr>
                </w:pPr>
                <w:r>
                  <w:rPr>
                    <w:rFonts w:hint="eastAsia"/>
                    <w:b/>
                    <w:color w:val="000000" w:themeColor="text1"/>
                  </w:rPr>
                  <w:t>流动负债：</w:t>
                </w:r>
              </w:p>
            </w:tc>
          </w:sdtContent>
        </w:sdt>
      </w:tr>
      <w:tr w:rsidR="005E000F" w14:paraId="76219E98" w14:textId="77777777">
        <w:tc>
          <w:tcPr>
            <w:tcW w:w="2944" w:type="dxa"/>
            <w:tcBorders>
              <w:top w:val="outset" w:sz="6" w:space="0" w:color="auto"/>
              <w:left w:val="outset" w:sz="6" w:space="0" w:color="auto"/>
              <w:bottom w:val="outset" w:sz="6" w:space="0" w:color="auto"/>
              <w:right w:val="outset" w:sz="6" w:space="0" w:color="auto"/>
            </w:tcBorders>
            <w:vAlign w:val="center"/>
          </w:tcPr>
          <w:p w14:paraId="23DDDEFA" w14:textId="77777777" w:rsidR="005E000F" w:rsidRDefault="00000000">
            <w:pPr>
              <w:ind w:firstLineChars="100" w:firstLine="210"/>
              <w:rPr>
                <w:color w:val="000000" w:themeColor="text1"/>
              </w:rPr>
            </w:pPr>
            <w:r>
              <w:rPr>
                <w:rFonts w:hint="eastAsia"/>
                <w:color w:val="000000" w:themeColor="text1"/>
              </w:rPr>
              <w:t>短期借款</w:t>
            </w:r>
          </w:p>
        </w:tc>
        <w:tc>
          <w:tcPr>
            <w:tcW w:w="1133" w:type="dxa"/>
            <w:tcBorders>
              <w:top w:val="outset" w:sz="6" w:space="0" w:color="auto"/>
              <w:left w:val="outset" w:sz="6" w:space="0" w:color="auto"/>
              <w:bottom w:val="outset" w:sz="6" w:space="0" w:color="auto"/>
              <w:right w:val="outset" w:sz="6" w:space="0" w:color="auto"/>
            </w:tcBorders>
            <w:vAlign w:val="center"/>
          </w:tcPr>
          <w:p w14:paraId="11BFEE6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B2A514C"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717D7C97" w14:textId="77777777" w:rsidR="005E000F" w:rsidRDefault="00000000">
            <w:pPr>
              <w:jc w:val="right"/>
            </w:pPr>
            <w:r>
              <w:rPr>
                <w:rFonts w:hint="eastAsia"/>
              </w:rPr>
              <w:t>0</w:t>
            </w:r>
          </w:p>
        </w:tc>
      </w:tr>
      <w:tr w:rsidR="005E000F" w14:paraId="63BA362F" w14:textId="77777777">
        <w:tc>
          <w:tcPr>
            <w:tcW w:w="2944" w:type="dxa"/>
            <w:tcBorders>
              <w:top w:val="outset" w:sz="6" w:space="0" w:color="auto"/>
              <w:left w:val="outset" w:sz="6" w:space="0" w:color="auto"/>
              <w:bottom w:val="outset" w:sz="6" w:space="0" w:color="auto"/>
              <w:right w:val="outset" w:sz="6" w:space="0" w:color="auto"/>
            </w:tcBorders>
            <w:vAlign w:val="center"/>
          </w:tcPr>
          <w:p w14:paraId="02CE233C" w14:textId="77777777" w:rsidR="005E000F" w:rsidRDefault="00000000">
            <w:pPr>
              <w:ind w:firstLineChars="100" w:firstLine="210"/>
              <w:rPr>
                <w:color w:val="000000" w:themeColor="text1"/>
              </w:rPr>
            </w:pPr>
            <w:r>
              <w:rPr>
                <w:rFonts w:hint="eastAsia"/>
                <w:color w:val="000000" w:themeColor="text1"/>
              </w:rPr>
              <w:t>交易性金融负债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392A6B92"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B6D916A"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5706407" w14:textId="77777777" w:rsidR="005E000F" w:rsidRDefault="00000000">
            <w:pPr>
              <w:jc w:val="right"/>
            </w:pPr>
            <w:r>
              <w:rPr>
                <w:rFonts w:hint="eastAsia"/>
              </w:rPr>
              <w:t>0</w:t>
            </w:r>
          </w:p>
        </w:tc>
      </w:tr>
      <w:tr w:rsidR="005E000F" w14:paraId="1C2AA0BC" w14:textId="77777777">
        <w:tc>
          <w:tcPr>
            <w:tcW w:w="2944" w:type="dxa"/>
            <w:tcBorders>
              <w:top w:val="outset" w:sz="6" w:space="0" w:color="auto"/>
              <w:left w:val="outset" w:sz="6" w:space="0" w:color="auto"/>
              <w:bottom w:val="outset" w:sz="6" w:space="0" w:color="auto"/>
              <w:right w:val="outset" w:sz="6" w:space="0" w:color="auto"/>
            </w:tcBorders>
            <w:vAlign w:val="center"/>
          </w:tcPr>
          <w:p w14:paraId="79BD9A83" w14:textId="77777777" w:rsidR="005E000F" w:rsidRDefault="00000000">
            <w:pPr>
              <w:ind w:firstLineChars="100" w:firstLine="210"/>
              <w:rPr>
                <w:color w:val="000000" w:themeColor="text1"/>
              </w:rPr>
            </w:pPr>
            <w:r>
              <w:rPr>
                <w:rFonts w:hint="eastAsia"/>
                <w:color w:val="000000" w:themeColor="text1"/>
              </w:rPr>
              <w:t>衍生金融负债</w:t>
            </w:r>
          </w:p>
        </w:tc>
        <w:tc>
          <w:tcPr>
            <w:tcW w:w="1133" w:type="dxa"/>
            <w:tcBorders>
              <w:top w:val="outset" w:sz="6" w:space="0" w:color="auto"/>
              <w:left w:val="outset" w:sz="6" w:space="0" w:color="auto"/>
              <w:bottom w:val="outset" w:sz="6" w:space="0" w:color="auto"/>
              <w:right w:val="outset" w:sz="6" w:space="0" w:color="auto"/>
            </w:tcBorders>
            <w:vAlign w:val="center"/>
          </w:tcPr>
          <w:p w14:paraId="79DD93F0"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481643C"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2EF29FD" w14:textId="77777777" w:rsidR="005E000F" w:rsidRDefault="00000000">
            <w:pPr>
              <w:jc w:val="right"/>
            </w:pPr>
            <w:r>
              <w:rPr>
                <w:rFonts w:hint="eastAsia"/>
              </w:rPr>
              <w:t>0</w:t>
            </w:r>
          </w:p>
        </w:tc>
      </w:tr>
      <w:tr w:rsidR="005E000F" w14:paraId="74894ED7" w14:textId="77777777">
        <w:tc>
          <w:tcPr>
            <w:tcW w:w="2944" w:type="dxa"/>
            <w:tcBorders>
              <w:top w:val="outset" w:sz="6" w:space="0" w:color="auto"/>
              <w:left w:val="outset" w:sz="6" w:space="0" w:color="auto"/>
              <w:bottom w:val="outset" w:sz="6" w:space="0" w:color="auto"/>
              <w:right w:val="outset" w:sz="6" w:space="0" w:color="auto"/>
            </w:tcBorders>
            <w:vAlign w:val="center"/>
          </w:tcPr>
          <w:p w14:paraId="2A650D43" w14:textId="77777777" w:rsidR="005E000F" w:rsidRDefault="00000000">
            <w:pPr>
              <w:ind w:firstLineChars="100" w:firstLine="210"/>
              <w:rPr>
                <w:color w:val="000000" w:themeColor="text1"/>
              </w:rPr>
            </w:pPr>
            <w:r>
              <w:rPr>
                <w:rFonts w:hint="eastAsia"/>
                <w:color w:val="000000" w:themeColor="text1"/>
              </w:rPr>
              <w:t>应付票据</w:t>
            </w:r>
          </w:p>
        </w:tc>
        <w:tc>
          <w:tcPr>
            <w:tcW w:w="1133" w:type="dxa"/>
            <w:tcBorders>
              <w:top w:val="outset" w:sz="6" w:space="0" w:color="auto"/>
              <w:left w:val="outset" w:sz="6" w:space="0" w:color="auto"/>
              <w:bottom w:val="outset" w:sz="6" w:space="0" w:color="auto"/>
              <w:right w:val="outset" w:sz="6" w:space="0" w:color="auto"/>
            </w:tcBorders>
            <w:vAlign w:val="center"/>
          </w:tcPr>
          <w:p w14:paraId="01BA895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C3301A7" w14:textId="77777777" w:rsidR="005E000F" w:rsidRDefault="00000000">
            <w:pPr>
              <w:jc w:val="right"/>
            </w:pPr>
            <w:r>
              <w:t>131,262,922</w:t>
            </w:r>
          </w:p>
        </w:tc>
        <w:tc>
          <w:tcPr>
            <w:tcW w:w="2411" w:type="dxa"/>
            <w:tcBorders>
              <w:top w:val="outset" w:sz="6" w:space="0" w:color="auto"/>
              <w:left w:val="outset" w:sz="6" w:space="0" w:color="auto"/>
              <w:bottom w:val="outset" w:sz="6" w:space="0" w:color="auto"/>
              <w:right w:val="outset" w:sz="6" w:space="0" w:color="auto"/>
            </w:tcBorders>
            <w:vAlign w:val="center"/>
          </w:tcPr>
          <w:p w14:paraId="7BD34EF7" w14:textId="77777777" w:rsidR="005E000F" w:rsidRDefault="00000000">
            <w:pPr>
              <w:jc w:val="right"/>
            </w:pPr>
            <w:r>
              <w:rPr>
                <w:rFonts w:hint="eastAsia"/>
              </w:rPr>
              <w:t>128,225,073</w:t>
            </w:r>
          </w:p>
        </w:tc>
      </w:tr>
      <w:tr w:rsidR="005E000F" w14:paraId="1CD034B0" w14:textId="77777777">
        <w:tc>
          <w:tcPr>
            <w:tcW w:w="2944" w:type="dxa"/>
            <w:tcBorders>
              <w:top w:val="outset" w:sz="6" w:space="0" w:color="auto"/>
              <w:left w:val="outset" w:sz="6" w:space="0" w:color="auto"/>
              <w:bottom w:val="outset" w:sz="6" w:space="0" w:color="auto"/>
              <w:right w:val="outset" w:sz="6" w:space="0" w:color="auto"/>
            </w:tcBorders>
            <w:vAlign w:val="center"/>
          </w:tcPr>
          <w:p w14:paraId="52A28AB6" w14:textId="77777777" w:rsidR="005E000F" w:rsidRDefault="00000000">
            <w:pPr>
              <w:ind w:firstLineChars="100" w:firstLine="210"/>
              <w:rPr>
                <w:color w:val="000000" w:themeColor="text1"/>
              </w:rPr>
            </w:pPr>
            <w:r>
              <w:rPr>
                <w:rFonts w:hint="eastAsia"/>
                <w:color w:val="000000" w:themeColor="text1"/>
              </w:rPr>
              <w:t>应付账款</w:t>
            </w:r>
          </w:p>
        </w:tc>
        <w:tc>
          <w:tcPr>
            <w:tcW w:w="1133" w:type="dxa"/>
            <w:tcBorders>
              <w:top w:val="outset" w:sz="6" w:space="0" w:color="auto"/>
              <w:left w:val="outset" w:sz="6" w:space="0" w:color="auto"/>
              <w:bottom w:val="outset" w:sz="6" w:space="0" w:color="auto"/>
              <w:right w:val="outset" w:sz="6" w:space="0" w:color="auto"/>
            </w:tcBorders>
            <w:vAlign w:val="center"/>
          </w:tcPr>
          <w:p w14:paraId="40B044A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546A105" w14:textId="77777777" w:rsidR="005E000F" w:rsidRDefault="00000000">
            <w:pPr>
              <w:jc w:val="right"/>
            </w:pPr>
            <w:r>
              <w:t>4,920,557,083</w:t>
            </w:r>
          </w:p>
        </w:tc>
        <w:tc>
          <w:tcPr>
            <w:tcW w:w="2411" w:type="dxa"/>
            <w:tcBorders>
              <w:top w:val="outset" w:sz="6" w:space="0" w:color="auto"/>
              <w:left w:val="outset" w:sz="6" w:space="0" w:color="auto"/>
              <w:bottom w:val="outset" w:sz="6" w:space="0" w:color="auto"/>
              <w:right w:val="outset" w:sz="6" w:space="0" w:color="auto"/>
            </w:tcBorders>
            <w:vAlign w:val="center"/>
          </w:tcPr>
          <w:p w14:paraId="419C1B4D" w14:textId="77777777" w:rsidR="005E000F" w:rsidRDefault="00000000">
            <w:pPr>
              <w:jc w:val="right"/>
            </w:pPr>
            <w:r>
              <w:rPr>
                <w:rFonts w:hint="eastAsia"/>
              </w:rPr>
              <w:t>4,796,273,128</w:t>
            </w:r>
          </w:p>
        </w:tc>
      </w:tr>
      <w:tr w:rsidR="005E000F" w14:paraId="37551C03" w14:textId="77777777">
        <w:tc>
          <w:tcPr>
            <w:tcW w:w="2944" w:type="dxa"/>
            <w:tcBorders>
              <w:top w:val="outset" w:sz="6" w:space="0" w:color="auto"/>
              <w:left w:val="outset" w:sz="6" w:space="0" w:color="auto"/>
              <w:bottom w:val="outset" w:sz="6" w:space="0" w:color="auto"/>
              <w:right w:val="outset" w:sz="6" w:space="0" w:color="auto"/>
            </w:tcBorders>
            <w:vAlign w:val="center"/>
          </w:tcPr>
          <w:p w14:paraId="7A8203FF" w14:textId="77777777" w:rsidR="005E000F" w:rsidRDefault="00000000">
            <w:pPr>
              <w:ind w:firstLineChars="100" w:firstLine="210"/>
              <w:rPr>
                <w:color w:val="000000" w:themeColor="text1"/>
              </w:rPr>
            </w:pPr>
            <w:r>
              <w:rPr>
                <w:rFonts w:hint="eastAsia"/>
                <w:color w:val="000000" w:themeColor="text1"/>
              </w:rPr>
              <w:t>预收款项</w:t>
            </w:r>
          </w:p>
        </w:tc>
        <w:tc>
          <w:tcPr>
            <w:tcW w:w="1133" w:type="dxa"/>
            <w:tcBorders>
              <w:top w:val="outset" w:sz="6" w:space="0" w:color="auto"/>
              <w:left w:val="outset" w:sz="6" w:space="0" w:color="auto"/>
              <w:bottom w:val="outset" w:sz="6" w:space="0" w:color="auto"/>
              <w:right w:val="outset" w:sz="6" w:space="0" w:color="auto"/>
            </w:tcBorders>
            <w:vAlign w:val="center"/>
          </w:tcPr>
          <w:p w14:paraId="68E05973"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1D48EE3" w14:textId="77777777" w:rsidR="005E000F" w:rsidRDefault="00000000">
            <w:pPr>
              <w:jc w:val="right"/>
            </w:pPr>
            <w:r>
              <w:t>1,842,403</w:t>
            </w:r>
          </w:p>
        </w:tc>
        <w:tc>
          <w:tcPr>
            <w:tcW w:w="2411" w:type="dxa"/>
            <w:tcBorders>
              <w:top w:val="outset" w:sz="6" w:space="0" w:color="auto"/>
              <w:left w:val="outset" w:sz="6" w:space="0" w:color="auto"/>
              <w:bottom w:val="outset" w:sz="6" w:space="0" w:color="auto"/>
              <w:right w:val="outset" w:sz="6" w:space="0" w:color="auto"/>
            </w:tcBorders>
            <w:vAlign w:val="center"/>
          </w:tcPr>
          <w:p w14:paraId="527A427A" w14:textId="77777777" w:rsidR="005E000F" w:rsidRDefault="00000000">
            <w:pPr>
              <w:jc w:val="right"/>
            </w:pPr>
            <w:r>
              <w:rPr>
                <w:rFonts w:hint="eastAsia"/>
              </w:rPr>
              <w:t>2,590,123</w:t>
            </w:r>
          </w:p>
        </w:tc>
      </w:tr>
      <w:tr w:rsidR="005E000F" w14:paraId="06C8E36F" w14:textId="77777777">
        <w:tc>
          <w:tcPr>
            <w:tcW w:w="2944" w:type="dxa"/>
            <w:tcBorders>
              <w:top w:val="outset" w:sz="6" w:space="0" w:color="auto"/>
              <w:left w:val="outset" w:sz="6" w:space="0" w:color="auto"/>
              <w:bottom w:val="outset" w:sz="6" w:space="0" w:color="auto"/>
              <w:right w:val="outset" w:sz="6" w:space="0" w:color="auto"/>
            </w:tcBorders>
            <w:vAlign w:val="center"/>
          </w:tcPr>
          <w:p w14:paraId="572079D4" w14:textId="77777777" w:rsidR="005E000F" w:rsidRDefault="00000000">
            <w:pPr>
              <w:ind w:firstLineChars="100" w:firstLine="210"/>
              <w:rPr>
                <w:color w:val="000000" w:themeColor="text1"/>
              </w:rPr>
            </w:pPr>
            <w:r>
              <w:rPr>
                <w:rFonts w:hint="eastAsia"/>
                <w:color w:val="000000" w:themeColor="text1"/>
              </w:rPr>
              <w:t>合同负债</w:t>
            </w:r>
          </w:p>
        </w:tc>
        <w:tc>
          <w:tcPr>
            <w:tcW w:w="1133" w:type="dxa"/>
            <w:tcBorders>
              <w:top w:val="outset" w:sz="6" w:space="0" w:color="auto"/>
              <w:left w:val="outset" w:sz="6" w:space="0" w:color="auto"/>
              <w:bottom w:val="outset" w:sz="6" w:space="0" w:color="auto"/>
              <w:right w:val="outset" w:sz="6" w:space="0" w:color="auto"/>
            </w:tcBorders>
            <w:vAlign w:val="center"/>
          </w:tcPr>
          <w:p w14:paraId="13EE9295"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27A2C6E" w14:textId="77777777" w:rsidR="005E000F" w:rsidRDefault="00000000">
            <w:pPr>
              <w:jc w:val="right"/>
            </w:pPr>
            <w:r>
              <w:t>1,773,815,437</w:t>
            </w:r>
          </w:p>
        </w:tc>
        <w:tc>
          <w:tcPr>
            <w:tcW w:w="2411" w:type="dxa"/>
            <w:tcBorders>
              <w:top w:val="outset" w:sz="6" w:space="0" w:color="auto"/>
              <w:left w:val="outset" w:sz="6" w:space="0" w:color="auto"/>
              <w:bottom w:val="outset" w:sz="6" w:space="0" w:color="auto"/>
              <w:right w:val="outset" w:sz="6" w:space="0" w:color="auto"/>
            </w:tcBorders>
            <w:vAlign w:val="center"/>
          </w:tcPr>
          <w:p w14:paraId="64074AAE" w14:textId="77777777" w:rsidR="005E000F" w:rsidRDefault="00000000">
            <w:pPr>
              <w:jc w:val="right"/>
            </w:pPr>
            <w:r>
              <w:rPr>
                <w:rFonts w:hint="eastAsia"/>
              </w:rPr>
              <w:t>1,441,999,663</w:t>
            </w:r>
          </w:p>
        </w:tc>
      </w:tr>
      <w:tr w:rsidR="005E000F" w14:paraId="11CE4698" w14:textId="77777777">
        <w:tc>
          <w:tcPr>
            <w:tcW w:w="2944" w:type="dxa"/>
            <w:tcBorders>
              <w:top w:val="outset" w:sz="6" w:space="0" w:color="auto"/>
              <w:left w:val="outset" w:sz="6" w:space="0" w:color="auto"/>
              <w:bottom w:val="outset" w:sz="6" w:space="0" w:color="auto"/>
              <w:right w:val="outset" w:sz="6" w:space="0" w:color="auto"/>
            </w:tcBorders>
            <w:vAlign w:val="center"/>
          </w:tcPr>
          <w:p w14:paraId="63C9D437" w14:textId="77777777" w:rsidR="005E000F" w:rsidRDefault="00000000">
            <w:pPr>
              <w:ind w:firstLineChars="100" w:firstLine="210"/>
              <w:rPr>
                <w:color w:val="000000" w:themeColor="text1"/>
              </w:rPr>
            </w:pPr>
            <w:r>
              <w:rPr>
                <w:rFonts w:hint="eastAsia"/>
                <w:color w:val="000000" w:themeColor="text1"/>
              </w:rPr>
              <w:t>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50DF395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EA7A602" w14:textId="77777777" w:rsidR="005E000F" w:rsidRDefault="00000000">
            <w:pPr>
              <w:jc w:val="right"/>
            </w:pPr>
            <w:r>
              <w:t>1,944,366,737</w:t>
            </w:r>
          </w:p>
        </w:tc>
        <w:tc>
          <w:tcPr>
            <w:tcW w:w="2411" w:type="dxa"/>
            <w:tcBorders>
              <w:top w:val="outset" w:sz="6" w:space="0" w:color="auto"/>
              <w:left w:val="outset" w:sz="6" w:space="0" w:color="auto"/>
              <w:bottom w:val="outset" w:sz="6" w:space="0" w:color="auto"/>
              <w:right w:val="outset" w:sz="6" w:space="0" w:color="auto"/>
            </w:tcBorders>
            <w:vAlign w:val="center"/>
          </w:tcPr>
          <w:p w14:paraId="209867AE" w14:textId="77777777" w:rsidR="005E000F" w:rsidRDefault="00000000">
            <w:pPr>
              <w:jc w:val="right"/>
            </w:pPr>
            <w:r>
              <w:rPr>
                <w:rFonts w:hint="eastAsia"/>
              </w:rPr>
              <w:t>1,689,651,738</w:t>
            </w:r>
          </w:p>
        </w:tc>
      </w:tr>
      <w:tr w:rsidR="005E000F" w14:paraId="22D01FD7" w14:textId="77777777">
        <w:tc>
          <w:tcPr>
            <w:tcW w:w="2944" w:type="dxa"/>
            <w:tcBorders>
              <w:top w:val="outset" w:sz="6" w:space="0" w:color="auto"/>
              <w:left w:val="outset" w:sz="6" w:space="0" w:color="auto"/>
              <w:bottom w:val="outset" w:sz="6" w:space="0" w:color="auto"/>
              <w:right w:val="outset" w:sz="6" w:space="0" w:color="auto"/>
            </w:tcBorders>
            <w:vAlign w:val="center"/>
          </w:tcPr>
          <w:p w14:paraId="3176FA87" w14:textId="77777777" w:rsidR="005E000F" w:rsidRDefault="00000000">
            <w:pPr>
              <w:ind w:firstLineChars="100" w:firstLine="210"/>
              <w:rPr>
                <w:color w:val="000000" w:themeColor="text1"/>
              </w:rPr>
            </w:pPr>
            <w:r>
              <w:rPr>
                <w:rFonts w:hint="eastAsia"/>
                <w:color w:val="000000" w:themeColor="text1"/>
              </w:rPr>
              <w:t>应交税费</w:t>
            </w:r>
          </w:p>
        </w:tc>
        <w:tc>
          <w:tcPr>
            <w:tcW w:w="1133" w:type="dxa"/>
            <w:tcBorders>
              <w:top w:val="outset" w:sz="6" w:space="0" w:color="auto"/>
              <w:left w:val="outset" w:sz="6" w:space="0" w:color="auto"/>
              <w:bottom w:val="outset" w:sz="6" w:space="0" w:color="auto"/>
              <w:right w:val="outset" w:sz="6" w:space="0" w:color="auto"/>
            </w:tcBorders>
            <w:vAlign w:val="center"/>
          </w:tcPr>
          <w:p w14:paraId="3C75E78F"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2411C9D" w14:textId="77777777" w:rsidR="005E000F" w:rsidRDefault="00000000">
            <w:pPr>
              <w:jc w:val="right"/>
            </w:pPr>
            <w:r>
              <w:t>966,550,968</w:t>
            </w:r>
          </w:p>
        </w:tc>
        <w:tc>
          <w:tcPr>
            <w:tcW w:w="2411" w:type="dxa"/>
            <w:tcBorders>
              <w:top w:val="outset" w:sz="6" w:space="0" w:color="auto"/>
              <w:left w:val="outset" w:sz="6" w:space="0" w:color="auto"/>
              <w:bottom w:val="outset" w:sz="6" w:space="0" w:color="auto"/>
              <w:right w:val="outset" w:sz="6" w:space="0" w:color="auto"/>
            </w:tcBorders>
            <w:vAlign w:val="center"/>
          </w:tcPr>
          <w:p w14:paraId="66F36755" w14:textId="77777777" w:rsidR="005E000F" w:rsidRDefault="00000000">
            <w:pPr>
              <w:jc w:val="right"/>
            </w:pPr>
            <w:r>
              <w:rPr>
                <w:rFonts w:hint="eastAsia"/>
              </w:rPr>
              <w:t>547,325,835</w:t>
            </w:r>
          </w:p>
        </w:tc>
      </w:tr>
      <w:tr w:rsidR="005E000F" w14:paraId="6CD5BCBC" w14:textId="77777777">
        <w:tc>
          <w:tcPr>
            <w:tcW w:w="2944" w:type="dxa"/>
            <w:tcBorders>
              <w:top w:val="outset" w:sz="6" w:space="0" w:color="auto"/>
              <w:left w:val="outset" w:sz="6" w:space="0" w:color="auto"/>
              <w:bottom w:val="outset" w:sz="6" w:space="0" w:color="auto"/>
              <w:right w:val="outset" w:sz="6" w:space="0" w:color="auto"/>
            </w:tcBorders>
            <w:vAlign w:val="center"/>
          </w:tcPr>
          <w:p w14:paraId="25624D87" w14:textId="77777777" w:rsidR="005E000F" w:rsidRDefault="00000000">
            <w:pPr>
              <w:ind w:firstLineChars="100" w:firstLine="210"/>
              <w:rPr>
                <w:color w:val="000000" w:themeColor="text1"/>
              </w:rPr>
            </w:pPr>
            <w:r>
              <w:rPr>
                <w:rFonts w:hint="eastAsia"/>
                <w:color w:val="000000" w:themeColor="text1"/>
              </w:rPr>
              <w:t>其他应付款</w:t>
            </w:r>
          </w:p>
        </w:tc>
        <w:tc>
          <w:tcPr>
            <w:tcW w:w="1133" w:type="dxa"/>
            <w:tcBorders>
              <w:top w:val="outset" w:sz="6" w:space="0" w:color="auto"/>
              <w:left w:val="outset" w:sz="6" w:space="0" w:color="auto"/>
              <w:bottom w:val="outset" w:sz="6" w:space="0" w:color="auto"/>
              <w:right w:val="outset" w:sz="6" w:space="0" w:color="auto"/>
            </w:tcBorders>
            <w:vAlign w:val="center"/>
          </w:tcPr>
          <w:p w14:paraId="4745066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E12F5B5" w14:textId="77777777" w:rsidR="005E000F" w:rsidRDefault="00000000">
            <w:pPr>
              <w:jc w:val="right"/>
            </w:pPr>
            <w:r>
              <w:t>10,066,241,720</w:t>
            </w:r>
          </w:p>
        </w:tc>
        <w:tc>
          <w:tcPr>
            <w:tcW w:w="2411" w:type="dxa"/>
            <w:tcBorders>
              <w:top w:val="outset" w:sz="6" w:space="0" w:color="auto"/>
              <w:left w:val="outset" w:sz="6" w:space="0" w:color="auto"/>
              <w:bottom w:val="outset" w:sz="6" w:space="0" w:color="auto"/>
              <w:right w:val="outset" w:sz="6" w:space="0" w:color="auto"/>
            </w:tcBorders>
            <w:vAlign w:val="center"/>
          </w:tcPr>
          <w:p w14:paraId="7868F040" w14:textId="77777777" w:rsidR="005E000F" w:rsidRDefault="00000000">
            <w:pPr>
              <w:jc w:val="right"/>
            </w:pPr>
            <w:r>
              <w:rPr>
                <w:rFonts w:hint="eastAsia"/>
              </w:rPr>
              <w:t>9,133,916,909</w:t>
            </w:r>
          </w:p>
        </w:tc>
      </w:tr>
      <w:tr w:rsidR="005E000F" w14:paraId="34C3BC0E" w14:textId="77777777">
        <w:tc>
          <w:tcPr>
            <w:tcW w:w="2944" w:type="dxa"/>
            <w:tcBorders>
              <w:top w:val="outset" w:sz="6" w:space="0" w:color="auto"/>
              <w:left w:val="outset" w:sz="6" w:space="0" w:color="auto"/>
              <w:bottom w:val="outset" w:sz="6" w:space="0" w:color="auto"/>
              <w:right w:val="outset" w:sz="6" w:space="0" w:color="auto"/>
            </w:tcBorders>
            <w:vAlign w:val="center"/>
          </w:tcPr>
          <w:p w14:paraId="5EB6714E" w14:textId="77777777" w:rsidR="005E000F" w:rsidRDefault="00000000">
            <w:pPr>
              <w:ind w:firstLineChars="100" w:firstLine="210"/>
              <w:rPr>
                <w:color w:val="000000" w:themeColor="text1"/>
              </w:rPr>
            </w:pPr>
            <w:r>
              <w:rPr>
                <w:rFonts w:hint="eastAsia"/>
                <w:color w:val="000000" w:themeColor="text1"/>
              </w:rPr>
              <w:t>其中：应付利息</w:t>
            </w:r>
          </w:p>
        </w:tc>
        <w:tc>
          <w:tcPr>
            <w:tcW w:w="1133" w:type="dxa"/>
            <w:tcBorders>
              <w:top w:val="outset" w:sz="6" w:space="0" w:color="auto"/>
              <w:left w:val="outset" w:sz="6" w:space="0" w:color="auto"/>
              <w:bottom w:val="outset" w:sz="6" w:space="0" w:color="auto"/>
              <w:right w:val="outset" w:sz="6" w:space="0" w:color="auto"/>
            </w:tcBorders>
            <w:vAlign w:val="center"/>
          </w:tcPr>
          <w:p w14:paraId="1825A4AA"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772AD3BD"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109EC87" w14:textId="77777777" w:rsidR="005E000F" w:rsidRDefault="00000000">
            <w:pPr>
              <w:jc w:val="right"/>
            </w:pPr>
            <w:r>
              <w:rPr>
                <w:rFonts w:hint="eastAsia"/>
              </w:rPr>
              <w:t>0</w:t>
            </w:r>
          </w:p>
        </w:tc>
      </w:tr>
      <w:tr w:rsidR="005E000F" w14:paraId="4099A63E" w14:textId="77777777">
        <w:tc>
          <w:tcPr>
            <w:tcW w:w="2944" w:type="dxa"/>
            <w:tcBorders>
              <w:top w:val="outset" w:sz="6" w:space="0" w:color="auto"/>
              <w:left w:val="outset" w:sz="6" w:space="0" w:color="auto"/>
              <w:bottom w:val="outset" w:sz="6" w:space="0" w:color="auto"/>
              <w:right w:val="outset" w:sz="6" w:space="0" w:color="auto"/>
            </w:tcBorders>
            <w:vAlign w:val="center"/>
          </w:tcPr>
          <w:p w14:paraId="541223BA" w14:textId="77777777" w:rsidR="005E000F" w:rsidRDefault="00000000">
            <w:pPr>
              <w:ind w:firstLineChars="400" w:firstLine="840"/>
              <w:rPr>
                <w:color w:val="000000" w:themeColor="text1"/>
              </w:rPr>
            </w:pPr>
            <w:r>
              <w:rPr>
                <w:rFonts w:hint="eastAsia"/>
                <w:color w:val="000000" w:themeColor="text1"/>
              </w:rPr>
              <w:t>应付股利</w:t>
            </w:r>
          </w:p>
        </w:tc>
        <w:tc>
          <w:tcPr>
            <w:tcW w:w="1133" w:type="dxa"/>
            <w:tcBorders>
              <w:top w:val="outset" w:sz="6" w:space="0" w:color="auto"/>
              <w:left w:val="outset" w:sz="6" w:space="0" w:color="auto"/>
              <w:bottom w:val="outset" w:sz="6" w:space="0" w:color="auto"/>
              <w:right w:val="outset" w:sz="6" w:space="0" w:color="auto"/>
            </w:tcBorders>
            <w:vAlign w:val="center"/>
          </w:tcPr>
          <w:p w14:paraId="56F16AB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697C7A6"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07D2E4A1" w14:textId="77777777" w:rsidR="005E000F" w:rsidRDefault="00000000">
            <w:pPr>
              <w:jc w:val="right"/>
            </w:pPr>
            <w:r>
              <w:rPr>
                <w:rFonts w:hint="eastAsia"/>
              </w:rPr>
              <w:t>0</w:t>
            </w:r>
          </w:p>
        </w:tc>
      </w:tr>
      <w:tr w:rsidR="005E000F" w14:paraId="62A7D5D3" w14:textId="77777777">
        <w:tc>
          <w:tcPr>
            <w:tcW w:w="2944" w:type="dxa"/>
            <w:tcBorders>
              <w:top w:val="outset" w:sz="6" w:space="0" w:color="auto"/>
              <w:left w:val="outset" w:sz="6" w:space="0" w:color="auto"/>
              <w:bottom w:val="outset" w:sz="6" w:space="0" w:color="auto"/>
              <w:right w:val="outset" w:sz="6" w:space="0" w:color="auto"/>
            </w:tcBorders>
            <w:vAlign w:val="center"/>
          </w:tcPr>
          <w:p w14:paraId="618B6360" w14:textId="77777777" w:rsidR="005E000F" w:rsidRDefault="00000000">
            <w:pPr>
              <w:ind w:firstLineChars="100" w:firstLine="210"/>
              <w:rPr>
                <w:color w:val="000000" w:themeColor="text1"/>
              </w:rPr>
            </w:pPr>
            <w:r>
              <w:rPr>
                <w:rFonts w:hint="eastAsia"/>
                <w:color w:val="000000" w:themeColor="text1"/>
              </w:rPr>
              <w:t>持有待售负债</w:t>
            </w:r>
          </w:p>
        </w:tc>
        <w:tc>
          <w:tcPr>
            <w:tcW w:w="1133" w:type="dxa"/>
            <w:tcBorders>
              <w:top w:val="outset" w:sz="6" w:space="0" w:color="auto"/>
              <w:left w:val="outset" w:sz="6" w:space="0" w:color="auto"/>
              <w:bottom w:val="outset" w:sz="6" w:space="0" w:color="auto"/>
              <w:right w:val="outset" w:sz="6" w:space="0" w:color="auto"/>
            </w:tcBorders>
            <w:vAlign w:val="center"/>
          </w:tcPr>
          <w:p w14:paraId="3B704553"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D2046C2"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A4776DD" w14:textId="77777777" w:rsidR="005E000F" w:rsidRDefault="00000000">
            <w:pPr>
              <w:jc w:val="right"/>
            </w:pPr>
            <w:r>
              <w:rPr>
                <w:rFonts w:hint="eastAsia"/>
              </w:rPr>
              <w:t>0</w:t>
            </w:r>
          </w:p>
        </w:tc>
      </w:tr>
      <w:tr w:rsidR="005E000F" w14:paraId="7C23A500" w14:textId="77777777">
        <w:tc>
          <w:tcPr>
            <w:tcW w:w="2944" w:type="dxa"/>
            <w:tcBorders>
              <w:top w:val="outset" w:sz="6" w:space="0" w:color="auto"/>
              <w:left w:val="outset" w:sz="6" w:space="0" w:color="auto"/>
              <w:bottom w:val="outset" w:sz="6" w:space="0" w:color="auto"/>
              <w:right w:val="outset" w:sz="6" w:space="0" w:color="auto"/>
            </w:tcBorders>
            <w:vAlign w:val="center"/>
          </w:tcPr>
          <w:p w14:paraId="5BC2DBD0" w14:textId="77777777" w:rsidR="005E000F" w:rsidRDefault="00000000">
            <w:pPr>
              <w:ind w:firstLineChars="100" w:firstLine="210"/>
              <w:rPr>
                <w:color w:val="000000" w:themeColor="text1"/>
              </w:rPr>
            </w:pPr>
            <w:r>
              <w:rPr>
                <w:rFonts w:hint="eastAsia"/>
                <w:color w:val="000000" w:themeColor="text1"/>
              </w:rPr>
              <w:t>一年内到期的非流动负债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5D77A46F"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1EC296A" w14:textId="77777777" w:rsidR="005E000F" w:rsidRDefault="00000000">
            <w:pPr>
              <w:jc w:val="right"/>
            </w:pPr>
            <w:r>
              <w:t>281,165,195</w:t>
            </w:r>
          </w:p>
        </w:tc>
        <w:tc>
          <w:tcPr>
            <w:tcW w:w="2411" w:type="dxa"/>
            <w:tcBorders>
              <w:top w:val="outset" w:sz="6" w:space="0" w:color="auto"/>
              <w:left w:val="outset" w:sz="6" w:space="0" w:color="auto"/>
              <w:bottom w:val="outset" w:sz="6" w:space="0" w:color="auto"/>
              <w:right w:val="outset" w:sz="6" w:space="0" w:color="auto"/>
            </w:tcBorders>
            <w:vAlign w:val="center"/>
          </w:tcPr>
          <w:p w14:paraId="6BFDA158" w14:textId="77777777" w:rsidR="005E000F" w:rsidRDefault="00000000">
            <w:pPr>
              <w:jc w:val="right"/>
            </w:pPr>
            <w:r>
              <w:rPr>
                <w:rFonts w:hint="eastAsia"/>
              </w:rPr>
              <w:t>258,176,106</w:t>
            </w:r>
          </w:p>
        </w:tc>
      </w:tr>
      <w:tr w:rsidR="005E000F" w14:paraId="08C182C6" w14:textId="77777777">
        <w:tc>
          <w:tcPr>
            <w:tcW w:w="2944" w:type="dxa"/>
            <w:tcBorders>
              <w:top w:val="outset" w:sz="6" w:space="0" w:color="auto"/>
              <w:left w:val="outset" w:sz="6" w:space="0" w:color="auto"/>
              <w:bottom w:val="outset" w:sz="6" w:space="0" w:color="auto"/>
              <w:right w:val="outset" w:sz="6" w:space="0" w:color="auto"/>
            </w:tcBorders>
            <w:vAlign w:val="center"/>
          </w:tcPr>
          <w:p w14:paraId="7E7DF0E6" w14:textId="77777777" w:rsidR="005E000F" w:rsidRDefault="00000000">
            <w:pPr>
              <w:ind w:firstLineChars="100" w:firstLine="210"/>
              <w:rPr>
                <w:color w:val="000000" w:themeColor="text1"/>
              </w:rPr>
            </w:pPr>
            <w:r>
              <w:rPr>
                <w:rFonts w:hint="eastAsia"/>
                <w:color w:val="000000" w:themeColor="text1"/>
              </w:rPr>
              <w:t>其他流动负债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408FAA2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27F8B15" w14:textId="77777777" w:rsidR="005E000F" w:rsidRDefault="00000000">
            <w:pPr>
              <w:jc w:val="right"/>
            </w:pPr>
            <w:r>
              <w:t>138,931,676</w:t>
            </w:r>
          </w:p>
        </w:tc>
        <w:tc>
          <w:tcPr>
            <w:tcW w:w="2411" w:type="dxa"/>
            <w:tcBorders>
              <w:top w:val="outset" w:sz="6" w:space="0" w:color="auto"/>
              <w:left w:val="outset" w:sz="6" w:space="0" w:color="auto"/>
              <w:bottom w:val="outset" w:sz="6" w:space="0" w:color="auto"/>
              <w:right w:val="outset" w:sz="6" w:space="0" w:color="auto"/>
            </w:tcBorders>
            <w:vAlign w:val="center"/>
          </w:tcPr>
          <w:p w14:paraId="52079A91" w14:textId="77777777" w:rsidR="005E000F" w:rsidRDefault="00000000">
            <w:pPr>
              <w:jc w:val="right"/>
            </w:pPr>
            <w:r>
              <w:rPr>
                <w:rFonts w:hint="eastAsia"/>
              </w:rPr>
              <w:t>124,568,247</w:t>
            </w:r>
          </w:p>
        </w:tc>
      </w:tr>
      <w:tr w:rsidR="005E000F" w14:paraId="6882B40D" w14:textId="77777777">
        <w:tc>
          <w:tcPr>
            <w:tcW w:w="2944" w:type="dxa"/>
            <w:tcBorders>
              <w:top w:val="outset" w:sz="6" w:space="0" w:color="auto"/>
              <w:left w:val="outset" w:sz="6" w:space="0" w:color="auto"/>
              <w:bottom w:val="outset" w:sz="6" w:space="0" w:color="auto"/>
              <w:right w:val="outset" w:sz="6" w:space="0" w:color="auto"/>
            </w:tcBorders>
            <w:vAlign w:val="center"/>
          </w:tcPr>
          <w:p w14:paraId="02C28E18" w14:textId="77777777" w:rsidR="005E000F" w:rsidRDefault="00000000">
            <w:pPr>
              <w:ind w:firstLineChars="200" w:firstLine="420"/>
              <w:rPr>
                <w:color w:val="000000" w:themeColor="text1"/>
              </w:rPr>
            </w:pPr>
            <w:r>
              <w:rPr>
                <w:rFonts w:hint="eastAsia"/>
                <w:color w:val="000000" w:themeColor="text1"/>
              </w:rPr>
              <w:t>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7CD1EFFA"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CF0520B" w14:textId="77777777" w:rsidR="005E000F" w:rsidRDefault="00000000">
            <w:pPr>
              <w:jc w:val="right"/>
            </w:pPr>
            <w:r>
              <w:t>20,224,734,141</w:t>
            </w:r>
          </w:p>
        </w:tc>
        <w:tc>
          <w:tcPr>
            <w:tcW w:w="2411" w:type="dxa"/>
            <w:tcBorders>
              <w:top w:val="outset" w:sz="6" w:space="0" w:color="auto"/>
              <w:left w:val="outset" w:sz="6" w:space="0" w:color="auto"/>
              <w:bottom w:val="outset" w:sz="6" w:space="0" w:color="auto"/>
              <w:right w:val="outset" w:sz="6" w:space="0" w:color="auto"/>
            </w:tcBorders>
            <w:vAlign w:val="center"/>
          </w:tcPr>
          <w:p w14:paraId="4A884317" w14:textId="77777777" w:rsidR="005E000F" w:rsidRDefault="00000000">
            <w:pPr>
              <w:jc w:val="right"/>
            </w:pPr>
            <w:r>
              <w:rPr>
                <w:rFonts w:hint="eastAsia"/>
              </w:rPr>
              <w:t>18,122,726,822</w:t>
            </w:r>
          </w:p>
        </w:tc>
      </w:tr>
      <w:tr w:rsidR="005E000F" w14:paraId="7F13AA87" w14:textId="77777777">
        <w:sdt>
          <w:sdtPr>
            <w:tag w:val="_PLD_96b3279b94864dce855f778a549d0817"/>
            <w:id w:val="1905252136"/>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794249BC" w14:textId="77777777" w:rsidR="005E000F" w:rsidRDefault="00000000">
                <w:pPr>
                  <w:rPr>
                    <w:color w:val="000000" w:themeColor="text1"/>
                  </w:rPr>
                </w:pPr>
                <w:r>
                  <w:rPr>
                    <w:rFonts w:hint="eastAsia"/>
                    <w:b/>
                    <w:color w:val="000000" w:themeColor="text1"/>
                  </w:rPr>
                  <w:t>非流动负债：</w:t>
                </w:r>
              </w:p>
            </w:tc>
          </w:sdtContent>
        </w:sdt>
      </w:tr>
      <w:tr w:rsidR="005E000F" w14:paraId="6158F925" w14:textId="77777777">
        <w:tc>
          <w:tcPr>
            <w:tcW w:w="2944" w:type="dxa"/>
            <w:tcBorders>
              <w:top w:val="outset" w:sz="6" w:space="0" w:color="auto"/>
              <w:left w:val="outset" w:sz="6" w:space="0" w:color="auto"/>
              <w:bottom w:val="outset" w:sz="6" w:space="0" w:color="auto"/>
              <w:right w:val="outset" w:sz="6" w:space="0" w:color="auto"/>
            </w:tcBorders>
            <w:vAlign w:val="center"/>
          </w:tcPr>
          <w:p w14:paraId="3081F95A" w14:textId="77777777" w:rsidR="005E000F" w:rsidRDefault="00000000">
            <w:pPr>
              <w:ind w:firstLineChars="100" w:firstLine="210"/>
              <w:rPr>
                <w:color w:val="000000" w:themeColor="text1"/>
              </w:rPr>
            </w:pPr>
            <w:r>
              <w:rPr>
                <w:rFonts w:hint="eastAsia"/>
                <w:color w:val="000000" w:themeColor="text1"/>
              </w:rPr>
              <w:t>长期借款</w:t>
            </w:r>
          </w:p>
        </w:tc>
        <w:tc>
          <w:tcPr>
            <w:tcW w:w="1133" w:type="dxa"/>
            <w:tcBorders>
              <w:top w:val="outset" w:sz="6" w:space="0" w:color="auto"/>
              <w:left w:val="outset" w:sz="6" w:space="0" w:color="auto"/>
              <w:bottom w:val="outset" w:sz="6" w:space="0" w:color="auto"/>
              <w:right w:val="outset" w:sz="6" w:space="0" w:color="auto"/>
            </w:tcBorders>
            <w:vAlign w:val="center"/>
          </w:tcPr>
          <w:p w14:paraId="0547B25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A9243E6"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4843852D" w14:textId="77777777" w:rsidR="005E000F" w:rsidRDefault="00000000">
            <w:pPr>
              <w:jc w:val="right"/>
            </w:pPr>
            <w:r>
              <w:rPr>
                <w:rFonts w:hint="eastAsia"/>
              </w:rPr>
              <w:t>0</w:t>
            </w:r>
          </w:p>
        </w:tc>
      </w:tr>
      <w:tr w:rsidR="005E000F" w14:paraId="33A0C184" w14:textId="77777777">
        <w:tc>
          <w:tcPr>
            <w:tcW w:w="2944" w:type="dxa"/>
            <w:tcBorders>
              <w:top w:val="outset" w:sz="6" w:space="0" w:color="auto"/>
              <w:left w:val="outset" w:sz="6" w:space="0" w:color="auto"/>
              <w:bottom w:val="outset" w:sz="6" w:space="0" w:color="auto"/>
              <w:right w:val="outset" w:sz="6" w:space="0" w:color="auto"/>
            </w:tcBorders>
            <w:vAlign w:val="center"/>
          </w:tcPr>
          <w:p w14:paraId="2D5AEC90" w14:textId="77777777" w:rsidR="005E000F" w:rsidRDefault="00000000">
            <w:pPr>
              <w:ind w:firstLineChars="100" w:firstLine="210"/>
              <w:rPr>
                <w:color w:val="000000" w:themeColor="text1"/>
              </w:rPr>
            </w:pPr>
            <w:r>
              <w:rPr>
                <w:rFonts w:hint="eastAsia"/>
                <w:color w:val="000000" w:themeColor="text1"/>
              </w:rPr>
              <w:t>应付债券</w:t>
            </w:r>
          </w:p>
        </w:tc>
        <w:tc>
          <w:tcPr>
            <w:tcW w:w="1133" w:type="dxa"/>
            <w:tcBorders>
              <w:top w:val="outset" w:sz="6" w:space="0" w:color="auto"/>
              <w:left w:val="outset" w:sz="6" w:space="0" w:color="auto"/>
              <w:bottom w:val="outset" w:sz="6" w:space="0" w:color="auto"/>
              <w:right w:val="outset" w:sz="6" w:space="0" w:color="auto"/>
            </w:tcBorders>
            <w:vAlign w:val="center"/>
          </w:tcPr>
          <w:p w14:paraId="14322E4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42604BA"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2190307C" w14:textId="77777777" w:rsidR="005E000F" w:rsidRDefault="00000000">
            <w:pPr>
              <w:jc w:val="right"/>
            </w:pPr>
            <w:r>
              <w:rPr>
                <w:rFonts w:hint="eastAsia"/>
              </w:rPr>
              <w:t>7,593,350,951</w:t>
            </w:r>
          </w:p>
        </w:tc>
      </w:tr>
      <w:tr w:rsidR="005E000F" w14:paraId="11ACA4D7" w14:textId="77777777">
        <w:tc>
          <w:tcPr>
            <w:tcW w:w="2944" w:type="dxa"/>
            <w:tcBorders>
              <w:top w:val="outset" w:sz="6" w:space="0" w:color="auto"/>
              <w:left w:val="outset" w:sz="6" w:space="0" w:color="auto"/>
              <w:bottom w:val="outset" w:sz="6" w:space="0" w:color="auto"/>
              <w:right w:val="outset" w:sz="6" w:space="0" w:color="auto"/>
            </w:tcBorders>
            <w:vAlign w:val="center"/>
          </w:tcPr>
          <w:p w14:paraId="392CAED5" w14:textId="77777777" w:rsidR="005E000F" w:rsidRDefault="00000000">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023BFEF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2B11E8C"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6FEDD260" w14:textId="77777777" w:rsidR="005E000F" w:rsidRDefault="00000000">
            <w:pPr>
              <w:jc w:val="right"/>
            </w:pPr>
            <w:r>
              <w:rPr>
                <w:rFonts w:hint="eastAsia"/>
              </w:rPr>
              <w:t>0</w:t>
            </w:r>
          </w:p>
        </w:tc>
      </w:tr>
      <w:tr w:rsidR="005E000F" w14:paraId="2B9AF82F" w14:textId="77777777">
        <w:tc>
          <w:tcPr>
            <w:tcW w:w="2944" w:type="dxa"/>
            <w:tcBorders>
              <w:top w:val="outset" w:sz="6" w:space="0" w:color="auto"/>
              <w:left w:val="outset" w:sz="6" w:space="0" w:color="auto"/>
              <w:bottom w:val="outset" w:sz="6" w:space="0" w:color="auto"/>
              <w:right w:val="outset" w:sz="6" w:space="0" w:color="auto"/>
            </w:tcBorders>
            <w:vAlign w:val="center"/>
          </w:tcPr>
          <w:p w14:paraId="273C783D" w14:textId="77777777" w:rsidR="005E000F" w:rsidRDefault="00000000">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55DD957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0BC3094"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3EA06DA4" w14:textId="77777777" w:rsidR="005E000F" w:rsidRDefault="00000000">
            <w:pPr>
              <w:jc w:val="right"/>
            </w:pPr>
            <w:r>
              <w:rPr>
                <w:rFonts w:hint="eastAsia"/>
              </w:rPr>
              <w:t>0</w:t>
            </w:r>
          </w:p>
        </w:tc>
      </w:tr>
      <w:tr w:rsidR="005E000F" w14:paraId="4EB23BBB" w14:textId="77777777">
        <w:tc>
          <w:tcPr>
            <w:tcW w:w="2944" w:type="dxa"/>
            <w:tcBorders>
              <w:top w:val="outset" w:sz="6" w:space="0" w:color="auto"/>
              <w:left w:val="outset" w:sz="6" w:space="0" w:color="auto"/>
              <w:bottom w:val="outset" w:sz="6" w:space="0" w:color="auto"/>
              <w:right w:val="outset" w:sz="6" w:space="0" w:color="auto"/>
            </w:tcBorders>
            <w:vAlign w:val="center"/>
          </w:tcPr>
          <w:p w14:paraId="732FE11D" w14:textId="77777777" w:rsidR="005E000F" w:rsidRDefault="00000000">
            <w:pPr>
              <w:ind w:firstLineChars="100" w:firstLine="210"/>
              <w:rPr>
                <w:color w:val="000000" w:themeColor="text1"/>
              </w:rPr>
            </w:pPr>
            <w:r>
              <w:rPr>
                <w:rFonts w:hint="eastAsia"/>
                <w:color w:val="000000" w:themeColor="text1"/>
              </w:rPr>
              <w:t>租赁负债</w:t>
            </w:r>
          </w:p>
        </w:tc>
        <w:tc>
          <w:tcPr>
            <w:tcW w:w="1133" w:type="dxa"/>
            <w:tcBorders>
              <w:top w:val="outset" w:sz="6" w:space="0" w:color="auto"/>
              <w:left w:val="outset" w:sz="6" w:space="0" w:color="auto"/>
              <w:bottom w:val="outset" w:sz="6" w:space="0" w:color="auto"/>
              <w:right w:val="outset" w:sz="6" w:space="0" w:color="auto"/>
            </w:tcBorders>
            <w:vAlign w:val="center"/>
          </w:tcPr>
          <w:p w14:paraId="0EDBFEAA"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8C56D3E" w14:textId="77777777" w:rsidR="005E000F" w:rsidRDefault="00000000">
            <w:pPr>
              <w:jc w:val="right"/>
            </w:pPr>
            <w:r>
              <w:t>2,151,433,413</w:t>
            </w:r>
          </w:p>
        </w:tc>
        <w:tc>
          <w:tcPr>
            <w:tcW w:w="2411" w:type="dxa"/>
            <w:tcBorders>
              <w:top w:val="outset" w:sz="6" w:space="0" w:color="auto"/>
              <w:left w:val="outset" w:sz="6" w:space="0" w:color="auto"/>
              <w:bottom w:val="outset" w:sz="6" w:space="0" w:color="auto"/>
              <w:right w:val="outset" w:sz="6" w:space="0" w:color="auto"/>
            </w:tcBorders>
            <w:vAlign w:val="center"/>
          </w:tcPr>
          <w:p w14:paraId="38FCA0D1" w14:textId="77777777" w:rsidR="005E000F" w:rsidRDefault="00000000">
            <w:pPr>
              <w:jc w:val="right"/>
            </w:pPr>
            <w:r>
              <w:rPr>
                <w:rFonts w:hint="eastAsia"/>
              </w:rPr>
              <w:t>816,838,791</w:t>
            </w:r>
          </w:p>
        </w:tc>
      </w:tr>
      <w:tr w:rsidR="005E000F" w14:paraId="65D1DB38" w14:textId="77777777">
        <w:tc>
          <w:tcPr>
            <w:tcW w:w="2944" w:type="dxa"/>
            <w:tcBorders>
              <w:top w:val="outset" w:sz="6" w:space="0" w:color="auto"/>
              <w:left w:val="outset" w:sz="6" w:space="0" w:color="auto"/>
              <w:bottom w:val="outset" w:sz="6" w:space="0" w:color="auto"/>
              <w:right w:val="outset" w:sz="6" w:space="0" w:color="auto"/>
            </w:tcBorders>
            <w:vAlign w:val="center"/>
          </w:tcPr>
          <w:p w14:paraId="26AA4B8D" w14:textId="77777777" w:rsidR="005E000F" w:rsidRDefault="00000000">
            <w:pPr>
              <w:ind w:firstLineChars="100" w:firstLine="210"/>
              <w:rPr>
                <w:color w:val="000000" w:themeColor="text1"/>
              </w:rPr>
            </w:pPr>
            <w:r>
              <w:rPr>
                <w:rFonts w:hint="eastAsia"/>
                <w:color w:val="000000" w:themeColor="text1"/>
              </w:rPr>
              <w:t>长期应付款</w:t>
            </w:r>
          </w:p>
        </w:tc>
        <w:tc>
          <w:tcPr>
            <w:tcW w:w="1133" w:type="dxa"/>
            <w:tcBorders>
              <w:top w:val="outset" w:sz="6" w:space="0" w:color="auto"/>
              <w:left w:val="outset" w:sz="6" w:space="0" w:color="auto"/>
              <w:bottom w:val="outset" w:sz="6" w:space="0" w:color="auto"/>
              <w:right w:val="outset" w:sz="6" w:space="0" w:color="auto"/>
            </w:tcBorders>
            <w:vAlign w:val="center"/>
          </w:tcPr>
          <w:p w14:paraId="6E213929"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B9ACB0A" w14:textId="77777777" w:rsidR="005E000F" w:rsidRDefault="00000000">
            <w:pPr>
              <w:jc w:val="right"/>
            </w:pPr>
            <w:r>
              <w:t>62,305,667</w:t>
            </w:r>
          </w:p>
        </w:tc>
        <w:tc>
          <w:tcPr>
            <w:tcW w:w="2411" w:type="dxa"/>
            <w:tcBorders>
              <w:top w:val="outset" w:sz="6" w:space="0" w:color="auto"/>
              <w:left w:val="outset" w:sz="6" w:space="0" w:color="auto"/>
              <w:bottom w:val="outset" w:sz="6" w:space="0" w:color="auto"/>
              <w:right w:val="outset" w:sz="6" w:space="0" w:color="auto"/>
            </w:tcBorders>
            <w:vAlign w:val="center"/>
          </w:tcPr>
          <w:p w14:paraId="4C6BFCE6" w14:textId="77777777" w:rsidR="005E000F" w:rsidRDefault="00000000">
            <w:pPr>
              <w:jc w:val="right"/>
            </w:pPr>
            <w:r>
              <w:rPr>
                <w:rFonts w:hint="eastAsia"/>
              </w:rPr>
              <w:t>62,306,528</w:t>
            </w:r>
          </w:p>
        </w:tc>
      </w:tr>
      <w:tr w:rsidR="005E000F" w14:paraId="2B4C8339" w14:textId="77777777">
        <w:tc>
          <w:tcPr>
            <w:tcW w:w="2944" w:type="dxa"/>
            <w:tcBorders>
              <w:top w:val="outset" w:sz="6" w:space="0" w:color="auto"/>
              <w:left w:val="outset" w:sz="6" w:space="0" w:color="auto"/>
              <w:bottom w:val="outset" w:sz="6" w:space="0" w:color="auto"/>
              <w:right w:val="outset" w:sz="6" w:space="0" w:color="auto"/>
            </w:tcBorders>
            <w:vAlign w:val="center"/>
          </w:tcPr>
          <w:p w14:paraId="3ED3E11D" w14:textId="77777777" w:rsidR="005E000F" w:rsidRDefault="00000000">
            <w:pPr>
              <w:ind w:firstLineChars="100" w:firstLine="210"/>
              <w:rPr>
                <w:color w:val="000000" w:themeColor="text1"/>
              </w:rPr>
            </w:pPr>
            <w:r>
              <w:rPr>
                <w:rFonts w:hint="eastAsia"/>
                <w:color w:val="000000" w:themeColor="text1"/>
              </w:rPr>
              <w:t>长期应付职工薪酬</w:t>
            </w:r>
          </w:p>
        </w:tc>
        <w:tc>
          <w:tcPr>
            <w:tcW w:w="1133" w:type="dxa"/>
            <w:tcBorders>
              <w:top w:val="outset" w:sz="6" w:space="0" w:color="auto"/>
              <w:left w:val="outset" w:sz="6" w:space="0" w:color="auto"/>
              <w:bottom w:val="outset" w:sz="6" w:space="0" w:color="auto"/>
              <w:right w:val="outset" w:sz="6" w:space="0" w:color="auto"/>
            </w:tcBorders>
            <w:vAlign w:val="center"/>
          </w:tcPr>
          <w:p w14:paraId="616FF35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ED760B2" w14:textId="77777777" w:rsidR="005E000F" w:rsidRDefault="00000000">
            <w:pPr>
              <w:jc w:val="right"/>
            </w:pPr>
            <w:r>
              <w:t>3,235,512,500</w:t>
            </w:r>
          </w:p>
        </w:tc>
        <w:tc>
          <w:tcPr>
            <w:tcW w:w="2411" w:type="dxa"/>
            <w:tcBorders>
              <w:top w:val="outset" w:sz="6" w:space="0" w:color="auto"/>
              <w:left w:val="outset" w:sz="6" w:space="0" w:color="auto"/>
              <w:bottom w:val="outset" w:sz="6" w:space="0" w:color="auto"/>
              <w:right w:val="outset" w:sz="6" w:space="0" w:color="auto"/>
            </w:tcBorders>
            <w:vAlign w:val="center"/>
          </w:tcPr>
          <w:p w14:paraId="47A54B74" w14:textId="77777777" w:rsidR="005E000F" w:rsidRDefault="00000000">
            <w:pPr>
              <w:jc w:val="right"/>
            </w:pPr>
            <w:r>
              <w:rPr>
                <w:rFonts w:hint="eastAsia"/>
              </w:rPr>
              <w:t>3,221,915,000</w:t>
            </w:r>
          </w:p>
        </w:tc>
      </w:tr>
      <w:tr w:rsidR="005E000F" w14:paraId="0B04E32A" w14:textId="77777777">
        <w:tc>
          <w:tcPr>
            <w:tcW w:w="2944" w:type="dxa"/>
            <w:tcBorders>
              <w:top w:val="outset" w:sz="6" w:space="0" w:color="auto"/>
              <w:left w:val="outset" w:sz="6" w:space="0" w:color="auto"/>
              <w:bottom w:val="outset" w:sz="6" w:space="0" w:color="auto"/>
              <w:right w:val="outset" w:sz="6" w:space="0" w:color="auto"/>
            </w:tcBorders>
            <w:vAlign w:val="center"/>
          </w:tcPr>
          <w:p w14:paraId="3152F2A1" w14:textId="77777777" w:rsidR="005E000F" w:rsidRDefault="00000000">
            <w:pPr>
              <w:ind w:firstLineChars="100" w:firstLine="210"/>
              <w:rPr>
                <w:color w:val="000000" w:themeColor="text1"/>
              </w:rPr>
            </w:pPr>
            <w:r>
              <w:rPr>
                <w:rFonts w:hint="eastAsia"/>
                <w:color w:val="000000" w:themeColor="text1"/>
              </w:rPr>
              <w:t>预计负债</w:t>
            </w:r>
          </w:p>
        </w:tc>
        <w:tc>
          <w:tcPr>
            <w:tcW w:w="1133" w:type="dxa"/>
            <w:tcBorders>
              <w:top w:val="outset" w:sz="6" w:space="0" w:color="auto"/>
              <w:left w:val="outset" w:sz="6" w:space="0" w:color="auto"/>
              <w:bottom w:val="outset" w:sz="6" w:space="0" w:color="auto"/>
              <w:right w:val="outset" w:sz="6" w:space="0" w:color="auto"/>
            </w:tcBorders>
            <w:vAlign w:val="center"/>
          </w:tcPr>
          <w:p w14:paraId="5632EAE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7A6B30CE"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7D3C3D34" w14:textId="77777777" w:rsidR="005E000F" w:rsidRDefault="00000000">
            <w:pPr>
              <w:jc w:val="right"/>
            </w:pPr>
            <w:r>
              <w:rPr>
                <w:rFonts w:hint="eastAsia"/>
              </w:rPr>
              <w:t>0</w:t>
            </w:r>
          </w:p>
        </w:tc>
      </w:tr>
      <w:tr w:rsidR="005E000F" w14:paraId="50DD55BC" w14:textId="77777777">
        <w:tc>
          <w:tcPr>
            <w:tcW w:w="2944" w:type="dxa"/>
            <w:tcBorders>
              <w:top w:val="outset" w:sz="6" w:space="0" w:color="auto"/>
              <w:left w:val="outset" w:sz="6" w:space="0" w:color="auto"/>
              <w:bottom w:val="outset" w:sz="6" w:space="0" w:color="auto"/>
              <w:right w:val="outset" w:sz="6" w:space="0" w:color="auto"/>
            </w:tcBorders>
            <w:vAlign w:val="center"/>
          </w:tcPr>
          <w:p w14:paraId="558B6BB1" w14:textId="77777777" w:rsidR="005E000F" w:rsidRDefault="00000000">
            <w:pPr>
              <w:ind w:firstLineChars="100" w:firstLine="210"/>
              <w:rPr>
                <w:color w:val="000000" w:themeColor="text1"/>
              </w:rPr>
            </w:pPr>
            <w:r>
              <w:rPr>
                <w:rFonts w:hint="eastAsia"/>
                <w:color w:val="000000" w:themeColor="text1"/>
              </w:rPr>
              <w:t>递延收益</w:t>
            </w:r>
          </w:p>
        </w:tc>
        <w:tc>
          <w:tcPr>
            <w:tcW w:w="1133" w:type="dxa"/>
            <w:tcBorders>
              <w:top w:val="outset" w:sz="6" w:space="0" w:color="auto"/>
              <w:left w:val="outset" w:sz="6" w:space="0" w:color="auto"/>
              <w:bottom w:val="outset" w:sz="6" w:space="0" w:color="auto"/>
              <w:right w:val="outset" w:sz="6" w:space="0" w:color="auto"/>
            </w:tcBorders>
            <w:vAlign w:val="center"/>
          </w:tcPr>
          <w:p w14:paraId="60AF504C"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40A85C22" w14:textId="77777777" w:rsidR="005E000F" w:rsidRDefault="00000000">
            <w:pPr>
              <w:jc w:val="right"/>
            </w:pPr>
            <w:r>
              <w:t>56,851,093</w:t>
            </w:r>
          </w:p>
        </w:tc>
        <w:tc>
          <w:tcPr>
            <w:tcW w:w="2411" w:type="dxa"/>
            <w:tcBorders>
              <w:top w:val="outset" w:sz="6" w:space="0" w:color="auto"/>
              <w:left w:val="outset" w:sz="6" w:space="0" w:color="auto"/>
              <w:bottom w:val="outset" w:sz="6" w:space="0" w:color="auto"/>
              <w:right w:val="outset" w:sz="6" w:space="0" w:color="auto"/>
            </w:tcBorders>
            <w:vAlign w:val="center"/>
          </w:tcPr>
          <w:p w14:paraId="15E36D1B" w14:textId="77777777" w:rsidR="005E000F" w:rsidRDefault="00000000">
            <w:pPr>
              <w:jc w:val="right"/>
            </w:pPr>
            <w:r>
              <w:rPr>
                <w:rFonts w:hint="eastAsia"/>
              </w:rPr>
              <w:t>72,600,173</w:t>
            </w:r>
          </w:p>
        </w:tc>
      </w:tr>
      <w:tr w:rsidR="005E000F" w14:paraId="342569C5" w14:textId="77777777">
        <w:tc>
          <w:tcPr>
            <w:tcW w:w="2944" w:type="dxa"/>
            <w:tcBorders>
              <w:top w:val="outset" w:sz="6" w:space="0" w:color="auto"/>
              <w:left w:val="outset" w:sz="6" w:space="0" w:color="auto"/>
              <w:bottom w:val="outset" w:sz="6" w:space="0" w:color="auto"/>
              <w:right w:val="outset" w:sz="6" w:space="0" w:color="auto"/>
            </w:tcBorders>
            <w:vAlign w:val="center"/>
          </w:tcPr>
          <w:p w14:paraId="562EFE96" w14:textId="77777777" w:rsidR="005E000F" w:rsidRDefault="00000000">
            <w:pPr>
              <w:ind w:firstLineChars="100" w:firstLine="210"/>
              <w:rPr>
                <w:color w:val="000000" w:themeColor="text1"/>
              </w:rPr>
            </w:pPr>
            <w:r>
              <w:rPr>
                <w:rFonts w:hint="eastAsia"/>
                <w:color w:val="000000" w:themeColor="text1"/>
              </w:rPr>
              <w:t>递延所得税负债</w:t>
            </w:r>
          </w:p>
        </w:tc>
        <w:tc>
          <w:tcPr>
            <w:tcW w:w="1133" w:type="dxa"/>
            <w:tcBorders>
              <w:top w:val="outset" w:sz="6" w:space="0" w:color="auto"/>
              <w:left w:val="outset" w:sz="6" w:space="0" w:color="auto"/>
              <w:bottom w:val="outset" w:sz="6" w:space="0" w:color="auto"/>
              <w:right w:val="outset" w:sz="6" w:space="0" w:color="auto"/>
            </w:tcBorders>
            <w:vAlign w:val="center"/>
          </w:tcPr>
          <w:p w14:paraId="63E9B2E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7815622"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7D226C0" w14:textId="77777777" w:rsidR="005E000F" w:rsidRDefault="00000000">
            <w:pPr>
              <w:jc w:val="right"/>
            </w:pPr>
            <w:r>
              <w:rPr>
                <w:rFonts w:hint="eastAsia"/>
              </w:rPr>
              <w:t>0</w:t>
            </w:r>
          </w:p>
        </w:tc>
      </w:tr>
      <w:tr w:rsidR="005E000F" w14:paraId="07BFF993" w14:textId="77777777">
        <w:tc>
          <w:tcPr>
            <w:tcW w:w="2944" w:type="dxa"/>
            <w:tcBorders>
              <w:top w:val="outset" w:sz="6" w:space="0" w:color="auto"/>
              <w:left w:val="outset" w:sz="6" w:space="0" w:color="auto"/>
              <w:bottom w:val="outset" w:sz="6" w:space="0" w:color="auto"/>
              <w:right w:val="outset" w:sz="6" w:space="0" w:color="auto"/>
            </w:tcBorders>
            <w:vAlign w:val="center"/>
          </w:tcPr>
          <w:p w14:paraId="1A577220" w14:textId="77777777" w:rsidR="005E000F" w:rsidRDefault="00000000">
            <w:pPr>
              <w:ind w:firstLineChars="100" w:firstLine="210"/>
              <w:rPr>
                <w:color w:val="000000" w:themeColor="text1"/>
              </w:rPr>
            </w:pPr>
            <w:r>
              <w:rPr>
                <w:rFonts w:hint="eastAsia"/>
                <w:color w:val="000000" w:themeColor="text1"/>
              </w:rPr>
              <w:t>其他非流动负债</w:t>
            </w:r>
          </w:p>
        </w:tc>
        <w:tc>
          <w:tcPr>
            <w:tcW w:w="1133" w:type="dxa"/>
            <w:tcBorders>
              <w:top w:val="outset" w:sz="6" w:space="0" w:color="auto"/>
              <w:left w:val="outset" w:sz="6" w:space="0" w:color="auto"/>
              <w:bottom w:val="outset" w:sz="6" w:space="0" w:color="auto"/>
              <w:right w:val="outset" w:sz="6" w:space="0" w:color="auto"/>
            </w:tcBorders>
            <w:vAlign w:val="center"/>
          </w:tcPr>
          <w:p w14:paraId="27C1FB03"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7C75D35"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64FA029" w14:textId="77777777" w:rsidR="005E000F" w:rsidRDefault="00000000">
            <w:pPr>
              <w:jc w:val="right"/>
            </w:pPr>
            <w:r>
              <w:rPr>
                <w:rFonts w:hint="eastAsia"/>
              </w:rPr>
              <w:t>0</w:t>
            </w:r>
          </w:p>
        </w:tc>
      </w:tr>
      <w:tr w:rsidR="005E000F" w14:paraId="68B74158" w14:textId="77777777">
        <w:tc>
          <w:tcPr>
            <w:tcW w:w="2944" w:type="dxa"/>
            <w:tcBorders>
              <w:top w:val="outset" w:sz="6" w:space="0" w:color="auto"/>
              <w:left w:val="outset" w:sz="6" w:space="0" w:color="auto"/>
              <w:bottom w:val="outset" w:sz="6" w:space="0" w:color="auto"/>
              <w:right w:val="outset" w:sz="6" w:space="0" w:color="auto"/>
            </w:tcBorders>
            <w:vAlign w:val="center"/>
          </w:tcPr>
          <w:p w14:paraId="6AD6241D" w14:textId="77777777" w:rsidR="005E000F" w:rsidRDefault="00000000">
            <w:pPr>
              <w:ind w:firstLineChars="200" w:firstLine="420"/>
              <w:rPr>
                <w:color w:val="000000" w:themeColor="text1"/>
              </w:rPr>
            </w:pPr>
            <w:r>
              <w:rPr>
                <w:rFonts w:hint="eastAsia"/>
                <w:color w:val="000000" w:themeColor="text1"/>
              </w:rPr>
              <w:lastRenderedPageBreak/>
              <w:t>非流动负债合计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343450B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60950C6" w14:textId="77777777" w:rsidR="005E000F" w:rsidRDefault="00000000">
            <w:pPr>
              <w:jc w:val="right"/>
            </w:pPr>
            <w:r>
              <w:t>5,506,102,673</w:t>
            </w:r>
          </w:p>
        </w:tc>
        <w:tc>
          <w:tcPr>
            <w:tcW w:w="2411" w:type="dxa"/>
            <w:tcBorders>
              <w:top w:val="outset" w:sz="6" w:space="0" w:color="auto"/>
              <w:left w:val="outset" w:sz="6" w:space="0" w:color="auto"/>
              <w:bottom w:val="outset" w:sz="6" w:space="0" w:color="auto"/>
              <w:right w:val="outset" w:sz="6" w:space="0" w:color="auto"/>
            </w:tcBorders>
            <w:vAlign w:val="center"/>
          </w:tcPr>
          <w:p w14:paraId="3E6CA308" w14:textId="77777777" w:rsidR="005E000F" w:rsidRDefault="00000000">
            <w:pPr>
              <w:jc w:val="right"/>
            </w:pPr>
            <w:r>
              <w:rPr>
                <w:rFonts w:hint="eastAsia"/>
              </w:rPr>
              <w:t>11,767,011,443</w:t>
            </w:r>
          </w:p>
        </w:tc>
      </w:tr>
      <w:tr w:rsidR="005E000F" w14:paraId="62CF93E5" w14:textId="77777777">
        <w:tc>
          <w:tcPr>
            <w:tcW w:w="2944" w:type="dxa"/>
            <w:tcBorders>
              <w:top w:val="outset" w:sz="6" w:space="0" w:color="auto"/>
              <w:left w:val="outset" w:sz="6" w:space="0" w:color="auto"/>
              <w:bottom w:val="outset" w:sz="6" w:space="0" w:color="auto"/>
              <w:right w:val="outset" w:sz="6" w:space="0" w:color="auto"/>
            </w:tcBorders>
            <w:vAlign w:val="center"/>
          </w:tcPr>
          <w:p w14:paraId="5952CC32" w14:textId="77777777" w:rsidR="005E000F" w:rsidRDefault="00000000">
            <w:pPr>
              <w:ind w:firstLineChars="300" w:firstLine="630"/>
              <w:rPr>
                <w:color w:val="000000" w:themeColor="text1"/>
              </w:rPr>
            </w:pPr>
            <w:r>
              <w:rPr>
                <w:rFonts w:hint="eastAsia"/>
                <w:color w:val="000000" w:themeColor="text1"/>
              </w:rPr>
              <w:t>负债合计</w:t>
            </w:r>
          </w:p>
        </w:tc>
        <w:tc>
          <w:tcPr>
            <w:tcW w:w="1133" w:type="dxa"/>
            <w:tcBorders>
              <w:top w:val="outset" w:sz="6" w:space="0" w:color="auto"/>
              <w:left w:val="outset" w:sz="6" w:space="0" w:color="auto"/>
              <w:bottom w:val="outset" w:sz="6" w:space="0" w:color="auto"/>
              <w:right w:val="outset" w:sz="6" w:space="0" w:color="auto"/>
            </w:tcBorders>
            <w:vAlign w:val="center"/>
          </w:tcPr>
          <w:p w14:paraId="58708456"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F91BFD7" w14:textId="77777777" w:rsidR="005E000F" w:rsidRDefault="00000000">
            <w:pPr>
              <w:jc w:val="right"/>
            </w:pPr>
            <w:r>
              <w:t>25,730,836,814</w:t>
            </w:r>
          </w:p>
        </w:tc>
        <w:tc>
          <w:tcPr>
            <w:tcW w:w="2411" w:type="dxa"/>
            <w:tcBorders>
              <w:top w:val="outset" w:sz="6" w:space="0" w:color="auto"/>
              <w:left w:val="outset" w:sz="6" w:space="0" w:color="auto"/>
              <w:bottom w:val="outset" w:sz="6" w:space="0" w:color="auto"/>
              <w:right w:val="outset" w:sz="6" w:space="0" w:color="auto"/>
            </w:tcBorders>
            <w:vAlign w:val="center"/>
          </w:tcPr>
          <w:p w14:paraId="45798AD3" w14:textId="77777777" w:rsidR="005E000F" w:rsidRDefault="00000000">
            <w:pPr>
              <w:jc w:val="right"/>
            </w:pPr>
            <w:r>
              <w:rPr>
                <w:rFonts w:hint="eastAsia"/>
              </w:rPr>
              <w:t>29,889,738,265</w:t>
            </w:r>
          </w:p>
        </w:tc>
      </w:tr>
      <w:tr w:rsidR="005E000F" w14:paraId="01B1796E" w14:textId="77777777">
        <w:sdt>
          <w:sdtPr>
            <w:tag w:val="_PLD_2b8d2554b6394d8daf706f571f2c850a"/>
            <w:id w:val="-2088839306"/>
          </w:sdtPr>
          <w:sdtContent>
            <w:tc>
              <w:tcPr>
                <w:tcW w:w="9038" w:type="dxa"/>
                <w:gridSpan w:val="4"/>
                <w:tcBorders>
                  <w:top w:val="outset" w:sz="6" w:space="0" w:color="auto"/>
                  <w:left w:val="outset" w:sz="6" w:space="0" w:color="auto"/>
                  <w:bottom w:val="outset" w:sz="6" w:space="0" w:color="auto"/>
                  <w:right w:val="outset" w:sz="6" w:space="0" w:color="auto"/>
                </w:tcBorders>
                <w:vAlign w:val="center"/>
              </w:tcPr>
              <w:p w14:paraId="5069B0D3" w14:textId="77777777" w:rsidR="005E000F" w:rsidRDefault="00000000">
                <w:pPr>
                  <w:rPr>
                    <w:color w:val="000000" w:themeColor="text1"/>
                  </w:rPr>
                </w:pPr>
                <w:r>
                  <w:rPr>
                    <w:rFonts w:hint="eastAsia"/>
                    <w:b/>
                    <w:color w:val="000000" w:themeColor="text1"/>
                  </w:rPr>
                  <w:t>所有者权益（或股东权益）：</w:t>
                </w:r>
              </w:p>
            </w:tc>
          </w:sdtContent>
        </w:sdt>
      </w:tr>
      <w:tr w:rsidR="005E000F" w14:paraId="63B246F1" w14:textId="77777777">
        <w:tc>
          <w:tcPr>
            <w:tcW w:w="2944" w:type="dxa"/>
            <w:tcBorders>
              <w:top w:val="outset" w:sz="6" w:space="0" w:color="auto"/>
              <w:left w:val="outset" w:sz="6" w:space="0" w:color="auto"/>
              <w:bottom w:val="outset" w:sz="6" w:space="0" w:color="auto"/>
              <w:right w:val="outset" w:sz="6" w:space="0" w:color="auto"/>
            </w:tcBorders>
            <w:vAlign w:val="center"/>
          </w:tcPr>
          <w:p w14:paraId="108C1E39" w14:textId="77777777" w:rsidR="005E000F" w:rsidRDefault="00000000">
            <w:pPr>
              <w:ind w:firstLineChars="100" w:firstLine="210"/>
              <w:rPr>
                <w:color w:val="000000" w:themeColor="text1"/>
              </w:rPr>
            </w:pPr>
            <w:r>
              <w:rPr>
                <w:rFonts w:hint="eastAsia"/>
                <w:color w:val="000000" w:themeColor="text1"/>
              </w:rPr>
              <w:t>实收资本（或股本）</w:t>
            </w:r>
          </w:p>
        </w:tc>
        <w:tc>
          <w:tcPr>
            <w:tcW w:w="1133" w:type="dxa"/>
            <w:tcBorders>
              <w:top w:val="outset" w:sz="6" w:space="0" w:color="auto"/>
              <w:left w:val="outset" w:sz="6" w:space="0" w:color="auto"/>
              <w:bottom w:val="outset" w:sz="6" w:space="0" w:color="auto"/>
              <w:right w:val="outset" w:sz="6" w:space="0" w:color="auto"/>
            </w:tcBorders>
            <w:vAlign w:val="center"/>
          </w:tcPr>
          <w:p w14:paraId="6A70191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97F9AE3" w14:textId="77777777" w:rsidR="005E000F" w:rsidRDefault="00000000">
            <w:pPr>
              <w:jc w:val="right"/>
            </w:pPr>
            <w:r>
              <w:t>20,147,177,716</w:t>
            </w:r>
          </w:p>
        </w:tc>
        <w:tc>
          <w:tcPr>
            <w:tcW w:w="2411" w:type="dxa"/>
            <w:tcBorders>
              <w:top w:val="outset" w:sz="6" w:space="0" w:color="auto"/>
              <w:left w:val="outset" w:sz="6" w:space="0" w:color="auto"/>
              <w:bottom w:val="outset" w:sz="6" w:space="0" w:color="auto"/>
              <w:right w:val="outset" w:sz="6" w:space="0" w:color="auto"/>
            </w:tcBorders>
            <w:vAlign w:val="center"/>
          </w:tcPr>
          <w:p w14:paraId="5F65E941" w14:textId="77777777" w:rsidR="005E000F" w:rsidRDefault="00000000">
            <w:pPr>
              <w:jc w:val="right"/>
            </w:pPr>
            <w:r>
              <w:rPr>
                <w:rFonts w:hint="eastAsia"/>
              </w:rPr>
              <w:t>18,807,273,822</w:t>
            </w:r>
          </w:p>
        </w:tc>
      </w:tr>
      <w:tr w:rsidR="005E000F" w14:paraId="3087B34C" w14:textId="77777777">
        <w:tc>
          <w:tcPr>
            <w:tcW w:w="2944" w:type="dxa"/>
            <w:tcBorders>
              <w:top w:val="outset" w:sz="6" w:space="0" w:color="auto"/>
              <w:left w:val="outset" w:sz="6" w:space="0" w:color="auto"/>
              <w:bottom w:val="outset" w:sz="6" w:space="0" w:color="auto"/>
              <w:right w:val="outset" w:sz="6" w:space="0" w:color="auto"/>
            </w:tcBorders>
            <w:vAlign w:val="center"/>
          </w:tcPr>
          <w:p w14:paraId="49586DB5" w14:textId="77777777" w:rsidR="005E000F" w:rsidRDefault="00000000">
            <w:pPr>
              <w:ind w:firstLineChars="100" w:firstLine="210"/>
              <w:rPr>
                <w:color w:val="000000" w:themeColor="text1"/>
              </w:rPr>
            </w:pPr>
            <w:r>
              <w:rPr>
                <w:rFonts w:hint="eastAsia"/>
                <w:color w:val="000000" w:themeColor="text1"/>
              </w:rPr>
              <w:t>其他权益工具</w:t>
            </w:r>
          </w:p>
        </w:tc>
        <w:tc>
          <w:tcPr>
            <w:tcW w:w="1133" w:type="dxa"/>
            <w:tcBorders>
              <w:top w:val="outset" w:sz="6" w:space="0" w:color="auto"/>
              <w:left w:val="outset" w:sz="6" w:space="0" w:color="auto"/>
              <w:bottom w:val="outset" w:sz="6" w:space="0" w:color="auto"/>
              <w:right w:val="outset" w:sz="6" w:space="0" w:color="auto"/>
            </w:tcBorders>
            <w:vAlign w:val="center"/>
          </w:tcPr>
          <w:p w14:paraId="607590A5"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93AE641"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03A01D10" w14:textId="77777777" w:rsidR="005E000F" w:rsidRDefault="00000000">
            <w:pPr>
              <w:jc w:val="right"/>
            </w:pPr>
            <w:r>
              <w:rPr>
                <w:rFonts w:hint="eastAsia"/>
              </w:rPr>
              <w:t>804,984,728</w:t>
            </w:r>
          </w:p>
        </w:tc>
      </w:tr>
      <w:tr w:rsidR="005E000F" w14:paraId="3114DF47" w14:textId="77777777">
        <w:tc>
          <w:tcPr>
            <w:tcW w:w="2944" w:type="dxa"/>
            <w:tcBorders>
              <w:top w:val="outset" w:sz="6" w:space="0" w:color="auto"/>
              <w:left w:val="outset" w:sz="6" w:space="0" w:color="auto"/>
              <w:bottom w:val="outset" w:sz="6" w:space="0" w:color="auto"/>
              <w:right w:val="outset" w:sz="6" w:space="0" w:color="auto"/>
            </w:tcBorders>
            <w:vAlign w:val="center"/>
          </w:tcPr>
          <w:p w14:paraId="60F64532" w14:textId="77777777" w:rsidR="005E000F" w:rsidRDefault="00000000">
            <w:pPr>
              <w:ind w:firstLineChars="100" w:firstLine="210"/>
              <w:rPr>
                <w:color w:val="000000" w:themeColor="text1"/>
              </w:rPr>
            </w:pPr>
            <w:r>
              <w:rPr>
                <w:rFonts w:hint="eastAsia"/>
                <w:color w:val="000000" w:themeColor="text1"/>
              </w:rPr>
              <w:t>其中：优先股</w:t>
            </w:r>
          </w:p>
        </w:tc>
        <w:tc>
          <w:tcPr>
            <w:tcW w:w="1133" w:type="dxa"/>
            <w:tcBorders>
              <w:top w:val="outset" w:sz="6" w:space="0" w:color="auto"/>
              <w:left w:val="outset" w:sz="6" w:space="0" w:color="auto"/>
              <w:bottom w:val="outset" w:sz="6" w:space="0" w:color="auto"/>
              <w:right w:val="outset" w:sz="6" w:space="0" w:color="auto"/>
            </w:tcBorders>
            <w:vAlign w:val="center"/>
          </w:tcPr>
          <w:p w14:paraId="62C9802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7465512"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103A8BE1" w14:textId="77777777" w:rsidR="005E000F" w:rsidRDefault="00000000">
            <w:pPr>
              <w:jc w:val="right"/>
            </w:pPr>
            <w:r>
              <w:rPr>
                <w:rFonts w:hint="eastAsia"/>
              </w:rPr>
              <w:t>0</w:t>
            </w:r>
          </w:p>
        </w:tc>
      </w:tr>
      <w:tr w:rsidR="005E000F" w14:paraId="07C90596" w14:textId="77777777">
        <w:tc>
          <w:tcPr>
            <w:tcW w:w="2944" w:type="dxa"/>
            <w:tcBorders>
              <w:top w:val="outset" w:sz="6" w:space="0" w:color="auto"/>
              <w:left w:val="outset" w:sz="6" w:space="0" w:color="auto"/>
              <w:bottom w:val="outset" w:sz="6" w:space="0" w:color="auto"/>
              <w:right w:val="outset" w:sz="6" w:space="0" w:color="auto"/>
            </w:tcBorders>
            <w:vAlign w:val="center"/>
          </w:tcPr>
          <w:p w14:paraId="08C6648A" w14:textId="77777777" w:rsidR="005E000F" w:rsidRDefault="00000000">
            <w:pPr>
              <w:ind w:leftChars="300" w:left="630" w:firstLineChars="100" w:firstLine="210"/>
              <w:rPr>
                <w:color w:val="000000" w:themeColor="text1"/>
              </w:rPr>
            </w:pPr>
            <w:r>
              <w:rPr>
                <w:rFonts w:hint="eastAsia"/>
                <w:color w:val="000000" w:themeColor="text1"/>
              </w:rPr>
              <w:t>永续债</w:t>
            </w:r>
          </w:p>
        </w:tc>
        <w:tc>
          <w:tcPr>
            <w:tcW w:w="1133" w:type="dxa"/>
            <w:tcBorders>
              <w:top w:val="outset" w:sz="6" w:space="0" w:color="auto"/>
              <w:left w:val="outset" w:sz="6" w:space="0" w:color="auto"/>
              <w:bottom w:val="outset" w:sz="6" w:space="0" w:color="auto"/>
              <w:right w:val="outset" w:sz="6" w:space="0" w:color="auto"/>
            </w:tcBorders>
            <w:vAlign w:val="center"/>
          </w:tcPr>
          <w:p w14:paraId="3E0BA905"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60600912" w14:textId="77777777" w:rsidR="005E000F" w:rsidRDefault="00000000">
            <w:pPr>
              <w:jc w:val="right"/>
            </w:pPr>
            <w:r>
              <w:rPr>
                <w:rFonts w:hint="eastAsia"/>
              </w:rPr>
              <w:t>0</w:t>
            </w:r>
          </w:p>
        </w:tc>
        <w:tc>
          <w:tcPr>
            <w:tcW w:w="2411" w:type="dxa"/>
            <w:tcBorders>
              <w:top w:val="outset" w:sz="6" w:space="0" w:color="auto"/>
              <w:left w:val="outset" w:sz="6" w:space="0" w:color="auto"/>
              <w:bottom w:val="outset" w:sz="6" w:space="0" w:color="auto"/>
              <w:right w:val="outset" w:sz="6" w:space="0" w:color="auto"/>
            </w:tcBorders>
            <w:vAlign w:val="center"/>
          </w:tcPr>
          <w:p w14:paraId="5F48D2BA" w14:textId="77777777" w:rsidR="005E000F" w:rsidRDefault="00000000">
            <w:pPr>
              <w:jc w:val="right"/>
            </w:pPr>
            <w:r>
              <w:rPr>
                <w:rFonts w:hint="eastAsia"/>
              </w:rPr>
              <w:t>0</w:t>
            </w:r>
          </w:p>
        </w:tc>
      </w:tr>
      <w:tr w:rsidR="005E000F" w14:paraId="5EEBAD5E" w14:textId="77777777">
        <w:tc>
          <w:tcPr>
            <w:tcW w:w="2944" w:type="dxa"/>
            <w:tcBorders>
              <w:top w:val="outset" w:sz="6" w:space="0" w:color="auto"/>
              <w:left w:val="outset" w:sz="6" w:space="0" w:color="auto"/>
              <w:bottom w:val="outset" w:sz="6" w:space="0" w:color="auto"/>
              <w:right w:val="outset" w:sz="6" w:space="0" w:color="auto"/>
            </w:tcBorders>
            <w:vAlign w:val="center"/>
          </w:tcPr>
          <w:p w14:paraId="45E80111" w14:textId="77777777" w:rsidR="005E000F" w:rsidRDefault="00000000">
            <w:pPr>
              <w:ind w:firstLineChars="100" w:firstLine="210"/>
              <w:rPr>
                <w:color w:val="000000" w:themeColor="text1"/>
              </w:rPr>
            </w:pPr>
            <w:r>
              <w:rPr>
                <w:rFonts w:hint="eastAsia"/>
                <w:color w:val="000000" w:themeColor="text1"/>
              </w:rPr>
              <w:t>资本公积</w:t>
            </w:r>
          </w:p>
        </w:tc>
        <w:tc>
          <w:tcPr>
            <w:tcW w:w="1133" w:type="dxa"/>
            <w:tcBorders>
              <w:top w:val="outset" w:sz="6" w:space="0" w:color="auto"/>
              <w:left w:val="outset" w:sz="6" w:space="0" w:color="auto"/>
              <w:bottom w:val="outset" w:sz="6" w:space="0" w:color="auto"/>
              <w:right w:val="outset" w:sz="6" w:space="0" w:color="auto"/>
            </w:tcBorders>
            <w:vAlign w:val="center"/>
          </w:tcPr>
          <w:p w14:paraId="707DBE24"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2F46A89" w14:textId="77777777" w:rsidR="005E000F" w:rsidRDefault="00000000">
            <w:pPr>
              <w:jc w:val="right"/>
            </w:pPr>
            <w:r>
              <w:t>54,681,206,433</w:t>
            </w:r>
          </w:p>
        </w:tc>
        <w:tc>
          <w:tcPr>
            <w:tcW w:w="2411" w:type="dxa"/>
            <w:tcBorders>
              <w:top w:val="outset" w:sz="6" w:space="0" w:color="auto"/>
              <w:left w:val="outset" w:sz="6" w:space="0" w:color="auto"/>
              <w:bottom w:val="outset" w:sz="6" w:space="0" w:color="auto"/>
              <w:right w:val="outset" w:sz="6" w:space="0" w:color="auto"/>
            </w:tcBorders>
            <w:vAlign w:val="center"/>
          </w:tcPr>
          <w:p w14:paraId="15A7BC33" w14:textId="77777777" w:rsidR="005E000F" w:rsidRDefault="00000000">
            <w:pPr>
              <w:jc w:val="right"/>
            </w:pPr>
            <w:r>
              <w:rPr>
                <w:rFonts w:hint="eastAsia"/>
              </w:rPr>
              <w:t>47,152,733,063</w:t>
            </w:r>
          </w:p>
        </w:tc>
      </w:tr>
      <w:tr w:rsidR="005E000F" w14:paraId="5D90313C" w14:textId="77777777">
        <w:tc>
          <w:tcPr>
            <w:tcW w:w="2944" w:type="dxa"/>
            <w:tcBorders>
              <w:top w:val="outset" w:sz="6" w:space="0" w:color="auto"/>
              <w:left w:val="outset" w:sz="6" w:space="0" w:color="auto"/>
              <w:bottom w:val="outset" w:sz="6" w:space="0" w:color="auto"/>
              <w:right w:val="outset" w:sz="6" w:space="0" w:color="auto"/>
            </w:tcBorders>
            <w:vAlign w:val="center"/>
          </w:tcPr>
          <w:p w14:paraId="1266DBDF" w14:textId="77777777" w:rsidR="005E000F" w:rsidRDefault="00000000">
            <w:pPr>
              <w:ind w:firstLineChars="100" w:firstLine="210"/>
              <w:rPr>
                <w:color w:val="000000" w:themeColor="text1"/>
              </w:rPr>
            </w:pPr>
            <w:r>
              <w:rPr>
                <w:rFonts w:hint="eastAsia"/>
                <w:color w:val="000000" w:themeColor="text1"/>
              </w:rPr>
              <w:t>减：库存股</w:t>
            </w:r>
          </w:p>
        </w:tc>
        <w:tc>
          <w:tcPr>
            <w:tcW w:w="1133" w:type="dxa"/>
            <w:tcBorders>
              <w:top w:val="outset" w:sz="6" w:space="0" w:color="auto"/>
              <w:left w:val="outset" w:sz="6" w:space="0" w:color="auto"/>
              <w:bottom w:val="outset" w:sz="6" w:space="0" w:color="auto"/>
              <w:right w:val="outset" w:sz="6" w:space="0" w:color="auto"/>
            </w:tcBorders>
            <w:vAlign w:val="center"/>
          </w:tcPr>
          <w:p w14:paraId="0F0DC2FF"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1DFE60F8" w14:textId="77777777" w:rsidR="005E000F" w:rsidRDefault="00000000">
            <w:pPr>
              <w:jc w:val="right"/>
            </w:pPr>
            <w:r>
              <w:t>247,783,807</w:t>
            </w:r>
          </w:p>
        </w:tc>
        <w:tc>
          <w:tcPr>
            <w:tcW w:w="2411" w:type="dxa"/>
            <w:tcBorders>
              <w:top w:val="outset" w:sz="6" w:space="0" w:color="auto"/>
              <w:left w:val="outset" w:sz="6" w:space="0" w:color="auto"/>
              <w:bottom w:val="outset" w:sz="6" w:space="0" w:color="auto"/>
              <w:right w:val="outset" w:sz="6" w:space="0" w:color="auto"/>
            </w:tcBorders>
            <w:vAlign w:val="center"/>
          </w:tcPr>
          <w:p w14:paraId="42DAC3A4" w14:textId="77777777" w:rsidR="005E000F" w:rsidRDefault="00000000">
            <w:pPr>
              <w:jc w:val="right"/>
            </w:pPr>
            <w:r>
              <w:rPr>
                <w:rFonts w:hint="eastAsia"/>
              </w:rPr>
              <w:t>0</w:t>
            </w:r>
          </w:p>
        </w:tc>
      </w:tr>
      <w:tr w:rsidR="005E000F" w14:paraId="21E761E8" w14:textId="77777777">
        <w:tc>
          <w:tcPr>
            <w:tcW w:w="2944" w:type="dxa"/>
            <w:tcBorders>
              <w:top w:val="outset" w:sz="6" w:space="0" w:color="auto"/>
              <w:left w:val="outset" w:sz="6" w:space="0" w:color="auto"/>
              <w:bottom w:val="outset" w:sz="6" w:space="0" w:color="auto"/>
              <w:right w:val="outset" w:sz="6" w:space="0" w:color="auto"/>
            </w:tcBorders>
            <w:vAlign w:val="center"/>
          </w:tcPr>
          <w:p w14:paraId="7FBDAFA6" w14:textId="77777777" w:rsidR="005E000F" w:rsidRDefault="00000000">
            <w:pPr>
              <w:ind w:firstLineChars="100" w:firstLine="210"/>
              <w:rPr>
                <w:color w:val="000000" w:themeColor="text1"/>
              </w:rPr>
            </w:pPr>
            <w:r>
              <w:rPr>
                <w:rFonts w:hint="eastAsia"/>
                <w:color w:val="000000" w:themeColor="text1"/>
              </w:rPr>
              <w:t>其他综合收益</w:t>
            </w:r>
          </w:p>
        </w:tc>
        <w:tc>
          <w:tcPr>
            <w:tcW w:w="1133" w:type="dxa"/>
            <w:tcBorders>
              <w:top w:val="outset" w:sz="6" w:space="0" w:color="auto"/>
              <w:left w:val="outset" w:sz="6" w:space="0" w:color="auto"/>
              <w:bottom w:val="outset" w:sz="6" w:space="0" w:color="auto"/>
              <w:right w:val="outset" w:sz="6" w:space="0" w:color="auto"/>
            </w:tcBorders>
            <w:vAlign w:val="center"/>
          </w:tcPr>
          <w:p w14:paraId="2B085FE1"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7B52F5DA" w14:textId="77777777" w:rsidR="005E000F" w:rsidRDefault="00000000">
            <w:pPr>
              <w:jc w:val="right"/>
            </w:pPr>
            <w:r>
              <w:t>-1,971,802,817</w:t>
            </w:r>
          </w:p>
        </w:tc>
        <w:tc>
          <w:tcPr>
            <w:tcW w:w="2411" w:type="dxa"/>
            <w:tcBorders>
              <w:top w:val="outset" w:sz="6" w:space="0" w:color="auto"/>
              <w:left w:val="outset" w:sz="6" w:space="0" w:color="auto"/>
              <w:bottom w:val="outset" w:sz="6" w:space="0" w:color="auto"/>
              <w:right w:val="outset" w:sz="6" w:space="0" w:color="auto"/>
            </w:tcBorders>
            <w:vAlign w:val="center"/>
          </w:tcPr>
          <w:p w14:paraId="38AEB876" w14:textId="77777777" w:rsidR="005E000F" w:rsidRDefault="00000000">
            <w:pPr>
              <w:jc w:val="right"/>
            </w:pPr>
            <w:r>
              <w:rPr>
                <w:rFonts w:hint="eastAsia"/>
              </w:rPr>
              <w:t>-1,919,915,977</w:t>
            </w:r>
          </w:p>
        </w:tc>
      </w:tr>
      <w:tr w:rsidR="005E000F" w14:paraId="61FF9713" w14:textId="77777777">
        <w:tc>
          <w:tcPr>
            <w:tcW w:w="2944" w:type="dxa"/>
            <w:tcBorders>
              <w:top w:val="outset" w:sz="6" w:space="0" w:color="auto"/>
              <w:left w:val="outset" w:sz="6" w:space="0" w:color="auto"/>
              <w:bottom w:val="outset" w:sz="6" w:space="0" w:color="auto"/>
              <w:right w:val="outset" w:sz="6" w:space="0" w:color="auto"/>
            </w:tcBorders>
            <w:vAlign w:val="center"/>
          </w:tcPr>
          <w:p w14:paraId="44A3CF5B" w14:textId="77777777" w:rsidR="005E000F" w:rsidRDefault="00000000">
            <w:pPr>
              <w:ind w:firstLineChars="100" w:firstLine="210"/>
              <w:rPr>
                <w:color w:val="000000" w:themeColor="text1"/>
              </w:rPr>
            </w:pPr>
            <w:r>
              <w:rPr>
                <w:rFonts w:hint="eastAsia"/>
                <w:color w:val="000000" w:themeColor="text1"/>
              </w:rPr>
              <w:t>专项储备</w:t>
            </w:r>
          </w:p>
        </w:tc>
        <w:tc>
          <w:tcPr>
            <w:tcW w:w="1133" w:type="dxa"/>
            <w:tcBorders>
              <w:top w:val="outset" w:sz="6" w:space="0" w:color="auto"/>
              <w:left w:val="outset" w:sz="6" w:space="0" w:color="auto"/>
              <w:bottom w:val="outset" w:sz="6" w:space="0" w:color="auto"/>
              <w:right w:val="outset" w:sz="6" w:space="0" w:color="auto"/>
            </w:tcBorders>
            <w:vAlign w:val="center"/>
          </w:tcPr>
          <w:p w14:paraId="5B56BA3D"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29338A62" w14:textId="77777777" w:rsidR="005E000F" w:rsidRDefault="00000000">
            <w:pPr>
              <w:jc w:val="right"/>
            </w:pPr>
            <w:r>
              <w:t>69,708,200</w:t>
            </w:r>
          </w:p>
        </w:tc>
        <w:tc>
          <w:tcPr>
            <w:tcW w:w="2411" w:type="dxa"/>
            <w:tcBorders>
              <w:top w:val="outset" w:sz="6" w:space="0" w:color="auto"/>
              <w:left w:val="outset" w:sz="6" w:space="0" w:color="auto"/>
              <w:bottom w:val="outset" w:sz="6" w:space="0" w:color="auto"/>
              <w:right w:val="outset" w:sz="6" w:space="0" w:color="auto"/>
            </w:tcBorders>
            <w:vAlign w:val="center"/>
          </w:tcPr>
          <w:p w14:paraId="39508B5F" w14:textId="77777777" w:rsidR="005E000F" w:rsidRDefault="00000000">
            <w:pPr>
              <w:jc w:val="right"/>
            </w:pPr>
            <w:r>
              <w:rPr>
                <w:rFonts w:hint="eastAsia"/>
              </w:rPr>
              <w:t>121,293,713</w:t>
            </w:r>
          </w:p>
        </w:tc>
      </w:tr>
      <w:tr w:rsidR="005E000F" w14:paraId="2703542D" w14:textId="77777777">
        <w:tc>
          <w:tcPr>
            <w:tcW w:w="2944" w:type="dxa"/>
            <w:tcBorders>
              <w:top w:val="outset" w:sz="6" w:space="0" w:color="auto"/>
              <w:left w:val="outset" w:sz="6" w:space="0" w:color="auto"/>
              <w:bottom w:val="outset" w:sz="6" w:space="0" w:color="auto"/>
              <w:right w:val="outset" w:sz="6" w:space="0" w:color="auto"/>
            </w:tcBorders>
            <w:vAlign w:val="center"/>
          </w:tcPr>
          <w:p w14:paraId="25538C65" w14:textId="77777777" w:rsidR="005E000F" w:rsidRDefault="00000000">
            <w:pPr>
              <w:ind w:firstLineChars="100" w:firstLine="210"/>
              <w:rPr>
                <w:color w:val="000000" w:themeColor="text1"/>
              </w:rPr>
            </w:pPr>
            <w:r>
              <w:rPr>
                <w:rFonts w:hint="eastAsia"/>
                <w:color w:val="000000" w:themeColor="text1"/>
              </w:rPr>
              <w:t>盈余公积</w:t>
            </w:r>
          </w:p>
        </w:tc>
        <w:tc>
          <w:tcPr>
            <w:tcW w:w="1133" w:type="dxa"/>
            <w:tcBorders>
              <w:top w:val="outset" w:sz="6" w:space="0" w:color="auto"/>
              <w:left w:val="outset" w:sz="6" w:space="0" w:color="auto"/>
              <w:bottom w:val="outset" w:sz="6" w:space="0" w:color="auto"/>
              <w:right w:val="outset" w:sz="6" w:space="0" w:color="auto"/>
            </w:tcBorders>
            <w:vAlign w:val="center"/>
          </w:tcPr>
          <w:p w14:paraId="113DC607"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09E2AB06" w14:textId="77777777" w:rsidR="005E000F" w:rsidRDefault="00000000">
            <w:pPr>
              <w:jc w:val="right"/>
            </w:pPr>
            <w:r>
              <w:t>21,375,423,863</w:t>
            </w:r>
          </w:p>
        </w:tc>
        <w:tc>
          <w:tcPr>
            <w:tcW w:w="2411" w:type="dxa"/>
            <w:tcBorders>
              <w:top w:val="outset" w:sz="6" w:space="0" w:color="auto"/>
              <w:left w:val="outset" w:sz="6" w:space="0" w:color="auto"/>
              <w:bottom w:val="outset" w:sz="6" w:space="0" w:color="auto"/>
              <w:right w:val="outset" w:sz="6" w:space="0" w:color="auto"/>
            </w:tcBorders>
            <w:vAlign w:val="center"/>
          </w:tcPr>
          <w:p w14:paraId="57C7CCA9" w14:textId="77777777" w:rsidR="005E000F" w:rsidRDefault="00000000">
            <w:pPr>
              <w:jc w:val="right"/>
            </w:pPr>
            <w:r>
              <w:rPr>
                <w:rFonts w:hint="eastAsia"/>
              </w:rPr>
              <w:t>20,761,405,987</w:t>
            </w:r>
          </w:p>
        </w:tc>
      </w:tr>
      <w:tr w:rsidR="005E000F" w14:paraId="3248F9E5" w14:textId="77777777">
        <w:tc>
          <w:tcPr>
            <w:tcW w:w="2944" w:type="dxa"/>
            <w:tcBorders>
              <w:top w:val="outset" w:sz="6" w:space="0" w:color="auto"/>
              <w:left w:val="outset" w:sz="6" w:space="0" w:color="auto"/>
              <w:bottom w:val="outset" w:sz="6" w:space="0" w:color="auto"/>
              <w:right w:val="outset" w:sz="6" w:space="0" w:color="auto"/>
            </w:tcBorders>
            <w:vAlign w:val="center"/>
          </w:tcPr>
          <w:p w14:paraId="45C10196" w14:textId="77777777" w:rsidR="005E000F" w:rsidRDefault="00000000">
            <w:pPr>
              <w:ind w:firstLineChars="100" w:firstLine="210"/>
              <w:rPr>
                <w:color w:val="000000" w:themeColor="text1"/>
              </w:rPr>
            </w:pPr>
            <w:r>
              <w:rPr>
                <w:rFonts w:hint="eastAsia"/>
                <w:color w:val="000000" w:themeColor="text1"/>
              </w:rPr>
              <w:t>未分配利润</w:t>
            </w:r>
          </w:p>
        </w:tc>
        <w:tc>
          <w:tcPr>
            <w:tcW w:w="1133" w:type="dxa"/>
            <w:tcBorders>
              <w:top w:val="outset" w:sz="6" w:space="0" w:color="auto"/>
              <w:left w:val="outset" w:sz="6" w:space="0" w:color="auto"/>
              <w:bottom w:val="outset" w:sz="6" w:space="0" w:color="auto"/>
              <w:right w:val="outset" w:sz="6" w:space="0" w:color="auto"/>
            </w:tcBorders>
            <w:vAlign w:val="center"/>
          </w:tcPr>
          <w:p w14:paraId="1866BD06"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386E4760" w14:textId="77777777" w:rsidR="005E000F" w:rsidRDefault="00000000">
            <w:pPr>
              <w:jc w:val="right"/>
            </w:pPr>
            <w:r>
              <w:t>71,709,426,287</w:t>
            </w:r>
          </w:p>
        </w:tc>
        <w:tc>
          <w:tcPr>
            <w:tcW w:w="2411" w:type="dxa"/>
            <w:tcBorders>
              <w:top w:val="outset" w:sz="6" w:space="0" w:color="auto"/>
              <w:left w:val="outset" w:sz="6" w:space="0" w:color="auto"/>
              <w:bottom w:val="outset" w:sz="6" w:space="0" w:color="auto"/>
              <w:right w:val="outset" w:sz="6" w:space="0" w:color="auto"/>
            </w:tcBorders>
            <w:vAlign w:val="center"/>
          </w:tcPr>
          <w:p w14:paraId="79B5108D" w14:textId="77777777" w:rsidR="005E000F" w:rsidRDefault="00000000">
            <w:pPr>
              <w:jc w:val="right"/>
            </w:pPr>
            <w:r>
              <w:rPr>
                <w:rFonts w:hint="eastAsia"/>
              </w:rPr>
              <w:t>70,386,746,221</w:t>
            </w:r>
          </w:p>
        </w:tc>
      </w:tr>
      <w:tr w:rsidR="005E000F" w14:paraId="36690B58" w14:textId="77777777">
        <w:tc>
          <w:tcPr>
            <w:tcW w:w="2944" w:type="dxa"/>
            <w:tcBorders>
              <w:top w:val="outset" w:sz="6" w:space="0" w:color="auto"/>
              <w:left w:val="outset" w:sz="6" w:space="0" w:color="auto"/>
              <w:bottom w:val="outset" w:sz="6" w:space="0" w:color="auto"/>
              <w:right w:val="outset" w:sz="6" w:space="0" w:color="auto"/>
            </w:tcBorders>
            <w:vAlign w:val="center"/>
          </w:tcPr>
          <w:p w14:paraId="34A785A8" w14:textId="77777777" w:rsidR="005E000F" w:rsidRDefault="00000000">
            <w:pPr>
              <w:ind w:firstLineChars="200" w:firstLine="420"/>
              <w:rPr>
                <w:color w:val="000000" w:themeColor="text1"/>
              </w:rPr>
            </w:pPr>
            <w:r>
              <w:rPr>
                <w:rFonts w:hint="eastAsia"/>
                <w:color w:val="000000" w:themeColor="text1"/>
              </w:rPr>
              <w:t>所有者权益（或股东权益）合计</w:t>
            </w:r>
          </w:p>
        </w:tc>
        <w:tc>
          <w:tcPr>
            <w:tcW w:w="1133" w:type="dxa"/>
            <w:tcBorders>
              <w:top w:val="outset" w:sz="6" w:space="0" w:color="auto"/>
              <w:left w:val="outset" w:sz="6" w:space="0" w:color="auto"/>
              <w:bottom w:val="outset" w:sz="6" w:space="0" w:color="auto"/>
              <w:right w:val="outset" w:sz="6" w:space="0" w:color="auto"/>
            </w:tcBorders>
            <w:vAlign w:val="center"/>
          </w:tcPr>
          <w:p w14:paraId="19BF521A"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5BBD81A4" w14:textId="77777777" w:rsidR="005E000F" w:rsidRDefault="00000000">
            <w:pPr>
              <w:jc w:val="right"/>
            </w:pPr>
            <w:r>
              <w:t>165,763,355,875</w:t>
            </w:r>
          </w:p>
        </w:tc>
        <w:tc>
          <w:tcPr>
            <w:tcW w:w="2411" w:type="dxa"/>
            <w:tcBorders>
              <w:top w:val="outset" w:sz="6" w:space="0" w:color="auto"/>
              <w:left w:val="outset" w:sz="6" w:space="0" w:color="auto"/>
              <w:bottom w:val="outset" w:sz="6" w:space="0" w:color="auto"/>
              <w:right w:val="outset" w:sz="6" w:space="0" w:color="auto"/>
            </w:tcBorders>
            <w:vAlign w:val="center"/>
          </w:tcPr>
          <w:p w14:paraId="10235463" w14:textId="77777777" w:rsidR="005E000F" w:rsidRDefault="00000000">
            <w:pPr>
              <w:jc w:val="right"/>
            </w:pPr>
            <w:r>
              <w:rPr>
                <w:rFonts w:hint="eastAsia"/>
              </w:rPr>
              <w:t>156,114,521,557</w:t>
            </w:r>
          </w:p>
        </w:tc>
      </w:tr>
      <w:tr w:rsidR="005E000F" w14:paraId="39617B21" w14:textId="77777777">
        <w:tc>
          <w:tcPr>
            <w:tcW w:w="2944" w:type="dxa"/>
            <w:tcBorders>
              <w:top w:val="outset" w:sz="6" w:space="0" w:color="auto"/>
              <w:left w:val="outset" w:sz="6" w:space="0" w:color="auto"/>
              <w:bottom w:val="outset" w:sz="6" w:space="0" w:color="auto"/>
              <w:right w:val="outset" w:sz="6" w:space="0" w:color="auto"/>
            </w:tcBorders>
            <w:vAlign w:val="center"/>
          </w:tcPr>
          <w:p w14:paraId="76E4FD57" w14:textId="77777777" w:rsidR="005E000F" w:rsidRDefault="00000000">
            <w:pPr>
              <w:ind w:firstLineChars="300" w:firstLine="630"/>
              <w:rPr>
                <w:color w:val="000000" w:themeColor="text1"/>
              </w:rPr>
            </w:pPr>
            <w:r>
              <w:rPr>
                <w:rFonts w:hint="eastAsia"/>
                <w:color w:val="000000" w:themeColor="text1"/>
              </w:rPr>
              <w:t>负债和所有者权益（或股东权益）总计</w:t>
            </w:r>
          </w:p>
        </w:tc>
        <w:tc>
          <w:tcPr>
            <w:tcW w:w="1133" w:type="dxa"/>
            <w:tcBorders>
              <w:top w:val="outset" w:sz="6" w:space="0" w:color="auto"/>
              <w:left w:val="outset" w:sz="6" w:space="0" w:color="auto"/>
              <w:bottom w:val="outset" w:sz="6" w:space="0" w:color="auto"/>
              <w:right w:val="outset" w:sz="6" w:space="0" w:color="auto"/>
            </w:tcBorders>
            <w:vAlign w:val="center"/>
          </w:tcPr>
          <w:p w14:paraId="49D7F2A8" w14:textId="77777777" w:rsidR="005E000F" w:rsidRDefault="005E000F"/>
        </w:tc>
        <w:tc>
          <w:tcPr>
            <w:tcW w:w="2550" w:type="dxa"/>
            <w:tcBorders>
              <w:top w:val="outset" w:sz="6" w:space="0" w:color="auto"/>
              <w:left w:val="outset" w:sz="6" w:space="0" w:color="auto"/>
              <w:bottom w:val="outset" w:sz="6" w:space="0" w:color="auto"/>
              <w:right w:val="outset" w:sz="6" w:space="0" w:color="auto"/>
            </w:tcBorders>
            <w:vAlign w:val="center"/>
          </w:tcPr>
          <w:p w14:paraId="7C850134" w14:textId="77777777" w:rsidR="005E000F" w:rsidRDefault="00000000">
            <w:pPr>
              <w:jc w:val="right"/>
            </w:pPr>
            <w:r>
              <w:t>191,494,192,689</w:t>
            </w:r>
          </w:p>
        </w:tc>
        <w:tc>
          <w:tcPr>
            <w:tcW w:w="2411" w:type="dxa"/>
            <w:tcBorders>
              <w:top w:val="outset" w:sz="6" w:space="0" w:color="auto"/>
              <w:left w:val="outset" w:sz="6" w:space="0" w:color="auto"/>
              <w:bottom w:val="outset" w:sz="6" w:space="0" w:color="auto"/>
              <w:right w:val="outset" w:sz="6" w:space="0" w:color="auto"/>
            </w:tcBorders>
            <w:vAlign w:val="center"/>
          </w:tcPr>
          <w:p w14:paraId="158C107E" w14:textId="77777777" w:rsidR="005E000F" w:rsidRDefault="00000000">
            <w:pPr>
              <w:jc w:val="right"/>
            </w:pPr>
            <w:r>
              <w:rPr>
                <w:rFonts w:hint="eastAsia"/>
              </w:rPr>
              <w:t>186,004,259,822</w:t>
            </w:r>
          </w:p>
        </w:tc>
      </w:tr>
    </w:tbl>
    <w:bookmarkEnd w:id="229"/>
    <w:bookmarkEnd w:id="230"/>
    <w:p w14:paraId="6BBD7428" w14:textId="77777777" w:rsidR="005E000F" w:rsidRDefault="00000000">
      <w:pPr>
        <w:ind w:rightChars="-73" w:right="-153"/>
      </w:pPr>
      <w:r>
        <w:rPr>
          <w:rFonts w:hint="eastAsia"/>
        </w:rPr>
        <w:t>公司负责</w:t>
      </w:r>
      <w:r>
        <w:t>人</w:t>
      </w:r>
      <w:r>
        <w:rPr>
          <w:rFonts w:hint="eastAsia"/>
        </w:rPr>
        <w:t>：</w:t>
      </w:r>
      <w:sdt>
        <w:sdtPr>
          <w:rPr>
            <w:rFonts w:hint="eastAsia"/>
          </w:rPr>
          <w:alias w:val="公司负责人姓名"/>
          <w:tag w:val="_GBC_a81a61c6d7bb46bfa69f34f205086804"/>
          <w:id w:val="1020435656"/>
          <w:placeholder>
            <w:docPart w:val="GBC22222222222222222222222222222"/>
          </w:placeholder>
          <w:dataBinding w:prefixMappings="xmlns:clcid-mr='clcid-mr'" w:xpath="/*/clcid-mr:GongSiFuZeRenXingMing[not(@periodRef)]" w:storeItemID="{89EBAB94-44A0-46A2-B712-30D997D04A6D}"/>
          <w:text/>
        </w:sdtPr>
        <w:sdtContent>
          <w:proofErr w:type="gramStart"/>
          <w:r>
            <w:rPr>
              <w:rFonts w:hint="eastAsia"/>
            </w:rPr>
            <w:t>陆勇</w:t>
          </w:r>
          <w:proofErr w:type="gramEnd"/>
        </w:sdtContent>
      </w:sdt>
      <w:r>
        <w:rPr>
          <w:rFonts w:hint="eastAsia"/>
        </w:rPr>
        <w:t xml:space="preserve"> </w:t>
      </w:r>
      <w:r>
        <w:rPr>
          <w:rFonts w:hint="eastAsia"/>
          <w:color w:val="000000" w:themeColor="text1"/>
        </w:rPr>
        <w:t>总经理：</w:t>
      </w:r>
      <w:r>
        <w:rPr>
          <w:rFonts w:hint="eastAsia"/>
        </w:rPr>
        <w:t>张竑毅</w:t>
      </w:r>
      <w:r>
        <w:rPr>
          <w:rFonts w:hint="eastAsia"/>
        </w:rPr>
        <w:t xml:space="preserve"> </w:t>
      </w:r>
      <w:r>
        <w:t>主管会计工作负责人</w:t>
      </w:r>
      <w:r>
        <w:rPr>
          <w:rFonts w:hint="eastAsia"/>
        </w:rPr>
        <w:t>：</w:t>
      </w:r>
      <w:sdt>
        <w:sdtPr>
          <w:rPr>
            <w:rFonts w:hint="eastAsia"/>
          </w:rPr>
          <w:alias w:val="主管会计工作负责人姓名"/>
          <w:tag w:val="_GBC_12b89d18f9094da18899493b997b98a8"/>
          <w:id w:val="-62730606"/>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80397291c44b4713afb5a711c98f3ea6"/>
          <w:id w:val="660582003"/>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孔韶鹏</w:t>
          </w:r>
        </w:sdtContent>
      </w:sdt>
    </w:p>
    <w:p w14:paraId="5E1E1432" w14:textId="77777777" w:rsidR="005E000F" w:rsidRDefault="005E000F"/>
    <w:p w14:paraId="42F9B122" w14:textId="77777777" w:rsidR="005E000F" w:rsidRDefault="005E000F">
      <w:pPr>
        <w:rPr>
          <w:color w:val="FF0000"/>
        </w:rPr>
      </w:pPr>
      <w:bookmarkStart w:id="231" w:name="_Hlk24033458"/>
      <w:bookmarkEnd w:id="226"/>
      <w:bookmarkEnd w:id="228"/>
      <w:bookmarkEnd w:id="231"/>
    </w:p>
    <w:p w14:paraId="000D3F92" w14:textId="77777777" w:rsidR="005E000F" w:rsidRDefault="00000000">
      <w:pPr>
        <w:pStyle w:val="3"/>
        <w:jc w:val="center"/>
      </w:pPr>
      <w:bookmarkStart w:id="232" w:name="_Hlk24038378"/>
      <w:r>
        <w:rPr>
          <w:rFonts w:hint="eastAsia"/>
        </w:rPr>
        <w:t>合并</w:t>
      </w:r>
      <w:r>
        <w:t>利润表</w:t>
      </w:r>
    </w:p>
    <w:p w14:paraId="174C6BD4" w14:textId="77777777" w:rsidR="005E000F" w:rsidRDefault="00000000">
      <w:pPr>
        <w:jc w:val="center"/>
        <w:rPr>
          <w:b/>
          <w:bCs/>
        </w:rPr>
      </w:pPr>
      <w:r>
        <w:t>2025</w:t>
      </w:r>
      <w:r>
        <w:t>年</w:t>
      </w:r>
      <w:r>
        <w:rPr>
          <w:rFonts w:hint="eastAsia"/>
        </w:rPr>
        <w:t>1</w:t>
      </w:r>
      <w:r>
        <w:rPr>
          <w:rFonts w:hint="eastAsia"/>
        </w:rPr>
        <w:t>—</w:t>
      </w:r>
      <w:r>
        <w:t>12</w:t>
      </w:r>
      <w:r>
        <w:t>月</w:t>
      </w:r>
    </w:p>
    <w:p w14:paraId="69D168CD" w14:textId="77777777" w:rsidR="005E000F" w:rsidRDefault="00000000">
      <w:pPr>
        <w:jc w:val="right"/>
      </w:pPr>
      <w:r>
        <w:t>单位：</w:t>
      </w:r>
      <w:sdt>
        <w:sdtPr>
          <w:alias w:val="单位：合并利润表"/>
          <w:tag w:val="_GBC_95830fead96c480388a2e386c3331383"/>
          <w:id w:val="-4770730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w:t>
      </w:r>
      <w:r>
        <w:t>币种：</w:t>
      </w:r>
      <w:sdt>
        <w:sdtPr>
          <w:alias w:val="币种：合并利润表"/>
          <w:tag w:val="_GBC_4902a1798447427ba99922213b04b39b"/>
          <w:id w:val="79702883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07"/>
        <w:gridCol w:w="1516"/>
        <w:gridCol w:w="2008"/>
        <w:gridCol w:w="2018"/>
      </w:tblGrid>
      <w:tr w:rsidR="005E000F" w14:paraId="31831B11" w14:textId="77777777">
        <w:trPr>
          <w:cantSplit/>
        </w:trPr>
        <w:sdt>
          <w:sdtPr>
            <w:tag w:val="_PLD_2e3f33fcce354b339a86add10899a6c5"/>
            <w:id w:val="-163015337"/>
          </w:sdtPr>
          <w:sdtContent>
            <w:tc>
              <w:tcPr>
                <w:tcW w:w="3507" w:type="dxa"/>
                <w:tcBorders>
                  <w:top w:val="outset" w:sz="4" w:space="0" w:color="auto"/>
                  <w:left w:val="outset" w:sz="4" w:space="0" w:color="auto"/>
                  <w:bottom w:val="outset" w:sz="4" w:space="0" w:color="auto"/>
                  <w:right w:val="outset" w:sz="4" w:space="0" w:color="auto"/>
                </w:tcBorders>
                <w:vAlign w:val="center"/>
              </w:tcPr>
              <w:p w14:paraId="21AE5E3B" w14:textId="77777777" w:rsidR="005E000F" w:rsidRDefault="00000000">
                <w:pPr>
                  <w:ind w:leftChars="-19" w:hangingChars="19" w:hanging="40"/>
                  <w:jc w:val="center"/>
                  <w:rPr>
                    <w:b/>
                  </w:rPr>
                </w:pPr>
                <w:r>
                  <w:rPr>
                    <w:b/>
                  </w:rPr>
                  <w:t>项目</w:t>
                </w:r>
              </w:p>
            </w:tc>
          </w:sdtContent>
        </w:sdt>
        <w:sdt>
          <w:sdtPr>
            <w:tag w:val="_PLD_93edd7a3846d4cd58b14d043e9b33f2c"/>
            <w:id w:val="-1905830699"/>
          </w:sdtPr>
          <w:sdtContent>
            <w:tc>
              <w:tcPr>
                <w:tcW w:w="1516" w:type="dxa"/>
                <w:tcBorders>
                  <w:top w:val="outset" w:sz="4" w:space="0" w:color="auto"/>
                  <w:left w:val="outset" w:sz="4" w:space="0" w:color="auto"/>
                  <w:bottom w:val="outset" w:sz="4" w:space="0" w:color="auto"/>
                  <w:right w:val="outset" w:sz="4" w:space="0" w:color="auto"/>
                </w:tcBorders>
                <w:vAlign w:val="center"/>
              </w:tcPr>
              <w:p w14:paraId="3961B1F6" w14:textId="77777777" w:rsidR="005E000F" w:rsidRDefault="00000000">
                <w:pPr>
                  <w:jc w:val="center"/>
                  <w:rPr>
                    <w:b/>
                  </w:rPr>
                </w:pPr>
                <w:r>
                  <w:rPr>
                    <w:rFonts w:hint="eastAsia"/>
                    <w:b/>
                  </w:rPr>
                  <w:t>附注</w:t>
                </w:r>
              </w:p>
            </w:tc>
          </w:sdtContent>
        </w:sdt>
        <w:sdt>
          <w:sdtPr>
            <w:tag w:val="_PLD_49f84cca199c45e7bc0f9fea5b73078c"/>
            <w:id w:val="-1265304698"/>
          </w:sdtPr>
          <w:sdtContent>
            <w:tc>
              <w:tcPr>
                <w:tcW w:w="2008" w:type="dxa"/>
                <w:tcBorders>
                  <w:top w:val="outset" w:sz="4" w:space="0" w:color="auto"/>
                  <w:left w:val="outset" w:sz="4" w:space="0" w:color="auto"/>
                  <w:bottom w:val="outset" w:sz="4" w:space="0" w:color="auto"/>
                  <w:right w:val="outset" w:sz="4" w:space="0" w:color="auto"/>
                </w:tcBorders>
                <w:vAlign w:val="center"/>
              </w:tcPr>
              <w:p w14:paraId="73F4EA81" w14:textId="77777777" w:rsidR="005E000F" w:rsidRDefault="00000000">
                <w:pPr>
                  <w:jc w:val="center"/>
                  <w:rPr>
                    <w:b/>
                  </w:rPr>
                </w:pPr>
                <w:r>
                  <w:rPr>
                    <w:rFonts w:hint="eastAsia"/>
                    <w:b/>
                  </w:rPr>
                  <w:t>2025</w:t>
                </w:r>
                <w:r>
                  <w:rPr>
                    <w:rFonts w:hint="eastAsia"/>
                    <w:b/>
                  </w:rPr>
                  <w:t>年度</w:t>
                </w:r>
              </w:p>
            </w:tc>
          </w:sdtContent>
        </w:sdt>
        <w:sdt>
          <w:sdtPr>
            <w:tag w:val="_PLD_8b5fde21bc974404b892a88906dec352"/>
            <w:id w:val="-1331749334"/>
          </w:sdtPr>
          <w:sdtContent>
            <w:tc>
              <w:tcPr>
                <w:tcW w:w="2018" w:type="dxa"/>
                <w:tcBorders>
                  <w:top w:val="outset" w:sz="4" w:space="0" w:color="auto"/>
                  <w:left w:val="outset" w:sz="4" w:space="0" w:color="auto"/>
                  <w:bottom w:val="outset" w:sz="4" w:space="0" w:color="auto"/>
                  <w:right w:val="outset" w:sz="4" w:space="0" w:color="auto"/>
                </w:tcBorders>
                <w:vAlign w:val="center"/>
              </w:tcPr>
              <w:p w14:paraId="15D5434A" w14:textId="77777777" w:rsidR="005E000F" w:rsidRDefault="00000000">
                <w:pPr>
                  <w:jc w:val="center"/>
                  <w:rPr>
                    <w:b/>
                  </w:rPr>
                </w:pPr>
                <w:r>
                  <w:rPr>
                    <w:rFonts w:hint="eastAsia"/>
                    <w:b/>
                  </w:rPr>
                  <w:t>2024</w:t>
                </w:r>
                <w:r>
                  <w:rPr>
                    <w:rFonts w:hint="eastAsia"/>
                    <w:b/>
                  </w:rPr>
                  <w:t>年度</w:t>
                </w:r>
              </w:p>
            </w:tc>
          </w:sdtContent>
        </w:sdt>
      </w:tr>
      <w:tr w:rsidR="005E000F" w14:paraId="473B731C" w14:textId="77777777">
        <w:trPr>
          <w:trHeight w:val="136"/>
        </w:trPr>
        <w:tc>
          <w:tcPr>
            <w:tcW w:w="3507" w:type="dxa"/>
            <w:tcBorders>
              <w:top w:val="outset" w:sz="4" w:space="0" w:color="auto"/>
              <w:left w:val="outset" w:sz="4" w:space="0" w:color="auto"/>
              <w:bottom w:val="outset" w:sz="4" w:space="0" w:color="auto"/>
              <w:right w:val="outset" w:sz="4" w:space="0" w:color="auto"/>
            </w:tcBorders>
            <w:vAlign w:val="center"/>
          </w:tcPr>
          <w:p w14:paraId="0DB222F6" w14:textId="77777777" w:rsidR="005E000F" w:rsidRDefault="00000000">
            <w:pPr>
              <w:rPr>
                <w:color w:val="000000"/>
              </w:rPr>
            </w:pPr>
            <w:r>
              <w:rPr>
                <w:rFonts w:hint="eastAsia"/>
              </w:rPr>
              <w:t>一、营业总收入</w:t>
            </w:r>
          </w:p>
        </w:tc>
        <w:tc>
          <w:tcPr>
            <w:tcW w:w="1516" w:type="dxa"/>
            <w:tcBorders>
              <w:top w:val="outset" w:sz="4" w:space="0" w:color="auto"/>
              <w:left w:val="outset" w:sz="4" w:space="0" w:color="auto"/>
              <w:bottom w:val="outset" w:sz="4" w:space="0" w:color="auto"/>
              <w:right w:val="outset" w:sz="4" w:space="0" w:color="auto"/>
            </w:tcBorders>
            <w:vAlign w:val="center"/>
          </w:tcPr>
          <w:p w14:paraId="05F3EB4C" w14:textId="77777777" w:rsidR="005E000F" w:rsidRDefault="00000000">
            <w:r>
              <w:rPr>
                <w:rFonts w:hint="eastAsia"/>
              </w:rPr>
              <w:t>七、</w:t>
            </w:r>
            <w:r>
              <w:t>61</w:t>
            </w:r>
          </w:p>
        </w:tc>
        <w:tc>
          <w:tcPr>
            <w:tcW w:w="2008" w:type="dxa"/>
            <w:tcBorders>
              <w:top w:val="outset" w:sz="4" w:space="0" w:color="auto"/>
              <w:left w:val="outset" w:sz="4" w:space="0" w:color="auto"/>
              <w:bottom w:val="outset" w:sz="4" w:space="0" w:color="auto"/>
              <w:right w:val="outset" w:sz="4" w:space="0" w:color="auto"/>
            </w:tcBorders>
            <w:vAlign w:val="center"/>
          </w:tcPr>
          <w:p w14:paraId="7996715D" w14:textId="77777777" w:rsidR="005E000F" w:rsidRDefault="00000000">
            <w:pPr>
              <w:jc w:val="right"/>
            </w:pPr>
            <w:r>
              <w:t>77,644,812,382</w:t>
            </w:r>
          </w:p>
        </w:tc>
        <w:tc>
          <w:tcPr>
            <w:tcW w:w="2018" w:type="dxa"/>
            <w:tcBorders>
              <w:top w:val="outset" w:sz="4" w:space="0" w:color="auto"/>
              <w:left w:val="outset" w:sz="4" w:space="0" w:color="auto"/>
              <w:bottom w:val="outset" w:sz="4" w:space="0" w:color="auto"/>
              <w:right w:val="outset" w:sz="4" w:space="0" w:color="auto"/>
            </w:tcBorders>
            <w:vAlign w:val="center"/>
          </w:tcPr>
          <w:p w14:paraId="1B87E3D0" w14:textId="77777777" w:rsidR="005E000F" w:rsidRDefault="00000000">
            <w:pPr>
              <w:jc w:val="right"/>
            </w:pPr>
            <w:r>
              <w:rPr>
                <w:rFonts w:hint="eastAsia"/>
              </w:rPr>
              <w:t>74,627,273,516</w:t>
            </w:r>
          </w:p>
        </w:tc>
      </w:tr>
      <w:tr w:rsidR="005E000F" w14:paraId="22435C0A" w14:textId="77777777">
        <w:tc>
          <w:tcPr>
            <w:tcW w:w="3507" w:type="dxa"/>
            <w:tcBorders>
              <w:top w:val="outset" w:sz="4" w:space="0" w:color="auto"/>
              <w:left w:val="outset" w:sz="4" w:space="0" w:color="auto"/>
              <w:bottom w:val="outset" w:sz="4" w:space="0" w:color="auto"/>
              <w:right w:val="outset" w:sz="4" w:space="0" w:color="auto"/>
            </w:tcBorders>
            <w:vAlign w:val="center"/>
          </w:tcPr>
          <w:p w14:paraId="4EBBDD20" w14:textId="77777777" w:rsidR="005E000F" w:rsidRDefault="00000000">
            <w:pPr>
              <w:rPr>
                <w:color w:val="000000"/>
              </w:rPr>
            </w:pPr>
            <w:r>
              <w:rPr>
                <w:rFonts w:hint="eastAsia"/>
              </w:rPr>
              <w:t>其中：营业收入</w:t>
            </w:r>
          </w:p>
        </w:tc>
        <w:tc>
          <w:tcPr>
            <w:tcW w:w="1516" w:type="dxa"/>
            <w:tcBorders>
              <w:top w:val="outset" w:sz="4" w:space="0" w:color="auto"/>
              <w:left w:val="outset" w:sz="4" w:space="0" w:color="auto"/>
              <w:bottom w:val="outset" w:sz="4" w:space="0" w:color="auto"/>
              <w:right w:val="outset" w:sz="4" w:space="0" w:color="auto"/>
            </w:tcBorders>
            <w:vAlign w:val="center"/>
          </w:tcPr>
          <w:p w14:paraId="181EFA4E" w14:textId="77777777" w:rsidR="005E000F" w:rsidRDefault="00000000">
            <w:r>
              <w:rPr>
                <w:rFonts w:hint="eastAsia"/>
              </w:rPr>
              <w:t>七、</w:t>
            </w:r>
            <w:r>
              <w:t>61</w:t>
            </w:r>
          </w:p>
        </w:tc>
        <w:tc>
          <w:tcPr>
            <w:tcW w:w="2008" w:type="dxa"/>
            <w:tcBorders>
              <w:top w:val="outset" w:sz="4" w:space="0" w:color="auto"/>
              <w:left w:val="outset" w:sz="4" w:space="0" w:color="auto"/>
              <w:bottom w:val="outset" w:sz="4" w:space="0" w:color="auto"/>
              <w:right w:val="outset" w:sz="4" w:space="0" w:color="auto"/>
            </w:tcBorders>
            <w:vAlign w:val="center"/>
          </w:tcPr>
          <w:p w14:paraId="77754877" w14:textId="77777777" w:rsidR="005E000F" w:rsidRDefault="00000000">
            <w:pPr>
              <w:jc w:val="right"/>
            </w:pPr>
            <w:r>
              <w:t>77,644,812,382</w:t>
            </w:r>
          </w:p>
        </w:tc>
        <w:tc>
          <w:tcPr>
            <w:tcW w:w="2018" w:type="dxa"/>
            <w:tcBorders>
              <w:top w:val="outset" w:sz="4" w:space="0" w:color="auto"/>
              <w:left w:val="outset" w:sz="4" w:space="0" w:color="auto"/>
              <w:bottom w:val="outset" w:sz="4" w:space="0" w:color="auto"/>
              <w:right w:val="outset" w:sz="4" w:space="0" w:color="auto"/>
            </w:tcBorders>
            <w:vAlign w:val="center"/>
          </w:tcPr>
          <w:p w14:paraId="6969FE08" w14:textId="77777777" w:rsidR="005E000F" w:rsidRDefault="00000000">
            <w:pPr>
              <w:jc w:val="right"/>
            </w:pPr>
            <w:r>
              <w:rPr>
                <w:rFonts w:hint="eastAsia"/>
              </w:rPr>
              <w:t>74,627,273,516</w:t>
            </w:r>
          </w:p>
        </w:tc>
      </w:tr>
      <w:tr w:rsidR="005E000F" w14:paraId="54CE3C3A" w14:textId="77777777">
        <w:tc>
          <w:tcPr>
            <w:tcW w:w="3507" w:type="dxa"/>
            <w:tcBorders>
              <w:top w:val="outset" w:sz="4" w:space="0" w:color="auto"/>
              <w:left w:val="outset" w:sz="4" w:space="0" w:color="auto"/>
              <w:bottom w:val="outset" w:sz="4" w:space="0" w:color="auto"/>
              <w:right w:val="outset" w:sz="4" w:space="0" w:color="auto"/>
            </w:tcBorders>
            <w:vAlign w:val="center"/>
          </w:tcPr>
          <w:p w14:paraId="0D2EAB07" w14:textId="77777777" w:rsidR="005E000F" w:rsidRDefault="00000000">
            <w:pPr>
              <w:ind w:firstLineChars="300" w:firstLine="630"/>
              <w:rPr>
                <w:color w:val="000000"/>
              </w:rPr>
            </w:pPr>
            <w:r>
              <w:rPr>
                <w:rFonts w:hint="eastAsia"/>
              </w:rPr>
              <w:t>利息收入</w:t>
            </w:r>
          </w:p>
        </w:tc>
        <w:tc>
          <w:tcPr>
            <w:tcW w:w="1516" w:type="dxa"/>
            <w:tcBorders>
              <w:top w:val="outset" w:sz="4" w:space="0" w:color="auto"/>
              <w:left w:val="outset" w:sz="4" w:space="0" w:color="auto"/>
              <w:bottom w:val="outset" w:sz="4" w:space="0" w:color="auto"/>
              <w:right w:val="outset" w:sz="4" w:space="0" w:color="auto"/>
            </w:tcBorders>
            <w:vAlign w:val="center"/>
          </w:tcPr>
          <w:p w14:paraId="5263D248"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5A86EA79" w14:textId="77777777" w:rsidR="005E000F" w:rsidRDefault="005E000F">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04DE0764" w14:textId="77777777" w:rsidR="005E000F" w:rsidRDefault="00000000">
            <w:pPr>
              <w:jc w:val="right"/>
            </w:pPr>
            <w:r>
              <w:rPr>
                <w:rFonts w:hint="eastAsia"/>
              </w:rPr>
              <w:t>0</w:t>
            </w:r>
          </w:p>
        </w:tc>
      </w:tr>
      <w:tr w:rsidR="005E000F" w14:paraId="7912A516" w14:textId="77777777">
        <w:tc>
          <w:tcPr>
            <w:tcW w:w="3507" w:type="dxa"/>
            <w:tcBorders>
              <w:top w:val="outset" w:sz="4" w:space="0" w:color="auto"/>
              <w:left w:val="outset" w:sz="4" w:space="0" w:color="auto"/>
              <w:bottom w:val="outset" w:sz="4" w:space="0" w:color="auto"/>
              <w:right w:val="outset" w:sz="4" w:space="0" w:color="auto"/>
            </w:tcBorders>
            <w:vAlign w:val="center"/>
          </w:tcPr>
          <w:p w14:paraId="06E9600E" w14:textId="77777777" w:rsidR="005E000F" w:rsidRDefault="00000000">
            <w:pPr>
              <w:ind w:firstLineChars="300" w:firstLine="630"/>
            </w:pPr>
            <w:r>
              <w:rPr>
                <w:rFonts w:hint="eastAsia"/>
              </w:rPr>
              <w:t>已赚保费</w:t>
            </w:r>
          </w:p>
        </w:tc>
        <w:tc>
          <w:tcPr>
            <w:tcW w:w="1516" w:type="dxa"/>
            <w:tcBorders>
              <w:top w:val="outset" w:sz="4" w:space="0" w:color="auto"/>
              <w:left w:val="outset" w:sz="4" w:space="0" w:color="auto"/>
              <w:bottom w:val="outset" w:sz="4" w:space="0" w:color="auto"/>
              <w:right w:val="outset" w:sz="4" w:space="0" w:color="auto"/>
            </w:tcBorders>
            <w:vAlign w:val="center"/>
          </w:tcPr>
          <w:p w14:paraId="4216AA8A"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A994579" w14:textId="77777777" w:rsidR="005E000F" w:rsidRDefault="005E000F">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650B2EE3" w14:textId="77777777" w:rsidR="005E000F" w:rsidRDefault="00000000">
            <w:pPr>
              <w:jc w:val="right"/>
            </w:pPr>
            <w:r>
              <w:rPr>
                <w:rFonts w:hint="eastAsia"/>
              </w:rPr>
              <w:t>0</w:t>
            </w:r>
          </w:p>
        </w:tc>
      </w:tr>
      <w:tr w:rsidR="005E000F" w14:paraId="138FB4BE" w14:textId="77777777">
        <w:tc>
          <w:tcPr>
            <w:tcW w:w="3507" w:type="dxa"/>
            <w:tcBorders>
              <w:top w:val="outset" w:sz="4" w:space="0" w:color="auto"/>
              <w:left w:val="outset" w:sz="4" w:space="0" w:color="auto"/>
              <w:bottom w:val="outset" w:sz="4" w:space="0" w:color="auto"/>
              <w:right w:val="outset" w:sz="4" w:space="0" w:color="auto"/>
            </w:tcBorders>
            <w:vAlign w:val="center"/>
          </w:tcPr>
          <w:p w14:paraId="5B54290A" w14:textId="77777777" w:rsidR="005E000F" w:rsidRDefault="00000000">
            <w:pPr>
              <w:ind w:firstLineChars="300" w:firstLine="630"/>
            </w:pPr>
            <w:r>
              <w:rPr>
                <w:rFonts w:hint="eastAsia"/>
              </w:rPr>
              <w:t>手续费及佣金收入</w:t>
            </w:r>
          </w:p>
        </w:tc>
        <w:tc>
          <w:tcPr>
            <w:tcW w:w="1516" w:type="dxa"/>
            <w:tcBorders>
              <w:top w:val="outset" w:sz="4" w:space="0" w:color="auto"/>
              <w:left w:val="outset" w:sz="4" w:space="0" w:color="auto"/>
              <w:bottom w:val="outset" w:sz="4" w:space="0" w:color="auto"/>
              <w:right w:val="outset" w:sz="4" w:space="0" w:color="auto"/>
            </w:tcBorders>
            <w:vAlign w:val="center"/>
          </w:tcPr>
          <w:p w14:paraId="46B73BC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E7CFE48" w14:textId="77777777" w:rsidR="005E000F" w:rsidRDefault="005E000F">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1C340AD1" w14:textId="77777777" w:rsidR="005E000F" w:rsidRDefault="00000000">
            <w:pPr>
              <w:jc w:val="right"/>
            </w:pPr>
            <w:r>
              <w:rPr>
                <w:rFonts w:hint="eastAsia"/>
              </w:rPr>
              <w:t>0</w:t>
            </w:r>
          </w:p>
        </w:tc>
      </w:tr>
      <w:tr w:rsidR="005E000F" w14:paraId="3E6618B5" w14:textId="77777777">
        <w:tc>
          <w:tcPr>
            <w:tcW w:w="3507" w:type="dxa"/>
            <w:tcBorders>
              <w:top w:val="outset" w:sz="4" w:space="0" w:color="auto"/>
              <w:left w:val="outset" w:sz="4" w:space="0" w:color="auto"/>
              <w:bottom w:val="outset" w:sz="4" w:space="0" w:color="auto"/>
              <w:right w:val="outset" w:sz="4" w:space="0" w:color="auto"/>
            </w:tcBorders>
            <w:vAlign w:val="center"/>
          </w:tcPr>
          <w:p w14:paraId="0B159513" w14:textId="77777777" w:rsidR="005E000F" w:rsidRDefault="00000000">
            <w:pPr>
              <w:rPr>
                <w:color w:val="000000"/>
              </w:rPr>
            </w:pPr>
            <w:r>
              <w:rPr>
                <w:rFonts w:hint="eastAsia"/>
              </w:rPr>
              <w:t>二、营业总成本</w:t>
            </w:r>
          </w:p>
        </w:tc>
        <w:tc>
          <w:tcPr>
            <w:tcW w:w="1516" w:type="dxa"/>
            <w:tcBorders>
              <w:top w:val="outset" w:sz="4" w:space="0" w:color="auto"/>
              <w:left w:val="outset" w:sz="4" w:space="0" w:color="auto"/>
              <w:bottom w:val="outset" w:sz="4" w:space="0" w:color="auto"/>
              <w:right w:val="outset" w:sz="4" w:space="0" w:color="auto"/>
            </w:tcBorders>
            <w:vAlign w:val="center"/>
          </w:tcPr>
          <w:p w14:paraId="5604A848"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0BB8BCB5" w14:textId="77777777" w:rsidR="005E000F" w:rsidRDefault="00000000">
            <w:pPr>
              <w:jc w:val="right"/>
            </w:pPr>
            <w:r>
              <w:t>71,910,634,524</w:t>
            </w:r>
          </w:p>
        </w:tc>
        <w:tc>
          <w:tcPr>
            <w:tcW w:w="2018" w:type="dxa"/>
            <w:tcBorders>
              <w:top w:val="outset" w:sz="4" w:space="0" w:color="auto"/>
              <w:left w:val="outset" w:sz="4" w:space="0" w:color="auto"/>
              <w:bottom w:val="outset" w:sz="4" w:space="0" w:color="auto"/>
              <w:right w:val="outset" w:sz="4" w:space="0" w:color="auto"/>
            </w:tcBorders>
            <w:vAlign w:val="center"/>
          </w:tcPr>
          <w:p w14:paraId="492C2A78" w14:textId="77777777" w:rsidR="005E000F" w:rsidRDefault="00000000">
            <w:pPr>
              <w:jc w:val="right"/>
            </w:pPr>
            <w:r>
              <w:rPr>
                <w:rFonts w:hint="eastAsia"/>
              </w:rPr>
              <w:t>64,136,668,363</w:t>
            </w:r>
          </w:p>
        </w:tc>
      </w:tr>
      <w:tr w:rsidR="005E000F" w14:paraId="62DE6FF5" w14:textId="77777777">
        <w:tc>
          <w:tcPr>
            <w:tcW w:w="3507" w:type="dxa"/>
            <w:tcBorders>
              <w:top w:val="outset" w:sz="4" w:space="0" w:color="auto"/>
              <w:left w:val="outset" w:sz="4" w:space="0" w:color="auto"/>
              <w:bottom w:val="outset" w:sz="4" w:space="0" w:color="auto"/>
              <w:right w:val="outset" w:sz="4" w:space="0" w:color="auto"/>
            </w:tcBorders>
            <w:vAlign w:val="center"/>
          </w:tcPr>
          <w:p w14:paraId="6DCEACCC" w14:textId="77777777" w:rsidR="005E000F" w:rsidRDefault="00000000">
            <w:pPr>
              <w:rPr>
                <w:color w:val="000000"/>
              </w:rPr>
            </w:pPr>
            <w:r>
              <w:rPr>
                <w:rFonts w:hint="eastAsia"/>
              </w:rPr>
              <w:t>其中：营业成本</w:t>
            </w:r>
          </w:p>
        </w:tc>
        <w:tc>
          <w:tcPr>
            <w:tcW w:w="1516" w:type="dxa"/>
            <w:tcBorders>
              <w:top w:val="outset" w:sz="4" w:space="0" w:color="auto"/>
              <w:left w:val="outset" w:sz="4" w:space="0" w:color="auto"/>
              <w:bottom w:val="outset" w:sz="4" w:space="0" w:color="auto"/>
              <w:right w:val="outset" w:sz="4" w:space="0" w:color="auto"/>
            </w:tcBorders>
            <w:vAlign w:val="center"/>
          </w:tcPr>
          <w:p w14:paraId="2CC7EE2B" w14:textId="77777777" w:rsidR="005E000F" w:rsidRDefault="00000000">
            <w:r>
              <w:rPr>
                <w:rFonts w:hint="eastAsia"/>
              </w:rPr>
              <w:t>七、</w:t>
            </w:r>
            <w:r>
              <w:t>61</w:t>
            </w:r>
          </w:p>
        </w:tc>
        <w:tc>
          <w:tcPr>
            <w:tcW w:w="2008" w:type="dxa"/>
            <w:tcBorders>
              <w:top w:val="outset" w:sz="4" w:space="0" w:color="auto"/>
              <w:left w:val="outset" w:sz="4" w:space="0" w:color="auto"/>
              <w:bottom w:val="outset" w:sz="4" w:space="0" w:color="auto"/>
              <w:right w:val="outset" w:sz="4" w:space="0" w:color="auto"/>
            </w:tcBorders>
            <w:vAlign w:val="center"/>
          </w:tcPr>
          <w:p w14:paraId="0D08BC5E" w14:textId="77777777" w:rsidR="005E000F" w:rsidRDefault="00000000">
            <w:pPr>
              <w:jc w:val="right"/>
            </w:pPr>
            <w:r>
              <w:t>70,951,357,550</w:t>
            </w:r>
          </w:p>
        </w:tc>
        <w:tc>
          <w:tcPr>
            <w:tcW w:w="2018" w:type="dxa"/>
            <w:tcBorders>
              <w:top w:val="outset" w:sz="4" w:space="0" w:color="auto"/>
              <w:left w:val="outset" w:sz="4" w:space="0" w:color="auto"/>
              <w:bottom w:val="outset" w:sz="4" w:space="0" w:color="auto"/>
              <w:right w:val="outset" w:sz="4" w:space="0" w:color="auto"/>
            </w:tcBorders>
            <w:vAlign w:val="center"/>
          </w:tcPr>
          <w:p w14:paraId="232F2656" w14:textId="77777777" w:rsidR="005E000F" w:rsidRDefault="00000000">
            <w:pPr>
              <w:jc w:val="right"/>
            </w:pPr>
            <w:r>
              <w:rPr>
                <w:rFonts w:hint="eastAsia"/>
              </w:rPr>
              <w:t>63,207,772,937</w:t>
            </w:r>
          </w:p>
        </w:tc>
      </w:tr>
      <w:tr w:rsidR="005E000F" w14:paraId="503192D1" w14:textId="77777777">
        <w:tc>
          <w:tcPr>
            <w:tcW w:w="3507" w:type="dxa"/>
            <w:tcBorders>
              <w:top w:val="outset" w:sz="4" w:space="0" w:color="auto"/>
              <w:left w:val="outset" w:sz="4" w:space="0" w:color="auto"/>
              <w:bottom w:val="outset" w:sz="4" w:space="0" w:color="auto"/>
              <w:right w:val="outset" w:sz="4" w:space="0" w:color="auto"/>
            </w:tcBorders>
            <w:vAlign w:val="center"/>
          </w:tcPr>
          <w:p w14:paraId="0A79E51F" w14:textId="77777777" w:rsidR="005E000F" w:rsidRDefault="00000000">
            <w:pPr>
              <w:ind w:firstLineChars="300" w:firstLine="630"/>
            </w:pPr>
            <w:r>
              <w:rPr>
                <w:rFonts w:hint="eastAsia"/>
              </w:rPr>
              <w:t>利息支出</w:t>
            </w:r>
          </w:p>
        </w:tc>
        <w:tc>
          <w:tcPr>
            <w:tcW w:w="1516" w:type="dxa"/>
            <w:tcBorders>
              <w:top w:val="outset" w:sz="4" w:space="0" w:color="auto"/>
              <w:left w:val="outset" w:sz="4" w:space="0" w:color="auto"/>
              <w:bottom w:val="outset" w:sz="4" w:space="0" w:color="auto"/>
              <w:right w:val="outset" w:sz="4" w:space="0" w:color="auto"/>
            </w:tcBorders>
            <w:vAlign w:val="center"/>
          </w:tcPr>
          <w:p w14:paraId="015784F2"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1593F19D"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67A8C244" w14:textId="77777777" w:rsidR="005E000F" w:rsidRDefault="00000000">
            <w:pPr>
              <w:jc w:val="right"/>
            </w:pPr>
            <w:r>
              <w:rPr>
                <w:rFonts w:hint="eastAsia"/>
              </w:rPr>
              <w:t>0</w:t>
            </w:r>
          </w:p>
        </w:tc>
      </w:tr>
      <w:tr w:rsidR="005E000F" w14:paraId="36CC1BAE" w14:textId="77777777">
        <w:tc>
          <w:tcPr>
            <w:tcW w:w="3507" w:type="dxa"/>
            <w:tcBorders>
              <w:top w:val="outset" w:sz="4" w:space="0" w:color="auto"/>
              <w:left w:val="outset" w:sz="4" w:space="0" w:color="auto"/>
              <w:bottom w:val="outset" w:sz="4" w:space="0" w:color="auto"/>
              <w:right w:val="outset" w:sz="4" w:space="0" w:color="auto"/>
            </w:tcBorders>
            <w:vAlign w:val="center"/>
          </w:tcPr>
          <w:p w14:paraId="18DA317F" w14:textId="77777777" w:rsidR="005E000F" w:rsidRDefault="00000000">
            <w:pPr>
              <w:ind w:firstLineChars="300" w:firstLine="630"/>
            </w:pPr>
            <w:r>
              <w:rPr>
                <w:rFonts w:hint="eastAsia"/>
              </w:rPr>
              <w:t>手续费及佣金支出</w:t>
            </w:r>
          </w:p>
        </w:tc>
        <w:tc>
          <w:tcPr>
            <w:tcW w:w="1516" w:type="dxa"/>
            <w:tcBorders>
              <w:top w:val="outset" w:sz="4" w:space="0" w:color="auto"/>
              <w:left w:val="outset" w:sz="4" w:space="0" w:color="auto"/>
              <w:bottom w:val="outset" w:sz="4" w:space="0" w:color="auto"/>
              <w:right w:val="outset" w:sz="4" w:space="0" w:color="auto"/>
            </w:tcBorders>
            <w:vAlign w:val="center"/>
          </w:tcPr>
          <w:p w14:paraId="05A99940"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5668E3FF"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10FF8CE0" w14:textId="77777777" w:rsidR="005E000F" w:rsidRDefault="00000000">
            <w:pPr>
              <w:jc w:val="right"/>
            </w:pPr>
            <w:r>
              <w:rPr>
                <w:rFonts w:hint="eastAsia"/>
              </w:rPr>
              <w:t>0</w:t>
            </w:r>
          </w:p>
        </w:tc>
      </w:tr>
      <w:tr w:rsidR="005E000F" w14:paraId="2B126E48" w14:textId="77777777">
        <w:tc>
          <w:tcPr>
            <w:tcW w:w="3507" w:type="dxa"/>
            <w:tcBorders>
              <w:top w:val="outset" w:sz="4" w:space="0" w:color="auto"/>
              <w:left w:val="outset" w:sz="4" w:space="0" w:color="auto"/>
              <w:bottom w:val="outset" w:sz="4" w:space="0" w:color="auto"/>
              <w:right w:val="outset" w:sz="4" w:space="0" w:color="auto"/>
            </w:tcBorders>
            <w:vAlign w:val="center"/>
          </w:tcPr>
          <w:p w14:paraId="4F4EC5CA" w14:textId="77777777" w:rsidR="005E000F" w:rsidRDefault="00000000">
            <w:pPr>
              <w:ind w:firstLineChars="300" w:firstLine="630"/>
            </w:pPr>
            <w:r>
              <w:rPr>
                <w:rFonts w:hint="eastAsia"/>
              </w:rPr>
              <w:t>退保金</w:t>
            </w:r>
          </w:p>
        </w:tc>
        <w:tc>
          <w:tcPr>
            <w:tcW w:w="1516" w:type="dxa"/>
            <w:tcBorders>
              <w:top w:val="outset" w:sz="4" w:space="0" w:color="auto"/>
              <w:left w:val="outset" w:sz="4" w:space="0" w:color="auto"/>
              <w:bottom w:val="outset" w:sz="4" w:space="0" w:color="auto"/>
              <w:right w:val="outset" w:sz="4" w:space="0" w:color="auto"/>
            </w:tcBorders>
            <w:vAlign w:val="center"/>
          </w:tcPr>
          <w:p w14:paraId="1C06BF9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9F091DE"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2D18CA37" w14:textId="77777777" w:rsidR="005E000F" w:rsidRDefault="00000000">
            <w:pPr>
              <w:jc w:val="right"/>
            </w:pPr>
            <w:r>
              <w:rPr>
                <w:rFonts w:hint="eastAsia"/>
              </w:rPr>
              <w:t>0</w:t>
            </w:r>
          </w:p>
        </w:tc>
      </w:tr>
      <w:tr w:rsidR="005E000F" w14:paraId="4E6DFE96" w14:textId="77777777">
        <w:tc>
          <w:tcPr>
            <w:tcW w:w="3507" w:type="dxa"/>
            <w:tcBorders>
              <w:top w:val="outset" w:sz="4" w:space="0" w:color="auto"/>
              <w:left w:val="outset" w:sz="4" w:space="0" w:color="auto"/>
              <w:bottom w:val="outset" w:sz="4" w:space="0" w:color="auto"/>
              <w:right w:val="outset" w:sz="4" w:space="0" w:color="auto"/>
            </w:tcBorders>
            <w:vAlign w:val="center"/>
          </w:tcPr>
          <w:p w14:paraId="7D1D92E0" w14:textId="77777777" w:rsidR="005E000F" w:rsidRDefault="00000000">
            <w:pPr>
              <w:ind w:firstLineChars="300" w:firstLine="630"/>
            </w:pPr>
            <w:r>
              <w:rPr>
                <w:rFonts w:hint="eastAsia"/>
              </w:rPr>
              <w:t>赔付支出净额</w:t>
            </w:r>
          </w:p>
        </w:tc>
        <w:tc>
          <w:tcPr>
            <w:tcW w:w="1516" w:type="dxa"/>
            <w:tcBorders>
              <w:top w:val="outset" w:sz="4" w:space="0" w:color="auto"/>
              <w:left w:val="outset" w:sz="4" w:space="0" w:color="auto"/>
              <w:bottom w:val="outset" w:sz="4" w:space="0" w:color="auto"/>
              <w:right w:val="outset" w:sz="4" w:space="0" w:color="auto"/>
            </w:tcBorders>
            <w:vAlign w:val="center"/>
          </w:tcPr>
          <w:p w14:paraId="72988997"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0E36D8D"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0FEE9244" w14:textId="77777777" w:rsidR="005E000F" w:rsidRDefault="00000000">
            <w:pPr>
              <w:jc w:val="right"/>
            </w:pPr>
            <w:r>
              <w:rPr>
                <w:rFonts w:hint="eastAsia"/>
              </w:rPr>
              <w:t>0</w:t>
            </w:r>
          </w:p>
        </w:tc>
      </w:tr>
      <w:tr w:rsidR="005E000F" w14:paraId="34CA7A1A" w14:textId="77777777">
        <w:tc>
          <w:tcPr>
            <w:tcW w:w="3507" w:type="dxa"/>
            <w:tcBorders>
              <w:top w:val="outset" w:sz="4" w:space="0" w:color="auto"/>
              <w:left w:val="outset" w:sz="4" w:space="0" w:color="auto"/>
              <w:bottom w:val="outset" w:sz="4" w:space="0" w:color="auto"/>
              <w:right w:val="outset" w:sz="4" w:space="0" w:color="auto"/>
            </w:tcBorders>
            <w:vAlign w:val="center"/>
          </w:tcPr>
          <w:p w14:paraId="6CCCB00F" w14:textId="77777777" w:rsidR="005E000F" w:rsidRDefault="00000000">
            <w:pPr>
              <w:ind w:firstLineChars="300" w:firstLine="630"/>
            </w:pPr>
            <w:r>
              <w:rPr>
                <w:rFonts w:hint="eastAsia"/>
              </w:rPr>
              <w:t>提取保险责任准备金净额</w:t>
            </w:r>
          </w:p>
        </w:tc>
        <w:tc>
          <w:tcPr>
            <w:tcW w:w="1516" w:type="dxa"/>
            <w:tcBorders>
              <w:top w:val="outset" w:sz="4" w:space="0" w:color="auto"/>
              <w:left w:val="outset" w:sz="4" w:space="0" w:color="auto"/>
              <w:bottom w:val="outset" w:sz="4" w:space="0" w:color="auto"/>
              <w:right w:val="outset" w:sz="4" w:space="0" w:color="auto"/>
            </w:tcBorders>
            <w:vAlign w:val="center"/>
          </w:tcPr>
          <w:p w14:paraId="038B1B0D"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0A996EE8"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3B408210" w14:textId="77777777" w:rsidR="005E000F" w:rsidRDefault="00000000">
            <w:pPr>
              <w:jc w:val="right"/>
            </w:pPr>
            <w:r>
              <w:rPr>
                <w:rFonts w:hint="eastAsia"/>
              </w:rPr>
              <w:t>0</w:t>
            </w:r>
          </w:p>
        </w:tc>
      </w:tr>
      <w:tr w:rsidR="005E000F" w14:paraId="370CCA0D" w14:textId="77777777">
        <w:tc>
          <w:tcPr>
            <w:tcW w:w="3507" w:type="dxa"/>
            <w:tcBorders>
              <w:top w:val="outset" w:sz="4" w:space="0" w:color="auto"/>
              <w:left w:val="outset" w:sz="4" w:space="0" w:color="auto"/>
              <w:bottom w:val="outset" w:sz="4" w:space="0" w:color="auto"/>
              <w:right w:val="outset" w:sz="4" w:space="0" w:color="auto"/>
            </w:tcBorders>
            <w:vAlign w:val="center"/>
          </w:tcPr>
          <w:p w14:paraId="56BB0C90" w14:textId="77777777" w:rsidR="005E000F" w:rsidRDefault="00000000">
            <w:pPr>
              <w:ind w:firstLineChars="300" w:firstLine="630"/>
            </w:pPr>
            <w:r>
              <w:rPr>
                <w:rFonts w:hint="eastAsia"/>
              </w:rPr>
              <w:t>保单红利支出</w:t>
            </w:r>
          </w:p>
        </w:tc>
        <w:tc>
          <w:tcPr>
            <w:tcW w:w="1516" w:type="dxa"/>
            <w:tcBorders>
              <w:top w:val="outset" w:sz="4" w:space="0" w:color="auto"/>
              <w:left w:val="outset" w:sz="4" w:space="0" w:color="auto"/>
              <w:bottom w:val="outset" w:sz="4" w:space="0" w:color="auto"/>
              <w:right w:val="outset" w:sz="4" w:space="0" w:color="auto"/>
            </w:tcBorders>
            <w:vAlign w:val="center"/>
          </w:tcPr>
          <w:p w14:paraId="60DDD75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99AF514"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08B8DD41" w14:textId="77777777" w:rsidR="005E000F" w:rsidRDefault="00000000">
            <w:pPr>
              <w:jc w:val="right"/>
            </w:pPr>
            <w:r>
              <w:rPr>
                <w:rFonts w:hint="eastAsia"/>
              </w:rPr>
              <w:t>0</w:t>
            </w:r>
          </w:p>
        </w:tc>
      </w:tr>
      <w:tr w:rsidR="005E000F" w14:paraId="3E425753" w14:textId="77777777">
        <w:tc>
          <w:tcPr>
            <w:tcW w:w="3507" w:type="dxa"/>
            <w:tcBorders>
              <w:top w:val="outset" w:sz="4" w:space="0" w:color="auto"/>
              <w:left w:val="outset" w:sz="4" w:space="0" w:color="auto"/>
              <w:bottom w:val="outset" w:sz="4" w:space="0" w:color="auto"/>
              <w:right w:val="outset" w:sz="4" w:space="0" w:color="auto"/>
            </w:tcBorders>
            <w:vAlign w:val="center"/>
          </w:tcPr>
          <w:p w14:paraId="00B01A7C" w14:textId="77777777" w:rsidR="005E000F" w:rsidRDefault="00000000">
            <w:pPr>
              <w:ind w:firstLineChars="300" w:firstLine="630"/>
            </w:pPr>
            <w:r>
              <w:rPr>
                <w:rFonts w:hint="eastAsia"/>
              </w:rPr>
              <w:t>分保费用</w:t>
            </w:r>
          </w:p>
        </w:tc>
        <w:tc>
          <w:tcPr>
            <w:tcW w:w="1516" w:type="dxa"/>
            <w:tcBorders>
              <w:top w:val="outset" w:sz="4" w:space="0" w:color="auto"/>
              <w:left w:val="outset" w:sz="4" w:space="0" w:color="auto"/>
              <w:bottom w:val="outset" w:sz="4" w:space="0" w:color="auto"/>
              <w:right w:val="outset" w:sz="4" w:space="0" w:color="auto"/>
            </w:tcBorders>
            <w:vAlign w:val="center"/>
          </w:tcPr>
          <w:p w14:paraId="7EF4BEA4"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0E42913E"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2ACAB9B0" w14:textId="77777777" w:rsidR="005E000F" w:rsidRDefault="00000000">
            <w:pPr>
              <w:jc w:val="right"/>
            </w:pPr>
            <w:r>
              <w:rPr>
                <w:rFonts w:hint="eastAsia"/>
              </w:rPr>
              <w:t>0</w:t>
            </w:r>
          </w:p>
        </w:tc>
      </w:tr>
      <w:tr w:rsidR="005E000F" w14:paraId="1773B965" w14:textId="77777777">
        <w:tc>
          <w:tcPr>
            <w:tcW w:w="3507" w:type="dxa"/>
            <w:tcBorders>
              <w:top w:val="outset" w:sz="4" w:space="0" w:color="auto"/>
              <w:left w:val="outset" w:sz="4" w:space="0" w:color="auto"/>
              <w:bottom w:val="outset" w:sz="4" w:space="0" w:color="auto"/>
              <w:right w:val="outset" w:sz="4" w:space="0" w:color="auto"/>
            </w:tcBorders>
            <w:vAlign w:val="center"/>
          </w:tcPr>
          <w:p w14:paraId="121CE272" w14:textId="77777777" w:rsidR="005E000F" w:rsidRDefault="00000000">
            <w:pPr>
              <w:ind w:firstLineChars="300" w:firstLine="630"/>
            </w:pPr>
            <w:r>
              <w:rPr>
                <w:rFonts w:hint="eastAsia"/>
              </w:rPr>
              <w:t>税金及附加</w:t>
            </w:r>
          </w:p>
        </w:tc>
        <w:tc>
          <w:tcPr>
            <w:tcW w:w="1516" w:type="dxa"/>
            <w:tcBorders>
              <w:top w:val="outset" w:sz="4" w:space="0" w:color="auto"/>
              <w:left w:val="outset" w:sz="4" w:space="0" w:color="auto"/>
              <w:bottom w:val="outset" w:sz="4" w:space="0" w:color="auto"/>
              <w:right w:val="outset" w:sz="4" w:space="0" w:color="auto"/>
            </w:tcBorders>
            <w:vAlign w:val="center"/>
          </w:tcPr>
          <w:p w14:paraId="7927FA57" w14:textId="77777777" w:rsidR="005E000F" w:rsidRDefault="00000000">
            <w:r>
              <w:rPr>
                <w:rFonts w:hint="eastAsia"/>
              </w:rPr>
              <w:t>七、</w:t>
            </w:r>
            <w:r>
              <w:t>62</w:t>
            </w:r>
          </w:p>
        </w:tc>
        <w:tc>
          <w:tcPr>
            <w:tcW w:w="2008" w:type="dxa"/>
            <w:tcBorders>
              <w:top w:val="outset" w:sz="4" w:space="0" w:color="auto"/>
              <w:left w:val="outset" w:sz="4" w:space="0" w:color="auto"/>
              <w:bottom w:val="outset" w:sz="4" w:space="0" w:color="auto"/>
              <w:right w:val="outset" w:sz="4" w:space="0" w:color="auto"/>
            </w:tcBorders>
            <w:vAlign w:val="center"/>
          </w:tcPr>
          <w:p w14:paraId="0DBBCE06" w14:textId="77777777" w:rsidR="005E000F" w:rsidRDefault="00000000">
            <w:pPr>
              <w:jc w:val="right"/>
            </w:pPr>
            <w:r>
              <w:t>272,696,771</w:t>
            </w:r>
          </w:p>
        </w:tc>
        <w:tc>
          <w:tcPr>
            <w:tcW w:w="2018" w:type="dxa"/>
            <w:tcBorders>
              <w:top w:val="outset" w:sz="4" w:space="0" w:color="auto"/>
              <w:left w:val="outset" w:sz="4" w:space="0" w:color="auto"/>
              <w:bottom w:val="outset" w:sz="4" w:space="0" w:color="auto"/>
              <w:right w:val="outset" w:sz="4" w:space="0" w:color="auto"/>
            </w:tcBorders>
            <w:vAlign w:val="center"/>
          </w:tcPr>
          <w:p w14:paraId="78DB7DBD" w14:textId="77777777" w:rsidR="005E000F" w:rsidRDefault="00000000">
            <w:pPr>
              <w:jc w:val="right"/>
            </w:pPr>
            <w:r>
              <w:rPr>
                <w:rFonts w:hint="eastAsia"/>
              </w:rPr>
              <w:t>261,402,915</w:t>
            </w:r>
          </w:p>
        </w:tc>
      </w:tr>
      <w:tr w:rsidR="005E000F" w14:paraId="16C31B4D" w14:textId="77777777">
        <w:tc>
          <w:tcPr>
            <w:tcW w:w="3507" w:type="dxa"/>
            <w:tcBorders>
              <w:top w:val="outset" w:sz="4" w:space="0" w:color="auto"/>
              <w:left w:val="outset" w:sz="4" w:space="0" w:color="auto"/>
              <w:bottom w:val="outset" w:sz="4" w:space="0" w:color="auto"/>
              <w:right w:val="outset" w:sz="4" w:space="0" w:color="auto"/>
            </w:tcBorders>
            <w:vAlign w:val="center"/>
          </w:tcPr>
          <w:p w14:paraId="4D9C0360" w14:textId="77777777" w:rsidR="005E000F" w:rsidRDefault="00000000">
            <w:pPr>
              <w:ind w:firstLineChars="300" w:firstLine="630"/>
            </w:pPr>
            <w:r>
              <w:rPr>
                <w:rFonts w:hint="eastAsia"/>
              </w:rPr>
              <w:t>销售费用</w:t>
            </w:r>
          </w:p>
        </w:tc>
        <w:tc>
          <w:tcPr>
            <w:tcW w:w="1516" w:type="dxa"/>
            <w:tcBorders>
              <w:top w:val="outset" w:sz="4" w:space="0" w:color="auto"/>
              <w:left w:val="outset" w:sz="4" w:space="0" w:color="auto"/>
              <w:bottom w:val="outset" w:sz="4" w:space="0" w:color="auto"/>
              <w:right w:val="outset" w:sz="4" w:space="0" w:color="auto"/>
            </w:tcBorders>
            <w:vAlign w:val="center"/>
          </w:tcPr>
          <w:p w14:paraId="753A4FBD" w14:textId="77777777" w:rsidR="005E000F" w:rsidRDefault="00000000">
            <w:r>
              <w:rPr>
                <w:rFonts w:hint="eastAsia"/>
              </w:rPr>
              <w:t>七、</w:t>
            </w:r>
            <w:r>
              <w:t>63</w:t>
            </w:r>
          </w:p>
        </w:tc>
        <w:tc>
          <w:tcPr>
            <w:tcW w:w="2008" w:type="dxa"/>
            <w:tcBorders>
              <w:top w:val="outset" w:sz="4" w:space="0" w:color="auto"/>
              <w:left w:val="outset" w:sz="4" w:space="0" w:color="auto"/>
              <w:bottom w:val="outset" w:sz="4" w:space="0" w:color="auto"/>
              <w:right w:val="outset" w:sz="4" w:space="0" w:color="auto"/>
            </w:tcBorders>
            <w:vAlign w:val="center"/>
          </w:tcPr>
          <w:p w14:paraId="59120C01" w14:textId="77777777" w:rsidR="005E000F" w:rsidRDefault="00000000">
            <w:pPr>
              <w:jc w:val="right"/>
            </w:pPr>
            <w:r>
              <w:t>52,171,110</w:t>
            </w:r>
          </w:p>
        </w:tc>
        <w:tc>
          <w:tcPr>
            <w:tcW w:w="2018" w:type="dxa"/>
            <w:tcBorders>
              <w:top w:val="outset" w:sz="4" w:space="0" w:color="auto"/>
              <w:left w:val="outset" w:sz="4" w:space="0" w:color="auto"/>
              <w:bottom w:val="outset" w:sz="4" w:space="0" w:color="auto"/>
              <w:right w:val="outset" w:sz="4" w:space="0" w:color="auto"/>
            </w:tcBorders>
            <w:vAlign w:val="center"/>
          </w:tcPr>
          <w:p w14:paraId="2463766E" w14:textId="77777777" w:rsidR="005E000F" w:rsidRDefault="00000000">
            <w:pPr>
              <w:jc w:val="right"/>
            </w:pPr>
            <w:r>
              <w:rPr>
                <w:rFonts w:hint="eastAsia"/>
              </w:rPr>
              <w:t>128,495,322</w:t>
            </w:r>
          </w:p>
        </w:tc>
      </w:tr>
      <w:tr w:rsidR="005E000F" w14:paraId="11D3FF63" w14:textId="77777777">
        <w:tc>
          <w:tcPr>
            <w:tcW w:w="3507" w:type="dxa"/>
            <w:tcBorders>
              <w:top w:val="outset" w:sz="4" w:space="0" w:color="auto"/>
              <w:left w:val="outset" w:sz="4" w:space="0" w:color="auto"/>
              <w:bottom w:val="outset" w:sz="4" w:space="0" w:color="auto"/>
              <w:right w:val="outset" w:sz="4" w:space="0" w:color="auto"/>
            </w:tcBorders>
            <w:vAlign w:val="center"/>
          </w:tcPr>
          <w:p w14:paraId="55FB1B6F" w14:textId="77777777" w:rsidR="005E000F" w:rsidRDefault="00000000">
            <w:pPr>
              <w:ind w:firstLineChars="300" w:firstLine="630"/>
            </w:pPr>
            <w:r>
              <w:rPr>
                <w:rFonts w:hint="eastAsia"/>
              </w:rPr>
              <w:t>管理费用</w:t>
            </w:r>
          </w:p>
        </w:tc>
        <w:tc>
          <w:tcPr>
            <w:tcW w:w="1516" w:type="dxa"/>
            <w:tcBorders>
              <w:top w:val="outset" w:sz="4" w:space="0" w:color="auto"/>
              <w:left w:val="outset" w:sz="4" w:space="0" w:color="auto"/>
              <w:bottom w:val="outset" w:sz="4" w:space="0" w:color="auto"/>
              <w:right w:val="outset" w:sz="4" w:space="0" w:color="auto"/>
            </w:tcBorders>
            <w:vAlign w:val="center"/>
          </w:tcPr>
          <w:p w14:paraId="1D584F96" w14:textId="77777777" w:rsidR="005E000F" w:rsidRDefault="00000000">
            <w:r>
              <w:rPr>
                <w:rFonts w:hint="eastAsia"/>
              </w:rPr>
              <w:t>七、</w:t>
            </w:r>
            <w:r>
              <w:t>64</w:t>
            </w:r>
          </w:p>
        </w:tc>
        <w:tc>
          <w:tcPr>
            <w:tcW w:w="2008" w:type="dxa"/>
            <w:tcBorders>
              <w:top w:val="outset" w:sz="4" w:space="0" w:color="auto"/>
              <w:left w:val="outset" w:sz="4" w:space="0" w:color="auto"/>
              <w:bottom w:val="outset" w:sz="4" w:space="0" w:color="auto"/>
              <w:right w:val="outset" w:sz="4" w:space="0" w:color="auto"/>
            </w:tcBorders>
            <w:vAlign w:val="center"/>
          </w:tcPr>
          <w:p w14:paraId="5FF1F44C" w14:textId="77777777" w:rsidR="005E000F" w:rsidRDefault="00000000">
            <w:pPr>
              <w:jc w:val="right"/>
            </w:pPr>
            <w:r>
              <w:t>918,712,161</w:t>
            </w:r>
          </w:p>
        </w:tc>
        <w:tc>
          <w:tcPr>
            <w:tcW w:w="2018" w:type="dxa"/>
            <w:tcBorders>
              <w:top w:val="outset" w:sz="4" w:space="0" w:color="auto"/>
              <w:left w:val="outset" w:sz="4" w:space="0" w:color="auto"/>
              <w:bottom w:val="outset" w:sz="4" w:space="0" w:color="auto"/>
              <w:right w:val="outset" w:sz="4" w:space="0" w:color="auto"/>
            </w:tcBorders>
            <w:vAlign w:val="center"/>
          </w:tcPr>
          <w:p w14:paraId="6035FA66" w14:textId="77777777" w:rsidR="005E000F" w:rsidRDefault="00000000">
            <w:pPr>
              <w:jc w:val="right"/>
            </w:pPr>
            <w:r>
              <w:rPr>
                <w:rFonts w:hint="eastAsia"/>
              </w:rPr>
              <w:t>517,713,928</w:t>
            </w:r>
          </w:p>
        </w:tc>
      </w:tr>
      <w:tr w:rsidR="005E000F" w14:paraId="37006FE9" w14:textId="77777777">
        <w:tc>
          <w:tcPr>
            <w:tcW w:w="3507" w:type="dxa"/>
            <w:tcBorders>
              <w:top w:val="outset" w:sz="4" w:space="0" w:color="auto"/>
              <w:left w:val="outset" w:sz="4" w:space="0" w:color="auto"/>
              <w:bottom w:val="outset" w:sz="4" w:space="0" w:color="auto"/>
              <w:right w:val="outset" w:sz="4" w:space="0" w:color="auto"/>
            </w:tcBorders>
            <w:vAlign w:val="center"/>
          </w:tcPr>
          <w:p w14:paraId="0CF934C3" w14:textId="77777777" w:rsidR="005E000F" w:rsidRDefault="00000000">
            <w:pPr>
              <w:ind w:firstLineChars="300" w:firstLine="630"/>
            </w:pPr>
            <w:r>
              <w:rPr>
                <w:rFonts w:hint="eastAsia"/>
              </w:rPr>
              <w:t>研发费用</w:t>
            </w:r>
          </w:p>
        </w:tc>
        <w:tc>
          <w:tcPr>
            <w:tcW w:w="1516" w:type="dxa"/>
            <w:tcBorders>
              <w:top w:val="outset" w:sz="4" w:space="0" w:color="auto"/>
              <w:left w:val="outset" w:sz="4" w:space="0" w:color="auto"/>
              <w:bottom w:val="outset" w:sz="4" w:space="0" w:color="auto"/>
              <w:right w:val="outset" w:sz="4" w:space="0" w:color="auto"/>
            </w:tcBorders>
            <w:vAlign w:val="center"/>
          </w:tcPr>
          <w:p w14:paraId="4F69CE5E"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91EC876" w14:textId="77777777" w:rsidR="005E000F" w:rsidRDefault="00000000">
            <w:pPr>
              <w:jc w:val="right"/>
            </w:pPr>
            <w:r>
              <w:t>11,719,039</w:t>
            </w:r>
          </w:p>
        </w:tc>
        <w:tc>
          <w:tcPr>
            <w:tcW w:w="2018" w:type="dxa"/>
            <w:tcBorders>
              <w:top w:val="outset" w:sz="4" w:space="0" w:color="auto"/>
              <w:left w:val="outset" w:sz="4" w:space="0" w:color="auto"/>
              <w:bottom w:val="outset" w:sz="4" w:space="0" w:color="auto"/>
              <w:right w:val="outset" w:sz="4" w:space="0" w:color="auto"/>
            </w:tcBorders>
            <w:vAlign w:val="center"/>
          </w:tcPr>
          <w:p w14:paraId="1CFD2851" w14:textId="77777777" w:rsidR="005E000F" w:rsidRDefault="00000000">
            <w:pPr>
              <w:jc w:val="right"/>
            </w:pPr>
            <w:r>
              <w:rPr>
                <w:rFonts w:hint="eastAsia"/>
              </w:rPr>
              <w:t>7,567,164</w:t>
            </w:r>
          </w:p>
        </w:tc>
      </w:tr>
      <w:tr w:rsidR="005E000F" w14:paraId="6914C89F" w14:textId="77777777">
        <w:tc>
          <w:tcPr>
            <w:tcW w:w="3507" w:type="dxa"/>
            <w:tcBorders>
              <w:top w:val="outset" w:sz="4" w:space="0" w:color="auto"/>
              <w:left w:val="outset" w:sz="4" w:space="0" w:color="auto"/>
              <w:bottom w:val="outset" w:sz="4" w:space="0" w:color="auto"/>
              <w:right w:val="outset" w:sz="4" w:space="0" w:color="auto"/>
            </w:tcBorders>
            <w:vAlign w:val="center"/>
          </w:tcPr>
          <w:p w14:paraId="26D2183C" w14:textId="77777777" w:rsidR="005E000F" w:rsidRDefault="00000000">
            <w:pPr>
              <w:ind w:firstLineChars="300" w:firstLine="630"/>
            </w:pPr>
            <w:r>
              <w:rPr>
                <w:rFonts w:hint="eastAsia"/>
              </w:rPr>
              <w:t>财务费用</w:t>
            </w:r>
          </w:p>
        </w:tc>
        <w:tc>
          <w:tcPr>
            <w:tcW w:w="1516" w:type="dxa"/>
            <w:tcBorders>
              <w:top w:val="outset" w:sz="4" w:space="0" w:color="auto"/>
              <w:left w:val="outset" w:sz="4" w:space="0" w:color="auto"/>
              <w:bottom w:val="outset" w:sz="4" w:space="0" w:color="auto"/>
              <w:right w:val="outset" w:sz="4" w:space="0" w:color="auto"/>
            </w:tcBorders>
            <w:vAlign w:val="center"/>
          </w:tcPr>
          <w:p w14:paraId="64F8806C" w14:textId="77777777" w:rsidR="005E000F" w:rsidRDefault="00000000">
            <w:r>
              <w:rPr>
                <w:rFonts w:hint="eastAsia"/>
              </w:rPr>
              <w:t>七、</w:t>
            </w:r>
            <w:r>
              <w:t>66</w:t>
            </w:r>
          </w:p>
        </w:tc>
        <w:tc>
          <w:tcPr>
            <w:tcW w:w="2008" w:type="dxa"/>
            <w:tcBorders>
              <w:top w:val="outset" w:sz="4" w:space="0" w:color="auto"/>
              <w:left w:val="outset" w:sz="4" w:space="0" w:color="auto"/>
              <w:bottom w:val="outset" w:sz="4" w:space="0" w:color="auto"/>
              <w:right w:val="outset" w:sz="4" w:space="0" w:color="auto"/>
            </w:tcBorders>
            <w:vAlign w:val="center"/>
          </w:tcPr>
          <w:p w14:paraId="2C63AC24" w14:textId="77777777" w:rsidR="005E000F" w:rsidRDefault="00000000">
            <w:pPr>
              <w:jc w:val="right"/>
            </w:pPr>
            <w:r>
              <w:t>-296,022,107</w:t>
            </w:r>
          </w:p>
        </w:tc>
        <w:tc>
          <w:tcPr>
            <w:tcW w:w="2018" w:type="dxa"/>
            <w:tcBorders>
              <w:top w:val="outset" w:sz="4" w:space="0" w:color="auto"/>
              <w:left w:val="outset" w:sz="4" w:space="0" w:color="auto"/>
              <w:bottom w:val="outset" w:sz="4" w:space="0" w:color="auto"/>
              <w:right w:val="outset" w:sz="4" w:space="0" w:color="auto"/>
            </w:tcBorders>
            <w:vAlign w:val="center"/>
          </w:tcPr>
          <w:p w14:paraId="06CFB30E" w14:textId="77777777" w:rsidR="005E000F" w:rsidRDefault="00000000">
            <w:pPr>
              <w:jc w:val="right"/>
            </w:pPr>
            <w:r>
              <w:rPr>
                <w:rFonts w:hint="eastAsia"/>
              </w:rPr>
              <w:t>13,716,097</w:t>
            </w:r>
          </w:p>
        </w:tc>
      </w:tr>
      <w:tr w:rsidR="005E000F" w14:paraId="029528B9" w14:textId="77777777">
        <w:tc>
          <w:tcPr>
            <w:tcW w:w="3507" w:type="dxa"/>
            <w:tcBorders>
              <w:top w:val="outset" w:sz="4" w:space="0" w:color="auto"/>
              <w:left w:val="outset" w:sz="4" w:space="0" w:color="auto"/>
              <w:bottom w:val="outset" w:sz="4" w:space="0" w:color="auto"/>
              <w:right w:val="outset" w:sz="4" w:space="0" w:color="auto"/>
            </w:tcBorders>
            <w:vAlign w:val="center"/>
          </w:tcPr>
          <w:p w14:paraId="5D615FDD" w14:textId="77777777" w:rsidR="005E000F" w:rsidRDefault="00000000">
            <w:pPr>
              <w:ind w:firstLineChars="300" w:firstLine="630"/>
            </w:pPr>
            <w:r>
              <w:rPr>
                <w:rFonts w:hint="eastAsia"/>
              </w:rPr>
              <w:t>其中：利息费用</w:t>
            </w:r>
          </w:p>
        </w:tc>
        <w:tc>
          <w:tcPr>
            <w:tcW w:w="1516" w:type="dxa"/>
            <w:tcBorders>
              <w:top w:val="outset" w:sz="4" w:space="0" w:color="auto"/>
              <w:left w:val="outset" w:sz="4" w:space="0" w:color="auto"/>
              <w:bottom w:val="outset" w:sz="4" w:space="0" w:color="auto"/>
              <w:right w:val="outset" w:sz="4" w:space="0" w:color="auto"/>
            </w:tcBorders>
            <w:vAlign w:val="center"/>
          </w:tcPr>
          <w:p w14:paraId="7BA794E5"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7081FCF" w14:textId="77777777" w:rsidR="005E000F" w:rsidRDefault="00000000">
            <w:pPr>
              <w:jc w:val="right"/>
            </w:pPr>
            <w:r>
              <w:t>375,443,621</w:t>
            </w:r>
          </w:p>
        </w:tc>
        <w:tc>
          <w:tcPr>
            <w:tcW w:w="2018" w:type="dxa"/>
            <w:tcBorders>
              <w:top w:val="outset" w:sz="4" w:space="0" w:color="auto"/>
              <w:left w:val="outset" w:sz="4" w:space="0" w:color="auto"/>
              <w:bottom w:val="outset" w:sz="4" w:space="0" w:color="auto"/>
              <w:right w:val="outset" w:sz="4" w:space="0" w:color="auto"/>
            </w:tcBorders>
            <w:vAlign w:val="center"/>
          </w:tcPr>
          <w:p w14:paraId="3DB9238A" w14:textId="77777777" w:rsidR="005E000F" w:rsidRDefault="00000000">
            <w:pPr>
              <w:jc w:val="right"/>
            </w:pPr>
            <w:r>
              <w:rPr>
                <w:rFonts w:hint="eastAsia"/>
              </w:rPr>
              <w:t>900,739,256</w:t>
            </w:r>
          </w:p>
        </w:tc>
      </w:tr>
      <w:tr w:rsidR="005E000F" w14:paraId="21D73A7D" w14:textId="77777777">
        <w:tc>
          <w:tcPr>
            <w:tcW w:w="3507" w:type="dxa"/>
            <w:tcBorders>
              <w:top w:val="outset" w:sz="4" w:space="0" w:color="auto"/>
              <w:left w:val="outset" w:sz="4" w:space="0" w:color="auto"/>
              <w:bottom w:val="outset" w:sz="4" w:space="0" w:color="auto"/>
              <w:right w:val="outset" w:sz="4" w:space="0" w:color="auto"/>
            </w:tcBorders>
            <w:vAlign w:val="center"/>
          </w:tcPr>
          <w:p w14:paraId="2F47EE8A" w14:textId="77777777" w:rsidR="005E000F" w:rsidRDefault="00000000">
            <w:pPr>
              <w:ind w:firstLineChars="600" w:firstLine="1260"/>
            </w:pPr>
            <w:r>
              <w:rPr>
                <w:rFonts w:hint="eastAsia"/>
              </w:rPr>
              <w:t>利息收入</w:t>
            </w:r>
          </w:p>
        </w:tc>
        <w:tc>
          <w:tcPr>
            <w:tcW w:w="1516" w:type="dxa"/>
            <w:tcBorders>
              <w:top w:val="outset" w:sz="4" w:space="0" w:color="auto"/>
              <w:left w:val="outset" w:sz="4" w:space="0" w:color="auto"/>
              <w:bottom w:val="outset" w:sz="4" w:space="0" w:color="auto"/>
              <w:right w:val="outset" w:sz="4" w:space="0" w:color="auto"/>
            </w:tcBorders>
            <w:vAlign w:val="center"/>
          </w:tcPr>
          <w:p w14:paraId="7596F9DA"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BFC093F" w14:textId="77777777" w:rsidR="005E000F" w:rsidRDefault="00000000">
            <w:pPr>
              <w:jc w:val="right"/>
            </w:pPr>
            <w:r>
              <w:t>741,196,197</w:t>
            </w:r>
          </w:p>
        </w:tc>
        <w:tc>
          <w:tcPr>
            <w:tcW w:w="2018" w:type="dxa"/>
            <w:tcBorders>
              <w:top w:val="outset" w:sz="4" w:space="0" w:color="auto"/>
              <w:left w:val="outset" w:sz="4" w:space="0" w:color="auto"/>
              <w:bottom w:val="outset" w:sz="4" w:space="0" w:color="auto"/>
              <w:right w:val="outset" w:sz="4" w:space="0" w:color="auto"/>
            </w:tcBorders>
            <w:vAlign w:val="center"/>
          </w:tcPr>
          <w:p w14:paraId="4EFB82D6" w14:textId="77777777" w:rsidR="005E000F" w:rsidRDefault="00000000">
            <w:pPr>
              <w:jc w:val="right"/>
            </w:pPr>
            <w:r>
              <w:rPr>
                <w:rFonts w:hint="eastAsia"/>
              </w:rPr>
              <w:t>953,173,688</w:t>
            </w:r>
          </w:p>
        </w:tc>
      </w:tr>
      <w:tr w:rsidR="005E000F" w14:paraId="78DC16D7" w14:textId="77777777">
        <w:tc>
          <w:tcPr>
            <w:tcW w:w="3507" w:type="dxa"/>
            <w:tcBorders>
              <w:top w:val="outset" w:sz="4" w:space="0" w:color="auto"/>
              <w:left w:val="outset" w:sz="4" w:space="0" w:color="auto"/>
              <w:bottom w:val="outset" w:sz="4" w:space="0" w:color="auto"/>
              <w:right w:val="outset" w:sz="4" w:space="0" w:color="auto"/>
            </w:tcBorders>
            <w:vAlign w:val="center"/>
          </w:tcPr>
          <w:p w14:paraId="58EB92B8" w14:textId="77777777" w:rsidR="005E000F" w:rsidRDefault="00000000">
            <w:pPr>
              <w:ind w:firstLineChars="100" w:firstLine="210"/>
            </w:pPr>
            <w:r>
              <w:rPr>
                <w:rFonts w:hint="eastAsia"/>
              </w:rPr>
              <w:t>加：其他收益</w:t>
            </w:r>
          </w:p>
        </w:tc>
        <w:tc>
          <w:tcPr>
            <w:tcW w:w="1516" w:type="dxa"/>
            <w:tcBorders>
              <w:top w:val="outset" w:sz="4" w:space="0" w:color="auto"/>
              <w:left w:val="outset" w:sz="4" w:space="0" w:color="auto"/>
              <w:bottom w:val="outset" w:sz="4" w:space="0" w:color="auto"/>
              <w:right w:val="outset" w:sz="4" w:space="0" w:color="auto"/>
            </w:tcBorders>
            <w:vAlign w:val="center"/>
          </w:tcPr>
          <w:p w14:paraId="6068775B" w14:textId="77777777" w:rsidR="005E000F" w:rsidRDefault="00000000">
            <w:r>
              <w:rPr>
                <w:rFonts w:hint="eastAsia"/>
              </w:rPr>
              <w:t>七、</w:t>
            </w:r>
            <w:r>
              <w:t>67</w:t>
            </w:r>
          </w:p>
        </w:tc>
        <w:tc>
          <w:tcPr>
            <w:tcW w:w="2008" w:type="dxa"/>
            <w:tcBorders>
              <w:top w:val="outset" w:sz="4" w:space="0" w:color="auto"/>
              <w:left w:val="outset" w:sz="4" w:space="0" w:color="auto"/>
              <w:bottom w:val="outset" w:sz="4" w:space="0" w:color="auto"/>
              <w:right w:val="outset" w:sz="4" w:space="0" w:color="auto"/>
            </w:tcBorders>
            <w:vAlign w:val="center"/>
          </w:tcPr>
          <w:p w14:paraId="22B7C816" w14:textId="77777777" w:rsidR="005E000F" w:rsidRDefault="00000000">
            <w:pPr>
              <w:jc w:val="right"/>
            </w:pPr>
            <w:r>
              <w:t>124,916,246</w:t>
            </w:r>
          </w:p>
        </w:tc>
        <w:tc>
          <w:tcPr>
            <w:tcW w:w="2018" w:type="dxa"/>
            <w:tcBorders>
              <w:top w:val="outset" w:sz="4" w:space="0" w:color="auto"/>
              <w:left w:val="outset" w:sz="4" w:space="0" w:color="auto"/>
              <w:bottom w:val="outset" w:sz="4" w:space="0" w:color="auto"/>
              <w:right w:val="outset" w:sz="4" w:space="0" w:color="auto"/>
            </w:tcBorders>
            <w:vAlign w:val="center"/>
          </w:tcPr>
          <w:p w14:paraId="7F83A84A" w14:textId="77777777" w:rsidR="005E000F" w:rsidRDefault="00000000">
            <w:pPr>
              <w:jc w:val="right"/>
            </w:pPr>
            <w:r>
              <w:rPr>
                <w:rFonts w:hint="eastAsia"/>
              </w:rPr>
              <w:t>96,449,800</w:t>
            </w:r>
          </w:p>
        </w:tc>
      </w:tr>
      <w:tr w:rsidR="005E000F" w14:paraId="0CE94C3D" w14:textId="77777777">
        <w:tc>
          <w:tcPr>
            <w:tcW w:w="3507" w:type="dxa"/>
            <w:tcBorders>
              <w:top w:val="outset" w:sz="4" w:space="0" w:color="auto"/>
              <w:left w:val="outset" w:sz="4" w:space="0" w:color="auto"/>
              <w:bottom w:val="outset" w:sz="4" w:space="0" w:color="auto"/>
              <w:right w:val="outset" w:sz="4" w:space="0" w:color="auto"/>
            </w:tcBorders>
            <w:vAlign w:val="center"/>
          </w:tcPr>
          <w:p w14:paraId="2E652EF7" w14:textId="77777777" w:rsidR="005E000F" w:rsidRDefault="00000000">
            <w:pPr>
              <w:ind w:firstLineChars="300" w:firstLine="630"/>
            </w:pPr>
            <w:r>
              <w:rPr>
                <w:rFonts w:hint="eastAsia"/>
              </w:rPr>
              <w:t>投资收益（损失以“－”号填列）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7AC7931E" w14:textId="77777777" w:rsidR="005E000F" w:rsidRDefault="00000000">
            <w:r>
              <w:rPr>
                <w:rFonts w:hint="eastAsia"/>
              </w:rPr>
              <w:t>七、</w:t>
            </w:r>
            <w:r>
              <w:t>68</w:t>
            </w:r>
          </w:p>
        </w:tc>
        <w:tc>
          <w:tcPr>
            <w:tcW w:w="2008" w:type="dxa"/>
            <w:tcBorders>
              <w:top w:val="outset" w:sz="4" w:space="0" w:color="auto"/>
              <w:left w:val="outset" w:sz="4" w:space="0" w:color="auto"/>
              <w:bottom w:val="outset" w:sz="4" w:space="0" w:color="auto"/>
              <w:right w:val="outset" w:sz="4" w:space="0" w:color="auto"/>
            </w:tcBorders>
            <w:vAlign w:val="center"/>
          </w:tcPr>
          <w:p w14:paraId="5563DA7C" w14:textId="77777777" w:rsidR="005E000F" w:rsidRDefault="00000000">
            <w:pPr>
              <w:jc w:val="right"/>
            </w:pPr>
            <w:r>
              <w:t>2,741,531,845</w:t>
            </w:r>
          </w:p>
        </w:tc>
        <w:tc>
          <w:tcPr>
            <w:tcW w:w="2018" w:type="dxa"/>
            <w:tcBorders>
              <w:top w:val="outset" w:sz="4" w:space="0" w:color="auto"/>
              <w:left w:val="outset" w:sz="4" w:space="0" w:color="auto"/>
              <w:bottom w:val="outset" w:sz="4" w:space="0" w:color="auto"/>
              <w:right w:val="outset" w:sz="4" w:space="0" w:color="auto"/>
            </w:tcBorders>
            <w:vAlign w:val="center"/>
          </w:tcPr>
          <w:p w14:paraId="72C1B929" w14:textId="77777777" w:rsidR="005E000F" w:rsidRDefault="00000000">
            <w:pPr>
              <w:jc w:val="right"/>
            </w:pPr>
            <w:r>
              <w:rPr>
                <w:rFonts w:hint="eastAsia"/>
              </w:rPr>
              <w:t>2,781,563,723</w:t>
            </w:r>
          </w:p>
        </w:tc>
      </w:tr>
      <w:tr w:rsidR="005E000F" w14:paraId="5D74E2FA" w14:textId="77777777">
        <w:tc>
          <w:tcPr>
            <w:tcW w:w="3507" w:type="dxa"/>
            <w:tcBorders>
              <w:top w:val="outset" w:sz="4" w:space="0" w:color="auto"/>
              <w:left w:val="outset" w:sz="4" w:space="0" w:color="auto"/>
              <w:bottom w:val="outset" w:sz="4" w:space="0" w:color="auto"/>
              <w:right w:val="outset" w:sz="4" w:space="0" w:color="auto"/>
            </w:tcBorders>
            <w:vAlign w:val="center"/>
          </w:tcPr>
          <w:p w14:paraId="6D1E7AD4" w14:textId="77777777" w:rsidR="005E000F" w:rsidRDefault="00000000">
            <w:pPr>
              <w:ind w:firstLineChars="300" w:firstLine="630"/>
            </w:pPr>
            <w:r>
              <w:rPr>
                <w:rFonts w:hint="eastAsia"/>
              </w:rPr>
              <w:lastRenderedPageBreak/>
              <w:t>其中：对联营企业和合营企业的投资收益</w:t>
            </w:r>
          </w:p>
        </w:tc>
        <w:tc>
          <w:tcPr>
            <w:tcW w:w="1516" w:type="dxa"/>
            <w:tcBorders>
              <w:top w:val="outset" w:sz="4" w:space="0" w:color="auto"/>
              <w:left w:val="outset" w:sz="4" w:space="0" w:color="auto"/>
              <w:bottom w:val="outset" w:sz="4" w:space="0" w:color="auto"/>
              <w:right w:val="outset" w:sz="4" w:space="0" w:color="auto"/>
            </w:tcBorders>
            <w:vAlign w:val="center"/>
          </w:tcPr>
          <w:p w14:paraId="455AF979"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E216482" w14:textId="77777777" w:rsidR="005E000F" w:rsidRDefault="00000000">
            <w:pPr>
              <w:jc w:val="right"/>
            </w:pPr>
            <w:r>
              <w:t>2,737,898,095</w:t>
            </w:r>
          </w:p>
        </w:tc>
        <w:tc>
          <w:tcPr>
            <w:tcW w:w="2018" w:type="dxa"/>
            <w:tcBorders>
              <w:top w:val="outset" w:sz="4" w:space="0" w:color="auto"/>
              <w:left w:val="outset" w:sz="4" w:space="0" w:color="auto"/>
              <w:bottom w:val="outset" w:sz="4" w:space="0" w:color="auto"/>
              <w:right w:val="outset" w:sz="4" w:space="0" w:color="auto"/>
            </w:tcBorders>
            <w:vAlign w:val="center"/>
          </w:tcPr>
          <w:p w14:paraId="7219A8FD" w14:textId="77777777" w:rsidR="005E000F" w:rsidRDefault="00000000">
            <w:pPr>
              <w:jc w:val="right"/>
            </w:pPr>
            <w:r>
              <w:rPr>
                <w:rFonts w:hint="eastAsia"/>
              </w:rPr>
              <w:t>2,778,014,235</w:t>
            </w:r>
          </w:p>
        </w:tc>
      </w:tr>
      <w:tr w:rsidR="005E000F" w14:paraId="17137220" w14:textId="77777777">
        <w:tc>
          <w:tcPr>
            <w:tcW w:w="3507" w:type="dxa"/>
            <w:tcBorders>
              <w:top w:val="outset" w:sz="4" w:space="0" w:color="auto"/>
              <w:left w:val="outset" w:sz="4" w:space="0" w:color="auto"/>
              <w:bottom w:val="outset" w:sz="4" w:space="0" w:color="auto"/>
              <w:right w:val="outset" w:sz="4" w:space="0" w:color="auto"/>
            </w:tcBorders>
            <w:vAlign w:val="center"/>
          </w:tcPr>
          <w:p w14:paraId="68346E67" w14:textId="77777777" w:rsidR="005E000F" w:rsidRDefault="00000000">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tc>
          <w:tcPr>
            <w:tcW w:w="1516" w:type="dxa"/>
            <w:tcBorders>
              <w:top w:val="outset" w:sz="4" w:space="0" w:color="auto"/>
              <w:left w:val="outset" w:sz="4" w:space="0" w:color="auto"/>
              <w:bottom w:val="outset" w:sz="4" w:space="0" w:color="auto"/>
              <w:right w:val="outset" w:sz="4" w:space="0" w:color="auto"/>
            </w:tcBorders>
            <w:vAlign w:val="center"/>
          </w:tcPr>
          <w:p w14:paraId="3E7C609A"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492BF19"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4CBA030A" w14:textId="77777777" w:rsidR="005E000F" w:rsidRDefault="00000000">
            <w:pPr>
              <w:jc w:val="right"/>
            </w:pPr>
            <w:r>
              <w:rPr>
                <w:rFonts w:hint="eastAsia"/>
              </w:rPr>
              <w:t>0</w:t>
            </w:r>
          </w:p>
        </w:tc>
      </w:tr>
      <w:tr w:rsidR="005E000F" w14:paraId="64FBB0F7" w14:textId="77777777">
        <w:tc>
          <w:tcPr>
            <w:tcW w:w="3507" w:type="dxa"/>
            <w:tcBorders>
              <w:top w:val="outset" w:sz="4" w:space="0" w:color="auto"/>
              <w:left w:val="outset" w:sz="4" w:space="0" w:color="auto"/>
              <w:bottom w:val="outset" w:sz="4" w:space="0" w:color="auto"/>
              <w:right w:val="outset" w:sz="4" w:space="0" w:color="auto"/>
            </w:tcBorders>
            <w:vAlign w:val="center"/>
          </w:tcPr>
          <w:p w14:paraId="600DE0C8" w14:textId="77777777" w:rsidR="005E000F" w:rsidRDefault="00000000">
            <w:pPr>
              <w:ind w:firstLineChars="300" w:firstLine="630"/>
            </w:pPr>
            <w:r>
              <w:rPr>
                <w:rFonts w:hint="eastAsia"/>
              </w:rPr>
              <w:t>汇兑收益（损失以“－”号填列）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0F754A7A"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1B6DA6D"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7EE65299" w14:textId="77777777" w:rsidR="005E000F" w:rsidRDefault="00000000">
            <w:pPr>
              <w:jc w:val="right"/>
            </w:pPr>
            <w:r>
              <w:rPr>
                <w:rFonts w:hint="eastAsia"/>
              </w:rPr>
              <w:t>0</w:t>
            </w:r>
          </w:p>
        </w:tc>
      </w:tr>
      <w:tr w:rsidR="005E000F" w14:paraId="6CA0ED99" w14:textId="77777777">
        <w:tc>
          <w:tcPr>
            <w:tcW w:w="3507" w:type="dxa"/>
            <w:tcBorders>
              <w:top w:val="outset" w:sz="4" w:space="0" w:color="auto"/>
              <w:left w:val="outset" w:sz="4" w:space="0" w:color="auto"/>
              <w:bottom w:val="outset" w:sz="4" w:space="0" w:color="auto"/>
              <w:right w:val="outset" w:sz="4" w:space="0" w:color="auto"/>
            </w:tcBorders>
            <w:vAlign w:val="center"/>
          </w:tcPr>
          <w:p w14:paraId="26C0D776" w14:textId="77777777" w:rsidR="005E000F" w:rsidRDefault="00000000">
            <w:pPr>
              <w:ind w:firstLineChars="300" w:firstLine="630"/>
            </w:pPr>
            <w:r>
              <w:rPr>
                <w:rFonts w:hint="eastAsia"/>
              </w:rPr>
              <w:t>净敞口套期收益（损失以“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4F169AA4"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1375813"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333AAA38" w14:textId="77777777" w:rsidR="005E000F" w:rsidRDefault="00000000">
            <w:pPr>
              <w:jc w:val="right"/>
            </w:pPr>
            <w:r>
              <w:rPr>
                <w:rFonts w:hint="eastAsia"/>
              </w:rPr>
              <w:t>0</w:t>
            </w:r>
          </w:p>
        </w:tc>
      </w:tr>
      <w:tr w:rsidR="005E000F" w14:paraId="0B4BDE05" w14:textId="77777777">
        <w:tc>
          <w:tcPr>
            <w:tcW w:w="3507" w:type="dxa"/>
            <w:tcBorders>
              <w:top w:val="outset" w:sz="4" w:space="0" w:color="auto"/>
              <w:left w:val="outset" w:sz="4" w:space="0" w:color="auto"/>
              <w:bottom w:val="outset" w:sz="4" w:space="0" w:color="auto"/>
              <w:right w:val="outset" w:sz="4" w:space="0" w:color="auto"/>
            </w:tcBorders>
            <w:vAlign w:val="center"/>
          </w:tcPr>
          <w:p w14:paraId="74C7FCD1" w14:textId="77777777" w:rsidR="005E000F" w:rsidRDefault="00000000">
            <w:pPr>
              <w:ind w:firstLineChars="300" w:firstLine="630"/>
              <w:rPr>
                <w:color w:val="000000"/>
              </w:rPr>
            </w:pPr>
            <w:r>
              <w:rPr>
                <w:rFonts w:hint="eastAsia"/>
              </w:rPr>
              <w:t>公允价值变动收益（损失以“－”号填列）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373AD00B"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64C020C"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0CF76E37" w14:textId="77777777" w:rsidR="005E000F" w:rsidRDefault="00000000">
            <w:pPr>
              <w:jc w:val="right"/>
            </w:pPr>
            <w:r>
              <w:rPr>
                <w:rFonts w:hint="eastAsia"/>
              </w:rPr>
              <w:t>0</w:t>
            </w:r>
          </w:p>
        </w:tc>
      </w:tr>
      <w:tr w:rsidR="005E000F" w14:paraId="631583F2" w14:textId="77777777">
        <w:tc>
          <w:tcPr>
            <w:tcW w:w="3507" w:type="dxa"/>
            <w:tcBorders>
              <w:top w:val="outset" w:sz="4" w:space="0" w:color="auto"/>
              <w:left w:val="outset" w:sz="4" w:space="0" w:color="auto"/>
              <w:bottom w:val="outset" w:sz="4" w:space="0" w:color="auto"/>
              <w:right w:val="outset" w:sz="4" w:space="0" w:color="auto"/>
            </w:tcBorders>
            <w:vAlign w:val="center"/>
          </w:tcPr>
          <w:p w14:paraId="78911578" w14:textId="77777777" w:rsidR="005E000F" w:rsidRDefault="00000000">
            <w:pPr>
              <w:ind w:firstLineChars="300" w:firstLine="630"/>
            </w:pPr>
            <w:r>
              <w:rPr>
                <w:rFonts w:hint="eastAsia"/>
              </w:rPr>
              <w:t>信用减值损失（损失以“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70F18A83" w14:textId="77777777" w:rsidR="005E000F" w:rsidRDefault="00000000">
            <w:r>
              <w:rPr>
                <w:rFonts w:hint="eastAsia"/>
              </w:rPr>
              <w:t>七、</w:t>
            </w:r>
            <w:r>
              <w:t>71</w:t>
            </w:r>
          </w:p>
        </w:tc>
        <w:tc>
          <w:tcPr>
            <w:tcW w:w="2008" w:type="dxa"/>
            <w:tcBorders>
              <w:top w:val="outset" w:sz="4" w:space="0" w:color="auto"/>
              <w:left w:val="outset" w:sz="4" w:space="0" w:color="auto"/>
              <w:bottom w:val="outset" w:sz="4" w:space="0" w:color="auto"/>
              <w:right w:val="outset" w:sz="4" w:space="0" w:color="auto"/>
            </w:tcBorders>
            <w:vAlign w:val="center"/>
          </w:tcPr>
          <w:p w14:paraId="7D5BAF69" w14:textId="77777777" w:rsidR="005E000F" w:rsidRDefault="00000000">
            <w:pPr>
              <w:jc w:val="right"/>
            </w:pPr>
            <w:r>
              <w:t>53,249,803</w:t>
            </w:r>
          </w:p>
        </w:tc>
        <w:tc>
          <w:tcPr>
            <w:tcW w:w="2018" w:type="dxa"/>
            <w:tcBorders>
              <w:top w:val="outset" w:sz="4" w:space="0" w:color="auto"/>
              <w:left w:val="outset" w:sz="4" w:space="0" w:color="auto"/>
              <w:bottom w:val="outset" w:sz="4" w:space="0" w:color="auto"/>
              <w:right w:val="outset" w:sz="4" w:space="0" w:color="auto"/>
            </w:tcBorders>
            <w:vAlign w:val="center"/>
          </w:tcPr>
          <w:p w14:paraId="416537AB" w14:textId="77777777" w:rsidR="005E000F" w:rsidRDefault="00000000">
            <w:pPr>
              <w:jc w:val="right"/>
            </w:pPr>
            <w:r>
              <w:rPr>
                <w:rFonts w:hint="eastAsia"/>
              </w:rPr>
              <w:t>51,837,204</w:t>
            </w:r>
          </w:p>
        </w:tc>
      </w:tr>
      <w:tr w:rsidR="005E000F" w14:paraId="5F362A09" w14:textId="77777777">
        <w:tc>
          <w:tcPr>
            <w:tcW w:w="3507" w:type="dxa"/>
            <w:tcBorders>
              <w:top w:val="outset" w:sz="4" w:space="0" w:color="auto"/>
              <w:left w:val="outset" w:sz="4" w:space="0" w:color="auto"/>
              <w:bottom w:val="outset" w:sz="4" w:space="0" w:color="auto"/>
              <w:right w:val="outset" w:sz="4" w:space="0" w:color="auto"/>
            </w:tcBorders>
            <w:vAlign w:val="center"/>
          </w:tcPr>
          <w:p w14:paraId="4B73B92C" w14:textId="77777777" w:rsidR="005E000F" w:rsidRDefault="00000000">
            <w:pPr>
              <w:ind w:firstLineChars="300" w:firstLine="630"/>
            </w:pPr>
            <w:r>
              <w:rPr>
                <w:rFonts w:hint="eastAsia"/>
              </w:rPr>
              <w:t>资产减值损失（损失以“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3193BA28" w14:textId="77777777" w:rsidR="005E000F" w:rsidRDefault="005E000F">
            <w:pPr>
              <w:rPr>
                <w:highlight w:val="yellow"/>
              </w:rPr>
            </w:pPr>
          </w:p>
        </w:tc>
        <w:tc>
          <w:tcPr>
            <w:tcW w:w="2008" w:type="dxa"/>
            <w:tcBorders>
              <w:top w:val="outset" w:sz="4" w:space="0" w:color="auto"/>
              <w:left w:val="outset" w:sz="4" w:space="0" w:color="auto"/>
              <w:bottom w:val="outset" w:sz="4" w:space="0" w:color="auto"/>
              <w:right w:val="outset" w:sz="4" w:space="0" w:color="auto"/>
            </w:tcBorders>
            <w:vAlign w:val="center"/>
          </w:tcPr>
          <w:p w14:paraId="0B595CF6" w14:textId="77777777" w:rsidR="005E000F" w:rsidRDefault="00000000">
            <w:pPr>
              <w:jc w:val="right"/>
            </w:pPr>
            <w:r>
              <w:t>-6,568,260</w:t>
            </w:r>
          </w:p>
        </w:tc>
        <w:tc>
          <w:tcPr>
            <w:tcW w:w="2018" w:type="dxa"/>
            <w:tcBorders>
              <w:top w:val="outset" w:sz="4" w:space="0" w:color="auto"/>
              <w:left w:val="outset" w:sz="4" w:space="0" w:color="auto"/>
              <w:bottom w:val="outset" w:sz="4" w:space="0" w:color="auto"/>
              <w:right w:val="outset" w:sz="4" w:space="0" w:color="auto"/>
            </w:tcBorders>
            <w:vAlign w:val="center"/>
          </w:tcPr>
          <w:p w14:paraId="7E500754" w14:textId="77777777" w:rsidR="005E000F" w:rsidRDefault="00000000">
            <w:pPr>
              <w:jc w:val="right"/>
            </w:pPr>
            <w:r>
              <w:rPr>
                <w:rFonts w:hint="eastAsia"/>
              </w:rPr>
              <w:t>0</w:t>
            </w:r>
          </w:p>
        </w:tc>
      </w:tr>
      <w:tr w:rsidR="005E000F" w14:paraId="57E4FDB3" w14:textId="77777777">
        <w:tc>
          <w:tcPr>
            <w:tcW w:w="3507" w:type="dxa"/>
            <w:tcBorders>
              <w:top w:val="outset" w:sz="4" w:space="0" w:color="auto"/>
              <w:left w:val="outset" w:sz="4" w:space="0" w:color="auto"/>
              <w:bottom w:val="outset" w:sz="4" w:space="0" w:color="auto"/>
              <w:right w:val="outset" w:sz="4" w:space="0" w:color="auto"/>
            </w:tcBorders>
            <w:vAlign w:val="center"/>
          </w:tcPr>
          <w:p w14:paraId="3BF77350" w14:textId="77777777" w:rsidR="005E000F" w:rsidRDefault="00000000">
            <w:pPr>
              <w:ind w:firstLineChars="300" w:firstLine="630"/>
            </w:pPr>
            <w:r>
              <w:rPr>
                <w:rFonts w:hint="eastAsia"/>
              </w:rPr>
              <w:t>资产处置收益（损失以“－”号填列）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1F0F87F3" w14:textId="77777777" w:rsidR="005E000F" w:rsidRDefault="005E000F">
            <w:pPr>
              <w:rPr>
                <w:highlight w:val="yellow"/>
              </w:rPr>
            </w:pPr>
          </w:p>
        </w:tc>
        <w:tc>
          <w:tcPr>
            <w:tcW w:w="2008" w:type="dxa"/>
            <w:tcBorders>
              <w:top w:val="outset" w:sz="4" w:space="0" w:color="auto"/>
              <w:left w:val="outset" w:sz="4" w:space="0" w:color="auto"/>
              <w:bottom w:val="outset" w:sz="4" w:space="0" w:color="auto"/>
              <w:right w:val="outset" w:sz="4" w:space="0" w:color="auto"/>
            </w:tcBorders>
            <w:vAlign w:val="center"/>
          </w:tcPr>
          <w:p w14:paraId="31DF3E7C" w14:textId="77777777" w:rsidR="005E000F" w:rsidRDefault="00000000">
            <w:pPr>
              <w:jc w:val="right"/>
            </w:pPr>
            <w:r>
              <w:t>936,847</w:t>
            </w:r>
          </w:p>
        </w:tc>
        <w:tc>
          <w:tcPr>
            <w:tcW w:w="2018" w:type="dxa"/>
            <w:tcBorders>
              <w:top w:val="outset" w:sz="4" w:space="0" w:color="auto"/>
              <w:left w:val="outset" w:sz="4" w:space="0" w:color="auto"/>
              <w:bottom w:val="outset" w:sz="4" w:space="0" w:color="auto"/>
              <w:right w:val="outset" w:sz="4" w:space="0" w:color="auto"/>
            </w:tcBorders>
            <w:vAlign w:val="center"/>
          </w:tcPr>
          <w:p w14:paraId="5C6CE047" w14:textId="77777777" w:rsidR="005E000F" w:rsidRDefault="00000000">
            <w:pPr>
              <w:jc w:val="right"/>
            </w:pPr>
            <w:r>
              <w:rPr>
                <w:rFonts w:hint="eastAsia"/>
              </w:rPr>
              <w:t>129,056</w:t>
            </w:r>
          </w:p>
        </w:tc>
      </w:tr>
      <w:tr w:rsidR="005E000F" w14:paraId="2013F7F1" w14:textId="77777777">
        <w:tc>
          <w:tcPr>
            <w:tcW w:w="3507" w:type="dxa"/>
            <w:tcBorders>
              <w:top w:val="outset" w:sz="4" w:space="0" w:color="auto"/>
              <w:left w:val="outset" w:sz="4" w:space="0" w:color="auto"/>
              <w:bottom w:val="outset" w:sz="4" w:space="0" w:color="auto"/>
              <w:right w:val="outset" w:sz="4" w:space="0" w:color="auto"/>
            </w:tcBorders>
            <w:vAlign w:val="center"/>
          </w:tcPr>
          <w:p w14:paraId="06E5AA2D" w14:textId="77777777" w:rsidR="005E000F" w:rsidRDefault="00000000">
            <w:pPr>
              <w:rPr>
                <w:color w:val="000000"/>
              </w:rPr>
            </w:pPr>
            <w:r>
              <w:rPr>
                <w:rFonts w:hint="eastAsia"/>
              </w:rPr>
              <w:t>三、营业利润（亏损以“－”号填列）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33BE344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2E8368D" w14:textId="77777777" w:rsidR="005E000F" w:rsidRDefault="00000000">
            <w:pPr>
              <w:jc w:val="right"/>
            </w:pPr>
            <w:r>
              <w:t>8,648,244,339</w:t>
            </w:r>
          </w:p>
        </w:tc>
        <w:tc>
          <w:tcPr>
            <w:tcW w:w="2018" w:type="dxa"/>
            <w:tcBorders>
              <w:top w:val="outset" w:sz="4" w:space="0" w:color="auto"/>
              <w:left w:val="outset" w:sz="4" w:space="0" w:color="auto"/>
              <w:bottom w:val="outset" w:sz="4" w:space="0" w:color="auto"/>
              <w:right w:val="outset" w:sz="4" w:space="0" w:color="auto"/>
            </w:tcBorders>
            <w:vAlign w:val="center"/>
          </w:tcPr>
          <w:p w14:paraId="41817FE3" w14:textId="77777777" w:rsidR="005E000F" w:rsidRDefault="00000000">
            <w:pPr>
              <w:jc w:val="right"/>
            </w:pPr>
            <w:r>
              <w:rPr>
                <w:rFonts w:hint="eastAsia"/>
              </w:rPr>
              <w:t>13,420,584,936</w:t>
            </w:r>
          </w:p>
        </w:tc>
      </w:tr>
      <w:tr w:rsidR="005E000F" w14:paraId="17EEA6C9" w14:textId="77777777">
        <w:tc>
          <w:tcPr>
            <w:tcW w:w="3507" w:type="dxa"/>
            <w:tcBorders>
              <w:top w:val="outset" w:sz="4" w:space="0" w:color="auto"/>
              <w:left w:val="outset" w:sz="4" w:space="0" w:color="auto"/>
              <w:bottom w:val="outset" w:sz="4" w:space="0" w:color="auto"/>
              <w:right w:val="outset" w:sz="4" w:space="0" w:color="auto"/>
            </w:tcBorders>
            <w:vAlign w:val="center"/>
          </w:tcPr>
          <w:p w14:paraId="391B8F2D" w14:textId="77777777" w:rsidR="005E000F" w:rsidRDefault="00000000">
            <w:pPr>
              <w:ind w:firstLineChars="100" w:firstLine="210"/>
            </w:pPr>
            <w:r>
              <w:rPr>
                <w:rFonts w:hint="eastAsia"/>
              </w:rPr>
              <w:t>加：营业外收入</w:t>
            </w:r>
          </w:p>
        </w:tc>
        <w:tc>
          <w:tcPr>
            <w:tcW w:w="1516" w:type="dxa"/>
            <w:tcBorders>
              <w:top w:val="outset" w:sz="4" w:space="0" w:color="auto"/>
              <w:left w:val="outset" w:sz="4" w:space="0" w:color="auto"/>
              <w:bottom w:val="outset" w:sz="4" w:space="0" w:color="auto"/>
              <w:right w:val="outset" w:sz="4" w:space="0" w:color="auto"/>
            </w:tcBorders>
            <w:vAlign w:val="center"/>
          </w:tcPr>
          <w:p w14:paraId="715074C8" w14:textId="77777777" w:rsidR="005E000F" w:rsidRDefault="00000000">
            <w:r>
              <w:rPr>
                <w:rFonts w:hint="eastAsia"/>
              </w:rPr>
              <w:t>七、</w:t>
            </w:r>
            <w:r>
              <w:t>74</w:t>
            </w:r>
          </w:p>
        </w:tc>
        <w:tc>
          <w:tcPr>
            <w:tcW w:w="2008" w:type="dxa"/>
            <w:tcBorders>
              <w:top w:val="outset" w:sz="4" w:space="0" w:color="auto"/>
              <w:left w:val="outset" w:sz="4" w:space="0" w:color="auto"/>
              <w:bottom w:val="outset" w:sz="4" w:space="0" w:color="auto"/>
              <w:right w:val="outset" w:sz="4" w:space="0" w:color="auto"/>
            </w:tcBorders>
            <w:vAlign w:val="center"/>
          </w:tcPr>
          <w:p w14:paraId="369D08C7" w14:textId="77777777" w:rsidR="005E000F" w:rsidRDefault="00000000">
            <w:pPr>
              <w:jc w:val="right"/>
            </w:pPr>
            <w:r>
              <w:t>35,484,390</w:t>
            </w:r>
          </w:p>
        </w:tc>
        <w:tc>
          <w:tcPr>
            <w:tcW w:w="2018" w:type="dxa"/>
            <w:tcBorders>
              <w:top w:val="outset" w:sz="4" w:space="0" w:color="auto"/>
              <w:left w:val="outset" w:sz="4" w:space="0" w:color="auto"/>
              <w:bottom w:val="outset" w:sz="4" w:space="0" w:color="auto"/>
              <w:right w:val="outset" w:sz="4" w:space="0" w:color="auto"/>
            </w:tcBorders>
            <w:vAlign w:val="center"/>
          </w:tcPr>
          <w:p w14:paraId="41669854" w14:textId="77777777" w:rsidR="005E000F" w:rsidRDefault="00000000">
            <w:pPr>
              <w:jc w:val="right"/>
            </w:pPr>
            <w:r>
              <w:rPr>
                <w:rFonts w:hint="eastAsia"/>
              </w:rPr>
              <w:t>58,384,504</w:t>
            </w:r>
          </w:p>
        </w:tc>
      </w:tr>
      <w:tr w:rsidR="005E000F" w14:paraId="61672837" w14:textId="77777777">
        <w:tc>
          <w:tcPr>
            <w:tcW w:w="3507" w:type="dxa"/>
            <w:tcBorders>
              <w:top w:val="outset" w:sz="4" w:space="0" w:color="auto"/>
              <w:left w:val="outset" w:sz="4" w:space="0" w:color="auto"/>
              <w:bottom w:val="outset" w:sz="4" w:space="0" w:color="auto"/>
              <w:right w:val="outset" w:sz="4" w:space="0" w:color="auto"/>
            </w:tcBorders>
            <w:vAlign w:val="center"/>
          </w:tcPr>
          <w:p w14:paraId="39811F72" w14:textId="77777777" w:rsidR="005E000F" w:rsidRDefault="00000000">
            <w:pPr>
              <w:ind w:firstLineChars="100" w:firstLine="210"/>
            </w:pPr>
            <w:r>
              <w:rPr>
                <w:rFonts w:hint="eastAsia"/>
              </w:rPr>
              <w:t>减：营业外支出</w:t>
            </w:r>
          </w:p>
        </w:tc>
        <w:tc>
          <w:tcPr>
            <w:tcW w:w="1516" w:type="dxa"/>
            <w:tcBorders>
              <w:top w:val="outset" w:sz="4" w:space="0" w:color="auto"/>
              <w:left w:val="outset" w:sz="4" w:space="0" w:color="auto"/>
              <w:bottom w:val="outset" w:sz="4" w:space="0" w:color="auto"/>
              <w:right w:val="outset" w:sz="4" w:space="0" w:color="auto"/>
            </w:tcBorders>
            <w:vAlign w:val="center"/>
          </w:tcPr>
          <w:p w14:paraId="29A03B9F" w14:textId="77777777" w:rsidR="005E000F" w:rsidRDefault="00000000">
            <w:r>
              <w:rPr>
                <w:rFonts w:hint="eastAsia"/>
              </w:rPr>
              <w:t>七、</w:t>
            </w:r>
            <w:r>
              <w:t>75</w:t>
            </w:r>
          </w:p>
        </w:tc>
        <w:tc>
          <w:tcPr>
            <w:tcW w:w="2008" w:type="dxa"/>
            <w:tcBorders>
              <w:top w:val="outset" w:sz="4" w:space="0" w:color="auto"/>
              <w:left w:val="outset" w:sz="4" w:space="0" w:color="auto"/>
              <w:bottom w:val="outset" w:sz="4" w:space="0" w:color="auto"/>
              <w:right w:val="outset" w:sz="4" w:space="0" w:color="auto"/>
            </w:tcBorders>
            <w:vAlign w:val="center"/>
          </w:tcPr>
          <w:p w14:paraId="031C0920" w14:textId="77777777" w:rsidR="005E000F" w:rsidRDefault="00000000">
            <w:pPr>
              <w:jc w:val="right"/>
            </w:pPr>
            <w:r>
              <w:t>109,439,615</w:t>
            </w:r>
          </w:p>
        </w:tc>
        <w:tc>
          <w:tcPr>
            <w:tcW w:w="2018" w:type="dxa"/>
            <w:tcBorders>
              <w:top w:val="outset" w:sz="4" w:space="0" w:color="auto"/>
              <w:left w:val="outset" w:sz="4" w:space="0" w:color="auto"/>
              <w:bottom w:val="outset" w:sz="4" w:space="0" w:color="auto"/>
              <w:right w:val="outset" w:sz="4" w:space="0" w:color="auto"/>
            </w:tcBorders>
            <w:vAlign w:val="center"/>
          </w:tcPr>
          <w:p w14:paraId="6596B33D" w14:textId="77777777" w:rsidR="005E000F" w:rsidRDefault="00000000">
            <w:pPr>
              <w:jc w:val="right"/>
            </w:pPr>
            <w:r>
              <w:rPr>
                <w:rFonts w:hint="eastAsia"/>
              </w:rPr>
              <w:t>153,204,151</w:t>
            </w:r>
          </w:p>
        </w:tc>
      </w:tr>
      <w:tr w:rsidR="005E000F" w14:paraId="7608B24F" w14:textId="77777777">
        <w:tc>
          <w:tcPr>
            <w:tcW w:w="3507" w:type="dxa"/>
            <w:tcBorders>
              <w:top w:val="outset" w:sz="4" w:space="0" w:color="auto"/>
              <w:left w:val="outset" w:sz="4" w:space="0" w:color="auto"/>
              <w:bottom w:val="outset" w:sz="4" w:space="0" w:color="auto"/>
              <w:right w:val="outset" w:sz="4" w:space="0" w:color="auto"/>
            </w:tcBorders>
            <w:vAlign w:val="center"/>
          </w:tcPr>
          <w:p w14:paraId="4D7EBCE4" w14:textId="77777777" w:rsidR="005E000F" w:rsidRDefault="00000000">
            <w:pPr>
              <w:rPr>
                <w:color w:val="000000"/>
              </w:rPr>
            </w:pPr>
            <w:r>
              <w:rPr>
                <w:rFonts w:hint="eastAsia"/>
              </w:rPr>
              <w:t>四、利润总额（亏损总额以</w:t>
            </w:r>
            <w:r>
              <w:t>“</w:t>
            </w:r>
            <w:r>
              <w:rPr>
                <w:rFonts w:hint="eastAsia"/>
              </w:rPr>
              <w:t>－</w:t>
            </w:r>
            <w:r>
              <w:t>”</w:t>
            </w:r>
            <w:r>
              <w:rPr>
                <w:rFonts w:hint="eastAsia"/>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12215AC9"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4A49056" w14:textId="77777777" w:rsidR="005E000F" w:rsidRDefault="00000000">
            <w:pPr>
              <w:jc w:val="right"/>
            </w:pPr>
            <w:r>
              <w:t>8,574,289,114</w:t>
            </w:r>
          </w:p>
        </w:tc>
        <w:tc>
          <w:tcPr>
            <w:tcW w:w="2018" w:type="dxa"/>
            <w:tcBorders>
              <w:top w:val="outset" w:sz="4" w:space="0" w:color="auto"/>
              <w:left w:val="outset" w:sz="4" w:space="0" w:color="auto"/>
              <w:bottom w:val="outset" w:sz="4" w:space="0" w:color="auto"/>
              <w:right w:val="outset" w:sz="4" w:space="0" w:color="auto"/>
            </w:tcBorders>
            <w:vAlign w:val="center"/>
          </w:tcPr>
          <w:p w14:paraId="5841F960" w14:textId="77777777" w:rsidR="005E000F" w:rsidRDefault="00000000">
            <w:pPr>
              <w:jc w:val="right"/>
            </w:pPr>
            <w:r>
              <w:rPr>
                <w:rFonts w:hint="eastAsia"/>
              </w:rPr>
              <w:t>13,325,765,289</w:t>
            </w:r>
          </w:p>
        </w:tc>
      </w:tr>
      <w:tr w:rsidR="005E000F" w14:paraId="11179715" w14:textId="77777777">
        <w:tc>
          <w:tcPr>
            <w:tcW w:w="3507" w:type="dxa"/>
            <w:tcBorders>
              <w:top w:val="outset" w:sz="4" w:space="0" w:color="auto"/>
              <w:left w:val="outset" w:sz="4" w:space="0" w:color="auto"/>
              <w:bottom w:val="outset" w:sz="4" w:space="0" w:color="auto"/>
              <w:right w:val="outset" w:sz="4" w:space="0" w:color="auto"/>
            </w:tcBorders>
            <w:vAlign w:val="center"/>
          </w:tcPr>
          <w:p w14:paraId="46AD8A1E" w14:textId="77777777" w:rsidR="005E000F" w:rsidRDefault="00000000">
            <w:pPr>
              <w:ind w:firstLineChars="100" w:firstLine="210"/>
              <w:rPr>
                <w:color w:val="000000"/>
              </w:rPr>
            </w:pPr>
            <w:r>
              <w:rPr>
                <w:rFonts w:hint="eastAsia"/>
              </w:rPr>
              <w:t>减：所得税费用</w:t>
            </w:r>
          </w:p>
        </w:tc>
        <w:tc>
          <w:tcPr>
            <w:tcW w:w="1516" w:type="dxa"/>
            <w:tcBorders>
              <w:top w:val="outset" w:sz="4" w:space="0" w:color="auto"/>
              <w:left w:val="outset" w:sz="4" w:space="0" w:color="auto"/>
              <w:bottom w:val="outset" w:sz="4" w:space="0" w:color="auto"/>
              <w:right w:val="outset" w:sz="4" w:space="0" w:color="auto"/>
            </w:tcBorders>
            <w:vAlign w:val="center"/>
          </w:tcPr>
          <w:p w14:paraId="0A987FD6" w14:textId="77777777" w:rsidR="005E000F" w:rsidRDefault="00000000">
            <w:r>
              <w:rPr>
                <w:rFonts w:hint="eastAsia"/>
              </w:rPr>
              <w:t>七、</w:t>
            </w:r>
            <w:r>
              <w:t>76</w:t>
            </w:r>
          </w:p>
        </w:tc>
        <w:tc>
          <w:tcPr>
            <w:tcW w:w="2008" w:type="dxa"/>
            <w:tcBorders>
              <w:top w:val="outset" w:sz="4" w:space="0" w:color="auto"/>
              <w:left w:val="outset" w:sz="4" w:space="0" w:color="auto"/>
              <w:bottom w:val="outset" w:sz="4" w:space="0" w:color="auto"/>
              <w:right w:val="outset" w:sz="4" w:space="0" w:color="auto"/>
            </w:tcBorders>
            <w:vAlign w:val="center"/>
          </w:tcPr>
          <w:p w14:paraId="176CED8A" w14:textId="77777777" w:rsidR="005E000F" w:rsidRDefault="00000000">
            <w:pPr>
              <w:jc w:val="right"/>
            </w:pPr>
            <w:r>
              <w:t>1,725,252,795</w:t>
            </w:r>
          </w:p>
        </w:tc>
        <w:tc>
          <w:tcPr>
            <w:tcW w:w="2018" w:type="dxa"/>
            <w:tcBorders>
              <w:top w:val="outset" w:sz="4" w:space="0" w:color="auto"/>
              <w:left w:val="outset" w:sz="4" w:space="0" w:color="auto"/>
              <w:bottom w:val="outset" w:sz="4" w:space="0" w:color="auto"/>
              <w:right w:val="outset" w:sz="4" w:space="0" w:color="auto"/>
            </w:tcBorders>
            <w:vAlign w:val="center"/>
          </w:tcPr>
          <w:p w14:paraId="48E194D5" w14:textId="77777777" w:rsidR="005E000F" w:rsidRDefault="00000000">
            <w:pPr>
              <w:jc w:val="right"/>
            </w:pPr>
            <w:r>
              <w:rPr>
                <w:rFonts w:hint="eastAsia"/>
              </w:rPr>
              <w:t>3,051,475,356</w:t>
            </w:r>
          </w:p>
        </w:tc>
      </w:tr>
      <w:tr w:rsidR="005E000F" w14:paraId="46E1778A" w14:textId="77777777">
        <w:tc>
          <w:tcPr>
            <w:tcW w:w="3507" w:type="dxa"/>
            <w:tcBorders>
              <w:top w:val="outset" w:sz="4" w:space="0" w:color="auto"/>
              <w:left w:val="outset" w:sz="4" w:space="0" w:color="auto"/>
              <w:bottom w:val="outset" w:sz="4" w:space="0" w:color="auto"/>
              <w:right w:val="outset" w:sz="4" w:space="0" w:color="auto"/>
            </w:tcBorders>
            <w:vAlign w:val="center"/>
          </w:tcPr>
          <w:p w14:paraId="510BC317" w14:textId="77777777" w:rsidR="005E000F" w:rsidRDefault="00000000">
            <w:pPr>
              <w:rPr>
                <w:color w:val="000000"/>
              </w:rPr>
            </w:pPr>
            <w:r>
              <w:rPr>
                <w:rFonts w:hint="eastAsia"/>
              </w:rPr>
              <w:t>五、净利润（净亏损以</w:t>
            </w:r>
            <w:r>
              <w:t>“</w:t>
            </w:r>
            <w:r>
              <w:rPr>
                <w:rFonts w:hint="eastAsia"/>
              </w:rPr>
              <w:t>－</w:t>
            </w:r>
            <w:r>
              <w:t>”</w:t>
            </w:r>
            <w:r>
              <w:rPr>
                <w:rFonts w:hint="eastAsia"/>
              </w:rP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4B48279D"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A249F35" w14:textId="77777777" w:rsidR="005E000F" w:rsidRDefault="00000000">
            <w:pPr>
              <w:jc w:val="right"/>
            </w:pPr>
            <w:r>
              <w:t>6,849,036,319</w:t>
            </w:r>
          </w:p>
        </w:tc>
        <w:tc>
          <w:tcPr>
            <w:tcW w:w="2018" w:type="dxa"/>
            <w:tcBorders>
              <w:top w:val="outset" w:sz="4" w:space="0" w:color="auto"/>
              <w:left w:val="outset" w:sz="4" w:space="0" w:color="auto"/>
              <w:bottom w:val="outset" w:sz="4" w:space="0" w:color="auto"/>
              <w:right w:val="outset" w:sz="4" w:space="0" w:color="auto"/>
            </w:tcBorders>
            <w:vAlign w:val="center"/>
          </w:tcPr>
          <w:p w14:paraId="59FC80AE" w14:textId="77777777" w:rsidR="005E000F" w:rsidRDefault="00000000">
            <w:pPr>
              <w:jc w:val="right"/>
            </w:pPr>
            <w:r>
              <w:rPr>
                <w:rFonts w:hint="eastAsia"/>
              </w:rPr>
              <w:t>10,274,289,933</w:t>
            </w:r>
          </w:p>
        </w:tc>
      </w:tr>
      <w:tr w:rsidR="005E000F" w14:paraId="568AADC6" w14:textId="77777777">
        <w:sdt>
          <w:sdtPr>
            <w:tag w:val="_PLD_9445f61075384ccaafee7a9aff738d9c"/>
            <w:id w:val="1956051268"/>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52B3CB4A" w14:textId="77777777" w:rsidR="005E000F" w:rsidRDefault="00000000">
                <w:r>
                  <w:rPr>
                    <w:rFonts w:hint="eastAsia"/>
                  </w:rPr>
                  <w:t>（一）</w:t>
                </w:r>
                <w:r>
                  <w:t>按经营持续性分类</w:t>
                </w:r>
              </w:p>
            </w:tc>
          </w:sdtContent>
        </w:sdt>
      </w:tr>
      <w:tr w:rsidR="005E000F" w14:paraId="6327B3B4" w14:textId="77777777">
        <w:tc>
          <w:tcPr>
            <w:tcW w:w="3507" w:type="dxa"/>
            <w:tcBorders>
              <w:top w:val="outset" w:sz="4" w:space="0" w:color="auto"/>
              <w:left w:val="outset" w:sz="4" w:space="0" w:color="auto"/>
              <w:bottom w:val="outset" w:sz="4" w:space="0" w:color="auto"/>
              <w:right w:val="outset" w:sz="4" w:space="0" w:color="auto"/>
            </w:tcBorders>
            <w:vAlign w:val="center"/>
          </w:tcPr>
          <w:p w14:paraId="2139613E" w14:textId="77777777" w:rsidR="005E000F" w:rsidRDefault="00000000">
            <w:pPr>
              <w:ind w:firstLineChars="200" w:firstLine="420"/>
            </w:pPr>
            <w:r>
              <w:t>1.</w:t>
            </w:r>
            <w:r>
              <w:t>持续经营净利润（净亏损以</w:t>
            </w:r>
            <w:r>
              <w:t>“</w:t>
            </w:r>
            <w:r>
              <w:t>－</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315458F9"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0BE60CF2" w14:textId="77777777" w:rsidR="005E000F" w:rsidRDefault="00000000">
            <w:pPr>
              <w:jc w:val="right"/>
            </w:pPr>
            <w:r>
              <w:t>6,849,036,319</w:t>
            </w:r>
          </w:p>
        </w:tc>
        <w:tc>
          <w:tcPr>
            <w:tcW w:w="2018" w:type="dxa"/>
            <w:tcBorders>
              <w:top w:val="outset" w:sz="4" w:space="0" w:color="auto"/>
              <w:left w:val="outset" w:sz="4" w:space="0" w:color="auto"/>
              <w:bottom w:val="outset" w:sz="4" w:space="0" w:color="auto"/>
              <w:right w:val="outset" w:sz="4" w:space="0" w:color="auto"/>
            </w:tcBorders>
            <w:vAlign w:val="center"/>
          </w:tcPr>
          <w:p w14:paraId="138B5424" w14:textId="77777777" w:rsidR="005E000F" w:rsidRDefault="00000000">
            <w:pPr>
              <w:jc w:val="right"/>
            </w:pPr>
            <w:r>
              <w:rPr>
                <w:rFonts w:hint="eastAsia"/>
              </w:rPr>
              <w:t>10,274,289,933</w:t>
            </w:r>
          </w:p>
        </w:tc>
      </w:tr>
      <w:tr w:rsidR="005E000F" w14:paraId="19F2EE8F" w14:textId="77777777">
        <w:tc>
          <w:tcPr>
            <w:tcW w:w="3507" w:type="dxa"/>
            <w:tcBorders>
              <w:top w:val="outset" w:sz="4" w:space="0" w:color="auto"/>
              <w:left w:val="outset" w:sz="4" w:space="0" w:color="auto"/>
              <w:bottom w:val="outset" w:sz="4" w:space="0" w:color="auto"/>
              <w:right w:val="outset" w:sz="4" w:space="0" w:color="auto"/>
            </w:tcBorders>
            <w:vAlign w:val="center"/>
          </w:tcPr>
          <w:p w14:paraId="0525FD4D" w14:textId="77777777" w:rsidR="005E000F" w:rsidRDefault="00000000">
            <w:pPr>
              <w:ind w:firstLineChars="200" w:firstLine="420"/>
            </w:pPr>
            <w:r>
              <w:t>2.</w:t>
            </w:r>
            <w:r>
              <w:t>终止经营净利润（净亏损以</w:t>
            </w:r>
            <w:r>
              <w:t>“</w:t>
            </w:r>
            <w:r>
              <w:t>－</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1D731E95"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4690907"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2C8C35A6" w14:textId="77777777" w:rsidR="005E000F" w:rsidRDefault="00000000">
            <w:pPr>
              <w:jc w:val="right"/>
            </w:pPr>
            <w:r>
              <w:rPr>
                <w:rFonts w:hint="eastAsia"/>
              </w:rPr>
              <w:t>0</w:t>
            </w:r>
          </w:p>
        </w:tc>
      </w:tr>
      <w:tr w:rsidR="005E000F" w14:paraId="546B904B" w14:textId="77777777">
        <w:sdt>
          <w:sdtPr>
            <w:tag w:val="_PLD_5703d86636cb476dab82350c9f6475fc"/>
            <w:id w:val="426080694"/>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17B6A1D8" w14:textId="77777777" w:rsidR="005E000F" w:rsidRDefault="00000000">
                <w:r>
                  <w:rPr>
                    <w:rFonts w:hint="eastAsia"/>
                  </w:rPr>
                  <w:t>（二）</w:t>
                </w:r>
                <w:r>
                  <w:t>按所有权归属分类</w:t>
                </w:r>
              </w:p>
            </w:tc>
          </w:sdtContent>
        </w:sdt>
      </w:tr>
      <w:tr w:rsidR="005E000F" w14:paraId="3395B75C" w14:textId="77777777">
        <w:tc>
          <w:tcPr>
            <w:tcW w:w="3507" w:type="dxa"/>
            <w:tcBorders>
              <w:top w:val="outset" w:sz="4" w:space="0" w:color="auto"/>
              <w:left w:val="outset" w:sz="4" w:space="0" w:color="auto"/>
              <w:bottom w:val="outset" w:sz="4" w:space="0" w:color="auto"/>
              <w:right w:val="outset" w:sz="4" w:space="0" w:color="auto"/>
            </w:tcBorders>
            <w:vAlign w:val="center"/>
          </w:tcPr>
          <w:p w14:paraId="3D8B6942" w14:textId="77777777" w:rsidR="005E000F" w:rsidRDefault="00000000">
            <w:pPr>
              <w:ind w:firstLineChars="200" w:firstLine="420"/>
            </w:pPr>
            <w:r>
              <w:t>1.</w:t>
            </w:r>
            <w:r>
              <w:rPr>
                <w:rFonts w:hint="eastAsia"/>
              </w:rPr>
              <w:t>归属于母公司股东的净利润（净亏损以“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2851E4EA"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8C7B9F9" w14:textId="77777777" w:rsidR="005E000F" w:rsidRDefault="00000000">
            <w:pPr>
              <w:jc w:val="right"/>
            </w:pPr>
            <w:r>
              <w:t>5,900,148,479</w:t>
            </w:r>
          </w:p>
        </w:tc>
        <w:tc>
          <w:tcPr>
            <w:tcW w:w="2018" w:type="dxa"/>
            <w:tcBorders>
              <w:top w:val="outset" w:sz="4" w:space="0" w:color="auto"/>
              <w:left w:val="outset" w:sz="4" w:space="0" w:color="auto"/>
              <w:bottom w:val="outset" w:sz="4" w:space="0" w:color="auto"/>
              <w:right w:val="outset" w:sz="4" w:space="0" w:color="auto"/>
            </w:tcBorders>
            <w:vAlign w:val="center"/>
          </w:tcPr>
          <w:p w14:paraId="513684E9" w14:textId="77777777" w:rsidR="005E000F" w:rsidRDefault="00000000">
            <w:pPr>
              <w:jc w:val="right"/>
            </w:pPr>
            <w:r>
              <w:rPr>
                <w:rFonts w:hint="eastAsia"/>
              </w:rPr>
              <w:t>9,039,359,180</w:t>
            </w:r>
          </w:p>
        </w:tc>
      </w:tr>
      <w:tr w:rsidR="005E000F" w14:paraId="34BFC427" w14:textId="77777777">
        <w:tc>
          <w:tcPr>
            <w:tcW w:w="3507" w:type="dxa"/>
            <w:tcBorders>
              <w:top w:val="outset" w:sz="4" w:space="0" w:color="auto"/>
              <w:left w:val="outset" w:sz="4" w:space="0" w:color="auto"/>
              <w:bottom w:val="outset" w:sz="4" w:space="0" w:color="auto"/>
              <w:right w:val="outset" w:sz="4" w:space="0" w:color="auto"/>
            </w:tcBorders>
            <w:vAlign w:val="center"/>
          </w:tcPr>
          <w:p w14:paraId="11A820A9" w14:textId="77777777" w:rsidR="005E000F" w:rsidRDefault="00000000">
            <w:pPr>
              <w:ind w:firstLineChars="200" w:firstLine="420"/>
            </w:pPr>
            <w:r>
              <w:t>2.</w:t>
            </w:r>
            <w:r>
              <w:rPr>
                <w:rFonts w:hint="eastAsia"/>
              </w:rPr>
              <w:t>少数股东损益（净亏损以“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79F9BDDF"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CF602FA" w14:textId="77777777" w:rsidR="005E000F" w:rsidRDefault="00000000">
            <w:pPr>
              <w:jc w:val="right"/>
            </w:pPr>
            <w:r>
              <w:t>948,887,840</w:t>
            </w:r>
          </w:p>
        </w:tc>
        <w:tc>
          <w:tcPr>
            <w:tcW w:w="2018" w:type="dxa"/>
            <w:tcBorders>
              <w:top w:val="outset" w:sz="4" w:space="0" w:color="auto"/>
              <w:left w:val="outset" w:sz="4" w:space="0" w:color="auto"/>
              <w:bottom w:val="outset" w:sz="4" w:space="0" w:color="auto"/>
              <w:right w:val="outset" w:sz="4" w:space="0" w:color="auto"/>
            </w:tcBorders>
            <w:vAlign w:val="center"/>
          </w:tcPr>
          <w:p w14:paraId="04DD317A" w14:textId="77777777" w:rsidR="005E000F" w:rsidRDefault="00000000">
            <w:pPr>
              <w:jc w:val="right"/>
            </w:pPr>
            <w:r>
              <w:rPr>
                <w:rFonts w:hint="eastAsia"/>
              </w:rPr>
              <w:t>1,234,930,753</w:t>
            </w:r>
          </w:p>
        </w:tc>
      </w:tr>
      <w:tr w:rsidR="005E000F" w14:paraId="4848357B" w14:textId="77777777">
        <w:tc>
          <w:tcPr>
            <w:tcW w:w="3507" w:type="dxa"/>
            <w:tcBorders>
              <w:top w:val="outset" w:sz="4" w:space="0" w:color="auto"/>
              <w:left w:val="outset" w:sz="4" w:space="0" w:color="auto"/>
              <w:bottom w:val="outset" w:sz="4" w:space="0" w:color="auto"/>
              <w:right w:val="outset" w:sz="4" w:space="0" w:color="auto"/>
            </w:tcBorders>
            <w:vAlign w:val="center"/>
          </w:tcPr>
          <w:p w14:paraId="3BD4D3CD" w14:textId="77777777" w:rsidR="005E000F" w:rsidRDefault="00000000">
            <w:r>
              <w:rPr>
                <w:rFonts w:hint="eastAsia"/>
              </w:rPr>
              <w:t>六、其他综合收益的税后净额</w:t>
            </w:r>
          </w:p>
        </w:tc>
        <w:tc>
          <w:tcPr>
            <w:tcW w:w="1516" w:type="dxa"/>
            <w:tcBorders>
              <w:top w:val="outset" w:sz="4" w:space="0" w:color="auto"/>
              <w:left w:val="outset" w:sz="4" w:space="0" w:color="auto"/>
              <w:bottom w:val="outset" w:sz="4" w:space="0" w:color="auto"/>
              <w:right w:val="outset" w:sz="4" w:space="0" w:color="auto"/>
            </w:tcBorders>
            <w:vAlign w:val="center"/>
          </w:tcPr>
          <w:p w14:paraId="6ECE2BD2"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6741B03" w14:textId="77777777" w:rsidR="005E000F" w:rsidRDefault="00000000">
            <w:pPr>
              <w:jc w:val="right"/>
            </w:pPr>
            <w:r>
              <w:t>-50,539,468</w:t>
            </w:r>
          </w:p>
        </w:tc>
        <w:tc>
          <w:tcPr>
            <w:tcW w:w="2018" w:type="dxa"/>
            <w:tcBorders>
              <w:top w:val="outset" w:sz="4" w:space="0" w:color="auto"/>
              <w:left w:val="outset" w:sz="4" w:space="0" w:color="auto"/>
              <w:bottom w:val="outset" w:sz="4" w:space="0" w:color="auto"/>
              <w:right w:val="outset" w:sz="4" w:space="0" w:color="auto"/>
            </w:tcBorders>
            <w:vAlign w:val="center"/>
          </w:tcPr>
          <w:p w14:paraId="5F3D2884" w14:textId="77777777" w:rsidR="005E000F" w:rsidRDefault="00000000">
            <w:pPr>
              <w:jc w:val="right"/>
            </w:pPr>
            <w:r>
              <w:rPr>
                <w:rFonts w:hint="eastAsia"/>
              </w:rPr>
              <w:t>-1,130,158,259</w:t>
            </w:r>
          </w:p>
        </w:tc>
      </w:tr>
      <w:tr w:rsidR="005E000F" w14:paraId="58267F58" w14:textId="77777777">
        <w:tc>
          <w:tcPr>
            <w:tcW w:w="3507" w:type="dxa"/>
            <w:tcBorders>
              <w:top w:val="outset" w:sz="4" w:space="0" w:color="auto"/>
              <w:left w:val="outset" w:sz="4" w:space="0" w:color="auto"/>
              <w:bottom w:val="outset" w:sz="4" w:space="0" w:color="auto"/>
              <w:right w:val="outset" w:sz="4" w:space="0" w:color="auto"/>
            </w:tcBorders>
            <w:vAlign w:val="center"/>
          </w:tcPr>
          <w:p w14:paraId="15388E3F" w14:textId="77777777" w:rsidR="005E000F" w:rsidRDefault="00000000">
            <w:pPr>
              <w:ind w:firstLineChars="100" w:firstLine="210"/>
            </w:pPr>
            <w:r>
              <w:rPr>
                <w:rFonts w:hint="eastAsia"/>
              </w:rPr>
              <w:t>（一）归属母公司所有者的其他综合收益的税后净额</w:t>
            </w:r>
          </w:p>
        </w:tc>
        <w:tc>
          <w:tcPr>
            <w:tcW w:w="1516" w:type="dxa"/>
            <w:tcBorders>
              <w:top w:val="outset" w:sz="4" w:space="0" w:color="auto"/>
              <w:left w:val="outset" w:sz="4" w:space="0" w:color="auto"/>
              <w:bottom w:val="outset" w:sz="4" w:space="0" w:color="auto"/>
              <w:right w:val="outset" w:sz="4" w:space="0" w:color="auto"/>
            </w:tcBorders>
            <w:vAlign w:val="center"/>
          </w:tcPr>
          <w:p w14:paraId="35B5C334"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190E8433" w14:textId="77777777" w:rsidR="005E000F" w:rsidRDefault="00000000">
            <w:pPr>
              <w:jc w:val="right"/>
            </w:pPr>
            <w:r>
              <w:t>-51,624,889</w:t>
            </w:r>
          </w:p>
        </w:tc>
        <w:tc>
          <w:tcPr>
            <w:tcW w:w="2018" w:type="dxa"/>
            <w:tcBorders>
              <w:top w:val="outset" w:sz="4" w:space="0" w:color="auto"/>
              <w:left w:val="outset" w:sz="4" w:space="0" w:color="auto"/>
              <w:bottom w:val="outset" w:sz="4" w:space="0" w:color="auto"/>
              <w:right w:val="outset" w:sz="4" w:space="0" w:color="auto"/>
            </w:tcBorders>
            <w:vAlign w:val="center"/>
          </w:tcPr>
          <w:p w14:paraId="5CF257FD" w14:textId="77777777" w:rsidR="005E000F" w:rsidRDefault="00000000">
            <w:pPr>
              <w:jc w:val="right"/>
            </w:pPr>
            <w:r>
              <w:rPr>
                <w:rFonts w:hint="eastAsia"/>
              </w:rPr>
              <w:t>-1,127,719,243</w:t>
            </w:r>
          </w:p>
        </w:tc>
      </w:tr>
      <w:tr w:rsidR="005E000F" w14:paraId="52BA5D0E" w14:textId="77777777">
        <w:tc>
          <w:tcPr>
            <w:tcW w:w="3507" w:type="dxa"/>
            <w:tcBorders>
              <w:top w:val="outset" w:sz="4" w:space="0" w:color="auto"/>
              <w:left w:val="outset" w:sz="4" w:space="0" w:color="auto"/>
              <w:bottom w:val="outset" w:sz="4" w:space="0" w:color="auto"/>
              <w:right w:val="outset" w:sz="4" w:space="0" w:color="auto"/>
            </w:tcBorders>
            <w:vAlign w:val="center"/>
          </w:tcPr>
          <w:p w14:paraId="57F0252A" w14:textId="77777777" w:rsidR="005E000F" w:rsidRDefault="00000000">
            <w:pPr>
              <w:ind w:firstLineChars="200" w:firstLine="420"/>
            </w:pPr>
            <w:r>
              <w:t>1</w:t>
            </w:r>
            <w:r>
              <w:rPr>
                <w:rFonts w:hint="eastAsia"/>
              </w:rPr>
              <w:t>．不能重分类进损益的其他综合收益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32CEA010"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BDF5D8E" w14:textId="77777777" w:rsidR="005E000F" w:rsidRDefault="00000000">
            <w:pPr>
              <w:jc w:val="right"/>
            </w:pPr>
            <w:r>
              <w:t>-51,624,889</w:t>
            </w:r>
          </w:p>
        </w:tc>
        <w:tc>
          <w:tcPr>
            <w:tcW w:w="2018" w:type="dxa"/>
            <w:tcBorders>
              <w:top w:val="outset" w:sz="4" w:space="0" w:color="auto"/>
              <w:left w:val="outset" w:sz="4" w:space="0" w:color="auto"/>
              <w:bottom w:val="outset" w:sz="4" w:space="0" w:color="auto"/>
              <w:right w:val="outset" w:sz="4" w:space="0" w:color="auto"/>
            </w:tcBorders>
            <w:vAlign w:val="center"/>
          </w:tcPr>
          <w:p w14:paraId="0314DEF7" w14:textId="77777777" w:rsidR="005E000F" w:rsidRDefault="00000000">
            <w:pPr>
              <w:jc w:val="right"/>
            </w:pPr>
            <w:r>
              <w:rPr>
                <w:rFonts w:hint="eastAsia"/>
              </w:rPr>
              <w:t>-1,127,719,243</w:t>
            </w:r>
          </w:p>
        </w:tc>
      </w:tr>
      <w:tr w:rsidR="005E000F" w14:paraId="0314D383" w14:textId="77777777">
        <w:tc>
          <w:tcPr>
            <w:tcW w:w="3507" w:type="dxa"/>
            <w:tcBorders>
              <w:top w:val="outset" w:sz="4" w:space="0" w:color="auto"/>
              <w:left w:val="outset" w:sz="4" w:space="0" w:color="auto"/>
              <w:bottom w:val="outset" w:sz="4" w:space="0" w:color="auto"/>
              <w:right w:val="outset" w:sz="4" w:space="0" w:color="auto"/>
            </w:tcBorders>
            <w:vAlign w:val="center"/>
          </w:tcPr>
          <w:p w14:paraId="5290CC30" w14:textId="77777777" w:rsidR="005E000F" w:rsidRDefault="00000000">
            <w:pPr>
              <w:ind w:firstLineChars="100" w:firstLine="210"/>
            </w:pPr>
            <w:r>
              <w:rPr>
                <w:rFonts w:hint="eastAsia"/>
              </w:rPr>
              <w:t>（</w:t>
            </w:r>
            <w:r>
              <w:rPr>
                <w:rFonts w:hint="eastAsia"/>
              </w:rPr>
              <w:t>1</w:t>
            </w:r>
            <w:r>
              <w:rPr>
                <w:rFonts w:hint="eastAsia"/>
              </w:rPr>
              <w:t>）</w:t>
            </w:r>
            <w:r>
              <w:t>重新计量设定受益计划变动额</w:t>
            </w:r>
          </w:p>
        </w:tc>
        <w:tc>
          <w:tcPr>
            <w:tcW w:w="1516" w:type="dxa"/>
            <w:tcBorders>
              <w:top w:val="outset" w:sz="4" w:space="0" w:color="auto"/>
              <w:left w:val="outset" w:sz="4" w:space="0" w:color="auto"/>
              <w:bottom w:val="outset" w:sz="4" w:space="0" w:color="auto"/>
              <w:right w:val="outset" w:sz="4" w:space="0" w:color="auto"/>
            </w:tcBorders>
            <w:vAlign w:val="center"/>
          </w:tcPr>
          <w:p w14:paraId="17F61FB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582B4D87" w14:textId="77777777" w:rsidR="005E000F" w:rsidRDefault="00000000">
            <w:pPr>
              <w:jc w:val="right"/>
            </w:pPr>
            <w:r>
              <w:t>-56,113,639</w:t>
            </w:r>
          </w:p>
        </w:tc>
        <w:tc>
          <w:tcPr>
            <w:tcW w:w="2018" w:type="dxa"/>
            <w:tcBorders>
              <w:top w:val="outset" w:sz="4" w:space="0" w:color="auto"/>
              <w:left w:val="outset" w:sz="4" w:space="0" w:color="auto"/>
              <w:bottom w:val="outset" w:sz="4" w:space="0" w:color="auto"/>
              <w:right w:val="outset" w:sz="4" w:space="0" w:color="auto"/>
            </w:tcBorders>
            <w:vAlign w:val="center"/>
          </w:tcPr>
          <w:p w14:paraId="104A07AB" w14:textId="77777777" w:rsidR="005E000F" w:rsidRDefault="00000000">
            <w:pPr>
              <w:jc w:val="right"/>
            </w:pPr>
            <w:r>
              <w:rPr>
                <w:rFonts w:hint="eastAsia"/>
              </w:rPr>
              <w:t>-1,143,750,493</w:t>
            </w:r>
          </w:p>
        </w:tc>
      </w:tr>
      <w:tr w:rsidR="005E000F" w14:paraId="137992E1" w14:textId="77777777">
        <w:tc>
          <w:tcPr>
            <w:tcW w:w="3507" w:type="dxa"/>
            <w:tcBorders>
              <w:top w:val="outset" w:sz="4" w:space="0" w:color="auto"/>
              <w:left w:val="outset" w:sz="4" w:space="0" w:color="auto"/>
              <w:bottom w:val="outset" w:sz="4" w:space="0" w:color="auto"/>
              <w:right w:val="outset" w:sz="4" w:space="0" w:color="auto"/>
            </w:tcBorders>
            <w:vAlign w:val="center"/>
          </w:tcPr>
          <w:p w14:paraId="5102F865" w14:textId="77777777" w:rsidR="005E000F" w:rsidRDefault="00000000">
            <w:pPr>
              <w:ind w:firstLineChars="100" w:firstLine="210"/>
            </w:pPr>
            <w:r>
              <w:rPr>
                <w:rFonts w:hint="eastAsia"/>
              </w:rPr>
              <w:t>（</w:t>
            </w:r>
            <w:r>
              <w:rPr>
                <w:rFonts w:hint="eastAsia"/>
              </w:rPr>
              <w:t>2</w:t>
            </w:r>
            <w:r>
              <w:rPr>
                <w:rFonts w:hint="eastAsia"/>
              </w:rPr>
              <w:t>）</w:t>
            </w:r>
            <w:r>
              <w:t>权益法下不能转损益的其他综合收益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7A00102F"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F79D594"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30038E5F" w14:textId="77777777" w:rsidR="005E000F" w:rsidRDefault="00000000">
            <w:pPr>
              <w:jc w:val="right"/>
            </w:pPr>
            <w:r>
              <w:rPr>
                <w:rFonts w:hint="eastAsia"/>
              </w:rPr>
              <w:t>0</w:t>
            </w:r>
          </w:p>
        </w:tc>
      </w:tr>
      <w:tr w:rsidR="005E000F" w14:paraId="16EDC023" w14:textId="77777777">
        <w:tc>
          <w:tcPr>
            <w:tcW w:w="3507" w:type="dxa"/>
            <w:tcBorders>
              <w:top w:val="outset" w:sz="4" w:space="0" w:color="auto"/>
              <w:left w:val="outset" w:sz="4" w:space="0" w:color="auto"/>
              <w:bottom w:val="outset" w:sz="4" w:space="0" w:color="auto"/>
              <w:right w:val="outset" w:sz="4" w:space="0" w:color="auto"/>
            </w:tcBorders>
            <w:vAlign w:val="center"/>
          </w:tcPr>
          <w:p w14:paraId="3A047657" w14:textId="77777777" w:rsidR="005E000F" w:rsidRDefault="00000000">
            <w:pPr>
              <w:ind w:firstLineChars="100" w:firstLine="210"/>
            </w:pPr>
            <w:r>
              <w:rPr>
                <w:rFonts w:hint="eastAsia"/>
              </w:rPr>
              <w:t>（</w:t>
            </w:r>
            <w:r>
              <w:rPr>
                <w:rFonts w:hint="eastAsia"/>
              </w:rPr>
              <w:t>3</w:t>
            </w:r>
            <w:r>
              <w:rPr>
                <w:rFonts w:hint="eastAsia"/>
              </w:rPr>
              <w:t>）</w:t>
            </w:r>
            <w:r>
              <w:t>其他权益工具投资公允价值变动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583CAEB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B07646B" w14:textId="77777777" w:rsidR="005E000F" w:rsidRDefault="00000000">
            <w:pPr>
              <w:jc w:val="right"/>
            </w:pPr>
            <w:r>
              <w:t>4,488,750</w:t>
            </w:r>
          </w:p>
        </w:tc>
        <w:tc>
          <w:tcPr>
            <w:tcW w:w="2018" w:type="dxa"/>
            <w:tcBorders>
              <w:top w:val="outset" w:sz="4" w:space="0" w:color="auto"/>
              <w:left w:val="outset" w:sz="4" w:space="0" w:color="auto"/>
              <w:bottom w:val="outset" w:sz="4" w:space="0" w:color="auto"/>
              <w:right w:val="outset" w:sz="4" w:space="0" w:color="auto"/>
            </w:tcBorders>
            <w:vAlign w:val="center"/>
          </w:tcPr>
          <w:p w14:paraId="55A430B7" w14:textId="77777777" w:rsidR="005E000F" w:rsidRDefault="00000000">
            <w:pPr>
              <w:jc w:val="right"/>
            </w:pPr>
            <w:r>
              <w:rPr>
                <w:rFonts w:hint="eastAsia"/>
              </w:rPr>
              <w:t>16,031,250</w:t>
            </w:r>
          </w:p>
        </w:tc>
      </w:tr>
      <w:tr w:rsidR="005E000F" w14:paraId="736233A9" w14:textId="77777777">
        <w:tc>
          <w:tcPr>
            <w:tcW w:w="3507" w:type="dxa"/>
            <w:tcBorders>
              <w:top w:val="outset" w:sz="4" w:space="0" w:color="auto"/>
              <w:left w:val="outset" w:sz="4" w:space="0" w:color="auto"/>
              <w:bottom w:val="outset" w:sz="4" w:space="0" w:color="auto"/>
              <w:right w:val="outset" w:sz="4" w:space="0" w:color="auto"/>
            </w:tcBorders>
            <w:vAlign w:val="center"/>
          </w:tcPr>
          <w:p w14:paraId="39F0C885" w14:textId="77777777" w:rsidR="005E000F" w:rsidRDefault="00000000">
            <w:pPr>
              <w:ind w:firstLineChars="100" w:firstLine="210"/>
            </w:pPr>
            <w:r>
              <w:rPr>
                <w:rFonts w:hint="eastAsia"/>
              </w:rPr>
              <w:t>（</w:t>
            </w:r>
            <w:r>
              <w:rPr>
                <w:rFonts w:hint="eastAsia"/>
              </w:rPr>
              <w:t>4</w:t>
            </w:r>
            <w:r>
              <w:rPr>
                <w:rFonts w:hint="eastAsia"/>
              </w:rPr>
              <w:t>）</w:t>
            </w:r>
            <w:r>
              <w:t>企业自身信用风险公允价值变动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65496CEE"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CE4E5C3"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044F5AFC" w14:textId="77777777" w:rsidR="005E000F" w:rsidRDefault="00000000">
            <w:pPr>
              <w:jc w:val="right"/>
            </w:pPr>
            <w:r>
              <w:rPr>
                <w:rFonts w:hint="eastAsia"/>
              </w:rPr>
              <w:t>0</w:t>
            </w:r>
          </w:p>
        </w:tc>
      </w:tr>
      <w:tr w:rsidR="005E000F" w14:paraId="56297446" w14:textId="77777777">
        <w:tc>
          <w:tcPr>
            <w:tcW w:w="3507" w:type="dxa"/>
            <w:tcBorders>
              <w:top w:val="outset" w:sz="4" w:space="0" w:color="auto"/>
              <w:left w:val="outset" w:sz="4" w:space="0" w:color="auto"/>
              <w:bottom w:val="outset" w:sz="4" w:space="0" w:color="auto"/>
              <w:right w:val="outset" w:sz="4" w:space="0" w:color="auto"/>
            </w:tcBorders>
            <w:vAlign w:val="center"/>
          </w:tcPr>
          <w:p w14:paraId="1964CA7D" w14:textId="77777777" w:rsidR="005E000F" w:rsidRDefault="00000000">
            <w:pPr>
              <w:ind w:firstLineChars="200" w:firstLine="420"/>
            </w:pPr>
            <w:r>
              <w:t>2</w:t>
            </w:r>
            <w:r>
              <w:rPr>
                <w:rFonts w:hint="eastAsia"/>
              </w:rPr>
              <w:t>．将重分类进损益的其他综合收益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4AB8ED0F"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36B3583"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32F0ACFF" w14:textId="77777777" w:rsidR="005E000F" w:rsidRDefault="00000000">
            <w:pPr>
              <w:jc w:val="right"/>
            </w:pPr>
            <w:r>
              <w:rPr>
                <w:rFonts w:hint="eastAsia"/>
              </w:rPr>
              <w:t>0</w:t>
            </w:r>
          </w:p>
        </w:tc>
      </w:tr>
      <w:tr w:rsidR="005E000F" w14:paraId="40E22F2B" w14:textId="77777777">
        <w:tc>
          <w:tcPr>
            <w:tcW w:w="3507" w:type="dxa"/>
            <w:tcBorders>
              <w:top w:val="outset" w:sz="4" w:space="0" w:color="auto"/>
              <w:left w:val="outset" w:sz="4" w:space="0" w:color="auto"/>
              <w:bottom w:val="outset" w:sz="4" w:space="0" w:color="auto"/>
              <w:right w:val="outset" w:sz="4" w:space="0" w:color="auto"/>
            </w:tcBorders>
            <w:vAlign w:val="center"/>
          </w:tcPr>
          <w:p w14:paraId="0F5E7FC5" w14:textId="77777777" w:rsidR="005E000F" w:rsidRDefault="00000000">
            <w:pPr>
              <w:ind w:firstLineChars="100" w:firstLine="210"/>
            </w:pPr>
            <w:r>
              <w:rPr>
                <w:rFonts w:hint="eastAsia"/>
              </w:rPr>
              <w:t>（</w:t>
            </w:r>
            <w:r>
              <w:rPr>
                <w:rFonts w:hint="eastAsia"/>
              </w:rPr>
              <w:t>1</w:t>
            </w:r>
            <w:r>
              <w:rPr>
                <w:rFonts w:hint="eastAsia"/>
              </w:rPr>
              <w:t>）</w:t>
            </w:r>
            <w:r>
              <w:t>权益法下可转损益的其他综</w:t>
            </w:r>
            <w:r>
              <w:lastRenderedPageBreak/>
              <w:t>合收益</w:t>
            </w:r>
          </w:p>
        </w:tc>
        <w:tc>
          <w:tcPr>
            <w:tcW w:w="1516" w:type="dxa"/>
            <w:tcBorders>
              <w:top w:val="outset" w:sz="4" w:space="0" w:color="auto"/>
              <w:left w:val="outset" w:sz="4" w:space="0" w:color="auto"/>
              <w:bottom w:val="outset" w:sz="4" w:space="0" w:color="auto"/>
              <w:right w:val="outset" w:sz="4" w:space="0" w:color="auto"/>
            </w:tcBorders>
            <w:vAlign w:val="center"/>
          </w:tcPr>
          <w:p w14:paraId="37584FFB"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5201187D"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0F15581E" w14:textId="77777777" w:rsidR="005E000F" w:rsidRDefault="00000000">
            <w:pPr>
              <w:jc w:val="right"/>
            </w:pPr>
            <w:r>
              <w:rPr>
                <w:rFonts w:hint="eastAsia"/>
              </w:rPr>
              <w:t>0</w:t>
            </w:r>
          </w:p>
        </w:tc>
      </w:tr>
      <w:tr w:rsidR="005E000F" w14:paraId="4CAC69E4" w14:textId="77777777">
        <w:tc>
          <w:tcPr>
            <w:tcW w:w="3507" w:type="dxa"/>
            <w:tcBorders>
              <w:top w:val="outset" w:sz="4" w:space="0" w:color="auto"/>
              <w:left w:val="outset" w:sz="4" w:space="0" w:color="auto"/>
              <w:bottom w:val="outset" w:sz="4" w:space="0" w:color="auto"/>
              <w:right w:val="outset" w:sz="4" w:space="0" w:color="auto"/>
            </w:tcBorders>
            <w:vAlign w:val="center"/>
          </w:tcPr>
          <w:p w14:paraId="40386E45" w14:textId="77777777" w:rsidR="005E000F" w:rsidRDefault="00000000">
            <w:pPr>
              <w:ind w:firstLineChars="100" w:firstLine="210"/>
            </w:pPr>
            <w:r>
              <w:rPr>
                <w:rFonts w:hint="eastAsia"/>
              </w:rPr>
              <w:t>（</w:t>
            </w:r>
            <w:r>
              <w:rPr>
                <w:rFonts w:hint="eastAsia"/>
              </w:rPr>
              <w:t>2</w:t>
            </w:r>
            <w:r>
              <w:rPr>
                <w:rFonts w:hint="eastAsia"/>
              </w:rPr>
              <w:t>）</w:t>
            </w:r>
            <w:r>
              <w:t>其他债权投资公允价值变动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4FEB2B40"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0BE71C75"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3C3B5EB0" w14:textId="77777777" w:rsidR="005E000F" w:rsidRDefault="00000000">
            <w:pPr>
              <w:jc w:val="right"/>
            </w:pPr>
            <w:r>
              <w:rPr>
                <w:rFonts w:hint="eastAsia"/>
              </w:rPr>
              <w:t>0</w:t>
            </w:r>
          </w:p>
        </w:tc>
      </w:tr>
      <w:tr w:rsidR="005E000F" w14:paraId="3D760C9C" w14:textId="77777777">
        <w:tc>
          <w:tcPr>
            <w:tcW w:w="3507" w:type="dxa"/>
            <w:tcBorders>
              <w:top w:val="outset" w:sz="4" w:space="0" w:color="auto"/>
              <w:left w:val="outset" w:sz="4" w:space="0" w:color="auto"/>
              <w:bottom w:val="outset" w:sz="4" w:space="0" w:color="auto"/>
              <w:right w:val="outset" w:sz="4" w:space="0" w:color="auto"/>
            </w:tcBorders>
            <w:vAlign w:val="center"/>
          </w:tcPr>
          <w:p w14:paraId="0D673582" w14:textId="77777777" w:rsidR="005E000F" w:rsidRDefault="00000000">
            <w:pPr>
              <w:ind w:firstLineChars="100" w:firstLine="210"/>
            </w:pPr>
            <w:r>
              <w:rPr>
                <w:rFonts w:hint="eastAsia"/>
              </w:rPr>
              <w:t>（</w:t>
            </w:r>
            <w:r>
              <w:rPr>
                <w:rFonts w:hint="eastAsia"/>
              </w:rPr>
              <w:t>3</w:t>
            </w:r>
            <w:r>
              <w:rPr>
                <w:rFonts w:hint="eastAsia"/>
              </w:rPr>
              <w:t>）</w:t>
            </w:r>
            <w:r>
              <w:t>金融资产重分类计入其他综合收益的金额</w:t>
            </w:r>
          </w:p>
        </w:tc>
        <w:tc>
          <w:tcPr>
            <w:tcW w:w="1516" w:type="dxa"/>
            <w:tcBorders>
              <w:top w:val="outset" w:sz="4" w:space="0" w:color="auto"/>
              <w:left w:val="outset" w:sz="4" w:space="0" w:color="auto"/>
              <w:bottom w:val="outset" w:sz="4" w:space="0" w:color="auto"/>
              <w:right w:val="outset" w:sz="4" w:space="0" w:color="auto"/>
            </w:tcBorders>
            <w:vAlign w:val="center"/>
          </w:tcPr>
          <w:p w14:paraId="4B7C825C"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02A1DDDD"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16C923FB" w14:textId="77777777" w:rsidR="005E000F" w:rsidRDefault="00000000">
            <w:pPr>
              <w:jc w:val="right"/>
            </w:pPr>
            <w:r>
              <w:rPr>
                <w:rFonts w:hint="eastAsia"/>
              </w:rPr>
              <w:t>0</w:t>
            </w:r>
          </w:p>
        </w:tc>
      </w:tr>
      <w:tr w:rsidR="005E000F" w14:paraId="08EB825A" w14:textId="77777777">
        <w:tc>
          <w:tcPr>
            <w:tcW w:w="3507" w:type="dxa"/>
            <w:tcBorders>
              <w:top w:val="outset" w:sz="4" w:space="0" w:color="auto"/>
              <w:left w:val="outset" w:sz="4" w:space="0" w:color="auto"/>
              <w:bottom w:val="outset" w:sz="4" w:space="0" w:color="auto"/>
              <w:right w:val="outset" w:sz="4" w:space="0" w:color="auto"/>
            </w:tcBorders>
            <w:vAlign w:val="center"/>
          </w:tcPr>
          <w:p w14:paraId="74CE7E88" w14:textId="77777777" w:rsidR="005E000F" w:rsidRDefault="00000000">
            <w:pPr>
              <w:ind w:firstLineChars="100" w:firstLine="210"/>
            </w:pPr>
            <w:r>
              <w:rPr>
                <w:rFonts w:hint="eastAsia"/>
              </w:rPr>
              <w:t>（</w:t>
            </w:r>
            <w:r>
              <w:rPr>
                <w:rFonts w:hint="eastAsia"/>
              </w:rPr>
              <w:t>4</w:t>
            </w:r>
            <w:r>
              <w:rPr>
                <w:rFonts w:hint="eastAsia"/>
              </w:rPr>
              <w:t>）</w:t>
            </w:r>
            <w:r>
              <w:t>其他债权投资信用减值准备</w:t>
            </w:r>
          </w:p>
        </w:tc>
        <w:tc>
          <w:tcPr>
            <w:tcW w:w="1516" w:type="dxa"/>
            <w:tcBorders>
              <w:top w:val="outset" w:sz="4" w:space="0" w:color="auto"/>
              <w:left w:val="outset" w:sz="4" w:space="0" w:color="auto"/>
              <w:bottom w:val="outset" w:sz="4" w:space="0" w:color="auto"/>
              <w:right w:val="outset" w:sz="4" w:space="0" w:color="auto"/>
            </w:tcBorders>
            <w:vAlign w:val="center"/>
          </w:tcPr>
          <w:p w14:paraId="30D91AA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13E013DF"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16670305" w14:textId="77777777" w:rsidR="005E000F" w:rsidRDefault="00000000">
            <w:pPr>
              <w:jc w:val="right"/>
            </w:pPr>
            <w:r>
              <w:rPr>
                <w:rFonts w:hint="eastAsia"/>
              </w:rPr>
              <w:t>0</w:t>
            </w:r>
          </w:p>
        </w:tc>
      </w:tr>
      <w:tr w:rsidR="005E000F" w14:paraId="289C5C5B" w14:textId="77777777">
        <w:tc>
          <w:tcPr>
            <w:tcW w:w="3507" w:type="dxa"/>
            <w:tcBorders>
              <w:top w:val="outset" w:sz="4" w:space="0" w:color="auto"/>
              <w:left w:val="outset" w:sz="4" w:space="0" w:color="auto"/>
              <w:bottom w:val="outset" w:sz="4" w:space="0" w:color="auto"/>
              <w:right w:val="outset" w:sz="4" w:space="0" w:color="auto"/>
            </w:tcBorders>
            <w:vAlign w:val="center"/>
          </w:tcPr>
          <w:p w14:paraId="4DF47EA0" w14:textId="77777777" w:rsidR="005E000F" w:rsidRDefault="00000000">
            <w:pPr>
              <w:ind w:firstLineChars="100" w:firstLine="210"/>
            </w:pPr>
            <w:r>
              <w:rPr>
                <w:rFonts w:hint="eastAsia"/>
              </w:rPr>
              <w:t>（</w:t>
            </w:r>
            <w:r>
              <w:rPr>
                <w:rFonts w:hint="eastAsia"/>
              </w:rPr>
              <w:t>5</w:t>
            </w:r>
            <w:r>
              <w:rPr>
                <w:rFonts w:hint="eastAsia"/>
              </w:rPr>
              <w:t>）</w:t>
            </w:r>
            <w:r>
              <w:t>现金流量套期储备</w:t>
            </w:r>
          </w:p>
        </w:tc>
        <w:tc>
          <w:tcPr>
            <w:tcW w:w="1516" w:type="dxa"/>
            <w:tcBorders>
              <w:top w:val="outset" w:sz="4" w:space="0" w:color="auto"/>
              <w:left w:val="outset" w:sz="4" w:space="0" w:color="auto"/>
              <w:bottom w:val="outset" w:sz="4" w:space="0" w:color="auto"/>
              <w:right w:val="outset" w:sz="4" w:space="0" w:color="auto"/>
            </w:tcBorders>
            <w:vAlign w:val="center"/>
          </w:tcPr>
          <w:p w14:paraId="37AAA85A"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9095193"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658B35D0" w14:textId="77777777" w:rsidR="005E000F" w:rsidRDefault="00000000">
            <w:pPr>
              <w:jc w:val="right"/>
            </w:pPr>
            <w:r>
              <w:rPr>
                <w:rFonts w:hint="eastAsia"/>
              </w:rPr>
              <w:t>0</w:t>
            </w:r>
          </w:p>
        </w:tc>
      </w:tr>
      <w:tr w:rsidR="005E000F" w14:paraId="17C959F3" w14:textId="77777777">
        <w:tc>
          <w:tcPr>
            <w:tcW w:w="3507" w:type="dxa"/>
            <w:tcBorders>
              <w:top w:val="outset" w:sz="4" w:space="0" w:color="auto"/>
              <w:left w:val="outset" w:sz="4" w:space="0" w:color="auto"/>
              <w:bottom w:val="outset" w:sz="4" w:space="0" w:color="auto"/>
              <w:right w:val="outset" w:sz="4" w:space="0" w:color="auto"/>
            </w:tcBorders>
            <w:vAlign w:val="center"/>
          </w:tcPr>
          <w:p w14:paraId="118FE933" w14:textId="77777777" w:rsidR="005E000F" w:rsidRDefault="00000000">
            <w:pPr>
              <w:ind w:firstLineChars="100" w:firstLine="210"/>
            </w:pPr>
            <w:r>
              <w:rPr>
                <w:rFonts w:hint="eastAsia"/>
              </w:rPr>
              <w:t>（</w:t>
            </w:r>
            <w:r>
              <w:rPr>
                <w:rFonts w:hint="eastAsia"/>
              </w:rPr>
              <w:t>6</w:t>
            </w:r>
            <w:r>
              <w:rPr>
                <w:rFonts w:hint="eastAsia"/>
              </w:rPr>
              <w:t>）</w:t>
            </w:r>
            <w:r>
              <w:t>外币财务报表折算差额</w:t>
            </w:r>
          </w:p>
        </w:tc>
        <w:tc>
          <w:tcPr>
            <w:tcW w:w="1516" w:type="dxa"/>
            <w:tcBorders>
              <w:top w:val="outset" w:sz="4" w:space="0" w:color="auto"/>
              <w:left w:val="outset" w:sz="4" w:space="0" w:color="auto"/>
              <w:bottom w:val="outset" w:sz="4" w:space="0" w:color="auto"/>
              <w:right w:val="outset" w:sz="4" w:space="0" w:color="auto"/>
            </w:tcBorders>
            <w:vAlign w:val="center"/>
          </w:tcPr>
          <w:p w14:paraId="58F210B5"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5977DF05"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66B3B8E7" w14:textId="77777777" w:rsidR="005E000F" w:rsidRDefault="00000000">
            <w:pPr>
              <w:jc w:val="right"/>
            </w:pPr>
            <w:r>
              <w:rPr>
                <w:rFonts w:hint="eastAsia"/>
              </w:rPr>
              <w:t>0</w:t>
            </w:r>
          </w:p>
        </w:tc>
      </w:tr>
      <w:tr w:rsidR="005E000F" w14:paraId="277CCEE2" w14:textId="77777777">
        <w:tc>
          <w:tcPr>
            <w:tcW w:w="3507" w:type="dxa"/>
            <w:tcBorders>
              <w:top w:val="outset" w:sz="4" w:space="0" w:color="auto"/>
              <w:left w:val="outset" w:sz="4" w:space="0" w:color="auto"/>
              <w:bottom w:val="outset" w:sz="4" w:space="0" w:color="auto"/>
              <w:right w:val="outset" w:sz="4" w:space="0" w:color="auto"/>
            </w:tcBorders>
            <w:vAlign w:val="center"/>
          </w:tcPr>
          <w:p w14:paraId="228C8590" w14:textId="77777777" w:rsidR="005E000F" w:rsidRDefault="00000000">
            <w:pPr>
              <w:ind w:firstLineChars="100" w:firstLine="210"/>
            </w:pPr>
            <w:r>
              <w:rPr>
                <w:rFonts w:hint="eastAsia"/>
              </w:rPr>
              <w:t>（</w:t>
            </w:r>
            <w:r>
              <w:rPr>
                <w:rFonts w:hint="eastAsia"/>
              </w:rPr>
              <w:t>7</w:t>
            </w:r>
            <w:r>
              <w:rPr>
                <w:rFonts w:hint="eastAsia"/>
              </w:rPr>
              <w:t>）</w:t>
            </w:r>
            <w:r>
              <w:t>其他</w:t>
            </w:r>
          </w:p>
        </w:tc>
        <w:tc>
          <w:tcPr>
            <w:tcW w:w="1516" w:type="dxa"/>
            <w:tcBorders>
              <w:top w:val="outset" w:sz="4" w:space="0" w:color="auto"/>
              <w:left w:val="outset" w:sz="4" w:space="0" w:color="auto"/>
              <w:bottom w:val="outset" w:sz="4" w:space="0" w:color="auto"/>
              <w:right w:val="outset" w:sz="4" w:space="0" w:color="auto"/>
            </w:tcBorders>
            <w:vAlign w:val="center"/>
          </w:tcPr>
          <w:p w14:paraId="03ECA754"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8DBF5F8"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1977E444" w14:textId="77777777" w:rsidR="005E000F" w:rsidRDefault="00000000">
            <w:pPr>
              <w:jc w:val="right"/>
            </w:pPr>
            <w:r>
              <w:rPr>
                <w:rFonts w:hint="eastAsia"/>
              </w:rPr>
              <w:t>0</w:t>
            </w:r>
          </w:p>
        </w:tc>
      </w:tr>
      <w:tr w:rsidR="005E000F" w14:paraId="1161703F" w14:textId="77777777">
        <w:tc>
          <w:tcPr>
            <w:tcW w:w="3507" w:type="dxa"/>
            <w:tcBorders>
              <w:top w:val="outset" w:sz="4" w:space="0" w:color="auto"/>
              <w:left w:val="outset" w:sz="4" w:space="0" w:color="auto"/>
              <w:bottom w:val="outset" w:sz="4" w:space="0" w:color="auto"/>
              <w:right w:val="outset" w:sz="4" w:space="0" w:color="auto"/>
            </w:tcBorders>
            <w:vAlign w:val="center"/>
          </w:tcPr>
          <w:p w14:paraId="7A198732" w14:textId="77777777" w:rsidR="005E000F" w:rsidRDefault="00000000">
            <w:pPr>
              <w:ind w:firstLineChars="100" w:firstLine="210"/>
            </w:pPr>
            <w:r>
              <w:t>（二）</w:t>
            </w:r>
            <w:r>
              <w:rPr>
                <w:rFonts w:hint="eastAsia"/>
              </w:rPr>
              <w:t>归属于少数股东的其他综合收益的税后净额</w:t>
            </w:r>
          </w:p>
        </w:tc>
        <w:tc>
          <w:tcPr>
            <w:tcW w:w="1516" w:type="dxa"/>
            <w:tcBorders>
              <w:top w:val="outset" w:sz="4" w:space="0" w:color="auto"/>
              <w:left w:val="outset" w:sz="4" w:space="0" w:color="auto"/>
              <w:bottom w:val="outset" w:sz="4" w:space="0" w:color="auto"/>
              <w:right w:val="outset" w:sz="4" w:space="0" w:color="auto"/>
            </w:tcBorders>
            <w:vAlign w:val="center"/>
          </w:tcPr>
          <w:p w14:paraId="406473DD"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8BDB1EF" w14:textId="77777777" w:rsidR="005E000F" w:rsidRDefault="00000000">
            <w:pPr>
              <w:jc w:val="right"/>
            </w:pPr>
            <w:r>
              <w:t>1,085,421</w:t>
            </w:r>
          </w:p>
        </w:tc>
        <w:tc>
          <w:tcPr>
            <w:tcW w:w="2018" w:type="dxa"/>
            <w:tcBorders>
              <w:top w:val="outset" w:sz="4" w:space="0" w:color="auto"/>
              <w:left w:val="outset" w:sz="4" w:space="0" w:color="auto"/>
              <w:bottom w:val="outset" w:sz="4" w:space="0" w:color="auto"/>
              <w:right w:val="outset" w:sz="4" w:space="0" w:color="auto"/>
            </w:tcBorders>
            <w:vAlign w:val="center"/>
          </w:tcPr>
          <w:p w14:paraId="5060170F" w14:textId="77777777" w:rsidR="005E000F" w:rsidRDefault="00000000">
            <w:pPr>
              <w:jc w:val="right"/>
            </w:pPr>
            <w:r>
              <w:rPr>
                <w:rFonts w:hint="eastAsia"/>
              </w:rPr>
              <w:t>-2,439,016</w:t>
            </w:r>
          </w:p>
        </w:tc>
      </w:tr>
      <w:tr w:rsidR="005E000F" w14:paraId="14B4D8A4" w14:textId="77777777">
        <w:tc>
          <w:tcPr>
            <w:tcW w:w="3507" w:type="dxa"/>
            <w:tcBorders>
              <w:top w:val="outset" w:sz="4" w:space="0" w:color="auto"/>
              <w:left w:val="outset" w:sz="4" w:space="0" w:color="auto"/>
              <w:bottom w:val="outset" w:sz="4" w:space="0" w:color="auto"/>
              <w:right w:val="outset" w:sz="4" w:space="0" w:color="auto"/>
            </w:tcBorders>
            <w:vAlign w:val="center"/>
          </w:tcPr>
          <w:p w14:paraId="621BD389" w14:textId="77777777" w:rsidR="005E000F" w:rsidRDefault="00000000">
            <w:r>
              <w:rPr>
                <w:rFonts w:hint="eastAsia"/>
              </w:rPr>
              <w:t>七、综合收益总额</w:t>
            </w:r>
          </w:p>
        </w:tc>
        <w:tc>
          <w:tcPr>
            <w:tcW w:w="1516" w:type="dxa"/>
            <w:tcBorders>
              <w:top w:val="outset" w:sz="4" w:space="0" w:color="auto"/>
              <w:left w:val="outset" w:sz="4" w:space="0" w:color="auto"/>
              <w:bottom w:val="outset" w:sz="4" w:space="0" w:color="auto"/>
              <w:right w:val="outset" w:sz="4" w:space="0" w:color="auto"/>
            </w:tcBorders>
            <w:vAlign w:val="center"/>
          </w:tcPr>
          <w:p w14:paraId="608F26E1"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ED36618" w14:textId="77777777" w:rsidR="005E000F" w:rsidRDefault="00000000">
            <w:pPr>
              <w:jc w:val="right"/>
            </w:pPr>
            <w:r>
              <w:t>6,798,496,851</w:t>
            </w:r>
          </w:p>
        </w:tc>
        <w:tc>
          <w:tcPr>
            <w:tcW w:w="2018" w:type="dxa"/>
            <w:tcBorders>
              <w:top w:val="outset" w:sz="4" w:space="0" w:color="auto"/>
              <w:left w:val="outset" w:sz="4" w:space="0" w:color="auto"/>
              <w:bottom w:val="outset" w:sz="4" w:space="0" w:color="auto"/>
              <w:right w:val="outset" w:sz="4" w:space="0" w:color="auto"/>
            </w:tcBorders>
            <w:vAlign w:val="center"/>
          </w:tcPr>
          <w:p w14:paraId="3F009730" w14:textId="77777777" w:rsidR="005E000F" w:rsidRDefault="00000000">
            <w:pPr>
              <w:jc w:val="right"/>
            </w:pPr>
            <w:r>
              <w:rPr>
                <w:rFonts w:hint="eastAsia"/>
              </w:rPr>
              <w:t>9,144,131,674</w:t>
            </w:r>
          </w:p>
        </w:tc>
      </w:tr>
      <w:tr w:rsidR="005E000F" w14:paraId="62C90186" w14:textId="77777777">
        <w:tc>
          <w:tcPr>
            <w:tcW w:w="3507" w:type="dxa"/>
            <w:tcBorders>
              <w:top w:val="outset" w:sz="4" w:space="0" w:color="auto"/>
              <w:left w:val="outset" w:sz="4" w:space="0" w:color="auto"/>
              <w:bottom w:val="outset" w:sz="4" w:space="0" w:color="auto"/>
              <w:right w:val="outset" w:sz="4" w:space="0" w:color="auto"/>
            </w:tcBorders>
            <w:vAlign w:val="center"/>
          </w:tcPr>
          <w:p w14:paraId="78E7DB00" w14:textId="77777777" w:rsidR="005E000F" w:rsidRDefault="00000000">
            <w:pPr>
              <w:ind w:firstLineChars="100" w:firstLine="210"/>
            </w:pPr>
            <w:r>
              <w:t>（一）</w:t>
            </w:r>
            <w:r>
              <w:rPr>
                <w:rFonts w:hint="eastAsia"/>
              </w:rPr>
              <w:t>归属于母公司所有者的综合收益总额</w:t>
            </w:r>
          </w:p>
        </w:tc>
        <w:tc>
          <w:tcPr>
            <w:tcW w:w="1516" w:type="dxa"/>
            <w:tcBorders>
              <w:top w:val="outset" w:sz="4" w:space="0" w:color="auto"/>
              <w:left w:val="outset" w:sz="4" w:space="0" w:color="auto"/>
              <w:bottom w:val="outset" w:sz="4" w:space="0" w:color="auto"/>
              <w:right w:val="outset" w:sz="4" w:space="0" w:color="auto"/>
            </w:tcBorders>
            <w:vAlign w:val="center"/>
          </w:tcPr>
          <w:p w14:paraId="71C97D84"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59E12E28" w14:textId="77777777" w:rsidR="005E000F" w:rsidRDefault="00000000">
            <w:pPr>
              <w:jc w:val="right"/>
            </w:pPr>
            <w:r>
              <w:t>5,848,523,590</w:t>
            </w:r>
          </w:p>
        </w:tc>
        <w:tc>
          <w:tcPr>
            <w:tcW w:w="2018" w:type="dxa"/>
            <w:tcBorders>
              <w:top w:val="outset" w:sz="4" w:space="0" w:color="auto"/>
              <w:left w:val="outset" w:sz="4" w:space="0" w:color="auto"/>
              <w:bottom w:val="outset" w:sz="4" w:space="0" w:color="auto"/>
              <w:right w:val="outset" w:sz="4" w:space="0" w:color="auto"/>
            </w:tcBorders>
            <w:vAlign w:val="center"/>
          </w:tcPr>
          <w:p w14:paraId="2EB4A274" w14:textId="77777777" w:rsidR="005E000F" w:rsidRDefault="00000000">
            <w:pPr>
              <w:jc w:val="right"/>
            </w:pPr>
            <w:r>
              <w:rPr>
                <w:rFonts w:hint="eastAsia"/>
              </w:rPr>
              <w:t>7,911,639,937</w:t>
            </w:r>
          </w:p>
        </w:tc>
      </w:tr>
      <w:tr w:rsidR="005E000F" w14:paraId="743648EA" w14:textId="77777777">
        <w:tc>
          <w:tcPr>
            <w:tcW w:w="3507" w:type="dxa"/>
            <w:tcBorders>
              <w:top w:val="outset" w:sz="4" w:space="0" w:color="auto"/>
              <w:left w:val="outset" w:sz="4" w:space="0" w:color="auto"/>
              <w:bottom w:val="outset" w:sz="4" w:space="0" w:color="auto"/>
              <w:right w:val="outset" w:sz="4" w:space="0" w:color="auto"/>
            </w:tcBorders>
            <w:vAlign w:val="center"/>
          </w:tcPr>
          <w:p w14:paraId="544C5329" w14:textId="77777777" w:rsidR="005E000F" w:rsidRDefault="00000000">
            <w:pPr>
              <w:ind w:firstLineChars="100" w:firstLine="210"/>
            </w:pPr>
            <w:r>
              <w:t>（二）</w:t>
            </w:r>
            <w:r>
              <w:rPr>
                <w:rFonts w:hint="eastAsia"/>
              </w:rPr>
              <w:t>归属于少数股东的综合收益总额</w:t>
            </w:r>
          </w:p>
        </w:tc>
        <w:tc>
          <w:tcPr>
            <w:tcW w:w="1516" w:type="dxa"/>
            <w:tcBorders>
              <w:top w:val="outset" w:sz="4" w:space="0" w:color="auto"/>
              <w:left w:val="outset" w:sz="4" w:space="0" w:color="auto"/>
              <w:bottom w:val="outset" w:sz="4" w:space="0" w:color="auto"/>
              <w:right w:val="outset" w:sz="4" w:space="0" w:color="auto"/>
            </w:tcBorders>
            <w:vAlign w:val="center"/>
          </w:tcPr>
          <w:p w14:paraId="0F1F31CD"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AC63A26" w14:textId="77777777" w:rsidR="005E000F" w:rsidRDefault="00000000">
            <w:pPr>
              <w:jc w:val="right"/>
            </w:pPr>
            <w:r>
              <w:t>949,973,261</w:t>
            </w:r>
          </w:p>
        </w:tc>
        <w:tc>
          <w:tcPr>
            <w:tcW w:w="2018" w:type="dxa"/>
            <w:tcBorders>
              <w:top w:val="outset" w:sz="4" w:space="0" w:color="auto"/>
              <w:left w:val="outset" w:sz="4" w:space="0" w:color="auto"/>
              <w:bottom w:val="outset" w:sz="4" w:space="0" w:color="auto"/>
              <w:right w:val="outset" w:sz="4" w:space="0" w:color="auto"/>
            </w:tcBorders>
            <w:vAlign w:val="center"/>
          </w:tcPr>
          <w:p w14:paraId="61B191E1" w14:textId="77777777" w:rsidR="005E000F" w:rsidRDefault="00000000">
            <w:pPr>
              <w:jc w:val="right"/>
            </w:pPr>
            <w:r>
              <w:rPr>
                <w:rFonts w:hint="eastAsia"/>
              </w:rPr>
              <w:t>1,232,491,737</w:t>
            </w:r>
          </w:p>
        </w:tc>
      </w:tr>
      <w:tr w:rsidR="005E000F" w14:paraId="270007FE" w14:textId="77777777">
        <w:sdt>
          <w:sdtPr>
            <w:tag w:val="_PLD_6e9655fe2b7c48e3964f7a74f9c6deea"/>
            <w:id w:val="-1963414866"/>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61983397" w14:textId="77777777" w:rsidR="005E000F" w:rsidRDefault="00000000">
                <w:pPr>
                  <w:rPr>
                    <w:color w:val="008000"/>
                  </w:rPr>
                </w:pPr>
                <w:r>
                  <w:rPr>
                    <w:rFonts w:hint="eastAsia"/>
                  </w:rPr>
                  <w:t>八、每股收益：</w:t>
                </w:r>
              </w:p>
            </w:tc>
          </w:sdtContent>
        </w:sdt>
      </w:tr>
      <w:tr w:rsidR="005E000F" w14:paraId="14263303" w14:textId="77777777">
        <w:tc>
          <w:tcPr>
            <w:tcW w:w="3507" w:type="dxa"/>
            <w:tcBorders>
              <w:top w:val="outset" w:sz="4" w:space="0" w:color="auto"/>
              <w:left w:val="outset" w:sz="4" w:space="0" w:color="auto"/>
              <w:bottom w:val="outset" w:sz="4" w:space="0" w:color="auto"/>
              <w:right w:val="outset" w:sz="4" w:space="0" w:color="auto"/>
            </w:tcBorders>
            <w:vAlign w:val="center"/>
          </w:tcPr>
          <w:p w14:paraId="473F5079" w14:textId="77777777" w:rsidR="005E000F" w:rsidRDefault="00000000">
            <w:pPr>
              <w:ind w:firstLineChars="100" w:firstLine="210"/>
            </w:pPr>
            <w:r>
              <w:t>（一）基本每股收益</w:t>
            </w:r>
            <w:r>
              <w:rPr>
                <w:rFonts w:hint="eastAsia"/>
              </w:rPr>
              <w:t>（元</w:t>
            </w:r>
            <w:r>
              <w:rPr>
                <w:rFonts w:hint="eastAsia"/>
              </w:rPr>
              <w:t>/</w:t>
            </w:r>
            <w:r>
              <w:rPr>
                <w:rFonts w:hint="eastAsia"/>
              </w:rPr>
              <w:t>股）</w:t>
            </w:r>
          </w:p>
        </w:tc>
        <w:tc>
          <w:tcPr>
            <w:tcW w:w="1516" w:type="dxa"/>
            <w:tcBorders>
              <w:top w:val="outset" w:sz="4" w:space="0" w:color="auto"/>
              <w:left w:val="outset" w:sz="4" w:space="0" w:color="auto"/>
              <w:bottom w:val="outset" w:sz="4" w:space="0" w:color="auto"/>
              <w:right w:val="outset" w:sz="4" w:space="0" w:color="auto"/>
            </w:tcBorders>
            <w:vAlign w:val="center"/>
          </w:tcPr>
          <w:p w14:paraId="62FF0A72"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D40A51B" w14:textId="77777777" w:rsidR="005E000F" w:rsidRDefault="00000000">
            <w:pPr>
              <w:jc w:val="right"/>
            </w:pPr>
            <w:r>
              <w:rPr>
                <w:rFonts w:hint="eastAsia"/>
              </w:rPr>
              <w:t>0.3</w:t>
            </w:r>
          </w:p>
        </w:tc>
        <w:tc>
          <w:tcPr>
            <w:tcW w:w="2018" w:type="dxa"/>
            <w:tcBorders>
              <w:top w:val="outset" w:sz="4" w:space="0" w:color="auto"/>
              <w:left w:val="outset" w:sz="4" w:space="0" w:color="auto"/>
              <w:bottom w:val="outset" w:sz="4" w:space="0" w:color="auto"/>
              <w:right w:val="outset" w:sz="4" w:space="0" w:color="auto"/>
            </w:tcBorders>
            <w:vAlign w:val="center"/>
          </w:tcPr>
          <w:p w14:paraId="640AFA03" w14:textId="77777777" w:rsidR="005E000F" w:rsidRDefault="00000000">
            <w:pPr>
              <w:jc w:val="right"/>
            </w:pPr>
            <w:r>
              <w:rPr>
                <w:rFonts w:hint="eastAsia"/>
              </w:rPr>
              <w:t>0.51</w:t>
            </w:r>
          </w:p>
        </w:tc>
      </w:tr>
      <w:tr w:rsidR="005E000F" w14:paraId="422F6A44" w14:textId="77777777">
        <w:tc>
          <w:tcPr>
            <w:tcW w:w="3507" w:type="dxa"/>
            <w:tcBorders>
              <w:top w:val="outset" w:sz="4" w:space="0" w:color="auto"/>
              <w:left w:val="outset" w:sz="4" w:space="0" w:color="auto"/>
              <w:bottom w:val="outset" w:sz="4" w:space="0" w:color="auto"/>
              <w:right w:val="outset" w:sz="4" w:space="0" w:color="auto"/>
            </w:tcBorders>
            <w:vAlign w:val="center"/>
          </w:tcPr>
          <w:p w14:paraId="187FBF7A" w14:textId="77777777" w:rsidR="005E000F" w:rsidRDefault="00000000">
            <w:pPr>
              <w:ind w:firstLineChars="100" w:firstLine="210"/>
            </w:pPr>
            <w:r>
              <w:t>（二）稀释每股收益</w:t>
            </w:r>
            <w:r>
              <w:rPr>
                <w:rFonts w:hint="eastAsia"/>
              </w:rPr>
              <w:t>（元</w:t>
            </w:r>
            <w:r>
              <w:rPr>
                <w:rFonts w:hint="eastAsia"/>
              </w:rPr>
              <w:t>/</w:t>
            </w:r>
            <w:r>
              <w:rPr>
                <w:rFonts w:hint="eastAsia"/>
              </w:rPr>
              <w:t>股）</w:t>
            </w:r>
          </w:p>
        </w:tc>
        <w:tc>
          <w:tcPr>
            <w:tcW w:w="1516" w:type="dxa"/>
            <w:tcBorders>
              <w:top w:val="outset" w:sz="4" w:space="0" w:color="auto"/>
              <w:left w:val="outset" w:sz="4" w:space="0" w:color="auto"/>
              <w:bottom w:val="outset" w:sz="4" w:space="0" w:color="auto"/>
              <w:right w:val="outset" w:sz="4" w:space="0" w:color="auto"/>
            </w:tcBorders>
            <w:vAlign w:val="center"/>
          </w:tcPr>
          <w:p w14:paraId="77E16670"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1D23BC98" w14:textId="77777777" w:rsidR="005E000F" w:rsidRDefault="00000000">
            <w:pPr>
              <w:jc w:val="right"/>
            </w:pPr>
            <w:r>
              <w:rPr>
                <w:rFonts w:hint="eastAsia"/>
              </w:rPr>
              <w:t>0.3</w:t>
            </w:r>
          </w:p>
        </w:tc>
        <w:tc>
          <w:tcPr>
            <w:tcW w:w="2018" w:type="dxa"/>
            <w:tcBorders>
              <w:top w:val="outset" w:sz="4" w:space="0" w:color="auto"/>
              <w:left w:val="outset" w:sz="4" w:space="0" w:color="auto"/>
              <w:bottom w:val="outset" w:sz="4" w:space="0" w:color="auto"/>
              <w:right w:val="outset" w:sz="4" w:space="0" w:color="auto"/>
            </w:tcBorders>
            <w:vAlign w:val="center"/>
          </w:tcPr>
          <w:p w14:paraId="7F06C7E4" w14:textId="77777777" w:rsidR="005E000F" w:rsidRDefault="00000000">
            <w:pPr>
              <w:jc w:val="right"/>
            </w:pPr>
            <w:r>
              <w:rPr>
                <w:rFonts w:hint="eastAsia"/>
              </w:rPr>
              <w:t>0.50</w:t>
            </w:r>
          </w:p>
        </w:tc>
      </w:tr>
    </w:tbl>
    <w:p w14:paraId="300C9709" w14:textId="77777777" w:rsidR="005E000F" w:rsidRDefault="005E000F"/>
    <w:p w14:paraId="6E0AF00F" w14:textId="77777777" w:rsidR="005E000F" w:rsidRDefault="00000000">
      <w:r>
        <w:rPr>
          <w:rFonts w:hint="eastAsia"/>
        </w:rPr>
        <w:t>公司负责</w:t>
      </w:r>
      <w:r>
        <w:t>人</w:t>
      </w:r>
      <w:r>
        <w:rPr>
          <w:rFonts w:hint="eastAsia"/>
        </w:rPr>
        <w:t>：</w:t>
      </w:r>
      <w:sdt>
        <w:sdtPr>
          <w:rPr>
            <w:rFonts w:hint="eastAsia"/>
          </w:rPr>
          <w:alias w:val="公司负责人姓名"/>
          <w:tag w:val="_GBC_85589cdf09ed4055b8d177524f5a0df0"/>
          <w:id w:val="-1280487159"/>
          <w:placeholder>
            <w:docPart w:val="GBC22222222222222222222222222222"/>
          </w:placeholder>
          <w:dataBinding w:prefixMappings="xmlns:clcid-mr='clcid-mr'" w:xpath="/*/clcid-mr:GongSiFuZeRenXingMing[not(@periodRef)]" w:storeItemID="{89EBAB94-44A0-46A2-B712-30D997D04A6D}"/>
          <w:text/>
        </w:sdtPr>
        <w:sdtContent>
          <w:proofErr w:type="gramStart"/>
          <w:r>
            <w:rPr>
              <w:rFonts w:hint="eastAsia"/>
            </w:rPr>
            <w:t>陆勇</w:t>
          </w:r>
          <w:proofErr w:type="gramEnd"/>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d5d5ec398a544491b9394eef54a56ec6"/>
          <w:id w:val="442120851"/>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b776bf38628747739bf5cfe3f08d63a8"/>
          <w:id w:val="1643998988"/>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孔韶鹏</w:t>
          </w:r>
        </w:sdtContent>
      </w:sdt>
    </w:p>
    <w:bookmarkEnd w:id="232"/>
    <w:p w14:paraId="34A86DB4" w14:textId="77777777" w:rsidR="005E000F" w:rsidRDefault="005E000F">
      <w:pPr>
        <w:rPr>
          <w:color w:val="FF0000"/>
        </w:rPr>
      </w:pPr>
    </w:p>
    <w:p w14:paraId="3C856EC7" w14:textId="77777777" w:rsidR="005E000F" w:rsidRDefault="00000000">
      <w:pPr>
        <w:pStyle w:val="3"/>
        <w:jc w:val="center"/>
      </w:pPr>
      <w:bookmarkStart w:id="233" w:name="_Hlk24038476"/>
      <w:r>
        <w:rPr>
          <w:rFonts w:hint="eastAsia"/>
        </w:rPr>
        <w:t>母公司</w:t>
      </w:r>
      <w:r>
        <w:t>利润表</w:t>
      </w:r>
    </w:p>
    <w:p w14:paraId="65F7A0B5" w14:textId="77777777" w:rsidR="005E000F" w:rsidRDefault="00000000">
      <w:pPr>
        <w:jc w:val="center"/>
        <w:rPr>
          <w:b/>
          <w:bCs/>
        </w:rPr>
      </w:pPr>
      <w:r>
        <w:t>2025</w:t>
      </w:r>
      <w:r>
        <w:t>年</w:t>
      </w:r>
      <w:r>
        <w:rPr>
          <w:rFonts w:hint="eastAsia"/>
        </w:rPr>
        <w:t>1</w:t>
      </w:r>
      <w:r>
        <w:rPr>
          <w:rFonts w:hint="eastAsia"/>
        </w:rPr>
        <w:t>—</w:t>
      </w:r>
      <w:r>
        <w:t>12</w:t>
      </w:r>
      <w:r>
        <w:t>月</w:t>
      </w:r>
    </w:p>
    <w:p w14:paraId="67DD267A" w14:textId="77777777" w:rsidR="005E000F" w:rsidRDefault="00000000">
      <w:pPr>
        <w:snapToGrid w:val="0"/>
        <w:spacing w:line="240" w:lineRule="atLeast"/>
        <w:jc w:val="right"/>
        <w:rPr>
          <w:b/>
          <w:bCs/>
          <w:color w:val="FF0000"/>
        </w:rPr>
      </w:pPr>
      <w:r>
        <w:t>单位：</w:t>
      </w:r>
      <w:sdt>
        <w:sdtPr>
          <w:alias w:val="单位：母公司利润表"/>
          <w:tag w:val="_GBC_f17e8cd8a21b417cb065f4c3b94f9c26"/>
          <w:id w:val="191929130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w:t>
      </w:r>
      <w:r>
        <w:t>币种：</w:t>
      </w:r>
      <w:sdt>
        <w:sdtPr>
          <w:alias w:val="币种：母公司利润表"/>
          <w:tag w:val="_GBC_514289adafbe4fe995f8f3791e23e392"/>
          <w:id w:val="20290500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07"/>
        <w:gridCol w:w="1516"/>
        <w:gridCol w:w="2008"/>
        <w:gridCol w:w="2018"/>
      </w:tblGrid>
      <w:tr w:rsidR="005E000F" w14:paraId="05DD3AA3" w14:textId="77777777">
        <w:trPr>
          <w:cantSplit/>
        </w:trPr>
        <w:tc>
          <w:tcPr>
            <w:tcW w:w="3507" w:type="dxa"/>
            <w:tcBorders>
              <w:top w:val="outset" w:sz="4" w:space="0" w:color="auto"/>
              <w:left w:val="outset" w:sz="4" w:space="0" w:color="auto"/>
              <w:bottom w:val="outset" w:sz="4" w:space="0" w:color="auto"/>
              <w:right w:val="outset" w:sz="4" w:space="0" w:color="auto"/>
            </w:tcBorders>
            <w:vAlign w:val="center"/>
          </w:tcPr>
          <w:sdt>
            <w:sdtPr>
              <w:tag w:val="_PLD_a25f325e0afe4d279180290df7e1dd6d"/>
              <w:id w:val="-1355181674"/>
            </w:sdtPr>
            <w:sdtContent>
              <w:p w14:paraId="2A1A17A6" w14:textId="77777777" w:rsidR="005E000F" w:rsidRDefault="00000000">
                <w:pPr>
                  <w:ind w:leftChars="-19" w:hangingChars="19" w:hanging="40"/>
                  <w:jc w:val="center"/>
                  <w:rPr>
                    <w:b/>
                  </w:rPr>
                </w:pPr>
                <w:r>
                  <w:rPr>
                    <w:rFonts w:hint="eastAsia"/>
                    <w:b/>
                  </w:rPr>
                  <w:t>项目</w:t>
                </w:r>
              </w:p>
            </w:sdtContent>
          </w:sdt>
        </w:tc>
        <w:tc>
          <w:tcPr>
            <w:tcW w:w="1516" w:type="dxa"/>
            <w:tcBorders>
              <w:top w:val="outset" w:sz="4" w:space="0" w:color="auto"/>
              <w:left w:val="outset" w:sz="4" w:space="0" w:color="auto"/>
              <w:bottom w:val="outset" w:sz="4" w:space="0" w:color="auto"/>
              <w:right w:val="outset" w:sz="4" w:space="0" w:color="auto"/>
            </w:tcBorders>
            <w:vAlign w:val="center"/>
          </w:tcPr>
          <w:sdt>
            <w:sdtPr>
              <w:tag w:val="_PLD_4bea71a35f204b56bca2b7ea223d4b71"/>
              <w:id w:val="1979947724"/>
            </w:sdtPr>
            <w:sdtContent>
              <w:p w14:paraId="460A0269" w14:textId="77777777" w:rsidR="005E000F" w:rsidRDefault="00000000">
                <w:pPr>
                  <w:jc w:val="center"/>
                  <w:rPr>
                    <w:b/>
                  </w:rPr>
                </w:pPr>
                <w:r>
                  <w:rPr>
                    <w:rFonts w:hint="eastAsia"/>
                    <w:b/>
                  </w:rPr>
                  <w:t>附注</w:t>
                </w:r>
              </w:p>
            </w:sdtContent>
          </w:sdt>
        </w:tc>
        <w:tc>
          <w:tcPr>
            <w:tcW w:w="2008" w:type="dxa"/>
            <w:tcBorders>
              <w:top w:val="outset" w:sz="4" w:space="0" w:color="auto"/>
              <w:left w:val="outset" w:sz="4" w:space="0" w:color="auto"/>
              <w:bottom w:val="outset" w:sz="4" w:space="0" w:color="auto"/>
              <w:right w:val="outset" w:sz="4" w:space="0" w:color="auto"/>
            </w:tcBorders>
            <w:vAlign w:val="center"/>
          </w:tcPr>
          <w:sdt>
            <w:sdtPr>
              <w:tag w:val="_PLD_a2bf02ec3f0b4ce2b9d25f751262d2b0"/>
              <w:id w:val="-271939140"/>
            </w:sdtPr>
            <w:sdtContent>
              <w:p w14:paraId="090B5E73" w14:textId="77777777" w:rsidR="005E000F" w:rsidRDefault="00000000">
                <w:pPr>
                  <w:jc w:val="center"/>
                  <w:rPr>
                    <w:b/>
                  </w:rPr>
                </w:pPr>
                <w:r>
                  <w:rPr>
                    <w:rFonts w:hint="eastAsia"/>
                    <w:b/>
                  </w:rPr>
                  <w:t>2025</w:t>
                </w:r>
                <w:r>
                  <w:rPr>
                    <w:rFonts w:hint="eastAsia"/>
                    <w:b/>
                  </w:rPr>
                  <w:t>年度</w:t>
                </w:r>
              </w:p>
            </w:sdtContent>
          </w:sdt>
        </w:tc>
        <w:tc>
          <w:tcPr>
            <w:tcW w:w="2018" w:type="dxa"/>
            <w:tcBorders>
              <w:top w:val="outset" w:sz="4" w:space="0" w:color="auto"/>
              <w:left w:val="outset" w:sz="4" w:space="0" w:color="auto"/>
              <w:bottom w:val="outset" w:sz="4" w:space="0" w:color="auto"/>
              <w:right w:val="outset" w:sz="4" w:space="0" w:color="auto"/>
            </w:tcBorders>
            <w:vAlign w:val="center"/>
          </w:tcPr>
          <w:sdt>
            <w:sdtPr>
              <w:tag w:val="_PLD_7a01f378d3e3492c9571d4400832431f"/>
              <w:id w:val="1020279731"/>
            </w:sdtPr>
            <w:sdtContent>
              <w:p w14:paraId="14330F43" w14:textId="77777777" w:rsidR="005E000F" w:rsidRDefault="00000000">
                <w:pPr>
                  <w:jc w:val="center"/>
                  <w:rPr>
                    <w:b/>
                  </w:rPr>
                </w:pPr>
                <w:r>
                  <w:rPr>
                    <w:rFonts w:hint="eastAsia"/>
                    <w:b/>
                  </w:rPr>
                  <w:t>2024</w:t>
                </w:r>
                <w:r>
                  <w:rPr>
                    <w:rFonts w:hint="eastAsia"/>
                    <w:b/>
                  </w:rPr>
                  <w:t>年度</w:t>
                </w:r>
              </w:p>
            </w:sdtContent>
          </w:sdt>
        </w:tc>
      </w:tr>
      <w:tr w:rsidR="005E000F" w14:paraId="065DDF64" w14:textId="77777777">
        <w:tc>
          <w:tcPr>
            <w:tcW w:w="3507" w:type="dxa"/>
            <w:tcBorders>
              <w:top w:val="outset" w:sz="4" w:space="0" w:color="auto"/>
              <w:left w:val="outset" w:sz="4" w:space="0" w:color="auto"/>
              <w:bottom w:val="outset" w:sz="4" w:space="0" w:color="auto"/>
              <w:right w:val="outset" w:sz="4" w:space="0" w:color="auto"/>
            </w:tcBorders>
            <w:vAlign w:val="center"/>
          </w:tcPr>
          <w:p w14:paraId="131F22A9" w14:textId="77777777" w:rsidR="005E000F" w:rsidRDefault="00000000">
            <w:pPr>
              <w:ind w:left="-19"/>
              <w:rPr>
                <w:color w:val="000000"/>
              </w:rPr>
            </w:pPr>
            <w:r>
              <w:rPr>
                <w:rFonts w:hint="eastAsia"/>
              </w:rPr>
              <w:t>一、营业收入</w:t>
            </w:r>
          </w:p>
        </w:tc>
        <w:tc>
          <w:tcPr>
            <w:tcW w:w="1516" w:type="dxa"/>
            <w:tcBorders>
              <w:top w:val="outset" w:sz="4" w:space="0" w:color="auto"/>
              <w:left w:val="outset" w:sz="4" w:space="0" w:color="auto"/>
              <w:bottom w:val="outset" w:sz="4" w:space="0" w:color="auto"/>
              <w:right w:val="outset" w:sz="4" w:space="0" w:color="auto"/>
            </w:tcBorders>
            <w:vAlign w:val="center"/>
          </w:tcPr>
          <w:p w14:paraId="2C815DA6" w14:textId="77777777" w:rsidR="005E000F" w:rsidRDefault="00000000">
            <w:r>
              <w:rPr>
                <w:rFonts w:hint="eastAsia"/>
              </w:rPr>
              <w:t>十九、</w:t>
            </w:r>
            <w:r>
              <w:t>4</w:t>
            </w:r>
          </w:p>
        </w:tc>
        <w:tc>
          <w:tcPr>
            <w:tcW w:w="2008" w:type="dxa"/>
            <w:tcBorders>
              <w:top w:val="outset" w:sz="4" w:space="0" w:color="auto"/>
              <w:left w:val="outset" w:sz="4" w:space="0" w:color="auto"/>
              <w:bottom w:val="outset" w:sz="4" w:space="0" w:color="auto"/>
              <w:right w:val="outset" w:sz="4" w:space="0" w:color="auto"/>
            </w:tcBorders>
            <w:vAlign w:val="center"/>
          </w:tcPr>
          <w:p w14:paraId="79F2823E" w14:textId="77777777" w:rsidR="005E000F" w:rsidRDefault="00000000">
            <w:pPr>
              <w:jc w:val="right"/>
            </w:pPr>
            <w:r>
              <w:t>73,524,674,653</w:t>
            </w:r>
          </w:p>
        </w:tc>
        <w:tc>
          <w:tcPr>
            <w:tcW w:w="2018" w:type="dxa"/>
            <w:tcBorders>
              <w:top w:val="outset" w:sz="4" w:space="0" w:color="auto"/>
              <w:left w:val="outset" w:sz="4" w:space="0" w:color="auto"/>
              <w:bottom w:val="outset" w:sz="4" w:space="0" w:color="auto"/>
              <w:right w:val="outset" w:sz="4" w:space="0" w:color="auto"/>
            </w:tcBorders>
            <w:vAlign w:val="center"/>
          </w:tcPr>
          <w:p w14:paraId="677B75AA" w14:textId="77777777" w:rsidR="005E000F" w:rsidRDefault="00000000">
            <w:pPr>
              <w:jc w:val="right"/>
            </w:pPr>
            <w:r>
              <w:t>70,022,895,285</w:t>
            </w:r>
          </w:p>
        </w:tc>
      </w:tr>
      <w:tr w:rsidR="005E000F" w14:paraId="3CDDC52D" w14:textId="77777777">
        <w:tc>
          <w:tcPr>
            <w:tcW w:w="3507" w:type="dxa"/>
            <w:tcBorders>
              <w:top w:val="outset" w:sz="4" w:space="0" w:color="auto"/>
              <w:left w:val="outset" w:sz="4" w:space="0" w:color="auto"/>
              <w:bottom w:val="outset" w:sz="4" w:space="0" w:color="auto"/>
              <w:right w:val="outset" w:sz="4" w:space="0" w:color="auto"/>
            </w:tcBorders>
            <w:vAlign w:val="center"/>
          </w:tcPr>
          <w:p w14:paraId="5A4FB0A1" w14:textId="77777777" w:rsidR="005E000F" w:rsidRDefault="00000000">
            <w:pPr>
              <w:ind w:firstLineChars="100" w:firstLine="210"/>
              <w:rPr>
                <w:color w:val="000000"/>
              </w:rPr>
            </w:pPr>
            <w:r>
              <w:rPr>
                <w:rFonts w:hint="eastAsia"/>
              </w:rPr>
              <w:t>减：营业成本</w:t>
            </w:r>
          </w:p>
        </w:tc>
        <w:tc>
          <w:tcPr>
            <w:tcW w:w="1516" w:type="dxa"/>
            <w:tcBorders>
              <w:top w:val="outset" w:sz="4" w:space="0" w:color="auto"/>
              <w:left w:val="outset" w:sz="4" w:space="0" w:color="auto"/>
              <w:bottom w:val="outset" w:sz="4" w:space="0" w:color="auto"/>
              <w:right w:val="outset" w:sz="4" w:space="0" w:color="auto"/>
            </w:tcBorders>
            <w:vAlign w:val="center"/>
          </w:tcPr>
          <w:p w14:paraId="3E37FE42" w14:textId="77777777" w:rsidR="005E000F" w:rsidRDefault="00000000">
            <w:r>
              <w:rPr>
                <w:rFonts w:hint="eastAsia"/>
              </w:rPr>
              <w:t>十九、</w:t>
            </w:r>
            <w:r>
              <w:t>4</w:t>
            </w:r>
          </w:p>
        </w:tc>
        <w:tc>
          <w:tcPr>
            <w:tcW w:w="2008" w:type="dxa"/>
            <w:tcBorders>
              <w:top w:val="outset" w:sz="4" w:space="0" w:color="auto"/>
              <w:left w:val="outset" w:sz="4" w:space="0" w:color="auto"/>
              <w:bottom w:val="outset" w:sz="4" w:space="0" w:color="auto"/>
              <w:right w:val="outset" w:sz="4" w:space="0" w:color="auto"/>
            </w:tcBorders>
            <w:vAlign w:val="center"/>
          </w:tcPr>
          <w:p w14:paraId="052207CA" w14:textId="77777777" w:rsidR="005E000F" w:rsidRDefault="00000000">
            <w:pPr>
              <w:jc w:val="right"/>
            </w:pPr>
            <w:r>
              <w:t>68,749,790,087</w:t>
            </w:r>
          </w:p>
        </w:tc>
        <w:tc>
          <w:tcPr>
            <w:tcW w:w="2018" w:type="dxa"/>
            <w:tcBorders>
              <w:top w:val="outset" w:sz="4" w:space="0" w:color="auto"/>
              <w:left w:val="outset" w:sz="4" w:space="0" w:color="auto"/>
              <w:bottom w:val="outset" w:sz="4" w:space="0" w:color="auto"/>
              <w:right w:val="outset" w:sz="4" w:space="0" w:color="auto"/>
            </w:tcBorders>
            <w:vAlign w:val="center"/>
          </w:tcPr>
          <w:p w14:paraId="059193BF" w14:textId="77777777" w:rsidR="005E000F" w:rsidRDefault="00000000">
            <w:pPr>
              <w:jc w:val="right"/>
            </w:pPr>
            <w:r>
              <w:t>61,256,792,684</w:t>
            </w:r>
          </w:p>
        </w:tc>
      </w:tr>
      <w:tr w:rsidR="005E000F" w14:paraId="30A6C97A" w14:textId="77777777">
        <w:tc>
          <w:tcPr>
            <w:tcW w:w="3507" w:type="dxa"/>
            <w:tcBorders>
              <w:top w:val="outset" w:sz="4" w:space="0" w:color="auto"/>
              <w:left w:val="outset" w:sz="4" w:space="0" w:color="auto"/>
              <w:bottom w:val="outset" w:sz="4" w:space="0" w:color="auto"/>
              <w:right w:val="outset" w:sz="4" w:space="0" w:color="auto"/>
            </w:tcBorders>
            <w:vAlign w:val="center"/>
          </w:tcPr>
          <w:p w14:paraId="22E2316E" w14:textId="77777777" w:rsidR="005E000F" w:rsidRDefault="00000000">
            <w:pPr>
              <w:ind w:firstLineChars="300" w:firstLine="630"/>
            </w:pPr>
            <w:r>
              <w:rPr>
                <w:rFonts w:hint="eastAsia"/>
              </w:rPr>
              <w:t>税金及附加</w:t>
            </w:r>
          </w:p>
        </w:tc>
        <w:tc>
          <w:tcPr>
            <w:tcW w:w="1516" w:type="dxa"/>
            <w:tcBorders>
              <w:top w:val="outset" w:sz="4" w:space="0" w:color="auto"/>
              <w:left w:val="outset" w:sz="4" w:space="0" w:color="auto"/>
              <w:bottom w:val="outset" w:sz="4" w:space="0" w:color="auto"/>
              <w:right w:val="outset" w:sz="4" w:space="0" w:color="auto"/>
            </w:tcBorders>
            <w:vAlign w:val="center"/>
          </w:tcPr>
          <w:p w14:paraId="5A8F19E2"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EE0D389" w14:textId="77777777" w:rsidR="005E000F" w:rsidRDefault="00000000">
            <w:pPr>
              <w:jc w:val="right"/>
            </w:pPr>
            <w:r>
              <w:t>246,584,047</w:t>
            </w:r>
          </w:p>
        </w:tc>
        <w:tc>
          <w:tcPr>
            <w:tcW w:w="2018" w:type="dxa"/>
            <w:tcBorders>
              <w:top w:val="outset" w:sz="4" w:space="0" w:color="auto"/>
              <w:left w:val="outset" w:sz="4" w:space="0" w:color="auto"/>
              <w:bottom w:val="outset" w:sz="4" w:space="0" w:color="auto"/>
              <w:right w:val="outset" w:sz="4" w:space="0" w:color="auto"/>
            </w:tcBorders>
            <w:vAlign w:val="center"/>
          </w:tcPr>
          <w:p w14:paraId="521FFFD7" w14:textId="77777777" w:rsidR="005E000F" w:rsidRDefault="00000000">
            <w:pPr>
              <w:jc w:val="right"/>
            </w:pPr>
            <w:r>
              <w:t>233,298,064</w:t>
            </w:r>
          </w:p>
        </w:tc>
      </w:tr>
      <w:tr w:rsidR="005E000F" w14:paraId="4082CD69" w14:textId="77777777">
        <w:tc>
          <w:tcPr>
            <w:tcW w:w="3507" w:type="dxa"/>
            <w:tcBorders>
              <w:top w:val="outset" w:sz="4" w:space="0" w:color="auto"/>
              <w:left w:val="outset" w:sz="4" w:space="0" w:color="auto"/>
              <w:bottom w:val="outset" w:sz="4" w:space="0" w:color="auto"/>
              <w:right w:val="outset" w:sz="4" w:space="0" w:color="auto"/>
            </w:tcBorders>
            <w:vAlign w:val="center"/>
          </w:tcPr>
          <w:p w14:paraId="098C1627" w14:textId="77777777" w:rsidR="005E000F" w:rsidRDefault="00000000">
            <w:pPr>
              <w:ind w:firstLineChars="300" w:firstLine="630"/>
            </w:pPr>
            <w:r>
              <w:rPr>
                <w:rFonts w:hint="eastAsia"/>
              </w:rPr>
              <w:t>销售费用</w:t>
            </w:r>
          </w:p>
        </w:tc>
        <w:tc>
          <w:tcPr>
            <w:tcW w:w="1516" w:type="dxa"/>
            <w:tcBorders>
              <w:top w:val="outset" w:sz="4" w:space="0" w:color="auto"/>
              <w:left w:val="outset" w:sz="4" w:space="0" w:color="auto"/>
              <w:bottom w:val="outset" w:sz="4" w:space="0" w:color="auto"/>
              <w:right w:val="outset" w:sz="4" w:space="0" w:color="auto"/>
            </w:tcBorders>
            <w:vAlign w:val="center"/>
          </w:tcPr>
          <w:p w14:paraId="5E3A9EEC"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09EFABE3" w14:textId="77777777" w:rsidR="005E000F" w:rsidRDefault="00000000">
            <w:pPr>
              <w:jc w:val="right"/>
            </w:pPr>
            <w:r>
              <w:t>51,514,977</w:t>
            </w:r>
          </w:p>
        </w:tc>
        <w:tc>
          <w:tcPr>
            <w:tcW w:w="2018" w:type="dxa"/>
            <w:tcBorders>
              <w:top w:val="outset" w:sz="4" w:space="0" w:color="auto"/>
              <w:left w:val="outset" w:sz="4" w:space="0" w:color="auto"/>
              <w:bottom w:val="outset" w:sz="4" w:space="0" w:color="auto"/>
              <w:right w:val="outset" w:sz="4" w:space="0" w:color="auto"/>
            </w:tcBorders>
            <w:vAlign w:val="center"/>
          </w:tcPr>
          <w:p w14:paraId="4AA1E95F" w14:textId="77777777" w:rsidR="005E000F" w:rsidRDefault="00000000">
            <w:pPr>
              <w:jc w:val="right"/>
            </w:pPr>
            <w:r>
              <w:t>127,752,556</w:t>
            </w:r>
          </w:p>
        </w:tc>
      </w:tr>
      <w:tr w:rsidR="005E000F" w14:paraId="4DF74FB5" w14:textId="77777777">
        <w:tc>
          <w:tcPr>
            <w:tcW w:w="3507" w:type="dxa"/>
            <w:tcBorders>
              <w:top w:val="outset" w:sz="4" w:space="0" w:color="auto"/>
              <w:left w:val="outset" w:sz="4" w:space="0" w:color="auto"/>
              <w:bottom w:val="outset" w:sz="4" w:space="0" w:color="auto"/>
              <w:right w:val="outset" w:sz="4" w:space="0" w:color="auto"/>
            </w:tcBorders>
            <w:vAlign w:val="center"/>
          </w:tcPr>
          <w:p w14:paraId="750EFE32" w14:textId="77777777" w:rsidR="005E000F" w:rsidRDefault="00000000">
            <w:pPr>
              <w:ind w:firstLineChars="300" w:firstLine="630"/>
            </w:pPr>
            <w:r>
              <w:rPr>
                <w:rFonts w:hint="eastAsia"/>
              </w:rPr>
              <w:t>管理费用</w:t>
            </w:r>
          </w:p>
        </w:tc>
        <w:tc>
          <w:tcPr>
            <w:tcW w:w="1516" w:type="dxa"/>
            <w:tcBorders>
              <w:top w:val="outset" w:sz="4" w:space="0" w:color="auto"/>
              <w:left w:val="outset" w:sz="4" w:space="0" w:color="auto"/>
              <w:bottom w:val="outset" w:sz="4" w:space="0" w:color="auto"/>
              <w:right w:val="outset" w:sz="4" w:space="0" w:color="auto"/>
            </w:tcBorders>
            <w:vAlign w:val="center"/>
          </w:tcPr>
          <w:p w14:paraId="5B3AC830"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91EB55F" w14:textId="77777777" w:rsidR="005E000F" w:rsidRDefault="00000000">
            <w:pPr>
              <w:jc w:val="right"/>
            </w:pPr>
            <w:r>
              <w:t>755,026,131</w:t>
            </w:r>
          </w:p>
        </w:tc>
        <w:tc>
          <w:tcPr>
            <w:tcW w:w="2018" w:type="dxa"/>
            <w:tcBorders>
              <w:top w:val="outset" w:sz="4" w:space="0" w:color="auto"/>
              <w:left w:val="outset" w:sz="4" w:space="0" w:color="auto"/>
              <w:bottom w:val="outset" w:sz="4" w:space="0" w:color="auto"/>
              <w:right w:val="outset" w:sz="4" w:space="0" w:color="auto"/>
            </w:tcBorders>
            <w:vAlign w:val="center"/>
          </w:tcPr>
          <w:p w14:paraId="2A20F8D8" w14:textId="77777777" w:rsidR="005E000F" w:rsidRDefault="00000000">
            <w:pPr>
              <w:jc w:val="right"/>
            </w:pPr>
            <w:r>
              <w:t>359,044,585</w:t>
            </w:r>
          </w:p>
        </w:tc>
      </w:tr>
      <w:tr w:rsidR="005E000F" w14:paraId="0BCB3AE5" w14:textId="77777777">
        <w:tc>
          <w:tcPr>
            <w:tcW w:w="3507" w:type="dxa"/>
            <w:tcBorders>
              <w:top w:val="outset" w:sz="4" w:space="0" w:color="auto"/>
              <w:left w:val="outset" w:sz="4" w:space="0" w:color="auto"/>
              <w:bottom w:val="outset" w:sz="4" w:space="0" w:color="auto"/>
              <w:right w:val="outset" w:sz="4" w:space="0" w:color="auto"/>
            </w:tcBorders>
            <w:vAlign w:val="center"/>
          </w:tcPr>
          <w:p w14:paraId="23B9B968" w14:textId="77777777" w:rsidR="005E000F" w:rsidRDefault="00000000">
            <w:pPr>
              <w:ind w:firstLineChars="300" w:firstLine="630"/>
            </w:pPr>
            <w:r>
              <w:rPr>
                <w:rFonts w:hint="eastAsia"/>
              </w:rPr>
              <w:t>研发费用</w:t>
            </w:r>
          </w:p>
        </w:tc>
        <w:tc>
          <w:tcPr>
            <w:tcW w:w="1516" w:type="dxa"/>
            <w:tcBorders>
              <w:top w:val="outset" w:sz="4" w:space="0" w:color="auto"/>
              <w:left w:val="outset" w:sz="4" w:space="0" w:color="auto"/>
              <w:bottom w:val="outset" w:sz="4" w:space="0" w:color="auto"/>
              <w:right w:val="outset" w:sz="4" w:space="0" w:color="auto"/>
            </w:tcBorders>
            <w:vAlign w:val="center"/>
          </w:tcPr>
          <w:p w14:paraId="270A9EC7"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5D7A0385" w14:textId="77777777" w:rsidR="005E000F" w:rsidRDefault="00000000">
            <w:pPr>
              <w:jc w:val="right"/>
            </w:pPr>
            <w:r>
              <w:t>11,719,039</w:t>
            </w:r>
          </w:p>
        </w:tc>
        <w:tc>
          <w:tcPr>
            <w:tcW w:w="2018" w:type="dxa"/>
            <w:tcBorders>
              <w:top w:val="outset" w:sz="4" w:space="0" w:color="auto"/>
              <w:left w:val="outset" w:sz="4" w:space="0" w:color="auto"/>
              <w:bottom w:val="outset" w:sz="4" w:space="0" w:color="auto"/>
              <w:right w:val="outset" w:sz="4" w:space="0" w:color="auto"/>
            </w:tcBorders>
            <w:vAlign w:val="center"/>
          </w:tcPr>
          <w:p w14:paraId="2CE5ED3E" w14:textId="77777777" w:rsidR="005E000F" w:rsidRDefault="00000000">
            <w:pPr>
              <w:jc w:val="right"/>
            </w:pPr>
            <w:r>
              <w:t>7,567,164</w:t>
            </w:r>
          </w:p>
        </w:tc>
      </w:tr>
      <w:tr w:rsidR="005E000F" w14:paraId="069B7032" w14:textId="77777777">
        <w:tc>
          <w:tcPr>
            <w:tcW w:w="3507" w:type="dxa"/>
            <w:tcBorders>
              <w:top w:val="outset" w:sz="4" w:space="0" w:color="auto"/>
              <w:left w:val="outset" w:sz="4" w:space="0" w:color="auto"/>
              <w:bottom w:val="outset" w:sz="4" w:space="0" w:color="auto"/>
              <w:right w:val="outset" w:sz="4" w:space="0" w:color="auto"/>
            </w:tcBorders>
            <w:vAlign w:val="center"/>
          </w:tcPr>
          <w:p w14:paraId="0E9F0EBA" w14:textId="77777777" w:rsidR="005E000F" w:rsidRDefault="00000000">
            <w:pPr>
              <w:ind w:firstLineChars="300" w:firstLine="630"/>
            </w:pPr>
            <w:r>
              <w:rPr>
                <w:rFonts w:hint="eastAsia"/>
              </w:rPr>
              <w:t>财务费用</w:t>
            </w:r>
          </w:p>
        </w:tc>
        <w:tc>
          <w:tcPr>
            <w:tcW w:w="1516" w:type="dxa"/>
            <w:tcBorders>
              <w:top w:val="outset" w:sz="4" w:space="0" w:color="auto"/>
              <w:left w:val="outset" w:sz="4" w:space="0" w:color="auto"/>
              <w:bottom w:val="outset" w:sz="4" w:space="0" w:color="auto"/>
              <w:right w:val="outset" w:sz="4" w:space="0" w:color="auto"/>
            </w:tcBorders>
            <w:vAlign w:val="center"/>
          </w:tcPr>
          <w:p w14:paraId="0704BD81"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5BE6BFB9" w14:textId="77777777" w:rsidR="005E000F" w:rsidRDefault="00000000">
            <w:pPr>
              <w:jc w:val="right"/>
            </w:pPr>
            <w:r>
              <w:t>-555,796,136</w:t>
            </w:r>
          </w:p>
        </w:tc>
        <w:tc>
          <w:tcPr>
            <w:tcW w:w="2018" w:type="dxa"/>
            <w:tcBorders>
              <w:top w:val="outset" w:sz="4" w:space="0" w:color="auto"/>
              <w:left w:val="outset" w:sz="4" w:space="0" w:color="auto"/>
              <w:bottom w:val="outset" w:sz="4" w:space="0" w:color="auto"/>
              <w:right w:val="outset" w:sz="4" w:space="0" w:color="auto"/>
            </w:tcBorders>
            <w:vAlign w:val="center"/>
          </w:tcPr>
          <w:p w14:paraId="3E560F72" w14:textId="77777777" w:rsidR="005E000F" w:rsidRDefault="00000000">
            <w:pPr>
              <w:jc w:val="right"/>
            </w:pPr>
            <w:r>
              <w:t>-251,661,636</w:t>
            </w:r>
          </w:p>
        </w:tc>
      </w:tr>
      <w:tr w:rsidR="005E000F" w14:paraId="7ADE0384" w14:textId="77777777">
        <w:tc>
          <w:tcPr>
            <w:tcW w:w="3507" w:type="dxa"/>
            <w:tcBorders>
              <w:top w:val="outset" w:sz="4" w:space="0" w:color="auto"/>
              <w:left w:val="outset" w:sz="4" w:space="0" w:color="auto"/>
              <w:bottom w:val="outset" w:sz="4" w:space="0" w:color="auto"/>
              <w:right w:val="outset" w:sz="4" w:space="0" w:color="auto"/>
            </w:tcBorders>
            <w:vAlign w:val="center"/>
          </w:tcPr>
          <w:p w14:paraId="142BD13C" w14:textId="77777777" w:rsidR="005E000F" w:rsidRDefault="00000000">
            <w:pPr>
              <w:ind w:firstLineChars="300" w:firstLine="630"/>
            </w:pPr>
            <w:r>
              <w:rPr>
                <w:rFonts w:hint="eastAsia"/>
              </w:rPr>
              <w:t>其中：利息费用</w:t>
            </w:r>
          </w:p>
        </w:tc>
        <w:tc>
          <w:tcPr>
            <w:tcW w:w="1516" w:type="dxa"/>
            <w:tcBorders>
              <w:top w:val="outset" w:sz="4" w:space="0" w:color="auto"/>
              <w:left w:val="outset" w:sz="4" w:space="0" w:color="auto"/>
              <w:bottom w:val="outset" w:sz="4" w:space="0" w:color="auto"/>
              <w:right w:val="outset" w:sz="4" w:space="0" w:color="auto"/>
            </w:tcBorders>
            <w:vAlign w:val="center"/>
          </w:tcPr>
          <w:p w14:paraId="70069E92"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8FE3496" w14:textId="77777777" w:rsidR="005E000F" w:rsidRDefault="00000000">
            <w:pPr>
              <w:jc w:val="right"/>
            </w:pPr>
            <w:r>
              <w:t>79,679,986</w:t>
            </w:r>
          </w:p>
        </w:tc>
        <w:tc>
          <w:tcPr>
            <w:tcW w:w="2018" w:type="dxa"/>
            <w:tcBorders>
              <w:top w:val="outset" w:sz="4" w:space="0" w:color="auto"/>
              <w:left w:val="outset" w:sz="4" w:space="0" w:color="auto"/>
              <w:bottom w:val="outset" w:sz="4" w:space="0" w:color="auto"/>
              <w:right w:val="outset" w:sz="4" w:space="0" w:color="auto"/>
            </w:tcBorders>
            <w:vAlign w:val="center"/>
          </w:tcPr>
          <w:p w14:paraId="5B34278C" w14:textId="77777777" w:rsidR="005E000F" w:rsidRDefault="00000000">
            <w:pPr>
              <w:jc w:val="right"/>
            </w:pPr>
            <w:r>
              <w:t>544,042,158</w:t>
            </w:r>
          </w:p>
        </w:tc>
      </w:tr>
      <w:tr w:rsidR="005E000F" w14:paraId="52FEC63A" w14:textId="77777777">
        <w:tc>
          <w:tcPr>
            <w:tcW w:w="3507" w:type="dxa"/>
            <w:tcBorders>
              <w:top w:val="outset" w:sz="4" w:space="0" w:color="auto"/>
              <w:left w:val="outset" w:sz="4" w:space="0" w:color="auto"/>
              <w:bottom w:val="outset" w:sz="4" w:space="0" w:color="auto"/>
              <w:right w:val="outset" w:sz="4" w:space="0" w:color="auto"/>
            </w:tcBorders>
            <w:vAlign w:val="center"/>
          </w:tcPr>
          <w:p w14:paraId="3239E11B" w14:textId="77777777" w:rsidR="005E000F" w:rsidRDefault="00000000">
            <w:pPr>
              <w:ind w:firstLineChars="600" w:firstLine="1260"/>
            </w:pPr>
            <w:r>
              <w:rPr>
                <w:rFonts w:hint="eastAsia"/>
              </w:rPr>
              <w:t>利息收入</w:t>
            </w:r>
          </w:p>
        </w:tc>
        <w:tc>
          <w:tcPr>
            <w:tcW w:w="1516" w:type="dxa"/>
            <w:tcBorders>
              <w:top w:val="outset" w:sz="4" w:space="0" w:color="auto"/>
              <w:left w:val="outset" w:sz="4" w:space="0" w:color="auto"/>
              <w:bottom w:val="outset" w:sz="4" w:space="0" w:color="auto"/>
              <w:right w:val="outset" w:sz="4" w:space="0" w:color="auto"/>
            </w:tcBorders>
            <w:vAlign w:val="center"/>
          </w:tcPr>
          <w:p w14:paraId="717D8FEA"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906EC4E" w14:textId="77777777" w:rsidR="005E000F" w:rsidRDefault="00000000">
            <w:pPr>
              <w:jc w:val="right"/>
            </w:pPr>
            <w:r>
              <w:t>741,159,899</w:t>
            </w:r>
          </w:p>
        </w:tc>
        <w:tc>
          <w:tcPr>
            <w:tcW w:w="2018" w:type="dxa"/>
            <w:tcBorders>
              <w:top w:val="outset" w:sz="4" w:space="0" w:color="auto"/>
              <w:left w:val="outset" w:sz="4" w:space="0" w:color="auto"/>
              <w:bottom w:val="outset" w:sz="4" w:space="0" w:color="auto"/>
              <w:right w:val="outset" w:sz="4" w:space="0" w:color="auto"/>
            </w:tcBorders>
            <w:vAlign w:val="center"/>
          </w:tcPr>
          <w:p w14:paraId="19A4668C" w14:textId="77777777" w:rsidR="005E000F" w:rsidRDefault="00000000">
            <w:pPr>
              <w:jc w:val="right"/>
            </w:pPr>
            <w:r>
              <w:t>953,157,678</w:t>
            </w:r>
          </w:p>
        </w:tc>
      </w:tr>
      <w:tr w:rsidR="005E000F" w14:paraId="72ADF858" w14:textId="77777777">
        <w:tc>
          <w:tcPr>
            <w:tcW w:w="3507" w:type="dxa"/>
            <w:tcBorders>
              <w:top w:val="outset" w:sz="4" w:space="0" w:color="auto"/>
              <w:left w:val="outset" w:sz="4" w:space="0" w:color="auto"/>
              <w:bottom w:val="outset" w:sz="4" w:space="0" w:color="auto"/>
              <w:right w:val="outset" w:sz="4" w:space="0" w:color="auto"/>
            </w:tcBorders>
            <w:vAlign w:val="center"/>
          </w:tcPr>
          <w:p w14:paraId="13076FD9" w14:textId="77777777" w:rsidR="005E000F" w:rsidRDefault="00000000">
            <w:pPr>
              <w:ind w:firstLineChars="100" w:firstLine="210"/>
            </w:pPr>
            <w:r>
              <w:rPr>
                <w:rFonts w:hint="eastAsia"/>
              </w:rPr>
              <w:t>加：其他收益</w:t>
            </w:r>
          </w:p>
        </w:tc>
        <w:tc>
          <w:tcPr>
            <w:tcW w:w="1516" w:type="dxa"/>
            <w:tcBorders>
              <w:top w:val="outset" w:sz="4" w:space="0" w:color="auto"/>
              <w:left w:val="outset" w:sz="4" w:space="0" w:color="auto"/>
              <w:bottom w:val="outset" w:sz="4" w:space="0" w:color="auto"/>
              <w:right w:val="outset" w:sz="4" w:space="0" w:color="auto"/>
            </w:tcBorders>
            <w:vAlign w:val="center"/>
          </w:tcPr>
          <w:p w14:paraId="1F5A83F8"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E85740B" w14:textId="77777777" w:rsidR="005E000F" w:rsidRDefault="00000000">
            <w:pPr>
              <w:jc w:val="right"/>
            </w:pPr>
            <w:r>
              <w:t>115,710,005</w:t>
            </w:r>
          </w:p>
        </w:tc>
        <w:tc>
          <w:tcPr>
            <w:tcW w:w="2018" w:type="dxa"/>
            <w:tcBorders>
              <w:top w:val="outset" w:sz="4" w:space="0" w:color="auto"/>
              <w:left w:val="outset" w:sz="4" w:space="0" w:color="auto"/>
              <w:bottom w:val="outset" w:sz="4" w:space="0" w:color="auto"/>
              <w:right w:val="outset" w:sz="4" w:space="0" w:color="auto"/>
            </w:tcBorders>
            <w:vAlign w:val="center"/>
          </w:tcPr>
          <w:p w14:paraId="10C1B79F" w14:textId="77777777" w:rsidR="005E000F" w:rsidRDefault="00000000">
            <w:pPr>
              <w:jc w:val="right"/>
            </w:pPr>
            <w:r>
              <w:t>86,420,485</w:t>
            </w:r>
          </w:p>
        </w:tc>
      </w:tr>
      <w:tr w:rsidR="005E000F" w14:paraId="066CF43D" w14:textId="77777777">
        <w:tc>
          <w:tcPr>
            <w:tcW w:w="3507" w:type="dxa"/>
            <w:tcBorders>
              <w:top w:val="outset" w:sz="4" w:space="0" w:color="auto"/>
              <w:left w:val="outset" w:sz="4" w:space="0" w:color="auto"/>
              <w:bottom w:val="outset" w:sz="4" w:space="0" w:color="auto"/>
              <w:right w:val="outset" w:sz="4" w:space="0" w:color="auto"/>
            </w:tcBorders>
            <w:vAlign w:val="center"/>
          </w:tcPr>
          <w:p w14:paraId="171D40E8" w14:textId="77777777" w:rsidR="005E000F" w:rsidRDefault="00000000">
            <w:pPr>
              <w:ind w:firstLineChars="300" w:firstLine="630"/>
            </w:pPr>
            <w:r>
              <w:rPr>
                <w:rFonts w:hint="eastAsia"/>
              </w:rPr>
              <w:t>投资收益（损失以“－”号填列）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584FBE59" w14:textId="77777777" w:rsidR="005E000F" w:rsidRDefault="00000000">
            <w:r>
              <w:rPr>
                <w:rFonts w:hint="eastAsia"/>
              </w:rPr>
              <w:t>十九、</w:t>
            </w:r>
            <w:r>
              <w:t>5</w:t>
            </w:r>
          </w:p>
        </w:tc>
        <w:tc>
          <w:tcPr>
            <w:tcW w:w="2008" w:type="dxa"/>
            <w:tcBorders>
              <w:top w:val="outset" w:sz="4" w:space="0" w:color="auto"/>
              <w:left w:val="outset" w:sz="4" w:space="0" w:color="auto"/>
              <w:bottom w:val="outset" w:sz="4" w:space="0" w:color="auto"/>
              <w:right w:val="outset" w:sz="4" w:space="0" w:color="auto"/>
            </w:tcBorders>
            <w:vAlign w:val="center"/>
          </w:tcPr>
          <w:p w14:paraId="064653C6" w14:textId="77777777" w:rsidR="005E000F" w:rsidRDefault="00000000">
            <w:pPr>
              <w:jc w:val="right"/>
            </w:pPr>
            <w:r>
              <w:t>2,993,913,936</w:t>
            </w:r>
          </w:p>
        </w:tc>
        <w:tc>
          <w:tcPr>
            <w:tcW w:w="2018" w:type="dxa"/>
            <w:tcBorders>
              <w:top w:val="outset" w:sz="4" w:space="0" w:color="auto"/>
              <w:left w:val="outset" w:sz="4" w:space="0" w:color="auto"/>
              <w:bottom w:val="outset" w:sz="4" w:space="0" w:color="auto"/>
              <w:right w:val="outset" w:sz="4" w:space="0" w:color="auto"/>
            </w:tcBorders>
            <w:vAlign w:val="center"/>
          </w:tcPr>
          <w:p w14:paraId="53087492" w14:textId="77777777" w:rsidR="005E000F" w:rsidRDefault="00000000">
            <w:pPr>
              <w:jc w:val="right"/>
            </w:pPr>
            <w:r>
              <w:t>3,045,668,692</w:t>
            </w:r>
          </w:p>
        </w:tc>
      </w:tr>
      <w:tr w:rsidR="005E000F" w14:paraId="7B9A03A3" w14:textId="77777777">
        <w:tc>
          <w:tcPr>
            <w:tcW w:w="3507" w:type="dxa"/>
            <w:tcBorders>
              <w:top w:val="outset" w:sz="4" w:space="0" w:color="auto"/>
              <w:left w:val="outset" w:sz="4" w:space="0" w:color="auto"/>
              <w:bottom w:val="outset" w:sz="4" w:space="0" w:color="auto"/>
              <w:right w:val="outset" w:sz="4" w:space="0" w:color="auto"/>
            </w:tcBorders>
            <w:vAlign w:val="center"/>
          </w:tcPr>
          <w:p w14:paraId="1CE26A8E" w14:textId="77777777" w:rsidR="005E000F" w:rsidRDefault="00000000">
            <w:pPr>
              <w:ind w:firstLineChars="300" w:firstLine="630"/>
            </w:pPr>
            <w:r>
              <w:rPr>
                <w:rFonts w:hint="eastAsia"/>
              </w:rPr>
              <w:t>其中：对联营企业和合营企业的投资收益</w:t>
            </w:r>
          </w:p>
        </w:tc>
        <w:tc>
          <w:tcPr>
            <w:tcW w:w="1516" w:type="dxa"/>
            <w:tcBorders>
              <w:top w:val="outset" w:sz="4" w:space="0" w:color="auto"/>
              <w:left w:val="outset" w:sz="4" w:space="0" w:color="auto"/>
              <w:bottom w:val="outset" w:sz="4" w:space="0" w:color="auto"/>
              <w:right w:val="outset" w:sz="4" w:space="0" w:color="auto"/>
            </w:tcBorders>
            <w:vAlign w:val="center"/>
          </w:tcPr>
          <w:p w14:paraId="351E8B60"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FD5A7C8" w14:textId="77777777" w:rsidR="005E000F" w:rsidRDefault="00000000">
            <w:pPr>
              <w:jc w:val="right"/>
            </w:pPr>
            <w:r>
              <w:t>2,739,415,250</w:t>
            </w:r>
          </w:p>
        </w:tc>
        <w:tc>
          <w:tcPr>
            <w:tcW w:w="2018" w:type="dxa"/>
            <w:tcBorders>
              <w:top w:val="outset" w:sz="4" w:space="0" w:color="auto"/>
              <w:left w:val="outset" w:sz="4" w:space="0" w:color="auto"/>
              <w:bottom w:val="outset" w:sz="4" w:space="0" w:color="auto"/>
              <w:right w:val="outset" w:sz="4" w:space="0" w:color="auto"/>
            </w:tcBorders>
            <w:vAlign w:val="center"/>
          </w:tcPr>
          <w:p w14:paraId="72928F8D" w14:textId="77777777" w:rsidR="005E000F" w:rsidRDefault="00000000">
            <w:pPr>
              <w:jc w:val="right"/>
            </w:pPr>
            <w:r>
              <w:t>2,782,076,642</w:t>
            </w:r>
          </w:p>
        </w:tc>
      </w:tr>
      <w:tr w:rsidR="005E000F" w14:paraId="31898672" w14:textId="77777777">
        <w:tc>
          <w:tcPr>
            <w:tcW w:w="3507" w:type="dxa"/>
            <w:tcBorders>
              <w:top w:val="outset" w:sz="4" w:space="0" w:color="auto"/>
              <w:left w:val="outset" w:sz="4" w:space="0" w:color="auto"/>
              <w:bottom w:val="outset" w:sz="4" w:space="0" w:color="auto"/>
              <w:right w:val="outset" w:sz="4" w:space="0" w:color="auto"/>
            </w:tcBorders>
            <w:vAlign w:val="center"/>
          </w:tcPr>
          <w:p w14:paraId="5E8A8850" w14:textId="77777777" w:rsidR="005E000F" w:rsidRDefault="00000000">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tc>
          <w:tcPr>
            <w:tcW w:w="1516" w:type="dxa"/>
            <w:tcBorders>
              <w:top w:val="outset" w:sz="4" w:space="0" w:color="auto"/>
              <w:left w:val="outset" w:sz="4" w:space="0" w:color="auto"/>
              <w:bottom w:val="outset" w:sz="4" w:space="0" w:color="auto"/>
              <w:right w:val="outset" w:sz="4" w:space="0" w:color="auto"/>
            </w:tcBorders>
            <w:vAlign w:val="center"/>
          </w:tcPr>
          <w:p w14:paraId="039C47E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1D7EE613"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284D1E20" w14:textId="77777777" w:rsidR="005E000F" w:rsidRDefault="00000000">
            <w:pPr>
              <w:jc w:val="right"/>
            </w:pPr>
            <w:r>
              <w:t>0</w:t>
            </w:r>
          </w:p>
        </w:tc>
      </w:tr>
      <w:tr w:rsidR="005E000F" w14:paraId="4B3BF371" w14:textId="77777777">
        <w:tc>
          <w:tcPr>
            <w:tcW w:w="3507" w:type="dxa"/>
            <w:tcBorders>
              <w:top w:val="outset" w:sz="4" w:space="0" w:color="auto"/>
              <w:left w:val="outset" w:sz="4" w:space="0" w:color="auto"/>
              <w:bottom w:val="outset" w:sz="4" w:space="0" w:color="auto"/>
              <w:right w:val="outset" w:sz="4" w:space="0" w:color="auto"/>
            </w:tcBorders>
            <w:vAlign w:val="center"/>
          </w:tcPr>
          <w:p w14:paraId="03F78E92" w14:textId="77777777" w:rsidR="005E000F" w:rsidRDefault="00000000">
            <w:pPr>
              <w:ind w:firstLineChars="300" w:firstLine="630"/>
            </w:pPr>
            <w:r>
              <w:rPr>
                <w:rFonts w:hint="eastAsia"/>
              </w:rPr>
              <w:t>净敞口套期收益（损失以“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4B2531A2"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CEDEF56"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7F03AE20" w14:textId="77777777" w:rsidR="005E000F" w:rsidRDefault="00000000">
            <w:pPr>
              <w:jc w:val="right"/>
            </w:pPr>
            <w:r>
              <w:t>0</w:t>
            </w:r>
          </w:p>
        </w:tc>
      </w:tr>
      <w:tr w:rsidR="005E000F" w14:paraId="6148169B" w14:textId="77777777">
        <w:tc>
          <w:tcPr>
            <w:tcW w:w="3507" w:type="dxa"/>
            <w:tcBorders>
              <w:top w:val="outset" w:sz="4" w:space="0" w:color="auto"/>
              <w:left w:val="outset" w:sz="4" w:space="0" w:color="auto"/>
              <w:bottom w:val="outset" w:sz="4" w:space="0" w:color="auto"/>
              <w:right w:val="outset" w:sz="4" w:space="0" w:color="auto"/>
            </w:tcBorders>
            <w:vAlign w:val="center"/>
          </w:tcPr>
          <w:p w14:paraId="55F70C98" w14:textId="77777777" w:rsidR="005E000F" w:rsidRDefault="00000000">
            <w:pPr>
              <w:ind w:firstLineChars="300" w:firstLine="630"/>
              <w:rPr>
                <w:color w:val="000000"/>
              </w:rPr>
            </w:pPr>
            <w:r>
              <w:rPr>
                <w:rFonts w:hint="eastAsia"/>
              </w:rPr>
              <w:t>公允价值变动收益（损失以“－”号填列）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01AAF532"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168D27B4"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4038E222" w14:textId="77777777" w:rsidR="005E000F" w:rsidRDefault="00000000">
            <w:pPr>
              <w:jc w:val="right"/>
            </w:pPr>
            <w:r>
              <w:t>0</w:t>
            </w:r>
          </w:p>
        </w:tc>
      </w:tr>
      <w:tr w:rsidR="005E000F" w14:paraId="5FD78E5D" w14:textId="77777777">
        <w:tc>
          <w:tcPr>
            <w:tcW w:w="3507" w:type="dxa"/>
            <w:tcBorders>
              <w:top w:val="outset" w:sz="4" w:space="0" w:color="auto"/>
              <w:left w:val="outset" w:sz="4" w:space="0" w:color="auto"/>
              <w:bottom w:val="outset" w:sz="4" w:space="0" w:color="auto"/>
              <w:right w:val="outset" w:sz="4" w:space="0" w:color="auto"/>
            </w:tcBorders>
            <w:vAlign w:val="center"/>
          </w:tcPr>
          <w:p w14:paraId="25981380" w14:textId="77777777" w:rsidR="005E000F" w:rsidRDefault="00000000">
            <w:pPr>
              <w:ind w:firstLineChars="300" w:firstLine="630"/>
            </w:pPr>
            <w:r>
              <w:rPr>
                <w:rFonts w:hint="eastAsia"/>
              </w:rPr>
              <w:t>信用减值损失（损失以“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5630CB2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8EE4CBE" w14:textId="77777777" w:rsidR="005E000F" w:rsidRDefault="00000000">
            <w:pPr>
              <w:jc w:val="right"/>
            </w:pPr>
            <w:r>
              <w:t>53,278,304</w:t>
            </w:r>
          </w:p>
        </w:tc>
        <w:tc>
          <w:tcPr>
            <w:tcW w:w="2018" w:type="dxa"/>
            <w:tcBorders>
              <w:top w:val="outset" w:sz="4" w:space="0" w:color="auto"/>
              <w:left w:val="outset" w:sz="4" w:space="0" w:color="auto"/>
              <w:bottom w:val="outset" w:sz="4" w:space="0" w:color="auto"/>
              <w:right w:val="outset" w:sz="4" w:space="0" w:color="auto"/>
            </w:tcBorders>
            <w:vAlign w:val="center"/>
          </w:tcPr>
          <w:p w14:paraId="5902E9FE" w14:textId="77777777" w:rsidR="005E000F" w:rsidRDefault="00000000">
            <w:pPr>
              <w:jc w:val="right"/>
            </w:pPr>
            <w:r>
              <w:t>52,466,347</w:t>
            </w:r>
          </w:p>
        </w:tc>
      </w:tr>
      <w:tr w:rsidR="005E000F" w14:paraId="22028BAE" w14:textId="77777777">
        <w:tc>
          <w:tcPr>
            <w:tcW w:w="3507" w:type="dxa"/>
            <w:tcBorders>
              <w:top w:val="outset" w:sz="4" w:space="0" w:color="auto"/>
              <w:left w:val="outset" w:sz="4" w:space="0" w:color="auto"/>
              <w:bottom w:val="outset" w:sz="4" w:space="0" w:color="auto"/>
              <w:right w:val="outset" w:sz="4" w:space="0" w:color="auto"/>
            </w:tcBorders>
            <w:vAlign w:val="center"/>
          </w:tcPr>
          <w:p w14:paraId="6B7D5E7F" w14:textId="77777777" w:rsidR="005E000F" w:rsidRDefault="00000000">
            <w:pPr>
              <w:ind w:firstLineChars="300" w:firstLine="630"/>
            </w:pPr>
            <w:r>
              <w:rPr>
                <w:rFonts w:hint="eastAsia"/>
              </w:rPr>
              <w:t>资产减值损失（损失以“</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439F30BD"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D1D8D37" w14:textId="77777777" w:rsidR="005E000F" w:rsidRDefault="00000000">
            <w:pPr>
              <w:jc w:val="right"/>
            </w:pPr>
            <w:r>
              <w:t>-6,568,260</w:t>
            </w:r>
          </w:p>
        </w:tc>
        <w:tc>
          <w:tcPr>
            <w:tcW w:w="2018" w:type="dxa"/>
            <w:tcBorders>
              <w:top w:val="outset" w:sz="4" w:space="0" w:color="auto"/>
              <w:left w:val="outset" w:sz="4" w:space="0" w:color="auto"/>
              <w:bottom w:val="outset" w:sz="4" w:space="0" w:color="auto"/>
              <w:right w:val="outset" w:sz="4" w:space="0" w:color="auto"/>
            </w:tcBorders>
            <w:vAlign w:val="center"/>
          </w:tcPr>
          <w:p w14:paraId="01BF468F" w14:textId="77777777" w:rsidR="005E000F" w:rsidRDefault="00000000">
            <w:pPr>
              <w:jc w:val="right"/>
            </w:pPr>
            <w:r>
              <w:t>0</w:t>
            </w:r>
          </w:p>
        </w:tc>
      </w:tr>
      <w:tr w:rsidR="005E000F" w14:paraId="34AFE5D8" w14:textId="77777777">
        <w:tc>
          <w:tcPr>
            <w:tcW w:w="3507" w:type="dxa"/>
            <w:tcBorders>
              <w:top w:val="outset" w:sz="4" w:space="0" w:color="auto"/>
              <w:left w:val="outset" w:sz="4" w:space="0" w:color="auto"/>
              <w:bottom w:val="outset" w:sz="4" w:space="0" w:color="auto"/>
              <w:right w:val="outset" w:sz="4" w:space="0" w:color="auto"/>
            </w:tcBorders>
            <w:vAlign w:val="center"/>
          </w:tcPr>
          <w:p w14:paraId="56B560BD" w14:textId="77777777" w:rsidR="005E000F" w:rsidRDefault="00000000">
            <w:pPr>
              <w:ind w:firstLineChars="300" w:firstLine="630"/>
            </w:pPr>
            <w:r>
              <w:rPr>
                <w:rFonts w:hint="eastAsia"/>
              </w:rPr>
              <w:lastRenderedPageBreak/>
              <w:t>资产处置收益（损失以“－”号填列）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074D0AEE"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1A8FEE4"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3B472DAC" w14:textId="77777777" w:rsidR="005E000F" w:rsidRDefault="00000000">
            <w:pPr>
              <w:jc w:val="right"/>
            </w:pPr>
            <w:r>
              <w:t>20,730</w:t>
            </w:r>
          </w:p>
        </w:tc>
      </w:tr>
      <w:tr w:rsidR="005E000F" w14:paraId="60ECC72B" w14:textId="77777777">
        <w:tc>
          <w:tcPr>
            <w:tcW w:w="3507" w:type="dxa"/>
            <w:tcBorders>
              <w:top w:val="outset" w:sz="4" w:space="0" w:color="auto"/>
              <w:left w:val="outset" w:sz="4" w:space="0" w:color="auto"/>
              <w:bottom w:val="outset" w:sz="4" w:space="0" w:color="auto"/>
              <w:right w:val="outset" w:sz="4" w:space="0" w:color="auto"/>
            </w:tcBorders>
            <w:vAlign w:val="center"/>
          </w:tcPr>
          <w:p w14:paraId="5B115873" w14:textId="77777777" w:rsidR="005E000F" w:rsidRDefault="00000000">
            <w:pPr>
              <w:ind w:left="-19"/>
              <w:rPr>
                <w:color w:val="000000"/>
              </w:rPr>
            </w:pPr>
            <w:r>
              <w:rPr>
                <w:rFonts w:hint="eastAsia"/>
              </w:rPr>
              <w:t>二、营业利润（亏损以“－”号填列）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437B0A78"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24D7D80" w14:textId="77777777" w:rsidR="005E000F" w:rsidRDefault="00000000">
            <w:pPr>
              <w:jc w:val="right"/>
            </w:pPr>
            <w:r>
              <w:t>7,422,170,493</w:t>
            </w:r>
          </w:p>
        </w:tc>
        <w:tc>
          <w:tcPr>
            <w:tcW w:w="2018" w:type="dxa"/>
            <w:tcBorders>
              <w:top w:val="outset" w:sz="4" w:space="0" w:color="auto"/>
              <w:left w:val="outset" w:sz="4" w:space="0" w:color="auto"/>
              <w:bottom w:val="outset" w:sz="4" w:space="0" w:color="auto"/>
              <w:right w:val="outset" w:sz="4" w:space="0" w:color="auto"/>
            </w:tcBorders>
            <w:vAlign w:val="center"/>
          </w:tcPr>
          <w:p w14:paraId="51D48485" w14:textId="77777777" w:rsidR="005E000F" w:rsidRDefault="00000000">
            <w:pPr>
              <w:jc w:val="right"/>
            </w:pPr>
            <w:r>
              <w:t>11,474,678,122</w:t>
            </w:r>
          </w:p>
        </w:tc>
      </w:tr>
      <w:tr w:rsidR="005E000F" w14:paraId="109BF149" w14:textId="77777777">
        <w:tc>
          <w:tcPr>
            <w:tcW w:w="3507" w:type="dxa"/>
            <w:tcBorders>
              <w:top w:val="outset" w:sz="4" w:space="0" w:color="auto"/>
              <w:left w:val="outset" w:sz="4" w:space="0" w:color="auto"/>
              <w:bottom w:val="outset" w:sz="4" w:space="0" w:color="auto"/>
              <w:right w:val="outset" w:sz="4" w:space="0" w:color="auto"/>
            </w:tcBorders>
            <w:vAlign w:val="center"/>
          </w:tcPr>
          <w:p w14:paraId="76A1A930" w14:textId="77777777" w:rsidR="005E000F" w:rsidRDefault="00000000">
            <w:pPr>
              <w:ind w:firstLineChars="100" w:firstLine="210"/>
              <w:rPr>
                <w:color w:val="000000"/>
              </w:rPr>
            </w:pPr>
            <w:r>
              <w:rPr>
                <w:rFonts w:hint="eastAsia"/>
              </w:rPr>
              <w:t>加：营业外收入</w:t>
            </w:r>
          </w:p>
        </w:tc>
        <w:tc>
          <w:tcPr>
            <w:tcW w:w="1516" w:type="dxa"/>
            <w:tcBorders>
              <w:top w:val="outset" w:sz="4" w:space="0" w:color="auto"/>
              <w:left w:val="outset" w:sz="4" w:space="0" w:color="auto"/>
              <w:bottom w:val="outset" w:sz="4" w:space="0" w:color="auto"/>
              <w:right w:val="outset" w:sz="4" w:space="0" w:color="auto"/>
            </w:tcBorders>
            <w:vAlign w:val="center"/>
          </w:tcPr>
          <w:p w14:paraId="32E49E35"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07963631" w14:textId="77777777" w:rsidR="005E000F" w:rsidRDefault="00000000">
            <w:pPr>
              <w:jc w:val="right"/>
            </w:pPr>
            <w:r>
              <w:t>34,506,537</w:t>
            </w:r>
          </w:p>
        </w:tc>
        <w:tc>
          <w:tcPr>
            <w:tcW w:w="2018" w:type="dxa"/>
            <w:tcBorders>
              <w:top w:val="outset" w:sz="4" w:space="0" w:color="auto"/>
              <w:left w:val="outset" w:sz="4" w:space="0" w:color="auto"/>
              <w:bottom w:val="outset" w:sz="4" w:space="0" w:color="auto"/>
              <w:right w:val="outset" w:sz="4" w:space="0" w:color="auto"/>
            </w:tcBorders>
            <w:vAlign w:val="center"/>
          </w:tcPr>
          <w:p w14:paraId="28A9AE99" w14:textId="77777777" w:rsidR="005E000F" w:rsidRDefault="00000000">
            <w:pPr>
              <w:jc w:val="right"/>
            </w:pPr>
            <w:r>
              <w:t>50,896,232</w:t>
            </w:r>
          </w:p>
        </w:tc>
      </w:tr>
      <w:tr w:rsidR="005E000F" w14:paraId="26984AE4" w14:textId="77777777">
        <w:tc>
          <w:tcPr>
            <w:tcW w:w="3507" w:type="dxa"/>
            <w:tcBorders>
              <w:top w:val="outset" w:sz="4" w:space="0" w:color="auto"/>
              <w:left w:val="outset" w:sz="4" w:space="0" w:color="auto"/>
              <w:bottom w:val="outset" w:sz="4" w:space="0" w:color="auto"/>
              <w:right w:val="outset" w:sz="4" w:space="0" w:color="auto"/>
            </w:tcBorders>
            <w:vAlign w:val="center"/>
          </w:tcPr>
          <w:p w14:paraId="49843EDB" w14:textId="77777777" w:rsidR="005E000F" w:rsidRDefault="00000000">
            <w:pPr>
              <w:ind w:firstLineChars="100" w:firstLine="210"/>
              <w:rPr>
                <w:color w:val="000000"/>
              </w:rPr>
            </w:pPr>
            <w:r>
              <w:rPr>
                <w:rFonts w:hint="eastAsia"/>
              </w:rPr>
              <w:t>减：营业外支出</w:t>
            </w:r>
          </w:p>
        </w:tc>
        <w:tc>
          <w:tcPr>
            <w:tcW w:w="1516" w:type="dxa"/>
            <w:tcBorders>
              <w:top w:val="outset" w:sz="4" w:space="0" w:color="auto"/>
              <w:left w:val="outset" w:sz="4" w:space="0" w:color="auto"/>
              <w:bottom w:val="outset" w:sz="4" w:space="0" w:color="auto"/>
              <w:right w:val="outset" w:sz="4" w:space="0" w:color="auto"/>
            </w:tcBorders>
            <w:vAlign w:val="center"/>
          </w:tcPr>
          <w:p w14:paraId="716C4061"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0EECDDC" w14:textId="77777777" w:rsidR="005E000F" w:rsidRDefault="00000000">
            <w:pPr>
              <w:jc w:val="right"/>
            </w:pPr>
            <w:r>
              <w:t>97,037,411</w:t>
            </w:r>
          </w:p>
        </w:tc>
        <w:tc>
          <w:tcPr>
            <w:tcW w:w="2018" w:type="dxa"/>
            <w:tcBorders>
              <w:top w:val="outset" w:sz="4" w:space="0" w:color="auto"/>
              <w:left w:val="outset" w:sz="4" w:space="0" w:color="auto"/>
              <w:bottom w:val="outset" w:sz="4" w:space="0" w:color="auto"/>
              <w:right w:val="outset" w:sz="4" w:space="0" w:color="auto"/>
            </w:tcBorders>
            <w:vAlign w:val="center"/>
          </w:tcPr>
          <w:p w14:paraId="445C5E3E" w14:textId="77777777" w:rsidR="005E000F" w:rsidRDefault="00000000">
            <w:pPr>
              <w:jc w:val="right"/>
            </w:pPr>
            <w:r>
              <w:t>128,588,229</w:t>
            </w:r>
          </w:p>
        </w:tc>
      </w:tr>
      <w:tr w:rsidR="005E000F" w14:paraId="11F6ED73" w14:textId="77777777">
        <w:tc>
          <w:tcPr>
            <w:tcW w:w="3507" w:type="dxa"/>
            <w:tcBorders>
              <w:top w:val="outset" w:sz="4" w:space="0" w:color="auto"/>
              <w:left w:val="outset" w:sz="4" w:space="0" w:color="auto"/>
              <w:bottom w:val="outset" w:sz="4" w:space="0" w:color="auto"/>
              <w:right w:val="outset" w:sz="4" w:space="0" w:color="auto"/>
            </w:tcBorders>
            <w:vAlign w:val="center"/>
          </w:tcPr>
          <w:p w14:paraId="3B7DC28D" w14:textId="77777777" w:rsidR="005E000F" w:rsidRDefault="00000000">
            <w:pPr>
              <w:ind w:left="-19"/>
              <w:rPr>
                <w:color w:val="000000"/>
              </w:rPr>
            </w:pPr>
            <w:r>
              <w:rPr>
                <w:rFonts w:hint="eastAsia"/>
              </w:rPr>
              <w:t>三、利润总额（亏损总额以“－”号填列）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629D7E20"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EFC88D6" w14:textId="77777777" w:rsidR="005E000F" w:rsidRDefault="00000000">
            <w:pPr>
              <w:jc w:val="right"/>
            </w:pPr>
            <w:r>
              <w:t>7,359,639,619</w:t>
            </w:r>
          </w:p>
        </w:tc>
        <w:tc>
          <w:tcPr>
            <w:tcW w:w="2018" w:type="dxa"/>
            <w:tcBorders>
              <w:top w:val="outset" w:sz="4" w:space="0" w:color="auto"/>
              <w:left w:val="outset" w:sz="4" w:space="0" w:color="auto"/>
              <w:bottom w:val="outset" w:sz="4" w:space="0" w:color="auto"/>
              <w:right w:val="outset" w:sz="4" w:space="0" w:color="auto"/>
            </w:tcBorders>
            <w:vAlign w:val="center"/>
          </w:tcPr>
          <w:p w14:paraId="491A5335" w14:textId="77777777" w:rsidR="005E000F" w:rsidRDefault="00000000">
            <w:pPr>
              <w:jc w:val="right"/>
            </w:pPr>
            <w:r>
              <w:t>11,396,986,125</w:t>
            </w:r>
          </w:p>
        </w:tc>
      </w:tr>
      <w:tr w:rsidR="005E000F" w14:paraId="744F8119" w14:textId="77777777">
        <w:tc>
          <w:tcPr>
            <w:tcW w:w="3507" w:type="dxa"/>
            <w:tcBorders>
              <w:top w:val="outset" w:sz="4" w:space="0" w:color="auto"/>
              <w:left w:val="outset" w:sz="4" w:space="0" w:color="auto"/>
              <w:bottom w:val="outset" w:sz="4" w:space="0" w:color="auto"/>
              <w:right w:val="outset" w:sz="4" w:space="0" w:color="auto"/>
            </w:tcBorders>
            <w:vAlign w:val="center"/>
          </w:tcPr>
          <w:p w14:paraId="49001C69" w14:textId="77777777" w:rsidR="005E000F" w:rsidRDefault="00000000">
            <w:pPr>
              <w:ind w:left="-19" w:firstLineChars="200" w:firstLine="420"/>
              <w:rPr>
                <w:color w:val="000000"/>
              </w:rPr>
            </w:pPr>
            <w:r>
              <w:rPr>
                <w:rFonts w:hint="eastAsia"/>
              </w:rPr>
              <w:t>减：所得税费用</w:t>
            </w:r>
          </w:p>
        </w:tc>
        <w:tc>
          <w:tcPr>
            <w:tcW w:w="1516" w:type="dxa"/>
            <w:tcBorders>
              <w:top w:val="outset" w:sz="4" w:space="0" w:color="auto"/>
              <w:left w:val="outset" w:sz="4" w:space="0" w:color="auto"/>
              <w:bottom w:val="outset" w:sz="4" w:space="0" w:color="auto"/>
              <w:right w:val="outset" w:sz="4" w:space="0" w:color="auto"/>
            </w:tcBorders>
            <w:vAlign w:val="center"/>
          </w:tcPr>
          <w:p w14:paraId="244EB480"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A6F497E" w14:textId="77777777" w:rsidR="005E000F" w:rsidRDefault="00000000">
            <w:pPr>
              <w:jc w:val="right"/>
            </w:pPr>
            <w:r>
              <w:t>1,219,460,859</w:t>
            </w:r>
          </w:p>
        </w:tc>
        <w:tc>
          <w:tcPr>
            <w:tcW w:w="2018" w:type="dxa"/>
            <w:tcBorders>
              <w:top w:val="outset" w:sz="4" w:space="0" w:color="auto"/>
              <w:left w:val="outset" w:sz="4" w:space="0" w:color="auto"/>
              <w:bottom w:val="outset" w:sz="4" w:space="0" w:color="auto"/>
              <w:right w:val="outset" w:sz="4" w:space="0" w:color="auto"/>
            </w:tcBorders>
            <w:vAlign w:val="center"/>
          </w:tcPr>
          <w:p w14:paraId="1A63736B" w14:textId="77777777" w:rsidR="005E000F" w:rsidRDefault="00000000">
            <w:pPr>
              <w:jc w:val="right"/>
            </w:pPr>
            <w:r>
              <w:t>2,387,024,038</w:t>
            </w:r>
          </w:p>
        </w:tc>
      </w:tr>
      <w:tr w:rsidR="005E000F" w14:paraId="52F01335" w14:textId="77777777">
        <w:tc>
          <w:tcPr>
            <w:tcW w:w="3507" w:type="dxa"/>
            <w:tcBorders>
              <w:top w:val="outset" w:sz="4" w:space="0" w:color="auto"/>
              <w:left w:val="outset" w:sz="4" w:space="0" w:color="auto"/>
              <w:bottom w:val="outset" w:sz="4" w:space="0" w:color="auto"/>
              <w:right w:val="outset" w:sz="4" w:space="0" w:color="auto"/>
            </w:tcBorders>
            <w:vAlign w:val="center"/>
          </w:tcPr>
          <w:p w14:paraId="291882E3" w14:textId="77777777" w:rsidR="005E000F" w:rsidRDefault="00000000">
            <w:pPr>
              <w:ind w:left="-19"/>
              <w:rPr>
                <w:color w:val="000000"/>
              </w:rPr>
            </w:pPr>
            <w:r>
              <w:rPr>
                <w:rFonts w:hint="eastAsia"/>
              </w:rPr>
              <w:t>四、净利润（净亏损以“－”号填列）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2C61FA09"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5C1EE41" w14:textId="77777777" w:rsidR="005E000F" w:rsidRDefault="00000000">
            <w:pPr>
              <w:jc w:val="right"/>
            </w:pPr>
            <w:r>
              <w:t>6,140,178,760</w:t>
            </w:r>
          </w:p>
        </w:tc>
        <w:tc>
          <w:tcPr>
            <w:tcW w:w="2018" w:type="dxa"/>
            <w:tcBorders>
              <w:top w:val="outset" w:sz="4" w:space="0" w:color="auto"/>
              <w:left w:val="outset" w:sz="4" w:space="0" w:color="auto"/>
              <w:bottom w:val="outset" w:sz="4" w:space="0" w:color="auto"/>
              <w:right w:val="outset" w:sz="4" w:space="0" w:color="auto"/>
            </w:tcBorders>
            <w:vAlign w:val="center"/>
          </w:tcPr>
          <w:p w14:paraId="3BDE1C4A" w14:textId="77777777" w:rsidR="005E000F" w:rsidRDefault="00000000">
            <w:pPr>
              <w:jc w:val="right"/>
            </w:pPr>
            <w:r>
              <w:t>9,009,962,087</w:t>
            </w:r>
          </w:p>
        </w:tc>
      </w:tr>
      <w:tr w:rsidR="005E000F" w14:paraId="0EC13729" w14:textId="77777777">
        <w:tc>
          <w:tcPr>
            <w:tcW w:w="3507" w:type="dxa"/>
            <w:tcBorders>
              <w:top w:val="outset" w:sz="4" w:space="0" w:color="auto"/>
              <w:left w:val="outset" w:sz="4" w:space="0" w:color="auto"/>
              <w:bottom w:val="outset" w:sz="4" w:space="0" w:color="auto"/>
              <w:right w:val="outset" w:sz="4" w:space="0" w:color="auto"/>
            </w:tcBorders>
            <w:vAlign w:val="center"/>
          </w:tcPr>
          <w:p w14:paraId="5F1DA74D" w14:textId="77777777" w:rsidR="005E000F" w:rsidRDefault="00000000">
            <w:pPr>
              <w:ind w:firstLineChars="108" w:firstLine="227"/>
            </w:pPr>
            <w:r>
              <w:rPr>
                <w:rFonts w:hint="eastAsia"/>
              </w:rPr>
              <w:t>（一）</w:t>
            </w:r>
            <w:r>
              <w:t>持续经营净利润（净亏损以</w:t>
            </w:r>
            <w:r>
              <w:t>“</w:t>
            </w:r>
            <w:r>
              <w:t>－</w:t>
            </w:r>
            <w:r>
              <w:t>”</w:t>
            </w:r>
            <w:r>
              <w:t>号填列）</w:t>
            </w:r>
          </w:p>
        </w:tc>
        <w:tc>
          <w:tcPr>
            <w:tcW w:w="1516" w:type="dxa"/>
            <w:tcBorders>
              <w:top w:val="outset" w:sz="4" w:space="0" w:color="auto"/>
              <w:left w:val="outset" w:sz="4" w:space="0" w:color="auto"/>
              <w:bottom w:val="outset" w:sz="4" w:space="0" w:color="auto"/>
              <w:right w:val="outset" w:sz="4" w:space="0" w:color="auto"/>
            </w:tcBorders>
            <w:vAlign w:val="center"/>
          </w:tcPr>
          <w:p w14:paraId="0FA82704"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0ED8976" w14:textId="77777777" w:rsidR="005E000F" w:rsidRDefault="00000000">
            <w:pPr>
              <w:jc w:val="right"/>
            </w:pPr>
            <w:r>
              <w:t>6,140,178,760</w:t>
            </w:r>
          </w:p>
        </w:tc>
        <w:tc>
          <w:tcPr>
            <w:tcW w:w="2018" w:type="dxa"/>
            <w:tcBorders>
              <w:top w:val="outset" w:sz="4" w:space="0" w:color="auto"/>
              <w:left w:val="outset" w:sz="4" w:space="0" w:color="auto"/>
              <w:bottom w:val="outset" w:sz="4" w:space="0" w:color="auto"/>
              <w:right w:val="outset" w:sz="4" w:space="0" w:color="auto"/>
            </w:tcBorders>
            <w:vAlign w:val="center"/>
          </w:tcPr>
          <w:p w14:paraId="73BF58DE" w14:textId="77777777" w:rsidR="005E000F" w:rsidRDefault="00000000">
            <w:pPr>
              <w:jc w:val="right"/>
            </w:pPr>
            <w:r>
              <w:t>9,009,962,087</w:t>
            </w:r>
          </w:p>
        </w:tc>
      </w:tr>
      <w:tr w:rsidR="005E000F" w14:paraId="2D6268D8" w14:textId="77777777">
        <w:tc>
          <w:tcPr>
            <w:tcW w:w="3507" w:type="dxa"/>
            <w:tcBorders>
              <w:top w:val="outset" w:sz="4" w:space="0" w:color="auto"/>
              <w:left w:val="outset" w:sz="4" w:space="0" w:color="auto"/>
              <w:bottom w:val="outset" w:sz="4" w:space="0" w:color="auto"/>
              <w:right w:val="outset" w:sz="4" w:space="0" w:color="auto"/>
            </w:tcBorders>
            <w:vAlign w:val="center"/>
          </w:tcPr>
          <w:p w14:paraId="256DD2C6" w14:textId="77777777" w:rsidR="005E000F" w:rsidRDefault="00000000">
            <w:pPr>
              <w:ind w:firstLineChars="108" w:firstLine="227"/>
            </w:pPr>
            <w:r>
              <w:rPr>
                <w:rFonts w:hint="eastAsia"/>
              </w:rPr>
              <w:t>（二）终止经营净利润（净亏损以“－”号填列）</w:t>
            </w:r>
          </w:p>
        </w:tc>
        <w:tc>
          <w:tcPr>
            <w:tcW w:w="1516" w:type="dxa"/>
            <w:tcBorders>
              <w:top w:val="outset" w:sz="4" w:space="0" w:color="auto"/>
              <w:left w:val="outset" w:sz="4" w:space="0" w:color="auto"/>
              <w:bottom w:val="outset" w:sz="4" w:space="0" w:color="auto"/>
              <w:right w:val="outset" w:sz="4" w:space="0" w:color="auto"/>
            </w:tcBorders>
            <w:vAlign w:val="center"/>
          </w:tcPr>
          <w:p w14:paraId="013BB639"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ACA5656"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6F5F12D5" w14:textId="77777777" w:rsidR="005E000F" w:rsidRDefault="00000000">
            <w:pPr>
              <w:jc w:val="right"/>
            </w:pPr>
            <w:r>
              <w:t>0</w:t>
            </w:r>
          </w:p>
        </w:tc>
      </w:tr>
      <w:tr w:rsidR="005E000F" w14:paraId="62DAA538" w14:textId="77777777">
        <w:tc>
          <w:tcPr>
            <w:tcW w:w="3507" w:type="dxa"/>
            <w:tcBorders>
              <w:top w:val="outset" w:sz="4" w:space="0" w:color="auto"/>
              <w:left w:val="outset" w:sz="4" w:space="0" w:color="auto"/>
              <w:bottom w:val="outset" w:sz="4" w:space="0" w:color="auto"/>
              <w:right w:val="outset" w:sz="4" w:space="0" w:color="auto"/>
            </w:tcBorders>
            <w:vAlign w:val="center"/>
          </w:tcPr>
          <w:p w14:paraId="335CFCDD" w14:textId="77777777" w:rsidR="005E000F" w:rsidRDefault="00000000">
            <w:pPr>
              <w:ind w:leftChars="-19" w:hangingChars="19" w:hanging="40"/>
            </w:pPr>
            <w:r>
              <w:rPr>
                <w:rFonts w:hint="eastAsia"/>
              </w:rPr>
              <w:t>五、其他综合收益的税后净额</w:t>
            </w:r>
          </w:p>
        </w:tc>
        <w:tc>
          <w:tcPr>
            <w:tcW w:w="1516" w:type="dxa"/>
            <w:tcBorders>
              <w:top w:val="outset" w:sz="4" w:space="0" w:color="auto"/>
              <w:left w:val="outset" w:sz="4" w:space="0" w:color="auto"/>
              <w:bottom w:val="outset" w:sz="4" w:space="0" w:color="auto"/>
              <w:right w:val="outset" w:sz="4" w:space="0" w:color="auto"/>
            </w:tcBorders>
            <w:vAlign w:val="center"/>
          </w:tcPr>
          <w:p w14:paraId="115D6E53"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85E16EE" w14:textId="77777777" w:rsidR="005E000F" w:rsidRDefault="00000000">
            <w:pPr>
              <w:jc w:val="right"/>
            </w:pPr>
            <w:r>
              <w:t>-51,886,840</w:t>
            </w:r>
          </w:p>
        </w:tc>
        <w:tc>
          <w:tcPr>
            <w:tcW w:w="2018" w:type="dxa"/>
            <w:tcBorders>
              <w:top w:val="outset" w:sz="4" w:space="0" w:color="auto"/>
              <w:left w:val="outset" w:sz="4" w:space="0" w:color="auto"/>
              <w:bottom w:val="outset" w:sz="4" w:space="0" w:color="auto"/>
              <w:right w:val="outset" w:sz="4" w:space="0" w:color="auto"/>
            </w:tcBorders>
            <w:vAlign w:val="center"/>
          </w:tcPr>
          <w:p w14:paraId="5CA28BD0" w14:textId="77777777" w:rsidR="005E000F" w:rsidRDefault="00000000">
            <w:pPr>
              <w:jc w:val="right"/>
            </w:pPr>
            <w:r>
              <w:t>-1,127,114,513</w:t>
            </w:r>
          </w:p>
        </w:tc>
      </w:tr>
      <w:tr w:rsidR="005E000F" w14:paraId="4D230F45" w14:textId="77777777">
        <w:tc>
          <w:tcPr>
            <w:tcW w:w="3507" w:type="dxa"/>
            <w:tcBorders>
              <w:top w:val="outset" w:sz="4" w:space="0" w:color="auto"/>
              <w:left w:val="outset" w:sz="4" w:space="0" w:color="auto"/>
              <w:bottom w:val="outset" w:sz="4" w:space="0" w:color="auto"/>
              <w:right w:val="outset" w:sz="4" w:space="0" w:color="auto"/>
            </w:tcBorders>
            <w:vAlign w:val="center"/>
          </w:tcPr>
          <w:p w14:paraId="79013C71" w14:textId="77777777" w:rsidR="005E000F" w:rsidRDefault="00000000">
            <w:pPr>
              <w:ind w:firstLineChars="100" w:firstLine="210"/>
            </w:pPr>
            <w:r>
              <w:rPr>
                <w:rFonts w:hint="eastAsia"/>
              </w:rPr>
              <w:t>（一）不能重分类进损益的其他综合收益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3F78B8DB"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15588280" w14:textId="77777777" w:rsidR="005E000F" w:rsidRDefault="00000000">
            <w:pPr>
              <w:jc w:val="right"/>
            </w:pPr>
            <w:r>
              <w:t>-51,886,840</w:t>
            </w:r>
          </w:p>
        </w:tc>
        <w:tc>
          <w:tcPr>
            <w:tcW w:w="2018" w:type="dxa"/>
            <w:tcBorders>
              <w:top w:val="outset" w:sz="4" w:space="0" w:color="auto"/>
              <w:left w:val="outset" w:sz="4" w:space="0" w:color="auto"/>
              <w:bottom w:val="outset" w:sz="4" w:space="0" w:color="auto"/>
              <w:right w:val="outset" w:sz="4" w:space="0" w:color="auto"/>
            </w:tcBorders>
            <w:vAlign w:val="center"/>
          </w:tcPr>
          <w:p w14:paraId="7F933346" w14:textId="77777777" w:rsidR="005E000F" w:rsidRDefault="00000000">
            <w:pPr>
              <w:jc w:val="right"/>
            </w:pPr>
            <w:r>
              <w:t>-1,127,114,513</w:t>
            </w:r>
          </w:p>
        </w:tc>
      </w:tr>
      <w:tr w:rsidR="005E000F" w14:paraId="75A42B10" w14:textId="77777777">
        <w:tc>
          <w:tcPr>
            <w:tcW w:w="3507" w:type="dxa"/>
            <w:tcBorders>
              <w:top w:val="outset" w:sz="4" w:space="0" w:color="auto"/>
              <w:left w:val="outset" w:sz="4" w:space="0" w:color="auto"/>
              <w:bottom w:val="outset" w:sz="4" w:space="0" w:color="auto"/>
              <w:right w:val="outset" w:sz="4" w:space="0" w:color="auto"/>
            </w:tcBorders>
            <w:vAlign w:val="center"/>
          </w:tcPr>
          <w:p w14:paraId="550DBA3C" w14:textId="77777777" w:rsidR="005E000F" w:rsidRDefault="00000000">
            <w:pPr>
              <w:ind w:firstLineChars="200" w:firstLine="420"/>
            </w:pPr>
            <w:r>
              <w:t>1.</w:t>
            </w:r>
            <w:r>
              <w:t>重新计量设定受益计划变动额</w:t>
            </w:r>
          </w:p>
        </w:tc>
        <w:tc>
          <w:tcPr>
            <w:tcW w:w="1516" w:type="dxa"/>
            <w:tcBorders>
              <w:top w:val="outset" w:sz="4" w:space="0" w:color="auto"/>
              <w:left w:val="outset" w:sz="4" w:space="0" w:color="auto"/>
              <w:bottom w:val="outset" w:sz="4" w:space="0" w:color="auto"/>
              <w:right w:val="outset" w:sz="4" w:space="0" w:color="auto"/>
            </w:tcBorders>
            <w:vAlign w:val="center"/>
          </w:tcPr>
          <w:p w14:paraId="0AAE666B"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5F9BC972" w14:textId="77777777" w:rsidR="005E000F" w:rsidRDefault="00000000">
            <w:pPr>
              <w:jc w:val="right"/>
            </w:pPr>
            <w:r>
              <w:t>-56,375,590</w:t>
            </w:r>
          </w:p>
        </w:tc>
        <w:tc>
          <w:tcPr>
            <w:tcW w:w="2018" w:type="dxa"/>
            <w:tcBorders>
              <w:top w:val="outset" w:sz="4" w:space="0" w:color="auto"/>
              <w:left w:val="outset" w:sz="4" w:space="0" w:color="auto"/>
              <w:bottom w:val="outset" w:sz="4" w:space="0" w:color="auto"/>
              <w:right w:val="outset" w:sz="4" w:space="0" w:color="auto"/>
            </w:tcBorders>
            <w:vAlign w:val="center"/>
          </w:tcPr>
          <w:p w14:paraId="768C0B8E" w14:textId="77777777" w:rsidR="005E000F" w:rsidRDefault="00000000">
            <w:pPr>
              <w:jc w:val="right"/>
            </w:pPr>
            <w:r>
              <w:t>-1,143,145,763</w:t>
            </w:r>
          </w:p>
        </w:tc>
      </w:tr>
      <w:tr w:rsidR="005E000F" w14:paraId="37DA4A47" w14:textId="77777777">
        <w:tc>
          <w:tcPr>
            <w:tcW w:w="3507" w:type="dxa"/>
            <w:tcBorders>
              <w:top w:val="outset" w:sz="4" w:space="0" w:color="auto"/>
              <w:left w:val="outset" w:sz="4" w:space="0" w:color="auto"/>
              <w:bottom w:val="outset" w:sz="4" w:space="0" w:color="auto"/>
              <w:right w:val="outset" w:sz="4" w:space="0" w:color="auto"/>
            </w:tcBorders>
            <w:vAlign w:val="center"/>
          </w:tcPr>
          <w:p w14:paraId="3614F4FB" w14:textId="77777777" w:rsidR="005E000F" w:rsidRDefault="00000000">
            <w:pPr>
              <w:ind w:firstLineChars="200" w:firstLine="420"/>
            </w:pPr>
            <w:r>
              <w:t>2.</w:t>
            </w:r>
            <w:r>
              <w:t>权益法下不能转损益的其他综合收益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5D0717E0"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42BCC48" w14:textId="77777777" w:rsidR="005E000F" w:rsidRDefault="00000000">
            <w:pPr>
              <w:jc w:val="right"/>
            </w:pPr>
            <w:r>
              <w:rPr>
                <w:rFonts w:hint="eastAsia"/>
              </w:rPr>
              <w:t>0</w:t>
            </w:r>
          </w:p>
        </w:tc>
        <w:tc>
          <w:tcPr>
            <w:tcW w:w="2018" w:type="dxa"/>
            <w:tcBorders>
              <w:top w:val="outset" w:sz="4" w:space="0" w:color="auto"/>
              <w:left w:val="outset" w:sz="4" w:space="0" w:color="auto"/>
              <w:bottom w:val="outset" w:sz="4" w:space="0" w:color="auto"/>
              <w:right w:val="outset" w:sz="4" w:space="0" w:color="auto"/>
            </w:tcBorders>
            <w:vAlign w:val="center"/>
          </w:tcPr>
          <w:p w14:paraId="4F48D32D" w14:textId="77777777" w:rsidR="005E000F" w:rsidRDefault="00000000">
            <w:pPr>
              <w:jc w:val="right"/>
            </w:pPr>
            <w:r>
              <w:t>0</w:t>
            </w:r>
          </w:p>
        </w:tc>
      </w:tr>
      <w:tr w:rsidR="005E000F" w14:paraId="568E6298" w14:textId="77777777">
        <w:tc>
          <w:tcPr>
            <w:tcW w:w="3507" w:type="dxa"/>
            <w:tcBorders>
              <w:top w:val="outset" w:sz="4" w:space="0" w:color="auto"/>
              <w:left w:val="outset" w:sz="4" w:space="0" w:color="auto"/>
              <w:bottom w:val="outset" w:sz="4" w:space="0" w:color="auto"/>
              <w:right w:val="outset" w:sz="4" w:space="0" w:color="auto"/>
            </w:tcBorders>
            <w:vAlign w:val="center"/>
          </w:tcPr>
          <w:p w14:paraId="4C6052F8" w14:textId="77777777" w:rsidR="005E000F" w:rsidRDefault="00000000">
            <w:pPr>
              <w:ind w:firstLineChars="200" w:firstLine="420"/>
            </w:pPr>
            <w:r>
              <w:t>3.</w:t>
            </w:r>
            <w:r>
              <w:t>其他权益工具投资公允价值变动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265BD162"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2B7C558C" w14:textId="77777777" w:rsidR="005E000F" w:rsidRDefault="00000000">
            <w:pPr>
              <w:jc w:val="right"/>
            </w:pPr>
            <w:r>
              <w:t>4,488,750</w:t>
            </w:r>
          </w:p>
        </w:tc>
        <w:tc>
          <w:tcPr>
            <w:tcW w:w="2018" w:type="dxa"/>
            <w:tcBorders>
              <w:top w:val="outset" w:sz="4" w:space="0" w:color="auto"/>
              <w:left w:val="outset" w:sz="4" w:space="0" w:color="auto"/>
              <w:bottom w:val="outset" w:sz="4" w:space="0" w:color="auto"/>
              <w:right w:val="outset" w:sz="4" w:space="0" w:color="auto"/>
            </w:tcBorders>
            <w:vAlign w:val="center"/>
          </w:tcPr>
          <w:p w14:paraId="5BEAB77F" w14:textId="77777777" w:rsidR="005E000F" w:rsidRDefault="00000000">
            <w:pPr>
              <w:jc w:val="right"/>
            </w:pPr>
            <w:r>
              <w:t>16,031,250</w:t>
            </w:r>
          </w:p>
        </w:tc>
      </w:tr>
      <w:tr w:rsidR="005E000F" w14:paraId="6D541A4D" w14:textId="77777777">
        <w:tc>
          <w:tcPr>
            <w:tcW w:w="3507" w:type="dxa"/>
            <w:tcBorders>
              <w:top w:val="outset" w:sz="4" w:space="0" w:color="auto"/>
              <w:left w:val="outset" w:sz="4" w:space="0" w:color="auto"/>
              <w:bottom w:val="outset" w:sz="4" w:space="0" w:color="auto"/>
              <w:right w:val="outset" w:sz="4" w:space="0" w:color="auto"/>
            </w:tcBorders>
            <w:vAlign w:val="center"/>
          </w:tcPr>
          <w:p w14:paraId="2F694ACB" w14:textId="77777777" w:rsidR="005E000F" w:rsidRDefault="00000000">
            <w:pPr>
              <w:ind w:firstLineChars="200" w:firstLine="420"/>
            </w:pPr>
            <w:r>
              <w:t>4.</w:t>
            </w:r>
            <w:r>
              <w:t>企业自身信用风险公允价值变动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756724F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1101DBB2"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0F55E58D" w14:textId="77777777" w:rsidR="005E000F" w:rsidRDefault="00000000">
            <w:pPr>
              <w:jc w:val="right"/>
            </w:pPr>
            <w:r>
              <w:t>0</w:t>
            </w:r>
          </w:p>
        </w:tc>
      </w:tr>
      <w:tr w:rsidR="005E000F" w14:paraId="6424DF31" w14:textId="77777777">
        <w:tc>
          <w:tcPr>
            <w:tcW w:w="3507" w:type="dxa"/>
            <w:tcBorders>
              <w:top w:val="outset" w:sz="4" w:space="0" w:color="auto"/>
              <w:left w:val="outset" w:sz="4" w:space="0" w:color="auto"/>
              <w:bottom w:val="outset" w:sz="4" w:space="0" w:color="auto"/>
              <w:right w:val="outset" w:sz="4" w:space="0" w:color="auto"/>
            </w:tcBorders>
            <w:vAlign w:val="center"/>
          </w:tcPr>
          <w:p w14:paraId="4E81F222" w14:textId="77777777" w:rsidR="005E000F" w:rsidRDefault="00000000">
            <w:pPr>
              <w:ind w:firstLineChars="100" w:firstLine="210"/>
            </w:pPr>
            <w:r>
              <w:rPr>
                <w:rFonts w:hint="eastAsia"/>
              </w:rPr>
              <w:t>（二）将重分类进损益的其他综合收益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6A32ED6C"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ECB37BA"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1525BF34" w14:textId="77777777" w:rsidR="005E000F" w:rsidRDefault="00000000">
            <w:pPr>
              <w:jc w:val="right"/>
            </w:pPr>
            <w:r>
              <w:t>0</w:t>
            </w:r>
          </w:p>
        </w:tc>
      </w:tr>
      <w:tr w:rsidR="005E000F" w14:paraId="01500CBF" w14:textId="77777777">
        <w:tc>
          <w:tcPr>
            <w:tcW w:w="3507" w:type="dxa"/>
            <w:tcBorders>
              <w:top w:val="outset" w:sz="4" w:space="0" w:color="auto"/>
              <w:left w:val="outset" w:sz="4" w:space="0" w:color="auto"/>
              <w:bottom w:val="outset" w:sz="4" w:space="0" w:color="auto"/>
              <w:right w:val="outset" w:sz="4" w:space="0" w:color="auto"/>
            </w:tcBorders>
            <w:vAlign w:val="center"/>
          </w:tcPr>
          <w:p w14:paraId="75934891" w14:textId="77777777" w:rsidR="005E000F" w:rsidRDefault="00000000">
            <w:pPr>
              <w:ind w:firstLineChars="200" w:firstLine="420"/>
            </w:pPr>
            <w:r>
              <w:t>1.</w:t>
            </w:r>
            <w:r>
              <w:t>权益法下可转损益的其他综合收益</w:t>
            </w:r>
          </w:p>
        </w:tc>
        <w:tc>
          <w:tcPr>
            <w:tcW w:w="1516" w:type="dxa"/>
            <w:tcBorders>
              <w:top w:val="outset" w:sz="4" w:space="0" w:color="auto"/>
              <w:left w:val="outset" w:sz="4" w:space="0" w:color="auto"/>
              <w:bottom w:val="outset" w:sz="4" w:space="0" w:color="auto"/>
              <w:right w:val="outset" w:sz="4" w:space="0" w:color="auto"/>
            </w:tcBorders>
            <w:vAlign w:val="center"/>
          </w:tcPr>
          <w:p w14:paraId="2E53E6DA"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3CBFC8E"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23A4B8BE" w14:textId="77777777" w:rsidR="005E000F" w:rsidRDefault="00000000">
            <w:pPr>
              <w:jc w:val="right"/>
            </w:pPr>
            <w:r>
              <w:t>0</w:t>
            </w:r>
          </w:p>
        </w:tc>
      </w:tr>
      <w:tr w:rsidR="005E000F" w14:paraId="4750FC44" w14:textId="77777777">
        <w:tc>
          <w:tcPr>
            <w:tcW w:w="3507" w:type="dxa"/>
            <w:tcBorders>
              <w:top w:val="outset" w:sz="4" w:space="0" w:color="auto"/>
              <w:left w:val="outset" w:sz="4" w:space="0" w:color="auto"/>
              <w:bottom w:val="outset" w:sz="4" w:space="0" w:color="auto"/>
              <w:right w:val="outset" w:sz="4" w:space="0" w:color="auto"/>
            </w:tcBorders>
            <w:vAlign w:val="center"/>
          </w:tcPr>
          <w:p w14:paraId="7705A5F1" w14:textId="77777777" w:rsidR="005E000F" w:rsidRDefault="00000000">
            <w:pPr>
              <w:ind w:firstLineChars="200" w:firstLine="420"/>
            </w:pPr>
            <w:r>
              <w:t>2.</w:t>
            </w:r>
            <w:r>
              <w:t>其他债权投资公允价值变动</w:t>
            </w:r>
          </w:p>
        </w:tc>
        <w:tc>
          <w:tcPr>
            <w:tcW w:w="1516" w:type="dxa"/>
            <w:tcBorders>
              <w:top w:val="outset" w:sz="4" w:space="0" w:color="auto"/>
              <w:left w:val="outset" w:sz="4" w:space="0" w:color="auto"/>
              <w:bottom w:val="outset" w:sz="4" w:space="0" w:color="auto"/>
              <w:right w:val="outset" w:sz="4" w:space="0" w:color="auto"/>
            </w:tcBorders>
            <w:vAlign w:val="center"/>
          </w:tcPr>
          <w:p w14:paraId="2EBC1559"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008BD406"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0F5191BF" w14:textId="77777777" w:rsidR="005E000F" w:rsidRDefault="00000000">
            <w:pPr>
              <w:jc w:val="right"/>
            </w:pPr>
            <w:r>
              <w:t>0</w:t>
            </w:r>
          </w:p>
        </w:tc>
      </w:tr>
      <w:tr w:rsidR="005E000F" w14:paraId="09139023" w14:textId="77777777">
        <w:tc>
          <w:tcPr>
            <w:tcW w:w="3507" w:type="dxa"/>
            <w:tcBorders>
              <w:top w:val="outset" w:sz="4" w:space="0" w:color="auto"/>
              <w:left w:val="outset" w:sz="4" w:space="0" w:color="auto"/>
              <w:bottom w:val="outset" w:sz="4" w:space="0" w:color="auto"/>
              <w:right w:val="outset" w:sz="4" w:space="0" w:color="auto"/>
            </w:tcBorders>
            <w:vAlign w:val="center"/>
          </w:tcPr>
          <w:p w14:paraId="08EAA4AB" w14:textId="77777777" w:rsidR="005E000F" w:rsidRDefault="00000000">
            <w:pPr>
              <w:ind w:firstLineChars="200" w:firstLine="420"/>
            </w:pPr>
            <w:r>
              <w:t>3.</w:t>
            </w:r>
            <w:r>
              <w:t>金融资产重分类计入其他综合收益的金额</w:t>
            </w:r>
          </w:p>
        </w:tc>
        <w:tc>
          <w:tcPr>
            <w:tcW w:w="1516" w:type="dxa"/>
            <w:tcBorders>
              <w:top w:val="outset" w:sz="4" w:space="0" w:color="auto"/>
              <w:left w:val="outset" w:sz="4" w:space="0" w:color="auto"/>
              <w:bottom w:val="outset" w:sz="4" w:space="0" w:color="auto"/>
              <w:right w:val="outset" w:sz="4" w:space="0" w:color="auto"/>
            </w:tcBorders>
            <w:vAlign w:val="center"/>
          </w:tcPr>
          <w:p w14:paraId="2CBBFBC1"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2B5E777"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577D9D97" w14:textId="77777777" w:rsidR="005E000F" w:rsidRDefault="00000000">
            <w:pPr>
              <w:jc w:val="right"/>
            </w:pPr>
            <w:r>
              <w:t>0</w:t>
            </w:r>
          </w:p>
        </w:tc>
      </w:tr>
      <w:tr w:rsidR="005E000F" w14:paraId="406EFB43" w14:textId="77777777">
        <w:tc>
          <w:tcPr>
            <w:tcW w:w="3507" w:type="dxa"/>
            <w:tcBorders>
              <w:top w:val="outset" w:sz="4" w:space="0" w:color="auto"/>
              <w:left w:val="outset" w:sz="4" w:space="0" w:color="auto"/>
              <w:bottom w:val="outset" w:sz="4" w:space="0" w:color="auto"/>
              <w:right w:val="outset" w:sz="4" w:space="0" w:color="auto"/>
            </w:tcBorders>
            <w:vAlign w:val="center"/>
          </w:tcPr>
          <w:p w14:paraId="4E8D3FDE" w14:textId="77777777" w:rsidR="005E000F" w:rsidRDefault="00000000">
            <w:pPr>
              <w:ind w:firstLineChars="200" w:firstLine="420"/>
            </w:pPr>
            <w:r>
              <w:t>4.</w:t>
            </w:r>
            <w:r>
              <w:t>其他债权投资信用减值准备</w:t>
            </w:r>
          </w:p>
        </w:tc>
        <w:tc>
          <w:tcPr>
            <w:tcW w:w="1516" w:type="dxa"/>
            <w:tcBorders>
              <w:top w:val="outset" w:sz="4" w:space="0" w:color="auto"/>
              <w:left w:val="outset" w:sz="4" w:space="0" w:color="auto"/>
              <w:bottom w:val="outset" w:sz="4" w:space="0" w:color="auto"/>
              <w:right w:val="outset" w:sz="4" w:space="0" w:color="auto"/>
            </w:tcBorders>
            <w:vAlign w:val="center"/>
          </w:tcPr>
          <w:p w14:paraId="1BD8077C"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9A3DFBC"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2ECB1846" w14:textId="77777777" w:rsidR="005E000F" w:rsidRDefault="00000000">
            <w:pPr>
              <w:jc w:val="right"/>
            </w:pPr>
            <w:r>
              <w:t>0</w:t>
            </w:r>
          </w:p>
        </w:tc>
      </w:tr>
      <w:tr w:rsidR="005E000F" w14:paraId="532ECFA5" w14:textId="77777777">
        <w:tc>
          <w:tcPr>
            <w:tcW w:w="3507" w:type="dxa"/>
            <w:tcBorders>
              <w:top w:val="outset" w:sz="4" w:space="0" w:color="auto"/>
              <w:left w:val="outset" w:sz="4" w:space="0" w:color="auto"/>
              <w:bottom w:val="outset" w:sz="4" w:space="0" w:color="auto"/>
              <w:right w:val="outset" w:sz="4" w:space="0" w:color="auto"/>
            </w:tcBorders>
            <w:vAlign w:val="center"/>
          </w:tcPr>
          <w:p w14:paraId="7CAA1E44" w14:textId="77777777" w:rsidR="005E000F" w:rsidRDefault="00000000">
            <w:pPr>
              <w:ind w:firstLineChars="200" w:firstLine="420"/>
            </w:pPr>
            <w:r>
              <w:t>5.</w:t>
            </w:r>
            <w:r>
              <w:t>现金流量套期储备</w:t>
            </w:r>
          </w:p>
        </w:tc>
        <w:tc>
          <w:tcPr>
            <w:tcW w:w="1516" w:type="dxa"/>
            <w:tcBorders>
              <w:top w:val="outset" w:sz="4" w:space="0" w:color="auto"/>
              <w:left w:val="outset" w:sz="4" w:space="0" w:color="auto"/>
              <w:bottom w:val="outset" w:sz="4" w:space="0" w:color="auto"/>
              <w:right w:val="outset" w:sz="4" w:space="0" w:color="auto"/>
            </w:tcBorders>
            <w:vAlign w:val="center"/>
          </w:tcPr>
          <w:p w14:paraId="25580A3F"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3D8DC9F6"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0389A941" w14:textId="77777777" w:rsidR="005E000F" w:rsidRDefault="00000000">
            <w:pPr>
              <w:jc w:val="right"/>
            </w:pPr>
            <w:r>
              <w:t>0</w:t>
            </w:r>
          </w:p>
        </w:tc>
      </w:tr>
      <w:tr w:rsidR="005E000F" w14:paraId="4D38926B" w14:textId="77777777">
        <w:tc>
          <w:tcPr>
            <w:tcW w:w="3507" w:type="dxa"/>
            <w:tcBorders>
              <w:top w:val="outset" w:sz="4" w:space="0" w:color="auto"/>
              <w:left w:val="outset" w:sz="4" w:space="0" w:color="auto"/>
              <w:bottom w:val="outset" w:sz="4" w:space="0" w:color="auto"/>
              <w:right w:val="outset" w:sz="4" w:space="0" w:color="auto"/>
            </w:tcBorders>
            <w:vAlign w:val="center"/>
          </w:tcPr>
          <w:p w14:paraId="45E0CD26" w14:textId="77777777" w:rsidR="005E000F" w:rsidRDefault="00000000">
            <w:pPr>
              <w:ind w:firstLineChars="200" w:firstLine="420"/>
            </w:pPr>
            <w:r>
              <w:t>6.</w:t>
            </w:r>
            <w:r>
              <w:t>外币财务报表折算差额</w:t>
            </w:r>
          </w:p>
        </w:tc>
        <w:tc>
          <w:tcPr>
            <w:tcW w:w="1516" w:type="dxa"/>
            <w:tcBorders>
              <w:top w:val="outset" w:sz="4" w:space="0" w:color="auto"/>
              <w:left w:val="outset" w:sz="4" w:space="0" w:color="auto"/>
              <w:bottom w:val="outset" w:sz="4" w:space="0" w:color="auto"/>
              <w:right w:val="outset" w:sz="4" w:space="0" w:color="auto"/>
            </w:tcBorders>
            <w:vAlign w:val="center"/>
          </w:tcPr>
          <w:p w14:paraId="5C2B0D5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AAB709C"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1E0BFEBE" w14:textId="77777777" w:rsidR="005E000F" w:rsidRDefault="00000000">
            <w:pPr>
              <w:jc w:val="right"/>
            </w:pPr>
            <w:r>
              <w:t>0</w:t>
            </w:r>
          </w:p>
        </w:tc>
      </w:tr>
      <w:tr w:rsidR="005E000F" w14:paraId="1BDF4BA7" w14:textId="77777777">
        <w:tc>
          <w:tcPr>
            <w:tcW w:w="3507" w:type="dxa"/>
            <w:tcBorders>
              <w:top w:val="outset" w:sz="4" w:space="0" w:color="auto"/>
              <w:left w:val="outset" w:sz="4" w:space="0" w:color="auto"/>
              <w:bottom w:val="outset" w:sz="4" w:space="0" w:color="auto"/>
              <w:right w:val="outset" w:sz="4" w:space="0" w:color="auto"/>
            </w:tcBorders>
            <w:vAlign w:val="center"/>
          </w:tcPr>
          <w:p w14:paraId="0E55F315" w14:textId="77777777" w:rsidR="005E000F" w:rsidRDefault="00000000">
            <w:pPr>
              <w:ind w:firstLineChars="200" w:firstLine="420"/>
            </w:pPr>
            <w:r>
              <w:t>7.</w:t>
            </w:r>
            <w:r>
              <w:t>其他</w:t>
            </w:r>
          </w:p>
        </w:tc>
        <w:tc>
          <w:tcPr>
            <w:tcW w:w="1516" w:type="dxa"/>
            <w:tcBorders>
              <w:top w:val="outset" w:sz="4" w:space="0" w:color="auto"/>
              <w:left w:val="outset" w:sz="4" w:space="0" w:color="auto"/>
              <w:bottom w:val="outset" w:sz="4" w:space="0" w:color="auto"/>
              <w:right w:val="outset" w:sz="4" w:space="0" w:color="auto"/>
            </w:tcBorders>
            <w:vAlign w:val="center"/>
          </w:tcPr>
          <w:p w14:paraId="125B28CD"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E38EE7A" w14:textId="77777777" w:rsidR="005E000F" w:rsidRDefault="00000000">
            <w:pPr>
              <w:jc w:val="right"/>
            </w:pPr>
            <w:r>
              <w:t>0</w:t>
            </w:r>
          </w:p>
        </w:tc>
        <w:tc>
          <w:tcPr>
            <w:tcW w:w="2018" w:type="dxa"/>
            <w:tcBorders>
              <w:top w:val="outset" w:sz="4" w:space="0" w:color="auto"/>
              <w:left w:val="outset" w:sz="4" w:space="0" w:color="auto"/>
              <w:bottom w:val="outset" w:sz="4" w:space="0" w:color="auto"/>
              <w:right w:val="outset" w:sz="4" w:space="0" w:color="auto"/>
            </w:tcBorders>
            <w:vAlign w:val="center"/>
          </w:tcPr>
          <w:p w14:paraId="7921AC63" w14:textId="77777777" w:rsidR="005E000F" w:rsidRDefault="00000000">
            <w:pPr>
              <w:jc w:val="right"/>
            </w:pPr>
            <w:r>
              <w:t>0</w:t>
            </w:r>
          </w:p>
        </w:tc>
      </w:tr>
      <w:tr w:rsidR="005E000F" w14:paraId="54EBDDF4" w14:textId="77777777">
        <w:tc>
          <w:tcPr>
            <w:tcW w:w="3507" w:type="dxa"/>
            <w:tcBorders>
              <w:top w:val="outset" w:sz="4" w:space="0" w:color="auto"/>
              <w:left w:val="outset" w:sz="4" w:space="0" w:color="auto"/>
              <w:bottom w:val="outset" w:sz="4" w:space="0" w:color="auto"/>
              <w:right w:val="outset" w:sz="4" w:space="0" w:color="auto"/>
            </w:tcBorders>
            <w:vAlign w:val="center"/>
          </w:tcPr>
          <w:p w14:paraId="6065F88B" w14:textId="77777777" w:rsidR="005E000F" w:rsidRDefault="00000000">
            <w:pPr>
              <w:ind w:left="-19"/>
            </w:pPr>
            <w:r>
              <w:rPr>
                <w:rFonts w:hint="eastAsia"/>
              </w:rPr>
              <w:t>六、综合收益总额</w:t>
            </w:r>
          </w:p>
        </w:tc>
        <w:tc>
          <w:tcPr>
            <w:tcW w:w="1516" w:type="dxa"/>
            <w:tcBorders>
              <w:top w:val="outset" w:sz="4" w:space="0" w:color="auto"/>
              <w:left w:val="outset" w:sz="4" w:space="0" w:color="auto"/>
              <w:bottom w:val="outset" w:sz="4" w:space="0" w:color="auto"/>
              <w:right w:val="outset" w:sz="4" w:space="0" w:color="auto"/>
            </w:tcBorders>
            <w:vAlign w:val="center"/>
          </w:tcPr>
          <w:p w14:paraId="42FCD326"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783D2CCC" w14:textId="77777777" w:rsidR="005E000F" w:rsidRDefault="00000000">
            <w:pPr>
              <w:jc w:val="right"/>
            </w:pPr>
            <w:r>
              <w:t>6,088,291,920</w:t>
            </w:r>
          </w:p>
        </w:tc>
        <w:tc>
          <w:tcPr>
            <w:tcW w:w="2018" w:type="dxa"/>
            <w:tcBorders>
              <w:top w:val="outset" w:sz="4" w:space="0" w:color="auto"/>
              <w:left w:val="outset" w:sz="4" w:space="0" w:color="auto"/>
              <w:bottom w:val="outset" w:sz="4" w:space="0" w:color="auto"/>
              <w:right w:val="outset" w:sz="4" w:space="0" w:color="auto"/>
            </w:tcBorders>
            <w:vAlign w:val="center"/>
          </w:tcPr>
          <w:p w14:paraId="5DEC7FB3" w14:textId="77777777" w:rsidR="005E000F" w:rsidRDefault="00000000">
            <w:pPr>
              <w:jc w:val="right"/>
            </w:pPr>
            <w:r>
              <w:t>7,882,847,574</w:t>
            </w:r>
          </w:p>
        </w:tc>
      </w:tr>
      <w:tr w:rsidR="005E000F" w14:paraId="03C96BA1" w14:textId="77777777">
        <w:sdt>
          <w:sdtPr>
            <w:tag w:val="_PLD_3b0447fd122e4105bde5cc49acaea414"/>
            <w:id w:val="-1836833214"/>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77AEB101" w14:textId="77777777" w:rsidR="005E000F" w:rsidRDefault="00000000">
                <w:r>
                  <w:rPr>
                    <w:rFonts w:hint="eastAsia"/>
                  </w:rPr>
                  <w:t>七</w:t>
                </w:r>
                <w:r>
                  <w:t>、每股收益：</w:t>
                </w:r>
              </w:p>
            </w:tc>
          </w:sdtContent>
        </w:sdt>
      </w:tr>
      <w:tr w:rsidR="005E000F" w14:paraId="39947167" w14:textId="77777777">
        <w:tc>
          <w:tcPr>
            <w:tcW w:w="3507" w:type="dxa"/>
            <w:tcBorders>
              <w:top w:val="outset" w:sz="4" w:space="0" w:color="auto"/>
              <w:left w:val="outset" w:sz="4" w:space="0" w:color="auto"/>
              <w:bottom w:val="outset" w:sz="4" w:space="0" w:color="auto"/>
              <w:right w:val="outset" w:sz="4" w:space="0" w:color="auto"/>
            </w:tcBorders>
            <w:vAlign w:val="center"/>
          </w:tcPr>
          <w:p w14:paraId="6132A121" w14:textId="77777777" w:rsidR="005E000F" w:rsidRDefault="00000000">
            <w:pPr>
              <w:ind w:left="-19" w:firstLineChars="200" w:firstLine="420"/>
            </w:pPr>
            <w:r>
              <w:t>（一）基本每股收益</w:t>
            </w:r>
            <w:r>
              <w:rPr>
                <w:rFonts w:hint="eastAsia"/>
              </w:rPr>
              <w:t>（元</w:t>
            </w:r>
            <w:r>
              <w:rPr>
                <w:rFonts w:hint="eastAsia"/>
              </w:rPr>
              <w:t>/</w:t>
            </w:r>
            <w:r>
              <w:rPr>
                <w:rFonts w:hint="eastAsia"/>
              </w:rPr>
              <w:t>股）</w:t>
            </w:r>
          </w:p>
        </w:tc>
        <w:tc>
          <w:tcPr>
            <w:tcW w:w="1516" w:type="dxa"/>
            <w:tcBorders>
              <w:top w:val="outset" w:sz="4" w:space="0" w:color="auto"/>
              <w:left w:val="outset" w:sz="4" w:space="0" w:color="auto"/>
              <w:bottom w:val="outset" w:sz="4" w:space="0" w:color="auto"/>
              <w:right w:val="outset" w:sz="4" w:space="0" w:color="auto"/>
            </w:tcBorders>
            <w:vAlign w:val="center"/>
          </w:tcPr>
          <w:p w14:paraId="6E5C5E2E"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6895F9D4" w14:textId="77777777" w:rsidR="005E000F" w:rsidRDefault="005E000F">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5C9E223D" w14:textId="77777777" w:rsidR="005E000F" w:rsidRDefault="005E000F">
            <w:pPr>
              <w:jc w:val="right"/>
            </w:pPr>
          </w:p>
        </w:tc>
      </w:tr>
      <w:tr w:rsidR="005E000F" w14:paraId="4BBC064A" w14:textId="77777777">
        <w:tc>
          <w:tcPr>
            <w:tcW w:w="3507" w:type="dxa"/>
            <w:tcBorders>
              <w:top w:val="outset" w:sz="4" w:space="0" w:color="auto"/>
              <w:left w:val="outset" w:sz="4" w:space="0" w:color="auto"/>
              <w:bottom w:val="outset" w:sz="4" w:space="0" w:color="auto"/>
              <w:right w:val="outset" w:sz="4" w:space="0" w:color="auto"/>
            </w:tcBorders>
            <w:vAlign w:val="center"/>
          </w:tcPr>
          <w:p w14:paraId="0ECF3DD5" w14:textId="77777777" w:rsidR="005E000F" w:rsidRDefault="00000000">
            <w:pPr>
              <w:ind w:left="-19" w:firstLineChars="200" w:firstLine="420"/>
            </w:pPr>
            <w:r>
              <w:t>（二）稀释每股收益</w:t>
            </w:r>
            <w:r>
              <w:rPr>
                <w:rFonts w:hint="eastAsia"/>
              </w:rPr>
              <w:t>（元</w:t>
            </w:r>
            <w:r>
              <w:rPr>
                <w:rFonts w:hint="eastAsia"/>
              </w:rPr>
              <w:t>/</w:t>
            </w:r>
            <w:r>
              <w:rPr>
                <w:rFonts w:hint="eastAsia"/>
              </w:rPr>
              <w:t>股）</w:t>
            </w:r>
          </w:p>
        </w:tc>
        <w:tc>
          <w:tcPr>
            <w:tcW w:w="1516" w:type="dxa"/>
            <w:tcBorders>
              <w:top w:val="outset" w:sz="4" w:space="0" w:color="auto"/>
              <w:left w:val="outset" w:sz="4" w:space="0" w:color="auto"/>
              <w:bottom w:val="outset" w:sz="4" w:space="0" w:color="auto"/>
              <w:right w:val="outset" w:sz="4" w:space="0" w:color="auto"/>
            </w:tcBorders>
            <w:vAlign w:val="center"/>
          </w:tcPr>
          <w:p w14:paraId="3F83DDCF" w14:textId="77777777" w:rsidR="005E000F" w:rsidRDefault="005E000F"/>
        </w:tc>
        <w:tc>
          <w:tcPr>
            <w:tcW w:w="2008" w:type="dxa"/>
            <w:tcBorders>
              <w:top w:val="outset" w:sz="4" w:space="0" w:color="auto"/>
              <w:left w:val="outset" w:sz="4" w:space="0" w:color="auto"/>
              <w:bottom w:val="outset" w:sz="4" w:space="0" w:color="auto"/>
              <w:right w:val="outset" w:sz="4" w:space="0" w:color="auto"/>
            </w:tcBorders>
            <w:vAlign w:val="center"/>
          </w:tcPr>
          <w:p w14:paraId="40E12857" w14:textId="77777777" w:rsidR="005E000F" w:rsidRDefault="005E000F">
            <w:pPr>
              <w:jc w:val="right"/>
            </w:pPr>
          </w:p>
        </w:tc>
        <w:tc>
          <w:tcPr>
            <w:tcW w:w="2018" w:type="dxa"/>
            <w:tcBorders>
              <w:top w:val="outset" w:sz="4" w:space="0" w:color="auto"/>
              <w:left w:val="outset" w:sz="4" w:space="0" w:color="auto"/>
              <w:bottom w:val="outset" w:sz="4" w:space="0" w:color="auto"/>
              <w:right w:val="outset" w:sz="4" w:space="0" w:color="auto"/>
            </w:tcBorders>
            <w:vAlign w:val="center"/>
          </w:tcPr>
          <w:p w14:paraId="18D558CA" w14:textId="77777777" w:rsidR="005E000F" w:rsidRDefault="005E000F">
            <w:pPr>
              <w:jc w:val="right"/>
            </w:pPr>
          </w:p>
        </w:tc>
      </w:tr>
    </w:tbl>
    <w:p w14:paraId="074A149C" w14:textId="77777777" w:rsidR="005E000F" w:rsidRDefault="005E000F"/>
    <w:p w14:paraId="40056257" w14:textId="77777777" w:rsidR="005E000F" w:rsidRDefault="00000000">
      <w:pPr>
        <w:snapToGrid w:val="0"/>
        <w:spacing w:line="240" w:lineRule="atLeast"/>
        <w:ind w:rightChars="-73" w:right="-153"/>
        <w:rPr>
          <w:rFonts w:cs="宋体-方正超大字符集"/>
        </w:rPr>
      </w:pPr>
      <w:r>
        <w:rPr>
          <w:rFonts w:hint="eastAsia"/>
        </w:rPr>
        <w:t>公司负责</w:t>
      </w:r>
      <w:r>
        <w:t>人</w:t>
      </w:r>
      <w:r>
        <w:rPr>
          <w:rFonts w:hint="eastAsia"/>
        </w:rPr>
        <w:t>：</w:t>
      </w:r>
      <w:sdt>
        <w:sdtPr>
          <w:rPr>
            <w:rFonts w:hint="eastAsia"/>
          </w:rPr>
          <w:alias w:val="公司负责人姓名"/>
          <w:tag w:val="_GBC_04fbc09e50eb44a79e1d4314733be4f9"/>
          <w:id w:val="-228545074"/>
          <w:placeholder>
            <w:docPart w:val="GBC22222222222222222222222222222"/>
          </w:placeholder>
          <w:dataBinding w:prefixMappings="xmlns:clcid-mr='clcid-mr'" w:xpath="/*/clcid-mr:GongSiFuZeRenXingMing[not(@periodRef)]" w:storeItemID="{89EBAB94-44A0-46A2-B712-30D997D04A6D}"/>
          <w:text/>
        </w:sdtPr>
        <w:sdtContent>
          <w:proofErr w:type="gramStart"/>
          <w:r>
            <w:rPr>
              <w:rFonts w:hint="eastAsia"/>
            </w:rPr>
            <w:t>陆勇</w:t>
          </w:r>
          <w:proofErr w:type="gramEnd"/>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37d9f750e6c04845b9e34ad6da976b56"/>
          <w:id w:val="710623090"/>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b8515644d08d42edafc210cf569b9b08"/>
          <w:id w:val="1181779178"/>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孔韶鹏</w:t>
          </w:r>
        </w:sdtContent>
      </w:sdt>
    </w:p>
    <w:p w14:paraId="299A69E4" w14:textId="77777777" w:rsidR="005E000F" w:rsidRDefault="005E000F">
      <w:pPr>
        <w:rPr>
          <w:color w:val="FF0000"/>
        </w:rPr>
      </w:pPr>
    </w:p>
    <w:p w14:paraId="23DD11D8" w14:textId="77777777" w:rsidR="005E000F" w:rsidRDefault="005E000F">
      <w:pPr>
        <w:rPr>
          <w:color w:val="FF0000"/>
        </w:rPr>
      </w:pPr>
      <w:bookmarkStart w:id="234" w:name="_Hlk24038756"/>
      <w:bookmarkEnd w:id="233"/>
      <w:bookmarkEnd w:id="234"/>
    </w:p>
    <w:p w14:paraId="73023FEA" w14:textId="77777777" w:rsidR="005E000F" w:rsidRDefault="005E000F">
      <w:pPr>
        <w:rPr>
          <w:color w:val="FF0000"/>
        </w:rPr>
      </w:pPr>
    </w:p>
    <w:p w14:paraId="385AF9E8" w14:textId="77777777" w:rsidR="005E000F" w:rsidRDefault="00000000">
      <w:pPr>
        <w:jc w:val="center"/>
        <w:outlineLvl w:val="2"/>
        <w:rPr>
          <w:b/>
          <w:bCs/>
        </w:rPr>
      </w:pPr>
      <w:bookmarkStart w:id="235" w:name="_Hlk1156136"/>
      <w:r>
        <w:rPr>
          <w:rFonts w:hint="eastAsia"/>
          <w:b/>
          <w:bCs/>
        </w:rPr>
        <w:t>合并</w:t>
      </w:r>
      <w:r>
        <w:rPr>
          <w:b/>
          <w:bCs/>
        </w:rPr>
        <w:t>现金流量表</w:t>
      </w:r>
    </w:p>
    <w:p w14:paraId="1532038A" w14:textId="77777777" w:rsidR="005E000F" w:rsidRDefault="00000000">
      <w:pPr>
        <w:jc w:val="center"/>
        <w:rPr>
          <w:b/>
          <w:bCs/>
        </w:rPr>
      </w:pPr>
      <w:r>
        <w:t>2025</w:t>
      </w:r>
      <w:r>
        <w:t>年</w:t>
      </w:r>
      <w:r>
        <w:rPr>
          <w:rFonts w:hint="eastAsia"/>
        </w:rPr>
        <w:t>1</w:t>
      </w:r>
      <w:r>
        <w:rPr>
          <w:rFonts w:hint="eastAsia"/>
        </w:rPr>
        <w:t>—</w:t>
      </w:r>
      <w:r>
        <w:rPr>
          <w:rFonts w:hint="eastAsia"/>
        </w:rPr>
        <w:t>12</w:t>
      </w:r>
      <w:r>
        <w:t>月</w:t>
      </w:r>
    </w:p>
    <w:p w14:paraId="3ABE78D6" w14:textId="77777777" w:rsidR="005E000F" w:rsidRDefault="00000000">
      <w:pPr>
        <w:jc w:val="right"/>
      </w:pPr>
      <w:r>
        <w:t>单位</w:t>
      </w:r>
      <w:r>
        <w:rPr>
          <w:rFonts w:hint="eastAsia"/>
        </w:rPr>
        <w:t>：</w:t>
      </w:r>
      <w:sdt>
        <w:sdtPr>
          <w:rPr>
            <w:rFonts w:hint="eastAsia"/>
          </w:rPr>
          <w:alias w:val="单位：合并现金流量表"/>
          <w:tag w:val="_GBC_7049413ddb8f4e5eac9cb9fb4f802433"/>
          <w:id w:val="140673349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t>币种</w:t>
      </w:r>
      <w:r>
        <w:rPr>
          <w:rFonts w:hint="eastAsia"/>
        </w:rPr>
        <w:t>：</w:t>
      </w:r>
      <w:sdt>
        <w:sdtPr>
          <w:rPr>
            <w:rFonts w:hint="eastAsia"/>
          </w:rPr>
          <w:alias w:val="币种：合并现金流量表"/>
          <w:tag w:val="_GBC_5ab1c6e244484b228b8cdc6ee3840fd6"/>
          <w:id w:val="-20196908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41"/>
        <w:gridCol w:w="1567"/>
        <w:gridCol w:w="2173"/>
        <w:gridCol w:w="2168"/>
      </w:tblGrid>
      <w:tr w:rsidR="005E000F" w14:paraId="0F7EF626" w14:textId="77777777">
        <w:tc>
          <w:tcPr>
            <w:tcW w:w="3141" w:type="dxa"/>
            <w:tcBorders>
              <w:top w:val="outset" w:sz="4" w:space="0" w:color="auto"/>
              <w:left w:val="outset" w:sz="4" w:space="0" w:color="auto"/>
              <w:bottom w:val="outset" w:sz="4" w:space="0" w:color="auto"/>
              <w:right w:val="outset" w:sz="4" w:space="0" w:color="auto"/>
            </w:tcBorders>
            <w:vAlign w:val="center"/>
          </w:tcPr>
          <w:sdt>
            <w:sdtPr>
              <w:tag w:val="_PLD_5a1e687815424d54a4dd8744648aa3cb"/>
              <w:id w:val="-2075348883"/>
            </w:sdtPr>
            <w:sdtContent>
              <w:p w14:paraId="382E69F5" w14:textId="77777777" w:rsidR="005E000F" w:rsidRDefault="00000000">
                <w:pPr>
                  <w:jc w:val="center"/>
                  <w:rPr>
                    <w:b/>
                  </w:rPr>
                </w:pPr>
                <w:r>
                  <w:rPr>
                    <w:rFonts w:hint="eastAsia"/>
                    <w:b/>
                  </w:rPr>
                  <w:t>项目</w:t>
                </w:r>
              </w:p>
            </w:sdtContent>
          </w:sdt>
        </w:tc>
        <w:tc>
          <w:tcPr>
            <w:tcW w:w="1567" w:type="dxa"/>
            <w:tcBorders>
              <w:top w:val="outset" w:sz="4" w:space="0" w:color="auto"/>
              <w:left w:val="outset" w:sz="4" w:space="0" w:color="auto"/>
              <w:bottom w:val="outset" w:sz="4" w:space="0" w:color="auto"/>
              <w:right w:val="outset" w:sz="4" w:space="0" w:color="auto"/>
            </w:tcBorders>
            <w:vAlign w:val="center"/>
          </w:tcPr>
          <w:sdt>
            <w:sdtPr>
              <w:tag w:val="_PLD_3c902166982f4ea18b3f3d11c1fe2190"/>
              <w:id w:val="-1169634459"/>
            </w:sdtPr>
            <w:sdtContent>
              <w:p w14:paraId="67A3A907" w14:textId="77777777" w:rsidR="005E000F" w:rsidRDefault="00000000">
                <w:pPr>
                  <w:jc w:val="center"/>
                  <w:rPr>
                    <w:b/>
                  </w:rPr>
                </w:pPr>
                <w:r>
                  <w:rPr>
                    <w:rFonts w:hint="eastAsia"/>
                    <w:b/>
                  </w:rPr>
                  <w:t>附注</w:t>
                </w:r>
              </w:p>
            </w:sdtContent>
          </w:sdt>
        </w:tc>
        <w:tc>
          <w:tcPr>
            <w:tcW w:w="2173" w:type="dxa"/>
            <w:tcBorders>
              <w:top w:val="outset" w:sz="4" w:space="0" w:color="auto"/>
              <w:left w:val="outset" w:sz="4" w:space="0" w:color="auto"/>
              <w:bottom w:val="outset" w:sz="4" w:space="0" w:color="auto"/>
              <w:right w:val="outset" w:sz="4" w:space="0" w:color="auto"/>
            </w:tcBorders>
            <w:vAlign w:val="center"/>
          </w:tcPr>
          <w:sdt>
            <w:sdtPr>
              <w:tag w:val="_PLD_29a06cc719e5467e82013eb798ebb143"/>
              <w:id w:val="1515181516"/>
            </w:sdtPr>
            <w:sdtContent>
              <w:p w14:paraId="0C986742" w14:textId="77777777" w:rsidR="005E000F" w:rsidRDefault="00000000">
                <w:pPr>
                  <w:autoSpaceDE w:val="0"/>
                  <w:autoSpaceDN w:val="0"/>
                  <w:adjustRightInd w:val="0"/>
                  <w:jc w:val="center"/>
                  <w:rPr>
                    <w:b/>
                  </w:rPr>
                </w:pPr>
                <w:r>
                  <w:rPr>
                    <w:rFonts w:hint="eastAsia"/>
                    <w:b/>
                  </w:rPr>
                  <w:t>2025</w:t>
                </w:r>
                <w:r>
                  <w:rPr>
                    <w:rFonts w:hint="eastAsia"/>
                    <w:b/>
                  </w:rPr>
                  <w:t>年度</w:t>
                </w:r>
              </w:p>
            </w:sdtContent>
          </w:sdt>
        </w:tc>
        <w:tc>
          <w:tcPr>
            <w:tcW w:w="2168" w:type="dxa"/>
            <w:tcBorders>
              <w:top w:val="outset" w:sz="4" w:space="0" w:color="auto"/>
              <w:left w:val="outset" w:sz="4" w:space="0" w:color="auto"/>
              <w:bottom w:val="outset" w:sz="4" w:space="0" w:color="auto"/>
              <w:right w:val="outset" w:sz="4" w:space="0" w:color="auto"/>
            </w:tcBorders>
            <w:vAlign w:val="center"/>
          </w:tcPr>
          <w:sdt>
            <w:sdtPr>
              <w:tag w:val="_PLD_0bd5effed8234e5eb21199f6669657c2"/>
              <w:id w:val="1780765115"/>
            </w:sdtPr>
            <w:sdtContent>
              <w:p w14:paraId="4DBE102A" w14:textId="77777777" w:rsidR="005E000F" w:rsidRDefault="00000000">
                <w:pPr>
                  <w:autoSpaceDE w:val="0"/>
                  <w:autoSpaceDN w:val="0"/>
                  <w:adjustRightInd w:val="0"/>
                  <w:jc w:val="center"/>
                  <w:rPr>
                    <w:b/>
                  </w:rPr>
                </w:pPr>
                <w:r>
                  <w:rPr>
                    <w:rFonts w:hint="eastAsia"/>
                    <w:b/>
                  </w:rPr>
                  <w:t>2024</w:t>
                </w:r>
                <w:r>
                  <w:rPr>
                    <w:rFonts w:hint="eastAsia"/>
                    <w:b/>
                  </w:rPr>
                  <w:t>年度</w:t>
                </w:r>
              </w:p>
            </w:sdtContent>
          </w:sdt>
        </w:tc>
      </w:tr>
      <w:tr w:rsidR="005E000F" w14:paraId="1DF73CF9" w14:textId="77777777">
        <w:sdt>
          <w:sdtPr>
            <w:tag w:val="_PLD_c03c8258c1684fb989d96332af6834de"/>
            <w:id w:val="-1061087808"/>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14B5CFF2" w14:textId="77777777" w:rsidR="005E000F" w:rsidRDefault="00000000">
                <w:r>
                  <w:rPr>
                    <w:rFonts w:hint="eastAsia"/>
                    <w:b/>
                    <w:bCs/>
                  </w:rPr>
                  <w:t>一、经营活动产生的现金流量：</w:t>
                </w:r>
              </w:p>
            </w:tc>
          </w:sdtContent>
        </w:sdt>
      </w:tr>
      <w:tr w:rsidR="005E000F" w14:paraId="75587461" w14:textId="77777777">
        <w:tc>
          <w:tcPr>
            <w:tcW w:w="3141" w:type="dxa"/>
            <w:tcBorders>
              <w:top w:val="outset" w:sz="4" w:space="0" w:color="auto"/>
              <w:left w:val="outset" w:sz="4" w:space="0" w:color="auto"/>
              <w:bottom w:val="outset" w:sz="4" w:space="0" w:color="auto"/>
              <w:right w:val="outset" w:sz="4" w:space="0" w:color="auto"/>
            </w:tcBorders>
            <w:vAlign w:val="center"/>
          </w:tcPr>
          <w:p w14:paraId="30EAEFEE" w14:textId="77777777" w:rsidR="005E000F" w:rsidRDefault="00000000">
            <w:pPr>
              <w:ind w:firstLineChars="100" w:firstLine="210"/>
              <w:rPr>
                <w:color w:val="000000"/>
              </w:rPr>
            </w:pPr>
            <w:r>
              <w:rPr>
                <w:rFonts w:hint="eastAsia"/>
              </w:rPr>
              <w:t>销售商品、提供劳务收到的现</w:t>
            </w:r>
            <w:r>
              <w:rPr>
                <w:rFonts w:hint="eastAsia"/>
              </w:rPr>
              <w:lastRenderedPageBreak/>
              <w:t>金</w:t>
            </w:r>
          </w:p>
        </w:tc>
        <w:tc>
          <w:tcPr>
            <w:tcW w:w="1567" w:type="dxa"/>
            <w:tcBorders>
              <w:top w:val="outset" w:sz="4" w:space="0" w:color="auto"/>
              <w:left w:val="outset" w:sz="4" w:space="0" w:color="auto"/>
              <w:bottom w:val="outset" w:sz="4" w:space="0" w:color="auto"/>
              <w:right w:val="outset" w:sz="4" w:space="0" w:color="auto"/>
            </w:tcBorders>
            <w:vAlign w:val="center"/>
          </w:tcPr>
          <w:p w14:paraId="40033E46"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5778E1D7" w14:textId="77777777" w:rsidR="005E000F" w:rsidRDefault="00000000">
            <w:pPr>
              <w:jc w:val="right"/>
            </w:pPr>
            <w:r>
              <w:t>47,767,207,809</w:t>
            </w:r>
          </w:p>
        </w:tc>
        <w:tc>
          <w:tcPr>
            <w:tcW w:w="2168" w:type="dxa"/>
            <w:tcBorders>
              <w:top w:val="outset" w:sz="4" w:space="0" w:color="auto"/>
              <w:left w:val="outset" w:sz="4" w:space="0" w:color="auto"/>
              <w:bottom w:val="outset" w:sz="4" w:space="0" w:color="auto"/>
              <w:right w:val="outset" w:sz="4" w:space="0" w:color="auto"/>
            </w:tcBorders>
            <w:vAlign w:val="center"/>
          </w:tcPr>
          <w:p w14:paraId="537CC9D9" w14:textId="77777777" w:rsidR="005E000F" w:rsidRDefault="00000000">
            <w:pPr>
              <w:jc w:val="right"/>
            </w:pPr>
            <w:r>
              <w:t>46,998,882,354</w:t>
            </w:r>
          </w:p>
        </w:tc>
      </w:tr>
      <w:tr w:rsidR="005E000F" w14:paraId="68AB3A94" w14:textId="77777777">
        <w:tc>
          <w:tcPr>
            <w:tcW w:w="3141" w:type="dxa"/>
            <w:tcBorders>
              <w:top w:val="outset" w:sz="4" w:space="0" w:color="auto"/>
              <w:left w:val="outset" w:sz="4" w:space="0" w:color="auto"/>
              <w:bottom w:val="outset" w:sz="4" w:space="0" w:color="auto"/>
              <w:right w:val="outset" w:sz="4" w:space="0" w:color="auto"/>
            </w:tcBorders>
            <w:vAlign w:val="center"/>
          </w:tcPr>
          <w:p w14:paraId="5D759251" w14:textId="77777777" w:rsidR="005E000F" w:rsidRDefault="00000000">
            <w:pPr>
              <w:ind w:firstLineChars="100" w:firstLine="210"/>
            </w:pPr>
            <w:r>
              <w:rPr>
                <w:rFonts w:hint="eastAsia"/>
              </w:rPr>
              <w:t>客户存款和同业存放款项净增加额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027B089E"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45064B0C"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1D79E74D" w14:textId="77777777" w:rsidR="005E000F" w:rsidRDefault="00000000">
            <w:pPr>
              <w:jc w:val="right"/>
            </w:pPr>
            <w:r>
              <w:t>0</w:t>
            </w:r>
          </w:p>
        </w:tc>
      </w:tr>
      <w:tr w:rsidR="005E000F" w14:paraId="175A1AE8" w14:textId="77777777">
        <w:tc>
          <w:tcPr>
            <w:tcW w:w="3141" w:type="dxa"/>
            <w:tcBorders>
              <w:top w:val="outset" w:sz="4" w:space="0" w:color="auto"/>
              <w:left w:val="outset" w:sz="4" w:space="0" w:color="auto"/>
              <w:bottom w:val="outset" w:sz="4" w:space="0" w:color="auto"/>
              <w:right w:val="outset" w:sz="4" w:space="0" w:color="auto"/>
            </w:tcBorders>
            <w:vAlign w:val="center"/>
          </w:tcPr>
          <w:p w14:paraId="0BF33628" w14:textId="77777777" w:rsidR="005E000F" w:rsidRDefault="00000000">
            <w:pPr>
              <w:ind w:firstLineChars="100" w:firstLine="210"/>
            </w:pPr>
            <w:r>
              <w:rPr>
                <w:rFonts w:hint="eastAsia"/>
              </w:rPr>
              <w:t>向中央银行借款净增加额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0C714FB6"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720BAEEA"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454230E2" w14:textId="77777777" w:rsidR="005E000F" w:rsidRDefault="00000000">
            <w:pPr>
              <w:jc w:val="right"/>
            </w:pPr>
            <w:r>
              <w:t>0</w:t>
            </w:r>
          </w:p>
        </w:tc>
      </w:tr>
      <w:tr w:rsidR="005E000F" w14:paraId="40BADB4A" w14:textId="77777777">
        <w:tc>
          <w:tcPr>
            <w:tcW w:w="3141" w:type="dxa"/>
            <w:tcBorders>
              <w:top w:val="outset" w:sz="4" w:space="0" w:color="auto"/>
              <w:left w:val="outset" w:sz="4" w:space="0" w:color="auto"/>
              <w:bottom w:val="outset" w:sz="4" w:space="0" w:color="auto"/>
              <w:right w:val="outset" w:sz="4" w:space="0" w:color="auto"/>
            </w:tcBorders>
            <w:vAlign w:val="center"/>
          </w:tcPr>
          <w:p w14:paraId="76C6F0B9" w14:textId="77777777" w:rsidR="005E000F" w:rsidRDefault="00000000">
            <w:pPr>
              <w:ind w:firstLineChars="100" w:firstLine="210"/>
            </w:pPr>
            <w:r>
              <w:rPr>
                <w:rFonts w:hint="eastAsia"/>
              </w:rPr>
              <w:t>向其他金融机构拆入资金净增加额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490DDD1F"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33E8C81A"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04515F1F" w14:textId="77777777" w:rsidR="005E000F" w:rsidRDefault="00000000">
            <w:pPr>
              <w:jc w:val="right"/>
            </w:pPr>
            <w:r>
              <w:t>0</w:t>
            </w:r>
          </w:p>
        </w:tc>
      </w:tr>
      <w:tr w:rsidR="005E000F" w14:paraId="28C89D9E" w14:textId="77777777">
        <w:tc>
          <w:tcPr>
            <w:tcW w:w="3141" w:type="dxa"/>
            <w:tcBorders>
              <w:top w:val="outset" w:sz="4" w:space="0" w:color="auto"/>
              <w:left w:val="outset" w:sz="4" w:space="0" w:color="auto"/>
              <w:bottom w:val="outset" w:sz="4" w:space="0" w:color="auto"/>
              <w:right w:val="outset" w:sz="4" w:space="0" w:color="auto"/>
            </w:tcBorders>
            <w:vAlign w:val="center"/>
          </w:tcPr>
          <w:p w14:paraId="5B7B741B" w14:textId="77777777" w:rsidR="005E000F" w:rsidRDefault="00000000">
            <w:pPr>
              <w:ind w:firstLineChars="100" w:firstLine="210"/>
            </w:pPr>
            <w:r>
              <w:rPr>
                <w:rFonts w:hint="eastAsia"/>
              </w:rPr>
              <w:t>收到原保险合同保费取得的现金</w:t>
            </w:r>
          </w:p>
        </w:tc>
        <w:tc>
          <w:tcPr>
            <w:tcW w:w="1567" w:type="dxa"/>
            <w:tcBorders>
              <w:top w:val="outset" w:sz="4" w:space="0" w:color="auto"/>
              <w:left w:val="outset" w:sz="4" w:space="0" w:color="auto"/>
              <w:bottom w:val="outset" w:sz="4" w:space="0" w:color="auto"/>
              <w:right w:val="outset" w:sz="4" w:space="0" w:color="auto"/>
            </w:tcBorders>
            <w:vAlign w:val="center"/>
          </w:tcPr>
          <w:p w14:paraId="2A2221ED"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7A7C4D12"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0DA5B2CA" w14:textId="77777777" w:rsidR="005E000F" w:rsidRDefault="00000000">
            <w:pPr>
              <w:jc w:val="right"/>
            </w:pPr>
            <w:r>
              <w:t>0</w:t>
            </w:r>
          </w:p>
        </w:tc>
      </w:tr>
      <w:tr w:rsidR="005E000F" w14:paraId="3845FF3A" w14:textId="77777777">
        <w:tc>
          <w:tcPr>
            <w:tcW w:w="3141" w:type="dxa"/>
            <w:tcBorders>
              <w:top w:val="outset" w:sz="4" w:space="0" w:color="auto"/>
              <w:left w:val="outset" w:sz="4" w:space="0" w:color="auto"/>
              <w:bottom w:val="outset" w:sz="4" w:space="0" w:color="auto"/>
              <w:right w:val="outset" w:sz="4" w:space="0" w:color="auto"/>
            </w:tcBorders>
            <w:vAlign w:val="center"/>
          </w:tcPr>
          <w:p w14:paraId="33536CA6" w14:textId="77777777" w:rsidR="005E000F" w:rsidRDefault="00000000">
            <w:pPr>
              <w:ind w:firstLineChars="100" w:firstLine="210"/>
            </w:pPr>
            <w:r>
              <w:rPr>
                <w:rFonts w:hint="eastAsia"/>
              </w:rPr>
              <w:t>收到再保业务现金净额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227BE344"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05CA5BB5"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3F2CE47A" w14:textId="77777777" w:rsidR="005E000F" w:rsidRDefault="00000000">
            <w:pPr>
              <w:jc w:val="right"/>
            </w:pPr>
            <w:r>
              <w:t>0</w:t>
            </w:r>
          </w:p>
        </w:tc>
      </w:tr>
      <w:tr w:rsidR="005E000F" w14:paraId="24A76893" w14:textId="77777777">
        <w:tc>
          <w:tcPr>
            <w:tcW w:w="3141" w:type="dxa"/>
            <w:tcBorders>
              <w:top w:val="outset" w:sz="4" w:space="0" w:color="auto"/>
              <w:left w:val="outset" w:sz="4" w:space="0" w:color="auto"/>
              <w:bottom w:val="outset" w:sz="4" w:space="0" w:color="auto"/>
              <w:right w:val="outset" w:sz="4" w:space="0" w:color="auto"/>
            </w:tcBorders>
            <w:vAlign w:val="center"/>
          </w:tcPr>
          <w:p w14:paraId="705D24EA" w14:textId="77777777" w:rsidR="005E000F" w:rsidRDefault="00000000">
            <w:pPr>
              <w:ind w:firstLineChars="100" w:firstLine="210"/>
            </w:pPr>
            <w:r>
              <w:rPr>
                <w:rFonts w:hint="eastAsia"/>
              </w:rPr>
              <w:t>保户储金及投资款净增加额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405E24D6"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76B7FB15"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0B285090" w14:textId="77777777" w:rsidR="005E000F" w:rsidRDefault="00000000">
            <w:pPr>
              <w:jc w:val="right"/>
            </w:pPr>
            <w:r>
              <w:t>0</w:t>
            </w:r>
          </w:p>
        </w:tc>
      </w:tr>
      <w:tr w:rsidR="005E000F" w14:paraId="7F871E0E" w14:textId="77777777">
        <w:tc>
          <w:tcPr>
            <w:tcW w:w="3141" w:type="dxa"/>
            <w:tcBorders>
              <w:top w:val="outset" w:sz="4" w:space="0" w:color="auto"/>
              <w:left w:val="outset" w:sz="4" w:space="0" w:color="auto"/>
              <w:bottom w:val="outset" w:sz="4" w:space="0" w:color="auto"/>
              <w:right w:val="outset" w:sz="4" w:space="0" w:color="auto"/>
            </w:tcBorders>
            <w:vAlign w:val="center"/>
          </w:tcPr>
          <w:p w14:paraId="45639516" w14:textId="77777777" w:rsidR="005E000F" w:rsidRDefault="00000000">
            <w:pPr>
              <w:ind w:firstLineChars="100" w:firstLine="210"/>
            </w:pPr>
            <w:r>
              <w:rPr>
                <w:rFonts w:hint="eastAsia"/>
              </w:rPr>
              <w:t>收取利息、手续费及佣金的现金</w:t>
            </w:r>
          </w:p>
        </w:tc>
        <w:tc>
          <w:tcPr>
            <w:tcW w:w="1567" w:type="dxa"/>
            <w:tcBorders>
              <w:top w:val="outset" w:sz="4" w:space="0" w:color="auto"/>
              <w:left w:val="outset" w:sz="4" w:space="0" w:color="auto"/>
              <w:bottom w:val="outset" w:sz="4" w:space="0" w:color="auto"/>
              <w:right w:val="outset" w:sz="4" w:space="0" w:color="auto"/>
            </w:tcBorders>
            <w:vAlign w:val="center"/>
          </w:tcPr>
          <w:p w14:paraId="185B43FD"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004BEFF8"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7C41B343" w14:textId="77777777" w:rsidR="005E000F" w:rsidRDefault="00000000">
            <w:pPr>
              <w:jc w:val="right"/>
            </w:pPr>
            <w:r>
              <w:t>0</w:t>
            </w:r>
          </w:p>
        </w:tc>
      </w:tr>
      <w:tr w:rsidR="005E000F" w14:paraId="7AB00CDF" w14:textId="77777777">
        <w:tc>
          <w:tcPr>
            <w:tcW w:w="3141" w:type="dxa"/>
            <w:tcBorders>
              <w:top w:val="outset" w:sz="4" w:space="0" w:color="auto"/>
              <w:left w:val="outset" w:sz="4" w:space="0" w:color="auto"/>
              <w:bottom w:val="outset" w:sz="4" w:space="0" w:color="auto"/>
              <w:right w:val="outset" w:sz="4" w:space="0" w:color="auto"/>
            </w:tcBorders>
            <w:vAlign w:val="center"/>
          </w:tcPr>
          <w:p w14:paraId="7D98EBF4" w14:textId="77777777" w:rsidR="005E000F" w:rsidRDefault="00000000">
            <w:pPr>
              <w:ind w:firstLineChars="100" w:firstLine="210"/>
            </w:pPr>
            <w:r>
              <w:rPr>
                <w:rFonts w:hint="eastAsia"/>
              </w:rPr>
              <w:t>拆入资金净增加额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6EA0ECFE"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2EB0C822"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4EFA7D91" w14:textId="77777777" w:rsidR="005E000F" w:rsidRDefault="00000000">
            <w:pPr>
              <w:jc w:val="right"/>
            </w:pPr>
            <w:r>
              <w:t>0</w:t>
            </w:r>
          </w:p>
        </w:tc>
      </w:tr>
      <w:tr w:rsidR="005E000F" w14:paraId="015E7C3C" w14:textId="77777777">
        <w:tc>
          <w:tcPr>
            <w:tcW w:w="3141" w:type="dxa"/>
            <w:tcBorders>
              <w:top w:val="outset" w:sz="4" w:space="0" w:color="auto"/>
              <w:left w:val="outset" w:sz="4" w:space="0" w:color="auto"/>
              <w:bottom w:val="outset" w:sz="4" w:space="0" w:color="auto"/>
              <w:right w:val="outset" w:sz="4" w:space="0" w:color="auto"/>
            </w:tcBorders>
            <w:vAlign w:val="center"/>
          </w:tcPr>
          <w:p w14:paraId="4EEAC81D" w14:textId="77777777" w:rsidR="005E000F" w:rsidRDefault="00000000">
            <w:pPr>
              <w:ind w:firstLineChars="100" w:firstLine="210"/>
            </w:pPr>
            <w:r>
              <w:rPr>
                <w:rFonts w:hint="eastAsia"/>
              </w:rPr>
              <w:t>回购业务资金净增加额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200BD92D"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0197689F"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28954400" w14:textId="77777777" w:rsidR="005E000F" w:rsidRDefault="00000000">
            <w:pPr>
              <w:jc w:val="right"/>
            </w:pPr>
            <w:r>
              <w:t>0</w:t>
            </w:r>
          </w:p>
        </w:tc>
      </w:tr>
      <w:tr w:rsidR="005E000F" w14:paraId="33FB5F65" w14:textId="77777777">
        <w:tc>
          <w:tcPr>
            <w:tcW w:w="3141" w:type="dxa"/>
            <w:tcBorders>
              <w:top w:val="outset" w:sz="4" w:space="0" w:color="auto"/>
              <w:left w:val="outset" w:sz="4" w:space="0" w:color="auto"/>
              <w:bottom w:val="outset" w:sz="4" w:space="0" w:color="auto"/>
              <w:right w:val="outset" w:sz="4" w:space="0" w:color="auto"/>
            </w:tcBorders>
            <w:vAlign w:val="center"/>
          </w:tcPr>
          <w:p w14:paraId="20D0CCAC" w14:textId="77777777" w:rsidR="005E000F" w:rsidRDefault="00000000">
            <w:pPr>
              <w:ind w:firstLineChars="100" w:firstLine="210"/>
            </w:pPr>
            <w:r>
              <w:rPr>
                <w:rFonts w:hint="eastAsia"/>
              </w:rPr>
              <w:t>代理买卖证券收到的现金净额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0548AD88"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5035E2DE"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3E4D3BC9" w14:textId="77777777" w:rsidR="005E000F" w:rsidRDefault="00000000">
            <w:pPr>
              <w:jc w:val="right"/>
            </w:pPr>
            <w:r>
              <w:t>0</w:t>
            </w:r>
          </w:p>
        </w:tc>
      </w:tr>
      <w:tr w:rsidR="005E000F" w14:paraId="1BC52340" w14:textId="77777777">
        <w:tc>
          <w:tcPr>
            <w:tcW w:w="3141" w:type="dxa"/>
            <w:tcBorders>
              <w:top w:val="outset" w:sz="4" w:space="0" w:color="auto"/>
              <w:left w:val="outset" w:sz="4" w:space="0" w:color="auto"/>
              <w:bottom w:val="outset" w:sz="4" w:space="0" w:color="auto"/>
              <w:right w:val="outset" w:sz="4" w:space="0" w:color="auto"/>
            </w:tcBorders>
            <w:vAlign w:val="center"/>
          </w:tcPr>
          <w:p w14:paraId="4D876335" w14:textId="77777777" w:rsidR="005E000F" w:rsidRDefault="00000000">
            <w:pPr>
              <w:ind w:firstLineChars="100" w:firstLine="210"/>
            </w:pPr>
            <w:r>
              <w:rPr>
                <w:rFonts w:hint="eastAsia"/>
              </w:rPr>
              <w:t>收到的税费返还</w:t>
            </w:r>
          </w:p>
        </w:tc>
        <w:tc>
          <w:tcPr>
            <w:tcW w:w="1567" w:type="dxa"/>
            <w:tcBorders>
              <w:top w:val="outset" w:sz="4" w:space="0" w:color="auto"/>
              <w:left w:val="outset" w:sz="4" w:space="0" w:color="auto"/>
              <w:bottom w:val="outset" w:sz="4" w:space="0" w:color="auto"/>
              <w:right w:val="outset" w:sz="4" w:space="0" w:color="auto"/>
            </w:tcBorders>
            <w:vAlign w:val="center"/>
          </w:tcPr>
          <w:p w14:paraId="5DF5C6F6"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38DEBBFC" w14:textId="77777777" w:rsidR="005E000F" w:rsidRDefault="005E000F">
            <w:pPr>
              <w:jc w:val="right"/>
            </w:pPr>
          </w:p>
        </w:tc>
        <w:tc>
          <w:tcPr>
            <w:tcW w:w="2168" w:type="dxa"/>
            <w:tcBorders>
              <w:top w:val="outset" w:sz="4" w:space="0" w:color="auto"/>
              <w:left w:val="outset" w:sz="4" w:space="0" w:color="auto"/>
              <w:bottom w:val="outset" w:sz="4" w:space="0" w:color="auto"/>
              <w:right w:val="outset" w:sz="4" w:space="0" w:color="auto"/>
            </w:tcBorders>
            <w:vAlign w:val="center"/>
          </w:tcPr>
          <w:p w14:paraId="53DE8C9C" w14:textId="77777777" w:rsidR="005E000F" w:rsidRDefault="00000000">
            <w:pPr>
              <w:jc w:val="right"/>
            </w:pPr>
            <w:r>
              <w:t>79,604</w:t>
            </w:r>
          </w:p>
        </w:tc>
      </w:tr>
      <w:tr w:rsidR="005E000F" w14:paraId="6192D844" w14:textId="77777777">
        <w:tc>
          <w:tcPr>
            <w:tcW w:w="3141" w:type="dxa"/>
            <w:tcBorders>
              <w:top w:val="outset" w:sz="4" w:space="0" w:color="auto"/>
              <w:left w:val="outset" w:sz="4" w:space="0" w:color="auto"/>
              <w:bottom w:val="outset" w:sz="4" w:space="0" w:color="auto"/>
              <w:right w:val="outset" w:sz="4" w:space="0" w:color="auto"/>
            </w:tcBorders>
            <w:vAlign w:val="center"/>
          </w:tcPr>
          <w:p w14:paraId="74E61B46" w14:textId="77777777" w:rsidR="005E000F" w:rsidRDefault="00000000">
            <w:pPr>
              <w:ind w:firstLineChars="100" w:firstLine="210"/>
            </w:pPr>
            <w:r>
              <w:rPr>
                <w:rFonts w:hint="eastAsia"/>
              </w:rPr>
              <w:t>收到其他与经营活动有关的现金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3AB14225" w14:textId="77777777" w:rsidR="005E000F" w:rsidRDefault="00000000">
            <w:r>
              <w:rPr>
                <w:rFonts w:hint="eastAsia"/>
              </w:rPr>
              <w:t>七、</w:t>
            </w:r>
            <w:r>
              <w:t>78</w:t>
            </w:r>
            <w:r>
              <w:rPr>
                <w:rFonts w:hint="eastAsia"/>
              </w:rPr>
              <w:t>（</w:t>
            </w:r>
            <w:r>
              <w:t>1</w:t>
            </w:r>
            <w:r>
              <w:rPr>
                <w:rFonts w:hint="eastAsia"/>
              </w:rPr>
              <w:t>）</w:t>
            </w:r>
          </w:p>
        </w:tc>
        <w:tc>
          <w:tcPr>
            <w:tcW w:w="2173" w:type="dxa"/>
            <w:tcBorders>
              <w:top w:val="outset" w:sz="4" w:space="0" w:color="auto"/>
              <w:left w:val="outset" w:sz="4" w:space="0" w:color="auto"/>
              <w:bottom w:val="outset" w:sz="4" w:space="0" w:color="auto"/>
              <w:right w:val="outset" w:sz="4" w:space="0" w:color="auto"/>
            </w:tcBorders>
            <w:vAlign w:val="center"/>
          </w:tcPr>
          <w:p w14:paraId="3D4346B4" w14:textId="77777777" w:rsidR="005E000F" w:rsidRDefault="00000000">
            <w:pPr>
              <w:jc w:val="right"/>
            </w:pPr>
            <w:r>
              <w:t>260,777,810</w:t>
            </w:r>
          </w:p>
        </w:tc>
        <w:tc>
          <w:tcPr>
            <w:tcW w:w="2168" w:type="dxa"/>
            <w:tcBorders>
              <w:top w:val="outset" w:sz="4" w:space="0" w:color="auto"/>
              <w:left w:val="outset" w:sz="4" w:space="0" w:color="auto"/>
              <w:bottom w:val="outset" w:sz="4" w:space="0" w:color="auto"/>
              <w:right w:val="outset" w:sz="4" w:space="0" w:color="auto"/>
            </w:tcBorders>
            <w:vAlign w:val="center"/>
          </w:tcPr>
          <w:p w14:paraId="58FC493F" w14:textId="77777777" w:rsidR="005E000F" w:rsidRDefault="00000000">
            <w:pPr>
              <w:jc w:val="right"/>
            </w:pPr>
            <w:r>
              <w:t>192,350,255</w:t>
            </w:r>
          </w:p>
        </w:tc>
      </w:tr>
      <w:tr w:rsidR="005E000F" w14:paraId="2AC8A789" w14:textId="77777777">
        <w:tc>
          <w:tcPr>
            <w:tcW w:w="3141" w:type="dxa"/>
            <w:tcBorders>
              <w:top w:val="outset" w:sz="4" w:space="0" w:color="auto"/>
              <w:left w:val="outset" w:sz="4" w:space="0" w:color="auto"/>
              <w:bottom w:val="outset" w:sz="4" w:space="0" w:color="auto"/>
              <w:right w:val="outset" w:sz="4" w:space="0" w:color="auto"/>
            </w:tcBorders>
            <w:vAlign w:val="center"/>
          </w:tcPr>
          <w:p w14:paraId="597F957F" w14:textId="77777777" w:rsidR="005E000F" w:rsidRDefault="00000000">
            <w:pPr>
              <w:ind w:firstLineChars="200" w:firstLine="420"/>
              <w:rPr>
                <w:color w:val="000000"/>
              </w:rPr>
            </w:pPr>
            <w:r>
              <w:rPr>
                <w:rFonts w:hint="eastAsia"/>
              </w:rPr>
              <w:t>经营活动现金流入小计</w:t>
            </w:r>
          </w:p>
        </w:tc>
        <w:tc>
          <w:tcPr>
            <w:tcW w:w="1567" w:type="dxa"/>
            <w:tcBorders>
              <w:top w:val="outset" w:sz="4" w:space="0" w:color="auto"/>
              <w:left w:val="outset" w:sz="4" w:space="0" w:color="auto"/>
              <w:bottom w:val="outset" w:sz="4" w:space="0" w:color="auto"/>
              <w:right w:val="outset" w:sz="4" w:space="0" w:color="auto"/>
            </w:tcBorders>
            <w:vAlign w:val="center"/>
          </w:tcPr>
          <w:p w14:paraId="0E971F74"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569E5159" w14:textId="77777777" w:rsidR="005E000F" w:rsidRDefault="00000000">
            <w:pPr>
              <w:jc w:val="right"/>
            </w:pPr>
            <w:r>
              <w:t>48,027,985,619</w:t>
            </w:r>
          </w:p>
        </w:tc>
        <w:tc>
          <w:tcPr>
            <w:tcW w:w="2168" w:type="dxa"/>
            <w:tcBorders>
              <w:top w:val="outset" w:sz="4" w:space="0" w:color="auto"/>
              <w:left w:val="outset" w:sz="4" w:space="0" w:color="auto"/>
              <w:bottom w:val="outset" w:sz="4" w:space="0" w:color="auto"/>
              <w:right w:val="outset" w:sz="4" w:space="0" w:color="auto"/>
            </w:tcBorders>
            <w:vAlign w:val="center"/>
          </w:tcPr>
          <w:p w14:paraId="12A3A39E" w14:textId="77777777" w:rsidR="005E000F" w:rsidRDefault="00000000">
            <w:pPr>
              <w:jc w:val="right"/>
            </w:pPr>
            <w:r>
              <w:t>47,191,312,213</w:t>
            </w:r>
          </w:p>
        </w:tc>
      </w:tr>
      <w:tr w:rsidR="005E000F" w14:paraId="5AE2829B" w14:textId="77777777">
        <w:tc>
          <w:tcPr>
            <w:tcW w:w="3141" w:type="dxa"/>
            <w:tcBorders>
              <w:top w:val="outset" w:sz="4" w:space="0" w:color="auto"/>
              <w:left w:val="outset" w:sz="4" w:space="0" w:color="auto"/>
              <w:bottom w:val="outset" w:sz="4" w:space="0" w:color="auto"/>
              <w:right w:val="outset" w:sz="4" w:space="0" w:color="auto"/>
            </w:tcBorders>
            <w:vAlign w:val="center"/>
          </w:tcPr>
          <w:p w14:paraId="6ED00304" w14:textId="77777777" w:rsidR="005E000F" w:rsidRDefault="00000000">
            <w:pPr>
              <w:ind w:firstLineChars="100" w:firstLine="210"/>
            </w:pPr>
            <w:r>
              <w:rPr>
                <w:rFonts w:hint="eastAsia"/>
              </w:rPr>
              <w:t>购买商品、接受劳务支付的现金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3D109EE6"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41ACAD81" w14:textId="77777777" w:rsidR="005E000F" w:rsidRDefault="00000000">
            <w:pPr>
              <w:jc w:val="right"/>
            </w:pPr>
            <w:r>
              <w:t>12,720,211,497</w:t>
            </w:r>
          </w:p>
        </w:tc>
        <w:tc>
          <w:tcPr>
            <w:tcW w:w="2168" w:type="dxa"/>
            <w:tcBorders>
              <w:top w:val="outset" w:sz="4" w:space="0" w:color="auto"/>
              <w:left w:val="outset" w:sz="4" w:space="0" w:color="auto"/>
              <w:bottom w:val="outset" w:sz="4" w:space="0" w:color="auto"/>
              <w:right w:val="outset" w:sz="4" w:space="0" w:color="auto"/>
            </w:tcBorders>
            <w:vAlign w:val="center"/>
          </w:tcPr>
          <w:p w14:paraId="18890070" w14:textId="77777777" w:rsidR="005E000F" w:rsidRDefault="00000000">
            <w:pPr>
              <w:jc w:val="right"/>
            </w:pPr>
            <w:r>
              <w:t>7,472,681,500</w:t>
            </w:r>
          </w:p>
        </w:tc>
      </w:tr>
      <w:tr w:rsidR="005E000F" w14:paraId="351E39EB" w14:textId="77777777">
        <w:tc>
          <w:tcPr>
            <w:tcW w:w="3141" w:type="dxa"/>
            <w:tcBorders>
              <w:top w:val="outset" w:sz="4" w:space="0" w:color="auto"/>
              <w:left w:val="outset" w:sz="4" w:space="0" w:color="auto"/>
              <w:bottom w:val="outset" w:sz="4" w:space="0" w:color="auto"/>
              <w:right w:val="outset" w:sz="4" w:space="0" w:color="auto"/>
            </w:tcBorders>
            <w:vAlign w:val="center"/>
          </w:tcPr>
          <w:p w14:paraId="3EB95DCF" w14:textId="77777777" w:rsidR="005E000F" w:rsidRDefault="00000000">
            <w:pPr>
              <w:ind w:firstLineChars="100" w:firstLine="210"/>
            </w:pPr>
            <w:r>
              <w:rPr>
                <w:rFonts w:hint="eastAsia"/>
              </w:rPr>
              <w:t>客户贷款及垫款净增加额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68509E72"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77DB69DB"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3778ECB9" w14:textId="77777777" w:rsidR="005E000F" w:rsidRDefault="00000000">
            <w:pPr>
              <w:jc w:val="right"/>
            </w:pPr>
            <w:r>
              <w:t>0</w:t>
            </w:r>
          </w:p>
        </w:tc>
      </w:tr>
      <w:tr w:rsidR="005E000F" w14:paraId="51FA3F7F" w14:textId="77777777">
        <w:tc>
          <w:tcPr>
            <w:tcW w:w="3141" w:type="dxa"/>
            <w:tcBorders>
              <w:top w:val="outset" w:sz="4" w:space="0" w:color="auto"/>
              <w:left w:val="outset" w:sz="4" w:space="0" w:color="auto"/>
              <w:bottom w:val="outset" w:sz="4" w:space="0" w:color="auto"/>
              <w:right w:val="outset" w:sz="4" w:space="0" w:color="auto"/>
            </w:tcBorders>
            <w:vAlign w:val="center"/>
          </w:tcPr>
          <w:p w14:paraId="63A0B580" w14:textId="77777777" w:rsidR="005E000F" w:rsidRDefault="00000000">
            <w:pPr>
              <w:ind w:firstLineChars="100" w:firstLine="210"/>
            </w:pPr>
            <w:r>
              <w:rPr>
                <w:rFonts w:hint="eastAsia"/>
              </w:rPr>
              <w:t>存放中央银行和同业款项净增加额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275FD421"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2259CDA8"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6A336D70" w14:textId="77777777" w:rsidR="005E000F" w:rsidRDefault="00000000">
            <w:pPr>
              <w:jc w:val="right"/>
            </w:pPr>
            <w:r>
              <w:t>0</w:t>
            </w:r>
          </w:p>
        </w:tc>
      </w:tr>
      <w:tr w:rsidR="005E000F" w14:paraId="3FAA0F07" w14:textId="77777777">
        <w:tc>
          <w:tcPr>
            <w:tcW w:w="3141" w:type="dxa"/>
            <w:tcBorders>
              <w:top w:val="outset" w:sz="4" w:space="0" w:color="auto"/>
              <w:left w:val="outset" w:sz="4" w:space="0" w:color="auto"/>
              <w:bottom w:val="outset" w:sz="4" w:space="0" w:color="auto"/>
              <w:right w:val="outset" w:sz="4" w:space="0" w:color="auto"/>
            </w:tcBorders>
            <w:vAlign w:val="center"/>
          </w:tcPr>
          <w:p w14:paraId="0862D4DD" w14:textId="77777777" w:rsidR="005E000F" w:rsidRDefault="00000000">
            <w:pPr>
              <w:ind w:firstLineChars="100" w:firstLine="210"/>
            </w:pPr>
            <w:r>
              <w:rPr>
                <w:rFonts w:hint="eastAsia"/>
              </w:rPr>
              <w:t>支付原保险合同赔付款项的现金</w:t>
            </w:r>
          </w:p>
        </w:tc>
        <w:tc>
          <w:tcPr>
            <w:tcW w:w="1567" w:type="dxa"/>
            <w:tcBorders>
              <w:top w:val="outset" w:sz="4" w:space="0" w:color="auto"/>
              <w:left w:val="outset" w:sz="4" w:space="0" w:color="auto"/>
              <w:bottom w:val="outset" w:sz="4" w:space="0" w:color="auto"/>
              <w:right w:val="outset" w:sz="4" w:space="0" w:color="auto"/>
            </w:tcBorders>
            <w:vAlign w:val="center"/>
          </w:tcPr>
          <w:p w14:paraId="528CE113"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01A377FD"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773ECF77" w14:textId="77777777" w:rsidR="005E000F" w:rsidRDefault="00000000">
            <w:pPr>
              <w:jc w:val="right"/>
            </w:pPr>
            <w:r>
              <w:t>0</w:t>
            </w:r>
          </w:p>
        </w:tc>
      </w:tr>
      <w:tr w:rsidR="005E000F" w14:paraId="7CF2ADE0" w14:textId="77777777">
        <w:tc>
          <w:tcPr>
            <w:tcW w:w="3141" w:type="dxa"/>
            <w:tcBorders>
              <w:top w:val="outset" w:sz="4" w:space="0" w:color="auto"/>
              <w:left w:val="outset" w:sz="4" w:space="0" w:color="auto"/>
              <w:bottom w:val="outset" w:sz="4" w:space="0" w:color="auto"/>
              <w:right w:val="outset" w:sz="4" w:space="0" w:color="auto"/>
            </w:tcBorders>
            <w:vAlign w:val="center"/>
          </w:tcPr>
          <w:p w14:paraId="7A0F5C3A" w14:textId="77777777" w:rsidR="005E000F" w:rsidRDefault="00000000">
            <w:pPr>
              <w:ind w:firstLineChars="100" w:firstLine="210"/>
            </w:pPr>
            <w:r>
              <w:rPr>
                <w:rFonts w:hint="eastAsia"/>
              </w:rPr>
              <w:t>拆出资金净增加额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3A52115C"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7970CCA9"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77687237" w14:textId="77777777" w:rsidR="005E000F" w:rsidRDefault="00000000">
            <w:pPr>
              <w:jc w:val="right"/>
            </w:pPr>
            <w:r>
              <w:t>0</w:t>
            </w:r>
          </w:p>
        </w:tc>
      </w:tr>
      <w:tr w:rsidR="005E000F" w14:paraId="04BF30FB" w14:textId="77777777">
        <w:tc>
          <w:tcPr>
            <w:tcW w:w="3141" w:type="dxa"/>
            <w:tcBorders>
              <w:top w:val="outset" w:sz="4" w:space="0" w:color="auto"/>
              <w:left w:val="outset" w:sz="4" w:space="0" w:color="auto"/>
              <w:bottom w:val="outset" w:sz="4" w:space="0" w:color="auto"/>
              <w:right w:val="outset" w:sz="4" w:space="0" w:color="auto"/>
            </w:tcBorders>
            <w:vAlign w:val="center"/>
          </w:tcPr>
          <w:p w14:paraId="05055AFF" w14:textId="77777777" w:rsidR="005E000F" w:rsidRDefault="00000000">
            <w:pPr>
              <w:ind w:firstLineChars="100" w:firstLine="210"/>
            </w:pPr>
            <w:r>
              <w:rPr>
                <w:rFonts w:hint="eastAsia"/>
              </w:rPr>
              <w:t>支付利息、手续费及佣金的现金</w:t>
            </w:r>
          </w:p>
        </w:tc>
        <w:tc>
          <w:tcPr>
            <w:tcW w:w="1567" w:type="dxa"/>
            <w:tcBorders>
              <w:top w:val="outset" w:sz="4" w:space="0" w:color="auto"/>
              <w:left w:val="outset" w:sz="4" w:space="0" w:color="auto"/>
              <w:bottom w:val="outset" w:sz="4" w:space="0" w:color="auto"/>
              <w:right w:val="outset" w:sz="4" w:space="0" w:color="auto"/>
            </w:tcBorders>
            <w:vAlign w:val="center"/>
          </w:tcPr>
          <w:p w14:paraId="39809C6A"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15FD55B1"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32CD3035" w14:textId="77777777" w:rsidR="005E000F" w:rsidRDefault="00000000">
            <w:pPr>
              <w:jc w:val="right"/>
            </w:pPr>
            <w:r>
              <w:t>0</w:t>
            </w:r>
          </w:p>
        </w:tc>
      </w:tr>
      <w:tr w:rsidR="005E000F" w14:paraId="462E01DB" w14:textId="77777777">
        <w:tc>
          <w:tcPr>
            <w:tcW w:w="3141" w:type="dxa"/>
            <w:tcBorders>
              <w:top w:val="outset" w:sz="4" w:space="0" w:color="auto"/>
              <w:left w:val="outset" w:sz="4" w:space="0" w:color="auto"/>
              <w:bottom w:val="outset" w:sz="4" w:space="0" w:color="auto"/>
              <w:right w:val="outset" w:sz="4" w:space="0" w:color="auto"/>
            </w:tcBorders>
            <w:vAlign w:val="center"/>
          </w:tcPr>
          <w:p w14:paraId="35C6CADA" w14:textId="77777777" w:rsidR="005E000F" w:rsidRDefault="00000000">
            <w:pPr>
              <w:ind w:firstLineChars="100" w:firstLine="210"/>
            </w:pPr>
            <w:r>
              <w:rPr>
                <w:rFonts w:hint="eastAsia"/>
              </w:rPr>
              <w:t>支付保单红利的现金</w:t>
            </w:r>
          </w:p>
        </w:tc>
        <w:tc>
          <w:tcPr>
            <w:tcW w:w="1567" w:type="dxa"/>
            <w:tcBorders>
              <w:top w:val="outset" w:sz="4" w:space="0" w:color="auto"/>
              <w:left w:val="outset" w:sz="4" w:space="0" w:color="auto"/>
              <w:bottom w:val="outset" w:sz="4" w:space="0" w:color="auto"/>
              <w:right w:val="outset" w:sz="4" w:space="0" w:color="auto"/>
            </w:tcBorders>
            <w:vAlign w:val="center"/>
          </w:tcPr>
          <w:p w14:paraId="2660D37B"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6B9DD7B1"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2168A27B" w14:textId="77777777" w:rsidR="005E000F" w:rsidRDefault="00000000">
            <w:pPr>
              <w:jc w:val="right"/>
            </w:pPr>
            <w:r>
              <w:t>0</w:t>
            </w:r>
          </w:p>
        </w:tc>
      </w:tr>
      <w:tr w:rsidR="005E000F" w14:paraId="549CC9BE" w14:textId="77777777">
        <w:tc>
          <w:tcPr>
            <w:tcW w:w="3141" w:type="dxa"/>
            <w:tcBorders>
              <w:top w:val="outset" w:sz="4" w:space="0" w:color="auto"/>
              <w:left w:val="outset" w:sz="4" w:space="0" w:color="auto"/>
              <w:bottom w:val="outset" w:sz="4" w:space="0" w:color="auto"/>
              <w:right w:val="outset" w:sz="4" w:space="0" w:color="auto"/>
            </w:tcBorders>
            <w:vAlign w:val="center"/>
          </w:tcPr>
          <w:p w14:paraId="6E09F8BC" w14:textId="77777777" w:rsidR="005E000F" w:rsidRDefault="00000000">
            <w:pPr>
              <w:ind w:firstLineChars="100" w:firstLine="210"/>
            </w:pPr>
            <w:r>
              <w:rPr>
                <w:rFonts w:hint="eastAsia"/>
              </w:rPr>
              <w:t>支付给职工及为职工支付的现金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0F983DC2"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5E85FFE2" w14:textId="77777777" w:rsidR="005E000F" w:rsidRDefault="00000000">
            <w:pPr>
              <w:jc w:val="right"/>
            </w:pPr>
            <w:r>
              <w:t>22,662,651,578</w:t>
            </w:r>
          </w:p>
        </w:tc>
        <w:tc>
          <w:tcPr>
            <w:tcW w:w="2168" w:type="dxa"/>
            <w:tcBorders>
              <w:top w:val="outset" w:sz="4" w:space="0" w:color="auto"/>
              <w:left w:val="outset" w:sz="4" w:space="0" w:color="auto"/>
              <w:bottom w:val="outset" w:sz="4" w:space="0" w:color="auto"/>
              <w:right w:val="outset" w:sz="4" w:space="0" w:color="auto"/>
            </w:tcBorders>
            <w:vAlign w:val="center"/>
          </w:tcPr>
          <w:p w14:paraId="55B67B15" w14:textId="77777777" w:rsidR="005E000F" w:rsidRDefault="00000000">
            <w:pPr>
              <w:jc w:val="right"/>
            </w:pPr>
            <w:r>
              <w:t>22,642,014,665</w:t>
            </w:r>
          </w:p>
        </w:tc>
      </w:tr>
      <w:tr w:rsidR="005E000F" w14:paraId="4180BC0C" w14:textId="77777777">
        <w:tc>
          <w:tcPr>
            <w:tcW w:w="3141" w:type="dxa"/>
            <w:tcBorders>
              <w:top w:val="outset" w:sz="4" w:space="0" w:color="auto"/>
              <w:left w:val="outset" w:sz="4" w:space="0" w:color="auto"/>
              <w:bottom w:val="outset" w:sz="4" w:space="0" w:color="auto"/>
              <w:right w:val="outset" w:sz="4" w:space="0" w:color="auto"/>
            </w:tcBorders>
            <w:vAlign w:val="center"/>
          </w:tcPr>
          <w:p w14:paraId="1DF45432" w14:textId="77777777" w:rsidR="005E000F" w:rsidRDefault="00000000">
            <w:pPr>
              <w:ind w:firstLineChars="100" w:firstLine="210"/>
            </w:pPr>
            <w:r>
              <w:rPr>
                <w:rFonts w:hint="eastAsia"/>
              </w:rPr>
              <w:t>支付的各项税费</w:t>
            </w:r>
          </w:p>
        </w:tc>
        <w:tc>
          <w:tcPr>
            <w:tcW w:w="1567" w:type="dxa"/>
            <w:tcBorders>
              <w:top w:val="outset" w:sz="4" w:space="0" w:color="auto"/>
              <w:left w:val="outset" w:sz="4" w:space="0" w:color="auto"/>
              <w:bottom w:val="outset" w:sz="4" w:space="0" w:color="auto"/>
              <w:right w:val="outset" w:sz="4" w:space="0" w:color="auto"/>
            </w:tcBorders>
            <w:vAlign w:val="center"/>
          </w:tcPr>
          <w:p w14:paraId="414EB14B"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02F46DC1" w14:textId="77777777" w:rsidR="005E000F" w:rsidRDefault="00000000">
            <w:pPr>
              <w:jc w:val="right"/>
            </w:pPr>
            <w:r>
              <w:t>6,911,763,253</w:t>
            </w:r>
          </w:p>
        </w:tc>
        <w:tc>
          <w:tcPr>
            <w:tcW w:w="2168" w:type="dxa"/>
            <w:tcBorders>
              <w:top w:val="outset" w:sz="4" w:space="0" w:color="auto"/>
              <w:left w:val="outset" w:sz="4" w:space="0" w:color="auto"/>
              <w:bottom w:val="outset" w:sz="4" w:space="0" w:color="auto"/>
              <w:right w:val="outset" w:sz="4" w:space="0" w:color="auto"/>
            </w:tcBorders>
            <w:vAlign w:val="center"/>
          </w:tcPr>
          <w:p w14:paraId="762340FA" w14:textId="77777777" w:rsidR="005E000F" w:rsidRDefault="00000000">
            <w:pPr>
              <w:jc w:val="right"/>
            </w:pPr>
            <w:r>
              <w:t>7,257,290,666</w:t>
            </w:r>
          </w:p>
        </w:tc>
      </w:tr>
      <w:tr w:rsidR="005E000F" w14:paraId="63BAE63D" w14:textId="77777777">
        <w:tc>
          <w:tcPr>
            <w:tcW w:w="3141" w:type="dxa"/>
            <w:tcBorders>
              <w:top w:val="outset" w:sz="4" w:space="0" w:color="auto"/>
              <w:left w:val="outset" w:sz="4" w:space="0" w:color="auto"/>
              <w:bottom w:val="outset" w:sz="4" w:space="0" w:color="auto"/>
              <w:right w:val="outset" w:sz="4" w:space="0" w:color="auto"/>
            </w:tcBorders>
            <w:vAlign w:val="center"/>
          </w:tcPr>
          <w:p w14:paraId="02BAE145" w14:textId="77777777" w:rsidR="005E000F" w:rsidRDefault="00000000">
            <w:pPr>
              <w:ind w:firstLineChars="100" w:firstLine="210"/>
            </w:pPr>
            <w:r>
              <w:rPr>
                <w:rFonts w:hint="eastAsia"/>
              </w:rPr>
              <w:t>支付其他与经营活动有关的现金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5660BD6D" w14:textId="77777777" w:rsidR="005E000F" w:rsidRDefault="00000000">
            <w:r>
              <w:rPr>
                <w:rFonts w:hint="eastAsia"/>
              </w:rPr>
              <w:t>七、</w:t>
            </w:r>
            <w:r>
              <w:t>78</w:t>
            </w:r>
            <w:r>
              <w:rPr>
                <w:rFonts w:hint="eastAsia"/>
              </w:rPr>
              <w:t>（</w:t>
            </w:r>
            <w:r>
              <w:t>1</w:t>
            </w:r>
            <w:r>
              <w:rPr>
                <w:rFonts w:hint="eastAsia"/>
              </w:rPr>
              <w:t>）</w:t>
            </w:r>
          </w:p>
        </w:tc>
        <w:tc>
          <w:tcPr>
            <w:tcW w:w="2173" w:type="dxa"/>
            <w:tcBorders>
              <w:top w:val="outset" w:sz="4" w:space="0" w:color="auto"/>
              <w:left w:val="outset" w:sz="4" w:space="0" w:color="auto"/>
              <w:bottom w:val="outset" w:sz="4" w:space="0" w:color="auto"/>
              <w:right w:val="outset" w:sz="4" w:space="0" w:color="auto"/>
            </w:tcBorders>
            <w:vAlign w:val="center"/>
          </w:tcPr>
          <w:p w14:paraId="584FE2A1" w14:textId="77777777" w:rsidR="005E000F" w:rsidRDefault="00000000">
            <w:pPr>
              <w:jc w:val="right"/>
            </w:pPr>
            <w:r>
              <w:t>746,616,112</w:t>
            </w:r>
          </w:p>
        </w:tc>
        <w:tc>
          <w:tcPr>
            <w:tcW w:w="2168" w:type="dxa"/>
            <w:tcBorders>
              <w:top w:val="outset" w:sz="4" w:space="0" w:color="auto"/>
              <w:left w:val="outset" w:sz="4" w:space="0" w:color="auto"/>
              <w:bottom w:val="outset" w:sz="4" w:space="0" w:color="auto"/>
              <w:right w:val="outset" w:sz="4" w:space="0" w:color="auto"/>
            </w:tcBorders>
            <w:vAlign w:val="center"/>
          </w:tcPr>
          <w:p w14:paraId="0BB617C7" w14:textId="77777777" w:rsidR="005E000F" w:rsidRDefault="00000000">
            <w:pPr>
              <w:jc w:val="right"/>
            </w:pPr>
            <w:r>
              <w:t>502,693,285</w:t>
            </w:r>
          </w:p>
        </w:tc>
      </w:tr>
      <w:tr w:rsidR="005E000F" w14:paraId="5E7DCB8D" w14:textId="77777777">
        <w:tc>
          <w:tcPr>
            <w:tcW w:w="3141" w:type="dxa"/>
            <w:tcBorders>
              <w:top w:val="outset" w:sz="4" w:space="0" w:color="auto"/>
              <w:left w:val="outset" w:sz="4" w:space="0" w:color="auto"/>
              <w:bottom w:val="outset" w:sz="4" w:space="0" w:color="auto"/>
              <w:right w:val="outset" w:sz="4" w:space="0" w:color="auto"/>
            </w:tcBorders>
            <w:vAlign w:val="center"/>
          </w:tcPr>
          <w:p w14:paraId="141F8DCD" w14:textId="77777777" w:rsidR="005E000F" w:rsidRDefault="00000000">
            <w:pPr>
              <w:ind w:firstLineChars="200" w:firstLine="420"/>
              <w:rPr>
                <w:color w:val="000000"/>
              </w:rPr>
            </w:pPr>
            <w:r>
              <w:rPr>
                <w:rFonts w:hint="eastAsia"/>
              </w:rPr>
              <w:t>经营活动现金流出小计</w:t>
            </w:r>
          </w:p>
        </w:tc>
        <w:tc>
          <w:tcPr>
            <w:tcW w:w="1567" w:type="dxa"/>
            <w:tcBorders>
              <w:top w:val="outset" w:sz="4" w:space="0" w:color="auto"/>
              <w:left w:val="outset" w:sz="4" w:space="0" w:color="auto"/>
              <w:bottom w:val="outset" w:sz="4" w:space="0" w:color="auto"/>
              <w:right w:val="outset" w:sz="4" w:space="0" w:color="auto"/>
            </w:tcBorders>
            <w:vAlign w:val="center"/>
          </w:tcPr>
          <w:p w14:paraId="198FAA92"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378F6640" w14:textId="77777777" w:rsidR="005E000F" w:rsidRDefault="00000000">
            <w:pPr>
              <w:jc w:val="right"/>
            </w:pPr>
            <w:r>
              <w:t>43,041,242,440</w:t>
            </w:r>
          </w:p>
        </w:tc>
        <w:tc>
          <w:tcPr>
            <w:tcW w:w="2168" w:type="dxa"/>
            <w:tcBorders>
              <w:top w:val="outset" w:sz="4" w:space="0" w:color="auto"/>
              <w:left w:val="outset" w:sz="4" w:space="0" w:color="auto"/>
              <w:bottom w:val="outset" w:sz="4" w:space="0" w:color="auto"/>
              <w:right w:val="outset" w:sz="4" w:space="0" w:color="auto"/>
            </w:tcBorders>
            <w:vAlign w:val="center"/>
          </w:tcPr>
          <w:p w14:paraId="13527C78" w14:textId="77777777" w:rsidR="005E000F" w:rsidRDefault="00000000">
            <w:pPr>
              <w:jc w:val="right"/>
            </w:pPr>
            <w:r>
              <w:t>37,874,680,116</w:t>
            </w:r>
          </w:p>
        </w:tc>
      </w:tr>
      <w:tr w:rsidR="005E000F" w14:paraId="1D40DC17" w14:textId="77777777">
        <w:tc>
          <w:tcPr>
            <w:tcW w:w="3141" w:type="dxa"/>
            <w:tcBorders>
              <w:top w:val="outset" w:sz="4" w:space="0" w:color="auto"/>
              <w:left w:val="outset" w:sz="4" w:space="0" w:color="auto"/>
              <w:bottom w:val="outset" w:sz="4" w:space="0" w:color="auto"/>
              <w:right w:val="outset" w:sz="4" w:space="0" w:color="auto"/>
            </w:tcBorders>
            <w:vAlign w:val="center"/>
          </w:tcPr>
          <w:p w14:paraId="1AF6D6C3" w14:textId="77777777" w:rsidR="005E000F" w:rsidRDefault="00000000">
            <w:pPr>
              <w:ind w:firstLineChars="300" w:firstLine="630"/>
              <w:rPr>
                <w:color w:val="000000"/>
              </w:rPr>
            </w:pPr>
            <w:r>
              <w:rPr>
                <w:rFonts w:hint="eastAsia"/>
              </w:rPr>
              <w:t>经营活动产生的现金流量净额</w:t>
            </w:r>
          </w:p>
        </w:tc>
        <w:tc>
          <w:tcPr>
            <w:tcW w:w="1567" w:type="dxa"/>
            <w:tcBorders>
              <w:top w:val="outset" w:sz="4" w:space="0" w:color="auto"/>
              <w:left w:val="outset" w:sz="4" w:space="0" w:color="auto"/>
              <w:bottom w:val="outset" w:sz="4" w:space="0" w:color="auto"/>
              <w:right w:val="outset" w:sz="4" w:space="0" w:color="auto"/>
            </w:tcBorders>
            <w:vAlign w:val="center"/>
          </w:tcPr>
          <w:p w14:paraId="0A99B7F5" w14:textId="77777777" w:rsidR="005E000F" w:rsidRDefault="00000000">
            <w:r>
              <w:rPr>
                <w:rFonts w:hint="eastAsia"/>
              </w:rPr>
              <w:t>七、</w:t>
            </w:r>
            <w:r>
              <w:t>79</w:t>
            </w:r>
            <w:r>
              <w:rPr>
                <w:rFonts w:hint="eastAsia"/>
              </w:rPr>
              <w:t>（</w:t>
            </w:r>
            <w:r>
              <w:t>1</w:t>
            </w:r>
            <w:r>
              <w:rPr>
                <w:rFonts w:hint="eastAsia"/>
              </w:rPr>
              <w:t>）</w:t>
            </w:r>
          </w:p>
        </w:tc>
        <w:tc>
          <w:tcPr>
            <w:tcW w:w="2173" w:type="dxa"/>
            <w:tcBorders>
              <w:top w:val="outset" w:sz="4" w:space="0" w:color="auto"/>
              <w:left w:val="outset" w:sz="4" w:space="0" w:color="auto"/>
              <w:bottom w:val="outset" w:sz="4" w:space="0" w:color="auto"/>
              <w:right w:val="outset" w:sz="4" w:space="0" w:color="auto"/>
            </w:tcBorders>
            <w:vAlign w:val="center"/>
          </w:tcPr>
          <w:p w14:paraId="4632DF8F" w14:textId="77777777" w:rsidR="005E000F" w:rsidRDefault="00000000">
            <w:pPr>
              <w:jc w:val="right"/>
            </w:pPr>
            <w:r>
              <w:t>4,986,743,179</w:t>
            </w:r>
          </w:p>
        </w:tc>
        <w:tc>
          <w:tcPr>
            <w:tcW w:w="2168" w:type="dxa"/>
            <w:tcBorders>
              <w:top w:val="outset" w:sz="4" w:space="0" w:color="auto"/>
              <w:left w:val="outset" w:sz="4" w:space="0" w:color="auto"/>
              <w:bottom w:val="outset" w:sz="4" w:space="0" w:color="auto"/>
              <w:right w:val="outset" w:sz="4" w:space="0" w:color="auto"/>
            </w:tcBorders>
            <w:vAlign w:val="center"/>
          </w:tcPr>
          <w:p w14:paraId="28B75B93" w14:textId="77777777" w:rsidR="005E000F" w:rsidRDefault="00000000">
            <w:pPr>
              <w:jc w:val="right"/>
            </w:pPr>
            <w:r>
              <w:t>9,316,632,097</w:t>
            </w:r>
          </w:p>
        </w:tc>
      </w:tr>
      <w:tr w:rsidR="005E000F" w14:paraId="5373AEF7" w14:textId="77777777">
        <w:sdt>
          <w:sdtPr>
            <w:tag w:val="_PLD_cb59aa0e2bd944b8ba7271368c6da00a"/>
            <w:id w:val="-1075515942"/>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5C480EFC" w14:textId="77777777" w:rsidR="005E000F" w:rsidRDefault="00000000">
                <w:pPr>
                  <w:rPr>
                    <w:color w:val="008000"/>
                  </w:rPr>
                </w:pPr>
                <w:r>
                  <w:rPr>
                    <w:rFonts w:hint="eastAsia"/>
                    <w:b/>
                    <w:bCs/>
                  </w:rPr>
                  <w:t>二、投资活动产生的现金流量：</w:t>
                </w:r>
              </w:p>
            </w:tc>
          </w:sdtContent>
        </w:sdt>
      </w:tr>
      <w:tr w:rsidR="005E000F" w14:paraId="77EE502D" w14:textId="77777777">
        <w:tc>
          <w:tcPr>
            <w:tcW w:w="3141" w:type="dxa"/>
            <w:tcBorders>
              <w:top w:val="outset" w:sz="4" w:space="0" w:color="auto"/>
              <w:left w:val="outset" w:sz="4" w:space="0" w:color="auto"/>
              <w:bottom w:val="outset" w:sz="4" w:space="0" w:color="auto"/>
              <w:right w:val="outset" w:sz="4" w:space="0" w:color="auto"/>
            </w:tcBorders>
            <w:vAlign w:val="center"/>
          </w:tcPr>
          <w:p w14:paraId="180C1645" w14:textId="77777777" w:rsidR="005E000F" w:rsidRDefault="00000000">
            <w:pPr>
              <w:ind w:firstLineChars="100" w:firstLine="210"/>
            </w:pPr>
            <w:r>
              <w:rPr>
                <w:rFonts w:hint="eastAsia"/>
              </w:rPr>
              <w:t>收回投资收到的现金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22BF150F"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17979893" w14:textId="77777777" w:rsidR="005E000F" w:rsidRDefault="00000000">
            <w:pPr>
              <w:jc w:val="right"/>
            </w:pPr>
            <w:r>
              <w:rPr>
                <w:rFonts w:hint="eastAsia"/>
              </w:rPr>
              <w:t>0</w:t>
            </w:r>
          </w:p>
        </w:tc>
        <w:tc>
          <w:tcPr>
            <w:tcW w:w="2168" w:type="dxa"/>
            <w:tcBorders>
              <w:top w:val="outset" w:sz="4" w:space="0" w:color="auto"/>
              <w:left w:val="outset" w:sz="4" w:space="0" w:color="auto"/>
              <w:bottom w:val="outset" w:sz="4" w:space="0" w:color="auto"/>
              <w:right w:val="outset" w:sz="4" w:space="0" w:color="auto"/>
            </w:tcBorders>
            <w:vAlign w:val="center"/>
          </w:tcPr>
          <w:p w14:paraId="2DC4F4C1" w14:textId="77777777" w:rsidR="005E000F" w:rsidRDefault="00000000">
            <w:pPr>
              <w:jc w:val="right"/>
            </w:pPr>
            <w:r>
              <w:t>0</w:t>
            </w:r>
          </w:p>
        </w:tc>
      </w:tr>
      <w:tr w:rsidR="005E000F" w14:paraId="2FE9F47D" w14:textId="77777777">
        <w:tc>
          <w:tcPr>
            <w:tcW w:w="3141" w:type="dxa"/>
            <w:tcBorders>
              <w:top w:val="outset" w:sz="4" w:space="0" w:color="auto"/>
              <w:left w:val="outset" w:sz="4" w:space="0" w:color="auto"/>
              <w:bottom w:val="outset" w:sz="4" w:space="0" w:color="auto"/>
              <w:right w:val="outset" w:sz="4" w:space="0" w:color="auto"/>
            </w:tcBorders>
            <w:vAlign w:val="center"/>
          </w:tcPr>
          <w:p w14:paraId="0C86B3CE" w14:textId="77777777" w:rsidR="005E000F" w:rsidRDefault="00000000">
            <w:pPr>
              <w:ind w:firstLineChars="100" w:firstLine="210"/>
            </w:pPr>
            <w:r>
              <w:rPr>
                <w:rFonts w:hint="eastAsia"/>
              </w:rPr>
              <w:t>取得投资收益收到的现金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26AC9737"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4631E75B" w14:textId="77777777" w:rsidR="005E000F" w:rsidRDefault="00000000">
            <w:pPr>
              <w:jc w:val="right"/>
            </w:pPr>
            <w:r>
              <w:t>2,437,805,781</w:t>
            </w:r>
          </w:p>
        </w:tc>
        <w:tc>
          <w:tcPr>
            <w:tcW w:w="2168" w:type="dxa"/>
            <w:tcBorders>
              <w:top w:val="outset" w:sz="4" w:space="0" w:color="auto"/>
              <w:left w:val="outset" w:sz="4" w:space="0" w:color="auto"/>
              <w:bottom w:val="outset" w:sz="4" w:space="0" w:color="auto"/>
              <w:right w:val="outset" w:sz="4" w:space="0" w:color="auto"/>
            </w:tcBorders>
            <w:vAlign w:val="center"/>
          </w:tcPr>
          <w:p w14:paraId="038567C0" w14:textId="77777777" w:rsidR="005E000F" w:rsidRDefault="00000000">
            <w:pPr>
              <w:jc w:val="right"/>
            </w:pPr>
            <w:r>
              <w:t>2,211,460,300</w:t>
            </w:r>
          </w:p>
        </w:tc>
      </w:tr>
      <w:tr w:rsidR="005E000F" w14:paraId="34998D66" w14:textId="77777777">
        <w:tc>
          <w:tcPr>
            <w:tcW w:w="3141" w:type="dxa"/>
            <w:tcBorders>
              <w:top w:val="outset" w:sz="4" w:space="0" w:color="auto"/>
              <w:left w:val="outset" w:sz="4" w:space="0" w:color="auto"/>
              <w:bottom w:val="outset" w:sz="4" w:space="0" w:color="auto"/>
              <w:right w:val="outset" w:sz="4" w:space="0" w:color="auto"/>
            </w:tcBorders>
            <w:vAlign w:val="center"/>
          </w:tcPr>
          <w:p w14:paraId="3D551AAE" w14:textId="77777777" w:rsidR="005E000F" w:rsidRDefault="00000000">
            <w:pPr>
              <w:ind w:firstLineChars="100" w:firstLine="210"/>
            </w:pPr>
            <w:r>
              <w:rPr>
                <w:rFonts w:hint="eastAsia"/>
              </w:rPr>
              <w:t>处置固定资产、无形资产和其他长期资产收回的现金净额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04ED52B1"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1F89FCBC" w14:textId="77777777" w:rsidR="005E000F" w:rsidRDefault="00000000">
            <w:pPr>
              <w:jc w:val="right"/>
            </w:pPr>
            <w:r>
              <w:t>71,110,61</w:t>
            </w:r>
            <w:r>
              <w:rPr>
                <w:rFonts w:hint="eastAsia"/>
              </w:rPr>
              <w:t>3</w:t>
            </w:r>
          </w:p>
        </w:tc>
        <w:tc>
          <w:tcPr>
            <w:tcW w:w="2168" w:type="dxa"/>
            <w:tcBorders>
              <w:top w:val="outset" w:sz="4" w:space="0" w:color="auto"/>
              <w:left w:val="outset" w:sz="4" w:space="0" w:color="auto"/>
              <w:bottom w:val="outset" w:sz="4" w:space="0" w:color="auto"/>
              <w:right w:val="outset" w:sz="4" w:space="0" w:color="auto"/>
            </w:tcBorders>
            <w:vAlign w:val="center"/>
          </w:tcPr>
          <w:p w14:paraId="0BB18720" w14:textId="77777777" w:rsidR="005E000F" w:rsidRDefault="00000000">
            <w:pPr>
              <w:jc w:val="right"/>
            </w:pPr>
            <w:r>
              <w:t>92,372,940</w:t>
            </w:r>
          </w:p>
        </w:tc>
      </w:tr>
      <w:tr w:rsidR="005E000F" w14:paraId="3DA0BF34" w14:textId="77777777">
        <w:tc>
          <w:tcPr>
            <w:tcW w:w="3141" w:type="dxa"/>
            <w:tcBorders>
              <w:top w:val="outset" w:sz="4" w:space="0" w:color="auto"/>
              <w:left w:val="outset" w:sz="4" w:space="0" w:color="auto"/>
              <w:bottom w:val="outset" w:sz="4" w:space="0" w:color="auto"/>
              <w:right w:val="outset" w:sz="4" w:space="0" w:color="auto"/>
            </w:tcBorders>
            <w:vAlign w:val="center"/>
          </w:tcPr>
          <w:p w14:paraId="01D2536E" w14:textId="77777777" w:rsidR="005E000F" w:rsidRDefault="00000000">
            <w:pPr>
              <w:ind w:firstLineChars="100" w:firstLine="210"/>
            </w:pPr>
            <w:r>
              <w:rPr>
                <w:rFonts w:hint="eastAsia"/>
              </w:rPr>
              <w:t>处置子公司及其他营业单位收到的现金净额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7CD76079"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6D9D0708" w14:textId="77777777" w:rsidR="005E000F" w:rsidRDefault="00000000">
            <w:pPr>
              <w:jc w:val="right"/>
            </w:pPr>
            <w:r>
              <w:rPr>
                <w:rFonts w:hint="eastAsia"/>
              </w:rPr>
              <w:t>0</w:t>
            </w:r>
          </w:p>
        </w:tc>
        <w:tc>
          <w:tcPr>
            <w:tcW w:w="2168" w:type="dxa"/>
            <w:tcBorders>
              <w:top w:val="outset" w:sz="4" w:space="0" w:color="auto"/>
              <w:left w:val="outset" w:sz="4" w:space="0" w:color="auto"/>
              <w:bottom w:val="outset" w:sz="4" w:space="0" w:color="auto"/>
              <w:right w:val="outset" w:sz="4" w:space="0" w:color="auto"/>
            </w:tcBorders>
            <w:vAlign w:val="center"/>
          </w:tcPr>
          <w:p w14:paraId="3C239F3D" w14:textId="77777777" w:rsidR="005E000F" w:rsidRDefault="00000000">
            <w:pPr>
              <w:jc w:val="right"/>
            </w:pPr>
            <w:r>
              <w:t>0</w:t>
            </w:r>
          </w:p>
        </w:tc>
      </w:tr>
      <w:tr w:rsidR="005E000F" w14:paraId="5D545C40" w14:textId="77777777">
        <w:tc>
          <w:tcPr>
            <w:tcW w:w="3141" w:type="dxa"/>
            <w:tcBorders>
              <w:top w:val="outset" w:sz="4" w:space="0" w:color="auto"/>
              <w:left w:val="outset" w:sz="4" w:space="0" w:color="auto"/>
              <w:bottom w:val="outset" w:sz="4" w:space="0" w:color="auto"/>
              <w:right w:val="outset" w:sz="4" w:space="0" w:color="auto"/>
            </w:tcBorders>
            <w:vAlign w:val="center"/>
          </w:tcPr>
          <w:p w14:paraId="5AD3F1C6" w14:textId="77777777" w:rsidR="005E000F" w:rsidRDefault="00000000">
            <w:pPr>
              <w:ind w:firstLineChars="100" w:firstLine="210"/>
            </w:pPr>
            <w:r>
              <w:rPr>
                <w:rFonts w:hint="eastAsia"/>
              </w:rPr>
              <w:t>收到其他与投资活动有关的现金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0FEF2880" w14:textId="77777777" w:rsidR="005E000F" w:rsidRDefault="00000000">
            <w:r>
              <w:rPr>
                <w:rFonts w:hint="eastAsia"/>
              </w:rPr>
              <w:t>七、</w:t>
            </w:r>
            <w:r>
              <w:t>78</w:t>
            </w:r>
            <w:r>
              <w:rPr>
                <w:rFonts w:hint="eastAsia"/>
              </w:rPr>
              <w:t>（</w:t>
            </w:r>
            <w:r>
              <w:t>2</w:t>
            </w:r>
            <w:r>
              <w:rPr>
                <w:rFonts w:hint="eastAsia"/>
              </w:rPr>
              <w:t>）</w:t>
            </w:r>
          </w:p>
        </w:tc>
        <w:tc>
          <w:tcPr>
            <w:tcW w:w="2173" w:type="dxa"/>
            <w:tcBorders>
              <w:top w:val="outset" w:sz="4" w:space="0" w:color="auto"/>
              <w:left w:val="outset" w:sz="4" w:space="0" w:color="auto"/>
              <w:bottom w:val="outset" w:sz="4" w:space="0" w:color="auto"/>
              <w:right w:val="outset" w:sz="4" w:space="0" w:color="auto"/>
            </w:tcBorders>
            <w:vAlign w:val="center"/>
          </w:tcPr>
          <w:p w14:paraId="64F17BBB" w14:textId="77777777" w:rsidR="005E000F" w:rsidRDefault="00000000">
            <w:pPr>
              <w:jc w:val="right"/>
            </w:pPr>
            <w:r>
              <w:t>638,615,979</w:t>
            </w:r>
          </w:p>
        </w:tc>
        <w:tc>
          <w:tcPr>
            <w:tcW w:w="2168" w:type="dxa"/>
            <w:tcBorders>
              <w:top w:val="outset" w:sz="4" w:space="0" w:color="auto"/>
              <w:left w:val="outset" w:sz="4" w:space="0" w:color="auto"/>
              <w:bottom w:val="outset" w:sz="4" w:space="0" w:color="auto"/>
              <w:right w:val="outset" w:sz="4" w:space="0" w:color="auto"/>
            </w:tcBorders>
            <w:vAlign w:val="center"/>
          </w:tcPr>
          <w:p w14:paraId="1F24AED8" w14:textId="77777777" w:rsidR="005E000F" w:rsidRDefault="00000000">
            <w:pPr>
              <w:jc w:val="right"/>
            </w:pPr>
            <w:r>
              <w:t>953,173,688</w:t>
            </w:r>
          </w:p>
        </w:tc>
      </w:tr>
      <w:tr w:rsidR="005E000F" w14:paraId="25F7FB90" w14:textId="77777777">
        <w:tc>
          <w:tcPr>
            <w:tcW w:w="3141" w:type="dxa"/>
            <w:tcBorders>
              <w:top w:val="outset" w:sz="4" w:space="0" w:color="auto"/>
              <w:left w:val="outset" w:sz="4" w:space="0" w:color="auto"/>
              <w:bottom w:val="outset" w:sz="4" w:space="0" w:color="auto"/>
              <w:right w:val="outset" w:sz="4" w:space="0" w:color="auto"/>
            </w:tcBorders>
            <w:vAlign w:val="center"/>
          </w:tcPr>
          <w:p w14:paraId="0863DD8B" w14:textId="77777777" w:rsidR="005E000F" w:rsidRDefault="00000000">
            <w:pPr>
              <w:ind w:firstLineChars="200" w:firstLine="420"/>
              <w:rPr>
                <w:color w:val="000000"/>
              </w:rPr>
            </w:pPr>
            <w:r>
              <w:rPr>
                <w:rFonts w:hint="eastAsia"/>
              </w:rPr>
              <w:t>投资活动现金流入小计</w:t>
            </w:r>
          </w:p>
        </w:tc>
        <w:tc>
          <w:tcPr>
            <w:tcW w:w="1567" w:type="dxa"/>
            <w:tcBorders>
              <w:top w:val="outset" w:sz="4" w:space="0" w:color="auto"/>
              <w:left w:val="outset" w:sz="4" w:space="0" w:color="auto"/>
              <w:bottom w:val="outset" w:sz="4" w:space="0" w:color="auto"/>
              <w:right w:val="outset" w:sz="4" w:space="0" w:color="auto"/>
            </w:tcBorders>
            <w:vAlign w:val="center"/>
          </w:tcPr>
          <w:p w14:paraId="7A36CC40"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23469A47" w14:textId="77777777" w:rsidR="005E000F" w:rsidRDefault="00000000">
            <w:pPr>
              <w:jc w:val="right"/>
            </w:pPr>
            <w:r>
              <w:t>3,147,532,37</w:t>
            </w:r>
            <w:r>
              <w:rPr>
                <w:rFonts w:hint="eastAsia"/>
              </w:rPr>
              <w:t>3</w:t>
            </w:r>
          </w:p>
        </w:tc>
        <w:tc>
          <w:tcPr>
            <w:tcW w:w="2168" w:type="dxa"/>
            <w:tcBorders>
              <w:top w:val="outset" w:sz="4" w:space="0" w:color="auto"/>
              <w:left w:val="outset" w:sz="4" w:space="0" w:color="auto"/>
              <w:bottom w:val="outset" w:sz="4" w:space="0" w:color="auto"/>
              <w:right w:val="outset" w:sz="4" w:space="0" w:color="auto"/>
            </w:tcBorders>
            <w:vAlign w:val="center"/>
          </w:tcPr>
          <w:p w14:paraId="66996657" w14:textId="77777777" w:rsidR="005E000F" w:rsidRDefault="00000000">
            <w:pPr>
              <w:jc w:val="right"/>
            </w:pPr>
            <w:r>
              <w:t>3,257,006,928</w:t>
            </w:r>
          </w:p>
        </w:tc>
      </w:tr>
      <w:tr w:rsidR="005E000F" w14:paraId="549F7BEA" w14:textId="77777777">
        <w:tc>
          <w:tcPr>
            <w:tcW w:w="3141" w:type="dxa"/>
            <w:tcBorders>
              <w:top w:val="outset" w:sz="4" w:space="0" w:color="auto"/>
              <w:left w:val="outset" w:sz="4" w:space="0" w:color="auto"/>
              <w:bottom w:val="outset" w:sz="4" w:space="0" w:color="auto"/>
              <w:right w:val="outset" w:sz="4" w:space="0" w:color="auto"/>
            </w:tcBorders>
            <w:vAlign w:val="center"/>
          </w:tcPr>
          <w:p w14:paraId="357A82A1" w14:textId="77777777" w:rsidR="005E000F" w:rsidRDefault="00000000">
            <w:pPr>
              <w:ind w:firstLineChars="100" w:firstLine="210"/>
              <w:rPr>
                <w:color w:val="000000"/>
              </w:rPr>
            </w:pPr>
            <w:r>
              <w:rPr>
                <w:rFonts w:hint="eastAsia"/>
              </w:rPr>
              <w:lastRenderedPageBreak/>
              <w:t>购建固定资产、无形资产和其他长期资产支付的现金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37F2209F"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5EDA4E33" w14:textId="77777777" w:rsidR="005E000F" w:rsidRDefault="00000000">
            <w:pPr>
              <w:jc w:val="right"/>
            </w:pPr>
            <w:r>
              <w:t>27,181,359,442</w:t>
            </w:r>
          </w:p>
        </w:tc>
        <w:tc>
          <w:tcPr>
            <w:tcW w:w="2168" w:type="dxa"/>
            <w:tcBorders>
              <w:top w:val="outset" w:sz="4" w:space="0" w:color="auto"/>
              <w:left w:val="outset" w:sz="4" w:space="0" w:color="auto"/>
              <w:bottom w:val="outset" w:sz="4" w:space="0" w:color="auto"/>
              <w:right w:val="outset" w:sz="4" w:space="0" w:color="auto"/>
            </w:tcBorders>
            <w:vAlign w:val="center"/>
          </w:tcPr>
          <w:p w14:paraId="77F6DD94" w14:textId="77777777" w:rsidR="005E000F" w:rsidRDefault="00000000">
            <w:pPr>
              <w:jc w:val="right"/>
            </w:pPr>
            <w:r>
              <w:t>4,532,156,822</w:t>
            </w:r>
          </w:p>
        </w:tc>
      </w:tr>
      <w:tr w:rsidR="005E000F" w14:paraId="55E94FCB" w14:textId="77777777">
        <w:tc>
          <w:tcPr>
            <w:tcW w:w="3141" w:type="dxa"/>
            <w:tcBorders>
              <w:top w:val="outset" w:sz="4" w:space="0" w:color="auto"/>
              <w:left w:val="outset" w:sz="4" w:space="0" w:color="auto"/>
              <w:bottom w:val="outset" w:sz="4" w:space="0" w:color="auto"/>
              <w:right w:val="outset" w:sz="4" w:space="0" w:color="auto"/>
            </w:tcBorders>
            <w:vAlign w:val="center"/>
          </w:tcPr>
          <w:p w14:paraId="0561914F" w14:textId="77777777" w:rsidR="005E000F" w:rsidRDefault="00000000">
            <w:pPr>
              <w:ind w:firstLineChars="100" w:firstLine="210"/>
            </w:pPr>
            <w:r>
              <w:rPr>
                <w:rFonts w:hint="eastAsia"/>
              </w:rPr>
              <w:t>投资支付的现金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0B103A40"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089765B9" w14:textId="77777777" w:rsidR="005E000F" w:rsidRDefault="00000000">
            <w:pPr>
              <w:jc w:val="right"/>
            </w:pPr>
            <w:r>
              <w:t>1,000,000,000</w:t>
            </w:r>
          </w:p>
        </w:tc>
        <w:tc>
          <w:tcPr>
            <w:tcW w:w="2168" w:type="dxa"/>
            <w:tcBorders>
              <w:top w:val="outset" w:sz="4" w:space="0" w:color="auto"/>
              <w:left w:val="outset" w:sz="4" w:space="0" w:color="auto"/>
              <w:bottom w:val="outset" w:sz="4" w:space="0" w:color="auto"/>
              <w:right w:val="outset" w:sz="4" w:space="0" w:color="auto"/>
            </w:tcBorders>
            <w:vAlign w:val="center"/>
          </w:tcPr>
          <w:p w14:paraId="33260DB9" w14:textId="77777777" w:rsidR="005E000F" w:rsidRDefault="00000000">
            <w:pPr>
              <w:jc w:val="right"/>
            </w:pPr>
            <w:r>
              <w:t>3,500,000,000</w:t>
            </w:r>
          </w:p>
        </w:tc>
      </w:tr>
      <w:tr w:rsidR="005E000F" w14:paraId="0897A755" w14:textId="77777777">
        <w:tc>
          <w:tcPr>
            <w:tcW w:w="3141" w:type="dxa"/>
            <w:tcBorders>
              <w:top w:val="outset" w:sz="4" w:space="0" w:color="auto"/>
              <w:left w:val="outset" w:sz="4" w:space="0" w:color="auto"/>
              <w:bottom w:val="outset" w:sz="4" w:space="0" w:color="auto"/>
              <w:right w:val="outset" w:sz="4" w:space="0" w:color="auto"/>
            </w:tcBorders>
            <w:vAlign w:val="center"/>
          </w:tcPr>
          <w:p w14:paraId="72A6F390" w14:textId="77777777" w:rsidR="005E000F" w:rsidRDefault="00000000">
            <w:pPr>
              <w:ind w:firstLineChars="100" w:firstLine="210"/>
            </w:pPr>
            <w:r>
              <w:rPr>
                <w:rFonts w:hint="eastAsia"/>
              </w:rPr>
              <w:t>质押贷款净增加额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09DACCD5"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29F0C20D"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145128D1" w14:textId="77777777" w:rsidR="005E000F" w:rsidRDefault="00000000">
            <w:pPr>
              <w:jc w:val="right"/>
            </w:pPr>
            <w:r>
              <w:t>0</w:t>
            </w:r>
          </w:p>
        </w:tc>
      </w:tr>
      <w:tr w:rsidR="005E000F" w14:paraId="3AB9EEFD" w14:textId="77777777">
        <w:tc>
          <w:tcPr>
            <w:tcW w:w="3141" w:type="dxa"/>
            <w:tcBorders>
              <w:top w:val="outset" w:sz="4" w:space="0" w:color="auto"/>
              <w:left w:val="outset" w:sz="4" w:space="0" w:color="auto"/>
              <w:bottom w:val="outset" w:sz="4" w:space="0" w:color="auto"/>
              <w:right w:val="outset" w:sz="4" w:space="0" w:color="auto"/>
            </w:tcBorders>
            <w:vAlign w:val="center"/>
          </w:tcPr>
          <w:p w14:paraId="3CFB0D58" w14:textId="77777777" w:rsidR="005E000F" w:rsidRDefault="00000000">
            <w:pPr>
              <w:ind w:firstLineChars="100" w:firstLine="210"/>
            </w:pPr>
            <w:r>
              <w:rPr>
                <w:rFonts w:hint="eastAsia"/>
              </w:rPr>
              <w:t>取得子公司及其他营业单位支付的现金净额</w:t>
            </w:r>
          </w:p>
        </w:tc>
        <w:tc>
          <w:tcPr>
            <w:tcW w:w="1567" w:type="dxa"/>
            <w:tcBorders>
              <w:top w:val="outset" w:sz="4" w:space="0" w:color="auto"/>
              <w:left w:val="outset" w:sz="4" w:space="0" w:color="auto"/>
              <w:bottom w:val="outset" w:sz="4" w:space="0" w:color="auto"/>
              <w:right w:val="outset" w:sz="4" w:space="0" w:color="auto"/>
            </w:tcBorders>
            <w:vAlign w:val="center"/>
          </w:tcPr>
          <w:p w14:paraId="063BBBEB"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3CA4DCC5"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1BB64676" w14:textId="77777777" w:rsidR="005E000F" w:rsidRDefault="00000000">
            <w:pPr>
              <w:jc w:val="right"/>
            </w:pPr>
            <w:r>
              <w:t>0</w:t>
            </w:r>
          </w:p>
        </w:tc>
      </w:tr>
      <w:tr w:rsidR="005E000F" w14:paraId="4F963B14" w14:textId="77777777">
        <w:tc>
          <w:tcPr>
            <w:tcW w:w="3141" w:type="dxa"/>
            <w:tcBorders>
              <w:top w:val="outset" w:sz="4" w:space="0" w:color="auto"/>
              <w:left w:val="outset" w:sz="4" w:space="0" w:color="auto"/>
              <w:bottom w:val="outset" w:sz="4" w:space="0" w:color="auto"/>
              <w:right w:val="outset" w:sz="4" w:space="0" w:color="auto"/>
            </w:tcBorders>
            <w:vAlign w:val="center"/>
          </w:tcPr>
          <w:p w14:paraId="0A123CC0" w14:textId="77777777" w:rsidR="005E000F" w:rsidRDefault="00000000">
            <w:pPr>
              <w:ind w:firstLineChars="100" w:firstLine="210"/>
            </w:pPr>
            <w:r>
              <w:rPr>
                <w:rFonts w:hint="eastAsia"/>
              </w:rPr>
              <w:t>支付其他与投资活动有关的现金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78B1473F"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44073040" w14:textId="77777777" w:rsidR="005E000F" w:rsidRDefault="00000000">
            <w:pPr>
              <w:jc w:val="right"/>
            </w:pPr>
            <w:r>
              <w:t>0</w:t>
            </w:r>
          </w:p>
        </w:tc>
        <w:tc>
          <w:tcPr>
            <w:tcW w:w="2168" w:type="dxa"/>
            <w:tcBorders>
              <w:top w:val="outset" w:sz="4" w:space="0" w:color="auto"/>
              <w:left w:val="outset" w:sz="4" w:space="0" w:color="auto"/>
              <w:bottom w:val="outset" w:sz="4" w:space="0" w:color="auto"/>
              <w:right w:val="outset" w:sz="4" w:space="0" w:color="auto"/>
            </w:tcBorders>
            <w:vAlign w:val="center"/>
          </w:tcPr>
          <w:p w14:paraId="62D2E489" w14:textId="77777777" w:rsidR="005E000F" w:rsidRDefault="00000000">
            <w:pPr>
              <w:jc w:val="right"/>
            </w:pPr>
            <w:r>
              <w:t>0</w:t>
            </w:r>
          </w:p>
        </w:tc>
      </w:tr>
      <w:tr w:rsidR="005E000F" w14:paraId="0BFB3A9A" w14:textId="77777777">
        <w:tc>
          <w:tcPr>
            <w:tcW w:w="3141" w:type="dxa"/>
            <w:tcBorders>
              <w:top w:val="outset" w:sz="4" w:space="0" w:color="auto"/>
              <w:left w:val="outset" w:sz="4" w:space="0" w:color="auto"/>
              <w:bottom w:val="outset" w:sz="4" w:space="0" w:color="auto"/>
              <w:right w:val="outset" w:sz="4" w:space="0" w:color="auto"/>
            </w:tcBorders>
            <w:vAlign w:val="center"/>
          </w:tcPr>
          <w:p w14:paraId="516549E7" w14:textId="77777777" w:rsidR="005E000F" w:rsidRDefault="00000000">
            <w:pPr>
              <w:ind w:firstLineChars="200" w:firstLine="420"/>
              <w:rPr>
                <w:color w:val="000000"/>
              </w:rPr>
            </w:pPr>
            <w:r>
              <w:rPr>
                <w:rFonts w:hint="eastAsia"/>
              </w:rPr>
              <w:t>投资活动现金流出小计</w:t>
            </w:r>
          </w:p>
        </w:tc>
        <w:tc>
          <w:tcPr>
            <w:tcW w:w="1567" w:type="dxa"/>
            <w:tcBorders>
              <w:top w:val="outset" w:sz="4" w:space="0" w:color="auto"/>
              <w:left w:val="outset" w:sz="4" w:space="0" w:color="auto"/>
              <w:bottom w:val="outset" w:sz="4" w:space="0" w:color="auto"/>
              <w:right w:val="outset" w:sz="4" w:space="0" w:color="auto"/>
            </w:tcBorders>
            <w:vAlign w:val="center"/>
          </w:tcPr>
          <w:p w14:paraId="35D10261"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2E550673" w14:textId="77777777" w:rsidR="005E000F" w:rsidRDefault="00000000">
            <w:pPr>
              <w:jc w:val="right"/>
            </w:pPr>
            <w:r>
              <w:t>28,181,359,442</w:t>
            </w:r>
          </w:p>
        </w:tc>
        <w:tc>
          <w:tcPr>
            <w:tcW w:w="2168" w:type="dxa"/>
            <w:tcBorders>
              <w:top w:val="outset" w:sz="4" w:space="0" w:color="auto"/>
              <w:left w:val="outset" w:sz="4" w:space="0" w:color="auto"/>
              <w:bottom w:val="outset" w:sz="4" w:space="0" w:color="auto"/>
              <w:right w:val="outset" w:sz="4" w:space="0" w:color="auto"/>
            </w:tcBorders>
            <w:vAlign w:val="center"/>
          </w:tcPr>
          <w:p w14:paraId="0EE540FF" w14:textId="77777777" w:rsidR="005E000F" w:rsidRDefault="00000000">
            <w:pPr>
              <w:jc w:val="right"/>
            </w:pPr>
            <w:r>
              <w:t>8,032,156,822</w:t>
            </w:r>
          </w:p>
        </w:tc>
      </w:tr>
      <w:tr w:rsidR="005E000F" w14:paraId="1C66BD46" w14:textId="77777777">
        <w:tc>
          <w:tcPr>
            <w:tcW w:w="3141" w:type="dxa"/>
            <w:tcBorders>
              <w:top w:val="outset" w:sz="4" w:space="0" w:color="auto"/>
              <w:left w:val="outset" w:sz="4" w:space="0" w:color="auto"/>
              <w:bottom w:val="outset" w:sz="4" w:space="0" w:color="auto"/>
              <w:right w:val="outset" w:sz="4" w:space="0" w:color="auto"/>
            </w:tcBorders>
            <w:vAlign w:val="center"/>
          </w:tcPr>
          <w:p w14:paraId="4003CFC1" w14:textId="77777777" w:rsidR="005E000F" w:rsidRDefault="00000000">
            <w:pPr>
              <w:ind w:firstLineChars="300" w:firstLine="630"/>
              <w:rPr>
                <w:color w:val="000000"/>
              </w:rPr>
            </w:pPr>
            <w:r>
              <w:rPr>
                <w:rFonts w:hint="eastAsia"/>
              </w:rPr>
              <w:t>投资活动产生的现金流量净额</w:t>
            </w:r>
          </w:p>
        </w:tc>
        <w:tc>
          <w:tcPr>
            <w:tcW w:w="1567" w:type="dxa"/>
            <w:tcBorders>
              <w:top w:val="outset" w:sz="4" w:space="0" w:color="auto"/>
              <w:left w:val="outset" w:sz="4" w:space="0" w:color="auto"/>
              <w:bottom w:val="outset" w:sz="4" w:space="0" w:color="auto"/>
              <w:right w:val="outset" w:sz="4" w:space="0" w:color="auto"/>
            </w:tcBorders>
            <w:vAlign w:val="center"/>
          </w:tcPr>
          <w:p w14:paraId="6D460696"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3277A2C7" w14:textId="77777777" w:rsidR="005E000F" w:rsidRDefault="00000000">
            <w:pPr>
              <w:jc w:val="right"/>
            </w:pPr>
            <w:r>
              <w:t>-25,033,827,06</w:t>
            </w:r>
            <w:r>
              <w:rPr>
                <w:rFonts w:hint="eastAsia"/>
              </w:rPr>
              <w:t>9</w:t>
            </w:r>
          </w:p>
        </w:tc>
        <w:tc>
          <w:tcPr>
            <w:tcW w:w="2168" w:type="dxa"/>
            <w:tcBorders>
              <w:top w:val="outset" w:sz="4" w:space="0" w:color="auto"/>
              <w:left w:val="outset" w:sz="4" w:space="0" w:color="auto"/>
              <w:bottom w:val="outset" w:sz="4" w:space="0" w:color="auto"/>
              <w:right w:val="outset" w:sz="4" w:space="0" w:color="auto"/>
            </w:tcBorders>
            <w:vAlign w:val="center"/>
          </w:tcPr>
          <w:p w14:paraId="32AC708E" w14:textId="77777777" w:rsidR="005E000F" w:rsidRDefault="00000000">
            <w:pPr>
              <w:jc w:val="right"/>
            </w:pPr>
            <w:r>
              <w:t>-4,775,149,894</w:t>
            </w:r>
          </w:p>
        </w:tc>
      </w:tr>
      <w:tr w:rsidR="005E000F" w14:paraId="0C822FDF" w14:textId="77777777">
        <w:sdt>
          <w:sdtPr>
            <w:tag w:val="_PLD_8e0d926902804b5baefad8990e4523b4"/>
            <w:id w:val="1134523845"/>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2C77D70F" w14:textId="77777777" w:rsidR="005E000F" w:rsidRDefault="00000000">
                <w:pPr>
                  <w:rPr>
                    <w:color w:val="008000"/>
                  </w:rPr>
                </w:pPr>
                <w:r>
                  <w:rPr>
                    <w:rFonts w:hint="eastAsia"/>
                    <w:b/>
                    <w:bCs/>
                  </w:rPr>
                  <w:t>三、筹资活动产生的现金流量：</w:t>
                </w:r>
              </w:p>
            </w:tc>
          </w:sdtContent>
        </w:sdt>
      </w:tr>
      <w:tr w:rsidR="005E000F" w14:paraId="11941DD1" w14:textId="77777777">
        <w:tc>
          <w:tcPr>
            <w:tcW w:w="3141" w:type="dxa"/>
            <w:tcBorders>
              <w:top w:val="outset" w:sz="4" w:space="0" w:color="auto"/>
              <w:left w:val="outset" w:sz="4" w:space="0" w:color="auto"/>
              <w:bottom w:val="outset" w:sz="4" w:space="0" w:color="auto"/>
              <w:right w:val="outset" w:sz="4" w:space="0" w:color="auto"/>
            </w:tcBorders>
            <w:vAlign w:val="center"/>
          </w:tcPr>
          <w:p w14:paraId="7973342F" w14:textId="77777777" w:rsidR="005E000F" w:rsidRDefault="00000000">
            <w:pPr>
              <w:ind w:firstLineChars="100" w:firstLine="210"/>
              <w:rPr>
                <w:color w:val="000000"/>
              </w:rPr>
            </w:pPr>
            <w:r>
              <w:rPr>
                <w:rFonts w:hint="eastAsia"/>
              </w:rPr>
              <w:t>吸收投资收到的现金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53A5D56D"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1BF9953C" w14:textId="77777777" w:rsidR="005E000F" w:rsidRDefault="00000000">
            <w:pPr>
              <w:jc w:val="right"/>
            </w:pPr>
            <w:r>
              <w:rPr>
                <w:rFonts w:hint="eastAsia"/>
              </w:rPr>
              <w:t>0</w:t>
            </w:r>
          </w:p>
        </w:tc>
        <w:tc>
          <w:tcPr>
            <w:tcW w:w="2168" w:type="dxa"/>
            <w:tcBorders>
              <w:top w:val="outset" w:sz="4" w:space="0" w:color="auto"/>
              <w:left w:val="outset" w:sz="4" w:space="0" w:color="auto"/>
              <w:bottom w:val="outset" w:sz="4" w:space="0" w:color="auto"/>
              <w:right w:val="outset" w:sz="4" w:space="0" w:color="auto"/>
            </w:tcBorders>
            <w:vAlign w:val="center"/>
          </w:tcPr>
          <w:p w14:paraId="50DEE215" w14:textId="77777777" w:rsidR="005E000F" w:rsidRDefault="00000000">
            <w:pPr>
              <w:jc w:val="right"/>
            </w:pPr>
            <w:r>
              <w:t>0</w:t>
            </w:r>
          </w:p>
        </w:tc>
      </w:tr>
      <w:tr w:rsidR="005E000F" w14:paraId="032D3B91" w14:textId="77777777">
        <w:tc>
          <w:tcPr>
            <w:tcW w:w="3141" w:type="dxa"/>
            <w:tcBorders>
              <w:top w:val="outset" w:sz="4" w:space="0" w:color="auto"/>
              <w:left w:val="outset" w:sz="4" w:space="0" w:color="auto"/>
              <w:bottom w:val="outset" w:sz="4" w:space="0" w:color="auto"/>
              <w:right w:val="outset" w:sz="4" w:space="0" w:color="auto"/>
            </w:tcBorders>
            <w:vAlign w:val="center"/>
          </w:tcPr>
          <w:p w14:paraId="7A489AC3" w14:textId="77777777" w:rsidR="005E000F" w:rsidRDefault="00000000">
            <w:pPr>
              <w:ind w:firstLineChars="100" w:firstLine="210"/>
              <w:rPr>
                <w:color w:val="000000"/>
              </w:rPr>
            </w:pPr>
            <w:r>
              <w:rPr>
                <w:rFonts w:hint="eastAsia"/>
              </w:rPr>
              <w:t>其中：子公司吸收少数股东投资收到的现金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4E6621C0"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3F29A6C8" w14:textId="77777777" w:rsidR="005E000F" w:rsidRDefault="00000000">
            <w:pPr>
              <w:jc w:val="right"/>
            </w:pPr>
            <w:r>
              <w:rPr>
                <w:rFonts w:hint="eastAsia"/>
              </w:rPr>
              <w:t>0</w:t>
            </w:r>
          </w:p>
        </w:tc>
        <w:tc>
          <w:tcPr>
            <w:tcW w:w="2168" w:type="dxa"/>
            <w:tcBorders>
              <w:top w:val="outset" w:sz="4" w:space="0" w:color="auto"/>
              <w:left w:val="outset" w:sz="4" w:space="0" w:color="auto"/>
              <w:bottom w:val="outset" w:sz="4" w:space="0" w:color="auto"/>
              <w:right w:val="outset" w:sz="4" w:space="0" w:color="auto"/>
            </w:tcBorders>
            <w:vAlign w:val="center"/>
          </w:tcPr>
          <w:p w14:paraId="3BF00CF1" w14:textId="77777777" w:rsidR="005E000F" w:rsidRDefault="00000000">
            <w:pPr>
              <w:jc w:val="right"/>
            </w:pPr>
            <w:r>
              <w:t>0</w:t>
            </w:r>
          </w:p>
        </w:tc>
      </w:tr>
      <w:tr w:rsidR="005E000F" w14:paraId="78F458A3" w14:textId="77777777">
        <w:tc>
          <w:tcPr>
            <w:tcW w:w="3141" w:type="dxa"/>
            <w:tcBorders>
              <w:top w:val="outset" w:sz="4" w:space="0" w:color="auto"/>
              <w:left w:val="outset" w:sz="4" w:space="0" w:color="auto"/>
              <w:bottom w:val="outset" w:sz="4" w:space="0" w:color="auto"/>
              <w:right w:val="outset" w:sz="4" w:space="0" w:color="auto"/>
            </w:tcBorders>
            <w:vAlign w:val="center"/>
          </w:tcPr>
          <w:p w14:paraId="7952DE1F" w14:textId="77777777" w:rsidR="005E000F" w:rsidRDefault="00000000">
            <w:pPr>
              <w:ind w:firstLineChars="100" w:firstLine="210"/>
              <w:rPr>
                <w:color w:val="000000"/>
              </w:rPr>
            </w:pPr>
            <w:r>
              <w:rPr>
                <w:rFonts w:hint="eastAsia"/>
              </w:rPr>
              <w:t>取得借款收到的现金</w:t>
            </w:r>
          </w:p>
        </w:tc>
        <w:tc>
          <w:tcPr>
            <w:tcW w:w="1567" w:type="dxa"/>
            <w:tcBorders>
              <w:top w:val="outset" w:sz="4" w:space="0" w:color="auto"/>
              <w:left w:val="outset" w:sz="4" w:space="0" w:color="auto"/>
              <w:bottom w:val="outset" w:sz="4" w:space="0" w:color="auto"/>
              <w:right w:val="outset" w:sz="4" w:space="0" w:color="auto"/>
            </w:tcBorders>
            <w:vAlign w:val="center"/>
          </w:tcPr>
          <w:p w14:paraId="7B205128"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21D67314" w14:textId="77777777" w:rsidR="005E000F" w:rsidRDefault="00000000">
            <w:pPr>
              <w:jc w:val="right"/>
            </w:pPr>
            <w:r>
              <w:t>3,179,450,000</w:t>
            </w:r>
          </w:p>
        </w:tc>
        <w:tc>
          <w:tcPr>
            <w:tcW w:w="2168" w:type="dxa"/>
            <w:tcBorders>
              <w:top w:val="outset" w:sz="4" w:space="0" w:color="auto"/>
              <w:left w:val="outset" w:sz="4" w:space="0" w:color="auto"/>
              <w:bottom w:val="outset" w:sz="4" w:space="0" w:color="auto"/>
              <w:right w:val="outset" w:sz="4" w:space="0" w:color="auto"/>
            </w:tcBorders>
            <w:vAlign w:val="center"/>
          </w:tcPr>
          <w:p w14:paraId="3B09905F" w14:textId="77777777" w:rsidR="005E000F" w:rsidRDefault="00000000">
            <w:pPr>
              <w:jc w:val="right"/>
            </w:pPr>
            <w:r>
              <w:t>768,000,000</w:t>
            </w:r>
          </w:p>
        </w:tc>
      </w:tr>
      <w:tr w:rsidR="005E000F" w14:paraId="00274AA7" w14:textId="77777777">
        <w:tc>
          <w:tcPr>
            <w:tcW w:w="3141" w:type="dxa"/>
            <w:tcBorders>
              <w:top w:val="outset" w:sz="4" w:space="0" w:color="auto"/>
              <w:left w:val="outset" w:sz="4" w:space="0" w:color="auto"/>
              <w:bottom w:val="outset" w:sz="4" w:space="0" w:color="auto"/>
              <w:right w:val="outset" w:sz="4" w:space="0" w:color="auto"/>
            </w:tcBorders>
            <w:vAlign w:val="center"/>
          </w:tcPr>
          <w:p w14:paraId="50F95408" w14:textId="77777777" w:rsidR="005E000F" w:rsidRDefault="00000000">
            <w:pPr>
              <w:ind w:firstLineChars="100" w:firstLine="210"/>
              <w:rPr>
                <w:color w:val="000000"/>
              </w:rPr>
            </w:pPr>
            <w:r>
              <w:rPr>
                <w:rFonts w:hint="eastAsia"/>
              </w:rPr>
              <w:t>收到其他与筹资活动有关的现金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0819A9A0" w14:textId="77777777" w:rsidR="005E000F" w:rsidRDefault="00000000">
            <w:r>
              <w:rPr>
                <w:rFonts w:hint="eastAsia"/>
              </w:rPr>
              <w:t>七、</w:t>
            </w:r>
            <w:r>
              <w:t>78</w:t>
            </w:r>
            <w:r>
              <w:rPr>
                <w:rFonts w:hint="eastAsia"/>
              </w:rPr>
              <w:t>（</w:t>
            </w:r>
            <w:r>
              <w:t>3</w:t>
            </w:r>
            <w:r>
              <w:rPr>
                <w:rFonts w:hint="eastAsia"/>
              </w:rPr>
              <w:t>）</w:t>
            </w:r>
          </w:p>
        </w:tc>
        <w:tc>
          <w:tcPr>
            <w:tcW w:w="2173" w:type="dxa"/>
            <w:tcBorders>
              <w:top w:val="outset" w:sz="4" w:space="0" w:color="auto"/>
              <w:left w:val="outset" w:sz="4" w:space="0" w:color="auto"/>
              <w:bottom w:val="outset" w:sz="4" w:space="0" w:color="auto"/>
              <w:right w:val="outset" w:sz="4" w:space="0" w:color="auto"/>
            </w:tcBorders>
            <w:vAlign w:val="center"/>
          </w:tcPr>
          <w:p w14:paraId="5B8D161F" w14:textId="77777777" w:rsidR="005E000F" w:rsidRDefault="00000000">
            <w:pPr>
              <w:jc w:val="right"/>
            </w:pPr>
            <w:r>
              <w:t>482,868,900</w:t>
            </w:r>
          </w:p>
        </w:tc>
        <w:tc>
          <w:tcPr>
            <w:tcW w:w="2168" w:type="dxa"/>
            <w:tcBorders>
              <w:top w:val="outset" w:sz="4" w:space="0" w:color="auto"/>
              <w:left w:val="outset" w:sz="4" w:space="0" w:color="auto"/>
              <w:bottom w:val="outset" w:sz="4" w:space="0" w:color="auto"/>
              <w:right w:val="outset" w:sz="4" w:space="0" w:color="auto"/>
            </w:tcBorders>
            <w:vAlign w:val="center"/>
          </w:tcPr>
          <w:p w14:paraId="4E96898A" w14:textId="77777777" w:rsidR="005E000F" w:rsidRDefault="00000000">
            <w:pPr>
              <w:jc w:val="right"/>
            </w:pPr>
            <w:r>
              <w:t>319,295,962</w:t>
            </w:r>
          </w:p>
        </w:tc>
      </w:tr>
      <w:tr w:rsidR="005E000F" w14:paraId="58F0646E" w14:textId="77777777">
        <w:tc>
          <w:tcPr>
            <w:tcW w:w="3141" w:type="dxa"/>
            <w:tcBorders>
              <w:top w:val="outset" w:sz="4" w:space="0" w:color="auto"/>
              <w:left w:val="outset" w:sz="4" w:space="0" w:color="auto"/>
              <w:bottom w:val="outset" w:sz="4" w:space="0" w:color="auto"/>
              <w:right w:val="outset" w:sz="4" w:space="0" w:color="auto"/>
            </w:tcBorders>
            <w:vAlign w:val="center"/>
          </w:tcPr>
          <w:p w14:paraId="7E67A222" w14:textId="77777777" w:rsidR="005E000F" w:rsidRDefault="00000000">
            <w:pPr>
              <w:ind w:firstLineChars="200" w:firstLine="420"/>
              <w:rPr>
                <w:color w:val="000000"/>
              </w:rPr>
            </w:pPr>
            <w:r>
              <w:rPr>
                <w:rFonts w:hint="eastAsia"/>
              </w:rPr>
              <w:t>筹资活动现金流入小计</w:t>
            </w:r>
          </w:p>
        </w:tc>
        <w:tc>
          <w:tcPr>
            <w:tcW w:w="1567" w:type="dxa"/>
            <w:tcBorders>
              <w:top w:val="outset" w:sz="4" w:space="0" w:color="auto"/>
              <w:left w:val="outset" w:sz="4" w:space="0" w:color="auto"/>
              <w:bottom w:val="outset" w:sz="4" w:space="0" w:color="auto"/>
              <w:right w:val="outset" w:sz="4" w:space="0" w:color="auto"/>
            </w:tcBorders>
            <w:vAlign w:val="center"/>
          </w:tcPr>
          <w:p w14:paraId="68C3FEC4"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42119C90" w14:textId="77777777" w:rsidR="005E000F" w:rsidRDefault="00000000">
            <w:pPr>
              <w:jc w:val="right"/>
            </w:pPr>
            <w:r>
              <w:t>3,662,318,900</w:t>
            </w:r>
          </w:p>
        </w:tc>
        <w:tc>
          <w:tcPr>
            <w:tcW w:w="2168" w:type="dxa"/>
            <w:tcBorders>
              <w:top w:val="outset" w:sz="4" w:space="0" w:color="auto"/>
              <w:left w:val="outset" w:sz="4" w:space="0" w:color="auto"/>
              <w:bottom w:val="outset" w:sz="4" w:space="0" w:color="auto"/>
              <w:right w:val="outset" w:sz="4" w:space="0" w:color="auto"/>
            </w:tcBorders>
            <w:vAlign w:val="center"/>
          </w:tcPr>
          <w:p w14:paraId="38B027B7" w14:textId="77777777" w:rsidR="005E000F" w:rsidRDefault="00000000">
            <w:pPr>
              <w:jc w:val="right"/>
            </w:pPr>
            <w:r>
              <w:t>1,087,295,962</w:t>
            </w:r>
          </w:p>
        </w:tc>
      </w:tr>
      <w:tr w:rsidR="005E000F" w14:paraId="7A342215" w14:textId="77777777">
        <w:tc>
          <w:tcPr>
            <w:tcW w:w="3141" w:type="dxa"/>
            <w:tcBorders>
              <w:top w:val="outset" w:sz="4" w:space="0" w:color="auto"/>
              <w:left w:val="outset" w:sz="4" w:space="0" w:color="auto"/>
              <w:bottom w:val="outset" w:sz="4" w:space="0" w:color="auto"/>
              <w:right w:val="outset" w:sz="4" w:space="0" w:color="auto"/>
            </w:tcBorders>
            <w:vAlign w:val="center"/>
          </w:tcPr>
          <w:p w14:paraId="1949BEB5" w14:textId="77777777" w:rsidR="005E000F" w:rsidRDefault="00000000">
            <w:pPr>
              <w:ind w:firstLineChars="100" w:firstLine="210"/>
              <w:rPr>
                <w:color w:val="000000"/>
              </w:rPr>
            </w:pPr>
            <w:r>
              <w:rPr>
                <w:rFonts w:hint="eastAsia"/>
              </w:rPr>
              <w:t>偿还债务支付的现金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3D25EB10"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72B79F53" w14:textId="77777777" w:rsidR="005E000F" w:rsidRDefault="00000000">
            <w:pPr>
              <w:jc w:val="right"/>
            </w:pPr>
            <w:r>
              <w:t>3,226,777,005</w:t>
            </w:r>
          </w:p>
        </w:tc>
        <w:tc>
          <w:tcPr>
            <w:tcW w:w="2168" w:type="dxa"/>
            <w:tcBorders>
              <w:top w:val="outset" w:sz="4" w:space="0" w:color="auto"/>
              <w:left w:val="outset" w:sz="4" w:space="0" w:color="auto"/>
              <w:bottom w:val="outset" w:sz="4" w:space="0" w:color="auto"/>
              <w:right w:val="outset" w:sz="4" w:space="0" w:color="auto"/>
            </w:tcBorders>
            <w:vAlign w:val="center"/>
          </w:tcPr>
          <w:p w14:paraId="09681D2E" w14:textId="77777777" w:rsidR="005E000F" w:rsidRDefault="00000000">
            <w:pPr>
              <w:jc w:val="right"/>
            </w:pPr>
            <w:r>
              <w:t>991,127,794</w:t>
            </w:r>
          </w:p>
        </w:tc>
      </w:tr>
      <w:tr w:rsidR="005E000F" w14:paraId="7201B1B9" w14:textId="77777777">
        <w:tc>
          <w:tcPr>
            <w:tcW w:w="3141" w:type="dxa"/>
            <w:tcBorders>
              <w:top w:val="outset" w:sz="4" w:space="0" w:color="auto"/>
              <w:left w:val="outset" w:sz="4" w:space="0" w:color="auto"/>
              <w:bottom w:val="outset" w:sz="4" w:space="0" w:color="auto"/>
              <w:right w:val="outset" w:sz="4" w:space="0" w:color="auto"/>
            </w:tcBorders>
            <w:vAlign w:val="center"/>
          </w:tcPr>
          <w:p w14:paraId="3D0C7E8F" w14:textId="77777777" w:rsidR="005E000F" w:rsidRDefault="00000000">
            <w:pPr>
              <w:ind w:firstLineChars="100" w:firstLine="210"/>
            </w:pPr>
            <w:r>
              <w:rPr>
                <w:rFonts w:hint="eastAsia"/>
              </w:rPr>
              <w:t>分配股利、利润或偿付利息支付的现金</w:t>
            </w:r>
          </w:p>
        </w:tc>
        <w:tc>
          <w:tcPr>
            <w:tcW w:w="1567" w:type="dxa"/>
            <w:tcBorders>
              <w:top w:val="outset" w:sz="4" w:space="0" w:color="auto"/>
              <w:left w:val="outset" w:sz="4" w:space="0" w:color="auto"/>
              <w:bottom w:val="outset" w:sz="4" w:space="0" w:color="auto"/>
              <w:right w:val="outset" w:sz="4" w:space="0" w:color="auto"/>
            </w:tcBorders>
            <w:vAlign w:val="center"/>
          </w:tcPr>
          <w:p w14:paraId="23600267"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3548E3B7" w14:textId="77777777" w:rsidR="005E000F" w:rsidRDefault="00000000">
            <w:pPr>
              <w:jc w:val="right"/>
            </w:pPr>
            <w:r>
              <w:t>5,419,120,547</w:t>
            </w:r>
          </w:p>
        </w:tc>
        <w:tc>
          <w:tcPr>
            <w:tcW w:w="2168" w:type="dxa"/>
            <w:tcBorders>
              <w:top w:val="outset" w:sz="4" w:space="0" w:color="auto"/>
              <w:left w:val="outset" w:sz="4" w:space="0" w:color="auto"/>
              <w:bottom w:val="outset" w:sz="4" w:space="0" w:color="auto"/>
              <w:right w:val="outset" w:sz="4" w:space="0" w:color="auto"/>
            </w:tcBorders>
            <w:vAlign w:val="center"/>
          </w:tcPr>
          <w:p w14:paraId="4854A318" w14:textId="77777777" w:rsidR="005E000F" w:rsidRDefault="00000000">
            <w:pPr>
              <w:jc w:val="right"/>
            </w:pPr>
            <w:r>
              <w:t>10,552,093,927</w:t>
            </w:r>
          </w:p>
        </w:tc>
      </w:tr>
      <w:tr w:rsidR="005E000F" w14:paraId="0673BF66" w14:textId="77777777">
        <w:tc>
          <w:tcPr>
            <w:tcW w:w="3141" w:type="dxa"/>
            <w:tcBorders>
              <w:top w:val="outset" w:sz="4" w:space="0" w:color="auto"/>
              <w:left w:val="outset" w:sz="4" w:space="0" w:color="auto"/>
              <w:bottom w:val="outset" w:sz="4" w:space="0" w:color="auto"/>
              <w:right w:val="outset" w:sz="4" w:space="0" w:color="auto"/>
            </w:tcBorders>
            <w:vAlign w:val="center"/>
          </w:tcPr>
          <w:p w14:paraId="460BF686" w14:textId="77777777" w:rsidR="005E000F" w:rsidRDefault="00000000">
            <w:pPr>
              <w:ind w:firstLineChars="100" w:firstLine="210"/>
            </w:pPr>
            <w:r>
              <w:rPr>
                <w:rFonts w:hint="eastAsia"/>
              </w:rPr>
              <w:t>其中：子公司支付给少数股东的股利、利润</w:t>
            </w:r>
          </w:p>
        </w:tc>
        <w:tc>
          <w:tcPr>
            <w:tcW w:w="1567" w:type="dxa"/>
            <w:tcBorders>
              <w:top w:val="outset" w:sz="4" w:space="0" w:color="auto"/>
              <w:left w:val="outset" w:sz="4" w:space="0" w:color="auto"/>
              <w:bottom w:val="outset" w:sz="4" w:space="0" w:color="auto"/>
              <w:right w:val="outset" w:sz="4" w:space="0" w:color="auto"/>
            </w:tcBorders>
            <w:vAlign w:val="center"/>
          </w:tcPr>
          <w:p w14:paraId="53FD574F"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390B495E" w14:textId="77777777" w:rsidR="005E000F" w:rsidRDefault="00000000">
            <w:pPr>
              <w:jc w:val="right"/>
            </w:pPr>
            <w:r>
              <w:t>693,816,716</w:t>
            </w:r>
          </w:p>
        </w:tc>
        <w:tc>
          <w:tcPr>
            <w:tcW w:w="2168" w:type="dxa"/>
            <w:tcBorders>
              <w:top w:val="outset" w:sz="4" w:space="0" w:color="auto"/>
              <w:left w:val="outset" w:sz="4" w:space="0" w:color="auto"/>
              <w:bottom w:val="outset" w:sz="4" w:space="0" w:color="auto"/>
              <w:right w:val="outset" w:sz="4" w:space="0" w:color="auto"/>
            </w:tcBorders>
            <w:vAlign w:val="center"/>
          </w:tcPr>
          <w:p w14:paraId="010A628F" w14:textId="77777777" w:rsidR="005E000F" w:rsidRDefault="00000000">
            <w:pPr>
              <w:jc w:val="right"/>
            </w:pPr>
            <w:r>
              <w:t>722,235,866</w:t>
            </w:r>
          </w:p>
        </w:tc>
      </w:tr>
      <w:tr w:rsidR="005E000F" w14:paraId="1FC67D37" w14:textId="77777777">
        <w:tc>
          <w:tcPr>
            <w:tcW w:w="3141" w:type="dxa"/>
            <w:tcBorders>
              <w:top w:val="outset" w:sz="4" w:space="0" w:color="auto"/>
              <w:left w:val="outset" w:sz="4" w:space="0" w:color="auto"/>
              <w:bottom w:val="outset" w:sz="4" w:space="0" w:color="auto"/>
              <w:right w:val="outset" w:sz="4" w:space="0" w:color="auto"/>
            </w:tcBorders>
            <w:vAlign w:val="center"/>
          </w:tcPr>
          <w:p w14:paraId="21826F6B" w14:textId="77777777" w:rsidR="005E000F" w:rsidRDefault="00000000">
            <w:pPr>
              <w:ind w:firstLineChars="100" w:firstLine="210"/>
            </w:pPr>
            <w:r>
              <w:rPr>
                <w:rFonts w:hint="eastAsia"/>
              </w:rPr>
              <w:t>支付其他与筹资活动有关的现金</w:t>
            </w:r>
          </w:p>
        </w:tc>
        <w:tc>
          <w:tcPr>
            <w:tcW w:w="1567" w:type="dxa"/>
            <w:tcBorders>
              <w:top w:val="outset" w:sz="4" w:space="0" w:color="auto"/>
              <w:left w:val="outset" w:sz="4" w:space="0" w:color="auto"/>
              <w:bottom w:val="outset" w:sz="4" w:space="0" w:color="auto"/>
              <w:right w:val="outset" w:sz="4" w:space="0" w:color="auto"/>
            </w:tcBorders>
            <w:vAlign w:val="center"/>
          </w:tcPr>
          <w:p w14:paraId="23F92629" w14:textId="77777777" w:rsidR="005E000F" w:rsidRDefault="00000000">
            <w:r>
              <w:rPr>
                <w:rFonts w:hint="eastAsia"/>
              </w:rPr>
              <w:t>七、</w:t>
            </w:r>
            <w:r>
              <w:t>78</w:t>
            </w:r>
            <w:r>
              <w:rPr>
                <w:rFonts w:hint="eastAsia"/>
              </w:rPr>
              <w:t>（</w:t>
            </w:r>
            <w:r>
              <w:t>3</w:t>
            </w:r>
            <w:r>
              <w:rPr>
                <w:rFonts w:hint="eastAsia"/>
              </w:rPr>
              <w:t>）</w:t>
            </w:r>
          </w:p>
        </w:tc>
        <w:tc>
          <w:tcPr>
            <w:tcW w:w="2173" w:type="dxa"/>
            <w:tcBorders>
              <w:top w:val="outset" w:sz="4" w:space="0" w:color="auto"/>
              <w:left w:val="outset" w:sz="4" w:space="0" w:color="auto"/>
              <w:bottom w:val="outset" w:sz="4" w:space="0" w:color="auto"/>
              <w:right w:val="outset" w:sz="4" w:space="0" w:color="auto"/>
            </w:tcBorders>
            <w:vAlign w:val="center"/>
          </w:tcPr>
          <w:p w14:paraId="2839B59F" w14:textId="77777777" w:rsidR="005E000F" w:rsidRDefault="00000000">
            <w:pPr>
              <w:jc w:val="right"/>
            </w:pPr>
            <w:r>
              <w:t>477,164,750</w:t>
            </w:r>
          </w:p>
        </w:tc>
        <w:tc>
          <w:tcPr>
            <w:tcW w:w="2168" w:type="dxa"/>
            <w:tcBorders>
              <w:top w:val="outset" w:sz="4" w:space="0" w:color="auto"/>
              <w:left w:val="outset" w:sz="4" w:space="0" w:color="auto"/>
              <w:bottom w:val="outset" w:sz="4" w:space="0" w:color="auto"/>
              <w:right w:val="outset" w:sz="4" w:space="0" w:color="auto"/>
            </w:tcBorders>
            <w:vAlign w:val="center"/>
          </w:tcPr>
          <w:p w14:paraId="48F951DE" w14:textId="77777777" w:rsidR="005E000F" w:rsidRDefault="00000000">
            <w:pPr>
              <w:jc w:val="right"/>
            </w:pPr>
            <w:r>
              <w:t>59,323,947</w:t>
            </w:r>
          </w:p>
        </w:tc>
      </w:tr>
      <w:tr w:rsidR="005E000F" w14:paraId="45C885BC" w14:textId="77777777">
        <w:tc>
          <w:tcPr>
            <w:tcW w:w="3141" w:type="dxa"/>
            <w:tcBorders>
              <w:top w:val="outset" w:sz="4" w:space="0" w:color="auto"/>
              <w:left w:val="outset" w:sz="4" w:space="0" w:color="auto"/>
              <w:bottom w:val="outset" w:sz="4" w:space="0" w:color="auto"/>
              <w:right w:val="outset" w:sz="4" w:space="0" w:color="auto"/>
            </w:tcBorders>
            <w:vAlign w:val="center"/>
          </w:tcPr>
          <w:p w14:paraId="1CBE74C2" w14:textId="77777777" w:rsidR="005E000F" w:rsidRDefault="00000000">
            <w:pPr>
              <w:ind w:firstLineChars="200" w:firstLine="420"/>
              <w:rPr>
                <w:color w:val="000000"/>
              </w:rPr>
            </w:pPr>
            <w:r>
              <w:rPr>
                <w:rFonts w:hint="eastAsia"/>
              </w:rPr>
              <w:t>筹资活动现金流出小计</w:t>
            </w:r>
          </w:p>
        </w:tc>
        <w:tc>
          <w:tcPr>
            <w:tcW w:w="1567" w:type="dxa"/>
            <w:tcBorders>
              <w:top w:val="outset" w:sz="4" w:space="0" w:color="auto"/>
              <w:left w:val="outset" w:sz="4" w:space="0" w:color="auto"/>
              <w:bottom w:val="outset" w:sz="4" w:space="0" w:color="auto"/>
              <w:right w:val="outset" w:sz="4" w:space="0" w:color="auto"/>
            </w:tcBorders>
            <w:vAlign w:val="center"/>
          </w:tcPr>
          <w:p w14:paraId="5191FEC8"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68E8235C" w14:textId="77777777" w:rsidR="005E000F" w:rsidRDefault="00000000">
            <w:pPr>
              <w:jc w:val="right"/>
            </w:pPr>
            <w:r>
              <w:t>9,123,062,302</w:t>
            </w:r>
          </w:p>
        </w:tc>
        <w:tc>
          <w:tcPr>
            <w:tcW w:w="2168" w:type="dxa"/>
            <w:tcBorders>
              <w:top w:val="outset" w:sz="4" w:space="0" w:color="auto"/>
              <w:left w:val="outset" w:sz="4" w:space="0" w:color="auto"/>
              <w:bottom w:val="outset" w:sz="4" w:space="0" w:color="auto"/>
              <w:right w:val="outset" w:sz="4" w:space="0" w:color="auto"/>
            </w:tcBorders>
            <w:vAlign w:val="center"/>
          </w:tcPr>
          <w:p w14:paraId="2CA15F0F" w14:textId="77777777" w:rsidR="005E000F" w:rsidRDefault="00000000">
            <w:pPr>
              <w:jc w:val="right"/>
            </w:pPr>
            <w:r>
              <w:t>11,602,545,668</w:t>
            </w:r>
          </w:p>
        </w:tc>
      </w:tr>
      <w:tr w:rsidR="005E000F" w14:paraId="2EEA52AD" w14:textId="77777777">
        <w:tc>
          <w:tcPr>
            <w:tcW w:w="3141" w:type="dxa"/>
            <w:tcBorders>
              <w:top w:val="outset" w:sz="4" w:space="0" w:color="auto"/>
              <w:left w:val="outset" w:sz="4" w:space="0" w:color="auto"/>
              <w:bottom w:val="outset" w:sz="4" w:space="0" w:color="auto"/>
              <w:right w:val="outset" w:sz="4" w:space="0" w:color="auto"/>
            </w:tcBorders>
            <w:vAlign w:val="center"/>
          </w:tcPr>
          <w:p w14:paraId="38BF5B7C" w14:textId="77777777" w:rsidR="005E000F" w:rsidRDefault="00000000">
            <w:pPr>
              <w:ind w:firstLineChars="300" w:firstLine="630"/>
              <w:rPr>
                <w:color w:val="000000"/>
              </w:rPr>
            </w:pPr>
            <w:r>
              <w:rPr>
                <w:rFonts w:hint="eastAsia"/>
              </w:rPr>
              <w:t>筹资活动产生的现金流量净额</w:t>
            </w:r>
          </w:p>
        </w:tc>
        <w:tc>
          <w:tcPr>
            <w:tcW w:w="1567" w:type="dxa"/>
            <w:tcBorders>
              <w:top w:val="outset" w:sz="4" w:space="0" w:color="auto"/>
              <w:left w:val="outset" w:sz="4" w:space="0" w:color="auto"/>
              <w:bottom w:val="outset" w:sz="4" w:space="0" w:color="auto"/>
              <w:right w:val="outset" w:sz="4" w:space="0" w:color="auto"/>
            </w:tcBorders>
            <w:vAlign w:val="center"/>
          </w:tcPr>
          <w:p w14:paraId="202563E3"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5575CC03" w14:textId="77777777" w:rsidR="005E000F" w:rsidRDefault="00000000">
            <w:pPr>
              <w:jc w:val="right"/>
            </w:pPr>
            <w:r>
              <w:t>-5,460,743,402</w:t>
            </w:r>
          </w:p>
        </w:tc>
        <w:tc>
          <w:tcPr>
            <w:tcW w:w="2168" w:type="dxa"/>
            <w:tcBorders>
              <w:top w:val="outset" w:sz="4" w:space="0" w:color="auto"/>
              <w:left w:val="outset" w:sz="4" w:space="0" w:color="auto"/>
              <w:bottom w:val="outset" w:sz="4" w:space="0" w:color="auto"/>
              <w:right w:val="outset" w:sz="4" w:space="0" w:color="auto"/>
            </w:tcBorders>
            <w:vAlign w:val="center"/>
          </w:tcPr>
          <w:p w14:paraId="2320730C" w14:textId="77777777" w:rsidR="005E000F" w:rsidRDefault="00000000">
            <w:pPr>
              <w:jc w:val="right"/>
            </w:pPr>
            <w:r>
              <w:t>-10,515,249,706</w:t>
            </w:r>
          </w:p>
        </w:tc>
      </w:tr>
      <w:tr w:rsidR="005E000F" w14:paraId="711C663A" w14:textId="77777777">
        <w:tc>
          <w:tcPr>
            <w:tcW w:w="3141" w:type="dxa"/>
            <w:tcBorders>
              <w:top w:val="outset" w:sz="4" w:space="0" w:color="auto"/>
              <w:left w:val="outset" w:sz="4" w:space="0" w:color="auto"/>
              <w:bottom w:val="outset" w:sz="4" w:space="0" w:color="auto"/>
              <w:right w:val="outset" w:sz="4" w:space="0" w:color="auto"/>
            </w:tcBorders>
            <w:vAlign w:val="center"/>
          </w:tcPr>
          <w:p w14:paraId="6E727CFA" w14:textId="77777777" w:rsidR="005E000F" w:rsidRDefault="00000000">
            <w:pPr>
              <w:rPr>
                <w:color w:val="000000"/>
              </w:rPr>
            </w:pPr>
            <w:r>
              <w:rPr>
                <w:rFonts w:hint="eastAsia"/>
                <w:b/>
                <w:bCs/>
              </w:rPr>
              <w:t>四、汇率变动对现金及现金等价物的影响</w:t>
            </w:r>
          </w:p>
        </w:tc>
        <w:tc>
          <w:tcPr>
            <w:tcW w:w="1567" w:type="dxa"/>
            <w:tcBorders>
              <w:top w:val="outset" w:sz="4" w:space="0" w:color="auto"/>
              <w:left w:val="outset" w:sz="4" w:space="0" w:color="auto"/>
              <w:bottom w:val="outset" w:sz="4" w:space="0" w:color="auto"/>
              <w:right w:val="outset" w:sz="4" w:space="0" w:color="auto"/>
            </w:tcBorders>
            <w:vAlign w:val="center"/>
          </w:tcPr>
          <w:p w14:paraId="3931839F"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3B934DE4" w14:textId="77777777" w:rsidR="005E000F" w:rsidRDefault="00000000">
            <w:pPr>
              <w:jc w:val="right"/>
            </w:pPr>
            <w:r>
              <w:rPr>
                <w:rFonts w:hint="eastAsia"/>
              </w:rPr>
              <w:t>0</w:t>
            </w:r>
          </w:p>
        </w:tc>
        <w:tc>
          <w:tcPr>
            <w:tcW w:w="2168" w:type="dxa"/>
            <w:tcBorders>
              <w:top w:val="outset" w:sz="4" w:space="0" w:color="auto"/>
              <w:left w:val="outset" w:sz="4" w:space="0" w:color="auto"/>
              <w:bottom w:val="outset" w:sz="4" w:space="0" w:color="auto"/>
              <w:right w:val="outset" w:sz="4" w:space="0" w:color="auto"/>
            </w:tcBorders>
            <w:vAlign w:val="center"/>
          </w:tcPr>
          <w:p w14:paraId="1D200995" w14:textId="77777777" w:rsidR="005E000F" w:rsidRDefault="00000000">
            <w:pPr>
              <w:jc w:val="right"/>
            </w:pPr>
            <w:r>
              <w:t>0</w:t>
            </w:r>
          </w:p>
        </w:tc>
      </w:tr>
      <w:tr w:rsidR="005E000F" w14:paraId="01C81695" w14:textId="77777777">
        <w:tc>
          <w:tcPr>
            <w:tcW w:w="3141" w:type="dxa"/>
            <w:tcBorders>
              <w:top w:val="outset" w:sz="4" w:space="0" w:color="auto"/>
              <w:left w:val="outset" w:sz="4" w:space="0" w:color="auto"/>
              <w:bottom w:val="outset" w:sz="4" w:space="0" w:color="auto"/>
              <w:right w:val="outset" w:sz="4" w:space="0" w:color="auto"/>
            </w:tcBorders>
            <w:vAlign w:val="center"/>
          </w:tcPr>
          <w:p w14:paraId="698ABBC0" w14:textId="77777777" w:rsidR="005E000F" w:rsidRDefault="00000000">
            <w:pPr>
              <w:rPr>
                <w:color w:val="000000"/>
              </w:rPr>
            </w:pPr>
            <w:r>
              <w:rPr>
                <w:rFonts w:hint="eastAsia"/>
                <w:b/>
                <w:bCs/>
              </w:rPr>
              <w:t>五、现金及现金等价物净增加额</w:t>
            </w:r>
          </w:p>
        </w:tc>
        <w:tc>
          <w:tcPr>
            <w:tcW w:w="1567" w:type="dxa"/>
            <w:tcBorders>
              <w:top w:val="outset" w:sz="4" w:space="0" w:color="auto"/>
              <w:left w:val="outset" w:sz="4" w:space="0" w:color="auto"/>
              <w:bottom w:val="outset" w:sz="4" w:space="0" w:color="auto"/>
              <w:right w:val="outset" w:sz="4" w:space="0" w:color="auto"/>
            </w:tcBorders>
            <w:vAlign w:val="center"/>
          </w:tcPr>
          <w:p w14:paraId="0A51982F" w14:textId="77777777" w:rsidR="005E000F" w:rsidRDefault="00000000">
            <w:r>
              <w:rPr>
                <w:rFonts w:hint="eastAsia"/>
              </w:rPr>
              <w:t>七、</w:t>
            </w:r>
            <w:r>
              <w:t>79</w:t>
            </w:r>
            <w:r>
              <w:rPr>
                <w:rFonts w:hint="eastAsia"/>
              </w:rPr>
              <w:t>（</w:t>
            </w:r>
            <w:r>
              <w:t>1</w:t>
            </w:r>
            <w:r>
              <w:rPr>
                <w:rFonts w:hint="eastAsia"/>
              </w:rPr>
              <w:t>）</w:t>
            </w:r>
          </w:p>
        </w:tc>
        <w:tc>
          <w:tcPr>
            <w:tcW w:w="2173" w:type="dxa"/>
            <w:tcBorders>
              <w:top w:val="outset" w:sz="4" w:space="0" w:color="auto"/>
              <w:left w:val="outset" w:sz="4" w:space="0" w:color="auto"/>
              <w:bottom w:val="outset" w:sz="4" w:space="0" w:color="auto"/>
              <w:right w:val="outset" w:sz="4" w:space="0" w:color="auto"/>
            </w:tcBorders>
            <w:vAlign w:val="center"/>
          </w:tcPr>
          <w:p w14:paraId="7747F7F8" w14:textId="77777777" w:rsidR="005E000F" w:rsidRDefault="00000000">
            <w:pPr>
              <w:jc w:val="right"/>
            </w:pPr>
            <w:r>
              <w:t>-25,507,827,29</w:t>
            </w:r>
            <w:r>
              <w:rPr>
                <w:rFonts w:hint="eastAsia"/>
              </w:rPr>
              <w:t>2</w:t>
            </w:r>
          </w:p>
        </w:tc>
        <w:tc>
          <w:tcPr>
            <w:tcW w:w="2168" w:type="dxa"/>
            <w:tcBorders>
              <w:top w:val="outset" w:sz="4" w:space="0" w:color="auto"/>
              <w:left w:val="outset" w:sz="4" w:space="0" w:color="auto"/>
              <w:bottom w:val="outset" w:sz="4" w:space="0" w:color="auto"/>
              <w:right w:val="outset" w:sz="4" w:space="0" w:color="auto"/>
            </w:tcBorders>
            <w:vAlign w:val="center"/>
          </w:tcPr>
          <w:p w14:paraId="1F00EE71" w14:textId="77777777" w:rsidR="005E000F" w:rsidRDefault="00000000">
            <w:pPr>
              <w:jc w:val="right"/>
            </w:pPr>
            <w:r>
              <w:t>-5,973,767,503</w:t>
            </w:r>
          </w:p>
        </w:tc>
      </w:tr>
      <w:tr w:rsidR="005E000F" w14:paraId="4C6DFEDA" w14:textId="77777777">
        <w:tc>
          <w:tcPr>
            <w:tcW w:w="3141" w:type="dxa"/>
            <w:tcBorders>
              <w:top w:val="outset" w:sz="4" w:space="0" w:color="auto"/>
              <w:left w:val="outset" w:sz="4" w:space="0" w:color="auto"/>
              <w:bottom w:val="outset" w:sz="4" w:space="0" w:color="auto"/>
              <w:right w:val="outset" w:sz="4" w:space="0" w:color="auto"/>
            </w:tcBorders>
            <w:vAlign w:val="center"/>
          </w:tcPr>
          <w:p w14:paraId="74170813" w14:textId="77777777" w:rsidR="005E000F" w:rsidRDefault="00000000">
            <w:pPr>
              <w:ind w:firstLineChars="100" w:firstLine="210"/>
              <w:rPr>
                <w:color w:val="000000"/>
              </w:rPr>
            </w:pPr>
            <w:r>
              <w:rPr>
                <w:rFonts w:hint="eastAsia"/>
              </w:rPr>
              <w:t>加：期初现金及现金等价物余额</w:t>
            </w:r>
          </w:p>
        </w:tc>
        <w:tc>
          <w:tcPr>
            <w:tcW w:w="1567" w:type="dxa"/>
            <w:tcBorders>
              <w:top w:val="outset" w:sz="4" w:space="0" w:color="auto"/>
              <w:left w:val="outset" w:sz="4" w:space="0" w:color="auto"/>
              <w:bottom w:val="outset" w:sz="4" w:space="0" w:color="auto"/>
              <w:right w:val="outset" w:sz="4" w:space="0" w:color="auto"/>
            </w:tcBorders>
            <w:vAlign w:val="center"/>
          </w:tcPr>
          <w:p w14:paraId="329DB8B7" w14:textId="77777777" w:rsidR="005E000F" w:rsidRDefault="005E000F"/>
        </w:tc>
        <w:tc>
          <w:tcPr>
            <w:tcW w:w="2173" w:type="dxa"/>
            <w:tcBorders>
              <w:top w:val="outset" w:sz="4" w:space="0" w:color="auto"/>
              <w:left w:val="outset" w:sz="4" w:space="0" w:color="auto"/>
              <w:bottom w:val="outset" w:sz="4" w:space="0" w:color="auto"/>
              <w:right w:val="outset" w:sz="4" w:space="0" w:color="auto"/>
            </w:tcBorders>
            <w:vAlign w:val="center"/>
          </w:tcPr>
          <w:p w14:paraId="67C41FF7" w14:textId="77777777" w:rsidR="005E000F" w:rsidRDefault="00000000">
            <w:pPr>
              <w:jc w:val="right"/>
            </w:pPr>
            <w:r>
              <w:t>61,341,834,375</w:t>
            </w:r>
          </w:p>
        </w:tc>
        <w:tc>
          <w:tcPr>
            <w:tcW w:w="2168" w:type="dxa"/>
            <w:tcBorders>
              <w:top w:val="outset" w:sz="4" w:space="0" w:color="auto"/>
              <w:left w:val="outset" w:sz="4" w:space="0" w:color="auto"/>
              <w:bottom w:val="outset" w:sz="4" w:space="0" w:color="auto"/>
              <w:right w:val="outset" w:sz="4" w:space="0" w:color="auto"/>
            </w:tcBorders>
            <w:vAlign w:val="center"/>
          </w:tcPr>
          <w:p w14:paraId="6A0B3E9D" w14:textId="77777777" w:rsidR="005E000F" w:rsidRDefault="00000000">
            <w:pPr>
              <w:jc w:val="right"/>
            </w:pPr>
            <w:r>
              <w:t>67,315,601,878</w:t>
            </w:r>
          </w:p>
        </w:tc>
      </w:tr>
      <w:tr w:rsidR="005E000F" w14:paraId="20BAD471" w14:textId="77777777">
        <w:tc>
          <w:tcPr>
            <w:tcW w:w="3141" w:type="dxa"/>
            <w:tcBorders>
              <w:top w:val="outset" w:sz="4" w:space="0" w:color="auto"/>
              <w:left w:val="outset" w:sz="4" w:space="0" w:color="auto"/>
              <w:bottom w:val="outset" w:sz="4" w:space="0" w:color="auto"/>
              <w:right w:val="outset" w:sz="4" w:space="0" w:color="auto"/>
            </w:tcBorders>
            <w:vAlign w:val="center"/>
          </w:tcPr>
          <w:p w14:paraId="32D6C7AA" w14:textId="77777777" w:rsidR="005E000F" w:rsidRDefault="00000000">
            <w:pPr>
              <w:rPr>
                <w:color w:val="000000"/>
              </w:rPr>
            </w:pPr>
            <w:r>
              <w:rPr>
                <w:rFonts w:hint="eastAsia"/>
                <w:b/>
                <w:bCs/>
              </w:rPr>
              <w:t>六、期末现金及现金等价物余额</w:t>
            </w:r>
          </w:p>
        </w:tc>
        <w:tc>
          <w:tcPr>
            <w:tcW w:w="1567" w:type="dxa"/>
            <w:tcBorders>
              <w:top w:val="outset" w:sz="4" w:space="0" w:color="auto"/>
              <w:left w:val="outset" w:sz="4" w:space="0" w:color="auto"/>
              <w:bottom w:val="outset" w:sz="4" w:space="0" w:color="auto"/>
              <w:right w:val="outset" w:sz="4" w:space="0" w:color="auto"/>
            </w:tcBorders>
            <w:vAlign w:val="center"/>
          </w:tcPr>
          <w:p w14:paraId="74B68FC2" w14:textId="77777777" w:rsidR="005E000F" w:rsidRDefault="00000000">
            <w:r>
              <w:rPr>
                <w:rFonts w:hint="eastAsia"/>
              </w:rPr>
              <w:t>七、</w:t>
            </w:r>
            <w:r>
              <w:t>79</w:t>
            </w:r>
            <w:r>
              <w:rPr>
                <w:rFonts w:hint="eastAsia"/>
              </w:rPr>
              <w:t>（</w:t>
            </w:r>
            <w:r>
              <w:t>4</w:t>
            </w:r>
            <w:r>
              <w:rPr>
                <w:rFonts w:hint="eastAsia"/>
              </w:rPr>
              <w:t>）</w:t>
            </w:r>
          </w:p>
        </w:tc>
        <w:tc>
          <w:tcPr>
            <w:tcW w:w="2173" w:type="dxa"/>
            <w:tcBorders>
              <w:top w:val="outset" w:sz="4" w:space="0" w:color="auto"/>
              <w:left w:val="outset" w:sz="4" w:space="0" w:color="auto"/>
              <w:bottom w:val="outset" w:sz="4" w:space="0" w:color="auto"/>
              <w:right w:val="outset" w:sz="4" w:space="0" w:color="auto"/>
            </w:tcBorders>
            <w:vAlign w:val="center"/>
          </w:tcPr>
          <w:p w14:paraId="1AB5FEDD" w14:textId="77777777" w:rsidR="005E000F" w:rsidRDefault="00000000">
            <w:pPr>
              <w:jc w:val="right"/>
            </w:pPr>
            <w:r>
              <w:t>35,834,007,08</w:t>
            </w:r>
            <w:r>
              <w:rPr>
                <w:rFonts w:hint="eastAsia"/>
              </w:rPr>
              <w:t>3</w:t>
            </w:r>
          </w:p>
        </w:tc>
        <w:tc>
          <w:tcPr>
            <w:tcW w:w="2168" w:type="dxa"/>
            <w:tcBorders>
              <w:top w:val="outset" w:sz="4" w:space="0" w:color="auto"/>
              <w:left w:val="outset" w:sz="4" w:space="0" w:color="auto"/>
              <w:bottom w:val="outset" w:sz="4" w:space="0" w:color="auto"/>
              <w:right w:val="outset" w:sz="4" w:space="0" w:color="auto"/>
            </w:tcBorders>
            <w:vAlign w:val="center"/>
          </w:tcPr>
          <w:p w14:paraId="52FF21A7" w14:textId="77777777" w:rsidR="005E000F" w:rsidRDefault="00000000">
            <w:pPr>
              <w:jc w:val="right"/>
            </w:pPr>
            <w:r>
              <w:t>61,341,834,375</w:t>
            </w:r>
          </w:p>
        </w:tc>
      </w:tr>
    </w:tbl>
    <w:p w14:paraId="3A74C58C" w14:textId="77777777" w:rsidR="005E000F" w:rsidRDefault="005E000F"/>
    <w:p w14:paraId="2CCB652D" w14:textId="77777777" w:rsidR="005E000F" w:rsidRDefault="00000000">
      <w:pPr>
        <w:snapToGrid w:val="0"/>
        <w:spacing w:line="240" w:lineRule="atLeast"/>
        <w:ind w:rightChars="12" w:right="25"/>
        <w:rPr>
          <w:b/>
          <w:bCs/>
          <w:color w:val="FF0000"/>
        </w:rPr>
      </w:pPr>
      <w:r>
        <w:rPr>
          <w:rFonts w:hint="eastAsia"/>
        </w:rPr>
        <w:t>公司负责</w:t>
      </w:r>
      <w:r>
        <w:t>人</w:t>
      </w:r>
      <w:r>
        <w:rPr>
          <w:rFonts w:hint="eastAsia"/>
        </w:rPr>
        <w:t>：</w:t>
      </w:r>
      <w:sdt>
        <w:sdtPr>
          <w:rPr>
            <w:rFonts w:hint="eastAsia"/>
          </w:rPr>
          <w:alias w:val="公司负责人姓名"/>
          <w:tag w:val="_GBC_d1f7cb193ab444ff8482a06aad12f0db"/>
          <w:id w:val="1582958128"/>
          <w:placeholder>
            <w:docPart w:val="GBC22222222222222222222222222222"/>
          </w:placeholder>
          <w:dataBinding w:prefixMappings="xmlns:clcid-mr='clcid-mr'" w:xpath="/*/clcid-mr:GongSiFuZeRenXingMing[not(@periodRef)]" w:storeItemID="{89EBAB94-44A0-46A2-B712-30D997D04A6D}"/>
          <w:text/>
        </w:sdtPr>
        <w:sdtContent>
          <w:proofErr w:type="gramStart"/>
          <w:r>
            <w:rPr>
              <w:rFonts w:hint="eastAsia"/>
            </w:rPr>
            <w:t>陆勇</w:t>
          </w:r>
          <w:proofErr w:type="gramEnd"/>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45110b4746914613a7aad68cef7b1bed"/>
          <w:id w:val="-1672935768"/>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e7d70223996e482d9871cfff87704452"/>
          <w:id w:val="-1319030378"/>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孔韶鹏</w:t>
          </w:r>
        </w:sdtContent>
      </w:sdt>
    </w:p>
    <w:p w14:paraId="11F5369C" w14:textId="77777777" w:rsidR="005E000F" w:rsidRDefault="005E000F"/>
    <w:p w14:paraId="073CA830" w14:textId="77777777" w:rsidR="005E000F" w:rsidRDefault="005E000F">
      <w:pPr>
        <w:jc w:val="center"/>
        <w:rPr>
          <w:b/>
          <w:bCs/>
        </w:rPr>
      </w:pPr>
    </w:p>
    <w:p w14:paraId="3D0CDEAD" w14:textId="77777777" w:rsidR="005E000F" w:rsidRDefault="00000000">
      <w:pPr>
        <w:jc w:val="center"/>
        <w:outlineLvl w:val="2"/>
        <w:rPr>
          <w:b/>
          <w:bCs/>
        </w:rPr>
      </w:pPr>
      <w:r>
        <w:rPr>
          <w:rFonts w:hint="eastAsia"/>
          <w:b/>
          <w:bCs/>
        </w:rPr>
        <w:t>母公司</w:t>
      </w:r>
      <w:r>
        <w:rPr>
          <w:b/>
          <w:bCs/>
        </w:rPr>
        <w:t>现金流量表</w:t>
      </w:r>
    </w:p>
    <w:p w14:paraId="31C77741" w14:textId="77777777" w:rsidR="005E000F" w:rsidRDefault="00000000">
      <w:pPr>
        <w:jc w:val="center"/>
        <w:rPr>
          <w:b/>
          <w:bCs/>
        </w:rPr>
      </w:pPr>
      <w:r>
        <w:t>2025</w:t>
      </w:r>
      <w:r>
        <w:t>年</w:t>
      </w:r>
      <w:r>
        <w:rPr>
          <w:rFonts w:hint="eastAsia"/>
        </w:rPr>
        <w:t>1</w:t>
      </w:r>
      <w:r>
        <w:rPr>
          <w:rFonts w:hint="eastAsia"/>
        </w:rPr>
        <w:t>—</w:t>
      </w:r>
      <w:r>
        <w:rPr>
          <w:rFonts w:hint="eastAsia"/>
        </w:rPr>
        <w:t>12</w:t>
      </w:r>
      <w:r>
        <w:t>月</w:t>
      </w:r>
    </w:p>
    <w:p w14:paraId="4C36BB60" w14:textId="77777777" w:rsidR="005E000F" w:rsidRDefault="00000000">
      <w:pPr>
        <w:jc w:val="right"/>
      </w:pPr>
      <w:r>
        <w:t>单位</w:t>
      </w:r>
      <w:r>
        <w:rPr>
          <w:rFonts w:hint="eastAsia"/>
        </w:rPr>
        <w:t>：</w:t>
      </w:r>
      <w:sdt>
        <w:sdtPr>
          <w:alias w:val="单位：母公司现金流量表"/>
          <w:tag w:val="_GBC_993ead81b27a41dfaccaacfaec8b7c78"/>
          <w:id w:val="-15709523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w:t>
      </w:r>
      <w:r>
        <w:t>币种</w:t>
      </w:r>
      <w:r>
        <w:rPr>
          <w:rFonts w:hint="eastAsia"/>
        </w:rPr>
        <w:t>：</w:t>
      </w:r>
      <w:sdt>
        <w:sdtPr>
          <w:alias w:val="币种：母公司现金流量表"/>
          <w:tag w:val="_GBC_2dd4b706d0a244a4b4c21166025356cc"/>
          <w:id w:val="13913020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145"/>
        <w:gridCol w:w="1569"/>
        <w:gridCol w:w="2171"/>
        <w:gridCol w:w="2164"/>
      </w:tblGrid>
      <w:tr w:rsidR="005E000F" w14:paraId="12797B37" w14:textId="77777777">
        <w:tc>
          <w:tcPr>
            <w:tcW w:w="3145" w:type="dxa"/>
            <w:tcBorders>
              <w:top w:val="outset" w:sz="4" w:space="0" w:color="auto"/>
              <w:left w:val="outset" w:sz="4" w:space="0" w:color="auto"/>
              <w:bottom w:val="outset" w:sz="4" w:space="0" w:color="auto"/>
              <w:right w:val="outset" w:sz="4" w:space="0" w:color="auto"/>
            </w:tcBorders>
            <w:vAlign w:val="center"/>
          </w:tcPr>
          <w:sdt>
            <w:sdtPr>
              <w:tag w:val="_PLD_fa8a4a4fe8df4f0086d4a3f59744ef0c"/>
              <w:id w:val="-1604650706"/>
            </w:sdtPr>
            <w:sdtContent>
              <w:p w14:paraId="6ABF25A4" w14:textId="77777777" w:rsidR="005E000F" w:rsidRDefault="00000000">
                <w:pPr>
                  <w:jc w:val="center"/>
                  <w:rPr>
                    <w:b/>
                  </w:rPr>
                </w:pPr>
                <w:r>
                  <w:rPr>
                    <w:rFonts w:hint="eastAsia"/>
                    <w:b/>
                  </w:rPr>
                  <w:t>项目</w:t>
                </w:r>
              </w:p>
            </w:sdtContent>
          </w:sdt>
        </w:tc>
        <w:tc>
          <w:tcPr>
            <w:tcW w:w="1569" w:type="dxa"/>
            <w:tcBorders>
              <w:top w:val="outset" w:sz="4" w:space="0" w:color="auto"/>
              <w:left w:val="outset" w:sz="4" w:space="0" w:color="auto"/>
              <w:bottom w:val="outset" w:sz="4" w:space="0" w:color="auto"/>
              <w:right w:val="outset" w:sz="4" w:space="0" w:color="auto"/>
            </w:tcBorders>
            <w:vAlign w:val="center"/>
          </w:tcPr>
          <w:sdt>
            <w:sdtPr>
              <w:tag w:val="_PLD_e2b9d4cf46994f4f99a9560554670b54"/>
              <w:id w:val="-1246570206"/>
            </w:sdtPr>
            <w:sdtContent>
              <w:p w14:paraId="421407A1" w14:textId="77777777" w:rsidR="005E000F" w:rsidRDefault="00000000">
                <w:pPr>
                  <w:autoSpaceDE w:val="0"/>
                  <w:autoSpaceDN w:val="0"/>
                  <w:adjustRightInd w:val="0"/>
                  <w:jc w:val="center"/>
                  <w:rPr>
                    <w:b/>
                  </w:rPr>
                </w:pPr>
                <w:r>
                  <w:rPr>
                    <w:rFonts w:hint="eastAsia"/>
                    <w:b/>
                  </w:rPr>
                  <w:t>附注</w:t>
                </w:r>
              </w:p>
            </w:sdtContent>
          </w:sdt>
        </w:tc>
        <w:tc>
          <w:tcPr>
            <w:tcW w:w="2171" w:type="dxa"/>
            <w:tcBorders>
              <w:top w:val="outset" w:sz="4" w:space="0" w:color="auto"/>
              <w:left w:val="outset" w:sz="4" w:space="0" w:color="auto"/>
              <w:bottom w:val="outset" w:sz="4" w:space="0" w:color="auto"/>
              <w:right w:val="outset" w:sz="4" w:space="0" w:color="auto"/>
            </w:tcBorders>
            <w:vAlign w:val="center"/>
          </w:tcPr>
          <w:sdt>
            <w:sdtPr>
              <w:tag w:val="_PLD_a5e1076b6ae14d71abde0e9180405588"/>
              <w:id w:val="1156035841"/>
            </w:sdtPr>
            <w:sdtContent>
              <w:p w14:paraId="1575796B" w14:textId="77777777" w:rsidR="005E000F" w:rsidRDefault="00000000">
                <w:pPr>
                  <w:autoSpaceDE w:val="0"/>
                  <w:autoSpaceDN w:val="0"/>
                  <w:adjustRightInd w:val="0"/>
                  <w:jc w:val="center"/>
                  <w:rPr>
                    <w:b/>
                  </w:rPr>
                </w:pPr>
                <w:r>
                  <w:rPr>
                    <w:rFonts w:hint="eastAsia"/>
                    <w:b/>
                  </w:rPr>
                  <w:t>2025</w:t>
                </w:r>
                <w:r>
                  <w:rPr>
                    <w:rFonts w:hint="eastAsia"/>
                    <w:b/>
                  </w:rPr>
                  <w:t>年度</w:t>
                </w:r>
              </w:p>
            </w:sdtContent>
          </w:sdt>
        </w:tc>
        <w:tc>
          <w:tcPr>
            <w:tcW w:w="2164" w:type="dxa"/>
            <w:tcBorders>
              <w:top w:val="outset" w:sz="4" w:space="0" w:color="auto"/>
              <w:left w:val="outset" w:sz="4" w:space="0" w:color="auto"/>
              <w:bottom w:val="outset" w:sz="4" w:space="0" w:color="auto"/>
              <w:right w:val="outset" w:sz="4" w:space="0" w:color="auto"/>
            </w:tcBorders>
            <w:vAlign w:val="center"/>
          </w:tcPr>
          <w:sdt>
            <w:sdtPr>
              <w:tag w:val="_PLD_9f1994ac47d2487c870c64df42698a51"/>
              <w:id w:val="980341219"/>
            </w:sdtPr>
            <w:sdtContent>
              <w:p w14:paraId="56BFADC0" w14:textId="77777777" w:rsidR="005E000F" w:rsidRDefault="00000000">
                <w:pPr>
                  <w:autoSpaceDE w:val="0"/>
                  <w:autoSpaceDN w:val="0"/>
                  <w:adjustRightInd w:val="0"/>
                  <w:jc w:val="center"/>
                  <w:rPr>
                    <w:b/>
                  </w:rPr>
                </w:pPr>
                <w:r>
                  <w:rPr>
                    <w:rFonts w:hint="eastAsia"/>
                    <w:b/>
                  </w:rPr>
                  <w:t>2024</w:t>
                </w:r>
                <w:r>
                  <w:rPr>
                    <w:rFonts w:hint="eastAsia"/>
                    <w:b/>
                  </w:rPr>
                  <w:t>年度</w:t>
                </w:r>
              </w:p>
            </w:sdtContent>
          </w:sdt>
        </w:tc>
      </w:tr>
      <w:tr w:rsidR="005E000F" w14:paraId="0485309C" w14:textId="77777777">
        <w:sdt>
          <w:sdtPr>
            <w:tag w:val="_PLD_d5384e7a1c2841c78793ee2e647fdb97"/>
            <w:id w:val="1692490632"/>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5978A600" w14:textId="77777777" w:rsidR="005E000F" w:rsidRDefault="00000000">
                <w:r>
                  <w:rPr>
                    <w:rFonts w:hint="eastAsia"/>
                    <w:b/>
                    <w:bCs/>
                  </w:rPr>
                  <w:t>一、经营活动产生的现金流量：</w:t>
                </w:r>
              </w:p>
            </w:tc>
          </w:sdtContent>
        </w:sdt>
      </w:tr>
      <w:tr w:rsidR="005E000F" w14:paraId="17C24F1B" w14:textId="77777777">
        <w:tc>
          <w:tcPr>
            <w:tcW w:w="3145" w:type="dxa"/>
            <w:tcBorders>
              <w:top w:val="outset" w:sz="4" w:space="0" w:color="auto"/>
              <w:left w:val="outset" w:sz="4" w:space="0" w:color="auto"/>
              <w:bottom w:val="outset" w:sz="4" w:space="0" w:color="auto"/>
              <w:right w:val="outset" w:sz="4" w:space="0" w:color="auto"/>
            </w:tcBorders>
            <w:vAlign w:val="center"/>
          </w:tcPr>
          <w:p w14:paraId="04A685A6" w14:textId="77777777" w:rsidR="005E000F" w:rsidRDefault="00000000">
            <w:pPr>
              <w:ind w:firstLineChars="100" w:firstLine="210"/>
              <w:rPr>
                <w:color w:val="000000"/>
              </w:rPr>
            </w:pPr>
            <w:r>
              <w:rPr>
                <w:rFonts w:hint="eastAsia"/>
              </w:rPr>
              <w:t>销售商品、提供劳务收到的现金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0361F4E5"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5FFCA285" w14:textId="77777777" w:rsidR="005E000F" w:rsidRDefault="00000000">
            <w:pPr>
              <w:jc w:val="right"/>
            </w:pPr>
            <w:r>
              <w:t>41,065,816,149</w:t>
            </w:r>
          </w:p>
        </w:tc>
        <w:tc>
          <w:tcPr>
            <w:tcW w:w="2164" w:type="dxa"/>
            <w:tcBorders>
              <w:top w:val="outset" w:sz="4" w:space="0" w:color="auto"/>
              <w:left w:val="outset" w:sz="4" w:space="0" w:color="auto"/>
              <w:bottom w:val="outset" w:sz="4" w:space="0" w:color="auto"/>
              <w:right w:val="outset" w:sz="4" w:space="0" w:color="auto"/>
            </w:tcBorders>
            <w:vAlign w:val="center"/>
          </w:tcPr>
          <w:p w14:paraId="79F3C465" w14:textId="77777777" w:rsidR="005E000F" w:rsidRDefault="00000000">
            <w:pPr>
              <w:jc w:val="right"/>
            </w:pPr>
            <w:r>
              <w:t>41,990,697,324</w:t>
            </w:r>
          </w:p>
        </w:tc>
      </w:tr>
      <w:tr w:rsidR="005E000F" w14:paraId="65D51BFA" w14:textId="77777777">
        <w:tc>
          <w:tcPr>
            <w:tcW w:w="3145" w:type="dxa"/>
            <w:tcBorders>
              <w:top w:val="outset" w:sz="4" w:space="0" w:color="auto"/>
              <w:left w:val="outset" w:sz="4" w:space="0" w:color="auto"/>
              <w:bottom w:val="outset" w:sz="4" w:space="0" w:color="auto"/>
              <w:right w:val="outset" w:sz="4" w:space="0" w:color="auto"/>
            </w:tcBorders>
            <w:vAlign w:val="center"/>
          </w:tcPr>
          <w:p w14:paraId="14616E64" w14:textId="77777777" w:rsidR="005E000F" w:rsidRDefault="00000000">
            <w:pPr>
              <w:ind w:firstLineChars="100" w:firstLine="210"/>
              <w:rPr>
                <w:color w:val="000000"/>
              </w:rPr>
            </w:pPr>
            <w:r>
              <w:rPr>
                <w:rFonts w:hint="eastAsia"/>
              </w:rPr>
              <w:t>收到的税费返还</w:t>
            </w:r>
          </w:p>
        </w:tc>
        <w:tc>
          <w:tcPr>
            <w:tcW w:w="1569" w:type="dxa"/>
            <w:tcBorders>
              <w:top w:val="outset" w:sz="4" w:space="0" w:color="auto"/>
              <w:left w:val="outset" w:sz="4" w:space="0" w:color="auto"/>
              <w:bottom w:val="outset" w:sz="4" w:space="0" w:color="auto"/>
              <w:right w:val="outset" w:sz="4" w:space="0" w:color="auto"/>
            </w:tcBorders>
            <w:vAlign w:val="center"/>
          </w:tcPr>
          <w:p w14:paraId="78D4B2EA"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12E0AAE1" w14:textId="77777777" w:rsidR="005E000F" w:rsidRDefault="00000000">
            <w:pPr>
              <w:jc w:val="right"/>
            </w:pPr>
            <w:r>
              <w:rPr>
                <w:rFonts w:hint="eastAsia"/>
              </w:rPr>
              <w:t>0</w:t>
            </w:r>
          </w:p>
        </w:tc>
        <w:tc>
          <w:tcPr>
            <w:tcW w:w="2164" w:type="dxa"/>
            <w:tcBorders>
              <w:top w:val="outset" w:sz="4" w:space="0" w:color="auto"/>
              <w:left w:val="outset" w:sz="4" w:space="0" w:color="auto"/>
              <w:bottom w:val="outset" w:sz="4" w:space="0" w:color="auto"/>
              <w:right w:val="outset" w:sz="4" w:space="0" w:color="auto"/>
            </w:tcBorders>
            <w:vAlign w:val="center"/>
          </w:tcPr>
          <w:p w14:paraId="5008348E" w14:textId="77777777" w:rsidR="005E000F" w:rsidRDefault="00000000">
            <w:pPr>
              <w:jc w:val="right"/>
            </w:pPr>
            <w:r>
              <w:t>0</w:t>
            </w:r>
          </w:p>
        </w:tc>
      </w:tr>
      <w:tr w:rsidR="005E000F" w14:paraId="10E0B1C2" w14:textId="77777777">
        <w:tc>
          <w:tcPr>
            <w:tcW w:w="3145" w:type="dxa"/>
            <w:tcBorders>
              <w:top w:val="outset" w:sz="4" w:space="0" w:color="auto"/>
              <w:left w:val="outset" w:sz="4" w:space="0" w:color="auto"/>
              <w:bottom w:val="outset" w:sz="4" w:space="0" w:color="auto"/>
              <w:right w:val="outset" w:sz="4" w:space="0" w:color="auto"/>
            </w:tcBorders>
            <w:vAlign w:val="center"/>
          </w:tcPr>
          <w:p w14:paraId="3B9F3158" w14:textId="77777777" w:rsidR="005E000F" w:rsidRDefault="00000000">
            <w:pPr>
              <w:ind w:firstLineChars="100" w:firstLine="210"/>
              <w:rPr>
                <w:color w:val="000000"/>
              </w:rPr>
            </w:pPr>
            <w:r>
              <w:rPr>
                <w:rFonts w:hint="eastAsia"/>
              </w:rPr>
              <w:t>收到其他与经营活动有关的现金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6534C98B"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3524CBC3" w14:textId="77777777" w:rsidR="005E000F" w:rsidRDefault="00000000">
            <w:pPr>
              <w:jc w:val="right"/>
            </w:pPr>
            <w:r>
              <w:t>158,322,385</w:t>
            </w:r>
          </w:p>
        </w:tc>
        <w:tc>
          <w:tcPr>
            <w:tcW w:w="2164" w:type="dxa"/>
            <w:tcBorders>
              <w:top w:val="outset" w:sz="4" w:space="0" w:color="auto"/>
              <w:left w:val="outset" w:sz="4" w:space="0" w:color="auto"/>
              <w:bottom w:val="outset" w:sz="4" w:space="0" w:color="auto"/>
              <w:right w:val="outset" w:sz="4" w:space="0" w:color="auto"/>
            </w:tcBorders>
            <w:vAlign w:val="center"/>
          </w:tcPr>
          <w:p w14:paraId="5FA9D1C1" w14:textId="77777777" w:rsidR="005E000F" w:rsidRDefault="00000000">
            <w:pPr>
              <w:jc w:val="right"/>
            </w:pPr>
            <w:r>
              <w:t>111,444,211</w:t>
            </w:r>
          </w:p>
        </w:tc>
      </w:tr>
      <w:tr w:rsidR="005E000F" w14:paraId="1040A278" w14:textId="77777777">
        <w:tc>
          <w:tcPr>
            <w:tcW w:w="3145" w:type="dxa"/>
            <w:tcBorders>
              <w:top w:val="outset" w:sz="4" w:space="0" w:color="auto"/>
              <w:left w:val="outset" w:sz="4" w:space="0" w:color="auto"/>
              <w:bottom w:val="outset" w:sz="4" w:space="0" w:color="auto"/>
              <w:right w:val="outset" w:sz="4" w:space="0" w:color="auto"/>
            </w:tcBorders>
            <w:vAlign w:val="center"/>
          </w:tcPr>
          <w:p w14:paraId="17100E62" w14:textId="77777777" w:rsidR="005E000F" w:rsidRDefault="00000000">
            <w:pPr>
              <w:ind w:firstLineChars="200" w:firstLine="420"/>
              <w:rPr>
                <w:color w:val="000000"/>
              </w:rPr>
            </w:pPr>
            <w:r>
              <w:rPr>
                <w:rFonts w:hint="eastAsia"/>
              </w:rPr>
              <w:t>经营活动现金流入小计</w:t>
            </w:r>
          </w:p>
        </w:tc>
        <w:tc>
          <w:tcPr>
            <w:tcW w:w="1569" w:type="dxa"/>
            <w:tcBorders>
              <w:top w:val="outset" w:sz="4" w:space="0" w:color="auto"/>
              <w:left w:val="outset" w:sz="4" w:space="0" w:color="auto"/>
              <w:bottom w:val="outset" w:sz="4" w:space="0" w:color="auto"/>
              <w:right w:val="outset" w:sz="4" w:space="0" w:color="auto"/>
            </w:tcBorders>
            <w:vAlign w:val="center"/>
          </w:tcPr>
          <w:p w14:paraId="5E049433"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70B6571E" w14:textId="77777777" w:rsidR="005E000F" w:rsidRDefault="00000000">
            <w:pPr>
              <w:jc w:val="right"/>
            </w:pPr>
            <w:r>
              <w:t>41,224,138,534</w:t>
            </w:r>
          </w:p>
        </w:tc>
        <w:tc>
          <w:tcPr>
            <w:tcW w:w="2164" w:type="dxa"/>
            <w:tcBorders>
              <w:top w:val="outset" w:sz="4" w:space="0" w:color="auto"/>
              <w:left w:val="outset" w:sz="4" w:space="0" w:color="auto"/>
              <w:bottom w:val="outset" w:sz="4" w:space="0" w:color="auto"/>
              <w:right w:val="outset" w:sz="4" w:space="0" w:color="auto"/>
            </w:tcBorders>
            <w:vAlign w:val="center"/>
          </w:tcPr>
          <w:p w14:paraId="1E391E00" w14:textId="77777777" w:rsidR="005E000F" w:rsidRDefault="00000000">
            <w:pPr>
              <w:jc w:val="right"/>
            </w:pPr>
            <w:r>
              <w:t>42,102,141,535</w:t>
            </w:r>
          </w:p>
        </w:tc>
      </w:tr>
      <w:tr w:rsidR="005E000F" w14:paraId="14BAFFBA" w14:textId="77777777">
        <w:tc>
          <w:tcPr>
            <w:tcW w:w="3145" w:type="dxa"/>
            <w:tcBorders>
              <w:top w:val="outset" w:sz="4" w:space="0" w:color="auto"/>
              <w:left w:val="outset" w:sz="4" w:space="0" w:color="auto"/>
              <w:bottom w:val="outset" w:sz="4" w:space="0" w:color="auto"/>
              <w:right w:val="outset" w:sz="4" w:space="0" w:color="auto"/>
            </w:tcBorders>
            <w:vAlign w:val="center"/>
          </w:tcPr>
          <w:p w14:paraId="1AA59F7A" w14:textId="77777777" w:rsidR="005E000F" w:rsidRDefault="00000000">
            <w:pPr>
              <w:ind w:firstLineChars="100" w:firstLine="210"/>
            </w:pPr>
            <w:r>
              <w:rPr>
                <w:rFonts w:hint="eastAsia"/>
              </w:rPr>
              <w:lastRenderedPageBreak/>
              <w:t>购买商品、接受劳务支付的现金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5EE3C28A"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62AB2350" w14:textId="77777777" w:rsidR="005E000F" w:rsidRDefault="00000000">
            <w:pPr>
              <w:jc w:val="right"/>
            </w:pPr>
            <w:r>
              <w:t>8,853,199,537</w:t>
            </w:r>
          </w:p>
        </w:tc>
        <w:tc>
          <w:tcPr>
            <w:tcW w:w="2164" w:type="dxa"/>
            <w:tcBorders>
              <w:top w:val="outset" w:sz="4" w:space="0" w:color="auto"/>
              <w:left w:val="outset" w:sz="4" w:space="0" w:color="auto"/>
              <w:bottom w:val="outset" w:sz="4" w:space="0" w:color="auto"/>
              <w:right w:val="outset" w:sz="4" w:space="0" w:color="auto"/>
            </w:tcBorders>
            <w:vAlign w:val="center"/>
          </w:tcPr>
          <w:p w14:paraId="5A76A594" w14:textId="77777777" w:rsidR="005E000F" w:rsidRDefault="00000000">
            <w:pPr>
              <w:jc w:val="right"/>
            </w:pPr>
            <w:r>
              <w:t>6,448,614,681</w:t>
            </w:r>
          </w:p>
        </w:tc>
      </w:tr>
      <w:tr w:rsidR="005E000F" w14:paraId="0F52C49E" w14:textId="77777777">
        <w:tc>
          <w:tcPr>
            <w:tcW w:w="3145" w:type="dxa"/>
            <w:tcBorders>
              <w:top w:val="outset" w:sz="4" w:space="0" w:color="auto"/>
              <w:left w:val="outset" w:sz="4" w:space="0" w:color="auto"/>
              <w:bottom w:val="outset" w:sz="4" w:space="0" w:color="auto"/>
              <w:right w:val="outset" w:sz="4" w:space="0" w:color="auto"/>
            </w:tcBorders>
            <w:vAlign w:val="center"/>
          </w:tcPr>
          <w:p w14:paraId="64F137B1" w14:textId="77777777" w:rsidR="005E000F" w:rsidRDefault="00000000">
            <w:pPr>
              <w:ind w:firstLineChars="100" w:firstLine="210"/>
            </w:pPr>
            <w:r>
              <w:rPr>
                <w:rFonts w:hint="eastAsia"/>
              </w:rPr>
              <w:t>支付给职工及为职工支付的现金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14F27930"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351FF1E4" w14:textId="77777777" w:rsidR="005E000F" w:rsidRDefault="00000000">
            <w:pPr>
              <w:jc w:val="right"/>
            </w:pPr>
            <w:r>
              <w:t>22,461,629,072</w:t>
            </w:r>
          </w:p>
        </w:tc>
        <w:tc>
          <w:tcPr>
            <w:tcW w:w="2164" w:type="dxa"/>
            <w:tcBorders>
              <w:top w:val="outset" w:sz="4" w:space="0" w:color="auto"/>
              <w:left w:val="outset" w:sz="4" w:space="0" w:color="auto"/>
              <w:bottom w:val="outset" w:sz="4" w:space="0" w:color="auto"/>
              <w:right w:val="outset" w:sz="4" w:space="0" w:color="auto"/>
            </w:tcBorders>
            <w:vAlign w:val="center"/>
          </w:tcPr>
          <w:p w14:paraId="258F8E4C" w14:textId="77777777" w:rsidR="005E000F" w:rsidRDefault="00000000">
            <w:pPr>
              <w:jc w:val="right"/>
            </w:pPr>
            <w:r>
              <w:t>22,449,490,698</w:t>
            </w:r>
          </w:p>
        </w:tc>
      </w:tr>
      <w:tr w:rsidR="005E000F" w14:paraId="3AAAD509" w14:textId="77777777">
        <w:tc>
          <w:tcPr>
            <w:tcW w:w="3145" w:type="dxa"/>
            <w:tcBorders>
              <w:top w:val="outset" w:sz="4" w:space="0" w:color="auto"/>
              <w:left w:val="outset" w:sz="4" w:space="0" w:color="auto"/>
              <w:bottom w:val="outset" w:sz="4" w:space="0" w:color="auto"/>
              <w:right w:val="outset" w:sz="4" w:space="0" w:color="auto"/>
            </w:tcBorders>
            <w:vAlign w:val="center"/>
          </w:tcPr>
          <w:p w14:paraId="754D8E0E" w14:textId="77777777" w:rsidR="005E000F" w:rsidRDefault="00000000">
            <w:pPr>
              <w:ind w:firstLineChars="100" w:firstLine="210"/>
            </w:pPr>
            <w:r>
              <w:rPr>
                <w:rFonts w:hint="eastAsia"/>
              </w:rPr>
              <w:t>支付的各项税费</w:t>
            </w:r>
          </w:p>
        </w:tc>
        <w:tc>
          <w:tcPr>
            <w:tcW w:w="1569" w:type="dxa"/>
            <w:tcBorders>
              <w:top w:val="outset" w:sz="4" w:space="0" w:color="auto"/>
              <w:left w:val="outset" w:sz="4" w:space="0" w:color="auto"/>
              <w:bottom w:val="outset" w:sz="4" w:space="0" w:color="auto"/>
              <w:right w:val="outset" w:sz="4" w:space="0" w:color="auto"/>
            </w:tcBorders>
            <w:vAlign w:val="center"/>
          </w:tcPr>
          <w:p w14:paraId="3B4F92D1"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76C02CC5" w14:textId="77777777" w:rsidR="005E000F" w:rsidRDefault="00000000">
            <w:pPr>
              <w:jc w:val="right"/>
            </w:pPr>
            <w:r>
              <w:t>5,937,090,467</w:t>
            </w:r>
          </w:p>
        </w:tc>
        <w:tc>
          <w:tcPr>
            <w:tcW w:w="2164" w:type="dxa"/>
            <w:tcBorders>
              <w:top w:val="outset" w:sz="4" w:space="0" w:color="auto"/>
              <w:left w:val="outset" w:sz="4" w:space="0" w:color="auto"/>
              <w:bottom w:val="outset" w:sz="4" w:space="0" w:color="auto"/>
              <w:right w:val="outset" w:sz="4" w:space="0" w:color="auto"/>
            </w:tcBorders>
            <w:vAlign w:val="center"/>
          </w:tcPr>
          <w:p w14:paraId="45828165" w14:textId="77777777" w:rsidR="005E000F" w:rsidRDefault="00000000">
            <w:pPr>
              <w:jc w:val="right"/>
            </w:pPr>
            <w:r>
              <w:t>6,091,206,614</w:t>
            </w:r>
          </w:p>
        </w:tc>
      </w:tr>
      <w:tr w:rsidR="005E000F" w14:paraId="0FBF8987" w14:textId="77777777">
        <w:tc>
          <w:tcPr>
            <w:tcW w:w="3145" w:type="dxa"/>
            <w:tcBorders>
              <w:top w:val="outset" w:sz="4" w:space="0" w:color="auto"/>
              <w:left w:val="outset" w:sz="4" w:space="0" w:color="auto"/>
              <w:bottom w:val="outset" w:sz="4" w:space="0" w:color="auto"/>
              <w:right w:val="outset" w:sz="4" w:space="0" w:color="auto"/>
            </w:tcBorders>
            <w:vAlign w:val="center"/>
          </w:tcPr>
          <w:p w14:paraId="46BB8FD6" w14:textId="77777777" w:rsidR="005E000F" w:rsidRDefault="00000000">
            <w:pPr>
              <w:ind w:firstLineChars="100" w:firstLine="210"/>
            </w:pPr>
            <w:r>
              <w:rPr>
                <w:rFonts w:hint="eastAsia"/>
              </w:rPr>
              <w:t>支付其他与经营活动有关的现金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2489EF38"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5AAAEF17" w14:textId="77777777" w:rsidR="005E000F" w:rsidRDefault="00000000">
            <w:pPr>
              <w:jc w:val="right"/>
            </w:pPr>
            <w:r>
              <w:t>739,788,633</w:t>
            </w:r>
          </w:p>
        </w:tc>
        <w:tc>
          <w:tcPr>
            <w:tcW w:w="2164" w:type="dxa"/>
            <w:tcBorders>
              <w:top w:val="outset" w:sz="4" w:space="0" w:color="auto"/>
              <w:left w:val="outset" w:sz="4" w:space="0" w:color="auto"/>
              <w:bottom w:val="outset" w:sz="4" w:space="0" w:color="auto"/>
              <w:right w:val="outset" w:sz="4" w:space="0" w:color="auto"/>
            </w:tcBorders>
            <w:vAlign w:val="center"/>
          </w:tcPr>
          <w:p w14:paraId="6AA32496" w14:textId="77777777" w:rsidR="005E000F" w:rsidRDefault="00000000">
            <w:pPr>
              <w:jc w:val="right"/>
            </w:pPr>
            <w:r>
              <w:t>776,775,115</w:t>
            </w:r>
          </w:p>
        </w:tc>
      </w:tr>
      <w:tr w:rsidR="005E000F" w14:paraId="49E9BF40" w14:textId="77777777">
        <w:tc>
          <w:tcPr>
            <w:tcW w:w="3145" w:type="dxa"/>
            <w:tcBorders>
              <w:top w:val="outset" w:sz="4" w:space="0" w:color="auto"/>
              <w:left w:val="outset" w:sz="4" w:space="0" w:color="auto"/>
              <w:bottom w:val="outset" w:sz="4" w:space="0" w:color="auto"/>
              <w:right w:val="outset" w:sz="4" w:space="0" w:color="auto"/>
            </w:tcBorders>
            <w:vAlign w:val="center"/>
          </w:tcPr>
          <w:p w14:paraId="420BBD42" w14:textId="77777777" w:rsidR="005E000F" w:rsidRDefault="00000000">
            <w:pPr>
              <w:ind w:firstLineChars="200" w:firstLine="420"/>
              <w:rPr>
                <w:color w:val="000000"/>
              </w:rPr>
            </w:pPr>
            <w:r>
              <w:rPr>
                <w:rFonts w:hint="eastAsia"/>
              </w:rPr>
              <w:t>经营活动现金流出小计</w:t>
            </w:r>
          </w:p>
        </w:tc>
        <w:tc>
          <w:tcPr>
            <w:tcW w:w="1569" w:type="dxa"/>
            <w:tcBorders>
              <w:top w:val="outset" w:sz="4" w:space="0" w:color="auto"/>
              <w:left w:val="outset" w:sz="4" w:space="0" w:color="auto"/>
              <w:bottom w:val="outset" w:sz="4" w:space="0" w:color="auto"/>
              <w:right w:val="outset" w:sz="4" w:space="0" w:color="auto"/>
            </w:tcBorders>
            <w:vAlign w:val="center"/>
          </w:tcPr>
          <w:p w14:paraId="5768762D"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5D8A7716" w14:textId="77777777" w:rsidR="005E000F" w:rsidRDefault="00000000">
            <w:pPr>
              <w:jc w:val="right"/>
            </w:pPr>
            <w:r>
              <w:t>37,991,707,709</w:t>
            </w:r>
          </w:p>
        </w:tc>
        <w:tc>
          <w:tcPr>
            <w:tcW w:w="2164" w:type="dxa"/>
            <w:tcBorders>
              <w:top w:val="outset" w:sz="4" w:space="0" w:color="auto"/>
              <w:left w:val="outset" w:sz="4" w:space="0" w:color="auto"/>
              <w:bottom w:val="outset" w:sz="4" w:space="0" w:color="auto"/>
              <w:right w:val="outset" w:sz="4" w:space="0" w:color="auto"/>
            </w:tcBorders>
            <w:vAlign w:val="center"/>
          </w:tcPr>
          <w:p w14:paraId="24075F8F" w14:textId="77777777" w:rsidR="005E000F" w:rsidRDefault="00000000">
            <w:pPr>
              <w:jc w:val="right"/>
            </w:pPr>
            <w:r>
              <w:t>35,766,087,108</w:t>
            </w:r>
          </w:p>
        </w:tc>
      </w:tr>
      <w:tr w:rsidR="005E000F" w14:paraId="0D80CA6D" w14:textId="77777777">
        <w:tc>
          <w:tcPr>
            <w:tcW w:w="3145" w:type="dxa"/>
            <w:tcBorders>
              <w:top w:val="outset" w:sz="4" w:space="0" w:color="auto"/>
              <w:left w:val="outset" w:sz="4" w:space="0" w:color="auto"/>
              <w:bottom w:val="outset" w:sz="4" w:space="0" w:color="auto"/>
              <w:right w:val="outset" w:sz="4" w:space="0" w:color="auto"/>
            </w:tcBorders>
            <w:vAlign w:val="center"/>
          </w:tcPr>
          <w:p w14:paraId="275ACCF9" w14:textId="77777777" w:rsidR="005E000F" w:rsidRDefault="00000000">
            <w:pPr>
              <w:ind w:firstLineChars="100" w:firstLine="210"/>
              <w:rPr>
                <w:color w:val="000000"/>
              </w:rPr>
            </w:pPr>
            <w:r>
              <w:rPr>
                <w:rFonts w:hint="eastAsia"/>
              </w:rPr>
              <w:t>经营活动产生的现金流量净额</w:t>
            </w:r>
          </w:p>
        </w:tc>
        <w:tc>
          <w:tcPr>
            <w:tcW w:w="1569" w:type="dxa"/>
            <w:tcBorders>
              <w:top w:val="outset" w:sz="4" w:space="0" w:color="auto"/>
              <w:left w:val="outset" w:sz="4" w:space="0" w:color="auto"/>
              <w:bottom w:val="outset" w:sz="4" w:space="0" w:color="auto"/>
              <w:right w:val="outset" w:sz="4" w:space="0" w:color="auto"/>
            </w:tcBorders>
            <w:vAlign w:val="center"/>
          </w:tcPr>
          <w:p w14:paraId="61763450"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0EC1C253" w14:textId="77777777" w:rsidR="005E000F" w:rsidRDefault="00000000">
            <w:pPr>
              <w:jc w:val="right"/>
            </w:pPr>
            <w:r>
              <w:t>3,232,430,825</w:t>
            </w:r>
          </w:p>
        </w:tc>
        <w:tc>
          <w:tcPr>
            <w:tcW w:w="2164" w:type="dxa"/>
            <w:tcBorders>
              <w:top w:val="outset" w:sz="4" w:space="0" w:color="auto"/>
              <w:left w:val="outset" w:sz="4" w:space="0" w:color="auto"/>
              <w:bottom w:val="outset" w:sz="4" w:space="0" w:color="auto"/>
              <w:right w:val="outset" w:sz="4" w:space="0" w:color="auto"/>
            </w:tcBorders>
            <w:vAlign w:val="center"/>
          </w:tcPr>
          <w:p w14:paraId="3A4894CA" w14:textId="77777777" w:rsidR="005E000F" w:rsidRDefault="00000000">
            <w:pPr>
              <w:jc w:val="right"/>
            </w:pPr>
            <w:r>
              <w:t>6,336,054,427</w:t>
            </w:r>
          </w:p>
        </w:tc>
      </w:tr>
      <w:tr w:rsidR="005E000F" w14:paraId="27441FD2" w14:textId="77777777">
        <w:sdt>
          <w:sdtPr>
            <w:tag w:val="_PLD_ea89a8f6b76943769d484d535b94417c"/>
            <w:id w:val="-1117054272"/>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20E25E30" w14:textId="77777777" w:rsidR="005E000F" w:rsidRDefault="00000000">
                <w:r>
                  <w:rPr>
                    <w:rFonts w:hint="eastAsia"/>
                    <w:b/>
                    <w:bCs/>
                  </w:rPr>
                  <w:t>二、投资活动产生的现金流量：</w:t>
                </w:r>
              </w:p>
            </w:tc>
          </w:sdtContent>
        </w:sdt>
      </w:tr>
      <w:tr w:rsidR="005E000F" w14:paraId="6BDCD288" w14:textId="77777777">
        <w:tc>
          <w:tcPr>
            <w:tcW w:w="3145" w:type="dxa"/>
            <w:tcBorders>
              <w:top w:val="outset" w:sz="4" w:space="0" w:color="auto"/>
              <w:left w:val="outset" w:sz="4" w:space="0" w:color="auto"/>
              <w:bottom w:val="outset" w:sz="4" w:space="0" w:color="auto"/>
              <w:right w:val="outset" w:sz="4" w:space="0" w:color="auto"/>
            </w:tcBorders>
            <w:vAlign w:val="center"/>
          </w:tcPr>
          <w:p w14:paraId="7B858098" w14:textId="77777777" w:rsidR="005E000F" w:rsidRDefault="00000000">
            <w:pPr>
              <w:ind w:firstLineChars="100" w:firstLine="210"/>
            </w:pPr>
            <w:r>
              <w:rPr>
                <w:rFonts w:hint="eastAsia"/>
              </w:rPr>
              <w:t>收回投资收到的现金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4BA34818"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5211AABE" w14:textId="77777777" w:rsidR="005E000F" w:rsidRDefault="00000000">
            <w:pPr>
              <w:jc w:val="right"/>
            </w:pPr>
            <w:r>
              <w:rPr>
                <w:rFonts w:hint="eastAsia"/>
              </w:rPr>
              <w:t>0</w:t>
            </w:r>
          </w:p>
        </w:tc>
        <w:tc>
          <w:tcPr>
            <w:tcW w:w="2164" w:type="dxa"/>
            <w:tcBorders>
              <w:top w:val="outset" w:sz="4" w:space="0" w:color="auto"/>
              <w:left w:val="outset" w:sz="4" w:space="0" w:color="auto"/>
              <w:bottom w:val="outset" w:sz="4" w:space="0" w:color="auto"/>
              <w:right w:val="outset" w:sz="4" w:space="0" w:color="auto"/>
            </w:tcBorders>
            <w:vAlign w:val="center"/>
          </w:tcPr>
          <w:p w14:paraId="0AD015B1" w14:textId="77777777" w:rsidR="005E000F" w:rsidRDefault="00000000">
            <w:pPr>
              <w:jc w:val="right"/>
            </w:pPr>
            <w:r>
              <w:t>0</w:t>
            </w:r>
          </w:p>
        </w:tc>
      </w:tr>
      <w:tr w:rsidR="005E000F" w14:paraId="07CDE388" w14:textId="77777777">
        <w:tc>
          <w:tcPr>
            <w:tcW w:w="3145" w:type="dxa"/>
            <w:tcBorders>
              <w:top w:val="outset" w:sz="4" w:space="0" w:color="auto"/>
              <w:left w:val="outset" w:sz="4" w:space="0" w:color="auto"/>
              <w:bottom w:val="outset" w:sz="4" w:space="0" w:color="auto"/>
              <w:right w:val="outset" w:sz="4" w:space="0" w:color="auto"/>
            </w:tcBorders>
            <w:vAlign w:val="center"/>
          </w:tcPr>
          <w:p w14:paraId="1185A432" w14:textId="77777777" w:rsidR="005E000F" w:rsidRDefault="00000000">
            <w:pPr>
              <w:ind w:firstLineChars="100" w:firstLine="210"/>
            </w:pPr>
            <w:r>
              <w:rPr>
                <w:rFonts w:hint="eastAsia"/>
              </w:rPr>
              <w:t>取得投资收益收到的现金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4EF8BE25"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37A3832F" w14:textId="77777777" w:rsidR="005E000F" w:rsidRDefault="00000000">
            <w:pPr>
              <w:jc w:val="right"/>
            </w:pPr>
            <w:r>
              <w:t>2,688,050,097</w:t>
            </w:r>
          </w:p>
        </w:tc>
        <w:tc>
          <w:tcPr>
            <w:tcW w:w="2164" w:type="dxa"/>
            <w:tcBorders>
              <w:top w:val="outset" w:sz="4" w:space="0" w:color="auto"/>
              <w:left w:val="outset" w:sz="4" w:space="0" w:color="auto"/>
              <w:bottom w:val="outset" w:sz="4" w:space="0" w:color="auto"/>
              <w:right w:val="outset" w:sz="4" w:space="0" w:color="auto"/>
            </w:tcBorders>
            <w:vAlign w:val="center"/>
          </w:tcPr>
          <w:p w14:paraId="16EC7193" w14:textId="77777777" w:rsidR="005E000F" w:rsidRDefault="00000000">
            <w:pPr>
              <w:jc w:val="right"/>
            </w:pPr>
            <w:r>
              <w:t>2,508,955,791</w:t>
            </w:r>
          </w:p>
        </w:tc>
      </w:tr>
      <w:tr w:rsidR="005E000F" w14:paraId="0EB37900" w14:textId="77777777">
        <w:tc>
          <w:tcPr>
            <w:tcW w:w="3145" w:type="dxa"/>
            <w:tcBorders>
              <w:top w:val="outset" w:sz="4" w:space="0" w:color="auto"/>
              <w:left w:val="outset" w:sz="4" w:space="0" w:color="auto"/>
              <w:bottom w:val="outset" w:sz="4" w:space="0" w:color="auto"/>
              <w:right w:val="outset" w:sz="4" w:space="0" w:color="auto"/>
            </w:tcBorders>
            <w:vAlign w:val="center"/>
          </w:tcPr>
          <w:p w14:paraId="009E84B1" w14:textId="77777777" w:rsidR="005E000F" w:rsidRDefault="00000000">
            <w:pPr>
              <w:ind w:firstLineChars="100" w:firstLine="210"/>
            </w:pPr>
            <w:r>
              <w:rPr>
                <w:rFonts w:hint="eastAsia"/>
              </w:rPr>
              <w:t>处置固定资产、无形资产和其他长期资产收回的现金净额</w:t>
            </w:r>
          </w:p>
        </w:tc>
        <w:tc>
          <w:tcPr>
            <w:tcW w:w="1569" w:type="dxa"/>
            <w:tcBorders>
              <w:top w:val="outset" w:sz="4" w:space="0" w:color="auto"/>
              <w:left w:val="outset" w:sz="4" w:space="0" w:color="auto"/>
              <w:bottom w:val="outset" w:sz="4" w:space="0" w:color="auto"/>
              <w:right w:val="outset" w:sz="4" w:space="0" w:color="auto"/>
            </w:tcBorders>
            <w:vAlign w:val="center"/>
          </w:tcPr>
          <w:p w14:paraId="5C553B30"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4CCC85D1" w14:textId="77777777" w:rsidR="005E000F" w:rsidRDefault="00000000">
            <w:pPr>
              <w:jc w:val="right"/>
            </w:pPr>
            <w:r>
              <w:t>69,195,264</w:t>
            </w:r>
          </w:p>
        </w:tc>
        <w:tc>
          <w:tcPr>
            <w:tcW w:w="2164" w:type="dxa"/>
            <w:tcBorders>
              <w:top w:val="outset" w:sz="4" w:space="0" w:color="auto"/>
              <w:left w:val="outset" w:sz="4" w:space="0" w:color="auto"/>
              <w:bottom w:val="outset" w:sz="4" w:space="0" w:color="auto"/>
              <w:right w:val="outset" w:sz="4" w:space="0" w:color="auto"/>
            </w:tcBorders>
            <w:vAlign w:val="center"/>
          </w:tcPr>
          <w:p w14:paraId="5D367F03" w14:textId="77777777" w:rsidR="005E000F" w:rsidRDefault="00000000">
            <w:pPr>
              <w:jc w:val="right"/>
            </w:pPr>
            <w:r>
              <w:t>68,697,424</w:t>
            </w:r>
          </w:p>
        </w:tc>
      </w:tr>
      <w:tr w:rsidR="005E000F" w14:paraId="79C6FC04" w14:textId="77777777">
        <w:tc>
          <w:tcPr>
            <w:tcW w:w="3145" w:type="dxa"/>
            <w:tcBorders>
              <w:top w:val="outset" w:sz="4" w:space="0" w:color="auto"/>
              <w:left w:val="outset" w:sz="4" w:space="0" w:color="auto"/>
              <w:bottom w:val="outset" w:sz="4" w:space="0" w:color="auto"/>
              <w:right w:val="outset" w:sz="4" w:space="0" w:color="auto"/>
            </w:tcBorders>
            <w:vAlign w:val="center"/>
          </w:tcPr>
          <w:p w14:paraId="16359F7D" w14:textId="77777777" w:rsidR="005E000F" w:rsidRDefault="00000000">
            <w:pPr>
              <w:ind w:firstLineChars="100" w:firstLine="210"/>
            </w:pPr>
            <w:r>
              <w:rPr>
                <w:rFonts w:hint="eastAsia"/>
              </w:rPr>
              <w:t>处置子公司及其他营业单位收到的现金净额</w:t>
            </w:r>
          </w:p>
        </w:tc>
        <w:tc>
          <w:tcPr>
            <w:tcW w:w="1569" w:type="dxa"/>
            <w:tcBorders>
              <w:top w:val="outset" w:sz="4" w:space="0" w:color="auto"/>
              <w:left w:val="outset" w:sz="4" w:space="0" w:color="auto"/>
              <w:bottom w:val="outset" w:sz="4" w:space="0" w:color="auto"/>
              <w:right w:val="outset" w:sz="4" w:space="0" w:color="auto"/>
            </w:tcBorders>
            <w:vAlign w:val="center"/>
          </w:tcPr>
          <w:p w14:paraId="22343183"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475C43C8" w14:textId="77777777" w:rsidR="005E000F" w:rsidRDefault="00000000">
            <w:pPr>
              <w:jc w:val="right"/>
            </w:pPr>
            <w:r>
              <w:rPr>
                <w:rFonts w:hint="eastAsia"/>
              </w:rPr>
              <w:t>0</w:t>
            </w:r>
          </w:p>
        </w:tc>
        <w:tc>
          <w:tcPr>
            <w:tcW w:w="2164" w:type="dxa"/>
            <w:tcBorders>
              <w:top w:val="outset" w:sz="4" w:space="0" w:color="auto"/>
              <w:left w:val="outset" w:sz="4" w:space="0" w:color="auto"/>
              <w:bottom w:val="outset" w:sz="4" w:space="0" w:color="auto"/>
              <w:right w:val="outset" w:sz="4" w:space="0" w:color="auto"/>
            </w:tcBorders>
            <w:vAlign w:val="center"/>
          </w:tcPr>
          <w:p w14:paraId="39A13DA7" w14:textId="77777777" w:rsidR="005E000F" w:rsidRDefault="00000000">
            <w:pPr>
              <w:jc w:val="right"/>
            </w:pPr>
            <w:r>
              <w:t>0</w:t>
            </w:r>
          </w:p>
        </w:tc>
      </w:tr>
      <w:tr w:rsidR="005E000F" w14:paraId="5CAE8F58" w14:textId="77777777">
        <w:tc>
          <w:tcPr>
            <w:tcW w:w="3145" w:type="dxa"/>
            <w:tcBorders>
              <w:top w:val="outset" w:sz="4" w:space="0" w:color="auto"/>
              <w:left w:val="outset" w:sz="4" w:space="0" w:color="auto"/>
              <w:bottom w:val="outset" w:sz="4" w:space="0" w:color="auto"/>
              <w:right w:val="outset" w:sz="4" w:space="0" w:color="auto"/>
            </w:tcBorders>
            <w:vAlign w:val="center"/>
          </w:tcPr>
          <w:p w14:paraId="61BF292D" w14:textId="77777777" w:rsidR="005E000F" w:rsidRDefault="00000000">
            <w:pPr>
              <w:ind w:firstLineChars="100" w:firstLine="210"/>
            </w:pPr>
            <w:r>
              <w:rPr>
                <w:rFonts w:hint="eastAsia"/>
              </w:rPr>
              <w:t>收到其他与投资活动有关的现金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7D9B89C5"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53015662" w14:textId="77777777" w:rsidR="005E000F" w:rsidRDefault="00000000">
            <w:pPr>
              <w:jc w:val="right"/>
            </w:pPr>
            <w:r>
              <w:t>638,579,975</w:t>
            </w:r>
          </w:p>
        </w:tc>
        <w:tc>
          <w:tcPr>
            <w:tcW w:w="2164" w:type="dxa"/>
            <w:tcBorders>
              <w:top w:val="outset" w:sz="4" w:space="0" w:color="auto"/>
              <w:left w:val="outset" w:sz="4" w:space="0" w:color="auto"/>
              <w:bottom w:val="outset" w:sz="4" w:space="0" w:color="auto"/>
              <w:right w:val="outset" w:sz="4" w:space="0" w:color="auto"/>
            </w:tcBorders>
            <w:vAlign w:val="center"/>
          </w:tcPr>
          <w:p w14:paraId="755BC557" w14:textId="77777777" w:rsidR="005E000F" w:rsidRDefault="00000000">
            <w:pPr>
              <w:jc w:val="right"/>
            </w:pPr>
            <w:r>
              <w:t>953,157,678</w:t>
            </w:r>
          </w:p>
        </w:tc>
      </w:tr>
      <w:tr w:rsidR="005E000F" w14:paraId="7486FCB1" w14:textId="77777777">
        <w:tc>
          <w:tcPr>
            <w:tcW w:w="3145" w:type="dxa"/>
            <w:tcBorders>
              <w:top w:val="outset" w:sz="4" w:space="0" w:color="auto"/>
              <w:left w:val="outset" w:sz="4" w:space="0" w:color="auto"/>
              <w:bottom w:val="outset" w:sz="4" w:space="0" w:color="auto"/>
              <w:right w:val="outset" w:sz="4" w:space="0" w:color="auto"/>
            </w:tcBorders>
            <w:vAlign w:val="center"/>
          </w:tcPr>
          <w:p w14:paraId="2FBDFCCF" w14:textId="77777777" w:rsidR="005E000F" w:rsidRDefault="00000000">
            <w:pPr>
              <w:ind w:firstLineChars="200" w:firstLine="420"/>
              <w:rPr>
                <w:color w:val="000000"/>
              </w:rPr>
            </w:pPr>
            <w:r>
              <w:rPr>
                <w:rFonts w:hint="eastAsia"/>
              </w:rPr>
              <w:t>投资活动现金流入小计</w:t>
            </w:r>
          </w:p>
        </w:tc>
        <w:tc>
          <w:tcPr>
            <w:tcW w:w="1569" w:type="dxa"/>
            <w:tcBorders>
              <w:top w:val="outset" w:sz="4" w:space="0" w:color="auto"/>
              <w:left w:val="outset" w:sz="4" w:space="0" w:color="auto"/>
              <w:bottom w:val="outset" w:sz="4" w:space="0" w:color="auto"/>
              <w:right w:val="outset" w:sz="4" w:space="0" w:color="auto"/>
            </w:tcBorders>
            <w:vAlign w:val="center"/>
          </w:tcPr>
          <w:p w14:paraId="269862DF"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3F15DE67" w14:textId="77777777" w:rsidR="005E000F" w:rsidRDefault="00000000">
            <w:pPr>
              <w:jc w:val="right"/>
            </w:pPr>
            <w:r>
              <w:t>3,395,825,336</w:t>
            </w:r>
          </w:p>
        </w:tc>
        <w:tc>
          <w:tcPr>
            <w:tcW w:w="2164" w:type="dxa"/>
            <w:tcBorders>
              <w:top w:val="outset" w:sz="4" w:space="0" w:color="auto"/>
              <w:left w:val="outset" w:sz="4" w:space="0" w:color="auto"/>
              <w:bottom w:val="outset" w:sz="4" w:space="0" w:color="auto"/>
              <w:right w:val="outset" w:sz="4" w:space="0" w:color="auto"/>
            </w:tcBorders>
            <w:vAlign w:val="center"/>
          </w:tcPr>
          <w:p w14:paraId="4501E3A5" w14:textId="77777777" w:rsidR="005E000F" w:rsidRDefault="00000000">
            <w:pPr>
              <w:jc w:val="right"/>
            </w:pPr>
            <w:r>
              <w:t>3,530,810,893</w:t>
            </w:r>
          </w:p>
        </w:tc>
      </w:tr>
      <w:tr w:rsidR="005E000F" w14:paraId="500497FE" w14:textId="77777777">
        <w:tc>
          <w:tcPr>
            <w:tcW w:w="3145" w:type="dxa"/>
            <w:tcBorders>
              <w:top w:val="outset" w:sz="4" w:space="0" w:color="auto"/>
              <w:left w:val="outset" w:sz="4" w:space="0" w:color="auto"/>
              <w:bottom w:val="outset" w:sz="4" w:space="0" w:color="auto"/>
              <w:right w:val="outset" w:sz="4" w:space="0" w:color="auto"/>
            </w:tcBorders>
            <w:vAlign w:val="center"/>
          </w:tcPr>
          <w:p w14:paraId="799904A3" w14:textId="77777777" w:rsidR="005E000F" w:rsidRDefault="00000000">
            <w:pPr>
              <w:ind w:firstLineChars="100" w:firstLine="210"/>
            </w:pPr>
            <w:r>
              <w:rPr>
                <w:rFonts w:hint="eastAsia"/>
              </w:rPr>
              <w:t>购建固定资产、无形资产和其他长期资产支付的现金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7E53E89B"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740F8B33" w14:textId="77777777" w:rsidR="005E000F" w:rsidRDefault="00000000">
            <w:pPr>
              <w:jc w:val="right"/>
            </w:pPr>
            <w:r>
              <w:t>27,141,520,856</w:t>
            </w:r>
          </w:p>
        </w:tc>
        <w:tc>
          <w:tcPr>
            <w:tcW w:w="2164" w:type="dxa"/>
            <w:tcBorders>
              <w:top w:val="outset" w:sz="4" w:space="0" w:color="auto"/>
              <w:left w:val="outset" w:sz="4" w:space="0" w:color="auto"/>
              <w:bottom w:val="outset" w:sz="4" w:space="0" w:color="auto"/>
              <w:right w:val="outset" w:sz="4" w:space="0" w:color="auto"/>
            </w:tcBorders>
            <w:vAlign w:val="center"/>
          </w:tcPr>
          <w:p w14:paraId="135C1E56" w14:textId="77777777" w:rsidR="005E000F" w:rsidRDefault="00000000">
            <w:pPr>
              <w:jc w:val="right"/>
            </w:pPr>
            <w:r>
              <w:t>3,741,140,453</w:t>
            </w:r>
          </w:p>
        </w:tc>
      </w:tr>
      <w:tr w:rsidR="005E000F" w14:paraId="2B91AD4B" w14:textId="77777777">
        <w:tc>
          <w:tcPr>
            <w:tcW w:w="3145" w:type="dxa"/>
            <w:tcBorders>
              <w:top w:val="outset" w:sz="4" w:space="0" w:color="auto"/>
              <w:left w:val="outset" w:sz="4" w:space="0" w:color="auto"/>
              <w:bottom w:val="outset" w:sz="4" w:space="0" w:color="auto"/>
              <w:right w:val="outset" w:sz="4" w:space="0" w:color="auto"/>
            </w:tcBorders>
            <w:vAlign w:val="center"/>
          </w:tcPr>
          <w:p w14:paraId="5B47C171" w14:textId="77777777" w:rsidR="005E000F" w:rsidRDefault="00000000">
            <w:pPr>
              <w:ind w:firstLineChars="100" w:firstLine="210"/>
            </w:pPr>
            <w:r>
              <w:rPr>
                <w:rFonts w:hint="eastAsia"/>
              </w:rPr>
              <w:t>投资支付的现金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6AD4E18B"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03DD7501" w14:textId="77777777" w:rsidR="005E000F" w:rsidRDefault="00000000">
            <w:pPr>
              <w:jc w:val="right"/>
            </w:pPr>
            <w:r>
              <w:t>1,000,000,000</w:t>
            </w:r>
          </w:p>
        </w:tc>
        <w:tc>
          <w:tcPr>
            <w:tcW w:w="2164" w:type="dxa"/>
            <w:tcBorders>
              <w:top w:val="outset" w:sz="4" w:space="0" w:color="auto"/>
              <w:left w:val="outset" w:sz="4" w:space="0" w:color="auto"/>
              <w:bottom w:val="outset" w:sz="4" w:space="0" w:color="auto"/>
              <w:right w:val="outset" w:sz="4" w:space="0" w:color="auto"/>
            </w:tcBorders>
            <w:vAlign w:val="center"/>
          </w:tcPr>
          <w:p w14:paraId="61DE633B" w14:textId="77777777" w:rsidR="005E000F" w:rsidRDefault="00000000">
            <w:pPr>
              <w:jc w:val="right"/>
            </w:pPr>
            <w:r>
              <w:t>3,500,000,000</w:t>
            </w:r>
          </w:p>
        </w:tc>
      </w:tr>
      <w:tr w:rsidR="005E000F" w14:paraId="431FA88A" w14:textId="77777777">
        <w:tc>
          <w:tcPr>
            <w:tcW w:w="3145" w:type="dxa"/>
            <w:tcBorders>
              <w:top w:val="outset" w:sz="4" w:space="0" w:color="auto"/>
              <w:left w:val="outset" w:sz="4" w:space="0" w:color="auto"/>
              <w:bottom w:val="outset" w:sz="4" w:space="0" w:color="auto"/>
              <w:right w:val="outset" w:sz="4" w:space="0" w:color="auto"/>
            </w:tcBorders>
            <w:vAlign w:val="center"/>
          </w:tcPr>
          <w:p w14:paraId="0EB1EE71" w14:textId="77777777" w:rsidR="005E000F" w:rsidRDefault="00000000">
            <w:pPr>
              <w:ind w:firstLineChars="100" w:firstLine="210"/>
            </w:pPr>
            <w:r>
              <w:rPr>
                <w:rFonts w:hint="eastAsia"/>
              </w:rPr>
              <w:t>取得子公司及其他营业单位支付的现金净额</w:t>
            </w:r>
          </w:p>
        </w:tc>
        <w:tc>
          <w:tcPr>
            <w:tcW w:w="1569" w:type="dxa"/>
            <w:tcBorders>
              <w:top w:val="outset" w:sz="4" w:space="0" w:color="auto"/>
              <w:left w:val="outset" w:sz="4" w:space="0" w:color="auto"/>
              <w:bottom w:val="outset" w:sz="4" w:space="0" w:color="auto"/>
              <w:right w:val="outset" w:sz="4" w:space="0" w:color="auto"/>
            </w:tcBorders>
            <w:vAlign w:val="center"/>
          </w:tcPr>
          <w:p w14:paraId="5B151082"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5227328D" w14:textId="77777777" w:rsidR="005E000F" w:rsidRDefault="00000000">
            <w:pPr>
              <w:jc w:val="right"/>
            </w:pPr>
            <w:r>
              <w:rPr>
                <w:rFonts w:hint="eastAsia"/>
              </w:rPr>
              <w:t>0</w:t>
            </w:r>
          </w:p>
        </w:tc>
        <w:tc>
          <w:tcPr>
            <w:tcW w:w="2164" w:type="dxa"/>
            <w:tcBorders>
              <w:top w:val="outset" w:sz="4" w:space="0" w:color="auto"/>
              <w:left w:val="outset" w:sz="4" w:space="0" w:color="auto"/>
              <w:bottom w:val="outset" w:sz="4" w:space="0" w:color="auto"/>
              <w:right w:val="outset" w:sz="4" w:space="0" w:color="auto"/>
            </w:tcBorders>
            <w:vAlign w:val="center"/>
          </w:tcPr>
          <w:p w14:paraId="44CB3792" w14:textId="77777777" w:rsidR="005E000F" w:rsidRDefault="00000000">
            <w:pPr>
              <w:jc w:val="right"/>
            </w:pPr>
            <w:r>
              <w:t>0</w:t>
            </w:r>
          </w:p>
        </w:tc>
      </w:tr>
      <w:tr w:rsidR="005E000F" w14:paraId="341C0CF6" w14:textId="77777777">
        <w:tc>
          <w:tcPr>
            <w:tcW w:w="3145" w:type="dxa"/>
            <w:tcBorders>
              <w:top w:val="outset" w:sz="4" w:space="0" w:color="auto"/>
              <w:left w:val="outset" w:sz="4" w:space="0" w:color="auto"/>
              <w:bottom w:val="outset" w:sz="4" w:space="0" w:color="auto"/>
              <w:right w:val="outset" w:sz="4" w:space="0" w:color="auto"/>
            </w:tcBorders>
            <w:vAlign w:val="center"/>
          </w:tcPr>
          <w:p w14:paraId="3091A16E" w14:textId="77777777" w:rsidR="005E000F" w:rsidRDefault="00000000">
            <w:pPr>
              <w:ind w:firstLineChars="100" w:firstLine="210"/>
            </w:pPr>
            <w:r>
              <w:rPr>
                <w:rFonts w:hint="eastAsia"/>
              </w:rPr>
              <w:t>支付其他与投资活动有关的现金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5DEAD6FF"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1546CCE8" w14:textId="77777777" w:rsidR="005E000F" w:rsidRDefault="00000000">
            <w:pPr>
              <w:jc w:val="right"/>
            </w:pPr>
            <w:r>
              <w:rPr>
                <w:rFonts w:hint="eastAsia"/>
              </w:rPr>
              <w:t>0</w:t>
            </w:r>
          </w:p>
        </w:tc>
        <w:tc>
          <w:tcPr>
            <w:tcW w:w="2164" w:type="dxa"/>
            <w:tcBorders>
              <w:top w:val="outset" w:sz="4" w:space="0" w:color="auto"/>
              <w:left w:val="outset" w:sz="4" w:space="0" w:color="auto"/>
              <w:bottom w:val="outset" w:sz="4" w:space="0" w:color="auto"/>
              <w:right w:val="outset" w:sz="4" w:space="0" w:color="auto"/>
            </w:tcBorders>
            <w:vAlign w:val="center"/>
          </w:tcPr>
          <w:p w14:paraId="582F92B5" w14:textId="77777777" w:rsidR="005E000F" w:rsidRDefault="00000000">
            <w:pPr>
              <w:jc w:val="right"/>
            </w:pPr>
            <w:r>
              <w:t>0</w:t>
            </w:r>
          </w:p>
        </w:tc>
      </w:tr>
      <w:tr w:rsidR="005E000F" w14:paraId="113073FA" w14:textId="77777777">
        <w:tc>
          <w:tcPr>
            <w:tcW w:w="3145" w:type="dxa"/>
            <w:tcBorders>
              <w:top w:val="outset" w:sz="4" w:space="0" w:color="auto"/>
              <w:left w:val="outset" w:sz="4" w:space="0" w:color="auto"/>
              <w:bottom w:val="outset" w:sz="4" w:space="0" w:color="auto"/>
              <w:right w:val="outset" w:sz="4" w:space="0" w:color="auto"/>
            </w:tcBorders>
            <w:vAlign w:val="center"/>
          </w:tcPr>
          <w:p w14:paraId="3329FFBA" w14:textId="77777777" w:rsidR="005E000F" w:rsidRDefault="00000000">
            <w:pPr>
              <w:ind w:firstLineChars="200" w:firstLine="420"/>
              <w:rPr>
                <w:color w:val="000000"/>
              </w:rPr>
            </w:pPr>
            <w:r>
              <w:rPr>
                <w:rFonts w:hint="eastAsia"/>
              </w:rPr>
              <w:t>投资活动现金流出小计</w:t>
            </w:r>
          </w:p>
        </w:tc>
        <w:tc>
          <w:tcPr>
            <w:tcW w:w="1569" w:type="dxa"/>
            <w:tcBorders>
              <w:top w:val="outset" w:sz="4" w:space="0" w:color="auto"/>
              <w:left w:val="outset" w:sz="4" w:space="0" w:color="auto"/>
              <w:bottom w:val="outset" w:sz="4" w:space="0" w:color="auto"/>
              <w:right w:val="outset" w:sz="4" w:space="0" w:color="auto"/>
            </w:tcBorders>
            <w:vAlign w:val="center"/>
          </w:tcPr>
          <w:p w14:paraId="6D444B8C"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701336E9" w14:textId="77777777" w:rsidR="005E000F" w:rsidRDefault="00000000">
            <w:pPr>
              <w:jc w:val="right"/>
            </w:pPr>
            <w:r>
              <w:t>28,141,520,856</w:t>
            </w:r>
          </w:p>
        </w:tc>
        <w:tc>
          <w:tcPr>
            <w:tcW w:w="2164" w:type="dxa"/>
            <w:tcBorders>
              <w:top w:val="outset" w:sz="4" w:space="0" w:color="auto"/>
              <w:left w:val="outset" w:sz="4" w:space="0" w:color="auto"/>
              <w:bottom w:val="outset" w:sz="4" w:space="0" w:color="auto"/>
              <w:right w:val="outset" w:sz="4" w:space="0" w:color="auto"/>
            </w:tcBorders>
            <w:vAlign w:val="center"/>
          </w:tcPr>
          <w:p w14:paraId="2C2E8EFE" w14:textId="77777777" w:rsidR="005E000F" w:rsidRDefault="00000000">
            <w:pPr>
              <w:jc w:val="right"/>
            </w:pPr>
            <w:r>
              <w:t>7,241,140,453</w:t>
            </w:r>
          </w:p>
        </w:tc>
      </w:tr>
      <w:tr w:rsidR="005E000F" w14:paraId="055790A0" w14:textId="77777777">
        <w:tc>
          <w:tcPr>
            <w:tcW w:w="3145" w:type="dxa"/>
            <w:tcBorders>
              <w:top w:val="outset" w:sz="4" w:space="0" w:color="auto"/>
              <w:left w:val="outset" w:sz="4" w:space="0" w:color="auto"/>
              <w:bottom w:val="outset" w:sz="4" w:space="0" w:color="auto"/>
              <w:right w:val="outset" w:sz="4" w:space="0" w:color="auto"/>
            </w:tcBorders>
            <w:vAlign w:val="center"/>
          </w:tcPr>
          <w:p w14:paraId="0ADDFF29" w14:textId="77777777" w:rsidR="005E000F" w:rsidRDefault="00000000">
            <w:pPr>
              <w:ind w:firstLineChars="300" w:firstLine="630"/>
              <w:rPr>
                <w:color w:val="000000"/>
              </w:rPr>
            </w:pPr>
            <w:r>
              <w:rPr>
                <w:rFonts w:hint="eastAsia"/>
              </w:rPr>
              <w:t>投资活动产生的现金流量净额</w:t>
            </w:r>
          </w:p>
        </w:tc>
        <w:tc>
          <w:tcPr>
            <w:tcW w:w="1569" w:type="dxa"/>
            <w:tcBorders>
              <w:top w:val="outset" w:sz="4" w:space="0" w:color="auto"/>
              <w:left w:val="outset" w:sz="4" w:space="0" w:color="auto"/>
              <w:bottom w:val="outset" w:sz="4" w:space="0" w:color="auto"/>
              <w:right w:val="outset" w:sz="4" w:space="0" w:color="auto"/>
            </w:tcBorders>
            <w:vAlign w:val="center"/>
          </w:tcPr>
          <w:p w14:paraId="01928A5C"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6DD2A351" w14:textId="77777777" w:rsidR="005E000F" w:rsidRDefault="00000000">
            <w:pPr>
              <w:jc w:val="right"/>
            </w:pPr>
            <w:r>
              <w:t>-24,745,695,520</w:t>
            </w:r>
          </w:p>
        </w:tc>
        <w:tc>
          <w:tcPr>
            <w:tcW w:w="2164" w:type="dxa"/>
            <w:tcBorders>
              <w:top w:val="outset" w:sz="4" w:space="0" w:color="auto"/>
              <w:left w:val="outset" w:sz="4" w:space="0" w:color="auto"/>
              <w:bottom w:val="outset" w:sz="4" w:space="0" w:color="auto"/>
              <w:right w:val="outset" w:sz="4" w:space="0" w:color="auto"/>
            </w:tcBorders>
            <w:vAlign w:val="center"/>
          </w:tcPr>
          <w:p w14:paraId="44D04799" w14:textId="77777777" w:rsidR="005E000F" w:rsidRDefault="00000000">
            <w:pPr>
              <w:jc w:val="right"/>
            </w:pPr>
            <w:r>
              <w:t>-3,710,329,560</w:t>
            </w:r>
          </w:p>
        </w:tc>
      </w:tr>
      <w:tr w:rsidR="005E000F" w14:paraId="32AA524C" w14:textId="77777777">
        <w:sdt>
          <w:sdtPr>
            <w:tag w:val="_PLD_8b6929c78db14ee1bde1ca4b9a47a65c"/>
            <w:id w:val="1990136512"/>
          </w:sdtPr>
          <w:sdtContent>
            <w:tc>
              <w:tcPr>
                <w:tcW w:w="9049" w:type="dxa"/>
                <w:gridSpan w:val="4"/>
                <w:tcBorders>
                  <w:top w:val="outset" w:sz="4" w:space="0" w:color="auto"/>
                  <w:left w:val="outset" w:sz="4" w:space="0" w:color="auto"/>
                  <w:bottom w:val="outset" w:sz="4" w:space="0" w:color="auto"/>
                  <w:right w:val="outset" w:sz="4" w:space="0" w:color="auto"/>
                </w:tcBorders>
                <w:vAlign w:val="center"/>
              </w:tcPr>
              <w:p w14:paraId="0B540E03" w14:textId="77777777" w:rsidR="005E000F" w:rsidRDefault="00000000">
                <w:pPr>
                  <w:rPr>
                    <w:color w:val="008000"/>
                  </w:rPr>
                </w:pPr>
                <w:r>
                  <w:rPr>
                    <w:rFonts w:hint="eastAsia"/>
                    <w:b/>
                    <w:bCs/>
                  </w:rPr>
                  <w:t>三、筹资活动产生的现金流量：</w:t>
                </w:r>
              </w:p>
            </w:tc>
          </w:sdtContent>
        </w:sdt>
      </w:tr>
      <w:tr w:rsidR="005E000F" w14:paraId="48D64E1C" w14:textId="77777777">
        <w:tc>
          <w:tcPr>
            <w:tcW w:w="3145" w:type="dxa"/>
            <w:tcBorders>
              <w:top w:val="outset" w:sz="4" w:space="0" w:color="auto"/>
              <w:left w:val="outset" w:sz="4" w:space="0" w:color="auto"/>
              <w:bottom w:val="outset" w:sz="4" w:space="0" w:color="auto"/>
              <w:right w:val="outset" w:sz="4" w:space="0" w:color="auto"/>
            </w:tcBorders>
            <w:vAlign w:val="center"/>
          </w:tcPr>
          <w:p w14:paraId="4B23F2D8" w14:textId="77777777" w:rsidR="005E000F" w:rsidRDefault="00000000">
            <w:pPr>
              <w:ind w:firstLineChars="100" w:firstLine="210"/>
              <w:rPr>
                <w:color w:val="000000"/>
              </w:rPr>
            </w:pPr>
            <w:r>
              <w:rPr>
                <w:rFonts w:hint="eastAsia"/>
              </w:rPr>
              <w:t>吸收投资收到的现金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3D281C04"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46C78D3C" w14:textId="77777777" w:rsidR="005E000F" w:rsidRDefault="00000000">
            <w:pPr>
              <w:jc w:val="right"/>
            </w:pPr>
            <w:r>
              <w:rPr>
                <w:rFonts w:hint="eastAsia"/>
              </w:rPr>
              <w:t>0</w:t>
            </w:r>
          </w:p>
        </w:tc>
        <w:tc>
          <w:tcPr>
            <w:tcW w:w="2164" w:type="dxa"/>
            <w:tcBorders>
              <w:top w:val="outset" w:sz="4" w:space="0" w:color="auto"/>
              <w:left w:val="outset" w:sz="4" w:space="0" w:color="auto"/>
              <w:bottom w:val="outset" w:sz="4" w:space="0" w:color="auto"/>
              <w:right w:val="outset" w:sz="4" w:space="0" w:color="auto"/>
            </w:tcBorders>
            <w:vAlign w:val="center"/>
          </w:tcPr>
          <w:p w14:paraId="70821115" w14:textId="77777777" w:rsidR="005E000F" w:rsidRDefault="00000000">
            <w:pPr>
              <w:jc w:val="right"/>
            </w:pPr>
            <w:r>
              <w:rPr>
                <w:rFonts w:hint="eastAsia"/>
              </w:rPr>
              <w:t>0</w:t>
            </w:r>
          </w:p>
        </w:tc>
      </w:tr>
      <w:tr w:rsidR="005E000F" w14:paraId="41369917" w14:textId="77777777">
        <w:tc>
          <w:tcPr>
            <w:tcW w:w="3145" w:type="dxa"/>
            <w:tcBorders>
              <w:top w:val="outset" w:sz="4" w:space="0" w:color="auto"/>
              <w:left w:val="outset" w:sz="4" w:space="0" w:color="auto"/>
              <w:bottom w:val="outset" w:sz="4" w:space="0" w:color="auto"/>
              <w:right w:val="outset" w:sz="4" w:space="0" w:color="auto"/>
            </w:tcBorders>
            <w:vAlign w:val="center"/>
          </w:tcPr>
          <w:p w14:paraId="607F6F32" w14:textId="77777777" w:rsidR="005E000F" w:rsidRDefault="00000000">
            <w:pPr>
              <w:ind w:firstLineChars="100" w:firstLine="210"/>
              <w:rPr>
                <w:color w:val="000000"/>
              </w:rPr>
            </w:pPr>
            <w:r>
              <w:rPr>
                <w:rFonts w:hint="eastAsia"/>
              </w:rPr>
              <w:t>取得借款收到的现金</w:t>
            </w:r>
          </w:p>
        </w:tc>
        <w:tc>
          <w:tcPr>
            <w:tcW w:w="1569" w:type="dxa"/>
            <w:tcBorders>
              <w:top w:val="outset" w:sz="4" w:space="0" w:color="auto"/>
              <w:left w:val="outset" w:sz="4" w:space="0" w:color="auto"/>
              <w:bottom w:val="outset" w:sz="4" w:space="0" w:color="auto"/>
              <w:right w:val="outset" w:sz="4" w:space="0" w:color="auto"/>
            </w:tcBorders>
            <w:vAlign w:val="center"/>
          </w:tcPr>
          <w:p w14:paraId="13D9C801"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24DA84FD" w14:textId="77777777" w:rsidR="005E000F" w:rsidRDefault="00000000">
            <w:pPr>
              <w:jc w:val="right"/>
            </w:pPr>
            <w:r>
              <w:rPr>
                <w:rFonts w:hint="eastAsia"/>
              </w:rPr>
              <w:t>0</w:t>
            </w:r>
          </w:p>
        </w:tc>
        <w:tc>
          <w:tcPr>
            <w:tcW w:w="2164" w:type="dxa"/>
            <w:tcBorders>
              <w:top w:val="outset" w:sz="4" w:space="0" w:color="auto"/>
              <w:left w:val="outset" w:sz="4" w:space="0" w:color="auto"/>
              <w:bottom w:val="outset" w:sz="4" w:space="0" w:color="auto"/>
              <w:right w:val="outset" w:sz="4" w:space="0" w:color="auto"/>
            </w:tcBorders>
            <w:vAlign w:val="center"/>
          </w:tcPr>
          <w:p w14:paraId="6E2CA158" w14:textId="77777777" w:rsidR="005E000F" w:rsidRDefault="00000000">
            <w:pPr>
              <w:jc w:val="right"/>
            </w:pPr>
            <w:r>
              <w:rPr>
                <w:rFonts w:hint="eastAsia"/>
              </w:rPr>
              <w:t>0</w:t>
            </w:r>
          </w:p>
        </w:tc>
      </w:tr>
      <w:tr w:rsidR="005E000F" w14:paraId="7FA1632E" w14:textId="77777777">
        <w:tc>
          <w:tcPr>
            <w:tcW w:w="3145" w:type="dxa"/>
            <w:tcBorders>
              <w:top w:val="outset" w:sz="4" w:space="0" w:color="auto"/>
              <w:left w:val="outset" w:sz="4" w:space="0" w:color="auto"/>
              <w:bottom w:val="outset" w:sz="4" w:space="0" w:color="auto"/>
              <w:right w:val="outset" w:sz="4" w:space="0" w:color="auto"/>
            </w:tcBorders>
            <w:vAlign w:val="center"/>
          </w:tcPr>
          <w:p w14:paraId="669BE563" w14:textId="77777777" w:rsidR="005E000F" w:rsidRDefault="00000000">
            <w:pPr>
              <w:ind w:firstLineChars="100" w:firstLine="210"/>
              <w:rPr>
                <w:color w:val="000000"/>
              </w:rPr>
            </w:pPr>
            <w:r>
              <w:rPr>
                <w:rFonts w:hint="eastAsia"/>
              </w:rPr>
              <w:t>收到其他与筹资活动有关的现金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05BC0599"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192F7103" w14:textId="77777777" w:rsidR="005E000F" w:rsidRDefault="00000000">
            <w:pPr>
              <w:jc w:val="right"/>
            </w:pPr>
            <w:r>
              <w:t>944,831,183</w:t>
            </w:r>
          </w:p>
        </w:tc>
        <w:tc>
          <w:tcPr>
            <w:tcW w:w="2164" w:type="dxa"/>
            <w:tcBorders>
              <w:top w:val="outset" w:sz="4" w:space="0" w:color="auto"/>
              <w:left w:val="outset" w:sz="4" w:space="0" w:color="auto"/>
              <w:bottom w:val="outset" w:sz="4" w:space="0" w:color="auto"/>
              <w:right w:val="outset" w:sz="4" w:space="0" w:color="auto"/>
            </w:tcBorders>
            <w:vAlign w:val="center"/>
          </w:tcPr>
          <w:p w14:paraId="4C0F3CEE" w14:textId="77777777" w:rsidR="005E000F" w:rsidRDefault="00000000">
            <w:pPr>
              <w:jc w:val="right"/>
            </w:pPr>
            <w:r>
              <w:t>916,908,342</w:t>
            </w:r>
          </w:p>
        </w:tc>
      </w:tr>
      <w:tr w:rsidR="005E000F" w14:paraId="578ABF02" w14:textId="77777777">
        <w:tc>
          <w:tcPr>
            <w:tcW w:w="3145" w:type="dxa"/>
            <w:tcBorders>
              <w:top w:val="outset" w:sz="4" w:space="0" w:color="auto"/>
              <w:left w:val="outset" w:sz="4" w:space="0" w:color="auto"/>
              <w:bottom w:val="outset" w:sz="4" w:space="0" w:color="auto"/>
              <w:right w:val="outset" w:sz="4" w:space="0" w:color="auto"/>
            </w:tcBorders>
            <w:vAlign w:val="center"/>
          </w:tcPr>
          <w:p w14:paraId="6D66CB0D" w14:textId="77777777" w:rsidR="005E000F" w:rsidRDefault="00000000">
            <w:pPr>
              <w:ind w:firstLineChars="200" w:firstLine="420"/>
              <w:rPr>
                <w:color w:val="000000"/>
              </w:rPr>
            </w:pPr>
            <w:r>
              <w:rPr>
                <w:rFonts w:hint="eastAsia"/>
              </w:rPr>
              <w:t>筹资活动现金流入小计</w:t>
            </w:r>
          </w:p>
        </w:tc>
        <w:tc>
          <w:tcPr>
            <w:tcW w:w="1569" w:type="dxa"/>
            <w:tcBorders>
              <w:top w:val="outset" w:sz="4" w:space="0" w:color="auto"/>
              <w:left w:val="outset" w:sz="4" w:space="0" w:color="auto"/>
              <w:bottom w:val="outset" w:sz="4" w:space="0" w:color="auto"/>
              <w:right w:val="outset" w:sz="4" w:space="0" w:color="auto"/>
            </w:tcBorders>
            <w:vAlign w:val="center"/>
          </w:tcPr>
          <w:p w14:paraId="1B88AEEE"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65ABA804" w14:textId="77777777" w:rsidR="005E000F" w:rsidRDefault="00000000">
            <w:pPr>
              <w:jc w:val="right"/>
            </w:pPr>
            <w:r>
              <w:t>944,831,183</w:t>
            </w:r>
          </w:p>
        </w:tc>
        <w:tc>
          <w:tcPr>
            <w:tcW w:w="2164" w:type="dxa"/>
            <w:tcBorders>
              <w:top w:val="outset" w:sz="4" w:space="0" w:color="auto"/>
              <w:left w:val="outset" w:sz="4" w:space="0" w:color="auto"/>
              <w:bottom w:val="outset" w:sz="4" w:space="0" w:color="auto"/>
              <w:right w:val="outset" w:sz="4" w:space="0" w:color="auto"/>
            </w:tcBorders>
            <w:vAlign w:val="center"/>
          </w:tcPr>
          <w:p w14:paraId="05598D34" w14:textId="77777777" w:rsidR="005E000F" w:rsidRDefault="00000000">
            <w:pPr>
              <w:jc w:val="right"/>
            </w:pPr>
            <w:r>
              <w:t>916,908,342</w:t>
            </w:r>
          </w:p>
        </w:tc>
      </w:tr>
      <w:tr w:rsidR="005E000F" w14:paraId="21CCA3AC" w14:textId="77777777">
        <w:tc>
          <w:tcPr>
            <w:tcW w:w="3145" w:type="dxa"/>
            <w:tcBorders>
              <w:top w:val="outset" w:sz="4" w:space="0" w:color="auto"/>
              <w:left w:val="outset" w:sz="4" w:space="0" w:color="auto"/>
              <w:bottom w:val="outset" w:sz="4" w:space="0" w:color="auto"/>
              <w:right w:val="outset" w:sz="4" w:space="0" w:color="auto"/>
            </w:tcBorders>
            <w:vAlign w:val="center"/>
          </w:tcPr>
          <w:p w14:paraId="00CE95A2" w14:textId="77777777" w:rsidR="005E000F" w:rsidRDefault="00000000">
            <w:pPr>
              <w:ind w:firstLineChars="100" w:firstLine="210"/>
            </w:pPr>
            <w:r>
              <w:rPr>
                <w:rFonts w:hint="eastAsia"/>
              </w:rPr>
              <w:t>偿还债务支付的现金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104F1C88"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4606351F" w14:textId="77777777" w:rsidR="005E000F" w:rsidRDefault="00000000">
            <w:pPr>
              <w:jc w:val="right"/>
            </w:pPr>
            <w:r>
              <w:rPr>
                <w:rFonts w:hint="eastAsia"/>
              </w:rPr>
              <w:t>0</w:t>
            </w:r>
          </w:p>
        </w:tc>
        <w:tc>
          <w:tcPr>
            <w:tcW w:w="2164" w:type="dxa"/>
            <w:tcBorders>
              <w:top w:val="outset" w:sz="4" w:space="0" w:color="auto"/>
              <w:left w:val="outset" w:sz="4" w:space="0" w:color="auto"/>
              <w:bottom w:val="outset" w:sz="4" w:space="0" w:color="auto"/>
              <w:right w:val="outset" w:sz="4" w:space="0" w:color="auto"/>
            </w:tcBorders>
            <w:vAlign w:val="center"/>
          </w:tcPr>
          <w:p w14:paraId="7730AF93" w14:textId="77777777" w:rsidR="005E000F" w:rsidRDefault="00000000">
            <w:pPr>
              <w:jc w:val="right"/>
            </w:pPr>
            <w:r>
              <w:t>0</w:t>
            </w:r>
          </w:p>
        </w:tc>
      </w:tr>
      <w:tr w:rsidR="005E000F" w14:paraId="12036A0E" w14:textId="77777777">
        <w:tc>
          <w:tcPr>
            <w:tcW w:w="3145" w:type="dxa"/>
            <w:tcBorders>
              <w:top w:val="outset" w:sz="4" w:space="0" w:color="auto"/>
              <w:left w:val="outset" w:sz="4" w:space="0" w:color="auto"/>
              <w:bottom w:val="outset" w:sz="4" w:space="0" w:color="auto"/>
              <w:right w:val="outset" w:sz="4" w:space="0" w:color="auto"/>
            </w:tcBorders>
            <w:vAlign w:val="center"/>
          </w:tcPr>
          <w:p w14:paraId="42AFCE55" w14:textId="77777777" w:rsidR="005E000F" w:rsidRDefault="00000000">
            <w:pPr>
              <w:ind w:firstLineChars="100" w:firstLine="210"/>
            </w:pPr>
            <w:r>
              <w:rPr>
                <w:rFonts w:hint="eastAsia"/>
              </w:rPr>
              <w:t>分配股利、利润或偿付利息支付的现金</w:t>
            </w:r>
          </w:p>
        </w:tc>
        <w:tc>
          <w:tcPr>
            <w:tcW w:w="1569" w:type="dxa"/>
            <w:tcBorders>
              <w:top w:val="outset" w:sz="4" w:space="0" w:color="auto"/>
              <w:left w:val="outset" w:sz="4" w:space="0" w:color="auto"/>
              <w:bottom w:val="outset" w:sz="4" w:space="0" w:color="auto"/>
              <w:right w:val="outset" w:sz="4" w:space="0" w:color="auto"/>
            </w:tcBorders>
            <w:vAlign w:val="center"/>
          </w:tcPr>
          <w:p w14:paraId="6D8B6C57"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18C8412A" w14:textId="77777777" w:rsidR="005E000F" w:rsidRDefault="00000000">
            <w:pPr>
              <w:jc w:val="right"/>
            </w:pPr>
            <w:r>
              <w:t>4,432,379,098</w:t>
            </w:r>
          </w:p>
        </w:tc>
        <w:tc>
          <w:tcPr>
            <w:tcW w:w="2164" w:type="dxa"/>
            <w:tcBorders>
              <w:top w:val="outset" w:sz="4" w:space="0" w:color="auto"/>
              <w:left w:val="outset" w:sz="4" w:space="0" w:color="auto"/>
              <w:bottom w:val="outset" w:sz="4" w:space="0" w:color="auto"/>
              <w:right w:val="outset" w:sz="4" w:space="0" w:color="auto"/>
            </w:tcBorders>
            <w:vAlign w:val="center"/>
          </w:tcPr>
          <w:p w14:paraId="5578AFF7" w14:textId="77777777" w:rsidR="005E000F" w:rsidRDefault="00000000">
            <w:pPr>
              <w:jc w:val="right"/>
            </w:pPr>
            <w:r>
              <w:t>9,472,538,763</w:t>
            </w:r>
          </w:p>
        </w:tc>
      </w:tr>
      <w:tr w:rsidR="005E000F" w14:paraId="0BB1A750" w14:textId="77777777">
        <w:tc>
          <w:tcPr>
            <w:tcW w:w="3145" w:type="dxa"/>
            <w:tcBorders>
              <w:top w:val="outset" w:sz="4" w:space="0" w:color="auto"/>
              <w:left w:val="outset" w:sz="4" w:space="0" w:color="auto"/>
              <w:bottom w:val="outset" w:sz="4" w:space="0" w:color="auto"/>
              <w:right w:val="outset" w:sz="4" w:space="0" w:color="auto"/>
            </w:tcBorders>
            <w:vAlign w:val="center"/>
          </w:tcPr>
          <w:p w14:paraId="28084DF7" w14:textId="77777777" w:rsidR="005E000F" w:rsidRDefault="00000000">
            <w:pPr>
              <w:ind w:firstLineChars="100" w:firstLine="210"/>
              <w:rPr>
                <w:color w:val="000000"/>
              </w:rPr>
            </w:pPr>
            <w:r>
              <w:rPr>
                <w:rFonts w:hint="eastAsia"/>
              </w:rPr>
              <w:t>支付其他与筹资活动有关的现金</w:t>
            </w:r>
          </w:p>
        </w:tc>
        <w:tc>
          <w:tcPr>
            <w:tcW w:w="1569" w:type="dxa"/>
            <w:tcBorders>
              <w:top w:val="outset" w:sz="4" w:space="0" w:color="auto"/>
              <w:left w:val="outset" w:sz="4" w:space="0" w:color="auto"/>
              <w:bottom w:val="outset" w:sz="4" w:space="0" w:color="auto"/>
              <w:right w:val="outset" w:sz="4" w:space="0" w:color="auto"/>
            </w:tcBorders>
            <w:vAlign w:val="center"/>
          </w:tcPr>
          <w:p w14:paraId="61A3BD04"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61973CCF" w14:textId="77777777" w:rsidR="005E000F" w:rsidRDefault="00000000">
            <w:pPr>
              <w:jc w:val="right"/>
            </w:pPr>
            <w:r>
              <w:t>506,899,940</w:t>
            </w:r>
          </w:p>
        </w:tc>
        <w:tc>
          <w:tcPr>
            <w:tcW w:w="2164" w:type="dxa"/>
            <w:tcBorders>
              <w:top w:val="outset" w:sz="4" w:space="0" w:color="auto"/>
              <w:left w:val="outset" w:sz="4" w:space="0" w:color="auto"/>
              <w:bottom w:val="outset" w:sz="4" w:space="0" w:color="auto"/>
              <w:right w:val="outset" w:sz="4" w:space="0" w:color="auto"/>
            </w:tcBorders>
            <w:vAlign w:val="center"/>
          </w:tcPr>
          <w:p w14:paraId="0204C2CB" w14:textId="77777777" w:rsidR="005E000F" w:rsidRDefault="00000000">
            <w:pPr>
              <w:jc w:val="right"/>
            </w:pPr>
            <w:r>
              <w:t>40,001,044</w:t>
            </w:r>
          </w:p>
        </w:tc>
      </w:tr>
      <w:tr w:rsidR="005E000F" w14:paraId="60E409B3" w14:textId="77777777">
        <w:tc>
          <w:tcPr>
            <w:tcW w:w="3145" w:type="dxa"/>
            <w:tcBorders>
              <w:top w:val="outset" w:sz="4" w:space="0" w:color="auto"/>
              <w:left w:val="outset" w:sz="4" w:space="0" w:color="auto"/>
              <w:bottom w:val="outset" w:sz="4" w:space="0" w:color="auto"/>
              <w:right w:val="outset" w:sz="4" w:space="0" w:color="auto"/>
            </w:tcBorders>
            <w:vAlign w:val="center"/>
          </w:tcPr>
          <w:p w14:paraId="396C5912" w14:textId="77777777" w:rsidR="005E000F" w:rsidRDefault="00000000">
            <w:pPr>
              <w:ind w:firstLineChars="200" w:firstLine="420"/>
              <w:rPr>
                <w:color w:val="000000"/>
              </w:rPr>
            </w:pPr>
            <w:r>
              <w:rPr>
                <w:rFonts w:hint="eastAsia"/>
              </w:rPr>
              <w:t>筹资活动现金流出小计</w:t>
            </w:r>
          </w:p>
        </w:tc>
        <w:tc>
          <w:tcPr>
            <w:tcW w:w="1569" w:type="dxa"/>
            <w:tcBorders>
              <w:top w:val="outset" w:sz="4" w:space="0" w:color="auto"/>
              <w:left w:val="outset" w:sz="4" w:space="0" w:color="auto"/>
              <w:bottom w:val="outset" w:sz="4" w:space="0" w:color="auto"/>
              <w:right w:val="outset" w:sz="4" w:space="0" w:color="auto"/>
            </w:tcBorders>
            <w:vAlign w:val="center"/>
          </w:tcPr>
          <w:p w14:paraId="0CA1CA12"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35D1C41F" w14:textId="77777777" w:rsidR="005E000F" w:rsidRDefault="00000000">
            <w:pPr>
              <w:jc w:val="right"/>
            </w:pPr>
            <w:r>
              <w:t>4,939,279,038</w:t>
            </w:r>
          </w:p>
        </w:tc>
        <w:tc>
          <w:tcPr>
            <w:tcW w:w="2164" w:type="dxa"/>
            <w:tcBorders>
              <w:top w:val="outset" w:sz="4" w:space="0" w:color="auto"/>
              <w:left w:val="outset" w:sz="4" w:space="0" w:color="auto"/>
              <w:bottom w:val="outset" w:sz="4" w:space="0" w:color="auto"/>
              <w:right w:val="outset" w:sz="4" w:space="0" w:color="auto"/>
            </w:tcBorders>
            <w:vAlign w:val="center"/>
          </w:tcPr>
          <w:p w14:paraId="4B5D99D9" w14:textId="77777777" w:rsidR="005E000F" w:rsidRDefault="00000000">
            <w:pPr>
              <w:jc w:val="right"/>
            </w:pPr>
            <w:r>
              <w:t>9,512,539,807</w:t>
            </w:r>
          </w:p>
        </w:tc>
      </w:tr>
      <w:tr w:rsidR="005E000F" w14:paraId="67AFC8BA" w14:textId="77777777">
        <w:tc>
          <w:tcPr>
            <w:tcW w:w="3145" w:type="dxa"/>
            <w:tcBorders>
              <w:top w:val="outset" w:sz="4" w:space="0" w:color="auto"/>
              <w:left w:val="outset" w:sz="4" w:space="0" w:color="auto"/>
              <w:bottom w:val="outset" w:sz="4" w:space="0" w:color="auto"/>
              <w:right w:val="outset" w:sz="4" w:space="0" w:color="auto"/>
            </w:tcBorders>
            <w:vAlign w:val="center"/>
          </w:tcPr>
          <w:p w14:paraId="2754F923" w14:textId="77777777" w:rsidR="005E000F" w:rsidRDefault="00000000">
            <w:pPr>
              <w:ind w:firstLineChars="300" w:firstLine="630"/>
              <w:rPr>
                <w:color w:val="000000"/>
              </w:rPr>
            </w:pPr>
            <w:r>
              <w:rPr>
                <w:rFonts w:hint="eastAsia"/>
              </w:rPr>
              <w:t>筹资活动产生的现金流量净额</w:t>
            </w:r>
          </w:p>
        </w:tc>
        <w:tc>
          <w:tcPr>
            <w:tcW w:w="1569" w:type="dxa"/>
            <w:tcBorders>
              <w:top w:val="outset" w:sz="4" w:space="0" w:color="auto"/>
              <w:left w:val="outset" w:sz="4" w:space="0" w:color="auto"/>
              <w:bottom w:val="outset" w:sz="4" w:space="0" w:color="auto"/>
              <w:right w:val="outset" w:sz="4" w:space="0" w:color="auto"/>
            </w:tcBorders>
            <w:vAlign w:val="center"/>
          </w:tcPr>
          <w:p w14:paraId="01E676C8"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01677994" w14:textId="77777777" w:rsidR="005E000F" w:rsidRDefault="00000000">
            <w:pPr>
              <w:jc w:val="right"/>
            </w:pPr>
            <w:r>
              <w:t>-3,994,447,855</w:t>
            </w:r>
          </w:p>
        </w:tc>
        <w:tc>
          <w:tcPr>
            <w:tcW w:w="2164" w:type="dxa"/>
            <w:tcBorders>
              <w:top w:val="outset" w:sz="4" w:space="0" w:color="auto"/>
              <w:left w:val="outset" w:sz="4" w:space="0" w:color="auto"/>
              <w:bottom w:val="outset" w:sz="4" w:space="0" w:color="auto"/>
              <w:right w:val="outset" w:sz="4" w:space="0" w:color="auto"/>
            </w:tcBorders>
            <w:vAlign w:val="center"/>
          </w:tcPr>
          <w:p w14:paraId="79AFC89B" w14:textId="77777777" w:rsidR="005E000F" w:rsidRDefault="00000000">
            <w:pPr>
              <w:jc w:val="right"/>
            </w:pPr>
            <w:r>
              <w:t>-8,595,631,465</w:t>
            </w:r>
          </w:p>
        </w:tc>
      </w:tr>
      <w:tr w:rsidR="005E000F" w14:paraId="18469052" w14:textId="77777777">
        <w:tc>
          <w:tcPr>
            <w:tcW w:w="3145" w:type="dxa"/>
            <w:tcBorders>
              <w:top w:val="outset" w:sz="4" w:space="0" w:color="auto"/>
              <w:left w:val="outset" w:sz="4" w:space="0" w:color="auto"/>
              <w:bottom w:val="outset" w:sz="4" w:space="0" w:color="auto"/>
              <w:right w:val="outset" w:sz="4" w:space="0" w:color="auto"/>
            </w:tcBorders>
            <w:vAlign w:val="center"/>
          </w:tcPr>
          <w:p w14:paraId="5DB48047" w14:textId="77777777" w:rsidR="005E000F" w:rsidRDefault="00000000">
            <w:pPr>
              <w:rPr>
                <w:color w:val="000000"/>
              </w:rPr>
            </w:pPr>
            <w:r>
              <w:rPr>
                <w:rFonts w:hint="eastAsia"/>
                <w:b/>
                <w:bCs/>
              </w:rPr>
              <w:t>四、汇率变动对现金及现金等价物的影响</w:t>
            </w:r>
          </w:p>
        </w:tc>
        <w:tc>
          <w:tcPr>
            <w:tcW w:w="1569" w:type="dxa"/>
            <w:tcBorders>
              <w:top w:val="outset" w:sz="4" w:space="0" w:color="auto"/>
              <w:left w:val="outset" w:sz="4" w:space="0" w:color="auto"/>
              <w:bottom w:val="outset" w:sz="4" w:space="0" w:color="auto"/>
              <w:right w:val="outset" w:sz="4" w:space="0" w:color="auto"/>
            </w:tcBorders>
            <w:vAlign w:val="center"/>
          </w:tcPr>
          <w:p w14:paraId="70AA1588"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4808F845" w14:textId="77777777" w:rsidR="005E000F" w:rsidRDefault="00000000">
            <w:pPr>
              <w:jc w:val="right"/>
            </w:pPr>
            <w:r>
              <w:rPr>
                <w:rFonts w:hint="eastAsia"/>
              </w:rPr>
              <w:t>0</w:t>
            </w:r>
          </w:p>
        </w:tc>
        <w:tc>
          <w:tcPr>
            <w:tcW w:w="2164" w:type="dxa"/>
            <w:tcBorders>
              <w:top w:val="outset" w:sz="4" w:space="0" w:color="auto"/>
              <w:left w:val="outset" w:sz="4" w:space="0" w:color="auto"/>
              <w:bottom w:val="outset" w:sz="4" w:space="0" w:color="auto"/>
              <w:right w:val="outset" w:sz="4" w:space="0" w:color="auto"/>
            </w:tcBorders>
            <w:vAlign w:val="center"/>
          </w:tcPr>
          <w:p w14:paraId="1B293E45" w14:textId="77777777" w:rsidR="005E000F" w:rsidRDefault="00000000">
            <w:pPr>
              <w:jc w:val="right"/>
            </w:pPr>
            <w:r>
              <w:t>0</w:t>
            </w:r>
          </w:p>
        </w:tc>
      </w:tr>
      <w:tr w:rsidR="005E000F" w14:paraId="591D10F8" w14:textId="77777777">
        <w:tc>
          <w:tcPr>
            <w:tcW w:w="3145" w:type="dxa"/>
            <w:tcBorders>
              <w:top w:val="outset" w:sz="4" w:space="0" w:color="auto"/>
              <w:left w:val="outset" w:sz="4" w:space="0" w:color="auto"/>
              <w:bottom w:val="outset" w:sz="4" w:space="0" w:color="auto"/>
              <w:right w:val="outset" w:sz="4" w:space="0" w:color="auto"/>
            </w:tcBorders>
            <w:vAlign w:val="center"/>
          </w:tcPr>
          <w:p w14:paraId="661B568E" w14:textId="77777777" w:rsidR="005E000F" w:rsidRDefault="00000000">
            <w:pPr>
              <w:rPr>
                <w:color w:val="000000"/>
              </w:rPr>
            </w:pPr>
            <w:r>
              <w:rPr>
                <w:rFonts w:hint="eastAsia"/>
                <w:b/>
                <w:bCs/>
              </w:rPr>
              <w:t>五、现金及现金等价物净增加额</w:t>
            </w:r>
          </w:p>
        </w:tc>
        <w:tc>
          <w:tcPr>
            <w:tcW w:w="1569" w:type="dxa"/>
            <w:tcBorders>
              <w:top w:val="outset" w:sz="4" w:space="0" w:color="auto"/>
              <w:left w:val="outset" w:sz="4" w:space="0" w:color="auto"/>
              <w:bottom w:val="outset" w:sz="4" w:space="0" w:color="auto"/>
              <w:right w:val="outset" w:sz="4" w:space="0" w:color="auto"/>
            </w:tcBorders>
            <w:vAlign w:val="center"/>
          </w:tcPr>
          <w:p w14:paraId="41D46B57"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0D26B5B6" w14:textId="77777777" w:rsidR="005E000F" w:rsidRDefault="00000000">
            <w:pPr>
              <w:jc w:val="right"/>
            </w:pPr>
            <w:r>
              <w:t>-25,507,712,550</w:t>
            </w:r>
          </w:p>
        </w:tc>
        <w:tc>
          <w:tcPr>
            <w:tcW w:w="2164" w:type="dxa"/>
            <w:tcBorders>
              <w:top w:val="outset" w:sz="4" w:space="0" w:color="auto"/>
              <w:left w:val="outset" w:sz="4" w:space="0" w:color="auto"/>
              <w:bottom w:val="outset" w:sz="4" w:space="0" w:color="auto"/>
              <w:right w:val="outset" w:sz="4" w:space="0" w:color="auto"/>
            </w:tcBorders>
            <w:vAlign w:val="center"/>
          </w:tcPr>
          <w:p w14:paraId="2115B713" w14:textId="77777777" w:rsidR="005E000F" w:rsidRDefault="00000000">
            <w:pPr>
              <w:jc w:val="right"/>
            </w:pPr>
            <w:r>
              <w:t>-5,969,906,598</w:t>
            </w:r>
          </w:p>
        </w:tc>
      </w:tr>
      <w:tr w:rsidR="005E000F" w14:paraId="06B679D5" w14:textId="77777777">
        <w:tc>
          <w:tcPr>
            <w:tcW w:w="3145" w:type="dxa"/>
            <w:tcBorders>
              <w:top w:val="outset" w:sz="4" w:space="0" w:color="auto"/>
              <w:left w:val="outset" w:sz="4" w:space="0" w:color="auto"/>
              <w:bottom w:val="outset" w:sz="4" w:space="0" w:color="auto"/>
              <w:right w:val="outset" w:sz="4" w:space="0" w:color="auto"/>
            </w:tcBorders>
            <w:vAlign w:val="center"/>
          </w:tcPr>
          <w:p w14:paraId="4B20D55B" w14:textId="77777777" w:rsidR="005E000F" w:rsidRDefault="00000000">
            <w:pPr>
              <w:ind w:firstLineChars="100" w:firstLine="210"/>
              <w:rPr>
                <w:color w:val="000000"/>
              </w:rPr>
            </w:pPr>
            <w:r>
              <w:rPr>
                <w:rFonts w:hint="eastAsia"/>
              </w:rPr>
              <w:t>加：期初现金及现金等价物余额</w:t>
            </w:r>
          </w:p>
        </w:tc>
        <w:tc>
          <w:tcPr>
            <w:tcW w:w="1569" w:type="dxa"/>
            <w:tcBorders>
              <w:top w:val="outset" w:sz="4" w:space="0" w:color="auto"/>
              <w:left w:val="outset" w:sz="4" w:space="0" w:color="auto"/>
              <w:bottom w:val="outset" w:sz="4" w:space="0" w:color="auto"/>
              <w:right w:val="outset" w:sz="4" w:space="0" w:color="auto"/>
            </w:tcBorders>
            <w:vAlign w:val="center"/>
          </w:tcPr>
          <w:p w14:paraId="45A5E70A"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089D4274" w14:textId="77777777" w:rsidR="005E000F" w:rsidRDefault="00000000">
            <w:pPr>
              <w:jc w:val="right"/>
            </w:pPr>
            <w:r>
              <w:t>61,340,887,299</w:t>
            </w:r>
          </w:p>
        </w:tc>
        <w:tc>
          <w:tcPr>
            <w:tcW w:w="2164" w:type="dxa"/>
            <w:tcBorders>
              <w:top w:val="outset" w:sz="4" w:space="0" w:color="auto"/>
              <w:left w:val="outset" w:sz="4" w:space="0" w:color="auto"/>
              <w:bottom w:val="outset" w:sz="4" w:space="0" w:color="auto"/>
              <w:right w:val="outset" w:sz="4" w:space="0" w:color="auto"/>
            </w:tcBorders>
            <w:vAlign w:val="center"/>
          </w:tcPr>
          <w:p w14:paraId="140B0B20" w14:textId="77777777" w:rsidR="005E000F" w:rsidRDefault="00000000">
            <w:pPr>
              <w:jc w:val="right"/>
            </w:pPr>
            <w:r>
              <w:t>67,310,793,897</w:t>
            </w:r>
          </w:p>
        </w:tc>
      </w:tr>
      <w:tr w:rsidR="005E000F" w14:paraId="49D0E58F" w14:textId="77777777">
        <w:tc>
          <w:tcPr>
            <w:tcW w:w="3145" w:type="dxa"/>
            <w:tcBorders>
              <w:top w:val="outset" w:sz="4" w:space="0" w:color="auto"/>
              <w:left w:val="outset" w:sz="4" w:space="0" w:color="auto"/>
              <w:bottom w:val="outset" w:sz="4" w:space="0" w:color="auto"/>
              <w:right w:val="outset" w:sz="4" w:space="0" w:color="auto"/>
            </w:tcBorders>
            <w:vAlign w:val="center"/>
          </w:tcPr>
          <w:p w14:paraId="216CA47E" w14:textId="77777777" w:rsidR="005E000F" w:rsidRDefault="00000000">
            <w:pPr>
              <w:rPr>
                <w:color w:val="000000"/>
              </w:rPr>
            </w:pPr>
            <w:r>
              <w:rPr>
                <w:rFonts w:hint="eastAsia"/>
                <w:b/>
                <w:bCs/>
              </w:rPr>
              <w:lastRenderedPageBreak/>
              <w:t>六、期末现金及现金等价物余额</w:t>
            </w:r>
          </w:p>
        </w:tc>
        <w:tc>
          <w:tcPr>
            <w:tcW w:w="1569" w:type="dxa"/>
            <w:tcBorders>
              <w:top w:val="outset" w:sz="4" w:space="0" w:color="auto"/>
              <w:left w:val="outset" w:sz="4" w:space="0" w:color="auto"/>
              <w:bottom w:val="outset" w:sz="4" w:space="0" w:color="auto"/>
              <w:right w:val="outset" w:sz="4" w:space="0" w:color="auto"/>
            </w:tcBorders>
            <w:vAlign w:val="center"/>
          </w:tcPr>
          <w:p w14:paraId="5FEF2D85" w14:textId="77777777" w:rsidR="005E000F" w:rsidRDefault="005E000F"/>
        </w:tc>
        <w:tc>
          <w:tcPr>
            <w:tcW w:w="2171" w:type="dxa"/>
            <w:tcBorders>
              <w:top w:val="outset" w:sz="4" w:space="0" w:color="auto"/>
              <w:left w:val="outset" w:sz="4" w:space="0" w:color="auto"/>
              <w:bottom w:val="outset" w:sz="4" w:space="0" w:color="auto"/>
              <w:right w:val="outset" w:sz="4" w:space="0" w:color="auto"/>
            </w:tcBorders>
            <w:vAlign w:val="center"/>
          </w:tcPr>
          <w:p w14:paraId="75B2268C" w14:textId="77777777" w:rsidR="005E000F" w:rsidRDefault="00000000">
            <w:pPr>
              <w:jc w:val="right"/>
            </w:pPr>
            <w:r>
              <w:t>35,833,174,749</w:t>
            </w:r>
          </w:p>
        </w:tc>
        <w:tc>
          <w:tcPr>
            <w:tcW w:w="2164" w:type="dxa"/>
            <w:tcBorders>
              <w:top w:val="outset" w:sz="4" w:space="0" w:color="auto"/>
              <w:left w:val="outset" w:sz="4" w:space="0" w:color="auto"/>
              <w:bottom w:val="outset" w:sz="4" w:space="0" w:color="auto"/>
              <w:right w:val="outset" w:sz="4" w:space="0" w:color="auto"/>
            </w:tcBorders>
            <w:vAlign w:val="center"/>
          </w:tcPr>
          <w:p w14:paraId="4E7DC3E4" w14:textId="77777777" w:rsidR="005E000F" w:rsidRDefault="00000000">
            <w:pPr>
              <w:jc w:val="right"/>
            </w:pPr>
            <w:r>
              <w:t>61,340,887,299</w:t>
            </w:r>
          </w:p>
        </w:tc>
      </w:tr>
    </w:tbl>
    <w:p w14:paraId="6E036FB8" w14:textId="77777777" w:rsidR="005E000F" w:rsidRDefault="005E000F"/>
    <w:p w14:paraId="14E1DEB5" w14:textId="77777777" w:rsidR="005E000F" w:rsidRDefault="00000000">
      <w:pPr>
        <w:snapToGrid w:val="0"/>
        <w:spacing w:line="240" w:lineRule="atLeast"/>
        <w:ind w:rightChars="-73" w:right="-153"/>
        <w:rPr>
          <w:b/>
          <w:bCs/>
          <w:color w:val="FF0000"/>
        </w:rPr>
      </w:pPr>
      <w:r>
        <w:rPr>
          <w:rFonts w:hint="eastAsia"/>
        </w:rPr>
        <w:t>公司负责</w:t>
      </w:r>
      <w:r>
        <w:t>人</w:t>
      </w:r>
      <w:r>
        <w:rPr>
          <w:rFonts w:hint="eastAsia"/>
        </w:rPr>
        <w:t>：</w:t>
      </w:r>
      <w:sdt>
        <w:sdtPr>
          <w:rPr>
            <w:rFonts w:hint="eastAsia"/>
          </w:rPr>
          <w:alias w:val="公司负责人姓名"/>
          <w:tag w:val="_GBC_b872f4b10a12453987b2d73dfe2a5ff9"/>
          <w:id w:val="-1929179070"/>
          <w:placeholder>
            <w:docPart w:val="GBC22222222222222222222222222222"/>
          </w:placeholder>
          <w:dataBinding w:prefixMappings="xmlns:clcid-mr='clcid-mr'" w:xpath="/*/clcid-mr:GongSiFuZeRenXingMing[not(@periodRef)]" w:storeItemID="{89EBAB94-44A0-46A2-B712-30D997D04A6D}"/>
          <w:text/>
        </w:sdtPr>
        <w:sdtContent>
          <w:proofErr w:type="gramStart"/>
          <w:r>
            <w:rPr>
              <w:rFonts w:hint="eastAsia"/>
            </w:rPr>
            <w:t>陆勇</w:t>
          </w:r>
          <w:proofErr w:type="gramEnd"/>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29443dd8858043c68f8217b05d1e3346"/>
          <w:id w:val="52906272"/>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952065710c0f41709539d877935c1903"/>
          <w:id w:val="-1263297297"/>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孔韶鹏</w:t>
          </w:r>
        </w:sdtContent>
      </w:sdt>
    </w:p>
    <w:p w14:paraId="382978C8" w14:textId="77777777" w:rsidR="005E000F" w:rsidRDefault="005E000F">
      <w:pPr>
        <w:rPr>
          <w:b/>
          <w:bCs/>
          <w:color w:val="FF0000"/>
        </w:rPr>
      </w:pPr>
    </w:p>
    <w:bookmarkEnd w:id="235"/>
    <w:p w14:paraId="2A0B5EE2" w14:textId="77777777" w:rsidR="005E000F" w:rsidRDefault="005E000F"/>
    <w:p w14:paraId="1143CFDB" w14:textId="77777777" w:rsidR="005E000F" w:rsidRDefault="005E000F">
      <w:pPr>
        <w:snapToGrid w:val="0"/>
        <w:spacing w:line="240" w:lineRule="atLeast"/>
        <w:ind w:rightChars="-73" w:right="-153"/>
      </w:pPr>
    </w:p>
    <w:p w14:paraId="7189D088" w14:textId="77777777" w:rsidR="005E000F" w:rsidRDefault="005E000F">
      <w:pPr>
        <w:snapToGrid w:val="0"/>
        <w:spacing w:line="240" w:lineRule="atLeast"/>
        <w:ind w:rightChars="-73" w:right="-153"/>
        <w:sectPr w:rsidR="005E000F">
          <w:pgSz w:w="11906" w:h="16838"/>
          <w:pgMar w:top="1525" w:right="1276" w:bottom="1440" w:left="1797" w:header="856" w:footer="992" w:gutter="0"/>
          <w:cols w:space="425"/>
          <w:docGrid w:linePitch="312"/>
        </w:sectPr>
      </w:pPr>
    </w:p>
    <w:p w14:paraId="4F11F8A7" w14:textId="77777777" w:rsidR="005E000F" w:rsidRDefault="005E000F">
      <w:pPr>
        <w:tabs>
          <w:tab w:val="left" w:pos="10080"/>
        </w:tabs>
        <w:snapToGrid w:val="0"/>
        <w:spacing w:line="240" w:lineRule="atLeast"/>
        <w:ind w:rightChars="12" w:right="25"/>
        <w:jc w:val="center"/>
        <w:rPr>
          <w:b/>
        </w:rPr>
      </w:pPr>
      <w:bookmarkStart w:id="236" w:name="_Hlk533930052"/>
    </w:p>
    <w:p w14:paraId="7F7CF342" w14:textId="77777777" w:rsidR="005E000F" w:rsidRDefault="00000000">
      <w:pPr>
        <w:tabs>
          <w:tab w:val="left" w:pos="10080"/>
        </w:tabs>
        <w:snapToGrid w:val="0"/>
        <w:spacing w:line="240" w:lineRule="atLeast"/>
        <w:ind w:rightChars="12" w:right="25"/>
        <w:jc w:val="center"/>
        <w:outlineLvl w:val="2"/>
        <w:rPr>
          <w:b/>
        </w:rPr>
      </w:pPr>
      <w:r>
        <w:rPr>
          <w:b/>
        </w:rPr>
        <w:t>合并</w:t>
      </w:r>
      <w:r>
        <w:rPr>
          <w:rFonts w:hint="eastAsia"/>
          <w:b/>
        </w:rPr>
        <w:t>所有者权益变动表</w:t>
      </w:r>
    </w:p>
    <w:p w14:paraId="778D2DF3" w14:textId="77777777" w:rsidR="005E000F" w:rsidRDefault="00000000">
      <w:pPr>
        <w:tabs>
          <w:tab w:val="left" w:pos="10080"/>
        </w:tabs>
        <w:snapToGrid w:val="0"/>
        <w:spacing w:line="240" w:lineRule="atLeast"/>
        <w:ind w:rightChars="12" w:right="25"/>
        <w:jc w:val="center"/>
      </w:pPr>
      <w:r>
        <w:t>2025</w:t>
      </w:r>
      <w:r>
        <w:t>年</w:t>
      </w:r>
      <w:r>
        <w:rPr>
          <w:rFonts w:hint="eastAsia"/>
        </w:rPr>
        <w:t>1</w:t>
      </w:r>
      <w:r>
        <w:rPr>
          <w:rFonts w:hint="eastAsia"/>
        </w:rPr>
        <w:t>—</w:t>
      </w:r>
      <w:r>
        <w:rPr>
          <w:rFonts w:hint="eastAsia"/>
        </w:rPr>
        <w:t>12</w:t>
      </w:r>
      <w:r>
        <w:rPr>
          <w:rFonts w:hint="eastAsia"/>
        </w:rPr>
        <w:t>月</w:t>
      </w:r>
    </w:p>
    <w:p w14:paraId="7E28B098" w14:textId="77777777" w:rsidR="005E000F" w:rsidRDefault="00000000">
      <w:pPr>
        <w:tabs>
          <w:tab w:val="left" w:pos="10080"/>
        </w:tabs>
        <w:snapToGrid w:val="0"/>
        <w:spacing w:line="240" w:lineRule="atLeast"/>
        <w:jc w:val="right"/>
      </w:pPr>
      <w:r>
        <w:t>单位</w:t>
      </w:r>
      <w:r>
        <w:rPr>
          <w:rFonts w:hint="eastAsia"/>
        </w:rPr>
        <w:t>：</w:t>
      </w:r>
      <w:sdt>
        <w:sdtPr>
          <w:alias w:val="单位：合并股东权益调节表"/>
          <w:tag w:val="_GBC_57faea4e453e49ad93821b7dd6ce8bc4"/>
          <w:id w:val="-5363548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w:t>
      </w:r>
      <w:r>
        <w:t>币种</w:t>
      </w:r>
      <w:r>
        <w:rPr>
          <w:rFonts w:hint="eastAsia"/>
        </w:rPr>
        <w:t>：</w:t>
      </w:r>
      <w:sdt>
        <w:sdtPr>
          <w:alias w:val="币种：合并股东权益调节表"/>
          <w:tag w:val="_GBC_cef77704267643d794145c73763360e5"/>
          <w:id w:val="12081416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1067"/>
        <w:gridCol w:w="289"/>
        <w:gridCol w:w="322"/>
        <w:gridCol w:w="944"/>
        <w:gridCol w:w="1078"/>
        <w:gridCol w:w="911"/>
        <w:gridCol w:w="1056"/>
        <w:gridCol w:w="955"/>
        <w:gridCol w:w="1056"/>
        <w:gridCol w:w="311"/>
        <w:gridCol w:w="1111"/>
        <w:gridCol w:w="389"/>
        <w:gridCol w:w="1152"/>
        <w:gridCol w:w="1037"/>
        <w:gridCol w:w="1096"/>
      </w:tblGrid>
      <w:tr w:rsidR="005E000F" w14:paraId="373C7BBE" w14:textId="77777777">
        <w:trPr>
          <w:cantSplit/>
        </w:trPr>
        <w:tc>
          <w:tcPr>
            <w:tcW w:w="1314" w:type="dxa"/>
            <w:vMerge w:val="restart"/>
            <w:vAlign w:val="center"/>
          </w:tcPr>
          <w:sdt>
            <w:sdtPr>
              <w:rPr>
                <w:rFonts w:cs="宋体"/>
                <w:bCs/>
                <w:sz w:val="13"/>
                <w:szCs w:val="13"/>
              </w:rPr>
              <w:tag w:val="_PLD_245a9e71ca1b403fad3a821efeb272de"/>
              <w:id w:val="1677454819"/>
            </w:sdtPr>
            <w:sdtContent>
              <w:p w14:paraId="7A0BB804" w14:textId="77777777" w:rsidR="005E000F" w:rsidRDefault="00000000">
                <w:pPr>
                  <w:snapToGrid w:val="0"/>
                  <w:spacing w:line="240" w:lineRule="atLeast"/>
                  <w:jc w:val="center"/>
                  <w:rPr>
                    <w:rFonts w:cs="宋体"/>
                    <w:bCs/>
                    <w:sz w:val="13"/>
                    <w:szCs w:val="13"/>
                  </w:rPr>
                </w:pPr>
                <w:r>
                  <w:rPr>
                    <w:rFonts w:cs="宋体" w:hint="eastAsia"/>
                    <w:bCs/>
                    <w:sz w:val="13"/>
                    <w:szCs w:val="13"/>
                  </w:rPr>
                  <w:t>项目</w:t>
                </w:r>
              </w:p>
            </w:sdtContent>
          </w:sdt>
        </w:tc>
        <w:tc>
          <w:tcPr>
            <w:tcW w:w="12774" w:type="dxa"/>
            <w:gridSpan w:val="15"/>
            <w:vAlign w:val="center"/>
          </w:tcPr>
          <w:p w14:paraId="2E9F7AF3" w14:textId="77777777" w:rsidR="005E000F" w:rsidRDefault="00000000">
            <w:pPr>
              <w:snapToGrid w:val="0"/>
              <w:spacing w:line="240" w:lineRule="atLeast"/>
              <w:jc w:val="center"/>
              <w:rPr>
                <w:rFonts w:cs="宋体"/>
                <w:bCs/>
                <w:sz w:val="13"/>
                <w:szCs w:val="13"/>
              </w:rPr>
            </w:pPr>
            <w:r>
              <w:rPr>
                <w:rFonts w:cs="宋体" w:hint="eastAsia"/>
                <w:bCs/>
                <w:sz w:val="13"/>
                <w:szCs w:val="13"/>
              </w:rPr>
              <w:t xml:space="preserve"> </w:t>
            </w:r>
            <w:sdt>
              <w:sdtPr>
                <w:rPr>
                  <w:rFonts w:cs="宋体"/>
                  <w:bCs/>
                  <w:sz w:val="13"/>
                  <w:szCs w:val="13"/>
                </w:rPr>
                <w:tag w:val="_PLD_74b2c30f72fb403387c8b0e2a353f994"/>
                <w:id w:val="-1997417784"/>
              </w:sdtPr>
              <w:sdtContent>
                <w:r>
                  <w:rPr>
                    <w:rFonts w:cs="宋体" w:hint="eastAsia"/>
                    <w:bCs/>
                    <w:sz w:val="13"/>
                    <w:szCs w:val="13"/>
                  </w:rPr>
                  <w:t>2025</w:t>
                </w:r>
                <w:r>
                  <w:rPr>
                    <w:rFonts w:cs="宋体" w:hint="eastAsia"/>
                    <w:bCs/>
                    <w:sz w:val="13"/>
                    <w:szCs w:val="13"/>
                  </w:rPr>
                  <w:t>年度</w:t>
                </w:r>
              </w:sdtContent>
            </w:sdt>
          </w:p>
        </w:tc>
      </w:tr>
      <w:tr w:rsidR="005E000F" w14:paraId="1878F7B7" w14:textId="77777777">
        <w:trPr>
          <w:cantSplit/>
          <w:trHeight w:val="540"/>
        </w:trPr>
        <w:tc>
          <w:tcPr>
            <w:tcW w:w="1314" w:type="dxa"/>
            <w:vMerge/>
            <w:vAlign w:val="center"/>
          </w:tcPr>
          <w:p w14:paraId="2663FC18" w14:textId="77777777" w:rsidR="005E000F" w:rsidRDefault="005E000F">
            <w:pPr>
              <w:snapToGrid w:val="0"/>
              <w:spacing w:line="240" w:lineRule="atLeast"/>
              <w:jc w:val="center"/>
              <w:rPr>
                <w:rFonts w:cs="宋体"/>
                <w:bCs/>
                <w:sz w:val="13"/>
                <w:szCs w:val="13"/>
              </w:rPr>
            </w:pPr>
          </w:p>
        </w:tc>
        <w:sdt>
          <w:sdtPr>
            <w:rPr>
              <w:rFonts w:cs="宋体"/>
              <w:bCs/>
              <w:sz w:val="13"/>
              <w:szCs w:val="13"/>
            </w:rPr>
            <w:tag w:val="_PLD_48b1c4daa55343f0a820ecc94c441958"/>
            <w:id w:val="-1667235240"/>
          </w:sdtPr>
          <w:sdtContent>
            <w:tc>
              <w:tcPr>
                <w:tcW w:w="10641" w:type="dxa"/>
                <w:gridSpan w:val="13"/>
                <w:vAlign w:val="center"/>
              </w:tcPr>
              <w:p w14:paraId="64CAF6EA" w14:textId="77777777" w:rsidR="005E000F" w:rsidRDefault="00000000">
                <w:pPr>
                  <w:snapToGrid w:val="0"/>
                  <w:spacing w:line="240" w:lineRule="atLeast"/>
                  <w:jc w:val="center"/>
                  <w:rPr>
                    <w:rFonts w:cs="宋体"/>
                    <w:bCs/>
                    <w:sz w:val="13"/>
                    <w:szCs w:val="13"/>
                  </w:rPr>
                </w:pPr>
                <w:r>
                  <w:rPr>
                    <w:rFonts w:cs="宋体"/>
                    <w:bCs/>
                    <w:sz w:val="13"/>
                    <w:szCs w:val="13"/>
                  </w:rPr>
                  <w:t>归属于母公司所有者权益</w:t>
                </w:r>
              </w:p>
            </w:tc>
          </w:sdtContent>
        </w:sdt>
        <w:sdt>
          <w:sdtPr>
            <w:rPr>
              <w:rFonts w:cs="宋体"/>
              <w:bCs/>
              <w:sz w:val="13"/>
              <w:szCs w:val="13"/>
            </w:rPr>
            <w:tag w:val="_PLD_de4010a56d78401ebd4bb48e62167082"/>
            <w:id w:val="970403550"/>
          </w:sdtPr>
          <w:sdtContent>
            <w:tc>
              <w:tcPr>
                <w:tcW w:w="1037" w:type="dxa"/>
                <w:vMerge w:val="restart"/>
                <w:vAlign w:val="center"/>
              </w:tcPr>
              <w:p w14:paraId="596F52D0" w14:textId="77777777" w:rsidR="005E000F" w:rsidRDefault="00000000">
                <w:pPr>
                  <w:snapToGrid w:val="0"/>
                  <w:spacing w:line="240" w:lineRule="atLeast"/>
                  <w:jc w:val="center"/>
                  <w:rPr>
                    <w:rFonts w:cs="宋体"/>
                    <w:bCs/>
                    <w:sz w:val="13"/>
                    <w:szCs w:val="13"/>
                  </w:rPr>
                </w:pPr>
                <w:r>
                  <w:rPr>
                    <w:rFonts w:cs="宋体"/>
                    <w:bCs/>
                    <w:sz w:val="13"/>
                    <w:szCs w:val="13"/>
                  </w:rPr>
                  <w:t>少数股东权益</w:t>
                </w:r>
              </w:p>
            </w:tc>
          </w:sdtContent>
        </w:sdt>
        <w:sdt>
          <w:sdtPr>
            <w:rPr>
              <w:rFonts w:cs="宋体"/>
              <w:bCs/>
              <w:sz w:val="13"/>
              <w:szCs w:val="13"/>
            </w:rPr>
            <w:tag w:val="_PLD_ff9bc6143ed9429e80e1ed144f5ff16d"/>
            <w:id w:val="1500075575"/>
          </w:sdtPr>
          <w:sdtContent>
            <w:tc>
              <w:tcPr>
                <w:tcW w:w="1096" w:type="dxa"/>
                <w:vMerge w:val="restart"/>
                <w:vAlign w:val="center"/>
              </w:tcPr>
              <w:p w14:paraId="1EC8CD4E" w14:textId="77777777" w:rsidR="005E000F" w:rsidRDefault="00000000">
                <w:pPr>
                  <w:snapToGrid w:val="0"/>
                  <w:spacing w:line="240" w:lineRule="atLeast"/>
                  <w:jc w:val="center"/>
                  <w:rPr>
                    <w:rFonts w:cs="宋体"/>
                    <w:bCs/>
                    <w:sz w:val="13"/>
                    <w:szCs w:val="13"/>
                  </w:rPr>
                </w:pPr>
                <w:r>
                  <w:rPr>
                    <w:rFonts w:cs="宋体"/>
                    <w:bCs/>
                    <w:sz w:val="13"/>
                    <w:szCs w:val="13"/>
                  </w:rPr>
                  <w:t>所有者权益合计</w:t>
                </w:r>
              </w:p>
            </w:tc>
          </w:sdtContent>
        </w:sdt>
      </w:tr>
      <w:tr w:rsidR="005E000F" w14:paraId="150FEFB4" w14:textId="77777777">
        <w:trPr>
          <w:cantSplit/>
          <w:trHeight w:val="352"/>
        </w:trPr>
        <w:tc>
          <w:tcPr>
            <w:tcW w:w="1314" w:type="dxa"/>
            <w:vMerge/>
            <w:vAlign w:val="center"/>
          </w:tcPr>
          <w:p w14:paraId="73C3DACE" w14:textId="77777777" w:rsidR="005E000F" w:rsidRDefault="005E000F">
            <w:pPr>
              <w:snapToGrid w:val="0"/>
              <w:spacing w:line="240" w:lineRule="atLeast"/>
              <w:jc w:val="center"/>
              <w:rPr>
                <w:rFonts w:cs="宋体"/>
                <w:bCs/>
                <w:sz w:val="13"/>
                <w:szCs w:val="13"/>
              </w:rPr>
            </w:pPr>
          </w:p>
        </w:tc>
        <w:sdt>
          <w:sdtPr>
            <w:rPr>
              <w:rFonts w:cs="宋体"/>
              <w:bCs/>
              <w:sz w:val="13"/>
              <w:szCs w:val="13"/>
            </w:rPr>
            <w:tag w:val="_PLD_2a43f0f223d141f0855f6cbb9e60b12f"/>
            <w:id w:val="-958418513"/>
          </w:sdtPr>
          <w:sdtContent>
            <w:tc>
              <w:tcPr>
                <w:tcW w:w="1067" w:type="dxa"/>
                <w:vMerge w:val="restart"/>
                <w:vAlign w:val="center"/>
              </w:tcPr>
              <w:p w14:paraId="3BADFAEF" w14:textId="77777777" w:rsidR="005E000F" w:rsidRDefault="00000000">
                <w:pPr>
                  <w:snapToGrid w:val="0"/>
                  <w:spacing w:line="240" w:lineRule="atLeast"/>
                  <w:jc w:val="center"/>
                  <w:rPr>
                    <w:rFonts w:cs="宋体"/>
                    <w:bCs/>
                    <w:sz w:val="13"/>
                    <w:szCs w:val="13"/>
                  </w:rPr>
                </w:pPr>
                <w:r>
                  <w:rPr>
                    <w:rFonts w:cs="宋体" w:hint="eastAsia"/>
                    <w:bCs/>
                    <w:sz w:val="13"/>
                    <w:szCs w:val="13"/>
                  </w:rPr>
                  <w:t>实收资本（或股本）</w:t>
                </w:r>
              </w:p>
            </w:tc>
          </w:sdtContent>
        </w:sdt>
        <w:sdt>
          <w:sdtPr>
            <w:rPr>
              <w:rFonts w:cs="宋体"/>
              <w:bCs/>
              <w:sz w:val="13"/>
              <w:szCs w:val="13"/>
            </w:rPr>
            <w:tag w:val="_PLD_39cb94703877409e9e50d4bf964d43e4"/>
            <w:id w:val="-293996951"/>
          </w:sdtPr>
          <w:sdtContent>
            <w:tc>
              <w:tcPr>
                <w:tcW w:w="1555" w:type="dxa"/>
                <w:gridSpan w:val="3"/>
                <w:vAlign w:val="center"/>
              </w:tcPr>
              <w:p w14:paraId="1C808475" w14:textId="77777777" w:rsidR="005E000F" w:rsidRDefault="00000000">
                <w:pPr>
                  <w:snapToGrid w:val="0"/>
                  <w:spacing w:line="240" w:lineRule="atLeast"/>
                  <w:jc w:val="center"/>
                  <w:rPr>
                    <w:rFonts w:cs="宋体"/>
                    <w:bCs/>
                    <w:sz w:val="13"/>
                    <w:szCs w:val="13"/>
                  </w:rPr>
                </w:pPr>
                <w:r>
                  <w:rPr>
                    <w:rFonts w:cs="宋体" w:hint="eastAsia"/>
                    <w:bCs/>
                    <w:sz w:val="13"/>
                    <w:szCs w:val="13"/>
                  </w:rPr>
                  <w:t>其他权益工具</w:t>
                </w:r>
              </w:p>
            </w:tc>
          </w:sdtContent>
        </w:sdt>
        <w:sdt>
          <w:sdtPr>
            <w:rPr>
              <w:rFonts w:cs="宋体"/>
              <w:bCs/>
              <w:sz w:val="13"/>
              <w:szCs w:val="13"/>
            </w:rPr>
            <w:tag w:val="_PLD_0a2a84969d8f4cc5ab2f59451a4cf45c"/>
            <w:id w:val="2100518249"/>
          </w:sdtPr>
          <w:sdtContent>
            <w:tc>
              <w:tcPr>
                <w:tcW w:w="1078" w:type="dxa"/>
                <w:vMerge w:val="restart"/>
                <w:vAlign w:val="center"/>
              </w:tcPr>
              <w:p w14:paraId="096649FC" w14:textId="77777777" w:rsidR="005E000F" w:rsidRDefault="00000000">
                <w:pPr>
                  <w:snapToGrid w:val="0"/>
                  <w:spacing w:line="240" w:lineRule="atLeast"/>
                  <w:jc w:val="center"/>
                  <w:rPr>
                    <w:rFonts w:cs="宋体"/>
                    <w:bCs/>
                    <w:sz w:val="13"/>
                    <w:szCs w:val="13"/>
                  </w:rPr>
                </w:pPr>
                <w:r>
                  <w:rPr>
                    <w:rFonts w:cs="宋体" w:hint="eastAsia"/>
                    <w:bCs/>
                    <w:sz w:val="13"/>
                    <w:szCs w:val="13"/>
                  </w:rPr>
                  <w:t>资本公积</w:t>
                </w:r>
              </w:p>
            </w:tc>
          </w:sdtContent>
        </w:sdt>
        <w:sdt>
          <w:sdtPr>
            <w:rPr>
              <w:rFonts w:cs="宋体"/>
              <w:bCs/>
              <w:sz w:val="13"/>
              <w:szCs w:val="13"/>
            </w:rPr>
            <w:tag w:val="_PLD_3eb4af6d758d4787987e21e90e79351d"/>
            <w:id w:val="-309022141"/>
          </w:sdtPr>
          <w:sdtContent>
            <w:tc>
              <w:tcPr>
                <w:tcW w:w="911" w:type="dxa"/>
                <w:vMerge w:val="restart"/>
                <w:vAlign w:val="center"/>
              </w:tcPr>
              <w:p w14:paraId="3430F4FB" w14:textId="77777777" w:rsidR="005E000F" w:rsidRDefault="00000000">
                <w:pPr>
                  <w:snapToGrid w:val="0"/>
                  <w:spacing w:line="240" w:lineRule="atLeast"/>
                  <w:jc w:val="center"/>
                  <w:rPr>
                    <w:rFonts w:cs="宋体"/>
                    <w:bCs/>
                    <w:sz w:val="13"/>
                    <w:szCs w:val="13"/>
                  </w:rPr>
                </w:pPr>
                <w:r>
                  <w:rPr>
                    <w:rFonts w:cs="宋体" w:hint="eastAsia"/>
                    <w:bCs/>
                    <w:sz w:val="13"/>
                    <w:szCs w:val="13"/>
                  </w:rPr>
                  <w:t>减：库存股</w:t>
                </w:r>
              </w:p>
            </w:tc>
          </w:sdtContent>
        </w:sdt>
        <w:sdt>
          <w:sdtPr>
            <w:rPr>
              <w:rFonts w:cs="宋体"/>
              <w:bCs/>
              <w:sz w:val="13"/>
              <w:szCs w:val="13"/>
            </w:rPr>
            <w:tag w:val="_PLD_63b36aa6d5e74a289a4f2e40e95da929"/>
            <w:id w:val="683321587"/>
          </w:sdtPr>
          <w:sdtContent>
            <w:tc>
              <w:tcPr>
                <w:tcW w:w="1056" w:type="dxa"/>
                <w:vMerge w:val="restart"/>
                <w:vAlign w:val="center"/>
              </w:tcPr>
              <w:p w14:paraId="55331002" w14:textId="77777777" w:rsidR="005E000F" w:rsidRDefault="00000000">
                <w:pPr>
                  <w:snapToGrid w:val="0"/>
                  <w:spacing w:line="240" w:lineRule="atLeast"/>
                  <w:jc w:val="center"/>
                  <w:rPr>
                    <w:rFonts w:cs="宋体"/>
                    <w:bCs/>
                    <w:sz w:val="13"/>
                    <w:szCs w:val="13"/>
                  </w:rPr>
                </w:pPr>
                <w:r>
                  <w:rPr>
                    <w:rFonts w:cs="宋体" w:hint="eastAsia"/>
                    <w:bCs/>
                    <w:sz w:val="13"/>
                    <w:szCs w:val="13"/>
                  </w:rPr>
                  <w:t>其他综合收益</w:t>
                </w:r>
              </w:p>
            </w:tc>
          </w:sdtContent>
        </w:sdt>
        <w:sdt>
          <w:sdtPr>
            <w:rPr>
              <w:rFonts w:cs="宋体"/>
              <w:bCs/>
              <w:sz w:val="13"/>
              <w:szCs w:val="13"/>
            </w:rPr>
            <w:tag w:val="_PLD_1560331b8c2f411cb5a844cb35b3d2b6"/>
            <w:id w:val="-682980571"/>
          </w:sdtPr>
          <w:sdtContent>
            <w:tc>
              <w:tcPr>
                <w:tcW w:w="955" w:type="dxa"/>
                <w:vMerge w:val="restart"/>
                <w:vAlign w:val="center"/>
              </w:tcPr>
              <w:p w14:paraId="22F9F9DD" w14:textId="77777777" w:rsidR="005E000F" w:rsidRDefault="00000000">
                <w:pPr>
                  <w:snapToGrid w:val="0"/>
                  <w:spacing w:line="240" w:lineRule="atLeast"/>
                  <w:jc w:val="center"/>
                  <w:rPr>
                    <w:rFonts w:cs="宋体"/>
                    <w:bCs/>
                    <w:sz w:val="13"/>
                    <w:szCs w:val="13"/>
                  </w:rPr>
                </w:pPr>
                <w:r>
                  <w:rPr>
                    <w:rFonts w:cs="宋体" w:hint="eastAsia"/>
                    <w:bCs/>
                    <w:sz w:val="13"/>
                    <w:szCs w:val="13"/>
                  </w:rPr>
                  <w:t>专项储备</w:t>
                </w:r>
              </w:p>
            </w:tc>
          </w:sdtContent>
        </w:sdt>
        <w:sdt>
          <w:sdtPr>
            <w:rPr>
              <w:rFonts w:cs="宋体"/>
              <w:bCs/>
              <w:sz w:val="13"/>
              <w:szCs w:val="13"/>
            </w:rPr>
            <w:tag w:val="_PLD_6f43f79cacca48dca49685537156084f"/>
            <w:id w:val="1833255965"/>
          </w:sdtPr>
          <w:sdtContent>
            <w:tc>
              <w:tcPr>
                <w:tcW w:w="1056" w:type="dxa"/>
                <w:vMerge w:val="restart"/>
                <w:vAlign w:val="center"/>
              </w:tcPr>
              <w:p w14:paraId="6AF364A8" w14:textId="77777777" w:rsidR="005E000F" w:rsidRDefault="00000000">
                <w:pPr>
                  <w:snapToGrid w:val="0"/>
                  <w:spacing w:line="240" w:lineRule="atLeast"/>
                  <w:jc w:val="center"/>
                  <w:rPr>
                    <w:rFonts w:cs="宋体"/>
                    <w:bCs/>
                    <w:sz w:val="13"/>
                    <w:szCs w:val="13"/>
                  </w:rPr>
                </w:pPr>
                <w:r>
                  <w:rPr>
                    <w:rFonts w:cs="宋体" w:hint="eastAsia"/>
                    <w:bCs/>
                    <w:sz w:val="13"/>
                    <w:szCs w:val="13"/>
                  </w:rPr>
                  <w:t>盈余公积</w:t>
                </w:r>
              </w:p>
            </w:tc>
          </w:sdtContent>
        </w:sdt>
        <w:sdt>
          <w:sdtPr>
            <w:rPr>
              <w:rFonts w:cs="宋体"/>
              <w:bCs/>
              <w:sz w:val="13"/>
              <w:szCs w:val="13"/>
            </w:rPr>
            <w:tag w:val="_PLD_56a430dce9564c199812862caead59b2"/>
            <w:id w:val="1910879652"/>
          </w:sdtPr>
          <w:sdtContent>
            <w:tc>
              <w:tcPr>
                <w:tcW w:w="311" w:type="dxa"/>
                <w:vMerge w:val="restart"/>
                <w:vAlign w:val="center"/>
              </w:tcPr>
              <w:p w14:paraId="166964EA" w14:textId="77777777" w:rsidR="005E000F" w:rsidRDefault="00000000">
                <w:pPr>
                  <w:snapToGrid w:val="0"/>
                  <w:spacing w:line="240" w:lineRule="atLeast"/>
                  <w:jc w:val="center"/>
                  <w:rPr>
                    <w:rFonts w:cs="宋体"/>
                    <w:bCs/>
                    <w:sz w:val="13"/>
                    <w:szCs w:val="13"/>
                  </w:rPr>
                </w:pPr>
                <w:r>
                  <w:rPr>
                    <w:rFonts w:cs="宋体" w:hint="eastAsia"/>
                    <w:bCs/>
                    <w:sz w:val="13"/>
                    <w:szCs w:val="13"/>
                  </w:rPr>
                  <w:t>一般风险准备</w:t>
                </w:r>
              </w:p>
            </w:tc>
          </w:sdtContent>
        </w:sdt>
        <w:sdt>
          <w:sdtPr>
            <w:rPr>
              <w:rFonts w:cs="宋体"/>
              <w:bCs/>
              <w:sz w:val="13"/>
              <w:szCs w:val="13"/>
            </w:rPr>
            <w:tag w:val="_PLD_cbc8cc4f323b4146bc3e0b624cb6a030"/>
            <w:id w:val="-1238548390"/>
          </w:sdtPr>
          <w:sdtContent>
            <w:tc>
              <w:tcPr>
                <w:tcW w:w="1111" w:type="dxa"/>
                <w:vMerge w:val="restart"/>
                <w:vAlign w:val="center"/>
              </w:tcPr>
              <w:p w14:paraId="64511D6D" w14:textId="77777777" w:rsidR="005E000F" w:rsidRDefault="00000000">
                <w:pPr>
                  <w:snapToGrid w:val="0"/>
                  <w:spacing w:line="240" w:lineRule="atLeast"/>
                  <w:jc w:val="center"/>
                  <w:rPr>
                    <w:rFonts w:cs="宋体"/>
                    <w:bCs/>
                    <w:sz w:val="13"/>
                    <w:szCs w:val="13"/>
                  </w:rPr>
                </w:pPr>
                <w:r>
                  <w:rPr>
                    <w:rFonts w:cs="宋体" w:hint="eastAsia"/>
                    <w:bCs/>
                    <w:sz w:val="13"/>
                    <w:szCs w:val="13"/>
                  </w:rPr>
                  <w:t>未分配利润</w:t>
                </w:r>
              </w:p>
            </w:tc>
          </w:sdtContent>
        </w:sdt>
        <w:tc>
          <w:tcPr>
            <w:tcW w:w="389" w:type="dxa"/>
            <w:vMerge w:val="restart"/>
            <w:vAlign w:val="center"/>
          </w:tcPr>
          <w:sdt>
            <w:sdtPr>
              <w:rPr>
                <w:rFonts w:cs="宋体"/>
                <w:bCs/>
                <w:sz w:val="13"/>
                <w:szCs w:val="13"/>
              </w:rPr>
              <w:tag w:val="_PLD_b504a77359e042b99ce9a2513e44008d"/>
              <w:id w:val="552503642"/>
            </w:sdtPr>
            <w:sdtContent>
              <w:p w14:paraId="16E2D630" w14:textId="77777777" w:rsidR="005E000F" w:rsidRDefault="00000000">
                <w:pPr>
                  <w:snapToGrid w:val="0"/>
                  <w:spacing w:line="240" w:lineRule="atLeast"/>
                  <w:jc w:val="center"/>
                  <w:rPr>
                    <w:rFonts w:cs="宋体"/>
                    <w:bCs/>
                    <w:sz w:val="13"/>
                    <w:szCs w:val="13"/>
                  </w:rPr>
                </w:pPr>
                <w:r>
                  <w:rPr>
                    <w:rFonts w:cs="宋体" w:hint="eastAsia"/>
                    <w:bCs/>
                    <w:sz w:val="13"/>
                    <w:szCs w:val="13"/>
                  </w:rPr>
                  <w:t>其他</w:t>
                </w:r>
              </w:p>
            </w:sdtContent>
          </w:sdt>
        </w:tc>
        <w:tc>
          <w:tcPr>
            <w:tcW w:w="1152" w:type="dxa"/>
            <w:vMerge w:val="restart"/>
            <w:vAlign w:val="center"/>
          </w:tcPr>
          <w:sdt>
            <w:sdtPr>
              <w:rPr>
                <w:rFonts w:cs="宋体"/>
                <w:bCs/>
                <w:sz w:val="13"/>
                <w:szCs w:val="13"/>
              </w:rPr>
              <w:tag w:val="_PLD_30b039ff7c714652865f3029df27082b"/>
              <w:id w:val="-1432045144"/>
            </w:sdtPr>
            <w:sdtContent>
              <w:p w14:paraId="173F9F05" w14:textId="77777777" w:rsidR="005E000F" w:rsidRDefault="00000000">
                <w:pPr>
                  <w:snapToGrid w:val="0"/>
                  <w:spacing w:line="240" w:lineRule="atLeast"/>
                  <w:jc w:val="center"/>
                  <w:rPr>
                    <w:rFonts w:cs="宋体"/>
                    <w:bCs/>
                    <w:sz w:val="13"/>
                    <w:szCs w:val="13"/>
                  </w:rPr>
                </w:pPr>
                <w:r>
                  <w:rPr>
                    <w:rFonts w:cs="宋体" w:hint="eastAsia"/>
                    <w:bCs/>
                    <w:sz w:val="13"/>
                    <w:szCs w:val="13"/>
                  </w:rPr>
                  <w:t>小计</w:t>
                </w:r>
              </w:p>
            </w:sdtContent>
          </w:sdt>
        </w:tc>
        <w:tc>
          <w:tcPr>
            <w:tcW w:w="1037" w:type="dxa"/>
            <w:vMerge/>
            <w:vAlign w:val="center"/>
          </w:tcPr>
          <w:p w14:paraId="7EC44367" w14:textId="77777777" w:rsidR="005E000F" w:rsidRDefault="005E000F">
            <w:pPr>
              <w:snapToGrid w:val="0"/>
              <w:spacing w:line="240" w:lineRule="atLeast"/>
              <w:jc w:val="center"/>
              <w:rPr>
                <w:rFonts w:cs="宋体"/>
                <w:bCs/>
                <w:sz w:val="13"/>
                <w:szCs w:val="13"/>
              </w:rPr>
            </w:pPr>
          </w:p>
        </w:tc>
        <w:tc>
          <w:tcPr>
            <w:tcW w:w="1096" w:type="dxa"/>
            <w:vMerge/>
            <w:vAlign w:val="center"/>
          </w:tcPr>
          <w:p w14:paraId="4A5AB649" w14:textId="77777777" w:rsidR="005E000F" w:rsidRDefault="005E000F">
            <w:pPr>
              <w:snapToGrid w:val="0"/>
              <w:spacing w:line="240" w:lineRule="atLeast"/>
              <w:jc w:val="center"/>
              <w:rPr>
                <w:rFonts w:cs="宋体"/>
                <w:bCs/>
                <w:sz w:val="13"/>
                <w:szCs w:val="13"/>
              </w:rPr>
            </w:pPr>
          </w:p>
        </w:tc>
      </w:tr>
      <w:tr w:rsidR="005E000F" w14:paraId="723B015A" w14:textId="77777777">
        <w:trPr>
          <w:cantSplit/>
          <w:trHeight w:val="345"/>
        </w:trPr>
        <w:tc>
          <w:tcPr>
            <w:tcW w:w="1314" w:type="dxa"/>
            <w:vMerge/>
            <w:vAlign w:val="center"/>
          </w:tcPr>
          <w:p w14:paraId="1F6B966C" w14:textId="77777777" w:rsidR="005E000F" w:rsidRDefault="005E000F">
            <w:pPr>
              <w:snapToGrid w:val="0"/>
              <w:spacing w:line="240" w:lineRule="atLeast"/>
              <w:jc w:val="center"/>
              <w:rPr>
                <w:rFonts w:cs="宋体"/>
                <w:bCs/>
                <w:sz w:val="13"/>
                <w:szCs w:val="13"/>
              </w:rPr>
            </w:pPr>
          </w:p>
        </w:tc>
        <w:tc>
          <w:tcPr>
            <w:tcW w:w="1067" w:type="dxa"/>
            <w:vMerge/>
            <w:vAlign w:val="center"/>
          </w:tcPr>
          <w:p w14:paraId="7D767264" w14:textId="77777777" w:rsidR="005E000F" w:rsidRDefault="005E000F">
            <w:pPr>
              <w:snapToGrid w:val="0"/>
              <w:spacing w:line="240" w:lineRule="atLeast"/>
              <w:jc w:val="center"/>
              <w:rPr>
                <w:rFonts w:cs="宋体"/>
                <w:bCs/>
                <w:sz w:val="13"/>
                <w:szCs w:val="13"/>
              </w:rPr>
            </w:pPr>
          </w:p>
        </w:tc>
        <w:sdt>
          <w:sdtPr>
            <w:rPr>
              <w:rFonts w:cs="宋体"/>
              <w:bCs/>
              <w:sz w:val="13"/>
              <w:szCs w:val="13"/>
            </w:rPr>
            <w:tag w:val="_PLD_b607c17c743149d295a2a79708dbacd2"/>
            <w:id w:val="-711643595"/>
          </w:sdtPr>
          <w:sdtContent>
            <w:tc>
              <w:tcPr>
                <w:tcW w:w="289" w:type="dxa"/>
                <w:vAlign w:val="center"/>
              </w:tcPr>
              <w:p w14:paraId="440F5945" w14:textId="77777777" w:rsidR="005E000F" w:rsidRDefault="00000000">
                <w:pPr>
                  <w:snapToGrid w:val="0"/>
                  <w:spacing w:line="240" w:lineRule="atLeast"/>
                  <w:jc w:val="center"/>
                  <w:rPr>
                    <w:rFonts w:cs="宋体"/>
                    <w:bCs/>
                    <w:sz w:val="13"/>
                    <w:szCs w:val="13"/>
                  </w:rPr>
                </w:pPr>
                <w:r>
                  <w:rPr>
                    <w:rFonts w:cs="宋体" w:hint="eastAsia"/>
                    <w:bCs/>
                    <w:sz w:val="13"/>
                    <w:szCs w:val="13"/>
                  </w:rPr>
                  <w:t>优先股</w:t>
                </w:r>
              </w:p>
            </w:tc>
          </w:sdtContent>
        </w:sdt>
        <w:sdt>
          <w:sdtPr>
            <w:rPr>
              <w:rFonts w:cs="宋体"/>
              <w:bCs/>
              <w:sz w:val="13"/>
              <w:szCs w:val="13"/>
            </w:rPr>
            <w:tag w:val="_PLD_ff95d9a5f43c439aac9ba6d07675d878"/>
            <w:id w:val="113871524"/>
          </w:sdtPr>
          <w:sdtContent>
            <w:tc>
              <w:tcPr>
                <w:tcW w:w="322" w:type="dxa"/>
                <w:vAlign w:val="center"/>
              </w:tcPr>
              <w:p w14:paraId="1BE0781F" w14:textId="77777777" w:rsidR="005E000F" w:rsidRDefault="00000000">
                <w:pPr>
                  <w:snapToGrid w:val="0"/>
                  <w:spacing w:line="240" w:lineRule="atLeast"/>
                  <w:jc w:val="center"/>
                  <w:rPr>
                    <w:rFonts w:cs="宋体"/>
                    <w:bCs/>
                    <w:sz w:val="13"/>
                    <w:szCs w:val="13"/>
                  </w:rPr>
                </w:pPr>
                <w:r>
                  <w:rPr>
                    <w:rFonts w:cs="宋体" w:hint="eastAsia"/>
                    <w:bCs/>
                    <w:sz w:val="13"/>
                    <w:szCs w:val="13"/>
                  </w:rPr>
                  <w:t>永续债</w:t>
                </w:r>
              </w:p>
            </w:tc>
          </w:sdtContent>
        </w:sdt>
        <w:sdt>
          <w:sdtPr>
            <w:rPr>
              <w:rFonts w:cs="宋体"/>
              <w:bCs/>
              <w:sz w:val="13"/>
              <w:szCs w:val="13"/>
            </w:rPr>
            <w:tag w:val="_PLD_172b1cd40c094b6fa71aba6fe6a10f81"/>
            <w:id w:val="290482542"/>
          </w:sdtPr>
          <w:sdtContent>
            <w:tc>
              <w:tcPr>
                <w:tcW w:w="944" w:type="dxa"/>
                <w:vAlign w:val="center"/>
              </w:tcPr>
              <w:p w14:paraId="0D6CFEC1" w14:textId="77777777" w:rsidR="005E000F" w:rsidRDefault="00000000">
                <w:pPr>
                  <w:snapToGrid w:val="0"/>
                  <w:spacing w:line="240" w:lineRule="atLeast"/>
                  <w:jc w:val="center"/>
                  <w:rPr>
                    <w:rFonts w:cs="宋体"/>
                    <w:bCs/>
                    <w:sz w:val="13"/>
                    <w:szCs w:val="13"/>
                  </w:rPr>
                </w:pPr>
                <w:r>
                  <w:rPr>
                    <w:rFonts w:cs="宋体" w:hint="eastAsia"/>
                    <w:bCs/>
                    <w:sz w:val="13"/>
                    <w:szCs w:val="13"/>
                  </w:rPr>
                  <w:t>其他</w:t>
                </w:r>
              </w:p>
            </w:tc>
          </w:sdtContent>
        </w:sdt>
        <w:tc>
          <w:tcPr>
            <w:tcW w:w="1078" w:type="dxa"/>
            <w:vMerge/>
            <w:vAlign w:val="center"/>
          </w:tcPr>
          <w:p w14:paraId="2975DC26" w14:textId="77777777" w:rsidR="005E000F" w:rsidRDefault="005E000F">
            <w:pPr>
              <w:snapToGrid w:val="0"/>
              <w:spacing w:line="240" w:lineRule="atLeast"/>
              <w:jc w:val="center"/>
              <w:rPr>
                <w:rFonts w:cs="宋体"/>
                <w:bCs/>
                <w:sz w:val="13"/>
                <w:szCs w:val="13"/>
              </w:rPr>
            </w:pPr>
          </w:p>
        </w:tc>
        <w:tc>
          <w:tcPr>
            <w:tcW w:w="911" w:type="dxa"/>
            <w:vMerge/>
            <w:vAlign w:val="center"/>
          </w:tcPr>
          <w:p w14:paraId="298B73D3" w14:textId="77777777" w:rsidR="005E000F" w:rsidRDefault="005E000F">
            <w:pPr>
              <w:snapToGrid w:val="0"/>
              <w:spacing w:line="240" w:lineRule="atLeast"/>
              <w:jc w:val="center"/>
              <w:rPr>
                <w:rFonts w:cs="宋体"/>
                <w:bCs/>
                <w:sz w:val="13"/>
                <w:szCs w:val="13"/>
              </w:rPr>
            </w:pPr>
          </w:p>
        </w:tc>
        <w:tc>
          <w:tcPr>
            <w:tcW w:w="1056" w:type="dxa"/>
            <w:vMerge/>
            <w:vAlign w:val="center"/>
          </w:tcPr>
          <w:p w14:paraId="65E72D35" w14:textId="77777777" w:rsidR="005E000F" w:rsidRDefault="005E000F">
            <w:pPr>
              <w:snapToGrid w:val="0"/>
              <w:spacing w:line="240" w:lineRule="atLeast"/>
              <w:jc w:val="center"/>
              <w:rPr>
                <w:rFonts w:cs="宋体"/>
                <w:bCs/>
                <w:sz w:val="13"/>
                <w:szCs w:val="13"/>
              </w:rPr>
            </w:pPr>
          </w:p>
        </w:tc>
        <w:tc>
          <w:tcPr>
            <w:tcW w:w="955" w:type="dxa"/>
            <w:vMerge/>
            <w:vAlign w:val="center"/>
          </w:tcPr>
          <w:p w14:paraId="70BE3600" w14:textId="77777777" w:rsidR="005E000F" w:rsidRDefault="005E000F">
            <w:pPr>
              <w:snapToGrid w:val="0"/>
              <w:spacing w:line="240" w:lineRule="atLeast"/>
              <w:jc w:val="center"/>
              <w:rPr>
                <w:rFonts w:cs="宋体"/>
                <w:bCs/>
                <w:sz w:val="13"/>
                <w:szCs w:val="13"/>
              </w:rPr>
            </w:pPr>
          </w:p>
        </w:tc>
        <w:tc>
          <w:tcPr>
            <w:tcW w:w="1056" w:type="dxa"/>
            <w:vMerge/>
            <w:vAlign w:val="center"/>
          </w:tcPr>
          <w:p w14:paraId="4C2A7F7B" w14:textId="77777777" w:rsidR="005E000F" w:rsidRDefault="005E000F">
            <w:pPr>
              <w:snapToGrid w:val="0"/>
              <w:spacing w:line="240" w:lineRule="atLeast"/>
              <w:jc w:val="center"/>
              <w:rPr>
                <w:rFonts w:cs="宋体"/>
                <w:bCs/>
                <w:sz w:val="13"/>
                <w:szCs w:val="13"/>
              </w:rPr>
            </w:pPr>
          </w:p>
        </w:tc>
        <w:tc>
          <w:tcPr>
            <w:tcW w:w="311" w:type="dxa"/>
            <w:vMerge/>
            <w:vAlign w:val="center"/>
          </w:tcPr>
          <w:p w14:paraId="156977AA" w14:textId="77777777" w:rsidR="005E000F" w:rsidRDefault="005E000F">
            <w:pPr>
              <w:snapToGrid w:val="0"/>
              <w:spacing w:line="240" w:lineRule="atLeast"/>
              <w:jc w:val="center"/>
              <w:rPr>
                <w:rFonts w:cs="宋体"/>
                <w:bCs/>
                <w:sz w:val="13"/>
                <w:szCs w:val="13"/>
              </w:rPr>
            </w:pPr>
          </w:p>
        </w:tc>
        <w:tc>
          <w:tcPr>
            <w:tcW w:w="1111" w:type="dxa"/>
            <w:vMerge/>
            <w:vAlign w:val="center"/>
          </w:tcPr>
          <w:p w14:paraId="0A207068" w14:textId="77777777" w:rsidR="005E000F" w:rsidRDefault="005E000F">
            <w:pPr>
              <w:snapToGrid w:val="0"/>
              <w:spacing w:line="240" w:lineRule="atLeast"/>
              <w:jc w:val="center"/>
              <w:rPr>
                <w:rFonts w:cs="宋体"/>
                <w:bCs/>
                <w:sz w:val="13"/>
                <w:szCs w:val="13"/>
              </w:rPr>
            </w:pPr>
          </w:p>
        </w:tc>
        <w:tc>
          <w:tcPr>
            <w:tcW w:w="389" w:type="dxa"/>
            <w:vMerge/>
            <w:vAlign w:val="center"/>
          </w:tcPr>
          <w:p w14:paraId="1984E960" w14:textId="77777777" w:rsidR="005E000F" w:rsidRDefault="005E000F">
            <w:pPr>
              <w:snapToGrid w:val="0"/>
              <w:spacing w:line="240" w:lineRule="atLeast"/>
              <w:jc w:val="center"/>
              <w:rPr>
                <w:rFonts w:cs="宋体"/>
                <w:bCs/>
                <w:sz w:val="13"/>
                <w:szCs w:val="13"/>
              </w:rPr>
            </w:pPr>
          </w:p>
        </w:tc>
        <w:tc>
          <w:tcPr>
            <w:tcW w:w="1152" w:type="dxa"/>
            <w:vMerge/>
            <w:vAlign w:val="center"/>
          </w:tcPr>
          <w:p w14:paraId="1AF9C611" w14:textId="77777777" w:rsidR="005E000F" w:rsidRDefault="005E000F">
            <w:pPr>
              <w:snapToGrid w:val="0"/>
              <w:spacing w:line="240" w:lineRule="atLeast"/>
              <w:jc w:val="center"/>
              <w:rPr>
                <w:rFonts w:cs="宋体"/>
                <w:bCs/>
                <w:sz w:val="13"/>
                <w:szCs w:val="13"/>
              </w:rPr>
            </w:pPr>
          </w:p>
        </w:tc>
        <w:tc>
          <w:tcPr>
            <w:tcW w:w="1037" w:type="dxa"/>
            <w:vMerge/>
            <w:vAlign w:val="center"/>
          </w:tcPr>
          <w:p w14:paraId="7B304ADF" w14:textId="77777777" w:rsidR="005E000F" w:rsidRDefault="005E000F">
            <w:pPr>
              <w:snapToGrid w:val="0"/>
              <w:spacing w:line="240" w:lineRule="atLeast"/>
              <w:jc w:val="center"/>
              <w:rPr>
                <w:rFonts w:cs="宋体"/>
                <w:bCs/>
                <w:sz w:val="13"/>
                <w:szCs w:val="13"/>
              </w:rPr>
            </w:pPr>
          </w:p>
        </w:tc>
        <w:tc>
          <w:tcPr>
            <w:tcW w:w="1096" w:type="dxa"/>
            <w:vMerge/>
            <w:tcBorders>
              <w:bottom w:val="nil"/>
            </w:tcBorders>
            <w:vAlign w:val="center"/>
          </w:tcPr>
          <w:p w14:paraId="06B53EE8" w14:textId="77777777" w:rsidR="005E000F" w:rsidRDefault="005E000F">
            <w:pPr>
              <w:snapToGrid w:val="0"/>
              <w:spacing w:line="240" w:lineRule="atLeast"/>
              <w:jc w:val="center"/>
              <w:rPr>
                <w:rFonts w:cs="宋体"/>
                <w:bCs/>
                <w:sz w:val="13"/>
                <w:szCs w:val="13"/>
              </w:rPr>
            </w:pPr>
          </w:p>
        </w:tc>
      </w:tr>
      <w:tr w:rsidR="005E000F" w14:paraId="04D6635F" w14:textId="77777777">
        <w:trPr>
          <w:trHeight w:val="481"/>
        </w:trPr>
        <w:sdt>
          <w:sdtPr>
            <w:rPr>
              <w:rFonts w:cs="宋体"/>
              <w:bCs/>
              <w:sz w:val="13"/>
              <w:szCs w:val="13"/>
            </w:rPr>
            <w:tag w:val="_PLD_4fdfc5e6b5c34cfdb08e5d5e3943966e"/>
            <w:id w:val="1787015"/>
          </w:sdtPr>
          <w:sdtContent>
            <w:tc>
              <w:tcPr>
                <w:tcW w:w="1314" w:type="dxa"/>
                <w:vAlign w:val="center"/>
              </w:tcPr>
              <w:p w14:paraId="5CAFC6F0" w14:textId="77777777" w:rsidR="005E000F" w:rsidRDefault="00000000">
                <w:pPr>
                  <w:rPr>
                    <w:rFonts w:cs="宋体"/>
                    <w:bCs/>
                    <w:sz w:val="13"/>
                    <w:szCs w:val="13"/>
                  </w:rPr>
                </w:pPr>
                <w:r>
                  <w:rPr>
                    <w:rFonts w:cs="宋体"/>
                    <w:bCs/>
                    <w:sz w:val="13"/>
                    <w:szCs w:val="13"/>
                  </w:rPr>
                  <w:t>一、上年</w:t>
                </w:r>
                <w:r>
                  <w:rPr>
                    <w:rFonts w:cs="宋体" w:hint="eastAsia"/>
                    <w:bCs/>
                    <w:sz w:val="13"/>
                    <w:szCs w:val="13"/>
                  </w:rPr>
                  <w:t>年</w:t>
                </w:r>
                <w:r>
                  <w:rPr>
                    <w:rFonts w:cs="宋体"/>
                    <w:bCs/>
                    <w:sz w:val="13"/>
                    <w:szCs w:val="13"/>
                  </w:rPr>
                  <w:t>末余额</w:t>
                </w:r>
              </w:p>
            </w:tc>
          </w:sdtContent>
        </w:sdt>
        <w:tc>
          <w:tcPr>
            <w:tcW w:w="1067" w:type="dxa"/>
            <w:vAlign w:val="center"/>
          </w:tcPr>
          <w:p w14:paraId="5E6FDF18" w14:textId="77777777" w:rsidR="005E000F" w:rsidRDefault="00000000">
            <w:pPr>
              <w:snapToGrid w:val="0"/>
              <w:spacing w:line="240" w:lineRule="atLeast"/>
              <w:jc w:val="right"/>
              <w:rPr>
                <w:rFonts w:cs="宋体"/>
                <w:bCs/>
                <w:sz w:val="13"/>
                <w:szCs w:val="13"/>
              </w:rPr>
            </w:pPr>
            <w:r>
              <w:rPr>
                <w:rFonts w:cs="宋体"/>
                <w:bCs/>
                <w:sz w:val="13"/>
                <w:szCs w:val="13"/>
              </w:rPr>
              <w:t>18,807,273,822</w:t>
            </w:r>
          </w:p>
        </w:tc>
        <w:tc>
          <w:tcPr>
            <w:tcW w:w="289" w:type="dxa"/>
            <w:vAlign w:val="center"/>
          </w:tcPr>
          <w:p w14:paraId="04CE89DE" w14:textId="77777777" w:rsidR="005E000F" w:rsidRDefault="00000000">
            <w:pPr>
              <w:jc w:val="right"/>
              <w:rPr>
                <w:sz w:val="13"/>
                <w:szCs w:val="13"/>
              </w:rPr>
            </w:pPr>
            <w:r>
              <w:rPr>
                <w:rFonts w:hint="eastAsia"/>
                <w:sz w:val="13"/>
                <w:szCs w:val="13"/>
              </w:rPr>
              <w:t>0</w:t>
            </w:r>
          </w:p>
        </w:tc>
        <w:tc>
          <w:tcPr>
            <w:tcW w:w="322" w:type="dxa"/>
            <w:vAlign w:val="center"/>
          </w:tcPr>
          <w:p w14:paraId="028BBD94" w14:textId="77777777" w:rsidR="005E000F" w:rsidRDefault="00000000">
            <w:pPr>
              <w:jc w:val="right"/>
              <w:rPr>
                <w:sz w:val="13"/>
                <w:szCs w:val="13"/>
              </w:rPr>
            </w:pPr>
            <w:r>
              <w:rPr>
                <w:rFonts w:hint="eastAsia"/>
                <w:sz w:val="13"/>
                <w:szCs w:val="13"/>
              </w:rPr>
              <w:t>0</w:t>
            </w:r>
          </w:p>
        </w:tc>
        <w:tc>
          <w:tcPr>
            <w:tcW w:w="944" w:type="dxa"/>
            <w:vAlign w:val="center"/>
          </w:tcPr>
          <w:p w14:paraId="45F48585" w14:textId="77777777" w:rsidR="005E000F" w:rsidRDefault="00000000">
            <w:pPr>
              <w:snapToGrid w:val="0"/>
              <w:spacing w:line="240" w:lineRule="atLeast"/>
              <w:jc w:val="right"/>
              <w:rPr>
                <w:rFonts w:cs="宋体"/>
                <w:bCs/>
                <w:sz w:val="13"/>
                <w:szCs w:val="13"/>
              </w:rPr>
            </w:pPr>
            <w:r>
              <w:rPr>
                <w:rFonts w:cs="宋体"/>
                <w:bCs/>
                <w:sz w:val="13"/>
                <w:szCs w:val="13"/>
              </w:rPr>
              <w:t>804,984,728</w:t>
            </w:r>
          </w:p>
        </w:tc>
        <w:tc>
          <w:tcPr>
            <w:tcW w:w="1078" w:type="dxa"/>
            <w:vAlign w:val="center"/>
          </w:tcPr>
          <w:p w14:paraId="50B32658" w14:textId="77777777" w:rsidR="005E000F" w:rsidRDefault="00000000">
            <w:pPr>
              <w:snapToGrid w:val="0"/>
              <w:spacing w:line="240" w:lineRule="atLeast"/>
              <w:jc w:val="right"/>
              <w:rPr>
                <w:rFonts w:cs="宋体"/>
                <w:bCs/>
                <w:sz w:val="13"/>
                <w:szCs w:val="13"/>
              </w:rPr>
            </w:pPr>
            <w:r>
              <w:rPr>
                <w:rFonts w:cs="宋体"/>
                <w:bCs/>
                <w:sz w:val="13"/>
                <w:szCs w:val="13"/>
              </w:rPr>
              <w:t>45,971,604,759</w:t>
            </w:r>
          </w:p>
        </w:tc>
        <w:tc>
          <w:tcPr>
            <w:tcW w:w="911" w:type="dxa"/>
            <w:vAlign w:val="center"/>
          </w:tcPr>
          <w:p w14:paraId="03D2E573"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56" w:type="dxa"/>
            <w:vAlign w:val="center"/>
          </w:tcPr>
          <w:p w14:paraId="4CB91A55" w14:textId="77777777" w:rsidR="005E000F" w:rsidRDefault="00000000">
            <w:pPr>
              <w:snapToGrid w:val="0"/>
              <w:spacing w:line="240" w:lineRule="atLeast"/>
              <w:jc w:val="right"/>
              <w:rPr>
                <w:rFonts w:cs="宋体"/>
                <w:bCs/>
                <w:sz w:val="13"/>
                <w:szCs w:val="13"/>
              </w:rPr>
            </w:pPr>
            <w:r>
              <w:rPr>
                <w:rFonts w:cs="宋体"/>
                <w:bCs/>
                <w:sz w:val="13"/>
                <w:szCs w:val="13"/>
              </w:rPr>
              <w:t>-1,920,952,306</w:t>
            </w:r>
          </w:p>
        </w:tc>
        <w:tc>
          <w:tcPr>
            <w:tcW w:w="955" w:type="dxa"/>
            <w:vAlign w:val="center"/>
          </w:tcPr>
          <w:p w14:paraId="74341980" w14:textId="77777777" w:rsidR="005E000F" w:rsidRDefault="00000000">
            <w:pPr>
              <w:snapToGrid w:val="0"/>
              <w:spacing w:line="240" w:lineRule="atLeast"/>
              <w:jc w:val="right"/>
              <w:rPr>
                <w:rFonts w:cs="宋体"/>
                <w:bCs/>
                <w:sz w:val="13"/>
                <w:szCs w:val="13"/>
              </w:rPr>
            </w:pPr>
            <w:r>
              <w:rPr>
                <w:rFonts w:cs="宋体"/>
                <w:bCs/>
                <w:sz w:val="13"/>
                <w:szCs w:val="13"/>
              </w:rPr>
              <w:t>235,448,207</w:t>
            </w:r>
          </w:p>
        </w:tc>
        <w:tc>
          <w:tcPr>
            <w:tcW w:w="1056" w:type="dxa"/>
            <w:vAlign w:val="center"/>
          </w:tcPr>
          <w:p w14:paraId="0DC32F8D" w14:textId="77777777" w:rsidR="005E000F" w:rsidRDefault="00000000">
            <w:pPr>
              <w:snapToGrid w:val="0"/>
              <w:spacing w:line="240" w:lineRule="atLeast"/>
              <w:jc w:val="right"/>
              <w:rPr>
                <w:rFonts w:cs="宋体"/>
                <w:bCs/>
                <w:sz w:val="13"/>
                <w:szCs w:val="13"/>
              </w:rPr>
            </w:pPr>
            <w:r>
              <w:rPr>
                <w:rFonts w:cs="宋体"/>
                <w:bCs/>
                <w:sz w:val="13"/>
                <w:szCs w:val="13"/>
              </w:rPr>
              <w:t>21,495,996,826</w:t>
            </w:r>
          </w:p>
        </w:tc>
        <w:tc>
          <w:tcPr>
            <w:tcW w:w="311" w:type="dxa"/>
            <w:vAlign w:val="center"/>
          </w:tcPr>
          <w:p w14:paraId="1403E501" w14:textId="77777777" w:rsidR="005E000F" w:rsidRDefault="005E000F">
            <w:pPr>
              <w:snapToGrid w:val="0"/>
              <w:spacing w:line="240" w:lineRule="atLeast"/>
              <w:jc w:val="right"/>
              <w:rPr>
                <w:rFonts w:cs="宋体"/>
                <w:bCs/>
                <w:sz w:val="13"/>
                <w:szCs w:val="13"/>
              </w:rPr>
            </w:pPr>
          </w:p>
        </w:tc>
        <w:tc>
          <w:tcPr>
            <w:tcW w:w="1111" w:type="dxa"/>
            <w:vAlign w:val="center"/>
          </w:tcPr>
          <w:p w14:paraId="7475145A" w14:textId="77777777" w:rsidR="005E000F" w:rsidRDefault="00000000">
            <w:pPr>
              <w:snapToGrid w:val="0"/>
              <w:spacing w:line="240" w:lineRule="atLeast"/>
              <w:jc w:val="right"/>
              <w:rPr>
                <w:rFonts w:cs="宋体"/>
                <w:bCs/>
                <w:sz w:val="13"/>
                <w:szCs w:val="13"/>
              </w:rPr>
            </w:pPr>
            <w:r>
              <w:rPr>
                <w:rFonts w:cs="宋体"/>
                <w:bCs/>
                <w:sz w:val="13"/>
                <w:szCs w:val="13"/>
              </w:rPr>
              <w:t>69,489,614,587</w:t>
            </w:r>
          </w:p>
        </w:tc>
        <w:tc>
          <w:tcPr>
            <w:tcW w:w="389" w:type="dxa"/>
            <w:vAlign w:val="center"/>
          </w:tcPr>
          <w:p w14:paraId="4A9ABB5A" w14:textId="77777777" w:rsidR="005E000F" w:rsidRDefault="005E000F">
            <w:pPr>
              <w:snapToGrid w:val="0"/>
              <w:spacing w:line="240" w:lineRule="atLeast"/>
              <w:jc w:val="right"/>
              <w:rPr>
                <w:rFonts w:cs="宋体"/>
                <w:bCs/>
                <w:sz w:val="13"/>
                <w:szCs w:val="13"/>
              </w:rPr>
            </w:pPr>
          </w:p>
        </w:tc>
        <w:tc>
          <w:tcPr>
            <w:tcW w:w="1152" w:type="dxa"/>
            <w:vAlign w:val="center"/>
          </w:tcPr>
          <w:p w14:paraId="2D1252E0" w14:textId="77777777" w:rsidR="005E000F" w:rsidRDefault="00000000">
            <w:pPr>
              <w:snapToGrid w:val="0"/>
              <w:spacing w:line="240" w:lineRule="atLeast"/>
              <w:jc w:val="right"/>
              <w:rPr>
                <w:rFonts w:cs="宋体"/>
                <w:bCs/>
                <w:sz w:val="13"/>
                <w:szCs w:val="13"/>
              </w:rPr>
            </w:pPr>
            <w:r>
              <w:rPr>
                <w:rFonts w:cs="宋体"/>
                <w:bCs/>
                <w:sz w:val="13"/>
                <w:szCs w:val="13"/>
              </w:rPr>
              <w:t>154,883,970,623</w:t>
            </w:r>
          </w:p>
        </w:tc>
        <w:tc>
          <w:tcPr>
            <w:tcW w:w="1037" w:type="dxa"/>
            <w:vAlign w:val="center"/>
          </w:tcPr>
          <w:p w14:paraId="3302136C" w14:textId="77777777" w:rsidR="005E000F" w:rsidRDefault="00000000">
            <w:pPr>
              <w:snapToGrid w:val="0"/>
              <w:spacing w:line="240" w:lineRule="atLeast"/>
              <w:jc w:val="right"/>
              <w:rPr>
                <w:rFonts w:cs="宋体"/>
                <w:bCs/>
                <w:sz w:val="13"/>
                <w:szCs w:val="13"/>
              </w:rPr>
            </w:pPr>
            <w:r>
              <w:rPr>
                <w:rFonts w:cs="宋体"/>
                <w:bCs/>
                <w:sz w:val="13"/>
                <w:szCs w:val="13"/>
              </w:rPr>
              <w:t>15,084,912,113</w:t>
            </w:r>
          </w:p>
        </w:tc>
        <w:tc>
          <w:tcPr>
            <w:tcW w:w="1096" w:type="dxa"/>
            <w:vAlign w:val="center"/>
          </w:tcPr>
          <w:p w14:paraId="71AFEAFA" w14:textId="77777777" w:rsidR="005E000F" w:rsidRDefault="00000000">
            <w:pPr>
              <w:snapToGrid w:val="0"/>
              <w:spacing w:line="240" w:lineRule="atLeast"/>
              <w:jc w:val="right"/>
              <w:rPr>
                <w:rFonts w:cs="宋体"/>
                <w:bCs/>
                <w:sz w:val="13"/>
                <w:szCs w:val="13"/>
              </w:rPr>
            </w:pPr>
            <w:r>
              <w:rPr>
                <w:rFonts w:cs="宋体"/>
                <w:bCs/>
                <w:sz w:val="13"/>
                <w:szCs w:val="13"/>
              </w:rPr>
              <w:t>169,968,882,736</w:t>
            </w:r>
          </w:p>
        </w:tc>
      </w:tr>
      <w:tr w:rsidR="005E000F" w14:paraId="70763514" w14:textId="77777777">
        <w:sdt>
          <w:sdtPr>
            <w:rPr>
              <w:rFonts w:cs="宋体"/>
              <w:bCs/>
              <w:sz w:val="13"/>
              <w:szCs w:val="13"/>
            </w:rPr>
            <w:tag w:val="_PLD_90f04cf20717467298c2824a1c7b2f71"/>
            <w:id w:val="1315072478"/>
          </w:sdtPr>
          <w:sdtContent>
            <w:tc>
              <w:tcPr>
                <w:tcW w:w="1314" w:type="dxa"/>
                <w:vAlign w:val="center"/>
              </w:tcPr>
              <w:p w14:paraId="2FAEF261" w14:textId="77777777" w:rsidR="005E000F" w:rsidRDefault="00000000">
                <w:pPr>
                  <w:rPr>
                    <w:rFonts w:cs="宋体"/>
                    <w:bCs/>
                    <w:sz w:val="13"/>
                    <w:szCs w:val="13"/>
                  </w:rPr>
                </w:pPr>
                <w:r>
                  <w:rPr>
                    <w:rFonts w:cs="宋体" w:hint="eastAsia"/>
                    <w:bCs/>
                    <w:sz w:val="13"/>
                    <w:szCs w:val="13"/>
                  </w:rPr>
                  <w:t>加：</w:t>
                </w:r>
                <w:r>
                  <w:rPr>
                    <w:rFonts w:cs="宋体"/>
                    <w:bCs/>
                    <w:sz w:val="13"/>
                    <w:szCs w:val="13"/>
                  </w:rPr>
                  <w:t>会计政策变更</w:t>
                </w:r>
              </w:p>
            </w:tc>
          </w:sdtContent>
        </w:sdt>
        <w:tc>
          <w:tcPr>
            <w:tcW w:w="1067" w:type="dxa"/>
            <w:vAlign w:val="center"/>
          </w:tcPr>
          <w:p w14:paraId="659535EC" w14:textId="77777777" w:rsidR="005E000F" w:rsidRDefault="00000000">
            <w:pPr>
              <w:jc w:val="right"/>
              <w:rPr>
                <w:sz w:val="13"/>
                <w:szCs w:val="13"/>
              </w:rPr>
            </w:pPr>
            <w:r>
              <w:rPr>
                <w:rFonts w:hint="eastAsia"/>
                <w:sz w:val="13"/>
                <w:szCs w:val="13"/>
              </w:rPr>
              <w:t>0</w:t>
            </w:r>
          </w:p>
        </w:tc>
        <w:tc>
          <w:tcPr>
            <w:tcW w:w="289" w:type="dxa"/>
            <w:vAlign w:val="center"/>
          </w:tcPr>
          <w:p w14:paraId="284291E7" w14:textId="77777777" w:rsidR="005E000F" w:rsidRDefault="00000000">
            <w:pPr>
              <w:jc w:val="right"/>
              <w:rPr>
                <w:sz w:val="13"/>
                <w:szCs w:val="13"/>
              </w:rPr>
            </w:pPr>
            <w:r>
              <w:rPr>
                <w:rFonts w:hint="eastAsia"/>
                <w:sz w:val="13"/>
                <w:szCs w:val="13"/>
              </w:rPr>
              <w:t>0</w:t>
            </w:r>
          </w:p>
        </w:tc>
        <w:tc>
          <w:tcPr>
            <w:tcW w:w="322" w:type="dxa"/>
            <w:vAlign w:val="center"/>
          </w:tcPr>
          <w:p w14:paraId="1CE4055D" w14:textId="77777777" w:rsidR="005E000F" w:rsidRDefault="00000000">
            <w:pPr>
              <w:jc w:val="right"/>
              <w:rPr>
                <w:sz w:val="13"/>
                <w:szCs w:val="13"/>
              </w:rPr>
            </w:pPr>
            <w:r>
              <w:rPr>
                <w:rFonts w:hint="eastAsia"/>
                <w:sz w:val="13"/>
                <w:szCs w:val="13"/>
              </w:rPr>
              <w:t>0</w:t>
            </w:r>
          </w:p>
        </w:tc>
        <w:tc>
          <w:tcPr>
            <w:tcW w:w="944" w:type="dxa"/>
            <w:vAlign w:val="center"/>
          </w:tcPr>
          <w:p w14:paraId="72AE8E55"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2D975302" w14:textId="77777777" w:rsidR="005E000F" w:rsidRDefault="00000000">
            <w:pPr>
              <w:jc w:val="right"/>
              <w:rPr>
                <w:rFonts w:cs="宋体"/>
                <w:bCs/>
                <w:sz w:val="13"/>
                <w:szCs w:val="13"/>
              </w:rPr>
            </w:pPr>
            <w:r>
              <w:rPr>
                <w:rFonts w:hint="eastAsia"/>
                <w:sz w:val="13"/>
                <w:szCs w:val="13"/>
              </w:rPr>
              <w:t>0</w:t>
            </w:r>
          </w:p>
        </w:tc>
        <w:tc>
          <w:tcPr>
            <w:tcW w:w="911" w:type="dxa"/>
            <w:vAlign w:val="center"/>
          </w:tcPr>
          <w:p w14:paraId="21583E95"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51659F36" w14:textId="77777777" w:rsidR="005E000F" w:rsidRDefault="00000000">
            <w:pPr>
              <w:jc w:val="right"/>
              <w:rPr>
                <w:rFonts w:cs="宋体"/>
                <w:bCs/>
                <w:sz w:val="13"/>
                <w:szCs w:val="13"/>
              </w:rPr>
            </w:pPr>
            <w:r>
              <w:rPr>
                <w:rFonts w:hint="eastAsia"/>
                <w:sz w:val="13"/>
                <w:szCs w:val="13"/>
              </w:rPr>
              <w:t>0</w:t>
            </w:r>
          </w:p>
        </w:tc>
        <w:tc>
          <w:tcPr>
            <w:tcW w:w="955" w:type="dxa"/>
            <w:vAlign w:val="center"/>
          </w:tcPr>
          <w:p w14:paraId="4299C697"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20645EE2" w14:textId="77777777" w:rsidR="005E000F" w:rsidRDefault="00000000">
            <w:pPr>
              <w:jc w:val="right"/>
              <w:rPr>
                <w:rFonts w:cs="宋体"/>
                <w:bCs/>
                <w:sz w:val="13"/>
                <w:szCs w:val="13"/>
              </w:rPr>
            </w:pPr>
            <w:r>
              <w:rPr>
                <w:rFonts w:hint="eastAsia"/>
                <w:sz w:val="13"/>
                <w:szCs w:val="13"/>
              </w:rPr>
              <w:t>0</w:t>
            </w:r>
          </w:p>
        </w:tc>
        <w:tc>
          <w:tcPr>
            <w:tcW w:w="311" w:type="dxa"/>
            <w:vAlign w:val="center"/>
          </w:tcPr>
          <w:p w14:paraId="4598B747"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0EBBFAF5" w14:textId="77777777" w:rsidR="005E000F" w:rsidRDefault="00000000">
            <w:pPr>
              <w:jc w:val="right"/>
              <w:rPr>
                <w:rFonts w:cs="宋体"/>
                <w:bCs/>
                <w:sz w:val="13"/>
                <w:szCs w:val="13"/>
              </w:rPr>
            </w:pPr>
            <w:r>
              <w:rPr>
                <w:rFonts w:hint="eastAsia"/>
                <w:sz w:val="13"/>
                <w:szCs w:val="13"/>
              </w:rPr>
              <w:t>0</w:t>
            </w:r>
          </w:p>
        </w:tc>
        <w:tc>
          <w:tcPr>
            <w:tcW w:w="389" w:type="dxa"/>
            <w:vAlign w:val="center"/>
          </w:tcPr>
          <w:p w14:paraId="5C974C83"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335F30AE"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65DB5D0C"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2B8D8D65" w14:textId="77777777" w:rsidR="005E000F" w:rsidRDefault="00000000">
            <w:pPr>
              <w:jc w:val="right"/>
              <w:rPr>
                <w:rFonts w:cs="宋体"/>
                <w:bCs/>
                <w:sz w:val="13"/>
                <w:szCs w:val="13"/>
              </w:rPr>
            </w:pPr>
            <w:r>
              <w:rPr>
                <w:rFonts w:hint="eastAsia"/>
                <w:sz w:val="13"/>
                <w:szCs w:val="13"/>
              </w:rPr>
              <w:t>0</w:t>
            </w:r>
          </w:p>
        </w:tc>
      </w:tr>
      <w:tr w:rsidR="005E000F" w14:paraId="0A16AB18" w14:textId="77777777">
        <w:sdt>
          <w:sdtPr>
            <w:rPr>
              <w:rFonts w:cs="宋体"/>
              <w:bCs/>
              <w:sz w:val="13"/>
              <w:szCs w:val="13"/>
            </w:rPr>
            <w:tag w:val="_PLD_d724580d38484f718fafd008f24a7505"/>
            <w:id w:val="-1342705501"/>
          </w:sdtPr>
          <w:sdtContent>
            <w:tc>
              <w:tcPr>
                <w:tcW w:w="1314" w:type="dxa"/>
                <w:vAlign w:val="center"/>
              </w:tcPr>
              <w:p w14:paraId="01DF34DC" w14:textId="77777777" w:rsidR="005E000F" w:rsidRDefault="00000000">
                <w:pPr>
                  <w:rPr>
                    <w:rFonts w:cs="宋体"/>
                    <w:bCs/>
                    <w:sz w:val="13"/>
                    <w:szCs w:val="13"/>
                  </w:rPr>
                </w:pPr>
                <w:r>
                  <w:rPr>
                    <w:rFonts w:cs="宋体"/>
                    <w:bCs/>
                    <w:sz w:val="13"/>
                    <w:szCs w:val="13"/>
                  </w:rPr>
                  <w:t>前期差错更正</w:t>
                </w:r>
              </w:p>
            </w:tc>
          </w:sdtContent>
        </w:sdt>
        <w:tc>
          <w:tcPr>
            <w:tcW w:w="1067" w:type="dxa"/>
            <w:vAlign w:val="center"/>
          </w:tcPr>
          <w:p w14:paraId="6AFB814F" w14:textId="77777777" w:rsidR="005E000F" w:rsidRDefault="00000000">
            <w:pPr>
              <w:jc w:val="right"/>
              <w:rPr>
                <w:sz w:val="13"/>
                <w:szCs w:val="13"/>
              </w:rPr>
            </w:pPr>
            <w:r>
              <w:rPr>
                <w:rFonts w:hint="eastAsia"/>
                <w:sz w:val="13"/>
                <w:szCs w:val="13"/>
              </w:rPr>
              <w:t>0</w:t>
            </w:r>
          </w:p>
        </w:tc>
        <w:tc>
          <w:tcPr>
            <w:tcW w:w="289" w:type="dxa"/>
            <w:vAlign w:val="center"/>
          </w:tcPr>
          <w:p w14:paraId="4D9CA60B" w14:textId="77777777" w:rsidR="005E000F" w:rsidRDefault="00000000">
            <w:pPr>
              <w:jc w:val="right"/>
              <w:rPr>
                <w:sz w:val="13"/>
                <w:szCs w:val="13"/>
              </w:rPr>
            </w:pPr>
            <w:r>
              <w:rPr>
                <w:rFonts w:hint="eastAsia"/>
                <w:sz w:val="13"/>
                <w:szCs w:val="13"/>
              </w:rPr>
              <w:t>0</w:t>
            </w:r>
          </w:p>
        </w:tc>
        <w:tc>
          <w:tcPr>
            <w:tcW w:w="322" w:type="dxa"/>
            <w:vAlign w:val="center"/>
          </w:tcPr>
          <w:p w14:paraId="0D9AC599" w14:textId="77777777" w:rsidR="005E000F" w:rsidRDefault="00000000">
            <w:pPr>
              <w:jc w:val="right"/>
              <w:rPr>
                <w:sz w:val="13"/>
                <w:szCs w:val="13"/>
              </w:rPr>
            </w:pPr>
            <w:r>
              <w:rPr>
                <w:rFonts w:hint="eastAsia"/>
                <w:sz w:val="13"/>
                <w:szCs w:val="13"/>
              </w:rPr>
              <w:t>0</w:t>
            </w:r>
          </w:p>
        </w:tc>
        <w:tc>
          <w:tcPr>
            <w:tcW w:w="944" w:type="dxa"/>
            <w:vAlign w:val="center"/>
          </w:tcPr>
          <w:p w14:paraId="059B2AA5"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2CBFA7ED" w14:textId="77777777" w:rsidR="005E000F" w:rsidRDefault="00000000">
            <w:pPr>
              <w:jc w:val="right"/>
              <w:rPr>
                <w:rFonts w:cs="宋体"/>
                <w:bCs/>
                <w:sz w:val="13"/>
                <w:szCs w:val="13"/>
              </w:rPr>
            </w:pPr>
            <w:r>
              <w:rPr>
                <w:rFonts w:hint="eastAsia"/>
                <w:sz w:val="13"/>
                <w:szCs w:val="13"/>
              </w:rPr>
              <w:t>0</w:t>
            </w:r>
          </w:p>
        </w:tc>
        <w:tc>
          <w:tcPr>
            <w:tcW w:w="911" w:type="dxa"/>
            <w:vAlign w:val="center"/>
          </w:tcPr>
          <w:p w14:paraId="4F99FA7A"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612AE9D1" w14:textId="77777777" w:rsidR="005E000F" w:rsidRDefault="00000000">
            <w:pPr>
              <w:jc w:val="right"/>
              <w:rPr>
                <w:rFonts w:cs="宋体"/>
                <w:bCs/>
                <w:sz w:val="13"/>
                <w:szCs w:val="13"/>
              </w:rPr>
            </w:pPr>
            <w:r>
              <w:rPr>
                <w:rFonts w:hint="eastAsia"/>
                <w:sz w:val="13"/>
                <w:szCs w:val="13"/>
              </w:rPr>
              <w:t>0</w:t>
            </w:r>
          </w:p>
        </w:tc>
        <w:tc>
          <w:tcPr>
            <w:tcW w:w="955" w:type="dxa"/>
            <w:vAlign w:val="center"/>
          </w:tcPr>
          <w:p w14:paraId="4658EC6A"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5C727127" w14:textId="77777777" w:rsidR="005E000F" w:rsidRDefault="00000000">
            <w:pPr>
              <w:jc w:val="right"/>
              <w:rPr>
                <w:rFonts w:cs="宋体"/>
                <w:bCs/>
                <w:sz w:val="13"/>
                <w:szCs w:val="13"/>
              </w:rPr>
            </w:pPr>
            <w:r>
              <w:rPr>
                <w:rFonts w:hint="eastAsia"/>
                <w:sz w:val="13"/>
                <w:szCs w:val="13"/>
              </w:rPr>
              <w:t>0</w:t>
            </w:r>
          </w:p>
        </w:tc>
        <w:tc>
          <w:tcPr>
            <w:tcW w:w="311" w:type="dxa"/>
            <w:vAlign w:val="center"/>
          </w:tcPr>
          <w:p w14:paraId="2D6BCC6C"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1B8E0A40" w14:textId="77777777" w:rsidR="005E000F" w:rsidRDefault="00000000">
            <w:pPr>
              <w:jc w:val="right"/>
              <w:rPr>
                <w:rFonts w:cs="宋体"/>
                <w:bCs/>
                <w:sz w:val="13"/>
                <w:szCs w:val="13"/>
              </w:rPr>
            </w:pPr>
            <w:r>
              <w:rPr>
                <w:rFonts w:hint="eastAsia"/>
                <w:sz w:val="13"/>
                <w:szCs w:val="13"/>
              </w:rPr>
              <w:t>0</w:t>
            </w:r>
          </w:p>
        </w:tc>
        <w:tc>
          <w:tcPr>
            <w:tcW w:w="389" w:type="dxa"/>
            <w:vAlign w:val="center"/>
          </w:tcPr>
          <w:p w14:paraId="332C09E0"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3B839AEF"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42DBA462"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7F3E0A1B" w14:textId="77777777" w:rsidR="005E000F" w:rsidRDefault="00000000">
            <w:pPr>
              <w:jc w:val="right"/>
              <w:rPr>
                <w:rFonts w:cs="宋体"/>
                <w:bCs/>
                <w:sz w:val="13"/>
                <w:szCs w:val="13"/>
              </w:rPr>
            </w:pPr>
            <w:r>
              <w:rPr>
                <w:rFonts w:hint="eastAsia"/>
                <w:sz w:val="13"/>
                <w:szCs w:val="13"/>
              </w:rPr>
              <w:t>0</w:t>
            </w:r>
          </w:p>
        </w:tc>
      </w:tr>
      <w:tr w:rsidR="005E000F" w14:paraId="0A9CBD39" w14:textId="77777777">
        <w:sdt>
          <w:sdtPr>
            <w:rPr>
              <w:rFonts w:cs="宋体"/>
              <w:bCs/>
              <w:sz w:val="13"/>
              <w:szCs w:val="13"/>
            </w:rPr>
            <w:tag w:val="_PLD_122e3287ddd140fb9d031a4dab8a8b13"/>
            <w:id w:val="220955453"/>
          </w:sdtPr>
          <w:sdtContent>
            <w:tc>
              <w:tcPr>
                <w:tcW w:w="1314" w:type="dxa"/>
                <w:vAlign w:val="center"/>
              </w:tcPr>
              <w:p w14:paraId="22AE5FCF" w14:textId="77777777" w:rsidR="005E000F" w:rsidRDefault="00000000">
                <w:pPr>
                  <w:rPr>
                    <w:rFonts w:cs="宋体"/>
                    <w:bCs/>
                    <w:sz w:val="13"/>
                    <w:szCs w:val="13"/>
                  </w:rPr>
                </w:pPr>
                <w:r>
                  <w:rPr>
                    <w:rFonts w:cs="宋体" w:hint="eastAsia"/>
                    <w:bCs/>
                    <w:sz w:val="13"/>
                    <w:szCs w:val="13"/>
                  </w:rPr>
                  <w:t>其他</w:t>
                </w:r>
              </w:p>
            </w:tc>
          </w:sdtContent>
        </w:sdt>
        <w:tc>
          <w:tcPr>
            <w:tcW w:w="1067" w:type="dxa"/>
            <w:vAlign w:val="center"/>
          </w:tcPr>
          <w:p w14:paraId="169E427F" w14:textId="77777777" w:rsidR="005E000F" w:rsidRDefault="00000000">
            <w:pPr>
              <w:jc w:val="right"/>
              <w:rPr>
                <w:sz w:val="13"/>
                <w:szCs w:val="13"/>
              </w:rPr>
            </w:pPr>
            <w:r>
              <w:rPr>
                <w:rFonts w:hint="eastAsia"/>
                <w:sz w:val="13"/>
                <w:szCs w:val="13"/>
              </w:rPr>
              <w:t>0</w:t>
            </w:r>
          </w:p>
        </w:tc>
        <w:tc>
          <w:tcPr>
            <w:tcW w:w="289" w:type="dxa"/>
            <w:vAlign w:val="center"/>
          </w:tcPr>
          <w:p w14:paraId="5069C1C0" w14:textId="77777777" w:rsidR="005E000F" w:rsidRDefault="00000000">
            <w:pPr>
              <w:jc w:val="right"/>
              <w:rPr>
                <w:sz w:val="13"/>
                <w:szCs w:val="13"/>
              </w:rPr>
            </w:pPr>
            <w:r>
              <w:rPr>
                <w:rFonts w:hint="eastAsia"/>
                <w:sz w:val="13"/>
                <w:szCs w:val="13"/>
              </w:rPr>
              <w:t>0</w:t>
            </w:r>
          </w:p>
        </w:tc>
        <w:tc>
          <w:tcPr>
            <w:tcW w:w="322" w:type="dxa"/>
            <w:vAlign w:val="center"/>
          </w:tcPr>
          <w:p w14:paraId="043AC4C3" w14:textId="77777777" w:rsidR="005E000F" w:rsidRDefault="00000000">
            <w:pPr>
              <w:jc w:val="right"/>
              <w:rPr>
                <w:sz w:val="13"/>
                <w:szCs w:val="13"/>
              </w:rPr>
            </w:pPr>
            <w:r>
              <w:rPr>
                <w:rFonts w:hint="eastAsia"/>
                <w:sz w:val="13"/>
                <w:szCs w:val="13"/>
              </w:rPr>
              <w:t>0</w:t>
            </w:r>
          </w:p>
        </w:tc>
        <w:tc>
          <w:tcPr>
            <w:tcW w:w="944" w:type="dxa"/>
            <w:vAlign w:val="center"/>
          </w:tcPr>
          <w:p w14:paraId="5D9B106E"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20D23084" w14:textId="77777777" w:rsidR="005E000F" w:rsidRDefault="00000000">
            <w:pPr>
              <w:jc w:val="right"/>
              <w:rPr>
                <w:rFonts w:cs="宋体"/>
                <w:bCs/>
                <w:sz w:val="13"/>
                <w:szCs w:val="13"/>
              </w:rPr>
            </w:pPr>
            <w:r>
              <w:rPr>
                <w:rFonts w:hint="eastAsia"/>
                <w:sz w:val="13"/>
                <w:szCs w:val="13"/>
              </w:rPr>
              <w:t>0</w:t>
            </w:r>
          </w:p>
        </w:tc>
        <w:tc>
          <w:tcPr>
            <w:tcW w:w="911" w:type="dxa"/>
            <w:vAlign w:val="center"/>
          </w:tcPr>
          <w:p w14:paraId="3A9C08A7"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0F04BA33" w14:textId="77777777" w:rsidR="005E000F" w:rsidRDefault="00000000">
            <w:pPr>
              <w:jc w:val="right"/>
              <w:rPr>
                <w:rFonts w:cs="宋体"/>
                <w:bCs/>
                <w:sz w:val="13"/>
                <w:szCs w:val="13"/>
              </w:rPr>
            </w:pPr>
            <w:r>
              <w:rPr>
                <w:rFonts w:hint="eastAsia"/>
                <w:sz w:val="13"/>
                <w:szCs w:val="13"/>
              </w:rPr>
              <w:t>0</w:t>
            </w:r>
          </w:p>
        </w:tc>
        <w:tc>
          <w:tcPr>
            <w:tcW w:w="955" w:type="dxa"/>
            <w:vAlign w:val="center"/>
          </w:tcPr>
          <w:p w14:paraId="4367ED9A"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0512F3D5" w14:textId="77777777" w:rsidR="005E000F" w:rsidRDefault="00000000">
            <w:pPr>
              <w:jc w:val="right"/>
              <w:rPr>
                <w:rFonts w:cs="宋体"/>
                <w:bCs/>
                <w:sz w:val="13"/>
                <w:szCs w:val="13"/>
              </w:rPr>
            </w:pPr>
            <w:r>
              <w:rPr>
                <w:rFonts w:hint="eastAsia"/>
                <w:sz w:val="13"/>
                <w:szCs w:val="13"/>
              </w:rPr>
              <w:t>0</w:t>
            </w:r>
          </w:p>
        </w:tc>
        <w:tc>
          <w:tcPr>
            <w:tcW w:w="311" w:type="dxa"/>
            <w:vAlign w:val="center"/>
          </w:tcPr>
          <w:p w14:paraId="4320DF69"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5F279F5A" w14:textId="77777777" w:rsidR="005E000F" w:rsidRDefault="00000000">
            <w:pPr>
              <w:jc w:val="right"/>
              <w:rPr>
                <w:rFonts w:cs="宋体"/>
                <w:bCs/>
                <w:sz w:val="13"/>
                <w:szCs w:val="13"/>
              </w:rPr>
            </w:pPr>
            <w:r>
              <w:rPr>
                <w:rFonts w:hint="eastAsia"/>
                <w:sz w:val="13"/>
                <w:szCs w:val="13"/>
              </w:rPr>
              <w:t>0</w:t>
            </w:r>
          </w:p>
        </w:tc>
        <w:tc>
          <w:tcPr>
            <w:tcW w:w="389" w:type="dxa"/>
            <w:vAlign w:val="center"/>
          </w:tcPr>
          <w:p w14:paraId="0E19223B"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7542DF70"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2182B9C2"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2F1D1AE0" w14:textId="77777777" w:rsidR="005E000F" w:rsidRDefault="00000000">
            <w:pPr>
              <w:jc w:val="right"/>
              <w:rPr>
                <w:rFonts w:cs="宋体"/>
                <w:bCs/>
                <w:sz w:val="13"/>
                <w:szCs w:val="13"/>
              </w:rPr>
            </w:pPr>
            <w:r>
              <w:rPr>
                <w:rFonts w:hint="eastAsia"/>
                <w:sz w:val="13"/>
                <w:szCs w:val="13"/>
              </w:rPr>
              <w:t>0</w:t>
            </w:r>
          </w:p>
        </w:tc>
      </w:tr>
      <w:tr w:rsidR="005E000F" w14:paraId="02204FEA" w14:textId="77777777">
        <w:sdt>
          <w:sdtPr>
            <w:rPr>
              <w:rFonts w:cs="宋体"/>
              <w:bCs/>
              <w:sz w:val="13"/>
              <w:szCs w:val="13"/>
            </w:rPr>
            <w:tag w:val="_PLD_04db836e110543eab1bb1c6fb46bd857"/>
            <w:id w:val="192191769"/>
          </w:sdtPr>
          <w:sdtContent>
            <w:tc>
              <w:tcPr>
                <w:tcW w:w="1314" w:type="dxa"/>
                <w:vAlign w:val="center"/>
              </w:tcPr>
              <w:p w14:paraId="3A13EFE0" w14:textId="77777777" w:rsidR="005E000F" w:rsidRDefault="00000000">
                <w:pPr>
                  <w:rPr>
                    <w:rFonts w:cs="宋体"/>
                    <w:bCs/>
                    <w:sz w:val="13"/>
                    <w:szCs w:val="13"/>
                  </w:rPr>
                </w:pPr>
                <w:r>
                  <w:rPr>
                    <w:rFonts w:cs="宋体"/>
                    <w:bCs/>
                    <w:sz w:val="13"/>
                    <w:szCs w:val="13"/>
                  </w:rPr>
                  <w:t>二、本年</w:t>
                </w:r>
                <w:r>
                  <w:rPr>
                    <w:rFonts w:cs="宋体" w:hint="eastAsia"/>
                    <w:bCs/>
                    <w:sz w:val="13"/>
                    <w:szCs w:val="13"/>
                  </w:rPr>
                  <w:t>期</w:t>
                </w:r>
                <w:r>
                  <w:rPr>
                    <w:rFonts w:cs="宋体"/>
                    <w:bCs/>
                    <w:sz w:val="13"/>
                    <w:szCs w:val="13"/>
                  </w:rPr>
                  <w:t>初余额</w:t>
                </w:r>
              </w:p>
            </w:tc>
          </w:sdtContent>
        </w:sdt>
        <w:tc>
          <w:tcPr>
            <w:tcW w:w="1067" w:type="dxa"/>
            <w:vAlign w:val="center"/>
          </w:tcPr>
          <w:p w14:paraId="29E638BF" w14:textId="77777777" w:rsidR="005E000F" w:rsidRDefault="00000000">
            <w:pPr>
              <w:snapToGrid w:val="0"/>
              <w:spacing w:line="240" w:lineRule="atLeast"/>
              <w:jc w:val="right"/>
              <w:rPr>
                <w:rFonts w:cs="宋体"/>
                <w:bCs/>
                <w:sz w:val="13"/>
                <w:szCs w:val="13"/>
              </w:rPr>
            </w:pPr>
            <w:r>
              <w:rPr>
                <w:rFonts w:cs="宋体"/>
                <w:bCs/>
                <w:sz w:val="13"/>
                <w:szCs w:val="13"/>
              </w:rPr>
              <w:t>18,807,273,822</w:t>
            </w:r>
          </w:p>
        </w:tc>
        <w:tc>
          <w:tcPr>
            <w:tcW w:w="289" w:type="dxa"/>
            <w:vAlign w:val="center"/>
          </w:tcPr>
          <w:p w14:paraId="001BBF19" w14:textId="77777777" w:rsidR="005E000F" w:rsidRDefault="00000000">
            <w:pPr>
              <w:jc w:val="right"/>
              <w:rPr>
                <w:sz w:val="13"/>
                <w:szCs w:val="13"/>
              </w:rPr>
            </w:pPr>
            <w:r>
              <w:rPr>
                <w:rFonts w:hint="eastAsia"/>
                <w:sz w:val="13"/>
                <w:szCs w:val="13"/>
              </w:rPr>
              <w:t>0</w:t>
            </w:r>
          </w:p>
        </w:tc>
        <w:tc>
          <w:tcPr>
            <w:tcW w:w="322" w:type="dxa"/>
            <w:vAlign w:val="center"/>
          </w:tcPr>
          <w:p w14:paraId="437ECF0A" w14:textId="77777777" w:rsidR="005E000F" w:rsidRDefault="00000000">
            <w:pPr>
              <w:jc w:val="right"/>
              <w:rPr>
                <w:sz w:val="13"/>
                <w:szCs w:val="13"/>
              </w:rPr>
            </w:pPr>
            <w:r>
              <w:rPr>
                <w:rFonts w:hint="eastAsia"/>
                <w:sz w:val="13"/>
                <w:szCs w:val="13"/>
              </w:rPr>
              <w:t>0</w:t>
            </w:r>
          </w:p>
        </w:tc>
        <w:tc>
          <w:tcPr>
            <w:tcW w:w="944" w:type="dxa"/>
            <w:vAlign w:val="center"/>
          </w:tcPr>
          <w:p w14:paraId="72D98BDF" w14:textId="77777777" w:rsidR="005E000F" w:rsidRDefault="00000000">
            <w:pPr>
              <w:snapToGrid w:val="0"/>
              <w:spacing w:line="240" w:lineRule="atLeast"/>
              <w:jc w:val="right"/>
              <w:rPr>
                <w:rFonts w:cs="宋体"/>
                <w:bCs/>
                <w:sz w:val="13"/>
                <w:szCs w:val="13"/>
              </w:rPr>
            </w:pPr>
            <w:r>
              <w:rPr>
                <w:rFonts w:cs="宋体"/>
                <w:bCs/>
                <w:sz w:val="13"/>
                <w:szCs w:val="13"/>
              </w:rPr>
              <w:t>804,984,728</w:t>
            </w:r>
          </w:p>
        </w:tc>
        <w:tc>
          <w:tcPr>
            <w:tcW w:w="1078" w:type="dxa"/>
            <w:vAlign w:val="center"/>
          </w:tcPr>
          <w:p w14:paraId="1ED7DF0D" w14:textId="77777777" w:rsidR="005E000F" w:rsidRDefault="00000000">
            <w:pPr>
              <w:snapToGrid w:val="0"/>
              <w:spacing w:line="240" w:lineRule="atLeast"/>
              <w:jc w:val="right"/>
              <w:rPr>
                <w:rFonts w:cs="宋体"/>
                <w:bCs/>
                <w:sz w:val="13"/>
                <w:szCs w:val="13"/>
              </w:rPr>
            </w:pPr>
            <w:r>
              <w:rPr>
                <w:rFonts w:cs="宋体"/>
                <w:bCs/>
                <w:sz w:val="13"/>
                <w:szCs w:val="13"/>
              </w:rPr>
              <w:t>45,971,604,759</w:t>
            </w:r>
          </w:p>
        </w:tc>
        <w:tc>
          <w:tcPr>
            <w:tcW w:w="911" w:type="dxa"/>
            <w:vAlign w:val="center"/>
          </w:tcPr>
          <w:p w14:paraId="5A94C512"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56" w:type="dxa"/>
            <w:vAlign w:val="center"/>
          </w:tcPr>
          <w:p w14:paraId="18592B18" w14:textId="77777777" w:rsidR="005E000F" w:rsidRDefault="00000000">
            <w:pPr>
              <w:snapToGrid w:val="0"/>
              <w:spacing w:line="240" w:lineRule="atLeast"/>
              <w:jc w:val="right"/>
              <w:rPr>
                <w:rFonts w:cs="宋体"/>
                <w:bCs/>
                <w:sz w:val="13"/>
                <w:szCs w:val="13"/>
              </w:rPr>
            </w:pPr>
            <w:r>
              <w:rPr>
                <w:rFonts w:cs="宋体"/>
                <w:bCs/>
                <w:sz w:val="13"/>
                <w:szCs w:val="13"/>
              </w:rPr>
              <w:t>-1,920,952,306</w:t>
            </w:r>
          </w:p>
        </w:tc>
        <w:tc>
          <w:tcPr>
            <w:tcW w:w="955" w:type="dxa"/>
            <w:vAlign w:val="center"/>
          </w:tcPr>
          <w:p w14:paraId="2FD6EC3F" w14:textId="77777777" w:rsidR="005E000F" w:rsidRDefault="00000000">
            <w:pPr>
              <w:snapToGrid w:val="0"/>
              <w:spacing w:line="240" w:lineRule="atLeast"/>
              <w:jc w:val="right"/>
              <w:rPr>
                <w:rFonts w:cs="宋体"/>
                <w:bCs/>
                <w:sz w:val="13"/>
                <w:szCs w:val="13"/>
              </w:rPr>
            </w:pPr>
            <w:r>
              <w:rPr>
                <w:rFonts w:cs="宋体"/>
                <w:bCs/>
                <w:sz w:val="13"/>
                <w:szCs w:val="13"/>
              </w:rPr>
              <w:t>235,448,207</w:t>
            </w:r>
          </w:p>
        </w:tc>
        <w:tc>
          <w:tcPr>
            <w:tcW w:w="1056" w:type="dxa"/>
            <w:vAlign w:val="center"/>
          </w:tcPr>
          <w:p w14:paraId="6331ED06" w14:textId="77777777" w:rsidR="005E000F" w:rsidRDefault="00000000">
            <w:pPr>
              <w:snapToGrid w:val="0"/>
              <w:spacing w:line="240" w:lineRule="atLeast"/>
              <w:jc w:val="right"/>
              <w:rPr>
                <w:rFonts w:cs="宋体"/>
                <w:bCs/>
                <w:sz w:val="13"/>
                <w:szCs w:val="13"/>
              </w:rPr>
            </w:pPr>
            <w:r>
              <w:rPr>
                <w:rFonts w:cs="宋体"/>
                <w:bCs/>
                <w:sz w:val="13"/>
                <w:szCs w:val="13"/>
              </w:rPr>
              <w:t>21,495,996,826</w:t>
            </w:r>
          </w:p>
        </w:tc>
        <w:tc>
          <w:tcPr>
            <w:tcW w:w="311" w:type="dxa"/>
            <w:vAlign w:val="center"/>
          </w:tcPr>
          <w:p w14:paraId="0D5EEB9B"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0D81466B" w14:textId="77777777" w:rsidR="005E000F" w:rsidRDefault="00000000">
            <w:pPr>
              <w:snapToGrid w:val="0"/>
              <w:spacing w:line="240" w:lineRule="atLeast"/>
              <w:jc w:val="right"/>
              <w:rPr>
                <w:rFonts w:cs="宋体"/>
                <w:bCs/>
                <w:sz w:val="13"/>
                <w:szCs w:val="13"/>
              </w:rPr>
            </w:pPr>
            <w:r>
              <w:rPr>
                <w:rFonts w:cs="宋体"/>
                <w:bCs/>
                <w:sz w:val="13"/>
                <w:szCs w:val="13"/>
              </w:rPr>
              <w:t>69,489,614,587</w:t>
            </w:r>
          </w:p>
        </w:tc>
        <w:tc>
          <w:tcPr>
            <w:tcW w:w="389" w:type="dxa"/>
            <w:vAlign w:val="center"/>
          </w:tcPr>
          <w:p w14:paraId="337737AF"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7FA012FB" w14:textId="77777777" w:rsidR="005E000F" w:rsidRDefault="00000000">
            <w:pPr>
              <w:snapToGrid w:val="0"/>
              <w:spacing w:line="240" w:lineRule="atLeast"/>
              <w:jc w:val="right"/>
              <w:rPr>
                <w:rFonts w:cs="宋体"/>
                <w:bCs/>
                <w:sz w:val="13"/>
                <w:szCs w:val="13"/>
              </w:rPr>
            </w:pPr>
            <w:r>
              <w:rPr>
                <w:rFonts w:cs="宋体"/>
                <w:bCs/>
                <w:sz w:val="13"/>
                <w:szCs w:val="13"/>
              </w:rPr>
              <w:t>154,883,970,623</w:t>
            </w:r>
          </w:p>
        </w:tc>
        <w:tc>
          <w:tcPr>
            <w:tcW w:w="1037" w:type="dxa"/>
            <w:vAlign w:val="center"/>
          </w:tcPr>
          <w:p w14:paraId="3B05224B" w14:textId="77777777" w:rsidR="005E000F" w:rsidRDefault="00000000">
            <w:pPr>
              <w:snapToGrid w:val="0"/>
              <w:spacing w:line="240" w:lineRule="atLeast"/>
              <w:jc w:val="right"/>
              <w:rPr>
                <w:rFonts w:cs="宋体"/>
                <w:bCs/>
                <w:sz w:val="13"/>
                <w:szCs w:val="13"/>
              </w:rPr>
            </w:pPr>
            <w:r>
              <w:rPr>
                <w:rFonts w:cs="宋体"/>
                <w:bCs/>
                <w:sz w:val="13"/>
                <w:szCs w:val="13"/>
              </w:rPr>
              <w:t>15,084,912,113</w:t>
            </w:r>
          </w:p>
        </w:tc>
        <w:tc>
          <w:tcPr>
            <w:tcW w:w="1096" w:type="dxa"/>
            <w:vAlign w:val="center"/>
          </w:tcPr>
          <w:p w14:paraId="4F015B81" w14:textId="77777777" w:rsidR="005E000F" w:rsidRDefault="00000000">
            <w:pPr>
              <w:snapToGrid w:val="0"/>
              <w:spacing w:line="240" w:lineRule="atLeast"/>
              <w:jc w:val="right"/>
              <w:rPr>
                <w:rFonts w:cs="宋体"/>
                <w:bCs/>
                <w:sz w:val="13"/>
                <w:szCs w:val="13"/>
              </w:rPr>
            </w:pPr>
            <w:r>
              <w:rPr>
                <w:rFonts w:cs="宋体"/>
                <w:bCs/>
                <w:sz w:val="13"/>
                <w:szCs w:val="13"/>
              </w:rPr>
              <w:t>169,968,882,736</w:t>
            </w:r>
          </w:p>
        </w:tc>
      </w:tr>
      <w:tr w:rsidR="005E000F" w14:paraId="40CA36C7" w14:textId="77777777">
        <w:sdt>
          <w:sdtPr>
            <w:rPr>
              <w:rFonts w:cs="宋体"/>
              <w:bCs/>
              <w:sz w:val="13"/>
              <w:szCs w:val="13"/>
            </w:rPr>
            <w:tag w:val="_PLD_1ca4768a663c4afc8e9fee3a8dc71bc6"/>
            <w:id w:val="879286009"/>
          </w:sdtPr>
          <w:sdtContent>
            <w:tc>
              <w:tcPr>
                <w:tcW w:w="1314" w:type="dxa"/>
                <w:vAlign w:val="center"/>
              </w:tcPr>
              <w:p w14:paraId="2CA674A3" w14:textId="77777777" w:rsidR="005E000F" w:rsidRDefault="00000000">
                <w:pPr>
                  <w:rPr>
                    <w:rFonts w:cs="宋体"/>
                    <w:bCs/>
                    <w:sz w:val="13"/>
                    <w:szCs w:val="13"/>
                  </w:rPr>
                </w:pPr>
                <w:r>
                  <w:rPr>
                    <w:rFonts w:cs="宋体"/>
                    <w:bCs/>
                    <w:sz w:val="13"/>
                    <w:szCs w:val="13"/>
                  </w:rPr>
                  <w:t>三、本</w:t>
                </w:r>
                <w:r>
                  <w:rPr>
                    <w:rFonts w:cs="宋体" w:hint="eastAsia"/>
                    <w:bCs/>
                    <w:sz w:val="13"/>
                    <w:szCs w:val="13"/>
                  </w:rPr>
                  <w:t>期</w:t>
                </w:r>
                <w:r>
                  <w:rPr>
                    <w:rFonts w:cs="宋体"/>
                    <w:bCs/>
                    <w:sz w:val="13"/>
                    <w:szCs w:val="13"/>
                  </w:rPr>
                  <w:t>增减变动金额（减少以</w:t>
                </w:r>
                <w:r>
                  <w:rPr>
                    <w:rFonts w:cs="宋体"/>
                    <w:bCs/>
                    <w:sz w:val="13"/>
                    <w:szCs w:val="13"/>
                  </w:rPr>
                  <w:t>“</w:t>
                </w:r>
                <w:r>
                  <w:rPr>
                    <w:rFonts w:cs="宋体"/>
                    <w:bCs/>
                    <w:sz w:val="13"/>
                    <w:szCs w:val="13"/>
                  </w:rPr>
                  <w:t>－</w:t>
                </w:r>
                <w:r>
                  <w:rPr>
                    <w:rFonts w:cs="宋体"/>
                    <w:bCs/>
                    <w:sz w:val="13"/>
                    <w:szCs w:val="13"/>
                  </w:rPr>
                  <w:t>”</w:t>
                </w:r>
                <w:r>
                  <w:rPr>
                    <w:rFonts w:cs="宋体"/>
                    <w:bCs/>
                    <w:sz w:val="13"/>
                    <w:szCs w:val="13"/>
                  </w:rPr>
                  <w:t>号填列）</w:t>
                </w:r>
              </w:p>
            </w:tc>
          </w:sdtContent>
        </w:sdt>
        <w:tc>
          <w:tcPr>
            <w:tcW w:w="1067" w:type="dxa"/>
            <w:vAlign w:val="center"/>
          </w:tcPr>
          <w:p w14:paraId="08D566A4" w14:textId="77777777" w:rsidR="005E000F" w:rsidRDefault="00000000">
            <w:pPr>
              <w:snapToGrid w:val="0"/>
              <w:spacing w:line="240" w:lineRule="atLeast"/>
              <w:jc w:val="right"/>
              <w:rPr>
                <w:rFonts w:cs="宋体"/>
                <w:bCs/>
                <w:sz w:val="13"/>
                <w:szCs w:val="13"/>
              </w:rPr>
            </w:pPr>
            <w:r>
              <w:rPr>
                <w:rFonts w:cs="宋体"/>
                <w:bCs/>
                <w:sz w:val="13"/>
                <w:szCs w:val="13"/>
              </w:rPr>
              <w:t>1,339,903,894</w:t>
            </w:r>
          </w:p>
        </w:tc>
        <w:tc>
          <w:tcPr>
            <w:tcW w:w="289" w:type="dxa"/>
            <w:vAlign w:val="center"/>
          </w:tcPr>
          <w:p w14:paraId="7DCF4863" w14:textId="77777777" w:rsidR="005E000F" w:rsidRDefault="00000000">
            <w:pPr>
              <w:jc w:val="right"/>
              <w:rPr>
                <w:sz w:val="13"/>
                <w:szCs w:val="13"/>
              </w:rPr>
            </w:pPr>
            <w:r>
              <w:rPr>
                <w:rFonts w:hint="eastAsia"/>
                <w:sz w:val="13"/>
                <w:szCs w:val="13"/>
              </w:rPr>
              <w:t>0</w:t>
            </w:r>
          </w:p>
        </w:tc>
        <w:tc>
          <w:tcPr>
            <w:tcW w:w="322" w:type="dxa"/>
            <w:vAlign w:val="center"/>
          </w:tcPr>
          <w:p w14:paraId="1419019E" w14:textId="77777777" w:rsidR="005E000F" w:rsidRDefault="00000000">
            <w:pPr>
              <w:jc w:val="right"/>
              <w:rPr>
                <w:sz w:val="13"/>
                <w:szCs w:val="13"/>
              </w:rPr>
            </w:pPr>
            <w:r>
              <w:rPr>
                <w:rFonts w:hint="eastAsia"/>
                <w:sz w:val="13"/>
                <w:szCs w:val="13"/>
              </w:rPr>
              <w:t>0</w:t>
            </w:r>
          </w:p>
        </w:tc>
        <w:tc>
          <w:tcPr>
            <w:tcW w:w="944" w:type="dxa"/>
            <w:vAlign w:val="center"/>
          </w:tcPr>
          <w:p w14:paraId="1E5FC36C" w14:textId="77777777" w:rsidR="005E000F" w:rsidRDefault="00000000">
            <w:pPr>
              <w:snapToGrid w:val="0"/>
              <w:spacing w:line="240" w:lineRule="atLeast"/>
              <w:jc w:val="right"/>
              <w:rPr>
                <w:rFonts w:cs="宋体"/>
                <w:bCs/>
                <w:sz w:val="13"/>
                <w:szCs w:val="13"/>
              </w:rPr>
            </w:pPr>
            <w:r>
              <w:rPr>
                <w:rFonts w:cs="宋体"/>
                <w:bCs/>
                <w:sz w:val="13"/>
                <w:szCs w:val="13"/>
              </w:rPr>
              <w:t>-804,984,728</w:t>
            </w:r>
          </w:p>
        </w:tc>
        <w:tc>
          <w:tcPr>
            <w:tcW w:w="1078" w:type="dxa"/>
            <w:vAlign w:val="center"/>
          </w:tcPr>
          <w:p w14:paraId="5AD8C27A" w14:textId="77777777" w:rsidR="005E000F" w:rsidRDefault="00000000">
            <w:pPr>
              <w:snapToGrid w:val="0"/>
              <w:spacing w:line="240" w:lineRule="atLeast"/>
              <w:jc w:val="right"/>
              <w:rPr>
                <w:rFonts w:cs="宋体"/>
                <w:bCs/>
                <w:sz w:val="13"/>
                <w:szCs w:val="13"/>
              </w:rPr>
            </w:pPr>
            <w:r>
              <w:rPr>
                <w:rFonts w:cs="宋体"/>
                <w:bCs/>
                <w:sz w:val="13"/>
                <w:szCs w:val="13"/>
              </w:rPr>
              <w:t>7,542,540,096</w:t>
            </w:r>
          </w:p>
        </w:tc>
        <w:tc>
          <w:tcPr>
            <w:tcW w:w="911" w:type="dxa"/>
            <w:vAlign w:val="center"/>
          </w:tcPr>
          <w:p w14:paraId="48A99DA8" w14:textId="77777777" w:rsidR="005E000F" w:rsidRDefault="00000000">
            <w:pPr>
              <w:snapToGrid w:val="0"/>
              <w:spacing w:line="240" w:lineRule="atLeast"/>
              <w:jc w:val="right"/>
              <w:rPr>
                <w:rFonts w:cs="宋体"/>
                <w:bCs/>
                <w:sz w:val="13"/>
                <w:szCs w:val="13"/>
              </w:rPr>
            </w:pPr>
            <w:r>
              <w:rPr>
                <w:rFonts w:cs="宋体"/>
                <w:bCs/>
                <w:sz w:val="13"/>
                <w:szCs w:val="13"/>
              </w:rPr>
              <w:t>247,783,807</w:t>
            </w:r>
          </w:p>
        </w:tc>
        <w:tc>
          <w:tcPr>
            <w:tcW w:w="1056" w:type="dxa"/>
            <w:vAlign w:val="center"/>
          </w:tcPr>
          <w:p w14:paraId="2E121FFB" w14:textId="77777777" w:rsidR="005E000F" w:rsidRDefault="00000000">
            <w:pPr>
              <w:snapToGrid w:val="0"/>
              <w:spacing w:line="240" w:lineRule="atLeast"/>
              <w:jc w:val="right"/>
              <w:rPr>
                <w:rFonts w:cs="宋体"/>
                <w:bCs/>
                <w:sz w:val="13"/>
                <w:szCs w:val="13"/>
              </w:rPr>
            </w:pPr>
            <w:r>
              <w:rPr>
                <w:rFonts w:cs="宋体"/>
                <w:bCs/>
                <w:sz w:val="13"/>
                <w:szCs w:val="13"/>
              </w:rPr>
              <w:t>-51,624,889</w:t>
            </w:r>
          </w:p>
        </w:tc>
        <w:tc>
          <w:tcPr>
            <w:tcW w:w="955" w:type="dxa"/>
            <w:vAlign w:val="center"/>
          </w:tcPr>
          <w:p w14:paraId="0861B3E2" w14:textId="77777777" w:rsidR="005E000F" w:rsidRDefault="00000000">
            <w:pPr>
              <w:snapToGrid w:val="0"/>
              <w:spacing w:line="240" w:lineRule="atLeast"/>
              <w:jc w:val="right"/>
              <w:rPr>
                <w:rFonts w:cs="宋体"/>
                <w:bCs/>
                <w:sz w:val="13"/>
                <w:szCs w:val="13"/>
              </w:rPr>
            </w:pPr>
            <w:r>
              <w:rPr>
                <w:rFonts w:cs="宋体"/>
                <w:bCs/>
                <w:sz w:val="13"/>
                <w:szCs w:val="13"/>
              </w:rPr>
              <w:t>-40,415,439</w:t>
            </w:r>
          </w:p>
        </w:tc>
        <w:tc>
          <w:tcPr>
            <w:tcW w:w="1056" w:type="dxa"/>
            <w:vAlign w:val="center"/>
          </w:tcPr>
          <w:p w14:paraId="273E9475" w14:textId="77777777" w:rsidR="005E000F" w:rsidRDefault="00000000">
            <w:pPr>
              <w:snapToGrid w:val="0"/>
              <w:spacing w:line="240" w:lineRule="atLeast"/>
              <w:jc w:val="right"/>
              <w:rPr>
                <w:rFonts w:cs="宋体"/>
                <w:bCs/>
                <w:sz w:val="13"/>
                <w:szCs w:val="13"/>
              </w:rPr>
            </w:pPr>
            <w:r>
              <w:rPr>
                <w:rFonts w:cs="宋体"/>
                <w:bCs/>
                <w:sz w:val="13"/>
                <w:szCs w:val="13"/>
              </w:rPr>
              <w:t>614,017,876</w:t>
            </w:r>
          </w:p>
        </w:tc>
        <w:tc>
          <w:tcPr>
            <w:tcW w:w="311" w:type="dxa"/>
            <w:vAlign w:val="center"/>
          </w:tcPr>
          <w:p w14:paraId="26D21E8D"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65EADD17" w14:textId="77777777" w:rsidR="005E000F" w:rsidRDefault="00000000">
            <w:pPr>
              <w:snapToGrid w:val="0"/>
              <w:spacing w:line="240" w:lineRule="atLeast"/>
              <w:jc w:val="right"/>
              <w:rPr>
                <w:rFonts w:cs="宋体"/>
                <w:bCs/>
                <w:sz w:val="13"/>
                <w:szCs w:val="13"/>
              </w:rPr>
            </w:pPr>
            <w:r>
              <w:rPr>
                <w:rFonts w:cs="宋体"/>
                <w:bCs/>
                <w:sz w:val="13"/>
                <w:szCs w:val="13"/>
              </w:rPr>
              <w:t>1,040,632,208</w:t>
            </w:r>
          </w:p>
        </w:tc>
        <w:tc>
          <w:tcPr>
            <w:tcW w:w="389" w:type="dxa"/>
            <w:vAlign w:val="center"/>
          </w:tcPr>
          <w:p w14:paraId="7E309B56"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29C4263C" w14:textId="77777777" w:rsidR="005E000F" w:rsidRDefault="00000000">
            <w:pPr>
              <w:snapToGrid w:val="0"/>
              <w:spacing w:line="240" w:lineRule="atLeast"/>
              <w:jc w:val="right"/>
              <w:rPr>
                <w:rFonts w:cs="宋体"/>
                <w:bCs/>
                <w:sz w:val="13"/>
                <w:szCs w:val="13"/>
              </w:rPr>
            </w:pPr>
            <w:r>
              <w:rPr>
                <w:rFonts w:cs="宋体"/>
                <w:bCs/>
                <w:sz w:val="13"/>
                <w:szCs w:val="13"/>
              </w:rPr>
              <w:t>9,392,285,211</w:t>
            </w:r>
          </w:p>
        </w:tc>
        <w:tc>
          <w:tcPr>
            <w:tcW w:w="1037" w:type="dxa"/>
            <w:vAlign w:val="center"/>
          </w:tcPr>
          <w:p w14:paraId="64FB862A" w14:textId="77777777" w:rsidR="005E000F" w:rsidRDefault="00000000">
            <w:pPr>
              <w:snapToGrid w:val="0"/>
              <w:spacing w:line="240" w:lineRule="atLeast"/>
              <w:jc w:val="right"/>
              <w:rPr>
                <w:rFonts w:cs="宋体"/>
                <w:bCs/>
                <w:sz w:val="13"/>
                <w:szCs w:val="13"/>
              </w:rPr>
            </w:pPr>
            <w:r>
              <w:rPr>
                <w:rFonts w:cs="宋体"/>
                <w:bCs/>
                <w:sz w:val="13"/>
                <w:szCs w:val="13"/>
              </w:rPr>
              <w:t>177,477,861</w:t>
            </w:r>
          </w:p>
        </w:tc>
        <w:tc>
          <w:tcPr>
            <w:tcW w:w="1096" w:type="dxa"/>
            <w:vAlign w:val="center"/>
          </w:tcPr>
          <w:p w14:paraId="2056E635" w14:textId="77777777" w:rsidR="005E000F" w:rsidRDefault="00000000">
            <w:pPr>
              <w:snapToGrid w:val="0"/>
              <w:spacing w:line="240" w:lineRule="atLeast"/>
              <w:jc w:val="right"/>
              <w:rPr>
                <w:rFonts w:cs="宋体"/>
                <w:bCs/>
                <w:sz w:val="13"/>
                <w:szCs w:val="13"/>
              </w:rPr>
            </w:pPr>
            <w:r>
              <w:rPr>
                <w:rFonts w:cs="宋体"/>
                <w:bCs/>
                <w:sz w:val="13"/>
                <w:szCs w:val="13"/>
              </w:rPr>
              <w:t>9,569,763,072</w:t>
            </w:r>
          </w:p>
        </w:tc>
      </w:tr>
      <w:tr w:rsidR="005E000F" w14:paraId="36C47382" w14:textId="77777777">
        <w:sdt>
          <w:sdtPr>
            <w:rPr>
              <w:rFonts w:cs="宋体"/>
              <w:bCs/>
              <w:sz w:val="13"/>
              <w:szCs w:val="13"/>
            </w:rPr>
            <w:tag w:val="_PLD_55a20255a0a245fd951d5eb42c559389"/>
            <w:id w:val="-2066171298"/>
          </w:sdtPr>
          <w:sdtContent>
            <w:tc>
              <w:tcPr>
                <w:tcW w:w="1314" w:type="dxa"/>
                <w:vAlign w:val="center"/>
              </w:tcPr>
              <w:p w14:paraId="28A43AA0" w14:textId="77777777" w:rsidR="005E000F" w:rsidRDefault="00000000">
                <w:pPr>
                  <w:rPr>
                    <w:rFonts w:cs="宋体"/>
                    <w:bCs/>
                    <w:sz w:val="13"/>
                    <w:szCs w:val="13"/>
                  </w:rPr>
                </w:pPr>
                <w:r>
                  <w:rPr>
                    <w:rFonts w:cs="宋体" w:hint="eastAsia"/>
                    <w:bCs/>
                    <w:sz w:val="13"/>
                    <w:szCs w:val="13"/>
                  </w:rPr>
                  <w:t>（一）综合收益总额</w:t>
                </w:r>
              </w:p>
            </w:tc>
          </w:sdtContent>
        </w:sdt>
        <w:tc>
          <w:tcPr>
            <w:tcW w:w="1067" w:type="dxa"/>
            <w:vAlign w:val="center"/>
          </w:tcPr>
          <w:p w14:paraId="3F69C6CB"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289" w:type="dxa"/>
            <w:vAlign w:val="center"/>
          </w:tcPr>
          <w:p w14:paraId="57FC3C33" w14:textId="77777777" w:rsidR="005E000F" w:rsidRDefault="00000000">
            <w:pPr>
              <w:jc w:val="right"/>
              <w:rPr>
                <w:sz w:val="13"/>
                <w:szCs w:val="13"/>
              </w:rPr>
            </w:pPr>
            <w:r>
              <w:rPr>
                <w:rFonts w:hint="eastAsia"/>
                <w:sz w:val="13"/>
                <w:szCs w:val="13"/>
              </w:rPr>
              <w:t>0</w:t>
            </w:r>
          </w:p>
        </w:tc>
        <w:tc>
          <w:tcPr>
            <w:tcW w:w="322" w:type="dxa"/>
            <w:vAlign w:val="center"/>
          </w:tcPr>
          <w:p w14:paraId="029E644C" w14:textId="77777777" w:rsidR="005E000F" w:rsidRDefault="00000000">
            <w:pPr>
              <w:jc w:val="right"/>
              <w:rPr>
                <w:sz w:val="13"/>
                <w:szCs w:val="13"/>
              </w:rPr>
            </w:pPr>
            <w:r>
              <w:rPr>
                <w:rFonts w:hint="eastAsia"/>
                <w:sz w:val="13"/>
                <w:szCs w:val="13"/>
              </w:rPr>
              <w:t>0</w:t>
            </w:r>
          </w:p>
        </w:tc>
        <w:tc>
          <w:tcPr>
            <w:tcW w:w="944" w:type="dxa"/>
            <w:vAlign w:val="center"/>
          </w:tcPr>
          <w:p w14:paraId="117A5D14"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78" w:type="dxa"/>
            <w:vAlign w:val="center"/>
          </w:tcPr>
          <w:p w14:paraId="1E5174DA"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911" w:type="dxa"/>
            <w:vAlign w:val="center"/>
          </w:tcPr>
          <w:p w14:paraId="35FC9C99"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56" w:type="dxa"/>
            <w:vAlign w:val="center"/>
          </w:tcPr>
          <w:p w14:paraId="37106569" w14:textId="77777777" w:rsidR="005E000F" w:rsidRDefault="00000000">
            <w:pPr>
              <w:snapToGrid w:val="0"/>
              <w:spacing w:line="240" w:lineRule="atLeast"/>
              <w:jc w:val="right"/>
              <w:rPr>
                <w:rFonts w:cs="宋体"/>
                <w:bCs/>
                <w:sz w:val="13"/>
                <w:szCs w:val="13"/>
              </w:rPr>
            </w:pPr>
            <w:r>
              <w:rPr>
                <w:rFonts w:cs="宋体"/>
                <w:bCs/>
                <w:sz w:val="13"/>
                <w:szCs w:val="13"/>
              </w:rPr>
              <w:t>-51,624,889</w:t>
            </w:r>
          </w:p>
        </w:tc>
        <w:tc>
          <w:tcPr>
            <w:tcW w:w="955" w:type="dxa"/>
            <w:vAlign w:val="center"/>
          </w:tcPr>
          <w:p w14:paraId="0B0F4018"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631A8F1D" w14:textId="77777777" w:rsidR="005E000F" w:rsidRDefault="00000000">
            <w:pPr>
              <w:jc w:val="right"/>
              <w:rPr>
                <w:rFonts w:cs="宋体"/>
                <w:bCs/>
                <w:sz w:val="13"/>
                <w:szCs w:val="13"/>
              </w:rPr>
            </w:pPr>
            <w:r>
              <w:rPr>
                <w:rFonts w:hint="eastAsia"/>
                <w:sz w:val="13"/>
                <w:szCs w:val="13"/>
              </w:rPr>
              <w:t>0</w:t>
            </w:r>
          </w:p>
        </w:tc>
        <w:tc>
          <w:tcPr>
            <w:tcW w:w="311" w:type="dxa"/>
            <w:vAlign w:val="center"/>
          </w:tcPr>
          <w:p w14:paraId="0CF146CC"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1F35ABDF" w14:textId="77777777" w:rsidR="005E000F" w:rsidRDefault="00000000">
            <w:pPr>
              <w:snapToGrid w:val="0"/>
              <w:spacing w:line="240" w:lineRule="atLeast"/>
              <w:jc w:val="right"/>
              <w:rPr>
                <w:rFonts w:cs="宋体"/>
                <w:bCs/>
                <w:sz w:val="13"/>
                <w:szCs w:val="13"/>
              </w:rPr>
            </w:pPr>
            <w:r>
              <w:rPr>
                <w:rFonts w:cs="宋体"/>
                <w:bCs/>
                <w:sz w:val="13"/>
                <w:szCs w:val="13"/>
              </w:rPr>
              <w:t>5,900,148,479</w:t>
            </w:r>
          </w:p>
        </w:tc>
        <w:tc>
          <w:tcPr>
            <w:tcW w:w="389" w:type="dxa"/>
            <w:vAlign w:val="center"/>
          </w:tcPr>
          <w:p w14:paraId="690F407B"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0929B0EA" w14:textId="77777777" w:rsidR="005E000F" w:rsidRDefault="00000000">
            <w:pPr>
              <w:snapToGrid w:val="0"/>
              <w:spacing w:line="240" w:lineRule="atLeast"/>
              <w:jc w:val="right"/>
              <w:rPr>
                <w:rFonts w:cs="宋体"/>
                <w:bCs/>
                <w:sz w:val="13"/>
                <w:szCs w:val="13"/>
              </w:rPr>
            </w:pPr>
            <w:r>
              <w:rPr>
                <w:rFonts w:cs="宋体"/>
                <w:bCs/>
                <w:sz w:val="13"/>
                <w:szCs w:val="13"/>
              </w:rPr>
              <w:t>5,848,523,590</w:t>
            </w:r>
          </w:p>
        </w:tc>
        <w:tc>
          <w:tcPr>
            <w:tcW w:w="1037" w:type="dxa"/>
            <w:vAlign w:val="center"/>
          </w:tcPr>
          <w:p w14:paraId="1F74A8A6" w14:textId="77777777" w:rsidR="005E000F" w:rsidRDefault="00000000">
            <w:pPr>
              <w:snapToGrid w:val="0"/>
              <w:spacing w:line="240" w:lineRule="atLeast"/>
              <w:jc w:val="right"/>
              <w:rPr>
                <w:rFonts w:cs="宋体"/>
                <w:bCs/>
                <w:sz w:val="13"/>
                <w:szCs w:val="13"/>
              </w:rPr>
            </w:pPr>
            <w:r>
              <w:rPr>
                <w:rFonts w:cs="宋体"/>
                <w:bCs/>
                <w:sz w:val="13"/>
                <w:szCs w:val="13"/>
              </w:rPr>
              <w:t>949,973,261</w:t>
            </w:r>
          </w:p>
        </w:tc>
        <w:tc>
          <w:tcPr>
            <w:tcW w:w="1096" w:type="dxa"/>
            <w:vAlign w:val="center"/>
          </w:tcPr>
          <w:p w14:paraId="59769F27" w14:textId="77777777" w:rsidR="005E000F" w:rsidRDefault="00000000">
            <w:pPr>
              <w:snapToGrid w:val="0"/>
              <w:spacing w:line="240" w:lineRule="atLeast"/>
              <w:jc w:val="right"/>
              <w:rPr>
                <w:rFonts w:cs="宋体"/>
                <w:bCs/>
                <w:sz w:val="13"/>
                <w:szCs w:val="13"/>
              </w:rPr>
            </w:pPr>
            <w:r>
              <w:rPr>
                <w:rFonts w:cs="宋体"/>
                <w:bCs/>
                <w:sz w:val="13"/>
                <w:szCs w:val="13"/>
              </w:rPr>
              <w:t>6,798,496,851</w:t>
            </w:r>
          </w:p>
        </w:tc>
      </w:tr>
      <w:tr w:rsidR="005E000F" w14:paraId="2C3D2144" w14:textId="77777777">
        <w:sdt>
          <w:sdtPr>
            <w:rPr>
              <w:rFonts w:cs="宋体"/>
              <w:bCs/>
              <w:sz w:val="13"/>
              <w:szCs w:val="13"/>
            </w:rPr>
            <w:tag w:val="_PLD_cabd5a3f22a849b08cf8df11a07115b5"/>
            <w:id w:val="419380105"/>
          </w:sdtPr>
          <w:sdtContent>
            <w:tc>
              <w:tcPr>
                <w:tcW w:w="1314" w:type="dxa"/>
                <w:vAlign w:val="center"/>
              </w:tcPr>
              <w:p w14:paraId="299021FD" w14:textId="77777777" w:rsidR="005E000F" w:rsidRDefault="00000000">
                <w:pPr>
                  <w:rPr>
                    <w:rFonts w:cs="宋体"/>
                    <w:bCs/>
                    <w:sz w:val="13"/>
                    <w:szCs w:val="13"/>
                  </w:rPr>
                </w:pPr>
                <w:r>
                  <w:rPr>
                    <w:rFonts w:cs="宋体"/>
                    <w:bCs/>
                    <w:sz w:val="13"/>
                    <w:szCs w:val="13"/>
                  </w:rPr>
                  <w:t>（</w:t>
                </w:r>
                <w:r>
                  <w:rPr>
                    <w:rFonts w:cs="宋体" w:hint="eastAsia"/>
                    <w:bCs/>
                    <w:sz w:val="13"/>
                    <w:szCs w:val="13"/>
                  </w:rPr>
                  <w:t>二</w:t>
                </w:r>
                <w:r>
                  <w:rPr>
                    <w:rFonts w:cs="宋体"/>
                    <w:bCs/>
                    <w:sz w:val="13"/>
                    <w:szCs w:val="13"/>
                  </w:rPr>
                  <w:t>）所有者投入和减少资本</w:t>
                </w:r>
              </w:p>
            </w:tc>
          </w:sdtContent>
        </w:sdt>
        <w:tc>
          <w:tcPr>
            <w:tcW w:w="1067" w:type="dxa"/>
            <w:vAlign w:val="center"/>
          </w:tcPr>
          <w:p w14:paraId="19749FA2" w14:textId="77777777" w:rsidR="005E000F" w:rsidRDefault="00000000">
            <w:pPr>
              <w:snapToGrid w:val="0"/>
              <w:spacing w:line="240" w:lineRule="atLeast"/>
              <w:jc w:val="right"/>
              <w:rPr>
                <w:rFonts w:cs="宋体"/>
                <w:bCs/>
                <w:sz w:val="13"/>
                <w:szCs w:val="13"/>
              </w:rPr>
            </w:pPr>
            <w:r>
              <w:rPr>
                <w:rFonts w:cs="宋体"/>
                <w:bCs/>
                <w:sz w:val="13"/>
                <w:szCs w:val="13"/>
              </w:rPr>
              <w:t>1,339,903,894</w:t>
            </w:r>
          </w:p>
        </w:tc>
        <w:tc>
          <w:tcPr>
            <w:tcW w:w="289" w:type="dxa"/>
            <w:vAlign w:val="center"/>
          </w:tcPr>
          <w:p w14:paraId="2A1CD096" w14:textId="77777777" w:rsidR="005E000F" w:rsidRDefault="00000000">
            <w:pPr>
              <w:jc w:val="right"/>
              <w:rPr>
                <w:sz w:val="13"/>
                <w:szCs w:val="13"/>
              </w:rPr>
            </w:pPr>
            <w:r>
              <w:rPr>
                <w:rFonts w:hint="eastAsia"/>
                <w:sz w:val="13"/>
                <w:szCs w:val="13"/>
              </w:rPr>
              <w:t>0</w:t>
            </w:r>
          </w:p>
        </w:tc>
        <w:tc>
          <w:tcPr>
            <w:tcW w:w="322" w:type="dxa"/>
            <w:vAlign w:val="center"/>
          </w:tcPr>
          <w:p w14:paraId="2E7ACFF4" w14:textId="77777777" w:rsidR="005E000F" w:rsidRDefault="00000000">
            <w:pPr>
              <w:jc w:val="right"/>
              <w:rPr>
                <w:sz w:val="13"/>
                <w:szCs w:val="13"/>
              </w:rPr>
            </w:pPr>
            <w:r>
              <w:rPr>
                <w:rFonts w:hint="eastAsia"/>
                <w:sz w:val="13"/>
                <w:szCs w:val="13"/>
              </w:rPr>
              <w:t>0</w:t>
            </w:r>
          </w:p>
        </w:tc>
        <w:tc>
          <w:tcPr>
            <w:tcW w:w="944" w:type="dxa"/>
            <w:vAlign w:val="center"/>
          </w:tcPr>
          <w:p w14:paraId="388885BA" w14:textId="77777777" w:rsidR="005E000F" w:rsidRDefault="00000000">
            <w:pPr>
              <w:snapToGrid w:val="0"/>
              <w:spacing w:line="240" w:lineRule="atLeast"/>
              <w:jc w:val="right"/>
              <w:rPr>
                <w:rFonts w:cs="宋体"/>
                <w:bCs/>
                <w:sz w:val="13"/>
                <w:szCs w:val="13"/>
              </w:rPr>
            </w:pPr>
            <w:r>
              <w:rPr>
                <w:rFonts w:cs="宋体"/>
                <w:bCs/>
                <w:sz w:val="13"/>
                <w:szCs w:val="13"/>
              </w:rPr>
              <w:t>-804,984,728</w:t>
            </w:r>
          </w:p>
        </w:tc>
        <w:tc>
          <w:tcPr>
            <w:tcW w:w="1078" w:type="dxa"/>
            <w:vAlign w:val="center"/>
          </w:tcPr>
          <w:p w14:paraId="687F1259" w14:textId="77777777" w:rsidR="005E000F" w:rsidRDefault="00000000">
            <w:pPr>
              <w:snapToGrid w:val="0"/>
              <w:spacing w:line="240" w:lineRule="atLeast"/>
              <w:jc w:val="right"/>
              <w:rPr>
                <w:rFonts w:cs="宋体"/>
                <w:bCs/>
                <w:sz w:val="13"/>
                <w:szCs w:val="13"/>
              </w:rPr>
            </w:pPr>
            <w:r>
              <w:rPr>
                <w:rFonts w:cs="宋体"/>
                <w:bCs/>
                <w:sz w:val="13"/>
                <w:szCs w:val="13"/>
              </w:rPr>
              <w:t>7,542,540,096</w:t>
            </w:r>
          </w:p>
        </w:tc>
        <w:tc>
          <w:tcPr>
            <w:tcW w:w="911" w:type="dxa"/>
            <w:vAlign w:val="center"/>
          </w:tcPr>
          <w:p w14:paraId="6DEFE21B" w14:textId="77777777" w:rsidR="005E000F" w:rsidRDefault="00000000">
            <w:pPr>
              <w:snapToGrid w:val="0"/>
              <w:spacing w:line="240" w:lineRule="atLeast"/>
              <w:jc w:val="right"/>
              <w:rPr>
                <w:rFonts w:cs="宋体"/>
                <w:bCs/>
                <w:sz w:val="13"/>
                <w:szCs w:val="13"/>
              </w:rPr>
            </w:pPr>
            <w:r>
              <w:rPr>
                <w:rFonts w:cs="宋体"/>
                <w:bCs/>
                <w:sz w:val="13"/>
                <w:szCs w:val="13"/>
              </w:rPr>
              <w:t>247,783,807</w:t>
            </w:r>
          </w:p>
        </w:tc>
        <w:tc>
          <w:tcPr>
            <w:tcW w:w="1056" w:type="dxa"/>
            <w:vAlign w:val="center"/>
          </w:tcPr>
          <w:p w14:paraId="26C216BA" w14:textId="77777777" w:rsidR="005E000F" w:rsidRDefault="00000000">
            <w:pPr>
              <w:jc w:val="right"/>
              <w:rPr>
                <w:rFonts w:cs="宋体"/>
                <w:bCs/>
                <w:sz w:val="13"/>
                <w:szCs w:val="13"/>
              </w:rPr>
            </w:pPr>
            <w:r>
              <w:rPr>
                <w:rFonts w:hint="eastAsia"/>
                <w:sz w:val="13"/>
                <w:szCs w:val="13"/>
              </w:rPr>
              <w:t>0</w:t>
            </w:r>
          </w:p>
        </w:tc>
        <w:tc>
          <w:tcPr>
            <w:tcW w:w="955" w:type="dxa"/>
            <w:vAlign w:val="center"/>
          </w:tcPr>
          <w:p w14:paraId="7EEEAD37"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25781A68" w14:textId="77777777" w:rsidR="005E000F" w:rsidRDefault="00000000">
            <w:pPr>
              <w:jc w:val="right"/>
              <w:rPr>
                <w:rFonts w:cs="宋体"/>
                <w:bCs/>
                <w:sz w:val="13"/>
                <w:szCs w:val="13"/>
              </w:rPr>
            </w:pPr>
            <w:r>
              <w:rPr>
                <w:rFonts w:hint="eastAsia"/>
                <w:sz w:val="13"/>
                <w:szCs w:val="13"/>
              </w:rPr>
              <w:t>0</w:t>
            </w:r>
          </w:p>
        </w:tc>
        <w:tc>
          <w:tcPr>
            <w:tcW w:w="311" w:type="dxa"/>
            <w:vAlign w:val="center"/>
          </w:tcPr>
          <w:p w14:paraId="0B99D257"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2726FCD1" w14:textId="77777777" w:rsidR="005E000F" w:rsidRDefault="00000000">
            <w:pPr>
              <w:jc w:val="right"/>
              <w:rPr>
                <w:rFonts w:cs="宋体"/>
                <w:bCs/>
                <w:sz w:val="13"/>
                <w:szCs w:val="13"/>
              </w:rPr>
            </w:pPr>
            <w:r>
              <w:rPr>
                <w:rFonts w:hint="eastAsia"/>
                <w:sz w:val="13"/>
                <w:szCs w:val="13"/>
              </w:rPr>
              <w:t>0</w:t>
            </w:r>
          </w:p>
        </w:tc>
        <w:tc>
          <w:tcPr>
            <w:tcW w:w="389" w:type="dxa"/>
            <w:vAlign w:val="center"/>
          </w:tcPr>
          <w:p w14:paraId="1DBDB405"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11AFF258" w14:textId="77777777" w:rsidR="005E000F" w:rsidRDefault="00000000">
            <w:pPr>
              <w:snapToGrid w:val="0"/>
              <w:spacing w:line="240" w:lineRule="atLeast"/>
              <w:jc w:val="right"/>
              <w:rPr>
                <w:rFonts w:cs="宋体"/>
                <w:bCs/>
                <w:sz w:val="13"/>
                <w:szCs w:val="13"/>
              </w:rPr>
            </w:pPr>
            <w:r>
              <w:rPr>
                <w:rFonts w:cs="宋体"/>
                <w:bCs/>
                <w:sz w:val="13"/>
                <w:szCs w:val="13"/>
              </w:rPr>
              <w:t>7,829,675,455</w:t>
            </w:r>
          </w:p>
        </w:tc>
        <w:tc>
          <w:tcPr>
            <w:tcW w:w="1037" w:type="dxa"/>
            <w:vAlign w:val="center"/>
          </w:tcPr>
          <w:p w14:paraId="25F0DB3C" w14:textId="77777777" w:rsidR="005E000F" w:rsidRDefault="00000000">
            <w:pPr>
              <w:snapToGrid w:val="0"/>
              <w:spacing w:line="240" w:lineRule="atLeast"/>
              <w:jc w:val="right"/>
              <w:rPr>
                <w:rFonts w:cs="宋体"/>
                <w:bCs/>
                <w:sz w:val="13"/>
                <w:szCs w:val="13"/>
              </w:rPr>
            </w:pPr>
            <w:r>
              <w:rPr>
                <w:rFonts w:cs="宋体"/>
                <w:bCs/>
                <w:sz w:val="13"/>
                <w:szCs w:val="13"/>
              </w:rPr>
              <w:t>57,221,359</w:t>
            </w:r>
          </w:p>
        </w:tc>
        <w:tc>
          <w:tcPr>
            <w:tcW w:w="1096" w:type="dxa"/>
            <w:vAlign w:val="center"/>
          </w:tcPr>
          <w:p w14:paraId="2417484B" w14:textId="77777777" w:rsidR="005E000F" w:rsidRDefault="00000000">
            <w:pPr>
              <w:snapToGrid w:val="0"/>
              <w:spacing w:line="240" w:lineRule="atLeast"/>
              <w:jc w:val="right"/>
              <w:rPr>
                <w:rFonts w:cs="宋体"/>
                <w:bCs/>
                <w:sz w:val="13"/>
                <w:szCs w:val="13"/>
              </w:rPr>
            </w:pPr>
            <w:r>
              <w:rPr>
                <w:rFonts w:cs="宋体"/>
                <w:bCs/>
                <w:sz w:val="13"/>
                <w:szCs w:val="13"/>
              </w:rPr>
              <w:t>7,886,896,814</w:t>
            </w:r>
          </w:p>
        </w:tc>
      </w:tr>
      <w:tr w:rsidR="005E000F" w14:paraId="4B8510B7" w14:textId="77777777">
        <w:sdt>
          <w:sdtPr>
            <w:rPr>
              <w:rFonts w:cs="宋体"/>
              <w:bCs/>
              <w:sz w:val="13"/>
              <w:szCs w:val="13"/>
            </w:rPr>
            <w:tag w:val="_PLD_4d4d24462cb048579eb01f9b1c8956b1"/>
            <w:id w:val="1529221913"/>
          </w:sdtPr>
          <w:sdtContent>
            <w:tc>
              <w:tcPr>
                <w:tcW w:w="1314" w:type="dxa"/>
                <w:vAlign w:val="center"/>
              </w:tcPr>
              <w:p w14:paraId="4031F423" w14:textId="77777777" w:rsidR="005E000F" w:rsidRDefault="00000000">
                <w:pPr>
                  <w:rPr>
                    <w:rFonts w:cs="宋体"/>
                    <w:bCs/>
                    <w:sz w:val="13"/>
                    <w:szCs w:val="13"/>
                  </w:rPr>
                </w:pPr>
                <w:r>
                  <w:rPr>
                    <w:rFonts w:cs="宋体" w:hint="eastAsia"/>
                    <w:bCs/>
                    <w:sz w:val="13"/>
                    <w:szCs w:val="13"/>
                  </w:rPr>
                  <w:t>1</w:t>
                </w:r>
                <w:r>
                  <w:rPr>
                    <w:rFonts w:cs="宋体" w:hint="eastAsia"/>
                    <w:bCs/>
                    <w:sz w:val="13"/>
                    <w:szCs w:val="13"/>
                  </w:rPr>
                  <w:t>．所有者投入的普通股</w:t>
                </w:r>
              </w:p>
            </w:tc>
          </w:sdtContent>
        </w:sdt>
        <w:tc>
          <w:tcPr>
            <w:tcW w:w="1067" w:type="dxa"/>
            <w:vAlign w:val="center"/>
          </w:tcPr>
          <w:p w14:paraId="576FB2AA"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289" w:type="dxa"/>
            <w:vAlign w:val="center"/>
          </w:tcPr>
          <w:p w14:paraId="7325F653" w14:textId="77777777" w:rsidR="005E000F" w:rsidRDefault="00000000">
            <w:pPr>
              <w:jc w:val="right"/>
              <w:rPr>
                <w:sz w:val="13"/>
                <w:szCs w:val="13"/>
              </w:rPr>
            </w:pPr>
            <w:r>
              <w:rPr>
                <w:rFonts w:hint="eastAsia"/>
                <w:sz w:val="13"/>
                <w:szCs w:val="13"/>
              </w:rPr>
              <w:t>0</w:t>
            </w:r>
          </w:p>
        </w:tc>
        <w:tc>
          <w:tcPr>
            <w:tcW w:w="322" w:type="dxa"/>
            <w:vAlign w:val="center"/>
          </w:tcPr>
          <w:p w14:paraId="1267D4CD" w14:textId="77777777" w:rsidR="005E000F" w:rsidRDefault="00000000">
            <w:pPr>
              <w:jc w:val="right"/>
              <w:rPr>
                <w:sz w:val="13"/>
                <w:szCs w:val="13"/>
              </w:rPr>
            </w:pPr>
            <w:r>
              <w:rPr>
                <w:rFonts w:hint="eastAsia"/>
                <w:sz w:val="13"/>
                <w:szCs w:val="13"/>
              </w:rPr>
              <w:t>0</w:t>
            </w:r>
          </w:p>
        </w:tc>
        <w:tc>
          <w:tcPr>
            <w:tcW w:w="944" w:type="dxa"/>
            <w:vAlign w:val="center"/>
          </w:tcPr>
          <w:p w14:paraId="345B7FAF"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353E33CB" w14:textId="77777777" w:rsidR="005E000F" w:rsidRDefault="00000000">
            <w:pPr>
              <w:jc w:val="right"/>
              <w:rPr>
                <w:rFonts w:cs="宋体"/>
                <w:bCs/>
                <w:sz w:val="13"/>
                <w:szCs w:val="13"/>
              </w:rPr>
            </w:pPr>
            <w:r>
              <w:rPr>
                <w:rFonts w:hint="eastAsia"/>
                <w:sz w:val="13"/>
                <w:szCs w:val="13"/>
              </w:rPr>
              <w:t>0</w:t>
            </w:r>
          </w:p>
        </w:tc>
        <w:tc>
          <w:tcPr>
            <w:tcW w:w="911" w:type="dxa"/>
            <w:vAlign w:val="center"/>
          </w:tcPr>
          <w:p w14:paraId="2E55B6B5"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294F0DEE" w14:textId="77777777" w:rsidR="005E000F" w:rsidRDefault="00000000">
            <w:pPr>
              <w:jc w:val="right"/>
              <w:rPr>
                <w:rFonts w:cs="宋体"/>
                <w:bCs/>
                <w:sz w:val="13"/>
                <w:szCs w:val="13"/>
              </w:rPr>
            </w:pPr>
            <w:r>
              <w:rPr>
                <w:rFonts w:hint="eastAsia"/>
                <w:sz w:val="13"/>
                <w:szCs w:val="13"/>
              </w:rPr>
              <w:t>0</w:t>
            </w:r>
          </w:p>
        </w:tc>
        <w:tc>
          <w:tcPr>
            <w:tcW w:w="955" w:type="dxa"/>
            <w:vAlign w:val="center"/>
          </w:tcPr>
          <w:p w14:paraId="58D62493"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2A45EF53" w14:textId="77777777" w:rsidR="005E000F" w:rsidRDefault="00000000">
            <w:pPr>
              <w:jc w:val="right"/>
              <w:rPr>
                <w:rFonts w:cs="宋体"/>
                <w:bCs/>
                <w:sz w:val="13"/>
                <w:szCs w:val="13"/>
              </w:rPr>
            </w:pPr>
            <w:r>
              <w:rPr>
                <w:rFonts w:hint="eastAsia"/>
                <w:sz w:val="13"/>
                <w:szCs w:val="13"/>
              </w:rPr>
              <w:t>0</w:t>
            </w:r>
          </w:p>
        </w:tc>
        <w:tc>
          <w:tcPr>
            <w:tcW w:w="311" w:type="dxa"/>
            <w:vAlign w:val="center"/>
          </w:tcPr>
          <w:p w14:paraId="57FB0769"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54583331" w14:textId="77777777" w:rsidR="005E000F" w:rsidRDefault="00000000">
            <w:pPr>
              <w:jc w:val="right"/>
              <w:rPr>
                <w:rFonts w:cs="宋体"/>
                <w:bCs/>
                <w:sz w:val="13"/>
                <w:szCs w:val="13"/>
              </w:rPr>
            </w:pPr>
            <w:r>
              <w:rPr>
                <w:rFonts w:hint="eastAsia"/>
                <w:sz w:val="13"/>
                <w:szCs w:val="13"/>
              </w:rPr>
              <w:t>0</w:t>
            </w:r>
          </w:p>
        </w:tc>
        <w:tc>
          <w:tcPr>
            <w:tcW w:w="389" w:type="dxa"/>
            <w:vAlign w:val="center"/>
          </w:tcPr>
          <w:p w14:paraId="56B0B5CB"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543B022A"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76CEE1CB"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79B90F18" w14:textId="77777777" w:rsidR="005E000F" w:rsidRDefault="00000000">
            <w:pPr>
              <w:jc w:val="right"/>
              <w:rPr>
                <w:rFonts w:cs="宋体"/>
                <w:bCs/>
                <w:sz w:val="13"/>
                <w:szCs w:val="13"/>
              </w:rPr>
            </w:pPr>
            <w:r>
              <w:rPr>
                <w:rFonts w:hint="eastAsia"/>
                <w:sz w:val="13"/>
                <w:szCs w:val="13"/>
              </w:rPr>
              <w:t>0</w:t>
            </w:r>
          </w:p>
        </w:tc>
      </w:tr>
      <w:tr w:rsidR="005E000F" w14:paraId="5E23C7F6" w14:textId="77777777">
        <w:sdt>
          <w:sdtPr>
            <w:rPr>
              <w:rFonts w:cs="宋体"/>
              <w:bCs/>
              <w:sz w:val="13"/>
              <w:szCs w:val="13"/>
            </w:rPr>
            <w:tag w:val="_PLD_2b1df3030d9b41699f4a3e651f6c74e7"/>
            <w:id w:val="-59796223"/>
          </w:sdtPr>
          <w:sdtContent>
            <w:tc>
              <w:tcPr>
                <w:tcW w:w="1314" w:type="dxa"/>
                <w:vAlign w:val="center"/>
              </w:tcPr>
              <w:p w14:paraId="4ADF2634" w14:textId="77777777" w:rsidR="005E000F" w:rsidRDefault="00000000">
                <w:pPr>
                  <w:rPr>
                    <w:rFonts w:cs="宋体"/>
                    <w:bCs/>
                    <w:sz w:val="13"/>
                    <w:szCs w:val="13"/>
                  </w:rPr>
                </w:pPr>
                <w:r>
                  <w:rPr>
                    <w:rFonts w:cs="宋体" w:hint="eastAsia"/>
                    <w:bCs/>
                    <w:sz w:val="13"/>
                    <w:szCs w:val="13"/>
                  </w:rPr>
                  <w:t>2</w:t>
                </w:r>
                <w:r>
                  <w:rPr>
                    <w:rFonts w:cs="宋体" w:hint="eastAsia"/>
                    <w:bCs/>
                    <w:sz w:val="13"/>
                    <w:szCs w:val="13"/>
                  </w:rPr>
                  <w:t>．其他权益工具持有者投入资本</w:t>
                </w:r>
              </w:p>
            </w:tc>
          </w:sdtContent>
        </w:sdt>
        <w:tc>
          <w:tcPr>
            <w:tcW w:w="1067" w:type="dxa"/>
            <w:vAlign w:val="center"/>
          </w:tcPr>
          <w:p w14:paraId="6DC97E0B" w14:textId="77777777" w:rsidR="005E000F" w:rsidRDefault="00000000">
            <w:pPr>
              <w:snapToGrid w:val="0"/>
              <w:spacing w:line="240" w:lineRule="atLeast"/>
              <w:jc w:val="right"/>
              <w:rPr>
                <w:rFonts w:cs="宋体"/>
                <w:bCs/>
                <w:sz w:val="13"/>
                <w:szCs w:val="13"/>
              </w:rPr>
            </w:pPr>
            <w:r>
              <w:rPr>
                <w:rFonts w:cs="宋体"/>
                <w:bCs/>
                <w:sz w:val="13"/>
                <w:szCs w:val="13"/>
              </w:rPr>
              <w:t>1,339,903,894</w:t>
            </w:r>
          </w:p>
        </w:tc>
        <w:tc>
          <w:tcPr>
            <w:tcW w:w="289" w:type="dxa"/>
            <w:vAlign w:val="center"/>
          </w:tcPr>
          <w:p w14:paraId="65F54E13" w14:textId="77777777" w:rsidR="005E000F" w:rsidRDefault="00000000">
            <w:pPr>
              <w:jc w:val="right"/>
              <w:rPr>
                <w:sz w:val="13"/>
                <w:szCs w:val="13"/>
              </w:rPr>
            </w:pPr>
            <w:r>
              <w:rPr>
                <w:rFonts w:hint="eastAsia"/>
                <w:sz w:val="13"/>
                <w:szCs w:val="13"/>
              </w:rPr>
              <w:t>0</w:t>
            </w:r>
          </w:p>
        </w:tc>
        <w:tc>
          <w:tcPr>
            <w:tcW w:w="322" w:type="dxa"/>
            <w:vAlign w:val="center"/>
          </w:tcPr>
          <w:p w14:paraId="0EC12644" w14:textId="77777777" w:rsidR="005E000F" w:rsidRDefault="00000000">
            <w:pPr>
              <w:jc w:val="right"/>
              <w:rPr>
                <w:sz w:val="13"/>
                <w:szCs w:val="13"/>
              </w:rPr>
            </w:pPr>
            <w:r>
              <w:rPr>
                <w:rFonts w:hint="eastAsia"/>
                <w:sz w:val="13"/>
                <w:szCs w:val="13"/>
              </w:rPr>
              <w:t>0</w:t>
            </w:r>
          </w:p>
        </w:tc>
        <w:tc>
          <w:tcPr>
            <w:tcW w:w="944" w:type="dxa"/>
            <w:vAlign w:val="center"/>
          </w:tcPr>
          <w:p w14:paraId="22E5BFBE" w14:textId="77777777" w:rsidR="005E000F" w:rsidRDefault="00000000">
            <w:pPr>
              <w:snapToGrid w:val="0"/>
              <w:spacing w:line="240" w:lineRule="atLeast"/>
              <w:jc w:val="right"/>
              <w:rPr>
                <w:rFonts w:cs="宋体"/>
                <w:bCs/>
                <w:sz w:val="13"/>
                <w:szCs w:val="13"/>
              </w:rPr>
            </w:pPr>
            <w:r>
              <w:rPr>
                <w:rFonts w:cs="宋体"/>
                <w:bCs/>
                <w:sz w:val="13"/>
                <w:szCs w:val="13"/>
              </w:rPr>
              <w:t>-804,984,728</w:t>
            </w:r>
          </w:p>
        </w:tc>
        <w:tc>
          <w:tcPr>
            <w:tcW w:w="1078" w:type="dxa"/>
            <w:vAlign w:val="center"/>
          </w:tcPr>
          <w:p w14:paraId="62F9A8F9" w14:textId="77777777" w:rsidR="005E000F" w:rsidRDefault="00000000">
            <w:pPr>
              <w:snapToGrid w:val="0"/>
              <w:spacing w:line="240" w:lineRule="atLeast"/>
              <w:jc w:val="right"/>
              <w:rPr>
                <w:rFonts w:cs="宋体"/>
                <w:bCs/>
                <w:sz w:val="13"/>
                <w:szCs w:val="13"/>
              </w:rPr>
            </w:pPr>
            <w:r>
              <w:rPr>
                <w:rFonts w:cs="宋体"/>
                <w:bCs/>
                <w:sz w:val="13"/>
                <w:szCs w:val="13"/>
              </w:rPr>
              <w:t>7,079,753,155</w:t>
            </w:r>
          </w:p>
        </w:tc>
        <w:tc>
          <w:tcPr>
            <w:tcW w:w="911" w:type="dxa"/>
            <w:vAlign w:val="center"/>
          </w:tcPr>
          <w:p w14:paraId="1ED44734"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50BC5B33" w14:textId="77777777" w:rsidR="005E000F" w:rsidRDefault="00000000">
            <w:pPr>
              <w:jc w:val="right"/>
              <w:rPr>
                <w:rFonts w:cs="宋体"/>
                <w:bCs/>
                <w:sz w:val="13"/>
                <w:szCs w:val="13"/>
              </w:rPr>
            </w:pPr>
            <w:r>
              <w:rPr>
                <w:rFonts w:hint="eastAsia"/>
                <w:sz w:val="13"/>
                <w:szCs w:val="13"/>
              </w:rPr>
              <w:t>0</w:t>
            </w:r>
          </w:p>
        </w:tc>
        <w:tc>
          <w:tcPr>
            <w:tcW w:w="955" w:type="dxa"/>
            <w:vAlign w:val="center"/>
          </w:tcPr>
          <w:p w14:paraId="65038E0A"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546CFFA8" w14:textId="77777777" w:rsidR="005E000F" w:rsidRDefault="00000000">
            <w:pPr>
              <w:jc w:val="right"/>
              <w:rPr>
                <w:rFonts w:cs="宋体"/>
                <w:bCs/>
                <w:sz w:val="13"/>
                <w:szCs w:val="13"/>
              </w:rPr>
            </w:pPr>
            <w:r>
              <w:rPr>
                <w:rFonts w:hint="eastAsia"/>
                <w:sz w:val="13"/>
                <w:szCs w:val="13"/>
              </w:rPr>
              <w:t>0</w:t>
            </w:r>
          </w:p>
        </w:tc>
        <w:tc>
          <w:tcPr>
            <w:tcW w:w="311" w:type="dxa"/>
            <w:vAlign w:val="center"/>
          </w:tcPr>
          <w:p w14:paraId="7498AAB1"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1FD94043" w14:textId="77777777" w:rsidR="005E000F" w:rsidRDefault="00000000">
            <w:pPr>
              <w:jc w:val="right"/>
              <w:rPr>
                <w:rFonts w:cs="宋体"/>
                <w:bCs/>
                <w:sz w:val="13"/>
                <w:szCs w:val="13"/>
              </w:rPr>
            </w:pPr>
            <w:r>
              <w:rPr>
                <w:rFonts w:hint="eastAsia"/>
                <w:sz w:val="13"/>
                <w:szCs w:val="13"/>
              </w:rPr>
              <w:t>0</w:t>
            </w:r>
          </w:p>
        </w:tc>
        <w:tc>
          <w:tcPr>
            <w:tcW w:w="389" w:type="dxa"/>
            <w:vAlign w:val="center"/>
          </w:tcPr>
          <w:p w14:paraId="6C831CD5"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7CF6170E" w14:textId="77777777" w:rsidR="005E000F" w:rsidRDefault="00000000">
            <w:pPr>
              <w:snapToGrid w:val="0"/>
              <w:spacing w:line="240" w:lineRule="atLeast"/>
              <w:jc w:val="right"/>
              <w:rPr>
                <w:rFonts w:cs="宋体"/>
                <w:bCs/>
                <w:sz w:val="13"/>
                <w:szCs w:val="13"/>
              </w:rPr>
            </w:pPr>
            <w:r>
              <w:rPr>
                <w:rFonts w:cs="宋体"/>
                <w:bCs/>
                <w:sz w:val="13"/>
                <w:szCs w:val="13"/>
              </w:rPr>
              <w:t>7,614,672,321</w:t>
            </w:r>
          </w:p>
        </w:tc>
        <w:tc>
          <w:tcPr>
            <w:tcW w:w="1037" w:type="dxa"/>
            <w:vAlign w:val="center"/>
          </w:tcPr>
          <w:p w14:paraId="07DF61B6" w14:textId="77777777" w:rsidR="005E000F" w:rsidRDefault="005E000F">
            <w:pPr>
              <w:snapToGrid w:val="0"/>
              <w:spacing w:line="240" w:lineRule="atLeast"/>
              <w:jc w:val="right"/>
              <w:rPr>
                <w:rFonts w:cs="宋体"/>
                <w:bCs/>
                <w:sz w:val="13"/>
                <w:szCs w:val="13"/>
              </w:rPr>
            </w:pPr>
          </w:p>
        </w:tc>
        <w:tc>
          <w:tcPr>
            <w:tcW w:w="1096" w:type="dxa"/>
            <w:vAlign w:val="center"/>
          </w:tcPr>
          <w:p w14:paraId="1FB42CB4" w14:textId="77777777" w:rsidR="005E000F" w:rsidRDefault="00000000">
            <w:pPr>
              <w:snapToGrid w:val="0"/>
              <w:spacing w:line="240" w:lineRule="atLeast"/>
              <w:jc w:val="right"/>
              <w:rPr>
                <w:rFonts w:cs="宋体"/>
                <w:bCs/>
                <w:sz w:val="13"/>
                <w:szCs w:val="13"/>
              </w:rPr>
            </w:pPr>
            <w:r>
              <w:rPr>
                <w:rFonts w:cs="宋体"/>
                <w:bCs/>
                <w:sz w:val="13"/>
                <w:szCs w:val="13"/>
              </w:rPr>
              <w:t>7,614,672,321</w:t>
            </w:r>
          </w:p>
        </w:tc>
      </w:tr>
      <w:tr w:rsidR="005E000F" w14:paraId="2A90289B" w14:textId="77777777">
        <w:sdt>
          <w:sdtPr>
            <w:rPr>
              <w:rFonts w:cs="宋体"/>
              <w:bCs/>
              <w:sz w:val="13"/>
              <w:szCs w:val="13"/>
            </w:rPr>
            <w:tag w:val="_PLD_bf20c7d29dbe4ecc8acea7b1a1149bd3"/>
            <w:id w:val="-1242248904"/>
          </w:sdtPr>
          <w:sdtContent>
            <w:tc>
              <w:tcPr>
                <w:tcW w:w="1314" w:type="dxa"/>
                <w:vAlign w:val="center"/>
              </w:tcPr>
              <w:p w14:paraId="1DBB08A7" w14:textId="77777777" w:rsidR="005E000F" w:rsidRDefault="00000000">
                <w:pPr>
                  <w:rPr>
                    <w:rFonts w:cs="宋体"/>
                    <w:bCs/>
                    <w:sz w:val="13"/>
                    <w:szCs w:val="13"/>
                  </w:rPr>
                </w:pPr>
                <w:r>
                  <w:rPr>
                    <w:rFonts w:cs="宋体" w:hint="eastAsia"/>
                    <w:bCs/>
                    <w:sz w:val="13"/>
                    <w:szCs w:val="13"/>
                  </w:rPr>
                  <w:t>3</w:t>
                </w:r>
                <w:r>
                  <w:rPr>
                    <w:rFonts w:cs="宋体"/>
                    <w:bCs/>
                    <w:sz w:val="13"/>
                    <w:szCs w:val="13"/>
                  </w:rPr>
                  <w:t>．股份支付计入所有者权益的金额</w:t>
                </w:r>
              </w:p>
            </w:tc>
          </w:sdtContent>
        </w:sdt>
        <w:tc>
          <w:tcPr>
            <w:tcW w:w="1067" w:type="dxa"/>
            <w:vAlign w:val="center"/>
          </w:tcPr>
          <w:p w14:paraId="2B47B1CE" w14:textId="77777777" w:rsidR="005E000F" w:rsidRDefault="00000000">
            <w:pPr>
              <w:jc w:val="right"/>
              <w:rPr>
                <w:rFonts w:cs="宋体"/>
                <w:bCs/>
                <w:sz w:val="13"/>
                <w:szCs w:val="13"/>
              </w:rPr>
            </w:pPr>
            <w:r>
              <w:rPr>
                <w:rFonts w:hint="eastAsia"/>
                <w:sz w:val="13"/>
                <w:szCs w:val="13"/>
              </w:rPr>
              <w:t>0</w:t>
            </w:r>
          </w:p>
        </w:tc>
        <w:tc>
          <w:tcPr>
            <w:tcW w:w="289" w:type="dxa"/>
            <w:vAlign w:val="center"/>
          </w:tcPr>
          <w:p w14:paraId="787CFC15" w14:textId="77777777" w:rsidR="005E000F" w:rsidRDefault="00000000">
            <w:pPr>
              <w:jc w:val="right"/>
              <w:rPr>
                <w:sz w:val="13"/>
                <w:szCs w:val="13"/>
              </w:rPr>
            </w:pPr>
            <w:r>
              <w:rPr>
                <w:rFonts w:hint="eastAsia"/>
                <w:sz w:val="13"/>
                <w:szCs w:val="13"/>
              </w:rPr>
              <w:t>0</w:t>
            </w:r>
          </w:p>
        </w:tc>
        <w:tc>
          <w:tcPr>
            <w:tcW w:w="322" w:type="dxa"/>
            <w:vAlign w:val="center"/>
          </w:tcPr>
          <w:p w14:paraId="6DDFA012" w14:textId="77777777" w:rsidR="005E000F" w:rsidRDefault="00000000">
            <w:pPr>
              <w:jc w:val="right"/>
              <w:rPr>
                <w:sz w:val="13"/>
                <w:szCs w:val="13"/>
              </w:rPr>
            </w:pPr>
            <w:r>
              <w:rPr>
                <w:rFonts w:hint="eastAsia"/>
                <w:sz w:val="13"/>
                <w:szCs w:val="13"/>
              </w:rPr>
              <w:t>0</w:t>
            </w:r>
          </w:p>
        </w:tc>
        <w:tc>
          <w:tcPr>
            <w:tcW w:w="944" w:type="dxa"/>
            <w:vAlign w:val="center"/>
          </w:tcPr>
          <w:p w14:paraId="370CC8DA"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008225D8" w14:textId="77777777" w:rsidR="005E000F" w:rsidRDefault="00000000">
            <w:pPr>
              <w:jc w:val="right"/>
              <w:rPr>
                <w:rFonts w:cs="宋体"/>
                <w:bCs/>
                <w:sz w:val="13"/>
                <w:szCs w:val="13"/>
              </w:rPr>
            </w:pPr>
            <w:r>
              <w:rPr>
                <w:rFonts w:hint="eastAsia"/>
                <w:sz w:val="13"/>
                <w:szCs w:val="13"/>
              </w:rPr>
              <w:t>0</w:t>
            </w:r>
          </w:p>
        </w:tc>
        <w:tc>
          <w:tcPr>
            <w:tcW w:w="911" w:type="dxa"/>
            <w:vAlign w:val="center"/>
          </w:tcPr>
          <w:p w14:paraId="1BF2905C"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4398D870" w14:textId="77777777" w:rsidR="005E000F" w:rsidRDefault="00000000">
            <w:pPr>
              <w:jc w:val="right"/>
              <w:rPr>
                <w:rFonts w:cs="宋体"/>
                <w:bCs/>
                <w:sz w:val="13"/>
                <w:szCs w:val="13"/>
              </w:rPr>
            </w:pPr>
            <w:r>
              <w:rPr>
                <w:rFonts w:hint="eastAsia"/>
                <w:sz w:val="13"/>
                <w:szCs w:val="13"/>
              </w:rPr>
              <w:t>0</w:t>
            </w:r>
          </w:p>
        </w:tc>
        <w:tc>
          <w:tcPr>
            <w:tcW w:w="955" w:type="dxa"/>
            <w:vAlign w:val="center"/>
          </w:tcPr>
          <w:p w14:paraId="59B41CD0"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6DC22ABB" w14:textId="77777777" w:rsidR="005E000F" w:rsidRDefault="00000000">
            <w:pPr>
              <w:jc w:val="right"/>
              <w:rPr>
                <w:rFonts w:cs="宋体"/>
                <w:bCs/>
                <w:sz w:val="13"/>
                <w:szCs w:val="13"/>
              </w:rPr>
            </w:pPr>
            <w:r>
              <w:rPr>
                <w:rFonts w:hint="eastAsia"/>
                <w:sz w:val="13"/>
                <w:szCs w:val="13"/>
              </w:rPr>
              <w:t>0</w:t>
            </w:r>
          </w:p>
        </w:tc>
        <w:tc>
          <w:tcPr>
            <w:tcW w:w="311" w:type="dxa"/>
            <w:vAlign w:val="center"/>
          </w:tcPr>
          <w:p w14:paraId="4CEE3999"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6A24918C" w14:textId="77777777" w:rsidR="005E000F" w:rsidRDefault="00000000">
            <w:pPr>
              <w:jc w:val="right"/>
              <w:rPr>
                <w:rFonts w:cs="宋体"/>
                <w:bCs/>
                <w:sz w:val="13"/>
                <w:szCs w:val="13"/>
              </w:rPr>
            </w:pPr>
            <w:r>
              <w:rPr>
                <w:rFonts w:hint="eastAsia"/>
                <w:sz w:val="13"/>
                <w:szCs w:val="13"/>
              </w:rPr>
              <w:t>0</w:t>
            </w:r>
          </w:p>
        </w:tc>
        <w:tc>
          <w:tcPr>
            <w:tcW w:w="389" w:type="dxa"/>
            <w:vAlign w:val="center"/>
          </w:tcPr>
          <w:p w14:paraId="17F0A870"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067A9ED7"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292C62E4"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26DA94EE" w14:textId="77777777" w:rsidR="005E000F" w:rsidRDefault="00000000">
            <w:pPr>
              <w:jc w:val="right"/>
              <w:rPr>
                <w:rFonts w:cs="宋体"/>
                <w:bCs/>
                <w:sz w:val="13"/>
                <w:szCs w:val="13"/>
              </w:rPr>
            </w:pPr>
            <w:r>
              <w:rPr>
                <w:rFonts w:hint="eastAsia"/>
                <w:sz w:val="13"/>
                <w:szCs w:val="13"/>
              </w:rPr>
              <w:t>0</w:t>
            </w:r>
          </w:p>
        </w:tc>
      </w:tr>
      <w:tr w:rsidR="005E000F" w14:paraId="01C77977" w14:textId="77777777">
        <w:sdt>
          <w:sdtPr>
            <w:rPr>
              <w:rFonts w:cs="宋体"/>
              <w:bCs/>
              <w:sz w:val="13"/>
              <w:szCs w:val="13"/>
            </w:rPr>
            <w:tag w:val="_PLD_d3ce563048a9409f9366506e205c4124"/>
            <w:id w:val="-872385989"/>
          </w:sdtPr>
          <w:sdtContent>
            <w:tc>
              <w:tcPr>
                <w:tcW w:w="1314" w:type="dxa"/>
                <w:vAlign w:val="center"/>
              </w:tcPr>
              <w:p w14:paraId="77729A59" w14:textId="77777777" w:rsidR="005E000F" w:rsidRDefault="00000000">
                <w:pPr>
                  <w:rPr>
                    <w:rFonts w:cs="宋体"/>
                    <w:bCs/>
                    <w:sz w:val="13"/>
                    <w:szCs w:val="13"/>
                  </w:rPr>
                </w:pPr>
                <w:r>
                  <w:rPr>
                    <w:rFonts w:cs="宋体" w:hint="eastAsia"/>
                    <w:bCs/>
                    <w:sz w:val="13"/>
                    <w:szCs w:val="13"/>
                  </w:rPr>
                  <w:t>4</w:t>
                </w:r>
                <w:r>
                  <w:rPr>
                    <w:rFonts w:cs="宋体"/>
                    <w:bCs/>
                    <w:sz w:val="13"/>
                    <w:szCs w:val="13"/>
                  </w:rPr>
                  <w:t>．其他</w:t>
                </w:r>
              </w:p>
            </w:tc>
          </w:sdtContent>
        </w:sdt>
        <w:tc>
          <w:tcPr>
            <w:tcW w:w="1067" w:type="dxa"/>
            <w:vAlign w:val="center"/>
          </w:tcPr>
          <w:p w14:paraId="02983296" w14:textId="77777777" w:rsidR="005E000F" w:rsidRDefault="00000000">
            <w:pPr>
              <w:jc w:val="right"/>
              <w:rPr>
                <w:rFonts w:cs="宋体"/>
                <w:bCs/>
                <w:sz w:val="13"/>
                <w:szCs w:val="13"/>
              </w:rPr>
            </w:pPr>
            <w:r>
              <w:rPr>
                <w:rFonts w:hint="eastAsia"/>
                <w:sz w:val="13"/>
                <w:szCs w:val="13"/>
              </w:rPr>
              <w:t>0</w:t>
            </w:r>
          </w:p>
        </w:tc>
        <w:tc>
          <w:tcPr>
            <w:tcW w:w="289" w:type="dxa"/>
            <w:vAlign w:val="center"/>
          </w:tcPr>
          <w:p w14:paraId="23D9477C" w14:textId="77777777" w:rsidR="005E000F" w:rsidRDefault="00000000">
            <w:pPr>
              <w:jc w:val="right"/>
              <w:rPr>
                <w:sz w:val="13"/>
                <w:szCs w:val="13"/>
              </w:rPr>
            </w:pPr>
            <w:r>
              <w:rPr>
                <w:rFonts w:hint="eastAsia"/>
                <w:sz w:val="13"/>
                <w:szCs w:val="13"/>
              </w:rPr>
              <w:t>0</w:t>
            </w:r>
          </w:p>
        </w:tc>
        <w:tc>
          <w:tcPr>
            <w:tcW w:w="322" w:type="dxa"/>
            <w:vAlign w:val="center"/>
          </w:tcPr>
          <w:p w14:paraId="61983338" w14:textId="77777777" w:rsidR="005E000F" w:rsidRDefault="00000000">
            <w:pPr>
              <w:jc w:val="right"/>
              <w:rPr>
                <w:sz w:val="13"/>
                <w:szCs w:val="13"/>
              </w:rPr>
            </w:pPr>
            <w:r>
              <w:rPr>
                <w:rFonts w:hint="eastAsia"/>
                <w:sz w:val="13"/>
                <w:szCs w:val="13"/>
              </w:rPr>
              <w:t>0</w:t>
            </w:r>
          </w:p>
        </w:tc>
        <w:tc>
          <w:tcPr>
            <w:tcW w:w="944" w:type="dxa"/>
            <w:vAlign w:val="center"/>
          </w:tcPr>
          <w:p w14:paraId="26F1CDA7"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78" w:type="dxa"/>
            <w:vAlign w:val="center"/>
          </w:tcPr>
          <w:p w14:paraId="256B3F22" w14:textId="77777777" w:rsidR="005E000F" w:rsidRDefault="00000000">
            <w:pPr>
              <w:snapToGrid w:val="0"/>
              <w:spacing w:line="240" w:lineRule="atLeast"/>
              <w:jc w:val="right"/>
              <w:rPr>
                <w:rFonts w:cs="宋体"/>
                <w:bCs/>
                <w:sz w:val="13"/>
                <w:szCs w:val="13"/>
              </w:rPr>
            </w:pPr>
            <w:r>
              <w:rPr>
                <w:rFonts w:cs="宋体"/>
                <w:bCs/>
                <w:sz w:val="13"/>
                <w:szCs w:val="13"/>
              </w:rPr>
              <w:t>462,786,941</w:t>
            </w:r>
          </w:p>
        </w:tc>
        <w:tc>
          <w:tcPr>
            <w:tcW w:w="911" w:type="dxa"/>
            <w:vAlign w:val="center"/>
          </w:tcPr>
          <w:p w14:paraId="1E61CF6C" w14:textId="77777777" w:rsidR="005E000F" w:rsidRDefault="00000000">
            <w:pPr>
              <w:snapToGrid w:val="0"/>
              <w:spacing w:line="240" w:lineRule="atLeast"/>
              <w:jc w:val="right"/>
              <w:rPr>
                <w:rFonts w:cs="宋体"/>
                <w:bCs/>
                <w:sz w:val="13"/>
                <w:szCs w:val="13"/>
              </w:rPr>
            </w:pPr>
            <w:r>
              <w:rPr>
                <w:rFonts w:cs="宋体"/>
                <w:bCs/>
                <w:sz w:val="13"/>
                <w:szCs w:val="13"/>
              </w:rPr>
              <w:t>247,783,807</w:t>
            </w:r>
          </w:p>
        </w:tc>
        <w:tc>
          <w:tcPr>
            <w:tcW w:w="1056" w:type="dxa"/>
            <w:vAlign w:val="center"/>
          </w:tcPr>
          <w:p w14:paraId="295F346F" w14:textId="77777777" w:rsidR="005E000F" w:rsidRDefault="00000000">
            <w:pPr>
              <w:jc w:val="right"/>
              <w:rPr>
                <w:rFonts w:cs="宋体"/>
                <w:bCs/>
                <w:sz w:val="13"/>
                <w:szCs w:val="13"/>
              </w:rPr>
            </w:pPr>
            <w:r>
              <w:rPr>
                <w:rFonts w:hint="eastAsia"/>
                <w:sz w:val="13"/>
                <w:szCs w:val="13"/>
              </w:rPr>
              <w:t>0</w:t>
            </w:r>
          </w:p>
        </w:tc>
        <w:tc>
          <w:tcPr>
            <w:tcW w:w="955" w:type="dxa"/>
            <w:vAlign w:val="center"/>
          </w:tcPr>
          <w:p w14:paraId="446B43C4"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62138DF1" w14:textId="77777777" w:rsidR="005E000F" w:rsidRDefault="00000000">
            <w:pPr>
              <w:jc w:val="right"/>
              <w:rPr>
                <w:rFonts w:cs="宋体"/>
                <w:bCs/>
                <w:sz w:val="13"/>
                <w:szCs w:val="13"/>
              </w:rPr>
            </w:pPr>
            <w:r>
              <w:rPr>
                <w:rFonts w:hint="eastAsia"/>
                <w:sz w:val="13"/>
                <w:szCs w:val="13"/>
              </w:rPr>
              <w:t>0</w:t>
            </w:r>
          </w:p>
        </w:tc>
        <w:tc>
          <w:tcPr>
            <w:tcW w:w="311" w:type="dxa"/>
            <w:vAlign w:val="center"/>
          </w:tcPr>
          <w:p w14:paraId="23394B4B"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680A2F92" w14:textId="77777777" w:rsidR="005E000F" w:rsidRDefault="00000000">
            <w:pPr>
              <w:jc w:val="right"/>
              <w:rPr>
                <w:rFonts w:cs="宋体"/>
                <w:bCs/>
                <w:sz w:val="13"/>
                <w:szCs w:val="13"/>
              </w:rPr>
            </w:pPr>
            <w:r>
              <w:rPr>
                <w:rFonts w:hint="eastAsia"/>
                <w:sz w:val="13"/>
                <w:szCs w:val="13"/>
              </w:rPr>
              <w:t>0</w:t>
            </w:r>
          </w:p>
        </w:tc>
        <w:tc>
          <w:tcPr>
            <w:tcW w:w="389" w:type="dxa"/>
            <w:vAlign w:val="center"/>
          </w:tcPr>
          <w:p w14:paraId="69CFDE23"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6689C658" w14:textId="77777777" w:rsidR="005E000F" w:rsidRDefault="00000000">
            <w:pPr>
              <w:snapToGrid w:val="0"/>
              <w:spacing w:line="240" w:lineRule="atLeast"/>
              <w:jc w:val="right"/>
              <w:rPr>
                <w:rFonts w:cs="宋体"/>
                <w:bCs/>
                <w:sz w:val="13"/>
                <w:szCs w:val="13"/>
              </w:rPr>
            </w:pPr>
            <w:r>
              <w:rPr>
                <w:rFonts w:cs="宋体"/>
                <w:bCs/>
                <w:sz w:val="13"/>
                <w:szCs w:val="13"/>
              </w:rPr>
              <w:t>215,003,134</w:t>
            </w:r>
          </w:p>
        </w:tc>
        <w:tc>
          <w:tcPr>
            <w:tcW w:w="1037" w:type="dxa"/>
            <w:vAlign w:val="center"/>
          </w:tcPr>
          <w:p w14:paraId="4E8B11CF" w14:textId="77777777" w:rsidR="005E000F" w:rsidRDefault="00000000">
            <w:pPr>
              <w:snapToGrid w:val="0"/>
              <w:spacing w:line="240" w:lineRule="atLeast"/>
              <w:jc w:val="right"/>
              <w:rPr>
                <w:rFonts w:cs="宋体"/>
                <w:bCs/>
                <w:sz w:val="13"/>
                <w:szCs w:val="13"/>
              </w:rPr>
            </w:pPr>
            <w:r>
              <w:rPr>
                <w:rFonts w:cs="宋体"/>
                <w:bCs/>
                <w:sz w:val="13"/>
                <w:szCs w:val="13"/>
              </w:rPr>
              <w:t>57,221,359</w:t>
            </w:r>
          </w:p>
        </w:tc>
        <w:tc>
          <w:tcPr>
            <w:tcW w:w="1096" w:type="dxa"/>
            <w:vAlign w:val="center"/>
          </w:tcPr>
          <w:p w14:paraId="483704FF" w14:textId="77777777" w:rsidR="005E000F" w:rsidRDefault="00000000">
            <w:pPr>
              <w:snapToGrid w:val="0"/>
              <w:spacing w:line="240" w:lineRule="atLeast"/>
              <w:jc w:val="right"/>
              <w:rPr>
                <w:rFonts w:cs="宋体"/>
                <w:bCs/>
                <w:sz w:val="13"/>
                <w:szCs w:val="13"/>
              </w:rPr>
            </w:pPr>
            <w:r>
              <w:rPr>
                <w:rFonts w:cs="宋体"/>
                <w:bCs/>
                <w:sz w:val="13"/>
                <w:szCs w:val="13"/>
              </w:rPr>
              <w:t>272,224,493</w:t>
            </w:r>
          </w:p>
        </w:tc>
      </w:tr>
      <w:tr w:rsidR="005E000F" w14:paraId="6EC29FBA" w14:textId="77777777">
        <w:sdt>
          <w:sdtPr>
            <w:rPr>
              <w:rFonts w:cs="宋体"/>
              <w:bCs/>
              <w:sz w:val="13"/>
              <w:szCs w:val="13"/>
            </w:rPr>
            <w:tag w:val="_PLD_e5ace973797c4072b589e43841b34142"/>
            <w:id w:val="-1596011318"/>
          </w:sdtPr>
          <w:sdtContent>
            <w:tc>
              <w:tcPr>
                <w:tcW w:w="1314" w:type="dxa"/>
                <w:vAlign w:val="center"/>
              </w:tcPr>
              <w:p w14:paraId="5C8B8100" w14:textId="77777777" w:rsidR="005E000F" w:rsidRDefault="00000000">
                <w:pPr>
                  <w:rPr>
                    <w:rFonts w:cs="宋体"/>
                    <w:bCs/>
                    <w:sz w:val="13"/>
                    <w:szCs w:val="13"/>
                  </w:rPr>
                </w:pPr>
                <w:r>
                  <w:rPr>
                    <w:rFonts w:cs="宋体"/>
                    <w:bCs/>
                    <w:sz w:val="13"/>
                    <w:szCs w:val="13"/>
                  </w:rPr>
                  <w:t>（</w:t>
                </w:r>
                <w:r>
                  <w:rPr>
                    <w:rFonts w:cs="宋体" w:hint="eastAsia"/>
                    <w:bCs/>
                    <w:sz w:val="13"/>
                    <w:szCs w:val="13"/>
                  </w:rPr>
                  <w:t>三</w:t>
                </w:r>
                <w:r>
                  <w:rPr>
                    <w:rFonts w:cs="宋体"/>
                    <w:bCs/>
                    <w:sz w:val="13"/>
                    <w:szCs w:val="13"/>
                  </w:rPr>
                  <w:t>）利润分配</w:t>
                </w:r>
              </w:p>
            </w:tc>
          </w:sdtContent>
        </w:sdt>
        <w:tc>
          <w:tcPr>
            <w:tcW w:w="1067" w:type="dxa"/>
            <w:vAlign w:val="center"/>
          </w:tcPr>
          <w:p w14:paraId="6EE0D4BC" w14:textId="77777777" w:rsidR="005E000F" w:rsidRDefault="00000000">
            <w:pPr>
              <w:jc w:val="right"/>
              <w:rPr>
                <w:rFonts w:cs="宋体"/>
                <w:bCs/>
                <w:sz w:val="13"/>
                <w:szCs w:val="13"/>
              </w:rPr>
            </w:pPr>
            <w:r>
              <w:rPr>
                <w:rFonts w:hint="eastAsia"/>
                <w:sz w:val="13"/>
                <w:szCs w:val="13"/>
              </w:rPr>
              <w:t>0</w:t>
            </w:r>
          </w:p>
        </w:tc>
        <w:tc>
          <w:tcPr>
            <w:tcW w:w="289" w:type="dxa"/>
            <w:vAlign w:val="center"/>
          </w:tcPr>
          <w:p w14:paraId="424E2B2E" w14:textId="77777777" w:rsidR="005E000F" w:rsidRDefault="00000000">
            <w:pPr>
              <w:jc w:val="right"/>
              <w:rPr>
                <w:sz w:val="13"/>
                <w:szCs w:val="13"/>
              </w:rPr>
            </w:pPr>
            <w:r>
              <w:rPr>
                <w:rFonts w:hint="eastAsia"/>
                <w:sz w:val="13"/>
                <w:szCs w:val="13"/>
              </w:rPr>
              <w:t>0</w:t>
            </w:r>
          </w:p>
        </w:tc>
        <w:tc>
          <w:tcPr>
            <w:tcW w:w="322" w:type="dxa"/>
            <w:vAlign w:val="center"/>
          </w:tcPr>
          <w:p w14:paraId="4BDB595B" w14:textId="77777777" w:rsidR="005E000F" w:rsidRDefault="00000000">
            <w:pPr>
              <w:jc w:val="right"/>
              <w:rPr>
                <w:sz w:val="13"/>
                <w:szCs w:val="13"/>
              </w:rPr>
            </w:pPr>
            <w:r>
              <w:rPr>
                <w:rFonts w:hint="eastAsia"/>
                <w:sz w:val="13"/>
                <w:szCs w:val="13"/>
              </w:rPr>
              <w:t>0</w:t>
            </w:r>
          </w:p>
        </w:tc>
        <w:tc>
          <w:tcPr>
            <w:tcW w:w="944" w:type="dxa"/>
            <w:vAlign w:val="center"/>
          </w:tcPr>
          <w:p w14:paraId="38FFC323"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46EDEFB4" w14:textId="77777777" w:rsidR="005E000F" w:rsidRDefault="00000000">
            <w:pPr>
              <w:jc w:val="right"/>
              <w:rPr>
                <w:rFonts w:cs="宋体"/>
                <w:bCs/>
                <w:sz w:val="13"/>
                <w:szCs w:val="13"/>
              </w:rPr>
            </w:pPr>
            <w:r>
              <w:rPr>
                <w:rFonts w:hint="eastAsia"/>
                <w:sz w:val="13"/>
                <w:szCs w:val="13"/>
              </w:rPr>
              <w:t>0</w:t>
            </w:r>
          </w:p>
        </w:tc>
        <w:tc>
          <w:tcPr>
            <w:tcW w:w="911" w:type="dxa"/>
            <w:vAlign w:val="center"/>
          </w:tcPr>
          <w:p w14:paraId="3111AC00"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0E004D27" w14:textId="77777777" w:rsidR="005E000F" w:rsidRDefault="00000000">
            <w:pPr>
              <w:jc w:val="right"/>
              <w:rPr>
                <w:rFonts w:cs="宋体"/>
                <w:bCs/>
                <w:sz w:val="13"/>
                <w:szCs w:val="13"/>
              </w:rPr>
            </w:pPr>
            <w:r>
              <w:rPr>
                <w:rFonts w:hint="eastAsia"/>
                <w:sz w:val="13"/>
                <w:szCs w:val="13"/>
              </w:rPr>
              <w:t>0</w:t>
            </w:r>
          </w:p>
        </w:tc>
        <w:tc>
          <w:tcPr>
            <w:tcW w:w="955" w:type="dxa"/>
            <w:vAlign w:val="center"/>
          </w:tcPr>
          <w:p w14:paraId="3C9C79C8"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59F8B25D" w14:textId="77777777" w:rsidR="005E000F" w:rsidRDefault="00000000">
            <w:pPr>
              <w:snapToGrid w:val="0"/>
              <w:spacing w:line="240" w:lineRule="atLeast"/>
              <w:jc w:val="right"/>
              <w:rPr>
                <w:rFonts w:cs="宋体"/>
                <w:bCs/>
                <w:sz w:val="13"/>
                <w:szCs w:val="13"/>
              </w:rPr>
            </w:pPr>
            <w:r>
              <w:rPr>
                <w:rFonts w:cs="宋体"/>
                <w:bCs/>
                <w:sz w:val="13"/>
                <w:szCs w:val="13"/>
              </w:rPr>
              <w:t>614,017,876</w:t>
            </w:r>
          </w:p>
        </w:tc>
        <w:tc>
          <w:tcPr>
            <w:tcW w:w="311" w:type="dxa"/>
            <w:vAlign w:val="center"/>
          </w:tcPr>
          <w:p w14:paraId="34DF8948"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111" w:type="dxa"/>
            <w:vAlign w:val="center"/>
          </w:tcPr>
          <w:p w14:paraId="7EA24D6B" w14:textId="77777777" w:rsidR="005E000F" w:rsidRDefault="00000000">
            <w:pPr>
              <w:snapToGrid w:val="0"/>
              <w:spacing w:line="240" w:lineRule="atLeast"/>
              <w:jc w:val="right"/>
              <w:rPr>
                <w:rFonts w:cs="宋体"/>
                <w:bCs/>
                <w:sz w:val="13"/>
                <w:szCs w:val="13"/>
              </w:rPr>
            </w:pPr>
            <w:r>
              <w:rPr>
                <w:rFonts w:cs="宋体"/>
                <w:bCs/>
                <w:sz w:val="13"/>
                <w:szCs w:val="13"/>
              </w:rPr>
              <w:t>-4,859,516,271</w:t>
            </w:r>
          </w:p>
        </w:tc>
        <w:tc>
          <w:tcPr>
            <w:tcW w:w="389" w:type="dxa"/>
            <w:vAlign w:val="center"/>
          </w:tcPr>
          <w:p w14:paraId="3380FFE7"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152" w:type="dxa"/>
            <w:vAlign w:val="center"/>
          </w:tcPr>
          <w:p w14:paraId="76E60879" w14:textId="77777777" w:rsidR="005E000F" w:rsidRDefault="00000000">
            <w:pPr>
              <w:snapToGrid w:val="0"/>
              <w:spacing w:line="240" w:lineRule="atLeast"/>
              <w:jc w:val="right"/>
              <w:rPr>
                <w:rFonts w:cs="宋体"/>
                <w:bCs/>
                <w:sz w:val="13"/>
                <w:szCs w:val="13"/>
              </w:rPr>
            </w:pPr>
            <w:r>
              <w:rPr>
                <w:rFonts w:cs="宋体"/>
                <w:bCs/>
                <w:sz w:val="13"/>
                <w:szCs w:val="13"/>
              </w:rPr>
              <w:t>-4,245,498,395</w:t>
            </w:r>
          </w:p>
        </w:tc>
        <w:tc>
          <w:tcPr>
            <w:tcW w:w="1037" w:type="dxa"/>
            <w:vAlign w:val="center"/>
          </w:tcPr>
          <w:p w14:paraId="71DFF5B4" w14:textId="77777777" w:rsidR="005E000F" w:rsidRDefault="00000000">
            <w:pPr>
              <w:snapToGrid w:val="0"/>
              <w:spacing w:line="240" w:lineRule="atLeast"/>
              <w:jc w:val="right"/>
              <w:rPr>
                <w:rFonts w:cs="宋体"/>
                <w:bCs/>
                <w:sz w:val="13"/>
                <w:szCs w:val="13"/>
              </w:rPr>
            </w:pPr>
            <w:r>
              <w:rPr>
                <w:rFonts w:cs="宋体"/>
                <w:bCs/>
                <w:sz w:val="13"/>
                <w:szCs w:val="13"/>
              </w:rPr>
              <w:t>-839,481,148</w:t>
            </w:r>
          </w:p>
        </w:tc>
        <w:tc>
          <w:tcPr>
            <w:tcW w:w="1096" w:type="dxa"/>
            <w:vAlign w:val="center"/>
          </w:tcPr>
          <w:p w14:paraId="37E1DC06" w14:textId="77777777" w:rsidR="005E000F" w:rsidRDefault="00000000">
            <w:pPr>
              <w:snapToGrid w:val="0"/>
              <w:spacing w:line="240" w:lineRule="atLeast"/>
              <w:jc w:val="right"/>
              <w:rPr>
                <w:rFonts w:cs="宋体"/>
                <w:bCs/>
                <w:sz w:val="13"/>
                <w:szCs w:val="13"/>
              </w:rPr>
            </w:pPr>
            <w:r>
              <w:rPr>
                <w:rFonts w:cs="宋体"/>
                <w:bCs/>
                <w:sz w:val="13"/>
                <w:szCs w:val="13"/>
              </w:rPr>
              <w:t>-5,084,979,543</w:t>
            </w:r>
          </w:p>
        </w:tc>
      </w:tr>
      <w:tr w:rsidR="005E000F" w14:paraId="2D92D4FE" w14:textId="77777777">
        <w:sdt>
          <w:sdtPr>
            <w:rPr>
              <w:rFonts w:cs="宋体"/>
              <w:bCs/>
              <w:sz w:val="13"/>
              <w:szCs w:val="13"/>
            </w:rPr>
            <w:tag w:val="_PLD_56984731c08d48a08692b6a589fbe555"/>
            <w:id w:val="-647906530"/>
          </w:sdtPr>
          <w:sdtContent>
            <w:tc>
              <w:tcPr>
                <w:tcW w:w="1314" w:type="dxa"/>
                <w:vAlign w:val="center"/>
              </w:tcPr>
              <w:p w14:paraId="3B76A2B3" w14:textId="77777777" w:rsidR="005E000F" w:rsidRDefault="00000000">
                <w:pPr>
                  <w:rPr>
                    <w:rFonts w:cs="宋体"/>
                    <w:bCs/>
                    <w:sz w:val="13"/>
                    <w:szCs w:val="13"/>
                  </w:rPr>
                </w:pPr>
                <w:r>
                  <w:rPr>
                    <w:rFonts w:cs="宋体"/>
                    <w:bCs/>
                    <w:sz w:val="13"/>
                    <w:szCs w:val="13"/>
                  </w:rPr>
                  <w:t>1</w:t>
                </w:r>
                <w:r>
                  <w:rPr>
                    <w:rFonts w:cs="宋体"/>
                    <w:bCs/>
                    <w:sz w:val="13"/>
                    <w:szCs w:val="13"/>
                  </w:rPr>
                  <w:t>．提取盈余公积</w:t>
                </w:r>
              </w:p>
            </w:tc>
          </w:sdtContent>
        </w:sdt>
        <w:tc>
          <w:tcPr>
            <w:tcW w:w="1067" w:type="dxa"/>
            <w:vAlign w:val="center"/>
          </w:tcPr>
          <w:p w14:paraId="514C77E1" w14:textId="77777777" w:rsidR="005E000F" w:rsidRDefault="00000000">
            <w:pPr>
              <w:jc w:val="right"/>
              <w:rPr>
                <w:rFonts w:cs="宋体"/>
                <w:bCs/>
                <w:sz w:val="13"/>
                <w:szCs w:val="13"/>
              </w:rPr>
            </w:pPr>
            <w:r>
              <w:rPr>
                <w:rFonts w:hint="eastAsia"/>
                <w:sz w:val="13"/>
                <w:szCs w:val="13"/>
              </w:rPr>
              <w:t>0</w:t>
            </w:r>
          </w:p>
        </w:tc>
        <w:tc>
          <w:tcPr>
            <w:tcW w:w="289" w:type="dxa"/>
            <w:vAlign w:val="center"/>
          </w:tcPr>
          <w:p w14:paraId="7D9FDE2F" w14:textId="77777777" w:rsidR="005E000F" w:rsidRDefault="00000000">
            <w:pPr>
              <w:jc w:val="right"/>
              <w:rPr>
                <w:sz w:val="13"/>
                <w:szCs w:val="13"/>
              </w:rPr>
            </w:pPr>
            <w:r>
              <w:rPr>
                <w:rFonts w:hint="eastAsia"/>
                <w:sz w:val="13"/>
                <w:szCs w:val="13"/>
              </w:rPr>
              <w:t>0</w:t>
            </w:r>
          </w:p>
        </w:tc>
        <w:tc>
          <w:tcPr>
            <w:tcW w:w="322" w:type="dxa"/>
            <w:vAlign w:val="center"/>
          </w:tcPr>
          <w:p w14:paraId="791B9D0B" w14:textId="77777777" w:rsidR="005E000F" w:rsidRDefault="00000000">
            <w:pPr>
              <w:jc w:val="right"/>
              <w:rPr>
                <w:sz w:val="13"/>
                <w:szCs w:val="13"/>
              </w:rPr>
            </w:pPr>
            <w:r>
              <w:rPr>
                <w:rFonts w:hint="eastAsia"/>
                <w:sz w:val="13"/>
                <w:szCs w:val="13"/>
              </w:rPr>
              <w:t>0</w:t>
            </w:r>
          </w:p>
        </w:tc>
        <w:tc>
          <w:tcPr>
            <w:tcW w:w="944" w:type="dxa"/>
            <w:vAlign w:val="center"/>
          </w:tcPr>
          <w:p w14:paraId="3364A575"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372C5A16" w14:textId="77777777" w:rsidR="005E000F" w:rsidRDefault="00000000">
            <w:pPr>
              <w:jc w:val="right"/>
              <w:rPr>
                <w:rFonts w:cs="宋体"/>
                <w:bCs/>
                <w:sz w:val="13"/>
                <w:szCs w:val="13"/>
              </w:rPr>
            </w:pPr>
            <w:r>
              <w:rPr>
                <w:rFonts w:hint="eastAsia"/>
                <w:sz w:val="13"/>
                <w:szCs w:val="13"/>
              </w:rPr>
              <w:t>0</w:t>
            </w:r>
          </w:p>
        </w:tc>
        <w:tc>
          <w:tcPr>
            <w:tcW w:w="911" w:type="dxa"/>
            <w:vAlign w:val="center"/>
          </w:tcPr>
          <w:p w14:paraId="3B88DD00"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0C932F21" w14:textId="77777777" w:rsidR="005E000F" w:rsidRDefault="00000000">
            <w:pPr>
              <w:jc w:val="right"/>
              <w:rPr>
                <w:rFonts w:cs="宋体"/>
                <w:bCs/>
                <w:sz w:val="13"/>
                <w:szCs w:val="13"/>
              </w:rPr>
            </w:pPr>
            <w:r>
              <w:rPr>
                <w:rFonts w:hint="eastAsia"/>
                <w:sz w:val="13"/>
                <w:szCs w:val="13"/>
              </w:rPr>
              <w:t>0</w:t>
            </w:r>
          </w:p>
        </w:tc>
        <w:tc>
          <w:tcPr>
            <w:tcW w:w="955" w:type="dxa"/>
            <w:vAlign w:val="center"/>
          </w:tcPr>
          <w:p w14:paraId="0583CE92"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2C9878C1" w14:textId="77777777" w:rsidR="005E000F" w:rsidRDefault="00000000">
            <w:pPr>
              <w:snapToGrid w:val="0"/>
              <w:spacing w:line="240" w:lineRule="atLeast"/>
              <w:jc w:val="right"/>
              <w:rPr>
                <w:rFonts w:cs="宋体"/>
                <w:bCs/>
                <w:sz w:val="13"/>
                <w:szCs w:val="13"/>
              </w:rPr>
            </w:pPr>
            <w:r>
              <w:rPr>
                <w:rFonts w:cs="宋体"/>
                <w:bCs/>
                <w:sz w:val="13"/>
                <w:szCs w:val="13"/>
              </w:rPr>
              <w:t>614,017,876</w:t>
            </w:r>
          </w:p>
        </w:tc>
        <w:tc>
          <w:tcPr>
            <w:tcW w:w="311" w:type="dxa"/>
            <w:vAlign w:val="center"/>
          </w:tcPr>
          <w:p w14:paraId="705D430D"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111" w:type="dxa"/>
            <w:vAlign w:val="center"/>
          </w:tcPr>
          <w:p w14:paraId="44E239BE" w14:textId="77777777" w:rsidR="005E000F" w:rsidRDefault="00000000">
            <w:pPr>
              <w:snapToGrid w:val="0"/>
              <w:spacing w:line="240" w:lineRule="atLeast"/>
              <w:jc w:val="right"/>
              <w:rPr>
                <w:rFonts w:cs="宋体"/>
                <w:bCs/>
                <w:sz w:val="13"/>
                <w:szCs w:val="13"/>
              </w:rPr>
            </w:pPr>
            <w:r>
              <w:rPr>
                <w:rFonts w:cs="宋体"/>
                <w:bCs/>
                <w:sz w:val="13"/>
                <w:szCs w:val="13"/>
              </w:rPr>
              <w:t>-614,017,876</w:t>
            </w:r>
          </w:p>
        </w:tc>
        <w:tc>
          <w:tcPr>
            <w:tcW w:w="389" w:type="dxa"/>
            <w:vAlign w:val="center"/>
          </w:tcPr>
          <w:p w14:paraId="35CDF6C8"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152" w:type="dxa"/>
            <w:vAlign w:val="center"/>
          </w:tcPr>
          <w:p w14:paraId="39811872"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28939353"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40879CB0" w14:textId="77777777" w:rsidR="005E000F" w:rsidRDefault="00000000">
            <w:pPr>
              <w:jc w:val="right"/>
              <w:rPr>
                <w:rFonts w:cs="宋体"/>
                <w:bCs/>
                <w:sz w:val="13"/>
                <w:szCs w:val="13"/>
              </w:rPr>
            </w:pPr>
            <w:r>
              <w:rPr>
                <w:rFonts w:hint="eastAsia"/>
                <w:sz w:val="13"/>
                <w:szCs w:val="13"/>
              </w:rPr>
              <w:t>0</w:t>
            </w:r>
          </w:p>
        </w:tc>
      </w:tr>
      <w:tr w:rsidR="005E000F" w14:paraId="21C0522F" w14:textId="77777777">
        <w:sdt>
          <w:sdtPr>
            <w:rPr>
              <w:rFonts w:cs="宋体"/>
              <w:bCs/>
              <w:sz w:val="13"/>
              <w:szCs w:val="13"/>
            </w:rPr>
            <w:tag w:val="_PLD_d30e7cefb4de4113b5c1abddf8a241d4"/>
            <w:id w:val="-471365077"/>
          </w:sdtPr>
          <w:sdtContent>
            <w:tc>
              <w:tcPr>
                <w:tcW w:w="1314" w:type="dxa"/>
                <w:vAlign w:val="center"/>
              </w:tcPr>
              <w:p w14:paraId="7501F1EE" w14:textId="77777777" w:rsidR="005E000F" w:rsidRDefault="00000000">
                <w:pPr>
                  <w:rPr>
                    <w:rFonts w:cs="宋体"/>
                    <w:bCs/>
                    <w:sz w:val="13"/>
                    <w:szCs w:val="13"/>
                  </w:rPr>
                </w:pPr>
                <w:r>
                  <w:rPr>
                    <w:rFonts w:cs="宋体"/>
                    <w:bCs/>
                    <w:sz w:val="13"/>
                    <w:szCs w:val="13"/>
                  </w:rPr>
                  <w:t>2</w:t>
                </w:r>
                <w:r>
                  <w:rPr>
                    <w:rFonts w:cs="宋体"/>
                    <w:bCs/>
                    <w:sz w:val="13"/>
                    <w:szCs w:val="13"/>
                  </w:rPr>
                  <w:t>．提取一般风险准备</w:t>
                </w:r>
              </w:p>
            </w:tc>
          </w:sdtContent>
        </w:sdt>
        <w:tc>
          <w:tcPr>
            <w:tcW w:w="1067" w:type="dxa"/>
            <w:vAlign w:val="center"/>
          </w:tcPr>
          <w:p w14:paraId="66AB399C" w14:textId="77777777" w:rsidR="005E000F" w:rsidRDefault="00000000">
            <w:pPr>
              <w:jc w:val="right"/>
              <w:rPr>
                <w:rFonts w:cs="宋体"/>
                <w:bCs/>
                <w:sz w:val="13"/>
                <w:szCs w:val="13"/>
              </w:rPr>
            </w:pPr>
            <w:r>
              <w:rPr>
                <w:rFonts w:hint="eastAsia"/>
                <w:sz w:val="13"/>
                <w:szCs w:val="13"/>
              </w:rPr>
              <w:t>0</w:t>
            </w:r>
          </w:p>
        </w:tc>
        <w:tc>
          <w:tcPr>
            <w:tcW w:w="289" w:type="dxa"/>
            <w:vAlign w:val="center"/>
          </w:tcPr>
          <w:p w14:paraId="51CE0324" w14:textId="77777777" w:rsidR="005E000F" w:rsidRDefault="00000000">
            <w:pPr>
              <w:jc w:val="right"/>
              <w:rPr>
                <w:sz w:val="13"/>
                <w:szCs w:val="13"/>
              </w:rPr>
            </w:pPr>
            <w:r>
              <w:rPr>
                <w:rFonts w:hint="eastAsia"/>
                <w:sz w:val="13"/>
                <w:szCs w:val="13"/>
              </w:rPr>
              <w:t>0</w:t>
            </w:r>
          </w:p>
        </w:tc>
        <w:tc>
          <w:tcPr>
            <w:tcW w:w="322" w:type="dxa"/>
            <w:vAlign w:val="center"/>
          </w:tcPr>
          <w:p w14:paraId="675B6460" w14:textId="77777777" w:rsidR="005E000F" w:rsidRDefault="00000000">
            <w:pPr>
              <w:jc w:val="right"/>
              <w:rPr>
                <w:sz w:val="13"/>
                <w:szCs w:val="13"/>
              </w:rPr>
            </w:pPr>
            <w:r>
              <w:rPr>
                <w:rFonts w:hint="eastAsia"/>
                <w:sz w:val="13"/>
                <w:szCs w:val="13"/>
              </w:rPr>
              <w:t>0</w:t>
            </w:r>
          </w:p>
        </w:tc>
        <w:tc>
          <w:tcPr>
            <w:tcW w:w="944" w:type="dxa"/>
            <w:vAlign w:val="center"/>
          </w:tcPr>
          <w:p w14:paraId="3826B115"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3F645649" w14:textId="77777777" w:rsidR="005E000F" w:rsidRDefault="00000000">
            <w:pPr>
              <w:jc w:val="right"/>
              <w:rPr>
                <w:rFonts w:cs="宋体"/>
                <w:bCs/>
                <w:sz w:val="13"/>
                <w:szCs w:val="13"/>
              </w:rPr>
            </w:pPr>
            <w:r>
              <w:rPr>
                <w:rFonts w:hint="eastAsia"/>
                <w:sz w:val="13"/>
                <w:szCs w:val="13"/>
              </w:rPr>
              <w:t>0</w:t>
            </w:r>
          </w:p>
        </w:tc>
        <w:tc>
          <w:tcPr>
            <w:tcW w:w="911" w:type="dxa"/>
            <w:vAlign w:val="center"/>
          </w:tcPr>
          <w:p w14:paraId="074EF854"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7B995EC4" w14:textId="77777777" w:rsidR="005E000F" w:rsidRDefault="00000000">
            <w:pPr>
              <w:jc w:val="right"/>
              <w:rPr>
                <w:rFonts w:cs="宋体"/>
                <w:bCs/>
                <w:sz w:val="13"/>
                <w:szCs w:val="13"/>
              </w:rPr>
            </w:pPr>
            <w:r>
              <w:rPr>
                <w:rFonts w:hint="eastAsia"/>
                <w:sz w:val="13"/>
                <w:szCs w:val="13"/>
              </w:rPr>
              <w:t>0</w:t>
            </w:r>
          </w:p>
        </w:tc>
        <w:tc>
          <w:tcPr>
            <w:tcW w:w="955" w:type="dxa"/>
            <w:vAlign w:val="center"/>
          </w:tcPr>
          <w:p w14:paraId="45D58482"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2B493A15" w14:textId="77777777" w:rsidR="005E000F" w:rsidRDefault="00000000">
            <w:pPr>
              <w:jc w:val="right"/>
              <w:rPr>
                <w:rFonts w:cs="宋体"/>
                <w:bCs/>
                <w:sz w:val="13"/>
                <w:szCs w:val="13"/>
              </w:rPr>
            </w:pPr>
            <w:r>
              <w:rPr>
                <w:rFonts w:hint="eastAsia"/>
                <w:sz w:val="13"/>
                <w:szCs w:val="13"/>
              </w:rPr>
              <w:t>0</w:t>
            </w:r>
          </w:p>
        </w:tc>
        <w:tc>
          <w:tcPr>
            <w:tcW w:w="311" w:type="dxa"/>
            <w:vAlign w:val="center"/>
          </w:tcPr>
          <w:p w14:paraId="3345FCB7"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1EFCBE17" w14:textId="77777777" w:rsidR="005E000F" w:rsidRDefault="00000000">
            <w:pPr>
              <w:jc w:val="right"/>
              <w:rPr>
                <w:rFonts w:cs="宋体"/>
                <w:bCs/>
                <w:sz w:val="13"/>
                <w:szCs w:val="13"/>
              </w:rPr>
            </w:pPr>
            <w:r>
              <w:rPr>
                <w:rFonts w:hint="eastAsia"/>
                <w:sz w:val="13"/>
                <w:szCs w:val="13"/>
              </w:rPr>
              <w:t>0</w:t>
            </w:r>
          </w:p>
        </w:tc>
        <w:tc>
          <w:tcPr>
            <w:tcW w:w="389" w:type="dxa"/>
            <w:vAlign w:val="center"/>
          </w:tcPr>
          <w:p w14:paraId="61154861"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08868AC8"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2C86D075"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4AF7DC04" w14:textId="77777777" w:rsidR="005E000F" w:rsidRDefault="00000000">
            <w:pPr>
              <w:jc w:val="right"/>
              <w:rPr>
                <w:rFonts w:cs="宋体"/>
                <w:bCs/>
                <w:sz w:val="13"/>
                <w:szCs w:val="13"/>
              </w:rPr>
            </w:pPr>
            <w:r>
              <w:rPr>
                <w:rFonts w:hint="eastAsia"/>
                <w:sz w:val="13"/>
                <w:szCs w:val="13"/>
              </w:rPr>
              <w:t>0</w:t>
            </w:r>
          </w:p>
        </w:tc>
      </w:tr>
      <w:tr w:rsidR="005E000F" w14:paraId="4B1B108B" w14:textId="77777777">
        <w:sdt>
          <w:sdtPr>
            <w:rPr>
              <w:rFonts w:cs="宋体"/>
              <w:bCs/>
              <w:sz w:val="13"/>
              <w:szCs w:val="13"/>
            </w:rPr>
            <w:tag w:val="_PLD_6d573481d9af49e2a8ab22ecd061ccf7"/>
            <w:id w:val="-378317670"/>
          </w:sdtPr>
          <w:sdtContent>
            <w:tc>
              <w:tcPr>
                <w:tcW w:w="1314" w:type="dxa"/>
                <w:vAlign w:val="center"/>
              </w:tcPr>
              <w:p w14:paraId="6A1D888C" w14:textId="77777777" w:rsidR="005E000F" w:rsidRDefault="00000000">
                <w:pPr>
                  <w:rPr>
                    <w:rFonts w:cs="宋体"/>
                    <w:bCs/>
                    <w:sz w:val="13"/>
                    <w:szCs w:val="13"/>
                  </w:rPr>
                </w:pPr>
                <w:r>
                  <w:rPr>
                    <w:rFonts w:cs="宋体"/>
                    <w:bCs/>
                    <w:sz w:val="13"/>
                    <w:szCs w:val="13"/>
                  </w:rPr>
                  <w:t>3</w:t>
                </w:r>
                <w:r>
                  <w:rPr>
                    <w:rFonts w:cs="宋体"/>
                    <w:bCs/>
                    <w:sz w:val="13"/>
                    <w:szCs w:val="13"/>
                  </w:rPr>
                  <w:t>．对所有者（或股东）的分配</w:t>
                </w:r>
              </w:p>
            </w:tc>
          </w:sdtContent>
        </w:sdt>
        <w:tc>
          <w:tcPr>
            <w:tcW w:w="1067" w:type="dxa"/>
            <w:vAlign w:val="center"/>
          </w:tcPr>
          <w:p w14:paraId="0A0C5AE6" w14:textId="77777777" w:rsidR="005E000F" w:rsidRDefault="00000000">
            <w:pPr>
              <w:jc w:val="right"/>
              <w:rPr>
                <w:rFonts w:cs="宋体"/>
                <w:bCs/>
                <w:sz w:val="13"/>
                <w:szCs w:val="13"/>
              </w:rPr>
            </w:pPr>
            <w:r>
              <w:rPr>
                <w:rFonts w:hint="eastAsia"/>
                <w:sz w:val="13"/>
                <w:szCs w:val="13"/>
              </w:rPr>
              <w:t>0</w:t>
            </w:r>
          </w:p>
        </w:tc>
        <w:tc>
          <w:tcPr>
            <w:tcW w:w="289" w:type="dxa"/>
            <w:vAlign w:val="center"/>
          </w:tcPr>
          <w:p w14:paraId="1707DC95" w14:textId="77777777" w:rsidR="005E000F" w:rsidRDefault="00000000">
            <w:pPr>
              <w:jc w:val="right"/>
              <w:rPr>
                <w:sz w:val="13"/>
                <w:szCs w:val="13"/>
              </w:rPr>
            </w:pPr>
            <w:r>
              <w:rPr>
                <w:rFonts w:hint="eastAsia"/>
                <w:sz w:val="13"/>
                <w:szCs w:val="13"/>
              </w:rPr>
              <w:t>0</w:t>
            </w:r>
          </w:p>
        </w:tc>
        <w:tc>
          <w:tcPr>
            <w:tcW w:w="322" w:type="dxa"/>
            <w:vAlign w:val="center"/>
          </w:tcPr>
          <w:p w14:paraId="23A60E5B" w14:textId="77777777" w:rsidR="005E000F" w:rsidRDefault="00000000">
            <w:pPr>
              <w:jc w:val="right"/>
              <w:rPr>
                <w:sz w:val="13"/>
                <w:szCs w:val="13"/>
              </w:rPr>
            </w:pPr>
            <w:r>
              <w:rPr>
                <w:rFonts w:hint="eastAsia"/>
                <w:sz w:val="13"/>
                <w:szCs w:val="13"/>
              </w:rPr>
              <w:t>0</w:t>
            </w:r>
          </w:p>
        </w:tc>
        <w:tc>
          <w:tcPr>
            <w:tcW w:w="944" w:type="dxa"/>
            <w:vAlign w:val="center"/>
          </w:tcPr>
          <w:p w14:paraId="348184D0"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67D0EB8A" w14:textId="77777777" w:rsidR="005E000F" w:rsidRDefault="00000000">
            <w:pPr>
              <w:jc w:val="right"/>
              <w:rPr>
                <w:rFonts w:cs="宋体"/>
                <w:bCs/>
                <w:sz w:val="13"/>
                <w:szCs w:val="13"/>
              </w:rPr>
            </w:pPr>
            <w:r>
              <w:rPr>
                <w:rFonts w:hint="eastAsia"/>
                <w:sz w:val="13"/>
                <w:szCs w:val="13"/>
              </w:rPr>
              <w:t>0</w:t>
            </w:r>
          </w:p>
        </w:tc>
        <w:tc>
          <w:tcPr>
            <w:tcW w:w="911" w:type="dxa"/>
            <w:vAlign w:val="center"/>
          </w:tcPr>
          <w:p w14:paraId="54E8EE04"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06FFE3FA" w14:textId="77777777" w:rsidR="005E000F" w:rsidRDefault="00000000">
            <w:pPr>
              <w:jc w:val="right"/>
              <w:rPr>
                <w:rFonts w:cs="宋体"/>
                <w:bCs/>
                <w:sz w:val="13"/>
                <w:szCs w:val="13"/>
              </w:rPr>
            </w:pPr>
            <w:r>
              <w:rPr>
                <w:rFonts w:hint="eastAsia"/>
                <w:sz w:val="13"/>
                <w:szCs w:val="13"/>
              </w:rPr>
              <w:t>0</w:t>
            </w:r>
          </w:p>
        </w:tc>
        <w:tc>
          <w:tcPr>
            <w:tcW w:w="955" w:type="dxa"/>
            <w:vAlign w:val="center"/>
          </w:tcPr>
          <w:p w14:paraId="21D99D1A"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346CB986" w14:textId="77777777" w:rsidR="005E000F" w:rsidRDefault="00000000">
            <w:pPr>
              <w:jc w:val="right"/>
              <w:rPr>
                <w:rFonts w:cs="宋体"/>
                <w:bCs/>
                <w:sz w:val="13"/>
                <w:szCs w:val="13"/>
              </w:rPr>
            </w:pPr>
            <w:r>
              <w:rPr>
                <w:rFonts w:hint="eastAsia"/>
                <w:sz w:val="13"/>
                <w:szCs w:val="13"/>
              </w:rPr>
              <w:t>0</w:t>
            </w:r>
          </w:p>
        </w:tc>
        <w:tc>
          <w:tcPr>
            <w:tcW w:w="311" w:type="dxa"/>
            <w:vAlign w:val="center"/>
          </w:tcPr>
          <w:p w14:paraId="4A1623AB"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4E6336BB" w14:textId="77777777" w:rsidR="005E000F" w:rsidRDefault="00000000">
            <w:pPr>
              <w:snapToGrid w:val="0"/>
              <w:spacing w:line="240" w:lineRule="atLeast"/>
              <w:jc w:val="right"/>
              <w:rPr>
                <w:rFonts w:cs="宋体"/>
                <w:bCs/>
                <w:sz w:val="13"/>
                <w:szCs w:val="13"/>
              </w:rPr>
            </w:pPr>
            <w:r>
              <w:rPr>
                <w:rFonts w:cs="宋体"/>
                <w:bCs/>
                <w:sz w:val="13"/>
                <w:szCs w:val="13"/>
              </w:rPr>
              <w:t>-4,432,379,098</w:t>
            </w:r>
          </w:p>
        </w:tc>
        <w:tc>
          <w:tcPr>
            <w:tcW w:w="389" w:type="dxa"/>
            <w:vAlign w:val="center"/>
          </w:tcPr>
          <w:p w14:paraId="4F377515" w14:textId="77777777" w:rsidR="005E000F" w:rsidRDefault="005E000F">
            <w:pPr>
              <w:snapToGrid w:val="0"/>
              <w:spacing w:line="240" w:lineRule="atLeast"/>
              <w:jc w:val="right"/>
              <w:rPr>
                <w:rFonts w:cs="宋体"/>
                <w:bCs/>
                <w:sz w:val="13"/>
                <w:szCs w:val="13"/>
              </w:rPr>
            </w:pPr>
          </w:p>
        </w:tc>
        <w:tc>
          <w:tcPr>
            <w:tcW w:w="1152" w:type="dxa"/>
            <w:vAlign w:val="center"/>
          </w:tcPr>
          <w:p w14:paraId="1D93759B" w14:textId="77777777" w:rsidR="005E000F" w:rsidRDefault="00000000">
            <w:pPr>
              <w:snapToGrid w:val="0"/>
              <w:spacing w:line="240" w:lineRule="atLeast"/>
              <w:jc w:val="right"/>
              <w:rPr>
                <w:rFonts w:cs="宋体"/>
                <w:bCs/>
                <w:sz w:val="13"/>
                <w:szCs w:val="13"/>
              </w:rPr>
            </w:pPr>
            <w:r>
              <w:rPr>
                <w:rFonts w:cs="宋体"/>
                <w:bCs/>
                <w:sz w:val="13"/>
                <w:szCs w:val="13"/>
              </w:rPr>
              <w:t>-4,432,379,098</w:t>
            </w:r>
          </w:p>
        </w:tc>
        <w:tc>
          <w:tcPr>
            <w:tcW w:w="1037" w:type="dxa"/>
            <w:vAlign w:val="center"/>
          </w:tcPr>
          <w:p w14:paraId="3D138005" w14:textId="77777777" w:rsidR="005E000F" w:rsidRDefault="00000000">
            <w:pPr>
              <w:snapToGrid w:val="0"/>
              <w:spacing w:line="240" w:lineRule="atLeast"/>
              <w:jc w:val="right"/>
              <w:rPr>
                <w:rFonts w:cs="宋体"/>
                <w:bCs/>
                <w:sz w:val="13"/>
                <w:szCs w:val="13"/>
              </w:rPr>
            </w:pPr>
            <w:r>
              <w:rPr>
                <w:rFonts w:cs="宋体"/>
                <w:bCs/>
                <w:sz w:val="13"/>
                <w:szCs w:val="13"/>
              </w:rPr>
              <w:t>-668,559,878</w:t>
            </w:r>
          </w:p>
        </w:tc>
        <w:tc>
          <w:tcPr>
            <w:tcW w:w="1096" w:type="dxa"/>
            <w:vAlign w:val="center"/>
          </w:tcPr>
          <w:p w14:paraId="302308F3" w14:textId="77777777" w:rsidR="005E000F" w:rsidRDefault="00000000">
            <w:pPr>
              <w:snapToGrid w:val="0"/>
              <w:spacing w:line="240" w:lineRule="atLeast"/>
              <w:jc w:val="right"/>
              <w:rPr>
                <w:rFonts w:cs="宋体"/>
                <w:bCs/>
                <w:sz w:val="13"/>
                <w:szCs w:val="13"/>
              </w:rPr>
            </w:pPr>
            <w:r>
              <w:rPr>
                <w:rFonts w:cs="宋体"/>
                <w:bCs/>
                <w:sz w:val="13"/>
                <w:szCs w:val="13"/>
              </w:rPr>
              <w:t>-5,100,938,976</w:t>
            </w:r>
          </w:p>
        </w:tc>
      </w:tr>
      <w:tr w:rsidR="005E000F" w14:paraId="1AB69DB9" w14:textId="77777777">
        <w:sdt>
          <w:sdtPr>
            <w:rPr>
              <w:rFonts w:cs="宋体"/>
              <w:bCs/>
              <w:sz w:val="13"/>
              <w:szCs w:val="13"/>
            </w:rPr>
            <w:tag w:val="_PLD_dd87d5b565c74b3faf2e05ed9840875a"/>
            <w:id w:val="-249425170"/>
          </w:sdtPr>
          <w:sdtContent>
            <w:tc>
              <w:tcPr>
                <w:tcW w:w="1314" w:type="dxa"/>
                <w:vAlign w:val="center"/>
              </w:tcPr>
              <w:p w14:paraId="68567C29" w14:textId="77777777" w:rsidR="005E000F" w:rsidRDefault="00000000">
                <w:pPr>
                  <w:rPr>
                    <w:rFonts w:cs="宋体"/>
                    <w:bCs/>
                    <w:sz w:val="13"/>
                    <w:szCs w:val="13"/>
                  </w:rPr>
                </w:pPr>
                <w:r>
                  <w:rPr>
                    <w:rFonts w:cs="宋体"/>
                    <w:bCs/>
                    <w:sz w:val="13"/>
                    <w:szCs w:val="13"/>
                  </w:rPr>
                  <w:t>4</w:t>
                </w:r>
                <w:r>
                  <w:rPr>
                    <w:rFonts w:cs="宋体"/>
                    <w:bCs/>
                    <w:sz w:val="13"/>
                    <w:szCs w:val="13"/>
                  </w:rPr>
                  <w:t>．其他</w:t>
                </w:r>
              </w:p>
            </w:tc>
          </w:sdtContent>
        </w:sdt>
        <w:tc>
          <w:tcPr>
            <w:tcW w:w="1067" w:type="dxa"/>
            <w:vAlign w:val="center"/>
          </w:tcPr>
          <w:p w14:paraId="58E61EAA" w14:textId="77777777" w:rsidR="005E000F" w:rsidRDefault="00000000">
            <w:pPr>
              <w:jc w:val="right"/>
              <w:rPr>
                <w:rFonts w:cs="宋体"/>
                <w:bCs/>
                <w:sz w:val="13"/>
                <w:szCs w:val="13"/>
              </w:rPr>
            </w:pPr>
            <w:r>
              <w:rPr>
                <w:rFonts w:hint="eastAsia"/>
                <w:sz w:val="13"/>
                <w:szCs w:val="13"/>
              </w:rPr>
              <w:t>0</w:t>
            </w:r>
          </w:p>
        </w:tc>
        <w:tc>
          <w:tcPr>
            <w:tcW w:w="289" w:type="dxa"/>
            <w:vAlign w:val="center"/>
          </w:tcPr>
          <w:p w14:paraId="0F333D92" w14:textId="77777777" w:rsidR="005E000F" w:rsidRDefault="00000000">
            <w:pPr>
              <w:jc w:val="right"/>
              <w:rPr>
                <w:sz w:val="13"/>
                <w:szCs w:val="13"/>
              </w:rPr>
            </w:pPr>
            <w:r>
              <w:rPr>
                <w:rFonts w:hint="eastAsia"/>
                <w:sz w:val="13"/>
                <w:szCs w:val="13"/>
              </w:rPr>
              <w:t>0</w:t>
            </w:r>
          </w:p>
        </w:tc>
        <w:tc>
          <w:tcPr>
            <w:tcW w:w="322" w:type="dxa"/>
            <w:vAlign w:val="center"/>
          </w:tcPr>
          <w:p w14:paraId="3BCDCD66" w14:textId="77777777" w:rsidR="005E000F" w:rsidRDefault="00000000">
            <w:pPr>
              <w:jc w:val="right"/>
              <w:rPr>
                <w:sz w:val="13"/>
                <w:szCs w:val="13"/>
              </w:rPr>
            </w:pPr>
            <w:r>
              <w:rPr>
                <w:rFonts w:hint="eastAsia"/>
                <w:sz w:val="13"/>
                <w:szCs w:val="13"/>
              </w:rPr>
              <w:t>0</w:t>
            </w:r>
          </w:p>
        </w:tc>
        <w:tc>
          <w:tcPr>
            <w:tcW w:w="944" w:type="dxa"/>
            <w:vAlign w:val="center"/>
          </w:tcPr>
          <w:p w14:paraId="614DA735"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7B147E55" w14:textId="77777777" w:rsidR="005E000F" w:rsidRDefault="00000000">
            <w:pPr>
              <w:jc w:val="right"/>
              <w:rPr>
                <w:rFonts w:cs="宋体"/>
                <w:bCs/>
                <w:sz w:val="13"/>
                <w:szCs w:val="13"/>
              </w:rPr>
            </w:pPr>
            <w:r>
              <w:rPr>
                <w:rFonts w:hint="eastAsia"/>
                <w:sz w:val="13"/>
                <w:szCs w:val="13"/>
              </w:rPr>
              <w:t>0</w:t>
            </w:r>
          </w:p>
        </w:tc>
        <w:tc>
          <w:tcPr>
            <w:tcW w:w="911" w:type="dxa"/>
            <w:vAlign w:val="center"/>
          </w:tcPr>
          <w:p w14:paraId="5C3F7A2A"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0A3E7DB2" w14:textId="77777777" w:rsidR="005E000F" w:rsidRDefault="00000000">
            <w:pPr>
              <w:jc w:val="right"/>
              <w:rPr>
                <w:rFonts w:cs="宋体"/>
                <w:bCs/>
                <w:sz w:val="13"/>
                <w:szCs w:val="13"/>
              </w:rPr>
            </w:pPr>
            <w:r>
              <w:rPr>
                <w:rFonts w:hint="eastAsia"/>
                <w:sz w:val="13"/>
                <w:szCs w:val="13"/>
              </w:rPr>
              <w:t>0</w:t>
            </w:r>
          </w:p>
        </w:tc>
        <w:tc>
          <w:tcPr>
            <w:tcW w:w="955" w:type="dxa"/>
            <w:vAlign w:val="center"/>
          </w:tcPr>
          <w:p w14:paraId="1A68C060"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3FA8EAE2" w14:textId="77777777" w:rsidR="005E000F" w:rsidRDefault="00000000">
            <w:pPr>
              <w:jc w:val="right"/>
              <w:rPr>
                <w:rFonts w:cs="宋体"/>
                <w:bCs/>
                <w:sz w:val="13"/>
                <w:szCs w:val="13"/>
              </w:rPr>
            </w:pPr>
            <w:r>
              <w:rPr>
                <w:rFonts w:hint="eastAsia"/>
                <w:sz w:val="13"/>
                <w:szCs w:val="13"/>
              </w:rPr>
              <w:t>0</w:t>
            </w:r>
          </w:p>
        </w:tc>
        <w:tc>
          <w:tcPr>
            <w:tcW w:w="311" w:type="dxa"/>
            <w:vAlign w:val="center"/>
          </w:tcPr>
          <w:p w14:paraId="4E47A8EE"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2E28A195" w14:textId="77777777" w:rsidR="005E000F" w:rsidRDefault="00000000">
            <w:pPr>
              <w:snapToGrid w:val="0"/>
              <w:spacing w:line="240" w:lineRule="atLeast"/>
              <w:jc w:val="right"/>
              <w:rPr>
                <w:rFonts w:cs="宋体"/>
                <w:bCs/>
                <w:sz w:val="13"/>
                <w:szCs w:val="13"/>
              </w:rPr>
            </w:pPr>
            <w:r>
              <w:rPr>
                <w:rFonts w:cs="宋体"/>
                <w:bCs/>
                <w:sz w:val="13"/>
                <w:szCs w:val="13"/>
              </w:rPr>
              <w:t>186,880,703</w:t>
            </w:r>
          </w:p>
        </w:tc>
        <w:tc>
          <w:tcPr>
            <w:tcW w:w="389" w:type="dxa"/>
            <w:vAlign w:val="center"/>
          </w:tcPr>
          <w:p w14:paraId="67CB92EA" w14:textId="77777777" w:rsidR="005E000F" w:rsidRDefault="005E000F">
            <w:pPr>
              <w:snapToGrid w:val="0"/>
              <w:spacing w:line="240" w:lineRule="atLeast"/>
              <w:jc w:val="right"/>
              <w:rPr>
                <w:rFonts w:cs="宋体"/>
                <w:bCs/>
                <w:sz w:val="13"/>
                <w:szCs w:val="13"/>
              </w:rPr>
            </w:pPr>
          </w:p>
        </w:tc>
        <w:tc>
          <w:tcPr>
            <w:tcW w:w="1152" w:type="dxa"/>
            <w:vAlign w:val="center"/>
          </w:tcPr>
          <w:p w14:paraId="07D00748" w14:textId="77777777" w:rsidR="005E000F" w:rsidRDefault="00000000">
            <w:pPr>
              <w:snapToGrid w:val="0"/>
              <w:spacing w:line="240" w:lineRule="atLeast"/>
              <w:jc w:val="right"/>
              <w:rPr>
                <w:rFonts w:cs="宋体"/>
                <w:bCs/>
                <w:sz w:val="13"/>
                <w:szCs w:val="13"/>
              </w:rPr>
            </w:pPr>
            <w:r>
              <w:rPr>
                <w:rFonts w:cs="宋体"/>
                <w:bCs/>
                <w:sz w:val="13"/>
                <w:szCs w:val="13"/>
              </w:rPr>
              <w:t>186,880,703</w:t>
            </w:r>
          </w:p>
        </w:tc>
        <w:tc>
          <w:tcPr>
            <w:tcW w:w="1037" w:type="dxa"/>
            <w:vAlign w:val="center"/>
          </w:tcPr>
          <w:p w14:paraId="52B41AB0" w14:textId="77777777" w:rsidR="005E000F" w:rsidRDefault="00000000">
            <w:pPr>
              <w:snapToGrid w:val="0"/>
              <w:spacing w:line="240" w:lineRule="atLeast"/>
              <w:jc w:val="right"/>
              <w:rPr>
                <w:rFonts w:cs="宋体"/>
                <w:bCs/>
                <w:sz w:val="13"/>
                <w:szCs w:val="13"/>
              </w:rPr>
            </w:pPr>
            <w:r>
              <w:rPr>
                <w:rFonts w:cs="宋体"/>
                <w:bCs/>
                <w:sz w:val="13"/>
                <w:szCs w:val="13"/>
              </w:rPr>
              <w:t>-170,921,270</w:t>
            </w:r>
          </w:p>
        </w:tc>
        <w:tc>
          <w:tcPr>
            <w:tcW w:w="1096" w:type="dxa"/>
            <w:vAlign w:val="center"/>
          </w:tcPr>
          <w:p w14:paraId="6270C15B" w14:textId="77777777" w:rsidR="005E000F" w:rsidRDefault="00000000">
            <w:pPr>
              <w:snapToGrid w:val="0"/>
              <w:spacing w:line="240" w:lineRule="atLeast"/>
              <w:jc w:val="right"/>
              <w:rPr>
                <w:rFonts w:cs="宋体"/>
                <w:bCs/>
                <w:sz w:val="13"/>
                <w:szCs w:val="13"/>
              </w:rPr>
            </w:pPr>
            <w:r>
              <w:rPr>
                <w:rFonts w:cs="宋体"/>
                <w:bCs/>
                <w:sz w:val="13"/>
                <w:szCs w:val="13"/>
              </w:rPr>
              <w:t>15,959,433</w:t>
            </w:r>
          </w:p>
        </w:tc>
      </w:tr>
      <w:tr w:rsidR="005E000F" w14:paraId="77C8CC61" w14:textId="77777777">
        <w:sdt>
          <w:sdtPr>
            <w:rPr>
              <w:rFonts w:cs="宋体"/>
              <w:bCs/>
              <w:sz w:val="13"/>
              <w:szCs w:val="13"/>
            </w:rPr>
            <w:tag w:val="_PLD_92da940e723e49d8b19944c326b0a372"/>
            <w:id w:val="-1966720167"/>
          </w:sdtPr>
          <w:sdtContent>
            <w:tc>
              <w:tcPr>
                <w:tcW w:w="1314" w:type="dxa"/>
                <w:vAlign w:val="center"/>
              </w:tcPr>
              <w:p w14:paraId="6ACD77A1" w14:textId="77777777" w:rsidR="005E000F" w:rsidRDefault="00000000">
                <w:pPr>
                  <w:rPr>
                    <w:rFonts w:cs="宋体"/>
                    <w:bCs/>
                    <w:sz w:val="13"/>
                    <w:szCs w:val="13"/>
                  </w:rPr>
                </w:pPr>
                <w:r>
                  <w:rPr>
                    <w:rFonts w:cs="宋体"/>
                    <w:bCs/>
                    <w:sz w:val="13"/>
                    <w:szCs w:val="13"/>
                  </w:rPr>
                  <w:t>（</w:t>
                </w:r>
                <w:r>
                  <w:rPr>
                    <w:rFonts w:cs="宋体" w:hint="eastAsia"/>
                    <w:bCs/>
                    <w:sz w:val="13"/>
                    <w:szCs w:val="13"/>
                  </w:rPr>
                  <w:t>四</w:t>
                </w:r>
                <w:r>
                  <w:rPr>
                    <w:rFonts w:cs="宋体"/>
                    <w:bCs/>
                    <w:sz w:val="13"/>
                    <w:szCs w:val="13"/>
                  </w:rPr>
                  <w:t>）所有者权益</w:t>
                </w:r>
                <w:r>
                  <w:rPr>
                    <w:rFonts w:cs="宋体"/>
                    <w:bCs/>
                    <w:sz w:val="13"/>
                    <w:szCs w:val="13"/>
                  </w:rPr>
                  <w:lastRenderedPageBreak/>
                  <w:t>内部结转</w:t>
                </w:r>
              </w:p>
            </w:tc>
          </w:sdtContent>
        </w:sdt>
        <w:tc>
          <w:tcPr>
            <w:tcW w:w="1067" w:type="dxa"/>
            <w:vAlign w:val="center"/>
          </w:tcPr>
          <w:p w14:paraId="677348E2" w14:textId="77777777" w:rsidR="005E000F" w:rsidRDefault="00000000">
            <w:pPr>
              <w:jc w:val="right"/>
              <w:rPr>
                <w:rFonts w:cs="宋体"/>
                <w:bCs/>
                <w:sz w:val="13"/>
                <w:szCs w:val="13"/>
              </w:rPr>
            </w:pPr>
            <w:r>
              <w:rPr>
                <w:rFonts w:hint="eastAsia"/>
                <w:sz w:val="13"/>
                <w:szCs w:val="13"/>
              </w:rPr>
              <w:lastRenderedPageBreak/>
              <w:t>0</w:t>
            </w:r>
          </w:p>
        </w:tc>
        <w:tc>
          <w:tcPr>
            <w:tcW w:w="289" w:type="dxa"/>
            <w:vAlign w:val="center"/>
          </w:tcPr>
          <w:p w14:paraId="4CBFE76F" w14:textId="77777777" w:rsidR="005E000F" w:rsidRDefault="00000000">
            <w:pPr>
              <w:jc w:val="right"/>
              <w:rPr>
                <w:sz w:val="13"/>
                <w:szCs w:val="13"/>
              </w:rPr>
            </w:pPr>
            <w:r>
              <w:rPr>
                <w:rFonts w:hint="eastAsia"/>
                <w:sz w:val="13"/>
                <w:szCs w:val="13"/>
              </w:rPr>
              <w:t>0</w:t>
            </w:r>
          </w:p>
        </w:tc>
        <w:tc>
          <w:tcPr>
            <w:tcW w:w="322" w:type="dxa"/>
            <w:vAlign w:val="center"/>
          </w:tcPr>
          <w:p w14:paraId="791E6549" w14:textId="77777777" w:rsidR="005E000F" w:rsidRDefault="00000000">
            <w:pPr>
              <w:jc w:val="right"/>
              <w:rPr>
                <w:sz w:val="13"/>
                <w:szCs w:val="13"/>
              </w:rPr>
            </w:pPr>
            <w:r>
              <w:rPr>
                <w:rFonts w:hint="eastAsia"/>
                <w:sz w:val="13"/>
                <w:szCs w:val="13"/>
              </w:rPr>
              <w:t>0</w:t>
            </w:r>
          </w:p>
        </w:tc>
        <w:tc>
          <w:tcPr>
            <w:tcW w:w="944" w:type="dxa"/>
            <w:vAlign w:val="center"/>
          </w:tcPr>
          <w:p w14:paraId="1E20AB2A"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665337A8" w14:textId="77777777" w:rsidR="005E000F" w:rsidRDefault="00000000">
            <w:pPr>
              <w:jc w:val="right"/>
              <w:rPr>
                <w:rFonts w:cs="宋体"/>
                <w:bCs/>
                <w:sz w:val="13"/>
                <w:szCs w:val="13"/>
              </w:rPr>
            </w:pPr>
            <w:r>
              <w:rPr>
                <w:rFonts w:hint="eastAsia"/>
                <w:sz w:val="13"/>
                <w:szCs w:val="13"/>
              </w:rPr>
              <w:t>0</w:t>
            </w:r>
          </w:p>
        </w:tc>
        <w:tc>
          <w:tcPr>
            <w:tcW w:w="911" w:type="dxa"/>
            <w:vAlign w:val="center"/>
          </w:tcPr>
          <w:p w14:paraId="218B1A39"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7079CFA6" w14:textId="77777777" w:rsidR="005E000F" w:rsidRDefault="00000000">
            <w:pPr>
              <w:jc w:val="right"/>
              <w:rPr>
                <w:rFonts w:cs="宋体"/>
                <w:bCs/>
                <w:sz w:val="13"/>
                <w:szCs w:val="13"/>
              </w:rPr>
            </w:pPr>
            <w:r>
              <w:rPr>
                <w:rFonts w:hint="eastAsia"/>
                <w:sz w:val="13"/>
                <w:szCs w:val="13"/>
              </w:rPr>
              <w:t>0</w:t>
            </w:r>
          </w:p>
        </w:tc>
        <w:tc>
          <w:tcPr>
            <w:tcW w:w="955" w:type="dxa"/>
            <w:vAlign w:val="center"/>
          </w:tcPr>
          <w:p w14:paraId="0C20166F"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46094F01" w14:textId="77777777" w:rsidR="005E000F" w:rsidRDefault="00000000">
            <w:pPr>
              <w:jc w:val="right"/>
              <w:rPr>
                <w:rFonts w:cs="宋体"/>
                <w:bCs/>
                <w:sz w:val="13"/>
                <w:szCs w:val="13"/>
              </w:rPr>
            </w:pPr>
            <w:r>
              <w:rPr>
                <w:rFonts w:hint="eastAsia"/>
                <w:sz w:val="13"/>
                <w:szCs w:val="13"/>
              </w:rPr>
              <w:t>0</w:t>
            </w:r>
          </w:p>
        </w:tc>
        <w:tc>
          <w:tcPr>
            <w:tcW w:w="311" w:type="dxa"/>
            <w:vAlign w:val="center"/>
          </w:tcPr>
          <w:p w14:paraId="6E28B96B"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2B5E38D4" w14:textId="77777777" w:rsidR="005E000F" w:rsidRDefault="00000000">
            <w:pPr>
              <w:jc w:val="right"/>
              <w:rPr>
                <w:rFonts w:cs="宋体"/>
                <w:bCs/>
                <w:sz w:val="13"/>
                <w:szCs w:val="13"/>
              </w:rPr>
            </w:pPr>
            <w:r>
              <w:rPr>
                <w:rFonts w:hint="eastAsia"/>
                <w:sz w:val="13"/>
                <w:szCs w:val="13"/>
              </w:rPr>
              <w:t>0</w:t>
            </w:r>
          </w:p>
        </w:tc>
        <w:tc>
          <w:tcPr>
            <w:tcW w:w="389" w:type="dxa"/>
            <w:vAlign w:val="center"/>
          </w:tcPr>
          <w:p w14:paraId="58B6F9B3"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7E963C50"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6494C5AB"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3A700DA8" w14:textId="77777777" w:rsidR="005E000F" w:rsidRDefault="00000000">
            <w:pPr>
              <w:jc w:val="right"/>
              <w:rPr>
                <w:rFonts w:cs="宋体"/>
                <w:bCs/>
                <w:sz w:val="13"/>
                <w:szCs w:val="13"/>
              </w:rPr>
            </w:pPr>
            <w:r>
              <w:rPr>
                <w:rFonts w:hint="eastAsia"/>
                <w:sz w:val="13"/>
                <w:szCs w:val="13"/>
              </w:rPr>
              <w:t>0</w:t>
            </w:r>
          </w:p>
        </w:tc>
      </w:tr>
      <w:tr w:rsidR="005E000F" w14:paraId="48FE0994" w14:textId="77777777">
        <w:sdt>
          <w:sdtPr>
            <w:rPr>
              <w:rFonts w:cs="宋体"/>
              <w:bCs/>
              <w:sz w:val="13"/>
              <w:szCs w:val="13"/>
            </w:rPr>
            <w:tag w:val="_PLD_88fb253c66e143fa8d6fda4d400657ec"/>
            <w:id w:val="682551579"/>
          </w:sdtPr>
          <w:sdtContent>
            <w:tc>
              <w:tcPr>
                <w:tcW w:w="1314" w:type="dxa"/>
                <w:vAlign w:val="center"/>
              </w:tcPr>
              <w:p w14:paraId="6D55AA15" w14:textId="77777777" w:rsidR="005E000F" w:rsidRDefault="00000000">
                <w:pPr>
                  <w:rPr>
                    <w:rFonts w:cs="宋体"/>
                    <w:bCs/>
                    <w:sz w:val="13"/>
                    <w:szCs w:val="13"/>
                  </w:rPr>
                </w:pPr>
                <w:r>
                  <w:rPr>
                    <w:rFonts w:cs="宋体"/>
                    <w:bCs/>
                    <w:sz w:val="13"/>
                    <w:szCs w:val="13"/>
                  </w:rPr>
                  <w:t>1</w:t>
                </w:r>
                <w:r>
                  <w:rPr>
                    <w:rFonts w:cs="宋体"/>
                    <w:bCs/>
                    <w:sz w:val="13"/>
                    <w:szCs w:val="13"/>
                  </w:rPr>
                  <w:t>．资本公积转增资本（或股本）</w:t>
                </w:r>
              </w:p>
            </w:tc>
          </w:sdtContent>
        </w:sdt>
        <w:tc>
          <w:tcPr>
            <w:tcW w:w="1067" w:type="dxa"/>
            <w:vAlign w:val="center"/>
          </w:tcPr>
          <w:p w14:paraId="0A6AE9C8" w14:textId="77777777" w:rsidR="005E000F" w:rsidRDefault="00000000">
            <w:pPr>
              <w:jc w:val="right"/>
              <w:rPr>
                <w:rFonts w:cs="宋体"/>
                <w:bCs/>
                <w:sz w:val="13"/>
                <w:szCs w:val="13"/>
              </w:rPr>
            </w:pPr>
            <w:r>
              <w:rPr>
                <w:rFonts w:hint="eastAsia"/>
                <w:sz w:val="13"/>
                <w:szCs w:val="13"/>
              </w:rPr>
              <w:t>0</w:t>
            </w:r>
          </w:p>
        </w:tc>
        <w:tc>
          <w:tcPr>
            <w:tcW w:w="289" w:type="dxa"/>
            <w:vAlign w:val="center"/>
          </w:tcPr>
          <w:p w14:paraId="429764C3" w14:textId="77777777" w:rsidR="005E000F" w:rsidRDefault="00000000">
            <w:pPr>
              <w:jc w:val="right"/>
              <w:rPr>
                <w:sz w:val="13"/>
                <w:szCs w:val="13"/>
              </w:rPr>
            </w:pPr>
            <w:r>
              <w:rPr>
                <w:rFonts w:hint="eastAsia"/>
                <w:sz w:val="13"/>
                <w:szCs w:val="13"/>
              </w:rPr>
              <w:t>0</w:t>
            </w:r>
          </w:p>
        </w:tc>
        <w:tc>
          <w:tcPr>
            <w:tcW w:w="322" w:type="dxa"/>
            <w:vAlign w:val="center"/>
          </w:tcPr>
          <w:p w14:paraId="45017524" w14:textId="77777777" w:rsidR="005E000F" w:rsidRDefault="00000000">
            <w:pPr>
              <w:jc w:val="right"/>
              <w:rPr>
                <w:sz w:val="13"/>
                <w:szCs w:val="13"/>
              </w:rPr>
            </w:pPr>
            <w:r>
              <w:rPr>
                <w:rFonts w:hint="eastAsia"/>
                <w:sz w:val="13"/>
                <w:szCs w:val="13"/>
              </w:rPr>
              <w:t>0</w:t>
            </w:r>
          </w:p>
        </w:tc>
        <w:tc>
          <w:tcPr>
            <w:tcW w:w="944" w:type="dxa"/>
            <w:vAlign w:val="center"/>
          </w:tcPr>
          <w:p w14:paraId="63F7B9EC"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31A47664" w14:textId="77777777" w:rsidR="005E000F" w:rsidRDefault="00000000">
            <w:pPr>
              <w:jc w:val="right"/>
              <w:rPr>
                <w:rFonts w:cs="宋体"/>
                <w:bCs/>
                <w:sz w:val="13"/>
                <w:szCs w:val="13"/>
              </w:rPr>
            </w:pPr>
            <w:r>
              <w:rPr>
                <w:rFonts w:hint="eastAsia"/>
                <w:sz w:val="13"/>
                <w:szCs w:val="13"/>
              </w:rPr>
              <w:t>0</w:t>
            </w:r>
          </w:p>
        </w:tc>
        <w:tc>
          <w:tcPr>
            <w:tcW w:w="911" w:type="dxa"/>
            <w:vAlign w:val="center"/>
          </w:tcPr>
          <w:p w14:paraId="0D5EA423"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02CB82F9" w14:textId="77777777" w:rsidR="005E000F" w:rsidRDefault="00000000">
            <w:pPr>
              <w:jc w:val="right"/>
              <w:rPr>
                <w:rFonts w:cs="宋体"/>
                <w:bCs/>
                <w:sz w:val="13"/>
                <w:szCs w:val="13"/>
              </w:rPr>
            </w:pPr>
            <w:r>
              <w:rPr>
                <w:rFonts w:hint="eastAsia"/>
                <w:sz w:val="13"/>
                <w:szCs w:val="13"/>
              </w:rPr>
              <w:t>0</w:t>
            </w:r>
          </w:p>
        </w:tc>
        <w:tc>
          <w:tcPr>
            <w:tcW w:w="955" w:type="dxa"/>
            <w:vAlign w:val="center"/>
          </w:tcPr>
          <w:p w14:paraId="546C3D08"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576E4D0D" w14:textId="77777777" w:rsidR="005E000F" w:rsidRDefault="00000000">
            <w:pPr>
              <w:jc w:val="right"/>
              <w:rPr>
                <w:rFonts w:cs="宋体"/>
                <w:bCs/>
                <w:sz w:val="13"/>
                <w:szCs w:val="13"/>
              </w:rPr>
            </w:pPr>
            <w:r>
              <w:rPr>
                <w:rFonts w:hint="eastAsia"/>
                <w:sz w:val="13"/>
                <w:szCs w:val="13"/>
              </w:rPr>
              <w:t>0</w:t>
            </w:r>
          </w:p>
        </w:tc>
        <w:tc>
          <w:tcPr>
            <w:tcW w:w="311" w:type="dxa"/>
            <w:vAlign w:val="center"/>
          </w:tcPr>
          <w:p w14:paraId="3D8EC0D7"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2888DF22" w14:textId="77777777" w:rsidR="005E000F" w:rsidRDefault="00000000">
            <w:pPr>
              <w:jc w:val="right"/>
              <w:rPr>
                <w:rFonts w:cs="宋体"/>
                <w:bCs/>
                <w:sz w:val="13"/>
                <w:szCs w:val="13"/>
              </w:rPr>
            </w:pPr>
            <w:r>
              <w:rPr>
                <w:rFonts w:hint="eastAsia"/>
                <w:sz w:val="13"/>
                <w:szCs w:val="13"/>
              </w:rPr>
              <w:t>0</w:t>
            </w:r>
          </w:p>
        </w:tc>
        <w:tc>
          <w:tcPr>
            <w:tcW w:w="389" w:type="dxa"/>
            <w:vAlign w:val="center"/>
          </w:tcPr>
          <w:p w14:paraId="25E4EBD4"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5A37DAA3"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2BCB8904"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3A542436" w14:textId="77777777" w:rsidR="005E000F" w:rsidRDefault="00000000">
            <w:pPr>
              <w:jc w:val="right"/>
              <w:rPr>
                <w:rFonts w:cs="宋体"/>
                <w:bCs/>
                <w:sz w:val="13"/>
                <w:szCs w:val="13"/>
              </w:rPr>
            </w:pPr>
            <w:r>
              <w:rPr>
                <w:rFonts w:hint="eastAsia"/>
                <w:sz w:val="13"/>
                <w:szCs w:val="13"/>
              </w:rPr>
              <w:t>0</w:t>
            </w:r>
          </w:p>
        </w:tc>
      </w:tr>
      <w:tr w:rsidR="005E000F" w14:paraId="362074F5" w14:textId="77777777">
        <w:sdt>
          <w:sdtPr>
            <w:rPr>
              <w:rFonts w:cs="宋体"/>
              <w:bCs/>
              <w:sz w:val="13"/>
              <w:szCs w:val="13"/>
            </w:rPr>
            <w:tag w:val="_PLD_15cc23aa9ca343c08333ba7ee1b1325c"/>
            <w:id w:val="513189687"/>
          </w:sdtPr>
          <w:sdtContent>
            <w:tc>
              <w:tcPr>
                <w:tcW w:w="1314" w:type="dxa"/>
                <w:vAlign w:val="center"/>
              </w:tcPr>
              <w:p w14:paraId="54C24410" w14:textId="77777777" w:rsidR="005E000F" w:rsidRDefault="00000000">
                <w:pPr>
                  <w:rPr>
                    <w:rFonts w:cs="宋体"/>
                    <w:bCs/>
                    <w:sz w:val="13"/>
                    <w:szCs w:val="13"/>
                  </w:rPr>
                </w:pPr>
                <w:r>
                  <w:rPr>
                    <w:rFonts w:cs="宋体"/>
                    <w:bCs/>
                    <w:sz w:val="13"/>
                    <w:szCs w:val="13"/>
                  </w:rPr>
                  <w:t>2</w:t>
                </w:r>
                <w:r>
                  <w:rPr>
                    <w:rFonts w:cs="宋体"/>
                    <w:bCs/>
                    <w:sz w:val="13"/>
                    <w:szCs w:val="13"/>
                  </w:rPr>
                  <w:t>．盈余公积转增资本（或股本）</w:t>
                </w:r>
              </w:p>
            </w:tc>
          </w:sdtContent>
        </w:sdt>
        <w:tc>
          <w:tcPr>
            <w:tcW w:w="1067" w:type="dxa"/>
            <w:vAlign w:val="center"/>
          </w:tcPr>
          <w:p w14:paraId="3BB9F6B9" w14:textId="77777777" w:rsidR="005E000F" w:rsidRDefault="00000000">
            <w:pPr>
              <w:jc w:val="right"/>
              <w:rPr>
                <w:rFonts w:cs="宋体"/>
                <w:bCs/>
                <w:sz w:val="13"/>
                <w:szCs w:val="13"/>
              </w:rPr>
            </w:pPr>
            <w:r>
              <w:rPr>
                <w:rFonts w:hint="eastAsia"/>
                <w:sz w:val="13"/>
                <w:szCs w:val="13"/>
              </w:rPr>
              <w:t>0</w:t>
            </w:r>
          </w:p>
        </w:tc>
        <w:tc>
          <w:tcPr>
            <w:tcW w:w="289" w:type="dxa"/>
            <w:vAlign w:val="center"/>
          </w:tcPr>
          <w:p w14:paraId="683AFA09" w14:textId="77777777" w:rsidR="005E000F" w:rsidRDefault="00000000">
            <w:pPr>
              <w:jc w:val="right"/>
              <w:rPr>
                <w:sz w:val="13"/>
                <w:szCs w:val="13"/>
              </w:rPr>
            </w:pPr>
            <w:r>
              <w:rPr>
                <w:rFonts w:hint="eastAsia"/>
                <w:sz w:val="13"/>
                <w:szCs w:val="13"/>
              </w:rPr>
              <w:t>0</w:t>
            </w:r>
          </w:p>
        </w:tc>
        <w:tc>
          <w:tcPr>
            <w:tcW w:w="322" w:type="dxa"/>
            <w:vAlign w:val="center"/>
          </w:tcPr>
          <w:p w14:paraId="39971B83" w14:textId="77777777" w:rsidR="005E000F" w:rsidRDefault="00000000">
            <w:pPr>
              <w:jc w:val="right"/>
              <w:rPr>
                <w:sz w:val="13"/>
                <w:szCs w:val="13"/>
              </w:rPr>
            </w:pPr>
            <w:r>
              <w:rPr>
                <w:rFonts w:hint="eastAsia"/>
                <w:sz w:val="13"/>
                <w:szCs w:val="13"/>
              </w:rPr>
              <w:t>0</w:t>
            </w:r>
          </w:p>
        </w:tc>
        <w:tc>
          <w:tcPr>
            <w:tcW w:w="944" w:type="dxa"/>
            <w:vAlign w:val="center"/>
          </w:tcPr>
          <w:p w14:paraId="75074E2C"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344EE92B" w14:textId="77777777" w:rsidR="005E000F" w:rsidRDefault="00000000">
            <w:pPr>
              <w:jc w:val="right"/>
              <w:rPr>
                <w:rFonts w:cs="宋体"/>
                <w:bCs/>
                <w:sz w:val="13"/>
                <w:szCs w:val="13"/>
              </w:rPr>
            </w:pPr>
            <w:r>
              <w:rPr>
                <w:rFonts w:hint="eastAsia"/>
                <w:sz w:val="13"/>
                <w:szCs w:val="13"/>
              </w:rPr>
              <w:t>0</w:t>
            </w:r>
          </w:p>
        </w:tc>
        <w:tc>
          <w:tcPr>
            <w:tcW w:w="911" w:type="dxa"/>
            <w:vAlign w:val="center"/>
          </w:tcPr>
          <w:p w14:paraId="5253E1C6"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770949E2" w14:textId="77777777" w:rsidR="005E000F" w:rsidRDefault="00000000">
            <w:pPr>
              <w:jc w:val="right"/>
              <w:rPr>
                <w:rFonts w:cs="宋体"/>
                <w:bCs/>
                <w:sz w:val="13"/>
                <w:szCs w:val="13"/>
              </w:rPr>
            </w:pPr>
            <w:r>
              <w:rPr>
                <w:rFonts w:hint="eastAsia"/>
                <w:sz w:val="13"/>
                <w:szCs w:val="13"/>
              </w:rPr>
              <w:t>0</w:t>
            </w:r>
          </w:p>
        </w:tc>
        <w:tc>
          <w:tcPr>
            <w:tcW w:w="955" w:type="dxa"/>
            <w:vAlign w:val="center"/>
          </w:tcPr>
          <w:p w14:paraId="3A6464F4"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3881B63D" w14:textId="77777777" w:rsidR="005E000F" w:rsidRDefault="00000000">
            <w:pPr>
              <w:jc w:val="right"/>
              <w:rPr>
                <w:rFonts w:cs="宋体"/>
                <w:bCs/>
                <w:sz w:val="13"/>
                <w:szCs w:val="13"/>
              </w:rPr>
            </w:pPr>
            <w:r>
              <w:rPr>
                <w:rFonts w:hint="eastAsia"/>
                <w:sz w:val="13"/>
                <w:szCs w:val="13"/>
              </w:rPr>
              <w:t>0</w:t>
            </w:r>
          </w:p>
        </w:tc>
        <w:tc>
          <w:tcPr>
            <w:tcW w:w="311" w:type="dxa"/>
            <w:vAlign w:val="center"/>
          </w:tcPr>
          <w:p w14:paraId="63391494"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1FD76A7A" w14:textId="77777777" w:rsidR="005E000F" w:rsidRDefault="00000000">
            <w:pPr>
              <w:jc w:val="right"/>
              <w:rPr>
                <w:rFonts w:cs="宋体"/>
                <w:bCs/>
                <w:sz w:val="13"/>
                <w:szCs w:val="13"/>
              </w:rPr>
            </w:pPr>
            <w:r>
              <w:rPr>
                <w:rFonts w:hint="eastAsia"/>
                <w:sz w:val="13"/>
                <w:szCs w:val="13"/>
              </w:rPr>
              <w:t>0</w:t>
            </w:r>
          </w:p>
        </w:tc>
        <w:tc>
          <w:tcPr>
            <w:tcW w:w="389" w:type="dxa"/>
            <w:vAlign w:val="center"/>
          </w:tcPr>
          <w:p w14:paraId="261C95B3"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31A7C387"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0C04E12C"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323F0145" w14:textId="77777777" w:rsidR="005E000F" w:rsidRDefault="00000000">
            <w:pPr>
              <w:jc w:val="right"/>
              <w:rPr>
                <w:rFonts w:cs="宋体"/>
                <w:bCs/>
                <w:sz w:val="13"/>
                <w:szCs w:val="13"/>
              </w:rPr>
            </w:pPr>
            <w:r>
              <w:rPr>
                <w:rFonts w:hint="eastAsia"/>
                <w:sz w:val="13"/>
                <w:szCs w:val="13"/>
              </w:rPr>
              <w:t>0</w:t>
            </w:r>
          </w:p>
        </w:tc>
      </w:tr>
      <w:tr w:rsidR="005E000F" w14:paraId="6A43B7AD" w14:textId="77777777">
        <w:sdt>
          <w:sdtPr>
            <w:rPr>
              <w:rFonts w:cs="宋体"/>
              <w:bCs/>
              <w:sz w:val="13"/>
              <w:szCs w:val="13"/>
            </w:rPr>
            <w:tag w:val="_PLD_9db953ff4eb242bd9b2d516481ce5c51"/>
            <w:id w:val="1079632940"/>
          </w:sdtPr>
          <w:sdtContent>
            <w:tc>
              <w:tcPr>
                <w:tcW w:w="1314" w:type="dxa"/>
                <w:vAlign w:val="center"/>
              </w:tcPr>
              <w:p w14:paraId="16339A05" w14:textId="77777777" w:rsidR="005E000F" w:rsidRDefault="00000000">
                <w:pPr>
                  <w:rPr>
                    <w:rFonts w:cs="宋体"/>
                    <w:bCs/>
                    <w:sz w:val="13"/>
                    <w:szCs w:val="13"/>
                  </w:rPr>
                </w:pPr>
                <w:r>
                  <w:rPr>
                    <w:rFonts w:cs="宋体"/>
                    <w:bCs/>
                    <w:sz w:val="13"/>
                    <w:szCs w:val="13"/>
                  </w:rPr>
                  <w:t>3</w:t>
                </w:r>
                <w:r>
                  <w:rPr>
                    <w:rFonts w:cs="宋体"/>
                    <w:bCs/>
                    <w:sz w:val="13"/>
                    <w:szCs w:val="13"/>
                  </w:rPr>
                  <w:t>．盈余公积弥补亏损</w:t>
                </w:r>
              </w:p>
            </w:tc>
          </w:sdtContent>
        </w:sdt>
        <w:tc>
          <w:tcPr>
            <w:tcW w:w="1067" w:type="dxa"/>
            <w:vAlign w:val="center"/>
          </w:tcPr>
          <w:p w14:paraId="54A88270" w14:textId="77777777" w:rsidR="005E000F" w:rsidRDefault="00000000">
            <w:pPr>
              <w:jc w:val="right"/>
              <w:rPr>
                <w:rFonts w:cs="宋体"/>
                <w:bCs/>
                <w:sz w:val="13"/>
                <w:szCs w:val="13"/>
              </w:rPr>
            </w:pPr>
            <w:r>
              <w:rPr>
                <w:rFonts w:hint="eastAsia"/>
                <w:sz w:val="13"/>
                <w:szCs w:val="13"/>
              </w:rPr>
              <w:t>0</w:t>
            </w:r>
          </w:p>
        </w:tc>
        <w:tc>
          <w:tcPr>
            <w:tcW w:w="289" w:type="dxa"/>
            <w:vAlign w:val="center"/>
          </w:tcPr>
          <w:p w14:paraId="5FA0ED9C" w14:textId="77777777" w:rsidR="005E000F" w:rsidRDefault="00000000">
            <w:pPr>
              <w:jc w:val="right"/>
              <w:rPr>
                <w:sz w:val="13"/>
                <w:szCs w:val="13"/>
              </w:rPr>
            </w:pPr>
            <w:r>
              <w:rPr>
                <w:rFonts w:hint="eastAsia"/>
                <w:sz w:val="13"/>
                <w:szCs w:val="13"/>
              </w:rPr>
              <w:t>0</w:t>
            </w:r>
          </w:p>
        </w:tc>
        <w:tc>
          <w:tcPr>
            <w:tcW w:w="322" w:type="dxa"/>
            <w:vAlign w:val="center"/>
          </w:tcPr>
          <w:p w14:paraId="3BC85B3B" w14:textId="77777777" w:rsidR="005E000F" w:rsidRDefault="00000000">
            <w:pPr>
              <w:jc w:val="right"/>
              <w:rPr>
                <w:sz w:val="13"/>
                <w:szCs w:val="13"/>
              </w:rPr>
            </w:pPr>
            <w:r>
              <w:rPr>
                <w:rFonts w:hint="eastAsia"/>
                <w:sz w:val="13"/>
                <w:szCs w:val="13"/>
              </w:rPr>
              <w:t>0</w:t>
            </w:r>
          </w:p>
        </w:tc>
        <w:tc>
          <w:tcPr>
            <w:tcW w:w="944" w:type="dxa"/>
            <w:vAlign w:val="center"/>
          </w:tcPr>
          <w:p w14:paraId="1060ACF2"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67D77077" w14:textId="77777777" w:rsidR="005E000F" w:rsidRDefault="00000000">
            <w:pPr>
              <w:jc w:val="right"/>
              <w:rPr>
                <w:rFonts w:cs="宋体"/>
                <w:bCs/>
                <w:sz w:val="13"/>
                <w:szCs w:val="13"/>
              </w:rPr>
            </w:pPr>
            <w:r>
              <w:rPr>
                <w:rFonts w:hint="eastAsia"/>
                <w:sz w:val="13"/>
                <w:szCs w:val="13"/>
              </w:rPr>
              <w:t>0</w:t>
            </w:r>
          </w:p>
        </w:tc>
        <w:tc>
          <w:tcPr>
            <w:tcW w:w="911" w:type="dxa"/>
            <w:vAlign w:val="center"/>
          </w:tcPr>
          <w:p w14:paraId="4F027A0B"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2D10D8A8" w14:textId="77777777" w:rsidR="005E000F" w:rsidRDefault="00000000">
            <w:pPr>
              <w:jc w:val="right"/>
              <w:rPr>
                <w:rFonts w:cs="宋体"/>
                <w:bCs/>
                <w:sz w:val="13"/>
                <w:szCs w:val="13"/>
              </w:rPr>
            </w:pPr>
            <w:r>
              <w:rPr>
                <w:rFonts w:hint="eastAsia"/>
                <w:sz w:val="13"/>
                <w:szCs w:val="13"/>
              </w:rPr>
              <w:t>0</w:t>
            </w:r>
          </w:p>
        </w:tc>
        <w:tc>
          <w:tcPr>
            <w:tcW w:w="955" w:type="dxa"/>
            <w:vAlign w:val="center"/>
          </w:tcPr>
          <w:p w14:paraId="7A5464A4"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12A5EFF3" w14:textId="77777777" w:rsidR="005E000F" w:rsidRDefault="00000000">
            <w:pPr>
              <w:jc w:val="right"/>
              <w:rPr>
                <w:rFonts w:cs="宋体"/>
                <w:bCs/>
                <w:sz w:val="13"/>
                <w:szCs w:val="13"/>
              </w:rPr>
            </w:pPr>
            <w:r>
              <w:rPr>
                <w:rFonts w:hint="eastAsia"/>
                <w:sz w:val="13"/>
                <w:szCs w:val="13"/>
              </w:rPr>
              <w:t>0</w:t>
            </w:r>
          </w:p>
        </w:tc>
        <w:tc>
          <w:tcPr>
            <w:tcW w:w="311" w:type="dxa"/>
            <w:vAlign w:val="center"/>
          </w:tcPr>
          <w:p w14:paraId="02F3073C"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406946FD" w14:textId="77777777" w:rsidR="005E000F" w:rsidRDefault="00000000">
            <w:pPr>
              <w:jc w:val="right"/>
              <w:rPr>
                <w:rFonts w:cs="宋体"/>
                <w:bCs/>
                <w:sz w:val="13"/>
                <w:szCs w:val="13"/>
              </w:rPr>
            </w:pPr>
            <w:r>
              <w:rPr>
                <w:rFonts w:hint="eastAsia"/>
                <w:sz w:val="13"/>
                <w:szCs w:val="13"/>
              </w:rPr>
              <w:t>0</w:t>
            </w:r>
          </w:p>
        </w:tc>
        <w:tc>
          <w:tcPr>
            <w:tcW w:w="389" w:type="dxa"/>
            <w:vAlign w:val="center"/>
          </w:tcPr>
          <w:p w14:paraId="21D5289D"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0983CB35"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20175E43"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3B87F80C" w14:textId="77777777" w:rsidR="005E000F" w:rsidRDefault="00000000">
            <w:pPr>
              <w:jc w:val="right"/>
              <w:rPr>
                <w:rFonts w:cs="宋体"/>
                <w:bCs/>
                <w:sz w:val="13"/>
                <w:szCs w:val="13"/>
              </w:rPr>
            </w:pPr>
            <w:r>
              <w:rPr>
                <w:rFonts w:hint="eastAsia"/>
                <w:sz w:val="13"/>
                <w:szCs w:val="13"/>
              </w:rPr>
              <w:t>0</w:t>
            </w:r>
          </w:p>
        </w:tc>
      </w:tr>
      <w:tr w:rsidR="005E000F" w14:paraId="7864577C" w14:textId="77777777">
        <w:tc>
          <w:tcPr>
            <w:tcW w:w="1314" w:type="dxa"/>
            <w:vAlign w:val="center"/>
          </w:tcPr>
          <w:sdt>
            <w:sdtPr>
              <w:rPr>
                <w:rFonts w:cs="宋体"/>
                <w:bCs/>
                <w:sz w:val="13"/>
                <w:szCs w:val="13"/>
              </w:rPr>
              <w:tag w:val="_PLD_4cff15a1162840c480701077d824f063"/>
              <w:id w:val="-396975558"/>
            </w:sdtPr>
            <w:sdtContent>
              <w:p w14:paraId="42EA6773" w14:textId="77777777" w:rsidR="005E000F" w:rsidRDefault="00000000">
                <w:pPr>
                  <w:rPr>
                    <w:rFonts w:cs="宋体"/>
                    <w:bCs/>
                    <w:sz w:val="13"/>
                    <w:szCs w:val="13"/>
                  </w:rPr>
                </w:pPr>
                <w:r>
                  <w:rPr>
                    <w:rFonts w:cs="宋体"/>
                    <w:bCs/>
                    <w:sz w:val="13"/>
                    <w:szCs w:val="13"/>
                  </w:rPr>
                  <w:t>4</w:t>
                </w:r>
                <w:r>
                  <w:rPr>
                    <w:rFonts w:cs="宋体"/>
                    <w:bCs/>
                    <w:sz w:val="13"/>
                    <w:szCs w:val="13"/>
                  </w:rPr>
                  <w:t>．设定受益计划变动额结转留存收益</w:t>
                </w:r>
              </w:p>
            </w:sdtContent>
          </w:sdt>
        </w:tc>
        <w:tc>
          <w:tcPr>
            <w:tcW w:w="1067" w:type="dxa"/>
            <w:vAlign w:val="center"/>
          </w:tcPr>
          <w:p w14:paraId="358F8D6E" w14:textId="77777777" w:rsidR="005E000F" w:rsidRDefault="00000000">
            <w:pPr>
              <w:jc w:val="right"/>
              <w:rPr>
                <w:rFonts w:cs="宋体"/>
                <w:bCs/>
                <w:sz w:val="13"/>
                <w:szCs w:val="13"/>
              </w:rPr>
            </w:pPr>
            <w:r>
              <w:rPr>
                <w:rFonts w:hint="eastAsia"/>
                <w:sz w:val="13"/>
                <w:szCs w:val="13"/>
              </w:rPr>
              <w:t>0</w:t>
            </w:r>
          </w:p>
        </w:tc>
        <w:tc>
          <w:tcPr>
            <w:tcW w:w="289" w:type="dxa"/>
            <w:vAlign w:val="center"/>
          </w:tcPr>
          <w:p w14:paraId="5F3188F4" w14:textId="77777777" w:rsidR="005E000F" w:rsidRDefault="00000000">
            <w:pPr>
              <w:jc w:val="right"/>
              <w:rPr>
                <w:sz w:val="13"/>
                <w:szCs w:val="13"/>
              </w:rPr>
            </w:pPr>
            <w:r>
              <w:rPr>
                <w:rFonts w:hint="eastAsia"/>
                <w:sz w:val="13"/>
                <w:szCs w:val="13"/>
              </w:rPr>
              <w:t>0</w:t>
            </w:r>
          </w:p>
        </w:tc>
        <w:tc>
          <w:tcPr>
            <w:tcW w:w="322" w:type="dxa"/>
            <w:vAlign w:val="center"/>
          </w:tcPr>
          <w:p w14:paraId="0A5FEA3C" w14:textId="77777777" w:rsidR="005E000F" w:rsidRDefault="00000000">
            <w:pPr>
              <w:jc w:val="right"/>
              <w:rPr>
                <w:sz w:val="13"/>
                <w:szCs w:val="13"/>
              </w:rPr>
            </w:pPr>
            <w:r>
              <w:rPr>
                <w:rFonts w:hint="eastAsia"/>
                <w:sz w:val="13"/>
                <w:szCs w:val="13"/>
              </w:rPr>
              <w:t>0</w:t>
            </w:r>
          </w:p>
        </w:tc>
        <w:tc>
          <w:tcPr>
            <w:tcW w:w="944" w:type="dxa"/>
            <w:vAlign w:val="center"/>
          </w:tcPr>
          <w:p w14:paraId="1CA9C15D"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376BBDCA" w14:textId="77777777" w:rsidR="005E000F" w:rsidRDefault="00000000">
            <w:pPr>
              <w:jc w:val="right"/>
              <w:rPr>
                <w:rFonts w:cs="宋体"/>
                <w:bCs/>
                <w:sz w:val="13"/>
                <w:szCs w:val="13"/>
              </w:rPr>
            </w:pPr>
            <w:r>
              <w:rPr>
                <w:rFonts w:hint="eastAsia"/>
                <w:sz w:val="13"/>
                <w:szCs w:val="13"/>
              </w:rPr>
              <w:t>0</w:t>
            </w:r>
          </w:p>
        </w:tc>
        <w:tc>
          <w:tcPr>
            <w:tcW w:w="911" w:type="dxa"/>
            <w:vAlign w:val="center"/>
          </w:tcPr>
          <w:p w14:paraId="3B5CC048"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70495216" w14:textId="77777777" w:rsidR="005E000F" w:rsidRDefault="00000000">
            <w:pPr>
              <w:jc w:val="right"/>
              <w:rPr>
                <w:rFonts w:cs="宋体"/>
                <w:bCs/>
                <w:sz w:val="13"/>
                <w:szCs w:val="13"/>
              </w:rPr>
            </w:pPr>
            <w:r>
              <w:rPr>
                <w:rFonts w:hint="eastAsia"/>
                <w:sz w:val="13"/>
                <w:szCs w:val="13"/>
              </w:rPr>
              <w:t>0</w:t>
            </w:r>
          </w:p>
        </w:tc>
        <w:tc>
          <w:tcPr>
            <w:tcW w:w="955" w:type="dxa"/>
            <w:vAlign w:val="center"/>
          </w:tcPr>
          <w:p w14:paraId="47DEFE38"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50CB774B" w14:textId="77777777" w:rsidR="005E000F" w:rsidRDefault="00000000">
            <w:pPr>
              <w:jc w:val="right"/>
              <w:rPr>
                <w:rFonts w:cs="宋体"/>
                <w:bCs/>
                <w:sz w:val="13"/>
                <w:szCs w:val="13"/>
              </w:rPr>
            </w:pPr>
            <w:r>
              <w:rPr>
                <w:rFonts w:hint="eastAsia"/>
                <w:sz w:val="13"/>
                <w:szCs w:val="13"/>
              </w:rPr>
              <w:t>0</w:t>
            </w:r>
          </w:p>
        </w:tc>
        <w:tc>
          <w:tcPr>
            <w:tcW w:w="311" w:type="dxa"/>
            <w:vAlign w:val="center"/>
          </w:tcPr>
          <w:p w14:paraId="28AC66FE"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78F7E394" w14:textId="77777777" w:rsidR="005E000F" w:rsidRDefault="00000000">
            <w:pPr>
              <w:jc w:val="right"/>
              <w:rPr>
                <w:rFonts w:cs="宋体"/>
                <w:bCs/>
                <w:sz w:val="13"/>
                <w:szCs w:val="13"/>
              </w:rPr>
            </w:pPr>
            <w:r>
              <w:rPr>
                <w:rFonts w:hint="eastAsia"/>
                <w:sz w:val="13"/>
                <w:szCs w:val="13"/>
              </w:rPr>
              <w:t>0</w:t>
            </w:r>
          </w:p>
        </w:tc>
        <w:tc>
          <w:tcPr>
            <w:tcW w:w="389" w:type="dxa"/>
            <w:vAlign w:val="center"/>
          </w:tcPr>
          <w:p w14:paraId="58E2A5A4"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09F96E9B"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4114E49C"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59930644" w14:textId="77777777" w:rsidR="005E000F" w:rsidRDefault="00000000">
            <w:pPr>
              <w:jc w:val="right"/>
              <w:rPr>
                <w:rFonts w:cs="宋体"/>
                <w:bCs/>
                <w:sz w:val="13"/>
                <w:szCs w:val="13"/>
              </w:rPr>
            </w:pPr>
            <w:r>
              <w:rPr>
                <w:rFonts w:hint="eastAsia"/>
                <w:sz w:val="13"/>
                <w:szCs w:val="13"/>
              </w:rPr>
              <w:t>0</w:t>
            </w:r>
          </w:p>
        </w:tc>
      </w:tr>
      <w:tr w:rsidR="005E000F" w14:paraId="0D333508" w14:textId="77777777">
        <w:tc>
          <w:tcPr>
            <w:tcW w:w="1314" w:type="dxa"/>
            <w:vAlign w:val="center"/>
          </w:tcPr>
          <w:sdt>
            <w:sdtPr>
              <w:rPr>
                <w:rFonts w:cs="宋体"/>
                <w:bCs/>
                <w:sz w:val="13"/>
                <w:szCs w:val="13"/>
              </w:rPr>
              <w:tag w:val="_PLD_01b44dab85214948b610b65ce91a85dd"/>
              <w:id w:val="-567038904"/>
            </w:sdtPr>
            <w:sdtContent>
              <w:p w14:paraId="3C7D28C2" w14:textId="77777777" w:rsidR="005E000F" w:rsidRDefault="00000000">
                <w:pPr>
                  <w:rPr>
                    <w:rFonts w:cs="宋体"/>
                    <w:bCs/>
                    <w:sz w:val="13"/>
                    <w:szCs w:val="13"/>
                  </w:rPr>
                </w:pPr>
                <w:r>
                  <w:rPr>
                    <w:rFonts w:cs="宋体"/>
                    <w:bCs/>
                    <w:sz w:val="13"/>
                    <w:szCs w:val="13"/>
                  </w:rPr>
                  <w:t>5</w:t>
                </w:r>
                <w:r>
                  <w:rPr>
                    <w:rFonts w:cs="宋体"/>
                    <w:bCs/>
                    <w:sz w:val="13"/>
                    <w:szCs w:val="13"/>
                  </w:rPr>
                  <w:t>．其他综合收益结转留存收益</w:t>
                </w:r>
              </w:p>
            </w:sdtContent>
          </w:sdt>
        </w:tc>
        <w:tc>
          <w:tcPr>
            <w:tcW w:w="1067" w:type="dxa"/>
            <w:vAlign w:val="center"/>
          </w:tcPr>
          <w:p w14:paraId="289165EE" w14:textId="77777777" w:rsidR="005E000F" w:rsidRDefault="00000000">
            <w:pPr>
              <w:jc w:val="right"/>
              <w:rPr>
                <w:rFonts w:cs="宋体"/>
                <w:bCs/>
                <w:sz w:val="13"/>
                <w:szCs w:val="13"/>
              </w:rPr>
            </w:pPr>
            <w:r>
              <w:rPr>
                <w:rFonts w:hint="eastAsia"/>
                <w:sz w:val="13"/>
                <w:szCs w:val="13"/>
              </w:rPr>
              <w:t>0</w:t>
            </w:r>
          </w:p>
        </w:tc>
        <w:tc>
          <w:tcPr>
            <w:tcW w:w="289" w:type="dxa"/>
            <w:vAlign w:val="center"/>
          </w:tcPr>
          <w:p w14:paraId="6D0031ED" w14:textId="77777777" w:rsidR="005E000F" w:rsidRDefault="00000000">
            <w:pPr>
              <w:jc w:val="right"/>
              <w:rPr>
                <w:sz w:val="13"/>
                <w:szCs w:val="13"/>
              </w:rPr>
            </w:pPr>
            <w:r>
              <w:rPr>
                <w:rFonts w:hint="eastAsia"/>
                <w:sz w:val="13"/>
                <w:szCs w:val="13"/>
              </w:rPr>
              <w:t>0</w:t>
            </w:r>
          </w:p>
        </w:tc>
        <w:tc>
          <w:tcPr>
            <w:tcW w:w="322" w:type="dxa"/>
            <w:vAlign w:val="center"/>
          </w:tcPr>
          <w:p w14:paraId="3B884277" w14:textId="77777777" w:rsidR="005E000F" w:rsidRDefault="00000000">
            <w:pPr>
              <w:jc w:val="right"/>
              <w:rPr>
                <w:sz w:val="13"/>
                <w:szCs w:val="13"/>
              </w:rPr>
            </w:pPr>
            <w:r>
              <w:rPr>
                <w:rFonts w:hint="eastAsia"/>
                <w:sz w:val="13"/>
                <w:szCs w:val="13"/>
              </w:rPr>
              <w:t>0</w:t>
            </w:r>
          </w:p>
        </w:tc>
        <w:tc>
          <w:tcPr>
            <w:tcW w:w="944" w:type="dxa"/>
            <w:vAlign w:val="center"/>
          </w:tcPr>
          <w:p w14:paraId="756AA253"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16E234DA" w14:textId="77777777" w:rsidR="005E000F" w:rsidRDefault="00000000">
            <w:pPr>
              <w:jc w:val="right"/>
              <w:rPr>
                <w:rFonts w:cs="宋体"/>
                <w:bCs/>
                <w:sz w:val="13"/>
                <w:szCs w:val="13"/>
              </w:rPr>
            </w:pPr>
            <w:r>
              <w:rPr>
                <w:rFonts w:hint="eastAsia"/>
                <w:sz w:val="13"/>
                <w:szCs w:val="13"/>
              </w:rPr>
              <w:t>0</w:t>
            </w:r>
          </w:p>
        </w:tc>
        <w:tc>
          <w:tcPr>
            <w:tcW w:w="911" w:type="dxa"/>
            <w:vAlign w:val="center"/>
          </w:tcPr>
          <w:p w14:paraId="7F125BD8"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7E5A66B3" w14:textId="77777777" w:rsidR="005E000F" w:rsidRDefault="00000000">
            <w:pPr>
              <w:jc w:val="right"/>
              <w:rPr>
                <w:rFonts w:cs="宋体"/>
                <w:bCs/>
                <w:sz w:val="13"/>
                <w:szCs w:val="13"/>
              </w:rPr>
            </w:pPr>
            <w:r>
              <w:rPr>
                <w:rFonts w:hint="eastAsia"/>
                <w:sz w:val="13"/>
                <w:szCs w:val="13"/>
              </w:rPr>
              <w:t>0</w:t>
            </w:r>
          </w:p>
        </w:tc>
        <w:tc>
          <w:tcPr>
            <w:tcW w:w="955" w:type="dxa"/>
            <w:vAlign w:val="center"/>
          </w:tcPr>
          <w:p w14:paraId="6D22DD55"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6D91ECE7" w14:textId="77777777" w:rsidR="005E000F" w:rsidRDefault="00000000">
            <w:pPr>
              <w:jc w:val="right"/>
              <w:rPr>
                <w:rFonts w:cs="宋体"/>
                <w:bCs/>
                <w:sz w:val="13"/>
                <w:szCs w:val="13"/>
              </w:rPr>
            </w:pPr>
            <w:r>
              <w:rPr>
                <w:rFonts w:hint="eastAsia"/>
                <w:sz w:val="13"/>
                <w:szCs w:val="13"/>
              </w:rPr>
              <w:t>0</w:t>
            </w:r>
          </w:p>
        </w:tc>
        <w:tc>
          <w:tcPr>
            <w:tcW w:w="311" w:type="dxa"/>
            <w:vAlign w:val="center"/>
          </w:tcPr>
          <w:p w14:paraId="123A50D5"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623BB90B" w14:textId="77777777" w:rsidR="005E000F" w:rsidRDefault="00000000">
            <w:pPr>
              <w:jc w:val="right"/>
              <w:rPr>
                <w:rFonts w:cs="宋体"/>
                <w:bCs/>
                <w:sz w:val="13"/>
                <w:szCs w:val="13"/>
              </w:rPr>
            </w:pPr>
            <w:r>
              <w:rPr>
                <w:rFonts w:hint="eastAsia"/>
                <w:sz w:val="13"/>
                <w:szCs w:val="13"/>
              </w:rPr>
              <w:t>0</w:t>
            </w:r>
          </w:p>
        </w:tc>
        <w:tc>
          <w:tcPr>
            <w:tcW w:w="389" w:type="dxa"/>
            <w:vAlign w:val="center"/>
          </w:tcPr>
          <w:p w14:paraId="2836C7A5"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5895C6F4"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04FE5975"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2CBA96AD" w14:textId="77777777" w:rsidR="005E000F" w:rsidRDefault="00000000">
            <w:pPr>
              <w:jc w:val="right"/>
              <w:rPr>
                <w:rFonts w:cs="宋体"/>
                <w:bCs/>
                <w:sz w:val="13"/>
                <w:szCs w:val="13"/>
              </w:rPr>
            </w:pPr>
            <w:r>
              <w:rPr>
                <w:rFonts w:hint="eastAsia"/>
                <w:sz w:val="13"/>
                <w:szCs w:val="13"/>
              </w:rPr>
              <w:t>0</w:t>
            </w:r>
          </w:p>
        </w:tc>
      </w:tr>
      <w:tr w:rsidR="005E000F" w14:paraId="5B8088EF" w14:textId="77777777">
        <w:sdt>
          <w:sdtPr>
            <w:rPr>
              <w:rFonts w:cs="宋体"/>
              <w:bCs/>
              <w:sz w:val="13"/>
              <w:szCs w:val="13"/>
            </w:rPr>
            <w:tag w:val="_PLD_3ac599075bf24593ba41b1bec2fb0e9e"/>
            <w:id w:val="-1315408965"/>
          </w:sdtPr>
          <w:sdtContent>
            <w:tc>
              <w:tcPr>
                <w:tcW w:w="1314" w:type="dxa"/>
                <w:vAlign w:val="center"/>
              </w:tcPr>
              <w:p w14:paraId="008620A5" w14:textId="77777777" w:rsidR="005E000F" w:rsidRDefault="00000000">
                <w:pPr>
                  <w:rPr>
                    <w:rFonts w:cs="宋体"/>
                    <w:bCs/>
                    <w:sz w:val="13"/>
                    <w:szCs w:val="13"/>
                  </w:rPr>
                </w:pPr>
                <w:r>
                  <w:rPr>
                    <w:rFonts w:cs="宋体"/>
                    <w:bCs/>
                    <w:sz w:val="13"/>
                    <w:szCs w:val="13"/>
                  </w:rPr>
                  <w:t>6</w:t>
                </w:r>
                <w:r>
                  <w:rPr>
                    <w:rFonts w:cs="宋体"/>
                    <w:bCs/>
                    <w:sz w:val="13"/>
                    <w:szCs w:val="13"/>
                  </w:rPr>
                  <w:t>．其他</w:t>
                </w:r>
              </w:p>
            </w:tc>
          </w:sdtContent>
        </w:sdt>
        <w:tc>
          <w:tcPr>
            <w:tcW w:w="1067" w:type="dxa"/>
            <w:vAlign w:val="center"/>
          </w:tcPr>
          <w:p w14:paraId="349EF7EA" w14:textId="77777777" w:rsidR="005E000F" w:rsidRDefault="00000000">
            <w:pPr>
              <w:jc w:val="right"/>
              <w:rPr>
                <w:rFonts w:cs="宋体"/>
                <w:bCs/>
                <w:sz w:val="13"/>
                <w:szCs w:val="13"/>
              </w:rPr>
            </w:pPr>
            <w:r>
              <w:rPr>
                <w:rFonts w:hint="eastAsia"/>
                <w:sz w:val="13"/>
                <w:szCs w:val="13"/>
              </w:rPr>
              <w:t>0</w:t>
            </w:r>
          </w:p>
        </w:tc>
        <w:tc>
          <w:tcPr>
            <w:tcW w:w="289" w:type="dxa"/>
            <w:vAlign w:val="center"/>
          </w:tcPr>
          <w:p w14:paraId="519998A9" w14:textId="77777777" w:rsidR="005E000F" w:rsidRDefault="00000000">
            <w:pPr>
              <w:jc w:val="right"/>
              <w:rPr>
                <w:sz w:val="13"/>
                <w:szCs w:val="13"/>
              </w:rPr>
            </w:pPr>
            <w:r>
              <w:rPr>
                <w:rFonts w:hint="eastAsia"/>
                <w:sz w:val="13"/>
                <w:szCs w:val="13"/>
              </w:rPr>
              <w:t>0</w:t>
            </w:r>
          </w:p>
        </w:tc>
        <w:tc>
          <w:tcPr>
            <w:tcW w:w="322" w:type="dxa"/>
            <w:vAlign w:val="center"/>
          </w:tcPr>
          <w:p w14:paraId="0C8269C5" w14:textId="77777777" w:rsidR="005E000F" w:rsidRDefault="00000000">
            <w:pPr>
              <w:jc w:val="right"/>
              <w:rPr>
                <w:sz w:val="13"/>
                <w:szCs w:val="13"/>
              </w:rPr>
            </w:pPr>
            <w:r>
              <w:rPr>
                <w:rFonts w:hint="eastAsia"/>
                <w:sz w:val="13"/>
                <w:szCs w:val="13"/>
              </w:rPr>
              <w:t>0</w:t>
            </w:r>
          </w:p>
        </w:tc>
        <w:tc>
          <w:tcPr>
            <w:tcW w:w="944" w:type="dxa"/>
            <w:vAlign w:val="center"/>
          </w:tcPr>
          <w:p w14:paraId="0220689C"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3059EB6F" w14:textId="77777777" w:rsidR="005E000F" w:rsidRDefault="00000000">
            <w:pPr>
              <w:jc w:val="right"/>
              <w:rPr>
                <w:rFonts w:cs="宋体"/>
                <w:bCs/>
                <w:sz w:val="13"/>
                <w:szCs w:val="13"/>
              </w:rPr>
            </w:pPr>
            <w:r>
              <w:rPr>
                <w:rFonts w:hint="eastAsia"/>
                <w:sz w:val="13"/>
                <w:szCs w:val="13"/>
              </w:rPr>
              <w:t>0</w:t>
            </w:r>
          </w:p>
        </w:tc>
        <w:tc>
          <w:tcPr>
            <w:tcW w:w="911" w:type="dxa"/>
            <w:vAlign w:val="center"/>
          </w:tcPr>
          <w:p w14:paraId="04A9D51A"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0260ED6A" w14:textId="77777777" w:rsidR="005E000F" w:rsidRDefault="00000000">
            <w:pPr>
              <w:jc w:val="right"/>
              <w:rPr>
                <w:rFonts w:cs="宋体"/>
                <w:bCs/>
                <w:sz w:val="13"/>
                <w:szCs w:val="13"/>
              </w:rPr>
            </w:pPr>
            <w:r>
              <w:rPr>
                <w:rFonts w:hint="eastAsia"/>
                <w:sz w:val="13"/>
                <w:szCs w:val="13"/>
              </w:rPr>
              <w:t>0</w:t>
            </w:r>
          </w:p>
        </w:tc>
        <w:tc>
          <w:tcPr>
            <w:tcW w:w="955" w:type="dxa"/>
            <w:vAlign w:val="center"/>
          </w:tcPr>
          <w:p w14:paraId="5B809A01"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6FA0EF6E" w14:textId="77777777" w:rsidR="005E000F" w:rsidRDefault="00000000">
            <w:pPr>
              <w:jc w:val="right"/>
              <w:rPr>
                <w:rFonts w:cs="宋体"/>
                <w:bCs/>
                <w:sz w:val="13"/>
                <w:szCs w:val="13"/>
              </w:rPr>
            </w:pPr>
            <w:r>
              <w:rPr>
                <w:rFonts w:hint="eastAsia"/>
                <w:sz w:val="13"/>
                <w:szCs w:val="13"/>
              </w:rPr>
              <w:t>0</w:t>
            </w:r>
          </w:p>
        </w:tc>
        <w:tc>
          <w:tcPr>
            <w:tcW w:w="311" w:type="dxa"/>
            <w:vAlign w:val="center"/>
          </w:tcPr>
          <w:p w14:paraId="0C0E425B"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1A14460C" w14:textId="77777777" w:rsidR="005E000F" w:rsidRDefault="00000000">
            <w:pPr>
              <w:jc w:val="right"/>
              <w:rPr>
                <w:rFonts w:cs="宋体"/>
                <w:bCs/>
                <w:sz w:val="13"/>
                <w:szCs w:val="13"/>
              </w:rPr>
            </w:pPr>
            <w:r>
              <w:rPr>
                <w:rFonts w:hint="eastAsia"/>
                <w:sz w:val="13"/>
                <w:szCs w:val="13"/>
              </w:rPr>
              <w:t>0</w:t>
            </w:r>
          </w:p>
        </w:tc>
        <w:tc>
          <w:tcPr>
            <w:tcW w:w="389" w:type="dxa"/>
            <w:vAlign w:val="center"/>
          </w:tcPr>
          <w:p w14:paraId="16CFFB8D"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43F204BF"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36ACF9E4"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24FB65E3" w14:textId="77777777" w:rsidR="005E000F" w:rsidRDefault="00000000">
            <w:pPr>
              <w:jc w:val="right"/>
              <w:rPr>
                <w:rFonts w:cs="宋体"/>
                <w:bCs/>
                <w:sz w:val="13"/>
                <w:szCs w:val="13"/>
              </w:rPr>
            </w:pPr>
            <w:r>
              <w:rPr>
                <w:rFonts w:hint="eastAsia"/>
                <w:sz w:val="13"/>
                <w:szCs w:val="13"/>
              </w:rPr>
              <w:t>0</w:t>
            </w:r>
          </w:p>
        </w:tc>
      </w:tr>
      <w:tr w:rsidR="005E000F" w14:paraId="398A9BDC" w14:textId="77777777">
        <w:sdt>
          <w:sdtPr>
            <w:rPr>
              <w:rFonts w:cs="宋体"/>
              <w:bCs/>
              <w:sz w:val="13"/>
              <w:szCs w:val="13"/>
            </w:rPr>
            <w:tag w:val="_PLD_e606d8680d944e6999b3743f1fcf75f9"/>
            <w:id w:val="451667010"/>
          </w:sdtPr>
          <w:sdtContent>
            <w:tc>
              <w:tcPr>
                <w:tcW w:w="1314" w:type="dxa"/>
                <w:vAlign w:val="center"/>
              </w:tcPr>
              <w:p w14:paraId="6D122000" w14:textId="77777777" w:rsidR="005E000F" w:rsidRDefault="00000000">
                <w:pPr>
                  <w:rPr>
                    <w:rFonts w:cs="宋体"/>
                    <w:bCs/>
                    <w:sz w:val="13"/>
                    <w:szCs w:val="13"/>
                  </w:rPr>
                </w:pPr>
                <w:r>
                  <w:rPr>
                    <w:rFonts w:cs="宋体" w:hint="eastAsia"/>
                    <w:bCs/>
                    <w:sz w:val="13"/>
                    <w:szCs w:val="13"/>
                  </w:rPr>
                  <w:t>（五）专项储备</w:t>
                </w:r>
              </w:p>
            </w:tc>
          </w:sdtContent>
        </w:sdt>
        <w:tc>
          <w:tcPr>
            <w:tcW w:w="1067" w:type="dxa"/>
            <w:vAlign w:val="center"/>
          </w:tcPr>
          <w:p w14:paraId="6B627E68" w14:textId="77777777" w:rsidR="005E000F" w:rsidRDefault="00000000">
            <w:pPr>
              <w:jc w:val="right"/>
              <w:rPr>
                <w:rFonts w:cs="宋体"/>
                <w:bCs/>
                <w:sz w:val="13"/>
                <w:szCs w:val="13"/>
              </w:rPr>
            </w:pPr>
            <w:r>
              <w:rPr>
                <w:rFonts w:hint="eastAsia"/>
                <w:sz w:val="13"/>
                <w:szCs w:val="13"/>
              </w:rPr>
              <w:t>0</w:t>
            </w:r>
          </w:p>
        </w:tc>
        <w:tc>
          <w:tcPr>
            <w:tcW w:w="289" w:type="dxa"/>
            <w:vAlign w:val="center"/>
          </w:tcPr>
          <w:p w14:paraId="3C9856E4" w14:textId="77777777" w:rsidR="005E000F" w:rsidRDefault="00000000">
            <w:pPr>
              <w:jc w:val="right"/>
              <w:rPr>
                <w:sz w:val="13"/>
                <w:szCs w:val="13"/>
              </w:rPr>
            </w:pPr>
            <w:r>
              <w:rPr>
                <w:rFonts w:hint="eastAsia"/>
                <w:sz w:val="13"/>
                <w:szCs w:val="13"/>
              </w:rPr>
              <w:t>0</w:t>
            </w:r>
          </w:p>
        </w:tc>
        <w:tc>
          <w:tcPr>
            <w:tcW w:w="322" w:type="dxa"/>
            <w:vAlign w:val="center"/>
          </w:tcPr>
          <w:p w14:paraId="3B4A2D17" w14:textId="77777777" w:rsidR="005E000F" w:rsidRDefault="00000000">
            <w:pPr>
              <w:jc w:val="right"/>
              <w:rPr>
                <w:sz w:val="13"/>
                <w:szCs w:val="13"/>
              </w:rPr>
            </w:pPr>
            <w:r>
              <w:rPr>
                <w:rFonts w:hint="eastAsia"/>
                <w:sz w:val="13"/>
                <w:szCs w:val="13"/>
              </w:rPr>
              <w:t>0</w:t>
            </w:r>
          </w:p>
        </w:tc>
        <w:tc>
          <w:tcPr>
            <w:tcW w:w="944" w:type="dxa"/>
            <w:vAlign w:val="center"/>
          </w:tcPr>
          <w:p w14:paraId="27B0910A"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3BB903A0" w14:textId="77777777" w:rsidR="005E000F" w:rsidRDefault="00000000">
            <w:pPr>
              <w:jc w:val="right"/>
              <w:rPr>
                <w:rFonts w:cs="宋体"/>
                <w:bCs/>
                <w:sz w:val="13"/>
                <w:szCs w:val="13"/>
              </w:rPr>
            </w:pPr>
            <w:r>
              <w:rPr>
                <w:rFonts w:hint="eastAsia"/>
                <w:sz w:val="13"/>
                <w:szCs w:val="13"/>
              </w:rPr>
              <w:t>0</w:t>
            </w:r>
          </w:p>
        </w:tc>
        <w:tc>
          <w:tcPr>
            <w:tcW w:w="911" w:type="dxa"/>
            <w:vAlign w:val="center"/>
          </w:tcPr>
          <w:p w14:paraId="43CCE68B"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26B53F09" w14:textId="77777777" w:rsidR="005E000F" w:rsidRDefault="00000000">
            <w:pPr>
              <w:jc w:val="right"/>
              <w:rPr>
                <w:rFonts w:cs="宋体"/>
                <w:bCs/>
                <w:sz w:val="13"/>
                <w:szCs w:val="13"/>
              </w:rPr>
            </w:pPr>
            <w:r>
              <w:rPr>
                <w:rFonts w:hint="eastAsia"/>
                <w:sz w:val="13"/>
                <w:szCs w:val="13"/>
              </w:rPr>
              <w:t>0</w:t>
            </w:r>
          </w:p>
        </w:tc>
        <w:tc>
          <w:tcPr>
            <w:tcW w:w="955" w:type="dxa"/>
            <w:vAlign w:val="center"/>
          </w:tcPr>
          <w:p w14:paraId="123FFC43" w14:textId="77777777" w:rsidR="005E000F" w:rsidRDefault="00000000">
            <w:pPr>
              <w:snapToGrid w:val="0"/>
              <w:spacing w:line="240" w:lineRule="atLeast"/>
              <w:jc w:val="right"/>
              <w:rPr>
                <w:rFonts w:cs="宋体"/>
                <w:bCs/>
                <w:sz w:val="13"/>
                <w:szCs w:val="13"/>
              </w:rPr>
            </w:pPr>
            <w:r>
              <w:rPr>
                <w:rFonts w:cs="宋体"/>
                <w:bCs/>
                <w:sz w:val="13"/>
                <w:szCs w:val="13"/>
              </w:rPr>
              <w:t>-40,415,439</w:t>
            </w:r>
          </w:p>
        </w:tc>
        <w:tc>
          <w:tcPr>
            <w:tcW w:w="1056" w:type="dxa"/>
            <w:vAlign w:val="center"/>
          </w:tcPr>
          <w:p w14:paraId="3BBD4E76" w14:textId="77777777" w:rsidR="005E000F" w:rsidRDefault="00000000">
            <w:pPr>
              <w:jc w:val="right"/>
              <w:rPr>
                <w:rFonts w:cs="宋体"/>
                <w:bCs/>
                <w:sz w:val="13"/>
                <w:szCs w:val="13"/>
              </w:rPr>
            </w:pPr>
            <w:r>
              <w:rPr>
                <w:rFonts w:hint="eastAsia"/>
                <w:sz w:val="13"/>
                <w:szCs w:val="13"/>
              </w:rPr>
              <w:t>0</w:t>
            </w:r>
          </w:p>
        </w:tc>
        <w:tc>
          <w:tcPr>
            <w:tcW w:w="311" w:type="dxa"/>
            <w:vAlign w:val="center"/>
          </w:tcPr>
          <w:p w14:paraId="6877E094"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59EF7431" w14:textId="77777777" w:rsidR="005E000F" w:rsidRDefault="00000000">
            <w:pPr>
              <w:jc w:val="right"/>
              <w:rPr>
                <w:rFonts w:cs="宋体"/>
                <w:bCs/>
                <w:sz w:val="13"/>
                <w:szCs w:val="13"/>
              </w:rPr>
            </w:pPr>
            <w:r>
              <w:rPr>
                <w:rFonts w:hint="eastAsia"/>
                <w:sz w:val="13"/>
                <w:szCs w:val="13"/>
              </w:rPr>
              <w:t>0</w:t>
            </w:r>
          </w:p>
        </w:tc>
        <w:tc>
          <w:tcPr>
            <w:tcW w:w="389" w:type="dxa"/>
            <w:vAlign w:val="center"/>
          </w:tcPr>
          <w:p w14:paraId="52496141"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6424D234" w14:textId="77777777" w:rsidR="005E000F" w:rsidRDefault="00000000">
            <w:pPr>
              <w:snapToGrid w:val="0"/>
              <w:spacing w:line="240" w:lineRule="atLeast"/>
              <w:jc w:val="right"/>
              <w:rPr>
                <w:rFonts w:cs="宋体"/>
                <w:bCs/>
                <w:sz w:val="13"/>
                <w:szCs w:val="13"/>
              </w:rPr>
            </w:pPr>
            <w:r>
              <w:rPr>
                <w:rFonts w:cs="宋体"/>
                <w:bCs/>
                <w:sz w:val="13"/>
                <w:szCs w:val="13"/>
              </w:rPr>
              <w:t>-40,415,439</w:t>
            </w:r>
          </w:p>
        </w:tc>
        <w:tc>
          <w:tcPr>
            <w:tcW w:w="1037" w:type="dxa"/>
            <w:vAlign w:val="center"/>
          </w:tcPr>
          <w:p w14:paraId="73A0FBB0" w14:textId="77777777" w:rsidR="005E000F" w:rsidRDefault="00000000">
            <w:pPr>
              <w:snapToGrid w:val="0"/>
              <w:spacing w:line="240" w:lineRule="atLeast"/>
              <w:jc w:val="right"/>
              <w:rPr>
                <w:rFonts w:cs="宋体"/>
                <w:bCs/>
                <w:sz w:val="13"/>
                <w:szCs w:val="13"/>
              </w:rPr>
            </w:pPr>
            <w:r>
              <w:rPr>
                <w:rFonts w:cs="宋体"/>
                <w:bCs/>
                <w:sz w:val="13"/>
                <w:szCs w:val="13"/>
              </w:rPr>
              <w:t>9,764,389</w:t>
            </w:r>
          </w:p>
        </w:tc>
        <w:tc>
          <w:tcPr>
            <w:tcW w:w="1096" w:type="dxa"/>
            <w:vAlign w:val="center"/>
          </w:tcPr>
          <w:p w14:paraId="01E4973C" w14:textId="77777777" w:rsidR="005E000F" w:rsidRDefault="00000000">
            <w:pPr>
              <w:snapToGrid w:val="0"/>
              <w:spacing w:line="240" w:lineRule="atLeast"/>
              <w:jc w:val="right"/>
              <w:rPr>
                <w:rFonts w:cs="宋体"/>
                <w:bCs/>
                <w:sz w:val="13"/>
                <w:szCs w:val="13"/>
              </w:rPr>
            </w:pPr>
            <w:r>
              <w:rPr>
                <w:rFonts w:cs="宋体"/>
                <w:bCs/>
                <w:sz w:val="13"/>
                <w:szCs w:val="13"/>
              </w:rPr>
              <w:t>-30,651,050</w:t>
            </w:r>
          </w:p>
        </w:tc>
      </w:tr>
      <w:tr w:rsidR="005E000F" w14:paraId="0B200572" w14:textId="77777777">
        <w:sdt>
          <w:sdtPr>
            <w:rPr>
              <w:rFonts w:cs="宋体"/>
              <w:bCs/>
              <w:sz w:val="13"/>
              <w:szCs w:val="13"/>
            </w:rPr>
            <w:tag w:val="_PLD_c1e7a107b4eb42c48000b98a786d499c"/>
            <w:id w:val="841662759"/>
          </w:sdtPr>
          <w:sdtContent>
            <w:tc>
              <w:tcPr>
                <w:tcW w:w="1314" w:type="dxa"/>
                <w:vAlign w:val="center"/>
              </w:tcPr>
              <w:p w14:paraId="158A1035" w14:textId="77777777" w:rsidR="005E000F" w:rsidRDefault="00000000">
                <w:pPr>
                  <w:rPr>
                    <w:rFonts w:cs="宋体"/>
                    <w:bCs/>
                    <w:sz w:val="13"/>
                    <w:szCs w:val="13"/>
                  </w:rPr>
                </w:pPr>
                <w:r>
                  <w:rPr>
                    <w:rFonts w:cs="宋体" w:hint="eastAsia"/>
                    <w:bCs/>
                    <w:sz w:val="13"/>
                    <w:szCs w:val="13"/>
                  </w:rPr>
                  <w:t>1</w:t>
                </w:r>
                <w:r>
                  <w:rPr>
                    <w:rFonts w:cs="宋体" w:hint="eastAsia"/>
                    <w:bCs/>
                    <w:sz w:val="13"/>
                    <w:szCs w:val="13"/>
                  </w:rPr>
                  <w:t>．本期提取</w:t>
                </w:r>
              </w:p>
            </w:tc>
          </w:sdtContent>
        </w:sdt>
        <w:tc>
          <w:tcPr>
            <w:tcW w:w="1067" w:type="dxa"/>
            <w:vAlign w:val="center"/>
          </w:tcPr>
          <w:p w14:paraId="6C9C7E18" w14:textId="77777777" w:rsidR="005E000F" w:rsidRDefault="00000000">
            <w:pPr>
              <w:jc w:val="right"/>
              <w:rPr>
                <w:rFonts w:cs="宋体"/>
                <w:bCs/>
                <w:sz w:val="13"/>
                <w:szCs w:val="13"/>
              </w:rPr>
            </w:pPr>
            <w:r>
              <w:rPr>
                <w:rFonts w:hint="eastAsia"/>
                <w:sz w:val="13"/>
                <w:szCs w:val="13"/>
              </w:rPr>
              <w:t>0</w:t>
            </w:r>
          </w:p>
        </w:tc>
        <w:tc>
          <w:tcPr>
            <w:tcW w:w="289" w:type="dxa"/>
            <w:vAlign w:val="center"/>
          </w:tcPr>
          <w:p w14:paraId="4A9E4B70" w14:textId="77777777" w:rsidR="005E000F" w:rsidRDefault="00000000">
            <w:pPr>
              <w:jc w:val="right"/>
              <w:rPr>
                <w:sz w:val="13"/>
                <w:szCs w:val="13"/>
              </w:rPr>
            </w:pPr>
            <w:r>
              <w:rPr>
                <w:rFonts w:hint="eastAsia"/>
                <w:sz w:val="13"/>
                <w:szCs w:val="13"/>
              </w:rPr>
              <w:t>0</w:t>
            </w:r>
          </w:p>
        </w:tc>
        <w:tc>
          <w:tcPr>
            <w:tcW w:w="322" w:type="dxa"/>
            <w:vAlign w:val="center"/>
          </w:tcPr>
          <w:p w14:paraId="35C0F71B" w14:textId="77777777" w:rsidR="005E000F" w:rsidRDefault="00000000">
            <w:pPr>
              <w:jc w:val="right"/>
              <w:rPr>
                <w:sz w:val="13"/>
                <w:szCs w:val="13"/>
              </w:rPr>
            </w:pPr>
            <w:r>
              <w:rPr>
                <w:rFonts w:hint="eastAsia"/>
                <w:sz w:val="13"/>
                <w:szCs w:val="13"/>
              </w:rPr>
              <w:t>0</w:t>
            </w:r>
          </w:p>
        </w:tc>
        <w:tc>
          <w:tcPr>
            <w:tcW w:w="944" w:type="dxa"/>
            <w:vAlign w:val="center"/>
          </w:tcPr>
          <w:p w14:paraId="46D4A478"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66B66B61" w14:textId="77777777" w:rsidR="005E000F" w:rsidRDefault="00000000">
            <w:pPr>
              <w:jc w:val="right"/>
              <w:rPr>
                <w:rFonts w:cs="宋体"/>
                <w:bCs/>
                <w:sz w:val="13"/>
                <w:szCs w:val="13"/>
              </w:rPr>
            </w:pPr>
            <w:r>
              <w:rPr>
                <w:rFonts w:hint="eastAsia"/>
                <w:sz w:val="13"/>
                <w:szCs w:val="13"/>
              </w:rPr>
              <w:t>0</w:t>
            </w:r>
          </w:p>
        </w:tc>
        <w:tc>
          <w:tcPr>
            <w:tcW w:w="911" w:type="dxa"/>
            <w:vAlign w:val="center"/>
          </w:tcPr>
          <w:p w14:paraId="7F4255A1"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2EDC092F" w14:textId="77777777" w:rsidR="005E000F" w:rsidRDefault="00000000">
            <w:pPr>
              <w:jc w:val="right"/>
              <w:rPr>
                <w:rFonts w:cs="宋体"/>
                <w:bCs/>
                <w:sz w:val="13"/>
                <w:szCs w:val="13"/>
              </w:rPr>
            </w:pPr>
            <w:r>
              <w:rPr>
                <w:rFonts w:hint="eastAsia"/>
                <w:sz w:val="13"/>
                <w:szCs w:val="13"/>
              </w:rPr>
              <w:t>0</w:t>
            </w:r>
          </w:p>
        </w:tc>
        <w:tc>
          <w:tcPr>
            <w:tcW w:w="955" w:type="dxa"/>
            <w:vAlign w:val="center"/>
          </w:tcPr>
          <w:p w14:paraId="4A59281D" w14:textId="77777777" w:rsidR="005E000F" w:rsidRDefault="00000000">
            <w:pPr>
              <w:snapToGrid w:val="0"/>
              <w:spacing w:line="240" w:lineRule="atLeast"/>
              <w:jc w:val="right"/>
              <w:rPr>
                <w:rFonts w:cs="宋体"/>
                <w:bCs/>
                <w:sz w:val="13"/>
                <w:szCs w:val="13"/>
              </w:rPr>
            </w:pPr>
            <w:r>
              <w:rPr>
                <w:rFonts w:cs="宋体"/>
                <w:bCs/>
                <w:sz w:val="13"/>
                <w:szCs w:val="13"/>
              </w:rPr>
              <w:t>722,247,053</w:t>
            </w:r>
          </w:p>
        </w:tc>
        <w:tc>
          <w:tcPr>
            <w:tcW w:w="1056" w:type="dxa"/>
            <w:vAlign w:val="center"/>
          </w:tcPr>
          <w:p w14:paraId="5964CAC8" w14:textId="77777777" w:rsidR="005E000F" w:rsidRDefault="00000000">
            <w:pPr>
              <w:jc w:val="right"/>
              <w:rPr>
                <w:rFonts w:cs="宋体"/>
                <w:bCs/>
                <w:sz w:val="13"/>
                <w:szCs w:val="13"/>
              </w:rPr>
            </w:pPr>
            <w:r>
              <w:rPr>
                <w:rFonts w:hint="eastAsia"/>
                <w:sz w:val="13"/>
                <w:szCs w:val="13"/>
              </w:rPr>
              <w:t>0</w:t>
            </w:r>
          </w:p>
        </w:tc>
        <w:tc>
          <w:tcPr>
            <w:tcW w:w="311" w:type="dxa"/>
            <w:vAlign w:val="center"/>
          </w:tcPr>
          <w:p w14:paraId="0AC44A3A"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2760584E" w14:textId="77777777" w:rsidR="005E000F" w:rsidRDefault="00000000">
            <w:pPr>
              <w:jc w:val="right"/>
              <w:rPr>
                <w:rFonts w:cs="宋体"/>
                <w:bCs/>
                <w:sz w:val="13"/>
                <w:szCs w:val="13"/>
              </w:rPr>
            </w:pPr>
            <w:r>
              <w:rPr>
                <w:rFonts w:hint="eastAsia"/>
                <w:sz w:val="13"/>
                <w:szCs w:val="13"/>
              </w:rPr>
              <w:t>0</w:t>
            </w:r>
          </w:p>
        </w:tc>
        <w:tc>
          <w:tcPr>
            <w:tcW w:w="389" w:type="dxa"/>
            <w:vAlign w:val="center"/>
          </w:tcPr>
          <w:p w14:paraId="36287BE2"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4A2554E2" w14:textId="77777777" w:rsidR="005E000F" w:rsidRDefault="00000000">
            <w:pPr>
              <w:snapToGrid w:val="0"/>
              <w:spacing w:line="240" w:lineRule="atLeast"/>
              <w:jc w:val="right"/>
              <w:rPr>
                <w:rFonts w:cs="宋体"/>
                <w:bCs/>
                <w:sz w:val="13"/>
                <w:szCs w:val="13"/>
              </w:rPr>
            </w:pPr>
            <w:r>
              <w:rPr>
                <w:rFonts w:cs="宋体"/>
                <w:bCs/>
                <w:sz w:val="13"/>
                <w:szCs w:val="13"/>
              </w:rPr>
              <w:t>722,247,053</w:t>
            </w:r>
          </w:p>
        </w:tc>
        <w:tc>
          <w:tcPr>
            <w:tcW w:w="1037" w:type="dxa"/>
            <w:vAlign w:val="center"/>
          </w:tcPr>
          <w:p w14:paraId="15363C65" w14:textId="77777777" w:rsidR="005E000F" w:rsidRDefault="00000000">
            <w:pPr>
              <w:snapToGrid w:val="0"/>
              <w:spacing w:line="240" w:lineRule="atLeast"/>
              <w:jc w:val="right"/>
              <w:rPr>
                <w:rFonts w:cs="宋体"/>
                <w:bCs/>
                <w:sz w:val="13"/>
                <w:szCs w:val="13"/>
              </w:rPr>
            </w:pPr>
            <w:r>
              <w:rPr>
                <w:rFonts w:cs="宋体"/>
                <w:bCs/>
                <w:sz w:val="13"/>
                <w:szCs w:val="13"/>
              </w:rPr>
              <w:t>29,661,308</w:t>
            </w:r>
          </w:p>
        </w:tc>
        <w:tc>
          <w:tcPr>
            <w:tcW w:w="1096" w:type="dxa"/>
            <w:vAlign w:val="center"/>
          </w:tcPr>
          <w:p w14:paraId="5CB79D72" w14:textId="77777777" w:rsidR="005E000F" w:rsidRDefault="00000000">
            <w:pPr>
              <w:snapToGrid w:val="0"/>
              <w:spacing w:line="240" w:lineRule="atLeast"/>
              <w:jc w:val="right"/>
              <w:rPr>
                <w:rFonts w:cs="宋体"/>
                <w:bCs/>
                <w:sz w:val="13"/>
                <w:szCs w:val="13"/>
              </w:rPr>
            </w:pPr>
            <w:r>
              <w:rPr>
                <w:rFonts w:cs="宋体"/>
                <w:bCs/>
                <w:sz w:val="13"/>
                <w:szCs w:val="13"/>
              </w:rPr>
              <w:t>751,908,361</w:t>
            </w:r>
          </w:p>
        </w:tc>
      </w:tr>
      <w:tr w:rsidR="005E000F" w14:paraId="230B59EE" w14:textId="77777777">
        <w:sdt>
          <w:sdtPr>
            <w:rPr>
              <w:rFonts w:cs="宋体"/>
              <w:bCs/>
              <w:sz w:val="13"/>
              <w:szCs w:val="13"/>
            </w:rPr>
            <w:tag w:val="_PLD_69b59bbd4f7a49708a1fc0c2a96e3869"/>
            <w:id w:val="-1290208211"/>
          </w:sdtPr>
          <w:sdtContent>
            <w:tc>
              <w:tcPr>
                <w:tcW w:w="1314" w:type="dxa"/>
                <w:vAlign w:val="center"/>
              </w:tcPr>
              <w:p w14:paraId="667D9086" w14:textId="77777777" w:rsidR="005E000F" w:rsidRDefault="00000000">
                <w:pPr>
                  <w:rPr>
                    <w:rFonts w:cs="宋体"/>
                    <w:bCs/>
                    <w:sz w:val="13"/>
                    <w:szCs w:val="13"/>
                  </w:rPr>
                </w:pPr>
                <w:r>
                  <w:rPr>
                    <w:rFonts w:cs="宋体" w:hint="eastAsia"/>
                    <w:bCs/>
                    <w:sz w:val="13"/>
                    <w:szCs w:val="13"/>
                  </w:rPr>
                  <w:t>2</w:t>
                </w:r>
                <w:r>
                  <w:rPr>
                    <w:rFonts w:cs="宋体" w:hint="eastAsia"/>
                    <w:bCs/>
                    <w:sz w:val="13"/>
                    <w:szCs w:val="13"/>
                  </w:rPr>
                  <w:t>．本期使用</w:t>
                </w:r>
              </w:p>
            </w:tc>
          </w:sdtContent>
        </w:sdt>
        <w:tc>
          <w:tcPr>
            <w:tcW w:w="1067" w:type="dxa"/>
            <w:vAlign w:val="center"/>
          </w:tcPr>
          <w:p w14:paraId="7A1E41AA" w14:textId="77777777" w:rsidR="005E000F" w:rsidRDefault="00000000">
            <w:pPr>
              <w:jc w:val="right"/>
              <w:rPr>
                <w:rFonts w:cs="宋体"/>
                <w:bCs/>
                <w:sz w:val="13"/>
                <w:szCs w:val="13"/>
              </w:rPr>
            </w:pPr>
            <w:r>
              <w:rPr>
                <w:rFonts w:hint="eastAsia"/>
                <w:sz w:val="13"/>
                <w:szCs w:val="13"/>
              </w:rPr>
              <w:t>0</w:t>
            </w:r>
          </w:p>
        </w:tc>
        <w:tc>
          <w:tcPr>
            <w:tcW w:w="289" w:type="dxa"/>
            <w:vAlign w:val="center"/>
          </w:tcPr>
          <w:p w14:paraId="75CA008E" w14:textId="77777777" w:rsidR="005E000F" w:rsidRDefault="00000000">
            <w:pPr>
              <w:jc w:val="right"/>
              <w:rPr>
                <w:sz w:val="13"/>
                <w:szCs w:val="13"/>
              </w:rPr>
            </w:pPr>
            <w:r>
              <w:rPr>
                <w:rFonts w:hint="eastAsia"/>
                <w:sz w:val="13"/>
                <w:szCs w:val="13"/>
              </w:rPr>
              <w:t>0</w:t>
            </w:r>
          </w:p>
        </w:tc>
        <w:tc>
          <w:tcPr>
            <w:tcW w:w="322" w:type="dxa"/>
            <w:vAlign w:val="center"/>
          </w:tcPr>
          <w:p w14:paraId="618433B5" w14:textId="77777777" w:rsidR="005E000F" w:rsidRDefault="00000000">
            <w:pPr>
              <w:jc w:val="right"/>
              <w:rPr>
                <w:sz w:val="13"/>
                <w:szCs w:val="13"/>
              </w:rPr>
            </w:pPr>
            <w:r>
              <w:rPr>
                <w:rFonts w:hint="eastAsia"/>
                <w:sz w:val="13"/>
                <w:szCs w:val="13"/>
              </w:rPr>
              <w:t>0</w:t>
            </w:r>
          </w:p>
        </w:tc>
        <w:tc>
          <w:tcPr>
            <w:tcW w:w="944" w:type="dxa"/>
            <w:vAlign w:val="center"/>
          </w:tcPr>
          <w:p w14:paraId="27C084CA"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1FB311A7" w14:textId="77777777" w:rsidR="005E000F" w:rsidRDefault="00000000">
            <w:pPr>
              <w:jc w:val="right"/>
              <w:rPr>
                <w:rFonts w:cs="宋体"/>
                <w:bCs/>
                <w:sz w:val="13"/>
                <w:szCs w:val="13"/>
              </w:rPr>
            </w:pPr>
            <w:r>
              <w:rPr>
                <w:rFonts w:hint="eastAsia"/>
                <w:sz w:val="13"/>
                <w:szCs w:val="13"/>
              </w:rPr>
              <w:t>0</w:t>
            </w:r>
          </w:p>
        </w:tc>
        <w:tc>
          <w:tcPr>
            <w:tcW w:w="911" w:type="dxa"/>
            <w:vAlign w:val="center"/>
          </w:tcPr>
          <w:p w14:paraId="33B8E619"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576009EC" w14:textId="77777777" w:rsidR="005E000F" w:rsidRDefault="00000000">
            <w:pPr>
              <w:jc w:val="right"/>
              <w:rPr>
                <w:rFonts w:cs="宋体"/>
                <w:bCs/>
                <w:sz w:val="13"/>
                <w:szCs w:val="13"/>
              </w:rPr>
            </w:pPr>
            <w:r>
              <w:rPr>
                <w:rFonts w:hint="eastAsia"/>
                <w:sz w:val="13"/>
                <w:szCs w:val="13"/>
              </w:rPr>
              <w:t>0</w:t>
            </w:r>
          </w:p>
        </w:tc>
        <w:tc>
          <w:tcPr>
            <w:tcW w:w="955" w:type="dxa"/>
            <w:vAlign w:val="center"/>
          </w:tcPr>
          <w:p w14:paraId="1A698F75" w14:textId="77777777" w:rsidR="005E000F" w:rsidRDefault="00000000">
            <w:pPr>
              <w:snapToGrid w:val="0"/>
              <w:spacing w:line="240" w:lineRule="atLeast"/>
              <w:jc w:val="right"/>
              <w:rPr>
                <w:rFonts w:cs="宋体"/>
                <w:bCs/>
                <w:sz w:val="13"/>
                <w:szCs w:val="13"/>
              </w:rPr>
            </w:pPr>
            <w:r>
              <w:rPr>
                <w:rFonts w:cs="宋体"/>
                <w:bCs/>
                <w:sz w:val="13"/>
                <w:szCs w:val="13"/>
              </w:rPr>
              <w:t>-762,662,492</w:t>
            </w:r>
          </w:p>
        </w:tc>
        <w:tc>
          <w:tcPr>
            <w:tcW w:w="1056" w:type="dxa"/>
            <w:vAlign w:val="center"/>
          </w:tcPr>
          <w:p w14:paraId="5EB1447C" w14:textId="77777777" w:rsidR="005E000F" w:rsidRDefault="00000000">
            <w:pPr>
              <w:jc w:val="right"/>
              <w:rPr>
                <w:rFonts w:cs="宋体"/>
                <w:bCs/>
                <w:sz w:val="13"/>
                <w:szCs w:val="13"/>
              </w:rPr>
            </w:pPr>
            <w:r>
              <w:rPr>
                <w:rFonts w:hint="eastAsia"/>
                <w:sz w:val="13"/>
                <w:szCs w:val="13"/>
              </w:rPr>
              <w:t>0</w:t>
            </w:r>
          </w:p>
        </w:tc>
        <w:tc>
          <w:tcPr>
            <w:tcW w:w="311" w:type="dxa"/>
            <w:vAlign w:val="center"/>
          </w:tcPr>
          <w:p w14:paraId="519D1FBD"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13D77592" w14:textId="77777777" w:rsidR="005E000F" w:rsidRDefault="00000000">
            <w:pPr>
              <w:jc w:val="right"/>
              <w:rPr>
                <w:rFonts w:cs="宋体"/>
                <w:bCs/>
                <w:sz w:val="13"/>
                <w:szCs w:val="13"/>
              </w:rPr>
            </w:pPr>
            <w:r>
              <w:rPr>
                <w:rFonts w:hint="eastAsia"/>
                <w:sz w:val="13"/>
                <w:szCs w:val="13"/>
              </w:rPr>
              <w:t>0</w:t>
            </w:r>
          </w:p>
        </w:tc>
        <w:tc>
          <w:tcPr>
            <w:tcW w:w="389" w:type="dxa"/>
            <w:vAlign w:val="center"/>
          </w:tcPr>
          <w:p w14:paraId="4BC628B2"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0C141985" w14:textId="77777777" w:rsidR="005E000F" w:rsidRDefault="00000000">
            <w:pPr>
              <w:snapToGrid w:val="0"/>
              <w:spacing w:line="240" w:lineRule="atLeast"/>
              <w:jc w:val="right"/>
              <w:rPr>
                <w:rFonts w:cs="宋体"/>
                <w:bCs/>
                <w:sz w:val="13"/>
                <w:szCs w:val="13"/>
              </w:rPr>
            </w:pPr>
            <w:r>
              <w:rPr>
                <w:rFonts w:cs="宋体"/>
                <w:bCs/>
                <w:sz w:val="13"/>
                <w:szCs w:val="13"/>
              </w:rPr>
              <w:t>-762,662,492</w:t>
            </w:r>
          </w:p>
        </w:tc>
        <w:tc>
          <w:tcPr>
            <w:tcW w:w="1037" w:type="dxa"/>
            <w:vAlign w:val="center"/>
          </w:tcPr>
          <w:p w14:paraId="7A23C985" w14:textId="77777777" w:rsidR="005E000F" w:rsidRDefault="00000000">
            <w:pPr>
              <w:snapToGrid w:val="0"/>
              <w:spacing w:line="240" w:lineRule="atLeast"/>
              <w:jc w:val="right"/>
              <w:rPr>
                <w:rFonts w:cs="宋体"/>
                <w:bCs/>
                <w:sz w:val="13"/>
                <w:szCs w:val="13"/>
              </w:rPr>
            </w:pPr>
            <w:r>
              <w:rPr>
                <w:rFonts w:cs="宋体"/>
                <w:bCs/>
                <w:sz w:val="13"/>
                <w:szCs w:val="13"/>
              </w:rPr>
              <w:t>-19,896,919</w:t>
            </w:r>
          </w:p>
        </w:tc>
        <w:tc>
          <w:tcPr>
            <w:tcW w:w="1096" w:type="dxa"/>
            <w:vAlign w:val="center"/>
          </w:tcPr>
          <w:p w14:paraId="49F6FB16" w14:textId="77777777" w:rsidR="005E000F" w:rsidRDefault="00000000">
            <w:pPr>
              <w:snapToGrid w:val="0"/>
              <w:spacing w:line="240" w:lineRule="atLeast"/>
              <w:jc w:val="right"/>
              <w:rPr>
                <w:rFonts w:cs="宋体"/>
                <w:bCs/>
                <w:sz w:val="13"/>
                <w:szCs w:val="13"/>
              </w:rPr>
            </w:pPr>
            <w:r>
              <w:rPr>
                <w:rFonts w:cs="宋体"/>
                <w:bCs/>
                <w:sz w:val="13"/>
                <w:szCs w:val="13"/>
              </w:rPr>
              <w:t>-782,559,411</w:t>
            </w:r>
          </w:p>
        </w:tc>
      </w:tr>
      <w:tr w:rsidR="005E000F" w14:paraId="75CFAF4C" w14:textId="77777777">
        <w:sdt>
          <w:sdtPr>
            <w:rPr>
              <w:rFonts w:cs="宋体"/>
              <w:bCs/>
              <w:sz w:val="13"/>
              <w:szCs w:val="13"/>
            </w:rPr>
            <w:tag w:val="_PLD_8e6f5912872d41cc910f3bdca18b82d0"/>
            <w:id w:val="-1373536370"/>
          </w:sdtPr>
          <w:sdtContent>
            <w:tc>
              <w:tcPr>
                <w:tcW w:w="1314" w:type="dxa"/>
                <w:vAlign w:val="center"/>
              </w:tcPr>
              <w:p w14:paraId="0585B843" w14:textId="77777777" w:rsidR="005E000F" w:rsidRDefault="00000000">
                <w:pPr>
                  <w:rPr>
                    <w:rFonts w:cs="宋体"/>
                    <w:bCs/>
                    <w:sz w:val="13"/>
                    <w:szCs w:val="13"/>
                  </w:rPr>
                </w:pPr>
                <w:r>
                  <w:rPr>
                    <w:rFonts w:cs="宋体" w:hint="eastAsia"/>
                    <w:bCs/>
                    <w:sz w:val="13"/>
                    <w:szCs w:val="13"/>
                  </w:rPr>
                  <w:t>（六）其他</w:t>
                </w:r>
              </w:p>
            </w:tc>
          </w:sdtContent>
        </w:sdt>
        <w:tc>
          <w:tcPr>
            <w:tcW w:w="1067" w:type="dxa"/>
            <w:vAlign w:val="center"/>
          </w:tcPr>
          <w:p w14:paraId="75FA89AD" w14:textId="77777777" w:rsidR="005E000F" w:rsidRDefault="00000000">
            <w:pPr>
              <w:jc w:val="right"/>
              <w:rPr>
                <w:rFonts w:cs="宋体"/>
                <w:bCs/>
                <w:sz w:val="13"/>
                <w:szCs w:val="13"/>
              </w:rPr>
            </w:pPr>
            <w:r>
              <w:rPr>
                <w:rFonts w:hint="eastAsia"/>
                <w:sz w:val="13"/>
                <w:szCs w:val="13"/>
              </w:rPr>
              <w:t>0</w:t>
            </w:r>
          </w:p>
        </w:tc>
        <w:tc>
          <w:tcPr>
            <w:tcW w:w="289" w:type="dxa"/>
            <w:vAlign w:val="center"/>
          </w:tcPr>
          <w:p w14:paraId="2780998D" w14:textId="77777777" w:rsidR="005E000F" w:rsidRDefault="00000000">
            <w:pPr>
              <w:jc w:val="right"/>
              <w:rPr>
                <w:sz w:val="13"/>
                <w:szCs w:val="13"/>
              </w:rPr>
            </w:pPr>
            <w:r>
              <w:rPr>
                <w:rFonts w:hint="eastAsia"/>
                <w:sz w:val="13"/>
                <w:szCs w:val="13"/>
              </w:rPr>
              <w:t>0</w:t>
            </w:r>
          </w:p>
        </w:tc>
        <w:tc>
          <w:tcPr>
            <w:tcW w:w="322" w:type="dxa"/>
            <w:vAlign w:val="center"/>
          </w:tcPr>
          <w:p w14:paraId="0B8F78B0" w14:textId="77777777" w:rsidR="005E000F" w:rsidRDefault="00000000">
            <w:pPr>
              <w:jc w:val="right"/>
              <w:rPr>
                <w:sz w:val="13"/>
                <w:szCs w:val="13"/>
              </w:rPr>
            </w:pPr>
            <w:r>
              <w:rPr>
                <w:rFonts w:hint="eastAsia"/>
                <w:sz w:val="13"/>
                <w:szCs w:val="13"/>
              </w:rPr>
              <w:t>0</w:t>
            </w:r>
          </w:p>
        </w:tc>
        <w:tc>
          <w:tcPr>
            <w:tcW w:w="944" w:type="dxa"/>
            <w:vAlign w:val="center"/>
          </w:tcPr>
          <w:p w14:paraId="1A15AFD6" w14:textId="77777777" w:rsidR="005E000F" w:rsidRDefault="00000000">
            <w:pPr>
              <w:jc w:val="right"/>
              <w:rPr>
                <w:rFonts w:cs="宋体"/>
                <w:bCs/>
                <w:sz w:val="13"/>
                <w:szCs w:val="13"/>
              </w:rPr>
            </w:pPr>
            <w:r>
              <w:rPr>
                <w:rFonts w:hint="eastAsia"/>
                <w:sz w:val="13"/>
                <w:szCs w:val="13"/>
              </w:rPr>
              <w:t>0</w:t>
            </w:r>
          </w:p>
        </w:tc>
        <w:tc>
          <w:tcPr>
            <w:tcW w:w="1078" w:type="dxa"/>
            <w:vAlign w:val="center"/>
          </w:tcPr>
          <w:p w14:paraId="4D076B8D" w14:textId="77777777" w:rsidR="005E000F" w:rsidRDefault="00000000">
            <w:pPr>
              <w:jc w:val="right"/>
              <w:rPr>
                <w:rFonts w:cs="宋体"/>
                <w:bCs/>
                <w:sz w:val="13"/>
                <w:szCs w:val="13"/>
              </w:rPr>
            </w:pPr>
            <w:r>
              <w:rPr>
                <w:rFonts w:hint="eastAsia"/>
                <w:sz w:val="13"/>
                <w:szCs w:val="13"/>
              </w:rPr>
              <w:t>0</w:t>
            </w:r>
          </w:p>
        </w:tc>
        <w:tc>
          <w:tcPr>
            <w:tcW w:w="911" w:type="dxa"/>
            <w:vAlign w:val="center"/>
          </w:tcPr>
          <w:p w14:paraId="30B5CCA7" w14:textId="77777777" w:rsidR="005E000F" w:rsidRDefault="00000000">
            <w:pPr>
              <w:jc w:val="right"/>
              <w:rPr>
                <w:rFonts w:cs="宋体"/>
                <w:bCs/>
                <w:sz w:val="13"/>
                <w:szCs w:val="13"/>
              </w:rPr>
            </w:pPr>
            <w:r>
              <w:rPr>
                <w:rFonts w:hint="eastAsia"/>
                <w:sz w:val="13"/>
                <w:szCs w:val="13"/>
              </w:rPr>
              <w:t>0</w:t>
            </w:r>
          </w:p>
        </w:tc>
        <w:tc>
          <w:tcPr>
            <w:tcW w:w="1056" w:type="dxa"/>
            <w:vAlign w:val="center"/>
          </w:tcPr>
          <w:p w14:paraId="4978E0A2" w14:textId="77777777" w:rsidR="005E000F" w:rsidRDefault="00000000">
            <w:pPr>
              <w:jc w:val="right"/>
              <w:rPr>
                <w:rFonts w:cs="宋体"/>
                <w:bCs/>
                <w:sz w:val="13"/>
                <w:szCs w:val="13"/>
              </w:rPr>
            </w:pPr>
            <w:r>
              <w:rPr>
                <w:rFonts w:hint="eastAsia"/>
                <w:sz w:val="13"/>
                <w:szCs w:val="13"/>
              </w:rPr>
              <w:t>0</w:t>
            </w:r>
          </w:p>
        </w:tc>
        <w:tc>
          <w:tcPr>
            <w:tcW w:w="955" w:type="dxa"/>
            <w:vAlign w:val="center"/>
          </w:tcPr>
          <w:p w14:paraId="3D4E8902"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56" w:type="dxa"/>
            <w:vAlign w:val="center"/>
          </w:tcPr>
          <w:p w14:paraId="08EAE99F" w14:textId="77777777" w:rsidR="005E000F" w:rsidRDefault="00000000">
            <w:pPr>
              <w:jc w:val="right"/>
              <w:rPr>
                <w:rFonts w:cs="宋体"/>
                <w:bCs/>
                <w:sz w:val="13"/>
                <w:szCs w:val="13"/>
              </w:rPr>
            </w:pPr>
            <w:r>
              <w:rPr>
                <w:rFonts w:hint="eastAsia"/>
                <w:sz w:val="13"/>
                <w:szCs w:val="13"/>
              </w:rPr>
              <w:t>0</w:t>
            </w:r>
          </w:p>
        </w:tc>
        <w:tc>
          <w:tcPr>
            <w:tcW w:w="311" w:type="dxa"/>
            <w:vAlign w:val="center"/>
          </w:tcPr>
          <w:p w14:paraId="37112EB6" w14:textId="77777777" w:rsidR="005E000F" w:rsidRDefault="00000000">
            <w:pPr>
              <w:jc w:val="right"/>
              <w:rPr>
                <w:rFonts w:cs="宋体"/>
                <w:bCs/>
                <w:sz w:val="13"/>
                <w:szCs w:val="13"/>
              </w:rPr>
            </w:pPr>
            <w:r>
              <w:rPr>
                <w:rFonts w:hint="eastAsia"/>
                <w:sz w:val="13"/>
                <w:szCs w:val="13"/>
              </w:rPr>
              <w:t>0</w:t>
            </w:r>
          </w:p>
        </w:tc>
        <w:tc>
          <w:tcPr>
            <w:tcW w:w="1111" w:type="dxa"/>
            <w:vAlign w:val="center"/>
          </w:tcPr>
          <w:p w14:paraId="2939CD91" w14:textId="77777777" w:rsidR="005E000F" w:rsidRDefault="00000000">
            <w:pPr>
              <w:jc w:val="right"/>
              <w:rPr>
                <w:rFonts w:cs="宋体"/>
                <w:bCs/>
                <w:sz w:val="13"/>
                <w:szCs w:val="13"/>
              </w:rPr>
            </w:pPr>
            <w:r>
              <w:rPr>
                <w:rFonts w:hint="eastAsia"/>
                <w:sz w:val="13"/>
                <w:szCs w:val="13"/>
              </w:rPr>
              <w:t>0</w:t>
            </w:r>
          </w:p>
        </w:tc>
        <w:tc>
          <w:tcPr>
            <w:tcW w:w="389" w:type="dxa"/>
            <w:vAlign w:val="center"/>
          </w:tcPr>
          <w:p w14:paraId="298FF829" w14:textId="77777777" w:rsidR="005E000F" w:rsidRDefault="00000000">
            <w:pPr>
              <w:jc w:val="right"/>
              <w:rPr>
                <w:rFonts w:cs="宋体"/>
                <w:bCs/>
                <w:sz w:val="13"/>
                <w:szCs w:val="13"/>
              </w:rPr>
            </w:pPr>
            <w:r>
              <w:rPr>
                <w:rFonts w:hint="eastAsia"/>
                <w:sz w:val="13"/>
                <w:szCs w:val="13"/>
              </w:rPr>
              <w:t>0</w:t>
            </w:r>
          </w:p>
        </w:tc>
        <w:tc>
          <w:tcPr>
            <w:tcW w:w="1152" w:type="dxa"/>
            <w:vAlign w:val="center"/>
          </w:tcPr>
          <w:p w14:paraId="1330177C" w14:textId="77777777" w:rsidR="005E000F" w:rsidRDefault="00000000">
            <w:pPr>
              <w:jc w:val="right"/>
              <w:rPr>
                <w:rFonts w:cs="宋体"/>
                <w:bCs/>
                <w:sz w:val="13"/>
                <w:szCs w:val="13"/>
              </w:rPr>
            </w:pPr>
            <w:r>
              <w:rPr>
                <w:rFonts w:hint="eastAsia"/>
                <w:sz w:val="13"/>
                <w:szCs w:val="13"/>
              </w:rPr>
              <w:t>0</w:t>
            </w:r>
          </w:p>
        </w:tc>
        <w:tc>
          <w:tcPr>
            <w:tcW w:w="1037" w:type="dxa"/>
            <w:vAlign w:val="center"/>
          </w:tcPr>
          <w:p w14:paraId="3701BAAD" w14:textId="77777777" w:rsidR="005E000F" w:rsidRDefault="00000000">
            <w:pPr>
              <w:jc w:val="right"/>
              <w:rPr>
                <w:rFonts w:cs="宋体"/>
                <w:bCs/>
                <w:sz w:val="13"/>
                <w:szCs w:val="13"/>
              </w:rPr>
            </w:pPr>
            <w:r>
              <w:rPr>
                <w:rFonts w:hint="eastAsia"/>
                <w:sz w:val="13"/>
                <w:szCs w:val="13"/>
              </w:rPr>
              <w:t>0</w:t>
            </w:r>
          </w:p>
        </w:tc>
        <w:tc>
          <w:tcPr>
            <w:tcW w:w="1096" w:type="dxa"/>
            <w:vAlign w:val="center"/>
          </w:tcPr>
          <w:p w14:paraId="58635563" w14:textId="77777777" w:rsidR="005E000F" w:rsidRDefault="00000000">
            <w:pPr>
              <w:jc w:val="right"/>
              <w:rPr>
                <w:rFonts w:cs="宋体"/>
                <w:bCs/>
                <w:sz w:val="13"/>
                <w:szCs w:val="13"/>
              </w:rPr>
            </w:pPr>
            <w:r>
              <w:rPr>
                <w:rFonts w:hint="eastAsia"/>
                <w:sz w:val="13"/>
                <w:szCs w:val="13"/>
              </w:rPr>
              <w:t>0</w:t>
            </w:r>
          </w:p>
        </w:tc>
      </w:tr>
      <w:tr w:rsidR="005E000F" w14:paraId="61FCD289" w14:textId="77777777">
        <w:sdt>
          <w:sdtPr>
            <w:rPr>
              <w:rFonts w:cs="宋体"/>
              <w:bCs/>
              <w:sz w:val="13"/>
              <w:szCs w:val="13"/>
            </w:rPr>
            <w:tag w:val="_PLD_f6ec7abefe954758b48497b1b1440546"/>
            <w:id w:val="-677957276"/>
          </w:sdtPr>
          <w:sdtContent>
            <w:tc>
              <w:tcPr>
                <w:tcW w:w="1314" w:type="dxa"/>
                <w:vAlign w:val="center"/>
              </w:tcPr>
              <w:p w14:paraId="3B84EBDF" w14:textId="77777777" w:rsidR="005E000F" w:rsidRDefault="00000000">
                <w:pPr>
                  <w:rPr>
                    <w:rFonts w:cs="宋体"/>
                    <w:bCs/>
                    <w:sz w:val="13"/>
                    <w:szCs w:val="13"/>
                  </w:rPr>
                </w:pPr>
                <w:r>
                  <w:rPr>
                    <w:rFonts w:cs="宋体"/>
                    <w:bCs/>
                    <w:sz w:val="13"/>
                    <w:szCs w:val="13"/>
                  </w:rPr>
                  <w:t>四、本期期末余额</w:t>
                </w:r>
              </w:p>
            </w:tc>
          </w:sdtContent>
        </w:sdt>
        <w:tc>
          <w:tcPr>
            <w:tcW w:w="1067" w:type="dxa"/>
            <w:vAlign w:val="center"/>
          </w:tcPr>
          <w:p w14:paraId="7559AE30" w14:textId="77777777" w:rsidR="005E000F" w:rsidRDefault="00000000">
            <w:pPr>
              <w:snapToGrid w:val="0"/>
              <w:spacing w:line="240" w:lineRule="atLeast"/>
              <w:jc w:val="right"/>
              <w:rPr>
                <w:rFonts w:cs="宋体"/>
                <w:bCs/>
                <w:sz w:val="13"/>
                <w:szCs w:val="13"/>
              </w:rPr>
            </w:pPr>
            <w:r>
              <w:rPr>
                <w:rFonts w:cs="宋体"/>
                <w:bCs/>
                <w:sz w:val="13"/>
                <w:szCs w:val="13"/>
              </w:rPr>
              <w:t>20,147,177,716</w:t>
            </w:r>
          </w:p>
        </w:tc>
        <w:tc>
          <w:tcPr>
            <w:tcW w:w="289" w:type="dxa"/>
            <w:vAlign w:val="center"/>
          </w:tcPr>
          <w:p w14:paraId="0C7C6206" w14:textId="77777777" w:rsidR="005E000F" w:rsidRDefault="00000000">
            <w:pPr>
              <w:jc w:val="right"/>
              <w:rPr>
                <w:sz w:val="13"/>
                <w:szCs w:val="13"/>
              </w:rPr>
            </w:pPr>
            <w:r>
              <w:rPr>
                <w:rFonts w:hint="eastAsia"/>
                <w:sz w:val="13"/>
                <w:szCs w:val="13"/>
              </w:rPr>
              <w:t>0</w:t>
            </w:r>
          </w:p>
        </w:tc>
        <w:tc>
          <w:tcPr>
            <w:tcW w:w="322" w:type="dxa"/>
            <w:vAlign w:val="center"/>
          </w:tcPr>
          <w:p w14:paraId="1AC939F4" w14:textId="77777777" w:rsidR="005E000F" w:rsidRDefault="00000000">
            <w:pPr>
              <w:jc w:val="right"/>
              <w:rPr>
                <w:sz w:val="13"/>
                <w:szCs w:val="13"/>
              </w:rPr>
            </w:pPr>
            <w:r>
              <w:rPr>
                <w:rFonts w:hint="eastAsia"/>
                <w:sz w:val="13"/>
                <w:szCs w:val="13"/>
              </w:rPr>
              <w:t>0</w:t>
            </w:r>
          </w:p>
        </w:tc>
        <w:tc>
          <w:tcPr>
            <w:tcW w:w="944" w:type="dxa"/>
            <w:vAlign w:val="center"/>
          </w:tcPr>
          <w:p w14:paraId="34C0FAD7"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78" w:type="dxa"/>
            <w:vAlign w:val="center"/>
          </w:tcPr>
          <w:p w14:paraId="6A63E298" w14:textId="77777777" w:rsidR="005E000F" w:rsidRDefault="00000000">
            <w:pPr>
              <w:snapToGrid w:val="0"/>
              <w:spacing w:line="240" w:lineRule="atLeast"/>
              <w:jc w:val="right"/>
              <w:rPr>
                <w:rFonts w:cs="宋体"/>
                <w:bCs/>
                <w:sz w:val="13"/>
                <w:szCs w:val="13"/>
              </w:rPr>
            </w:pPr>
            <w:r>
              <w:rPr>
                <w:rFonts w:cs="宋体"/>
                <w:bCs/>
                <w:sz w:val="13"/>
                <w:szCs w:val="13"/>
              </w:rPr>
              <w:t>53,514,144,855</w:t>
            </w:r>
          </w:p>
        </w:tc>
        <w:tc>
          <w:tcPr>
            <w:tcW w:w="911" w:type="dxa"/>
            <w:vAlign w:val="center"/>
          </w:tcPr>
          <w:p w14:paraId="14F8CEEB" w14:textId="77777777" w:rsidR="005E000F" w:rsidRDefault="00000000">
            <w:pPr>
              <w:snapToGrid w:val="0"/>
              <w:spacing w:line="240" w:lineRule="atLeast"/>
              <w:jc w:val="right"/>
              <w:rPr>
                <w:rFonts w:cs="宋体"/>
                <w:bCs/>
                <w:sz w:val="13"/>
                <w:szCs w:val="13"/>
              </w:rPr>
            </w:pPr>
            <w:r>
              <w:rPr>
                <w:rFonts w:cs="宋体"/>
                <w:bCs/>
                <w:sz w:val="13"/>
                <w:szCs w:val="13"/>
              </w:rPr>
              <w:t>247,783,807</w:t>
            </w:r>
          </w:p>
        </w:tc>
        <w:tc>
          <w:tcPr>
            <w:tcW w:w="1056" w:type="dxa"/>
            <w:vAlign w:val="center"/>
          </w:tcPr>
          <w:p w14:paraId="2826BDDA" w14:textId="77777777" w:rsidR="005E000F" w:rsidRDefault="00000000">
            <w:pPr>
              <w:snapToGrid w:val="0"/>
              <w:spacing w:line="240" w:lineRule="atLeast"/>
              <w:jc w:val="right"/>
              <w:rPr>
                <w:rFonts w:cs="宋体"/>
                <w:bCs/>
                <w:sz w:val="13"/>
                <w:szCs w:val="13"/>
              </w:rPr>
            </w:pPr>
            <w:r>
              <w:rPr>
                <w:rFonts w:cs="宋体"/>
                <w:bCs/>
                <w:sz w:val="13"/>
                <w:szCs w:val="13"/>
              </w:rPr>
              <w:t>-1,972,577,195</w:t>
            </w:r>
          </w:p>
        </w:tc>
        <w:tc>
          <w:tcPr>
            <w:tcW w:w="955" w:type="dxa"/>
            <w:vAlign w:val="center"/>
          </w:tcPr>
          <w:p w14:paraId="714E1BAD" w14:textId="77777777" w:rsidR="005E000F" w:rsidRDefault="00000000">
            <w:pPr>
              <w:snapToGrid w:val="0"/>
              <w:spacing w:line="240" w:lineRule="atLeast"/>
              <w:jc w:val="right"/>
              <w:rPr>
                <w:rFonts w:cs="宋体"/>
                <w:bCs/>
                <w:sz w:val="13"/>
                <w:szCs w:val="13"/>
              </w:rPr>
            </w:pPr>
            <w:r>
              <w:rPr>
                <w:rFonts w:cs="宋体"/>
                <w:bCs/>
                <w:sz w:val="13"/>
                <w:szCs w:val="13"/>
              </w:rPr>
              <w:t>195,032,768</w:t>
            </w:r>
          </w:p>
        </w:tc>
        <w:tc>
          <w:tcPr>
            <w:tcW w:w="1056" w:type="dxa"/>
            <w:vAlign w:val="center"/>
          </w:tcPr>
          <w:p w14:paraId="5C88A0A0" w14:textId="77777777" w:rsidR="005E000F" w:rsidRDefault="00000000">
            <w:pPr>
              <w:snapToGrid w:val="0"/>
              <w:spacing w:line="240" w:lineRule="atLeast"/>
              <w:jc w:val="right"/>
              <w:rPr>
                <w:rFonts w:cs="宋体"/>
                <w:bCs/>
                <w:sz w:val="13"/>
                <w:szCs w:val="13"/>
              </w:rPr>
            </w:pPr>
            <w:r>
              <w:rPr>
                <w:rFonts w:cs="宋体"/>
                <w:bCs/>
                <w:sz w:val="13"/>
                <w:szCs w:val="13"/>
              </w:rPr>
              <w:t>22,110,014,702</w:t>
            </w:r>
          </w:p>
        </w:tc>
        <w:tc>
          <w:tcPr>
            <w:tcW w:w="311" w:type="dxa"/>
            <w:vAlign w:val="center"/>
          </w:tcPr>
          <w:p w14:paraId="0086FFCF"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111" w:type="dxa"/>
            <w:vAlign w:val="center"/>
          </w:tcPr>
          <w:p w14:paraId="561047F8" w14:textId="77777777" w:rsidR="005E000F" w:rsidRDefault="00000000">
            <w:pPr>
              <w:snapToGrid w:val="0"/>
              <w:spacing w:line="240" w:lineRule="atLeast"/>
              <w:jc w:val="right"/>
              <w:rPr>
                <w:rFonts w:cs="宋体"/>
                <w:bCs/>
                <w:sz w:val="13"/>
                <w:szCs w:val="13"/>
              </w:rPr>
            </w:pPr>
            <w:r>
              <w:rPr>
                <w:rFonts w:cs="宋体"/>
                <w:bCs/>
                <w:sz w:val="13"/>
                <w:szCs w:val="13"/>
              </w:rPr>
              <w:t>70,530,246,795</w:t>
            </w:r>
          </w:p>
        </w:tc>
        <w:tc>
          <w:tcPr>
            <w:tcW w:w="389" w:type="dxa"/>
            <w:vAlign w:val="center"/>
          </w:tcPr>
          <w:p w14:paraId="49A5CF88"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152" w:type="dxa"/>
            <w:vAlign w:val="center"/>
          </w:tcPr>
          <w:p w14:paraId="791782EC" w14:textId="77777777" w:rsidR="005E000F" w:rsidRDefault="00000000">
            <w:pPr>
              <w:snapToGrid w:val="0"/>
              <w:spacing w:line="240" w:lineRule="atLeast"/>
              <w:jc w:val="right"/>
              <w:rPr>
                <w:rFonts w:cs="宋体"/>
                <w:bCs/>
                <w:sz w:val="13"/>
                <w:szCs w:val="13"/>
              </w:rPr>
            </w:pPr>
            <w:r>
              <w:rPr>
                <w:rFonts w:cs="宋体"/>
                <w:bCs/>
                <w:sz w:val="13"/>
                <w:szCs w:val="13"/>
              </w:rPr>
              <w:t>164,276,255,834</w:t>
            </w:r>
          </w:p>
        </w:tc>
        <w:tc>
          <w:tcPr>
            <w:tcW w:w="1037" w:type="dxa"/>
            <w:vAlign w:val="center"/>
          </w:tcPr>
          <w:p w14:paraId="160694DE" w14:textId="77777777" w:rsidR="005E000F" w:rsidRDefault="00000000">
            <w:pPr>
              <w:snapToGrid w:val="0"/>
              <w:spacing w:line="240" w:lineRule="atLeast"/>
              <w:jc w:val="right"/>
              <w:rPr>
                <w:rFonts w:cs="宋体"/>
                <w:bCs/>
                <w:sz w:val="13"/>
                <w:szCs w:val="13"/>
              </w:rPr>
            </w:pPr>
            <w:r>
              <w:rPr>
                <w:rFonts w:cs="宋体"/>
                <w:bCs/>
                <w:sz w:val="13"/>
                <w:szCs w:val="13"/>
              </w:rPr>
              <w:t>15,262,389,974</w:t>
            </w:r>
          </w:p>
        </w:tc>
        <w:tc>
          <w:tcPr>
            <w:tcW w:w="1096" w:type="dxa"/>
            <w:vAlign w:val="center"/>
          </w:tcPr>
          <w:p w14:paraId="1589C951" w14:textId="77777777" w:rsidR="005E000F" w:rsidRDefault="00000000">
            <w:pPr>
              <w:snapToGrid w:val="0"/>
              <w:spacing w:line="240" w:lineRule="atLeast"/>
              <w:jc w:val="right"/>
              <w:rPr>
                <w:rFonts w:cs="宋体"/>
                <w:bCs/>
                <w:sz w:val="13"/>
                <w:szCs w:val="13"/>
              </w:rPr>
            </w:pPr>
            <w:r>
              <w:rPr>
                <w:rFonts w:cs="宋体"/>
                <w:bCs/>
                <w:sz w:val="13"/>
                <w:szCs w:val="13"/>
              </w:rPr>
              <w:t>179,538,645,808</w:t>
            </w:r>
          </w:p>
        </w:tc>
      </w:tr>
    </w:tbl>
    <w:p w14:paraId="3B25AEC2" w14:textId="77777777" w:rsidR="005E000F" w:rsidRDefault="005E000F"/>
    <w:p w14:paraId="2FAE0BEA" w14:textId="77777777" w:rsidR="005E000F" w:rsidRDefault="005E000F">
      <w:pPr>
        <w:snapToGrid w:val="0"/>
        <w:spacing w:line="240" w:lineRule="atLeast"/>
        <w:ind w:rightChars="-759" w:right="-159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4"/>
        <w:gridCol w:w="1089"/>
        <w:gridCol w:w="289"/>
        <w:gridCol w:w="311"/>
        <w:gridCol w:w="1000"/>
        <w:gridCol w:w="1033"/>
        <w:gridCol w:w="900"/>
        <w:gridCol w:w="1056"/>
        <w:gridCol w:w="944"/>
        <w:gridCol w:w="1056"/>
        <w:gridCol w:w="311"/>
        <w:gridCol w:w="1089"/>
        <w:gridCol w:w="351"/>
        <w:gridCol w:w="1160"/>
        <w:gridCol w:w="1067"/>
        <w:gridCol w:w="1118"/>
      </w:tblGrid>
      <w:tr w:rsidR="005E000F" w14:paraId="0A04828F" w14:textId="77777777">
        <w:trPr>
          <w:cantSplit/>
        </w:trPr>
        <w:tc>
          <w:tcPr>
            <w:tcW w:w="1314" w:type="dxa"/>
            <w:vMerge w:val="restart"/>
            <w:vAlign w:val="center"/>
          </w:tcPr>
          <w:sdt>
            <w:sdtPr>
              <w:rPr>
                <w:sz w:val="13"/>
                <w:szCs w:val="13"/>
              </w:rPr>
              <w:tag w:val="_PLD_229212c664af43faa41821d5eec551b8"/>
              <w:id w:val="156271961"/>
            </w:sdtPr>
            <w:sdtContent>
              <w:p w14:paraId="430BD5C4" w14:textId="77777777" w:rsidR="005E000F" w:rsidRDefault="00000000">
                <w:pPr>
                  <w:snapToGrid w:val="0"/>
                  <w:spacing w:line="240" w:lineRule="atLeast"/>
                  <w:jc w:val="center"/>
                  <w:rPr>
                    <w:sz w:val="13"/>
                    <w:szCs w:val="13"/>
                  </w:rPr>
                </w:pPr>
                <w:r>
                  <w:rPr>
                    <w:rFonts w:hint="eastAsia"/>
                    <w:sz w:val="13"/>
                    <w:szCs w:val="13"/>
                  </w:rPr>
                  <w:t>项目</w:t>
                </w:r>
              </w:p>
            </w:sdtContent>
          </w:sdt>
        </w:tc>
        <w:tc>
          <w:tcPr>
            <w:tcW w:w="12774" w:type="dxa"/>
            <w:gridSpan w:val="15"/>
            <w:vAlign w:val="center"/>
          </w:tcPr>
          <w:p w14:paraId="38149E2A" w14:textId="77777777" w:rsidR="005E000F" w:rsidRDefault="00000000">
            <w:pPr>
              <w:snapToGrid w:val="0"/>
              <w:spacing w:line="240" w:lineRule="atLeast"/>
              <w:ind w:rightChars="-759" w:right="-1594"/>
              <w:jc w:val="center"/>
              <w:rPr>
                <w:sz w:val="13"/>
                <w:szCs w:val="13"/>
              </w:rPr>
            </w:pPr>
            <w:r>
              <w:rPr>
                <w:rFonts w:hint="eastAsia"/>
                <w:sz w:val="13"/>
                <w:szCs w:val="13"/>
              </w:rPr>
              <w:t xml:space="preserve"> </w:t>
            </w:r>
            <w:sdt>
              <w:sdtPr>
                <w:rPr>
                  <w:sz w:val="13"/>
                  <w:szCs w:val="13"/>
                </w:rPr>
                <w:tag w:val="_PLD_5c8dcea3749f4f92b2d283c717162a73"/>
                <w:id w:val="-23709257"/>
              </w:sdtPr>
              <w:sdtContent>
                <w:r>
                  <w:rPr>
                    <w:rFonts w:hint="eastAsia"/>
                    <w:sz w:val="13"/>
                    <w:szCs w:val="13"/>
                  </w:rPr>
                  <w:t>2024</w:t>
                </w:r>
                <w:r>
                  <w:rPr>
                    <w:rFonts w:hint="eastAsia"/>
                    <w:sz w:val="13"/>
                    <w:szCs w:val="13"/>
                  </w:rPr>
                  <w:t>年度</w:t>
                </w:r>
              </w:sdtContent>
            </w:sdt>
          </w:p>
        </w:tc>
      </w:tr>
      <w:tr w:rsidR="005E000F" w14:paraId="202B4BE4" w14:textId="77777777">
        <w:trPr>
          <w:cantSplit/>
          <w:trHeight w:val="471"/>
        </w:trPr>
        <w:tc>
          <w:tcPr>
            <w:tcW w:w="1314" w:type="dxa"/>
            <w:vMerge/>
            <w:vAlign w:val="center"/>
          </w:tcPr>
          <w:p w14:paraId="6A115E7F" w14:textId="77777777" w:rsidR="005E000F" w:rsidRDefault="005E000F">
            <w:pPr>
              <w:snapToGrid w:val="0"/>
              <w:spacing w:line="240" w:lineRule="atLeast"/>
              <w:ind w:rightChars="-759" w:right="-1594"/>
              <w:rPr>
                <w:sz w:val="13"/>
                <w:szCs w:val="13"/>
              </w:rPr>
            </w:pPr>
          </w:p>
        </w:tc>
        <w:sdt>
          <w:sdtPr>
            <w:rPr>
              <w:sz w:val="13"/>
              <w:szCs w:val="13"/>
            </w:rPr>
            <w:tag w:val="_PLD_e725a8cacf9d4d1abedbfeae17c394e0"/>
            <w:id w:val="-2063862884"/>
          </w:sdtPr>
          <w:sdtContent>
            <w:tc>
              <w:tcPr>
                <w:tcW w:w="10589" w:type="dxa"/>
                <w:gridSpan w:val="13"/>
                <w:vAlign w:val="center"/>
              </w:tcPr>
              <w:p w14:paraId="376310F8" w14:textId="77777777" w:rsidR="005E000F" w:rsidRDefault="00000000">
                <w:pPr>
                  <w:jc w:val="center"/>
                  <w:rPr>
                    <w:sz w:val="13"/>
                    <w:szCs w:val="13"/>
                  </w:rPr>
                </w:pPr>
                <w:r>
                  <w:rPr>
                    <w:sz w:val="13"/>
                    <w:szCs w:val="13"/>
                  </w:rPr>
                  <w:t>归属于母公司所有者权益</w:t>
                </w:r>
              </w:p>
            </w:tc>
          </w:sdtContent>
        </w:sdt>
        <w:sdt>
          <w:sdtPr>
            <w:rPr>
              <w:sz w:val="13"/>
              <w:szCs w:val="13"/>
            </w:rPr>
            <w:tag w:val="_PLD_fe6c49384f0941088b29ad945caeb72b"/>
            <w:id w:val="528767475"/>
          </w:sdtPr>
          <w:sdtContent>
            <w:tc>
              <w:tcPr>
                <w:tcW w:w="1067" w:type="dxa"/>
                <w:vMerge w:val="restart"/>
                <w:vAlign w:val="center"/>
              </w:tcPr>
              <w:p w14:paraId="6E8EC3F8" w14:textId="77777777" w:rsidR="005E000F" w:rsidRDefault="00000000">
                <w:pPr>
                  <w:jc w:val="center"/>
                  <w:rPr>
                    <w:sz w:val="13"/>
                    <w:szCs w:val="13"/>
                  </w:rPr>
                </w:pPr>
                <w:r>
                  <w:rPr>
                    <w:sz w:val="13"/>
                    <w:szCs w:val="13"/>
                  </w:rPr>
                  <w:t>少数股东权益</w:t>
                </w:r>
              </w:p>
            </w:tc>
          </w:sdtContent>
        </w:sdt>
        <w:sdt>
          <w:sdtPr>
            <w:rPr>
              <w:sz w:val="13"/>
              <w:szCs w:val="13"/>
            </w:rPr>
            <w:tag w:val="_PLD_bbe71d4307504d648ce52638ee90ccd4"/>
            <w:id w:val="532938906"/>
          </w:sdtPr>
          <w:sdtContent>
            <w:tc>
              <w:tcPr>
                <w:tcW w:w="1118" w:type="dxa"/>
                <w:vMerge w:val="restart"/>
                <w:vAlign w:val="center"/>
              </w:tcPr>
              <w:p w14:paraId="7601050A" w14:textId="77777777" w:rsidR="005E000F" w:rsidRDefault="00000000">
                <w:pPr>
                  <w:jc w:val="center"/>
                  <w:rPr>
                    <w:sz w:val="13"/>
                    <w:szCs w:val="13"/>
                  </w:rPr>
                </w:pPr>
                <w:r>
                  <w:rPr>
                    <w:sz w:val="13"/>
                    <w:szCs w:val="13"/>
                  </w:rPr>
                  <w:t>所有者权益合计</w:t>
                </w:r>
              </w:p>
            </w:tc>
          </w:sdtContent>
        </w:sdt>
      </w:tr>
      <w:tr w:rsidR="005E000F" w14:paraId="73EBEB8B" w14:textId="77777777">
        <w:trPr>
          <w:cantSplit/>
          <w:trHeight w:val="383"/>
        </w:trPr>
        <w:tc>
          <w:tcPr>
            <w:tcW w:w="1314" w:type="dxa"/>
            <w:vMerge/>
            <w:vAlign w:val="center"/>
          </w:tcPr>
          <w:p w14:paraId="380B3C06" w14:textId="77777777" w:rsidR="005E000F" w:rsidRDefault="005E000F">
            <w:pPr>
              <w:snapToGrid w:val="0"/>
              <w:spacing w:line="240" w:lineRule="atLeast"/>
              <w:ind w:rightChars="-759" w:right="-1594"/>
              <w:rPr>
                <w:sz w:val="13"/>
                <w:szCs w:val="13"/>
              </w:rPr>
            </w:pPr>
          </w:p>
        </w:tc>
        <w:sdt>
          <w:sdtPr>
            <w:rPr>
              <w:sz w:val="13"/>
              <w:szCs w:val="13"/>
            </w:rPr>
            <w:tag w:val="_PLD_941585ba85eb48fa931876151974e425"/>
            <w:id w:val="1491682909"/>
          </w:sdtPr>
          <w:sdtContent>
            <w:tc>
              <w:tcPr>
                <w:tcW w:w="1089" w:type="dxa"/>
                <w:vMerge w:val="restart"/>
                <w:vAlign w:val="center"/>
              </w:tcPr>
              <w:p w14:paraId="220A95FC" w14:textId="77777777" w:rsidR="005E000F" w:rsidRDefault="00000000">
                <w:pPr>
                  <w:snapToGrid w:val="0"/>
                  <w:spacing w:line="240" w:lineRule="atLeast"/>
                  <w:jc w:val="center"/>
                  <w:rPr>
                    <w:sz w:val="13"/>
                    <w:szCs w:val="13"/>
                  </w:rPr>
                </w:pPr>
                <w:r>
                  <w:rPr>
                    <w:sz w:val="13"/>
                    <w:szCs w:val="13"/>
                  </w:rPr>
                  <w:t>实收资本</w:t>
                </w:r>
                <w:r>
                  <w:rPr>
                    <w:sz w:val="13"/>
                    <w:szCs w:val="13"/>
                  </w:rPr>
                  <w:t xml:space="preserve"> </w:t>
                </w:r>
                <w:r>
                  <w:rPr>
                    <w:rFonts w:hint="eastAsia"/>
                    <w:sz w:val="13"/>
                    <w:szCs w:val="13"/>
                  </w:rPr>
                  <w:t>（</w:t>
                </w:r>
                <w:r>
                  <w:rPr>
                    <w:sz w:val="13"/>
                    <w:szCs w:val="13"/>
                  </w:rPr>
                  <w:t>或股本</w:t>
                </w:r>
                <w:r>
                  <w:rPr>
                    <w:rFonts w:hint="eastAsia"/>
                    <w:sz w:val="13"/>
                    <w:szCs w:val="13"/>
                  </w:rPr>
                  <w:t>）</w:t>
                </w:r>
              </w:p>
            </w:tc>
          </w:sdtContent>
        </w:sdt>
        <w:sdt>
          <w:sdtPr>
            <w:rPr>
              <w:sz w:val="13"/>
              <w:szCs w:val="13"/>
            </w:rPr>
            <w:tag w:val="_PLD_4097b1c4c4f449ef94e9dedb67cf7c3a"/>
            <w:id w:val="-1163087394"/>
          </w:sdtPr>
          <w:sdtContent>
            <w:tc>
              <w:tcPr>
                <w:tcW w:w="1600" w:type="dxa"/>
                <w:gridSpan w:val="3"/>
                <w:vAlign w:val="center"/>
              </w:tcPr>
              <w:p w14:paraId="0B28BC4B" w14:textId="77777777" w:rsidR="005E000F" w:rsidRDefault="00000000">
                <w:pPr>
                  <w:snapToGrid w:val="0"/>
                  <w:spacing w:line="240" w:lineRule="atLeast"/>
                  <w:jc w:val="center"/>
                  <w:rPr>
                    <w:sz w:val="13"/>
                    <w:szCs w:val="13"/>
                  </w:rPr>
                </w:pPr>
                <w:r>
                  <w:rPr>
                    <w:rFonts w:hint="eastAsia"/>
                    <w:sz w:val="13"/>
                    <w:szCs w:val="13"/>
                  </w:rPr>
                  <w:t>其他权益工具</w:t>
                </w:r>
              </w:p>
            </w:tc>
          </w:sdtContent>
        </w:sdt>
        <w:sdt>
          <w:sdtPr>
            <w:rPr>
              <w:sz w:val="13"/>
              <w:szCs w:val="13"/>
            </w:rPr>
            <w:tag w:val="_PLD_f8441471f9a041ac884142e2c9e87055"/>
            <w:id w:val="-312492252"/>
          </w:sdtPr>
          <w:sdtContent>
            <w:tc>
              <w:tcPr>
                <w:tcW w:w="1033" w:type="dxa"/>
                <w:vMerge w:val="restart"/>
                <w:vAlign w:val="center"/>
              </w:tcPr>
              <w:p w14:paraId="34CC3142" w14:textId="77777777" w:rsidR="005E000F" w:rsidRDefault="00000000">
                <w:pPr>
                  <w:snapToGrid w:val="0"/>
                  <w:spacing w:line="240" w:lineRule="atLeast"/>
                  <w:jc w:val="center"/>
                  <w:rPr>
                    <w:sz w:val="13"/>
                    <w:szCs w:val="13"/>
                  </w:rPr>
                </w:pPr>
                <w:r>
                  <w:rPr>
                    <w:rFonts w:hint="eastAsia"/>
                    <w:sz w:val="13"/>
                    <w:szCs w:val="13"/>
                  </w:rPr>
                  <w:t>资本公积</w:t>
                </w:r>
              </w:p>
            </w:tc>
          </w:sdtContent>
        </w:sdt>
        <w:sdt>
          <w:sdtPr>
            <w:rPr>
              <w:sz w:val="13"/>
              <w:szCs w:val="13"/>
            </w:rPr>
            <w:tag w:val="_PLD_f972a7ccc15d4f409243ecc02ea77629"/>
            <w:id w:val="675156335"/>
          </w:sdtPr>
          <w:sdtContent>
            <w:tc>
              <w:tcPr>
                <w:tcW w:w="900" w:type="dxa"/>
                <w:vMerge w:val="restart"/>
                <w:vAlign w:val="center"/>
              </w:tcPr>
              <w:p w14:paraId="188A8AAB" w14:textId="77777777" w:rsidR="005E000F" w:rsidRDefault="00000000">
                <w:pPr>
                  <w:snapToGrid w:val="0"/>
                  <w:spacing w:line="240" w:lineRule="atLeast"/>
                  <w:jc w:val="center"/>
                  <w:rPr>
                    <w:sz w:val="13"/>
                    <w:szCs w:val="13"/>
                  </w:rPr>
                </w:pPr>
                <w:r>
                  <w:rPr>
                    <w:rFonts w:hint="eastAsia"/>
                    <w:sz w:val="13"/>
                    <w:szCs w:val="13"/>
                  </w:rPr>
                  <w:t>减：库存股</w:t>
                </w:r>
              </w:p>
            </w:tc>
          </w:sdtContent>
        </w:sdt>
        <w:sdt>
          <w:sdtPr>
            <w:rPr>
              <w:sz w:val="13"/>
              <w:szCs w:val="13"/>
            </w:rPr>
            <w:tag w:val="_PLD_32394603dc124fdb904af0ad8606aa79"/>
            <w:id w:val="613488189"/>
          </w:sdtPr>
          <w:sdtContent>
            <w:tc>
              <w:tcPr>
                <w:tcW w:w="1056" w:type="dxa"/>
                <w:vMerge w:val="restart"/>
                <w:vAlign w:val="center"/>
              </w:tcPr>
              <w:p w14:paraId="15F685DC" w14:textId="77777777" w:rsidR="005E000F" w:rsidRDefault="00000000">
                <w:pPr>
                  <w:snapToGrid w:val="0"/>
                  <w:spacing w:line="240" w:lineRule="atLeast"/>
                  <w:jc w:val="center"/>
                  <w:rPr>
                    <w:sz w:val="13"/>
                    <w:szCs w:val="13"/>
                  </w:rPr>
                </w:pPr>
                <w:r>
                  <w:rPr>
                    <w:rFonts w:hint="eastAsia"/>
                    <w:sz w:val="13"/>
                    <w:szCs w:val="13"/>
                  </w:rPr>
                  <w:t>其他综合收益</w:t>
                </w:r>
              </w:p>
            </w:tc>
          </w:sdtContent>
        </w:sdt>
        <w:sdt>
          <w:sdtPr>
            <w:rPr>
              <w:sz w:val="13"/>
              <w:szCs w:val="13"/>
            </w:rPr>
            <w:tag w:val="_PLD_af29ec23e072452c89c8447237a4831e"/>
            <w:id w:val="1999147428"/>
          </w:sdtPr>
          <w:sdtContent>
            <w:tc>
              <w:tcPr>
                <w:tcW w:w="944" w:type="dxa"/>
                <w:vMerge w:val="restart"/>
                <w:vAlign w:val="center"/>
              </w:tcPr>
              <w:p w14:paraId="2D7A0431" w14:textId="77777777" w:rsidR="005E000F" w:rsidRDefault="00000000">
                <w:pPr>
                  <w:snapToGrid w:val="0"/>
                  <w:spacing w:line="240" w:lineRule="atLeast"/>
                  <w:jc w:val="center"/>
                  <w:rPr>
                    <w:sz w:val="13"/>
                    <w:szCs w:val="13"/>
                  </w:rPr>
                </w:pPr>
                <w:r>
                  <w:rPr>
                    <w:rFonts w:hint="eastAsia"/>
                    <w:sz w:val="13"/>
                    <w:szCs w:val="13"/>
                  </w:rPr>
                  <w:t>专项储备</w:t>
                </w:r>
              </w:p>
            </w:tc>
          </w:sdtContent>
        </w:sdt>
        <w:sdt>
          <w:sdtPr>
            <w:rPr>
              <w:sz w:val="13"/>
              <w:szCs w:val="13"/>
            </w:rPr>
            <w:tag w:val="_PLD_81a68447a616402b99500dae3d54a22d"/>
            <w:id w:val="-1468117339"/>
          </w:sdtPr>
          <w:sdtContent>
            <w:tc>
              <w:tcPr>
                <w:tcW w:w="1056" w:type="dxa"/>
                <w:vMerge w:val="restart"/>
                <w:vAlign w:val="center"/>
              </w:tcPr>
              <w:p w14:paraId="3CFF9947" w14:textId="77777777" w:rsidR="005E000F" w:rsidRDefault="00000000">
                <w:pPr>
                  <w:snapToGrid w:val="0"/>
                  <w:spacing w:line="240" w:lineRule="atLeast"/>
                  <w:jc w:val="center"/>
                  <w:rPr>
                    <w:sz w:val="13"/>
                    <w:szCs w:val="13"/>
                  </w:rPr>
                </w:pPr>
                <w:r>
                  <w:rPr>
                    <w:rFonts w:hint="eastAsia"/>
                    <w:sz w:val="13"/>
                    <w:szCs w:val="13"/>
                  </w:rPr>
                  <w:t>盈余公积</w:t>
                </w:r>
              </w:p>
            </w:tc>
          </w:sdtContent>
        </w:sdt>
        <w:sdt>
          <w:sdtPr>
            <w:rPr>
              <w:sz w:val="13"/>
              <w:szCs w:val="13"/>
            </w:rPr>
            <w:tag w:val="_PLD_ad0dadbaf28f45779fefb69d05b7215d"/>
            <w:id w:val="1966159294"/>
          </w:sdtPr>
          <w:sdtContent>
            <w:tc>
              <w:tcPr>
                <w:tcW w:w="311" w:type="dxa"/>
                <w:vMerge w:val="restart"/>
                <w:vAlign w:val="center"/>
              </w:tcPr>
              <w:p w14:paraId="34A80B97" w14:textId="77777777" w:rsidR="005E000F" w:rsidRDefault="00000000">
                <w:pPr>
                  <w:snapToGrid w:val="0"/>
                  <w:spacing w:line="240" w:lineRule="atLeast"/>
                  <w:jc w:val="center"/>
                  <w:rPr>
                    <w:sz w:val="13"/>
                    <w:szCs w:val="13"/>
                  </w:rPr>
                </w:pPr>
                <w:r>
                  <w:rPr>
                    <w:rFonts w:hint="eastAsia"/>
                    <w:sz w:val="13"/>
                    <w:szCs w:val="13"/>
                  </w:rPr>
                  <w:t>一般风险准备</w:t>
                </w:r>
              </w:p>
            </w:tc>
          </w:sdtContent>
        </w:sdt>
        <w:sdt>
          <w:sdtPr>
            <w:rPr>
              <w:sz w:val="13"/>
              <w:szCs w:val="13"/>
            </w:rPr>
            <w:tag w:val="_PLD_a51f5c6bdac744979b275b09b6a9d1d8"/>
            <w:id w:val="-128096888"/>
          </w:sdtPr>
          <w:sdtContent>
            <w:tc>
              <w:tcPr>
                <w:tcW w:w="1089" w:type="dxa"/>
                <w:vMerge w:val="restart"/>
                <w:vAlign w:val="center"/>
              </w:tcPr>
              <w:p w14:paraId="2DD16EAE" w14:textId="77777777" w:rsidR="005E000F" w:rsidRDefault="00000000">
                <w:pPr>
                  <w:snapToGrid w:val="0"/>
                  <w:spacing w:line="240" w:lineRule="atLeast"/>
                  <w:jc w:val="center"/>
                  <w:rPr>
                    <w:sz w:val="13"/>
                    <w:szCs w:val="13"/>
                  </w:rPr>
                </w:pPr>
                <w:r>
                  <w:rPr>
                    <w:rFonts w:hint="eastAsia"/>
                    <w:sz w:val="13"/>
                    <w:szCs w:val="13"/>
                  </w:rPr>
                  <w:t>未分配利润</w:t>
                </w:r>
              </w:p>
            </w:tc>
          </w:sdtContent>
        </w:sdt>
        <w:tc>
          <w:tcPr>
            <w:tcW w:w="351" w:type="dxa"/>
            <w:vMerge w:val="restart"/>
            <w:vAlign w:val="center"/>
          </w:tcPr>
          <w:sdt>
            <w:sdtPr>
              <w:rPr>
                <w:sz w:val="13"/>
                <w:szCs w:val="13"/>
              </w:rPr>
              <w:tag w:val="_PLD_ae449a7a80f64d56b34968f1f21d2198"/>
              <w:id w:val="2064600531"/>
            </w:sdtPr>
            <w:sdtContent>
              <w:p w14:paraId="568FE659" w14:textId="77777777" w:rsidR="005E000F" w:rsidRDefault="00000000">
                <w:pPr>
                  <w:jc w:val="center"/>
                  <w:rPr>
                    <w:sz w:val="13"/>
                    <w:szCs w:val="13"/>
                  </w:rPr>
                </w:pPr>
                <w:r>
                  <w:rPr>
                    <w:rFonts w:hint="eastAsia"/>
                    <w:sz w:val="13"/>
                    <w:szCs w:val="13"/>
                  </w:rPr>
                  <w:t>其他</w:t>
                </w:r>
              </w:p>
            </w:sdtContent>
          </w:sdt>
        </w:tc>
        <w:tc>
          <w:tcPr>
            <w:tcW w:w="1160" w:type="dxa"/>
            <w:vMerge w:val="restart"/>
            <w:vAlign w:val="center"/>
          </w:tcPr>
          <w:sdt>
            <w:sdtPr>
              <w:rPr>
                <w:sz w:val="13"/>
                <w:szCs w:val="13"/>
              </w:rPr>
              <w:tag w:val="_PLD_f2691f33b2164ad8b83415f8cd404dea"/>
              <w:id w:val="-29963640"/>
            </w:sdtPr>
            <w:sdtContent>
              <w:p w14:paraId="6984B5B4" w14:textId="77777777" w:rsidR="005E000F" w:rsidRDefault="00000000">
                <w:pPr>
                  <w:jc w:val="center"/>
                  <w:rPr>
                    <w:sz w:val="13"/>
                    <w:szCs w:val="13"/>
                  </w:rPr>
                </w:pPr>
                <w:r>
                  <w:rPr>
                    <w:rFonts w:hint="eastAsia"/>
                    <w:sz w:val="13"/>
                    <w:szCs w:val="13"/>
                  </w:rPr>
                  <w:t>小计</w:t>
                </w:r>
              </w:p>
            </w:sdtContent>
          </w:sdt>
        </w:tc>
        <w:tc>
          <w:tcPr>
            <w:tcW w:w="1067" w:type="dxa"/>
            <w:vMerge/>
            <w:vAlign w:val="center"/>
          </w:tcPr>
          <w:p w14:paraId="233B9E46" w14:textId="77777777" w:rsidR="005E000F" w:rsidRDefault="005E000F">
            <w:pPr>
              <w:jc w:val="center"/>
              <w:rPr>
                <w:sz w:val="13"/>
                <w:szCs w:val="13"/>
              </w:rPr>
            </w:pPr>
          </w:p>
        </w:tc>
        <w:tc>
          <w:tcPr>
            <w:tcW w:w="1118" w:type="dxa"/>
            <w:vMerge/>
            <w:vAlign w:val="center"/>
          </w:tcPr>
          <w:p w14:paraId="41339BC7" w14:textId="77777777" w:rsidR="005E000F" w:rsidRDefault="005E000F">
            <w:pPr>
              <w:jc w:val="center"/>
              <w:rPr>
                <w:sz w:val="13"/>
                <w:szCs w:val="13"/>
              </w:rPr>
            </w:pPr>
          </w:p>
        </w:tc>
      </w:tr>
      <w:tr w:rsidR="005E000F" w14:paraId="3FEECD2E" w14:textId="77777777">
        <w:trPr>
          <w:cantSplit/>
          <w:trHeight w:val="303"/>
        </w:trPr>
        <w:tc>
          <w:tcPr>
            <w:tcW w:w="1314" w:type="dxa"/>
            <w:vMerge/>
            <w:vAlign w:val="center"/>
          </w:tcPr>
          <w:p w14:paraId="3CB833EC" w14:textId="77777777" w:rsidR="005E000F" w:rsidRDefault="005E000F">
            <w:pPr>
              <w:snapToGrid w:val="0"/>
              <w:spacing w:line="240" w:lineRule="atLeast"/>
              <w:ind w:rightChars="-759" w:right="-1594"/>
              <w:rPr>
                <w:sz w:val="13"/>
                <w:szCs w:val="13"/>
              </w:rPr>
            </w:pPr>
          </w:p>
        </w:tc>
        <w:tc>
          <w:tcPr>
            <w:tcW w:w="1089" w:type="dxa"/>
            <w:vMerge/>
            <w:vAlign w:val="center"/>
          </w:tcPr>
          <w:p w14:paraId="01ACCB77" w14:textId="77777777" w:rsidR="005E000F" w:rsidRDefault="005E000F">
            <w:pPr>
              <w:snapToGrid w:val="0"/>
              <w:spacing w:line="240" w:lineRule="atLeast"/>
              <w:jc w:val="center"/>
              <w:rPr>
                <w:sz w:val="13"/>
                <w:szCs w:val="13"/>
              </w:rPr>
            </w:pPr>
          </w:p>
        </w:tc>
        <w:sdt>
          <w:sdtPr>
            <w:rPr>
              <w:sz w:val="13"/>
              <w:szCs w:val="13"/>
            </w:rPr>
            <w:tag w:val="_PLD_c8e4e3f938444f399262729a0267aa59"/>
            <w:id w:val="719793290"/>
          </w:sdtPr>
          <w:sdtContent>
            <w:tc>
              <w:tcPr>
                <w:tcW w:w="289" w:type="dxa"/>
                <w:vAlign w:val="center"/>
              </w:tcPr>
              <w:p w14:paraId="5D0648D4" w14:textId="77777777" w:rsidR="005E000F" w:rsidRDefault="00000000">
                <w:pPr>
                  <w:jc w:val="center"/>
                  <w:rPr>
                    <w:sz w:val="13"/>
                    <w:szCs w:val="13"/>
                  </w:rPr>
                </w:pPr>
                <w:r>
                  <w:rPr>
                    <w:rFonts w:hint="eastAsia"/>
                    <w:sz w:val="13"/>
                    <w:szCs w:val="13"/>
                  </w:rPr>
                  <w:t>优先股</w:t>
                </w:r>
              </w:p>
            </w:tc>
          </w:sdtContent>
        </w:sdt>
        <w:sdt>
          <w:sdtPr>
            <w:rPr>
              <w:sz w:val="13"/>
              <w:szCs w:val="13"/>
            </w:rPr>
            <w:tag w:val="_PLD_70f3796cf4ab4ecbb92343a346942a09"/>
            <w:id w:val="111789624"/>
          </w:sdtPr>
          <w:sdtContent>
            <w:tc>
              <w:tcPr>
                <w:tcW w:w="311" w:type="dxa"/>
                <w:vAlign w:val="center"/>
              </w:tcPr>
              <w:p w14:paraId="5524DA7D" w14:textId="77777777" w:rsidR="005E000F" w:rsidRDefault="00000000">
                <w:pPr>
                  <w:jc w:val="center"/>
                  <w:rPr>
                    <w:sz w:val="13"/>
                    <w:szCs w:val="13"/>
                  </w:rPr>
                </w:pPr>
                <w:r>
                  <w:rPr>
                    <w:rFonts w:hint="eastAsia"/>
                    <w:sz w:val="13"/>
                    <w:szCs w:val="13"/>
                  </w:rPr>
                  <w:t>永续债</w:t>
                </w:r>
              </w:p>
            </w:tc>
          </w:sdtContent>
        </w:sdt>
        <w:sdt>
          <w:sdtPr>
            <w:rPr>
              <w:sz w:val="13"/>
              <w:szCs w:val="13"/>
            </w:rPr>
            <w:tag w:val="_PLD_a3d4853d11ed4217a1c5e27cfc45c1c9"/>
            <w:id w:val="-1074355057"/>
          </w:sdtPr>
          <w:sdtContent>
            <w:tc>
              <w:tcPr>
                <w:tcW w:w="1000" w:type="dxa"/>
                <w:vAlign w:val="center"/>
              </w:tcPr>
              <w:p w14:paraId="01DEC65B" w14:textId="77777777" w:rsidR="005E000F" w:rsidRDefault="00000000">
                <w:pPr>
                  <w:jc w:val="center"/>
                  <w:rPr>
                    <w:sz w:val="13"/>
                    <w:szCs w:val="13"/>
                  </w:rPr>
                </w:pPr>
                <w:r>
                  <w:rPr>
                    <w:rFonts w:hint="eastAsia"/>
                    <w:sz w:val="13"/>
                    <w:szCs w:val="13"/>
                  </w:rPr>
                  <w:t>其他</w:t>
                </w:r>
              </w:p>
            </w:tc>
          </w:sdtContent>
        </w:sdt>
        <w:tc>
          <w:tcPr>
            <w:tcW w:w="1033" w:type="dxa"/>
            <w:vMerge/>
            <w:vAlign w:val="center"/>
          </w:tcPr>
          <w:p w14:paraId="5A6C3579" w14:textId="77777777" w:rsidR="005E000F" w:rsidRDefault="005E000F">
            <w:pPr>
              <w:snapToGrid w:val="0"/>
              <w:spacing w:line="240" w:lineRule="atLeast"/>
              <w:jc w:val="center"/>
              <w:rPr>
                <w:sz w:val="13"/>
                <w:szCs w:val="13"/>
              </w:rPr>
            </w:pPr>
          </w:p>
        </w:tc>
        <w:tc>
          <w:tcPr>
            <w:tcW w:w="900" w:type="dxa"/>
            <w:vMerge/>
            <w:vAlign w:val="center"/>
          </w:tcPr>
          <w:p w14:paraId="044C4771" w14:textId="77777777" w:rsidR="005E000F" w:rsidRDefault="005E000F">
            <w:pPr>
              <w:snapToGrid w:val="0"/>
              <w:spacing w:line="240" w:lineRule="atLeast"/>
              <w:jc w:val="center"/>
              <w:rPr>
                <w:sz w:val="13"/>
                <w:szCs w:val="13"/>
              </w:rPr>
            </w:pPr>
          </w:p>
        </w:tc>
        <w:tc>
          <w:tcPr>
            <w:tcW w:w="1056" w:type="dxa"/>
            <w:vMerge/>
            <w:vAlign w:val="center"/>
          </w:tcPr>
          <w:p w14:paraId="7D5D746B" w14:textId="77777777" w:rsidR="005E000F" w:rsidRDefault="005E000F">
            <w:pPr>
              <w:snapToGrid w:val="0"/>
              <w:spacing w:line="240" w:lineRule="atLeast"/>
              <w:jc w:val="center"/>
              <w:rPr>
                <w:sz w:val="13"/>
                <w:szCs w:val="13"/>
              </w:rPr>
            </w:pPr>
          </w:p>
        </w:tc>
        <w:tc>
          <w:tcPr>
            <w:tcW w:w="944" w:type="dxa"/>
            <w:vMerge/>
            <w:vAlign w:val="center"/>
          </w:tcPr>
          <w:p w14:paraId="054819D2" w14:textId="77777777" w:rsidR="005E000F" w:rsidRDefault="005E000F">
            <w:pPr>
              <w:snapToGrid w:val="0"/>
              <w:spacing w:line="240" w:lineRule="atLeast"/>
              <w:jc w:val="center"/>
              <w:rPr>
                <w:sz w:val="13"/>
                <w:szCs w:val="13"/>
              </w:rPr>
            </w:pPr>
          </w:p>
        </w:tc>
        <w:tc>
          <w:tcPr>
            <w:tcW w:w="1056" w:type="dxa"/>
            <w:vMerge/>
            <w:vAlign w:val="center"/>
          </w:tcPr>
          <w:p w14:paraId="3A1344F6" w14:textId="77777777" w:rsidR="005E000F" w:rsidRDefault="005E000F">
            <w:pPr>
              <w:snapToGrid w:val="0"/>
              <w:spacing w:line="240" w:lineRule="atLeast"/>
              <w:jc w:val="center"/>
              <w:rPr>
                <w:sz w:val="13"/>
                <w:szCs w:val="13"/>
              </w:rPr>
            </w:pPr>
          </w:p>
        </w:tc>
        <w:tc>
          <w:tcPr>
            <w:tcW w:w="311" w:type="dxa"/>
            <w:vMerge/>
            <w:vAlign w:val="center"/>
          </w:tcPr>
          <w:p w14:paraId="104969A3" w14:textId="77777777" w:rsidR="005E000F" w:rsidRDefault="005E000F">
            <w:pPr>
              <w:snapToGrid w:val="0"/>
              <w:spacing w:line="240" w:lineRule="atLeast"/>
              <w:jc w:val="center"/>
              <w:rPr>
                <w:sz w:val="13"/>
                <w:szCs w:val="13"/>
              </w:rPr>
            </w:pPr>
          </w:p>
        </w:tc>
        <w:tc>
          <w:tcPr>
            <w:tcW w:w="1089" w:type="dxa"/>
            <w:vMerge/>
            <w:vAlign w:val="center"/>
          </w:tcPr>
          <w:p w14:paraId="6B6644A4" w14:textId="77777777" w:rsidR="005E000F" w:rsidRDefault="005E000F">
            <w:pPr>
              <w:snapToGrid w:val="0"/>
              <w:spacing w:line="240" w:lineRule="atLeast"/>
              <w:jc w:val="center"/>
              <w:rPr>
                <w:sz w:val="13"/>
                <w:szCs w:val="13"/>
              </w:rPr>
            </w:pPr>
          </w:p>
        </w:tc>
        <w:tc>
          <w:tcPr>
            <w:tcW w:w="351" w:type="dxa"/>
            <w:vMerge/>
            <w:vAlign w:val="center"/>
          </w:tcPr>
          <w:p w14:paraId="4D642AC8" w14:textId="77777777" w:rsidR="005E000F" w:rsidRDefault="005E000F">
            <w:pPr>
              <w:jc w:val="center"/>
              <w:rPr>
                <w:sz w:val="13"/>
                <w:szCs w:val="13"/>
              </w:rPr>
            </w:pPr>
          </w:p>
        </w:tc>
        <w:tc>
          <w:tcPr>
            <w:tcW w:w="1160" w:type="dxa"/>
            <w:vMerge/>
            <w:vAlign w:val="center"/>
          </w:tcPr>
          <w:p w14:paraId="16CA2761" w14:textId="77777777" w:rsidR="005E000F" w:rsidRDefault="005E000F">
            <w:pPr>
              <w:jc w:val="center"/>
              <w:rPr>
                <w:sz w:val="13"/>
                <w:szCs w:val="13"/>
              </w:rPr>
            </w:pPr>
          </w:p>
        </w:tc>
        <w:tc>
          <w:tcPr>
            <w:tcW w:w="1067" w:type="dxa"/>
            <w:vMerge/>
            <w:vAlign w:val="center"/>
          </w:tcPr>
          <w:p w14:paraId="64557D37" w14:textId="77777777" w:rsidR="005E000F" w:rsidRDefault="005E000F">
            <w:pPr>
              <w:jc w:val="center"/>
              <w:rPr>
                <w:sz w:val="13"/>
                <w:szCs w:val="13"/>
              </w:rPr>
            </w:pPr>
          </w:p>
        </w:tc>
        <w:tc>
          <w:tcPr>
            <w:tcW w:w="1118" w:type="dxa"/>
            <w:vMerge/>
            <w:tcBorders>
              <w:bottom w:val="nil"/>
            </w:tcBorders>
            <w:vAlign w:val="center"/>
          </w:tcPr>
          <w:p w14:paraId="3EB1A409" w14:textId="77777777" w:rsidR="005E000F" w:rsidRDefault="005E000F">
            <w:pPr>
              <w:jc w:val="center"/>
              <w:rPr>
                <w:sz w:val="13"/>
                <w:szCs w:val="13"/>
              </w:rPr>
            </w:pPr>
          </w:p>
        </w:tc>
      </w:tr>
      <w:tr w:rsidR="005E000F" w14:paraId="78C17D28" w14:textId="77777777">
        <w:sdt>
          <w:sdtPr>
            <w:rPr>
              <w:sz w:val="13"/>
              <w:szCs w:val="13"/>
            </w:rPr>
            <w:tag w:val="_PLD_24c39056f5874862855dc37ef7f0d558"/>
            <w:id w:val="1896928439"/>
          </w:sdtPr>
          <w:sdtContent>
            <w:tc>
              <w:tcPr>
                <w:tcW w:w="1314" w:type="dxa"/>
                <w:vAlign w:val="center"/>
              </w:tcPr>
              <w:p w14:paraId="4742245E" w14:textId="77777777" w:rsidR="005E000F" w:rsidRDefault="00000000">
                <w:pPr>
                  <w:rPr>
                    <w:sz w:val="13"/>
                    <w:szCs w:val="13"/>
                  </w:rPr>
                </w:pPr>
                <w:r>
                  <w:rPr>
                    <w:sz w:val="13"/>
                    <w:szCs w:val="13"/>
                  </w:rPr>
                  <w:t>一、上年</w:t>
                </w:r>
                <w:r>
                  <w:rPr>
                    <w:rFonts w:hint="eastAsia"/>
                    <w:sz w:val="13"/>
                    <w:szCs w:val="13"/>
                  </w:rPr>
                  <w:t>年</w:t>
                </w:r>
                <w:r>
                  <w:rPr>
                    <w:sz w:val="13"/>
                    <w:szCs w:val="13"/>
                  </w:rPr>
                  <w:t>末余额</w:t>
                </w:r>
              </w:p>
            </w:tc>
          </w:sdtContent>
        </w:sdt>
        <w:tc>
          <w:tcPr>
            <w:tcW w:w="1089" w:type="dxa"/>
            <w:vAlign w:val="center"/>
          </w:tcPr>
          <w:p w14:paraId="4F7A0F00" w14:textId="77777777" w:rsidR="005E000F" w:rsidRDefault="00000000">
            <w:pPr>
              <w:snapToGrid w:val="0"/>
              <w:spacing w:line="240" w:lineRule="atLeast"/>
              <w:jc w:val="right"/>
              <w:rPr>
                <w:rFonts w:cs="宋体"/>
                <w:bCs/>
                <w:sz w:val="13"/>
                <w:szCs w:val="13"/>
              </w:rPr>
            </w:pPr>
            <w:r>
              <w:rPr>
                <w:rFonts w:cs="宋体"/>
                <w:bCs/>
                <w:sz w:val="13"/>
                <w:szCs w:val="13"/>
              </w:rPr>
              <w:t>15,747,314,635</w:t>
            </w:r>
          </w:p>
        </w:tc>
        <w:tc>
          <w:tcPr>
            <w:tcW w:w="289" w:type="dxa"/>
            <w:vAlign w:val="center"/>
          </w:tcPr>
          <w:p w14:paraId="189E5F9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0EC5457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41060559" w14:textId="77777777" w:rsidR="005E000F" w:rsidRDefault="00000000">
            <w:pPr>
              <w:snapToGrid w:val="0"/>
              <w:spacing w:line="240" w:lineRule="atLeast"/>
              <w:jc w:val="right"/>
              <w:rPr>
                <w:rFonts w:cs="宋体"/>
                <w:bCs/>
                <w:sz w:val="13"/>
                <w:szCs w:val="13"/>
              </w:rPr>
            </w:pPr>
            <w:r>
              <w:rPr>
                <w:rFonts w:cs="宋体"/>
                <w:bCs/>
                <w:sz w:val="13"/>
                <w:szCs w:val="13"/>
              </w:rPr>
              <w:t>2,768,423,657</w:t>
            </w:r>
          </w:p>
        </w:tc>
        <w:tc>
          <w:tcPr>
            <w:tcW w:w="1033" w:type="dxa"/>
            <w:vAlign w:val="center"/>
          </w:tcPr>
          <w:p w14:paraId="1F08067E" w14:textId="77777777" w:rsidR="005E000F" w:rsidRDefault="00000000">
            <w:pPr>
              <w:snapToGrid w:val="0"/>
              <w:spacing w:line="240" w:lineRule="atLeast"/>
              <w:jc w:val="right"/>
              <w:rPr>
                <w:rFonts w:cs="宋体"/>
                <w:bCs/>
                <w:sz w:val="13"/>
                <w:szCs w:val="13"/>
              </w:rPr>
            </w:pPr>
            <w:r>
              <w:rPr>
                <w:rFonts w:cs="宋体"/>
                <w:bCs/>
                <w:sz w:val="13"/>
                <w:szCs w:val="13"/>
              </w:rPr>
              <w:t>28,312,022,400</w:t>
            </w:r>
          </w:p>
        </w:tc>
        <w:tc>
          <w:tcPr>
            <w:tcW w:w="900" w:type="dxa"/>
            <w:vAlign w:val="center"/>
          </w:tcPr>
          <w:p w14:paraId="11EDDD7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6D5652A8" w14:textId="77777777" w:rsidR="005E000F" w:rsidRDefault="00000000">
            <w:pPr>
              <w:snapToGrid w:val="0"/>
              <w:spacing w:line="240" w:lineRule="atLeast"/>
              <w:jc w:val="right"/>
              <w:rPr>
                <w:rFonts w:cs="宋体"/>
                <w:bCs/>
                <w:sz w:val="13"/>
                <w:szCs w:val="13"/>
              </w:rPr>
            </w:pPr>
            <w:r>
              <w:rPr>
                <w:rFonts w:cs="宋体"/>
                <w:bCs/>
                <w:sz w:val="13"/>
                <w:szCs w:val="13"/>
              </w:rPr>
              <w:t>-793,233,063</w:t>
            </w:r>
          </w:p>
        </w:tc>
        <w:tc>
          <w:tcPr>
            <w:tcW w:w="944" w:type="dxa"/>
            <w:vAlign w:val="center"/>
          </w:tcPr>
          <w:p w14:paraId="23ADDFDC" w14:textId="77777777" w:rsidR="005E000F" w:rsidRDefault="00000000">
            <w:pPr>
              <w:snapToGrid w:val="0"/>
              <w:spacing w:line="240" w:lineRule="atLeast"/>
              <w:jc w:val="right"/>
              <w:rPr>
                <w:rFonts w:cs="宋体"/>
                <w:bCs/>
                <w:sz w:val="13"/>
                <w:szCs w:val="13"/>
              </w:rPr>
            </w:pPr>
            <w:r>
              <w:rPr>
                <w:rFonts w:cs="宋体"/>
                <w:bCs/>
                <w:sz w:val="13"/>
                <w:szCs w:val="13"/>
              </w:rPr>
              <w:t>474,805,885</w:t>
            </w:r>
          </w:p>
        </w:tc>
        <w:tc>
          <w:tcPr>
            <w:tcW w:w="1056" w:type="dxa"/>
            <w:vAlign w:val="center"/>
          </w:tcPr>
          <w:p w14:paraId="6071B2E4" w14:textId="77777777" w:rsidR="005E000F" w:rsidRDefault="00000000">
            <w:pPr>
              <w:snapToGrid w:val="0"/>
              <w:spacing w:line="240" w:lineRule="atLeast"/>
              <w:jc w:val="right"/>
              <w:rPr>
                <w:rFonts w:cs="宋体"/>
                <w:bCs/>
                <w:sz w:val="13"/>
                <w:szCs w:val="13"/>
              </w:rPr>
            </w:pPr>
            <w:r>
              <w:rPr>
                <w:rFonts w:cs="宋体"/>
                <w:bCs/>
                <w:sz w:val="13"/>
                <w:szCs w:val="13"/>
              </w:rPr>
              <w:t>20,595,000,617</w:t>
            </w:r>
          </w:p>
        </w:tc>
        <w:tc>
          <w:tcPr>
            <w:tcW w:w="311" w:type="dxa"/>
            <w:vAlign w:val="center"/>
          </w:tcPr>
          <w:p w14:paraId="04E8C8F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71729A66" w14:textId="77777777" w:rsidR="005E000F" w:rsidRDefault="00000000">
            <w:pPr>
              <w:snapToGrid w:val="0"/>
              <w:spacing w:line="240" w:lineRule="atLeast"/>
              <w:jc w:val="right"/>
              <w:rPr>
                <w:rFonts w:cs="宋体"/>
                <w:bCs/>
                <w:sz w:val="13"/>
                <w:szCs w:val="13"/>
              </w:rPr>
            </w:pPr>
            <w:r>
              <w:rPr>
                <w:rFonts w:cs="宋体"/>
                <w:bCs/>
                <w:sz w:val="13"/>
                <w:szCs w:val="13"/>
              </w:rPr>
              <w:t>70,658,537,032</w:t>
            </w:r>
          </w:p>
        </w:tc>
        <w:tc>
          <w:tcPr>
            <w:tcW w:w="351" w:type="dxa"/>
            <w:vAlign w:val="center"/>
          </w:tcPr>
          <w:p w14:paraId="549A1FC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37C1341D" w14:textId="77777777" w:rsidR="005E000F" w:rsidRDefault="00000000">
            <w:pPr>
              <w:snapToGrid w:val="0"/>
              <w:spacing w:line="240" w:lineRule="atLeast"/>
              <w:jc w:val="right"/>
              <w:rPr>
                <w:rFonts w:cs="宋体"/>
                <w:bCs/>
                <w:sz w:val="13"/>
                <w:szCs w:val="13"/>
              </w:rPr>
            </w:pPr>
            <w:r>
              <w:rPr>
                <w:rFonts w:cs="宋体"/>
                <w:bCs/>
                <w:sz w:val="13"/>
                <w:szCs w:val="13"/>
              </w:rPr>
              <w:t>137,762,871,163</w:t>
            </w:r>
          </w:p>
        </w:tc>
        <w:tc>
          <w:tcPr>
            <w:tcW w:w="1067" w:type="dxa"/>
            <w:vAlign w:val="center"/>
          </w:tcPr>
          <w:p w14:paraId="09F8FFD3" w14:textId="77777777" w:rsidR="005E000F" w:rsidRDefault="00000000">
            <w:pPr>
              <w:snapToGrid w:val="0"/>
              <w:spacing w:line="240" w:lineRule="atLeast"/>
              <w:jc w:val="right"/>
              <w:rPr>
                <w:rFonts w:cs="宋体"/>
                <w:bCs/>
                <w:sz w:val="13"/>
                <w:szCs w:val="13"/>
              </w:rPr>
            </w:pPr>
            <w:r>
              <w:rPr>
                <w:rFonts w:cs="宋体"/>
                <w:bCs/>
                <w:sz w:val="13"/>
                <w:szCs w:val="13"/>
              </w:rPr>
              <w:t>14,644,666,285</w:t>
            </w:r>
          </w:p>
        </w:tc>
        <w:tc>
          <w:tcPr>
            <w:tcW w:w="1118" w:type="dxa"/>
            <w:vAlign w:val="center"/>
          </w:tcPr>
          <w:p w14:paraId="307AF97A" w14:textId="77777777" w:rsidR="005E000F" w:rsidRDefault="00000000">
            <w:pPr>
              <w:snapToGrid w:val="0"/>
              <w:spacing w:line="240" w:lineRule="atLeast"/>
              <w:jc w:val="right"/>
              <w:rPr>
                <w:rFonts w:cs="宋体"/>
                <w:bCs/>
                <w:sz w:val="13"/>
                <w:szCs w:val="13"/>
              </w:rPr>
            </w:pPr>
            <w:r>
              <w:rPr>
                <w:rFonts w:cs="宋体"/>
                <w:bCs/>
                <w:sz w:val="13"/>
                <w:szCs w:val="13"/>
              </w:rPr>
              <w:t>152,407,537,448</w:t>
            </w:r>
          </w:p>
        </w:tc>
      </w:tr>
      <w:tr w:rsidR="005E000F" w14:paraId="2D0CEECF" w14:textId="77777777">
        <w:sdt>
          <w:sdtPr>
            <w:rPr>
              <w:sz w:val="13"/>
              <w:szCs w:val="13"/>
            </w:rPr>
            <w:tag w:val="_PLD_5feb351bb250466a8fad5b20d2922c70"/>
            <w:id w:val="-790124899"/>
          </w:sdtPr>
          <w:sdtContent>
            <w:tc>
              <w:tcPr>
                <w:tcW w:w="1314" w:type="dxa"/>
                <w:vAlign w:val="center"/>
              </w:tcPr>
              <w:p w14:paraId="31EB5E72" w14:textId="77777777" w:rsidR="005E000F" w:rsidRDefault="00000000">
                <w:pPr>
                  <w:rPr>
                    <w:sz w:val="13"/>
                    <w:szCs w:val="13"/>
                  </w:rPr>
                </w:pPr>
                <w:r>
                  <w:rPr>
                    <w:rFonts w:hint="eastAsia"/>
                    <w:sz w:val="13"/>
                    <w:szCs w:val="13"/>
                  </w:rPr>
                  <w:t>加：</w:t>
                </w:r>
                <w:r>
                  <w:rPr>
                    <w:sz w:val="13"/>
                    <w:szCs w:val="13"/>
                  </w:rPr>
                  <w:t>会计政策变更</w:t>
                </w:r>
              </w:p>
            </w:tc>
          </w:sdtContent>
        </w:sdt>
        <w:tc>
          <w:tcPr>
            <w:tcW w:w="1089" w:type="dxa"/>
            <w:vAlign w:val="center"/>
          </w:tcPr>
          <w:p w14:paraId="2D92F91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7A6A60E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E14B30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5B24A1B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275C5CE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1D64834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340C01B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4BAAD70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7407B93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6759BAD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7860A82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2F20FF1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1FE81F6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270995C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35C3A13A"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749A7173" w14:textId="77777777">
        <w:sdt>
          <w:sdtPr>
            <w:rPr>
              <w:sz w:val="13"/>
              <w:szCs w:val="13"/>
            </w:rPr>
            <w:tag w:val="_PLD_b3480764b7144ae885e5b5b29f4f4705"/>
            <w:id w:val="860176474"/>
          </w:sdtPr>
          <w:sdtContent>
            <w:tc>
              <w:tcPr>
                <w:tcW w:w="1314" w:type="dxa"/>
                <w:vAlign w:val="center"/>
              </w:tcPr>
              <w:p w14:paraId="643252A3" w14:textId="77777777" w:rsidR="005E000F" w:rsidRDefault="00000000">
                <w:pPr>
                  <w:ind w:firstLineChars="200" w:firstLine="260"/>
                  <w:rPr>
                    <w:sz w:val="13"/>
                    <w:szCs w:val="13"/>
                  </w:rPr>
                </w:pPr>
                <w:r>
                  <w:rPr>
                    <w:sz w:val="13"/>
                    <w:szCs w:val="13"/>
                  </w:rPr>
                  <w:t>前期差错更正</w:t>
                </w:r>
              </w:p>
            </w:tc>
          </w:sdtContent>
        </w:sdt>
        <w:tc>
          <w:tcPr>
            <w:tcW w:w="1089" w:type="dxa"/>
            <w:vAlign w:val="center"/>
          </w:tcPr>
          <w:p w14:paraId="7999367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05CA773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434CAE6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6FCAB5E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4EB2142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20BBC18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5DFD56E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5AFCA2F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29054BB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4B360E0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73C53A5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705C425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1E69237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4282B12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2AD2D0A1"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3A2ABC63" w14:textId="77777777">
        <w:sdt>
          <w:sdtPr>
            <w:rPr>
              <w:sz w:val="13"/>
              <w:szCs w:val="13"/>
            </w:rPr>
            <w:tag w:val="_PLD_3226061f12cf4cf887adc2639edc13d6"/>
            <w:id w:val="494080227"/>
          </w:sdtPr>
          <w:sdtContent>
            <w:tc>
              <w:tcPr>
                <w:tcW w:w="1314" w:type="dxa"/>
                <w:vAlign w:val="center"/>
              </w:tcPr>
              <w:p w14:paraId="63FF351F" w14:textId="77777777" w:rsidR="005E000F" w:rsidRDefault="00000000">
                <w:pPr>
                  <w:ind w:firstLineChars="200" w:firstLine="260"/>
                  <w:rPr>
                    <w:sz w:val="13"/>
                    <w:szCs w:val="13"/>
                  </w:rPr>
                </w:pPr>
                <w:r>
                  <w:rPr>
                    <w:rFonts w:hint="eastAsia"/>
                    <w:sz w:val="13"/>
                    <w:szCs w:val="13"/>
                  </w:rPr>
                  <w:t>其他</w:t>
                </w:r>
              </w:p>
            </w:tc>
          </w:sdtContent>
        </w:sdt>
        <w:tc>
          <w:tcPr>
            <w:tcW w:w="1089" w:type="dxa"/>
            <w:vAlign w:val="center"/>
          </w:tcPr>
          <w:p w14:paraId="50A5D94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058D4BA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89C8E8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4915903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5B4B45E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71C5B5A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48D61EA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5963EBC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695900B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67D5B0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6218E5C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7033771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016C232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2C8DE77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5AF66919"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3DF92A27" w14:textId="77777777">
        <w:sdt>
          <w:sdtPr>
            <w:rPr>
              <w:sz w:val="13"/>
              <w:szCs w:val="13"/>
            </w:rPr>
            <w:tag w:val="_PLD_6438083d485a4ed1a2cb2a35b3d400f3"/>
            <w:id w:val="397867224"/>
          </w:sdtPr>
          <w:sdtContent>
            <w:tc>
              <w:tcPr>
                <w:tcW w:w="1314" w:type="dxa"/>
                <w:vAlign w:val="center"/>
              </w:tcPr>
              <w:p w14:paraId="1489EB19" w14:textId="77777777" w:rsidR="005E000F" w:rsidRDefault="00000000">
                <w:pPr>
                  <w:rPr>
                    <w:sz w:val="13"/>
                    <w:szCs w:val="13"/>
                  </w:rPr>
                </w:pPr>
                <w:r>
                  <w:rPr>
                    <w:sz w:val="13"/>
                    <w:szCs w:val="13"/>
                  </w:rPr>
                  <w:t>二、本年</w:t>
                </w:r>
                <w:r>
                  <w:rPr>
                    <w:rFonts w:hint="eastAsia"/>
                    <w:sz w:val="13"/>
                    <w:szCs w:val="13"/>
                  </w:rPr>
                  <w:t>期</w:t>
                </w:r>
                <w:r>
                  <w:rPr>
                    <w:sz w:val="13"/>
                    <w:szCs w:val="13"/>
                  </w:rPr>
                  <w:t>初余额</w:t>
                </w:r>
              </w:p>
            </w:tc>
          </w:sdtContent>
        </w:sdt>
        <w:tc>
          <w:tcPr>
            <w:tcW w:w="1089" w:type="dxa"/>
            <w:vAlign w:val="center"/>
          </w:tcPr>
          <w:p w14:paraId="0A0CDC5A" w14:textId="77777777" w:rsidR="005E000F" w:rsidRDefault="00000000">
            <w:pPr>
              <w:snapToGrid w:val="0"/>
              <w:spacing w:line="240" w:lineRule="atLeast"/>
              <w:jc w:val="right"/>
              <w:rPr>
                <w:rFonts w:cs="宋体"/>
                <w:bCs/>
                <w:sz w:val="13"/>
                <w:szCs w:val="13"/>
              </w:rPr>
            </w:pPr>
            <w:r>
              <w:rPr>
                <w:rFonts w:cs="宋体"/>
                <w:bCs/>
                <w:sz w:val="13"/>
                <w:szCs w:val="13"/>
              </w:rPr>
              <w:t>15,747,314,635</w:t>
            </w:r>
          </w:p>
        </w:tc>
        <w:tc>
          <w:tcPr>
            <w:tcW w:w="289" w:type="dxa"/>
            <w:vAlign w:val="center"/>
          </w:tcPr>
          <w:p w14:paraId="2A6E1A0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CE8396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53EF2897" w14:textId="77777777" w:rsidR="005E000F" w:rsidRDefault="00000000">
            <w:pPr>
              <w:snapToGrid w:val="0"/>
              <w:spacing w:line="240" w:lineRule="atLeast"/>
              <w:jc w:val="right"/>
              <w:rPr>
                <w:rFonts w:cs="宋体"/>
                <w:bCs/>
                <w:sz w:val="13"/>
                <w:szCs w:val="13"/>
              </w:rPr>
            </w:pPr>
            <w:r>
              <w:rPr>
                <w:rFonts w:cs="宋体"/>
                <w:bCs/>
                <w:sz w:val="13"/>
                <w:szCs w:val="13"/>
              </w:rPr>
              <w:t>2,768,423,657</w:t>
            </w:r>
          </w:p>
        </w:tc>
        <w:tc>
          <w:tcPr>
            <w:tcW w:w="1033" w:type="dxa"/>
            <w:vAlign w:val="center"/>
          </w:tcPr>
          <w:p w14:paraId="18F51295" w14:textId="77777777" w:rsidR="005E000F" w:rsidRDefault="00000000">
            <w:pPr>
              <w:snapToGrid w:val="0"/>
              <w:spacing w:line="240" w:lineRule="atLeast"/>
              <w:jc w:val="right"/>
              <w:rPr>
                <w:rFonts w:cs="宋体"/>
                <w:bCs/>
                <w:sz w:val="13"/>
                <w:szCs w:val="13"/>
              </w:rPr>
            </w:pPr>
            <w:r>
              <w:rPr>
                <w:rFonts w:cs="宋体"/>
                <w:bCs/>
                <w:sz w:val="13"/>
                <w:szCs w:val="13"/>
              </w:rPr>
              <w:t>28,312,022,400</w:t>
            </w:r>
          </w:p>
        </w:tc>
        <w:tc>
          <w:tcPr>
            <w:tcW w:w="900" w:type="dxa"/>
            <w:vAlign w:val="center"/>
          </w:tcPr>
          <w:p w14:paraId="0CD69CE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204EC574" w14:textId="77777777" w:rsidR="005E000F" w:rsidRDefault="00000000">
            <w:pPr>
              <w:snapToGrid w:val="0"/>
              <w:spacing w:line="240" w:lineRule="atLeast"/>
              <w:jc w:val="right"/>
              <w:rPr>
                <w:rFonts w:cs="宋体"/>
                <w:bCs/>
                <w:sz w:val="13"/>
                <w:szCs w:val="13"/>
              </w:rPr>
            </w:pPr>
            <w:r>
              <w:rPr>
                <w:rFonts w:cs="宋体"/>
                <w:bCs/>
                <w:sz w:val="13"/>
                <w:szCs w:val="13"/>
              </w:rPr>
              <w:t>-793,233,063</w:t>
            </w:r>
          </w:p>
        </w:tc>
        <w:tc>
          <w:tcPr>
            <w:tcW w:w="944" w:type="dxa"/>
            <w:vAlign w:val="center"/>
          </w:tcPr>
          <w:p w14:paraId="08F9C411" w14:textId="77777777" w:rsidR="005E000F" w:rsidRDefault="00000000">
            <w:pPr>
              <w:snapToGrid w:val="0"/>
              <w:spacing w:line="240" w:lineRule="atLeast"/>
              <w:jc w:val="right"/>
              <w:rPr>
                <w:rFonts w:cs="宋体"/>
                <w:bCs/>
                <w:sz w:val="13"/>
                <w:szCs w:val="13"/>
              </w:rPr>
            </w:pPr>
            <w:r>
              <w:rPr>
                <w:rFonts w:cs="宋体"/>
                <w:bCs/>
                <w:sz w:val="13"/>
                <w:szCs w:val="13"/>
              </w:rPr>
              <w:t>474,805,885</w:t>
            </w:r>
          </w:p>
        </w:tc>
        <w:tc>
          <w:tcPr>
            <w:tcW w:w="1056" w:type="dxa"/>
            <w:vAlign w:val="center"/>
          </w:tcPr>
          <w:p w14:paraId="70E37A3E" w14:textId="77777777" w:rsidR="005E000F" w:rsidRDefault="00000000">
            <w:pPr>
              <w:snapToGrid w:val="0"/>
              <w:spacing w:line="240" w:lineRule="atLeast"/>
              <w:jc w:val="right"/>
              <w:rPr>
                <w:rFonts w:cs="宋体"/>
                <w:bCs/>
                <w:sz w:val="13"/>
                <w:szCs w:val="13"/>
              </w:rPr>
            </w:pPr>
            <w:r>
              <w:rPr>
                <w:rFonts w:cs="宋体"/>
                <w:bCs/>
                <w:sz w:val="13"/>
                <w:szCs w:val="13"/>
              </w:rPr>
              <w:t>20,595,000,617</w:t>
            </w:r>
          </w:p>
        </w:tc>
        <w:tc>
          <w:tcPr>
            <w:tcW w:w="311" w:type="dxa"/>
            <w:vAlign w:val="center"/>
          </w:tcPr>
          <w:p w14:paraId="61D593F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599A0C86" w14:textId="77777777" w:rsidR="005E000F" w:rsidRDefault="00000000">
            <w:pPr>
              <w:snapToGrid w:val="0"/>
              <w:spacing w:line="240" w:lineRule="atLeast"/>
              <w:jc w:val="right"/>
              <w:rPr>
                <w:rFonts w:cs="宋体"/>
                <w:bCs/>
                <w:sz w:val="13"/>
                <w:szCs w:val="13"/>
              </w:rPr>
            </w:pPr>
            <w:r>
              <w:rPr>
                <w:rFonts w:cs="宋体"/>
                <w:bCs/>
                <w:sz w:val="13"/>
                <w:szCs w:val="13"/>
              </w:rPr>
              <w:t>70,658,537,032</w:t>
            </w:r>
          </w:p>
        </w:tc>
        <w:tc>
          <w:tcPr>
            <w:tcW w:w="351" w:type="dxa"/>
            <w:vAlign w:val="center"/>
          </w:tcPr>
          <w:p w14:paraId="05DF477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61C4C74A" w14:textId="77777777" w:rsidR="005E000F" w:rsidRDefault="00000000">
            <w:pPr>
              <w:snapToGrid w:val="0"/>
              <w:spacing w:line="240" w:lineRule="atLeast"/>
              <w:jc w:val="right"/>
              <w:rPr>
                <w:rFonts w:cs="宋体"/>
                <w:bCs/>
                <w:sz w:val="13"/>
                <w:szCs w:val="13"/>
              </w:rPr>
            </w:pPr>
            <w:r>
              <w:rPr>
                <w:rFonts w:cs="宋体"/>
                <w:bCs/>
                <w:sz w:val="13"/>
                <w:szCs w:val="13"/>
              </w:rPr>
              <w:t>137,762,871,163</w:t>
            </w:r>
          </w:p>
        </w:tc>
        <w:tc>
          <w:tcPr>
            <w:tcW w:w="1067" w:type="dxa"/>
            <w:vAlign w:val="center"/>
          </w:tcPr>
          <w:p w14:paraId="551E4AC8" w14:textId="77777777" w:rsidR="005E000F" w:rsidRDefault="00000000">
            <w:pPr>
              <w:snapToGrid w:val="0"/>
              <w:spacing w:line="240" w:lineRule="atLeast"/>
              <w:jc w:val="right"/>
              <w:rPr>
                <w:rFonts w:cs="宋体"/>
                <w:bCs/>
                <w:sz w:val="13"/>
                <w:szCs w:val="13"/>
              </w:rPr>
            </w:pPr>
            <w:r>
              <w:rPr>
                <w:rFonts w:cs="宋体"/>
                <w:bCs/>
                <w:sz w:val="13"/>
                <w:szCs w:val="13"/>
              </w:rPr>
              <w:t>14,644,666,285</w:t>
            </w:r>
          </w:p>
        </w:tc>
        <w:tc>
          <w:tcPr>
            <w:tcW w:w="1118" w:type="dxa"/>
            <w:vAlign w:val="center"/>
          </w:tcPr>
          <w:p w14:paraId="0627BFE3" w14:textId="77777777" w:rsidR="005E000F" w:rsidRDefault="00000000">
            <w:pPr>
              <w:snapToGrid w:val="0"/>
              <w:spacing w:line="240" w:lineRule="atLeast"/>
              <w:jc w:val="right"/>
              <w:rPr>
                <w:rFonts w:cs="宋体"/>
                <w:bCs/>
                <w:sz w:val="13"/>
                <w:szCs w:val="13"/>
              </w:rPr>
            </w:pPr>
            <w:r>
              <w:rPr>
                <w:rFonts w:cs="宋体"/>
                <w:bCs/>
                <w:sz w:val="13"/>
                <w:szCs w:val="13"/>
              </w:rPr>
              <w:t>152,407,537,448</w:t>
            </w:r>
          </w:p>
        </w:tc>
      </w:tr>
      <w:tr w:rsidR="005E000F" w14:paraId="4C2F9018" w14:textId="77777777">
        <w:sdt>
          <w:sdtPr>
            <w:rPr>
              <w:sz w:val="13"/>
              <w:szCs w:val="13"/>
            </w:rPr>
            <w:tag w:val="_PLD_a0d70a8ecfa64251bc0240cb363e3dd7"/>
            <w:id w:val="-441763668"/>
          </w:sdtPr>
          <w:sdtContent>
            <w:tc>
              <w:tcPr>
                <w:tcW w:w="1314" w:type="dxa"/>
                <w:vAlign w:val="center"/>
              </w:tcPr>
              <w:p w14:paraId="1AD2E6F9" w14:textId="77777777" w:rsidR="005E000F" w:rsidRDefault="00000000">
                <w:pPr>
                  <w:rPr>
                    <w:sz w:val="13"/>
                    <w:szCs w:val="13"/>
                  </w:rPr>
                </w:pPr>
                <w:r>
                  <w:rPr>
                    <w:sz w:val="13"/>
                    <w:szCs w:val="13"/>
                  </w:rPr>
                  <w:t>三、本</w:t>
                </w:r>
                <w:r>
                  <w:rPr>
                    <w:rFonts w:hint="eastAsia"/>
                    <w:sz w:val="13"/>
                    <w:szCs w:val="13"/>
                  </w:rPr>
                  <w:t>期</w:t>
                </w:r>
                <w:r>
                  <w:rPr>
                    <w:sz w:val="13"/>
                    <w:szCs w:val="13"/>
                  </w:rPr>
                  <w:t>增减变动金额（减少以</w:t>
                </w:r>
                <w:r>
                  <w:rPr>
                    <w:sz w:val="13"/>
                    <w:szCs w:val="13"/>
                  </w:rPr>
                  <w:t>“</w:t>
                </w:r>
                <w:r>
                  <w:rPr>
                    <w:sz w:val="13"/>
                    <w:szCs w:val="13"/>
                  </w:rPr>
                  <w:t>－</w:t>
                </w:r>
                <w:r>
                  <w:rPr>
                    <w:sz w:val="13"/>
                    <w:szCs w:val="13"/>
                  </w:rPr>
                  <w:t>”</w:t>
                </w:r>
                <w:r>
                  <w:rPr>
                    <w:sz w:val="13"/>
                    <w:szCs w:val="13"/>
                  </w:rPr>
                  <w:t>号填列）</w:t>
                </w:r>
              </w:p>
            </w:tc>
          </w:sdtContent>
        </w:sdt>
        <w:tc>
          <w:tcPr>
            <w:tcW w:w="1089" w:type="dxa"/>
            <w:vAlign w:val="center"/>
          </w:tcPr>
          <w:p w14:paraId="27F398E7" w14:textId="77777777" w:rsidR="005E000F" w:rsidRDefault="00000000">
            <w:pPr>
              <w:snapToGrid w:val="0"/>
              <w:spacing w:line="240" w:lineRule="atLeast"/>
              <w:jc w:val="right"/>
              <w:rPr>
                <w:rFonts w:cs="宋体"/>
                <w:bCs/>
                <w:sz w:val="13"/>
                <w:szCs w:val="13"/>
              </w:rPr>
            </w:pPr>
            <w:r>
              <w:rPr>
                <w:rFonts w:cs="宋体"/>
                <w:bCs/>
                <w:sz w:val="13"/>
                <w:szCs w:val="13"/>
              </w:rPr>
              <w:t>3,059,959,187</w:t>
            </w:r>
          </w:p>
        </w:tc>
        <w:tc>
          <w:tcPr>
            <w:tcW w:w="289" w:type="dxa"/>
            <w:vAlign w:val="center"/>
          </w:tcPr>
          <w:p w14:paraId="473DA37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22B50C5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16A7F021" w14:textId="77777777" w:rsidR="005E000F" w:rsidRDefault="00000000">
            <w:pPr>
              <w:snapToGrid w:val="0"/>
              <w:spacing w:line="240" w:lineRule="atLeast"/>
              <w:jc w:val="right"/>
              <w:rPr>
                <w:rFonts w:cs="宋体"/>
                <w:bCs/>
                <w:sz w:val="13"/>
                <w:szCs w:val="13"/>
              </w:rPr>
            </w:pPr>
            <w:r>
              <w:rPr>
                <w:rFonts w:cs="宋体"/>
                <w:bCs/>
                <w:sz w:val="13"/>
                <w:szCs w:val="13"/>
              </w:rPr>
              <w:t>-1,963,438,929</w:t>
            </w:r>
          </w:p>
        </w:tc>
        <w:tc>
          <w:tcPr>
            <w:tcW w:w="1033" w:type="dxa"/>
            <w:vAlign w:val="center"/>
          </w:tcPr>
          <w:p w14:paraId="43B3D923" w14:textId="77777777" w:rsidR="005E000F" w:rsidRDefault="00000000">
            <w:pPr>
              <w:snapToGrid w:val="0"/>
              <w:spacing w:line="240" w:lineRule="atLeast"/>
              <w:jc w:val="right"/>
              <w:rPr>
                <w:rFonts w:cs="宋体"/>
                <w:bCs/>
                <w:sz w:val="13"/>
                <w:szCs w:val="13"/>
              </w:rPr>
            </w:pPr>
            <w:r>
              <w:rPr>
                <w:rFonts w:cs="宋体"/>
                <w:bCs/>
                <w:sz w:val="13"/>
                <w:szCs w:val="13"/>
              </w:rPr>
              <w:t>17,659,582,359</w:t>
            </w:r>
          </w:p>
        </w:tc>
        <w:tc>
          <w:tcPr>
            <w:tcW w:w="900" w:type="dxa"/>
            <w:vAlign w:val="center"/>
          </w:tcPr>
          <w:p w14:paraId="659DE19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74E346F2" w14:textId="77777777" w:rsidR="005E000F" w:rsidRDefault="00000000">
            <w:pPr>
              <w:snapToGrid w:val="0"/>
              <w:spacing w:line="240" w:lineRule="atLeast"/>
              <w:jc w:val="right"/>
              <w:rPr>
                <w:rFonts w:cs="宋体"/>
                <w:bCs/>
                <w:sz w:val="13"/>
                <w:szCs w:val="13"/>
              </w:rPr>
            </w:pPr>
            <w:r>
              <w:rPr>
                <w:rFonts w:cs="宋体"/>
                <w:bCs/>
                <w:sz w:val="13"/>
                <w:szCs w:val="13"/>
              </w:rPr>
              <w:t>-1,127,719,243</w:t>
            </w:r>
          </w:p>
        </w:tc>
        <w:tc>
          <w:tcPr>
            <w:tcW w:w="944" w:type="dxa"/>
            <w:vAlign w:val="center"/>
          </w:tcPr>
          <w:p w14:paraId="4E25B8DC" w14:textId="77777777" w:rsidR="005E000F" w:rsidRDefault="00000000">
            <w:pPr>
              <w:snapToGrid w:val="0"/>
              <w:spacing w:line="240" w:lineRule="atLeast"/>
              <w:jc w:val="right"/>
              <w:rPr>
                <w:rFonts w:cs="宋体"/>
                <w:bCs/>
                <w:sz w:val="13"/>
                <w:szCs w:val="13"/>
              </w:rPr>
            </w:pPr>
            <w:r>
              <w:rPr>
                <w:rFonts w:cs="宋体"/>
                <w:bCs/>
                <w:sz w:val="13"/>
                <w:szCs w:val="13"/>
              </w:rPr>
              <w:t>-239,357,678</w:t>
            </w:r>
          </w:p>
        </w:tc>
        <w:tc>
          <w:tcPr>
            <w:tcW w:w="1056" w:type="dxa"/>
            <w:vAlign w:val="center"/>
          </w:tcPr>
          <w:p w14:paraId="1831AF02" w14:textId="77777777" w:rsidR="005E000F" w:rsidRDefault="00000000">
            <w:pPr>
              <w:snapToGrid w:val="0"/>
              <w:spacing w:line="240" w:lineRule="atLeast"/>
              <w:jc w:val="right"/>
              <w:rPr>
                <w:rFonts w:cs="宋体"/>
                <w:bCs/>
                <w:sz w:val="13"/>
                <w:szCs w:val="13"/>
              </w:rPr>
            </w:pPr>
            <w:r>
              <w:rPr>
                <w:rFonts w:cs="宋体"/>
                <w:bCs/>
                <w:sz w:val="13"/>
                <w:szCs w:val="13"/>
              </w:rPr>
              <w:t>900,996,209</w:t>
            </w:r>
          </w:p>
        </w:tc>
        <w:tc>
          <w:tcPr>
            <w:tcW w:w="311" w:type="dxa"/>
            <w:vAlign w:val="center"/>
          </w:tcPr>
          <w:p w14:paraId="4513A67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1DE5C254" w14:textId="77777777" w:rsidR="005E000F" w:rsidRDefault="00000000">
            <w:pPr>
              <w:snapToGrid w:val="0"/>
              <w:spacing w:line="240" w:lineRule="atLeast"/>
              <w:jc w:val="right"/>
              <w:rPr>
                <w:rFonts w:cs="宋体"/>
                <w:bCs/>
                <w:sz w:val="13"/>
                <w:szCs w:val="13"/>
              </w:rPr>
            </w:pPr>
            <w:r>
              <w:rPr>
                <w:rFonts w:cs="宋体"/>
                <w:bCs/>
                <w:sz w:val="13"/>
                <w:szCs w:val="13"/>
              </w:rPr>
              <w:t>-1,168,922,445</w:t>
            </w:r>
          </w:p>
        </w:tc>
        <w:tc>
          <w:tcPr>
            <w:tcW w:w="351" w:type="dxa"/>
            <w:vAlign w:val="center"/>
          </w:tcPr>
          <w:p w14:paraId="125CD29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0E083FBB" w14:textId="77777777" w:rsidR="005E000F" w:rsidRDefault="00000000">
            <w:pPr>
              <w:snapToGrid w:val="0"/>
              <w:spacing w:line="240" w:lineRule="atLeast"/>
              <w:jc w:val="right"/>
              <w:rPr>
                <w:rFonts w:cs="宋体"/>
                <w:bCs/>
                <w:sz w:val="13"/>
                <w:szCs w:val="13"/>
              </w:rPr>
            </w:pPr>
            <w:r>
              <w:rPr>
                <w:rFonts w:cs="宋体"/>
                <w:bCs/>
                <w:sz w:val="13"/>
                <w:szCs w:val="13"/>
              </w:rPr>
              <w:t>17,121,099,460</w:t>
            </w:r>
          </w:p>
        </w:tc>
        <w:tc>
          <w:tcPr>
            <w:tcW w:w="1067" w:type="dxa"/>
            <w:vAlign w:val="center"/>
          </w:tcPr>
          <w:p w14:paraId="6D819DFB" w14:textId="77777777" w:rsidR="005E000F" w:rsidRDefault="00000000">
            <w:pPr>
              <w:snapToGrid w:val="0"/>
              <w:spacing w:line="240" w:lineRule="atLeast"/>
              <w:jc w:val="right"/>
              <w:rPr>
                <w:rFonts w:cs="宋体"/>
                <w:bCs/>
                <w:sz w:val="13"/>
                <w:szCs w:val="13"/>
              </w:rPr>
            </w:pPr>
            <w:r>
              <w:rPr>
                <w:rFonts w:cs="宋体"/>
                <w:bCs/>
                <w:sz w:val="13"/>
                <w:szCs w:val="13"/>
              </w:rPr>
              <w:t>440,245,828</w:t>
            </w:r>
          </w:p>
        </w:tc>
        <w:tc>
          <w:tcPr>
            <w:tcW w:w="1118" w:type="dxa"/>
            <w:vAlign w:val="center"/>
          </w:tcPr>
          <w:p w14:paraId="2096971A" w14:textId="77777777" w:rsidR="005E000F" w:rsidRDefault="00000000">
            <w:pPr>
              <w:snapToGrid w:val="0"/>
              <w:spacing w:line="240" w:lineRule="atLeast"/>
              <w:jc w:val="right"/>
              <w:rPr>
                <w:rFonts w:cs="宋体"/>
                <w:bCs/>
                <w:sz w:val="13"/>
                <w:szCs w:val="13"/>
              </w:rPr>
            </w:pPr>
            <w:r>
              <w:rPr>
                <w:rFonts w:cs="宋体"/>
                <w:bCs/>
                <w:sz w:val="13"/>
                <w:szCs w:val="13"/>
              </w:rPr>
              <w:t>17,561,345,288</w:t>
            </w:r>
          </w:p>
        </w:tc>
      </w:tr>
      <w:tr w:rsidR="005E000F" w14:paraId="30D96E7F" w14:textId="77777777">
        <w:sdt>
          <w:sdtPr>
            <w:rPr>
              <w:sz w:val="13"/>
              <w:szCs w:val="13"/>
            </w:rPr>
            <w:tag w:val="_PLD_d3b5283bf10a4a3c8882e3f3c30046c5"/>
            <w:id w:val="1662740192"/>
          </w:sdtPr>
          <w:sdtContent>
            <w:tc>
              <w:tcPr>
                <w:tcW w:w="1314" w:type="dxa"/>
                <w:vAlign w:val="center"/>
              </w:tcPr>
              <w:p w14:paraId="57B7C5C7" w14:textId="77777777" w:rsidR="005E000F" w:rsidRDefault="00000000">
                <w:pPr>
                  <w:rPr>
                    <w:sz w:val="13"/>
                    <w:szCs w:val="13"/>
                  </w:rPr>
                </w:pPr>
                <w:r>
                  <w:rPr>
                    <w:rFonts w:hint="eastAsia"/>
                    <w:sz w:val="13"/>
                    <w:szCs w:val="13"/>
                  </w:rPr>
                  <w:t>（一）综合收益总额</w:t>
                </w:r>
              </w:p>
            </w:tc>
          </w:sdtContent>
        </w:sdt>
        <w:tc>
          <w:tcPr>
            <w:tcW w:w="1089" w:type="dxa"/>
            <w:vAlign w:val="center"/>
          </w:tcPr>
          <w:p w14:paraId="402B540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5944AB7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3A72391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4B05DB4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3ABB545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3FA07ED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0B2F4FD5" w14:textId="77777777" w:rsidR="005E000F" w:rsidRDefault="00000000">
            <w:pPr>
              <w:snapToGrid w:val="0"/>
              <w:spacing w:line="240" w:lineRule="atLeast"/>
              <w:jc w:val="right"/>
              <w:rPr>
                <w:rFonts w:cs="宋体"/>
                <w:bCs/>
                <w:sz w:val="13"/>
                <w:szCs w:val="13"/>
              </w:rPr>
            </w:pPr>
            <w:r>
              <w:rPr>
                <w:rFonts w:cs="宋体"/>
                <w:bCs/>
                <w:sz w:val="13"/>
                <w:szCs w:val="13"/>
              </w:rPr>
              <w:t>-1,127,719,243</w:t>
            </w:r>
          </w:p>
        </w:tc>
        <w:tc>
          <w:tcPr>
            <w:tcW w:w="944" w:type="dxa"/>
            <w:vAlign w:val="center"/>
          </w:tcPr>
          <w:p w14:paraId="311661A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42AD94F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837C7C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2EF707AA" w14:textId="77777777" w:rsidR="005E000F" w:rsidRDefault="00000000">
            <w:pPr>
              <w:snapToGrid w:val="0"/>
              <w:spacing w:line="240" w:lineRule="atLeast"/>
              <w:jc w:val="right"/>
              <w:rPr>
                <w:rFonts w:cs="宋体"/>
                <w:bCs/>
                <w:sz w:val="13"/>
                <w:szCs w:val="13"/>
              </w:rPr>
            </w:pPr>
            <w:r>
              <w:rPr>
                <w:rFonts w:cs="宋体"/>
                <w:bCs/>
                <w:sz w:val="13"/>
                <w:szCs w:val="13"/>
              </w:rPr>
              <w:t>9,039,359,180</w:t>
            </w:r>
          </w:p>
        </w:tc>
        <w:tc>
          <w:tcPr>
            <w:tcW w:w="351" w:type="dxa"/>
            <w:vAlign w:val="center"/>
          </w:tcPr>
          <w:p w14:paraId="55EDC25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1D45B603" w14:textId="77777777" w:rsidR="005E000F" w:rsidRDefault="00000000">
            <w:pPr>
              <w:snapToGrid w:val="0"/>
              <w:spacing w:line="240" w:lineRule="atLeast"/>
              <w:jc w:val="right"/>
              <w:rPr>
                <w:rFonts w:cs="宋体"/>
                <w:bCs/>
                <w:sz w:val="13"/>
                <w:szCs w:val="13"/>
              </w:rPr>
            </w:pPr>
            <w:r>
              <w:rPr>
                <w:rFonts w:cs="宋体"/>
                <w:bCs/>
                <w:sz w:val="13"/>
                <w:szCs w:val="13"/>
              </w:rPr>
              <w:t>7,911,639,937</w:t>
            </w:r>
          </w:p>
        </w:tc>
        <w:tc>
          <w:tcPr>
            <w:tcW w:w="1067" w:type="dxa"/>
            <w:vAlign w:val="center"/>
          </w:tcPr>
          <w:p w14:paraId="1664573A" w14:textId="77777777" w:rsidR="005E000F" w:rsidRDefault="00000000">
            <w:pPr>
              <w:snapToGrid w:val="0"/>
              <w:spacing w:line="240" w:lineRule="atLeast"/>
              <w:jc w:val="right"/>
              <w:rPr>
                <w:rFonts w:cs="宋体"/>
                <w:bCs/>
                <w:sz w:val="13"/>
                <w:szCs w:val="13"/>
              </w:rPr>
            </w:pPr>
            <w:r>
              <w:rPr>
                <w:rFonts w:cs="宋体"/>
                <w:bCs/>
                <w:sz w:val="13"/>
                <w:szCs w:val="13"/>
              </w:rPr>
              <w:t>1,232,491,737</w:t>
            </w:r>
          </w:p>
        </w:tc>
        <w:tc>
          <w:tcPr>
            <w:tcW w:w="1118" w:type="dxa"/>
            <w:vAlign w:val="center"/>
          </w:tcPr>
          <w:p w14:paraId="22730026" w14:textId="77777777" w:rsidR="005E000F" w:rsidRDefault="00000000">
            <w:pPr>
              <w:snapToGrid w:val="0"/>
              <w:spacing w:line="240" w:lineRule="atLeast"/>
              <w:jc w:val="right"/>
              <w:rPr>
                <w:rFonts w:cs="宋体"/>
                <w:bCs/>
                <w:sz w:val="13"/>
                <w:szCs w:val="13"/>
              </w:rPr>
            </w:pPr>
            <w:r>
              <w:rPr>
                <w:rFonts w:cs="宋体"/>
                <w:bCs/>
                <w:sz w:val="13"/>
                <w:szCs w:val="13"/>
              </w:rPr>
              <w:t>9,144,131,674</w:t>
            </w:r>
          </w:p>
        </w:tc>
      </w:tr>
      <w:tr w:rsidR="005E000F" w14:paraId="35AD816A" w14:textId="77777777">
        <w:sdt>
          <w:sdtPr>
            <w:rPr>
              <w:sz w:val="13"/>
              <w:szCs w:val="13"/>
            </w:rPr>
            <w:tag w:val="_PLD_ecb1a0919fe148e5893e9977ac112e36"/>
            <w:id w:val="-306012465"/>
          </w:sdtPr>
          <w:sdtContent>
            <w:tc>
              <w:tcPr>
                <w:tcW w:w="1314" w:type="dxa"/>
                <w:vAlign w:val="center"/>
              </w:tcPr>
              <w:p w14:paraId="2070DCEC" w14:textId="77777777" w:rsidR="005E000F" w:rsidRDefault="00000000">
                <w:pPr>
                  <w:rPr>
                    <w:sz w:val="13"/>
                    <w:szCs w:val="13"/>
                  </w:rPr>
                </w:pPr>
                <w:r>
                  <w:rPr>
                    <w:sz w:val="13"/>
                    <w:szCs w:val="13"/>
                  </w:rPr>
                  <w:t>（</w:t>
                </w:r>
                <w:r>
                  <w:rPr>
                    <w:rFonts w:hint="eastAsia"/>
                    <w:sz w:val="13"/>
                    <w:szCs w:val="13"/>
                  </w:rPr>
                  <w:t>二</w:t>
                </w:r>
                <w:r>
                  <w:rPr>
                    <w:sz w:val="13"/>
                    <w:szCs w:val="13"/>
                  </w:rPr>
                  <w:t>）所有者投入和减少资本</w:t>
                </w:r>
              </w:p>
            </w:tc>
          </w:sdtContent>
        </w:sdt>
        <w:tc>
          <w:tcPr>
            <w:tcW w:w="1089" w:type="dxa"/>
            <w:vAlign w:val="center"/>
          </w:tcPr>
          <w:p w14:paraId="24D81AF5" w14:textId="77777777" w:rsidR="005E000F" w:rsidRDefault="00000000">
            <w:pPr>
              <w:snapToGrid w:val="0"/>
              <w:spacing w:line="240" w:lineRule="atLeast"/>
              <w:jc w:val="right"/>
              <w:rPr>
                <w:rFonts w:cs="宋体"/>
                <w:bCs/>
                <w:sz w:val="13"/>
                <w:szCs w:val="13"/>
              </w:rPr>
            </w:pPr>
            <w:r>
              <w:rPr>
                <w:rFonts w:cs="宋体"/>
                <w:bCs/>
                <w:sz w:val="13"/>
                <w:szCs w:val="13"/>
              </w:rPr>
              <w:t>3,059,959,187</w:t>
            </w:r>
          </w:p>
        </w:tc>
        <w:tc>
          <w:tcPr>
            <w:tcW w:w="289" w:type="dxa"/>
            <w:vAlign w:val="center"/>
          </w:tcPr>
          <w:p w14:paraId="118EFEF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35D770D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2511BE28" w14:textId="77777777" w:rsidR="005E000F" w:rsidRDefault="00000000">
            <w:pPr>
              <w:snapToGrid w:val="0"/>
              <w:spacing w:line="240" w:lineRule="atLeast"/>
              <w:jc w:val="right"/>
              <w:rPr>
                <w:rFonts w:cs="宋体"/>
                <w:bCs/>
                <w:sz w:val="13"/>
                <w:szCs w:val="13"/>
              </w:rPr>
            </w:pPr>
            <w:r>
              <w:rPr>
                <w:rFonts w:cs="宋体"/>
                <w:bCs/>
                <w:sz w:val="13"/>
                <w:szCs w:val="13"/>
              </w:rPr>
              <w:t>-1,963,438,929</w:t>
            </w:r>
          </w:p>
        </w:tc>
        <w:tc>
          <w:tcPr>
            <w:tcW w:w="1033" w:type="dxa"/>
            <w:vAlign w:val="center"/>
          </w:tcPr>
          <w:p w14:paraId="34B8BF47" w14:textId="77777777" w:rsidR="005E000F" w:rsidRDefault="00000000">
            <w:pPr>
              <w:snapToGrid w:val="0"/>
              <w:spacing w:line="240" w:lineRule="atLeast"/>
              <w:jc w:val="right"/>
              <w:rPr>
                <w:rFonts w:cs="宋体"/>
                <w:bCs/>
                <w:sz w:val="13"/>
                <w:szCs w:val="13"/>
              </w:rPr>
            </w:pPr>
            <w:r>
              <w:rPr>
                <w:rFonts w:cs="宋体"/>
                <w:bCs/>
                <w:sz w:val="13"/>
                <w:szCs w:val="13"/>
              </w:rPr>
              <w:t>17,659,582,359</w:t>
            </w:r>
          </w:p>
        </w:tc>
        <w:tc>
          <w:tcPr>
            <w:tcW w:w="900" w:type="dxa"/>
            <w:vAlign w:val="center"/>
          </w:tcPr>
          <w:p w14:paraId="2E8EC9D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36E29FD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2F1AC74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315CF12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59B20C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3B456F6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71D0691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635D4012" w14:textId="77777777" w:rsidR="005E000F" w:rsidRDefault="00000000">
            <w:pPr>
              <w:snapToGrid w:val="0"/>
              <w:spacing w:line="240" w:lineRule="atLeast"/>
              <w:jc w:val="right"/>
              <w:rPr>
                <w:rFonts w:cs="宋体"/>
                <w:bCs/>
                <w:sz w:val="13"/>
                <w:szCs w:val="13"/>
              </w:rPr>
            </w:pPr>
            <w:r>
              <w:rPr>
                <w:rFonts w:cs="宋体"/>
                <w:bCs/>
                <w:sz w:val="13"/>
                <w:szCs w:val="13"/>
              </w:rPr>
              <w:t>18,756,102,617</w:t>
            </w:r>
          </w:p>
        </w:tc>
        <w:tc>
          <w:tcPr>
            <w:tcW w:w="1067" w:type="dxa"/>
            <w:vAlign w:val="center"/>
          </w:tcPr>
          <w:p w14:paraId="0B6FD7C5" w14:textId="77777777" w:rsidR="005E000F" w:rsidRDefault="00000000">
            <w:pPr>
              <w:snapToGrid w:val="0"/>
              <w:spacing w:line="240" w:lineRule="atLeast"/>
              <w:jc w:val="right"/>
              <w:rPr>
                <w:rFonts w:cs="宋体"/>
                <w:bCs/>
                <w:sz w:val="13"/>
                <w:szCs w:val="13"/>
              </w:rPr>
            </w:pPr>
            <w:r>
              <w:rPr>
                <w:rFonts w:cs="宋体"/>
                <w:bCs/>
                <w:sz w:val="13"/>
                <w:szCs w:val="13"/>
              </w:rPr>
              <w:t>16,319,062</w:t>
            </w:r>
          </w:p>
        </w:tc>
        <w:tc>
          <w:tcPr>
            <w:tcW w:w="1118" w:type="dxa"/>
            <w:vAlign w:val="center"/>
          </w:tcPr>
          <w:p w14:paraId="5CB56340" w14:textId="77777777" w:rsidR="005E000F" w:rsidRDefault="00000000">
            <w:pPr>
              <w:snapToGrid w:val="0"/>
              <w:spacing w:line="240" w:lineRule="atLeast"/>
              <w:jc w:val="right"/>
              <w:rPr>
                <w:rFonts w:cs="宋体"/>
                <w:bCs/>
                <w:sz w:val="13"/>
                <w:szCs w:val="13"/>
              </w:rPr>
            </w:pPr>
            <w:r>
              <w:rPr>
                <w:rFonts w:cs="宋体"/>
                <w:bCs/>
                <w:sz w:val="13"/>
                <w:szCs w:val="13"/>
              </w:rPr>
              <w:t>18,772,421,679</w:t>
            </w:r>
          </w:p>
        </w:tc>
      </w:tr>
      <w:tr w:rsidR="005E000F" w14:paraId="5FD0D114" w14:textId="77777777">
        <w:sdt>
          <w:sdtPr>
            <w:rPr>
              <w:sz w:val="13"/>
              <w:szCs w:val="13"/>
            </w:rPr>
            <w:tag w:val="_PLD_611ba2ed8c6b439788c9acf67433da0c"/>
            <w:id w:val="-826827457"/>
          </w:sdtPr>
          <w:sdtContent>
            <w:tc>
              <w:tcPr>
                <w:tcW w:w="1314" w:type="dxa"/>
                <w:vAlign w:val="center"/>
              </w:tcPr>
              <w:p w14:paraId="5C4AA050" w14:textId="77777777" w:rsidR="005E000F" w:rsidRDefault="00000000">
                <w:pPr>
                  <w:rPr>
                    <w:sz w:val="13"/>
                    <w:szCs w:val="13"/>
                  </w:rPr>
                </w:pPr>
                <w:r>
                  <w:rPr>
                    <w:rFonts w:hint="eastAsia"/>
                    <w:sz w:val="13"/>
                    <w:szCs w:val="13"/>
                  </w:rPr>
                  <w:t>1</w:t>
                </w:r>
                <w:r>
                  <w:rPr>
                    <w:rFonts w:hint="eastAsia"/>
                    <w:sz w:val="13"/>
                    <w:szCs w:val="13"/>
                  </w:rPr>
                  <w:t>．所有者投入的普通股</w:t>
                </w:r>
              </w:p>
            </w:tc>
          </w:sdtContent>
        </w:sdt>
        <w:tc>
          <w:tcPr>
            <w:tcW w:w="1089" w:type="dxa"/>
            <w:vAlign w:val="center"/>
          </w:tcPr>
          <w:p w14:paraId="35F510F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1599209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2E83E53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14FC8CA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37AD96B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197B204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23930A8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5B08C89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7B04555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704B00E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086ED2E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1E9C81F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7532A91C"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67" w:type="dxa"/>
            <w:vAlign w:val="center"/>
          </w:tcPr>
          <w:p w14:paraId="338E82D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7D3E730E"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0A037D1F" w14:textId="77777777">
        <w:sdt>
          <w:sdtPr>
            <w:rPr>
              <w:sz w:val="13"/>
              <w:szCs w:val="13"/>
            </w:rPr>
            <w:tag w:val="_PLD_c90ad87987d54aec9ebb059ca9fe2d83"/>
            <w:id w:val="-599338737"/>
          </w:sdtPr>
          <w:sdtContent>
            <w:tc>
              <w:tcPr>
                <w:tcW w:w="1314" w:type="dxa"/>
                <w:vAlign w:val="center"/>
              </w:tcPr>
              <w:p w14:paraId="68F1C2CE" w14:textId="77777777" w:rsidR="005E000F" w:rsidRDefault="00000000">
                <w:pPr>
                  <w:rPr>
                    <w:sz w:val="13"/>
                    <w:szCs w:val="13"/>
                  </w:rPr>
                </w:pPr>
                <w:r>
                  <w:rPr>
                    <w:rFonts w:hint="eastAsia"/>
                    <w:sz w:val="13"/>
                    <w:szCs w:val="13"/>
                  </w:rPr>
                  <w:t>2</w:t>
                </w:r>
                <w:r>
                  <w:rPr>
                    <w:rFonts w:hint="eastAsia"/>
                    <w:sz w:val="13"/>
                    <w:szCs w:val="13"/>
                  </w:rPr>
                  <w:t>．其他权益工具持有者投入资本</w:t>
                </w:r>
              </w:p>
            </w:tc>
          </w:sdtContent>
        </w:sdt>
        <w:tc>
          <w:tcPr>
            <w:tcW w:w="1089" w:type="dxa"/>
            <w:vAlign w:val="center"/>
          </w:tcPr>
          <w:p w14:paraId="1DCB512C" w14:textId="77777777" w:rsidR="005E000F" w:rsidRDefault="00000000">
            <w:pPr>
              <w:snapToGrid w:val="0"/>
              <w:spacing w:line="240" w:lineRule="atLeast"/>
              <w:jc w:val="right"/>
              <w:rPr>
                <w:rFonts w:cs="宋体"/>
                <w:bCs/>
                <w:sz w:val="13"/>
                <w:szCs w:val="13"/>
              </w:rPr>
            </w:pPr>
            <w:r>
              <w:rPr>
                <w:rFonts w:cs="宋体"/>
                <w:bCs/>
                <w:sz w:val="13"/>
                <w:szCs w:val="13"/>
              </w:rPr>
              <w:t>3,059,959,187</w:t>
            </w:r>
          </w:p>
        </w:tc>
        <w:tc>
          <w:tcPr>
            <w:tcW w:w="289" w:type="dxa"/>
            <w:vAlign w:val="center"/>
          </w:tcPr>
          <w:p w14:paraId="1BF5D3E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40CE693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49A6E381" w14:textId="77777777" w:rsidR="005E000F" w:rsidRDefault="00000000">
            <w:pPr>
              <w:snapToGrid w:val="0"/>
              <w:spacing w:line="240" w:lineRule="atLeast"/>
              <w:jc w:val="right"/>
              <w:rPr>
                <w:rFonts w:cs="宋体"/>
                <w:bCs/>
                <w:sz w:val="13"/>
                <w:szCs w:val="13"/>
              </w:rPr>
            </w:pPr>
            <w:r>
              <w:rPr>
                <w:rFonts w:cs="宋体"/>
                <w:bCs/>
                <w:sz w:val="13"/>
                <w:szCs w:val="13"/>
              </w:rPr>
              <w:t>-1,963,438,929</w:t>
            </w:r>
          </w:p>
        </w:tc>
        <w:tc>
          <w:tcPr>
            <w:tcW w:w="1033" w:type="dxa"/>
            <w:vAlign w:val="center"/>
          </w:tcPr>
          <w:p w14:paraId="2272B01F" w14:textId="77777777" w:rsidR="005E000F" w:rsidRDefault="00000000">
            <w:pPr>
              <w:snapToGrid w:val="0"/>
              <w:spacing w:line="240" w:lineRule="atLeast"/>
              <w:jc w:val="right"/>
              <w:rPr>
                <w:rFonts w:cs="宋体"/>
                <w:bCs/>
                <w:sz w:val="13"/>
                <w:szCs w:val="13"/>
              </w:rPr>
            </w:pPr>
            <w:r>
              <w:rPr>
                <w:rFonts w:cs="宋体"/>
                <w:bCs/>
                <w:sz w:val="13"/>
                <w:szCs w:val="13"/>
              </w:rPr>
              <w:t>17,346,389,879</w:t>
            </w:r>
          </w:p>
        </w:tc>
        <w:tc>
          <w:tcPr>
            <w:tcW w:w="900" w:type="dxa"/>
            <w:vAlign w:val="center"/>
          </w:tcPr>
          <w:p w14:paraId="24DB4A1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0BB60A0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61AAA44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6A6DF2F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70DE0A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0A6FCC4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7DFD357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75F9A086" w14:textId="77777777" w:rsidR="005E000F" w:rsidRDefault="00000000">
            <w:pPr>
              <w:snapToGrid w:val="0"/>
              <w:spacing w:line="240" w:lineRule="atLeast"/>
              <w:jc w:val="right"/>
              <w:rPr>
                <w:rFonts w:cs="宋体"/>
                <w:bCs/>
                <w:sz w:val="13"/>
                <w:szCs w:val="13"/>
              </w:rPr>
            </w:pPr>
            <w:r>
              <w:rPr>
                <w:rFonts w:cs="宋体"/>
                <w:bCs/>
                <w:sz w:val="13"/>
                <w:szCs w:val="13"/>
              </w:rPr>
              <w:t>18,442,910,137</w:t>
            </w:r>
          </w:p>
        </w:tc>
        <w:tc>
          <w:tcPr>
            <w:tcW w:w="1067" w:type="dxa"/>
            <w:vAlign w:val="center"/>
          </w:tcPr>
          <w:p w14:paraId="049023C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28BA3156" w14:textId="77777777" w:rsidR="005E000F" w:rsidRDefault="00000000">
            <w:pPr>
              <w:snapToGrid w:val="0"/>
              <w:spacing w:line="240" w:lineRule="atLeast"/>
              <w:jc w:val="right"/>
              <w:rPr>
                <w:rFonts w:cs="宋体"/>
                <w:bCs/>
                <w:sz w:val="13"/>
                <w:szCs w:val="13"/>
              </w:rPr>
            </w:pPr>
            <w:r>
              <w:rPr>
                <w:rFonts w:cs="宋体"/>
                <w:bCs/>
                <w:sz w:val="13"/>
                <w:szCs w:val="13"/>
              </w:rPr>
              <w:t>18,442,910,137</w:t>
            </w:r>
          </w:p>
        </w:tc>
      </w:tr>
      <w:tr w:rsidR="005E000F" w14:paraId="4D7E2C7A" w14:textId="77777777">
        <w:sdt>
          <w:sdtPr>
            <w:rPr>
              <w:sz w:val="13"/>
              <w:szCs w:val="13"/>
            </w:rPr>
            <w:tag w:val="_PLD_d73580ad15ab461695606b09453b2233"/>
            <w:id w:val="-2069723658"/>
          </w:sdtPr>
          <w:sdtContent>
            <w:tc>
              <w:tcPr>
                <w:tcW w:w="1314" w:type="dxa"/>
                <w:vAlign w:val="center"/>
              </w:tcPr>
              <w:p w14:paraId="42E3CFAD" w14:textId="77777777" w:rsidR="005E000F" w:rsidRDefault="00000000">
                <w:pPr>
                  <w:rPr>
                    <w:sz w:val="13"/>
                    <w:szCs w:val="13"/>
                  </w:rPr>
                </w:pPr>
                <w:r>
                  <w:rPr>
                    <w:rFonts w:hint="eastAsia"/>
                    <w:sz w:val="13"/>
                    <w:szCs w:val="13"/>
                  </w:rPr>
                  <w:t>3</w:t>
                </w:r>
                <w:r>
                  <w:rPr>
                    <w:sz w:val="13"/>
                    <w:szCs w:val="13"/>
                  </w:rPr>
                  <w:t>．股份支付计入所有者权益的金额</w:t>
                </w:r>
              </w:p>
            </w:tc>
          </w:sdtContent>
        </w:sdt>
        <w:tc>
          <w:tcPr>
            <w:tcW w:w="1089" w:type="dxa"/>
            <w:vAlign w:val="center"/>
          </w:tcPr>
          <w:p w14:paraId="38A2E94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5CDC22E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0434F20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7E34FFA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523FB99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71BF206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4C4C089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1BF30AD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55F3762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7807A74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58A9401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700C580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249A85D9"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67" w:type="dxa"/>
            <w:vAlign w:val="center"/>
          </w:tcPr>
          <w:p w14:paraId="570DA66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41B4BB31"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6A1310F1" w14:textId="77777777">
        <w:sdt>
          <w:sdtPr>
            <w:rPr>
              <w:sz w:val="13"/>
              <w:szCs w:val="13"/>
            </w:rPr>
            <w:tag w:val="_PLD_32d1c7d278224bfa80a28845c7639c86"/>
            <w:id w:val="-1984294850"/>
          </w:sdtPr>
          <w:sdtContent>
            <w:tc>
              <w:tcPr>
                <w:tcW w:w="1314" w:type="dxa"/>
                <w:vAlign w:val="center"/>
              </w:tcPr>
              <w:p w14:paraId="7C7D30D0" w14:textId="77777777" w:rsidR="005E000F" w:rsidRDefault="00000000">
                <w:pPr>
                  <w:rPr>
                    <w:sz w:val="13"/>
                    <w:szCs w:val="13"/>
                  </w:rPr>
                </w:pPr>
                <w:r>
                  <w:rPr>
                    <w:rFonts w:hint="eastAsia"/>
                    <w:sz w:val="13"/>
                    <w:szCs w:val="13"/>
                  </w:rPr>
                  <w:t>4</w:t>
                </w:r>
                <w:r>
                  <w:rPr>
                    <w:sz w:val="13"/>
                    <w:szCs w:val="13"/>
                  </w:rPr>
                  <w:t>．其他</w:t>
                </w:r>
              </w:p>
            </w:tc>
          </w:sdtContent>
        </w:sdt>
        <w:tc>
          <w:tcPr>
            <w:tcW w:w="1089" w:type="dxa"/>
            <w:vAlign w:val="center"/>
          </w:tcPr>
          <w:p w14:paraId="69C69C5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03697EE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0136BCC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2BF451F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56F860DE" w14:textId="77777777" w:rsidR="005E000F" w:rsidRDefault="00000000">
            <w:pPr>
              <w:snapToGrid w:val="0"/>
              <w:spacing w:line="240" w:lineRule="atLeast"/>
              <w:jc w:val="right"/>
              <w:rPr>
                <w:rFonts w:cs="宋体"/>
                <w:bCs/>
                <w:sz w:val="13"/>
                <w:szCs w:val="13"/>
              </w:rPr>
            </w:pPr>
            <w:r>
              <w:rPr>
                <w:rFonts w:cs="宋体"/>
                <w:bCs/>
                <w:sz w:val="13"/>
                <w:szCs w:val="13"/>
              </w:rPr>
              <w:t>313,192,480</w:t>
            </w:r>
          </w:p>
        </w:tc>
        <w:tc>
          <w:tcPr>
            <w:tcW w:w="900" w:type="dxa"/>
            <w:vAlign w:val="center"/>
          </w:tcPr>
          <w:p w14:paraId="11A9139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1E60FEB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0A18862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69E0421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B53583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276C589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028EDF6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3E1CA697" w14:textId="77777777" w:rsidR="005E000F" w:rsidRDefault="00000000">
            <w:pPr>
              <w:snapToGrid w:val="0"/>
              <w:spacing w:line="240" w:lineRule="atLeast"/>
              <w:jc w:val="right"/>
              <w:rPr>
                <w:rFonts w:cs="宋体"/>
                <w:bCs/>
                <w:sz w:val="13"/>
                <w:szCs w:val="13"/>
              </w:rPr>
            </w:pPr>
            <w:r>
              <w:rPr>
                <w:rFonts w:cs="宋体"/>
                <w:bCs/>
                <w:sz w:val="13"/>
                <w:szCs w:val="13"/>
              </w:rPr>
              <w:t>313,192,480</w:t>
            </w:r>
          </w:p>
        </w:tc>
        <w:tc>
          <w:tcPr>
            <w:tcW w:w="1067" w:type="dxa"/>
            <w:vAlign w:val="center"/>
          </w:tcPr>
          <w:p w14:paraId="6C2FCF96" w14:textId="77777777" w:rsidR="005E000F" w:rsidRDefault="00000000">
            <w:pPr>
              <w:snapToGrid w:val="0"/>
              <w:spacing w:line="240" w:lineRule="atLeast"/>
              <w:jc w:val="right"/>
              <w:rPr>
                <w:rFonts w:cs="宋体"/>
                <w:bCs/>
                <w:sz w:val="13"/>
                <w:szCs w:val="13"/>
              </w:rPr>
            </w:pPr>
            <w:r>
              <w:rPr>
                <w:rFonts w:cs="宋体"/>
                <w:bCs/>
                <w:sz w:val="13"/>
                <w:szCs w:val="13"/>
              </w:rPr>
              <w:t>16,319,062</w:t>
            </w:r>
          </w:p>
        </w:tc>
        <w:tc>
          <w:tcPr>
            <w:tcW w:w="1118" w:type="dxa"/>
            <w:vAlign w:val="center"/>
          </w:tcPr>
          <w:p w14:paraId="013BB172" w14:textId="77777777" w:rsidR="005E000F" w:rsidRDefault="00000000">
            <w:pPr>
              <w:snapToGrid w:val="0"/>
              <w:spacing w:line="240" w:lineRule="atLeast"/>
              <w:jc w:val="right"/>
              <w:rPr>
                <w:rFonts w:cs="宋体"/>
                <w:bCs/>
                <w:sz w:val="13"/>
                <w:szCs w:val="13"/>
              </w:rPr>
            </w:pPr>
            <w:r>
              <w:rPr>
                <w:rFonts w:cs="宋体"/>
                <w:bCs/>
                <w:sz w:val="13"/>
                <w:szCs w:val="13"/>
              </w:rPr>
              <w:t>329,511,542</w:t>
            </w:r>
          </w:p>
        </w:tc>
      </w:tr>
      <w:tr w:rsidR="005E000F" w14:paraId="76E63678" w14:textId="77777777">
        <w:sdt>
          <w:sdtPr>
            <w:rPr>
              <w:sz w:val="13"/>
              <w:szCs w:val="13"/>
            </w:rPr>
            <w:tag w:val="_PLD_4f4c1a0d22784a4a81a90a7b772560b9"/>
            <w:id w:val="1849600551"/>
          </w:sdtPr>
          <w:sdtContent>
            <w:tc>
              <w:tcPr>
                <w:tcW w:w="1314" w:type="dxa"/>
                <w:vAlign w:val="center"/>
              </w:tcPr>
              <w:p w14:paraId="787DE609" w14:textId="77777777" w:rsidR="005E000F" w:rsidRDefault="00000000">
                <w:pPr>
                  <w:rPr>
                    <w:sz w:val="13"/>
                    <w:szCs w:val="13"/>
                  </w:rPr>
                </w:pPr>
                <w:r>
                  <w:rPr>
                    <w:sz w:val="13"/>
                    <w:szCs w:val="13"/>
                  </w:rPr>
                  <w:t>（</w:t>
                </w:r>
                <w:r>
                  <w:rPr>
                    <w:rFonts w:hint="eastAsia"/>
                    <w:sz w:val="13"/>
                    <w:szCs w:val="13"/>
                  </w:rPr>
                  <w:t>三</w:t>
                </w:r>
                <w:r>
                  <w:rPr>
                    <w:sz w:val="13"/>
                    <w:szCs w:val="13"/>
                  </w:rPr>
                  <w:t>）利润分配</w:t>
                </w:r>
              </w:p>
            </w:tc>
          </w:sdtContent>
        </w:sdt>
        <w:tc>
          <w:tcPr>
            <w:tcW w:w="1089" w:type="dxa"/>
            <w:vAlign w:val="center"/>
          </w:tcPr>
          <w:p w14:paraId="10EECF9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349DE7E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28D5ACC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2851584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53B498C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5255BCD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3E3B81C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0BEF06D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6BE71603" w14:textId="77777777" w:rsidR="005E000F" w:rsidRDefault="00000000">
            <w:pPr>
              <w:snapToGrid w:val="0"/>
              <w:spacing w:line="240" w:lineRule="atLeast"/>
              <w:jc w:val="right"/>
              <w:rPr>
                <w:rFonts w:cs="宋体"/>
                <w:bCs/>
                <w:sz w:val="13"/>
                <w:szCs w:val="13"/>
              </w:rPr>
            </w:pPr>
            <w:r>
              <w:rPr>
                <w:rFonts w:cs="宋体"/>
                <w:bCs/>
                <w:sz w:val="13"/>
                <w:szCs w:val="13"/>
              </w:rPr>
              <w:t>900,996,209</w:t>
            </w:r>
          </w:p>
        </w:tc>
        <w:tc>
          <w:tcPr>
            <w:tcW w:w="311" w:type="dxa"/>
            <w:vAlign w:val="center"/>
          </w:tcPr>
          <w:p w14:paraId="1B44671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2A342D95" w14:textId="77777777" w:rsidR="005E000F" w:rsidRDefault="00000000">
            <w:pPr>
              <w:snapToGrid w:val="0"/>
              <w:spacing w:line="240" w:lineRule="atLeast"/>
              <w:jc w:val="right"/>
              <w:rPr>
                <w:rFonts w:cs="宋体"/>
                <w:bCs/>
                <w:sz w:val="13"/>
                <w:szCs w:val="13"/>
              </w:rPr>
            </w:pPr>
            <w:r>
              <w:rPr>
                <w:rFonts w:cs="宋体"/>
                <w:bCs/>
                <w:sz w:val="13"/>
                <w:szCs w:val="13"/>
              </w:rPr>
              <w:t>-10,208,281,625</w:t>
            </w:r>
          </w:p>
        </w:tc>
        <w:tc>
          <w:tcPr>
            <w:tcW w:w="351" w:type="dxa"/>
            <w:vAlign w:val="center"/>
          </w:tcPr>
          <w:p w14:paraId="2EC57E8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6992D861" w14:textId="77777777" w:rsidR="005E000F" w:rsidRDefault="00000000">
            <w:pPr>
              <w:snapToGrid w:val="0"/>
              <w:spacing w:line="240" w:lineRule="atLeast"/>
              <w:jc w:val="right"/>
              <w:rPr>
                <w:rFonts w:cs="宋体"/>
                <w:bCs/>
                <w:sz w:val="13"/>
                <w:szCs w:val="13"/>
              </w:rPr>
            </w:pPr>
            <w:r>
              <w:rPr>
                <w:rFonts w:cs="宋体"/>
                <w:bCs/>
                <w:sz w:val="13"/>
                <w:szCs w:val="13"/>
              </w:rPr>
              <w:t>-9,307,285,416</w:t>
            </w:r>
          </w:p>
        </w:tc>
        <w:tc>
          <w:tcPr>
            <w:tcW w:w="1067" w:type="dxa"/>
            <w:vAlign w:val="center"/>
          </w:tcPr>
          <w:p w14:paraId="4183DFF3" w14:textId="77777777" w:rsidR="005E000F" w:rsidRDefault="00000000">
            <w:pPr>
              <w:snapToGrid w:val="0"/>
              <w:spacing w:line="240" w:lineRule="atLeast"/>
              <w:jc w:val="right"/>
              <w:rPr>
                <w:rFonts w:cs="宋体"/>
                <w:bCs/>
                <w:sz w:val="13"/>
                <w:szCs w:val="13"/>
              </w:rPr>
            </w:pPr>
            <w:r>
              <w:rPr>
                <w:rFonts w:cs="宋体"/>
                <w:bCs/>
                <w:sz w:val="13"/>
                <w:szCs w:val="13"/>
              </w:rPr>
              <w:t>-843,443,520</w:t>
            </w:r>
          </w:p>
        </w:tc>
        <w:tc>
          <w:tcPr>
            <w:tcW w:w="1118" w:type="dxa"/>
            <w:vAlign w:val="center"/>
          </w:tcPr>
          <w:p w14:paraId="7B333787" w14:textId="77777777" w:rsidR="005E000F" w:rsidRDefault="00000000">
            <w:pPr>
              <w:snapToGrid w:val="0"/>
              <w:spacing w:line="240" w:lineRule="atLeast"/>
              <w:jc w:val="right"/>
              <w:rPr>
                <w:rFonts w:cs="宋体"/>
                <w:bCs/>
                <w:sz w:val="13"/>
                <w:szCs w:val="13"/>
              </w:rPr>
            </w:pPr>
            <w:r>
              <w:rPr>
                <w:rFonts w:cs="宋体"/>
                <w:bCs/>
                <w:sz w:val="13"/>
                <w:szCs w:val="13"/>
              </w:rPr>
              <w:t>-10,150,728,936</w:t>
            </w:r>
          </w:p>
        </w:tc>
      </w:tr>
      <w:tr w:rsidR="005E000F" w14:paraId="006D0060" w14:textId="77777777">
        <w:sdt>
          <w:sdtPr>
            <w:rPr>
              <w:sz w:val="13"/>
              <w:szCs w:val="13"/>
            </w:rPr>
            <w:tag w:val="_PLD_73a49eb420a24cdbb4f7f5ce05660344"/>
            <w:id w:val="107245868"/>
          </w:sdtPr>
          <w:sdtContent>
            <w:tc>
              <w:tcPr>
                <w:tcW w:w="1314" w:type="dxa"/>
                <w:vAlign w:val="center"/>
              </w:tcPr>
              <w:p w14:paraId="78C48051" w14:textId="77777777" w:rsidR="005E000F" w:rsidRDefault="00000000">
                <w:pPr>
                  <w:rPr>
                    <w:sz w:val="13"/>
                    <w:szCs w:val="13"/>
                  </w:rPr>
                </w:pPr>
                <w:r>
                  <w:rPr>
                    <w:sz w:val="13"/>
                    <w:szCs w:val="13"/>
                  </w:rPr>
                  <w:t>1</w:t>
                </w:r>
                <w:r>
                  <w:rPr>
                    <w:sz w:val="13"/>
                    <w:szCs w:val="13"/>
                  </w:rPr>
                  <w:t>．提取盈余公积</w:t>
                </w:r>
              </w:p>
            </w:tc>
          </w:sdtContent>
        </w:sdt>
        <w:tc>
          <w:tcPr>
            <w:tcW w:w="1089" w:type="dxa"/>
            <w:vAlign w:val="center"/>
          </w:tcPr>
          <w:p w14:paraId="257BA4D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136F272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2A3E616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362BA2E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4314723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026FB2E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1230185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5A22D78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05B3A560" w14:textId="77777777" w:rsidR="005E000F" w:rsidRDefault="00000000">
            <w:pPr>
              <w:snapToGrid w:val="0"/>
              <w:spacing w:line="240" w:lineRule="atLeast"/>
              <w:jc w:val="right"/>
              <w:rPr>
                <w:rFonts w:cs="宋体"/>
                <w:bCs/>
                <w:sz w:val="13"/>
                <w:szCs w:val="13"/>
              </w:rPr>
            </w:pPr>
            <w:r>
              <w:rPr>
                <w:rFonts w:cs="宋体"/>
                <w:bCs/>
                <w:sz w:val="13"/>
                <w:szCs w:val="13"/>
              </w:rPr>
              <w:t>900,996,209</w:t>
            </w:r>
          </w:p>
        </w:tc>
        <w:tc>
          <w:tcPr>
            <w:tcW w:w="311" w:type="dxa"/>
            <w:vAlign w:val="center"/>
          </w:tcPr>
          <w:p w14:paraId="57DBF7F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2CC593E1" w14:textId="77777777" w:rsidR="005E000F" w:rsidRDefault="00000000">
            <w:pPr>
              <w:snapToGrid w:val="0"/>
              <w:spacing w:line="240" w:lineRule="atLeast"/>
              <w:jc w:val="right"/>
              <w:rPr>
                <w:rFonts w:cs="宋体"/>
                <w:bCs/>
                <w:sz w:val="13"/>
                <w:szCs w:val="13"/>
              </w:rPr>
            </w:pPr>
            <w:r>
              <w:rPr>
                <w:rFonts w:cs="宋体"/>
                <w:bCs/>
                <w:sz w:val="13"/>
                <w:szCs w:val="13"/>
              </w:rPr>
              <w:t>-900,996,209</w:t>
            </w:r>
          </w:p>
        </w:tc>
        <w:tc>
          <w:tcPr>
            <w:tcW w:w="351" w:type="dxa"/>
            <w:vAlign w:val="center"/>
          </w:tcPr>
          <w:p w14:paraId="32C6F8F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164976CB"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67" w:type="dxa"/>
            <w:vAlign w:val="center"/>
          </w:tcPr>
          <w:p w14:paraId="1B5F0E8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28BD4782"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27076D1D" w14:textId="77777777">
        <w:sdt>
          <w:sdtPr>
            <w:rPr>
              <w:sz w:val="13"/>
              <w:szCs w:val="13"/>
            </w:rPr>
            <w:tag w:val="_PLD_230083ca1b684aa0b92b69b31995ea1b"/>
            <w:id w:val="222097630"/>
          </w:sdtPr>
          <w:sdtContent>
            <w:tc>
              <w:tcPr>
                <w:tcW w:w="1314" w:type="dxa"/>
                <w:vAlign w:val="center"/>
              </w:tcPr>
              <w:p w14:paraId="70B4148D" w14:textId="77777777" w:rsidR="005E000F" w:rsidRDefault="00000000">
                <w:pPr>
                  <w:rPr>
                    <w:sz w:val="13"/>
                    <w:szCs w:val="13"/>
                  </w:rPr>
                </w:pPr>
                <w:r>
                  <w:rPr>
                    <w:sz w:val="13"/>
                    <w:szCs w:val="13"/>
                  </w:rPr>
                  <w:t>2</w:t>
                </w:r>
                <w:r>
                  <w:rPr>
                    <w:sz w:val="13"/>
                    <w:szCs w:val="13"/>
                  </w:rPr>
                  <w:t>．提取一般风险准备</w:t>
                </w:r>
              </w:p>
            </w:tc>
          </w:sdtContent>
        </w:sdt>
        <w:tc>
          <w:tcPr>
            <w:tcW w:w="1089" w:type="dxa"/>
            <w:vAlign w:val="center"/>
          </w:tcPr>
          <w:p w14:paraId="47854F7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6046A9B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1E9229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37E0467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31FCB7C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4723E22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46A7D23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2F38CFA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3183895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E39C87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29CC7DF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2508FC1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64BBE142"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67" w:type="dxa"/>
            <w:vAlign w:val="center"/>
          </w:tcPr>
          <w:p w14:paraId="16BD983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028442E8"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79074433" w14:textId="77777777">
        <w:sdt>
          <w:sdtPr>
            <w:rPr>
              <w:sz w:val="13"/>
              <w:szCs w:val="13"/>
            </w:rPr>
            <w:tag w:val="_PLD_d19b1d04bab14e67b22ee23afd215d76"/>
            <w:id w:val="-208257517"/>
          </w:sdtPr>
          <w:sdtContent>
            <w:tc>
              <w:tcPr>
                <w:tcW w:w="1314" w:type="dxa"/>
                <w:vAlign w:val="center"/>
              </w:tcPr>
              <w:p w14:paraId="62F1B92B" w14:textId="77777777" w:rsidR="005E000F" w:rsidRDefault="00000000">
                <w:pPr>
                  <w:rPr>
                    <w:sz w:val="13"/>
                    <w:szCs w:val="13"/>
                  </w:rPr>
                </w:pPr>
                <w:r>
                  <w:rPr>
                    <w:sz w:val="13"/>
                    <w:szCs w:val="13"/>
                  </w:rPr>
                  <w:t>3</w:t>
                </w:r>
                <w:r>
                  <w:rPr>
                    <w:sz w:val="13"/>
                    <w:szCs w:val="13"/>
                  </w:rPr>
                  <w:t>．对所有者（或股东）的分配</w:t>
                </w:r>
              </w:p>
            </w:tc>
          </w:sdtContent>
        </w:sdt>
        <w:tc>
          <w:tcPr>
            <w:tcW w:w="1089" w:type="dxa"/>
            <w:vAlign w:val="center"/>
          </w:tcPr>
          <w:p w14:paraId="6E5989F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7C0F101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68EA0FB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7669979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4BE9CAA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6310757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0976EEF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32BA049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254F220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67D8FBB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0A3EB7BD" w14:textId="77777777" w:rsidR="005E000F" w:rsidRDefault="00000000">
            <w:pPr>
              <w:snapToGrid w:val="0"/>
              <w:spacing w:line="240" w:lineRule="atLeast"/>
              <w:jc w:val="right"/>
              <w:rPr>
                <w:rFonts w:cs="宋体"/>
                <w:bCs/>
                <w:sz w:val="13"/>
                <w:szCs w:val="13"/>
              </w:rPr>
            </w:pPr>
            <w:r>
              <w:rPr>
                <w:rFonts w:cs="宋体"/>
                <w:bCs/>
                <w:sz w:val="13"/>
                <w:szCs w:val="13"/>
              </w:rPr>
              <w:t>-9,288,476,722</w:t>
            </w:r>
          </w:p>
        </w:tc>
        <w:tc>
          <w:tcPr>
            <w:tcW w:w="351" w:type="dxa"/>
            <w:vAlign w:val="center"/>
          </w:tcPr>
          <w:p w14:paraId="231B8FF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736F13C7" w14:textId="77777777" w:rsidR="005E000F" w:rsidRDefault="00000000">
            <w:pPr>
              <w:snapToGrid w:val="0"/>
              <w:spacing w:line="240" w:lineRule="atLeast"/>
              <w:jc w:val="right"/>
              <w:rPr>
                <w:rFonts w:cs="宋体"/>
                <w:bCs/>
                <w:sz w:val="13"/>
                <w:szCs w:val="13"/>
              </w:rPr>
            </w:pPr>
            <w:r>
              <w:rPr>
                <w:rFonts w:cs="宋体"/>
                <w:bCs/>
                <w:sz w:val="13"/>
                <w:szCs w:val="13"/>
              </w:rPr>
              <w:t>-9,288,476,722</w:t>
            </w:r>
          </w:p>
        </w:tc>
        <w:tc>
          <w:tcPr>
            <w:tcW w:w="1067" w:type="dxa"/>
            <w:vAlign w:val="center"/>
          </w:tcPr>
          <w:p w14:paraId="0756AEB6" w14:textId="77777777" w:rsidR="005E000F" w:rsidRDefault="00000000">
            <w:pPr>
              <w:snapToGrid w:val="0"/>
              <w:spacing w:line="240" w:lineRule="atLeast"/>
              <w:jc w:val="right"/>
              <w:rPr>
                <w:rFonts w:cs="宋体"/>
                <w:bCs/>
                <w:sz w:val="13"/>
                <w:szCs w:val="13"/>
              </w:rPr>
            </w:pPr>
            <w:r>
              <w:rPr>
                <w:rFonts w:cs="宋体"/>
                <w:bCs/>
                <w:sz w:val="13"/>
                <w:szCs w:val="13"/>
              </w:rPr>
              <w:t>-843,443,520</w:t>
            </w:r>
          </w:p>
        </w:tc>
        <w:tc>
          <w:tcPr>
            <w:tcW w:w="1118" w:type="dxa"/>
            <w:vAlign w:val="center"/>
          </w:tcPr>
          <w:p w14:paraId="23792182" w14:textId="77777777" w:rsidR="005E000F" w:rsidRDefault="00000000">
            <w:pPr>
              <w:snapToGrid w:val="0"/>
              <w:spacing w:line="240" w:lineRule="atLeast"/>
              <w:jc w:val="right"/>
              <w:rPr>
                <w:rFonts w:cs="宋体"/>
                <w:bCs/>
                <w:sz w:val="13"/>
                <w:szCs w:val="13"/>
              </w:rPr>
            </w:pPr>
            <w:r>
              <w:rPr>
                <w:rFonts w:cs="宋体"/>
                <w:bCs/>
                <w:sz w:val="13"/>
                <w:szCs w:val="13"/>
              </w:rPr>
              <w:t>-10,131,920,242</w:t>
            </w:r>
          </w:p>
        </w:tc>
      </w:tr>
      <w:tr w:rsidR="005E000F" w14:paraId="76EBC486" w14:textId="77777777">
        <w:sdt>
          <w:sdtPr>
            <w:rPr>
              <w:sz w:val="13"/>
              <w:szCs w:val="13"/>
            </w:rPr>
            <w:tag w:val="_PLD_6e5628e129d04d23a2d71da503cecfdd"/>
            <w:id w:val="-1218500368"/>
          </w:sdtPr>
          <w:sdtContent>
            <w:tc>
              <w:tcPr>
                <w:tcW w:w="1314" w:type="dxa"/>
                <w:vAlign w:val="center"/>
              </w:tcPr>
              <w:p w14:paraId="26D05FC6" w14:textId="77777777" w:rsidR="005E000F" w:rsidRDefault="00000000">
                <w:pPr>
                  <w:rPr>
                    <w:sz w:val="13"/>
                    <w:szCs w:val="13"/>
                  </w:rPr>
                </w:pPr>
                <w:r>
                  <w:rPr>
                    <w:sz w:val="13"/>
                    <w:szCs w:val="13"/>
                  </w:rPr>
                  <w:t>4</w:t>
                </w:r>
                <w:r>
                  <w:rPr>
                    <w:sz w:val="13"/>
                    <w:szCs w:val="13"/>
                  </w:rPr>
                  <w:t>．其他</w:t>
                </w:r>
              </w:p>
            </w:tc>
          </w:sdtContent>
        </w:sdt>
        <w:tc>
          <w:tcPr>
            <w:tcW w:w="1089" w:type="dxa"/>
            <w:vAlign w:val="center"/>
          </w:tcPr>
          <w:p w14:paraId="22F7038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794F084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67FDEC3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135B615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33B1B69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43B5DDD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330BB8E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63C03F5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6149ED6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6C246BB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4C463921" w14:textId="77777777" w:rsidR="005E000F" w:rsidRDefault="00000000">
            <w:pPr>
              <w:snapToGrid w:val="0"/>
              <w:spacing w:line="240" w:lineRule="atLeast"/>
              <w:jc w:val="right"/>
              <w:rPr>
                <w:rFonts w:cs="宋体"/>
                <w:bCs/>
                <w:sz w:val="13"/>
                <w:szCs w:val="13"/>
              </w:rPr>
            </w:pPr>
            <w:r>
              <w:rPr>
                <w:rFonts w:cs="宋体"/>
                <w:bCs/>
                <w:sz w:val="13"/>
                <w:szCs w:val="13"/>
              </w:rPr>
              <w:t>-18,808,694</w:t>
            </w:r>
          </w:p>
        </w:tc>
        <w:tc>
          <w:tcPr>
            <w:tcW w:w="351" w:type="dxa"/>
            <w:vAlign w:val="center"/>
          </w:tcPr>
          <w:p w14:paraId="3D0A906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5952FBC9" w14:textId="77777777" w:rsidR="005E000F" w:rsidRDefault="00000000">
            <w:pPr>
              <w:snapToGrid w:val="0"/>
              <w:spacing w:line="240" w:lineRule="atLeast"/>
              <w:jc w:val="right"/>
              <w:rPr>
                <w:rFonts w:cs="宋体"/>
                <w:bCs/>
                <w:sz w:val="13"/>
                <w:szCs w:val="13"/>
              </w:rPr>
            </w:pPr>
            <w:r>
              <w:rPr>
                <w:rFonts w:cs="宋体"/>
                <w:bCs/>
                <w:sz w:val="13"/>
                <w:szCs w:val="13"/>
              </w:rPr>
              <w:t>-18,808,694</w:t>
            </w:r>
          </w:p>
        </w:tc>
        <w:tc>
          <w:tcPr>
            <w:tcW w:w="1067" w:type="dxa"/>
            <w:vAlign w:val="center"/>
          </w:tcPr>
          <w:p w14:paraId="5F92409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08C489EB" w14:textId="77777777" w:rsidR="005E000F" w:rsidRDefault="00000000">
            <w:pPr>
              <w:snapToGrid w:val="0"/>
              <w:spacing w:line="240" w:lineRule="atLeast"/>
              <w:jc w:val="right"/>
              <w:rPr>
                <w:rFonts w:cs="宋体"/>
                <w:bCs/>
                <w:sz w:val="13"/>
                <w:szCs w:val="13"/>
              </w:rPr>
            </w:pPr>
            <w:r>
              <w:rPr>
                <w:rFonts w:cs="宋体"/>
                <w:bCs/>
                <w:sz w:val="13"/>
                <w:szCs w:val="13"/>
              </w:rPr>
              <w:t>-18,808,694</w:t>
            </w:r>
          </w:p>
        </w:tc>
      </w:tr>
      <w:tr w:rsidR="005E000F" w14:paraId="6895759E" w14:textId="77777777">
        <w:sdt>
          <w:sdtPr>
            <w:rPr>
              <w:sz w:val="13"/>
              <w:szCs w:val="13"/>
            </w:rPr>
            <w:tag w:val="_PLD_a953b61d69004a7a91974afa1318df0a"/>
            <w:id w:val="-1092625655"/>
          </w:sdtPr>
          <w:sdtContent>
            <w:tc>
              <w:tcPr>
                <w:tcW w:w="1314" w:type="dxa"/>
                <w:vAlign w:val="center"/>
              </w:tcPr>
              <w:p w14:paraId="4DDF45CF" w14:textId="77777777" w:rsidR="005E000F" w:rsidRDefault="00000000">
                <w:pPr>
                  <w:rPr>
                    <w:sz w:val="13"/>
                    <w:szCs w:val="13"/>
                  </w:rPr>
                </w:pPr>
                <w:r>
                  <w:rPr>
                    <w:sz w:val="13"/>
                    <w:szCs w:val="13"/>
                  </w:rPr>
                  <w:t>（</w:t>
                </w:r>
                <w:r>
                  <w:rPr>
                    <w:rFonts w:hint="eastAsia"/>
                    <w:sz w:val="13"/>
                    <w:szCs w:val="13"/>
                  </w:rPr>
                  <w:t>四</w:t>
                </w:r>
                <w:r>
                  <w:rPr>
                    <w:sz w:val="13"/>
                    <w:szCs w:val="13"/>
                  </w:rPr>
                  <w:t>）所有者权益内部结转</w:t>
                </w:r>
              </w:p>
            </w:tc>
          </w:sdtContent>
        </w:sdt>
        <w:tc>
          <w:tcPr>
            <w:tcW w:w="1089" w:type="dxa"/>
            <w:vAlign w:val="center"/>
          </w:tcPr>
          <w:p w14:paraId="0985FD3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74506A8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4C14337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3E07DF8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4F183DA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7002EFA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3BB2049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3767AE3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1F9329C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6BB6A12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5851BB5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528D1F2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0AF1ACA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7479826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748D3775"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03DB3952" w14:textId="77777777">
        <w:sdt>
          <w:sdtPr>
            <w:rPr>
              <w:sz w:val="13"/>
              <w:szCs w:val="13"/>
            </w:rPr>
            <w:tag w:val="_PLD_278fa3d290b3473aacd1d849016a2959"/>
            <w:id w:val="1489817655"/>
          </w:sdtPr>
          <w:sdtContent>
            <w:tc>
              <w:tcPr>
                <w:tcW w:w="1314" w:type="dxa"/>
                <w:vAlign w:val="center"/>
              </w:tcPr>
              <w:p w14:paraId="48CE20D0" w14:textId="77777777" w:rsidR="005E000F" w:rsidRDefault="00000000">
                <w:pPr>
                  <w:rPr>
                    <w:sz w:val="13"/>
                    <w:szCs w:val="13"/>
                  </w:rPr>
                </w:pPr>
                <w:r>
                  <w:rPr>
                    <w:sz w:val="13"/>
                    <w:szCs w:val="13"/>
                  </w:rPr>
                  <w:t>1</w:t>
                </w:r>
                <w:r>
                  <w:rPr>
                    <w:sz w:val="13"/>
                    <w:szCs w:val="13"/>
                  </w:rPr>
                  <w:t>．资本公积转增资本（或股本）</w:t>
                </w:r>
              </w:p>
            </w:tc>
          </w:sdtContent>
        </w:sdt>
        <w:tc>
          <w:tcPr>
            <w:tcW w:w="1089" w:type="dxa"/>
            <w:vAlign w:val="center"/>
          </w:tcPr>
          <w:p w14:paraId="26CDB36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3C68B9E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8B0CF4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520D848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6BA21AC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44EA98D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76F73C4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05CFB85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0CDFF84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0744ED1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7A47C29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2E01597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04D2546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13FC6D9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560473CC"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791AB73D" w14:textId="77777777">
        <w:sdt>
          <w:sdtPr>
            <w:rPr>
              <w:sz w:val="13"/>
              <w:szCs w:val="13"/>
            </w:rPr>
            <w:tag w:val="_PLD_2dbeb2e6cbbd4ba2a65e4f369c7e7929"/>
            <w:id w:val="1223179839"/>
          </w:sdtPr>
          <w:sdtContent>
            <w:tc>
              <w:tcPr>
                <w:tcW w:w="1314" w:type="dxa"/>
                <w:vAlign w:val="center"/>
              </w:tcPr>
              <w:p w14:paraId="0C32BAF6" w14:textId="77777777" w:rsidR="005E000F" w:rsidRDefault="00000000">
                <w:pPr>
                  <w:rPr>
                    <w:sz w:val="13"/>
                    <w:szCs w:val="13"/>
                  </w:rPr>
                </w:pPr>
                <w:r>
                  <w:rPr>
                    <w:sz w:val="13"/>
                    <w:szCs w:val="13"/>
                  </w:rPr>
                  <w:t>2</w:t>
                </w:r>
                <w:r>
                  <w:rPr>
                    <w:sz w:val="13"/>
                    <w:szCs w:val="13"/>
                  </w:rPr>
                  <w:t>．盈余公积转增资本（或股本）</w:t>
                </w:r>
              </w:p>
            </w:tc>
          </w:sdtContent>
        </w:sdt>
        <w:tc>
          <w:tcPr>
            <w:tcW w:w="1089" w:type="dxa"/>
            <w:vAlign w:val="center"/>
          </w:tcPr>
          <w:p w14:paraId="113B1D6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23E2B39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4B102E7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46D2CB0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1FC33F1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2058C2C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0836241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201261B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7C3C670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3449497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7A933C0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7D73D44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5FA396E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21E150D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5BE847E3"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751EF933" w14:textId="77777777">
        <w:sdt>
          <w:sdtPr>
            <w:rPr>
              <w:sz w:val="13"/>
              <w:szCs w:val="13"/>
            </w:rPr>
            <w:tag w:val="_PLD_58f2b570df754e85bb72c0f63cdd3f1c"/>
            <w:id w:val="1340815519"/>
          </w:sdtPr>
          <w:sdtContent>
            <w:tc>
              <w:tcPr>
                <w:tcW w:w="1314" w:type="dxa"/>
                <w:vAlign w:val="center"/>
              </w:tcPr>
              <w:p w14:paraId="10F48EF5" w14:textId="77777777" w:rsidR="005E000F" w:rsidRDefault="00000000">
                <w:pPr>
                  <w:rPr>
                    <w:sz w:val="13"/>
                    <w:szCs w:val="13"/>
                  </w:rPr>
                </w:pPr>
                <w:r>
                  <w:rPr>
                    <w:sz w:val="13"/>
                    <w:szCs w:val="13"/>
                  </w:rPr>
                  <w:t>3</w:t>
                </w:r>
                <w:r>
                  <w:rPr>
                    <w:sz w:val="13"/>
                    <w:szCs w:val="13"/>
                  </w:rPr>
                  <w:t>．盈余公积弥补亏损</w:t>
                </w:r>
              </w:p>
            </w:tc>
          </w:sdtContent>
        </w:sdt>
        <w:tc>
          <w:tcPr>
            <w:tcW w:w="1089" w:type="dxa"/>
            <w:vAlign w:val="center"/>
          </w:tcPr>
          <w:p w14:paraId="111D00C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20B3BFD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2AD3640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0AB096D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33968D9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31C2C68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184604E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5135E03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1AE670F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588CAA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3BD2A25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1AA99B6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77BB64B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6B13469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5D893E11"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020B17FD" w14:textId="77777777">
        <w:tc>
          <w:tcPr>
            <w:tcW w:w="1314" w:type="dxa"/>
            <w:vAlign w:val="center"/>
          </w:tcPr>
          <w:sdt>
            <w:sdtPr>
              <w:rPr>
                <w:sz w:val="13"/>
                <w:szCs w:val="13"/>
              </w:rPr>
              <w:tag w:val="_PLD_88022ba02c7c4775ba5e9f75f6b07fa4"/>
              <w:id w:val="-1984380687"/>
            </w:sdtPr>
            <w:sdtContent>
              <w:p w14:paraId="404B105D" w14:textId="77777777" w:rsidR="005E000F" w:rsidRDefault="00000000">
                <w:pPr>
                  <w:rPr>
                    <w:sz w:val="13"/>
                    <w:szCs w:val="13"/>
                  </w:rPr>
                </w:pPr>
                <w:r>
                  <w:rPr>
                    <w:sz w:val="13"/>
                    <w:szCs w:val="13"/>
                  </w:rPr>
                  <w:t>4</w:t>
                </w:r>
                <w:r>
                  <w:rPr>
                    <w:sz w:val="13"/>
                    <w:szCs w:val="13"/>
                  </w:rPr>
                  <w:t>．设定受益计划变动额结转留存收益</w:t>
                </w:r>
              </w:p>
            </w:sdtContent>
          </w:sdt>
        </w:tc>
        <w:tc>
          <w:tcPr>
            <w:tcW w:w="1089" w:type="dxa"/>
            <w:vAlign w:val="center"/>
          </w:tcPr>
          <w:p w14:paraId="1ABF9CE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43F3DB1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7D297EA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3BEE04A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35351E8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51E22E0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6D0C0FA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02C1E02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62C0E12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C8A7CB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07DF90B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26C059B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3C3F482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62C0E01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1C624C05"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7D9C4EB2" w14:textId="77777777">
        <w:tc>
          <w:tcPr>
            <w:tcW w:w="1314" w:type="dxa"/>
            <w:vAlign w:val="center"/>
          </w:tcPr>
          <w:sdt>
            <w:sdtPr>
              <w:rPr>
                <w:sz w:val="13"/>
                <w:szCs w:val="13"/>
              </w:rPr>
              <w:tag w:val="_PLD_0259028a18dd4c059a8b77a9e4fe86f9"/>
              <w:id w:val="877507316"/>
            </w:sdtPr>
            <w:sdtContent>
              <w:p w14:paraId="7EA3F2EA" w14:textId="77777777" w:rsidR="005E000F" w:rsidRDefault="00000000">
                <w:pPr>
                  <w:rPr>
                    <w:sz w:val="13"/>
                    <w:szCs w:val="13"/>
                  </w:rPr>
                </w:pPr>
                <w:r>
                  <w:rPr>
                    <w:sz w:val="13"/>
                    <w:szCs w:val="13"/>
                  </w:rPr>
                  <w:t>5</w:t>
                </w:r>
                <w:r>
                  <w:rPr>
                    <w:sz w:val="13"/>
                    <w:szCs w:val="13"/>
                  </w:rPr>
                  <w:t>．其他综合收益结转留存收益</w:t>
                </w:r>
              </w:p>
            </w:sdtContent>
          </w:sdt>
        </w:tc>
        <w:tc>
          <w:tcPr>
            <w:tcW w:w="1089" w:type="dxa"/>
            <w:vAlign w:val="center"/>
          </w:tcPr>
          <w:p w14:paraId="72AAE91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21BC8E9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9B7071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5D985EE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397D20A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1059852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5554DEC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33F3ADC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265E35D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074503D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7DB18E3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1FAAEEB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7B95993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35236A3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2AAE5915"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1CE33B1C" w14:textId="77777777">
        <w:sdt>
          <w:sdtPr>
            <w:rPr>
              <w:sz w:val="13"/>
              <w:szCs w:val="13"/>
            </w:rPr>
            <w:tag w:val="_PLD_5844253ac18b45ceaa765e5b2f55d052"/>
            <w:id w:val="-1478448822"/>
          </w:sdtPr>
          <w:sdtContent>
            <w:tc>
              <w:tcPr>
                <w:tcW w:w="1314" w:type="dxa"/>
                <w:vAlign w:val="center"/>
              </w:tcPr>
              <w:p w14:paraId="7083FB39" w14:textId="77777777" w:rsidR="005E000F" w:rsidRDefault="00000000">
                <w:pPr>
                  <w:rPr>
                    <w:sz w:val="13"/>
                    <w:szCs w:val="13"/>
                  </w:rPr>
                </w:pPr>
                <w:r>
                  <w:rPr>
                    <w:sz w:val="13"/>
                    <w:szCs w:val="13"/>
                  </w:rPr>
                  <w:t>6</w:t>
                </w:r>
                <w:r>
                  <w:rPr>
                    <w:sz w:val="13"/>
                    <w:szCs w:val="13"/>
                  </w:rPr>
                  <w:t>．其他</w:t>
                </w:r>
              </w:p>
            </w:tc>
          </w:sdtContent>
        </w:sdt>
        <w:tc>
          <w:tcPr>
            <w:tcW w:w="1089" w:type="dxa"/>
            <w:vAlign w:val="center"/>
          </w:tcPr>
          <w:p w14:paraId="12499D9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2D2F624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0DDA0F0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017EE26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7BC023A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15243A7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29E3142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07884BB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12CCC25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448FCF7"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0F1D7CC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7947B69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4F351E8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67" w:type="dxa"/>
            <w:vAlign w:val="center"/>
          </w:tcPr>
          <w:p w14:paraId="43E08F6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18EB7B3B"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69489EFD" w14:textId="77777777">
        <w:sdt>
          <w:sdtPr>
            <w:rPr>
              <w:sz w:val="13"/>
              <w:szCs w:val="13"/>
            </w:rPr>
            <w:tag w:val="_PLD_3bbf2260615f4991a49bda77fd1fc28b"/>
            <w:id w:val="-464740502"/>
          </w:sdtPr>
          <w:sdtContent>
            <w:tc>
              <w:tcPr>
                <w:tcW w:w="1314" w:type="dxa"/>
                <w:vAlign w:val="center"/>
              </w:tcPr>
              <w:p w14:paraId="545F6F3F" w14:textId="77777777" w:rsidR="005E000F" w:rsidRDefault="00000000">
                <w:pPr>
                  <w:rPr>
                    <w:sz w:val="13"/>
                    <w:szCs w:val="13"/>
                  </w:rPr>
                </w:pPr>
                <w:r>
                  <w:rPr>
                    <w:rFonts w:hint="eastAsia"/>
                    <w:sz w:val="13"/>
                    <w:szCs w:val="13"/>
                  </w:rPr>
                  <w:t>（五）专项储备</w:t>
                </w:r>
              </w:p>
            </w:tc>
          </w:sdtContent>
        </w:sdt>
        <w:tc>
          <w:tcPr>
            <w:tcW w:w="1089" w:type="dxa"/>
            <w:vAlign w:val="center"/>
          </w:tcPr>
          <w:p w14:paraId="6C3BA81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47AB686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5D0CAD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0601DC3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106A027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4DEDA34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309E24B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3DF3BB0D" w14:textId="77777777" w:rsidR="005E000F" w:rsidRDefault="00000000">
            <w:pPr>
              <w:snapToGrid w:val="0"/>
              <w:spacing w:line="240" w:lineRule="atLeast"/>
              <w:jc w:val="right"/>
              <w:rPr>
                <w:rFonts w:cs="宋体"/>
                <w:bCs/>
                <w:sz w:val="13"/>
                <w:szCs w:val="13"/>
              </w:rPr>
            </w:pPr>
            <w:r>
              <w:rPr>
                <w:rFonts w:cs="宋体"/>
                <w:bCs/>
                <w:sz w:val="13"/>
                <w:szCs w:val="13"/>
              </w:rPr>
              <w:t>-239,357,678</w:t>
            </w:r>
          </w:p>
        </w:tc>
        <w:tc>
          <w:tcPr>
            <w:tcW w:w="1056" w:type="dxa"/>
            <w:vAlign w:val="center"/>
          </w:tcPr>
          <w:p w14:paraId="4A5BC68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3DDB021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15EC84FA"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2DB6230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3F6A3322" w14:textId="77777777" w:rsidR="005E000F" w:rsidRDefault="00000000">
            <w:pPr>
              <w:snapToGrid w:val="0"/>
              <w:spacing w:line="240" w:lineRule="atLeast"/>
              <w:jc w:val="right"/>
              <w:rPr>
                <w:rFonts w:cs="宋体"/>
                <w:bCs/>
                <w:sz w:val="13"/>
                <w:szCs w:val="13"/>
              </w:rPr>
            </w:pPr>
            <w:r>
              <w:rPr>
                <w:rFonts w:cs="宋体"/>
                <w:bCs/>
                <w:sz w:val="13"/>
                <w:szCs w:val="13"/>
              </w:rPr>
              <w:t>-239,357,678</w:t>
            </w:r>
          </w:p>
        </w:tc>
        <w:tc>
          <w:tcPr>
            <w:tcW w:w="1067" w:type="dxa"/>
            <w:vAlign w:val="center"/>
          </w:tcPr>
          <w:p w14:paraId="683881A8" w14:textId="77777777" w:rsidR="005E000F" w:rsidRDefault="00000000">
            <w:pPr>
              <w:snapToGrid w:val="0"/>
              <w:spacing w:line="240" w:lineRule="atLeast"/>
              <w:jc w:val="right"/>
              <w:rPr>
                <w:rFonts w:cs="宋体"/>
                <w:bCs/>
                <w:sz w:val="13"/>
                <w:szCs w:val="13"/>
              </w:rPr>
            </w:pPr>
            <w:r>
              <w:rPr>
                <w:rFonts w:cs="宋体"/>
                <w:bCs/>
                <w:sz w:val="13"/>
                <w:szCs w:val="13"/>
              </w:rPr>
              <w:t>34,878,549</w:t>
            </w:r>
          </w:p>
        </w:tc>
        <w:tc>
          <w:tcPr>
            <w:tcW w:w="1118" w:type="dxa"/>
            <w:vAlign w:val="center"/>
          </w:tcPr>
          <w:p w14:paraId="5AD2EFDC" w14:textId="77777777" w:rsidR="005E000F" w:rsidRDefault="00000000">
            <w:pPr>
              <w:snapToGrid w:val="0"/>
              <w:spacing w:line="240" w:lineRule="atLeast"/>
              <w:jc w:val="right"/>
              <w:rPr>
                <w:rFonts w:cs="宋体"/>
                <w:bCs/>
                <w:sz w:val="13"/>
                <w:szCs w:val="13"/>
              </w:rPr>
            </w:pPr>
            <w:r>
              <w:rPr>
                <w:rFonts w:cs="宋体"/>
                <w:bCs/>
                <w:sz w:val="13"/>
                <w:szCs w:val="13"/>
              </w:rPr>
              <w:t>-204,479,129</w:t>
            </w:r>
          </w:p>
        </w:tc>
      </w:tr>
      <w:tr w:rsidR="005E000F" w14:paraId="17111D6B" w14:textId="77777777">
        <w:sdt>
          <w:sdtPr>
            <w:rPr>
              <w:sz w:val="13"/>
              <w:szCs w:val="13"/>
            </w:rPr>
            <w:tag w:val="_PLD_f1e833fa15ec452384f3784c7a9b36fe"/>
            <w:id w:val="-18558939"/>
          </w:sdtPr>
          <w:sdtContent>
            <w:tc>
              <w:tcPr>
                <w:tcW w:w="1314" w:type="dxa"/>
                <w:vAlign w:val="center"/>
              </w:tcPr>
              <w:p w14:paraId="22084879" w14:textId="77777777" w:rsidR="005E000F" w:rsidRDefault="00000000">
                <w:pPr>
                  <w:rPr>
                    <w:sz w:val="13"/>
                    <w:szCs w:val="13"/>
                  </w:rPr>
                </w:pPr>
                <w:r>
                  <w:rPr>
                    <w:rFonts w:hint="eastAsia"/>
                    <w:sz w:val="13"/>
                    <w:szCs w:val="13"/>
                  </w:rPr>
                  <w:t>1</w:t>
                </w:r>
                <w:r>
                  <w:rPr>
                    <w:rFonts w:hint="eastAsia"/>
                    <w:sz w:val="13"/>
                    <w:szCs w:val="13"/>
                  </w:rPr>
                  <w:t>．本期提取</w:t>
                </w:r>
              </w:p>
            </w:tc>
          </w:sdtContent>
        </w:sdt>
        <w:tc>
          <w:tcPr>
            <w:tcW w:w="1089" w:type="dxa"/>
            <w:vAlign w:val="center"/>
          </w:tcPr>
          <w:p w14:paraId="32D10766"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1815ABC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126C7F7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676391B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71DAC36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7086DB5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0098CCB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00F1EF3C" w14:textId="77777777" w:rsidR="005E000F" w:rsidRDefault="00000000">
            <w:pPr>
              <w:snapToGrid w:val="0"/>
              <w:spacing w:line="240" w:lineRule="atLeast"/>
              <w:jc w:val="right"/>
              <w:rPr>
                <w:rFonts w:cs="宋体"/>
                <w:bCs/>
                <w:sz w:val="13"/>
                <w:szCs w:val="13"/>
              </w:rPr>
            </w:pPr>
            <w:r>
              <w:rPr>
                <w:rFonts w:cs="宋体"/>
                <w:bCs/>
                <w:sz w:val="13"/>
                <w:szCs w:val="13"/>
              </w:rPr>
              <w:t>807,476,036</w:t>
            </w:r>
          </w:p>
        </w:tc>
        <w:tc>
          <w:tcPr>
            <w:tcW w:w="1056" w:type="dxa"/>
            <w:vAlign w:val="center"/>
          </w:tcPr>
          <w:p w14:paraId="5C737C1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56CFCB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512724E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65C0D0B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31141243" w14:textId="77777777" w:rsidR="005E000F" w:rsidRDefault="00000000">
            <w:pPr>
              <w:snapToGrid w:val="0"/>
              <w:spacing w:line="240" w:lineRule="atLeast"/>
              <w:jc w:val="right"/>
              <w:rPr>
                <w:rFonts w:cs="宋体"/>
                <w:bCs/>
                <w:sz w:val="13"/>
                <w:szCs w:val="13"/>
              </w:rPr>
            </w:pPr>
            <w:r>
              <w:rPr>
                <w:rFonts w:cs="宋体"/>
                <w:bCs/>
                <w:sz w:val="13"/>
                <w:szCs w:val="13"/>
              </w:rPr>
              <w:t>807,476,036</w:t>
            </w:r>
          </w:p>
        </w:tc>
        <w:tc>
          <w:tcPr>
            <w:tcW w:w="1067" w:type="dxa"/>
            <w:vAlign w:val="center"/>
          </w:tcPr>
          <w:p w14:paraId="6A0D71FF" w14:textId="77777777" w:rsidR="005E000F" w:rsidRDefault="00000000">
            <w:pPr>
              <w:snapToGrid w:val="0"/>
              <w:spacing w:line="240" w:lineRule="atLeast"/>
              <w:jc w:val="right"/>
              <w:rPr>
                <w:rFonts w:cs="宋体"/>
                <w:bCs/>
                <w:sz w:val="13"/>
                <w:szCs w:val="13"/>
              </w:rPr>
            </w:pPr>
            <w:r>
              <w:rPr>
                <w:rFonts w:cs="宋体"/>
                <w:bCs/>
                <w:sz w:val="13"/>
                <w:szCs w:val="13"/>
              </w:rPr>
              <w:t>56,253,407</w:t>
            </w:r>
          </w:p>
        </w:tc>
        <w:tc>
          <w:tcPr>
            <w:tcW w:w="1118" w:type="dxa"/>
            <w:vAlign w:val="center"/>
          </w:tcPr>
          <w:p w14:paraId="20DB45CA" w14:textId="77777777" w:rsidR="005E000F" w:rsidRDefault="00000000">
            <w:pPr>
              <w:snapToGrid w:val="0"/>
              <w:spacing w:line="240" w:lineRule="atLeast"/>
              <w:jc w:val="right"/>
              <w:rPr>
                <w:rFonts w:cs="宋体"/>
                <w:bCs/>
                <w:sz w:val="13"/>
                <w:szCs w:val="13"/>
              </w:rPr>
            </w:pPr>
            <w:r>
              <w:rPr>
                <w:rFonts w:cs="宋体"/>
                <w:bCs/>
                <w:sz w:val="13"/>
                <w:szCs w:val="13"/>
              </w:rPr>
              <w:t>863,729,443</w:t>
            </w:r>
          </w:p>
        </w:tc>
      </w:tr>
      <w:tr w:rsidR="005E000F" w14:paraId="2C255121" w14:textId="77777777">
        <w:sdt>
          <w:sdtPr>
            <w:rPr>
              <w:sz w:val="13"/>
              <w:szCs w:val="13"/>
            </w:rPr>
            <w:tag w:val="_PLD_301fc21ab7954268be9851ddd0cf2d8a"/>
            <w:id w:val="2128509131"/>
          </w:sdtPr>
          <w:sdtContent>
            <w:tc>
              <w:tcPr>
                <w:tcW w:w="1314" w:type="dxa"/>
                <w:vAlign w:val="center"/>
              </w:tcPr>
              <w:p w14:paraId="06A24CD8" w14:textId="77777777" w:rsidR="005E000F" w:rsidRDefault="00000000">
                <w:pPr>
                  <w:rPr>
                    <w:sz w:val="13"/>
                    <w:szCs w:val="13"/>
                  </w:rPr>
                </w:pPr>
                <w:r>
                  <w:rPr>
                    <w:rFonts w:hint="eastAsia"/>
                    <w:sz w:val="13"/>
                    <w:szCs w:val="13"/>
                  </w:rPr>
                  <w:t>2</w:t>
                </w:r>
                <w:r>
                  <w:rPr>
                    <w:rFonts w:hint="eastAsia"/>
                    <w:sz w:val="13"/>
                    <w:szCs w:val="13"/>
                  </w:rPr>
                  <w:t>．本期使用</w:t>
                </w:r>
              </w:p>
            </w:tc>
          </w:sdtContent>
        </w:sdt>
        <w:tc>
          <w:tcPr>
            <w:tcW w:w="1089" w:type="dxa"/>
            <w:vAlign w:val="center"/>
          </w:tcPr>
          <w:p w14:paraId="1B6AAC1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665811D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BB0729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1B29DC4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2FF3A70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315C2D6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3845E105"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6BD63D2D" w14:textId="77777777" w:rsidR="005E000F" w:rsidRDefault="00000000">
            <w:pPr>
              <w:snapToGrid w:val="0"/>
              <w:spacing w:line="240" w:lineRule="atLeast"/>
              <w:jc w:val="right"/>
              <w:rPr>
                <w:rFonts w:cs="宋体"/>
                <w:bCs/>
                <w:sz w:val="13"/>
                <w:szCs w:val="13"/>
              </w:rPr>
            </w:pPr>
            <w:r>
              <w:rPr>
                <w:rFonts w:cs="宋体"/>
                <w:bCs/>
                <w:sz w:val="13"/>
                <w:szCs w:val="13"/>
              </w:rPr>
              <w:t>-1,046,833,714</w:t>
            </w:r>
          </w:p>
        </w:tc>
        <w:tc>
          <w:tcPr>
            <w:tcW w:w="1056" w:type="dxa"/>
            <w:vAlign w:val="center"/>
          </w:tcPr>
          <w:p w14:paraId="14F5E8A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38EBFC1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503367AE"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5F1D702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076552C1" w14:textId="77777777" w:rsidR="005E000F" w:rsidRDefault="00000000">
            <w:pPr>
              <w:snapToGrid w:val="0"/>
              <w:spacing w:line="240" w:lineRule="atLeast"/>
              <w:jc w:val="right"/>
              <w:rPr>
                <w:rFonts w:cs="宋体"/>
                <w:bCs/>
                <w:sz w:val="13"/>
                <w:szCs w:val="13"/>
              </w:rPr>
            </w:pPr>
            <w:r>
              <w:rPr>
                <w:rFonts w:cs="宋体"/>
                <w:bCs/>
                <w:sz w:val="13"/>
                <w:szCs w:val="13"/>
              </w:rPr>
              <w:t>-1,046,833,714</w:t>
            </w:r>
          </w:p>
        </w:tc>
        <w:tc>
          <w:tcPr>
            <w:tcW w:w="1067" w:type="dxa"/>
            <w:vAlign w:val="center"/>
          </w:tcPr>
          <w:p w14:paraId="552478E0" w14:textId="77777777" w:rsidR="005E000F" w:rsidRDefault="00000000">
            <w:pPr>
              <w:snapToGrid w:val="0"/>
              <w:spacing w:line="240" w:lineRule="atLeast"/>
              <w:jc w:val="right"/>
              <w:rPr>
                <w:rFonts w:cs="宋体"/>
                <w:bCs/>
                <w:sz w:val="13"/>
                <w:szCs w:val="13"/>
              </w:rPr>
            </w:pPr>
            <w:r>
              <w:rPr>
                <w:rFonts w:cs="宋体"/>
                <w:bCs/>
                <w:sz w:val="13"/>
                <w:szCs w:val="13"/>
              </w:rPr>
              <w:t>-21,374,858</w:t>
            </w:r>
          </w:p>
        </w:tc>
        <w:tc>
          <w:tcPr>
            <w:tcW w:w="1118" w:type="dxa"/>
            <w:vAlign w:val="center"/>
          </w:tcPr>
          <w:p w14:paraId="733DFD24" w14:textId="77777777" w:rsidR="005E000F" w:rsidRDefault="00000000">
            <w:pPr>
              <w:snapToGrid w:val="0"/>
              <w:spacing w:line="240" w:lineRule="atLeast"/>
              <w:jc w:val="right"/>
              <w:rPr>
                <w:rFonts w:cs="宋体"/>
                <w:bCs/>
                <w:sz w:val="13"/>
                <w:szCs w:val="13"/>
              </w:rPr>
            </w:pPr>
            <w:r>
              <w:rPr>
                <w:rFonts w:cs="宋体"/>
                <w:bCs/>
                <w:sz w:val="13"/>
                <w:szCs w:val="13"/>
              </w:rPr>
              <w:t>-1,068,208,572</w:t>
            </w:r>
          </w:p>
        </w:tc>
      </w:tr>
      <w:tr w:rsidR="005E000F" w14:paraId="04D1C13F" w14:textId="77777777">
        <w:sdt>
          <w:sdtPr>
            <w:rPr>
              <w:sz w:val="13"/>
              <w:szCs w:val="13"/>
            </w:rPr>
            <w:tag w:val="_PLD_43b1e5b489b047e98cf38f8c5f130759"/>
            <w:id w:val="1601604502"/>
          </w:sdtPr>
          <w:sdtContent>
            <w:tc>
              <w:tcPr>
                <w:tcW w:w="1314" w:type="dxa"/>
                <w:vAlign w:val="center"/>
              </w:tcPr>
              <w:p w14:paraId="2EA62CFD" w14:textId="77777777" w:rsidR="005E000F" w:rsidRDefault="00000000">
                <w:pPr>
                  <w:rPr>
                    <w:sz w:val="13"/>
                    <w:szCs w:val="13"/>
                  </w:rPr>
                </w:pPr>
                <w:r>
                  <w:rPr>
                    <w:rFonts w:hint="eastAsia"/>
                    <w:sz w:val="13"/>
                    <w:szCs w:val="13"/>
                  </w:rPr>
                  <w:t>（六）其他</w:t>
                </w:r>
              </w:p>
            </w:tc>
          </w:sdtContent>
        </w:sdt>
        <w:tc>
          <w:tcPr>
            <w:tcW w:w="1089" w:type="dxa"/>
            <w:vAlign w:val="center"/>
          </w:tcPr>
          <w:p w14:paraId="3818C31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289" w:type="dxa"/>
            <w:vAlign w:val="center"/>
          </w:tcPr>
          <w:p w14:paraId="2902549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97477B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64211379"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33" w:type="dxa"/>
            <w:vAlign w:val="center"/>
          </w:tcPr>
          <w:p w14:paraId="63F4F60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00" w:type="dxa"/>
            <w:vAlign w:val="center"/>
          </w:tcPr>
          <w:p w14:paraId="47903C8B"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036F88F3"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944" w:type="dxa"/>
            <w:vAlign w:val="center"/>
          </w:tcPr>
          <w:p w14:paraId="68E58DB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4979C114"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5EF0E6D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5AD3D5DD"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51" w:type="dxa"/>
            <w:vAlign w:val="center"/>
          </w:tcPr>
          <w:p w14:paraId="0BC05562"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6C9838C3" w14:textId="77777777" w:rsidR="005E000F" w:rsidRDefault="00000000">
            <w:pPr>
              <w:snapToGrid w:val="0"/>
              <w:spacing w:line="240" w:lineRule="atLeast"/>
              <w:jc w:val="right"/>
              <w:rPr>
                <w:rFonts w:cs="宋体"/>
                <w:bCs/>
                <w:sz w:val="13"/>
                <w:szCs w:val="13"/>
              </w:rPr>
            </w:pPr>
            <w:r>
              <w:rPr>
                <w:rFonts w:cs="宋体" w:hint="eastAsia"/>
                <w:bCs/>
                <w:sz w:val="13"/>
                <w:szCs w:val="13"/>
              </w:rPr>
              <w:t>0</w:t>
            </w:r>
          </w:p>
        </w:tc>
        <w:tc>
          <w:tcPr>
            <w:tcW w:w="1067" w:type="dxa"/>
            <w:vAlign w:val="center"/>
          </w:tcPr>
          <w:p w14:paraId="26C6787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18" w:type="dxa"/>
            <w:vAlign w:val="center"/>
          </w:tcPr>
          <w:p w14:paraId="27084F2A" w14:textId="77777777" w:rsidR="005E000F" w:rsidRDefault="00000000">
            <w:pPr>
              <w:snapToGrid w:val="0"/>
              <w:spacing w:line="240" w:lineRule="atLeast"/>
              <w:jc w:val="right"/>
              <w:rPr>
                <w:rFonts w:cs="宋体"/>
                <w:bCs/>
                <w:sz w:val="13"/>
                <w:szCs w:val="13"/>
              </w:rPr>
            </w:pPr>
            <w:r>
              <w:rPr>
                <w:rFonts w:cs="宋体"/>
                <w:bCs/>
                <w:sz w:val="13"/>
                <w:szCs w:val="13"/>
              </w:rPr>
              <w:t>0</w:t>
            </w:r>
          </w:p>
        </w:tc>
      </w:tr>
      <w:tr w:rsidR="005E000F" w14:paraId="6AEDCCA8" w14:textId="77777777">
        <w:sdt>
          <w:sdtPr>
            <w:rPr>
              <w:sz w:val="13"/>
              <w:szCs w:val="13"/>
            </w:rPr>
            <w:tag w:val="_PLD_7355d7c321c84166a15737d2581911bf"/>
            <w:id w:val="1773046421"/>
          </w:sdtPr>
          <w:sdtContent>
            <w:tc>
              <w:tcPr>
                <w:tcW w:w="1314" w:type="dxa"/>
                <w:vAlign w:val="center"/>
              </w:tcPr>
              <w:p w14:paraId="7DEF5032" w14:textId="77777777" w:rsidR="005E000F" w:rsidRDefault="00000000">
                <w:pPr>
                  <w:rPr>
                    <w:sz w:val="13"/>
                    <w:szCs w:val="13"/>
                  </w:rPr>
                </w:pPr>
                <w:r>
                  <w:rPr>
                    <w:sz w:val="13"/>
                    <w:szCs w:val="13"/>
                  </w:rPr>
                  <w:t>四、本期期末余额</w:t>
                </w:r>
              </w:p>
            </w:tc>
          </w:sdtContent>
        </w:sdt>
        <w:tc>
          <w:tcPr>
            <w:tcW w:w="1089" w:type="dxa"/>
            <w:vAlign w:val="center"/>
          </w:tcPr>
          <w:p w14:paraId="60E484D9" w14:textId="77777777" w:rsidR="005E000F" w:rsidRDefault="00000000">
            <w:pPr>
              <w:snapToGrid w:val="0"/>
              <w:spacing w:line="240" w:lineRule="atLeast"/>
              <w:jc w:val="right"/>
              <w:rPr>
                <w:rFonts w:cs="宋体"/>
                <w:bCs/>
                <w:sz w:val="13"/>
                <w:szCs w:val="13"/>
              </w:rPr>
            </w:pPr>
            <w:r>
              <w:rPr>
                <w:rFonts w:cs="宋体"/>
                <w:bCs/>
                <w:sz w:val="13"/>
                <w:szCs w:val="13"/>
              </w:rPr>
              <w:t>18,807,273,822</w:t>
            </w:r>
          </w:p>
        </w:tc>
        <w:tc>
          <w:tcPr>
            <w:tcW w:w="289" w:type="dxa"/>
            <w:vAlign w:val="center"/>
          </w:tcPr>
          <w:p w14:paraId="39C96E3F"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311" w:type="dxa"/>
            <w:vAlign w:val="center"/>
          </w:tcPr>
          <w:p w14:paraId="7F973290"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00" w:type="dxa"/>
            <w:vAlign w:val="center"/>
          </w:tcPr>
          <w:p w14:paraId="667BA9AF" w14:textId="77777777" w:rsidR="005E000F" w:rsidRDefault="00000000">
            <w:pPr>
              <w:snapToGrid w:val="0"/>
              <w:spacing w:line="240" w:lineRule="atLeast"/>
              <w:jc w:val="right"/>
              <w:rPr>
                <w:rFonts w:cs="宋体"/>
                <w:bCs/>
                <w:sz w:val="13"/>
                <w:szCs w:val="13"/>
              </w:rPr>
            </w:pPr>
            <w:r>
              <w:rPr>
                <w:rFonts w:cs="宋体"/>
                <w:bCs/>
                <w:sz w:val="13"/>
                <w:szCs w:val="13"/>
              </w:rPr>
              <w:t>804,984,728</w:t>
            </w:r>
          </w:p>
        </w:tc>
        <w:tc>
          <w:tcPr>
            <w:tcW w:w="1033" w:type="dxa"/>
            <w:vAlign w:val="center"/>
          </w:tcPr>
          <w:p w14:paraId="312983A7" w14:textId="77777777" w:rsidR="005E000F" w:rsidRDefault="00000000">
            <w:pPr>
              <w:snapToGrid w:val="0"/>
              <w:spacing w:line="240" w:lineRule="atLeast"/>
              <w:jc w:val="right"/>
              <w:rPr>
                <w:rFonts w:cs="宋体"/>
                <w:bCs/>
                <w:sz w:val="13"/>
                <w:szCs w:val="13"/>
              </w:rPr>
            </w:pPr>
            <w:r>
              <w:rPr>
                <w:rFonts w:cs="宋体"/>
                <w:bCs/>
                <w:sz w:val="13"/>
                <w:szCs w:val="13"/>
              </w:rPr>
              <w:t>45,971,604,759</w:t>
            </w:r>
          </w:p>
        </w:tc>
        <w:tc>
          <w:tcPr>
            <w:tcW w:w="900" w:type="dxa"/>
            <w:vAlign w:val="center"/>
          </w:tcPr>
          <w:p w14:paraId="20AC78C8"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56" w:type="dxa"/>
            <w:vAlign w:val="center"/>
          </w:tcPr>
          <w:p w14:paraId="13A265B4" w14:textId="77777777" w:rsidR="005E000F" w:rsidRDefault="00000000">
            <w:pPr>
              <w:snapToGrid w:val="0"/>
              <w:spacing w:line="240" w:lineRule="atLeast"/>
              <w:jc w:val="right"/>
              <w:rPr>
                <w:rFonts w:cs="宋体"/>
                <w:bCs/>
                <w:sz w:val="13"/>
                <w:szCs w:val="13"/>
              </w:rPr>
            </w:pPr>
            <w:r>
              <w:rPr>
                <w:rFonts w:cs="宋体"/>
                <w:bCs/>
                <w:sz w:val="13"/>
                <w:szCs w:val="13"/>
              </w:rPr>
              <w:t>-1,920,952,306</w:t>
            </w:r>
          </w:p>
        </w:tc>
        <w:tc>
          <w:tcPr>
            <w:tcW w:w="944" w:type="dxa"/>
            <w:vAlign w:val="center"/>
          </w:tcPr>
          <w:p w14:paraId="58246416" w14:textId="77777777" w:rsidR="005E000F" w:rsidRDefault="00000000">
            <w:pPr>
              <w:snapToGrid w:val="0"/>
              <w:spacing w:line="240" w:lineRule="atLeast"/>
              <w:jc w:val="right"/>
              <w:rPr>
                <w:rFonts w:cs="宋体"/>
                <w:bCs/>
                <w:sz w:val="13"/>
                <w:szCs w:val="13"/>
              </w:rPr>
            </w:pPr>
            <w:r>
              <w:rPr>
                <w:rFonts w:cs="宋体"/>
                <w:bCs/>
                <w:sz w:val="13"/>
                <w:szCs w:val="13"/>
              </w:rPr>
              <w:t>235,448,207</w:t>
            </w:r>
          </w:p>
        </w:tc>
        <w:tc>
          <w:tcPr>
            <w:tcW w:w="1056" w:type="dxa"/>
            <w:vAlign w:val="center"/>
          </w:tcPr>
          <w:p w14:paraId="07207497" w14:textId="77777777" w:rsidR="005E000F" w:rsidRDefault="00000000">
            <w:pPr>
              <w:snapToGrid w:val="0"/>
              <w:spacing w:line="240" w:lineRule="atLeast"/>
              <w:jc w:val="right"/>
              <w:rPr>
                <w:rFonts w:cs="宋体"/>
                <w:bCs/>
                <w:sz w:val="13"/>
                <w:szCs w:val="13"/>
              </w:rPr>
            </w:pPr>
            <w:r>
              <w:rPr>
                <w:rFonts w:cs="宋体"/>
                <w:bCs/>
                <w:sz w:val="13"/>
                <w:szCs w:val="13"/>
              </w:rPr>
              <w:t>21,495,996,826</w:t>
            </w:r>
          </w:p>
        </w:tc>
        <w:tc>
          <w:tcPr>
            <w:tcW w:w="311" w:type="dxa"/>
            <w:vAlign w:val="center"/>
          </w:tcPr>
          <w:p w14:paraId="03257B1C"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089" w:type="dxa"/>
            <w:vAlign w:val="center"/>
          </w:tcPr>
          <w:p w14:paraId="4FF081C4" w14:textId="77777777" w:rsidR="005E000F" w:rsidRDefault="00000000">
            <w:pPr>
              <w:snapToGrid w:val="0"/>
              <w:spacing w:line="240" w:lineRule="atLeast"/>
              <w:jc w:val="right"/>
              <w:rPr>
                <w:rFonts w:cs="宋体"/>
                <w:bCs/>
                <w:sz w:val="13"/>
                <w:szCs w:val="13"/>
              </w:rPr>
            </w:pPr>
            <w:r>
              <w:rPr>
                <w:rFonts w:cs="宋体"/>
                <w:bCs/>
                <w:sz w:val="13"/>
                <w:szCs w:val="13"/>
              </w:rPr>
              <w:t>69,489,614,587</w:t>
            </w:r>
          </w:p>
        </w:tc>
        <w:tc>
          <w:tcPr>
            <w:tcW w:w="351" w:type="dxa"/>
            <w:vAlign w:val="center"/>
          </w:tcPr>
          <w:p w14:paraId="58AF1691" w14:textId="77777777" w:rsidR="005E000F" w:rsidRDefault="00000000">
            <w:pPr>
              <w:snapToGrid w:val="0"/>
              <w:spacing w:line="240" w:lineRule="atLeast"/>
              <w:jc w:val="right"/>
              <w:rPr>
                <w:rFonts w:cs="宋体"/>
                <w:bCs/>
                <w:sz w:val="13"/>
                <w:szCs w:val="13"/>
              </w:rPr>
            </w:pPr>
            <w:r>
              <w:rPr>
                <w:rFonts w:cs="宋体"/>
                <w:bCs/>
                <w:sz w:val="13"/>
                <w:szCs w:val="13"/>
              </w:rPr>
              <w:t>0</w:t>
            </w:r>
          </w:p>
        </w:tc>
        <w:tc>
          <w:tcPr>
            <w:tcW w:w="1160" w:type="dxa"/>
            <w:vAlign w:val="center"/>
          </w:tcPr>
          <w:p w14:paraId="5001ABC4" w14:textId="77777777" w:rsidR="005E000F" w:rsidRDefault="00000000">
            <w:pPr>
              <w:snapToGrid w:val="0"/>
              <w:spacing w:line="240" w:lineRule="atLeast"/>
              <w:jc w:val="right"/>
              <w:rPr>
                <w:rFonts w:cs="宋体"/>
                <w:bCs/>
                <w:sz w:val="13"/>
                <w:szCs w:val="13"/>
              </w:rPr>
            </w:pPr>
            <w:r>
              <w:rPr>
                <w:rFonts w:cs="宋体"/>
                <w:bCs/>
                <w:sz w:val="13"/>
                <w:szCs w:val="13"/>
              </w:rPr>
              <w:t>154,883,970,623</w:t>
            </w:r>
          </w:p>
        </w:tc>
        <w:tc>
          <w:tcPr>
            <w:tcW w:w="1067" w:type="dxa"/>
            <w:vAlign w:val="center"/>
          </w:tcPr>
          <w:p w14:paraId="6B27580A" w14:textId="77777777" w:rsidR="005E000F" w:rsidRDefault="00000000">
            <w:pPr>
              <w:snapToGrid w:val="0"/>
              <w:spacing w:line="240" w:lineRule="atLeast"/>
              <w:jc w:val="right"/>
              <w:rPr>
                <w:rFonts w:cs="宋体"/>
                <w:bCs/>
                <w:sz w:val="13"/>
                <w:szCs w:val="13"/>
              </w:rPr>
            </w:pPr>
            <w:r>
              <w:rPr>
                <w:rFonts w:cs="宋体"/>
                <w:bCs/>
                <w:sz w:val="13"/>
                <w:szCs w:val="13"/>
              </w:rPr>
              <w:t>15,084,912,113</w:t>
            </w:r>
          </w:p>
        </w:tc>
        <w:tc>
          <w:tcPr>
            <w:tcW w:w="1118" w:type="dxa"/>
            <w:vAlign w:val="center"/>
          </w:tcPr>
          <w:p w14:paraId="5F696FAB" w14:textId="77777777" w:rsidR="005E000F" w:rsidRDefault="00000000">
            <w:pPr>
              <w:snapToGrid w:val="0"/>
              <w:spacing w:line="240" w:lineRule="atLeast"/>
              <w:jc w:val="right"/>
              <w:rPr>
                <w:rFonts w:cs="宋体"/>
                <w:bCs/>
                <w:sz w:val="13"/>
                <w:szCs w:val="13"/>
              </w:rPr>
            </w:pPr>
            <w:r>
              <w:rPr>
                <w:rFonts w:cs="宋体"/>
                <w:bCs/>
                <w:sz w:val="13"/>
                <w:szCs w:val="13"/>
              </w:rPr>
              <w:t>169,968,882,736</w:t>
            </w:r>
          </w:p>
        </w:tc>
      </w:tr>
    </w:tbl>
    <w:p w14:paraId="3FD14B8F" w14:textId="77777777" w:rsidR="005E000F" w:rsidRDefault="00000000">
      <w:pPr>
        <w:snapToGrid w:val="0"/>
        <w:spacing w:line="240" w:lineRule="atLeast"/>
        <w:rPr>
          <w:b/>
          <w:bCs/>
          <w:color w:val="FF0000"/>
        </w:rPr>
      </w:pPr>
      <w:r>
        <w:rPr>
          <w:rFonts w:hint="eastAsia"/>
        </w:rPr>
        <w:t>公司负责</w:t>
      </w:r>
      <w:r>
        <w:t>人</w:t>
      </w:r>
      <w:r>
        <w:rPr>
          <w:rFonts w:hint="eastAsia"/>
        </w:rPr>
        <w:t>：</w:t>
      </w:r>
      <w:sdt>
        <w:sdtPr>
          <w:rPr>
            <w:rFonts w:hint="eastAsia"/>
          </w:rPr>
          <w:alias w:val="公司负责人姓名"/>
          <w:tag w:val="_GBC_076a4a0998a840bab20f0ed83e5bab3d"/>
          <w:id w:val="-502211263"/>
          <w:placeholder>
            <w:docPart w:val="GBC22222222222222222222222222222"/>
          </w:placeholder>
          <w:dataBinding w:prefixMappings="xmlns:clcid-mr='clcid-mr'" w:xpath="/*/clcid-mr:GongSiFuZeRenXingMing[not(@periodRef)]" w:storeItemID="{89EBAB94-44A0-46A2-B712-30D997D04A6D}"/>
          <w:text/>
        </w:sdtPr>
        <w:sdtContent>
          <w:proofErr w:type="gramStart"/>
          <w:r>
            <w:rPr>
              <w:rFonts w:hint="eastAsia"/>
            </w:rPr>
            <w:t>陆勇</w:t>
          </w:r>
          <w:proofErr w:type="gramEnd"/>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5b21002df9e248fa81a6770579ce76cd"/>
          <w:id w:val="1671371962"/>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6a446d6543174dc48c72d440eefb0b71"/>
          <w:id w:val="1783532012"/>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孔韶鹏</w:t>
          </w:r>
        </w:sdtContent>
      </w:sdt>
    </w:p>
    <w:p w14:paraId="5B4C709C" w14:textId="77777777" w:rsidR="005E000F" w:rsidRDefault="005E000F"/>
    <w:p w14:paraId="1E88EB56" w14:textId="77777777" w:rsidR="005E000F" w:rsidRDefault="005E000F"/>
    <w:p w14:paraId="05B913D8" w14:textId="77777777" w:rsidR="005E000F" w:rsidRDefault="00000000">
      <w:pPr>
        <w:tabs>
          <w:tab w:val="left" w:pos="10080"/>
        </w:tabs>
        <w:snapToGrid w:val="0"/>
        <w:spacing w:line="240" w:lineRule="atLeast"/>
        <w:ind w:rightChars="12" w:right="25"/>
        <w:jc w:val="center"/>
        <w:outlineLvl w:val="2"/>
        <w:rPr>
          <w:b/>
        </w:rPr>
      </w:pPr>
      <w:r>
        <w:rPr>
          <w:b/>
        </w:rPr>
        <w:t>母公司</w:t>
      </w:r>
      <w:r>
        <w:rPr>
          <w:rFonts w:hint="eastAsia"/>
          <w:b/>
        </w:rPr>
        <w:t>所有者权益变动表</w:t>
      </w:r>
    </w:p>
    <w:p w14:paraId="283AF187" w14:textId="77777777" w:rsidR="005E000F" w:rsidRDefault="00000000">
      <w:pPr>
        <w:tabs>
          <w:tab w:val="left" w:pos="10080"/>
        </w:tabs>
        <w:snapToGrid w:val="0"/>
        <w:spacing w:line="240" w:lineRule="atLeast"/>
        <w:ind w:rightChars="12" w:right="25"/>
        <w:jc w:val="center"/>
        <w:rPr>
          <w:b/>
          <w:bCs/>
        </w:rPr>
      </w:pPr>
      <w:r>
        <w:t>2025</w:t>
      </w:r>
      <w:r>
        <w:t>年</w:t>
      </w:r>
      <w:r>
        <w:rPr>
          <w:rFonts w:hint="eastAsia"/>
        </w:rPr>
        <w:t>1</w:t>
      </w:r>
      <w:r>
        <w:rPr>
          <w:rFonts w:hint="eastAsia"/>
        </w:rPr>
        <w:t>—</w:t>
      </w:r>
      <w:r>
        <w:rPr>
          <w:rFonts w:hint="eastAsia"/>
        </w:rPr>
        <w:t>12</w:t>
      </w:r>
      <w:r>
        <w:t>月</w:t>
      </w:r>
    </w:p>
    <w:p w14:paraId="78509A63" w14:textId="77777777" w:rsidR="005E000F" w:rsidRDefault="00000000">
      <w:pPr>
        <w:snapToGrid w:val="0"/>
        <w:spacing w:line="240" w:lineRule="atLeast"/>
        <w:jc w:val="right"/>
      </w:pPr>
      <w:r>
        <w:t>单位：</w:t>
      </w:r>
      <w:sdt>
        <w:sdtPr>
          <w:alias w:val="单位：母公司股东权益调节表"/>
          <w:tag w:val="_GBC_048773409e614c6bb753000b028316a5"/>
          <w:id w:val="-20542895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t xml:space="preserve">  </w:t>
      </w:r>
      <w:r>
        <w:t>币种：</w:t>
      </w:r>
      <w:sdt>
        <w:sdtPr>
          <w:alias w:val="币种：母公司股东权益调节表"/>
          <w:tag w:val="_GBC_5214b7a188334da286fc3038d017d072"/>
          <w:id w:val="7230326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5"/>
        <w:gridCol w:w="1411"/>
        <w:gridCol w:w="767"/>
        <w:gridCol w:w="800"/>
        <w:gridCol w:w="1067"/>
        <w:gridCol w:w="1166"/>
        <w:gridCol w:w="1000"/>
        <w:gridCol w:w="1134"/>
        <w:gridCol w:w="1033"/>
        <w:gridCol w:w="1167"/>
        <w:gridCol w:w="1166"/>
        <w:gridCol w:w="1324"/>
      </w:tblGrid>
      <w:tr w:rsidR="005E000F" w14:paraId="69B5607A" w14:textId="77777777">
        <w:trPr>
          <w:trHeight w:val="20"/>
        </w:trPr>
        <w:sdt>
          <w:sdtPr>
            <w:rPr>
              <w:sz w:val="15"/>
              <w:szCs w:val="15"/>
            </w:rPr>
            <w:tag w:val="_PLD_6243181199ca48faaab1b52ea7b6f562"/>
            <w:id w:val="-804080387"/>
          </w:sdtPr>
          <w:sdtContent>
            <w:tc>
              <w:tcPr>
                <w:tcW w:w="1925" w:type="dxa"/>
                <w:vMerge w:val="restart"/>
                <w:vAlign w:val="center"/>
              </w:tcPr>
              <w:p w14:paraId="473FB9B5" w14:textId="77777777" w:rsidR="005E000F" w:rsidRDefault="00000000">
                <w:pPr>
                  <w:adjustRightInd w:val="0"/>
                  <w:snapToGrid w:val="0"/>
                  <w:jc w:val="center"/>
                  <w:rPr>
                    <w:sz w:val="15"/>
                    <w:szCs w:val="15"/>
                  </w:rPr>
                </w:pPr>
                <w:r>
                  <w:rPr>
                    <w:rFonts w:hint="eastAsia"/>
                    <w:sz w:val="15"/>
                    <w:szCs w:val="15"/>
                  </w:rPr>
                  <w:t>项目</w:t>
                </w:r>
              </w:p>
            </w:tc>
          </w:sdtContent>
        </w:sdt>
        <w:tc>
          <w:tcPr>
            <w:tcW w:w="12035" w:type="dxa"/>
            <w:gridSpan w:val="11"/>
            <w:vAlign w:val="center"/>
          </w:tcPr>
          <w:p w14:paraId="72C42466" w14:textId="77777777" w:rsidR="005E000F" w:rsidRDefault="00000000">
            <w:pPr>
              <w:adjustRightInd w:val="0"/>
              <w:snapToGrid w:val="0"/>
              <w:jc w:val="center"/>
              <w:rPr>
                <w:sz w:val="15"/>
                <w:szCs w:val="15"/>
              </w:rPr>
            </w:pPr>
            <w:r>
              <w:rPr>
                <w:rFonts w:hint="eastAsia"/>
                <w:sz w:val="15"/>
                <w:szCs w:val="15"/>
              </w:rPr>
              <w:t xml:space="preserve"> </w:t>
            </w:r>
            <w:sdt>
              <w:sdtPr>
                <w:rPr>
                  <w:sz w:val="15"/>
                  <w:szCs w:val="15"/>
                </w:rPr>
                <w:tag w:val="_PLD_53ebc36a4faa4485960520df843f0c63"/>
                <w:id w:val="-1232770366"/>
              </w:sdtPr>
              <w:sdtContent>
                <w:r>
                  <w:rPr>
                    <w:rFonts w:hint="eastAsia"/>
                    <w:sz w:val="15"/>
                    <w:szCs w:val="15"/>
                  </w:rPr>
                  <w:t>2025</w:t>
                </w:r>
                <w:r>
                  <w:rPr>
                    <w:rFonts w:hint="eastAsia"/>
                    <w:sz w:val="15"/>
                    <w:szCs w:val="15"/>
                  </w:rPr>
                  <w:t>年度</w:t>
                </w:r>
              </w:sdtContent>
            </w:sdt>
          </w:p>
        </w:tc>
      </w:tr>
      <w:tr w:rsidR="005E000F" w14:paraId="0C10C0BC" w14:textId="77777777">
        <w:trPr>
          <w:trHeight w:val="315"/>
        </w:trPr>
        <w:tc>
          <w:tcPr>
            <w:tcW w:w="1925" w:type="dxa"/>
            <w:vMerge/>
            <w:vAlign w:val="center"/>
          </w:tcPr>
          <w:p w14:paraId="6E43193C" w14:textId="77777777" w:rsidR="005E000F" w:rsidRDefault="005E000F">
            <w:pPr>
              <w:adjustRightInd w:val="0"/>
              <w:snapToGrid w:val="0"/>
              <w:rPr>
                <w:sz w:val="15"/>
                <w:szCs w:val="15"/>
              </w:rPr>
            </w:pPr>
          </w:p>
        </w:tc>
        <w:sdt>
          <w:sdtPr>
            <w:rPr>
              <w:sz w:val="15"/>
              <w:szCs w:val="15"/>
            </w:rPr>
            <w:tag w:val="_PLD_d42b0ce5c44e4777bd36491652f20dd8"/>
            <w:id w:val="-547915299"/>
          </w:sdtPr>
          <w:sdtContent>
            <w:tc>
              <w:tcPr>
                <w:tcW w:w="1411" w:type="dxa"/>
                <w:vMerge w:val="restart"/>
                <w:tcBorders>
                  <w:right w:val="single" w:sz="4" w:space="0" w:color="auto"/>
                </w:tcBorders>
                <w:vAlign w:val="center"/>
              </w:tcPr>
              <w:p w14:paraId="1F2C08BD" w14:textId="77777777" w:rsidR="005E000F" w:rsidRDefault="00000000">
                <w:pPr>
                  <w:adjustRightInd w:val="0"/>
                  <w:snapToGrid w:val="0"/>
                  <w:jc w:val="center"/>
                  <w:rPr>
                    <w:sz w:val="15"/>
                    <w:szCs w:val="15"/>
                  </w:rPr>
                </w:pPr>
                <w:r>
                  <w:rPr>
                    <w:sz w:val="15"/>
                    <w:szCs w:val="15"/>
                  </w:rPr>
                  <w:t>实收资本</w:t>
                </w:r>
                <w:r>
                  <w:rPr>
                    <w:sz w:val="15"/>
                    <w:szCs w:val="15"/>
                  </w:rPr>
                  <w:t xml:space="preserve"> </w:t>
                </w:r>
                <w:r>
                  <w:rPr>
                    <w:rFonts w:hint="eastAsia"/>
                    <w:sz w:val="15"/>
                    <w:szCs w:val="15"/>
                  </w:rPr>
                  <w:t>（</w:t>
                </w:r>
                <w:r>
                  <w:rPr>
                    <w:sz w:val="15"/>
                    <w:szCs w:val="15"/>
                  </w:rPr>
                  <w:t>或股</w:t>
                </w:r>
                <w:r>
                  <w:rPr>
                    <w:sz w:val="15"/>
                    <w:szCs w:val="15"/>
                  </w:rPr>
                  <w:lastRenderedPageBreak/>
                  <w:t>本</w:t>
                </w:r>
                <w:r>
                  <w:rPr>
                    <w:rFonts w:hint="eastAsia"/>
                    <w:sz w:val="15"/>
                    <w:szCs w:val="15"/>
                  </w:rPr>
                  <w:t>）</w:t>
                </w:r>
              </w:p>
            </w:tc>
          </w:sdtContent>
        </w:sdt>
        <w:sdt>
          <w:sdtPr>
            <w:rPr>
              <w:sz w:val="15"/>
              <w:szCs w:val="15"/>
            </w:rPr>
            <w:tag w:val="_PLD_2b96b9233b354a859329aa59fac6fc9e"/>
            <w:id w:val="1764796668"/>
          </w:sdtPr>
          <w:sdtContent>
            <w:tc>
              <w:tcPr>
                <w:tcW w:w="2634" w:type="dxa"/>
                <w:gridSpan w:val="3"/>
                <w:tcBorders>
                  <w:left w:val="single" w:sz="4" w:space="0" w:color="auto"/>
                  <w:bottom w:val="single" w:sz="4" w:space="0" w:color="auto"/>
                </w:tcBorders>
                <w:vAlign w:val="center"/>
              </w:tcPr>
              <w:p w14:paraId="7757EA89" w14:textId="77777777" w:rsidR="005E000F" w:rsidRDefault="00000000">
                <w:pPr>
                  <w:adjustRightInd w:val="0"/>
                  <w:snapToGrid w:val="0"/>
                  <w:jc w:val="center"/>
                  <w:rPr>
                    <w:sz w:val="15"/>
                    <w:szCs w:val="15"/>
                  </w:rPr>
                </w:pPr>
                <w:r>
                  <w:rPr>
                    <w:rFonts w:hint="eastAsia"/>
                    <w:sz w:val="15"/>
                    <w:szCs w:val="15"/>
                  </w:rPr>
                  <w:t>其他权益工具</w:t>
                </w:r>
              </w:p>
            </w:tc>
          </w:sdtContent>
        </w:sdt>
        <w:sdt>
          <w:sdtPr>
            <w:rPr>
              <w:sz w:val="15"/>
              <w:szCs w:val="15"/>
            </w:rPr>
            <w:tag w:val="_PLD_dafb11707213467d9f285bde7429767a"/>
            <w:id w:val="1068926213"/>
          </w:sdtPr>
          <w:sdtContent>
            <w:tc>
              <w:tcPr>
                <w:tcW w:w="1166" w:type="dxa"/>
                <w:vMerge w:val="restart"/>
                <w:vAlign w:val="center"/>
              </w:tcPr>
              <w:p w14:paraId="02CD8C99" w14:textId="77777777" w:rsidR="005E000F" w:rsidRDefault="00000000">
                <w:pPr>
                  <w:adjustRightInd w:val="0"/>
                  <w:snapToGrid w:val="0"/>
                  <w:jc w:val="center"/>
                  <w:rPr>
                    <w:sz w:val="15"/>
                    <w:szCs w:val="15"/>
                  </w:rPr>
                </w:pPr>
                <w:r>
                  <w:rPr>
                    <w:sz w:val="15"/>
                    <w:szCs w:val="15"/>
                  </w:rPr>
                  <w:t>资本公积</w:t>
                </w:r>
              </w:p>
            </w:tc>
          </w:sdtContent>
        </w:sdt>
        <w:sdt>
          <w:sdtPr>
            <w:rPr>
              <w:sz w:val="15"/>
              <w:szCs w:val="15"/>
            </w:rPr>
            <w:tag w:val="_PLD_2fb702eaa01c41839715d0f477a28608"/>
            <w:id w:val="2098127293"/>
          </w:sdtPr>
          <w:sdtContent>
            <w:tc>
              <w:tcPr>
                <w:tcW w:w="1000" w:type="dxa"/>
                <w:vMerge w:val="restart"/>
                <w:vAlign w:val="center"/>
              </w:tcPr>
              <w:p w14:paraId="229782C1" w14:textId="77777777" w:rsidR="005E000F" w:rsidRDefault="00000000">
                <w:pPr>
                  <w:adjustRightInd w:val="0"/>
                  <w:snapToGrid w:val="0"/>
                  <w:jc w:val="center"/>
                  <w:rPr>
                    <w:sz w:val="15"/>
                    <w:szCs w:val="15"/>
                  </w:rPr>
                </w:pPr>
                <w:r>
                  <w:rPr>
                    <w:sz w:val="15"/>
                    <w:szCs w:val="15"/>
                  </w:rPr>
                  <w:t>减：库存股</w:t>
                </w:r>
              </w:p>
            </w:tc>
          </w:sdtContent>
        </w:sdt>
        <w:sdt>
          <w:sdtPr>
            <w:rPr>
              <w:sz w:val="15"/>
              <w:szCs w:val="15"/>
            </w:rPr>
            <w:tag w:val="_PLD_01fd07c61bdc4289ad848770e21829f0"/>
            <w:id w:val="-1974437189"/>
          </w:sdtPr>
          <w:sdtContent>
            <w:tc>
              <w:tcPr>
                <w:tcW w:w="1134" w:type="dxa"/>
                <w:vMerge w:val="restart"/>
                <w:vAlign w:val="center"/>
              </w:tcPr>
              <w:p w14:paraId="297FF04C" w14:textId="77777777" w:rsidR="005E000F" w:rsidRDefault="00000000">
                <w:pPr>
                  <w:jc w:val="center"/>
                  <w:rPr>
                    <w:sz w:val="15"/>
                    <w:szCs w:val="15"/>
                  </w:rPr>
                </w:pPr>
                <w:r>
                  <w:rPr>
                    <w:rFonts w:hint="eastAsia"/>
                    <w:sz w:val="15"/>
                    <w:szCs w:val="15"/>
                  </w:rPr>
                  <w:t>其他综合收益</w:t>
                </w:r>
              </w:p>
            </w:tc>
          </w:sdtContent>
        </w:sdt>
        <w:sdt>
          <w:sdtPr>
            <w:rPr>
              <w:sz w:val="15"/>
              <w:szCs w:val="15"/>
            </w:rPr>
            <w:tag w:val="_PLD_90a7206226784441ae3a059bd6e2aeb9"/>
            <w:id w:val="-1561705671"/>
          </w:sdtPr>
          <w:sdtContent>
            <w:tc>
              <w:tcPr>
                <w:tcW w:w="1033" w:type="dxa"/>
                <w:vMerge w:val="restart"/>
                <w:vAlign w:val="center"/>
              </w:tcPr>
              <w:p w14:paraId="2C325759" w14:textId="77777777" w:rsidR="005E000F" w:rsidRDefault="00000000">
                <w:pPr>
                  <w:adjustRightInd w:val="0"/>
                  <w:snapToGrid w:val="0"/>
                  <w:jc w:val="center"/>
                  <w:rPr>
                    <w:sz w:val="15"/>
                    <w:szCs w:val="15"/>
                  </w:rPr>
                </w:pPr>
                <w:r>
                  <w:rPr>
                    <w:rFonts w:hint="eastAsia"/>
                    <w:sz w:val="15"/>
                    <w:szCs w:val="15"/>
                  </w:rPr>
                  <w:t>专项储备</w:t>
                </w:r>
              </w:p>
            </w:tc>
          </w:sdtContent>
        </w:sdt>
        <w:sdt>
          <w:sdtPr>
            <w:rPr>
              <w:sz w:val="15"/>
              <w:szCs w:val="15"/>
            </w:rPr>
            <w:tag w:val="_PLD_e9a70df1813948df997635772bea7de3"/>
            <w:id w:val="1040399909"/>
          </w:sdtPr>
          <w:sdtContent>
            <w:tc>
              <w:tcPr>
                <w:tcW w:w="1167" w:type="dxa"/>
                <w:vMerge w:val="restart"/>
                <w:vAlign w:val="center"/>
              </w:tcPr>
              <w:p w14:paraId="224DAC9A" w14:textId="77777777" w:rsidR="005E000F" w:rsidRDefault="00000000">
                <w:pPr>
                  <w:adjustRightInd w:val="0"/>
                  <w:snapToGrid w:val="0"/>
                  <w:jc w:val="center"/>
                  <w:rPr>
                    <w:sz w:val="15"/>
                    <w:szCs w:val="15"/>
                  </w:rPr>
                </w:pPr>
                <w:r>
                  <w:rPr>
                    <w:sz w:val="15"/>
                    <w:szCs w:val="15"/>
                  </w:rPr>
                  <w:t>盈余公积</w:t>
                </w:r>
              </w:p>
            </w:tc>
          </w:sdtContent>
        </w:sdt>
        <w:sdt>
          <w:sdtPr>
            <w:rPr>
              <w:sz w:val="15"/>
              <w:szCs w:val="15"/>
            </w:rPr>
            <w:tag w:val="_PLD_9b2be5c2b4a3447c85cf695b1da440fa"/>
            <w:id w:val="1566367960"/>
          </w:sdtPr>
          <w:sdtContent>
            <w:tc>
              <w:tcPr>
                <w:tcW w:w="1166" w:type="dxa"/>
                <w:vMerge w:val="restart"/>
                <w:vAlign w:val="center"/>
              </w:tcPr>
              <w:p w14:paraId="18E35D6D" w14:textId="77777777" w:rsidR="005E000F" w:rsidRDefault="00000000">
                <w:pPr>
                  <w:adjustRightInd w:val="0"/>
                  <w:snapToGrid w:val="0"/>
                  <w:jc w:val="center"/>
                  <w:rPr>
                    <w:sz w:val="15"/>
                    <w:szCs w:val="15"/>
                  </w:rPr>
                </w:pPr>
                <w:r>
                  <w:rPr>
                    <w:sz w:val="15"/>
                    <w:szCs w:val="15"/>
                  </w:rPr>
                  <w:t>未分配利润</w:t>
                </w:r>
              </w:p>
            </w:tc>
          </w:sdtContent>
        </w:sdt>
        <w:sdt>
          <w:sdtPr>
            <w:rPr>
              <w:sz w:val="15"/>
              <w:szCs w:val="15"/>
            </w:rPr>
            <w:tag w:val="_PLD_61dd0378fbe645dfb87cfecfbc846206"/>
            <w:id w:val="578958844"/>
          </w:sdtPr>
          <w:sdtContent>
            <w:tc>
              <w:tcPr>
                <w:tcW w:w="1324" w:type="dxa"/>
                <w:vMerge w:val="restart"/>
                <w:vAlign w:val="center"/>
              </w:tcPr>
              <w:p w14:paraId="6583CB07" w14:textId="77777777" w:rsidR="005E000F" w:rsidRDefault="00000000">
                <w:pPr>
                  <w:adjustRightInd w:val="0"/>
                  <w:snapToGrid w:val="0"/>
                  <w:jc w:val="center"/>
                  <w:rPr>
                    <w:sz w:val="15"/>
                    <w:szCs w:val="15"/>
                  </w:rPr>
                </w:pPr>
                <w:r>
                  <w:rPr>
                    <w:sz w:val="15"/>
                    <w:szCs w:val="15"/>
                  </w:rPr>
                  <w:t>所有者权益合计</w:t>
                </w:r>
              </w:p>
            </w:tc>
          </w:sdtContent>
        </w:sdt>
      </w:tr>
      <w:tr w:rsidR="005E000F" w14:paraId="406AE7A4" w14:textId="77777777">
        <w:trPr>
          <w:trHeight w:val="294"/>
        </w:trPr>
        <w:tc>
          <w:tcPr>
            <w:tcW w:w="1925" w:type="dxa"/>
            <w:vMerge/>
            <w:vAlign w:val="center"/>
          </w:tcPr>
          <w:p w14:paraId="79BEA311" w14:textId="77777777" w:rsidR="005E000F" w:rsidRDefault="005E000F">
            <w:pPr>
              <w:adjustRightInd w:val="0"/>
              <w:snapToGrid w:val="0"/>
              <w:rPr>
                <w:sz w:val="15"/>
                <w:szCs w:val="15"/>
              </w:rPr>
            </w:pPr>
          </w:p>
        </w:tc>
        <w:tc>
          <w:tcPr>
            <w:tcW w:w="1411" w:type="dxa"/>
            <w:vMerge/>
            <w:tcBorders>
              <w:right w:val="single" w:sz="4" w:space="0" w:color="auto"/>
            </w:tcBorders>
            <w:vAlign w:val="center"/>
          </w:tcPr>
          <w:p w14:paraId="2182BAEA" w14:textId="77777777" w:rsidR="005E000F" w:rsidRDefault="005E000F">
            <w:pPr>
              <w:adjustRightInd w:val="0"/>
              <w:snapToGrid w:val="0"/>
              <w:jc w:val="center"/>
              <w:rPr>
                <w:sz w:val="15"/>
                <w:szCs w:val="15"/>
              </w:rPr>
            </w:pPr>
          </w:p>
        </w:tc>
        <w:sdt>
          <w:sdtPr>
            <w:rPr>
              <w:sz w:val="15"/>
              <w:szCs w:val="15"/>
            </w:rPr>
            <w:tag w:val="_PLD_506dd395f17d4bea92c50a0850471ea4"/>
            <w:id w:val="1532768378"/>
          </w:sdtPr>
          <w:sdtContent>
            <w:tc>
              <w:tcPr>
                <w:tcW w:w="767" w:type="dxa"/>
                <w:tcBorders>
                  <w:top w:val="single" w:sz="4" w:space="0" w:color="auto"/>
                  <w:left w:val="single" w:sz="4" w:space="0" w:color="auto"/>
                  <w:right w:val="single" w:sz="4" w:space="0" w:color="auto"/>
                </w:tcBorders>
                <w:vAlign w:val="center"/>
              </w:tcPr>
              <w:p w14:paraId="2F4960AD" w14:textId="77777777" w:rsidR="005E000F" w:rsidRDefault="00000000">
                <w:pPr>
                  <w:adjustRightInd w:val="0"/>
                  <w:snapToGrid w:val="0"/>
                  <w:jc w:val="center"/>
                  <w:rPr>
                    <w:sz w:val="15"/>
                    <w:szCs w:val="15"/>
                  </w:rPr>
                </w:pPr>
                <w:r>
                  <w:rPr>
                    <w:rFonts w:hint="eastAsia"/>
                    <w:sz w:val="15"/>
                    <w:szCs w:val="15"/>
                  </w:rPr>
                  <w:t>优先股</w:t>
                </w:r>
              </w:p>
            </w:tc>
          </w:sdtContent>
        </w:sdt>
        <w:sdt>
          <w:sdtPr>
            <w:rPr>
              <w:sz w:val="15"/>
              <w:szCs w:val="15"/>
            </w:rPr>
            <w:tag w:val="_PLD_d66ebd59f659426db31ba0d488ae47d0"/>
            <w:id w:val="3328591"/>
          </w:sdtPr>
          <w:sdtContent>
            <w:tc>
              <w:tcPr>
                <w:tcW w:w="800" w:type="dxa"/>
                <w:tcBorders>
                  <w:top w:val="single" w:sz="4" w:space="0" w:color="auto"/>
                  <w:left w:val="single" w:sz="4" w:space="0" w:color="auto"/>
                  <w:right w:val="single" w:sz="4" w:space="0" w:color="auto"/>
                </w:tcBorders>
                <w:vAlign w:val="center"/>
              </w:tcPr>
              <w:p w14:paraId="2D0E9322" w14:textId="77777777" w:rsidR="005E000F" w:rsidRDefault="00000000">
                <w:pPr>
                  <w:adjustRightInd w:val="0"/>
                  <w:snapToGrid w:val="0"/>
                  <w:jc w:val="center"/>
                  <w:rPr>
                    <w:sz w:val="15"/>
                    <w:szCs w:val="15"/>
                  </w:rPr>
                </w:pPr>
                <w:r>
                  <w:rPr>
                    <w:rFonts w:hint="eastAsia"/>
                    <w:sz w:val="15"/>
                    <w:szCs w:val="15"/>
                  </w:rPr>
                  <w:t>永续债</w:t>
                </w:r>
              </w:p>
            </w:tc>
          </w:sdtContent>
        </w:sdt>
        <w:sdt>
          <w:sdtPr>
            <w:rPr>
              <w:sz w:val="15"/>
              <w:szCs w:val="15"/>
            </w:rPr>
            <w:tag w:val="_PLD_997e05d9124249eeb1a10ac094efcb41"/>
            <w:id w:val="-1338683248"/>
          </w:sdtPr>
          <w:sdtContent>
            <w:tc>
              <w:tcPr>
                <w:tcW w:w="1067" w:type="dxa"/>
                <w:tcBorders>
                  <w:top w:val="single" w:sz="4" w:space="0" w:color="auto"/>
                  <w:left w:val="single" w:sz="4" w:space="0" w:color="auto"/>
                </w:tcBorders>
                <w:vAlign w:val="center"/>
              </w:tcPr>
              <w:p w14:paraId="232F415E" w14:textId="77777777" w:rsidR="005E000F" w:rsidRDefault="00000000">
                <w:pPr>
                  <w:adjustRightInd w:val="0"/>
                  <w:snapToGrid w:val="0"/>
                  <w:jc w:val="center"/>
                  <w:rPr>
                    <w:sz w:val="15"/>
                    <w:szCs w:val="15"/>
                  </w:rPr>
                </w:pPr>
                <w:r>
                  <w:rPr>
                    <w:rFonts w:hint="eastAsia"/>
                    <w:sz w:val="15"/>
                    <w:szCs w:val="15"/>
                  </w:rPr>
                  <w:t>其他</w:t>
                </w:r>
              </w:p>
            </w:tc>
          </w:sdtContent>
        </w:sdt>
        <w:tc>
          <w:tcPr>
            <w:tcW w:w="1166" w:type="dxa"/>
            <w:vMerge/>
            <w:vAlign w:val="center"/>
          </w:tcPr>
          <w:p w14:paraId="66EB6799" w14:textId="77777777" w:rsidR="005E000F" w:rsidRDefault="005E000F">
            <w:pPr>
              <w:adjustRightInd w:val="0"/>
              <w:snapToGrid w:val="0"/>
              <w:jc w:val="center"/>
              <w:rPr>
                <w:sz w:val="15"/>
                <w:szCs w:val="15"/>
              </w:rPr>
            </w:pPr>
          </w:p>
        </w:tc>
        <w:tc>
          <w:tcPr>
            <w:tcW w:w="1000" w:type="dxa"/>
            <w:vMerge/>
            <w:vAlign w:val="center"/>
          </w:tcPr>
          <w:p w14:paraId="6FF2381D" w14:textId="77777777" w:rsidR="005E000F" w:rsidRDefault="005E000F">
            <w:pPr>
              <w:adjustRightInd w:val="0"/>
              <w:snapToGrid w:val="0"/>
              <w:jc w:val="center"/>
              <w:rPr>
                <w:sz w:val="15"/>
                <w:szCs w:val="15"/>
              </w:rPr>
            </w:pPr>
          </w:p>
        </w:tc>
        <w:tc>
          <w:tcPr>
            <w:tcW w:w="1134" w:type="dxa"/>
            <w:vMerge/>
            <w:vAlign w:val="center"/>
          </w:tcPr>
          <w:p w14:paraId="3A5FA114" w14:textId="77777777" w:rsidR="005E000F" w:rsidRDefault="005E000F">
            <w:pPr>
              <w:jc w:val="center"/>
              <w:rPr>
                <w:sz w:val="15"/>
                <w:szCs w:val="15"/>
              </w:rPr>
            </w:pPr>
          </w:p>
        </w:tc>
        <w:tc>
          <w:tcPr>
            <w:tcW w:w="1033" w:type="dxa"/>
            <w:vMerge/>
            <w:vAlign w:val="center"/>
          </w:tcPr>
          <w:p w14:paraId="01B34F84" w14:textId="77777777" w:rsidR="005E000F" w:rsidRDefault="005E000F">
            <w:pPr>
              <w:adjustRightInd w:val="0"/>
              <w:snapToGrid w:val="0"/>
              <w:jc w:val="center"/>
              <w:rPr>
                <w:sz w:val="15"/>
                <w:szCs w:val="15"/>
              </w:rPr>
            </w:pPr>
          </w:p>
        </w:tc>
        <w:tc>
          <w:tcPr>
            <w:tcW w:w="1167" w:type="dxa"/>
            <w:vMerge/>
            <w:vAlign w:val="center"/>
          </w:tcPr>
          <w:p w14:paraId="56FE26DC" w14:textId="77777777" w:rsidR="005E000F" w:rsidRDefault="005E000F">
            <w:pPr>
              <w:adjustRightInd w:val="0"/>
              <w:snapToGrid w:val="0"/>
              <w:jc w:val="center"/>
              <w:rPr>
                <w:sz w:val="15"/>
                <w:szCs w:val="15"/>
              </w:rPr>
            </w:pPr>
          </w:p>
        </w:tc>
        <w:tc>
          <w:tcPr>
            <w:tcW w:w="1166" w:type="dxa"/>
            <w:vMerge/>
            <w:vAlign w:val="center"/>
          </w:tcPr>
          <w:p w14:paraId="6F25B0B2" w14:textId="77777777" w:rsidR="005E000F" w:rsidRDefault="005E000F">
            <w:pPr>
              <w:adjustRightInd w:val="0"/>
              <w:snapToGrid w:val="0"/>
              <w:jc w:val="center"/>
              <w:rPr>
                <w:sz w:val="15"/>
                <w:szCs w:val="15"/>
              </w:rPr>
            </w:pPr>
          </w:p>
        </w:tc>
        <w:tc>
          <w:tcPr>
            <w:tcW w:w="1324" w:type="dxa"/>
            <w:vMerge/>
            <w:vAlign w:val="center"/>
          </w:tcPr>
          <w:p w14:paraId="13F8874A" w14:textId="77777777" w:rsidR="005E000F" w:rsidRDefault="005E000F">
            <w:pPr>
              <w:adjustRightInd w:val="0"/>
              <w:snapToGrid w:val="0"/>
              <w:jc w:val="center"/>
              <w:rPr>
                <w:sz w:val="15"/>
                <w:szCs w:val="15"/>
              </w:rPr>
            </w:pPr>
          </w:p>
        </w:tc>
      </w:tr>
      <w:tr w:rsidR="005E000F" w14:paraId="559E0EE8" w14:textId="77777777">
        <w:trPr>
          <w:trHeight w:val="20"/>
        </w:trPr>
        <w:sdt>
          <w:sdtPr>
            <w:rPr>
              <w:sz w:val="15"/>
              <w:szCs w:val="15"/>
            </w:rPr>
            <w:tag w:val="_PLD_08f8c5f19f2b42f7ae650f62c6878570"/>
            <w:id w:val="-23797899"/>
          </w:sdtPr>
          <w:sdtContent>
            <w:tc>
              <w:tcPr>
                <w:tcW w:w="1925" w:type="dxa"/>
                <w:vAlign w:val="center"/>
              </w:tcPr>
              <w:p w14:paraId="60455C89" w14:textId="77777777" w:rsidR="005E000F" w:rsidRDefault="00000000">
                <w:pPr>
                  <w:rPr>
                    <w:sz w:val="15"/>
                    <w:szCs w:val="15"/>
                  </w:rPr>
                </w:pPr>
                <w:r>
                  <w:rPr>
                    <w:sz w:val="15"/>
                    <w:szCs w:val="15"/>
                  </w:rPr>
                  <w:t>一、上年</w:t>
                </w:r>
                <w:r>
                  <w:rPr>
                    <w:rFonts w:hint="eastAsia"/>
                    <w:sz w:val="15"/>
                    <w:szCs w:val="15"/>
                  </w:rPr>
                  <w:t>年</w:t>
                </w:r>
                <w:r>
                  <w:rPr>
                    <w:sz w:val="15"/>
                    <w:szCs w:val="15"/>
                  </w:rPr>
                  <w:t>末余额</w:t>
                </w:r>
              </w:p>
            </w:tc>
          </w:sdtContent>
        </w:sdt>
        <w:tc>
          <w:tcPr>
            <w:tcW w:w="1411" w:type="dxa"/>
            <w:tcBorders>
              <w:right w:val="single" w:sz="4" w:space="0" w:color="auto"/>
            </w:tcBorders>
            <w:vAlign w:val="center"/>
          </w:tcPr>
          <w:p w14:paraId="5FFBEB6E" w14:textId="77777777" w:rsidR="005E000F" w:rsidRDefault="00000000">
            <w:pPr>
              <w:jc w:val="right"/>
              <w:rPr>
                <w:sz w:val="15"/>
                <w:szCs w:val="15"/>
              </w:rPr>
            </w:pPr>
            <w:r>
              <w:rPr>
                <w:sz w:val="15"/>
                <w:szCs w:val="15"/>
              </w:rPr>
              <w:t>18,807,273,822</w:t>
            </w:r>
          </w:p>
        </w:tc>
        <w:tc>
          <w:tcPr>
            <w:tcW w:w="767" w:type="dxa"/>
            <w:tcBorders>
              <w:left w:val="single" w:sz="4" w:space="0" w:color="auto"/>
              <w:right w:val="single" w:sz="4" w:space="0" w:color="auto"/>
            </w:tcBorders>
            <w:vAlign w:val="center"/>
          </w:tcPr>
          <w:p w14:paraId="5E83B7DF"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7E31C8D7" w14:textId="77777777" w:rsidR="005E000F" w:rsidRDefault="00000000">
            <w:pPr>
              <w:jc w:val="right"/>
              <w:rPr>
                <w:sz w:val="15"/>
                <w:szCs w:val="15"/>
              </w:rPr>
            </w:pPr>
            <w:r>
              <w:rPr>
                <w:rFonts w:hint="eastAsia"/>
                <w:sz w:val="15"/>
                <w:szCs w:val="15"/>
              </w:rPr>
              <w:t>0</w:t>
            </w:r>
          </w:p>
        </w:tc>
        <w:tc>
          <w:tcPr>
            <w:tcW w:w="1067" w:type="dxa"/>
            <w:tcBorders>
              <w:left w:val="single" w:sz="4" w:space="0" w:color="auto"/>
              <w:right w:val="single" w:sz="4" w:space="0" w:color="auto"/>
            </w:tcBorders>
            <w:vAlign w:val="center"/>
          </w:tcPr>
          <w:p w14:paraId="56F2D059" w14:textId="77777777" w:rsidR="005E000F" w:rsidRDefault="00000000">
            <w:pPr>
              <w:jc w:val="right"/>
              <w:rPr>
                <w:sz w:val="15"/>
                <w:szCs w:val="15"/>
              </w:rPr>
            </w:pPr>
            <w:r>
              <w:rPr>
                <w:sz w:val="15"/>
                <w:szCs w:val="15"/>
              </w:rPr>
              <w:t>804,984,728</w:t>
            </w:r>
          </w:p>
        </w:tc>
        <w:tc>
          <w:tcPr>
            <w:tcW w:w="1166" w:type="dxa"/>
            <w:tcBorders>
              <w:left w:val="single" w:sz="4" w:space="0" w:color="auto"/>
            </w:tcBorders>
            <w:vAlign w:val="center"/>
          </w:tcPr>
          <w:p w14:paraId="3C2FC411" w14:textId="77777777" w:rsidR="005E000F" w:rsidRDefault="00000000">
            <w:pPr>
              <w:jc w:val="right"/>
              <w:rPr>
                <w:sz w:val="15"/>
                <w:szCs w:val="15"/>
              </w:rPr>
            </w:pPr>
            <w:r>
              <w:rPr>
                <w:sz w:val="15"/>
                <w:szCs w:val="15"/>
              </w:rPr>
              <w:t>47,152,733,063</w:t>
            </w:r>
          </w:p>
        </w:tc>
        <w:tc>
          <w:tcPr>
            <w:tcW w:w="1000" w:type="dxa"/>
            <w:vAlign w:val="center"/>
          </w:tcPr>
          <w:p w14:paraId="0F81A2EF" w14:textId="77777777" w:rsidR="005E000F" w:rsidRDefault="005E000F">
            <w:pPr>
              <w:jc w:val="right"/>
              <w:rPr>
                <w:sz w:val="15"/>
                <w:szCs w:val="15"/>
              </w:rPr>
            </w:pPr>
          </w:p>
        </w:tc>
        <w:tc>
          <w:tcPr>
            <w:tcW w:w="1134" w:type="dxa"/>
            <w:vAlign w:val="center"/>
          </w:tcPr>
          <w:p w14:paraId="7B546DBB" w14:textId="77777777" w:rsidR="005E000F" w:rsidRDefault="00000000">
            <w:pPr>
              <w:jc w:val="right"/>
              <w:rPr>
                <w:sz w:val="15"/>
                <w:szCs w:val="15"/>
              </w:rPr>
            </w:pPr>
            <w:r>
              <w:rPr>
                <w:sz w:val="15"/>
                <w:szCs w:val="15"/>
              </w:rPr>
              <w:t>-1,919,915,977</w:t>
            </w:r>
          </w:p>
        </w:tc>
        <w:tc>
          <w:tcPr>
            <w:tcW w:w="1033" w:type="dxa"/>
            <w:vAlign w:val="center"/>
          </w:tcPr>
          <w:p w14:paraId="7102A700" w14:textId="77777777" w:rsidR="005E000F" w:rsidRDefault="00000000">
            <w:pPr>
              <w:jc w:val="right"/>
              <w:rPr>
                <w:sz w:val="15"/>
                <w:szCs w:val="15"/>
              </w:rPr>
            </w:pPr>
            <w:r>
              <w:rPr>
                <w:sz w:val="15"/>
                <w:szCs w:val="15"/>
              </w:rPr>
              <w:t>121,293,713</w:t>
            </w:r>
          </w:p>
        </w:tc>
        <w:tc>
          <w:tcPr>
            <w:tcW w:w="1167" w:type="dxa"/>
            <w:vAlign w:val="center"/>
          </w:tcPr>
          <w:p w14:paraId="0DCDA5D0" w14:textId="77777777" w:rsidR="005E000F" w:rsidRDefault="00000000">
            <w:pPr>
              <w:jc w:val="right"/>
              <w:rPr>
                <w:sz w:val="15"/>
                <w:szCs w:val="15"/>
              </w:rPr>
            </w:pPr>
            <w:r>
              <w:rPr>
                <w:sz w:val="15"/>
                <w:szCs w:val="15"/>
              </w:rPr>
              <w:t>20,761,405,987</w:t>
            </w:r>
          </w:p>
        </w:tc>
        <w:tc>
          <w:tcPr>
            <w:tcW w:w="1166" w:type="dxa"/>
            <w:vAlign w:val="center"/>
          </w:tcPr>
          <w:p w14:paraId="255EC4F3" w14:textId="77777777" w:rsidR="005E000F" w:rsidRDefault="00000000">
            <w:pPr>
              <w:jc w:val="right"/>
              <w:rPr>
                <w:sz w:val="15"/>
                <w:szCs w:val="15"/>
              </w:rPr>
            </w:pPr>
            <w:r>
              <w:rPr>
                <w:sz w:val="15"/>
                <w:szCs w:val="15"/>
              </w:rPr>
              <w:t>70,386,746,221</w:t>
            </w:r>
          </w:p>
        </w:tc>
        <w:tc>
          <w:tcPr>
            <w:tcW w:w="1324" w:type="dxa"/>
            <w:vAlign w:val="center"/>
          </w:tcPr>
          <w:p w14:paraId="3FB67472" w14:textId="77777777" w:rsidR="005E000F" w:rsidRDefault="00000000">
            <w:pPr>
              <w:jc w:val="right"/>
              <w:rPr>
                <w:sz w:val="15"/>
                <w:szCs w:val="15"/>
              </w:rPr>
            </w:pPr>
            <w:r>
              <w:rPr>
                <w:sz w:val="15"/>
                <w:szCs w:val="15"/>
              </w:rPr>
              <w:t>156,114,521,557</w:t>
            </w:r>
          </w:p>
        </w:tc>
      </w:tr>
      <w:tr w:rsidR="005E000F" w14:paraId="2384C9B9" w14:textId="77777777">
        <w:trPr>
          <w:trHeight w:val="20"/>
        </w:trPr>
        <w:sdt>
          <w:sdtPr>
            <w:rPr>
              <w:sz w:val="15"/>
              <w:szCs w:val="15"/>
            </w:rPr>
            <w:tag w:val="_PLD_f977aa291b254801929edbd8e09eff6f"/>
            <w:id w:val="111566562"/>
          </w:sdtPr>
          <w:sdtContent>
            <w:tc>
              <w:tcPr>
                <w:tcW w:w="1925" w:type="dxa"/>
                <w:vAlign w:val="center"/>
              </w:tcPr>
              <w:p w14:paraId="2BAEBDCA" w14:textId="77777777" w:rsidR="005E000F" w:rsidRDefault="00000000">
                <w:pPr>
                  <w:rPr>
                    <w:sz w:val="15"/>
                    <w:szCs w:val="15"/>
                  </w:rPr>
                </w:pPr>
                <w:r>
                  <w:rPr>
                    <w:sz w:val="15"/>
                    <w:szCs w:val="15"/>
                  </w:rPr>
                  <w:t>加：会计政策变更</w:t>
                </w:r>
              </w:p>
            </w:tc>
          </w:sdtContent>
        </w:sdt>
        <w:tc>
          <w:tcPr>
            <w:tcW w:w="1411" w:type="dxa"/>
            <w:tcBorders>
              <w:right w:val="single" w:sz="4" w:space="0" w:color="auto"/>
            </w:tcBorders>
            <w:vAlign w:val="center"/>
          </w:tcPr>
          <w:p w14:paraId="69B3AA40"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2C97381C"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4050625D" w14:textId="77777777" w:rsidR="005E000F" w:rsidRDefault="00000000">
            <w:pPr>
              <w:jc w:val="right"/>
              <w:rPr>
                <w:sz w:val="15"/>
                <w:szCs w:val="15"/>
              </w:rPr>
            </w:pPr>
            <w:r>
              <w:rPr>
                <w:rFonts w:hint="eastAsia"/>
                <w:sz w:val="15"/>
                <w:szCs w:val="15"/>
              </w:rPr>
              <w:t>0</w:t>
            </w:r>
          </w:p>
        </w:tc>
        <w:tc>
          <w:tcPr>
            <w:tcW w:w="1067" w:type="dxa"/>
            <w:tcBorders>
              <w:left w:val="single" w:sz="4" w:space="0" w:color="auto"/>
              <w:right w:val="single" w:sz="4" w:space="0" w:color="auto"/>
            </w:tcBorders>
            <w:vAlign w:val="center"/>
          </w:tcPr>
          <w:p w14:paraId="66DA5B9B" w14:textId="77777777" w:rsidR="005E000F" w:rsidRDefault="00000000">
            <w:pPr>
              <w:jc w:val="right"/>
              <w:rPr>
                <w:sz w:val="15"/>
                <w:szCs w:val="15"/>
              </w:rPr>
            </w:pPr>
            <w:r>
              <w:rPr>
                <w:rFonts w:hint="eastAsia"/>
                <w:sz w:val="15"/>
                <w:szCs w:val="15"/>
              </w:rPr>
              <w:t>0</w:t>
            </w:r>
          </w:p>
        </w:tc>
        <w:tc>
          <w:tcPr>
            <w:tcW w:w="1166" w:type="dxa"/>
            <w:tcBorders>
              <w:left w:val="single" w:sz="4" w:space="0" w:color="auto"/>
            </w:tcBorders>
            <w:vAlign w:val="center"/>
          </w:tcPr>
          <w:p w14:paraId="61F930A2" w14:textId="77777777" w:rsidR="005E000F" w:rsidRDefault="00000000">
            <w:pPr>
              <w:jc w:val="right"/>
              <w:rPr>
                <w:sz w:val="15"/>
                <w:szCs w:val="15"/>
              </w:rPr>
            </w:pPr>
            <w:r>
              <w:rPr>
                <w:rFonts w:hint="eastAsia"/>
                <w:sz w:val="15"/>
                <w:szCs w:val="15"/>
              </w:rPr>
              <w:t>0</w:t>
            </w:r>
          </w:p>
        </w:tc>
        <w:tc>
          <w:tcPr>
            <w:tcW w:w="1000" w:type="dxa"/>
            <w:vAlign w:val="center"/>
          </w:tcPr>
          <w:p w14:paraId="2FCBA333" w14:textId="77777777" w:rsidR="005E000F" w:rsidRDefault="00000000">
            <w:pPr>
              <w:jc w:val="right"/>
              <w:rPr>
                <w:sz w:val="15"/>
                <w:szCs w:val="15"/>
              </w:rPr>
            </w:pPr>
            <w:r>
              <w:rPr>
                <w:rFonts w:hint="eastAsia"/>
                <w:sz w:val="15"/>
                <w:szCs w:val="15"/>
              </w:rPr>
              <w:t>0</w:t>
            </w:r>
          </w:p>
        </w:tc>
        <w:tc>
          <w:tcPr>
            <w:tcW w:w="1134" w:type="dxa"/>
            <w:vAlign w:val="center"/>
          </w:tcPr>
          <w:p w14:paraId="3240A808" w14:textId="77777777" w:rsidR="005E000F" w:rsidRDefault="00000000">
            <w:pPr>
              <w:jc w:val="right"/>
              <w:rPr>
                <w:sz w:val="15"/>
                <w:szCs w:val="15"/>
              </w:rPr>
            </w:pPr>
            <w:r>
              <w:rPr>
                <w:rFonts w:hint="eastAsia"/>
                <w:sz w:val="15"/>
                <w:szCs w:val="15"/>
              </w:rPr>
              <w:t>0</w:t>
            </w:r>
          </w:p>
        </w:tc>
        <w:tc>
          <w:tcPr>
            <w:tcW w:w="1033" w:type="dxa"/>
            <w:vAlign w:val="center"/>
          </w:tcPr>
          <w:p w14:paraId="757AFFD6" w14:textId="77777777" w:rsidR="005E000F" w:rsidRDefault="00000000">
            <w:pPr>
              <w:jc w:val="right"/>
              <w:rPr>
                <w:sz w:val="15"/>
                <w:szCs w:val="15"/>
              </w:rPr>
            </w:pPr>
            <w:r>
              <w:rPr>
                <w:rFonts w:hint="eastAsia"/>
                <w:sz w:val="15"/>
                <w:szCs w:val="15"/>
              </w:rPr>
              <w:t>0</w:t>
            </w:r>
          </w:p>
        </w:tc>
        <w:tc>
          <w:tcPr>
            <w:tcW w:w="1167" w:type="dxa"/>
            <w:vAlign w:val="center"/>
          </w:tcPr>
          <w:p w14:paraId="0AB5B925" w14:textId="77777777" w:rsidR="005E000F" w:rsidRDefault="00000000">
            <w:pPr>
              <w:jc w:val="right"/>
              <w:rPr>
                <w:sz w:val="15"/>
                <w:szCs w:val="15"/>
              </w:rPr>
            </w:pPr>
            <w:r>
              <w:rPr>
                <w:rFonts w:hint="eastAsia"/>
                <w:sz w:val="15"/>
                <w:szCs w:val="15"/>
              </w:rPr>
              <w:t>0</w:t>
            </w:r>
          </w:p>
        </w:tc>
        <w:tc>
          <w:tcPr>
            <w:tcW w:w="1166" w:type="dxa"/>
            <w:vAlign w:val="center"/>
          </w:tcPr>
          <w:p w14:paraId="788C726A" w14:textId="77777777" w:rsidR="005E000F" w:rsidRDefault="00000000">
            <w:pPr>
              <w:jc w:val="right"/>
              <w:rPr>
                <w:sz w:val="15"/>
                <w:szCs w:val="15"/>
              </w:rPr>
            </w:pPr>
            <w:r>
              <w:rPr>
                <w:rFonts w:hint="eastAsia"/>
                <w:sz w:val="15"/>
                <w:szCs w:val="15"/>
              </w:rPr>
              <w:t>0</w:t>
            </w:r>
          </w:p>
        </w:tc>
        <w:tc>
          <w:tcPr>
            <w:tcW w:w="1324" w:type="dxa"/>
            <w:vAlign w:val="center"/>
          </w:tcPr>
          <w:p w14:paraId="3F0E52A1" w14:textId="77777777" w:rsidR="005E000F" w:rsidRDefault="00000000">
            <w:pPr>
              <w:jc w:val="right"/>
              <w:rPr>
                <w:sz w:val="15"/>
                <w:szCs w:val="15"/>
              </w:rPr>
            </w:pPr>
            <w:r>
              <w:rPr>
                <w:rFonts w:hint="eastAsia"/>
                <w:sz w:val="15"/>
                <w:szCs w:val="15"/>
              </w:rPr>
              <w:t>0</w:t>
            </w:r>
          </w:p>
        </w:tc>
      </w:tr>
      <w:tr w:rsidR="005E000F" w14:paraId="21C0C3B4" w14:textId="77777777">
        <w:trPr>
          <w:trHeight w:val="20"/>
        </w:trPr>
        <w:sdt>
          <w:sdtPr>
            <w:rPr>
              <w:sz w:val="15"/>
              <w:szCs w:val="15"/>
            </w:rPr>
            <w:tag w:val="_PLD_1dcd3d26f66745c0b48a5fac832ef867"/>
            <w:id w:val="1341968657"/>
          </w:sdtPr>
          <w:sdtContent>
            <w:tc>
              <w:tcPr>
                <w:tcW w:w="1925" w:type="dxa"/>
                <w:vAlign w:val="center"/>
              </w:tcPr>
              <w:p w14:paraId="383B92E0" w14:textId="77777777" w:rsidR="005E000F" w:rsidRDefault="00000000">
                <w:pPr>
                  <w:ind w:firstLineChars="200" w:firstLine="300"/>
                  <w:rPr>
                    <w:sz w:val="15"/>
                    <w:szCs w:val="15"/>
                  </w:rPr>
                </w:pPr>
                <w:r>
                  <w:rPr>
                    <w:sz w:val="15"/>
                    <w:szCs w:val="15"/>
                  </w:rPr>
                  <w:t>前期差错更正</w:t>
                </w:r>
              </w:p>
            </w:tc>
          </w:sdtContent>
        </w:sdt>
        <w:tc>
          <w:tcPr>
            <w:tcW w:w="1411" w:type="dxa"/>
            <w:tcBorders>
              <w:right w:val="single" w:sz="4" w:space="0" w:color="auto"/>
            </w:tcBorders>
            <w:vAlign w:val="center"/>
          </w:tcPr>
          <w:p w14:paraId="607E7EF4"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6FD93FD6"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7C72F5D7" w14:textId="77777777" w:rsidR="005E000F" w:rsidRDefault="00000000">
            <w:pPr>
              <w:jc w:val="right"/>
              <w:rPr>
                <w:sz w:val="15"/>
                <w:szCs w:val="15"/>
              </w:rPr>
            </w:pPr>
            <w:r>
              <w:rPr>
                <w:rFonts w:hint="eastAsia"/>
                <w:sz w:val="15"/>
                <w:szCs w:val="15"/>
              </w:rPr>
              <w:t>0</w:t>
            </w:r>
          </w:p>
        </w:tc>
        <w:tc>
          <w:tcPr>
            <w:tcW w:w="1067" w:type="dxa"/>
            <w:tcBorders>
              <w:left w:val="single" w:sz="4" w:space="0" w:color="auto"/>
              <w:right w:val="single" w:sz="4" w:space="0" w:color="auto"/>
            </w:tcBorders>
            <w:vAlign w:val="center"/>
          </w:tcPr>
          <w:p w14:paraId="614E381B" w14:textId="77777777" w:rsidR="005E000F" w:rsidRDefault="00000000">
            <w:pPr>
              <w:jc w:val="right"/>
              <w:rPr>
                <w:sz w:val="15"/>
                <w:szCs w:val="15"/>
              </w:rPr>
            </w:pPr>
            <w:r>
              <w:rPr>
                <w:rFonts w:hint="eastAsia"/>
                <w:sz w:val="15"/>
                <w:szCs w:val="15"/>
              </w:rPr>
              <w:t>0</w:t>
            </w:r>
          </w:p>
        </w:tc>
        <w:tc>
          <w:tcPr>
            <w:tcW w:w="1166" w:type="dxa"/>
            <w:tcBorders>
              <w:left w:val="single" w:sz="4" w:space="0" w:color="auto"/>
            </w:tcBorders>
            <w:vAlign w:val="center"/>
          </w:tcPr>
          <w:p w14:paraId="10CB5F85" w14:textId="77777777" w:rsidR="005E000F" w:rsidRDefault="00000000">
            <w:pPr>
              <w:jc w:val="right"/>
              <w:rPr>
                <w:sz w:val="15"/>
                <w:szCs w:val="15"/>
              </w:rPr>
            </w:pPr>
            <w:r>
              <w:rPr>
                <w:rFonts w:hint="eastAsia"/>
                <w:sz w:val="15"/>
                <w:szCs w:val="15"/>
              </w:rPr>
              <w:t>0</w:t>
            </w:r>
          </w:p>
        </w:tc>
        <w:tc>
          <w:tcPr>
            <w:tcW w:w="1000" w:type="dxa"/>
            <w:vAlign w:val="center"/>
          </w:tcPr>
          <w:p w14:paraId="651C2085" w14:textId="77777777" w:rsidR="005E000F" w:rsidRDefault="00000000">
            <w:pPr>
              <w:jc w:val="right"/>
              <w:rPr>
                <w:sz w:val="15"/>
                <w:szCs w:val="15"/>
              </w:rPr>
            </w:pPr>
            <w:r>
              <w:rPr>
                <w:rFonts w:hint="eastAsia"/>
                <w:sz w:val="15"/>
                <w:szCs w:val="15"/>
              </w:rPr>
              <w:t>0</w:t>
            </w:r>
          </w:p>
        </w:tc>
        <w:tc>
          <w:tcPr>
            <w:tcW w:w="1134" w:type="dxa"/>
            <w:vAlign w:val="center"/>
          </w:tcPr>
          <w:p w14:paraId="031878CB" w14:textId="77777777" w:rsidR="005E000F" w:rsidRDefault="00000000">
            <w:pPr>
              <w:jc w:val="right"/>
              <w:rPr>
                <w:sz w:val="15"/>
                <w:szCs w:val="15"/>
              </w:rPr>
            </w:pPr>
            <w:r>
              <w:rPr>
                <w:rFonts w:hint="eastAsia"/>
                <w:sz w:val="15"/>
                <w:szCs w:val="15"/>
              </w:rPr>
              <w:t>0</w:t>
            </w:r>
          </w:p>
        </w:tc>
        <w:tc>
          <w:tcPr>
            <w:tcW w:w="1033" w:type="dxa"/>
            <w:vAlign w:val="center"/>
          </w:tcPr>
          <w:p w14:paraId="5CDEBB7E" w14:textId="77777777" w:rsidR="005E000F" w:rsidRDefault="00000000">
            <w:pPr>
              <w:jc w:val="right"/>
              <w:rPr>
                <w:sz w:val="15"/>
                <w:szCs w:val="15"/>
              </w:rPr>
            </w:pPr>
            <w:r>
              <w:rPr>
                <w:rFonts w:hint="eastAsia"/>
                <w:sz w:val="15"/>
                <w:szCs w:val="15"/>
              </w:rPr>
              <w:t>0</w:t>
            </w:r>
          </w:p>
        </w:tc>
        <w:tc>
          <w:tcPr>
            <w:tcW w:w="1167" w:type="dxa"/>
            <w:vAlign w:val="center"/>
          </w:tcPr>
          <w:p w14:paraId="67CBB002" w14:textId="77777777" w:rsidR="005E000F" w:rsidRDefault="00000000">
            <w:pPr>
              <w:jc w:val="right"/>
              <w:rPr>
                <w:sz w:val="15"/>
                <w:szCs w:val="15"/>
              </w:rPr>
            </w:pPr>
            <w:r>
              <w:rPr>
                <w:rFonts w:hint="eastAsia"/>
                <w:sz w:val="15"/>
                <w:szCs w:val="15"/>
              </w:rPr>
              <w:t>0</w:t>
            </w:r>
          </w:p>
        </w:tc>
        <w:tc>
          <w:tcPr>
            <w:tcW w:w="1166" w:type="dxa"/>
            <w:vAlign w:val="center"/>
          </w:tcPr>
          <w:p w14:paraId="0C2C2867" w14:textId="77777777" w:rsidR="005E000F" w:rsidRDefault="00000000">
            <w:pPr>
              <w:jc w:val="right"/>
              <w:rPr>
                <w:sz w:val="15"/>
                <w:szCs w:val="15"/>
              </w:rPr>
            </w:pPr>
            <w:r>
              <w:rPr>
                <w:rFonts w:hint="eastAsia"/>
                <w:sz w:val="15"/>
                <w:szCs w:val="15"/>
              </w:rPr>
              <w:t>0</w:t>
            </w:r>
          </w:p>
        </w:tc>
        <w:tc>
          <w:tcPr>
            <w:tcW w:w="1324" w:type="dxa"/>
            <w:vAlign w:val="center"/>
          </w:tcPr>
          <w:p w14:paraId="1516AB92" w14:textId="77777777" w:rsidR="005E000F" w:rsidRDefault="00000000">
            <w:pPr>
              <w:jc w:val="right"/>
              <w:rPr>
                <w:sz w:val="15"/>
                <w:szCs w:val="15"/>
              </w:rPr>
            </w:pPr>
            <w:r>
              <w:rPr>
                <w:rFonts w:hint="eastAsia"/>
                <w:sz w:val="15"/>
                <w:szCs w:val="15"/>
              </w:rPr>
              <w:t>0</w:t>
            </w:r>
          </w:p>
        </w:tc>
      </w:tr>
      <w:tr w:rsidR="005E000F" w14:paraId="4B8760AE" w14:textId="77777777">
        <w:trPr>
          <w:trHeight w:val="20"/>
        </w:trPr>
        <w:sdt>
          <w:sdtPr>
            <w:rPr>
              <w:sz w:val="15"/>
              <w:szCs w:val="15"/>
            </w:rPr>
            <w:tag w:val="_PLD_1e1d4d884e6e401b8c40d08e9d6c5d32"/>
            <w:id w:val="-474598661"/>
          </w:sdtPr>
          <w:sdtContent>
            <w:tc>
              <w:tcPr>
                <w:tcW w:w="1925" w:type="dxa"/>
                <w:vAlign w:val="center"/>
              </w:tcPr>
              <w:p w14:paraId="7B2084B0" w14:textId="77777777" w:rsidR="005E000F" w:rsidRDefault="00000000">
                <w:pPr>
                  <w:ind w:firstLineChars="200" w:firstLine="300"/>
                  <w:rPr>
                    <w:sz w:val="15"/>
                    <w:szCs w:val="15"/>
                  </w:rPr>
                </w:pPr>
                <w:r>
                  <w:rPr>
                    <w:rFonts w:hint="eastAsia"/>
                    <w:sz w:val="15"/>
                    <w:szCs w:val="15"/>
                  </w:rPr>
                  <w:t>其他</w:t>
                </w:r>
              </w:p>
            </w:tc>
          </w:sdtContent>
        </w:sdt>
        <w:tc>
          <w:tcPr>
            <w:tcW w:w="1411" w:type="dxa"/>
            <w:tcBorders>
              <w:right w:val="single" w:sz="4" w:space="0" w:color="auto"/>
            </w:tcBorders>
            <w:vAlign w:val="center"/>
          </w:tcPr>
          <w:p w14:paraId="298F4BE6"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795F890C"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61199109" w14:textId="77777777" w:rsidR="005E000F" w:rsidRDefault="00000000">
            <w:pPr>
              <w:jc w:val="right"/>
              <w:rPr>
                <w:sz w:val="15"/>
                <w:szCs w:val="15"/>
              </w:rPr>
            </w:pPr>
            <w:r>
              <w:rPr>
                <w:rFonts w:hint="eastAsia"/>
                <w:sz w:val="15"/>
                <w:szCs w:val="15"/>
              </w:rPr>
              <w:t>0</w:t>
            </w:r>
          </w:p>
        </w:tc>
        <w:tc>
          <w:tcPr>
            <w:tcW w:w="1067" w:type="dxa"/>
            <w:tcBorders>
              <w:left w:val="single" w:sz="4" w:space="0" w:color="auto"/>
              <w:right w:val="single" w:sz="4" w:space="0" w:color="auto"/>
            </w:tcBorders>
            <w:vAlign w:val="center"/>
          </w:tcPr>
          <w:p w14:paraId="2CDDF3E4" w14:textId="77777777" w:rsidR="005E000F" w:rsidRDefault="00000000">
            <w:pPr>
              <w:jc w:val="right"/>
              <w:rPr>
                <w:sz w:val="15"/>
                <w:szCs w:val="15"/>
              </w:rPr>
            </w:pPr>
            <w:r>
              <w:rPr>
                <w:rFonts w:hint="eastAsia"/>
                <w:sz w:val="15"/>
                <w:szCs w:val="15"/>
              </w:rPr>
              <w:t>0</w:t>
            </w:r>
          </w:p>
        </w:tc>
        <w:tc>
          <w:tcPr>
            <w:tcW w:w="1166" w:type="dxa"/>
            <w:tcBorders>
              <w:left w:val="single" w:sz="4" w:space="0" w:color="auto"/>
            </w:tcBorders>
            <w:vAlign w:val="center"/>
          </w:tcPr>
          <w:p w14:paraId="59E241B3" w14:textId="77777777" w:rsidR="005E000F" w:rsidRDefault="00000000">
            <w:pPr>
              <w:jc w:val="right"/>
              <w:rPr>
                <w:sz w:val="15"/>
                <w:szCs w:val="15"/>
              </w:rPr>
            </w:pPr>
            <w:r>
              <w:rPr>
                <w:rFonts w:hint="eastAsia"/>
                <w:sz w:val="15"/>
                <w:szCs w:val="15"/>
              </w:rPr>
              <w:t>0</w:t>
            </w:r>
          </w:p>
        </w:tc>
        <w:tc>
          <w:tcPr>
            <w:tcW w:w="1000" w:type="dxa"/>
            <w:vAlign w:val="center"/>
          </w:tcPr>
          <w:p w14:paraId="57FF61FE" w14:textId="77777777" w:rsidR="005E000F" w:rsidRDefault="00000000">
            <w:pPr>
              <w:jc w:val="right"/>
              <w:rPr>
                <w:sz w:val="15"/>
                <w:szCs w:val="15"/>
              </w:rPr>
            </w:pPr>
            <w:r>
              <w:rPr>
                <w:rFonts w:hint="eastAsia"/>
                <w:sz w:val="15"/>
                <w:szCs w:val="15"/>
              </w:rPr>
              <w:t>0</w:t>
            </w:r>
          </w:p>
        </w:tc>
        <w:tc>
          <w:tcPr>
            <w:tcW w:w="1134" w:type="dxa"/>
            <w:vAlign w:val="center"/>
          </w:tcPr>
          <w:p w14:paraId="7B5F31AD" w14:textId="77777777" w:rsidR="005E000F" w:rsidRDefault="00000000">
            <w:pPr>
              <w:jc w:val="right"/>
              <w:rPr>
                <w:sz w:val="15"/>
                <w:szCs w:val="15"/>
              </w:rPr>
            </w:pPr>
            <w:r>
              <w:rPr>
                <w:rFonts w:hint="eastAsia"/>
                <w:sz w:val="15"/>
                <w:szCs w:val="15"/>
              </w:rPr>
              <w:t>0</w:t>
            </w:r>
          </w:p>
        </w:tc>
        <w:tc>
          <w:tcPr>
            <w:tcW w:w="1033" w:type="dxa"/>
            <w:vAlign w:val="center"/>
          </w:tcPr>
          <w:p w14:paraId="0E01A2FA" w14:textId="77777777" w:rsidR="005E000F" w:rsidRDefault="00000000">
            <w:pPr>
              <w:jc w:val="right"/>
              <w:rPr>
                <w:sz w:val="15"/>
                <w:szCs w:val="15"/>
              </w:rPr>
            </w:pPr>
            <w:r>
              <w:rPr>
                <w:rFonts w:hint="eastAsia"/>
                <w:sz w:val="15"/>
                <w:szCs w:val="15"/>
              </w:rPr>
              <w:t>0</w:t>
            </w:r>
          </w:p>
        </w:tc>
        <w:tc>
          <w:tcPr>
            <w:tcW w:w="1167" w:type="dxa"/>
            <w:vAlign w:val="center"/>
          </w:tcPr>
          <w:p w14:paraId="6FD5FE4D" w14:textId="77777777" w:rsidR="005E000F" w:rsidRDefault="00000000">
            <w:pPr>
              <w:jc w:val="right"/>
              <w:rPr>
                <w:sz w:val="15"/>
                <w:szCs w:val="15"/>
              </w:rPr>
            </w:pPr>
            <w:r>
              <w:rPr>
                <w:rFonts w:hint="eastAsia"/>
                <w:sz w:val="15"/>
                <w:szCs w:val="15"/>
              </w:rPr>
              <w:t>0</w:t>
            </w:r>
          </w:p>
        </w:tc>
        <w:tc>
          <w:tcPr>
            <w:tcW w:w="1166" w:type="dxa"/>
            <w:vAlign w:val="center"/>
          </w:tcPr>
          <w:p w14:paraId="7F89B3A0" w14:textId="77777777" w:rsidR="005E000F" w:rsidRDefault="00000000">
            <w:pPr>
              <w:jc w:val="right"/>
              <w:rPr>
                <w:sz w:val="15"/>
                <w:szCs w:val="15"/>
              </w:rPr>
            </w:pPr>
            <w:r>
              <w:rPr>
                <w:rFonts w:hint="eastAsia"/>
                <w:sz w:val="15"/>
                <w:szCs w:val="15"/>
              </w:rPr>
              <w:t>0</w:t>
            </w:r>
          </w:p>
        </w:tc>
        <w:tc>
          <w:tcPr>
            <w:tcW w:w="1324" w:type="dxa"/>
            <w:vAlign w:val="center"/>
          </w:tcPr>
          <w:p w14:paraId="60BCF171" w14:textId="77777777" w:rsidR="005E000F" w:rsidRDefault="00000000">
            <w:pPr>
              <w:jc w:val="right"/>
              <w:rPr>
                <w:sz w:val="15"/>
                <w:szCs w:val="15"/>
              </w:rPr>
            </w:pPr>
            <w:r>
              <w:rPr>
                <w:rFonts w:hint="eastAsia"/>
                <w:sz w:val="15"/>
                <w:szCs w:val="15"/>
              </w:rPr>
              <w:t>0</w:t>
            </w:r>
          </w:p>
        </w:tc>
      </w:tr>
      <w:tr w:rsidR="005E000F" w14:paraId="0097CAD9" w14:textId="77777777">
        <w:trPr>
          <w:trHeight w:val="20"/>
        </w:trPr>
        <w:sdt>
          <w:sdtPr>
            <w:rPr>
              <w:sz w:val="15"/>
              <w:szCs w:val="15"/>
            </w:rPr>
            <w:tag w:val="_PLD_abc6effbbaad4f92a93b112da199425f"/>
            <w:id w:val="483431134"/>
          </w:sdtPr>
          <w:sdtContent>
            <w:tc>
              <w:tcPr>
                <w:tcW w:w="1925" w:type="dxa"/>
                <w:vAlign w:val="center"/>
              </w:tcPr>
              <w:p w14:paraId="2394CAE1" w14:textId="77777777" w:rsidR="005E000F" w:rsidRDefault="00000000">
                <w:pPr>
                  <w:rPr>
                    <w:sz w:val="15"/>
                    <w:szCs w:val="15"/>
                  </w:rPr>
                </w:pPr>
                <w:r>
                  <w:rPr>
                    <w:sz w:val="15"/>
                    <w:szCs w:val="15"/>
                  </w:rPr>
                  <w:t>二、本年</w:t>
                </w:r>
                <w:r>
                  <w:rPr>
                    <w:rFonts w:hint="eastAsia"/>
                    <w:sz w:val="15"/>
                    <w:szCs w:val="15"/>
                  </w:rPr>
                  <w:t>期</w:t>
                </w:r>
                <w:r>
                  <w:rPr>
                    <w:sz w:val="15"/>
                    <w:szCs w:val="15"/>
                  </w:rPr>
                  <w:t>初余额</w:t>
                </w:r>
              </w:p>
            </w:tc>
          </w:sdtContent>
        </w:sdt>
        <w:tc>
          <w:tcPr>
            <w:tcW w:w="1411" w:type="dxa"/>
            <w:tcBorders>
              <w:right w:val="single" w:sz="4" w:space="0" w:color="auto"/>
            </w:tcBorders>
            <w:vAlign w:val="center"/>
          </w:tcPr>
          <w:p w14:paraId="1E37E126" w14:textId="77777777" w:rsidR="005E000F" w:rsidRDefault="00000000">
            <w:pPr>
              <w:jc w:val="right"/>
              <w:rPr>
                <w:sz w:val="15"/>
                <w:szCs w:val="15"/>
              </w:rPr>
            </w:pPr>
            <w:r>
              <w:rPr>
                <w:sz w:val="15"/>
                <w:szCs w:val="15"/>
              </w:rPr>
              <w:t>18,807,273,822</w:t>
            </w:r>
          </w:p>
        </w:tc>
        <w:tc>
          <w:tcPr>
            <w:tcW w:w="767" w:type="dxa"/>
            <w:tcBorders>
              <w:left w:val="single" w:sz="4" w:space="0" w:color="auto"/>
              <w:right w:val="single" w:sz="4" w:space="0" w:color="auto"/>
            </w:tcBorders>
            <w:vAlign w:val="center"/>
          </w:tcPr>
          <w:p w14:paraId="60C52640"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06594EFA" w14:textId="77777777" w:rsidR="005E000F" w:rsidRDefault="00000000">
            <w:pPr>
              <w:jc w:val="right"/>
              <w:rPr>
                <w:sz w:val="15"/>
                <w:szCs w:val="15"/>
              </w:rPr>
            </w:pPr>
            <w:r>
              <w:rPr>
                <w:rFonts w:hint="eastAsia"/>
                <w:sz w:val="15"/>
                <w:szCs w:val="15"/>
              </w:rPr>
              <w:t>0</w:t>
            </w:r>
          </w:p>
        </w:tc>
        <w:tc>
          <w:tcPr>
            <w:tcW w:w="1067" w:type="dxa"/>
            <w:tcBorders>
              <w:left w:val="single" w:sz="4" w:space="0" w:color="auto"/>
              <w:right w:val="single" w:sz="4" w:space="0" w:color="auto"/>
            </w:tcBorders>
            <w:vAlign w:val="center"/>
          </w:tcPr>
          <w:p w14:paraId="2B378B9D" w14:textId="77777777" w:rsidR="005E000F" w:rsidRDefault="00000000">
            <w:pPr>
              <w:jc w:val="right"/>
              <w:rPr>
                <w:sz w:val="15"/>
                <w:szCs w:val="15"/>
              </w:rPr>
            </w:pPr>
            <w:r>
              <w:rPr>
                <w:sz w:val="15"/>
                <w:szCs w:val="15"/>
              </w:rPr>
              <w:t>804,984,728</w:t>
            </w:r>
          </w:p>
        </w:tc>
        <w:tc>
          <w:tcPr>
            <w:tcW w:w="1166" w:type="dxa"/>
            <w:tcBorders>
              <w:left w:val="single" w:sz="4" w:space="0" w:color="auto"/>
            </w:tcBorders>
            <w:vAlign w:val="center"/>
          </w:tcPr>
          <w:p w14:paraId="0CF3C1C2" w14:textId="77777777" w:rsidR="005E000F" w:rsidRDefault="00000000">
            <w:pPr>
              <w:jc w:val="right"/>
              <w:rPr>
                <w:sz w:val="15"/>
                <w:szCs w:val="15"/>
              </w:rPr>
            </w:pPr>
            <w:r>
              <w:rPr>
                <w:sz w:val="15"/>
                <w:szCs w:val="15"/>
              </w:rPr>
              <w:t>47,152,733,063</w:t>
            </w:r>
          </w:p>
        </w:tc>
        <w:tc>
          <w:tcPr>
            <w:tcW w:w="1000" w:type="dxa"/>
            <w:vAlign w:val="center"/>
          </w:tcPr>
          <w:p w14:paraId="7E5CDA08" w14:textId="77777777" w:rsidR="005E000F" w:rsidRDefault="005E000F">
            <w:pPr>
              <w:jc w:val="right"/>
              <w:rPr>
                <w:sz w:val="15"/>
                <w:szCs w:val="15"/>
              </w:rPr>
            </w:pPr>
          </w:p>
        </w:tc>
        <w:tc>
          <w:tcPr>
            <w:tcW w:w="1134" w:type="dxa"/>
            <w:vAlign w:val="center"/>
          </w:tcPr>
          <w:p w14:paraId="4B256BB4" w14:textId="77777777" w:rsidR="005E000F" w:rsidRDefault="00000000">
            <w:pPr>
              <w:jc w:val="right"/>
              <w:rPr>
                <w:sz w:val="15"/>
                <w:szCs w:val="15"/>
              </w:rPr>
            </w:pPr>
            <w:r>
              <w:rPr>
                <w:sz w:val="15"/>
                <w:szCs w:val="15"/>
              </w:rPr>
              <w:t>-1,919,915,977</w:t>
            </w:r>
          </w:p>
        </w:tc>
        <w:tc>
          <w:tcPr>
            <w:tcW w:w="1033" w:type="dxa"/>
            <w:vAlign w:val="center"/>
          </w:tcPr>
          <w:p w14:paraId="75A1A989" w14:textId="77777777" w:rsidR="005E000F" w:rsidRDefault="00000000">
            <w:pPr>
              <w:jc w:val="right"/>
              <w:rPr>
                <w:sz w:val="15"/>
                <w:szCs w:val="15"/>
              </w:rPr>
            </w:pPr>
            <w:r>
              <w:rPr>
                <w:sz w:val="15"/>
                <w:szCs w:val="15"/>
              </w:rPr>
              <w:t>121,293,713</w:t>
            </w:r>
          </w:p>
        </w:tc>
        <w:tc>
          <w:tcPr>
            <w:tcW w:w="1167" w:type="dxa"/>
            <w:vAlign w:val="center"/>
          </w:tcPr>
          <w:p w14:paraId="55F1E21B" w14:textId="77777777" w:rsidR="005E000F" w:rsidRDefault="00000000">
            <w:pPr>
              <w:jc w:val="right"/>
              <w:rPr>
                <w:sz w:val="15"/>
                <w:szCs w:val="15"/>
              </w:rPr>
            </w:pPr>
            <w:r>
              <w:rPr>
                <w:sz w:val="15"/>
                <w:szCs w:val="15"/>
              </w:rPr>
              <w:t>20,761,405,987</w:t>
            </w:r>
          </w:p>
        </w:tc>
        <w:tc>
          <w:tcPr>
            <w:tcW w:w="1166" w:type="dxa"/>
            <w:vAlign w:val="center"/>
          </w:tcPr>
          <w:p w14:paraId="3B7C1108" w14:textId="77777777" w:rsidR="005E000F" w:rsidRDefault="00000000">
            <w:pPr>
              <w:jc w:val="right"/>
              <w:rPr>
                <w:sz w:val="15"/>
                <w:szCs w:val="15"/>
              </w:rPr>
            </w:pPr>
            <w:r>
              <w:rPr>
                <w:sz w:val="15"/>
                <w:szCs w:val="15"/>
              </w:rPr>
              <w:t>70,386,746,221</w:t>
            </w:r>
          </w:p>
        </w:tc>
        <w:tc>
          <w:tcPr>
            <w:tcW w:w="1324" w:type="dxa"/>
            <w:vAlign w:val="center"/>
          </w:tcPr>
          <w:p w14:paraId="21A636FA" w14:textId="77777777" w:rsidR="005E000F" w:rsidRDefault="00000000">
            <w:pPr>
              <w:jc w:val="right"/>
              <w:rPr>
                <w:sz w:val="15"/>
                <w:szCs w:val="15"/>
              </w:rPr>
            </w:pPr>
            <w:r>
              <w:rPr>
                <w:sz w:val="15"/>
                <w:szCs w:val="15"/>
              </w:rPr>
              <w:t>156,114,521,557</w:t>
            </w:r>
          </w:p>
        </w:tc>
      </w:tr>
      <w:tr w:rsidR="005E000F" w14:paraId="56FA97D8" w14:textId="77777777">
        <w:trPr>
          <w:trHeight w:val="20"/>
        </w:trPr>
        <w:sdt>
          <w:sdtPr>
            <w:rPr>
              <w:sz w:val="15"/>
              <w:szCs w:val="15"/>
            </w:rPr>
            <w:tag w:val="_PLD_22eea8f5bd284adbb011ea489737927b"/>
            <w:id w:val="-1113136757"/>
          </w:sdtPr>
          <w:sdtContent>
            <w:tc>
              <w:tcPr>
                <w:tcW w:w="1925" w:type="dxa"/>
                <w:vAlign w:val="center"/>
              </w:tcPr>
              <w:p w14:paraId="5A4D98E2" w14:textId="77777777" w:rsidR="005E000F" w:rsidRDefault="00000000">
                <w:pPr>
                  <w:rPr>
                    <w:sz w:val="15"/>
                    <w:szCs w:val="15"/>
                  </w:rPr>
                </w:pPr>
                <w:r>
                  <w:rPr>
                    <w:sz w:val="15"/>
                    <w:szCs w:val="15"/>
                  </w:rPr>
                  <w:t>三、本</w:t>
                </w:r>
                <w:r>
                  <w:rPr>
                    <w:rFonts w:hint="eastAsia"/>
                    <w:sz w:val="15"/>
                    <w:szCs w:val="15"/>
                  </w:rPr>
                  <w:t>期</w:t>
                </w:r>
                <w:r>
                  <w:rPr>
                    <w:sz w:val="15"/>
                    <w:szCs w:val="15"/>
                  </w:rPr>
                  <w:t>增减变动金额（减少以</w:t>
                </w:r>
                <w:r>
                  <w:rPr>
                    <w:sz w:val="15"/>
                    <w:szCs w:val="15"/>
                  </w:rPr>
                  <w:t>“</w:t>
                </w:r>
                <w:r>
                  <w:rPr>
                    <w:sz w:val="15"/>
                    <w:szCs w:val="15"/>
                  </w:rPr>
                  <w:t>－</w:t>
                </w:r>
                <w:r>
                  <w:rPr>
                    <w:sz w:val="15"/>
                    <w:szCs w:val="15"/>
                  </w:rPr>
                  <w:t>”</w:t>
                </w:r>
                <w:r>
                  <w:rPr>
                    <w:sz w:val="15"/>
                    <w:szCs w:val="15"/>
                  </w:rPr>
                  <w:t>号填列）</w:t>
                </w:r>
              </w:p>
            </w:tc>
          </w:sdtContent>
        </w:sdt>
        <w:tc>
          <w:tcPr>
            <w:tcW w:w="1411" w:type="dxa"/>
            <w:tcBorders>
              <w:right w:val="single" w:sz="4" w:space="0" w:color="auto"/>
            </w:tcBorders>
            <w:vAlign w:val="center"/>
          </w:tcPr>
          <w:p w14:paraId="6DEEFCD4" w14:textId="77777777" w:rsidR="005E000F" w:rsidRDefault="00000000">
            <w:pPr>
              <w:jc w:val="right"/>
              <w:rPr>
                <w:sz w:val="15"/>
                <w:szCs w:val="15"/>
              </w:rPr>
            </w:pPr>
            <w:r>
              <w:rPr>
                <w:sz w:val="15"/>
                <w:szCs w:val="15"/>
              </w:rPr>
              <w:t>1,339,903,894</w:t>
            </w:r>
          </w:p>
        </w:tc>
        <w:tc>
          <w:tcPr>
            <w:tcW w:w="767" w:type="dxa"/>
            <w:tcBorders>
              <w:left w:val="single" w:sz="4" w:space="0" w:color="auto"/>
              <w:right w:val="single" w:sz="4" w:space="0" w:color="auto"/>
            </w:tcBorders>
            <w:vAlign w:val="center"/>
          </w:tcPr>
          <w:p w14:paraId="04663772"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6069CF94"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564D3F53" w14:textId="77777777" w:rsidR="005E000F" w:rsidRDefault="00000000">
            <w:pPr>
              <w:jc w:val="right"/>
              <w:rPr>
                <w:sz w:val="15"/>
                <w:szCs w:val="15"/>
              </w:rPr>
            </w:pPr>
            <w:r>
              <w:rPr>
                <w:sz w:val="15"/>
                <w:szCs w:val="15"/>
              </w:rPr>
              <w:t>-804,984,728</w:t>
            </w:r>
          </w:p>
        </w:tc>
        <w:tc>
          <w:tcPr>
            <w:tcW w:w="1166" w:type="dxa"/>
            <w:vAlign w:val="center"/>
          </w:tcPr>
          <w:p w14:paraId="6C8335D5" w14:textId="77777777" w:rsidR="005E000F" w:rsidRDefault="00000000">
            <w:pPr>
              <w:jc w:val="right"/>
              <w:rPr>
                <w:sz w:val="15"/>
                <w:szCs w:val="15"/>
              </w:rPr>
            </w:pPr>
            <w:r>
              <w:rPr>
                <w:sz w:val="15"/>
                <w:szCs w:val="15"/>
              </w:rPr>
              <w:t>7,528,473,370</w:t>
            </w:r>
          </w:p>
        </w:tc>
        <w:tc>
          <w:tcPr>
            <w:tcW w:w="1000" w:type="dxa"/>
            <w:vAlign w:val="center"/>
          </w:tcPr>
          <w:p w14:paraId="00B50EB0" w14:textId="77777777" w:rsidR="005E000F" w:rsidRDefault="00000000">
            <w:pPr>
              <w:jc w:val="right"/>
              <w:rPr>
                <w:sz w:val="15"/>
                <w:szCs w:val="15"/>
              </w:rPr>
            </w:pPr>
            <w:r>
              <w:rPr>
                <w:sz w:val="15"/>
                <w:szCs w:val="15"/>
              </w:rPr>
              <w:t>247,783,807</w:t>
            </w:r>
          </w:p>
        </w:tc>
        <w:tc>
          <w:tcPr>
            <w:tcW w:w="1134" w:type="dxa"/>
            <w:vAlign w:val="center"/>
          </w:tcPr>
          <w:p w14:paraId="3D013567" w14:textId="77777777" w:rsidR="005E000F" w:rsidRDefault="00000000">
            <w:pPr>
              <w:jc w:val="right"/>
              <w:rPr>
                <w:sz w:val="15"/>
                <w:szCs w:val="15"/>
              </w:rPr>
            </w:pPr>
            <w:r>
              <w:rPr>
                <w:sz w:val="15"/>
                <w:szCs w:val="15"/>
              </w:rPr>
              <w:t>-51,886,840</w:t>
            </w:r>
          </w:p>
        </w:tc>
        <w:tc>
          <w:tcPr>
            <w:tcW w:w="1033" w:type="dxa"/>
            <w:vAlign w:val="center"/>
          </w:tcPr>
          <w:p w14:paraId="726A847C" w14:textId="77777777" w:rsidR="005E000F" w:rsidRDefault="00000000">
            <w:pPr>
              <w:jc w:val="right"/>
              <w:rPr>
                <w:sz w:val="15"/>
                <w:szCs w:val="15"/>
              </w:rPr>
            </w:pPr>
            <w:r>
              <w:rPr>
                <w:sz w:val="15"/>
                <w:szCs w:val="15"/>
              </w:rPr>
              <w:t>-51,585,513</w:t>
            </w:r>
          </w:p>
        </w:tc>
        <w:tc>
          <w:tcPr>
            <w:tcW w:w="1167" w:type="dxa"/>
            <w:vAlign w:val="center"/>
          </w:tcPr>
          <w:p w14:paraId="7B698D11" w14:textId="77777777" w:rsidR="005E000F" w:rsidRDefault="00000000">
            <w:pPr>
              <w:jc w:val="right"/>
              <w:rPr>
                <w:sz w:val="15"/>
                <w:szCs w:val="15"/>
              </w:rPr>
            </w:pPr>
            <w:r>
              <w:rPr>
                <w:sz w:val="15"/>
                <w:szCs w:val="15"/>
              </w:rPr>
              <w:t>614,017,876</w:t>
            </w:r>
          </w:p>
        </w:tc>
        <w:tc>
          <w:tcPr>
            <w:tcW w:w="1166" w:type="dxa"/>
            <w:vAlign w:val="center"/>
          </w:tcPr>
          <w:p w14:paraId="1B55C77B" w14:textId="77777777" w:rsidR="005E000F" w:rsidRDefault="00000000">
            <w:pPr>
              <w:jc w:val="right"/>
              <w:rPr>
                <w:sz w:val="15"/>
                <w:szCs w:val="15"/>
              </w:rPr>
            </w:pPr>
            <w:r>
              <w:rPr>
                <w:sz w:val="15"/>
                <w:szCs w:val="15"/>
              </w:rPr>
              <w:t>1,322,680,066</w:t>
            </w:r>
          </w:p>
        </w:tc>
        <w:tc>
          <w:tcPr>
            <w:tcW w:w="1324" w:type="dxa"/>
            <w:vAlign w:val="center"/>
          </w:tcPr>
          <w:p w14:paraId="44D2685D" w14:textId="77777777" w:rsidR="005E000F" w:rsidRDefault="00000000">
            <w:pPr>
              <w:jc w:val="right"/>
              <w:rPr>
                <w:sz w:val="15"/>
                <w:szCs w:val="15"/>
              </w:rPr>
            </w:pPr>
            <w:r>
              <w:rPr>
                <w:sz w:val="15"/>
                <w:szCs w:val="15"/>
              </w:rPr>
              <w:t>9,648,834,318</w:t>
            </w:r>
          </w:p>
        </w:tc>
      </w:tr>
      <w:tr w:rsidR="005E000F" w14:paraId="43607A6E" w14:textId="77777777">
        <w:trPr>
          <w:trHeight w:val="20"/>
        </w:trPr>
        <w:sdt>
          <w:sdtPr>
            <w:rPr>
              <w:sz w:val="15"/>
              <w:szCs w:val="15"/>
            </w:rPr>
            <w:tag w:val="_PLD_16bc7260292e4c19ad140bdfdf1ee46c"/>
            <w:id w:val="-82613371"/>
          </w:sdtPr>
          <w:sdtContent>
            <w:tc>
              <w:tcPr>
                <w:tcW w:w="1925" w:type="dxa"/>
                <w:vAlign w:val="center"/>
              </w:tcPr>
              <w:p w14:paraId="66A00E10" w14:textId="77777777" w:rsidR="005E000F" w:rsidRDefault="00000000">
                <w:pPr>
                  <w:rPr>
                    <w:sz w:val="15"/>
                    <w:szCs w:val="15"/>
                  </w:rPr>
                </w:pPr>
                <w:r>
                  <w:rPr>
                    <w:rFonts w:hint="eastAsia"/>
                    <w:sz w:val="15"/>
                    <w:szCs w:val="15"/>
                  </w:rPr>
                  <w:t>（一）综合收益总额</w:t>
                </w:r>
              </w:p>
            </w:tc>
          </w:sdtContent>
        </w:sdt>
        <w:tc>
          <w:tcPr>
            <w:tcW w:w="1411" w:type="dxa"/>
            <w:tcBorders>
              <w:right w:val="single" w:sz="4" w:space="0" w:color="auto"/>
            </w:tcBorders>
            <w:vAlign w:val="center"/>
          </w:tcPr>
          <w:p w14:paraId="2548586D"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6375148E"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1DA265F4"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7A2DF75C" w14:textId="77777777" w:rsidR="005E000F" w:rsidRDefault="00000000">
            <w:pPr>
              <w:jc w:val="right"/>
              <w:rPr>
                <w:sz w:val="15"/>
                <w:szCs w:val="15"/>
              </w:rPr>
            </w:pPr>
            <w:r>
              <w:rPr>
                <w:rFonts w:hint="eastAsia"/>
                <w:sz w:val="15"/>
                <w:szCs w:val="15"/>
              </w:rPr>
              <w:t>0</w:t>
            </w:r>
          </w:p>
        </w:tc>
        <w:tc>
          <w:tcPr>
            <w:tcW w:w="1166" w:type="dxa"/>
            <w:vAlign w:val="center"/>
          </w:tcPr>
          <w:p w14:paraId="50778DB1" w14:textId="77777777" w:rsidR="005E000F" w:rsidRDefault="00000000">
            <w:pPr>
              <w:jc w:val="right"/>
              <w:rPr>
                <w:sz w:val="15"/>
                <w:szCs w:val="15"/>
              </w:rPr>
            </w:pPr>
            <w:r>
              <w:rPr>
                <w:rFonts w:hint="eastAsia"/>
                <w:sz w:val="15"/>
                <w:szCs w:val="15"/>
              </w:rPr>
              <w:t>0</w:t>
            </w:r>
          </w:p>
        </w:tc>
        <w:tc>
          <w:tcPr>
            <w:tcW w:w="1000" w:type="dxa"/>
            <w:vAlign w:val="center"/>
          </w:tcPr>
          <w:p w14:paraId="15839027" w14:textId="77777777" w:rsidR="005E000F" w:rsidRDefault="00000000">
            <w:pPr>
              <w:jc w:val="right"/>
              <w:rPr>
                <w:sz w:val="15"/>
                <w:szCs w:val="15"/>
              </w:rPr>
            </w:pPr>
            <w:r>
              <w:rPr>
                <w:rFonts w:hint="eastAsia"/>
                <w:sz w:val="15"/>
                <w:szCs w:val="15"/>
              </w:rPr>
              <w:t>0</w:t>
            </w:r>
          </w:p>
        </w:tc>
        <w:tc>
          <w:tcPr>
            <w:tcW w:w="1134" w:type="dxa"/>
            <w:vAlign w:val="center"/>
          </w:tcPr>
          <w:p w14:paraId="733DDB44" w14:textId="77777777" w:rsidR="005E000F" w:rsidRDefault="00000000">
            <w:pPr>
              <w:jc w:val="right"/>
              <w:rPr>
                <w:sz w:val="15"/>
                <w:szCs w:val="15"/>
              </w:rPr>
            </w:pPr>
            <w:r>
              <w:rPr>
                <w:sz w:val="15"/>
                <w:szCs w:val="15"/>
              </w:rPr>
              <w:t>-51,886,840</w:t>
            </w:r>
          </w:p>
        </w:tc>
        <w:tc>
          <w:tcPr>
            <w:tcW w:w="1033" w:type="dxa"/>
            <w:vAlign w:val="center"/>
          </w:tcPr>
          <w:p w14:paraId="2711BB43" w14:textId="77777777" w:rsidR="005E000F" w:rsidRDefault="00000000">
            <w:pPr>
              <w:jc w:val="right"/>
              <w:rPr>
                <w:sz w:val="15"/>
                <w:szCs w:val="15"/>
              </w:rPr>
            </w:pPr>
            <w:r>
              <w:rPr>
                <w:rFonts w:hint="eastAsia"/>
                <w:sz w:val="15"/>
                <w:szCs w:val="15"/>
              </w:rPr>
              <w:t>0</w:t>
            </w:r>
          </w:p>
        </w:tc>
        <w:tc>
          <w:tcPr>
            <w:tcW w:w="1167" w:type="dxa"/>
            <w:vAlign w:val="center"/>
          </w:tcPr>
          <w:p w14:paraId="6E49C10B" w14:textId="77777777" w:rsidR="005E000F" w:rsidRDefault="00000000">
            <w:pPr>
              <w:jc w:val="right"/>
              <w:rPr>
                <w:sz w:val="15"/>
                <w:szCs w:val="15"/>
              </w:rPr>
            </w:pPr>
            <w:r>
              <w:rPr>
                <w:rFonts w:hint="eastAsia"/>
                <w:sz w:val="15"/>
                <w:szCs w:val="15"/>
              </w:rPr>
              <w:t>0</w:t>
            </w:r>
          </w:p>
        </w:tc>
        <w:tc>
          <w:tcPr>
            <w:tcW w:w="1166" w:type="dxa"/>
            <w:vAlign w:val="center"/>
          </w:tcPr>
          <w:p w14:paraId="1E7FBCAF" w14:textId="77777777" w:rsidR="005E000F" w:rsidRDefault="00000000">
            <w:pPr>
              <w:jc w:val="right"/>
              <w:rPr>
                <w:sz w:val="15"/>
                <w:szCs w:val="15"/>
              </w:rPr>
            </w:pPr>
            <w:r>
              <w:rPr>
                <w:sz w:val="15"/>
                <w:szCs w:val="15"/>
              </w:rPr>
              <w:t>6,140,178,760</w:t>
            </w:r>
          </w:p>
        </w:tc>
        <w:tc>
          <w:tcPr>
            <w:tcW w:w="1324" w:type="dxa"/>
            <w:vAlign w:val="center"/>
          </w:tcPr>
          <w:p w14:paraId="25763874" w14:textId="77777777" w:rsidR="005E000F" w:rsidRDefault="00000000">
            <w:pPr>
              <w:jc w:val="right"/>
              <w:rPr>
                <w:sz w:val="15"/>
                <w:szCs w:val="15"/>
              </w:rPr>
            </w:pPr>
            <w:r>
              <w:rPr>
                <w:sz w:val="15"/>
                <w:szCs w:val="15"/>
              </w:rPr>
              <w:t>6,088,291,920</w:t>
            </w:r>
          </w:p>
        </w:tc>
      </w:tr>
      <w:tr w:rsidR="005E000F" w14:paraId="4F9873FA" w14:textId="77777777">
        <w:trPr>
          <w:trHeight w:val="20"/>
        </w:trPr>
        <w:sdt>
          <w:sdtPr>
            <w:rPr>
              <w:sz w:val="15"/>
              <w:szCs w:val="15"/>
            </w:rPr>
            <w:tag w:val="_PLD_878006a38fe64d8788706ec54fa4a47b"/>
            <w:id w:val="708833271"/>
          </w:sdtPr>
          <w:sdtContent>
            <w:tc>
              <w:tcPr>
                <w:tcW w:w="1925" w:type="dxa"/>
                <w:vAlign w:val="center"/>
              </w:tcPr>
              <w:p w14:paraId="6745A1F4" w14:textId="77777777" w:rsidR="005E000F" w:rsidRDefault="00000000">
                <w:pPr>
                  <w:rPr>
                    <w:sz w:val="15"/>
                    <w:szCs w:val="15"/>
                  </w:rPr>
                </w:pPr>
                <w:r>
                  <w:rPr>
                    <w:sz w:val="15"/>
                    <w:szCs w:val="15"/>
                  </w:rPr>
                  <w:t>（</w:t>
                </w:r>
                <w:r>
                  <w:rPr>
                    <w:rFonts w:hint="eastAsia"/>
                    <w:sz w:val="15"/>
                    <w:szCs w:val="15"/>
                  </w:rPr>
                  <w:t>二</w:t>
                </w:r>
                <w:r>
                  <w:rPr>
                    <w:sz w:val="15"/>
                    <w:szCs w:val="15"/>
                  </w:rPr>
                  <w:t>）所有者投入和减少资本</w:t>
                </w:r>
              </w:p>
            </w:tc>
          </w:sdtContent>
        </w:sdt>
        <w:tc>
          <w:tcPr>
            <w:tcW w:w="1411" w:type="dxa"/>
            <w:tcBorders>
              <w:right w:val="single" w:sz="4" w:space="0" w:color="auto"/>
            </w:tcBorders>
            <w:vAlign w:val="center"/>
          </w:tcPr>
          <w:p w14:paraId="7562FF3B" w14:textId="77777777" w:rsidR="005E000F" w:rsidRDefault="00000000">
            <w:pPr>
              <w:jc w:val="right"/>
              <w:rPr>
                <w:sz w:val="15"/>
                <w:szCs w:val="15"/>
              </w:rPr>
            </w:pPr>
            <w:r>
              <w:rPr>
                <w:sz w:val="15"/>
                <w:szCs w:val="15"/>
              </w:rPr>
              <w:t>1,339,903,894</w:t>
            </w:r>
          </w:p>
        </w:tc>
        <w:tc>
          <w:tcPr>
            <w:tcW w:w="767" w:type="dxa"/>
            <w:tcBorders>
              <w:left w:val="single" w:sz="4" w:space="0" w:color="auto"/>
              <w:right w:val="single" w:sz="4" w:space="0" w:color="auto"/>
            </w:tcBorders>
            <w:vAlign w:val="center"/>
          </w:tcPr>
          <w:p w14:paraId="71E6625B"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2E583ADD"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09D7093B" w14:textId="77777777" w:rsidR="005E000F" w:rsidRDefault="00000000">
            <w:pPr>
              <w:jc w:val="right"/>
              <w:rPr>
                <w:sz w:val="15"/>
                <w:szCs w:val="15"/>
              </w:rPr>
            </w:pPr>
            <w:r>
              <w:rPr>
                <w:sz w:val="15"/>
                <w:szCs w:val="15"/>
              </w:rPr>
              <w:t>-804,984,728</w:t>
            </w:r>
          </w:p>
        </w:tc>
        <w:tc>
          <w:tcPr>
            <w:tcW w:w="1166" w:type="dxa"/>
            <w:vAlign w:val="center"/>
          </w:tcPr>
          <w:p w14:paraId="1989C0DA" w14:textId="77777777" w:rsidR="005E000F" w:rsidRDefault="00000000">
            <w:pPr>
              <w:jc w:val="right"/>
              <w:rPr>
                <w:sz w:val="15"/>
                <w:szCs w:val="15"/>
              </w:rPr>
            </w:pPr>
            <w:r>
              <w:rPr>
                <w:sz w:val="15"/>
                <w:szCs w:val="15"/>
              </w:rPr>
              <w:t>7,528,473,370</w:t>
            </w:r>
          </w:p>
        </w:tc>
        <w:tc>
          <w:tcPr>
            <w:tcW w:w="1000" w:type="dxa"/>
            <w:vAlign w:val="center"/>
          </w:tcPr>
          <w:p w14:paraId="54B8294F" w14:textId="77777777" w:rsidR="005E000F" w:rsidRDefault="00000000">
            <w:pPr>
              <w:jc w:val="right"/>
              <w:rPr>
                <w:sz w:val="15"/>
                <w:szCs w:val="15"/>
              </w:rPr>
            </w:pPr>
            <w:r>
              <w:rPr>
                <w:sz w:val="15"/>
                <w:szCs w:val="15"/>
              </w:rPr>
              <w:t>247,783,807</w:t>
            </w:r>
          </w:p>
        </w:tc>
        <w:tc>
          <w:tcPr>
            <w:tcW w:w="1134" w:type="dxa"/>
            <w:vAlign w:val="center"/>
          </w:tcPr>
          <w:p w14:paraId="3815ABCB" w14:textId="77777777" w:rsidR="005E000F" w:rsidRDefault="00000000">
            <w:pPr>
              <w:jc w:val="right"/>
              <w:rPr>
                <w:sz w:val="15"/>
                <w:szCs w:val="15"/>
              </w:rPr>
            </w:pPr>
            <w:r>
              <w:rPr>
                <w:rFonts w:hint="eastAsia"/>
                <w:sz w:val="15"/>
                <w:szCs w:val="15"/>
              </w:rPr>
              <w:t>0</w:t>
            </w:r>
          </w:p>
        </w:tc>
        <w:tc>
          <w:tcPr>
            <w:tcW w:w="1033" w:type="dxa"/>
            <w:vAlign w:val="center"/>
          </w:tcPr>
          <w:p w14:paraId="326C5A65" w14:textId="77777777" w:rsidR="005E000F" w:rsidRDefault="00000000">
            <w:pPr>
              <w:jc w:val="right"/>
              <w:rPr>
                <w:sz w:val="15"/>
                <w:szCs w:val="15"/>
              </w:rPr>
            </w:pPr>
            <w:r>
              <w:rPr>
                <w:rFonts w:hint="eastAsia"/>
                <w:sz w:val="15"/>
                <w:szCs w:val="15"/>
              </w:rPr>
              <w:t>0</w:t>
            </w:r>
          </w:p>
        </w:tc>
        <w:tc>
          <w:tcPr>
            <w:tcW w:w="1167" w:type="dxa"/>
            <w:vAlign w:val="center"/>
          </w:tcPr>
          <w:p w14:paraId="01D4B1C2" w14:textId="77777777" w:rsidR="005E000F" w:rsidRDefault="00000000">
            <w:pPr>
              <w:jc w:val="right"/>
              <w:rPr>
                <w:sz w:val="15"/>
                <w:szCs w:val="15"/>
              </w:rPr>
            </w:pPr>
            <w:r>
              <w:rPr>
                <w:rFonts w:hint="eastAsia"/>
                <w:sz w:val="15"/>
                <w:szCs w:val="15"/>
              </w:rPr>
              <w:t>0</w:t>
            </w:r>
          </w:p>
        </w:tc>
        <w:tc>
          <w:tcPr>
            <w:tcW w:w="1166" w:type="dxa"/>
            <w:vAlign w:val="center"/>
          </w:tcPr>
          <w:p w14:paraId="57B40384" w14:textId="77777777" w:rsidR="005E000F" w:rsidRDefault="00000000">
            <w:pPr>
              <w:jc w:val="right"/>
              <w:rPr>
                <w:sz w:val="15"/>
                <w:szCs w:val="15"/>
              </w:rPr>
            </w:pPr>
            <w:r>
              <w:rPr>
                <w:rFonts w:hint="eastAsia"/>
                <w:sz w:val="15"/>
                <w:szCs w:val="15"/>
              </w:rPr>
              <w:t>0</w:t>
            </w:r>
          </w:p>
        </w:tc>
        <w:tc>
          <w:tcPr>
            <w:tcW w:w="1324" w:type="dxa"/>
            <w:vAlign w:val="center"/>
          </w:tcPr>
          <w:p w14:paraId="2FF7C6F5" w14:textId="77777777" w:rsidR="005E000F" w:rsidRDefault="00000000">
            <w:pPr>
              <w:jc w:val="right"/>
              <w:rPr>
                <w:sz w:val="15"/>
                <w:szCs w:val="15"/>
              </w:rPr>
            </w:pPr>
            <w:r>
              <w:rPr>
                <w:sz w:val="15"/>
                <w:szCs w:val="15"/>
              </w:rPr>
              <w:t>7,815,608,729</w:t>
            </w:r>
          </w:p>
        </w:tc>
      </w:tr>
      <w:tr w:rsidR="005E000F" w14:paraId="1FD1B847" w14:textId="77777777">
        <w:trPr>
          <w:trHeight w:val="20"/>
        </w:trPr>
        <w:sdt>
          <w:sdtPr>
            <w:rPr>
              <w:sz w:val="15"/>
              <w:szCs w:val="15"/>
            </w:rPr>
            <w:tag w:val="_PLD_87b7ce2356df4876b71161948845f6e6"/>
            <w:id w:val="1192420028"/>
          </w:sdtPr>
          <w:sdtContent>
            <w:tc>
              <w:tcPr>
                <w:tcW w:w="1925" w:type="dxa"/>
                <w:vAlign w:val="center"/>
              </w:tcPr>
              <w:p w14:paraId="26A628E5" w14:textId="77777777" w:rsidR="005E000F" w:rsidRDefault="00000000">
                <w:pPr>
                  <w:rPr>
                    <w:sz w:val="15"/>
                    <w:szCs w:val="15"/>
                  </w:rPr>
                </w:pPr>
                <w:r>
                  <w:rPr>
                    <w:rFonts w:hint="eastAsia"/>
                    <w:sz w:val="15"/>
                    <w:szCs w:val="15"/>
                  </w:rPr>
                  <w:t>1</w:t>
                </w:r>
                <w:r>
                  <w:rPr>
                    <w:rFonts w:hint="eastAsia"/>
                    <w:sz w:val="15"/>
                    <w:szCs w:val="15"/>
                  </w:rPr>
                  <w:t>．所有者投入的普通股</w:t>
                </w:r>
              </w:p>
            </w:tc>
          </w:sdtContent>
        </w:sdt>
        <w:tc>
          <w:tcPr>
            <w:tcW w:w="1411" w:type="dxa"/>
            <w:tcBorders>
              <w:right w:val="single" w:sz="4" w:space="0" w:color="auto"/>
            </w:tcBorders>
            <w:vAlign w:val="center"/>
          </w:tcPr>
          <w:p w14:paraId="4F7BA252"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550F086B"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3CC2C88A"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17941D8B" w14:textId="77777777" w:rsidR="005E000F" w:rsidRDefault="00000000">
            <w:pPr>
              <w:jc w:val="right"/>
              <w:rPr>
                <w:sz w:val="15"/>
                <w:szCs w:val="15"/>
              </w:rPr>
            </w:pPr>
            <w:r>
              <w:rPr>
                <w:rFonts w:hint="eastAsia"/>
                <w:sz w:val="15"/>
                <w:szCs w:val="15"/>
              </w:rPr>
              <w:t>0</w:t>
            </w:r>
          </w:p>
        </w:tc>
        <w:tc>
          <w:tcPr>
            <w:tcW w:w="1166" w:type="dxa"/>
            <w:vAlign w:val="center"/>
          </w:tcPr>
          <w:p w14:paraId="283E14F2" w14:textId="77777777" w:rsidR="005E000F" w:rsidRDefault="00000000">
            <w:pPr>
              <w:jc w:val="right"/>
              <w:rPr>
                <w:sz w:val="15"/>
                <w:szCs w:val="15"/>
              </w:rPr>
            </w:pPr>
            <w:r>
              <w:rPr>
                <w:rFonts w:hint="eastAsia"/>
                <w:sz w:val="15"/>
                <w:szCs w:val="15"/>
              </w:rPr>
              <w:t>0</w:t>
            </w:r>
          </w:p>
        </w:tc>
        <w:tc>
          <w:tcPr>
            <w:tcW w:w="1000" w:type="dxa"/>
            <w:vAlign w:val="center"/>
          </w:tcPr>
          <w:p w14:paraId="70B64B46" w14:textId="77777777" w:rsidR="005E000F" w:rsidRDefault="00000000">
            <w:pPr>
              <w:jc w:val="right"/>
              <w:rPr>
                <w:sz w:val="15"/>
                <w:szCs w:val="15"/>
              </w:rPr>
            </w:pPr>
            <w:r>
              <w:rPr>
                <w:rFonts w:hint="eastAsia"/>
                <w:sz w:val="15"/>
                <w:szCs w:val="15"/>
              </w:rPr>
              <w:t>0</w:t>
            </w:r>
          </w:p>
        </w:tc>
        <w:tc>
          <w:tcPr>
            <w:tcW w:w="1134" w:type="dxa"/>
            <w:vAlign w:val="center"/>
          </w:tcPr>
          <w:p w14:paraId="1C72A196" w14:textId="77777777" w:rsidR="005E000F" w:rsidRDefault="00000000">
            <w:pPr>
              <w:jc w:val="right"/>
              <w:rPr>
                <w:sz w:val="15"/>
                <w:szCs w:val="15"/>
              </w:rPr>
            </w:pPr>
            <w:r>
              <w:rPr>
                <w:rFonts w:hint="eastAsia"/>
                <w:sz w:val="15"/>
                <w:szCs w:val="15"/>
              </w:rPr>
              <w:t>0</w:t>
            </w:r>
          </w:p>
        </w:tc>
        <w:tc>
          <w:tcPr>
            <w:tcW w:w="1033" w:type="dxa"/>
            <w:vAlign w:val="center"/>
          </w:tcPr>
          <w:p w14:paraId="74ADB35B" w14:textId="77777777" w:rsidR="005E000F" w:rsidRDefault="00000000">
            <w:pPr>
              <w:jc w:val="right"/>
              <w:rPr>
                <w:sz w:val="15"/>
                <w:szCs w:val="15"/>
              </w:rPr>
            </w:pPr>
            <w:r>
              <w:rPr>
                <w:rFonts w:hint="eastAsia"/>
                <w:sz w:val="15"/>
                <w:szCs w:val="15"/>
              </w:rPr>
              <w:t>0</w:t>
            </w:r>
          </w:p>
        </w:tc>
        <w:tc>
          <w:tcPr>
            <w:tcW w:w="1167" w:type="dxa"/>
            <w:vAlign w:val="center"/>
          </w:tcPr>
          <w:p w14:paraId="46C6AF48" w14:textId="77777777" w:rsidR="005E000F" w:rsidRDefault="00000000">
            <w:pPr>
              <w:jc w:val="right"/>
              <w:rPr>
                <w:sz w:val="15"/>
                <w:szCs w:val="15"/>
              </w:rPr>
            </w:pPr>
            <w:r>
              <w:rPr>
                <w:rFonts w:hint="eastAsia"/>
                <w:sz w:val="15"/>
                <w:szCs w:val="15"/>
              </w:rPr>
              <w:t>0</w:t>
            </w:r>
          </w:p>
        </w:tc>
        <w:tc>
          <w:tcPr>
            <w:tcW w:w="1166" w:type="dxa"/>
            <w:vAlign w:val="center"/>
          </w:tcPr>
          <w:p w14:paraId="4F3F357F" w14:textId="77777777" w:rsidR="005E000F" w:rsidRDefault="00000000">
            <w:pPr>
              <w:jc w:val="right"/>
              <w:rPr>
                <w:sz w:val="15"/>
                <w:szCs w:val="15"/>
              </w:rPr>
            </w:pPr>
            <w:r>
              <w:rPr>
                <w:rFonts w:hint="eastAsia"/>
                <w:sz w:val="15"/>
                <w:szCs w:val="15"/>
              </w:rPr>
              <w:t>0</w:t>
            </w:r>
          </w:p>
        </w:tc>
        <w:tc>
          <w:tcPr>
            <w:tcW w:w="1324" w:type="dxa"/>
            <w:vAlign w:val="center"/>
          </w:tcPr>
          <w:p w14:paraId="46F428E5" w14:textId="77777777" w:rsidR="005E000F" w:rsidRDefault="00000000">
            <w:pPr>
              <w:jc w:val="right"/>
              <w:rPr>
                <w:sz w:val="15"/>
                <w:szCs w:val="15"/>
              </w:rPr>
            </w:pPr>
            <w:r>
              <w:rPr>
                <w:rFonts w:hint="eastAsia"/>
                <w:sz w:val="15"/>
                <w:szCs w:val="15"/>
              </w:rPr>
              <w:t>0</w:t>
            </w:r>
          </w:p>
        </w:tc>
      </w:tr>
      <w:tr w:rsidR="005E000F" w14:paraId="14641117" w14:textId="77777777">
        <w:trPr>
          <w:trHeight w:val="20"/>
        </w:trPr>
        <w:sdt>
          <w:sdtPr>
            <w:rPr>
              <w:sz w:val="15"/>
              <w:szCs w:val="15"/>
            </w:rPr>
            <w:tag w:val="_PLD_364b722055ed48639a8a73b5223e270d"/>
            <w:id w:val="-1085999955"/>
          </w:sdtPr>
          <w:sdtContent>
            <w:tc>
              <w:tcPr>
                <w:tcW w:w="1925" w:type="dxa"/>
                <w:vAlign w:val="center"/>
              </w:tcPr>
              <w:p w14:paraId="4B974286" w14:textId="77777777" w:rsidR="005E000F" w:rsidRDefault="00000000">
                <w:pPr>
                  <w:rPr>
                    <w:sz w:val="15"/>
                    <w:szCs w:val="15"/>
                  </w:rPr>
                </w:pPr>
                <w:r>
                  <w:rPr>
                    <w:rFonts w:hint="eastAsia"/>
                    <w:sz w:val="15"/>
                    <w:szCs w:val="15"/>
                  </w:rPr>
                  <w:t>2</w:t>
                </w:r>
                <w:r>
                  <w:rPr>
                    <w:rFonts w:hint="eastAsia"/>
                    <w:sz w:val="15"/>
                    <w:szCs w:val="15"/>
                  </w:rPr>
                  <w:t>．其他权益工具持有者投入资本</w:t>
                </w:r>
              </w:p>
            </w:tc>
          </w:sdtContent>
        </w:sdt>
        <w:tc>
          <w:tcPr>
            <w:tcW w:w="1411" w:type="dxa"/>
            <w:tcBorders>
              <w:right w:val="single" w:sz="4" w:space="0" w:color="auto"/>
            </w:tcBorders>
            <w:vAlign w:val="center"/>
          </w:tcPr>
          <w:p w14:paraId="04DFFA81" w14:textId="77777777" w:rsidR="005E000F" w:rsidRDefault="00000000">
            <w:pPr>
              <w:jc w:val="right"/>
              <w:rPr>
                <w:sz w:val="15"/>
                <w:szCs w:val="15"/>
              </w:rPr>
            </w:pPr>
            <w:r>
              <w:rPr>
                <w:sz w:val="15"/>
                <w:szCs w:val="15"/>
              </w:rPr>
              <w:t>1,339,903,894</w:t>
            </w:r>
          </w:p>
        </w:tc>
        <w:tc>
          <w:tcPr>
            <w:tcW w:w="767" w:type="dxa"/>
            <w:tcBorders>
              <w:left w:val="single" w:sz="4" w:space="0" w:color="auto"/>
              <w:right w:val="single" w:sz="4" w:space="0" w:color="auto"/>
            </w:tcBorders>
            <w:vAlign w:val="center"/>
          </w:tcPr>
          <w:p w14:paraId="1F99E8F4"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6E8A940E"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555EDEDC" w14:textId="77777777" w:rsidR="005E000F" w:rsidRDefault="00000000">
            <w:pPr>
              <w:jc w:val="right"/>
              <w:rPr>
                <w:sz w:val="15"/>
                <w:szCs w:val="15"/>
              </w:rPr>
            </w:pPr>
            <w:r>
              <w:rPr>
                <w:sz w:val="15"/>
                <w:szCs w:val="15"/>
              </w:rPr>
              <w:t>-804,984,728</w:t>
            </w:r>
          </w:p>
        </w:tc>
        <w:tc>
          <w:tcPr>
            <w:tcW w:w="1166" w:type="dxa"/>
            <w:vAlign w:val="center"/>
          </w:tcPr>
          <w:p w14:paraId="33988ED7" w14:textId="77777777" w:rsidR="005E000F" w:rsidRDefault="00000000">
            <w:pPr>
              <w:jc w:val="right"/>
              <w:rPr>
                <w:sz w:val="15"/>
                <w:szCs w:val="15"/>
              </w:rPr>
            </w:pPr>
            <w:r>
              <w:rPr>
                <w:sz w:val="15"/>
                <w:szCs w:val="15"/>
              </w:rPr>
              <w:t>7,079,753,155</w:t>
            </w:r>
          </w:p>
        </w:tc>
        <w:tc>
          <w:tcPr>
            <w:tcW w:w="1000" w:type="dxa"/>
            <w:vAlign w:val="center"/>
          </w:tcPr>
          <w:p w14:paraId="7EAC9DAD" w14:textId="77777777" w:rsidR="005E000F" w:rsidRDefault="00000000">
            <w:pPr>
              <w:jc w:val="right"/>
              <w:rPr>
                <w:sz w:val="15"/>
                <w:szCs w:val="15"/>
              </w:rPr>
            </w:pPr>
            <w:r>
              <w:rPr>
                <w:rFonts w:hint="eastAsia"/>
                <w:sz w:val="15"/>
                <w:szCs w:val="15"/>
              </w:rPr>
              <w:t>0</w:t>
            </w:r>
          </w:p>
        </w:tc>
        <w:tc>
          <w:tcPr>
            <w:tcW w:w="1134" w:type="dxa"/>
            <w:vAlign w:val="center"/>
          </w:tcPr>
          <w:p w14:paraId="3F29F24E" w14:textId="77777777" w:rsidR="005E000F" w:rsidRDefault="00000000">
            <w:pPr>
              <w:jc w:val="right"/>
              <w:rPr>
                <w:sz w:val="15"/>
                <w:szCs w:val="15"/>
              </w:rPr>
            </w:pPr>
            <w:r>
              <w:rPr>
                <w:rFonts w:hint="eastAsia"/>
                <w:sz w:val="15"/>
                <w:szCs w:val="15"/>
              </w:rPr>
              <w:t>0</w:t>
            </w:r>
          </w:p>
        </w:tc>
        <w:tc>
          <w:tcPr>
            <w:tcW w:w="1033" w:type="dxa"/>
            <w:vAlign w:val="center"/>
          </w:tcPr>
          <w:p w14:paraId="474168F0" w14:textId="77777777" w:rsidR="005E000F" w:rsidRDefault="00000000">
            <w:pPr>
              <w:jc w:val="right"/>
              <w:rPr>
                <w:sz w:val="15"/>
                <w:szCs w:val="15"/>
              </w:rPr>
            </w:pPr>
            <w:r>
              <w:rPr>
                <w:rFonts w:hint="eastAsia"/>
                <w:sz w:val="15"/>
                <w:szCs w:val="15"/>
              </w:rPr>
              <w:t>0</w:t>
            </w:r>
          </w:p>
        </w:tc>
        <w:tc>
          <w:tcPr>
            <w:tcW w:w="1167" w:type="dxa"/>
            <w:vAlign w:val="center"/>
          </w:tcPr>
          <w:p w14:paraId="3363876B" w14:textId="77777777" w:rsidR="005E000F" w:rsidRDefault="00000000">
            <w:pPr>
              <w:jc w:val="right"/>
              <w:rPr>
                <w:sz w:val="15"/>
                <w:szCs w:val="15"/>
              </w:rPr>
            </w:pPr>
            <w:r>
              <w:rPr>
                <w:rFonts w:hint="eastAsia"/>
                <w:sz w:val="15"/>
                <w:szCs w:val="15"/>
              </w:rPr>
              <w:t>0</w:t>
            </w:r>
          </w:p>
        </w:tc>
        <w:tc>
          <w:tcPr>
            <w:tcW w:w="1166" w:type="dxa"/>
            <w:vAlign w:val="center"/>
          </w:tcPr>
          <w:p w14:paraId="0C4EF19C" w14:textId="77777777" w:rsidR="005E000F" w:rsidRDefault="00000000">
            <w:pPr>
              <w:jc w:val="right"/>
              <w:rPr>
                <w:sz w:val="15"/>
                <w:szCs w:val="15"/>
              </w:rPr>
            </w:pPr>
            <w:r>
              <w:rPr>
                <w:rFonts w:hint="eastAsia"/>
                <w:sz w:val="15"/>
                <w:szCs w:val="15"/>
              </w:rPr>
              <w:t>0</w:t>
            </w:r>
          </w:p>
        </w:tc>
        <w:tc>
          <w:tcPr>
            <w:tcW w:w="1324" w:type="dxa"/>
            <w:vAlign w:val="center"/>
          </w:tcPr>
          <w:p w14:paraId="4B97AA10" w14:textId="77777777" w:rsidR="005E000F" w:rsidRDefault="00000000">
            <w:pPr>
              <w:jc w:val="right"/>
              <w:rPr>
                <w:sz w:val="15"/>
                <w:szCs w:val="15"/>
              </w:rPr>
            </w:pPr>
            <w:r>
              <w:rPr>
                <w:sz w:val="15"/>
                <w:szCs w:val="15"/>
              </w:rPr>
              <w:t>7,614,672,321</w:t>
            </w:r>
          </w:p>
        </w:tc>
      </w:tr>
      <w:tr w:rsidR="005E000F" w14:paraId="6A6904BF" w14:textId="77777777">
        <w:trPr>
          <w:trHeight w:val="20"/>
        </w:trPr>
        <w:sdt>
          <w:sdtPr>
            <w:rPr>
              <w:sz w:val="15"/>
              <w:szCs w:val="15"/>
            </w:rPr>
            <w:tag w:val="_PLD_224ee219054e4248b57b186593db85a6"/>
            <w:id w:val="-18239493"/>
          </w:sdtPr>
          <w:sdtContent>
            <w:tc>
              <w:tcPr>
                <w:tcW w:w="1925" w:type="dxa"/>
                <w:vAlign w:val="center"/>
              </w:tcPr>
              <w:p w14:paraId="5DF05AB2" w14:textId="77777777" w:rsidR="005E000F" w:rsidRDefault="00000000">
                <w:pPr>
                  <w:rPr>
                    <w:sz w:val="15"/>
                    <w:szCs w:val="15"/>
                  </w:rPr>
                </w:pPr>
                <w:r>
                  <w:rPr>
                    <w:rFonts w:hint="eastAsia"/>
                    <w:sz w:val="15"/>
                    <w:szCs w:val="15"/>
                  </w:rPr>
                  <w:t>3</w:t>
                </w:r>
                <w:r>
                  <w:rPr>
                    <w:sz w:val="15"/>
                    <w:szCs w:val="15"/>
                  </w:rPr>
                  <w:t>．股份支付计入所有者权益的金额</w:t>
                </w:r>
              </w:p>
            </w:tc>
          </w:sdtContent>
        </w:sdt>
        <w:tc>
          <w:tcPr>
            <w:tcW w:w="1411" w:type="dxa"/>
            <w:tcBorders>
              <w:right w:val="single" w:sz="4" w:space="0" w:color="auto"/>
            </w:tcBorders>
            <w:vAlign w:val="center"/>
          </w:tcPr>
          <w:p w14:paraId="68D45978"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357945A2"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0871270E"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77F3F755" w14:textId="77777777" w:rsidR="005E000F" w:rsidRDefault="00000000">
            <w:pPr>
              <w:jc w:val="right"/>
              <w:rPr>
                <w:sz w:val="15"/>
                <w:szCs w:val="15"/>
              </w:rPr>
            </w:pPr>
            <w:r>
              <w:rPr>
                <w:rFonts w:hint="eastAsia"/>
                <w:sz w:val="15"/>
                <w:szCs w:val="15"/>
              </w:rPr>
              <w:t>0</w:t>
            </w:r>
          </w:p>
        </w:tc>
        <w:tc>
          <w:tcPr>
            <w:tcW w:w="1166" w:type="dxa"/>
            <w:vAlign w:val="center"/>
          </w:tcPr>
          <w:p w14:paraId="6564815F" w14:textId="77777777" w:rsidR="005E000F" w:rsidRDefault="00000000">
            <w:pPr>
              <w:jc w:val="right"/>
              <w:rPr>
                <w:sz w:val="15"/>
                <w:szCs w:val="15"/>
              </w:rPr>
            </w:pPr>
            <w:r>
              <w:rPr>
                <w:rFonts w:hint="eastAsia"/>
                <w:sz w:val="15"/>
                <w:szCs w:val="15"/>
              </w:rPr>
              <w:t>0</w:t>
            </w:r>
          </w:p>
        </w:tc>
        <w:tc>
          <w:tcPr>
            <w:tcW w:w="1000" w:type="dxa"/>
            <w:vAlign w:val="center"/>
          </w:tcPr>
          <w:p w14:paraId="5BC3FF57" w14:textId="77777777" w:rsidR="005E000F" w:rsidRDefault="00000000">
            <w:pPr>
              <w:jc w:val="right"/>
              <w:rPr>
                <w:sz w:val="15"/>
                <w:szCs w:val="15"/>
              </w:rPr>
            </w:pPr>
            <w:r>
              <w:rPr>
                <w:rFonts w:hint="eastAsia"/>
                <w:sz w:val="15"/>
                <w:szCs w:val="15"/>
              </w:rPr>
              <w:t>0</w:t>
            </w:r>
          </w:p>
        </w:tc>
        <w:tc>
          <w:tcPr>
            <w:tcW w:w="1134" w:type="dxa"/>
            <w:vAlign w:val="center"/>
          </w:tcPr>
          <w:p w14:paraId="092780AE" w14:textId="77777777" w:rsidR="005E000F" w:rsidRDefault="00000000">
            <w:pPr>
              <w:jc w:val="right"/>
              <w:rPr>
                <w:sz w:val="15"/>
                <w:szCs w:val="15"/>
              </w:rPr>
            </w:pPr>
            <w:r>
              <w:rPr>
                <w:rFonts w:hint="eastAsia"/>
                <w:sz w:val="15"/>
                <w:szCs w:val="15"/>
              </w:rPr>
              <w:t>0</w:t>
            </w:r>
          </w:p>
        </w:tc>
        <w:tc>
          <w:tcPr>
            <w:tcW w:w="1033" w:type="dxa"/>
            <w:vAlign w:val="center"/>
          </w:tcPr>
          <w:p w14:paraId="4B803F0B" w14:textId="77777777" w:rsidR="005E000F" w:rsidRDefault="00000000">
            <w:pPr>
              <w:jc w:val="right"/>
              <w:rPr>
                <w:sz w:val="15"/>
                <w:szCs w:val="15"/>
              </w:rPr>
            </w:pPr>
            <w:r>
              <w:rPr>
                <w:rFonts w:hint="eastAsia"/>
                <w:sz w:val="15"/>
                <w:szCs w:val="15"/>
              </w:rPr>
              <w:t>0</w:t>
            </w:r>
          </w:p>
        </w:tc>
        <w:tc>
          <w:tcPr>
            <w:tcW w:w="1167" w:type="dxa"/>
            <w:vAlign w:val="center"/>
          </w:tcPr>
          <w:p w14:paraId="11FF6CCE" w14:textId="77777777" w:rsidR="005E000F" w:rsidRDefault="00000000">
            <w:pPr>
              <w:jc w:val="right"/>
              <w:rPr>
                <w:sz w:val="15"/>
                <w:szCs w:val="15"/>
              </w:rPr>
            </w:pPr>
            <w:r>
              <w:rPr>
                <w:rFonts w:hint="eastAsia"/>
                <w:sz w:val="15"/>
                <w:szCs w:val="15"/>
              </w:rPr>
              <w:t>0</w:t>
            </w:r>
          </w:p>
        </w:tc>
        <w:tc>
          <w:tcPr>
            <w:tcW w:w="1166" w:type="dxa"/>
            <w:vAlign w:val="center"/>
          </w:tcPr>
          <w:p w14:paraId="0EFDCC38" w14:textId="77777777" w:rsidR="005E000F" w:rsidRDefault="00000000">
            <w:pPr>
              <w:jc w:val="right"/>
              <w:rPr>
                <w:sz w:val="15"/>
                <w:szCs w:val="15"/>
              </w:rPr>
            </w:pPr>
            <w:r>
              <w:rPr>
                <w:rFonts w:hint="eastAsia"/>
                <w:sz w:val="15"/>
                <w:szCs w:val="15"/>
              </w:rPr>
              <w:t>0</w:t>
            </w:r>
          </w:p>
        </w:tc>
        <w:tc>
          <w:tcPr>
            <w:tcW w:w="1324" w:type="dxa"/>
            <w:vAlign w:val="center"/>
          </w:tcPr>
          <w:p w14:paraId="3990285B" w14:textId="77777777" w:rsidR="005E000F" w:rsidRDefault="00000000">
            <w:pPr>
              <w:jc w:val="right"/>
              <w:rPr>
                <w:sz w:val="15"/>
                <w:szCs w:val="15"/>
              </w:rPr>
            </w:pPr>
            <w:r>
              <w:rPr>
                <w:rFonts w:hint="eastAsia"/>
                <w:sz w:val="15"/>
                <w:szCs w:val="15"/>
              </w:rPr>
              <w:t>0</w:t>
            </w:r>
          </w:p>
        </w:tc>
      </w:tr>
      <w:tr w:rsidR="005E000F" w14:paraId="26AC393B" w14:textId="77777777">
        <w:trPr>
          <w:trHeight w:val="20"/>
        </w:trPr>
        <w:sdt>
          <w:sdtPr>
            <w:rPr>
              <w:sz w:val="15"/>
              <w:szCs w:val="15"/>
            </w:rPr>
            <w:tag w:val="_PLD_2bb07b8c813f401e9b889121fc03b9bd"/>
            <w:id w:val="-1566630048"/>
          </w:sdtPr>
          <w:sdtContent>
            <w:tc>
              <w:tcPr>
                <w:tcW w:w="1925" w:type="dxa"/>
                <w:vAlign w:val="center"/>
              </w:tcPr>
              <w:p w14:paraId="59E7FD7C" w14:textId="77777777" w:rsidR="005E000F" w:rsidRDefault="00000000">
                <w:pPr>
                  <w:rPr>
                    <w:sz w:val="15"/>
                    <w:szCs w:val="15"/>
                  </w:rPr>
                </w:pPr>
                <w:r>
                  <w:rPr>
                    <w:rFonts w:hint="eastAsia"/>
                    <w:sz w:val="15"/>
                    <w:szCs w:val="15"/>
                  </w:rPr>
                  <w:t>4</w:t>
                </w:r>
                <w:r>
                  <w:rPr>
                    <w:sz w:val="15"/>
                    <w:szCs w:val="15"/>
                  </w:rPr>
                  <w:t>．其他</w:t>
                </w:r>
              </w:p>
            </w:tc>
          </w:sdtContent>
        </w:sdt>
        <w:tc>
          <w:tcPr>
            <w:tcW w:w="1411" w:type="dxa"/>
            <w:tcBorders>
              <w:right w:val="single" w:sz="4" w:space="0" w:color="auto"/>
            </w:tcBorders>
            <w:vAlign w:val="center"/>
          </w:tcPr>
          <w:p w14:paraId="33F45FAE"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410763B0"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538829BB"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29B5E020" w14:textId="77777777" w:rsidR="005E000F" w:rsidRDefault="00000000">
            <w:pPr>
              <w:jc w:val="right"/>
              <w:rPr>
                <w:sz w:val="15"/>
                <w:szCs w:val="15"/>
              </w:rPr>
            </w:pPr>
            <w:r>
              <w:rPr>
                <w:rFonts w:hint="eastAsia"/>
                <w:sz w:val="15"/>
                <w:szCs w:val="15"/>
              </w:rPr>
              <w:t>0</w:t>
            </w:r>
          </w:p>
        </w:tc>
        <w:tc>
          <w:tcPr>
            <w:tcW w:w="1166" w:type="dxa"/>
            <w:vAlign w:val="center"/>
          </w:tcPr>
          <w:p w14:paraId="4163E266" w14:textId="77777777" w:rsidR="005E000F" w:rsidRDefault="00000000">
            <w:pPr>
              <w:jc w:val="right"/>
              <w:rPr>
                <w:sz w:val="15"/>
                <w:szCs w:val="15"/>
              </w:rPr>
            </w:pPr>
            <w:r>
              <w:rPr>
                <w:sz w:val="15"/>
                <w:szCs w:val="15"/>
              </w:rPr>
              <w:t>448,720,215</w:t>
            </w:r>
          </w:p>
        </w:tc>
        <w:tc>
          <w:tcPr>
            <w:tcW w:w="1000" w:type="dxa"/>
            <w:vAlign w:val="center"/>
          </w:tcPr>
          <w:p w14:paraId="2FF1346E" w14:textId="77777777" w:rsidR="005E000F" w:rsidRDefault="00000000">
            <w:pPr>
              <w:jc w:val="right"/>
              <w:rPr>
                <w:sz w:val="15"/>
                <w:szCs w:val="15"/>
              </w:rPr>
            </w:pPr>
            <w:r>
              <w:rPr>
                <w:sz w:val="15"/>
                <w:szCs w:val="15"/>
              </w:rPr>
              <w:t>247,783,807</w:t>
            </w:r>
          </w:p>
        </w:tc>
        <w:tc>
          <w:tcPr>
            <w:tcW w:w="1134" w:type="dxa"/>
            <w:vAlign w:val="center"/>
          </w:tcPr>
          <w:p w14:paraId="53751D7A" w14:textId="77777777" w:rsidR="005E000F" w:rsidRDefault="00000000">
            <w:pPr>
              <w:jc w:val="right"/>
              <w:rPr>
                <w:sz w:val="15"/>
                <w:szCs w:val="15"/>
              </w:rPr>
            </w:pPr>
            <w:r>
              <w:rPr>
                <w:rFonts w:hint="eastAsia"/>
                <w:sz w:val="15"/>
                <w:szCs w:val="15"/>
              </w:rPr>
              <w:t>0</w:t>
            </w:r>
          </w:p>
        </w:tc>
        <w:tc>
          <w:tcPr>
            <w:tcW w:w="1033" w:type="dxa"/>
            <w:vAlign w:val="center"/>
          </w:tcPr>
          <w:p w14:paraId="4EF8B007" w14:textId="77777777" w:rsidR="005E000F" w:rsidRDefault="00000000">
            <w:pPr>
              <w:jc w:val="right"/>
              <w:rPr>
                <w:sz w:val="15"/>
                <w:szCs w:val="15"/>
              </w:rPr>
            </w:pPr>
            <w:r>
              <w:rPr>
                <w:rFonts w:hint="eastAsia"/>
                <w:sz w:val="15"/>
                <w:szCs w:val="15"/>
              </w:rPr>
              <w:t>0</w:t>
            </w:r>
          </w:p>
        </w:tc>
        <w:tc>
          <w:tcPr>
            <w:tcW w:w="1167" w:type="dxa"/>
            <w:vAlign w:val="center"/>
          </w:tcPr>
          <w:p w14:paraId="3585ED29" w14:textId="77777777" w:rsidR="005E000F" w:rsidRDefault="00000000">
            <w:pPr>
              <w:jc w:val="right"/>
              <w:rPr>
                <w:sz w:val="15"/>
                <w:szCs w:val="15"/>
              </w:rPr>
            </w:pPr>
            <w:r>
              <w:rPr>
                <w:rFonts w:hint="eastAsia"/>
                <w:sz w:val="15"/>
                <w:szCs w:val="15"/>
              </w:rPr>
              <w:t>0</w:t>
            </w:r>
          </w:p>
        </w:tc>
        <w:tc>
          <w:tcPr>
            <w:tcW w:w="1166" w:type="dxa"/>
            <w:vAlign w:val="center"/>
          </w:tcPr>
          <w:p w14:paraId="6DE817F5" w14:textId="77777777" w:rsidR="005E000F" w:rsidRDefault="00000000">
            <w:pPr>
              <w:jc w:val="right"/>
              <w:rPr>
                <w:sz w:val="15"/>
                <w:szCs w:val="15"/>
              </w:rPr>
            </w:pPr>
            <w:r>
              <w:rPr>
                <w:rFonts w:hint="eastAsia"/>
                <w:sz w:val="15"/>
                <w:szCs w:val="15"/>
              </w:rPr>
              <w:t>0</w:t>
            </w:r>
          </w:p>
        </w:tc>
        <w:tc>
          <w:tcPr>
            <w:tcW w:w="1324" w:type="dxa"/>
            <w:vAlign w:val="center"/>
          </w:tcPr>
          <w:p w14:paraId="7BEBF894" w14:textId="77777777" w:rsidR="005E000F" w:rsidRDefault="00000000">
            <w:pPr>
              <w:jc w:val="right"/>
              <w:rPr>
                <w:sz w:val="15"/>
                <w:szCs w:val="15"/>
              </w:rPr>
            </w:pPr>
            <w:r>
              <w:rPr>
                <w:sz w:val="15"/>
                <w:szCs w:val="15"/>
              </w:rPr>
              <w:t>200,936,408</w:t>
            </w:r>
          </w:p>
        </w:tc>
      </w:tr>
      <w:tr w:rsidR="005E000F" w14:paraId="2025AF96" w14:textId="77777777">
        <w:trPr>
          <w:trHeight w:val="20"/>
        </w:trPr>
        <w:sdt>
          <w:sdtPr>
            <w:rPr>
              <w:sz w:val="15"/>
              <w:szCs w:val="15"/>
            </w:rPr>
            <w:tag w:val="_PLD_b280cf7ceeaa4dd8b4b782055ca20607"/>
            <w:id w:val="-73747680"/>
          </w:sdtPr>
          <w:sdtContent>
            <w:tc>
              <w:tcPr>
                <w:tcW w:w="1925" w:type="dxa"/>
                <w:vAlign w:val="center"/>
              </w:tcPr>
              <w:p w14:paraId="381C62D4" w14:textId="77777777" w:rsidR="005E000F" w:rsidRDefault="00000000">
                <w:pPr>
                  <w:rPr>
                    <w:sz w:val="15"/>
                    <w:szCs w:val="15"/>
                  </w:rPr>
                </w:pPr>
                <w:r>
                  <w:rPr>
                    <w:sz w:val="15"/>
                    <w:szCs w:val="15"/>
                  </w:rPr>
                  <w:t>（</w:t>
                </w:r>
                <w:r>
                  <w:rPr>
                    <w:rFonts w:hint="eastAsia"/>
                    <w:sz w:val="15"/>
                    <w:szCs w:val="15"/>
                  </w:rPr>
                  <w:t>三</w:t>
                </w:r>
                <w:r>
                  <w:rPr>
                    <w:sz w:val="15"/>
                    <w:szCs w:val="15"/>
                  </w:rPr>
                  <w:t>）利润分配</w:t>
                </w:r>
              </w:p>
            </w:tc>
          </w:sdtContent>
        </w:sdt>
        <w:tc>
          <w:tcPr>
            <w:tcW w:w="1411" w:type="dxa"/>
            <w:tcBorders>
              <w:right w:val="single" w:sz="4" w:space="0" w:color="auto"/>
            </w:tcBorders>
            <w:vAlign w:val="center"/>
          </w:tcPr>
          <w:p w14:paraId="3408230D"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373580DD"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1A9D81A5"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278344E0" w14:textId="77777777" w:rsidR="005E000F" w:rsidRDefault="00000000">
            <w:pPr>
              <w:jc w:val="right"/>
              <w:rPr>
                <w:sz w:val="15"/>
                <w:szCs w:val="15"/>
              </w:rPr>
            </w:pPr>
            <w:r>
              <w:rPr>
                <w:rFonts w:hint="eastAsia"/>
                <w:sz w:val="15"/>
                <w:szCs w:val="15"/>
              </w:rPr>
              <w:t>0</w:t>
            </w:r>
          </w:p>
        </w:tc>
        <w:tc>
          <w:tcPr>
            <w:tcW w:w="1166" w:type="dxa"/>
            <w:vAlign w:val="center"/>
          </w:tcPr>
          <w:p w14:paraId="71F6061C" w14:textId="77777777" w:rsidR="005E000F" w:rsidRDefault="00000000">
            <w:pPr>
              <w:jc w:val="right"/>
              <w:rPr>
                <w:sz w:val="15"/>
                <w:szCs w:val="15"/>
              </w:rPr>
            </w:pPr>
            <w:r>
              <w:rPr>
                <w:rFonts w:hint="eastAsia"/>
                <w:sz w:val="15"/>
                <w:szCs w:val="15"/>
              </w:rPr>
              <w:t>0</w:t>
            </w:r>
          </w:p>
        </w:tc>
        <w:tc>
          <w:tcPr>
            <w:tcW w:w="1000" w:type="dxa"/>
            <w:vAlign w:val="center"/>
          </w:tcPr>
          <w:p w14:paraId="06555DFB" w14:textId="77777777" w:rsidR="005E000F" w:rsidRDefault="00000000">
            <w:pPr>
              <w:jc w:val="right"/>
              <w:rPr>
                <w:sz w:val="15"/>
                <w:szCs w:val="15"/>
              </w:rPr>
            </w:pPr>
            <w:r>
              <w:rPr>
                <w:rFonts w:hint="eastAsia"/>
                <w:sz w:val="15"/>
                <w:szCs w:val="15"/>
              </w:rPr>
              <w:t>0</w:t>
            </w:r>
          </w:p>
        </w:tc>
        <w:tc>
          <w:tcPr>
            <w:tcW w:w="1134" w:type="dxa"/>
            <w:vAlign w:val="center"/>
          </w:tcPr>
          <w:p w14:paraId="140318C3" w14:textId="77777777" w:rsidR="005E000F" w:rsidRDefault="00000000">
            <w:pPr>
              <w:jc w:val="right"/>
              <w:rPr>
                <w:sz w:val="15"/>
                <w:szCs w:val="15"/>
              </w:rPr>
            </w:pPr>
            <w:r>
              <w:rPr>
                <w:rFonts w:hint="eastAsia"/>
                <w:sz w:val="15"/>
                <w:szCs w:val="15"/>
              </w:rPr>
              <w:t>0</w:t>
            </w:r>
          </w:p>
        </w:tc>
        <w:tc>
          <w:tcPr>
            <w:tcW w:w="1033" w:type="dxa"/>
            <w:vAlign w:val="center"/>
          </w:tcPr>
          <w:p w14:paraId="55D9BB9E" w14:textId="77777777" w:rsidR="005E000F" w:rsidRDefault="00000000">
            <w:pPr>
              <w:jc w:val="right"/>
              <w:rPr>
                <w:sz w:val="15"/>
                <w:szCs w:val="15"/>
              </w:rPr>
            </w:pPr>
            <w:r>
              <w:rPr>
                <w:rFonts w:hint="eastAsia"/>
                <w:sz w:val="15"/>
                <w:szCs w:val="15"/>
              </w:rPr>
              <w:t>0</w:t>
            </w:r>
          </w:p>
        </w:tc>
        <w:tc>
          <w:tcPr>
            <w:tcW w:w="1167" w:type="dxa"/>
            <w:vAlign w:val="center"/>
          </w:tcPr>
          <w:p w14:paraId="1CFF80E1" w14:textId="77777777" w:rsidR="005E000F" w:rsidRDefault="00000000">
            <w:pPr>
              <w:jc w:val="right"/>
              <w:rPr>
                <w:sz w:val="15"/>
                <w:szCs w:val="15"/>
              </w:rPr>
            </w:pPr>
            <w:r>
              <w:rPr>
                <w:sz w:val="15"/>
                <w:szCs w:val="15"/>
              </w:rPr>
              <w:t>614,017,876</w:t>
            </w:r>
          </w:p>
        </w:tc>
        <w:tc>
          <w:tcPr>
            <w:tcW w:w="1166" w:type="dxa"/>
            <w:vAlign w:val="center"/>
          </w:tcPr>
          <w:p w14:paraId="11000179" w14:textId="77777777" w:rsidR="005E000F" w:rsidRDefault="00000000">
            <w:pPr>
              <w:jc w:val="right"/>
              <w:rPr>
                <w:sz w:val="15"/>
                <w:szCs w:val="15"/>
              </w:rPr>
            </w:pPr>
            <w:r>
              <w:rPr>
                <w:sz w:val="15"/>
                <w:szCs w:val="15"/>
              </w:rPr>
              <w:t>-4,817,498,694</w:t>
            </w:r>
          </w:p>
        </w:tc>
        <w:tc>
          <w:tcPr>
            <w:tcW w:w="1324" w:type="dxa"/>
            <w:vAlign w:val="center"/>
          </w:tcPr>
          <w:p w14:paraId="4845283E" w14:textId="77777777" w:rsidR="005E000F" w:rsidRDefault="00000000">
            <w:pPr>
              <w:jc w:val="right"/>
              <w:rPr>
                <w:sz w:val="15"/>
                <w:szCs w:val="15"/>
              </w:rPr>
            </w:pPr>
            <w:r>
              <w:rPr>
                <w:sz w:val="15"/>
                <w:szCs w:val="15"/>
              </w:rPr>
              <w:t>-4,203,480,818</w:t>
            </w:r>
          </w:p>
        </w:tc>
      </w:tr>
      <w:tr w:rsidR="005E000F" w14:paraId="30DB5379" w14:textId="77777777">
        <w:trPr>
          <w:trHeight w:val="20"/>
        </w:trPr>
        <w:sdt>
          <w:sdtPr>
            <w:rPr>
              <w:sz w:val="15"/>
              <w:szCs w:val="15"/>
            </w:rPr>
            <w:tag w:val="_PLD_bae08be416ce4c01886da1cc65a38bd8"/>
            <w:id w:val="1082562779"/>
          </w:sdtPr>
          <w:sdtContent>
            <w:tc>
              <w:tcPr>
                <w:tcW w:w="1925" w:type="dxa"/>
                <w:vAlign w:val="center"/>
              </w:tcPr>
              <w:p w14:paraId="60CDD7E5" w14:textId="77777777" w:rsidR="005E000F" w:rsidRDefault="00000000">
                <w:pPr>
                  <w:rPr>
                    <w:sz w:val="15"/>
                    <w:szCs w:val="15"/>
                  </w:rPr>
                </w:pPr>
                <w:r>
                  <w:rPr>
                    <w:sz w:val="15"/>
                    <w:szCs w:val="15"/>
                  </w:rPr>
                  <w:t>1</w:t>
                </w:r>
                <w:r>
                  <w:rPr>
                    <w:sz w:val="15"/>
                    <w:szCs w:val="15"/>
                  </w:rPr>
                  <w:t>．提取盈余公积</w:t>
                </w:r>
              </w:p>
            </w:tc>
          </w:sdtContent>
        </w:sdt>
        <w:tc>
          <w:tcPr>
            <w:tcW w:w="1411" w:type="dxa"/>
            <w:tcBorders>
              <w:right w:val="single" w:sz="4" w:space="0" w:color="auto"/>
            </w:tcBorders>
            <w:vAlign w:val="center"/>
          </w:tcPr>
          <w:p w14:paraId="53E05431"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600ABA22"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16939E7E"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38341014" w14:textId="77777777" w:rsidR="005E000F" w:rsidRDefault="00000000">
            <w:pPr>
              <w:jc w:val="right"/>
              <w:rPr>
                <w:sz w:val="15"/>
                <w:szCs w:val="15"/>
              </w:rPr>
            </w:pPr>
            <w:r>
              <w:rPr>
                <w:rFonts w:hint="eastAsia"/>
                <w:sz w:val="15"/>
                <w:szCs w:val="15"/>
              </w:rPr>
              <w:t>0</w:t>
            </w:r>
          </w:p>
        </w:tc>
        <w:tc>
          <w:tcPr>
            <w:tcW w:w="1166" w:type="dxa"/>
            <w:vAlign w:val="center"/>
          </w:tcPr>
          <w:p w14:paraId="4059B3F8" w14:textId="77777777" w:rsidR="005E000F" w:rsidRDefault="00000000">
            <w:pPr>
              <w:jc w:val="right"/>
              <w:rPr>
                <w:sz w:val="15"/>
                <w:szCs w:val="15"/>
              </w:rPr>
            </w:pPr>
            <w:r>
              <w:rPr>
                <w:rFonts w:hint="eastAsia"/>
                <w:sz w:val="15"/>
                <w:szCs w:val="15"/>
              </w:rPr>
              <w:t>0</w:t>
            </w:r>
          </w:p>
        </w:tc>
        <w:tc>
          <w:tcPr>
            <w:tcW w:w="1000" w:type="dxa"/>
            <w:vAlign w:val="center"/>
          </w:tcPr>
          <w:p w14:paraId="4C5A0FBA" w14:textId="77777777" w:rsidR="005E000F" w:rsidRDefault="00000000">
            <w:pPr>
              <w:jc w:val="right"/>
              <w:rPr>
                <w:sz w:val="15"/>
                <w:szCs w:val="15"/>
              </w:rPr>
            </w:pPr>
            <w:r>
              <w:rPr>
                <w:rFonts w:hint="eastAsia"/>
                <w:sz w:val="15"/>
                <w:szCs w:val="15"/>
              </w:rPr>
              <w:t>0</w:t>
            </w:r>
          </w:p>
        </w:tc>
        <w:tc>
          <w:tcPr>
            <w:tcW w:w="1134" w:type="dxa"/>
            <w:vAlign w:val="center"/>
          </w:tcPr>
          <w:p w14:paraId="361A3C38" w14:textId="77777777" w:rsidR="005E000F" w:rsidRDefault="00000000">
            <w:pPr>
              <w:jc w:val="right"/>
              <w:rPr>
                <w:sz w:val="15"/>
                <w:szCs w:val="15"/>
              </w:rPr>
            </w:pPr>
            <w:r>
              <w:rPr>
                <w:rFonts w:hint="eastAsia"/>
                <w:sz w:val="15"/>
                <w:szCs w:val="15"/>
              </w:rPr>
              <w:t>0</w:t>
            </w:r>
          </w:p>
        </w:tc>
        <w:tc>
          <w:tcPr>
            <w:tcW w:w="1033" w:type="dxa"/>
            <w:vAlign w:val="center"/>
          </w:tcPr>
          <w:p w14:paraId="27850E88" w14:textId="77777777" w:rsidR="005E000F" w:rsidRDefault="00000000">
            <w:pPr>
              <w:jc w:val="right"/>
              <w:rPr>
                <w:sz w:val="15"/>
                <w:szCs w:val="15"/>
              </w:rPr>
            </w:pPr>
            <w:r>
              <w:rPr>
                <w:rFonts w:hint="eastAsia"/>
                <w:sz w:val="15"/>
                <w:szCs w:val="15"/>
              </w:rPr>
              <w:t>0</w:t>
            </w:r>
          </w:p>
        </w:tc>
        <w:tc>
          <w:tcPr>
            <w:tcW w:w="1167" w:type="dxa"/>
            <w:vAlign w:val="center"/>
          </w:tcPr>
          <w:p w14:paraId="368B373F" w14:textId="77777777" w:rsidR="005E000F" w:rsidRDefault="00000000">
            <w:pPr>
              <w:jc w:val="right"/>
              <w:rPr>
                <w:sz w:val="15"/>
                <w:szCs w:val="15"/>
              </w:rPr>
            </w:pPr>
            <w:r>
              <w:rPr>
                <w:sz w:val="15"/>
                <w:szCs w:val="15"/>
              </w:rPr>
              <w:t>614,017,876</w:t>
            </w:r>
          </w:p>
        </w:tc>
        <w:tc>
          <w:tcPr>
            <w:tcW w:w="1166" w:type="dxa"/>
            <w:vAlign w:val="center"/>
          </w:tcPr>
          <w:p w14:paraId="15D33C70" w14:textId="77777777" w:rsidR="005E000F" w:rsidRDefault="00000000">
            <w:pPr>
              <w:jc w:val="right"/>
              <w:rPr>
                <w:sz w:val="15"/>
                <w:szCs w:val="15"/>
              </w:rPr>
            </w:pPr>
            <w:r>
              <w:rPr>
                <w:sz w:val="15"/>
                <w:szCs w:val="15"/>
              </w:rPr>
              <w:t>-614,017,876</w:t>
            </w:r>
          </w:p>
        </w:tc>
        <w:tc>
          <w:tcPr>
            <w:tcW w:w="1324" w:type="dxa"/>
            <w:vAlign w:val="center"/>
          </w:tcPr>
          <w:p w14:paraId="63C25247" w14:textId="77777777" w:rsidR="005E000F" w:rsidRDefault="005E000F">
            <w:pPr>
              <w:jc w:val="right"/>
              <w:rPr>
                <w:sz w:val="15"/>
                <w:szCs w:val="15"/>
              </w:rPr>
            </w:pPr>
          </w:p>
        </w:tc>
      </w:tr>
      <w:tr w:rsidR="005E000F" w14:paraId="512D961D" w14:textId="77777777">
        <w:trPr>
          <w:trHeight w:val="20"/>
        </w:trPr>
        <w:sdt>
          <w:sdtPr>
            <w:rPr>
              <w:sz w:val="15"/>
              <w:szCs w:val="15"/>
            </w:rPr>
            <w:tag w:val="_PLD_4deac8941f8344f99337c17d7e8feb6f"/>
            <w:id w:val="2017497644"/>
          </w:sdtPr>
          <w:sdtContent>
            <w:tc>
              <w:tcPr>
                <w:tcW w:w="1925" w:type="dxa"/>
                <w:vAlign w:val="center"/>
              </w:tcPr>
              <w:p w14:paraId="691E0F16" w14:textId="77777777" w:rsidR="005E000F" w:rsidRDefault="00000000">
                <w:pPr>
                  <w:rPr>
                    <w:sz w:val="15"/>
                    <w:szCs w:val="15"/>
                  </w:rPr>
                </w:pPr>
                <w:r>
                  <w:rPr>
                    <w:rFonts w:hint="eastAsia"/>
                    <w:sz w:val="15"/>
                    <w:szCs w:val="15"/>
                  </w:rPr>
                  <w:t>2</w:t>
                </w:r>
                <w:r>
                  <w:rPr>
                    <w:sz w:val="15"/>
                    <w:szCs w:val="15"/>
                  </w:rPr>
                  <w:t>．对所有者（或股东）的分配</w:t>
                </w:r>
              </w:p>
            </w:tc>
          </w:sdtContent>
        </w:sdt>
        <w:tc>
          <w:tcPr>
            <w:tcW w:w="1411" w:type="dxa"/>
            <w:tcBorders>
              <w:right w:val="single" w:sz="4" w:space="0" w:color="auto"/>
            </w:tcBorders>
            <w:vAlign w:val="center"/>
          </w:tcPr>
          <w:p w14:paraId="4135BFCB"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460BB1CD"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49B0E442"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22318933" w14:textId="77777777" w:rsidR="005E000F" w:rsidRDefault="00000000">
            <w:pPr>
              <w:jc w:val="right"/>
              <w:rPr>
                <w:sz w:val="15"/>
                <w:szCs w:val="15"/>
              </w:rPr>
            </w:pPr>
            <w:r>
              <w:rPr>
                <w:rFonts w:hint="eastAsia"/>
                <w:sz w:val="15"/>
                <w:szCs w:val="15"/>
              </w:rPr>
              <w:t>0</w:t>
            </w:r>
          </w:p>
        </w:tc>
        <w:tc>
          <w:tcPr>
            <w:tcW w:w="1166" w:type="dxa"/>
            <w:vAlign w:val="center"/>
          </w:tcPr>
          <w:p w14:paraId="61693F78" w14:textId="77777777" w:rsidR="005E000F" w:rsidRDefault="00000000">
            <w:pPr>
              <w:jc w:val="right"/>
              <w:rPr>
                <w:sz w:val="15"/>
                <w:szCs w:val="15"/>
              </w:rPr>
            </w:pPr>
            <w:r>
              <w:rPr>
                <w:rFonts w:hint="eastAsia"/>
                <w:sz w:val="15"/>
                <w:szCs w:val="15"/>
              </w:rPr>
              <w:t>0</w:t>
            </w:r>
          </w:p>
        </w:tc>
        <w:tc>
          <w:tcPr>
            <w:tcW w:w="1000" w:type="dxa"/>
            <w:vAlign w:val="center"/>
          </w:tcPr>
          <w:p w14:paraId="1DB4C58C" w14:textId="77777777" w:rsidR="005E000F" w:rsidRDefault="00000000">
            <w:pPr>
              <w:jc w:val="right"/>
              <w:rPr>
                <w:sz w:val="15"/>
                <w:szCs w:val="15"/>
              </w:rPr>
            </w:pPr>
            <w:r>
              <w:rPr>
                <w:rFonts w:hint="eastAsia"/>
                <w:sz w:val="15"/>
                <w:szCs w:val="15"/>
              </w:rPr>
              <w:t>0</w:t>
            </w:r>
          </w:p>
        </w:tc>
        <w:tc>
          <w:tcPr>
            <w:tcW w:w="1134" w:type="dxa"/>
            <w:vAlign w:val="center"/>
          </w:tcPr>
          <w:p w14:paraId="3B0B555D" w14:textId="77777777" w:rsidR="005E000F" w:rsidRDefault="00000000">
            <w:pPr>
              <w:jc w:val="right"/>
              <w:rPr>
                <w:sz w:val="15"/>
                <w:szCs w:val="15"/>
              </w:rPr>
            </w:pPr>
            <w:r>
              <w:rPr>
                <w:rFonts w:hint="eastAsia"/>
                <w:sz w:val="15"/>
                <w:szCs w:val="15"/>
              </w:rPr>
              <w:t>0</w:t>
            </w:r>
          </w:p>
        </w:tc>
        <w:tc>
          <w:tcPr>
            <w:tcW w:w="1033" w:type="dxa"/>
            <w:vAlign w:val="center"/>
          </w:tcPr>
          <w:p w14:paraId="3CD6B1E5" w14:textId="77777777" w:rsidR="005E000F" w:rsidRDefault="00000000">
            <w:pPr>
              <w:jc w:val="right"/>
              <w:rPr>
                <w:sz w:val="15"/>
                <w:szCs w:val="15"/>
              </w:rPr>
            </w:pPr>
            <w:r>
              <w:rPr>
                <w:rFonts w:hint="eastAsia"/>
                <w:sz w:val="15"/>
                <w:szCs w:val="15"/>
              </w:rPr>
              <w:t>0</w:t>
            </w:r>
          </w:p>
        </w:tc>
        <w:tc>
          <w:tcPr>
            <w:tcW w:w="1167" w:type="dxa"/>
            <w:vAlign w:val="center"/>
          </w:tcPr>
          <w:p w14:paraId="13736141" w14:textId="77777777" w:rsidR="005E000F" w:rsidRDefault="00000000">
            <w:pPr>
              <w:jc w:val="right"/>
              <w:rPr>
                <w:sz w:val="15"/>
                <w:szCs w:val="15"/>
              </w:rPr>
            </w:pPr>
            <w:r>
              <w:rPr>
                <w:rFonts w:hint="eastAsia"/>
                <w:sz w:val="15"/>
                <w:szCs w:val="15"/>
              </w:rPr>
              <w:t>0</w:t>
            </w:r>
          </w:p>
        </w:tc>
        <w:tc>
          <w:tcPr>
            <w:tcW w:w="1166" w:type="dxa"/>
            <w:vAlign w:val="center"/>
          </w:tcPr>
          <w:p w14:paraId="4C66C3E5" w14:textId="77777777" w:rsidR="005E000F" w:rsidRDefault="00000000">
            <w:pPr>
              <w:jc w:val="right"/>
              <w:rPr>
                <w:sz w:val="15"/>
                <w:szCs w:val="15"/>
              </w:rPr>
            </w:pPr>
            <w:r>
              <w:rPr>
                <w:sz w:val="15"/>
                <w:szCs w:val="15"/>
              </w:rPr>
              <w:t>-4,432,379,098</w:t>
            </w:r>
          </w:p>
        </w:tc>
        <w:tc>
          <w:tcPr>
            <w:tcW w:w="1324" w:type="dxa"/>
            <w:vAlign w:val="center"/>
          </w:tcPr>
          <w:p w14:paraId="1D75F465" w14:textId="77777777" w:rsidR="005E000F" w:rsidRDefault="00000000">
            <w:pPr>
              <w:jc w:val="right"/>
              <w:rPr>
                <w:sz w:val="15"/>
                <w:szCs w:val="15"/>
              </w:rPr>
            </w:pPr>
            <w:r>
              <w:rPr>
                <w:sz w:val="15"/>
                <w:szCs w:val="15"/>
              </w:rPr>
              <w:t>-4,432,379,098</w:t>
            </w:r>
          </w:p>
        </w:tc>
      </w:tr>
      <w:tr w:rsidR="005E000F" w14:paraId="7C6F6598" w14:textId="77777777">
        <w:trPr>
          <w:trHeight w:val="20"/>
        </w:trPr>
        <w:sdt>
          <w:sdtPr>
            <w:rPr>
              <w:sz w:val="15"/>
              <w:szCs w:val="15"/>
            </w:rPr>
            <w:tag w:val="_PLD_ff58a7e98f194ea88a1175d96b9527b1"/>
            <w:id w:val="112265579"/>
          </w:sdtPr>
          <w:sdtContent>
            <w:tc>
              <w:tcPr>
                <w:tcW w:w="1925" w:type="dxa"/>
                <w:vAlign w:val="center"/>
              </w:tcPr>
              <w:p w14:paraId="5CE4C50E" w14:textId="77777777" w:rsidR="005E000F" w:rsidRDefault="00000000">
                <w:pPr>
                  <w:rPr>
                    <w:sz w:val="15"/>
                    <w:szCs w:val="15"/>
                  </w:rPr>
                </w:pPr>
                <w:r>
                  <w:rPr>
                    <w:rFonts w:hint="eastAsia"/>
                    <w:sz w:val="15"/>
                    <w:szCs w:val="15"/>
                  </w:rPr>
                  <w:t>3</w:t>
                </w:r>
                <w:r>
                  <w:rPr>
                    <w:sz w:val="15"/>
                    <w:szCs w:val="15"/>
                  </w:rPr>
                  <w:t>．其他</w:t>
                </w:r>
              </w:p>
            </w:tc>
          </w:sdtContent>
        </w:sdt>
        <w:tc>
          <w:tcPr>
            <w:tcW w:w="1411" w:type="dxa"/>
            <w:tcBorders>
              <w:right w:val="single" w:sz="4" w:space="0" w:color="auto"/>
            </w:tcBorders>
            <w:vAlign w:val="center"/>
          </w:tcPr>
          <w:p w14:paraId="4F6880DA"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77241212"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3DD62570"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5B671EEA" w14:textId="77777777" w:rsidR="005E000F" w:rsidRDefault="00000000">
            <w:pPr>
              <w:jc w:val="right"/>
              <w:rPr>
                <w:sz w:val="15"/>
                <w:szCs w:val="15"/>
              </w:rPr>
            </w:pPr>
            <w:r>
              <w:rPr>
                <w:rFonts w:hint="eastAsia"/>
                <w:sz w:val="15"/>
                <w:szCs w:val="15"/>
              </w:rPr>
              <w:t>0</w:t>
            </w:r>
          </w:p>
        </w:tc>
        <w:tc>
          <w:tcPr>
            <w:tcW w:w="1166" w:type="dxa"/>
            <w:vAlign w:val="center"/>
          </w:tcPr>
          <w:p w14:paraId="1E19E00F" w14:textId="77777777" w:rsidR="005E000F" w:rsidRDefault="00000000">
            <w:pPr>
              <w:jc w:val="right"/>
              <w:rPr>
                <w:sz w:val="15"/>
                <w:szCs w:val="15"/>
              </w:rPr>
            </w:pPr>
            <w:r>
              <w:rPr>
                <w:rFonts w:hint="eastAsia"/>
                <w:sz w:val="15"/>
                <w:szCs w:val="15"/>
              </w:rPr>
              <w:t>0</w:t>
            </w:r>
          </w:p>
        </w:tc>
        <w:tc>
          <w:tcPr>
            <w:tcW w:w="1000" w:type="dxa"/>
            <w:vAlign w:val="center"/>
          </w:tcPr>
          <w:p w14:paraId="61B56C40" w14:textId="77777777" w:rsidR="005E000F" w:rsidRDefault="00000000">
            <w:pPr>
              <w:jc w:val="right"/>
              <w:rPr>
                <w:sz w:val="15"/>
                <w:szCs w:val="15"/>
              </w:rPr>
            </w:pPr>
            <w:r>
              <w:rPr>
                <w:rFonts w:hint="eastAsia"/>
                <w:sz w:val="15"/>
                <w:szCs w:val="15"/>
              </w:rPr>
              <w:t>0</w:t>
            </w:r>
          </w:p>
        </w:tc>
        <w:tc>
          <w:tcPr>
            <w:tcW w:w="1134" w:type="dxa"/>
            <w:vAlign w:val="center"/>
          </w:tcPr>
          <w:p w14:paraId="0806B410" w14:textId="77777777" w:rsidR="005E000F" w:rsidRDefault="00000000">
            <w:pPr>
              <w:jc w:val="right"/>
              <w:rPr>
                <w:sz w:val="15"/>
                <w:szCs w:val="15"/>
              </w:rPr>
            </w:pPr>
            <w:r>
              <w:rPr>
                <w:rFonts w:hint="eastAsia"/>
                <w:sz w:val="15"/>
                <w:szCs w:val="15"/>
              </w:rPr>
              <w:t>0</w:t>
            </w:r>
          </w:p>
        </w:tc>
        <w:tc>
          <w:tcPr>
            <w:tcW w:w="1033" w:type="dxa"/>
            <w:vAlign w:val="center"/>
          </w:tcPr>
          <w:p w14:paraId="04367101" w14:textId="77777777" w:rsidR="005E000F" w:rsidRDefault="00000000">
            <w:pPr>
              <w:jc w:val="right"/>
              <w:rPr>
                <w:sz w:val="15"/>
                <w:szCs w:val="15"/>
              </w:rPr>
            </w:pPr>
            <w:r>
              <w:rPr>
                <w:rFonts w:hint="eastAsia"/>
                <w:sz w:val="15"/>
                <w:szCs w:val="15"/>
              </w:rPr>
              <w:t>0</w:t>
            </w:r>
          </w:p>
        </w:tc>
        <w:tc>
          <w:tcPr>
            <w:tcW w:w="1167" w:type="dxa"/>
            <w:vAlign w:val="center"/>
          </w:tcPr>
          <w:p w14:paraId="3799E6C4" w14:textId="77777777" w:rsidR="005E000F" w:rsidRDefault="00000000">
            <w:pPr>
              <w:jc w:val="right"/>
              <w:rPr>
                <w:sz w:val="15"/>
                <w:szCs w:val="15"/>
              </w:rPr>
            </w:pPr>
            <w:r>
              <w:rPr>
                <w:rFonts w:hint="eastAsia"/>
                <w:sz w:val="15"/>
                <w:szCs w:val="15"/>
              </w:rPr>
              <w:t>0</w:t>
            </w:r>
          </w:p>
        </w:tc>
        <w:tc>
          <w:tcPr>
            <w:tcW w:w="1166" w:type="dxa"/>
            <w:vAlign w:val="center"/>
          </w:tcPr>
          <w:p w14:paraId="2636B7E9" w14:textId="77777777" w:rsidR="005E000F" w:rsidRDefault="00000000">
            <w:pPr>
              <w:jc w:val="right"/>
              <w:rPr>
                <w:sz w:val="15"/>
                <w:szCs w:val="15"/>
              </w:rPr>
            </w:pPr>
            <w:r>
              <w:rPr>
                <w:sz w:val="15"/>
                <w:szCs w:val="15"/>
              </w:rPr>
              <w:t>228,898,280</w:t>
            </w:r>
          </w:p>
        </w:tc>
        <w:tc>
          <w:tcPr>
            <w:tcW w:w="1324" w:type="dxa"/>
            <w:vAlign w:val="center"/>
          </w:tcPr>
          <w:p w14:paraId="1C3A1CCB" w14:textId="77777777" w:rsidR="005E000F" w:rsidRDefault="00000000">
            <w:pPr>
              <w:jc w:val="right"/>
              <w:rPr>
                <w:sz w:val="15"/>
                <w:szCs w:val="15"/>
              </w:rPr>
            </w:pPr>
            <w:r>
              <w:rPr>
                <w:sz w:val="15"/>
                <w:szCs w:val="15"/>
              </w:rPr>
              <w:t>228,898,280</w:t>
            </w:r>
          </w:p>
        </w:tc>
      </w:tr>
      <w:tr w:rsidR="005E000F" w14:paraId="6BB30714" w14:textId="77777777">
        <w:trPr>
          <w:trHeight w:val="20"/>
        </w:trPr>
        <w:sdt>
          <w:sdtPr>
            <w:rPr>
              <w:sz w:val="15"/>
              <w:szCs w:val="15"/>
            </w:rPr>
            <w:tag w:val="_PLD_8938fb7f04ef4f54b6183645ffa42f40"/>
            <w:id w:val="-1450079548"/>
          </w:sdtPr>
          <w:sdtContent>
            <w:tc>
              <w:tcPr>
                <w:tcW w:w="1925" w:type="dxa"/>
                <w:vAlign w:val="center"/>
              </w:tcPr>
              <w:p w14:paraId="58996DDB" w14:textId="77777777" w:rsidR="005E000F" w:rsidRDefault="00000000">
                <w:pPr>
                  <w:rPr>
                    <w:sz w:val="15"/>
                    <w:szCs w:val="15"/>
                  </w:rPr>
                </w:pPr>
                <w:r>
                  <w:rPr>
                    <w:sz w:val="15"/>
                    <w:szCs w:val="15"/>
                  </w:rPr>
                  <w:t>（</w:t>
                </w:r>
                <w:r>
                  <w:rPr>
                    <w:rFonts w:hint="eastAsia"/>
                    <w:sz w:val="15"/>
                    <w:szCs w:val="15"/>
                  </w:rPr>
                  <w:t>四</w:t>
                </w:r>
                <w:r>
                  <w:rPr>
                    <w:sz w:val="15"/>
                    <w:szCs w:val="15"/>
                  </w:rPr>
                  <w:t>）所有者权益内部结转</w:t>
                </w:r>
              </w:p>
            </w:tc>
          </w:sdtContent>
        </w:sdt>
        <w:tc>
          <w:tcPr>
            <w:tcW w:w="1411" w:type="dxa"/>
            <w:tcBorders>
              <w:right w:val="single" w:sz="4" w:space="0" w:color="auto"/>
            </w:tcBorders>
            <w:vAlign w:val="center"/>
          </w:tcPr>
          <w:p w14:paraId="11184B4B"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6C0D42D4"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53C99CE6"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78951452" w14:textId="77777777" w:rsidR="005E000F" w:rsidRDefault="00000000">
            <w:pPr>
              <w:jc w:val="right"/>
              <w:rPr>
                <w:sz w:val="15"/>
                <w:szCs w:val="15"/>
              </w:rPr>
            </w:pPr>
            <w:r>
              <w:rPr>
                <w:rFonts w:hint="eastAsia"/>
                <w:sz w:val="15"/>
                <w:szCs w:val="15"/>
              </w:rPr>
              <w:t>0</w:t>
            </w:r>
          </w:p>
        </w:tc>
        <w:tc>
          <w:tcPr>
            <w:tcW w:w="1166" w:type="dxa"/>
            <w:vAlign w:val="center"/>
          </w:tcPr>
          <w:p w14:paraId="0A3975CB" w14:textId="77777777" w:rsidR="005E000F" w:rsidRDefault="00000000">
            <w:pPr>
              <w:jc w:val="right"/>
              <w:rPr>
                <w:sz w:val="15"/>
                <w:szCs w:val="15"/>
              </w:rPr>
            </w:pPr>
            <w:r>
              <w:rPr>
                <w:rFonts w:hint="eastAsia"/>
                <w:sz w:val="15"/>
                <w:szCs w:val="15"/>
              </w:rPr>
              <w:t>0</w:t>
            </w:r>
          </w:p>
        </w:tc>
        <w:tc>
          <w:tcPr>
            <w:tcW w:w="1000" w:type="dxa"/>
            <w:vAlign w:val="center"/>
          </w:tcPr>
          <w:p w14:paraId="5968A4B7" w14:textId="77777777" w:rsidR="005E000F" w:rsidRDefault="00000000">
            <w:pPr>
              <w:jc w:val="right"/>
              <w:rPr>
                <w:sz w:val="15"/>
                <w:szCs w:val="15"/>
              </w:rPr>
            </w:pPr>
            <w:r>
              <w:rPr>
                <w:rFonts w:hint="eastAsia"/>
                <w:sz w:val="15"/>
                <w:szCs w:val="15"/>
              </w:rPr>
              <w:t>0</w:t>
            </w:r>
          </w:p>
        </w:tc>
        <w:tc>
          <w:tcPr>
            <w:tcW w:w="1134" w:type="dxa"/>
            <w:vAlign w:val="center"/>
          </w:tcPr>
          <w:p w14:paraId="1E83F49F" w14:textId="77777777" w:rsidR="005E000F" w:rsidRDefault="00000000">
            <w:pPr>
              <w:jc w:val="right"/>
              <w:rPr>
                <w:sz w:val="15"/>
                <w:szCs w:val="15"/>
              </w:rPr>
            </w:pPr>
            <w:r>
              <w:rPr>
                <w:rFonts w:hint="eastAsia"/>
                <w:sz w:val="15"/>
                <w:szCs w:val="15"/>
              </w:rPr>
              <w:t>0</w:t>
            </w:r>
          </w:p>
        </w:tc>
        <w:tc>
          <w:tcPr>
            <w:tcW w:w="1033" w:type="dxa"/>
            <w:vAlign w:val="center"/>
          </w:tcPr>
          <w:p w14:paraId="474C4011" w14:textId="77777777" w:rsidR="005E000F" w:rsidRDefault="00000000">
            <w:pPr>
              <w:jc w:val="right"/>
              <w:rPr>
                <w:sz w:val="15"/>
                <w:szCs w:val="15"/>
              </w:rPr>
            </w:pPr>
            <w:r>
              <w:rPr>
                <w:rFonts w:hint="eastAsia"/>
                <w:sz w:val="15"/>
                <w:szCs w:val="15"/>
              </w:rPr>
              <w:t>0</w:t>
            </w:r>
          </w:p>
        </w:tc>
        <w:tc>
          <w:tcPr>
            <w:tcW w:w="1167" w:type="dxa"/>
            <w:vAlign w:val="center"/>
          </w:tcPr>
          <w:p w14:paraId="5342B0E1" w14:textId="77777777" w:rsidR="005E000F" w:rsidRDefault="00000000">
            <w:pPr>
              <w:jc w:val="right"/>
              <w:rPr>
                <w:sz w:val="15"/>
                <w:szCs w:val="15"/>
              </w:rPr>
            </w:pPr>
            <w:r>
              <w:rPr>
                <w:rFonts w:hint="eastAsia"/>
                <w:sz w:val="15"/>
                <w:szCs w:val="15"/>
              </w:rPr>
              <w:t>0</w:t>
            </w:r>
          </w:p>
        </w:tc>
        <w:tc>
          <w:tcPr>
            <w:tcW w:w="1166" w:type="dxa"/>
            <w:vAlign w:val="center"/>
          </w:tcPr>
          <w:p w14:paraId="4088865F" w14:textId="77777777" w:rsidR="005E000F" w:rsidRDefault="00000000">
            <w:pPr>
              <w:jc w:val="right"/>
              <w:rPr>
                <w:sz w:val="15"/>
                <w:szCs w:val="15"/>
              </w:rPr>
            </w:pPr>
            <w:r>
              <w:rPr>
                <w:rFonts w:hint="eastAsia"/>
                <w:sz w:val="15"/>
                <w:szCs w:val="15"/>
              </w:rPr>
              <w:t>0</w:t>
            </w:r>
          </w:p>
        </w:tc>
        <w:tc>
          <w:tcPr>
            <w:tcW w:w="1324" w:type="dxa"/>
            <w:vAlign w:val="center"/>
          </w:tcPr>
          <w:p w14:paraId="5097D429" w14:textId="77777777" w:rsidR="005E000F" w:rsidRDefault="00000000">
            <w:pPr>
              <w:jc w:val="right"/>
              <w:rPr>
                <w:sz w:val="15"/>
                <w:szCs w:val="15"/>
              </w:rPr>
            </w:pPr>
            <w:r>
              <w:rPr>
                <w:rFonts w:hint="eastAsia"/>
                <w:sz w:val="15"/>
                <w:szCs w:val="15"/>
              </w:rPr>
              <w:t>0</w:t>
            </w:r>
          </w:p>
        </w:tc>
      </w:tr>
      <w:tr w:rsidR="005E000F" w14:paraId="37D0060E" w14:textId="77777777">
        <w:trPr>
          <w:trHeight w:val="20"/>
        </w:trPr>
        <w:sdt>
          <w:sdtPr>
            <w:rPr>
              <w:sz w:val="15"/>
              <w:szCs w:val="15"/>
            </w:rPr>
            <w:tag w:val="_PLD_805f473e3b5c4efd99b4c472dc99ddb5"/>
            <w:id w:val="-342632974"/>
          </w:sdtPr>
          <w:sdtContent>
            <w:tc>
              <w:tcPr>
                <w:tcW w:w="1925" w:type="dxa"/>
                <w:vAlign w:val="center"/>
              </w:tcPr>
              <w:p w14:paraId="4E237078" w14:textId="77777777" w:rsidR="005E000F" w:rsidRDefault="00000000">
                <w:pPr>
                  <w:rPr>
                    <w:sz w:val="15"/>
                    <w:szCs w:val="15"/>
                  </w:rPr>
                </w:pPr>
                <w:r>
                  <w:rPr>
                    <w:sz w:val="15"/>
                    <w:szCs w:val="15"/>
                  </w:rPr>
                  <w:t>1</w:t>
                </w:r>
                <w:r>
                  <w:rPr>
                    <w:sz w:val="15"/>
                    <w:szCs w:val="15"/>
                  </w:rPr>
                  <w:t>．资本公积转增资本（或股本）</w:t>
                </w:r>
              </w:p>
            </w:tc>
          </w:sdtContent>
        </w:sdt>
        <w:tc>
          <w:tcPr>
            <w:tcW w:w="1411" w:type="dxa"/>
            <w:tcBorders>
              <w:right w:val="single" w:sz="4" w:space="0" w:color="auto"/>
            </w:tcBorders>
            <w:vAlign w:val="center"/>
          </w:tcPr>
          <w:p w14:paraId="409E7C24"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1B0D5509"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6983F995"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070AB5A1" w14:textId="77777777" w:rsidR="005E000F" w:rsidRDefault="00000000">
            <w:pPr>
              <w:jc w:val="right"/>
              <w:rPr>
                <w:sz w:val="15"/>
                <w:szCs w:val="15"/>
              </w:rPr>
            </w:pPr>
            <w:r>
              <w:rPr>
                <w:rFonts w:hint="eastAsia"/>
                <w:sz w:val="15"/>
                <w:szCs w:val="15"/>
              </w:rPr>
              <w:t>0</w:t>
            </w:r>
          </w:p>
        </w:tc>
        <w:tc>
          <w:tcPr>
            <w:tcW w:w="1166" w:type="dxa"/>
            <w:vAlign w:val="center"/>
          </w:tcPr>
          <w:p w14:paraId="40E69590" w14:textId="77777777" w:rsidR="005E000F" w:rsidRDefault="00000000">
            <w:pPr>
              <w:jc w:val="right"/>
              <w:rPr>
                <w:sz w:val="15"/>
                <w:szCs w:val="15"/>
              </w:rPr>
            </w:pPr>
            <w:r>
              <w:rPr>
                <w:rFonts w:hint="eastAsia"/>
                <w:sz w:val="15"/>
                <w:szCs w:val="15"/>
              </w:rPr>
              <w:t>0</w:t>
            </w:r>
          </w:p>
        </w:tc>
        <w:tc>
          <w:tcPr>
            <w:tcW w:w="1000" w:type="dxa"/>
            <w:vAlign w:val="center"/>
          </w:tcPr>
          <w:p w14:paraId="6904985E" w14:textId="77777777" w:rsidR="005E000F" w:rsidRDefault="00000000">
            <w:pPr>
              <w:jc w:val="right"/>
              <w:rPr>
                <w:sz w:val="15"/>
                <w:szCs w:val="15"/>
              </w:rPr>
            </w:pPr>
            <w:r>
              <w:rPr>
                <w:rFonts w:hint="eastAsia"/>
                <w:sz w:val="15"/>
                <w:szCs w:val="15"/>
              </w:rPr>
              <w:t>0</w:t>
            </w:r>
          </w:p>
        </w:tc>
        <w:tc>
          <w:tcPr>
            <w:tcW w:w="1134" w:type="dxa"/>
            <w:vAlign w:val="center"/>
          </w:tcPr>
          <w:p w14:paraId="70562CEE" w14:textId="77777777" w:rsidR="005E000F" w:rsidRDefault="00000000">
            <w:pPr>
              <w:jc w:val="right"/>
              <w:rPr>
                <w:sz w:val="15"/>
                <w:szCs w:val="15"/>
              </w:rPr>
            </w:pPr>
            <w:r>
              <w:rPr>
                <w:rFonts w:hint="eastAsia"/>
                <w:sz w:val="15"/>
                <w:szCs w:val="15"/>
              </w:rPr>
              <w:t>0</w:t>
            </w:r>
          </w:p>
        </w:tc>
        <w:tc>
          <w:tcPr>
            <w:tcW w:w="1033" w:type="dxa"/>
            <w:vAlign w:val="center"/>
          </w:tcPr>
          <w:p w14:paraId="35069E0C" w14:textId="77777777" w:rsidR="005E000F" w:rsidRDefault="00000000">
            <w:pPr>
              <w:jc w:val="right"/>
              <w:rPr>
                <w:sz w:val="15"/>
                <w:szCs w:val="15"/>
              </w:rPr>
            </w:pPr>
            <w:r>
              <w:rPr>
                <w:rFonts w:hint="eastAsia"/>
                <w:sz w:val="15"/>
                <w:szCs w:val="15"/>
              </w:rPr>
              <w:t>0</w:t>
            </w:r>
          </w:p>
        </w:tc>
        <w:tc>
          <w:tcPr>
            <w:tcW w:w="1167" w:type="dxa"/>
            <w:vAlign w:val="center"/>
          </w:tcPr>
          <w:p w14:paraId="59EA084D" w14:textId="77777777" w:rsidR="005E000F" w:rsidRDefault="00000000">
            <w:pPr>
              <w:jc w:val="right"/>
              <w:rPr>
                <w:sz w:val="15"/>
                <w:szCs w:val="15"/>
              </w:rPr>
            </w:pPr>
            <w:r>
              <w:rPr>
                <w:rFonts w:hint="eastAsia"/>
                <w:sz w:val="15"/>
                <w:szCs w:val="15"/>
              </w:rPr>
              <w:t>0</w:t>
            </w:r>
          </w:p>
        </w:tc>
        <w:tc>
          <w:tcPr>
            <w:tcW w:w="1166" w:type="dxa"/>
            <w:vAlign w:val="center"/>
          </w:tcPr>
          <w:p w14:paraId="024D58EE" w14:textId="77777777" w:rsidR="005E000F" w:rsidRDefault="00000000">
            <w:pPr>
              <w:jc w:val="right"/>
              <w:rPr>
                <w:sz w:val="15"/>
                <w:szCs w:val="15"/>
              </w:rPr>
            </w:pPr>
            <w:r>
              <w:rPr>
                <w:rFonts w:hint="eastAsia"/>
                <w:sz w:val="15"/>
                <w:szCs w:val="15"/>
              </w:rPr>
              <w:t>0</w:t>
            </w:r>
          </w:p>
        </w:tc>
        <w:tc>
          <w:tcPr>
            <w:tcW w:w="1324" w:type="dxa"/>
            <w:vAlign w:val="center"/>
          </w:tcPr>
          <w:p w14:paraId="6C59459A" w14:textId="77777777" w:rsidR="005E000F" w:rsidRDefault="00000000">
            <w:pPr>
              <w:jc w:val="right"/>
              <w:rPr>
                <w:sz w:val="15"/>
                <w:szCs w:val="15"/>
              </w:rPr>
            </w:pPr>
            <w:r>
              <w:rPr>
                <w:rFonts w:hint="eastAsia"/>
                <w:sz w:val="15"/>
                <w:szCs w:val="15"/>
              </w:rPr>
              <w:t>0</w:t>
            </w:r>
          </w:p>
        </w:tc>
      </w:tr>
      <w:tr w:rsidR="005E000F" w14:paraId="0B6D87F4" w14:textId="77777777">
        <w:trPr>
          <w:trHeight w:val="20"/>
        </w:trPr>
        <w:sdt>
          <w:sdtPr>
            <w:rPr>
              <w:sz w:val="15"/>
              <w:szCs w:val="15"/>
            </w:rPr>
            <w:tag w:val="_PLD_c2dd17db22d54e02ba5942412d96f3ac"/>
            <w:id w:val="86130416"/>
          </w:sdtPr>
          <w:sdtContent>
            <w:tc>
              <w:tcPr>
                <w:tcW w:w="1925" w:type="dxa"/>
                <w:vAlign w:val="center"/>
              </w:tcPr>
              <w:p w14:paraId="4285213A" w14:textId="77777777" w:rsidR="005E000F" w:rsidRDefault="00000000">
                <w:pPr>
                  <w:rPr>
                    <w:sz w:val="15"/>
                    <w:szCs w:val="15"/>
                  </w:rPr>
                </w:pPr>
                <w:r>
                  <w:rPr>
                    <w:sz w:val="15"/>
                    <w:szCs w:val="15"/>
                  </w:rPr>
                  <w:t>2</w:t>
                </w:r>
                <w:r>
                  <w:rPr>
                    <w:sz w:val="15"/>
                    <w:szCs w:val="15"/>
                  </w:rPr>
                  <w:t>．盈余公积转增资本（或股本）</w:t>
                </w:r>
              </w:p>
            </w:tc>
          </w:sdtContent>
        </w:sdt>
        <w:tc>
          <w:tcPr>
            <w:tcW w:w="1411" w:type="dxa"/>
            <w:tcBorders>
              <w:right w:val="single" w:sz="4" w:space="0" w:color="auto"/>
            </w:tcBorders>
            <w:vAlign w:val="center"/>
          </w:tcPr>
          <w:p w14:paraId="08587542"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44970785"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7108490A"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65E6E8A9" w14:textId="77777777" w:rsidR="005E000F" w:rsidRDefault="00000000">
            <w:pPr>
              <w:jc w:val="right"/>
              <w:rPr>
                <w:sz w:val="15"/>
                <w:szCs w:val="15"/>
              </w:rPr>
            </w:pPr>
            <w:r>
              <w:rPr>
                <w:rFonts w:hint="eastAsia"/>
                <w:sz w:val="15"/>
                <w:szCs w:val="15"/>
              </w:rPr>
              <w:t>0</w:t>
            </w:r>
          </w:p>
        </w:tc>
        <w:tc>
          <w:tcPr>
            <w:tcW w:w="1166" w:type="dxa"/>
            <w:vAlign w:val="center"/>
          </w:tcPr>
          <w:p w14:paraId="6678881D" w14:textId="77777777" w:rsidR="005E000F" w:rsidRDefault="00000000">
            <w:pPr>
              <w:jc w:val="right"/>
              <w:rPr>
                <w:sz w:val="15"/>
                <w:szCs w:val="15"/>
              </w:rPr>
            </w:pPr>
            <w:r>
              <w:rPr>
                <w:rFonts w:hint="eastAsia"/>
                <w:sz w:val="15"/>
                <w:szCs w:val="15"/>
              </w:rPr>
              <w:t>0</w:t>
            </w:r>
          </w:p>
        </w:tc>
        <w:tc>
          <w:tcPr>
            <w:tcW w:w="1000" w:type="dxa"/>
            <w:vAlign w:val="center"/>
          </w:tcPr>
          <w:p w14:paraId="390AAFE1" w14:textId="77777777" w:rsidR="005E000F" w:rsidRDefault="00000000">
            <w:pPr>
              <w:jc w:val="right"/>
              <w:rPr>
                <w:sz w:val="15"/>
                <w:szCs w:val="15"/>
              </w:rPr>
            </w:pPr>
            <w:r>
              <w:rPr>
                <w:rFonts w:hint="eastAsia"/>
                <w:sz w:val="15"/>
                <w:szCs w:val="15"/>
              </w:rPr>
              <w:t>0</w:t>
            </w:r>
          </w:p>
        </w:tc>
        <w:tc>
          <w:tcPr>
            <w:tcW w:w="1134" w:type="dxa"/>
            <w:vAlign w:val="center"/>
          </w:tcPr>
          <w:p w14:paraId="6A0A216E" w14:textId="77777777" w:rsidR="005E000F" w:rsidRDefault="00000000">
            <w:pPr>
              <w:jc w:val="right"/>
              <w:rPr>
                <w:sz w:val="15"/>
                <w:szCs w:val="15"/>
              </w:rPr>
            </w:pPr>
            <w:r>
              <w:rPr>
                <w:rFonts w:hint="eastAsia"/>
                <w:sz w:val="15"/>
                <w:szCs w:val="15"/>
              </w:rPr>
              <w:t>0</w:t>
            </w:r>
          </w:p>
        </w:tc>
        <w:tc>
          <w:tcPr>
            <w:tcW w:w="1033" w:type="dxa"/>
            <w:vAlign w:val="center"/>
          </w:tcPr>
          <w:p w14:paraId="21B158DF" w14:textId="77777777" w:rsidR="005E000F" w:rsidRDefault="00000000">
            <w:pPr>
              <w:jc w:val="right"/>
              <w:rPr>
                <w:sz w:val="15"/>
                <w:szCs w:val="15"/>
              </w:rPr>
            </w:pPr>
            <w:r>
              <w:rPr>
                <w:rFonts w:hint="eastAsia"/>
                <w:sz w:val="15"/>
                <w:szCs w:val="15"/>
              </w:rPr>
              <w:t>0</w:t>
            </w:r>
          </w:p>
        </w:tc>
        <w:tc>
          <w:tcPr>
            <w:tcW w:w="1167" w:type="dxa"/>
            <w:vAlign w:val="center"/>
          </w:tcPr>
          <w:p w14:paraId="2BAB29AC" w14:textId="77777777" w:rsidR="005E000F" w:rsidRDefault="00000000">
            <w:pPr>
              <w:jc w:val="right"/>
              <w:rPr>
                <w:sz w:val="15"/>
                <w:szCs w:val="15"/>
              </w:rPr>
            </w:pPr>
            <w:r>
              <w:rPr>
                <w:rFonts w:hint="eastAsia"/>
                <w:sz w:val="15"/>
                <w:szCs w:val="15"/>
              </w:rPr>
              <w:t>0</w:t>
            </w:r>
          </w:p>
        </w:tc>
        <w:tc>
          <w:tcPr>
            <w:tcW w:w="1166" w:type="dxa"/>
            <w:vAlign w:val="center"/>
          </w:tcPr>
          <w:p w14:paraId="606A69F9" w14:textId="77777777" w:rsidR="005E000F" w:rsidRDefault="00000000">
            <w:pPr>
              <w:jc w:val="right"/>
              <w:rPr>
                <w:sz w:val="15"/>
                <w:szCs w:val="15"/>
              </w:rPr>
            </w:pPr>
            <w:r>
              <w:rPr>
                <w:rFonts w:hint="eastAsia"/>
                <w:sz w:val="15"/>
                <w:szCs w:val="15"/>
              </w:rPr>
              <w:t>0</w:t>
            </w:r>
          </w:p>
        </w:tc>
        <w:tc>
          <w:tcPr>
            <w:tcW w:w="1324" w:type="dxa"/>
            <w:vAlign w:val="center"/>
          </w:tcPr>
          <w:p w14:paraId="6D706207" w14:textId="77777777" w:rsidR="005E000F" w:rsidRDefault="00000000">
            <w:pPr>
              <w:jc w:val="right"/>
              <w:rPr>
                <w:sz w:val="15"/>
                <w:szCs w:val="15"/>
              </w:rPr>
            </w:pPr>
            <w:r>
              <w:rPr>
                <w:rFonts w:hint="eastAsia"/>
                <w:sz w:val="15"/>
                <w:szCs w:val="15"/>
              </w:rPr>
              <w:t>0</w:t>
            </w:r>
          </w:p>
        </w:tc>
      </w:tr>
      <w:tr w:rsidR="005E000F" w14:paraId="38A579CA" w14:textId="77777777">
        <w:trPr>
          <w:trHeight w:val="20"/>
        </w:trPr>
        <w:sdt>
          <w:sdtPr>
            <w:rPr>
              <w:sz w:val="15"/>
              <w:szCs w:val="15"/>
            </w:rPr>
            <w:tag w:val="_PLD_de8855f6aaf94578a33d614865e23362"/>
            <w:id w:val="-560942134"/>
          </w:sdtPr>
          <w:sdtContent>
            <w:tc>
              <w:tcPr>
                <w:tcW w:w="1925" w:type="dxa"/>
                <w:vAlign w:val="center"/>
              </w:tcPr>
              <w:p w14:paraId="04055437" w14:textId="77777777" w:rsidR="005E000F" w:rsidRDefault="00000000">
                <w:pPr>
                  <w:rPr>
                    <w:sz w:val="15"/>
                    <w:szCs w:val="15"/>
                  </w:rPr>
                </w:pPr>
                <w:r>
                  <w:rPr>
                    <w:sz w:val="15"/>
                    <w:szCs w:val="15"/>
                  </w:rPr>
                  <w:t>3</w:t>
                </w:r>
                <w:r>
                  <w:rPr>
                    <w:sz w:val="15"/>
                    <w:szCs w:val="15"/>
                  </w:rPr>
                  <w:t>．盈余公积弥补亏损</w:t>
                </w:r>
              </w:p>
            </w:tc>
          </w:sdtContent>
        </w:sdt>
        <w:tc>
          <w:tcPr>
            <w:tcW w:w="1411" w:type="dxa"/>
            <w:tcBorders>
              <w:right w:val="single" w:sz="4" w:space="0" w:color="auto"/>
            </w:tcBorders>
            <w:vAlign w:val="center"/>
          </w:tcPr>
          <w:p w14:paraId="5B7C7AC6"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517EF1FE"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0E1684FA"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10F82D49" w14:textId="77777777" w:rsidR="005E000F" w:rsidRDefault="00000000">
            <w:pPr>
              <w:jc w:val="right"/>
              <w:rPr>
                <w:sz w:val="15"/>
                <w:szCs w:val="15"/>
              </w:rPr>
            </w:pPr>
            <w:r>
              <w:rPr>
                <w:rFonts w:hint="eastAsia"/>
                <w:sz w:val="15"/>
                <w:szCs w:val="15"/>
              </w:rPr>
              <w:t>0</w:t>
            </w:r>
          </w:p>
        </w:tc>
        <w:tc>
          <w:tcPr>
            <w:tcW w:w="1166" w:type="dxa"/>
            <w:vAlign w:val="center"/>
          </w:tcPr>
          <w:p w14:paraId="1BEE016B" w14:textId="77777777" w:rsidR="005E000F" w:rsidRDefault="00000000">
            <w:pPr>
              <w:jc w:val="right"/>
              <w:rPr>
                <w:sz w:val="15"/>
                <w:szCs w:val="15"/>
              </w:rPr>
            </w:pPr>
            <w:r>
              <w:rPr>
                <w:rFonts w:hint="eastAsia"/>
                <w:sz w:val="15"/>
                <w:szCs w:val="15"/>
              </w:rPr>
              <w:t>0</w:t>
            </w:r>
          </w:p>
        </w:tc>
        <w:tc>
          <w:tcPr>
            <w:tcW w:w="1000" w:type="dxa"/>
            <w:vAlign w:val="center"/>
          </w:tcPr>
          <w:p w14:paraId="14B92CAE" w14:textId="77777777" w:rsidR="005E000F" w:rsidRDefault="00000000">
            <w:pPr>
              <w:jc w:val="right"/>
              <w:rPr>
                <w:sz w:val="15"/>
                <w:szCs w:val="15"/>
              </w:rPr>
            </w:pPr>
            <w:r>
              <w:rPr>
                <w:rFonts w:hint="eastAsia"/>
                <w:sz w:val="15"/>
                <w:szCs w:val="15"/>
              </w:rPr>
              <w:t>0</w:t>
            </w:r>
          </w:p>
        </w:tc>
        <w:tc>
          <w:tcPr>
            <w:tcW w:w="1134" w:type="dxa"/>
            <w:vAlign w:val="center"/>
          </w:tcPr>
          <w:p w14:paraId="1EF3DBA4" w14:textId="77777777" w:rsidR="005E000F" w:rsidRDefault="00000000">
            <w:pPr>
              <w:jc w:val="right"/>
              <w:rPr>
                <w:sz w:val="15"/>
                <w:szCs w:val="15"/>
              </w:rPr>
            </w:pPr>
            <w:r>
              <w:rPr>
                <w:rFonts w:hint="eastAsia"/>
                <w:sz w:val="15"/>
                <w:szCs w:val="15"/>
              </w:rPr>
              <w:t>0</w:t>
            </w:r>
          </w:p>
        </w:tc>
        <w:tc>
          <w:tcPr>
            <w:tcW w:w="1033" w:type="dxa"/>
            <w:vAlign w:val="center"/>
          </w:tcPr>
          <w:p w14:paraId="0C3DE08C" w14:textId="77777777" w:rsidR="005E000F" w:rsidRDefault="00000000">
            <w:pPr>
              <w:jc w:val="right"/>
              <w:rPr>
                <w:sz w:val="15"/>
                <w:szCs w:val="15"/>
              </w:rPr>
            </w:pPr>
            <w:r>
              <w:rPr>
                <w:rFonts w:hint="eastAsia"/>
                <w:sz w:val="15"/>
                <w:szCs w:val="15"/>
              </w:rPr>
              <w:t>0</w:t>
            </w:r>
          </w:p>
        </w:tc>
        <w:tc>
          <w:tcPr>
            <w:tcW w:w="1167" w:type="dxa"/>
            <w:vAlign w:val="center"/>
          </w:tcPr>
          <w:p w14:paraId="3CDC16A7" w14:textId="77777777" w:rsidR="005E000F" w:rsidRDefault="00000000">
            <w:pPr>
              <w:jc w:val="right"/>
              <w:rPr>
                <w:sz w:val="15"/>
                <w:szCs w:val="15"/>
              </w:rPr>
            </w:pPr>
            <w:r>
              <w:rPr>
                <w:rFonts w:hint="eastAsia"/>
                <w:sz w:val="15"/>
                <w:szCs w:val="15"/>
              </w:rPr>
              <w:t>0</w:t>
            </w:r>
          </w:p>
        </w:tc>
        <w:tc>
          <w:tcPr>
            <w:tcW w:w="1166" w:type="dxa"/>
            <w:vAlign w:val="center"/>
          </w:tcPr>
          <w:p w14:paraId="625DDC8F" w14:textId="77777777" w:rsidR="005E000F" w:rsidRDefault="00000000">
            <w:pPr>
              <w:jc w:val="right"/>
              <w:rPr>
                <w:sz w:val="15"/>
                <w:szCs w:val="15"/>
              </w:rPr>
            </w:pPr>
            <w:r>
              <w:rPr>
                <w:rFonts w:hint="eastAsia"/>
                <w:sz w:val="15"/>
                <w:szCs w:val="15"/>
              </w:rPr>
              <w:t>0</w:t>
            </w:r>
          </w:p>
        </w:tc>
        <w:tc>
          <w:tcPr>
            <w:tcW w:w="1324" w:type="dxa"/>
            <w:vAlign w:val="center"/>
          </w:tcPr>
          <w:p w14:paraId="45E33643" w14:textId="77777777" w:rsidR="005E000F" w:rsidRDefault="00000000">
            <w:pPr>
              <w:jc w:val="right"/>
              <w:rPr>
                <w:sz w:val="15"/>
                <w:szCs w:val="15"/>
              </w:rPr>
            </w:pPr>
            <w:r>
              <w:rPr>
                <w:rFonts w:hint="eastAsia"/>
                <w:sz w:val="15"/>
                <w:szCs w:val="15"/>
              </w:rPr>
              <w:t>0</w:t>
            </w:r>
          </w:p>
        </w:tc>
      </w:tr>
      <w:tr w:rsidR="005E000F" w14:paraId="7A2B7D96" w14:textId="77777777">
        <w:trPr>
          <w:trHeight w:val="20"/>
        </w:trPr>
        <w:tc>
          <w:tcPr>
            <w:tcW w:w="1925" w:type="dxa"/>
            <w:vAlign w:val="center"/>
          </w:tcPr>
          <w:sdt>
            <w:sdtPr>
              <w:rPr>
                <w:sz w:val="15"/>
                <w:szCs w:val="15"/>
              </w:rPr>
              <w:tag w:val="_PLD_0a2eca501c544dfc9dfd8d666c32970b"/>
              <w:id w:val="-1431347277"/>
            </w:sdtPr>
            <w:sdtContent>
              <w:p w14:paraId="3F3DFEDE" w14:textId="77777777" w:rsidR="005E000F" w:rsidRDefault="00000000">
                <w:pPr>
                  <w:rPr>
                    <w:sz w:val="15"/>
                    <w:szCs w:val="15"/>
                  </w:rPr>
                </w:pPr>
                <w:r>
                  <w:rPr>
                    <w:sz w:val="15"/>
                    <w:szCs w:val="15"/>
                  </w:rPr>
                  <w:t>4</w:t>
                </w:r>
                <w:r>
                  <w:rPr>
                    <w:sz w:val="15"/>
                    <w:szCs w:val="15"/>
                  </w:rPr>
                  <w:t>．设定受益计划变动额结转留存收益</w:t>
                </w:r>
              </w:p>
            </w:sdtContent>
          </w:sdt>
        </w:tc>
        <w:tc>
          <w:tcPr>
            <w:tcW w:w="1411" w:type="dxa"/>
            <w:tcBorders>
              <w:right w:val="single" w:sz="4" w:space="0" w:color="auto"/>
            </w:tcBorders>
            <w:vAlign w:val="center"/>
          </w:tcPr>
          <w:p w14:paraId="4867653D"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41A39FCA"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3D35DEED"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56B5FC11" w14:textId="77777777" w:rsidR="005E000F" w:rsidRDefault="00000000">
            <w:pPr>
              <w:jc w:val="right"/>
              <w:rPr>
                <w:sz w:val="15"/>
                <w:szCs w:val="15"/>
              </w:rPr>
            </w:pPr>
            <w:r>
              <w:rPr>
                <w:rFonts w:hint="eastAsia"/>
                <w:sz w:val="15"/>
                <w:szCs w:val="15"/>
              </w:rPr>
              <w:t>0</w:t>
            </w:r>
          </w:p>
        </w:tc>
        <w:tc>
          <w:tcPr>
            <w:tcW w:w="1166" w:type="dxa"/>
            <w:vAlign w:val="center"/>
          </w:tcPr>
          <w:p w14:paraId="1E940D71" w14:textId="77777777" w:rsidR="005E000F" w:rsidRDefault="00000000">
            <w:pPr>
              <w:jc w:val="right"/>
              <w:rPr>
                <w:sz w:val="15"/>
                <w:szCs w:val="15"/>
              </w:rPr>
            </w:pPr>
            <w:r>
              <w:rPr>
                <w:rFonts w:hint="eastAsia"/>
                <w:sz w:val="15"/>
                <w:szCs w:val="15"/>
              </w:rPr>
              <w:t>0</w:t>
            </w:r>
          </w:p>
        </w:tc>
        <w:tc>
          <w:tcPr>
            <w:tcW w:w="1000" w:type="dxa"/>
            <w:vAlign w:val="center"/>
          </w:tcPr>
          <w:p w14:paraId="30D465CB" w14:textId="77777777" w:rsidR="005E000F" w:rsidRDefault="00000000">
            <w:pPr>
              <w:jc w:val="right"/>
              <w:rPr>
                <w:sz w:val="15"/>
                <w:szCs w:val="15"/>
              </w:rPr>
            </w:pPr>
            <w:r>
              <w:rPr>
                <w:rFonts w:hint="eastAsia"/>
                <w:sz w:val="15"/>
                <w:szCs w:val="15"/>
              </w:rPr>
              <w:t>0</w:t>
            </w:r>
          </w:p>
        </w:tc>
        <w:tc>
          <w:tcPr>
            <w:tcW w:w="1134" w:type="dxa"/>
            <w:vAlign w:val="center"/>
          </w:tcPr>
          <w:p w14:paraId="5F51E9FF" w14:textId="77777777" w:rsidR="005E000F" w:rsidRDefault="00000000">
            <w:pPr>
              <w:jc w:val="right"/>
              <w:rPr>
                <w:sz w:val="15"/>
                <w:szCs w:val="15"/>
              </w:rPr>
            </w:pPr>
            <w:r>
              <w:rPr>
                <w:rFonts w:hint="eastAsia"/>
                <w:sz w:val="15"/>
                <w:szCs w:val="15"/>
              </w:rPr>
              <w:t>0</w:t>
            </w:r>
          </w:p>
        </w:tc>
        <w:tc>
          <w:tcPr>
            <w:tcW w:w="1033" w:type="dxa"/>
            <w:vAlign w:val="center"/>
          </w:tcPr>
          <w:p w14:paraId="648ABFE4" w14:textId="77777777" w:rsidR="005E000F" w:rsidRDefault="00000000">
            <w:pPr>
              <w:jc w:val="right"/>
              <w:rPr>
                <w:sz w:val="15"/>
                <w:szCs w:val="15"/>
              </w:rPr>
            </w:pPr>
            <w:r>
              <w:rPr>
                <w:rFonts w:hint="eastAsia"/>
                <w:sz w:val="15"/>
                <w:szCs w:val="15"/>
              </w:rPr>
              <w:t>0</w:t>
            </w:r>
          </w:p>
        </w:tc>
        <w:tc>
          <w:tcPr>
            <w:tcW w:w="1167" w:type="dxa"/>
            <w:vAlign w:val="center"/>
          </w:tcPr>
          <w:p w14:paraId="39F06904" w14:textId="77777777" w:rsidR="005E000F" w:rsidRDefault="00000000">
            <w:pPr>
              <w:jc w:val="right"/>
              <w:rPr>
                <w:sz w:val="15"/>
                <w:szCs w:val="15"/>
              </w:rPr>
            </w:pPr>
            <w:r>
              <w:rPr>
                <w:rFonts w:hint="eastAsia"/>
                <w:sz w:val="15"/>
                <w:szCs w:val="15"/>
              </w:rPr>
              <w:t>0</w:t>
            </w:r>
          </w:p>
        </w:tc>
        <w:tc>
          <w:tcPr>
            <w:tcW w:w="1166" w:type="dxa"/>
            <w:vAlign w:val="center"/>
          </w:tcPr>
          <w:p w14:paraId="56F99A77" w14:textId="77777777" w:rsidR="005E000F" w:rsidRDefault="00000000">
            <w:pPr>
              <w:jc w:val="right"/>
              <w:rPr>
                <w:sz w:val="15"/>
                <w:szCs w:val="15"/>
              </w:rPr>
            </w:pPr>
            <w:r>
              <w:rPr>
                <w:rFonts w:hint="eastAsia"/>
                <w:sz w:val="15"/>
                <w:szCs w:val="15"/>
              </w:rPr>
              <w:t>0</w:t>
            </w:r>
          </w:p>
        </w:tc>
        <w:tc>
          <w:tcPr>
            <w:tcW w:w="1324" w:type="dxa"/>
            <w:vAlign w:val="center"/>
          </w:tcPr>
          <w:p w14:paraId="40A7A32B" w14:textId="77777777" w:rsidR="005E000F" w:rsidRDefault="00000000">
            <w:pPr>
              <w:jc w:val="right"/>
              <w:rPr>
                <w:sz w:val="15"/>
                <w:szCs w:val="15"/>
              </w:rPr>
            </w:pPr>
            <w:r>
              <w:rPr>
                <w:rFonts w:hint="eastAsia"/>
                <w:sz w:val="15"/>
                <w:szCs w:val="15"/>
              </w:rPr>
              <w:t>0</w:t>
            </w:r>
          </w:p>
        </w:tc>
      </w:tr>
      <w:tr w:rsidR="005E000F" w14:paraId="6FC98BCF" w14:textId="77777777">
        <w:trPr>
          <w:trHeight w:val="20"/>
        </w:trPr>
        <w:tc>
          <w:tcPr>
            <w:tcW w:w="1925" w:type="dxa"/>
            <w:vAlign w:val="center"/>
          </w:tcPr>
          <w:sdt>
            <w:sdtPr>
              <w:rPr>
                <w:sz w:val="15"/>
                <w:szCs w:val="15"/>
              </w:rPr>
              <w:tag w:val="_PLD_e2c794a3876347288864cf2ea4ed53e5"/>
              <w:id w:val="-1340845392"/>
            </w:sdtPr>
            <w:sdtContent>
              <w:p w14:paraId="717DE2F1" w14:textId="77777777" w:rsidR="005E000F" w:rsidRDefault="00000000">
                <w:pPr>
                  <w:rPr>
                    <w:sz w:val="15"/>
                    <w:szCs w:val="15"/>
                  </w:rPr>
                </w:pPr>
                <w:r>
                  <w:rPr>
                    <w:sz w:val="15"/>
                    <w:szCs w:val="15"/>
                  </w:rPr>
                  <w:t>5</w:t>
                </w:r>
                <w:r>
                  <w:rPr>
                    <w:sz w:val="15"/>
                    <w:szCs w:val="15"/>
                  </w:rPr>
                  <w:t>．其他综合收益结转留存收益</w:t>
                </w:r>
              </w:p>
            </w:sdtContent>
          </w:sdt>
        </w:tc>
        <w:tc>
          <w:tcPr>
            <w:tcW w:w="1411" w:type="dxa"/>
            <w:tcBorders>
              <w:right w:val="single" w:sz="4" w:space="0" w:color="auto"/>
            </w:tcBorders>
            <w:vAlign w:val="center"/>
          </w:tcPr>
          <w:p w14:paraId="057836B5"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6FD77AAB"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3889E5D0"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1D42216D" w14:textId="77777777" w:rsidR="005E000F" w:rsidRDefault="00000000">
            <w:pPr>
              <w:jc w:val="right"/>
              <w:rPr>
                <w:sz w:val="15"/>
                <w:szCs w:val="15"/>
              </w:rPr>
            </w:pPr>
            <w:r>
              <w:rPr>
                <w:rFonts w:hint="eastAsia"/>
                <w:sz w:val="15"/>
                <w:szCs w:val="15"/>
              </w:rPr>
              <w:t>0</w:t>
            </w:r>
          </w:p>
        </w:tc>
        <w:tc>
          <w:tcPr>
            <w:tcW w:w="1166" w:type="dxa"/>
            <w:vAlign w:val="center"/>
          </w:tcPr>
          <w:p w14:paraId="0D09034E" w14:textId="77777777" w:rsidR="005E000F" w:rsidRDefault="00000000">
            <w:pPr>
              <w:jc w:val="right"/>
              <w:rPr>
                <w:sz w:val="15"/>
                <w:szCs w:val="15"/>
              </w:rPr>
            </w:pPr>
            <w:r>
              <w:rPr>
                <w:rFonts w:hint="eastAsia"/>
                <w:sz w:val="15"/>
                <w:szCs w:val="15"/>
              </w:rPr>
              <w:t>0</w:t>
            </w:r>
          </w:p>
        </w:tc>
        <w:tc>
          <w:tcPr>
            <w:tcW w:w="1000" w:type="dxa"/>
            <w:vAlign w:val="center"/>
          </w:tcPr>
          <w:p w14:paraId="2DD07D5C" w14:textId="77777777" w:rsidR="005E000F" w:rsidRDefault="00000000">
            <w:pPr>
              <w:jc w:val="right"/>
              <w:rPr>
                <w:sz w:val="15"/>
                <w:szCs w:val="15"/>
              </w:rPr>
            </w:pPr>
            <w:r>
              <w:rPr>
                <w:rFonts w:hint="eastAsia"/>
                <w:sz w:val="15"/>
                <w:szCs w:val="15"/>
              </w:rPr>
              <w:t>0</w:t>
            </w:r>
          </w:p>
        </w:tc>
        <w:tc>
          <w:tcPr>
            <w:tcW w:w="1134" w:type="dxa"/>
            <w:vAlign w:val="center"/>
          </w:tcPr>
          <w:p w14:paraId="32660AD7" w14:textId="77777777" w:rsidR="005E000F" w:rsidRDefault="00000000">
            <w:pPr>
              <w:jc w:val="right"/>
              <w:rPr>
                <w:sz w:val="15"/>
                <w:szCs w:val="15"/>
              </w:rPr>
            </w:pPr>
            <w:r>
              <w:rPr>
                <w:rFonts w:hint="eastAsia"/>
                <w:sz w:val="15"/>
                <w:szCs w:val="15"/>
              </w:rPr>
              <w:t>0</w:t>
            </w:r>
          </w:p>
        </w:tc>
        <w:tc>
          <w:tcPr>
            <w:tcW w:w="1033" w:type="dxa"/>
            <w:vAlign w:val="center"/>
          </w:tcPr>
          <w:p w14:paraId="0FBA9A79" w14:textId="77777777" w:rsidR="005E000F" w:rsidRDefault="00000000">
            <w:pPr>
              <w:jc w:val="right"/>
              <w:rPr>
                <w:sz w:val="15"/>
                <w:szCs w:val="15"/>
              </w:rPr>
            </w:pPr>
            <w:r>
              <w:rPr>
                <w:rFonts w:hint="eastAsia"/>
                <w:sz w:val="15"/>
                <w:szCs w:val="15"/>
              </w:rPr>
              <w:t>0</w:t>
            </w:r>
          </w:p>
        </w:tc>
        <w:tc>
          <w:tcPr>
            <w:tcW w:w="1167" w:type="dxa"/>
            <w:vAlign w:val="center"/>
          </w:tcPr>
          <w:p w14:paraId="04C4C890" w14:textId="77777777" w:rsidR="005E000F" w:rsidRDefault="00000000">
            <w:pPr>
              <w:jc w:val="right"/>
              <w:rPr>
                <w:sz w:val="15"/>
                <w:szCs w:val="15"/>
              </w:rPr>
            </w:pPr>
            <w:r>
              <w:rPr>
                <w:rFonts w:hint="eastAsia"/>
                <w:sz w:val="15"/>
                <w:szCs w:val="15"/>
              </w:rPr>
              <w:t>0</w:t>
            </w:r>
          </w:p>
        </w:tc>
        <w:tc>
          <w:tcPr>
            <w:tcW w:w="1166" w:type="dxa"/>
            <w:vAlign w:val="center"/>
          </w:tcPr>
          <w:p w14:paraId="0C4EDD0F" w14:textId="77777777" w:rsidR="005E000F" w:rsidRDefault="00000000">
            <w:pPr>
              <w:jc w:val="right"/>
              <w:rPr>
                <w:sz w:val="15"/>
                <w:szCs w:val="15"/>
              </w:rPr>
            </w:pPr>
            <w:r>
              <w:rPr>
                <w:rFonts w:hint="eastAsia"/>
                <w:sz w:val="15"/>
                <w:szCs w:val="15"/>
              </w:rPr>
              <w:t>0</w:t>
            </w:r>
          </w:p>
        </w:tc>
        <w:tc>
          <w:tcPr>
            <w:tcW w:w="1324" w:type="dxa"/>
            <w:vAlign w:val="center"/>
          </w:tcPr>
          <w:p w14:paraId="48834A63" w14:textId="77777777" w:rsidR="005E000F" w:rsidRDefault="00000000">
            <w:pPr>
              <w:jc w:val="right"/>
              <w:rPr>
                <w:sz w:val="15"/>
                <w:szCs w:val="15"/>
              </w:rPr>
            </w:pPr>
            <w:r>
              <w:rPr>
                <w:rFonts w:hint="eastAsia"/>
                <w:sz w:val="15"/>
                <w:szCs w:val="15"/>
              </w:rPr>
              <w:t>0</w:t>
            </w:r>
          </w:p>
        </w:tc>
      </w:tr>
      <w:tr w:rsidR="005E000F" w14:paraId="7D16EAD4" w14:textId="77777777">
        <w:trPr>
          <w:trHeight w:val="20"/>
        </w:trPr>
        <w:tc>
          <w:tcPr>
            <w:tcW w:w="1925" w:type="dxa"/>
            <w:vAlign w:val="center"/>
          </w:tcPr>
          <w:sdt>
            <w:sdtPr>
              <w:rPr>
                <w:sz w:val="15"/>
                <w:szCs w:val="15"/>
              </w:rPr>
              <w:tag w:val="_PLD_921b15a12ec54658b00654a6a398aa0c"/>
              <w:id w:val="1837655320"/>
            </w:sdtPr>
            <w:sdtContent>
              <w:p w14:paraId="220567DB" w14:textId="77777777" w:rsidR="005E000F" w:rsidRDefault="00000000">
                <w:pPr>
                  <w:rPr>
                    <w:sz w:val="15"/>
                    <w:szCs w:val="15"/>
                  </w:rPr>
                </w:pPr>
                <w:r>
                  <w:rPr>
                    <w:sz w:val="15"/>
                    <w:szCs w:val="15"/>
                  </w:rPr>
                  <w:t>6</w:t>
                </w:r>
                <w:r>
                  <w:rPr>
                    <w:sz w:val="15"/>
                    <w:szCs w:val="15"/>
                  </w:rPr>
                  <w:t>．其他</w:t>
                </w:r>
              </w:p>
            </w:sdtContent>
          </w:sdt>
        </w:tc>
        <w:tc>
          <w:tcPr>
            <w:tcW w:w="1411" w:type="dxa"/>
            <w:tcBorders>
              <w:right w:val="single" w:sz="4" w:space="0" w:color="auto"/>
            </w:tcBorders>
            <w:vAlign w:val="center"/>
          </w:tcPr>
          <w:p w14:paraId="446E0683"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4BFCB425"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3897C024"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30B2F09B" w14:textId="77777777" w:rsidR="005E000F" w:rsidRDefault="00000000">
            <w:pPr>
              <w:jc w:val="right"/>
              <w:rPr>
                <w:sz w:val="15"/>
                <w:szCs w:val="15"/>
              </w:rPr>
            </w:pPr>
            <w:r>
              <w:rPr>
                <w:rFonts w:hint="eastAsia"/>
                <w:sz w:val="15"/>
                <w:szCs w:val="15"/>
              </w:rPr>
              <w:t>0</w:t>
            </w:r>
          </w:p>
        </w:tc>
        <w:tc>
          <w:tcPr>
            <w:tcW w:w="1166" w:type="dxa"/>
            <w:vAlign w:val="center"/>
          </w:tcPr>
          <w:p w14:paraId="5BC547BE" w14:textId="77777777" w:rsidR="005E000F" w:rsidRDefault="00000000">
            <w:pPr>
              <w:jc w:val="right"/>
              <w:rPr>
                <w:sz w:val="15"/>
                <w:szCs w:val="15"/>
              </w:rPr>
            </w:pPr>
            <w:r>
              <w:rPr>
                <w:rFonts w:hint="eastAsia"/>
                <w:sz w:val="15"/>
                <w:szCs w:val="15"/>
              </w:rPr>
              <w:t>0</w:t>
            </w:r>
          </w:p>
        </w:tc>
        <w:tc>
          <w:tcPr>
            <w:tcW w:w="1000" w:type="dxa"/>
            <w:vAlign w:val="center"/>
          </w:tcPr>
          <w:p w14:paraId="3A5E3145" w14:textId="77777777" w:rsidR="005E000F" w:rsidRDefault="00000000">
            <w:pPr>
              <w:jc w:val="right"/>
              <w:rPr>
                <w:sz w:val="15"/>
                <w:szCs w:val="15"/>
              </w:rPr>
            </w:pPr>
            <w:r>
              <w:rPr>
                <w:rFonts w:hint="eastAsia"/>
                <w:sz w:val="15"/>
                <w:szCs w:val="15"/>
              </w:rPr>
              <w:t>0</w:t>
            </w:r>
          </w:p>
        </w:tc>
        <w:tc>
          <w:tcPr>
            <w:tcW w:w="1134" w:type="dxa"/>
            <w:vAlign w:val="center"/>
          </w:tcPr>
          <w:p w14:paraId="4A94F776" w14:textId="77777777" w:rsidR="005E000F" w:rsidRDefault="00000000">
            <w:pPr>
              <w:jc w:val="right"/>
              <w:rPr>
                <w:sz w:val="15"/>
                <w:szCs w:val="15"/>
              </w:rPr>
            </w:pPr>
            <w:r>
              <w:rPr>
                <w:rFonts w:hint="eastAsia"/>
                <w:sz w:val="15"/>
                <w:szCs w:val="15"/>
              </w:rPr>
              <w:t>0</w:t>
            </w:r>
          </w:p>
        </w:tc>
        <w:tc>
          <w:tcPr>
            <w:tcW w:w="1033" w:type="dxa"/>
            <w:vAlign w:val="center"/>
          </w:tcPr>
          <w:p w14:paraId="4FE64A13" w14:textId="77777777" w:rsidR="005E000F" w:rsidRDefault="005E000F">
            <w:pPr>
              <w:jc w:val="right"/>
              <w:rPr>
                <w:sz w:val="15"/>
                <w:szCs w:val="15"/>
              </w:rPr>
            </w:pPr>
          </w:p>
        </w:tc>
        <w:tc>
          <w:tcPr>
            <w:tcW w:w="1167" w:type="dxa"/>
            <w:vAlign w:val="center"/>
          </w:tcPr>
          <w:p w14:paraId="50B49D6F" w14:textId="77777777" w:rsidR="005E000F" w:rsidRDefault="00000000">
            <w:pPr>
              <w:jc w:val="right"/>
              <w:rPr>
                <w:sz w:val="15"/>
                <w:szCs w:val="15"/>
              </w:rPr>
            </w:pPr>
            <w:r>
              <w:rPr>
                <w:rFonts w:hint="eastAsia"/>
                <w:sz w:val="15"/>
                <w:szCs w:val="15"/>
              </w:rPr>
              <w:t>0</w:t>
            </w:r>
          </w:p>
        </w:tc>
        <w:tc>
          <w:tcPr>
            <w:tcW w:w="1166" w:type="dxa"/>
            <w:vAlign w:val="center"/>
          </w:tcPr>
          <w:p w14:paraId="3C087FB2" w14:textId="77777777" w:rsidR="005E000F" w:rsidRDefault="00000000">
            <w:pPr>
              <w:jc w:val="right"/>
              <w:rPr>
                <w:sz w:val="15"/>
                <w:szCs w:val="15"/>
              </w:rPr>
            </w:pPr>
            <w:r>
              <w:rPr>
                <w:rFonts w:hint="eastAsia"/>
                <w:sz w:val="15"/>
                <w:szCs w:val="15"/>
              </w:rPr>
              <w:t>0</w:t>
            </w:r>
          </w:p>
        </w:tc>
        <w:tc>
          <w:tcPr>
            <w:tcW w:w="1324" w:type="dxa"/>
            <w:vAlign w:val="center"/>
          </w:tcPr>
          <w:p w14:paraId="2D17975F" w14:textId="77777777" w:rsidR="005E000F" w:rsidRDefault="00000000">
            <w:pPr>
              <w:jc w:val="right"/>
              <w:rPr>
                <w:sz w:val="15"/>
                <w:szCs w:val="15"/>
              </w:rPr>
            </w:pPr>
            <w:r>
              <w:rPr>
                <w:rFonts w:hint="eastAsia"/>
                <w:sz w:val="15"/>
                <w:szCs w:val="15"/>
              </w:rPr>
              <w:t>0</w:t>
            </w:r>
          </w:p>
        </w:tc>
      </w:tr>
      <w:tr w:rsidR="005E000F" w14:paraId="039124BF" w14:textId="77777777">
        <w:trPr>
          <w:trHeight w:val="20"/>
        </w:trPr>
        <w:sdt>
          <w:sdtPr>
            <w:rPr>
              <w:sz w:val="15"/>
              <w:szCs w:val="15"/>
            </w:rPr>
            <w:tag w:val="_PLD_ea236cbce24c48eabfeb2f3f4a19c5a8"/>
            <w:id w:val="-1331910014"/>
          </w:sdtPr>
          <w:sdtContent>
            <w:tc>
              <w:tcPr>
                <w:tcW w:w="1925" w:type="dxa"/>
                <w:vAlign w:val="center"/>
              </w:tcPr>
              <w:p w14:paraId="733BC69E" w14:textId="77777777" w:rsidR="005E000F" w:rsidRDefault="00000000">
                <w:pPr>
                  <w:rPr>
                    <w:sz w:val="15"/>
                    <w:szCs w:val="15"/>
                  </w:rPr>
                </w:pPr>
                <w:r>
                  <w:rPr>
                    <w:rFonts w:hint="eastAsia"/>
                    <w:sz w:val="15"/>
                    <w:szCs w:val="15"/>
                  </w:rPr>
                  <w:t>（五）专项储备</w:t>
                </w:r>
              </w:p>
            </w:tc>
          </w:sdtContent>
        </w:sdt>
        <w:tc>
          <w:tcPr>
            <w:tcW w:w="1411" w:type="dxa"/>
            <w:tcBorders>
              <w:right w:val="single" w:sz="4" w:space="0" w:color="auto"/>
            </w:tcBorders>
            <w:vAlign w:val="center"/>
          </w:tcPr>
          <w:p w14:paraId="573F8220"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3A6FE0AA"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710AA7D5"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40D57A8F" w14:textId="77777777" w:rsidR="005E000F" w:rsidRDefault="00000000">
            <w:pPr>
              <w:jc w:val="right"/>
              <w:rPr>
                <w:sz w:val="15"/>
                <w:szCs w:val="15"/>
              </w:rPr>
            </w:pPr>
            <w:r>
              <w:rPr>
                <w:rFonts w:hint="eastAsia"/>
                <w:sz w:val="15"/>
                <w:szCs w:val="15"/>
              </w:rPr>
              <w:t>0</w:t>
            </w:r>
          </w:p>
        </w:tc>
        <w:tc>
          <w:tcPr>
            <w:tcW w:w="1166" w:type="dxa"/>
            <w:vAlign w:val="center"/>
          </w:tcPr>
          <w:p w14:paraId="58CB943E" w14:textId="77777777" w:rsidR="005E000F" w:rsidRDefault="00000000">
            <w:pPr>
              <w:jc w:val="right"/>
              <w:rPr>
                <w:sz w:val="15"/>
                <w:szCs w:val="15"/>
              </w:rPr>
            </w:pPr>
            <w:r>
              <w:rPr>
                <w:rFonts w:hint="eastAsia"/>
                <w:sz w:val="15"/>
                <w:szCs w:val="15"/>
              </w:rPr>
              <w:t>0</w:t>
            </w:r>
          </w:p>
        </w:tc>
        <w:tc>
          <w:tcPr>
            <w:tcW w:w="1000" w:type="dxa"/>
            <w:vAlign w:val="center"/>
          </w:tcPr>
          <w:p w14:paraId="1502F5A1" w14:textId="77777777" w:rsidR="005E000F" w:rsidRDefault="00000000">
            <w:pPr>
              <w:jc w:val="right"/>
              <w:rPr>
                <w:sz w:val="15"/>
                <w:szCs w:val="15"/>
              </w:rPr>
            </w:pPr>
            <w:r>
              <w:rPr>
                <w:rFonts w:hint="eastAsia"/>
                <w:sz w:val="15"/>
                <w:szCs w:val="15"/>
              </w:rPr>
              <w:t>0</w:t>
            </w:r>
          </w:p>
        </w:tc>
        <w:tc>
          <w:tcPr>
            <w:tcW w:w="1134" w:type="dxa"/>
            <w:vAlign w:val="center"/>
          </w:tcPr>
          <w:p w14:paraId="2D95D291" w14:textId="77777777" w:rsidR="005E000F" w:rsidRDefault="00000000">
            <w:pPr>
              <w:jc w:val="right"/>
              <w:rPr>
                <w:sz w:val="15"/>
                <w:szCs w:val="15"/>
              </w:rPr>
            </w:pPr>
            <w:r>
              <w:rPr>
                <w:rFonts w:hint="eastAsia"/>
                <w:sz w:val="15"/>
                <w:szCs w:val="15"/>
              </w:rPr>
              <w:t>0</w:t>
            </w:r>
          </w:p>
        </w:tc>
        <w:tc>
          <w:tcPr>
            <w:tcW w:w="1033" w:type="dxa"/>
            <w:vAlign w:val="center"/>
          </w:tcPr>
          <w:p w14:paraId="67BBDD8A" w14:textId="77777777" w:rsidR="005E000F" w:rsidRDefault="00000000">
            <w:pPr>
              <w:jc w:val="right"/>
              <w:rPr>
                <w:sz w:val="15"/>
                <w:szCs w:val="15"/>
              </w:rPr>
            </w:pPr>
            <w:r>
              <w:rPr>
                <w:sz w:val="15"/>
                <w:szCs w:val="15"/>
              </w:rPr>
              <w:t>-51,585,513</w:t>
            </w:r>
          </w:p>
        </w:tc>
        <w:tc>
          <w:tcPr>
            <w:tcW w:w="1167" w:type="dxa"/>
            <w:vAlign w:val="center"/>
          </w:tcPr>
          <w:p w14:paraId="2D2EE14F" w14:textId="77777777" w:rsidR="005E000F" w:rsidRDefault="00000000">
            <w:pPr>
              <w:jc w:val="right"/>
              <w:rPr>
                <w:sz w:val="15"/>
                <w:szCs w:val="15"/>
              </w:rPr>
            </w:pPr>
            <w:r>
              <w:rPr>
                <w:rFonts w:hint="eastAsia"/>
                <w:sz w:val="15"/>
                <w:szCs w:val="15"/>
              </w:rPr>
              <w:t>0</w:t>
            </w:r>
          </w:p>
        </w:tc>
        <w:tc>
          <w:tcPr>
            <w:tcW w:w="1166" w:type="dxa"/>
            <w:vAlign w:val="center"/>
          </w:tcPr>
          <w:p w14:paraId="7A8655EF" w14:textId="77777777" w:rsidR="005E000F" w:rsidRDefault="00000000">
            <w:pPr>
              <w:jc w:val="right"/>
              <w:rPr>
                <w:sz w:val="15"/>
                <w:szCs w:val="15"/>
              </w:rPr>
            </w:pPr>
            <w:r>
              <w:rPr>
                <w:rFonts w:hint="eastAsia"/>
                <w:sz w:val="15"/>
                <w:szCs w:val="15"/>
              </w:rPr>
              <w:t>0</w:t>
            </w:r>
          </w:p>
        </w:tc>
        <w:tc>
          <w:tcPr>
            <w:tcW w:w="1324" w:type="dxa"/>
            <w:vAlign w:val="center"/>
          </w:tcPr>
          <w:p w14:paraId="0E9BA18C" w14:textId="77777777" w:rsidR="005E000F" w:rsidRDefault="00000000">
            <w:pPr>
              <w:jc w:val="right"/>
              <w:rPr>
                <w:sz w:val="15"/>
                <w:szCs w:val="15"/>
              </w:rPr>
            </w:pPr>
            <w:r>
              <w:rPr>
                <w:sz w:val="15"/>
                <w:szCs w:val="15"/>
              </w:rPr>
              <w:t>-51,585,513</w:t>
            </w:r>
          </w:p>
        </w:tc>
      </w:tr>
      <w:tr w:rsidR="005E000F" w14:paraId="42A7FD3D" w14:textId="77777777">
        <w:trPr>
          <w:trHeight w:val="20"/>
        </w:trPr>
        <w:sdt>
          <w:sdtPr>
            <w:rPr>
              <w:sz w:val="15"/>
              <w:szCs w:val="15"/>
            </w:rPr>
            <w:tag w:val="_PLD_f798cf6aa8f24816a06eab77e71e6a42"/>
            <w:id w:val="-1435666542"/>
          </w:sdtPr>
          <w:sdtContent>
            <w:tc>
              <w:tcPr>
                <w:tcW w:w="1925" w:type="dxa"/>
                <w:vAlign w:val="center"/>
              </w:tcPr>
              <w:p w14:paraId="723B5F4B" w14:textId="77777777" w:rsidR="005E000F" w:rsidRDefault="00000000">
                <w:pPr>
                  <w:rPr>
                    <w:sz w:val="15"/>
                    <w:szCs w:val="15"/>
                  </w:rPr>
                </w:pPr>
                <w:r>
                  <w:rPr>
                    <w:rFonts w:hint="eastAsia"/>
                    <w:sz w:val="15"/>
                    <w:szCs w:val="15"/>
                  </w:rPr>
                  <w:t>1</w:t>
                </w:r>
                <w:r>
                  <w:rPr>
                    <w:rFonts w:hint="eastAsia"/>
                    <w:sz w:val="15"/>
                    <w:szCs w:val="15"/>
                  </w:rPr>
                  <w:t>．本期提取</w:t>
                </w:r>
              </w:p>
            </w:tc>
          </w:sdtContent>
        </w:sdt>
        <w:tc>
          <w:tcPr>
            <w:tcW w:w="1411" w:type="dxa"/>
            <w:tcBorders>
              <w:right w:val="single" w:sz="4" w:space="0" w:color="auto"/>
            </w:tcBorders>
            <w:vAlign w:val="center"/>
          </w:tcPr>
          <w:p w14:paraId="6AC3AB04"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6F84B282"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50C1214F"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1C27A5C0" w14:textId="77777777" w:rsidR="005E000F" w:rsidRDefault="00000000">
            <w:pPr>
              <w:jc w:val="right"/>
              <w:rPr>
                <w:sz w:val="15"/>
                <w:szCs w:val="15"/>
              </w:rPr>
            </w:pPr>
            <w:r>
              <w:rPr>
                <w:rFonts w:hint="eastAsia"/>
                <w:sz w:val="15"/>
                <w:szCs w:val="15"/>
              </w:rPr>
              <w:t>0</w:t>
            </w:r>
          </w:p>
        </w:tc>
        <w:tc>
          <w:tcPr>
            <w:tcW w:w="1166" w:type="dxa"/>
            <w:vAlign w:val="center"/>
          </w:tcPr>
          <w:p w14:paraId="380E6641" w14:textId="77777777" w:rsidR="005E000F" w:rsidRDefault="00000000">
            <w:pPr>
              <w:jc w:val="right"/>
              <w:rPr>
                <w:sz w:val="15"/>
                <w:szCs w:val="15"/>
              </w:rPr>
            </w:pPr>
            <w:r>
              <w:rPr>
                <w:rFonts w:hint="eastAsia"/>
                <w:sz w:val="15"/>
                <w:szCs w:val="15"/>
              </w:rPr>
              <w:t>0</w:t>
            </w:r>
          </w:p>
        </w:tc>
        <w:tc>
          <w:tcPr>
            <w:tcW w:w="1000" w:type="dxa"/>
            <w:vAlign w:val="center"/>
          </w:tcPr>
          <w:p w14:paraId="1B75AB99" w14:textId="77777777" w:rsidR="005E000F" w:rsidRDefault="00000000">
            <w:pPr>
              <w:jc w:val="right"/>
              <w:rPr>
                <w:sz w:val="15"/>
                <w:szCs w:val="15"/>
              </w:rPr>
            </w:pPr>
            <w:r>
              <w:rPr>
                <w:rFonts w:hint="eastAsia"/>
                <w:sz w:val="15"/>
                <w:szCs w:val="15"/>
              </w:rPr>
              <w:t>0</w:t>
            </w:r>
          </w:p>
        </w:tc>
        <w:tc>
          <w:tcPr>
            <w:tcW w:w="1134" w:type="dxa"/>
            <w:vAlign w:val="center"/>
          </w:tcPr>
          <w:p w14:paraId="0C44DA36" w14:textId="77777777" w:rsidR="005E000F" w:rsidRDefault="00000000">
            <w:pPr>
              <w:jc w:val="right"/>
              <w:rPr>
                <w:sz w:val="15"/>
                <w:szCs w:val="15"/>
              </w:rPr>
            </w:pPr>
            <w:r>
              <w:rPr>
                <w:rFonts w:hint="eastAsia"/>
                <w:sz w:val="15"/>
                <w:szCs w:val="15"/>
              </w:rPr>
              <w:t>0</w:t>
            </w:r>
          </w:p>
        </w:tc>
        <w:tc>
          <w:tcPr>
            <w:tcW w:w="1033" w:type="dxa"/>
            <w:vAlign w:val="center"/>
          </w:tcPr>
          <w:p w14:paraId="487403FC" w14:textId="77777777" w:rsidR="005E000F" w:rsidRDefault="00000000">
            <w:pPr>
              <w:jc w:val="right"/>
              <w:rPr>
                <w:sz w:val="15"/>
                <w:szCs w:val="15"/>
              </w:rPr>
            </w:pPr>
            <w:r>
              <w:rPr>
                <w:sz w:val="15"/>
                <w:szCs w:val="15"/>
              </w:rPr>
              <w:t>698,332,800</w:t>
            </w:r>
          </w:p>
        </w:tc>
        <w:tc>
          <w:tcPr>
            <w:tcW w:w="1167" w:type="dxa"/>
            <w:vAlign w:val="center"/>
          </w:tcPr>
          <w:p w14:paraId="25C9C77F" w14:textId="77777777" w:rsidR="005E000F" w:rsidRDefault="00000000">
            <w:pPr>
              <w:jc w:val="right"/>
              <w:rPr>
                <w:sz w:val="15"/>
                <w:szCs w:val="15"/>
              </w:rPr>
            </w:pPr>
            <w:r>
              <w:rPr>
                <w:rFonts w:hint="eastAsia"/>
                <w:sz w:val="15"/>
                <w:szCs w:val="15"/>
              </w:rPr>
              <w:t>0</w:t>
            </w:r>
          </w:p>
        </w:tc>
        <w:tc>
          <w:tcPr>
            <w:tcW w:w="1166" w:type="dxa"/>
            <w:vAlign w:val="center"/>
          </w:tcPr>
          <w:p w14:paraId="48F70AA9" w14:textId="77777777" w:rsidR="005E000F" w:rsidRDefault="00000000">
            <w:pPr>
              <w:jc w:val="right"/>
              <w:rPr>
                <w:sz w:val="15"/>
                <w:szCs w:val="15"/>
              </w:rPr>
            </w:pPr>
            <w:r>
              <w:rPr>
                <w:rFonts w:hint="eastAsia"/>
                <w:sz w:val="15"/>
                <w:szCs w:val="15"/>
              </w:rPr>
              <w:t>0</w:t>
            </w:r>
          </w:p>
        </w:tc>
        <w:tc>
          <w:tcPr>
            <w:tcW w:w="1324" w:type="dxa"/>
            <w:vAlign w:val="center"/>
          </w:tcPr>
          <w:p w14:paraId="4860BFB9" w14:textId="77777777" w:rsidR="005E000F" w:rsidRDefault="00000000">
            <w:pPr>
              <w:jc w:val="right"/>
              <w:rPr>
                <w:sz w:val="15"/>
                <w:szCs w:val="15"/>
              </w:rPr>
            </w:pPr>
            <w:r>
              <w:rPr>
                <w:sz w:val="15"/>
                <w:szCs w:val="15"/>
              </w:rPr>
              <w:t>698,332,800</w:t>
            </w:r>
          </w:p>
        </w:tc>
      </w:tr>
      <w:tr w:rsidR="005E000F" w14:paraId="7E4D199B" w14:textId="77777777">
        <w:trPr>
          <w:trHeight w:val="20"/>
        </w:trPr>
        <w:sdt>
          <w:sdtPr>
            <w:rPr>
              <w:sz w:val="15"/>
              <w:szCs w:val="15"/>
            </w:rPr>
            <w:tag w:val="_PLD_294f6f5256724757ad52c27b29a0bb7d"/>
            <w:id w:val="2136202341"/>
          </w:sdtPr>
          <w:sdtContent>
            <w:tc>
              <w:tcPr>
                <w:tcW w:w="1925" w:type="dxa"/>
                <w:vAlign w:val="center"/>
              </w:tcPr>
              <w:p w14:paraId="41AAEF9E" w14:textId="77777777" w:rsidR="005E000F" w:rsidRDefault="00000000">
                <w:pPr>
                  <w:rPr>
                    <w:sz w:val="15"/>
                    <w:szCs w:val="15"/>
                  </w:rPr>
                </w:pPr>
                <w:r>
                  <w:rPr>
                    <w:rFonts w:hint="eastAsia"/>
                    <w:sz w:val="15"/>
                    <w:szCs w:val="15"/>
                  </w:rPr>
                  <w:t>2</w:t>
                </w:r>
                <w:r>
                  <w:rPr>
                    <w:rFonts w:hint="eastAsia"/>
                    <w:sz w:val="15"/>
                    <w:szCs w:val="15"/>
                  </w:rPr>
                  <w:t>．本期使用</w:t>
                </w:r>
              </w:p>
            </w:tc>
          </w:sdtContent>
        </w:sdt>
        <w:tc>
          <w:tcPr>
            <w:tcW w:w="1411" w:type="dxa"/>
            <w:tcBorders>
              <w:right w:val="single" w:sz="4" w:space="0" w:color="auto"/>
            </w:tcBorders>
            <w:vAlign w:val="center"/>
          </w:tcPr>
          <w:p w14:paraId="55B74DCC"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74307D4C"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0343C5EC"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5A0CA535" w14:textId="77777777" w:rsidR="005E000F" w:rsidRDefault="00000000">
            <w:pPr>
              <w:jc w:val="right"/>
              <w:rPr>
                <w:sz w:val="15"/>
                <w:szCs w:val="15"/>
              </w:rPr>
            </w:pPr>
            <w:r>
              <w:rPr>
                <w:rFonts w:hint="eastAsia"/>
                <w:sz w:val="15"/>
                <w:szCs w:val="15"/>
              </w:rPr>
              <w:t>0</w:t>
            </w:r>
          </w:p>
        </w:tc>
        <w:tc>
          <w:tcPr>
            <w:tcW w:w="1166" w:type="dxa"/>
            <w:vAlign w:val="center"/>
          </w:tcPr>
          <w:p w14:paraId="322ABE1F" w14:textId="77777777" w:rsidR="005E000F" w:rsidRDefault="00000000">
            <w:pPr>
              <w:jc w:val="right"/>
              <w:rPr>
                <w:sz w:val="15"/>
                <w:szCs w:val="15"/>
              </w:rPr>
            </w:pPr>
            <w:r>
              <w:rPr>
                <w:rFonts w:hint="eastAsia"/>
                <w:sz w:val="15"/>
                <w:szCs w:val="15"/>
              </w:rPr>
              <w:t>0</w:t>
            </w:r>
          </w:p>
        </w:tc>
        <w:tc>
          <w:tcPr>
            <w:tcW w:w="1000" w:type="dxa"/>
            <w:vAlign w:val="center"/>
          </w:tcPr>
          <w:p w14:paraId="2CCC69E7" w14:textId="77777777" w:rsidR="005E000F" w:rsidRDefault="00000000">
            <w:pPr>
              <w:jc w:val="right"/>
              <w:rPr>
                <w:sz w:val="15"/>
                <w:szCs w:val="15"/>
              </w:rPr>
            </w:pPr>
            <w:r>
              <w:rPr>
                <w:rFonts w:hint="eastAsia"/>
                <w:sz w:val="15"/>
                <w:szCs w:val="15"/>
              </w:rPr>
              <w:t>0</w:t>
            </w:r>
          </w:p>
        </w:tc>
        <w:tc>
          <w:tcPr>
            <w:tcW w:w="1134" w:type="dxa"/>
            <w:vAlign w:val="center"/>
          </w:tcPr>
          <w:p w14:paraId="39079710" w14:textId="77777777" w:rsidR="005E000F" w:rsidRDefault="00000000">
            <w:pPr>
              <w:jc w:val="right"/>
              <w:rPr>
                <w:sz w:val="15"/>
                <w:szCs w:val="15"/>
              </w:rPr>
            </w:pPr>
            <w:r>
              <w:rPr>
                <w:rFonts w:hint="eastAsia"/>
                <w:sz w:val="15"/>
                <w:szCs w:val="15"/>
              </w:rPr>
              <w:t>0</w:t>
            </w:r>
          </w:p>
        </w:tc>
        <w:tc>
          <w:tcPr>
            <w:tcW w:w="1033" w:type="dxa"/>
            <w:vAlign w:val="center"/>
          </w:tcPr>
          <w:p w14:paraId="733B19F9" w14:textId="77777777" w:rsidR="005E000F" w:rsidRDefault="00000000">
            <w:pPr>
              <w:jc w:val="right"/>
              <w:rPr>
                <w:sz w:val="15"/>
                <w:szCs w:val="15"/>
              </w:rPr>
            </w:pPr>
            <w:r>
              <w:rPr>
                <w:sz w:val="15"/>
                <w:szCs w:val="15"/>
              </w:rPr>
              <w:t>-749,918,313</w:t>
            </w:r>
          </w:p>
        </w:tc>
        <w:tc>
          <w:tcPr>
            <w:tcW w:w="1167" w:type="dxa"/>
            <w:vAlign w:val="center"/>
          </w:tcPr>
          <w:p w14:paraId="3D606B81" w14:textId="77777777" w:rsidR="005E000F" w:rsidRDefault="00000000">
            <w:pPr>
              <w:jc w:val="right"/>
              <w:rPr>
                <w:sz w:val="15"/>
                <w:szCs w:val="15"/>
              </w:rPr>
            </w:pPr>
            <w:r>
              <w:rPr>
                <w:rFonts w:hint="eastAsia"/>
                <w:sz w:val="15"/>
                <w:szCs w:val="15"/>
              </w:rPr>
              <w:t>0</w:t>
            </w:r>
          </w:p>
        </w:tc>
        <w:tc>
          <w:tcPr>
            <w:tcW w:w="1166" w:type="dxa"/>
            <w:vAlign w:val="center"/>
          </w:tcPr>
          <w:p w14:paraId="37090C0E" w14:textId="77777777" w:rsidR="005E000F" w:rsidRDefault="00000000">
            <w:pPr>
              <w:jc w:val="right"/>
              <w:rPr>
                <w:sz w:val="15"/>
                <w:szCs w:val="15"/>
              </w:rPr>
            </w:pPr>
            <w:r>
              <w:rPr>
                <w:rFonts w:hint="eastAsia"/>
                <w:sz w:val="15"/>
                <w:szCs w:val="15"/>
              </w:rPr>
              <w:t>0</w:t>
            </w:r>
          </w:p>
        </w:tc>
        <w:tc>
          <w:tcPr>
            <w:tcW w:w="1324" w:type="dxa"/>
            <w:vAlign w:val="center"/>
          </w:tcPr>
          <w:p w14:paraId="712046E8" w14:textId="77777777" w:rsidR="005E000F" w:rsidRDefault="00000000">
            <w:pPr>
              <w:jc w:val="right"/>
              <w:rPr>
                <w:sz w:val="15"/>
                <w:szCs w:val="15"/>
              </w:rPr>
            </w:pPr>
            <w:r>
              <w:rPr>
                <w:sz w:val="15"/>
                <w:szCs w:val="15"/>
              </w:rPr>
              <w:t>-749,918,313</w:t>
            </w:r>
          </w:p>
        </w:tc>
      </w:tr>
      <w:tr w:rsidR="005E000F" w14:paraId="7C20753A" w14:textId="77777777">
        <w:trPr>
          <w:trHeight w:val="20"/>
        </w:trPr>
        <w:sdt>
          <w:sdtPr>
            <w:rPr>
              <w:sz w:val="15"/>
              <w:szCs w:val="15"/>
            </w:rPr>
            <w:tag w:val="_PLD_6633049a29464fd58ed8f9bdc82f6c7b"/>
            <w:id w:val="1975723384"/>
          </w:sdtPr>
          <w:sdtContent>
            <w:tc>
              <w:tcPr>
                <w:tcW w:w="1925" w:type="dxa"/>
                <w:vAlign w:val="center"/>
              </w:tcPr>
              <w:p w14:paraId="6EDC3BBA" w14:textId="77777777" w:rsidR="005E000F" w:rsidRDefault="00000000">
                <w:pPr>
                  <w:rPr>
                    <w:sz w:val="15"/>
                    <w:szCs w:val="15"/>
                  </w:rPr>
                </w:pPr>
                <w:r>
                  <w:rPr>
                    <w:rFonts w:hint="eastAsia"/>
                    <w:sz w:val="15"/>
                    <w:szCs w:val="15"/>
                  </w:rPr>
                  <w:t>（六）其他</w:t>
                </w:r>
              </w:p>
            </w:tc>
          </w:sdtContent>
        </w:sdt>
        <w:tc>
          <w:tcPr>
            <w:tcW w:w="1411" w:type="dxa"/>
            <w:tcBorders>
              <w:right w:val="single" w:sz="4" w:space="0" w:color="auto"/>
            </w:tcBorders>
            <w:vAlign w:val="center"/>
          </w:tcPr>
          <w:p w14:paraId="11EC487B" w14:textId="77777777" w:rsidR="005E000F" w:rsidRDefault="00000000">
            <w:pPr>
              <w:jc w:val="right"/>
              <w:rPr>
                <w:sz w:val="15"/>
                <w:szCs w:val="15"/>
              </w:rPr>
            </w:pPr>
            <w:r>
              <w:rPr>
                <w:rFonts w:hint="eastAsia"/>
                <w:sz w:val="15"/>
                <w:szCs w:val="15"/>
              </w:rPr>
              <w:t>0</w:t>
            </w:r>
          </w:p>
        </w:tc>
        <w:tc>
          <w:tcPr>
            <w:tcW w:w="767" w:type="dxa"/>
            <w:tcBorders>
              <w:left w:val="single" w:sz="4" w:space="0" w:color="auto"/>
              <w:right w:val="single" w:sz="4" w:space="0" w:color="auto"/>
            </w:tcBorders>
            <w:vAlign w:val="center"/>
          </w:tcPr>
          <w:p w14:paraId="30A55E8B"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5328B564"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5BC38E53" w14:textId="77777777" w:rsidR="005E000F" w:rsidRDefault="00000000">
            <w:pPr>
              <w:jc w:val="right"/>
              <w:rPr>
                <w:sz w:val="15"/>
                <w:szCs w:val="15"/>
              </w:rPr>
            </w:pPr>
            <w:r>
              <w:rPr>
                <w:rFonts w:hint="eastAsia"/>
                <w:sz w:val="15"/>
                <w:szCs w:val="15"/>
              </w:rPr>
              <w:t>0</w:t>
            </w:r>
          </w:p>
        </w:tc>
        <w:tc>
          <w:tcPr>
            <w:tcW w:w="1166" w:type="dxa"/>
            <w:vAlign w:val="center"/>
          </w:tcPr>
          <w:p w14:paraId="7837ED8D" w14:textId="77777777" w:rsidR="005E000F" w:rsidRDefault="00000000">
            <w:pPr>
              <w:jc w:val="right"/>
              <w:rPr>
                <w:sz w:val="15"/>
                <w:szCs w:val="15"/>
              </w:rPr>
            </w:pPr>
            <w:r>
              <w:rPr>
                <w:rFonts w:hint="eastAsia"/>
                <w:sz w:val="15"/>
                <w:szCs w:val="15"/>
              </w:rPr>
              <w:t>0</w:t>
            </w:r>
          </w:p>
        </w:tc>
        <w:tc>
          <w:tcPr>
            <w:tcW w:w="1000" w:type="dxa"/>
            <w:vAlign w:val="center"/>
          </w:tcPr>
          <w:p w14:paraId="14A12D8A" w14:textId="77777777" w:rsidR="005E000F" w:rsidRDefault="00000000">
            <w:pPr>
              <w:jc w:val="right"/>
              <w:rPr>
                <w:sz w:val="15"/>
                <w:szCs w:val="15"/>
              </w:rPr>
            </w:pPr>
            <w:r>
              <w:rPr>
                <w:rFonts w:hint="eastAsia"/>
                <w:sz w:val="15"/>
                <w:szCs w:val="15"/>
              </w:rPr>
              <w:t>0</w:t>
            </w:r>
          </w:p>
        </w:tc>
        <w:tc>
          <w:tcPr>
            <w:tcW w:w="1134" w:type="dxa"/>
            <w:vAlign w:val="center"/>
          </w:tcPr>
          <w:p w14:paraId="065CCF98" w14:textId="77777777" w:rsidR="005E000F" w:rsidRDefault="00000000">
            <w:pPr>
              <w:jc w:val="right"/>
              <w:rPr>
                <w:sz w:val="15"/>
                <w:szCs w:val="15"/>
              </w:rPr>
            </w:pPr>
            <w:r>
              <w:rPr>
                <w:rFonts w:hint="eastAsia"/>
                <w:sz w:val="15"/>
                <w:szCs w:val="15"/>
              </w:rPr>
              <w:t>0</w:t>
            </w:r>
          </w:p>
        </w:tc>
        <w:tc>
          <w:tcPr>
            <w:tcW w:w="1033" w:type="dxa"/>
            <w:vAlign w:val="center"/>
          </w:tcPr>
          <w:p w14:paraId="3194A022" w14:textId="77777777" w:rsidR="005E000F" w:rsidRDefault="00000000">
            <w:pPr>
              <w:jc w:val="right"/>
              <w:rPr>
                <w:sz w:val="15"/>
                <w:szCs w:val="15"/>
              </w:rPr>
            </w:pPr>
            <w:r>
              <w:rPr>
                <w:rFonts w:hint="eastAsia"/>
                <w:sz w:val="15"/>
                <w:szCs w:val="15"/>
              </w:rPr>
              <w:t>0</w:t>
            </w:r>
          </w:p>
        </w:tc>
        <w:tc>
          <w:tcPr>
            <w:tcW w:w="1167" w:type="dxa"/>
            <w:vAlign w:val="center"/>
          </w:tcPr>
          <w:p w14:paraId="2DD00EBF" w14:textId="77777777" w:rsidR="005E000F" w:rsidRDefault="00000000">
            <w:pPr>
              <w:jc w:val="right"/>
              <w:rPr>
                <w:sz w:val="15"/>
                <w:szCs w:val="15"/>
              </w:rPr>
            </w:pPr>
            <w:r>
              <w:rPr>
                <w:rFonts w:hint="eastAsia"/>
                <w:sz w:val="15"/>
                <w:szCs w:val="15"/>
              </w:rPr>
              <w:t>0</w:t>
            </w:r>
          </w:p>
        </w:tc>
        <w:tc>
          <w:tcPr>
            <w:tcW w:w="1166" w:type="dxa"/>
            <w:vAlign w:val="center"/>
          </w:tcPr>
          <w:p w14:paraId="21D2796C" w14:textId="77777777" w:rsidR="005E000F" w:rsidRDefault="00000000">
            <w:pPr>
              <w:jc w:val="right"/>
              <w:rPr>
                <w:sz w:val="15"/>
                <w:szCs w:val="15"/>
              </w:rPr>
            </w:pPr>
            <w:r>
              <w:rPr>
                <w:rFonts w:hint="eastAsia"/>
                <w:sz w:val="15"/>
                <w:szCs w:val="15"/>
              </w:rPr>
              <w:t>0</w:t>
            </w:r>
          </w:p>
        </w:tc>
        <w:tc>
          <w:tcPr>
            <w:tcW w:w="1324" w:type="dxa"/>
            <w:vAlign w:val="center"/>
          </w:tcPr>
          <w:p w14:paraId="2288FB61" w14:textId="77777777" w:rsidR="005E000F" w:rsidRDefault="00000000">
            <w:pPr>
              <w:jc w:val="right"/>
              <w:rPr>
                <w:sz w:val="15"/>
                <w:szCs w:val="15"/>
              </w:rPr>
            </w:pPr>
            <w:r>
              <w:rPr>
                <w:rFonts w:hint="eastAsia"/>
                <w:sz w:val="15"/>
                <w:szCs w:val="15"/>
              </w:rPr>
              <w:t>0</w:t>
            </w:r>
          </w:p>
        </w:tc>
      </w:tr>
      <w:tr w:rsidR="005E000F" w14:paraId="3BC69748" w14:textId="77777777">
        <w:trPr>
          <w:trHeight w:val="20"/>
        </w:trPr>
        <w:sdt>
          <w:sdtPr>
            <w:rPr>
              <w:sz w:val="15"/>
              <w:szCs w:val="15"/>
            </w:rPr>
            <w:tag w:val="_PLD_0d209cea233c428da026233fffdd75cf"/>
            <w:id w:val="-1088691310"/>
          </w:sdtPr>
          <w:sdtContent>
            <w:tc>
              <w:tcPr>
                <w:tcW w:w="1925" w:type="dxa"/>
                <w:vAlign w:val="center"/>
              </w:tcPr>
              <w:p w14:paraId="043E2CBB" w14:textId="77777777" w:rsidR="005E000F" w:rsidRDefault="00000000">
                <w:pPr>
                  <w:rPr>
                    <w:sz w:val="15"/>
                    <w:szCs w:val="15"/>
                  </w:rPr>
                </w:pPr>
                <w:r>
                  <w:rPr>
                    <w:sz w:val="15"/>
                    <w:szCs w:val="15"/>
                  </w:rPr>
                  <w:t>四、本期期末余额</w:t>
                </w:r>
              </w:p>
            </w:tc>
          </w:sdtContent>
        </w:sdt>
        <w:tc>
          <w:tcPr>
            <w:tcW w:w="1411" w:type="dxa"/>
            <w:tcBorders>
              <w:right w:val="single" w:sz="4" w:space="0" w:color="auto"/>
            </w:tcBorders>
            <w:vAlign w:val="center"/>
          </w:tcPr>
          <w:p w14:paraId="6046C2BF" w14:textId="77777777" w:rsidR="005E000F" w:rsidRDefault="00000000">
            <w:pPr>
              <w:jc w:val="right"/>
              <w:rPr>
                <w:sz w:val="15"/>
                <w:szCs w:val="15"/>
              </w:rPr>
            </w:pPr>
            <w:r>
              <w:rPr>
                <w:sz w:val="15"/>
                <w:szCs w:val="15"/>
              </w:rPr>
              <w:t>20,147,177,716</w:t>
            </w:r>
          </w:p>
        </w:tc>
        <w:tc>
          <w:tcPr>
            <w:tcW w:w="767" w:type="dxa"/>
            <w:tcBorders>
              <w:left w:val="single" w:sz="4" w:space="0" w:color="auto"/>
              <w:right w:val="single" w:sz="4" w:space="0" w:color="auto"/>
            </w:tcBorders>
            <w:vAlign w:val="center"/>
          </w:tcPr>
          <w:p w14:paraId="15A9F7CD" w14:textId="77777777" w:rsidR="005E000F" w:rsidRDefault="00000000">
            <w:pPr>
              <w:jc w:val="right"/>
              <w:rPr>
                <w:sz w:val="15"/>
                <w:szCs w:val="15"/>
              </w:rPr>
            </w:pPr>
            <w:r>
              <w:rPr>
                <w:rFonts w:hint="eastAsia"/>
                <w:sz w:val="15"/>
                <w:szCs w:val="15"/>
              </w:rPr>
              <w:t>0</w:t>
            </w:r>
          </w:p>
        </w:tc>
        <w:tc>
          <w:tcPr>
            <w:tcW w:w="800" w:type="dxa"/>
            <w:tcBorders>
              <w:left w:val="single" w:sz="4" w:space="0" w:color="auto"/>
              <w:right w:val="single" w:sz="4" w:space="0" w:color="auto"/>
            </w:tcBorders>
            <w:vAlign w:val="center"/>
          </w:tcPr>
          <w:p w14:paraId="349421DB" w14:textId="77777777" w:rsidR="005E000F" w:rsidRDefault="00000000">
            <w:pPr>
              <w:jc w:val="right"/>
              <w:rPr>
                <w:sz w:val="15"/>
                <w:szCs w:val="15"/>
              </w:rPr>
            </w:pPr>
            <w:r>
              <w:rPr>
                <w:rFonts w:hint="eastAsia"/>
                <w:sz w:val="15"/>
                <w:szCs w:val="15"/>
              </w:rPr>
              <w:t>0</w:t>
            </w:r>
          </w:p>
        </w:tc>
        <w:tc>
          <w:tcPr>
            <w:tcW w:w="1067" w:type="dxa"/>
            <w:tcBorders>
              <w:left w:val="single" w:sz="4" w:space="0" w:color="auto"/>
            </w:tcBorders>
            <w:vAlign w:val="center"/>
          </w:tcPr>
          <w:p w14:paraId="31E392BF" w14:textId="77777777" w:rsidR="005E000F" w:rsidRDefault="00000000">
            <w:pPr>
              <w:jc w:val="right"/>
              <w:rPr>
                <w:sz w:val="15"/>
                <w:szCs w:val="15"/>
              </w:rPr>
            </w:pPr>
            <w:r>
              <w:rPr>
                <w:rFonts w:hint="eastAsia"/>
                <w:sz w:val="15"/>
                <w:szCs w:val="15"/>
              </w:rPr>
              <w:t>0</w:t>
            </w:r>
          </w:p>
        </w:tc>
        <w:tc>
          <w:tcPr>
            <w:tcW w:w="1166" w:type="dxa"/>
            <w:vAlign w:val="center"/>
          </w:tcPr>
          <w:p w14:paraId="0281681B" w14:textId="77777777" w:rsidR="005E000F" w:rsidRDefault="00000000">
            <w:pPr>
              <w:jc w:val="right"/>
              <w:rPr>
                <w:sz w:val="15"/>
                <w:szCs w:val="15"/>
              </w:rPr>
            </w:pPr>
            <w:r>
              <w:rPr>
                <w:sz w:val="15"/>
                <w:szCs w:val="15"/>
              </w:rPr>
              <w:t>54,681,206,433</w:t>
            </w:r>
          </w:p>
        </w:tc>
        <w:tc>
          <w:tcPr>
            <w:tcW w:w="1000" w:type="dxa"/>
            <w:vAlign w:val="center"/>
          </w:tcPr>
          <w:p w14:paraId="3983888F" w14:textId="77777777" w:rsidR="005E000F" w:rsidRDefault="00000000">
            <w:pPr>
              <w:jc w:val="right"/>
              <w:rPr>
                <w:sz w:val="15"/>
                <w:szCs w:val="15"/>
              </w:rPr>
            </w:pPr>
            <w:r>
              <w:rPr>
                <w:sz w:val="15"/>
                <w:szCs w:val="15"/>
              </w:rPr>
              <w:t>247,783,807</w:t>
            </w:r>
          </w:p>
        </w:tc>
        <w:tc>
          <w:tcPr>
            <w:tcW w:w="1134" w:type="dxa"/>
            <w:vAlign w:val="center"/>
          </w:tcPr>
          <w:p w14:paraId="061AAB00" w14:textId="77777777" w:rsidR="005E000F" w:rsidRDefault="00000000">
            <w:pPr>
              <w:jc w:val="right"/>
              <w:rPr>
                <w:sz w:val="15"/>
                <w:szCs w:val="15"/>
              </w:rPr>
            </w:pPr>
            <w:r>
              <w:rPr>
                <w:sz w:val="15"/>
                <w:szCs w:val="15"/>
              </w:rPr>
              <w:t>-1,971,802,817</w:t>
            </w:r>
          </w:p>
        </w:tc>
        <w:tc>
          <w:tcPr>
            <w:tcW w:w="1033" w:type="dxa"/>
            <w:vAlign w:val="center"/>
          </w:tcPr>
          <w:p w14:paraId="481EC956" w14:textId="77777777" w:rsidR="005E000F" w:rsidRDefault="00000000">
            <w:pPr>
              <w:jc w:val="right"/>
              <w:rPr>
                <w:sz w:val="15"/>
                <w:szCs w:val="15"/>
              </w:rPr>
            </w:pPr>
            <w:r>
              <w:rPr>
                <w:sz w:val="15"/>
                <w:szCs w:val="15"/>
              </w:rPr>
              <w:t>69,708,200</w:t>
            </w:r>
          </w:p>
        </w:tc>
        <w:tc>
          <w:tcPr>
            <w:tcW w:w="1167" w:type="dxa"/>
            <w:vAlign w:val="center"/>
          </w:tcPr>
          <w:p w14:paraId="601EB3C5" w14:textId="77777777" w:rsidR="005E000F" w:rsidRDefault="00000000">
            <w:pPr>
              <w:jc w:val="right"/>
              <w:rPr>
                <w:sz w:val="15"/>
                <w:szCs w:val="15"/>
              </w:rPr>
            </w:pPr>
            <w:r>
              <w:rPr>
                <w:sz w:val="15"/>
                <w:szCs w:val="15"/>
              </w:rPr>
              <w:t>21,375,423,863</w:t>
            </w:r>
          </w:p>
        </w:tc>
        <w:tc>
          <w:tcPr>
            <w:tcW w:w="1166" w:type="dxa"/>
            <w:vAlign w:val="center"/>
          </w:tcPr>
          <w:p w14:paraId="14E36A01" w14:textId="77777777" w:rsidR="005E000F" w:rsidRDefault="00000000">
            <w:pPr>
              <w:jc w:val="right"/>
              <w:rPr>
                <w:sz w:val="15"/>
                <w:szCs w:val="15"/>
              </w:rPr>
            </w:pPr>
            <w:r>
              <w:rPr>
                <w:sz w:val="15"/>
                <w:szCs w:val="15"/>
              </w:rPr>
              <w:t>71,709,426,287</w:t>
            </w:r>
          </w:p>
        </w:tc>
        <w:tc>
          <w:tcPr>
            <w:tcW w:w="1324" w:type="dxa"/>
            <w:vAlign w:val="center"/>
          </w:tcPr>
          <w:p w14:paraId="73666F3E" w14:textId="77777777" w:rsidR="005E000F" w:rsidRDefault="00000000">
            <w:pPr>
              <w:jc w:val="right"/>
              <w:rPr>
                <w:sz w:val="15"/>
                <w:szCs w:val="15"/>
              </w:rPr>
            </w:pPr>
            <w:r>
              <w:rPr>
                <w:sz w:val="15"/>
                <w:szCs w:val="15"/>
              </w:rPr>
              <w:t>165,763,355,875</w:t>
            </w:r>
          </w:p>
        </w:tc>
      </w:tr>
    </w:tbl>
    <w:p w14:paraId="4CA68570" w14:textId="77777777" w:rsidR="005E000F" w:rsidRDefault="005E000F"/>
    <w:tbl>
      <w:tblPr>
        <w:tblpPr w:leftFromText="180" w:rightFromText="180" w:vertAnchor="text" w:horzAnchor="page" w:tblpX="1513" w:tblpY="235"/>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43"/>
        <w:gridCol w:w="1390"/>
        <w:gridCol w:w="760"/>
        <w:gridCol w:w="700"/>
        <w:gridCol w:w="1180"/>
        <w:gridCol w:w="1180"/>
        <w:gridCol w:w="600"/>
        <w:gridCol w:w="1240"/>
        <w:gridCol w:w="1210"/>
        <w:gridCol w:w="1180"/>
        <w:gridCol w:w="1270"/>
        <w:gridCol w:w="1251"/>
      </w:tblGrid>
      <w:tr w:rsidR="005E000F" w14:paraId="2474E005" w14:textId="77777777">
        <w:trPr>
          <w:trHeight w:val="20"/>
        </w:trPr>
        <w:tc>
          <w:tcPr>
            <w:tcW w:w="1943" w:type="dxa"/>
            <w:vMerge w:val="restart"/>
            <w:vAlign w:val="center"/>
          </w:tcPr>
          <w:sdt>
            <w:sdtPr>
              <w:rPr>
                <w:sz w:val="15"/>
                <w:szCs w:val="15"/>
              </w:rPr>
              <w:tag w:val="_PLD_64a794ab75214f6d9d66748804bee4e8"/>
              <w:id w:val="147480979"/>
            </w:sdtPr>
            <w:sdtContent>
              <w:p w14:paraId="2B5A0330" w14:textId="77777777" w:rsidR="005E000F" w:rsidRDefault="00000000">
                <w:pPr>
                  <w:adjustRightInd w:val="0"/>
                  <w:snapToGrid w:val="0"/>
                  <w:jc w:val="center"/>
                  <w:rPr>
                    <w:sz w:val="15"/>
                    <w:szCs w:val="15"/>
                  </w:rPr>
                </w:pPr>
                <w:r>
                  <w:rPr>
                    <w:rFonts w:hint="eastAsia"/>
                    <w:sz w:val="15"/>
                    <w:szCs w:val="15"/>
                  </w:rPr>
                  <w:t>项目</w:t>
                </w:r>
              </w:p>
            </w:sdtContent>
          </w:sdt>
        </w:tc>
        <w:tc>
          <w:tcPr>
            <w:tcW w:w="11961" w:type="dxa"/>
            <w:gridSpan w:val="11"/>
            <w:vAlign w:val="center"/>
          </w:tcPr>
          <w:p w14:paraId="373918B0" w14:textId="77777777" w:rsidR="005E000F" w:rsidRDefault="00000000">
            <w:pPr>
              <w:adjustRightInd w:val="0"/>
              <w:snapToGrid w:val="0"/>
              <w:jc w:val="center"/>
              <w:rPr>
                <w:sz w:val="15"/>
                <w:szCs w:val="15"/>
              </w:rPr>
            </w:pPr>
            <w:r>
              <w:rPr>
                <w:rFonts w:hint="eastAsia"/>
                <w:sz w:val="15"/>
                <w:szCs w:val="15"/>
              </w:rPr>
              <w:t xml:space="preserve"> </w:t>
            </w:r>
            <w:sdt>
              <w:sdtPr>
                <w:rPr>
                  <w:sz w:val="15"/>
                  <w:szCs w:val="15"/>
                </w:rPr>
                <w:tag w:val="_PLD_6226137cffd442dfb505b8cfe7d1f423"/>
                <w:id w:val="147469036"/>
              </w:sdtPr>
              <w:sdtContent>
                <w:r>
                  <w:rPr>
                    <w:rFonts w:hint="eastAsia"/>
                    <w:sz w:val="15"/>
                    <w:szCs w:val="15"/>
                  </w:rPr>
                  <w:t>2024</w:t>
                </w:r>
                <w:r>
                  <w:rPr>
                    <w:rFonts w:hint="eastAsia"/>
                    <w:sz w:val="15"/>
                    <w:szCs w:val="15"/>
                  </w:rPr>
                  <w:t>年度</w:t>
                </w:r>
              </w:sdtContent>
            </w:sdt>
          </w:p>
        </w:tc>
      </w:tr>
      <w:tr w:rsidR="005E000F" w14:paraId="59E64F33" w14:textId="77777777">
        <w:trPr>
          <w:trHeight w:val="315"/>
        </w:trPr>
        <w:tc>
          <w:tcPr>
            <w:tcW w:w="1943" w:type="dxa"/>
            <w:vMerge/>
            <w:vAlign w:val="center"/>
          </w:tcPr>
          <w:p w14:paraId="32C2EF9E" w14:textId="77777777" w:rsidR="005E000F" w:rsidRDefault="005E000F">
            <w:pPr>
              <w:adjustRightInd w:val="0"/>
              <w:snapToGrid w:val="0"/>
              <w:rPr>
                <w:sz w:val="15"/>
                <w:szCs w:val="15"/>
              </w:rPr>
            </w:pPr>
          </w:p>
        </w:tc>
        <w:sdt>
          <w:sdtPr>
            <w:rPr>
              <w:sz w:val="15"/>
              <w:szCs w:val="15"/>
            </w:rPr>
            <w:tag w:val="_PLD_e0e316f064db43a38ddec14c349b4dfa"/>
            <w:id w:val="147455924"/>
          </w:sdtPr>
          <w:sdtContent>
            <w:tc>
              <w:tcPr>
                <w:tcW w:w="1390" w:type="dxa"/>
                <w:vMerge w:val="restart"/>
                <w:tcBorders>
                  <w:right w:val="single" w:sz="4" w:space="0" w:color="auto"/>
                </w:tcBorders>
                <w:vAlign w:val="center"/>
              </w:tcPr>
              <w:p w14:paraId="7B6F4508" w14:textId="77777777" w:rsidR="005E000F" w:rsidRDefault="00000000">
                <w:pPr>
                  <w:adjustRightInd w:val="0"/>
                  <w:snapToGrid w:val="0"/>
                  <w:jc w:val="center"/>
                  <w:rPr>
                    <w:sz w:val="15"/>
                    <w:szCs w:val="15"/>
                  </w:rPr>
                </w:pPr>
                <w:r>
                  <w:rPr>
                    <w:sz w:val="15"/>
                    <w:szCs w:val="15"/>
                  </w:rPr>
                  <w:t>实收资本</w:t>
                </w:r>
                <w:r>
                  <w:rPr>
                    <w:sz w:val="15"/>
                    <w:szCs w:val="15"/>
                  </w:rPr>
                  <w:t xml:space="preserve"> </w:t>
                </w:r>
                <w:r>
                  <w:rPr>
                    <w:rFonts w:hint="eastAsia"/>
                    <w:sz w:val="15"/>
                    <w:szCs w:val="15"/>
                  </w:rPr>
                  <w:t>（</w:t>
                </w:r>
                <w:r>
                  <w:rPr>
                    <w:sz w:val="15"/>
                    <w:szCs w:val="15"/>
                  </w:rPr>
                  <w:t>或股本</w:t>
                </w:r>
                <w:r>
                  <w:rPr>
                    <w:rFonts w:hint="eastAsia"/>
                    <w:sz w:val="15"/>
                    <w:szCs w:val="15"/>
                  </w:rPr>
                  <w:t>）</w:t>
                </w:r>
              </w:p>
            </w:tc>
          </w:sdtContent>
        </w:sdt>
        <w:sdt>
          <w:sdtPr>
            <w:rPr>
              <w:sz w:val="15"/>
              <w:szCs w:val="15"/>
            </w:rPr>
            <w:tag w:val="_PLD_2c82747108ee4c518651265b45dbebcd"/>
            <w:id w:val="147452591"/>
          </w:sdtPr>
          <w:sdtContent>
            <w:tc>
              <w:tcPr>
                <w:tcW w:w="2640" w:type="dxa"/>
                <w:gridSpan w:val="3"/>
                <w:tcBorders>
                  <w:left w:val="single" w:sz="4" w:space="0" w:color="auto"/>
                  <w:bottom w:val="single" w:sz="4" w:space="0" w:color="auto"/>
                </w:tcBorders>
                <w:vAlign w:val="center"/>
              </w:tcPr>
              <w:p w14:paraId="76B82C6E" w14:textId="77777777" w:rsidR="005E000F" w:rsidRDefault="00000000">
                <w:pPr>
                  <w:adjustRightInd w:val="0"/>
                  <w:snapToGrid w:val="0"/>
                  <w:jc w:val="center"/>
                  <w:rPr>
                    <w:sz w:val="15"/>
                    <w:szCs w:val="15"/>
                  </w:rPr>
                </w:pPr>
                <w:r>
                  <w:rPr>
                    <w:rFonts w:hint="eastAsia"/>
                    <w:sz w:val="15"/>
                    <w:szCs w:val="15"/>
                  </w:rPr>
                  <w:t>其他权益工具</w:t>
                </w:r>
              </w:p>
            </w:tc>
          </w:sdtContent>
        </w:sdt>
        <w:sdt>
          <w:sdtPr>
            <w:rPr>
              <w:sz w:val="15"/>
              <w:szCs w:val="15"/>
            </w:rPr>
            <w:tag w:val="_PLD_c459549b516242be83fce2e92cc794e6"/>
            <w:id w:val="147454553"/>
          </w:sdtPr>
          <w:sdtContent>
            <w:tc>
              <w:tcPr>
                <w:tcW w:w="1180" w:type="dxa"/>
                <w:vMerge w:val="restart"/>
                <w:vAlign w:val="center"/>
              </w:tcPr>
              <w:p w14:paraId="128D60CA" w14:textId="77777777" w:rsidR="005E000F" w:rsidRDefault="00000000">
                <w:pPr>
                  <w:adjustRightInd w:val="0"/>
                  <w:snapToGrid w:val="0"/>
                  <w:jc w:val="center"/>
                  <w:rPr>
                    <w:sz w:val="15"/>
                    <w:szCs w:val="15"/>
                  </w:rPr>
                </w:pPr>
                <w:r>
                  <w:rPr>
                    <w:sz w:val="15"/>
                    <w:szCs w:val="15"/>
                  </w:rPr>
                  <w:t>资本公积</w:t>
                </w:r>
              </w:p>
            </w:tc>
          </w:sdtContent>
        </w:sdt>
        <w:sdt>
          <w:sdtPr>
            <w:rPr>
              <w:sz w:val="15"/>
              <w:szCs w:val="15"/>
            </w:rPr>
            <w:tag w:val="_PLD_9979085a666a4b7a9ee698268b0bb615"/>
            <w:id w:val="147471323"/>
          </w:sdtPr>
          <w:sdtContent>
            <w:tc>
              <w:tcPr>
                <w:tcW w:w="600" w:type="dxa"/>
                <w:vMerge w:val="restart"/>
                <w:vAlign w:val="center"/>
              </w:tcPr>
              <w:p w14:paraId="54C6DD5A" w14:textId="77777777" w:rsidR="005E000F" w:rsidRDefault="00000000">
                <w:pPr>
                  <w:adjustRightInd w:val="0"/>
                  <w:snapToGrid w:val="0"/>
                  <w:jc w:val="center"/>
                  <w:rPr>
                    <w:sz w:val="15"/>
                    <w:szCs w:val="15"/>
                  </w:rPr>
                </w:pPr>
                <w:r>
                  <w:rPr>
                    <w:sz w:val="15"/>
                    <w:szCs w:val="15"/>
                  </w:rPr>
                  <w:t>减：库存股</w:t>
                </w:r>
              </w:p>
            </w:tc>
          </w:sdtContent>
        </w:sdt>
        <w:sdt>
          <w:sdtPr>
            <w:rPr>
              <w:sz w:val="15"/>
              <w:szCs w:val="15"/>
            </w:rPr>
            <w:tag w:val="_PLD_3b870c2efbdc421980e0e6ed21bc828a"/>
            <w:id w:val="147472099"/>
          </w:sdtPr>
          <w:sdtContent>
            <w:tc>
              <w:tcPr>
                <w:tcW w:w="1240" w:type="dxa"/>
                <w:vMerge w:val="restart"/>
                <w:vAlign w:val="center"/>
              </w:tcPr>
              <w:p w14:paraId="6C26B9D5" w14:textId="77777777" w:rsidR="005E000F" w:rsidRDefault="00000000">
                <w:pPr>
                  <w:jc w:val="center"/>
                  <w:rPr>
                    <w:sz w:val="15"/>
                    <w:szCs w:val="15"/>
                  </w:rPr>
                </w:pPr>
                <w:r>
                  <w:rPr>
                    <w:rFonts w:hint="eastAsia"/>
                    <w:sz w:val="15"/>
                    <w:szCs w:val="15"/>
                  </w:rPr>
                  <w:t>其他综合收益</w:t>
                </w:r>
              </w:p>
            </w:tc>
          </w:sdtContent>
        </w:sdt>
        <w:sdt>
          <w:sdtPr>
            <w:rPr>
              <w:sz w:val="15"/>
              <w:szCs w:val="15"/>
            </w:rPr>
            <w:tag w:val="_PLD_68a9918174cf4752ad67388e59bb3c51"/>
            <w:id w:val="147467251"/>
          </w:sdtPr>
          <w:sdtContent>
            <w:tc>
              <w:tcPr>
                <w:tcW w:w="1210" w:type="dxa"/>
                <w:vMerge w:val="restart"/>
                <w:vAlign w:val="center"/>
              </w:tcPr>
              <w:p w14:paraId="24B40F0D" w14:textId="77777777" w:rsidR="005E000F" w:rsidRDefault="00000000">
                <w:pPr>
                  <w:adjustRightInd w:val="0"/>
                  <w:snapToGrid w:val="0"/>
                  <w:jc w:val="center"/>
                  <w:rPr>
                    <w:sz w:val="15"/>
                    <w:szCs w:val="15"/>
                  </w:rPr>
                </w:pPr>
                <w:r>
                  <w:rPr>
                    <w:rFonts w:hint="eastAsia"/>
                    <w:sz w:val="15"/>
                    <w:szCs w:val="15"/>
                  </w:rPr>
                  <w:t>专项储备</w:t>
                </w:r>
              </w:p>
            </w:tc>
          </w:sdtContent>
        </w:sdt>
        <w:sdt>
          <w:sdtPr>
            <w:rPr>
              <w:sz w:val="15"/>
              <w:szCs w:val="15"/>
            </w:rPr>
            <w:tag w:val="_PLD_eddda9b1710646a5811c9efb65bf8703"/>
            <w:id w:val="147479513"/>
          </w:sdtPr>
          <w:sdtContent>
            <w:tc>
              <w:tcPr>
                <w:tcW w:w="1180" w:type="dxa"/>
                <w:vMerge w:val="restart"/>
                <w:vAlign w:val="center"/>
              </w:tcPr>
              <w:p w14:paraId="2AB22424" w14:textId="77777777" w:rsidR="005E000F" w:rsidRDefault="00000000">
                <w:pPr>
                  <w:adjustRightInd w:val="0"/>
                  <w:snapToGrid w:val="0"/>
                  <w:jc w:val="center"/>
                  <w:rPr>
                    <w:sz w:val="15"/>
                    <w:szCs w:val="15"/>
                  </w:rPr>
                </w:pPr>
                <w:r>
                  <w:rPr>
                    <w:sz w:val="15"/>
                    <w:szCs w:val="15"/>
                  </w:rPr>
                  <w:t>盈余公积</w:t>
                </w:r>
              </w:p>
            </w:tc>
          </w:sdtContent>
        </w:sdt>
        <w:sdt>
          <w:sdtPr>
            <w:rPr>
              <w:sz w:val="15"/>
              <w:szCs w:val="15"/>
            </w:rPr>
            <w:tag w:val="_PLD_d210b1f3e63743b7b7ad078da7c00997"/>
            <w:id w:val="147462713"/>
          </w:sdtPr>
          <w:sdtContent>
            <w:tc>
              <w:tcPr>
                <w:tcW w:w="1270" w:type="dxa"/>
                <w:vMerge w:val="restart"/>
                <w:vAlign w:val="center"/>
              </w:tcPr>
              <w:p w14:paraId="0F213852" w14:textId="77777777" w:rsidR="005E000F" w:rsidRDefault="00000000">
                <w:pPr>
                  <w:adjustRightInd w:val="0"/>
                  <w:snapToGrid w:val="0"/>
                  <w:jc w:val="center"/>
                  <w:rPr>
                    <w:sz w:val="15"/>
                    <w:szCs w:val="15"/>
                  </w:rPr>
                </w:pPr>
                <w:r>
                  <w:rPr>
                    <w:sz w:val="15"/>
                    <w:szCs w:val="15"/>
                  </w:rPr>
                  <w:t>未分配利润</w:t>
                </w:r>
              </w:p>
            </w:tc>
          </w:sdtContent>
        </w:sdt>
        <w:sdt>
          <w:sdtPr>
            <w:rPr>
              <w:sz w:val="15"/>
              <w:szCs w:val="15"/>
            </w:rPr>
            <w:tag w:val="_PLD_d0efa115b304401592a693cab0f3a46a"/>
            <w:id w:val="147462899"/>
          </w:sdtPr>
          <w:sdtContent>
            <w:tc>
              <w:tcPr>
                <w:tcW w:w="1251" w:type="dxa"/>
                <w:vMerge w:val="restart"/>
                <w:vAlign w:val="center"/>
              </w:tcPr>
              <w:p w14:paraId="087A60F5" w14:textId="77777777" w:rsidR="005E000F" w:rsidRDefault="00000000">
                <w:pPr>
                  <w:adjustRightInd w:val="0"/>
                  <w:snapToGrid w:val="0"/>
                  <w:jc w:val="center"/>
                  <w:rPr>
                    <w:sz w:val="15"/>
                    <w:szCs w:val="15"/>
                  </w:rPr>
                </w:pPr>
                <w:r>
                  <w:rPr>
                    <w:sz w:val="15"/>
                    <w:szCs w:val="15"/>
                  </w:rPr>
                  <w:t>所有者权益合计</w:t>
                </w:r>
              </w:p>
            </w:tc>
          </w:sdtContent>
        </w:sdt>
      </w:tr>
      <w:tr w:rsidR="005E000F" w14:paraId="004B0045" w14:textId="77777777">
        <w:trPr>
          <w:trHeight w:val="294"/>
        </w:trPr>
        <w:tc>
          <w:tcPr>
            <w:tcW w:w="1943" w:type="dxa"/>
            <w:vMerge/>
            <w:vAlign w:val="center"/>
          </w:tcPr>
          <w:p w14:paraId="73793A35" w14:textId="77777777" w:rsidR="005E000F" w:rsidRDefault="005E000F">
            <w:pPr>
              <w:adjustRightInd w:val="0"/>
              <w:snapToGrid w:val="0"/>
              <w:rPr>
                <w:sz w:val="15"/>
                <w:szCs w:val="15"/>
              </w:rPr>
            </w:pPr>
          </w:p>
        </w:tc>
        <w:tc>
          <w:tcPr>
            <w:tcW w:w="1390" w:type="dxa"/>
            <w:vMerge/>
            <w:tcBorders>
              <w:right w:val="single" w:sz="4" w:space="0" w:color="auto"/>
            </w:tcBorders>
            <w:vAlign w:val="center"/>
          </w:tcPr>
          <w:p w14:paraId="0CBAE590" w14:textId="77777777" w:rsidR="005E000F" w:rsidRDefault="005E000F">
            <w:pPr>
              <w:adjustRightInd w:val="0"/>
              <w:snapToGrid w:val="0"/>
              <w:jc w:val="center"/>
              <w:rPr>
                <w:sz w:val="15"/>
                <w:szCs w:val="15"/>
              </w:rPr>
            </w:pPr>
          </w:p>
        </w:tc>
        <w:sdt>
          <w:sdtPr>
            <w:rPr>
              <w:sz w:val="15"/>
              <w:szCs w:val="15"/>
            </w:rPr>
            <w:tag w:val="_PLD_f219b4732c3e4bd5a67b8c298432fd3d"/>
            <w:id w:val="147469064"/>
          </w:sdtPr>
          <w:sdtContent>
            <w:tc>
              <w:tcPr>
                <w:tcW w:w="760" w:type="dxa"/>
                <w:tcBorders>
                  <w:top w:val="single" w:sz="4" w:space="0" w:color="auto"/>
                  <w:left w:val="single" w:sz="4" w:space="0" w:color="auto"/>
                  <w:right w:val="single" w:sz="4" w:space="0" w:color="auto"/>
                </w:tcBorders>
                <w:vAlign w:val="center"/>
              </w:tcPr>
              <w:p w14:paraId="790584C6" w14:textId="77777777" w:rsidR="005E000F" w:rsidRDefault="00000000">
                <w:pPr>
                  <w:adjustRightInd w:val="0"/>
                  <w:snapToGrid w:val="0"/>
                  <w:jc w:val="center"/>
                  <w:rPr>
                    <w:sz w:val="15"/>
                    <w:szCs w:val="15"/>
                  </w:rPr>
                </w:pPr>
                <w:r>
                  <w:rPr>
                    <w:rFonts w:hint="eastAsia"/>
                    <w:sz w:val="15"/>
                    <w:szCs w:val="15"/>
                  </w:rPr>
                  <w:t>优先股</w:t>
                </w:r>
              </w:p>
            </w:tc>
          </w:sdtContent>
        </w:sdt>
        <w:sdt>
          <w:sdtPr>
            <w:rPr>
              <w:sz w:val="15"/>
              <w:szCs w:val="15"/>
            </w:rPr>
            <w:tag w:val="_PLD_9c8ca36c728447658d99fee93d742edf"/>
            <w:id w:val="147452555"/>
          </w:sdtPr>
          <w:sdtContent>
            <w:tc>
              <w:tcPr>
                <w:tcW w:w="700" w:type="dxa"/>
                <w:tcBorders>
                  <w:top w:val="single" w:sz="4" w:space="0" w:color="auto"/>
                  <w:left w:val="single" w:sz="4" w:space="0" w:color="auto"/>
                  <w:right w:val="single" w:sz="4" w:space="0" w:color="auto"/>
                </w:tcBorders>
                <w:vAlign w:val="center"/>
              </w:tcPr>
              <w:p w14:paraId="63C39A5C" w14:textId="77777777" w:rsidR="005E000F" w:rsidRDefault="00000000">
                <w:pPr>
                  <w:adjustRightInd w:val="0"/>
                  <w:snapToGrid w:val="0"/>
                  <w:jc w:val="center"/>
                  <w:rPr>
                    <w:sz w:val="15"/>
                    <w:szCs w:val="15"/>
                  </w:rPr>
                </w:pPr>
                <w:r>
                  <w:rPr>
                    <w:rFonts w:hint="eastAsia"/>
                    <w:sz w:val="15"/>
                    <w:szCs w:val="15"/>
                  </w:rPr>
                  <w:t>永续债</w:t>
                </w:r>
              </w:p>
            </w:tc>
          </w:sdtContent>
        </w:sdt>
        <w:sdt>
          <w:sdtPr>
            <w:rPr>
              <w:sz w:val="15"/>
              <w:szCs w:val="15"/>
            </w:rPr>
            <w:tag w:val="_PLD_d053abd77b574111883b8fafe3a173d2"/>
            <w:id w:val="147478794"/>
          </w:sdtPr>
          <w:sdtContent>
            <w:tc>
              <w:tcPr>
                <w:tcW w:w="1180" w:type="dxa"/>
                <w:tcBorders>
                  <w:top w:val="single" w:sz="4" w:space="0" w:color="auto"/>
                  <w:left w:val="single" w:sz="4" w:space="0" w:color="auto"/>
                </w:tcBorders>
                <w:vAlign w:val="center"/>
              </w:tcPr>
              <w:p w14:paraId="6205B421" w14:textId="77777777" w:rsidR="005E000F" w:rsidRDefault="00000000">
                <w:pPr>
                  <w:adjustRightInd w:val="0"/>
                  <w:snapToGrid w:val="0"/>
                  <w:jc w:val="center"/>
                  <w:rPr>
                    <w:sz w:val="15"/>
                    <w:szCs w:val="15"/>
                  </w:rPr>
                </w:pPr>
                <w:r>
                  <w:rPr>
                    <w:rFonts w:hint="eastAsia"/>
                    <w:sz w:val="15"/>
                    <w:szCs w:val="15"/>
                  </w:rPr>
                  <w:t>其他</w:t>
                </w:r>
              </w:p>
            </w:tc>
          </w:sdtContent>
        </w:sdt>
        <w:tc>
          <w:tcPr>
            <w:tcW w:w="1180" w:type="dxa"/>
            <w:vMerge/>
            <w:vAlign w:val="center"/>
          </w:tcPr>
          <w:p w14:paraId="0FDC47BC" w14:textId="77777777" w:rsidR="005E000F" w:rsidRDefault="005E000F">
            <w:pPr>
              <w:adjustRightInd w:val="0"/>
              <w:snapToGrid w:val="0"/>
              <w:jc w:val="center"/>
              <w:rPr>
                <w:sz w:val="15"/>
                <w:szCs w:val="15"/>
              </w:rPr>
            </w:pPr>
          </w:p>
        </w:tc>
        <w:tc>
          <w:tcPr>
            <w:tcW w:w="600" w:type="dxa"/>
            <w:vMerge/>
            <w:vAlign w:val="center"/>
          </w:tcPr>
          <w:p w14:paraId="10B8A070" w14:textId="77777777" w:rsidR="005E000F" w:rsidRDefault="005E000F">
            <w:pPr>
              <w:adjustRightInd w:val="0"/>
              <w:snapToGrid w:val="0"/>
              <w:jc w:val="center"/>
              <w:rPr>
                <w:sz w:val="15"/>
                <w:szCs w:val="15"/>
              </w:rPr>
            </w:pPr>
          </w:p>
        </w:tc>
        <w:tc>
          <w:tcPr>
            <w:tcW w:w="1240" w:type="dxa"/>
            <w:vMerge/>
            <w:vAlign w:val="center"/>
          </w:tcPr>
          <w:p w14:paraId="15EF9174" w14:textId="77777777" w:rsidR="005E000F" w:rsidRDefault="005E000F">
            <w:pPr>
              <w:jc w:val="center"/>
              <w:rPr>
                <w:sz w:val="15"/>
                <w:szCs w:val="15"/>
              </w:rPr>
            </w:pPr>
          </w:p>
        </w:tc>
        <w:tc>
          <w:tcPr>
            <w:tcW w:w="1210" w:type="dxa"/>
            <w:vMerge/>
            <w:vAlign w:val="center"/>
          </w:tcPr>
          <w:p w14:paraId="22ABBB6D" w14:textId="77777777" w:rsidR="005E000F" w:rsidRDefault="005E000F">
            <w:pPr>
              <w:adjustRightInd w:val="0"/>
              <w:snapToGrid w:val="0"/>
              <w:jc w:val="center"/>
              <w:rPr>
                <w:sz w:val="15"/>
                <w:szCs w:val="15"/>
              </w:rPr>
            </w:pPr>
          </w:p>
        </w:tc>
        <w:tc>
          <w:tcPr>
            <w:tcW w:w="1180" w:type="dxa"/>
            <w:vMerge/>
            <w:vAlign w:val="center"/>
          </w:tcPr>
          <w:p w14:paraId="3142057D" w14:textId="77777777" w:rsidR="005E000F" w:rsidRDefault="005E000F">
            <w:pPr>
              <w:adjustRightInd w:val="0"/>
              <w:snapToGrid w:val="0"/>
              <w:jc w:val="center"/>
              <w:rPr>
                <w:sz w:val="15"/>
                <w:szCs w:val="15"/>
              </w:rPr>
            </w:pPr>
          </w:p>
        </w:tc>
        <w:tc>
          <w:tcPr>
            <w:tcW w:w="1270" w:type="dxa"/>
            <w:vMerge/>
            <w:vAlign w:val="center"/>
          </w:tcPr>
          <w:p w14:paraId="4CD94B6D" w14:textId="77777777" w:rsidR="005E000F" w:rsidRDefault="005E000F">
            <w:pPr>
              <w:adjustRightInd w:val="0"/>
              <w:snapToGrid w:val="0"/>
              <w:jc w:val="center"/>
              <w:rPr>
                <w:sz w:val="15"/>
                <w:szCs w:val="15"/>
              </w:rPr>
            </w:pPr>
          </w:p>
        </w:tc>
        <w:tc>
          <w:tcPr>
            <w:tcW w:w="1251" w:type="dxa"/>
            <w:vMerge/>
            <w:vAlign w:val="center"/>
          </w:tcPr>
          <w:p w14:paraId="472F6538" w14:textId="77777777" w:rsidR="005E000F" w:rsidRDefault="005E000F">
            <w:pPr>
              <w:adjustRightInd w:val="0"/>
              <w:snapToGrid w:val="0"/>
              <w:jc w:val="center"/>
              <w:rPr>
                <w:sz w:val="15"/>
                <w:szCs w:val="15"/>
              </w:rPr>
            </w:pPr>
          </w:p>
        </w:tc>
      </w:tr>
      <w:tr w:rsidR="005E000F" w14:paraId="59AE4E90" w14:textId="77777777">
        <w:trPr>
          <w:trHeight w:val="20"/>
        </w:trPr>
        <w:sdt>
          <w:sdtPr>
            <w:rPr>
              <w:sz w:val="15"/>
              <w:szCs w:val="15"/>
            </w:rPr>
            <w:tag w:val="_PLD_4b9f68f704bb4acfae62b3d3cbf0d790"/>
            <w:id w:val="147472775"/>
          </w:sdtPr>
          <w:sdtContent>
            <w:tc>
              <w:tcPr>
                <w:tcW w:w="1943" w:type="dxa"/>
                <w:vAlign w:val="center"/>
              </w:tcPr>
              <w:p w14:paraId="58561242" w14:textId="77777777" w:rsidR="005E000F" w:rsidRDefault="00000000">
                <w:pPr>
                  <w:rPr>
                    <w:sz w:val="15"/>
                    <w:szCs w:val="15"/>
                  </w:rPr>
                </w:pPr>
                <w:r>
                  <w:rPr>
                    <w:sz w:val="15"/>
                    <w:szCs w:val="15"/>
                  </w:rPr>
                  <w:t>一、上年</w:t>
                </w:r>
                <w:r>
                  <w:rPr>
                    <w:rFonts w:hint="eastAsia"/>
                    <w:sz w:val="15"/>
                    <w:szCs w:val="15"/>
                  </w:rPr>
                  <w:t>年</w:t>
                </w:r>
                <w:r>
                  <w:rPr>
                    <w:sz w:val="15"/>
                    <w:szCs w:val="15"/>
                  </w:rPr>
                  <w:t>末余额</w:t>
                </w:r>
              </w:p>
            </w:tc>
          </w:sdtContent>
        </w:sdt>
        <w:tc>
          <w:tcPr>
            <w:tcW w:w="1390" w:type="dxa"/>
            <w:tcBorders>
              <w:right w:val="single" w:sz="4" w:space="0" w:color="auto"/>
            </w:tcBorders>
            <w:vAlign w:val="center"/>
          </w:tcPr>
          <w:p w14:paraId="79075AD8" w14:textId="77777777" w:rsidR="005E000F" w:rsidRDefault="00000000">
            <w:pPr>
              <w:jc w:val="right"/>
              <w:rPr>
                <w:sz w:val="15"/>
                <w:szCs w:val="15"/>
              </w:rPr>
            </w:pPr>
            <w:r>
              <w:rPr>
                <w:sz w:val="15"/>
                <w:szCs w:val="15"/>
              </w:rPr>
              <w:t>15,747,314,635</w:t>
            </w:r>
          </w:p>
        </w:tc>
        <w:tc>
          <w:tcPr>
            <w:tcW w:w="760" w:type="dxa"/>
            <w:tcBorders>
              <w:left w:val="single" w:sz="4" w:space="0" w:color="auto"/>
              <w:right w:val="single" w:sz="4" w:space="0" w:color="auto"/>
            </w:tcBorders>
            <w:vAlign w:val="center"/>
          </w:tcPr>
          <w:p w14:paraId="2A351C23"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5285345E" w14:textId="77777777" w:rsidR="005E000F" w:rsidRDefault="00000000">
            <w:pPr>
              <w:jc w:val="right"/>
              <w:rPr>
                <w:sz w:val="15"/>
                <w:szCs w:val="15"/>
              </w:rPr>
            </w:pPr>
            <w:r>
              <w:rPr>
                <w:sz w:val="15"/>
                <w:szCs w:val="15"/>
              </w:rPr>
              <w:t>0</w:t>
            </w:r>
          </w:p>
        </w:tc>
        <w:tc>
          <w:tcPr>
            <w:tcW w:w="1180" w:type="dxa"/>
            <w:tcBorders>
              <w:left w:val="single" w:sz="4" w:space="0" w:color="auto"/>
              <w:right w:val="single" w:sz="4" w:space="0" w:color="auto"/>
            </w:tcBorders>
            <w:vAlign w:val="center"/>
          </w:tcPr>
          <w:p w14:paraId="5B36E931" w14:textId="77777777" w:rsidR="005E000F" w:rsidRDefault="00000000">
            <w:pPr>
              <w:jc w:val="right"/>
              <w:rPr>
                <w:sz w:val="15"/>
                <w:szCs w:val="15"/>
              </w:rPr>
            </w:pPr>
            <w:r>
              <w:rPr>
                <w:sz w:val="15"/>
                <w:szCs w:val="15"/>
              </w:rPr>
              <w:t>2,768,423,657</w:t>
            </w:r>
          </w:p>
        </w:tc>
        <w:tc>
          <w:tcPr>
            <w:tcW w:w="1180" w:type="dxa"/>
            <w:tcBorders>
              <w:left w:val="single" w:sz="4" w:space="0" w:color="auto"/>
            </w:tcBorders>
            <w:vAlign w:val="center"/>
          </w:tcPr>
          <w:p w14:paraId="649CDDFB" w14:textId="77777777" w:rsidR="005E000F" w:rsidRDefault="00000000">
            <w:pPr>
              <w:jc w:val="right"/>
              <w:rPr>
                <w:sz w:val="15"/>
                <w:szCs w:val="15"/>
              </w:rPr>
            </w:pPr>
            <w:r>
              <w:rPr>
                <w:sz w:val="15"/>
                <w:szCs w:val="15"/>
              </w:rPr>
              <w:t>29,497,162,418</w:t>
            </w:r>
          </w:p>
        </w:tc>
        <w:tc>
          <w:tcPr>
            <w:tcW w:w="600" w:type="dxa"/>
            <w:vAlign w:val="center"/>
          </w:tcPr>
          <w:p w14:paraId="70FCD693" w14:textId="77777777" w:rsidR="005E000F" w:rsidRDefault="00000000">
            <w:pPr>
              <w:jc w:val="right"/>
              <w:rPr>
                <w:sz w:val="15"/>
                <w:szCs w:val="15"/>
              </w:rPr>
            </w:pPr>
            <w:r>
              <w:rPr>
                <w:sz w:val="15"/>
                <w:szCs w:val="15"/>
              </w:rPr>
              <w:t>0</w:t>
            </w:r>
          </w:p>
        </w:tc>
        <w:tc>
          <w:tcPr>
            <w:tcW w:w="1240" w:type="dxa"/>
            <w:vAlign w:val="center"/>
          </w:tcPr>
          <w:p w14:paraId="2EC0B0ED" w14:textId="77777777" w:rsidR="005E000F" w:rsidRDefault="00000000">
            <w:pPr>
              <w:jc w:val="right"/>
              <w:rPr>
                <w:sz w:val="15"/>
                <w:szCs w:val="15"/>
              </w:rPr>
            </w:pPr>
            <w:r>
              <w:rPr>
                <w:sz w:val="15"/>
                <w:szCs w:val="15"/>
              </w:rPr>
              <w:t>-792,801,464</w:t>
            </w:r>
          </w:p>
        </w:tc>
        <w:tc>
          <w:tcPr>
            <w:tcW w:w="1210" w:type="dxa"/>
            <w:vAlign w:val="center"/>
          </w:tcPr>
          <w:p w14:paraId="315040C0" w14:textId="77777777" w:rsidR="005E000F" w:rsidRDefault="00000000">
            <w:pPr>
              <w:jc w:val="right"/>
              <w:rPr>
                <w:sz w:val="15"/>
                <w:szCs w:val="15"/>
              </w:rPr>
            </w:pPr>
            <w:r>
              <w:rPr>
                <w:sz w:val="15"/>
                <w:szCs w:val="15"/>
              </w:rPr>
              <w:t>393,645,090</w:t>
            </w:r>
          </w:p>
        </w:tc>
        <w:tc>
          <w:tcPr>
            <w:tcW w:w="1180" w:type="dxa"/>
            <w:vAlign w:val="center"/>
          </w:tcPr>
          <w:p w14:paraId="6ED0D89E" w14:textId="77777777" w:rsidR="005E000F" w:rsidRDefault="00000000">
            <w:pPr>
              <w:jc w:val="right"/>
              <w:rPr>
                <w:sz w:val="15"/>
                <w:szCs w:val="15"/>
              </w:rPr>
            </w:pPr>
            <w:r>
              <w:rPr>
                <w:sz w:val="15"/>
                <w:szCs w:val="15"/>
              </w:rPr>
              <w:t>19,860,409,778</w:t>
            </w:r>
          </w:p>
        </w:tc>
        <w:tc>
          <w:tcPr>
            <w:tcW w:w="1270" w:type="dxa"/>
            <w:vAlign w:val="center"/>
          </w:tcPr>
          <w:p w14:paraId="5D13218E" w14:textId="77777777" w:rsidR="005E000F" w:rsidRDefault="00000000">
            <w:pPr>
              <w:jc w:val="right"/>
              <w:rPr>
                <w:sz w:val="15"/>
                <w:szCs w:val="15"/>
              </w:rPr>
            </w:pPr>
            <w:r>
              <w:rPr>
                <w:sz w:val="15"/>
                <w:szCs w:val="15"/>
              </w:rPr>
              <w:t>71,585,065,760</w:t>
            </w:r>
          </w:p>
        </w:tc>
        <w:tc>
          <w:tcPr>
            <w:tcW w:w="1251" w:type="dxa"/>
            <w:vAlign w:val="center"/>
          </w:tcPr>
          <w:p w14:paraId="41FB1DAD" w14:textId="77777777" w:rsidR="005E000F" w:rsidRDefault="00000000">
            <w:pPr>
              <w:jc w:val="right"/>
              <w:rPr>
                <w:sz w:val="15"/>
                <w:szCs w:val="15"/>
              </w:rPr>
            </w:pPr>
            <w:r>
              <w:rPr>
                <w:sz w:val="15"/>
                <w:szCs w:val="15"/>
              </w:rPr>
              <w:t>139,059,219,874</w:t>
            </w:r>
          </w:p>
        </w:tc>
      </w:tr>
      <w:tr w:rsidR="005E000F" w14:paraId="589A2D0A" w14:textId="77777777">
        <w:trPr>
          <w:trHeight w:val="20"/>
        </w:trPr>
        <w:sdt>
          <w:sdtPr>
            <w:rPr>
              <w:sz w:val="15"/>
              <w:szCs w:val="15"/>
            </w:rPr>
            <w:tag w:val="_PLD_f7c284bf05bc4bb48bad7c818c157aa9"/>
            <w:id w:val="147477235"/>
          </w:sdtPr>
          <w:sdtContent>
            <w:tc>
              <w:tcPr>
                <w:tcW w:w="1943" w:type="dxa"/>
                <w:vAlign w:val="center"/>
              </w:tcPr>
              <w:p w14:paraId="0F08C68D" w14:textId="77777777" w:rsidR="005E000F" w:rsidRDefault="00000000">
                <w:pPr>
                  <w:rPr>
                    <w:sz w:val="15"/>
                    <w:szCs w:val="15"/>
                  </w:rPr>
                </w:pPr>
                <w:r>
                  <w:rPr>
                    <w:sz w:val="15"/>
                    <w:szCs w:val="15"/>
                  </w:rPr>
                  <w:t>加：会计政策变更</w:t>
                </w:r>
              </w:p>
            </w:tc>
          </w:sdtContent>
        </w:sdt>
        <w:tc>
          <w:tcPr>
            <w:tcW w:w="1390" w:type="dxa"/>
            <w:tcBorders>
              <w:right w:val="single" w:sz="4" w:space="0" w:color="auto"/>
            </w:tcBorders>
            <w:vAlign w:val="center"/>
          </w:tcPr>
          <w:p w14:paraId="5EB5D9B3"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016D9700"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64468ED9" w14:textId="77777777" w:rsidR="005E000F" w:rsidRDefault="00000000">
            <w:pPr>
              <w:jc w:val="right"/>
              <w:rPr>
                <w:sz w:val="15"/>
                <w:szCs w:val="15"/>
              </w:rPr>
            </w:pPr>
            <w:r>
              <w:rPr>
                <w:sz w:val="15"/>
                <w:szCs w:val="15"/>
              </w:rPr>
              <w:t>0</w:t>
            </w:r>
          </w:p>
        </w:tc>
        <w:tc>
          <w:tcPr>
            <w:tcW w:w="1180" w:type="dxa"/>
            <w:tcBorders>
              <w:left w:val="single" w:sz="4" w:space="0" w:color="auto"/>
              <w:right w:val="single" w:sz="4" w:space="0" w:color="auto"/>
            </w:tcBorders>
            <w:vAlign w:val="center"/>
          </w:tcPr>
          <w:p w14:paraId="01E30F5A"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7ED09994" w14:textId="77777777" w:rsidR="005E000F" w:rsidRDefault="00000000">
            <w:pPr>
              <w:jc w:val="right"/>
              <w:rPr>
                <w:sz w:val="15"/>
                <w:szCs w:val="15"/>
              </w:rPr>
            </w:pPr>
            <w:r>
              <w:rPr>
                <w:sz w:val="15"/>
                <w:szCs w:val="15"/>
              </w:rPr>
              <w:t>0</w:t>
            </w:r>
          </w:p>
        </w:tc>
        <w:tc>
          <w:tcPr>
            <w:tcW w:w="600" w:type="dxa"/>
            <w:vAlign w:val="center"/>
          </w:tcPr>
          <w:p w14:paraId="23A0B137" w14:textId="77777777" w:rsidR="005E000F" w:rsidRDefault="00000000">
            <w:pPr>
              <w:jc w:val="right"/>
              <w:rPr>
                <w:sz w:val="15"/>
                <w:szCs w:val="15"/>
              </w:rPr>
            </w:pPr>
            <w:r>
              <w:rPr>
                <w:sz w:val="15"/>
                <w:szCs w:val="15"/>
              </w:rPr>
              <w:t>0</w:t>
            </w:r>
          </w:p>
        </w:tc>
        <w:tc>
          <w:tcPr>
            <w:tcW w:w="1240" w:type="dxa"/>
            <w:vAlign w:val="center"/>
          </w:tcPr>
          <w:p w14:paraId="66BB4B7E" w14:textId="77777777" w:rsidR="005E000F" w:rsidRDefault="00000000">
            <w:pPr>
              <w:jc w:val="right"/>
              <w:rPr>
                <w:sz w:val="15"/>
                <w:szCs w:val="15"/>
              </w:rPr>
            </w:pPr>
            <w:r>
              <w:rPr>
                <w:sz w:val="15"/>
                <w:szCs w:val="15"/>
              </w:rPr>
              <w:t>0</w:t>
            </w:r>
          </w:p>
        </w:tc>
        <w:tc>
          <w:tcPr>
            <w:tcW w:w="1210" w:type="dxa"/>
            <w:vAlign w:val="center"/>
          </w:tcPr>
          <w:p w14:paraId="3A4C09AC" w14:textId="77777777" w:rsidR="005E000F" w:rsidRDefault="00000000">
            <w:pPr>
              <w:jc w:val="right"/>
              <w:rPr>
                <w:sz w:val="15"/>
                <w:szCs w:val="15"/>
              </w:rPr>
            </w:pPr>
            <w:r>
              <w:rPr>
                <w:sz w:val="15"/>
                <w:szCs w:val="15"/>
              </w:rPr>
              <w:t>0</w:t>
            </w:r>
          </w:p>
        </w:tc>
        <w:tc>
          <w:tcPr>
            <w:tcW w:w="1180" w:type="dxa"/>
            <w:vAlign w:val="center"/>
          </w:tcPr>
          <w:p w14:paraId="121BF0B7" w14:textId="77777777" w:rsidR="005E000F" w:rsidRDefault="00000000">
            <w:pPr>
              <w:jc w:val="right"/>
              <w:rPr>
                <w:sz w:val="15"/>
                <w:szCs w:val="15"/>
              </w:rPr>
            </w:pPr>
            <w:r>
              <w:rPr>
                <w:sz w:val="15"/>
                <w:szCs w:val="15"/>
              </w:rPr>
              <w:t>0</w:t>
            </w:r>
          </w:p>
        </w:tc>
        <w:tc>
          <w:tcPr>
            <w:tcW w:w="1270" w:type="dxa"/>
            <w:vAlign w:val="center"/>
          </w:tcPr>
          <w:p w14:paraId="54EE5F2A" w14:textId="77777777" w:rsidR="005E000F" w:rsidRDefault="00000000">
            <w:pPr>
              <w:jc w:val="right"/>
              <w:rPr>
                <w:sz w:val="15"/>
                <w:szCs w:val="15"/>
              </w:rPr>
            </w:pPr>
            <w:r>
              <w:rPr>
                <w:sz w:val="15"/>
                <w:szCs w:val="15"/>
              </w:rPr>
              <w:t>0</w:t>
            </w:r>
          </w:p>
        </w:tc>
        <w:tc>
          <w:tcPr>
            <w:tcW w:w="1251" w:type="dxa"/>
            <w:vAlign w:val="center"/>
          </w:tcPr>
          <w:p w14:paraId="57C5C16C" w14:textId="77777777" w:rsidR="005E000F" w:rsidRDefault="00000000">
            <w:pPr>
              <w:jc w:val="right"/>
              <w:rPr>
                <w:sz w:val="15"/>
                <w:szCs w:val="15"/>
              </w:rPr>
            </w:pPr>
            <w:r>
              <w:rPr>
                <w:sz w:val="15"/>
                <w:szCs w:val="15"/>
              </w:rPr>
              <w:t>0</w:t>
            </w:r>
          </w:p>
        </w:tc>
      </w:tr>
      <w:tr w:rsidR="005E000F" w14:paraId="6A1E1B96" w14:textId="77777777">
        <w:trPr>
          <w:trHeight w:val="20"/>
        </w:trPr>
        <w:sdt>
          <w:sdtPr>
            <w:rPr>
              <w:sz w:val="15"/>
              <w:szCs w:val="15"/>
            </w:rPr>
            <w:tag w:val="_PLD_b84d86ae618141938210b68f81aeafe0"/>
            <w:id w:val="147464598"/>
          </w:sdtPr>
          <w:sdtContent>
            <w:tc>
              <w:tcPr>
                <w:tcW w:w="1943" w:type="dxa"/>
                <w:vAlign w:val="center"/>
              </w:tcPr>
              <w:p w14:paraId="2DBECC8C" w14:textId="77777777" w:rsidR="005E000F" w:rsidRDefault="00000000">
                <w:pPr>
                  <w:ind w:firstLineChars="200" w:firstLine="300"/>
                  <w:rPr>
                    <w:sz w:val="15"/>
                    <w:szCs w:val="15"/>
                  </w:rPr>
                </w:pPr>
                <w:r>
                  <w:rPr>
                    <w:sz w:val="15"/>
                    <w:szCs w:val="15"/>
                  </w:rPr>
                  <w:t>前期差错更正</w:t>
                </w:r>
              </w:p>
            </w:tc>
          </w:sdtContent>
        </w:sdt>
        <w:tc>
          <w:tcPr>
            <w:tcW w:w="1390" w:type="dxa"/>
            <w:tcBorders>
              <w:right w:val="single" w:sz="4" w:space="0" w:color="auto"/>
            </w:tcBorders>
            <w:vAlign w:val="center"/>
          </w:tcPr>
          <w:p w14:paraId="0BB9F0A1"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7750F4D3"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77CD4686" w14:textId="77777777" w:rsidR="005E000F" w:rsidRDefault="00000000">
            <w:pPr>
              <w:jc w:val="right"/>
              <w:rPr>
                <w:sz w:val="15"/>
                <w:szCs w:val="15"/>
              </w:rPr>
            </w:pPr>
            <w:r>
              <w:rPr>
                <w:sz w:val="15"/>
                <w:szCs w:val="15"/>
              </w:rPr>
              <w:t>0</w:t>
            </w:r>
          </w:p>
        </w:tc>
        <w:tc>
          <w:tcPr>
            <w:tcW w:w="1180" w:type="dxa"/>
            <w:tcBorders>
              <w:left w:val="single" w:sz="4" w:space="0" w:color="auto"/>
              <w:right w:val="single" w:sz="4" w:space="0" w:color="auto"/>
            </w:tcBorders>
            <w:vAlign w:val="center"/>
          </w:tcPr>
          <w:p w14:paraId="191776E5"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3438FE8B" w14:textId="77777777" w:rsidR="005E000F" w:rsidRDefault="00000000">
            <w:pPr>
              <w:jc w:val="right"/>
              <w:rPr>
                <w:sz w:val="15"/>
                <w:szCs w:val="15"/>
              </w:rPr>
            </w:pPr>
            <w:r>
              <w:rPr>
                <w:sz w:val="15"/>
                <w:szCs w:val="15"/>
              </w:rPr>
              <w:t>0</w:t>
            </w:r>
          </w:p>
        </w:tc>
        <w:tc>
          <w:tcPr>
            <w:tcW w:w="600" w:type="dxa"/>
            <w:vAlign w:val="center"/>
          </w:tcPr>
          <w:p w14:paraId="0989DBB0" w14:textId="77777777" w:rsidR="005E000F" w:rsidRDefault="00000000">
            <w:pPr>
              <w:jc w:val="right"/>
              <w:rPr>
                <w:sz w:val="15"/>
                <w:szCs w:val="15"/>
              </w:rPr>
            </w:pPr>
            <w:r>
              <w:rPr>
                <w:sz w:val="15"/>
                <w:szCs w:val="15"/>
              </w:rPr>
              <w:t>0</w:t>
            </w:r>
          </w:p>
        </w:tc>
        <w:tc>
          <w:tcPr>
            <w:tcW w:w="1240" w:type="dxa"/>
            <w:vAlign w:val="center"/>
          </w:tcPr>
          <w:p w14:paraId="08BDA377" w14:textId="77777777" w:rsidR="005E000F" w:rsidRDefault="00000000">
            <w:pPr>
              <w:jc w:val="right"/>
              <w:rPr>
                <w:sz w:val="15"/>
                <w:szCs w:val="15"/>
              </w:rPr>
            </w:pPr>
            <w:r>
              <w:rPr>
                <w:sz w:val="15"/>
                <w:szCs w:val="15"/>
              </w:rPr>
              <w:t>0</w:t>
            </w:r>
          </w:p>
        </w:tc>
        <w:tc>
          <w:tcPr>
            <w:tcW w:w="1210" w:type="dxa"/>
            <w:vAlign w:val="center"/>
          </w:tcPr>
          <w:p w14:paraId="6E34CC5E" w14:textId="77777777" w:rsidR="005E000F" w:rsidRDefault="00000000">
            <w:pPr>
              <w:jc w:val="right"/>
              <w:rPr>
                <w:sz w:val="15"/>
                <w:szCs w:val="15"/>
              </w:rPr>
            </w:pPr>
            <w:r>
              <w:rPr>
                <w:sz w:val="15"/>
                <w:szCs w:val="15"/>
              </w:rPr>
              <w:t>0</w:t>
            </w:r>
          </w:p>
        </w:tc>
        <w:tc>
          <w:tcPr>
            <w:tcW w:w="1180" w:type="dxa"/>
            <w:vAlign w:val="center"/>
          </w:tcPr>
          <w:p w14:paraId="7A911E91" w14:textId="77777777" w:rsidR="005E000F" w:rsidRDefault="00000000">
            <w:pPr>
              <w:jc w:val="right"/>
              <w:rPr>
                <w:sz w:val="15"/>
                <w:szCs w:val="15"/>
              </w:rPr>
            </w:pPr>
            <w:r>
              <w:rPr>
                <w:sz w:val="15"/>
                <w:szCs w:val="15"/>
              </w:rPr>
              <w:t>0</w:t>
            </w:r>
          </w:p>
        </w:tc>
        <w:tc>
          <w:tcPr>
            <w:tcW w:w="1270" w:type="dxa"/>
            <w:vAlign w:val="center"/>
          </w:tcPr>
          <w:p w14:paraId="2C4E9A96" w14:textId="77777777" w:rsidR="005E000F" w:rsidRDefault="00000000">
            <w:pPr>
              <w:jc w:val="right"/>
              <w:rPr>
                <w:sz w:val="15"/>
                <w:szCs w:val="15"/>
              </w:rPr>
            </w:pPr>
            <w:r>
              <w:rPr>
                <w:sz w:val="15"/>
                <w:szCs w:val="15"/>
              </w:rPr>
              <w:t>0</w:t>
            </w:r>
          </w:p>
        </w:tc>
        <w:tc>
          <w:tcPr>
            <w:tcW w:w="1251" w:type="dxa"/>
            <w:vAlign w:val="center"/>
          </w:tcPr>
          <w:p w14:paraId="5E8D3459" w14:textId="77777777" w:rsidR="005E000F" w:rsidRDefault="00000000">
            <w:pPr>
              <w:jc w:val="right"/>
              <w:rPr>
                <w:sz w:val="15"/>
                <w:szCs w:val="15"/>
              </w:rPr>
            </w:pPr>
            <w:r>
              <w:rPr>
                <w:sz w:val="15"/>
                <w:szCs w:val="15"/>
              </w:rPr>
              <w:t>0</w:t>
            </w:r>
          </w:p>
        </w:tc>
      </w:tr>
      <w:tr w:rsidR="005E000F" w14:paraId="5DAAD5D0" w14:textId="77777777">
        <w:trPr>
          <w:trHeight w:val="20"/>
        </w:trPr>
        <w:sdt>
          <w:sdtPr>
            <w:rPr>
              <w:sz w:val="15"/>
              <w:szCs w:val="15"/>
            </w:rPr>
            <w:tag w:val="_PLD_ae13695d51ae418dba0671a598b76ffb"/>
            <w:id w:val="147472972"/>
          </w:sdtPr>
          <w:sdtContent>
            <w:tc>
              <w:tcPr>
                <w:tcW w:w="1943" w:type="dxa"/>
                <w:vAlign w:val="center"/>
              </w:tcPr>
              <w:p w14:paraId="201540DB" w14:textId="77777777" w:rsidR="005E000F" w:rsidRDefault="00000000">
                <w:pPr>
                  <w:ind w:firstLineChars="200" w:firstLine="300"/>
                  <w:rPr>
                    <w:sz w:val="15"/>
                    <w:szCs w:val="15"/>
                  </w:rPr>
                </w:pPr>
                <w:r>
                  <w:rPr>
                    <w:rFonts w:hint="eastAsia"/>
                    <w:sz w:val="15"/>
                    <w:szCs w:val="15"/>
                  </w:rPr>
                  <w:t>其他</w:t>
                </w:r>
              </w:p>
            </w:tc>
          </w:sdtContent>
        </w:sdt>
        <w:tc>
          <w:tcPr>
            <w:tcW w:w="1390" w:type="dxa"/>
            <w:tcBorders>
              <w:right w:val="single" w:sz="4" w:space="0" w:color="auto"/>
            </w:tcBorders>
            <w:vAlign w:val="center"/>
          </w:tcPr>
          <w:p w14:paraId="6A65D298"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5F4D0488"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28B3C427" w14:textId="77777777" w:rsidR="005E000F" w:rsidRDefault="00000000">
            <w:pPr>
              <w:jc w:val="right"/>
              <w:rPr>
                <w:sz w:val="15"/>
                <w:szCs w:val="15"/>
              </w:rPr>
            </w:pPr>
            <w:r>
              <w:rPr>
                <w:sz w:val="15"/>
                <w:szCs w:val="15"/>
              </w:rPr>
              <w:t>0</w:t>
            </w:r>
          </w:p>
        </w:tc>
        <w:tc>
          <w:tcPr>
            <w:tcW w:w="1180" w:type="dxa"/>
            <w:tcBorders>
              <w:left w:val="single" w:sz="4" w:space="0" w:color="auto"/>
              <w:right w:val="single" w:sz="4" w:space="0" w:color="auto"/>
            </w:tcBorders>
            <w:vAlign w:val="center"/>
          </w:tcPr>
          <w:p w14:paraId="1378D17B"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1D090FD6" w14:textId="77777777" w:rsidR="005E000F" w:rsidRDefault="00000000">
            <w:pPr>
              <w:jc w:val="right"/>
              <w:rPr>
                <w:sz w:val="15"/>
                <w:szCs w:val="15"/>
              </w:rPr>
            </w:pPr>
            <w:r>
              <w:rPr>
                <w:sz w:val="15"/>
                <w:szCs w:val="15"/>
              </w:rPr>
              <w:t>0</w:t>
            </w:r>
          </w:p>
        </w:tc>
        <w:tc>
          <w:tcPr>
            <w:tcW w:w="600" w:type="dxa"/>
            <w:vAlign w:val="center"/>
          </w:tcPr>
          <w:p w14:paraId="7FB14866" w14:textId="77777777" w:rsidR="005E000F" w:rsidRDefault="00000000">
            <w:pPr>
              <w:jc w:val="right"/>
              <w:rPr>
                <w:sz w:val="15"/>
                <w:szCs w:val="15"/>
              </w:rPr>
            </w:pPr>
            <w:r>
              <w:rPr>
                <w:sz w:val="15"/>
                <w:szCs w:val="15"/>
              </w:rPr>
              <w:t>0</w:t>
            </w:r>
          </w:p>
        </w:tc>
        <w:tc>
          <w:tcPr>
            <w:tcW w:w="1240" w:type="dxa"/>
            <w:vAlign w:val="center"/>
          </w:tcPr>
          <w:p w14:paraId="4F337215" w14:textId="77777777" w:rsidR="005E000F" w:rsidRDefault="00000000">
            <w:pPr>
              <w:jc w:val="right"/>
              <w:rPr>
                <w:sz w:val="15"/>
                <w:szCs w:val="15"/>
              </w:rPr>
            </w:pPr>
            <w:r>
              <w:rPr>
                <w:sz w:val="15"/>
                <w:szCs w:val="15"/>
              </w:rPr>
              <w:t>0</w:t>
            </w:r>
          </w:p>
        </w:tc>
        <w:tc>
          <w:tcPr>
            <w:tcW w:w="1210" w:type="dxa"/>
            <w:vAlign w:val="center"/>
          </w:tcPr>
          <w:p w14:paraId="03AC6161" w14:textId="77777777" w:rsidR="005E000F" w:rsidRDefault="00000000">
            <w:pPr>
              <w:jc w:val="right"/>
              <w:rPr>
                <w:sz w:val="15"/>
                <w:szCs w:val="15"/>
              </w:rPr>
            </w:pPr>
            <w:r>
              <w:rPr>
                <w:sz w:val="15"/>
                <w:szCs w:val="15"/>
              </w:rPr>
              <w:t>0</w:t>
            </w:r>
          </w:p>
        </w:tc>
        <w:tc>
          <w:tcPr>
            <w:tcW w:w="1180" w:type="dxa"/>
            <w:vAlign w:val="center"/>
          </w:tcPr>
          <w:p w14:paraId="0720803D" w14:textId="77777777" w:rsidR="005E000F" w:rsidRDefault="00000000">
            <w:pPr>
              <w:jc w:val="right"/>
              <w:rPr>
                <w:sz w:val="15"/>
                <w:szCs w:val="15"/>
              </w:rPr>
            </w:pPr>
            <w:r>
              <w:rPr>
                <w:sz w:val="15"/>
                <w:szCs w:val="15"/>
              </w:rPr>
              <w:t>0</w:t>
            </w:r>
          </w:p>
        </w:tc>
        <w:tc>
          <w:tcPr>
            <w:tcW w:w="1270" w:type="dxa"/>
            <w:vAlign w:val="center"/>
          </w:tcPr>
          <w:p w14:paraId="04E447E8" w14:textId="77777777" w:rsidR="005E000F" w:rsidRDefault="00000000">
            <w:pPr>
              <w:jc w:val="right"/>
              <w:rPr>
                <w:sz w:val="15"/>
                <w:szCs w:val="15"/>
              </w:rPr>
            </w:pPr>
            <w:r>
              <w:rPr>
                <w:sz w:val="15"/>
                <w:szCs w:val="15"/>
              </w:rPr>
              <w:t>0</w:t>
            </w:r>
          </w:p>
        </w:tc>
        <w:tc>
          <w:tcPr>
            <w:tcW w:w="1251" w:type="dxa"/>
            <w:vAlign w:val="center"/>
          </w:tcPr>
          <w:p w14:paraId="44A7350C" w14:textId="77777777" w:rsidR="005E000F" w:rsidRDefault="00000000">
            <w:pPr>
              <w:jc w:val="right"/>
              <w:rPr>
                <w:sz w:val="15"/>
                <w:szCs w:val="15"/>
              </w:rPr>
            </w:pPr>
            <w:r>
              <w:rPr>
                <w:sz w:val="15"/>
                <w:szCs w:val="15"/>
              </w:rPr>
              <w:t>0</w:t>
            </w:r>
          </w:p>
        </w:tc>
      </w:tr>
      <w:tr w:rsidR="005E000F" w14:paraId="2E569F1A" w14:textId="77777777">
        <w:trPr>
          <w:trHeight w:val="20"/>
        </w:trPr>
        <w:sdt>
          <w:sdtPr>
            <w:rPr>
              <w:sz w:val="15"/>
              <w:szCs w:val="15"/>
            </w:rPr>
            <w:tag w:val="_PLD_4841ceb909a14a2abffb67eeb3435694"/>
            <w:id w:val="147470936"/>
          </w:sdtPr>
          <w:sdtContent>
            <w:tc>
              <w:tcPr>
                <w:tcW w:w="1943" w:type="dxa"/>
                <w:vAlign w:val="center"/>
              </w:tcPr>
              <w:p w14:paraId="7DD97F33" w14:textId="77777777" w:rsidR="005E000F" w:rsidRDefault="00000000">
                <w:pPr>
                  <w:rPr>
                    <w:sz w:val="15"/>
                    <w:szCs w:val="15"/>
                  </w:rPr>
                </w:pPr>
                <w:r>
                  <w:rPr>
                    <w:sz w:val="15"/>
                    <w:szCs w:val="15"/>
                  </w:rPr>
                  <w:t>二、本年</w:t>
                </w:r>
                <w:r>
                  <w:rPr>
                    <w:rFonts w:hint="eastAsia"/>
                    <w:sz w:val="15"/>
                    <w:szCs w:val="15"/>
                  </w:rPr>
                  <w:t>期</w:t>
                </w:r>
                <w:r>
                  <w:rPr>
                    <w:sz w:val="15"/>
                    <w:szCs w:val="15"/>
                  </w:rPr>
                  <w:t>初余额</w:t>
                </w:r>
              </w:p>
            </w:tc>
          </w:sdtContent>
        </w:sdt>
        <w:tc>
          <w:tcPr>
            <w:tcW w:w="1390" w:type="dxa"/>
            <w:tcBorders>
              <w:right w:val="single" w:sz="4" w:space="0" w:color="auto"/>
            </w:tcBorders>
            <w:vAlign w:val="center"/>
          </w:tcPr>
          <w:p w14:paraId="1BF1C449" w14:textId="77777777" w:rsidR="005E000F" w:rsidRDefault="00000000">
            <w:pPr>
              <w:jc w:val="right"/>
              <w:rPr>
                <w:sz w:val="15"/>
                <w:szCs w:val="15"/>
              </w:rPr>
            </w:pPr>
            <w:r>
              <w:rPr>
                <w:sz w:val="15"/>
                <w:szCs w:val="15"/>
              </w:rPr>
              <w:t>15,747,314,635</w:t>
            </w:r>
          </w:p>
        </w:tc>
        <w:tc>
          <w:tcPr>
            <w:tcW w:w="760" w:type="dxa"/>
            <w:tcBorders>
              <w:left w:val="single" w:sz="4" w:space="0" w:color="auto"/>
              <w:right w:val="single" w:sz="4" w:space="0" w:color="auto"/>
            </w:tcBorders>
            <w:vAlign w:val="center"/>
          </w:tcPr>
          <w:p w14:paraId="2503E8A2"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2200469A" w14:textId="77777777" w:rsidR="005E000F" w:rsidRDefault="00000000">
            <w:pPr>
              <w:jc w:val="right"/>
              <w:rPr>
                <w:sz w:val="15"/>
                <w:szCs w:val="15"/>
              </w:rPr>
            </w:pPr>
            <w:r>
              <w:rPr>
                <w:sz w:val="15"/>
                <w:szCs w:val="15"/>
              </w:rPr>
              <w:t>0</w:t>
            </w:r>
          </w:p>
        </w:tc>
        <w:tc>
          <w:tcPr>
            <w:tcW w:w="1180" w:type="dxa"/>
            <w:tcBorders>
              <w:left w:val="single" w:sz="4" w:space="0" w:color="auto"/>
              <w:right w:val="single" w:sz="4" w:space="0" w:color="auto"/>
            </w:tcBorders>
            <w:vAlign w:val="center"/>
          </w:tcPr>
          <w:p w14:paraId="7FA13AD0" w14:textId="77777777" w:rsidR="005E000F" w:rsidRDefault="00000000">
            <w:pPr>
              <w:jc w:val="right"/>
              <w:rPr>
                <w:sz w:val="15"/>
                <w:szCs w:val="15"/>
              </w:rPr>
            </w:pPr>
            <w:r>
              <w:rPr>
                <w:sz w:val="15"/>
                <w:szCs w:val="15"/>
              </w:rPr>
              <w:t>2,768,423,657</w:t>
            </w:r>
          </w:p>
        </w:tc>
        <w:tc>
          <w:tcPr>
            <w:tcW w:w="1180" w:type="dxa"/>
            <w:tcBorders>
              <w:left w:val="single" w:sz="4" w:space="0" w:color="auto"/>
            </w:tcBorders>
            <w:vAlign w:val="center"/>
          </w:tcPr>
          <w:p w14:paraId="675A3898" w14:textId="77777777" w:rsidR="005E000F" w:rsidRDefault="00000000">
            <w:pPr>
              <w:jc w:val="right"/>
              <w:rPr>
                <w:sz w:val="15"/>
                <w:szCs w:val="15"/>
              </w:rPr>
            </w:pPr>
            <w:r>
              <w:rPr>
                <w:sz w:val="15"/>
                <w:szCs w:val="15"/>
              </w:rPr>
              <w:t>29,497,162,418</w:t>
            </w:r>
          </w:p>
        </w:tc>
        <w:tc>
          <w:tcPr>
            <w:tcW w:w="600" w:type="dxa"/>
            <w:vAlign w:val="center"/>
          </w:tcPr>
          <w:p w14:paraId="0B3A02F4" w14:textId="77777777" w:rsidR="005E000F" w:rsidRDefault="00000000">
            <w:pPr>
              <w:jc w:val="right"/>
              <w:rPr>
                <w:sz w:val="15"/>
                <w:szCs w:val="15"/>
              </w:rPr>
            </w:pPr>
            <w:r>
              <w:rPr>
                <w:sz w:val="15"/>
                <w:szCs w:val="15"/>
              </w:rPr>
              <w:t>0</w:t>
            </w:r>
          </w:p>
        </w:tc>
        <w:tc>
          <w:tcPr>
            <w:tcW w:w="1240" w:type="dxa"/>
            <w:vAlign w:val="center"/>
          </w:tcPr>
          <w:p w14:paraId="4B8FF50D" w14:textId="77777777" w:rsidR="005E000F" w:rsidRDefault="00000000">
            <w:pPr>
              <w:jc w:val="right"/>
              <w:rPr>
                <w:sz w:val="15"/>
                <w:szCs w:val="15"/>
              </w:rPr>
            </w:pPr>
            <w:r>
              <w:rPr>
                <w:sz w:val="15"/>
                <w:szCs w:val="15"/>
              </w:rPr>
              <w:t>-792,801,464</w:t>
            </w:r>
          </w:p>
        </w:tc>
        <w:tc>
          <w:tcPr>
            <w:tcW w:w="1210" w:type="dxa"/>
            <w:vAlign w:val="center"/>
          </w:tcPr>
          <w:p w14:paraId="6CB8C637" w14:textId="77777777" w:rsidR="005E000F" w:rsidRDefault="00000000">
            <w:pPr>
              <w:jc w:val="right"/>
              <w:rPr>
                <w:sz w:val="15"/>
                <w:szCs w:val="15"/>
              </w:rPr>
            </w:pPr>
            <w:r>
              <w:rPr>
                <w:sz w:val="15"/>
                <w:szCs w:val="15"/>
              </w:rPr>
              <w:t>393,645,090</w:t>
            </w:r>
          </w:p>
        </w:tc>
        <w:tc>
          <w:tcPr>
            <w:tcW w:w="1180" w:type="dxa"/>
            <w:vAlign w:val="center"/>
          </w:tcPr>
          <w:p w14:paraId="07992BA9" w14:textId="77777777" w:rsidR="005E000F" w:rsidRDefault="00000000">
            <w:pPr>
              <w:jc w:val="right"/>
              <w:rPr>
                <w:sz w:val="15"/>
                <w:szCs w:val="15"/>
              </w:rPr>
            </w:pPr>
            <w:r>
              <w:rPr>
                <w:sz w:val="15"/>
                <w:szCs w:val="15"/>
              </w:rPr>
              <w:t>19,860,409,778</w:t>
            </w:r>
          </w:p>
        </w:tc>
        <w:tc>
          <w:tcPr>
            <w:tcW w:w="1270" w:type="dxa"/>
            <w:vAlign w:val="center"/>
          </w:tcPr>
          <w:p w14:paraId="1A2CB9A7" w14:textId="77777777" w:rsidR="005E000F" w:rsidRDefault="00000000">
            <w:pPr>
              <w:jc w:val="right"/>
              <w:rPr>
                <w:sz w:val="15"/>
                <w:szCs w:val="15"/>
              </w:rPr>
            </w:pPr>
            <w:r>
              <w:rPr>
                <w:sz w:val="15"/>
                <w:szCs w:val="15"/>
              </w:rPr>
              <w:t>71,585,065,760</w:t>
            </w:r>
          </w:p>
        </w:tc>
        <w:tc>
          <w:tcPr>
            <w:tcW w:w="1251" w:type="dxa"/>
            <w:vAlign w:val="center"/>
          </w:tcPr>
          <w:p w14:paraId="40DB0B8B" w14:textId="77777777" w:rsidR="005E000F" w:rsidRDefault="00000000">
            <w:pPr>
              <w:jc w:val="right"/>
              <w:rPr>
                <w:sz w:val="15"/>
                <w:szCs w:val="15"/>
              </w:rPr>
            </w:pPr>
            <w:r>
              <w:rPr>
                <w:sz w:val="15"/>
                <w:szCs w:val="15"/>
              </w:rPr>
              <w:t>139,059,219,874</w:t>
            </w:r>
          </w:p>
        </w:tc>
      </w:tr>
      <w:tr w:rsidR="005E000F" w14:paraId="417915A0" w14:textId="77777777">
        <w:trPr>
          <w:trHeight w:val="20"/>
        </w:trPr>
        <w:sdt>
          <w:sdtPr>
            <w:rPr>
              <w:sz w:val="15"/>
              <w:szCs w:val="15"/>
            </w:rPr>
            <w:tag w:val="_PLD_302909e63784410386a25e7b0c2339c7"/>
            <w:id w:val="147456893"/>
          </w:sdtPr>
          <w:sdtContent>
            <w:tc>
              <w:tcPr>
                <w:tcW w:w="1943" w:type="dxa"/>
                <w:vAlign w:val="center"/>
              </w:tcPr>
              <w:p w14:paraId="4C22667C" w14:textId="77777777" w:rsidR="005E000F" w:rsidRDefault="00000000">
                <w:pPr>
                  <w:rPr>
                    <w:sz w:val="15"/>
                    <w:szCs w:val="15"/>
                  </w:rPr>
                </w:pPr>
                <w:r>
                  <w:rPr>
                    <w:sz w:val="15"/>
                    <w:szCs w:val="15"/>
                  </w:rPr>
                  <w:t>三、本</w:t>
                </w:r>
                <w:r>
                  <w:rPr>
                    <w:rFonts w:hint="eastAsia"/>
                    <w:sz w:val="15"/>
                    <w:szCs w:val="15"/>
                  </w:rPr>
                  <w:t>期</w:t>
                </w:r>
                <w:r>
                  <w:rPr>
                    <w:sz w:val="15"/>
                    <w:szCs w:val="15"/>
                  </w:rPr>
                  <w:t>增减变动金额（减少以</w:t>
                </w:r>
                <w:r>
                  <w:rPr>
                    <w:sz w:val="15"/>
                    <w:szCs w:val="15"/>
                  </w:rPr>
                  <w:t>“</w:t>
                </w:r>
                <w:r>
                  <w:rPr>
                    <w:sz w:val="15"/>
                    <w:szCs w:val="15"/>
                  </w:rPr>
                  <w:t>－</w:t>
                </w:r>
                <w:r>
                  <w:rPr>
                    <w:sz w:val="15"/>
                    <w:szCs w:val="15"/>
                  </w:rPr>
                  <w:t>”</w:t>
                </w:r>
                <w:r>
                  <w:rPr>
                    <w:sz w:val="15"/>
                    <w:szCs w:val="15"/>
                  </w:rPr>
                  <w:t>号填列）</w:t>
                </w:r>
              </w:p>
            </w:tc>
          </w:sdtContent>
        </w:sdt>
        <w:tc>
          <w:tcPr>
            <w:tcW w:w="1390" w:type="dxa"/>
            <w:tcBorders>
              <w:right w:val="single" w:sz="4" w:space="0" w:color="auto"/>
            </w:tcBorders>
            <w:vAlign w:val="center"/>
          </w:tcPr>
          <w:p w14:paraId="5EC28C2B" w14:textId="77777777" w:rsidR="005E000F" w:rsidRDefault="00000000">
            <w:pPr>
              <w:jc w:val="right"/>
              <w:rPr>
                <w:sz w:val="15"/>
                <w:szCs w:val="15"/>
              </w:rPr>
            </w:pPr>
            <w:r>
              <w:rPr>
                <w:sz w:val="15"/>
                <w:szCs w:val="15"/>
              </w:rPr>
              <w:t>3,059,959,187</w:t>
            </w:r>
          </w:p>
        </w:tc>
        <w:tc>
          <w:tcPr>
            <w:tcW w:w="760" w:type="dxa"/>
            <w:tcBorders>
              <w:left w:val="single" w:sz="4" w:space="0" w:color="auto"/>
              <w:right w:val="single" w:sz="4" w:space="0" w:color="auto"/>
            </w:tcBorders>
            <w:vAlign w:val="center"/>
          </w:tcPr>
          <w:p w14:paraId="688847C1"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4F3593CD"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5573ED66" w14:textId="77777777" w:rsidR="005E000F" w:rsidRDefault="00000000">
            <w:pPr>
              <w:jc w:val="right"/>
              <w:rPr>
                <w:sz w:val="15"/>
                <w:szCs w:val="15"/>
              </w:rPr>
            </w:pPr>
            <w:r>
              <w:rPr>
                <w:sz w:val="15"/>
                <w:szCs w:val="15"/>
              </w:rPr>
              <w:t>-1,963,438,929</w:t>
            </w:r>
          </w:p>
        </w:tc>
        <w:tc>
          <w:tcPr>
            <w:tcW w:w="1180" w:type="dxa"/>
            <w:vAlign w:val="center"/>
          </w:tcPr>
          <w:p w14:paraId="5B67384C" w14:textId="77777777" w:rsidR="005E000F" w:rsidRDefault="00000000">
            <w:pPr>
              <w:jc w:val="right"/>
              <w:rPr>
                <w:sz w:val="15"/>
                <w:szCs w:val="15"/>
              </w:rPr>
            </w:pPr>
            <w:r>
              <w:rPr>
                <w:sz w:val="15"/>
                <w:szCs w:val="15"/>
              </w:rPr>
              <w:t>17,655,570,645</w:t>
            </w:r>
          </w:p>
        </w:tc>
        <w:tc>
          <w:tcPr>
            <w:tcW w:w="600" w:type="dxa"/>
            <w:vAlign w:val="center"/>
          </w:tcPr>
          <w:p w14:paraId="21E79813" w14:textId="77777777" w:rsidR="005E000F" w:rsidRDefault="00000000">
            <w:pPr>
              <w:jc w:val="right"/>
              <w:rPr>
                <w:sz w:val="15"/>
                <w:szCs w:val="15"/>
              </w:rPr>
            </w:pPr>
            <w:r>
              <w:rPr>
                <w:sz w:val="15"/>
                <w:szCs w:val="15"/>
              </w:rPr>
              <w:t>0</w:t>
            </w:r>
          </w:p>
        </w:tc>
        <w:tc>
          <w:tcPr>
            <w:tcW w:w="1240" w:type="dxa"/>
            <w:vAlign w:val="center"/>
          </w:tcPr>
          <w:p w14:paraId="4CC1C9EC" w14:textId="77777777" w:rsidR="005E000F" w:rsidRDefault="00000000">
            <w:pPr>
              <w:jc w:val="right"/>
              <w:rPr>
                <w:sz w:val="15"/>
                <w:szCs w:val="15"/>
              </w:rPr>
            </w:pPr>
            <w:r>
              <w:rPr>
                <w:sz w:val="15"/>
                <w:szCs w:val="15"/>
              </w:rPr>
              <w:t>-1,127,114,513</w:t>
            </w:r>
          </w:p>
        </w:tc>
        <w:tc>
          <w:tcPr>
            <w:tcW w:w="1210" w:type="dxa"/>
            <w:vAlign w:val="center"/>
          </w:tcPr>
          <w:p w14:paraId="416C4557" w14:textId="77777777" w:rsidR="005E000F" w:rsidRDefault="00000000">
            <w:pPr>
              <w:jc w:val="right"/>
              <w:rPr>
                <w:sz w:val="15"/>
                <w:szCs w:val="15"/>
              </w:rPr>
            </w:pPr>
            <w:r>
              <w:rPr>
                <w:sz w:val="15"/>
                <w:szCs w:val="15"/>
              </w:rPr>
              <w:t>-272,351,377</w:t>
            </w:r>
          </w:p>
        </w:tc>
        <w:tc>
          <w:tcPr>
            <w:tcW w:w="1180" w:type="dxa"/>
            <w:vAlign w:val="center"/>
          </w:tcPr>
          <w:p w14:paraId="71ACF5F1" w14:textId="77777777" w:rsidR="005E000F" w:rsidRDefault="00000000">
            <w:pPr>
              <w:jc w:val="right"/>
              <w:rPr>
                <w:sz w:val="15"/>
                <w:szCs w:val="15"/>
              </w:rPr>
            </w:pPr>
            <w:r>
              <w:rPr>
                <w:sz w:val="15"/>
                <w:szCs w:val="15"/>
              </w:rPr>
              <w:t>900,996,209</w:t>
            </w:r>
          </w:p>
        </w:tc>
        <w:tc>
          <w:tcPr>
            <w:tcW w:w="1270" w:type="dxa"/>
            <w:vAlign w:val="center"/>
          </w:tcPr>
          <w:p w14:paraId="13640881" w14:textId="77777777" w:rsidR="005E000F" w:rsidRDefault="00000000">
            <w:pPr>
              <w:jc w:val="right"/>
              <w:rPr>
                <w:sz w:val="15"/>
                <w:szCs w:val="15"/>
              </w:rPr>
            </w:pPr>
            <w:r>
              <w:rPr>
                <w:sz w:val="15"/>
                <w:szCs w:val="15"/>
              </w:rPr>
              <w:t>-1,198,319,539</w:t>
            </w:r>
          </w:p>
        </w:tc>
        <w:tc>
          <w:tcPr>
            <w:tcW w:w="1251" w:type="dxa"/>
            <w:vAlign w:val="center"/>
          </w:tcPr>
          <w:p w14:paraId="7FA6EA57" w14:textId="77777777" w:rsidR="005E000F" w:rsidRDefault="00000000">
            <w:pPr>
              <w:jc w:val="right"/>
              <w:rPr>
                <w:sz w:val="15"/>
                <w:szCs w:val="15"/>
              </w:rPr>
            </w:pPr>
            <w:r>
              <w:rPr>
                <w:sz w:val="15"/>
                <w:szCs w:val="15"/>
              </w:rPr>
              <w:t>17,055,301,683</w:t>
            </w:r>
          </w:p>
        </w:tc>
      </w:tr>
      <w:tr w:rsidR="005E000F" w14:paraId="236EC271" w14:textId="77777777">
        <w:trPr>
          <w:trHeight w:val="20"/>
        </w:trPr>
        <w:sdt>
          <w:sdtPr>
            <w:rPr>
              <w:sz w:val="15"/>
              <w:szCs w:val="15"/>
            </w:rPr>
            <w:tag w:val="_PLD_565b6c314fb34fb6b0c677b992754d48"/>
            <w:id w:val="147461321"/>
          </w:sdtPr>
          <w:sdtContent>
            <w:tc>
              <w:tcPr>
                <w:tcW w:w="1943" w:type="dxa"/>
                <w:vAlign w:val="center"/>
              </w:tcPr>
              <w:p w14:paraId="5D3F6514" w14:textId="77777777" w:rsidR="005E000F" w:rsidRDefault="00000000">
                <w:pPr>
                  <w:rPr>
                    <w:sz w:val="15"/>
                    <w:szCs w:val="15"/>
                  </w:rPr>
                </w:pPr>
                <w:r>
                  <w:rPr>
                    <w:rFonts w:hint="eastAsia"/>
                    <w:sz w:val="15"/>
                    <w:szCs w:val="15"/>
                  </w:rPr>
                  <w:t>（一）综合收益总额</w:t>
                </w:r>
              </w:p>
            </w:tc>
          </w:sdtContent>
        </w:sdt>
        <w:tc>
          <w:tcPr>
            <w:tcW w:w="1390" w:type="dxa"/>
            <w:tcBorders>
              <w:right w:val="single" w:sz="4" w:space="0" w:color="auto"/>
            </w:tcBorders>
            <w:vAlign w:val="center"/>
          </w:tcPr>
          <w:p w14:paraId="641594D1"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2AFB0CFD"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7C2E116F"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0E5FD320" w14:textId="77777777" w:rsidR="005E000F" w:rsidRDefault="00000000">
            <w:pPr>
              <w:jc w:val="right"/>
              <w:rPr>
                <w:sz w:val="15"/>
                <w:szCs w:val="15"/>
              </w:rPr>
            </w:pPr>
            <w:r>
              <w:rPr>
                <w:sz w:val="15"/>
                <w:szCs w:val="15"/>
              </w:rPr>
              <w:t>0</w:t>
            </w:r>
          </w:p>
        </w:tc>
        <w:tc>
          <w:tcPr>
            <w:tcW w:w="1180" w:type="dxa"/>
            <w:vAlign w:val="center"/>
          </w:tcPr>
          <w:p w14:paraId="0D333996" w14:textId="77777777" w:rsidR="005E000F" w:rsidRDefault="00000000">
            <w:pPr>
              <w:jc w:val="right"/>
              <w:rPr>
                <w:sz w:val="15"/>
                <w:szCs w:val="15"/>
              </w:rPr>
            </w:pPr>
            <w:r>
              <w:rPr>
                <w:sz w:val="15"/>
                <w:szCs w:val="15"/>
              </w:rPr>
              <w:t>0</w:t>
            </w:r>
          </w:p>
        </w:tc>
        <w:tc>
          <w:tcPr>
            <w:tcW w:w="600" w:type="dxa"/>
            <w:vAlign w:val="center"/>
          </w:tcPr>
          <w:p w14:paraId="0134E37F" w14:textId="77777777" w:rsidR="005E000F" w:rsidRDefault="00000000">
            <w:pPr>
              <w:jc w:val="right"/>
              <w:rPr>
                <w:sz w:val="15"/>
                <w:szCs w:val="15"/>
              </w:rPr>
            </w:pPr>
            <w:r>
              <w:rPr>
                <w:sz w:val="15"/>
                <w:szCs w:val="15"/>
              </w:rPr>
              <w:t>0</w:t>
            </w:r>
          </w:p>
        </w:tc>
        <w:tc>
          <w:tcPr>
            <w:tcW w:w="1240" w:type="dxa"/>
            <w:vAlign w:val="center"/>
          </w:tcPr>
          <w:p w14:paraId="650834DC" w14:textId="77777777" w:rsidR="005E000F" w:rsidRDefault="00000000">
            <w:pPr>
              <w:jc w:val="right"/>
              <w:rPr>
                <w:sz w:val="15"/>
                <w:szCs w:val="15"/>
              </w:rPr>
            </w:pPr>
            <w:r>
              <w:rPr>
                <w:sz w:val="15"/>
                <w:szCs w:val="15"/>
              </w:rPr>
              <w:t>-1,127,114,513</w:t>
            </w:r>
          </w:p>
        </w:tc>
        <w:tc>
          <w:tcPr>
            <w:tcW w:w="1210" w:type="dxa"/>
            <w:vAlign w:val="center"/>
          </w:tcPr>
          <w:p w14:paraId="06E0BED5" w14:textId="77777777" w:rsidR="005E000F" w:rsidRDefault="00000000">
            <w:pPr>
              <w:jc w:val="right"/>
              <w:rPr>
                <w:sz w:val="15"/>
                <w:szCs w:val="15"/>
              </w:rPr>
            </w:pPr>
            <w:r>
              <w:rPr>
                <w:sz w:val="15"/>
                <w:szCs w:val="15"/>
              </w:rPr>
              <w:t>0</w:t>
            </w:r>
          </w:p>
        </w:tc>
        <w:tc>
          <w:tcPr>
            <w:tcW w:w="1180" w:type="dxa"/>
            <w:vAlign w:val="center"/>
          </w:tcPr>
          <w:p w14:paraId="7705A753" w14:textId="77777777" w:rsidR="005E000F" w:rsidRDefault="00000000">
            <w:pPr>
              <w:jc w:val="right"/>
              <w:rPr>
                <w:sz w:val="15"/>
                <w:szCs w:val="15"/>
              </w:rPr>
            </w:pPr>
            <w:r>
              <w:rPr>
                <w:sz w:val="15"/>
                <w:szCs w:val="15"/>
              </w:rPr>
              <w:t>0</w:t>
            </w:r>
          </w:p>
        </w:tc>
        <w:tc>
          <w:tcPr>
            <w:tcW w:w="1270" w:type="dxa"/>
            <w:vAlign w:val="center"/>
          </w:tcPr>
          <w:p w14:paraId="2EF112F7" w14:textId="77777777" w:rsidR="005E000F" w:rsidRDefault="00000000">
            <w:pPr>
              <w:jc w:val="right"/>
              <w:rPr>
                <w:sz w:val="15"/>
                <w:szCs w:val="15"/>
              </w:rPr>
            </w:pPr>
            <w:r>
              <w:rPr>
                <w:sz w:val="15"/>
                <w:szCs w:val="15"/>
              </w:rPr>
              <w:t>9,009,962,087</w:t>
            </w:r>
          </w:p>
        </w:tc>
        <w:tc>
          <w:tcPr>
            <w:tcW w:w="1251" w:type="dxa"/>
            <w:vAlign w:val="center"/>
          </w:tcPr>
          <w:p w14:paraId="7171524A" w14:textId="77777777" w:rsidR="005E000F" w:rsidRDefault="00000000">
            <w:pPr>
              <w:jc w:val="right"/>
              <w:rPr>
                <w:sz w:val="15"/>
                <w:szCs w:val="15"/>
              </w:rPr>
            </w:pPr>
            <w:r>
              <w:rPr>
                <w:sz w:val="15"/>
                <w:szCs w:val="15"/>
              </w:rPr>
              <w:t>7,882,847,574</w:t>
            </w:r>
          </w:p>
        </w:tc>
      </w:tr>
      <w:tr w:rsidR="005E000F" w14:paraId="551890F8" w14:textId="77777777">
        <w:trPr>
          <w:trHeight w:val="20"/>
        </w:trPr>
        <w:sdt>
          <w:sdtPr>
            <w:rPr>
              <w:sz w:val="15"/>
              <w:szCs w:val="15"/>
            </w:rPr>
            <w:tag w:val="_PLD_4f759bcfeb8744e79a2c846685bf5bf7"/>
            <w:id w:val="147478787"/>
          </w:sdtPr>
          <w:sdtContent>
            <w:tc>
              <w:tcPr>
                <w:tcW w:w="1943" w:type="dxa"/>
                <w:vAlign w:val="center"/>
              </w:tcPr>
              <w:p w14:paraId="6B262FB5" w14:textId="77777777" w:rsidR="005E000F" w:rsidRDefault="00000000">
                <w:pPr>
                  <w:rPr>
                    <w:sz w:val="15"/>
                    <w:szCs w:val="15"/>
                  </w:rPr>
                </w:pPr>
                <w:r>
                  <w:rPr>
                    <w:sz w:val="15"/>
                    <w:szCs w:val="15"/>
                  </w:rPr>
                  <w:t>（</w:t>
                </w:r>
                <w:r>
                  <w:rPr>
                    <w:rFonts w:hint="eastAsia"/>
                    <w:sz w:val="15"/>
                    <w:szCs w:val="15"/>
                  </w:rPr>
                  <w:t>二</w:t>
                </w:r>
                <w:r>
                  <w:rPr>
                    <w:sz w:val="15"/>
                    <w:szCs w:val="15"/>
                  </w:rPr>
                  <w:t>）所有者投入和减少资本</w:t>
                </w:r>
              </w:p>
            </w:tc>
          </w:sdtContent>
        </w:sdt>
        <w:tc>
          <w:tcPr>
            <w:tcW w:w="1390" w:type="dxa"/>
            <w:tcBorders>
              <w:right w:val="single" w:sz="4" w:space="0" w:color="auto"/>
            </w:tcBorders>
            <w:vAlign w:val="center"/>
          </w:tcPr>
          <w:p w14:paraId="3301179C" w14:textId="77777777" w:rsidR="005E000F" w:rsidRDefault="00000000">
            <w:pPr>
              <w:jc w:val="right"/>
              <w:rPr>
                <w:sz w:val="15"/>
                <w:szCs w:val="15"/>
              </w:rPr>
            </w:pPr>
            <w:r>
              <w:rPr>
                <w:sz w:val="15"/>
                <w:szCs w:val="15"/>
              </w:rPr>
              <w:t>3,059,959,187</w:t>
            </w:r>
          </w:p>
        </w:tc>
        <w:tc>
          <w:tcPr>
            <w:tcW w:w="760" w:type="dxa"/>
            <w:tcBorders>
              <w:left w:val="single" w:sz="4" w:space="0" w:color="auto"/>
              <w:right w:val="single" w:sz="4" w:space="0" w:color="auto"/>
            </w:tcBorders>
            <w:vAlign w:val="center"/>
          </w:tcPr>
          <w:p w14:paraId="4BF38207"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57D035E3"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69B01C28" w14:textId="77777777" w:rsidR="005E000F" w:rsidRDefault="00000000">
            <w:pPr>
              <w:jc w:val="right"/>
              <w:rPr>
                <w:sz w:val="15"/>
                <w:szCs w:val="15"/>
              </w:rPr>
            </w:pPr>
            <w:r>
              <w:rPr>
                <w:sz w:val="15"/>
                <w:szCs w:val="15"/>
              </w:rPr>
              <w:t>-1,963,438,929</w:t>
            </w:r>
          </w:p>
        </w:tc>
        <w:tc>
          <w:tcPr>
            <w:tcW w:w="1180" w:type="dxa"/>
            <w:vAlign w:val="center"/>
          </w:tcPr>
          <w:p w14:paraId="24350A71" w14:textId="77777777" w:rsidR="005E000F" w:rsidRDefault="00000000">
            <w:pPr>
              <w:jc w:val="right"/>
              <w:rPr>
                <w:sz w:val="15"/>
                <w:szCs w:val="15"/>
              </w:rPr>
            </w:pPr>
            <w:r>
              <w:rPr>
                <w:sz w:val="15"/>
                <w:szCs w:val="15"/>
              </w:rPr>
              <w:t>17,655,570,645</w:t>
            </w:r>
          </w:p>
        </w:tc>
        <w:tc>
          <w:tcPr>
            <w:tcW w:w="600" w:type="dxa"/>
            <w:vAlign w:val="center"/>
          </w:tcPr>
          <w:p w14:paraId="21DE57B6" w14:textId="77777777" w:rsidR="005E000F" w:rsidRDefault="00000000">
            <w:pPr>
              <w:jc w:val="right"/>
              <w:rPr>
                <w:sz w:val="15"/>
                <w:szCs w:val="15"/>
              </w:rPr>
            </w:pPr>
            <w:r>
              <w:rPr>
                <w:sz w:val="15"/>
                <w:szCs w:val="15"/>
              </w:rPr>
              <w:t>0</w:t>
            </w:r>
          </w:p>
        </w:tc>
        <w:tc>
          <w:tcPr>
            <w:tcW w:w="1240" w:type="dxa"/>
            <w:vAlign w:val="center"/>
          </w:tcPr>
          <w:p w14:paraId="69D79F9B" w14:textId="77777777" w:rsidR="005E000F" w:rsidRDefault="00000000">
            <w:pPr>
              <w:jc w:val="right"/>
              <w:rPr>
                <w:sz w:val="15"/>
                <w:szCs w:val="15"/>
              </w:rPr>
            </w:pPr>
            <w:r>
              <w:rPr>
                <w:sz w:val="15"/>
                <w:szCs w:val="15"/>
              </w:rPr>
              <w:t>0</w:t>
            </w:r>
          </w:p>
        </w:tc>
        <w:tc>
          <w:tcPr>
            <w:tcW w:w="1210" w:type="dxa"/>
            <w:vAlign w:val="center"/>
          </w:tcPr>
          <w:p w14:paraId="1012E9E2" w14:textId="77777777" w:rsidR="005E000F" w:rsidRDefault="00000000">
            <w:pPr>
              <w:jc w:val="right"/>
              <w:rPr>
                <w:sz w:val="15"/>
                <w:szCs w:val="15"/>
              </w:rPr>
            </w:pPr>
            <w:r>
              <w:rPr>
                <w:sz w:val="15"/>
                <w:szCs w:val="15"/>
              </w:rPr>
              <w:t>0</w:t>
            </w:r>
          </w:p>
        </w:tc>
        <w:tc>
          <w:tcPr>
            <w:tcW w:w="1180" w:type="dxa"/>
            <w:vAlign w:val="center"/>
          </w:tcPr>
          <w:p w14:paraId="40A33E25" w14:textId="77777777" w:rsidR="005E000F" w:rsidRDefault="00000000">
            <w:pPr>
              <w:jc w:val="right"/>
              <w:rPr>
                <w:sz w:val="15"/>
                <w:szCs w:val="15"/>
              </w:rPr>
            </w:pPr>
            <w:r>
              <w:rPr>
                <w:sz w:val="15"/>
                <w:szCs w:val="15"/>
              </w:rPr>
              <w:t>0</w:t>
            </w:r>
          </w:p>
        </w:tc>
        <w:tc>
          <w:tcPr>
            <w:tcW w:w="1270" w:type="dxa"/>
            <w:vAlign w:val="center"/>
          </w:tcPr>
          <w:p w14:paraId="5193F060" w14:textId="77777777" w:rsidR="005E000F" w:rsidRDefault="00000000">
            <w:pPr>
              <w:jc w:val="right"/>
              <w:rPr>
                <w:sz w:val="15"/>
                <w:szCs w:val="15"/>
              </w:rPr>
            </w:pPr>
            <w:r>
              <w:rPr>
                <w:sz w:val="15"/>
                <w:szCs w:val="15"/>
              </w:rPr>
              <w:t>0</w:t>
            </w:r>
          </w:p>
        </w:tc>
        <w:tc>
          <w:tcPr>
            <w:tcW w:w="1251" w:type="dxa"/>
            <w:vAlign w:val="center"/>
          </w:tcPr>
          <w:p w14:paraId="33797209" w14:textId="77777777" w:rsidR="005E000F" w:rsidRDefault="00000000">
            <w:pPr>
              <w:jc w:val="right"/>
              <w:rPr>
                <w:sz w:val="15"/>
                <w:szCs w:val="15"/>
              </w:rPr>
            </w:pPr>
            <w:r>
              <w:rPr>
                <w:sz w:val="15"/>
                <w:szCs w:val="15"/>
              </w:rPr>
              <w:t>18,752,090,903</w:t>
            </w:r>
          </w:p>
        </w:tc>
      </w:tr>
      <w:tr w:rsidR="005E000F" w14:paraId="5779E248" w14:textId="77777777">
        <w:trPr>
          <w:trHeight w:val="20"/>
        </w:trPr>
        <w:sdt>
          <w:sdtPr>
            <w:rPr>
              <w:sz w:val="15"/>
              <w:szCs w:val="15"/>
            </w:rPr>
            <w:tag w:val="_PLD_2ca71442ff4441faa275f28e1236357f"/>
            <w:id w:val="147466505"/>
          </w:sdtPr>
          <w:sdtContent>
            <w:tc>
              <w:tcPr>
                <w:tcW w:w="1943" w:type="dxa"/>
                <w:vAlign w:val="center"/>
              </w:tcPr>
              <w:p w14:paraId="2A7E61CC" w14:textId="77777777" w:rsidR="005E000F" w:rsidRDefault="00000000">
                <w:pPr>
                  <w:rPr>
                    <w:sz w:val="15"/>
                    <w:szCs w:val="15"/>
                  </w:rPr>
                </w:pPr>
                <w:r>
                  <w:rPr>
                    <w:rFonts w:hint="eastAsia"/>
                    <w:sz w:val="15"/>
                    <w:szCs w:val="15"/>
                  </w:rPr>
                  <w:t>1</w:t>
                </w:r>
                <w:r>
                  <w:rPr>
                    <w:rFonts w:hint="eastAsia"/>
                    <w:sz w:val="15"/>
                    <w:szCs w:val="15"/>
                  </w:rPr>
                  <w:t>．所有者投入的普通股</w:t>
                </w:r>
              </w:p>
            </w:tc>
          </w:sdtContent>
        </w:sdt>
        <w:tc>
          <w:tcPr>
            <w:tcW w:w="1390" w:type="dxa"/>
            <w:tcBorders>
              <w:right w:val="single" w:sz="4" w:space="0" w:color="auto"/>
            </w:tcBorders>
            <w:vAlign w:val="center"/>
          </w:tcPr>
          <w:p w14:paraId="4D7A9192"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722F6C4C"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205A8CC8"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4CD7A128" w14:textId="77777777" w:rsidR="005E000F" w:rsidRDefault="00000000">
            <w:pPr>
              <w:jc w:val="right"/>
              <w:rPr>
                <w:sz w:val="15"/>
                <w:szCs w:val="15"/>
              </w:rPr>
            </w:pPr>
            <w:r>
              <w:rPr>
                <w:sz w:val="15"/>
                <w:szCs w:val="15"/>
              </w:rPr>
              <w:t>0</w:t>
            </w:r>
          </w:p>
        </w:tc>
        <w:tc>
          <w:tcPr>
            <w:tcW w:w="1180" w:type="dxa"/>
            <w:vAlign w:val="center"/>
          </w:tcPr>
          <w:p w14:paraId="074E66D5" w14:textId="77777777" w:rsidR="005E000F" w:rsidRDefault="00000000">
            <w:pPr>
              <w:jc w:val="right"/>
              <w:rPr>
                <w:sz w:val="15"/>
                <w:szCs w:val="15"/>
              </w:rPr>
            </w:pPr>
            <w:r>
              <w:rPr>
                <w:sz w:val="15"/>
                <w:szCs w:val="15"/>
              </w:rPr>
              <w:t>0</w:t>
            </w:r>
          </w:p>
        </w:tc>
        <w:tc>
          <w:tcPr>
            <w:tcW w:w="600" w:type="dxa"/>
            <w:vAlign w:val="center"/>
          </w:tcPr>
          <w:p w14:paraId="65CBB10C" w14:textId="77777777" w:rsidR="005E000F" w:rsidRDefault="00000000">
            <w:pPr>
              <w:jc w:val="right"/>
              <w:rPr>
                <w:sz w:val="15"/>
                <w:szCs w:val="15"/>
              </w:rPr>
            </w:pPr>
            <w:r>
              <w:rPr>
                <w:sz w:val="15"/>
                <w:szCs w:val="15"/>
              </w:rPr>
              <w:t>0</w:t>
            </w:r>
          </w:p>
        </w:tc>
        <w:tc>
          <w:tcPr>
            <w:tcW w:w="1240" w:type="dxa"/>
            <w:vAlign w:val="center"/>
          </w:tcPr>
          <w:p w14:paraId="525417FD" w14:textId="77777777" w:rsidR="005E000F" w:rsidRDefault="00000000">
            <w:pPr>
              <w:jc w:val="right"/>
              <w:rPr>
                <w:sz w:val="15"/>
                <w:szCs w:val="15"/>
              </w:rPr>
            </w:pPr>
            <w:r>
              <w:rPr>
                <w:sz w:val="15"/>
                <w:szCs w:val="15"/>
              </w:rPr>
              <w:t>0</w:t>
            </w:r>
          </w:p>
        </w:tc>
        <w:tc>
          <w:tcPr>
            <w:tcW w:w="1210" w:type="dxa"/>
            <w:vAlign w:val="center"/>
          </w:tcPr>
          <w:p w14:paraId="7F291DB2" w14:textId="77777777" w:rsidR="005E000F" w:rsidRDefault="00000000">
            <w:pPr>
              <w:jc w:val="right"/>
              <w:rPr>
                <w:sz w:val="15"/>
                <w:szCs w:val="15"/>
              </w:rPr>
            </w:pPr>
            <w:r>
              <w:rPr>
                <w:sz w:val="15"/>
                <w:szCs w:val="15"/>
              </w:rPr>
              <w:t>0</w:t>
            </w:r>
          </w:p>
        </w:tc>
        <w:tc>
          <w:tcPr>
            <w:tcW w:w="1180" w:type="dxa"/>
            <w:vAlign w:val="center"/>
          </w:tcPr>
          <w:p w14:paraId="67653F3B" w14:textId="77777777" w:rsidR="005E000F" w:rsidRDefault="00000000">
            <w:pPr>
              <w:jc w:val="right"/>
              <w:rPr>
                <w:sz w:val="15"/>
                <w:szCs w:val="15"/>
              </w:rPr>
            </w:pPr>
            <w:r>
              <w:rPr>
                <w:sz w:val="15"/>
                <w:szCs w:val="15"/>
              </w:rPr>
              <w:t>0</w:t>
            </w:r>
          </w:p>
        </w:tc>
        <w:tc>
          <w:tcPr>
            <w:tcW w:w="1270" w:type="dxa"/>
            <w:vAlign w:val="center"/>
          </w:tcPr>
          <w:p w14:paraId="3237A728" w14:textId="77777777" w:rsidR="005E000F" w:rsidRDefault="00000000">
            <w:pPr>
              <w:jc w:val="right"/>
              <w:rPr>
                <w:sz w:val="15"/>
                <w:szCs w:val="15"/>
              </w:rPr>
            </w:pPr>
            <w:r>
              <w:rPr>
                <w:sz w:val="15"/>
                <w:szCs w:val="15"/>
              </w:rPr>
              <w:t>0</w:t>
            </w:r>
          </w:p>
        </w:tc>
        <w:tc>
          <w:tcPr>
            <w:tcW w:w="1251" w:type="dxa"/>
            <w:vAlign w:val="center"/>
          </w:tcPr>
          <w:p w14:paraId="1C147284" w14:textId="77777777" w:rsidR="005E000F" w:rsidRDefault="00000000">
            <w:pPr>
              <w:jc w:val="right"/>
              <w:rPr>
                <w:sz w:val="15"/>
                <w:szCs w:val="15"/>
              </w:rPr>
            </w:pPr>
            <w:r>
              <w:rPr>
                <w:sz w:val="15"/>
                <w:szCs w:val="15"/>
              </w:rPr>
              <w:t>0</w:t>
            </w:r>
          </w:p>
        </w:tc>
      </w:tr>
      <w:tr w:rsidR="005E000F" w14:paraId="49193837" w14:textId="77777777">
        <w:trPr>
          <w:trHeight w:val="20"/>
        </w:trPr>
        <w:sdt>
          <w:sdtPr>
            <w:rPr>
              <w:sz w:val="15"/>
              <w:szCs w:val="15"/>
            </w:rPr>
            <w:tag w:val="_PLD_c9217abeeb6e46ac8415ee33ff13a461"/>
            <w:id w:val="147461029"/>
          </w:sdtPr>
          <w:sdtContent>
            <w:tc>
              <w:tcPr>
                <w:tcW w:w="1943" w:type="dxa"/>
                <w:vAlign w:val="center"/>
              </w:tcPr>
              <w:p w14:paraId="79EAC410" w14:textId="77777777" w:rsidR="005E000F" w:rsidRDefault="00000000">
                <w:pPr>
                  <w:rPr>
                    <w:sz w:val="15"/>
                    <w:szCs w:val="15"/>
                  </w:rPr>
                </w:pPr>
                <w:r>
                  <w:rPr>
                    <w:rFonts w:hint="eastAsia"/>
                    <w:sz w:val="15"/>
                    <w:szCs w:val="15"/>
                  </w:rPr>
                  <w:t>2</w:t>
                </w:r>
                <w:r>
                  <w:rPr>
                    <w:rFonts w:hint="eastAsia"/>
                    <w:sz w:val="15"/>
                    <w:szCs w:val="15"/>
                  </w:rPr>
                  <w:t>．其他权益工具持有者投入资本</w:t>
                </w:r>
              </w:p>
            </w:tc>
          </w:sdtContent>
        </w:sdt>
        <w:tc>
          <w:tcPr>
            <w:tcW w:w="1390" w:type="dxa"/>
            <w:tcBorders>
              <w:right w:val="single" w:sz="4" w:space="0" w:color="auto"/>
            </w:tcBorders>
            <w:vAlign w:val="center"/>
          </w:tcPr>
          <w:p w14:paraId="3E7086D5" w14:textId="77777777" w:rsidR="005E000F" w:rsidRDefault="00000000">
            <w:pPr>
              <w:jc w:val="right"/>
              <w:rPr>
                <w:sz w:val="15"/>
                <w:szCs w:val="15"/>
              </w:rPr>
            </w:pPr>
            <w:r>
              <w:rPr>
                <w:sz w:val="15"/>
                <w:szCs w:val="15"/>
              </w:rPr>
              <w:t>3,059,959,187</w:t>
            </w:r>
          </w:p>
        </w:tc>
        <w:tc>
          <w:tcPr>
            <w:tcW w:w="760" w:type="dxa"/>
            <w:tcBorders>
              <w:left w:val="single" w:sz="4" w:space="0" w:color="auto"/>
              <w:right w:val="single" w:sz="4" w:space="0" w:color="auto"/>
            </w:tcBorders>
            <w:vAlign w:val="center"/>
          </w:tcPr>
          <w:p w14:paraId="7DF17E4E"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348769E0"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49F593CF" w14:textId="77777777" w:rsidR="005E000F" w:rsidRDefault="00000000">
            <w:pPr>
              <w:jc w:val="right"/>
              <w:rPr>
                <w:sz w:val="15"/>
                <w:szCs w:val="15"/>
              </w:rPr>
            </w:pPr>
            <w:r>
              <w:rPr>
                <w:sz w:val="15"/>
                <w:szCs w:val="15"/>
              </w:rPr>
              <w:t>-1,963,438,929</w:t>
            </w:r>
          </w:p>
        </w:tc>
        <w:tc>
          <w:tcPr>
            <w:tcW w:w="1180" w:type="dxa"/>
            <w:vAlign w:val="center"/>
          </w:tcPr>
          <w:p w14:paraId="6D345971" w14:textId="77777777" w:rsidR="005E000F" w:rsidRDefault="00000000">
            <w:pPr>
              <w:jc w:val="right"/>
              <w:rPr>
                <w:sz w:val="15"/>
                <w:szCs w:val="15"/>
              </w:rPr>
            </w:pPr>
            <w:r>
              <w:rPr>
                <w:sz w:val="15"/>
                <w:szCs w:val="15"/>
              </w:rPr>
              <w:t>17,346,389,879</w:t>
            </w:r>
          </w:p>
        </w:tc>
        <w:tc>
          <w:tcPr>
            <w:tcW w:w="600" w:type="dxa"/>
            <w:vAlign w:val="center"/>
          </w:tcPr>
          <w:p w14:paraId="0C583DD0" w14:textId="77777777" w:rsidR="005E000F" w:rsidRDefault="00000000">
            <w:pPr>
              <w:jc w:val="right"/>
              <w:rPr>
                <w:sz w:val="15"/>
                <w:szCs w:val="15"/>
              </w:rPr>
            </w:pPr>
            <w:r>
              <w:rPr>
                <w:sz w:val="15"/>
                <w:szCs w:val="15"/>
              </w:rPr>
              <w:t>0</w:t>
            </w:r>
          </w:p>
        </w:tc>
        <w:tc>
          <w:tcPr>
            <w:tcW w:w="1240" w:type="dxa"/>
            <w:vAlign w:val="center"/>
          </w:tcPr>
          <w:p w14:paraId="30480E7C" w14:textId="77777777" w:rsidR="005E000F" w:rsidRDefault="00000000">
            <w:pPr>
              <w:jc w:val="right"/>
              <w:rPr>
                <w:sz w:val="15"/>
                <w:szCs w:val="15"/>
              </w:rPr>
            </w:pPr>
            <w:r>
              <w:rPr>
                <w:sz w:val="15"/>
                <w:szCs w:val="15"/>
              </w:rPr>
              <w:t>0</w:t>
            </w:r>
          </w:p>
        </w:tc>
        <w:tc>
          <w:tcPr>
            <w:tcW w:w="1210" w:type="dxa"/>
            <w:vAlign w:val="center"/>
          </w:tcPr>
          <w:p w14:paraId="57606E2E" w14:textId="77777777" w:rsidR="005E000F" w:rsidRDefault="00000000">
            <w:pPr>
              <w:jc w:val="right"/>
              <w:rPr>
                <w:sz w:val="15"/>
                <w:szCs w:val="15"/>
              </w:rPr>
            </w:pPr>
            <w:r>
              <w:rPr>
                <w:sz w:val="15"/>
                <w:szCs w:val="15"/>
              </w:rPr>
              <w:t>0</w:t>
            </w:r>
          </w:p>
        </w:tc>
        <w:tc>
          <w:tcPr>
            <w:tcW w:w="1180" w:type="dxa"/>
            <w:vAlign w:val="center"/>
          </w:tcPr>
          <w:p w14:paraId="296FD153" w14:textId="77777777" w:rsidR="005E000F" w:rsidRDefault="00000000">
            <w:pPr>
              <w:jc w:val="right"/>
              <w:rPr>
                <w:sz w:val="15"/>
                <w:szCs w:val="15"/>
              </w:rPr>
            </w:pPr>
            <w:r>
              <w:rPr>
                <w:sz w:val="15"/>
                <w:szCs w:val="15"/>
              </w:rPr>
              <w:t>0</w:t>
            </w:r>
          </w:p>
        </w:tc>
        <w:tc>
          <w:tcPr>
            <w:tcW w:w="1270" w:type="dxa"/>
            <w:vAlign w:val="center"/>
          </w:tcPr>
          <w:p w14:paraId="41BE253C" w14:textId="77777777" w:rsidR="005E000F" w:rsidRDefault="00000000">
            <w:pPr>
              <w:jc w:val="right"/>
              <w:rPr>
                <w:sz w:val="15"/>
                <w:szCs w:val="15"/>
              </w:rPr>
            </w:pPr>
            <w:r>
              <w:rPr>
                <w:sz w:val="15"/>
                <w:szCs w:val="15"/>
              </w:rPr>
              <w:t>0</w:t>
            </w:r>
          </w:p>
        </w:tc>
        <w:tc>
          <w:tcPr>
            <w:tcW w:w="1251" w:type="dxa"/>
            <w:vAlign w:val="center"/>
          </w:tcPr>
          <w:p w14:paraId="36A73E99" w14:textId="77777777" w:rsidR="005E000F" w:rsidRDefault="00000000">
            <w:pPr>
              <w:jc w:val="right"/>
              <w:rPr>
                <w:sz w:val="15"/>
                <w:szCs w:val="15"/>
              </w:rPr>
            </w:pPr>
            <w:r>
              <w:rPr>
                <w:sz w:val="15"/>
                <w:szCs w:val="15"/>
              </w:rPr>
              <w:t>18,442,910,137</w:t>
            </w:r>
          </w:p>
        </w:tc>
      </w:tr>
      <w:tr w:rsidR="005E000F" w14:paraId="4AB34381" w14:textId="77777777">
        <w:trPr>
          <w:trHeight w:val="20"/>
        </w:trPr>
        <w:sdt>
          <w:sdtPr>
            <w:rPr>
              <w:sz w:val="15"/>
              <w:szCs w:val="15"/>
            </w:rPr>
            <w:tag w:val="_PLD_5b62e12f39a04fa3a5e1647793ab3e5e"/>
            <w:id w:val="147452246"/>
          </w:sdtPr>
          <w:sdtContent>
            <w:tc>
              <w:tcPr>
                <w:tcW w:w="1943" w:type="dxa"/>
                <w:vAlign w:val="center"/>
              </w:tcPr>
              <w:p w14:paraId="678E7E81" w14:textId="77777777" w:rsidR="005E000F" w:rsidRDefault="00000000">
                <w:pPr>
                  <w:rPr>
                    <w:sz w:val="15"/>
                    <w:szCs w:val="15"/>
                  </w:rPr>
                </w:pPr>
                <w:r>
                  <w:rPr>
                    <w:rFonts w:hint="eastAsia"/>
                    <w:sz w:val="15"/>
                    <w:szCs w:val="15"/>
                  </w:rPr>
                  <w:t>3</w:t>
                </w:r>
                <w:r>
                  <w:rPr>
                    <w:sz w:val="15"/>
                    <w:szCs w:val="15"/>
                  </w:rPr>
                  <w:t>．股份支付计入所有者权益的金额</w:t>
                </w:r>
              </w:p>
            </w:tc>
          </w:sdtContent>
        </w:sdt>
        <w:tc>
          <w:tcPr>
            <w:tcW w:w="1390" w:type="dxa"/>
            <w:tcBorders>
              <w:right w:val="single" w:sz="4" w:space="0" w:color="auto"/>
            </w:tcBorders>
            <w:vAlign w:val="center"/>
          </w:tcPr>
          <w:p w14:paraId="6098039D"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42CF7554"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2BD4E272"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20FFFB78" w14:textId="77777777" w:rsidR="005E000F" w:rsidRDefault="00000000">
            <w:pPr>
              <w:jc w:val="right"/>
              <w:rPr>
                <w:sz w:val="15"/>
                <w:szCs w:val="15"/>
              </w:rPr>
            </w:pPr>
            <w:r>
              <w:rPr>
                <w:sz w:val="15"/>
                <w:szCs w:val="15"/>
              </w:rPr>
              <w:t>0</w:t>
            </w:r>
          </w:p>
        </w:tc>
        <w:tc>
          <w:tcPr>
            <w:tcW w:w="1180" w:type="dxa"/>
            <w:vAlign w:val="center"/>
          </w:tcPr>
          <w:p w14:paraId="175EEC15" w14:textId="77777777" w:rsidR="005E000F" w:rsidRDefault="00000000">
            <w:pPr>
              <w:jc w:val="right"/>
              <w:rPr>
                <w:sz w:val="15"/>
                <w:szCs w:val="15"/>
              </w:rPr>
            </w:pPr>
            <w:r>
              <w:rPr>
                <w:sz w:val="15"/>
                <w:szCs w:val="15"/>
              </w:rPr>
              <w:t>0</w:t>
            </w:r>
          </w:p>
        </w:tc>
        <w:tc>
          <w:tcPr>
            <w:tcW w:w="600" w:type="dxa"/>
            <w:vAlign w:val="center"/>
          </w:tcPr>
          <w:p w14:paraId="2F93B207" w14:textId="77777777" w:rsidR="005E000F" w:rsidRDefault="00000000">
            <w:pPr>
              <w:jc w:val="right"/>
              <w:rPr>
                <w:sz w:val="15"/>
                <w:szCs w:val="15"/>
              </w:rPr>
            </w:pPr>
            <w:r>
              <w:rPr>
                <w:sz w:val="15"/>
                <w:szCs w:val="15"/>
              </w:rPr>
              <w:t>0</w:t>
            </w:r>
          </w:p>
        </w:tc>
        <w:tc>
          <w:tcPr>
            <w:tcW w:w="1240" w:type="dxa"/>
            <w:vAlign w:val="center"/>
          </w:tcPr>
          <w:p w14:paraId="50218C8F" w14:textId="77777777" w:rsidR="005E000F" w:rsidRDefault="00000000">
            <w:pPr>
              <w:jc w:val="right"/>
              <w:rPr>
                <w:sz w:val="15"/>
                <w:szCs w:val="15"/>
              </w:rPr>
            </w:pPr>
            <w:r>
              <w:rPr>
                <w:sz w:val="15"/>
                <w:szCs w:val="15"/>
              </w:rPr>
              <w:t>0</w:t>
            </w:r>
          </w:p>
        </w:tc>
        <w:tc>
          <w:tcPr>
            <w:tcW w:w="1210" w:type="dxa"/>
            <w:vAlign w:val="center"/>
          </w:tcPr>
          <w:p w14:paraId="321A37DF" w14:textId="77777777" w:rsidR="005E000F" w:rsidRDefault="00000000">
            <w:pPr>
              <w:jc w:val="right"/>
              <w:rPr>
                <w:sz w:val="15"/>
                <w:szCs w:val="15"/>
              </w:rPr>
            </w:pPr>
            <w:r>
              <w:rPr>
                <w:sz w:val="15"/>
                <w:szCs w:val="15"/>
              </w:rPr>
              <w:t>0</w:t>
            </w:r>
          </w:p>
        </w:tc>
        <w:tc>
          <w:tcPr>
            <w:tcW w:w="1180" w:type="dxa"/>
            <w:vAlign w:val="center"/>
          </w:tcPr>
          <w:p w14:paraId="32DE2B65" w14:textId="77777777" w:rsidR="005E000F" w:rsidRDefault="00000000">
            <w:pPr>
              <w:jc w:val="right"/>
              <w:rPr>
                <w:sz w:val="15"/>
                <w:szCs w:val="15"/>
              </w:rPr>
            </w:pPr>
            <w:r>
              <w:rPr>
                <w:sz w:val="15"/>
                <w:szCs w:val="15"/>
              </w:rPr>
              <w:t>0</w:t>
            </w:r>
          </w:p>
        </w:tc>
        <w:tc>
          <w:tcPr>
            <w:tcW w:w="1270" w:type="dxa"/>
            <w:vAlign w:val="center"/>
          </w:tcPr>
          <w:p w14:paraId="1033A32D" w14:textId="77777777" w:rsidR="005E000F" w:rsidRDefault="00000000">
            <w:pPr>
              <w:jc w:val="right"/>
              <w:rPr>
                <w:sz w:val="15"/>
                <w:szCs w:val="15"/>
              </w:rPr>
            </w:pPr>
            <w:r>
              <w:rPr>
                <w:sz w:val="15"/>
                <w:szCs w:val="15"/>
              </w:rPr>
              <w:t>0</w:t>
            </w:r>
          </w:p>
        </w:tc>
        <w:tc>
          <w:tcPr>
            <w:tcW w:w="1251" w:type="dxa"/>
            <w:vAlign w:val="center"/>
          </w:tcPr>
          <w:p w14:paraId="2807B4E3" w14:textId="77777777" w:rsidR="005E000F" w:rsidRDefault="00000000">
            <w:pPr>
              <w:jc w:val="right"/>
              <w:rPr>
                <w:sz w:val="15"/>
                <w:szCs w:val="15"/>
              </w:rPr>
            </w:pPr>
            <w:r>
              <w:rPr>
                <w:sz w:val="15"/>
                <w:szCs w:val="15"/>
              </w:rPr>
              <w:t>0</w:t>
            </w:r>
          </w:p>
        </w:tc>
      </w:tr>
      <w:tr w:rsidR="005E000F" w14:paraId="60B2DD25" w14:textId="77777777">
        <w:trPr>
          <w:trHeight w:val="20"/>
        </w:trPr>
        <w:sdt>
          <w:sdtPr>
            <w:rPr>
              <w:sz w:val="15"/>
              <w:szCs w:val="15"/>
            </w:rPr>
            <w:tag w:val="_PLD_09a354c759244b168ea7e28904658be8"/>
            <w:id w:val="147470084"/>
          </w:sdtPr>
          <w:sdtContent>
            <w:tc>
              <w:tcPr>
                <w:tcW w:w="1943" w:type="dxa"/>
                <w:vAlign w:val="center"/>
              </w:tcPr>
              <w:p w14:paraId="5A3179F0" w14:textId="77777777" w:rsidR="005E000F" w:rsidRDefault="00000000">
                <w:pPr>
                  <w:rPr>
                    <w:sz w:val="15"/>
                    <w:szCs w:val="15"/>
                  </w:rPr>
                </w:pPr>
                <w:r>
                  <w:rPr>
                    <w:rFonts w:hint="eastAsia"/>
                    <w:sz w:val="15"/>
                    <w:szCs w:val="15"/>
                  </w:rPr>
                  <w:t>4</w:t>
                </w:r>
                <w:r>
                  <w:rPr>
                    <w:sz w:val="15"/>
                    <w:szCs w:val="15"/>
                  </w:rPr>
                  <w:t>．其他</w:t>
                </w:r>
              </w:p>
            </w:tc>
          </w:sdtContent>
        </w:sdt>
        <w:tc>
          <w:tcPr>
            <w:tcW w:w="1390" w:type="dxa"/>
            <w:tcBorders>
              <w:right w:val="single" w:sz="4" w:space="0" w:color="auto"/>
            </w:tcBorders>
            <w:vAlign w:val="center"/>
          </w:tcPr>
          <w:p w14:paraId="371FD05E"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5A897A5E"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67284848"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0F69CDB9" w14:textId="77777777" w:rsidR="005E000F" w:rsidRDefault="00000000">
            <w:pPr>
              <w:jc w:val="right"/>
              <w:rPr>
                <w:sz w:val="15"/>
                <w:szCs w:val="15"/>
              </w:rPr>
            </w:pPr>
            <w:r>
              <w:rPr>
                <w:sz w:val="15"/>
                <w:szCs w:val="15"/>
              </w:rPr>
              <w:t>0</w:t>
            </w:r>
          </w:p>
        </w:tc>
        <w:tc>
          <w:tcPr>
            <w:tcW w:w="1180" w:type="dxa"/>
            <w:vAlign w:val="center"/>
          </w:tcPr>
          <w:p w14:paraId="6905E455" w14:textId="77777777" w:rsidR="005E000F" w:rsidRDefault="00000000">
            <w:pPr>
              <w:jc w:val="right"/>
              <w:rPr>
                <w:sz w:val="15"/>
                <w:szCs w:val="15"/>
              </w:rPr>
            </w:pPr>
            <w:r>
              <w:rPr>
                <w:sz w:val="15"/>
                <w:szCs w:val="15"/>
              </w:rPr>
              <w:t>309,180,766</w:t>
            </w:r>
          </w:p>
        </w:tc>
        <w:tc>
          <w:tcPr>
            <w:tcW w:w="600" w:type="dxa"/>
            <w:vAlign w:val="center"/>
          </w:tcPr>
          <w:p w14:paraId="22157E93" w14:textId="77777777" w:rsidR="005E000F" w:rsidRDefault="00000000">
            <w:pPr>
              <w:jc w:val="right"/>
              <w:rPr>
                <w:sz w:val="15"/>
                <w:szCs w:val="15"/>
              </w:rPr>
            </w:pPr>
            <w:r>
              <w:rPr>
                <w:sz w:val="15"/>
                <w:szCs w:val="15"/>
              </w:rPr>
              <w:t>0</w:t>
            </w:r>
          </w:p>
        </w:tc>
        <w:tc>
          <w:tcPr>
            <w:tcW w:w="1240" w:type="dxa"/>
            <w:vAlign w:val="center"/>
          </w:tcPr>
          <w:p w14:paraId="2DA5A43F" w14:textId="77777777" w:rsidR="005E000F" w:rsidRDefault="00000000">
            <w:pPr>
              <w:jc w:val="right"/>
              <w:rPr>
                <w:sz w:val="15"/>
                <w:szCs w:val="15"/>
              </w:rPr>
            </w:pPr>
            <w:r>
              <w:rPr>
                <w:sz w:val="15"/>
                <w:szCs w:val="15"/>
              </w:rPr>
              <w:t>0</w:t>
            </w:r>
          </w:p>
        </w:tc>
        <w:tc>
          <w:tcPr>
            <w:tcW w:w="1210" w:type="dxa"/>
            <w:vAlign w:val="center"/>
          </w:tcPr>
          <w:p w14:paraId="469ACC5E" w14:textId="77777777" w:rsidR="005E000F" w:rsidRDefault="00000000">
            <w:pPr>
              <w:jc w:val="right"/>
              <w:rPr>
                <w:sz w:val="15"/>
                <w:szCs w:val="15"/>
              </w:rPr>
            </w:pPr>
            <w:r>
              <w:rPr>
                <w:sz w:val="15"/>
                <w:szCs w:val="15"/>
              </w:rPr>
              <w:t>0</w:t>
            </w:r>
          </w:p>
        </w:tc>
        <w:tc>
          <w:tcPr>
            <w:tcW w:w="1180" w:type="dxa"/>
            <w:vAlign w:val="center"/>
          </w:tcPr>
          <w:p w14:paraId="3B9F16ED" w14:textId="77777777" w:rsidR="005E000F" w:rsidRDefault="00000000">
            <w:pPr>
              <w:jc w:val="right"/>
              <w:rPr>
                <w:sz w:val="15"/>
                <w:szCs w:val="15"/>
              </w:rPr>
            </w:pPr>
            <w:r>
              <w:rPr>
                <w:sz w:val="15"/>
                <w:szCs w:val="15"/>
              </w:rPr>
              <w:t>0</w:t>
            </w:r>
          </w:p>
        </w:tc>
        <w:tc>
          <w:tcPr>
            <w:tcW w:w="1270" w:type="dxa"/>
            <w:vAlign w:val="center"/>
          </w:tcPr>
          <w:p w14:paraId="613F67B3" w14:textId="77777777" w:rsidR="005E000F" w:rsidRDefault="00000000">
            <w:pPr>
              <w:jc w:val="right"/>
              <w:rPr>
                <w:sz w:val="15"/>
                <w:szCs w:val="15"/>
              </w:rPr>
            </w:pPr>
            <w:r>
              <w:rPr>
                <w:sz w:val="15"/>
                <w:szCs w:val="15"/>
              </w:rPr>
              <w:t>0</w:t>
            </w:r>
          </w:p>
        </w:tc>
        <w:tc>
          <w:tcPr>
            <w:tcW w:w="1251" w:type="dxa"/>
            <w:vAlign w:val="center"/>
          </w:tcPr>
          <w:p w14:paraId="587A238E" w14:textId="77777777" w:rsidR="005E000F" w:rsidRDefault="00000000">
            <w:pPr>
              <w:jc w:val="right"/>
              <w:rPr>
                <w:sz w:val="15"/>
                <w:szCs w:val="15"/>
              </w:rPr>
            </w:pPr>
            <w:r>
              <w:rPr>
                <w:sz w:val="15"/>
                <w:szCs w:val="15"/>
              </w:rPr>
              <w:t>309,180,766</w:t>
            </w:r>
          </w:p>
        </w:tc>
      </w:tr>
      <w:tr w:rsidR="005E000F" w14:paraId="35B96BF6" w14:textId="77777777">
        <w:trPr>
          <w:trHeight w:val="20"/>
        </w:trPr>
        <w:sdt>
          <w:sdtPr>
            <w:rPr>
              <w:sz w:val="15"/>
              <w:szCs w:val="15"/>
            </w:rPr>
            <w:tag w:val="_PLD_806901fee79c40f688fa2f02ab1d596d"/>
            <w:id w:val="147481549"/>
          </w:sdtPr>
          <w:sdtContent>
            <w:tc>
              <w:tcPr>
                <w:tcW w:w="1943" w:type="dxa"/>
                <w:vAlign w:val="center"/>
              </w:tcPr>
              <w:p w14:paraId="48DAB71F" w14:textId="77777777" w:rsidR="005E000F" w:rsidRDefault="00000000">
                <w:pPr>
                  <w:rPr>
                    <w:sz w:val="15"/>
                    <w:szCs w:val="15"/>
                  </w:rPr>
                </w:pPr>
                <w:r>
                  <w:rPr>
                    <w:sz w:val="15"/>
                    <w:szCs w:val="15"/>
                  </w:rPr>
                  <w:t>（</w:t>
                </w:r>
                <w:r>
                  <w:rPr>
                    <w:rFonts w:hint="eastAsia"/>
                    <w:sz w:val="15"/>
                    <w:szCs w:val="15"/>
                  </w:rPr>
                  <w:t>三</w:t>
                </w:r>
                <w:r>
                  <w:rPr>
                    <w:sz w:val="15"/>
                    <w:szCs w:val="15"/>
                  </w:rPr>
                  <w:t>）利润分配</w:t>
                </w:r>
              </w:p>
            </w:tc>
          </w:sdtContent>
        </w:sdt>
        <w:tc>
          <w:tcPr>
            <w:tcW w:w="1390" w:type="dxa"/>
            <w:tcBorders>
              <w:right w:val="single" w:sz="4" w:space="0" w:color="auto"/>
            </w:tcBorders>
            <w:vAlign w:val="center"/>
          </w:tcPr>
          <w:p w14:paraId="09B00292"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405F5A81"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251FDAEF"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521ED505" w14:textId="77777777" w:rsidR="005E000F" w:rsidRDefault="00000000">
            <w:pPr>
              <w:jc w:val="right"/>
              <w:rPr>
                <w:sz w:val="15"/>
                <w:szCs w:val="15"/>
              </w:rPr>
            </w:pPr>
            <w:r>
              <w:rPr>
                <w:sz w:val="15"/>
                <w:szCs w:val="15"/>
              </w:rPr>
              <w:t>0</w:t>
            </w:r>
          </w:p>
        </w:tc>
        <w:tc>
          <w:tcPr>
            <w:tcW w:w="1180" w:type="dxa"/>
            <w:vAlign w:val="center"/>
          </w:tcPr>
          <w:p w14:paraId="03DF04A0" w14:textId="77777777" w:rsidR="005E000F" w:rsidRDefault="00000000">
            <w:pPr>
              <w:jc w:val="right"/>
              <w:rPr>
                <w:sz w:val="15"/>
                <w:szCs w:val="15"/>
              </w:rPr>
            </w:pPr>
            <w:r>
              <w:rPr>
                <w:sz w:val="15"/>
                <w:szCs w:val="15"/>
              </w:rPr>
              <w:t>0</w:t>
            </w:r>
          </w:p>
        </w:tc>
        <w:tc>
          <w:tcPr>
            <w:tcW w:w="600" w:type="dxa"/>
            <w:vAlign w:val="center"/>
          </w:tcPr>
          <w:p w14:paraId="1DC11F81" w14:textId="77777777" w:rsidR="005E000F" w:rsidRDefault="00000000">
            <w:pPr>
              <w:jc w:val="right"/>
              <w:rPr>
                <w:sz w:val="15"/>
                <w:szCs w:val="15"/>
              </w:rPr>
            </w:pPr>
            <w:r>
              <w:rPr>
                <w:sz w:val="15"/>
                <w:szCs w:val="15"/>
              </w:rPr>
              <w:t>0</w:t>
            </w:r>
          </w:p>
        </w:tc>
        <w:tc>
          <w:tcPr>
            <w:tcW w:w="1240" w:type="dxa"/>
            <w:vAlign w:val="center"/>
          </w:tcPr>
          <w:p w14:paraId="14E2663E" w14:textId="77777777" w:rsidR="005E000F" w:rsidRDefault="00000000">
            <w:pPr>
              <w:jc w:val="right"/>
              <w:rPr>
                <w:sz w:val="15"/>
                <w:szCs w:val="15"/>
              </w:rPr>
            </w:pPr>
            <w:r>
              <w:rPr>
                <w:sz w:val="15"/>
                <w:szCs w:val="15"/>
              </w:rPr>
              <w:t>0</w:t>
            </w:r>
          </w:p>
        </w:tc>
        <w:tc>
          <w:tcPr>
            <w:tcW w:w="1210" w:type="dxa"/>
            <w:vAlign w:val="center"/>
          </w:tcPr>
          <w:p w14:paraId="4C790BD9" w14:textId="77777777" w:rsidR="005E000F" w:rsidRDefault="00000000">
            <w:pPr>
              <w:jc w:val="right"/>
              <w:rPr>
                <w:sz w:val="15"/>
                <w:szCs w:val="15"/>
              </w:rPr>
            </w:pPr>
            <w:r>
              <w:rPr>
                <w:sz w:val="15"/>
                <w:szCs w:val="15"/>
              </w:rPr>
              <w:t>0</w:t>
            </w:r>
          </w:p>
        </w:tc>
        <w:tc>
          <w:tcPr>
            <w:tcW w:w="1180" w:type="dxa"/>
            <w:vAlign w:val="center"/>
          </w:tcPr>
          <w:p w14:paraId="5AC86DEE" w14:textId="77777777" w:rsidR="005E000F" w:rsidRDefault="00000000">
            <w:pPr>
              <w:jc w:val="right"/>
              <w:rPr>
                <w:sz w:val="15"/>
                <w:szCs w:val="15"/>
              </w:rPr>
            </w:pPr>
            <w:r>
              <w:rPr>
                <w:sz w:val="15"/>
                <w:szCs w:val="15"/>
              </w:rPr>
              <w:t>900,996,209</w:t>
            </w:r>
          </w:p>
        </w:tc>
        <w:tc>
          <w:tcPr>
            <w:tcW w:w="1270" w:type="dxa"/>
            <w:vAlign w:val="center"/>
          </w:tcPr>
          <w:p w14:paraId="562E2517" w14:textId="77777777" w:rsidR="005E000F" w:rsidRDefault="00000000">
            <w:pPr>
              <w:jc w:val="right"/>
              <w:rPr>
                <w:sz w:val="15"/>
                <w:szCs w:val="15"/>
              </w:rPr>
            </w:pPr>
            <w:r>
              <w:rPr>
                <w:sz w:val="15"/>
                <w:szCs w:val="15"/>
              </w:rPr>
              <w:t>-10,208,281,626</w:t>
            </w:r>
          </w:p>
        </w:tc>
        <w:tc>
          <w:tcPr>
            <w:tcW w:w="1251" w:type="dxa"/>
            <w:vAlign w:val="center"/>
          </w:tcPr>
          <w:p w14:paraId="4351D732" w14:textId="77777777" w:rsidR="005E000F" w:rsidRDefault="00000000">
            <w:pPr>
              <w:jc w:val="right"/>
              <w:rPr>
                <w:sz w:val="15"/>
                <w:szCs w:val="15"/>
              </w:rPr>
            </w:pPr>
            <w:r>
              <w:rPr>
                <w:sz w:val="15"/>
                <w:szCs w:val="15"/>
              </w:rPr>
              <w:t>-9,307,285,417</w:t>
            </w:r>
          </w:p>
        </w:tc>
      </w:tr>
      <w:tr w:rsidR="005E000F" w14:paraId="1B16C6D4" w14:textId="77777777">
        <w:trPr>
          <w:trHeight w:val="20"/>
        </w:trPr>
        <w:sdt>
          <w:sdtPr>
            <w:rPr>
              <w:sz w:val="15"/>
              <w:szCs w:val="15"/>
            </w:rPr>
            <w:tag w:val="_PLD_5936c2d33e22476597644c98158847c6"/>
            <w:id w:val="147477963"/>
          </w:sdtPr>
          <w:sdtContent>
            <w:tc>
              <w:tcPr>
                <w:tcW w:w="1943" w:type="dxa"/>
                <w:vAlign w:val="center"/>
              </w:tcPr>
              <w:p w14:paraId="256F8B32" w14:textId="77777777" w:rsidR="005E000F" w:rsidRDefault="00000000">
                <w:pPr>
                  <w:rPr>
                    <w:sz w:val="15"/>
                    <w:szCs w:val="15"/>
                  </w:rPr>
                </w:pPr>
                <w:r>
                  <w:rPr>
                    <w:sz w:val="15"/>
                    <w:szCs w:val="15"/>
                  </w:rPr>
                  <w:t>1</w:t>
                </w:r>
                <w:r>
                  <w:rPr>
                    <w:sz w:val="15"/>
                    <w:szCs w:val="15"/>
                  </w:rPr>
                  <w:t>．提取盈余公积</w:t>
                </w:r>
              </w:p>
            </w:tc>
          </w:sdtContent>
        </w:sdt>
        <w:tc>
          <w:tcPr>
            <w:tcW w:w="1390" w:type="dxa"/>
            <w:tcBorders>
              <w:right w:val="single" w:sz="4" w:space="0" w:color="auto"/>
            </w:tcBorders>
            <w:vAlign w:val="center"/>
          </w:tcPr>
          <w:p w14:paraId="433BB3F0"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6472CF8F"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239184D5"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20A197BA" w14:textId="77777777" w:rsidR="005E000F" w:rsidRDefault="00000000">
            <w:pPr>
              <w:jc w:val="right"/>
              <w:rPr>
                <w:sz w:val="15"/>
                <w:szCs w:val="15"/>
              </w:rPr>
            </w:pPr>
            <w:r>
              <w:rPr>
                <w:sz w:val="15"/>
                <w:szCs w:val="15"/>
              </w:rPr>
              <w:t>0</w:t>
            </w:r>
          </w:p>
        </w:tc>
        <w:tc>
          <w:tcPr>
            <w:tcW w:w="1180" w:type="dxa"/>
            <w:vAlign w:val="center"/>
          </w:tcPr>
          <w:p w14:paraId="724684D2" w14:textId="77777777" w:rsidR="005E000F" w:rsidRDefault="00000000">
            <w:pPr>
              <w:jc w:val="right"/>
              <w:rPr>
                <w:sz w:val="15"/>
                <w:szCs w:val="15"/>
              </w:rPr>
            </w:pPr>
            <w:r>
              <w:rPr>
                <w:sz w:val="15"/>
                <w:szCs w:val="15"/>
              </w:rPr>
              <w:t>0</w:t>
            </w:r>
          </w:p>
        </w:tc>
        <w:tc>
          <w:tcPr>
            <w:tcW w:w="600" w:type="dxa"/>
            <w:vAlign w:val="center"/>
          </w:tcPr>
          <w:p w14:paraId="16626CB8" w14:textId="77777777" w:rsidR="005E000F" w:rsidRDefault="00000000">
            <w:pPr>
              <w:jc w:val="right"/>
              <w:rPr>
                <w:sz w:val="15"/>
                <w:szCs w:val="15"/>
              </w:rPr>
            </w:pPr>
            <w:r>
              <w:rPr>
                <w:sz w:val="15"/>
                <w:szCs w:val="15"/>
              </w:rPr>
              <w:t>0</w:t>
            </w:r>
          </w:p>
        </w:tc>
        <w:tc>
          <w:tcPr>
            <w:tcW w:w="1240" w:type="dxa"/>
            <w:vAlign w:val="center"/>
          </w:tcPr>
          <w:p w14:paraId="58F18F35" w14:textId="77777777" w:rsidR="005E000F" w:rsidRDefault="00000000">
            <w:pPr>
              <w:jc w:val="right"/>
              <w:rPr>
                <w:sz w:val="15"/>
                <w:szCs w:val="15"/>
              </w:rPr>
            </w:pPr>
            <w:r>
              <w:rPr>
                <w:sz w:val="15"/>
                <w:szCs w:val="15"/>
              </w:rPr>
              <w:t>0</w:t>
            </w:r>
          </w:p>
        </w:tc>
        <w:tc>
          <w:tcPr>
            <w:tcW w:w="1210" w:type="dxa"/>
            <w:vAlign w:val="center"/>
          </w:tcPr>
          <w:p w14:paraId="460FBF38" w14:textId="77777777" w:rsidR="005E000F" w:rsidRDefault="00000000">
            <w:pPr>
              <w:jc w:val="right"/>
              <w:rPr>
                <w:sz w:val="15"/>
                <w:szCs w:val="15"/>
              </w:rPr>
            </w:pPr>
            <w:r>
              <w:rPr>
                <w:sz w:val="15"/>
                <w:szCs w:val="15"/>
              </w:rPr>
              <w:t>0</w:t>
            </w:r>
          </w:p>
        </w:tc>
        <w:tc>
          <w:tcPr>
            <w:tcW w:w="1180" w:type="dxa"/>
            <w:vAlign w:val="center"/>
          </w:tcPr>
          <w:p w14:paraId="65278E73" w14:textId="77777777" w:rsidR="005E000F" w:rsidRDefault="00000000">
            <w:pPr>
              <w:jc w:val="right"/>
              <w:rPr>
                <w:sz w:val="15"/>
                <w:szCs w:val="15"/>
              </w:rPr>
            </w:pPr>
            <w:r>
              <w:rPr>
                <w:sz w:val="15"/>
                <w:szCs w:val="15"/>
              </w:rPr>
              <w:t>900,996,209</w:t>
            </w:r>
          </w:p>
        </w:tc>
        <w:tc>
          <w:tcPr>
            <w:tcW w:w="1270" w:type="dxa"/>
            <w:vAlign w:val="center"/>
          </w:tcPr>
          <w:p w14:paraId="3990BA14" w14:textId="77777777" w:rsidR="005E000F" w:rsidRDefault="00000000">
            <w:pPr>
              <w:jc w:val="right"/>
              <w:rPr>
                <w:sz w:val="15"/>
                <w:szCs w:val="15"/>
              </w:rPr>
            </w:pPr>
            <w:r>
              <w:rPr>
                <w:sz w:val="15"/>
                <w:szCs w:val="15"/>
              </w:rPr>
              <w:t>-900,996,209</w:t>
            </w:r>
          </w:p>
        </w:tc>
        <w:tc>
          <w:tcPr>
            <w:tcW w:w="1251" w:type="dxa"/>
            <w:vAlign w:val="center"/>
          </w:tcPr>
          <w:p w14:paraId="003F651D" w14:textId="77777777" w:rsidR="005E000F" w:rsidRDefault="00000000">
            <w:pPr>
              <w:jc w:val="right"/>
              <w:rPr>
                <w:sz w:val="15"/>
                <w:szCs w:val="15"/>
              </w:rPr>
            </w:pPr>
            <w:r>
              <w:rPr>
                <w:sz w:val="15"/>
                <w:szCs w:val="15"/>
              </w:rPr>
              <w:t>0</w:t>
            </w:r>
          </w:p>
        </w:tc>
      </w:tr>
      <w:tr w:rsidR="005E000F" w14:paraId="131F538C" w14:textId="77777777">
        <w:trPr>
          <w:trHeight w:val="20"/>
        </w:trPr>
        <w:sdt>
          <w:sdtPr>
            <w:rPr>
              <w:sz w:val="15"/>
              <w:szCs w:val="15"/>
            </w:rPr>
            <w:tag w:val="_PLD_210044b047ac492dbe47ba7aedd16fad"/>
            <w:id w:val="147456339"/>
          </w:sdtPr>
          <w:sdtContent>
            <w:tc>
              <w:tcPr>
                <w:tcW w:w="1943" w:type="dxa"/>
                <w:vAlign w:val="center"/>
              </w:tcPr>
              <w:p w14:paraId="53D67CD2" w14:textId="77777777" w:rsidR="005E000F" w:rsidRDefault="00000000">
                <w:pPr>
                  <w:rPr>
                    <w:sz w:val="15"/>
                    <w:szCs w:val="15"/>
                  </w:rPr>
                </w:pPr>
                <w:r>
                  <w:rPr>
                    <w:rFonts w:hint="eastAsia"/>
                    <w:sz w:val="15"/>
                    <w:szCs w:val="15"/>
                  </w:rPr>
                  <w:t>2</w:t>
                </w:r>
                <w:r>
                  <w:rPr>
                    <w:sz w:val="15"/>
                    <w:szCs w:val="15"/>
                  </w:rPr>
                  <w:t>．对所有者（或股东）的分配</w:t>
                </w:r>
              </w:p>
            </w:tc>
          </w:sdtContent>
        </w:sdt>
        <w:tc>
          <w:tcPr>
            <w:tcW w:w="1390" w:type="dxa"/>
            <w:tcBorders>
              <w:right w:val="single" w:sz="4" w:space="0" w:color="auto"/>
            </w:tcBorders>
            <w:vAlign w:val="center"/>
          </w:tcPr>
          <w:p w14:paraId="667F694A"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40F73664"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66EE737E"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64D18874" w14:textId="77777777" w:rsidR="005E000F" w:rsidRDefault="00000000">
            <w:pPr>
              <w:jc w:val="right"/>
              <w:rPr>
                <w:sz w:val="15"/>
                <w:szCs w:val="15"/>
              </w:rPr>
            </w:pPr>
            <w:r>
              <w:rPr>
                <w:sz w:val="15"/>
                <w:szCs w:val="15"/>
              </w:rPr>
              <w:t>0</w:t>
            </w:r>
          </w:p>
        </w:tc>
        <w:tc>
          <w:tcPr>
            <w:tcW w:w="1180" w:type="dxa"/>
            <w:vAlign w:val="center"/>
          </w:tcPr>
          <w:p w14:paraId="556CC89E" w14:textId="77777777" w:rsidR="005E000F" w:rsidRDefault="00000000">
            <w:pPr>
              <w:jc w:val="right"/>
              <w:rPr>
                <w:sz w:val="15"/>
                <w:szCs w:val="15"/>
              </w:rPr>
            </w:pPr>
            <w:r>
              <w:rPr>
                <w:sz w:val="15"/>
                <w:szCs w:val="15"/>
              </w:rPr>
              <w:t>0</w:t>
            </w:r>
          </w:p>
        </w:tc>
        <w:tc>
          <w:tcPr>
            <w:tcW w:w="600" w:type="dxa"/>
            <w:vAlign w:val="center"/>
          </w:tcPr>
          <w:p w14:paraId="4959469D" w14:textId="77777777" w:rsidR="005E000F" w:rsidRDefault="00000000">
            <w:pPr>
              <w:jc w:val="right"/>
              <w:rPr>
                <w:sz w:val="15"/>
                <w:szCs w:val="15"/>
              </w:rPr>
            </w:pPr>
            <w:r>
              <w:rPr>
                <w:sz w:val="15"/>
                <w:szCs w:val="15"/>
              </w:rPr>
              <w:t>0</w:t>
            </w:r>
          </w:p>
        </w:tc>
        <w:tc>
          <w:tcPr>
            <w:tcW w:w="1240" w:type="dxa"/>
            <w:vAlign w:val="center"/>
          </w:tcPr>
          <w:p w14:paraId="00F6E07D" w14:textId="77777777" w:rsidR="005E000F" w:rsidRDefault="00000000">
            <w:pPr>
              <w:jc w:val="right"/>
              <w:rPr>
                <w:sz w:val="15"/>
                <w:szCs w:val="15"/>
              </w:rPr>
            </w:pPr>
            <w:r>
              <w:rPr>
                <w:sz w:val="15"/>
                <w:szCs w:val="15"/>
              </w:rPr>
              <w:t>0</w:t>
            </w:r>
          </w:p>
        </w:tc>
        <w:tc>
          <w:tcPr>
            <w:tcW w:w="1210" w:type="dxa"/>
            <w:vAlign w:val="center"/>
          </w:tcPr>
          <w:p w14:paraId="1A0EBAA8" w14:textId="77777777" w:rsidR="005E000F" w:rsidRDefault="00000000">
            <w:pPr>
              <w:jc w:val="right"/>
              <w:rPr>
                <w:sz w:val="15"/>
                <w:szCs w:val="15"/>
              </w:rPr>
            </w:pPr>
            <w:r>
              <w:rPr>
                <w:sz w:val="15"/>
                <w:szCs w:val="15"/>
              </w:rPr>
              <w:t>0</w:t>
            </w:r>
          </w:p>
        </w:tc>
        <w:tc>
          <w:tcPr>
            <w:tcW w:w="1180" w:type="dxa"/>
            <w:vAlign w:val="center"/>
          </w:tcPr>
          <w:p w14:paraId="421B8F0E" w14:textId="77777777" w:rsidR="005E000F" w:rsidRDefault="00000000">
            <w:pPr>
              <w:jc w:val="right"/>
              <w:rPr>
                <w:sz w:val="15"/>
                <w:szCs w:val="15"/>
              </w:rPr>
            </w:pPr>
            <w:r>
              <w:rPr>
                <w:sz w:val="15"/>
                <w:szCs w:val="15"/>
              </w:rPr>
              <w:t>0</w:t>
            </w:r>
          </w:p>
        </w:tc>
        <w:tc>
          <w:tcPr>
            <w:tcW w:w="1270" w:type="dxa"/>
            <w:vAlign w:val="center"/>
          </w:tcPr>
          <w:p w14:paraId="364BF121" w14:textId="77777777" w:rsidR="005E000F" w:rsidRDefault="00000000">
            <w:pPr>
              <w:jc w:val="right"/>
              <w:rPr>
                <w:sz w:val="15"/>
                <w:szCs w:val="15"/>
              </w:rPr>
            </w:pPr>
            <w:r>
              <w:rPr>
                <w:sz w:val="15"/>
                <w:szCs w:val="15"/>
              </w:rPr>
              <w:t>-9,288,476,722</w:t>
            </w:r>
          </w:p>
        </w:tc>
        <w:tc>
          <w:tcPr>
            <w:tcW w:w="1251" w:type="dxa"/>
            <w:vAlign w:val="center"/>
          </w:tcPr>
          <w:p w14:paraId="1A6E437A" w14:textId="77777777" w:rsidR="005E000F" w:rsidRDefault="00000000">
            <w:pPr>
              <w:jc w:val="right"/>
              <w:rPr>
                <w:sz w:val="15"/>
                <w:szCs w:val="15"/>
              </w:rPr>
            </w:pPr>
            <w:r>
              <w:rPr>
                <w:sz w:val="15"/>
                <w:szCs w:val="15"/>
              </w:rPr>
              <w:t>-9,288,476,722</w:t>
            </w:r>
          </w:p>
        </w:tc>
      </w:tr>
      <w:tr w:rsidR="005E000F" w14:paraId="0BA1F7AB" w14:textId="77777777">
        <w:trPr>
          <w:trHeight w:val="20"/>
        </w:trPr>
        <w:sdt>
          <w:sdtPr>
            <w:rPr>
              <w:sz w:val="15"/>
              <w:szCs w:val="15"/>
            </w:rPr>
            <w:tag w:val="_PLD_65affb7384874e8facf889d04ab4dd24"/>
            <w:id w:val="147454593"/>
          </w:sdtPr>
          <w:sdtContent>
            <w:tc>
              <w:tcPr>
                <w:tcW w:w="1943" w:type="dxa"/>
                <w:vAlign w:val="center"/>
              </w:tcPr>
              <w:p w14:paraId="33D4EC7D" w14:textId="77777777" w:rsidR="005E000F" w:rsidRDefault="00000000">
                <w:pPr>
                  <w:rPr>
                    <w:sz w:val="15"/>
                    <w:szCs w:val="15"/>
                  </w:rPr>
                </w:pPr>
                <w:r>
                  <w:rPr>
                    <w:rFonts w:hint="eastAsia"/>
                    <w:sz w:val="15"/>
                    <w:szCs w:val="15"/>
                  </w:rPr>
                  <w:t>3</w:t>
                </w:r>
                <w:r>
                  <w:rPr>
                    <w:sz w:val="15"/>
                    <w:szCs w:val="15"/>
                  </w:rPr>
                  <w:t>．其他</w:t>
                </w:r>
              </w:p>
            </w:tc>
          </w:sdtContent>
        </w:sdt>
        <w:tc>
          <w:tcPr>
            <w:tcW w:w="1390" w:type="dxa"/>
            <w:tcBorders>
              <w:right w:val="single" w:sz="4" w:space="0" w:color="auto"/>
            </w:tcBorders>
            <w:vAlign w:val="center"/>
          </w:tcPr>
          <w:p w14:paraId="0A814DF5"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1D985B9D"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78FF64EE"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78D008ED" w14:textId="77777777" w:rsidR="005E000F" w:rsidRDefault="00000000">
            <w:pPr>
              <w:jc w:val="right"/>
              <w:rPr>
                <w:sz w:val="15"/>
                <w:szCs w:val="15"/>
              </w:rPr>
            </w:pPr>
            <w:r>
              <w:rPr>
                <w:sz w:val="15"/>
                <w:szCs w:val="15"/>
              </w:rPr>
              <w:t>0</w:t>
            </w:r>
          </w:p>
        </w:tc>
        <w:tc>
          <w:tcPr>
            <w:tcW w:w="1180" w:type="dxa"/>
            <w:vAlign w:val="center"/>
          </w:tcPr>
          <w:p w14:paraId="5FF35FB6" w14:textId="77777777" w:rsidR="005E000F" w:rsidRDefault="00000000">
            <w:pPr>
              <w:jc w:val="right"/>
              <w:rPr>
                <w:sz w:val="15"/>
                <w:szCs w:val="15"/>
              </w:rPr>
            </w:pPr>
            <w:r>
              <w:rPr>
                <w:sz w:val="15"/>
                <w:szCs w:val="15"/>
              </w:rPr>
              <w:t>0</w:t>
            </w:r>
          </w:p>
        </w:tc>
        <w:tc>
          <w:tcPr>
            <w:tcW w:w="600" w:type="dxa"/>
            <w:vAlign w:val="center"/>
          </w:tcPr>
          <w:p w14:paraId="16ABAD73" w14:textId="77777777" w:rsidR="005E000F" w:rsidRDefault="00000000">
            <w:pPr>
              <w:jc w:val="right"/>
              <w:rPr>
                <w:sz w:val="15"/>
                <w:szCs w:val="15"/>
              </w:rPr>
            </w:pPr>
            <w:r>
              <w:rPr>
                <w:sz w:val="15"/>
                <w:szCs w:val="15"/>
              </w:rPr>
              <w:t>0</w:t>
            </w:r>
          </w:p>
        </w:tc>
        <w:tc>
          <w:tcPr>
            <w:tcW w:w="1240" w:type="dxa"/>
            <w:vAlign w:val="center"/>
          </w:tcPr>
          <w:p w14:paraId="5329D092" w14:textId="77777777" w:rsidR="005E000F" w:rsidRDefault="00000000">
            <w:pPr>
              <w:jc w:val="right"/>
              <w:rPr>
                <w:sz w:val="15"/>
                <w:szCs w:val="15"/>
              </w:rPr>
            </w:pPr>
            <w:r>
              <w:rPr>
                <w:sz w:val="15"/>
                <w:szCs w:val="15"/>
              </w:rPr>
              <w:t>0</w:t>
            </w:r>
          </w:p>
        </w:tc>
        <w:tc>
          <w:tcPr>
            <w:tcW w:w="1210" w:type="dxa"/>
            <w:vAlign w:val="center"/>
          </w:tcPr>
          <w:p w14:paraId="063348EF" w14:textId="77777777" w:rsidR="005E000F" w:rsidRDefault="00000000">
            <w:pPr>
              <w:jc w:val="right"/>
              <w:rPr>
                <w:sz w:val="15"/>
                <w:szCs w:val="15"/>
              </w:rPr>
            </w:pPr>
            <w:r>
              <w:rPr>
                <w:sz w:val="15"/>
                <w:szCs w:val="15"/>
              </w:rPr>
              <w:t>0</w:t>
            </w:r>
          </w:p>
        </w:tc>
        <w:tc>
          <w:tcPr>
            <w:tcW w:w="1180" w:type="dxa"/>
            <w:vAlign w:val="center"/>
          </w:tcPr>
          <w:p w14:paraId="7881AEC5" w14:textId="77777777" w:rsidR="005E000F" w:rsidRDefault="00000000">
            <w:pPr>
              <w:jc w:val="right"/>
              <w:rPr>
                <w:sz w:val="15"/>
                <w:szCs w:val="15"/>
              </w:rPr>
            </w:pPr>
            <w:r>
              <w:rPr>
                <w:sz w:val="15"/>
                <w:szCs w:val="15"/>
              </w:rPr>
              <w:t>0</w:t>
            </w:r>
          </w:p>
        </w:tc>
        <w:tc>
          <w:tcPr>
            <w:tcW w:w="1270" w:type="dxa"/>
            <w:vAlign w:val="center"/>
          </w:tcPr>
          <w:p w14:paraId="221AB361" w14:textId="77777777" w:rsidR="005E000F" w:rsidRDefault="00000000">
            <w:pPr>
              <w:jc w:val="right"/>
              <w:rPr>
                <w:sz w:val="15"/>
                <w:szCs w:val="15"/>
              </w:rPr>
            </w:pPr>
            <w:r>
              <w:rPr>
                <w:sz w:val="15"/>
                <w:szCs w:val="15"/>
              </w:rPr>
              <w:t>-18,808,695</w:t>
            </w:r>
          </w:p>
        </w:tc>
        <w:tc>
          <w:tcPr>
            <w:tcW w:w="1251" w:type="dxa"/>
            <w:vAlign w:val="center"/>
          </w:tcPr>
          <w:p w14:paraId="756054CB" w14:textId="77777777" w:rsidR="005E000F" w:rsidRDefault="00000000">
            <w:pPr>
              <w:jc w:val="right"/>
              <w:rPr>
                <w:sz w:val="15"/>
                <w:szCs w:val="15"/>
              </w:rPr>
            </w:pPr>
            <w:r>
              <w:rPr>
                <w:sz w:val="15"/>
                <w:szCs w:val="15"/>
              </w:rPr>
              <w:t>-18,808,695</w:t>
            </w:r>
          </w:p>
        </w:tc>
      </w:tr>
      <w:tr w:rsidR="005E000F" w14:paraId="5AE95903" w14:textId="77777777">
        <w:trPr>
          <w:trHeight w:val="20"/>
        </w:trPr>
        <w:sdt>
          <w:sdtPr>
            <w:rPr>
              <w:sz w:val="15"/>
              <w:szCs w:val="15"/>
            </w:rPr>
            <w:tag w:val="_PLD_ed39015638e6485d9ecad98bd3aaac6b"/>
            <w:id w:val="147479225"/>
          </w:sdtPr>
          <w:sdtContent>
            <w:tc>
              <w:tcPr>
                <w:tcW w:w="1943" w:type="dxa"/>
                <w:vAlign w:val="center"/>
              </w:tcPr>
              <w:p w14:paraId="5FA721C7" w14:textId="77777777" w:rsidR="005E000F" w:rsidRDefault="00000000">
                <w:pPr>
                  <w:rPr>
                    <w:sz w:val="15"/>
                    <w:szCs w:val="15"/>
                  </w:rPr>
                </w:pPr>
                <w:r>
                  <w:rPr>
                    <w:sz w:val="15"/>
                    <w:szCs w:val="15"/>
                  </w:rPr>
                  <w:t>（</w:t>
                </w:r>
                <w:r>
                  <w:rPr>
                    <w:rFonts w:hint="eastAsia"/>
                    <w:sz w:val="15"/>
                    <w:szCs w:val="15"/>
                  </w:rPr>
                  <w:t>四</w:t>
                </w:r>
                <w:r>
                  <w:rPr>
                    <w:sz w:val="15"/>
                    <w:szCs w:val="15"/>
                  </w:rPr>
                  <w:t>）所有者权益内部结转</w:t>
                </w:r>
              </w:p>
            </w:tc>
          </w:sdtContent>
        </w:sdt>
        <w:tc>
          <w:tcPr>
            <w:tcW w:w="1390" w:type="dxa"/>
            <w:tcBorders>
              <w:right w:val="single" w:sz="4" w:space="0" w:color="auto"/>
            </w:tcBorders>
            <w:vAlign w:val="center"/>
          </w:tcPr>
          <w:p w14:paraId="29C7B426"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6D56DC03"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3843407F"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070E2713" w14:textId="77777777" w:rsidR="005E000F" w:rsidRDefault="00000000">
            <w:pPr>
              <w:jc w:val="right"/>
              <w:rPr>
                <w:sz w:val="15"/>
                <w:szCs w:val="15"/>
              </w:rPr>
            </w:pPr>
            <w:r>
              <w:rPr>
                <w:sz w:val="15"/>
                <w:szCs w:val="15"/>
              </w:rPr>
              <w:t>0</w:t>
            </w:r>
          </w:p>
        </w:tc>
        <w:tc>
          <w:tcPr>
            <w:tcW w:w="1180" w:type="dxa"/>
            <w:vAlign w:val="center"/>
          </w:tcPr>
          <w:p w14:paraId="44FDBCB3" w14:textId="77777777" w:rsidR="005E000F" w:rsidRDefault="00000000">
            <w:pPr>
              <w:jc w:val="right"/>
              <w:rPr>
                <w:sz w:val="15"/>
                <w:szCs w:val="15"/>
              </w:rPr>
            </w:pPr>
            <w:r>
              <w:rPr>
                <w:sz w:val="15"/>
                <w:szCs w:val="15"/>
              </w:rPr>
              <w:t>0</w:t>
            </w:r>
          </w:p>
        </w:tc>
        <w:tc>
          <w:tcPr>
            <w:tcW w:w="600" w:type="dxa"/>
            <w:vAlign w:val="center"/>
          </w:tcPr>
          <w:p w14:paraId="553CECBA" w14:textId="77777777" w:rsidR="005E000F" w:rsidRDefault="00000000">
            <w:pPr>
              <w:jc w:val="right"/>
              <w:rPr>
                <w:sz w:val="15"/>
                <w:szCs w:val="15"/>
              </w:rPr>
            </w:pPr>
            <w:r>
              <w:rPr>
                <w:sz w:val="15"/>
                <w:szCs w:val="15"/>
              </w:rPr>
              <w:t>0</w:t>
            </w:r>
          </w:p>
        </w:tc>
        <w:tc>
          <w:tcPr>
            <w:tcW w:w="1240" w:type="dxa"/>
            <w:vAlign w:val="center"/>
          </w:tcPr>
          <w:p w14:paraId="1D528346" w14:textId="77777777" w:rsidR="005E000F" w:rsidRDefault="00000000">
            <w:pPr>
              <w:jc w:val="right"/>
              <w:rPr>
                <w:sz w:val="15"/>
                <w:szCs w:val="15"/>
              </w:rPr>
            </w:pPr>
            <w:r>
              <w:rPr>
                <w:sz w:val="15"/>
                <w:szCs w:val="15"/>
              </w:rPr>
              <w:t>0</w:t>
            </w:r>
          </w:p>
        </w:tc>
        <w:tc>
          <w:tcPr>
            <w:tcW w:w="1210" w:type="dxa"/>
            <w:vAlign w:val="center"/>
          </w:tcPr>
          <w:p w14:paraId="0182D6E5" w14:textId="77777777" w:rsidR="005E000F" w:rsidRDefault="00000000">
            <w:pPr>
              <w:jc w:val="right"/>
              <w:rPr>
                <w:sz w:val="15"/>
                <w:szCs w:val="15"/>
              </w:rPr>
            </w:pPr>
            <w:r>
              <w:rPr>
                <w:sz w:val="15"/>
                <w:szCs w:val="15"/>
              </w:rPr>
              <w:t>0</w:t>
            </w:r>
          </w:p>
        </w:tc>
        <w:tc>
          <w:tcPr>
            <w:tcW w:w="1180" w:type="dxa"/>
            <w:vAlign w:val="center"/>
          </w:tcPr>
          <w:p w14:paraId="137AC717" w14:textId="77777777" w:rsidR="005E000F" w:rsidRDefault="00000000">
            <w:pPr>
              <w:jc w:val="right"/>
              <w:rPr>
                <w:sz w:val="15"/>
                <w:szCs w:val="15"/>
              </w:rPr>
            </w:pPr>
            <w:r>
              <w:rPr>
                <w:sz w:val="15"/>
                <w:szCs w:val="15"/>
              </w:rPr>
              <w:t>0</w:t>
            </w:r>
          </w:p>
        </w:tc>
        <w:tc>
          <w:tcPr>
            <w:tcW w:w="1270" w:type="dxa"/>
            <w:vAlign w:val="center"/>
          </w:tcPr>
          <w:p w14:paraId="68348429" w14:textId="77777777" w:rsidR="005E000F" w:rsidRDefault="00000000">
            <w:pPr>
              <w:jc w:val="right"/>
              <w:rPr>
                <w:sz w:val="15"/>
                <w:szCs w:val="15"/>
              </w:rPr>
            </w:pPr>
            <w:r>
              <w:rPr>
                <w:sz w:val="15"/>
                <w:szCs w:val="15"/>
              </w:rPr>
              <w:t>0</w:t>
            </w:r>
          </w:p>
        </w:tc>
        <w:tc>
          <w:tcPr>
            <w:tcW w:w="1251" w:type="dxa"/>
            <w:vAlign w:val="center"/>
          </w:tcPr>
          <w:p w14:paraId="41BF1730" w14:textId="77777777" w:rsidR="005E000F" w:rsidRDefault="00000000">
            <w:pPr>
              <w:jc w:val="right"/>
              <w:rPr>
                <w:sz w:val="15"/>
                <w:szCs w:val="15"/>
              </w:rPr>
            </w:pPr>
            <w:r>
              <w:rPr>
                <w:sz w:val="15"/>
                <w:szCs w:val="15"/>
              </w:rPr>
              <w:t>0</w:t>
            </w:r>
          </w:p>
        </w:tc>
      </w:tr>
      <w:tr w:rsidR="005E000F" w14:paraId="409A9E52" w14:textId="77777777">
        <w:trPr>
          <w:trHeight w:val="20"/>
        </w:trPr>
        <w:sdt>
          <w:sdtPr>
            <w:rPr>
              <w:sz w:val="15"/>
              <w:szCs w:val="15"/>
            </w:rPr>
            <w:tag w:val="_PLD_16ddc46b3a95453788bdcaaebfae99fa"/>
            <w:id w:val="147478937"/>
          </w:sdtPr>
          <w:sdtContent>
            <w:tc>
              <w:tcPr>
                <w:tcW w:w="1943" w:type="dxa"/>
                <w:vAlign w:val="center"/>
              </w:tcPr>
              <w:p w14:paraId="4508BA5B" w14:textId="77777777" w:rsidR="005E000F" w:rsidRDefault="00000000">
                <w:pPr>
                  <w:rPr>
                    <w:sz w:val="15"/>
                    <w:szCs w:val="15"/>
                  </w:rPr>
                </w:pPr>
                <w:r>
                  <w:rPr>
                    <w:sz w:val="15"/>
                    <w:szCs w:val="15"/>
                  </w:rPr>
                  <w:t>1</w:t>
                </w:r>
                <w:r>
                  <w:rPr>
                    <w:sz w:val="15"/>
                    <w:szCs w:val="15"/>
                  </w:rPr>
                  <w:t>．资本公积转增资本（或股本）</w:t>
                </w:r>
              </w:p>
            </w:tc>
          </w:sdtContent>
        </w:sdt>
        <w:tc>
          <w:tcPr>
            <w:tcW w:w="1390" w:type="dxa"/>
            <w:tcBorders>
              <w:right w:val="single" w:sz="4" w:space="0" w:color="auto"/>
            </w:tcBorders>
            <w:vAlign w:val="center"/>
          </w:tcPr>
          <w:p w14:paraId="7AE20EF8"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4D653F19"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4032776D"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6B1C662A" w14:textId="77777777" w:rsidR="005E000F" w:rsidRDefault="00000000">
            <w:pPr>
              <w:jc w:val="right"/>
              <w:rPr>
                <w:sz w:val="15"/>
                <w:szCs w:val="15"/>
              </w:rPr>
            </w:pPr>
            <w:r>
              <w:rPr>
                <w:sz w:val="15"/>
                <w:szCs w:val="15"/>
              </w:rPr>
              <w:t>0</w:t>
            </w:r>
          </w:p>
        </w:tc>
        <w:tc>
          <w:tcPr>
            <w:tcW w:w="1180" w:type="dxa"/>
            <w:vAlign w:val="center"/>
          </w:tcPr>
          <w:p w14:paraId="3B8843BB" w14:textId="77777777" w:rsidR="005E000F" w:rsidRDefault="00000000">
            <w:pPr>
              <w:jc w:val="right"/>
              <w:rPr>
                <w:sz w:val="15"/>
                <w:szCs w:val="15"/>
              </w:rPr>
            </w:pPr>
            <w:r>
              <w:rPr>
                <w:sz w:val="15"/>
                <w:szCs w:val="15"/>
              </w:rPr>
              <w:t>0</w:t>
            </w:r>
          </w:p>
        </w:tc>
        <w:tc>
          <w:tcPr>
            <w:tcW w:w="600" w:type="dxa"/>
            <w:vAlign w:val="center"/>
          </w:tcPr>
          <w:p w14:paraId="759B3B1E" w14:textId="77777777" w:rsidR="005E000F" w:rsidRDefault="00000000">
            <w:pPr>
              <w:jc w:val="right"/>
              <w:rPr>
                <w:sz w:val="15"/>
                <w:szCs w:val="15"/>
              </w:rPr>
            </w:pPr>
            <w:r>
              <w:rPr>
                <w:sz w:val="15"/>
                <w:szCs w:val="15"/>
              </w:rPr>
              <w:t>0</w:t>
            </w:r>
          </w:p>
        </w:tc>
        <w:tc>
          <w:tcPr>
            <w:tcW w:w="1240" w:type="dxa"/>
            <w:vAlign w:val="center"/>
          </w:tcPr>
          <w:p w14:paraId="5F37D419" w14:textId="77777777" w:rsidR="005E000F" w:rsidRDefault="00000000">
            <w:pPr>
              <w:jc w:val="right"/>
              <w:rPr>
                <w:sz w:val="15"/>
                <w:szCs w:val="15"/>
              </w:rPr>
            </w:pPr>
            <w:r>
              <w:rPr>
                <w:sz w:val="15"/>
                <w:szCs w:val="15"/>
              </w:rPr>
              <w:t>0</w:t>
            </w:r>
          </w:p>
        </w:tc>
        <w:tc>
          <w:tcPr>
            <w:tcW w:w="1210" w:type="dxa"/>
            <w:vAlign w:val="center"/>
          </w:tcPr>
          <w:p w14:paraId="7BD0B9FD" w14:textId="77777777" w:rsidR="005E000F" w:rsidRDefault="00000000">
            <w:pPr>
              <w:jc w:val="right"/>
              <w:rPr>
                <w:sz w:val="15"/>
                <w:szCs w:val="15"/>
              </w:rPr>
            </w:pPr>
            <w:r>
              <w:rPr>
                <w:sz w:val="15"/>
                <w:szCs w:val="15"/>
              </w:rPr>
              <w:t>0</w:t>
            </w:r>
          </w:p>
        </w:tc>
        <w:tc>
          <w:tcPr>
            <w:tcW w:w="1180" w:type="dxa"/>
            <w:vAlign w:val="center"/>
          </w:tcPr>
          <w:p w14:paraId="117C293B" w14:textId="77777777" w:rsidR="005E000F" w:rsidRDefault="00000000">
            <w:pPr>
              <w:jc w:val="right"/>
              <w:rPr>
                <w:sz w:val="15"/>
                <w:szCs w:val="15"/>
              </w:rPr>
            </w:pPr>
            <w:r>
              <w:rPr>
                <w:sz w:val="15"/>
                <w:szCs w:val="15"/>
              </w:rPr>
              <w:t>0</w:t>
            </w:r>
          </w:p>
        </w:tc>
        <w:tc>
          <w:tcPr>
            <w:tcW w:w="1270" w:type="dxa"/>
            <w:vAlign w:val="center"/>
          </w:tcPr>
          <w:p w14:paraId="63467BE5" w14:textId="77777777" w:rsidR="005E000F" w:rsidRDefault="00000000">
            <w:pPr>
              <w:jc w:val="right"/>
              <w:rPr>
                <w:sz w:val="15"/>
                <w:szCs w:val="15"/>
              </w:rPr>
            </w:pPr>
            <w:r>
              <w:rPr>
                <w:sz w:val="15"/>
                <w:szCs w:val="15"/>
              </w:rPr>
              <w:t>0</w:t>
            </w:r>
          </w:p>
        </w:tc>
        <w:tc>
          <w:tcPr>
            <w:tcW w:w="1251" w:type="dxa"/>
            <w:vAlign w:val="center"/>
          </w:tcPr>
          <w:p w14:paraId="220BFAA0" w14:textId="77777777" w:rsidR="005E000F" w:rsidRDefault="00000000">
            <w:pPr>
              <w:jc w:val="right"/>
              <w:rPr>
                <w:sz w:val="15"/>
                <w:szCs w:val="15"/>
              </w:rPr>
            </w:pPr>
            <w:r>
              <w:rPr>
                <w:sz w:val="15"/>
                <w:szCs w:val="15"/>
              </w:rPr>
              <w:t>0</w:t>
            </w:r>
          </w:p>
        </w:tc>
      </w:tr>
      <w:tr w:rsidR="005E000F" w14:paraId="78C2B988" w14:textId="77777777">
        <w:trPr>
          <w:trHeight w:val="20"/>
        </w:trPr>
        <w:sdt>
          <w:sdtPr>
            <w:rPr>
              <w:sz w:val="15"/>
              <w:szCs w:val="15"/>
            </w:rPr>
            <w:tag w:val="_PLD_5f2b4bbca85e4693b990e3e25811eeab"/>
            <w:id w:val="147469808"/>
          </w:sdtPr>
          <w:sdtContent>
            <w:tc>
              <w:tcPr>
                <w:tcW w:w="1943" w:type="dxa"/>
                <w:vAlign w:val="center"/>
              </w:tcPr>
              <w:p w14:paraId="06B89399" w14:textId="77777777" w:rsidR="005E000F" w:rsidRDefault="00000000">
                <w:pPr>
                  <w:rPr>
                    <w:sz w:val="15"/>
                    <w:szCs w:val="15"/>
                  </w:rPr>
                </w:pPr>
                <w:r>
                  <w:rPr>
                    <w:sz w:val="15"/>
                    <w:szCs w:val="15"/>
                  </w:rPr>
                  <w:t>2</w:t>
                </w:r>
                <w:r>
                  <w:rPr>
                    <w:sz w:val="15"/>
                    <w:szCs w:val="15"/>
                  </w:rPr>
                  <w:t>．盈余公积转增资本（或股本）</w:t>
                </w:r>
              </w:p>
            </w:tc>
          </w:sdtContent>
        </w:sdt>
        <w:tc>
          <w:tcPr>
            <w:tcW w:w="1390" w:type="dxa"/>
            <w:tcBorders>
              <w:right w:val="single" w:sz="4" w:space="0" w:color="auto"/>
            </w:tcBorders>
            <w:vAlign w:val="center"/>
          </w:tcPr>
          <w:p w14:paraId="720305F5"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79087CBD"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55A65EDD"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6A921608" w14:textId="77777777" w:rsidR="005E000F" w:rsidRDefault="00000000">
            <w:pPr>
              <w:jc w:val="right"/>
              <w:rPr>
                <w:sz w:val="15"/>
                <w:szCs w:val="15"/>
              </w:rPr>
            </w:pPr>
            <w:r>
              <w:rPr>
                <w:sz w:val="15"/>
                <w:szCs w:val="15"/>
              </w:rPr>
              <w:t>0</w:t>
            </w:r>
          </w:p>
        </w:tc>
        <w:tc>
          <w:tcPr>
            <w:tcW w:w="1180" w:type="dxa"/>
            <w:vAlign w:val="center"/>
          </w:tcPr>
          <w:p w14:paraId="01641145" w14:textId="77777777" w:rsidR="005E000F" w:rsidRDefault="00000000">
            <w:pPr>
              <w:jc w:val="right"/>
              <w:rPr>
                <w:sz w:val="15"/>
                <w:szCs w:val="15"/>
              </w:rPr>
            </w:pPr>
            <w:r>
              <w:rPr>
                <w:sz w:val="15"/>
                <w:szCs w:val="15"/>
              </w:rPr>
              <w:t>0</w:t>
            </w:r>
          </w:p>
        </w:tc>
        <w:tc>
          <w:tcPr>
            <w:tcW w:w="600" w:type="dxa"/>
            <w:vAlign w:val="center"/>
          </w:tcPr>
          <w:p w14:paraId="76F727CE" w14:textId="77777777" w:rsidR="005E000F" w:rsidRDefault="00000000">
            <w:pPr>
              <w:jc w:val="right"/>
              <w:rPr>
                <w:sz w:val="15"/>
                <w:szCs w:val="15"/>
              </w:rPr>
            </w:pPr>
            <w:r>
              <w:rPr>
                <w:sz w:val="15"/>
                <w:szCs w:val="15"/>
              </w:rPr>
              <w:t>0</w:t>
            </w:r>
          </w:p>
        </w:tc>
        <w:tc>
          <w:tcPr>
            <w:tcW w:w="1240" w:type="dxa"/>
            <w:vAlign w:val="center"/>
          </w:tcPr>
          <w:p w14:paraId="02BEFC55" w14:textId="77777777" w:rsidR="005E000F" w:rsidRDefault="00000000">
            <w:pPr>
              <w:jc w:val="right"/>
              <w:rPr>
                <w:sz w:val="15"/>
                <w:szCs w:val="15"/>
              </w:rPr>
            </w:pPr>
            <w:r>
              <w:rPr>
                <w:sz w:val="15"/>
                <w:szCs w:val="15"/>
              </w:rPr>
              <w:t>0</w:t>
            </w:r>
          </w:p>
        </w:tc>
        <w:tc>
          <w:tcPr>
            <w:tcW w:w="1210" w:type="dxa"/>
            <w:vAlign w:val="center"/>
          </w:tcPr>
          <w:p w14:paraId="73E2F682" w14:textId="77777777" w:rsidR="005E000F" w:rsidRDefault="00000000">
            <w:pPr>
              <w:jc w:val="right"/>
              <w:rPr>
                <w:sz w:val="15"/>
                <w:szCs w:val="15"/>
              </w:rPr>
            </w:pPr>
            <w:r>
              <w:rPr>
                <w:sz w:val="15"/>
                <w:szCs w:val="15"/>
              </w:rPr>
              <w:t>0</w:t>
            </w:r>
          </w:p>
        </w:tc>
        <w:tc>
          <w:tcPr>
            <w:tcW w:w="1180" w:type="dxa"/>
            <w:vAlign w:val="center"/>
          </w:tcPr>
          <w:p w14:paraId="6517CAD1" w14:textId="77777777" w:rsidR="005E000F" w:rsidRDefault="00000000">
            <w:pPr>
              <w:jc w:val="right"/>
              <w:rPr>
                <w:sz w:val="15"/>
                <w:szCs w:val="15"/>
              </w:rPr>
            </w:pPr>
            <w:r>
              <w:rPr>
                <w:sz w:val="15"/>
                <w:szCs w:val="15"/>
              </w:rPr>
              <w:t>0</w:t>
            </w:r>
          </w:p>
        </w:tc>
        <w:tc>
          <w:tcPr>
            <w:tcW w:w="1270" w:type="dxa"/>
            <w:vAlign w:val="center"/>
          </w:tcPr>
          <w:p w14:paraId="5CCCB2EE" w14:textId="77777777" w:rsidR="005E000F" w:rsidRDefault="00000000">
            <w:pPr>
              <w:jc w:val="right"/>
              <w:rPr>
                <w:sz w:val="15"/>
                <w:szCs w:val="15"/>
              </w:rPr>
            </w:pPr>
            <w:r>
              <w:rPr>
                <w:sz w:val="15"/>
                <w:szCs w:val="15"/>
              </w:rPr>
              <w:t>0</w:t>
            </w:r>
          </w:p>
        </w:tc>
        <w:tc>
          <w:tcPr>
            <w:tcW w:w="1251" w:type="dxa"/>
            <w:vAlign w:val="center"/>
          </w:tcPr>
          <w:p w14:paraId="33F929BB" w14:textId="77777777" w:rsidR="005E000F" w:rsidRDefault="00000000">
            <w:pPr>
              <w:jc w:val="right"/>
              <w:rPr>
                <w:sz w:val="15"/>
                <w:szCs w:val="15"/>
              </w:rPr>
            </w:pPr>
            <w:r>
              <w:rPr>
                <w:sz w:val="15"/>
                <w:szCs w:val="15"/>
              </w:rPr>
              <w:t>0</w:t>
            </w:r>
          </w:p>
        </w:tc>
      </w:tr>
      <w:tr w:rsidR="005E000F" w14:paraId="614681BA" w14:textId="77777777">
        <w:trPr>
          <w:trHeight w:val="20"/>
        </w:trPr>
        <w:sdt>
          <w:sdtPr>
            <w:rPr>
              <w:sz w:val="15"/>
              <w:szCs w:val="15"/>
            </w:rPr>
            <w:tag w:val="_PLD_15d6c710562e41cc9b0f916bb42a3ecd"/>
            <w:id w:val="147468119"/>
          </w:sdtPr>
          <w:sdtContent>
            <w:tc>
              <w:tcPr>
                <w:tcW w:w="1943" w:type="dxa"/>
                <w:vAlign w:val="center"/>
              </w:tcPr>
              <w:p w14:paraId="61548500" w14:textId="77777777" w:rsidR="005E000F" w:rsidRDefault="00000000">
                <w:pPr>
                  <w:rPr>
                    <w:sz w:val="15"/>
                    <w:szCs w:val="15"/>
                  </w:rPr>
                </w:pPr>
                <w:r>
                  <w:rPr>
                    <w:sz w:val="15"/>
                    <w:szCs w:val="15"/>
                  </w:rPr>
                  <w:t>3</w:t>
                </w:r>
                <w:r>
                  <w:rPr>
                    <w:sz w:val="15"/>
                    <w:szCs w:val="15"/>
                  </w:rPr>
                  <w:t>．盈余公积弥补亏损</w:t>
                </w:r>
              </w:p>
            </w:tc>
          </w:sdtContent>
        </w:sdt>
        <w:tc>
          <w:tcPr>
            <w:tcW w:w="1390" w:type="dxa"/>
            <w:tcBorders>
              <w:right w:val="single" w:sz="4" w:space="0" w:color="auto"/>
            </w:tcBorders>
            <w:vAlign w:val="center"/>
          </w:tcPr>
          <w:p w14:paraId="027F2EBD"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6430C50D"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3E046D00"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4AD66B59" w14:textId="77777777" w:rsidR="005E000F" w:rsidRDefault="00000000">
            <w:pPr>
              <w:jc w:val="right"/>
              <w:rPr>
                <w:sz w:val="15"/>
                <w:szCs w:val="15"/>
              </w:rPr>
            </w:pPr>
            <w:r>
              <w:rPr>
                <w:sz w:val="15"/>
                <w:szCs w:val="15"/>
              </w:rPr>
              <w:t>0</w:t>
            </w:r>
          </w:p>
        </w:tc>
        <w:tc>
          <w:tcPr>
            <w:tcW w:w="1180" w:type="dxa"/>
            <w:vAlign w:val="center"/>
          </w:tcPr>
          <w:p w14:paraId="1EE100B6" w14:textId="77777777" w:rsidR="005E000F" w:rsidRDefault="00000000">
            <w:pPr>
              <w:jc w:val="right"/>
              <w:rPr>
                <w:sz w:val="15"/>
                <w:szCs w:val="15"/>
              </w:rPr>
            </w:pPr>
            <w:r>
              <w:rPr>
                <w:sz w:val="15"/>
                <w:szCs w:val="15"/>
              </w:rPr>
              <w:t>0</w:t>
            </w:r>
          </w:p>
        </w:tc>
        <w:tc>
          <w:tcPr>
            <w:tcW w:w="600" w:type="dxa"/>
            <w:vAlign w:val="center"/>
          </w:tcPr>
          <w:p w14:paraId="38E5159E" w14:textId="77777777" w:rsidR="005E000F" w:rsidRDefault="00000000">
            <w:pPr>
              <w:jc w:val="right"/>
              <w:rPr>
                <w:sz w:val="15"/>
                <w:szCs w:val="15"/>
              </w:rPr>
            </w:pPr>
            <w:r>
              <w:rPr>
                <w:sz w:val="15"/>
                <w:szCs w:val="15"/>
              </w:rPr>
              <w:t>0</w:t>
            </w:r>
          </w:p>
        </w:tc>
        <w:tc>
          <w:tcPr>
            <w:tcW w:w="1240" w:type="dxa"/>
            <w:vAlign w:val="center"/>
          </w:tcPr>
          <w:p w14:paraId="477B1D86" w14:textId="77777777" w:rsidR="005E000F" w:rsidRDefault="00000000">
            <w:pPr>
              <w:jc w:val="right"/>
              <w:rPr>
                <w:sz w:val="15"/>
                <w:szCs w:val="15"/>
              </w:rPr>
            </w:pPr>
            <w:r>
              <w:rPr>
                <w:sz w:val="15"/>
                <w:szCs w:val="15"/>
              </w:rPr>
              <w:t>0</w:t>
            </w:r>
          </w:p>
        </w:tc>
        <w:tc>
          <w:tcPr>
            <w:tcW w:w="1210" w:type="dxa"/>
            <w:vAlign w:val="center"/>
          </w:tcPr>
          <w:p w14:paraId="59287053" w14:textId="77777777" w:rsidR="005E000F" w:rsidRDefault="00000000">
            <w:pPr>
              <w:jc w:val="right"/>
              <w:rPr>
                <w:sz w:val="15"/>
                <w:szCs w:val="15"/>
              </w:rPr>
            </w:pPr>
            <w:r>
              <w:rPr>
                <w:sz w:val="15"/>
                <w:szCs w:val="15"/>
              </w:rPr>
              <w:t>0</w:t>
            </w:r>
          </w:p>
        </w:tc>
        <w:tc>
          <w:tcPr>
            <w:tcW w:w="1180" w:type="dxa"/>
            <w:vAlign w:val="center"/>
          </w:tcPr>
          <w:p w14:paraId="7F6A0766" w14:textId="77777777" w:rsidR="005E000F" w:rsidRDefault="00000000">
            <w:pPr>
              <w:jc w:val="right"/>
              <w:rPr>
                <w:sz w:val="15"/>
                <w:szCs w:val="15"/>
              </w:rPr>
            </w:pPr>
            <w:r>
              <w:rPr>
                <w:sz w:val="15"/>
                <w:szCs w:val="15"/>
              </w:rPr>
              <w:t>0</w:t>
            </w:r>
          </w:p>
        </w:tc>
        <w:tc>
          <w:tcPr>
            <w:tcW w:w="1270" w:type="dxa"/>
            <w:vAlign w:val="center"/>
          </w:tcPr>
          <w:p w14:paraId="21AADFCC" w14:textId="77777777" w:rsidR="005E000F" w:rsidRDefault="00000000">
            <w:pPr>
              <w:jc w:val="right"/>
              <w:rPr>
                <w:sz w:val="15"/>
                <w:szCs w:val="15"/>
              </w:rPr>
            </w:pPr>
            <w:r>
              <w:rPr>
                <w:sz w:val="15"/>
                <w:szCs w:val="15"/>
              </w:rPr>
              <w:t>0</w:t>
            </w:r>
          </w:p>
        </w:tc>
        <w:tc>
          <w:tcPr>
            <w:tcW w:w="1251" w:type="dxa"/>
            <w:vAlign w:val="center"/>
          </w:tcPr>
          <w:p w14:paraId="335865CF" w14:textId="77777777" w:rsidR="005E000F" w:rsidRDefault="00000000">
            <w:pPr>
              <w:jc w:val="right"/>
              <w:rPr>
                <w:sz w:val="15"/>
                <w:szCs w:val="15"/>
              </w:rPr>
            </w:pPr>
            <w:r>
              <w:rPr>
                <w:sz w:val="15"/>
                <w:szCs w:val="15"/>
              </w:rPr>
              <w:t>0</w:t>
            </w:r>
          </w:p>
        </w:tc>
      </w:tr>
      <w:tr w:rsidR="005E000F" w14:paraId="16FDA8C7" w14:textId="77777777">
        <w:trPr>
          <w:trHeight w:val="20"/>
        </w:trPr>
        <w:tc>
          <w:tcPr>
            <w:tcW w:w="1943" w:type="dxa"/>
            <w:vAlign w:val="center"/>
          </w:tcPr>
          <w:sdt>
            <w:sdtPr>
              <w:rPr>
                <w:sz w:val="15"/>
                <w:szCs w:val="15"/>
              </w:rPr>
              <w:tag w:val="_PLD_f4cb17050ad540c1b6765bbc5ef1d185"/>
              <w:id w:val="147459049"/>
            </w:sdtPr>
            <w:sdtContent>
              <w:p w14:paraId="68EB9A01" w14:textId="77777777" w:rsidR="005E000F" w:rsidRDefault="00000000">
                <w:pPr>
                  <w:rPr>
                    <w:sz w:val="15"/>
                    <w:szCs w:val="15"/>
                  </w:rPr>
                </w:pPr>
                <w:r>
                  <w:rPr>
                    <w:sz w:val="15"/>
                    <w:szCs w:val="15"/>
                  </w:rPr>
                  <w:t>4</w:t>
                </w:r>
                <w:r>
                  <w:rPr>
                    <w:sz w:val="15"/>
                    <w:szCs w:val="15"/>
                  </w:rPr>
                  <w:t>．设定受益计划变动额结转留存收益</w:t>
                </w:r>
              </w:p>
            </w:sdtContent>
          </w:sdt>
        </w:tc>
        <w:tc>
          <w:tcPr>
            <w:tcW w:w="1390" w:type="dxa"/>
            <w:tcBorders>
              <w:right w:val="single" w:sz="4" w:space="0" w:color="auto"/>
            </w:tcBorders>
            <w:vAlign w:val="center"/>
          </w:tcPr>
          <w:p w14:paraId="3180059C"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17640512"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73233D62"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29F6BB22" w14:textId="77777777" w:rsidR="005E000F" w:rsidRDefault="00000000">
            <w:pPr>
              <w:jc w:val="right"/>
              <w:rPr>
                <w:sz w:val="15"/>
                <w:szCs w:val="15"/>
              </w:rPr>
            </w:pPr>
            <w:r>
              <w:rPr>
                <w:sz w:val="15"/>
                <w:szCs w:val="15"/>
              </w:rPr>
              <w:t>0</w:t>
            </w:r>
          </w:p>
        </w:tc>
        <w:tc>
          <w:tcPr>
            <w:tcW w:w="1180" w:type="dxa"/>
            <w:vAlign w:val="center"/>
          </w:tcPr>
          <w:p w14:paraId="7975DBCB" w14:textId="77777777" w:rsidR="005E000F" w:rsidRDefault="00000000">
            <w:pPr>
              <w:jc w:val="right"/>
              <w:rPr>
                <w:sz w:val="15"/>
                <w:szCs w:val="15"/>
              </w:rPr>
            </w:pPr>
            <w:r>
              <w:rPr>
                <w:sz w:val="15"/>
                <w:szCs w:val="15"/>
              </w:rPr>
              <w:t>0</w:t>
            </w:r>
          </w:p>
        </w:tc>
        <w:tc>
          <w:tcPr>
            <w:tcW w:w="600" w:type="dxa"/>
            <w:vAlign w:val="center"/>
          </w:tcPr>
          <w:p w14:paraId="397DEFC9" w14:textId="77777777" w:rsidR="005E000F" w:rsidRDefault="00000000">
            <w:pPr>
              <w:jc w:val="right"/>
              <w:rPr>
                <w:sz w:val="15"/>
                <w:szCs w:val="15"/>
              </w:rPr>
            </w:pPr>
            <w:r>
              <w:rPr>
                <w:sz w:val="15"/>
                <w:szCs w:val="15"/>
              </w:rPr>
              <w:t>0</w:t>
            </w:r>
          </w:p>
        </w:tc>
        <w:tc>
          <w:tcPr>
            <w:tcW w:w="1240" w:type="dxa"/>
            <w:vAlign w:val="center"/>
          </w:tcPr>
          <w:p w14:paraId="2F64C15F" w14:textId="77777777" w:rsidR="005E000F" w:rsidRDefault="00000000">
            <w:pPr>
              <w:jc w:val="right"/>
              <w:rPr>
                <w:sz w:val="15"/>
                <w:szCs w:val="15"/>
              </w:rPr>
            </w:pPr>
            <w:r>
              <w:rPr>
                <w:sz w:val="15"/>
                <w:szCs w:val="15"/>
              </w:rPr>
              <w:t>0</w:t>
            </w:r>
          </w:p>
        </w:tc>
        <w:tc>
          <w:tcPr>
            <w:tcW w:w="1210" w:type="dxa"/>
            <w:vAlign w:val="center"/>
          </w:tcPr>
          <w:p w14:paraId="475B1AB3" w14:textId="77777777" w:rsidR="005E000F" w:rsidRDefault="00000000">
            <w:pPr>
              <w:jc w:val="right"/>
              <w:rPr>
                <w:sz w:val="15"/>
                <w:szCs w:val="15"/>
              </w:rPr>
            </w:pPr>
            <w:r>
              <w:rPr>
                <w:sz w:val="15"/>
                <w:szCs w:val="15"/>
              </w:rPr>
              <w:t>0</w:t>
            </w:r>
          </w:p>
        </w:tc>
        <w:tc>
          <w:tcPr>
            <w:tcW w:w="1180" w:type="dxa"/>
            <w:vAlign w:val="center"/>
          </w:tcPr>
          <w:p w14:paraId="0D1C1FEB" w14:textId="77777777" w:rsidR="005E000F" w:rsidRDefault="00000000">
            <w:pPr>
              <w:jc w:val="right"/>
              <w:rPr>
                <w:sz w:val="15"/>
                <w:szCs w:val="15"/>
              </w:rPr>
            </w:pPr>
            <w:r>
              <w:rPr>
                <w:sz w:val="15"/>
                <w:szCs w:val="15"/>
              </w:rPr>
              <w:t>0</w:t>
            </w:r>
          </w:p>
        </w:tc>
        <w:tc>
          <w:tcPr>
            <w:tcW w:w="1270" w:type="dxa"/>
            <w:vAlign w:val="center"/>
          </w:tcPr>
          <w:p w14:paraId="0B013A83" w14:textId="77777777" w:rsidR="005E000F" w:rsidRDefault="00000000">
            <w:pPr>
              <w:jc w:val="right"/>
              <w:rPr>
                <w:sz w:val="15"/>
                <w:szCs w:val="15"/>
              </w:rPr>
            </w:pPr>
            <w:r>
              <w:rPr>
                <w:sz w:val="15"/>
                <w:szCs w:val="15"/>
              </w:rPr>
              <w:t>0</w:t>
            </w:r>
          </w:p>
        </w:tc>
        <w:tc>
          <w:tcPr>
            <w:tcW w:w="1251" w:type="dxa"/>
            <w:vAlign w:val="center"/>
          </w:tcPr>
          <w:p w14:paraId="492E79A6" w14:textId="77777777" w:rsidR="005E000F" w:rsidRDefault="00000000">
            <w:pPr>
              <w:jc w:val="right"/>
              <w:rPr>
                <w:sz w:val="15"/>
                <w:szCs w:val="15"/>
              </w:rPr>
            </w:pPr>
            <w:r>
              <w:rPr>
                <w:sz w:val="15"/>
                <w:szCs w:val="15"/>
              </w:rPr>
              <w:t>0</w:t>
            </w:r>
          </w:p>
        </w:tc>
      </w:tr>
      <w:tr w:rsidR="005E000F" w14:paraId="3AA7B3F8" w14:textId="77777777">
        <w:trPr>
          <w:trHeight w:val="20"/>
        </w:trPr>
        <w:tc>
          <w:tcPr>
            <w:tcW w:w="1943" w:type="dxa"/>
            <w:vAlign w:val="center"/>
          </w:tcPr>
          <w:sdt>
            <w:sdtPr>
              <w:rPr>
                <w:sz w:val="15"/>
                <w:szCs w:val="15"/>
              </w:rPr>
              <w:tag w:val="_PLD_d570b02e3d674dc1a938a4710387119c"/>
              <w:id w:val="147455920"/>
            </w:sdtPr>
            <w:sdtContent>
              <w:p w14:paraId="1C409B1C" w14:textId="77777777" w:rsidR="005E000F" w:rsidRDefault="00000000">
                <w:pPr>
                  <w:rPr>
                    <w:sz w:val="15"/>
                    <w:szCs w:val="15"/>
                  </w:rPr>
                </w:pPr>
                <w:r>
                  <w:rPr>
                    <w:sz w:val="15"/>
                    <w:szCs w:val="15"/>
                  </w:rPr>
                  <w:t>5</w:t>
                </w:r>
                <w:r>
                  <w:rPr>
                    <w:sz w:val="15"/>
                    <w:szCs w:val="15"/>
                  </w:rPr>
                  <w:t>．其他综合收益结转留存收益</w:t>
                </w:r>
              </w:p>
            </w:sdtContent>
          </w:sdt>
        </w:tc>
        <w:tc>
          <w:tcPr>
            <w:tcW w:w="1390" w:type="dxa"/>
            <w:tcBorders>
              <w:right w:val="single" w:sz="4" w:space="0" w:color="auto"/>
            </w:tcBorders>
            <w:vAlign w:val="center"/>
          </w:tcPr>
          <w:p w14:paraId="758B3937"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791EEE16"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32A0AC9E"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590AEF28" w14:textId="77777777" w:rsidR="005E000F" w:rsidRDefault="00000000">
            <w:pPr>
              <w:jc w:val="right"/>
              <w:rPr>
                <w:sz w:val="15"/>
                <w:szCs w:val="15"/>
              </w:rPr>
            </w:pPr>
            <w:r>
              <w:rPr>
                <w:sz w:val="15"/>
                <w:szCs w:val="15"/>
              </w:rPr>
              <w:t>0</w:t>
            </w:r>
          </w:p>
        </w:tc>
        <w:tc>
          <w:tcPr>
            <w:tcW w:w="1180" w:type="dxa"/>
            <w:vAlign w:val="center"/>
          </w:tcPr>
          <w:p w14:paraId="1385AF7F" w14:textId="77777777" w:rsidR="005E000F" w:rsidRDefault="00000000">
            <w:pPr>
              <w:jc w:val="right"/>
              <w:rPr>
                <w:sz w:val="15"/>
                <w:szCs w:val="15"/>
              </w:rPr>
            </w:pPr>
            <w:r>
              <w:rPr>
                <w:sz w:val="15"/>
                <w:szCs w:val="15"/>
              </w:rPr>
              <w:t>0</w:t>
            </w:r>
          </w:p>
        </w:tc>
        <w:tc>
          <w:tcPr>
            <w:tcW w:w="600" w:type="dxa"/>
            <w:vAlign w:val="center"/>
          </w:tcPr>
          <w:p w14:paraId="0AAA4613" w14:textId="77777777" w:rsidR="005E000F" w:rsidRDefault="00000000">
            <w:pPr>
              <w:jc w:val="right"/>
              <w:rPr>
                <w:sz w:val="15"/>
                <w:szCs w:val="15"/>
              </w:rPr>
            </w:pPr>
            <w:r>
              <w:rPr>
                <w:sz w:val="15"/>
                <w:szCs w:val="15"/>
              </w:rPr>
              <w:t>0</w:t>
            </w:r>
          </w:p>
        </w:tc>
        <w:tc>
          <w:tcPr>
            <w:tcW w:w="1240" w:type="dxa"/>
            <w:vAlign w:val="center"/>
          </w:tcPr>
          <w:p w14:paraId="414EFD73" w14:textId="77777777" w:rsidR="005E000F" w:rsidRDefault="00000000">
            <w:pPr>
              <w:jc w:val="right"/>
              <w:rPr>
                <w:sz w:val="15"/>
                <w:szCs w:val="15"/>
              </w:rPr>
            </w:pPr>
            <w:r>
              <w:rPr>
                <w:sz w:val="15"/>
                <w:szCs w:val="15"/>
              </w:rPr>
              <w:t>0</w:t>
            </w:r>
          </w:p>
        </w:tc>
        <w:tc>
          <w:tcPr>
            <w:tcW w:w="1210" w:type="dxa"/>
            <w:vAlign w:val="center"/>
          </w:tcPr>
          <w:p w14:paraId="0E5E079C" w14:textId="77777777" w:rsidR="005E000F" w:rsidRDefault="00000000">
            <w:pPr>
              <w:jc w:val="right"/>
              <w:rPr>
                <w:sz w:val="15"/>
                <w:szCs w:val="15"/>
              </w:rPr>
            </w:pPr>
            <w:r>
              <w:rPr>
                <w:sz w:val="15"/>
                <w:szCs w:val="15"/>
              </w:rPr>
              <w:t>0</w:t>
            </w:r>
          </w:p>
        </w:tc>
        <w:tc>
          <w:tcPr>
            <w:tcW w:w="1180" w:type="dxa"/>
            <w:vAlign w:val="center"/>
          </w:tcPr>
          <w:p w14:paraId="4856B58D" w14:textId="77777777" w:rsidR="005E000F" w:rsidRDefault="00000000">
            <w:pPr>
              <w:jc w:val="right"/>
              <w:rPr>
                <w:sz w:val="15"/>
                <w:szCs w:val="15"/>
              </w:rPr>
            </w:pPr>
            <w:r>
              <w:rPr>
                <w:sz w:val="15"/>
                <w:szCs w:val="15"/>
              </w:rPr>
              <w:t>0</w:t>
            </w:r>
          </w:p>
        </w:tc>
        <w:tc>
          <w:tcPr>
            <w:tcW w:w="1270" w:type="dxa"/>
            <w:vAlign w:val="center"/>
          </w:tcPr>
          <w:p w14:paraId="417FBFCF" w14:textId="77777777" w:rsidR="005E000F" w:rsidRDefault="00000000">
            <w:pPr>
              <w:jc w:val="right"/>
              <w:rPr>
                <w:sz w:val="15"/>
                <w:szCs w:val="15"/>
              </w:rPr>
            </w:pPr>
            <w:r>
              <w:rPr>
                <w:sz w:val="15"/>
                <w:szCs w:val="15"/>
              </w:rPr>
              <w:t>0</w:t>
            </w:r>
          </w:p>
        </w:tc>
        <w:tc>
          <w:tcPr>
            <w:tcW w:w="1251" w:type="dxa"/>
            <w:vAlign w:val="center"/>
          </w:tcPr>
          <w:p w14:paraId="5CEE3D04" w14:textId="77777777" w:rsidR="005E000F" w:rsidRDefault="00000000">
            <w:pPr>
              <w:jc w:val="right"/>
              <w:rPr>
                <w:sz w:val="15"/>
                <w:szCs w:val="15"/>
              </w:rPr>
            </w:pPr>
            <w:r>
              <w:rPr>
                <w:sz w:val="15"/>
                <w:szCs w:val="15"/>
              </w:rPr>
              <w:t>0</w:t>
            </w:r>
          </w:p>
        </w:tc>
      </w:tr>
      <w:tr w:rsidR="005E000F" w14:paraId="374A8325" w14:textId="77777777">
        <w:trPr>
          <w:trHeight w:val="20"/>
        </w:trPr>
        <w:tc>
          <w:tcPr>
            <w:tcW w:w="1943" w:type="dxa"/>
            <w:vAlign w:val="center"/>
          </w:tcPr>
          <w:sdt>
            <w:sdtPr>
              <w:rPr>
                <w:sz w:val="15"/>
                <w:szCs w:val="15"/>
              </w:rPr>
              <w:tag w:val="_PLD_a5cd874c23c44b928dffd9bc4a74c38d"/>
              <w:id w:val="147463288"/>
            </w:sdtPr>
            <w:sdtContent>
              <w:p w14:paraId="4EB0120D" w14:textId="77777777" w:rsidR="005E000F" w:rsidRDefault="00000000">
                <w:pPr>
                  <w:rPr>
                    <w:sz w:val="15"/>
                    <w:szCs w:val="15"/>
                  </w:rPr>
                </w:pPr>
                <w:r>
                  <w:rPr>
                    <w:sz w:val="15"/>
                    <w:szCs w:val="15"/>
                  </w:rPr>
                  <w:t>6</w:t>
                </w:r>
                <w:r>
                  <w:rPr>
                    <w:sz w:val="15"/>
                    <w:szCs w:val="15"/>
                  </w:rPr>
                  <w:t>．其他</w:t>
                </w:r>
              </w:p>
            </w:sdtContent>
          </w:sdt>
        </w:tc>
        <w:tc>
          <w:tcPr>
            <w:tcW w:w="1390" w:type="dxa"/>
            <w:tcBorders>
              <w:right w:val="single" w:sz="4" w:space="0" w:color="auto"/>
            </w:tcBorders>
            <w:vAlign w:val="center"/>
          </w:tcPr>
          <w:p w14:paraId="53B15836"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5591E123"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5876ED88"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658350DF" w14:textId="77777777" w:rsidR="005E000F" w:rsidRDefault="00000000">
            <w:pPr>
              <w:jc w:val="right"/>
              <w:rPr>
                <w:sz w:val="15"/>
                <w:szCs w:val="15"/>
              </w:rPr>
            </w:pPr>
            <w:r>
              <w:rPr>
                <w:sz w:val="15"/>
                <w:szCs w:val="15"/>
              </w:rPr>
              <w:t>0</w:t>
            </w:r>
          </w:p>
        </w:tc>
        <w:tc>
          <w:tcPr>
            <w:tcW w:w="1180" w:type="dxa"/>
            <w:vAlign w:val="center"/>
          </w:tcPr>
          <w:p w14:paraId="79C26C60" w14:textId="77777777" w:rsidR="005E000F" w:rsidRDefault="00000000">
            <w:pPr>
              <w:jc w:val="right"/>
              <w:rPr>
                <w:sz w:val="15"/>
                <w:szCs w:val="15"/>
              </w:rPr>
            </w:pPr>
            <w:r>
              <w:rPr>
                <w:sz w:val="15"/>
                <w:szCs w:val="15"/>
              </w:rPr>
              <w:t>0</w:t>
            </w:r>
          </w:p>
        </w:tc>
        <w:tc>
          <w:tcPr>
            <w:tcW w:w="600" w:type="dxa"/>
            <w:vAlign w:val="center"/>
          </w:tcPr>
          <w:p w14:paraId="32C49843" w14:textId="77777777" w:rsidR="005E000F" w:rsidRDefault="00000000">
            <w:pPr>
              <w:jc w:val="right"/>
              <w:rPr>
                <w:sz w:val="15"/>
                <w:szCs w:val="15"/>
              </w:rPr>
            </w:pPr>
            <w:r>
              <w:rPr>
                <w:sz w:val="15"/>
                <w:szCs w:val="15"/>
              </w:rPr>
              <w:t>0</w:t>
            </w:r>
          </w:p>
        </w:tc>
        <w:tc>
          <w:tcPr>
            <w:tcW w:w="1240" w:type="dxa"/>
            <w:vAlign w:val="center"/>
          </w:tcPr>
          <w:p w14:paraId="3B11FFB5" w14:textId="77777777" w:rsidR="005E000F" w:rsidRDefault="00000000">
            <w:pPr>
              <w:jc w:val="right"/>
              <w:rPr>
                <w:sz w:val="15"/>
                <w:szCs w:val="15"/>
              </w:rPr>
            </w:pPr>
            <w:r>
              <w:rPr>
                <w:sz w:val="15"/>
                <w:szCs w:val="15"/>
              </w:rPr>
              <w:t>0</w:t>
            </w:r>
          </w:p>
        </w:tc>
        <w:tc>
          <w:tcPr>
            <w:tcW w:w="1210" w:type="dxa"/>
            <w:vAlign w:val="center"/>
          </w:tcPr>
          <w:p w14:paraId="3C8B9387" w14:textId="77777777" w:rsidR="005E000F" w:rsidRDefault="00000000">
            <w:pPr>
              <w:jc w:val="right"/>
              <w:rPr>
                <w:sz w:val="15"/>
                <w:szCs w:val="15"/>
              </w:rPr>
            </w:pPr>
            <w:r>
              <w:rPr>
                <w:sz w:val="15"/>
                <w:szCs w:val="15"/>
              </w:rPr>
              <w:t>0</w:t>
            </w:r>
          </w:p>
        </w:tc>
        <w:tc>
          <w:tcPr>
            <w:tcW w:w="1180" w:type="dxa"/>
            <w:vAlign w:val="center"/>
          </w:tcPr>
          <w:p w14:paraId="51A7748A" w14:textId="77777777" w:rsidR="005E000F" w:rsidRDefault="00000000">
            <w:pPr>
              <w:jc w:val="right"/>
              <w:rPr>
                <w:sz w:val="15"/>
                <w:szCs w:val="15"/>
              </w:rPr>
            </w:pPr>
            <w:r>
              <w:rPr>
                <w:sz w:val="15"/>
                <w:szCs w:val="15"/>
              </w:rPr>
              <w:t>0</w:t>
            </w:r>
          </w:p>
        </w:tc>
        <w:tc>
          <w:tcPr>
            <w:tcW w:w="1270" w:type="dxa"/>
            <w:vAlign w:val="center"/>
          </w:tcPr>
          <w:p w14:paraId="202EAB73" w14:textId="77777777" w:rsidR="005E000F" w:rsidRDefault="00000000">
            <w:pPr>
              <w:jc w:val="right"/>
              <w:rPr>
                <w:sz w:val="15"/>
                <w:szCs w:val="15"/>
              </w:rPr>
            </w:pPr>
            <w:r>
              <w:rPr>
                <w:sz w:val="15"/>
                <w:szCs w:val="15"/>
              </w:rPr>
              <w:t>0</w:t>
            </w:r>
          </w:p>
        </w:tc>
        <w:tc>
          <w:tcPr>
            <w:tcW w:w="1251" w:type="dxa"/>
            <w:vAlign w:val="center"/>
          </w:tcPr>
          <w:p w14:paraId="39742209" w14:textId="77777777" w:rsidR="005E000F" w:rsidRDefault="00000000">
            <w:pPr>
              <w:jc w:val="right"/>
              <w:rPr>
                <w:sz w:val="15"/>
                <w:szCs w:val="15"/>
              </w:rPr>
            </w:pPr>
            <w:r>
              <w:rPr>
                <w:sz w:val="15"/>
                <w:szCs w:val="15"/>
              </w:rPr>
              <w:t>0</w:t>
            </w:r>
          </w:p>
        </w:tc>
      </w:tr>
      <w:tr w:rsidR="005E000F" w14:paraId="49806989" w14:textId="77777777">
        <w:trPr>
          <w:trHeight w:val="20"/>
        </w:trPr>
        <w:sdt>
          <w:sdtPr>
            <w:rPr>
              <w:sz w:val="15"/>
              <w:szCs w:val="15"/>
            </w:rPr>
            <w:tag w:val="_PLD_b6b13ecec0044452bf1609cb679a8ac5"/>
            <w:id w:val="147480602"/>
          </w:sdtPr>
          <w:sdtContent>
            <w:tc>
              <w:tcPr>
                <w:tcW w:w="1943" w:type="dxa"/>
                <w:vAlign w:val="center"/>
              </w:tcPr>
              <w:p w14:paraId="4095EE0B" w14:textId="77777777" w:rsidR="005E000F" w:rsidRDefault="00000000">
                <w:pPr>
                  <w:rPr>
                    <w:sz w:val="15"/>
                    <w:szCs w:val="15"/>
                  </w:rPr>
                </w:pPr>
                <w:r>
                  <w:rPr>
                    <w:rFonts w:hint="eastAsia"/>
                    <w:sz w:val="15"/>
                    <w:szCs w:val="15"/>
                  </w:rPr>
                  <w:t>（五）专项储备</w:t>
                </w:r>
              </w:p>
            </w:tc>
          </w:sdtContent>
        </w:sdt>
        <w:tc>
          <w:tcPr>
            <w:tcW w:w="1390" w:type="dxa"/>
            <w:tcBorders>
              <w:right w:val="single" w:sz="4" w:space="0" w:color="auto"/>
            </w:tcBorders>
            <w:vAlign w:val="center"/>
          </w:tcPr>
          <w:p w14:paraId="52DA0066"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104E322F"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22E7E27C"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34E8655F" w14:textId="77777777" w:rsidR="005E000F" w:rsidRDefault="00000000">
            <w:pPr>
              <w:jc w:val="right"/>
              <w:rPr>
                <w:sz w:val="15"/>
                <w:szCs w:val="15"/>
              </w:rPr>
            </w:pPr>
            <w:r>
              <w:rPr>
                <w:sz w:val="15"/>
                <w:szCs w:val="15"/>
              </w:rPr>
              <w:t>0</w:t>
            </w:r>
          </w:p>
        </w:tc>
        <w:tc>
          <w:tcPr>
            <w:tcW w:w="1180" w:type="dxa"/>
            <w:vAlign w:val="center"/>
          </w:tcPr>
          <w:p w14:paraId="5285BB70" w14:textId="77777777" w:rsidR="005E000F" w:rsidRDefault="00000000">
            <w:pPr>
              <w:jc w:val="right"/>
              <w:rPr>
                <w:sz w:val="15"/>
                <w:szCs w:val="15"/>
              </w:rPr>
            </w:pPr>
            <w:r>
              <w:rPr>
                <w:sz w:val="15"/>
                <w:szCs w:val="15"/>
              </w:rPr>
              <w:t>0</w:t>
            </w:r>
          </w:p>
        </w:tc>
        <w:tc>
          <w:tcPr>
            <w:tcW w:w="600" w:type="dxa"/>
            <w:vAlign w:val="center"/>
          </w:tcPr>
          <w:p w14:paraId="6F748DED" w14:textId="77777777" w:rsidR="005E000F" w:rsidRDefault="00000000">
            <w:pPr>
              <w:jc w:val="right"/>
              <w:rPr>
                <w:sz w:val="15"/>
                <w:szCs w:val="15"/>
              </w:rPr>
            </w:pPr>
            <w:r>
              <w:rPr>
                <w:sz w:val="15"/>
                <w:szCs w:val="15"/>
              </w:rPr>
              <w:t>0</w:t>
            </w:r>
          </w:p>
        </w:tc>
        <w:tc>
          <w:tcPr>
            <w:tcW w:w="1240" w:type="dxa"/>
            <w:vAlign w:val="center"/>
          </w:tcPr>
          <w:p w14:paraId="6575BFEC" w14:textId="77777777" w:rsidR="005E000F" w:rsidRDefault="00000000">
            <w:pPr>
              <w:jc w:val="right"/>
              <w:rPr>
                <w:sz w:val="15"/>
                <w:szCs w:val="15"/>
              </w:rPr>
            </w:pPr>
            <w:r>
              <w:rPr>
                <w:sz w:val="15"/>
                <w:szCs w:val="15"/>
              </w:rPr>
              <w:t>0</w:t>
            </w:r>
          </w:p>
        </w:tc>
        <w:tc>
          <w:tcPr>
            <w:tcW w:w="1210" w:type="dxa"/>
            <w:vAlign w:val="center"/>
          </w:tcPr>
          <w:p w14:paraId="7150A044" w14:textId="77777777" w:rsidR="005E000F" w:rsidRDefault="00000000">
            <w:pPr>
              <w:jc w:val="right"/>
              <w:rPr>
                <w:sz w:val="15"/>
                <w:szCs w:val="15"/>
              </w:rPr>
            </w:pPr>
            <w:r>
              <w:rPr>
                <w:sz w:val="15"/>
                <w:szCs w:val="15"/>
              </w:rPr>
              <w:t>-272,351,377</w:t>
            </w:r>
          </w:p>
        </w:tc>
        <w:tc>
          <w:tcPr>
            <w:tcW w:w="1180" w:type="dxa"/>
            <w:vAlign w:val="center"/>
          </w:tcPr>
          <w:p w14:paraId="3D21413F" w14:textId="77777777" w:rsidR="005E000F" w:rsidRDefault="00000000">
            <w:pPr>
              <w:jc w:val="right"/>
              <w:rPr>
                <w:sz w:val="15"/>
                <w:szCs w:val="15"/>
              </w:rPr>
            </w:pPr>
            <w:r>
              <w:rPr>
                <w:sz w:val="15"/>
                <w:szCs w:val="15"/>
              </w:rPr>
              <w:t>0</w:t>
            </w:r>
          </w:p>
        </w:tc>
        <w:tc>
          <w:tcPr>
            <w:tcW w:w="1270" w:type="dxa"/>
            <w:vAlign w:val="center"/>
          </w:tcPr>
          <w:p w14:paraId="3FD0E122" w14:textId="77777777" w:rsidR="005E000F" w:rsidRDefault="00000000">
            <w:pPr>
              <w:jc w:val="right"/>
              <w:rPr>
                <w:sz w:val="15"/>
                <w:szCs w:val="15"/>
              </w:rPr>
            </w:pPr>
            <w:r>
              <w:rPr>
                <w:sz w:val="15"/>
                <w:szCs w:val="15"/>
              </w:rPr>
              <w:t>0</w:t>
            </w:r>
          </w:p>
        </w:tc>
        <w:tc>
          <w:tcPr>
            <w:tcW w:w="1251" w:type="dxa"/>
            <w:vAlign w:val="center"/>
          </w:tcPr>
          <w:p w14:paraId="4B59A79F" w14:textId="77777777" w:rsidR="005E000F" w:rsidRDefault="00000000">
            <w:pPr>
              <w:jc w:val="right"/>
              <w:rPr>
                <w:sz w:val="15"/>
                <w:szCs w:val="15"/>
              </w:rPr>
            </w:pPr>
            <w:r>
              <w:rPr>
                <w:sz w:val="15"/>
                <w:szCs w:val="15"/>
              </w:rPr>
              <w:t>-272,351,377</w:t>
            </w:r>
          </w:p>
        </w:tc>
      </w:tr>
      <w:tr w:rsidR="005E000F" w14:paraId="5A5D2F80" w14:textId="77777777">
        <w:trPr>
          <w:trHeight w:val="20"/>
        </w:trPr>
        <w:sdt>
          <w:sdtPr>
            <w:rPr>
              <w:sz w:val="15"/>
              <w:szCs w:val="15"/>
            </w:rPr>
            <w:tag w:val="_PLD_cbede54ab9934d5ea45cda3f59593c28"/>
            <w:id w:val="147456085"/>
          </w:sdtPr>
          <w:sdtContent>
            <w:tc>
              <w:tcPr>
                <w:tcW w:w="1943" w:type="dxa"/>
                <w:vAlign w:val="center"/>
              </w:tcPr>
              <w:p w14:paraId="5E5D8063" w14:textId="77777777" w:rsidR="005E000F" w:rsidRDefault="00000000">
                <w:pPr>
                  <w:rPr>
                    <w:sz w:val="15"/>
                    <w:szCs w:val="15"/>
                  </w:rPr>
                </w:pPr>
                <w:r>
                  <w:rPr>
                    <w:rFonts w:hint="eastAsia"/>
                    <w:sz w:val="15"/>
                    <w:szCs w:val="15"/>
                  </w:rPr>
                  <w:t>1</w:t>
                </w:r>
                <w:r>
                  <w:rPr>
                    <w:rFonts w:hint="eastAsia"/>
                    <w:sz w:val="15"/>
                    <w:szCs w:val="15"/>
                  </w:rPr>
                  <w:t>．本期提取</w:t>
                </w:r>
              </w:p>
            </w:tc>
          </w:sdtContent>
        </w:sdt>
        <w:tc>
          <w:tcPr>
            <w:tcW w:w="1390" w:type="dxa"/>
            <w:tcBorders>
              <w:right w:val="single" w:sz="4" w:space="0" w:color="auto"/>
            </w:tcBorders>
            <w:vAlign w:val="center"/>
          </w:tcPr>
          <w:p w14:paraId="44134B14"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3334146F"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7000BBD1"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6732246E" w14:textId="77777777" w:rsidR="005E000F" w:rsidRDefault="00000000">
            <w:pPr>
              <w:jc w:val="right"/>
              <w:rPr>
                <w:sz w:val="15"/>
                <w:szCs w:val="15"/>
              </w:rPr>
            </w:pPr>
            <w:r>
              <w:rPr>
                <w:sz w:val="15"/>
                <w:szCs w:val="15"/>
              </w:rPr>
              <w:t>0</w:t>
            </w:r>
          </w:p>
        </w:tc>
        <w:tc>
          <w:tcPr>
            <w:tcW w:w="1180" w:type="dxa"/>
            <w:vAlign w:val="center"/>
          </w:tcPr>
          <w:p w14:paraId="09AC7232" w14:textId="77777777" w:rsidR="005E000F" w:rsidRDefault="00000000">
            <w:pPr>
              <w:jc w:val="right"/>
              <w:rPr>
                <w:sz w:val="15"/>
                <w:szCs w:val="15"/>
              </w:rPr>
            </w:pPr>
            <w:r>
              <w:rPr>
                <w:sz w:val="15"/>
                <w:szCs w:val="15"/>
              </w:rPr>
              <w:t>0</w:t>
            </w:r>
          </w:p>
        </w:tc>
        <w:tc>
          <w:tcPr>
            <w:tcW w:w="600" w:type="dxa"/>
            <w:vAlign w:val="center"/>
          </w:tcPr>
          <w:p w14:paraId="37A5A0A9" w14:textId="77777777" w:rsidR="005E000F" w:rsidRDefault="00000000">
            <w:pPr>
              <w:jc w:val="right"/>
              <w:rPr>
                <w:sz w:val="15"/>
                <w:szCs w:val="15"/>
              </w:rPr>
            </w:pPr>
            <w:r>
              <w:rPr>
                <w:sz w:val="15"/>
                <w:szCs w:val="15"/>
              </w:rPr>
              <w:t>0</w:t>
            </w:r>
          </w:p>
        </w:tc>
        <w:tc>
          <w:tcPr>
            <w:tcW w:w="1240" w:type="dxa"/>
            <w:vAlign w:val="center"/>
          </w:tcPr>
          <w:p w14:paraId="68114B95" w14:textId="77777777" w:rsidR="005E000F" w:rsidRDefault="00000000">
            <w:pPr>
              <w:jc w:val="right"/>
              <w:rPr>
                <w:sz w:val="15"/>
                <w:szCs w:val="15"/>
              </w:rPr>
            </w:pPr>
            <w:r>
              <w:rPr>
                <w:sz w:val="15"/>
                <w:szCs w:val="15"/>
              </w:rPr>
              <w:t>0</w:t>
            </w:r>
          </w:p>
        </w:tc>
        <w:tc>
          <w:tcPr>
            <w:tcW w:w="1210" w:type="dxa"/>
            <w:vAlign w:val="center"/>
          </w:tcPr>
          <w:p w14:paraId="7A8D8B50" w14:textId="77777777" w:rsidR="005E000F" w:rsidRDefault="00000000">
            <w:pPr>
              <w:jc w:val="right"/>
              <w:rPr>
                <w:sz w:val="15"/>
                <w:szCs w:val="15"/>
              </w:rPr>
            </w:pPr>
            <w:r>
              <w:rPr>
                <w:sz w:val="15"/>
                <w:szCs w:val="15"/>
              </w:rPr>
              <w:t>757,664,000</w:t>
            </w:r>
          </w:p>
        </w:tc>
        <w:tc>
          <w:tcPr>
            <w:tcW w:w="1180" w:type="dxa"/>
            <w:vAlign w:val="center"/>
          </w:tcPr>
          <w:p w14:paraId="23266364" w14:textId="77777777" w:rsidR="005E000F" w:rsidRDefault="00000000">
            <w:pPr>
              <w:jc w:val="right"/>
              <w:rPr>
                <w:sz w:val="15"/>
                <w:szCs w:val="15"/>
              </w:rPr>
            </w:pPr>
            <w:r>
              <w:rPr>
                <w:sz w:val="15"/>
                <w:szCs w:val="15"/>
              </w:rPr>
              <w:t>0</w:t>
            </w:r>
          </w:p>
        </w:tc>
        <w:tc>
          <w:tcPr>
            <w:tcW w:w="1270" w:type="dxa"/>
            <w:vAlign w:val="center"/>
          </w:tcPr>
          <w:p w14:paraId="12BFB964" w14:textId="77777777" w:rsidR="005E000F" w:rsidRDefault="00000000">
            <w:pPr>
              <w:jc w:val="right"/>
              <w:rPr>
                <w:sz w:val="15"/>
                <w:szCs w:val="15"/>
              </w:rPr>
            </w:pPr>
            <w:r>
              <w:rPr>
                <w:sz w:val="15"/>
                <w:szCs w:val="15"/>
              </w:rPr>
              <w:t>0</w:t>
            </w:r>
          </w:p>
        </w:tc>
        <w:tc>
          <w:tcPr>
            <w:tcW w:w="1251" w:type="dxa"/>
            <w:vAlign w:val="center"/>
          </w:tcPr>
          <w:p w14:paraId="6037DE6F" w14:textId="77777777" w:rsidR="005E000F" w:rsidRDefault="00000000">
            <w:pPr>
              <w:jc w:val="right"/>
              <w:rPr>
                <w:sz w:val="15"/>
                <w:szCs w:val="15"/>
              </w:rPr>
            </w:pPr>
            <w:r>
              <w:rPr>
                <w:sz w:val="15"/>
                <w:szCs w:val="15"/>
              </w:rPr>
              <w:t>757,664,000</w:t>
            </w:r>
          </w:p>
        </w:tc>
      </w:tr>
      <w:tr w:rsidR="005E000F" w14:paraId="56620B51" w14:textId="77777777">
        <w:trPr>
          <w:trHeight w:val="20"/>
        </w:trPr>
        <w:sdt>
          <w:sdtPr>
            <w:rPr>
              <w:sz w:val="15"/>
              <w:szCs w:val="15"/>
            </w:rPr>
            <w:tag w:val="_PLD_7900abe823e94277be091b3f1c7a54a5"/>
            <w:id w:val="147452694"/>
          </w:sdtPr>
          <w:sdtContent>
            <w:tc>
              <w:tcPr>
                <w:tcW w:w="1943" w:type="dxa"/>
                <w:vAlign w:val="center"/>
              </w:tcPr>
              <w:p w14:paraId="43F41FE9" w14:textId="77777777" w:rsidR="005E000F" w:rsidRDefault="00000000">
                <w:pPr>
                  <w:rPr>
                    <w:sz w:val="15"/>
                    <w:szCs w:val="15"/>
                  </w:rPr>
                </w:pPr>
                <w:r>
                  <w:rPr>
                    <w:rFonts w:hint="eastAsia"/>
                    <w:sz w:val="15"/>
                    <w:szCs w:val="15"/>
                  </w:rPr>
                  <w:t>2</w:t>
                </w:r>
                <w:r>
                  <w:rPr>
                    <w:rFonts w:hint="eastAsia"/>
                    <w:sz w:val="15"/>
                    <w:szCs w:val="15"/>
                  </w:rPr>
                  <w:t>．本期使用</w:t>
                </w:r>
              </w:p>
            </w:tc>
          </w:sdtContent>
        </w:sdt>
        <w:tc>
          <w:tcPr>
            <w:tcW w:w="1390" w:type="dxa"/>
            <w:tcBorders>
              <w:right w:val="single" w:sz="4" w:space="0" w:color="auto"/>
            </w:tcBorders>
            <w:vAlign w:val="center"/>
          </w:tcPr>
          <w:p w14:paraId="07790264"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485D7A83"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4531D8AB"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2451F33C" w14:textId="77777777" w:rsidR="005E000F" w:rsidRDefault="00000000">
            <w:pPr>
              <w:jc w:val="right"/>
              <w:rPr>
                <w:sz w:val="15"/>
                <w:szCs w:val="15"/>
              </w:rPr>
            </w:pPr>
            <w:r>
              <w:rPr>
                <w:sz w:val="15"/>
                <w:szCs w:val="15"/>
              </w:rPr>
              <w:t>0</w:t>
            </w:r>
          </w:p>
        </w:tc>
        <w:tc>
          <w:tcPr>
            <w:tcW w:w="1180" w:type="dxa"/>
            <w:vAlign w:val="center"/>
          </w:tcPr>
          <w:p w14:paraId="76ED19D6" w14:textId="77777777" w:rsidR="005E000F" w:rsidRDefault="00000000">
            <w:pPr>
              <w:jc w:val="right"/>
              <w:rPr>
                <w:sz w:val="15"/>
                <w:szCs w:val="15"/>
              </w:rPr>
            </w:pPr>
            <w:r>
              <w:rPr>
                <w:sz w:val="15"/>
                <w:szCs w:val="15"/>
              </w:rPr>
              <w:t>0</w:t>
            </w:r>
          </w:p>
        </w:tc>
        <w:tc>
          <w:tcPr>
            <w:tcW w:w="600" w:type="dxa"/>
            <w:vAlign w:val="center"/>
          </w:tcPr>
          <w:p w14:paraId="01052D2B" w14:textId="77777777" w:rsidR="005E000F" w:rsidRDefault="00000000">
            <w:pPr>
              <w:jc w:val="right"/>
              <w:rPr>
                <w:sz w:val="15"/>
                <w:szCs w:val="15"/>
              </w:rPr>
            </w:pPr>
            <w:r>
              <w:rPr>
                <w:sz w:val="15"/>
                <w:szCs w:val="15"/>
              </w:rPr>
              <w:t>0</w:t>
            </w:r>
          </w:p>
        </w:tc>
        <w:tc>
          <w:tcPr>
            <w:tcW w:w="1240" w:type="dxa"/>
            <w:vAlign w:val="center"/>
          </w:tcPr>
          <w:p w14:paraId="3EA27901" w14:textId="77777777" w:rsidR="005E000F" w:rsidRDefault="00000000">
            <w:pPr>
              <w:jc w:val="right"/>
              <w:rPr>
                <w:sz w:val="15"/>
                <w:szCs w:val="15"/>
              </w:rPr>
            </w:pPr>
            <w:r>
              <w:rPr>
                <w:sz w:val="15"/>
                <w:szCs w:val="15"/>
              </w:rPr>
              <w:t>0</w:t>
            </w:r>
          </w:p>
        </w:tc>
        <w:tc>
          <w:tcPr>
            <w:tcW w:w="1210" w:type="dxa"/>
            <w:vAlign w:val="center"/>
          </w:tcPr>
          <w:p w14:paraId="7A08DF8C" w14:textId="77777777" w:rsidR="005E000F" w:rsidRDefault="00000000">
            <w:pPr>
              <w:jc w:val="right"/>
              <w:rPr>
                <w:sz w:val="15"/>
                <w:szCs w:val="15"/>
              </w:rPr>
            </w:pPr>
            <w:r>
              <w:rPr>
                <w:sz w:val="15"/>
                <w:szCs w:val="15"/>
              </w:rPr>
              <w:t>-1,030,015,377</w:t>
            </w:r>
          </w:p>
        </w:tc>
        <w:tc>
          <w:tcPr>
            <w:tcW w:w="1180" w:type="dxa"/>
            <w:vAlign w:val="center"/>
          </w:tcPr>
          <w:p w14:paraId="4174EE67" w14:textId="77777777" w:rsidR="005E000F" w:rsidRDefault="00000000">
            <w:pPr>
              <w:jc w:val="right"/>
              <w:rPr>
                <w:sz w:val="15"/>
                <w:szCs w:val="15"/>
              </w:rPr>
            </w:pPr>
            <w:r>
              <w:rPr>
                <w:sz w:val="15"/>
                <w:szCs w:val="15"/>
              </w:rPr>
              <w:t>0</w:t>
            </w:r>
          </w:p>
        </w:tc>
        <w:tc>
          <w:tcPr>
            <w:tcW w:w="1270" w:type="dxa"/>
            <w:vAlign w:val="center"/>
          </w:tcPr>
          <w:p w14:paraId="3DEAB8AA" w14:textId="77777777" w:rsidR="005E000F" w:rsidRDefault="00000000">
            <w:pPr>
              <w:jc w:val="right"/>
              <w:rPr>
                <w:sz w:val="15"/>
                <w:szCs w:val="15"/>
              </w:rPr>
            </w:pPr>
            <w:r>
              <w:rPr>
                <w:sz w:val="15"/>
                <w:szCs w:val="15"/>
              </w:rPr>
              <w:t>0</w:t>
            </w:r>
          </w:p>
        </w:tc>
        <w:tc>
          <w:tcPr>
            <w:tcW w:w="1251" w:type="dxa"/>
            <w:vAlign w:val="center"/>
          </w:tcPr>
          <w:p w14:paraId="70BB2407" w14:textId="77777777" w:rsidR="005E000F" w:rsidRDefault="00000000">
            <w:pPr>
              <w:jc w:val="right"/>
              <w:rPr>
                <w:sz w:val="15"/>
                <w:szCs w:val="15"/>
              </w:rPr>
            </w:pPr>
            <w:r>
              <w:rPr>
                <w:sz w:val="15"/>
                <w:szCs w:val="15"/>
              </w:rPr>
              <w:t>-1,030,015,377</w:t>
            </w:r>
          </w:p>
        </w:tc>
      </w:tr>
      <w:tr w:rsidR="005E000F" w14:paraId="6EE9DDA8" w14:textId="77777777">
        <w:trPr>
          <w:trHeight w:val="20"/>
        </w:trPr>
        <w:sdt>
          <w:sdtPr>
            <w:rPr>
              <w:sz w:val="15"/>
              <w:szCs w:val="15"/>
            </w:rPr>
            <w:tag w:val="_PLD_7cf659a70268475ea7233d8b82adad5a"/>
            <w:id w:val="147464713"/>
          </w:sdtPr>
          <w:sdtContent>
            <w:tc>
              <w:tcPr>
                <w:tcW w:w="1943" w:type="dxa"/>
                <w:vAlign w:val="center"/>
              </w:tcPr>
              <w:p w14:paraId="0A58F620" w14:textId="77777777" w:rsidR="005E000F" w:rsidRDefault="00000000">
                <w:pPr>
                  <w:rPr>
                    <w:sz w:val="15"/>
                    <w:szCs w:val="15"/>
                  </w:rPr>
                </w:pPr>
                <w:r>
                  <w:rPr>
                    <w:rFonts w:hint="eastAsia"/>
                    <w:sz w:val="15"/>
                    <w:szCs w:val="15"/>
                  </w:rPr>
                  <w:t>（六）其他</w:t>
                </w:r>
              </w:p>
            </w:tc>
          </w:sdtContent>
        </w:sdt>
        <w:tc>
          <w:tcPr>
            <w:tcW w:w="1390" w:type="dxa"/>
            <w:tcBorders>
              <w:right w:val="single" w:sz="4" w:space="0" w:color="auto"/>
            </w:tcBorders>
            <w:vAlign w:val="center"/>
          </w:tcPr>
          <w:p w14:paraId="11E6D8FC" w14:textId="77777777" w:rsidR="005E000F" w:rsidRDefault="00000000">
            <w:pPr>
              <w:jc w:val="right"/>
              <w:rPr>
                <w:sz w:val="15"/>
                <w:szCs w:val="15"/>
              </w:rPr>
            </w:pPr>
            <w:r>
              <w:rPr>
                <w:sz w:val="15"/>
                <w:szCs w:val="15"/>
              </w:rPr>
              <w:t>0</w:t>
            </w:r>
          </w:p>
        </w:tc>
        <w:tc>
          <w:tcPr>
            <w:tcW w:w="760" w:type="dxa"/>
            <w:tcBorders>
              <w:left w:val="single" w:sz="4" w:space="0" w:color="auto"/>
              <w:right w:val="single" w:sz="4" w:space="0" w:color="auto"/>
            </w:tcBorders>
            <w:vAlign w:val="center"/>
          </w:tcPr>
          <w:p w14:paraId="601EE73A"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1C99984E"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4B74A1F5" w14:textId="77777777" w:rsidR="005E000F" w:rsidRDefault="00000000">
            <w:pPr>
              <w:jc w:val="right"/>
              <w:rPr>
                <w:sz w:val="15"/>
                <w:szCs w:val="15"/>
              </w:rPr>
            </w:pPr>
            <w:r>
              <w:rPr>
                <w:sz w:val="15"/>
                <w:szCs w:val="15"/>
              </w:rPr>
              <w:t>0</w:t>
            </w:r>
          </w:p>
        </w:tc>
        <w:tc>
          <w:tcPr>
            <w:tcW w:w="1180" w:type="dxa"/>
            <w:vAlign w:val="center"/>
          </w:tcPr>
          <w:p w14:paraId="547601A1" w14:textId="77777777" w:rsidR="005E000F" w:rsidRDefault="00000000">
            <w:pPr>
              <w:jc w:val="right"/>
              <w:rPr>
                <w:sz w:val="15"/>
                <w:szCs w:val="15"/>
              </w:rPr>
            </w:pPr>
            <w:r>
              <w:rPr>
                <w:sz w:val="15"/>
                <w:szCs w:val="15"/>
              </w:rPr>
              <w:t>0</w:t>
            </w:r>
          </w:p>
        </w:tc>
        <w:tc>
          <w:tcPr>
            <w:tcW w:w="600" w:type="dxa"/>
            <w:vAlign w:val="center"/>
          </w:tcPr>
          <w:p w14:paraId="4E295E38" w14:textId="77777777" w:rsidR="005E000F" w:rsidRDefault="00000000">
            <w:pPr>
              <w:jc w:val="right"/>
              <w:rPr>
                <w:sz w:val="15"/>
                <w:szCs w:val="15"/>
              </w:rPr>
            </w:pPr>
            <w:r>
              <w:rPr>
                <w:sz w:val="15"/>
                <w:szCs w:val="15"/>
              </w:rPr>
              <w:t>0</w:t>
            </w:r>
          </w:p>
        </w:tc>
        <w:tc>
          <w:tcPr>
            <w:tcW w:w="1240" w:type="dxa"/>
            <w:vAlign w:val="center"/>
          </w:tcPr>
          <w:p w14:paraId="2410774B" w14:textId="77777777" w:rsidR="005E000F" w:rsidRDefault="00000000">
            <w:pPr>
              <w:jc w:val="right"/>
              <w:rPr>
                <w:sz w:val="15"/>
                <w:szCs w:val="15"/>
              </w:rPr>
            </w:pPr>
            <w:r>
              <w:rPr>
                <w:sz w:val="15"/>
                <w:szCs w:val="15"/>
              </w:rPr>
              <w:t>0</w:t>
            </w:r>
          </w:p>
        </w:tc>
        <w:tc>
          <w:tcPr>
            <w:tcW w:w="1210" w:type="dxa"/>
            <w:vAlign w:val="center"/>
          </w:tcPr>
          <w:p w14:paraId="26BD2FC5" w14:textId="77777777" w:rsidR="005E000F" w:rsidRDefault="00000000">
            <w:pPr>
              <w:jc w:val="right"/>
              <w:rPr>
                <w:sz w:val="15"/>
                <w:szCs w:val="15"/>
              </w:rPr>
            </w:pPr>
            <w:r>
              <w:rPr>
                <w:sz w:val="15"/>
                <w:szCs w:val="15"/>
              </w:rPr>
              <w:t>0</w:t>
            </w:r>
          </w:p>
        </w:tc>
        <w:tc>
          <w:tcPr>
            <w:tcW w:w="1180" w:type="dxa"/>
            <w:vAlign w:val="center"/>
          </w:tcPr>
          <w:p w14:paraId="42DE62E5" w14:textId="77777777" w:rsidR="005E000F" w:rsidRDefault="00000000">
            <w:pPr>
              <w:jc w:val="right"/>
              <w:rPr>
                <w:sz w:val="15"/>
                <w:szCs w:val="15"/>
              </w:rPr>
            </w:pPr>
            <w:r>
              <w:rPr>
                <w:sz w:val="15"/>
                <w:szCs w:val="15"/>
              </w:rPr>
              <w:t>0</w:t>
            </w:r>
          </w:p>
        </w:tc>
        <w:tc>
          <w:tcPr>
            <w:tcW w:w="1270" w:type="dxa"/>
            <w:vAlign w:val="center"/>
          </w:tcPr>
          <w:p w14:paraId="6884CC39" w14:textId="77777777" w:rsidR="005E000F" w:rsidRDefault="00000000">
            <w:pPr>
              <w:jc w:val="right"/>
              <w:rPr>
                <w:sz w:val="15"/>
                <w:szCs w:val="15"/>
              </w:rPr>
            </w:pPr>
            <w:r>
              <w:rPr>
                <w:sz w:val="15"/>
                <w:szCs w:val="15"/>
              </w:rPr>
              <w:t>0</w:t>
            </w:r>
          </w:p>
        </w:tc>
        <w:tc>
          <w:tcPr>
            <w:tcW w:w="1251" w:type="dxa"/>
            <w:vAlign w:val="center"/>
          </w:tcPr>
          <w:p w14:paraId="499B892A" w14:textId="77777777" w:rsidR="005E000F" w:rsidRDefault="00000000">
            <w:pPr>
              <w:jc w:val="right"/>
              <w:rPr>
                <w:sz w:val="15"/>
                <w:szCs w:val="15"/>
              </w:rPr>
            </w:pPr>
            <w:r>
              <w:rPr>
                <w:sz w:val="15"/>
                <w:szCs w:val="15"/>
              </w:rPr>
              <w:t>0</w:t>
            </w:r>
          </w:p>
        </w:tc>
      </w:tr>
      <w:tr w:rsidR="005E000F" w14:paraId="424EAE66" w14:textId="77777777">
        <w:trPr>
          <w:trHeight w:val="20"/>
        </w:trPr>
        <w:sdt>
          <w:sdtPr>
            <w:rPr>
              <w:sz w:val="15"/>
              <w:szCs w:val="15"/>
            </w:rPr>
            <w:tag w:val="_PLD_56eacf5a90be4746898504dda5c8a2c0"/>
            <w:id w:val="147471068"/>
          </w:sdtPr>
          <w:sdtContent>
            <w:tc>
              <w:tcPr>
                <w:tcW w:w="1943" w:type="dxa"/>
                <w:vAlign w:val="center"/>
              </w:tcPr>
              <w:p w14:paraId="1CE96839" w14:textId="77777777" w:rsidR="005E000F" w:rsidRDefault="00000000">
                <w:pPr>
                  <w:rPr>
                    <w:sz w:val="15"/>
                    <w:szCs w:val="15"/>
                  </w:rPr>
                </w:pPr>
                <w:r>
                  <w:rPr>
                    <w:sz w:val="15"/>
                    <w:szCs w:val="15"/>
                  </w:rPr>
                  <w:t>四、本期期末余额</w:t>
                </w:r>
              </w:p>
            </w:tc>
          </w:sdtContent>
        </w:sdt>
        <w:tc>
          <w:tcPr>
            <w:tcW w:w="1390" w:type="dxa"/>
            <w:tcBorders>
              <w:right w:val="single" w:sz="4" w:space="0" w:color="auto"/>
            </w:tcBorders>
            <w:vAlign w:val="center"/>
          </w:tcPr>
          <w:p w14:paraId="415025A7" w14:textId="77777777" w:rsidR="005E000F" w:rsidRDefault="00000000">
            <w:pPr>
              <w:jc w:val="right"/>
              <w:rPr>
                <w:sz w:val="15"/>
                <w:szCs w:val="15"/>
              </w:rPr>
            </w:pPr>
            <w:r>
              <w:rPr>
                <w:sz w:val="15"/>
                <w:szCs w:val="15"/>
              </w:rPr>
              <w:t>18,807,273,822</w:t>
            </w:r>
          </w:p>
        </w:tc>
        <w:tc>
          <w:tcPr>
            <w:tcW w:w="760" w:type="dxa"/>
            <w:tcBorders>
              <w:left w:val="single" w:sz="4" w:space="0" w:color="auto"/>
              <w:right w:val="single" w:sz="4" w:space="0" w:color="auto"/>
            </w:tcBorders>
            <w:vAlign w:val="center"/>
          </w:tcPr>
          <w:p w14:paraId="3AC1546E" w14:textId="77777777" w:rsidR="005E000F" w:rsidRDefault="00000000">
            <w:pPr>
              <w:jc w:val="right"/>
              <w:rPr>
                <w:sz w:val="15"/>
                <w:szCs w:val="15"/>
              </w:rPr>
            </w:pPr>
            <w:r>
              <w:rPr>
                <w:sz w:val="15"/>
                <w:szCs w:val="15"/>
              </w:rPr>
              <w:t>0</w:t>
            </w:r>
          </w:p>
        </w:tc>
        <w:tc>
          <w:tcPr>
            <w:tcW w:w="700" w:type="dxa"/>
            <w:tcBorders>
              <w:left w:val="single" w:sz="4" w:space="0" w:color="auto"/>
              <w:right w:val="single" w:sz="4" w:space="0" w:color="auto"/>
            </w:tcBorders>
            <w:vAlign w:val="center"/>
          </w:tcPr>
          <w:p w14:paraId="25D0D4DB" w14:textId="77777777" w:rsidR="005E000F" w:rsidRDefault="00000000">
            <w:pPr>
              <w:jc w:val="right"/>
              <w:rPr>
                <w:sz w:val="15"/>
                <w:szCs w:val="15"/>
              </w:rPr>
            </w:pPr>
            <w:r>
              <w:rPr>
                <w:sz w:val="15"/>
                <w:szCs w:val="15"/>
              </w:rPr>
              <w:t>0</w:t>
            </w:r>
          </w:p>
        </w:tc>
        <w:tc>
          <w:tcPr>
            <w:tcW w:w="1180" w:type="dxa"/>
            <w:tcBorders>
              <w:left w:val="single" w:sz="4" w:space="0" w:color="auto"/>
            </w:tcBorders>
            <w:vAlign w:val="center"/>
          </w:tcPr>
          <w:p w14:paraId="5782A7AE" w14:textId="77777777" w:rsidR="005E000F" w:rsidRDefault="00000000">
            <w:pPr>
              <w:jc w:val="right"/>
              <w:rPr>
                <w:sz w:val="15"/>
                <w:szCs w:val="15"/>
              </w:rPr>
            </w:pPr>
            <w:r>
              <w:rPr>
                <w:sz w:val="15"/>
                <w:szCs w:val="15"/>
              </w:rPr>
              <w:t>804,984,728</w:t>
            </w:r>
          </w:p>
        </w:tc>
        <w:tc>
          <w:tcPr>
            <w:tcW w:w="1180" w:type="dxa"/>
            <w:vAlign w:val="center"/>
          </w:tcPr>
          <w:p w14:paraId="4A679B0C" w14:textId="77777777" w:rsidR="005E000F" w:rsidRDefault="00000000">
            <w:pPr>
              <w:jc w:val="right"/>
              <w:rPr>
                <w:sz w:val="15"/>
                <w:szCs w:val="15"/>
              </w:rPr>
            </w:pPr>
            <w:r>
              <w:rPr>
                <w:sz w:val="15"/>
                <w:szCs w:val="15"/>
              </w:rPr>
              <w:t>47,152,733,063</w:t>
            </w:r>
          </w:p>
        </w:tc>
        <w:tc>
          <w:tcPr>
            <w:tcW w:w="600" w:type="dxa"/>
            <w:vAlign w:val="center"/>
          </w:tcPr>
          <w:p w14:paraId="03B3F73A" w14:textId="77777777" w:rsidR="005E000F" w:rsidRDefault="00000000">
            <w:pPr>
              <w:jc w:val="right"/>
              <w:rPr>
                <w:sz w:val="15"/>
                <w:szCs w:val="15"/>
              </w:rPr>
            </w:pPr>
            <w:r>
              <w:rPr>
                <w:sz w:val="15"/>
                <w:szCs w:val="15"/>
              </w:rPr>
              <w:t>0</w:t>
            </w:r>
          </w:p>
        </w:tc>
        <w:tc>
          <w:tcPr>
            <w:tcW w:w="1240" w:type="dxa"/>
            <w:vAlign w:val="center"/>
          </w:tcPr>
          <w:p w14:paraId="2A2013B6" w14:textId="77777777" w:rsidR="005E000F" w:rsidRDefault="00000000">
            <w:pPr>
              <w:jc w:val="right"/>
              <w:rPr>
                <w:sz w:val="15"/>
                <w:szCs w:val="15"/>
              </w:rPr>
            </w:pPr>
            <w:r>
              <w:rPr>
                <w:sz w:val="15"/>
                <w:szCs w:val="15"/>
              </w:rPr>
              <w:t>-1,919,915,977</w:t>
            </w:r>
          </w:p>
        </w:tc>
        <w:tc>
          <w:tcPr>
            <w:tcW w:w="1210" w:type="dxa"/>
            <w:vAlign w:val="center"/>
          </w:tcPr>
          <w:p w14:paraId="2BA0E3F7" w14:textId="77777777" w:rsidR="005E000F" w:rsidRDefault="00000000">
            <w:pPr>
              <w:jc w:val="right"/>
              <w:rPr>
                <w:sz w:val="15"/>
                <w:szCs w:val="15"/>
              </w:rPr>
            </w:pPr>
            <w:r>
              <w:rPr>
                <w:sz w:val="15"/>
                <w:szCs w:val="15"/>
              </w:rPr>
              <w:t>121,293,713</w:t>
            </w:r>
          </w:p>
        </w:tc>
        <w:tc>
          <w:tcPr>
            <w:tcW w:w="1180" w:type="dxa"/>
            <w:vAlign w:val="center"/>
          </w:tcPr>
          <w:p w14:paraId="56565312" w14:textId="77777777" w:rsidR="005E000F" w:rsidRDefault="00000000">
            <w:pPr>
              <w:jc w:val="right"/>
              <w:rPr>
                <w:sz w:val="15"/>
                <w:szCs w:val="15"/>
              </w:rPr>
            </w:pPr>
            <w:r>
              <w:rPr>
                <w:sz w:val="15"/>
                <w:szCs w:val="15"/>
              </w:rPr>
              <w:t>20,761,405,987</w:t>
            </w:r>
          </w:p>
        </w:tc>
        <w:tc>
          <w:tcPr>
            <w:tcW w:w="1270" w:type="dxa"/>
            <w:vAlign w:val="center"/>
          </w:tcPr>
          <w:p w14:paraId="48BDB94C" w14:textId="77777777" w:rsidR="005E000F" w:rsidRDefault="00000000">
            <w:pPr>
              <w:jc w:val="right"/>
              <w:rPr>
                <w:sz w:val="15"/>
                <w:szCs w:val="15"/>
              </w:rPr>
            </w:pPr>
            <w:r>
              <w:rPr>
                <w:sz w:val="15"/>
                <w:szCs w:val="15"/>
              </w:rPr>
              <w:t>70,386,746,221</w:t>
            </w:r>
          </w:p>
        </w:tc>
        <w:tc>
          <w:tcPr>
            <w:tcW w:w="1251" w:type="dxa"/>
            <w:vAlign w:val="center"/>
          </w:tcPr>
          <w:p w14:paraId="317A77B2" w14:textId="77777777" w:rsidR="005E000F" w:rsidRDefault="00000000">
            <w:pPr>
              <w:jc w:val="right"/>
              <w:rPr>
                <w:sz w:val="15"/>
                <w:szCs w:val="15"/>
              </w:rPr>
            </w:pPr>
            <w:r>
              <w:rPr>
                <w:sz w:val="15"/>
                <w:szCs w:val="15"/>
              </w:rPr>
              <w:t>156,114,521,557</w:t>
            </w:r>
          </w:p>
        </w:tc>
      </w:tr>
    </w:tbl>
    <w:p w14:paraId="5F854483" w14:textId="77777777" w:rsidR="005E000F" w:rsidRDefault="005E000F"/>
    <w:p w14:paraId="16A23E0B" w14:textId="77777777" w:rsidR="005E000F" w:rsidRPr="00C25A50" w:rsidRDefault="00000000" w:rsidP="00C25A50">
      <w:pPr>
        <w:snapToGrid w:val="0"/>
        <w:spacing w:line="240" w:lineRule="atLeast"/>
        <w:rPr>
          <w:b/>
          <w:bCs/>
          <w:color w:val="FF0000"/>
        </w:rPr>
      </w:pPr>
      <w:r>
        <w:rPr>
          <w:rFonts w:hint="eastAsia"/>
        </w:rPr>
        <w:t>公司负责</w:t>
      </w:r>
      <w:r>
        <w:t>人</w:t>
      </w:r>
      <w:r>
        <w:rPr>
          <w:rFonts w:hint="eastAsia"/>
        </w:rPr>
        <w:t>：</w:t>
      </w:r>
      <w:sdt>
        <w:sdtPr>
          <w:rPr>
            <w:rFonts w:hint="eastAsia"/>
          </w:rPr>
          <w:alias w:val="公司负责人姓名"/>
          <w:tag w:val="_GBC_6042a2c12168484781348969a4da3e4c"/>
          <w:id w:val="474576084"/>
          <w:placeholder>
            <w:docPart w:val="GBC22222222222222222222222222222"/>
          </w:placeholder>
          <w:dataBinding w:prefixMappings="xmlns:clcid-mr='clcid-mr'" w:xpath="/*/clcid-mr:GongSiFuZeRenXingMing[not(@periodRef)]" w:storeItemID="{89EBAB94-44A0-46A2-B712-30D997D04A6D}"/>
          <w:text/>
        </w:sdtPr>
        <w:sdtContent>
          <w:proofErr w:type="gramStart"/>
          <w:r>
            <w:rPr>
              <w:rFonts w:hint="eastAsia"/>
            </w:rPr>
            <w:t>陆勇</w:t>
          </w:r>
          <w:proofErr w:type="gramEnd"/>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3008dab61aca43f0a6d82ef192943e79"/>
          <w:id w:val="1435325579"/>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e6c21b270080402ca8dbdc0cab514bde"/>
          <w:id w:val="-1283881853"/>
          <w:placeholder>
            <w:docPart w:val="GBC22222222222222222222222222222"/>
          </w:placeholder>
          <w:dataBinding w:prefixMappings="xmlns:clcid-mr='clcid-mr'" w:xpath="/*/clcid-mr:KuaiJiJiGouFuZeRenXingMing[not(@periodRef)]" w:storeItemID="{89EBAB94-44A0-46A2-B712-30D997D04A6D}"/>
          <w:text/>
        </w:sdtPr>
        <w:sdtContent>
          <w:r>
            <w:rPr>
              <w:rFonts w:hint="eastAsia"/>
            </w:rPr>
            <w:t>孔韶鹏</w:t>
          </w:r>
        </w:sdtContent>
      </w:sdt>
    </w:p>
    <w:p w14:paraId="6932E769" w14:textId="77777777" w:rsidR="005E000F" w:rsidRDefault="005E000F">
      <w:pPr>
        <w:snapToGrid w:val="0"/>
        <w:spacing w:line="240" w:lineRule="atLeast"/>
        <w:sectPr w:rsidR="005E000F">
          <w:pgSz w:w="16838" w:h="11906" w:orient="landscape"/>
          <w:pgMar w:top="1276" w:right="1440" w:bottom="1797" w:left="1525" w:header="856" w:footer="992" w:gutter="0"/>
          <w:cols w:space="425"/>
          <w:docGrid w:linePitch="312"/>
        </w:sectPr>
      </w:pPr>
      <w:bookmarkStart w:id="237" w:name="_Hlk24980162"/>
      <w:bookmarkStart w:id="238" w:name="_Hlk533930396"/>
      <w:bookmarkEnd w:id="236"/>
      <w:bookmarkEnd w:id="237"/>
    </w:p>
    <w:bookmarkEnd w:id="238"/>
    <w:p w14:paraId="60E4A8EB" w14:textId="77777777" w:rsidR="005E000F" w:rsidRDefault="00000000">
      <w:pPr>
        <w:pStyle w:val="2"/>
        <w:numPr>
          <w:ilvl w:val="0"/>
          <w:numId w:val="56"/>
        </w:numPr>
        <w:rPr>
          <w:rFonts w:ascii="宋体" w:hAnsi="宋体"/>
        </w:rPr>
      </w:pPr>
      <w:r>
        <w:rPr>
          <w:rFonts w:ascii="宋体" w:hAnsi="宋体"/>
        </w:rPr>
        <w:lastRenderedPageBreak/>
        <w:t>公司基本情况</w:t>
      </w:r>
    </w:p>
    <w:p w14:paraId="3F31304A" w14:textId="77777777" w:rsidR="005E000F" w:rsidRDefault="00000000">
      <w:pPr>
        <w:pStyle w:val="3"/>
        <w:numPr>
          <w:ilvl w:val="0"/>
          <w:numId w:val="57"/>
        </w:numPr>
      </w:pPr>
      <w:r>
        <w:rPr>
          <w:rFonts w:hint="eastAsia"/>
        </w:rPr>
        <w:t>公司概况</w:t>
      </w:r>
    </w:p>
    <w:sdt>
      <w:sdtPr>
        <w:rPr>
          <w:rFonts w:hint="eastAsia"/>
        </w:rPr>
        <w:alias w:val="是否适用：公司概况[双击切换]"/>
        <w:tag w:val="_GBC_7b613deb8c7f4027b73602e5cd1d4a2e"/>
        <w:id w:val="20063105"/>
        <w:placeholder>
          <w:docPart w:val="GBC22222222222222222222222222222"/>
        </w:placeholder>
      </w:sdtPr>
      <w:sdtContent>
        <w:p w14:paraId="5D165675"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公司概况"/>
        <w:tag w:val="_GBC_dfec127af3a7441dade8cb0f67119e66"/>
        <w:id w:val="1233668874"/>
        <w:placeholder>
          <w:docPart w:val="GBC22222222222222222222222222222"/>
        </w:placeholder>
      </w:sdtPr>
      <w:sdtContent>
        <w:p w14:paraId="3CFF9C99" w14:textId="77777777" w:rsidR="005E000F" w:rsidRDefault="00000000">
          <w:pPr>
            <w:ind w:firstLineChars="200" w:firstLine="420"/>
          </w:pPr>
          <w:r>
            <w:rPr>
              <w:rFonts w:hint="eastAsia"/>
            </w:rPr>
            <w:t>大秦铁路股份有限公司（以下称“本公司”）是依据原中华人民共和国铁道部（以下称“原铁道部”）于</w:t>
          </w:r>
          <w:r>
            <w:rPr>
              <w:rFonts w:hint="eastAsia"/>
            </w:rPr>
            <w:t>2004</w:t>
          </w:r>
          <w:r>
            <w:rPr>
              <w:rFonts w:hint="eastAsia"/>
            </w:rPr>
            <w:t>年</w:t>
          </w:r>
          <w:r>
            <w:rPr>
              <w:rFonts w:hint="eastAsia"/>
            </w:rPr>
            <w:t>10</w:t>
          </w:r>
          <w:r>
            <w:rPr>
              <w:rFonts w:hint="eastAsia"/>
            </w:rPr>
            <w:t>月</w:t>
          </w:r>
          <w:r>
            <w:rPr>
              <w:rFonts w:hint="eastAsia"/>
            </w:rPr>
            <w:t>11</w:t>
          </w:r>
          <w:r>
            <w:rPr>
              <w:rFonts w:hint="eastAsia"/>
            </w:rPr>
            <w:t>日签发的铁政法函【</w:t>
          </w:r>
          <w:r>
            <w:rPr>
              <w:rFonts w:hint="eastAsia"/>
            </w:rPr>
            <w:t>2004</w:t>
          </w:r>
          <w:r>
            <w:rPr>
              <w:rFonts w:hint="eastAsia"/>
            </w:rPr>
            <w:t>】</w:t>
          </w:r>
          <w:r>
            <w:rPr>
              <w:rFonts w:hint="eastAsia"/>
            </w:rPr>
            <w:t>550</w:t>
          </w:r>
          <w:r>
            <w:rPr>
              <w:rFonts w:hint="eastAsia"/>
            </w:rPr>
            <w:t>号文《关于重组设立大秦铁路股份有限公司并公开发行</w:t>
          </w:r>
          <w:r>
            <w:rPr>
              <w:rFonts w:hint="eastAsia"/>
            </w:rPr>
            <w:t>A</w:t>
          </w:r>
          <w:r>
            <w:rPr>
              <w:rFonts w:hint="eastAsia"/>
            </w:rPr>
            <w:t>股股票方案的批复》，由北京铁路局作为主发起人，与大同煤矿集团有限责任公司、中国中煤能源集团公司、秦皇岛港务集团有限公司、大</w:t>
          </w:r>
          <w:proofErr w:type="gramStart"/>
          <w:r>
            <w:rPr>
              <w:rFonts w:hint="eastAsia"/>
            </w:rPr>
            <w:t>唐国际</w:t>
          </w:r>
          <w:proofErr w:type="gramEnd"/>
          <w:r>
            <w:rPr>
              <w:rFonts w:hint="eastAsia"/>
            </w:rPr>
            <w:t>发电股份有限公司、同方投资有限公司和中国华能集团公司等其余六家发起人共同发起设立的股份有限公司</w:t>
          </w:r>
          <w:r>
            <w:rPr>
              <w:rFonts w:hint="eastAsia"/>
            </w:rPr>
            <w:t>,</w:t>
          </w:r>
          <w:r>
            <w:rPr>
              <w:rFonts w:hint="eastAsia"/>
            </w:rPr>
            <w:t>于</w:t>
          </w:r>
          <w:r>
            <w:rPr>
              <w:rFonts w:hint="eastAsia"/>
            </w:rPr>
            <w:t>2004</w:t>
          </w:r>
          <w:r>
            <w:rPr>
              <w:rFonts w:hint="eastAsia"/>
            </w:rPr>
            <w:t>年</w:t>
          </w:r>
          <w:r>
            <w:rPr>
              <w:rFonts w:hint="eastAsia"/>
            </w:rPr>
            <w:t>10</w:t>
          </w:r>
          <w:r>
            <w:rPr>
              <w:rFonts w:hint="eastAsia"/>
            </w:rPr>
            <w:t>月</w:t>
          </w:r>
          <w:r>
            <w:rPr>
              <w:rFonts w:hint="eastAsia"/>
            </w:rPr>
            <w:t>28</w:t>
          </w:r>
          <w:r>
            <w:rPr>
              <w:rFonts w:hint="eastAsia"/>
            </w:rPr>
            <w:t>日正式注册成立，领取注册号为</w:t>
          </w:r>
          <w:r>
            <w:rPr>
              <w:rFonts w:hint="eastAsia"/>
            </w:rPr>
            <w:t>1000001003927</w:t>
          </w:r>
          <w:r>
            <w:rPr>
              <w:rFonts w:hint="eastAsia"/>
            </w:rPr>
            <w:t>号的企业法人营业执照，公司成立时注册资本为人民币</w:t>
          </w:r>
          <w:r>
            <w:rPr>
              <w:rFonts w:hint="eastAsia"/>
            </w:rPr>
            <w:t>9,946,454,097</w:t>
          </w:r>
          <w:r>
            <w:rPr>
              <w:rFonts w:hint="eastAsia"/>
            </w:rPr>
            <w:t>元，注册地为中华人民共和国山西省大同市，总部地址为中华人民共和国山西省太原市。</w:t>
          </w:r>
        </w:p>
        <w:p w14:paraId="3527681C" w14:textId="77777777" w:rsidR="005E000F" w:rsidRDefault="005E000F">
          <w:pPr>
            <w:ind w:firstLineChars="200" w:firstLine="420"/>
          </w:pPr>
        </w:p>
        <w:p w14:paraId="43D1BB6F" w14:textId="77777777" w:rsidR="005E000F" w:rsidRDefault="00000000">
          <w:pPr>
            <w:ind w:firstLineChars="200" w:firstLine="420"/>
          </w:pPr>
          <w:r>
            <w:rPr>
              <w:rFonts w:hint="eastAsia"/>
            </w:rPr>
            <w:t>经</w:t>
          </w:r>
          <w:proofErr w:type="gramStart"/>
          <w:r>
            <w:rPr>
              <w:rFonts w:hint="eastAsia"/>
            </w:rPr>
            <w:t>财政部财建【</w:t>
          </w:r>
          <w:r>
            <w:rPr>
              <w:rFonts w:hint="eastAsia"/>
            </w:rPr>
            <w:t>2004</w:t>
          </w:r>
          <w:r>
            <w:rPr>
              <w:rFonts w:hint="eastAsia"/>
            </w:rPr>
            <w:t>】</w:t>
          </w:r>
          <w:proofErr w:type="gramEnd"/>
          <w:r>
            <w:rPr>
              <w:rFonts w:hint="eastAsia"/>
            </w:rPr>
            <w:t>371</w:t>
          </w:r>
          <w:r>
            <w:rPr>
              <w:rFonts w:hint="eastAsia"/>
            </w:rPr>
            <w:t>号文《财政部关于大秦铁路股份有限公司（筹）国有股权管理有关问题的函》批复，本公司发起人投入资本按</w:t>
          </w:r>
          <w:r>
            <w:rPr>
              <w:rFonts w:hint="eastAsia"/>
            </w:rPr>
            <w:t>65%</w:t>
          </w:r>
          <w:r>
            <w:rPr>
              <w:rFonts w:hint="eastAsia"/>
            </w:rPr>
            <w:t>折股比例折为每股面值为人民币</w:t>
          </w:r>
          <w:r>
            <w:rPr>
              <w:rFonts w:hint="eastAsia"/>
            </w:rPr>
            <w:t>1</w:t>
          </w:r>
          <w:r>
            <w:rPr>
              <w:rFonts w:hint="eastAsia"/>
            </w:rPr>
            <w:t>元的股份计</w:t>
          </w:r>
          <w:r>
            <w:rPr>
              <w:rFonts w:hint="eastAsia"/>
            </w:rPr>
            <w:t>9,946,454,097</w:t>
          </w:r>
          <w:r>
            <w:rPr>
              <w:rFonts w:hint="eastAsia"/>
            </w:rPr>
            <w:t>股，其余人民币</w:t>
          </w:r>
          <w:r>
            <w:rPr>
              <w:rFonts w:hint="eastAsia"/>
            </w:rPr>
            <w:t>5,355,782,976</w:t>
          </w:r>
          <w:r>
            <w:rPr>
              <w:rFonts w:hint="eastAsia"/>
            </w:rPr>
            <w:t>元列入本公司资本公积。</w:t>
          </w:r>
        </w:p>
        <w:p w14:paraId="6010732E" w14:textId="77777777" w:rsidR="005E000F" w:rsidRDefault="005E000F">
          <w:pPr>
            <w:ind w:firstLineChars="200" w:firstLine="420"/>
          </w:pPr>
        </w:p>
        <w:p w14:paraId="721F8E17" w14:textId="77777777" w:rsidR="005E000F" w:rsidRDefault="00000000">
          <w:pPr>
            <w:ind w:firstLineChars="200" w:firstLine="420"/>
          </w:pPr>
          <w:r>
            <w:rPr>
              <w:rFonts w:hint="eastAsia"/>
            </w:rPr>
            <w:t>根据原铁道部的决定，原北京铁路局分立为太原铁路局和北京铁路局</w:t>
          </w:r>
          <w:r>
            <w:rPr>
              <w:rFonts w:hint="eastAsia"/>
            </w:rPr>
            <w:t>,</w:t>
          </w:r>
          <w:r>
            <w:rPr>
              <w:rFonts w:hint="eastAsia"/>
            </w:rPr>
            <w:t>太原铁路局于</w:t>
          </w:r>
          <w:r>
            <w:rPr>
              <w:rFonts w:hint="eastAsia"/>
            </w:rPr>
            <w:t>2005</w:t>
          </w:r>
          <w:r>
            <w:rPr>
              <w:rFonts w:hint="eastAsia"/>
            </w:rPr>
            <w:t>年</w:t>
          </w:r>
          <w:r>
            <w:rPr>
              <w:rFonts w:hint="eastAsia"/>
            </w:rPr>
            <w:t>4</w:t>
          </w:r>
          <w:r>
            <w:rPr>
              <w:rFonts w:hint="eastAsia"/>
            </w:rPr>
            <w:t>月</w:t>
          </w:r>
          <w:r>
            <w:rPr>
              <w:rFonts w:hint="eastAsia"/>
            </w:rPr>
            <w:t>29</w:t>
          </w:r>
          <w:r>
            <w:rPr>
              <w:rFonts w:hint="eastAsia"/>
            </w:rPr>
            <w:t>日取得企业法人营业执照。分立后，原北京铁路局在本公司的全部股份以及原北京铁路局所属的太原铁路分局、大同铁路分局的全部资产由太原铁路局持有。原北京铁路局及大同铁路分局与本公司签署的一系列协议也由太原铁路局承继。因此本公司的控股股东由原北京铁路局变更为太原铁路局。</w:t>
          </w:r>
          <w:r>
            <w:rPr>
              <w:rFonts w:hint="eastAsia"/>
            </w:rPr>
            <w:t>2017</w:t>
          </w:r>
          <w:r>
            <w:rPr>
              <w:rFonts w:hint="eastAsia"/>
            </w:rPr>
            <w:t>年</w:t>
          </w:r>
          <w:r>
            <w:rPr>
              <w:rFonts w:hint="eastAsia"/>
            </w:rPr>
            <w:t>11</w:t>
          </w:r>
          <w:r>
            <w:rPr>
              <w:rFonts w:hint="eastAsia"/>
            </w:rPr>
            <w:t>月</w:t>
          </w:r>
          <w:r>
            <w:rPr>
              <w:rFonts w:hint="eastAsia"/>
            </w:rPr>
            <w:t>13</w:t>
          </w:r>
          <w:r>
            <w:rPr>
              <w:rFonts w:hint="eastAsia"/>
            </w:rPr>
            <w:t>日，太原铁路局由全民所有制企业变更为有限责任公司，公司名称为“中国铁路太原局集团有限公司”（以下简称“太原局集团公司”）。</w:t>
          </w:r>
        </w:p>
        <w:p w14:paraId="3F9AF527" w14:textId="77777777" w:rsidR="005E000F" w:rsidRDefault="005E000F">
          <w:pPr>
            <w:ind w:firstLineChars="200" w:firstLine="420"/>
          </w:pPr>
        </w:p>
        <w:p w14:paraId="36BBA91E" w14:textId="77777777" w:rsidR="005E000F" w:rsidRDefault="00000000">
          <w:pPr>
            <w:ind w:firstLineChars="200" w:firstLine="420"/>
          </w:pPr>
          <w:r>
            <w:rPr>
              <w:rFonts w:hint="eastAsia"/>
            </w:rPr>
            <w:t>根据《国务院关于组建中国铁路总公司有关问题的批复》（</w:t>
          </w:r>
          <w:proofErr w:type="gramStart"/>
          <w:r>
            <w:rPr>
              <w:rFonts w:hint="eastAsia"/>
            </w:rPr>
            <w:t>国函【</w:t>
          </w:r>
          <w:r>
            <w:rPr>
              <w:rFonts w:hint="eastAsia"/>
            </w:rPr>
            <w:t>2013</w:t>
          </w:r>
          <w:r>
            <w:rPr>
              <w:rFonts w:hint="eastAsia"/>
            </w:rPr>
            <w:t>】</w:t>
          </w:r>
          <w:proofErr w:type="gramEnd"/>
          <w:r>
            <w:rPr>
              <w:rFonts w:hint="eastAsia"/>
            </w:rPr>
            <w:t>47</w:t>
          </w:r>
          <w:r>
            <w:rPr>
              <w:rFonts w:hint="eastAsia"/>
            </w:rPr>
            <w:t>号），公司实际控制人原铁道部实施“政企分开”</w:t>
          </w:r>
          <w:r>
            <w:rPr>
              <w:rFonts w:hint="eastAsia"/>
            </w:rPr>
            <w:t>,</w:t>
          </w:r>
          <w:r>
            <w:rPr>
              <w:rFonts w:hint="eastAsia"/>
            </w:rPr>
            <w:t>其所属的</w:t>
          </w:r>
          <w:r>
            <w:rPr>
              <w:rFonts w:hint="eastAsia"/>
            </w:rPr>
            <w:t>18</w:t>
          </w:r>
          <w:r>
            <w:rPr>
              <w:rFonts w:hint="eastAsia"/>
            </w:rPr>
            <w:t>个铁路局（含太原局集团公司、广州铁路集团公司）、</w:t>
          </w:r>
          <w:r>
            <w:rPr>
              <w:rFonts w:hint="eastAsia"/>
            </w:rPr>
            <w:t>3</w:t>
          </w:r>
          <w:r>
            <w:rPr>
              <w:rFonts w:hint="eastAsia"/>
            </w:rPr>
            <w:t>个专业运输公司及其他企业的权益划入新组建成立的中国铁路总公司。</w:t>
          </w:r>
          <w:r>
            <w:rPr>
              <w:rFonts w:hint="eastAsia"/>
            </w:rPr>
            <w:t>2019</w:t>
          </w:r>
          <w:r>
            <w:rPr>
              <w:rFonts w:hint="eastAsia"/>
            </w:rPr>
            <w:t>年</w:t>
          </w:r>
          <w:r>
            <w:rPr>
              <w:rFonts w:hint="eastAsia"/>
            </w:rPr>
            <w:t>6</w:t>
          </w:r>
          <w:r>
            <w:rPr>
              <w:rFonts w:hint="eastAsia"/>
            </w:rPr>
            <w:t>月</w:t>
          </w:r>
          <w:r>
            <w:rPr>
              <w:rFonts w:hint="eastAsia"/>
            </w:rPr>
            <w:t>18</w:t>
          </w:r>
          <w:r>
            <w:rPr>
              <w:rFonts w:hint="eastAsia"/>
            </w:rPr>
            <w:t>日，中国铁路总公司改制为中国国家铁路集团有限公司（以下简称“国铁集团”）。本公司最终控股公司为中国国家铁路集团有限公司。</w:t>
          </w:r>
        </w:p>
        <w:p w14:paraId="5853B678" w14:textId="77777777" w:rsidR="005E000F" w:rsidRDefault="005E000F">
          <w:pPr>
            <w:ind w:firstLineChars="200" w:firstLine="420"/>
          </w:pPr>
        </w:p>
        <w:p w14:paraId="1E8BF9E1" w14:textId="77777777" w:rsidR="005E000F" w:rsidRDefault="00000000">
          <w:pPr>
            <w:ind w:firstLineChars="200" w:firstLine="420"/>
          </w:pPr>
          <w:r>
            <w:rPr>
              <w:rFonts w:hint="eastAsia"/>
            </w:rPr>
            <w:t>中国证券监督管理委员会（以下称“中国证监会”）于</w:t>
          </w:r>
          <w:r>
            <w:rPr>
              <w:rFonts w:hint="eastAsia"/>
            </w:rPr>
            <w:t>2006</w:t>
          </w:r>
          <w:r>
            <w:rPr>
              <w:rFonts w:hint="eastAsia"/>
            </w:rPr>
            <w:t>年</w:t>
          </w:r>
          <w:r>
            <w:rPr>
              <w:rFonts w:hint="eastAsia"/>
            </w:rPr>
            <w:t>7</w:t>
          </w:r>
          <w:r>
            <w:rPr>
              <w:rFonts w:hint="eastAsia"/>
            </w:rPr>
            <w:t>月</w:t>
          </w:r>
          <w:r>
            <w:rPr>
              <w:rFonts w:hint="eastAsia"/>
            </w:rPr>
            <w:t>12</w:t>
          </w:r>
          <w:r>
            <w:rPr>
              <w:rFonts w:hint="eastAsia"/>
            </w:rPr>
            <w:t>日出具的《关于核准大秦铁路股份有限公司首次公开发行股票的通知》（证</w:t>
          </w:r>
          <w:proofErr w:type="gramStart"/>
          <w:r>
            <w:rPr>
              <w:rFonts w:hint="eastAsia"/>
            </w:rPr>
            <w:t>监发行字</w:t>
          </w:r>
          <w:proofErr w:type="gramEnd"/>
          <w:r>
            <w:rPr>
              <w:rFonts w:hint="eastAsia"/>
            </w:rPr>
            <w:t>【</w:t>
          </w:r>
          <w:r>
            <w:rPr>
              <w:rFonts w:hint="eastAsia"/>
            </w:rPr>
            <w:t>2006</w:t>
          </w:r>
          <w:r>
            <w:rPr>
              <w:rFonts w:hint="eastAsia"/>
            </w:rPr>
            <w:t>】</w:t>
          </w:r>
          <w:r>
            <w:rPr>
              <w:rFonts w:hint="eastAsia"/>
            </w:rPr>
            <w:t>42</w:t>
          </w:r>
          <w:r>
            <w:rPr>
              <w:rFonts w:hint="eastAsia"/>
            </w:rPr>
            <w:t>号）核准本公司发行不超过</w:t>
          </w:r>
          <w:r>
            <w:rPr>
              <w:rFonts w:hint="eastAsia"/>
            </w:rPr>
            <w:t>50</w:t>
          </w:r>
          <w:r>
            <w:rPr>
              <w:rFonts w:hint="eastAsia"/>
            </w:rPr>
            <w:t>亿股人民币普通股（</w:t>
          </w:r>
          <w:r>
            <w:rPr>
              <w:rFonts w:hint="eastAsia"/>
            </w:rPr>
            <w:t>A</w:t>
          </w:r>
          <w:r>
            <w:rPr>
              <w:rFonts w:hint="eastAsia"/>
            </w:rPr>
            <w:t>股）股票。本公司于</w:t>
          </w:r>
          <w:r>
            <w:rPr>
              <w:rFonts w:hint="eastAsia"/>
            </w:rPr>
            <w:t>2006</w:t>
          </w:r>
          <w:r>
            <w:rPr>
              <w:rFonts w:hint="eastAsia"/>
            </w:rPr>
            <w:t>年</w:t>
          </w:r>
          <w:r>
            <w:rPr>
              <w:rFonts w:hint="eastAsia"/>
            </w:rPr>
            <w:t>7</w:t>
          </w:r>
          <w:r>
            <w:rPr>
              <w:rFonts w:hint="eastAsia"/>
            </w:rPr>
            <w:t>月</w:t>
          </w:r>
          <w:r>
            <w:rPr>
              <w:rFonts w:hint="eastAsia"/>
            </w:rPr>
            <w:t>27</w:t>
          </w:r>
          <w:r>
            <w:rPr>
              <w:rFonts w:hint="eastAsia"/>
            </w:rPr>
            <w:t>日完成了公开发行</w:t>
          </w:r>
          <w:r>
            <w:rPr>
              <w:rFonts w:hint="eastAsia"/>
            </w:rPr>
            <w:t>3,030,303,030</w:t>
          </w:r>
          <w:r>
            <w:rPr>
              <w:rFonts w:hint="eastAsia"/>
            </w:rPr>
            <w:t>股人民币普通股（</w:t>
          </w:r>
          <w:r>
            <w:rPr>
              <w:rFonts w:hint="eastAsia"/>
            </w:rPr>
            <w:t>A</w:t>
          </w:r>
          <w:r>
            <w:rPr>
              <w:rFonts w:hint="eastAsia"/>
            </w:rPr>
            <w:t>股）股票的工作。本公司收到本次募集资金净额（已扣除承销费用以及其他发行费用合计人民币</w:t>
          </w:r>
          <w:r>
            <w:rPr>
              <w:rFonts w:hint="eastAsia"/>
            </w:rPr>
            <w:t>265,789,676</w:t>
          </w:r>
          <w:r>
            <w:rPr>
              <w:rFonts w:hint="eastAsia"/>
            </w:rPr>
            <w:t>元）人民币</w:t>
          </w:r>
          <w:r>
            <w:rPr>
              <w:rFonts w:hint="eastAsia"/>
            </w:rPr>
            <w:t>14,734,210,323</w:t>
          </w:r>
          <w:r>
            <w:rPr>
              <w:rFonts w:hint="eastAsia"/>
            </w:rPr>
            <w:t>元，其中，增加股本人民币</w:t>
          </w:r>
          <w:r>
            <w:rPr>
              <w:rFonts w:hint="eastAsia"/>
            </w:rPr>
            <w:t>3,030,303,030</w:t>
          </w:r>
          <w:r>
            <w:rPr>
              <w:rFonts w:hint="eastAsia"/>
            </w:rPr>
            <w:t>元，增加资本公积金人民币</w:t>
          </w:r>
          <w:r>
            <w:rPr>
              <w:rFonts w:hint="eastAsia"/>
            </w:rPr>
            <w:t>11,703,907,293</w:t>
          </w:r>
          <w:r>
            <w:rPr>
              <w:rFonts w:hint="eastAsia"/>
            </w:rPr>
            <w:t>元。由此，本公司总股本为人民币</w:t>
          </w:r>
          <w:r>
            <w:rPr>
              <w:rFonts w:hint="eastAsia"/>
            </w:rPr>
            <w:t>12,976,757,127</w:t>
          </w:r>
          <w:r>
            <w:rPr>
              <w:rFonts w:hint="eastAsia"/>
            </w:rPr>
            <w:t>元，代表每股人民币</w:t>
          </w:r>
          <w:r>
            <w:rPr>
              <w:rFonts w:hint="eastAsia"/>
            </w:rPr>
            <w:t>1</w:t>
          </w:r>
          <w:r>
            <w:rPr>
              <w:rFonts w:hint="eastAsia"/>
            </w:rPr>
            <w:t>元的普通股</w:t>
          </w:r>
          <w:r>
            <w:rPr>
              <w:rFonts w:hint="eastAsia"/>
            </w:rPr>
            <w:t>12,976,757,127</w:t>
          </w:r>
          <w:r>
            <w:rPr>
              <w:rFonts w:hint="eastAsia"/>
            </w:rPr>
            <w:t>股。</w:t>
          </w:r>
        </w:p>
        <w:p w14:paraId="7AFDEFDF" w14:textId="77777777" w:rsidR="005E000F" w:rsidRDefault="005E000F">
          <w:pPr>
            <w:ind w:firstLineChars="200" w:firstLine="420"/>
          </w:pPr>
        </w:p>
        <w:p w14:paraId="7AE8349F" w14:textId="77777777" w:rsidR="005E000F" w:rsidRDefault="00000000">
          <w:pPr>
            <w:ind w:firstLineChars="200" w:firstLine="420"/>
          </w:pPr>
          <w:r>
            <w:rPr>
              <w:rFonts w:hint="eastAsia"/>
            </w:rPr>
            <w:t>本公司分别于</w:t>
          </w:r>
          <w:r>
            <w:rPr>
              <w:rFonts w:hint="eastAsia"/>
            </w:rPr>
            <w:t>2009</w:t>
          </w:r>
          <w:r>
            <w:rPr>
              <w:rFonts w:hint="eastAsia"/>
            </w:rPr>
            <w:t>年</w:t>
          </w:r>
          <w:r>
            <w:rPr>
              <w:rFonts w:hint="eastAsia"/>
            </w:rPr>
            <w:t>11</w:t>
          </w:r>
          <w:r>
            <w:rPr>
              <w:rFonts w:hint="eastAsia"/>
            </w:rPr>
            <w:t>月</w:t>
          </w:r>
          <w:r>
            <w:rPr>
              <w:rFonts w:hint="eastAsia"/>
            </w:rPr>
            <w:t>10</w:t>
          </w:r>
          <w:r>
            <w:rPr>
              <w:rFonts w:hint="eastAsia"/>
            </w:rPr>
            <w:t>日和</w:t>
          </w:r>
          <w:r>
            <w:rPr>
              <w:rFonts w:hint="eastAsia"/>
            </w:rPr>
            <w:t>2009</w:t>
          </w:r>
          <w:r>
            <w:rPr>
              <w:rFonts w:hint="eastAsia"/>
            </w:rPr>
            <w:t>年</w:t>
          </w:r>
          <w:r>
            <w:rPr>
              <w:rFonts w:hint="eastAsia"/>
            </w:rPr>
            <w:t>11</w:t>
          </w:r>
          <w:r>
            <w:rPr>
              <w:rFonts w:hint="eastAsia"/>
            </w:rPr>
            <w:t>月</w:t>
          </w:r>
          <w:r>
            <w:rPr>
              <w:rFonts w:hint="eastAsia"/>
            </w:rPr>
            <w:t>27</w:t>
          </w:r>
          <w:r>
            <w:rPr>
              <w:rFonts w:hint="eastAsia"/>
            </w:rPr>
            <w:t>日召开董事会和临时股东大会并通过决议，采用向不特定对象公开募集股份的方式增发不超过</w:t>
          </w:r>
          <w:r>
            <w:rPr>
              <w:rFonts w:hint="eastAsia"/>
            </w:rPr>
            <w:t>20</w:t>
          </w:r>
          <w:r>
            <w:rPr>
              <w:rFonts w:hint="eastAsia"/>
            </w:rPr>
            <w:t>亿股人民币普通股（</w:t>
          </w:r>
          <w:r>
            <w:rPr>
              <w:rFonts w:hint="eastAsia"/>
            </w:rPr>
            <w:t>A</w:t>
          </w:r>
          <w:r>
            <w:rPr>
              <w:rFonts w:hint="eastAsia"/>
            </w:rPr>
            <w:t>股），募集资金用以收购太原局集团公司运输业务的相关资产和负债（以下称“目标业务”）及对</w:t>
          </w:r>
          <w:proofErr w:type="gramStart"/>
          <w:r>
            <w:rPr>
              <w:rFonts w:hint="eastAsia"/>
            </w:rPr>
            <w:t>国能朔黄</w:t>
          </w:r>
          <w:proofErr w:type="gramEnd"/>
          <w:r>
            <w:rPr>
              <w:rFonts w:hint="eastAsia"/>
            </w:rPr>
            <w:t>铁路发展有限责任公司</w:t>
          </w:r>
          <w:r>
            <w:rPr>
              <w:rFonts w:hint="eastAsia"/>
            </w:rPr>
            <w:t>41.16%</w:t>
          </w:r>
          <w:r>
            <w:rPr>
              <w:rFonts w:hint="eastAsia"/>
            </w:rPr>
            <w:t>股权投资（以下称“朔黄铁路股权”及“收购”），以现金形式向太原局集团公司支付收购对价</w:t>
          </w:r>
          <w:r>
            <w:rPr>
              <w:rFonts w:hint="eastAsia"/>
            </w:rPr>
            <w:t>327.9</w:t>
          </w:r>
          <w:r>
            <w:rPr>
              <w:rFonts w:hint="eastAsia"/>
            </w:rPr>
            <w:t>亿元，公开增发实际募集资金金额相对于收购对价款不足部分，本公司将通过自筹资金方式补足本公司于</w:t>
          </w:r>
          <w:r>
            <w:rPr>
              <w:rFonts w:hint="eastAsia"/>
            </w:rPr>
            <w:t>2010</w:t>
          </w:r>
          <w:r>
            <w:rPr>
              <w:rFonts w:hint="eastAsia"/>
            </w:rPr>
            <w:t>年</w:t>
          </w:r>
          <w:r>
            <w:rPr>
              <w:rFonts w:hint="eastAsia"/>
            </w:rPr>
            <w:t>8</w:t>
          </w:r>
          <w:r>
            <w:rPr>
              <w:rFonts w:hint="eastAsia"/>
            </w:rPr>
            <w:t>月</w:t>
          </w:r>
          <w:r>
            <w:rPr>
              <w:rFonts w:hint="eastAsia"/>
            </w:rPr>
            <w:t>30</w:t>
          </w:r>
          <w:r>
            <w:rPr>
              <w:rFonts w:hint="eastAsia"/>
            </w:rPr>
            <w:t>日完成收购对价</w:t>
          </w:r>
          <w:r>
            <w:rPr>
              <w:rFonts w:hint="eastAsia"/>
            </w:rPr>
            <w:t>50%</w:t>
          </w:r>
          <w:r>
            <w:rPr>
              <w:rFonts w:hint="eastAsia"/>
            </w:rPr>
            <w:t>的价款支付，满足了本公司与太原局集团公司签订的《资产交易协议》和《资产交易协议之补充协议》中约定的资产交割条件：公司完成</w:t>
          </w:r>
          <w:r>
            <w:rPr>
              <w:rFonts w:hint="eastAsia"/>
            </w:rPr>
            <w:t>50%</w:t>
          </w:r>
          <w:r>
            <w:rPr>
              <w:rFonts w:hint="eastAsia"/>
            </w:rPr>
            <w:t>的目标业务转让价款支付之次日即</w:t>
          </w:r>
          <w:r>
            <w:rPr>
              <w:rFonts w:hint="eastAsia"/>
            </w:rPr>
            <w:t>2010</w:t>
          </w:r>
          <w:r>
            <w:rPr>
              <w:rFonts w:hint="eastAsia"/>
            </w:rPr>
            <w:t>年</w:t>
          </w:r>
          <w:r>
            <w:rPr>
              <w:rFonts w:hint="eastAsia"/>
            </w:rPr>
            <w:t>8</w:t>
          </w:r>
          <w:r>
            <w:rPr>
              <w:rFonts w:hint="eastAsia"/>
            </w:rPr>
            <w:t>月</w:t>
          </w:r>
          <w:r>
            <w:rPr>
              <w:rFonts w:hint="eastAsia"/>
            </w:rPr>
            <w:t>31</w:t>
          </w:r>
          <w:r>
            <w:rPr>
              <w:rFonts w:hint="eastAsia"/>
            </w:rPr>
            <w:t>日为资产交割日。</w:t>
          </w:r>
        </w:p>
        <w:p w14:paraId="3937A648" w14:textId="77777777" w:rsidR="005E000F" w:rsidRDefault="005E000F">
          <w:pPr>
            <w:ind w:firstLineChars="200" w:firstLine="420"/>
          </w:pPr>
        </w:p>
        <w:p w14:paraId="26F2EF00" w14:textId="77777777" w:rsidR="005E000F" w:rsidRDefault="00000000">
          <w:pPr>
            <w:ind w:firstLineChars="200" w:firstLine="420"/>
          </w:pPr>
          <w:r>
            <w:rPr>
              <w:rFonts w:hint="eastAsia"/>
            </w:rPr>
            <w:t>经中国证券监督管理委员会证监许可【</w:t>
          </w:r>
          <w:r>
            <w:rPr>
              <w:rFonts w:hint="eastAsia"/>
            </w:rPr>
            <w:t>2010</w:t>
          </w:r>
          <w:r>
            <w:rPr>
              <w:rFonts w:hint="eastAsia"/>
            </w:rPr>
            <w:t>】</w:t>
          </w:r>
          <w:r>
            <w:rPr>
              <w:rFonts w:hint="eastAsia"/>
            </w:rPr>
            <w:t>953</w:t>
          </w:r>
          <w:r>
            <w:rPr>
              <w:rFonts w:hint="eastAsia"/>
            </w:rPr>
            <w:t>号核准，本公司于</w:t>
          </w:r>
          <w:r>
            <w:rPr>
              <w:rFonts w:hint="eastAsia"/>
            </w:rPr>
            <w:t>2010</w:t>
          </w:r>
          <w:r>
            <w:rPr>
              <w:rFonts w:hint="eastAsia"/>
            </w:rPr>
            <w:t>年</w:t>
          </w:r>
          <w:r>
            <w:rPr>
              <w:rFonts w:hint="eastAsia"/>
            </w:rPr>
            <w:t>10</w:t>
          </w:r>
          <w:r>
            <w:rPr>
              <w:rFonts w:hint="eastAsia"/>
            </w:rPr>
            <w:t>月完成了公开发行</w:t>
          </w:r>
          <w:r>
            <w:rPr>
              <w:rFonts w:hint="eastAsia"/>
            </w:rPr>
            <w:t>1,890,034,364</w:t>
          </w:r>
          <w:r>
            <w:rPr>
              <w:rFonts w:hint="eastAsia"/>
            </w:rPr>
            <w:t>股人民币普通股（</w:t>
          </w:r>
          <w:r>
            <w:rPr>
              <w:rFonts w:hint="eastAsia"/>
            </w:rPr>
            <w:t>A</w:t>
          </w:r>
          <w:r>
            <w:rPr>
              <w:rFonts w:hint="eastAsia"/>
            </w:rPr>
            <w:t>股）股票的工作。本公司收到本次募集资金净额（扣除承销费用以及其他发行费用）人民币</w:t>
          </w:r>
          <w:r>
            <w:rPr>
              <w:rFonts w:hint="eastAsia"/>
            </w:rPr>
            <w:t>16,219,134,128</w:t>
          </w:r>
          <w:r>
            <w:rPr>
              <w:rFonts w:hint="eastAsia"/>
            </w:rPr>
            <w:t>元，其中，增加股本人民币</w:t>
          </w:r>
          <w:r>
            <w:rPr>
              <w:rFonts w:hint="eastAsia"/>
            </w:rPr>
            <w:t>1,890,034,364</w:t>
          </w:r>
          <w:r>
            <w:rPr>
              <w:rFonts w:hint="eastAsia"/>
            </w:rPr>
            <w:t>元，增加资本公积人民币</w:t>
          </w:r>
          <w:r>
            <w:rPr>
              <w:rFonts w:hint="eastAsia"/>
            </w:rPr>
            <w:t>14,329,099,764</w:t>
          </w:r>
          <w:r>
            <w:rPr>
              <w:rFonts w:hint="eastAsia"/>
            </w:rPr>
            <w:t>元。</w:t>
          </w:r>
        </w:p>
        <w:p w14:paraId="50C79A7B" w14:textId="77777777" w:rsidR="005E000F" w:rsidRDefault="00000000">
          <w:pPr>
            <w:ind w:firstLineChars="200" w:firstLine="420"/>
          </w:pPr>
          <w:r>
            <w:rPr>
              <w:rFonts w:hint="eastAsia"/>
            </w:rPr>
            <w:lastRenderedPageBreak/>
            <w:t>经中国证券监督管理委员会证监许可【</w:t>
          </w:r>
          <w:r>
            <w:rPr>
              <w:rFonts w:hint="eastAsia"/>
            </w:rPr>
            <w:t>2020</w:t>
          </w:r>
          <w:r>
            <w:rPr>
              <w:rFonts w:hint="eastAsia"/>
            </w:rPr>
            <w:t>】</w:t>
          </w:r>
          <w:r>
            <w:rPr>
              <w:rFonts w:hint="eastAsia"/>
            </w:rPr>
            <w:t>2263</w:t>
          </w:r>
          <w:r>
            <w:rPr>
              <w:rFonts w:hint="eastAsia"/>
            </w:rPr>
            <w:t>号文核准，本公司于</w:t>
          </w:r>
          <w:r>
            <w:rPr>
              <w:rFonts w:hint="eastAsia"/>
            </w:rPr>
            <w:t>2020</w:t>
          </w:r>
          <w:r>
            <w:rPr>
              <w:rFonts w:hint="eastAsia"/>
            </w:rPr>
            <w:t>年</w:t>
          </w:r>
          <w:r>
            <w:rPr>
              <w:rFonts w:hint="eastAsia"/>
            </w:rPr>
            <w:t>12</w:t>
          </w:r>
          <w:r>
            <w:rPr>
              <w:rFonts w:hint="eastAsia"/>
            </w:rPr>
            <w:t>月</w:t>
          </w:r>
          <w:r>
            <w:rPr>
              <w:rFonts w:hint="eastAsia"/>
            </w:rPr>
            <w:t>14</w:t>
          </w:r>
          <w:r>
            <w:rPr>
              <w:rFonts w:hint="eastAsia"/>
            </w:rPr>
            <w:t>日公开发行了总额为人民币</w:t>
          </w:r>
          <w:r>
            <w:rPr>
              <w:rFonts w:hint="eastAsia"/>
            </w:rPr>
            <w:t>320</w:t>
          </w:r>
          <w:r>
            <w:rPr>
              <w:rFonts w:hint="eastAsia"/>
            </w:rPr>
            <w:t>亿元可转换公司债</w:t>
          </w:r>
          <w:proofErr w:type="gramStart"/>
          <w:r>
            <w:rPr>
              <w:rFonts w:hint="eastAsia"/>
            </w:rPr>
            <w:t>券</w:t>
          </w:r>
          <w:proofErr w:type="gramEnd"/>
          <w:r>
            <w:rPr>
              <w:rFonts w:hint="eastAsia"/>
            </w:rPr>
            <w:t>（以下简称“可转债”），可转债持有人可在可转债发行结束之日起满六个月后的第一个交易日起至可转债到期日止的期间内，即</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2026</w:t>
          </w:r>
          <w:r>
            <w:rPr>
              <w:rFonts w:hint="eastAsia"/>
            </w:rPr>
            <w:t>年</w:t>
          </w:r>
          <w:r>
            <w:rPr>
              <w:rFonts w:hint="eastAsia"/>
            </w:rPr>
            <w:t>12</w:t>
          </w:r>
          <w:r>
            <w:rPr>
              <w:rFonts w:hint="eastAsia"/>
            </w:rPr>
            <w:t>月</w:t>
          </w:r>
          <w:r>
            <w:rPr>
              <w:rFonts w:hint="eastAsia"/>
            </w:rPr>
            <w:t>13</w:t>
          </w:r>
          <w:r>
            <w:rPr>
              <w:rFonts w:hint="eastAsia"/>
            </w:rPr>
            <w:t>日</w:t>
          </w:r>
          <w:r>
            <w:rPr>
              <w:rFonts w:hint="eastAsia"/>
            </w:rPr>
            <w:t>,</w:t>
          </w:r>
          <w:r>
            <w:rPr>
              <w:rFonts w:hint="eastAsia"/>
            </w:rPr>
            <w:t>按照当期转股价格行使将本次可转债转换为本公司股票的权利。截至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日止，累计有面值人民币</w:t>
          </w:r>
          <w:r>
            <w:rPr>
              <w:rFonts w:hint="eastAsia"/>
            </w:rPr>
            <w:t>31,980,572,000</w:t>
          </w:r>
          <w:r>
            <w:rPr>
              <w:rFonts w:hint="eastAsia"/>
            </w:rPr>
            <w:t>元可转债转换成公司股票，累计赎回面值人民币</w:t>
          </w:r>
          <w:r>
            <w:rPr>
              <w:rFonts w:hint="eastAsia"/>
            </w:rPr>
            <w:t>19,428,000</w:t>
          </w:r>
          <w:r>
            <w:rPr>
              <w:rFonts w:hint="eastAsia"/>
            </w:rPr>
            <w:t>元可转换公司债</w:t>
          </w:r>
          <w:proofErr w:type="gramStart"/>
          <w:r>
            <w:rPr>
              <w:rFonts w:hint="eastAsia"/>
            </w:rPr>
            <w:t>券</w:t>
          </w:r>
          <w:proofErr w:type="gramEnd"/>
          <w:r>
            <w:rPr>
              <w:rFonts w:hint="eastAsia"/>
            </w:rPr>
            <w:t>。因转股形成的股份数量累计为</w:t>
          </w:r>
          <w:r>
            <w:rPr>
              <w:rFonts w:hint="eastAsia"/>
            </w:rPr>
            <w:t>5,280,386,225</w:t>
          </w:r>
          <w:r>
            <w:rPr>
              <w:rFonts w:hint="eastAsia"/>
            </w:rPr>
            <w:t>股，增加股本人民币</w:t>
          </w:r>
          <w:r>
            <w:rPr>
              <w:rFonts w:hint="eastAsia"/>
            </w:rPr>
            <w:t>5,280,386,225</w:t>
          </w:r>
          <w:r>
            <w:rPr>
              <w:rFonts w:hint="eastAsia"/>
            </w:rPr>
            <w:t>元，因转股增加资本公积人民币</w:t>
          </w:r>
          <w:r>
            <w:rPr>
              <w:rFonts w:hint="eastAsia"/>
            </w:rPr>
            <w:t>29,574,663,783</w:t>
          </w:r>
          <w:r>
            <w:rPr>
              <w:rFonts w:hint="eastAsia"/>
            </w:rPr>
            <w:t>元，因赎回增加资本公积人民币</w:t>
          </w:r>
          <w:r>
            <w:rPr>
              <w:rFonts w:hint="eastAsia"/>
            </w:rPr>
            <w:t>1,750,492</w:t>
          </w:r>
          <w:r>
            <w:rPr>
              <w:rFonts w:hint="eastAsia"/>
            </w:rPr>
            <w:t>元。由此，本公司总股本为人民币</w:t>
          </w:r>
          <w:r>
            <w:rPr>
              <w:rFonts w:hint="eastAsia"/>
            </w:rPr>
            <w:t>20,147,177,716</w:t>
          </w:r>
          <w:r>
            <w:rPr>
              <w:rFonts w:hint="eastAsia"/>
            </w:rPr>
            <w:t>元，代表每股人民币</w:t>
          </w:r>
          <w:r>
            <w:rPr>
              <w:rFonts w:hint="eastAsia"/>
            </w:rPr>
            <w:t>1</w:t>
          </w:r>
          <w:r>
            <w:rPr>
              <w:rFonts w:hint="eastAsia"/>
            </w:rPr>
            <w:t>元的普通股</w:t>
          </w:r>
          <w:r>
            <w:rPr>
              <w:rFonts w:hint="eastAsia"/>
            </w:rPr>
            <w:t>20,147,177,716</w:t>
          </w:r>
          <w:r>
            <w:rPr>
              <w:rFonts w:hint="eastAsia"/>
            </w:rPr>
            <w:t>股。</w:t>
          </w:r>
        </w:p>
        <w:p w14:paraId="147E4577" w14:textId="77777777" w:rsidR="005E000F" w:rsidRDefault="005E000F">
          <w:pPr>
            <w:ind w:firstLineChars="200" w:firstLine="420"/>
          </w:pPr>
        </w:p>
        <w:p w14:paraId="4B3BA578" w14:textId="77777777" w:rsidR="005E000F" w:rsidRDefault="00000000">
          <w:pPr>
            <w:ind w:firstLineChars="200" w:firstLine="420"/>
          </w:pPr>
          <w:r>
            <w:rPr>
              <w:rFonts w:hint="eastAsia"/>
            </w:rPr>
            <w:t>本年度纳入合并范围的主要子公司详见附注十，本公司及子公司以下简称“本集团”。</w:t>
          </w:r>
        </w:p>
        <w:p w14:paraId="4A47D21F" w14:textId="77777777" w:rsidR="005E000F" w:rsidRDefault="005E000F">
          <w:pPr>
            <w:ind w:firstLineChars="200" w:firstLine="420"/>
          </w:pPr>
        </w:p>
        <w:p w14:paraId="4054CDD2" w14:textId="77777777" w:rsidR="005E000F" w:rsidRDefault="00000000">
          <w:pPr>
            <w:ind w:firstLineChars="200" w:firstLine="420"/>
          </w:pPr>
          <w:r>
            <w:rPr>
              <w:rFonts w:hint="eastAsia"/>
            </w:rPr>
            <w:t>本公司主要从事以煤炭运输为主的铁路货物运输业务以及旅客运输业务。铁路运输收费主要包括运价和杂费。运价标准由中华人民共和国发展和改革委员会拟定，报国务院批准。杂费为与旅客、货物运输服务相关的费用，如取送车费、货物暂存费等，资费标准由中国国家铁路集团有限公司规定。</w:t>
          </w:r>
        </w:p>
        <w:p w14:paraId="1068D3F9" w14:textId="77777777" w:rsidR="005E000F" w:rsidRDefault="005E000F">
          <w:pPr>
            <w:ind w:firstLineChars="200" w:firstLine="420"/>
          </w:pPr>
        </w:p>
        <w:p w14:paraId="2098B367" w14:textId="77777777" w:rsidR="005E000F" w:rsidRDefault="00000000">
          <w:pPr>
            <w:ind w:firstLineChars="200" w:firstLine="420"/>
          </w:pPr>
          <w:r>
            <w:rPr>
              <w:rFonts w:hint="eastAsia"/>
            </w:rPr>
            <w:t>本财务报表由本公司董事会于</w:t>
          </w:r>
          <w:r>
            <w:rPr>
              <w:rFonts w:hint="eastAsia"/>
            </w:rPr>
            <w:t>2026</w:t>
          </w:r>
          <w:r>
            <w:rPr>
              <w:rFonts w:hint="eastAsia"/>
            </w:rPr>
            <w:t>年</w:t>
          </w:r>
          <w:r>
            <w:rPr>
              <w:rFonts w:hint="eastAsia"/>
            </w:rPr>
            <w:t>4</w:t>
          </w:r>
          <w:r>
            <w:rPr>
              <w:rFonts w:hint="eastAsia"/>
            </w:rPr>
            <w:t>月</w:t>
          </w:r>
          <w:r>
            <w:rPr>
              <w:rFonts w:hint="eastAsia"/>
            </w:rPr>
            <w:t>28</w:t>
          </w:r>
          <w:r>
            <w:rPr>
              <w:rFonts w:hint="eastAsia"/>
            </w:rPr>
            <w:t>日批准报出。</w:t>
          </w:r>
        </w:p>
        <w:p w14:paraId="1D2735E2" w14:textId="77777777" w:rsidR="005E000F" w:rsidRDefault="005E000F"/>
        <w:p w14:paraId="044AF32D" w14:textId="77777777" w:rsidR="005E000F" w:rsidRDefault="00000000"/>
      </w:sdtContent>
    </w:sdt>
    <w:p w14:paraId="4A5FB12E" w14:textId="77777777" w:rsidR="005E000F" w:rsidRDefault="005E000F"/>
    <w:p w14:paraId="541D1584" w14:textId="77777777" w:rsidR="005E000F" w:rsidRDefault="00000000">
      <w:pPr>
        <w:pStyle w:val="2"/>
        <w:numPr>
          <w:ilvl w:val="0"/>
          <w:numId w:val="56"/>
        </w:numPr>
        <w:rPr>
          <w:rFonts w:ascii="宋体" w:hAnsi="宋体"/>
        </w:rPr>
      </w:pPr>
      <w:r>
        <w:rPr>
          <w:rFonts w:ascii="宋体" w:hAnsi="宋体" w:hint="eastAsia"/>
        </w:rPr>
        <w:t>财务报表的编制基础</w:t>
      </w:r>
    </w:p>
    <w:p w14:paraId="7ACF40B1" w14:textId="77777777" w:rsidR="005E000F" w:rsidRDefault="00000000">
      <w:pPr>
        <w:pStyle w:val="3"/>
        <w:numPr>
          <w:ilvl w:val="0"/>
          <w:numId w:val="58"/>
        </w:numPr>
      </w:pPr>
      <w:r>
        <w:t>编制基础</w:t>
      </w:r>
    </w:p>
    <w:sdt>
      <w:sdtPr>
        <w:rPr>
          <w:rFonts w:hint="eastAsia"/>
        </w:rPr>
        <w:alias w:val="财务报表的编制基础"/>
        <w:tag w:val="_GBC_1dc2375ed7ab49628f5badf2d5006405"/>
        <w:id w:val="595600105"/>
        <w:placeholder>
          <w:docPart w:val="GBC22222222222222222222222222222"/>
        </w:placeholder>
      </w:sdtPr>
      <w:sdtContent>
        <w:p w14:paraId="7BF1BB09" w14:textId="77777777" w:rsidR="005E000F" w:rsidRDefault="00000000">
          <w:r>
            <w:rPr>
              <w:rFonts w:hint="eastAsia"/>
            </w:rPr>
            <w:t>本集团财务报表根据实际发生的交易和事项，按照财政部颁布的《企业会计准则》及其应用指南、解释及其他相关规定</w:t>
          </w:r>
          <w:r>
            <w:rPr>
              <w:rFonts w:hint="eastAsia"/>
            </w:rPr>
            <w:t>(</w:t>
          </w:r>
          <w:r>
            <w:rPr>
              <w:rFonts w:hint="eastAsia"/>
            </w:rPr>
            <w:t>以下合称企业会计准则</w:t>
          </w:r>
          <w:r>
            <w:rPr>
              <w:rFonts w:hint="eastAsia"/>
            </w:rPr>
            <w:t>)</w:t>
          </w:r>
          <w:r>
            <w:rPr>
              <w:rFonts w:hint="eastAsia"/>
            </w:rPr>
            <w:t>，以及中国证券监督管理委员会</w:t>
          </w:r>
          <w:r>
            <w:rPr>
              <w:rFonts w:hint="eastAsia"/>
            </w:rPr>
            <w:t>(</w:t>
          </w:r>
          <w:r>
            <w:rPr>
              <w:rFonts w:hint="eastAsia"/>
            </w:rPr>
            <w:t>以下简称证监会</w:t>
          </w:r>
          <w:r>
            <w:rPr>
              <w:rFonts w:hint="eastAsia"/>
            </w:rPr>
            <w:t>)</w:t>
          </w:r>
          <w:r>
            <w:rPr>
              <w:rFonts w:hint="eastAsia"/>
            </w:rPr>
            <w:t>《公开发行证券的公司信息披露编报规则第</w:t>
          </w:r>
          <w:r>
            <w:rPr>
              <w:rFonts w:hint="eastAsia"/>
            </w:rPr>
            <w:t>15</w:t>
          </w:r>
          <w:r>
            <w:rPr>
              <w:rFonts w:hint="eastAsia"/>
            </w:rPr>
            <w:t>号—财务报告的一般规定》（</w:t>
          </w:r>
          <w:r>
            <w:rPr>
              <w:rFonts w:hint="eastAsia"/>
            </w:rPr>
            <w:t>2023</w:t>
          </w:r>
          <w:r>
            <w:rPr>
              <w:rFonts w:hint="eastAsia"/>
            </w:rPr>
            <w:t>年修订）的披露相关规定编制。</w:t>
          </w:r>
        </w:p>
      </w:sdtContent>
    </w:sdt>
    <w:p w14:paraId="03A1487A" w14:textId="77777777" w:rsidR="005E000F" w:rsidRDefault="005E000F"/>
    <w:p w14:paraId="5D661BB4" w14:textId="77777777" w:rsidR="005E000F" w:rsidRDefault="00000000">
      <w:pPr>
        <w:pStyle w:val="3"/>
        <w:numPr>
          <w:ilvl w:val="0"/>
          <w:numId w:val="58"/>
        </w:numPr>
      </w:pPr>
      <w:r>
        <w:rPr>
          <w:rFonts w:hint="eastAsia"/>
        </w:rPr>
        <w:t>持续经营</w:t>
      </w:r>
    </w:p>
    <w:sdt>
      <w:sdtPr>
        <w:rPr>
          <w:rFonts w:hint="eastAsia"/>
        </w:rPr>
        <w:alias w:val="是否适用：持续经营[双击切换]"/>
        <w:tag w:val="_GBC_fa7177dc4f164e56b4df7bebc60acf50"/>
        <w:id w:val="-2135243417"/>
        <w:placeholder>
          <w:docPart w:val="GBC22222222222222222222222222222"/>
        </w:placeholder>
      </w:sdtPr>
      <w:sdtContent>
        <w:p w14:paraId="3141A8C0"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持续经营"/>
        <w:tag w:val="_GBC_dc876c24006b428987a041949eb554f3"/>
        <w:id w:val="1528910980"/>
        <w:placeholder>
          <w:docPart w:val="GBC22222222222222222222222222222"/>
        </w:placeholder>
      </w:sdtPr>
      <w:sdtContent>
        <w:sdt>
          <w:sdtPr>
            <w:rPr>
              <w:color w:val="000000" w:themeColor="text1"/>
            </w:rPr>
            <w:alias w:val="持续经营"/>
            <w:tag w:val="_GBC_dc876c24006b428987a041949eb554f3"/>
            <w:id w:val="-410306331"/>
            <w:placeholder>
              <w:docPart w:val="{e7bf870f-266b-4400-ae15-ab5db3ec18a3}"/>
            </w:placeholder>
          </w:sdtPr>
          <w:sdtContent>
            <w:p w14:paraId="3EF397DB" w14:textId="77777777" w:rsidR="005E000F" w:rsidRDefault="00000000">
              <w:r>
                <w:rPr>
                  <w:rFonts w:hint="eastAsia"/>
                  <w:color w:val="000000" w:themeColor="text1"/>
                </w:rPr>
                <w:t>本集团对自</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日起</w:t>
              </w:r>
              <w:r>
                <w:rPr>
                  <w:rFonts w:hint="eastAsia"/>
                  <w:color w:val="000000" w:themeColor="text1"/>
                </w:rPr>
                <w:t>12</w:t>
              </w:r>
              <w:r>
                <w:rPr>
                  <w:rFonts w:hint="eastAsia"/>
                  <w:color w:val="000000" w:themeColor="text1"/>
                </w:rPr>
                <w:t>个月的持续经营能力进行了评价，本公司持续经营能力正常，未发现对持续经营能力产生重大怀疑的事项和情况。本财务报表以持续经营为基础列报。</w:t>
              </w:r>
            </w:p>
          </w:sdtContent>
        </w:sdt>
      </w:sdtContent>
    </w:sdt>
    <w:p w14:paraId="221578B0" w14:textId="77777777" w:rsidR="005E000F" w:rsidRDefault="005E000F"/>
    <w:p w14:paraId="2CC3C065" w14:textId="77777777" w:rsidR="005E000F" w:rsidRDefault="00000000">
      <w:pPr>
        <w:pStyle w:val="2"/>
        <w:numPr>
          <w:ilvl w:val="0"/>
          <w:numId w:val="56"/>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p w14:paraId="6CB8AEF7" w14:textId="77777777" w:rsidR="005E000F" w:rsidRDefault="00000000">
      <w:r>
        <w:rPr>
          <w:rFonts w:hint="eastAsia"/>
        </w:rPr>
        <w:t>具体会计政策和会计估计提示：</w:t>
      </w:r>
    </w:p>
    <w:sdt>
      <w:sdtPr>
        <w:alias w:val="是否适用：具体会计政策和会计估计提示[双击切换]"/>
        <w:tag w:val="_GBC_86fd142a599649f8a3574e6ddaba5f71"/>
        <w:id w:val="-1711640327"/>
        <w:placeholder>
          <w:docPart w:val="GBC22222222222222222222222222222"/>
        </w:placeholder>
      </w:sdtPr>
      <w:sdtContent>
        <w:p w14:paraId="041D367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具体会计政策和会计估计提示"/>
        <w:tag w:val="_GBC_caddaeaf0d1a454ab0bede37f0db7782"/>
        <w:id w:val="1792855331"/>
        <w:placeholder>
          <w:docPart w:val="GBC22222222222222222222222222222"/>
        </w:placeholder>
      </w:sdtPr>
      <w:sdtContent>
        <w:sdt>
          <w:sdtPr>
            <w:rPr>
              <w:color w:val="000000" w:themeColor="text1"/>
            </w:rPr>
            <w:alias w:val="具体会计政策和会计估计提示"/>
            <w:tag w:val="_GBC_caddaeaf0d1a454ab0bede37f0db7782"/>
            <w:id w:val="-484232885"/>
            <w:placeholder>
              <w:docPart w:val="{1bb3a421-ce69-4ed2-9de4-85023fb22c8c}"/>
            </w:placeholder>
          </w:sdtPr>
          <w:sdtContent>
            <w:p w14:paraId="6FC01D84" w14:textId="77777777" w:rsidR="005E000F" w:rsidRDefault="00000000">
              <w:r>
                <w:rPr>
                  <w:rFonts w:hint="eastAsia"/>
                  <w:color w:val="000000" w:themeColor="text1"/>
                </w:rPr>
                <w:t>具体会计政策和会计估计提示：本集团根据实际生产经营特点制定的具体会计政策和会计估计包括应收款项坏账准备的确认和计量、发出存货的计量、固定资产的折旧、无形资产的摊销以及收入的确认和计量等。</w:t>
              </w:r>
            </w:p>
          </w:sdtContent>
        </w:sdt>
      </w:sdtContent>
    </w:sdt>
    <w:p w14:paraId="3839556D" w14:textId="77777777" w:rsidR="005E000F" w:rsidRDefault="005E000F"/>
    <w:p w14:paraId="0A8F15D6" w14:textId="77777777" w:rsidR="005E000F" w:rsidRDefault="00000000">
      <w:pPr>
        <w:pStyle w:val="3"/>
        <w:numPr>
          <w:ilvl w:val="0"/>
          <w:numId w:val="59"/>
        </w:numPr>
      </w:pPr>
      <w:r>
        <w:t>遵循企业会计准则的声明</w:t>
      </w:r>
    </w:p>
    <w:sdt>
      <w:sdtPr>
        <w:rPr>
          <w:rFonts w:hint="eastAsia"/>
        </w:rPr>
        <w:alias w:val="会计准则和会计制度"/>
        <w:tag w:val="_GBC_a350b889163a4ef3bb500c021e6a6b47"/>
        <w:id w:val="540878079"/>
        <w:placeholder>
          <w:docPart w:val="GBC22222222222222222222222222222"/>
        </w:placeholder>
      </w:sdtPr>
      <w:sdtContent>
        <w:p w14:paraId="2E45610D" w14:textId="77777777" w:rsidR="005E000F" w:rsidRDefault="00000000">
          <w:r>
            <w:rPr>
              <w:rFonts w:hint="eastAsia"/>
            </w:rPr>
            <w:t>本财务报表符合企业会计准则的要求，真实、完整地反映了本公司及本集团于</w:t>
          </w:r>
          <w:r>
            <w:rPr>
              <w:rFonts w:hint="eastAsia"/>
            </w:rPr>
            <w:t>2025</w:t>
          </w:r>
          <w:r>
            <w:rPr>
              <w:rFonts w:hint="eastAsia"/>
            </w:rPr>
            <w:t>年</w:t>
          </w:r>
          <w:r>
            <w:rPr>
              <w:rFonts w:hint="eastAsia"/>
            </w:rPr>
            <w:t>12</w:t>
          </w:r>
          <w:r>
            <w:rPr>
              <w:rFonts w:hint="eastAsia"/>
            </w:rPr>
            <w:t>月</w:t>
          </w:r>
          <w:r>
            <w:rPr>
              <w:rFonts w:hint="eastAsia"/>
            </w:rPr>
            <w:t>31</w:t>
          </w:r>
          <w:r>
            <w:rPr>
              <w:rFonts w:hint="eastAsia"/>
            </w:rPr>
            <w:t>日的财务状况以及</w:t>
          </w:r>
          <w:r>
            <w:rPr>
              <w:rFonts w:hint="eastAsia"/>
            </w:rPr>
            <w:t>2025</w:t>
          </w:r>
          <w:r>
            <w:rPr>
              <w:rFonts w:hint="eastAsia"/>
            </w:rPr>
            <w:t>年度经营成果和现金流量等有关信息。</w:t>
          </w:r>
        </w:p>
      </w:sdtContent>
    </w:sdt>
    <w:p w14:paraId="36A8ECF1" w14:textId="77777777" w:rsidR="005E000F" w:rsidRDefault="005E000F"/>
    <w:p w14:paraId="09969C64" w14:textId="77777777" w:rsidR="005E000F" w:rsidRDefault="00000000">
      <w:pPr>
        <w:pStyle w:val="3"/>
        <w:numPr>
          <w:ilvl w:val="0"/>
          <w:numId w:val="59"/>
        </w:numPr>
      </w:pPr>
      <w:r>
        <w:t>会计期间</w:t>
      </w:r>
    </w:p>
    <w:sdt>
      <w:sdtPr>
        <w:rPr>
          <w:rFonts w:hint="eastAsia"/>
        </w:rPr>
        <w:alias w:val="会计年度"/>
        <w:tag w:val="_GBC_fc896fba50b143f8a06984831f5d5600"/>
        <w:id w:val="-1874076727"/>
        <w:placeholder>
          <w:docPart w:val="GBC22222222222222222222222222222"/>
        </w:placeholder>
      </w:sdtPr>
      <w:sdtContent>
        <w:p w14:paraId="71FA5CB3" w14:textId="77777777" w:rsidR="005E000F" w:rsidRDefault="00000000">
          <w:r>
            <w:rPr>
              <w:rFonts w:hint="eastAsia"/>
            </w:rPr>
            <w:t>本集团的会计期间为公历</w:t>
          </w:r>
          <w:r>
            <w:rPr>
              <w:rFonts w:hint="eastAsia"/>
            </w:rPr>
            <w:t>1</w:t>
          </w:r>
          <w:r>
            <w:rPr>
              <w:rFonts w:hint="eastAsia"/>
            </w:rPr>
            <w:t>月</w:t>
          </w:r>
          <w:r>
            <w:rPr>
              <w:rFonts w:hint="eastAsia"/>
            </w:rPr>
            <w:t>1</w:t>
          </w:r>
          <w:r>
            <w:rPr>
              <w:rFonts w:hint="eastAsia"/>
            </w:rPr>
            <w:t>日至</w:t>
          </w:r>
          <w:r>
            <w:rPr>
              <w:rFonts w:hint="eastAsia"/>
            </w:rPr>
            <w:t>12</w:t>
          </w:r>
          <w:r>
            <w:rPr>
              <w:rFonts w:hint="eastAsia"/>
            </w:rPr>
            <w:t>月</w:t>
          </w:r>
          <w:r>
            <w:rPr>
              <w:rFonts w:hint="eastAsia"/>
            </w:rPr>
            <w:t>31</w:t>
          </w:r>
          <w:r>
            <w:rPr>
              <w:rFonts w:hint="eastAsia"/>
            </w:rPr>
            <w:t>日。</w:t>
          </w:r>
        </w:p>
      </w:sdtContent>
    </w:sdt>
    <w:p w14:paraId="2CC33DF5" w14:textId="77777777" w:rsidR="005E000F" w:rsidRDefault="005E000F"/>
    <w:p w14:paraId="592CAE74" w14:textId="77777777" w:rsidR="005E000F" w:rsidRDefault="00000000">
      <w:pPr>
        <w:pStyle w:val="3"/>
        <w:numPr>
          <w:ilvl w:val="0"/>
          <w:numId w:val="59"/>
        </w:numPr>
      </w:pPr>
      <w:r>
        <w:rPr>
          <w:rFonts w:hint="eastAsia"/>
        </w:rPr>
        <w:lastRenderedPageBreak/>
        <w:t>营业周期</w:t>
      </w:r>
    </w:p>
    <w:sdt>
      <w:sdtPr>
        <w:rPr>
          <w:rFonts w:hint="eastAsia"/>
        </w:rPr>
        <w:alias w:val="是否适用：营业周期[双击切换]"/>
        <w:tag w:val="_GBC_41bd09d0a4bd429996597e58a613259e"/>
        <w:id w:val="151957624"/>
        <w:placeholder>
          <w:docPart w:val="GBC22222222222222222222222222222"/>
        </w:placeholder>
      </w:sdtPr>
      <w:sdtContent>
        <w:p w14:paraId="222D78C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alias w:val="营业周期"/>
        <w:tag w:val="_GBC_e145e43187d9463889884f48e9e0b234"/>
        <w:id w:val="1156641263"/>
        <w:placeholder>
          <w:docPart w:val="1B769135E6E74654A37D64587B63C5EA"/>
        </w:placeholder>
      </w:sdtPr>
      <w:sdtContent>
        <w:p w14:paraId="45801016" w14:textId="77777777" w:rsidR="005E000F" w:rsidRDefault="00000000">
          <w:r>
            <w:rPr>
              <w:rFonts w:hint="eastAsia"/>
            </w:rPr>
            <w:t>本集团营业周期为</w:t>
          </w:r>
          <w:r>
            <w:rPr>
              <w:rFonts w:hint="eastAsia"/>
            </w:rPr>
            <w:t>12</w:t>
          </w:r>
          <w:r>
            <w:rPr>
              <w:rFonts w:hint="eastAsia"/>
            </w:rPr>
            <w:t>个月。</w:t>
          </w:r>
        </w:p>
      </w:sdtContent>
    </w:sdt>
    <w:p w14:paraId="5CF5FDFF" w14:textId="77777777" w:rsidR="005E000F" w:rsidRDefault="005E000F"/>
    <w:p w14:paraId="641E0FF4" w14:textId="77777777" w:rsidR="005E000F" w:rsidRDefault="00000000">
      <w:pPr>
        <w:pStyle w:val="3"/>
        <w:numPr>
          <w:ilvl w:val="0"/>
          <w:numId w:val="59"/>
        </w:numPr>
      </w:pPr>
      <w:r>
        <w:t>记账本位币</w:t>
      </w:r>
    </w:p>
    <w:sdt>
      <w:sdtPr>
        <w:rPr>
          <w:rFonts w:hint="eastAsia"/>
        </w:rPr>
        <w:alias w:val="记账本位币"/>
        <w:tag w:val="_GBC_3749a2357eba44e8b968cb41cda75ff1"/>
        <w:id w:val="-656692200"/>
        <w:placeholder>
          <w:docPart w:val="GBC22222222222222222222222222222"/>
        </w:placeholder>
      </w:sdtPr>
      <w:sdtContent>
        <w:p w14:paraId="7056E831" w14:textId="77777777" w:rsidR="005E000F" w:rsidRDefault="00000000">
          <w:r>
            <w:rPr>
              <w:rFonts w:hint="eastAsia"/>
            </w:rPr>
            <w:t>本公司以人民币为记账本位币。</w:t>
          </w:r>
        </w:p>
      </w:sdtContent>
    </w:sdt>
    <w:p w14:paraId="511696DC" w14:textId="77777777" w:rsidR="005E000F" w:rsidRDefault="005E000F">
      <w:pPr>
        <w:rPr>
          <w:kern w:val="2"/>
        </w:rPr>
      </w:pPr>
    </w:p>
    <w:p w14:paraId="6AA667E3" w14:textId="77777777" w:rsidR="005E000F" w:rsidRDefault="00000000">
      <w:pPr>
        <w:pStyle w:val="3"/>
        <w:numPr>
          <w:ilvl w:val="0"/>
          <w:numId w:val="59"/>
        </w:numPr>
        <w:ind w:left="450" w:hanging="450"/>
        <w:rPr>
          <w:color w:val="000000" w:themeColor="text1"/>
        </w:rPr>
      </w:pPr>
      <w:bookmarkStart w:id="239" w:name="_Hlk182408346"/>
      <w:bookmarkStart w:id="240" w:name="_Hlk167809539"/>
      <w:bookmarkStart w:id="241" w:name="_Hlk169007161"/>
      <w:r>
        <w:rPr>
          <w:rFonts w:hint="eastAsia"/>
          <w:color w:val="000000" w:themeColor="text1"/>
        </w:rPr>
        <w:t>重要性标准确定方法和选择依据</w:t>
      </w:r>
    </w:p>
    <w:sdt>
      <w:sdtPr>
        <w:rPr>
          <w:color w:val="000000" w:themeColor="text1"/>
        </w:rPr>
        <w:alias w:val="是否适用：重要性标准确定方法和选择依据[双击切换]"/>
        <w:tag w:val="_GBC_f3fe7ba4d0b64357b4a1c06c771e5b1a"/>
        <w:id w:val="1939488480"/>
        <w:placeholder>
          <w:docPart w:val="GBC22222222222222222222222222222"/>
        </w:placeholder>
      </w:sdtPr>
      <w:sdtContent>
        <w:p w14:paraId="0CEC53DF"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615A54C5" w14:textId="77777777" w:rsidR="005E000F" w:rsidRDefault="00000000">
      <w:pPr>
        <w:rPr>
          <w:color w:val="000000" w:themeColor="text1"/>
        </w:rPr>
      </w:pPr>
      <w:r>
        <w:rPr>
          <w:rFonts w:hint="eastAsia"/>
          <w:color w:val="000000" w:themeColor="text1"/>
        </w:rPr>
        <w:t>本集团编制和披露财务报表遵循重要性原则。本财务报表附注中披露事项涉及重要性标准判断的事项及其重要性标准确定方法和选择依据如下：</w:t>
      </w:r>
    </w:p>
    <w:tbl>
      <w:tblPr>
        <w:tblStyle w:val="aff2"/>
        <w:tblW w:w="4999" w:type="pct"/>
        <w:tblLook w:val="04A0" w:firstRow="1" w:lastRow="0" w:firstColumn="1" w:lastColumn="0" w:noHBand="0" w:noVBand="1"/>
      </w:tblPr>
      <w:tblGrid>
        <w:gridCol w:w="4523"/>
        <w:gridCol w:w="4524"/>
      </w:tblGrid>
      <w:tr w:rsidR="005E000F" w14:paraId="06112869" w14:textId="77777777">
        <w:sdt>
          <w:sdtPr>
            <w:tag w:val="_PLD_0dcbeb4305c44211925953c92ffe63a0"/>
            <w:id w:val="1797173592"/>
          </w:sdtPr>
          <w:sdtContent>
            <w:tc>
              <w:tcPr>
                <w:tcW w:w="2500" w:type="pct"/>
                <w:vAlign w:val="center"/>
              </w:tcPr>
              <w:p w14:paraId="617303B3" w14:textId="77777777" w:rsidR="005E000F" w:rsidRDefault="00000000">
                <w:pPr>
                  <w:jc w:val="center"/>
                  <w:rPr>
                    <w:color w:val="000000" w:themeColor="text1"/>
                  </w:rPr>
                </w:pPr>
                <w:r>
                  <w:rPr>
                    <w:rFonts w:hint="eastAsia"/>
                    <w:color w:val="000000" w:themeColor="text1"/>
                  </w:rPr>
                  <w:t>项目</w:t>
                </w:r>
              </w:p>
            </w:tc>
          </w:sdtContent>
        </w:sdt>
        <w:sdt>
          <w:sdtPr>
            <w:tag w:val="_PLD_def90d798dba4c27b8c2b37b31086625"/>
            <w:id w:val="-291285142"/>
          </w:sdtPr>
          <w:sdtContent>
            <w:tc>
              <w:tcPr>
                <w:tcW w:w="2500" w:type="pct"/>
                <w:vAlign w:val="center"/>
              </w:tcPr>
              <w:p w14:paraId="1461C6B7" w14:textId="77777777" w:rsidR="005E000F" w:rsidRDefault="00000000">
                <w:pPr>
                  <w:jc w:val="center"/>
                  <w:rPr>
                    <w:color w:val="000000" w:themeColor="text1"/>
                  </w:rPr>
                </w:pPr>
                <w:r>
                  <w:rPr>
                    <w:color w:val="000000" w:themeColor="text1"/>
                  </w:rPr>
                  <w:t>重要性标准</w:t>
                </w:r>
              </w:p>
            </w:tc>
          </w:sdtContent>
        </w:sdt>
      </w:tr>
      <w:tr w:rsidR="005E000F" w14:paraId="509380F6" w14:textId="77777777">
        <w:tc>
          <w:tcPr>
            <w:tcW w:w="2500" w:type="pct"/>
          </w:tcPr>
          <w:p w14:paraId="5B47F406" w14:textId="77777777" w:rsidR="005E000F" w:rsidRDefault="00000000">
            <w:r>
              <w:rPr>
                <w:rFonts w:hint="eastAsia"/>
              </w:rPr>
              <w:t>重要的在建工程</w:t>
            </w:r>
          </w:p>
        </w:tc>
        <w:tc>
          <w:tcPr>
            <w:tcW w:w="2500" w:type="pct"/>
          </w:tcPr>
          <w:p w14:paraId="726966A3" w14:textId="77777777" w:rsidR="005E000F" w:rsidRDefault="00000000">
            <w:r>
              <w:rPr>
                <w:rFonts w:hint="eastAsia"/>
              </w:rPr>
              <w:t>在建工程项目期末余额大于或等于</w:t>
            </w:r>
            <w:r>
              <w:rPr>
                <w:rFonts w:hint="eastAsia"/>
              </w:rPr>
              <w:t>1</w:t>
            </w:r>
            <w:r>
              <w:rPr>
                <w:rFonts w:hint="eastAsia"/>
              </w:rPr>
              <w:t>亿元</w:t>
            </w:r>
          </w:p>
        </w:tc>
      </w:tr>
      <w:tr w:rsidR="005E000F" w14:paraId="4100D596" w14:textId="77777777">
        <w:tc>
          <w:tcPr>
            <w:tcW w:w="2500" w:type="pct"/>
          </w:tcPr>
          <w:p w14:paraId="45C7400C" w14:textId="77777777" w:rsidR="005E000F" w:rsidRDefault="00000000">
            <w:r>
              <w:rPr>
                <w:rFonts w:hint="eastAsia"/>
              </w:rPr>
              <w:t>重要合营企业或联营企业</w:t>
            </w:r>
          </w:p>
        </w:tc>
        <w:tc>
          <w:tcPr>
            <w:tcW w:w="2500" w:type="pct"/>
          </w:tcPr>
          <w:p w14:paraId="07F0EEAB" w14:textId="77777777" w:rsidR="005E000F" w:rsidRDefault="00000000">
            <w:r>
              <w:rPr>
                <w:rFonts w:hint="eastAsia"/>
              </w:rPr>
              <w:t>被投资单位长期股权投资期末余额大于或等于最近一期归属于母公司的所有者权益的</w:t>
            </w:r>
            <w:r>
              <w:rPr>
                <w:rFonts w:hint="eastAsia"/>
              </w:rPr>
              <w:t>3%</w:t>
            </w:r>
            <w:r>
              <w:rPr>
                <w:rFonts w:hint="eastAsia"/>
              </w:rPr>
              <w:t>或当期确认的投资收益大于或等于最近一期归属于母公司股东的净利润的</w:t>
            </w:r>
            <w:r>
              <w:rPr>
                <w:rFonts w:hint="eastAsia"/>
              </w:rPr>
              <w:t>10%</w:t>
            </w:r>
          </w:p>
        </w:tc>
      </w:tr>
    </w:tbl>
    <w:p w14:paraId="580EAF90" w14:textId="77777777" w:rsidR="005E000F" w:rsidRDefault="005E000F">
      <w:pPr>
        <w:rPr>
          <w:color w:val="000000" w:themeColor="text1"/>
        </w:rPr>
      </w:pPr>
    </w:p>
    <w:bookmarkEnd w:id="239"/>
    <w:bookmarkEnd w:id="240"/>
    <w:bookmarkEnd w:id="241"/>
    <w:p w14:paraId="4671F982" w14:textId="77777777" w:rsidR="005E000F" w:rsidRDefault="00000000">
      <w:pPr>
        <w:pStyle w:val="3"/>
        <w:numPr>
          <w:ilvl w:val="0"/>
          <w:numId w:val="59"/>
        </w:numPr>
      </w:pPr>
      <w:r>
        <w:t>同</w:t>
      </w:r>
      <w:proofErr w:type="gramStart"/>
      <w:r>
        <w:t>一控制</w:t>
      </w:r>
      <w:proofErr w:type="gramEnd"/>
      <w:r>
        <w:t>下和非同</w:t>
      </w:r>
      <w:proofErr w:type="gramStart"/>
      <w:r>
        <w:t>一控制</w:t>
      </w:r>
      <w:proofErr w:type="gramEnd"/>
      <w:r>
        <w:t>下企业合并的会计处理方法</w:t>
      </w:r>
    </w:p>
    <w:sdt>
      <w:sdtPr>
        <w:rPr>
          <w:rFonts w:hint="eastAsia"/>
        </w:rPr>
        <w:alias w:val="是否适用：同一控制下和非同一控制下企业合并的会计处理方法[双击切换]"/>
        <w:tag w:val="_GBC_46d00db18b44411d8dd79543c30557e3"/>
        <w:id w:val="-812259763"/>
        <w:placeholder>
          <w:docPart w:val="GBC22222222222222222222222222222"/>
        </w:placeholder>
      </w:sdtPr>
      <w:sdtContent>
        <w:p w14:paraId="1D7DD409"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同一控制下和非同一控制下企业合并的会计处理方法"/>
        <w:tag w:val="_GBC_ef4b9a8d4ac34f45a0f61a23267bcbb8"/>
        <w:id w:val="-2003422071"/>
        <w:placeholder>
          <w:docPart w:val="GBC22222222222222222222222222222"/>
        </w:placeholder>
      </w:sdtPr>
      <w:sdtContent>
        <w:sdt>
          <w:sdtPr>
            <w:rPr>
              <w:rFonts w:hint="eastAsia"/>
              <w:color w:val="000000" w:themeColor="text1"/>
            </w:rPr>
            <w:alias w:val="同一控制下和非同一控制下企业合并的会计处理方法"/>
            <w:tag w:val="_GBC_ef4b9a8d4ac34f45a0f61a23267bcbb8"/>
            <w:id w:val="134617075"/>
            <w:placeholder>
              <w:docPart w:val="{46c73cee-f378-4a8d-beb0-af5b31928e0a}"/>
            </w:placeholder>
          </w:sdtPr>
          <w:sdtContent>
            <w:p w14:paraId="7F3C0EA5" w14:textId="77777777" w:rsidR="005E000F" w:rsidRDefault="00000000">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）同</w:t>
              </w:r>
              <w:proofErr w:type="gramStart"/>
              <w:r>
                <w:rPr>
                  <w:rFonts w:hint="eastAsia"/>
                  <w:color w:val="000000" w:themeColor="text1"/>
                </w:rPr>
                <w:t>一控制</w:t>
              </w:r>
              <w:proofErr w:type="gramEnd"/>
              <w:r>
                <w:rPr>
                  <w:rFonts w:hint="eastAsia"/>
                  <w:color w:val="000000" w:themeColor="text1"/>
                </w:rPr>
                <w:t>下的企业合并</w:t>
              </w:r>
            </w:p>
            <w:p w14:paraId="3E0AC4AE" w14:textId="77777777" w:rsidR="005E000F" w:rsidRDefault="005E000F">
              <w:pPr>
                <w:rPr>
                  <w:color w:val="000000" w:themeColor="text1"/>
                </w:rPr>
              </w:pPr>
            </w:p>
            <w:p w14:paraId="3E28210D" w14:textId="77777777" w:rsidR="005E000F" w:rsidRDefault="00000000">
              <w:pPr>
                <w:rPr>
                  <w:color w:val="000000" w:themeColor="text1"/>
                </w:rPr>
              </w:pPr>
              <w:r>
                <w:rPr>
                  <w:rFonts w:hint="eastAsia"/>
                  <w:color w:val="000000" w:themeColor="text1"/>
                </w:rPr>
                <w:t>参与合并的企业在合并前后均受同一方或相同的多方最终控制且</w:t>
              </w:r>
              <w:proofErr w:type="gramStart"/>
              <w:r>
                <w:rPr>
                  <w:rFonts w:hint="eastAsia"/>
                  <w:color w:val="000000" w:themeColor="text1"/>
                </w:rPr>
                <w:t>该控制</w:t>
              </w:r>
              <w:proofErr w:type="gramEnd"/>
              <w:r>
                <w:rPr>
                  <w:rFonts w:hint="eastAsia"/>
                  <w:color w:val="000000" w:themeColor="text1"/>
                </w:rPr>
                <w:t>并非暂时性的，为同</w:t>
              </w:r>
              <w:proofErr w:type="gramStart"/>
              <w:r>
                <w:rPr>
                  <w:rFonts w:hint="eastAsia"/>
                  <w:color w:val="000000" w:themeColor="text1"/>
                </w:rPr>
                <w:t>一控制</w:t>
              </w:r>
              <w:proofErr w:type="gramEnd"/>
              <w:r>
                <w:rPr>
                  <w:rFonts w:hint="eastAsia"/>
                  <w:color w:val="000000" w:themeColor="text1"/>
                </w:rPr>
                <w:t>下的企业合并。</w:t>
              </w:r>
            </w:p>
            <w:p w14:paraId="2488C166" w14:textId="77777777" w:rsidR="005E000F" w:rsidRDefault="005E000F">
              <w:pPr>
                <w:rPr>
                  <w:color w:val="000000" w:themeColor="text1"/>
                </w:rPr>
              </w:pPr>
            </w:p>
            <w:p w14:paraId="2D701915" w14:textId="77777777" w:rsidR="005E000F" w:rsidRDefault="00000000">
              <w:pPr>
                <w:rPr>
                  <w:color w:val="000000" w:themeColor="text1"/>
                </w:rPr>
              </w:pPr>
              <w:r>
                <w:rPr>
                  <w:rFonts w:hint="eastAsia"/>
                  <w:color w:val="000000" w:themeColor="text1"/>
                </w:rPr>
                <w:t>本集团作为合并方，在同</w:t>
              </w:r>
              <w:proofErr w:type="gramStart"/>
              <w:r>
                <w:rPr>
                  <w:rFonts w:hint="eastAsia"/>
                  <w:color w:val="000000" w:themeColor="text1"/>
                </w:rPr>
                <w:t>一控制</w:t>
              </w:r>
              <w:proofErr w:type="gramEnd"/>
              <w:r>
                <w:rPr>
                  <w:rFonts w:hint="eastAsia"/>
                  <w:color w:val="000000" w:themeColor="text1"/>
                </w:rPr>
                <w:t>下企业合并中取得的资产和负债，在</w:t>
              </w:r>
              <w:proofErr w:type="gramStart"/>
              <w:r>
                <w:rPr>
                  <w:rFonts w:hint="eastAsia"/>
                  <w:color w:val="000000" w:themeColor="text1"/>
                </w:rPr>
                <w:t>合并日</w:t>
              </w:r>
              <w:proofErr w:type="gramEnd"/>
              <w:r>
                <w:rPr>
                  <w:rFonts w:hint="eastAsia"/>
                  <w:color w:val="000000" w:themeColor="text1"/>
                </w:rPr>
                <w:t>按被合并方在最终控制方合并报表中的账面价值计量。取得的净资产账面价值与支付的合并对价账面价值（或发行股份面值总额）的差额，调整资本公积；资本公</w:t>
              </w:r>
              <w:proofErr w:type="gramStart"/>
              <w:r>
                <w:rPr>
                  <w:rFonts w:hint="eastAsia"/>
                  <w:color w:val="000000" w:themeColor="text1"/>
                </w:rPr>
                <w:t>积不足</w:t>
              </w:r>
              <w:proofErr w:type="gramEnd"/>
              <w:r>
                <w:rPr>
                  <w:rFonts w:hint="eastAsia"/>
                  <w:color w:val="000000" w:themeColor="text1"/>
                </w:rPr>
                <w:t>冲减的，调整留存收益。</w:t>
              </w:r>
            </w:p>
            <w:p w14:paraId="407F08DB" w14:textId="77777777" w:rsidR="005E000F" w:rsidRDefault="005E000F">
              <w:pPr>
                <w:rPr>
                  <w:color w:val="000000" w:themeColor="text1"/>
                </w:rPr>
              </w:pPr>
            </w:p>
            <w:p w14:paraId="6483854F" w14:textId="77777777" w:rsidR="005E000F" w:rsidRDefault="00000000">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）非同</w:t>
              </w:r>
              <w:proofErr w:type="gramStart"/>
              <w:r>
                <w:rPr>
                  <w:rFonts w:hint="eastAsia"/>
                  <w:color w:val="000000" w:themeColor="text1"/>
                </w:rPr>
                <w:t>一控制</w:t>
              </w:r>
              <w:proofErr w:type="gramEnd"/>
              <w:r>
                <w:rPr>
                  <w:rFonts w:hint="eastAsia"/>
                  <w:color w:val="000000" w:themeColor="text1"/>
                </w:rPr>
                <w:t>下的企业合并</w:t>
              </w:r>
            </w:p>
            <w:p w14:paraId="249E1A0B" w14:textId="77777777" w:rsidR="005E000F" w:rsidRDefault="005E000F">
              <w:pPr>
                <w:rPr>
                  <w:color w:val="000000" w:themeColor="text1"/>
                </w:rPr>
              </w:pPr>
            </w:p>
            <w:p w14:paraId="6059D283" w14:textId="77777777" w:rsidR="005E000F" w:rsidRDefault="00000000">
              <w:pPr>
                <w:rPr>
                  <w:color w:val="000000" w:themeColor="text1"/>
                </w:rPr>
              </w:pPr>
              <w:r>
                <w:rPr>
                  <w:rFonts w:hint="eastAsia"/>
                  <w:color w:val="000000" w:themeColor="text1"/>
                </w:rPr>
                <w:t>参与合并的各方在合并前后不受同一方或相同的多方最终控制的，为非同</w:t>
              </w:r>
              <w:proofErr w:type="gramStart"/>
              <w:r>
                <w:rPr>
                  <w:rFonts w:hint="eastAsia"/>
                  <w:color w:val="000000" w:themeColor="text1"/>
                </w:rPr>
                <w:t>一控制</w:t>
              </w:r>
              <w:proofErr w:type="gramEnd"/>
              <w:r>
                <w:rPr>
                  <w:rFonts w:hint="eastAsia"/>
                  <w:color w:val="000000" w:themeColor="text1"/>
                </w:rPr>
                <w:t>下的企业合并。</w:t>
              </w:r>
            </w:p>
            <w:p w14:paraId="70EDE678" w14:textId="77777777" w:rsidR="005E000F" w:rsidRDefault="005E000F">
              <w:pPr>
                <w:rPr>
                  <w:color w:val="000000" w:themeColor="text1"/>
                </w:rPr>
              </w:pPr>
            </w:p>
            <w:p w14:paraId="71AF8599" w14:textId="77777777" w:rsidR="005E000F" w:rsidRDefault="00000000">
              <w:pPr>
                <w:rPr>
                  <w:color w:val="000000" w:themeColor="text1"/>
                </w:rPr>
              </w:pPr>
              <w:r>
                <w:rPr>
                  <w:rFonts w:hint="eastAsia"/>
                  <w:color w:val="000000" w:themeColor="text1"/>
                </w:rPr>
                <w:t>本集团作为购买方，在非同</w:t>
              </w:r>
              <w:proofErr w:type="gramStart"/>
              <w:r>
                <w:rPr>
                  <w:rFonts w:hint="eastAsia"/>
                  <w:color w:val="000000" w:themeColor="text1"/>
                </w:rPr>
                <w:t>一控制</w:t>
              </w:r>
              <w:proofErr w:type="gramEnd"/>
              <w:r>
                <w:rPr>
                  <w:rFonts w:hint="eastAsia"/>
                  <w:color w:val="000000" w:themeColor="text1"/>
                </w:rPr>
                <w:t>下企业合并中取得的被购买方可辨认资产、负债及或有负债在收购日以公允价值计量。合并成本大于合并中取得的被购买方可辨认净资产公允价值份额的差额，确认为商誉；合并成本小于合并中取得的被购买方可辨认净资产公允价值份额的，首先对合并中取得的各项可辨认资产、负债及或有负债的公允价值、以及合并成本进行复核，经复核后，合并成本仍小于合并中取得的被购买方可辨认净资产公允价值份额的，将其差额计入合并当期营业外收入。</w:t>
              </w:r>
            </w:p>
          </w:sdtContent>
        </w:sdt>
        <w:p w14:paraId="75A53018" w14:textId="77777777" w:rsidR="005E000F" w:rsidRDefault="00000000">
          <w:pPr>
            <w:rPr>
              <w:kern w:val="2"/>
            </w:rPr>
          </w:pPr>
        </w:p>
      </w:sdtContent>
    </w:sdt>
    <w:p w14:paraId="5D33101D" w14:textId="77777777" w:rsidR="005E000F" w:rsidRDefault="005E000F"/>
    <w:p w14:paraId="0AFE0B12" w14:textId="77777777" w:rsidR="005E000F" w:rsidRDefault="00000000">
      <w:pPr>
        <w:pStyle w:val="3"/>
        <w:numPr>
          <w:ilvl w:val="0"/>
          <w:numId w:val="59"/>
        </w:numPr>
      </w:pPr>
      <w:r>
        <w:rPr>
          <w:rFonts w:ascii="宋体" w:hAnsi="宋体" w:cs="宋体" w:hint="eastAsia"/>
          <w:kern w:val="0"/>
          <w:szCs w:val="24"/>
        </w:rPr>
        <w:t>控制的判断标准和</w:t>
      </w:r>
      <w:r>
        <w:t>合并财务报表的编制方法</w:t>
      </w:r>
    </w:p>
    <w:sdt>
      <w:sdtPr>
        <w:rPr>
          <w:rFonts w:hint="eastAsia"/>
        </w:rPr>
        <w:alias w:val="是否适用：控制的判断标准和合并财务报表的编制方法[双击切换]"/>
        <w:tag w:val="_GBC_d8312ea572e647a59b796bf708b54713"/>
        <w:id w:val="-1073816516"/>
        <w:placeholder>
          <w:docPart w:val="GBC22222222222222222222222222222"/>
        </w:placeholder>
      </w:sdtPr>
      <w:sdtContent>
        <w:p w14:paraId="4EFB5F8B"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控制的判断标准和合并财务报表的编制方法"/>
        <w:tag w:val="_GBC_5201beca0c0944939b4a0d8d100d6fcf"/>
        <w:id w:val="1524671533"/>
        <w:placeholder>
          <w:docPart w:val="GBC22222222222222222222222222222"/>
        </w:placeholder>
      </w:sdtPr>
      <w:sdtContent>
        <w:sdt>
          <w:sdtPr>
            <w:rPr>
              <w:rFonts w:hint="eastAsia"/>
              <w:color w:val="000000" w:themeColor="text1"/>
            </w:rPr>
            <w:alias w:val="企业合并及合并财务报表的说明"/>
            <w:tag w:val="_GBC_5201beca0c0944939b4a0d8d100d6fcf"/>
            <w:id w:val="1278294635"/>
            <w:placeholder>
              <w:docPart w:val="{80da7374-e8d4-411e-8569-a3735c9bf188}"/>
            </w:placeholder>
          </w:sdtPr>
          <w:sdtContent>
            <w:p w14:paraId="1C8D4591" w14:textId="77777777" w:rsidR="005E000F" w:rsidRDefault="00000000">
              <w:pPr>
                <w:rPr>
                  <w:color w:val="000000" w:themeColor="text1"/>
                </w:rPr>
              </w:pPr>
              <w:r>
                <w:rPr>
                  <w:rFonts w:hint="eastAsia"/>
                  <w:color w:val="000000" w:themeColor="text1"/>
                </w:rPr>
                <w:t>本集团合并财务报表的合并范围以控制为基础予以确定，包括本公司及本公司控制的所有子公司。本集团判断控制的标准为，本集团拥有对被投资方的权力，通过参与被投资方的相关活动而享有可变回报，并且有能力运用对被投资方的权力影响其回报金额。</w:t>
              </w:r>
            </w:p>
            <w:p w14:paraId="72B29EFE" w14:textId="77777777" w:rsidR="005E000F" w:rsidRDefault="005E000F">
              <w:pPr>
                <w:rPr>
                  <w:color w:val="000000" w:themeColor="text1"/>
                </w:rPr>
              </w:pPr>
            </w:p>
            <w:p w14:paraId="498A75E0" w14:textId="77777777" w:rsidR="005E000F" w:rsidRDefault="00000000">
              <w:pPr>
                <w:rPr>
                  <w:color w:val="000000" w:themeColor="text1"/>
                </w:rPr>
              </w:pPr>
              <w:r>
                <w:rPr>
                  <w:rFonts w:hint="eastAsia"/>
                  <w:color w:val="000000" w:themeColor="text1"/>
                </w:rPr>
                <w:lastRenderedPageBreak/>
                <w:t>在编制合并财务报表时，子公司与本公司采用的会计政策或会计期间不一致的，按照本公司的会计政策或会计期间对子公司财务报表进行必要的调整。</w:t>
              </w:r>
            </w:p>
            <w:p w14:paraId="5FD8F91A" w14:textId="77777777" w:rsidR="005E000F" w:rsidRDefault="005E000F">
              <w:pPr>
                <w:rPr>
                  <w:color w:val="000000" w:themeColor="text1"/>
                </w:rPr>
              </w:pPr>
            </w:p>
            <w:p w14:paraId="21D93569" w14:textId="77777777" w:rsidR="005E000F" w:rsidRDefault="00000000">
              <w:pPr>
                <w:rPr>
                  <w:color w:val="000000" w:themeColor="text1"/>
                </w:rPr>
              </w:pPr>
              <w:r>
                <w:rPr>
                  <w:rFonts w:hint="eastAsia"/>
                  <w:color w:val="000000" w:themeColor="text1"/>
                </w:rPr>
                <w:t>本公司与子公司及子公司相互之间发生的内部交易对合并财务报表的影响于合并时抵消。子公司的所有者权益中不属于母公司的份额以及当期净损益、其他综合收益及综合收益总额中属于少数股东权益的份额，分别在合并财务报表“少数股东权益、少数股东损益、归属于少数股东的其他综合收益及归属于少数股东的综合收益总额”项目列示。</w:t>
              </w:r>
            </w:p>
            <w:p w14:paraId="24E2C441" w14:textId="77777777" w:rsidR="005E000F" w:rsidRDefault="005E000F">
              <w:pPr>
                <w:rPr>
                  <w:color w:val="000000" w:themeColor="text1"/>
                </w:rPr>
              </w:pPr>
            </w:p>
            <w:p w14:paraId="2A8FB38D" w14:textId="77777777" w:rsidR="005E000F" w:rsidRDefault="00000000">
              <w:pPr>
                <w:rPr>
                  <w:color w:val="000000" w:themeColor="text1"/>
                </w:rPr>
              </w:pPr>
              <w:r>
                <w:rPr>
                  <w:rFonts w:hint="eastAsia"/>
                  <w:color w:val="000000" w:themeColor="text1"/>
                </w:rPr>
                <w:t>对于同</w:t>
              </w:r>
              <w:proofErr w:type="gramStart"/>
              <w:r>
                <w:rPr>
                  <w:rFonts w:hint="eastAsia"/>
                  <w:color w:val="000000" w:themeColor="text1"/>
                </w:rPr>
                <w:t>一控制</w:t>
              </w:r>
              <w:proofErr w:type="gramEnd"/>
              <w:r>
                <w:rPr>
                  <w:rFonts w:hint="eastAsia"/>
                  <w:color w:val="000000" w:themeColor="text1"/>
                </w:rPr>
                <w:t>下企业合并取得的子公司，其经营成果和现金流量自合并当期期初纳入合并财务报表。编制比较合并财务报表时，</w:t>
              </w:r>
              <w:proofErr w:type="gramStart"/>
              <w:r>
                <w:rPr>
                  <w:rFonts w:hint="eastAsia"/>
                  <w:color w:val="000000" w:themeColor="text1"/>
                </w:rPr>
                <w:t>对上年</w:t>
              </w:r>
              <w:proofErr w:type="gramEnd"/>
              <w:r>
                <w:rPr>
                  <w:rFonts w:hint="eastAsia"/>
                  <w:color w:val="000000" w:themeColor="text1"/>
                </w:rPr>
                <w:t>财务报表的相关项目进行调整，视同合并后形成的报告主体</w:t>
              </w:r>
              <w:proofErr w:type="gramStart"/>
              <w:r>
                <w:rPr>
                  <w:rFonts w:hint="eastAsia"/>
                  <w:color w:val="000000" w:themeColor="text1"/>
                </w:rPr>
                <w:t>自最终</w:t>
              </w:r>
              <w:proofErr w:type="gramEnd"/>
              <w:r>
                <w:rPr>
                  <w:rFonts w:hint="eastAsia"/>
                  <w:color w:val="000000" w:themeColor="text1"/>
                </w:rPr>
                <w:t>控制方开始控制时点起一直存在。</w:t>
              </w:r>
            </w:p>
            <w:p w14:paraId="65E7FC11" w14:textId="77777777" w:rsidR="005E000F" w:rsidRDefault="005E000F">
              <w:pPr>
                <w:rPr>
                  <w:color w:val="000000" w:themeColor="text1"/>
                </w:rPr>
              </w:pPr>
            </w:p>
            <w:p w14:paraId="0FBDFBD5" w14:textId="77777777" w:rsidR="005E000F" w:rsidRDefault="00000000">
              <w:pPr>
                <w:rPr>
                  <w:color w:val="000000" w:themeColor="text1"/>
                </w:rPr>
              </w:pPr>
              <w:r>
                <w:rPr>
                  <w:rFonts w:hint="eastAsia"/>
                  <w:color w:val="000000" w:themeColor="text1"/>
                </w:rPr>
                <w:t>对于非同</w:t>
              </w:r>
              <w:proofErr w:type="gramStart"/>
              <w:r>
                <w:rPr>
                  <w:rFonts w:hint="eastAsia"/>
                  <w:color w:val="000000" w:themeColor="text1"/>
                </w:rPr>
                <w:t>一控制</w:t>
              </w:r>
              <w:proofErr w:type="gramEnd"/>
              <w:r>
                <w:rPr>
                  <w:rFonts w:hint="eastAsia"/>
                  <w:color w:val="000000" w:themeColor="text1"/>
                </w:rPr>
                <w:t>下企业合并取得子公司，经营成果和现金流量自本集团取得控制权之日起纳入合并财务报表。在编制合并财务报表时，以购买日确定的各项可辨认资产、负债及或有负债的公允价值为基础对子公司的财务报表进行调整。</w:t>
              </w:r>
            </w:p>
          </w:sdtContent>
        </w:sdt>
        <w:p w14:paraId="0672E430" w14:textId="77777777" w:rsidR="005E000F" w:rsidRDefault="00000000"/>
      </w:sdtContent>
    </w:sdt>
    <w:p w14:paraId="00A8B5B2" w14:textId="77777777" w:rsidR="005E000F" w:rsidRDefault="005E000F"/>
    <w:p w14:paraId="634F203D" w14:textId="77777777" w:rsidR="005E000F" w:rsidRDefault="00000000">
      <w:pPr>
        <w:pStyle w:val="3"/>
        <w:numPr>
          <w:ilvl w:val="0"/>
          <w:numId w:val="59"/>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054238867"/>
        <w:placeholder>
          <w:docPart w:val="GBC22222222222222222222222222222"/>
        </w:placeholder>
      </w:sdtPr>
      <w:sdtContent>
        <w:p w14:paraId="6D94B54D" w14:textId="77777777" w:rsidR="005E000F" w:rsidRDefault="00000000">
          <w:pPr>
            <w:rPr>
              <w:b/>
              <w:bCs/>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CFC3AEA" w14:textId="77777777" w:rsidR="005E000F" w:rsidRDefault="005E000F"/>
    <w:p w14:paraId="736D0B3B" w14:textId="77777777" w:rsidR="005E000F" w:rsidRDefault="00000000">
      <w:pPr>
        <w:pStyle w:val="3"/>
        <w:numPr>
          <w:ilvl w:val="0"/>
          <w:numId w:val="59"/>
        </w:numPr>
      </w:pPr>
      <w:r>
        <w:t>现金及现金等价物的确定标准</w:t>
      </w:r>
    </w:p>
    <w:sdt>
      <w:sdtPr>
        <w:rPr>
          <w:rFonts w:hint="eastAsia"/>
        </w:rPr>
        <w:alias w:val="现金及现金等价物的确定标准"/>
        <w:tag w:val="_GBC_54f6bc3e44e840bc85cb3872600823b5"/>
        <w:id w:val="-874463780"/>
        <w:placeholder>
          <w:docPart w:val="GBC22222222222222222222222222222"/>
        </w:placeholder>
      </w:sdtPr>
      <w:sdtContent>
        <w:p w14:paraId="3954C9C0" w14:textId="77777777" w:rsidR="005E000F" w:rsidRDefault="00000000">
          <w:r>
            <w:rPr>
              <w:rFonts w:hint="eastAsia"/>
            </w:rPr>
            <w:t>本集团现金流量表之现金指库存现金以及可以随时用于支付的存款。现金流量表之现金等价物指持有期限不超过</w:t>
          </w:r>
          <w:r>
            <w:rPr>
              <w:rFonts w:hint="eastAsia"/>
            </w:rPr>
            <w:t>3</w:t>
          </w:r>
          <w:r>
            <w:rPr>
              <w:rFonts w:hint="eastAsia"/>
            </w:rPr>
            <w:t>个月、流动性强、易于转换为已知金额现金且价值变动风险很小的投资。</w:t>
          </w:r>
        </w:p>
      </w:sdtContent>
    </w:sdt>
    <w:p w14:paraId="04CC9336" w14:textId="77777777" w:rsidR="005E000F" w:rsidRDefault="005E000F"/>
    <w:p w14:paraId="37382488" w14:textId="77777777" w:rsidR="005E000F" w:rsidRDefault="00000000">
      <w:pPr>
        <w:pStyle w:val="3"/>
        <w:numPr>
          <w:ilvl w:val="0"/>
          <w:numId w:val="59"/>
        </w:numPr>
      </w:pPr>
      <w:r>
        <w:t>外币业务和外币报表折算</w:t>
      </w:r>
    </w:p>
    <w:sdt>
      <w:sdtPr>
        <w:rPr>
          <w:rFonts w:hint="eastAsia"/>
        </w:rPr>
        <w:alias w:val="是否适用：外币业务和外币报表折算[双击切换]"/>
        <w:tag w:val="_GBC_9c9def5a1d2241b5a3ee696d03433778"/>
        <w:id w:val="-171804956"/>
        <w:placeholder>
          <w:docPart w:val="GBC22222222222222222222222222222"/>
        </w:placeholder>
      </w:sdtPr>
      <w:sdtContent>
        <w:p w14:paraId="7FDE4BCC" w14:textId="77777777" w:rsidR="005E000F" w:rsidRDefault="00000000">
          <w:pPr>
            <w:rPr>
              <w:kern w:val="2"/>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E0EBB83" w14:textId="77777777" w:rsidR="005E000F" w:rsidRDefault="005E000F"/>
    <w:p w14:paraId="663C415E" w14:textId="77777777" w:rsidR="005E000F" w:rsidRDefault="00000000">
      <w:pPr>
        <w:pStyle w:val="3"/>
        <w:numPr>
          <w:ilvl w:val="0"/>
          <w:numId w:val="59"/>
        </w:numPr>
      </w:pPr>
      <w:r>
        <w:t>金融工具</w:t>
      </w:r>
    </w:p>
    <w:sdt>
      <w:sdtPr>
        <w:rPr>
          <w:rFonts w:hint="eastAsia"/>
        </w:rPr>
        <w:alias w:val="是否适用：金融工具_重要会计政策和估计[双击切换]"/>
        <w:tag w:val="_GBC_1537cea503f244c2af870a2a0d5fd7a9"/>
        <w:id w:val="1705523350"/>
        <w:placeholder>
          <w:docPart w:val="GBC22222222222222222222222222222"/>
        </w:placeholder>
      </w:sdtPr>
      <w:sdtContent>
        <w:p w14:paraId="30A49681"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金融资产和金融负债的核算方法"/>
        <w:tag w:val="_GBC_b358067bbe2a49bf880c383a5db50d8a"/>
        <w:id w:val="398323584"/>
        <w:placeholder>
          <w:docPart w:val="GBC22222222222222222222222222222"/>
        </w:placeholder>
      </w:sdtPr>
      <w:sdtContent>
        <w:sdt>
          <w:sdtPr>
            <w:rPr>
              <w:rFonts w:hint="eastAsia"/>
              <w:color w:val="000000" w:themeColor="text1"/>
            </w:rPr>
            <w:alias w:val="金融资产和金融负债的核算方法"/>
            <w:tag w:val="_GBC_b358067bbe2a49bf880c383a5db50d8a"/>
            <w:id w:val="-23177667"/>
            <w:placeholder>
              <w:docPart w:val="{c492b1c7-935d-458b-bb1d-5843c8f2667c}"/>
            </w:placeholder>
          </w:sdtPr>
          <w:sdtContent>
            <w:p w14:paraId="352EA729" w14:textId="77777777" w:rsidR="005E000F" w:rsidRDefault="00000000">
              <w:pPr>
                <w:rPr>
                  <w:color w:val="000000" w:themeColor="text1"/>
                </w:rPr>
              </w:pPr>
              <w:r>
                <w:rPr>
                  <w:rFonts w:hint="eastAsia"/>
                  <w:color w:val="000000" w:themeColor="text1"/>
                </w:rPr>
                <w:t>本集团的金融工具包括货币资金、除长期股权投资</w:t>
              </w:r>
              <w:r>
                <w:rPr>
                  <w:rFonts w:hint="eastAsia"/>
                  <w:color w:val="000000" w:themeColor="text1"/>
                </w:rPr>
                <w:t>(</w:t>
              </w:r>
              <w:r>
                <w:rPr>
                  <w:rFonts w:hint="eastAsia"/>
                  <w:color w:val="000000" w:themeColor="text1"/>
                </w:rPr>
                <w:t>参见附注五、</w:t>
              </w:r>
              <w:r>
                <w:rPr>
                  <w:rFonts w:hint="eastAsia"/>
                  <w:color w:val="000000" w:themeColor="text1"/>
                </w:rPr>
                <w:t>19)</w:t>
              </w:r>
              <w:r>
                <w:rPr>
                  <w:rFonts w:hint="eastAsia"/>
                  <w:color w:val="000000" w:themeColor="text1"/>
                </w:rPr>
                <w:t>以外的股权投资、应收款项、应付款项、借款、应付债券及股本等。</w:t>
              </w:r>
            </w:p>
            <w:p w14:paraId="59CF90A2" w14:textId="77777777" w:rsidR="005E000F" w:rsidRDefault="005E000F">
              <w:pPr>
                <w:rPr>
                  <w:color w:val="000000" w:themeColor="text1"/>
                </w:rPr>
              </w:pPr>
            </w:p>
            <w:p w14:paraId="0AEC6E4C" w14:textId="77777777" w:rsidR="005E000F" w:rsidRDefault="00000000">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）金融工具的确认和终止确认</w:t>
              </w:r>
            </w:p>
            <w:p w14:paraId="2B500C1D" w14:textId="77777777" w:rsidR="005E000F" w:rsidRDefault="005E000F">
              <w:pPr>
                <w:rPr>
                  <w:color w:val="000000" w:themeColor="text1"/>
                </w:rPr>
              </w:pPr>
            </w:p>
            <w:p w14:paraId="38ED7859" w14:textId="77777777" w:rsidR="005E000F" w:rsidRDefault="00000000">
              <w:pPr>
                <w:rPr>
                  <w:color w:val="000000" w:themeColor="text1"/>
                </w:rPr>
              </w:pPr>
              <w:r>
                <w:rPr>
                  <w:rFonts w:hint="eastAsia"/>
                  <w:color w:val="000000" w:themeColor="text1"/>
                </w:rPr>
                <w:t>本集团成为金融工具合同的一方时确认一项金融资产或金融负债。</w:t>
              </w:r>
            </w:p>
            <w:p w14:paraId="092EB093" w14:textId="77777777" w:rsidR="005E000F" w:rsidRDefault="005E000F">
              <w:pPr>
                <w:rPr>
                  <w:color w:val="000000" w:themeColor="text1"/>
                </w:rPr>
              </w:pPr>
            </w:p>
            <w:p w14:paraId="5F389A64" w14:textId="77777777" w:rsidR="005E000F" w:rsidRDefault="00000000">
              <w:pPr>
                <w:rPr>
                  <w:color w:val="000000" w:themeColor="text1"/>
                </w:rPr>
              </w:pPr>
              <w:r>
                <w:rPr>
                  <w:rFonts w:hint="eastAsia"/>
                  <w:color w:val="000000" w:themeColor="text1"/>
                </w:rPr>
                <w:t>满足下列条件的，终止确认金融资产（或金融资产的一部分，或一组类似金融资产的一部分），即将之前确认的金融资产从资产负债表中予以转出：</w:t>
              </w:r>
              <w:r>
                <w:rPr>
                  <w:rFonts w:hint="eastAsia"/>
                  <w:color w:val="000000" w:themeColor="text1"/>
                </w:rPr>
                <w:t>1</w:t>
              </w:r>
              <w:r>
                <w:rPr>
                  <w:rFonts w:hint="eastAsia"/>
                  <w:color w:val="000000" w:themeColor="text1"/>
                </w:rPr>
                <w:t>）收取金融资产现金流量的权利届满；</w:t>
              </w:r>
              <w:r>
                <w:rPr>
                  <w:rFonts w:hint="eastAsia"/>
                  <w:color w:val="000000" w:themeColor="text1"/>
                </w:rPr>
                <w:t>2</w:t>
              </w:r>
              <w:r>
                <w:rPr>
                  <w:rFonts w:hint="eastAsia"/>
                  <w:color w:val="000000" w:themeColor="text1"/>
                </w:rPr>
                <w:t>）转移了收取金融资产现金流量的权利，或在“过手协议”下承担了及时将收取的现金流量全额支付给第三方的义务；并且实质上转让了金融资产所有权上几乎所有的风险和报酬，或虽然实质上既没有转移也没有保留金融资产所有权上几乎所有的风险和报酬，但放弃了对该金融资产的控制。</w:t>
              </w:r>
            </w:p>
            <w:p w14:paraId="1987E7DD" w14:textId="77777777" w:rsidR="005E000F" w:rsidRDefault="005E000F">
              <w:pPr>
                <w:rPr>
                  <w:color w:val="000000" w:themeColor="text1"/>
                </w:rPr>
              </w:pPr>
            </w:p>
            <w:p w14:paraId="0DD6D497" w14:textId="77777777" w:rsidR="005E000F" w:rsidRDefault="00000000">
              <w:pPr>
                <w:rPr>
                  <w:color w:val="000000" w:themeColor="text1"/>
                </w:rPr>
              </w:pPr>
              <w:r>
                <w:rPr>
                  <w:rFonts w:hint="eastAsia"/>
                  <w:color w:val="000000" w:themeColor="text1"/>
                </w:rPr>
                <w:t>如果金融负债的责任已履行、撤销或届满，则对金融负债进行终止确认。如果现有金融负债被同一债权人以实质上几乎完全不同条款的另一金融负债所取代，或现有负债的条款几乎全部被实质性修改，则此类替换或修改作为终止确认原负债和确认新负债处理，差额计入当期损益。</w:t>
              </w:r>
            </w:p>
            <w:p w14:paraId="05A66D64" w14:textId="77777777" w:rsidR="005E000F" w:rsidRDefault="005E000F">
              <w:pPr>
                <w:rPr>
                  <w:color w:val="000000" w:themeColor="text1"/>
                </w:rPr>
              </w:pPr>
            </w:p>
            <w:p w14:paraId="5CBF4235" w14:textId="77777777" w:rsidR="005E000F" w:rsidRDefault="00000000">
              <w:pPr>
                <w:rPr>
                  <w:color w:val="000000" w:themeColor="text1"/>
                </w:rPr>
              </w:pPr>
              <w:r>
                <w:rPr>
                  <w:rFonts w:hint="eastAsia"/>
                  <w:color w:val="000000" w:themeColor="text1"/>
                </w:rPr>
                <w:t>以常规方式买卖金融资产，按交易日会计进行确认和终止确认。交易日，是指本集团承诺买入或卖出金融资产的日期。</w:t>
              </w:r>
            </w:p>
            <w:p w14:paraId="305BE3E4" w14:textId="77777777" w:rsidR="005E000F" w:rsidRDefault="005E000F">
              <w:pPr>
                <w:rPr>
                  <w:color w:val="000000" w:themeColor="text1"/>
                </w:rPr>
              </w:pPr>
            </w:p>
            <w:p w14:paraId="5042663D" w14:textId="77777777" w:rsidR="005E000F" w:rsidRDefault="00000000">
              <w:pPr>
                <w:rPr>
                  <w:color w:val="000000" w:themeColor="text1"/>
                </w:rPr>
              </w:pPr>
              <w:r>
                <w:rPr>
                  <w:rFonts w:hint="eastAsia"/>
                  <w:color w:val="000000" w:themeColor="text1"/>
                </w:rPr>
                <w:lastRenderedPageBreak/>
                <w:t>（</w:t>
              </w:r>
              <w:r>
                <w:rPr>
                  <w:rFonts w:hint="eastAsia"/>
                  <w:color w:val="000000" w:themeColor="text1"/>
                </w:rPr>
                <w:t>2</w:t>
              </w:r>
              <w:r>
                <w:rPr>
                  <w:rFonts w:hint="eastAsia"/>
                  <w:color w:val="000000" w:themeColor="text1"/>
                </w:rPr>
                <w:t>）金融资产分类和计量方法</w:t>
              </w:r>
            </w:p>
            <w:p w14:paraId="1E5905C8" w14:textId="77777777" w:rsidR="005E000F" w:rsidRDefault="005E000F">
              <w:pPr>
                <w:rPr>
                  <w:color w:val="000000" w:themeColor="text1"/>
                </w:rPr>
              </w:pPr>
            </w:p>
            <w:p w14:paraId="583F9868" w14:textId="77777777" w:rsidR="005E000F" w:rsidRDefault="00000000">
              <w:pPr>
                <w:rPr>
                  <w:color w:val="000000" w:themeColor="text1"/>
                </w:rPr>
              </w:pPr>
              <w:r>
                <w:rPr>
                  <w:rFonts w:hint="eastAsia"/>
                  <w:color w:val="000000" w:themeColor="text1"/>
                </w:rPr>
                <w:t>本集团的金融资产于初始确认时根据本集团管理金融资产的业务模式和金融资产的合同现金流量特征，将金融资产分类为以摊</w:t>
              </w:r>
              <w:proofErr w:type="gramStart"/>
              <w:r>
                <w:rPr>
                  <w:rFonts w:hint="eastAsia"/>
                  <w:color w:val="000000" w:themeColor="text1"/>
                </w:rPr>
                <w:t>余成本</w:t>
              </w:r>
              <w:proofErr w:type="gramEnd"/>
              <w:r>
                <w:rPr>
                  <w:rFonts w:hint="eastAsia"/>
                  <w:color w:val="000000" w:themeColor="text1"/>
                </w:rPr>
                <w:t>计量的金融资产、以公允价值计量且其变动计入其他综合收益的金融资产、以公允价值计量且其变动计入当期损益的金融资产。当且仅当本集团改变管理金融资产的业务模式时，才对所有受影响的相关金融资产进行重分类。</w:t>
              </w:r>
            </w:p>
            <w:p w14:paraId="1AC6A3F4" w14:textId="77777777" w:rsidR="005E000F" w:rsidRDefault="005E000F">
              <w:pPr>
                <w:rPr>
                  <w:color w:val="000000" w:themeColor="text1"/>
                </w:rPr>
              </w:pPr>
            </w:p>
            <w:p w14:paraId="518C76C5" w14:textId="77777777" w:rsidR="005E000F" w:rsidRDefault="00000000">
              <w:pPr>
                <w:rPr>
                  <w:color w:val="000000" w:themeColor="text1"/>
                </w:rPr>
              </w:pPr>
              <w:r>
                <w:rPr>
                  <w:rFonts w:hint="eastAsia"/>
                  <w:color w:val="000000" w:themeColor="text1"/>
                </w:rPr>
                <w:t>在判断业务模式时，本集团考虑包括企业评价和向关键管理人员报告金融资产业绩的方式、影响金融资产业绩的风险及其管理方式以及相关业务管理人员获得报酬的方式等。在评估是否以收取合同现金流量为目标时，本集团对金融资产到期日前的出售原因、时间、频率和价值等进行分析判断。</w:t>
              </w:r>
            </w:p>
            <w:p w14:paraId="14B54713" w14:textId="77777777" w:rsidR="005E000F" w:rsidRDefault="005E000F">
              <w:pPr>
                <w:rPr>
                  <w:color w:val="000000" w:themeColor="text1"/>
                </w:rPr>
              </w:pPr>
            </w:p>
            <w:p w14:paraId="09745FC6" w14:textId="77777777" w:rsidR="005E000F" w:rsidRDefault="00000000">
              <w:pPr>
                <w:rPr>
                  <w:color w:val="000000" w:themeColor="text1"/>
                </w:rPr>
              </w:pPr>
              <w:r>
                <w:rPr>
                  <w:rFonts w:hint="eastAsia"/>
                  <w:color w:val="000000" w:themeColor="text1"/>
                </w:rPr>
                <w:t>在判断合同现金流量特征时，本集团判断合同现金流量是否仅为对本金和以</w:t>
              </w:r>
              <w:proofErr w:type="gramStart"/>
              <w:r>
                <w:rPr>
                  <w:rFonts w:hint="eastAsia"/>
                  <w:color w:val="000000" w:themeColor="text1"/>
                </w:rPr>
                <w:t>未偿付本</w:t>
              </w:r>
              <w:proofErr w:type="gramEnd"/>
              <w:r>
                <w:rPr>
                  <w:rFonts w:hint="eastAsia"/>
                  <w:color w:val="000000" w:themeColor="text1"/>
                </w:rPr>
                <w:t>金为基础的利息的支付，包含（对货币时间价值的修正进行评估时，判断与基准现金流量相比是否具有显著差异</w:t>
              </w:r>
              <w:r>
                <w:rPr>
                  <w:rFonts w:hint="eastAsia"/>
                  <w:color w:val="000000" w:themeColor="text1"/>
                </w:rPr>
                <w:t>/</w:t>
              </w:r>
              <w:r>
                <w:rPr>
                  <w:rFonts w:hint="eastAsia"/>
                  <w:color w:val="000000" w:themeColor="text1"/>
                </w:rPr>
                <w:t>对包含提前还款特征的金融资产，判断提前还款特征的公允价值是否非常小等）。</w:t>
              </w:r>
            </w:p>
            <w:p w14:paraId="508AE76D" w14:textId="77777777" w:rsidR="005E000F" w:rsidRDefault="005E000F">
              <w:pPr>
                <w:rPr>
                  <w:color w:val="000000" w:themeColor="text1"/>
                </w:rPr>
              </w:pPr>
            </w:p>
            <w:p w14:paraId="7BDD18C9" w14:textId="77777777" w:rsidR="005E000F" w:rsidRDefault="00000000">
              <w:pPr>
                <w:rPr>
                  <w:color w:val="000000" w:themeColor="text1"/>
                </w:rPr>
              </w:pPr>
              <w:r>
                <w:rPr>
                  <w:rFonts w:hint="eastAsia"/>
                  <w:color w:val="000000" w:themeColor="text1"/>
                </w:rPr>
                <w:t>金融资产在初始确认时以公允价值计量，但是因销售商品或提供服务等产生的应收账款或应收票据未包含重大融资成分或不考虑不超过一年的融资成分的，按照交易价格进行初始计量。</w:t>
              </w:r>
            </w:p>
            <w:p w14:paraId="6C0CCF34" w14:textId="77777777" w:rsidR="005E000F" w:rsidRDefault="005E000F">
              <w:pPr>
                <w:rPr>
                  <w:color w:val="000000" w:themeColor="text1"/>
                </w:rPr>
              </w:pPr>
            </w:p>
            <w:p w14:paraId="4275E538" w14:textId="77777777" w:rsidR="005E000F" w:rsidRDefault="00000000">
              <w:pPr>
                <w:rPr>
                  <w:color w:val="000000" w:themeColor="text1"/>
                </w:rPr>
              </w:pPr>
              <w:r>
                <w:rPr>
                  <w:rFonts w:hint="eastAsia"/>
                  <w:color w:val="000000" w:themeColor="text1"/>
                </w:rPr>
                <w:t>对于以公允价值计量且其变动计入当期损益的金融资产，相关交易费用直接计入当期损益，其他类别的金融资产相关交易费用计入其初始确认金额。</w:t>
              </w:r>
            </w:p>
            <w:p w14:paraId="3FE75B67" w14:textId="77777777" w:rsidR="005E000F" w:rsidRDefault="005E000F">
              <w:pPr>
                <w:rPr>
                  <w:color w:val="000000" w:themeColor="text1"/>
                </w:rPr>
              </w:pPr>
            </w:p>
            <w:p w14:paraId="29AA51E4" w14:textId="77777777" w:rsidR="005E000F" w:rsidRDefault="00000000">
              <w:pPr>
                <w:rPr>
                  <w:color w:val="000000" w:themeColor="text1"/>
                </w:rPr>
              </w:pPr>
              <w:r>
                <w:rPr>
                  <w:rFonts w:hint="eastAsia"/>
                  <w:color w:val="000000" w:themeColor="text1"/>
                </w:rPr>
                <w:t>金融资产的后续计量取决于其分类：</w:t>
              </w:r>
            </w:p>
            <w:p w14:paraId="061458A5" w14:textId="77777777" w:rsidR="005E000F" w:rsidRDefault="005E000F">
              <w:pPr>
                <w:rPr>
                  <w:color w:val="000000" w:themeColor="text1"/>
                </w:rPr>
              </w:pPr>
            </w:p>
            <w:p w14:paraId="559969FD" w14:textId="77777777" w:rsidR="005E000F" w:rsidRDefault="00000000">
              <w:pPr>
                <w:numPr>
                  <w:ilvl w:val="0"/>
                  <w:numId w:val="60"/>
                </w:numPr>
                <w:rPr>
                  <w:color w:val="000000" w:themeColor="text1"/>
                </w:rPr>
              </w:pPr>
              <w:r>
                <w:rPr>
                  <w:rFonts w:hint="eastAsia"/>
                  <w:color w:val="000000" w:themeColor="text1"/>
                </w:rPr>
                <w:t>以摊</w:t>
              </w:r>
              <w:proofErr w:type="gramStart"/>
              <w:r>
                <w:rPr>
                  <w:rFonts w:hint="eastAsia"/>
                  <w:color w:val="000000" w:themeColor="text1"/>
                </w:rPr>
                <w:t>余成本</w:t>
              </w:r>
              <w:proofErr w:type="gramEnd"/>
              <w:r>
                <w:rPr>
                  <w:rFonts w:hint="eastAsia"/>
                  <w:color w:val="000000" w:themeColor="text1"/>
                </w:rPr>
                <w:t>计量的金融资产</w:t>
              </w:r>
            </w:p>
            <w:p w14:paraId="7983E3A7" w14:textId="77777777" w:rsidR="005E000F" w:rsidRDefault="005E000F">
              <w:pPr>
                <w:rPr>
                  <w:color w:val="000000" w:themeColor="text1"/>
                </w:rPr>
              </w:pPr>
            </w:p>
            <w:p w14:paraId="53C16837" w14:textId="77777777" w:rsidR="005E000F" w:rsidRDefault="00000000">
              <w:pPr>
                <w:rPr>
                  <w:color w:val="000000" w:themeColor="text1"/>
                </w:rPr>
              </w:pPr>
              <w:r>
                <w:rPr>
                  <w:rFonts w:hint="eastAsia"/>
                  <w:color w:val="000000" w:themeColor="text1"/>
                </w:rPr>
                <w:t>金融资产同时符合下列条件的，分类为以摊</w:t>
              </w:r>
              <w:proofErr w:type="gramStart"/>
              <w:r>
                <w:rPr>
                  <w:rFonts w:hint="eastAsia"/>
                  <w:color w:val="000000" w:themeColor="text1"/>
                </w:rPr>
                <w:t>余成本</w:t>
              </w:r>
              <w:proofErr w:type="gramEnd"/>
              <w:r>
                <w:rPr>
                  <w:rFonts w:hint="eastAsia"/>
                  <w:color w:val="000000" w:themeColor="text1"/>
                </w:rPr>
                <w:t>计量的金融资产：①管理该金融资产的业务模式是以收取合同现金流量为目标。②该金融资产的合同条款规定，在特定日期产生的现金流量，仅为对本金和以</w:t>
              </w:r>
              <w:proofErr w:type="gramStart"/>
              <w:r>
                <w:rPr>
                  <w:rFonts w:hint="eastAsia"/>
                  <w:color w:val="000000" w:themeColor="text1"/>
                </w:rPr>
                <w:t>未偿付本</w:t>
              </w:r>
              <w:proofErr w:type="gramEnd"/>
              <w:r>
                <w:rPr>
                  <w:rFonts w:hint="eastAsia"/>
                  <w:color w:val="000000" w:themeColor="text1"/>
                </w:rPr>
                <w:t>金金额为基础的利息的支付。此类金融资产采用实际利率法确认利息收入，其终止确认、修改或减值产生的利得或损失，均计入当期损益。</w:t>
              </w:r>
            </w:p>
            <w:p w14:paraId="3DC7EB36" w14:textId="77777777" w:rsidR="005E000F" w:rsidRDefault="005E000F">
              <w:pPr>
                <w:rPr>
                  <w:color w:val="000000" w:themeColor="text1"/>
                </w:rPr>
              </w:pPr>
            </w:p>
            <w:p w14:paraId="3997394E" w14:textId="77777777" w:rsidR="005E000F" w:rsidRDefault="00000000">
              <w:pPr>
                <w:rPr>
                  <w:color w:val="000000" w:themeColor="text1"/>
                </w:rPr>
              </w:pPr>
              <w:r>
                <w:rPr>
                  <w:rFonts w:hint="eastAsia"/>
                  <w:color w:val="000000" w:themeColor="text1"/>
                </w:rPr>
                <w:t>2</w:t>
              </w:r>
              <w:r>
                <w:rPr>
                  <w:rFonts w:hint="eastAsia"/>
                  <w:color w:val="000000" w:themeColor="text1"/>
                </w:rPr>
                <w:t>）以公允价值计量且其变动计入其他综合收益的债务工具投资</w:t>
              </w:r>
            </w:p>
            <w:p w14:paraId="797E3222" w14:textId="77777777" w:rsidR="005E000F" w:rsidRDefault="005E000F">
              <w:pPr>
                <w:rPr>
                  <w:color w:val="000000" w:themeColor="text1"/>
                </w:rPr>
              </w:pPr>
            </w:p>
            <w:p w14:paraId="79564985" w14:textId="77777777" w:rsidR="005E000F" w:rsidRDefault="00000000">
              <w:pPr>
                <w:rPr>
                  <w:color w:val="000000" w:themeColor="text1"/>
                </w:rPr>
              </w:pPr>
              <w:r>
                <w:rPr>
                  <w:rFonts w:hint="eastAsia"/>
                  <w:color w:val="000000" w:themeColor="text1"/>
                </w:rPr>
                <w:t>金融资产同时符合下列条件的，分类为以公允价值计量且其变动计入其他综合收益的金融资产：</w:t>
              </w:r>
            </w:p>
            <w:p w14:paraId="7E4F673A" w14:textId="77777777" w:rsidR="005E000F" w:rsidRDefault="005E000F">
              <w:pPr>
                <w:rPr>
                  <w:color w:val="000000" w:themeColor="text1"/>
                </w:rPr>
              </w:pPr>
            </w:p>
            <w:p w14:paraId="47381C46" w14:textId="77777777" w:rsidR="005E000F" w:rsidRDefault="00000000">
              <w:pPr>
                <w:rPr>
                  <w:color w:val="000000" w:themeColor="text1"/>
                </w:rPr>
              </w:pPr>
              <w:r>
                <w:rPr>
                  <w:rFonts w:hint="eastAsia"/>
                  <w:color w:val="000000" w:themeColor="text1"/>
                </w:rPr>
                <w:t>①本集团管理该金融资产的业务模式既以收取合同现金流量为目标又以出售该金融资产为目标。</w:t>
              </w:r>
            </w:p>
            <w:p w14:paraId="4EA17B2D" w14:textId="77777777" w:rsidR="005E000F" w:rsidRDefault="005E000F">
              <w:pPr>
                <w:rPr>
                  <w:color w:val="000000" w:themeColor="text1"/>
                </w:rPr>
              </w:pPr>
            </w:p>
            <w:p w14:paraId="23FF4DB5" w14:textId="77777777" w:rsidR="005E000F" w:rsidRDefault="00000000">
              <w:pPr>
                <w:rPr>
                  <w:color w:val="000000" w:themeColor="text1"/>
                </w:rPr>
              </w:pPr>
              <w:r>
                <w:rPr>
                  <w:rFonts w:hint="eastAsia"/>
                  <w:color w:val="000000" w:themeColor="text1"/>
                </w:rPr>
                <w:t>②该金融资产的合同条款规定，在特定日期产生的现金流量，仅为对本金和以</w:t>
              </w:r>
              <w:proofErr w:type="gramStart"/>
              <w:r>
                <w:rPr>
                  <w:rFonts w:hint="eastAsia"/>
                  <w:color w:val="000000" w:themeColor="text1"/>
                </w:rPr>
                <w:t>未偿付本</w:t>
              </w:r>
              <w:proofErr w:type="gramEnd"/>
              <w:r>
                <w:rPr>
                  <w:rFonts w:hint="eastAsia"/>
                  <w:color w:val="000000" w:themeColor="text1"/>
                </w:rPr>
                <w:t>金金额为基础的利息的支付。此类金融资产采用实际利率法确认利息收入。除利息收入、减值损失及汇兑差额确认为当期损益外，其余公允价值变动计入其他综合收益。当金融资产终止确认时，之前计入其他综合收益的累计利得或损失从其他综合收益转出，计入当期损益。</w:t>
              </w:r>
            </w:p>
            <w:p w14:paraId="1454E2DC" w14:textId="77777777" w:rsidR="005E000F" w:rsidRDefault="005E000F">
              <w:pPr>
                <w:rPr>
                  <w:color w:val="000000" w:themeColor="text1"/>
                </w:rPr>
              </w:pPr>
            </w:p>
            <w:p w14:paraId="178FDE0D" w14:textId="77777777" w:rsidR="005E000F" w:rsidRDefault="00000000">
              <w:pPr>
                <w:rPr>
                  <w:color w:val="000000" w:themeColor="text1"/>
                </w:rPr>
              </w:pPr>
              <w:r>
                <w:rPr>
                  <w:rFonts w:hint="eastAsia"/>
                  <w:color w:val="000000" w:themeColor="text1"/>
                </w:rPr>
                <w:t>3</w:t>
              </w:r>
              <w:r>
                <w:rPr>
                  <w:rFonts w:hint="eastAsia"/>
                  <w:color w:val="000000" w:themeColor="text1"/>
                </w:rPr>
                <w:t>）以公允价值计量且其变动计入其他综合收益的权益工具投资</w:t>
              </w:r>
            </w:p>
            <w:p w14:paraId="0546612F" w14:textId="77777777" w:rsidR="005E000F" w:rsidRDefault="005E000F">
              <w:pPr>
                <w:rPr>
                  <w:color w:val="000000" w:themeColor="text1"/>
                </w:rPr>
              </w:pPr>
            </w:p>
            <w:p w14:paraId="780AEDFC" w14:textId="77777777" w:rsidR="005E000F" w:rsidRDefault="00000000">
              <w:pPr>
                <w:rPr>
                  <w:color w:val="000000" w:themeColor="text1"/>
                </w:rPr>
              </w:pPr>
              <w:r>
                <w:rPr>
                  <w:rFonts w:hint="eastAsia"/>
                  <w:color w:val="000000" w:themeColor="text1"/>
                </w:rPr>
                <w:t>本集团不可撤销地选择将部分</w:t>
              </w:r>
              <w:proofErr w:type="gramStart"/>
              <w:r>
                <w:rPr>
                  <w:rFonts w:hint="eastAsia"/>
                  <w:color w:val="000000" w:themeColor="text1"/>
                </w:rPr>
                <w:t>非交易</w:t>
              </w:r>
              <w:proofErr w:type="gramEnd"/>
              <w:r>
                <w:rPr>
                  <w:rFonts w:hint="eastAsia"/>
                  <w:color w:val="000000" w:themeColor="text1"/>
                </w:rPr>
                <w:t>性权益工具投资指定为以公允价值计量且其变动计入其他综合收益的金融资产。本集团仅将相关股利收入（明确作为投资成本部分收回的股利收入除外）计入当期损益，公允价值的后续变动计入其他综合收益，不需计提减值准备。当金融资产终止确认时，之前计入其他综合收益的累计利得或损失从其他综合收益转出，计入留存收益。本集团该分类的金融资产为其他权益工具投资。</w:t>
              </w:r>
            </w:p>
            <w:p w14:paraId="5658D94D" w14:textId="77777777" w:rsidR="005E000F" w:rsidRDefault="005E000F">
              <w:pPr>
                <w:rPr>
                  <w:color w:val="000000" w:themeColor="text1"/>
                </w:rPr>
              </w:pPr>
            </w:p>
            <w:p w14:paraId="29954973" w14:textId="77777777" w:rsidR="005E000F" w:rsidRDefault="00000000">
              <w:pPr>
                <w:rPr>
                  <w:color w:val="000000" w:themeColor="text1"/>
                </w:rPr>
              </w:pPr>
              <w:r>
                <w:rPr>
                  <w:rFonts w:hint="eastAsia"/>
                  <w:color w:val="000000" w:themeColor="text1"/>
                </w:rPr>
                <w:t>4</w:t>
              </w:r>
              <w:r>
                <w:rPr>
                  <w:rFonts w:hint="eastAsia"/>
                  <w:color w:val="000000" w:themeColor="text1"/>
                </w:rPr>
                <w:t>）以公允价值计量且其变动计入当期损益的金融资产</w:t>
              </w:r>
            </w:p>
            <w:p w14:paraId="5F2F7886" w14:textId="77777777" w:rsidR="005E000F" w:rsidRDefault="00000000">
              <w:pPr>
                <w:rPr>
                  <w:color w:val="000000" w:themeColor="text1"/>
                </w:rPr>
              </w:pPr>
              <w:r>
                <w:rPr>
                  <w:rFonts w:hint="eastAsia"/>
                  <w:color w:val="000000" w:themeColor="text1"/>
                </w:rPr>
                <w:lastRenderedPageBreak/>
                <w:t>除上述分类为以摊</w:t>
              </w:r>
              <w:proofErr w:type="gramStart"/>
              <w:r>
                <w:rPr>
                  <w:rFonts w:hint="eastAsia"/>
                  <w:color w:val="000000" w:themeColor="text1"/>
                </w:rPr>
                <w:t>余成本</w:t>
              </w:r>
              <w:proofErr w:type="gramEnd"/>
              <w:r>
                <w:rPr>
                  <w:rFonts w:hint="eastAsia"/>
                  <w:color w:val="000000" w:themeColor="text1"/>
                </w:rPr>
                <w:t>计量的金融资产和分类或指定为以公允价值计量且其变动计入其他综合收益的金融资产之外的金融资产，本集团将其分类为以公允价值计量且其变动计入当期损益的金融资产。此类金融资产按照公允价值进行后续计量，除与套期会计有关外，所有公允价值变动计入当期损益。</w:t>
              </w:r>
            </w:p>
            <w:p w14:paraId="3B2F8BEA" w14:textId="77777777" w:rsidR="005E000F" w:rsidRDefault="005E000F">
              <w:pPr>
                <w:rPr>
                  <w:color w:val="000000" w:themeColor="text1"/>
                </w:rPr>
              </w:pPr>
            </w:p>
            <w:p w14:paraId="2A1764AE" w14:textId="77777777" w:rsidR="005E000F" w:rsidRDefault="00000000">
              <w:pPr>
                <w:rPr>
                  <w:color w:val="000000" w:themeColor="text1"/>
                </w:rPr>
              </w:pPr>
              <w:r>
                <w:rPr>
                  <w:rFonts w:hint="eastAsia"/>
                  <w:color w:val="000000" w:themeColor="text1"/>
                </w:rPr>
                <w:t>本集团在非同</w:t>
              </w:r>
              <w:proofErr w:type="gramStart"/>
              <w:r>
                <w:rPr>
                  <w:rFonts w:hint="eastAsia"/>
                  <w:color w:val="000000" w:themeColor="text1"/>
                </w:rPr>
                <w:t>一控制</w:t>
              </w:r>
              <w:proofErr w:type="gramEnd"/>
              <w:r>
                <w:rPr>
                  <w:rFonts w:hint="eastAsia"/>
                  <w:color w:val="000000" w:themeColor="text1"/>
                </w:rPr>
                <w:t>下的企业合并中确认的或有对价构成金融资产的，该金融资产分类为以公允价值计量且其变动计入当期损益的金融资产。</w:t>
              </w:r>
            </w:p>
            <w:p w14:paraId="5E7E246D" w14:textId="77777777" w:rsidR="005E000F" w:rsidRDefault="005E000F">
              <w:pPr>
                <w:rPr>
                  <w:color w:val="000000" w:themeColor="text1"/>
                </w:rPr>
              </w:pPr>
            </w:p>
            <w:p w14:paraId="284852CC" w14:textId="77777777" w:rsidR="005E000F" w:rsidRDefault="00000000">
              <w:pPr>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）金融负债分类、确认依据和计量方法</w:t>
              </w:r>
            </w:p>
            <w:p w14:paraId="799D36D8" w14:textId="77777777" w:rsidR="005E000F" w:rsidRDefault="005E000F">
              <w:pPr>
                <w:rPr>
                  <w:color w:val="000000" w:themeColor="text1"/>
                </w:rPr>
              </w:pPr>
            </w:p>
            <w:p w14:paraId="1F4DFB66" w14:textId="77777777" w:rsidR="005E000F" w:rsidRDefault="00000000">
              <w:pPr>
                <w:rPr>
                  <w:color w:val="000000" w:themeColor="text1"/>
                </w:rPr>
              </w:pPr>
              <w:r>
                <w:rPr>
                  <w:rFonts w:hint="eastAsia"/>
                  <w:color w:val="000000" w:themeColor="text1"/>
                </w:rPr>
                <w:t>除了签发的财务担保合同、以低于市场利率贷款的贷款承诺及由于金融资产转移不符合终止确认条件或继续涉入被转移金融资产所形成的金融负债以外，本集团的金融负债于初始确认时分类为：以公允价值计量且其变动计入当期损益的金融负债、以摊</w:t>
              </w:r>
              <w:proofErr w:type="gramStart"/>
              <w:r>
                <w:rPr>
                  <w:rFonts w:hint="eastAsia"/>
                  <w:color w:val="000000" w:themeColor="text1"/>
                </w:rPr>
                <w:t>余成本</w:t>
              </w:r>
              <w:proofErr w:type="gramEnd"/>
              <w:r>
                <w:rPr>
                  <w:rFonts w:hint="eastAsia"/>
                  <w:color w:val="000000" w:themeColor="text1"/>
                </w:rPr>
                <w:t>计量的金融负债。对于以公允价值计量且其变动计入当期损益的金融负债，相关交易费用直接计入当期损益，以摊</w:t>
              </w:r>
              <w:proofErr w:type="gramStart"/>
              <w:r>
                <w:rPr>
                  <w:rFonts w:hint="eastAsia"/>
                  <w:color w:val="000000" w:themeColor="text1"/>
                </w:rPr>
                <w:t>余成本</w:t>
              </w:r>
              <w:proofErr w:type="gramEnd"/>
              <w:r>
                <w:rPr>
                  <w:rFonts w:hint="eastAsia"/>
                  <w:color w:val="000000" w:themeColor="text1"/>
                </w:rPr>
                <w:t>计量的金融负债的相关交易费用计入其初始确认金额。</w:t>
              </w:r>
            </w:p>
            <w:p w14:paraId="0DB24682" w14:textId="77777777" w:rsidR="005E000F" w:rsidRDefault="005E000F">
              <w:pPr>
                <w:rPr>
                  <w:color w:val="000000" w:themeColor="text1"/>
                </w:rPr>
              </w:pPr>
            </w:p>
            <w:p w14:paraId="0B47A386" w14:textId="77777777" w:rsidR="005E000F" w:rsidRDefault="00000000">
              <w:pPr>
                <w:rPr>
                  <w:color w:val="000000" w:themeColor="text1"/>
                </w:rPr>
              </w:pPr>
              <w:r>
                <w:rPr>
                  <w:rFonts w:hint="eastAsia"/>
                  <w:color w:val="000000" w:themeColor="text1"/>
                </w:rPr>
                <w:t>金融负债的后续计量取决于其分类：</w:t>
              </w:r>
            </w:p>
            <w:p w14:paraId="56590B4B" w14:textId="77777777" w:rsidR="005E000F" w:rsidRDefault="005E000F">
              <w:pPr>
                <w:rPr>
                  <w:color w:val="000000" w:themeColor="text1"/>
                </w:rPr>
              </w:pPr>
            </w:p>
            <w:p w14:paraId="31131E41" w14:textId="77777777" w:rsidR="005E000F" w:rsidRDefault="00000000">
              <w:pPr>
                <w:rPr>
                  <w:color w:val="000000" w:themeColor="text1"/>
                </w:rPr>
              </w:pPr>
              <w:r>
                <w:rPr>
                  <w:rFonts w:hint="eastAsia"/>
                  <w:color w:val="000000" w:themeColor="text1"/>
                </w:rPr>
                <w:t>1</w:t>
              </w:r>
              <w:r>
                <w:rPr>
                  <w:rFonts w:hint="eastAsia"/>
                  <w:color w:val="000000" w:themeColor="text1"/>
                </w:rPr>
                <w:t>）以摊</w:t>
              </w:r>
              <w:proofErr w:type="gramStart"/>
              <w:r>
                <w:rPr>
                  <w:rFonts w:hint="eastAsia"/>
                  <w:color w:val="000000" w:themeColor="text1"/>
                </w:rPr>
                <w:t>余成本</w:t>
              </w:r>
              <w:proofErr w:type="gramEnd"/>
              <w:r>
                <w:rPr>
                  <w:rFonts w:hint="eastAsia"/>
                  <w:color w:val="000000" w:themeColor="text1"/>
                </w:rPr>
                <w:t>计量的金融负债</w:t>
              </w:r>
            </w:p>
            <w:p w14:paraId="457C6D91" w14:textId="77777777" w:rsidR="005E000F" w:rsidRDefault="005E000F">
              <w:pPr>
                <w:rPr>
                  <w:color w:val="000000" w:themeColor="text1"/>
                </w:rPr>
              </w:pPr>
            </w:p>
            <w:p w14:paraId="5184383B" w14:textId="77777777" w:rsidR="005E000F" w:rsidRDefault="00000000">
              <w:pPr>
                <w:rPr>
                  <w:color w:val="000000" w:themeColor="text1"/>
                </w:rPr>
              </w:pPr>
              <w:r>
                <w:rPr>
                  <w:rFonts w:hint="eastAsia"/>
                  <w:color w:val="000000" w:themeColor="text1"/>
                </w:rPr>
                <w:t>以摊</w:t>
              </w:r>
              <w:proofErr w:type="gramStart"/>
              <w:r>
                <w:rPr>
                  <w:rFonts w:hint="eastAsia"/>
                  <w:color w:val="000000" w:themeColor="text1"/>
                </w:rPr>
                <w:t>余成本</w:t>
              </w:r>
              <w:proofErr w:type="gramEnd"/>
              <w:r>
                <w:rPr>
                  <w:rFonts w:hint="eastAsia"/>
                  <w:color w:val="000000" w:themeColor="text1"/>
                </w:rPr>
                <w:t>计量的金融负债，采用实际利率法，按照摊</w:t>
              </w:r>
              <w:proofErr w:type="gramStart"/>
              <w:r>
                <w:rPr>
                  <w:rFonts w:hint="eastAsia"/>
                  <w:color w:val="000000" w:themeColor="text1"/>
                </w:rPr>
                <w:t>余成本</w:t>
              </w:r>
              <w:proofErr w:type="gramEnd"/>
              <w:r>
                <w:rPr>
                  <w:rFonts w:hint="eastAsia"/>
                  <w:color w:val="000000" w:themeColor="text1"/>
                </w:rPr>
                <w:t>进行后续计量。</w:t>
              </w:r>
            </w:p>
            <w:p w14:paraId="586E0021" w14:textId="77777777" w:rsidR="005E000F" w:rsidRDefault="005E000F">
              <w:pPr>
                <w:rPr>
                  <w:color w:val="000000" w:themeColor="text1"/>
                </w:rPr>
              </w:pPr>
            </w:p>
            <w:p w14:paraId="0F07E3E2" w14:textId="77777777" w:rsidR="005E000F" w:rsidRDefault="00000000">
              <w:pPr>
                <w:rPr>
                  <w:color w:val="000000" w:themeColor="text1"/>
                </w:rPr>
              </w:pPr>
              <w:r>
                <w:rPr>
                  <w:rFonts w:hint="eastAsia"/>
                  <w:color w:val="000000" w:themeColor="text1"/>
                </w:rPr>
                <w:t>2</w:t>
              </w:r>
              <w:r>
                <w:rPr>
                  <w:rFonts w:hint="eastAsia"/>
                  <w:color w:val="000000" w:themeColor="text1"/>
                </w:rPr>
                <w:t>）以公允价值计量且其变动计入当期损益的金融负债</w:t>
              </w:r>
            </w:p>
            <w:p w14:paraId="3CBE0C2D" w14:textId="77777777" w:rsidR="005E000F" w:rsidRDefault="005E000F">
              <w:pPr>
                <w:rPr>
                  <w:color w:val="000000" w:themeColor="text1"/>
                </w:rPr>
              </w:pPr>
            </w:p>
            <w:p w14:paraId="61E5E13A" w14:textId="77777777" w:rsidR="005E000F" w:rsidRDefault="00000000">
              <w:pPr>
                <w:rPr>
                  <w:color w:val="000000" w:themeColor="text1"/>
                </w:rPr>
              </w:pPr>
              <w:r>
                <w:rPr>
                  <w:rFonts w:hint="eastAsia"/>
                  <w:color w:val="000000" w:themeColor="text1"/>
                </w:rPr>
                <w:t>以公允价值计量且其变动计入当期损益的金融负债（</w:t>
              </w:r>
              <w:proofErr w:type="gramStart"/>
              <w:r>
                <w:rPr>
                  <w:rFonts w:hint="eastAsia"/>
                  <w:color w:val="000000" w:themeColor="text1"/>
                </w:rPr>
                <w:t>含属于</w:t>
              </w:r>
              <w:proofErr w:type="gramEnd"/>
              <w:r>
                <w:rPr>
                  <w:rFonts w:hint="eastAsia"/>
                  <w:color w:val="000000" w:themeColor="text1"/>
                </w:rPr>
                <w:t>金融负债的衍生工具），包括交易性金融负债和初始确认时指定为以公允价值计量且其变动计入当期损益的金融负债。交易性金融负债（</w:t>
              </w:r>
              <w:proofErr w:type="gramStart"/>
              <w:r>
                <w:rPr>
                  <w:rFonts w:hint="eastAsia"/>
                  <w:color w:val="000000" w:themeColor="text1"/>
                </w:rPr>
                <w:t>含属于</w:t>
              </w:r>
              <w:proofErr w:type="gramEnd"/>
              <w:r>
                <w:rPr>
                  <w:rFonts w:hint="eastAsia"/>
                  <w:color w:val="000000" w:themeColor="text1"/>
                </w:rPr>
                <w:t>金融负债的衍生工具），按照公允价值进行后续计量，除与套期会计有关外，所有公允价值变动均计入当期损益。对于指定为以公允价值计量且其变动计入当期损益的金融负债，按照公允价值进行后续计量，除由本集团自身信用风险变动引起的公允价值变动计入其他综合收益之外，其他公允价值变动计入当期损益；如果由本集团自身信用风险变动引起的公允价值变动计入其他综合收益会造成或扩大损益中的会计错配，本集团将所有公允价值变动（包括自身信用风险变动的影响金额）计入当期损益。</w:t>
              </w:r>
            </w:p>
            <w:p w14:paraId="4AFE67D4" w14:textId="77777777" w:rsidR="005E000F" w:rsidRDefault="005E000F">
              <w:pPr>
                <w:rPr>
                  <w:color w:val="000000" w:themeColor="text1"/>
                </w:rPr>
              </w:pPr>
            </w:p>
            <w:p w14:paraId="1CE2103A" w14:textId="77777777" w:rsidR="005E000F" w:rsidRDefault="00000000">
              <w:pPr>
                <w:rPr>
                  <w:color w:val="000000" w:themeColor="text1"/>
                </w:rPr>
              </w:pPr>
              <w:r>
                <w:rPr>
                  <w:rFonts w:hint="eastAsia"/>
                  <w:color w:val="000000" w:themeColor="text1"/>
                </w:rPr>
                <w:t>只有符合以下条件之一，本集团才将金融负债在初始计量时指定为以公允价值计量且其变动计入当期损益的金融负债：①能够消除或显著减少会计错配；②风险管理或投资策略的正式书面文件已载明，该金融工具组合以公允价值为基础进行管理、评价并向关键管理人员报告；③包含一项或多项嵌入衍生工具的混合工具，除非嵌入衍生工具对混合工具的现金流量没有重大改变，或所嵌入的衍生工具明显不应当从相关混合工具中分拆；④包含需要分拆但无法在取得时或后续的资产负债表日对其进行单独计量的嵌入衍生工具的混合工具。</w:t>
              </w:r>
            </w:p>
            <w:p w14:paraId="27953D3D" w14:textId="77777777" w:rsidR="005E000F" w:rsidRDefault="005E000F">
              <w:pPr>
                <w:rPr>
                  <w:color w:val="000000" w:themeColor="text1"/>
                </w:rPr>
              </w:pPr>
            </w:p>
            <w:p w14:paraId="235B2188" w14:textId="77777777" w:rsidR="005E000F" w:rsidRDefault="00000000">
              <w:pPr>
                <w:rPr>
                  <w:color w:val="000000" w:themeColor="text1"/>
                </w:rPr>
              </w:pPr>
              <w:r>
                <w:rPr>
                  <w:rFonts w:hint="eastAsia"/>
                  <w:color w:val="000000" w:themeColor="text1"/>
                </w:rPr>
                <w:t>本集团将在非同</w:t>
              </w:r>
              <w:proofErr w:type="gramStart"/>
              <w:r>
                <w:rPr>
                  <w:rFonts w:hint="eastAsia"/>
                  <w:color w:val="000000" w:themeColor="text1"/>
                </w:rPr>
                <w:t>一控制</w:t>
              </w:r>
              <w:proofErr w:type="gramEnd"/>
              <w:r>
                <w:rPr>
                  <w:rFonts w:hint="eastAsia"/>
                  <w:color w:val="000000" w:themeColor="text1"/>
                </w:rPr>
                <w:t>下的企业合并中作为购买方确认的或有对价形成金融负债的，按照以公允价值计量且其变动计入当期损益进行会计处理。</w:t>
              </w:r>
            </w:p>
            <w:p w14:paraId="7A22261C" w14:textId="77777777" w:rsidR="005E000F" w:rsidRDefault="005E000F">
              <w:pPr>
                <w:rPr>
                  <w:color w:val="000000" w:themeColor="text1"/>
                </w:rPr>
              </w:pPr>
            </w:p>
            <w:p w14:paraId="0B1CF9DC" w14:textId="77777777" w:rsidR="005E000F" w:rsidRDefault="00000000">
              <w:pPr>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）金融工具减值</w:t>
              </w:r>
            </w:p>
            <w:p w14:paraId="71AA1FCC" w14:textId="77777777" w:rsidR="005E000F" w:rsidRDefault="005E000F">
              <w:pPr>
                <w:rPr>
                  <w:color w:val="000000" w:themeColor="text1"/>
                </w:rPr>
              </w:pPr>
            </w:p>
            <w:p w14:paraId="2692BBC3" w14:textId="77777777" w:rsidR="005E000F" w:rsidRDefault="00000000">
              <w:pPr>
                <w:rPr>
                  <w:color w:val="000000" w:themeColor="text1"/>
                </w:rPr>
              </w:pPr>
              <w:r>
                <w:rPr>
                  <w:rFonts w:hint="eastAsia"/>
                  <w:color w:val="000000" w:themeColor="text1"/>
                </w:rPr>
                <w:t>本集团以预期信用损失为基础，对以摊</w:t>
              </w:r>
              <w:proofErr w:type="gramStart"/>
              <w:r>
                <w:rPr>
                  <w:rFonts w:hint="eastAsia"/>
                  <w:color w:val="000000" w:themeColor="text1"/>
                </w:rPr>
                <w:t>余成本</w:t>
              </w:r>
              <w:proofErr w:type="gramEnd"/>
              <w:r>
                <w:rPr>
                  <w:rFonts w:hint="eastAsia"/>
                  <w:color w:val="000000" w:themeColor="text1"/>
                </w:rPr>
                <w:t>计量的金融资产、以公允价值计量且其变动计入其他综合收益的债权投资、合同资产进行减值处理并确认损失准备。</w:t>
              </w:r>
            </w:p>
            <w:p w14:paraId="6639FBFB" w14:textId="77777777" w:rsidR="005E000F" w:rsidRDefault="005E000F">
              <w:pPr>
                <w:rPr>
                  <w:color w:val="000000" w:themeColor="text1"/>
                </w:rPr>
              </w:pPr>
            </w:p>
            <w:p w14:paraId="5984CBB6" w14:textId="77777777" w:rsidR="005E000F" w:rsidRDefault="00000000">
              <w:pPr>
                <w:rPr>
                  <w:color w:val="000000" w:themeColor="text1"/>
                </w:rPr>
              </w:pPr>
              <w:r>
                <w:rPr>
                  <w:color w:val="000000" w:themeColor="text1"/>
                </w:rPr>
                <w:t>1</w:t>
              </w:r>
              <w:r>
                <w:rPr>
                  <w:rFonts w:hint="eastAsia"/>
                  <w:color w:val="000000" w:themeColor="text1"/>
                </w:rPr>
                <w:t>）预期信用损失的计量</w:t>
              </w:r>
            </w:p>
            <w:p w14:paraId="5687E4CD" w14:textId="77777777" w:rsidR="005E000F" w:rsidRDefault="005E000F">
              <w:pPr>
                <w:rPr>
                  <w:color w:val="000000" w:themeColor="text1"/>
                </w:rPr>
              </w:pPr>
            </w:p>
            <w:p w14:paraId="36616497" w14:textId="77777777" w:rsidR="005E000F" w:rsidRDefault="00000000">
              <w:pPr>
                <w:rPr>
                  <w:color w:val="000000" w:themeColor="text1"/>
                </w:rPr>
              </w:pPr>
              <w:r>
                <w:rPr>
                  <w:rFonts w:hint="eastAsia"/>
                  <w:color w:val="000000" w:themeColor="text1"/>
                </w:rPr>
                <w:lastRenderedPageBreak/>
                <w:t>预期信用损失，是指以发生违约的风险为权重的金融工具信用损失的加权平均值。信用损失，是指本集团按照</w:t>
              </w:r>
              <w:proofErr w:type="gramStart"/>
              <w:r>
                <w:rPr>
                  <w:rFonts w:hint="eastAsia"/>
                  <w:color w:val="000000" w:themeColor="text1"/>
                </w:rPr>
                <w:t>原实际</w:t>
              </w:r>
              <w:proofErr w:type="gramEnd"/>
              <w:r>
                <w:rPr>
                  <w:rFonts w:hint="eastAsia"/>
                  <w:color w:val="000000" w:themeColor="text1"/>
                </w:rPr>
                <w:t>利率折现的、根据合同应收的所有合同现金流量与预期收取的所有现金流量之间的差额，即全部现金短缺的现值。</w:t>
              </w:r>
            </w:p>
            <w:p w14:paraId="515CBFB5" w14:textId="77777777" w:rsidR="005E000F" w:rsidRDefault="005E000F">
              <w:pPr>
                <w:rPr>
                  <w:color w:val="000000" w:themeColor="text1"/>
                </w:rPr>
              </w:pPr>
            </w:p>
            <w:p w14:paraId="6E336E33" w14:textId="77777777" w:rsidR="005E000F" w:rsidRDefault="00000000">
              <w:pPr>
                <w:rPr>
                  <w:color w:val="000000" w:themeColor="text1"/>
                </w:rPr>
              </w:pPr>
              <w:r>
                <w:rPr>
                  <w:rFonts w:hint="eastAsia"/>
                  <w:color w:val="000000" w:themeColor="text1"/>
                </w:rPr>
                <w:t>整个存续期预期信用损失，是指因金融工具整个预计存续期内所有可能发生的违约事件而导致的预期信用损失。未来</w:t>
              </w:r>
              <w:r>
                <w:rPr>
                  <w:color w:val="000000" w:themeColor="text1"/>
                </w:rPr>
                <w:t>12</w:t>
              </w:r>
              <w:r>
                <w:rPr>
                  <w:color w:val="000000" w:themeColor="text1"/>
                </w:rPr>
                <w:t>个月内预期信用损失，是指因资产负债表日后</w:t>
              </w:r>
              <w:r>
                <w:rPr>
                  <w:color w:val="000000" w:themeColor="text1"/>
                </w:rPr>
                <w:t>12</w:t>
              </w:r>
              <w:r>
                <w:rPr>
                  <w:color w:val="000000" w:themeColor="text1"/>
                </w:rPr>
                <w:t>个月内</w:t>
              </w:r>
              <w:r>
                <w:rPr>
                  <w:color w:val="000000" w:themeColor="text1"/>
                </w:rPr>
                <w:t>(</w:t>
              </w:r>
              <w:r>
                <w:rPr>
                  <w:color w:val="000000" w:themeColor="text1"/>
                </w:rPr>
                <w:t>若金融工具的预计存续期少于</w:t>
              </w:r>
              <w:r>
                <w:rPr>
                  <w:color w:val="000000" w:themeColor="text1"/>
                </w:rPr>
                <w:t>12</w:t>
              </w:r>
              <w:r>
                <w:rPr>
                  <w:color w:val="000000" w:themeColor="text1"/>
                </w:rPr>
                <w:t>个月，则为预计存续期</w:t>
              </w:r>
              <w:r>
                <w:rPr>
                  <w:color w:val="000000" w:themeColor="text1"/>
                </w:rPr>
                <w:t>)</w:t>
              </w:r>
              <w:r>
                <w:rPr>
                  <w:rFonts w:hint="eastAsia"/>
                  <w:color w:val="000000" w:themeColor="text1"/>
                </w:rPr>
                <w:t>可能发生的金融工具违约事件而导致的预期信用损失，是整个存续期预期信用损失的一部分。</w:t>
              </w:r>
            </w:p>
            <w:p w14:paraId="46178680" w14:textId="77777777" w:rsidR="005E000F" w:rsidRDefault="005E000F">
              <w:pPr>
                <w:rPr>
                  <w:color w:val="000000" w:themeColor="text1"/>
                </w:rPr>
              </w:pPr>
            </w:p>
            <w:p w14:paraId="0F8FAC9A" w14:textId="77777777" w:rsidR="005E000F" w:rsidRDefault="00000000">
              <w:pPr>
                <w:rPr>
                  <w:color w:val="000000" w:themeColor="text1"/>
                </w:rPr>
              </w:pPr>
              <w:r>
                <w:rPr>
                  <w:rFonts w:hint="eastAsia"/>
                  <w:color w:val="000000" w:themeColor="text1"/>
                </w:rPr>
                <w:t>对于因销售商品、提供劳务等日常经营活动形成的不含重大融资成分的应收账款、应收票据、应收款项融资等应收款项以及合同资产，本集团运用简化计量方法，按照相当于整个存续期内的预期信用损失金额计量损失准备。</w:t>
              </w:r>
            </w:p>
            <w:p w14:paraId="15DD4A18" w14:textId="77777777" w:rsidR="005E000F" w:rsidRDefault="005E000F">
              <w:pPr>
                <w:rPr>
                  <w:color w:val="000000" w:themeColor="text1"/>
                </w:rPr>
              </w:pPr>
            </w:p>
            <w:p w14:paraId="65702C65" w14:textId="77777777" w:rsidR="005E000F" w:rsidRDefault="00000000">
              <w:pPr>
                <w:rPr>
                  <w:color w:val="000000" w:themeColor="text1"/>
                </w:rPr>
              </w:pPr>
              <w:r>
                <w:rPr>
                  <w:rFonts w:hint="eastAsia"/>
                  <w:color w:val="000000" w:themeColor="text1"/>
                </w:rPr>
                <w:t>对于租赁应收款、包含重大融资成分的应收款项以及合同资产，本集团选择运用简化计量方法，按照相当于整个存续期内的预期信用损失金额计量损失准备。</w:t>
              </w:r>
            </w:p>
            <w:p w14:paraId="1B6408F1" w14:textId="77777777" w:rsidR="005E000F" w:rsidRDefault="005E000F">
              <w:pPr>
                <w:rPr>
                  <w:color w:val="000000" w:themeColor="text1"/>
                </w:rPr>
              </w:pPr>
            </w:p>
            <w:p w14:paraId="67B7CEC1" w14:textId="77777777" w:rsidR="005E000F" w:rsidRDefault="00000000">
              <w:pPr>
                <w:rPr>
                  <w:color w:val="000000" w:themeColor="text1"/>
                </w:rPr>
              </w:pPr>
              <w:r>
                <w:rPr>
                  <w:rFonts w:hint="eastAsia"/>
                  <w:color w:val="000000" w:themeColor="text1"/>
                </w:rPr>
                <w:t>除上述采用简化计量方法以外的金融资产（如债权投资、其他债权投资、其他应收款）、贷款承诺及财务担保合同，本集团采用一般方法（三阶段法）计提预期信用损失。在每个资产负债表日，本集团评估其信用风险自初始确认后是否已经显著增加，如果信用风险自初始确认后未显著增加，处于第一阶段，本集团按照相当于未来</w:t>
              </w:r>
              <w:r>
                <w:rPr>
                  <w:rFonts w:hint="eastAsia"/>
                  <w:color w:val="000000" w:themeColor="text1"/>
                </w:rPr>
                <w:t>12</w:t>
              </w:r>
              <w:r>
                <w:rPr>
                  <w:rFonts w:hint="eastAsia"/>
                  <w:color w:val="000000" w:themeColor="text1"/>
                </w:rPr>
                <w:t>个月内预期信用损失的金额计量损失准备，并按照账面余额和实际利率计算利息收入；如果信用风险自初始确认后已显著增加但尚未发生信用减值的，处于第二阶段，本集团按照相当于整个存续期内预期信用损失的金额计量损失准备，并按照账面余额和实际利率计算利息收入；如果初始确认后发生信用减值的，处于第三阶段，本集团按照相当于整个存续期内预期信用损失的金额计量损失准备，并按照摊</w:t>
              </w:r>
              <w:proofErr w:type="gramStart"/>
              <w:r>
                <w:rPr>
                  <w:rFonts w:hint="eastAsia"/>
                  <w:color w:val="000000" w:themeColor="text1"/>
                </w:rPr>
                <w:t>余成本</w:t>
              </w:r>
              <w:proofErr w:type="gramEnd"/>
              <w:r>
                <w:rPr>
                  <w:rFonts w:hint="eastAsia"/>
                  <w:color w:val="000000" w:themeColor="text1"/>
                </w:rPr>
                <w:t>和实际利率计算利息收入。</w:t>
              </w:r>
            </w:p>
            <w:p w14:paraId="1183ADB7" w14:textId="77777777" w:rsidR="005E000F" w:rsidRDefault="005E000F">
              <w:pPr>
                <w:rPr>
                  <w:color w:val="000000" w:themeColor="text1"/>
                </w:rPr>
              </w:pPr>
            </w:p>
            <w:p w14:paraId="03ABF2AB" w14:textId="77777777" w:rsidR="005E000F" w:rsidRDefault="00000000">
              <w:pPr>
                <w:rPr>
                  <w:color w:val="000000" w:themeColor="text1"/>
                </w:rPr>
              </w:pPr>
              <w:r>
                <w:rPr>
                  <w:color w:val="000000" w:themeColor="text1"/>
                </w:rPr>
                <w:t>2</w:t>
              </w:r>
              <w:r>
                <w:rPr>
                  <w:color w:val="000000" w:themeColor="text1"/>
                </w:rPr>
                <w:t>）按照信用风险特征组合计提减值准备的组合类别及确定依据</w:t>
              </w:r>
            </w:p>
            <w:p w14:paraId="76892B89" w14:textId="77777777" w:rsidR="005E000F" w:rsidRDefault="005E000F">
              <w:pPr>
                <w:rPr>
                  <w:color w:val="000000" w:themeColor="text1"/>
                </w:rPr>
              </w:pPr>
            </w:p>
            <w:p w14:paraId="0758276D" w14:textId="77777777" w:rsidR="005E000F" w:rsidRDefault="00000000">
              <w:pPr>
                <w:rPr>
                  <w:color w:val="000000" w:themeColor="text1"/>
                </w:rPr>
              </w:pPr>
              <w:r>
                <w:rPr>
                  <w:rFonts w:hint="eastAsia"/>
                  <w:color w:val="000000" w:themeColor="text1"/>
                </w:rPr>
                <w:t>本集团基于单项和组合评估金融工具的预期信用损失，以组合为基础进行评估时，本集团基于共同信用风险特征将金融工具分为不同组别。本集团采用的共同信用风险特征包括：金融工具类型、信用风险评级、逾期信息、应收款项账龄等。</w:t>
              </w:r>
            </w:p>
            <w:p w14:paraId="5BED2F6D" w14:textId="77777777" w:rsidR="005E000F" w:rsidRDefault="005E000F">
              <w:pPr>
                <w:rPr>
                  <w:color w:val="000000" w:themeColor="text1"/>
                </w:rPr>
              </w:pPr>
            </w:p>
            <w:tbl>
              <w:tblPr>
                <w:tblStyle w:val="aff2"/>
                <w:tblW w:w="4999" w:type="pct"/>
                <w:tblLook w:val="04A0" w:firstRow="1" w:lastRow="0" w:firstColumn="1" w:lastColumn="0" w:noHBand="0" w:noVBand="1"/>
              </w:tblPr>
              <w:tblGrid>
                <w:gridCol w:w="1694"/>
                <w:gridCol w:w="7353"/>
              </w:tblGrid>
              <w:tr w:rsidR="005E000F" w14:paraId="75ABAB66" w14:textId="77777777">
                <w:tc>
                  <w:tcPr>
                    <w:tcW w:w="936" w:type="pct"/>
                  </w:tcPr>
                  <w:p w14:paraId="35415698" w14:textId="77777777" w:rsidR="005E000F" w:rsidRDefault="00000000">
                    <w:pPr>
                      <w:rPr>
                        <w:color w:val="000000" w:themeColor="text1"/>
                      </w:rPr>
                    </w:pPr>
                    <w:r>
                      <w:rPr>
                        <w:color w:val="000000" w:themeColor="text1"/>
                      </w:rPr>
                      <w:t>应收账款</w:t>
                    </w:r>
                  </w:p>
                </w:tc>
                <w:tc>
                  <w:tcPr>
                    <w:tcW w:w="4063" w:type="pct"/>
                  </w:tcPr>
                  <w:p w14:paraId="26A3D193" w14:textId="77777777" w:rsidR="005E000F" w:rsidRDefault="00000000">
                    <w:pPr>
                      <w:rPr>
                        <w:color w:val="000000" w:themeColor="text1"/>
                      </w:rPr>
                    </w:pPr>
                    <w:r>
                      <w:rPr>
                        <w:color w:val="000000" w:themeColor="text1"/>
                      </w:rPr>
                      <w:t>根据本集团历史经验，应收账款计提坏账的组合类别为国铁集团及其下属单位和非关联</w:t>
                    </w:r>
                    <w:proofErr w:type="gramStart"/>
                    <w:r>
                      <w:rPr>
                        <w:color w:val="000000" w:themeColor="text1"/>
                      </w:rPr>
                      <w:t>方两种</w:t>
                    </w:r>
                    <w:proofErr w:type="gramEnd"/>
                    <w:r>
                      <w:rPr>
                        <w:color w:val="000000" w:themeColor="text1"/>
                      </w:rPr>
                      <w:t>主要客户类型，并结合应收账</w:t>
                    </w:r>
                    <w:proofErr w:type="gramStart"/>
                    <w:r>
                      <w:rPr>
                        <w:color w:val="000000" w:themeColor="text1"/>
                      </w:rPr>
                      <w:t>龄</w:t>
                    </w:r>
                    <w:proofErr w:type="gramEnd"/>
                    <w:r>
                      <w:rPr>
                        <w:color w:val="000000" w:themeColor="text1"/>
                      </w:rPr>
                      <w:t>搭建预期信用损失矩阵模型，来分别计算应收账款的预期信用损失。</w:t>
                    </w:r>
                  </w:p>
                </w:tc>
              </w:tr>
              <w:tr w:rsidR="005E000F" w14:paraId="4327E465" w14:textId="77777777">
                <w:tc>
                  <w:tcPr>
                    <w:tcW w:w="936" w:type="pct"/>
                  </w:tcPr>
                  <w:p w14:paraId="55DB4E55" w14:textId="77777777" w:rsidR="005E000F" w:rsidRDefault="00000000">
                    <w:pPr>
                      <w:rPr>
                        <w:color w:val="000000" w:themeColor="text1"/>
                      </w:rPr>
                    </w:pPr>
                    <w:r>
                      <w:rPr>
                        <w:rFonts w:hint="eastAsia"/>
                        <w:color w:val="000000" w:themeColor="text1"/>
                      </w:rPr>
                      <w:t>其他应收款</w:t>
                    </w:r>
                  </w:p>
                </w:tc>
                <w:tc>
                  <w:tcPr>
                    <w:tcW w:w="4063" w:type="pct"/>
                  </w:tcPr>
                  <w:p w14:paraId="5958EA78" w14:textId="77777777" w:rsidR="005E000F" w:rsidRDefault="00000000">
                    <w:pPr>
                      <w:rPr>
                        <w:color w:val="000000" w:themeColor="text1"/>
                      </w:rPr>
                    </w:pPr>
                    <w:r>
                      <w:rPr>
                        <w:color w:val="000000" w:themeColor="text1"/>
                      </w:rPr>
                      <w:t>本集团其他应收款主要包括应收押金和保证金、</w:t>
                    </w:r>
                    <w:proofErr w:type="gramStart"/>
                    <w:r>
                      <w:rPr>
                        <w:color w:val="000000" w:themeColor="text1"/>
                      </w:rPr>
                      <w:t>应收员工</w:t>
                    </w:r>
                    <w:proofErr w:type="gramEnd"/>
                    <w:r>
                      <w:rPr>
                        <w:color w:val="000000" w:themeColor="text1"/>
                      </w:rPr>
                      <w:t>备用金、应收关联方往来款等。根据应收款的性质和不同对手方的信用风险特征，本集团将其他应收款划分为两个组合，具体为：国铁集团及其下属单位、非关联方。</w:t>
                    </w:r>
                  </w:p>
                </w:tc>
              </w:tr>
              <w:tr w:rsidR="005E000F" w14:paraId="45525BFF" w14:textId="77777777">
                <w:tc>
                  <w:tcPr>
                    <w:tcW w:w="936" w:type="pct"/>
                  </w:tcPr>
                  <w:p w14:paraId="6C71D89F" w14:textId="77777777" w:rsidR="005E000F" w:rsidRDefault="00000000">
                    <w:pPr>
                      <w:rPr>
                        <w:color w:val="000000" w:themeColor="text1"/>
                      </w:rPr>
                    </w:pPr>
                    <w:r>
                      <w:rPr>
                        <w:rFonts w:hint="eastAsia"/>
                        <w:color w:val="000000" w:themeColor="text1"/>
                      </w:rPr>
                      <w:t>应收款项融资</w:t>
                    </w:r>
                  </w:p>
                </w:tc>
                <w:tc>
                  <w:tcPr>
                    <w:tcW w:w="4063" w:type="pct"/>
                  </w:tcPr>
                  <w:p w14:paraId="6690351C" w14:textId="77777777" w:rsidR="005E000F" w:rsidRDefault="00000000">
                    <w:pPr>
                      <w:rPr>
                        <w:color w:val="000000" w:themeColor="text1"/>
                      </w:rPr>
                    </w:pPr>
                    <w:r>
                      <w:rPr>
                        <w:color w:val="000000" w:themeColor="text1"/>
                      </w:rPr>
                      <w:t>本集团应收款项融资为有双重持有目的的应收银行承兑汇票。由于承兑银行均为信用等级较高的银行，本集团将全部应收款项融资作为一个组合。</w:t>
                    </w:r>
                  </w:p>
                </w:tc>
              </w:tr>
            </w:tbl>
            <w:p w14:paraId="03A023E7" w14:textId="77777777" w:rsidR="005E000F" w:rsidRDefault="005E000F">
              <w:pPr>
                <w:rPr>
                  <w:color w:val="000000" w:themeColor="text1"/>
                </w:rPr>
              </w:pPr>
            </w:p>
            <w:p w14:paraId="318DF55D" w14:textId="77777777" w:rsidR="005E000F" w:rsidRDefault="00000000">
              <w:pPr>
                <w:rPr>
                  <w:color w:val="000000" w:themeColor="text1"/>
                </w:rPr>
              </w:pPr>
              <w:r>
                <w:rPr>
                  <w:color w:val="000000" w:themeColor="text1"/>
                </w:rPr>
                <w:t>3)</w:t>
              </w:r>
              <w:r>
                <w:rPr>
                  <w:rFonts w:hint="eastAsia"/>
                  <w:color w:val="000000" w:themeColor="text1"/>
                </w:rPr>
                <w:t>按照单项计提坏账减值准备的单项计提判断标准</w:t>
              </w:r>
            </w:p>
            <w:p w14:paraId="2E0ABD37" w14:textId="77777777" w:rsidR="005E000F" w:rsidRDefault="005E000F">
              <w:pPr>
                <w:rPr>
                  <w:color w:val="000000" w:themeColor="text1"/>
                </w:rPr>
              </w:pPr>
            </w:p>
            <w:p w14:paraId="6D09A4F2" w14:textId="77777777" w:rsidR="005E000F" w:rsidRDefault="00000000">
              <w:pPr>
                <w:rPr>
                  <w:color w:val="000000" w:themeColor="text1"/>
                </w:rPr>
              </w:pPr>
              <w:r>
                <w:rPr>
                  <w:color w:val="000000" w:themeColor="text1"/>
                </w:rPr>
                <w:t>本集团对于应收账款、应收款项融资和其他应收款，通常按照信用风险特征组合计量其损失准备。若某一对手方信用风险特征与组合中其他对手</w:t>
              </w:r>
              <w:proofErr w:type="gramStart"/>
              <w:r>
                <w:rPr>
                  <w:color w:val="000000" w:themeColor="text1"/>
                </w:rPr>
                <w:t>方显著</w:t>
              </w:r>
              <w:proofErr w:type="gramEnd"/>
              <w:r>
                <w:rPr>
                  <w:color w:val="000000" w:themeColor="text1"/>
                </w:rPr>
                <w:t>不同，或</w:t>
              </w:r>
              <w:proofErr w:type="gramStart"/>
              <w:r>
                <w:rPr>
                  <w:color w:val="000000" w:themeColor="text1"/>
                </w:rPr>
                <w:t>该对手</w:t>
              </w:r>
              <w:proofErr w:type="gramEnd"/>
              <w:r>
                <w:rPr>
                  <w:color w:val="000000" w:themeColor="text1"/>
                </w:rPr>
                <w:t>方信用风险特征发生显著变化，对应收</w:t>
              </w:r>
              <w:proofErr w:type="gramStart"/>
              <w:r>
                <w:rPr>
                  <w:color w:val="000000" w:themeColor="text1"/>
                </w:rPr>
                <w:t>该对手</w:t>
              </w:r>
              <w:proofErr w:type="gramEnd"/>
              <w:r>
                <w:rPr>
                  <w:color w:val="000000" w:themeColor="text1"/>
                </w:rPr>
                <w:t>方款项按照单项计提损失准备。例如，当</w:t>
              </w:r>
              <w:proofErr w:type="gramStart"/>
              <w:r>
                <w:rPr>
                  <w:color w:val="000000" w:themeColor="text1"/>
                </w:rPr>
                <w:t>某对手</w:t>
              </w:r>
              <w:proofErr w:type="gramEnd"/>
              <w:r>
                <w:rPr>
                  <w:color w:val="000000" w:themeColor="text1"/>
                </w:rPr>
                <w:t>方发生严重财务困难，应收</w:t>
              </w:r>
              <w:proofErr w:type="gramStart"/>
              <w:r>
                <w:rPr>
                  <w:color w:val="000000" w:themeColor="text1"/>
                </w:rPr>
                <w:t>该对手</w:t>
              </w:r>
              <w:proofErr w:type="gramEnd"/>
              <w:r>
                <w:rPr>
                  <w:color w:val="000000" w:themeColor="text1"/>
                </w:rPr>
                <w:t>方款项的预期信用损失率已显著高于其所处于账龄区间的预期信用损失率时，对其单项计提损失准备。</w:t>
              </w:r>
            </w:p>
            <w:p w14:paraId="2609BA12" w14:textId="77777777" w:rsidR="005E000F" w:rsidRDefault="005E000F">
              <w:pPr>
                <w:rPr>
                  <w:color w:val="000000" w:themeColor="text1"/>
                </w:rPr>
              </w:pPr>
            </w:p>
            <w:p w14:paraId="5E341C94" w14:textId="77777777" w:rsidR="005E000F" w:rsidRDefault="00000000">
              <w:pPr>
                <w:rPr>
                  <w:color w:val="000000" w:themeColor="text1"/>
                </w:rPr>
              </w:pPr>
              <w:r>
                <w:rPr>
                  <w:color w:val="000000" w:themeColor="text1"/>
                </w:rPr>
                <w:t>具有较低的信用风险</w:t>
              </w:r>
            </w:p>
            <w:p w14:paraId="10394404" w14:textId="77777777" w:rsidR="005E000F" w:rsidRDefault="005E000F">
              <w:pPr>
                <w:rPr>
                  <w:color w:val="000000" w:themeColor="text1"/>
                </w:rPr>
              </w:pPr>
            </w:p>
            <w:p w14:paraId="7FF316A8" w14:textId="77777777" w:rsidR="005E000F" w:rsidRDefault="00000000">
              <w:pPr>
                <w:rPr>
                  <w:color w:val="000000" w:themeColor="text1"/>
                </w:rPr>
              </w:pPr>
              <w:r>
                <w:rPr>
                  <w:color w:val="000000" w:themeColor="text1"/>
                </w:rPr>
                <w:lastRenderedPageBreak/>
                <w:t>如果金融工具的违约风险较低，借款人在短期内履行其合同现金流量义务的能力很强，并且即便较长时期内经济形势和经营环境存在不利变化但未必一定降低借款人履行其合同现金流量义务的能力，该金融工具被视为具有较低的信用风险。</w:t>
              </w:r>
            </w:p>
            <w:p w14:paraId="2BB916A1" w14:textId="77777777" w:rsidR="005E000F" w:rsidRDefault="005E000F">
              <w:pPr>
                <w:rPr>
                  <w:color w:val="000000" w:themeColor="text1"/>
                </w:rPr>
              </w:pPr>
            </w:p>
            <w:p w14:paraId="76A5F208" w14:textId="77777777" w:rsidR="005E000F" w:rsidRDefault="00000000">
              <w:pPr>
                <w:rPr>
                  <w:color w:val="000000" w:themeColor="text1"/>
                </w:rPr>
              </w:pPr>
              <w:r>
                <w:rPr>
                  <w:rFonts w:hint="eastAsia"/>
                  <w:color w:val="000000" w:themeColor="text1"/>
                </w:rPr>
                <w:t>对于资产负债表日只具有较低信用风险的金融工具，本集团假设其信用风险自初始确认后未显著增加。关于本集团对信用风险显著增加判断标准、已发生信用减值资产的定义如下：</w:t>
              </w:r>
            </w:p>
            <w:p w14:paraId="57430B0D" w14:textId="77777777" w:rsidR="005E000F" w:rsidRDefault="005E000F">
              <w:pPr>
                <w:rPr>
                  <w:color w:val="000000" w:themeColor="text1"/>
                </w:rPr>
              </w:pPr>
            </w:p>
            <w:p w14:paraId="420BCC29" w14:textId="77777777" w:rsidR="005E000F" w:rsidRDefault="00000000">
              <w:pPr>
                <w:rPr>
                  <w:color w:val="000000" w:themeColor="text1"/>
                </w:rPr>
              </w:pPr>
              <w:r>
                <w:rPr>
                  <w:rFonts w:hint="eastAsia"/>
                  <w:color w:val="000000" w:themeColor="text1"/>
                </w:rPr>
                <w:t>信用风险显著增加判断标准</w:t>
              </w:r>
            </w:p>
            <w:p w14:paraId="59A423F3" w14:textId="77777777" w:rsidR="005E000F" w:rsidRDefault="005E000F">
              <w:pPr>
                <w:rPr>
                  <w:color w:val="000000" w:themeColor="text1"/>
                </w:rPr>
              </w:pPr>
            </w:p>
            <w:p w14:paraId="09040011" w14:textId="77777777" w:rsidR="005E000F" w:rsidRDefault="00000000">
              <w:pPr>
                <w:rPr>
                  <w:color w:val="000000" w:themeColor="text1"/>
                </w:rPr>
              </w:pPr>
              <w:r>
                <w:rPr>
                  <w:rFonts w:hint="eastAsia"/>
                  <w:color w:val="000000" w:themeColor="text1"/>
                </w:rPr>
                <w:t>本集团在每个资产负债表日，通过比较金融工具在初始确认时所确定的预计存续期内的违约概率和该工具在资产负债表日所确定的预计存续期内的违约概率，来判定金融工具信用风险自初始确认后是否显著增加。但是，如果本集团确定金融工具在资产负债表日只具有较低的信用风险的，可以假设该金融工具的信用风险自初始确认后并未显著增加。</w:t>
              </w:r>
            </w:p>
            <w:p w14:paraId="79833708" w14:textId="77777777" w:rsidR="005E000F" w:rsidRDefault="005E000F">
              <w:pPr>
                <w:rPr>
                  <w:color w:val="000000" w:themeColor="text1"/>
                </w:rPr>
              </w:pPr>
            </w:p>
            <w:p w14:paraId="39E32A37" w14:textId="77777777" w:rsidR="005E000F" w:rsidRDefault="00000000">
              <w:pPr>
                <w:rPr>
                  <w:color w:val="000000" w:themeColor="text1"/>
                </w:rPr>
              </w:pPr>
              <w:r>
                <w:rPr>
                  <w:rFonts w:hint="eastAsia"/>
                  <w:color w:val="000000" w:themeColor="text1"/>
                </w:rPr>
                <w:t>在确定信用风险自初始确认后是否显著增加时，本集团考虑无须付出不必要的额外成本或努力即可获得的合理且有依据的信息，包括前瞻性信息。本集团考虑的信息包括：债务人未能按合同到期日支付本金和利息的情况、已发生的或预期的金融工具的外部或内部信用评级</w:t>
              </w:r>
              <w:r>
                <w:rPr>
                  <w:rFonts w:hint="eastAsia"/>
                  <w:color w:val="000000" w:themeColor="text1"/>
                </w:rPr>
                <w:t>(</w:t>
              </w:r>
              <w:r>
                <w:rPr>
                  <w:rFonts w:hint="eastAsia"/>
                  <w:color w:val="000000" w:themeColor="text1"/>
                </w:rPr>
                <w:t>如有</w:t>
              </w:r>
              <w:r>
                <w:rPr>
                  <w:rFonts w:hint="eastAsia"/>
                  <w:color w:val="000000" w:themeColor="text1"/>
                </w:rPr>
                <w:t>)</w:t>
              </w:r>
              <w:r>
                <w:rPr>
                  <w:rFonts w:hint="eastAsia"/>
                  <w:color w:val="000000" w:themeColor="text1"/>
                </w:rPr>
                <w:t>的严重恶化、已发生的或预期的债务人经营成果的严重恶化、现存的或预期的技术、市场、经济或法律环境变化，并将对债务人对本集团的还款能力产生重大不利影响。</w:t>
              </w:r>
            </w:p>
            <w:p w14:paraId="5AD740A4" w14:textId="77777777" w:rsidR="005E000F" w:rsidRDefault="005E000F">
              <w:pPr>
                <w:rPr>
                  <w:color w:val="000000" w:themeColor="text1"/>
                </w:rPr>
              </w:pPr>
            </w:p>
            <w:p w14:paraId="0ED7CA6B" w14:textId="77777777" w:rsidR="005E000F" w:rsidRDefault="00000000">
              <w:pPr>
                <w:rPr>
                  <w:color w:val="000000" w:themeColor="text1"/>
                </w:rPr>
              </w:pPr>
              <w:r>
                <w:rPr>
                  <w:rFonts w:hint="eastAsia"/>
                  <w:color w:val="000000" w:themeColor="text1"/>
                </w:rPr>
                <w:t>根据金融工具的性质，本集团以单项金融工具或金融工具组合为基础评估信用风险是否显著增加。以金融工具组合为基础进行评估时，本集团可基于共同信用风险特征对金融工具进行分类，例如逾期信息和信用风险评级。</w:t>
              </w:r>
            </w:p>
            <w:p w14:paraId="077D217F" w14:textId="77777777" w:rsidR="005E000F" w:rsidRDefault="005E000F">
              <w:pPr>
                <w:rPr>
                  <w:color w:val="000000" w:themeColor="text1"/>
                </w:rPr>
              </w:pPr>
            </w:p>
            <w:p w14:paraId="667AC892" w14:textId="77777777" w:rsidR="005E000F" w:rsidRDefault="00000000">
              <w:pPr>
                <w:rPr>
                  <w:color w:val="000000" w:themeColor="text1"/>
                </w:rPr>
              </w:pPr>
              <w:r>
                <w:rPr>
                  <w:rFonts w:hint="eastAsia"/>
                  <w:color w:val="000000" w:themeColor="text1"/>
                </w:rPr>
                <w:t>已发生信用减值资产的定义</w:t>
              </w:r>
            </w:p>
            <w:p w14:paraId="0F6D752A" w14:textId="77777777" w:rsidR="005E000F" w:rsidRDefault="005E000F">
              <w:pPr>
                <w:rPr>
                  <w:color w:val="000000" w:themeColor="text1"/>
                </w:rPr>
              </w:pPr>
            </w:p>
            <w:p w14:paraId="753483DA" w14:textId="77777777" w:rsidR="005E000F" w:rsidRDefault="00000000">
              <w:pPr>
                <w:rPr>
                  <w:color w:val="000000" w:themeColor="text1"/>
                </w:rPr>
              </w:pPr>
              <w:r>
                <w:rPr>
                  <w:color w:val="000000" w:themeColor="text1"/>
                </w:rPr>
                <w:t>本集团在资产负债表日评估以摊</w:t>
              </w:r>
              <w:proofErr w:type="gramStart"/>
              <w:r>
                <w:rPr>
                  <w:color w:val="000000" w:themeColor="text1"/>
                </w:rPr>
                <w:t>余成本</w:t>
              </w:r>
              <w:proofErr w:type="gramEnd"/>
              <w:r>
                <w:rPr>
                  <w:color w:val="000000" w:themeColor="text1"/>
                </w:rPr>
                <w:t>计量的金融资产和以公允价值计量且其变动计入其他综合收益的债权投资是否已发生信用减值。</w:t>
              </w:r>
              <w:r>
                <w:rPr>
                  <w:rFonts w:hint="eastAsia"/>
                  <w:color w:val="000000" w:themeColor="text1"/>
                </w:rPr>
                <w:t>当对金融资产预期未来现金流量具有不利影响的一项或多项事件发生时，该金融资产成为已发生信用减值的金融资产。</w:t>
              </w:r>
            </w:p>
            <w:p w14:paraId="7AB339DA" w14:textId="77777777" w:rsidR="005E000F" w:rsidRDefault="005E000F">
              <w:pPr>
                <w:rPr>
                  <w:color w:val="000000" w:themeColor="text1"/>
                </w:rPr>
              </w:pPr>
            </w:p>
            <w:p w14:paraId="48BF638B" w14:textId="77777777" w:rsidR="005E000F" w:rsidRDefault="00000000">
              <w:pPr>
                <w:rPr>
                  <w:color w:val="000000" w:themeColor="text1"/>
                </w:rPr>
              </w:pPr>
              <w:r>
                <w:rPr>
                  <w:rFonts w:hint="eastAsia"/>
                  <w:color w:val="000000" w:themeColor="text1"/>
                </w:rPr>
                <w:t>金融资产已发生信用减值的证据包括下列可观察信息：发行方或债务人发生重大财务困难；债务人违反合同，如偿付利息或本金违约或逾期等；本集团出于与债务人财务困难有关的经济或合同考虑，给予债务人在任何其他情况下都不会做出的让步；债务人很可能破产或进行其他财务重组；发行方或债务人财务困难导致该金融资产的活跃市场消失。</w:t>
              </w:r>
            </w:p>
            <w:p w14:paraId="715AB55E" w14:textId="77777777" w:rsidR="005E000F" w:rsidRDefault="005E000F">
              <w:pPr>
                <w:rPr>
                  <w:color w:val="000000" w:themeColor="text1"/>
                </w:rPr>
              </w:pPr>
            </w:p>
            <w:p w14:paraId="3FECCA3D" w14:textId="77777777" w:rsidR="005E000F" w:rsidRDefault="00000000">
              <w:pPr>
                <w:rPr>
                  <w:color w:val="000000" w:themeColor="text1"/>
                </w:rPr>
              </w:pPr>
              <w:r>
                <w:rPr>
                  <w:color w:val="000000" w:themeColor="text1"/>
                </w:rPr>
                <w:t>为反映金融工具的信用风险自初始确认后的变化，本集团在每个资产负债表日重新计量预期信用损失，由此形成的损失准备的增加或转回金额，应当作为减值损失或利得计入当期损益。对于以摊</w:t>
              </w:r>
              <w:proofErr w:type="gramStart"/>
              <w:r>
                <w:rPr>
                  <w:color w:val="000000" w:themeColor="text1"/>
                </w:rPr>
                <w:t>余成本</w:t>
              </w:r>
              <w:proofErr w:type="gramEnd"/>
              <w:r>
                <w:rPr>
                  <w:color w:val="000000" w:themeColor="text1"/>
                </w:rPr>
                <w:t>计量的金融资产，损失准备抵减该金融资产在资产负债表中列示的账面价值；对于以公允价值计量且其变动计入其他综合收益的债权投资，本集团在其他综合收益中确认其损失准备</w:t>
              </w:r>
              <w:r>
                <w:rPr>
                  <w:rFonts w:hint="eastAsia"/>
                  <w:color w:val="000000" w:themeColor="text1"/>
                </w:rPr>
                <w:t>，</w:t>
              </w:r>
              <w:r>
                <w:rPr>
                  <w:color w:val="000000" w:themeColor="text1"/>
                </w:rPr>
                <w:t>不抵减该金融资产的账面价值。</w:t>
              </w:r>
            </w:p>
            <w:p w14:paraId="7A175FFF" w14:textId="77777777" w:rsidR="005E000F" w:rsidRDefault="005E000F">
              <w:pPr>
                <w:rPr>
                  <w:color w:val="000000" w:themeColor="text1"/>
                </w:rPr>
              </w:pPr>
            </w:p>
            <w:p w14:paraId="6DCAB1AB" w14:textId="77777777" w:rsidR="005E000F" w:rsidRDefault="00000000">
              <w:pPr>
                <w:rPr>
                  <w:color w:val="000000" w:themeColor="text1"/>
                </w:rPr>
              </w:pPr>
              <w:r>
                <w:rPr>
                  <w:color w:val="000000" w:themeColor="text1"/>
                </w:rPr>
                <w:t>4)</w:t>
              </w:r>
              <w:r>
                <w:rPr>
                  <w:rFonts w:hint="eastAsia"/>
                  <w:color w:val="000000" w:themeColor="text1"/>
                </w:rPr>
                <w:t>减值准备的核销</w:t>
              </w:r>
            </w:p>
            <w:p w14:paraId="140EED07" w14:textId="77777777" w:rsidR="005E000F" w:rsidRDefault="005E000F">
              <w:pPr>
                <w:rPr>
                  <w:color w:val="000000" w:themeColor="text1"/>
                </w:rPr>
              </w:pPr>
            </w:p>
            <w:p w14:paraId="1BA7DB6B" w14:textId="77777777" w:rsidR="005E000F" w:rsidRDefault="00000000">
              <w:pPr>
                <w:rPr>
                  <w:color w:val="000000" w:themeColor="text1"/>
                </w:rPr>
              </w:pPr>
              <w:r>
                <w:rPr>
                  <w:color w:val="000000" w:themeColor="text1"/>
                </w:rPr>
                <w:t>如果本集团不再合理预期金融资产合同现金流量能够全部或部分收回，则直接</w:t>
              </w:r>
              <w:proofErr w:type="gramStart"/>
              <w:r>
                <w:rPr>
                  <w:color w:val="000000" w:themeColor="text1"/>
                </w:rPr>
                <w:t>减记该</w:t>
              </w:r>
              <w:proofErr w:type="gramEnd"/>
              <w:r>
                <w:rPr>
                  <w:color w:val="000000" w:themeColor="text1"/>
                </w:rPr>
                <w:t>金融资产的账面余额。这种</w:t>
              </w:r>
              <w:proofErr w:type="gramStart"/>
              <w:r>
                <w:rPr>
                  <w:color w:val="000000" w:themeColor="text1"/>
                </w:rPr>
                <w:t>减记构成</w:t>
              </w:r>
              <w:proofErr w:type="gramEnd"/>
              <w:r>
                <w:rPr>
                  <w:color w:val="000000" w:themeColor="text1"/>
                </w:rPr>
                <w:t>相关金融资产的终止确认。这种情况通常发生在本集团确定债务人没有资产或收入来源可产生足够的现金流量以偿还将被减记的金额。但是，被减记的金融资产仍可能受到本集团催收到期款项相关执行活动的影响。已减记的金融资产以后又收回的，作为减值损失的转回计入收回当期的损益。</w:t>
              </w:r>
            </w:p>
            <w:p w14:paraId="1199625A" w14:textId="77777777" w:rsidR="005E000F" w:rsidRDefault="005E000F">
              <w:pPr>
                <w:rPr>
                  <w:color w:val="000000" w:themeColor="text1"/>
                </w:rPr>
              </w:pPr>
            </w:p>
            <w:p w14:paraId="445EDF4D" w14:textId="77777777" w:rsidR="005E000F" w:rsidRDefault="00000000">
              <w:pPr>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）金融资产转移的确认依据和计量方法</w:t>
              </w:r>
            </w:p>
            <w:p w14:paraId="06A96731" w14:textId="77777777" w:rsidR="005E000F" w:rsidRDefault="005E000F">
              <w:pPr>
                <w:rPr>
                  <w:color w:val="000000" w:themeColor="text1"/>
                </w:rPr>
              </w:pPr>
            </w:p>
            <w:p w14:paraId="2BE86A97" w14:textId="77777777" w:rsidR="005E000F" w:rsidRDefault="00000000">
              <w:pPr>
                <w:rPr>
                  <w:color w:val="000000" w:themeColor="text1"/>
                </w:rPr>
              </w:pPr>
              <w:r>
                <w:rPr>
                  <w:rFonts w:hint="eastAsia"/>
                  <w:color w:val="000000" w:themeColor="text1"/>
                </w:rPr>
                <w:lastRenderedPageBreak/>
                <w:t>对于金融资产转移交易，本集团已将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放弃了对该金融资产控制的，终止确认该金融资产并确认产生的资产和负债，未放弃对该金融资产控制的，按照其继续涉入所转移金融资产的程度确认有关金融资产，并相应确认有关负债。</w:t>
              </w:r>
            </w:p>
            <w:p w14:paraId="0E4DE7A5" w14:textId="77777777" w:rsidR="005E000F" w:rsidRDefault="005E000F">
              <w:pPr>
                <w:rPr>
                  <w:color w:val="000000" w:themeColor="text1"/>
                </w:rPr>
              </w:pPr>
            </w:p>
            <w:p w14:paraId="5DBC4EAD" w14:textId="77777777" w:rsidR="005E000F" w:rsidRDefault="00000000">
              <w:pPr>
                <w:rPr>
                  <w:color w:val="000000" w:themeColor="text1"/>
                </w:rPr>
              </w:pPr>
              <w:r>
                <w:rPr>
                  <w:rFonts w:hint="eastAsia"/>
                  <w:color w:val="000000" w:themeColor="text1"/>
                </w:rPr>
                <w:t>金融资产整体转移满足终止确认条件的，将所转移金融资产在终止确认日的账面价值，与因转移而收到的对价及</w:t>
              </w:r>
              <w:proofErr w:type="gramStart"/>
              <w:r>
                <w:rPr>
                  <w:rFonts w:hint="eastAsia"/>
                  <w:color w:val="000000" w:themeColor="text1"/>
                </w:rPr>
                <w:t>原直接</w:t>
              </w:r>
              <w:proofErr w:type="gramEnd"/>
              <w:r>
                <w:rPr>
                  <w:rFonts w:hint="eastAsia"/>
                  <w:color w:val="000000" w:themeColor="text1"/>
                </w:rPr>
                <w:t>计入其他综合收益的公允价值变动累计额中对应终止确认部分的金额（涉及转移的金融资产同时符合下列条件：①集团管理该金融资产的业务模式既以收取合同现金流量为目标又以出售该金融资产为目标；②该金融资产的合同条款规定，在特定日期产生的现金流量，仅为对本金和以</w:t>
              </w:r>
              <w:proofErr w:type="gramStart"/>
              <w:r>
                <w:rPr>
                  <w:rFonts w:hint="eastAsia"/>
                  <w:color w:val="000000" w:themeColor="text1"/>
                </w:rPr>
                <w:t>未偿付本</w:t>
              </w:r>
              <w:proofErr w:type="gramEnd"/>
              <w:r>
                <w:rPr>
                  <w:rFonts w:hint="eastAsia"/>
                  <w:color w:val="000000" w:themeColor="text1"/>
                </w:rPr>
                <w:t>金金额为基础的利息的支付。）之和的差额计入当期损益。</w:t>
              </w:r>
            </w:p>
            <w:p w14:paraId="1C23235C" w14:textId="77777777" w:rsidR="005E000F" w:rsidRDefault="005E000F">
              <w:pPr>
                <w:rPr>
                  <w:color w:val="000000" w:themeColor="text1"/>
                </w:rPr>
              </w:pPr>
            </w:p>
            <w:p w14:paraId="0B10321A" w14:textId="77777777" w:rsidR="005E000F" w:rsidRDefault="00000000">
              <w:pPr>
                <w:rPr>
                  <w:color w:val="000000" w:themeColor="text1"/>
                </w:rPr>
              </w:pPr>
              <w:r>
                <w:rPr>
                  <w:rFonts w:hint="eastAsia"/>
                  <w:color w:val="000000" w:themeColor="text1"/>
                </w:rPr>
                <w:t>金融资产部分转移满足终止确认条件的，将所转移金融资产整体的账面价值，在终止确认部分和未终止确认部分之间，按照各自的相对公允价值进行分摊，并将因转移而收到的对价及应分摊至终止确认部分的原计入其他综合收益的公允价值变动累计额中对应终止确认部分的金额（涉及转移的金融资产同时符合下列条件：①集团管理该金融资产的业务模式既以收取合同现金流量为目标又以出售该金融资产为目标；②该金融资产的合同条款规定，在特定日期产生的现金流量，仅为对本金和以</w:t>
              </w:r>
              <w:proofErr w:type="gramStart"/>
              <w:r>
                <w:rPr>
                  <w:rFonts w:hint="eastAsia"/>
                  <w:color w:val="000000" w:themeColor="text1"/>
                </w:rPr>
                <w:t>未偿付本</w:t>
              </w:r>
              <w:proofErr w:type="gramEnd"/>
              <w:r>
                <w:rPr>
                  <w:rFonts w:hint="eastAsia"/>
                  <w:color w:val="000000" w:themeColor="text1"/>
                </w:rPr>
                <w:t>金金额为基础的利息的支付。）之和，与分摊的前述金融资产整体账面价值的差额计入当期损益。</w:t>
              </w:r>
            </w:p>
            <w:p w14:paraId="075ED356" w14:textId="77777777" w:rsidR="005E000F" w:rsidRDefault="005E000F">
              <w:pPr>
                <w:rPr>
                  <w:color w:val="000000" w:themeColor="text1"/>
                </w:rPr>
              </w:pPr>
            </w:p>
            <w:p w14:paraId="5BDE2D15" w14:textId="77777777" w:rsidR="005E000F" w:rsidRDefault="00000000">
              <w:pPr>
                <w:rPr>
                  <w:color w:val="000000" w:themeColor="text1"/>
                </w:rPr>
              </w:pPr>
              <w:r>
                <w:rPr>
                  <w:rFonts w:hint="eastAsia"/>
                  <w:color w:val="000000" w:themeColor="text1"/>
                </w:rPr>
                <w:t>通过对所转移金融资产提供财务担保方式继续涉入的，按照金融资产的账面价值和财务担保金额两者之中的较低者，确认继续涉</w:t>
              </w:r>
              <w:proofErr w:type="gramStart"/>
              <w:r>
                <w:rPr>
                  <w:rFonts w:hint="eastAsia"/>
                  <w:color w:val="000000" w:themeColor="text1"/>
                </w:rPr>
                <w:t>入形成</w:t>
              </w:r>
              <w:proofErr w:type="gramEnd"/>
              <w:r>
                <w:rPr>
                  <w:rFonts w:hint="eastAsia"/>
                  <w:color w:val="000000" w:themeColor="text1"/>
                </w:rPr>
                <w:t>的资产。财务担保金额，是指所收到的对价中，将被要求偿还的最高金额。</w:t>
              </w:r>
            </w:p>
            <w:p w14:paraId="75746A39" w14:textId="77777777" w:rsidR="005E000F" w:rsidRDefault="005E000F">
              <w:pPr>
                <w:rPr>
                  <w:color w:val="000000" w:themeColor="text1"/>
                </w:rPr>
              </w:pPr>
            </w:p>
            <w:p w14:paraId="0E1C069E" w14:textId="77777777" w:rsidR="005E000F" w:rsidRDefault="00000000">
              <w:pPr>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）金融负债与权益工具的区分及相关处理方法</w:t>
              </w:r>
            </w:p>
            <w:p w14:paraId="6436A341" w14:textId="77777777" w:rsidR="005E000F" w:rsidRDefault="005E000F">
              <w:pPr>
                <w:rPr>
                  <w:color w:val="000000" w:themeColor="text1"/>
                </w:rPr>
              </w:pPr>
            </w:p>
            <w:p w14:paraId="1F21D5DF" w14:textId="77777777" w:rsidR="005E000F" w:rsidRDefault="00000000">
              <w:pPr>
                <w:rPr>
                  <w:color w:val="000000" w:themeColor="text1"/>
                </w:rPr>
              </w:pPr>
              <w:r>
                <w:rPr>
                  <w:rFonts w:hint="eastAsia"/>
                  <w:color w:val="000000" w:themeColor="text1"/>
                </w:rPr>
                <w:t>本集团按照以下原则区分金融负债与权益工具：（</w:t>
              </w:r>
              <w:r>
                <w:rPr>
                  <w:rFonts w:hint="eastAsia"/>
                  <w:color w:val="000000" w:themeColor="text1"/>
                </w:rPr>
                <w:t>1</w:t>
              </w:r>
              <w:r>
                <w:rPr>
                  <w:rFonts w:hint="eastAsia"/>
                  <w:color w:val="000000" w:themeColor="text1"/>
                </w:rPr>
                <w:t>）如果本集团不能无条件地避免以交付现金或其他金融资产来履行一项合同义务，则该合同义务符合金融负债的定义。有些金融工具虽然没有明确地包含交付现金或其他金融资产义务的条款和条件，但有可能通过其他条款和条件间接地形成合同义务。（</w:t>
              </w:r>
              <w:r>
                <w:rPr>
                  <w:rFonts w:hint="eastAsia"/>
                  <w:color w:val="000000" w:themeColor="text1"/>
                </w:rPr>
                <w:t>2</w:t>
              </w:r>
              <w:r>
                <w:rPr>
                  <w:rFonts w:hint="eastAsia"/>
                  <w:color w:val="000000" w:themeColor="text1"/>
                </w:rPr>
                <w:t>）如果一项金融工具须用或可用本集团自身权益工具进行结算，需要考虑用于结算该工具的本集团自身权益工具，是作为现金或其他金融资产的替代品，还是为了使该工具持有方享有在发行方扣除所有负债后的资产中的剩余权益。如果是前者，该工具是发行方的金融负债；如果是后者，该工具是发行方的权益工具。在某些情况下，一项金融工具合同规定本集团须用或可用自身权益工具结算该金融工具，其中合同权利或合同义务的金额等于可获取或需交付的自身权益工具的数量乘以其结算时的公允价值，则无论该合同权利或义务的金额是固定的，还是完全或部分地基于除本集团自身权益工具的市场价格以外的变量（例如利率、某种商品的价格或某项金融工具的价格）的变动而变动，该合同分类为金融负债。</w:t>
              </w:r>
            </w:p>
            <w:p w14:paraId="70169D02" w14:textId="77777777" w:rsidR="005E000F" w:rsidRDefault="005E000F">
              <w:pPr>
                <w:rPr>
                  <w:color w:val="000000" w:themeColor="text1"/>
                </w:rPr>
              </w:pPr>
            </w:p>
            <w:p w14:paraId="2E923D21" w14:textId="77777777" w:rsidR="005E000F" w:rsidRDefault="00000000">
              <w:pPr>
                <w:rPr>
                  <w:color w:val="000000" w:themeColor="text1"/>
                </w:rPr>
              </w:pPr>
              <w:r>
                <w:rPr>
                  <w:rFonts w:hint="eastAsia"/>
                  <w:color w:val="000000" w:themeColor="text1"/>
                </w:rPr>
                <w:t>本集团在合并报表中对金融工具（或其组成部分）进行分类时，考虑了集团成员和金融工具持有方之间达成的所有条款和条件。如果集团作为一个整体由于该工具而承担了交付现金、其他金融资产或者以其他导致该工具成为金融负债的方式进行结算的义务，则该工具应当分类为金融负债。</w:t>
              </w:r>
            </w:p>
            <w:p w14:paraId="3B3FE7F1" w14:textId="77777777" w:rsidR="005E000F" w:rsidRDefault="005E000F">
              <w:pPr>
                <w:rPr>
                  <w:color w:val="000000" w:themeColor="text1"/>
                </w:rPr>
              </w:pPr>
            </w:p>
            <w:p w14:paraId="1DB1D0EF" w14:textId="77777777" w:rsidR="005E000F" w:rsidRDefault="00000000">
              <w:pPr>
                <w:rPr>
                  <w:color w:val="000000" w:themeColor="text1"/>
                </w:rPr>
              </w:pPr>
              <w:r>
                <w:rPr>
                  <w:rFonts w:hint="eastAsia"/>
                  <w:color w:val="000000" w:themeColor="text1"/>
                </w:rPr>
                <w:t>本集团根据所发行的优先股、永续债的合同条款及其所反映的经济实质，结合金融资产、金融负债和权益工具的定义，在初始确认时将这些金融工具或其组成部分分类为金融资产、金融负债或权益工具。本集团对于其发行的应归类为权益工具的优先股和永续债，按照实际收到的金额，计入权益。存续期间分派股利或利息的，作为利润分配处理。按合同条款约定赎回优先股和永续债的，按赎回价格冲减权益。</w:t>
              </w:r>
            </w:p>
            <w:p w14:paraId="49A92622" w14:textId="77777777" w:rsidR="005E000F" w:rsidRDefault="005E000F">
              <w:pPr>
                <w:rPr>
                  <w:color w:val="000000" w:themeColor="text1"/>
                </w:rPr>
              </w:pPr>
            </w:p>
            <w:p w14:paraId="7928C0DD" w14:textId="77777777" w:rsidR="005E000F" w:rsidRDefault="00000000">
              <w:pPr>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）可转换债券</w:t>
              </w:r>
            </w:p>
            <w:p w14:paraId="2B7BC84F" w14:textId="77777777" w:rsidR="005E000F" w:rsidRDefault="005E000F">
              <w:pPr>
                <w:rPr>
                  <w:color w:val="000000" w:themeColor="text1"/>
                </w:rPr>
              </w:pPr>
            </w:p>
            <w:p w14:paraId="46C05970" w14:textId="77777777" w:rsidR="005E000F" w:rsidRDefault="00000000">
              <w:pPr>
                <w:rPr>
                  <w:color w:val="000000" w:themeColor="text1"/>
                </w:rPr>
              </w:pPr>
              <w:r>
                <w:rPr>
                  <w:rFonts w:hint="eastAsia"/>
                  <w:color w:val="000000" w:themeColor="text1"/>
                </w:rPr>
                <w:t>本集团发行可转换债券时依据条款确定其是否同时包含负债和权益成分。</w:t>
              </w:r>
            </w:p>
            <w:p w14:paraId="5C33F640" w14:textId="77777777" w:rsidR="005E000F" w:rsidRDefault="005E000F">
              <w:pPr>
                <w:rPr>
                  <w:color w:val="000000" w:themeColor="text1"/>
                </w:rPr>
              </w:pPr>
            </w:p>
            <w:p w14:paraId="507AE9EA" w14:textId="77777777" w:rsidR="005E000F" w:rsidRDefault="00000000">
              <w:pPr>
                <w:rPr>
                  <w:color w:val="000000" w:themeColor="text1"/>
                </w:rPr>
              </w:pPr>
              <w:r>
                <w:rPr>
                  <w:rFonts w:hint="eastAsia"/>
                  <w:color w:val="000000" w:themeColor="text1"/>
                </w:rPr>
                <w:lastRenderedPageBreak/>
                <w:t>发行的可转换债券既包含负债也包含权益成分的，在初始确认时将负债和权益成分进行分拆，并分别进行处理。在进行分拆时，先确定负债成分的公允价值并以此作为其初始确认金额，再按照可转换债券整体的发行价格扣除负债成分初始确认金额后的金额确定权益成分的初始确认金额。交易费用在负债成分和权益成分之间按照各自的相对公允价值进行分摊。负债成分作为负债列示，以摊</w:t>
              </w:r>
              <w:proofErr w:type="gramStart"/>
              <w:r>
                <w:rPr>
                  <w:rFonts w:hint="eastAsia"/>
                  <w:color w:val="000000" w:themeColor="text1"/>
                </w:rPr>
                <w:t>余成本</w:t>
              </w:r>
              <w:proofErr w:type="gramEnd"/>
              <w:r>
                <w:rPr>
                  <w:rFonts w:hint="eastAsia"/>
                  <w:color w:val="000000" w:themeColor="text1"/>
                </w:rPr>
                <w:t>进行后续计量，直至被撤销、转换或赎回。权益成分作为权益列示，不进行后续计量。</w:t>
              </w:r>
            </w:p>
            <w:p w14:paraId="166C88BB" w14:textId="77777777" w:rsidR="005E000F" w:rsidRDefault="005E000F">
              <w:pPr>
                <w:rPr>
                  <w:color w:val="000000" w:themeColor="text1"/>
                </w:rPr>
              </w:pPr>
            </w:p>
            <w:p w14:paraId="5CC635CA" w14:textId="77777777" w:rsidR="005E000F" w:rsidRDefault="00000000">
              <w:pPr>
                <w:rPr>
                  <w:color w:val="000000" w:themeColor="text1"/>
                </w:rPr>
              </w:pPr>
              <w:r>
                <w:rPr>
                  <w:rFonts w:hint="eastAsia"/>
                  <w:color w:val="000000" w:themeColor="text1"/>
                </w:rPr>
                <w:t>发行的可转换债券仅包含负债成分和嵌入衍生工具，即股份转换</w:t>
              </w:r>
              <w:proofErr w:type="gramStart"/>
              <w:r>
                <w:rPr>
                  <w:rFonts w:hint="eastAsia"/>
                  <w:color w:val="000000" w:themeColor="text1"/>
                </w:rPr>
                <w:t>权具备</w:t>
              </w:r>
              <w:proofErr w:type="gramEnd"/>
              <w:r>
                <w:rPr>
                  <w:rFonts w:hint="eastAsia"/>
                  <w:color w:val="000000" w:themeColor="text1"/>
                </w:rPr>
                <w:t>嵌入衍生工具特征的，则将其从可转换债券整体中分拆，作为衍生金融工具单独处理，按其公允价值进行初始确认。发行价格超过初始确认为衍生金融工具的部分被确认为债务工具。交易费用根据初始确认时债务工具和衍生金融工具分配的发行价格为基础按比例分摊。与债务工具有关的交易费用确认为负债，与衍生金融工具有关的交易费用确认为当期损益。</w:t>
              </w:r>
            </w:p>
            <w:p w14:paraId="3B0A67A4" w14:textId="77777777" w:rsidR="005E000F" w:rsidRDefault="005E000F">
              <w:pPr>
                <w:rPr>
                  <w:color w:val="000000" w:themeColor="text1"/>
                </w:rPr>
              </w:pPr>
            </w:p>
            <w:p w14:paraId="1936CF94" w14:textId="77777777" w:rsidR="005E000F" w:rsidRDefault="005E000F">
              <w:pPr>
                <w:rPr>
                  <w:color w:val="000000" w:themeColor="text1"/>
                </w:rPr>
              </w:pPr>
            </w:p>
            <w:p w14:paraId="66C621CD" w14:textId="77777777" w:rsidR="005E000F" w:rsidRDefault="00000000">
              <w:pPr>
                <w:rPr>
                  <w:color w:val="000000" w:themeColor="text1"/>
                </w:rPr>
              </w:pPr>
              <w:r>
                <w:rPr>
                  <w:rFonts w:hint="eastAsia"/>
                  <w:color w:val="000000" w:themeColor="text1"/>
                </w:rPr>
                <w:t>（</w:t>
              </w:r>
              <w:r>
                <w:rPr>
                  <w:rFonts w:hint="eastAsia"/>
                  <w:color w:val="000000" w:themeColor="text1"/>
                </w:rPr>
                <w:t>8</w:t>
              </w:r>
              <w:r>
                <w:rPr>
                  <w:rFonts w:hint="eastAsia"/>
                  <w:color w:val="000000" w:themeColor="text1"/>
                </w:rPr>
                <w:t>）金融资产和金融负债的</w:t>
              </w:r>
              <w:proofErr w:type="gramStart"/>
              <w:r>
                <w:rPr>
                  <w:rFonts w:hint="eastAsia"/>
                  <w:color w:val="000000" w:themeColor="text1"/>
                </w:rPr>
                <w:t>抵销</w:t>
              </w:r>
              <w:proofErr w:type="gramEnd"/>
            </w:p>
            <w:p w14:paraId="5A0BA8C9" w14:textId="77777777" w:rsidR="005E000F" w:rsidRDefault="005E000F">
              <w:pPr>
                <w:rPr>
                  <w:color w:val="000000" w:themeColor="text1"/>
                </w:rPr>
              </w:pPr>
            </w:p>
            <w:p w14:paraId="0C5715C4" w14:textId="77777777" w:rsidR="005E000F" w:rsidRDefault="00000000">
              <w:pPr>
                <w:rPr>
                  <w:color w:val="000000" w:themeColor="text1"/>
                </w:rPr>
              </w:pPr>
              <w:r>
                <w:rPr>
                  <w:rFonts w:hint="eastAsia"/>
                  <w:color w:val="000000" w:themeColor="text1"/>
                </w:rPr>
                <w:t>本集团的金融资产和金融负债在资产负债表内分别列示，不相互</w:t>
              </w:r>
              <w:proofErr w:type="gramStart"/>
              <w:r>
                <w:rPr>
                  <w:rFonts w:hint="eastAsia"/>
                  <w:color w:val="000000" w:themeColor="text1"/>
                </w:rPr>
                <w:t>抵销</w:t>
              </w:r>
              <w:proofErr w:type="gramEnd"/>
              <w:r>
                <w:rPr>
                  <w:rFonts w:hint="eastAsia"/>
                  <w:color w:val="000000" w:themeColor="text1"/>
                </w:rPr>
                <w:t>。但同时满足下列条件时，以相互</w:t>
              </w:r>
              <w:proofErr w:type="gramStart"/>
              <w:r>
                <w:rPr>
                  <w:rFonts w:hint="eastAsia"/>
                  <w:color w:val="000000" w:themeColor="text1"/>
                </w:rPr>
                <w:t>抵销</w:t>
              </w:r>
              <w:proofErr w:type="gramEnd"/>
              <w:r>
                <w:rPr>
                  <w:rFonts w:hint="eastAsia"/>
                  <w:color w:val="000000" w:themeColor="text1"/>
                </w:rPr>
                <w:t>后的净额在资产负债表内列示：（</w:t>
              </w:r>
              <w:r>
                <w:rPr>
                  <w:rFonts w:hint="eastAsia"/>
                  <w:color w:val="000000" w:themeColor="text1"/>
                </w:rPr>
                <w:t>1</w:t>
              </w:r>
              <w:r>
                <w:rPr>
                  <w:rFonts w:hint="eastAsia"/>
                  <w:color w:val="000000" w:themeColor="text1"/>
                </w:rPr>
                <w:t>）本集团具有</w:t>
              </w:r>
              <w:proofErr w:type="gramStart"/>
              <w:r>
                <w:rPr>
                  <w:rFonts w:hint="eastAsia"/>
                  <w:color w:val="000000" w:themeColor="text1"/>
                </w:rPr>
                <w:t>抵销</w:t>
              </w:r>
              <w:proofErr w:type="gramEnd"/>
              <w:r>
                <w:rPr>
                  <w:rFonts w:hint="eastAsia"/>
                  <w:color w:val="000000" w:themeColor="text1"/>
                </w:rPr>
                <w:t>已确认金额的法定权利，且该种法定权利是当前可执行的；（</w:t>
              </w:r>
              <w:r>
                <w:rPr>
                  <w:rFonts w:hint="eastAsia"/>
                  <w:color w:val="000000" w:themeColor="text1"/>
                </w:rPr>
                <w:t>2</w:t>
              </w:r>
              <w:r>
                <w:rPr>
                  <w:rFonts w:hint="eastAsia"/>
                  <w:color w:val="000000" w:themeColor="text1"/>
                </w:rPr>
                <w:t>）本集团计划以净额结算，或同时变现该金融资产和清偿该金融负债。</w:t>
              </w:r>
            </w:p>
          </w:sdtContent>
        </w:sdt>
        <w:p w14:paraId="03EAC584" w14:textId="77777777" w:rsidR="005E000F" w:rsidRDefault="00000000"/>
      </w:sdtContent>
    </w:sdt>
    <w:p w14:paraId="60A80D1A" w14:textId="77777777" w:rsidR="005E000F" w:rsidRDefault="005E000F"/>
    <w:p w14:paraId="2A0B8878" w14:textId="77777777" w:rsidR="005E000F" w:rsidRDefault="00000000">
      <w:pPr>
        <w:pStyle w:val="3"/>
        <w:numPr>
          <w:ilvl w:val="0"/>
          <w:numId w:val="59"/>
        </w:numPr>
        <w:rPr>
          <w:rFonts w:ascii="宋体" w:hAnsi="宋体" w:cs="宋体"/>
          <w:kern w:val="0"/>
          <w:szCs w:val="21"/>
        </w:rPr>
      </w:pPr>
      <w:bookmarkStart w:id="242" w:name="_Hlk533667757"/>
      <w:r>
        <w:rPr>
          <w:rFonts w:ascii="宋体" w:hAnsi="宋体" w:cs="宋体" w:hint="eastAsia"/>
          <w:kern w:val="0"/>
          <w:szCs w:val="21"/>
        </w:rPr>
        <w:t>应收票据</w:t>
      </w:r>
    </w:p>
    <w:sdt>
      <w:sdtPr>
        <w:alias w:val="是否适用：应收票据_重要会计政策和估计[双击切换]"/>
        <w:tag w:val="_GBC_71282cbeee2f4e2784a0766b8ae627ef"/>
        <w:id w:val="1585191870"/>
        <w:placeholder>
          <w:docPart w:val="GBC22222222222222222222222222222"/>
        </w:placeholder>
      </w:sdtPr>
      <w:sdtContent>
        <w:p w14:paraId="177F3E4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242"/>
    <w:p w14:paraId="07843B94" w14:textId="77777777" w:rsidR="005E000F" w:rsidRDefault="005E000F"/>
    <w:p w14:paraId="76EE48D2" w14:textId="77777777" w:rsidR="005E000F" w:rsidRDefault="005E000F"/>
    <w:p w14:paraId="2E6C9900" w14:textId="77777777" w:rsidR="005E000F" w:rsidRDefault="00000000">
      <w:pPr>
        <w:pStyle w:val="3"/>
        <w:numPr>
          <w:ilvl w:val="0"/>
          <w:numId w:val="59"/>
        </w:numPr>
        <w:rPr>
          <w:rFonts w:ascii="宋体" w:hAnsi="宋体" w:cs="宋体"/>
          <w:kern w:val="0"/>
          <w:szCs w:val="21"/>
        </w:rPr>
      </w:pPr>
      <w:bookmarkStart w:id="243" w:name="_Hlk152690378"/>
      <w:bookmarkStart w:id="244" w:name="_Hlk533667783"/>
      <w:r>
        <w:rPr>
          <w:rFonts w:ascii="宋体" w:hAnsi="宋体" w:cs="宋体" w:hint="eastAsia"/>
          <w:kern w:val="0"/>
          <w:szCs w:val="21"/>
        </w:rPr>
        <w:t>应收账款</w:t>
      </w:r>
    </w:p>
    <w:sdt>
      <w:sdtPr>
        <w:rPr>
          <w:rFonts w:hint="eastAsia"/>
        </w:rPr>
        <w:alias w:val="是否适用：应收账款_重要会计政策和估计[双击切换]"/>
        <w:tag w:val="_GBC_d0c8b3edf5e1401fa6e5edeeb4e121b6"/>
        <w:id w:val="1114633033"/>
        <w:placeholder>
          <w:docPart w:val="GBC22222222222222222222222222222"/>
        </w:placeholder>
      </w:sdtPr>
      <w:sdtContent>
        <w:p w14:paraId="17366075"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43"/>
    <w:bookmarkEnd w:id="244"/>
    <w:p w14:paraId="1C1F189C" w14:textId="77777777" w:rsidR="005E000F" w:rsidRDefault="00000000">
      <w:pPr>
        <w:rPr>
          <w:b/>
          <w:kern w:val="2"/>
          <w:szCs w:val="28"/>
        </w:rPr>
      </w:pPr>
      <w:r>
        <w:rPr>
          <w:b/>
          <w:kern w:val="2"/>
          <w:szCs w:val="28"/>
        </w:rPr>
        <w:t>按照信用风险特征组合计提坏账准备的组合类别及确定依据</w:t>
      </w:r>
    </w:p>
    <w:sdt>
      <w:sdtPr>
        <w:alias w:val="是否适用：应收账款按照信用风险特征组合计提坏账准备的组合类别及确定依据[双击切换]"/>
        <w:tag w:val="_GBC_bbe660c8a4484f56bb4d8ca560cf5f0d"/>
        <w:id w:val="-1683274467"/>
        <w:placeholder>
          <w:docPart w:val="GBC22222222222222222222222222222"/>
        </w:placeholder>
      </w:sdtPr>
      <w:sdtContent>
        <w:p w14:paraId="6FFFE3A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账款按照信用风险特征组合计提坏账准备的组合类别及确定依据"/>
        <w:tag w:val="_GBC_dc9b9edff6424bb9a8c3e45ddef1456d"/>
        <w:id w:val="-1128401172"/>
        <w:placeholder>
          <w:docPart w:val="GBC22222222222222222222222222222"/>
        </w:placeholder>
      </w:sdtPr>
      <w:sdtContent>
        <w:sdt>
          <w:sdtPr>
            <w:rPr>
              <w:color w:val="000000" w:themeColor="text1"/>
            </w:rPr>
            <w:alias w:val="应收账款按照信用风险特征组合计提坏账准备的组合类别及确定依据"/>
            <w:tag w:val="_GBC_16b22a4b7b8c483dac42f07fc6ac4bc2"/>
            <w:id w:val="-2091386974"/>
            <w:placeholder>
              <w:docPart w:val="{2fd63c90-dfa6-4e33-bcab-707dd1f15531}"/>
            </w:placeholder>
          </w:sdtPr>
          <w:sdtContent>
            <w:p w14:paraId="46CE36DE" w14:textId="77777777" w:rsidR="005E000F" w:rsidRDefault="00000000">
              <w:pPr>
                <w:rPr>
                  <w:color w:val="000000" w:themeColor="text1"/>
                </w:rPr>
              </w:pPr>
              <w:r>
                <w:rPr>
                  <w:rFonts w:hint="eastAsia"/>
                  <w:color w:val="000000" w:themeColor="text1"/>
                </w:rPr>
                <w:t>详见附注五、</w:t>
              </w:r>
              <w:r>
                <w:rPr>
                  <w:rFonts w:hint="eastAsia"/>
                  <w:color w:val="000000" w:themeColor="text1"/>
                </w:rPr>
                <w:t>11</w:t>
              </w:r>
            </w:p>
          </w:sdtContent>
        </w:sdt>
        <w:p w14:paraId="701BC660" w14:textId="77777777" w:rsidR="005E000F" w:rsidRDefault="00000000"/>
      </w:sdtContent>
    </w:sdt>
    <w:p w14:paraId="74964802" w14:textId="77777777" w:rsidR="005E000F" w:rsidRDefault="005E000F">
      <w:pPr>
        <w:rPr>
          <w:b/>
          <w:bCs/>
          <w:kern w:val="2"/>
          <w:szCs w:val="28"/>
        </w:rPr>
      </w:pPr>
    </w:p>
    <w:p w14:paraId="44556DBC" w14:textId="77777777" w:rsidR="005E000F" w:rsidRDefault="00000000">
      <w:pPr>
        <w:rPr>
          <w:b/>
          <w:kern w:val="2"/>
          <w:szCs w:val="28"/>
        </w:rPr>
      </w:pPr>
      <w:r>
        <w:rPr>
          <w:b/>
          <w:kern w:val="2"/>
          <w:szCs w:val="28"/>
        </w:rPr>
        <w:t>基于账龄确认信用风险特征组合的账龄计算方法</w:t>
      </w:r>
    </w:p>
    <w:sdt>
      <w:sdtPr>
        <w:alias w:val="是否适用：应收账款基于账龄确认信用风险特征组合的账龄计算方法[双击切换]"/>
        <w:tag w:val="_GBC_a894190385984ab79eb47091bc48cf44"/>
        <w:id w:val="582037811"/>
        <w:placeholder>
          <w:docPart w:val="GBC22222222222222222222222222222"/>
        </w:placeholder>
      </w:sdtPr>
      <w:sdtContent>
        <w:p w14:paraId="1C5FACA0"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账款基于账龄确认信用风险特征组合的账龄计算方法"/>
        <w:tag w:val="_GBC_5898846437ea4f198500076e05edd8ab"/>
        <w:id w:val="-1002121079"/>
        <w:placeholder>
          <w:docPart w:val="GBC22222222222222222222222222222"/>
        </w:placeholder>
      </w:sdtPr>
      <w:sdtContent>
        <w:sdt>
          <w:sdtPr>
            <w:rPr>
              <w:color w:val="000000" w:themeColor="text1"/>
            </w:rPr>
            <w:alias w:val="应收账款按照信用风险特征组合计提坏账准备的组合类别及确定依据"/>
            <w:tag w:val="_GBC_16b22a4b7b8c483dac42f07fc6ac4bc2"/>
            <w:id w:val="147467305"/>
            <w:placeholder>
              <w:docPart w:val="{817a9108-340a-4eae-a1fd-30230f642874}"/>
            </w:placeholder>
          </w:sdtPr>
          <w:sdtContent>
            <w:p w14:paraId="1D6E3C1C" w14:textId="77777777" w:rsidR="005E000F" w:rsidRDefault="00000000">
              <w:pPr>
                <w:rPr>
                  <w:color w:val="000000" w:themeColor="text1"/>
                </w:rPr>
              </w:pPr>
              <w:r>
                <w:rPr>
                  <w:rFonts w:hint="eastAsia"/>
                  <w:color w:val="000000" w:themeColor="text1"/>
                </w:rPr>
                <w:t>详见附注五、</w:t>
              </w:r>
              <w:r>
                <w:rPr>
                  <w:rFonts w:hint="eastAsia"/>
                  <w:color w:val="000000" w:themeColor="text1"/>
                </w:rPr>
                <w:t>11</w:t>
              </w:r>
            </w:p>
          </w:sdtContent>
        </w:sdt>
        <w:p w14:paraId="2904CAAD" w14:textId="77777777" w:rsidR="005E000F" w:rsidRDefault="00000000"/>
      </w:sdtContent>
    </w:sdt>
    <w:p w14:paraId="37E013C8" w14:textId="77777777" w:rsidR="005E000F" w:rsidRDefault="005E000F">
      <w:pPr>
        <w:rPr>
          <w:b/>
          <w:bCs/>
          <w:kern w:val="2"/>
          <w:szCs w:val="28"/>
        </w:rPr>
      </w:pPr>
    </w:p>
    <w:p w14:paraId="2A63BDB1" w14:textId="77777777" w:rsidR="005E000F" w:rsidRDefault="00000000">
      <w:pPr>
        <w:rPr>
          <w:b/>
          <w:kern w:val="2"/>
          <w:szCs w:val="28"/>
        </w:rPr>
      </w:pPr>
      <w:r>
        <w:rPr>
          <w:b/>
          <w:kern w:val="2"/>
          <w:szCs w:val="28"/>
        </w:rPr>
        <w:t>按照单项计提坏账准备的认定单项计提判断标准</w:t>
      </w:r>
    </w:p>
    <w:sdt>
      <w:sdtPr>
        <w:alias w:val="是否适用：应收账款按照单项计提坏账准备的单项计提判断标准[双击切换]"/>
        <w:tag w:val="_GBC_f7afe786f25942689e4acaa1b3bcb415"/>
        <w:id w:val="1821928825"/>
        <w:placeholder>
          <w:docPart w:val="GBC22222222222222222222222222222"/>
        </w:placeholder>
      </w:sdtPr>
      <w:sdtContent>
        <w:p w14:paraId="4F710791"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账款按照单项计提坏账准备的单项计提判断标准"/>
        <w:tag w:val="_GBC_599e453280664c169d8cffd0da6e21f5"/>
        <w:id w:val="496464269"/>
        <w:placeholder>
          <w:docPart w:val="GBC22222222222222222222222222222"/>
        </w:placeholder>
      </w:sdtPr>
      <w:sdtContent>
        <w:sdt>
          <w:sdtPr>
            <w:rPr>
              <w:color w:val="000000" w:themeColor="text1"/>
            </w:rPr>
            <w:alias w:val="应收账款按照信用风险特征组合计提坏账准备的组合类别及确定依据"/>
            <w:tag w:val="_GBC_16b22a4b7b8c483dac42f07fc6ac4bc2"/>
            <w:id w:val="147483004"/>
            <w:placeholder>
              <w:docPart w:val="{a259f1e0-e345-4d3e-b397-de7b16675dc5}"/>
            </w:placeholder>
          </w:sdtPr>
          <w:sdtContent>
            <w:p w14:paraId="3E3C1E77" w14:textId="77777777" w:rsidR="005E000F" w:rsidRDefault="00000000">
              <w:pPr>
                <w:rPr>
                  <w:color w:val="000000" w:themeColor="text1"/>
                </w:rPr>
              </w:pPr>
              <w:r>
                <w:rPr>
                  <w:rFonts w:hint="eastAsia"/>
                  <w:color w:val="000000" w:themeColor="text1"/>
                </w:rPr>
                <w:t>详见附注五、</w:t>
              </w:r>
              <w:r>
                <w:rPr>
                  <w:rFonts w:hint="eastAsia"/>
                  <w:color w:val="000000" w:themeColor="text1"/>
                </w:rPr>
                <w:t>11</w:t>
              </w:r>
            </w:p>
          </w:sdtContent>
        </w:sdt>
        <w:p w14:paraId="23699E70" w14:textId="77777777" w:rsidR="005E000F" w:rsidRDefault="00000000"/>
      </w:sdtContent>
    </w:sdt>
    <w:p w14:paraId="25EFF50C" w14:textId="77777777" w:rsidR="005E000F" w:rsidRDefault="005E000F"/>
    <w:p w14:paraId="01989658" w14:textId="77777777" w:rsidR="005E000F" w:rsidRDefault="00000000">
      <w:pPr>
        <w:pStyle w:val="3"/>
        <w:numPr>
          <w:ilvl w:val="0"/>
          <w:numId w:val="59"/>
        </w:numPr>
      </w:pPr>
      <w:bookmarkStart w:id="245" w:name="_Hlk152690443"/>
      <w:bookmarkStart w:id="246" w:name="_Hlk24102310"/>
      <w:r>
        <w:rPr>
          <w:rFonts w:hint="eastAsia"/>
        </w:rPr>
        <w:t>应收款项融资</w:t>
      </w:r>
    </w:p>
    <w:sdt>
      <w:sdtPr>
        <w:alias w:val="是否适用：应收款项融资_重要会计政策和估计[双击切换]"/>
        <w:tag w:val="_GBC_a2e41ba19b9541d683d17977f5a0e631"/>
        <w:id w:val="-1751103976"/>
        <w:placeholder>
          <w:docPart w:val="GBC22222222222222222222222222222"/>
        </w:placeholder>
      </w:sdtPr>
      <w:sdtContent>
        <w:p w14:paraId="55CC5E4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45"/>
    <w:bookmarkEnd w:id="246"/>
    <w:p w14:paraId="1C4A6985" w14:textId="77777777" w:rsidR="005E000F" w:rsidRDefault="00000000">
      <w:pPr>
        <w:rPr>
          <w:b/>
          <w:kern w:val="2"/>
          <w:szCs w:val="28"/>
        </w:rPr>
      </w:pPr>
      <w:r>
        <w:rPr>
          <w:b/>
          <w:kern w:val="2"/>
          <w:szCs w:val="28"/>
        </w:rPr>
        <w:t>按照信用风险特征组合计提坏账准备的组合类别及确定依据</w:t>
      </w:r>
    </w:p>
    <w:sdt>
      <w:sdtPr>
        <w:alias w:val="是否适用：应收款项融资按照信用风险特征组合计提坏账准备的组合类别及确定依据[双击切换]"/>
        <w:tag w:val="_GBC_96c4eeead8b040d79bbd069f3f4f2aec"/>
        <w:id w:val="1554973612"/>
        <w:placeholder>
          <w:docPart w:val="GBC22222222222222222222222222222"/>
        </w:placeholder>
      </w:sdtPr>
      <w:sdtContent>
        <w:p w14:paraId="6DBEE56F"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款项融资按照信用风险特征组合计提坏账准备的组合类别及确定依据"/>
        <w:tag w:val="_GBC_37ff5d8320ca45f099eeaeeaaf6f1232"/>
        <w:id w:val="799965825"/>
        <w:placeholder>
          <w:docPart w:val="GBC22222222222222222222222222222"/>
        </w:placeholder>
      </w:sdtPr>
      <w:sdtContent>
        <w:sdt>
          <w:sdtPr>
            <w:rPr>
              <w:color w:val="000000" w:themeColor="text1"/>
            </w:rPr>
            <w:alias w:val="应收账款按照信用风险特征组合计提坏账准备的组合类别及确定依据"/>
            <w:tag w:val="_GBC_16b22a4b7b8c483dac42f07fc6ac4bc2"/>
            <w:id w:val="147467277"/>
            <w:placeholder>
              <w:docPart w:val="{a3194fed-853d-47f2-9d91-72c2e4fbf858}"/>
            </w:placeholder>
          </w:sdtPr>
          <w:sdtContent>
            <w:p w14:paraId="4F74D686" w14:textId="77777777" w:rsidR="005E000F" w:rsidRDefault="00000000">
              <w:pPr>
                <w:rPr>
                  <w:color w:val="000000" w:themeColor="text1"/>
                </w:rPr>
              </w:pPr>
              <w:r>
                <w:rPr>
                  <w:rFonts w:hint="eastAsia"/>
                  <w:color w:val="000000" w:themeColor="text1"/>
                </w:rPr>
                <w:t>详见附注五、</w:t>
              </w:r>
              <w:r>
                <w:rPr>
                  <w:rFonts w:hint="eastAsia"/>
                  <w:color w:val="000000" w:themeColor="text1"/>
                </w:rPr>
                <w:t>11</w:t>
              </w:r>
            </w:p>
          </w:sdtContent>
        </w:sdt>
        <w:p w14:paraId="5056AE9E" w14:textId="77777777" w:rsidR="005E000F" w:rsidRDefault="00000000"/>
      </w:sdtContent>
    </w:sdt>
    <w:p w14:paraId="2875B85E" w14:textId="77777777" w:rsidR="005E000F" w:rsidRDefault="005E000F">
      <w:pPr>
        <w:rPr>
          <w:b/>
          <w:bCs/>
          <w:kern w:val="2"/>
          <w:szCs w:val="28"/>
        </w:rPr>
      </w:pPr>
    </w:p>
    <w:p w14:paraId="472EC73D" w14:textId="77777777" w:rsidR="005E000F" w:rsidRDefault="00000000">
      <w:pPr>
        <w:rPr>
          <w:b/>
          <w:kern w:val="2"/>
          <w:szCs w:val="28"/>
        </w:rPr>
      </w:pPr>
      <w:r>
        <w:rPr>
          <w:b/>
          <w:kern w:val="2"/>
          <w:szCs w:val="28"/>
        </w:rPr>
        <w:t>基于账龄确认信用风险特征组合的账龄计算方法</w:t>
      </w:r>
    </w:p>
    <w:sdt>
      <w:sdtPr>
        <w:alias w:val="是否适用：应收款项融资基于账龄确认信用风险特征组合的账龄计算方法[双击切换]"/>
        <w:tag w:val="_GBC_6088373057ea4aacb1a49ee381004fee"/>
        <w:id w:val="-411852331"/>
        <w:placeholder>
          <w:docPart w:val="GBC22222222222222222222222222222"/>
        </w:placeholder>
      </w:sdtPr>
      <w:sdtContent>
        <w:p w14:paraId="689E47E0"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款项融资基于账龄确认信用风险特征组合的账龄计算方法"/>
        <w:tag w:val="_GBC_791d9201e6df4c76873947e9954a5b9b"/>
        <w:id w:val="-647132892"/>
        <w:placeholder>
          <w:docPart w:val="GBC22222222222222222222222222222"/>
        </w:placeholder>
      </w:sdtPr>
      <w:sdtContent>
        <w:sdt>
          <w:sdtPr>
            <w:rPr>
              <w:color w:val="000000" w:themeColor="text1"/>
            </w:rPr>
            <w:alias w:val="应收账款按照信用风险特征组合计提坏账准备的组合类别及确定依据"/>
            <w:tag w:val="_GBC_16b22a4b7b8c483dac42f07fc6ac4bc2"/>
            <w:id w:val="147456965"/>
            <w:placeholder>
              <w:docPart w:val="{25fcb543-b17d-42ab-9ba0-c5bd479fd536}"/>
            </w:placeholder>
          </w:sdtPr>
          <w:sdtContent>
            <w:p w14:paraId="1B38389D" w14:textId="77777777" w:rsidR="005E000F" w:rsidRDefault="00000000">
              <w:pPr>
                <w:rPr>
                  <w:color w:val="000000" w:themeColor="text1"/>
                </w:rPr>
              </w:pPr>
              <w:r>
                <w:rPr>
                  <w:rFonts w:hint="eastAsia"/>
                  <w:color w:val="000000" w:themeColor="text1"/>
                </w:rPr>
                <w:t>详见附注五、</w:t>
              </w:r>
              <w:r>
                <w:rPr>
                  <w:rFonts w:hint="eastAsia"/>
                  <w:color w:val="000000" w:themeColor="text1"/>
                </w:rPr>
                <w:t>11</w:t>
              </w:r>
            </w:p>
          </w:sdtContent>
        </w:sdt>
        <w:p w14:paraId="56E0A983" w14:textId="77777777" w:rsidR="005E000F" w:rsidRDefault="00000000"/>
      </w:sdtContent>
    </w:sdt>
    <w:p w14:paraId="03D3F590" w14:textId="77777777" w:rsidR="005E000F" w:rsidRDefault="005E000F">
      <w:pPr>
        <w:rPr>
          <w:b/>
          <w:bCs/>
          <w:kern w:val="2"/>
          <w:szCs w:val="28"/>
        </w:rPr>
      </w:pPr>
    </w:p>
    <w:p w14:paraId="75804929" w14:textId="77777777" w:rsidR="005E000F" w:rsidRDefault="00000000">
      <w:pPr>
        <w:rPr>
          <w:b/>
          <w:kern w:val="2"/>
          <w:szCs w:val="28"/>
        </w:rPr>
      </w:pPr>
      <w:r>
        <w:rPr>
          <w:b/>
          <w:kern w:val="2"/>
          <w:szCs w:val="28"/>
        </w:rPr>
        <w:t>按照单项计提坏账准备的单项计提判断标准</w:t>
      </w:r>
    </w:p>
    <w:sdt>
      <w:sdtPr>
        <w:alias w:val="是否适用：应收款项融资按照单项计提坏账准备的单项计提判断标准[双击切换]"/>
        <w:tag w:val="_GBC_ee8c0fdee21e477387bf47d167b126ff"/>
        <w:id w:val="-1949760146"/>
        <w:placeholder>
          <w:docPart w:val="GBC22222222222222222222222222222"/>
        </w:placeholder>
      </w:sdtPr>
      <w:sdtContent>
        <w:p w14:paraId="55839E68"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应收款项融资按照单项计提坏账准备的单项计提判断标准"/>
        <w:tag w:val="_GBC_b3b8295d655949dc97afd6a5c34f9a9a"/>
        <w:id w:val="-1631775539"/>
        <w:placeholder>
          <w:docPart w:val="GBC22222222222222222222222222222"/>
        </w:placeholder>
      </w:sdtPr>
      <w:sdtContent>
        <w:sdt>
          <w:sdtPr>
            <w:rPr>
              <w:color w:val="000000" w:themeColor="text1"/>
            </w:rPr>
            <w:alias w:val="应收账款按照信用风险特征组合计提坏账准备的组合类别及确定依据"/>
            <w:tag w:val="_GBC_16b22a4b7b8c483dac42f07fc6ac4bc2"/>
            <w:id w:val="147475046"/>
            <w:placeholder>
              <w:docPart w:val="{85c543c3-d402-4035-ae1d-5d6e08b1bbd1}"/>
            </w:placeholder>
          </w:sdtPr>
          <w:sdtContent>
            <w:p w14:paraId="3560E701" w14:textId="77777777" w:rsidR="005E000F" w:rsidRDefault="00000000">
              <w:pPr>
                <w:rPr>
                  <w:color w:val="000000" w:themeColor="text1"/>
                </w:rPr>
              </w:pPr>
              <w:r>
                <w:rPr>
                  <w:rFonts w:hint="eastAsia"/>
                  <w:color w:val="000000" w:themeColor="text1"/>
                </w:rPr>
                <w:t>详见附注五、</w:t>
              </w:r>
              <w:r>
                <w:rPr>
                  <w:rFonts w:hint="eastAsia"/>
                  <w:color w:val="000000" w:themeColor="text1"/>
                </w:rPr>
                <w:t>11</w:t>
              </w:r>
            </w:p>
          </w:sdtContent>
        </w:sdt>
        <w:p w14:paraId="618AE86E" w14:textId="77777777" w:rsidR="005E000F" w:rsidRDefault="00000000"/>
      </w:sdtContent>
    </w:sdt>
    <w:p w14:paraId="2903A059" w14:textId="77777777" w:rsidR="005E000F" w:rsidRDefault="005E000F"/>
    <w:p w14:paraId="0B2B4EC0" w14:textId="77777777" w:rsidR="005E000F" w:rsidRDefault="00000000">
      <w:pPr>
        <w:pStyle w:val="3"/>
        <w:numPr>
          <w:ilvl w:val="0"/>
          <w:numId w:val="59"/>
        </w:numPr>
        <w:rPr>
          <w:szCs w:val="21"/>
        </w:rPr>
      </w:pPr>
      <w:bookmarkStart w:id="247" w:name="_Hlk533667836"/>
      <w:r>
        <w:rPr>
          <w:rFonts w:hint="eastAsia"/>
          <w:szCs w:val="21"/>
        </w:rPr>
        <w:t>其他应收款</w:t>
      </w:r>
    </w:p>
    <w:sdt>
      <w:sdtPr>
        <w:rPr>
          <w:rFonts w:hint="eastAsia"/>
        </w:rPr>
        <w:alias w:val="是否适用：其他应收款_重要会计政策和估计[双击切换]"/>
        <w:tag w:val="_GBC_bd9572d7068940d78105aa21662a4f54"/>
        <w:id w:val="1065690951"/>
        <w:placeholder>
          <w:docPart w:val="GBC22222222222222222222222222222"/>
        </w:placeholder>
      </w:sdtPr>
      <w:sdtContent>
        <w:p w14:paraId="1778DC1E"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bookmarkEnd w:id="247"/>
    <w:p w14:paraId="12A11F80" w14:textId="77777777" w:rsidR="005E000F" w:rsidRDefault="00000000">
      <w:pPr>
        <w:rPr>
          <w:b/>
          <w:kern w:val="2"/>
          <w:szCs w:val="28"/>
        </w:rPr>
      </w:pPr>
      <w:r>
        <w:rPr>
          <w:b/>
          <w:kern w:val="2"/>
          <w:szCs w:val="28"/>
        </w:rPr>
        <w:t>按照信用风险特征组合计提坏账准备的组合类别及确定依据</w:t>
      </w:r>
    </w:p>
    <w:sdt>
      <w:sdtPr>
        <w:alias w:val="是否适用：其他应收款按照信用风险特征组合计提坏账准备的组合类别及确定依据[双击切换]"/>
        <w:tag w:val="_GBC_f39444fc293a46c5ae832091674d34c9"/>
        <w:id w:val="786083606"/>
        <w:placeholder>
          <w:docPart w:val="GBC22222222222222222222222222222"/>
        </w:placeholder>
      </w:sdtPr>
      <w:sdtContent>
        <w:p w14:paraId="4A42389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应收款按照信用风险特征组合计提坏账准备的组合类别及确定依据"/>
        <w:tag w:val="_GBC_6ff0352272b24125ac1ff7ce3ba2aa3b"/>
        <w:id w:val="990833781"/>
        <w:placeholder>
          <w:docPart w:val="GBC22222222222222222222222222222"/>
        </w:placeholder>
      </w:sdtPr>
      <w:sdtContent>
        <w:sdt>
          <w:sdtPr>
            <w:rPr>
              <w:color w:val="000000" w:themeColor="text1"/>
            </w:rPr>
            <w:alias w:val="应收账款按照信用风险特征组合计提坏账准备的组合类别及确定依据"/>
            <w:tag w:val="_GBC_16b22a4b7b8c483dac42f07fc6ac4bc2"/>
            <w:id w:val="147451360"/>
            <w:placeholder>
              <w:docPart w:val="{e0446ae2-b0bc-4f1d-97f8-baaea193d470}"/>
            </w:placeholder>
          </w:sdtPr>
          <w:sdtContent>
            <w:p w14:paraId="69827A9B" w14:textId="77777777" w:rsidR="005E000F" w:rsidRDefault="00000000">
              <w:pPr>
                <w:rPr>
                  <w:color w:val="000000" w:themeColor="text1"/>
                </w:rPr>
              </w:pPr>
              <w:r>
                <w:rPr>
                  <w:rFonts w:hint="eastAsia"/>
                  <w:color w:val="000000" w:themeColor="text1"/>
                </w:rPr>
                <w:t>详见附注五、</w:t>
              </w:r>
              <w:r>
                <w:rPr>
                  <w:rFonts w:hint="eastAsia"/>
                  <w:color w:val="000000" w:themeColor="text1"/>
                </w:rPr>
                <w:t>11</w:t>
              </w:r>
            </w:p>
          </w:sdtContent>
        </w:sdt>
        <w:p w14:paraId="4DA68684" w14:textId="77777777" w:rsidR="005E000F" w:rsidRDefault="00000000"/>
      </w:sdtContent>
    </w:sdt>
    <w:p w14:paraId="0883599D" w14:textId="77777777" w:rsidR="005E000F" w:rsidRDefault="005E000F">
      <w:pPr>
        <w:rPr>
          <w:b/>
          <w:bCs/>
          <w:kern w:val="2"/>
          <w:szCs w:val="28"/>
        </w:rPr>
      </w:pPr>
    </w:p>
    <w:p w14:paraId="32117F7A" w14:textId="77777777" w:rsidR="005E000F" w:rsidRDefault="00000000">
      <w:pPr>
        <w:rPr>
          <w:b/>
          <w:kern w:val="2"/>
          <w:szCs w:val="28"/>
        </w:rPr>
      </w:pPr>
      <w:r>
        <w:rPr>
          <w:b/>
          <w:kern w:val="2"/>
          <w:szCs w:val="28"/>
        </w:rPr>
        <w:t>基于账龄确认信用风险特征组合的账龄计算方法</w:t>
      </w:r>
    </w:p>
    <w:sdt>
      <w:sdtPr>
        <w:alias w:val="是否适用：其他应收款基于账龄确认信用风险特征组合的账龄计算方法[双击切换]"/>
        <w:tag w:val="_GBC_212b4fcf685f4b098f47723f38f926d2"/>
        <w:id w:val="-1484078926"/>
        <w:placeholder>
          <w:docPart w:val="GBC22222222222222222222222222222"/>
        </w:placeholder>
      </w:sdtPr>
      <w:sdtContent>
        <w:p w14:paraId="645441EF"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应收款基于账龄确认信用风险特征组合的账龄计算方法"/>
        <w:tag w:val="_GBC_80958ddf46f043c29fa2147d0266ca2b"/>
        <w:id w:val="-517693497"/>
        <w:placeholder>
          <w:docPart w:val="GBC22222222222222222222222222222"/>
        </w:placeholder>
      </w:sdtPr>
      <w:sdtContent>
        <w:sdt>
          <w:sdtPr>
            <w:rPr>
              <w:color w:val="000000" w:themeColor="text1"/>
            </w:rPr>
            <w:alias w:val="应收账款按照信用风险特征组合计提坏账准备的组合类别及确定依据"/>
            <w:tag w:val="_GBC_16b22a4b7b8c483dac42f07fc6ac4bc2"/>
            <w:id w:val="147472507"/>
            <w:placeholder>
              <w:docPart w:val="{a37ec765-38cb-418c-b3ee-c3340939c876}"/>
            </w:placeholder>
          </w:sdtPr>
          <w:sdtContent>
            <w:p w14:paraId="0F726D21" w14:textId="77777777" w:rsidR="005E000F" w:rsidRDefault="00000000">
              <w:r>
                <w:rPr>
                  <w:rFonts w:hint="eastAsia"/>
                  <w:color w:val="000000" w:themeColor="text1"/>
                </w:rPr>
                <w:t>详见附注五、</w:t>
              </w:r>
              <w:r>
                <w:rPr>
                  <w:rFonts w:hint="eastAsia"/>
                  <w:color w:val="000000" w:themeColor="text1"/>
                </w:rPr>
                <w:t>11</w:t>
              </w:r>
            </w:p>
          </w:sdtContent>
        </w:sdt>
      </w:sdtContent>
    </w:sdt>
    <w:p w14:paraId="33D155C5" w14:textId="77777777" w:rsidR="005E000F" w:rsidRDefault="005E000F">
      <w:pPr>
        <w:rPr>
          <w:b/>
          <w:bCs/>
          <w:kern w:val="2"/>
          <w:szCs w:val="28"/>
        </w:rPr>
      </w:pPr>
    </w:p>
    <w:p w14:paraId="00D424B0" w14:textId="77777777" w:rsidR="005E000F" w:rsidRDefault="00000000">
      <w:pPr>
        <w:rPr>
          <w:b/>
          <w:kern w:val="2"/>
          <w:szCs w:val="28"/>
        </w:rPr>
      </w:pPr>
      <w:r>
        <w:rPr>
          <w:b/>
          <w:kern w:val="2"/>
          <w:szCs w:val="28"/>
        </w:rPr>
        <w:t>按照单项计提坏账准备的单项计提判断标准</w:t>
      </w:r>
    </w:p>
    <w:sdt>
      <w:sdtPr>
        <w:alias w:val="是否适用：其他应收款按照单项计提坏账准备的单项计提判断标准[双击切换]"/>
        <w:tag w:val="_GBC_ba17d337469a42e78d387da6c2afd4e3"/>
        <w:id w:val="122197344"/>
        <w:placeholder>
          <w:docPart w:val="GBC22222222222222222222222222222"/>
        </w:placeholder>
      </w:sdtPr>
      <w:sdtContent>
        <w:p w14:paraId="6590174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应收款按照单项计提坏账准备的单项计提判断标准"/>
        <w:tag w:val="_GBC_ab193709afff47ac84ee1dbf87f804f7"/>
        <w:id w:val="-507907165"/>
        <w:placeholder>
          <w:docPart w:val="GBC22222222222222222222222222222"/>
        </w:placeholder>
      </w:sdtPr>
      <w:sdtContent>
        <w:sdt>
          <w:sdtPr>
            <w:rPr>
              <w:color w:val="000000" w:themeColor="text1"/>
            </w:rPr>
            <w:alias w:val="应收账款按照信用风险特征组合计提坏账准备的组合类别及确定依据"/>
            <w:tag w:val="_GBC_16b22a4b7b8c483dac42f07fc6ac4bc2"/>
            <w:id w:val="147469358"/>
            <w:placeholder>
              <w:docPart w:val="{fa3202e8-578a-4960-91a2-c6a64d549793}"/>
            </w:placeholder>
          </w:sdtPr>
          <w:sdtContent>
            <w:p w14:paraId="63DADAFC" w14:textId="77777777" w:rsidR="005E000F" w:rsidRDefault="00000000">
              <w:r>
                <w:rPr>
                  <w:rFonts w:hint="eastAsia"/>
                  <w:color w:val="000000" w:themeColor="text1"/>
                </w:rPr>
                <w:t>详见附注五、</w:t>
              </w:r>
              <w:r>
                <w:rPr>
                  <w:rFonts w:hint="eastAsia"/>
                  <w:color w:val="000000" w:themeColor="text1"/>
                </w:rPr>
                <w:t>11</w:t>
              </w:r>
            </w:p>
          </w:sdtContent>
        </w:sdt>
      </w:sdtContent>
    </w:sdt>
    <w:p w14:paraId="5E0FDE12" w14:textId="77777777" w:rsidR="005E000F" w:rsidRDefault="005E000F"/>
    <w:p w14:paraId="21C7414A" w14:textId="77777777" w:rsidR="005E000F" w:rsidRDefault="00000000">
      <w:pPr>
        <w:pStyle w:val="3"/>
        <w:numPr>
          <w:ilvl w:val="0"/>
          <w:numId w:val="59"/>
        </w:numPr>
      </w:pPr>
      <w:r>
        <w:t>存货</w:t>
      </w:r>
    </w:p>
    <w:sdt>
      <w:sdtPr>
        <w:rPr>
          <w:rFonts w:hint="eastAsia"/>
        </w:rPr>
        <w:alias w:val="是否适用：存货_重要会计政策和估计[双击切换]"/>
        <w:tag w:val="_GBC_dcacbe0db27e4ea5b80fa4aefb3bdbac"/>
        <w:id w:val="288944077"/>
        <w:placeholder>
          <w:docPart w:val="GBC22222222222222222222222222222"/>
        </w:placeholder>
      </w:sdtPr>
      <w:sdtContent>
        <w:p w14:paraId="74208B2C"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F880847" w14:textId="77777777" w:rsidR="005E000F" w:rsidRDefault="00000000">
      <w:pPr>
        <w:rPr>
          <w:b/>
          <w:kern w:val="2"/>
          <w:szCs w:val="28"/>
        </w:rPr>
      </w:pPr>
      <w:bookmarkStart w:id="248" w:name="_Hlk152678121"/>
      <w:r>
        <w:rPr>
          <w:b/>
          <w:kern w:val="2"/>
          <w:szCs w:val="28"/>
        </w:rPr>
        <w:t>存货</w:t>
      </w:r>
      <w:r>
        <w:rPr>
          <w:rFonts w:hint="eastAsia"/>
          <w:b/>
          <w:kern w:val="2"/>
          <w:szCs w:val="28"/>
        </w:rPr>
        <w:t>类别、发出计价方法、盘存制度、低值易耗品和包装物的摊销方法</w:t>
      </w:r>
    </w:p>
    <w:bookmarkEnd w:id="248" w:displacedByCustomXml="next"/>
    <w:sdt>
      <w:sdtPr>
        <w:alias w:val="是否适用：存货类别、发出计价方法、盘存制度、低值易耗品和包装物的摊销方法[双击切换]"/>
        <w:tag w:val="_GBC_7a24117441bd45edbee63ef5c75fa013"/>
        <w:id w:val="-260141284"/>
        <w:placeholder>
          <w:docPart w:val="GBC22222222222222222222222222222"/>
        </w:placeholder>
      </w:sdtPr>
      <w:sdtContent>
        <w:p w14:paraId="40B257D8"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存货类别、发出计价方法、盘存制度、低值易耗品和包装物的摊销方法"/>
        <w:tag w:val="_GBC_3fcd1bdad070400f9c9e3e5d4c064f2b"/>
        <w:id w:val="-1899825186"/>
        <w:placeholder>
          <w:docPart w:val="GBC22222222222222222222222222222"/>
        </w:placeholder>
      </w:sdtPr>
      <w:sdtContent>
        <w:sdt>
          <w:sdtPr>
            <w:rPr>
              <w:color w:val="000000" w:themeColor="text1"/>
            </w:rPr>
            <w:alias w:val="存货类别、发出计价方法、盘存制度、低值易耗品和包装物的摊销方法"/>
            <w:tag w:val="_GBC_4c0ac6dfbfb04e56bc0dd3a35b636c52"/>
            <w:id w:val="-13073787"/>
            <w:placeholder>
              <w:docPart w:val="{17b20ada-6dd1-400a-b6da-ae58eb5c2fae}"/>
            </w:placeholder>
          </w:sdtPr>
          <w:sdtContent>
            <w:p w14:paraId="14E0E153" w14:textId="77777777" w:rsidR="005E000F" w:rsidRDefault="00000000">
              <w:pPr>
                <w:rPr>
                  <w:color w:val="000000" w:themeColor="text1"/>
                </w:rPr>
              </w:pPr>
              <w:r>
                <w:rPr>
                  <w:rFonts w:hint="eastAsia"/>
                  <w:color w:val="000000" w:themeColor="text1"/>
                </w:rPr>
                <w:t>本集团存货主要包括线上料、库存配件、燃料、一般材料及轨料和其他存货。线上料为修理线路专用的材料；库存配件为修理机车、客货车辆等设备所用的各种配件；燃料为机车用柴油和其他燃料；一般材料及轨料为运输生产</w:t>
              </w:r>
              <w:proofErr w:type="gramStart"/>
              <w:r>
                <w:rPr>
                  <w:rFonts w:hint="eastAsia"/>
                  <w:color w:val="000000" w:themeColor="text1"/>
                </w:rPr>
                <w:t>中除线上料</w:t>
              </w:r>
              <w:proofErr w:type="gramEnd"/>
              <w:r>
                <w:rPr>
                  <w:rFonts w:hint="eastAsia"/>
                  <w:color w:val="000000" w:themeColor="text1"/>
                </w:rPr>
                <w:t>、燃料、库存配件以外的材料。</w:t>
              </w:r>
            </w:p>
            <w:p w14:paraId="1230D731" w14:textId="77777777" w:rsidR="005E000F" w:rsidRDefault="005E000F">
              <w:pPr>
                <w:rPr>
                  <w:color w:val="000000" w:themeColor="text1"/>
                </w:rPr>
              </w:pPr>
            </w:p>
            <w:p w14:paraId="76BC2274" w14:textId="77777777" w:rsidR="005E000F" w:rsidRDefault="00000000">
              <w:r>
                <w:rPr>
                  <w:rFonts w:hint="eastAsia"/>
                  <w:color w:val="000000" w:themeColor="text1"/>
                </w:rPr>
                <w:t>存货按照成本进行初始计量。存货成本包括采购成本、加工成本和其他成本。存货实行永续盘存制，领用或发出存货，采用加权平均法确定其实际成本。低值易耗品和包装物采用一次转销法进行摊销。</w:t>
              </w:r>
            </w:p>
          </w:sdtContent>
        </w:sdt>
      </w:sdtContent>
    </w:sdt>
    <w:p w14:paraId="2A82AA10" w14:textId="77777777" w:rsidR="005E000F" w:rsidRDefault="005E000F"/>
    <w:p w14:paraId="71C2ED45" w14:textId="77777777" w:rsidR="005E000F" w:rsidRDefault="00000000">
      <w:pPr>
        <w:rPr>
          <w:b/>
          <w:kern w:val="2"/>
          <w:szCs w:val="28"/>
        </w:rPr>
      </w:pPr>
      <w:r>
        <w:rPr>
          <w:b/>
          <w:kern w:val="2"/>
          <w:szCs w:val="28"/>
        </w:rPr>
        <w:t>存货跌价准备的确认标准和计提方法</w:t>
      </w:r>
    </w:p>
    <w:sdt>
      <w:sdtPr>
        <w:alias w:val="是否适用：存货跌价准备的确认标准和计提方法[双击切换]"/>
        <w:tag w:val="_GBC_6e8ebb9994fe404dba2a12ec5c785d83"/>
        <w:id w:val="1136064103"/>
        <w:placeholder>
          <w:docPart w:val="GBC22222222222222222222222222222"/>
        </w:placeholder>
      </w:sdtPr>
      <w:sdtContent>
        <w:p w14:paraId="5E155884"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存货跌价准备的确认标准和计提方法"/>
        <w:tag w:val="_GBC_94e79c0b2c2f4552b5ec962b8df1c2f0"/>
        <w:id w:val="1260878796"/>
        <w:placeholder>
          <w:docPart w:val="GBC22222222222222222222222222222"/>
        </w:placeholder>
      </w:sdtPr>
      <w:sdtContent>
        <w:sdt>
          <w:sdtPr>
            <w:rPr>
              <w:color w:val="000000" w:themeColor="text1"/>
            </w:rPr>
            <w:alias w:val="存货跌价准备的确认标准和计提方法"/>
            <w:tag w:val="_GBC_d61a6b98d0f44b4a8162d7dd318ee8d8"/>
            <w:id w:val="1223478879"/>
            <w:placeholder>
              <w:docPart w:val="{c2f8ebba-868c-4ed6-a7e1-138f1820a50f}"/>
            </w:placeholder>
          </w:sdtPr>
          <w:sdtContent>
            <w:p w14:paraId="73F1A1E2" w14:textId="77777777" w:rsidR="005E000F" w:rsidRDefault="00000000">
              <w:pPr>
                <w:rPr>
                  <w:color w:val="000000" w:themeColor="text1"/>
                </w:rPr>
              </w:pPr>
              <w:r>
                <w:rPr>
                  <w:rFonts w:hint="eastAsia"/>
                  <w:color w:val="000000" w:themeColor="text1"/>
                </w:rPr>
                <w:t>资产负债表日，存货按照成本与可变现净值孰低计量。可变现净值，是指在日常活动中，存货的估计售价减去至完工时估计将要发生的成本、估计的销售费用以及相关税费后的金额。</w:t>
              </w:r>
            </w:p>
            <w:p w14:paraId="17DC4474" w14:textId="77777777" w:rsidR="005E000F" w:rsidRDefault="005E000F">
              <w:pPr>
                <w:rPr>
                  <w:color w:val="000000" w:themeColor="text1"/>
                </w:rPr>
              </w:pPr>
            </w:p>
            <w:p w14:paraId="783AD899" w14:textId="77777777" w:rsidR="005E000F" w:rsidRDefault="00000000">
              <w:pPr>
                <w:rPr>
                  <w:color w:val="000000" w:themeColor="text1"/>
                </w:rPr>
              </w:pPr>
              <w:r>
                <w:rPr>
                  <w:rFonts w:hint="eastAsia"/>
                  <w:color w:val="000000" w:themeColor="text1"/>
                </w:rPr>
                <w:t>在确定其可变现净值时，库存商品、在产品、已加工完成的数据资源和用于出售的材料等直接用于出售的商品存货，按该存货的估计售价减去估计的销售费用和相关税费后的金额确定；用于生产而持有的材料存货及用于加工的数据资源，按所生产或加工的产成品的估计售价减去至完工时估计将要发生的成本、估计的销售费用和相关税费后的金额确定。</w:t>
              </w:r>
            </w:p>
            <w:p w14:paraId="04946A36" w14:textId="77777777" w:rsidR="005E000F" w:rsidRDefault="005E000F">
              <w:pPr>
                <w:rPr>
                  <w:color w:val="000000" w:themeColor="text1"/>
                </w:rPr>
              </w:pPr>
            </w:p>
            <w:p w14:paraId="4CBB3A36" w14:textId="77777777" w:rsidR="005E000F" w:rsidRDefault="00000000">
              <w:pPr>
                <w:rPr>
                  <w:color w:val="000000" w:themeColor="text1"/>
                </w:rPr>
              </w:pPr>
              <w:r>
                <w:rPr>
                  <w:rFonts w:hint="eastAsia"/>
                  <w:color w:val="000000" w:themeColor="text1"/>
                </w:rPr>
                <w:t>按存货类别计算的成本高于其可变现净值的差额，计提存货跌价准备，计入当期损益。</w:t>
              </w:r>
            </w:p>
          </w:sdtContent>
        </w:sdt>
        <w:p w14:paraId="45B503FB" w14:textId="77777777" w:rsidR="005E000F" w:rsidRDefault="00000000"/>
      </w:sdtContent>
    </w:sdt>
    <w:p w14:paraId="4C669045" w14:textId="77777777" w:rsidR="005E000F" w:rsidRDefault="005E000F">
      <w:pPr>
        <w:rPr>
          <w:b/>
          <w:kern w:val="2"/>
          <w:szCs w:val="28"/>
        </w:rPr>
      </w:pPr>
    </w:p>
    <w:p w14:paraId="15B989FA" w14:textId="77777777" w:rsidR="005E000F" w:rsidRDefault="00000000">
      <w:pPr>
        <w:rPr>
          <w:b/>
          <w:kern w:val="2"/>
          <w:szCs w:val="28"/>
        </w:rPr>
      </w:pPr>
      <w:proofErr w:type="gramStart"/>
      <w:r>
        <w:rPr>
          <w:b/>
          <w:kern w:val="2"/>
          <w:szCs w:val="28"/>
        </w:rPr>
        <w:t>按照组</w:t>
      </w:r>
      <w:proofErr w:type="gramEnd"/>
      <w:r>
        <w:rPr>
          <w:b/>
          <w:kern w:val="2"/>
          <w:szCs w:val="28"/>
        </w:rPr>
        <w:t>合计提存货跌价准备的组合类别及确定依据</w:t>
      </w:r>
      <w:r>
        <w:rPr>
          <w:rFonts w:hint="eastAsia"/>
          <w:b/>
          <w:bCs/>
          <w:kern w:val="2"/>
          <w:szCs w:val="28"/>
        </w:rPr>
        <w:t>、</w:t>
      </w:r>
      <w:r>
        <w:rPr>
          <w:rFonts w:hint="eastAsia"/>
          <w:b/>
          <w:bCs/>
        </w:rPr>
        <w:t>不同类别存货可变现净值的确定依据</w:t>
      </w:r>
    </w:p>
    <w:sdt>
      <w:sdtPr>
        <w:alias w:val="是否适用：按照组合计提存货跌价准备的组合类别及确定依据、不同类别存货可变现净值的确定依据[双击切换]"/>
        <w:tag w:val="_GBC_497390f68e764f2baa3b06eda7d6c944"/>
        <w:id w:val="-1438513606"/>
        <w:placeholder>
          <w:docPart w:val="GBC22222222222222222222222222222"/>
        </w:placeholder>
      </w:sdtPr>
      <w:sdtContent>
        <w:p w14:paraId="09EEE64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0617CD" w14:textId="77777777" w:rsidR="005E000F" w:rsidRDefault="005E000F">
      <w:pPr>
        <w:rPr>
          <w:b/>
          <w:kern w:val="2"/>
          <w:szCs w:val="28"/>
        </w:rPr>
      </w:pPr>
    </w:p>
    <w:p w14:paraId="5DCBE8AA" w14:textId="77777777" w:rsidR="005E000F" w:rsidRDefault="00000000">
      <w:pPr>
        <w:rPr>
          <w:b/>
          <w:kern w:val="2"/>
          <w:szCs w:val="28"/>
        </w:rPr>
      </w:pPr>
      <w:proofErr w:type="gramStart"/>
      <w:r>
        <w:rPr>
          <w:b/>
          <w:kern w:val="2"/>
          <w:szCs w:val="28"/>
        </w:rPr>
        <w:t>基于库龄确认</w:t>
      </w:r>
      <w:proofErr w:type="gramEnd"/>
      <w:r>
        <w:rPr>
          <w:b/>
          <w:kern w:val="2"/>
          <w:szCs w:val="28"/>
        </w:rPr>
        <w:t>存货可变现净值的各库龄组合可变现净值的计算方法和确定依据</w:t>
      </w:r>
    </w:p>
    <w:sdt>
      <w:sdtPr>
        <w:alias w:val="是否适用：基于库龄确认存货可变现净值的各库龄组合可变现净值的计算方法和确定依据[双击切换]"/>
        <w:tag w:val="_GBC_9d365dfe8a544c55a4c1edb1470b656d"/>
        <w:id w:val="1598906223"/>
        <w:placeholder>
          <w:docPart w:val="GBC22222222222222222222222222222"/>
        </w:placeholder>
      </w:sdtPr>
      <w:sdtContent>
        <w:p w14:paraId="72A9AFC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2C84B76" w14:textId="77777777" w:rsidR="005E000F" w:rsidRDefault="005E000F"/>
    <w:p w14:paraId="0903F1AB" w14:textId="77777777" w:rsidR="005E000F" w:rsidRDefault="00000000">
      <w:pPr>
        <w:pStyle w:val="3"/>
        <w:numPr>
          <w:ilvl w:val="0"/>
          <w:numId w:val="59"/>
        </w:numPr>
        <w:rPr>
          <w:szCs w:val="21"/>
        </w:rPr>
      </w:pPr>
      <w:bookmarkStart w:id="249" w:name="_Hlk533667851"/>
      <w:r>
        <w:rPr>
          <w:rFonts w:hint="eastAsia"/>
          <w:szCs w:val="21"/>
        </w:rPr>
        <w:t>合同资产</w:t>
      </w:r>
    </w:p>
    <w:sdt>
      <w:sdtPr>
        <w:rPr>
          <w:rFonts w:hint="eastAsia"/>
        </w:rPr>
        <w:alias w:val="是否适用：合同资产_重要会计政策和估计[双击切换]"/>
        <w:tag w:val="_GBC_5a88c6aff74e4eb184d0541279c7f45e"/>
        <w:id w:val="1114015036"/>
        <w:placeholder>
          <w:docPart w:val="GBC22222222222222222222222222222"/>
        </w:placeholder>
      </w:sdtPr>
      <w:sdtContent>
        <w:p w14:paraId="775AF41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249"/>
    <w:p w14:paraId="77527DA0" w14:textId="77777777" w:rsidR="005E000F" w:rsidRDefault="00000000">
      <w:pPr>
        <w:rPr>
          <w:b/>
          <w:szCs w:val="28"/>
        </w:rPr>
      </w:pPr>
      <w:r>
        <w:rPr>
          <w:rFonts w:hint="eastAsia"/>
          <w:b/>
          <w:szCs w:val="28"/>
        </w:rPr>
        <w:t>合同资产的确认方法及标准</w:t>
      </w:r>
    </w:p>
    <w:sdt>
      <w:sdtPr>
        <w:alias w:val="是否适用：合同资产的确定方法、摊销方法和减值测试方法[双击切换]"/>
        <w:tag w:val="_GBC_1b5df72f15664694ad46f712f5c33e91"/>
        <w:id w:val="-1219350086"/>
        <w:placeholder>
          <w:docPart w:val="E0FB4DF661EA442DA471B7CEC85E7A09"/>
        </w:placeholder>
      </w:sdtPr>
      <w:sdtContent>
        <w:p w14:paraId="32AA65B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E0D5B20" w14:textId="77777777" w:rsidR="005E000F" w:rsidRDefault="00000000">
      <w:sdt>
        <w:sdtPr>
          <w:alias w:val="合同资产的确定方法、摊销方法和减值测试方法"/>
          <w:tag w:val="_GBC_82d4491d0bbc4d81ab154bd0c0c35176"/>
          <w:id w:val="222960268"/>
          <w:placeholder>
            <w:docPart w:val="E0FB4DF661EA442DA471B7CEC85E7A09"/>
          </w:placeholder>
        </w:sdtPr>
        <w:sdtContent>
          <w:r>
            <w:rPr>
              <w:rFonts w:hint="eastAsia"/>
            </w:rPr>
            <w:t>合同资产，是指本集团已向客户转让商品而有权收取对价的权利，且该权利取决于时间流逝之外的其他因素。合同资产的预期信用损失的确定方法和会计处理方法，详见附注五、</w:t>
          </w:r>
          <w:r>
            <w:rPr>
              <w:rFonts w:hint="eastAsia"/>
            </w:rPr>
            <w:t>11.</w:t>
          </w:r>
          <w:r>
            <w:rPr>
              <w:rFonts w:hint="eastAsia"/>
            </w:rPr>
            <w:t>（</w:t>
          </w:r>
          <w:r>
            <w:rPr>
              <w:rFonts w:hint="eastAsia"/>
            </w:rPr>
            <w:t>4</w:t>
          </w:r>
          <w:r>
            <w:rPr>
              <w:rFonts w:hint="eastAsia"/>
            </w:rPr>
            <w:t>）金融资产减值相关内容。</w:t>
          </w:r>
        </w:sdtContent>
      </w:sdt>
    </w:p>
    <w:p w14:paraId="716DAA32" w14:textId="77777777" w:rsidR="005E000F" w:rsidRDefault="005E000F"/>
    <w:p w14:paraId="17273C9F" w14:textId="77777777" w:rsidR="005E000F" w:rsidRDefault="00000000">
      <w:pPr>
        <w:rPr>
          <w:b/>
          <w:szCs w:val="28"/>
        </w:rPr>
      </w:pPr>
      <w:r>
        <w:rPr>
          <w:b/>
          <w:szCs w:val="28"/>
        </w:rPr>
        <w:t>按照信用风险特征组合计提坏账准备的组合类别及确定依据</w:t>
      </w:r>
    </w:p>
    <w:sdt>
      <w:sdtPr>
        <w:alias w:val="是否适用：合同资产按照信用风险特征组合计提坏账准备的组合类别及确定依据[双击切换]"/>
        <w:tag w:val="_GBC_ebbe09c3657c4b539cc844981adf91e4"/>
        <w:id w:val="-1115825786"/>
        <w:placeholder>
          <w:docPart w:val="E0FB4DF661EA442DA471B7CEC85E7A09"/>
        </w:placeholder>
      </w:sdtPr>
      <w:sdtContent>
        <w:p w14:paraId="574D6E5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08FAE04" w14:textId="77777777" w:rsidR="005E000F" w:rsidRDefault="005E000F">
      <w:pPr>
        <w:rPr>
          <w:b/>
          <w:bCs/>
          <w:szCs w:val="28"/>
        </w:rPr>
      </w:pPr>
    </w:p>
    <w:p w14:paraId="3313AD31" w14:textId="77777777" w:rsidR="005E000F" w:rsidRDefault="00000000">
      <w:pPr>
        <w:rPr>
          <w:b/>
          <w:szCs w:val="28"/>
        </w:rPr>
      </w:pPr>
      <w:r>
        <w:rPr>
          <w:b/>
          <w:szCs w:val="28"/>
        </w:rPr>
        <w:t>基于账龄确认信用风险特征组合的账龄计算方法</w:t>
      </w:r>
    </w:p>
    <w:sdt>
      <w:sdtPr>
        <w:alias w:val="是否适用：合同资产基于账龄确认信用风险特征组合的账龄计算方法[双击切换]"/>
        <w:tag w:val="_GBC_3400ff02bc46467bac74fee97f4388c5"/>
        <w:id w:val="521513713"/>
        <w:placeholder>
          <w:docPart w:val="E0FB4DF661EA442DA471B7CEC85E7A09"/>
        </w:placeholder>
      </w:sdtPr>
      <w:sdtContent>
        <w:p w14:paraId="14E7ED3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0835A14" w14:textId="77777777" w:rsidR="005E000F" w:rsidRDefault="005E000F">
      <w:pPr>
        <w:rPr>
          <w:b/>
          <w:bCs/>
          <w:szCs w:val="28"/>
        </w:rPr>
      </w:pPr>
    </w:p>
    <w:p w14:paraId="6A236C9B" w14:textId="77777777" w:rsidR="005E000F" w:rsidRDefault="00000000">
      <w:pPr>
        <w:rPr>
          <w:b/>
          <w:szCs w:val="28"/>
        </w:rPr>
      </w:pPr>
      <w:r>
        <w:rPr>
          <w:b/>
          <w:szCs w:val="28"/>
        </w:rPr>
        <w:t>按照单项计提坏账准备的认定单项计提判断标准</w:t>
      </w:r>
    </w:p>
    <w:sdt>
      <w:sdtPr>
        <w:alias w:val="是否适用：合同资产按照单项计提坏账准备的单项计提判断标准[双击切换]"/>
        <w:tag w:val="_GBC_aec9a536d61144fa91c2f954c8ff8473"/>
        <w:id w:val="-266390324"/>
        <w:placeholder>
          <w:docPart w:val="E0FB4DF661EA442DA471B7CEC85E7A09"/>
        </w:placeholder>
      </w:sdtPr>
      <w:sdtContent>
        <w:p w14:paraId="6C0A711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7A25A92" w14:textId="77777777" w:rsidR="005E000F" w:rsidRDefault="005E000F"/>
    <w:p w14:paraId="5A7988C0" w14:textId="77777777" w:rsidR="005E000F" w:rsidRDefault="005E000F"/>
    <w:p w14:paraId="0380154E" w14:textId="77777777" w:rsidR="005E000F" w:rsidRDefault="005E000F"/>
    <w:p w14:paraId="63BE05DC" w14:textId="77777777" w:rsidR="005E000F" w:rsidRDefault="00000000">
      <w:pPr>
        <w:pStyle w:val="3"/>
        <w:numPr>
          <w:ilvl w:val="0"/>
          <w:numId w:val="59"/>
        </w:numPr>
        <w:ind w:left="450" w:hanging="450"/>
        <w:rPr>
          <w:szCs w:val="21"/>
        </w:rPr>
      </w:pPr>
      <w:r>
        <w:rPr>
          <w:rFonts w:hint="eastAsia"/>
        </w:rPr>
        <w:t>持有</w:t>
      </w:r>
      <w:r>
        <w:rPr>
          <w:rFonts w:ascii="宋体" w:hAnsi="宋体" w:hint="eastAsia"/>
          <w:szCs w:val="21"/>
        </w:rPr>
        <w:t>待</w:t>
      </w:r>
      <w:r>
        <w:rPr>
          <w:rFonts w:ascii="宋体" w:hAnsi="宋体"/>
          <w:szCs w:val="21"/>
        </w:rPr>
        <w:t>售的非流动资产或处置组</w:t>
      </w:r>
    </w:p>
    <w:bookmarkStart w:id="250" w:name="_Hlk533151067" w:displacedByCustomXml="next"/>
    <w:sdt>
      <w:sdtPr>
        <w:alias w:val="是否适用：持有待售的非流动资产或处置组[双击切换]"/>
        <w:tag w:val="_GBC_e7f5369a15ba4034bd2498c40687a411"/>
        <w:id w:val="1811825924"/>
        <w:placeholder>
          <w:docPart w:val="GBC22222222222222222222222222222"/>
        </w:placeholder>
      </w:sdtPr>
      <w:sdtContent>
        <w:p w14:paraId="0BF3AF6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持有待售的非流动资产或处置组"/>
        <w:tag w:val="_GBC_e16c20842ee64f5b89c4184898380264"/>
        <w:id w:val="72008481"/>
        <w:placeholder>
          <w:docPart w:val="GBC22222222222222222222222222222"/>
        </w:placeholder>
      </w:sdtPr>
      <w:sdtContent>
        <w:sdt>
          <w:sdtPr>
            <w:rPr>
              <w:color w:val="000000" w:themeColor="text1"/>
            </w:rPr>
            <w:alias w:val="持有待售的非流动资产或处置组"/>
            <w:tag w:val="_GBC_f73ce57cdf2f499aadf2d1abe9773623"/>
            <w:id w:val="256802818"/>
            <w:placeholder>
              <w:docPart w:val="{f9ae9193-a6bc-462a-b286-7781f6c2e726}"/>
            </w:placeholder>
          </w:sdtPr>
          <w:sdtContent>
            <w:p w14:paraId="1E9DAEA8" w14:textId="77777777" w:rsidR="005E000F" w:rsidRDefault="00000000">
              <w:pPr>
                <w:rPr>
                  <w:color w:val="000000" w:themeColor="text1"/>
                </w:rPr>
              </w:pPr>
              <w:r>
                <w:rPr>
                  <w:rFonts w:hint="eastAsia"/>
                  <w:color w:val="000000" w:themeColor="text1"/>
                </w:rPr>
                <w:t>本集团主要通过出售（包括具有商业实质的非货币性资产交换，下同）而非持续使用一项非流动资产或</w:t>
              </w:r>
              <w:proofErr w:type="gramStart"/>
              <w:r>
                <w:rPr>
                  <w:rFonts w:hint="eastAsia"/>
                  <w:color w:val="000000" w:themeColor="text1"/>
                </w:rPr>
                <w:t>处置组</w:t>
              </w:r>
              <w:proofErr w:type="gramEnd"/>
              <w:r>
                <w:rPr>
                  <w:rFonts w:hint="eastAsia"/>
                  <w:color w:val="000000" w:themeColor="text1"/>
                </w:rPr>
                <w:t>收回其账面价值的，将其划分为持有待售类别。</w:t>
              </w:r>
            </w:p>
            <w:p w14:paraId="22423681" w14:textId="77777777" w:rsidR="005E000F" w:rsidRDefault="005E000F">
              <w:pPr>
                <w:rPr>
                  <w:color w:val="000000" w:themeColor="text1"/>
                </w:rPr>
              </w:pPr>
            </w:p>
            <w:p w14:paraId="6131B3AD" w14:textId="77777777" w:rsidR="005E000F" w:rsidRDefault="00000000">
              <w:pPr>
                <w:rPr>
                  <w:color w:val="000000" w:themeColor="text1"/>
                </w:rPr>
              </w:pPr>
              <w:r>
                <w:rPr>
                  <w:rFonts w:hint="eastAsia"/>
                  <w:color w:val="000000" w:themeColor="text1"/>
                </w:rPr>
                <w:t>本集团将同时符合下列条件的非流动资产或</w:t>
              </w:r>
              <w:proofErr w:type="gramStart"/>
              <w:r>
                <w:rPr>
                  <w:rFonts w:hint="eastAsia"/>
                  <w:color w:val="000000" w:themeColor="text1"/>
                </w:rPr>
                <w:t>处置组划分</w:t>
              </w:r>
              <w:proofErr w:type="gramEnd"/>
              <w:r>
                <w:rPr>
                  <w:rFonts w:hint="eastAsia"/>
                  <w:color w:val="000000" w:themeColor="text1"/>
                </w:rPr>
                <w:t>为持有待售：①根据类似交易中出售此类资产或</w:t>
              </w:r>
              <w:proofErr w:type="gramStart"/>
              <w:r>
                <w:rPr>
                  <w:rFonts w:hint="eastAsia"/>
                  <w:color w:val="000000" w:themeColor="text1"/>
                </w:rPr>
                <w:t>处置组</w:t>
              </w:r>
              <w:proofErr w:type="gramEnd"/>
              <w:r>
                <w:rPr>
                  <w:rFonts w:hint="eastAsia"/>
                  <w:color w:val="000000" w:themeColor="text1"/>
                </w:rPr>
                <w:t>的惯例，在当前状况下即可立即出售；②</w:t>
              </w:r>
              <w:proofErr w:type="gramStart"/>
              <w:r>
                <w:rPr>
                  <w:rFonts w:hint="eastAsia"/>
                  <w:color w:val="000000" w:themeColor="text1"/>
                </w:rPr>
                <w:t>出售极</w:t>
              </w:r>
              <w:proofErr w:type="gramEnd"/>
              <w:r>
                <w:rPr>
                  <w:rFonts w:hint="eastAsia"/>
                  <w:color w:val="000000" w:themeColor="text1"/>
                </w:rPr>
                <w:t>可能发生，即已经就一项出售计划</w:t>
              </w:r>
              <w:proofErr w:type="gramStart"/>
              <w:r>
                <w:rPr>
                  <w:rFonts w:hint="eastAsia"/>
                  <w:color w:val="000000" w:themeColor="text1"/>
                </w:rPr>
                <w:t>作出</w:t>
              </w:r>
              <w:proofErr w:type="gramEnd"/>
              <w:r>
                <w:rPr>
                  <w:rFonts w:hint="eastAsia"/>
                  <w:color w:val="000000" w:themeColor="text1"/>
                </w:rPr>
                <w:t>决议且获得确定的购买承诺，预计出售将在一年内完成。有关规定要求相关权力机构或者监管部门批准后方可出售的需要获得相关批准。本集团持有的非流动资产或处置组（除金融资产、递延所得税资产、以公允价值计量的投资性房地产、职工薪</w:t>
              </w:r>
              <w:proofErr w:type="gramStart"/>
              <w:r>
                <w:rPr>
                  <w:rFonts w:hint="eastAsia"/>
                  <w:color w:val="000000" w:themeColor="text1"/>
                </w:rPr>
                <w:t>酬</w:t>
              </w:r>
              <w:proofErr w:type="gramEnd"/>
              <w:r>
                <w:rPr>
                  <w:rFonts w:hint="eastAsia"/>
                  <w:color w:val="000000" w:themeColor="text1"/>
                </w:rPr>
                <w:t>形成的资产外）账面价值高于公允价值减去出售费用后的净额的，将账面价值</w:t>
              </w:r>
              <w:proofErr w:type="gramStart"/>
              <w:r>
                <w:rPr>
                  <w:rFonts w:hint="eastAsia"/>
                  <w:color w:val="000000" w:themeColor="text1"/>
                </w:rPr>
                <w:t>减记至</w:t>
              </w:r>
              <w:proofErr w:type="gramEnd"/>
              <w:r>
                <w:rPr>
                  <w:rFonts w:hint="eastAsia"/>
                  <w:color w:val="000000" w:themeColor="text1"/>
                </w:rPr>
                <w:t>公允价值减去出售费用后的净额，</w:t>
              </w:r>
              <w:proofErr w:type="gramStart"/>
              <w:r>
                <w:rPr>
                  <w:rFonts w:hint="eastAsia"/>
                  <w:color w:val="000000" w:themeColor="text1"/>
                </w:rPr>
                <w:t>减记的</w:t>
              </w:r>
              <w:proofErr w:type="gramEnd"/>
              <w:r>
                <w:rPr>
                  <w:rFonts w:hint="eastAsia"/>
                  <w:color w:val="000000" w:themeColor="text1"/>
                </w:rPr>
                <w:t>金额确认为资产减值损失，计入当期损益，同时计提持有待售资产减值准备。</w:t>
              </w:r>
            </w:p>
            <w:p w14:paraId="4AC6D242" w14:textId="77777777" w:rsidR="005E000F" w:rsidRDefault="005E000F">
              <w:pPr>
                <w:rPr>
                  <w:color w:val="000000" w:themeColor="text1"/>
                </w:rPr>
              </w:pPr>
            </w:p>
            <w:p w14:paraId="487D02B8" w14:textId="77777777" w:rsidR="005E000F" w:rsidRDefault="00000000">
              <w:pPr>
                <w:rPr>
                  <w:color w:val="000000" w:themeColor="text1"/>
                </w:rPr>
              </w:pPr>
              <w:r>
                <w:rPr>
                  <w:rFonts w:hint="eastAsia"/>
                  <w:color w:val="000000" w:themeColor="text1"/>
                </w:rPr>
                <w:t>本集团因出售对子公司的投资等原因导致丧失对子公司控制权的，无论出售后本集团是否保留部分权益性投资，在拟出售的对子公司投资满足持有待售类别划分条件时，在母公司个别财务报表中将对子公司投资整体划分为持有待售类别，在合并财务报表中将子公司所有资产和负债划分为持有待售类别。后续资产负债表日持有待售的非流动资产公允价值减去出售费用后的净额增加的，恢复</w:t>
              </w:r>
              <w:proofErr w:type="gramStart"/>
              <w:r>
                <w:rPr>
                  <w:rFonts w:hint="eastAsia"/>
                  <w:color w:val="000000" w:themeColor="text1"/>
                </w:rPr>
                <w:t>以前减记</w:t>
              </w:r>
              <w:proofErr w:type="gramEnd"/>
              <w:r>
                <w:rPr>
                  <w:rFonts w:hint="eastAsia"/>
                  <w:color w:val="000000" w:themeColor="text1"/>
                </w:rPr>
                <w:t>的金额，并在划分为持有待售类别后确认的资产减值损失金额内转回，转回金额计入当期损益。划分为持有待售类别前确认的资产减值损失不予转回。</w:t>
              </w:r>
            </w:p>
          </w:sdtContent>
        </w:sdt>
        <w:p w14:paraId="7EDE3763" w14:textId="77777777" w:rsidR="005E000F" w:rsidRDefault="00000000"/>
      </w:sdtContent>
    </w:sdt>
    <w:p w14:paraId="2DFFDC68" w14:textId="77777777" w:rsidR="005E000F" w:rsidRDefault="005E000F"/>
    <w:bookmarkEnd w:id="250"/>
    <w:p w14:paraId="4BB75CF8" w14:textId="77777777" w:rsidR="005E000F" w:rsidRDefault="00000000">
      <w:pPr>
        <w:rPr>
          <w:b/>
          <w:kern w:val="2"/>
        </w:rPr>
      </w:pPr>
      <w:r>
        <w:rPr>
          <w:rFonts w:hint="eastAsia"/>
          <w:b/>
          <w:kern w:val="2"/>
        </w:rPr>
        <w:t>划分为持有待售的非流动资产或</w:t>
      </w:r>
      <w:proofErr w:type="gramStart"/>
      <w:r>
        <w:rPr>
          <w:rFonts w:hint="eastAsia"/>
          <w:b/>
          <w:kern w:val="2"/>
        </w:rPr>
        <w:t>处置组</w:t>
      </w:r>
      <w:proofErr w:type="gramEnd"/>
      <w:r>
        <w:rPr>
          <w:rFonts w:hint="eastAsia"/>
          <w:b/>
          <w:kern w:val="2"/>
        </w:rPr>
        <w:t>的确认标准和会计处理方法</w:t>
      </w:r>
    </w:p>
    <w:sdt>
      <w:sdtPr>
        <w:alias w:val="是否适用：划分为持有待售的非流动资产或处置组的确认标准和会计处理方法[双击切换]"/>
        <w:tag w:val="_GBC_cf8b05c4ada54b2aac5743b74b5fdb45"/>
        <w:id w:val="611630693"/>
        <w:placeholder>
          <w:docPart w:val="GBC22222222222222222222222222222"/>
        </w:placeholder>
      </w:sdtPr>
      <w:sdtContent>
        <w:p w14:paraId="5476721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划分为持有待售的非流动资产或处置组的确认标准和会计处理方法"/>
        <w:tag w:val="_GBC_c6470b887f9546e5999bdc424f840526"/>
        <w:id w:val="-1936509707"/>
        <w:placeholder>
          <w:docPart w:val="GBC22222222222222222222222222222"/>
        </w:placeholder>
      </w:sdtPr>
      <w:sdtContent>
        <w:sdt>
          <w:sdtPr>
            <w:rPr>
              <w:color w:val="000000" w:themeColor="text1"/>
            </w:rPr>
            <w:alias w:val="划分为持有待售的非流动资产或处置组的确认标准和会计处理方法"/>
            <w:tag w:val="_GBC_b7191fb064a643b298159d5d171b0856"/>
            <w:id w:val="-595871161"/>
            <w:placeholder>
              <w:docPart w:val="{0073ea4e-fe93-4f99-9919-3ef2e92119c9}"/>
            </w:placeholder>
          </w:sdtPr>
          <w:sdtContent>
            <w:p w14:paraId="5F0451BE" w14:textId="77777777" w:rsidR="005E000F" w:rsidRDefault="00000000">
              <w:pPr>
                <w:rPr>
                  <w:color w:val="000000" w:themeColor="text1"/>
                </w:rPr>
              </w:pPr>
              <w:r>
                <w:rPr>
                  <w:rFonts w:hint="eastAsia"/>
                  <w:color w:val="000000" w:themeColor="text1"/>
                </w:rPr>
                <w:t>持有待售的非流动资产或处置组中的非流动资产不计提折旧或摊销，持有待售的处置组中负债的利息和其他费用继续予以确认。</w:t>
              </w:r>
            </w:p>
            <w:p w14:paraId="43C0E15B" w14:textId="77777777" w:rsidR="005E000F" w:rsidRDefault="005E000F">
              <w:pPr>
                <w:rPr>
                  <w:color w:val="000000" w:themeColor="text1"/>
                </w:rPr>
              </w:pPr>
            </w:p>
            <w:p w14:paraId="59923926" w14:textId="77777777" w:rsidR="005E000F" w:rsidRDefault="00000000">
              <w:pPr>
                <w:rPr>
                  <w:color w:val="000000" w:themeColor="text1"/>
                </w:rPr>
              </w:pPr>
              <w:r>
                <w:rPr>
                  <w:rFonts w:hint="eastAsia"/>
                  <w:color w:val="000000" w:themeColor="text1"/>
                </w:rPr>
                <w:t>终止确认持有待售的非流动资产或</w:t>
              </w:r>
              <w:proofErr w:type="gramStart"/>
              <w:r>
                <w:rPr>
                  <w:rFonts w:hint="eastAsia"/>
                  <w:color w:val="000000" w:themeColor="text1"/>
                </w:rPr>
                <w:t>处置组</w:t>
              </w:r>
              <w:proofErr w:type="gramEnd"/>
              <w:r>
                <w:rPr>
                  <w:rFonts w:hint="eastAsia"/>
                  <w:color w:val="000000" w:themeColor="text1"/>
                </w:rPr>
                <w:t>时，将尚未确认的利得或损失计入当期损益。</w:t>
              </w:r>
            </w:p>
          </w:sdtContent>
        </w:sdt>
        <w:p w14:paraId="59A73F85" w14:textId="77777777" w:rsidR="005E000F" w:rsidRDefault="00000000"/>
      </w:sdtContent>
    </w:sdt>
    <w:p w14:paraId="003CAD8F" w14:textId="77777777" w:rsidR="005E000F" w:rsidRDefault="005E000F"/>
    <w:p w14:paraId="32DAEB11" w14:textId="77777777" w:rsidR="005E000F" w:rsidRDefault="00000000">
      <w:pPr>
        <w:rPr>
          <w:b/>
          <w:kern w:val="2"/>
        </w:rPr>
      </w:pPr>
      <w:r>
        <w:rPr>
          <w:b/>
          <w:kern w:val="2"/>
        </w:rPr>
        <w:t>终止经营的认定标准和列报方法</w:t>
      </w:r>
    </w:p>
    <w:sdt>
      <w:sdtPr>
        <w:alias w:val="是否适用：终止经营的认定标准和列报方法[双击切换]"/>
        <w:tag w:val="_GBC_a323dd7cc84c4bd1bc42320036ce854b"/>
        <w:id w:val="-255527556"/>
        <w:placeholder>
          <w:docPart w:val="GBC22222222222222222222222222222"/>
        </w:placeholder>
      </w:sdtPr>
      <w:sdtContent>
        <w:p w14:paraId="1378B3C9"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终止经营的认定标准和列报方法"/>
        <w:tag w:val="_GBC_012c6381dc034a0a867c9e710d6df82d"/>
        <w:id w:val="330954281"/>
        <w:placeholder>
          <w:docPart w:val="GBC22222222222222222222222222222"/>
        </w:placeholder>
      </w:sdtPr>
      <w:sdtContent>
        <w:sdt>
          <w:sdtPr>
            <w:rPr>
              <w:color w:val="000000" w:themeColor="text1"/>
            </w:rPr>
            <w:alias w:val="终止经营的认定标准和列报方法"/>
            <w:tag w:val="_GBC_58f57a3b282d431a8ee5234e168d1b89"/>
            <w:id w:val="-1330046181"/>
            <w:placeholder>
              <w:docPart w:val="{5dfd012e-dd21-4e8f-b65f-9b82296fe4a8}"/>
            </w:placeholder>
          </w:sdtPr>
          <w:sdtContent>
            <w:p w14:paraId="1895E842" w14:textId="77777777" w:rsidR="005E000F" w:rsidRDefault="00000000">
              <w:pPr>
                <w:rPr>
                  <w:color w:val="000000" w:themeColor="text1"/>
                </w:rPr>
              </w:pPr>
              <w:r>
                <w:rPr>
                  <w:rFonts w:hint="eastAsia"/>
                  <w:color w:val="000000" w:themeColor="text1"/>
                </w:rPr>
                <w:t>终止经营，是指本集团满足下列条件之一的、能够单独区分的组成部分，且该组成部分已经处置或划分为持有待售类别：（</w:t>
              </w:r>
              <w:r>
                <w:rPr>
                  <w:rFonts w:hint="eastAsia"/>
                  <w:color w:val="000000" w:themeColor="text1"/>
                </w:rPr>
                <w:t>1</w:t>
              </w:r>
              <w:r>
                <w:rPr>
                  <w:rFonts w:hint="eastAsia"/>
                  <w:color w:val="000000" w:themeColor="text1"/>
                </w:rPr>
                <w:t>）该组成部分代表一项独立的主要业务或一个单独的主要经营地区；（</w:t>
              </w:r>
              <w:r>
                <w:rPr>
                  <w:rFonts w:hint="eastAsia"/>
                  <w:color w:val="000000" w:themeColor="text1"/>
                </w:rPr>
                <w:t>2</w:t>
              </w:r>
              <w:r>
                <w:rPr>
                  <w:rFonts w:hint="eastAsia"/>
                  <w:color w:val="000000" w:themeColor="text1"/>
                </w:rPr>
                <w:t>）该组成部分是拟对一项独立的主要业务或一个单独的主要经营地区进行处置的一项相关联计划的一部分；（</w:t>
              </w:r>
              <w:r>
                <w:rPr>
                  <w:rFonts w:hint="eastAsia"/>
                  <w:color w:val="000000" w:themeColor="text1"/>
                </w:rPr>
                <w:t>3</w:t>
              </w:r>
              <w:r>
                <w:rPr>
                  <w:rFonts w:hint="eastAsia"/>
                  <w:color w:val="000000" w:themeColor="text1"/>
                </w:rPr>
                <w:t>）该组成部分是专为转售而取得的子公司。</w:t>
              </w:r>
            </w:p>
            <w:p w14:paraId="49FBF555" w14:textId="77777777" w:rsidR="005E000F" w:rsidRDefault="005E000F">
              <w:pPr>
                <w:rPr>
                  <w:color w:val="000000" w:themeColor="text1"/>
                </w:rPr>
              </w:pPr>
            </w:p>
            <w:p w14:paraId="61FF910C" w14:textId="77777777" w:rsidR="005E000F" w:rsidRDefault="00000000">
              <w:pPr>
                <w:rPr>
                  <w:color w:val="000000" w:themeColor="text1"/>
                </w:rPr>
              </w:pPr>
              <w:r>
                <w:rPr>
                  <w:rFonts w:hint="eastAsia"/>
                  <w:color w:val="000000" w:themeColor="text1"/>
                </w:rPr>
                <w:t>在利润表的中，本集团在利润表“净利润”项下增设“持续经营净利润”和“终止经营净利润”项目，以税后净额分别反映持续经营相关损益和终止经营相关损益。终止经营的相关损益应当作为终止经营损益列报，列报的终止经营损益包含整个报告期间，而不仅包含认定为终止经营后的报告期间。</w:t>
              </w:r>
            </w:p>
          </w:sdtContent>
        </w:sdt>
        <w:p w14:paraId="246C6B07" w14:textId="77777777" w:rsidR="005E000F" w:rsidRDefault="00000000"/>
      </w:sdtContent>
    </w:sdt>
    <w:p w14:paraId="6E52B412" w14:textId="77777777" w:rsidR="005E000F" w:rsidRDefault="005E000F"/>
    <w:p w14:paraId="75D31025" w14:textId="77777777" w:rsidR="005E000F" w:rsidRDefault="00000000">
      <w:pPr>
        <w:pStyle w:val="3"/>
        <w:numPr>
          <w:ilvl w:val="0"/>
          <w:numId w:val="59"/>
        </w:numPr>
      </w:pPr>
      <w:r>
        <w:t>长期股权投资</w:t>
      </w:r>
    </w:p>
    <w:sdt>
      <w:sdtPr>
        <w:rPr>
          <w:rFonts w:hint="eastAsia"/>
        </w:rPr>
        <w:alias w:val="是否适用：长期股权投资_重要会计政策和估计[双击切换]"/>
        <w:tag w:val="_GBC_990faa4da4e64a5389a573293ba4981b"/>
        <w:id w:val="-302472579"/>
        <w:placeholder>
          <w:docPart w:val="GBC22222222222222222222222222222"/>
        </w:placeholder>
      </w:sdtPr>
      <w:sdtContent>
        <w:p w14:paraId="3D1F5427"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长期股权投资的核算方法"/>
        <w:tag w:val="_GBC_3e77074cd50946b1bccdff9bc1c9556f"/>
        <w:id w:val="18203901"/>
        <w:placeholder>
          <w:docPart w:val="GBC22222222222222222222222222222"/>
        </w:placeholder>
      </w:sdtPr>
      <w:sdtContent>
        <w:sdt>
          <w:sdtPr>
            <w:rPr>
              <w:color w:val="000000" w:themeColor="text1"/>
            </w:rPr>
            <w:alias w:val="长期股权投资的核算方法"/>
            <w:tag w:val="_GBC_3e77074cd50946b1bccdff9bc1c9556f"/>
            <w:id w:val="-2124452800"/>
            <w:placeholder>
              <w:docPart w:val="{8593a942-dc7e-426c-97a0-d8c1067aa6b9}"/>
            </w:placeholder>
          </w:sdtPr>
          <w:sdtContent>
            <w:p w14:paraId="75EC279E" w14:textId="77777777" w:rsidR="005E000F" w:rsidRDefault="00000000">
              <w:pPr>
                <w:rPr>
                  <w:color w:val="000000" w:themeColor="text1"/>
                </w:rPr>
              </w:pPr>
              <w:r>
                <w:rPr>
                  <w:rFonts w:hint="eastAsia"/>
                  <w:color w:val="000000" w:themeColor="text1"/>
                </w:rPr>
                <w:t>本集团长期股权投资包括对子公司的投资、对联营企业的投资和对合营企业的权益性投资。</w:t>
              </w:r>
            </w:p>
            <w:p w14:paraId="7FB8D53A" w14:textId="77777777" w:rsidR="005E000F" w:rsidRDefault="005E000F">
              <w:pPr>
                <w:rPr>
                  <w:color w:val="000000" w:themeColor="text1"/>
                </w:rPr>
              </w:pPr>
            </w:p>
            <w:p w14:paraId="70D90396" w14:textId="77777777" w:rsidR="005E000F" w:rsidRDefault="00000000">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）重大影响、共同控制的判断</w:t>
              </w:r>
            </w:p>
            <w:p w14:paraId="506B7286" w14:textId="77777777" w:rsidR="005E000F" w:rsidRDefault="005E000F">
              <w:pPr>
                <w:rPr>
                  <w:color w:val="000000" w:themeColor="text1"/>
                </w:rPr>
              </w:pPr>
            </w:p>
            <w:p w14:paraId="45156136" w14:textId="77777777" w:rsidR="005E000F" w:rsidRDefault="00000000">
              <w:pPr>
                <w:rPr>
                  <w:color w:val="000000" w:themeColor="text1"/>
                </w:rPr>
              </w:pPr>
              <w:r>
                <w:rPr>
                  <w:rFonts w:hint="eastAsia"/>
                  <w:color w:val="000000" w:themeColor="text1"/>
                </w:rPr>
                <w:t>本集团对被投资单位具有重大影响的权益性投资，即对联营企业投资。重大影响，是指本集团对被投资方的财务和经营政策有参与决策的权力，但并不能够控制或者与其他方一起共同控制这些政策的制定。本公司直接或通过子公司间接拥有被投资单位</w:t>
              </w:r>
              <w:r>
                <w:rPr>
                  <w:rFonts w:hint="eastAsia"/>
                  <w:color w:val="000000" w:themeColor="text1"/>
                </w:rPr>
                <w:t>20</w:t>
              </w:r>
              <w:r>
                <w:rPr>
                  <w:rFonts w:hint="eastAsia"/>
                  <w:color w:val="000000" w:themeColor="text1"/>
                </w:rPr>
                <w:t>％</w:t>
              </w:r>
              <w:proofErr w:type="gramStart"/>
              <w:r>
                <w:rPr>
                  <w:rFonts w:hint="eastAsia"/>
                  <w:color w:val="000000" w:themeColor="text1"/>
                </w:rPr>
                <w:t>以上但</w:t>
              </w:r>
              <w:proofErr w:type="gramEnd"/>
              <w:r>
                <w:rPr>
                  <w:rFonts w:hint="eastAsia"/>
                  <w:color w:val="000000" w:themeColor="text1"/>
                </w:rPr>
                <w:t>低于</w:t>
              </w:r>
              <w:r>
                <w:rPr>
                  <w:rFonts w:hint="eastAsia"/>
                  <w:color w:val="000000" w:themeColor="text1"/>
                </w:rPr>
                <w:t>50</w:t>
              </w:r>
              <w:r>
                <w:rPr>
                  <w:rFonts w:hint="eastAsia"/>
                  <w:color w:val="000000" w:themeColor="text1"/>
                </w:rPr>
                <w:t>％的表决权时，通常认为对被投资单位具有重大影响，除非有明确的证据表明本集团不能参与被投资单位的生产经营决策或形成对被投资单位的控制。本集团持有被投资单位</w:t>
              </w:r>
              <w:r>
                <w:rPr>
                  <w:rFonts w:hint="eastAsia"/>
                  <w:color w:val="000000" w:themeColor="text1"/>
                </w:rPr>
                <w:t>20%</w:t>
              </w:r>
              <w:r>
                <w:rPr>
                  <w:rFonts w:hint="eastAsia"/>
                  <w:color w:val="000000" w:themeColor="text1"/>
                </w:rPr>
                <w:t>以下表决权的，如本集团在被投资单位的董事会或类似权力机构中派有代表的</w:t>
              </w:r>
              <w:r>
                <w:rPr>
                  <w:rFonts w:hint="eastAsia"/>
                  <w:color w:val="000000" w:themeColor="text1"/>
                </w:rPr>
                <w:t>/</w:t>
              </w:r>
              <w:r>
                <w:rPr>
                  <w:rFonts w:hint="eastAsia"/>
                  <w:color w:val="000000" w:themeColor="text1"/>
                </w:rPr>
                <w:t>参与被投资单位财务和经营政策制定过程的</w:t>
              </w:r>
              <w:r>
                <w:rPr>
                  <w:rFonts w:hint="eastAsia"/>
                  <w:color w:val="000000" w:themeColor="text1"/>
                </w:rPr>
                <w:t>/</w:t>
              </w:r>
              <w:r>
                <w:rPr>
                  <w:rFonts w:hint="eastAsia"/>
                  <w:color w:val="000000" w:themeColor="text1"/>
                </w:rPr>
                <w:t>与被投资单位之间发生重要交易的</w:t>
              </w:r>
              <w:r>
                <w:rPr>
                  <w:rFonts w:hint="eastAsia"/>
                  <w:color w:val="000000" w:themeColor="text1"/>
                </w:rPr>
                <w:t>/</w:t>
              </w:r>
              <w:r>
                <w:rPr>
                  <w:rFonts w:hint="eastAsia"/>
                  <w:color w:val="000000" w:themeColor="text1"/>
                </w:rPr>
                <w:t>向被投资单位派出管理人员的</w:t>
              </w:r>
              <w:r>
                <w:rPr>
                  <w:rFonts w:hint="eastAsia"/>
                  <w:color w:val="000000" w:themeColor="text1"/>
                </w:rPr>
                <w:t>/</w:t>
              </w:r>
              <w:r>
                <w:rPr>
                  <w:rFonts w:hint="eastAsia"/>
                  <w:color w:val="000000" w:themeColor="text1"/>
                </w:rPr>
                <w:t>向被投资单位提供关键技术资料等</w:t>
              </w:r>
              <w:r>
                <w:rPr>
                  <w:rFonts w:hint="eastAsia"/>
                  <w:color w:val="000000" w:themeColor="text1"/>
                </w:rPr>
                <w:t>,</w:t>
              </w:r>
              <w:r>
                <w:rPr>
                  <w:rFonts w:hint="eastAsia"/>
                  <w:color w:val="000000" w:themeColor="text1"/>
                </w:rPr>
                <w:t>本集团认为对被投资单位具有重大影响。</w:t>
              </w:r>
            </w:p>
            <w:p w14:paraId="603F28FC" w14:textId="77777777" w:rsidR="005E000F" w:rsidRDefault="005E000F">
              <w:pPr>
                <w:rPr>
                  <w:color w:val="000000" w:themeColor="text1"/>
                </w:rPr>
              </w:pPr>
            </w:p>
            <w:p w14:paraId="7214399D" w14:textId="77777777" w:rsidR="005E000F" w:rsidRDefault="00000000">
              <w:pPr>
                <w:rPr>
                  <w:color w:val="000000" w:themeColor="text1"/>
                </w:rPr>
              </w:pPr>
              <w:r>
                <w:rPr>
                  <w:rFonts w:hint="eastAsia"/>
                  <w:color w:val="000000" w:themeColor="text1"/>
                </w:rPr>
                <w:t>本集团与其他合营方一同对被投资单位实施共同控制且对被投资单位净资产享有权利的权益性投资，即对合营企业投资。共同控制，是指按照相关约定对某项安排所共有的控制，并且该安排的相关活动必须经过分享控制权的参与方一致同意后才能决策。本集团对共同控制的判断依据是所有参与方或参与方组合集体控制该安排，并且该安排相关活动的决策必须经过这些集体控制该安排的参与方一致同意。</w:t>
              </w:r>
            </w:p>
            <w:p w14:paraId="0CF335B9" w14:textId="77777777" w:rsidR="005E000F" w:rsidRDefault="005E000F">
              <w:pPr>
                <w:rPr>
                  <w:color w:val="000000" w:themeColor="text1"/>
                </w:rPr>
              </w:pPr>
            </w:p>
            <w:p w14:paraId="6960AD15" w14:textId="77777777" w:rsidR="005E000F" w:rsidRDefault="00000000">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）会计处理方法</w:t>
              </w:r>
            </w:p>
            <w:p w14:paraId="3CDCE548" w14:textId="77777777" w:rsidR="005E000F" w:rsidRDefault="005E000F">
              <w:pPr>
                <w:rPr>
                  <w:color w:val="000000" w:themeColor="text1"/>
                </w:rPr>
              </w:pPr>
            </w:p>
            <w:p w14:paraId="0154CF28" w14:textId="77777777" w:rsidR="005E000F" w:rsidRDefault="00000000">
              <w:pPr>
                <w:rPr>
                  <w:color w:val="000000" w:themeColor="text1"/>
                </w:rPr>
              </w:pPr>
              <w:r>
                <w:rPr>
                  <w:rFonts w:hint="eastAsia"/>
                  <w:color w:val="000000" w:themeColor="text1"/>
                </w:rPr>
                <w:t>本集团按照初始投资成本对取得的长期股权投资进行初始计量。</w:t>
              </w:r>
            </w:p>
            <w:p w14:paraId="2D9BD666" w14:textId="77777777" w:rsidR="005E000F" w:rsidRDefault="005E000F">
              <w:pPr>
                <w:rPr>
                  <w:color w:val="000000" w:themeColor="text1"/>
                </w:rPr>
              </w:pPr>
            </w:p>
            <w:p w14:paraId="4E7CC89E" w14:textId="77777777" w:rsidR="005E000F" w:rsidRDefault="00000000">
              <w:pPr>
                <w:rPr>
                  <w:color w:val="000000" w:themeColor="text1"/>
                </w:rPr>
              </w:pPr>
              <w:r>
                <w:rPr>
                  <w:rFonts w:hint="eastAsia"/>
                  <w:color w:val="000000" w:themeColor="text1"/>
                </w:rPr>
                <w:t>通过同</w:t>
              </w:r>
              <w:proofErr w:type="gramStart"/>
              <w:r>
                <w:rPr>
                  <w:rFonts w:hint="eastAsia"/>
                  <w:color w:val="000000" w:themeColor="text1"/>
                </w:rPr>
                <w:t>一控制</w:t>
              </w:r>
              <w:proofErr w:type="gramEnd"/>
              <w:r>
                <w:rPr>
                  <w:rFonts w:hint="eastAsia"/>
                  <w:color w:val="000000" w:themeColor="text1"/>
                </w:rPr>
                <w:t>下的企业合并取得的长期股权投资，以</w:t>
              </w:r>
              <w:proofErr w:type="gramStart"/>
              <w:r>
                <w:rPr>
                  <w:rFonts w:hint="eastAsia"/>
                  <w:color w:val="000000" w:themeColor="text1"/>
                </w:rPr>
                <w:t>合并日取得</w:t>
              </w:r>
              <w:proofErr w:type="gramEnd"/>
              <w:r>
                <w:rPr>
                  <w:rFonts w:hint="eastAsia"/>
                  <w:color w:val="000000" w:themeColor="text1"/>
                </w:rPr>
                <w:t>被合并方在最终控制方合并报表中净资产的账面价值的份额作为初始投资成本；被合并方在</w:t>
              </w:r>
              <w:proofErr w:type="gramStart"/>
              <w:r>
                <w:rPr>
                  <w:rFonts w:hint="eastAsia"/>
                  <w:color w:val="000000" w:themeColor="text1"/>
                </w:rPr>
                <w:t>合并日</w:t>
              </w:r>
              <w:proofErr w:type="gramEnd"/>
              <w:r>
                <w:rPr>
                  <w:rFonts w:hint="eastAsia"/>
                  <w:color w:val="000000" w:themeColor="text1"/>
                </w:rPr>
                <w:t>的净资产账面价值为负数的，初始投资成本按零确定。</w:t>
              </w:r>
            </w:p>
            <w:p w14:paraId="24293845" w14:textId="77777777" w:rsidR="005E000F" w:rsidRDefault="005E000F">
              <w:pPr>
                <w:rPr>
                  <w:color w:val="000000" w:themeColor="text1"/>
                </w:rPr>
              </w:pPr>
            </w:p>
            <w:p w14:paraId="5C606936" w14:textId="77777777" w:rsidR="005E000F" w:rsidRDefault="00000000">
              <w:pPr>
                <w:rPr>
                  <w:color w:val="000000" w:themeColor="text1"/>
                </w:rPr>
              </w:pPr>
              <w:r>
                <w:rPr>
                  <w:rFonts w:hint="eastAsia"/>
                  <w:color w:val="000000" w:themeColor="text1"/>
                </w:rPr>
                <w:t>通过非同</w:t>
              </w:r>
              <w:proofErr w:type="gramStart"/>
              <w:r>
                <w:rPr>
                  <w:rFonts w:hint="eastAsia"/>
                  <w:color w:val="000000" w:themeColor="text1"/>
                </w:rPr>
                <w:t>一控制</w:t>
              </w:r>
              <w:proofErr w:type="gramEnd"/>
              <w:r>
                <w:rPr>
                  <w:rFonts w:hint="eastAsia"/>
                  <w:color w:val="000000" w:themeColor="text1"/>
                </w:rPr>
                <w:t>下的企业合并取得的长期股权投资，以合并成本作为初始投资成本。通过多次交易分步实现非同</w:t>
              </w:r>
              <w:proofErr w:type="gramStart"/>
              <w:r>
                <w:rPr>
                  <w:rFonts w:hint="eastAsia"/>
                  <w:color w:val="000000" w:themeColor="text1"/>
                </w:rPr>
                <w:t>一控制</w:t>
              </w:r>
              <w:proofErr w:type="gramEnd"/>
              <w:r>
                <w:rPr>
                  <w:rFonts w:hint="eastAsia"/>
                  <w:color w:val="000000" w:themeColor="text1"/>
                </w:rPr>
                <w:t>下企业合并，不属于一揽子交易的，以原持有的股权投资账面价值加上新增投资成本之和，作为初始投资成本。</w:t>
              </w:r>
            </w:p>
            <w:p w14:paraId="79B114A8" w14:textId="77777777" w:rsidR="005E000F" w:rsidRDefault="005E000F">
              <w:pPr>
                <w:rPr>
                  <w:color w:val="000000" w:themeColor="text1"/>
                </w:rPr>
              </w:pPr>
            </w:p>
            <w:p w14:paraId="19725B48" w14:textId="77777777" w:rsidR="005E000F" w:rsidRDefault="00000000">
              <w:pPr>
                <w:rPr>
                  <w:color w:val="000000" w:themeColor="text1"/>
                </w:rPr>
              </w:pPr>
              <w:r>
                <w:rPr>
                  <w:rFonts w:hint="eastAsia"/>
                  <w:color w:val="000000" w:themeColor="text1"/>
                </w:rPr>
                <w:t>除企业合并形成的长期股权投资外，以支付现金取得的长期股权投资，按照实际支付的购买价款及与取得长期股权投资直接相关的费用、税金及其他必要支出作为初始投资成本；以发行权益</w:t>
              </w:r>
              <w:proofErr w:type="gramStart"/>
              <w:r>
                <w:rPr>
                  <w:rFonts w:hint="eastAsia"/>
                  <w:color w:val="000000" w:themeColor="text1"/>
                </w:rPr>
                <w:t>性证券</w:t>
              </w:r>
              <w:proofErr w:type="gramEnd"/>
              <w:r>
                <w:rPr>
                  <w:rFonts w:hint="eastAsia"/>
                  <w:color w:val="000000" w:themeColor="text1"/>
                </w:rPr>
                <w:t>取得的长期股权投资，按照发行权益</w:t>
              </w:r>
              <w:proofErr w:type="gramStart"/>
              <w:r>
                <w:rPr>
                  <w:rFonts w:hint="eastAsia"/>
                  <w:color w:val="000000" w:themeColor="text1"/>
                </w:rPr>
                <w:t>性证券</w:t>
              </w:r>
              <w:proofErr w:type="gramEnd"/>
              <w:r>
                <w:rPr>
                  <w:rFonts w:hint="eastAsia"/>
                  <w:color w:val="000000" w:themeColor="text1"/>
                </w:rPr>
                <w:t>的公允价值作为投资成本。以资产清偿债务方式进行债务重组取得的长期股权投资，按照放弃债权的公允价值及可直接归属于该投资的税金等其</w:t>
              </w:r>
              <w:r>
                <w:rPr>
                  <w:rFonts w:hint="eastAsia"/>
                  <w:color w:val="000000" w:themeColor="text1"/>
                </w:rPr>
                <w:lastRenderedPageBreak/>
                <w:t>他成本作为初始投资成本；以非货币性资产交换取的长期股权投资，以换出资产的公允价值</w:t>
              </w:r>
              <w:r>
                <w:rPr>
                  <w:rFonts w:hint="eastAsia"/>
                  <w:color w:val="000000" w:themeColor="text1"/>
                </w:rPr>
                <w:t>/</w:t>
              </w:r>
              <w:r>
                <w:rPr>
                  <w:rFonts w:hint="eastAsia"/>
                  <w:color w:val="000000" w:themeColor="text1"/>
                </w:rPr>
                <w:t>账面价值及相关税费作为初始投资成本。</w:t>
              </w:r>
            </w:p>
            <w:p w14:paraId="5324A283" w14:textId="77777777" w:rsidR="005E000F" w:rsidRDefault="005E000F">
              <w:pPr>
                <w:rPr>
                  <w:color w:val="000000" w:themeColor="text1"/>
                </w:rPr>
              </w:pPr>
            </w:p>
            <w:p w14:paraId="3F7B4EC3" w14:textId="77777777" w:rsidR="005E000F" w:rsidRDefault="00000000">
              <w:pPr>
                <w:rPr>
                  <w:color w:val="000000" w:themeColor="text1"/>
                </w:rPr>
              </w:pPr>
              <w:r>
                <w:rPr>
                  <w:rFonts w:hint="eastAsia"/>
                  <w:color w:val="000000" w:themeColor="text1"/>
                </w:rPr>
                <w:t>本公司对子公司投资在个别财务报表中采用成本法核算。采用成本法时，长期股权投资按初始投资成本计价。在追加投资时，按照追加投资支付的成本的公允价值及发生的相关交易费用增加长期股权投资成本的账面价值。被投资单位宣告分派的现金股利或利润，按照应享有的金额确认为当期投资收益。</w:t>
              </w:r>
            </w:p>
            <w:p w14:paraId="78895A24" w14:textId="77777777" w:rsidR="005E000F" w:rsidRDefault="005E000F">
              <w:pPr>
                <w:rPr>
                  <w:color w:val="000000" w:themeColor="text1"/>
                </w:rPr>
              </w:pPr>
            </w:p>
            <w:p w14:paraId="485405F9" w14:textId="77777777" w:rsidR="005E000F" w:rsidRDefault="00000000">
              <w:pPr>
                <w:rPr>
                  <w:color w:val="000000" w:themeColor="text1"/>
                </w:rPr>
              </w:pPr>
              <w:r>
                <w:rPr>
                  <w:rFonts w:hint="eastAsia"/>
                  <w:color w:val="000000" w:themeColor="text1"/>
                </w:rPr>
                <w:t>本集团对合营企业及联营企业的投资采用权益法核算。采用权益法时，长期股权投资初始投资成本大于投资时应享有被投资单位可辨认净资产公允价值的份额的，不调整长期股权投资账面价值；长期股权投资初始投资成本小于投资时应享有被投资单位可辨认净资产公允价值的份额的，差额</w:t>
              </w:r>
              <w:proofErr w:type="gramStart"/>
              <w:r>
                <w:rPr>
                  <w:rFonts w:hint="eastAsia"/>
                  <w:color w:val="000000" w:themeColor="text1"/>
                </w:rPr>
                <w:t>调增长</w:t>
              </w:r>
              <w:proofErr w:type="gramEnd"/>
              <w:r>
                <w:rPr>
                  <w:rFonts w:hint="eastAsia"/>
                  <w:color w:val="000000" w:themeColor="text1"/>
                </w:rPr>
                <w:t>期股权投资的账面价值，同时计入取得投资当期损益。</w:t>
              </w:r>
            </w:p>
            <w:p w14:paraId="5A75F4B3" w14:textId="77777777" w:rsidR="005E000F" w:rsidRDefault="005E000F">
              <w:pPr>
                <w:rPr>
                  <w:color w:val="000000" w:themeColor="text1"/>
                </w:rPr>
              </w:pPr>
            </w:p>
            <w:p w14:paraId="7A396FA9" w14:textId="77777777" w:rsidR="005E000F" w:rsidRDefault="00000000">
              <w:pPr>
                <w:rPr>
                  <w:color w:val="000000" w:themeColor="text1"/>
                </w:rPr>
              </w:pPr>
              <w:r>
                <w:rPr>
                  <w:rFonts w:hint="eastAsia"/>
                  <w:color w:val="000000" w:themeColor="text1"/>
                </w:rPr>
                <w:t>后续计量采用权益法核算的长期股权投资，在持有投资期间，随着被投资单位所有者权益的变动相应调整增加或减少长期股权投资的账面价值。其中在确认应享有被投资单位净损益的份额时，以取得投资时被投资单位各项可辨认资产等的公允价值为基础，按照本集团的会计政策及会计期间，并</w:t>
              </w:r>
              <w:proofErr w:type="gramStart"/>
              <w:r>
                <w:rPr>
                  <w:rFonts w:hint="eastAsia"/>
                  <w:color w:val="000000" w:themeColor="text1"/>
                </w:rPr>
                <w:t>抵销</w:t>
              </w:r>
              <w:proofErr w:type="gramEnd"/>
              <w:r>
                <w:rPr>
                  <w:rFonts w:hint="eastAsia"/>
                  <w:color w:val="000000" w:themeColor="text1"/>
                </w:rPr>
                <w:t>与联营企业及合营企业之间发生的不构成业务的交易产生的未实现内部交易损益按照应享有比例计算归属于本集团的部分（内部交易损失属于资产减值损失的，全额确认），对被投资单位的净利润进行调整后确认。本集团确认被投资单位发生的净亏损，以长期股权投资的账面价值以及其他实质上构成对被投资单位净投资的长期权益</w:t>
              </w:r>
              <w:proofErr w:type="gramStart"/>
              <w:r>
                <w:rPr>
                  <w:rFonts w:hint="eastAsia"/>
                  <w:color w:val="000000" w:themeColor="text1"/>
                </w:rPr>
                <w:t>减记至</w:t>
              </w:r>
              <w:proofErr w:type="gramEnd"/>
              <w:r>
                <w:rPr>
                  <w:rFonts w:hint="eastAsia"/>
                  <w:color w:val="000000" w:themeColor="text1"/>
                </w:rPr>
                <w:t>零为限，本集团负有承担额外损失义务的除外。</w:t>
              </w:r>
            </w:p>
            <w:p w14:paraId="087D912C" w14:textId="77777777" w:rsidR="005E000F" w:rsidRDefault="005E000F">
              <w:pPr>
                <w:rPr>
                  <w:color w:val="000000" w:themeColor="text1"/>
                </w:rPr>
              </w:pPr>
            </w:p>
            <w:p w14:paraId="5436F251" w14:textId="77777777" w:rsidR="005E000F" w:rsidRDefault="00000000">
              <w:pPr>
                <w:rPr>
                  <w:color w:val="000000" w:themeColor="text1"/>
                </w:rPr>
              </w:pPr>
              <w:r>
                <w:rPr>
                  <w:rFonts w:hint="eastAsia"/>
                  <w:color w:val="000000" w:themeColor="text1"/>
                </w:rPr>
                <w:t>处置长期股权投资，其账面价值与实际取得价款的差额，计入当期投资收益。</w:t>
              </w:r>
            </w:p>
            <w:p w14:paraId="5AFAE324" w14:textId="77777777" w:rsidR="005E000F" w:rsidRDefault="005E000F">
              <w:pPr>
                <w:rPr>
                  <w:color w:val="000000" w:themeColor="text1"/>
                </w:rPr>
              </w:pPr>
            </w:p>
            <w:p w14:paraId="65E8D47C" w14:textId="77777777" w:rsidR="005E000F" w:rsidRDefault="00000000">
              <w:pPr>
                <w:rPr>
                  <w:color w:val="000000" w:themeColor="text1"/>
                </w:rPr>
              </w:pPr>
              <w:r>
                <w:rPr>
                  <w:rFonts w:hint="eastAsia"/>
                  <w:color w:val="000000" w:themeColor="text1"/>
                </w:rPr>
                <w:t>采用权益法核算的长期股权投资，原权益法核算的相关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核算时全部转入当期投资收益。</w:t>
              </w:r>
            </w:p>
          </w:sdtContent>
        </w:sdt>
        <w:p w14:paraId="302C9547" w14:textId="77777777" w:rsidR="005E000F" w:rsidRDefault="00000000"/>
      </w:sdtContent>
    </w:sdt>
    <w:p w14:paraId="3967A4C7" w14:textId="77777777" w:rsidR="005E000F" w:rsidRDefault="005E000F"/>
    <w:p w14:paraId="582933EB" w14:textId="77777777" w:rsidR="005E000F" w:rsidRDefault="00000000">
      <w:pPr>
        <w:pStyle w:val="3"/>
        <w:numPr>
          <w:ilvl w:val="0"/>
          <w:numId w:val="59"/>
        </w:numPr>
      </w:pPr>
      <w:r>
        <w:t>投资性房地产</w:t>
      </w:r>
    </w:p>
    <w:p w14:paraId="3FB99F1B" w14:textId="77777777" w:rsidR="005E000F" w:rsidRDefault="00000000">
      <w:r>
        <w:rPr>
          <w:rFonts w:hint="eastAsia"/>
        </w:rPr>
        <w:t>不</w:t>
      </w:r>
      <w:sdt>
        <w:sdtPr>
          <w:tag w:val="_PLD_1e7ac09bf64649b39185b6a5275d44b6"/>
          <w:id w:val="-2000959558"/>
          <w:placeholder>
            <w:docPart w:val="GBC22222222222222222222222222222"/>
          </w:placeholder>
        </w:sdtPr>
        <w:sdtContent>
          <w:r>
            <w:rPr>
              <w:rFonts w:hint="eastAsia"/>
            </w:rPr>
            <w:t>适用</w:t>
          </w:r>
        </w:sdtContent>
      </w:sdt>
    </w:p>
    <w:p w14:paraId="4F199564" w14:textId="77777777" w:rsidR="005E000F" w:rsidRDefault="005E000F"/>
    <w:p w14:paraId="2384FB37" w14:textId="77777777" w:rsidR="005E000F" w:rsidRDefault="00000000">
      <w:pPr>
        <w:pStyle w:val="3"/>
        <w:numPr>
          <w:ilvl w:val="0"/>
          <w:numId w:val="59"/>
        </w:numPr>
      </w:pPr>
      <w:r>
        <w:t>固定资产</w:t>
      </w:r>
    </w:p>
    <w:p w14:paraId="3FA6374F" w14:textId="77777777" w:rsidR="005E000F" w:rsidRDefault="00000000">
      <w:pPr>
        <w:pStyle w:val="4"/>
        <w:numPr>
          <w:ilvl w:val="0"/>
          <w:numId w:val="61"/>
        </w:numPr>
      </w:pPr>
      <w:r>
        <w:rPr>
          <w:rFonts w:hint="eastAsia"/>
        </w:rPr>
        <w:t>确认条件</w:t>
      </w:r>
    </w:p>
    <w:sdt>
      <w:sdtPr>
        <w:alias w:val="是否适用：固定资产确认条件[双击切换]"/>
        <w:tag w:val="_GBC_4c768c6eca804bab9e4fc027185bcda6"/>
        <w:id w:val="-1915846943"/>
        <w:placeholder>
          <w:docPart w:val="GBC22222222222222222222222222222"/>
        </w:placeholder>
      </w:sdtPr>
      <w:sdtContent>
        <w:p w14:paraId="66A4B2BB"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bCs/>
        </w:rPr>
        <w:alias w:val="固定资产确认条件"/>
        <w:tag w:val="_GBC_3044d53470b143fa9477fa34b85d4ec5"/>
        <w:id w:val="-876239124"/>
        <w:placeholder>
          <w:docPart w:val="GBC22222222222222222222222222222"/>
        </w:placeholder>
      </w:sdtPr>
      <w:sdtEndPr>
        <w:rPr>
          <w:b/>
        </w:rPr>
      </w:sdtEndPr>
      <w:sdtContent>
        <w:sdt>
          <w:sdtPr>
            <w:rPr>
              <w:color w:val="000000" w:themeColor="text1"/>
            </w:rPr>
            <w:alias w:val="固定资产确认条件"/>
            <w:tag w:val="_GBC_3044d53470b143fa9477fa34b85d4ec5"/>
            <w:id w:val="1855850531"/>
            <w:placeholder>
              <w:docPart w:val="{6a6e6540-4b0f-4f84-91fc-ea5b5a8c319c}"/>
            </w:placeholder>
          </w:sdtPr>
          <w:sdtEndPr>
            <w:rPr>
              <w:b/>
            </w:rPr>
          </w:sdtEndPr>
          <w:sdtContent>
            <w:p w14:paraId="57699263" w14:textId="77777777" w:rsidR="005E000F" w:rsidRDefault="00000000">
              <w:pPr>
                <w:rPr>
                  <w:color w:val="000000" w:themeColor="text1"/>
                </w:rPr>
              </w:pPr>
              <w:r>
                <w:rPr>
                  <w:rFonts w:hint="eastAsia"/>
                  <w:color w:val="000000" w:themeColor="text1"/>
                </w:rPr>
                <w:t>本集团固定资产是为生产商品、提供劳务、出租或经营管理而持有的，使用年限超过一年的有形资产。</w:t>
              </w:r>
            </w:p>
            <w:p w14:paraId="0821D3BC" w14:textId="77777777" w:rsidR="005E000F" w:rsidRDefault="005E000F">
              <w:pPr>
                <w:rPr>
                  <w:color w:val="000000" w:themeColor="text1"/>
                </w:rPr>
              </w:pPr>
            </w:p>
            <w:p w14:paraId="14C478C4" w14:textId="77777777" w:rsidR="005E000F" w:rsidRDefault="00000000">
              <w:pPr>
                <w:rPr>
                  <w:color w:val="000000" w:themeColor="text1"/>
                </w:rPr>
              </w:pPr>
              <w:r>
                <w:rPr>
                  <w:rFonts w:hint="eastAsia"/>
                  <w:color w:val="000000" w:themeColor="text1"/>
                </w:rPr>
                <w:t>固定资产在与其有关的经济利益很可能流入本集团、且其成本能够可靠计量时予以确认。本集团固定资产包括房屋及建筑物、机车车辆、路基、轨道</w:t>
              </w:r>
              <w:r>
                <w:rPr>
                  <w:rFonts w:hint="eastAsia"/>
                  <w:color w:val="000000" w:themeColor="text1"/>
                </w:rPr>
                <w:t>(</w:t>
              </w:r>
              <w:r>
                <w:rPr>
                  <w:rFonts w:hint="eastAsia"/>
                  <w:color w:val="000000" w:themeColor="text1"/>
                </w:rPr>
                <w:t>钢轨、轨枕、道碴</w:t>
              </w:r>
              <w:r>
                <w:rPr>
                  <w:rFonts w:hint="eastAsia"/>
                  <w:color w:val="000000" w:themeColor="text1"/>
                </w:rPr>
                <w:t>)</w:t>
              </w:r>
              <w:r>
                <w:rPr>
                  <w:rFonts w:hint="eastAsia"/>
                  <w:color w:val="000000" w:themeColor="text1"/>
                </w:rPr>
                <w:t>、道岔、桥梁、隧道、道口、涵和其他桥隧建筑物等线路资产、通信信号设备、电气化供电系统及机械动力设备等。</w:t>
              </w:r>
            </w:p>
            <w:p w14:paraId="5059A3C9" w14:textId="77777777" w:rsidR="005E000F" w:rsidRDefault="005E000F">
              <w:pPr>
                <w:rPr>
                  <w:color w:val="000000" w:themeColor="text1"/>
                </w:rPr>
              </w:pPr>
            </w:p>
            <w:p w14:paraId="19ED32C9" w14:textId="77777777" w:rsidR="005E000F" w:rsidRDefault="00000000">
              <w:pPr>
                <w:rPr>
                  <w:color w:val="000000" w:themeColor="text1"/>
                </w:rPr>
              </w:pPr>
              <w:r>
                <w:rPr>
                  <w:rFonts w:hint="eastAsia"/>
                  <w:color w:val="000000" w:themeColor="text1"/>
                </w:rPr>
                <w:t>外购固定资产的初始成本包括购买价款、相关税费以及使该资产达到预定可使用状态前所发生的可归属于该项资产的支出。自行建造固定资产按附注五、</w:t>
              </w:r>
              <w:r>
                <w:rPr>
                  <w:rFonts w:hint="eastAsia"/>
                  <w:color w:val="000000" w:themeColor="text1"/>
                </w:rPr>
                <w:t>21</w:t>
              </w:r>
              <w:r>
                <w:rPr>
                  <w:rFonts w:hint="eastAsia"/>
                  <w:color w:val="000000" w:themeColor="text1"/>
                </w:rPr>
                <w:t>确定初始成本。公司制改建时，国有股股东投入的固定资产按财政部核准的评估值作为入账价值。</w:t>
              </w:r>
            </w:p>
            <w:p w14:paraId="3BC1F78D" w14:textId="77777777" w:rsidR="005E000F" w:rsidRDefault="005E000F">
              <w:pPr>
                <w:rPr>
                  <w:color w:val="000000" w:themeColor="text1"/>
                </w:rPr>
              </w:pPr>
            </w:p>
            <w:p w14:paraId="1B42AE59" w14:textId="77777777" w:rsidR="005E000F" w:rsidRDefault="00000000">
              <w:pPr>
                <w:rPr>
                  <w:color w:val="000000" w:themeColor="text1"/>
                </w:rPr>
              </w:pPr>
              <w:r>
                <w:rPr>
                  <w:rFonts w:hint="eastAsia"/>
                  <w:color w:val="000000" w:themeColor="text1"/>
                </w:rPr>
                <w:t>对于构成固定资产的各组成部分，如果各自具有不同使用寿命或者以不同方式为本集团提供经济利益，适用不同折旧率或折旧方法的，本集团分别将各组成部分确认为单项固定资产。</w:t>
              </w:r>
            </w:p>
            <w:p w14:paraId="682742CE" w14:textId="77777777" w:rsidR="005E000F" w:rsidRDefault="005E000F">
              <w:pPr>
                <w:rPr>
                  <w:color w:val="000000" w:themeColor="text1"/>
                </w:rPr>
              </w:pPr>
            </w:p>
            <w:p w14:paraId="453AB4B3" w14:textId="77777777" w:rsidR="005E000F" w:rsidRDefault="00000000">
              <w:pPr>
                <w:rPr>
                  <w:b/>
                  <w:bCs/>
                </w:rPr>
              </w:pPr>
              <w:r>
                <w:rPr>
                  <w:rFonts w:hint="eastAsia"/>
                  <w:color w:val="000000" w:themeColor="text1"/>
                </w:rPr>
                <w:lastRenderedPageBreak/>
                <w:t>对于固定资产的后续支出，包括与更换固定资产某组成部分相关的支出，在与支出相关的经济利益很可能流入本集团时资本化计入固定资产成本，同时将被替换部分的账面价值扣除；与固定资产日常维护相关的支出在发生时计入当期损益。固定资产以成本减累计折旧及减值准备后在资产负债表内列示。</w:t>
              </w:r>
            </w:p>
          </w:sdtContent>
        </w:sdt>
      </w:sdtContent>
    </w:sdt>
    <w:p w14:paraId="78330506" w14:textId="77777777" w:rsidR="005E000F" w:rsidRDefault="005E000F"/>
    <w:p w14:paraId="5854BAC1" w14:textId="77777777" w:rsidR="005E000F" w:rsidRDefault="00000000">
      <w:pPr>
        <w:pStyle w:val="4"/>
        <w:numPr>
          <w:ilvl w:val="0"/>
          <w:numId w:val="61"/>
        </w:numPr>
      </w:pPr>
      <w:r>
        <w:t>折旧方法</w:t>
      </w:r>
    </w:p>
    <w:sdt>
      <w:sdtPr>
        <w:alias w:val="是否适用：固定资产折旧方法[双击切换]"/>
        <w:tag w:val="_GBC_f89f129fe73045168ebdc30031da9fdd"/>
        <w:id w:val="1936627572"/>
        <w:placeholder>
          <w:docPart w:val="0E5391F6271D4115B566B1A71DB05276"/>
        </w:placeholder>
      </w:sdtPr>
      <w:sdtContent>
        <w:p w14:paraId="458D5674" w14:textId="77777777" w:rsidR="005E000F" w:rsidRDefault="00000000">
          <w:pPr>
            <w:rPr>
              <w:rFonts w:ascii="宋体" w:hAnsi="宋体"/>
            </w:rPr>
          </w:pPr>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p w14:paraId="5A3A7FE6" w14:textId="77777777" w:rsidR="005E000F" w:rsidRDefault="00000000">
          <w:r>
            <w:rPr>
              <w:rFonts w:hint="eastAsia"/>
            </w:rPr>
            <w:t>除已提足</w:t>
          </w:r>
          <w:proofErr w:type="gramStart"/>
          <w:r>
            <w:rPr>
              <w:rFonts w:hint="eastAsia"/>
            </w:rPr>
            <w:t>折旧仍</w:t>
          </w:r>
          <w:proofErr w:type="gramEnd"/>
          <w:r>
            <w:rPr>
              <w:rFonts w:hint="eastAsia"/>
            </w:rPr>
            <w:t>继续使用的固定资产和单独计价入账的土地外，本集团对所有固定资产计提折旧。计提折旧时采用平均年限法。本集团固定资产的分类折旧年限、预计净残值率、折旧率如下：</w:t>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1748"/>
        <w:gridCol w:w="1564"/>
        <w:gridCol w:w="1336"/>
        <w:gridCol w:w="1383"/>
      </w:tblGrid>
      <w:tr w:rsidR="005E000F" w14:paraId="5D732DF5" w14:textId="77777777">
        <w:tc>
          <w:tcPr>
            <w:tcW w:w="1666" w:type="pct"/>
            <w:vAlign w:val="center"/>
          </w:tcPr>
          <w:p w14:paraId="114979A4" w14:textId="77777777" w:rsidR="005E000F" w:rsidRDefault="00000000">
            <w:pPr>
              <w:jc w:val="center"/>
              <w:rPr>
                <w:color w:val="000000" w:themeColor="text1"/>
              </w:rPr>
            </w:pPr>
            <w:r>
              <w:rPr>
                <w:color w:val="000000" w:themeColor="text1"/>
              </w:rPr>
              <w:t>类别</w:t>
            </w:r>
          </w:p>
        </w:tc>
        <w:tc>
          <w:tcPr>
            <w:tcW w:w="966" w:type="pct"/>
            <w:vAlign w:val="center"/>
          </w:tcPr>
          <w:p w14:paraId="4ACC4F4F" w14:textId="77777777" w:rsidR="005E000F" w:rsidRDefault="00000000">
            <w:pPr>
              <w:jc w:val="center"/>
              <w:rPr>
                <w:color w:val="000000" w:themeColor="text1"/>
              </w:rPr>
            </w:pPr>
            <w:r>
              <w:rPr>
                <w:rFonts w:hint="eastAsia"/>
                <w:color w:val="000000" w:themeColor="text1"/>
              </w:rPr>
              <w:t>折旧方法</w:t>
            </w:r>
          </w:p>
        </w:tc>
        <w:tc>
          <w:tcPr>
            <w:tcW w:w="864" w:type="pct"/>
            <w:vAlign w:val="center"/>
          </w:tcPr>
          <w:p w14:paraId="1B0B7586" w14:textId="77777777" w:rsidR="005E000F" w:rsidRDefault="00000000">
            <w:pPr>
              <w:jc w:val="center"/>
              <w:rPr>
                <w:color w:val="000000" w:themeColor="text1"/>
              </w:rPr>
            </w:pPr>
            <w:r>
              <w:rPr>
                <w:color w:val="000000" w:themeColor="text1"/>
              </w:rPr>
              <w:t>折旧年限（年）</w:t>
            </w:r>
          </w:p>
        </w:tc>
        <w:tc>
          <w:tcPr>
            <w:tcW w:w="738" w:type="pct"/>
            <w:vAlign w:val="center"/>
          </w:tcPr>
          <w:p w14:paraId="21A857C5" w14:textId="77777777" w:rsidR="005E000F" w:rsidRDefault="00000000">
            <w:pPr>
              <w:jc w:val="center"/>
              <w:rPr>
                <w:color w:val="000000" w:themeColor="text1"/>
              </w:rPr>
            </w:pPr>
            <w:r>
              <w:rPr>
                <w:color w:val="000000" w:themeColor="text1"/>
              </w:rPr>
              <w:t>残值率</w:t>
            </w:r>
          </w:p>
        </w:tc>
        <w:tc>
          <w:tcPr>
            <w:tcW w:w="764" w:type="pct"/>
            <w:vAlign w:val="center"/>
          </w:tcPr>
          <w:p w14:paraId="523BDBFC" w14:textId="77777777" w:rsidR="005E000F" w:rsidRDefault="00000000">
            <w:pPr>
              <w:jc w:val="center"/>
              <w:rPr>
                <w:color w:val="000000" w:themeColor="text1"/>
              </w:rPr>
            </w:pPr>
            <w:r>
              <w:rPr>
                <w:color w:val="000000" w:themeColor="text1"/>
              </w:rPr>
              <w:t>年折旧率</w:t>
            </w:r>
          </w:p>
        </w:tc>
      </w:tr>
      <w:tr w:rsidR="005E000F" w14:paraId="6C459128" w14:textId="77777777">
        <w:tc>
          <w:tcPr>
            <w:tcW w:w="1666" w:type="pct"/>
          </w:tcPr>
          <w:p w14:paraId="26B700EC" w14:textId="77777777" w:rsidR="005E000F" w:rsidRDefault="00000000">
            <w:r>
              <w:rPr>
                <w:rFonts w:hint="eastAsia"/>
              </w:rPr>
              <w:t>房屋及建筑物</w:t>
            </w:r>
          </w:p>
        </w:tc>
        <w:tc>
          <w:tcPr>
            <w:tcW w:w="966" w:type="pct"/>
          </w:tcPr>
          <w:p w14:paraId="55AB2D4F" w14:textId="77777777" w:rsidR="005E000F" w:rsidRDefault="00000000">
            <w:pPr>
              <w:jc w:val="center"/>
            </w:pPr>
            <w:r>
              <w:rPr>
                <w:rFonts w:hint="eastAsia"/>
              </w:rPr>
              <w:t>年限平均法</w:t>
            </w:r>
          </w:p>
        </w:tc>
        <w:tc>
          <w:tcPr>
            <w:tcW w:w="864" w:type="pct"/>
          </w:tcPr>
          <w:p w14:paraId="22F605CB" w14:textId="77777777" w:rsidR="005E000F" w:rsidRDefault="005E000F">
            <w:pPr>
              <w:jc w:val="right"/>
            </w:pPr>
          </w:p>
        </w:tc>
        <w:tc>
          <w:tcPr>
            <w:tcW w:w="738" w:type="pct"/>
          </w:tcPr>
          <w:p w14:paraId="53490B45" w14:textId="77777777" w:rsidR="005E000F" w:rsidRDefault="005E000F">
            <w:pPr>
              <w:jc w:val="right"/>
            </w:pPr>
          </w:p>
        </w:tc>
        <w:tc>
          <w:tcPr>
            <w:tcW w:w="764" w:type="pct"/>
          </w:tcPr>
          <w:p w14:paraId="34423DB1" w14:textId="77777777" w:rsidR="005E000F" w:rsidRDefault="005E000F">
            <w:pPr>
              <w:jc w:val="right"/>
            </w:pPr>
          </w:p>
        </w:tc>
      </w:tr>
      <w:tr w:rsidR="005E000F" w14:paraId="260BD4A9" w14:textId="77777777">
        <w:tc>
          <w:tcPr>
            <w:tcW w:w="1666" w:type="pct"/>
          </w:tcPr>
          <w:p w14:paraId="43DE8DEA" w14:textId="77777777" w:rsidR="005E000F" w:rsidRDefault="00000000">
            <w:r>
              <w:rPr>
                <w:rFonts w:hint="eastAsia"/>
              </w:rPr>
              <w:t>其中：一般房屋</w:t>
            </w:r>
          </w:p>
        </w:tc>
        <w:tc>
          <w:tcPr>
            <w:tcW w:w="966" w:type="pct"/>
          </w:tcPr>
          <w:p w14:paraId="4BF71084" w14:textId="77777777" w:rsidR="005E000F" w:rsidRDefault="00000000">
            <w:pPr>
              <w:jc w:val="center"/>
            </w:pPr>
            <w:r>
              <w:rPr>
                <w:rFonts w:hint="eastAsia"/>
              </w:rPr>
              <w:t>年限平均法</w:t>
            </w:r>
          </w:p>
        </w:tc>
        <w:tc>
          <w:tcPr>
            <w:tcW w:w="864" w:type="pct"/>
          </w:tcPr>
          <w:p w14:paraId="60416EDE" w14:textId="77777777" w:rsidR="005E000F" w:rsidRDefault="00000000">
            <w:pPr>
              <w:jc w:val="right"/>
            </w:pPr>
            <w:r>
              <w:rPr>
                <w:rFonts w:hint="eastAsia"/>
              </w:rPr>
              <w:t>38</w:t>
            </w:r>
          </w:p>
        </w:tc>
        <w:tc>
          <w:tcPr>
            <w:tcW w:w="738" w:type="pct"/>
          </w:tcPr>
          <w:p w14:paraId="49472F76" w14:textId="77777777" w:rsidR="005E000F" w:rsidRDefault="00000000">
            <w:pPr>
              <w:jc w:val="right"/>
            </w:pPr>
            <w:r>
              <w:rPr>
                <w:rFonts w:hint="eastAsia"/>
              </w:rPr>
              <w:t>5</w:t>
            </w:r>
          </w:p>
        </w:tc>
        <w:tc>
          <w:tcPr>
            <w:tcW w:w="764" w:type="pct"/>
          </w:tcPr>
          <w:p w14:paraId="4AF4A286" w14:textId="77777777" w:rsidR="005E000F" w:rsidRDefault="00000000">
            <w:pPr>
              <w:jc w:val="right"/>
            </w:pPr>
            <w:r>
              <w:rPr>
                <w:rFonts w:hint="eastAsia"/>
              </w:rPr>
              <w:t>2.50</w:t>
            </w:r>
          </w:p>
        </w:tc>
      </w:tr>
      <w:tr w:rsidR="005E000F" w14:paraId="02204643" w14:textId="77777777">
        <w:tc>
          <w:tcPr>
            <w:tcW w:w="1666" w:type="pct"/>
          </w:tcPr>
          <w:p w14:paraId="2EEA130A" w14:textId="77777777" w:rsidR="005E000F" w:rsidRDefault="00000000">
            <w:r>
              <w:rPr>
                <w:rFonts w:hint="eastAsia"/>
              </w:rPr>
              <w:t>受腐蚀生产用房</w:t>
            </w:r>
          </w:p>
        </w:tc>
        <w:tc>
          <w:tcPr>
            <w:tcW w:w="966" w:type="pct"/>
          </w:tcPr>
          <w:p w14:paraId="64E93096" w14:textId="77777777" w:rsidR="005E000F" w:rsidRDefault="00000000">
            <w:pPr>
              <w:jc w:val="center"/>
            </w:pPr>
            <w:r>
              <w:rPr>
                <w:rFonts w:hint="eastAsia"/>
              </w:rPr>
              <w:t>年限平均法</w:t>
            </w:r>
          </w:p>
        </w:tc>
        <w:tc>
          <w:tcPr>
            <w:tcW w:w="864" w:type="pct"/>
          </w:tcPr>
          <w:p w14:paraId="60F9CF0B" w14:textId="77777777" w:rsidR="005E000F" w:rsidRDefault="00000000">
            <w:pPr>
              <w:jc w:val="right"/>
            </w:pPr>
            <w:r>
              <w:rPr>
                <w:rFonts w:hint="eastAsia"/>
              </w:rPr>
              <w:t>20</w:t>
            </w:r>
          </w:p>
        </w:tc>
        <w:tc>
          <w:tcPr>
            <w:tcW w:w="738" w:type="pct"/>
          </w:tcPr>
          <w:p w14:paraId="6A88D00E" w14:textId="77777777" w:rsidR="005E000F" w:rsidRDefault="00000000">
            <w:pPr>
              <w:jc w:val="right"/>
            </w:pPr>
            <w:r>
              <w:rPr>
                <w:rFonts w:hint="eastAsia"/>
              </w:rPr>
              <w:t>5</w:t>
            </w:r>
          </w:p>
        </w:tc>
        <w:tc>
          <w:tcPr>
            <w:tcW w:w="764" w:type="pct"/>
          </w:tcPr>
          <w:p w14:paraId="1DA29AFB" w14:textId="77777777" w:rsidR="005E000F" w:rsidRDefault="00000000">
            <w:pPr>
              <w:jc w:val="right"/>
            </w:pPr>
            <w:r>
              <w:rPr>
                <w:rFonts w:hint="eastAsia"/>
              </w:rPr>
              <w:t>4.75</w:t>
            </w:r>
          </w:p>
        </w:tc>
      </w:tr>
      <w:tr w:rsidR="005E000F" w14:paraId="6D581069" w14:textId="77777777">
        <w:tc>
          <w:tcPr>
            <w:tcW w:w="1666" w:type="pct"/>
          </w:tcPr>
          <w:p w14:paraId="2B3418DC" w14:textId="77777777" w:rsidR="005E000F" w:rsidRDefault="00000000">
            <w:r>
              <w:rPr>
                <w:rFonts w:hint="eastAsia"/>
              </w:rPr>
              <w:t>受强腐蚀生产用房</w:t>
            </w:r>
          </w:p>
        </w:tc>
        <w:tc>
          <w:tcPr>
            <w:tcW w:w="966" w:type="pct"/>
          </w:tcPr>
          <w:p w14:paraId="08AA8353" w14:textId="77777777" w:rsidR="005E000F" w:rsidRDefault="00000000">
            <w:pPr>
              <w:jc w:val="center"/>
            </w:pPr>
            <w:r>
              <w:rPr>
                <w:rFonts w:hint="eastAsia"/>
              </w:rPr>
              <w:t>年限平均法</w:t>
            </w:r>
          </w:p>
        </w:tc>
        <w:tc>
          <w:tcPr>
            <w:tcW w:w="864" w:type="pct"/>
          </w:tcPr>
          <w:p w14:paraId="107CB1A4" w14:textId="77777777" w:rsidR="005E000F" w:rsidRDefault="00000000">
            <w:pPr>
              <w:jc w:val="right"/>
            </w:pPr>
            <w:r>
              <w:rPr>
                <w:rFonts w:hint="eastAsia"/>
              </w:rPr>
              <w:t>10</w:t>
            </w:r>
          </w:p>
        </w:tc>
        <w:tc>
          <w:tcPr>
            <w:tcW w:w="738" w:type="pct"/>
          </w:tcPr>
          <w:p w14:paraId="1AB793AF" w14:textId="77777777" w:rsidR="005E000F" w:rsidRDefault="00000000">
            <w:pPr>
              <w:jc w:val="right"/>
            </w:pPr>
            <w:r>
              <w:rPr>
                <w:rFonts w:hint="eastAsia"/>
              </w:rPr>
              <w:t>5</w:t>
            </w:r>
          </w:p>
        </w:tc>
        <w:tc>
          <w:tcPr>
            <w:tcW w:w="764" w:type="pct"/>
          </w:tcPr>
          <w:p w14:paraId="0FA94F68" w14:textId="77777777" w:rsidR="005E000F" w:rsidRDefault="00000000">
            <w:pPr>
              <w:jc w:val="right"/>
            </w:pPr>
            <w:r>
              <w:rPr>
                <w:rFonts w:hint="eastAsia"/>
              </w:rPr>
              <w:t>9.50</w:t>
            </w:r>
          </w:p>
        </w:tc>
      </w:tr>
      <w:tr w:rsidR="005E000F" w14:paraId="58190B9C" w14:textId="77777777">
        <w:tc>
          <w:tcPr>
            <w:tcW w:w="1666" w:type="pct"/>
          </w:tcPr>
          <w:p w14:paraId="667A7EDC" w14:textId="77777777" w:rsidR="005E000F" w:rsidRDefault="00000000">
            <w:r>
              <w:rPr>
                <w:rFonts w:hint="eastAsia"/>
              </w:rPr>
              <w:t>简易房</w:t>
            </w:r>
          </w:p>
        </w:tc>
        <w:tc>
          <w:tcPr>
            <w:tcW w:w="966" w:type="pct"/>
          </w:tcPr>
          <w:p w14:paraId="04619B5D" w14:textId="77777777" w:rsidR="005E000F" w:rsidRDefault="00000000">
            <w:pPr>
              <w:jc w:val="center"/>
            </w:pPr>
            <w:r>
              <w:rPr>
                <w:rFonts w:hint="eastAsia"/>
              </w:rPr>
              <w:t>年限平均法</w:t>
            </w:r>
          </w:p>
        </w:tc>
        <w:tc>
          <w:tcPr>
            <w:tcW w:w="864" w:type="pct"/>
          </w:tcPr>
          <w:p w14:paraId="2F91DF4E" w14:textId="77777777" w:rsidR="005E000F" w:rsidRDefault="00000000">
            <w:pPr>
              <w:jc w:val="right"/>
            </w:pPr>
            <w:r>
              <w:rPr>
                <w:rFonts w:hint="eastAsia"/>
              </w:rPr>
              <w:t>8</w:t>
            </w:r>
          </w:p>
        </w:tc>
        <w:tc>
          <w:tcPr>
            <w:tcW w:w="738" w:type="pct"/>
          </w:tcPr>
          <w:p w14:paraId="0A3086BC" w14:textId="77777777" w:rsidR="005E000F" w:rsidRDefault="00000000">
            <w:pPr>
              <w:jc w:val="right"/>
            </w:pPr>
            <w:r>
              <w:rPr>
                <w:rFonts w:hint="eastAsia"/>
              </w:rPr>
              <w:t>5.04</w:t>
            </w:r>
          </w:p>
        </w:tc>
        <w:tc>
          <w:tcPr>
            <w:tcW w:w="764" w:type="pct"/>
          </w:tcPr>
          <w:p w14:paraId="02AD9425" w14:textId="77777777" w:rsidR="005E000F" w:rsidRDefault="00000000">
            <w:pPr>
              <w:jc w:val="right"/>
            </w:pPr>
            <w:r>
              <w:rPr>
                <w:rFonts w:hint="eastAsia"/>
              </w:rPr>
              <w:t>11.87</w:t>
            </w:r>
          </w:p>
        </w:tc>
      </w:tr>
      <w:tr w:rsidR="005E000F" w14:paraId="19039965" w14:textId="77777777">
        <w:tc>
          <w:tcPr>
            <w:tcW w:w="1666" w:type="pct"/>
          </w:tcPr>
          <w:p w14:paraId="53DF340B" w14:textId="77777777" w:rsidR="005E000F" w:rsidRDefault="00000000">
            <w:r>
              <w:rPr>
                <w:rFonts w:hint="eastAsia"/>
              </w:rPr>
              <w:t>建筑物</w:t>
            </w:r>
          </w:p>
        </w:tc>
        <w:tc>
          <w:tcPr>
            <w:tcW w:w="966" w:type="pct"/>
          </w:tcPr>
          <w:p w14:paraId="34DC68B5" w14:textId="77777777" w:rsidR="005E000F" w:rsidRDefault="00000000">
            <w:pPr>
              <w:jc w:val="center"/>
            </w:pPr>
            <w:r>
              <w:rPr>
                <w:rFonts w:hint="eastAsia"/>
              </w:rPr>
              <w:t>年限平均法</w:t>
            </w:r>
          </w:p>
        </w:tc>
        <w:tc>
          <w:tcPr>
            <w:tcW w:w="864" w:type="pct"/>
          </w:tcPr>
          <w:p w14:paraId="06A9B203" w14:textId="77777777" w:rsidR="005E000F" w:rsidRDefault="00000000">
            <w:pPr>
              <w:jc w:val="right"/>
            </w:pPr>
            <w:r>
              <w:rPr>
                <w:rFonts w:hint="eastAsia"/>
              </w:rPr>
              <w:t>20</w:t>
            </w:r>
          </w:p>
        </w:tc>
        <w:tc>
          <w:tcPr>
            <w:tcW w:w="738" w:type="pct"/>
          </w:tcPr>
          <w:p w14:paraId="371ED0CB" w14:textId="77777777" w:rsidR="005E000F" w:rsidRDefault="00000000">
            <w:pPr>
              <w:jc w:val="right"/>
            </w:pPr>
            <w:r>
              <w:rPr>
                <w:rFonts w:hint="eastAsia"/>
              </w:rPr>
              <w:t>5</w:t>
            </w:r>
          </w:p>
        </w:tc>
        <w:tc>
          <w:tcPr>
            <w:tcW w:w="764" w:type="pct"/>
          </w:tcPr>
          <w:p w14:paraId="343CBBF6" w14:textId="77777777" w:rsidR="005E000F" w:rsidRDefault="00000000">
            <w:pPr>
              <w:jc w:val="right"/>
            </w:pPr>
            <w:r>
              <w:rPr>
                <w:rFonts w:hint="eastAsia"/>
              </w:rPr>
              <w:t>4.75</w:t>
            </w:r>
          </w:p>
        </w:tc>
      </w:tr>
      <w:tr w:rsidR="005E000F" w14:paraId="72E5F915" w14:textId="77777777">
        <w:tc>
          <w:tcPr>
            <w:tcW w:w="1666" w:type="pct"/>
          </w:tcPr>
          <w:p w14:paraId="3A20870B" w14:textId="77777777" w:rsidR="005E000F" w:rsidRDefault="00000000">
            <w:r>
              <w:rPr>
                <w:rFonts w:hint="eastAsia"/>
              </w:rPr>
              <w:t>机车车辆</w:t>
            </w:r>
          </w:p>
        </w:tc>
        <w:tc>
          <w:tcPr>
            <w:tcW w:w="966" w:type="pct"/>
          </w:tcPr>
          <w:p w14:paraId="0CE97230" w14:textId="77777777" w:rsidR="005E000F" w:rsidRDefault="00000000">
            <w:pPr>
              <w:jc w:val="center"/>
            </w:pPr>
            <w:r>
              <w:rPr>
                <w:rFonts w:hint="eastAsia"/>
              </w:rPr>
              <w:t>年限平均法</w:t>
            </w:r>
          </w:p>
        </w:tc>
        <w:tc>
          <w:tcPr>
            <w:tcW w:w="864" w:type="pct"/>
          </w:tcPr>
          <w:p w14:paraId="72CE4FF6" w14:textId="77777777" w:rsidR="005E000F" w:rsidRDefault="005E000F">
            <w:pPr>
              <w:jc w:val="right"/>
            </w:pPr>
          </w:p>
        </w:tc>
        <w:tc>
          <w:tcPr>
            <w:tcW w:w="738" w:type="pct"/>
          </w:tcPr>
          <w:p w14:paraId="6FDE76DE" w14:textId="77777777" w:rsidR="005E000F" w:rsidRDefault="005E000F">
            <w:pPr>
              <w:jc w:val="right"/>
            </w:pPr>
          </w:p>
        </w:tc>
        <w:tc>
          <w:tcPr>
            <w:tcW w:w="764" w:type="pct"/>
          </w:tcPr>
          <w:p w14:paraId="44830F12" w14:textId="77777777" w:rsidR="005E000F" w:rsidRDefault="005E000F">
            <w:pPr>
              <w:jc w:val="right"/>
            </w:pPr>
          </w:p>
        </w:tc>
      </w:tr>
      <w:tr w:rsidR="005E000F" w14:paraId="6AEBBAAF" w14:textId="77777777">
        <w:tc>
          <w:tcPr>
            <w:tcW w:w="1666" w:type="pct"/>
          </w:tcPr>
          <w:p w14:paraId="7B9188C5" w14:textId="77777777" w:rsidR="005E000F" w:rsidRDefault="00000000">
            <w:r>
              <w:rPr>
                <w:rFonts w:hint="eastAsia"/>
              </w:rPr>
              <w:t>其中：机车、货车及客车等</w:t>
            </w:r>
          </w:p>
        </w:tc>
        <w:tc>
          <w:tcPr>
            <w:tcW w:w="966" w:type="pct"/>
          </w:tcPr>
          <w:p w14:paraId="1938EE5F" w14:textId="77777777" w:rsidR="005E000F" w:rsidRDefault="00000000">
            <w:pPr>
              <w:jc w:val="center"/>
            </w:pPr>
            <w:r>
              <w:rPr>
                <w:rFonts w:hint="eastAsia"/>
              </w:rPr>
              <w:t>年限平均法</w:t>
            </w:r>
          </w:p>
        </w:tc>
        <w:tc>
          <w:tcPr>
            <w:tcW w:w="864" w:type="pct"/>
          </w:tcPr>
          <w:p w14:paraId="381D6F48" w14:textId="77777777" w:rsidR="005E000F" w:rsidRDefault="00000000">
            <w:pPr>
              <w:jc w:val="right"/>
            </w:pPr>
            <w:r>
              <w:rPr>
                <w:rFonts w:hint="eastAsia"/>
              </w:rPr>
              <w:t>16-30</w:t>
            </w:r>
          </w:p>
        </w:tc>
        <w:tc>
          <w:tcPr>
            <w:tcW w:w="738" w:type="pct"/>
          </w:tcPr>
          <w:p w14:paraId="5C42DC8B" w14:textId="77777777" w:rsidR="005E000F" w:rsidRDefault="00000000">
            <w:pPr>
              <w:jc w:val="right"/>
            </w:pPr>
            <w:r>
              <w:rPr>
                <w:rFonts w:hint="eastAsia"/>
              </w:rPr>
              <w:t>4-5.12</w:t>
            </w:r>
          </w:p>
        </w:tc>
        <w:tc>
          <w:tcPr>
            <w:tcW w:w="764" w:type="pct"/>
          </w:tcPr>
          <w:p w14:paraId="0C13B3F7" w14:textId="77777777" w:rsidR="005E000F" w:rsidRDefault="00000000">
            <w:pPr>
              <w:jc w:val="right"/>
            </w:pPr>
            <w:r>
              <w:rPr>
                <w:rFonts w:hint="eastAsia"/>
              </w:rPr>
              <w:t>3.20-5.93</w:t>
            </w:r>
          </w:p>
        </w:tc>
      </w:tr>
      <w:tr w:rsidR="005E000F" w14:paraId="260A8BBC" w14:textId="77777777">
        <w:tc>
          <w:tcPr>
            <w:tcW w:w="1666" w:type="pct"/>
          </w:tcPr>
          <w:p w14:paraId="7065AF00" w14:textId="77777777" w:rsidR="005E000F" w:rsidRDefault="00000000">
            <w:r>
              <w:rPr>
                <w:rFonts w:hint="eastAsia"/>
              </w:rPr>
              <w:t>动车组</w:t>
            </w:r>
          </w:p>
        </w:tc>
        <w:tc>
          <w:tcPr>
            <w:tcW w:w="966" w:type="pct"/>
          </w:tcPr>
          <w:p w14:paraId="07F794B4" w14:textId="77777777" w:rsidR="005E000F" w:rsidRDefault="00000000">
            <w:pPr>
              <w:jc w:val="center"/>
            </w:pPr>
            <w:r>
              <w:rPr>
                <w:rFonts w:hint="eastAsia"/>
              </w:rPr>
              <w:t>年限平均法</w:t>
            </w:r>
          </w:p>
        </w:tc>
        <w:tc>
          <w:tcPr>
            <w:tcW w:w="864" w:type="pct"/>
          </w:tcPr>
          <w:p w14:paraId="4010810D" w14:textId="77777777" w:rsidR="005E000F" w:rsidRDefault="00000000">
            <w:pPr>
              <w:jc w:val="right"/>
            </w:pPr>
            <w:r>
              <w:rPr>
                <w:rFonts w:hint="eastAsia"/>
              </w:rPr>
              <w:t>20-30</w:t>
            </w:r>
          </w:p>
        </w:tc>
        <w:tc>
          <w:tcPr>
            <w:tcW w:w="738" w:type="pct"/>
          </w:tcPr>
          <w:p w14:paraId="5433AA63" w14:textId="77777777" w:rsidR="005E000F" w:rsidRDefault="00000000">
            <w:pPr>
              <w:jc w:val="right"/>
            </w:pPr>
            <w:r>
              <w:rPr>
                <w:rFonts w:hint="eastAsia"/>
              </w:rPr>
              <w:t>4</w:t>
            </w:r>
          </w:p>
        </w:tc>
        <w:tc>
          <w:tcPr>
            <w:tcW w:w="764" w:type="pct"/>
          </w:tcPr>
          <w:p w14:paraId="5D1C698F" w14:textId="77777777" w:rsidR="005E000F" w:rsidRDefault="00000000">
            <w:pPr>
              <w:jc w:val="right"/>
            </w:pPr>
            <w:r>
              <w:rPr>
                <w:rFonts w:hint="eastAsia"/>
              </w:rPr>
              <w:t>3.20-4.80</w:t>
            </w:r>
          </w:p>
        </w:tc>
      </w:tr>
      <w:tr w:rsidR="005E000F" w14:paraId="6F40682B" w14:textId="77777777">
        <w:tc>
          <w:tcPr>
            <w:tcW w:w="1666" w:type="pct"/>
          </w:tcPr>
          <w:p w14:paraId="7D9F7DA4" w14:textId="77777777" w:rsidR="005E000F" w:rsidRDefault="00000000">
            <w:r>
              <w:rPr>
                <w:rFonts w:hint="eastAsia"/>
              </w:rPr>
              <w:t>机车车辆高价互换配件</w:t>
            </w:r>
          </w:p>
        </w:tc>
        <w:tc>
          <w:tcPr>
            <w:tcW w:w="966" w:type="pct"/>
          </w:tcPr>
          <w:p w14:paraId="6AA3EE51" w14:textId="77777777" w:rsidR="005E000F" w:rsidRDefault="00000000">
            <w:pPr>
              <w:jc w:val="center"/>
            </w:pPr>
            <w:r>
              <w:rPr>
                <w:rFonts w:hint="eastAsia"/>
              </w:rPr>
              <w:t>年限平均法</w:t>
            </w:r>
          </w:p>
        </w:tc>
        <w:tc>
          <w:tcPr>
            <w:tcW w:w="864" w:type="pct"/>
          </w:tcPr>
          <w:p w14:paraId="2DFA8F70" w14:textId="77777777" w:rsidR="005E000F" w:rsidRDefault="00000000">
            <w:pPr>
              <w:jc w:val="right"/>
            </w:pPr>
            <w:r>
              <w:rPr>
                <w:rFonts w:hint="eastAsia"/>
              </w:rPr>
              <w:t>5-10</w:t>
            </w:r>
          </w:p>
        </w:tc>
        <w:tc>
          <w:tcPr>
            <w:tcW w:w="738" w:type="pct"/>
          </w:tcPr>
          <w:p w14:paraId="005D98C1" w14:textId="77777777" w:rsidR="005E000F" w:rsidRDefault="00000000">
            <w:pPr>
              <w:jc w:val="right"/>
            </w:pPr>
            <w:r>
              <w:rPr>
                <w:rFonts w:hint="eastAsia"/>
              </w:rPr>
              <w:t>5-5.04</w:t>
            </w:r>
          </w:p>
        </w:tc>
        <w:tc>
          <w:tcPr>
            <w:tcW w:w="764" w:type="pct"/>
          </w:tcPr>
          <w:p w14:paraId="21B9C828" w14:textId="77777777" w:rsidR="005E000F" w:rsidRDefault="00000000">
            <w:pPr>
              <w:jc w:val="right"/>
            </w:pPr>
            <w:r>
              <w:rPr>
                <w:rFonts w:hint="eastAsia"/>
              </w:rPr>
              <w:t>9.50-19.00</w:t>
            </w:r>
          </w:p>
        </w:tc>
      </w:tr>
      <w:tr w:rsidR="005E000F" w14:paraId="5EEC550A" w14:textId="77777777">
        <w:tc>
          <w:tcPr>
            <w:tcW w:w="1666" w:type="pct"/>
          </w:tcPr>
          <w:p w14:paraId="14E92658" w14:textId="77777777" w:rsidR="005E000F" w:rsidRDefault="00000000">
            <w:r>
              <w:rPr>
                <w:rFonts w:hint="eastAsia"/>
              </w:rPr>
              <w:t>路基</w:t>
            </w:r>
          </w:p>
        </w:tc>
        <w:tc>
          <w:tcPr>
            <w:tcW w:w="966" w:type="pct"/>
          </w:tcPr>
          <w:p w14:paraId="4F70C706" w14:textId="77777777" w:rsidR="005E000F" w:rsidRDefault="00000000">
            <w:pPr>
              <w:jc w:val="center"/>
            </w:pPr>
            <w:r>
              <w:rPr>
                <w:rFonts w:hint="eastAsia"/>
              </w:rPr>
              <w:t>年限平均法</w:t>
            </w:r>
          </w:p>
        </w:tc>
        <w:tc>
          <w:tcPr>
            <w:tcW w:w="864" w:type="pct"/>
          </w:tcPr>
          <w:p w14:paraId="34900ED7" w14:textId="77777777" w:rsidR="005E000F" w:rsidRDefault="00000000">
            <w:pPr>
              <w:jc w:val="right"/>
            </w:pPr>
            <w:r>
              <w:rPr>
                <w:rFonts w:hint="eastAsia"/>
              </w:rPr>
              <w:t>100</w:t>
            </w:r>
          </w:p>
        </w:tc>
        <w:tc>
          <w:tcPr>
            <w:tcW w:w="738" w:type="pct"/>
          </w:tcPr>
          <w:p w14:paraId="159629E5" w14:textId="77777777" w:rsidR="005E000F" w:rsidRDefault="00000000">
            <w:pPr>
              <w:jc w:val="right"/>
            </w:pPr>
            <w:r>
              <w:rPr>
                <w:rFonts w:hint="eastAsia"/>
              </w:rPr>
              <w:t>5</w:t>
            </w:r>
          </w:p>
        </w:tc>
        <w:tc>
          <w:tcPr>
            <w:tcW w:w="764" w:type="pct"/>
          </w:tcPr>
          <w:p w14:paraId="3CD1FD39" w14:textId="77777777" w:rsidR="005E000F" w:rsidRDefault="00000000">
            <w:pPr>
              <w:jc w:val="right"/>
            </w:pPr>
            <w:r>
              <w:rPr>
                <w:rFonts w:hint="eastAsia"/>
              </w:rPr>
              <w:t>0.95</w:t>
            </w:r>
          </w:p>
        </w:tc>
      </w:tr>
      <w:tr w:rsidR="005E000F" w14:paraId="5DBF6A5D" w14:textId="77777777">
        <w:tc>
          <w:tcPr>
            <w:tcW w:w="1666" w:type="pct"/>
          </w:tcPr>
          <w:p w14:paraId="2B87389A" w14:textId="77777777" w:rsidR="005E000F" w:rsidRDefault="00000000">
            <w:r>
              <w:rPr>
                <w:rFonts w:hint="eastAsia"/>
              </w:rPr>
              <w:t>轨道（钢轨、轨枕、道碴）</w:t>
            </w:r>
          </w:p>
        </w:tc>
        <w:tc>
          <w:tcPr>
            <w:tcW w:w="966" w:type="pct"/>
          </w:tcPr>
          <w:p w14:paraId="7D9328DC" w14:textId="77777777" w:rsidR="005E000F" w:rsidRDefault="00000000">
            <w:pPr>
              <w:jc w:val="center"/>
            </w:pPr>
            <w:r>
              <w:rPr>
                <w:rFonts w:hint="eastAsia"/>
              </w:rPr>
              <w:t>年限平均法</w:t>
            </w:r>
          </w:p>
        </w:tc>
        <w:tc>
          <w:tcPr>
            <w:tcW w:w="864" w:type="pct"/>
          </w:tcPr>
          <w:p w14:paraId="1193739D" w14:textId="77777777" w:rsidR="005E000F" w:rsidRDefault="00000000">
            <w:pPr>
              <w:jc w:val="right"/>
            </w:pPr>
            <w:r>
              <w:rPr>
                <w:rFonts w:hint="eastAsia"/>
              </w:rPr>
              <w:t>25-45</w:t>
            </w:r>
          </w:p>
        </w:tc>
        <w:tc>
          <w:tcPr>
            <w:tcW w:w="738" w:type="pct"/>
          </w:tcPr>
          <w:p w14:paraId="60C712E5" w14:textId="77777777" w:rsidR="005E000F" w:rsidRDefault="00000000">
            <w:pPr>
              <w:jc w:val="right"/>
            </w:pPr>
            <w:r>
              <w:rPr>
                <w:rFonts w:hint="eastAsia"/>
              </w:rPr>
              <w:t>5-7</w:t>
            </w:r>
          </w:p>
        </w:tc>
        <w:tc>
          <w:tcPr>
            <w:tcW w:w="764" w:type="pct"/>
          </w:tcPr>
          <w:p w14:paraId="502CB242" w14:textId="77777777" w:rsidR="005E000F" w:rsidRDefault="00000000">
            <w:pPr>
              <w:jc w:val="right"/>
            </w:pPr>
            <w:r>
              <w:rPr>
                <w:rFonts w:hint="eastAsia"/>
              </w:rPr>
              <w:t>2.07-3.8</w:t>
            </w:r>
          </w:p>
        </w:tc>
      </w:tr>
      <w:tr w:rsidR="005E000F" w14:paraId="08C16032" w14:textId="77777777">
        <w:tc>
          <w:tcPr>
            <w:tcW w:w="1666" w:type="pct"/>
          </w:tcPr>
          <w:p w14:paraId="13604A34" w14:textId="77777777" w:rsidR="005E000F" w:rsidRDefault="00000000">
            <w:r>
              <w:rPr>
                <w:rFonts w:hint="eastAsia"/>
              </w:rPr>
              <w:t>道岔</w:t>
            </w:r>
          </w:p>
        </w:tc>
        <w:tc>
          <w:tcPr>
            <w:tcW w:w="966" w:type="pct"/>
          </w:tcPr>
          <w:p w14:paraId="700B6D40" w14:textId="77777777" w:rsidR="005E000F" w:rsidRDefault="00000000">
            <w:pPr>
              <w:jc w:val="center"/>
            </w:pPr>
            <w:r>
              <w:rPr>
                <w:rFonts w:hint="eastAsia"/>
              </w:rPr>
              <w:t>年限平均法</w:t>
            </w:r>
          </w:p>
        </w:tc>
        <w:tc>
          <w:tcPr>
            <w:tcW w:w="864" w:type="pct"/>
          </w:tcPr>
          <w:p w14:paraId="016B3195" w14:textId="77777777" w:rsidR="005E000F" w:rsidRDefault="00000000">
            <w:pPr>
              <w:jc w:val="right"/>
            </w:pPr>
            <w:r>
              <w:rPr>
                <w:rFonts w:hint="eastAsia"/>
              </w:rPr>
              <w:t>15-20</w:t>
            </w:r>
          </w:p>
        </w:tc>
        <w:tc>
          <w:tcPr>
            <w:tcW w:w="738" w:type="pct"/>
          </w:tcPr>
          <w:p w14:paraId="0859C207" w14:textId="77777777" w:rsidR="005E000F" w:rsidRDefault="00000000">
            <w:pPr>
              <w:jc w:val="right"/>
            </w:pPr>
            <w:r>
              <w:rPr>
                <w:rFonts w:hint="eastAsia"/>
              </w:rPr>
              <w:t>2-5</w:t>
            </w:r>
          </w:p>
        </w:tc>
        <w:tc>
          <w:tcPr>
            <w:tcW w:w="764" w:type="pct"/>
          </w:tcPr>
          <w:p w14:paraId="7675300D" w14:textId="77777777" w:rsidR="005E000F" w:rsidRDefault="00000000">
            <w:pPr>
              <w:jc w:val="right"/>
            </w:pPr>
            <w:r>
              <w:rPr>
                <w:rFonts w:hint="eastAsia"/>
              </w:rPr>
              <w:t>4.75-6.53</w:t>
            </w:r>
          </w:p>
        </w:tc>
      </w:tr>
      <w:tr w:rsidR="005E000F" w14:paraId="485B4030" w14:textId="77777777">
        <w:tc>
          <w:tcPr>
            <w:tcW w:w="1666" w:type="pct"/>
          </w:tcPr>
          <w:p w14:paraId="7D940499" w14:textId="77777777" w:rsidR="005E000F" w:rsidRDefault="00000000">
            <w:r>
              <w:rPr>
                <w:rFonts w:hint="eastAsia"/>
              </w:rPr>
              <w:t>桥梁</w:t>
            </w:r>
          </w:p>
        </w:tc>
        <w:tc>
          <w:tcPr>
            <w:tcW w:w="966" w:type="pct"/>
          </w:tcPr>
          <w:p w14:paraId="328168C1" w14:textId="77777777" w:rsidR="005E000F" w:rsidRDefault="00000000">
            <w:pPr>
              <w:jc w:val="center"/>
            </w:pPr>
            <w:r>
              <w:rPr>
                <w:rFonts w:hint="eastAsia"/>
              </w:rPr>
              <w:t>年限平均法</w:t>
            </w:r>
          </w:p>
        </w:tc>
        <w:tc>
          <w:tcPr>
            <w:tcW w:w="864" w:type="pct"/>
          </w:tcPr>
          <w:p w14:paraId="299C81AA" w14:textId="77777777" w:rsidR="005E000F" w:rsidRDefault="00000000">
            <w:pPr>
              <w:jc w:val="right"/>
            </w:pPr>
            <w:r>
              <w:rPr>
                <w:rFonts w:hint="eastAsia"/>
              </w:rPr>
              <w:t>65</w:t>
            </w:r>
          </w:p>
        </w:tc>
        <w:tc>
          <w:tcPr>
            <w:tcW w:w="738" w:type="pct"/>
          </w:tcPr>
          <w:p w14:paraId="74273085" w14:textId="77777777" w:rsidR="005E000F" w:rsidRDefault="00000000">
            <w:pPr>
              <w:jc w:val="right"/>
            </w:pPr>
            <w:r>
              <w:rPr>
                <w:rFonts w:hint="eastAsia"/>
              </w:rPr>
              <w:t>5.10</w:t>
            </w:r>
          </w:p>
        </w:tc>
        <w:tc>
          <w:tcPr>
            <w:tcW w:w="764" w:type="pct"/>
          </w:tcPr>
          <w:p w14:paraId="1E7D4F63" w14:textId="77777777" w:rsidR="005E000F" w:rsidRDefault="00000000">
            <w:pPr>
              <w:jc w:val="right"/>
            </w:pPr>
            <w:r>
              <w:rPr>
                <w:rFonts w:hint="eastAsia"/>
              </w:rPr>
              <w:t>1.46</w:t>
            </w:r>
          </w:p>
        </w:tc>
      </w:tr>
      <w:tr w:rsidR="005E000F" w14:paraId="5DE69734" w14:textId="77777777">
        <w:tc>
          <w:tcPr>
            <w:tcW w:w="1666" w:type="pct"/>
          </w:tcPr>
          <w:p w14:paraId="6FBA4641" w14:textId="77777777" w:rsidR="005E000F" w:rsidRDefault="00000000">
            <w:r>
              <w:rPr>
                <w:rFonts w:hint="eastAsia"/>
              </w:rPr>
              <w:t>隧道</w:t>
            </w:r>
          </w:p>
        </w:tc>
        <w:tc>
          <w:tcPr>
            <w:tcW w:w="966" w:type="pct"/>
          </w:tcPr>
          <w:p w14:paraId="58261D21" w14:textId="77777777" w:rsidR="005E000F" w:rsidRDefault="00000000">
            <w:pPr>
              <w:jc w:val="center"/>
            </w:pPr>
            <w:r>
              <w:rPr>
                <w:rFonts w:hint="eastAsia"/>
              </w:rPr>
              <w:t>年限平均法</w:t>
            </w:r>
          </w:p>
        </w:tc>
        <w:tc>
          <w:tcPr>
            <w:tcW w:w="864" w:type="pct"/>
          </w:tcPr>
          <w:p w14:paraId="49385C05" w14:textId="77777777" w:rsidR="005E000F" w:rsidRDefault="00000000">
            <w:pPr>
              <w:jc w:val="right"/>
            </w:pPr>
            <w:r>
              <w:rPr>
                <w:rFonts w:hint="eastAsia"/>
              </w:rPr>
              <w:t>80</w:t>
            </w:r>
          </w:p>
        </w:tc>
        <w:tc>
          <w:tcPr>
            <w:tcW w:w="738" w:type="pct"/>
          </w:tcPr>
          <w:p w14:paraId="122F0E46" w14:textId="77777777" w:rsidR="005E000F" w:rsidRDefault="00000000">
            <w:pPr>
              <w:jc w:val="right"/>
            </w:pPr>
            <w:r>
              <w:rPr>
                <w:rFonts w:hint="eastAsia"/>
              </w:rPr>
              <w:t>5.60</w:t>
            </w:r>
          </w:p>
        </w:tc>
        <w:tc>
          <w:tcPr>
            <w:tcW w:w="764" w:type="pct"/>
          </w:tcPr>
          <w:p w14:paraId="324360D5" w14:textId="77777777" w:rsidR="005E000F" w:rsidRDefault="00000000">
            <w:pPr>
              <w:jc w:val="right"/>
            </w:pPr>
            <w:r>
              <w:rPr>
                <w:rFonts w:hint="eastAsia"/>
              </w:rPr>
              <w:t>1.18</w:t>
            </w:r>
          </w:p>
        </w:tc>
      </w:tr>
      <w:tr w:rsidR="005E000F" w14:paraId="521EEE3C" w14:textId="77777777">
        <w:tc>
          <w:tcPr>
            <w:tcW w:w="1666" w:type="pct"/>
          </w:tcPr>
          <w:p w14:paraId="72439F32" w14:textId="77777777" w:rsidR="005E000F" w:rsidRDefault="00000000">
            <w:r>
              <w:rPr>
                <w:rFonts w:hint="eastAsia"/>
              </w:rPr>
              <w:t>道口</w:t>
            </w:r>
          </w:p>
        </w:tc>
        <w:tc>
          <w:tcPr>
            <w:tcW w:w="966" w:type="pct"/>
          </w:tcPr>
          <w:p w14:paraId="273F444A" w14:textId="77777777" w:rsidR="005E000F" w:rsidRDefault="00000000">
            <w:pPr>
              <w:jc w:val="center"/>
            </w:pPr>
            <w:r>
              <w:rPr>
                <w:rFonts w:hint="eastAsia"/>
              </w:rPr>
              <w:t>年限平均法</w:t>
            </w:r>
          </w:p>
        </w:tc>
        <w:tc>
          <w:tcPr>
            <w:tcW w:w="864" w:type="pct"/>
          </w:tcPr>
          <w:p w14:paraId="412B9FED" w14:textId="77777777" w:rsidR="005E000F" w:rsidRDefault="00000000">
            <w:pPr>
              <w:jc w:val="right"/>
            </w:pPr>
            <w:r>
              <w:rPr>
                <w:rFonts w:hint="eastAsia"/>
              </w:rPr>
              <w:t>45</w:t>
            </w:r>
          </w:p>
        </w:tc>
        <w:tc>
          <w:tcPr>
            <w:tcW w:w="738" w:type="pct"/>
          </w:tcPr>
          <w:p w14:paraId="41A32728" w14:textId="77777777" w:rsidR="005E000F" w:rsidRDefault="00000000">
            <w:pPr>
              <w:jc w:val="right"/>
            </w:pPr>
            <w:r>
              <w:rPr>
                <w:rFonts w:hint="eastAsia"/>
              </w:rPr>
              <w:t>5.05</w:t>
            </w:r>
          </w:p>
        </w:tc>
        <w:tc>
          <w:tcPr>
            <w:tcW w:w="764" w:type="pct"/>
          </w:tcPr>
          <w:p w14:paraId="2B21FE20" w14:textId="77777777" w:rsidR="005E000F" w:rsidRDefault="00000000">
            <w:pPr>
              <w:jc w:val="right"/>
            </w:pPr>
            <w:r>
              <w:rPr>
                <w:rFonts w:hint="eastAsia"/>
              </w:rPr>
              <w:t>2.11</w:t>
            </w:r>
          </w:p>
        </w:tc>
      </w:tr>
      <w:tr w:rsidR="005E000F" w14:paraId="42FB7C95" w14:textId="77777777">
        <w:tc>
          <w:tcPr>
            <w:tcW w:w="1666" w:type="pct"/>
          </w:tcPr>
          <w:p w14:paraId="07A6611F" w14:textId="77777777" w:rsidR="005E000F" w:rsidRDefault="00000000">
            <w:r>
              <w:rPr>
                <w:rFonts w:hint="eastAsia"/>
              </w:rPr>
              <w:t>涵和其他桥隧建筑物</w:t>
            </w:r>
          </w:p>
        </w:tc>
        <w:tc>
          <w:tcPr>
            <w:tcW w:w="966" w:type="pct"/>
          </w:tcPr>
          <w:p w14:paraId="14E89644" w14:textId="77777777" w:rsidR="005E000F" w:rsidRDefault="00000000">
            <w:pPr>
              <w:jc w:val="center"/>
            </w:pPr>
            <w:r>
              <w:rPr>
                <w:rFonts w:hint="eastAsia"/>
              </w:rPr>
              <w:t>年限平均法</w:t>
            </w:r>
          </w:p>
        </w:tc>
        <w:tc>
          <w:tcPr>
            <w:tcW w:w="864" w:type="pct"/>
          </w:tcPr>
          <w:p w14:paraId="39D9646D" w14:textId="77777777" w:rsidR="005E000F" w:rsidRDefault="00000000">
            <w:pPr>
              <w:jc w:val="right"/>
            </w:pPr>
            <w:r>
              <w:rPr>
                <w:rFonts w:hint="eastAsia"/>
              </w:rPr>
              <w:t>45-55</w:t>
            </w:r>
          </w:p>
        </w:tc>
        <w:tc>
          <w:tcPr>
            <w:tcW w:w="738" w:type="pct"/>
          </w:tcPr>
          <w:p w14:paraId="63EE8C80" w14:textId="77777777" w:rsidR="005E000F" w:rsidRDefault="00000000">
            <w:pPr>
              <w:jc w:val="right"/>
            </w:pPr>
            <w:r>
              <w:rPr>
                <w:rFonts w:hint="eastAsia"/>
              </w:rPr>
              <w:t>5.05-6.50</w:t>
            </w:r>
          </w:p>
        </w:tc>
        <w:tc>
          <w:tcPr>
            <w:tcW w:w="764" w:type="pct"/>
          </w:tcPr>
          <w:p w14:paraId="519101B6" w14:textId="77777777" w:rsidR="005E000F" w:rsidRDefault="00000000">
            <w:pPr>
              <w:jc w:val="right"/>
            </w:pPr>
            <w:r>
              <w:rPr>
                <w:rFonts w:hint="eastAsia"/>
              </w:rPr>
              <w:t>1.70-2.11</w:t>
            </w:r>
          </w:p>
        </w:tc>
      </w:tr>
      <w:tr w:rsidR="005E000F" w14:paraId="3A10F571" w14:textId="77777777">
        <w:tc>
          <w:tcPr>
            <w:tcW w:w="1666" w:type="pct"/>
          </w:tcPr>
          <w:p w14:paraId="44E73553" w14:textId="77777777" w:rsidR="005E000F" w:rsidRDefault="00000000">
            <w:r>
              <w:rPr>
                <w:rFonts w:hint="eastAsia"/>
              </w:rPr>
              <w:t>防护林</w:t>
            </w:r>
          </w:p>
        </w:tc>
        <w:tc>
          <w:tcPr>
            <w:tcW w:w="966" w:type="pct"/>
          </w:tcPr>
          <w:p w14:paraId="74F578C8" w14:textId="77777777" w:rsidR="005E000F" w:rsidRDefault="00000000">
            <w:pPr>
              <w:jc w:val="center"/>
            </w:pPr>
            <w:r>
              <w:rPr>
                <w:rFonts w:hint="eastAsia"/>
              </w:rPr>
              <w:t>年限平均法</w:t>
            </w:r>
          </w:p>
        </w:tc>
        <w:tc>
          <w:tcPr>
            <w:tcW w:w="864" w:type="pct"/>
          </w:tcPr>
          <w:p w14:paraId="08278360" w14:textId="77777777" w:rsidR="005E000F" w:rsidRDefault="00000000">
            <w:pPr>
              <w:jc w:val="right"/>
            </w:pPr>
            <w:r>
              <w:rPr>
                <w:rFonts w:hint="eastAsia"/>
              </w:rPr>
              <w:t>45</w:t>
            </w:r>
          </w:p>
        </w:tc>
        <w:tc>
          <w:tcPr>
            <w:tcW w:w="738" w:type="pct"/>
          </w:tcPr>
          <w:p w14:paraId="6EE7B0F2" w14:textId="77777777" w:rsidR="005E000F" w:rsidRDefault="00000000">
            <w:pPr>
              <w:jc w:val="right"/>
            </w:pPr>
            <w:r>
              <w:rPr>
                <w:rFonts w:hint="eastAsia"/>
              </w:rPr>
              <w:t>5.05</w:t>
            </w:r>
          </w:p>
        </w:tc>
        <w:tc>
          <w:tcPr>
            <w:tcW w:w="764" w:type="pct"/>
          </w:tcPr>
          <w:p w14:paraId="497C2129" w14:textId="77777777" w:rsidR="005E000F" w:rsidRDefault="00000000">
            <w:pPr>
              <w:jc w:val="right"/>
            </w:pPr>
            <w:r>
              <w:rPr>
                <w:rFonts w:hint="eastAsia"/>
              </w:rPr>
              <w:t>2.11</w:t>
            </w:r>
          </w:p>
        </w:tc>
      </w:tr>
      <w:tr w:rsidR="005E000F" w14:paraId="59E43080" w14:textId="77777777">
        <w:tc>
          <w:tcPr>
            <w:tcW w:w="1666" w:type="pct"/>
          </w:tcPr>
          <w:p w14:paraId="37A4B7D5" w14:textId="77777777" w:rsidR="005E000F" w:rsidRDefault="00000000">
            <w:r>
              <w:rPr>
                <w:rFonts w:hint="eastAsia"/>
              </w:rPr>
              <w:t>线路隔离网</w:t>
            </w:r>
          </w:p>
        </w:tc>
        <w:tc>
          <w:tcPr>
            <w:tcW w:w="966" w:type="pct"/>
          </w:tcPr>
          <w:p w14:paraId="452D40AB" w14:textId="77777777" w:rsidR="005E000F" w:rsidRDefault="00000000">
            <w:pPr>
              <w:jc w:val="center"/>
            </w:pPr>
            <w:r>
              <w:rPr>
                <w:rFonts w:hint="eastAsia"/>
              </w:rPr>
              <w:t>年限平均法</w:t>
            </w:r>
          </w:p>
        </w:tc>
        <w:tc>
          <w:tcPr>
            <w:tcW w:w="864" w:type="pct"/>
          </w:tcPr>
          <w:p w14:paraId="7416B53D" w14:textId="77777777" w:rsidR="005E000F" w:rsidRDefault="00000000">
            <w:pPr>
              <w:jc w:val="right"/>
            </w:pPr>
            <w:r>
              <w:rPr>
                <w:rFonts w:hint="eastAsia"/>
              </w:rPr>
              <w:t>15</w:t>
            </w:r>
          </w:p>
        </w:tc>
        <w:tc>
          <w:tcPr>
            <w:tcW w:w="738" w:type="pct"/>
          </w:tcPr>
          <w:p w14:paraId="2633CC30" w14:textId="77777777" w:rsidR="005E000F" w:rsidRDefault="00000000">
            <w:pPr>
              <w:jc w:val="right"/>
            </w:pPr>
            <w:r>
              <w:rPr>
                <w:rFonts w:hint="eastAsia"/>
              </w:rPr>
              <w:t>5.05</w:t>
            </w:r>
          </w:p>
        </w:tc>
        <w:tc>
          <w:tcPr>
            <w:tcW w:w="764" w:type="pct"/>
          </w:tcPr>
          <w:p w14:paraId="2C2D1DFD" w14:textId="77777777" w:rsidR="005E000F" w:rsidRDefault="00000000">
            <w:pPr>
              <w:jc w:val="right"/>
            </w:pPr>
            <w:r>
              <w:rPr>
                <w:rFonts w:hint="eastAsia"/>
              </w:rPr>
              <w:t>6.33</w:t>
            </w:r>
          </w:p>
        </w:tc>
      </w:tr>
      <w:tr w:rsidR="005E000F" w14:paraId="0FAB8CC5" w14:textId="77777777">
        <w:tc>
          <w:tcPr>
            <w:tcW w:w="1666" w:type="pct"/>
          </w:tcPr>
          <w:p w14:paraId="2225842E" w14:textId="77777777" w:rsidR="005E000F" w:rsidRDefault="00000000">
            <w:r>
              <w:rPr>
                <w:rFonts w:hint="eastAsia"/>
              </w:rPr>
              <w:t>通信信号设备</w:t>
            </w:r>
          </w:p>
        </w:tc>
        <w:tc>
          <w:tcPr>
            <w:tcW w:w="966" w:type="pct"/>
          </w:tcPr>
          <w:p w14:paraId="144C9ED9" w14:textId="77777777" w:rsidR="005E000F" w:rsidRDefault="00000000">
            <w:pPr>
              <w:jc w:val="center"/>
            </w:pPr>
            <w:r>
              <w:rPr>
                <w:rFonts w:hint="eastAsia"/>
              </w:rPr>
              <w:t>年限平均法</w:t>
            </w:r>
          </w:p>
        </w:tc>
        <w:tc>
          <w:tcPr>
            <w:tcW w:w="864" w:type="pct"/>
          </w:tcPr>
          <w:p w14:paraId="5A769EE8" w14:textId="77777777" w:rsidR="005E000F" w:rsidRDefault="00000000">
            <w:pPr>
              <w:jc w:val="right"/>
            </w:pPr>
            <w:r>
              <w:rPr>
                <w:rFonts w:hint="eastAsia"/>
              </w:rPr>
              <w:t>8</w:t>
            </w:r>
          </w:p>
        </w:tc>
        <w:tc>
          <w:tcPr>
            <w:tcW w:w="738" w:type="pct"/>
          </w:tcPr>
          <w:p w14:paraId="13BB0D57" w14:textId="77777777" w:rsidR="005E000F" w:rsidRDefault="00000000">
            <w:pPr>
              <w:jc w:val="right"/>
            </w:pPr>
            <w:r>
              <w:rPr>
                <w:rFonts w:hint="eastAsia"/>
              </w:rPr>
              <w:t>5.04</w:t>
            </w:r>
          </w:p>
        </w:tc>
        <w:tc>
          <w:tcPr>
            <w:tcW w:w="764" w:type="pct"/>
          </w:tcPr>
          <w:p w14:paraId="09FB7B08" w14:textId="77777777" w:rsidR="005E000F" w:rsidRDefault="00000000">
            <w:pPr>
              <w:jc w:val="right"/>
            </w:pPr>
            <w:r>
              <w:rPr>
                <w:rFonts w:hint="eastAsia"/>
              </w:rPr>
              <w:t>11.87</w:t>
            </w:r>
          </w:p>
        </w:tc>
      </w:tr>
      <w:tr w:rsidR="005E000F" w14:paraId="068BED0F" w14:textId="77777777">
        <w:tc>
          <w:tcPr>
            <w:tcW w:w="1666" w:type="pct"/>
          </w:tcPr>
          <w:p w14:paraId="43441125" w14:textId="77777777" w:rsidR="005E000F" w:rsidRDefault="00000000">
            <w:r>
              <w:rPr>
                <w:rFonts w:hint="eastAsia"/>
              </w:rPr>
              <w:t>电气化供电系统</w:t>
            </w:r>
          </w:p>
        </w:tc>
        <w:tc>
          <w:tcPr>
            <w:tcW w:w="966" w:type="pct"/>
          </w:tcPr>
          <w:p w14:paraId="25529F65" w14:textId="77777777" w:rsidR="005E000F" w:rsidRDefault="00000000">
            <w:pPr>
              <w:jc w:val="center"/>
            </w:pPr>
            <w:r>
              <w:rPr>
                <w:rFonts w:hint="eastAsia"/>
              </w:rPr>
              <w:t>年限平均法</w:t>
            </w:r>
          </w:p>
        </w:tc>
        <w:tc>
          <w:tcPr>
            <w:tcW w:w="864" w:type="pct"/>
          </w:tcPr>
          <w:p w14:paraId="6DB9AF32" w14:textId="77777777" w:rsidR="005E000F" w:rsidRDefault="00000000">
            <w:pPr>
              <w:jc w:val="right"/>
            </w:pPr>
            <w:r>
              <w:rPr>
                <w:rFonts w:hint="eastAsia"/>
              </w:rPr>
              <w:t>8</w:t>
            </w:r>
          </w:p>
        </w:tc>
        <w:tc>
          <w:tcPr>
            <w:tcW w:w="738" w:type="pct"/>
          </w:tcPr>
          <w:p w14:paraId="0782F246" w14:textId="77777777" w:rsidR="005E000F" w:rsidRDefault="00000000">
            <w:pPr>
              <w:jc w:val="right"/>
            </w:pPr>
            <w:r>
              <w:rPr>
                <w:rFonts w:hint="eastAsia"/>
              </w:rPr>
              <w:t>5.04</w:t>
            </w:r>
          </w:p>
        </w:tc>
        <w:tc>
          <w:tcPr>
            <w:tcW w:w="764" w:type="pct"/>
          </w:tcPr>
          <w:p w14:paraId="45952A7E" w14:textId="77777777" w:rsidR="005E000F" w:rsidRDefault="00000000">
            <w:pPr>
              <w:jc w:val="right"/>
            </w:pPr>
            <w:r>
              <w:rPr>
                <w:rFonts w:hint="eastAsia"/>
              </w:rPr>
              <w:t>11.87</w:t>
            </w:r>
          </w:p>
        </w:tc>
      </w:tr>
      <w:tr w:rsidR="005E000F" w14:paraId="2B357A72" w14:textId="77777777">
        <w:tc>
          <w:tcPr>
            <w:tcW w:w="1666" w:type="pct"/>
          </w:tcPr>
          <w:p w14:paraId="4111FE4A" w14:textId="77777777" w:rsidR="005E000F" w:rsidRDefault="00000000">
            <w:r>
              <w:rPr>
                <w:rFonts w:hint="eastAsia"/>
              </w:rPr>
              <w:t>机械动力设备</w:t>
            </w:r>
          </w:p>
        </w:tc>
        <w:tc>
          <w:tcPr>
            <w:tcW w:w="966" w:type="pct"/>
          </w:tcPr>
          <w:p w14:paraId="6A552C4E" w14:textId="77777777" w:rsidR="005E000F" w:rsidRDefault="00000000">
            <w:pPr>
              <w:jc w:val="center"/>
            </w:pPr>
            <w:r>
              <w:rPr>
                <w:rFonts w:hint="eastAsia"/>
              </w:rPr>
              <w:t>年限平均法</w:t>
            </w:r>
          </w:p>
        </w:tc>
        <w:tc>
          <w:tcPr>
            <w:tcW w:w="864" w:type="pct"/>
          </w:tcPr>
          <w:p w14:paraId="60919ADA" w14:textId="77777777" w:rsidR="005E000F" w:rsidRDefault="00000000">
            <w:pPr>
              <w:jc w:val="right"/>
            </w:pPr>
            <w:r>
              <w:rPr>
                <w:rFonts w:hint="eastAsia"/>
              </w:rPr>
              <w:t>10</w:t>
            </w:r>
          </w:p>
        </w:tc>
        <w:tc>
          <w:tcPr>
            <w:tcW w:w="738" w:type="pct"/>
          </w:tcPr>
          <w:p w14:paraId="4CEE9A53" w14:textId="77777777" w:rsidR="005E000F" w:rsidRDefault="00000000">
            <w:pPr>
              <w:jc w:val="right"/>
            </w:pPr>
            <w:r>
              <w:rPr>
                <w:rFonts w:hint="eastAsia"/>
              </w:rPr>
              <w:t>5</w:t>
            </w:r>
          </w:p>
        </w:tc>
        <w:tc>
          <w:tcPr>
            <w:tcW w:w="764" w:type="pct"/>
          </w:tcPr>
          <w:p w14:paraId="78A34907" w14:textId="77777777" w:rsidR="005E000F" w:rsidRDefault="00000000">
            <w:pPr>
              <w:jc w:val="right"/>
            </w:pPr>
            <w:r>
              <w:rPr>
                <w:rFonts w:hint="eastAsia"/>
              </w:rPr>
              <w:t>9.50</w:t>
            </w:r>
          </w:p>
        </w:tc>
      </w:tr>
      <w:tr w:rsidR="005E000F" w14:paraId="507F03DC" w14:textId="77777777">
        <w:tc>
          <w:tcPr>
            <w:tcW w:w="1666" w:type="pct"/>
          </w:tcPr>
          <w:p w14:paraId="3DA72648" w14:textId="77777777" w:rsidR="005E000F" w:rsidRDefault="00000000">
            <w:r>
              <w:rPr>
                <w:rFonts w:hint="eastAsia"/>
              </w:rPr>
              <w:t>运输设备</w:t>
            </w:r>
          </w:p>
        </w:tc>
        <w:tc>
          <w:tcPr>
            <w:tcW w:w="966" w:type="pct"/>
          </w:tcPr>
          <w:p w14:paraId="50745AD7" w14:textId="77777777" w:rsidR="005E000F" w:rsidRDefault="00000000">
            <w:pPr>
              <w:jc w:val="center"/>
            </w:pPr>
            <w:r>
              <w:rPr>
                <w:rFonts w:hint="eastAsia"/>
              </w:rPr>
              <w:t>年限平均法</w:t>
            </w:r>
          </w:p>
        </w:tc>
        <w:tc>
          <w:tcPr>
            <w:tcW w:w="864" w:type="pct"/>
          </w:tcPr>
          <w:p w14:paraId="1ACDDD46" w14:textId="77777777" w:rsidR="005E000F" w:rsidRDefault="00000000">
            <w:pPr>
              <w:jc w:val="right"/>
            </w:pPr>
            <w:r>
              <w:rPr>
                <w:rFonts w:hint="eastAsia"/>
              </w:rPr>
              <w:t>8</w:t>
            </w:r>
          </w:p>
        </w:tc>
        <w:tc>
          <w:tcPr>
            <w:tcW w:w="738" w:type="pct"/>
          </w:tcPr>
          <w:p w14:paraId="66AE80DF" w14:textId="77777777" w:rsidR="005E000F" w:rsidRDefault="00000000">
            <w:pPr>
              <w:jc w:val="right"/>
            </w:pPr>
            <w:r>
              <w:rPr>
                <w:rFonts w:hint="eastAsia"/>
              </w:rPr>
              <w:t>5.04</w:t>
            </w:r>
          </w:p>
        </w:tc>
        <w:tc>
          <w:tcPr>
            <w:tcW w:w="764" w:type="pct"/>
          </w:tcPr>
          <w:p w14:paraId="4F92DEED" w14:textId="77777777" w:rsidR="005E000F" w:rsidRDefault="00000000">
            <w:pPr>
              <w:jc w:val="right"/>
            </w:pPr>
            <w:r>
              <w:rPr>
                <w:rFonts w:hint="eastAsia"/>
              </w:rPr>
              <w:t>11.87</w:t>
            </w:r>
          </w:p>
        </w:tc>
      </w:tr>
      <w:tr w:rsidR="005E000F" w14:paraId="0DC1E6B8" w14:textId="77777777">
        <w:tc>
          <w:tcPr>
            <w:tcW w:w="1666" w:type="pct"/>
          </w:tcPr>
          <w:p w14:paraId="33C3FFFD" w14:textId="77777777" w:rsidR="005E000F" w:rsidRDefault="00000000">
            <w:r>
              <w:rPr>
                <w:rFonts w:hint="eastAsia"/>
              </w:rPr>
              <w:t>传导设备</w:t>
            </w:r>
          </w:p>
        </w:tc>
        <w:tc>
          <w:tcPr>
            <w:tcW w:w="966" w:type="pct"/>
          </w:tcPr>
          <w:p w14:paraId="01406A6D" w14:textId="77777777" w:rsidR="005E000F" w:rsidRDefault="00000000">
            <w:pPr>
              <w:jc w:val="center"/>
            </w:pPr>
            <w:r>
              <w:rPr>
                <w:rFonts w:hint="eastAsia"/>
              </w:rPr>
              <w:t>年限平均法</w:t>
            </w:r>
          </w:p>
        </w:tc>
        <w:tc>
          <w:tcPr>
            <w:tcW w:w="864" w:type="pct"/>
          </w:tcPr>
          <w:p w14:paraId="1F3F7F16" w14:textId="77777777" w:rsidR="005E000F" w:rsidRDefault="00000000">
            <w:pPr>
              <w:jc w:val="right"/>
            </w:pPr>
            <w:r>
              <w:rPr>
                <w:rFonts w:hint="eastAsia"/>
              </w:rPr>
              <w:t>20</w:t>
            </w:r>
          </w:p>
        </w:tc>
        <w:tc>
          <w:tcPr>
            <w:tcW w:w="738" w:type="pct"/>
          </w:tcPr>
          <w:p w14:paraId="61FB3E44" w14:textId="77777777" w:rsidR="005E000F" w:rsidRDefault="00000000">
            <w:pPr>
              <w:jc w:val="right"/>
            </w:pPr>
            <w:r>
              <w:rPr>
                <w:rFonts w:hint="eastAsia"/>
              </w:rPr>
              <w:t>5</w:t>
            </w:r>
          </w:p>
        </w:tc>
        <w:tc>
          <w:tcPr>
            <w:tcW w:w="764" w:type="pct"/>
          </w:tcPr>
          <w:p w14:paraId="7E90A2C9" w14:textId="77777777" w:rsidR="005E000F" w:rsidRDefault="00000000">
            <w:pPr>
              <w:jc w:val="right"/>
            </w:pPr>
            <w:r>
              <w:rPr>
                <w:rFonts w:hint="eastAsia"/>
              </w:rPr>
              <w:t>4.75</w:t>
            </w:r>
          </w:p>
        </w:tc>
      </w:tr>
      <w:tr w:rsidR="005E000F" w14:paraId="459384CF" w14:textId="77777777">
        <w:tc>
          <w:tcPr>
            <w:tcW w:w="1666" w:type="pct"/>
          </w:tcPr>
          <w:p w14:paraId="62BCD152" w14:textId="77777777" w:rsidR="005E000F" w:rsidRDefault="00000000">
            <w:r>
              <w:rPr>
                <w:rFonts w:hint="eastAsia"/>
              </w:rPr>
              <w:t>仪器仪表</w:t>
            </w:r>
          </w:p>
        </w:tc>
        <w:tc>
          <w:tcPr>
            <w:tcW w:w="966" w:type="pct"/>
          </w:tcPr>
          <w:p w14:paraId="00B724A3" w14:textId="77777777" w:rsidR="005E000F" w:rsidRDefault="00000000">
            <w:pPr>
              <w:jc w:val="center"/>
            </w:pPr>
            <w:r>
              <w:rPr>
                <w:rFonts w:hint="eastAsia"/>
              </w:rPr>
              <w:t>年限平均法</w:t>
            </w:r>
          </w:p>
        </w:tc>
        <w:tc>
          <w:tcPr>
            <w:tcW w:w="864" w:type="pct"/>
          </w:tcPr>
          <w:p w14:paraId="0D053FA2" w14:textId="77777777" w:rsidR="005E000F" w:rsidRDefault="00000000">
            <w:pPr>
              <w:jc w:val="right"/>
            </w:pPr>
            <w:r>
              <w:rPr>
                <w:rFonts w:hint="eastAsia"/>
              </w:rPr>
              <w:t>8</w:t>
            </w:r>
          </w:p>
        </w:tc>
        <w:tc>
          <w:tcPr>
            <w:tcW w:w="738" w:type="pct"/>
          </w:tcPr>
          <w:p w14:paraId="1D66E918" w14:textId="77777777" w:rsidR="005E000F" w:rsidRDefault="00000000">
            <w:pPr>
              <w:jc w:val="right"/>
            </w:pPr>
            <w:r>
              <w:rPr>
                <w:rFonts w:hint="eastAsia"/>
              </w:rPr>
              <w:t>5.04</w:t>
            </w:r>
          </w:p>
        </w:tc>
        <w:tc>
          <w:tcPr>
            <w:tcW w:w="764" w:type="pct"/>
          </w:tcPr>
          <w:p w14:paraId="10090863" w14:textId="77777777" w:rsidR="005E000F" w:rsidRDefault="00000000">
            <w:pPr>
              <w:jc w:val="right"/>
            </w:pPr>
            <w:r>
              <w:rPr>
                <w:rFonts w:hint="eastAsia"/>
              </w:rPr>
              <w:t>11.87</w:t>
            </w:r>
          </w:p>
        </w:tc>
      </w:tr>
      <w:tr w:rsidR="005E000F" w14:paraId="0ADE5FE5" w14:textId="77777777">
        <w:tc>
          <w:tcPr>
            <w:tcW w:w="1666" w:type="pct"/>
          </w:tcPr>
          <w:p w14:paraId="475ADC4B" w14:textId="77777777" w:rsidR="005E000F" w:rsidRDefault="00000000">
            <w:r>
              <w:rPr>
                <w:rFonts w:hint="eastAsia"/>
              </w:rPr>
              <w:t>信息技术设备</w:t>
            </w:r>
          </w:p>
        </w:tc>
        <w:tc>
          <w:tcPr>
            <w:tcW w:w="966" w:type="pct"/>
          </w:tcPr>
          <w:p w14:paraId="03C1F860" w14:textId="77777777" w:rsidR="005E000F" w:rsidRDefault="00000000">
            <w:pPr>
              <w:jc w:val="center"/>
            </w:pPr>
            <w:r>
              <w:rPr>
                <w:rFonts w:hint="eastAsia"/>
              </w:rPr>
              <w:t>年限平均法</w:t>
            </w:r>
          </w:p>
        </w:tc>
        <w:tc>
          <w:tcPr>
            <w:tcW w:w="864" w:type="pct"/>
          </w:tcPr>
          <w:p w14:paraId="43622728" w14:textId="77777777" w:rsidR="005E000F" w:rsidRDefault="00000000">
            <w:pPr>
              <w:jc w:val="right"/>
            </w:pPr>
            <w:r>
              <w:rPr>
                <w:rFonts w:hint="eastAsia"/>
              </w:rPr>
              <w:t>5</w:t>
            </w:r>
          </w:p>
        </w:tc>
        <w:tc>
          <w:tcPr>
            <w:tcW w:w="738" w:type="pct"/>
          </w:tcPr>
          <w:p w14:paraId="278510C9" w14:textId="77777777" w:rsidR="005E000F" w:rsidRDefault="00000000">
            <w:pPr>
              <w:jc w:val="right"/>
            </w:pPr>
            <w:r>
              <w:rPr>
                <w:rFonts w:hint="eastAsia"/>
              </w:rPr>
              <w:t>5</w:t>
            </w:r>
          </w:p>
        </w:tc>
        <w:tc>
          <w:tcPr>
            <w:tcW w:w="764" w:type="pct"/>
          </w:tcPr>
          <w:p w14:paraId="36E1AE09" w14:textId="77777777" w:rsidR="005E000F" w:rsidRDefault="00000000">
            <w:pPr>
              <w:jc w:val="right"/>
            </w:pPr>
            <w:r>
              <w:rPr>
                <w:rFonts w:hint="eastAsia"/>
              </w:rPr>
              <w:t>19.00</w:t>
            </w:r>
          </w:p>
        </w:tc>
      </w:tr>
      <w:tr w:rsidR="005E000F" w14:paraId="3985B8FC" w14:textId="77777777">
        <w:tc>
          <w:tcPr>
            <w:tcW w:w="1666" w:type="pct"/>
          </w:tcPr>
          <w:p w14:paraId="101198C1" w14:textId="77777777" w:rsidR="005E000F" w:rsidRDefault="00000000">
            <w:r>
              <w:rPr>
                <w:rFonts w:hint="eastAsia"/>
              </w:rPr>
              <w:t>工具及器具</w:t>
            </w:r>
          </w:p>
        </w:tc>
        <w:tc>
          <w:tcPr>
            <w:tcW w:w="966" w:type="pct"/>
          </w:tcPr>
          <w:p w14:paraId="0E1DDF4F" w14:textId="77777777" w:rsidR="005E000F" w:rsidRDefault="00000000">
            <w:pPr>
              <w:jc w:val="center"/>
            </w:pPr>
            <w:r>
              <w:rPr>
                <w:rFonts w:hint="eastAsia"/>
              </w:rPr>
              <w:t>年限平均法</w:t>
            </w:r>
          </w:p>
        </w:tc>
        <w:tc>
          <w:tcPr>
            <w:tcW w:w="864" w:type="pct"/>
          </w:tcPr>
          <w:p w14:paraId="2B0CA035" w14:textId="77777777" w:rsidR="005E000F" w:rsidRDefault="00000000">
            <w:pPr>
              <w:jc w:val="right"/>
            </w:pPr>
            <w:r>
              <w:rPr>
                <w:rFonts w:hint="eastAsia"/>
              </w:rPr>
              <w:t>5</w:t>
            </w:r>
          </w:p>
        </w:tc>
        <w:tc>
          <w:tcPr>
            <w:tcW w:w="738" w:type="pct"/>
          </w:tcPr>
          <w:p w14:paraId="1E6AE82C" w14:textId="77777777" w:rsidR="005E000F" w:rsidRDefault="00000000">
            <w:pPr>
              <w:jc w:val="right"/>
            </w:pPr>
            <w:r>
              <w:rPr>
                <w:rFonts w:hint="eastAsia"/>
              </w:rPr>
              <w:t>5</w:t>
            </w:r>
          </w:p>
        </w:tc>
        <w:tc>
          <w:tcPr>
            <w:tcW w:w="764" w:type="pct"/>
          </w:tcPr>
          <w:p w14:paraId="0659AE70" w14:textId="77777777" w:rsidR="005E000F" w:rsidRDefault="00000000">
            <w:pPr>
              <w:jc w:val="right"/>
            </w:pPr>
            <w:r>
              <w:rPr>
                <w:rFonts w:hint="eastAsia"/>
              </w:rPr>
              <w:t>19.00</w:t>
            </w:r>
          </w:p>
        </w:tc>
      </w:tr>
    </w:tbl>
    <w:p w14:paraId="5A165B29" w14:textId="77777777" w:rsidR="005E000F" w:rsidRDefault="00000000">
      <w:pPr>
        <w:rPr>
          <w:color w:val="000000" w:themeColor="text1"/>
        </w:rPr>
      </w:pPr>
      <w:r>
        <w:rPr>
          <w:rFonts w:hint="eastAsia"/>
          <w:color w:val="000000" w:themeColor="text1"/>
        </w:rPr>
        <w:t>注：本集团至少于每年年度终了，对固定资产的预计使用寿命、预计净残值和折旧方法进行复核。</w:t>
      </w:r>
    </w:p>
    <w:p w14:paraId="26B415E7" w14:textId="77777777" w:rsidR="005E000F" w:rsidRDefault="005E000F">
      <w:pPr>
        <w:rPr>
          <w:color w:val="000000" w:themeColor="text1"/>
        </w:rPr>
      </w:pPr>
    </w:p>
    <w:p w14:paraId="65B908DF" w14:textId="77777777" w:rsidR="005E000F" w:rsidRDefault="00000000">
      <w:r>
        <w:rPr>
          <w:rFonts w:hint="eastAsia"/>
          <w:color w:val="000000" w:themeColor="text1"/>
        </w:rPr>
        <w:t>固定资产处置：固定资产满足下述条件之一时，本集团会予以终止确认。固定资产处于处置状态；该固定资产预期通过使用或处置不能产生经济利益。报废或处置固定资产项目所产生的损益为处置所得款项净额与项目账面金额之间的差额，并于报废或</w:t>
      </w:r>
      <w:proofErr w:type="gramStart"/>
      <w:r>
        <w:rPr>
          <w:rFonts w:hint="eastAsia"/>
          <w:color w:val="000000" w:themeColor="text1"/>
        </w:rPr>
        <w:t>处置日</w:t>
      </w:r>
      <w:proofErr w:type="gramEnd"/>
      <w:r>
        <w:rPr>
          <w:rFonts w:hint="eastAsia"/>
          <w:color w:val="000000" w:themeColor="text1"/>
        </w:rPr>
        <w:t>在损益中确认。</w:t>
      </w:r>
    </w:p>
    <w:p w14:paraId="06963792" w14:textId="77777777" w:rsidR="005E000F" w:rsidRDefault="00000000">
      <w:pPr>
        <w:pStyle w:val="3"/>
        <w:numPr>
          <w:ilvl w:val="0"/>
          <w:numId w:val="59"/>
        </w:numPr>
      </w:pPr>
      <w:r>
        <w:t>在建工程</w:t>
      </w:r>
    </w:p>
    <w:sdt>
      <w:sdtPr>
        <w:rPr>
          <w:rFonts w:hint="eastAsia"/>
        </w:rPr>
        <w:alias w:val="是否适用：在建工程_重要会计政策和估计[双击切换]"/>
        <w:tag w:val="_GBC_00730441e5ea4f57b3cd3ff1ecc5c1bd"/>
        <w:id w:val="-212668031"/>
        <w:placeholder>
          <w:docPart w:val="GBC22222222222222222222222222222"/>
        </w:placeholder>
      </w:sdtPr>
      <w:sdtContent>
        <w:p w14:paraId="4BDE8660"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在建工程核算方法"/>
        <w:tag w:val="_GBC_ed79f983df814c58add61776fe84c76e"/>
        <w:id w:val="1565459644"/>
        <w:placeholder>
          <w:docPart w:val="GBC22222222222222222222222222222"/>
        </w:placeholder>
      </w:sdtPr>
      <w:sdtContent>
        <w:sdt>
          <w:sdtPr>
            <w:rPr>
              <w:rFonts w:hint="eastAsia"/>
              <w:color w:val="000000" w:themeColor="text1"/>
            </w:rPr>
            <w:alias w:val="在建工程核算方法"/>
            <w:tag w:val="_GBC_ed79f983df814c58add61776fe84c76e"/>
            <w:id w:val="-1406061021"/>
            <w:placeholder>
              <w:docPart w:val="{6647f273-4df9-49de-886d-183ca67765f7}"/>
            </w:placeholder>
          </w:sdtPr>
          <w:sdtContent>
            <w:p w14:paraId="32D5DC67" w14:textId="77777777" w:rsidR="005E000F" w:rsidRDefault="00000000">
              <w:pPr>
                <w:rPr>
                  <w:color w:val="000000" w:themeColor="text1"/>
                </w:rPr>
              </w:pPr>
              <w:r>
                <w:rPr>
                  <w:rFonts w:hint="eastAsia"/>
                  <w:color w:val="000000" w:themeColor="text1"/>
                </w:rPr>
                <w:t>在建工程成本按实际工程支出确定，包括</w:t>
              </w:r>
            </w:p>
            <w:p w14:paraId="517538DA" w14:textId="77777777" w:rsidR="005E000F" w:rsidRDefault="00000000">
              <w:pPr>
                <w:rPr>
                  <w:color w:val="000000" w:themeColor="text1"/>
                </w:rPr>
              </w:pPr>
              <w:r>
                <w:rPr>
                  <w:rFonts w:hint="eastAsia"/>
                  <w:color w:val="000000" w:themeColor="text1"/>
                </w:rPr>
                <w:t>工程用物资、直接人工、符合资本化条件的借款费用</w:t>
              </w:r>
              <w:r>
                <w:rPr>
                  <w:rFonts w:hint="eastAsia"/>
                  <w:color w:val="000000" w:themeColor="text1"/>
                </w:rPr>
                <w:t>(</w:t>
              </w:r>
              <w:r>
                <w:rPr>
                  <w:rFonts w:hint="eastAsia"/>
                  <w:color w:val="000000" w:themeColor="text1"/>
                </w:rPr>
                <w:t>参见附注五、</w:t>
              </w:r>
              <w:r>
                <w:rPr>
                  <w:rFonts w:hint="eastAsia"/>
                  <w:color w:val="000000" w:themeColor="text1"/>
                </w:rPr>
                <w:t>23)</w:t>
              </w:r>
              <w:r>
                <w:rPr>
                  <w:rFonts w:hint="eastAsia"/>
                  <w:color w:val="000000" w:themeColor="text1"/>
                </w:rPr>
                <w:t>和使该项资产达到预定可使用状态前所发生的必要支出。自行建造的固定资产于达到预定可使用状态时转入固定资产，此前列于在建工程，且不计提折旧。</w:t>
              </w:r>
            </w:p>
            <w:p w14:paraId="1912F072" w14:textId="77777777" w:rsidR="005E000F" w:rsidRDefault="005E000F">
              <w:pPr>
                <w:rPr>
                  <w:color w:val="000000" w:themeColor="text1"/>
                </w:rPr>
              </w:pPr>
            </w:p>
            <w:p w14:paraId="069EF273" w14:textId="77777777" w:rsidR="005E000F" w:rsidRDefault="00000000">
              <w:pPr>
                <w:rPr>
                  <w:color w:val="000000" w:themeColor="text1"/>
                </w:rPr>
              </w:pPr>
              <w:r>
                <w:rPr>
                  <w:rFonts w:hint="eastAsia"/>
                  <w:color w:val="000000" w:themeColor="text1"/>
                </w:rPr>
                <w:t>在建工程在达到预定可使用状态之日起，根据工程预算、造价或工程实际成本等，按估计的价值结转固定资产，次月起开始计提折旧，待办理了竣工决算手续后再对固定资产原值差异进行调整。</w:t>
              </w:r>
            </w:p>
            <w:p w14:paraId="1AC7DFA0" w14:textId="77777777" w:rsidR="005E000F" w:rsidRDefault="00000000">
              <w:pPr>
                <w:rPr>
                  <w:color w:val="000000" w:themeColor="text1"/>
                </w:rPr>
              </w:pPr>
              <w:r>
                <w:rPr>
                  <w:rFonts w:hint="eastAsia"/>
                  <w:color w:val="000000" w:themeColor="text1"/>
                </w:rPr>
                <w:t>在建工程在达到预定可使用状态时转入固定资产，标准如下：</w:t>
              </w:r>
            </w:p>
            <w:p w14:paraId="00DAB94C" w14:textId="77777777" w:rsidR="005E000F" w:rsidRDefault="005E000F">
              <w:pPr>
                <w:rPr>
                  <w:color w:val="000000" w:themeColor="text1"/>
                </w:rPr>
              </w:pPr>
            </w:p>
            <w:tbl>
              <w:tblPr>
                <w:tblStyle w:val="aff2"/>
                <w:tblW w:w="0" w:type="auto"/>
                <w:tblLook w:val="04A0" w:firstRow="1" w:lastRow="0" w:firstColumn="1" w:lastColumn="0" w:noHBand="0" w:noVBand="1"/>
              </w:tblPr>
              <w:tblGrid>
                <w:gridCol w:w="2753"/>
                <w:gridCol w:w="6296"/>
              </w:tblGrid>
              <w:tr w:rsidR="005E000F" w14:paraId="79ED6197" w14:textId="77777777">
                <w:tc>
                  <w:tcPr>
                    <w:tcW w:w="2753" w:type="dxa"/>
                  </w:tcPr>
                  <w:p w14:paraId="6203469D" w14:textId="77777777" w:rsidR="005E000F" w:rsidRDefault="00000000">
                    <w:pPr>
                      <w:jc w:val="center"/>
                      <w:rPr>
                        <w:color w:val="000000" w:themeColor="text1"/>
                      </w:rPr>
                    </w:pPr>
                    <w:r>
                      <w:rPr>
                        <w:rFonts w:hint="eastAsia"/>
                        <w:color w:val="000000" w:themeColor="text1"/>
                      </w:rPr>
                      <w:t>类别</w:t>
                    </w:r>
                  </w:p>
                </w:tc>
                <w:tc>
                  <w:tcPr>
                    <w:tcW w:w="6296" w:type="dxa"/>
                  </w:tcPr>
                  <w:p w14:paraId="32B8E31B" w14:textId="77777777" w:rsidR="005E000F" w:rsidRDefault="00000000">
                    <w:pPr>
                      <w:jc w:val="center"/>
                      <w:rPr>
                        <w:color w:val="000000" w:themeColor="text1"/>
                      </w:rPr>
                    </w:pPr>
                    <w:r>
                      <w:rPr>
                        <w:rFonts w:hint="eastAsia"/>
                        <w:color w:val="000000" w:themeColor="text1"/>
                      </w:rPr>
                      <w:t>在建工程转为固定资产的标准和时点</w:t>
                    </w:r>
                  </w:p>
                </w:tc>
              </w:tr>
              <w:tr w:rsidR="005E000F" w14:paraId="26B0683A" w14:textId="77777777">
                <w:tc>
                  <w:tcPr>
                    <w:tcW w:w="2753" w:type="dxa"/>
                  </w:tcPr>
                  <w:p w14:paraId="22C5D571" w14:textId="77777777" w:rsidR="005E000F" w:rsidRDefault="00000000">
                    <w:pPr>
                      <w:rPr>
                        <w:color w:val="000000" w:themeColor="text1"/>
                      </w:rPr>
                    </w:pPr>
                    <w:r>
                      <w:rPr>
                        <w:rFonts w:hint="eastAsia"/>
                        <w:color w:val="000000" w:themeColor="text1"/>
                      </w:rPr>
                      <w:t>房屋及建筑物</w:t>
                    </w:r>
                  </w:p>
                </w:tc>
                <w:tc>
                  <w:tcPr>
                    <w:tcW w:w="6296" w:type="dxa"/>
                  </w:tcPr>
                  <w:p w14:paraId="1A9A25FF" w14:textId="77777777" w:rsidR="005E000F" w:rsidRDefault="00000000">
                    <w:pPr>
                      <w:rPr>
                        <w:color w:val="000000" w:themeColor="text1"/>
                      </w:rPr>
                    </w:pPr>
                    <w:r>
                      <w:rPr>
                        <w:rFonts w:hint="eastAsia"/>
                        <w:color w:val="000000" w:themeColor="text1"/>
                      </w:rPr>
                      <w:t>满足建筑完工验收标准</w:t>
                    </w:r>
                  </w:p>
                </w:tc>
              </w:tr>
              <w:tr w:rsidR="005E000F" w14:paraId="14DF7EA7" w14:textId="77777777">
                <w:tc>
                  <w:tcPr>
                    <w:tcW w:w="2753" w:type="dxa"/>
                  </w:tcPr>
                  <w:p w14:paraId="589B4293" w14:textId="77777777" w:rsidR="005E000F" w:rsidRDefault="00000000">
                    <w:pPr>
                      <w:rPr>
                        <w:color w:val="000000" w:themeColor="text1"/>
                      </w:rPr>
                    </w:pPr>
                    <w:r>
                      <w:rPr>
                        <w:rFonts w:hint="eastAsia"/>
                        <w:color w:val="000000" w:themeColor="text1"/>
                      </w:rPr>
                      <w:t>其他资产</w:t>
                    </w:r>
                  </w:p>
                </w:tc>
                <w:tc>
                  <w:tcPr>
                    <w:tcW w:w="6296" w:type="dxa"/>
                  </w:tcPr>
                  <w:p w14:paraId="5755E282" w14:textId="77777777" w:rsidR="005E000F" w:rsidRDefault="00000000">
                    <w:pPr>
                      <w:rPr>
                        <w:color w:val="000000" w:themeColor="text1"/>
                      </w:rPr>
                    </w:pPr>
                    <w:r>
                      <w:rPr>
                        <w:rFonts w:hint="eastAsia"/>
                        <w:color w:val="000000" w:themeColor="text1"/>
                      </w:rPr>
                      <w:t>依据资产验收交接单、验收报告等资料，</w:t>
                    </w:r>
                    <w:proofErr w:type="gramStart"/>
                    <w:r>
                      <w:rPr>
                        <w:rFonts w:hint="eastAsia"/>
                        <w:color w:val="000000" w:themeColor="text1"/>
                      </w:rPr>
                      <w:t>自达到</w:t>
                    </w:r>
                    <w:proofErr w:type="gramEnd"/>
                    <w:r>
                      <w:rPr>
                        <w:rFonts w:hint="eastAsia"/>
                        <w:color w:val="000000" w:themeColor="text1"/>
                      </w:rPr>
                      <w:t>预定可使用状态之日起。</w:t>
                    </w:r>
                  </w:p>
                </w:tc>
              </w:tr>
            </w:tbl>
            <w:p w14:paraId="5D0A95F2" w14:textId="77777777" w:rsidR="005E000F" w:rsidRDefault="00000000">
              <w:pPr>
                <w:rPr>
                  <w:color w:val="000000" w:themeColor="text1"/>
                </w:rPr>
              </w:pPr>
              <w:r>
                <w:rPr>
                  <w:rFonts w:hint="eastAsia"/>
                  <w:color w:val="000000" w:themeColor="text1"/>
                </w:rPr>
                <w:t>在建工程以成本减减</w:t>
              </w:r>
              <w:proofErr w:type="gramStart"/>
              <w:r>
                <w:rPr>
                  <w:rFonts w:hint="eastAsia"/>
                  <w:color w:val="000000" w:themeColor="text1"/>
                </w:rPr>
                <w:t>值准备</w:t>
              </w:r>
              <w:proofErr w:type="gramEnd"/>
              <w:r>
                <w:rPr>
                  <w:rFonts w:hint="eastAsia"/>
                  <w:color w:val="000000" w:themeColor="text1"/>
                </w:rPr>
                <w:t>(</w:t>
              </w:r>
              <w:r>
                <w:rPr>
                  <w:rFonts w:hint="eastAsia"/>
                  <w:color w:val="000000" w:themeColor="text1"/>
                </w:rPr>
                <w:t>参见附注五、</w:t>
              </w:r>
              <w:r>
                <w:rPr>
                  <w:rFonts w:hint="eastAsia"/>
                  <w:color w:val="000000" w:themeColor="text1"/>
                </w:rPr>
                <w:t>27)</w:t>
              </w:r>
              <w:r>
                <w:rPr>
                  <w:rFonts w:hint="eastAsia"/>
                  <w:color w:val="000000" w:themeColor="text1"/>
                </w:rPr>
                <w:t>在资产负债表内列示。</w:t>
              </w:r>
            </w:p>
            <w:p w14:paraId="7A27577A" w14:textId="77777777" w:rsidR="005E000F" w:rsidRDefault="005E000F">
              <w:pPr>
                <w:rPr>
                  <w:color w:val="000000" w:themeColor="text1"/>
                </w:rPr>
              </w:pPr>
            </w:p>
            <w:p w14:paraId="5253D91B" w14:textId="77777777" w:rsidR="005E000F" w:rsidRDefault="00000000">
              <w:pPr>
                <w:rPr>
                  <w:color w:val="000000" w:themeColor="text1"/>
                </w:rPr>
              </w:pPr>
              <w:r>
                <w:rPr>
                  <w:rFonts w:hint="eastAsia"/>
                  <w:color w:val="000000" w:themeColor="text1"/>
                </w:rPr>
                <w:t>企业将固定资产达到预定可使用状态前产出的产品或副产品对外销售，按照《企业会计准则第</w:t>
              </w:r>
              <w:r>
                <w:rPr>
                  <w:rFonts w:hint="eastAsia"/>
                  <w:color w:val="000000" w:themeColor="text1"/>
                </w:rPr>
                <w:t>14</w:t>
              </w:r>
              <w:r>
                <w:rPr>
                  <w:rFonts w:hint="eastAsia"/>
                  <w:color w:val="000000" w:themeColor="text1"/>
                </w:rPr>
                <w:t>号——收入》、《企业会计准则第</w:t>
              </w:r>
              <w:r>
                <w:rPr>
                  <w:rFonts w:hint="eastAsia"/>
                  <w:color w:val="000000" w:themeColor="text1"/>
                </w:rPr>
                <w:t>1</w:t>
              </w:r>
              <w:r>
                <w:rPr>
                  <w:rFonts w:hint="eastAsia"/>
                  <w:color w:val="000000" w:themeColor="text1"/>
                </w:rPr>
                <w:t>号——存货》等规定，对相关的收入和成本分别进行会计处理，计入当期损益。</w:t>
              </w:r>
            </w:p>
          </w:sdtContent>
        </w:sdt>
        <w:p w14:paraId="75BCCF53" w14:textId="77777777" w:rsidR="005E000F" w:rsidRDefault="00000000"/>
      </w:sdtContent>
    </w:sdt>
    <w:p w14:paraId="676AA048" w14:textId="77777777" w:rsidR="005E000F" w:rsidRDefault="005E000F"/>
    <w:p w14:paraId="0093D130" w14:textId="77777777" w:rsidR="005E000F" w:rsidRDefault="00000000">
      <w:pPr>
        <w:pStyle w:val="3"/>
        <w:numPr>
          <w:ilvl w:val="0"/>
          <w:numId w:val="59"/>
        </w:numPr>
      </w:pPr>
      <w:r>
        <w:t>借款费用</w:t>
      </w:r>
    </w:p>
    <w:sdt>
      <w:sdtPr>
        <w:rPr>
          <w:rFonts w:hint="eastAsia"/>
        </w:rPr>
        <w:alias w:val="是否适用：借款费用_重要会计政策和估计[双击切换]"/>
        <w:tag w:val="_GBC_84ea3b60fd54474487b81f25f176d989"/>
        <w:id w:val="-539745475"/>
        <w:placeholder>
          <w:docPart w:val="GBC22222222222222222222222222222"/>
        </w:placeholder>
      </w:sdtPr>
      <w:sdtContent>
        <w:p w14:paraId="41CCC88C"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借款费用的会计处理方法"/>
        <w:tag w:val="_GBC_2101c32d32c64f39a8b8fcd2b72dbb0a"/>
        <w:id w:val="452442290"/>
        <w:placeholder>
          <w:docPart w:val="GBC22222222222222222222222222222"/>
        </w:placeholder>
      </w:sdtPr>
      <w:sdtContent>
        <w:sdt>
          <w:sdtPr>
            <w:rPr>
              <w:rFonts w:hint="eastAsia"/>
              <w:color w:val="000000" w:themeColor="text1"/>
            </w:rPr>
            <w:alias w:val="借款费用的会计处理方法"/>
            <w:tag w:val="_GBC_2101c32d32c64f39a8b8fcd2b72dbb0a"/>
            <w:id w:val="-1165389723"/>
            <w:placeholder>
              <w:docPart w:val="{336b4013-1ff4-4ecd-933d-fbfab686b143}"/>
            </w:placeholder>
          </w:sdtPr>
          <w:sdtContent>
            <w:p w14:paraId="68367FD8" w14:textId="77777777" w:rsidR="005E000F" w:rsidRDefault="00000000">
              <w:pPr>
                <w:rPr>
                  <w:color w:val="000000" w:themeColor="text1"/>
                </w:rPr>
              </w:pPr>
              <w:r>
                <w:rPr>
                  <w:rFonts w:hint="eastAsia"/>
                  <w:color w:val="000000" w:themeColor="text1"/>
                </w:rPr>
                <w:t>本集团将发生的可直接归属于符合资本化条件的资产的购建或者生产的借款费用予以资本化，计入相关资产成本，其他借款费用计入当期损益。本集团确定的符合资本化条件的资产包括需要经过</w:t>
              </w:r>
              <w:r>
                <w:rPr>
                  <w:rFonts w:hint="eastAsia"/>
                  <w:color w:val="000000" w:themeColor="text1"/>
                </w:rPr>
                <w:t>1</w:t>
              </w:r>
              <w:r>
                <w:rPr>
                  <w:rFonts w:hint="eastAsia"/>
                  <w:color w:val="000000" w:themeColor="text1"/>
                </w:rPr>
                <w:t>年以上的购建或者生产活动才能达到预定可使用或者可销售状态的固定资产、投资性房地产和存货等的借款费用，在资产支出已经发生、借款费用已经发生、为使资产达到预定可使用或可销售状态所必要的购建或生产活动已经开始时，开始资本化；</w:t>
              </w:r>
              <w:proofErr w:type="gramStart"/>
              <w:r>
                <w:rPr>
                  <w:rFonts w:hint="eastAsia"/>
                  <w:color w:val="000000" w:themeColor="text1"/>
                </w:rPr>
                <w:t>当购建</w:t>
              </w:r>
              <w:proofErr w:type="gramEnd"/>
              <w:r>
                <w:rPr>
                  <w:rFonts w:hint="eastAsia"/>
                  <w:color w:val="000000" w:themeColor="text1"/>
                </w:rPr>
                <w:t>或生产符合资本化条件的资产达到预定可使用或可销售状态时，停止资本化，其后发生的借款费用计入当期损益。如果符合资本化条件的资产在购建或者生产过程中发生非正常中断、且中断时间连续超过</w:t>
              </w:r>
              <w:r>
                <w:rPr>
                  <w:rFonts w:hint="eastAsia"/>
                  <w:color w:val="000000" w:themeColor="text1"/>
                </w:rPr>
                <w:t>3</w:t>
              </w:r>
              <w:r>
                <w:rPr>
                  <w:rFonts w:hint="eastAsia"/>
                  <w:color w:val="000000" w:themeColor="text1"/>
                </w:rPr>
                <w:t>个月，暂停借款费用的资本化，直至资产的购建或生产活动重新开始。</w:t>
              </w:r>
            </w:p>
            <w:p w14:paraId="0DD376BC" w14:textId="77777777" w:rsidR="005E000F" w:rsidRDefault="005E000F">
              <w:pPr>
                <w:rPr>
                  <w:color w:val="000000" w:themeColor="text1"/>
                </w:rPr>
              </w:pPr>
            </w:p>
            <w:p w14:paraId="047EC80B" w14:textId="77777777" w:rsidR="005E000F" w:rsidRDefault="00000000">
              <w:pPr>
                <w:rPr>
                  <w:color w:val="000000" w:themeColor="text1"/>
                </w:rPr>
              </w:pPr>
              <w:r>
                <w:rPr>
                  <w:rFonts w:hint="eastAsia"/>
                  <w:color w:val="000000" w:themeColor="text1"/>
                </w:rPr>
                <w:t>在资本</w:t>
              </w:r>
              <w:proofErr w:type="gramStart"/>
              <w:r>
                <w:rPr>
                  <w:rFonts w:hint="eastAsia"/>
                  <w:color w:val="000000" w:themeColor="text1"/>
                </w:rPr>
                <w:t>化期间</w:t>
              </w:r>
              <w:proofErr w:type="gramEnd"/>
              <w:r>
                <w:rPr>
                  <w:rFonts w:hint="eastAsia"/>
                  <w:color w:val="000000" w:themeColor="text1"/>
                </w:rPr>
                <w:t>内的每一会计期间，本集团按照以下方法确认借款费用的资本化金额：借入专门借款的，按照当期实际发生的利息费用，扣除尚未动用的借款资金存入银行取得的利息收入或进行暂时性投资取得的投资收益后的金额确定；占用一般借款的，根据累计资产支出超过专门借款部分的资产支出加权平均数乘以所占用一般借款的资本化率确定，其中资本化率根据一般借款加权平均利率计算确定。</w:t>
              </w:r>
            </w:p>
          </w:sdtContent>
        </w:sdt>
      </w:sdtContent>
    </w:sdt>
    <w:p w14:paraId="0ECCF4E3" w14:textId="77777777" w:rsidR="005E000F" w:rsidRDefault="005E000F"/>
    <w:p w14:paraId="67DB665A" w14:textId="77777777" w:rsidR="005E000F" w:rsidRDefault="00000000">
      <w:pPr>
        <w:pStyle w:val="3"/>
        <w:numPr>
          <w:ilvl w:val="0"/>
          <w:numId w:val="59"/>
        </w:numPr>
      </w:pPr>
      <w:r>
        <w:t>生物资产</w:t>
      </w:r>
    </w:p>
    <w:sdt>
      <w:sdtPr>
        <w:rPr>
          <w:rFonts w:hint="eastAsia"/>
        </w:rPr>
        <w:alias w:val="是否适用：生物资产_重要会计政策和估计[双击切换]"/>
        <w:tag w:val="_GBC_f511e8d0a6dc417eb1d10eeecb5b05a5"/>
        <w:id w:val="-341321695"/>
        <w:placeholder>
          <w:docPart w:val="GBC22222222222222222222222222222"/>
        </w:placeholder>
      </w:sdtPr>
      <w:sdtContent>
        <w:p w14:paraId="66F28C3F" w14:textId="77777777" w:rsidR="005E000F" w:rsidRDefault="00000000">
          <w:pPr>
            <w:rPr>
              <w:kern w:val="2"/>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1FB28E7" w14:textId="77777777" w:rsidR="005E000F" w:rsidRDefault="005E000F"/>
    <w:p w14:paraId="1B5CDB7F" w14:textId="77777777" w:rsidR="005E000F" w:rsidRDefault="00000000">
      <w:pPr>
        <w:pStyle w:val="3"/>
        <w:numPr>
          <w:ilvl w:val="0"/>
          <w:numId w:val="59"/>
        </w:numPr>
      </w:pPr>
      <w:r>
        <w:t>油气资产</w:t>
      </w:r>
    </w:p>
    <w:sdt>
      <w:sdtPr>
        <w:rPr>
          <w:rFonts w:hint="eastAsia"/>
        </w:rPr>
        <w:alias w:val="是否适用：油气资产_重要会计政策和估计[双击切换]"/>
        <w:tag w:val="_GBC_fb60dd1d8d2346fb9b2e461875c070c9"/>
        <w:id w:val="1339193021"/>
        <w:placeholder>
          <w:docPart w:val="GBC22222222222222222222222222222"/>
        </w:placeholder>
      </w:sdtPr>
      <w:sdtContent>
        <w:p w14:paraId="545D45BE" w14:textId="77777777" w:rsidR="005E000F" w:rsidRDefault="00000000">
          <w:pPr>
            <w:rPr>
              <w:kern w:val="2"/>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497A1E" w14:textId="77777777" w:rsidR="005E000F" w:rsidRDefault="005E000F"/>
    <w:p w14:paraId="32DEA08C" w14:textId="77777777" w:rsidR="005E000F" w:rsidRDefault="00000000">
      <w:pPr>
        <w:pStyle w:val="3"/>
        <w:numPr>
          <w:ilvl w:val="0"/>
          <w:numId w:val="59"/>
        </w:numPr>
      </w:pPr>
      <w:r>
        <w:t>无形资产</w:t>
      </w:r>
    </w:p>
    <w:p w14:paraId="21C1F7EC" w14:textId="77777777" w:rsidR="005E000F" w:rsidRDefault="00000000">
      <w:pPr>
        <w:pStyle w:val="4"/>
        <w:rPr>
          <w:rFonts w:ascii="Times New Roman" w:eastAsia="宋体" w:hAnsi="Times New Roman"/>
          <w:b w:val="0"/>
          <w:bCs w:val="0"/>
          <w:color w:val="000000" w:themeColor="text1"/>
          <w:kern w:val="0"/>
          <w:szCs w:val="21"/>
        </w:rPr>
      </w:pPr>
      <w:r>
        <w:rPr>
          <w:rFonts w:ascii="Times New Roman" w:eastAsia="宋体" w:hAnsi="Times New Roman" w:hint="eastAsia"/>
          <w:b w:val="0"/>
          <w:bCs w:val="0"/>
          <w:color w:val="000000" w:themeColor="text1"/>
          <w:kern w:val="0"/>
          <w:szCs w:val="21"/>
        </w:rPr>
        <w:t>本集团无形资产包括土地使用权、计算机软件等，按取得时的实际成本计量，其中，购入的无形资产，按实际支付的价款和相关的其他支出作为实际成本；投资者投入的无形资产，按投资合同或协议约定的价值确定实际成本，但合同或协议约定价值</w:t>
      </w:r>
      <w:proofErr w:type="gramStart"/>
      <w:r>
        <w:rPr>
          <w:rFonts w:ascii="Times New Roman" w:eastAsia="宋体" w:hAnsi="Times New Roman" w:hint="eastAsia"/>
          <w:b w:val="0"/>
          <w:bCs w:val="0"/>
          <w:color w:val="000000" w:themeColor="text1"/>
          <w:kern w:val="0"/>
          <w:szCs w:val="21"/>
        </w:rPr>
        <w:t>不</w:t>
      </w:r>
      <w:proofErr w:type="gramEnd"/>
      <w:r>
        <w:rPr>
          <w:rFonts w:ascii="Times New Roman" w:eastAsia="宋体" w:hAnsi="Times New Roman" w:hint="eastAsia"/>
          <w:b w:val="0"/>
          <w:bCs w:val="0"/>
          <w:color w:val="000000" w:themeColor="text1"/>
          <w:kern w:val="0"/>
          <w:szCs w:val="21"/>
        </w:rPr>
        <w:t>公允的，按公允价值确定实际成本。</w:t>
      </w:r>
    </w:p>
    <w:p w14:paraId="2950E324" w14:textId="77777777" w:rsidR="005E000F" w:rsidRDefault="005E000F"/>
    <w:p w14:paraId="1F269DB8" w14:textId="77777777" w:rsidR="005E000F" w:rsidRDefault="00000000">
      <w:pPr>
        <w:pStyle w:val="4"/>
        <w:numPr>
          <w:ilvl w:val="3"/>
          <w:numId w:val="62"/>
        </w:numPr>
        <w:ind w:left="426" w:hanging="426"/>
        <w:rPr>
          <w:rStyle w:val="aff6"/>
          <w:szCs w:val="28"/>
        </w:rPr>
      </w:pPr>
      <w:r>
        <w:rPr>
          <w:rFonts w:hint="eastAsia"/>
        </w:rPr>
        <w:t>使用寿命及其确定依据、估计情况、摊销方法</w:t>
      </w:r>
      <w:r>
        <w:rPr>
          <w:rStyle w:val="aff6"/>
          <w:rFonts w:hint="eastAsia"/>
        </w:rPr>
        <w:t>或复核程序</w:t>
      </w:r>
    </w:p>
    <w:sdt>
      <w:sdtPr>
        <w:alias w:val="是否适用：无形资产计价方法、使用寿命、减值测试[双击切换]"/>
        <w:tag w:val="_GBC_40df8c87b47d48bbbf73a71cc533a892"/>
        <w:id w:val="23523480"/>
        <w:placeholder>
          <w:docPart w:val="GBC22222222222222222222222222222"/>
        </w:placeholder>
      </w:sdtPr>
      <w:sdtContent>
        <w:p w14:paraId="277D53D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无形资产计价方法、使用寿命、减值测试"/>
        <w:tag w:val="_GBC_a9e64b18f452482eb6674ec605618dcc"/>
        <w:id w:val="1716618354"/>
        <w:placeholder>
          <w:docPart w:val="GBC22222222222222222222222222222"/>
        </w:placeholder>
      </w:sdtPr>
      <w:sdtContent>
        <w:sdt>
          <w:sdtPr>
            <w:rPr>
              <w:color w:val="000000" w:themeColor="text1"/>
            </w:rPr>
            <w:alias w:val="无形资产计价方法、使用寿命、减值测试"/>
            <w:tag w:val="_GBC_a9e64b18f452482eb6674ec605618dcc"/>
            <w:id w:val="-1814548191"/>
            <w:placeholder>
              <w:docPart w:val="{d0643dbf-ab87-4936-9148-e7e2b30d728f}"/>
            </w:placeholder>
          </w:sdtPr>
          <w:sdtContent>
            <w:p w14:paraId="0E0546B4" w14:textId="77777777" w:rsidR="005E000F" w:rsidRDefault="00000000">
              <w:pPr>
                <w:rPr>
                  <w:color w:val="000000" w:themeColor="text1"/>
                </w:rPr>
              </w:pPr>
              <w:r>
                <w:rPr>
                  <w:rFonts w:hint="eastAsia"/>
                  <w:color w:val="000000" w:themeColor="text1"/>
                </w:rPr>
                <w:t>本集团对各类无形资产的摊销方法及摊销年限如下：</w:t>
              </w:r>
            </w:p>
            <w:tbl>
              <w:tblPr>
                <w:tblStyle w:val="aff2"/>
                <w:tblW w:w="0" w:type="auto"/>
                <w:tblLook w:val="04A0" w:firstRow="1" w:lastRow="0" w:firstColumn="1" w:lastColumn="0" w:noHBand="0" w:noVBand="1"/>
              </w:tblPr>
              <w:tblGrid>
                <w:gridCol w:w="2262"/>
                <w:gridCol w:w="1729"/>
                <w:gridCol w:w="3012"/>
                <w:gridCol w:w="2046"/>
              </w:tblGrid>
              <w:tr w:rsidR="005E000F" w14:paraId="3DF97E2D" w14:textId="77777777">
                <w:tc>
                  <w:tcPr>
                    <w:tcW w:w="2262" w:type="dxa"/>
                  </w:tcPr>
                  <w:p w14:paraId="7B762FB1" w14:textId="77777777" w:rsidR="005E000F" w:rsidRDefault="00000000">
                    <w:pPr>
                      <w:jc w:val="center"/>
                      <w:rPr>
                        <w:color w:val="000000" w:themeColor="text1"/>
                      </w:rPr>
                    </w:pPr>
                    <w:r>
                      <w:rPr>
                        <w:rFonts w:hint="eastAsia"/>
                        <w:color w:val="000000" w:themeColor="text1"/>
                      </w:rPr>
                      <w:t>项目</w:t>
                    </w:r>
                  </w:p>
                </w:tc>
                <w:tc>
                  <w:tcPr>
                    <w:tcW w:w="1729" w:type="dxa"/>
                  </w:tcPr>
                  <w:p w14:paraId="0010A45F" w14:textId="77777777" w:rsidR="005E000F" w:rsidRDefault="00000000">
                    <w:pPr>
                      <w:jc w:val="center"/>
                      <w:rPr>
                        <w:color w:val="000000" w:themeColor="text1"/>
                      </w:rPr>
                    </w:pPr>
                    <w:r>
                      <w:rPr>
                        <w:rFonts w:hint="eastAsia"/>
                        <w:color w:val="000000" w:themeColor="text1"/>
                      </w:rPr>
                      <w:t>使用寿命</w:t>
                    </w:r>
                  </w:p>
                </w:tc>
                <w:tc>
                  <w:tcPr>
                    <w:tcW w:w="3012" w:type="dxa"/>
                  </w:tcPr>
                  <w:p w14:paraId="197E88C9" w14:textId="77777777" w:rsidR="005E000F" w:rsidRDefault="00000000">
                    <w:pPr>
                      <w:jc w:val="center"/>
                      <w:rPr>
                        <w:color w:val="000000" w:themeColor="text1"/>
                      </w:rPr>
                    </w:pPr>
                    <w:r>
                      <w:rPr>
                        <w:rFonts w:hint="eastAsia"/>
                        <w:color w:val="000000" w:themeColor="text1"/>
                      </w:rPr>
                      <w:t>确定依据</w:t>
                    </w:r>
                  </w:p>
                </w:tc>
                <w:tc>
                  <w:tcPr>
                    <w:tcW w:w="2046" w:type="dxa"/>
                  </w:tcPr>
                  <w:p w14:paraId="26524A4F" w14:textId="77777777" w:rsidR="005E000F" w:rsidRDefault="00000000">
                    <w:pPr>
                      <w:jc w:val="center"/>
                      <w:rPr>
                        <w:color w:val="000000" w:themeColor="text1"/>
                      </w:rPr>
                    </w:pPr>
                    <w:r>
                      <w:rPr>
                        <w:rFonts w:hint="eastAsia"/>
                        <w:color w:val="000000" w:themeColor="text1"/>
                      </w:rPr>
                      <w:t>摊销方法</w:t>
                    </w:r>
                  </w:p>
                </w:tc>
              </w:tr>
              <w:tr w:rsidR="005E000F" w14:paraId="4C9C3B18" w14:textId="77777777">
                <w:tc>
                  <w:tcPr>
                    <w:tcW w:w="2262" w:type="dxa"/>
                  </w:tcPr>
                  <w:p w14:paraId="276A64EF" w14:textId="77777777" w:rsidR="005E000F" w:rsidRDefault="00000000">
                    <w:pPr>
                      <w:rPr>
                        <w:color w:val="000000" w:themeColor="text1"/>
                      </w:rPr>
                    </w:pPr>
                    <w:r>
                      <w:rPr>
                        <w:rFonts w:hint="eastAsia"/>
                        <w:color w:val="000000" w:themeColor="text1"/>
                      </w:rPr>
                      <w:t>土地使用权</w:t>
                    </w:r>
                  </w:p>
                </w:tc>
                <w:tc>
                  <w:tcPr>
                    <w:tcW w:w="1729" w:type="dxa"/>
                  </w:tcPr>
                  <w:p w14:paraId="37AEDD79" w14:textId="77777777" w:rsidR="005E000F" w:rsidRDefault="00000000">
                    <w:pPr>
                      <w:rPr>
                        <w:color w:val="000000" w:themeColor="text1"/>
                      </w:rPr>
                    </w:pPr>
                    <w:r>
                      <w:rPr>
                        <w:rFonts w:hint="eastAsia"/>
                        <w:color w:val="000000" w:themeColor="text1"/>
                      </w:rPr>
                      <w:t>50</w:t>
                    </w:r>
                    <w:r>
                      <w:rPr>
                        <w:rFonts w:hint="eastAsia"/>
                        <w:color w:val="000000" w:themeColor="text1"/>
                      </w:rPr>
                      <w:t>年</w:t>
                    </w:r>
                  </w:p>
                </w:tc>
                <w:tc>
                  <w:tcPr>
                    <w:tcW w:w="3012" w:type="dxa"/>
                  </w:tcPr>
                  <w:p w14:paraId="4A732AB8" w14:textId="77777777" w:rsidR="005E000F" w:rsidRDefault="00000000">
                    <w:pPr>
                      <w:rPr>
                        <w:color w:val="000000" w:themeColor="text1"/>
                      </w:rPr>
                    </w:pPr>
                    <w:r>
                      <w:rPr>
                        <w:rFonts w:hint="eastAsia"/>
                        <w:color w:val="000000" w:themeColor="text1"/>
                      </w:rPr>
                      <w:t>法定使用权</w:t>
                    </w:r>
                  </w:p>
                </w:tc>
                <w:tc>
                  <w:tcPr>
                    <w:tcW w:w="2046" w:type="dxa"/>
                  </w:tcPr>
                  <w:p w14:paraId="3F3AC4C9" w14:textId="77777777" w:rsidR="005E000F" w:rsidRDefault="00000000">
                    <w:pPr>
                      <w:rPr>
                        <w:color w:val="000000" w:themeColor="text1"/>
                      </w:rPr>
                    </w:pPr>
                    <w:r>
                      <w:rPr>
                        <w:rFonts w:hint="eastAsia"/>
                        <w:color w:val="000000" w:themeColor="text1"/>
                      </w:rPr>
                      <w:t>直线法</w:t>
                    </w:r>
                  </w:p>
                </w:tc>
              </w:tr>
              <w:tr w:rsidR="005E000F" w14:paraId="1050B4E7" w14:textId="77777777">
                <w:tc>
                  <w:tcPr>
                    <w:tcW w:w="2262" w:type="dxa"/>
                  </w:tcPr>
                  <w:p w14:paraId="2093ED06" w14:textId="77777777" w:rsidR="005E000F" w:rsidRDefault="00000000">
                    <w:pPr>
                      <w:rPr>
                        <w:color w:val="000000" w:themeColor="text1"/>
                      </w:rPr>
                    </w:pPr>
                    <w:r>
                      <w:rPr>
                        <w:rFonts w:hint="eastAsia"/>
                        <w:color w:val="000000" w:themeColor="text1"/>
                      </w:rPr>
                      <w:t>计算机软件</w:t>
                    </w:r>
                  </w:p>
                </w:tc>
                <w:tc>
                  <w:tcPr>
                    <w:tcW w:w="1729" w:type="dxa"/>
                  </w:tcPr>
                  <w:p w14:paraId="65F8C8D5" w14:textId="77777777" w:rsidR="005E000F" w:rsidRDefault="00000000">
                    <w:pPr>
                      <w:rPr>
                        <w:color w:val="000000" w:themeColor="text1"/>
                      </w:rPr>
                    </w:pPr>
                    <w:r>
                      <w:rPr>
                        <w:rFonts w:hint="eastAsia"/>
                        <w:color w:val="000000" w:themeColor="text1"/>
                      </w:rPr>
                      <w:t>5-10</w:t>
                    </w:r>
                    <w:r>
                      <w:rPr>
                        <w:rFonts w:hint="eastAsia"/>
                        <w:color w:val="000000" w:themeColor="text1"/>
                      </w:rPr>
                      <w:t>年</w:t>
                    </w:r>
                  </w:p>
                </w:tc>
                <w:tc>
                  <w:tcPr>
                    <w:tcW w:w="3012" w:type="dxa"/>
                  </w:tcPr>
                  <w:p w14:paraId="143D826D" w14:textId="77777777" w:rsidR="005E000F" w:rsidRDefault="00000000">
                    <w:pPr>
                      <w:rPr>
                        <w:color w:val="000000" w:themeColor="text1"/>
                      </w:rPr>
                    </w:pPr>
                    <w:r>
                      <w:rPr>
                        <w:rFonts w:hint="eastAsia"/>
                        <w:color w:val="000000" w:themeColor="text1"/>
                      </w:rPr>
                      <w:t>合同约定授权期限或预计能为公司带来经济利益的期限</w:t>
                    </w:r>
                  </w:p>
                </w:tc>
                <w:tc>
                  <w:tcPr>
                    <w:tcW w:w="2046" w:type="dxa"/>
                  </w:tcPr>
                  <w:p w14:paraId="16C14A6B" w14:textId="77777777" w:rsidR="005E000F" w:rsidRDefault="00000000">
                    <w:pPr>
                      <w:rPr>
                        <w:color w:val="000000" w:themeColor="text1"/>
                      </w:rPr>
                    </w:pPr>
                    <w:r>
                      <w:rPr>
                        <w:rFonts w:hint="eastAsia"/>
                        <w:color w:val="000000" w:themeColor="text1"/>
                      </w:rPr>
                      <w:t>直线法</w:t>
                    </w:r>
                  </w:p>
                </w:tc>
              </w:tr>
            </w:tbl>
            <w:p w14:paraId="0338C715" w14:textId="77777777" w:rsidR="005E000F" w:rsidRDefault="00000000">
              <w:pPr>
                <w:rPr>
                  <w:color w:val="000000" w:themeColor="text1"/>
                </w:rPr>
              </w:pPr>
            </w:p>
          </w:sdtContent>
        </w:sdt>
        <w:p w14:paraId="343A16D8" w14:textId="77777777" w:rsidR="005E000F" w:rsidRDefault="00000000">
          <w:r>
            <w:rPr>
              <w:rFonts w:hint="eastAsia"/>
            </w:rPr>
            <w:t>摊销金额按其受益对象计入相关资产成本和当期损益。对使用寿命有限的无形资产的预计使用寿命及摊销方法于每年年度终了进行复核，如发生改变，则作为会计估计变更处理。</w:t>
          </w:r>
        </w:p>
        <w:p w14:paraId="338B2860" w14:textId="77777777" w:rsidR="005E000F" w:rsidRDefault="005E000F"/>
        <w:p w14:paraId="7C98B56D" w14:textId="77777777" w:rsidR="005E000F" w:rsidRDefault="00000000">
          <w:r>
            <w:rPr>
              <w:rFonts w:hint="eastAsia"/>
            </w:rPr>
            <w:t>外购土地及建筑物的价款难以在土地使用权与建筑物之间合理分配的，全部作为固定资产。</w:t>
          </w:r>
        </w:p>
        <w:p w14:paraId="09750C8A" w14:textId="77777777" w:rsidR="005E000F" w:rsidRDefault="005E000F"/>
        <w:p w14:paraId="6A6EBA02" w14:textId="77777777" w:rsidR="005E000F" w:rsidRDefault="00000000">
          <w:r>
            <w:rPr>
              <w:rFonts w:hint="eastAsia"/>
            </w:rPr>
            <w:t>本集团将无法预见未来经济利益期限的无形资产视为使用寿命不确定的无形资产，并对这类无形资产不予摊销。</w:t>
          </w:r>
        </w:p>
      </w:sdtContent>
    </w:sdt>
    <w:p w14:paraId="34E2E18D" w14:textId="77777777" w:rsidR="005E000F" w:rsidRDefault="005E000F"/>
    <w:p w14:paraId="7EF3BD9A" w14:textId="77777777" w:rsidR="005E000F" w:rsidRDefault="00000000">
      <w:pPr>
        <w:pStyle w:val="4"/>
        <w:numPr>
          <w:ilvl w:val="3"/>
          <w:numId w:val="62"/>
        </w:numPr>
        <w:ind w:left="426" w:hanging="426"/>
      </w:pPr>
      <w:r>
        <w:rPr>
          <w:rFonts w:hint="eastAsia"/>
        </w:rPr>
        <w:t>研发支出的归集范围及相关会计处理方法</w:t>
      </w:r>
    </w:p>
    <w:sdt>
      <w:sdtPr>
        <w:alias w:val="是否适用：无形资产内部研究开发支出会计政策[双击切换]"/>
        <w:tag w:val="_GBC_8f6b939ea36a42808f60b7c024994f2b"/>
        <w:id w:val="1559355540"/>
        <w:placeholder>
          <w:docPart w:val="GBC22222222222222222222222222222"/>
        </w:placeholder>
      </w:sdtPr>
      <w:sdtContent>
        <w:p w14:paraId="67BDC5E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无形资产内部研究、开发支出会计政策"/>
        <w:tag w:val="_GBC_af7b1338d88344dfb8cd34ed66bfe672"/>
        <w:id w:val="2560528"/>
        <w:placeholder>
          <w:docPart w:val="GBC22222222222222222222222222222"/>
        </w:placeholder>
      </w:sdtPr>
      <w:sdtContent>
        <w:sdt>
          <w:sdtPr>
            <w:rPr>
              <w:color w:val="000000" w:themeColor="text1"/>
            </w:rPr>
            <w:alias w:val="无形资产内部研究、开发支出会计政策"/>
            <w:tag w:val="_GBC_af7b1338d88344dfb8cd34ed66bfe672"/>
            <w:id w:val="-1630932027"/>
            <w:placeholder>
              <w:docPart w:val="{65fd097c-29d9-446e-a4cc-84c6425b071b}"/>
            </w:placeholder>
          </w:sdtPr>
          <w:sdtContent>
            <w:p w14:paraId="765E7D58" w14:textId="77777777" w:rsidR="005E000F" w:rsidRDefault="00000000">
              <w:pPr>
                <w:rPr>
                  <w:color w:val="000000" w:themeColor="text1"/>
                </w:rPr>
              </w:pPr>
              <w:r>
                <w:rPr>
                  <w:rFonts w:hint="eastAsia"/>
                  <w:color w:val="000000" w:themeColor="text1"/>
                </w:rPr>
                <w:t>本集团研发支出的归集范围包括研发人员职工薪酬、直接投入费用、折旧及待摊费用、设计费用、装备调试费、委托外部研究开发费用、其他费用等。</w:t>
              </w:r>
            </w:p>
            <w:p w14:paraId="21FB82EB" w14:textId="77777777" w:rsidR="005E000F" w:rsidRDefault="005E000F">
              <w:pPr>
                <w:rPr>
                  <w:color w:val="000000" w:themeColor="text1"/>
                </w:rPr>
              </w:pPr>
            </w:p>
            <w:p w14:paraId="48DA4537" w14:textId="77777777" w:rsidR="005E000F" w:rsidRDefault="00000000">
              <w:pPr>
                <w:rPr>
                  <w:color w:val="000000" w:themeColor="text1"/>
                </w:rPr>
              </w:pPr>
              <w:r>
                <w:rPr>
                  <w:rFonts w:hint="eastAsia"/>
                  <w:color w:val="000000" w:themeColor="text1"/>
                </w:rPr>
                <w:t>本集团根据内部研究开发项目支出的性质以及研发活动最终形成无形资产是否具有较大不确定性，将其分为研究阶段支出和开发阶段支出。研究阶段支出于发生时计入当期损益，对于开发阶段的支出，在同时满足以下条件时予以资本化：本集团评估完成该无形资产以使其能够使用或出售在技术上具有可行性；本集团具有完成该无形资产并使用或出售的意图；无形资产预计能够为本集团带来经济利益；本集团有足够的技术、财务资源和其他资源支持，以完成该无形资产的开发，并有能力使用或出售该无形资产；归属于该无形资产开发阶段的支出能够可靠地计量。对于不满足资本化条件的开发阶段支出于发生时计入当期损益。</w:t>
              </w:r>
            </w:p>
            <w:p w14:paraId="789E32A2" w14:textId="77777777" w:rsidR="005E000F" w:rsidRDefault="005E000F">
              <w:pPr>
                <w:rPr>
                  <w:color w:val="000000" w:themeColor="text1"/>
                </w:rPr>
              </w:pPr>
            </w:p>
            <w:p w14:paraId="68096104" w14:textId="77777777" w:rsidR="005E000F" w:rsidRDefault="00000000">
              <w:pPr>
                <w:rPr>
                  <w:color w:val="000000" w:themeColor="text1"/>
                </w:rPr>
              </w:pPr>
              <w:r>
                <w:rPr>
                  <w:rFonts w:hint="eastAsia"/>
                  <w:color w:val="000000" w:themeColor="text1"/>
                </w:rPr>
                <w:t>企业对于研发过程中产出的产品或副产品对外销售，按照《企业会计准则第</w:t>
              </w:r>
              <w:r>
                <w:rPr>
                  <w:rFonts w:hint="eastAsia"/>
                  <w:color w:val="000000" w:themeColor="text1"/>
                </w:rPr>
                <w:t>14</w:t>
              </w:r>
              <w:r>
                <w:rPr>
                  <w:rFonts w:hint="eastAsia"/>
                  <w:color w:val="000000" w:themeColor="text1"/>
                </w:rPr>
                <w:t>号——收入》、《企业会计准则第</w:t>
              </w:r>
              <w:r>
                <w:rPr>
                  <w:rFonts w:hint="eastAsia"/>
                  <w:color w:val="000000" w:themeColor="text1"/>
                </w:rPr>
                <w:t>1</w:t>
              </w:r>
              <w:r>
                <w:rPr>
                  <w:rFonts w:hint="eastAsia"/>
                  <w:color w:val="000000" w:themeColor="text1"/>
                </w:rPr>
                <w:t>号——存货》等规定，对相关的收入和成本分别进行会计处理，计入当期损益。。</w:t>
              </w:r>
            </w:p>
          </w:sdtContent>
        </w:sdt>
        <w:p w14:paraId="4ADBD382" w14:textId="77777777" w:rsidR="005E000F" w:rsidRDefault="00000000"/>
      </w:sdtContent>
    </w:sdt>
    <w:p w14:paraId="6E4E0222" w14:textId="77777777" w:rsidR="005E000F" w:rsidRDefault="005E000F"/>
    <w:p w14:paraId="41B4BF5F" w14:textId="77777777" w:rsidR="005E000F" w:rsidRDefault="00000000">
      <w:pPr>
        <w:pStyle w:val="3"/>
        <w:numPr>
          <w:ilvl w:val="0"/>
          <w:numId w:val="59"/>
        </w:numPr>
        <w:rPr>
          <w:szCs w:val="21"/>
        </w:rPr>
      </w:pPr>
      <w:r>
        <w:rPr>
          <w:rFonts w:hint="eastAsia"/>
          <w:szCs w:val="21"/>
        </w:rPr>
        <w:t>长期资产减值</w:t>
      </w:r>
    </w:p>
    <w:sdt>
      <w:sdtPr>
        <w:rPr>
          <w:rFonts w:hint="eastAsia"/>
        </w:rPr>
        <w:alias w:val="是否适用：长期资产减值_重要会计政策和估计[双击切换]"/>
        <w:tag w:val="_GBC_e9110d6af45c4c0d808e2f284fadf642"/>
        <w:id w:val="1292862109"/>
        <w:placeholder>
          <w:docPart w:val="GBC22222222222222222222222222222"/>
        </w:placeholder>
      </w:sdtPr>
      <w:sdtContent>
        <w:p w14:paraId="4E1E8471"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非金融长期资产减值测试方法及会计处理方法"/>
        <w:tag w:val="_GBC_0a065c1269a846f6923598a2c1fc4269"/>
        <w:id w:val="804202779"/>
        <w:placeholder>
          <w:docPart w:val="GBC22222222222222222222222222222"/>
        </w:placeholder>
      </w:sdtPr>
      <w:sdtContent>
        <w:sdt>
          <w:sdtPr>
            <w:rPr>
              <w:rFonts w:hint="eastAsia"/>
              <w:color w:val="000000" w:themeColor="text1"/>
            </w:rPr>
            <w:alias w:val="非金融长期资产减值测试方法及会计处理方法"/>
            <w:tag w:val="_GBC_e8cb396d7101453b9e9cd1bc11b8633e"/>
            <w:id w:val="-722676359"/>
            <w:placeholder>
              <w:docPart w:val="{c92ca34b-af49-4a59-9ea6-f78c17de66c0}"/>
            </w:placeholder>
          </w:sdtPr>
          <w:sdtContent>
            <w:p w14:paraId="03CBB03B" w14:textId="77777777" w:rsidR="005E000F" w:rsidRDefault="00000000">
              <w:pPr>
                <w:rPr>
                  <w:color w:val="000000" w:themeColor="text1"/>
                </w:rPr>
              </w:pPr>
              <w:r>
                <w:rPr>
                  <w:rFonts w:hint="eastAsia"/>
                  <w:color w:val="000000" w:themeColor="text1"/>
                </w:rPr>
                <w:t>本集团于每一资产负债表</w:t>
              </w:r>
              <w:proofErr w:type="gramStart"/>
              <w:r>
                <w:rPr>
                  <w:rFonts w:hint="eastAsia"/>
                  <w:color w:val="000000" w:themeColor="text1"/>
                </w:rPr>
                <w:t>日根据</w:t>
              </w:r>
              <w:proofErr w:type="gramEnd"/>
              <w:r>
                <w:rPr>
                  <w:rFonts w:hint="eastAsia"/>
                  <w:color w:val="000000" w:themeColor="text1"/>
                </w:rPr>
                <w:t>内部及外部信息以确定下列资产是否存在减值迹象，包括长期股权投资、固定资产、在建工程、使用权资产、使用寿命有限的无形资产等项目进行检查，当存在减值迹象时，本集团进行减值测试。对商誉、使用寿命不确定的无形资产、尚未达到预定可使用状态的开发支出无论是否存在减值迹象，每年末均进行减值测试。</w:t>
              </w:r>
            </w:p>
            <w:p w14:paraId="38347E5B" w14:textId="77777777" w:rsidR="005E000F" w:rsidRDefault="005E000F">
              <w:pPr>
                <w:rPr>
                  <w:color w:val="000000" w:themeColor="text1"/>
                </w:rPr>
              </w:pPr>
            </w:p>
            <w:p w14:paraId="50E0485E" w14:textId="77777777" w:rsidR="005E000F" w:rsidRDefault="00000000">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）除金融资产之外的非流动资产减值（除商誉外）</w:t>
              </w:r>
            </w:p>
            <w:p w14:paraId="474519C9" w14:textId="77777777" w:rsidR="005E000F" w:rsidRDefault="005E000F">
              <w:pPr>
                <w:rPr>
                  <w:color w:val="000000" w:themeColor="text1"/>
                </w:rPr>
              </w:pPr>
            </w:p>
            <w:p w14:paraId="40FB137A" w14:textId="77777777" w:rsidR="005E000F" w:rsidRDefault="00000000">
              <w:pPr>
                <w:rPr>
                  <w:color w:val="000000" w:themeColor="text1"/>
                </w:rPr>
              </w:pPr>
              <w:r>
                <w:rPr>
                  <w:rFonts w:hint="eastAsia"/>
                  <w:color w:val="000000" w:themeColor="text1"/>
                </w:rPr>
                <w:t>本集团在进行减值测试时，按照资产的公允价值减去处置费用后的净额与资产预计未来现金流量的现值两者之间的较高者确定其可收回金额。减值测试后，若该资产的账面价值超过其可收回金额，其差额确认为减值损失。</w:t>
              </w:r>
            </w:p>
            <w:p w14:paraId="7B2718E4" w14:textId="77777777" w:rsidR="005E000F" w:rsidRDefault="005E000F">
              <w:pPr>
                <w:rPr>
                  <w:color w:val="000000" w:themeColor="text1"/>
                </w:rPr>
              </w:pPr>
            </w:p>
            <w:p w14:paraId="25F2E069" w14:textId="77777777" w:rsidR="005E000F" w:rsidRDefault="00000000">
              <w:pPr>
                <w:rPr>
                  <w:color w:val="000000" w:themeColor="text1"/>
                </w:rPr>
              </w:pPr>
              <w:r>
                <w:rPr>
                  <w:rFonts w:hint="eastAsia"/>
                  <w:color w:val="000000" w:themeColor="text1"/>
                </w:rPr>
                <w:t>可收回金额是指资产</w:t>
              </w:r>
              <w:r>
                <w:rPr>
                  <w:rFonts w:hint="eastAsia"/>
                  <w:color w:val="000000" w:themeColor="text1"/>
                </w:rPr>
                <w:t>(</w:t>
              </w:r>
              <w:r>
                <w:rPr>
                  <w:rFonts w:hint="eastAsia"/>
                  <w:color w:val="000000" w:themeColor="text1"/>
                </w:rPr>
                <w:t>或资产组、资产组组合，下同</w:t>
              </w:r>
              <w:r>
                <w:rPr>
                  <w:rFonts w:hint="eastAsia"/>
                  <w:color w:val="000000" w:themeColor="text1"/>
                </w:rPr>
                <w:t>)</w:t>
              </w:r>
              <w:r>
                <w:rPr>
                  <w:rFonts w:hint="eastAsia"/>
                  <w:color w:val="000000" w:themeColor="text1"/>
                </w:rPr>
                <w:t>的公允价值减去处置费用后的净额与资产预计未来现金流量的现值两者之间较高者。资产组由创造现金流入相关的资产组成，是可以认定的最小资产组合，其产生的现金流入基本上独立于其他资产或者资产组。资产预计未来现金流量的现值，按照资产在持续使用过程中和最终处置时所产生的预计未来现金流量，选择恰当的税前折现率对其进行折现后的金额加以确定。可收回金额的估计结果表明，资产的可收回金额低于其账面价值的，资产的账面价值会</w:t>
              </w:r>
              <w:proofErr w:type="gramStart"/>
              <w:r>
                <w:rPr>
                  <w:rFonts w:hint="eastAsia"/>
                  <w:color w:val="000000" w:themeColor="text1"/>
                </w:rPr>
                <w:t>减记至</w:t>
              </w:r>
              <w:proofErr w:type="gramEnd"/>
              <w:r>
                <w:rPr>
                  <w:rFonts w:hint="eastAsia"/>
                  <w:color w:val="000000" w:themeColor="text1"/>
                </w:rPr>
                <w:t>可收回金额，</w:t>
              </w:r>
              <w:proofErr w:type="gramStart"/>
              <w:r>
                <w:rPr>
                  <w:rFonts w:hint="eastAsia"/>
                  <w:color w:val="000000" w:themeColor="text1"/>
                </w:rPr>
                <w:t>减记的</w:t>
              </w:r>
              <w:proofErr w:type="gramEnd"/>
              <w:r>
                <w:rPr>
                  <w:rFonts w:hint="eastAsia"/>
                  <w:color w:val="000000" w:themeColor="text1"/>
                </w:rPr>
                <w:t>金额确认为资产减值损失，计入当期损</w:t>
              </w:r>
              <w:r>
                <w:rPr>
                  <w:rFonts w:hint="eastAsia"/>
                  <w:color w:val="000000" w:themeColor="text1"/>
                </w:rPr>
                <w:lastRenderedPageBreak/>
                <w:t>益，同时计提相应的资产减值准备。与资产组或者资产组组合相关的减值损失，先抵减分摊至该资产组或者资产组组合中商誉的账面价值，再根据资产组或者资产组组合中除商誉之外的其他各项资产的账面价值所占比重，按比例抵减其他各项资产的账面价值，但抵减后的各资产的账面价值不得低于该资产的公允价值减去处置费用后的净额</w:t>
              </w:r>
              <w:r>
                <w:rPr>
                  <w:rFonts w:hint="eastAsia"/>
                  <w:color w:val="000000" w:themeColor="text1"/>
                </w:rPr>
                <w:t>(</w:t>
              </w:r>
              <w:r>
                <w:rPr>
                  <w:rFonts w:hint="eastAsia"/>
                  <w:color w:val="000000" w:themeColor="text1"/>
                </w:rPr>
                <w:t>如可确定的</w:t>
              </w:r>
              <w:r>
                <w:rPr>
                  <w:rFonts w:hint="eastAsia"/>
                  <w:color w:val="000000" w:themeColor="text1"/>
                </w:rPr>
                <w:t>)</w:t>
              </w:r>
              <w:r>
                <w:rPr>
                  <w:rFonts w:hint="eastAsia"/>
                  <w:color w:val="000000" w:themeColor="text1"/>
                </w:rPr>
                <w:t>、该资产预计未来现金流量的现值</w:t>
              </w:r>
              <w:r>
                <w:rPr>
                  <w:rFonts w:hint="eastAsia"/>
                  <w:color w:val="000000" w:themeColor="text1"/>
                </w:rPr>
                <w:t>(</w:t>
              </w:r>
              <w:r>
                <w:rPr>
                  <w:rFonts w:hint="eastAsia"/>
                  <w:color w:val="000000" w:themeColor="text1"/>
                </w:rPr>
                <w:t>如可确定的</w:t>
              </w:r>
              <w:r>
                <w:rPr>
                  <w:rFonts w:hint="eastAsia"/>
                  <w:color w:val="000000" w:themeColor="text1"/>
                </w:rPr>
                <w:t>)</w:t>
              </w:r>
              <w:r>
                <w:rPr>
                  <w:rFonts w:hint="eastAsia"/>
                  <w:color w:val="000000" w:themeColor="text1"/>
                </w:rPr>
                <w:t>和零三者之中最高者。资产减值损失一经确认，在以后会计期间不会转回。</w:t>
              </w:r>
            </w:p>
            <w:p w14:paraId="7197E01A" w14:textId="77777777" w:rsidR="005E000F" w:rsidRDefault="005E000F">
              <w:pPr>
                <w:rPr>
                  <w:color w:val="000000" w:themeColor="text1"/>
                </w:rPr>
              </w:pPr>
            </w:p>
            <w:p w14:paraId="6A7D3BFB" w14:textId="77777777" w:rsidR="005E000F" w:rsidRDefault="00000000">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）商誉减值</w:t>
              </w:r>
            </w:p>
            <w:p w14:paraId="6172F3CF" w14:textId="77777777" w:rsidR="005E000F" w:rsidRDefault="005E000F">
              <w:pPr>
                <w:rPr>
                  <w:color w:val="000000" w:themeColor="text1"/>
                </w:rPr>
              </w:pPr>
            </w:p>
            <w:p w14:paraId="12002E0F" w14:textId="77777777" w:rsidR="005E000F" w:rsidRDefault="00000000">
              <w:pPr>
                <w:rPr>
                  <w:color w:val="000000" w:themeColor="text1"/>
                </w:rPr>
              </w:pPr>
              <w:r>
                <w:rPr>
                  <w:rFonts w:hint="eastAsia"/>
                  <w:color w:val="000000" w:themeColor="text1"/>
                </w:rPr>
                <w:t>本集团对企业合并形成的商誉，自购买日起将其账面价值按照合理的方法分摊至相关的资产组，难以分摊至相关的资产组的分摊至相关的资产组组合。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再对包含商誉的资产组或者资产组组合进行减值测试，比较账面价值与可收回金额，如可收回金额低于账面价值的，减值损失金额首先抵减分摊</w:t>
              </w:r>
              <w:proofErr w:type="gramStart"/>
              <w:r>
                <w:rPr>
                  <w:rFonts w:hint="eastAsia"/>
                  <w:color w:val="000000" w:themeColor="text1"/>
                </w:rPr>
                <w:t>至资产组</w:t>
              </w:r>
              <w:proofErr w:type="gramEnd"/>
              <w:r>
                <w:rPr>
                  <w:rFonts w:hint="eastAsia"/>
                  <w:color w:val="000000" w:themeColor="text1"/>
                </w:rPr>
                <w:t>或者资产组组合中商誉的账面价值，再根据资产组或者资产组组合中除商誉之外的其他各项资产的账面价值所占比重，按比例抵减其他各项资产的账面价值。</w:t>
              </w:r>
            </w:p>
            <w:p w14:paraId="2BF3B178" w14:textId="77777777" w:rsidR="005E000F" w:rsidRDefault="005E000F">
              <w:pPr>
                <w:rPr>
                  <w:color w:val="000000" w:themeColor="text1"/>
                </w:rPr>
              </w:pPr>
            </w:p>
            <w:p w14:paraId="3EEC0F07" w14:textId="77777777" w:rsidR="005E000F" w:rsidRDefault="00000000">
              <w:r>
                <w:rPr>
                  <w:rFonts w:hint="eastAsia"/>
                  <w:color w:val="000000" w:themeColor="text1"/>
                </w:rPr>
                <w:t>上述资产的减值损失一经确认，在以后会计期间不予转回。</w:t>
              </w:r>
            </w:p>
          </w:sdtContent>
        </w:sdt>
      </w:sdtContent>
    </w:sdt>
    <w:p w14:paraId="01094F7F" w14:textId="77777777" w:rsidR="005E000F" w:rsidRDefault="005E000F"/>
    <w:p w14:paraId="5D3B6758" w14:textId="77777777" w:rsidR="005E000F" w:rsidRDefault="00000000">
      <w:pPr>
        <w:pStyle w:val="3"/>
        <w:numPr>
          <w:ilvl w:val="0"/>
          <w:numId w:val="59"/>
        </w:numPr>
      </w:pPr>
      <w:r>
        <w:t>长期待摊费用</w:t>
      </w:r>
    </w:p>
    <w:sdt>
      <w:sdtPr>
        <w:rPr>
          <w:rFonts w:hint="eastAsia"/>
        </w:rPr>
        <w:alias w:val="是否适用：长期待摊费用_重要会计政策和估计[双击切换]"/>
        <w:tag w:val="_GBC_5f2bbee5e66644d489f8d74ae8f96539"/>
        <w:id w:val="1341968269"/>
        <w:placeholder>
          <w:docPart w:val="GBC22222222222222222222222222222"/>
        </w:placeholder>
      </w:sdtPr>
      <w:sdtContent>
        <w:p w14:paraId="4AF87B41"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开办费、长期待摊费用摊销方法"/>
        <w:tag w:val="_GBC_a0e2b7a5a9454eaea97ca201421d7dde"/>
        <w:id w:val="-1450004974"/>
        <w:placeholder>
          <w:docPart w:val="GBC22222222222222222222222222222"/>
        </w:placeholder>
      </w:sdtPr>
      <w:sdtContent>
        <w:sdt>
          <w:sdtPr>
            <w:rPr>
              <w:rFonts w:hint="eastAsia"/>
              <w:color w:val="000000" w:themeColor="text1"/>
            </w:rPr>
            <w:alias w:val="开办费、长期待摊费用摊销方法"/>
            <w:tag w:val="_GBC_e4e695ce4aea4c878acb6f8ad7190139"/>
            <w:id w:val="-1030493151"/>
            <w:placeholder>
              <w:docPart w:val="{b281d83d-58e1-4fc4-a37d-97dc821e9a34}"/>
            </w:placeholder>
          </w:sdtPr>
          <w:sdtContent>
            <w:p w14:paraId="399D3B37" w14:textId="77777777" w:rsidR="005E000F" w:rsidRDefault="00000000">
              <w:pPr>
                <w:rPr>
                  <w:kern w:val="2"/>
                </w:rPr>
              </w:pPr>
              <w:r>
                <w:rPr>
                  <w:rFonts w:hint="eastAsia"/>
                  <w:color w:val="000000" w:themeColor="text1"/>
                </w:rPr>
                <w:t>本集团将已发生且受益期在一年以上的各项费用确认为长期待摊费用。长期待摊费用以成本减累计摊销及减值准备在资产负债表内列示。</w:t>
              </w:r>
            </w:p>
          </w:sdtContent>
        </w:sdt>
      </w:sdtContent>
    </w:sdt>
    <w:p w14:paraId="5FF57536" w14:textId="77777777" w:rsidR="005E000F" w:rsidRDefault="005E000F"/>
    <w:p w14:paraId="669E765A" w14:textId="77777777" w:rsidR="005E000F" w:rsidRDefault="00000000">
      <w:pPr>
        <w:pStyle w:val="3"/>
        <w:numPr>
          <w:ilvl w:val="0"/>
          <w:numId w:val="59"/>
        </w:numPr>
        <w:rPr>
          <w:szCs w:val="21"/>
        </w:rPr>
      </w:pPr>
      <w:bookmarkStart w:id="251" w:name="_Hlk533668008"/>
      <w:r>
        <w:rPr>
          <w:rFonts w:hint="eastAsia"/>
          <w:szCs w:val="21"/>
        </w:rPr>
        <w:t>合同负债</w:t>
      </w:r>
    </w:p>
    <w:sdt>
      <w:sdtPr>
        <w:alias w:val="是否适用：合同负债的确定方法、摊销方法和减值测试方法[双击切换]"/>
        <w:tag w:val="_GBC_1d0f6a0a7f304d3f94158c9d73a7239a"/>
        <w:id w:val="1313836865"/>
        <w:placeholder>
          <w:docPart w:val="GBC22222222222222222222222222222"/>
        </w:placeholder>
      </w:sdtPr>
      <w:sdtContent>
        <w:p w14:paraId="682F3D7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合同负债的确定方法、摊销方法和减值测试方法"/>
        <w:tag w:val="_GBC_0555b9144f6c494282d03f175d2fa19d"/>
        <w:id w:val="158192652"/>
        <w:placeholder>
          <w:docPart w:val="GBC22222222222222222222222222222"/>
        </w:placeholder>
      </w:sdtPr>
      <w:sdtContent>
        <w:p w14:paraId="77554E0C" w14:textId="77777777" w:rsidR="005E000F" w:rsidRDefault="00000000">
          <w:pPr>
            <w:rPr>
              <w:color w:val="000000" w:themeColor="text1"/>
            </w:rPr>
          </w:pPr>
          <w:r>
            <w:rPr>
              <w:rFonts w:hint="eastAsia"/>
              <w:color w:val="000000" w:themeColor="text1"/>
            </w:rPr>
            <w:t>合同负债反映公司已收或应收客户对价而应向客户转让商品的义务。</w:t>
          </w:r>
        </w:p>
        <w:p w14:paraId="1EA02A6E" w14:textId="77777777" w:rsidR="005E000F" w:rsidRDefault="00000000">
          <w:pPr>
            <w:rPr>
              <w:color w:val="000000" w:themeColor="text1"/>
            </w:rPr>
          </w:pPr>
          <w:r>
            <w:rPr>
              <w:rFonts w:hint="eastAsia"/>
              <w:color w:val="000000" w:themeColor="text1"/>
            </w:rPr>
            <w:t>同一合同下的合同资产和合同负债以净额列示。</w:t>
          </w:r>
        </w:p>
      </w:sdtContent>
    </w:sdt>
    <w:p w14:paraId="01889269" w14:textId="77777777" w:rsidR="005E000F" w:rsidRDefault="005E000F"/>
    <w:bookmarkEnd w:id="251"/>
    <w:p w14:paraId="6F656E74" w14:textId="77777777" w:rsidR="005E000F" w:rsidRDefault="00000000">
      <w:pPr>
        <w:pStyle w:val="3"/>
        <w:numPr>
          <w:ilvl w:val="0"/>
          <w:numId w:val="59"/>
        </w:numPr>
      </w:pPr>
      <w:r>
        <w:rPr>
          <w:rFonts w:hint="eastAsia"/>
        </w:rPr>
        <w:t>职工薪</w:t>
      </w:r>
      <w:proofErr w:type="gramStart"/>
      <w:r>
        <w:rPr>
          <w:rFonts w:hint="eastAsia"/>
        </w:rPr>
        <w:t>酬</w:t>
      </w:r>
      <w:proofErr w:type="gramEnd"/>
    </w:p>
    <w:p w14:paraId="214B4DB5" w14:textId="77777777" w:rsidR="005E000F" w:rsidRDefault="00000000">
      <w:r>
        <w:rPr>
          <w:rFonts w:hint="eastAsia"/>
        </w:rPr>
        <w:t>本集团职工薪</w:t>
      </w:r>
      <w:proofErr w:type="gramStart"/>
      <w:r>
        <w:rPr>
          <w:rFonts w:hint="eastAsia"/>
        </w:rPr>
        <w:t>酬</w:t>
      </w:r>
      <w:proofErr w:type="gramEnd"/>
      <w:r>
        <w:rPr>
          <w:rFonts w:hint="eastAsia"/>
        </w:rPr>
        <w:t>包括短期薪酬、离职后福利、辞退福利和其他长期福利。</w:t>
      </w:r>
    </w:p>
    <w:p w14:paraId="60F0D79E" w14:textId="77777777" w:rsidR="005E000F" w:rsidRDefault="00000000">
      <w:pPr>
        <w:pStyle w:val="4"/>
        <w:numPr>
          <w:ilvl w:val="3"/>
          <w:numId w:val="63"/>
        </w:numPr>
        <w:ind w:left="426" w:hanging="426"/>
      </w:pPr>
      <w:r>
        <w:rPr>
          <w:rFonts w:hint="eastAsia"/>
        </w:rPr>
        <w:t>短期薪酬的会计处理方法</w:t>
      </w:r>
    </w:p>
    <w:sdt>
      <w:sdtPr>
        <w:rPr>
          <w:rFonts w:hint="eastAsia"/>
        </w:rPr>
        <w:alias w:val="是否适用：短期薪酬的会计处理方法[双击切换]"/>
        <w:tag w:val="_GBC_efadddc5ff4a48fb9432574c3528c6b3"/>
        <w:id w:val="996992064"/>
        <w:placeholder>
          <w:docPart w:val="GBC22222222222222222222222222222"/>
        </w:placeholder>
      </w:sdtPr>
      <w:sdtContent>
        <w:p w14:paraId="128CB173"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短期薪酬的会计处理方法"/>
        <w:tag w:val="_GBC_8fdf44b194ac45fb945d36b9896df796"/>
        <w:id w:val="-645047302"/>
        <w:placeholder>
          <w:docPart w:val="GBC22222222222222222222222222222"/>
        </w:placeholder>
      </w:sdtPr>
      <w:sdtContent>
        <w:sdt>
          <w:sdtPr>
            <w:rPr>
              <w:color w:val="000000" w:themeColor="text1"/>
            </w:rPr>
            <w:alias w:val="短期薪酬的会计处理方法"/>
            <w:tag w:val="_GBC_8fdf44b194ac45fb945d36b9896df796"/>
            <w:id w:val="-371914644"/>
            <w:placeholder>
              <w:docPart w:val="{bc10e724-5e63-4cce-bf1e-e6be95ae7f2a}"/>
            </w:placeholder>
          </w:sdtPr>
          <w:sdtContent>
            <w:p w14:paraId="3A805594" w14:textId="77777777" w:rsidR="005E000F" w:rsidRDefault="00000000">
              <w:r>
                <w:rPr>
                  <w:rFonts w:hint="eastAsia"/>
                  <w:color w:val="000000" w:themeColor="text1"/>
                </w:rPr>
                <w:t>本集团在职工提供服务的会计期间，将实际发生或按规定的基准和比例计提的职工工资、奖金、医疗保险费和工伤保险费等社会保险费和住房公积金，确认为负债，并按照受益对象计入当期损益或相关资产成本。</w:t>
              </w:r>
            </w:p>
          </w:sdtContent>
        </w:sdt>
      </w:sdtContent>
    </w:sdt>
    <w:p w14:paraId="685FEF92" w14:textId="77777777" w:rsidR="005E000F" w:rsidRDefault="005E000F"/>
    <w:p w14:paraId="4376A7F4" w14:textId="77777777" w:rsidR="005E000F" w:rsidRDefault="00000000">
      <w:pPr>
        <w:pStyle w:val="4"/>
        <w:numPr>
          <w:ilvl w:val="3"/>
          <w:numId w:val="63"/>
        </w:numPr>
        <w:ind w:left="426" w:hanging="426"/>
      </w:pPr>
      <w:r>
        <w:rPr>
          <w:rFonts w:hint="eastAsia"/>
        </w:rPr>
        <w:t>离职后福利的会计处理方法</w:t>
      </w:r>
    </w:p>
    <w:sdt>
      <w:sdtPr>
        <w:rPr>
          <w:rFonts w:hint="eastAsia"/>
        </w:rPr>
        <w:alias w:val="是否适用：离职后福利的会计处理方法[双击切换]"/>
        <w:tag w:val="_GBC_64248844b1544474ae8d85d08e7479af"/>
        <w:id w:val="-699553502"/>
        <w:placeholder>
          <w:docPart w:val="GBC22222222222222222222222222222"/>
        </w:placeholder>
      </w:sdtPr>
      <w:sdtContent>
        <w:p w14:paraId="3A161568"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离职后福利的会计处理方法"/>
        <w:tag w:val="_GBC_3b0bafa6ef784ba99c829e2f60cf828e"/>
        <w:id w:val="-549301968"/>
        <w:placeholder>
          <w:docPart w:val="GBC22222222222222222222222222222"/>
        </w:placeholder>
      </w:sdtPr>
      <w:sdtContent>
        <w:sdt>
          <w:sdtPr>
            <w:rPr>
              <w:color w:val="000000" w:themeColor="text1"/>
            </w:rPr>
            <w:alias w:val="离职后福利的会计处理方法"/>
            <w:tag w:val="_GBC_3b0bafa6ef784ba99c829e2f60cf828e"/>
            <w:id w:val="-1414697532"/>
            <w:placeholder>
              <w:docPart w:val="{8571046d-f5fa-4d9c-9f4c-a5586e0959e2}"/>
            </w:placeholder>
          </w:sdtPr>
          <w:sdtContent>
            <w:p w14:paraId="7C40017B" w14:textId="77777777" w:rsidR="005E000F" w:rsidRDefault="00000000">
              <w:pPr>
                <w:rPr>
                  <w:color w:val="000000" w:themeColor="text1"/>
                </w:rPr>
              </w:pPr>
              <w:r>
                <w:rPr>
                  <w:rFonts w:hint="eastAsia"/>
                  <w:color w:val="000000" w:themeColor="text1"/>
                </w:rPr>
                <w:t>离职后福利主要包括基本养老保险费、失业保险费、企业年金等，按照公司承担的风险和义务，分类为设定提存计划、设定受益计划。</w:t>
              </w:r>
            </w:p>
            <w:p w14:paraId="3E85CF8F" w14:textId="77777777" w:rsidR="005E000F" w:rsidRDefault="005E000F">
              <w:pPr>
                <w:rPr>
                  <w:color w:val="000000" w:themeColor="text1"/>
                </w:rPr>
              </w:pPr>
            </w:p>
            <w:p w14:paraId="2E786ECD" w14:textId="77777777" w:rsidR="005E000F" w:rsidRDefault="00000000">
              <w:pPr>
                <w:rPr>
                  <w:color w:val="000000" w:themeColor="text1"/>
                </w:rPr>
              </w:pPr>
              <w:r>
                <w:rPr>
                  <w:rFonts w:hint="eastAsia"/>
                  <w:color w:val="000000" w:themeColor="text1"/>
                </w:rPr>
                <w:t>本集团所参与的设定提存计划是按照中国有关法规要求，本集团职工参加的由政府机构设立管理的社会保障体系中的基本养老保险。基本养老保险的缴费金额按国家规定的基准和比例计算。本集团在职工提供服务的会计期间，将应缴存的金额确认为负债，并按照受益对象计入当期损益或相关资产本。</w:t>
              </w:r>
            </w:p>
            <w:p w14:paraId="5D3F7DBF" w14:textId="77777777" w:rsidR="005E000F" w:rsidRDefault="005E000F">
              <w:pPr>
                <w:rPr>
                  <w:color w:val="000000" w:themeColor="text1"/>
                </w:rPr>
              </w:pPr>
            </w:p>
            <w:p w14:paraId="67C7E8F8" w14:textId="77777777" w:rsidR="005E000F" w:rsidRDefault="00000000">
              <w:pPr>
                <w:rPr>
                  <w:color w:val="000000" w:themeColor="text1"/>
                </w:rPr>
              </w:pPr>
              <w:r>
                <w:rPr>
                  <w:rFonts w:hint="eastAsia"/>
                  <w:color w:val="000000" w:themeColor="text1"/>
                </w:rPr>
                <w:lastRenderedPageBreak/>
                <w:t>根据第二届董事会第六次和第七次会议通过的建立企业年金制度的决议，本集团于</w:t>
              </w:r>
              <w:r>
                <w:rPr>
                  <w:rFonts w:hint="eastAsia"/>
                  <w:color w:val="000000" w:themeColor="text1"/>
                </w:rPr>
                <w:t>2008</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1</w:t>
              </w:r>
              <w:r>
                <w:rPr>
                  <w:rFonts w:hint="eastAsia"/>
                  <w:color w:val="000000" w:themeColor="text1"/>
                </w:rPr>
                <w:t>日起开始计提企业年金。根据《大秦铁路股份有限公司企业年金方案》，企业年金由企业和职工个人共同缴纳。企业缴费从成本</w:t>
              </w:r>
              <w:r>
                <w:rPr>
                  <w:rFonts w:hint="eastAsia"/>
                  <w:color w:val="000000" w:themeColor="text1"/>
                </w:rPr>
                <w:t>(</w:t>
              </w:r>
              <w:r>
                <w:rPr>
                  <w:rFonts w:hint="eastAsia"/>
                  <w:color w:val="000000" w:themeColor="text1"/>
                </w:rPr>
                <w:t>费用</w:t>
              </w:r>
              <w:r>
                <w:rPr>
                  <w:rFonts w:hint="eastAsia"/>
                  <w:color w:val="000000" w:themeColor="text1"/>
                </w:rPr>
                <w:t>)</w:t>
              </w:r>
              <w:r>
                <w:rPr>
                  <w:rFonts w:hint="eastAsia"/>
                  <w:color w:val="000000" w:themeColor="text1"/>
                </w:rPr>
                <w:t>中列支；职工个人缴费根据工龄确定，并根据本集团职工工资增长情况适时予以调整。本集团企业年金计划采用理事会受托管理模式，委托企业年金理事会管理企业年金基金。</w:t>
              </w:r>
            </w:p>
            <w:p w14:paraId="7B415119" w14:textId="77777777" w:rsidR="005E000F" w:rsidRDefault="005E000F">
              <w:pPr>
                <w:rPr>
                  <w:color w:val="000000" w:themeColor="text1"/>
                </w:rPr>
              </w:pPr>
            </w:p>
            <w:p w14:paraId="13D13893" w14:textId="77777777" w:rsidR="005E000F" w:rsidRDefault="00000000">
              <w:pPr>
                <w:rPr>
                  <w:color w:val="000000" w:themeColor="text1"/>
                </w:rPr>
              </w:pPr>
              <w:r>
                <w:rPr>
                  <w:rFonts w:hint="eastAsia"/>
                  <w:color w:val="000000" w:themeColor="text1"/>
                </w:rPr>
                <w:t>本集团的设定受益计划是企业承担的对离退休员工及在职员工支付其未来退休后国家规定的保险制度以外的补充退休福利。</w:t>
              </w:r>
            </w:p>
            <w:p w14:paraId="5C74290E" w14:textId="77777777" w:rsidR="005E000F" w:rsidRDefault="005E000F">
              <w:pPr>
                <w:rPr>
                  <w:color w:val="000000" w:themeColor="text1"/>
                </w:rPr>
              </w:pPr>
            </w:p>
            <w:p w14:paraId="6F57ED21" w14:textId="77777777" w:rsidR="005E000F" w:rsidRDefault="00000000">
              <w:pPr>
                <w:rPr>
                  <w:color w:val="000000" w:themeColor="text1"/>
                </w:rPr>
              </w:pPr>
              <w:r>
                <w:rPr>
                  <w:rFonts w:hint="eastAsia"/>
                  <w:color w:val="000000" w:themeColor="text1"/>
                </w:rPr>
                <w:t>本集团根据预期累计福利单位法，采用</w:t>
              </w:r>
              <w:proofErr w:type="gramStart"/>
              <w:r>
                <w:rPr>
                  <w:rFonts w:hint="eastAsia"/>
                  <w:color w:val="000000" w:themeColor="text1"/>
                </w:rPr>
                <w:t>无偏且相互</w:t>
              </w:r>
              <w:proofErr w:type="gramEnd"/>
              <w:r>
                <w:rPr>
                  <w:rFonts w:hint="eastAsia"/>
                  <w:color w:val="000000" w:themeColor="text1"/>
                </w:rPr>
                <w:t>一致的精算假设对有关人口统计变量和财务变量等做出估计，计量设定受益计划所产生的义务，然后将其予以折现后的现值确认为一项设定受益计划负债。</w:t>
              </w:r>
            </w:p>
            <w:p w14:paraId="1B30EC2C" w14:textId="77777777" w:rsidR="005E000F" w:rsidRDefault="005E000F">
              <w:pPr>
                <w:rPr>
                  <w:color w:val="000000" w:themeColor="text1"/>
                </w:rPr>
              </w:pPr>
            </w:p>
            <w:p w14:paraId="3EE11E17" w14:textId="77777777" w:rsidR="005E000F" w:rsidRDefault="00000000">
              <w:r>
                <w:rPr>
                  <w:rFonts w:hint="eastAsia"/>
                  <w:color w:val="000000" w:themeColor="text1"/>
                </w:rPr>
                <w:t>本集团将设定受益计划产生的福利义务归属于职工提供服务的期间，对属于服务成本和设定受益计划负债的利息费用计入当期损益或相关资产成本，对属于重新计量设定受益计划负债所产生的变动计入其他综合收益。</w:t>
              </w:r>
            </w:p>
          </w:sdtContent>
        </w:sdt>
      </w:sdtContent>
    </w:sdt>
    <w:p w14:paraId="5D4C247B" w14:textId="77777777" w:rsidR="005E000F" w:rsidRDefault="005E000F"/>
    <w:p w14:paraId="4D207181" w14:textId="77777777" w:rsidR="005E000F" w:rsidRDefault="00000000">
      <w:pPr>
        <w:pStyle w:val="4"/>
        <w:numPr>
          <w:ilvl w:val="3"/>
          <w:numId w:val="63"/>
        </w:numPr>
        <w:ind w:left="426" w:hanging="426"/>
      </w:pPr>
      <w:r>
        <w:rPr>
          <w:rFonts w:hint="eastAsia"/>
        </w:rPr>
        <w:t>辞退福利的会计处理方法</w:t>
      </w:r>
    </w:p>
    <w:sdt>
      <w:sdtPr>
        <w:rPr>
          <w:rFonts w:hint="eastAsia"/>
        </w:rPr>
        <w:alias w:val="是否适用：辞退福利的会计处理方法[双击切换]"/>
        <w:tag w:val="_GBC_7a3bf6905df64c658fb0148a81f2964d"/>
        <w:id w:val="-362514878"/>
        <w:placeholder>
          <w:docPart w:val="GBC22222222222222222222222222222"/>
        </w:placeholder>
      </w:sdtPr>
      <w:sdtContent>
        <w:p w14:paraId="70AF2E23"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辞退福利的会计处理方法"/>
        <w:tag w:val="_GBC_a93705fb60b24bceb25c88a68ed87432"/>
        <w:id w:val="540472658"/>
        <w:placeholder>
          <w:docPart w:val="GBC22222222222222222222222222222"/>
        </w:placeholder>
      </w:sdtPr>
      <w:sdtContent>
        <w:sdt>
          <w:sdtPr>
            <w:rPr>
              <w:color w:val="000000" w:themeColor="text1"/>
            </w:rPr>
            <w:alias w:val="辞退福利的会计处理方法"/>
            <w:tag w:val="_GBC_a93705fb60b24bceb25c88a68ed87432"/>
            <w:id w:val="4796568"/>
            <w:placeholder>
              <w:docPart w:val="{98d76bbb-151e-4138-9d22-7af7f77768e0}"/>
            </w:placeholder>
          </w:sdtPr>
          <w:sdtContent>
            <w:p w14:paraId="0B89F179" w14:textId="77777777" w:rsidR="005E000F" w:rsidRDefault="00000000">
              <w:r>
                <w:rPr>
                  <w:rFonts w:hint="eastAsia"/>
                  <w:color w:val="000000" w:themeColor="text1"/>
                </w:rPr>
                <w:t>本集团在职工劳动合同到期之前解除与职工的劳动关系，或者为鼓励职工自愿接受裁减而提出给予补偿的建议，在下列两者</w:t>
              </w:r>
              <w:proofErr w:type="gramStart"/>
              <w:r>
                <w:rPr>
                  <w:rFonts w:hint="eastAsia"/>
                  <w:color w:val="000000" w:themeColor="text1"/>
                </w:rPr>
                <w:t>孰</w:t>
              </w:r>
              <w:proofErr w:type="gramEnd"/>
              <w:r>
                <w:rPr>
                  <w:rFonts w:hint="eastAsia"/>
                  <w:color w:val="000000" w:themeColor="text1"/>
                </w:rPr>
                <w:t>早日，确认辞退福利产生的负债，同时计入当期损益：本集团不能单方面撤回因解除劳动关系计划或裁减建议所提供的辞退福利时；本集团有详细、正式的涉及支付辞退福利的重组计划；并且，该重组计划已开始实施，或已向受其影响的各方通告了该计划的主要内容，从而使各方形成了对本集团将实施重组的合理预期时。</w:t>
              </w:r>
            </w:p>
          </w:sdtContent>
        </w:sdt>
      </w:sdtContent>
    </w:sdt>
    <w:p w14:paraId="46017311" w14:textId="77777777" w:rsidR="005E000F" w:rsidRDefault="005E000F"/>
    <w:p w14:paraId="40A83149" w14:textId="77777777" w:rsidR="005E000F" w:rsidRDefault="00000000">
      <w:pPr>
        <w:pStyle w:val="4"/>
        <w:numPr>
          <w:ilvl w:val="3"/>
          <w:numId w:val="63"/>
        </w:numPr>
        <w:ind w:left="426" w:hanging="426"/>
      </w:pPr>
      <w:r>
        <w:rPr>
          <w:rFonts w:hint="eastAsia"/>
        </w:rPr>
        <w:t>其他长期职工福利的会计处理方法</w:t>
      </w:r>
    </w:p>
    <w:sdt>
      <w:sdtPr>
        <w:rPr>
          <w:rFonts w:hint="eastAsia"/>
        </w:rPr>
        <w:alias w:val="是否适用：其他长期职工福利的会计处理方法[双击切换]"/>
        <w:tag w:val="_GBC_94d434167e154a30ad2071a069525a71"/>
        <w:id w:val="-1483997085"/>
        <w:placeholder>
          <w:docPart w:val="GBC22222222222222222222222222222"/>
        </w:placeholder>
      </w:sdtPr>
      <w:sdtContent>
        <w:p w14:paraId="0F779CC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AC56CC7" w14:textId="77777777" w:rsidR="005E000F" w:rsidRDefault="005E000F"/>
    <w:p w14:paraId="02EB183D" w14:textId="77777777" w:rsidR="005E000F" w:rsidRDefault="00000000">
      <w:pPr>
        <w:pStyle w:val="3"/>
        <w:numPr>
          <w:ilvl w:val="0"/>
          <w:numId w:val="59"/>
        </w:numPr>
      </w:pPr>
      <w:r>
        <w:t>预计负债</w:t>
      </w:r>
    </w:p>
    <w:sdt>
      <w:sdtPr>
        <w:rPr>
          <w:rFonts w:hint="eastAsia"/>
        </w:rPr>
        <w:alias w:val="是否适用：预计负债_重要会计政策和估计[双击切换]"/>
        <w:tag w:val="_GBC_546a7423773c46d2b57f08fc5fdbc638"/>
        <w:id w:val="2042155905"/>
        <w:placeholder>
          <w:docPart w:val="GBC22222222222222222222222222222"/>
        </w:placeholder>
      </w:sdtPr>
      <w:sdtContent>
        <w:p w14:paraId="100D9F1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rPr>
          <w:rFonts w:hint="eastAsia"/>
        </w:rPr>
        <w:alias w:val="预计负债的核算方法"/>
        <w:tag w:val="_GBC_d6934772e41e485d9e00e349486f9d7e"/>
        <w:id w:val="1940322883"/>
        <w:placeholder>
          <w:docPart w:val="510953F5AF1A429FBE2B596109C2C7CB"/>
        </w:placeholder>
      </w:sdtPr>
      <w:sdtContent>
        <w:p w14:paraId="759C573F" w14:textId="77777777" w:rsidR="005E000F" w:rsidRDefault="00000000">
          <w:r>
            <w:rPr>
              <w:rFonts w:hint="eastAsia"/>
            </w:rPr>
            <w:t>当与未决诉讼或仲裁、保证类质量保证等或有事项相关的业务同时符合以下条件时，本集团将其确认为负债：该义务是本集团承担的现时义务；该义务的履行很可能导致经济利益流出企业；该义务的金额能够可靠地计量。</w:t>
          </w:r>
        </w:p>
        <w:p w14:paraId="09CBF756" w14:textId="77777777" w:rsidR="005E000F" w:rsidRDefault="005E000F"/>
        <w:p w14:paraId="70DC63FF" w14:textId="77777777" w:rsidR="005E000F" w:rsidRDefault="00000000">
          <w:r>
            <w:rPr>
              <w:rFonts w:hint="eastAsia"/>
            </w:rPr>
            <w:t>预计负债按照履行相关现时义务所需支出的最佳估计数进行初始计量，并综合考虑与或有事项有关的风险、不确定性和货币时间价值等因素。本集团于资产负债表日对当前最佳估计数进行复核并对预计负债的账面价值进行调整。</w:t>
          </w:r>
        </w:p>
        <w:p w14:paraId="51F531F6" w14:textId="77777777" w:rsidR="005E000F" w:rsidRDefault="005E000F"/>
        <w:p w14:paraId="468A7BD0" w14:textId="77777777" w:rsidR="005E000F" w:rsidRDefault="00000000">
          <w:r>
            <w:rPr>
              <w:rFonts w:hint="eastAsia"/>
            </w:rPr>
            <w:t>预期在资产负债表日起一年内需支付的预计负债，列报为流动负债。</w:t>
          </w:r>
        </w:p>
        <w:p w14:paraId="49BCC569" w14:textId="77777777" w:rsidR="005E000F" w:rsidRDefault="005E000F"/>
        <w:p w14:paraId="69EE27BB" w14:textId="77777777" w:rsidR="005E000F" w:rsidRDefault="00000000">
          <w:r>
            <w:rPr>
              <w:rFonts w:hint="eastAsia"/>
            </w:rPr>
            <w:t>非同</w:t>
          </w:r>
          <w:proofErr w:type="gramStart"/>
          <w:r>
            <w:rPr>
              <w:rFonts w:hint="eastAsia"/>
            </w:rPr>
            <w:t>一控制</w:t>
          </w:r>
          <w:proofErr w:type="gramEnd"/>
          <w:r>
            <w:rPr>
              <w:rFonts w:hint="eastAsia"/>
            </w:rPr>
            <w:t>下企业合并中取得的被购买方或有负债在初始确认时按照公允价值计量，在初始确认后，按照预计负债确认的金额，和初始确认金额扣除收入确认原则确定的累计摊销额后的余额，以两者之中的较高者进行后续计量。</w:t>
          </w:r>
        </w:p>
        <w:p w14:paraId="707721EC" w14:textId="77777777" w:rsidR="005E000F" w:rsidRDefault="00000000"/>
      </w:sdtContent>
    </w:sdt>
    <w:p w14:paraId="255D57A4" w14:textId="77777777" w:rsidR="005E000F" w:rsidRDefault="00000000">
      <w:pPr>
        <w:pStyle w:val="3"/>
        <w:numPr>
          <w:ilvl w:val="0"/>
          <w:numId w:val="59"/>
        </w:numPr>
      </w:pPr>
      <w:r>
        <w:rPr>
          <w:rFonts w:hint="eastAsia"/>
        </w:rPr>
        <w:t>股份支付</w:t>
      </w:r>
    </w:p>
    <w:sdt>
      <w:sdtPr>
        <w:rPr>
          <w:rFonts w:hint="eastAsia"/>
        </w:rPr>
        <w:alias w:val="是否适用：股份支付_重要会计政策和估计[双击切换]"/>
        <w:tag w:val="_GBC_7741eb89da65434190830ba1cd87e4dc"/>
        <w:id w:val="1478188280"/>
        <w:placeholder>
          <w:docPart w:val="GBC22222222222222222222222222222"/>
        </w:placeholder>
      </w:sdtPr>
      <w:sdtContent>
        <w:p w14:paraId="08F800A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3CCFFF" w14:textId="77777777" w:rsidR="005E000F" w:rsidRDefault="005E000F"/>
    <w:p w14:paraId="11042343" w14:textId="77777777" w:rsidR="005E000F" w:rsidRDefault="00000000">
      <w:pPr>
        <w:pStyle w:val="3"/>
        <w:numPr>
          <w:ilvl w:val="0"/>
          <w:numId w:val="59"/>
        </w:numPr>
      </w:pPr>
      <w:r>
        <w:rPr>
          <w:rFonts w:hint="eastAsia"/>
        </w:rPr>
        <w:lastRenderedPageBreak/>
        <w:t>优先股、永续债等其他金融工具</w:t>
      </w:r>
    </w:p>
    <w:sdt>
      <w:sdtPr>
        <w:rPr>
          <w:rFonts w:hint="eastAsia"/>
        </w:rPr>
        <w:alias w:val="是否适用：优先股、永续债等其他金融工具[双击切换]"/>
        <w:tag w:val="_GBC_00e1aed4ff2c40d6bda73971e87d6eb8"/>
        <w:id w:val="734506806"/>
        <w:placeholder>
          <w:docPart w:val="GBC22222222222222222222222222222"/>
        </w:placeholder>
      </w:sdtPr>
      <w:sdtContent>
        <w:p w14:paraId="66C9689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7BEBCAD" w14:textId="77777777" w:rsidR="005E000F" w:rsidRDefault="005E000F"/>
    <w:p w14:paraId="4B5925CB" w14:textId="77777777" w:rsidR="005E000F" w:rsidRDefault="00000000">
      <w:pPr>
        <w:pStyle w:val="3"/>
        <w:numPr>
          <w:ilvl w:val="0"/>
          <w:numId w:val="59"/>
        </w:numPr>
        <w:rPr>
          <w:szCs w:val="21"/>
        </w:rPr>
      </w:pPr>
      <w:bookmarkStart w:id="252" w:name="_Hlk533668053"/>
      <w:r>
        <w:rPr>
          <w:rFonts w:hint="eastAsia"/>
          <w:szCs w:val="21"/>
        </w:rPr>
        <w:t>收入</w:t>
      </w:r>
    </w:p>
    <w:p w14:paraId="360BBAA2" w14:textId="77777777" w:rsidR="005E000F" w:rsidRDefault="00000000">
      <w:pPr>
        <w:pStyle w:val="4"/>
        <w:numPr>
          <w:ilvl w:val="3"/>
          <w:numId w:val="64"/>
        </w:numPr>
        <w:rPr>
          <w:szCs w:val="21"/>
        </w:rPr>
      </w:pPr>
      <w:r>
        <w:rPr>
          <w:rFonts w:hint="eastAsia"/>
          <w:szCs w:val="21"/>
        </w:rPr>
        <w:t>按照业务类型披露收入确认和计量所采用的会计政策</w:t>
      </w:r>
    </w:p>
    <w:sdt>
      <w:sdtPr>
        <w:alias w:val="是否适用：收入确认和计量所采用的会计政策[双击切换]"/>
        <w:tag w:val="_GBC_58b9f76eca7b4d9d8e5c5dfd0fba5c09"/>
        <w:id w:val="221173454"/>
        <w:placeholder>
          <w:docPart w:val="GBC22222222222222222222222222222"/>
        </w:placeholder>
      </w:sdtPr>
      <w:sdtContent>
        <w:p w14:paraId="7B03A32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收入确认和计量所采用的会计政策"/>
        <w:tag w:val="_GBC_9ba2713a8f0a44ef9a4ee890aa13e0fb"/>
        <w:id w:val="240832535"/>
        <w:placeholder>
          <w:docPart w:val="GBC22222222222222222222222222222"/>
        </w:placeholder>
      </w:sdtPr>
      <w:sdtContent>
        <w:p w14:paraId="5597FCBE" w14:textId="77777777" w:rsidR="005E000F" w:rsidRDefault="00000000">
          <w:r>
            <w:rPr>
              <w:rFonts w:hint="eastAsia"/>
            </w:rPr>
            <w:t>(1).</w:t>
          </w:r>
          <w:r>
            <w:rPr>
              <w:rFonts w:hint="eastAsia"/>
            </w:rPr>
            <w:t>按照业务类型披露收入确认和计量所采用的会计政策</w:t>
          </w:r>
        </w:p>
        <w:p w14:paraId="42C7E78E" w14:textId="77777777" w:rsidR="005E000F" w:rsidRDefault="005E000F"/>
        <w:p w14:paraId="0A0B06F5" w14:textId="77777777" w:rsidR="005E000F" w:rsidRDefault="00000000">
          <w:r>
            <w:rPr>
              <w:rFonts w:hint="eastAsia"/>
            </w:rPr>
            <w:t>收入是本集团在日常活动中形成的、会导致股东权益增加且与股东投入资本无关的经济利益的总流入。</w:t>
          </w:r>
        </w:p>
        <w:p w14:paraId="6416ACB5" w14:textId="77777777" w:rsidR="005E000F" w:rsidRDefault="005E000F"/>
        <w:p w14:paraId="54EC9570" w14:textId="77777777" w:rsidR="005E000F" w:rsidRDefault="00000000">
          <w:r>
            <w:rPr>
              <w:rFonts w:hint="eastAsia"/>
            </w:rPr>
            <w:t>本集团在履行了合同中的履约义务，即在客户取得相关商品或服务的控制权时，确认收入。</w:t>
          </w:r>
        </w:p>
        <w:p w14:paraId="132DC2EE" w14:textId="77777777" w:rsidR="005E000F" w:rsidRDefault="005E000F"/>
        <w:p w14:paraId="5D9BE4BF" w14:textId="77777777" w:rsidR="005E000F" w:rsidRDefault="00000000">
          <w:r>
            <w:rPr>
              <w:rFonts w:hint="eastAsia"/>
            </w:rPr>
            <w:t>合同中包含两项或多项履约义务的，本集团在合同开始日，按照各单项履约义务所承诺商品或服务的单独售价的相对比例，将交易价格分摊至各单项履约义务，按照分摊至各单项履约义务的交易价格计量收入。</w:t>
          </w:r>
        </w:p>
        <w:p w14:paraId="40A36DBF" w14:textId="77777777" w:rsidR="005E000F" w:rsidRDefault="005E000F"/>
        <w:p w14:paraId="58B6039D" w14:textId="77777777" w:rsidR="005E000F" w:rsidRDefault="00000000">
          <w:r>
            <w:rPr>
              <w:rFonts w:hint="eastAsia"/>
            </w:rPr>
            <w:t>交易价格是本集团因向客户转让商品或服务而预期有权收取的对价金额，不包括代第三方收取的款项。本集团确认的交易价格不超过在相关不确定性消除时累计已确认</w:t>
          </w:r>
          <w:proofErr w:type="gramStart"/>
          <w:r>
            <w:rPr>
              <w:rFonts w:hint="eastAsia"/>
            </w:rPr>
            <w:t>收入极</w:t>
          </w:r>
          <w:proofErr w:type="gramEnd"/>
          <w:r>
            <w:rPr>
              <w:rFonts w:hint="eastAsia"/>
            </w:rPr>
            <w:t>可能不会发生重大转回的金额。</w:t>
          </w:r>
        </w:p>
        <w:p w14:paraId="59B585F6" w14:textId="77777777" w:rsidR="005E000F" w:rsidRDefault="005E000F"/>
        <w:p w14:paraId="23E105BC" w14:textId="77777777" w:rsidR="005E000F" w:rsidRDefault="00000000">
          <w:r>
            <w:rPr>
              <w:rFonts w:hint="eastAsia"/>
            </w:rPr>
            <w:t>满足下列条件之一时，本集团属于在某一时段内履行履约义务，否则，属于在某一时</w:t>
          </w:r>
          <w:proofErr w:type="gramStart"/>
          <w:r>
            <w:rPr>
              <w:rFonts w:hint="eastAsia"/>
            </w:rPr>
            <w:t>点履行</w:t>
          </w:r>
          <w:proofErr w:type="gramEnd"/>
          <w:r>
            <w:rPr>
              <w:rFonts w:hint="eastAsia"/>
            </w:rPr>
            <w:t>履约义务：</w:t>
          </w:r>
        </w:p>
        <w:p w14:paraId="0AA5CF32" w14:textId="77777777" w:rsidR="005E000F" w:rsidRDefault="00000000">
          <w:r>
            <w:rPr>
              <w:rFonts w:hint="eastAsia"/>
            </w:rPr>
            <w:t>-</w:t>
          </w:r>
          <w:r>
            <w:rPr>
              <w:rFonts w:hint="eastAsia"/>
            </w:rPr>
            <w:t>客户在本集团履约的同时即取得并消耗本集团履约所带来的经济利益；</w:t>
          </w:r>
        </w:p>
        <w:p w14:paraId="160A7919" w14:textId="77777777" w:rsidR="005E000F" w:rsidRDefault="00000000">
          <w:r>
            <w:rPr>
              <w:rFonts w:hint="eastAsia"/>
            </w:rPr>
            <w:t>-</w:t>
          </w:r>
          <w:r>
            <w:rPr>
              <w:rFonts w:hint="eastAsia"/>
            </w:rPr>
            <w:t>客户能够控制本集团履约过程中在建的商品；</w:t>
          </w:r>
        </w:p>
        <w:p w14:paraId="2AD475F2" w14:textId="77777777" w:rsidR="005E000F" w:rsidRDefault="00000000">
          <w:r>
            <w:rPr>
              <w:rFonts w:hint="eastAsia"/>
            </w:rPr>
            <w:t>-</w:t>
          </w:r>
          <w:r>
            <w:rPr>
              <w:rFonts w:hint="eastAsia"/>
            </w:rPr>
            <w:t>本集团履约过程中所产出的商品具有不可替代用途，且本集团在整个合同期间内有权就累计至今已完成的履约部分收取款项。</w:t>
          </w:r>
        </w:p>
        <w:p w14:paraId="33BD91CB" w14:textId="77777777" w:rsidR="005E000F" w:rsidRDefault="005E000F"/>
        <w:p w14:paraId="0A8EDA29" w14:textId="77777777" w:rsidR="005E000F" w:rsidRDefault="00000000">
          <w:r>
            <w:rPr>
              <w:rFonts w:hint="eastAsia"/>
            </w:rPr>
            <w:t>本集团根据在向客户转让商品或服务前是否拥有对该商品或服务的控制权，来判断本集团从事交易时的身份是主要责任人还是代理人。本集团在向客户转让商品或服务前能够控制该商品或服务的，本集团为主要责任人，按照已收或应收对价总额确认收入；否则，本集团为代理人，按照预期有权收取的佣金或手续费的金额确认收入，该金额按照已收或应收对价总额扣除应支付给其他相关方的价款后的净额，或者按照既定的佣金金额或比例等确定。</w:t>
          </w:r>
        </w:p>
        <w:p w14:paraId="25542054" w14:textId="77777777" w:rsidR="005E000F" w:rsidRDefault="005E000F"/>
        <w:p w14:paraId="2768EA4B" w14:textId="77777777" w:rsidR="005E000F" w:rsidRDefault="00000000">
          <w:r>
            <w:rPr>
              <w:rFonts w:hint="eastAsia"/>
            </w:rPr>
            <w:t>本集团已向客户转让商品或服务而有权收取对价的权利</w:t>
          </w:r>
          <w:r>
            <w:rPr>
              <w:rFonts w:hint="eastAsia"/>
            </w:rPr>
            <w:t>(</w:t>
          </w:r>
          <w:r>
            <w:rPr>
              <w:rFonts w:hint="eastAsia"/>
            </w:rPr>
            <w:t>且该权利取决于时间流逝之外的其他因素</w:t>
          </w:r>
          <w:r>
            <w:rPr>
              <w:rFonts w:hint="eastAsia"/>
            </w:rPr>
            <w:t>)</w:t>
          </w:r>
          <w:r>
            <w:rPr>
              <w:rFonts w:hint="eastAsia"/>
            </w:rPr>
            <w:t>作为合同资产列示，合同资产以预期信用损失为基础计提减值。本集团拥有的、无条件</w:t>
          </w:r>
          <w:r>
            <w:rPr>
              <w:rFonts w:hint="eastAsia"/>
            </w:rPr>
            <w:t>(</w:t>
          </w:r>
          <w:r>
            <w:rPr>
              <w:rFonts w:hint="eastAsia"/>
            </w:rPr>
            <w:t>仅取决于时间流逝</w:t>
          </w:r>
          <w:r>
            <w:rPr>
              <w:rFonts w:hint="eastAsia"/>
            </w:rPr>
            <w:t>)</w:t>
          </w:r>
          <w:r>
            <w:rPr>
              <w:rFonts w:hint="eastAsia"/>
            </w:rPr>
            <w:t>向客户收取对价的权利作为应收款项列示。本集团已收或应收客户对价而应向客户转让商品或服务的义务作为合同负债列示。</w:t>
          </w:r>
        </w:p>
        <w:p w14:paraId="7EF1066D" w14:textId="77777777" w:rsidR="005E000F" w:rsidRDefault="005E000F"/>
        <w:p w14:paraId="7F9072DD" w14:textId="77777777" w:rsidR="005E000F" w:rsidRDefault="00000000">
          <w:r>
            <w:rPr>
              <w:rFonts w:hint="eastAsia"/>
            </w:rPr>
            <w:t>(2).</w:t>
          </w:r>
          <w:r>
            <w:rPr>
              <w:rFonts w:hint="eastAsia"/>
            </w:rPr>
            <w:t>与本集团取得收入的主要活动相关的具体会计政策描述如下：</w:t>
          </w:r>
        </w:p>
        <w:p w14:paraId="63937E72" w14:textId="77777777" w:rsidR="005E000F" w:rsidRDefault="005E000F"/>
        <w:p w14:paraId="2C66C67D" w14:textId="77777777" w:rsidR="005E000F" w:rsidRDefault="00000000">
          <w:r>
            <w:rPr>
              <w:rFonts w:hint="eastAsia"/>
            </w:rPr>
            <w:t>公司披露的收入确认具体会计政策应包括：</w:t>
          </w:r>
        </w:p>
        <w:p w14:paraId="7DD97289" w14:textId="77777777" w:rsidR="005E000F" w:rsidRDefault="00000000">
          <w:r>
            <w:rPr>
              <w:rFonts w:hint="eastAsia"/>
            </w:rPr>
            <w:t>-</w:t>
          </w:r>
          <w:r>
            <w:rPr>
              <w:rFonts w:hint="eastAsia"/>
            </w:rPr>
            <w:t>承诺转让的商品或服务的性质，若主要责任人认定涉及重大会计判断，披露具体判断依据；</w:t>
          </w:r>
        </w:p>
        <w:p w14:paraId="1A0BFCC4" w14:textId="77777777" w:rsidR="005E000F" w:rsidRDefault="00000000">
          <w:r>
            <w:rPr>
              <w:rFonts w:hint="eastAsia"/>
            </w:rPr>
            <w:t>-</w:t>
          </w:r>
          <w:r>
            <w:rPr>
              <w:rFonts w:hint="eastAsia"/>
            </w:rPr>
            <w:t>识别履约义务涉及重大会计判断的，披露具体判断依据；</w:t>
          </w:r>
        </w:p>
        <w:p w14:paraId="58EC9C94" w14:textId="77777777" w:rsidR="005E000F" w:rsidRDefault="00000000">
          <w:r>
            <w:rPr>
              <w:rFonts w:hint="eastAsia"/>
            </w:rPr>
            <w:t>-</w:t>
          </w:r>
          <w:r>
            <w:rPr>
              <w:rFonts w:hint="eastAsia"/>
            </w:rPr>
            <w:t>确定交易价格、估计可变对价、分摊交易价格以及计量预期退还给客户的款项等类似义务所采用的方法；</w:t>
          </w:r>
        </w:p>
        <w:p w14:paraId="083FCE82" w14:textId="77777777" w:rsidR="005E000F" w:rsidRDefault="00000000">
          <w:r>
            <w:rPr>
              <w:rFonts w:hint="eastAsia"/>
            </w:rPr>
            <w:t>-</w:t>
          </w:r>
          <w:r>
            <w:rPr>
              <w:rFonts w:hint="eastAsia"/>
            </w:rPr>
            <w:t>履约义务实现方式，收入确认时点及判断依据，履约进度计量方法及判断依据，重要的支付条款；</w:t>
          </w:r>
        </w:p>
        <w:p w14:paraId="12E2048E" w14:textId="77777777" w:rsidR="005E000F" w:rsidRDefault="00000000">
          <w:r>
            <w:rPr>
              <w:rFonts w:hint="eastAsia"/>
            </w:rPr>
            <w:t>-</w:t>
          </w:r>
          <w:r>
            <w:rPr>
              <w:rFonts w:hint="eastAsia"/>
            </w:rPr>
            <w:t>质量保证的类型及相关义务等。</w:t>
          </w:r>
        </w:p>
        <w:p w14:paraId="03D57F53" w14:textId="77777777" w:rsidR="005E000F" w:rsidRDefault="005E000F"/>
        <w:p w14:paraId="30824E6C" w14:textId="77777777" w:rsidR="005E000F" w:rsidRDefault="00000000">
          <w:r>
            <w:rPr>
              <w:rFonts w:hint="eastAsia"/>
            </w:rPr>
            <w:lastRenderedPageBreak/>
            <w:t>(a)</w:t>
          </w:r>
          <w:r>
            <w:rPr>
              <w:rFonts w:hint="eastAsia"/>
            </w:rPr>
            <w:t>提供铁路运输服务本集团提供铁路货物运输、旅客运输及其他服务。铁路货物及旅客运输服务根据已完成劳务的进度在一段时间内确认收入。本集团根据提供客运服务和奖励积分各自单独售价的相对比例对提供客运服务取得的款项进行分摊，按照分摊至实际提供客运服务的交易价格确认收入，并将顾客未使用的奖励积分的余额予以递延，并在积分兑换或到期时确认为收入。</w:t>
          </w:r>
        </w:p>
        <w:p w14:paraId="120752B7" w14:textId="77777777" w:rsidR="005E000F" w:rsidRDefault="005E000F"/>
        <w:p w14:paraId="3DFCE2EA" w14:textId="77777777" w:rsidR="005E000F" w:rsidRDefault="00000000">
          <w:r>
            <w:rPr>
              <w:rFonts w:hint="eastAsia"/>
            </w:rPr>
            <w:t>(b)</w:t>
          </w:r>
          <w:r>
            <w:rPr>
              <w:rFonts w:hint="eastAsia"/>
            </w:rPr>
            <w:t>销售商品收入本集团在履行了合同中的履约义务，即在客户取得相关商品控制权时确认收入。</w:t>
          </w:r>
        </w:p>
        <w:p w14:paraId="2999F9D6" w14:textId="77777777" w:rsidR="005E000F" w:rsidRDefault="005E000F"/>
        <w:p w14:paraId="13123D85" w14:textId="77777777" w:rsidR="005E000F" w:rsidRDefault="00000000">
          <w:r>
            <w:rPr>
              <w:rFonts w:hint="eastAsia"/>
            </w:rPr>
            <w:t>(c)</w:t>
          </w:r>
          <w:r>
            <w:rPr>
              <w:rFonts w:hint="eastAsia"/>
            </w:rPr>
            <w:t>提供铁路运营服务本集团受其他铁路系统内企业的委托，提供受托线路范围内的运输设备、设施维护等代管代维修服务，按照已完成劳务的进度在一段时间内确认收入。</w:t>
          </w:r>
        </w:p>
      </w:sdtContent>
    </w:sdt>
    <w:p w14:paraId="3DCEC253" w14:textId="77777777" w:rsidR="005E000F" w:rsidRDefault="00000000">
      <w:pPr>
        <w:pStyle w:val="4"/>
        <w:numPr>
          <w:ilvl w:val="3"/>
          <w:numId w:val="64"/>
        </w:numPr>
        <w:ind w:left="426" w:hanging="426"/>
        <w:rPr>
          <w:szCs w:val="21"/>
        </w:rPr>
      </w:pPr>
      <w:bookmarkStart w:id="253" w:name="_Hlk533668087"/>
      <w:bookmarkEnd w:id="252"/>
      <w:r>
        <w:rPr>
          <w:rFonts w:ascii="宋体" w:eastAsia="宋体" w:hAnsi="宋体" w:cs="宋体" w:hint="eastAsia"/>
          <w:bCs w:val="0"/>
          <w:kern w:val="0"/>
          <w:szCs w:val="21"/>
        </w:rPr>
        <w:t>同类业务采用不同经营模式涉及</w:t>
      </w:r>
      <w:r>
        <w:rPr>
          <w:rFonts w:cs="宋体"/>
          <w:kern w:val="0"/>
          <w:szCs w:val="21"/>
        </w:rPr>
        <w:t>不同收入确认方式及计量方法</w:t>
      </w:r>
    </w:p>
    <w:sdt>
      <w:sdtPr>
        <w:alias w:val="是否适用：同类业务采用不同经营模式导致收入确认会计政策存在差异的情况[双击切换]"/>
        <w:tag w:val="_GBC_778cfed951bb4cf4997e2d67e4b1e3a9"/>
        <w:id w:val="1918519899"/>
        <w:placeholder>
          <w:docPart w:val="GBC22222222222222222222222222222"/>
        </w:placeholder>
      </w:sdtPr>
      <w:sdtContent>
        <w:p w14:paraId="4001CE0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049E79E" w14:textId="77777777" w:rsidR="005E000F" w:rsidRDefault="005E000F"/>
    <w:p w14:paraId="4E4762A7" w14:textId="77777777" w:rsidR="005E000F" w:rsidRDefault="00000000">
      <w:pPr>
        <w:pStyle w:val="3"/>
        <w:numPr>
          <w:ilvl w:val="0"/>
          <w:numId w:val="59"/>
        </w:numPr>
        <w:rPr>
          <w:szCs w:val="21"/>
        </w:rPr>
      </w:pPr>
      <w:bookmarkStart w:id="254" w:name="_Hlk533668133"/>
      <w:bookmarkEnd w:id="253"/>
      <w:r>
        <w:rPr>
          <w:rFonts w:hint="eastAsia"/>
          <w:szCs w:val="21"/>
        </w:rPr>
        <w:t>合同成本</w:t>
      </w:r>
    </w:p>
    <w:sdt>
      <w:sdtPr>
        <w:alias w:val="是否适用：合同成本_重要会计政策和估计[双击切换]"/>
        <w:tag w:val="_GBC_c5b4accd569d48e8a81ed05eb0bf64fb"/>
        <w:id w:val="-961496689"/>
        <w:placeholder>
          <w:docPart w:val="GBC22222222222222222222222222222"/>
        </w:placeholder>
      </w:sdtPr>
      <w:sdtContent>
        <w:p w14:paraId="23A07AB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合同成本_重要会计政策和估计"/>
        <w:tag w:val="_GBC_74258d199b3d4540b8df00b35751b505"/>
        <w:id w:val="211552166"/>
        <w:placeholder>
          <w:docPart w:val="GBC22222222222222222222222222222"/>
        </w:placeholder>
      </w:sdtPr>
      <w:sdtContent>
        <w:p w14:paraId="5E913E82" w14:textId="77777777" w:rsidR="005E000F" w:rsidRDefault="00000000">
          <w:r>
            <w:rPr>
              <w:rFonts w:hint="eastAsia"/>
            </w:rPr>
            <w:t>（</w:t>
          </w:r>
          <w:r>
            <w:rPr>
              <w:rFonts w:hint="eastAsia"/>
            </w:rPr>
            <w:t>1</w:t>
          </w:r>
          <w:r>
            <w:rPr>
              <w:rFonts w:hint="eastAsia"/>
            </w:rPr>
            <w:t>）与合同成本有关的资产金额的确定方法</w:t>
          </w:r>
        </w:p>
        <w:p w14:paraId="0517F49F" w14:textId="77777777" w:rsidR="005E000F" w:rsidRDefault="005E000F"/>
        <w:p w14:paraId="031020C0" w14:textId="77777777" w:rsidR="005E000F" w:rsidRDefault="00000000">
          <w:r>
            <w:rPr>
              <w:rFonts w:hint="eastAsia"/>
            </w:rPr>
            <w:t>本集团与合同成本有关的资产包括合同履约成本和合同取得成本。根据其流动性，合同履约成本分别列报在存货和其他非流动资产中，合同取得成本分别列报在其他流动资产和其他非流动资产中。</w:t>
          </w:r>
        </w:p>
        <w:p w14:paraId="1CC526F1" w14:textId="77777777" w:rsidR="005E000F" w:rsidRDefault="005E000F"/>
        <w:p w14:paraId="5273A014" w14:textId="77777777" w:rsidR="005E000F" w:rsidRDefault="00000000">
          <w:r>
            <w:rPr>
              <w:rFonts w:hint="eastAsia"/>
            </w:rPr>
            <w:t>合同履约成本，即本集团为履行合同发生的成本，不属于存货、固定资产或无形资产等相关会计准则规范范围且同时满足下列条件的，作为合同履约成本确认为一项资产：</w:t>
          </w:r>
          <w:proofErr w:type="gramStart"/>
          <w:r>
            <w:rPr>
              <w:rFonts w:hint="eastAsia"/>
            </w:rPr>
            <w:t>该成本</w:t>
          </w:r>
          <w:proofErr w:type="gramEnd"/>
          <w:r>
            <w:rPr>
              <w:rFonts w:hint="eastAsia"/>
            </w:rPr>
            <w:t>与一份当前或预期取得的合同直接相关，包括直接人工、直接材料、制造费用（或类似费用）、明确由客户承担的成本以及仅因该合同而发生的其他成本；</w:t>
          </w:r>
          <w:proofErr w:type="gramStart"/>
          <w:r>
            <w:rPr>
              <w:rFonts w:hint="eastAsia"/>
            </w:rPr>
            <w:t>该成本</w:t>
          </w:r>
          <w:proofErr w:type="gramEnd"/>
          <w:r>
            <w:rPr>
              <w:rFonts w:hint="eastAsia"/>
            </w:rPr>
            <w:t>增加了本集团未来用于履行履约义务的资源；</w:t>
          </w:r>
          <w:proofErr w:type="gramStart"/>
          <w:r>
            <w:rPr>
              <w:rFonts w:hint="eastAsia"/>
            </w:rPr>
            <w:t>该成本</w:t>
          </w:r>
          <w:proofErr w:type="gramEnd"/>
          <w:r>
            <w:rPr>
              <w:rFonts w:hint="eastAsia"/>
            </w:rPr>
            <w:t>预期能够收回。</w:t>
          </w:r>
        </w:p>
        <w:p w14:paraId="38D0F668" w14:textId="77777777" w:rsidR="005E000F" w:rsidRDefault="005E000F"/>
        <w:p w14:paraId="4389D723" w14:textId="77777777" w:rsidR="005E000F" w:rsidRDefault="00000000">
          <w:r>
            <w:rPr>
              <w:rFonts w:hint="eastAsia"/>
            </w:rPr>
            <w:t>合同取得成本，即本集团为取得合同发生的增量成本预期能够收回的，作为合同取得成本确认为一项资产。如果该资产摊销期限不超过一年，本集团选择在发生时计入当期损益的简化处理。增量成本，是指不取得合同就不会发生的成本（如销售佣金等）。本集团为取得合同发生的、除预期能够收回的增量成本之外的其他支出（</w:t>
          </w:r>
          <w:proofErr w:type="gramStart"/>
          <w:r>
            <w:rPr>
              <w:rFonts w:hint="eastAsia"/>
            </w:rPr>
            <w:t>如无论</w:t>
          </w:r>
          <w:proofErr w:type="gramEnd"/>
          <w:r>
            <w:rPr>
              <w:rFonts w:hint="eastAsia"/>
            </w:rPr>
            <w:t>是否取得合同均会发生的差旅费等），在发生时计入当期损益，但是，明确由客户承担的除外。</w:t>
          </w:r>
        </w:p>
        <w:p w14:paraId="1A0F2E03" w14:textId="77777777" w:rsidR="005E000F" w:rsidRDefault="005E000F"/>
        <w:p w14:paraId="5364E9D4" w14:textId="77777777" w:rsidR="005E000F" w:rsidRDefault="00000000">
          <w:r>
            <w:rPr>
              <w:rFonts w:hint="eastAsia"/>
            </w:rPr>
            <w:t>（</w:t>
          </w:r>
          <w:r>
            <w:rPr>
              <w:rFonts w:hint="eastAsia"/>
            </w:rPr>
            <w:t>2</w:t>
          </w:r>
          <w:r>
            <w:rPr>
              <w:rFonts w:hint="eastAsia"/>
            </w:rPr>
            <w:t>）与合同成本有关的资产的摊销</w:t>
          </w:r>
        </w:p>
        <w:p w14:paraId="616B4175" w14:textId="77777777" w:rsidR="005E000F" w:rsidRDefault="005E000F"/>
        <w:p w14:paraId="6ABAFE5E" w14:textId="77777777" w:rsidR="005E000F" w:rsidRDefault="00000000">
          <w:r>
            <w:rPr>
              <w:rFonts w:hint="eastAsia"/>
            </w:rPr>
            <w:t>本集团与合同成本有关的资产采用与该资产相关的商品收入确认相同的基础进行摊销，计入当期损益。</w:t>
          </w:r>
        </w:p>
        <w:p w14:paraId="22BD4653" w14:textId="77777777" w:rsidR="005E000F" w:rsidRDefault="005E000F"/>
        <w:p w14:paraId="523FA063" w14:textId="77777777" w:rsidR="005E000F" w:rsidRDefault="00000000">
          <w:r>
            <w:rPr>
              <w:rFonts w:hint="eastAsia"/>
            </w:rPr>
            <w:t>（</w:t>
          </w:r>
          <w:r>
            <w:rPr>
              <w:rFonts w:hint="eastAsia"/>
            </w:rPr>
            <w:t>3</w:t>
          </w:r>
          <w:r>
            <w:rPr>
              <w:rFonts w:hint="eastAsia"/>
            </w:rPr>
            <w:t>）与合同成本有关的资产的减值</w:t>
          </w:r>
        </w:p>
        <w:p w14:paraId="6DF8E5AE" w14:textId="77777777" w:rsidR="005E000F" w:rsidRDefault="005E000F"/>
        <w:p w14:paraId="00903DC0" w14:textId="77777777" w:rsidR="005E000F" w:rsidRDefault="00000000">
          <w:r>
            <w:rPr>
              <w:rFonts w:hint="eastAsia"/>
            </w:rPr>
            <w:t>本集团与合同成本有关的资产，其账面价值高于下列两项差额的，本集团将超出部分计提减值准备，并确认为资产减值损失：①企业因转让与该资产相关的商品预期能够取得的剩余对价；②为转让</w:t>
          </w:r>
          <w:proofErr w:type="gramStart"/>
          <w:r>
            <w:rPr>
              <w:rFonts w:hint="eastAsia"/>
            </w:rPr>
            <w:t>该相关</w:t>
          </w:r>
          <w:proofErr w:type="gramEnd"/>
          <w:r>
            <w:rPr>
              <w:rFonts w:hint="eastAsia"/>
            </w:rPr>
            <w:t>商品估计将要发生的成本。计提减值准备后，如果以前期间减值的因素发生变化，使得上述两项差额高于该资产账面价值的，转回原已计提的资产减值准备，并计入当期损益，但转回后的资产账面价值不超过假定不计提减值准备情况下该资产在</w:t>
          </w:r>
          <w:proofErr w:type="gramStart"/>
          <w:r>
            <w:rPr>
              <w:rFonts w:hint="eastAsia"/>
            </w:rPr>
            <w:t>转回日</w:t>
          </w:r>
          <w:proofErr w:type="gramEnd"/>
          <w:r>
            <w:rPr>
              <w:rFonts w:hint="eastAsia"/>
            </w:rPr>
            <w:t>的账面价值。</w:t>
          </w:r>
        </w:p>
      </w:sdtContent>
    </w:sdt>
    <w:p w14:paraId="389D93D7" w14:textId="77777777" w:rsidR="005E000F" w:rsidRDefault="005E000F"/>
    <w:p w14:paraId="103D7594" w14:textId="77777777" w:rsidR="005E000F" w:rsidRDefault="00000000">
      <w:pPr>
        <w:pStyle w:val="3"/>
        <w:numPr>
          <w:ilvl w:val="0"/>
          <w:numId w:val="59"/>
        </w:numPr>
      </w:pPr>
      <w:bookmarkStart w:id="255" w:name="_Hlk533668149"/>
      <w:bookmarkEnd w:id="254"/>
      <w:r>
        <w:t>政府补助</w:t>
      </w:r>
    </w:p>
    <w:sdt>
      <w:sdtPr>
        <w:alias w:val="是否适用：政府补助_重要会计政策和估计[双击切换]"/>
        <w:tag w:val="_GBC_d8ac76c6a68c49fb952fadc0e46c9ef4"/>
        <w:id w:val="-1185276256"/>
        <w:placeholder>
          <w:docPart w:val="GBC22222222222222222222222222222"/>
        </w:placeholder>
      </w:sdtPr>
      <w:sdtContent>
        <w:p w14:paraId="20D45EDF"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政府补助_重要会计政策和估计"/>
        <w:tag w:val="_GBC_cbcbe4da2edd4cf1b6108f1c89e035f7"/>
        <w:id w:val="796180276"/>
        <w:placeholder>
          <w:docPart w:val="GBC22222222222222222222222222222"/>
        </w:placeholder>
      </w:sdtPr>
      <w:sdtContent>
        <w:p w14:paraId="0E485C05" w14:textId="77777777" w:rsidR="005E000F" w:rsidRDefault="00000000">
          <w:r>
            <w:rPr>
              <w:rFonts w:hint="eastAsia"/>
            </w:rPr>
            <w:t>政府补助是本集团从政府无偿取得的货币性资产或非货币性资产，但不包括政府以投资者身份向本集团投入的资本。</w:t>
          </w:r>
        </w:p>
        <w:p w14:paraId="08FED87A" w14:textId="77777777" w:rsidR="005E000F" w:rsidRDefault="005E000F"/>
        <w:p w14:paraId="33C37DB0" w14:textId="77777777" w:rsidR="005E000F" w:rsidRDefault="00000000">
          <w:r>
            <w:rPr>
              <w:rFonts w:hint="eastAsia"/>
            </w:rPr>
            <w:lastRenderedPageBreak/>
            <w:t>政府补助在能够满足其所附的条件并且能够收到时，予以确认。政府补助为货币性资产的，按照实际收到的金额计量，对于按照固定的定额标准拨付的补助，或对年末有确凿证据表明能够符合财政扶持政策规定的相关条件且预计能够收到财政扶持资金时，按照应收的金额计量；政府补助为非货币性资产的，按照公允价值计量，公允价值不能可靠取得的，按照名义金额</w:t>
          </w:r>
          <w:r>
            <w:rPr>
              <w:rFonts w:hint="eastAsia"/>
            </w:rPr>
            <w:t>(1</w:t>
          </w:r>
          <w:r>
            <w:rPr>
              <w:rFonts w:hint="eastAsia"/>
            </w:rPr>
            <w:t>元</w:t>
          </w:r>
          <w:r>
            <w:rPr>
              <w:rFonts w:hint="eastAsia"/>
            </w:rPr>
            <w:t>)</w:t>
          </w:r>
          <w:r>
            <w:rPr>
              <w:rFonts w:hint="eastAsia"/>
            </w:rPr>
            <w:t>计量。</w:t>
          </w:r>
        </w:p>
        <w:p w14:paraId="6DB999B5" w14:textId="77777777" w:rsidR="005E000F" w:rsidRDefault="005E000F"/>
        <w:p w14:paraId="044AAD9E" w14:textId="77777777" w:rsidR="005E000F" w:rsidRDefault="00000000">
          <w:r>
            <w:rPr>
              <w:rFonts w:hint="eastAsia"/>
            </w:rPr>
            <w:t>本集团的政府补助包括与资产相关的政府补助和与收益相关的政府补助。其中，与资产相关的政府补助，是指本集团取得的、用于购建或以其他方式形成长期资产的政府补助；与收益相关的政府补助，是指除与资产相关的政府补助之外的政府补助。如果政府文件中未明确规定补助对象，本集团按照上述区分原则进行判断，难以区分的，整体归类为与收益相关的政府补助。</w:t>
          </w:r>
        </w:p>
        <w:p w14:paraId="3FF3396D" w14:textId="77777777" w:rsidR="005E000F" w:rsidRDefault="005E000F"/>
        <w:p w14:paraId="70EED8D2" w14:textId="77777777" w:rsidR="005E000F" w:rsidRDefault="00000000">
          <w:r>
            <w:rPr>
              <w:rFonts w:hint="eastAsia"/>
            </w:rPr>
            <w:t>与资产相关的政府补助</w:t>
          </w:r>
          <w:proofErr w:type="gramStart"/>
          <w:r>
            <w:rPr>
              <w:rFonts w:hint="eastAsia"/>
            </w:rPr>
            <w:t>确认为递延</w:t>
          </w:r>
          <w:proofErr w:type="gramEnd"/>
          <w:r>
            <w:rPr>
              <w:rFonts w:hint="eastAsia"/>
            </w:rPr>
            <w:t>收益，</w:t>
          </w:r>
          <w:proofErr w:type="gramStart"/>
          <w:r>
            <w:rPr>
              <w:rFonts w:hint="eastAsia"/>
            </w:rPr>
            <w:t>确认为递延</w:t>
          </w:r>
          <w:proofErr w:type="gramEnd"/>
          <w:r>
            <w:rPr>
              <w:rFonts w:hint="eastAsia"/>
            </w:rPr>
            <w:t>收益的与资产相关的政府补助，在相关资产使用寿命内按照合理、系统的方法分期计入当期损益。相关资产在使用寿命结束前被出售、转让、报废或发生毁损的，将尚未分配的相关递延收益余额转入资产处置当期的损益。</w:t>
          </w:r>
        </w:p>
        <w:p w14:paraId="1600E268" w14:textId="77777777" w:rsidR="005E000F" w:rsidRDefault="005E000F"/>
        <w:p w14:paraId="3AFA7BD6" w14:textId="77777777" w:rsidR="005E000F" w:rsidRDefault="00000000">
          <w:r>
            <w:rPr>
              <w:rFonts w:hint="eastAsia"/>
            </w:rPr>
            <w:t>与收益相关的政府补助，用于补偿以后期间的相关成本费用或损失的，</w:t>
          </w:r>
          <w:proofErr w:type="gramStart"/>
          <w:r>
            <w:rPr>
              <w:rFonts w:hint="eastAsia"/>
            </w:rPr>
            <w:t>确认为递延</w:t>
          </w:r>
          <w:proofErr w:type="gramEnd"/>
          <w:r>
            <w:rPr>
              <w:rFonts w:hint="eastAsia"/>
            </w:rPr>
            <w:t>收益，并在确认相关成本费用或损失的期间计入当期损益。用于补偿已发生的相关成本费用或损失的，直接计入当期损益。否则直接计入其他收益或营业外收入。</w:t>
          </w:r>
        </w:p>
      </w:sdtContent>
    </w:sdt>
    <w:p w14:paraId="366D823B" w14:textId="77777777" w:rsidR="005E000F" w:rsidRDefault="005E000F"/>
    <w:bookmarkEnd w:id="255"/>
    <w:p w14:paraId="2229E1D5" w14:textId="77777777" w:rsidR="005E000F" w:rsidRDefault="00000000">
      <w:pPr>
        <w:pStyle w:val="3"/>
        <w:numPr>
          <w:ilvl w:val="0"/>
          <w:numId w:val="59"/>
        </w:numPr>
      </w:pPr>
      <w:r>
        <w:t>递延所得税资产</w:t>
      </w:r>
      <w:r>
        <w:t>/</w:t>
      </w:r>
      <w:r>
        <w:t>递延所得税负债</w:t>
      </w:r>
    </w:p>
    <w:sdt>
      <w:sdtPr>
        <w:rPr>
          <w:rFonts w:hint="eastAsia"/>
        </w:rPr>
        <w:alias w:val="是否适用：所得税的会计处理方法[双击切换]"/>
        <w:tag w:val="_GBC_7e8295f4559b44568e5d37a6a605588c"/>
        <w:id w:val="-1587833693"/>
        <w:placeholder>
          <w:docPart w:val="GBC22222222222222222222222222222"/>
        </w:placeholder>
      </w:sdtPr>
      <w:sdtContent>
        <w:p w14:paraId="3BC97E66"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所得税的会计处理方法"/>
        <w:tag w:val="_GBC_545dd84ed2b9458fa5e2b87aa1e1cc1c"/>
        <w:id w:val="-1915232819"/>
        <w:placeholder>
          <w:docPart w:val="GBC22222222222222222222222222222"/>
        </w:placeholder>
      </w:sdtPr>
      <w:sdtContent>
        <w:sdt>
          <w:sdtPr>
            <w:alias w:val="所得税的会计处理方法"/>
            <w:tag w:val="_GBC_545dd84ed2b9458fa5e2b87aa1e1cc1c"/>
            <w:id w:val="-1870754859"/>
          </w:sdtPr>
          <w:sdtContent>
            <w:p w14:paraId="3C02D69D" w14:textId="77777777" w:rsidR="005E000F" w:rsidRDefault="00000000">
              <w:r>
                <w:rPr>
                  <w:rFonts w:hint="eastAsia"/>
                </w:rPr>
                <w:t>除因企业合并和直接计入股东权益</w:t>
              </w:r>
              <w:r>
                <w:rPr>
                  <w:rFonts w:hint="eastAsia"/>
                </w:rPr>
                <w:t>(</w:t>
              </w:r>
              <w:r>
                <w:rPr>
                  <w:rFonts w:hint="eastAsia"/>
                </w:rPr>
                <w:t>包括其他综合收益</w:t>
              </w:r>
              <w:r>
                <w:rPr>
                  <w:rFonts w:hint="eastAsia"/>
                </w:rPr>
                <w:t>)</w:t>
              </w:r>
              <w:r>
                <w:rPr>
                  <w:rFonts w:hint="eastAsia"/>
                </w:rPr>
                <w:t>的交易或者事项产生的所得税外，本集团将当期所得税和递延所得税计入当期损益。</w:t>
              </w:r>
            </w:p>
            <w:p w14:paraId="53F00A6B" w14:textId="77777777" w:rsidR="005E000F" w:rsidRDefault="005E000F"/>
            <w:p w14:paraId="3ACC8C5A" w14:textId="77777777" w:rsidR="005E000F" w:rsidRDefault="00000000">
              <w:r>
                <w:rPr>
                  <w:rFonts w:hint="eastAsia"/>
                </w:rPr>
                <w:t>当期所得税是按本年度应税所得额，根据税法规定的税率计算的预期应交所得税，加上以往年度应付所得税的调整。</w:t>
              </w:r>
            </w:p>
            <w:p w14:paraId="54313E99" w14:textId="77777777" w:rsidR="005E000F" w:rsidRDefault="005E000F"/>
            <w:p w14:paraId="003B4EA0" w14:textId="77777777" w:rsidR="005E000F" w:rsidRDefault="00000000">
              <w:r>
                <w:rPr>
                  <w:rFonts w:hint="eastAsia"/>
                </w:rPr>
                <w:t>资产负债表日，如果本集团拥有以净额结算的法定权利并且意图以净额结算或取得资产、清偿负债同时进行，那么当期所得税资产及当期所得税负债以</w:t>
              </w:r>
              <w:proofErr w:type="gramStart"/>
              <w:r>
                <w:rPr>
                  <w:rFonts w:hint="eastAsia"/>
                </w:rPr>
                <w:t>抵销</w:t>
              </w:r>
              <w:proofErr w:type="gramEnd"/>
              <w:r>
                <w:rPr>
                  <w:rFonts w:hint="eastAsia"/>
                </w:rPr>
                <w:t>后的净额列示。</w:t>
              </w:r>
            </w:p>
            <w:p w14:paraId="7E43F7D5" w14:textId="77777777" w:rsidR="005E000F" w:rsidRDefault="005E000F"/>
            <w:p w14:paraId="1087B0ED" w14:textId="77777777" w:rsidR="005E000F" w:rsidRDefault="00000000">
              <w:r>
                <w:rPr>
                  <w:rFonts w:hint="eastAsia"/>
                </w:rPr>
                <w:t>递延所得税</w:t>
              </w:r>
              <w:proofErr w:type="gramStart"/>
              <w:r>
                <w:rPr>
                  <w:rFonts w:hint="eastAsia"/>
                </w:rPr>
                <w:t>资产与递延</w:t>
              </w:r>
              <w:proofErr w:type="gramEnd"/>
              <w:r>
                <w:rPr>
                  <w:rFonts w:hint="eastAsia"/>
                </w:rPr>
                <w:t>所得税负债分别根据可抵扣暂时性差异和应纳税暂时性差异确定。暂时性差异是指资产或负债的账面价值与其计税基础之间的差额，包括能够结转以后年度的可抵扣亏损和税款抵减。递延所得税资产的确认以很可能取得用来抵扣可抵扣暂时性差异的应纳税所得额为限。</w:t>
              </w:r>
            </w:p>
            <w:p w14:paraId="409B306A" w14:textId="77777777" w:rsidR="005E000F" w:rsidRDefault="005E000F"/>
            <w:p w14:paraId="1C9D34D1" w14:textId="77777777" w:rsidR="005E000F" w:rsidRDefault="00000000">
              <w:r>
                <w:rPr>
                  <w:rFonts w:hint="eastAsia"/>
                </w:rPr>
                <w:t>如果单项交易不是企业合并，交易发生时既不影响会计利润也不影响应纳税所得额</w:t>
              </w:r>
              <w:r>
                <w:rPr>
                  <w:rFonts w:hint="eastAsia"/>
                </w:rPr>
                <w:t>(</w:t>
              </w:r>
              <w:r>
                <w:rPr>
                  <w:rFonts w:hint="eastAsia"/>
                </w:rPr>
                <w:t>或可抵扣亏损</w:t>
              </w:r>
              <w:r>
                <w:rPr>
                  <w:rFonts w:hint="eastAsia"/>
                </w:rPr>
                <w:t>)</w:t>
              </w:r>
              <w:r>
                <w:rPr>
                  <w:rFonts w:hint="eastAsia"/>
                </w:rPr>
                <w:t>，且初始确认的资产和负债并未导致产生等额应纳税暂时性差异和可抵扣暂时性差异，则该项交易中产生的暂时性差异不会产生递延所得税。商誉的初始确认导致的暂时性差异也不产生相关的递延所得税。</w:t>
              </w:r>
            </w:p>
            <w:p w14:paraId="55FFF564" w14:textId="77777777" w:rsidR="005E000F" w:rsidRDefault="005E000F"/>
            <w:p w14:paraId="5775D166" w14:textId="77777777" w:rsidR="005E000F" w:rsidRDefault="00000000">
              <w:r>
                <w:rPr>
                  <w:rFonts w:hint="eastAsia"/>
                </w:rPr>
                <w:t>资产负债表日，本集团根据递延所得税资产和负债的预期收回或结算方式，依据已颁布的税法规定，按照预期收回该资产或清偿该负债期间的适用税率</w:t>
              </w:r>
              <w:proofErr w:type="gramStart"/>
              <w:r>
                <w:rPr>
                  <w:rFonts w:hint="eastAsia"/>
                </w:rPr>
                <w:t>计量该递延</w:t>
              </w:r>
              <w:proofErr w:type="gramEnd"/>
              <w:r>
                <w:rPr>
                  <w:rFonts w:hint="eastAsia"/>
                </w:rPr>
                <w:t>所得税资产和负债的账面金额</w:t>
              </w:r>
            </w:p>
            <w:p w14:paraId="5DEF0840" w14:textId="77777777" w:rsidR="005E000F" w:rsidRDefault="00000000">
              <w:r>
                <w:rPr>
                  <w:rFonts w:hint="eastAsia"/>
                </w:rPr>
                <w:t>资产负债表日，本集团对递延所得税资产的账面价值进行复核。如果未来期间很可能无法获得足够的应纳税所得额用以抵扣递延所得税资产的利益，则</w:t>
              </w:r>
              <w:proofErr w:type="gramStart"/>
              <w:r>
                <w:rPr>
                  <w:rFonts w:hint="eastAsia"/>
                </w:rPr>
                <w:t>减记递</w:t>
              </w:r>
              <w:proofErr w:type="gramEnd"/>
              <w:r>
                <w:rPr>
                  <w:rFonts w:hint="eastAsia"/>
                </w:rPr>
                <w:t>延所得税资产的账面价值。在很可能获得足够的应纳税所得额时，</w:t>
              </w:r>
              <w:proofErr w:type="gramStart"/>
              <w:r>
                <w:rPr>
                  <w:rFonts w:hint="eastAsia"/>
                </w:rPr>
                <w:t>减记的</w:t>
              </w:r>
              <w:proofErr w:type="gramEnd"/>
              <w:r>
                <w:rPr>
                  <w:rFonts w:hint="eastAsia"/>
                </w:rPr>
                <w:t>金额予以转回。</w:t>
              </w:r>
            </w:p>
            <w:p w14:paraId="361C630E" w14:textId="77777777" w:rsidR="005E000F" w:rsidRDefault="005E000F"/>
            <w:p w14:paraId="7A10E7D3" w14:textId="77777777" w:rsidR="005E000F" w:rsidRDefault="00000000">
              <w:r>
                <w:rPr>
                  <w:rFonts w:hint="eastAsia"/>
                </w:rPr>
                <w:t>资产负债表日，递延所得税资产及递延所得税负债在同时满足以下条件时以</w:t>
              </w:r>
              <w:proofErr w:type="gramStart"/>
              <w:r>
                <w:rPr>
                  <w:rFonts w:hint="eastAsia"/>
                </w:rPr>
                <w:t>抵销</w:t>
              </w:r>
              <w:proofErr w:type="gramEnd"/>
              <w:r>
                <w:rPr>
                  <w:rFonts w:hint="eastAsia"/>
                </w:rPr>
                <w:t>后的净额列示：</w:t>
              </w:r>
            </w:p>
            <w:p w14:paraId="759A7E63" w14:textId="77777777" w:rsidR="005E000F" w:rsidRDefault="005E000F"/>
            <w:p w14:paraId="42EF9C2B" w14:textId="77777777" w:rsidR="005E000F" w:rsidRDefault="00000000">
              <w:r>
                <w:rPr>
                  <w:rFonts w:hint="eastAsia"/>
                </w:rPr>
                <w:t>-</w:t>
              </w:r>
              <w:r>
                <w:rPr>
                  <w:rFonts w:hint="eastAsia"/>
                </w:rPr>
                <w:t>纳税主体拥有以净额结算当期所得税资产及当期所得税负债的法定权利；</w:t>
              </w:r>
            </w:p>
            <w:p w14:paraId="7D46EF5D" w14:textId="77777777" w:rsidR="005E000F" w:rsidRDefault="005E000F"/>
            <w:p w14:paraId="2559C982" w14:textId="77777777" w:rsidR="005E000F" w:rsidRDefault="00000000">
              <w:pPr>
                <w:rPr>
                  <w:bCs/>
                </w:rPr>
              </w:pPr>
              <w:r>
                <w:rPr>
                  <w:rFonts w:hint="eastAsia"/>
                </w:rPr>
                <w:lastRenderedPageBreak/>
                <w:t>-</w:t>
              </w:r>
              <w:r>
                <w:rPr>
                  <w:rFonts w:hint="eastAsia"/>
                </w:rPr>
                <w:t>递延所得税资产及递延所得税负债是与同</w:t>
              </w:r>
              <w:proofErr w:type="gramStart"/>
              <w:r>
                <w:rPr>
                  <w:rFonts w:hint="eastAsia"/>
                </w:rPr>
                <w:t>一税收</w:t>
              </w:r>
              <w:proofErr w:type="gramEnd"/>
              <w:r>
                <w:rPr>
                  <w:rFonts w:hint="eastAsia"/>
                </w:rPr>
                <w:t>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w:t>
              </w:r>
              <w:r>
                <w:rPr>
                  <w:rFonts w:hint="eastAsia"/>
                  <w:bCs/>
                </w:rPr>
                <w:t>。</w:t>
              </w:r>
            </w:p>
          </w:sdtContent>
        </w:sdt>
        <w:p w14:paraId="00944A7C" w14:textId="77777777" w:rsidR="005E000F" w:rsidRDefault="00000000"/>
      </w:sdtContent>
    </w:sdt>
    <w:p w14:paraId="53FA2ABF" w14:textId="77777777" w:rsidR="005E000F" w:rsidRDefault="005E000F"/>
    <w:p w14:paraId="3F46C7F7" w14:textId="77777777" w:rsidR="005E000F" w:rsidRDefault="00000000">
      <w:pPr>
        <w:pStyle w:val="3"/>
        <w:numPr>
          <w:ilvl w:val="0"/>
          <w:numId w:val="59"/>
        </w:numPr>
      </w:pPr>
      <w:r>
        <w:t>租赁</w:t>
      </w:r>
    </w:p>
    <w:sdt>
      <w:sdtPr>
        <w:alias w:val="是否适用：租赁_重要会计政策和估计[双击切换]"/>
        <w:tag w:val="_GBC_6915a792f5f54d76bb3c5c2090ce337f"/>
        <w:id w:val="2060966560"/>
        <w:placeholder>
          <w:docPart w:val="GBC22222222222222222222222222222"/>
        </w:placeholder>
      </w:sdtPr>
      <w:sdtContent>
        <w:p w14:paraId="19722739"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B577D0A" w14:textId="77777777" w:rsidR="005E000F" w:rsidRDefault="00000000">
      <w:pPr>
        <w:rPr>
          <w:rFonts w:ascii="Calibri" w:hAnsi="Calibri"/>
          <w:b/>
          <w:kern w:val="2"/>
          <w:szCs w:val="32"/>
        </w:rPr>
      </w:pPr>
      <w:r>
        <w:rPr>
          <w:rFonts w:ascii="Calibri" w:hAnsi="Calibri"/>
          <w:b/>
          <w:kern w:val="2"/>
          <w:szCs w:val="32"/>
        </w:rPr>
        <w:t>作为承租方对短期租赁和低价值资产租赁进行简化处理的判断依据和会计处理方法</w:t>
      </w:r>
    </w:p>
    <w:sdt>
      <w:sdtPr>
        <w:alias w:val="是否适用：作为承租方对短期租赁和低价值资产租赁进行简化处理的判断依据和会计处理方法[双击切换]"/>
        <w:tag w:val="_GBC_96c8873101a04b4ab58dc379b95e7de7"/>
        <w:id w:val="-1585902184"/>
        <w:placeholder>
          <w:docPart w:val="GBC22222222222222222222222222222"/>
        </w:placeholder>
      </w:sdtPr>
      <w:sdtContent>
        <w:p w14:paraId="7664BF79"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作为承租方对短期租赁和低价值资产租赁进行简化处理的判断依据和会计处理方法"/>
        <w:tag w:val="_GBC_608ebcbb99ad40879d4235963013eef6"/>
        <w:id w:val="-1015304761"/>
        <w:placeholder>
          <w:docPart w:val="GBC22222222222222222222222222222"/>
        </w:placeholder>
      </w:sdtPr>
      <w:sdtContent>
        <w:p w14:paraId="121272CE" w14:textId="77777777" w:rsidR="005E000F" w:rsidRDefault="00000000">
          <w:r>
            <w:rPr>
              <w:rFonts w:hint="eastAsia"/>
            </w:rPr>
            <w:t>（</w:t>
          </w:r>
          <w:r>
            <w:rPr>
              <w:rFonts w:hint="eastAsia"/>
            </w:rPr>
            <w:t>1</w:t>
          </w:r>
          <w:r>
            <w:rPr>
              <w:rFonts w:hint="eastAsia"/>
            </w:rPr>
            <w:t>）租赁的识别</w:t>
          </w:r>
        </w:p>
        <w:p w14:paraId="68CB0766" w14:textId="77777777" w:rsidR="005E000F" w:rsidRDefault="005E000F"/>
        <w:p w14:paraId="4FE7C798" w14:textId="77777777" w:rsidR="005E000F" w:rsidRDefault="00000000">
          <w:r>
            <w:rPr>
              <w:rFonts w:hint="eastAsia"/>
            </w:rPr>
            <w:t>在合同开始日，本集团评估合同是否为租赁或者包含租赁。如果合同一方让渡了在一定期间内控制一项或多项已识别资产使用的权利以换取对价，则该合同为租赁或者包含租赁。</w:t>
          </w:r>
        </w:p>
        <w:p w14:paraId="09E0EF82" w14:textId="77777777" w:rsidR="005E000F" w:rsidRDefault="005E000F"/>
        <w:p w14:paraId="1551072D" w14:textId="77777777" w:rsidR="005E000F" w:rsidRDefault="00000000">
          <w:r>
            <w:rPr>
              <w:rFonts w:hint="eastAsia"/>
            </w:rPr>
            <w:t>合同中同时包含多项单独租赁的，本集团将合同予以分拆，并分别各项单独租赁进行会计处理。合同中同时包含租赁和非租赁部分的，本集团将租赁和非租赁部分分拆后进行会计处理。各租赁部分分别按照租赁准则进行会计处理，非租赁部分按照其他适用的企业会计准则进行会计处理。合同中同时包含租赁和非租赁部分的，本集团作为出租人的，将租赁和非租赁部分进行分拆后分别进行会计处理，各租赁部分分别按照租赁准则进行会计处理，非租赁部分按照其他适用的企业会计准则进行会计处理。本集团作为承租人的，选择不分拆租赁和非租赁部分，将各租赁部分及与其相关的非租赁部分分别合并为租赁，按照租赁准则进行会计处理；但是，合同中包括应分拆的嵌入衍生工具的，本集团不将其与租赁部分合并进行会计处理。</w:t>
          </w:r>
        </w:p>
        <w:p w14:paraId="608CFE9F" w14:textId="77777777" w:rsidR="005E000F" w:rsidRDefault="005E000F"/>
        <w:p w14:paraId="1C10F939" w14:textId="77777777" w:rsidR="005E000F" w:rsidRDefault="00000000">
          <w:r>
            <w:rPr>
              <w:rFonts w:hint="eastAsia"/>
            </w:rPr>
            <w:t>本集团租赁合同如存在续租选择权。本集团在评估是否合理确定将行使续租选择权时，综合考虑与本集团行使续租选择权带来经济利益的所有相关事实和情况，包括自租赁期开始日至选择权行使日之间的事实和情况的预期变化。租赁期开始日后，如发生本集团可控范围内的重大事件或变化，且影响本集团是否合理确定将行使相应续租选择权的，本集团将对是否行使续租选择权进行重新评估，并根据重新评估结果修改租赁期。</w:t>
          </w:r>
        </w:p>
        <w:p w14:paraId="5235C2EB" w14:textId="77777777" w:rsidR="005E000F" w:rsidRDefault="005E000F"/>
        <w:p w14:paraId="73838896" w14:textId="77777777" w:rsidR="005E000F" w:rsidRDefault="00000000">
          <w:r>
            <w:rPr>
              <w:rFonts w:hint="eastAsia"/>
            </w:rPr>
            <w:t>（</w:t>
          </w:r>
          <w:r>
            <w:rPr>
              <w:rFonts w:hint="eastAsia"/>
            </w:rPr>
            <w:t>2</w:t>
          </w:r>
          <w:r>
            <w:rPr>
              <w:rFonts w:hint="eastAsia"/>
            </w:rPr>
            <w:t>）本集团作为承租人</w:t>
          </w:r>
        </w:p>
        <w:p w14:paraId="181BCCD1" w14:textId="77777777" w:rsidR="005E000F" w:rsidRDefault="005E000F"/>
        <w:p w14:paraId="7D8D3E2C" w14:textId="77777777" w:rsidR="005E000F" w:rsidRDefault="00000000">
          <w:r>
            <w:rPr>
              <w:rFonts w:hint="eastAsia"/>
            </w:rPr>
            <w:t>1</w:t>
          </w:r>
          <w:r>
            <w:rPr>
              <w:rFonts w:hint="eastAsia"/>
            </w:rPr>
            <w:t>）租赁确认</w:t>
          </w:r>
        </w:p>
        <w:p w14:paraId="2E970C6E" w14:textId="77777777" w:rsidR="005E000F" w:rsidRDefault="005E000F"/>
        <w:p w14:paraId="73C4A7E8" w14:textId="77777777" w:rsidR="005E000F" w:rsidRDefault="00000000">
          <w:r>
            <w:rPr>
              <w:rFonts w:hint="eastAsia"/>
            </w:rPr>
            <w:t>除了短期租赁和低价值资产租赁，在租赁期开始日，本集团对租赁确认使用权资产和租赁负债。</w:t>
          </w:r>
        </w:p>
        <w:p w14:paraId="5A6A6837" w14:textId="77777777" w:rsidR="005E000F" w:rsidRDefault="005E000F"/>
        <w:p w14:paraId="3F2CE66A" w14:textId="77777777" w:rsidR="005E000F" w:rsidRDefault="00000000">
          <w:r>
            <w:rPr>
              <w:rFonts w:hint="eastAsia"/>
            </w:rPr>
            <w:t>使用权资产，是指本集团作为承租人可在租赁期内使用租赁资产的权利，按照成本进行初始计量。</w:t>
          </w:r>
          <w:proofErr w:type="gramStart"/>
          <w:r>
            <w:rPr>
              <w:rFonts w:hint="eastAsia"/>
            </w:rPr>
            <w:t>该成本</w:t>
          </w:r>
          <w:proofErr w:type="gramEnd"/>
          <w:r>
            <w:rPr>
              <w:rFonts w:hint="eastAsia"/>
            </w:rPr>
            <w:t>包括：①租赁负债的初始计量金额；②在租赁期开始日或之前支付的租赁付款额扣除已享受的租赁激励相关金额；③发生的初始直接费用；④为拆卸及移除租赁资产、复原租赁资产所在场地或将租赁资产恢复至租赁条款约定状态预计将发生的成本（属于为生产存货而发生的除外）。本集团按照租赁准则有关规定重新计量租赁负债的，相应调整使用权资产的账面价值。</w:t>
          </w:r>
        </w:p>
        <w:p w14:paraId="38904195" w14:textId="77777777" w:rsidR="005E000F" w:rsidRDefault="005E000F"/>
        <w:p w14:paraId="1130B923" w14:textId="77777777" w:rsidR="005E000F" w:rsidRDefault="00000000">
          <w:r>
            <w:rPr>
              <w:rFonts w:hint="eastAsia"/>
            </w:rPr>
            <w:t>本集团根据与使用权资产有关的经济利益的预期消耗方式以直线法对使用权资产计提折旧。能够合理确定租赁期届满时取得租赁资产所有权的，在租赁资产剩余使用寿命内计提折旧；无法合理确定租赁期届满时能够取得租赁资产所有权的，在租赁期与租赁资产剩余使用寿命两者孰短的期间内计提折旧。计提的折旧金额根据使用权资产的用途，计入相关资产的成本或者当期损益。</w:t>
          </w:r>
        </w:p>
        <w:p w14:paraId="153B3C8C" w14:textId="77777777" w:rsidR="005E000F" w:rsidRDefault="005E000F"/>
        <w:p w14:paraId="1C8E8F9E" w14:textId="77777777" w:rsidR="005E000F" w:rsidRDefault="00000000">
          <w:r>
            <w:rPr>
              <w:rFonts w:hint="eastAsia"/>
            </w:rPr>
            <w:t>本集团按照租赁期开始日尚未支付的租赁付款额的现值对租赁负债进行初始计量。租赁付款额包括：①固定付款额及实质固定付款额，扣除租赁激励相关金额；②取决于指数或比率的可变租赁付款额；③本集团合理确定将行使购买选择权时，购买选择权的行权价格；④租赁</w:t>
          </w:r>
          <w:proofErr w:type="gramStart"/>
          <w:r>
            <w:rPr>
              <w:rFonts w:hint="eastAsia"/>
            </w:rPr>
            <w:t>期反映</w:t>
          </w:r>
          <w:proofErr w:type="gramEnd"/>
          <w:r>
            <w:rPr>
              <w:rFonts w:hint="eastAsia"/>
            </w:rPr>
            <w:t>出本集团将行使终止租赁选择权时，行使终止租赁选择权需支付的款项；⑤根据本集团提供的担保余值预计应支付的款项。</w:t>
          </w:r>
        </w:p>
        <w:p w14:paraId="24286230" w14:textId="77777777" w:rsidR="005E000F" w:rsidRDefault="005E000F"/>
        <w:p w14:paraId="3C4B9159" w14:textId="77777777" w:rsidR="005E000F" w:rsidRDefault="00000000">
          <w:r>
            <w:rPr>
              <w:rFonts w:hint="eastAsia"/>
            </w:rPr>
            <w:t>在计算租赁付款额的现值时，本集团采用租赁内含利率作为折现率。本集团因无法确定租赁内含利率的，采用增量借款利率作为折现率。本集团按照固定的周期性利率计算租赁负债在租赁期内各期间的利息费用，并计入当期损益，但应当资本化的除外。</w:t>
          </w:r>
        </w:p>
        <w:p w14:paraId="3A13C8DE" w14:textId="77777777" w:rsidR="005E000F" w:rsidRDefault="005E000F"/>
        <w:p w14:paraId="240DB5B5" w14:textId="77777777" w:rsidR="005E000F" w:rsidRDefault="00000000">
          <w:r>
            <w:rPr>
              <w:rFonts w:hint="eastAsia"/>
            </w:rPr>
            <w:t>在租赁期开始日后，本集团确认租赁负债的利息时，增加租赁负债的账面金额；支付租赁付款额时，减少租赁负债的账面金额。当实质固定付款额发生变动、担保余值预计的应付金额发生变化、用于确定租赁付款额的指数或比率发生变动、购买选择权、续租选择权或终止选择权的评估结果或实际行权情况发生变化时，本集团按照变动后的租赁付款额的现值重新计量租赁负债。</w:t>
          </w:r>
        </w:p>
        <w:p w14:paraId="3D00980D" w14:textId="77777777" w:rsidR="005E000F" w:rsidRDefault="005E000F"/>
        <w:p w14:paraId="5AD60682" w14:textId="77777777" w:rsidR="005E000F" w:rsidRDefault="00000000">
          <w:r>
            <w:rPr>
              <w:rFonts w:hint="eastAsia"/>
            </w:rPr>
            <w:t>2</w:t>
          </w:r>
          <w:r>
            <w:rPr>
              <w:rFonts w:hint="eastAsia"/>
            </w:rPr>
            <w:t>）租赁变更</w:t>
          </w:r>
        </w:p>
        <w:p w14:paraId="5FC4969F" w14:textId="77777777" w:rsidR="005E000F" w:rsidRDefault="005E000F"/>
        <w:p w14:paraId="13D33319" w14:textId="77777777" w:rsidR="005E000F" w:rsidRDefault="00000000">
          <w:r>
            <w:rPr>
              <w:rFonts w:hint="eastAsia"/>
            </w:rPr>
            <w:t>租赁变更，是指原合同条款之外的租赁范围、租赁对价、租赁期限的变更，包括增加或终止一项或多项租赁资产的使用权，延长或缩短合同规定的租赁期等。租赁变更生效日，是指双方就租赁变更达成一致的日期。</w:t>
          </w:r>
        </w:p>
        <w:p w14:paraId="285BF7B0" w14:textId="77777777" w:rsidR="005E000F" w:rsidRDefault="005E000F"/>
        <w:p w14:paraId="6B39D7DA" w14:textId="77777777" w:rsidR="005E000F" w:rsidRDefault="00000000">
          <w:r>
            <w:rPr>
              <w:rFonts w:hint="eastAsia"/>
            </w:rPr>
            <w:t>租赁发生变更且同时符合下列条件的，本集团将该租赁变更作为一项单独租赁进行会计处理：①该租赁变更通过增加一项或多项租赁资产的使用权而扩大了租赁范围或延长了租赁期限；②增加的对价与租赁范围扩大部分或租赁期限延长部分的单独价格按该合同情况调整后的金额相当。</w:t>
          </w:r>
        </w:p>
        <w:p w14:paraId="251AB9E3" w14:textId="77777777" w:rsidR="005E000F" w:rsidRDefault="005E000F"/>
        <w:p w14:paraId="0D59FE54" w14:textId="77777777" w:rsidR="005E000F" w:rsidRDefault="00000000">
          <w:r>
            <w:rPr>
              <w:rFonts w:hint="eastAsia"/>
            </w:rPr>
            <w:t>租赁变更未作为一项单独租赁进行会计处理的，在租赁变更生效日，本集团按照租赁准则有关规定对变更后合同的对价进行分摊，重新确定变更后的租赁期；并采用修订后的折现率对变更后的租赁付款额进行折现，以重新计量租赁负债。就上述租赁负债调整的影响，本集团区分以下情形进行会计处理：①租赁变更导致租赁范围缩小或租赁期缩短的，承租人应当调减使用权资产的账面价值，并将部分终止或完全终止租赁的相关利得或损失计入当期损益。②其他租赁变更导致租赁负债重新计量的，承租人相应调整使用权资产的账面价值。</w:t>
          </w:r>
        </w:p>
        <w:p w14:paraId="507E8D38" w14:textId="77777777" w:rsidR="005E000F" w:rsidRDefault="005E000F"/>
        <w:p w14:paraId="21FC79BC" w14:textId="77777777" w:rsidR="005E000F" w:rsidRDefault="00000000">
          <w:r>
            <w:rPr>
              <w:rFonts w:hint="eastAsia"/>
            </w:rPr>
            <w:t>3</w:t>
          </w:r>
          <w:r>
            <w:rPr>
              <w:rFonts w:hint="eastAsia"/>
            </w:rPr>
            <w:t>）短期租赁和低价值资产租赁</w:t>
          </w:r>
        </w:p>
        <w:p w14:paraId="6DD6D359" w14:textId="77777777" w:rsidR="005E000F" w:rsidRDefault="005E000F"/>
        <w:p w14:paraId="6576E40F" w14:textId="77777777" w:rsidR="005E000F" w:rsidRDefault="00000000">
          <w:r>
            <w:rPr>
              <w:rFonts w:hint="eastAsia"/>
            </w:rPr>
            <w:t>对于租赁期不超过</w:t>
          </w:r>
          <w:r>
            <w:rPr>
              <w:rFonts w:hint="eastAsia"/>
            </w:rPr>
            <w:t>12</w:t>
          </w:r>
          <w:r>
            <w:rPr>
              <w:rFonts w:hint="eastAsia"/>
            </w:rPr>
            <w:t>个月的短期租赁和单项租赁资产为全新资产时价值较低的低价值资产租赁，本集团选择不确认使用权资产和租赁负债。本集团将短期租赁和低价值资产租赁的租赁付款额，在租赁期内各个期间按照直线法或其他系统合理的方法计入相关资产成本或当期损益。</w:t>
          </w:r>
        </w:p>
        <w:p w14:paraId="1D17EE7D" w14:textId="77777777" w:rsidR="005E000F" w:rsidRDefault="005E000F"/>
        <w:p w14:paraId="3A24FF7C" w14:textId="77777777" w:rsidR="005E000F" w:rsidRDefault="00000000">
          <w:r>
            <w:rPr>
              <w:rFonts w:hint="eastAsia"/>
            </w:rPr>
            <w:t>4</w:t>
          </w:r>
          <w:r>
            <w:rPr>
              <w:rFonts w:hint="eastAsia"/>
            </w:rPr>
            <w:t>）售后租回</w:t>
          </w:r>
        </w:p>
        <w:p w14:paraId="386A1C3A" w14:textId="77777777" w:rsidR="005E000F" w:rsidRDefault="005E000F"/>
        <w:p w14:paraId="59C9B14A" w14:textId="77777777" w:rsidR="005E000F" w:rsidRDefault="00000000">
          <w:pPr>
            <w:rPr>
              <w:bCs/>
            </w:rPr>
          </w:pPr>
          <w:r>
            <w:rPr>
              <w:rFonts w:hint="eastAsia"/>
              <w:bCs/>
            </w:rPr>
            <w:t>本集团作为售后租回交易中的卖方兼承租人，对相关标的资产转让是否构成销售进行评估。</w:t>
          </w:r>
        </w:p>
        <w:p w14:paraId="29A34404" w14:textId="77777777" w:rsidR="005E000F" w:rsidRDefault="005E000F">
          <w:pPr>
            <w:rPr>
              <w:bCs/>
            </w:rPr>
          </w:pPr>
        </w:p>
        <w:p w14:paraId="77752903" w14:textId="77777777" w:rsidR="005E000F" w:rsidRDefault="00000000">
          <w:pPr>
            <w:rPr>
              <w:bCs/>
            </w:rPr>
          </w:pPr>
          <w:r>
            <w:rPr>
              <w:rFonts w:hint="eastAsia"/>
              <w:bCs/>
            </w:rPr>
            <w:t>本集团判断不构成销售的，本集团继续确认被转让资产，同时确认一项与转让收入等额的金融负债。</w:t>
          </w:r>
        </w:p>
        <w:p w14:paraId="64B356F1" w14:textId="77777777" w:rsidR="005E000F" w:rsidRDefault="005E000F">
          <w:pPr>
            <w:rPr>
              <w:bCs/>
            </w:rPr>
          </w:pPr>
        </w:p>
        <w:p w14:paraId="4F1B4952" w14:textId="77777777" w:rsidR="005E000F" w:rsidRDefault="00000000">
          <w:pPr>
            <w:rPr>
              <w:bCs/>
            </w:rPr>
          </w:pPr>
          <w:r>
            <w:rPr>
              <w:rFonts w:hint="eastAsia"/>
              <w:bCs/>
            </w:rPr>
            <w:t>构成销售的，本集团按原资产账面价值中与租回获得的使用权有关的部分，计量售后租回所形成的使用权资产，并仅就转让至出租人的权利确认相关利得或损失。在对售后租回所形成的租赁负债进行后续计量时，确定租赁付款额或变更后租赁付款额的方式</w:t>
          </w:r>
          <w:proofErr w:type="gramStart"/>
          <w:r>
            <w:rPr>
              <w:rFonts w:hint="eastAsia"/>
              <w:bCs/>
            </w:rPr>
            <w:t>不</w:t>
          </w:r>
          <w:proofErr w:type="gramEnd"/>
          <w:r>
            <w:rPr>
              <w:rFonts w:hint="eastAsia"/>
              <w:bCs/>
            </w:rPr>
            <w:t>导致本集团确认与租回所获得的使用权有关的利得或损失（租赁变更导致租赁范围缩小或租赁期缩短的除外）。</w:t>
          </w:r>
        </w:p>
        <w:p w14:paraId="64D8AC99" w14:textId="77777777" w:rsidR="005E000F" w:rsidRDefault="00000000"/>
      </w:sdtContent>
    </w:sdt>
    <w:p w14:paraId="6762534E" w14:textId="77777777" w:rsidR="005E000F" w:rsidRDefault="005E000F">
      <w:pPr>
        <w:rPr>
          <w:rFonts w:ascii="Calibri" w:hAnsi="Calibri"/>
          <w:kern w:val="2"/>
          <w:szCs w:val="32"/>
        </w:rPr>
      </w:pPr>
    </w:p>
    <w:p w14:paraId="4222BC7D" w14:textId="77777777" w:rsidR="005E000F" w:rsidRDefault="00000000">
      <w:pPr>
        <w:rPr>
          <w:rFonts w:ascii="Calibri" w:hAnsi="Calibri"/>
          <w:b/>
          <w:kern w:val="2"/>
          <w:szCs w:val="32"/>
        </w:rPr>
      </w:pPr>
      <w:r>
        <w:rPr>
          <w:rFonts w:ascii="Calibri" w:hAnsi="Calibri"/>
          <w:b/>
          <w:kern w:val="2"/>
          <w:szCs w:val="32"/>
        </w:rPr>
        <w:t>作为出租方的租赁分类标准和会计处理方法</w:t>
      </w:r>
    </w:p>
    <w:sdt>
      <w:sdtPr>
        <w:alias w:val="是否适用：作为出租方的租赁分类标准和会计处理方法[双击切换]"/>
        <w:tag w:val="_GBC_4ce66446786b4db69563b4f1b2b86d89"/>
        <w:id w:val="354235363"/>
        <w:placeholder>
          <w:docPart w:val="GBC22222222222222222222222222222"/>
        </w:placeholder>
      </w:sdtPr>
      <w:sdtContent>
        <w:p w14:paraId="49A5E97E"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作为出租方的租赁分类标准和会计处理方法"/>
        <w:tag w:val="_GBC_ca849938b2044c5a8ca6cd68a06181a3"/>
        <w:id w:val="-657152810"/>
        <w:placeholder>
          <w:docPart w:val="GBC22222222222222222222222222222"/>
        </w:placeholder>
      </w:sdtPr>
      <w:sdtContent>
        <w:p w14:paraId="7CFB57B1" w14:textId="77777777" w:rsidR="005E000F" w:rsidRDefault="00000000">
          <w:r>
            <w:rPr>
              <w:rFonts w:hint="eastAsia"/>
            </w:rPr>
            <w:t>本集团作为出租人，如果一项租赁实质上转移了与租赁资产所有权有关的几乎全部风险和报酬，本集团将该项租赁分类为融资租赁，除此之外分类为经营租赁。</w:t>
          </w:r>
        </w:p>
        <w:p w14:paraId="51602819" w14:textId="77777777" w:rsidR="005E000F" w:rsidRDefault="005E000F"/>
        <w:p w14:paraId="70EF183A" w14:textId="77777777" w:rsidR="005E000F" w:rsidRDefault="00000000">
          <w:r>
            <w:rPr>
              <w:rFonts w:hint="eastAsia"/>
            </w:rPr>
            <w:t>1</w:t>
          </w:r>
          <w:r>
            <w:rPr>
              <w:rFonts w:hint="eastAsia"/>
            </w:rPr>
            <w:t>）融资租赁</w:t>
          </w:r>
        </w:p>
        <w:p w14:paraId="1F815E69" w14:textId="77777777" w:rsidR="005E000F" w:rsidRDefault="005E000F"/>
        <w:p w14:paraId="410FA701" w14:textId="77777777" w:rsidR="005E000F" w:rsidRDefault="00000000">
          <w:r>
            <w:rPr>
              <w:rFonts w:hint="eastAsia"/>
            </w:rPr>
            <w:t>在租赁期开始日，本集团对融资租赁确认应收融资租赁款，并终止确认融资租赁资产。本集团对应收融资租赁款进行初始计量时，以租赁投资净额作为应收融资租赁款的入账价值。</w:t>
          </w:r>
        </w:p>
        <w:p w14:paraId="1086A86F" w14:textId="77777777" w:rsidR="005E000F" w:rsidRDefault="005E000F"/>
        <w:p w14:paraId="18F8605A" w14:textId="77777777" w:rsidR="005E000F" w:rsidRDefault="00000000">
          <w:r>
            <w:rPr>
              <w:rFonts w:hint="eastAsia"/>
            </w:rPr>
            <w:t>租赁投资净额为未担保余值和租赁期开始日尚未收到的</w:t>
          </w:r>
          <w:proofErr w:type="gramStart"/>
          <w:r>
            <w:rPr>
              <w:rFonts w:hint="eastAsia"/>
            </w:rPr>
            <w:t>租赁收</w:t>
          </w:r>
          <w:proofErr w:type="gramEnd"/>
          <w:r>
            <w:rPr>
              <w:rFonts w:hint="eastAsia"/>
            </w:rPr>
            <w:t>款额按照租赁内含利率折现的现值之</w:t>
          </w:r>
          <w:proofErr w:type="gramStart"/>
          <w:r>
            <w:rPr>
              <w:rFonts w:hint="eastAsia"/>
            </w:rPr>
            <w:t>和</w:t>
          </w:r>
          <w:proofErr w:type="gramEnd"/>
          <w:r>
            <w:rPr>
              <w:rFonts w:hint="eastAsia"/>
            </w:rPr>
            <w:t>。本集团按照固定的周期性利率计算并确认租赁期内各个期间的利息收入。本集团取得的未纳入租赁投资净额计量的可变租赁付款额在实际发生时计入当期损益。</w:t>
          </w:r>
        </w:p>
        <w:p w14:paraId="0B950EC0" w14:textId="77777777" w:rsidR="005E000F" w:rsidRDefault="005E000F"/>
        <w:p w14:paraId="70639C1C" w14:textId="77777777" w:rsidR="005E000F" w:rsidRDefault="00000000">
          <w:r>
            <w:rPr>
              <w:rFonts w:hint="eastAsia"/>
            </w:rPr>
            <w:t>2</w:t>
          </w:r>
          <w:r>
            <w:rPr>
              <w:rFonts w:hint="eastAsia"/>
            </w:rPr>
            <w:t>）经营租赁</w:t>
          </w:r>
        </w:p>
        <w:p w14:paraId="3868DF80" w14:textId="77777777" w:rsidR="005E000F" w:rsidRDefault="005E000F"/>
        <w:p w14:paraId="2A52F8C2" w14:textId="77777777" w:rsidR="005E000F" w:rsidRDefault="00000000">
          <w:r>
            <w:rPr>
              <w:rFonts w:hint="eastAsia"/>
            </w:rPr>
            <w:t>在租赁期内各个期间，本集团采用直线法或其他系统合理的方法将经营租赁的</w:t>
          </w:r>
          <w:proofErr w:type="gramStart"/>
          <w:r>
            <w:rPr>
              <w:rFonts w:hint="eastAsia"/>
            </w:rPr>
            <w:t>租赁收</w:t>
          </w:r>
          <w:proofErr w:type="gramEnd"/>
          <w:r>
            <w:rPr>
              <w:rFonts w:hint="eastAsia"/>
            </w:rPr>
            <w:t>款额确认为租金收入。</w:t>
          </w:r>
        </w:p>
        <w:p w14:paraId="4C1DFA5A" w14:textId="77777777" w:rsidR="005E000F" w:rsidRDefault="005E000F"/>
        <w:p w14:paraId="351A1A4D" w14:textId="77777777" w:rsidR="005E000F" w:rsidRDefault="00000000">
          <w:r>
            <w:rPr>
              <w:rFonts w:hint="eastAsia"/>
            </w:rPr>
            <w:t>本集团发生的与经营租赁有关的初始直接费用资本化至租赁标的资产的成本，在租赁期内按照与租金收入相同的确认基础分期计入当期损益。本集团取得的与经营租赁有关的未计入</w:t>
          </w:r>
          <w:proofErr w:type="gramStart"/>
          <w:r>
            <w:rPr>
              <w:rFonts w:hint="eastAsia"/>
            </w:rPr>
            <w:t>租赁收</w:t>
          </w:r>
          <w:proofErr w:type="gramEnd"/>
          <w:r>
            <w:rPr>
              <w:rFonts w:hint="eastAsia"/>
            </w:rPr>
            <w:t>款额的可变租赁付款额</w:t>
          </w:r>
          <w:r>
            <w:rPr>
              <w:rFonts w:hint="eastAsia"/>
            </w:rPr>
            <w:t>,</w:t>
          </w:r>
          <w:r>
            <w:rPr>
              <w:rFonts w:hint="eastAsia"/>
            </w:rPr>
            <w:t>在实际发生时计入当期损益。</w:t>
          </w:r>
        </w:p>
        <w:p w14:paraId="456FBA03" w14:textId="77777777" w:rsidR="005E000F" w:rsidRDefault="005E000F"/>
        <w:p w14:paraId="6A3FEE36" w14:textId="77777777" w:rsidR="005E000F" w:rsidRDefault="00000000">
          <w:r>
            <w:rPr>
              <w:rFonts w:hint="eastAsia"/>
            </w:rPr>
            <w:t>经营租赁发生变更的，本集团自变更生效日开始，将其作为一项新的租赁进行会计处理，与变更前租赁有关的预收或应收</w:t>
          </w:r>
          <w:proofErr w:type="gramStart"/>
          <w:r>
            <w:rPr>
              <w:rFonts w:hint="eastAsia"/>
            </w:rPr>
            <w:t>租赁收</w:t>
          </w:r>
          <w:proofErr w:type="gramEnd"/>
          <w:r>
            <w:rPr>
              <w:rFonts w:hint="eastAsia"/>
            </w:rPr>
            <w:t>款额视为新租赁的收款额。</w:t>
          </w:r>
        </w:p>
        <w:p w14:paraId="31A287C0" w14:textId="77777777" w:rsidR="005E000F" w:rsidRDefault="005E000F"/>
        <w:p w14:paraId="433EAD70" w14:textId="77777777" w:rsidR="005E000F" w:rsidRDefault="00000000">
          <w:r>
            <w:rPr>
              <w:rFonts w:hint="eastAsia"/>
            </w:rPr>
            <w:t>3</w:t>
          </w:r>
          <w:r>
            <w:rPr>
              <w:rFonts w:hint="eastAsia"/>
            </w:rPr>
            <w:t>）售后租回</w:t>
          </w:r>
        </w:p>
        <w:p w14:paraId="56906F9D" w14:textId="77777777" w:rsidR="005E000F" w:rsidRDefault="005E000F"/>
        <w:p w14:paraId="7E16B046" w14:textId="77777777" w:rsidR="005E000F" w:rsidRDefault="00000000">
          <w:r>
            <w:rPr>
              <w:rFonts w:hint="eastAsia"/>
            </w:rPr>
            <w:t>公本集团作为售后租回交易中的买方兼出租人，相关标的资产的控制权未转移给本集团，本集团不确认被转让资产，但确认一项与转让收入等额的金融资产；相关标的资产的控制权已转移给本集团，资产转让构成销售，本集团对资产购买进行会计处理，并根据前述政策对资产的出租进行会计处理</w:t>
          </w:r>
          <w:r>
            <w:rPr>
              <w:rFonts w:hint="eastAsia"/>
              <w:bCs/>
            </w:rPr>
            <w:t>。</w:t>
          </w:r>
        </w:p>
      </w:sdtContent>
    </w:sdt>
    <w:p w14:paraId="47757041" w14:textId="77777777" w:rsidR="005E000F" w:rsidRDefault="005E000F"/>
    <w:p w14:paraId="7F604D25" w14:textId="77777777" w:rsidR="005E000F" w:rsidRDefault="00000000">
      <w:pPr>
        <w:pStyle w:val="3"/>
        <w:numPr>
          <w:ilvl w:val="0"/>
          <w:numId w:val="59"/>
        </w:numPr>
      </w:pPr>
      <w:r>
        <w:rPr>
          <w:rFonts w:hint="eastAsia"/>
        </w:rPr>
        <w:t>其他重要的会计政策和会计估计</w:t>
      </w:r>
    </w:p>
    <w:sdt>
      <w:sdtPr>
        <w:rPr>
          <w:rFonts w:hint="eastAsia"/>
        </w:rPr>
        <w:alias w:val="是否适用：其他重要的会计政策和会计估计[双击切换]"/>
        <w:tag w:val="_GBC_b463c26b00e64f799c5b85b2c1c805fb"/>
        <w:id w:val="-3826270"/>
        <w:placeholder>
          <w:docPart w:val="GBC22222222222222222222222222222"/>
        </w:placeholder>
      </w:sdtPr>
      <w:sdtContent>
        <w:p w14:paraId="2C7C74FC"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其他主要会计政策会计估计和会计报表的编制方法"/>
        <w:tag w:val="_GBC_5cf318d9d3d148c4af010cce77bc955d"/>
        <w:id w:val="-1459482302"/>
        <w:placeholder>
          <w:docPart w:val="GBC22222222222222222222222222222"/>
        </w:placeholder>
      </w:sdtPr>
      <w:sdtContent>
        <w:sdt>
          <w:sdtPr>
            <w:alias w:val="其他主要会计政策会计估计和会计报表的编制方法"/>
            <w:tag w:val="_GBC_5cf318d9d3d148c4af010cce77bc955d"/>
            <w:id w:val="-694925425"/>
          </w:sdtPr>
          <w:sdtContent>
            <w:p w14:paraId="3DA0BACB" w14:textId="77777777" w:rsidR="005E000F" w:rsidRDefault="00000000">
              <w:r>
                <w:rPr>
                  <w:rFonts w:hint="eastAsia"/>
                </w:rPr>
                <w:t>（</w:t>
              </w:r>
              <w:r>
                <w:rPr>
                  <w:rFonts w:hint="eastAsia"/>
                </w:rPr>
                <w:t>1</w:t>
              </w:r>
              <w:r>
                <w:rPr>
                  <w:rFonts w:hint="eastAsia"/>
                </w:rPr>
                <w:t>）股利分配</w:t>
              </w:r>
            </w:p>
            <w:p w14:paraId="5A2AD004" w14:textId="77777777" w:rsidR="005E000F" w:rsidRDefault="005E000F"/>
            <w:p w14:paraId="377B143A" w14:textId="77777777" w:rsidR="005E000F" w:rsidRDefault="00000000">
              <w:r>
                <w:rPr>
                  <w:rFonts w:hint="eastAsia"/>
                </w:rPr>
                <w:t>资产负债表日后，经审议批准的利润分配方案中拟分配的股利或利润，不确认为资产负债表日的负债，在附注中单独披露。</w:t>
              </w:r>
            </w:p>
            <w:p w14:paraId="07C3C8B2" w14:textId="77777777" w:rsidR="005E000F" w:rsidRDefault="005E000F"/>
            <w:p w14:paraId="7CF6FD0C" w14:textId="77777777" w:rsidR="005E000F" w:rsidRDefault="00000000">
              <w:r>
                <w:rPr>
                  <w:rFonts w:hint="eastAsia"/>
                </w:rPr>
                <w:t>（</w:t>
              </w:r>
              <w:r>
                <w:rPr>
                  <w:rFonts w:hint="eastAsia"/>
                </w:rPr>
                <w:t>2</w:t>
              </w:r>
              <w:r>
                <w:rPr>
                  <w:rFonts w:hint="eastAsia"/>
                </w:rPr>
                <w:t>）安全生产费</w:t>
              </w:r>
            </w:p>
            <w:p w14:paraId="2A56B1E4" w14:textId="77777777" w:rsidR="005E000F" w:rsidRDefault="005E000F"/>
            <w:p w14:paraId="5AF34D78" w14:textId="77777777" w:rsidR="005E000F" w:rsidRDefault="00000000">
              <w:r>
                <w:rPr>
                  <w:rFonts w:hint="eastAsia"/>
                </w:rPr>
                <w:t>根据</w:t>
              </w:r>
              <w:r>
                <w:rPr>
                  <w:rFonts w:hint="eastAsia"/>
                </w:rPr>
                <w:t>2022</w:t>
              </w:r>
              <w:r>
                <w:rPr>
                  <w:rFonts w:hint="eastAsia"/>
                </w:rPr>
                <w:t>年</w:t>
              </w:r>
              <w:r>
                <w:rPr>
                  <w:rFonts w:hint="eastAsia"/>
                </w:rPr>
                <w:t>11</w:t>
              </w:r>
              <w:r>
                <w:rPr>
                  <w:rFonts w:hint="eastAsia"/>
                </w:rPr>
                <w:t>月</w:t>
              </w:r>
              <w:r>
                <w:rPr>
                  <w:rFonts w:hint="eastAsia"/>
                </w:rPr>
                <w:t>21</w:t>
              </w:r>
              <w:r>
                <w:rPr>
                  <w:rFonts w:hint="eastAsia"/>
                </w:rPr>
                <w:t>日财政部和</w:t>
              </w:r>
              <w:proofErr w:type="gramStart"/>
              <w:r>
                <w:rPr>
                  <w:rFonts w:hint="eastAsia"/>
                </w:rPr>
                <w:t>应急部</w:t>
              </w:r>
              <w:proofErr w:type="gramEnd"/>
              <w:r>
                <w:rPr>
                  <w:rFonts w:hint="eastAsia"/>
                </w:rPr>
                <w:t>关于印发《企业安全生产费用提取和使用管理办法》的通知</w:t>
              </w:r>
              <w:r>
                <w:rPr>
                  <w:rFonts w:hint="eastAsia"/>
                </w:rPr>
                <w:t>(</w:t>
              </w:r>
              <w:r>
                <w:rPr>
                  <w:rFonts w:hint="eastAsia"/>
                </w:rPr>
                <w:t>财资【</w:t>
              </w:r>
              <w:r>
                <w:rPr>
                  <w:rFonts w:hint="eastAsia"/>
                </w:rPr>
                <w:t>2022</w:t>
              </w:r>
              <w:r>
                <w:rPr>
                  <w:rFonts w:hint="eastAsia"/>
                </w:rPr>
                <w:t>】</w:t>
              </w:r>
              <w:r>
                <w:rPr>
                  <w:rFonts w:hint="eastAsia"/>
                </w:rPr>
                <w:t>136</w:t>
              </w:r>
              <w:r>
                <w:rPr>
                  <w:rFonts w:hint="eastAsia"/>
                </w:rPr>
                <w:t>号文</w:t>
              </w:r>
              <w:r>
                <w:rPr>
                  <w:rFonts w:hint="eastAsia"/>
                </w:rPr>
                <w:t>)</w:t>
              </w:r>
              <w:r>
                <w:rPr>
                  <w:rFonts w:hint="eastAsia"/>
                </w:rPr>
                <w:t>，本集团从事交通运输行业，</w:t>
              </w:r>
              <w:proofErr w:type="gramStart"/>
              <w:r>
                <w:rPr>
                  <w:rFonts w:hint="eastAsia"/>
                </w:rPr>
                <w:t>需以上</w:t>
              </w:r>
              <w:proofErr w:type="gramEnd"/>
              <w:r>
                <w:rPr>
                  <w:rFonts w:hint="eastAsia"/>
                </w:rPr>
                <w:t>年度的营业收入为计提依据，按照一定的计提比例提取安全生产费。</w:t>
              </w:r>
            </w:p>
            <w:p w14:paraId="42EFE609" w14:textId="77777777" w:rsidR="005E000F" w:rsidRDefault="005E000F"/>
            <w:p w14:paraId="0858C143" w14:textId="77777777" w:rsidR="005E000F" w:rsidRDefault="00000000">
              <w:r>
                <w:rPr>
                  <w:rFonts w:hint="eastAsia"/>
                </w:rPr>
                <w:t>安全生产费主要用于完善、改造和维护安全防护设备及设施支出。安全生产费在提取时计入相关产品的成本或当期损益，同时记入专项储备科目。在使用时，对在规定使用范围内的费用性支出，</w:t>
              </w:r>
              <w:proofErr w:type="gramStart"/>
              <w:r>
                <w:rPr>
                  <w:rFonts w:hint="eastAsia"/>
                </w:rPr>
                <w:t>于费用</w:t>
              </w:r>
              <w:proofErr w:type="gramEnd"/>
              <w:r>
                <w:rPr>
                  <w:rFonts w:hint="eastAsia"/>
                </w:rPr>
                <w:t>发生时直接冲减专项储备；属于资本性支出的，通过在建工程科目归集所发生的支出，待项目完工达到预定可使用状态时转入固定资产，按照形成固定资产的成本冲减专项储备，同时确认相应金额的累计折旧，该固定资产以后期间不再计提折旧。</w:t>
              </w:r>
            </w:p>
            <w:p w14:paraId="4FFAE096" w14:textId="77777777" w:rsidR="005E000F" w:rsidRDefault="005E000F"/>
            <w:p w14:paraId="6686ABA3" w14:textId="77777777" w:rsidR="005E000F" w:rsidRDefault="00000000">
              <w:r>
                <w:rPr>
                  <w:rFonts w:hint="eastAsia"/>
                </w:rPr>
                <w:t>（</w:t>
              </w:r>
              <w:r>
                <w:rPr>
                  <w:rFonts w:hint="eastAsia"/>
                </w:rPr>
                <w:t>3</w:t>
              </w:r>
              <w:r>
                <w:rPr>
                  <w:rFonts w:hint="eastAsia"/>
                </w:rPr>
                <w:t>）分部报告</w:t>
              </w:r>
            </w:p>
            <w:p w14:paraId="5773818D" w14:textId="77777777" w:rsidR="005E000F" w:rsidRDefault="005E000F"/>
            <w:p w14:paraId="053DE94D" w14:textId="77777777" w:rsidR="005E000F" w:rsidRDefault="00000000">
              <w:r>
                <w:rPr>
                  <w:rFonts w:hint="eastAsia"/>
                </w:rPr>
                <w:t>本集团以内部组织结构、管理要求、内部报告制度为依据确定经营分部。如果两个或多个经营分部存在相似经济特征且同时在各单项产品或劳务的性质、生产过程的性质、产品或劳务的客户类型、销售产品或提供劳务的方式、生产产品及提供劳务受法律及行政法规的影响等方面具有相同</w:t>
              </w:r>
              <w:r>
                <w:rPr>
                  <w:rFonts w:hint="eastAsia"/>
                </w:rPr>
                <w:lastRenderedPageBreak/>
                <w:t>或相似性的，可以合并为一个经营分部。本集团以经营分部为基础考虑重要性原则后确定报告分部。</w:t>
              </w:r>
            </w:p>
            <w:p w14:paraId="332BD1BE" w14:textId="77777777" w:rsidR="005E000F" w:rsidRDefault="005E000F"/>
            <w:p w14:paraId="331A244A" w14:textId="77777777" w:rsidR="005E000F" w:rsidRDefault="00000000">
              <w:r>
                <w:rPr>
                  <w:rFonts w:hint="eastAsia"/>
                </w:rPr>
                <w:t>本集团主要从事铁路客</w:t>
              </w:r>
              <w:r>
                <w:rPr>
                  <w:rFonts w:hint="eastAsia"/>
                </w:rPr>
                <w:t>/</w:t>
              </w:r>
              <w:proofErr w:type="gramStart"/>
              <w:r>
                <w:rPr>
                  <w:rFonts w:hint="eastAsia"/>
                </w:rPr>
                <w:t>货运输</w:t>
              </w:r>
              <w:proofErr w:type="gramEnd"/>
              <w:r>
                <w:rPr>
                  <w:rFonts w:hint="eastAsia"/>
                </w:rPr>
                <w:t>业务，全部服务均在中华人民共和国境内提供。本集团管理</w:t>
              </w:r>
              <w:proofErr w:type="gramStart"/>
              <w:r>
                <w:rPr>
                  <w:rFonts w:hint="eastAsia"/>
                </w:rPr>
                <w:t>层并不</w:t>
              </w:r>
              <w:proofErr w:type="gramEnd"/>
              <w:r>
                <w:rPr>
                  <w:rFonts w:hint="eastAsia"/>
                </w:rPr>
                <w:t>单独核算客</w:t>
              </w:r>
              <w:r>
                <w:rPr>
                  <w:rFonts w:hint="eastAsia"/>
                </w:rPr>
                <w:t>/</w:t>
              </w:r>
              <w:r>
                <w:rPr>
                  <w:rFonts w:hint="eastAsia"/>
                </w:rPr>
                <w:t>货运业务在日常经营活动中发生的成本、费用，也未单独评价客</w:t>
              </w:r>
              <w:r>
                <w:rPr>
                  <w:rFonts w:hint="eastAsia"/>
                </w:rPr>
                <w:t>/</w:t>
              </w:r>
              <w:r>
                <w:rPr>
                  <w:rFonts w:hint="eastAsia"/>
                </w:rPr>
                <w:t>货运业务的经营成果，因此不需提供分部报告。</w:t>
              </w:r>
            </w:p>
            <w:p w14:paraId="0CEF028D" w14:textId="77777777" w:rsidR="005E000F" w:rsidRDefault="005E000F"/>
            <w:p w14:paraId="4841A2A1" w14:textId="77777777" w:rsidR="005E000F" w:rsidRDefault="00000000">
              <w:r>
                <w:rPr>
                  <w:rFonts w:hint="eastAsia"/>
                </w:rPr>
                <w:t>（</w:t>
              </w:r>
              <w:r>
                <w:rPr>
                  <w:rFonts w:hint="eastAsia"/>
                </w:rPr>
                <w:t>4</w:t>
              </w:r>
              <w:r>
                <w:rPr>
                  <w:rFonts w:hint="eastAsia"/>
                </w:rPr>
                <w:t>）公允价值</w:t>
              </w:r>
            </w:p>
            <w:p w14:paraId="1908D84D" w14:textId="77777777" w:rsidR="005E000F" w:rsidRDefault="005E000F"/>
            <w:p w14:paraId="035EC556" w14:textId="77777777" w:rsidR="005E000F" w:rsidRDefault="00000000">
              <w:r>
                <w:rPr>
                  <w:rFonts w:hint="eastAsia"/>
                </w:rPr>
                <w:t>公允价值，是指市场参与者在计量日发生的有序交易中，出售一项资产所能收到或者转移一项负债所需支付的价格。</w:t>
              </w:r>
            </w:p>
            <w:p w14:paraId="65C53308" w14:textId="77777777" w:rsidR="005E000F" w:rsidRDefault="005E000F"/>
            <w:p w14:paraId="59439BFC" w14:textId="77777777" w:rsidR="005E000F" w:rsidRDefault="00000000">
              <w:r>
                <w:rPr>
                  <w:rFonts w:hint="eastAsia"/>
                </w:rPr>
                <w:t>本集团估计公允价值时，考虑市场参与者在计量日对相关资产或负债进行定价时考虑的特征</w:t>
              </w:r>
              <w:r>
                <w:rPr>
                  <w:rFonts w:hint="eastAsia"/>
                </w:rPr>
                <w:t>(</w:t>
              </w:r>
              <w:r>
                <w:rPr>
                  <w:rFonts w:hint="eastAsia"/>
                </w:rPr>
                <w:t>包括资产状况及所在位置、对资产出售或者使用的限制等</w:t>
              </w:r>
              <w:r>
                <w:rPr>
                  <w:rFonts w:hint="eastAsia"/>
                </w:rPr>
                <w:t>)</w:t>
              </w:r>
              <w:r>
                <w:rPr>
                  <w:rFonts w:hint="eastAsia"/>
                </w:rPr>
                <w:t>，并采用在当前情况下适用并且有足够可利用数据和其他信息支持的估值技术。使用的估值技术主要包括市场法、收益法和成本法。每个资产负债表日，本集团对在财务报表中确认的持续以公允价值计量的资产和负债进行重新评估，以确定是否在公允价值计量层次之间发生转换。</w:t>
              </w:r>
            </w:p>
            <w:p w14:paraId="11C409D6" w14:textId="77777777" w:rsidR="005E000F" w:rsidRDefault="005E000F"/>
            <w:p w14:paraId="28BA10D0" w14:textId="77777777" w:rsidR="005E000F" w:rsidRDefault="00000000">
              <w:r>
                <w:rPr>
                  <w:rFonts w:hint="eastAsia"/>
                </w:rPr>
                <w:t>（</w:t>
              </w:r>
              <w:r>
                <w:rPr>
                  <w:rFonts w:hint="eastAsia"/>
                </w:rPr>
                <w:t>5</w:t>
              </w:r>
              <w:r>
                <w:rPr>
                  <w:rFonts w:hint="eastAsia"/>
                </w:rPr>
                <w:t>）关联方</w:t>
              </w:r>
            </w:p>
            <w:p w14:paraId="0523CCA4" w14:textId="77777777" w:rsidR="005E000F" w:rsidRDefault="005E000F"/>
            <w:p w14:paraId="496E5138" w14:textId="77777777" w:rsidR="005E000F" w:rsidRDefault="00000000">
              <w:r>
                <w:rPr>
                  <w:rFonts w:hint="eastAsia"/>
                </w:rPr>
                <w:t>一方控制、共同控制另一方或对另一方施加重大影响，以及两方或两方以上同受一方控制、共同控制的，构成关联方。关联方可为个人或企业。仅仅同受国家控制而不存在其他关联方关系的企业，不构成关联方。</w:t>
              </w:r>
            </w:p>
            <w:p w14:paraId="282EC08A" w14:textId="77777777" w:rsidR="005E000F" w:rsidRDefault="005E000F"/>
            <w:p w14:paraId="249D36E4" w14:textId="77777777" w:rsidR="005E000F" w:rsidRDefault="00000000">
              <w:pPr>
                <w:rPr>
                  <w:bCs/>
                </w:rPr>
              </w:pPr>
              <w:r>
                <w:rPr>
                  <w:rFonts w:hint="eastAsia"/>
                </w:rPr>
                <w:t>此外，本公司同时根据证监会颁布的《上市公司信息披露管理办法》确定本集团或本公司的关联方。</w:t>
              </w:r>
            </w:p>
            <w:p w14:paraId="3E4F8A9E" w14:textId="77777777" w:rsidR="005E000F" w:rsidRDefault="005E000F">
              <w:pPr>
                <w:rPr>
                  <w:bCs/>
                </w:rPr>
              </w:pPr>
            </w:p>
            <w:p w14:paraId="0C85954F" w14:textId="77777777" w:rsidR="005E000F" w:rsidRDefault="00000000">
              <w:pPr>
                <w:rPr>
                  <w:bCs/>
                </w:rPr>
              </w:pPr>
              <w:r>
                <w:rPr>
                  <w:rFonts w:hint="eastAsia"/>
                  <w:bCs/>
                </w:rPr>
                <w:t>（</w:t>
              </w:r>
              <w:r>
                <w:rPr>
                  <w:rFonts w:hint="eastAsia"/>
                  <w:bCs/>
                </w:rPr>
                <w:t>6</w:t>
              </w:r>
              <w:r>
                <w:rPr>
                  <w:rFonts w:hint="eastAsia"/>
                  <w:bCs/>
                </w:rPr>
                <w:t>）主要会计估计和判断</w:t>
              </w:r>
            </w:p>
            <w:p w14:paraId="7BBDBD3B" w14:textId="77777777" w:rsidR="005E000F" w:rsidRDefault="005E000F">
              <w:pPr>
                <w:rPr>
                  <w:bCs/>
                </w:rPr>
              </w:pPr>
            </w:p>
            <w:p w14:paraId="39116FDA" w14:textId="77777777" w:rsidR="005E000F" w:rsidRDefault="00000000">
              <w:pPr>
                <w:rPr>
                  <w:bCs/>
                </w:rPr>
              </w:pPr>
              <w:r>
                <w:rPr>
                  <w:rFonts w:hint="eastAsia"/>
                  <w:bCs/>
                </w:rPr>
                <w:t>编制财务报表时，本集团管理层需要运用估计和假设，这些估计和假设会对会计政策的应用及资产、负债、收入及费用的金额产生影响。实际情况可能与这些估计不同。本集团管理层对估计涉及的关键假设和不确定因素的判断进行持续评估，会计估计变更的影响在变更当期和未来期间予以确认。</w:t>
              </w:r>
            </w:p>
            <w:p w14:paraId="6CFCDBEE" w14:textId="77777777" w:rsidR="005E000F" w:rsidRDefault="005E000F">
              <w:pPr>
                <w:rPr>
                  <w:bCs/>
                </w:rPr>
              </w:pPr>
            </w:p>
            <w:p w14:paraId="3B8E1C38" w14:textId="77777777" w:rsidR="005E000F" w:rsidRDefault="00000000">
              <w:pPr>
                <w:rPr>
                  <w:bCs/>
                </w:rPr>
              </w:pPr>
              <w:r>
                <w:rPr>
                  <w:rFonts w:hint="eastAsia"/>
                  <w:bCs/>
                </w:rPr>
                <w:t>1</w:t>
              </w:r>
              <w:r>
                <w:rPr>
                  <w:rFonts w:hint="eastAsia"/>
                  <w:bCs/>
                </w:rPr>
                <w:t>）主要会计估计</w:t>
              </w:r>
            </w:p>
            <w:p w14:paraId="55DD5367" w14:textId="77777777" w:rsidR="005E000F" w:rsidRDefault="005E000F">
              <w:pPr>
                <w:rPr>
                  <w:bCs/>
                </w:rPr>
              </w:pPr>
            </w:p>
            <w:p w14:paraId="26D58610" w14:textId="77777777" w:rsidR="005E000F" w:rsidRDefault="00000000">
              <w:pPr>
                <w:rPr>
                  <w:bCs/>
                </w:rPr>
              </w:pPr>
              <w:r>
                <w:rPr>
                  <w:rFonts w:hint="eastAsia"/>
                  <w:bCs/>
                </w:rPr>
                <w:t>除固定资产及无形资产等资产的折旧及摊销（参见附注五、</w:t>
              </w:r>
              <w:r>
                <w:rPr>
                  <w:rFonts w:hint="eastAsia"/>
                  <w:bCs/>
                </w:rPr>
                <w:t>21</w:t>
              </w:r>
              <w:r>
                <w:rPr>
                  <w:rFonts w:hint="eastAsia"/>
                  <w:bCs/>
                </w:rPr>
                <w:t>（</w:t>
              </w:r>
              <w:r>
                <w:rPr>
                  <w:rFonts w:hint="eastAsia"/>
                  <w:bCs/>
                </w:rPr>
                <w:t>2</w:t>
              </w:r>
              <w:r>
                <w:rPr>
                  <w:rFonts w:hint="eastAsia"/>
                  <w:bCs/>
                </w:rPr>
                <w:t>）和</w:t>
              </w:r>
              <w:r>
                <w:rPr>
                  <w:rFonts w:hint="eastAsia"/>
                  <w:bCs/>
                </w:rPr>
                <w:t>26</w:t>
              </w:r>
              <w:r>
                <w:rPr>
                  <w:rFonts w:hint="eastAsia"/>
                  <w:bCs/>
                </w:rPr>
                <w:t>）和各类资产减值（参见附注七、</w:t>
              </w:r>
              <w:r>
                <w:rPr>
                  <w:rFonts w:hint="eastAsia"/>
                  <w:bCs/>
                </w:rPr>
                <w:t>5</w:t>
              </w:r>
              <w:r>
                <w:rPr>
                  <w:rFonts w:hint="eastAsia"/>
                  <w:bCs/>
                </w:rPr>
                <w:t>、</w:t>
              </w:r>
              <w:r>
                <w:rPr>
                  <w:rFonts w:hint="eastAsia"/>
                  <w:bCs/>
                </w:rPr>
                <w:t>9</w:t>
              </w:r>
              <w:r>
                <w:rPr>
                  <w:rFonts w:hint="eastAsia"/>
                  <w:bCs/>
                </w:rPr>
                <w:t>、</w:t>
              </w:r>
              <w:r>
                <w:rPr>
                  <w:rFonts w:hint="eastAsia"/>
                  <w:bCs/>
                </w:rPr>
                <w:t>10</w:t>
              </w:r>
              <w:r>
                <w:rPr>
                  <w:rFonts w:hint="eastAsia"/>
                  <w:bCs/>
                </w:rPr>
                <w:t>和</w:t>
              </w:r>
              <w:r>
                <w:rPr>
                  <w:rFonts w:hint="eastAsia"/>
                  <w:bCs/>
                </w:rPr>
                <w:t>21</w:t>
              </w:r>
              <w:r>
                <w:rPr>
                  <w:rFonts w:hint="eastAsia"/>
                  <w:bCs/>
                </w:rPr>
                <w:t>以及附注十九、</w:t>
              </w:r>
              <w:r>
                <w:rPr>
                  <w:rFonts w:hint="eastAsia"/>
                  <w:bCs/>
                </w:rPr>
                <w:t>1</w:t>
              </w:r>
              <w:r>
                <w:rPr>
                  <w:rFonts w:hint="eastAsia"/>
                  <w:bCs/>
                </w:rPr>
                <w:t>和</w:t>
              </w:r>
              <w:r>
                <w:rPr>
                  <w:rFonts w:hint="eastAsia"/>
                  <w:bCs/>
                </w:rPr>
                <w:t>2</w:t>
              </w:r>
              <w:r>
                <w:rPr>
                  <w:rFonts w:hint="eastAsia"/>
                  <w:bCs/>
                </w:rPr>
                <w:t>）涉及的会计估计外，其他主要的会计估计如下：</w:t>
              </w:r>
            </w:p>
            <w:p w14:paraId="6884E003" w14:textId="77777777" w:rsidR="005E000F" w:rsidRDefault="005E000F">
              <w:pPr>
                <w:rPr>
                  <w:bCs/>
                </w:rPr>
              </w:pPr>
            </w:p>
            <w:p w14:paraId="4C92C8E0" w14:textId="77777777" w:rsidR="005E000F" w:rsidRDefault="00000000">
              <w:pPr>
                <w:rPr>
                  <w:bCs/>
                </w:rPr>
              </w:pPr>
              <w:r>
                <w:rPr>
                  <w:rFonts w:hint="eastAsia"/>
                  <w:bCs/>
                </w:rPr>
                <w:t>附注七、</w:t>
              </w:r>
              <w:r>
                <w:rPr>
                  <w:rFonts w:hint="eastAsia"/>
                  <w:bCs/>
                </w:rPr>
                <w:t>29</w:t>
              </w:r>
              <w:r>
                <w:rPr>
                  <w:rFonts w:hint="eastAsia"/>
                  <w:bCs/>
                </w:rPr>
                <w:t>：递延所得税资产的确认；</w:t>
              </w:r>
            </w:p>
            <w:p w14:paraId="363127E5" w14:textId="77777777" w:rsidR="005E000F" w:rsidRDefault="00000000">
              <w:pPr>
                <w:rPr>
                  <w:bCs/>
                </w:rPr>
              </w:pPr>
              <w:r>
                <w:rPr>
                  <w:rFonts w:hint="eastAsia"/>
                  <w:bCs/>
                </w:rPr>
                <w:t>附注七、</w:t>
              </w:r>
              <w:r>
                <w:rPr>
                  <w:rFonts w:hint="eastAsia"/>
                  <w:bCs/>
                </w:rPr>
                <w:t>49</w:t>
              </w:r>
              <w:r>
                <w:rPr>
                  <w:rFonts w:hint="eastAsia"/>
                  <w:bCs/>
                </w:rPr>
                <w:t>：设定受益计划类的离职后福利；</w:t>
              </w:r>
            </w:p>
            <w:p w14:paraId="16D452F6" w14:textId="77777777" w:rsidR="005E000F" w:rsidRDefault="00000000">
              <w:pPr>
                <w:rPr>
                  <w:bCs/>
                </w:rPr>
              </w:pPr>
              <w:r>
                <w:rPr>
                  <w:rFonts w:hint="eastAsia"/>
                  <w:bCs/>
                </w:rPr>
                <w:t>附注十三：金融工具的公允价值估值。</w:t>
              </w:r>
            </w:p>
            <w:p w14:paraId="6A7F67E1" w14:textId="77777777" w:rsidR="005E000F" w:rsidRDefault="005E000F">
              <w:pPr>
                <w:rPr>
                  <w:bCs/>
                </w:rPr>
              </w:pPr>
            </w:p>
            <w:p w14:paraId="34C10BA4" w14:textId="77777777" w:rsidR="005E000F" w:rsidRDefault="00000000">
              <w:pPr>
                <w:rPr>
                  <w:bCs/>
                </w:rPr>
              </w:pPr>
              <w:r>
                <w:rPr>
                  <w:rFonts w:hint="eastAsia"/>
                  <w:bCs/>
                </w:rPr>
                <w:t>2</w:t>
              </w:r>
              <w:r>
                <w:rPr>
                  <w:rFonts w:hint="eastAsia"/>
                  <w:bCs/>
                </w:rPr>
                <w:t>）主要会计判断</w:t>
              </w:r>
            </w:p>
            <w:p w14:paraId="6CE85171" w14:textId="77777777" w:rsidR="005E000F" w:rsidRDefault="005E000F">
              <w:pPr>
                <w:rPr>
                  <w:bCs/>
                </w:rPr>
              </w:pPr>
            </w:p>
            <w:p w14:paraId="2789451A" w14:textId="77777777" w:rsidR="005E000F" w:rsidRDefault="00000000">
              <w:pPr>
                <w:rPr>
                  <w:bCs/>
                </w:rPr>
              </w:pPr>
              <w:r>
                <w:rPr>
                  <w:rFonts w:hint="eastAsia"/>
                  <w:bCs/>
                </w:rPr>
                <w:t>本集团在运用会计政策过程中做出的重要判断如下：</w:t>
              </w:r>
            </w:p>
            <w:p w14:paraId="582CC365" w14:textId="77777777" w:rsidR="005E000F" w:rsidRDefault="005E000F">
              <w:pPr>
                <w:rPr>
                  <w:bCs/>
                </w:rPr>
              </w:pPr>
            </w:p>
            <w:p w14:paraId="4850E86F" w14:textId="77777777" w:rsidR="005E000F" w:rsidRDefault="00000000">
              <w:r>
                <w:rPr>
                  <w:rFonts w:hint="eastAsia"/>
                  <w:bCs/>
                </w:rPr>
                <w:t>附注七、</w:t>
              </w:r>
              <w:r>
                <w:rPr>
                  <w:rFonts w:hint="eastAsia"/>
                  <w:bCs/>
                </w:rPr>
                <w:t>46</w:t>
              </w:r>
              <w:r>
                <w:rPr>
                  <w:rFonts w:hint="eastAsia"/>
                  <w:bCs/>
                </w:rPr>
                <w:t>和附注七、</w:t>
              </w:r>
              <w:r>
                <w:rPr>
                  <w:rFonts w:hint="eastAsia"/>
                  <w:bCs/>
                </w:rPr>
                <w:t>54-</w:t>
              </w:r>
              <w:r>
                <w:rPr>
                  <w:rFonts w:hint="eastAsia"/>
                  <w:bCs/>
                </w:rPr>
                <w:t>可转换工具等其他金融工具划分为金融负债或权益工具。</w:t>
              </w:r>
            </w:p>
          </w:sdtContent>
        </w:sdt>
      </w:sdtContent>
    </w:sdt>
    <w:p w14:paraId="62F1D5FF" w14:textId="77777777" w:rsidR="005E000F" w:rsidRDefault="005E000F"/>
    <w:p w14:paraId="72AB7226" w14:textId="77777777" w:rsidR="005E000F" w:rsidRDefault="00000000">
      <w:pPr>
        <w:pStyle w:val="3"/>
        <w:numPr>
          <w:ilvl w:val="0"/>
          <w:numId w:val="59"/>
        </w:numPr>
      </w:pPr>
      <w:r>
        <w:rPr>
          <w:rFonts w:hint="eastAsia"/>
        </w:rPr>
        <w:t>重要</w:t>
      </w:r>
      <w:r>
        <w:t>会计政策</w:t>
      </w:r>
      <w:r>
        <w:rPr>
          <w:rFonts w:hint="eastAsia"/>
        </w:rPr>
        <w:t>和</w:t>
      </w:r>
      <w:r>
        <w:t>会计估计的变更</w:t>
      </w:r>
    </w:p>
    <w:p w14:paraId="364705D4" w14:textId="77777777" w:rsidR="005E000F" w:rsidRDefault="00000000">
      <w:bookmarkStart w:id="256" w:name="_Hlk190174246"/>
      <w:r>
        <w:rPr>
          <w:rFonts w:hint="eastAsia"/>
        </w:rPr>
        <w:t>详见“重要事项”的“公司对会计政策、会计估计变更或重大会计差错更正原因和影响的分析说明”</w:t>
      </w:r>
    </w:p>
    <w:p w14:paraId="5DB770C1" w14:textId="77777777" w:rsidR="005E000F" w:rsidRDefault="005E000F"/>
    <w:p w14:paraId="616D74AD" w14:textId="77777777" w:rsidR="005E000F" w:rsidRDefault="00000000">
      <w:pPr>
        <w:pStyle w:val="3"/>
        <w:numPr>
          <w:ilvl w:val="0"/>
          <w:numId w:val="59"/>
        </w:numPr>
      </w:pPr>
      <w:bookmarkStart w:id="257" w:name="_Hlk10465969"/>
      <w:bookmarkStart w:id="258" w:name="_Hlk24100246"/>
      <w:bookmarkEnd w:id="256"/>
      <w:bookmarkEnd w:id="257"/>
      <w:r>
        <w:rPr>
          <w:rFonts w:asciiTheme="majorEastAsia" w:eastAsiaTheme="majorEastAsia" w:hAnsiTheme="majorEastAsia"/>
        </w:rPr>
        <w:t>2025</w:t>
      </w:r>
      <w:r>
        <w:t>年</w:t>
      </w:r>
      <w:r>
        <w:rPr>
          <w:rFonts w:hint="eastAsia"/>
        </w:rPr>
        <w:t>起首次执行新会计准则或准则解释等涉及调整首次执行当年年初的财务报表</w:t>
      </w:r>
    </w:p>
    <w:sdt>
      <w:sdtPr>
        <w:rPr>
          <w:rFonts w:hint="eastAsia"/>
        </w:rPr>
        <w:alias w:val="是否适用：首次执行新金融工具准则或新收入准则调整首次执行当年年初财务报表相关项目情况[双击切换]"/>
        <w:tag w:val="_GBC_e1701479a1654e0d9f4b2ffb99c13db0"/>
        <w:id w:val="1372574202"/>
        <w:placeholder>
          <w:docPart w:val="GBC22222222222222222222222222222"/>
        </w:placeholder>
      </w:sdtPr>
      <w:sdtContent>
        <w:p w14:paraId="3F22058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73A4550" w14:textId="77777777" w:rsidR="005E000F" w:rsidRDefault="005E000F"/>
    <w:p w14:paraId="3181D5EC" w14:textId="77777777" w:rsidR="005E000F" w:rsidRDefault="00000000">
      <w:pPr>
        <w:pStyle w:val="3"/>
        <w:numPr>
          <w:ilvl w:val="0"/>
          <w:numId w:val="59"/>
        </w:numPr>
      </w:pPr>
      <w:bookmarkStart w:id="259" w:name="_Hlk24100423"/>
      <w:bookmarkEnd w:id="258"/>
      <w:bookmarkEnd w:id="259"/>
      <w:r>
        <w:rPr>
          <w:rFonts w:hint="eastAsia"/>
        </w:rPr>
        <w:t>其他</w:t>
      </w:r>
    </w:p>
    <w:sdt>
      <w:sdtPr>
        <w:rPr>
          <w:rFonts w:hint="eastAsia"/>
        </w:rPr>
        <w:alias w:val="是否适用：公司主要会计政策、会计估计和前期差错的其他说明[双击切换]"/>
        <w:tag w:val="_GBC_bcb348c2b015461e9de30ce69ad888ae"/>
        <w:id w:val="906966711"/>
        <w:placeholder>
          <w:docPart w:val="GBC22222222222222222222222222222"/>
        </w:placeholder>
      </w:sdtPr>
      <w:sdtContent>
        <w:p w14:paraId="5CF879A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35EE67C" w14:textId="77777777" w:rsidR="005E000F" w:rsidRDefault="005E000F"/>
    <w:p w14:paraId="2ABD0A73" w14:textId="77777777" w:rsidR="005E000F" w:rsidRDefault="00000000">
      <w:pPr>
        <w:pStyle w:val="2"/>
        <w:numPr>
          <w:ilvl w:val="0"/>
          <w:numId w:val="56"/>
        </w:numPr>
        <w:rPr>
          <w:rFonts w:ascii="宋体" w:hAnsi="宋体"/>
        </w:rPr>
      </w:pPr>
      <w:r>
        <w:rPr>
          <w:rFonts w:ascii="宋体" w:hAnsi="宋体" w:hint="eastAsia"/>
        </w:rPr>
        <w:t>税项</w:t>
      </w:r>
    </w:p>
    <w:p w14:paraId="3146AABB" w14:textId="77777777" w:rsidR="005E000F" w:rsidRDefault="00000000">
      <w:pPr>
        <w:pStyle w:val="3"/>
        <w:numPr>
          <w:ilvl w:val="0"/>
          <w:numId w:val="65"/>
        </w:numPr>
        <w:tabs>
          <w:tab w:val="left" w:pos="546"/>
        </w:tabs>
      </w:pPr>
      <w:r>
        <w:t>主要税种及税率</w:t>
      </w:r>
    </w:p>
    <w:p w14:paraId="7F109050" w14:textId="77777777" w:rsidR="005E000F" w:rsidRDefault="00000000">
      <w:r>
        <w:t>主要税种及税率</w:t>
      </w:r>
      <w:r>
        <w:rPr>
          <w:rFonts w:hint="eastAsia"/>
        </w:rPr>
        <w:t>情况</w:t>
      </w:r>
    </w:p>
    <w:sdt>
      <w:sdtPr>
        <w:alias w:val="是否适用：主要税种及税率情况 [双击切换]"/>
        <w:tag w:val="_GBC_f900f926144b41b9ba020b5a24aff3c0"/>
        <w:id w:val="870123054"/>
        <w:placeholder>
          <w:docPart w:val="GBC22222222222222222222222222222"/>
        </w:placeholder>
      </w:sdtPr>
      <w:sdtContent>
        <w:p w14:paraId="397D38B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1"/>
        <w:gridCol w:w="3145"/>
        <w:gridCol w:w="3121"/>
      </w:tblGrid>
      <w:tr w:rsidR="005E000F" w14:paraId="0F5C8C64" w14:textId="77777777">
        <w:sdt>
          <w:sdtPr>
            <w:tag w:val="_PLD_b5758c089ae1414f99b1cc36321c29a1"/>
            <w:id w:val="1298179286"/>
          </w:sdtPr>
          <w:sdtContent>
            <w:tc>
              <w:tcPr>
                <w:tcW w:w="2781" w:type="dxa"/>
                <w:vAlign w:val="center"/>
              </w:tcPr>
              <w:p w14:paraId="13F65EE3" w14:textId="77777777" w:rsidR="005E000F" w:rsidRDefault="00000000">
                <w:pPr>
                  <w:jc w:val="center"/>
                </w:pPr>
                <w:r>
                  <w:t>税种</w:t>
                </w:r>
              </w:p>
            </w:tc>
          </w:sdtContent>
        </w:sdt>
        <w:sdt>
          <w:sdtPr>
            <w:tag w:val="_PLD_0e1599c84a4d47cc8f6f9b3d3069a1bd"/>
            <w:id w:val="303887984"/>
          </w:sdtPr>
          <w:sdtContent>
            <w:tc>
              <w:tcPr>
                <w:tcW w:w="3145" w:type="dxa"/>
                <w:vAlign w:val="center"/>
              </w:tcPr>
              <w:p w14:paraId="6DA2F517" w14:textId="77777777" w:rsidR="005E000F" w:rsidRDefault="00000000">
                <w:pPr>
                  <w:jc w:val="center"/>
                </w:pPr>
                <w:r>
                  <w:t>计税依据</w:t>
                </w:r>
              </w:p>
            </w:tc>
          </w:sdtContent>
        </w:sdt>
        <w:sdt>
          <w:sdtPr>
            <w:tag w:val="_PLD_74e07bcec6714b078c64caa53447462a"/>
            <w:id w:val="-1926483268"/>
          </w:sdtPr>
          <w:sdtContent>
            <w:tc>
              <w:tcPr>
                <w:tcW w:w="3121" w:type="dxa"/>
                <w:vAlign w:val="center"/>
              </w:tcPr>
              <w:p w14:paraId="1FA17043" w14:textId="77777777" w:rsidR="005E000F" w:rsidRDefault="00000000">
                <w:pPr>
                  <w:jc w:val="center"/>
                </w:pPr>
                <w:r>
                  <w:t>税率</w:t>
                </w:r>
              </w:p>
            </w:tc>
          </w:sdtContent>
        </w:sdt>
      </w:tr>
      <w:tr w:rsidR="005E000F" w14:paraId="25F32BC0" w14:textId="77777777">
        <w:tc>
          <w:tcPr>
            <w:tcW w:w="2781" w:type="dxa"/>
          </w:tcPr>
          <w:p w14:paraId="6C8287D5" w14:textId="77777777" w:rsidR="005E000F" w:rsidRDefault="00000000">
            <w:r>
              <w:rPr>
                <w:color w:val="000000" w:themeColor="text1"/>
              </w:rPr>
              <w:t>增值税</w:t>
            </w:r>
          </w:p>
        </w:tc>
        <w:tc>
          <w:tcPr>
            <w:tcW w:w="3145" w:type="dxa"/>
          </w:tcPr>
          <w:p w14:paraId="66A1D65C" w14:textId="77777777" w:rsidR="005E000F" w:rsidRDefault="00000000">
            <w:r>
              <w:rPr>
                <w:rFonts w:hint="eastAsia"/>
              </w:rPr>
              <w:t>按税法规定计算的销售货物和应税劳务收入为基础计算销项税额，在扣除当期允许抵扣的进项税额后，差额部分为应交增值税</w:t>
            </w:r>
          </w:p>
        </w:tc>
        <w:tc>
          <w:tcPr>
            <w:tcW w:w="3121" w:type="dxa"/>
          </w:tcPr>
          <w:p w14:paraId="69A97B7C" w14:textId="77777777" w:rsidR="005E000F" w:rsidRDefault="00000000">
            <w:r>
              <w:rPr>
                <w:rFonts w:hint="eastAsia"/>
              </w:rPr>
              <w:t>6%</w:t>
            </w:r>
            <w:r>
              <w:rPr>
                <w:rFonts w:hint="eastAsia"/>
              </w:rPr>
              <w:t>、</w:t>
            </w:r>
            <w:r>
              <w:rPr>
                <w:rFonts w:hint="eastAsia"/>
              </w:rPr>
              <w:t>9%</w:t>
            </w:r>
            <w:r>
              <w:rPr>
                <w:rFonts w:hint="eastAsia"/>
              </w:rPr>
              <w:t>或</w:t>
            </w:r>
            <w:r>
              <w:rPr>
                <w:rFonts w:hint="eastAsia"/>
              </w:rPr>
              <w:t>13%</w:t>
            </w:r>
          </w:p>
        </w:tc>
      </w:tr>
      <w:tr w:rsidR="005E000F" w14:paraId="2CF76D07" w14:textId="77777777">
        <w:tc>
          <w:tcPr>
            <w:tcW w:w="2781" w:type="dxa"/>
          </w:tcPr>
          <w:p w14:paraId="7CE22735" w14:textId="77777777" w:rsidR="005E000F" w:rsidRDefault="00000000">
            <w:r>
              <w:rPr>
                <w:color w:val="000000" w:themeColor="text1"/>
              </w:rPr>
              <w:t>城市维护建设税</w:t>
            </w:r>
          </w:p>
        </w:tc>
        <w:tc>
          <w:tcPr>
            <w:tcW w:w="3145" w:type="dxa"/>
          </w:tcPr>
          <w:p w14:paraId="0B0720E1" w14:textId="77777777" w:rsidR="005E000F" w:rsidRDefault="00000000">
            <w:r>
              <w:rPr>
                <w:rFonts w:hint="eastAsia"/>
              </w:rPr>
              <w:t>按实际缴纳的增值税计征</w:t>
            </w:r>
          </w:p>
        </w:tc>
        <w:tc>
          <w:tcPr>
            <w:tcW w:w="3121" w:type="dxa"/>
          </w:tcPr>
          <w:p w14:paraId="2B851EB2" w14:textId="77777777" w:rsidR="005E000F" w:rsidRDefault="00000000">
            <w:r>
              <w:rPr>
                <w:rFonts w:hint="eastAsia"/>
              </w:rPr>
              <w:t>5%</w:t>
            </w:r>
            <w:r>
              <w:rPr>
                <w:rFonts w:hint="eastAsia"/>
              </w:rPr>
              <w:t>或</w:t>
            </w:r>
            <w:r>
              <w:rPr>
                <w:rFonts w:hint="eastAsia"/>
              </w:rPr>
              <w:t>7%</w:t>
            </w:r>
          </w:p>
        </w:tc>
      </w:tr>
      <w:tr w:rsidR="005E000F" w14:paraId="7A01AE98" w14:textId="77777777">
        <w:tc>
          <w:tcPr>
            <w:tcW w:w="2781" w:type="dxa"/>
          </w:tcPr>
          <w:p w14:paraId="2B1E81A2" w14:textId="77777777" w:rsidR="005E000F" w:rsidRDefault="00000000">
            <w:r>
              <w:rPr>
                <w:color w:val="000000" w:themeColor="text1"/>
              </w:rPr>
              <w:t>企业所得税</w:t>
            </w:r>
          </w:p>
        </w:tc>
        <w:tc>
          <w:tcPr>
            <w:tcW w:w="3145" w:type="dxa"/>
          </w:tcPr>
          <w:p w14:paraId="4C5FE065" w14:textId="77777777" w:rsidR="005E000F" w:rsidRDefault="00000000">
            <w:r>
              <w:rPr>
                <w:rFonts w:hint="eastAsia"/>
              </w:rPr>
              <w:t>按应纳税所得额计征</w:t>
            </w:r>
          </w:p>
        </w:tc>
        <w:tc>
          <w:tcPr>
            <w:tcW w:w="3121" w:type="dxa"/>
          </w:tcPr>
          <w:p w14:paraId="1530538B" w14:textId="77777777" w:rsidR="005E000F" w:rsidRDefault="00000000">
            <w:r>
              <w:rPr>
                <w:rFonts w:hint="eastAsia"/>
              </w:rPr>
              <w:t>25%</w:t>
            </w:r>
          </w:p>
        </w:tc>
      </w:tr>
    </w:tbl>
    <w:p w14:paraId="2D93F8C7" w14:textId="77777777" w:rsidR="005E000F" w:rsidRDefault="00000000">
      <w:pPr>
        <w:rPr>
          <w:color w:val="000000" w:themeColor="text1"/>
        </w:rPr>
      </w:pPr>
      <w:r>
        <w:rPr>
          <w:rFonts w:hint="eastAsia"/>
          <w:color w:val="000000" w:themeColor="text1"/>
        </w:rPr>
        <w:t>公司铁路运输服务收入适用的增值税率为</w:t>
      </w:r>
      <w:r>
        <w:rPr>
          <w:rFonts w:hint="eastAsia"/>
          <w:color w:val="000000" w:themeColor="text1"/>
        </w:rPr>
        <w:t>9%</w:t>
      </w:r>
      <w:r>
        <w:rPr>
          <w:rFonts w:hint="eastAsia"/>
          <w:color w:val="000000" w:themeColor="text1"/>
        </w:rPr>
        <w:t>：铁路运输相关的物流辅助服务收入适用的增值税税率为</w:t>
      </w:r>
      <w:r>
        <w:rPr>
          <w:rFonts w:hint="eastAsia"/>
          <w:color w:val="000000" w:themeColor="text1"/>
        </w:rPr>
        <w:t>6%</w:t>
      </w:r>
      <w:r>
        <w:rPr>
          <w:rFonts w:hint="eastAsia"/>
          <w:color w:val="000000" w:themeColor="text1"/>
        </w:rPr>
        <w:t>，国际运输服务收入适用增值税零税率，向境外单位提供物流辅助服务（仓储服务除外）免征增值税。</w:t>
      </w:r>
    </w:p>
    <w:p w14:paraId="20BBB200" w14:textId="77777777" w:rsidR="005E000F" w:rsidRDefault="005E000F">
      <w:pPr>
        <w:rPr>
          <w:color w:val="000000" w:themeColor="text1"/>
        </w:rPr>
      </w:pPr>
    </w:p>
    <w:p w14:paraId="5BA87D52" w14:textId="77777777" w:rsidR="005E000F" w:rsidRDefault="00000000">
      <w:pPr>
        <w:rPr>
          <w:color w:val="000000" w:themeColor="text1"/>
        </w:rPr>
      </w:pPr>
      <w:r>
        <w:rPr>
          <w:rFonts w:hint="eastAsia"/>
          <w:color w:val="000000" w:themeColor="text1"/>
        </w:rPr>
        <w:t>除下述享受税收优惠的子公司外，公司及其余子公司本年度适用的所得税税率</w:t>
      </w:r>
      <w:r>
        <w:rPr>
          <w:rFonts w:hint="eastAsia"/>
          <w:color w:val="000000" w:themeColor="text1"/>
        </w:rPr>
        <w:t>25%</w:t>
      </w:r>
      <w:r>
        <w:rPr>
          <w:rFonts w:hint="eastAsia"/>
          <w:color w:val="000000" w:themeColor="text1"/>
        </w:rPr>
        <w:t>（</w:t>
      </w:r>
      <w:r>
        <w:rPr>
          <w:rFonts w:hint="eastAsia"/>
          <w:color w:val="000000" w:themeColor="text1"/>
        </w:rPr>
        <w:t>2024</w:t>
      </w:r>
      <w:r>
        <w:rPr>
          <w:rFonts w:hint="eastAsia"/>
          <w:color w:val="000000" w:themeColor="text1"/>
        </w:rPr>
        <w:t>年：</w:t>
      </w:r>
      <w:r>
        <w:rPr>
          <w:rFonts w:hint="eastAsia"/>
          <w:color w:val="000000" w:themeColor="text1"/>
        </w:rPr>
        <w:t>25%</w:t>
      </w:r>
      <w:r>
        <w:rPr>
          <w:rFonts w:hint="eastAsia"/>
          <w:color w:val="000000" w:themeColor="text1"/>
        </w:rPr>
        <w:t>）。</w:t>
      </w:r>
    </w:p>
    <w:p w14:paraId="69DC8C07" w14:textId="77777777" w:rsidR="005E000F" w:rsidRDefault="005E000F"/>
    <w:p w14:paraId="4CF4CF32" w14:textId="77777777" w:rsidR="005E000F" w:rsidRDefault="00000000">
      <w:r>
        <w:rPr>
          <w:rFonts w:hint="eastAsia"/>
        </w:rPr>
        <w:t>存在不同企业所得税税率纳税主体的，披露情况说明</w:t>
      </w:r>
    </w:p>
    <w:sdt>
      <w:sdtPr>
        <w:alias w:val="是否适用：存在不同企业所得税税率纳税主体的，披露情况说明[双击切换]"/>
        <w:tag w:val="_GBC_f117cb1e9d6f4e82900861637cf6a799"/>
        <w:id w:val="-1723820257"/>
        <w:placeholder>
          <w:docPart w:val="GBC22222222222222222222222222222"/>
        </w:placeholder>
      </w:sdtPr>
      <w:sdtContent>
        <w:p w14:paraId="66BD8528"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FAA4120" w14:textId="77777777" w:rsidR="005E000F" w:rsidRDefault="005E000F"/>
    <w:p w14:paraId="11912A31" w14:textId="77777777" w:rsidR="005E000F" w:rsidRDefault="00000000">
      <w:pPr>
        <w:pStyle w:val="3"/>
        <w:numPr>
          <w:ilvl w:val="0"/>
          <w:numId w:val="65"/>
        </w:numPr>
        <w:tabs>
          <w:tab w:val="left" w:pos="546"/>
        </w:tabs>
      </w:pPr>
      <w:r>
        <w:t>税收优惠</w:t>
      </w:r>
    </w:p>
    <w:sdt>
      <w:sdtPr>
        <w:rPr>
          <w:rFonts w:hint="eastAsia"/>
        </w:rPr>
        <w:alias w:val="是否适用：税收优惠[双击切换]"/>
        <w:tag w:val="_GBC_7b649dcf8ab54475bffc51edb3c33588"/>
        <w:id w:val="-2111660995"/>
        <w:placeholder>
          <w:docPart w:val="GBC22222222222222222222222222222"/>
        </w:placeholder>
      </w:sdtPr>
      <w:sdtContent>
        <w:p w14:paraId="090C4ACF"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优惠税赋及批文"/>
        <w:tag w:val="_GBC_3bbdacdaa3ba421fb8a81b9bda047bb4"/>
        <w:id w:val="584418814"/>
        <w:placeholder>
          <w:docPart w:val="GBC22222222222222222222222222222"/>
        </w:placeholder>
      </w:sdtPr>
      <w:sdtContent>
        <w:p w14:paraId="379E92BC" w14:textId="77777777" w:rsidR="005E000F" w:rsidRDefault="00000000">
          <w:r>
            <w:rPr>
              <w:rFonts w:hint="eastAsia"/>
              <w:color w:val="000000" w:themeColor="text1"/>
            </w:rPr>
            <w:t>根据《财政部、税务总局关于进一步支持小微企业和个体工商户发展有关税费政策的公告》（财税【</w:t>
          </w:r>
          <w:r>
            <w:rPr>
              <w:rFonts w:hint="eastAsia"/>
              <w:color w:val="000000" w:themeColor="text1"/>
            </w:rPr>
            <w:t>2023</w:t>
          </w:r>
          <w:r>
            <w:rPr>
              <w:rFonts w:hint="eastAsia"/>
              <w:color w:val="000000" w:themeColor="text1"/>
            </w:rPr>
            <w:t>】</w:t>
          </w:r>
          <w:r>
            <w:rPr>
              <w:rFonts w:hint="eastAsia"/>
              <w:color w:val="000000" w:themeColor="text1"/>
            </w:rPr>
            <w:t>12</w:t>
          </w:r>
          <w:r>
            <w:rPr>
              <w:rFonts w:hint="eastAsia"/>
              <w:color w:val="000000" w:themeColor="text1"/>
            </w:rPr>
            <w:t>号）规定，对小型微利企业减按</w:t>
          </w:r>
          <w:r>
            <w:rPr>
              <w:rFonts w:hint="eastAsia"/>
              <w:color w:val="000000" w:themeColor="text1"/>
            </w:rPr>
            <w:t>25%</w:t>
          </w:r>
          <w:r>
            <w:rPr>
              <w:rFonts w:hint="eastAsia"/>
              <w:color w:val="000000" w:themeColor="text1"/>
            </w:rPr>
            <w:t>计算应纳税所得额，按</w:t>
          </w:r>
          <w:r>
            <w:rPr>
              <w:rFonts w:hint="eastAsia"/>
              <w:color w:val="000000" w:themeColor="text1"/>
            </w:rPr>
            <w:t>20%</w:t>
          </w:r>
          <w:r>
            <w:rPr>
              <w:rFonts w:hint="eastAsia"/>
              <w:color w:val="000000" w:themeColor="text1"/>
            </w:rPr>
            <w:t>的税率缴纳企业所得税政策，延续执行至</w:t>
          </w:r>
          <w:r>
            <w:rPr>
              <w:rFonts w:hint="eastAsia"/>
              <w:color w:val="000000" w:themeColor="text1"/>
            </w:rPr>
            <w:t>2027</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日。公司之子公司山西中鼎安顺物业服务有限公司、山西中</w:t>
          </w:r>
          <w:proofErr w:type="gramStart"/>
          <w:r>
            <w:rPr>
              <w:rFonts w:hint="eastAsia"/>
              <w:color w:val="000000" w:themeColor="text1"/>
            </w:rPr>
            <w:t>鼎恒美</w:t>
          </w:r>
          <w:proofErr w:type="gramEnd"/>
          <w:r>
            <w:rPr>
              <w:rFonts w:hint="eastAsia"/>
              <w:color w:val="000000" w:themeColor="text1"/>
            </w:rPr>
            <w:t>物流有限公司、大同爱得实业有限责任公司为符合条件的小型微利企业，</w:t>
          </w:r>
          <w:r>
            <w:rPr>
              <w:rFonts w:hint="eastAsia"/>
              <w:color w:val="000000" w:themeColor="text1"/>
            </w:rPr>
            <w:t>2025</w:t>
          </w:r>
          <w:r>
            <w:rPr>
              <w:rFonts w:hint="eastAsia"/>
              <w:color w:val="000000" w:themeColor="text1"/>
            </w:rPr>
            <w:t>年按上述税收优惠政策缴纳企业所得税。</w:t>
          </w:r>
        </w:p>
      </w:sdtContent>
    </w:sdt>
    <w:p w14:paraId="596FFE3A" w14:textId="77777777" w:rsidR="005E000F" w:rsidRDefault="005E000F">
      <w:pPr>
        <w:rPr>
          <w:rFonts w:asciiTheme="minorEastAsia" w:eastAsiaTheme="minorEastAsia" w:hAnsiTheme="minorEastAsia"/>
        </w:rPr>
      </w:pPr>
    </w:p>
    <w:p w14:paraId="3878DF4C" w14:textId="77777777" w:rsidR="005E000F" w:rsidRDefault="00000000">
      <w:pPr>
        <w:pStyle w:val="3"/>
        <w:numPr>
          <w:ilvl w:val="0"/>
          <w:numId w:val="65"/>
        </w:numPr>
        <w:tabs>
          <w:tab w:val="left" w:pos="546"/>
        </w:tabs>
        <w:rPr>
          <w:rFonts w:asciiTheme="minorEastAsia" w:eastAsiaTheme="minorEastAsia" w:hAnsiTheme="minorEastAsia"/>
        </w:rPr>
      </w:pPr>
      <w:r>
        <w:t>其他</w:t>
      </w:r>
    </w:p>
    <w:sdt>
      <w:sdtPr>
        <w:rPr>
          <w:rFonts w:hint="eastAsia"/>
        </w:rPr>
        <w:alias w:val="是否适用：税项说明[双击切换]"/>
        <w:tag w:val="_GBC_cb15d487e8d84ad7877bd8820156d381"/>
        <w:id w:val="-1386559351"/>
        <w:placeholder>
          <w:docPart w:val="GBC22222222222222222222222222222"/>
        </w:placeholder>
      </w:sdtPr>
      <w:sdtContent>
        <w:p w14:paraId="101B337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E9303D2" w14:textId="77777777" w:rsidR="005E000F" w:rsidRDefault="005E000F"/>
    <w:p w14:paraId="69067F14" w14:textId="77777777" w:rsidR="005E000F" w:rsidRDefault="00000000">
      <w:pPr>
        <w:pStyle w:val="2"/>
        <w:numPr>
          <w:ilvl w:val="0"/>
          <w:numId w:val="56"/>
        </w:numPr>
      </w:pPr>
      <w:r>
        <w:rPr>
          <w:rFonts w:hint="eastAsia"/>
        </w:rPr>
        <w:t>合并财务报表项目注释</w:t>
      </w:r>
    </w:p>
    <w:p w14:paraId="394622C5" w14:textId="77777777" w:rsidR="005E000F" w:rsidRDefault="00000000">
      <w:pPr>
        <w:pStyle w:val="3"/>
        <w:numPr>
          <w:ilvl w:val="0"/>
          <w:numId w:val="66"/>
        </w:numPr>
        <w:rPr>
          <w:szCs w:val="21"/>
        </w:rPr>
      </w:pPr>
      <w:r>
        <w:rPr>
          <w:szCs w:val="21"/>
        </w:rPr>
        <w:t>货币资金</w:t>
      </w:r>
    </w:p>
    <w:sdt>
      <w:sdtPr>
        <w:rPr>
          <w:rFonts w:hint="eastAsia"/>
        </w:rPr>
        <w:alias w:val="是否适用：货币资金[双击切换]"/>
        <w:tag w:val="_GBC_7583a9a918ef405ba2d26448cc628ff5"/>
        <w:id w:val="599150475"/>
        <w:placeholder>
          <w:docPart w:val="GBC22222222222222222222222222222"/>
        </w:placeholder>
      </w:sdtPr>
      <w:sdtContent>
        <w:p w14:paraId="52B0A6BF" w14:textId="77777777" w:rsidR="005E000F" w:rsidRDefault="0000000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DF9DCA7" w14:textId="77777777" w:rsidR="005E000F" w:rsidRDefault="00000000">
      <w:pPr>
        <w:snapToGrid w:val="0"/>
        <w:spacing w:line="240" w:lineRule="atLeast"/>
        <w:jc w:val="right"/>
      </w:pPr>
      <w:r>
        <w:rPr>
          <w:rFonts w:hint="eastAsia"/>
        </w:rPr>
        <w:t>单位：</w:t>
      </w:r>
      <w:sdt>
        <w:sdtPr>
          <w:rPr>
            <w:rFonts w:hint="eastAsia"/>
          </w:rPr>
          <w:alias w:val="单位：财务附注：货币资金"/>
          <w:tag w:val="_GBC_837f4fb04cac4b8aa6bed7dc457a1486"/>
          <w:id w:val="-46604612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货币资金"/>
          <w:tag w:val="_GBC_6a1d907ad1af44b1a90a92ac03d51b34"/>
          <w:id w:val="11608134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275"/>
        <w:gridCol w:w="3379"/>
        <w:gridCol w:w="3404"/>
      </w:tblGrid>
      <w:tr w:rsidR="005E000F" w14:paraId="3458E6BC" w14:textId="77777777">
        <w:trPr>
          <w:cantSplit/>
        </w:trPr>
        <w:sdt>
          <w:sdtPr>
            <w:tag w:val="_PLD_640e7daf451b4f14ba49162bfbbd1e72"/>
            <w:id w:val="1738825727"/>
          </w:sdtPr>
          <w:sdtContent>
            <w:tc>
              <w:tcPr>
                <w:tcW w:w="2275" w:type="dxa"/>
                <w:vAlign w:val="center"/>
              </w:tcPr>
              <w:p w14:paraId="5592E8C1" w14:textId="77777777" w:rsidR="005E000F" w:rsidRDefault="00000000">
                <w:pPr>
                  <w:autoSpaceDE w:val="0"/>
                  <w:autoSpaceDN w:val="0"/>
                  <w:adjustRightInd w:val="0"/>
                  <w:snapToGrid w:val="0"/>
                  <w:spacing w:line="240" w:lineRule="atLeast"/>
                  <w:jc w:val="center"/>
                </w:pPr>
                <w:r>
                  <w:rPr>
                    <w:rFonts w:hint="eastAsia"/>
                  </w:rPr>
                  <w:t>项目</w:t>
                </w:r>
              </w:p>
            </w:tc>
          </w:sdtContent>
        </w:sdt>
        <w:sdt>
          <w:sdtPr>
            <w:tag w:val="_PLD_79d1e78073b542bda1ea85bf8925b2cd"/>
            <w:id w:val="53826299"/>
          </w:sdtPr>
          <w:sdtContent>
            <w:tc>
              <w:tcPr>
                <w:tcW w:w="3379" w:type="dxa"/>
                <w:vAlign w:val="center"/>
              </w:tcPr>
              <w:p w14:paraId="7FF81824" w14:textId="77777777" w:rsidR="005E000F" w:rsidRDefault="00000000">
                <w:pPr>
                  <w:autoSpaceDE w:val="0"/>
                  <w:autoSpaceDN w:val="0"/>
                  <w:adjustRightInd w:val="0"/>
                  <w:snapToGrid w:val="0"/>
                  <w:spacing w:line="240" w:lineRule="atLeast"/>
                  <w:jc w:val="center"/>
                </w:pPr>
                <w:r>
                  <w:rPr>
                    <w:rFonts w:hint="eastAsia"/>
                  </w:rPr>
                  <w:t>期末余额</w:t>
                </w:r>
              </w:p>
            </w:tc>
          </w:sdtContent>
        </w:sdt>
        <w:sdt>
          <w:sdtPr>
            <w:tag w:val="_PLD_725adef951424bb094850d632de69fd0"/>
            <w:id w:val="-1053146708"/>
          </w:sdtPr>
          <w:sdtContent>
            <w:tc>
              <w:tcPr>
                <w:tcW w:w="3404" w:type="dxa"/>
                <w:vAlign w:val="center"/>
              </w:tcPr>
              <w:p w14:paraId="6BC309B9" w14:textId="77777777" w:rsidR="005E000F" w:rsidRDefault="00000000">
                <w:pPr>
                  <w:autoSpaceDE w:val="0"/>
                  <w:autoSpaceDN w:val="0"/>
                  <w:adjustRightInd w:val="0"/>
                  <w:snapToGrid w:val="0"/>
                  <w:spacing w:line="240" w:lineRule="atLeast"/>
                  <w:jc w:val="center"/>
                </w:pPr>
                <w:r>
                  <w:rPr>
                    <w:rFonts w:hint="eastAsia"/>
                  </w:rPr>
                  <w:t>期初余额</w:t>
                </w:r>
              </w:p>
            </w:tc>
          </w:sdtContent>
        </w:sdt>
      </w:tr>
      <w:tr w:rsidR="005E000F" w14:paraId="59BAB905" w14:textId="77777777">
        <w:trPr>
          <w:cantSplit/>
        </w:trPr>
        <w:tc>
          <w:tcPr>
            <w:tcW w:w="2275" w:type="dxa"/>
            <w:vAlign w:val="center"/>
          </w:tcPr>
          <w:p w14:paraId="51987CC2" w14:textId="77777777" w:rsidR="005E000F" w:rsidRDefault="00000000">
            <w:pPr>
              <w:autoSpaceDE w:val="0"/>
              <w:autoSpaceDN w:val="0"/>
              <w:adjustRightInd w:val="0"/>
              <w:snapToGrid w:val="0"/>
              <w:spacing w:line="240" w:lineRule="atLeast"/>
            </w:pPr>
            <w:r>
              <w:rPr>
                <w:rFonts w:hint="eastAsia"/>
              </w:rPr>
              <w:t>库存现金</w:t>
            </w:r>
          </w:p>
        </w:tc>
        <w:tc>
          <w:tcPr>
            <w:tcW w:w="3379" w:type="dxa"/>
            <w:vAlign w:val="center"/>
          </w:tcPr>
          <w:p w14:paraId="61F6FCBC" w14:textId="77777777" w:rsidR="005E000F" w:rsidRDefault="00000000">
            <w:pPr>
              <w:autoSpaceDE w:val="0"/>
              <w:autoSpaceDN w:val="0"/>
              <w:adjustRightInd w:val="0"/>
              <w:snapToGrid w:val="0"/>
              <w:spacing w:line="240" w:lineRule="atLeast"/>
              <w:jc w:val="right"/>
            </w:pPr>
            <w:r>
              <w:rPr>
                <w:rFonts w:hint="eastAsia"/>
              </w:rPr>
              <w:t>0</w:t>
            </w:r>
          </w:p>
        </w:tc>
        <w:tc>
          <w:tcPr>
            <w:tcW w:w="3404" w:type="dxa"/>
          </w:tcPr>
          <w:p w14:paraId="5B4AA577" w14:textId="77777777" w:rsidR="005E000F" w:rsidRDefault="00000000">
            <w:pPr>
              <w:autoSpaceDE w:val="0"/>
              <w:autoSpaceDN w:val="0"/>
              <w:adjustRightInd w:val="0"/>
              <w:snapToGrid w:val="0"/>
              <w:spacing w:line="240" w:lineRule="atLeast"/>
              <w:jc w:val="right"/>
            </w:pPr>
            <w:r>
              <w:rPr>
                <w:rFonts w:hint="eastAsia"/>
              </w:rPr>
              <w:t>0</w:t>
            </w:r>
          </w:p>
        </w:tc>
      </w:tr>
      <w:tr w:rsidR="005E000F" w14:paraId="52962102" w14:textId="77777777">
        <w:trPr>
          <w:cantSplit/>
        </w:trPr>
        <w:tc>
          <w:tcPr>
            <w:tcW w:w="2275" w:type="dxa"/>
            <w:vAlign w:val="center"/>
          </w:tcPr>
          <w:p w14:paraId="6B58D925" w14:textId="77777777" w:rsidR="005E000F" w:rsidRDefault="00000000">
            <w:pPr>
              <w:autoSpaceDE w:val="0"/>
              <w:autoSpaceDN w:val="0"/>
              <w:adjustRightInd w:val="0"/>
              <w:snapToGrid w:val="0"/>
              <w:spacing w:line="240" w:lineRule="atLeast"/>
            </w:pPr>
            <w:r>
              <w:rPr>
                <w:rFonts w:hint="eastAsia"/>
              </w:rPr>
              <w:lastRenderedPageBreak/>
              <w:t>银行存款</w:t>
            </w:r>
          </w:p>
        </w:tc>
        <w:tc>
          <w:tcPr>
            <w:tcW w:w="3379" w:type="dxa"/>
            <w:vAlign w:val="center"/>
          </w:tcPr>
          <w:p w14:paraId="4A8F4299" w14:textId="77777777" w:rsidR="005E000F" w:rsidRDefault="00000000">
            <w:pPr>
              <w:autoSpaceDE w:val="0"/>
              <w:autoSpaceDN w:val="0"/>
              <w:adjustRightInd w:val="0"/>
              <w:snapToGrid w:val="0"/>
              <w:spacing w:line="240" w:lineRule="atLeast"/>
              <w:jc w:val="right"/>
            </w:pPr>
            <w:r>
              <w:rPr>
                <w:rFonts w:hint="eastAsia"/>
              </w:rPr>
              <w:t>35,812,072,995</w:t>
            </w:r>
          </w:p>
        </w:tc>
        <w:tc>
          <w:tcPr>
            <w:tcW w:w="3404" w:type="dxa"/>
          </w:tcPr>
          <w:p w14:paraId="74FABF9F" w14:textId="77777777" w:rsidR="005E000F" w:rsidRDefault="00000000">
            <w:pPr>
              <w:autoSpaceDE w:val="0"/>
              <w:autoSpaceDN w:val="0"/>
              <w:adjustRightInd w:val="0"/>
              <w:snapToGrid w:val="0"/>
              <w:spacing w:line="240" w:lineRule="atLeast"/>
              <w:jc w:val="right"/>
            </w:pPr>
            <w:r>
              <w:rPr>
                <w:rFonts w:hint="eastAsia"/>
              </w:rPr>
              <w:t>61,038,956,078</w:t>
            </w:r>
          </w:p>
        </w:tc>
      </w:tr>
      <w:tr w:rsidR="005E000F" w14:paraId="6FF6B0A3" w14:textId="77777777">
        <w:trPr>
          <w:cantSplit/>
        </w:trPr>
        <w:tc>
          <w:tcPr>
            <w:tcW w:w="2275" w:type="dxa"/>
            <w:vAlign w:val="center"/>
          </w:tcPr>
          <w:p w14:paraId="647D3971" w14:textId="77777777" w:rsidR="005E000F" w:rsidRDefault="00000000">
            <w:pPr>
              <w:autoSpaceDE w:val="0"/>
              <w:autoSpaceDN w:val="0"/>
              <w:adjustRightInd w:val="0"/>
              <w:snapToGrid w:val="0"/>
              <w:spacing w:line="240" w:lineRule="atLeast"/>
            </w:pPr>
            <w:r>
              <w:rPr>
                <w:rFonts w:hint="eastAsia"/>
              </w:rPr>
              <w:t>其他货币资金</w:t>
            </w:r>
          </w:p>
        </w:tc>
        <w:tc>
          <w:tcPr>
            <w:tcW w:w="3379" w:type="dxa"/>
            <w:vAlign w:val="center"/>
          </w:tcPr>
          <w:p w14:paraId="33119D96" w14:textId="77777777" w:rsidR="005E000F" w:rsidRDefault="00000000">
            <w:pPr>
              <w:autoSpaceDE w:val="0"/>
              <w:autoSpaceDN w:val="0"/>
              <w:adjustRightInd w:val="0"/>
              <w:snapToGrid w:val="0"/>
              <w:spacing w:line="240" w:lineRule="atLeast"/>
              <w:jc w:val="right"/>
            </w:pPr>
            <w:r>
              <w:rPr>
                <w:rFonts w:hint="eastAsia"/>
              </w:rPr>
              <w:t>14,375,182</w:t>
            </w:r>
          </w:p>
        </w:tc>
        <w:tc>
          <w:tcPr>
            <w:tcW w:w="3404" w:type="dxa"/>
          </w:tcPr>
          <w:p w14:paraId="45D74ECC" w14:textId="77777777" w:rsidR="005E000F" w:rsidRDefault="00000000">
            <w:pPr>
              <w:autoSpaceDE w:val="0"/>
              <w:autoSpaceDN w:val="0"/>
              <w:adjustRightInd w:val="0"/>
              <w:snapToGrid w:val="0"/>
              <w:spacing w:line="240" w:lineRule="atLeast"/>
              <w:jc w:val="right"/>
            </w:pPr>
            <w:r>
              <w:rPr>
                <w:rFonts w:hint="eastAsia"/>
              </w:rPr>
              <w:t>9,011,187</w:t>
            </w:r>
          </w:p>
        </w:tc>
      </w:tr>
      <w:tr w:rsidR="005E000F" w14:paraId="43D57EBD" w14:textId="77777777">
        <w:trPr>
          <w:cantSplit/>
        </w:trPr>
        <w:tc>
          <w:tcPr>
            <w:tcW w:w="2275" w:type="dxa"/>
            <w:vAlign w:val="center"/>
          </w:tcPr>
          <w:p w14:paraId="65E356D2" w14:textId="77777777" w:rsidR="005E000F" w:rsidRDefault="00000000">
            <w:pPr>
              <w:autoSpaceDE w:val="0"/>
              <w:autoSpaceDN w:val="0"/>
              <w:adjustRightInd w:val="0"/>
              <w:snapToGrid w:val="0"/>
              <w:spacing w:line="240" w:lineRule="atLeast"/>
            </w:pPr>
            <w:r>
              <w:rPr>
                <w:rFonts w:hint="eastAsia"/>
              </w:rPr>
              <w:t>存放财务公司存款</w:t>
            </w:r>
          </w:p>
        </w:tc>
        <w:tc>
          <w:tcPr>
            <w:tcW w:w="3379" w:type="dxa"/>
            <w:vAlign w:val="center"/>
          </w:tcPr>
          <w:p w14:paraId="5D86AEFF" w14:textId="77777777" w:rsidR="005E000F" w:rsidRDefault="00000000">
            <w:pPr>
              <w:autoSpaceDE w:val="0"/>
              <w:autoSpaceDN w:val="0"/>
              <w:adjustRightInd w:val="0"/>
              <w:snapToGrid w:val="0"/>
              <w:spacing w:line="240" w:lineRule="atLeast"/>
              <w:jc w:val="right"/>
              <w:rPr>
                <w:lang w:val="en-GB"/>
              </w:rPr>
            </w:pPr>
            <w:r>
              <w:rPr>
                <w:rFonts w:hint="eastAsia"/>
              </w:rPr>
              <w:t>7,558,906</w:t>
            </w:r>
          </w:p>
        </w:tc>
        <w:tc>
          <w:tcPr>
            <w:tcW w:w="3404" w:type="dxa"/>
            <w:vAlign w:val="center"/>
          </w:tcPr>
          <w:p w14:paraId="12F45E62" w14:textId="77777777" w:rsidR="005E000F" w:rsidRDefault="00000000">
            <w:pPr>
              <w:autoSpaceDE w:val="0"/>
              <w:autoSpaceDN w:val="0"/>
              <w:adjustRightInd w:val="0"/>
              <w:snapToGrid w:val="0"/>
              <w:spacing w:line="240" w:lineRule="atLeast"/>
              <w:jc w:val="right"/>
            </w:pPr>
            <w:r>
              <w:rPr>
                <w:rFonts w:hint="eastAsia"/>
              </w:rPr>
              <w:t>293,867,110</w:t>
            </w:r>
          </w:p>
        </w:tc>
      </w:tr>
      <w:tr w:rsidR="005E000F" w14:paraId="659F0B0C" w14:textId="77777777">
        <w:trPr>
          <w:cantSplit/>
        </w:trPr>
        <w:tc>
          <w:tcPr>
            <w:tcW w:w="2275" w:type="dxa"/>
            <w:vAlign w:val="center"/>
          </w:tcPr>
          <w:p w14:paraId="706BE7C8" w14:textId="77777777" w:rsidR="005E000F" w:rsidRDefault="00000000">
            <w:pPr>
              <w:autoSpaceDE w:val="0"/>
              <w:autoSpaceDN w:val="0"/>
              <w:adjustRightInd w:val="0"/>
              <w:snapToGrid w:val="0"/>
              <w:spacing w:line="240" w:lineRule="atLeast"/>
            </w:pPr>
            <w:r>
              <w:rPr>
                <w:rFonts w:hint="eastAsia"/>
              </w:rPr>
              <w:t>应收利息</w:t>
            </w:r>
          </w:p>
        </w:tc>
        <w:tc>
          <w:tcPr>
            <w:tcW w:w="3379" w:type="dxa"/>
            <w:vAlign w:val="center"/>
          </w:tcPr>
          <w:p w14:paraId="76A7DCAA" w14:textId="77777777" w:rsidR="005E000F" w:rsidRDefault="00000000">
            <w:pPr>
              <w:autoSpaceDE w:val="0"/>
              <w:autoSpaceDN w:val="0"/>
              <w:adjustRightInd w:val="0"/>
              <w:snapToGrid w:val="0"/>
              <w:spacing w:line="240" w:lineRule="atLeast"/>
              <w:jc w:val="right"/>
            </w:pPr>
            <w:r>
              <w:rPr>
                <w:rFonts w:hint="eastAsia"/>
              </w:rPr>
              <w:t>16,001,672</w:t>
            </w:r>
          </w:p>
        </w:tc>
        <w:tc>
          <w:tcPr>
            <w:tcW w:w="3404" w:type="dxa"/>
          </w:tcPr>
          <w:p w14:paraId="20C94D16" w14:textId="77777777" w:rsidR="005E000F" w:rsidRDefault="00000000">
            <w:pPr>
              <w:autoSpaceDE w:val="0"/>
              <w:autoSpaceDN w:val="0"/>
              <w:adjustRightInd w:val="0"/>
              <w:snapToGrid w:val="0"/>
              <w:spacing w:line="240" w:lineRule="atLeast"/>
              <w:jc w:val="right"/>
            </w:pPr>
            <w:r>
              <w:rPr>
                <w:rFonts w:hint="eastAsia"/>
              </w:rPr>
              <w:t>4,960,556</w:t>
            </w:r>
          </w:p>
        </w:tc>
      </w:tr>
      <w:tr w:rsidR="005E000F" w14:paraId="03E6142E" w14:textId="77777777">
        <w:trPr>
          <w:cantSplit/>
        </w:trPr>
        <w:tc>
          <w:tcPr>
            <w:tcW w:w="2275" w:type="dxa"/>
            <w:vAlign w:val="center"/>
          </w:tcPr>
          <w:p w14:paraId="2177C532" w14:textId="77777777" w:rsidR="005E000F" w:rsidRDefault="00000000">
            <w:pPr>
              <w:autoSpaceDE w:val="0"/>
              <w:autoSpaceDN w:val="0"/>
              <w:adjustRightInd w:val="0"/>
              <w:snapToGrid w:val="0"/>
              <w:spacing w:line="240" w:lineRule="atLeast"/>
            </w:pPr>
            <w:r>
              <w:rPr>
                <w:rFonts w:hint="eastAsia"/>
              </w:rPr>
              <w:t>合计</w:t>
            </w:r>
          </w:p>
        </w:tc>
        <w:tc>
          <w:tcPr>
            <w:tcW w:w="3379" w:type="dxa"/>
            <w:vAlign w:val="center"/>
          </w:tcPr>
          <w:p w14:paraId="0AD4CFFB" w14:textId="77777777" w:rsidR="005E000F" w:rsidRDefault="00000000">
            <w:pPr>
              <w:autoSpaceDE w:val="0"/>
              <w:autoSpaceDN w:val="0"/>
              <w:adjustRightInd w:val="0"/>
              <w:snapToGrid w:val="0"/>
              <w:spacing w:line="240" w:lineRule="atLeast"/>
              <w:jc w:val="right"/>
            </w:pPr>
            <w:r>
              <w:rPr>
                <w:rFonts w:hint="eastAsia"/>
              </w:rPr>
              <w:t>35,850,008,755</w:t>
            </w:r>
          </w:p>
        </w:tc>
        <w:tc>
          <w:tcPr>
            <w:tcW w:w="3404" w:type="dxa"/>
          </w:tcPr>
          <w:p w14:paraId="213B883B" w14:textId="77777777" w:rsidR="005E000F" w:rsidRDefault="00000000">
            <w:pPr>
              <w:autoSpaceDE w:val="0"/>
              <w:autoSpaceDN w:val="0"/>
              <w:adjustRightInd w:val="0"/>
              <w:snapToGrid w:val="0"/>
              <w:spacing w:line="240" w:lineRule="atLeast"/>
              <w:jc w:val="right"/>
            </w:pPr>
            <w:r>
              <w:rPr>
                <w:rFonts w:hint="eastAsia"/>
              </w:rPr>
              <w:t>61,346,794,931</w:t>
            </w:r>
          </w:p>
        </w:tc>
      </w:tr>
      <w:tr w:rsidR="005E000F" w14:paraId="7C60E5C0" w14:textId="77777777">
        <w:trPr>
          <w:cantSplit/>
        </w:trPr>
        <w:tc>
          <w:tcPr>
            <w:tcW w:w="2275" w:type="dxa"/>
            <w:vAlign w:val="center"/>
          </w:tcPr>
          <w:p w14:paraId="2CA0ECE6" w14:textId="77777777" w:rsidR="005E000F" w:rsidRDefault="00000000">
            <w:pPr>
              <w:autoSpaceDE w:val="0"/>
              <w:autoSpaceDN w:val="0"/>
              <w:adjustRightInd w:val="0"/>
              <w:snapToGrid w:val="0"/>
              <w:ind w:firstLineChars="200" w:firstLine="420"/>
            </w:pPr>
            <w:r>
              <w:rPr>
                <w:rFonts w:hint="eastAsia"/>
              </w:rPr>
              <w:t>其中：存放在境外的款项总额</w:t>
            </w:r>
          </w:p>
        </w:tc>
        <w:tc>
          <w:tcPr>
            <w:tcW w:w="3379" w:type="dxa"/>
            <w:vAlign w:val="center"/>
          </w:tcPr>
          <w:p w14:paraId="34ACF245" w14:textId="77777777" w:rsidR="005E000F" w:rsidRDefault="00000000">
            <w:pPr>
              <w:autoSpaceDE w:val="0"/>
              <w:autoSpaceDN w:val="0"/>
              <w:adjustRightInd w:val="0"/>
              <w:snapToGrid w:val="0"/>
              <w:spacing w:line="240" w:lineRule="atLeast"/>
              <w:jc w:val="right"/>
            </w:pPr>
            <w:r>
              <w:rPr>
                <w:rFonts w:hint="eastAsia"/>
              </w:rPr>
              <w:t>0</w:t>
            </w:r>
          </w:p>
        </w:tc>
        <w:tc>
          <w:tcPr>
            <w:tcW w:w="3404" w:type="dxa"/>
            <w:vAlign w:val="center"/>
          </w:tcPr>
          <w:p w14:paraId="69D71C2D" w14:textId="77777777" w:rsidR="005E000F" w:rsidRDefault="00000000">
            <w:pPr>
              <w:autoSpaceDE w:val="0"/>
              <w:autoSpaceDN w:val="0"/>
              <w:adjustRightInd w:val="0"/>
              <w:snapToGrid w:val="0"/>
              <w:spacing w:line="240" w:lineRule="atLeast"/>
              <w:jc w:val="right"/>
            </w:pPr>
            <w:r>
              <w:rPr>
                <w:rFonts w:hint="eastAsia"/>
              </w:rPr>
              <w:t>0</w:t>
            </w:r>
          </w:p>
        </w:tc>
      </w:tr>
    </w:tbl>
    <w:p w14:paraId="2C5AFD2C" w14:textId="77777777" w:rsidR="005E000F" w:rsidRDefault="005E000F"/>
    <w:p w14:paraId="39AF55BB" w14:textId="77777777" w:rsidR="005E000F" w:rsidRDefault="00000000">
      <w:r>
        <w:rPr>
          <w:rFonts w:hint="eastAsia"/>
        </w:rPr>
        <w:t>其他说明：</w:t>
      </w:r>
    </w:p>
    <w:sdt>
      <w:sdtPr>
        <w:alias w:val="货币资金的说明"/>
        <w:tag w:val="_GBC_672a863055084dfabbc1ba40f04a68b4"/>
        <w:id w:val="-968048139"/>
        <w:placeholder>
          <w:docPart w:val="GBC22222222222222222222222222222"/>
        </w:placeholder>
      </w:sdtPr>
      <w:sdtContent>
        <w:p w14:paraId="1678AB1F" w14:textId="77777777" w:rsidR="005E000F" w:rsidRDefault="00000000">
          <w:r>
            <w:rPr>
              <w:rFonts w:hint="eastAsia"/>
            </w:rPr>
            <w:t>于</w:t>
          </w:r>
          <w:r>
            <w:rPr>
              <w:rFonts w:hint="eastAsia"/>
            </w:rPr>
            <w:t>2025</w:t>
          </w:r>
          <w:r>
            <w:rPr>
              <w:rFonts w:hint="eastAsia"/>
            </w:rPr>
            <w:t>年</w:t>
          </w:r>
          <w:r>
            <w:rPr>
              <w:rFonts w:hint="eastAsia"/>
            </w:rPr>
            <w:t>12</w:t>
          </w:r>
          <w:r>
            <w:rPr>
              <w:rFonts w:hint="eastAsia"/>
            </w:rPr>
            <w:t>月</w:t>
          </w:r>
          <w:r>
            <w:rPr>
              <w:rFonts w:hint="eastAsia"/>
            </w:rPr>
            <w:t>31</w:t>
          </w:r>
          <w:r>
            <w:rPr>
              <w:rFonts w:hint="eastAsia"/>
            </w:rPr>
            <w:t>日，本集团无存放在境外的货币资金（</w:t>
          </w:r>
          <w:r>
            <w:rPr>
              <w:rFonts w:hint="eastAsia"/>
            </w:rPr>
            <w:t>2024</w:t>
          </w:r>
          <w:r>
            <w:rPr>
              <w:rFonts w:hint="eastAsia"/>
            </w:rPr>
            <w:t>年</w:t>
          </w:r>
          <w:r>
            <w:rPr>
              <w:rFonts w:hint="eastAsia"/>
            </w:rPr>
            <w:t>12</w:t>
          </w:r>
          <w:r>
            <w:rPr>
              <w:rFonts w:hint="eastAsia"/>
            </w:rPr>
            <w:t>月</w:t>
          </w:r>
          <w:r>
            <w:rPr>
              <w:rFonts w:hint="eastAsia"/>
            </w:rPr>
            <w:t>31</w:t>
          </w:r>
          <w:r>
            <w:rPr>
              <w:rFonts w:hint="eastAsia"/>
            </w:rPr>
            <w:t>日：无）。</w:t>
          </w:r>
        </w:p>
        <w:p w14:paraId="2E4982FA" w14:textId="77777777" w:rsidR="005E000F" w:rsidRDefault="005E000F"/>
        <w:p w14:paraId="55328BEF" w14:textId="77777777" w:rsidR="005E000F" w:rsidRDefault="00000000">
          <w:r>
            <w:rPr>
              <w:rFonts w:hint="eastAsia"/>
            </w:rPr>
            <w:t>注</w:t>
          </w:r>
          <w:r>
            <w:rPr>
              <w:rFonts w:hint="eastAsia"/>
            </w:rPr>
            <w:t>1</w:t>
          </w:r>
          <w:r>
            <w:rPr>
              <w:rFonts w:hint="eastAsia"/>
            </w:rPr>
            <w:t>：于</w:t>
          </w:r>
          <w:r>
            <w:rPr>
              <w:rFonts w:hint="eastAsia"/>
            </w:rPr>
            <w:t>2025</w:t>
          </w:r>
          <w:r>
            <w:rPr>
              <w:rFonts w:hint="eastAsia"/>
            </w:rPr>
            <w:t>年</w:t>
          </w:r>
          <w:r>
            <w:rPr>
              <w:rFonts w:hint="eastAsia"/>
            </w:rPr>
            <w:t>12</w:t>
          </w:r>
          <w:r>
            <w:rPr>
              <w:rFonts w:hint="eastAsia"/>
            </w:rPr>
            <w:t>月</w:t>
          </w:r>
          <w:r>
            <w:rPr>
              <w:rFonts w:hint="eastAsia"/>
            </w:rPr>
            <w:t>31</w:t>
          </w:r>
          <w:r>
            <w:rPr>
              <w:rFonts w:hint="eastAsia"/>
            </w:rPr>
            <w:t>日，本集团的货币资金中包括代管其他单位资金人民币</w:t>
          </w:r>
          <w:r>
            <w:rPr>
              <w:rFonts w:hint="eastAsia"/>
            </w:rPr>
            <w:t>156,415,369</w:t>
          </w:r>
          <w:r>
            <w:rPr>
              <w:rFonts w:hint="eastAsia"/>
            </w:rPr>
            <w:t>元（</w:t>
          </w:r>
          <w:r>
            <w:rPr>
              <w:rFonts w:hint="eastAsia"/>
            </w:rPr>
            <w:t>2024</w:t>
          </w:r>
          <w:r>
            <w:rPr>
              <w:rFonts w:hint="eastAsia"/>
            </w:rPr>
            <w:t>年</w:t>
          </w:r>
          <w:r>
            <w:rPr>
              <w:rFonts w:hint="eastAsia"/>
            </w:rPr>
            <w:t>12</w:t>
          </w:r>
          <w:r>
            <w:rPr>
              <w:rFonts w:hint="eastAsia"/>
            </w:rPr>
            <w:t>月</w:t>
          </w:r>
          <w:r>
            <w:rPr>
              <w:rFonts w:hint="eastAsia"/>
            </w:rPr>
            <w:t>31</w:t>
          </w:r>
          <w:r>
            <w:rPr>
              <w:rFonts w:hint="eastAsia"/>
            </w:rPr>
            <w:t>日：人民币</w:t>
          </w:r>
          <w:r>
            <w:rPr>
              <w:rFonts w:hint="eastAsia"/>
            </w:rPr>
            <w:t>163,135,736</w:t>
          </w:r>
          <w:r>
            <w:rPr>
              <w:rFonts w:hint="eastAsia"/>
            </w:rPr>
            <w:t>元），请参见附注七、</w:t>
          </w:r>
          <w:r>
            <w:rPr>
              <w:rFonts w:hint="eastAsia"/>
            </w:rPr>
            <w:t>41</w:t>
          </w:r>
          <w:r>
            <w:rPr>
              <w:rFonts w:hint="eastAsia"/>
            </w:rPr>
            <w:t>。</w:t>
          </w:r>
        </w:p>
      </w:sdtContent>
    </w:sdt>
    <w:p w14:paraId="0F2F24DF" w14:textId="77777777" w:rsidR="005E000F" w:rsidRDefault="005E000F"/>
    <w:p w14:paraId="1EA638B5" w14:textId="77777777" w:rsidR="005E000F" w:rsidRDefault="00000000">
      <w:pPr>
        <w:pStyle w:val="3"/>
        <w:numPr>
          <w:ilvl w:val="0"/>
          <w:numId w:val="66"/>
        </w:numPr>
        <w:rPr>
          <w:szCs w:val="21"/>
        </w:rPr>
      </w:pPr>
      <w:r>
        <w:rPr>
          <w:rFonts w:hint="eastAsia"/>
          <w:szCs w:val="21"/>
        </w:rPr>
        <w:t>交易性金融资产</w:t>
      </w:r>
    </w:p>
    <w:sdt>
      <w:sdtPr>
        <w:alias w:val="是否适用：交易性金融资产[双击切换]"/>
        <w:tag w:val="_GBC_c852c730c6fa4a3e8930f5cbbab9909f"/>
        <w:id w:val="885682751"/>
        <w:placeholder>
          <w:docPart w:val="GBC22222222222222222222222222222"/>
        </w:placeholder>
      </w:sdtPr>
      <w:sdtContent>
        <w:p w14:paraId="69DA4C5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6AFCEF1" w14:textId="77777777" w:rsidR="005E000F" w:rsidRDefault="005E000F"/>
    <w:p w14:paraId="51A2E0DF" w14:textId="77777777" w:rsidR="005E000F" w:rsidRDefault="005E000F"/>
    <w:p w14:paraId="7099A573" w14:textId="77777777" w:rsidR="005E000F" w:rsidRDefault="00000000">
      <w:pPr>
        <w:pStyle w:val="3"/>
        <w:numPr>
          <w:ilvl w:val="0"/>
          <w:numId w:val="66"/>
        </w:numPr>
        <w:rPr>
          <w:szCs w:val="21"/>
        </w:rPr>
      </w:pPr>
      <w:r>
        <w:rPr>
          <w:rFonts w:hint="eastAsia"/>
          <w:szCs w:val="21"/>
        </w:rPr>
        <w:t>衍生金融资产</w:t>
      </w:r>
    </w:p>
    <w:sdt>
      <w:sdtPr>
        <w:alias w:val="是否适用：衍生金融资产[双击切换]"/>
        <w:tag w:val="_GBC_d17bfaab262c4a499d0afca62045c5e0"/>
        <w:id w:val="1130907808"/>
        <w:placeholder>
          <w:docPart w:val="GBC22222222222222222222222222222"/>
        </w:placeholder>
      </w:sdtPr>
      <w:sdtContent>
        <w:p w14:paraId="516D0FD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0053D50" w14:textId="77777777" w:rsidR="005E000F" w:rsidRDefault="005E000F">
      <w:pPr>
        <w:snapToGrid w:val="0"/>
      </w:pPr>
    </w:p>
    <w:p w14:paraId="440E0539" w14:textId="77777777" w:rsidR="005E000F" w:rsidRDefault="005E000F">
      <w:pPr>
        <w:snapToGrid w:val="0"/>
        <w:spacing w:line="240" w:lineRule="atLeast"/>
        <w:ind w:left="1470" w:rightChars="12" w:right="25" w:hangingChars="700" w:hanging="1470"/>
      </w:pPr>
    </w:p>
    <w:p w14:paraId="68EB2968" w14:textId="77777777" w:rsidR="005E000F" w:rsidRDefault="00000000">
      <w:pPr>
        <w:pStyle w:val="3"/>
        <w:numPr>
          <w:ilvl w:val="0"/>
          <w:numId w:val="66"/>
        </w:numPr>
        <w:rPr>
          <w:rFonts w:ascii="宋体" w:hAnsi="宋体" w:cs="宋体"/>
          <w:kern w:val="0"/>
          <w:szCs w:val="21"/>
        </w:rPr>
      </w:pPr>
      <w:r>
        <w:rPr>
          <w:rFonts w:ascii="宋体" w:hAnsi="宋体" w:cs="宋体" w:hint="eastAsia"/>
          <w:kern w:val="0"/>
          <w:szCs w:val="21"/>
        </w:rPr>
        <w:t>应收票据</w:t>
      </w:r>
    </w:p>
    <w:p w14:paraId="20A0627C" w14:textId="77777777" w:rsidR="005E000F" w:rsidRDefault="00000000">
      <w:pPr>
        <w:pStyle w:val="4"/>
        <w:numPr>
          <w:ilvl w:val="3"/>
          <w:numId w:val="67"/>
        </w:numPr>
        <w:ind w:left="426" w:hanging="426"/>
      </w:pPr>
      <w:r>
        <w:rPr>
          <w:rFonts w:hint="eastAsia"/>
        </w:rPr>
        <w:t>应收票据分类列示</w:t>
      </w:r>
    </w:p>
    <w:sdt>
      <w:sdtPr>
        <w:alias w:val="是否适用：应收票据分类列示[双击切换]"/>
        <w:tag w:val="_GBC_bdf010020d484a01ae60c52d7465a06a"/>
        <w:id w:val="-1966417808"/>
        <w:placeholder>
          <w:docPart w:val="GBC22222222222222222222222222222"/>
        </w:placeholder>
      </w:sdtPr>
      <w:sdtContent>
        <w:p w14:paraId="43EEF18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0B3E67D" w14:textId="77777777" w:rsidR="005E000F" w:rsidRDefault="005E000F"/>
    <w:p w14:paraId="509E1037" w14:textId="77777777" w:rsidR="005E000F" w:rsidRDefault="00000000">
      <w:pPr>
        <w:pStyle w:val="4"/>
        <w:numPr>
          <w:ilvl w:val="3"/>
          <w:numId w:val="67"/>
        </w:numPr>
        <w:ind w:left="426" w:hanging="426"/>
      </w:pPr>
      <w:r>
        <w:t>期末公司已</w:t>
      </w:r>
      <w:r>
        <w:rPr>
          <w:rFonts w:hint="eastAsia"/>
        </w:rPr>
        <w:t>质押</w:t>
      </w:r>
      <w:r>
        <w:t>的应收票据</w:t>
      </w:r>
    </w:p>
    <w:sdt>
      <w:sdtPr>
        <w:alias w:val="是否适用：期末公司已质押的应收票据[双击切换]"/>
        <w:tag w:val="_GBC_5281ffb2b9304a49a6db0c913bbaac53"/>
        <w:id w:val="-582912418"/>
        <w:placeholder>
          <w:docPart w:val="GBC22222222222222222222222222222"/>
        </w:placeholder>
      </w:sdtPr>
      <w:sdtContent>
        <w:p w14:paraId="5AE100C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4E769E6" w14:textId="77777777" w:rsidR="005E000F" w:rsidRDefault="005E000F"/>
    <w:p w14:paraId="3CD65859" w14:textId="77777777" w:rsidR="005E000F" w:rsidRDefault="00000000">
      <w:pPr>
        <w:pStyle w:val="4"/>
        <w:numPr>
          <w:ilvl w:val="3"/>
          <w:numId w:val="67"/>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2107191131"/>
        <w:placeholder>
          <w:docPart w:val="GBC22222222222222222222222222222"/>
        </w:placeholder>
      </w:sdtPr>
      <w:sdtContent>
        <w:p w14:paraId="0608263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1AF3506" w14:textId="77777777" w:rsidR="005E000F" w:rsidRDefault="005E000F">
      <w:pPr>
        <w:rPr>
          <w:kern w:val="2"/>
        </w:rPr>
      </w:pPr>
    </w:p>
    <w:p w14:paraId="3991D244" w14:textId="77777777" w:rsidR="005E000F" w:rsidRDefault="00000000">
      <w:pPr>
        <w:pStyle w:val="4"/>
        <w:numPr>
          <w:ilvl w:val="3"/>
          <w:numId w:val="67"/>
        </w:numPr>
        <w:ind w:left="426" w:hanging="426"/>
      </w:pPr>
      <w:bookmarkStart w:id="260" w:name="_Hlk533596246"/>
      <w:r>
        <w:t>按坏账计提方法分类披露</w:t>
      </w:r>
    </w:p>
    <w:sdt>
      <w:sdtPr>
        <w:alias w:val="是否适用：应收票据按坏账计提方法分类披露[双击切换]"/>
        <w:tag w:val="_GBC_806abc31b942462ba4b46f92c99312a5"/>
        <w:id w:val="2032527325"/>
        <w:placeholder>
          <w:docPart w:val="GBC22222222222222222222222222222"/>
        </w:placeholder>
      </w:sdtPr>
      <w:sdtContent>
        <w:p w14:paraId="2A3C3F3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4510607" w14:textId="77777777" w:rsidR="005E000F" w:rsidRDefault="005E000F">
      <w:bookmarkStart w:id="261" w:name="_Hlk533511527"/>
    </w:p>
    <w:bookmarkEnd w:id="260"/>
    <w:bookmarkEnd w:id="261"/>
    <w:p w14:paraId="13612279" w14:textId="77777777" w:rsidR="005E000F" w:rsidRDefault="00000000">
      <w:r>
        <w:rPr>
          <w:rFonts w:hint="eastAsia"/>
        </w:rPr>
        <w:t>按单项计提坏账准备：</w:t>
      </w:r>
    </w:p>
    <w:sdt>
      <w:sdtPr>
        <w:rPr>
          <w:rFonts w:hint="eastAsia"/>
        </w:rPr>
        <w:alias w:val="是否适用：按单项计提坏账准备的应收票据详细情况[双击切换]"/>
        <w:tag w:val="_GBC_9f41f638de8f4c42b9d00ca6755931fb"/>
        <w:id w:val="280610262"/>
        <w:placeholder>
          <w:docPart w:val="GBC22222222222222222222222222222"/>
        </w:placeholder>
      </w:sdtPr>
      <w:sdtContent>
        <w:p w14:paraId="10742CF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3EDAB43" w14:textId="77777777" w:rsidR="005E000F" w:rsidRDefault="005E000F">
      <w:bookmarkStart w:id="262" w:name="_Hlk533597423"/>
    </w:p>
    <w:p w14:paraId="5FD017A2" w14:textId="77777777" w:rsidR="005E000F" w:rsidRDefault="005E000F"/>
    <w:bookmarkEnd w:id="262" w:displacedByCustomXml="next"/>
    <w:sdt>
      <w:sdtPr>
        <w:tag w:val="_PLD_c5822df72e094b5083c45a32639c6995"/>
        <w:id w:val="1576170733"/>
      </w:sdtPr>
      <w:sdtContent>
        <w:p w14:paraId="4D278A14" w14:textId="77777777" w:rsidR="005E000F" w:rsidRDefault="00000000">
          <w:pPr>
            <w:rPr>
              <w:rFonts w:asciiTheme="minorHAnsi" w:hAnsiTheme="minorHAnsi" w:cstheme="minorBidi"/>
              <w:bCs/>
              <w:szCs w:val="22"/>
            </w:rPr>
          </w:pPr>
          <w:r>
            <w:rPr>
              <w:rFonts w:asciiTheme="minorHAnsi" w:hAnsiTheme="minorHAnsi" w:cstheme="minorBidi" w:hint="eastAsia"/>
              <w:bCs/>
              <w:szCs w:val="22"/>
            </w:rPr>
            <w:t>按组合计提坏账准备：</w:t>
          </w:r>
        </w:p>
      </w:sdtContent>
    </w:sdt>
    <w:sdt>
      <w:sdtPr>
        <w:rPr>
          <w:rFonts w:asciiTheme="minorHAnsi" w:hAnsiTheme="minorHAnsi" w:cstheme="minorBidi" w:hint="eastAsia"/>
          <w:bCs/>
          <w:szCs w:val="22"/>
        </w:rPr>
        <w:alias w:val="是否适用：按组合计提坏账准备的应收票据详细情况[双击切换]"/>
        <w:tag w:val="_GBC_6007da8f43a241c5b804069722b7b005"/>
        <w:id w:val="-232786244"/>
        <w:placeholder>
          <w:docPart w:val="GBC22222222222222222222222222222"/>
        </w:placeholder>
      </w:sdtPr>
      <w:sdtContent>
        <w:p w14:paraId="00E8EE25" w14:textId="77777777" w:rsidR="005E000F" w:rsidRDefault="00000000">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0304C2DC" w14:textId="77777777" w:rsidR="005E000F" w:rsidRDefault="005E000F">
      <w:bookmarkStart w:id="263" w:name="_Hlk533601037"/>
    </w:p>
    <w:p w14:paraId="68B414FD" w14:textId="77777777" w:rsidR="005E000F" w:rsidRDefault="005E000F">
      <w:pPr>
        <w:rPr>
          <w:rFonts w:asciiTheme="minorHAnsi" w:hAnsiTheme="minorHAnsi" w:cstheme="minorBidi"/>
          <w:b/>
          <w:bCs/>
          <w:szCs w:val="22"/>
        </w:rPr>
      </w:pPr>
    </w:p>
    <w:p w14:paraId="5F96138C" w14:textId="77777777" w:rsidR="005E000F" w:rsidRDefault="00000000">
      <w:pPr>
        <w:rPr>
          <w:rFonts w:cstheme="minorBidi"/>
          <w:bCs/>
          <w:szCs w:val="22"/>
        </w:rPr>
      </w:pPr>
      <w:bookmarkStart w:id="264" w:name="_Hlk153356892"/>
      <w:bookmarkEnd w:id="263"/>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365966006504a25b2c8db13d573e88d"/>
        <w:id w:val="1593977521"/>
        <w:placeholder>
          <w:docPart w:val="GBC22222222222222222222222222222"/>
        </w:placeholder>
      </w:sdtPr>
      <w:sdtContent>
        <w:p w14:paraId="1B78C717" w14:textId="77777777" w:rsidR="005E000F" w:rsidRDefault="00000000">
          <w:pPr>
            <w:rPr>
              <w:rFonts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037A800C" w14:textId="77777777" w:rsidR="005E000F" w:rsidRDefault="005E000F"/>
    <w:p w14:paraId="0D8EF2CD"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64b745b874a741e0959d6b23dbf1c56a"/>
        <w:id w:val="-1299142832"/>
        <w:placeholder>
          <w:docPart w:val="GBC22222222222222222222222222222"/>
        </w:placeholder>
      </w:sdtPr>
      <w:sdtContent>
        <w:p w14:paraId="40055CEB" w14:textId="77777777" w:rsidR="005E000F" w:rsidRDefault="00000000">
          <w:pPr>
            <w:rPr>
              <w:bCs/>
              <w:szCs w:val="22"/>
            </w:rPr>
          </w:pPr>
          <w:r>
            <w:rPr>
              <w:rFonts w:hint="eastAsia"/>
              <w:bCs/>
              <w:szCs w:val="22"/>
            </w:rPr>
            <w:t>无</w:t>
          </w:r>
        </w:p>
      </w:sdtContent>
    </w:sdt>
    <w:p w14:paraId="28CA70EC" w14:textId="77777777" w:rsidR="005E000F" w:rsidRDefault="005E000F">
      <w:pPr>
        <w:rPr>
          <w:rFonts w:asciiTheme="minorHAnsi" w:hAnsiTheme="minorHAnsi" w:cstheme="minorBidi"/>
          <w:b/>
          <w:bCs/>
          <w:szCs w:val="22"/>
        </w:rPr>
      </w:pPr>
    </w:p>
    <w:p w14:paraId="795AE77F" w14:textId="77777777" w:rsidR="005E000F" w:rsidRDefault="00000000">
      <w:pPr>
        <w:pStyle w:val="affb"/>
      </w:pPr>
      <w:r>
        <w:rPr>
          <w:rFonts w:hint="eastAsia"/>
        </w:rPr>
        <w:t>对本期发生损失准备变动的应收票据账面余额显著变动的情况说明：</w:t>
      </w:r>
    </w:p>
    <w:sdt>
      <w:sdtPr>
        <w:alias w:val="是否适用：对本期发生损失准备变动的账面余额显著变动的情况说明[双击切换]"/>
        <w:tag w:val="_GBC_2f34fd35c9654c8fa0b6583125cc946c"/>
        <w:id w:val="-108669965"/>
        <w:placeholder>
          <w:docPart w:val="GBC22222222222222222222222222222"/>
        </w:placeholder>
      </w:sdtPr>
      <w:sdtContent>
        <w:p w14:paraId="2F6FE434"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2927C79" w14:textId="77777777" w:rsidR="005E000F" w:rsidRDefault="005E000F">
      <w:pPr>
        <w:rPr>
          <w:rFonts w:asciiTheme="minorHAnsi" w:hAnsiTheme="minorHAnsi" w:cstheme="minorBidi"/>
          <w:b/>
          <w:bCs/>
          <w:szCs w:val="22"/>
        </w:rPr>
      </w:pPr>
    </w:p>
    <w:p w14:paraId="78BE2923" w14:textId="77777777" w:rsidR="005E000F" w:rsidRDefault="00000000">
      <w:pPr>
        <w:pStyle w:val="4"/>
        <w:numPr>
          <w:ilvl w:val="3"/>
          <w:numId w:val="67"/>
        </w:numPr>
        <w:ind w:left="426" w:hanging="426"/>
      </w:pPr>
      <w:bookmarkStart w:id="265" w:name="_Hlk154148795"/>
      <w:bookmarkStart w:id="266" w:name="_Hlk532980547"/>
      <w:bookmarkEnd w:id="264"/>
      <w:r>
        <w:rPr>
          <w:rFonts w:hint="eastAsia"/>
        </w:rPr>
        <w:t>坏账准备的情况</w:t>
      </w:r>
    </w:p>
    <w:sdt>
      <w:sdtPr>
        <w:alias w:val="是否适用：应收票据坏账准备情况[双击切换]"/>
        <w:tag w:val="_GBC_3c7b44ae9e3b4aa6a67012163093206f"/>
        <w:id w:val="-310254217"/>
        <w:placeholder>
          <w:docPart w:val="GBC22222222222222222222222222222"/>
        </w:placeholder>
      </w:sdtPr>
      <w:sdtContent>
        <w:p w14:paraId="323D153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C645977" w14:textId="77777777" w:rsidR="005E000F" w:rsidRDefault="005E000F"/>
    <w:p w14:paraId="60C90CAF" w14:textId="77777777" w:rsidR="005E000F" w:rsidRDefault="00000000">
      <w:r>
        <w:rPr>
          <w:rFonts w:hint="eastAsia"/>
        </w:rPr>
        <w:t>其中本期坏账准备收回或转回金额重要的：</w:t>
      </w:r>
    </w:p>
    <w:sdt>
      <w:sdtPr>
        <w:rPr>
          <w:rFonts w:hint="eastAsia"/>
        </w:rPr>
        <w:alias w:val="是否适用：应收票据本期坏账准备收回或转回金额重要的[双击切换]"/>
        <w:tag w:val="_GBC_a6a792a8896944378df4570674cd83e4"/>
        <w:id w:val="1856686430"/>
        <w:placeholder>
          <w:docPart w:val="GBC22222222222222222222222222222"/>
        </w:placeholder>
      </w:sdtPr>
      <w:sdtContent>
        <w:p w14:paraId="1BF8897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8BF5A2D" w14:textId="77777777" w:rsidR="005E000F" w:rsidRDefault="005E000F"/>
    <w:p w14:paraId="4FF33B0D" w14:textId="77777777" w:rsidR="005E000F" w:rsidRDefault="00000000">
      <w:r>
        <w:rPr>
          <w:rFonts w:hint="eastAsia"/>
        </w:rPr>
        <w:t>其他说明：</w:t>
      </w:r>
    </w:p>
    <w:sdt>
      <w:sdtPr>
        <w:rPr>
          <w:rFonts w:cstheme="minorBidi"/>
          <w:bCs/>
          <w:szCs w:val="22"/>
        </w:rPr>
        <w:alias w:val="应收票据坏账准备的其他说明"/>
        <w:tag w:val="_GBC_861db5fd771c449390c4ea436bc9ad1e"/>
        <w:id w:val="677620512"/>
        <w:placeholder>
          <w:docPart w:val="GBC22222222222222222222222222222"/>
        </w:placeholder>
      </w:sdtPr>
      <w:sdtEndPr>
        <w:rPr>
          <w:rFonts w:asciiTheme="minorHAnsi" w:hAnsiTheme="minorHAnsi"/>
          <w:b/>
        </w:rPr>
      </w:sdtEndPr>
      <w:sdtContent>
        <w:p w14:paraId="412D3F3C" w14:textId="77777777" w:rsidR="005E000F" w:rsidRDefault="00000000">
          <w:pPr>
            <w:rPr>
              <w:rFonts w:asciiTheme="minorHAnsi" w:hAnsiTheme="minorHAnsi" w:cstheme="minorBidi"/>
              <w:b/>
              <w:bCs/>
              <w:szCs w:val="22"/>
            </w:rPr>
          </w:pPr>
          <w:r>
            <w:rPr>
              <w:rFonts w:cstheme="minorBidi" w:hint="eastAsia"/>
              <w:bCs/>
              <w:szCs w:val="22"/>
            </w:rPr>
            <w:t>无</w:t>
          </w:r>
        </w:p>
      </w:sdtContent>
    </w:sdt>
    <w:p w14:paraId="7FDFAEA5" w14:textId="77777777" w:rsidR="005E000F" w:rsidRDefault="005E000F">
      <w:pPr>
        <w:rPr>
          <w:rFonts w:asciiTheme="minorHAnsi" w:hAnsiTheme="minorHAnsi" w:cstheme="minorBidi"/>
          <w:b/>
          <w:bCs/>
          <w:szCs w:val="22"/>
        </w:rPr>
      </w:pPr>
    </w:p>
    <w:p w14:paraId="433BE594" w14:textId="77777777" w:rsidR="005E000F" w:rsidRDefault="00000000">
      <w:pPr>
        <w:pStyle w:val="4"/>
        <w:numPr>
          <w:ilvl w:val="3"/>
          <w:numId w:val="67"/>
        </w:numPr>
        <w:ind w:left="426" w:hanging="426"/>
      </w:pPr>
      <w:bookmarkStart w:id="267" w:name="_Hlk152837614"/>
      <w:bookmarkStart w:id="268" w:name="_Hlk532982011"/>
      <w:bookmarkEnd w:id="265"/>
      <w:bookmarkEnd w:id="266"/>
      <w:r>
        <w:rPr>
          <w:rFonts w:hint="eastAsia"/>
        </w:rPr>
        <w:t>本期实际核销的应收票据情况</w:t>
      </w:r>
    </w:p>
    <w:sdt>
      <w:sdtPr>
        <w:alias w:val="是否适用：实际核销的应收票据[双击切换]"/>
        <w:tag w:val="_GBC_a0d8af67abfc4a1698fd198064d3b108"/>
        <w:id w:val="1132975600"/>
        <w:placeholder>
          <w:docPart w:val="GBC22222222222222222222222222222"/>
        </w:placeholder>
      </w:sdtPr>
      <w:sdtContent>
        <w:p w14:paraId="6BE33F7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07D816" w14:textId="77777777" w:rsidR="005E000F" w:rsidRDefault="005E000F"/>
    <w:p w14:paraId="2FF97BAA" w14:textId="77777777" w:rsidR="005E000F" w:rsidRDefault="00000000">
      <w:bookmarkStart w:id="269" w:name="_Hlk152837635"/>
      <w:bookmarkEnd w:id="267"/>
      <w:r>
        <w:rPr>
          <w:rFonts w:hint="eastAsia"/>
        </w:rPr>
        <w:t>其中重要的应收票据核销情况：</w:t>
      </w:r>
    </w:p>
    <w:sdt>
      <w:sdtPr>
        <w:alias w:val="是否适用：重要的应收票据核销[双击切换]"/>
        <w:tag w:val="_GBC_8a4eb0fe2cd044db955869f172508ff4"/>
        <w:id w:val="-84542225"/>
        <w:placeholder>
          <w:docPart w:val="GBC22222222222222222222222222222"/>
        </w:placeholder>
      </w:sdtPr>
      <w:sdtContent>
        <w:p w14:paraId="110A010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7D61BF8" w14:textId="77777777" w:rsidR="005E000F" w:rsidRDefault="005E000F"/>
    <w:p w14:paraId="7BFBDC4C" w14:textId="77777777" w:rsidR="005E000F" w:rsidRDefault="00000000">
      <w:pPr>
        <w:snapToGrid w:val="0"/>
        <w:spacing w:line="240" w:lineRule="atLeast"/>
      </w:pPr>
      <w:bookmarkStart w:id="270" w:name="_Hlk152837641"/>
      <w:bookmarkEnd w:id="269"/>
      <w:r>
        <w:rPr>
          <w:rFonts w:hint="eastAsia"/>
        </w:rPr>
        <w:t>应收票据核销说明：</w:t>
      </w:r>
    </w:p>
    <w:sdt>
      <w:sdtPr>
        <w:rPr>
          <w:rFonts w:asciiTheme="minorHAnsi" w:hAnsiTheme="minorHAnsi" w:cstheme="minorBidi"/>
          <w:bCs/>
          <w:szCs w:val="22"/>
        </w:rPr>
        <w:alias w:val="是否适用：应收票据核销说明[双击切换]"/>
        <w:tag w:val="_GBC_8e9a6863f024409f96d0d85cebbd362b"/>
        <w:id w:val="111182651"/>
        <w:placeholder>
          <w:docPart w:val="GBC22222222222222222222222222222"/>
        </w:placeholder>
      </w:sdtPr>
      <w:sdtContent>
        <w:p w14:paraId="083F3C56" w14:textId="77777777" w:rsidR="005E000F" w:rsidRDefault="00000000">
          <w:pPr>
            <w:rPr>
              <w:rFonts w:asciiTheme="minorHAnsi" w:hAnsiTheme="minorHAnsi"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7CFA51EE" w14:textId="77777777" w:rsidR="005E000F" w:rsidRDefault="005E000F">
      <w:pPr>
        <w:rPr>
          <w:rFonts w:asciiTheme="minorHAnsi" w:hAnsiTheme="minorHAnsi" w:cstheme="minorBidi"/>
          <w:b/>
          <w:bCs/>
          <w:szCs w:val="22"/>
        </w:rPr>
      </w:pPr>
    </w:p>
    <w:bookmarkEnd w:id="268"/>
    <w:bookmarkEnd w:id="270"/>
    <w:p w14:paraId="2A261B7C" w14:textId="77777777" w:rsidR="005E000F" w:rsidRDefault="00000000">
      <w:r>
        <w:rPr>
          <w:rFonts w:hint="eastAsia"/>
        </w:rPr>
        <w:t>其他说明：</w:t>
      </w:r>
    </w:p>
    <w:sdt>
      <w:sdtPr>
        <w:alias w:val="是否适用：应收票据的说明[双击切换]"/>
        <w:tag w:val="_GBC_dc21e09520924a5db7020ba029631550"/>
        <w:id w:val="-1549829465"/>
        <w:placeholder>
          <w:docPart w:val="GBC22222222222222222222222222222"/>
        </w:placeholder>
      </w:sdtPr>
      <w:sdtContent>
        <w:p w14:paraId="12F93FF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F187B83" w14:textId="77777777" w:rsidR="005E000F" w:rsidRDefault="005E000F">
      <w:pPr>
        <w:snapToGrid w:val="0"/>
        <w:spacing w:line="240" w:lineRule="atLeast"/>
      </w:pPr>
    </w:p>
    <w:p w14:paraId="6947500A" w14:textId="77777777" w:rsidR="005E000F" w:rsidRDefault="00000000">
      <w:pPr>
        <w:pStyle w:val="3"/>
        <w:numPr>
          <w:ilvl w:val="0"/>
          <w:numId w:val="66"/>
        </w:numPr>
        <w:rPr>
          <w:rFonts w:ascii="宋体" w:hAnsi="宋体" w:cs="宋体"/>
          <w:kern w:val="0"/>
          <w:szCs w:val="21"/>
        </w:rPr>
      </w:pPr>
      <w:r>
        <w:rPr>
          <w:rFonts w:ascii="宋体" w:hAnsi="宋体" w:cs="宋体" w:hint="eastAsia"/>
          <w:kern w:val="0"/>
          <w:szCs w:val="21"/>
        </w:rPr>
        <w:t>应收账款</w:t>
      </w:r>
    </w:p>
    <w:p w14:paraId="6FD68EC9" w14:textId="77777777" w:rsidR="005E000F" w:rsidRDefault="00000000">
      <w:pPr>
        <w:pStyle w:val="4"/>
        <w:numPr>
          <w:ilvl w:val="3"/>
          <w:numId w:val="68"/>
        </w:numPr>
        <w:ind w:left="426" w:hanging="426"/>
      </w:pPr>
      <w:proofErr w:type="gramStart"/>
      <w:r>
        <w:rPr>
          <w:rFonts w:hint="eastAsia"/>
        </w:rPr>
        <w:t>按账龄</w:t>
      </w:r>
      <w:proofErr w:type="gramEnd"/>
      <w:r>
        <w:rPr>
          <w:rFonts w:hint="eastAsia"/>
        </w:rPr>
        <w:t>披露</w:t>
      </w:r>
    </w:p>
    <w:sdt>
      <w:sdtPr>
        <w:rPr>
          <w:rFonts w:hint="eastAsia"/>
        </w:rPr>
        <w:alias w:val="是否适用：组合中，按账龄分析法计提坏账准备的应收账款[双击切换]"/>
        <w:tag w:val="_GBC_f6086903419d448ab27bc2735b69674a"/>
        <w:id w:val="2112462047"/>
        <w:placeholder>
          <w:docPart w:val="GBC22222222222222222222222222222"/>
        </w:placeholder>
      </w:sdtPr>
      <w:sdtContent>
        <w:p w14:paraId="1530983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44CAF6F" w14:textId="77777777" w:rsidR="005E000F" w:rsidRDefault="00000000">
      <w:pPr>
        <w:jc w:val="right"/>
      </w:pPr>
      <w:r>
        <w:rPr>
          <w:rFonts w:hint="eastAsia"/>
        </w:rPr>
        <w:t>单位：</w:t>
      </w:r>
      <w:sdt>
        <w:sdtPr>
          <w:rPr>
            <w:rFonts w:hint="eastAsia"/>
          </w:rPr>
          <w:alias w:val="单位：财务附注：单项金额不重大但按信用风险特征组合后该组合的风险较大的应收账款"/>
          <w:tag w:val="_GBC_eeeef14b591e4a8d839681ee71744810"/>
          <w:id w:val="-21471163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单项金额不重大但按信用风险特征组合后该组合的风险较大的应收账款"/>
          <w:tag w:val="_GBC_380b2c118777445781c47a562212f944"/>
          <w:id w:val="4195281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6"/>
        <w:gridCol w:w="3051"/>
        <w:gridCol w:w="3051"/>
      </w:tblGrid>
      <w:tr w:rsidR="005E000F" w14:paraId="73B071FB" w14:textId="77777777">
        <w:trPr>
          <w:cantSplit/>
        </w:trPr>
        <w:sdt>
          <w:sdtPr>
            <w:tag w:val="_PLD_987827fb8f754c15801979884cb78127"/>
            <w:id w:val="1059527849"/>
          </w:sdtPr>
          <w:sdtContent>
            <w:tc>
              <w:tcPr>
                <w:tcW w:w="2946" w:type="dxa"/>
                <w:tcBorders>
                  <w:top w:val="single" w:sz="4" w:space="0" w:color="auto"/>
                  <w:left w:val="single" w:sz="4" w:space="0" w:color="auto"/>
                  <w:bottom w:val="single" w:sz="4" w:space="0" w:color="auto"/>
                  <w:right w:val="single" w:sz="4" w:space="0" w:color="auto"/>
                </w:tcBorders>
                <w:vAlign w:val="center"/>
              </w:tcPr>
              <w:p w14:paraId="0CF2D7F2" w14:textId="77777777" w:rsidR="005E000F" w:rsidRDefault="00000000">
                <w:pPr>
                  <w:jc w:val="center"/>
                </w:pPr>
                <w:r>
                  <w:rPr>
                    <w:rFonts w:hint="eastAsia"/>
                  </w:rPr>
                  <w:t>账龄</w:t>
                </w:r>
              </w:p>
            </w:tc>
          </w:sdtContent>
        </w:sdt>
        <w:sdt>
          <w:sdtPr>
            <w:tag w:val="_PLD_53a2def126e844eabd4ea223442a8a87"/>
            <w:id w:val="-641040403"/>
          </w:sdtPr>
          <w:sdtContent>
            <w:tc>
              <w:tcPr>
                <w:tcW w:w="3051" w:type="dxa"/>
                <w:tcBorders>
                  <w:top w:val="single" w:sz="4" w:space="0" w:color="auto"/>
                  <w:left w:val="single" w:sz="4" w:space="0" w:color="auto"/>
                  <w:bottom w:val="single" w:sz="4" w:space="0" w:color="auto"/>
                  <w:right w:val="single" w:sz="4" w:space="0" w:color="auto"/>
                </w:tcBorders>
                <w:vAlign w:val="center"/>
              </w:tcPr>
              <w:p w14:paraId="5B530F3E" w14:textId="77777777" w:rsidR="005E000F" w:rsidRDefault="00000000">
                <w:pPr>
                  <w:jc w:val="center"/>
                </w:pPr>
                <w:r>
                  <w:rPr>
                    <w:rFonts w:hint="eastAsia"/>
                  </w:rPr>
                  <w:t>期末账面余额</w:t>
                </w:r>
              </w:p>
            </w:tc>
          </w:sdtContent>
        </w:sdt>
        <w:sdt>
          <w:sdtPr>
            <w:tag w:val="_PLD_a827d93406c24ad3bf1a17438f1117c1"/>
            <w:id w:val="136154362"/>
          </w:sdtPr>
          <w:sdtContent>
            <w:tc>
              <w:tcPr>
                <w:tcW w:w="3051" w:type="dxa"/>
                <w:tcBorders>
                  <w:top w:val="single" w:sz="4" w:space="0" w:color="auto"/>
                  <w:left w:val="single" w:sz="4" w:space="0" w:color="auto"/>
                  <w:bottom w:val="single" w:sz="4" w:space="0" w:color="auto"/>
                  <w:right w:val="single" w:sz="4" w:space="0" w:color="auto"/>
                </w:tcBorders>
                <w:vAlign w:val="center"/>
              </w:tcPr>
              <w:p w14:paraId="1C7C9D6F" w14:textId="77777777" w:rsidR="005E000F" w:rsidRDefault="00000000">
                <w:pPr>
                  <w:jc w:val="center"/>
                </w:pPr>
                <w:r>
                  <w:rPr>
                    <w:rFonts w:hint="eastAsia"/>
                  </w:rPr>
                  <w:t>期初账面余额</w:t>
                </w:r>
              </w:p>
            </w:tc>
          </w:sdtContent>
        </w:sdt>
      </w:tr>
      <w:tr w:rsidR="005E000F" w14:paraId="7EFA614D" w14:textId="77777777">
        <w:trPr>
          <w:cantSplit/>
        </w:trPr>
        <w:tc>
          <w:tcPr>
            <w:tcW w:w="2946" w:type="dxa"/>
            <w:tcBorders>
              <w:top w:val="single" w:sz="4" w:space="0" w:color="auto"/>
              <w:left w:val="single" w:sz="4" w:space="0" w:color="auto"/>
              <w:bottom w:val="single" w:sz="4" w:space="0" w:color="auto"/>
              <w:right w:val="single" w:sz="4" w:space="0" w:color="auto"/>
            </w:tcBorders>
          </w:tcPr>
          <w:p w14:paraId="53118F09" w14:textId="77777777" w:rsidR="005E000F" w:rsidRDefault="00000000">
            <w:r>
              <w:rPr>
                <w:rFonts w:hint="eastAsia"/>
              </w:rPr>
              <w:t>1</w:t>
            </w:r>
            <w:r>
              <w:rPr>
                <w:rFonts w:hint="eastAsia"/>
              </w:rPr>
              <w:t>年以内（含</w:t>
            </w:r>
            <w:r>
              <w:rPr>
                <w:rFonts w:hint="eastAsia"/>
              </w:rPr>
              <w:t>1</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63A938FD" w14:textId="77777777" w:rsidR="005E000F" w:rsidRDefault="00000000">
            <w:pPr>
              <w:jc w:val="right"/>
            </w:pPr>
            <w:r>
              <w:t>3,924,194,368</w:t>
            </w:r>
          </w:p>
        </w:tc>
        <w:tc>
          <w:tcPr>
            <w:tcW w:w="3051" w:type="dxa"/>
            <w:tcBorders>
              <w:top w:val="single" w:sz="4" w:space="0" w:color="auto"/>
              <w:left w:val="single" w:sz="4" w:space="0" w:color="auto"/>
              <w:bottom w:val="single" w:sz="4" w:space="0" w:color="auto"/>
              <w:right w:val="single" w:sz="4" w:space="0" w:color="auto"/>
            </w:tcBorders>
            <w:vAlign w:val="center"/>
          </w:tcPr>
          <w:p w14:paraId="6DFC3140" w14:textId="77777777" w:rsidR="005E000F" w:rsidRDefault="00000000">
            <w:pPr>
              <w:jc w:val="right"/>
            </w:pPr>
            <w:r>
              <w:rPr>
                <w:rFonts w:hint="eastAsia"/>
              </w:rPr>
              <w:t>3,746,436,291</w:t>
            </w:r>
          </w:p>
        </w:tc>
      </w:tr>
      <w:tr w:rsidR="005E000F" w14:paraId="0CDA6200" w14:textId="77777777">
        <w:trPr>
          <w:cantSplit/>
        </w:trPr>
        <w:tc>
          <w:tcPr>
            <w:tcW w:w="2946" w:type="dxa"/>
            <w:tcBorders>
              <w:top w:val="single" w:sz="4" w:space="0" w:color="auto"/>
              <w:left w:val="single" w:sz="4" w:space="0" w:color="auto"/>
              <w:bottom w:val="single" w:sz="4" w:space="0" w:color="auto"/>
              <w:right w:val="single" w:sz="4" w:space="0" w:color="auto"/>
            </w:tcBorders>
          </w:tcPr>
          <w:p w14:paraId="6673CD51" w14:textId="77777777" w:rsidR="005E000F" w:rsidRDefault="00000000">
            <w:r>
              <w:rPr>
                <w:rFonts w:hint="eastAsia"/>
              </w:rPr>
              <w:t>1</w:t>
            </w:r>
            <w:r>
              <w:rPr>
                <w:rFonts w:hint="eastAsia"/>
              </w:rPr>
              <w:t>年以内小计</w:t>
            </w:r>
          </w:p>
        </w:tc>
        <w:tc>
          <w:tcPr>
            <w:tcW w:w="3051" w:type="dxa"/>
            <w:tcBorders>
              <w:top w:val="single" w:sz="4" w:space="0" w:color="auto"/>
              <w:left w:val="single" w:sz="4" w:space="0" w:color="auto"/>
              <w:bottom w:val="single" w:sz="4" w:space="0" w:color="auto"/>
              <w:right w:val="single" w:sz="4" w:space="0" w:color="auto"/>
            </w:tcBorders>
            <w:vAlign w:val="center"/>
          </w:tcPr>
          <w:p w14:paraId="0398907E" w14:textId="77777777" w:rsidR="005E000F" w:rsidRDefault="00000000">
            <w:pPr>
              <w:jc w:val="right"/>
            </w:pPr>
            <w:r>
              <w:t>3,924,194,368</w:t>
            </w:r>
          </w:p>
        </w:tc>
        <w:tc>
          <w:tcPr>
            <w:tcW w:w="3051" w:type="dxa"/>
            <w:tcBorders>
              <w:top w:val="single" w:sz="4" w:space="0" w:color="auto"/>
              <w:left w:val="single" w:sz="4" w:space="0" w:color="auto"/>
              <w:bottom w:val="single" w:sz="4" w:space="0" w:color="auto"/>
              <w:right w:val="single" w:sz="4" w:space="0" w:color="auto"/>
            </w:tcBorders>
          </w:tcPr>
          <w:p w14:paraId="0EEBF31D" w14:textId="77777777" w:rsidR="005E000F" w:rsidRDefault="00000000">
            <w:pPr>
              <w:jc w:val="right"/>
            </w:pPr>
            <w:r>
              <w:rPr>
                <w:rFonts w:hint="eastAsia"/>
              </w:rPr>
              <w:t>3,746,436,291</w:t>
            </w:r>
          </w:p>
        </w:tc>
      </w:tr>
      <w:tr w:rsidR="005E000F" w14:paraId="4D808AF2"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30EE51E6" w14:textId="77777777" w:rsidR="005E000F" w:rsidRDefault="00000000">
            <w:r>
              <w:rPr>
                <w:rFonts w:hint="eastAsia"/>
              </w:rPr>
              <w:t>1</w:t>
            </w:r>
            <w:r>
              <w:rPr>
                <w:rFonts w:hint="eastAsia"/>
              </w:rPr>
              <w:t>至</w:t>
            </w:r>
            <w:r>
              <w:rPr>
                <w:rFonts w:hint="eastAsia"/>
              </w:rPr>
              <w:t>2</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41C8AB5D" w14:textId="77777777" w:rsidR="005E000F" w:rsidRDefault="00000000">
            <w:pPr>
              <w:jc w:val="right"/>
            </w:pPr>
            <w:r>
              <w:t>199,785,539</w:t>
            </w:r>
          </w:p>
        </w:tc>
        <w:tc>
          <w:tcPr>
            <w:tcW w:w="3051" w:type="dxa"/>
            <w:tcBorders>
              <w:top w:val="single" w:sz="4" w:space="0" w:color="auto"/>
              <w:left w:val="single" w:sz="4" w:space="0" w:color="auto"/>
              <w:bottom w:val="single" w:sz="4" w:space="0" w:color="auto"/>
              <w:right w:val="single" w:sz="4" w:space="0" w:color="auto"/>
            </w:tcBorders>
          </w:tcPr>
          <w:p w14:paraId="4A62DB36" w14:textId="77777777" w:rsidR="005E000F" w:rsidRDefault="00000000">
            <w:pPr>
              <w:jc w:val="right"/>
            </w:pPr>
            <w:r>
              <w:rPr>
                <w:rFonts w:hint="eastAsia"/>
              </w:rPr>
              <w:t>1,064,653,951</w:t>
            </w:r>
          </w:p>
        </w:tc>
      </w:tr>
      <w:tr w:rsidR="005E000F" w14:paraId="7B0208E0"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575F4812" w14:textId="77777777" w:rsidR="005E000F" w:rsidRDefault="00000000">
            <w:r>
              <w:rPr>
                <w:rFonts w:hint="eastAsia"/>
              </w:rPr>
              <w:t>2</w:t>
            </w:r>
            <w:r>
              <w:rPr>
                <w:rFonts w:hint="eastAsia"/>
              </w:rPr>
              <w:t>至</w:t>
            </w:r>
            <w:r>
              <w:rPr>
                <w:rFonts w:hint="eastAsia"/>
              </w:rPr>
              <w:t>3</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7D5CB26D" w14:textId="77777777" w:rsidR="005E000F" w:rsidRDefault="00000000">
            <w:pPr>
              <w:jc w:val="right"/>
            </w:pPr>
            <w:r>
              <w:t>66,460,109</w:t>
            </w:r>
          </w:p>
        </w:tc>
        <w:tc>
          <w:tcPr>
            <w:tcW w:w="3051" w:type="dxa"/>
            <w:tcBorders>
              <w:top w:val="single" w:sz="4" w:space="0" w:color="auto"/>
              <w:left w:val="single" w:sz="4" w:space="0" w:color="auto"/>
              <w:bottom w:val="single" w:sz="4" w:space="0" w:color="auto"/>
              <w:right w:val="single" w:sz="4" w:space="0" w:color="auto"/>
            </w:tcBorders>
          </w:tcPr>
          <w:p w14:paraId="68360245" w14:textId="77777777" w:rsidR="005E000F" w:rsidRDefault="00000000">
            <w:pPr>
              <w:jc w:val="right"/>
            </w:pPr>
            <w:r>
              <w:rPr>
                <w:rFonts w:hint="eastAsia"/>
              </w:rPr>
              <w:t>41,402,504</w:t>
            </w:r>
          </w:p>
        </w:tc>
      </w:tr>
      <w:tr w:rsidR="005E000F" w14:paraId="613722FA"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181B643A" w14:textId="77777777" w:rsidR="005E000F" w:rsidRDefault="00000000">
            <w:r>
              <w:rPr>
                <w:rFonts w:hint="eastAsia"/>
              </w:rPr>
              <w:t>3</w:t>
            </w:r>
            <w:r>
              <w:rPr>
                <w:rFonts w:hint="eastAsia"/>
              </w:rPr>
              <w:t>年以上</w:t>
            </w:r>
          </w:p>
        </w:tc>
        <w:tc>
          <w:tcPr>
            <w:tcW w:w="6102" w:type="dxa"/>
            <w:gridSpan w:val="2"/>
            <w:tcBorders>
              <w:top w:val="single" w:sz="4" w:space="0" w:color="auto"/>
              <w:left w:val="single" w:sz="4" w:space="0" w:color="auto"/>
              <w:bottom w:val="single" w:sz="4" w:space="0" w:color="auto"/>
              <w:right w:val="single" w:sz="4" w:space="0" w:color="auto"/>
            </w:tcBorders>
            <w:vAlign w:val="center"/>
          </w:tcPr>
          <w:p w14:paraId="6DE0B971" w14:textId="77777777" w:rsidR="005E000F" w:rsidRDefault="005E000F">
            <w:pPr>
              <w:jc w:val="right"/>
            </w:pPr>
          </w:p>
        </w:tc>
      </w:tr>
      <w:tr w:rsidR="005E000F" w14:paraId="047961E7"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1B45C5A3" w14:textId="77777777" w:rsidR="005E000F" w:rsidRDefault="00000000">
            <w:r>
              <w:rPr>
                <w:rFonts w:hint="eastAsia"/>
              </w:rPr>
              <w:t>3</w:t>
            </w:r>
            <w:r>
              <w:rPr>
                <w:rFonts w:hint="eastAsia"/>
              </w:rPr>
              <w:t>至</w:t>
            </w:r>
            <w:r>
              <w:rPr>
                <w:rFonts w:hint="eastAsia"/>
              </w:rPr>
              <w:t>4</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5EBBB882" w14:textId="77777777" w:rsidR="005E000F" w:rsidRDefault="00000000">
            <w:pPr>
              <w:jc w:val="right"/>
            </w:pPr>
            <w:r>
              <w:t>10,055,526</w:t>
            </w:r>
          </w:p>
        </w:tc>
        <w:tc>
          <w:tcPr>
            <w:tcW w:w="3051" w:type="dxa"/>
            <w:tcBorders>
              <w:top w:val="single" w:sz="4" w:space="0" w:color="auto"/>
              <w:left w:val="single" w:sz="4" w:space="0" w:color="auto"/>
              <w:bottom w:val="single" w:sz="4" w:space="0" w:color="auto"/>
              <w:right w:val="single" w:sz="4" w:space="0" w:color="auto"/>
            </w:tcBorders>
          </w:tcPr>
          <w:p w14:paraId="62A23934" w14:textId="77777777" w:rsidR="005E000F" w:rsidRDefault="00000000">
            <w:pPr>
              <w:jc w:val="right"/>
            </w:pPr>
            <w:r>
              <w:rPr>
                <w:rFonts w:hint="eastAsia"/>
              </w:rPr>
              <w:t>37,964,638</w:t>
            </w:r>
          </w:p>
        </w:tc>
      </w:tr>
      <w:tr w:rsidR="005E000F" w14:paraId="09DC80AA"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3FAD7E82" w14:textId="77777777" w:rsidR="005E000F" w:rsidRDefault="00000000">
            <w:r>
              <w:rPr>
                <w:rFonts w:hint="eastAsia"/>
              </w:rPr>
              <w:t>4</w:t>
            </w:r>
            <w:r>
              <w:rPr>
                <w:rFonts w:hint="eastAsia"/>
              </w:rPr>
              <w:t>至</w:t>
            </w:r>
            <w:r>
              <w:rPr>
                <w:rFonts w:hint="eastAsia"/>
              </w:rPr>
              <w:t>5</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7DDB25C7" w14:textId="77777777" w:rsidR="005E000F" w:rsidRDefault="00000000">
            <w:pPr>
              <w:jc w:val="right"/>
            </w:pPr>
            <w:r>
              <w:t>0</w:t>
            </w:r>
          </w:p>
        </w:tc>
        <w:tc>
          <w:tcPr>
            <w:tcW w:w="3051" w:type="dxa"/>
            <w:tcBorders>
              <w:top w:val="single" w:sz="4" w:space="0" w:color="auto"/>
              <w:left w:val="single" w:sz="4" w:space="0" w:color="auto"/>
              <w:bottom w:val="single" w:sz="4" w:space="0" w:color="auto"/>
              <w:right w:val="single" w:sz="4" w:space="0" w:color="auto"/>
            </w:tcBorders>
          </w:tcPr>
          <w:p w14:paraId="5B453A5A" w14:textId="77777777" w:rsidR="005E000F" w:rsidRDefault="00000000">
            <w:pPr>
              <w:jc w:val="right"/>
            </w:pPr>
            <w:r>
              <w:rPr>
                <w:rFonts w:hint="eastAsia"/>
              </w:rPr>
              <w:t>11,220,000</w:t>
            </w:r>
          </w:p>
        </w:tc>
      </w:tr>
      <w:tr w:rsidR="005E000F" w14:paraId="5F468A3B"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6B40B7CC" w14:textId="77777777" w:rsidR="005E000F" w:rsidRDefault="00000000">
            <w:r>
              <w:rPr>
                <w:rFonts w:hint="eastAsia"/>
              </w:rPr>
              <w:t>5</w:t>
            </w:r>
            <w:r>
              <w:rPr>
                <w:rFonts w:hint="eastAsia"/>
              </w:rPr>
              <w:t>年以上</w:t>
            </w:r>
          </w:p>
        </w:tc>
        <w:tc>
          <w:tcPr>
            <w:tcW w:w="3051" w:type="dxa"/>
            <w:tcBorders>
              <w:top w:val="single" w:sz="4" w:space="0" w:color="auto"/>
              <w:left w:val="single" w:sz="4" w:space="0" w:color="auto"/>
              <w:bottom w:val="single" w:sz="4" w:space="0" w:color="auto"/>
              <w:right w:val="single" w:sz="4" w:space="0" w:color="auto"/>
            </w:tcBorders>
            <w:vAlign w:val="center"/>
          </w:tcPr>
          <w:p w14:paraId="2CD7F63C" w14:textId="77777777" w:rsidR="005E000F" w:rsidRDefault="00000000">
            <w:pPr>
              <w:jc w:val="right"/>
            </w:pPr>
            <w:r>
              <w:t>490,412</w:t>
            </w:r>
          </w:p>
        </w:tc>
        <w:tc>
          <w:tcPr>
            <w:tcW w:w="3051" w:type="dxa"/>
            <w:tcBorders>
              <w:top w:val="single" w:sz="4" w:space="0" w:color="auto"/>
              <w:left w:val="single" w:sz="4" w:space="0" w:color="auto"/>
              <w:bottom w:val="single" w:sz="4" w:space="0" w:color="auto"/>
              <w:right w:val="single" w:sz="4" w:space="0" w:color="auto"/>
            </w:tcBorders>
          </w:tcPr>
          <w:p w14:paraId="740E2FA4" w14:textId="77777777" w:rsidR="005E000F" w:rsidRDefault="00000000">
            <w:pPr>
              <w:jc w:val="right"/>
            </w:pPr>
            <w:r>
              <w:rPr>
                <w:rFonts w:hint="eastAsia"/>
              </w:rPr>
              <w:t>33,824,377</w:t>
            </w:r>
          </w:p>
        </w:tc>
      </w:tr>
      <w:tr w:rsidR="005E000F" w14:paraId="7C5508CB"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3031E9C1" w14:textId="77777777" w:rsidR="005E000F" w:rsidRDefault="00000000">
            <w:pPr>
              <w:jc w:val="center"/>
            </w:pPr>
            <w:r>
              <w:rPr>
                <w:rFonts w:hint="eastAsia"/>
              </w:rPr>
              <w:t>合计</w:t>
            </w:r>
          </w:p>
        </w:tc>
        <w:tc>
          <w:tcPr>
            <w:tcW w:w="3051" w:type="dxa"/>
            <w:tcBorders>
              <w:top w:val="single" w:sz="4" w:space="0" w:color="auto"/>
              <w:left w:val="single" w:sz="4" w:space="0" w:color="auto"/>
              <w:bottom w:val="single" w:sz="4" w:space="0" w:color="auto"/>
              <w:right w:val="single" w:sz="4" w:space="0" w:color="auto"/>
            </w:tcBorders>
            <w:vAlign w:val="center"/>
          </w:tcPr>
          <w:p w14:paraId="05E14F4F" w14:textId="77777777" w:rsidR="005E000F" w:rsidRDefault="00000000">
            <w:pPr>
              <w:jc w:val="right"/>
              <w:rPr>
                <w:lang w:val="en-GB" w:eastAsia="en-US"/>
              </w:rPr>
            </w:pPr>
            <w:r>
              <w:t>4,200,985,954</w:t>
            </w:r>
          </w:p>
        </w:tc>
        <w:tc>
          <w:tcPr>
            <w:tcW w:w="3051" w:type="dxa"/>
            <w:tcBorders>
              <w:top w:val="single" w:sz="4" w:space="0" w:color="auto"/>
              <w:left w:val="single" w:sz="4" w:space="0" w:color="auto"/>
              <w:bottom w:val="single" w:sz="4" w:space="0" w:color="auto"/>
              <w:right w:val="single" w:sz="4" w:space="0" w:color="auto"/>
            </w:tcBorders>
          </w:tcPr>
          <w:p w14:paraId="2FAC3409" w14:textId="77777777" w:rsidR="005E000F" w:rsidRDefault="00000000">
            <w:pPr>
              <w:jc w:val="right"/>
            </w:pPr>
            <w:r>
              <w:rPr>
                <w:rFonts w:hint="eastAsia"/>
              </w:rPr>
              <w:t>4,935,501,761</w:t>
            </w:r>
          </w:p>
        </w:tc>
      </w:tr>
    </w:tbl>
    <w:p w14:paraId="653F578B" w14:textId="77777777" w:rsidR="005E000F" w:rsidRDefault="005E000F"/>
    <w:p w14:paraId="4A0E5CD1" w14:textId="77777777" w:rsidR="005E000F" w:rsidRDefault="00000000">
      <w:pPr>
        <w:sectPr w:rsidR="005E000F">
          <w:pgSz w:w="11906" w:h="16838"/>
          <w:pgMar w:top="1440" w:right="1797" w:bottom="1525" w:left="1276" w:header="856" w:footer="992" w:gutter="0"/>
          <w:cols w:space="425"/>
          <w:docGrid w:linePitch="312"/>
        </w:sectPr>
      </w:pPr>
      <w:proofErr w:type="gramStart"/>
      <w:r>
        <w:rPr>
          <w:rFonts w:hint="eastAsia"/>
        </w:rPr>
        <w:t>账龄自应收</w:t>
      </w:r>
      <w:proofErr w:type="gramEnd"/>
      <w:r>
        <w:rPr>
          <w:rFonts w:hint="eastAsia"/>
        </w:rPr>
        <w:t>账款确认日起开始计算。</w:t>
      </w:r>
    </w:p>
    <w:p w14:paraId="240B984B" w14:textId="77777777" w:rsidR="005E000F" w:rsidRDefault="005E000F"/>
    <w:p w14:paraId="6BDE2AF8" w14:textId="77777777" w:rsidR="005E000F" w:rsidRDefault="00000000">
      <w:pPr>
        <w:pStyle w:val="4"/>
        <w:numPr>
          <w:ilvl w:val="3"/>
          <w:numId w:val="68"/>
        </w:numPr>
        <w:ind w:left="426" w:hanging="426"/>
      </w:pPr>
      <w:bookmarkStart w:id="271" w:name="_Hlk533601584"/>
      <w:r>
        <w:rPr>
          <w:rFonts w:hint="eastAsia"/>
        </w:rPr>
        <w:t>按坏账计提方法分类披露</w:t>
      </w:r>
    </w:p>
    <w:sdt>
      <w:sdtPr>
        <w:alias w:val="是否适用：应收账款分类披露[双击切换]"/>
        <w:tag w:val="_GBC_5532cbb0484a40fcb185be4bb8709d46"/>
        <w:id w:val="-1395423695"/>
        <w:placeholder>
          <w:docPart w:val="GBC22222222222222222222222222222"/>
        </w:placeholder>
      </w:sdtPr>
      <w:sdtContent>
        <w:p w14:paraId="45234F00"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69A83D8" w14:textId="77777777" w:rsidR="005E000F" w:rsidRDefault="00000000">
      <w:pPr>
        <w:pStyle w:val="aff8"/>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9672a88fa94c441f9769b560659b37f6"/>
          <w:id w:val="17762905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45ed90b2e73740bfa8c1f5d7d12ff35e"/>
          <w:id w:val="-29390902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424"/>
        <w:gridCol w:w="969"/>
        <w:gridCol w:w="1161"/>
        <w:gridCol w:w="997"/>
        <w:gridCol w:w="1424"/>
        <w:gridCol w:w="1424"/>
        <w:gridCol w:w="994"/>
        <w:gridCol w:w="1266"/>
        <w:gridCol w:w="1021"/>
        <w:gridCol w:w="1424"/>
      </w:tblGrid>
      <w:tr w:rsidR="005E000F" w14:paraId="12B3AABB" w14:textId="77777777">
        <w:trPr>
          <w:cantSplit/>
          <w:trHeight w:val="259"/>
        </w:trPr>
        <w:sdt>
          <w:sdtPr>
            <w:tag w:val="_PLD_f8d5a19b9b724da98e30475a6df20be9"/>
            <w:id w:val="765041427"/>
          </w:sdtPr>
          <w:sdtContent>
            <w:tc>
              <w:tcPr>
                <w:tcW w:w="752" w:type="pct"/>
                <w:vMerge w:val="restart"/>
                <w:tcBorders>
                  <w:top w:val="single" w:sz="4" w:space="0" w:color="auto"/>
                  <w:left w:val="single" w:sz="4" w:space="0" w:color="auto"/>
                  <w:right w:val="single" w:sz="4" w:space="0" w:color="auto"/>
                </w:tcBorders>
                <w:vAlign w:val="center"/>
              </w:tcPr>
              <w:p w14:paraId="20C0F54C" w14:textId="77777777" w:rsidR="005E000F" w:rsidRDefault="00000000">
                <w:pPr>
                  <w:jc w:val="center"/>
                </w:pPr>
                <w:r>
                  <w:rPr>
                    <w:rFonts w:hint="eastAsia"/>
                  </w:rPr>
                  <w:t>类别</w:t>
                </w:r>
              </w:p>
            </w:tc>
          </w:sdtContent>
        </w:sdt>
        <w:sdt>
          <w:sdtPr>
            <w:tag w:val="_PLD_8e6cd64a5cc84d259bab748be3f49169"/>
            <w:id w:val="-2069016528"/>
          </w:sdtPr>
          <w:sdtContent>
            <w:tc>
              <w:tcPr>
                <w:tcW w:w="1973" w:type="pct"/>
                <w:gridSpan w:val="5"/>
                <w:tcBorders>
                  <w:top w:val="single" w:sz="4" w:space="0" w:color="auto"/>
                  <w:left w:val="single" w:sz="4" w:space="0" w:color="auto"/>
                  <w:right w:val="single" w:sz="4" w:space="0" w:color="auto"/>
                </w:tcBorders>
                <w:vAlign w:val="center"/>
              </w:tcPr>
              <w:p w14:paraId="258F39F4" w14:textId="77777777" w:rsidR="005E000F" w:rsidRDefault="00000000">
                <w:pPr>
                  <w:autoSpaceDE w:val="0"/>
                  <w:autoSpaceDN w:val="0"/>
                  <w:adjustRightInd w:val="0"/>
                  <w:snapToGrid w:val="0"/>
                  <w:spacing w:line="240" w:lineRule="atLeast"/>
                  <w:jc w:val="center"/>
                </w:pPr>
                <w:r>
                  <w:rPr>
                    <w:rFonts w:hint="eastAsia"/>
                  </w:rPr>
                  <w:t>期末余额</w:t>
                </w:r>
              </w:p>
            </w:tc>
          </w:sdtContent>
        </w:sdt>
        <w:sdt>
          <w:sdtPr>
            <w:tag w:val="_PLD_f3718624b866493ab3b8d8edadf10560"/>
            <w:id w:val="-1776560491"/>
          </w:sdtPr>
          <w:sdtContent>
            <w:tc>
              <w:tcPr>
                <w:tcW w:w="2273" w:type="pct"/>
                <w:gridSpan w:val="5"/>
                <w:tcBorders>
                  <w:top w:val="single" w:sz="4" w:space="0" w:color="auto"/>
                  <w:left w:val="single" w:sz="4" w:space="0" w:color="auto"/>
                  <w:right w:val="single" w:sz="4" w:space="0" w:color="auto"/>
                </w:tcBorders>
                <w:vAlign w:val="center"/>
              </w:tcPr>
              <w:p w14:paraId="02AF1B36" w14:textId="77777777" w:rsidR="005E000F" w:rsidRDefault="00000000">
                <w:pPr>
                  <w:autoSpaceDE w:val="0"/>
                  <w:autoSpaceDN w:val="0"/>
                  <w:adjustRightInd w:val="0"/>
                  <w:snapToGrid w:val="0"/>
                  <w:spacing w:line="240" w:lineRule="atLeast"/>
                  <w:jc w:val="center"/>
                </w:pPr>
                <w:r>
                  <w:rPr>
                    <w:rFonts w:hint="eastAsia"/>
                  </w:rPr>
                  <w:t>期初余额</w:t>
                </w:r>
              </w:p>
            </w:tc>
          </w:sdtContent>
        </w:sdt>
      </w:tr>
      <w:tr w:rsidR="005E000F" w14:paraId="5FC10A0D" w14:textId="77777777">
        <w:trPr>
          <w:cantSplit/>
          <w:trHeight w:val="227"/>
        </w:trPr>
        <w:tc>
          <w:tcPr>
            <w:tcW w:w="752" w:type="pct"/>
            <w:vMerge/>
            <w:tcBorders>
              <w:left w:val="single" w:sz="4" w:space="0" w:color="auto"/>
              <w:right w:val="single" w:sz="4" w:space="0" w:color="auto"/>
            </w:tcBorders>
            <w:vAlign w:val="center"/>
          </w:tcPr>
          <w:p w14:paraId="11A97FB0" w14:textId="77777777" w:rsidR="005E000F" w:rsidRDefault="005E000F"/>
        </w:tc>
        <w:sdt>
          <w:sdtPr>
            <w:tag w:val="_PLD_696c52ce758e49deb616a7fb8df8ee20"/>
            <w:id w:val="2043541858"/>
          </w:sdtPr>
          <w:sdtContent>
            <w:tc>
              <w:tcPr>
                <w:tcW w:w="789" w:type="pct"/>
                <w:gridSpan w:val="2"/>
                <w:tcBorders>
                  <w:top w:val="single" w:sz="4" w:space="0" w:color="auto"/>
                  <w:left w:val="single" w:sz="4" w:space="0" w:color="auto"/>
                  <w:bottom w:val="single" w:sz="4" w:space="0" w:color="auto"/>
                  <w:right w:val="single" w:sz="4" w:space="0" w:color="auto"/>
                </w:tcBorders>
                <w:vAlign w:val="center"/>
              </w:tcPr>
              <w:p w14:paraId="2E942C73" w14:textId="77777777" w:rsidR="005E000F" w:rsidRDefault="00000000">
                <w:pPr>
                  <w:jc w:val="center"/>
                </w:pPr>
                <w:r>
                  <w:rPr>
                    <w:rFonts w:hint="eastAsia"/>
                  </w:rPr>
                  <w:t>账面余额</w:t>
                </w:r>
              </w:p>
            </w:tc>
          </w:sdtContent>
        </w:sdt>
        <w:sdt>
          <w:sdtPr>
            <w:tag w:val="_PLD_1ca261fa1763424688ba2be8550f43e1"/>
            <w:id w:val="-1573345946"/>
          </w:sdtPr>
          <w:sdtContent>
            <w:tc>
              <w:tcPr>
                <w:tcW w:w="792" w:type="pct"/>
                <w:gridSpan w:val="2"/>
                <w:tcBorders>
                  <w:top w:val="single" w:sz="4" w:space="0" w:color="auto"/>
                  <w:left w:val="single" w:sz="4" w:space="0" w:color="auto"/>
                  <w:bottom w:val="single" w:sz="4" w:space="0" w:color="auto"/>
                  <w:right w:val="single" w:sz="4" w:space="0" w:color="auto"/>
                </w:tcBorders>
                <w:vAlign w:val="center"/>
              </w:tcPr>
              <w:p w14:paraId="057A0362" w14:textId="77777777" w:rsidR="005E000F" w:rsidRDefault="00000000">
                <w:pPr>
                  <w:jc w:val="center"/>
                </w:pPr>
                <w:r>
                  <w:rPr>
                    <w:rFonts w:hint="eastAsia"/>
                  </w:rPr>
                  <w:t>坏账准备</w:t>
                </w:r>
              </w:p>
            </w:tc>
          </w:sdtContent>
        </w:sdt>
        <w:sdt>
          <w:sdtPr>
            <w:tag w:val="_PLD_caaf7fb85a4a432890635f2eb9c38cd5"/>
            <w:id w:val="-1608196749"/>
          </w:sdtPr>
          <w:sdtContent>
            <w:tc>
              <w:tcPr>
                <w:tcW w:w="392" w:type="pct"/>
                <w:vMerge w:val="restart"/>
                <w:tcBorders>
                  <w:top w:val="single" w:sz="4" w:space="0" w:color="auto"/>
                  <w:left w:val="single" w:sz="4" w:space="0" w:color="auto"/>
                  <w:right w:val="single" w:sz="4" w:space="0" w:color="auto"/>
                </w:tcBorders>
                <w:vAlign w:val="center"/>
              </w:tcPr>
              <w:p w14:paraId="34E084A5" w14:textId="77777777" w:rsidR="005E000F" w:rsidRDefault="00000000">
                <w:pPr>
                  <w:jc w:val="center"/>
                </w:pPr>
                <w:r>
                  <w:rPr>
                    <w:rFonts w:hint="eastAsia"/>
                  </w:rPr>
                  <w:t>账面</w:t>
                </w:r>
              </w:p>
              <w:p w14:paraId="244D70B4" w14:textId="77777777" w:rsidR="005E000F" w:rsidRDefault="00000000">
                <w:pPr>
                  <w:jc w:val="center"/>
                </w:pPr>
                <w:r>
                  <w:rPr>
                    <w:rFonts w:hint="eastAsia"/>
                  </w:rPr>
                  <w:t>价值</w:t>
                </w:r>
              </w:p>
            </w:tc>
          </w:sdtContent>
        </w:sdt>
        <w:sdt>
          <w:sdtPr>
            <w:tag w:val="_PLD_f01498a5d6634d7ab63dd393e266902a"/>
            <w:id w:val="3487899"/>
          </w:sdtPr>
          <w:sdtContent>
            <w:tc>
              <w:tcPr>
                <w:tcW w:w="907" w:type="pct"/>
                <w:gridSpan w:val="2"/>
                <w:tcBorders>
                  <w:top w:val="single" w:sz="4" w:space="0" w:color="auto"/>
                  <w:left w:val="single" w:sz="4" w:space="0" w:color="auto"/>
                  <w:right w:val="single" w:sz="4" w:space="0" w:color="auto"/>
                </w:tcBorders>
                <w:vAlign w:val="center"/>
              </w:tcPr>
              <w:p w14:paraId="49E97D29" w14:textId="77777777" w:rsidR="005E000F" w:rsidRDefault="00000000">
                <w:pPr>
                  <w:jc w:val="center"/>
                </w:pPr>
                <w:r>
                  <w:rPr>
                    <w:rFonts w:hint="eastAsia"/>
                  </w:rPr>
                  <w:t>账面余额</w:t>
                </w:r>
              </w:p>
            </w:tc>
          </w:sdtContent>
        </w:sdt>
        <w:sdt>
          <w:sdtPr>
            <w:tag w:val="_PLD_e9336373677a4e1781b6e81f705c1bec"/>
            <w:id w:val="-781572796"/>
          </w:sdtPr>
          <w:sdtContent>
            <w:tc>
              <w:tcPr>
                <w:tcW w:w="860" w:type="pct"/>
                <w:gridSpan w:val="2"/>
                <w:tcBorders>
                  <w:top w:val="single" w:sz="4" w:space="0" w:color="auto"/>
                  <w:left w:val="single" w:sz="4" w:space="0" w:color="auto"/>
                  <w:right w:val="single" w:sz="4" w:space="0" w:color="auto"/>
                </w:tcBorders>
                <w:vAlign w:val="center"/>
              </w:tcPr>
              <w:p w14:paraId="1D736A95" w14:textId="77777777" w:rsidR="005E000F" w:rsidRDefault="00000000">
                <w:pPr>
                  <w:jc w:val="center"/>
                </w:pPr>
                <w:r>
                  <w:rPr>
                    <w:rFonts w:hint="eastAsia"/>
                  </w:rPr>
                  <w:t>坏账准备</w:t>
                </w:r>
              </w:p>
            </w:tc>
          </w:sdtContent>
        </w:sdt>
        <w:sdt>
          <w:sdtPr>
            <w:tag w:val="_PLD_09bacc527e7b4910a0c82606fe4a5754"/>
            <w:id w:val="-195160670"/>
          </w:sdtPr>
          <w:sdtContent>
            <w:tc>
              <w:tcPr>
                <w:tcW w:w="505" w:type="pct"/>
                <w:vMerge w:val="restart"/>
                <w:tcBorders>
                  <w:top w:val="single" w:sz="4" w:space="0" w:color="auto"/>
                  <w:left w:val="single" w:sz="4" w:space="0" w:color="auto"/>
                  <w:right w:val="single" w:sz="4" w:space="0" w:color="auto"/>
                </w:tcBorders>
                <w:vAlign w:val="center"/>
              </w:tcPr>
              <w:p w14:paraId="6FCCA40D" w14:textId="77777777" w:rsidR="005E000F" w:rsidRDefault="00000000">
                <w:pPr>
                  <w:jc w:val="center"/>
                </w:pPr>
                <w:r>
                  <w:rPr>
                    <w:rFonts w:hint="eastAsia"/>
                  </w:rPr>
                  <w:t>账面</w:t>
                </w:r>
              </w:p>
              <w:p w14:paraId="18BE8355" w14:textId="77777777" w:rsidR="005E000F" w:rsidRDefault="00000000">
                <w:pPr>
                  <w:jc w:val="center"/>
                </w:pPr>
                <w:r>
                  <w:rPr>
                    <w:rFonts w:hint="eastAsia"/>
                  </w:rPr>
                  <w:t>价值</w:t>
                </w:r>
              </w:p>
            </w:tc>
          </w:sdtContent>
        </w:sdt>
      </w:tr>
      <w:tr w:rsidR="005E000F" w14:paraId="4079613C" w14:textId="77777777">
        <w:trPr>
          <w:cantSplit/>
          <w:trHeight w:val="375"/>
        </w:trPr>
        <w:tc>
          <w:tcPr>
            <w:tcW w:w="752" w:type="pct"/>
            <w:vMerge/>
            <w:tcBorders>
              <w:left w:val="single" w:sz="4" w:space="0" w:color="auto"/>
              <w:bottom w:val="single" w:sz="4" w:space="0" w:color="auto"/>
              <w:right w:val="single" w:sz="4" w:space="0" w:color="auto"/>
            </w:tcBorders>
            <w:vAlign w:val="center"/>
          </w:tcPr>
          <w:p w14:paraId="0BAB7B14" w14:textId="77777777" w:rsidR="005E000F" w:rsidRDefault="005E000F"/>
        </w:tc>
        <w:sdt>
          <w:sdtPr>
            <w:tag w:val="_PLD_9a908e63a38c4885ae2f80c1b860b93a"/>
            <w:id w:val="1027687607"/>
          </w:sdtPr>
          <w:sdtContent>
            <w:tc>
              <w:tcPr>
                <w:tcW w:w="396" w:type="pct"/>
                <w:tcBorders>
                  <w:left w:val="single" w:sz="4" w:space="0" w:color="auto"/>
                  <w:bottom w:val="single" w:sz="4" w:space="0" w:color="auto"/>
                  <w:right w:val="single" w:sz="4" w:space="0" w:color="auto"/>
                </w:tcBorders>
                <w:vAlign w:val="center"/>
              </w:tcPr>
              <w:p w14:paraId="4C9D6663" w14:textId="77777777" w:rsidR="005E000F" w:rsidRDefault="00000000">
                <w:pPr>
                  <w:jc w:val="center"/>
                </w:pPr>
                <w:r>
                  <w:rPr>
                    <w:rFonts w:hint="eastAsia"/>
                  </w:rPr>
                  <w:t>金额</w:t>
                </w:r>
              </w:p>
            </w:tc>
          </w:sdtContent>
        </w:sdt>
        <w:sdt>
          <w:sdtPr>
            <w:tag w:val="_PLD_df211ff0344e48aa8266bff852c13d4a"/>
            <w:id w:val="2112622731"/>
          </w:sdtPr>
          <w:sdtContent>
            <w:tc>
              <w:tcPr>
                <w:tcW w:w="392" w:type="pct"/>
                <w:tcBorders>
                  <w:left w:val="single" w:sz="4" w:space="0" w:color="auto"/>
                  <w:bottom w:val="single" w:sz="4" w:space="0" w:color="auto"/>
                  <w:right w:val="single" w:sz="4" w:space="0" w:color="auto"/>
                </w:tcBorders>
                <w:vAlign w:val="center"/>
              </w:tcPr>
              <w:p w14:paraId="4D6DBFAD" w14:textId="77777777" w:rsidR="005E000F" w:rsidRDefault="00000000">
                <w:pPr>
                  <w:jc w:val="center"/>
                </w:pPr>
                <w:r>
                  <w:rPr>
                    <w:rFonts w:hint="eastAsia"/>
                  </w:rPr>
                  <w:t>比例（</w:t>
                </w:r>
                <w:r>
                  <w:t>%</w:t>
                </w:r>
                <w:r>
                  <w:rPr>
                    <w:rFonts w:hint="eastAsia"/>
                  </w:rPr>
                  <w:t>）</w:t>
                </w:r>
              </w:p>
            </w:tc>
          </w:sdtContent>
        </w:sdt>
        <w:sdt>
          <w:sdtPr>
            <w:tag w:val="_PLD_bc7278fbd5c542a3abfb9a55090a49e0"/>
            <w:id w:val="-408609312"/>
          </w:sdtPr>
          <w:sdtContent>
            <w:tc>
              <w:tcPr>
                <w:tcW w:w="389" w:type="pct"/>
                <w:tcBorders>
                  <w:left w:val="single" w:sz="4" w:space="0" w:color="auto"/>
                  <w:bottom w:val="single" w:sz="4" w:space="0" w:color="auto"/>
                  <w:right w:val="single" w:sz="4" w:space="0" w:color="auto"/>
                </w:tcBorders>
                <w:vAlign w:val="center"/>
              </w:tcPr>
              <w:p w14:paraId="065F3647" w14:textId="77777777" w:rsidR="005E000F" w:rsidRDefault="00000000">
                <w:pPr>
                  <w:jc w:val="center"/>
                </w:pPr>
                <w:r>
                  <w:rPr>
                    <w:rFonts w:hint="eastAsia"/>
                  </w:rPr>
                  <w:t>金额</w:t>
                </w:r>
              </w:p>
            </w:tc>
          </w:sdtContent>
        </w:sdt>
        <w:sdt>
          <w:sdtPr>
            <w:tag w:val="_PLD_98f107e07b5b44938d61d6b0984d9e2b"/>
            <w:id w:val="1604073022"/>
          </w:sdtPr>
          <w:sdtContent>
            <w:tc>
              <w:tcPr>
                <w:tcW w:w="402" w:type="pct"/>
                <w:tcBorders>
                  <w:left w:val="single" w:sz="4" w:space="0" w:color="auto"/>
                  <w:bottom w:val="single" w:sz="4" w:space="0" w:color="auto"/>
                  <w:right w:val="single" w:sz="4" w:space="0" w:color="auto"/>
                </w:tcBorders>
                <w:vAlign w:val="center"/>
              </w:tcPr>
              <w:p w14:paraId="0DB200E3" w14:textId="77777777" w:rsidR="005E000F" w:rsidRDefault="00000000">
                <w:pPr>
                  <w:jc w:val="center"/>
                </w:pPr>
                <w:r>
                  <w:rPr>
                    <w:rFonts w:hint="eastAsia"/>
                  </w:rPr>
                  <w:t>计提比例（</w:t>
                </w:r>
                <w:r>
                  <w:t>%</w:t>
                </w:r>
                <w:r>
                  <w:rPr>
                    <w:rFonts w:hint="eastAsia"/>
                  </w:rPr>
                  <w:t>）</w:t>
                </w:r>
              </w:p>
            </w:tc>
          </w:sdtContent>
        </w:sdt>
        <w:tc>
          <w:tcPr>
            <w:tcW w:w="392" w:type="pct"/>
            <w:vMerge/>
            <w:tcBorders>
              <w:left w:val="single" w:sz="4" w:space="0" w:color="auto"/>
              <w:bottom w:val="single" w:sz="4" w:space="0" w:color="auto"/>
              <w:right w:val="single" w:sz="4" w:space="0" w:color="auto"/>
            </w:tcBorders>
            <w:vAlign w:val="center"/>
          </w:tcPr>
          <w:p w14:paraId="00D8B5B2" w14:textId="77777777" w:rsidR="005E000F" w:rsidRDefault="005E000F">
            <w:pPr>
              <w:jc w:val="center"/>
            </w:pPr>
          </w:p>
        </w:tc>
        <w:sdt>
          <w:sdtPr>
            <w:tag w:val="_PLD_27c35a851bfc461b93652bdd1c4da46e"/>
            <w:id w:val="796342223"/>
          </w:sdtPr>
          <w:sdtContent>
            <w:tc>
              <w:tcPr>
                <w:tcW w:w="505" w:type="pct"/>
                <w:tcBorders>
                  <w:left w:val="single" w:sz="4" w:space="0" w:color="auto"/>
                  <w:bottom w:val="single" w:sz="4" w:space="0" w:color="auto"/>
                  <w:right w:val="single" w:sz="4" w:space="0" w:color="auto"/>
                </w:tcBorders>
                <w:vAlign w:val="center"/>
              </w:tcPr>
              <w:p w14:paraId="14BF2E1B" w14:textId="77777777" w:rsidR="005E000F" w:rsidRDefault="00000000">
                <w:pPr>
                  <w:jc w:val="center"/>
                </w:pPr>
                <w:r>
                  <w:rPr>
                    <w:rFonts w:hint="eastAsia"/>
                  </w:rPr>
                  <w:t>金额</w:t>
                </w:r>
              </w:p>
            </w:tc>
          </w:sdtContent>
        </w:sdt>
        <w:sdt>
          <w:sdtPr>
            <w:tag w:val="_PLD_8cdcb4d0cfc74ea299eeda00998b7eed"/>
            <w:id w:val="1434702043"/>
          </w:sdtPr>
          <w:sdtContent>
            <w:tc>
              <w:tcPr>
                <w:tcW w:w="402" w:type="pct"/>
                <w:tcBorders>
                  <w:left w:val="single" w:sz="4" w:space="0" w:color="auto"/>
                  <w:bottom w:val="single" w:sz="4" w:space="0" w:color="auto"/>
                  <w:right w:val="single" w:sz="4" w:space="0" w:color="auto"/>
                </w:tcBorders>
                <w:vAlign w:val="center"/>
              </w:tcPr>
              <w:p w14:paraId="05587D62" w14:textId="77777777" w:rsidR="005E000F" w:rsidRDefault="00000000">
                <w:pPr>
                  <w:jc w:val="center"/>
                </w:pPr>
                <w:r>
                  <w:rPr>
                    <w:rFonts w:hint="eastAsia"/>
                  </w:rPr>
                  <w:t>比例（</w:t>
                </w:r>
                <w:r>
                  <w:t>%</w:t>
                </w:r>
                <w:r>
                  <w:rPr>
                    <w:rFonts w:hint="eastAsia"/>
                  </w:rPr>
                  <w:t>）</w:t>
                </w:r>
              </w:p>
            </w:tc>
          </w:sdtContent>
        </w:sdt>
        <w:sdt>
          <w:sdtPr>
            <w:tag w:val="_PLD_205ec069d7004eaba20d3af25a7dfeda"/>
            <w:id w:val="-826440510"/>
          </w:sdtPr>
          <w:sdtContent>
            <w:tc>
              <w:tcPr>
                <w:tcW w:w="449" w:type="pct"/>
                <w:tcBorders>
                  <w:left w:val="single" w:sz="4" w:space="0" w:color="auto"/>
                  <w:bottom w:val="single" w:sz="4" w:space="0" w:color="auto"/>
                  <w:right w:val="single" w:sz="4" w:space="0" w:color="auto"/>
                </w:tcBorders>
                <w:vAlign w:val="center"/>
              </w:tcPr>
              <w:p w14:paraId="2ECEC0BA" w14:textId="77777777" w:rsidR="005E000F" w:rsidRDefault="00000000">
                <w:pPr>
                  <w:jc w:val="center"/>
                </w:pPr>
                <w:r>
                  <w:rPr>
                    <w:rFonts w:hint="eastAsia"/>
                  </w:rPr>
                  <w:t>金额</w:t>
                </w:r>
              </w:p>
            </w:tc>
          </w:sdtContent>
        </w:sdt>
        <w:sdt>
          <w:sdtPr>
            <w:tag w:val="_PLD_cee6517bce154e26a5f2a917cc143a54"/>
            <w:id w:val="1970238154"/>
          </w:sdtPr>
          <w:sdtContent>
            <w:tc>
              <w:tcPr>
                <w:tcW w:w="410" w:type="pct"/>
                <w:tcBorders>
                  <w:left w:val="single" w:sz="4" w:space="0" w:color="auto"/>
                  <w:bottom w:val="single" w:sz="4" w:space="0" w:color="auto"/>
                  <w:right w:val="single" w:sz="4" w:space="0" w:color="auto"/>
                </w:tcBorders>
                <w:vAlign w:val="center"/>
              </w:tcPr>
              <w:p w14:paraId="4CC47088" w14:textId="77777777" w:rsidR="005E000F" w:rsidRDefault="00000000">
                <w:pPr>
                  <w:jc w:val="center"/>
                </w:pPr>
                <w:r>
                  <w:rPr>
                    <w:rFonts w:hint="eastAsia"/>
                  </w:rPr>
                  <w:t>计提比例（</w:t>
                </w:r>
                <w:r>
                  <w:t>%</w:t>
                </w:r>
                <w:r>
                  <w:rPr>
                    <w:rFonts w:hint="eastAsia"/>
                  </w:rPr>
                  <w:t>）</w:t>
                </w:r>
              </w:p>
            </w:tc>
          </w:sdtContent>
        </w:sdt>
        <w:tc>
          <w:tcPr>
            <w:tcW w:w="505" w:type="pct"/>
            <w:vMerge/>
            <w:tcBorders>
              <w:left w:val="single" w:sz="4" w:space="0" w:color="auto"/>
              <w:bottom w:val="single" w:sz="4" w:space="0" w:color="auto"/>
              <w:right w:val="single" w:sz="4" w:space="0" w:color="auto"/>
            </w:tcBorders>
            <w:vAlign w:val="center"/>
          </w:tcPr>
          <w:p w14:paraId="271DE225" w14:textId="77777777" w:rsidR="005E000F" w:rsidRDefault="005E000F">
            <w:pPr>
              <w:jc w:val="center"/>
            </w:pPr>
          </w:p>
        </w:tc>
      </w:tr>
      <w:tr w:rsidR="005E000F" w14:paraId="44F4F5A9" w14:textId="77777777">
        <w:trPr>
          <w:cantSplit/>
        </w:trPr>
        <w:tc>
          <w:tcPr>
            <w:tcW w:w="752" w:type="pct"/>
            <w:tcBorders>
              <w:top w:val="single" w:sz="4" w:space="0" w:color="auto"/>
              <w:left w:val="single" w:sz="4" w:space="0" w:color="auto"/>
              <w:bottom w:val="single" w:sz="4" w:space="0" w:color="auto"/>
              <w:right w:val="single" w:sz="4" w:space="0" w:color="auto"/>
            </w:tcBorders>
            <w:vAlign w:val="center"/>
          </w:tcPr>
          <w:p w14:paraId="0B9412B1" w14:textId="77777777" w:rsidR="005E000F" w:rsidRDefault="00000000">
            <w:r>
              <w:rPr>
                <w:rFonts w:hint="eastAsia"/>
              </w:rPr>
              <w:t>按组合计提坏账准备</w:t>
            </w:r>
          </w:p>
        </w:tc>
        <w:tc>
          <w:tcPr>
            <w:tcW w:w="396" w:type="pct"/>
            <w:tcBorders>
              <w:top w:val="single" w:sz="4" w:space="0" w:color="auto"/>
              <w:left w:val="single" w:sz="4" w:space="0" w:color="auto"/>
              <w:bottom w:val="single" w:sz="4" w:space="0" w:color="auto"/>
              <w:right w:val="single" w:sz="4" w:space="0" w:color="auto"/>
            </w:tcBorders>
            <w:vAlign w:val="center"/>
          </w:tcPr>
          <w:p w14:paraId="4A9DC640" w14:textId="77777777" w:rsidR="005E000F" w:rsidRDefault="00000000">
            <w:pPr>
              <w:jc w:val="right"/>
            </w:pPr>
            <w:r>
              <w:t>4,200,985,954</w:t>
            </w:r>
          </w:p>
        </w:tc>
        <w:tc>
          <w:tcPr>
            <w:tcW w:w="392" w:type="pct"/>
            <w:tcBorders>
              <w:top w:val="single" w:sz="4" w:space="0" w:color="auto"/>
              <w:left w:val="single" w:sz="4" w:space="0" w:color="auto"/>
              <w:bottom w:val="single" w:sz="4" w:space="0" w:color="auto"/>
              <w:right w:val="single" w:sz="4" w:space="0" w:color="auto"/>
            </w:tcBorders>
            <w:vAlign w:val="center"/>
          </w:tcPr>
          <w:p w14:paraId="21CB56B3" w14:textId="77777777" w:rsidR="005E000F" w:rsidRDefault="00000000">
            <w:pPr>
              <w:jc w:val="right"/>
            </w:pPr>
            <w:r>
              <w:t>100</w:t>
            </w:r>
          </w:p>
        </w:tc>
        <w:tc>
          <w:tcPr>
            <w:tcW w:w="389" w:type="pct"/>
            <w:tcBorders>
              <w:top w:val="single" w:sz="4" w:space="0" w:color="auto"/>
              <w:left w:val="single" w:sz="4" w:space="0" w:color="auto"/>
              <w:bottom w:val="single" w:sz="4" w:space="0" w:color="auto"/>
              <w:right w:val="single" w:sz="4" w:space="0" w:color="auto"/>
            </w:tcBorders>
            <w:vAlign w:val="center"/>
          </w:tcPr>
          <w:p w14:paraId="10C9D584" w14:textId="77777777" w:rsidR="005E000F" w:rsidRDefault="00000000">
            <w:pPr>
              <w:jc w:val="right"/>
            </w:pPr>
            <w:r>
              <w:t>71,227,013</w:t>
            </w:r>
          </w:p>
        </w:tc>
        <w:tc>
          <w:tcPr>
            <w:tcW w:w="402" w:type="pct"/>
            <w:tcBorders>
              <w:top w:val="single" w:sz="4" w:space="0" w:color="auto"/>
              <w:left w:val="single" w:sz="4" w:space="0" w:color="auto"/>
              <w:bottom w:val="single" w:sz="4" w:space="0" w:color="auto"/>
              <w:right w:val="single" w:sz="4" w:space="0" w:color="auto"/>
            </w:tcBorders>
            <w:vAlign w:val="center"/>
          </w:tcPr>
          <w:p w14:paraId="2A10DD2E" w14:textId="77777777" w:rsidR="005E000F" w:rsidRDefault="00000000">
            <w:pPr>
              <w:jc w:val="right"/>
            </w:pPr>
            <w:r>
              <w:rPr>
                <w:rFonts w:hint="eastAsia"/>
              </w:rPr>
              <w:t>1</w:t>
            </w:r>
            <w:r>
              <w:t>.7</w:t>
            </w:r>
            <w:r>
              <w:rPr>
                <w:rFonts w:hint="eastAsia"/>
              </w:rPr>
              <w:t>0</w:t>
            </w:r>
          </w:p>
        </w:tc>
        <w:tc>
          <w:tcPr>
            <w:tcW w:w="392" w:type="pct"/>
            <w:tcBorders>
              <w:top w:val="single" w:sz="4" w:space="0" w:color="auto"/>
              <w:left w:val="single" w:sz="4" w:space="0" w:color="auto"/>
              <w:bottom w:val="single" w:sz="4" w:space="0" w:color="auto"/>
              <w:right w:val="single" w:sz="4" w:space="0" w:color="auto"/>
            </w:tcBorders>
            <w:vAlign w:val="center"/>
          </w:tcPr>
          <w:p w14:paraId="6401F856" w14:textId="77777777" w:rsidR="005E000F" w:rsidRDefault="00000000">
            <w:pPr>
              <w:jc w:val="right"/>
            </w:pPr>
            <w:r>
              <w:t>4,129,758,941</w:t>
            </w:r>
          </w:p>
        </w:tc>
        <w:tc>
          <w:tcPr>
            <w:tcW w:w="505" w:type="pct"/>
            <w:tcBorders>
              <w:top w:val="single" w:sz="4" w:space="0" w:color="auto"/>
              <w:left w:val="single" w:sz="4" w:space="0" w:color="auto"/>
              <w:bottom w:val="single" w:sz="4" w:space="0" w:color="auto"/>
              <w:right w:val="single" w:sz="4" w:space="0" w:color="auto"/>
            </w:tcBorders>
            <w:vAlign w:val="center"/>
          </w:tcPr>
          <w:p w14:paraId="3AA0F826" w14:textId="77777777" w:rsidR="005E000F" w:rsidRDefault="00000000">
            <w:pPr>
              <w:jc w:val="center"/>
            </w:pPr>
            <w:r>
              <w:rPr>
                <w:rFonts w:hint="eastAsia"/>
              </w:rPr>
              <w:t>4,935,501,761</w:t>
            </w:r>
          </w:p>
        </w:tc>
        <w:tc>
          <w:tcPr>
            <w:tcW w:w="402" w:type="pct"/>
            <w:tcBorders>
              <w:top w:val="single" w:sz="4" w:space="0" w:color="auto"/>
              <w:left w:val="single" w:sz="4" w:space="0" w:color="auto"/>
              <w:bottom w:val="single" w:sz="4" w:space="0" w:color="auto"/>
              <w:right w:val="single" w:sz="4" w:space="0" w:color="auto"/>
            </w:tcBorders>
            <w:vAlign w:val="center"/>
          </w:tcPr>
          <w:p w14:paraId="4C5C9BC7" w14:textId="77777777" w:rsidR="005E000F" w:rsidRDefault="00000000">
            <w:pPr>
              <w:jc w:val="right"/>
            </w:pPr>
            <w:r>
              <w:rPr>
                <w:rFonts w:hint="eastAsia"/>
              </w:rPr>
              <w:t>100</w:t>
            </w:r>
          </w:p>
        </w:tc>
        <w:tc>
          <w:tcPr>
            <w:tcW w:w="449" w:type="pct"/>
            <w:tcBorders>
              <w:top w:val="single" w:sz="4" w:space="0" w:color="auto"/>
              <w:left w:val="single" w:sz="4" w:space="0" w:color="auto"/>
              <w:bottom w:val="single" w:sz="4" w:space="0" w:color="auto"/>
              <w:right w:val="single" w:sz="4" w:space="0" w:color="auto"/>
            </w:tcBorders>
            <w:vAlign w:val="center"/>
          </w:tcPr>
          <w:p w14:paraId="17D0F032" w14:textId="77777777" w:rsidR="005E000F" w:rsidRDefault="00000000">
            <w:pPr>
              <w:jc w:val="center"/>
            </w:pPr>
            <w:r>
              <w:rPr>
                <w:rFonts w:hint="eastAsia"/>
              </w:rPr>
              <w:t>124,699,532</w:t>
            </w:r>
          </w:p>
        </w:tc>
        <w:tc>
          <w:tcPr>
            <w:tcW w:w="410" w:type="pct"/>
            <w:tcBorders>
              <w:top w:val="single" w:sz="4" w:space="0" w:color="auto"/>
              <w:left w:val="single" w:sz="4" w:space="0" w:color="auto"/>
              <w:bottom w:val="single" w:sz="4" w:space="0" w:color="auto"/>
              <w:right w:val="single" w:sz="4" w:space="0" w:color="auto"/>
            </w:tcBorders>
            <w:vAlign w:val="center"/>
          </w:tcPr>
          <w:p w14:paraId="459B6BE8" w14:textId="77777777" w:rsidR="005E000F" w:rsidRDefault="00000000">
            <w:pPr>
              <w:jc w:val="right"/>
            </w:pPr>
            <w:r>
              <w:rPr>
                <w:rFonts w:hint="eastAsia"/>
              </w:rPr>
              <w:t>2.53</w:t>
            </w:r>
          </w:p>
        </w:tc>
        <w:tc>
          <w:tcPr>
            <w:tcW w:w="505" w:type="pct"/>
            <w:tcBorders>
              <w:top w:val="single" w:sz="4" w:space="0" w:color="auto"/>
              <w:left w:val="single" w:sz="4" w:space="0" w:color="auto"/>
              <w:bottom w:val="single" w:sz="4" w:space="0" w:color="auto"/>
              <w:right w:val="single" w:sz="4" w:space="0" w:color="auto"/>
            </w:tcBorders>
            <w:vAlign w:val="center"/>
          </w:tcPr>
          <w:p w14:paraId="76877088" w14:textId="77777777" w:rsidR="005E000F" w:rsidRDefault="00000000">
            <w:pPr>
              <w:jc w:val="center"/>
            </w:pPr>
            <w:r>
              <w:rPr>
                <w:rFonts w:hint="eastAsia"/>
              </w:rPr>
              <w:t>4,810,802,229</w:t>
            </w:r>
          </w:p>
        </w:tc>
      </w:tr>
      <w:tr w:rsidR="005E000F" w14:paraId="6B1102E1" w14:textId="77777777">
        <w:trPr>
          <w:cantSplit/>
        </w:trPr>
        <w:sdt>
          <w:sdtPr>
            <w:tag w:val="_PLD_ce0cfa8fc80147608db7db4b7ce1db69"/>
            <w:id w:val="-1678805816"/>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04812FBC" w14:textId="77777777" w:rsidR="005E000F" w:rsidRDefault="00000000">
                <w:r>
                  <w:rPr>
                    <w:rFonts w:hint="eastAsia"/>
                  </w:rPr>
                  <w:t>其中：</w:t>
                </w:r>
              </w:p>
            </w:tc>
          </w:sdtContent>
        </w:sdt>
      </w:tr>
      <w:tr w:rsidR="005E000F" w14:paraId="16F5EB2D" w14:textId="77777777">
        <w:trPr>
          <w:cantSplit/>
        </w:trPr>
        <w:sdt>
          <w:sdtPr>
            <w:alias w:val="按组合计提坏账准备的应收账款明细-组合名称"/>
            <w:tag w:val="_GBC_a216a551f9d54c89b88dad6bcecd942d"/>
            <w:id w:val="2064524680"/>
          </w:sdtPr>
          <w:sdtContent>
            <w:tc>
              <w:tcPr>
                <w:tcW w:w="752" w:type="pct"/>
                <w:tcBorders>
                  <w:top w:val="single" w:sz="4" w:space="0" w:color="auto"/>
                  <w:left w:val="single" w:sz="4" w:space="0" w:color="auto"/>
                  <w:bottom w:val="single" w:sz="4" w:space="0" w:color="auto"/>
                  <w:right w:val="single" w:sz="4" w:space="0" w:color="auto"/>
                </w:tcBorders>
                <w:vAlign w:val="center"/>
              </w:tcPr>
              <w:p w14:paraId="06A86BCD" w14:textId="77777777" w:rsidR="005E000F" w:rsidRDefault="00000000">
                <w:pPr>
                  <w:jc w:val="both"/>
                  <w:rPr>
                    <w:color w:val="808080"/>
                  </w:rPr>
                </w:pPr>
                <w:r>
                  <w:rPr>
                    <w:rFonts w:hint="eastAsia"/>
                  </w:rPr>
                  <w:t>组合</w:t>
                </w:r>
                <w:proofErr w:type="gramStart"/>
                <w:r>
                  <w:rPr>
                    <w:rFonts w:hint="eastAsia"/>
                  </w:rPr>
                  <w:t>一</w:t>
                </w:r>
                <w:proofErr w:type="gramEnd"/>
              </w:p>
            </w:tc>
          </w:sdtContent>
        </w:sdt>
        <w:tc>
          <w:tcPr>
            <w:tcW w:w="396" w:type="pct"/>
            <w:tcBorders>
              <w:top w:val="single" w:sz="4" w:space="0" w:color="auto"/>
              <w:left w:val="single" w:sz="4" w:space="0" w:color="auto"/>
              <w:bottom w:val="single" w:sz="4" w:space="0" w:color="auto"/>
              <w:right w:val="single" w:sz="4" w:space="0" w:color="auto"/>
            </w:tcBorders>
            <w:vAlign w:val="center"/>
          </w:tcPr>
          <w:p w14:paraId="063C46E8" w14:textId="77777777" w:rsidR="005E000F" w:rsidRDefault="00000000">
            <w:pPr>
              <w:jc w:val="right"/>
            </w:pPr>
            <w:r>
              <w:t>3,540,425,213</w:t>
            </w:r>
          </w:p>
        </w:tc>
        <w:tc>
          <w:tcPr>
            <w:tcW w:w="392" w:type="pct"/>
            <w:tcBorders>
              <w:top w:val="single" w:sz="4" w:space="0" w:color="auto"/>
              <w:left w:val="single" w:sz="4" w:space="0" w:color="auto"/>
              <w:bottom w:val="single" w:sz="4" w:space="0" w:color="auto"/>
              <w:right w:val="single" w:sz="4" w:space="0" w:color="auto"/>
            </w:tcBorders>
            <w:vAlign w:val="center"/>
          </w:tcPr>
          <w:p w14:paraId="5178E4EF" w14:textId="77777777" w:rsidR="005E000F" w:rsidRDefault="00000000">
            <w:pPr>
              <w:jc w:val="right"/>
            </w:pPr>
            <w:r>
              <w:t>84</w:t>
            </w:r>
          </w:p>
        </w:tc>
        <w:tc>
          <w:tcPr>
            <w:tcW w:w="389" w:type="pct"/>
            <w:tcBorders>
              <w:top w:val="single" w:sz="4" w:space="0" w:color="auto"/>
              <w:left w:val="single" w:sz="4" w:space="0" w:color="auto"/>
              <w:bottom w:val="single" w:sz="4" w:space="0" w:color="auto"/>
              <w:right w:val="single" w:sz="4" w:space="0" w:color="auto"/>
            </w:tcBorders>
            <w:vAlign w:val="center"/>
          </w:tcPr>
          <w:p w14:paraId="25F37693" w14:textId="77777777" w:rsidR="005E000F" w:rsidRDefault="00000000">
            <w:pPr>
              <w:jc w:val="right"/>
            </w:pPr>
            <w:r>
              <w:t>68,828,254</w:t>
            </w:r>
          </w:p>
        </w:tc>
        <w:tc>
          <w:tcPr>
            <w:tcW w:w="402" w:type="pct"/>
            <w:tcBorders>
              <w:top w:val="single" w:sz="4" w:space="0" w:color="auto"/>
              <w:left w:val="single" w:sz="4" w:space="0" w:color="auto"/>
              <w:bottom w:val="single" w:sz="4" w:space="0" w:color="auto"/>
              <w:right w:val="single" w:sz="4" w:space="0" w:color="auto"/>
            </w:tcBorders>
            <w:vAlign w:val="center"/>
          </w:tcPr>
          <w:p w14:paraId="08189F67" w14:textId="77777777" w:rsidR="005E000F" w:rsidRDefault="00000000">
            <w:pPr>
              <w:jc w:val="right"/>
            </w:pPr>
            <w:r>
              <w:t>1.94</w:t>
            </w:r>
          </w:p>
        </w:tc>
        <w:tc>
          <w:tcPr>
            <w:tcW w:w="392" w:type="pct"/>
            <w:tcBorders>
              <w:top w:val="single" w:sz="4" w:space="0" w:color="auto"/>
              <w:left w:val="single" w:sz="4" w:space="0" w:color="auto"/>
              <w:bottom w:val="single" w:sz="4" w:space="0" w:color="auto"/>
              <w:right w:val="single" w:sz="4" w:space="0" w:color="auto"/>
            </w:tcBorders>
            <w:vAlign w:val="center"/>
          </w:tcPr>
          <w:p w14:paraId="33A7D629" w14:textId="77777777" w:rsidR="005E000F" w:rsidRDefault="00000000">
            <w:pPr>
              <w:jc w:val="right"/>
            </w:pPr>
            <w:r>
              <w:t>3,471,596,959</w:t>
            </w:r>
          </w:p>
        </w:tc>
        <w:tc>
          <w:tcPr>
            <w:tcW w:w="505" w:type="pct"/>
            <w:tcBorders>
              <w:top w:val="single" w:sz="4" w:space="0" w:color="auto"/>
              <w:left w:val="single" w:sz="4" w:space="0" w:color="auto"/>
              <w:bottom w:val="single" w:sz="4" w:space="0" w:color="auto"/>
              <w:right w:val="single" w:sz="4" w:space="0" w:color="auto"/>
            </w:tcBorders>
          </w:tcPr>
          <w:p w14:paraId="48CFAF05" w14:textId="77777777" w:rsidR="005E000F" w:rsidRDefault="00000000">
            <w:pPr>
              <w:jc w:val="right"/>
            </w:pPr>
            <w:r>
              <w:rPr>
                <w:rFonts w:hint="eastAsia"/>
              </w:rPr>
              <w:t>4,548,884,334</w:t>
            </w:r>
          </w:p>
        </w:tc>
        <w:tc>
          <w:tcPr>
            <w:tcW w:w="402" w:type="pct"/>
            <w:tcBorders>
              <w:top w:val="single" w:sz="4" w:space="0" w:color="auto"/>
              <w:left w:val="single" w:sz="4" w:space="0" w:color="auto"/>
              <w:bottom w:val="single" w:sz="4" w:space="0" w:color="auto"/>
              <w:right w:val="single" w:sz="4" w:space="0" w:color="auto"/>
            </w:tcBorders>
          </w:tcPr>
          <w:p w14:paraId="627A41A2" w14:textId="77777777" w:rsidR="005E000F" w:rsidRDefault="00000000">
            <w:pPr>
              <w:jc w:val="right"/>
            </w:pPr>
            <w:r>
              <w:rPr>
                <w:rFonts w:hint="eastAsia"/>
              </w:rPr>
              <w:t>92</w:t>
            </w:r>
          </w:p>
        </w:tc>
        <w:tc>
          <w:tcPr>
            <w:tcW w:w="449" w:type="pct"/>
            <w:tcBorders>
              <w:top w:val="single" w:sz="4" w:space="0" w:color="auto"/>
              <w:left w:val="single" w:sz="4" w:space="0" w:color="auto"/>
              <w:bottom w:val="single" w:sz="4" w:space="0" w:color="auto"/>
              <w:right w:val="single" w:sz="4" w:space="0" w:color="auto"/>
            </w:tcBorders>
          </w:tcPr>
          <w:p w14:paraId="0734D67F" w14:textId="77777777" w:rsidR="005E000F" w:rsidRDefault="00000000">
            <w:pPr>
              <w:jc w:val="right"/>
            </w:pPr>
            <w:r>
              <w:rPr>
                <w:rFonts w:hint="eastAsia"/>
              </w:rPr>
              <w:t>123,286,053</w:t>
            </w:r>
          </w:p>
        </w:tc>
        <w:tc>
          <w:tcPr>
            <w:tcW w:w="410" w:type="pct"/>
            <w:tcBorders>
              <w:top w:val="single" w:sz="4" w:space="0" w:color="auto"/>
              <w:left w:val="single" w:sz="4" w:space="0" w:color="auto"/>
              <w:bottom w:val="single" w:sz="4" w:space="0" w:color="auto"/>
              <w:right w:val="single" w:sz="4" w:space="0" w:color="auto"/>
            </w:tcBorders>
          </w:tcPr>
          <w:p w14:paraId="1115762B" w14:textId="77777777" w:rsidR="005E000F" w:rsidRDefault="00000000">
            <w:pPr>
              <w:jc w:val="right"/>
            </w:pPr>
            <w:r>
              <w:rPr>
                <w:rFonts w:hint="eastAsia"/>
              </w:rPr>
              <w:t>2.71</w:t>
            </w:r>
          </w:p>
        </w:tc>
        <w:tc>
          <w:tcPr>
            <w:tcW w:w="505" w:type="pct"/>
            <w:tcBorders>
              <w:top w:val="single" w:sz="4" w:space="0" w:color="auto"/>
              <w:left w:val="single" w:sz="4" w:space="0" w:color="auto"/>
              <w:bottom w:val="single" w:sz="4" w:space="0" w:color="auto"/>
              <w:right w:val="single" w:sz="4" w:space="0" w:color="auto"/>
            </w:tcBorders>
          </w:tcPr>
          <w:p w14:paraId="7F6313A7" w14:textId="77777777" w:rsidR="005E000F" w:rsidRDefault="00000000">
            <w:pPr>
              <w:jc w:val="right"/>
            </w:pPr>
            <w:r>
              <w:rPr>
                <w:rFonts w:hint="eastAsia"/>
              </w:rPr>
              <w:t>4,425,598,281</w:t>
            </w:r>
          </w:p>
        </w:tc>
      </w:tr>
      <w:tr w:rsidR="005E000F" w14:paraId="5FBA5058" w14:textId="77777777">
        <w:trPr>
          <w:cantSplit/>
        </w:trPr>
        <w:sdt>
          <w:sdtPr>
            <w:alias w:val="按组合计提坏账准备的应收账款明细-组合名称"/>
            <w:tag w:val="_GBC_a216a551f9d54c89b88dad6bcecd942d"/>
            <w:id w:val="521131210"/>
          </w:sdtPr>
          <w:sdtContent>
            <w:tc>
              <w:tcPr>
                <w:tcW w:w="752" w:type="pct"/>
                <w:tcBorders>
                  <w:top w:val="single" w:sz="4" w:space="0" w:color="auto"/>
                  <w:left w:val="single" w:sz="4" w:space="0" w:color="auto"/>
                  <w:bottom w:val="single" w:sz="4" w:space="0" w:color="auto"/>
                  <w:right w:val="single" w:sz="4" w:space="0" w:color="auto"/>
                </w:tcBorders>
                <w:vAlign w:val="center"/>
              </w:tcPr>
              <w:p w14:paraId="734BDA69" w14:textId="77777777" w:rsidR="005E000F" w:rsidRDefault="00000000">
                <w:pPr>
                  <w:jc w:val="both"/>
                  <w:rPr>
                    <w:color w:val="808080"/>
                  </w:rPr>
                </w:pPr>
                <w:r>
                  <w:rPr>
                    <w:rFonts w:hint="eastAsia"/>
                  </w:rPr>
                  <w:t>组合二</w:t>
                </w:r>
              </w:p>
            </w:tc>
          </w:sdtContent>
        </w:sdt>
        <w:tc>
          <w:tcPr>
            <w:tcW w:w="396" w:type="pct"/>
            <w:tcBorders>
              <w:top w:val="single" w:sz="4" w:space="0" w:color="auto"/>
              <w:left w:val="single" w:sz="4" w:space="0" w:color="auto"/>
              <w:bottom w:val="single" w:sz="4" w:space="0" w:color="auto"/>
              <w:right w:val="single" w:sz="4" w:space="0" w:color="auto"/>
            </w:tcBorders>
            <w:vAlign w:val="center"/>
          </w:tcPr>
          <w:p w14:paraId="4006EFC5" w14:textId="77777777" w:rsidR="005E000F" w:rsidRDefault="00000000">
            <w:pPr>
              <w:jc w:val="right"/>
            </w:pPr>
            <w:r>
              <w:t>660,560,741</w:t>
            </w:r>
          </w:p>
        </w:tc>
        <w:tc>
          <w:tcPr>
            <w:tcW w:w="392" w:type="pct"/>
            <w:tcBorders>
              <w:top w:val="single" w:sz="4" w:space="0" w:color="auto"/>
              <w:left w:val="single" w:sz="4" w:space="0" w:color="auto"/>
              <w:bottom w:val="single" w:sz="4" w:space="0" w:color="auto"/>
              <w:right w:val="single" w:sz="4" w:space="0" w:color="auto"/>
            </w:tcBorders>
            <w:vAlign w:val="center"/>
          </w:tcPr>
          <w:p w14:paraId="65293BB2" w14:textId="77777777" w:rsidR="005E000F" w:rsidRDefault="00000000">
            <w:pPr>
              <w:jc w:val="right"/>
            </w:pPr>
            <w:r>
              <w:t>16</w:t>
            </w:r>
          </w:p>
        </w:tc>
        <w:tc>
          <w:tcPr>
            <w:tcW w:w="389" w:type="pct"/>
            <w:tcBorders>
              <w:top w:val="single" w:sz="4" w:space="0" w:color="auto"/>
              <w:left w:val="single" w:sz="4" w:space="0" w:color="auto"/>
              <w:bottom w:val="single" w:sz="4" w:space="0" w:color="auto"/>
              <w:right w:val="single" w:sz="4" w:space="0" w:color="auto"/>
            </w:tcBorders>
            <w:vAlign w:val="center"/>
          </w:tcPr>
          <w:p w14:paraId="79E4016A" w14:textId="77777777" w:rsidR="005E000F" w:rsidRDefault="00000000">
            <w:pPr>
              <w:jc w:val="right"/>
            </w:pPr>
            <w:r>
              <w:t>2,398,759</w:t>
            </w:r>
          </w:p>
        </w:tc>
        <w:tc>
          <w:tcPr>
            <w:tcW w:w="402" w:type="pct"/>
            <w:tcBorders>
              <w:top w:val="single" w:sz="4" w:space="0" w:color="auto"/>
              <w:left w:val="single" w:sz="4" w:space="0" w:color="auto"/>
              <w:bottom w:val="single" w:sz="4" w:space="0" w:color="auto"/>
              <w:right w:val="single" w:sz="4" w:space="0" w:color="auto"/>
            </w:tcBorders>
            <w:vAlign w:val="center"/>
          </w:tcPr>
          <w:p w14:paraId="3B1732F9" w14:textId="77777777" w:rsidR="005E000F" w:rsidRDefault="00000000">
            <w:pPr>
              <w:jc w:val="right"/>
            </w:pPr>
            <w:r>
              <w:t>0.36</w:t>
            </w:r>
          </w:p>
        </w:tc>
        <w:tc>
          <w:tcPr>
            <w:tcW w:w="392" w:type="pct"/>
            <w:tcBorders>
              <w:top w:val="single" w:sz="4" w:space="0" w:color="auto"/>
              <w:left w:val="single" w:sz="4" w:space="0" w:color="auto"/>
              <w:bottom w:val="single" w:sz="4" w:space="0" w:color="auto"/>
              <w:right w:val="single" w:sz="4" w:space="0" w:color="auto"/>
            </w:tcBorders>
            <w:vAlign w:val="center"/>
          </w:tcPr>
          <w:p w14:paraId="040B50DA" w14:textId="77777777" w:rsidR="005E000F" w:rsidRDefault="00000000">
            <w:pPr>
              <w:jc w:val="right"/>
            </w:pPr>
            <w:r>
              <w:t>658,161,982</w:t>
            </w:r>
          </w:p>
        </w:tc>
        <w:tc>
          <w:tcPr>
            <w:tcW w:w="505" w:type="pct"/>
            <w:tcBorders>
              <w:top w:val="single" w:sz="4" w:space="0" w:color="auto"/>
              <w:left w:val="single" w:sz="4" w:space="0" w:color="auto"/>
              <w:bottom w:val="single" w:sz="4" w:space="0" w:color="auto"/>
              <w:right w:val="single" w:sz="4" w:space="0" w:color="auto"/>
            </w:tcBorders>
          </w:tcPr>
          <w:p w14:paraId="41297F3B" w14:textId="77777777" w:rsidR="005E000F" w:rsidRDefault="00000000">
            <w:pPr>
              <w:jc w:val="right"/>
            </w:pPr>
            <w:r>
              <w:rPr>
                <w:rFonts w:hint="eastAsia"/>
              </w:rPr>
              <w:t>386,617,427</w:t>
            </w:r>
          </w:p>
        </w:tc>
        <w:tc>
          <w:tcPr>
            <w:tcW w:w="402" w:type="pct"/>
            <w:tcBorders>
              <w:top w:val="single" w:sz="4" w:space="0" w:color="auto"/>
              <w:left w:val="single" w:sz="4" w:space="0" w:color="auto"/>
              <w:bottom w:val="single" w:sz="4" w:space="0" w:color="auto"/>
              <w:right w:val="single" w:sz="4" w:space="0" w:color="auto"/>
            </w:tcBorders>
          </w:tcPr>
          <w:p w14:paraId="7002D193" w14:textId="77777777" w:rsidR="005E000F" w:rsidRDefault="00000000">
            <w:pPr>
              <w:jc w:val="right"/>
            </w:pPr>
            <w:r>
              <w:rPr>
                <w:rFonts w:hint="eastAsia"/>
              </w:rPr>
              <w:t>8</w:t>
            </w:r>
          </w:p>
        </w:tc>
        <w:tc>
          <w:tcPr>
            <w:tcW w:w="449" w:type="pct"/>
            <w:tcBorders>
              <w:top w:val="single" w:sz="4" w:space="0" w:color="auto"/>
              <w:left w:val="single" w:sz="4" w:space="0" w:color="auto"/>
              <w:bottom w:val="single" w:sz="4" w:space="0" w:color="auto"/>
              <w:right w:val="single" w:sz="4" w:space="0" w:color="auto"/>
            </w:tcBorders>
          </w:tcPr>
          <w:p w14:paraId="372ED7C2" w14:textId="77777777" w:rsidR="005E000F" w:rsidRDefault="00000000">
            <w:pPr>
              <w:jc w:val="right"/>
            </w:pPr>
            <w:r>
              <w:rPr>
                <w:rFonts w:hint="eastAsia"/>
              </w:rPr>
              <w:t>1,413,479</w:t>
            </w:r>
          </w:p>
        </w:tc>
        <w:tc>
          <w:tcPr>
            <w:tcW w:w="410" w:type="pct"/>
            <w:tcBorders>
              <w:top w:val="single" w:sz="4" w:space="0" w:color="auto"/>
              <w:left w:val="single" w:sz="4" w:space="0" w:color="auto"/>
              <w:bottom w:val="single" w:sz="4" w:space="0" w:color="auto"/>
              <w:right w:val="single" w:sz="4" w:space="0" w:color="auto"/>
            </w:tcBorders>
          </w:tcPr>
          <w:p w14:paraId="1B1801EC" w14:textId="77777777" w:rsidR="005E000F" w:rsidRDefault="00000000">
            <w:pPr>
              <w:jc w:val="right"/>
            </w:pPr>
            <w:r>
              <w:rPr>
                <w:rFonts w:hint="eastAsia"/>
              </w:rPr>
              <w:t>0.37</w:t>
            </w:r>
          </w:p>
        </w:tc>
        <w:tc>
          <w:tcPr>
            <w:tcW w:w="505" w:type="pct"/>
            <w:tcBorders>
              <w:top w:val="single" w:sz="4" w:space="0" w:color="auto"/>
              <w:left w:val="single" w:sz="4" w:space="0" w:color="auto"/>
              <w:bottom w:val="single" w:sz="4" w:space="0" w:color="auto"/>
              <w:right w:val="single" w:sz="4" w:space="0" w:color="auto"/>
            </w:tcBorders>
          </w:tcPr>
          <w:p w14:paraId="030E896A" w14:textId="77777777" w:rsidR="005E000F" w:rsidRDefault="00000000">
            <w:pPr>
              <w:jc w:val="right"/>
            </w:pPr>
            <w:r>
              <w:rPr>
                <w:rFonts w:hint="eastAsia"/>
              </w:rPr>
              <w:t>385,203,948</w:t>
            </w:r>
          </w:p>
        </w:tc>
      </w:tr>
      <w:tr w:rsidR="005E000F" w14:paraId="48EE8A04" w14:textId="77777777">
        <w:trPr>
          <w:cantSplit/>
        </w:trPr>
        <w:tc>
          <w:tcPr>
            <w:tcW w:w="752" w:type="pct"/>
            <w:tcBorders>
              <w:top w:val="single" w:sz="4" w:space="0" w:color="auto"/>
              <w:left w:val="single" w:sz="4" w:space="0" w:color="auto"/>
              <w:bottom w:val="single" w:sz="4" w:space="0" w:color="auto"/>
              <w:right w:val="single" w:sz="4" w:space="0" w:color="auto"/>
            </w:tcBorders>
            <w:vAlign w:val="center"/>
          </w:tcPr>
          <w:p w14:paraId="09A91997" w14:textId="77777777" w:rsidR="005E000F" w:rsidRDefault="00000000">
            <w:pPr>
              <w:autoSpaceDE w:val="0"/>
              <w:autoSpaceDN w:val="0"/>
              <w:adjustRightInd w:val="0"/>
              <w:jc w:val="center"/>
            </w:pPr>
            <w:r>
              <w:rPr>
                <w:rFonts w:hint="eastAsia"/>
              </w:rPr>
              <w:t>合计</w:t>
            </w:r>
          </w:p>
        </w:tc>
        <w:tc>
          <w:tcPr>
            <w:tcW w:w="396" w:type="pct"/>
            <w:tcBorders>
              <w:top w:val="single" w:sz="4" w:space="0" w:color="auto"/>
              <w:left w:val="single" w:sz="4" w:space="0" w:color="auto"/>
              <w:bottom w:val="single" w:sz="4" w:space="0" w:color="auto"/>
              <w:right w:val="single" w:sz="4" w:space="0" w:color="auto"/>
            </w:tcBorders>
            <w:vAlign w:val="center"/>
          </w:tcPr>
          <w:p w14:paraId="37476343" w14:textId="77777777" w:rsidR="005E000F" w:rsidRDefault="00000000">
            <w:pPr>
              <w:jc w:val="right"/>
            </w:pPr>
            <w:r>
              <w:t>4,200,985,954</w:t>
            </w:r>
          </w:p>
        </w:tc>
        <w:tc>
          <w:tcPr>
            <w:tcW w:w="392" w:type="pct"/>
            <w:tcBorders>
              <w:top w:val="single" w:sz="4" w:space="0" w:color="auto"/>
              <w:left w:val="single" w:sz="4" w:space="0" w:color="auto"/>
              <w:bottom w:val="single" w:sz="4" w:space="0" w:color="auto"/>
              <w:right w:val="single" w:sz="4" w:space="0" w:color="auto"/>
            </w:tcBorders>
            <w:vAlign w:val="center"/>
          </w:tcPr>
          <w:p w14:paraId="48B7DE07" w14:textId="77777777" w:rsidR="005E000F" w:rsidRDefault="00000000">
            <w:pPr>
              <w:jc w:val="right"/>
            </w:pPr>
            <w:r>
              <w:t>/</w:t>
            </w:r>
          </w:p>
        </w:tc>
        <w:tc>
          <w:tcPr>
            <w:tcW w:w="389" w:type="pct"/>
            <w:tcBorders>
              <w:top w:val="single" w:sz="4" w:space="0" w:color="auto"/>
              <w:left w:val="single" w:sz="4" w:space="0" w:color="auto"/>
              <w:bottom w:val="single" w:sz="4" w:space="0" w:color="auto"/>
              <w:right w:val="single" w:sz="4" w:space="0" w:color="auto"/>
            </w:tcBorders>
            <w:vAlign w:val="center"/>
          </w:tcPr>
          <w:p w14:paraId="50CD8078" w14:textId="77777777" w:rsidR="005E000F" w:rsidRDefault="00000000">
            <w:pPr>
              <w:jc w:val="right"/>
            </w:pPr>
            <w:r>
              <w:t>71,227,013</w:t>
            </w:r>
          </w:p>
        </w:tc>
        <w:tc>
          <w:tcPr>
            <w:tcW w:w="402" w:type="pct"/>
            <w:tcBorders>
              <w:top w:val="single" w:sz="4" w:space="0" w:color="auto"/>
              <w:left w:val="single" w:sz="4" w:space="0" w:color="auto"/>
              <w:bottom w:val="single" w:sz="4" w:space="0" w:color="auto"/>
              <w:right w:val="single" w:sz="4" w:space="0" w:color="auto"/>
            </w:tcBorders>
            <w:vAlign w:val="center"/>
          </w:tcPr>
          <w:p w14:paraId="76C651D5" w14:textId="77777777" w:rsidR="005E000F" w:rsidRDefault="00000000">
            <w:pPr>
              <w:jc w:val="right"/>
            </w:pPr>
            <w:r>
              <w:t>/</w:t>
            </w:r>
          </w:p>
        </w:tc>
        <w:tc>
          <w:tcPr>
            <w:tcW w:w="392" w:type="pct"/>
            <w:tcBorders>
              <w:top w:val="single" w:sz="4" w:space="0" w:color="auto"/>
              <w:left w:val="single" w:sz="4" w:space="0" w:color="auto"/>
              <w:bottom w:val="single" w:sz="4" w:space="0" w:color="auto"/>
              <w:right w:val="single" w:sz="4" w:space="0" w:color="auto"/>
            </w:tcBorders>
            <w:vAlign w:val="center"/>
          </w:tcPr>
          <w:p w14:paraId="313E5B34" w14:textId="77777777" w:rsidR="005E000F" w:rsidRDefault="00000000">
            <w:pPr>
              <w:jc w:val="right"/>
            </w:pPr>
            <w:r>
              <w:t>4,129,758,941</w:t>
            </w:r>
          </w:p>
        </w:tc>
        <w:tc>
          <w:tcPr>
            <w:tcW w:w="505" w:type="pct"/>
            <w:tcBorders>
              <w:top w:val="single" w:sz="4" w:space="0" w:color="auto"/>
              <w:left w:val="single" w:sz="4" w:space="0" w:color="auto"/>
              <w:bottom w:val="single" w:sz="4" w:space="0" w:color="auto"/>
              <w:right w:val="single" w:sz="4" w:space="0" w:color="auto"/>
            </w:tcBorders>
          </w:tcPr>
          <w:p w14:paraId="403DB96D" w14:textId="77777777" w:rsidR="005E000F" w:rsidRDefault="00000000">
            <w:pPr>
              <w:jc w:val="right"/>
            </w:pPr>
            <w:r>
              <w:rPr>
                <w:rFonts w:hint="eastAsia"/>
              </w:rPr>
              <w:t>4,935,501,761</w:t>
            </w:r>
          </w:p>
        </w:tc>
        <w:tc>
          <w:tcPr>
            <w:tcW w:w="402" w:type="pct"/>
            <w:tcBorders>
              <w:top w:val="single" w:sz="4" w:space="0" w:color="auto"/>
              <w:left w:val="single" w:sz="4" w:space="0" w:color="auto"/>
              <w:bottom w:val="single" w:sz="4" w:space="0" w:color="auto"/>
              <w:right w:val="single" w:sz="4" w:space="0" w:color="auto"/>
            </w:tcBorders>
          </w:tcPr>
          <w:p w14:paraId="1AFF54C7" w14:textId="77777777" w:rsidR="005E000F" w:rsidRDefault="00000000">
            <w:pPr>
              <w:jc w:val="right"/>
            </w:pPr>
            <w:r>
              <w:rPr>
                <w:rFonts w:hint="eastAsia"/>
                <w:color w:val="000000"/>
              </w:rPr>
              <w:t>/</w:t>
            </w:r>
          </w:p>
        </w:tc>
        <w:tc>
          <w:tcPr>
            <w:tcW w:w="449" w:type="pct"/>
            <w:tcBorders>
              <w:top w:val="single" w:sz="4" w:space="0" w:color="auto"/>
              <w:left w:val="single" w:sz="4" w:space="0" w:color="auto"/>
              <w:bottom w:val="single" w:sz="4" w:space="0" w:color="auto"/>
              <w:right w:val="single" w:sz="4" w:space="0" w:color="auto"/>
            </w:tcBorders>
          </w:tcPr>
          <w:p w14:paraId="50642963" w14:textId="77777777" w:rsidR="005E000F" w:rsidRDefault="00000000">
            <w:pPr>
              <w:jc w:val="right"/>
            </w:pPr>
            <w:r>
              <w:rPr>
                <w:rFonts w:hint="eastAsia"/>
              </w:rPr>
              <w:t>124,699,532</w:t>
            </w:r>
          </w:p>
        </w:tc>
        <w:tc>
          <w:tcPr>
            <w:tcW w:w="410" w:type="pct"/>
            <w:tcBorders>
              <w:top w:val="single" w:sz="4" w:space="0" w:color="auto"/>
              <w:left w:val="single" w:sz="4" w:space="0" w:color="auto"/>
              <w:bottom w:val="single" w:sz="4" w:space="0" w:color="auto"/>
              <w:right w:val="single" w:sz="4" w:space="0" w:color="auto"/>
            </w:tcBorders>
          </w:tcPr>
          <w:p w14:paraId="2D94A5AA" w14:textId="77777777" w:rsidR="005E000F" w:rsidRDefault="00000000">
            <w:pPr>
              <w:jc w:val="right"/>
            </w:pPr>
            <w:r>
              <w:rPr>
                <w:rFonts w:hint="eastAsia"/>
                <w:color w:val="000000"/>
              </w:rPr>
              <w:t>/</w:t>
            </w:r>
          </w:p>
        </w:tc>
        <w:tc>
          <w:tcPr>
            <w:tcW w:w="505" w:type="pct"/>
            <w:tcBorders>
              <w:top w:val="single" w:sz="4" w:space="0" w:color="auto"/>
              <w:left w:val="single" w:sz="4" w:space="0" w:color="auto"/>
              <w:bottom w:val="single" w:sz="4" w:space="0" w:color="auto"/>
              <w:right w:val="single" w:sz="4" w:space="0" w:color="auto"/>
            </w:tcBorders>
          </w:tcPr>
          <w:p w14:paraId="3AA43769" w14:textId="77777777" w:rsidR="005E000F" w:rsidRDefault="00000000">
            <w:pPr>
              <w:jc w:val="right"/>
            </w:pPr>
            <w:r>
              <w:rPr>
                <w:rFonts w:hint="eastAsia"/>
              </w:rPr>
              <w:t>4,810,802,229</w:t>
            </w:r>
          </w:p>
        </w:tc>
      </w:tr>
    </w:tbl>
    <w:p w14:paraId="02319140" w14:textId="77777777" w:rsidR="005E000F" w:rsidRDefault="005E000F">
      <w:pPr>
        <w:sectPr w:rsidR="005E000F">
          <w:pgSz w:w="16838" w:h="11906" w:orient="landscape"/>
          <w:pgMar w:top="1276" w:right="1440" w:bottom="1797" w:left="1525" w:header="856" w:footer="992" w:gutter="0"/>
          <w:cols w:space="425"/>
          <w:docGrid w:linePitch="312"/>
        </w:sectPr>
      </w:pPr>
    </w:p>
    <w:p w14:paraId="429DF6E7" w14:textId="77777777" w:rsidR="005E000F" w:rsidRDefault="005E000F"/>
    <w:p w14:paraId="4115CDAB" w14:textId="77777777" w:rsidR="005E000F" w:rsidRDefault="00000000">
      <w:bookmarkStart w:id="272" w:name="_Hlk533606785"/>
      <w:bookmarkEnd w:id="271"/>
      <w:r>
        <w:rPr>
          <w:rFonts w:hint="eastAsia"/>
        </w:rPr>
        <w:t>按单项计提坏账准备：</w:t>
      </w:r>
    </w:p>
    <w:sdt>
      <w:sdtPr>
        <w:rPr>
          <w:rFonts w:hint="eastAsia"/>
        </w:rPr>
        <w:alias w:val="是否适用：按单项计提坏账准备的应收账款详细情况[双击切换]"/>
        <w:tag w:val="_GBC_1add32cead514597854ff8ba7f5bf59e"/>
        <w:id w:val="-1007904778"/>
        <w:placeholder>
          <w:docPart w:val="GBC22222222222222222222222222222"/>
        </w:placeholder>
      </w:sdtPr>
      <w:sdtContent>
        <w:p w14:paraId="7C7FEA1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245684C" w14:textId="77777777" w:rsidR="005E000F" w:rsidRDefault="005E000F"/>
    <w:p w14:paraId="4BBF1EEC" w14:textId="77777777" w:rsidR="005E000F" w:rsidRDefault="005E000F"/>
    <w:bookmarkEnd w:id="272" w:displacedByCustomXml="next"/>
    <w:sdt>
      <w:sdtPr>
        <w:tag w:val="_PLD_21b31dda4e9f44bd901ccb9e126e1392"/>
        <w:id w:val="-665244016"/>
      </w:sdtPr>
      <w:sdtContent>
        <w:p w14:paraId="7E12327A" w14:textId="77777777" w:rsidR="005E000F" w:rsidRDefault="00000000">
          <w:r>
            <w:rPr>
              <w:rFonts w:hint="eastAsia"/>
            </w:rPr>
            <w:t>按组合计提坏账准备：</w:t>
          </w:r>
        </w:p>
      </w:sdtContent>
    </w:sdt>
    <w:sdt>
      <w:sdtPr>
        <w:rPr>
          <w:rFonts w:hint="eastAsia"/>
        </w:rPr>
        <w:alias w:val="是否适用：按组合计提坏账准备的应收账款详细情况[双击切换]"/>
        <w:tag w:val="_GBC_600909a2591c4c1187685fb640783e4a"/>
        <w:id w:val="-1427581070"/>
        <w:lock w:val="contentLocked"/>
        <w:placeholder>
          <w:docPart w:val="GBC22222222222222222222222222222"/>
        </w:placeholder>
      </w:sdtPr>
      <w:sdtContent>
        <w:p w14:paraId="1B275DFF"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04DB3DC" w14:textId="77777777" w:rsidR="005E000F" w:rsidRDefault="00000000">
      <w:bookmarkStart w:id="273" w:name="_Hlk533607573"/>
      <w:r>
        <w:rPr>
          <w:rFonts w:hint="eastAsia"/>
        </w:rPr>
        <w:t>组合计提项目：</w:t>
      </w:r>
      <w:sdt>
        <w:sdtPr>
          <w:rPr>
            <w:rFonts w:hint="eastAsia"/>
          </w:rPr>
          <w:alias w:val="按组合计提坏账准备的应收账款明细-组合名称"/>
          <w:tag w:val="_GBC_a99af83acd7e492a99d5eed2536b8adb"/>
          <w:id w:val="-1525396634"/>
          <w:placeholder>
            <w:docPart w:val="GBC22222222222222222222222222222"/>
          </w:placeholder>
          <w:comboBox>
            <w:listItem w:displayText="组合二" w:value="组合二"/>
            <w:listItem w:displayText="组合一" w:value="组合一"/>
          </w:comboBox>
        </w:sdtPr>
        <w:sdtContent>
          <w:r>
            <w:rPr>
              <w:rFonts w:hint="eastAsia"/>
            </w:rPr>
            <w:t>组合</w:t>
          </w:r>
          <w:proofErr w:type="gramStart"/>
          <w:r>
            <w:rPr>
              <w:rFonts w:hint="eastAsia"/>
            </w:rPr>
            <w:t>一</w:t>
          </w:r>
          <w:proofErr w:type="gramEnd"/>
        </w:sdtContent>
      </w:sdt>
    </w:p>
    <w:p w14:paraId="4FF9EFEA" w14:textId="77777777" w:rsidR="005E000F" w:rsidRDefault="00000000">
      <w:pPr>
        <w:autoSpaceDE w:val="0"/>
        <w:autoSpaceDN w:val="0"/>
        <w:adjustRightInd w:val="0"/>
        <w:ind w:left="5880" w:right="105"/>
        <w:jc w:val="right"/>
      </w:pPr>
      <w:r>
        <w:rPr>
          <w:rFonts w:hint="eastAsia"/>
        </w:rPr>
        <w:t>单位：</w:t>
      </w:r>
      <w:sdt>
        <w:sdtPr>
          <w:rPr>
            <w:rFonts w:hint="eastAsia"/>
          </w:rPr>
          <w:alias w:val="单位：按组合计提坏账准备的应收账款详细情况"/>
          <w:tag w:val="_GBC_048426f3fbc6488d9ff13660d47dce88"/>
          <w:id w:val="-7705456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按组合计提坏账准备的应收账款详细情况"/>
          <w:tag w:val="_GBC_2a89eacddb4842daa40a2883ae740824"/>
          <w:id w:val="-19109982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2309"/>
        <w:gridCol w:w="2350"/>
        <w:gridCol w:w="2294"/>
      </w:tblGrid>
      <w:tr w:rsidR="005E000F" w14:paraId="5F3C9E10" w14:textId="77777777">
        <w:sdt>
          <w:sdtPr>
            <w:tag w:val="_PLD_76fac25a376f4d4b884d95c8c8b4cdbd"/>
            <w:id w:val="-1207168190"/>
          </w:sdtPr>
          <w:sdtContent>
            <w:tc>
              <w:tcPr>
                <w:tcW w:w="2095" w:type="dxa"/>
                <w:vMerge w:val="restart"/>
                <w:vAlign w:val="center"/>
              </w:tcPr>
              <w:p w14:paraId="4275BA8D" w14:textId="77777777" w:rsidR="005E000F" w:rsidRDefault="00000000">
                <w:pPr>
                  <w:jc w:val="center"/>
                </w:pPr>
                <w:r>
                  <w:rPr>
                    <w:rFonts w:hint="eastAsia"/>
                  </w:rPr>
                  <w:t>名称</w:t>
                </w:r>
              </w:p>
            </w:tc>
          </w:sdtContent>
        </w:sdt>
        <w:sdt>
          <w:sdtPr>
            <w:tag w:val="_PLD_2ea73da2ba22410090605fad4228c06a"/>
            <w:id w:val="490539294"/>
          </w:sdtPr>
          <w:sdtContent>
            <w:tc>
              <w:tcPr>
                <w:tcW w:w="6953" w:type="dxa"/>
                <w:gridSpan w:val="3"/>
                <w:vAlign w:val="center"/>
              </w:tcPr>
              <w:p w14:paraId="39828532" w14:textId="77777777" w:rsidR="005E000F" w:rsidRDefault="00000000">
                <w:pPr>
                  <w:jc w:val="center"/>
                </w:pPr>
                <w:r>
                  <w:rPr>
                    <w:rFonts w:hint="eastAsia"/>
                  </w:rPr>
                  <w:t>期末余额</w:t>
                </w:r>
              </w:p>
            </w:tc>
          </w:sdtContent>
        </w:sdt>
      </w:tr>
      <w:tr w:rsidR="005E000F" w14:paraId="69FCFE96" w14:textId="77777777">
        <w:tc>
          <w:tcPr>
            <w:tcW w:w="2095" w:type="dxa"/>
            <w:vMerge/>
            <w:vAlign w:val="center"/>
          </w:tcPr>
          <w:p w14:paraId="3388AFEB" w14:textId="77777777" w:rsidR="005E000F" w:rsidRDefault="005E000F">
            <w:pPr>
              <w:jc w:val="center"/>
            </w:pPr>
          </w:p>
        </w:tc>
        <w:sdt>
          <w:sdtPr>
            <w:tag w:val="_PLD_841eb33e3b60464dbe6b3cefac602503"/>
            <w:id w:val="-54160478"/>
          </w:sdtPr>
          <w:sdtContent>
            <w:tc>
              <w:tcPr>
                <w:tcW w:w="2309" w:type="dxa"/>
                <w:vAlign w:val="center"/>
              </w:tcPr>
              <w:p w14:paraId="1DD197A0" w14:textId="77777777" w:rsidR="005E000F" w:rsidRDefault="00000000">
                <w:pPr>
                  <w:jc w:val="center"/>
                </w:pPr>
                <w:r>
                  <w:rPr>
                    <w:rFonts w:hint="eastAsia"/>
                  </w:rPr>
                  <w:t>账面余额</w:t>
                </w:r>
              </w:p>
            </w:tc>
          </w:sdtContent>
        </w:sdt>
        <w:sdt>
          <w:sdtPr>
            <w:tag w:val="_PLD_b28da65f0aac478c80ab20a817d350ac"/>
            <w:id w:val="61913891"/>
          </w:sdtPr>
          <w:sdtContent>
            <w:tc>
              <w:tcPr>
                <w:tcW w:w="2350" w:type="dxa"/>
                <w:vAlign w:val="center"/>
              </w:tcPr>
              <w:p w14:paraId="0CB29305" w14:textId="77777777" w:rsidR="005E000F" w:rsidRDefault="00000000">
                <w:pPr>
                  <w:jc w:val="center"/>
                </w:pPr>
                <w:r>
                  <w:rPr>
                    <w:rFonts w:hint="eastAsia"/>
                  </w:rPr>
                  <w:t>坏账准备</w:t>
                </w:r>
              </w:p>
            </w:tc>
          </w:sdtContent>
        </w:sdt>
        <w:sdt>
          <w:sdtPr>
            <w:tag w:val="_PLD_98321f537bf94701b17705eae6c543e2"/>
            <w:id w:val="-1587211594"/>
          </w:sdtPr>
          <w:sdtContent>
            <w:tc>
              <w:tcPr>
                <w:tcW w:w="2294" w:type="dxa"/>
                <w:vAlign w:val="center"/>
              </w:tcPr>
              <w:p w14:paraId="39BEDBA4" w14:textId="77777777" w:rsidR="005E000F" w:rsidRDefault="00000000">
                <w:pPr>
                  <w:jc w:val="center"/>
                </w:pPr>
                <w:r>
                  <w:t>计提比例</w:t>
                </w:r>
                <w:r>
                  <w:rPr>
                    <w:rFonts w:hint="eastAsia"/>
                  </w:rPr>
                  <w:t>（</w:t>
                </w:r>
                <w:r>
                  <w:rPr>
                    <w:rFonts w:hint="eastAsia"/>
                  </w:rPr>
                  <w:t>%</w:t>
                </w:r>
                <w:r>
                  <w:rPr>
                    <w:rFonts w:hint="eastAsia"/>
                  </w:rPr>
                  <w:t>）</w:t>
                </w:r>
              </w:p>
            </w:tc>
          </w:sdtContent>
        </w:sdt>
      </w:tr>
      <w:tr w:rsidR="005E000F" w14:paraId="353FCC5A" w14:textId="77777777">
        <w:tc>
          <w:tcPr>
            <w:tcW w:w="2095" w:type="dxa"/>
            <w:vAlign w:val="center"/>
          </w:tcPr>
          <w:p w14:paraId="29BFC2CB" w14:textId="77777777" w:rsidR="005E000F" w:rsidRDefault="00000000">
            <w:r>
              <w:rPr>
                <w:rFonts w:hint="eastAsia"/>
              </w:rPr>
              <w:t>组合</w:t>
            </w:r>
            <w:proofErr w:type="gramStart"/>
            <w:r>
              <w:rPr>
                <w:rFonts w:hint="eastAsia"/>
              </w:rPr>
              <w:t>一</w:t>
            </w:r>
            <w:proofErr w:type="gramEnd"/>
          </w:p>
        </w:tc>
        <w:tc>
          <w:tcPr>
            <w:tcW w:w="2309" w:type="dxa"/>
            <w:vAlign w:val="center"/>
          </w:tcPr>
          <w:p w14:paraId="3CA0BAB7" w14:textId="77777777" w:rsidR="005E000F" w:rsidRDefault="00000000">
            <w:pPr>
              <w:jc w:val="right"/>
            </w:pPr>
            <w:r>
              <w:t>3,540,425,213</w:t>
            </w:r>
          </w:p>
        </w:tc>
        <w:tc>
          <w:tcPr>
            <w:tcW w:w="2350" w:type="dxa"/>
            <w:vAlign w:val="center"/>
          </w:tcPr>
          <w:p w14:paraId="7D27D791" w14:textId="77777777" w:rsidR="005E000F" w:rsidRDefault="00000000">
            <w:pPr>
              <w:jc w:val="right"/>
              <w:rPr>
                <w:lang w:val="en-GB" w:eastAsia="en-US"/>
              </w:rPr>
            </w:pPr>
            <w:r>
              <w:t>68,828,254</w:t>
            </w:r>
          </w:p>
        </w:tc>
        <w:tc>
          <w:tcPr>
            <w:tcW w:w="2294" w:type="dxa"/>
            <w:vAlign w:val="center"/>
          </w:tcPr>
          <w:p w14:paraId="7C85D4C0" w14:textId="77777777" w:rsidR="005E000F" w:rsidRDefault="00000000">
            <w:pPr>
              <w:jc w:val="right"/>
              <w:rPr>
                <w:lang w:val="en-GB" w:eastAsia="en-US"/>
              </w:rPr>
            </w:pPr>
            <w:r>
              <w:t>1.94</w:t>
            </w:r>
          </w:p>
        </w:tc>
      </w:tr>
      <w:tr w:rsidR="005E000F" w14:paraId="298A0400" w14:textId="77777777">
        <w:tc>
          <w:tcPr>
            <w:tcW w:w="2095" w:type="dxa"/>
            <w:vAlign w:val="center"/>
          </w:tcPr>
          <w:p w14:paraId="6B8F633F" w14:textId="77777777" w:rsidR="005E000F" w:rsidRDefault="00000000">
            <w:pPr>
              <w:jc w:val="center"/>
            </w:pPr>
            <w:r>
              <w:rPr>
                <w:rFonts w:hint="eastAsia"/>
              </w:rPr>
              <w:t>合计</w:t>
            </w:r>
          </w:p>
        </w:tc>
        <w:tc>
          <w:tcPr>
            <w:tcW w:w="2309" w:type="dxa"/>
            <w:vAlign w:val="center"/>
          </w:tcPr>
          <w:p w14:paraId="76DF5DD2" w14:textId="77777777" w:rsidR="005E000F" w:rsidRDefault="00000000">
            <w:pPr>
              <w:jc w:val="right"/>
            </w:pPr>
            <w:r>
              <w:t>3,540,425,213</w:t>
            </w:r>
          </w:p>
        </w:tc>
        <w:tc>
          <w:tcPr>
            <w:tcW w:w="2350" w:type="dxa"/>
            <w:vAlign w:val="center"/>
          </w:tcPr>
          <w:p w14:paraId="721F3DE4" w14:textId="77777777" w:rsidR="005E000F" w:rsidRDefault="00000000">
            <w:pPr>
              <w:jc w:val="right"/>
            </w:pPr>
            <w:r>
              <w:t>68,828,254</w:t>
            </w:r>
          </w:p>
        </w:tc>
        <w:tc>
          <w:tcPr>
            <w:tcW w:w="2294" w:type="dxa"/>
            <w:vAlign w:val="center"/>
          </w:tcPr>
          <w:p w14:paraId="339656BB" w14:textId="77777777" w:rsidR="005E000F" w:rsidRDefault="00000000">
            <w:pPr>
              <w:jc w:val="right"/>
            </w:pPr>
            <w:r>
              <w:t>1.94</w:t>
            </w:r>
          </w:p>
        </w:tc>
      </w:tr>
    </w:tbl>
    <w:p w14:paraId="2EC83317" w14:textId="77777777" w:rsidR="005E000F" w:rsidRDefault="00000000">
      <w:r>
        <w:rPr>
          <w:rFonts w:hint="eastAsia"/>
        </w:rPr>
        <w:t>组合计提项目：</w:t>
      </w:r>
      <w:sdt>
        <w:sdtPr>
          <w:rPr>
            <w:rFonts w:hint="eastAsia"/>
          </w:rPr>
          <w:alias w:val="按组合计提坏账准备的应收账款明细-组合名称"/>
          <w:tag w:val="_GBC_a99af83acd7e492a99d5eed2536b8adb"/>
          <w:id w:val="2043857884"/>
          <w:placeholder>
            <w:docPart w:val="B1EB56E6F6F94DC981DE36D2A72155FE"/>
          </w:placeholder>
          <w:comboBox>
            <w:listItem w:displayText="组合二" w:value="组合二"/>
            <w:listItem w:displayText="组合一" w:value="组合一"/>
          </w:comboBox>
        </w:sdtPr>
        <w:sdtContent>
          <w:r>
            <w:rPr>
              <w:rFonts w:hint="eastAsia"/>
            </w:rPr>
            <w:t>组合二</w:t>
          </w:r>
        </w:sdtContent>
      </w:sdt>
    </w:p>
    <w:p w14:paraId="515CD0F2" w14:textId="77777777" w:rsidR="005E000F" w:rsidRDefault="00000000">
      <w:pPr>
        <w:autoSpaceDE w:val="0"/>
        <w:autoSpaceDN w:val="0"/>
        <w:adjustRightInd w:val="0"/>
        <w:ind w:left="5880" w:right="105"/>
        <w:jc w:val="right"/>
      </w:pPr>
      <w:r>
        <w:rPr>
          <w:rFonts w:hint="eastAsia"/>
        </w:rPr>
        <w:t>单位：</w:t>
      </w:r>
      <w:sdt>
        <w:sdtPr>
          <w:rPr>
            <w:rFonts w:hint="eastAsia"/>
          </w:rPr>
          <w:alias w:val="单位：按组合计提坏账准备的应收账款详细情况"/>
          <w:tag w:val="_GBC_048426f3fbc6488d9ff13660d47dce88"/>
          <w:id w:val="210545042"/>
          <w:placeholder>
            <w:docPart w:val="B1EB56E6F6F94DC981DE36D2A72155FE"/>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按组合计提坏账准备的应收账款详细情况"/>
          <w:tag w:val="_GBC_2a89eacddb4842daa40a2883ae740824"/>
          <w:id w:val="-1146351829"/>
          <w:placeholder>
            <w:docPart w:val="B1EB56E6F6F94DC981DE36D2A72155FE"/>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2309"/>
        <w:gridCol w:w="2350"/>
        <w:gridCol w:w="2294"/>
      </w:tblGrid>
      <w:tr w:rsidR="005E000F" w14:paraId="79410591" w14:textId="77777777">
        <w:sdt>
          <w:sdtPr>
            <w:tag w:val="_PLD_76fac25a376f4d4b884d95c8c8b4cdbd"/>
            <w:id w:val="1115714922"/>
          </w:sdtPr>
          <w:sdtContent>
            <w:tc>
              <w:tcPr>
                <w:tcW w:w="2095" w:type="dxa"/>
                <w:vMerge w:val="restart"/>
                <w:vAlign w:val="center"/>
              </w:tcPr>
              <w:p w14:paraId="70C8BAB7" w14:textId="77777777" w:rsidR="005E000F" w:rsidRDefault="00000000">
                <w:pPr>
                  <w:jc w:val="center"/>
                </w:pPr>
                <w:r>
                  <w:rPr>
                    <w:rFonts w:hint="eastAsia"/>
                  </w:rPr>
                  <w:t>名称</w:t>
                </w:r>
              </w:p>
            </w:tc>
          </w:sdtContent>
        </w:sdt>
        <w:sdt>
          <w:sdtPr>
            <w:tag w:val="_PLD_2ea73da2ba22410090605fad4228c06a"/>
            <w:id w:val="-1145732266"/>
          </w:sdtPr>
          <w:sdtContent>
            <w:tc>
              <w:tcPr>
                <w:tcW w:w="6953" w:type="dxa"/>
                <w:gridSpan w:val="3"/>
                <w:vAlign w:val="center"/>
              </w:tcPr>
              <w:p w14:paraId="5FAFE069" w14:textId="77777777" w:rsidR="005E000F" w:rsidRDefault="00000000">
                <w:pPr>
                  <w:jc w:val="center"/>
                </w:pPr>
                <w:r>
                  <w:rPr>
                    <w:rFonts w:hint="eastAsia"/>
                  </w:rPr>
                  <w:t>期末余额</w:t>
                </w:r>
              </w:p>
            </w:tc>
          </w:sdtContent>
        </w:sdt>
      </w:tr>
      <w:tr w:rsidR="005E000F" w14:paraId="5A1BBC3F" w14:textId="77777777">
        <w:tc>
          <w:tcPr>
            <w:tcW w:w="2095" w:type="dxa"/>
            <w:vMerge/>
            <w:vAlign w:val="center"/>
          </w:tcPr>
          <w:p w14:paraId="4E7F7B52" w14:textId="77777777" w:rsidR="005E000F" w:rsidRDefault="005E000F">
            <w:pPr>
              <w:jc w:val="center"/>
            </w:pPr>
          </w:p>
        </w:tc>
        <w:sdt>
          <w:sdtPr>
            <w:tag w:val="_PLD_841eb33e3b60464dbe6b3cefac602503"/>
            <w:id w:val="-563182968"/>
          </w:sdtPr>
          <w:sdtContent>
            <w:tc>
              <w:tcPr>
                <w:tcW w:w="2309" w:type="dxa"/>
                <w:vAlign w:val="center"/>
              </w:tcPr>
              <w:p w14:paraId="0BAAC525" w14:textId="77777777" w:rsidR="005E000F" w:rsidRDefault="00000000">
                <w:pPr>
                  <w:jc w:val="center"/>
                </w:pPr>
                <w:r>
                  <w:rPr>
                    <w:rFonts w:hint="eastAsia"/>
                  </w:rPr>
                  <w:t>账面余额</w:t>
                </w:r>
              </w:p>
            </w:tc>
          </w:sdtContent>
        </w:sdt>
        <w:sdt>
          <w:sdtPr>
            <w:tag w:val="_PLD_b28da65f0aac478c80ab20a817d350ac"/>
            <w:id w:val="-443925084"/>
          </w:sdtPr>
          <w:sdtContent>
            <w:tc>
              <w:tcPr>
                <w:tcW w:w="2350" w:type="dxa"/>
                <w:vAlign w:val="center"/>
              </w:tcPr>
              <w:p w14:paraId="3159D371" w14:textId="77777777" w:rsidR="005E000F" w:rsidRDefault="00000000">
                <w:pPr>
                  <w:jc w:val="center"/>
                </w:pPr>
                <w:r>
                  <w:rPr>
                    <w:rFonts w:hint="eastAsia"/>
                  </w:rPr>
                  <w:t>坏账准备</w:t>
                </w:r>
              </w:p>
            </w:tc>
          </w:sdtContent>
        </w:sdt>
        <w:sdt>
          <w:sdtPr>
            <w:tag w:val="_PLD_98321f537bf94701b17705eae6c543e2"/>
            <w:id w:val="100773233"/>
          </w:sdtPr>
          <w:sdtContent>
            <w:tc>
              <w:tcPr>
                <w:tcW w:w="2294" w:type="dxa"/>
                <w:vAlign w:val="center"/>
              </w:tcPr>
              <w:p w14:paraId="5E1155F7" w14:textId="77777777" w:rsidR="005E000F" w:rsidRDefault="00000000">
                <w:pPr>
                  <w:jc w:val="center"/>
                </w:pPr>
                <w:r>
                  <w:t>计提比例</w:t>
                </w:r>
                <w:r>
                  <w:rPr>
                    <w:rFonts w:hint="eastAsia"/>
                  </w:rPr>
                  <w:t>（</w:t>
                </w:r>
                <w:r>
                  <w:rPr>
                    <w:rFonts w:hint="eastAsia"/>
                  </w:rPr>
                  <w:t>%</w:t>
                </w:r>
                <w:r>
                  <w:rPr>
                    <w:rFonts w:hint="eastAsia"/>
                  </w:rPr>
                  <w:t>）</w:t>
                </w:r>
              </w:p>
            </w:tc>
          </w:sdtContent>
        </w:sdt>
      </w:tr>
      <w:tr w:rsidR="005E000F" w14:paraId="5A6553D9" w14:textId="77777777">
        <w:tc>
          <w:tcPr>
            <w:tcW w:w="2095" w:type="dxa"/>
            <w:vAlign w:val="center"/>
          </w:tcPr>
          <w:p w14:paraId="75119CB8" w14:textId="77777777" w:rsidR="005E000F" w:rsidRDefault="00000000">
            <w:r>
              <w:rPr>
                <w:rFonts w:hint="eastAsia"/>
              </w:rPr>
              <w:t>组合二</w:t>
            </w:r>
          </w:p>
        </w:tc>
        <w:tc>
          <w:tcPr>
            <w:tcW w:w="2309" w:type="dxa"/>
            <w:vAlign w:val="center"/>
          </w:tcPr>
          <w:p w14:paraId="3FB624E5" w14:textId="77777777" w:rsidR="005E000F" w:rsidRDefault="00000000">
            <w:pPr>
              <w:jc w:val="right"/>
            </w:pPr>
            <w:r>
              <w:t>660,560,741</w:t>
            </w:r>
          </w:p>
        </w:tc>
        <w:tc>
          <w:tcPr>
            <w:tcW w:w="2350" w:type="dxa"/>
            <w:vAlign w:val="center"/>
          </w:tcPr>
          <w:p w14:paraId="49B24E51" w14:textId="77777777" w:rsidR="005E000F" w:rsidRDefault="00000000">
            <w:pPr>
              <w:jc w:val="right"/>
            </w:pPr>
            <w:r>
              <w:t>2,398,759</w:t>
            </w:r>
          </w:p>
        </w:tc>
        <w:tc>
          <w:tcPr>
            <w:tcW w:w="2294" w:type="dxa"/>
            <w:vAlign w:val="center"/>
          </w:tcPr>
          <w:p w14:paraId="58734D32" w14:textId="77777777" w:rsidR="005E000F" w:rsidRDefault="00000000">
            <w:pPr>
              <w:jc w:val="right"/>
            </w:pPr>
            <w:r>
              <w:t>0.36</w:t>
            </w:r>
          </w:p>
        </w:tc>
      </w:tr>
      <w:tr w:rsidR="005E000F" w14:paraId="71C9E722" w14:textId="77777777">
        <w:tc>
          <w:tcPr>
            <w:tcW w:w="2095" w:type="dxa"/>
            <w:vAlign w:val="center"/>
          </w:tcPr>
          <w:p w14:paraId="7C4EA01E" w14:textId="77777777" w:rsidR="005E000F" w:rsidRDefault="00000000">
            <w:pPr>
              <w:jc w:val="center"/>
            </w:pPr>
            <w:r>
              <w:rPr>
                <w:rFonts w:hint="eastAsia"/>
              </w:rPr>
              <w:t>合计</w:t>
            </w:r>
          </w:p>
        </w:tc>
        <w:tc>
          <w:tcPr>
            <w:tcW w:w="2309" w:type="dxa"/>
            <w:vAlign w:val="center"/>
          </w:tcPr>
          <w:p w14:paraId="6F619B80" w14:textId="77777777" w:rsidR="005E000F" w:rsidRDefault="00000000">
            <w:pPr>
              <w:jc w:val="right"/>
            </w:pPr>
            <w:r>
              <w:t>660,560,741</w:t>
            </w:r>
          </w:p>
        </w:tc>
        <w:tc>
          <w:tcPr>
            <w:tcW w:w="2350" w:type="dxa"/>
            <w:vAlign w:val="center"/>
          </w:tcPr>
          <w:p w14:paraId="0E978067" w14:textId="77777777" w:rsidR="005E000F" w:rsidRDefault="00000000">
            <w:pPr>
              <w:jc w:val="right"/>
            </w:pPr>
            <w:r>
              <w:t>2,398,759</w:t>
            </w:r>
          </w:p>
        </w:tc>
        <w:tc>
          <w:tcPr>
            <w:tcW w:w="2294" w:type="dxa"/>
            <w:vAlign w:val="center"/>
          </w:tcPr>
          <w:p w14:paraId="6525AF7B" w14:textId="77777777" w:rsidR="005E000F" w:rsidRDefault="00000000">
            <w:pPr>
              <w:jc w:val="right"/>
            </w:pPr>
            <w:r>
              <w:t>0.36</w:t>
            </w:r>
          </w:p>
        </w:tc>
      </w:tr>
    </w:tbl>
    <w:p w14:paraId="69B5014E" w14:textId="77777777" w:rsidR="005E000F" w:rsidRDefault="005E000F"/>
    <w:p w14:paraId="5FFFF436" w14:textId="77777777" w:rsidR="005E000F" w:rsidRDefault="005E000F"/>
    <w:p w14:paraId="7948A483" w14:textId="77777777" w:rsidR="005E000F" w:rsidRDefault="00000000">
      <w:r>
        <w:rPr>
          <w:rFonts w:hint="eastAsia"/>
        </w:rPr>
        <w:t>按组合计提坏账准备的说明：</w:t>
      </w:r>
    </w:p>
    <w:sdt>
      <w:sdtPr>
        <w:alias w:val="是否适用：按组合计提坏账准备的应收账款确认标准[双击切换]"/>
        <w:tag w:val="_GBC_d256dc36994548098f599f5c34cca3f5"/>
        <w:id w:val="474108675"/>
        <w:placeholder>
          <w:docPart w:val="GBC22222222222222222222222222222"/>
        </w:placeholder>
      </w:sdtPr>
      <w:sdtContent>
        <w:p w14:paraId="72DC412E"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按组合计提坏账准备的应收账款确认标准"/>
        <w:tag w:val="_GBC_de87dc97da314f0992885eb51709e885"/>
        <w:id w:val="-269092189"/>
        <w:placeholder>
          <w:docPart w:val="GBC22222222222222222222222222222"/>
        </w:placeholder>
      </w:sdtPr>
      <w:sdtContent>
        <w:p w14:paraId="06BD6AD7" w14:textId="77777777" w:rsidR="005E000F" w:rsidRDefault="00000000">
          <w:pPr>
            <w:rPr>
              <w:bCs/>
            </w:rPr>
          </w:pPr>
          <w:r>
            <w:rPr>
              <w:rFonts w:hint="eastAsia"/>
              <w:bCs/>
            </w:rPr>
            <w:t>本集团依据信用风险特征将应收账款划分为若干组合，在组合基础上计算预期信用损失，确定组合的标准如下：</w:t>
          </w:r>
        </w:p>
        <w:p w14:paraId="2BB86797" w14:textId="77777777" w:rsidR="005E000F" w:rsidRDefault="005E000F">
          <w:pPr>
            <w:rPr>
              <w:bCs/>
            </w:rPr>
          </w:pPr>
        </w:p>
        <w:p w14:paraId="5C6AC925" w14:textId="77777777" w:rsidR="005E000F" w:rsidRDefault="00000000">
          <w:pPr>
            <w:rPr>
              <w:bCs/>
            </w:rPr>
          </w:pPr>
          <w:r>
            <w:rPr>
              <w:rFonts w:hint="eastAsia"/>
              <w:bCs/>
            </w:rPr>
            <w:t>组合</w:t>
          </w:r>
          <w:proofErr w:type="gramStart"/>
          <w:r>
            <w:rPr>
              <w:rFonts w:hint="eastAsia"/>
              <w:bCs/>
            </w:rPr>
            <w:t>一</w:t>
          </w:r>
          <w:proofErr w:type="gramEnd"/>
          <w:r>
            <w:rPr>
              <w:rFonts w:hint="eastAsia"/>
              <w:bCs/>
            </w:rPr>
            <w:t>：国铁集团及其下属单位</w:t>
          </w:r>
        </w:p>
        <w:p w14:paraId="07B3809D" w14:textId="77777777" w:rsidR="005E000F" w:rsidRDefault="00000000">
          <w:pPr>
            <w:rPr>
              <w:bCs/>
            </w:rPr>
          </w:pPr>
          <w:r>
            <w:rPr>
              <w:rFonts w:hint="eastAsia"/>
              <w:bCs/>
            </w:rPr>
            <w:t>组合二：</w:t>
          </w:r>
          <w:proofErr w:type="gramStart"/>
          <w:r>
            <w:rPr>
              <w:rFonts w:hint="eastAsia"/>
              <w:bCs/>
            </w:rPr>
            <w:t>应收非</w:t>
          </w:r>
          <w:proofErr w:type="gramEnd"/>
          <w:r>
            <w:rPr>
              <w:rFonts w:hint="eastAsia"/>
              <w:bCs/>
            </w:rPr>
            <w:t>关联方</w:t>
          </w:r>
        </w:p>
        <w:p w14:paraId="0C59B74B" w14:textId="77777777" w:rsidR="005E000F" w:rsidRDefault="005E000F">
          <w:pPr>
            <w:rPr>
              <w:bCs/>
            </w:rPr>
          </w:pPr>
        </w:p>
        <w:p w14:paraId="68D96AD2" w14:textId="77777777" w:rsidR="005E000F" w:rsidRDefault="00000000">
          <w:pPr>
            <w:rPr>
              <w:bCs/>
            </w:rPr>
          </w:pPr>
          <w:r>
            <w:rPr>
              <w:rFonts w:hint="eastAsia"/>
              <w:bCs/>
            </w:rPr>
            <w:t>本集团始终按照相当于整个存续期内预期信用损失的金额计量应收账款的减值准备。</w:t>
          </w:r>
        </w:p>
        <w:p w14:paraId="77E3EB6D" w14:textId="77777777" w:rsidR="005E000F" w:rsidRDefault="005E000F">
          <w:pPr>
            <w:rPr>
              <w:bCs/>
            </w:rPr>
          </w:pPr>
        </w:p>
        <w:p w14:paraId="7DCBBF70" w14:textId="77777777" w:rsidR="005E000F" w:rsidRDefault="00000000">
          <w:r>
            <w:rPr>
              <w:rFonts w:hint="eastAsia"/>
              <w:bCs/>
            </w:rPr>
            <w:t>按照本集团应收账款坏账准备的会计政策，管理层基于历史信用损失经验计算应收账款的预期信用损失，相关历史经验根据资产负债表日借款人的特定因素、以及对当前状况和未来经济状况预测的评估进行调整。</w:t>
          </w:r>
        </w:p>
      </w:sdtContent>
    </w:sdt>
    <w:p w14:paraId="0C7C1BDC" w14:textId="77777777" w:rsidR="005E000F" w:rsidRDefault="005E000F"/>
    <w:p w14:paraId="10457741" w14:textId="77777777" w:rsidR="005E000F" w:rsidRDefault="00000000">
      <w:pPr>
        <w:rPr>
          <w:rFonts w:cstheme="minorBidi"/>
          <w:bCs/>
          <w:szCs w:val="22"/>
        </w:rPr>
      </w:pPr>
      <w:bookmarkStart w:id="274" w:name="_Hlk153357523"/>
      <w:bookmarkStart w:id="275" w:name="_Hlk154134618"/>
      <w:bookmarkEnd w:id="273"/>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8d4cb2336033407eaff135a13955b32a"/>
        <w:id w:val="-1330285201"/>
        <w:placeholder>
          <w:docPart w:val="GBC22222222222222222222222222222"/>
        </w:placeholder>
      </w:sdtPr>
      <w:sdtContent>
        <w:p w14:paraId="53FCB228" w14:textId="77777777" w:rsidR="005E000F" w:rsidRDefault="00000000">
          <w:pPr>
            <w:rPr>
              <w:rFonts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204B958E" w14:textId="77777777" w:rsidR="005E000F" w:rsidRDefault="005E000F"/>
    <w:p w14:paraId="0EB52714"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fefa2e57cd9349fba804e9f0aa553bb9"/>
        <w:id w:val="-537510618"/>
        <w:placeholder>
          <w:docPart w:val="GBC22222222222222222222222222222"/>
        </w:placeholder>
      </w:sdtPr>
      <w:sdtContent>
        <w:p w14:paraId="56A8F079" w14:textId="77777777" w:rsidR="005E000F" w:rsidRDefault="00000000">
          <w:pPr>
            <w:rPr>
              <w:bCs/>
              <w:szCs w:val="22"/>
            </w:rPr>
          </w:pPr>
          <w:r>
            <w:rPr>
              <w:rFonts w:hint="eastAsia"/>
              <w:bCs/>
              <w:szCs w:val="22"/>
            </w:rPr>
            <w:t>无</w:t>
          </w:r>
        </w:p>
      </w:sdtContent>
    </w:sdt>
    <w:p w14:paraId="2A1E335E" w14:textId="77777777" w:rsidR="005E000F" w:rsidRDefault="005E000F">
      <w:pPr>
        <w:rPr>
          <w:rFonts w:asciiTheme="minorHAnsi" w:hAnsiTheme="minorHAnsi" w:cstheme="minorBidi"/>
          <w:b/>
          <w:bCs/>
          <w:szCs w:val="22"/>
        </w:rPr>
      </w:pPr>
    </w:p>
    <w:p w14:paraId="63A555B8" w14:textId="77777777" w:rsidR="005E000F" w:rsidRDefault="00000000">
      <w:pPr>
        <w:pStyle w:val="affb"/>
      </w:pPr>
      <w:r>
        <w:rPr>
          <w:rFonts w:hint="eastAsia"/>
        </w:rPr>
        <w:t>对本期发生损失准备变动的应收账款账面余额显著变动的情况说明：</w:t>
      </w:r>
    </w:p>
    <w:sdt>
      <w:sdtPr>
        <w:alias w:val="是否适用：对本期发生损失准备变动的账面余额显著变动的情况说明[双击切换]"/>
        <w:tag w:val="_GBC_253db3108f924621ad49e8a14b359867"/>
        <w:id w:val="926537352"/>
        <w:placeholder>
          <w:docPart w:val="GBC22222222222222222222222222222"/>
        </w:placeholder>
      </w:sdtPr>
      <w:sdtContent>
        <w:p w14:paraId="58D65300"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13B1B11" w14:textId="77777777" w:rsidR="005E000F" w:rsidRDefault="005E000F">
      <w:pPr>
        <w:rPr>
          <w:rFonts w:asciiTheme="minorHAnsi" w:hAnsiTheme="minorHAnsi" w:cstheme="minorBidi"/>
          <w:b/>
          <w:bCs/>
          <w:szCs w:val="22"/>
        </w:rPr>
      </w:pPr>
    </w:p>
    <w:p w14:paraId="438A1C83" w14:textId="77777777" w:rsidR="005E000F" w:rsidRDefault="00000000">
      <w:pPr>
        <w:pStyle w:val="4"/>
        <w:numPr>
          <w:ilvl w:val="3"/>
          <w:numId w:val="68"/>
        </w:numPr>
        <w:ind w:left="426" w:hanging="426"/>
      </w:pPr>
      <w:bookmarkStart w:id="276" w:name="_Hlk532991911"/>
      <w:bookmarkEnd w:id="274"/>
      <w:bookmarkEnd w:id="275"/>
      <w:r>
        <w:rPr>
          <w:rFonts w:hint="eastAsia"/>
        </w:rPr>
        <w:t>坏账准备的情况</w:t>
      </w:r>
    </w:p>
    <w:sdt>
      <w:sdtPr>
        <w:alias w:val="是否适用：应收账款坏账准备[双击切换]"/>
        <w:tag w:val="_GBC_9f417fa21150444abc4efab15ee99d53"/>
        <w:id w:val="423614579"/>
        <w:placeholder>
          <w:docPart w:val="GBC22222222222222222222222222222"/>
        </w:placeholder>
      </w:sdtPr>
      <w:sdtContent>
        <w:p w14:paraId="2474B66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C86DEC5" w14:textId="77777777" w:rsidR="005E000F" w:rsidRDefault="00000000">
      <w:pPr>
        <w:pStyle w:val="aff8"/>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c27d9b760b54449682d5a777e36369c3"/>
          <w:id w:val="26165756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账款坏账准备"/>
          <w:tag w:val="_GBC_0ea3ceddf10d4313a5111e5088ac98cf"/>
          <w:id w:val="16758417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090"/>
        <w:gridCol w:w="1636"/>
        <w:gridCol w:w="1351"/>
        <w:gridCol w:w="1244"/>
        <w:gridCol w:w="1248"/>
        <w:gridCol w:w="1246"/>
        <w:gridCol w:w="1241"/>
      </w:tblGrid>
      <w:tr w:rsidR="005E000F" w14:paraId="4F9CE107" w14:textId="77777777">
        <w:bookmarkEnd w:id="276" w:displacedByCustomXml="next"/>
        <w:sdt>
          <w:sdtPr>
            <w:tag w:val="_PLD_4744c2787819466dad3d228aea9d34a1"/>
            <w:id w:val="457607405"/>
          </w:sdtPr>
          <w:sdtContent>
            <w:tc>
              <w:tcPr>
                <w:tcW w:w="1090" w:type="dxa"/>
                <w:vMerge w:val="restart"/>
                <w:shd w:val="clear" w:color="auto" w:fill="FFFFFF"/>
                <w:vAlign w:val="center"/>
              </w:tcPr>
              <w:p w14:paraId="4D1CF260" w14:textId="77777777" w:rsidR="005E000F" w:rsidRDefault="00000000">
                <w:pPr>
                  <w:jc w:val="center"/>
                </w:pPr>
                <w:r>
                  <w:t>类别</w:t>
                </w:r>
              </w:p>
            </w:tc>
          </w:sdtContent>
        </w:sdt>
        <w:sdt>
          <w:sdtPr>
            <w:tag w:val="_PLD_c730e797b90345869cdb1a0f449d27c4"/>
            <w:id w:val="1420445459"/>
          </w:sdtPr>
          <w:sdtContent>
            <w:tc>
              <w:tcPr>
                <w:tcW w:w="1636" w:type="dxa"/>
                <w:vMerge w:val="restart"/>
                <w:shd w:val="clear" w:color="auto" w:fill="FFFFFF"/>
                <w:vAlign w:val="center"/>
              </w:tcPr>
              <w:p w14:paraId="6A8B194D" w14:textId="77777777" w:rsidR="005E000F" w:rsidRDefault="00000000">
                <w:pPr>
                  <w:jc w:val="center"/>
                </w:pPr>
                <w:r>
                  <w:t>期初余额</w:t>
                </w:r>
              </w:p>
            </w:tc>
          </w:sdtContent>
        </w:sdt>
        <w:sdt>
          <w:sdtPr>
            <w:tag w:val="_PLD_b648ee5a72ff43aabfa5e5467354f612"/>
            <w:id w:val="-330062687"/>
          </w:sdtPr>
          <w:sdtContent>
            <w:tc>
              <w:tcPr>
                <w:tcW w:w="5089" w:type="dxa"/>
                <w:gridSpan w:val="4"/>
                <w:shd w:val="clear" w:color="auto" w:fill="FFFFFF"/>
                <w:vAlign w:val="center"/>
              </w:tcPr>
              <w:p w14:paraId="7556834C" w14:textId="77777777" w:rsidR="005E000F" w:rsidRDefault="00000000">
                <w:pPr>
                  <w:jc w:val="center"/>
                </w:pPr>
                <w:r>
                  <w:rPr>
                    <w:rFonts w:hint="eastAsia"/>
                  </w:rPr>
                  <w:t>本期变动</w:t>
                </w:r>
                <w:r>
                  <w:t>金额</w:t>
                </w:r>
              </w:p>
            </w:tc>
          </w:sdtContent>
        </w:sdt>
        <w:sdt>
          <w:sdtPr>
            <w:tag w:val="_PLD_670842119a0446778c0343318379e7bb"/>
            <w:id w:val="330336051"/>
          </w:sdtPr>
          <w:sdtContent>
            <w:tc>
              <w:tcPr>
                <w:tcW w:w="1241" w:type="dxa"/>
                <w:vMerge w:val="restart"/>
                <w:shd w:val="clear" w:color="auto" w:fill="FFFFFF"/>
                <w:vAlign w:val="center"/>
              </w:tcPr>
              <w:p w14:paraId="12F80322" w14:textId="77777777" w:rsidR="005E000F" w:rsidRDefault="00000000">
                <w:pPr>
                  <w:jc w:val="center"/>
                </w:pPr>
                <w:r>
                  <w:t>期末余额</w:t>
                </w:r>
              </w:p>
            </w:tc>
          </w:sdtContent>
        </w:sdt>
      </w:tr>
      <w:tr w:rsidR="005E000F" w14:paraId="1E19A07A" w14:textId="77777777">
        <w:tc>
          <w:tcPr>
            <w:tcW w:w="1090" w:type="dxa"/>
            <w:vMerge/>
            <w:shd w:val="clear" w:color="auto" w:fill="FFFFFF"/>
            <w:vAlign w:val="center"/>
          </w:tcPr>
          <w:p w14:paraId="5071B3CA" w14:textId="77777777" w:rsidR="005E000F" w:rsidRDefault="005E000F">
            <w:pPr>
              <w:jc w:val="center"/>
            </w:pPr>
          </w:p>
        </w:tc>
        <w:tc>
          <w:tcPr>
            <w:tcW w:w="1636" w:type="dxa"/>
            <w:vMerge/>
            <w:shd w:val="clear" w:color="auto" w:fill="FFFFFF"/>
            <w:vAlign w:val="center"/>
          </w:tcPr>
          <w:p w14:paraId="350B3BF4" w14:textId="77777777" w:rsidR="005E000F" w:rsidRDefault="005E000F">
            <w:pPr>
              <w:jc w:val="center"/>
            </w:pPr>
          </w:p>
        </w:tc>
        <w:sdt>
          <w:sdtPr>
            <w:tag w:val="_PLD_9f89b7b6eb974ea9b6438eecb96ab8d7"/>
            <w:id w:val="-74439043"/>
          </w:sdtPr>
          <w:sdtContent>
            <w:tc>
              <w:tcPr>
                <w:tcW w:w="1351" w:type="dxa"/>
                <w:shd w:val="clear" w:color="auto" w:fill="FFFFFF"/>
                <w:vAlign w:val="center"/>
              </w:tcPr>
              <w:p w14:paraId="0B07C4E1" w14:textId="77777777" w:rsidR="005E000F" w:rsidRDefault="00000000">
                <w:pPr>
                  <w:jc w:val="center"/>
                </w:pPr>
                <w:r>
                  <w:t>计提</w:t>
                </w:r>
              </w:p>
            </w:tc>
          </w:sdtContent>
        </w:sdt>
        <w:sdt>
          <w:sdtPr>
            <w:tag w:val="_PLD_d83025520e1c49cb905bac81a5fe67a9"/>
            <w:id w:val="-931279916"/>
          </w:sdtPr>
          <w:sdtContent>
            <w:tc>
              <w:tcPr>
                <w:tcW w:w="1244" w:type="dxa"/>
                <w:shd w:val="clear" w:color="auto" w:fill="FFFFFF"/>
                <w:vAlign w:val="center"/>
              </w:tcPr>
              <w:p w14:paraId="441898EC" w14:textId="77777777" w:rsidR="005E000F" w:rsidRDefault="00000000">
                <w:pPr>
                  <w:jc w:val="center"/>
                </w:pPr>
                <w:r>
                  <w:rPr>
                    <w:rFonts w:hint="eastAsia"/>
                  </w:rPr>
                  <w:t>收回或转回</w:t>
                </w:r>
              </w:p>
            </w:tc>
          </w:sdtContent>
        </w:sdt>
        <w:tc>
          <w:tcPr>
            <w:tcW w:w="1248" w:type="dxa"/>
            <w:shd w:val="clear" w:color="auto" w:fill="FFFFFF"/>
            <w:vAlign w:val="center"/>
          </w:tcPr>
          <w:sdt>
            <w:sdtPr>
              <w:tag w:val="_PLD_43341cdf094c434589f9f5a4eeb8fb4a"/>
              <w:id w:val="-126936159"/>
            </w:sdtPr>
            <w:sdtContent>
              <w:p w14:paraId="7EAF5D83" w14:textId="77777777" w:rsidR="005E000F" w:rsidRDefault="00000000">
                <w:pPr>
                  <w:jc w:val="center"/>
                </w:pPr>
                <w:r>
                  <w:rPr>
                    <w:rFonts w:hint="eastAsia"/>
                  </w:rPr>
                  <w:t>转销或核销</w:t>
                </w:r>
              </w:p>
            </w:sdtContent>
          </w:sdt>
        </w:tc>
        <w:tc>
          <w:tcPr>
            <w:tcW w:w="1246" w:type="dxa"/>
            <w:shd w:val="clear" w:color="auto" w:fill="FFFFFF"/>
            <w:vAlign w:val="center"/>
          </w:tcPr>
          <w:sdt>
            <w:sdtPr>
              <w:tag w:val="_PLD_4105509cd7cf412981897dd91879a014"/>
              <w:id w:val="1260487924"/>
            </w:sdtPr>
            <w:sdtContent>
              <w:p w14:paraId="28A36B3E" w14:textId="77777777" w:rsidR="005E000F" w:rsidRDefault="00000000">
                <w:pPr>
                  <w:jc w:val="center"/>
                </w:pPr>
                <w:r>
                  <w:rPr>
                    <w:rFonts w:hint="eastAsia"/>
                  </w:rPr>
                  <w:t>其他变动</w:t>
                </w:r>
              </w:p>
            </w:sdtContent>
          </w:sdt>
        </w:tc>
        <w:tc>
          <w:tcPr>
            <w:tcW w:w="1241" w:type="dxa"/>
            <w:vMerge/>
            <w:shd w:val="clear" w:color="auto" w:fill="FFFFFF"/>
            <w:vAlign w:val="center"/>
          </w:tcPr>
          <w:p w14:paraId="2055FEB8" w14:textId="77777777" w:rsidR="005E000F" w:rsidRDefault="005E000F">
            <w:pPr>
              <w:jc w:val="right"/>
            </w:pPr>
          </w:p>
        </w:tc>
      </w:tr>
      <w:tr w:rsidR="005E000F" w14:paraId="414182FB" w14:textId="77777777">
        <w:tc>
          <w:tcPr>
            <w:tcW w:w="1090" w:type="dxa"/>
            <w:vAlign w:val="center"/>
          </w:tcPr>
          <w:p w14:paraId="582E34AC" w14:textId="77777777" w:rsidR="005E000F" w:rsidRDefault="00000000">
            <w:r>
              <w:lastRenderedPageBreak/>
              <w:t>坏账准备</w:t>
            </w:r>
          </w:p>
        </w:tc>
        <w:tc>
          <w:tcPr>
            <w:tcW w:w="1636" w:type="dxa"/>
            <w:vAlign w:val="center"/>
          </w:tcPr>
          <w:p w14:paraId="7FA787D7" w14:textId="77777777" w:rsidR="005E000F" w:rsidRDefault="00000000">
            <w:pPr>
              <w:jc w:val="right"/>
            </w:pPr>
            <w:r>
              <w:t>124,699,532</w:t>
            </w:r>
          </w:p>
        </w:tc>
        <w:tc>
          <w:tcPr>
            <w:tcW w:w="1351" w:type="dxa"/>
            <w:vAlign w:val="center"/>
          </w:tcPr>
          <w:p w14:paraId="59134FBF" w14:textId="77777777" w:rsidR="005E000F" w:rsidRDefault="00000000">
            <w:pPr>
              <w:jc w:val="right"/>
            </w:pPr>
            <w:r>
              <w:rPr>
                <w:rFonts w:hint="eastAsia"/>
              </w:rPr>
              <w:t>8,433,484</w:t>
            </w:r>
          </w:p>
        </w:tc>
        <w:tc>
          <w:tcPr>
            <w:tcW w:w="1244" w:type="dxa"/>
            <w:vAlign w:val="center"/>
          </w:tcPr>
          <w:p w14:paraId="54E729FA" w14:textId="77777777" w:rsidR="005E000F" w:rsidRDefault="00000000">
            <w:pPr>
              <w:jc w:val="right"/>
            </w:pPr>
            <w:r>
              <w:rPr>
                <w:rFonts w:hint="eastAsia"/>
              </w:rPr>
              <w:t>61,906,003</w:t>
            </w:r>
          </w:p>
        </w:tc>
        <w:tc>
          <w:tcPr>
            <w:tcW w:w="1248" w:type="dxa"/>
            <w:vAlign w:val="center"/>
          </w:tcPr>
          <w:p w14:paraId="4342429F" w14:textId="77777777" w:rsidR="005E000F" w:rsidRDefault="00000000">
            <w:pPr>
              <w:jc w:val="right"/>
            </w:pPr>
            <w:r>
              <w:rPr>
                <w:rFonts w:hint="eastAsia"/>
              </w:rPr>
              <w:t>0</w:t>
            </w:r>
          </w:p>
        </w:tc>
        <w:tc>
          <w:tcPr>
            <w:tcW w:w="1246" w:type="dxa"/>
            <w:vAlign w:val="center"/>
          </w:tcPr>
          <w:p w14:paraId="6002AFB1" w14:textId="77777777" w:rsidR="005E000F" w:rsidRDefault="00000000">
            <w:pPr>
              <w:jc w:val="right"/>
            </w:pPr>
            <w:r>
              <w:rPr>
                <w:rFonts w:hint="eastAsia"/>
              </w:rPr>
              <w:t>0</w:t>
            </w:r>
          </w:p>
        </w:tc>
        <w:tc>
          <w:tcPr>
            <w:tcW w:w="1241" w:type="dxa"/>
            <w:vAlign w:val="center"/>
          </w:tcPr>
          <w:p w14:paraId="621B02A6" w14:textId="77777777" w:rsidR="005E000F" w:rsidRDefault="00000000">
            <w:pPr>
              <w:jc w:val="right"/>
            </w:pPr>
            <w:r>
              <w:rPr>
                <w:rFonts w:hint="eastAsia"/>
              </w:rPr>
              <w:t>71,227,013</w:t>
            </w:r>
          </w:p>
        </w:tc>
      </w:tr>
      <w:tr w:rsidR="005E000F" w14:paraId="65EAC3A9" w14:textId="77777777">
        <w:tc>
          <w:tcPr>
            <w:tcW w:w="1090" w:type="dxa"/>
            <w:vAlign w:val="center"/>
          </w:tcPr>
          <w:p w14:paraId="094AA783" w14:textId="77777777" w:rsidR="005E000F" w:rsidRDefault="00000000">
            <w:pPr>
              <w:jc w:val="center"/>
            </w:pPr>
            <w:r>
              <w:rPr>
                <w:rFonts w:hint="eastAsia"/>
              </w:rPr>
              <w:t>合计</w:t>
            </w:r>
          </w:p>
        </w:tc>
        <w:tc>
          <w:tcPr>
            <w:tcW w:w="1636" w:type="dxa"/>
            <w:vAlign w:val="center"/>
          </w:tcPr>
          <w:p w14:paraId="1008F547" w14:textId="77777777" w:rsidR="005E000F" w:rsidRDefault="00000000">
            <w:pPr>
              <w:jc w:val="right"/>
            </w:pPr>
            <w:r>
              <w:t>124,699,532</w:t>
            </w:r>
          </w:p>
        </w:tc>
        <w:tc>
          <w:tcPr>
            <w:tcW w:w="1351" w:type="dxa"/>
            <w:vAlign w:val="center"/>
          </w:tcPr>
          <w:p w14:paraId="42B67079" w14:textId="77777777" w:rsidR="005E000F" w:rsidRDefault="00000000">
            <w:pPr>
              <w:jc w:val="right"/>
            </w:pPr>
            <w:r>
              <w:rPr>
                <w:rFonts w:hint="eastAsia"/>
              </w:rPr>
              <w:t>8,433,484</w:t>
            </w:r>
          </w:p>
        </w:tc>
        <w:tc>
          <w:tcPr>
            <w:tcW w:w="1244" w:type="dxa"/>
            <w:vAlign w:val="center"/>
          </w:tcPr>
          <w:p w14:paraId="6C0596F7" w14:textId="77777777" w:rsidR="005E000F" w:rsidRDefault="00000000">
            <w:pPr>
              <w:jc w:val="right"/>
            </w:pPr>
            <w:r>
              <w:rPr>
                <w:rFonts w:hint="eastAsia"/>
              </w:rPr>
              <w:t>61,906,003</w:t>
            </w:r>
          </w:p>
        </w:tc>
        <w:tc>
          <w:tcPr>
            <w:tcW w:w="1248" w:type="dxa"/>
            <w:vAlign w:val="center"/>
          </w:tcPr>
          <w:p w14:paraId="2D7D66BC" w14:textId="77777777" w:rsidR="005E000F" w:rsidRDefault="00000000">
            <w:pPr>
              <w:jc w:val="right"/>
            </w:pPr>
            <w:r>
              <w:rPr>
                <w:rFonts w:hint="eastAsia"/>
              </w:rPr>
              <w:t>0</w:t>
            </w:r>
          </w:p>
        </w:tc>
        <w:tc>
          <w:tcPr>
            <w:tcW w:w="1246" w:type="dxa"/>
            <w:vAlign w:val="center"/>
          </w:tcPr>
          <w:p w14:paraId="3EDB0E71" w14:textId="77777777" w:rsidR="005E000F" w:rsidRDefault="00000000">
            <w:pPr>
              <w:jc w:val="right"/>
            </w:pPr>
            <w:r>
              <w:rPr>
                <w:rFonts w:hint="eastAsia"/>
              </w:rPr>
              <w:t>0</w:t>
            </w:r>
          </w:p>
        </w:tc>
        <w:tc>
          <w:tcPr>
            <w:tcW w:w="1241" w:type="dxa"/>
            <w:vAlign w:val="center"/>
          </w:tcPr>
          <w:p w14:paraId="74C5DE36" w14:textId="77777777" w:rsidR="005E000F" w:rsidRDefault="00000000">
            <w:pPr>
              <w:jc w:val="right"/>
            </w:pPr>
            <w:r>
              <w:rPr>
                <w:rFonts w:hint="eastAsia"/>
              </w:rPr>
              <w:t>71,227,013</w:t>
            </w:r>
          </w:p>
        </w:tc>
      </w:tr>
    </w:tbl>
    <w:p w14:paraId="7A6128F2" w14:textId="77777777" w:rsidR="005E000F" w:rsidRDefault="005E000F"/>
    <w:p w14:paraId="7C6CC418" w14:textId="77777777" w:rsidR="005E000F" w:rsidRDefault="00000000">
      <w:r>
        <w:rPr>
          <w:rFonts w:hint="eastAsia"/>
        </w:rPr>
        <w:t>其中本期坏账准备收回或转回金额重要的：</w:t>
      </w:r>
    </w:p>
    <w:sdt>
      <w:sdtPr>
        <w:alias w:val="是否适用：其中本期坏账准备收回或转回金额重要的[双击切换]"/>
        <w:tag w:val="_GBC_6da74212535e450f9d1465f00dddd00b"/>
        <w:id w:val="249011415"/>
        <w:placeholder>
          <w:docPart w:val="GBC22222222222222222222222222222"/>
        </w:placeholder>
      </w:sdtPr>
      <w:sdtContent>
        <w:p w14:paraId="73ABDA68"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2E6B434" w14:textId="77777777" w:rsidR="005E000F" w:rsidRDefault="005E000F"/>
    <w:p w14:paraId="079C0270" w14:textId="77777777" w:rsidR="005E000F" w:rsidRDefault="00000000">
      <w:r>
        <w:rPr>
          <w:rFonts w:hint="eastAsia"/>
        </w:rPr>
        <w:t>其他说明：</w:t>
      </w:r>
    </w:p>
    <w:sdt>
      <w:sdtPr>
        <w:alias w:val="应收账款坏账准备情况的说明"/>
        <w:tag w:val="_GBC_497841b0d4bf4697928b74836200c0fa"/>
        <w:id w:val="1660501096"/>
        <w:placeholder>
          <w:docPart w:val="GBC22222222222222222222222222222"/>
        </w:placeholder>
      </w:sdtPr>
      <w:sdtContent>
        <w:p w14:paraId="07164A79" w14:textId="77777777" w:rsidR="005E000F" w:rsidRDefault="00000000">
          <w:pPr>
            <w:ind w:rightChars="20" w:right="42"/>
          </w:pPr>
          <w:r>
            <w:rPr>
              <w:rFonts w:hint="eastAsia"/>
            </w:rPr>
            <w:t>无</w:t>
          </w:r>
        </w:p>
      </w:sdtContent>
    </w:sdt>
    <w:p w14:paraId="7D33B7E1" w14:textId="77777777" w:rsidR="005E000F" w:rsidRDefault="005E000F">
      <w:pPr>
        <w:ind w:rightChars="-759" w:right="-1594"/>
      </w:pPr>
    </w:p>
    <w:p w14:paraId="44222E38" w14:textId="77777777" w:rsidR="005E000F" w:rsidRDefault="00000000">
      <w:pPr>
        <w:pStyle w:val="4"/>
        <w:numPr>
          <w:ilvl w:val="3"/>
          <w:numId w:val="68"/>
        </w:numPr>
        <w:ind w:left="426" w:hanging="426"/>
      </w:pPr>
      <w:r>
        <w:t>本期实际核销的应收</w:t>
      </w:r>
      <w:r>
        <w:rPr>
          <w:rFonts w:hint="eastAsia"/>
        </w:rPr>
        <w:t>账款</w:t>
      </w:r>
      <w:r>
        <w:t>情况</w:t>
      </w:r>
    </w:p>
    <w:sdt>
      <w:sdtPr>
        <w:alias w:val="是否适用：本期实际核销的应收账款情况[双击切换]"/>
        <w:tag w:val="_GBC_a6ff40b990b34b00968a4938eac82a74"/>
        <w:id w:val="-1554003517"/>
        <w:placeholder>
          <w:docPart w:val="GBC22222222222222222222222222222"/>
        </w:placeholder>
      </w:sdtPr>
      <w:sdtContent>
        <w:p w14:paraId="6E54015E"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7C569FD" w14:textId="77777777" w:rsidR="005E000F" w:rsidRDefault="005E000F"/>
    <w:p w14:paraId="5B7FC5AE" w14:textId="77777777" w:rsidR="005E000F" w:rsidRDefault="00000000">
      <w:r>
        <w:rPr>
          <w:rFonts w:hint="eastAsia"/>
        </w:rPr>
        <w:t>其中重要的应收账款核销情况</w:t>
      </w:r>
    </w:p>
    <w:sdt>
      <w:sdtPr>
        <w:alias w:val="是否适用：其中重要的应收账款核销情况[双击切换]"/>
        <w:tag w:val="_GBC_3c12c3e5b4fd4acda2beb7a5cacacd97"/>
        <w:id w:val="1733586115"/>
        <w:placeholder>
          <w:docPart w:val="GBC22222222222222222222222222222"/>
        </w:placeholder>
      </w:sdtPr>
      <w:sdtContent>
        <w:p w14:paraId="4FCF9BF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A9E76CB" w14:textId="77777777" w:rsidR="005E000F" w:rsidRDefault="005E000F"/>
    <w:p w14:paraId="5C402874" w14:textId="77777777" w:rsidR="005E000F" w:rsidRDefault="00000000">
      <w:pPr>
        <w:snapToGrid w:val="0"/>
        <w:spacing w:line="240" w:lineRule="atLeast"/>
      </w:pPr>
      <w:r>
        <w:rPr>
          <w:rFonts w:hint="eastAsia"/>
        </w:rPr>
        <w:t>应收账款核销说明：</w:t>
      </w:r>
    </w:p>
    <w:sdt>
      <w:sdtPr>
        <w:alias w:val="是否适用：应收账款核销说明[双击切换]"/>
        <w:tag w:val="_GBC_e00d0b458c1b4b5f99d670e3f2a2b2e2"/>
        <w:id w:val="-1629459696"/>
        <w:placeholder>
          <w:docPart w:val="GBC22222222222222222222222222222"/>
        </w:placeholder>
      </w:sdtPr>
      <w:sdtContent>
        <w:p w14:paraId="245CDAC3"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411E8B" w14:textId="77777777" w:rsidR="005E000F" w:rsidRDefault="005E000F"/>
    <w:p w14:paraId="723D7AB5" w14:textId="77777777" w:rsidR="005E000F" w:rsidRDefault="00000000">
      <w:pPr>
        <w:pStyle w:val="4"/>
        <w:numPr>
          <w:ilvl w:val="3"/>
          <w:numId w:val="68"/>
        </w:numPr>
        <w:ind w:left="426" w:hanging="426"/>
      </w:pPr>
      <w:r>
        <w:rPr>
          <w:rFonts w:hint="eastAsia"/>
        </w:rPr>
        <w:t>按欠款方归集的期末余额前五名的应收账款和合同资产情况</w:t>
      </w:r>
    </w:p>
    <w:sdt>
      <w:sdtPr>
        <w:rPr>
          <w:rFonts w:hint="eastAsia"/>
        </w:rPr>
        <w:alias w:val="是否适用：按欠款方归集的期末余额前五名的应收账款情况[双击切换]"/>
        <w:tag w:val="_GBC_384d0a1c7eac41bb9693117cbe9c7e5b"/>
        <w:id w:val="-668635835"/>
        <w:placeholder>
          <w:docPart w:val="GBC22222222222222222222222222222"/>
        </w:placeholder>
      </w:sdtPr>
      <w:sdtContent>
        <w:p w14:paraId="3B996525" w14:textId="77777777" w:rsidR="005E000F" w:rsidRDefault="0000000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6CA0BCB" w14:textId="77777777" w:rsidR="005E000F" w:rsidRDefault="00000000">
      <w:pPr>
        <w:snapToGrid w:val="0"/>
        <w:spacing w:line="240" w:lineRule="atLeast"/>
        <w:jc w:val="right"/>
      </w:pPr>
      <w:r>
        <w:rPr>
          <w:rFonts w:hint="eastAsia"/>
        </w:rPr>
        <w:t>单位：</w:t>
      </w:r>
      <w:sdt>
        <w:sdtPr>
          <w:alias w:val="单位：财务附注：应收账款前五名欠款情况"/>
          <w:tag w:val="_GBC_95040abe54a0489f8b830082545a50f5"/>
          <w:id w:val="1290869232"/>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rPr>
          <w:rFonts w:hint="eastAsia"/>
        </w:rPr>
        <w:t xml:space="preserve">  </w:t>
      </w:r>
      <w:r>
        <w:rPr>
          <w:rFonts w:hint="eastAsia"/>
        </w:rPr>
        <w:t>币种：</w:t>
      </w:r>
      <w:sdt>
        <w:sdtPr>
          <w:rPr>
            <w:rFonts w:hint="eastAsia"/>
          </w:rPr>
          <w:alias w:val="币种：财务附注：应收账款前五名欠款情况"/>
          <w:tag w:val="_GBC_2e7ff062f76c406d86d744597244f24c"/>
          <w:id w:val="18160576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7"/>
      </w:tblGrid>
      <w:tr w:rsidR="005E000F" w14:paraId="64D1A813" w14:textId="77777777">
        <w:trPr>
          <w:cantSplit/>
        </w:trPr>
        <w:sdt>
          <w:sdtPr>
            <w:tag w:val="_PLD_393da722a1e6440ebfe654baf23b690e"/>
            <w:id w:val="1361250530"/>
          </w:sdtPr>
          <w:sdtContent>
            <w:tc>
              <w:tcPr>
                <w:tcW w:w="1507" w:type="dxa"/>
                <w:vAlign w:val="center"/>
              </w:tcPr>
              <w:p w14:paraId="10332BF0" w14:textId="77777777" w:rsidR="005E000F" w:rsidRDefault="00000000">
                <w:pPr>
                  <w:ind w:right="105"/>
                  <w:jc w:val="center"/>
                </w:pPr>
                <w:r>
                  <w:rPr>
                    <w:rFonts w:hint="eastAsia"/>
                  </w:rPr>
                  <w:t>单位名称</w:t>
                </w:r>
              </w:p>
            </w:tc>
          </w:sdtContent>
        </w:sdt>
        <w:sdt>
          <w:sdtPr>
            <w:tag w:val="_PLD_e14b89c8ccbc4e1fbb83ed437d4f7c27"/>
            <w:id w:val="114407597"/>
          </w:sdtPr>
          <w:sdtContent>
            <w:tc>
              <w:tcPr>
                <w:tcW w:w="1507" w:type="dxa"/>
                <w:vAlign w:val="center"/>
              </w:tcPr>
              <w:p w14:paraId="16294AB7" w14:textId="77777777" w:rsidR="005E000F" w:rsidRDefault="00000000">
                <w:pPr>
                  <w:ind w:right="73"/>
                  <w:jc w:val="center"/>
                </w:pPr>
                <w:r>
                  <w:rPr>
                    <w:rFonts w:hint="eastAsia"/>
                  </w:rPr>
                  <w:t>应收账款期末余额</w:t>
                </w:r>
              </w:p>
            </w:tc>
          </w:sdtContent>
        </w:sdt>
        <w:sdt>
          <w:sdtPr>
            <w:tag w:val="_PLD_9e781bfbeaa241238adba8f92d150259"/>
            <w:id w:val="447669370"/>
          </w:sdtPr>
          <w:sdtContent>
            <w:tc>
              <w:tcPr>
                <w:tcW w:w="1507" w:type="dxa"/>
                <w:vAlign w:val="center"/>
              </w:tcPr>
              <w:p w14:paraId="49240E9E" w14:textId="77777777" w:rsidR="005E000F" w:rsidRDefault="00000000">
                <w:pPr>
                  <w:jc w:val="center"/>
                </w:pPr>
                <w:r>
                  <w:rPr>
                    <w:rFonts w:hint="eastAsia"/>
                  </w:rPr>
                  <w:t>合同资产期末余额</w:t>
                </w:r>
              </w:p>
            </w:tc>
          </w:sdtContent>
        </w:sdt>
        <w:sdt>
          <w:sdtPr>
            <w:tag w:val="_PLD_666c0ccb3f21467e9e36a3c674bf8485"/>
            <w:id w:val="-1712797747"/>
          </w:sdtPr>
          <w:sdtContent>
            <w:tc>
              <w:tcPr>
                <w:tcW w:w="1507" w:type="dxa"/>
                <w:vAlign w:val="center"/>
              </w:tcPr>
              <w:p w14:paraId="0751AFD3" w14:textId="77777777" w:rsidR="005E000F" w:rsidRDefault="00000000">
                <w:pPr>
                  <w:jc w:val="center"/>
                </w:pPr>
                <w:r>
                  <w:rPr>
                    <w:rFonts w:hint="eastAsia"/>
                  </w:rPr>
                  <w:t>应收账款和合同资产期末余额</w:t>
                </w:r>
              </w:p>
            </w:tc>
          </w:sdtContent>
        </w:sdt>
        <w:sdt>
          <w:sdtPr>
            <w:tag w:val="_PLD_8b734501e3a344dda6644cb9d228c237"/>
            <w:id w:val="1753848690"/>
          </w:sdtPr>
          <w:sdtContent>
            <w:tc>
              <w:tcPr>
                <w:tcW w:w="1507" w:type="dxa"/>
                <w:vAlign w:val="center"/>
              </w:tcPr>
              <w:p w14:paraId="63D2DEC2" w14:textId="77777777" w:rsidR="005E000F" w:rsidRDefault="00000000">
                <w:pPr>
                  <w:jc w:val="center"/>
                </w:pPr>
                <w:r>
                  <w:rPr>
                    <w:rFonts w:hint="eastAsia"/>
                  </w:rPr>
                  <w:t>占应收账款和合同资产期末余额合计数的比例（</w:t>
                </w:r>
                <w:r>
                  <w:rPr>
                    <w:rFonts w:hint="eastAsia"/>
                  </w:rPr>
                  <w:t>%</w:t>
                </w:r>
                <w:r>
                  <w:rPr>
                    <w:rFonts w:hint="eastAsia"/>
                  </w:rPr>
                  <w:t>）</w:t>
                </w:r>
              </w:p>
            </w:tc>
          </w:sdtContent>
        </w:sdt>
        <w:sdt>
          <w:sdtPr>
            <w:tag w:val="_PLD_e198f1b6108c4fccacfc45ea46e8ff41"/>
            <w:id w:val="-679818316"/>
          </w:sdtPr>
          <w:sdtContent>
            <w:tc>
              <w:tcPr>
                <w:tcW w:w="1507" w:type="dxa"/>
                <w:vAlign w:val="center"/>
              </w:tcPr>
              <w:p w14:paraId="2BB89FA8" w14:textId="77777777" w:rsidR="005E000F" w:rsidRDefault="00000000">
                <w:pPr>
                  <w:jc w:val="center"/>
                </w:pPr>
                <w:r>
                  <w:rPr>
                    <w:rFonts w:hint="eastAsia"/>
                  </w:rPr>
                  <w:t>坏账准备期末余额</w:t>
                </w:r>
              </w:p>
            </w:tc>
          </w:sdtContent>
        </w:sdt>
      </w:tr>
      <w:tr w:rsidR="005E000F" w14:paraId="4653E961" w14:textId="77777777">
        <w:trPr>
          <w:cantSplit/>
        </w:trPr>
        <w:tc>
          <w:tcPr>
            <w:tcW w:w="1507" w:type="dxa"/>
          </w:tcPr>
          <w:p w14:paraId="5A29DC02" w14:textId="77777777" w:rsidR="005E000F" w:rsidRDefault="00000000">
            <w:pPr>
              <w:ind w:right="105"/>
            </w:pPr>
            <w:r>
              <w:rPr>
                <w:rFonts w:hint="eastAsia"/>
              </w:rPr>
              <w:t>余额前五名的应收账款总额</w:t>
            </w:r>
          </w:p>
        </w:tc>
        <w:tc>
          <w:tcPr>
            <w:tcW w:w="1507" w:type="dxa"/>
            <w:vAlign w:val="center"/>
          </w:tcPr>
          <w:p w14:paraId="12EA2347" w14:textId="77777777" w:rsidR="005E000F" w:rsidRDefault="00000000">
            <w:pPr>
              <w:ind w:right="73"/>
              <w:jc w:val="right"/>
            </w:pPr>
            <w:r>
              <w:rPr>
                <w:rFonts w:hint="eastAsia"/>
              </w:rPr>
              <w:t>2,954,839,703</w:t>
            </w:r>
          </w:p>
        </w:tc>
        <w:tc>
          <w:tcPr>
            <w:tcW w:w="1507" w:type="dxa"/>
            <w:vAlign w:val="center"/>
          </w:tcPr>
          <w:p w14:paraId="3B581982" w14:textId="77777777" w:rsidR="005E000F" w:rsidRDefault="00000000">
            <w:pPr>
              <w:ind w:right="73"/>
              <w:jc w:val="right"/>
            </w:pPr>
            <w:r>
              <w:rPr>
                <w:rFonts w:hint="eastAsia"/>
              </w:rPr>
              <w:t>0</w:t>
            </w:r>
          </w:p>
        </w:tc>
        <w:tc>
          <w:tcPr>
            <w:tcW w:w="1507" w:type="dxa"/>
            <w:vAlign w:val="center"/>
          </w:tcPr>
          <w:p w14:paraId="3DD76B57" w14:textId="77777777" w:rsidR="005E000F" w:rsidRDefault="00000000">
            <w:pPr>
              <w:ind w:right="73"/>
              <w:jc w:val="right"/>
            </w:pPr>
            <w:r>
              <w:rPr>
                <w:rFonts w:hint="eastAsia"/>
              </w:rPr>
              <w:t>2,954,839,703</w:t>
            </w:r>
          </w:p>
        </w:tc>
        <w:tc>
          <w:tcPr>
            <w:tcW w:w="1507" w:type="dxa"/>
            <w:vAlign w:val="center"/>
          </w:tcPr>
          <w:p w14:paraId="0C3DBDA7" w14:textId="77777777" w:rsidR="005E000F" w:rsidRDefault="00000000">
            <w:pPr>
              <w:ind w:right="73"/>
              <w:jc w:val="right"/>
            </w:pPr>
            <w:r>
              <w:t>70</w:t>
            </w:r>
          </w:p>
        </w:tc>
        <w:tc>
          <w:tcPr>
            <w:tcW w:w="1507" w:type="dxa"/>
            <w:vAlign w:val="center"/>
          </w:tcPr>
          <w:p w14:paraId="37A1695D" w14:textId="77777777" w:rsidR="005E000F" w:rsidRDefault="00000000">
            <w:pPr>
              <w:ind w:right="73"/>
              <w:jc w:val="right"/>
            </w:pPr>
            <w:r>
              <w:rPr>
                <w:rFonts w:hint="eastAsia"/>
              </w:rPr>
              <w:t>55,567,218</w:t>
            </w:r>
          </w:p>
        </w:tc>
      </w:tr>
      <w:tr w:rsidR="005E000F" w14:paraId="6F2CD7E9" w14:textId="77777777">
        <w:trPr>
          <w:cantSplit/>
        </w:trPr>
        <w:tc>
          <w:tcPr>
            <w:tcW w:w="1507" w:type="dxa"/>
            <w:vAlign w:val="center"/>
          </w:tcPr>
          <w:p w14:paraId="1C2D0ADA" w14:textId="77777777" w:rsidR="005E000F" w:rsidRDefault="00000000">
            <w:pPr>
              <w:ind w:right="105"/>
              <w:jc w:val="center"/>
            </w:pPr>
            <w:r>
              <w:rPr>
                <w:rFonts w:hint="eastAsia"/>
              </w:rPr>
              <w:t>合计</w:t>
            </w:r>
          </w:p>
        </w:tc>
        <w:tc>
          <w:tcPr>
            <w:tcW w:w="1507" w:type="dxa"/>
            <w:vAlign w:val="center"/>
          </w:tcPr>
          <w:p w14:paraId="07061428" w14:textId="77777777" w:rsidR="005E000F" w:rsidRDefault="00000000">
            <w:pPr>
              <w:ind w:right="73"/>
              <w:jc w:val="right"/>
            </w:pPr>
            <w:r>
              <w:rPr>
                <w:rFonts w:hint="eastAsia"/>
              </w:rPr>
              <w:t>2,954,839,703</w:t>
            </w:r>
          </w:p>
        </w:tc>
        <w:tc>
          <w:tcPr>
            <w:tcW w:w="1507" w:type="dxa"/>
            <w:vAlign w:val="center"/>
          </w:tcPr>
          <w:p w14:paraId="0F3FF689" w14:textId="77777777" w:rsidR="005E000F" w:rsidRDefault="00000000">
            <w:pPr>
              <w:ind w:right="73"/>
              <w:jc w:val="right"/>
            </w:pPr>
            <w:r>
              <w:rPr>
                <w:rFonts w:hint="eastAsia"/>
              </w:rPr>
              <w:t>0</w:t>
            </w:r>
          </w:p>
        </w:tc>
        <w:tc>
          <w:tcPr>
            <w:tcW w:w="1507" w:type="dxa"/>
            <w:vAlign w:val="center"/>
          </w:tcPr>
          <w:p w14:paraId="23E19B7F" w14:textId="77777777" w:rsidR="005E000F" w:rsidRDefault="00000000">
            <w:pPr>
              <w:ind w:right="73"/>
              <w:jc w:val="right"/>
            </w:pPr>
            <w:r>
              <w:rPr>
                <w:rFonts w:hint="eastAsia"/>
              </w:rPr>
              <w:t>2,954,839,703</w:t>
            </w:r>
          </w:p>
        </w:tc>
        <w:tc>
          <w:tcPr>
            <w:tcW w:w="1507" w:type="dxa"/>
            <w:vAlign w:val="center"/>
          </w:tcPr>
          <w:p w14:paraId="211713AE" w14:textId="77777777" w:rsidR="005E000F" w:rsidRDefault="00000000">
            <w:pPr>
              <w:ind w:right="73"/>
              <w:jc w:val="right"/>
            </w:pPr>
            <w:r>
              <w:t>70</w:t>
            </w:r>
          </w:p>
        </w:tc>
        <w:tc>
          <w:tcPr>
            <w:tcW w:w="1507" w:type="dxa"/>
            <w:vAlign w:val="center"/>
          </w:tcPr>
          <w:p w14:paraId="0D5ACB10" w14:textId="77777777" w:rsidR="005E000F" w:rsidRDefault="00000000">
            <w:pPr>
              <w:ind w:right="73"/>
              <w:jc w:val="right"/>
            </w:pPr>
            <w:r>
              <w:rPr>
                <w:rFonts w:hint="eastAsia"/>
              </w:rPr>
              <w:t>55,567,218</w:t>
            </w:r>
          </w:p>
        </w:tc>
      </w:tr>
    </w:tbl>
    <w:p w14:paraId="26640134" w14:textId="77777777" w:rsidR="005E000F" w:rsidRDefault="005E000F"/>
    <w:p w14:paraId="658EEF98" w14:textId="77777777" w:rsidR="005E000F" w:rsidRDefault="00000000">
      <w:pPr>
        <w:snapToGrid w:val="0"/>
        <w:spacing w:line="240" w:lineRule="atLeast"/>
      </w:pPr>
      <w:r>
        <w:rPr>
          <w:rFonts w:hint="eastAsia"/>
        </w:rPr>
        <w:t>其他说明：</w:t>
      </w:r>
    </w:p>
    <w:sdt>
      <w:sdtPr>
        <w:alias w:val="按欠款方归集的期末余额前五名的应收账款情况的说明"/>
        <w:tag w:val="_GBC_c00993263f034b6b95498635f166760d"/>
        <w:id w:val="240838338"/>
        <w:placeholder>
          <w:docPart w:val="GBC22222222222222222222222222222"/>
        </w:placeholder>
      </w:sdtPr>
      <w:sdtContent>
        <w:p w14:paraId="378A93E7" w14:textId="77777777" w:rsidR="005E000F" w:rsidRDefault="00000000">
          <w:pPr>
            <w:snapToGrid w:val="0"/>
            <w:spacing w:line="240" w:lineRule="atLeast"/>
          </w:pPr>
          <w:r>
            <w:rPr>
              <w:rFonts w:hint="eastAsia"/>
            </w:rPr>
            <w:t>无</w:t>
          </w:r>
        </w:p>
      </w:sdtContent>
    </w:sdt>
    <w:p w14:paraId="5A58DE28" w14:textId="77777777" w:rsidR="005E000F" w:rsidRDefault="005E000F">
      <w:pPr>
        <w:snapToGrid w:val="0"/>
        <w:spacing w:line="240" w:lineRule="atLeast"/>
      </w:pPr>
    </w:p>
    <w:p w14:paraId="1E4F8B2F" w14:textId="77777777" w:rsidR="005E000F" w:rsidRDefault="00000000">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373347342"/>
        <w:placeholder>
          <w:docPart w:val="GBC22222222222222222222222222222"/>
        </w:placeholder>
      </w:sdtPr>
      <w:sdtContent>
        <w:p w14:paraId="6C9B5E11"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F74A3C5" w14:textId="77777777" w:rsidR="005E000F" w:rsidRDefault="005E000F"/>
    <w:p w14:paraId="58BB7E21" w14:textId="77777777" w:rsidR="005E000F" w:rsidRDefault="00000000">
      <w:pPr>
        <w:pStyle w:val="3"/>
        <w:numPr>
          <w:ilvl w:val="0"/>
          <w:numId w:val="66"/>
        </w:numPr>
        <w:tabs>
          <w:tab w:val="left" w:pos="504"/>
        </w:tabs>
      </w:pPr>
      <w:bookmarkStart w:id="277" w:name="_Hlk533409560"/>
      <w:r>
        <w:rPr>
          <w:rFonts w:hint="eastAsia"/>
        </w:rPr>
        <w:t>合同资产</w:t>
      </w:r>
    </w:p>
    <w:p w14:paraId="2BE28F5B" w14:textId="77777777" w:rsidR="005E000F" w:rsidRDefault="00000000">
      <w:pPr>
        <w:pStyle w:val="4"/>
        <w:numPr>
          <w:ilvl w:val="3"/>
          <w:numId w:val="69"/>
        </w:numPr>
        <w:ind w:left="426" w:hanging="426"/>
      </w:pPr>
      <w:bookmarkStart w:id="278" w:name="_Hlk532992678"/>
      <w:r>
        <w:rPr>
          <w:rFonts w:hint="eastAsia"/>
        </w:rPr>
        <w:t>合同资产情况</w:t>
      </w:r>
    </w:p>
    <w:sdt>
      <w:sdtPr>
        <w:alias w:val="是否适用：合同资产情况[双击切换]"/>
        <w:tag w:val="_GBC_71da29cd2c0f4ec4a2849d6760e0ec90"/>
        <w:id w:val="1301650064"/>
        <w:placeholder>
          <w:docPart w:val="GBC22222222222222222222222222222"/>
        </w:placeholder>
      </w:sdtPr>
      <w:sdtContent>
        <w:p w14:paraId="2DA267F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A7AE9EF" w14:textId="77777777" w:rsidR="005E000F" w:rsidRDefault="005E000F"/>
    <w:p w14:paraId="686D5E0C" w14:textId="77777777" w:rsidR="005E000F" w:rsidRDefault="00000000">
      <w:pPr>
        <w:pStyle w:val="4"/>
        <w:numPr>
          <w:ilvl w:val="3"/>
          <w:numId w:val="69"/>
        </w:numPr>
        <w:ind w:left="426" w:hanging="426"/>
      </w:pPr>
      <w:bookmarkStart w:id="279" w:name="_Hlk532993169"/>
      <w:bookmarkEnd w:id="277"/>
      <w:bookmarkEnd w:id="278"/>
      <w:r>
        <w:rPr>
          <w:rFonts w:hint="eastAsia"/>
        </w:rPr>
        <w:t>报告期内账面价值发生重大变动的金额和原因</w:t>
      </w:r>
    </w:p>
    <w:sdt>
      <w:sdtPr>
        <w:alias w:val="是否适用：合同资产账面价值发生重大变动[双击切换]"/>
        <w:tag w:val="_GBC_d707053a57f34cbab810279b617bfcc7"/>
        <w:id w:val="-785965428"/>
        <w:placeholder>
          <w:docPart w:val="GBC22222222222222222222222222222"/>
        </w:placeholder>
      </w:sdtPr>
      <w:sdtContent>
        <w:p w14:paraId="46BDE59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E1E065B" w14:textId="77777777" w:rsidR="005E000F" w:rsidRDefault="005E000F"/>
    <w:p w14:paraId="60E6C0DA" w14:textId="77777777" w:rsidR="005E000F" w:rsidRDefault="00000000">
      <w:pPr>
        <w:pStyle w:val="4"/>
        <w:numPr>
          <w:ilvl w:val="3"/>
          <w:numId w:val="69"/>
        </w:numPr>
        <w:ind w:left="426" w:hanging="426"/>
        <w:rPr>
          <w:rFonts w:ascii="宋体" w:eastAsia="宋体" w:hAnsi="宋体" w:cs="宋体"/>
          <w:kern w:val="0"/>
          <w:szCs w:val="24"/>
        </w:rPr>
      </w:pPr>
      <w:bookmarkStart w:id="280" w:name="_Hlk153378989"/>
      <w:r>
        <w:rPr>
          <w:rFonts w:ascii="宋体" w:eastAsia="宋体" w:hAnsi="宋体" w:cs="宋体" w:hint="eastAsia"/>
          <w:kern w:val="0"/>
          <w:szCs w:val="24"/>
        </w:rPr>
        <w:t>按</w:t>
      </w:r>
      <w:r>
        <w:rPr>
          <w:rFonts w:ascii="宋体" w:eastAsia="宋体" w:hAnsi="宋体" w:cs="宋体"/>
          <w:kern w:val="0"/>
          <w:szCs w:val="24"/>
        </w:rPr>
        <w:t>坏账计提方法分类披露</w:t>
      </w:r>
    </w:p>
    <w:sdt>
      <w:sdtPr>
        <w:alias w:val="是否适用：按坏账计提方法分类披露[双击切换]"/>
        <w:tag w:val="_GBC_6dd4a97ab67f497ba65822d927d1d29e"/>
        <w:id w:val="856153023"/>
        <w:placeholder>
          <w:docPart w:val="GBC22222222222222222222222222222"/>
        </w:placeholder>
      </w:sdtPr>
      <w:sdtContent>
        <w:p w14:paraId="0F81455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D4DBB6C" w14:textId="77777777" w:rsidR="005E000F" w:rsidRDefault="005E000F"/>
    <w:p w14:paraId="5A1C0D80" w14:textId="77777777" w:rsidR="005E000F" w:rsidRDefault="00000000">
      <w:r>
        <w:rPr>
          <w:rFonts w:hint="eastAsia"/>
        </w:rPr>
        <w:t>按单项计提坏账准备：</w:t>
      </w:r>
    </w:p>
    <w:sdt>
      <w:sdtPr>
        <w:alias w:val="是否适用：按单项计提坏账准备的详细情况[双击切换]"/>
        <w:tag w:val="_GBC_0ab170ec63fb435387c8b835e9d77a54"/>
        <w:id w:val="1696269048"/>
        <w:placeholder>
          <w:docPart w:val="GBC22222222222222222222222222222"/>
        </w:placeholder>
      </w:sdtPr>
      <w:sdtContent>
        <w:p w14:paraId="013EDDA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3CA8764" w14:textId="77777777" w:rsidR="005E000F" w:rsidRDefault="005E000F"/>
    <w:p w14:paraId="6BB8EFDA" w14:textId="77777777" w:rsidR="005E000F" w:rsidRDefault="00000000">
      <w:r>
        <w:rPr>
          <w:rFonts w:hint="eastAsia"/>
        </w:rPr>
        <w:t>按单项计提坏账准备的说明：</w:t>
      </w:r>
    </w:p>
    <w:sdt>
      <w:sdtPr>
        <w:alias w:val="是否适用：按单项计提坏账准备的说明[双击切换]"/>
        <w:tag w:val="_GBC_0aa7517d534e4bfeae4b430fe21b3412"/>
        <w:id w:val="-1066873921"/>
        <w:placeholder>
          <w:docPart w:val="GBC22222222222222222222222222222"/>
        </w:placeholder>
      </w:sdtPr>
      <w:sdtContent>
        <w:p w14:paraId="30D6726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EFF57F" w14:textId="77777777" w:rsidR="005E000F" w:rsidRDefault="005E000F"/>
    <w:p w14:paraId="69A9CA52" w14:textId="77777777" w:rsidR="005E000F" w:rsidRDefault="0000000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dd62dad60e90472bb2ac73e80b2edb97"/>
        <w:id w:val="-1044672066"/>
        <w:placeholder>
          <w:docPart w:val="GBC22222222222222222222222222222"/>
        </w:placeholder>
      </w:sdtPr>
      <w:sdtContent>
        <w:p w14:paraId="31C3AD0B" w14:textId="77777777" w:rsidR="005E000F" w:rsidRDefault="0000000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3AD23F23" w14:textId="77777777" w:rsidR="005E000F" w:rsidRDefault="005E000F"/>
    <w:p w14:paraId="2ECCE7C6" w14:textId="77777777" w:rsidR="005E000F" w:rsidRDefault="005E000F">
      <w:pPr>
        <w:rPr>
          <w:rFonts w:ascii="Calibri" w:hAnsi="Calibri"/>
          <w:b/>
          <w:bCs/>
          <w:szCs w:val="22"/>
        </w:rPr>
      </w:pPr>
    </w:p>
    <w:p w14:paraId="05E46A67" w14:textId="77777777" w:rsidR="005E000F" w:rsidRDefault="00000000">
      <w:pPr>
        <w:rPr>
          <w:rFonts w:cstheme="minorBidi"/>
          <w:bCs/>
          <w:szCs w:val="22"/>
        </w:rPr>
      </w:pPr>
      <w:bookmarkStart w:id="281" w:name="_Hlk154135145"/>
      <w:bookmarkStart w:id="282" w:name="_Hlk153379126"/>
      <w:bookmarkEnd w:id="280"/>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af66bce1fada4aaa845a8f566731a4cf"/>
        <w:id w:val="850298485"/>
        <w:placeholder>
          <w:docPart w:val="GBC22222222222222222222222222222"/>
        </w:placeholder>
      </w:sdtPr>
      <w:sdtContent>
        <w:p w14:paraId="26D2B23C" w14:textId="77777777" w:rsidR="005E000F" w:rsidRDefault="00000000">
          <w:pPr>
            <w:rPr>
              <w:rFonts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7C0C5FD7" w14:textId="77777777" w:rsidR="005E000F" w:rsidRDefault="005E000F"/>
    <w:p w14:paraId="01C5B637"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a54eb55cbb24473b8392e013b4be1c8a"/>
        <w:id w:val="661278612"/>
        <w:placeholder>
          <w:docPart w:val="GBC22222222222222222222222222222"/>
        </w:placeholder>
      </w:sdtPr>
      <w:sdtContent>
        <w:p w14:paraId="18EC203E" w14:textId="77777777" w:rsidR="005E000F" w:rsidRDefault="00000000">
          <w:pPr>
            <w:rPr>
              <w:bCs/>
              <w:szCs w:val="22"/>
            </w:rPr>
          </w:pPr>
          <w:r>
            <w:rPr>
              <w:rFonts w:hint="eastAsia"/>
              <w:bCs/>
              <w:szCs w:val="22"/>
            </w:rPr>
            <w:t>无</w:t>
          </w:r>
        </w:p>
      </w:sdtContent>
    </w:sdt>
    <w:p w14:paraId="359DB036" w14:textId="77777777" w:rsidR="005E000F" w:rsidRDefault="005E000F">
      <w:pPr>
        <w:pStyle w:val="affb"/>
        <w:rPr>
          <w:rFonts w:ascii="宋体" w:hAnsi="宋体" w:cs="宋体"/>
          <w:kern w:val="0"/>
          <w:szCs w:val="24"/>
        </w:rPr>
      </w:pPr>
    </w:p>
    <w:p w14:paraId="7D7DCF3F" w14:textId="77777777" w:rsidR="005E000F" w:rsidRDefault="00000000">
      <w:pPr>
        <w:pStyle w:val="affb"/>
      </w:pPr>
      <w:r>
        <w:rPr>
          <w:rFonts w:hint="eastAsia"/>
        </w:rPr>
        <w:t>对本期发生损失准备变动的合同资产账面余额显著变动的情况说明：</w:t>
      </w:r>
    </w:p>
    <w:sdt>
      <w:sdtPr>
        <w:alias w:val="是否适用：对本期发生损失准备变动的账面余额显著变动的情况说明[双击切换]"/>
        <w:tag w:val="_GBC_5d2109eaa8194f47bcc2f4bbd6c081ae"/>
        <w:id w:val="1111547232"/>
        <w:placeholder>
          <w:docPart w:val="GBC22222222222222222222222222222"/>
        </w:placeholder>
      </w:sdtPr>
      <w:sdtContent>
        <w:p w14:paraId="5E84969A"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F926F62" w14:textId="77777777" w:rsidR="005E000F" w:rsidRDefault="005E000F">
      <w:pPr>
        <w:rPr>
          <w:rFonts w:asciiTheme="minorHAnsi" w:hAnsiTheme="minorHAnsi" w:cstheme="minorBidi"/>
          <w:b/>
          <w:bCs/>
          <w:szCs w:val="22"/>
        </w:rPr>
      </w:pPr>
    </w:p>
    <w:p w14:paraId="4FC7C97C" w14:textId="77777777" w:rsidR="005E000F" w:rsidRDefault="00000000">
      <w:pPr>
        <w:pStyle w:val="4"/>
        <w:numPr>
          <w:ilvl w:val="3"/>
          <w:numId w:val="69"/>
        </w:numPr>
        <w:ind w:left="426" w:hanging="426"/>
        <w:rPr>
          <w:szCs w:val="21"/>
        </w:rPr>
      </w:pPr>
      <w:bookmarkStart w:id="283" w:name="_Hlk533847869"/>
      <w:bookmarkEnd w:id="279"/>
      <w:bookmarkEnd w:id="281"/>
      <w:bookmarkEnd w:id="282"/>
      <w:r>
        <w:rPr>
          <w:rFonts w:hint="eastAsia"/>
          <w:szCs w:val="21"/>
        </w:rPr>
        <w:t>本期合同资产计提坏账准备情况</w:t>
      </w:r>
    </w:p>
    <w:sdt>
      <w:sdtPr>
        <w:alias w:val="是否适用：合同资产减值准备[双击切换]"/>
        <w:tag w:val="_GBC_7a32a2cf2788460d8c760b8ac21cef48"/>
        <w:id w:val="-96341438"/>
        <w:placeholder>
          <w:docPart w:val="GBC22222222222222222222222222222"/>
        </w:placeholder>
      </w:sdtPr>
      <w:sdtContent>
        <w:p w14:paraId="3E896D71"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9386842" w14:textId="77777777" w:rsidR="005E000F" w:rsidRDefault="005E000F">
      <w:pPr>
        <w:autoSpaceDE w:val="0"/>
        <w:autoSpaceDN w:val="0"/>
        <w:adjustRightInd w:val="0"/>
        <w:ind w:rightChars="50" w:right="105"/>
      </w:pPr>
      <w:bookmarkStart w:id="284" w:name="_Hlk182483958"/>
    </w:p>
    <w:p w14:paraId="44048E82" w14:textId="77777777" w:rsidR="005E000F" w:rsidRDefault="00000000">
      <w:bookmarkStart w:id="285" w:name="_Hlk153379287"/>
      <w:bookmarkEnd w:id="284"/>
      <w:r>
        <w:rPr>
          <w:rFonts w:hint="eastAsia"/>
        </w:rPr>
        <w:t>其中本期坏账准备收回或转回金额重要的：</w:t>
      </w:r>
    </w:p>
    <w:sdt>
      <w:sdtPr>
        <w:alias w:val="是否适用：本期坏账准备收回或转回金额重要的[双击切换]"/>
        <w:tag w:val="_GBC_40c6e5cd3d9b48fa9d8ddf51159f73e3"/>
        <w:id w:val="-439142369"/>
        <w:placeholder>
          <w:docPart w:val="GBC22222222222222222222222222222"/>
        </w:placeholder>
      </w:sdtPr>
      <w:sdtContent>
        <w:p w14:paraId="7DDBE59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803E649" w14:textId="77777777" w:rsidR="005E000F" w:rsidRDefault="005E000F"/>
    <w:p w14:paraId="48A67847" w14:textId="77777777" w:rsidR="005E000F" w:rsidRDefault="00000000">
      <w:r>
        <w:rPr>
          <w:rFonts w:hint="eastAsia"/>
        </w:rPr>
        <w:t>其他说明：</w:t>
      </w:r>
    </w:p>
    <w:sdt>
      <w:sdtPr>
        <w:alias w:val="坏账准备情况的说明"/>
        <w:tag w:val="_GBC_eaa032ce9f4b4651bc1d170afdd0f594"/>
        <w:id w:val="1153413179"/>
        <w:placeholder>
          <w:docPart w:val="GBC22222222222222222222222222222"/>
        </w:placeholder>
      </w:sdtPr>
      <w:sdtContent>
        <w:p w14:paraId="35611C14" w14:textId="77777777" w:rsidR="005E000F" w:rsidRDefault="00000000">
          <w:pPr>
            <w:ind w:rightChars="20" w:right="42"/>
          </w:pPr>
          <w:r>
            <w:rPr>
              <w:rFonts w:hint="eastAsia"/>
            </w:rPr>
            <w:t>无</w:t>
          </w:r>
        </w:p>
      </w:sdtContent>
    </w:sdt>
    <w:p w14:paraId="697EEE66" w14:textId="77777777" w:rsidR="005E000F" w:rsidRDefault="005E000F">
      <w:pPr>
        <w:ind w:rightChars="-759" w:right="-1594"/>
      </w:pPr>
    </w:p>
    <w:p w14:paraId="458CB5AB" w14:textId="77777777" w:rsidR="005E000F" w:rsidRDefault="00000000">
      <w:pPr>
        <w:pStyle w:val="4"/>
        <w:numPr>
          <w:ilvl w:val="3"/>
          <w:numId w:val="69"/>
        </w:numPr>
        <w:ind w:left="426" w:hanging="426"/>
        <w:rPr>
          <w:szCs w:val="21"/>
        </w:rPr>
      </w:pPr>
      <w:bookmarkStart w:id="286" w:name="_Hlk153379426"/>
      <w:bookmarkEnd w:id="285"/>
      <w:r>
        <w:rPr>
          <w:szCs w:val="21"/>
        </w:rPr>
        <w:t>本期实际核销的</w:t>
      </w:r>
      <w:r>
        <w:rPr>
          <w:rFonts w:hint="eastAsia"/>
          <w:szCs w:val="21"/>
        </w:rPr>
        <w:t>合同资产</w:t>
      </w:r>
      <w:r>
        <w:rPr>
          <w:szCs w:val="21"/>
        </w:rPr>
        <w:t>情况</w:t>
      </w:r>
    </w:p>
    <w:sdt>
      <w:sdtPr>
        <w:alias w:val="是否适用：实际核销的情况[双击切换]"/>
        <w:tag w:val="_GBC_d2036f8632c6441bbae156d4fcc0a1bb"/>
        <w:id w:val="413211507"/>
        <w:placeholder>
          <w:docPart w:val="GBC22222222222222222222222222222"/>
        </w:placeholder>
      </w:sdtPr>
      <w:sdtContent>
        <w:p w14:paraId="42222934"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3937FB1" w14:textId="77777777" w:rsidR="005E000F" w:rsidRDefault="005E000F"/>
    <w:p w14:paraId="3C966DF0" w14:textId="77777777" w:rsidR="005E000F" w:rsidRDefault="00000000">
      <w:r>
        <w:rPr>
          <w:rFonts w:hint="eastAsia"/>
        </w:rPr>
        <w:t>其中重要的合同资产核销情况</w:t>
      </w:r>
    </w:p>
    <w:sdt>
      <w:sdtPr>
        <w:rPr>
          <w:rFonts w:hint="eastAsia"/>
        </w:rPr>
        <w:alias w:val="是否适用：重要的核销情况[双击切换]"/>
        <w:tag w:val="_GBC_a32f8e56eb4941f98078bbae5f9968b0"/>
        <w:id w:val="516808153"/>
        <w:placeholder>
          <w:docPart w:val="GBC22222222222222222222222222222"/>
        </w:placeholder>
      </w:sdtPr>
      <w:sdtContent>
        <w:p w14:paraId="7204525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AD80915" w14:textId="77777777" w:rsidR="005E000F" w:rsidRDefault="005E000F"/>
    <w:p w14:paraId="3CE14212" w14:textId="77777777" w:rsidR="005E000F" w:rsidRDefault="00000000">
      <w:pPr>
        <w:snapToGrid w:val="0"/>
        <w:spacing w:line="240" w:lineRule="atLeast"/>
      </w:pPr>
      <w:r>
        <w:rPr>
          <w:rFonts w:hint="eastAsia"/>
        </w:rPr>
        <w:t>合同资产核销说明：</w:t>
      </w:r>
    </w:p>
    <w:sdt>
      <w:sdtPr>
        <w:alias w:val="是否适用：核销说明[双击切换]"/>
        <w:tag w:val="_GBC_837b8448d70d489b99f47e83a77e0bef"/>
        <w:id w:val="706302297"/>
        <w:placeholder>
          <w:docPart w:val="GBC22222222222222222222222222222"/>
        </w:placeholder>
      </w:sdtPr>
      <w:sdtContent>
        <w:p w14:paraId="28B08568"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6FAAA98" w14:textId="77777777" w:rsidR="005E000F" w:rsidRDefault="005E000F"/>
    <w:bookmarkEnd w:id="283"/>
    <w:bookmarkEnd w:id="286"/>
    <w:p w14:paraId="296F4B75" w14:textId="77777777" w:rsidR="005E000F" w:rsidRDefault="00000000">
      <w:r>
        <w:rPr>
          <w:rFonts w:hint="eastAsia"/>
        </w:rPr>
        <w:t>其他说明：</w:t>
      </w:r>
    </w:p>
    <w:sdt>
      <w:sdtPr>
        <w:alias w:val="是否适用：合同资产其他说明[双击切换]"/>
        <w:tag w:val="_GBC_92ce0006559b479d93e7dbde6e8efca4"/>
        <w:id w:val="-1622149984"/>
        <w:placeholder>
          <w:docPart w:val="GBC22222222222222222222222222222"/>
        </w:placeholder>
      </w:sdtPr>
      <w:sdtContent>
        <w:p w14:paraId="2DAE90D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CF81B18" w14:textId="77777777" w:rsidR="005E000F" w:rsidRDefault="005E000F"/>
    <w:p w14:paraId="75343305" w14:textId="77777777" w:rsidR="005E000F" w:rsidRDefault="00000000">
      <w:pPr>
        <w:pStyle w:val="3"/>
        <w:numPr>
          <w:ilvl w:val="0"/>
          <w:numId w:val="66"/>
        </w:numPr>
        <w:rPr>
          <w:szCs w:val="21"/>
        </w:rPr>
      </w:pPr>
      <w:bookmarkStart w:id="287" w:name="_Hlk24102175"/>
      <w:r>
        <w:rPr>
          <w:rFonts w:hint="eastAsia"/>
          <w:szCs w:val="21"/>
        </w:rPr>
        <w:t>应收款项融资</w:t>
      </w:r>
    </w:p>
    <w:p w14:paraId="6E9635B5" w14:textId="77777777" w:rsidR="005E000F" w:rsidRDefault="00000000">
      <w:pPr>
        <w:pStyle w:val="4"/>
        <w:numPr>
          <w:ilvl w:val="0"/>
          <w:numId w:val="70"/>
        </w:numPr>
      </w:pPr>
      <w:r>
        <w:rPr>
          <w:rFonts w:hint="eastAsia"/>
        </w:rPr>
        <w:t>应收款项融资分类列示</w:t>
      </w:r>
    </w:p>
    <w:sdt>
      <w:sdtPr>
        <w:alias w:val="是否适用：应收款项融资[双击切换]"/>
        <w:tag w:val="_GBC_e38b7d767cdd4e9f8dd5f7f6ea2330da"/>
        <w:id w:val="498776583"/>
        <w:placeholder>
          <w:docPart w:val="GBC22222222222222222222222222222"/>
        </w:placeholder>
      </w:sdtPr>
      <w:sdtContent>
        <w:p w14:paraId="13975A5E"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0727422" w14:textId="77777777" w:rsidR="005E000F" w:rsidRDefault="00000000">
      <w:pPr>
        <w:ind w:left="420" w:right="-98"/>
        <w:jc w:val="right"/>
      </w:pPr>
      <w:r>
        <w:rPr>
          <w:rFonts w:hint="eastAsia"/>
        </w:rPr>
        <w:t xml:space="preserve">  </w:t>
      </w:r>
      <w:r>
        <w:rPr>
          <w:rFonts w:hint="eastAsia"/>
        </w:rPr>
        <w:t>单位：</w:t>
      </w:r>
      <w:sdt>
        <w:sdtPr>
          <w:rPr>
            <w:rFonts w:hint="eastAsia"/>
          </w:rPr>
          <w:alias w:val="单位：应收款项融资"/>
          <w:tag w:val="_GBC_718fb908b95f48ec84742dfac4338fd4"/>
          <w:id w:val="-15645910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应收款项融资"/>
          <w:tag w:val="_GBC_e0c43db94ecc4e51b884c86496138ea2"/>
          <w:id w:val="-18395364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7"/>
        <w:gridCol w:w="2890"/>
        <w:gridCol w:w="2899"/>
      </w:tblGrid>
      <w:tr w:rsidR="005E000F" w14:paraId="6AB47B6C" w14:textId="77777777">
        <w:bookmarkStart w:id="288" w:name="_Hlk12969247" w:displacedByCustomXml="next"/>
        <w:bookmarkStart w:id="289" w:name="_Hlk13057555" w:displacedByCustomXml="next"/>
        <w:sdt>
          <w:sdtPr>
            <w:tag w:val="_PLD_03e528ffb61e4b53acdd40b3208f06a9"/>
            <w:id w:val="2117325712"/>
          </w:sdtPr>
          <w:sdtContent>
            <w:tc>
              <w:tcPr>
                <w:tcW w:w="3237" w:type="dxa"/>
                <w:vAlign w:val="center"/>
              </w:tcPr>
              <w:p w14:paraId="31DE07BB" w14:textId="77777777" w:rsidR="005E000F" w:rsidRDefault="00000000">
                <w:pPr>
                  <w:jc w:val="center"/>
                </w:pPr>
                <w:r>
                  <w:rPr>
                    <w:rFonts w:hint="eastAsia"/>
                  </w:rPr>
                  <w:t>项目</w:t>
                </w:r>
              </w:p>
            </w:tc>
          </w:sdtContent>
        </w:sdt>
        <w:sdt>
          <w:sdtPr>
            <w:tag w:val="_PLD_8d81c1822e774f6081deb29ea5466dc8"/>
            <w:id w:val="-1808000344"/>
          </w:sdtPr>
          <w:sdtContent>
            <w:tc>
              <w:tcPr>
                <w:tcW w:w="2890" w:type="dxa"/>
                <w:vAlign w:val="center"/>
              </w:tcPr>
              <w:p w14:paraId="2DDB606F" w14:textId="77777777" w:rsidR="005E000F" w:rsidRDefault="00000000">
                <w:pPr>
                  <w:autoSpaceDE w:val="0"/>
                  <w:autoSpaceDN w:val="0"/>
                  <w:adjustRightInd w:val="0"/>
                  <w:snapToGrid w:val="0"/>
                  <w:spacing w:line="240" w:lineRule="atLeast"/>
                  <w:jc w:val="center"/>
                </w:pPr>
                <w:r>
                  <w:rPr>
                    <w:rFonts w:hint="eastAsia"/>
                  </w:rPr>
                  <w:t>期末余额</w:t>
                </w:r>
              </w:p>
            </w:tc>
          </w:sdtContent>
        </w:sdt>
        <w:sdt>
          <w:sdtPr>
            <w:tag w:val="_PLD_c1ad8d0386f942b4b74733e3287ad275"/>
            <w:id w:val="-146672858"/>
          </w:sdtPr>
          <w:sdtContent>
            <w:tc>
              <w:tcPr>
                <w:tcW w:w="2899" w:type="dxa"/>
                <w:vAlign w:val="center"/>
              </w:tcPr>
              <w:p w14:paraId="540F5173" w14:textId="77777777" w:rsidR="005E000F" w:rsidRDefault="00000000">
                <w:pPr>
                  <w:autoSpaceDE w:val="0"/>
                  <w:autoSpaceDN w:val="0"/>
                  <w:adjustRightInd w:val="0"/>
                  <w:snapToGrid w:val="0"/>
                  <w:spacing w:line="240" w:lineRule="atLeast"/>
                  <w:jc w:val="center"/>
                </w:pPr>
                <w:r>
                  <w:rPr>
                    <w:rFonts w:hint="eastAsia"/>
                  </w:rPr>
                  <w:t>期初余额</w:t>
                </w:r>
              </w:p>
            </w:tc>
          </w:sdtContent>
        </w:sdt>
      </w:tr>
      <w:tr w:rsidR="005E000F" w14:paraId="54AFC044" w14:textId="77777777">
        <w:tc>
          <w:tcPr>
            <w:tcW w:w="3237" w:type="dxa"/>
            <w:vAlign w:val="center"/>
          </w:tcPr>
          <w:p w14:paraId="28EFC57D" w14:textId="77777777" w:rsidR="005E000F" w:rsidRDefault="00000000">
            <w:pPr>
              <w:autoSpaceDE w:val="0"/>
              <w:autoSpaceDN w:val="0"/>
              <w:adjustRightInd w:val="0"/>
            </w:pPr>
            <w:bookmarkStart w:id="290" w:name="OLE_LINK1"/>
            <w:r>
              <w:rPr>
                <w:rFonts w:hint="eastAsia"/>
              </w:rPr>
              <w:t>银行承兑汇票</w:t>
            </w:r>
            <w:bookmarkEnd w:id="290"/>
          </w:p>
        </w:tc>
        <w:tc>
          <w:tcPr>
            <w:tcW w:w="2890" w:type="dxa"/>
            <w:vAlign w:val="center"/>
          </w:tcPr>
          <w:p w14:paraId="11780B6E" w14:textId="77777777" w:rsidR="005E000F" w:rsidRDefault="00000000">
            <w:pPr>
              <w:jc w:val="right"/>
            </w:pPr>
            <w:r>
              <w:t>3,110,596,621</w:t>
            </w:r>
          </w:p>
        </w:tc>
        <w:tc>
          <w:tcPr>
            <w:tcW w:w="2899" w:type="dxa"/>
            <w:vAlign w:val="center"/>
          </w:tcPr>
          <w:p w14:paraId="455B2538" w14:textId="77777777" w:rsidR="005E000F" w:rsidRDefault="00000000">
            <w:pPr>
              <w:jc w:val="right"/>
            </w:pPr>
            <w:r>
              <w:t>2,440,076,387</w:t>
            </w:r>
          </w:p>
        </w:tc>
      </w:tr>
      <w:tr w:rsidR="005E000F" w14:paraId="3FE0ED12" w14:textId="77777777">
        <w:tc>
          <w:tcPr>
            <w:tcW w:w="3237" w:type="dxa"/>
            <w:vAlign w:val="center"/>
          </w:tcPr>
          <w:p w14:paraId="756FD242" w14:textId="77777777" w:rsidR="005E000F" w:rsidRDefault="00000000">
            <w:pPr>
              <w:jc w:val="center"/>
            </w:pPr>
            <w:r>
              <w:rPr>
                <w:rFonts w:hint="eastAsia"/>
              </w:rPr>
              <w:t>合计</w:t>
            </w:r>
          </w:p>
        </w:tc>
        <w:tc>
          <w:tcPr>
            <w:tcW w:w="2890" w:type="dxa"/>
            <w:vAlign w:val="center"/>
          </w:tcPr>
          <w:p w14:paraId="5DE21AD9" w14:textId="77777777" w:rsidR="005E000F" w:rsidRDefault="00000000">
            <w:pPr>
              <w:jc w:val="right"/>
            </w:pPr>
            <w:r>
              <w:t>3,110,596,621</w:t>
            </w:r>
          </w:p>
        </w:tc>
        <w:tc>
          <w:tcPr>
            <w:tcW w:w="2899" w:type="dxa"/>
            <w:vAlign w:val="center"/>
          </w:tcPr>
          <w:p w14:paraId="462CCDD3" w14:textId="77777777" w:rsidR="005E000F" w:rsidRDefault="00000000">
            <w:pPr>
              <w:jc w:val="right"/>
            </w:pPr>
            <w:r>
              <w:t>2,440,076,387</w:t>
            </w:r>
          </w:p>
        </w:tc>
      </w:tr>
    </w:tbl>
    <w:p w14:paraId="32F3A814" w14:textId="77777777" w:rsidR="005E000F" w:rsidRDefault="005E000F"/>
    <w:p w14:paraId="4883C741" w14:textId="77777777" w:rsidR="005E000F" w:rsidRDefault="00000000">
      <w:pPr>
        <w:pStyle w:val="4"/>
        <w:numPr>
          <w:ilvl w:val="0"/>
          <w:numId w:val="70"/>
        </w:numPr>
      </w:pPr>
      <w:r>
        <w:lastRenderedPageBreak/>
        <w:t>期末公司已</w:t>
      </w:r>
      <w:r>
        <w:rPr>
          <w:rFonts w:hint="eastAsia"/>
        </w:rPr>
        <w:t>质押</w:t>
      </w:r>
      <w:r>
        <w:t>的应收款项融资</w:t>
      </w:r>
    </w:p>
    <w:sdt>
      <w:sdtPr>
        <w:alias w:val="是否适用：期末公司已质押的应收款项融资[双击切换]"/>
        <w:tag w:val="_GBC_31b898cd43844d68932063bb1e6347a8"/>
        <w:id w:val="1963150128"/>
        <w:placeholder>
          <w:docPart w:val="GBC22222222222222222222222222222"/>
        </w:placeholder>
      </w:sdtPr>
      <w:sdtContent>
        <w:p w14:paraId="027FE71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FD185CA" w14:textId="77777777" w:rsidR="005E000F" w:rsidRDefault="005E000F"/>
    <w:p w14:paraId="2406A32D" w14:textId="77777777" w:rsidR="005E000F" w:rsidRDefault="00000000">
      <w:pPr>
        <w:pStyle w:val="4"/>
        <w:numPr>
          <w:ilvl w:val="0"/>
          <w:numId w:val="70"/>
        </w:numPr>
      </w:pPr>
      <w:r>
        <w:rPr>
          <w:rFonts w:hint="eastAsia"/>
        </w:rPr>
        <w:t>期末公司已背书或贴现且在资产负债表日尚未到期的应收款项融资</w:t>
      </w:r>
    </w:p>
    <w:sdt>
      <w:sdtPr>
        <w:alias w:val="是否适用：期末公司已背书或贴现且在资产负债表日尚未到期的应收款项融资[双击切换]"/>
        <w:tag w:val="_GBC_6aad06646df44df888f953be7f5703c6"/>
        <w:id w:val="658501154"/>
        <w:placeholder>
          <w:docPart w:val="GBC22222222222222222222222222222"/>
        </w:placeholder>
      </w:sdtPr>
      <w:sdtContent>
        <w:p w14:paraId="2DAECB71"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5BF7C94" w14:textId="77777777" w:rsidR="005E000F" w:rsidRDefault="00000000">
      <w:pPr>
        <w:jc w:val="right"/>
      </w:pPr>
      <w:r>
        <w:rPr>
          <w:rFonts w:hint="eastAsia"/>
        </w:rPr>
        <w:t>单位：</w:t>
      </w:r>
      <w:sdt>
        <w:sdtPr>
          <w:rPr>
            <w:rFonts w:hint="eastAsia"/>
          </w:rPr>
          <w:alias w:val="单位：期末公司已背书或贴现且在资产负债表日尚未到期的应收款项融资"/>
          <w:tag w:val="_GBC_93228107c43a481da9506f790cd8af92"/>
          <w:id w:val="182800395"/>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期末公司已背书或贴现且在资产负债表日尚未到期的应收款项融资"/>
          <w:tag w:val="_GBC_321f16b9d20241dd9a8da269a46b1e36"/>
          <w:id w:val="5829288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7"/>
        <w:gridCol w:w="3050"/>
        <w:gridCol w:w="3122"/>
      </w:tblGrid>
      <w:tr w:rsidR="005E000F" w14:paraId="66FFF31E" w14:textId="77777777">
        <w:sdt>
          <w:sdtPr>
            <w:tag w:val="_PLD_33b7f0ccb35e48099a6f7696604b4e21"/>
            <w:id w:val="430398556"/>
          </w:sdtPr>
          <w:sdtContent>
            <w:tc>
              <w:tcPr>
                <w:tcW w:w="2877" w:type="dxa"/>
                <w:vAlign w:val="center"/>
              </w:tcPr>
              <w:p w14:paraId="3E1AFB07" w14:textId="77777777" w:rsidR="005E000F" w:rsidRDefault="00000000">
                <w:pPr>
                  <w:jc w:val="center"/>
                </w:pPr>
                <w:r>
                  <w:rPr>
                    <w:rFonts w:hint="eastAsia"/>
                  </w:rPr>
                  <w:t>项目</w:t>
                </w:r>
              </w:p>
            </w:tc>
          </w:sdtContent>
        </w:sdt>
        <w:sdt>
          <w:sdtPr>
            <w:tag w:val="_PLD_149743054c254feca84017182a25be7d"/>
            <w:id w:val="-1764748383"/>
          </w:sdtPr>
          <w:sdtContent>
            <w:tc>
              <w:tcPr>
                <w:tcW w:w="3050" w:type="dxa"/>
                <w:vAlign w:val="center"/>
              </w:tcPr>
              <w:p w14:paraId="2C1D1D67" w14:textId="77777777" w:rsidR="005E000F" w:rsidRDefault="00000000">
                <w:pPr>
                  <w:jc w:val="center"/>
                </w:pPr>
                <w:r>
                  <w:rPr>
                    <w:rFonts w:hint="eastAsia"/>
                  </w:rPr>
                  <w:t>期末终止确认金额</w:t>
                </w:r>
              </w:p>
            </w:tc>
          </w:sdtContent>
        </w:sdt>
        <w:sdt>
          <w:sdtPr>
            <w:tag w:val="_PLD_9f59617eec3d4ee4b21512d75b778f97"/>
            <w:id w:val="1617477328"/>
          </w:sdtPr>
          <w:sdtContent>
            <w:tc>
              <w:tcPr>
                <w:tcW w:w="3122" w:type="dxa"/>
                <w:vAlign w:val="center"/>
              </w:tcPr>
              <w:p w14:paraId="73FDB46F" w14:textId="77777777" w:rsidR="005E000F" w:rsidRDefault="00000000">
                <w:pPr>
                  <w:jc w:val="center"/>
                </w:pPr>
                <w:r>
                  <w:rPr>
                    <w:rFonts w:hint="eastAsia"/>
                  </w:rPr>
                  <w:t>期末未终止确认金额</w:t>
                </w:r>
              </w:p>
            </w:tc>
          </w:sdtContent>
        </w:sdt>
      </w:tr>
      <w:tr w:rsidR="005E000F" w14:paraId="41A00F58" w14:textId="77777777">
        <w:tc>
          <w:tcPr>
            <w:tcW w:w="2877" w:type="dxa"/>
            <w:vAlign w:val="center"/>
          </w:tcPr>
          <w:p w14:paraId="041EBC37" w14:textId="77777777" w:rsidR="005E000F" w:rsidRDefault="00000000">
            <w:r>
              <w:rPr>
                <w:rFonts w:hint="eastAsia"/>
              </w:rPr>
              <w:t>银行承兑汇票</w:t>
            </w:r>
          </w:p>
        </w:tc>
        <w:tc>
          <w:tcPr>
            <w:tcW w:w="3050" w:type="dxa"/>
            <w:vAlign w:val="center"/>
          </w:tcPr>
          <w:p w14:paraId="2A273631" w14:textId="77777777" w:rsidR="005E000F" w:rsidRDefault="00000000">
            <w:pPr>
              <w:jc w:val="right"/>
              <w:rPr>
                <w:lang w:val="en-GB"/>
              </w:rPr>
            </w:pPr>
            <w:r>
              <w:rPr>
                <w:rFonts w:hint="eastAsia"/>
              </w:rPr>
              <w:t>2,882,500,169</w:t>
            </w:r>
          </w:p>
        </w:tc>
        <w:tc>
          <w:tcPr>
            <w:tcW w:w="3122" w:type="dxa"/>
            <w:vAlign w:val="center"/>
          </w:tcPr>
          <w:p w14:paraId="3D56AFB9" w14:textId="77777777" w:rsidR="005E000F" w:rsidRDefault="00000000">
            <w:pPr>
              <w:jc w:val="right"/>
            </w:pPr>
            <w:r>
              <w:rPr>
                <w:rFonts w:hint="eastAsia"/>
              </w:rPr>
              <w:t>0</w:t>
            </w:r>
          </w:p>
        </w:tc>
      </w:tr>
      <w:tr w:rsidR="005E000F" w14:paraId="328349B1" w14:textId="77777777">
        <w:tc>
          <w:tcPr>
            <w:tcW w:w="2877" w:type="dxa"/>
            <w:vAlign w:val="center"/>
          </w:tcPr>
          <w:p w14:paraId="34797338" w14:textId="77777777" w:rsidR="005E000F" w:rsidRDefault="00000000">
            <w:pPr>
              <w:jc w:val="center"/>
            </w:pPr>
            <w:r>
              <w:rPr>
                <w:rFonts w:hint="eastAsia"/>
              </w:rPr>
              <w:t>合计</w:t>
            </w:r>
          </w:p>
        </w:tc>
        <w:tc>
          <w:tcPr>
            <w:tcW w:w="3050" w:type="dxa"/>
            <w:vAlign w:val="center"/>
          </w:tcPr>
          <w:p w14:paraId="3245F36D" w14:textId="77777777" w:rsidR="005E000F" w:rsidRDefault="00000000">
            <w:pPr>
              <w:jc w:val="right"/>
            </w:pPr>
            <w:r>
              <w:rPr>
                <w:rFonts w:hint="eastAsia"/>
              </w:rPr>
              <w:t>2,882,500,169</w:t>
            </w:r>
          </w:p>
        </w:tc>
        <w:tc>
          <w:tcPr>
            <w:tcW w:w="3122" w:type="dxa"/>
            <w:vAlign w:val="center"/>
          </w:tcPr>
          <w:p w14:paraId="40986C66" w14:textId="77777777" w:rsidR="005E000F" w:rsidRDefault="00000000">
            <w:pPr>
              <w:jc w:val="right"/>
            </w:pPr>
            <w:r>
              <w:rPr>
                <w:rFonts w:hint="eastAsia"/>
              </w:rPr>
              <w:t>0</w:t>
            </w:r>
          </w:p>
        </w:tc>
      </w:tr>
    </w:tbl>
    <w:p w14:paraId="71AECD76" w14:textId="77777777" w:rsidR="005E000F" w:rsidRDefault="005E000F"/>
    <w:p w14:paraId="5A0D109E" w14:textId="77777777" w:rsidR="005E000F" w:rsidRDefault="00000000">
      <w:pPr>
        <w:pStyle w:val="4"/>
        <w:numPr>
          <w:ilvl w:val="0"/>
          <w:numId w:val="70"/>
        </w:numPr>
      </w:pPr>
      <w:r>
        <w:rPr>
          <w:rFonts w:hint="eastAsia"/>
        </w:rPr>
        <w:t>按</w:t>
      </w:r>
      <w:r>
        <w:t>坏账计提方法分类披露</w:t>
      </w:r>
    </w:p>
    <w:sdt>
      <w:sdtPr>
        <w:alias w:val="是否适用：按坏账计提方法分类披露[双击切换]"/>
        <w:tag w:val="_GBC_bb62f97adc6849f2b3d956a701e7fa7d"/>
        <w:id w:val="-1540428953"/>
        <w:placeholder>
          <w:docPart w:val="GBC22222222222222222222222222222"/>
        </w:placeholder>
      </w:sdtPr>
      <w:sdtContent>
        <w:p w14:paraId="424354D7"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C1A94F9" w14:textId="77777777" w:rsidR="005E000F" w:rsidRDefault="00000000">
      <w:pPr>
        <w:pStyle w:val="aff8"/>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按坏账计提方法分类披露"/>
          <w:tag w:val="_GBC_afce95625fb54d649db4504416f97993"/>
          <w:id w:val="128585037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按坏账计提方法分类披露"/>
          <w:tag w:val="_GBC_91522fb58fac49f98a70383ae037ccb1"/>
          <w:id w:val="6046174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0"/>
        <w:gridCol w:w="1156"/>
        <w:gridCol w:w="467"/>
        <w:gridCol w:w="533"/>
        <w:gridCol w:w="700"/>
        <w:gridCol w:w="1100"/>
        <w:gridCol w:w="1100"/>
        <w:gridCol w:w="555"/>
        <w:gridCol w:w="489"/>
        <w:gridCol w:w="534"/>
        <w:gridCol w:w="1085"/>
      </w:tblGrid>
      <w:tr w:rsidR="005E000F" w14:paraId="65722778" w14:textId="77777777">
        <w:trPr>
          <w:cantSplit/>
          <w:trHeight w:val="238"/>
        </w:trPr>
        <w:sdt>
          <w:sdtPr>
            <w:rPr>
              <w:sz w:val="15"/>
              <w:szCs w:val="15"/>
            </w:rPr>
            <w:tag w:val="_PLD_f68e676fc6a84daca677728fb4846d5c"/>
            <w:id w:val="-1067873079"/>
          </w:sdtPr>
          <w:sdtContent>
            <w:tc>
              <w:tcPr>
                <w:tcW w:w="1330" w:type="dxa"/>
                <w:vMerge w:val="restart"/>
                <w:tcBorders>
                  <w:top w:val="single" w:sz="4" w:space="0" w:color="auto"/>
                  <w:left w:val="single" w:sz="4" w:space="0" w:color="auto"/>
                  <w:right w:val="single" w:sz="4" w:space="0" w:color="auto"/>
                </w:tcBorders>
                <w:vAlign w:val="center"/>
              </w:tcPr>
              <w:p w14:paraId="12D1D845" w14:textId="77777777" w:rsidR="005E000F" w:rsidRDefault="00000000">
                <w:pPr>
                  <w:jc w:val="center"/>
                  <w:rPr>
                    <w:sz w:val="15"/>
                    <w:szCs w:val="15"/>
                  </w:rPr>
                </w:pPr>
                <w:r>
                  <w:rPr>
                    <w:rFonts w:hint="eastAsia"/>
                    <w:sz w:val="15"/>
                    <w:szCs w:val="15"/>
                  </w:rPr>
                  <w:t>类别</w:t>
                </w:r>
              </w:p>
            </w:tc>
          </w:sdtContent>
        </w:sdt>
        <w:sdt>
          <w:sdtPr>
            <w:rPr>
              <w:sz w:val="15"/>
              <w:szCs w:val="15"/>
            </w:rPr>
            <w:tag w:val="_PLD_7526fe6d315d4e1792a06a3a20f7c8a7"/>
            <w:id w:val="1480267167"/>
          </w:sdtPr>
          <w:sdtContent>
            <w:tc>
              <w:tcPr>
                <w:tcW w:w="3956" w:type="dxa"/>
                <w:gridSpan w:val="5"/>
                <w:tcBorders>
                  <w:top w:val="single" w:sz="4" w:space="0" w:color="auto"/>
                  <w:left w:val="single" w:sz="4" w:space="0" w:color="auto"/>
                  <w:right w:val="single" w:sz="4" w:space="0" w:color="auto"/>
                </w:tcBorders>
                <w:vAlign w:val="center"/>
              </w:tcPr>
              <w:p w14:paraId="1762914E" w14:textId="77777777" w:rsidR="005E000F" w:rsidRDefault="00000000">
                <w:pPr>
                  <w:autoSpaceDE w:val="0"/>
                  <w:autoSpaceDN w:val="0"/>
                  <w:adjustRightInd w:val="0"/>
                  <w:snapToGrid w:val="0"/>
                  <w:spacing w:line="240" w:lineRule="atLeast"/>
                  <w:jc w:val="center"/>
                  <w:rPr>
                    <w:sz w:val="15"/>
                    <w:szCs w:val="15"/>
                  </w:rPr>
                </w:pPr>
                <w:r>
                  <w:rPr>
                    <w:rFonts w:hint="eastAsia"/>
                    <w:sz w:val="15"/>
                    <w:szCs w:val="15"/>
                  </w:rPr>
                  <w:t>期末余额</w:t>
                </w:r>
              </w:p>
            </w:tc>
          </w:sdtContent>
        </w:sdt>
        <w:sdt>
          <w:sdtPr>
            <w:rPr>
              <w:sz w:val="15"/>
              <w:szCs w:val="15"/>
            </w:rPr>
            <w:tag w:val="_PLD_ad93e5a9447e498e88df26e20997a4fa"/>
            <w:id w:val="-1372451372"/>
          </w:sdtPr>
          <w:sdtContent>
            <w:tc>
              <w:tcPr>
                <w:tcW w:w="3763" w:type="dxa"/>
                <w:gridSpan w:val="5"/>
                <w:tcBorders>
                  <w:top w:val="single" w:sz="4" w:space="0" w:color="auto"/>
                  <w:left w:val="single" w:sz="4" w:space="0" w:color="auto"/>
                  <w:right w:val="single" w:sz="4" w:space="0" w:color="auto"/>
                </w:tcBorders>
                <w:vAlign w:val="center"/>
              </w:tcPr>
              <w:p w14:paraId="3B6D26B1" w14:textId="77777777" w:rsidR="005E000F" w:rsidRDefault="00000000">
                <w:pPr>
                  <w:autoSpaceDE w:val="0"/>
                  <w:autoSpaceDN w:val="0"/>
                  <w:adjustRightInd w:val="0"/>
                  <w:snapToGrid w:val="0"/>
                  <w:spacing w:line="240" w:lineRule="atLeast"/>
                  <w:jc w:val="center"/>
                  <w:rPr>
                    <w:sz w:val="15"/>
                    <w:szCs w:val="15"/>
                  </w:rPr>
                </w:pPr>
                <w:r>
                  <w:rPr>
                    <w:rFonts w:hint="eastAsia"/>
                    <w:sz w:val="15"/>
                    <w:szCs w:val="15"/>
                  </w:rPr>
                  <w:t>期初余额</w:t>
                </w:r>
              </w:p>
            </w:tc>
          </w:sdtContent>
        </w:sdt>
      </w:tr>
      <w:tr w:rsidR="005E000F" w14:paraId="5ACA720E" w14:textId="77777777">
        <w:trPr>
          <w:cantSplit/>
          <w:trHeight w:val="227"/>
        </w:trPr>
        <w:tc>
          <w:tcPr>
            <w:tcW w:w="1330" w:type="dxa"/>
            <w:vMerge/>
            <w:tcBorders>
              <w:left w:val="single" w:sz="4" w:space="0" w:color="auto"/>
              <w:right w:val="single" w:sz="4" w:space="0" w:color="auto"/>
            </w:tcBorders>
            <w:vAlign w:val="center"/>
          </w:tcPr>
          <w:p w14:paraId="67611842" w14:textId="77777777" w:rsidR="005E000F" w:rsidRDefault="005E000F">
            <w:pPr>
              <w:rPr>
                <w:sz w:val="15"/>
                <w:szCs w:val="15"/>
              </w:rPr>
            </w:pPr>
          </w:p>
        </w:tc>
        <w:sdt>
          <w:sdtPr>
            <w:rPr>
              <w:sz w:val="15"/>
              <w:szCs w:val="15"/>
            </w:rPr>
            <w:tag w:val="_PLD_efeb6e8fd2c848db89000a127165017d"/>
            <w:id w:val="-1207638912"/>
          </w:sdtPr>
          <w:sdtContent>
            <w:tc>
              <w:tcPr>
                <w:tcW w:w="1623" w:type="dxa"/>
                <w:gridSpan w:val="2"/>
                <w:tcBorders>
                  <w:top w:val="single" w:sz="4" w:space="0" w:color="auto"/>
                  <w:left w:val="single" w:sz="4" w:space="0" w:color="auto"/>
                  <w:bottom w:val="single" w:sz="4" w:space="0" w:color="auto"/>
                  <w:right w:val="single" w:sz="4" w:space="0" w:color="auto"/>
                </w:tcBorders>
                <w:vAlign w:val="center"/>
              </w:tcPr>
              <w:p w14:paraId="12EC8AE0" w14:textId="77777777" w:rsidR="005E000F" w:rsidRDefault="00000000">
                <w:pPr>
                  <w:jc w:val="center"/>
                  <w:rPr>
                    <w:sz w:val="15"/>
                    <w:szCs w:val="15"/>
                  </w:rPr>
                </w:pPr>
                <w:r>
                  <w:rPr>
                    <w:rFonts w:hint="eastAsia"/>
                    <w:sz w:val="15"/>
                    <w:szCs w:val="15"/>
                  </w:rPr>
                  <w:t>账面余额</w:t>
                </w:r>
              </w:p>
            </w:tc>
          </w:sdtContent>
        </w:sdt>
        <w:sdt>
          <w:sdtPr>
            <w:rPr>
              <w:sz w:val="15"/>
              <w:szCs w:val="15"/>
            </w:rPr>
            <w:tag w:val="_PLD_074820a140e444569b9c31ba456d445d"/>
            <w:id w:val="1715693825"/>
          </w:sdtPr>
          <w:sdtContent>
            <w:tc>
              <w:tcPr>
                <w:tcW w:w="1233" w:type="dxa"/>
                <w:gridSpan w:val="2"/>
                <w:tcBorders>
                  <w:top w:val="single" w:sz="4" w:space="0" w:color="auto"/>
                  <w:left w:val="single" w:sz="4" w:space="0" w:color="auto"/>
                  <w:bottom w:val="single" w:sz="4" w:space="0" w:color="auto"/>
                  <w:right w:val="single" w:sz="4" w:space="0" w:color="auto"/>
                </w:tcBorders>
                <w:vAlign w:val="center"/>
              </w:tcPr>
              <w:p w14:paraId="17986043" w14:textId="77777777" w:rsidR="005E000F" w:rsidRDefault="00000000">
                <w:pPr>
                  <w:jc w:val="center"/>
                  <w:rPr>
                    <w:sz w:val="15"/>
                    <w:szCs w:val="15"/>
                  </w:rPr>
                </w:pPr>
                <w:r>
                  <w:rPr>
                    <w:rFonts w:hint="eastAsia"/>
                    <w:sz w:val="15"/>
                    <w:szCs w:val="15"/>
                  </w:rPr>
                  <w:t>坏账准备</w:t>
                </w:r>
              </w:p>
            </w:tc>
          </w:sdtContent>
        </w:sdt>
        <w:sdt>
          <w:sdtPr>
            <w:rPr>
              <w:sz w:val="15"/>
              <w:szCs w:val="15"/>
            </w:rPr>
            <w:tag w:val="_PLD_0e73feade6b64ffea4c07ceb4c74c990"/>
            <w:id w:val="-1723046951"/>
          </w:sdtPr>
          <w:sdtContent>
            <w:tc>
              <w:tcPr>
                <w:tcW w:w="1100" w:type="dxa"/>
                <w:vMerge w:val="restart"/>
                <w:tcBorders>
                  <w:top w:val="single" w:sz="4" w:space="0" w:color="auto"/>
                  <w:left w:val="single" w:sz="4" w:space="0" w:color="auto"/>
                  <w:right w:val="single" w:sz="4" w:space="0" w:color="auto"/>
                </w:tcBorders>
                <w:vAlign w:val="center"/>
              </w:tcPr>
              <w:p w14:paraId="4BB1963F" w14:textId="77777777" w:rsidR="005E000F" w:rsidRDefault="00000000">
                <w:pPr>
                  <w:jc w:val="center"/>
                  <w:rPr>
                    <w:sz w:val="15"/>
                    <w:szCs w:val="15"/>
                  </w:rPr>
                </w:pPr>
                <w:r>
                  <w:rPr>
                    <w:rFonts w:hint="eastAsia"/>
                    <w:sz w:val="15"/>
                    <w:szCs w:val="15"/>
                  </w:rPr>
                  <w:t>账面</w:t>
                </w:r>
              </w:p>
              <w:p w14:paraId="76DDD9A8" w14:textId="77777777" w:rsidR="005E000F" w:rsidRDefault="00000000">
                <w:pPr>
                  <w:jc w:val="center"/>
                  <w:rPr>
                    <w:sz w:val="15"/>
                    <w:szCs w:val="15"/>
                  </w:rPr>
                </w:pPr>
                <w:r>
                  <w:rPr>
                    <w:rFonts w:hint="eastAsia"/>
                    <w:sz w:val="15"/>
                    <w:szCs w:val="15"/>
                  </w:rPr>
                  <w:t>价值</w:t>
                </w:r>
              </w:p>
            </w:tc>
          </w:sdtContent>
        </w:sdt>
        <w:sdt>
          <w:sdtPr>
            <w:rPr>
              <w:sz w:val="15"/>
              <w:szCs w:val="15"/>
            </w:rPr>
            <w:tag w:val="_PLD_b0785464053b4ca089cada115404fd73"/>
            <w:id w:val="-802919793"/>
          </w:sdtPr>
          <w:sdtContent>
            <w:tc>
              <w:tcPr>
                <w:tcW w:w="1655" w:type="dxa"/>
                <w:gridSpan w:val="2"/>
                <w:tcBorders>
                  <w:top w:val="single" w:sz="4" w:space="0" w:color="auto"/>
                  <w:left w:val="single" w:sz="4" w:space="0" w:color="auto"/>
                  <w:right w:val="single" w:sz="4" w:space="0" w:color="auto"/>
                </w:tcBorders>
                <w:vAlign w:val="center"/>
              </w:tcPr>
              <w:p w14:paraId="37F3FC04" w14:textId="77777777" w:rsidR="005E000F" w:rsidRDefault="00000000">
                <w:pPr>
                  <w:jc w:val="center"/>
                  <w:rPr>
                    <w:sz w:val="15"/>
                    <w:szCs w:val="15"/>
                  </w:rPr>
                </w:pPr>
                <w:r>
                  <w:rPr>
                    <w:rFonts w:hint="eastAsia"/>
                    <w:sz w:val="15"/>
                    <w:szCs w:val="15"/>
                  </w:rPr>
                  <w:t>账面余额</w:t>
                </w:r>
              </w:p>
            </w:tc>
          </w:sdtContent>
        </w:sdt>
        <w:sdt>
          <w:sdtPr>
            <w:rPr>
              <w:sz w:val="15"/>
              <w:szCs w:val="15"/>
            </w:rPr>
            <w:tag w:val="_PLD_88d1fec2235e4be89a414fbcacbf61e6"/>
            <w:id w:val="1283469176"/>
          </w:sdtPr>
          <w:sdtContent>
            <w:tc>
              <w:tcPr>
                <w:tcW w:w="1023" w:type="dxa"/>
                <w:gridSpan w:val="2"/>
                <w:tcBorders>
                  <w:top w:val="single" w:sz="4" w:space="0" w:color="auto"/>
                  <w:left w:val="single" w:sz="4" w:space="0" w:color="auto"/>
                  <w:right w:val="single" w:sz="4" w:space="0" w:color="auto"/>
                </w:tcBorders>
                <w:vAlign w:val="center"/>
              </w:tcPr>
              <w:p w14:paraId="2617F434" w14:textId="77777777" w:rsidR="005E000F" w:rsidRDefault="00000000">
                <w:pPr>
                  <w:jc w:val="center"/>
                  <w:rPr>
                    <w:sz w:val="15"/>
                    <w:szCs w:val="15"/>
                  </w:rPr>
                </w:pPr>
                <w:r>
                  <w:rPr>
                    <w:rFonts w:hint="eastAsia"/>
                    <w:sz w:val="15"/>
                    <w:szCs w:val="15"/>
                  </w:rPr>
                  <w:t>坏账准备</w:t>
                </w:r>
              </w:p>
            </w:tc>
          </w:sdtContent>
        </w:sdt>
        <w:sdt>
          <w:sdtPr>
            <w:rPr>
              <w:sz w:val="15"/>
              <w:szCs w:val="15"/>
            </w:rPr>
            <w:tag w:val="_PLD_b24eaddf2f8b49b5875ad2ce73e5a025"/>
            <w:id w:val="1406878676"/>
          </w:sdtPr>
          <w:sdtContent>
            <w:tc>
              <w:tcPr>
                <w:tcW w:w="1085" w:type="dxa"/>
                <w:vMerge w:val="restart"/>
                <w:tcBorders>
                  <w:top w:val="single" w:sz="4" w:space="0" w:color="auto"/>
                  <w:left w:val="single" w:sz="4" w:space="0" w:color="auto"/>
                  <w:right w:val="single" w:sz="4" w:space="0" w:color="auto"/>
                </w:tcBorders>
                <w:vAlign w:val="center"/>
              </w:tcPr>
              <w:p w14:paraId="00004510" w14:textId="77777777" w:rsidR="005E000F" w:rsidRDefault="00000000">
                <w:pPr>
                  <w:jc w:val="center"/>
                  <w:rPr>
                    <w:sz w:val="15"/>
                    <w:szCs w:val="15"/>
                  </w:rPr>
                </w:pPr>
                <w:r>
                  <w:rPr>
                    <w:rFonts w:hint="eastAsia"/>
                    <w:sz w:val="15"/>
                    <w:szCs w:val="15"/>
                  </w:rPr>
                  <w:t>账面</w:t>
                </w:r>
              </w:p>
              <w:p w14:paraId="256625F2" w14:textId="77777777" w:rsidR="005E000F" w:rsidRDefault="00000000">
                <w:pPr>
                  <w:jc w:val="center"/>
                  <w:rPr>
                    <w:sz w:val="15"/>
                    <w:szCs w:val="15"/>
                  </w:rPr>
                </w:pPr>
                <w:r>
                  <w:rPr>
                    <w:rFonts w:hint="eastAsia"/>
                    <w:sz w:val="15"/>
                    <w:szCs w:val="15"/>
                  </w:rPr>
                  <w:t>价值</w:t>
                </w:r>
              </w:p>
            </w:tc>
          </w:sdtContent>
        </w:sdt>
      </w:tr>
      <w:tr w:rsidR="005E000F" w14:paraId="3853F451" w14:textId="77777777">
        <w:trPr>
          <w:cantSplit/>
          <w:trHeight w:val="375"/>
        </w:trPr>
        <w:tc>
          <w:tcPr>
            <w:tcW w:w="1330" w:type="dxa"/>
            <w:vMerge/>
            <w:tcBorders>
              <w:left w:val="single" w:sz="4" w:space="0" w:color="auto"/>
              <w:bottom w:val="single" w:sz="4" w:space="0" w:color="auto"/>
              <w:right w:val="single" w:sz="4" w:space="0" w:color="auto"/>
            </w:tcBorders>
            <w:vAlign w:val="center"/>
          </w:tcPr>
          <w:p w14:paraId="2386731B" w14:textId="77777777" w:rsidR="005E000F" w:rsidRDefault="005E000F">
            <w:pPr>
              <w:rPr>
                <w:sz w:val="15"/>
                <w:szCs w:val="15"/>
              </w:rPr>
            </w:pPr>
          </w:p>
        </w:tc>
        <w:sdt>
          <w:sdtPr>
            <w:rPr>
              <w:sz w:val="15"/>
              <w:szCs w:val="15"/>
            </w:rPr>
            <w:tag w:val="_PLD_017bf1092d274948bd3994b9813f4dc6"/>
            <w:id w:val="1657961080"/>
          </w:sdtPr>
          <w:sdtContent>
            <w:tc>
              <w:tcPr>
                <w:tcW w:w="1156" w:type="dxa"/>
                <w:tcBorders>
                  <w:left w:val="single" w:sz="4" w:space="0" w:color="auto"/>
                  <w:bottom w:val="single" w:sz="4" w:space="0" w:color="auto"/>
                  <w:right w:val="single" w:sz="4" w:space="0" w:color="auto"/>
                </w:tcBorders>
                <w:vAlign w:val="center"/>
              </w:tcPr>
              <w:p w14:paraId="77FA9B7C" w14:textId="77777777" w:rsidR="005E000F" w:rsidRDefault="00000000">
                <w:pPr>
                  <w:jc w:val="center"/>
                  <w:rPr>
                    <w:sz w:val="15"/>
                    <w:szCs w:val="15"/>
                  </w:rPr>
                </w:pPr>
                <w:r>
                  <w:rPr>
                    <w:rFonts w:hint="eastAsia"/>
                    <w:sz w:val="15"/>
                    <w:szCs w:val="15"/>
                  </w:rPr>
                  <w:t>金额</w:t>
                </w:r>
              </w:p>
            </w:tc>
          </w:sdtContent>
        </w:sdt>
        <w:sdt>
          <w:sdtPr>
            <w:rPr>
              <w:sz w:val="15"/>
              <w:szCs w:val="15"/>
            </w:rPr>
            <w:tag w:val="_PLD_d625eb5473464b418050d8c82a2ce675"/>
            <w:id w:val="-1527716224"/>
          </w:sdtPr>
          <w:sdtContent>
            <w:tc>
              <w:tcPr>
                <w:tcW w:w="467" w:type="dxa"/>
                <w:tcBorders>
                  <w:left w:val="single" w:sz="4" w:space="0" w:color="auto"/>
                  <w:bottom w:val="single" w:sz="4" w:space="0" w:color="auto"/>
                  <w:right w:val="single" w:sz="4" w:space="0" w:color="auto"/>
                </w:tcBorders>
                <w:vAlign w:val="center"/>
              </w:tcPr>
              <w:p w14:paraId="642BEB97" w14:textId="77777777" w:rsidR="005E000F" w:rsidRDefault="00000000">
                <w:pPr>
                  <w:jc w:val="center"/>
                  <w:rPr>
                    <w:sz w:val="15"/>
                    <w:szCs w:val="15"/>
                  </w:rPr>
                </w:pPr>
                <w:r>
                  <w:rPr>
                    <w:rFonts w:hint="eastAsia"/>
                    <w:sz w:val="15"/>
                    <w:szCs w:val="15"/>
                  </w:rPr>
                  <w:t>比例（</w:t>
                </w:r>
                <w:r>
                  <w:rPr>
                    <w:sz w:val="15"/>
                    <w:szCs w:val="15"/>
                  </w:rPr>
                  <w:t>%</w:t>
                </w:r>
                <w:r>
                  <w:rPr>
                    <w:rFonts w:hint="eastAsia"/>
                    <w:sz w:val="15"/>
                    <w:szCs w:val="15"/>
                  </w:rPr>
                  <w:t>）</w:t>
                </w:r>
              </w:p>
            </w:tc>
          </w:sdtContent>
        </w:sdt>
        <w:sdt>
          <w:sdtPr>
            <w:rPr>
              <w:sz w:val="15"/>
              <w:szCs w:val="15"/>
            </w:rPr>
            <w:tag w:val="_PLD_b3e0f0b758214e84b36b1fb05394d2a6"/>
            <w:id w:val="471178236"/>
          </w:sdtPr>
          <w:sdtContent>
            <w:tc>
              <w:tcPr>
                <w:tcW w:w="533" w:type="dxa"/>
                <w:tcBorders>
                  <w:left w:val="single" w:sz="4" w:space="0" w:color="auto"/>
                  <w:bottom w:val="single" w:sz="4" w:space="0" w:color="auto"/>
                  <w:right w:val="single" w:sz="4" w:space="0" w:color="auto"/>
                </w:tcBorders>
                <w:vAlign w:val="center"/>
              </w:tcPr>
              <w:p w14:paraId="03F9F054" w14:textId="77777777" w:rsidR="005E000F" w:rsidRDefault="00000000">
                <w:pPr>
                  <w:jc w:val="center"/>
                  <w:rPr>
                    <w:sz w:val="15"/>
                    <w:szCs w:val="15"/>
                  </w:rPr>
                </w:pPr>
                <w:r>
                  <w:rPr>
                    <w:rFonts w:hint="eastAsia"/>
                    <w:sz w:val="15"/>
                    <w:szCs w:val="15"/>
                  </w:rPr>
                  <w:t>金额</w:t>
                </w:r>
              </w:p>
            </w:tc>
          </w:sdtContent>
        </w:sdt>
        <w:sdt>
          <w:sdtPr>
            <w:rPr>
              <w:sz w:val="15"/>
              <w:szCs w:val="15"/>
            </w:rPr>
            <w:tag w:val="_PLD_2d4a63a9e2d842b98c030b4de75fda81"/>
            <w:id w:val="2004850985"/>
          </w:sdtPr>
          <w:sdtContent>
            <w:tc>
              <w:tcPr>
                <w:tcW w:w="700" w:type="dxa"/>
                <w:tcBorders>
                  <w:left w:val="single" w:sz="4" w:space="0" w:color="auto"/>
                  <w:bottom w:val="single" w:sz="4" w:space="0" w:color="auto"/>
                  <w:right w:val="single" w:sz="4" w:space="0" w:color="auto"/>
                </w:tcBorders>
                <w:vAlign w:val="center"/>
              </w:tcPr>
              <w:p w14:paraId="26856C48" w14:textId="77777777" w:rsidR="005E000F" w:rsidRDefault="00000000">
                <w:pPr>
                  <w:jc w:val="center"/>
                  <w:rPr>
                    <w:sz w:val="15"/>
                    <w:szCs w:val="15"/>
                  </w:rPr>
                </w:pPr>
                <w:r>
                  <w:rPr>
                    <w:rFonts w:hint="eastAsia"/>
                    <w:sz w:val="15"/>
                    <w:szCs w:val="15"/>
                  </w:rPr>
                  <w:t>计提比例（</w:t>
                </w:r>
                <w:r>
                  <w:rPr>
                    <w:sz w:val="15"/>
                    <w:szCs w:val="15"/>
                  </w:rPr>
                  <w:t>%</w:t>
                </w:r>
                <w:r>
                  <w:rPr>
                    <w:rFonts w:hint="eastAsia"/>
                    <w:sz w:val="15"/>
                    <w:szCs w:val="15"/>
                  </w:rPr>
                  <w:t>）</w:t>
                </w:r>
              </w:p>
            </w:tc>
          </w:sdtContent>
        </w:sdt>
        <w:tc>
          <w:tcPr>
            <w:tcW w:w="1100" w:type="dxa"/>
            <w:vMerge/>
            <w:tcBorders>
              <w:left w:val="single" w:sz="4" w:space="0" w:color="auto"/>
              <w:bottom w:val="single" w:sz="4" w:space="0" w:color="auto"/>
              <w:right w:val="single" w:sz="4" w:space="0" w:color="auto"/>
            </w:tcBorders>
            <w:vAlign w:val="center"/>
          </w:tcPr>
          <w:p w14:paraId="6797CE9C" w14:textId="77777777" w:rsidR="005E000F" w:rsidRDefault="005E000F">
            <w:pPr>
              <w:jc w:val="center"/>
              <w:rPr>
                <w:sz w:val="15"/>
                <w:szCs w:val="15"/>
              </w:rPr>
            </w:pPr>
          </w:p>
        </w:tc>
        <w:sdt>
          <w:sdtPr>
            <w:rPr>
              <w:sz w:val="15"/>
              <w:szCs w:val="15"/>
            </w:rPr>
            <w:tag w:val="_PLD_6ca5b2e0e4244969b5d3b6e1d2038e49"/>
            <w:id w:val="489378226"/>
          </w:sdtPr>
          <w:sdtContent>
            <w:tc>
              <w:tcPr>
                <w:tcW w:w="1100" w:type="dxa"/>
                <w:tcBorders>
                  <w:left w:val="single" w:sz="4" w:space="0" w:color="auto"/>
                  <w:bottom w:val="single" w:sz="4" w:space="0" w:color="auto"/>
                  <w:right w:val="single" w:sz="4" w:space="0" w:color="auto"/>
                </w:tcBorders>
                <w:vAlign w:val="center"/>
              </w:tcPr>
              <w:p w14:paraId="45DE2950" w14:textId="77777777" w:rsidR="005E000F" w:rsidRDefault="00000000">
                <w:pPr>
                  <w:jc w:val="center"/>
                  <w:rPr>
                    <w:sz w:val="15"/>
                    <w:szCs w:val="15"/>
                  </w:rPr>
                </w:pPr>
                <w:r>
                  <w:rPr>
                    <w:rFonts w:hint="eastAsia"/>
                    <w:sz w:val="15"/>
                    <w:szCs w:val="15"/>
                  </w:rPr>
                  <w:t>金额</w:t>
                </w:r>
              </w:p>
            </w:tc>
          </w:sdtContent>
        </w:sdt>
        <w:sdt>
          <w:sdtPr>
            <w:rPr>
              <w:sz w:val="15"/>
              <w:szCs w:val="15"/>
            </w:rPr>
            <w:tag w:val="_PLD_95988aa897a0485bac7b4f6f07505308"/>
            <w:id w:val="2034771070"/>
          </w:sdtPr>
          <w:sdtContent>
            <w:tc>
              <w:tcPr>
                <w:tcW w:w="555" w:type="dxa"/>
                <w:tcBorders>
                  <w:left w:val="single" w:sz="4" w:space="0" w:color="auto"/>
                  <w:bottom w:val="single" w:sz="4" w:space="0" w:color="auto"/>
                  <w:right w:val="single" w:sz="4" w:space="0" w:color="auto"/>
                </w:tcBorders>
                <w:vAlign w:val="center"/>
              </w:tcPr>
              <w:p w14:paraId="76E3B874" w14:textId="77777777" w:rsidR="005E000F" w:rsidRDefault="00000000">
                <w:pPr>
                  <w:jc w:val="center"/>
                  <w:rPr>
                    <w:sz w:val="15"/>
                    <w:szCs w:val="15"/>
                  </w:rPr>
                </w:pPr>
                <w:r>
                  <w:rPr>
                    <w:rFonts w:hint="eastAsia"/>
                    <w:sz w:val="15"/>
                    <w:szCs w:val="15"/>
                  </w:rPr>
                  <w:t>比例（</w:t>
                </w:r>
                <w:r>
                  <w:rPr>
                    <w:sz w:val="15"/>
                    <w:szCs w:val="15"/>
                  </w:rPr>
                  <w:t>%</w:t>
                </w:r>
                <w:r>
                  <w:rPr>
                    <w:rFonts w:hint="eastAsia"/>
                    <w:sz w:val="15"/>
                    <w:szCs w:val="15"/>
                  </w:rPr>
                  <w:t>）</w:t>
                </w:r>
              </w:p>
            </w:tc>
          </w:sdtContent>
        </w:sdt>
        <w:sdt>
          <w:sdtPr>
            <w:rPr>
              <w:sz w:val="15"/>
              <w:szCs w:val="15"/>
            </w:rPr>
            <w:tag w:val="_PLD_74ee8f5e539042c8944a895be658983f"/>
            <w:id w:val="1040096372"/>
          </w:sdtPr>
          <w:sdtContent>
            <w:tc>
              <w:tcPr>
                <w:tcW w:w="489" w:type="dxa"/>
                <w:tcBorders>
                  <w:left w:val="single" w:sz="4" w:space="0" w:color="auto"/>
                  <w:bottom w:val="single" w:sz="4" w:space="0" w:color="auto"/>
                  <w:right w:val="single" w:sz="4" w:space="0" w:color="auto"/>
                </w:tcBorders>
                <w:vAlign w:val="center"/>
              </w:tcPr>
              <w:p w14:paraId="1928248B" w14:textId="77777777" w:rsidR="005E000F" w:rsidRDefault="00000000">
                <w:pPr>
                  <w:jc w:val="center"/>
                  <w:rPr>
                    <w:sz w:val="15"/>
                    <w:szCs w:val="15"/>
                  </w:rPr>
                </w:pPr>
                <w:r>
                  <w:rPr>
                    <w:rFonts w:hint="eastAsia"/>
                    <w:sz w:val="15"/>
                    <w:szCs w:val="15"/>
                  </w:rPr>
                  <w:t>金额</w:t>
                </w:r>
              </w:p>
            </w:tc>
          </w:sdtContent>
        </w:sdt>
        <w:sdt>
          <w:sdtPr>
            <w:rPr>
              <w:sz w:val="15"/>
              <w:szCs w:val="15"/>
            </w:rPr>
            <w:tag w:val="_PLD_5968b7c1fceb4e109559c839ec045cc3"/>
            <w:id w:val="1647708650"/>
          </w:sdtPr>
          <w:sdtContent>
            <w:tc>
              <w:tcPr>
                <w:tcW w:w="534" w:type="dxa"/>
                <w:tcBorders>
                  <w:left w:val="single" w:sz="4" w:space="0" w:color="auto"/>
                  <w:bottom w:val="single" w:sz="4" w:space="0" w:color="auto"/>
                  <w:right w:val="single" w:sz="4" w:space="0" w:color="auto"/>
                </w:tcBorders>
                <w:vAlign w:val="center"/>
              </w:tcPr>
              <w:p w14:paraId="340E9947" w14:textId="77777777" w:rsidR="005E000F" w:rsidRDefault="00000000">
                <w:pPr>
                  <w:jc w:val="center"/>
                  <w:rPr>
                    <w:sz w:val="15"/>
                    <w:szCs w:val="15"/>
                  </w:rPr>
                </w:pPr>
                <w:r>
                  <w:rPr>
                    <w:rFonts w:hint="eastAsia"/>
                    <w:sz w:val="15"/>
                    <w:szCs w:val="15"/>
                  </w:rPr>
                  <w:t>计提比例（</w:t>
                </w:r>
                <w:r>
                  <w:rPr>
                    <w:sz w:val="15"/>
                    <w:szCs w:val="15"/>
                  </w:rPr>
                  <w:t>%</w:t>
                </w:r>
                <w:r>
                  <w:rPr>
                    <w:rFonts w:hint="eastAsia"/>
                    <w:sz w:val="15"/>
                    <w:szCs w:val="15"/>
                  </w:rPr>
                  <w:t>）</w:t>
                </w:r>
              </w:p>
            </w:tc>
          </w:sdtContent>
        </w:sdt>
        <w:tc>
          <w:tcPr>
            <w:tcW w:w="1085" w:type="dxa"/>
            <w:vMerge/>
            <w:tcBorders>
              <w:left w:val="single" w:sz="4" w:space="0" w:color="auto"/>
              <w:bottom w:val="single" w:sz="4" w:space="0" w:color="auto"/>
              <w:right w:val="single" w:sz="4" w:space="0" w:color="auto"/>
            </w:tcBorders>
            <w:vAlign w:val="center"/>
          </w:tcPr>
          <w:p w14:paraId="2F1AF5C9" w14:textId="77777777" w:rsidR="005E000F" w:rsidRDefault="005E000F">
            <w:pPr>
              <w:jc w:val="center"/>
              <w:rPr>
                <w:sz w:val="15"/>
                <w:szCs w:val="15"/>
              </w:rPr>
            </w:pPr>
          </w:p>
        </w:tc>
      </w:tr>
      <w:tr w:rsidR="005E000F" w14:paraId="14E3DF2C" w14:textId="77777777">
        <w:trPr>
          <w:cantSplit/>
        </w:trPr>
        <w:tc>
          <w:tcPr>
            <w:tcW w:w="1330" w:type="dxa"/>
            <w:tcBorders>
              <w:top w:val="single" w:sz="4" w:space="0" w:color="auto"/>
              <w:left w:val="single" w:sz="4" w:space="0" w:color="auto"/>
              <w:bottom w:val="single" w:sz="4" w:space="0" w:color="auto"/>
              <w:right w:val="single" w:sz="4" w:space="0" w:color="auto"/>
            </w:tcBorders>
            <w:vAlign w:val="center"/>
          </w:tcPr>
          <w:p w14:paraId="07D0882B" w14:textId="77777777" w:rsidR="005E000F" w:rsidRDefault="00000000">
            <w:pPr>
              <w:rPr>
                <w:sz w:val="15"/>
                <w:szCs w:val="15"/>
              </w:rPr>
            </w:pPr>
            <w:r>
              <w:rPr>
                <w:rFonts w:hint="eastAsia"/>
                <w:sz w:val="15"/>
                <w:szCs w:val="15"/>
              </w:rPr>
              <w:t>按组合计提坏账准备</w:t>
            </w:r>
          </w:p>
        </w:tc>
        <w:tc>
          <w:tcPr>
            <w:tcW w:w="1156" w:type="dxa"/>
            <w:tcBorders>
              <w:top w:val="single" w:sz="4" w:space="0" w:color="auto"/>
              <w:left w:val="single" w:sz="4" w:space="0" w:color="auto"/>
              <w:bottom w:val="single" w:sz="4" w:space="0" w:color="auto"/>
              <w:right w:val="single" w:sz="4" w:space="0" w:color="auto"/>
            </w:tcBorders>
            <w:vAlign w:val="center"/>
          </w:tcPr>
          <w:p w14:paraId="66048AB2" w14:textId="77777777" w:rsidR="005E000F" w:rsidRDefault="00000000">
            <w:pPr>
              <w:jc w:val="right"/>
              <w:rPr>
                <w:sz w:val="15"/>
                <w:szCs w:val="15"/>
                <w:lang w:val="en-GB"/>
              </w:rPr>
            </w:pPr>
            <w:r>
              <w:rPr>
                <w:rFonts w:hint="eastAsia"/>
                <w:sz w:val="15"/>
                <w:szCs w:val="15"/>
              </w:rPr>
              <w:t>3,110,596,621</w:t>
            </w:r>
          </w:p>
        </w:tc>
        <w:tc>
          <w:tcPr>
            <w:tcW w:w="467" w:type="dxa"/>
            <w:tcBorders>
              <w:top w:val="single" w:sz="4" w:space="0" w:color="auto"/>
              <w:left w:val="single" w:sz="4" w:space="0" w:color="auto"/>
              <w:bottom w:val="single" w:sz="4" w:space="0" w:color="auto"/>
              <w:right w:val="single" w:sz="4" w:space="0" w:color="auto"/>
            </w:tcBorders>
            <w:vAlign w:val="center"/>
          </w:tcPr>
          <w:p w14:paraId="5749CDE4" w14:textId="77777777" w:rsidR="005E000F" w:rsidRDefault="00000000">
            <w:pPr>
              <w:jc w:val="right"/>
              <w:rPr>
                <w:sz w:val="15"/>
                <w:szCs w:val="15"/>
                <w:lang w:val="en-GB"/>
              </w:rPr>
            </w:pPr>
            <w:r>
              <w:rPr>
                <w:rFonts w:hint="eastAsia"/>
                <w:sz w:val="15"/>
                <w:szCs w:val="15"/>
              </w:rPr>
              <w:t>100</w:t>
            </w:r>
          </w:p>
        </w:tc>
        <w:tc>
          <w:tcPr>
            <w:tcW w:w="533" w:type="dxa"/>
            <w:tcBorders>
              <w:top w:val="single" w:sz="4" w:space="0" w:color="auto"/>
              <w:left w:val="single" w:sz="4" w:space="0" w:color="auto"/>
              <w:bottom w:val="single" w:sz="4" w:space="0" w:color="auto"/>
              <w:right w:val="single" w:sz="4" w:space="0" w:color="auto"/>
            </w:tcBorders>
            <w:vAlign w:val="center"/>
          </w:tcPr>
          <w:p w14:paraId="456C8E00" w14:textId="77777777" w:rsidR="005E000F" w:rsidRDefault="00000000">
            <w:pPr>
              <w:jc w:val="right"/>
              <w:rPr>
                <w:sz w:val="15"/>
                <w:szCs w:val="15"/>
              </w:rPr>
            </w:pPr>
            <w:r>
              <w:rPr>
                <w:rFonts w:hint="eastAsia"/>
                <w:sz w:val="15"/>
                <w:szCs w:val="15"/>
              </w:rPr>
              <w:t>0</w:t>
            </w:r>
          </w:p>
        </w:tc>
        <w:tc>
          <w:tcPr>
            <w:tcW w:w="700" w:type="dxa"/>
            <w:tcBorders>
              <w:top w:val="single" w:sz="4" w:space="0" w:color="auto"/>
              <w:left w:val="single" w:sz="4" w:space="0" w:color="auto"/>
              <w:bottom w:val="single" w:sz="4" w:space="0" w:color="auto"/>
              <w:right w:val="single" w:sz="4" w:space="0" w:color="auto"/>
            </w:tcBorders>
            <w:vAlign w:val="center"/>
          </w:tcPr>
          <w:p w14:paraId="70907E99" w14:textId="77777777" w:rsidR="005E000F" w:rsidRDefault="00000000">
            <w:pPr>
              <w:jc w:val="right"/>
              <w:rPr>
                <w:sz w:val="15"/>
                <w:szCs w:val="15"/>
              </w:rPr>
            </w:pPr>
            <w:r>
              <w:rPr>
                <w:rFonts w:hint="eastAsia"/>
                <w:sz w:val="15"/>
                <w:szCs w:val="15"/>
              </w:rPr>
              <w:t>0</w:t>
            </w:r>
          </w:p>
        </w:tc>
        <w:tc>
          <w:tcPr>
            <w:tcW w:w="1100" w:type="dxa"/>
            <w:tcBorders>
              <w:top w:val="single" w:sz="4" w:space="0" w:color="auto"/>
              <w:left w:val="single" w:sz="4" w:space="0" w:color="auto"/>
              <w:bottom w:val="single" w:sz="4" w:space="0" w:color="auto"/>
              <w:right w:val="single" w:sz="4" w:space="0" w:color="auto"/>
            </w:tcBorders>
            <w:vAlign w:val="center"/>
          </w:tcPr>
          <w:p w14:paraId="7255A34C" w14:textId="77777777" w:rsidR="005E000F" w:rsidRDefault="00000000">
            <w:pPr>
              <w:jc w:val="right"/>
              <w:rPr>
                <w:sz w:val="15"/>
                <w:szCs w:val="15"/>
                <w:lang w:val="en-GB"/>
              </w:rPr>
            </w:pPr>
            <w:r>
              <w:rPr>
                <w:rFonts w:hint="eastAsia"/>
                <w:sz w:val="15"/>
                <w:szCs w:val="15"/>
              </w:rPr>
              <w:t>3,110,596,621</w:t>
            </w:r>
          </w:p>
        </w:tc>
        <w:tc>
          <w:tcPr>
            <w:tcW w:w="1100" w:type="dxa"/>
            <w:tcBorders>
              <w:top w:val="single" w:sz="4" w:space="0" w:color="auto"/>
              <w:left w:val="single" w:sz="4" w:space="0" w:color="auto"/>
              <w:bottom w:val="single" w:sz="4" w:space="0" w:color="auto"/>
              <w:right w:val="single" w:sz="4" w:space="0" w:color="auto"/>
            </w:tcBorders>
            <w:vAlign w:val="center"/>
          </w:tcPr>
          <w:p w14:paraId="5A669437" w14:textId="77777777" w:rsidR="005E000F" w:rsidRDefault="00000000">
            <w:pPr>
              <w:jc w:val="right"/>
              <w:rPr>
                <w:sz w:val="15"/>
                <w:szCs w:val="15"/>
              </w:rPr>
            </w:pPr>
            <w:r>
              <w:rPr>
                <w:rFonts w:hint="eastAsia"/>
                <w:sz w:val="15"/>
                <w:szCs w:val="15"/>
              </w:rPr>
              <w:t>2,440,076,387</w:t>
            </w:r>
          </w:p>
        </w:tc>
        <w:tc>
          <w:tcPr>
            <w:tcW w:w="555" w:type="dxa"/>
            <w:tcBorders>
              <w:top w:val="single" w:sz="4" w:space="0" w:color="auto"/>
              <w:left w:val="single" w:sz="4" w:space="0" w:color="auto"/>
              <w:bottom w:val="single" w:sz="4" w:space="0" w:color="auto"/>
              <w:right w:val="single" w:sz="4" w:space="0" w:color="auto"/>
            </w:tcBorders>
            <w:vAlign w:val="center"/>
          </w:tcPr>
          <w:p w14:paraId="2C50FAB1" w14:textId="77777777" w:rsidR="005E000F" w:rsidRDefault="00000000">
            <w:pPr>
              <w:jc w:val="right"/>
              <w:rPr>
                <w:sz w:val="15"/>
                <w:szCs w:val="15"/>
              </w:rPr>
            </w:pPr>
            <w:r>
              <w:rPr>
                <w:rFonts w:hint="eastAsia"/>
                <w:sz w:val="15"/>
                <w:szCs w:val="15"/>
              </w:rPr>
              <w:t>100</w:t>
            </w:r>
          </w:p>
        </w:tc>
        <w:tc>
          <w:tcPr>
            <w:tcW w:w="489" w:type="dxa"/>
            <w:tcBorders>
              <w:top w:val="single" w:sz="4" w:space="0" w:color="auto"/>
              <w:left w:val="single" w:sz="4" w:space="0" w:color="auto"/>
              <w:bottom w:val="single" w:sz="4" w:space="0" w:color="auto"/>
              <w:right w:val="single" w:sz="4" w:space="0" w:color="auto"/>
            </w:tcBorders>
            <w:vAlign w:val="center"/>
          </w:tcPr>
          <w:p w14:paraId="39AE23AE" w14:textId="77777777" w:rsidR="005E000F" w:rsidRDefault="00000000">
            <w:pPr>
              <w:jc w:val="right"/>
              <w:rPr>
                <w:sz w:val="15"/>
                <w:szCs w:val="15"/>
              </w:rPr>
            </w:pPr>
            <w:r>
              <w:rPr>
                <w:rFonts w:hint="eastAsia"/>
                <w:sz w:val="15"/>
                <w:szCs w:val="15"/>
              </w:rPr>
              <w:t>0</w:t>
            </w:r>
          </w:p>
        </w:tc>
        <w:tc>
          <w:tcPr>
            <w:tcW w:w="534" w:type="dxa"/>
            <w:tcBorders>
              <w:top w:val="single" w:sz="4" w:space="0" w:color="auto"/>
              <w:left w:val="single" w:sz="4" w:space="0" w:color="auto"/>
              <w:bottom w:val="single" w:sz="4" w:space="0" w:color="auto"/>
              <w:right w:val="single" w:sz="4" w:space="0" w:color="auto"/>
            </w:tcBorders>
            <w:vAlign w:val="center"/>
          </w:tcPr>
          <w:p w14:paraId="689B99B5" w14:textId="77777777" w:rsidR="005E000F" w:rsidRDefault="00000000">
            <w:pPr>
              <w:jc w:val="right"/>
              <w:rPr>
                <w:sz w:val="15"/>
                <w:szCs w:val="15"/>
              </w:rPr>
            </w:pPr>
            <w:r>
              <w:rPr>
                <w:rFonts w:hint="eastAsia"/>
                <w:sz w:val="15"/>
                <w:szCs w:val="15"/>
              </w:rPr>
              <w:t>0</w:t>
            </w:r>
          </w:p>
        </w:tc>
        <w:tc>
          <w:tcPr>
            <w:tcW w:w="1085" w:type="dxa"/>
            <w:tcBorders>
              <w:top w:val="single" w:sz="4" w:space="0" w:color="auto"/>
              <w:left w:val="single" w:sz="4" w:space="0" w:color="auto"/>
              <w:bottom w:val="single" w:sz="4" w:space="0" w:color="auto"/>
              <w:right w:val="single" w:sz="4" w:space="0" w:color="auto"/>
            </w:tcBorders>
            <w:vAlign w:val="center"/>
          </w:tcPr>
          <w:p w14:paraId="3464AA3E" w14:textId="77777777" w:rsidR="005E000F" w:rsidRDefault="00000000">
            <w:pPr>
              <w:jc w:val="right"/>
              <w:rPr>
                <w:sz w:val="15"/>
                <w:szCs w:val="15"/>
              </w:rPr>
            </w:pPr>
            <w:r>
              <w:rPr>
                <w:rFonts w:hint="eastAsia"/>
                <w:sz w:val="15"/>
                <w:szCs w:val="15"/>
              </w:rPr>
              <w:t>2,440,076,387</w:t>
            </w:r>
          </w:p>
        </w:tc>
      </w:tr>
      <w:tr w:rsidR="005E000F" w14:paraId="17D32833" w14:textId="77777777">
        <w:trPr>
          <w:cantSplit/>
        </w:trPr>
        <w:tc>
          <w:tcPr>
            <w:tcW w:w="1330" w:type="dxa"/>
            <w:tcBorders>
              <w:top w:val="single" w:sz="4" w:space="0" w:color="auto"/>
              <w:left w:val="single" w:sz="4" w:space="0" w:color="auto"/>
              <w:bottom w:val="single" w:sz="4" w:space="0" w:color="auto"/>
              <w:right w:val="single" w:sz="4" w:space="0" w:color="auto"/>
            </w:tcBorders>
            <w:vAlign w:val="center"/>
          </w:tcPr>
          <w:p w14:paraId="04F55BE0" w14:textId="77777777" w:rsidR="005E000F" w:rsidRDefault="00000000">
            <w:pPr>
              <w:autoSpaceDE w:val="0"/>
              <w:autoSpaceDN w:val="0"/>
              <w:adjustRightInd w:val="0"/>
              <w:jc w:val="center"/>
              <w:rPr>
                <w:sz w:val="15"/>
                <w:szCs w:val="15"/>
              </w:rPr>
            </w:pPr>
            <w:r>
              <w:rPr>
                <w:rFonts w:hint="eastAsia"/>
                <w:sz w:val="15"/>
                <w:szCs w:val="15"/>
              </w:rPr>
              <w:t>合计</w:t>
            </w:r>
          </w:p>
        </w:tc>
        <w:tc>
          <w:tcPr>
            <w:tcW w:w="1156" w:type="dxa"/>
            <w:tcBorders>
              <w:top w:val="single" w:sz="4" w:space="0" w:color="auto"/>
              <w:left w:val="single" w:sz="4" w:space="0" w:color="auto"/>
              <w:bottom w:val="single" w:sz="4" w:space="0" w:color="auto"/>
              <w:right w:val="single" w:sz="4" w:space="0" w:color="auto"/>
            </w:tcBorders>
            <w:vAlign w:val="center"/>
          </w:tcPr>
          <w:p w14:paraId="53D25F64" w14:textId="77777777" w:rsidR="005E000F" w:rsidRDefault="00000000">
            <w:pPr>
              <w:jc w:val="right"/>
              <w:rPr>
                <w:sz w:val="15"/>
                <w:szCs w:val="15"/>
              </w:rPr>
            </w:pPr>
            <w:r>
              <w:rPr>
                <w:rFonts w:hint="eastAsia"/>
                <w:sz w:val="15"/>
                <w:szCs w:val="15"/>
              </w:rPr>
              <w:t>3,110,596,621</w:t>
            </w:r>
          </w:p>
        </w:tc>
        <w:tc>
          <w:tcPr>
            <w:tcW w:w="467" w:type="dxa"/>
            <w:tcBorders>
              <w:top w:val="single" w:sz="4" w:space="0" w:color="auto"/>
              <w:left w:val="single" w:sz="4" w:space="0" w:color="auto"/>
              <w:bottom w:val="single" w:sz="4" w:space="0" w:color="auto"/>
              <w:right w:val="single" w:sz="4" w:space="0" w:color="auto"/>
            </w:tcBorders>
            <w:vAlign w:val="center"/>
          </w:tcPr>
          <w:p w14:paraId="48A24FF3" w14:textId="77777777" w:rsidR="005E000F" w:rsidRDefault="00000000">
            <w:pPr>
              <w:jc w:val="right"/>
              <w:rPr>
                <w:sz w:val="15"/>
                <w:szCs w:val="15"/>
              </w:rPr>
            </w:pPr>
            <w:r>
              <w:rPr>
                <w:rFonts w:hint="eastAsia"/>
                <w:sz w:val="15"/>
                <w:szCs w:val="15"/>
              </w:rPr>
              <w:t>/</w:t>
            </w:r>
          </w:p>
        </w:tc>
        <w:tc>
          <w:tcPr>
            <w:tcW w:w="533" w:type="dxa"/>
            <w:tcBorders>
              <w:top w:val="single" w:sz="4" w:space="0" w:color="auto"/>
              <w:left w:val="single" w:sz="4" w:space="0" w:color="auto"/>
              <w:bottom w:val="single" w:sz="4" w:space="0" w:color="auto"/>
              <w:right w:val="single" w:sz="4" w:space="0" w:color="auto"/>
            </w:tcBorders>
            <w:vAlign w:val="center"/>
          </w:tcPr>
          <w:p w14:paraId="15E20834" w14:textId="77777777" w:rsidR="005E000F" w:rsidRDefault="00000000">
            <w:pPr>
              <w:jc w:val="right"/>
              <w:rPr>
                <w:sz w:val="15"/>
                <w:szCs w:val="15"/>
              </w:rPr>
            </w:pPr>
            <w:r>
              <w:rPr>
                <w:rFonts w:hint="eastAsia"/>
                <w:sz w:val="15"/>
                <w:szCs w:val="15"/>
              </w:rPr>
              <w:t>0</w:t>
            </w:r>
          </w:p>
        </w:tc>
        <w:tc>
          <w:tcPr>
            <w:tcW w:w="700" w:type="dxa"/>
            <w:tcBorders>
              <w:top w:val="single" w:sz="4" w:space="0" w:color="auto"/>
              <w:left w:val="single" w:sz="4" w:space="0" w:color="auto"/>
              <w:bottom w:val="single" w:sz="4" w:space="0" w:color="auto"/>
              <w:right w:val="single" w:sz="4" w:space="0" w:color="auto"/>
            </w:tcBorders>
            <w:vAlign w:val="center"/>
          </w:tcPr>
          <w:p w14:paraId="1B616E16" w14:textId="77777777" w:rsidR="005E000F" w:rsidRDefault="00000000">
            <w:pPr>
              <w:jc w:val="right"/>
              <w:rPr>
                <w:sz w:val="15"/>
                <w:szCs w:val="15"/>
              </w:rPr>
            </w:pPr>
            <w:r>
              <w:rPr>
                <w:rFonts w:hint="eastAsia"/>
                <w:sz w:val="15"/>
                <w:szCs w:val="15"/>
              </w:rPr>
              <w:t>/</w:t>
            </w:r>
          </w:p>
        </w:tc>
        <w:tc>
          <w:tcPr>
            <w:tcW w:w="1100" w:type="dxa"/>
            <w:tcBorders>
              <w:top w:val="single" w:sz="4" w:space="0" w:color="auto"/>
              <w:left w:val="single" w:sz="4" w:space="0" w:color="auto"/>
              <w:bottom w:val="single" w:sz="4" w:space="0" w:color="auto"/>
              <w:right w:val="single" w:sz="4" w:space="0" w:color="auto"/>
            </w:tcBorders>
            <w:vAlign w:val="center"/>
          </w:tcPr>
          <w:p w14:paraId="03C90881" w14:textId="77777777" w:rsidR="005E000F" w:rsidRDefault="00000000">
            <w:pPr>
              <w:jc w:val="right"/>
              <w:rPr>
                <w:sz w:val="15"/>
                <w:szCs w:val="15"/>
              </w:rPr>
            </w:pPr>
            <w:r>
              <w:rPr>
                <w:rFonts w:hint="eastAsia"/>
                <w:sz w:val="15"/>
                <w:szCs w:val="15"/>
              </w:rPr>
              <w:t>3,110,596,621</w:t>
            </w:r>
          </w:p>
        </w:tc>
        <w:tc>
          <w:tcPr>
            <w:tcW w:w="1100" w:type="dxa"/>
            <w:tcBorders>
              <w:top w:val="single" w:sz="4" w:space="0" w:color="auto"/>
              <w:left w:val="single" w:sz="4" w:space="0" w:color="auto"/>
              <w:bottom w:val="single" w:sz="4" w:space="0" w:color="auto"/>
              <w:right w:val="single" w:sz="4" w:space="0" w:color="auto"/>
            </w:tcBorders>
          </w:tcPr>
          <w:p w14:paraId="5257ED6B" w14:textId="77777777" w:rsidR="005E000F" w:rsidRDefault="00000000">
            <w:pPr>
              <w:jc w:val="right"/>
              <w:rPr>
                <w:sz w:val="15"/>
                <w:szCs w:val="15"/>
              </w:rPr>
            </w:pPr>
            <w:r>
              <w:rPr>
                <w:rFonts w:hint="eastAsia"/>
                <w:sz w:val="15"/>
                <w:szCs w:val="15"/>
              </w:rPr>
              <w:t>2,440,076,387</w:t>
            </w:r>
          </w:p>
        </w:tc>
        <w:tc>
          <w:tcPr>
            <w:tcW w:w="555" w:type="dxa"/>
            <w:tcBorders>
              <w:top w:val="single" w:sz="4" w:space="0" w:color="auto"/>
              <w:left w:val="single" w:sz="4" w:space="0" w:color="auto"/>
              <w:bottom w:val="single" w:sz="4" w:space="0" w:color="auto"/>
              <w:right w:val="single" w:sz="4" w:space="0" w:color="auto"/>
            </w:tcBorders>
          </w:tcPr>
          <w:p w14:paraId="123BF053" w14:textId="77777777" w:rsidR="005E000F" w:rsidRDefault="00000000">
            <w:pPr>
              <w:jc w:val="right"/>
              <w:rPr>
                <w:sz w:val="15"/>
                <w:szCs w:val="15"/>
              </w:rPr>
            </w:pPr>
            <w:r>
              <w:rPr>
                <w:rFonts w:hint="eastAsia"/>
                <w:color w:val="000000"/>
                <w:sz w:val="15"/>
                <w:szCs w:val="15"/>
              </w:rPr>
              <w:t>/</w:t>
            </w:r>
          </w:p>
        </w:tc>
        <w:tc>
          <w:tcPr>
            <w:tcW w:w="489" w:type="dxa"/>
            <w:tcBorders>
              <w:top w:val="single" w:sz="4" w:space="0" w:color="auto"/>
              <w:left w:val="single" w:sz="4" w:space="0" w:color="auto"/>
              <w:bottom w:val="single" w:sz="4" w:space="0" w:color="auto"/>
              <w:right w:val="single" w:sz="4" w:space="0" w:color="auto"/>
            </w:tcBorders>
          </w:tcPr>
          <w:p w14:paraId="207F5A73" w14:textId="77777777" w:rsidR="005E000F" w:rsidRDefault="00000000">
            <w:pPr>
              <w:jc w:val="right"/>
              <w:rPr>
                <w:sz w:val="15"/>
                <w:szCs w:val="15"/>
              </w:rPr>
            </w:pPr>
            <w:r>
              <w:rPr>
                <w:rFonts w:hint="eastAsia"/>
                <w:sz w:val="15"/>
                <w:szCs w:val="15"/>
              </w:rPr>
              <w:t>0</w:t>
            </w:r>
          </w:p>
        </w:tc>
        <w:tc>
          <w:tcPr>
            <w:tcW w:w="534" w:type="dxa"/>
            <w:tcBorders>
              <w:top w:val="single" w:sz="4" w:space="0" w:color="auto"/>
              <w:left w:val="single" w:sz="4" w:space="0" w:color="auto"/>
              <w:bottom w:val="single" w:sz="4" w:space="0" w:color="auto"/>
              <w:right w:val="single" w:sz="4" w:space="0" w:color="auto"/>
            </w:tcBorders>
          </w:tcPr>
          <w:p w14:paraId="50BDAD64" w14:textId="77777777" w:rsidR="005E000F" w:rsidRDefault="00000000">
            <w:pPr>
              <w:jc w:val="right"/>
              <w:rPr>
                <w:sz w:val="15"/>
                <w:szCs w:val="15"/>
              </w:rPr>
            </w:pPr>
            <w:r>
              <w:rPr>
                <w:rFonts w:hint="eastAsia"/>
                <w:color w:val="000000"/>
                <w:sz w:val="15"/>
                <w:szCs w:val="15"/>
              </w:rPr>
              <w:t>/</w:t>
            </w:r>
          </w:p>
        </w:tc>
        <w:tc>
          <w:tcPr>
            <w:tcW w:w="1085" w:type="dxa"/>
            <w:tcBorders>
              <w:top w:val="single" w:sz="4" w:space="0" w:color="auto"/>
              <w:left w:val="single" w:sz="4" w:space="0" w:color="auto"/>
              <w:bottom w:val="single" w:sz="4" w:space="0" w:color="auto"/>
              <w:right w:val="single" w:sz="4" w:space="0" w:color="auto"/>
            </w:tcBorders>
          </w:tcPr>
          <w:p w14:paraId="17B1B756" w14:textId="77777777" w:rsidR="005E000F" w:rsidRDefault="00000000">
            <w:pPr>
              <w:jc w:val="right"/>
              <w:rPr>
                <w:sz w:val="15"/>
                <w:szCs w:val="15"/>
              </w:rPr>
            </w:pPr>
            <w:r>
              <w:rPr>
                <w:rFonts w:hint="eastAsia"/>
                <w:sz w:val="15"/>
                <w:szCs w:val="15"/>
              </w:rPr>
              <w:t>2,440,076,387</w:t>
            </w:r>
          </w:p>
        </w:tc>
      </w:tr>
    </w:tbl>
    <w:p w14:paraId="1AB9EAB8" w14:textId="77777777" w:rsidR="005E000F" w:rsidRDefault="005E000F"/>
    <w:p w14:paraId="696E658A" w14:textId="77777777" w:rsidR="005E000F" w:rsidRDefault="00000000">
      <w:r>
        <w:rPr>
          <w:rFonts w:hint="eastAsia"/>
        </w:rPr>
        <w:t>按单项计提坏账准备：</w:t>
      </w:r>
    </w:p>
    <w:sdt>
      <w:sdtPr>
        <w:alias w:val="是否适用：按单项计提坏账准备的详细情况[双击切换]"/>
        <w:tag w:val="_GBC_65f67a26c8854813ab351f644b5cb549"/>
        <w:id w:val="1801181135"/>
        <w:placeholder>
          <w:docPart w:val="GBC22222222222222222222222222222"/>
        </w:placeholder>
      </w:sdtPr>
      <w:sdtContent>
        <w:p w14:paraId="4B3A510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743309E" w14:textId="77777777" w:rsidR="005E000F" w:rsidRDefault="005E000F"/>
    <w:p w14:paraId="07ACE449" w14:textId="77777777" w:rsidR="005E000F" w:rsidRDefault="00000000">
      <w:r>
        <w:rPr>
          <w:rFonts w:hint="eastAsia"/>
        </w:rPr>
        <w:t>按单项计提坏账准备的说明：</w:t>
      </w:r>
    </w:p>
    <w:sdt>
      <w:sdtPr>
        <w:alias w:val="是否适用：按单项计提坏账准备的说明[双击切换]"/>
        <w:tag w:val="_GBC_d2e6ec1c09f24f3f8d01b46d2d307db0"/>
        <w:id w:val="1864160339"/>
        <w:placeholder>
          <w:docPart w:val="GBC22222222222222222222222222222"/>
        </w:placeholder>
      </w:sdtPr>
      <w:sdtContent>
        <w:p w14:paraId="0EBE718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170E6E" w14:textId="77777777" w:rsidR="005E000F" w:rsidRDefault="005E000F"/>
    <w:p w14:paraId="7E91747D" w14:textId="77777777" w:rsidR="005E000F" w:rsidRDefault="0000000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8f072c0ad15941d789bf25455711e72b"/>
        <w:id w:val="1647012083"/>
        <w:placeholder>
          <w:docPart w:val="GBC22222222222222222222222222222"/>
        </w:placeholder>
      </w:sdtPr>
      <w:sdtContent>
        <w:p w14:paraId="2D2EDA25" w14:textId="77777777" w:rsidR="005E000F" w:rsidRDefault="0000000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7973854B" w14:textId="77777777" w:rsidR="005E000F" w:rsidRDefault="005E000F"/>
    <w:p w14:paraId="5FCD95DD" w14:textId="77777777" w:rsidR="005E000F" w:rsidRDefault="005E000F">
      <w:pPr>
        <w:rPr>
          <w:rFonts w:ascii="Calibri" w:hAnsi="Calibri"/>
          <w:b/>
          <w:bCs/>
          <w:szCs w:val="22"/>
        </w:rPr>
      </w:pPr>
    </w:p>
    <w:p w14:paraId="6CFB36CB" w14:textId="77777777" w:rsidR="005E000F" w:rsidRDefault="00000000">
      <w:pPr>
        <w:rPr>
          <w:rFonts w:cstheme="minorBidi"/>
          <w:bCs/>
          <w:szCs w:val="22"/>
        </w:rPr>
      </w:pPr>
      <w:bookmarkStart w:id="291" w:name="_Hlk154134692"/>
      <w:bookmarkStart w:id="292" w:name="_Hlk153372713"/>
      <w:r>
        <w:rPr>
          <w:rFonts w:cstheme="minorBidi" w:hint="eastAsia"/>
          <w:bCs/>
          <w:szCs w:val="22"/>
        </w:rPr>
        <w:t>按预期信用损失一般模型计提坏账准备</w:t>
      </w:r>
    </w:p>
    <w:sdt>
      <w:sdtPr>
        <w:rPr>
          <w:rFonts w:cstheme="minorBidi"/>
          <w:bCs/>
          <w:szCs w:val="22"/>
        </w:rPr>
        <w:alias w:val="是否适用：按预期信用损失一般模型计提坏账准备[双击切换]"/>
        <w:tag w:val="_GBC_711e992fa6a34dd7aa5a5725743204fa"/>
        <w:id w:val="413973707"/>
        <w:placeholder>
          <w:docPart w:val="GBC22222222222222222222222222222"/>
        </w:placeholder>
      </w:sdtPr>
      <w:sdtContent>
        <w:p w14:paraId="7C71FF15" w14:textId="77777777" w:rsidR="005E000F" w:rsidRDefault="00000000">
          <w:pPr>
            <w:rPr>
              <w:rFonts w:cstheme="minorBidi"/>
              <w:bCs/>
              <w:szCs w:val="22"/>
            </w:rPr>
          </w:pPr>
          <w:r>
            <w:rPr>
              <w:rFonts w:ascii="宋体" w:hAnsi="宋体" w:cstheme="minorBidi"/>
              <w:bCs/>
              <w:szCs w:val="22"/>
            </w:rPr>
            <w:fldChar w:fldCharType="begin"/>
          </w:r>
          <w:r>
            <w:rPr>
              <w:rFonts w:ascii="宋体" w:hAnsi="宋体" w:cstheme="minorBidi" w:hint="eastAsia"/>
              <w:bCs/>
              <w:szCs w:val="22"/>
            </w:rPr>
            <w:instrText xml:space="preserve"> MACROBUTTON  SnrToggleCheckbox □适用 </w:instrText>
          </w:r>
          <w:r>
            <w:rPr>
              <w:rFonts w:ascii="宋体" w:hAnsi="宋体" w:cstheme="minorBidi"/>
              <w:bCs/>
              <w:szCs w:val="22"/>
            </w:rPr>
            <w:fldChar w:fldCharType="end"/>
          </w:r>
          <w:r>
            <w:rPr>
              <w:rFonts w:ascii="宋体" w:hAnsi="宋体" w:cstheme="minorBidi"/>
              <w:bCs/>
              <w:szCs w:val="22"/>
            </w:rPr>
            <w:fldChar w:fldCharType="begin"/>
          </w:r>
          <w:r>
            <w:rPr>
              <w:rFonts w:ascii="宋体" w:hAnsi="宋体" w:cstheme="minorBidi" w:hint="eastAsia"/>
              <w:bCs/>
              <w:szCs w:val="22"/>
            </w:rPr>
            <w:instrText xml:space="preserve"> MACROBUTTON  SnrToggleCheckbox √不适用 </w:instrText>
          </w:r>
          <w:r>
            <w:rPr>
              <w:rFonts w:ascii="宋体" w:hAnsi="宋体" w:cstheme="minorBidi"/>
              <w:bCs/>
              <w:szCs w:val="22"/>
            </w:rPr>
            <w:fldChar w:fldCharType="end"/>
          </w:r>
        </w:p>
      </w:sdtContent>
    </w:sdt>
    <w:p w14:paraId="3C53B3DA" w14:textId="77777777" w:rsidR="005E000F" w:rsidRDefault="005E000F"/>
    <w:p w14:paraId="72278956"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2bf6f4d4451c46a9a45370b7317253a2"/>
        <w:id w:val="1012111178"/>
        <w:placeholder>
          <w:docPart w:val="GBC22222222222222222222222222222"/>
        </w:placeholder>
      </w:sdtPr>
      <w:sdtContent>
        <w:p w14:paraId="71CC8B98" w14:textId="77777777" w:rsidR="005E000F" w:rsidRDefault="00000000">
          <w:pPr>
            <w:rPr>
              <w:bCs/>
              <w:szCs w:val="22"/>
            </w:rPr>
          </w:pPr>
          <w:r>
            <w:rPr>
              <w:rFonts w:hint="eastAsia"/>
              <w:bCs/>
              <w:szCs w:val="22"/>
            </w:rPr>
            <w:t>无</w:t>
          </w:r>
        </w:p>
      </w:sdtContent>
    </w:sdt>
    <w:p w14:paraId="4F144107" w14:textId="77777777" w:rsidR="005E000F" w:rsidRDefault="005E000F">
      <w:pPr>
        <w:rPr>
          <w:rFonts w:asciiTheme="minorHAnsi" w:hAnsiTheme="minorHAnsi" w:cstheme="minorBidi"/>
          <w:b/>
          <w:bCs/>
          <w:szCs w:val="22"/>
        </w:rPr>
      </w:pPr>
    </w:p>
    <w:p w14:paraId="570F784B" w14:textId="77777777" w:rsidR="005E000F" w:rsidRDefault="00000000">
      <w:pPr>
        <w:pStyle w:val="affb"/>
      </w:pPr>
      <w:r>
        <w:rPr>
          <w:rFonts w:hint="eastAsia"/>
        </w:rPr>
        <w:t>对本期发生损失准备变动的应收款项融资账面余额显著变动的情况说明：</w:t>
      </w:r>
    </w:p>
    <w:sdt>
      <w:sdtPr>
        <w:alias w:val="是否适用：对本期发生损失准备变动的账面余额显著变动的情况说明[双击切换]"/>
        <w:tag w:val="_GBC_14de6d8177254b0abb86a102aa2886f9"/>
        <w:id w:val="1626191629"/>
        <w:placeholder>
          <w:docPart w:val="GBC22222222222222222222222222222"/>
        </w:placeholder>
      </w:sdtPr>
      <w:sdtContent>
        <w:p w14:paraId="0786AB6B"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6AD700" w14:textId="77777777" w:rsidR="005E000F" w:rsidRDefault="005E000F">
      <w:pPr>
        <w:rPr>
          <w:rFonts w:asciiTheme="minorHAnsi" w:hAnsiTheme="minorHAnsi" w:cstheme="minorBidi"/>
          <w:b/>
          <w:bCs/>
          <w:szCs w:val="22"/>
        </w:rPr>
      </w:pPr>
    </w:p>
    <w:bookmarkEnd w:id="291"/>
    <w:bookmarkEnd w:id="292"/>
    <w:p w14:paraId="21C6FE82" w14:textId="77777777" w:rsidR="005E000F" w:rsidRDefault="00000000">
      <w:pPr>
        <w:pStyle w:val="4"/>
        <w:numPr>
          <w:ilvl w:val="0"/>
          <w:numId w:val="70"/>
        </w:numPr>
      </w:pPr>
      <w:r>
        <w:rPr>
          <w:rFonts w:hint="eastAsia"/>
        </w:rPr>
        <w:t>坏账准备的情况</w:t>
      </w:r>
    </w:p>
    <w:sdt>
      <w:sdtPr>
        <w:alias w:val="是否适用：坏账准备情况[双击切换]"/>
        <w:tag w:val="_GBC_9eb14f08b86f4a7096cd60413baf3092"/>
        <w:id w:val="1999301295"/>
        <w:placeholder>
          <w:docPart w:val="GBC22222222222222222222222222222"/>
        </w:placeholder>
      </w:sdtPr>
      <w:sdtContent>
        <w:p w14:paraId="6A1E7D1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EB1E094" w14:textId="77777777" w:rsidR="005E000F" w:rsidRDefault="005E000F"/>
    <w:p w14:paraId="790165F4" w14:textId="77777777" w:rsidR="005E000F" w:rsidRDefault="00000000">
      <w:r>
        <w:rPr>
          <w:rFonts w:hint="eastAsia"/>
        </w:rPr>
        <w:t>其中本期坏账准备收回或转回金额重要的：</w:t>
      </w:r>
    </w:p>
    <w:sdt>
      <w:sdtPr>
        <w:alias w:val="是否适用：本期坏账准备收回或转回金额重要的[双击切换]"/>
        <w:tag w:val="_GBC_2b51db20288a43b39962432da30280fe"/>
        <w:id w:val="-1689513174"/>
        <w:placeholder>
          <w:docPart w:val="GBC22222222222222222222222222222"/>
        </w:placeholder>
      </w:sdtPr>
      <w:sdtContent>
        <w:p w14:paraId="45B139D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043AFB" w14:textId="77777777" w:rsidR="005E000F" w:rsidRDefault="005E000F"/>
    <w:p w14:paraId="2C57752B" w14:textId="77777777" w:rsidR="005E000F" w:rsidRDefault="00000000">
      <w:r>
        <w:rPr>
          <w:rFonts w:hint="eastAsia"/>
        </w:rPr>
        <w:t>其他说明：</w:t>
      </w:r>
    </w:p>
    <w:sdt>
      <w:sdtPr>
        <w:alias w:val="坏账准备情况的说明"/>
        <w:tag w:val="_GBC_e8b4225586244ec9b8d5ae0de000f4e4"/>
        <w:id w:val="491687907"/>
        <w:placeholder>
          <w:docPart w:val="GBC22222222222222222222222222222"/>
        </w:placeholder>
      </w:sdtPr>
      <w:sdtContent>
        <w:p w14:paraId="3236BF20" w14:textId="77777777" w:rsidR="005E000F" w:rsidRDefault="00000000">
          <w:pPr>
            <w:ind w:rightChars="20" w:right="42"/>
          </w:pPr>
          <w:r>
            <w:rPr>
              <w:rFonts w:hint="eastAsia"/>
            </w:rPr>
            <w:t>无</w:t>
          </w:r>
        </w:p>
      </w:sdtContent>
    </w:sdt>
    <w:p w14:paraId="794EF38E" w14:textId="77777777" w:rsidR="005E000F" w:rsidRDefault="005E000F">
      <w:pPr>
        <w:ind w:rightChars="-759" w:right="-1594"/>
      </w:pPr>
    </w:p>
    <w:p w14:paraId="64E292FB" w14:textId="77777777" w:rsidR="005E000F" w:rsidRDefault="00000000">
      <w:pPr>
        <w:pStyle w:val="4"/>
        <w:numPr>
          <w:ilvl w:val="0"/>
          <w:numId w:val="70"/>
        </w:numPr>
      </w:pPr>
      <w:r>
        <w:lastRenderedPageBreak/>
        <w:t>本期实际核销的应收款项融资情况</w:t>
      </w:r>
    </w:p>
    <w:sdt>
      <w:sdtPr>
        <w:alias w:val="是否适用：实际核销的情况[双击切换]"/>
        <w:tag w:val="_GBC_4075b47847034ec5b4b4aeeb85217687"/>
        <w:id w:val="1299880894"/>
        <w:placeholder>
          <w:docPart w:val="GBC22222222222222222222222222222"/>
        </w:placeholder>
      </w:sdtPr>
      <w:sdtContent>
        <w:p w14:paraId="632DA5E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941D539" w14:textId="77777777" w:rsidR="005E000F" w:rsidRDefault="005E000F"/>
    <w:p w14:paraId="1D9DCACB" w14:textId="77777777" w:rsidR="005E000F" w:rsidRDefault="00000000">
      <w:r>
        <w:rPr>
          <w:rFonts w:hint="eastAsia"/>
        </w:rPr>
        <w:t>其中重要的应收款项融资核销情况</w:t>
      </w:r>
    </w:p>
    <w:sdt>
      <w:sdtPr>
        <w:rPr>
          <w:rFonts w:hint="eastAsia"/>
        </w:rPr>
        <w:alias w:val="是否适用：重要的核销情况[双击切换]"/>
        <w:tag w:val="_GBC_a1c05dd99dc343f883b67997da317840"/>
        <w:id w:val="440278069"/>
        <w:placeholder>
          <w:docPart w:val="GBC22222222222222222222222222222"/>
        </w:placeholder>
      </w:sdtPr>
      <w:sdtContent>
        <w:p w14:paraId="4979947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841F824" w14:textId="77777777" w:rsidR="005E000F" w:rsidRDefault="005E000F"/>
    <w:p w14:paraId="75D96586" w14:textId="77777777" w:rsidR="005E000F" w:rsidRDefault="00000000">
      <w:pPr>
        <w:snapToGrid w:val="0"/>
        <w:spacing w:line="240" w:lineRule="atLeast"/>
      </w:pPr>
      <w:r>
        <w:rPr>
          <w:rFonts w:hint="eastAsia"/>
        </w:rPr>
        <w:t>核销说明：</w:t>
      </w:r>
    </w:p>
    <w:sdt>
      <w:sdtPr>
        <w:alias w:val="是否适用：核销说明[双击切换]"/>
        <w:tag w:val="_GBC_960239b4d8f94352ba13280d190272c1"/>
        <w:id w:val="-1637254093"/>
        <w:placeholder>
          <w:docPart w:val="GBC22222222222222222222222222222"/>
        </w:placeholder>
      </w:sdtPr>
      <w:sdtContent>
        <w:p w14:paraId="3018CDD3"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29CF324" w14:textId="77777777" w:rsidR="005E000F" w:rsidRDefault="005E000F"/>
    <w:p w14:paraId="1A287D9A" w14:textId="77777777" w:rsidR="005E000F" w:rsidRDefault="00000000">
      <w:pPr>
        <w:pStyle w:val="4"/>
        <w:numPr>
          <w:ilvl w:val="0"/>
          <w:numId w:val="70"/>
        </w:numPr>
      </w:pPr>
      <w:r>
        <w:rPr>
          <w:rFonts w:hint="eastAsia"/>
        </w:rPr>
        <w:t>应收款项融资本期增减变动及公允价值变动情况</w:t>
      </w:r>
      <w:r>
        <w:t>：</w:t>
      </w:r>
    </w:p>
    <w:sdt>
      <w:sdtPr>
        <w:rPr>
          <w:rFonts w:hint="eastAsia"/>
        </w:rPr>
        <w:alias w:val="是否适用：应收款项融资本期增减变动及公允价值变动情况[双击切换]"/>
        <w:tag w:val="_GBC_1265a117176c43939de7d6d1e043f692"/>
        <w:id w:val="1364317491"/>
        <w:placeholder>
          <w:docPart w:val="GBC22222222222222222222222222222"/>
        </w:placeholder>
      </w:sdtPr>
      <w:sdtContent>
        <w:p w14:paraId="1E67486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alias w:val="应收款项融资本期增减变动及公允价值变动情况"/>
        <w:tag w:val="_GBC_700eec67c70943f6b1187ef40ea2b404"/>
        <w:id w:val="2114165588"/>
        <w:placeholder>
          <w:docPart w:val="32BB5AF4C50E4CB98B775F263D25236E"/>
        </w:placeholder>
      </w:sdtPr>
      <w:sdtContent>
        <w:p w14:paraId="7B514785" w14:textId="77777777" w:rsidR="005E000F" w:rsidRDefault="00000000">
          <w:r>
            <w:rPr>
              <w:rFonts w:hint="eastAsia"/>
            </w:rPr>
            <w:t>详见附注十三、</w:t>
          </w:r>
          <w:r>
            <w:rPr>
              <w:rFonts w:hint="eastAsia"/>
            </w:rPr>
            <w:t>1</w:t>
          </w:r>
          <w:r>
            <w:rPr>
              <w:rFonts w:hint="eastAsia"/>
            </w:rPr>
            <w:t>和</w:t>
          </w:r>
          <w:r>
            <w:rPr>
              <w:rFonts w:hint="eastAsia"/>
            </w:rPr>
            <w:t>3</w:t>
          </w:r>
          <w:r>
            <w:rPr>
              <w:rFonts w:hint="eastAsia"/>
            </w:rPr>
            <w:t>。</w:t>
          </w:r>
        </w:p>
      </w:sdtContent>
    </w:sdt>
    <w:p w14:paraId="7831AAAE" w14:textId="77777777" w:rsidR="005E000F" w:rsidRDefault="005E000F"/>
    <w:bookmarkEnd w:id="287"/>
    <w:bookmarkEnd w:id="289"/>
    <w:bookmarkEnd w:id="288"/>
    <w:p w14:paraId="246DCEAC" w14:textId="77777777" w:rsidR="005E000F" w:rsidRDefault="00000000">
      <w:pPr>
        <w:pStyle w:val="4"/>
        <w:numPr>
          <w:ilvl w:val="0"/>
          <w:numId w:val="70"/>
        </w:numPr>
      </w:pPr>
      <w:r>
        <w:rPr>
          <w:rFonts w:hint="eastAsia"/>
        </w:rPr>
        <w:t>其他</w:t>
      </w:r>
      <w:r>
        <w:t>说明</w:t>
      </w:r>
    </w:p>
    <w:bookmarkStart w:id="293" w:name="_Hlk13057390" w:displacedByCustomXml="next"/>
    <w:sdt>
      <w:sdtPr>
        <w:rPr>
          <w:rFonts w:hint="eastAsia"/>
        </w:rPr>
        <w:alias w:val="是否适用：应收款项融资其他说明[双击切换]"/>
        <w:tag w:val="_GBC_19d5ef5dfbe64f2d98d9ab83a2e48c14"/>
        <w:id w:val="898163605"/>
        <w:placeholder>
          <w:docPart w:val="GBC22222222222222222222222222222"/>
        </w:placeholder>
      </w:sdtPr>
      <w:sdtContent>
        <w:p w14:paraId="239E60E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293" w:displacedByCustomXml="next"/>
    <w:sdt>
      <w:sdtPr>
        <w:rPr>
          <w:rFonts w:hint="eastAsia"/>
        </w:rPr>
        <w:alias w:val="应收款项融资其他说明"/>
        <w:tag w:val="_GBC_608e828d52814b6da9669fa32e97e5e1"/>
        <w:id w:val="647794396"/>
        <w:placeholder>
          <w:docPart w:val="DDC3B5CF0C244A619CD03C5A4DFF694B"/>
        </w:placeholder>
      </w:sdtPr>
      <w:sdtContent>
        <w:p w14:paraId="0DF804D1" w14:textId="77777777" w:rsidR="005E000F" w:rsidRDefault="00000000">
          <w:r>
            <w:rPr>
              <w:rFonts w:hint="eastAsia"/>
            </w:rPr>
            <w:t>本集团无单项计提减值准备的银行承兑汇票。于</w:t>
          </w:r>
          <w:r>
            <w:rPr>
              <w:rFonts w:hint="eastAsia"/>
            </w:rPr>
            <w:t>2025</w:t>
          </w:r>
          <w:r>
            <w:rPr>
              <w:rFonts w:hint="eastAsia"/>
            </w:rPr>
            <w:t>年</w:t>
          </w:r>
          <w:r>
            <w:rPr>
              <w:rFonts w:hint="eastAsia"/>
            </w:rPr>
            <w:t>12</w:t>
          </w:r>
          <w:r>
            <w:rPr>
              <w:rFonts w:hint="eastAsia"/>
            </w:rPr>
            <w:t>月</w:t>
          </w:r>
          <w:r>
            <w:rPr>
              <w:rFonts w:hint="eastAsia"/>
            </w:rPr>
            <w:t>31</w:t>
          </w:r>
          <w:r>
            <w:rPr>
              <w:rFonts w:hint="eastAsia"/>
            </w:rPr>
            <w:t>日，本集团按照整个存续期预期信用损失计量坏账准备，本集团认为所持有的银行承兑汇票不存在重大信用风险，不会因银行违约而产生重大损失。</w:t>
          </w:r>
        </w:p>
        <w:p w14:paraId="7EDD6E4F" w14:textId="77777777" w:rsidR="005E000F" w:rsidRDefault="005E000F"/>
        <w:p w14:paraId="0FDDC93C" w14:textId="77777777" w:rsidR="005E000F" w:rsidRDefault="00000000">
          <w:r>
            <w:rPr>
              <w:rFonts w:hint="eastAsia"/>
            </w:rPr>
            <w:t>于</w:t>
          </w:r>
          <w:r>
            <w:rPr>
              <w:rFonts w:hint="eastAsia"/>
            </w:rPr>
            <w:t>2025</w:t>
          </w:r>
          <w:r>
            <w:rPr>
              <w:rFonts w:hint="eastAsia"/>
            </w:rPr>
            <w:t>年</w:t>
          </w:r>
          <w:r>
            <w:rPr>
              <w:rFonts w:hint="eastAsia"/>
            </w:rPr>
            <w:t>12</w:t>
          </w:r>
          <w:r>
            <w:rPr>
              <w:rFonts w:hint="eastAsia"/>
            </w:rPr>
            <w:t>月</w:t>
          </w:r>
          <w:r>
            <w:rPr>
              <w:rFonts w:hint="eastAsia"/>
            </w:rPr>
            <w:t>31</w:t>
          </w:r>
          <w:r>
            <w:rPr>
              <w:rFonts w:hint="eastAsia"/>
            </w:rPr>
            <w:t>日，附有追索权已背书但尚未到期且已终止确认的银行承兑汇票为人民币</w:t>
          </w:r>
          <w:r>
            <w:rPr>
              <w:rFonts w:hint="eastAsia"/>
            </w:rPr>
            <w:t>2,032,298,586</w:t>
          </w:r>
          <w:r>
            <w:rPr>
              <w:rFonts w:hint="eastAsia"/>
            </w:rPr>
            <w:t>元，附有追索权已贴现但尚未到期且已终止确认的银行承兑汇票为人民币</w:t>
          </w:r>
          <w:r>
            <w:rPr>
              <w:rFonts w:hint="eastAsia"/>
            </w:rPr>
            <w:t>850,201,583</w:t>
          </w:r>
          <w:r>
            <w:rPr>
              <w:rFonts w:hint="eastAsia"/>
            </w:rPr>
            <w:t>元，本集团管理层认为，其与票据所有权相关的风险和报酬均已转移，符合终止确认的条件，因此于财务报表中予以终止确认。</w:t>
          </w:r>
        </w:p>
      </w:sdtContent>
    </w:sdt>
    <w:p w14:paraId="4A7DB214" w14:textId="77777777" w:rsidR="005E000F" w:rsidRDefault="005E000F"/>
    <w:p w14:paraId="53257458" w14:textId="77777777" w:rsidR="005E000F" w:rsidRDefault="00000000">
      <w:pPr>
        <w:pStyle w:val="3"/>
        <w:numPr>
          <w:ilvl w:val="0"/>
          <w:numId w:val="66"/>
        </w:numPr>
      </w:pPr>
      <w:r>
        <w:rPr>
          <w:rFonts w:hint="eastAsia"/>
        </w:rPr>
        <w:t>预付款项</w:t>
      </w:r>
    </w:p>
    <w:p w14:paraId="5EED2DF5" w14:textId="77777777" w:rsidR="005E000F" w:rsidRDefault="00000000">
      <w:pPr>
        <w:pStyle w:val="4"/>
        <w:numPr>
          <w:ilvl w:val="3"/>
          <w:numId w:val="71"/>
        </w:numPr>
        <w:ind w:left="426" w:hanging="426"/>
      </w:pPr>
      <w:r>
        <w:rPr>
          <w:rFonts w:hint="eastAsia"/>
        </w:rPr>
        <w:t>预付</w:t>
      </w:r>
      <w:proofErr w:type="gramStart"/>
      <w:r>
        <w:rPr>
          <w:rFonts w:hint="eastAsia"/>
        </w:rPr>
        <w:t>款项按账龄</w:t>
      </w:r>
      <w:proofErr w:type="gramEnd"/>
      <w:r>
        <w:rPr>
          <w:rFonts w:hint="eastAsia"/>
        </w:rPr>
        <w:t>列示</w:t>
      </w:r>
    </w:p>
    <w:sdt>
      <w:sdtPr>
        <w:rPr>
          <w:rFonts w:hint="eastAsia"/>
        </w:rPr>
        <w:alias w:val="是否适用：预付款项按账龄列示[双击切换]"/>
        <w:tag w:val="_GBC_9c50af2eedb44a33921bab4a9f5ef35c"/>
        <w:id w:val="-180205903"/>
        <w:placeholder>
          <w:docPart w:val="GBC22222222222222222222222222222"/>
        </w:placeholder>
      </w:sdtPr>
      <w:sdtContent>
        <w:p w14:paraId="4C08EF9D"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DDD2B30" w14:textId="77777777" w:rsidR="005E000F" w:rsidRDefault="00000000">
      <w:pPr>
        <w:jc w:val="right"/>
        <w:rPr>
          <w:b/>
        </w:rPr>
      </w:pPr>
      <w:r>
        <w:rPr>
          <w:rFonts w:hint="eastAsia"/>
        </w:rPr>
        <w:t>单位：</w:t>
      </w:r>
      <w:sdt>
        <w:sdtPr>
          <w:rPr>
            <w:rFonts w:hint="eastAsia"/>
          </w:rPr>
          <w:alias w:val="单位：财务附注：预付账款账龄"/>
          <w:tag w:val="_GBC_25e874c523c14d528beabbdb96c27981"/>
          <w:id w:val="139902130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预付账款账龄"/>
          <w:tag w:val="_GBC_5fd49f072b7e406886d7d66537c647e5"/>
          <w:id w:val="-100904923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386"/>
        <w:gridCol w:w="1925"/>
        <w:gridCol w:w="1912"/>
        <w:gridCol w:w="1909"/>
        <w:gridCol w:w="1926"/>
      </w:tblGrid>
      <w:tr w:rsidR="005E000F" w14:paraId="5CEC11A3" w14:textId="77777777">
        <w:trPr>
          <w:cantSplit/>
          <w:trHeight w:val="237"/>
        </w:trPr>
        <w:sdt>
          <w:sdtPr>
            <w:tag w:val="_PLD_497c76328aa14442bd9ed8d02efaffdc"/>
            <w:id w:val="-32353017"/>
          </w:sdtPr>
          <w:sdtContent>
            <w:tc>
              <w:tcPr>
                <w:tcW w:w="1386" w:type="dxa"/>
                <w:vMerge w:val="restart"/>
                <w:vAlign w:val="center"/>
              </w:tcPr>
              <w:p w14:paraId="78CE790C" w14:textId="77777777" w:rsidR="005E000F" w:rsidRDefault="00000000">
                <w:pPr>
                  <w:ind w:right="5"/>
                  <w:jc w:val="center"/>
                </w:pPr>
                <w:r>
                  <w:rPr>
                    <w:rFonts w:hint="eastAsia"/>
                  </w:rPr>
                  <w:t>账龄</w:t>
                </w:r>
              </w:p>
            </w:tc>
          </w:sdtContent>
        </w:sdt>
        <w:sdt>
          <w:sdtPr>
            <w:tag w:val="_PLD_3c7cef9fd55549768916decb59114918"/>
            <w:id w:val="1142704316"/>
          </w:sdtPr>
          <w:sdtContent>
            <w:tc>
              <w:tcPr>
                <w:tcW w:w="3837" w:type="dxa"/>
                <w:gridSpan w:val="2"/>
                <w:vAlign w:val="center"/>
              </w:tcPr>
              <w:p w14:paraId="2406AC6F" w14:textId="77777777" w:rsidR="005E000F" w:rsidRDefault="00000000">
                <w:pPr>
                  <w:ind w:right="5"/>
                  <w:jc w:val="center"/>
                </w:pPr>
                <w:r>
                  <w:rPr>
                    <w:rFonts w:hint="eastAsia"/>
                  </w:rPr>
                  <w:t>期末余额</w:t>
                </w:r>
              </w:p>
            </w:tc>
          </w:sdtContent>
        </w:sdt>
        <w:sdt>
          <w:sdtPr>
            <w:tag w:val="_PLD_3338d9aea932468fa8faa1bef2db4526"/>
            <w:id w:val="-1665232963"/>
          </w:sdtPr>
          <w:sdtContent>
            <w:tc>
              <w:tcPr>
                <w:tcW w:w="3835" w:type="dxa"/>
                <w:gridSpan w:val="2"/>
                <w:vAlign w:val="center"/>
              </w:tcPr>
              <w:p w14:paraId="2F11E788" w14:textId="77777777" w:rsidR="005E000F" w:rsidRDefault="00000000">
                <w:pPr>
                  <w:ind w:right="5"/>
                  <w:jc w:val="center"/>
                </w:pPr>
                <w:r>
                  <w:rPr>
                    <w:rFonts w:hint="eastAsia"/>
                  </w:rPr>
                  <w:t>期初余额</w:t>
                </w:r>
              </w:p>
            </w:tc>
          </w:sdtContent>
        </w:sdt>
      </w:tr>
      <w:tr w:rsidR="005E000F" w14:paraId="67ACF3D0" w14:textId="77777777">
        <w:trPr>
          <w:cantSplit/>
        </w:trPr>
        <w:tc>
          <w:tcPr>
            <w:tcW w:w="1386" w:type="dxa"/>
            <w:vMerge/>
            <w:vAlign w:val="center"/>
          </w:tcPr>
          <w:p w14:paraId="676D941F" w14:textId="77777777" w:rsidR="005E000F" w:rsidRDefault="005E000F"/>
        </w:tc>
        <w:sdt>
          <w:sdtPr>
            <w:tag w:val="_PLD_2b1b05d61c574fe485d979f04a81c8c9"/>
            <w:id w:val="-1520619339"/>
          </w:sdtPr>
          <w:sdtContent>
            <w:tc>
              <w:tcPr>
                <w:tcW w:w="1925" w:type="dxa"/>
                <w:vAlign w:val="center"/>
              </w:tcPr>
              <w:p w14:paraId="71D85767" w14:textId="77777777" w:rsidR="005E000F" w:rsidRDefault="00000000">
                <w:pPr>
                  <w:ind w:right="5"/>
                  <w:jc w:val="center"/>
                </w:pPr>
                <w:r>
                  <w:rPr>
                    <w:rFonts w:hint="eastAsia"/>
                  </w:rPr>
                  <w:t>金额</w:t>
                </w:r>
              </w:p>
            </w:tc>
          </w:sdtContent>
        </w:sdt>
        <w:sdt>
          <w:sdtPr>
            <w:tag w:val="_PLD_7faf25028eff45ce8c6bf33a9060f296"/>
            <w:id w:val="-837845874"/>
          </w:sdtPr>
          <w:sdtContent>
            <w:tc>
              <w:tcPr>
                <w:tcW w:w="1912" w:type="dxa"/>
                <w:vAlign w:val="center"/>
              </w:tcPr>
              <w:p w14:paraId="139E0B13" w14:textId="77777777" w:rsidR="005E000F" w:rsidRDefault="00000000">
                <w:pPr>
                  <w:ind w:right="5"/>
                  <w:jc w:val="center"/>
                </w:pPr>
                <w:r>
                  <w:rPr>
                    <w:rFonts w:hint="eastAsia"/>
                  </w:rPr>
                  <w:t>比例（</w:t>
                </w:r>
                <w:r>
                  <w:t>%</w:t>
                </w:r>
                <w:r>
                  <w:rPr>
                    <w:rFonts w:hint="eastAsia"/>
                  </w:rPr>
                  <w:t>）</w:t>
                </w:r>
              </w:p>
            </w:tc>
          </w:sdtContent>
        </w:sdt>
        <w:sdt>
          <w:sdtPr>
            <w:tag w:val="_PLD_56219e7f20ba4e60b1a3edd32c1c534e"/>
            <w:id w:val="-1385944957"/>
          </w:sdtPr>
          <w:sdtContent>
            <w:tc>
              <w:tcPr>
                <w:tcW w:w="1909" w:type="dxa"/>
                <w:vAlign w:val="center"/>
              </w:tcPr>
              <w:p w14:paraId="311B86BC" w14:textId="77777777" w:rsidR="005E000F" w:rsidRDefault="00000000">
                <w:pPr>
                  <w:ind w:right="5"/>
                  <w:jc w:val="center"/>
                </w:pPr>
                <w:r>
                  <w:rPr>
                    <w:rFonts w:hint="eastAsia"/>
                  </w:rPr>
                  <w:t>金额</w:t>
                </w:r>
              </w:p>
            </w:tc>
          </w:sdtContent>
        </w:sdt>
        <w:sdt>
          <w:sdtPr>
            <w:tag w:val="_PLD_430fca228ced43ada83018b2091f7abf"/>
            <w:id w:val="1811439940"/>
          </w:sdtPr>
          <w:sdtContent>
            <w:tc>
              <w:tcPr>
                <w:tcW w:w="1926" w:type="dxa"/>
                <w:vAlign w:val="center"/>
              </w:tcPr>
              <w:p w14:paraId="080CA1EF" w14:textId="77777777" w:rsidR="005E000F" w:rsidRDefault="00000000">
                <w:pPr>
                  <w:ind w:right="5"/>
                  <w:jc w:val="center"/>
                </w:pPr>
                <w:r>
                  <w:rPr>
                    <w:rFonts w:hint="eastAsia"/>
                  </w:rPr>
                  <w:t>比例（</w:t>
                </w:r>
                <w:r>
                  <w:t>%</w:t>
                </w:r>
                <w:r>
                  <w:rPr>
                    <w:rFonts w:hint="eastAsia"/>
                  </w:rPr>
                  <w:t>）</w:t>
                </w:r>
              </w:p>
            </w:tc>
          </w:sdtContent>
        </w:sdt>
      </w:tr>
      <w:tr w:rsidR="005E000F" w14:paraId="5E7CED2A" w14:textId="77777777">
        <w:trPr>
          <w:cantSplit/>
          <w:trHeight w:val="99"/>
        </w:trPr>
        <w:tc>
          <w:tcPr>
            <w:tcW w:w="1386" w:type="dxa"/>
            <w:vAlign w:val="center"/>
          </w:tcPr>
          <w:p w14:paraId="71124FEC" w14:textId="77777777" w:rsidR="005E000F" w:rsidRDefault="00000000">
            <w:pPr>
              <w:ind w:right="5"/>
            </w:pPr>
            <w:r>
              <w:rPr>
                <w:rFonts w:hint="eastAsia"/>
              </w:rPr>
              <w:t>1</w:t>
            </w:r>
            <w:r>
              <w:rPr>
                <w:rFonts w:hint="eastAsia"/>
              </w:rPr>
              <w:t>年以内</w:t>
            </w:r>
          </w:p>
        </w:tc>
        <w:tc>
          <w:tcPr>
            <w:tcW w:w="1925" w:type="dxa"/>
            <w:vAlign w:val="center"/>
          </w:tcPr>
          <w:p w14:paraId="6690F702" w14:textId="77777777" w:rsidR="005E000F" w:rsidRDefault="00000000">
            <w:pPr>
              <w:ind w:right="5"/>
              <w:jc w:val="right"/>
            </w:pPr>
            <w:r>
              <w:t>288,291,077</w:t>
            </w:r>
          </w:p>
        </w:tc>
        <w:tc>
          <w:tcPr>
            <w:tcW w:w="1912" w:type="dxa"/>
            <w:vAlign w:val="center"/>
          </w:tcPr>
          <w:p w14:paraId="626105AE" w14:textId="77777777" w:rsidR="005E000F" w:rsidRDefault="00000000">
            <w:pPr>
              <w:ind w:right="5"/>
              <w:jc w:val="right"/>
              <w:rPr>
                <w:lang w:val="en-GB"/>
              </w:rPr>
            </w:pPr>
            <w:r>
              <w:t>100</w:t>
            </w:r>
          </w:p>
        </w:tc>
        <w:tc>
          <w:tcPr>
            <w:tcW w:w="1909" w:type="dxa"/>
            <w:vAlign w:val="center"/>
          </w:tcPr>
          <w:p w14:paraId="3F23CB03" w14:textId="77777777" w:rsidR="005E000F" w:rsidRDefault="00000000">
            <w:pPr>
              <w:ind w:right="5"/>
              <w:jc w:val="right"/>
            </w:pPr>
            <w:r>
              <w:t>298,949,165</w:t>
            </w:r>
          </w:p>
        </w:tc>
        <w:tc>
          <w:tcPr>
            <w:tcW w:w="1926" w:type="dxa"/>
            <w:vAlign w:val="center"/>
          </w:tcPr>
          <w:p w14:paraId="5B301405" w14:textId="77777777" w:rsidR="005E000F" w:rsidRDefault="00000000">
            <w:pPr>
              <w:ind w:right="5"/>
              <w:jc w:val="right"/>
            </w:pPr>
            <w:r>
              <w:t>100</w:t>
            </w:r>
          </w:p>
        </w:tc>
      </w:tr>
      <w:tr w:rsidR="005E000F" w14:paraId="68324D5D" w14:textId="77777777">
        <w:trPr>
          <w:cantSplit/>
        </w:trPr>
        <w:tc>
          <w:tcPr>
            <w:tcW w:w="1386" w:type="dxa"/>
            <w:vAlign w:val="center"/>
          </w:tcPr>
          <w:p w14:paraId="79A34CEE" w14:textId="77777777" w:rsidR="005E000F" w:rsidRDefault="00000000">
            <w:pPr>
              <w:ind w:right="5"/>
            </w:pPr>
            <w:r>
              <w:rPr>
                <w:rFonts w:hint="eastAsia"/>
              </w:rPr>
              <w:t>1</w:t>
            </w:r>
            <w:r>
              <w:rPr>
                <w:rFonts w:hint="eastAsia"/>
              </w:rPr>
              <w:t>至</w:t>
            </w:r>
            <w:r>
              <w:rPr>
                <w:rFonts w:hint="eastAsia"/>
              </w:rPr>
              <w:t>2</w:t>
            </w:r>
            <w:r>
              <w:rPr>
                <w:rFonts w:hint="eastAsia"/>
              </w:rPr>
              <w:t>年</w:t>
            </w:r>
          </w:p>
        </w:tc>
        <w:tc>
          <w:tcPr>
            <w:tcW w:w="1925" w:type="dxa"/>
            <w:vAlign w:val="center"/>
          </w:tcPr>
          <w:p w14:paraId="08CB3D27" w14:textId="77777777" w:rsidR="005E000F" w:rsidRDefault="00000000">
            <w:pPr>
              <w:ind w:right="5"/>
              <w:jc w:val="right"/>
            </w:pPr>
            <w:r>
              <w:t>1,110,793</w:t>
            </w:r>
          </w:p>
        </w:tc>
        <w:tc>
          <w:tcPr>
            <w:tcW w:w="1912" w:type="dxa"/>
            <w:vAlign w:val="center"/>
          </w:tcPr>
          <w:p w14:paraId="77F5A9DA" w14:textId="77777777" w:rsidR="005E000F" w:rsidRDefault="00000000">
            <w:pPr>
              <w:ind w:right="5"/>
              <w:jc w:val="right"/>
            </w:pPr>
            <w:r>
              <w:t>0</w:t>
            </w:r>
          </w:p>
        </w:tc>
        <w:tc>
          <w:tcPr>
            <w:tcW w:w="1909" w:type="dxa"/>
            <w:vAlign w:val="center"/>
          </w:tcPr>
          <w:p w14:paraId="2682023D" w14:textId="77777777" w:rsidR="005E000F" w:rsidRDefault="00000000">
            <w:pPr>
              <w:ind w:right="5"/>
              <w:jc w:val="right"/>
            </w:pPr>
            <w:r>
              <w:t>0</w:t>
            </w:r>
          </w:p>
        </w:tc>
        <w:tc>
          <w:tcPr>
            <w:tcW w:w="1926" w:type="dxa"/>
            <w:vAlign w:val="center"/>
          </w:tcPr>
          <w:p w14:paraId="649CA351" w14:textId="77777777" w:rsidR="005E000F" w:rsidRDefault="00000000">
            <w:pPr>
              <w:ind w:right="5"/>
              <w:jc w:val="right"/>
            </w:pPr>
            <w:r>
              <w:t>0</w:t>
            </w:r>
          </w:p>
        </w:tc>
      </w:tr>
      <w:tr w:rsidR="005E000F" w14:paraId="0AACD6A2" w14:textId="77777777">
        <w:trPr>
          <w:cantSplit/>
        </w:trPr>
        <w:tc>
          <w:tcPr>
            <w:tcW w:w="1386" w:type="dxa"/>
            <w:vAlign w:val="center"/>
          </w:tcPr>
          <w:p w14:paraId="6CCEDB0C" w14:textId="77777777" w:rsidR="005E000F" w:rsidRDefault="00000000">
            <w:pPr>
              <w:ind w:right="5"/>
              <w:jc w:val="center"/>
            </w:pPr>
            <w:r>
              <w:rPr>
                <w:rFonts w:hint="eastAsia"/>
              </w:rPr>
              <w:t>合计</w:t>
            </w:r>
          </w:p>
        </w:tc>
        <w:tc>
          <w:tcPr>
            <w:tcW w:w="1925" w:type="dxa"/>
            <w:vAlign w:val="center"/>
          </w:tcPr>
          <w:p w14:paraId="56B65BA3" w14:textId="77777777" w:rsidR="005E000F" w:rsidRDefault="00000000">
            <w:pPr>
              <w:ind w:right="5"/>
              <w:jc w:val="right"/>
              <w:rPr>
                <w:lang w:val="en-GB"/>
              </w:rPr>
            </w:pPr>
            <w:r>
              <w:t>289,401,870</w:t>
            </w:r>
          </w:p>
        </w:tc>
        <w:tc>
          <w:tcPr>
            <w:tcW w:w="1912" w:type="dxa"/>
            <w:vAlign w:val="center"/>
          </w:tcPr>
          <w:p w14:paraId="2CE654DB" w14:textId="77777777" w:rsidR="005E000F" w:rsidRDefault="00000000">
            <w:pPr>
              <w:ind w:right="5"/>
              <w:jc w:val="right"/>
            </w:pPr>
            <w:r>
              <w:t>100</w:t>
            </w:r>
          </w:p>
        </w:tc>
        <w:tc>
          <w:tcPr>
            <w:tcW w:w="1909" w:type="dxa"/>
            <w:vAlign w:val="center"/>
          </w:tcPr>
          <w:p w14:paraId="1B522AD4" w14:textId="77777777" w:rsidR="005E000F" w:rsidRDefault="00000000">
            <w:pPr>
              <w:ind w:right="5"/>
              <w:jc w:val="right"/>
            </w:pPr>
            <w:r>
              <w:t>298,949,165</w:t>
            </w:r>
          </w:p>
        </w:tc>
        <w:tc>
          <w:tcPr>
            <w:tcW w:w="1926" w:type="dxa"/>
            <w:vAlign w:val="center"/>
          </w:tcPr>
          <w:p w14:paraId="3A41D59E" w14:textId="77777777" w:rsidR="005E000F" w:rsidRDefault="00000000">
            <w:pPr>
              <w:ind w:right="5"/>
              <w:jc w:val="right"/>
            </w:pPr>
            <w:r>
              <w:t>100</w:t>
            </w:r>
          </w:p>
        </w:tc>
      </w:tr>
    </w:tbl>
    <w:p w14:paraId="23B2BC3A" w14:textId="77777777" w:rsidR="005E000F" w:rsidRDefault="00000000">
      <w:r>
        <w:t>账</w:t>
      </w:r>
      <w:r>
        <w:rPr>
          <w:rFonts w:hint="eastAsia"/>
        </w:rPr>
        <w:t>龄超过</w:t>
      </w:r>
      <w:r>
        <w:rPr>
          <w:rFonts w:hint="eastAsia"/>
        </w:rPr>
        <w:t>1</w:t>
      </w:r>
      <w:r>
        <w:rPr>
          <w:rFonts w:hint="eastAsia"/>
        </w:rPr>
        <w:t>年且金额重要的预付款项未及时结算原因</w:t>
      </w:r>
      <w:r>
        <w:t>的说明：</w:t>
      </w:r>
    </w:p>
    <w:sdt>
      <w:sdtPr>
        <w:rPr>
          <w:rFonts w:hint="eastAsia"/>
        </w:rPr>
        <w:alias w:val="账龄超过1年且金额重要的预付款项未及时结算原因的说明"/>
        <w:tag w:val="_GBC_21bfefabbdb8489685d0bb3ee64c2ca5"/>
        <w:id w:val="-1296061324"/>
        <w:placeholder>
          <w:docPart w:val="GBC22222222222222222222222222222"/>
        </w:placeholder>
      </w:sdtPr>
      <w:sdtContent>
        <w:p w14:paraId="1AEBB977" w14:textId="77777777" w:rsidR="005E000F" w:rsidRDefault="00000000">
          <w:r>
            <w:rPr>
              <w:rFonts w:hint="eastAsia"/>
            </w:rPr>
            <w:t>无</w:t>
          </w:r>
        </w:p>
      </w:sdtContent>
    </w:sdt>
    <w:p w14:paraId="6036CD24" w14:textId="77777777" w:rsidR="005E000F" w:rsidRDefault="005E000F"/>
    <w:p w14:paraId="3168BFC9" w14:textId="77777777" w:rsidR="005E000F" w:rsidRDefault="00000000">
      <w:pPr>
        <w:pStyle w:val="4"/>
        <w:numPr>
          <w:ilvl w:val="3"/>
          <w:numId w:val="71"/>
        </w:numPr>
        <w:ind w:left="426" w:hanging="426"/>
        <w:rPr>
          <w:szCs w:val="21"/>
        </w:rPr>
      </w:pPr>
      <w:r>
        <w:rPr>
          <w:rFonts w:hint="eastAsia"/>
        </w:rPr>
        <w:t>按预付对象归集的期末余额前五名的预付款情况</w:t>
      </w:r>
    </w:p>
    <w:sdt>
      <w:sdtPr>
        <w:rPr>
          <w:rFonts w:hint="eastAsia"/>
        </w:rPr>
        <w:alias w:val="是否适用：按预付对象归集的期末余额前五名的预付款情况[双击切换]"/>
        <w:tag w:val="_GBC_6359dc471e0a406c8706681c2db6e149"/>
        <w:id w:val="1157338302"/>
        <w:placeholder>
          <w:docPart w:val="GBC22222222222222222222222222222"/>
        </w:placeholder>
      </w:sdtPr>
      <w:sdtContent>
        <w:p w14:paraId="1A925677" w14:textId="77777777" w:rsidR="005E000F" w:rsidRDefault="0000000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pPr w:leftFromText="180" w:rightFromText="180" w:vertAnchor="text" w:horzAnchor="page" w:tblpX="1267" w:tblpY="593"/>
        <w:tblOverlap w:val="neve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10"/>
        <w:gridCol w:w="1810"/>
        <w:gridCol w:w="1810"/>
        <w:gridCol w:w="1810"/>
      </w:tblGrid>
      <w:tr w:rsidR="005E000F" w14:paraId="1D8305D0" w14:textId="77777777">
        <w:trPr>
          <w:cantSplit/>
        </w:trPr>
        <w:sdt>
          <w:sdtPr>
            <w:tag w:val="_PLD_0ab17d7ae0014b6192c9dd0e6d3d3a25"/>
            <w:id w:val="147469345"/>
          </w:sdtPr>
          <w:sdtContent>
            <w:tc>
              <w:tcPr>
                <w:tcW w:w="997" w:type="pct"/>
                <w:vAlign w:val="center"/>
              </w:tcPr>
              <w:p w14:paraId="7B0BE1E7" w14:textId="77777777" w:rsidR="005E000F" w:rsidRDefault="00000000">
                <w:pPr>
                  <w:ind w:right="105"/>
                  <w:jc w:val="center"/>
                </w:pPr>
                <w:r>
                  <w:rPr>
                    <w:rFonts w:hint="eastAsia"/>
                  </w:rPr>
                  <w:t>单位名称</w:t>
                </w:r>
              </w:p>
            </w:tc>
          </w:sdtContent>
        </w:sdt>
        <w:sdt>
          <w:sdtPr>
            <w:tag w:val="_PLD_cdd4a1e632c94d14908eb36a620946a9"/>
            <w:id w:val="147464814"/>
          </w:sdtPr>
          <w:sdtContent>
            <w:tc>
              <w:tcPr>
                <w:tcW w:w="1000" w:type="pct"/>
                <w:vAlign w:val="center"/>
              </w:tcPr>
              <w:p w14:paraId="11E6507C" w14:textId="77777777" w:rsidR="005E000F" w:rsidRDefault="00000000">
                <w:pPr>
                  <w:ind w:right="73"/>
                  <w:jc w:val="center"/>
                </w:pPr>
                <w:r>
                  <w:rPr>
                    <w:rFonts w:hint="eastAsia"/>
                  </w:rPr>
                  <w:t>期末余额</w:t>
                </w:r>
              </w:p>
            </w:tc>
          </w:sdtContent>
        </w:sdt>
        <w:sdt>
          <w:sdtPr>
            <w:tag w:val="_PLD_c9db34035f63426095900b82cc8a8131"/>
            <w:id w:val="147469879"/>
          </w:sdtPr>
          <w:sdtContent>
            <w:tc>
              <w:tcPr>
                <w:tcW w:w="1000" w:type="pct"/>
                <w:vAlign w:val="center"/>
              </w:tcPr>
              <w:p w14:paraId="4BAA585F" w14:textId="77777777" w:rsidR="005E000F" w:rsidRDefault="00000000">
                <w:pPr>
                  <w:jc w:val="center"/>
                </w:pPr>
                <w:r>
                  <w:rPr>
                    <w:rFonts w:hint="eastAsia"/>
                  </w:rPr>
                  <w:t>占预付款项期末余额合计数的比例（</w:t>
                </w:r>
                <w:r>
                  <w:t>%</w:t>
                </w:r>
                <w:r>
                  <w:rPr>
                    <w:rFonts w:hint="eastAsia"/>
                  </w:rPr>
                  <w:t>）</w:t>
                </w:r>
              </w:p>
            </w:tc>
          </w:sdtContent>
        </w:sdt>
        <w:tc>
          <w:tcPr>
            <w:tcW w:w="1000" w:type="pct"/>
            <w:vAlign w:val="center"/>
          </w:tcPr>
          <w:p w14:paraId="610D1E9C" w14:textId="77777777" w:rsidR="005E000F" w:rsidRDefault="00000000">
            <w:pPr>
              <w:jc w:val="center"/>
            </w:pPr>
            <w:r>
              <w:rPr>
                <w:rFonts w:hint="eastAsia"/>
              </w:rPr>
              <w:t>期初余额</w:t>
            </w:r>
          </w:p>
        </w:tc>
        <w:tc>
          <w:tcPr>
            <w:tcW w:w="1000" w:type="pct"/>
            <w:vAlign w:val="center"/>
          </w:tcPr>
          <w:p w14:paraId="4F5C284E" w14:textId="77777777" w:rsidR="005E000F" w:rsidRDefault="00000000">
            <w:pPr>
              <w:jc w:val="center"/>
            </w:pPr>
            <w:r>
              <w:rPr>
                <w:rFonts w:hint="eastAsia"/>
              </w:rPr>
              <w:t>占预付款项期初余额合计数的比例（</w:t>
            </w:r>
            <w:r>
              <w:t>%</w:t>
            </w:r>
            <w:r>
              <w:rPr>
                <w:rFonts w:hint="eastAsia"/>
              </w:rPr>
              <w:t>）</w:t>
            </w:r>
          </w:p>
        </w:tc>
      </w:tr>
      <w:tr w:rsidR="005E000F" w14:paraId="05658529" w14:textId="77777777">
        <w:trPr>
          <w:cantSplit/>
        </w:trPr>
        <w:tc>
          <w:tcPr>
            <w:tcW w:w="997" w:type="pct"/>
          </w:tcPr>
          <w:p w14:paraId="4682CF5C" w14:textId="77777777" w:rsidR="005E000F" w:rsidRDefault="00000000">
            <w:pPr>
              <w:ind w:right="105"/>
            </w:pPr>
            <w:r>
              <w:rPr>
                <w:rFonts w:hint="eastAsia"/>
              </w:rPr>
              <w:t>余额前五名的预付款项总额</w:t>
            </w:r>
          </w:p>
        </w:tc>
        <w:tc>
          <w:tcPr>
            <w:tcW w:w="1000" w:type="pct"/>
            <w:vAlign w:val="center"/>
          </w:tcPr>
          <w:p w14:paraId="2359CB40" w14:textId="77777777" w:rsidR="005E000F" w:rsidRDefault="00000000">
            <w:pPr>
              <w:ind w:right="105"/>
              <w:jc w:val="right"/>
            </w:pPr>
            <w:r>
              <w:rPr>
                <w:rFonts w:hint="eastAsia"/>
              </w:rPr>
              <w:t>188,905,489</w:t>
            </w:r>
          </w:p>
        </w:tc>
        <w:tc>
          <w:tcPr>
            <w:tcW w:w="1000" w:type="pct"/>
            <w:vAlign w:val="center"/>
          </w:tcPr>
          <w:p w14:paraId="46D70D06" w14:textId="77777777" w:rsidR="005E000F" w:rsidRDefault="00000000">
            <w:pPr>
              <w:ind w:right="105"/>
              <w:jc w:val="right"/>
            </w:pPr>
            <w:r>
              <w:rPr>
                <w:rFonts w:hint="eastAsia"/>
              </w:rPr>
              <w:t>65</w:t>
            </w:r>
          </w:p>
        </w:tc>
        <w:tc>
          <w:tcPr>
            <w:tcW w:w="1000" w:type="pct"/>
            <w:vAlign w:val="center"/>
          </w:tcPr>
          <w:p w14:paraId="431B708D" w14:textId="77777777" w:rsidR="005E000F" w:rsidRDefault="00000000">
            <w:pPr>
              <w:ind w:right="105"/>
              <w:jc w:val="right"/>
            </w:pPr>
            <w:r>
              <w:rPr>
                <w:rFonts w:hint="eastAsia"/>
              </w:rPr>
              <w:t>229,068,573</w:t>
            </w:r>
          </w:p>
        </w:tc>
        <w:tc>
          <w:tcPr>
            <w:tcW w:w="1000" w:type="pct"/>
            <w:vAlign w:val="center"/>
          </w:tcPr>
          <w:p w14:paraId="0EB9B51B" w14:textId="77777777" w:rsidR="005E000F" w:rsidRDefault="00000000">
            <w:pPr>
              <w:ind w:right="105"/>
              <w:jc w:val="right"/>
            </w:pPr>
            <w:r>
              <w:rPr>
                <w:rFonts w:hint="eastAsia"/>
              </w:rPr>
              <w:t>77</w:t>
            </w:r>
          </w:p>
        </w:tc>
      </w:tr>
      <w:tr w:rsidR="005E000F" w14:paraId="3D29A96A" w14:textId="77777777">
        <w:trPr>
          <w:cantSplit/>
        </w:trPr>
        <w:tc>
          <w:tcPr>
            <w:tcW w:w="997" w:type="pct"/>
            <w:vAlign w:val="center"/>
          </w:tcPr>
          <w:p w14:paraId="22B219CA" w14:textId="77777777" w:rsidR="005E000F" w:rsidRDefault="00000000">
            <w:pPr>
              <w:ind w:right="105"/>
              <w:jc w:val="center"/>
            </w:pPr>
            <w:r>
              <w:rPr>
                <w:rFonts w:hint="eastAsia"/>
              </w:rPr>
              <w:t>合计</w:t>
            </w:r>
          </w:p>
        </w:tc>
        <w:tc>
          <w:tcPr>
            <w:tcW w:w="1000" w:type="pct"/>
            <w:vAlign w:val="center"/>
          </w:tcPr>
          <w:p w14:paraId="25940E16" w14:textId="77777777" w:rsidR="005E000F" w:rsidRDefault="00000000">
            <w:pPr>
              <w:ind w:right="105"/>
              <w:jc w:val="right"/>
              <w:rPr>
                <w:lang w:val="en-GB"/>
              </w:rPr>
            </w:pPr>
            <w:r>
              <w:rPr>
                <w:rFonts w:hint="eastAsia"/>
              </w:rPr>
              <w:t>188,905,489</w:t>
            </w:r>
          </w:p>
        </w:tc>
        <w:tc>
          <w:tcPr>
            <w:tcW w:w="1000" w:type="pct"/>
            <w:vAlign w:val="center"/>
          </w:tcPr>
          <w:p w14:paraId="3BED2235" w14:textId="77777777" w:rsidR="005E000F" w:rsidRDefault="00000000">
            <w:pPr>
              <w:ind w:right="105"/>
              <w:jc w:val="right"/>
            </w:pPr>
            <w:r>
              <w:rPr>
                <w:rFonts w:hint="eastAsia"/>
              </w:rPr>
              <w:t>65</w:t>
            </w:r>
          </w:p>
        </w:tc>
        <w:tc>
          <w:tcPr>
            <w:tcW w:w="1000" w:type="pct"/>
            <w:vAlign w:val="center"/>
          </w:tcPr>
          <w:p w14:paraId="13461849" w14:textId="77777777" w:rsidR="005E000F" w:rsidRDefault="00000000">
            <w:pPr>
              <w:ind w:right="105"/>
              <w:jc w:val="right"/>
            </w:pPr>
            <w:r>
              <w:rPr>
                <w:rFonts w:hint="eastAsia"/>
              </w:rPr>
              <w:t>229,068,573</w:t>
            </w:r>
          </w:p>
        </w:tc>
        <w:tc>
          <w:tcPr>
            <w:tcW w:w="1000" w:type="pct"/>
            <w:vAlign w:val="center"/>
          </w:tcPr>
          <w:p w14:paraId="031E5182" w14:textId="77777777" w:rsidR="005E000F" w:rsidRDefault="00000000">
            <w:pPr>
              <w:ind w:right="105"/>
              <w:jc w:val="right"/>
            </w:pPr>
            <w:r>
              <w:rPr>
                <w:rFonts w:hint="eastAsia"/>
              </w:rPr>
              <w:t>77</w:t>
            </w:r>
          </w:p>
        </w:tc>
      </w:tr>
    </w:tbl>
    <w:p w14:paraId="02552267" w14:textId="77777777" w:rsidR="005E000F" w:rsidRDefault="00000000">
      <w:pPr>
        <w:snapToGrid w:val="0"/>
        <w:spacing w:line="240" w:lineRule="atLeast"/>
        <w:jc w:val="right"/>
      </w:pPr>
      <w:r>
        <w:rPr>
          <w:rFonts w:hint="eastAsia"/>
        </w:rPr>
        <w:t>单位：</w:t>
      </w:r>
      <w:sdt>
        <w:sdtPr>
          <w:rPr>
            <w:rFonts w:hint="eastAsia"/>
          </w:rPr>
          <w:alias w:val="单位：按预付对象归集的期末余额前五名的预付款情况"/>
          <w:tag w:val="_GBC_1bbaf3870d2242f8a1ec8260382d458c"/>
          <w:id w:val="-1799293467"/>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按预付对象归集的期末余额前五名的预付款情况"/>
          <w:tag w:val="_GBC_77617525e63041b99aaabf038d02c871"/>
          <w:id w:val="-109031078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p w14:paraId="17157A33" w14:textId="77777777" w:rsidR="005E000F" w:rsidRDefault="005E000F">
      <w:pPr>
        <w:snapToGrid w:val="0"/>
        <w:spacing w:line="240" w:lineRule="atLeast"/>
      </w:pPr>
    </w:p>
    <w:p w14:paraId="2DFDB386" w14:textId="77777777" w:rsidR="005E000F" w:rsidRDefault="00000000">
      <w:pPr>
        <w:snapToGrid w:val="0"/>
        <w:spacing w:line="240" w:lineRule="atLeast"/>
      </w:pPr>
      <w:r>
        <w:rPr>
          <w:rFonts w:hint="eastAsia"/>
        </w:rPr>
        <w:t>其他说明：</w:t>
      </w:r>
    </w:p>
    <w:sdt>
      <w:sdtPr>
        <w:alias w:val="按预付对象归集的期末余额前五名的预付款情况的说明"/>
        <w:tag w:val="_GBC_01cbdc0115484d88931f2dbcc9e0aa2b"/>
        <w:id w:val="-214660528"/>
        <w:placeholder>
          <w:docPart w:val="GBC22222222222222222222222222222"/>
        </w:placeholder>
      </w:sdtPr>
      <w:sdtContent>
        <w:p w14:paraId="78DCE09C" w14:textId="77777777" w:rsidR="005E000F" w:rsidRDefault="00000000">
          <w:pPr>
            <w:snapToGrid w:val="0"/>
            <w:spacing w:line="240" w:lineRule="atLeast"/>
          </w:pPr>
          <w:r>
            <w:rPr>
              <w:rFonts w:hint="eastAsia"/>
            </w:rPr>
            <w:t>无</w:t>
          </w:r>
        </w:p>
      </w:sdtContent>
    </w:sdt>
    <w:p w14:paraId="4CA1C512" w14:textId="77777777" w:rsidR="005E000F" w:rsidRDefault="005E000F">
      <w:pPr>
        <w:snapToGrid w:val="0"/>
        <w:spacing w:line="240" w:lineRule="atLeast"/>
      </w:pPr>
    </w:p>
    <w:p w14:paraId="75121BE0" w14:textId="77777777" w:rsidR="005E000F" w:rsidRDefault="00000000">
      <w:r>
        <w:rPr>
          <w:rFonts w:hint="eastAsia"/>
        </w:rPr>
        <w:t>其他说明：</w:t>
      </w:r>
    </w:p>
    <w:sdt>
      <w:sdtPr>
        <w:rPr>
          <w:rFonts w:hint="eastAsia"/>
        </w:rPr>
        <w:alias w:val="是否适用：预付帐款的说明[双击切换]"/>
        <w:tag w:val="_GBC_292d88b78b6d439981e508e0126d8061"/>
        <w:id w:val="2042246688"/>
        <w:placeholder>
          <w:docPart w:val="GBC22222222222222222222222222222"/>
        </w:placeholder>
      </w:sdtPr>
      <w:sdtContent>
        <w:p w14:paraId="52C4667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39CF55F" w14:textId="77777777" w:rsidR="005E000F" w:rsidRDefault="005E000F"/>
    <w:p w14:paraId="477E122E" w14:textId="77777777" w:rsidR="005E000F" w:rsidRDefault="00000000">
      <w:pPr>
        <w:pStyle w:val="3"/>
        <w:numPr>
          <w:ilvl w:val="0"/>
          <w:numId w:val="66"/>
        </w:numPr>
      </w:pPr>
      <w:r>
        <w:rPr>
          <w:rFonts w:hint="eastAsia"/>
        </w:rPr>
        <w:t>其他应收款</w:t>
      </w:r>
    </w:p>
    <w:p w14:paraId="4A8C524A" w14:textId="77777777" w:rsidR="005E000F" w:rsidRDefault="00000000">
      <w:pPr>
        <w:pStyle w:val="4"/>
      </w:pPr>
      <w:bookmarkStart w:id="294" w:name="_Hlk532906090"/>
      <w:r>
        <w:rPr>
          <w:rFonts w:ascii="宋体" w:eastAsia="宋体" w:hAnsi="宋体" w:cs="宋体" w:hint="eastAsia"/>
          <w:kern w:val="0"/>
          <w:szCs w:val="24"/>
        </w:rPr>
        <w:t>项目列示</w:t>
      </w:r>
    </w:p>
    <w:sdt>
      <w:sdtPr>
        <w:alias w:val="是否适用：其他应收款分类列示[双击切换]"/>
        <w:tag w:val="_GBC_5cf24a2049f64010a4df1f0db5a97234"/>
        <w:id w:val="-1607425685"/>
        <w:placeholder>
          <w:docPart w:val="GBC22222222222222222222222222222"/>
        </w:placeholder>
      </w:sdtPr>
      <w:sdtContent>
        <w:p w14:paraId="043DCA16"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17E625E" w14:textId="77777777" w:rsidR="005E000F" w:rsidRDefault="00000000">
      <w:pPr>
        <w:jc w:val="right"/>
      </w:pPr>
      <w:r>
        <w:rPr>
          <w:rFonts w:hint="eastAsia"/>
        </w:rPr>
        <w:t>单位：</w:t>
      </w:r>
      <w:sdt>
        <w:sdtPr>
          <w:rPr>
            <w:rFonts w:hint="eastAsia"/>
          </w:rPr>
          <w:alias w:val="单位：其他应收款分类列示"/>
          <w:tag w:val="_GBC_7f9aa6546943491ca0ac8585be1822b5"/>
          <w:id w:val="-1617807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其他应收款分类列示"/>
          <w:tag w:val="_GBC_04bd5c819b004daf9b35f05cdd98046d"/>
          <w:id w:val="7402917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196"/>
        <w:gridCol w:w="2938"/>
        <w:gridCol w:w="2924"/>
      </w:tblGrid>
      <w:tr w:rsidR="005E000F" w14:paraId="7C4621F6" w14:textId="77777777">
        <w:trPr>
          <w:cantSplit/>
        </w:trPr>
        <w:sdt>
          <w:sdtPr>
            <w:tag w:val="_PLD_4377dcbf8fc04365884311b6628ee70c"/>
            <w:id w:val="-668631423"/>
          </w:sdtPr>
          <w:sdtContent>
            <w:tc>
              <w:tcPr>
                <w:tcW w:w="3196" w:type="dxa"/>
                <w:vAlign w:val="center"/>
              </w:tcPr>
              <w:p w14:paraId="789088B6" w14:textId="77777777" w:rsidR="005E000F" w:rsidRDefault="00000000">
                <w:pPr>
                  <w:jc w:val="center"/>
                </w:pPr>
                <w:r>
                  <w:rPr>
                    <w:rFonts w:hint="eastAsia"/>
                  </w:rPr>
                  <w:t>项目</w:t>
                </w:r>
              </w:p>
            </w:tc>
          </w:sdtContent>
        </w:sdt>
        <w:sdt>
          <w:sdtPr>
            <w:tag w:val="_PLD_9eed799cfa4b445abd6bf2c21c8e53d1"/>
            <w:id w:val="2088265186"/>
          </w:sdtPr>
          <w:sdtContent>
            <w:tc>
              <w:tcPr>
                <w:tcW w:w="2938" w:type="dxa"/>
                <w:vAlign w:val="center"/>
              </w:tcPr>
              <w:p w14:paraId="5BD9A2C7" w14:textId="77777777" w:rsidR="005E000F" w:rsidRDefault="00000000">
                <w:pPr>
                  <w:jc w:val="center"/>
                </w:pPr>
                <w:r>
                  <w:rPr>
                    <w:rFonts w:hint="eastAsia"/>
                  </w:rPr>
                  <w:t>期末余额</w:t>
                </w:r>
              </w:p>
            </w:tc>
          </w:sdtContent>
        </w:sdt>
        <w:sdt>
          <w:sdtPr>
            <w:tag w:val="_PLD_200365ee1196470e91075b949a7f5552"/>
            <w:id w:val="-659625484"/>
          </w:sdtPr>
          <w:sdtContent>
            <w:tc>
              <w:tcPr>
                <w:tcW w:w="2924" w:type="dxa"/>
                <w:vAlign w:val="center"/>
              </w:tcPr>
              <w:p w14:paraId="4746A574" w14:textId="77777777" w:rsidR="005E000F" w:rsidRDefault="00000000">
                <w:pPr>
                  <w:jc w:val="center"/>
                </w:pPr>
                <w:r>
                  <w:rPr>
                    <w:rFonts w:hint="eastAsia"/>
                  </w:rPr>
                  <w:t>期初余额</w:t>
                </w:r>
              </w:p>
            </w:tc>
          </w:sdtContent>
        </w:sdt>
      </w:tr>
      <w:tr w:rsidR="005E000F" w14:paraId="1682C344" w14:textId="77777777">
        <w:trPr>
          <w:cantSplit/>
        </w:trPr>
        <w:tc>
          <w:tcPr>
            <w:tcW w:w="3196" w:type="dxa"/>
            <w:vAlign w:val="center"/>
          </w:tcPr>
          <w:p w14:paraId="2991DDDE" w14:textId="77777777" w:rsidR="005E000F" w:rsidRDefault="00000000">
            <w:pPr>
              <w:ind w:right="5"/>
            </w:pPr>
            <w:r>
              <w:rPr>
                <w:rFonts w:hint="eastAsia"/>
              </w:rPr>
              <w:t>应收利息</w:t>
            </w:r>
          </w:p>
        </w:tc>
        <w:tc>
          <w:tcPr>
            <w:tcW w:w="2938" w:type="dxa"/>
            <w:vAlign w:val="center"/>
          </w:tcPr>
          <w:p w14:paraId="5BF95F18" w14:textId="77777777" w:rsidR="005E000F" w:rsidRDefault="00000000">
            <w:pPr>
              <w:ind w:right="5"/>
              <w:jc w:val="right"/>
            </w:pPr>
            <w:r>
              <w:rPr>
                <w:rFonts w:hint="eastAsia"/>
              </w:rPr>
              <w:t>0</w:t>
            </w:r>
          </w:p>
        </w:tc>
        <w:tc>
          <w:tcPr>
            <w:tcW w:w="2924" w:type="dxa"/>
            <w:vAlign w:val="center"/>
          </w:tcPr>
          <w:p w14:paraId="08C20692" w14:textId="77777777" w:rsidR="005E000F" w:rsidRDefault="00000000">
            <w:pPr>
              <w:ind w:right="5"/>
              <w:jc w:val="right"/>
            </w:pPr>
            <w:r>
              <w:t>0</w:t>
            </w:r>
          </w:p>
        </w:tc>
      </w:tr>
      <w:tr w:rsidR="005E000F" w14:paraId="5220A227" w14:textId="77777777">
        <w:trPr>
          <w:cantSplit/>
        </w:trPr>
        <w:tc>
          <w:tcPr>
            <w:tcW w:w="3196" w:type="dxa"/>
            <w:vAlign w:val="center"/>
          </w:tcPr>
          <w:p w14:paraId="3189D255" w14:textId="77777777" w:rsidR="005E000F" w:rsidRDefault="00000000">
            <w:pPr>
              <w:ind w:right="5"/>
            </w:pPr>
            <w:r>
              <w:rPr>
                <w:rFonts w:hint="eastAsia"/>
              </w:rPr>
              <w:t>应收股利</w:t>
            </w:r>
          </w:p>
        </w:tc>
        <w:tc>
          <w:tcPr>
            <w:tcW w:w="2938" w:type="dxa"/>
            <w:vAlign w:val="center"/>
          </w:tcPr>
          <w:p w14:paraId="0F56DD6D" w14:textId="77777777" w:rsidR="005E000F" w:rsidRDefault="00000000">
            <w:pPr>
              <w:ind w:right="5"/>
              <w:jc w:val="right"/>
            </w:pPr>
            <w:r>
              <w:rPr>
                <w:rFonts w:hint="eastAsia"/>
              </w:rPr>
              <w:t>0</w:t>
            </w:r>
          </w:p>
        </w:tc>
        <w:tc>
          <w:tcPr>
            <w:tcW w:w="2924" w:type="dxa"/>
            <w:vAlign w:val="center"/>
          </w:tcPr>
          <w:p w14:paraId="12794A36" w14:textId="77777777" w:rsidR="005E000F" w:rsidRDefault="00000000">
            <w:pPr>
              <w:ind w:right="5"/>
              <w:jc w:val="right"/>
            </w:pPr>
            <w:r>
              <w:t>2,433,551,412</w:t>
            </w:r>
          </w:p>
        </w:tc>
      </w:tr>
      <w:tr w:rsidR="005E000F" w14:paraId="79EB736A" w14:textId="77777777">
        <w:trPr>
          <w:cantSplit/>
        </w:trPr>
        <w:tc>
          <w:tcPr>
            <w:tcW w:w="3196" w:type="dxa"/>
            <w:vAlign w:val="center"/>
          </w:tcPr>
          <w:p w14:paraId="48F99646" w14:textId="77777777" w:rsidR="005E000F" w:rsidRDefault="00000000">
            <w:pPr>
              <w:ind w:right="5"/>
            </w:pPr>
            <w:r>
              <w:rPr>
                <w:rFonts w:hint="eastAsia"/>
              </w:rPr>
              <w:t>其他应收款</w:t>
            </w:r>
          </w:p>
        </w:tc>
        <w:tc>
          <w:tcPr>
            <w:tcW w:w="2938" w:type="dxa"/>
            <w:vAlign w:val="center"/>
          </w:tcPr>
          <w:p w14:paraId="2A06C8AF" w14:textId="77777777" w:rsidR="005E000F" w:rsidRDefault="00000000">
            <w:pPr>
              <w:ind w:right="5"/>
              <w:jc w:val="right"/>
            </w:pPr>
            <w:r>
              <w:t>3,714,839,998</w:t>
            </w:r>
          </w:p>
        </w:tc>
        <w:tc>
          <w:tcPr>
            <w:tcW w:w="2924" w:type="dxa"/>
            <w:vAlign w:val="center"/>
          </w:tcPr>
          <w:p w14:paraId="614D9F77" w14:textId="77777777" w:rsidR="005E000F" w:rsidRDefault="00000000">
            <w:pPr>
              <w:ind w:right="5"/>
              <w:jc w:val="right"/>
            </w:pPr>
            <w:r>
              <w:t>1,797,421,681</w:t>
            </w:r>
          </w:p>
        </w:tc>
      </w:tr>
      <w:tr w:rsidR="005E000F" w14:paraId="5700D209" w14:textId="77777777">
        <w:trPr>
          <w:cantSplit/>
        </w:trPr>
        <w:tc>
          <w:tcPr>
            <w:tcW w:w="3196" w:type="dxa"/>
            <w:vAlign w:val="center"/>
          </w:tcPr>
          <w:p w14:paraId="58B7ABE2" w14:textId="77777777" w:rsidR="005E000F" w:rsidRDefault="00000000">
            <w:pPr>
              <w:autoSpaceDE w:val="0"/>
              <w:autoSpaceDN w:val="0"/>
              <w:adjustRightInd w:val="0"/>
            </w:pPr>
            <w:r>
              <w:rPr>
                <w:rFonts w:hint="eastAsia"/>
              </w:rPr>
              <w:t>合计</w:t>
            </w:r>
          </w:p>
        </w:tc>
        <w:tc>
          <w:tcPr>
            <w:tcW w:w="2938" w:type="dxa"/>
            <w:vAlign w:val="center"/>
          </w:tcPr>
          <w:p w14:paraId="1949D90B" w14:textId="77777777" w:rsidR="005E000F" w:rsidRDefault="00000000">
            <w:pPr>
              <w:ind w:right="5"/>
              <w:jc w:val="right"/>
            </w:pPr>
            <w:r>
              <w:t>3,714,839,998</w:t>
            </w:r>
          </w:p>
        </w:tc>
        <w:tc>
          <w:tcPr>
            <w:tcW w:w="2924" w:type="dxa"/>
            <w:vAlign w:val="center"/>
          </w:tcPr>
          <w:p w14:paraId="4118299A" w14:textId="77777777" w:rsidR="005E000F" w:rsidRDefault="00000000">
            <w:pPr>
              <w:jc w:val="right"/>
            </w:pPr>
            <w:r>
              <w:t>4,230,973,093</w:t>
            </w:r>
          </w:p>
        </w:tc>
      </w:tr>
    </w:tbl>
    <w:p w14:paraId="55867BFC" w14:textId="77777777" w:rsidR="005E000F" w:rsidRDefault="005E000F"/>
    <w:p w14:paraId="234F4EC9" w14:textId="77777777" w:rsidR="005E000F" w:rsidRDefault="00000000">
      <w:bookmarkStart w:id="295" w:name="_Hlk532906097"/>
      <w:bookmarkEnd w:id="294"/>
      <w:r>
        <w:rPr>
          <w:rFonts w:hint="eastAsia"/>
        </w:rPr>
        <w:t>其他说明</w:t>
      </w:r>
      <w:bookmarkEnd w:id="295"/>
      <w:r>
        <w:rPr>
          <w:rFonts w:hint="eastAsia"/>
        </w:rPr>
        <w:t>：</w:t>
      </w:r>
    </w:p>
    <w:sdt>
      <w:sdtPr>
        <w:alias w:val="是否适用：其他应收款分类列示其他说明[双击切换]"/>
        <w:tag w:val="_GBC_87a25d8043fc4fcfac6a8c802b58dfc7"/>
        <w:id w:val="-1467652746"/>
        <w:placeholder>
          <w:docPart w:val="GBC22222222222222222222222222222"/>
        </w:placeholder>
      </w:sdtPr>
      <w:sdtContent>
        <w:p w14:paraId="348E3F8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026DA1B" w14:textId="77777777" w:rsidR="005E000F" w:rsidRDefault="005E000F"/>
    <w:p w14:paraId="7D8A1805" w14:textId="77777777" w:rsidR="005E000F" w:rsidRDefault="00000000">
      <w:pPr>
        <w:pStyle w:val="4"/>
        <w:ind w:left="360" w:hanging="360"/>
      </w:pPr>
      <w:r>
        <w:rPr>
          <w:rFonts w:hint="eastAsia"/>
        </w:rPr>
        <w:t>应收利息</w:t>
      </w:r>
    </w:p>
    <w:p w14:paraId="35C86C55" w14:textId="77777777" w:rsidR="005E000F" w:rsidRDefault="00000000">
      <w:pPr>
        <w:pStyle w:val="5"/>
        <w:numPr>
          <w:ilvl w:val="0"/>
          <w:numId w:val="72"/>
        </w:numPr>
        <w:ind w:leftChars="0"/>
      </w:pPr>
      <w:r>
        <w:rPr>
          <w:rFonts w:hint="eastAsia"/>
        </w:rPr>
        <w:t>应收利息分类</w:t>
      </w:r>
    </w:p>
    <w:sdt>
      <w:sdtPr>
        <w:alias w:val="是否适用：应收利息分类[双击切换]"/>
        <w:tag w:val="_GBC_83217ec91e3240eeb9ff337eca1b11bb"/>
        <w:id w:val="1252701403"/>
        <w:placeholder>
          <w:docPart w:val="GBC22222222222222222222222222222"/>
        </w:placeholder>
      </w:sdtPr>
      <w:sdtContent>
        <w:p w14:paraId="64F0BDB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2ABD2BB" w14:textId="77777777" w:rsidR="005E000F" w:rsidRDefault="005E000F"/>
    <w:p w14:paraId="14C005F6" w14:textId="77777777" w:rsidR="005E000F" w:rsidRDefault="00000000">
      <w:pPr>
        <w:pStyle w:val="5"/>
        <w:numPr>
          <w:ilvl w:val="0"/>
          <w:numId w:val="72"/>
        </w:numPr>
        <w:ind w:leftChars="0"/>
      </w:pPr>
      <w:r>
        <w:rPr>
          <w:rFonts w:hint="eastAsia"/>
        </w:rPr>
        <w:t>重要逾期利息</w:t>
      </w:r>
    </w:p>
    <w:sdt>
      <w:sdtPr>
        <w:alias w:val="是否适用：重要逾期利息[双击切换]"/>
        <w:tag w:val="_GBC_4720cbb6fd9144c2b14ef7120e6159be"/>
        <w:id w:val="726729359"/>
        <w:placeholder>
          <w:docPart w:val="GBC22222222222222222222222222222"/>
        </w:placeholder>
      </w:sdtPr>
      <w:sdtContent>
        <w:p w14:paraId="25B1606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0CCE69A" w14:textId="77777777" w:rsidR="005E000F" w:rsidRDefault="005E000F"/>
    <w:p w14:paraId="6FB773D7" w14:textId="77777777" w:rsidR="005E000F" w:rsidRDefault="00000000">
      <w:pPr>
        <w:pStyle w:val="5"/>
        <w:numPr>
          <w:ilvl w:val="0"/>
          <w:numId w:val="72"/>
        </w:numPr>
        <w:ind w:leftChars="0"/>
        <w:rPr>
          <w:rFonts w:ascii="宋体" w:hAnsi="宋体" w:cs="宋体"/>
          <w:kern w:val="0"/>
          <w:szCs w:val="24"/>
        </w:rPr>
      </w:pPr>
      <w:bookmarkStart w:id="296" w:name="_Hlk153374831"/>
      <w:r>
        <w:rPr>
          <w:rFonts w:ascii="宋体" w:hAnsi="宋体" w:cs="宋体" w:hint="eastAsia"/>
          <w:kern w:val="0"/>
          <w:szCs w:val="24"/>
        </w:rPr>
        <w:t>按</w:t>
      </w:r>
      <w:r>
        <w:rPr>
          <w:rFonts w:ascii="宋体" w:hAnsi="宋体" w:cs="宋体"/>
          <w:kern w:val="0"/>
          <w:szCs w:val="24"/>
        </w:rPr>
        <w:t>坏账计提方法分类披露</w:t>
      </w:r>
    </w:p>
    <w:sdt>
      <w:sdtPr>
        <w:alias w:val="是否适用：按坏账计提方法分类披露[双击切换]"/>
        <w:tag w:val="_GBC_4dfa1c3f378a461fb32dcc384b94c01c"/>
        <w:id w:val="1634295956"/>
        <w:placeholder>
          <w:docPart w:val="GBC22222222222222222222222222222"/>
        </w:placeholder>
      </w:sdtPr>
      <w:sdtContent>
        <w:p w14:paraId="6BE3ED6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2174A48" w14:textId="77777777" w:rsidR="005E000F" w:rsidRDefault="005E000F"/>
    <w:p w14:paraId="7289791B" w14:textId="77777777" w:rsidR="005E000F" w:rsidRDefault="00000000">
      <w:r>
        <w:rPr>
          <w:rFonts w:hint="eastAsia"/>
        </w:rPr>
        <w:t>按单项计提坏账准备：</w:t>
      </w:r>
    </w:p>
    <w:sdt>
      <w:sdtPr>
        <w:alias w:val="是否适用：按单项计提坏账准备的详细情况[双击切换]"/>
        <w:tag w:val="_GBC_f555101264ef4acba1df68e54d30175a"/>
        <w:id w:val="-692462944"/>
        <w:placeholder>
          <w:docPart w:val="GBC22222222222222222222222222222"/>
        </w:placeholder>
      </w:sdtPr>
      <w:sdtContent>
        <w:p w14:paraId="1EF7EF8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8ADE00C" w14:textId="77777777" w:rsidR="005E000F" w:rsidRDefault="005E000F"/>
    <w:p w14:paraId="3178EE73" w14:textId="77777777" w:rsidR="005E000F" w:rsidRDefault="00000000">
      <w:r>
        <w:rPr>
          <w:rFonts w:hint="eastAsia"/>
        </w:rPr>
        <w:t>按单项计提坏账准备的说明：</w:t>
      </w:r>
    </w:p>
    <w:sdt>
      <w:sdtPr>
        <w:alias w:val="是否适用：按单项计提坏账准备的说明[双击切换]"/>
        <w:tag w:val="_GBC_e7140d40a6d84e56957900180d1e6af2"/>
        <w:id w:val="1818291853"/>
        <w:placeholder>
          <w:docPart w:val="GBC22222222222222222222222222222"/>
        </w:placeholder>
      </w:sdtPr>
      <w:sdtContent>
        <w:p w14:paraId="07606D3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49F294" w14:textId="77777777" w:rsidR="005E000F" w:rsidRDefault="005E000F"/>
    <w:p w14:paraId="44EBE252" w14:textId="77777777" w:rsidR="005E000F" w:rsidRDefault="0000000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ee220409efb74ad0a4dffa7172a6bdf0"/>
        <w:id w:val="-2012521809"/>
        <w:placeholder>
          <w:docPart w:val="GBC22222222222222222222222222222"/>
        </w:placeholder>
      </w:sdtPr>
      <w:sdtContent>
        <w:p w14:paraId="2856335D" w14:textId="77777777" w:rsidR="005E000F" w:rsidRDefault="0000000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0DFD4CE2" w14:textId="77777777" w:rsidR="005E000F" w:rsidRDefault="005E000F"/>
    <w:p w14:paraId="497B2243" w14:textId="77777777" w:rsidR="005E000F" w:rsidRDefault="005E000F">
      <w:pPr>
        <w:rPr>
          <w:rFonts w:ascii="Calibri" w:hAnsi="Calibri"/>
          <w:b/>
          <w:bCs/>
          <w:szCs w:val="22"/>
        </w:rPr>
      </w:pPr>
    </w:p>
    <w:p w14:paraId="13DE4BF8" w14:textId="77777777" w:rsidR="005E000F" w:rsidRDefault="00000000">
      <w:pPr>
        <w:pStyle w:val="5"/>
        <w:numPr>
          <w:ilvl w:val="0"/>
          <w:numId w:val="72"/>
        </w:numPr>
        <w:ind w:leftChars="0"/>
      </w:pPr>
      <w:bookmarkStart w:id="297" w:name="_Hlk533867290"/>
      <w:bookmarkEnd w:id="296"/>
      <w:r>
        <w:rPr>
          <w:rFonts w:ascii="宋体" w:hAnsi="宋体" w:cs="宋体" w:hint="eastAsia"/>
          <w:kern w:val="0"/>
          <w:szCs w:val="24"/>
        </w:rPr>
        <w:t>按预期信用损失一般模型计提坏账准备</w:t>
      </w:r>
    </w:p>
    <w:sdt>
      <w:sdtPr>
        <w:alias w:val="是否适用：应收利息坏账准备调节表[双击切换]"/>
        <w:tag w:val="_GBC_2926f106217b4c11a5fe606b79f60d83"/>
        <w:id w:val="2795308"/>
        <w:placeholder>
          <w:docPart w:val="GBC22222222222222222222222222222"/>
        </w:placeholder>
      </w:sdtPr>
      <w:sdtContent>
        <w:p w14:paraId="5215249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02970E0" w14:textId="77777777" w:rsidR="005E000F" w:rsidRDefault="005E000F"/>
    <w:p w14:paraId="20DC07CF"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应收利息各阶段划分依据和坏账准备计提比例"/>
        <w:tag w:val="_GBC_59f57028d34346fc91962be3047fd594"/>
        <w:id w:val="959154311"/>
        <w:placeholder>
          <w:docPart w:val="GBC22222222222222222222222222222"/>
        </w:placeholder>
      </w:sdtPr>
      <w:sdtContent>
        <w:p w14:paraId="34246026" w14:textId="77777777" w:rsidR="005E000F" w:rsidRDefault="00000000">
          <w:pPr>
            <w:rPr>
              <w:bCs/>
              <w:szCs w:val="22"/>
            </w:rPr>
          </w:pPr>
          <w:r>
            <w:rPr>
              <w:rFonts w:hint="eastAsia"/>
              <w:bCs/>
              <w:szCs w:val="22"/>
            </w:rPr>
            <w:t>无</w:t>
          </w:r>
        </w:p>
      </w:sdtContent>
    </w:sdt>
    <w:p w14:paraId="7289645F" w14:textId="77777777" w:rsidR="005E000F" w:rsidRDefault="005E000F">
      <w:pPr>
        <w:rPr>
          <w:bCs/>
          <w:szCs w:val="22"/>
        </w:rPr>
      </w:pPr>
    </w:p>
    <w:p w14:paraId="1BDC9729" w14:textId="77777777" w:rsidR="005E000F" w:rsidRDefault="005E000F">
      <w:pPr>
        <w:autoSpaceDE w:val="0"/>
        <w:autoSpaceDN w:val="0"/>
        <w:adjustRightInd w:val="0"/>
        <w:ind w:rightChars="50" w:right="105"/>
      </w:pPr>
    </w:p>
    <w:p w14:paraId="789FC31A" w14:textId="77777777" w:rsidR="005E000F" w:rsidRDefault="00000000">
      <w:pPr>
        <w:pStyle w:val="affb"/>
      </w:pPr>
      <w:r>
        <w:rPr>
          <w:rFonts w:hint="eastAsia"/>
        </w:rPr>
        <w:t>对本期发生损失准备变动的应收利息账面余额显著变动的情况说明：</w:t>
      </w:r>
    </w:p>
    <w:sdt>
      <w:sdtPr>
        <w:alias w:val="是否适用：应收利息本期发生损失准备变动且账面余额显著变动的情况说明[双击切换]"/>
        <w:tag w:val="_GBC_07d71685a64f4800b3e351083fc5c9ae"/>
        <w:id w:val="87128341"/>
        <w:placeholder>
          <w:docPart w:val="GBC22222222222222222222222222222"/>
        </w:placeholder>
      </w:sdtPr>
      <w:sdtContent>
        <w:p w14:paraId="240CBA07"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7496281" w14:textId="77777777" w:rsidR="005E000F" w:rsidRDefault="005E000F">
      <w:pPr>
        <w:autoSpaceDE w:val="0"/>
        <w:autoSpaceDN w:val="0"/>
        <w:adjustRightInd w:val="0"/>
        <w:ind w:rightChars="50" w:right="105"/>
      </w:pPr>
    </w:p>
    <w:p w14:paraId="7554BF09" w14:textId="77777777" w:rsidR="005E000F" w:rsidRDefault="00000000">
      <w:pPr>
        <w:pStyle w:val="5"/>
        <w:numPr>
          <w:ilvl w:val="0"/>
          <w:numId w:val="72"/>
        </w:numPr>
        <w:ind w:leftChars="0"/>
        <w:rPr>
          <w:rFonts w:ascii="宋体" w:hAnsi="宋体" w:cs="宋体"/>
          <w:kern w:val="0"/>
          <w:szCs w:val="24"/>
        </w:rPr>
      </w:pPr>
      <w:bookmarkStart w:id="298" w:name="_Hlk153375041"/>
      <w:bookmarkEnd w:id="297"/>
      <w:r>
        <w:rPr>
          <w:rFonts w:ascii="宋体" w:hAnsi="宋体" w:cs="宋体" w:hint="eastAsia"/>
          <w:kern w:val="0"/>
          <w:szCs w:val="24"/>
        </w:rPr>
        <w:t>坏账准备的情况</w:t>
      </w:r>
    </w:p>
    <w:sdt>
      <w:sdtPr>
        <w:alias w:val="是否适用：坏账准备情况[双击切换]"/>
        <w:tag w:val="_GBC_faf892fca7fd4a8ebcdef2231ff828bc"/>
        <w:id w:val="1091351643"/>
        <w:placeholder>
          <w:docPart w:val="GBC22222222222222222222222222222"/>
        </w:placeholder>
      </w:sdtPr>
      <w:sdtContent>
        <w:p w14:paraId="4F31A3B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E63AA62" w14:textId="77777777" w:rsidR="005E000F" w:rsidRDefault="005E000F"/>
    <w:p w14:paraId="108C3CD5" w14:textId="77777777" w:rsidR="005E000F" w:rsidRDefault="00000000">
      <w:r>
        <w:rPr>
          <w:rFonts w:hint="eastAsia"/>
        </w:rPr>
        <w:t>其中本期坏账准备收回或转回金额重要的：</w:t>
      </w:r>
    </w:p>
    <w:sdt>
      <w:sdtPr>
        <w:alias w:val="是否适用：本期坏账准备收回或转回金额重要的[双击切换]"/>
        <w:tag w:val="_GBC_5a2d052a52b74bb7a867cb7ad62574c9"/>
        <w:id w:val="-854648106"/>
        <w:placeholder>
          <w:docPart w:val="GBC22222222222222222222222222222"/>
        </w:placeholder>
      </w:sdtPr>
      <w:sdtContent>
        <w:p w14:paraId="6F0678F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65A8CEA" w14:textId="77777777" w:rsidR="005E000F" w:rsidRDefault="005E000F"/>
    <w:p w14:paraId="3ADCE56B" w14:textId="77777777" w:rsidR="005E000F" w:rsidRDefault="00000000">
      <w:r>
        <w:rPr>
          <w:rFonts w:hint="eastAsia"/>
        </w:rPr>
        <w:t>其他说明：</w:t>
      </w:r>
    </w:p>
    <w:sdt>
      <w:sdtPr>
        <w:alias w:val="坏账准备情况的说明"/>
        <w:tag w:val="_GBC_79d8ee00a1ce479db5cb5285f72aaea4"/>
        <w:id w:val="1288542396"/>
        <w:placeholder>
          <w:docPart w:val="GBC22222222222222222222222222222"/>
        </w:placeholder>
      </w:sdtPr>
      <w:sdtContent>
        <w:p w14:paraId="475A0FBD" w14:textId="77777777" w:rsidR="005E000F" w:rsidRDefault="00000000">
          <w:pPr>
            <w:ind w:rightChars="20" w:right="42"/>
          </w:pPr>
          <w:r>
            <w:rPr>
              <w:rFonts w:hint="eastAsia"/>
            </w:rPr>
            <w:t>无</w:t>
          </w:r>
        </w:p>
      </w:sdtContent>
    </w:sdt>
    <w:p w14:paraId="651AA5A4" w14:textId="77777777" w:rsidR="005E000F" w:rsidRDefault="005E000F">
      <w:pPr>
        <w:ind w:rightChars="-759" w:right="-1594"/>
      </w:pPr>
    </w:p>
    <w:p w14:paraId="4A517891" w14:textId="77777777" w:rsidR="005E000F" w:rsidRDefault="00000000">
      <w:pPr>
        <w:pStyle w:val="5"/>
        <w:numPr>
          <w:ilvl w:val="0"/>
          <w:numId w:val="72"/>
        </w:numPr>
        <w:ind w:leftChars="0"/>
        <w:rPr>
          <w:rFonts w:ascii="宋体" w:hAnsi="宋体" w:cs="宋体"/>
          <w:kern w:val="0"/>
          <w:szCs w:val="24"/>
        </w:rPr>
      </w:pPr>
      <w:r>
        <w:rPr>
          <w:rFonts w:ascii="宋体" w:hAnsi="宋体" w:cs="宋体"/>
          <w:kern w:val="0"/>
          <w:szCs w:val="24"/>
        </w:rPr>
        <w:t>本期实际核销的应收</w:t>
      </w:r>
      <w:r>
        <w:rPr>
          <w:rFonts w:ascii="宋体" w:hAnsi="宋体" w:cs="宋体" w:hint="eastAsia"/>
          <w:kern w:val="0"/>
          <w:szCs w:val="24"/>
        </w:rPr>
        <w:t>利息</w:t>
      </w:r>
      <w:r>
        <w:rPr>
          <w:rFonts w:ascii="宋体" w:hAnsi="宋体" w:cs="宋体"/>
          <w:kern w:val="0"/>
          <w:szCs w:val="24"/>
        </w:rPr>
        <w:t>情况</w:t>
      </w:r>
    </w:p>
    <w:sdt>
      <w:sdtPr>
        <w:alias w:val="是否适用：实际核销的情况[双击切换]"/>
        <w:tag w:val="_GBC_d4fcf512bafe4a40a1f75d78eee0f333"/>
        <w:id w:val="-1273398972"/>
        <w:placeholder>
          <w:docPart w:val="GBC22222222222222222222222222222"/>
        </w:placeholder>
      </w:sdtPr>
      <w:sdtContent>
        <w:p w14:paraId="328B336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14009BB" w14:textId="77777777" w:rsidR="005E000F" w:rsidRDefault="005E000F"/>
    <w:p w14:paraId="30C20275" w14:textId="77777777" w:rsidR="005E000F" w:rsidRDefault="00000000">
      <w:r>
        <w:rPr>
          <w:rFonts w:hint="eastAsia"/>
        </w:rPr>
        <w:t>其中重要的应收利息核销情况</w:t>
      </w:r>
    </w:p>
    <w:sdt>
      <w:sdtPr>
        <w:rPr>
          <w:rFonts w:hint="eastAsia"/>
        </w:rPr>
        <w:alias w:val="是否适用：重要的核销情况[双击切换]"/>
        <w:tag w:val="_GBC_2cc69a5549814fd6aee1164366f580ec"/>
        <w:id w:val="-547681969"/>
        <w:placeholder>
          <w:docPart w:val="GBC22222222222222222222222222222"/>
        </w:placeholder>
      </w:sdtPr>
      <w:sdtContent>
        <w:p w14:paraId="1DE50CD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72A2868" w14:textId="77777777" w:rsidR="005E000F" w:rsidRDefault="005E000F"/>
    <w:p w14:paraId="275D269A" w14:textId="77777777" w:rsidR="005E000F" w:rsidRDefault="00000000">
      <w:pPr>
        <w:snapToGrid w:val="0"/>
        <w:spacing w:line="240" w:lineRule="atLeast"/>
      </w:pPr>
      <w:r>
        <w:rPr>
          <w:rFonts w:hint="eastAsia"/>
        </w:rPr>
        <w:t>核销说明：</w:t>
      </w:r>
    </w:p>
    <w:sdt>
      <w:sdtPr>
        <w:alias w:val="是否适用：核销说明[双击切换]"/>
        <w:tag w:val="_GBC_d8b86767c1604cb69ee84c043aa1b8dc"/>
        <w:id w:val="1521434969"/>
        <w:placeholder>
          <w:docPart w:val="GBC22222222222222222222222222222"/>
        </w:placeholder>
      </w:sdtPr>
      <w:sdtContent>
        <w:p w14:paraId="3B9EAF7F"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1BF74E6" w14:textId="77777777" w:rsidR="005E000F" w:rsidRDefault="005E000F"/>
    <w:bookmarkEnd w:id="298"/>
    <w:p w14:paraId="38F48C9F" w14:textId="77777777" w:rsidR="005E000F" w:rsidRDefault="00000000">
      <w:r>
        <w:rPr>
          <w:rFonts w:hint="eastAsia"/>
        </w:rPr>
        <w:t>其他说明：</w:t>
      </w:r>
    </w:p>
    <w:sdt>
      <w:sdtPr>
        <w:rPr>
          <w:rFonts w:hint="eastAsia"/>
        </w:rPr>
        <w:alias w:val="是否适用：应收利息的说明[双击切换]"/>
        <w:tag w:val="_GBC_353af20a1db84c639b0e03e660c37a48"/>
        <w:id w:val="-1040516206"/>
        <w:placeholder>
          <w:docPart w:val="GBC22222222222222222222222222222"/>
        </w:placeholder>
      </w:sdtPr>
      <w:sdtContent>
        <w:p w14:paraId="18C38D4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10F8448" w14:textId="77777777" w:rsidR="005E000F" w:rsidRDefault="005E000F"/>
    <w:p w14:paraId="6B528D6E" w14:textId="77777777" w:rsidR="005E000F" w:rsidRDefault="00000000">
      <w:pPr>
        <w:pStyle w:val="4"/>
        <w:ind w:left="360" w:hanging="360"/>
      </w:pPr>
      <w:r>
        <w:rPr>
          <w:rFonts w:hint="eastAsia"/>
        </w:rPr>
        <w:t>应收股利</w:t>
      </w:r>
    </w:p>
    <w:p w14:paraId="5908958B" w14:textId="77777777" w:rsidR="005E000F" w:rsidRDefault="00000000">
      <w:pPr>
        <w:pStyle w:val="5"/>
        <w:numPr>
          <w:ilvl w:val="0"/>
          <w:numId w:val="73"/>
        </w:numPr>
        <w:ind w:leftChars="0"/>
      </w:pPr>
      <w:r>
        <w:rPr>
          <w:rFonts w:hint="eastAsia"/>
        </w:rPr>
        <w:t>应收股利</w:t>
      </w:r>
    </w:p>
    <w:sdt>
      <w:sdtPr>
        <w:alias w:val="是否适用：应收股利[双击切换]"/>
        <w:tag w:val="_GBC_c0f7b0360a644690b0472107042df17a"/>
        <w:id w:val="135465813"/>
        <w:placeholder>
          <w:docPart w:val="GBC22222222222222222222222222222"/>
        </w:placeholder>
      </w:sdtPr>
      <w:sdtContent>
        <w:p w14:paraId="395DD49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FB11EDC" w14:textId="77777777" w:rsidR="005E000F" w:rsidRDefault="00000000">
      <w:pPr>
        <w:jc w:val="right"/>
      </w:pPr>
      <w:r>
        <w:rPr>
          <w:rFonts w:hint="eastAsia"/>
        </w:rPr>
        <w:t>单位：</w:t>
      </w:r>
      <w:sdt>
        <w:sdtPr>
          <w:rPr>
            <w:rFonts w:hint="eastAsia"/>
          </w:rPr>
          <w:alias w:val="单位：财务附注：应收股利"/>
          <w:tag w:val="_GBC_50f835a1df1e48409cac94b31300ae2b"/>
          <w:id w:val="4236110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应收股利"/>
          <w:tag w:val="_GBC_51a26d58ea414110b611fe682d0ba316"/>
          <w:id w:val="-17548172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3"/>
        <w:gridCol w:w="2810"/>
        <w:gridCol w:w="2825"/>
      </w:tblGrid>
      <w:tr w:rsidR="005E000F" w14:paraId="6BE25B12" w14:textId="77777777">
        <w:sdt>
          <w:sdtPr>
            <w:tag w:val="_PLD_39a83912b1814ce587a6aa2bfcc20d43"/>
            <w:id w:val="-1572107922"/>
          </w:sdtPr>
          <w:sdtContent>
            <w:tc>
              <w:tcPr>
                <w:tcW w:w="3413" w:type="dxa"/>
                <w:vAlign w:val="center"/>
              </w:tcPr>
              <w:p w14:paraId="28F9C9BF" w14:textId="77777777" w:rsidR="005E000F" w:rsidRDefault="00000000">
                <w:pPr>
                  <w:jc w:val="center"/>
                </w:pPr>
                <w:r>
                  <w:rPr>
                    <w:rFonts w:hint="eastAsia"/>
                  </w:rPr>
                  <w:t>项目（或被投资单位）</w:t>
                </w:r>
              </w:p>
            </w:tc>
          </w:sdtContent>
        </w:sdt>
        <w:sdt>
          <w:sdtPr>
            <w:tag w:val="_PLD_de504ddfb0d74b04930d73922e81793f"/>
            <w:id w:val="-1504889093"/>
          </w:sdtPr>
          <w:sdtContent>
            <w:tc>
              <w:tcPr>
                <w:tcW w:w="2810" w:type="dxa"/>
                <w:vAlign w:val="center"/>
              </w:tcPr>
              <w:p w14:paraId="11BD667A" w14:textId="77777777" w:rsidR="005E000F" w:rsidRDefault="00000000">
                <w:pPr>
                  <w:jc w:val="center"/>
                </w:pPr>
                <w:r>
                  <w:rPr>
                    <w:rFonts w:hint="eastAsia"/>
                  </w:rPr>
                  <w:t>期末余额</w:t>
                </w:r>
              </w:p>
            </w:tc>
          </w:sdtContent>
        </w:sdt>
        <w:sdt>
          <w:sdtPr>
            <w:tag w:val="_PLD_06fe10e4c67542f3ae16fdf0e6912fbc"/>
            <w:id w:val="-1960704849"/>
          </w:sdtPr>
          <w:sdtContent>
            <w:tc>
              <w:tcPr>
                <w:tcW w:w="2825" w:type="dxa"/>
                <w:vAlign w:val="center"/>
              </w:tcPr>
              <w:p w14:paraId="2A1111BD" w14:textId="77777777" w:rsidR="005E000F" w:rsidRDefault="00000000">
                <w:pPr>
                  <w:jc w:val="center"/>
                </w:pPr>
                <w:r>
                  <w:rPr>
                    <w:rFonts w:hint="eastAsia"/>
                  </w:rPr>
                  <w:t>期初余额</w:t>
                </w:r>
              </w:p>
            </w:tc>
          </w:sdtContent>
        </w:sdt>
      </w:tr>
      <w:tr w:rsidR="005E000F" w14:paraId="2F99F4FD" w14:textId="77777777">
        <w:tc>
          <w:tcPr>
            <w:tcW w:w="3413" w:type="dxa"/>
            <w:vAlign w:val="center"/>
          </w:tcPr>
          <w:p w14:paraId="65CCB274" w14:textId="77777777" w:rsidR="005E000F" w:rsidRDefault="00000000">
            <w:r>
              <w:rPr>
                <w:rFonts w:hint="eastAsia"/>
              </w:rPr>
              <w:t>应收联营及合营公司股利</w:t>
            </w:r>
          </w:p>
        </w:tc>
        <w:tc>
          <w:tcPr>
            <w:tcW w:w="2810" w:type="dxa"/>
            <w:vAlign w:val="center"/>
          </w:tcPr>
          <w:p w14:paraId="78E70226" w14:textId="77777777" w:rsidR="005E000F" w:rsidRDefault="00000000">
            <w:pPr>
              <w:jc w:val="right"/>
            </w:pPr>
            <w:r>
              <w:rPr>
                <w:rFonts w:hint="eastAsia"/>
              </w:rPr>
              <w:t>0</w:t>
            </w:r>
          </w:p>
        </w:tc>
        <w:tc>
          <w:tcPr>
            <w:tcW w:w="2825" w:type="dxa"/>
            <w:vAlign w:val="center"/>
          </w:tcPr>
          <w:p w14:paraId="514A6F3A" w14:textId="77777777" w:rsidR="005E000F" w:rsidRDefault="00000000">
            <w:pPr>
              <w:jc w:val="right"/>
            </w:pPr>
            <w:r>
              <w:t>2,433,551,412</w:t>
            </w:r>
          </w:p>
        </w:tc>
      </w:tr>
      <w:tr w:rsidR="005E000F" w14:paraId="685E5692" w14:textId="77777777">
        <w:tc>
          <w:tcPr>
            <w:tcW w:w="3413" w:type="dxa"/>
            <w:vAlign w:val="center"/>
          </w:tcPr>
          <w:p w14:paraId="40585D7C" w14:textId="77777777" w:rsidR="005E000F" w:rsidRDefault="00000000">
            <w:pPr>
              <w:jc w:val="center"/>
            </w:pPr>
            <w:r>
              <w:rPr>
                <w:rFonts w:hint="eastAsia"/>
              </w:rPr>
              <w:t>合计</w:t>
            </w:r>
          </w:p>
        </w:tc>
        <w:tc>
          <w:tcPr>
            <w:tcW w:w="2810" w:type="dxa"/>
            <w:vAlign w:val="center"/>
          </w:tcPr>
          <w:p w14:paraId="19073424" w14:textId="77777777" w:rsidR="005E000F" w:rsidRDefault="00000000">
            <w:pPr>
              <w:jc w:val="right"/>
            </w:pPr>
            <w:r>
              <w:rPr>
                <w:rFonts w:hint="eastAsia"/>
              </w:rPr>
              <w:t>0</w:t>
            </w:r>
          </w:p>
        </w:tc>
        <w:tc>
          <w:tcPr>
            <w:tcW w:w="2825" w:type="dxa"/>
            <w:vAlign w:val="center"/>
          </w:tcPr>
          <w:p w14:paraId="4468179A" w14:textId="77777777" w:rsidR="005E000F" w:rsidRDefault="00000000">
            <w:pPr>
              <w:jc w:val="right"/>
            </w:pPr>
            <w:r>
              <w:t>2,433,551,412</w:t>
            </w:r>
          </w:p>
        </w:tc>
      </w:tr>
    </w:tbl>
    <w:p w14:paraId="062C00E6" w14:textId="77777777" w:rsidR="005E000F" w:rsidRDefault="005E000F"/>
    <w:p w14:paraId="612B3392" w14:textId="77777777" w:rsidR="005E000F" w:rsidRDefault="00000000">
      <w:pPr>
        <w:pStyle w:val="5"/>
        <w:numPr>
          <w:ilvl w:val="0"/>
          <w:numId w:val="73"/>
        </w:numPr>
        <w:ind w:leftChars="0"/>
      </w:pPr>
      <w:r>
        <w:rPr>
          <w:rFonts w:hint="eastAsia"/>
        </w:rPr>
        <w:t>重要的账龄超过</w:t>
      </w:r>
      <w:r>
        <w:rPr>
          <w:rFonts w:hint="eastAsia"/>
        </w:rPr>
        <w:t>1</w:t>
      </w:r>
      <w:r>
        <w:rPr>
          <w:rFonts w:hint="eastAsia"/>
        </w:rPr>
        <w:t>年的应收股利</w:t>
      </w:r>
    </w:p>
    <w:p w14:paraId="516654D6" w14:textId="77777777" w:rsidR="005E000F" w:rsidRDefault="00000000">
      <w:sdt>
        <w:sdtPr>
          <w:rPr>
            <w:rFonts w:hint="eastAsia"/>
          </w:rPr>
          <w:alias w:val="是否适用：重要的账龄超过1年的应收股利[双击切换]"/>
          <w:tag w:val="_GBC_d46c4e6d2f2e4e20b430a619bde9abe8"/>
          <w:id w:val="-423873753"/>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5DD165B0" w14:textId="77777777" w:rsidR="005E000F" w:rsidRDefault="005E000F"/>
    <w:p w14:paraId="453709DF" w14:textId="77777777" w:rsidR="005E000F" w:rsidRDefault="00000000">
      <w:pPr>
        <w:pStyle w:val="5"/>
        <w:numPr>
          <w:ilvl w:val="0"/>
          <w:numId w:val="73"/>
        </w:numPr>
        <w:ind w:leftChars="0"/>
        <w:rPr>
          <w:rFonts w:ascii="宋体" w:hAnsi="宋体" w:cs="宋体"/>
          <w:kern w:val="0"/>
          <w:szCs w:val="24"/>
        </w:rPr>
      </w:pPr>
      <w:bookmarkStart w:id="299" w:name="_Hlk153377225"/>
      <w:r>
        <w:rPr>
          <w:rFonts w:ascii="宋体" w:hAnsi="宋体" w:cs="宋体" w:hint="eastAsia"/>
          <w:kern w:val="0"/>
          <w:szCs w:val="24"/>
        </w:rPr>
        <w:t>按</w:t>
      </w:r>
      <w:r>
        <w:rPr>
          <w:rFonts w:ascii="宋体" w:hAnsi="宋体" w:cs="宋体"/>
          <w:kern w:val="0"/>
          <w:szCs w:val="24"/>
        </w:rPr>
        <w:t>坏账计提方法分类披露</w:t>
      </w:r>
    </w:p>
    <w:sdt>
      <w:sdtPr>
        <w:alias w:val="是否适用：按坏账计提方法分类披露[双击切换]"/>
        <w:tag w:val="_GBC_ad0add93fbe54bc5984d3fdcd19c4070"/>
        <w:id w:val="1763190684"/>
        <w:placeholder>
          <w:docPart w:val="GBC22222222222222222222222222222"/>
        </w:placeholder>
      </w:sdtPr>
      <w:sdtContent>
        <w:p w14:paraId="6B82904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E676C0" w14:textId="77777777" w:rsidR="005E000F" w:rsidRDefault="005E000F"/>
    <w:p w14:paraId="46664DA3" w14:textId="77777777" w:rsidR="005E000F" w:rsidRDefault="00000000">
      <w:r>
        <w:rPr>
          <w:rFonts w:hint="eastAsia"/>
        </w:rPr>
        <w:t>按单项计提坏账准备：</w:t>
      </w:r>
    </w:p>
    <w:sdt>
      <w:sdtPr>
        <w:alias w:val="是否适用：按单项计提坏账准备的详细情况[双击切换]"/>
        <w:tag w:val="_GBC_0715807534664009b6e06e12b5244cb0"/>
        <w:id w:val="-1139408077"/>
        <w:placeholder>
          <w:docPart w:val="GBC22222222222222222222222222222"/>
        </w:placeholder>
      </w:sdtPr>
      <w:sdtContent>
        <w:p w14:paraId="5DBD2E4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DA5E969" w14:textId="77777777" w:rsidR="005E000F" w:rsidRDefault="005E000F"/>
    <w:p w14:paraId="20F825C8" w14:textId="77777777" w:rsidR="005E000F" w:rsidRDefault="00000000">
      <w:r>
        <w:rPr>
          <w:rFonts w:hint="eastAsia"/>
        </w:rPr>
        <w:t>按单项计提坏账准备的说明：</w:t>
      </w:r>
    </w:p>
    <w:sdt>
      <w:sdtPr>
        <w:alias w:val="是否适用：按单项计提坏账准备的说明[双击切换]"/>
        <w:tag w:val="_GBC_22fd3e53fab548e0b8db7ad77d176da5"/>
        <w:id w:val="-737024162"/>
        <w:placeholder>
          <w:docPart w:val="GBC22222222222222222222222222222"/>
        </w:placeholder>
      </w:sdtPr>
      <w:sdtContent>
        <w:p w14:paraId="6ACE2BD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273D9AE" w14:textId="77777777" w:rsidR="005E000F" w:rsidRDefault="005E000F"/>
    <w:p w14:paraId="3172994A" w14:textId="77777777" w:rsidR="005E000F" w:rsidRDefault="0000000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3fb2695da2d2471f82cd62f8736c521e"/>
        <w:id w:val="-1053231845"/>
        <w:placeholder>
          <w:docPart w:val="GBC22222222222222222222222222222"/>
        </w:placeholder>
      </w:sdtPr>
      <w:sdtContent>
        <w:p w14:paraId="146F84C1" w14:textId="77777777" w:rsidR="005E000F" w:rsidRDefault="0000000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15449491" w14:textId="77777777" w:rsidR="005E000F" w:rsidRDefault="005E000F"/>
    <w:p w14:paraId="030437DA" w14:textId="77777777" w:rsidR="005E000F" w:rsidRDefault="005E000F">
      <w:pPr>
        <w:rPr>
          <w:rFonts w:ascii="Calibri" w:hAnsi="Calibri"/>
          <w:b/>
          <w:bCs/>
          <w:szCs w:val="22"/>
        </w:rPr>
      </w:pPr>
    </w:p>
    <w:p w14:paraId="53DF4A03" w14:textId="77777777" w:rsidR="005E000F" w:rsidRDefault="00000000">
      <w:pPr>
        <w:pStyle w:val="5"/>
        <w:numPr>
          <w:ilvl w:val="0"/>
          <w:numId w:val="73"/>
        </w:numPr>
        <w:ind w:leftChars="0"/>
      </w:pPr>
      <w:bookmarkStart w:id="300" w:name="_Hlk533421146"/>
      <w:bookmarkEnd w:id="299"/>
      <w:r>
        <w:rPr>
          <w:rFonts w:hint="eastAsia"/>
        </w:rPr>
        <w:lastRenderedPageBreak/>
        <w:t>按预期信用损失一般模型计提坏账准备</w:t>
      </w:r>
      <w:r>
        <w:t xml:space="preserve"> </w:t>
      </w:r>
    </w:p>
    <w:sdt>
      <w:sdtPr>
        <w:alias w:val="是否适用：应收股利坏账准备调节表[双击切换]"/>
        <w:tag w:val="_GBC_847cf15503744e02b8ac7395c17d2da6"/>
        <w:id w:val="-1590606333"/>
        <w:placeholder>
          <w:docPart w:val="GBC22222222222222222222222222222"/>
        </w:placeholder>
      </w:sdtPr>
      <w:sdtContent>
        <w:p w14:paraId="3827283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13D94C6" w14:textId="77777777" w:rsidR="005E000F" w:rsidRDefault="005E000F"/>
    <w:p w14:paraId="428159E1"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应收股利各阶段划分依据和坏账准备计提比例"/>
        <w:tag w:val="_GBC_0e68af3552e84111bee1ae1542bcf907"/>
        <w:id w:val="-1388339577"/>
        <w:placeholder>
          <w:docPart w:val="GBC22222222222222222222222222222"/>
        </w:placeholder>
      </w:sdtPr>
      <w:sdtContent>
        <w:p w14:paraId="7761E06E" w14:textId="77777777" w:rsidR="005E000F" w:rsidRDefault="00000000">
          <w:pPr>
            <w:rPr>
              <w:bCs/>
              <w:szCs w:val="22"/>
            </w:rPr>
          </w:pPr>
          <w:r>
            <w:rPr>
              <w:rFonts w:hint="eastAsia"/>
              <w:bCs/>
              <w:szCs w:val="22"/>
            </w:rPr>
            <w:t>无</w:t>
          </w:r>
        </w:p>
      </w:sdtContent>
    </w:sdt>
    <w:p w14:paraId="00EBD80C" w14:textId="77777777" w:rsidR="005E000F" w:rsidRDefault="005E000F">
      <w:pPr>
        <w:autoSpaceDE w:val="0"/>
        <w:autoSpaceDN w:val="0"/>
        <w:adjustRightInd w:val="0"/>
        <w:ind w:rightChars="50" w:right="105"/>
      </w:pPr>
    </w:p>
    <w:p w14:paraId="72CBF00A" w14:textId="77777777" w:rsidR="005E000F" w:rsidRDefault="00000000">
      <w:pPr>
        <w:pStyle w:val="affb"/>
      </w:pPr>
      <w:r>
        <w:rPr>
          <w:rFonts w:hint="eastAsia"/>
        </w:rPr>
        <w:t>对本期发生损失准备变动的应收股利账面余额显著变动的情况说明：</w:t>
      </w:r>
    </w:p>
    <w:sdt>
      <w:sdtPr>
        <w:alias w:val="是否适用：应收股利本期发生损失准备变动且账面余额显著变动的情况说明[双击切换]"/>
        <w:tag w:val="_GBC_f431acf85fd94f1eb2cd4d70b0f69b2c"/>
        <w:id w:val="-208186804"/>
        <w:placeholder>
          <w:docPart w:val="GBC22222222222222222222222222222"/>
        </w:placeholder>
      </w:sdtPr>
      <w:sdtContent>
        <w:p w14:paraId="14C4ABDE"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80228CE" w14:textId="77777777" w:rsidR="005E000F" w:rsidRDefault="005E000F">
      <w:pPr>
        <w:autoSpaceDE w:val="0"/>
        <w:autoSpaceDN w:val="0"/>
        <w:adjustRightInd w:val="0"/>
        <w:ind w:rightChars="50" w:right="105"/>
      </w:pPr>
    </w:p>
    <w:p w14:paraId="65E459C6" w14:textId="77777777" w:rsidR="005E000F" w:rsidRDefault="00000000">
      <w:pPr>
        <w:pStyle w:val="5"/>
        <w:numPr>
          <w:ilvl w:val="0"/>
          <w:numId w:val="73"/>
        </w:numPr>
        <w:ind w:leftChars="0"/>
        <w:rPr>
          <w:rFonts w:ascii="宋体" w:hAnsi="宋体" w:cs="宋体"/>
          <w:kern w:val="0"/>
          <w:szCs w:val="24"/>
        </w:rPr>
      </w:pPr>
      <w:bookmarkStart w:id="301" w:name="_Hlk153377452"/>
      <w:bookmarkEnd w:id="300"/>
      <w:r>
        <w:rPr>
          <w:rFonts w:ascii="宋体" w:hAnsi="宋体" w:cs="宋体" w:hint="eastAsia"/>
          <w:kern w:val="0"/>
          <w:szCs w:val="24"/>
        </w:rPr>
        <w:t>坏账准备的情况</w:t>
      </w:r>
    </w:p>
    <w:sdt>
      <w:sdtPr>
        <w:alias w:val="是否适用：坏账准备情况[双击切换]"/>
        <w:tag w:val="_GBC_3425c1c233b1473ca1aaf53c81088091"/>
        <w:id w:val="-1154447903"/>
        <w:placeholder>
          <w:docPart w:val="GBC22222222222222222222222222222"/>
        </w:placeholder>
      </w:sdtPr>
      <w:sdtContent>
        <w:p w14:paraId="0454F33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A029F14" w14:textId="77777777" w:rsidR="005E000F" w:rsidRDefault="005E000F"/>
    <w:p w14:paraId="619D9AE7" w14:textId="77777777" w:rsidR="005E000F" w:rsidRDefault="00000000">
      <w:r>
        <w:rPr>
          <w:rFonts w:hint="eastAsia"/>
        </w:rPr>
        <w:t>其中本期坏账准备收回或转回金额重要的：</w:t>
      </w:r>
    </w:p>
    <w:sdt>
      <w:sdtPr>
        <w:alias w:val="是否适用：本期坏账准备收回或转回金额重要的[双击切换]"/>
        <w:tag w:val="_GBC_d8ca1b67740e4a2e8d7777b8dee9c902"/>
        <w:id w:val="-1310318979"/>
        <w:placeholder>
          <w:docPart w:val="GBC22222222222222222222222222222"/>
        </w:placeholder>
      </w:sdtPr>
      <w:sdtContent>
        <w:p w14:paraId="764C8B8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1926ED2" w14:textId="77777777" w:rsidR="005E000F" w:rsidRDefault="005E000F"/>
    <w:p w14:paraId="19B25CF6" w14:textId="77777777" w:rsidR="005E000F" w:rsidRDefault="00000000">
      <w:r>
        <w:rPr>
          <w:rFonts w:hint="eastAsia"/>
        </w:rPr>
        <w:t>其他说明：</w:t>
      </w:r>
    </w:p>
    <w:sdt>
      <w:sdtPr>
        <w:alias w:val="坏账准备情况的说明"/>
        <w:tag w:val="_GBC_104cb6ff4d2044ffaa8bbdd64dd76905"/>
        <w:id w:val="-706330372"/>
        <w:placeholder>
          <w:docPart w:val="GBC22222222222222222222222222222"/>
        </w:placeholder>
      </w:sdtPr>
      <w:sdtContent>
        <w:p w14:paraId="6AA507C8" w14:textId="77777777" w:rsidR="005E000F" w:rsidRDefault="00000000">
          <w:pPr>
            <w:ind w:rightChars="20" w:right="42"/>
          </w:pPr>
          <w:r>
            <w:rPr>
              <w:rFonts w:hint="eastAsia"/>
            </w:rPr>
            <w:t>无</w:t>
          </w:r>
        </w:p>
      </w:sdtContent>
    </w:sdt>
    <w:p w14:paraId="58286942" w14:textId="77777777" w:rsidR="005E000F" w:rsidRDefault="005E000F">
      <w:pPr>
        <w:ind w:rightChars="-759" w:right="-1594"/>
      </w:pPr>
    </w:p>
    <w:p w14:paraId="215AEE82" w14:textId="77777777" w:rsidR="005E000F" w:rsidRDefault="00000000">
      <w:pPr>
        <w:pStyle w:val="5"/>
        <w:numPr>
          <w:ilvl w:val="0"/>
          <w:numId w:val="73"/>
        </w:numPr>
        <w:ind w:leftChars="0"/>
        <w:rPr>
          <w:rFonts w:ascii="宋体" w:hAnsi="宋体" w:cs="宋体"/>
          <w:kern w:val="0"/>
          <w:szCs w:val="24"/>
        </w:rPr>
      </w:pPr>
      <w:r>
        <w:rPr>
          <w:rFonts w:ascii="宋体" w:hAnsi="宋体" w:cs="宋体"/>
          <w:kern w:val="0"/>
          <w:szCs w:val="24"/>
        </w:rPr>
        <w:t>本期实际核销的应收</w:t>
      </w:r>
      <w:r>
        <w:rPr>
          <w:rFonts w:ascii="宋体" w:hAnsi="宋体" w:cs="宋体" w:hint="eastAsia"/>
          <w:kern w:val="0"/>
          <w:szCs w:val="24"/>
        </w:rPr>
        <w:t>股利</w:t>
      </w:r>
      <w:r>
        <w:rPr>
          <w:rFonts w:ascii="宋体" w:hAnsi="宋体" w:cs="宋体"/>
          <w:kern w:val="0"/>
          <w:szCs w:val="24"/>
        </w:rPr>
        <w:t>情况</w:t>
      </w:r>
    </w:p>
    <w:sdt>
      <w:sdtPr>
        <w:alias w:val="是否适用：实际核销的情况[双击切换]"/>
        <w:tag w:val="_GBC_affd5e7be1cd4edaac5e7416308656eb"/>
        <w:id w:val="1768264960"/>
        <w:placeholder>
          <w:docPart w:val="GBC22222222222222222222222222222"/>
        </w:placeholder>
      </w:sdtPr>
      <w:sdtContent>
        <w:p w14:paraId="387CA96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17C76EB" w14:textId="77777777" w:rsidR="005E000F" w:rsidRDefault="005E000F"/>
    <w:p w14:paraId="3EEAD150" w14:textId="77777777" w:rsidR="005E000F" w:rsidRDefault="00000000">
      <w:r>
        <w:rPr>
          <w:rFonts w:hint="eastAsia"/>
        </w:rPr>
        <w:t>其中重要的应收股利核销情况</w:t>
      </w:r>
    </w:p>
    <w:sdt>
      <w:sdtPr>
        <w:rPr>
          <w:rFonts w:hint="eastAsia"/>
        </w:rPr>
        <w:alias w:val="是否适用：重要的核销情况[双击切换]"/>
        <w:tag w:val="_GBC_a09dafd42ae74d3fae2308963d62171e"/>
        <w:id w:val="1292935299"/>
        <w:placeholder>
          <w:docPart w:val="GBC22222222222222222222222222222"/>
        </w:placeholder>
      </w:sdtPr>
      <w:sdtContent>
        <w:p w14:paraId="516CCFE4"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67031E6" w14:textId="77777777" w:rsidR="005E000F" w:rsidRDefault="005E000F"/>
    <w:p w14:paraId="293716C1" w14:textId="77777777" w:rsidR="005E000F" w:rsidRDefault="00000000">
      <w:pPr>
        <w:snapToGrid w:val="0"/>
        <w:spacing w:line="240" w:lineRule="atLeast"/>
      </w:pPr>
      <w:r>
        <w:rPr>
          <w:rFonts w:hint="eastAsia"/>
        </w:rPr>
        <w:t>核销说明：</w:t>
      </w:r>
    </w:p>
    <w:sdt>
      <w:sdtPr>
        <w:alias w:val="是否适用：核销说明[双击切换]"/>
        <w:tag w:val="_GBC_fd7a575bc84240be8d95e73a6c70d53d"/>
        <w:id w:val="-1666859269"/>
        <w:placeholder>
          <w:docPart w:val="GBC22222222222222222222222222222"/>
        </w:placeholder>
      </w:sdtPr>
      <w:sdtContent>
        <w:p w14:paraId="4170A78E"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D8CA54" w14:textId="77777777" w:rsidR="005E000F" w:rsidRDefault="005E000F"/>
    <w:bookmarkEnd w:id="301"/>
    <w:p w14:paraId="2CD6C6E4" w14:textId="77777777" w:rsidR="005E000F" w:rsidRDefault="00000000">
      <w:r>
        <w:rPr>
          <w:rFonts w:hint="eastAsia"/>
        </w:rPr>
        <w:t>其他说明：</w:t>
      </w:r>
    </w:p>
    <w:p w14:paraId="4698F284" w14:textId="77777777" w:rsidR="005E000F" w:rsidRDefault="00000000">
      <w:sdt>
        <w:sdtPr>
          <w:alias w:val="是否适用：应收股利的说明[双击切换]"/>
          <w:tag w:val="_GBC_22314d2cdf794d5f90af92f13665da22"/>
          <w:id w:val="-287980396"/>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749C9C0C" w14:textId="77777777" w:rsidR="005E000F" w:rsidRDefault="005E000F">
      <w:pPr>
        <w:snapToGrid w:val="0"/>
        <w:spacing w:line="240" w:lineRule="atLeast"/>
        <w:ind w:rightChars="12" w:right="25"/>
        <w:rPr>
          <w:color w:val="FF0000"/>
        </w:rPr>
      </w:pPr>
    </w:p>
    <w:p w14:paraId="371B805B" w14:textId="77777777" w:rsidR="005E000F" w:rsidRDefault="00000000">
      <w:pPr>
        <w:pStyle w:val="4"/>
        <w:ind w:left="360" w:hanging="360"/>
      </w:pPr>
      <w:r>
        <w:rPr>
          <w:rFonts w:hint="eastAsia"/>
        </w:rPr>
        <w:t>其他应收款</w:t>
      </w:r>
    </w:p>
    <w:p w14:paraId="3517F09C" w14:textId="77777777" w:rsidR="005E000F" w:rsidRDefault="00000000">
      <w:pPr>
        <w:pStyle w:val="5"/>
        <w:numPr>
          <w:ilvl w:val="0"/>
          <w:numId w:val="74"/>
        </w:numPr>
        <w:ind w:leftChars="0"/>
      </w:pPr>
      <w:bookmarkStart w:id="302" w:name="_Hlk533421204"/>
      <w:r>
        <w:rPr>
          <w:rFonts w:hint="eastAsia"/>
        </w:rPr>
        <w:t>按客户类别披露</w:t>
      </w:r>
    </w:p>
    <w:p w14:paraId="72766A6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p w14:paraId="43DE1564" w14:textId="77777777" w:rsidR="005E000F" w:rsidRDefault="005E000F">
      <w:pPr>
        <w:rPr>
          <w:color w:val="000000"/>
        </w:rPr>
      </w:pPr>
    </w:p>
    <w:p w14:paraId="39E77AEA" w14:textId="77777777" w:rsidR="005E000F" w:rsidRDefault="00000000">
      <w:pPr>
        <w:jc w:val="right"/>
        <w:rPr>
          <w:color w:val="000000"/>
        </w:rPr>
      </w:pPr>
      <w:r>
        <w:rPr>
          <w:rFonts w:ascii="宋体" w:hAnsi="宋体" w:hint="eastAsia"/>
          <w:color w:val="000000"/>
        </w:rPr>
        <w:t>单位：元</w:t>
      </w:r>
      <w:r>
        <w:rPr>
          <w:rFonts w:hint="eastAsia"/>
          <w:color w:val="000000"/>
        </w:rPr>
        <w:t xml:space="preserve">  </w:t>
      </w:r>
      <w:r>
        <w:rPr>
          <w:rFonts w:ascii="宋体" w:hAnsi="宋体" w:hint="eastAsia"/>
          <w:color w:val="000000"/>
        </w:rPr>
        <w:t>币种：人民币</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074"/>
        <w:gridCol w:w="2992"/>
        <w:gridCol w:w="2993"/>
      </w:tblGrid>
      <w:tr w:rsidR="005E000F" w14:paraId="558904A3" w14:textId="77777777">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006337D5" w14:textId="77777777" w:rsidR="005E000F" w:rsidRDefault="00000000">
            <w:pPr>
              <w:jc w:val="center"/>
              <w:rPr>
                <w:color w:val="000000"/>
              </w:rPr>
            </w:pPr>
            <w:r>
              <w:rPr>
                <w:rFonts w:ascii="宋体" w:hAnsi="宋体" w:hint="eastAsia"/>
              </w:rPr>
              <w:t>客户类别</w:t>
            </w:r>
          </w:p>
        </w:tc>
        <w:tc>
          <w:tcPr>
            <w:tcW w:w="1651" w:type="pct"/>
            <w:tcBorders>
              <w:top w:val="single" w:sz="4" w:space="0" w:color="auto"/>
              <w:left w:val="nil"/>
              <w:bottom w:val="single" w:sz="4" w:space="0" w:color="auto"/>
              <w:right w:val="single" w:sz="4" w:space="0" w:color="auto"/>
            </w:tcBorders>
            <w:vAlign w:val="center"/>
          </w:tcPr>
          <w:p w14:paraId="79618B2A" w14:textId="77777777" w:rsidR="005E000F" w:rsidRDefault="00000000">
            <w:pPr>
              <w:jc w:val="center"/>
              <w:rPr>
                <w:color w:val="000000"/>
              </w:rPr>
            </w:pPr>
            <w:r>
              <w:rPr>
                <w:rFonts w:ascii="宋体" w:hAnsi="宋体" w:hint="eastAsia"/>
                <w:color w:val="000000"/>
              </w:rPr>
              <w:t>期末账面余额</w:t>
            </w:r>
          </w:p>
        </w:tc>
        <w:tc>
          <w:tcPr>
            <w:tcW w:w="1651" w:type="pct"/>
            <w:tcBorders>
              <w:top w:val="single" w:sz="4" w:space="0" w:color="auto"/>
              <w:left w:val="nil"/>
              <w:bottom w:val="single" w:sz="4" w:space="0" w:color="auto"/>
              <w:right w:val="single" w:sz="4" w:space="0" w:color="auto"/>
            </w:tcBorders>
          </w:tcPr>
          <w:p w14:paraId="2E24D195" w14:textId="77777777" w:rsidR="005E000F" w:rsidRDefault="00000000">
            <w:pPr>
              <w:jc w:val="center"/>
              <w:rPr>
                <w:color w:val="000000"/>
              </w:rPr>
            </w:pPr>
            <w:r>
              <w:rPr>
                <w:rFonts w:ascii="宋体" w:hAnsi="宋体" w:hint="eastAsia"/>
                <w:color w:val="000000"/>
              </w:rPr>
              <w:t>期初账面余额</w:t>
            </w:r>
          </w:p>
        </w:tc>
      </w:tr>
      <w:tr w:rsidR="005E000F" w14:paraId="02E26736" w14:textId="77777777">
        <w:trPr>
          <w:cantSplit/>
        </w:trPr>
        <w:tc>
          <w:tcPr>
            <w:tcW w:w="1696" w:type="pct"/>
            <w:tcBorders>
              <w:top w:val="single" w:sz="4" w:space="0" w:color="auto"/>
              <w:left w:val="single" w:sz="4" w:space="0" w:color="auto"/>
              <w:bottom w:val="single" w:sz="4" w:space="0" w:color="auto"/>
              <w:right w:val="single" w:sz="4" w:space="0" w:color="auto"/>
            </w:tcBorders>
          </w:tcPr>
          <w:p w14:paraId="0483D44F" w14:textId="77777777" w:rsidR="005E000F" w:rsidRDefault="00000000">
            <w:pPr>
              <w:rPr>
                <w:color w:val="000000"/>
              </w:rPr>
            </w:pPr>
            <w:r>
              <w:rPr>
                <w:rFonts w:ascii="宋体" w:hAnsi="宋体" w:hint="eastAsia"/>
                <w:color w:val="000000"/>
              </w:rPr>
              <w:t>国铁集团及其下属单位</w:t>
            </w:r>
          </w:p>
        </w:tc>
        <w:tc>
          <w:tcPr>
            <w:tcW w:w="1651" w:type="pct"/>
            <w:tcBorders>
              <w:top w:val="single" w:sz="4" w:space="0" w:color="auto"/>
              <w:left w:val="nil"/>
              <w:bottom w:val="single" w:sz="4" w:space="0" w:color="auto"/>
              <w:right w:val="single" w:sz="4" w:space="0" w:color="auto"/>
            </w:tcBorders>
            <w:vAlign w:val="center"/>
          </w:tcPr>
          <w:p w14:paraId="50748E2D" w14:textId="77777777" w:rsidR="005E000F" w:rsidRDefault="00000000">
            <w:pPr>
              <w:jc w:val="right"/>
            </w:pPr>
            <w:r>
              <w:t>3,692,177,770</w:t>
            </w:r>
          </w:p>
        </w:tc>
        <w:tc>
          <w:tcPr>
            <w:tcW w:w="1651" w:type="pct"/>
            <w:tcBorders>
              <w:top w:val="single" w:sz="4" w:space="0" w:color="auto"/>
              <w:left w:val="nil"/>
              <w:bottom w:val="single" w:sz="4" w:space="0" w:color="auto"/>
              <w:right w:val="single" w:sz="4" w:space="0" w:color="auto"/>
            </w:tcBorders>
          </w:tcPr>
          <w:p w14:paraId="227F2606" w14:textId="77777777" w:rsidR="005E000F" w:rsidRDefault="00000000">
            <w:pPr>
              <w:jc w:val="right"/>
            </w:pPr>
            <w:r>
              <w:rPr>
                <w:rFonts w:hint="eastAsia"/>
              </w:rPr>
              <w:t>1,775,925,709</w:t>
            </w:r>
          </w:p>
        </w:tc>
      </w:tr>
      <w:tr w:rsidR="005E000F" w14:paraId="778CF2EF" w14:textId="77777777">
        <w:trPr>
          <w:cantSplit/>
          <w:trHeight w:val="90"/>
        </w:trPr>
        <w:tc>
          <w:tcPr>
            <w:tcW w:w="1696" w:type="pct"/>
            <w:tcBorders>
              <w:top w:val="single" w:sz="4" w:space="0" w:color="auto"/>
              <w:left w:val="single" w:sz="4" w:space="0" w:color="auto"/>
              <w:bottom w:val="single" w:sz="4" w:space="0" w:color="auto"/>
              <w:right w:val="single" w:sz="4" w:space="0" w:color="auto"/>
            </w:tcBorders>
          </w:tcPr>
          <w:p w14:paraId="429E2A7B" w14:textId="77777777" w:rsidR="005E000F" w:rsidRDefault="00000000">
            <w:r>
              <w:rPr>
                <w:rFonts w:ascii="宋体" w:hAnsi="宋体" w:hint="eastAsia"/>
              </w:rPr>
              <w:t>其他</w:t>
            </w:r>
          </w:p>
        </w:tc>
        <w:tc>
          <w:tcPr>
            <w:tcW w:w="1651" w:type="pct"/>
            <w:tcBorders>
              <w:top w:val="single" w:sz="4" w:space="0" w:color="auto"/>
              <w:left w:val="nil"/>
              <w:bottom w:val="single" w:sz="4" w:space="0" w:color="auto"/>
              <w:right w:val="single" w:sz="4" w:space="0" w:color="auto"/>
            </w:tcBorders>
            <w:vAlign w:val="center"/>
          </w:tcPr>
          <w:p w14:paraId="48D07C70" w14:textId="77777777" w:rsidR="005E000F" w:rsidRDefault="00000000">
            <w:pPr>
              <w:jc w:val="right"/>
            </w:pPr>
            <w:r>
              <w:t>22,914,642</w:t>
            </w:r>
          </w:p>
        </w:tc>
        <w:tc>
          <w:tcPr>
            <w:tcW w:w="1651" w:type="pct"/>
            <w:tcBorders>
              <w:top w:val="single" w:sz="4" w:space="0" w:color="auto"/>
              <w:left w:val="nil"/>
              <w:bottom w:val="single" w:sz="4" w:space="0" w:color="auto"/>
              <w:right w:val="single" w:sz="4" w:space="0" w:color="auto"/>
            </w:tcBorders>
          </w:tcPr>
          <w:p w14:paraId="0142B7AC" w14:textId="77777777" w:rsidR="005E000F" w:rsidRDefault="00000000">
            <w:pPr>
              <w:jc w:val="right"/>
            </w:pPr>
            <w:r>
              <w:rPr>
                <w:rFonts w:hint="eastAsia"/>
              </w:rPr>
              <w:t>21,785,985</w:t>
            </w:r>
          </w:p>
        </w:tc>
      </w:tr>
      <w:tr w:rsidR="005E000F" w14:paraId="2C658B7F" w14:textId="77777777">
        <w:trPr>
          <w:cantSplit/>
        </w:trPr>
        <w:tc>
          <w:tcPr>
            <w:tcW w:w="1696" w:type="pct"/>
            <w:tcBorders>
              <w:top w:val="single" w:sz="4" w:space="0" w:color="auto"/>
              <w:left w:val="single" w:sz="4" w:space="0" w:color="auto"/>
              <w:bottom w:val="single" w:sz="4" w:space="0" w:color="auto"/>
              <w:right w:val="single" w:sz="4" w:space="0" w:color="auto"/>
            </w:tcBorders>
          </w:tcPr>
          <w:p w14:paraId="7550B687" w14:textId="77777777" w:rsidR="005E000F" w:rsidRDefault="00000000">
            <w:r>
              <w:rPr>
                <w:rFonts w:ascii="宋体" w:hAnsi="宋体" w:hint="eastAsia"/>
              </w:rPr>
              <w:t>减：坏账准备</w:t>
            </w:r>
          </w:p>
        </w:tc>
        <w:tc>
          <w:tcPr>
            <w:tcW w:w="1651" w:type="pct"/>
            <w:tcBorders>
              <w:top w:val="single" w:sz="4" w:space="0" w:color="auto"/>
              <w:left w:val="nil"/>
              <w:bottom w:val="single" w:sz="4" w:space="0" w:color="auto"/>
              <w:right w:val="single" w:sz="4" w:space="0" w:color="auto"/>
            </w:tcBorders>
            <w:vAlign w:val="center"/>
          </w:tcPr>
          <w:p w14:paraId="34776097" w14:textId="77777777" w:rsidR="005E000F" w:rsidRDefault="00000000">
            <w:pPr>
              <w:jc w:val="right"/>
            </w:pPr>
            <w:r>
              <w:t>252,414</w:t>
            </w:r>
          </w:p>
        </w:tc>
        <w:tc>
          <w:tcPr>
            <w:tcW w:w="1651" w:type="pct"/>
            <w:tcBorders>
              <w:top w:val="single" w:sz="4" w:space="0" w:color="auto"/>
              <w:left w:val="nil"/>
              <w:bottom w:val="single" w:sz="4" w:space="0" w:color="auto"/>
              <w:right w:val="single" w:sz="4" w:space="0" w:color="auto"/>
            </w:tcBorders>
          </w:tcPr>
          <w:p w14:paraId="62C14AF5" w14:textId="77777777" w:rsidR="005E000F" w:rsidRDefault="00000000">
            <w:pPr>
              <w:jc w:val="right"/>
            </w:pPr>
            <w:r>
              <w:rPr>
                <w:rFonts w:hint="eastAsia"/>
              </w:rPr>
              <w:t>290,013</w:t>
            </w:r>
          </w:p>
        </w:tc>
      </w:tr>
      <w:tr w:rsidR="005E000F" w14:paraId="3C10C171" w14:textId="77777777">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4EA54F98" w14:textId="77777777" w:rsidR="005E000F" w:rsidRDefault="00000000">
            <w:pPr>
              <w:jc w:val="center"/>
              <w:rPr>
                <w:color w:val="000000"/>
              </w:rPr>
            </w:pPr>
            <w:r>
              <w:rPr>
                <w:rFonts w:ascii="宋体" w:hAnsi="宋体" w:hint="eastAsia"/>
                <w:color w:val="000000"/>
              </w:rPr>
              <w:t>合计</w:t>
            </w:r>
          </w:p>
        </w:tc>
        <w:tc>
          <w:tcPr>
            <w:tcW w:w="1651" w:type="pct"/>
            <w:tcBorders>
              <w:top w:val="single" w:sz="4" w:space="0" w:color="auto"/>
              <w:left w:val="nil"/>
              <w:bottom w:val="single" w:sz="4" w:space="0" w:color="auto"/>
              <w:right w:val="single" w:sz="4" w:space="0" w:color="auto"/>
            </w:tcBorders>
            <w:vAlign w:val="center"/>
          </w:tcPr>
          <w:p w14:paraId="36EB467F" w14:textId="77777777" w:rsidR="005E000F" w:rsidRDefault="00000000">
            <w:pPr>
              <w:jc w:val="right"/>
            </w:pPr>
            <w:r>
              <w:t>3,714,839,998</w:t>
            </w:r>
          </w:p>
        </w:tc>
        <w:tc>
          <w:tcPr>
            <w:tcW w:w="1651" w:type="pct"/>
            <w:tcBorders>
              <w:top w:val="single" w:sz="4" w:space="0" w:color="auto"/>
              <w:left w:val="nil"/>
              <w:bottom w:val="single" w:sz="4" w:space="0" w:color="auto"/>
              <w:right w:val="single" w:sz="4" w:space="0" w:color="auto"/>
            </w:tcBorders>
          </w:tcPr>
          <w:p w14:paraId="7AFC4C87" w14:textId="77777777" w:rsidR="005E000F" w:rsidRDefault="00000000">
            <w:pPr>
              <w:jc w:val="right"/>
            </w:pPr>
            <w:r>
              <w:rPr>
                <w:rFonts w:hint="eastAsia"/>
              </w:rPr>
              <w:t>1,797,421,681</w:t>
            </w:r>
          </w:p>
        </w:tc>
      </w:tr>
    </w:tbl>
    <w:p w14:paraId="69D9E331" w14:textId="77777777" w:rsidR="005E000F" w:rsidRDefault="005E000F"/>
    <w:p w14:paraId="66EDB227" w14:textId="77777777" w:rsidR="005E000F" w:rsidRDefault="005E000F"/>
    <w:p w14:paraId="47D87CD3" w14:textId="77777777" w:rsidR="005E000F" w:rsidRDefault="00000000">
      <w:pPr>
        <w:pStyle w:val="5"/>
        <w:numPr>
          <w:ilvl w:val="0"/>
          <w:numId w:val="74"/>
        </w:numPr>
        <w:ind w:leftChars="0"/>
      </w:pPr>
      <w:proofErr w:type="gramStart"/>
      <w:r>
        <w:rPr>
          <w:rFonts w:hint="eastAsia"/>
        </w:rPr>
        <w:t>按账龄</w:t>
      </w:r>
      <w:proofErr w:type="gramEnd"/>
      <w:r>
        <w:rPr>
          <w:rFonts w:hint="eastAsia"/>
        </w:rPr>
        <w:t>披露</w:t>
      </w:r>
      <w:bookmarkEnd w:id="302"/>
    </w:p>
    <w:sdt>
      <w:sdtPr>
        <w:rPr>
          <w:rFonts w:hint="eastAsia"/>
        </w:rPr>
        <w:alias w:val="是否适用：组合中，按账龄分析法计提坏账准备的其他应收账款[双击切换]"/>
        <w:tag w:val="_GBC_b46a4e720a884c40b402c5b30a4f4432"/>
        <w:id w:val="-1082678631"/>
        <w:placeholder>
          <w:docPart w:val="GBC22222222222222222222222222222"/>
        </w:placeholder>
      </w:sdtPr>
      <w:sdtContent>
        <w:p w14:paraId="573991C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699708E" w14:textId="77777777" w:rsidR="005E000F" w:rsidRDefault="00000000">
      <w:pPr>
        <w:jc w:val="right"/>
      </w:pPr>
      <w:r>
        <w:rPr>
          <w:rFonts w:hint="eastAsia"/>
        </w:rPr>
        <w:t>单位：</w:t>
      </w:r>
      <w:sdt>
        <w:sdtPr>
          <w:rPr>
            <w:rFonts w:hint="eastAsia"/>
          </w:rPr>
          <w:alias w:val="单位：财务附注：单项金额不重大但按信用风险特征组合后该组合的风险较大的其他应收账款"/>
          <w:tag w:val="_GBC_6ca37718de0645da8a1de40ee1bb1597"/>
          <w:id w:val="49969561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单项金额不重大但按信用风险特征组合后该组合的风险较大的其他应收账款"/>
          <w:tag w:val="_GBC_eccd3e1ac8d04ff882b9e0189e7dd629"/>
          <w:id w:val="81569235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072"/>
        <w:gridCol w:w="2993"/>
        <w:gridCol w:w="2993"/>
      </w:tblGrid>
      <w:tr w:rsidR="005E000F" w14:paraId="75406817" w14:textId="77777777">
        <w:trPr>
          <w:cantSplit/>
        </w:trPr>
        <w:sdt>
          <w:sdtPr>
            <w:tag w:val="_PLD_3693c274d2774e098d4e6f0b6ce787c4"/>
            <w:id w:val="-1258284941"/>
          </w:sdtPr>
          <w:sdtContent>
            <w:tc>
              <w:tcPr>
                <w:tcW w:w="3072" w:type="dxa"/>
                <w:tcBorders>
                  <w:top w:val="single" w:sz="4" w:space="0" w:color="auto"/>
                  <w:left w:val="single" w:sz="4" w:space="0" w:color="auto"/>
                  <w:bottom w:val="single" w:sz="4" w:space="0" w:color="auto"/>
                  <w:right w:val="single" w:sz="4" w:space="0" w:color="auto"/>
                </w:tcBorders>
                <w:vAlign w:val="center"/>
              </w:tcPr>
              <w:p w14:paraId="577FD073" w14:textId="77777777" w:rsidR="005E000F" w:rsidRDefault="00000000">
                <w:pPr>
                  <w:jc w:val="center"/>
                </w:pPr>
                <w:r>
                  <w:rPr>
                    <w:rFonts w:hint="eastAsia"/>
                  </w:rPr>
                  <w:t>账龄</w:t>
                </w:r>
              </w:p>
            </w:tc>
          </w:sdtContent>
        </w:sdt>
        <w:sdt>
          <w:sdtPr>
            <w:tag w:val="_PLD_592d3cc76c64401da21e664b374ad045"/>
            <w:id w:val="924537430"/>
          </w:sdtPr>
          <w:sdtContent>
            <w:tc>
              <w:tcPr>
                <w:tcW w:w="2993" w:type="dxa"/>
                <w:tcBorders>
                  <w:top w:val="single" w:sz="4" w:space="0" w:color="auto"/>
                  <w:left w:val="single" w:sz="4" w:space="0" w:color="auto"/>
                  <w:bottom w:val="single" w:sz="4" w:space="0" w:color="auto"/>
                  <w:right w:val="single" w:sz="4" w:space="0" w:color="auto"/>
                </w:tcBorders>
                <w:vAlign w:val="center"/>
              </w:tcPr>
              <w:p w14:paraId="5D6CB5F3" w14:textId="77777777" w:rsidR="005E000F" w:rsidRDefault="00000000">
                <w:pPr>
                  <w:jc w:val="center"/>
                </w:pPr>
                <w:r>
                  <w:rPr>
                    <w:rFonts w:hint="eastAsia"/>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tag w:val="_PLD_9bcf94b318874d63924c35d852b5b3c8"/>
              <w:id w:val="189575037"/>
            </w:sdtPr>
            <w:sdtContent>
              <w:p w14:paraId="2E8D13E1" w14:textId="77777777" w:rsidR="005E000F" w:rsidRDefault="00000000">
                <w:pPr>
                  <w:jc w:val="center"/>
                </w:pPr>
                <w:r>
                  <w:rPr>
                    <w:rFonts w:hint="eastAsia"/>
                  </w:rPr>
                  <w:t>期初账面余额</w:t>
                </w:r>
              </w:p>
            </w:sdtContent>
          </w:sdt>
        </w:tc>
      </w:tr>
      <w:tr w:rsidR="005E000F" w14:paraId="14617D49" w14:textId="77777777">
        <w:trPr>
          <w:cantSplit/>
        </w:trPr>
        <w:tc>
          <w:tcPr>
            <w:tcW w:w="9058" w:type="dxa"/>
            <w:gridSpan w:val="3"/>
            <w:tcBorders>
              <w:top w:val="single" w:sz="4" w:space="0" w:color="auto"/>
              <w:left w:val="single" w:sz="4" w:space="0" w:color="auto"/>
              <w:bottom w:val="single" w:sz="4" w:space="0" w:color="auto"/>
              <w:right w:val="single" w:sz="4" w:space="0" w:color="auto"/>
            </w:tcBorders>
            <w:vAlign w:val="center"/>
          </w:tcPr>
          <w:p w14:paraId="42E633E4" w14:textId="77777777" w:rsidR="005E000F" w:rsidRDefault="00000000">
            <w:pPr>
              <w:jc w:val="both"/>
            </w:pPr>
            <w:r>
              <w:rPr>
                <w:rFonts w:hint="eastAsia"/>
              </w:rPr>
              <w:t>1</w:t>
            </w:r>
            <w:r>
              <w:rPr>
                <w:rFonts w:hint="eastAsia"/>
              </w:rPr>
              <w:t>年以内（含</w:t>
            </w:r>
            <w:r>
              <w:rPr>
                <w:rFonts w:hint="eastAsia"/>
              </w:rPr>
              <w:t>1</w:t>
            </w:r>
            <w:r>
              <w:rPr>
                <w:rFonts w:hint="eastAsia"/>
              </w:rPr>
              <w:t>年）</w:t>
            </w:r>
          </w:p>
        </w:tc>
      </w:tr>
      <w:tr w:rsidR="005E000F" w14:paraId="314E0A21" w14:textId="77777777">
        <w:trPr>
          <w:cantSplit/>
        </w:trPr>
        <w:tc>
          <w:tcPr>
            <w:tcW w:w="9058" w:type="dxa"/>
            <w:gridSpan w:val="3"/>
            <w:tcBorders>
              <w:top w:val="single" w:sz="4" w:space="0" w:color="auto"/>
              <w:left w:val="single" w:sz="4" w:space="0" w:color="auto"/>
              <w:bottom w:val="single" w:sz="4" w:space="0" w:color="auto"/>
              <w:right w:val="single" w:sz="4" w:space="0" w:color="auto"/>
            </w:tcBorders>
            <w:vAlign w:val="center"/>
          </w:tcPr>
          <w:p w14:paraId="7B10099F" w14:textId="77777777" w:rsidR="005E000F" w:rsidRDefault="00000000">
            <w:pPr>
              <w:jc w:val="both"/>
            </w:pPr>
            <w:r>
              <w:rPr>
                <w:rFonts w:hint="eastAsia"/>
              </w:rPr>
              <w:lastRenderedPageBreak/>
              <w:t>其中：</w:t>
            </w:r>
            <w:r>
              <w:rPr>
                <w:rFonts w:hint="eastAsia"/>
              </w:rPr>
              <w:t>1</w:t>
            </w:r>
            <w:r>
              <w:rPr>
                <w:rFonts w:hint="eastAsia"/>
              </w:rPr>
              <w:t>年以内分项</w:t>
            </w:r>
          </w:p>
        </w:tc>
      </w:tr>
      <w:tr w:rsidR="005E000F" w14:paraId="7267CE7D"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9E76716" w14:textId="77777777" w:rsidR="005E000F" w:rsidRDefault="00000000">
            <w:r>
              <w:rPr>
                <w:rFonts w:hint="eastAsia"/>
              </w:rPr>
              <w:t>1</w:t>
            </w:r>
            <w:r>
              <w:rPr>
                <w:rFonts w:hint="eastAsia"/>
              </w:rPr>
              <w:t>年以内（含</w:t>
            </w:r>
            <w:r>
              <w:rPr>
                <w:rFonts w:hint="eastAsia"/>
              </w:rPr>
              <w:t>1</w:t>
            </w:r>
            <w:r>
              <w:rPr>
                <w:rFonts w:hint="eastAsia"/>
              </w:rPr>
              <w:t>年）</w:t>
            </w:r>
          </w:p>
        </w:tc>
        <w:tc>
          <w:tcPr>
            <w:tcW w:w="2993" w:type="dxa"/>
            <w:tcBorders>
              <w:top w:val="single" w:sz="4" w:space="0" w:color="auto"/>
              <w:left w:val="single" w:sz="4" w:space="0" w:color="auto"/>
              <w:bottom w:val="single" w:sz="4" w:space="0" w:color="auto"/>
              <w:right w:val="single" w:sz="4" w:space="0" w:color="auto"/>
            </w:tcBorders>
            <w:shd w:val="clear" w:color="auto" w:fill="auto"/>
            <w:vAlign w:val="center"/>
          </w:tcPr>
          <w:p w14:paraId="5D6A7B53" w14:textId="77777777" w:rsidR="005E000F" w:rsidRDefault="00000000">
            <w:pPr>
              <w:jc w:val="right"/>
            </w:pPr>
            <w:r>
              <w:t>3,616,974,852</w:t>
            </w:r>
          </w:p>
        </w:tc>
        <w:tc>
          <w:tcPr>
            <w:tcW w:w="2993" w:type="dxa"/>
            <w:tcBorders>
              <w:top w:val="single" w:sz="4" w:space="0" w:color="auto"/>
              <w:left w:val="single" w:sz="4" w:space="0" w:color="auto"/>
              <w:bottom w:val="single" w:sz="4" w:space="0" w:color="auto"/>
              <w:right w:val="single" w:sz="4" w:space="0" w:color="auto"/>
            </w:tcBorders>
            <w:shd w:val="clear" w:color="auto" w:fill="auto"/>
            <w:vAlign w:val="center"/>
          </w:tcPr>
          <w:p w14:paraId="590A122B" w14:textId="77777777" w:rsidR="005E000F" w:rsidRDefault="00000000">
            <w:pPr>
              <w:jc w:val="right"/>
            </w:pPr>
            <w:r>
              <w:t>1,746,231,134</w:t>
            </w:r>
          </w:p>
        </w:tc>
      </w:tr>
      <w:tr w:rsidR="005E000F" w14:paraId="4D943A9B"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3698D92" w14:textId="77777777" w:rsidR="005E000F" w:rsidRDefault="00000000">
            <w:r>
              <w:rPr>
                <w:rFonts w:hint="eastAsia"/>
              </w:rPr>
              <w:t>1</w:t>
            </w:r>
            <w:r>
              <w:rPr>
                <w:rFonts w:hint="eastAsia"/>
              </w:rPr>
              <w:t>年以内小计</w:t>
            </w:r>
          </w:p>
        </w:tc>
        <w:tc>
          <w:tcPr>
            <w:tcW w:w="2993" w:type="dxa"/>
            <w:tcBorders>
              <w:top w:val="single" w:sz="4" w:space="0" w:color="auto"/>
              <w:left w:val="single" w:sz="4" w:space="0" w:color="auto"/>
              <w:bottom w:val="single" w:sz="4" w:space="0" w:color="auto"/>
              <w:right w:val="single" w:sz="4" w:space="0" w:color="auto"/>
            </w:tcBorders>
            <w:vAlign w:val="center"/>
          </w:tcPr>
          <w:p w14:paraId="5368CCC4" w14:textId="77777777" w:rsidR="005E000F" w:rsidRDefault="00000000">
            <w:pPr>
              <w:jc w:val="right"/>
            </w:pPr>
            <w:r>
              <w:t>3,616,974,852</w:t>
            </w:r>
          </w:p>
        </w:tc>
        <w:tc>
          <w:tcPr>
            <w:tcW w:w="2993" w:type="dxa"/>
            <w:tcBorders>
              <w:top w:val="single" w:sz="4" w:space="0" w:color="auto"/>
              <w:left w:val="single" w:sz="4" w:space="0" w:color="auto"/>
              <w:bottom w:val="single" w:sz="4" w:space="0" w:color="auto"/>
              <w:right w:val="single" w:sz="4" w:space="0" w:color="auto"/>
            </w:tcBorders>
            <w:vAlign w:val="center"/>
          </w:tcPr>
          <w:p w14:paraId="768453EA" w14:textId="77777777" w:rsidR="005E000F" w:rsidRDefault="00000000">
            <w:pPr>
              <w:jc w:val="right"/>
            </w:pPr>
            <w:r>
              <w:t>1,746,231,134</w:t>
            </w:r>
          </w:p>
        </w:tc>
      </w:tr>
      <w:tr w:rsidR="005E000F" w14:paraId="221B28DF"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A993D3A" w14:textId="77777777" w:rsidR="005E000F" w:rsidRDefault="00000000">
            <w:r>
              <w:rPr>
                <w:rFonts w:hint="eastAsia"/>
              </w:rPr>
              <w:t>1</w:t>
            </w:r>
            <w:r>
              <w:rPr>
                <w:rFonts w:hint="eastAsia"/>
              </w:rPr>
              <w:t>至</w:t>
            </w:r>
            <w:r>
              <w:rPr>
                <w:rFonts w:hint="eastAsia"/>
              </w:rPr>
              <w:t>2</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73CEA9A4" w14:textId="77777777" w:rsidR="005E000F" w:rsidRDefault="00000000">
            <w:pPr>
              <w:jc w:val="right"/>
            </w:pPr>
            <w:r>
              <w:t>53,945,601</w:t>
            </w:r>
          </w:p>
        </w:tc>
        <w:tc>
          <w:tcPr>
            <w:tcW w:w="2993" w:type="dxa"/>
            <w:tcBorders>
              <w:top w:val="single" w:sz="4" w:space="0" w:color="auto"/>
              <w:left w:val="single" w:sz="4" w:space="0" w:color="auto"/>
              <w:bottom w:val="single" w:sz="4" w:space="0" w:color="auto"/>
              <w:right w:val="single" w:sz="4" w:space="0" w:color="auto"/>
            </w:tcBorders>
            <w:vAlign w:val="center"/>
          </w:tcPr>
          <w:p w14:paraId="5A4EF508" w14:textId="77777777" w:rsidR="005E000F" w:rsidRDefault="00000000">
            <w:pPr>
              <w:jc w:val="right"/>
            </w:pPr>
            <w:r>
              <w:t>45,354,747</w:t>
            </w:r>
          </w:p>
        </w:tc>
      </w:tr>
      <w:tr w:rsidR="005E000F" w14:paraId="39C2EC36"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6FBBB3F" w14:textId="77777777" w:rsidR="005E000F" w:rsidRDefault="00000000">
            <w:r>
              <w:rPr>
                <w:rFonts w:hint="eastAsia"/>
              </w:rPr>
              <w:t>2</w:t>
            </w:r>
            <w:r>
              <w:rPr>
                <w:rFonts w:hint="eastAsia"/>
              </w:rPr>
              <w:t>至</w:t>
            </w:r>
            <w:r>
              <w:rPr>
                <w:rFonts w:hint="eastAsia"/>
              </w:rPr>
              <w:t>3</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024B1743" w14:textId="77777777" w:rsidR="005E000F" w:rsidRDefault="00000000">
            <w:pPr>
              <w:jc w:val="right"/>
            </w:pPr>
            <w:r>
              <w:t>38,311,876</w:t>
            </w:r>
          </w:p>
        </w:tc>
        <w:tc>
          <w:tcPr>
            <w:tcW w:w="2993" w:type="dxa"/>
            <w:tcBorders>
              <w:top w:val="single" w:sz="4" w:space="0" w:color="auto"/>
              <w:left w:val="single" w:sz="4" w:space="0" w:color="auto"/>
              <w:bottom w:val="single" w:sz="4" w:space="0" w:color="auto"/>
              <w:right w:val="single" w:sz="4" w:space="0" w:color="auto"/>
            </w:tcBorders>
            <w:vAlign w:val="center"/>
          </w:tcPr>
          <w:p w14:paraId="15C821BC" w14:textId="77777777" w:rsidR="005E000F" w:rsidRDefault="00000000">
            <w:pPr>
              <w:jc w:val="right"/>
            </w:pPr>
            <w:r>
              <w:t>77,738</w:t>
            </w:r>
          </w:p>
        </w:tc>
      </w:tr>
      <w:tr w:rsidR="005E000F" w14:paraId="5881C1AB"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5ECA5F8" w14:textId="77777777" w:rsidR="005E000F" w:rsidRDefault="00000000">
            <w:r>
              <w:rPr>
                <w:rFonts w:hint="eastAsia"/>
              </w:rPr>
              <w:t>3</w:t>
            </w:r>
            <w:r>
              <w:rPr>
                <w:rFonts w:hint="eastAsia"/>
              </w:rPr>
              <w:t>年以上</w:t>
            </w:r>
          </w:p>
        </w:tc>
        <w:tc>
          <w:tcPr>
            <w:tcW w:w="5986" w:type="dxa"/>
            <w:gridSpan w:val="2"/>
            <w:tcBorders>
              <w:top w:val="single" w:sz="4" w:space="0" w:color="auto"/>
              <w:left w:val="single" w:sz="4" w:space="0" w:color="auto"/>
              <w:bottom w:val="single" w:sz="4" w:space="0" w:color="auto"/>
              <w:right w:val="single" w:sz="4" w:space="0" w:color="auto"/>
            </w:tcBorders>
            <w:vAlign w:val="center"/>
          </w:tcPr>
          <w:p w14:paraId="62A7C01B" w14:textId="77777777" w:rsidR="005E000F" w:rsidRDefault="005E000F">
            <w:pPr>
              <w:jc w:val="right"/>
            </w:pPr>
          </w:p>
        </w:tc>
      </w:tr>
      <w:tr w:rsidR="005E000F" w14:paraId="528CF960"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4EFB29D" w14:textId="77777777" w:rsidR="005E000F" w:rsidRDefault="00000000">
            <w:r>
              <w:rPr>
                <w:rFonts w:hint="eastAsia"/>
              </w:rPr>
              <w:t>3</w:t>
            </w:r>
            <w:r>
              <w:rPr>
                <w:rFonts w:hint="eastAsia"/>
              </w:rPr>
              <w:t>至</w:t>
            </w:r>
            <w:r>
              <w:rPr>
                <w:rFonts w:hint="eastAsia"/>
              </w:rPr>
              <w:t>4</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7AA3DD51" w14:textId="77777777" w:rsidR="005E000F" w:rsidRDefault="00000000">
            <w:pPr>
              <w:jc w:val="right"/>
            </w:pPr>
            <w:r>
              <w:t>77,738</w:t>
            </w:r>
          </w:p>
        </w:tc>
        <w:tc>
          <w:tcPr>
            <w:tcW w:w="2993" w:type="dxa"/>
            <w:tcBorders>
              <w:top w:val="single" w:sz="4" w:space="0" w:color="auto"/>
              <w:left w:val="single" w:sz="4" w:space="0" w:color="auto"/>
              <w:bottom w:val="single" w:sz="4" w:space="0" w:color="auto"/>
              <w:right w:val="single" w:sz="4" w:space="0" w:color="auto"/>
            </w:tcBorders>
            <w:vAlign w:val="center"/>
          </w:tcPr>
          <w:p w14:paraId="7B6E53AC" w14:textId="77777777" w:rsidR="005E000F" w:rsidRDefault="00000000">
            <w:pPr>
              <w:jc w:val="right"/>
            </w:pPr>
            <w:r>
              <w:t>5,191,899</w:t>
            </w:r>
          </w:p>
        </w:tc>
      </w:tr>
      <w:tr w:rsidR="005E000F" w14:paraId="5453B927"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547B683" w14:textId="77777777" w:rsidR="005E000F" w:rsidRDefault="00000000">
            <w:r>
              <w:rPr>
                <w:rFonts w:hint="eastAsia"/>
              </w:rPr>
              <w:t>4</w:t>
            </w:r>
            <w:r>
              <w:rPr>
                <w:rFonts w:hint="eastAsia"/>
              </w:rPr>
              <w:t>至</w:t>
            </w:r>
            <w:r>
              <w:rPr>
                <w:rFonts w:hint="eastAsia"/>
              </w:rPr>
              <w:t>5</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2B3182E1" w14:textId="77777777" w:rsidR="005E000F" w:rsidRDefault="00000000">
            <w:pPr>
              <w:jc w:val="right"/>
            </w:pPr>
            <w:r>
              <w:t>5,190,583</w:t>
            </w:r>
          </w:p>
        </w:tc>
        <w:tc>
          <w:tcPr>
            <w:tcW w:w="2993" w:type="dxa"/>
            <w:tcBorders>
              <w:top w:val="single" w:sz="4" w:space="0" w:color="auto"/>
              <w:left w:val="single" w:sz="4" w:space="0" w:color="auto"/>
              <w:bottom w:val="single" w:sz="4" w:space="0" w:color="auto"/>
              <w:right w:val="single" w:sz="4" w:space="0" w:color="auto"/>
            </w:tcBorders>
            <w:vAlign w:val="center"/>
          </w:tcPr>
          <w:p w14:paraId="2576A990" w14:textId="77777777" w:rsidR="005E000F" w:rsidRDefault="00000000">
            <w:pPr>
              <w:jc w:val="right"/>
            </w:pPr>
            <w:r>
              <w:t>589,762</w:t>
            </w:r>
          </w:p>
        </w:tc>
      </w:tr>
      <w:tr w:rsidR="005E000F" w14:paraId="5714757F"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2AF2DDB8" w14:textId="77777777" w:rsidR="005E000F" w:rsidRDefault="00000000">
            <w:r>
              <w:rPr>
                <w:rFonts w:hint="eastAsia"/>
              </w:rPr>
              <w:t>5</w:t>
            </w:r>
            <w:r>
              <w:rPr>
                <w:rFonts w:hint="eastAsia"/>
              </w:rPr>
              <w:t>年以上</w:t>
            </w:r>
          </w:p>
        </w:tc>
        <w:tc>
          <w:tcPr>
            <w:tcW w:w="2993" w:type="dxa"/>
            <w:tcBorders>
              <w:top w:val="single" w:sz="4" w:space="0" w:color="auto"/>
              <w:left w:val="single" w:sz="4" w:space="0" w:color="auto"/>
              <w:bottom w:val="single" w:sz="4" w:space="0" w:color="auto"/>
              <w:right w:val="single" w:sz="4" w:space="0" w:color="auto"/>
            </w:tcBorders>
            <w:vAlign w:val="center"/>
          </w:tcPr>
          <w:p w14:paraId="4230996F" w14:textId="77777777" w:rsidR="005E000F" w:rsidRDefault="00000000">
            <w:pPr>
              <w:jc w:val="right"/>
            </w:pPr>
            <w:r>
              <w:t>591,762</w:t>
            </w:r>
          </w:p>
        </w:tc>
        <w:tc>
          <w:tcPr>
            <w:tcW w:w="2993" w:type="dxa"/>
            <w:tcBorders>
              <w:top w:val="single" w:sz="4" w:space="0" w:color="auto"/>
              <w:left w:val="single" w:sz="4" w:space="0" w:color="auto"/>
              <w:bottom w:val="single" w:sz="4" w:space="0" w:color="auto"/>
              <w:right w:val="single" w:sz="4" w:space="0" w:color="auto"/>
            </w:tcBorders>
            <w:vAlign w:val="center"/>
          </w:tcPr>
          <w:p w14:paraId="5D7B1D00" w14:textId="77777777" w:rsidR="005E000F" w:rsidRDefault="00000000">
            <w:pPr>
              <w:jc w:val="right"/>
            </w:pPr>
            <w:r>
              <w:t>266,414</w:t>
            </w:r>
          </w:p>
        </w:tc>
      </w:tr>
      <w:tr w:rsidR="005E000F" w14:paraId="4C8EFC2E"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46EC6393" w14:textId="77777777" w:rsidR="005E000F" w:rsidRDefault="00000000">
            <w:r>
              <w:rPr>
                <w:rFonts w:hint="eastAsia"/>
              </w:rPr>
              <w:t>减：坏账准备</w:t>
            </w:r>
          </w:p>
        </w:tc>
        <w:tc>
          <w:tcPr>
            <w:tcW w:w="2993" w:type="dxa"/>
            <w:tcBorders>
              <w:top w:val="single" w:sz="4" w:space="0" w:color="auto"/>
              <w:left w:val="single" w:sz="4" w:space="0" w:color="auto"/>
              <w:bottom w:val="single" w:sz="4" w:space="0" w:color="auto"/>
              <w:right w:val="single" w:sz="4" w:space="0" w:color="auto"/>
            </w:tcBorders>
            <w:vAlign w:val="center"/>
          </w:tcPr>
          <w:p w14:paraId="75B4E174" w14:textId="77777777" w:rsidR="005E000F" w:rsidRDefault="00000000">
            <w:pPr>
              <w:jc w:val="right"/>
            </w:pPr>
            <w:r>
              <w:t>252,414</w:t>
            </w:r>
          </w:p>
        </w:tc>
        <w:tc>
          <w:tcPr>
            <w:tcW w:w="2993" w:type="dxa"/>
            <w:tcBorders>
              <w:top w:val="single" w:sz="4" w:space="0" w:color="auto"/>
              <w:left w:val="single" w:sz="4" w:space="0" w:color="auto"/>
              <w:bottom w:val="single" w:sz="4" w:space="0" w:color="auto"/>
              <w:right w:val="single" w:sz="4" w:space="0" w:color="auto"/>
            </w:tcBorders>
            <w:vAlign w:val="center"/>
          </w:tcPr>
          <w:p w14:paraId="373A244A" w14:textId="77777777" w:rsidR="005E000F" w:rsidRDefault="00000000">
            <w:pPr>
              <w:jc w:val="right"/>
            </w:pPr>
            <w:r>
              <w:t>290,013</w:t>
            </w:r>
          </w:p>
        </w:tc>
      </w:tr>
      <w:tr w:rsidR="005E000F" w14:paraId="03FDB0AC"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246D4DA0" w14:textId="77777777" w:rsidR="005E000F" w:rsidRDefault="00000000">
            <w:pPr>
              <w:jc w:val="center"/>
            </w:pPr>
            <w:r>
              <w:rPr>
                <w:rFonts w:hint="eastAsia"/>
              </w:rPr>
              <w:t>合计</w:t>
            </w:r>
          </w:p>
        </w:tc>
        <w:tc>
          <w:tcPr>
            <w:tcW w:w="2993" w:type="dxa"/>
            <w:tcBorders>
              <w:top w:val="single" w:sz="4" w:space="0" w:color="auto"/>
              <w:left w:val="single" w:sz="4" w:space="0" w:color="auto"/>
              <w:bottom w:val="single" w:sz="4" w:space="0" w:color="auto"/>
              <w:right w:val="single" w:sz="4" w:space="0" w:color="auto"/>
            </w:tcBorders>
            <w:vAlign w:val="center"/>
          </w:tcPr>
          <w:p w14:paraId="1047AF98" w14:textId="77777777" w:rsidR="005E000F" w:rsidRDefault="00000000">
            <w:pPr>
              <w:jc w:val="right"/>
            </w:pPr>
            <w:r>
              <w:t>3,714,839,998</w:t>
            </w:r>
          </w:p>
        </w:tc>
        <w:tc>
          <w:tcPr>
            <w:tcW w:w="2993" w:type="dxa"/>
            <w:tcBorders>
              <w:top w:val="single" w:sz="4" w:space="0" w:color="auto"/>
              <w:left w:val="single" w:sz="4" w:space="0" w:color="auto"/>
              <w:bottom w:val="single" w:sz="4" w:space="0" w:color="auto"/>
              <w:right w:val="single" w:sz="4" w:space="0" w:color="auto"/>
            </w:tcBorders>
            <w:vAlign w:val="center"/>
          </w:tcPr>
          <w:p w14:paraId="2928241A" w14:textId="77777777" w:rsidR="005E000F" w:rsidRDefault="00000000">
            <w:pPr>
              <w:jc w:val="right"/>
            </w:pPr>
            <w:r>
              <w:t>1,797,421,681</w:t>
            </w:r>
          </w:p>
        </w:tc>
      </w:tr>
    </w:tbl>
    <w:p w14:paraId="366F64F1" w14:textId="77777777" w:rsidR="005E000F" w:rsidRDefault="00000000">
      <w:proofErr w:type="gramStart"/>
      <w:r>
        <w:rPr>
          <w:rFonts w:hint="eastAsia"/>
        </w:rPr>
        <w:t>账龄自其他</w:t>
      </w:r>
      <w:proofErr w:type="gramEnd"/>
      <w:r>
        <w:rPr>
          <w:rFonts w:hint="eastAsia"/>
        </w:rPr>
        <w:t>应收款确认日起开始计算。</w:t>
      </w:r>
    </w:p>
    <w:p w14:paraId="6A803CB4" w14:textId="77777777" w:rsidR="005E000F" w:rsidRDefault="005E000F"/>
    <w:p w14:paraId="54A5A659" w14:textId="77777777" w:rsidR="005E000F" w:rsidRDefault="005E000F">
      <w:pPr>
        <w:pStyle w:val="aff8"/>
        <w:ind w:firstLineChars="0" w:firstLine="0"/>
        <w:rPr>
          <w:szCs w:val="28"/>
        </w:rPr>
        <w:sectPr w:rsidR="005E000F">
          <w:pgSz w:w="11906" w:h="16838"/>
          <w:pgMar w:top="1440" w:right="1797" w:bottom="1525" w:left="1276" w:header="856" w:footer="992" w:gutter="0"/>
          <w:cols w:space="425"/>
          <w:docGrid w:linePitch="312"/>
        </w:sectPr>
      </w:pPr>
    </w:p>
    <w:p w14:paraId="71EB7FD1" w14:textId="77777777" w:rsidR="005E000F" w:rsidRDefault="005E000F">
      <w:pPr>
        <w:pStyle w:val="aff8"/>
        <w:ind w:firstLineChars="0" w:firstLine="0"/>
        <w:rPr>
          <w:szCs w:val="28"/>
        </w:rPr>
      </w:pPr>
    </w:p>
    <w:p w14:paraId="72936CCF" w14:textId="77777777" w:rsidR="005E000F" w:rsidRDefault="00000000">
      <w:pPr>
        <w:pStyle w:val="5"/>
        <w:numPr>
          <w:ilvl w:val="0"/>
          <w:numId w:val="74"/>
        </w:numPr>
        <w:ind w:leftChars="0"/>
      </w:pPr>
      <w:r>
        <w:rPr>
          <w:rFonts w:hint="eastAsia"/>
        </w:rPr>
        <w:t>按坏账准备计提方法分类披露</w:t>
      </w:r>
      <w:r>
        <w:cr/>
      </w:r>
    </w:p>
    <w:p w14:paraId="1CC2330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p w14:paraId="612BF6FE" w14:textId="77777777" w:rsidR="005E000F" w:rsidRDefault="005E000F"/>
    <w:p w14:paraId="6EAF669B" w14:textId="77777777" w:rsidR="005E000F" w:rsidRDefault="00000000">
      <w:pPr>
        <w:jc w:val="right"/>
        <w:rPr>
          <w:bCs/>
        </w:rPr>
      </w:pPr>
      <w:r>
        <w:rPr>
          <w:rFonts w:hint="eastAsia"/>
          <w:bCs/>
        </w:rPr>
        <w:t>单位：元</w:t>
      </w:r>
      <w:r>
        <w:rPr>
          <w:rFonts w:hint="eastAsia"/>
          <w:bCs/>
        </w:rPr>
        <w:t xml:space="preserve">  </w:t>
      </w:r>
      <w:r>
        <w:rPr>
          <w:rFonts w:hint="eastAsia"/>
          <w:bCs/>
        </w:rPr>
        <w:t>币种：人民币</w:t>
      </w:r>
    </w:p>
    <w:tbl>
      <w:tblPr>
        <w:tblW w:w="5000" w:type="pct"/>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424"/>
        <w:gridCol w:w="1031"/>
        <w:gridCol w:w="1022"/>
        <w:gridCol w:w="1065"/>
        <w:gridCol w:w="1424"/>
        <w:gridCol w:w="1424"/>
        <w:gridCol w:w="1063"/>
        <w:gridCol w:w="1084"/>
        <w:gridCol w:w="1086"/>
        <w:gridCol w:w="1424"/>
      </w:tblGrid>
      <w:tr w:rsidR="005E000F" w14:paraId="458EAA72" w14:textId="77777777">
        <w:trPr>
          <w:cantSplit/>
          <w:trHeight w:val="259"/>
        </w:trPr>
        <w:tc>
          <w:tcPr>
            <w:tcW w:w="755" w:type="pct"/>
            <w:vMerge w:val="restart"/>
            <w:tcBorders>
              <w:top w:val="single" w:sz="4" w:space="0" w:color="auto"/>
              <w:left w:val="single" w:sz="4" w:space="0" w:color="auto"/>
              <w:bottom w:val="single" w:sz="4" w:space="0" w:color="auto"/>
              <w:right w:val="single" w:sz="4" w:space="0" w:color="auto"/>
            </w:tcBorders>
            <w:vAlign w:val="center"/>
          </w:tcPr>
          <w:p w14:paraId="5A003D92" w14:textId="77777777" w:rsidR="005E000F" w:rsidRDefault="00000000">
            <w:pPr>
              <w:rPr>
                <w:bCs/>
              </w:rPr>
            </w:pPr>
            <w:r>
              <w:rPr>
                <w:rFonts w:hint="eastAsia"/>
                <w:bCs/>
              </w:rPr>
              <w:t>类别</w:t>
            </w:r>
          </w:p>
        </w:tc>
        <w:tc>
          <w:tcPr>
            <w:tcW w:w="1996" w:type="pct"/>
            <w:gridSpan w:val="5"/>
            <w:tcBorders>
              <w:top w:val="single" w:sz="4" w:space="0" w:color="auto"/>
              <w:left w:val="nil"/>
              <w:bottom w:val="single" w:sz="4" w:space="0" w:color="auto"/>
              <w:right w:val="single" w:sz="4" w:space="0" w:color="auto"/>
            </w:tcBorders>
            <w:vAlign w:val="center"/>
          </w:tcPr>
          <w:p w14:paraId="5646EE38" w14:textId="77777777" w:rsidR="005E000F" w:rsidRDefault="00000000">
            <w:pPr>
              <w:rPr>
                <w:bCs/>
              </w:rPr>
            </w:pPr>
            <w:r>
              <w:rPr>
                <w:rFonts w:hint="eastAsia"/>
                <w:bCs/>
              </w:rPr>
              <w:t>期末余额</w:t>
            </w:r>
          </w:p>
        </w:tc>
        <w:tc>
          <w:tcPr>
            <w:tcW w:w="2247" w:type="pct"/>
            <w:gridSpan w:val="5"/>
            <w:tcBorders>
              <w:top w:val="single" w:sz="4" w:space="0" w:color="auto"/>
              <w:left w:val="nil"/>
              <w:bottom w:val="single" w:sz="4" w:space="0" w:color="auto"/>
              <w:right w:val="single" w:sz="4" w:space="0" w:color="auto"/>
            </w:tcBorders>
            <w:vAlign w:val="center"/>
          </w:tcPr>
          <w:p w14:paraId="7A2DAE8F" w14:textId="77777777" w:rsidR="005E000F" w:rsidRDefault="00000000">
            <w:pPr>
              <w:rPr>
                <w:bCs/>
              </w:rPr>
            </w:pPr>
            <w:r>
              <w:rPr>
                <w:rFonts w:hint="eastAsia"/>
                <w:bCs/>
              </w:rPr>
              <w:t>期初余额</w:t>
            </w:r>
          </w:p>
        </w:tc>
      </w:tr>
      <w:tr w:rsidR="005E000F" w14:paraId="22D2BBD4" w14:textId="77777777">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tcPr>
          <w:p w14:paraId="0D2DB30E" w14:textId="77777777" w:rsidR="005E000F" w:rsidRDefault="005E000F">
            <w:pPr>
              <w:rPr>
                <w:bCs/>
              </w:rPr>
            </w:pPr>
          </w:p>
        </w:tc>
        <w:tc>
          <w:tcPr>
            <w:tcW w:w="797" w:type="pct"/>
            <w:gridSpan w:val="2"/>
            <w:tcBorders>
              <w:top w:val="single" w:sz="4" w:space="0" w:color="auto"/>
              <w:left w:val="nil"/>
              <w:bottom w:val="single" w:sz="4" w:space="0" w:color="auto"/>
              <w:right w:val="single" w:sz="4" w:space="0" w:color="auto"/>
            </w:tcBorders>
            <w:vAlign w:val="center"/>
          </w:tcPr>
          <w:p w14:paraId="2D3AD92F" w14:textId="77777777" w:rsidR="005E000F" w:rsidRDefault="00000000">
            <w:pPr>
              <w:rPr>
                <w:bCs/>
              </w:rPr>
            </w:pPr>
            <w:r>
              <w:rPr>
                <w:rFonts w:hint="eastAsia"/>
                <w:bCs/>
              </w:rPr>
              <w:t>账面余额</w:t>
            </w:r>
          </w:p>
        </w:tc>
        <w:tc>
          <w:tcPr>
            <w:tcW w:w="801" w:type="pct"/>
            <w:gridSpan w:val="2"/>
            <w:tcBorders>
              <w:top w:val="single" w:sz="4" w:space="0" w:color="auto"/>
              <w:left w:val="nil"/>
              <w:bottom w:val="single" w:sz="4" w:space="0" w:color="auto"/>
              <w:right w:val="single" w:sz="4" w:space="0" w:color="auto"/>
            </w:tcBorders>
            <w:vAlign w:val="center"/>
          </w:tcPr>
          <w:p w14:paraId="45AAA349" w14:textId="77777777" w:rsidR="005E000F" w:rsidRDefault="00000000">
            <w:pPr>
              <w:rPr>
                <w:bCs/>
              </w:rPr>
            </w:pPr>
            <w:r>
              <w:rPr>
                <w:rFonts w:hint="eastAsia"/>
                <w:bCs/>
              </w:rPr>
              <w:t>坏账准备</w:t>
            </w:r>
          </w:p>
        </w:tc>
        <w:tc>
          <w:tcPr>
            <w:tcW w:w="398" w:type="pct"/>
            <w:vMerge w:val="restart"/>
            <w:tcBorders>
              <w:top w:val="single" w:sz="4" w:space="0" w:color="auto"/>
              <w:left w:val="nil"/>
              <w:bottom w:val="single" w:sz="4" w:space="0" w:color="auto"/>
              <w:right w:val="single" w:sz="4" w:space="0" w:color="auto"/>
            </w:tcBorders>
            <w:vAlign w:val="center"/>
          </w:tcPr>
          <w:p w14:paraId="3E46FEBD" w14:textId="77777777" w:rsidR="005E000F" w:rsidRDefault="00000000">
            <w:pPr>
              <w:rPr>
                <w:bCs/>
              </w:rPr>
            </w:pPr>
            <w:r>
              <w:rPr>
                <w:rFonts w:hint="eastAsia"/>
                <w:bCs/>
              </w:rPr>
              <w:t>账面</w:t>
            </w:r>
          </w:p>
          <w:p w14:paraId="44A75C9F" w14:textId="77777777" w:rsidR="005E000F" w:rsidRDefault="00000000">
            <w:pPr>
              <w:rPr>
                <w:bCs/>
              </w:rPr>
            </w:pPr>
            <w:r>
              <w:rPr>
                <w:rFonts w:hint="eastAsia"/>
                <w:bCs/>
              </w:rPr>
              <w:t>价值</w:t>
            </w:r>
          </w:p>
        </w:tc>
        <w:tc>
          <w:tcPr>
            <w:tcW w:w="912" w:type="pct"/>
            <w:gridSpan w:val="2"/>
            <w:tcBorders>
              <w:top w:val="single" w:sz="4" w:space="0" w:color="auto"/>
              <w:left w:val="nil"/>
              <w:bottom w:val="single" w:sz="4" w:space="0" w:color="auto"/>
              <w:right w:val="single" w:sz="4" w:space="0" w:color="auto"/>
            </w:tcBorders>
            <w:vAlign w:val="center"/>
          </w:tcPr>
          <w:p w14:paraId="63990FEF" w14:textId="77777777" w:rsidR="005E000F" w:rsidRDefault="00000000">
            <w:pPr>
              <w:rPr>
                <w:bCs/>
              </w:rPr>
            </w:pPr>
            <w:r>
              <w:rPr>
                <w:rFonts w:hint="eastAsia"/>
                <w:bCs/>
              </w:rPr>
              <w:t>账面余额</w:t>
            </w:r>
          </w:p>
        </w:tc>
        <w:tc>
          <w:tcPr>
            <w:tcW w:w="829" w:type="pct"/>
            <w:gridSpan w:val="2"/>
            <w:tcBorders>
              <w:top w:val="single" w:sz="4" w:space="0" w:color="auto"/>
              <w:left w:val="nil"/>
              <w:bottom w:val="nil"/>
              <w:right w:val="single" w:sz="4" w:space="0" w:color="auto"/>
            </w:tcBorders>
            <w:vAlign w:val="center"/>
          </w:tcPr>
          <w:p w14:paraId="02052B4E" w14:textId="77777777" w:rsidR="005E000F" w:rsidRDefault="00000000">
            <w:pPr>
              <w:rPr>
                <w:bCs/>
              </w:rPr>
            </w:pPr>
            <w:r>
              <w:rPr>
                <w:rFonts w:hint="eastAsia"/>
                <w:bCs/>
              </w:rPr>
              <w:t>坏账准备</w:t>
            </w:r>
          </w:p>
        </w:tc>
        <w:tc>
          <w:tcPr>
            <w:tcW w:w="505" w:type="pct"/>
            <w:vMerge w:val="restart"/>
            <w:tcBorders>
              <w:top w:val="single" w:sz="4" w:space="0" w:color="auto"/>
              <w:left w:val="nil"/>
              <w:bottom w:val="single" w:sz="4" w:space="0" w:color="auto"/>
              <w:right w:val="single" w:sz="4" w:space="0" w:color="auto"/>
            </w:tcBorders>
            <w:vAlign w:val="center"/>
          </w:tcPr>
          <w:p w14:paraId="1B5AFCE5" w14:textId="77777777" w:rsidR="005E000F" w:rsidRDefault="00000000">
            <w:pPr>
              <w:rPr>
                <w:bCs/>
              </w:rPr>
            </w:pPr>
            <w:r>
              <w:rPr>
                <w:rFonts w:hint="eastAsia"/>
                <w:bCs/>
              </w:rPr>
              <w:t>账面</w:t>
            </w:r>
          </w:p>
          <w:p w14:paraId="0CA4A175" w14:textId="77777777" w:rsidR="005E000F" w:rsidRDefault="00000000">
            <w:pPr>
              <w:rPr>
                <w:bCs/>
              </w:rPr>
            </w:pPr>
            <w:r>
              <w:rPr>
                <w:rFonts w:hint="eastAsia"/>
                <w:bCs/>
              </w:rPr>
              <w:t>价值</w:t>
            </w:r>
          </w:p>
        </w:tc>
      </w:tr>
      <w:tr w:rsidR="005E000F" w14:paraId="0ACDA390" w14:textId="77777777">
        <w:trPr>
          <w:cantSplit/>
          <w:trHeight w:val="375"/>
        </w:trPr>
        <w:tc>
          <w:tcPr>
            <w:tcW w:w="0" w:type="auto"/>
            <w:vMerge/>
            <w:tcBorders>
              <w:top w:val="single" w:sz="4" w:space="0" w:color="auto"/>
              <w:left w:val="single" w:sz="4" w:space="0" w:color="auto"/>
              <w:bottom w:val="single" w:sz="4" w:space="0" w:color="auto"/>
              <w:right w:val="single" w:sz="4" w:space="0" w:color="auto"/>
            </w:tcBorders>
            <w:vAlign w:val="center"/>
          </w:tcPr>
          <w:p w14:paraId="097C81F2" w14:textId="77777777" w:rsidR="005E000F" w:rsidRDefault="005E000F">
            <w:pPr>
              <w:rPr>
                <w:bCs/>
              </w:rPr>
            </w:pPr>
          </w:p>
        </w:tc>
        <w:tc>
          <w:tcPr>
            <w:tcW w:w="401" w:type="pct"/>
            <w:tcBorders>
              <w:top w:val="single" w:sz="4" w:space="0" w:color="auto"/>
              <w:left w:val="nil"/>
              <w:bottom w:val="single" w:sz="4" w:space="0" w:color="auto"/>
              <w:right w:val="single" w:sz="4" w:space="0" w:color="auto"/>
            </w:tcBorders>
            <w:vAlign w:val="center"/>
          </w:tcPr>
          <w:p w14:paraId="0891D0CC" w14:textId="77777777" w:rsidR="005E000F" w:rsidRDefault="00000000">
            <w:pPr>
              <w:rPr>
                <w:bCs/>
              </w:rPr>
            </w:pPr>
            <w:r>
              <w:rPr>
                <w:rFonts w:hint="eastAsia"/>
                <w:bCs/>
              </w:rPr>
              <w:t>金额</w:t>
            </w:r>
          </w:p>
        </w:tc>
        <w:tc>
          <w:tcPr>
            <w:tcW w:w="396" w:type="pct"/>
            <w:tcBorders>
              <w:top w:val="single" w:sz="4" w:space="0" w:color="auto"/>
              <w:left w:val="nil"/>
              <w:bottom w:val="single" w:sz="4" w:space="0" w:color="auto"/>
              <w:right w:val="single" w:sz="4" w:space="0" w:color="auto"/>
            </w:tcBorders>
            <w:vAlign w:val="center"/>
          </w:tcPr>
          <w:p w14:paraId="5D03D835" w14:textId="77777777" w:rsidR="005E000F" w:rsidRDefault="00000000">
            <w:pPr>
              <w:rPr>
                <w:bCs/>
              </w:rPr>
            </w:pPr>
            <w:r>
              <w:rPr>
                <w:rFonts w:hint="eastAsia"/>
                <w:bCs/>
              </w:rPr>
              <w:t>比例（</w:t>
            </w:r>
            <w:r>
              <w:rPr>
                <w:bCs/>
              </w:rPr>
              <w:t>%</w:t>
            </w:r>
            <w:r>
              <w:rPr>
                <w:rFonts w:hint="eastAsia"/>
                <w:bCs/>
              </w:rPr>
              <w:t>）</w:t>
            </w:r>
          </w:p>
        </w:tc>
        <w:tc>
          <w:tcPr>
            <w:tcW w:w="393" w:type="pct"/>
            <w:tcBorders>
              <w:top w:val="single" w:sz="4" w:space="0" w:color="auto"/>
              <w:left w:val="nil"/>
              <w:bottom w:val="single" w:sz="4" w:space="0" w:color="auto"/>
              <w:right w:val="single" w:sz="4" w:space="0" w:color="auto"/>
            </w:tcBorders>
            <w:vAlign w:val="center"/>
          </w:tcPr>
          <w:p w14:paraId="778A48A2" w14:textId="77777777" w:rsidR="005E000F" w:rsidRDefault="00000000">
            <w:pPr>
              <w:rPr>
                <w:bCs/>
              </w:rPr>
            </w:pPr>
            <w:r>
              <w:rPr>
                <w:rFonts w:hint="eastAsia"/>
                <w:bCs/>
              </w:rPr>
              <w:t>金额</w:t>
            </w:r>
          </w:p>
        </w:tc>
        <w:tc>
          <w:tcPr>
            <w:tcW w:w="407" w:type="pct"/>
            <w:tcBorders>
              <w:top w:val="single" w:sz="4" w:space="0" w:color="auto"/>
              <w:left w:val="nil"/>
              <w:bottom w:val="single" w:sz="4" w:space="0" w:color="auto"/>
              <w:right w:val="single" w:sz="4" w:space="0" w:color="auto"/>
            </w:tcBorders>
            <w:vAlign w:val="center"/>
          </w:tcPr>
          <w:p w14:paraId="0F1177D3" w14:textId="77777777" w:rsidR="005E000F" w:rsidRDefault="00000000">
            <w:pPr>
              <w:rPr>
                <w:bCs/>
              </w:rPr>
            </w:pPr>
            <w:r>
              <w:rPr>
                <w:rFonts w:hint="eastAsia"/>
                <w:bCs/>
              </w:rPr>
              <w:t>计提比例（</w:t>
            </w:r>
            <w:r>
              <w:rPr>
                <w:bCs/>
              </w:rPr>
              <w:t>%</w:t>
            </w:r>
            <w:r>
              <w:rPr>
                <w:rFonts w:hint="eastAsia"/>
                <w:bCs/>
              </w:rPr>
              <w:t>）</w:t>
            </w:r>
          </w:p>
        </w:tc>
        <w:tc>
          <w:tcPr>
            <w:tcW w:w="0" w:type="auto"/>
            <w:vMerge/>
            <w:tcBorders>
              <w:top w:val="single" w:sz="4" w:space="0" w:color="auto"/>
              <w:left w:val="nil"/>
              <w:bottom w:val="single" w:sz="4" w:space="0" w:color="auto"/>
              <w:right w:val="single" w:sz="4" w:space="0" w:color="auto"/>
            </w:tcBorders>
            <w:vAlign w:val="center"/>
          </w:tcPr>
          <w:p w14:paraId="2C2E8EA1" w14:textId="77777777" w:rsidR="005E000F" w:rsidRDefault="005E000F">
            <w:pPr>
              <w:rPr>
                <w:bCs/>
              </w:rPr>
            </w:pPr>
          </w:p>
        </w:tc>
        <w:tc>
          <w:tcPr>
            <w:tcW w:w="505" w:type="pct"/>
            <w:tcBorders>
              <w:top w:val="single" w:sz="4" w:space="0" w:color="auto"/>
              <w:left w:val="nil"/>
              <w:bottom w:val="single" w:sz="4" w:space="0" w:color="auto"/>
              <w:right w:val="single" w:sz="4" w:space="0" w:color="auto"/>
            </w:tcBorders>
            <w:vAlign w:val="center"/>
          </w:tcPr>
          <w:p w14:paraId="11227A14" w14:textId="77777777" w:rsidR="005E000F" w:rsidRDefault="00000000">
            <w:pPr>
              <w:rPr>
                <w:bCs/>
              </w:rPr>
            </w:pPr>
            <w:r>
              <w:rPr>
                <w:rFonts w:hint="eastAsia"/>
                <w:bCs/>
              </w:rPr>
              <w:t>金额</w:t>
            </w:r>
          </w:p>
        </w:tc>
        <w:tc>
          <w:tcPr>
            <w:tcW w:w="407" w:type="pct"/>
            <w:tcBorders>
              <w:top w:val="single" w:sz="4" w:space="0" w:color="auto"/>
              <w:left w:val="nil"/>
              <w:bottom w:val="single" w:sz="4" w:space="0" w:color="auto"/>
              <w:right w:val="single" w:sz="4" w:space="0" w:color="auto"/>
            </w:tcBorders>
            <w:vAlign w:val="center"/>
          </w:tcPr>
          <w:p w14:paraId="72B1FE98" w14:textId="77777777" w:rsidR="005E000F" w:rsidRDefault="00000000">
            <w:pPr>
              <w:rPr>
                <w:bCs/>
              </w:rPr>
            </w:pPr>
            <w:r>
              <w:rPr>
                <w:rFonts w:hint="eastAsia"/>
                <w:bCs/>
              </w:rPr>
              <w:t>比例（</w:t>
            </w:r>
            <w:r>
              <w:rPr>
                <w:bCs/>
              </w:rPr>
              <w:t>%</w:t>
            </w:r>
            <w:r>
              <w:rPr>
                <w:rFonts w:hint="eastAsia"/>
                <w:bCs/>
              </w:rPr>
              <w:t>）</w:t>
            </w:r>
          </w:p>
        </w:tc>
        <w:tc>
          <w:tcPr>
            <w:tcW w:w="414" w:type="pct"/>
            <w:tcBorders>
              <w:top w:val="single" w:sz="4" w:space="0" w:color="auto"/>
              <w:left w:val="nil"/>
              <w:bottom w:val="single" w:sz="4" w:space="0" w:color="auto"/>
              <w:right w:val="single" w:sz="4" w:space="0" w:color="auto"/>
            </w:tcBorders>
            <w:vAlign w:val="center"/>
          </w:tcPr>
          <w:p w14:paraId="3181094D" w14:textId="77777777" w:rsidR="005E000F" w:rsidRDefault="00000000">
            <w:pPr>
              <w:rPr>
                <w:bCs/>
              </w:rPr>
            </w:pPr>
            <w:r>
              <w:rPr>
                <w:rFonts w:hint="eastAsia"/>
                <w:bCs/>
              </w:rPr>
              <w:t>金额</w:t>
            </w:r>
          </w:p>
        </w:tc>
        <w:tc>
          <w:tcPr>
            <w:tcW w:w="415" w:type="pct"/>
            <w:tcBorders>
              <w:top w:val="single" w:sz="4" w:space="0" w:color="auto"/>
              <w:left w:val="nil"/>
              <w:bottom w:val="single" w:sz="4" w:space="0" w:color="auto"/>
              <w:right w:val="single" w:sz="4" w:space="0" w:color="auto"/>
            </w:tcBorders>
            <w:vAlign w:val="center"/>
          </w:tcPr>
          <w:p w14:paraId="3E4EA105" w14:textId="77777777" w:rsidR="005E000F" w:rsidRDefault="00000000">
            <w:pPr>
              <w:rPr>
                <w:bCs/>
              </w:rPr>
            </w:pPr>
            <w:r>
              <w:rPr>
                <w:rFonts w:hint="eastAsia"/>
                <w:bCs/>
              </w:rPr>
              <w:t>计提比例（</w:t>
            </w:r>
            <w:r>
              <w:rPr>
                <w:bCs/>
              </w:rPr>
              <w:t>%</w:t>
            </w:r>
            <w:r>
              <w:rPr>
                <w:rFonts w:hint="eastAsia"/>
                <w:bCs/>
              </w:rPr>
              <w:t>）</w:t>
            </w:r>
          </w:p>
        </w:tc>
        <w:tc>
          <w:tcPr>
            <w:tcW w:w="0" w:type="auto"/>
            <w:vMerge/>
            <w:tcBorders>
              <w:top w:val="single" w:sz="4" w:space="0" w:color="auto"/>
              <w:left w:val="nil"/>
              <w:bottom w:val="single" w:sz="4" w:space="0" w:color="auto"/>
              <w:right w:val="single" w:sz="4" w:space="0" w:color="auto"/>
            </w:tcBorders>
            <w:vAlign w:val="center"/>
          </w:tcPr>
          <w:p w14:paraId="698412AF" w14:textId="77777777" w:rsidR="005E000F" w:rsidRDefault="005E000F">
            <w:pPr>
              <w:rPr>
                <w:bCs/>
              </w:rPr>
            </w:pPr>
          </w:p>
        </w:tc>
      </w:tr>
      <w:tr w:rsidR="005E000F" w14:paraId="3027FC2A" w14:textId="77777777">
        <w:trPr>
          <w:cantSplit/>
        </w:trPr>
        <w:tc>
          <w:tcPr>
            <w:tcW w:w="755" w:type="pct"/>
            <w:tcBorders>
              <w:top w:val="single" w:sz="4" w:space="0" w:color="auto"/>
              <w:left w:val="single" w:sz="4" w:space="0" w:color="auto"/>
              <w:bottom w:val="single" w:sz="4" w:space="0" w:color="auto"/>
              <w:right w:val="single" w:sz="4" w:space="0" w:color="auto"/>
            </w:tcBorders>
          </w:tcPr>
          <w:p w14:paraId="0E087294" w14:textId="77777777" w:rsidR="005E000F" w:rsidRDefault="00000000">
            <w:pPr>
              <w:rPr>
                <w:bCs/>
              </w:rPr>
            </w:pPr>
            <w:r>
              <w:rPr>
                <w:rFonts w:hint="eastAsia"/>
                <w:bCs/>
              </w:rPr>
              <w:t>按单项计提坏账准备</w:t>
            </w:r>
          </w:p>
        </w:tc>
        <w:tc>
          <w:tcPr>
            <w:tcW w:w="401" w:type="pct"/>
            <w:tcBorders>
              <w:top w:val="single" w:sz="4" w:space="0" w:color="auto"/>
              <w:left w:val="nil"/>
              <w:bottom w:val="single" w:sz="4" w:space="0" w:color="auto"/>
              <w:right w:val="single" w:sz="4" w:space="0" w:color="auto"/>
            </w:tcBorders>
            <w:vAlign w:val="center"/>
          </w:tcPr>
          <w:p w14:paraId="75205222" w14:textId="77777777" w:rsidR="005E000F" w:rsidRDefault="00000000">
            <w:pPr>
              <w:jc w:val="right"/>
              <w:rPr>
                <w:bCs/>
              </w:rPr>
            </w:pPr>
            <w:r>
              <w:rPr>
                <w:bCs/>
              </w:rPr>
              <w:t>0</w:t>
            </w:r>
          </w:p>
        </w:tc>
        <w:tc>
          <w:tcPr>
            <w:tcW w:w="396" w:type="pct"/>
            <w:tcBorders>
              <w:top w:val="single" w:sz="4" w:space="0" w:color="auto"/>
              <w:left w:val="nil"/>
              <w:bottom w:val="single" w:sz="4" w:space="0" w:color="auto"/>
              <w:right w:val="single" w:sz="4" w:space="0" w:color="auto"/>
            </w:tcBorders>
            <w:vAlign w:val="center"/>
          </w:tcPr>
          <w:p w14:paraId="73FBCF4B" w14:textId="77777777" w:rsidR="005E000F" w:rsidRDefault="00000000">
            <w:pPr>
              <w:jc w:val="right"/>
              <w:rPr>
                <w:bCs/>
              </w:rPr>
            </w:pPr>
            <w:r>
              <w:rPr>
                <w:bCs/>
              </w:rPr>
              <w:t>0</w:t>
            </w:r>
          </w:p>
        </w:tc>
        <w:tc>
          <w:tcPr>
            <w:tcW w:w="393" w:type="pct"/>
            <w:tcBorders>
              <w:top w:val="single" w:sz="4" w:space="0" w:color="auto"/>
              <w:left w:val="nil"/>
              <w:bottom w:val="single" w:sz="4" w:space="0" w:color="auto"/>
              <w:right w:val="single" w:sz="4" w:space="0" w:color="auto"/>
            </w:tcBorders>
            <w:vAlign w:val="center"/>
          </w:tcPr>
          <w:p w14:paraId="1E4C74A6" w14:textId="77777777" w:rsidR="005E000F" w:rsidRDefault="00000000">
            <w:pPr>
              <w:jc w:val="right"/>
              <w:rPr>
                <w:bCs/>
              </w:rPr>
            </w:pPr>
            <w:r>
              <w:rPr>
                <w:bCs/>
              </w:rPr>
              <w:t>0</w:t>
            </w:r>
          </w:p>
        </w:tc>
        <w:tc>
          <w:tcPr>
            <w:tcW w:w="407" w:type="pct"/>
            <w:tcBorders>
              <w:top w:val="single" w:sz="4" w:space="0" w:color="auto"/>
              <w:left w:val="nil"/>
              <w:bottom w:val="single" w:sz="4" w:space="0" w:color="auto"/>
              <w:right w:val="single" w:sz="4" w:space="0" w:color="auto"/>
            </w:tcBorders>
            <w:vAlign w:val="center"/>
          </w:tcPr>
          <w:p w14:paraId="7623B647" w14:textId="77777777" w:rsidR="005E000F" w:rsidRDefault="00000000">
            <w:pPr>
              <w:jc w:val="right"/>
              <w:rPr>
                <w:bCs/>
              </w:rPr>
            </w:pPr>
            <w:r>
              <w:rPr>
                <w:bCs/>
              </w:rPr>
              <w:t>0</w:t>
            </w:r>
          </w:p>
        </w:tc>
        <w:tc>
          <w:tcPr>
            <w:tcW w:w="398" w:type="pct"/>
            <w:tcBorders>
              <w:top w:val="single" w:sz="4" w:space="0" w:color="auto"/>
              <w:left w:val="nil"/>
              <w:bottom w:val="single" w:sz="4" w:space="0" w:color="auto"/>
              <w:right w:val="single" w:sz="4" w:space="0" w:color="auto"/>
            </w:tcBorders>
            <w:vAlign w:val="center"/>
          </w:tcPr>
          <w:p w14:paraId="5314C7EA" w14:textId="77777777" w:rsidR="005E000F" w:rsidRDefault="00000000">
            <w:pPr>
              <w:jc w:val="right"/>
              <w:rPr>
                <w:bCs/>
              </w:rPr>
            </w:pPr>
            <w:r>
              <w:rPr>
                <w:bCs/>
              </w:rPr>
              <w:t>0</w:t>
            </w:r>
          </w:p>
        </w:tc>
        <w:tc>
          <w:tcPr>
            <w:tcW w:w="505" w:type="pct"/>
            <w:tcBorders>
              <w:top w:val="single" w:sz="4" w:space="0" w:color="auto"/>
              <w:left w:val="nil"/>
              <w:bottom w:val="single" w:sz="4" w:space="0" w:color="auto"/>
              <w:right w:val="single" w:sz="4" w:space="0" w:color="auto"/>
            </w:tcBorders>
            <w:vAlign w:val="center"/>
          </w:tcPr>
          <w:p w14:paraId="5F463B3D" w14:textId="77777777" w:rsidR="005E000F" w:rsidRDefault="00000000">
            <w:pPr>
              <w:jc w:val="right"/>
              <w:rPr>
                <w:bCs/>
              </w:rPr>
            </w:pPr>
            <w:r>
              <w:rPr>
                <w:rFonts w:hint="eastAsia"/>
                <w:bCs/>
              </w:rPr>
              <w:t>226,314</w:t>
            </w:r>
          </w:p>
        </w:tc>
        <w:tc>
          <w:tcPr>
            <w:tcW w:w="407" w:type="pct"/>
            <w:tcBorders>
              <w:top w:val="single" w:sz="4" w:space="0" w:color="auto"/>
              <w:left w:val="nil"/>
              <w:bottom w:val="single" w:sz="4" w:space="0" w:color="auto"/>
              <w:right w:val="single" w:sz="4" w:space="0" w:color="auto"/>
            </w:tcBorders>
            <w:vAlign w:val="center"/>
          </w:tcPr>
          <w:p w14:paraId="245B8E32" w14:textId="77777777" w:rsidR="005E000F" w:rsidRDefault="00000000">
            <w:pPr>
              <w:jc w:val="right"/>
              <w:rPr>
                <w:bCs/>
              </w:rPr>
            </w:pPr>
            <w:r>
              <w:rPr>
                <w:rFonts w:hint="eastAsia"/>
                <w:bCs/>
              </w:rPr>
              <w:t>0</w:t>
            </w:r>
          </w:p>
        </w:tc>
        <w:tc>
          <w:tcPr>
            <w:tcW w:w="414" w:type="pct"/>
            <w:tcBorders>
              <w:top w:val="single" w:sz="4" w:space="0" w:color="auto"/>
              <w:left w:val="nil"/>
              <w:bottom w:val="single" w:sz="4" w:space="0" w:color="auto"/>
              <w:right w:val="single" w:sz="4" w:space="0" w:color="auto"/>
            </w:tcBorders>
            <w:vAlign w:val="center"/>
          </w:tcPr>
          <w:p w14:paraId="676AD161" w14:textId="77777777" w:rsidR="005E000F" w:rsidRDefault="00000000">
            <w:pPr>
              <w:jc w:val="right"/>
              <w:rPr>
                <w:bCs/>
              </w:rPr>
            </w:pPr>
            <w:r>
              <w:rPr>
                <w:rFonts w:hint="eastAsia"/>
                <w:bCs/>
              </w:rPr>
              <w:t>226,314</w:t>
            </w:r>
          </w:p>
        </w:tc>
        <w:tc>
          <w:tcPr>
            <w:tcW w:w="415" w:type="pct"/>
            <w:tcBorders>
              <w:top w:val="single" w:sz="4" w:space="0" w:color="auto"/>
              <w:left w:val="nil"/>
              <w:bottom w:val="single" w:sz="4" w:space="0" w:color="auto"/>
              <w:right w:val="single" w:sz="4" w:space="0" w:color="auto"/>
            </w:tcBorders>
            <w:vAlign w:val="center"/>
          </w:tcPr>
          <w:p w14:paraId="07EF5F71" w14:textId="77777777" w:rsidR="005E000F" w:rsidRDefault="00000000">
            <w:pPr>
              <w:jc w:val="right"/>
              <w:rPr>
                <w:bCs/>
              </w:rPr>
            </w:pPr>
            <w:r>
              <w:rPr>
                <w:rFonts w:hint="eastAsia"/>
                <w:bCs/>
              </w:rPr>
              <w:t>100</w:t>
            </w:r>
          </w:p>
        </w:tc>
        <w:tc>
          <w:tcPr>
            <w:tcW w:w="505" w:type="pct"/>
            <w:tcBorders>
              <w:top w:val="single" w:sz="4" w:space="0" w:color="auto"/>
              <w:left w:val="nil"/>
              <w:bottom w:val="single" w:sz="4" w:space="0" w:color="auto"/>
              <w:right w:val="single" w:sz="4" w:space="0" w:color="auto"/>
            </w:tcBorders>
            <w:vAlign w:val="center"/>
          </w:tcPr>
          <w:p w14:paraId="052D266E" w14:textId="77777777" w:rsidR="005E000F" w:rsidRDefault="00000000">
            <w:pPr>
              <w:jc w:val="right"/>
              <w:rPr>
                <w:bCs/>
              </w:rPr>
            </w:pPr>
            <w:r>
              <w:rPr>
                <w:rFonts w:hint="eastAsia"/>
                <w:bCs/>
              </w:rPr>
              <w:t>0</w:t>
            </w:r>
          </w:p>
        </w:tc>
      </w:tr>
      <w:tr w:rsidR="005E000F" w14:paraId="1F19661C" w14:textId="77777777">
        <w:trPr>
          <w:cantSplit/>
        </w:trPr>
        <w:tc>
          <w:tcPr>
            <w:tcW w:w="755" w:type="pct"/>
            <w:tcBorders>
              <w:top w:val="single" w:sz="4" w:space="0" w:color="auto"/>
              <w:left w:val="single" w:sz="4" w:space="0" w:color="auto"/>
              <w:bottom w:val="single" w:sz="4" w:space="0" w:color="auto"/>
              <w:right w:val="single" w:sz="4" w:space="0" w:color="auto"/>
            </w:tcBorders>
          </w:tcPr>
          <w:p w14:paraId="0901A590" w14:textId="77777777" w:rsidR="005E000F" w:rsidRDefault="00000000">
            <w:pPr>
              <w:rPr>
                <w:bCs/>
              </w:rPr>
            </w:pPr>
            <w:r>
              <w:rPr>
                <w:rFonts w:hint="eastAsia"/>
                <w:bCs/>
              </w:rPr>
              <w:t>按组合计提坏账准备</w:t>
            </w:r>
          </w:p>
        </w:tc>
        <w:tc>
          <w:tcPr>
            <w:tcW w:w="401" w:type="pct"/>
            <w:tcBorders>
              <w:top w:val="single" w:sz="4" w:space="0" w:color="auto"/>
              <w:left w:val="nil"/>
              <w:bottom w:val="single" w:sz="4" w:space="0" w:color="auto"/>
              <w:right w:val="single" w:sz="4" w:space="0" w:color="auto"/>
            </w:tcBorders>
            <w:vAlign w:val="center"/>
          </w:tcPr>
          <w:p w14:paraId="1F3931AC" w14:textId="77777777" w:rsidR="005E000F" w:rsidRDefault="00000000">
            <w:pPr>
              <w:jc w:val="right"/>
              <w:rPr>
                <w:bCs/>
              </w:rPr>
            </w:pPr>
            <w:r>
              <w:rPr>
                <w:bCs/>
              </w:rPr>
              <w:t>3,715,092,412</w:t>
            </w:r>
          </w:p>
        </w:tc>
        <w:tc>
          <w:tcPr>
            <w:tcW w:w="396" w:type="pct"/>
            <w:tcBorders>
              <w:top w:val="single" w:sz="4" w:space="0" w:color="auto"/>
              <w:left w:val="nil"/>
              <w:bottom w:val="single" w:sz="4" w:space="0" w:color="auto"/>
              <w:right w:val="single" w:sz="4" w:space="0" w:color="auto"/>
            </w:tcBorders>
            <w:vAlign w:val="center"/>
          </w:tcPr>
          <w:p w14:paraId="70335B57" w14:textId="77777777" w:rsidR="005E000F" w:rsidRDefault="00000000">
            <w:pPr>
              <w:jc w:val="right"/>
              <w:rPr>
                <w:bCs/>
              </w:rPr>
            </w:pPr>
            <w:r>
              <w:rPr>
                <w:bCs/>
              </w:rPr>
              <w:t>100</w:t>
            </w:r>
          </w:p>
        </w:tc>
        <w:tc>
          <w:tcPr>
            <w:tcW w:w="393" w:type="pct"/>
            <w:tcBorders>
              <w:top w:val="single" w:sz="4" w:space="0" w:color="auto"/>
              <w:left w:val="nil"/>
              <w:bottom w:val="single" w:sz="4" w:space="0" w:color="auto"/>
              <w:right w:val="single" w:sz="4" w:space="0" w:color="auto"/>
            </w:tcBorders>
            <w:vAlign w:val="center"/>
          </w:tcPr>
          <w:p w14:paraId="7D43F9DC" w14:textId="77777777" w:rsidR="005E000F" w:rsidRDefault="00000000">
            <w:pPr>
              <w:jc w:val="right"/>
              <w:rPr>
                <w:bCs/>
              </w:rPr>
            </w:pPr>
            <w:r>
              <w:rPr>
                <w:bCs/>
              </w:rPr>
              <w:t>252,414</w:t>
            </w:r>
          </w:p>
        </w:tc>
        <w:tc>
          <w:tcPr>
            <w:tcW w:w="407" w:type="pct"/>
            <w:tcBorders>
              <w:top w:val="single" w:sz="4" w:space="0" w:color="auto"/>
              <w:left w:val="nil"/>
              <w:bottom w:val="single" w:sz="4" w:space="0" w:color="auto"/>
              <w:right w:val="single" w:sz="4" w:space="0" w:color="auto"/>
            </w:tcBorders>
            <w:vAlign w:val="center"/>
          </w:tcPr>
          <w:p w14:paraId="33D5646F" w14:textId="77777777" w:rsidR="005E000F" w:rsidRDefault="00000000">
            <w:pPr>
              <w:jc w:val="right"/>
              <w:rPr>
                <w:bCs/>
              </w:rPr>
            </w:pPr>
            <w:r>
              <w:rPr>
                <w:bCs/>
              </w:rPr>
              <w:t>0</w:t>
            </w:r>
            <w:r>
              <w:rPr>
                <w:rFonts w:hint="eastAsia"/>
                <w:bCs/>
              </w:rPr>
              <w:t>.01</w:t>
            </w:r>
          </w:p>
        </w:tc>
        <w:tc>
          <w:tcPr>
            <w:tcW w:w="398" w:type="pct"/>
            <w:tcBorders>
              <w:top w:val="single" w:sz="4" w:space="0" w:color="auto"/>
              <w:left w:val="nil"/>
              <w:bottom w:val="single" w:sz="4" w:space="0" w:color="auto"/>
              <w:right w:val="single" w:sz="4" w:space="0" w:color="auto"/>
            </w:tcBorders>
            <w:vAlign w:val="center"/>
          </w:tcPr>
          <w:p w14:paraId="1C7AC560" w14:textId="77777777" w:rsidR="005E000F" w:rsidRDefault="00000000">
            <w:pPr>
              <w:jc w:val="right"/>
              <w:rPr>
                <w:bCs/>
              </w:rPr>
            </w:pPr>
            <w:r>
              <w:rPr>
                <w:bCs/>
              </w:rPr>
              <w:t>3,714,839,998</w:t>
            </w:r>
          </w:p>
        </w:tc>
        <w:tc>
          <w:tcPr>
            <w:tcW w:w="505" w:type="pct"/>
            <w:tcBorders>
              <w:top w:val="single" w:sz="4" w:space="0" w:color="auto"/>
              <w:left w:val="nil"/>
              <w:bottom w:val="single" w:sz="4" w:space="0" w:color="auto"/>
              <w:right w:val="single" w:sz="4" w:space="0" w:color="auto"/>
            </w:tcBorders>
            <w:vAlign w:val="center"/>
          </w:tcPr>
          <w:p w14:paraId="2CF2BF8E" w14:textId="77777777" w:rsidR="005E000F" w:rsidRDefault="00000000">
            <w:pPr>
              <w:jc w:val="right"/>
              <w:rPr>
                <w:bCs/>
              </w:rPr>
            </w:pPr>
            <w:r>
              <w:rPr>
                <w:rFonts w:hint="eastAsia"/>
                <w:bCs/>
              </w:rPr>
              <w:t>1,797,485,380</w:t>
            </w:r>
          </w:p>
        </w:tc>
        <w:tc>
          <w:tcPr>
            <w:tcW w:w="407" w:type="pct"/>
            <w:tcBorders>
              <w:top w:val="single" w:sz="4" w:space="0" w:color="auto"/>
              <w:left w:val="nil"/>
              <w:bottom w:val="single" w:sz="4" w:space="0" w:color="auto"/>
              <w:right w:val="single" w:sz="4" w:space="0" w:color="auto"/>
            </w:tcBorders>
            <w:vAlign w:val="center"/>
          </w:tcPr>
          <w:p w14:paraId="77AB6F98" w14:textId="77777777" w:rsidR="005E000F" w:rsidRDefault="00000000">
            <w:pPr>
              <w:jc w:val="right"/>
              <w:rPr>
                <w:bCs/>
              </w:rPr>
            </w:pPr>
            <w:r>
              <w:rPr>
                <w:rFonts w:hint="eastAsia"/>
                <w:bCs/>
              </w:rPr>
              <w:t>100</w:t>
            </w:r>
          </w:p>
        </w:tc>
        <w:tc>
          <w:tcPr>
            <w:tcW w:w="414" w:type="pct"/>
            <w:tcBorders>
              <w:top w:val="single" w:sz="4" w:space="0" w:color="auto"/>
              <w:left w:val="nil"/>
              <w:bottom w:val="single" w:sz="4" w:space="0" w:color="auto"/>
              <w:right w:val="single" w:sz="4" w:space="0" w:color="auto"/>
            </w:tcBorders>
            <w:vAlign w:val="center"/>
          </w:tcPr>
          <w:p w14:paraId="06E4FF3A" w14:textId="77777777" w:rsidR="005E000F" w:rsidRDefault="00000000">
            <w:pPr>
              <w:jc w:val="right"/>
              <w:rPr>
                <w:bCs/>
              </w:rPr>
            </w:pPr>
            <w:r>
              <w:rPr>
                <w:rFonts w:hint="eastAsia"/>
                <w:bCs/>
              </w:rPr>
              <w:t>63,699</w:t>
            </w:r>
          </w:p>
        </w:tc>
        <w:tc>
          <w:tcPr>
            <w:tcW w:w="415" w:type="pct"/>
            <w:tcBorders>
              <w:top w:val="single" w:sz="4" w:space="0" w:color="auto"/>
              <w:left w:val="nil"/>
              <w:bottom w:val="single" w:sz="4" w:space="0" w:color="auto"/>
              <w:right w:val="single" w:sz="4" w:space="0" w:color="auto"/>
            </w:tcBorders>
            <w:vAlign w:val="center"/>
          </w:tcPr>
          <w:p w14:paraId="1A2001DB" w14:textId="77777777" w:rsidR="005E000F" w:rsidRDefault="00000000">
            <w:pPr>
              <w:jc w:val="right"/>
              <w:rPr>
                <w:bCs/>
              </w:rPr>
            </w:pPr>
            <w:r>
              <w:rPr>
                <w:rFonts w:hint="eastAsia"/>
                <w:bCs/>
              </w:rPr>
              <w:t>0</w:t>
            </w:r>
          </w:p>
        </w:tc>
        <w:tc>
          <w:tcPr>
            <w:tcW w:w="505" w:type="pct"/>
            <w:tcBorders>
              <w:top w:val="single" w:sz="4" w:space="0" w:color="auto"/>
              <w:left w:val="nil"/>
              <w:bottom w:val="single" w:sz="4" w:space="0" w:color="auto"/>
              <w:right w:val="single" w:sz="4" w:space="0" w:color="auto"/>
            </w:tcBorders>
            <w:vAlign w:val="center"/>
          </w:tcPr>
          <w:p w14:paraId="58F3E15C" w14:textId="77777777" w:rsidR="005E000F" w:rsidRDefault="00000000">
            <w:pPr>
              <w:jc w:val="right"/>
              <w:rPr>
                <w:bCs/>
              </w:rPr>
            </w:pPr>
            <w:r>
              <w:rPr>
                <w:rFonts w:hint="eastAsia"/>
                <w:bCs/>
              </w:rPr>
              <w:t>1,797,421,681</w:t>
            </w:r>
          </w:p>
        </w:tc>
      </w:tr>
      <w:tr w:rsidR="005E000F" w14:paraId="3743DBF4" w14:textId="77777777">
        <w:trPr>
          <w:cantSplit/>
        </w:trPr>
        <w:tc>
          <w:tcPr>
            <w:tcW w:w="5000" w:type="pct"/>
            <w:gridSpan w:val="11"/>
            <w:tcBorders>
              <w:top w:val="single" w:sz="4" w:space="0" w:color="auto"/>
              <w:left w:val="single" w:sz="4" w:space="0" w:color="auto"/>
              <w:bottom w:val="single" w:sz="4" w:space="0" w:color="auto"/>
              <w:right w:val="single" w:sz="4" w:space="0" w:color="auto"/>
            </w:tcBorders>
          </w:tcPr>
          <w:p w14:paraId="2C6EF1ED" w14:textId="77777777" w:rsidR="005E000F" w:rsidRDefault="00000000">
            <w:pPr>
              <w:rPr>
                <w:bCs/>
              </w:rPr>
            </w:pPr>
            <w:r>
              <w:rPr>
                <w:rFonts w:hint="eastAsia"/>
                <w:bCs/>
              </w:rPr>
              <w:t>其中：</w:t>
            </w:r>
          </w:p>
        </w:tc>
      </w:tr>
      <w:tr w:rsidR="005E000F" w14:paraId="4596593A" w14:textId="77777777">
        <w:trPr>
          <w:cantSplit/>
        </w:trPr>
        <w:tc>
          <w:tcPr>
            <w:tcW w:w="755" w:type="pct"/>
            <w:tcBorders>
              <w:top w:val="single" w:sz="4" w:space="0" w:color="auto"/>
              <w:left w:val="single" w:sz="4" w:space="0" w:color="auto"/>
              <w:bottom w:val="single" w:sz="4" w:space="0" w:color="auto"/>
              <w:right w:val="single" w:sz="4" w:space="0" w:color="auto"/>
            </w:tcBorders>
          </w:tcPr>
          <w:p w14:paraId="4159E4BA" w14:textId="77777777" w:rsidR="005E000F" w:rsidRDefault="00000000">
            <w:pPr>
              <w:rPr>
                <w:bCs/>
              </w:rPr>
            </w:pPr>
            <w:r>
              <w:rPr>
                <w:rFonts w:hint="eastAsia"/>
                <w:bCs/>
              </w:rPr>
              <w:t>组合</w:t>
            </w:r>
            <w:proofErr w:type="gramStart"/>
            <w:r>
              <w:rPr>
                <w:rFonts w:hint="eastAsia"/>
                <w:bCs/>
              </w:rPr>
              <w:t>一</w:t>
            </w:r>
            <w:proofErr w:type="gramEnd"/>
          </w:p>
        </w:tc>
        <w:tc>
          <w:tcPr>
            <w:tcW w:w="401" w:type="pct"/>
            <w:tcBorders>
              <w:top w:val="single" w:sz="4" w:space="0" w:color="auto"/>
              <w:left w:val="nil"/>
              <w:bottom w:val="single" w:sz="4" w:space="0" w:color="auto"/>
              <w:right w:val="single" w:sz="4" w:space="0" w:color="auto"/>
            </w:tcBorders>
            <w:vAlign w:val="center"/>
          </w:tcPr>
          <w:p w14:paraId="30A8792E" w14:textId="77777777" w:rsidR="005E000F" w:rsidRDefault="00000000">
            <w:pPr>
              <w:jc w:val="right"/>
              <w:rPr>
                <w:bCs/>
              </w:rPr>
            </w:pPr>
            <w:r>
              <w:rPr>
                <w:bCs/>
              </w:rPr>
              <w:t>3,692,177,770</w:t>
            </w:r>
          </w:p>
        </w:tc>
        <w:tc>
          <w:tcPr>
            <w:tcW w:w="396" w:type="pct"/>
            <w:tcBorders>
              <w:top w:val="single" w:sz="4" w:space="0" w:color="auto"/>
              <w:left w:val="nil"/>
              <w:bottom w:val="single" w:sz="4" w:space="0" w:color="auto"/>
              <w:right w:val="single" w:sz="4" w:space="0" w:color="auto"/>
            </w:tcBorders>
            <w:vAlign w:val="center"/>
          </w:tcPr>
          <w:p w14:paraId="4A3DA9BC" w14:textId="77777777" w:rsidR="005E000F" w:rsidRDefault="00000000">
            <w:pPr>
              <w:jc w:val="right"/>
              <w:rPr>
                <w:bCs/>
              </w:rPr>
            </w:pPr>
            <w:r>
              <w:rPr>
                <w:bCs/>
              </w:rPr>
              <w:t>99</w:t>
            </w:r>
          </w:p>
        </w:tc>
        <w:tc>
          <w:tcPr>
            <w:tcW w:w="393" w:type="pct"/>
            <w:tcBorders>
              <w:top w:val="single" w:sz="4" w:space="0" w:color="auto"/>
              <w:left w:val="nil"/>
              <w:bottom w:val="single" w:sz="4" w:space="0" w:color="auto"/>
              <w:right w:val="single" w:sz="4" w:space="0" w:color="auto"/>
            </w:tcBorders>
            <w:vAlign w:val="center"/>
          </w:tcPr>
          <w:p w14:paraId="3AA56AD6" w14:textId="77777777" w:rsidR="005E000F" w:rsidRDefault="00000000">
            <w:pPr>
              <w:jc w:val="right"/>
              <w:rPr>
                <w:bCs/>
              </w:rPr>
            </w:pPr>
            <w:r>
              <w:rPr>
                <w:bCs/>
              </w:rPr>
              <w:t>0</w:t>
            </w:r>
          </w:p>
        </w:tc>
        <w:tc>
          <w:tcPr>
            <w:tcW w:w="407" w:type="pct"/>
            <w:tcBorders>
              <w:top w:val="single" w:sz="4" w:space="0" w:color="auto"/>
              <w:left w:val="nil"/>
              <w:bottom w:val="single" w:sz="4" w:space="0" w:color="auto"/>
              <w:right w:val="single" w:sz="4" w:space="0" w:color="auto"/>
            </w:tcBorders>
            <w:vAlign w:val="center"/>
          </w:tcPr>
          <w:p w14:paraId="77006FE7" w14:textId="77777777" w:rsidR="005E000F" w:rsidRDefault="00000000">
            <w:pPr>
              <w:jc w:val="right"/>
              <w:rPr>
                <w:bCs/>
              </w:rPr>
            </w:pPr>
            <w:r>
              <w:rPr>
                <w:bCs/>
              </w:rPr>
              <w:t>0</w:t>
            </w:r>
          </w:p>
        </w:tc>
        <w:tc>
          <w:tcPr>
            <w:tcW w:w="398" w:type="pct"/>
            <w:tcBorders>
              <w:top w:val="single" w:sz="4" w:space="0" w:color="auto"/>
              <w:left w:val="nil"/>
              <w:bottom w:val="single" w:sz="4" w:space="0" w:color="auto"/>
              <w:right w:val="single" w:sz="4" w:space="0" w:color="auto"/>
            </w:tcBorders>
            <w:vAlign w:val="center"/>
          </w:tcPr>
          <w:p w14:paraId="66D1DACA" w14:textId="77777777" w:rsidR="005E000F" w:rsidRDefault="00000000">
            <w:pPr>
              <w:jc w:val="right"/>
              <w:rPr>
                <w:bCs/>
              </w:rPr>
            </w:pPr>
            <w:r>
              <w:rPr>
                <w:bCs/>
              </w:rPr>
              <w:t>3,692,177,770</w:t>
            </w:r>
          </w:p>
        </w:tc>
        <w:tc>
          <w:tcPr>
            <w:tcW w:w="505" w:type="pct"/>
            <w:tcBorders>
              <w:top w:val="single" w:sz="4" w:space="0" w:color="auto"/>
              <w:left w:val="nil"/>
              <w:bottom w:val="single" w:sz="4" w:space="0" w:color="auto"/>
              <w:right w:val="single" w:sz="4" w:space="0" w:color="auto"/>
            </w:tcBorders>
          </w:tcPr>
          <w:p w14:paraId="1BC36A8D" w14:textId="77777777" w:rsidR="005E000F" w:rsidRDefault="00000000">
            <w:pPr>
              <w:jc w:val="right"/>
              <w:rPr>
                <w:bCs/>
              </w:rPr>
            </w:pPr>
            <w:r>
              <w:rPr>
                <w:rFonts w:hint="eastAsia"/>
                <w:bCs/>
              </w:rPr>
              <w:t>1,775,925,709</w:t>
            </w:r>
          </w:p>
        </w:tc>
        <w:tc>
          <w:tcPr>
            <w:tcW w:w="407" w:type="pct"/>
            <w:tcBorders>
              <w:top w:val="single" w:sz="4" w:space="0" w:color="auto"/>
              <w:left w:val="nil"/>
              <w:bottom w:val="single" w:sz="4" w:space="0" w:color="auto"/>
              <w:right w:val="single" w:sz="4" w:space="0" w:color="auto"/>
            </w:tcBorders>
          </w:tcPr>
          <w:p w14:paraId="32DB5DAB" w14:textId="77777777" w:rsidR="005E000F" w:rsidRDefault="00000000">
            <w:pPr>
              <w:jc w:val="right"/>
              <w:rPr>
                <w:bCs/>
              </w:rPr>
            </w:pPr>
            <w:r>
              <w:rPr>
                <w:rFonts w:hint="eastAsia"/>
                <w:bCs/>
              </w:rPr>
              <w:t>99</w:t>
            </w:r>
          </w:p>
        </w:tc>
        <w:tc>
          <w:tcPr>
            <w:tcW w:w="414" w:type="pct"/>
            <w:tcBorders>
              <w:top w:val="single" w:sz="4" w:space="0" w:color="auto"/>
              <w:left w:val="nil"/>
              <w:bottom w:val="single" w:sz="4" w:space="0" w:color="auto"/>
              <w:right w:val="single" w:sz="4" w:space="0" w:color="auto"/>
            </w:tcBorders>
          </w:tcPr>
          <w:p w14:paraId="24A536AD" w14:textId="77777777" w:rsidR="005E000F" w:rsidRDefault="00000000">
            <w:pPr>
              <w:jc w:val="right"/>
              <w:rPr>
                <w:bCs/>
              </w:rPr>
            </w:pPr>
            <w:r>
              <w:rPr>
                <w:rFonts w:hint="eastAsia"/>
                <w:bCs/>
              </w:rPr>
              <w:t>0</w:t>
            </w:r>
          </w:p>
        </w:tc>
        <w:tc>
          <w:tcPr>
            <w:tcW w:w="415" w:type="pct"/>
            <w:tcBorders>
              <w:top w:val="single" w:sz="4" w:space="0" w:color="auto"/>
              <w:left w:val="nil"/>
              <w:bottom w:val="single" w:sz="4" w:space="0" w:color="auto"/>
              <w:right w:val="single" w:sz="4" w:space="0" w:color="auto"/>
            </w:tcBorders>
          </w:tcPr>
          <w:p w14:paraId="712F3E3F" w14:textId="77777777" w:rsidR="005E000F" w:rsidRDefault="00000000">
            <w:pPr>
              <w:jc w:val="right"/>
              <w:rPr>
                <w:bCs/>
              </w:rPr>
            </w:pPr>
            <w:r>
              <w:rPr>
                <w:rFonts w:hint="eastAsia"/>
                <w:bCs/>
              </w:rPr>
              <w:t>0</w:t>
            </w:r>
          </w:p>
        </w:tc>
        <w:tc>
          <w:tcPr>
            <w:tcW w:w="505" w:type="pct"/>
            <w:tcBorders>
              <w:top w:val="single" w:sz="4" w:space="0" w:color="auto"/>
              <w:left w:val="nil"/>
              <w:bottom w:val="single" w:sz="4" w:space="0" w:color="auto"/>
              <w:right w:val="single" w:sz="4" w:space="0" w:color="auto"/>
            </w:tcBorders>
          </w:tcPr>
          <w:p w14:paraId="3C73E7F4" w14:textId="77777777" w:rsidR="005E000F" w:rsidRDefault="00000000">
            <w:pPr>
              <w:jc w:val="right"/>
              <w:rPr>
                <w:bCs/>
              </w:rPr>
            </w:pPr>
            <w:r>
              <w:rPr>
                <w:rFonts w:hint="eastAsia"/>
                <w:bCs/>
              </w:rPr>
              <w:t>1,775,925,709</w:t>
            </w:r>
          </w:p>
        </w:tc>
      </w:tr>
      <w:tr w:rsidR="005E000F" w14:paraId="0FCF5231" w14:textId="77777777">
        <w:trPr>
          <w:cantSplit/>
        </w:trPr>
        <w:tc>
          <w:tcPr>
            <w:tcW w:w="755" w:type="pct"/>
            <w:tcBorders>
              <w:top w:val="single" w:sz="4" w:space="0" w:color="auto"/>
              <w:left w:val="single" w:sz="4" w:space="0" w:color="auto"/>
              <w:bottom w:val="single" w:sz="4" w:space="0" w:color="auto"/>
              <w:right w:val="single" w:sz="4" w:space="0" w:color="auto"/>
            </w:tcBorders>
          </w:tcPr>
          <w:p w14:paraId="33E9DAE4" w14:textId="77777777" w:rsidR="005E000F" w:rsidRDefault="00000000">
            <w:pPr>
              <w:rPr>
                <w:bCs/>
              </w:rPr>
            </w:pPr>
            <w:r>
              <w:rPr>
                <w:rFonts w:hint="eastAsia"/>
                <w:bCs/>
              </w:rPr>
              <w:t>组合二</w:t>
            </w:r>
          </w:p>
        </w:tc>
        <w:tc>
          <w:tcPr>
            <w:tcW w:w="401" w:type="pct"/>
            <w:tcBorders>
              <w:top w:val="single" w:sz="4" w:space="0" w:color="auto"/>
              <w:left w:val="nil"/>
              <w:bottom w:val="single" w:sz="4" w:space="0" w:color="auto"/>
              <w:right w:val="single" w:sz="4" w:space="0" w:color="auto"/>
            </w:tcBorders>
            <w:vAlign w:val="center"/>
          </w:tcPr>
          <w:p w14:paraId="2D7F27FC" w14:textId="77777777" w:rsidR="005E000F" w:rsidRDefault="00000000">
            <w:pPr>
              <w:jc w:val="right"/>
              <w:rPr>
                <w:bCs/>
              </w:rPr>
            </w:pPr>
            <w:r>
              <w:rPr>
                <w:bCs/>
              </w:rPr>
              <w:t>22,914,642</w:t>
            </w:r>
          </w:p>
        </w:tc>
        <w:tc>
          <w:tcPr>
            <w:tcW w:w="396" w:type="pct"/>
            <w:tcBorders>
              <w:top w:val="single" w:sz="4" w:space="0" w:color="auto"/>
              <w:left w:val="nil"/>
              <w:bottom w:val="single" w:sz="4" w:space="0" w:color="auto"/>
              <w:right w:val="single" w:sz="4" w:space="0" w:color="auto"/>
            </w:tcBorders>
            <w:vAlign w:val="center"/>
          </w:tcPr>
          <w:p w14:paraId="022DA925" w14:textId="77777777" w:rsidR="005E000F" w:rsidRDefault="00000000">
            <w:pPr>
              <w:jc w:val="right"/>
              <w:rPr>
                <w:bCs/>
              </w:rPr>
            </w:pPr>
            <w:r>
              <w:rPr>
                <w:bCs/>
              </w:rPr>
              <w:t>1</w:t>
            </w:r>
          </w:p>
        </w:tc>
        <w:tc>
          <w:tcPr>
            <w:tcW w:w="393" w:type="pct"/>
            <w:tcBorders>
              <w:top w:val="single" w:sz="4" w:space="0" w:color="auto"/>
              <w:left w:val="nil"/>
              <w:bottom w:val="single" w:sz="4" w:space="0" w:color="auto"/>
              <w:right w:val="single" w:sz="4" w:space="0" w:color="auto"/>
            </w:tcBorders>
            <w:vAlign w:val="center"/>
          </w:tcPr>
          <w:p w14:paraId="2CBEA591" w14:textId="77777777" w:rsidR="005E000F" w:rsidRDefault="00000000">
            <w:pPr>
              <w:jc w:val="right"/>
              <w:rPr>
                <w:bCs/>
              </w:rPr>
            </w:pPr>
            <w:r>
              <w:rPr>
                <w:bCs/>
              </w:rPr>
              <w:t>252,414</w:t>
            </w:r>
          </w:p>
        </w:tc>
        <w:tc>
          <w:tcPr>
            <w:tcW w:w="407" w:type="pct"/>
            <w:tcBorders>
              <w:top w:val="single" w:sz="4" w:space="0" w:color="auto"/>
              <w:left w:val="nil"/>
              <w:bottom w:val="single" w:sz="4" w:space="0" w:color="auto"/>
              <w:right w:val="single" w:sz="4" w:space="0" w:color="auto"/>
            </w:tcBorders>
            <w:vAlign w:val="center"/>
          </w:tcPr>
          <w:p w14:paraId="28E27D34" w14:textId="77777777" w:rsidR="005E000F" w:rsidRDefault="00000000">
            <w:pPr>
              <w:jc w:val="right"/>
              <w:rPr>
                <w:bCs/>
              </w:rPr>
            </w:pPr>
            <w:r>
              <w:rPr>
                <w:bCs/>
              </w:rPr>
              <w:t>1</w:t>
            </w:r>
            <w:r>
              <w:rPr>
                <w:rFonts w:hint="eastAsia"/>
                <w:bCs/>
              </w:rPr>
              <w:t>.10</w:t>
            </w:r>
          </w:p>
        </w:tc>
        <w:tc>
          <w:tcPr>
            <w:tcW w:w="398" w:type="pct"/>
            <w:tcBorders>
              <w:top w:val="single" w:sz="4" w:space="0" w:color="auto"/>
              <w:left w:val="nil"/>
              <w:bottom w:val="single" w:sz="4" w:space="0" w:color="auto"/>
              <w:right w:val="single" w:sz="4" w:space="0" w:color="auto"/>
            </w:tcBorders>
            <w:vAlign w:val="center"/>
          </w:tcPr>
          <w:p w14:paraId="13E9EFFC" w14:textId="77777777" w:rsidR="005E000F" w:rsidRDefault="00000000">
            <w:pPr>
              <w:jc w:val="right"/>
              <w:rPr>
                <w:bCs/>
              </w:rPr>
            </w:pPr>
            <w:r>
              <w:rPr>
                <w:bCs/>
              </w:rPr>
              <w:t>22,662,228</w:t>
            </w:r>
          </w:p>
        </w:tc>
        <w:tc>
          <w:tcPr>
            <w:tcW w:w="505" w:type="pct"/>
            <w:tcBorders>
              <w:top w:val="single" w:sz="4" w:space="0" w:color="auto"/>
              <w:left w:val="nil"/>
              <w:bottom w:val="single" w:sz="4" w:space="0" w:color="auto"/>
              <w:right w:val="single" w:sz="4" w:space="0" w:color="auto"/>
            </w:tcBorders>
          </w:tcPr>
          <w:p w14:paraId="10A863F3" w14:textId="77777777" w:rsidR="005E000F" w:rsidRDefault="00000000">
            <w:pPr>
              <w:jc w:val="right"/>
              <w:rPr>
                <w:bCs/>
              </w:rPr>
            </w:pPr>
            <w:r>
              <w:rPr>
                <w:rFonts w:hint="eastAsia"/>
                <w:bCs/>
              </w:rPr>
              <w:t>21,559,671</w:t>
            </w:r>
          </w:p>
        </w:tc>
        <w:tc>
          <w:tcPr>
            <w:tcW w:w="407" w:type="pct"/>
            <w:tcBorders>
              <w:top w:val="single" w:sz="4" w:space="0" w:color="auto"/>
              <w:left w:val="nil"/>
              <w:bottom w:val="single" w:sz="4" w:space="0" w:color="auto"/>
              <w:right w:val="single" w:sz="4" w:space="0" w:color="auto"/>
            </w:tcBorders>
          </w:tcPr>
          <w:p w14:paraId="270F2D1B" w14:textId="77777777" w:rsidR="005E000F" w:rsidRDefault="00000000">
            <w:pPr>
              <w:jc w:val="right"/>
              <w:rPr>
                <w:bCs/>
              </w:rPr>
            </w:pPr>
            <w:r>
              <w:rPr>
                <w:rFonts w:hint="eastAsia"/>
                <w:bCs/>
              </w:rPr>
              <w:t>1</w:t>
            </w:r>
          </w:p>
        </w:tc>
        <w:tc>
          <w:tcPr>
            <w:tcW w:w="414" w:type="pct"/>
            <w:tcBorders>
              <w:top w:val="single" w:sz="4" w:space="0" w:color="auto"/>
              <w:left w:val="nil"/>
              <w:bottom w:val="single" w:sz="4" w:space="0" w:color="auto"/>
              <w:right w:val="single" w:sz="4" w:space="0" w:color="auto"/>
            </w:tcBorders>
          </w:tcPr>
          <w:p w14:paraId="0C4237C2" w14:textId="77777777" w:rsidR="005E000F" w:rsidRDefault="00000000">
            <w:pPr>
              <w:jc w:val="right"/>
              <w:rPr>
                <w:bCs/>
              </w:rPr>
            </w:pPr>
            <w:r>
              <w:rPr>
                <w:rFonts w:hint="eastAsia"/>
                <w:bCs/>
              </w:rPr>
              <w:t>63,699</w:t>
            </w:r>
          </w:p>
        </w:tc>
        <w:tc>
          <w:tcPr>
            <w:tcW w:w="415" w:type="pct"/>
            <w:tcBorders>
              <w:top w:val="single" w:sz="4" w:space="0" w:color="auto"/>
              <w:left w:val="nil"/>
              <w:bottom w:val="single" w:sz="4" w:space="0" w:color="auto"/>
              <w:right w:val="single" w:sz="4" w:space="0" w:color="auto"/>
            </w:tcBorders>
          </w:tcPr>
          <w:p w14:paraId="6361C3DF" w14:textId="77777777" w:rsidR="005E000F" w:rsidRDefault="00000000">
            <w:pPr>
              <w:jc w:val="right"/>
              <w:rPr>
                <w:bCs/>
              </w:rPr>
            </w:pPr>
            <w:r>
              <w:rPr>
                <w:rFonts w:hint="eastAsia"/>
                <w:bCs/>
              </w:rPr>
              <w:t>0.30</w:t>
            </w:r>
          </w:p>
        </w:tc>
        <w:tc>
          <w:tcPr>
            <w:tcW w:w="505" w:type="pct"/>
            <w:tcBorders>
              <w:top w:val="single" w:sz="4" w:space="0" w:color="auto"/>
              <w:left w:val="nil"/>
              <w:bottom w:val="single" w:sz="4" w:space="0" w:color="auto"/>
              <w:right w:val="single" w:sz="4" w:space="0" w:color="auto"/>
            </w:tcBorders>
          </w:tcPr>
          <w:p w14:paraId="38A43D45" w14:textId="77777777" w:rsidR="005E000F" w:rsidRDefault="00000000">
            <w:pPr>
              <w:jc w:val="right"/>
              <w:rPr>
                <w:bCs/>
              </w:rPr>
            </w:pPr>
            <w:r>
              <w:rPr>
                <w:rFonts w:hint="eastAsia"/>
                <w:bCs/>
              </w:rPr>
              <w:t>21,495,972</w:t>
            </w:r>
          </w:p>
        </w:tc>
      </w:tr>
      <w:tr w:rsidR="005E000F" w14:paraId="59E6304D" w14:textId="77777777">
        <w:trPr>
          <w:cantSplit/>
        </w:trPr>
        <w:tc>
          <w:tcPr>
            <w:tcW w:w="755" w:type="pct"/>
            <w:tcBorders>
              <w:top w:val="single" w:sz="4" w:space="0" w:color="auto"/>
              <w:left w:val="single" w:sz="4" w:space="0" w:color="auto"/>
              <w:bottom w:val="single" w:sz="4" w:space="0" w:color="auto"/>
              <w:right w:val="single" w:sz="4" w:space="0" w:color="auto"/>
            </w:tcBorders>
            <w:vAlign w:val="center"/>
          </w:tcPr>
          <w:p w14:paraId="1F90D847" w14:textId="77777777" w:rsidR="005E000F" w:rsidRDefault="00000000">
            <w:pPr>
              <w:rPr>
                <w:bCs/>
              </w:rPr>
            </w:pPr>
            <w:r>
              <w:rPr>
                <w:rFonts w:hint="eastAsia"/>
                <w:bCs/>
              </w:rPr>
              <w:t>合计</w:t>
            </w:r>
          </w:p>
        </w:tc>
        <w:tc>
          <w:tcPr>
            <w:tcW w:w="401" w:type="pct"/>
            <w:tcBorders>
              <w:top w:val="single" w:sz="4" w:space="0" w:color="auto"/>
              <w:left w:val="nil"/>
              <w:bottom w:val="single" w:sz="4" w:space="0" w:color="auto"/>
              <w:right w:val="single" w:sz="4" w:space="0" w:color="auto"/>
            </w:tcBorders>
            <w:vAlign w:val="center"/>
          </w:tcPr>
          <w:p w14:paraId="12C5D14B" w14:textId="77777777" w:rsidR="005E000F" w:rsidRDefault="00000000">
            <w:pPr>
              <w:jc w:val="right"/>
              <w:rPr>
                <w:bCs/>
              </w:rPr>
            </w:pPr>
            <w:r>
              <w:rPr>
                <w:bCs/>
              </w:rPr>
              <w:t>3,715,092,412</w:t>
            </w:r>
          </w:p>
        </w:tc>
        <w:tc>
          <w:tcPr>
            <w:tcW w:w="396" w:type="pct"/>
            <w:tcBorders>
              <w:top w:val="single" w:sz="4" w:space="0" w:color="auto"/>
              <w:left w:val="nil"/>
              <w:bottom w:val="single" w:sz="4" w:space="0" w:color="auto"/>
              <w:right w:val="single" w:sz="4" w:space="0" w:color="auto"/>
            </w:tcBorders>
            <w:vAlign w:val="center"/>
          </w:tcPr>
          <w:p w14:paraId="49FAF83F" w14:textId="77777777" w:rsidR="005E000F" w:rsidRDefault="00000000">
            <w:pPr>
              <w:jc w:val="right"/>
              <w:rPr>
                <w:bCs/>
              </w:rPr>
            </w:pPr>
            <w:r>
              <w:rPr>
                <w:rFonts w:hint="eastAsia"/>
                <w:bCs/>
              </w:rPr>
              <w:t>/</w:t>
            </w:r>
          </w:p>
        </w:tc>
        <w:tc>
          <w:tcPr>
            <w:tcW w:w="393" w:type="pct"/>
            <w:tcBorders>
              <w:top w:val="single" w:sz="4" w:space="0" w:color="auto"/>
              <w:left w:val="nil"/>
              <w:bottom w:val="single" w:sz="4" w:space="0" w:color="auto"/>
              <w:right w:val="single" w:sz="4" w:space="0" w:color="auto"/>
            </w:tcBorders>
            <w:vAlign w:val="center"/>
          </w:tcPr>
          <w:p w14:paraId="3C126619" w14:textId="77777777" w:rsidR="005E000F" w:rsidRDefault="00000000">
            <w:pPr>
              <w:jc w:val="right"/>
              <w:rPr>
                <w:bCs/>
              </w:rPr>
            </w:pPr>
            <w:r>
              <w:rPr>
                <w:bCs/>
              </w:rPr>
              <w:t>252,414</w:t>
            </w:r>
          </w:p>
        </w:tc>
        <w:tc>
          <w:tcPr>
            <w:tcW w:w="407" w:type="pct"/>
            <w:tcBorders>
              <w:top w:val="single" w:sz="4" w:space="0" w:color="auto"/>
              <w:left w:val="nil"/>
              <w:bottom w:val="single" w:sz="4" w:space="0" w:color="auto"/>
              <w:right w:val="single" w:sz="4" w:space="0" w:color="auto"/>
            </w:tcBorders>
            <w:vAlign w:val="center"/>
          </w:tcPr>
          <w:p w14:paraId="28E3A56D" w14:textId="77777777" w:rsidR="005E000F" w:rsidRDefault="00000000">
            <w:pPr>
              <w:jc w:val="right"/>
              <w:rPr>
                <w:bCs/>
              </w:rPr>
            </w:pPr>
            <w:r>
              <w:rPr>
                <w:rFonts w:hint="eastAsia"/>
                <w:bCs/>
              </w:rPr>
              <w:t>/</w:t>
            </w:r>
          </w:p>
        </w:tc>
        <w:tc>
          <w:tcPr>
            <w:tcW w:w="398" w:type="pct"/>
            <w:tcBorders>
              <w:top w:val="single" w:sz="4" w:space="0" w:color="auto"/>
              <w:left w:val="nil"/>
              <w:bottom w:val="single" w:sz="4" w:space="0" w:color="auto"/>
              <w:right w:val="single" w:sz="4" w:space="0" w:color="auto"/>
            </w:tcBorders>
            <w:vAlign w:val="center"/>
          </w:tcPr>
          <w:p w14:paraId="404DFFFE" w14:textId="77777777" w:rsidR="005E000F" w:rsidRDefault="00000000">
            <w:pPr>
              <w:jc w:val="right"/>
              <w:rPr>
                <w:bCs/>
              </w:rPr>
            </w:pPr>
            <w:r>
              <w:rPr>
                <w:bCs/>
              </w:rPr>
              <w:t>3,714,839,998</w:t>
            </w:r>
          </w:p>
        </w:tc>
        <w:tc>
          <w:tcPr>
            <w:tcW w:w="505" w:type="pct"/>
            <w:tcBorders>
              <w:top w:val="single" w:sz="4" w:space="0" w:color="auto"/>
              <w:left w:val="nil"/>
              <w:bottom w:val="single" w:sz="4" w:space="0" w:color="auto"/>
              <w:right w:val="single" w:sz="4" w:space="0" w:color="auto"/>
            </w:tcBorders>
          </w:tcPr>
          <w:p w14:paraId="0B62925C" w14:textId="77777777" w:rsidR="005E000F" w:rsidRDefault="00000000">
            <w:pPr>
              <w:jc w:val="right"/>
              <w:rPr>
                <w:bCs/>
              </w:rPr>
            </w:pPr>
            <w:r>
              <w:rPr>
                <w:rFonts w:hint="eastAsia"/>
                <w:bCs/>
              </w:rPr>
              <w:t>1,797,711,694</w:t>
            </w:r>
          </w:p>
        </w:tc>
        <w:tc>
          <w:tcPr>
            <w:tcW w:w="407" w:type="pct"/>
            <w:tcBorders>
              <w:top w:val="single" w:sz="4" w:space="0" w:color="auto"/>
              <w:left w:val="nil"/>
              <w:bottom w:val="single" w:sz="4" w:space="0" w:color="auto"/>
              <w:right w:val="single" w:sz="4" w:space="0" w:color="auto"/>
            </w:tcBorders>
          </w:tcPr>
          <w:p w14:paraId="5F959A27" w14:textId="77777777" w:rsidR="005E000F" w:rsidRDefault="00000000">
            <w:pPr>
              <w:jc w:val="right"/>
              <w:rPr>
                <w:bCs/>
              </w:rPr>
            </w:pPr>
            <w:r>
              <w:rPr>
                <w:rFonts w:hint="eastAsia"/>
                <w:bCs/>
              </w:rPr>
              <w:t>/</w:t>
            </w:r>
          </w:p>
        </w:tc>
        <w:tc>
          <w:tcPr>
            <w:tcW w:w="414" w:type="pct"/>
            <w:tcBorders>
              <w:top w:val="single" w:sz="4" w:space="0" w:color="auto"/>
              <w:left w:val="nil"/>
              <w:bottom w:val="single" w:sz="4" w:space="0" w:color="auto"/>
              <w:right w:val="single" w:sz="4" w:space="0" w:color="auto"/>
            </w:tcBorders>
          </w:tcPr>
          <w:p w14:paraId="0947B5FE" w14:textId="77777777" w:rsidR="005E000F" w:rsidRDefault="00000000">
            <w:pPr>
              <w:jc w:val="right"/>
              <w:rPr>
                <w:bCs/>
              </w:rPr>
            </w:pPr>
            <w:r>
              <w:rPr>
                <w:rFonts w:hint="eastAsia"/>
                <w:bCs/>
              </w:rPr>
              <w:t>290,013</w:t>
            </w:r>
          </w:p>
        </w:tc>
        <w:tc>
          <w:tcPr>
            <w:tcW w:w="415" w:type="pct"/>
            <w:tcBorders>
              <w:top w:val="single" w:sz="4" w:space="0" w:color="auto"/>
              <w:left w:val="nil"/>
              <w:bottom w:val="single" w:sz="4" w:space="0" w:color="auto"/>
              <w:right w:val="single" w:sz="4" w:space="0" w:color="auto"/>
            </w:tcBorders>
          </w:tcPr>
          <w:p w14:paraId="1F1D935D" w14:textId="77777777" w:rsidR="005E000F" w:rsidRDefault="00000000">
            <w:pPr>
              <w:jc w:val="right"/>
              <w:rPr>
                <w:bCs/>
              </w:rPr>
            </w:pPr>
            <w:r>
              <w:rPr>
                <w:rFonts w:hint="eastAsia"/>
                <w:bCs/>
              </w:rPr>
              <w:t>/</w:t>
            </w:r>
          </w:p>
        </w:tc>
        <w:tc>
          <w:tcPr>
            <w:tcW w:w="505" w:type="pct"/>
            <w:tcBorders>
              <w:top w:val="single" w:sz="4" w:space="0" w:color="auto"/>
              <w:left w:val="nil"/>
              <w:bottom w:val="single" w:sz="4" w:space="0" w:color="auto"/>
              <w:right w:val="single" w:sz="4" w:space="0" w:color="auto"/>
            </w:tcBorders>
          </w:tcPr>
          <w:p w14:paraId="4CAB1234" w14:textId="77777777" w:rsidR="005E000F" w:rsidRDefault="00000000">
            <w:pPr>
              <w:jc w:val="right"/>
              <w:rPr>
                <w:bCs/>
              </w:rPr>
            </w:pPr>
            <w:r>
              <w:rPr>
                <w:rFonts w:hint="eastAsia"/>
                <w:bCs/>
              </w:rPr>
              <w:t>1,797,421,681</w:t>
            </w:r>
          </w:p>
        </w:tc>
      </w:tr>
    </w:tbl>
    <w:p w14:paraId="6ED7EAE3" w14:textId="77777777" w:rsidR="005E000F" w:rsidRDefault="005E000F">
      <w:pPr>
        <w:sectPr w:rsidR="005E000F">
          <w:pgSz w:w="16838" w:h="11906" w:orient="landscape"/>
          <w:pgMar w:top="1276" w:right="1440" w:bottom="1797" w:left="1525" w:header="856" w:footer="992" w:gutter="0"/>
          <w:cols w:space="425"/>
          <w:docGrid w:linePitch="312"/>
        </w:sectPr>
      </w:pPr>
    </w:p>
    <w:p w14:paraId="6C5AFC66" w14:textId="77777777" w:rsidR="005E000F" w:rsidRDefault="005E000F"/>
    <w:p w14:paraId="7991D1A8" w14:textId="77777777" w:rsidR="005E000F" w:rsidRDefault="00000000">
      <w:pPr>
        <w:pStyle w:val="5"/>
        <w:numPr>
          <w:ilvl w:val="0"/>
          <w:numId w:val="74"/>
        </w:numPr>
        <w:ind w:leftChars="0"/>
      </w:pPr>
      <w:r>
        <w:rPr>
          <w:rFonts w:hint="eastAsia"/>
        </w:rPr>
        <w:t>按款项性质分类情况</w:t>
      </w:r>
    </w:p>
    <w:p w14:paraId="6A251CEE" w14:textId="77777777" w:rsidR="005E000F" w:rsidRDefault="00000000">
      <w:sdt>
        <w:sdtPr>
          <w:alias w:val="是否适用：其他应收款按款项性质分类情况[双击切换]"/>
          <w:tag w:val="_GBC_f8f8208812d5412eb0a2fdddf1a9d330"/>
          <w:id w:val="-1286185640"/>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2CD3BCE4" w14:textId="77777777" w:rsidR="005E000F" w:rsidRDefault="00000000">
      <w:pPr>
        <w:jc w:val="right"/>
      </w:pPr>
      <w:r>
        <w:rPr>
          <w:rFonts w:hint="eastAsia"/>
        </w:rPr>
        <w:t>单位：</w:t>
      </w:r>
      <w:sdt>
        <w:sdtPr>
          <w:rPr>
            <w:rFonts w:hint="eastAsia"/>
          </w:rPr>
          <w:alias w:val="单位：财务附注：其他应收款按款项性质分类情况"/>
          <w:tag w:val="_GBC_6e3e3b79e1a6467e8f5cdcabc0a95e4a"/>
          <w:id w:val="14174392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其他应收款按款项性质分类情况"/>
          <w:tag w:val="_GBC_09f3d6bcff8b483f9de34a3ddb25bad4"/>
          <w:id w:val="-196118277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2980"/>
        <w:gridCol w:w="2991"/>
      </w:tblGrid>
      <w:tr w:rsidR="005E000F" w14:paraId="26C38E8E" w14:textId="77777777">
        <w:bookmarkStart w:id="303" w:name="_Hlk533867880" w:displacedByCustomXml="next"/>
        <w:sdt>
          <w:sdtPr>
            <w:tag w:val="_PLD_e3e4ae09c73a4371a49803278d537455"/>
            <w:id w:val="-65955995"/>
          </w:sdtPr>
          <w:sdtContent>
            <w:tc>
              <w:tcPr>
                <w:tcW w:w="3076" w:type="dxa"/>
                <w:vAlign w:val="center"/>
              </w:tcPr>
              <w:p w14:paraId="520235EB" w14:textId="77777777" w:rsidR="005E000F" w:rsidRDefault="00000000">
                <w:pPr>
                  <w:jc w:val="center"/>
                </w:pPr>
                <w:r>
                  <w:rPr>
                    <w:rFonts w:hint="eastAsia"/>
                  </w:rPr>
                  <w:t>款项性质</w:t>
                </w:r>
              </w:p>
            </w:tc>
          </w:sdtContent>
        </w:sdt>
        <w:sdt>
          <w:sdtPr>
            <w:tag w:val="_PLD_166416173edb4a39b34c47c78d0dc766"/>
            <w:id w:val="1558814177"/>
          </w:sdtPr>
          <w:sdtContent>
            <w:tc>
              <w:tcPr>
                <w:tcW w:w="2980" w:type="dxa"/>
                <w:vAlign w:val="center"/>
              </w:tcPr>
              <w:p w14:paraId="39DB4FF7" w14:textId="77777777" w:rsidR="005E000F" w:rsidRDefault="00000000">
                <w:pPr>
                  <w:jc w:val="center"/>
                </w:pPr>
                <w:r>
                  <w:rPr>
                    <w:rFonts w:hint="eastAsia"/>
                  </w:rPr>
                  <w:t>期末账面余额</w:t>
                </w:r>
              </w:p>
            </w:tc>
          </w:sdtContent>
        </w:sdt>
        <w:sdt>
          <w:sdtPr>
            <w:tag w:val="_PLD_a78baace40634aeaaff4786c955e1f60"/>
            <w:id w:val="250628619"/>
          </w:sdtPr>
          <w:sdtContent>
            <w:tc>
              <w:tcPr>
                <w:tcW w:w="2991" w:type="dxa"/>
                <w:vAlign w:val="center"/>
              </w:tcPr>
              <w:p w14:paraId="2D97772C" w14:textId="77777777" w:rsidR="005E000F" w:rsidRDefault="00000000">
                <w:pPr>
                  <w:jc w:val="center"/>
                </w:pPr>
                <w:r>
                  <w:rPr>
                    <w:rFonts w:hint="eastAsia"/>
                  </w:rPr>
                  <w:t>期初账面余额</w:t>
                </w:r>
              </w:p>
            </w:tc>
          </w:sdtContent>
        </w:sdt>
      </w:tr>
      <w:tr w:rsidR="005E000F" w14:paraId="56A96AE2" w14:textId="77777777">
        <w:tc>
          <w:tcPr>
            <w:tcW w:w="3076" w:type="dxa"/>
            <w:vAlign w:val="center"/>
          </w:tcPr>
          <w:p w14:paraId="3740A093" w14:textId="77777777" w:rsidR="005E000F" w:rsidRDefault="00000000">
            <w:r>
              <w:t>增值税流转</w:t>
            </w:r>
          </w:p>
        </w:tc>
        <w:tc>
          <w:tcPr>
            <w:tcW w:w="2980" w:type="dxa"/>
            <w:vAlign w:val="center"/>
          </w:tcPr>
          <w:p w14:paraId="455CE9B7" w14:textId="77777777" w:rsidR="005E000F" w:rsidRDefault="00000000">
            <w:pPr>
              <w:jc w:val="right"/>
            </w:pPr>
            <w:r>
              <w:t>3,304,668,796</w:t>
            </w:r>
          </w:p>
        </w:tc>
        <w:tc>
          <w:tcPr>
            <w:tcW w:w="2991" w:type="dxa"/>
            <w:vAlign w:val="center"/>
          </w:tcPr>
          <w:p w14:paraId="187EE1CE" w14:textId="77777777" w:rsidR="005E000F" w:rsidRDefault="00000000">
            <w:pPr>
              <w:jc w:val="right"/>
            </w:pPr>
            <w:r>
              <w:t>1,626,585,777</w:t>
            </w:r>
          </w:p>
        </w:tc>
      </w:tr>
      <w:tr w:rsidR="005E000F" w14:paraId="18ACD6CE" w14:textId="77777777">
        <w:tc>
          <w:tcPr>
            <w:tcW w:w="3076" w:type="dxa"/>
            <w:vAlign w:val="center"/>
          </w:tcPr>
          <w:p w14:paraId="3C765225" w14:textId="77777777" w:rsidR="005E000F" w:rsidRDefault="00000000">
            <w:r>
              <w:t>应收三供</w:t>
            </w:r>
            <w:proofErr w:type="gramStart"/>
            <w:r>
              <w:t>一</w:t>
            </w:r>
            <w:proofErr w:type="gramEnd"/>
            <w:r>
              <w:t>业补助资金（注）</w:t>
            </w:r>
          </w:p>
        </w:tc>
        <w:tc>
          <w:tcPr>
            <w:tcW w:w="2980" w:type="dxa"/>
            <w:vAlign w:val="center"/>
          </w:tcPr>
          <w:p w14:paraId="223A1A74" w14:textId="77777777" w:rsidR="005E000F" w:rsidRDefault="00000000">
            <w:pPr>
              <w:jc w:val="right"/>
            </w:pPr>
            <w:r>
              <w:t>45,564,400</w:t>
            </w:r>
          </w:p>
        </w:tc>
        <w:tc>
          <w:tcPr>
            <w:tcW w:w="2991" w:type="dxa"/>
            <w:vAlign w:val="center"/>
          </w:tcPr>
          <w:p w14:paraId="2A1592C8" w14:textId="77777777" w:rsidR="005E000F" w:rsidRDefault="00000000">
            <w:pPr>
              <w:jc w:val="right"/>
            </w:pPr>
            <w:r>
              <w:t>7,345,600</w:t>
            </w:r>
          </w:p>
        </w:tc>
      </w:tr>
      <w:tr w:rsidR="005E000F" w14:paraId="11CB7B57" w14:textId="77777777">
        <w:tc>
          <w:tcPr>
            <w:tcW w:w="3076" w:type="dxa"/>
            <w:vAlign w:val="center"/>
          </w:tcPr>
          <w:p w14:paraId="39B94FA3" w14:textId="77777777" w:rsidR="005E000F" w:rsidRDefault="00000000">
            <w:r>
              <w:t>其他</w:t>
            </w:r>
          </w:p>
        </w:tc>
        <w:tc>
          <w:tcPr>
            <w:tcW w:w="2980" w:type="dxa"/>
            <w:vAlign w:val="center"/>
          </w:tcPr>
          <w:p w14:paraId="1530FFE7" w14:textId="77777777" w:rsidR="005E000F" w:rsidRDefault="00000000">
            <w:pPr>
              <w:jc w:val="right"/>
              <w:rPr>
                <w:lang w:val="en-GB"/>
              </w:rPr>
            </w:pPr>
            <w:r>
              <w:t>364,859,216</w:t>
            </w:r>
          </w:p>
        </w:tc>
        <w:tc>
          <w:tcPr>
            <w:tcW w:w="2991" w:type="dxa"/>
            <w:vAlign w:val="center"/>
          </w:tcPr>
          <w:p w14:paraId="13D5F2AC" w14:textId="77777777" w:rsidR="005E000F" w:rsidRDefault="00000000">
            <w:pPr>
              <w:jc w:val="right"/>
            </w:pPr>
            <w:r>
              <w:t>163,780,317</w:t>
            </w:r>
          </w:p>
        </w:tc>
      </w:tr>
      <w:tr w:rsidR="005E000F" w14:paraId="1A5F5FAA" w14:textId="77777777">
        <w:tc>
          <w:tcPr>
            <w:tcW w:w="3076" w:type="dxa"/>
            <w:vAlign w:val="center"/>
          </w:tcPr>
          <w:p w14:paraId="46477DB0" w14:textId="77777777" w:rsidR="005E000F" w:rsidRDefault="00000000">
            <w:r>
              <w:t>减：坏账准备</w:t>
            </w:r>
          </w:p>
        </w:tc>
        <w:tc>
          <w:tcPr>
            <w:tcW w:w="2980" w:type="dxa"/>
            <w:vAlign w:val="center"/>
          </w:tcPr>
          <w:p w14:paraId="3FADB4E9" w14:textId="77777777" w:rsidR="005E000F" w:rsidRDefault="00000000">
            <w:pPr>
              <w:jc w:val="right"/>
            </w:pPr>
            <w:r>
              <w:t>252,414</w:t>
            </w:r>
          </w:p>
        </w:tc>
        <w:tc>
          <w:tcPr>
            <w:tcW w:w="2991" w:type="dxa"/>
            <w:vAlign w:val="center"/>
          </w:tcPr>
          <w:p w14:paraId="06021EAC" w14:textId="77777777" w:rsidR="005E000F" w:rsidRDefault="00000000">
            <w:pPr>
              <w:jc w:val="right"/>
            </w:pPr>
            <w:r>
              <w:t>290,013</w:t>
            </w:r>
          </w:p>
        </w:tc>
      </w:tr>
      <w:tr w:rsidR="005E000F" w14:paraId="770A430E" w14:textId="77777777">
        <w:tc>
          <w:tcPr>
            <w:tcW w:w="3076" w:type="dxa"/>
            <w:vAlign w:val="center"/>
          </w:tcPr>
          <w:p w14:paraId="57E5B28E" w14:textId="77777777" w:rsidR="005E000F" w:rsidRDefault="00000000">
            <w:pPr>
              <w:jc w:val="center"/>
            </w:pPr>
            <w:r>
              <w:t>合计</w:t>
            </w:r>
          </w:p>
        </w:tc>
        <w:tc>
          <w:tcPr>
            <w:tcW w:w="2980" w:type="dxa"/>
            <w:vAlign w:val="center"/>
          </w:tcPr>
          <w:p w14:paraId="21FFDB76" w14:textId="77777777" w:rsidR="005E000F" w:rsidRDefault="00000000">
            <w:pPr>
              <w:jc w:val="right"/>
            </w:pPr>
            <w:r>
              <w:t>3,714,839,998</w:t>
            </w:r>
          </w:p>
        </w:tc>
        <w:tc>
          <w:tcPr>
            <w:tcW w:w="2991" w:type="dxa"/>
            <w:vAlign w:val="center"/>
          </w:tcPr>
          <w:p w14:paraId="6F930A97" w14:textId="77777777" w:rsidR="005E000F" w:rsidRDefault="00000000">
            <w:pPr>
              <w:jc w:val="right"/>
            </w:pPr>
            <w:r>
              <w:t>1,797,421,681</w:t>
            </w:r>
          </w:p>
        </w:tc>
      </w:tr>
    </w:tbl>
    <w:p w14:paraId="5FBB6832" w14:textId="77777777" w:rsidR="005E000F" w:rsidRDefault="00000000">
      <w:r>
        <w:rPr>
          <w:rFonts w:hint="eastAsia"/>
        </w:rPr>
        <w:t>注：如附注七、</w:t>
      </w:r>
      <w:r>
        <w:rPr>
          <w:rFonts w:hint="eastAsia"/>
        </w:rPr>
        <w:t xml:space="preserve">13 </w:t>
      </w:r>
      <w:r>
        <w:rPr>
          <w:rFonts w:hint="eastAsia"/>
        </w:rPr>
        <w:t>所述，于</w:t>
      </w:r>
      <w:r>
        <w:rPr>
          <w:rFonts w:hint="eastAsia"/>
        </w:rPr>
        <w:t xml:space="preserve"> 2025 </w:t>
      </w:r>
      <w:r>
        <w:rPr>
          <w:rFonts w:hint="eastAsia"/>
        </w:rPr>
        <w:t>年</w:t>
      </w:r>
      <w:r>
        <w:rPr>
          <w:rFonts w:hint="eastAsia"/>
        </w:rPr>
        <w:t xml:space="preserve"> 12 </w:t>
      </w:r>
      <w:r>
        <w:rPr>
          <w:rFonts w:hint="eastAsia"/>
        </w:rPr>
        <w:t>月</w:t>
      </w:r>
      <w:r>
        <w:rPr>
          <w:rFonts w:hint="eastAsia"/>
        </w:rPr>
        <w:t xml:space="preserve"> 31 </w:t>
      </w:r>
      <w:r>
        <w:rPr>
          <w:rFonts w:hint="eastAsia"/>
        </w:rPr>
        <w:t>日，本公司应收与“三供</w:t>
      </w:r>
      <w:proofErr w:type="gramStart"/>
      <w:r>
        <w:rPr>
          <w:rFonts w:hint="eastAsia"/>
        </w:rPr>
        <w:t>一</w:t>
      </w:r>
      <w:proofErr w:type="gramEnd"/>
      <w:r>
        <w:rPr>
          <w:rFonts w:hint="eastAsia"/>
        </w:rPr>
        <w:t>业”分离移交相关的中央财政补助资金人民币</w:t>
      </w:r>
      <w:r>
        <w:rPr>
          <w:rFonts w:hint="eastAsia"/>
        </w:rPr>
        <w:t xml:space="preserve"> 45,564,400 </w:t>
      </w:r>
      <w:r>
        <w:rPr>
          <w:rFonts w:hint="eastAsia"/>
        </w:rPr>
        <w:t>元（</w:t>
      </w:r>
      <w:r>
        <w:rPr>
          <w:rFonts w:hint="eastAsia"/>
        </w:rPr>
        <w:t>2024</w:t>
      </w:r>
      <w:r>
        <w:rPr>
          <w:rFonts w:hint="eastAsia"/>
        </w:rPr>
        <w:t>年：人民币</w:t>
      </w:r>
      <w:r>
        <w:rPr>
          <w:rFonts w:hint="eastAsia"/>
        </w:rPr>
        <w:t xml:space="preserve"> 7,345,600 </w:t>
      </w:r>
      <w:r>
        <w:rPr>
          <w:rFonts w:hint="eastAsia"/>
        </w:rPr>
        <w:t>元）。</w:t>
      </w:r>
    </w:p>
    <w:p w14:paraId="33992699" w14:textId="77777777" w:rsidR="005E000F" w:rsidRDefault="00000000">
      <w:pPr>
        <w:pStyle w:val="5"/>
        <w:numPr>
          <w:ilvl w:val="0"/>
          <w:numId w:val="74"/>
        </w:numPr>
        <w:ind w:leftChars="0"/>
      </w:pPr>
      <w:r>
        <w:rPr>
          <w:rFonts w:hint="eastAsia"/>
        </w:rPr>
        <w:t>坏账准备计提情况</w:t>
      </w:r>
    </w:p>
    <w:sdt>
      <w:sdtPr>
        <w:alias w:val="是否适用：其他应收款坏账准备调节表[双击切换]"/>
        <w:tag w:val="_GBC_89d7c1af9f504137a919fea1a314fa80"/>
        <w:id w:val="1229275943"/>
        <w:placeholder>
          <w:docPart w:val="GBC22222222222222222222222222222"/>
        </w:placeholder>
      </w:sdtPr>
      <w:sdtContent>
        <w:p w14:paraId="156A8CA8"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3A2D10A" w14:textId="77777777" w:rsidR="005E000F" w:rsidRDefault="00000000">
      <w:pPr>
        <w:autoSpaceDE w:val="0"/>
        <w:autoSpaceDN w:val="0"/>
        <w:adjustRightInd w:val="0"/>
        <w:ind w:rightChars="50" w:right="105"/>
        <w:jc w:val="right"/>
      </w:pPr>
      <w:r>
        <w:rPr>
          <w:rFonts w:hint="eastAsia"/>
        </w:rPr>
        <w:t>单位：</w:t>
      </w:r>
      <w:sdt>
        <w:sdtPr>
          <w:rPr>
            <w:rFonts w:hint="eastAsia"/>
          </w:rPr>
          <w:alias w:val="单位：其他应收款坏账准备调节表"/>
          <w:tag w:val="_GBC_1e902dc07fc44240af1ff69475733c28"/>
          <w:id w:val="-192926910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其他应收款坏账准备调节表"/>
          <w:tag w:val="_GBC_5e93354ddb8841df82a0d16f2f5b44ae"/>
          <w:id w:val="12021326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560"/>
        <w:gridCol w:w="1985"/>
        <w:gridCol w:w="1985"/>
        <w:gridCol w:w="1706"/>
      </w:tblGrid>
      <w:tr w:rsidR="005E000F" w14:paraId="33A39B22" w14:textId="77777777">
        <w:sdt>
          <w:sdtPr>
            <w:tag w:val="_PLD_2f734c3456a843bda898d16924c52045"/>
            <w:id w:val="-495269303"/>
          </w:sdtPr>
          <w:sdtContent>
            <w:tc>
              <w:tcPr>
                <w:tcW w:w="1811" w:type="dxa"/>
                <w:vMerge w:val="restart"/>
                <w:vAlign w:val="center"/>
              </w:tcPr>
              <w:p w14:paraId="083A3578"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cc2d5e47d032466f8f32fd4edec15e33"/>
            <w:id w:val="-1243399864"/>
          </w:sdtPr>
          <w:sdtContent>
            <w:tc>
              <w:tcPr>
                <w:tcW w:w="1560" w:type="dxa"/>
                <w:vAlign w:val="center"/>
              </w:tcPr>
              <w:p w14:paraId="3C21DEFD"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f7ffd31ab3534493bb75ab7d04c0c751"/>
            <w:id w:val="-857964479"/>
          </w:sdtPr>
          <w:sdtContent>
            <w:tc>
              <w:tcPr>
                <w:tcW w:w="1985" w:type="dxa"/>
                <w:vAlign w:val="center"/>
              </w:tcPr>
              <w:p w14:paraId="7A7451B2"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b787de87168848159cb3a46726196c34"/>
            <w:id w:val="-1824568836"/>
          </w:sdtPr>
          <w:sdtContent>
            <w:tc>
              <w:tcPr>
                <w:tcW w:w="1985" w:type="dxa"/>
                <w:vAlign w:val="center"/>
              </w:tcPr>
              <w:p w14:paraId="5B6F05EF"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3b31af1f922741a8874346a86f3e2d25"/>
            <w:id w:val="-1982135623"/>
          </w:sdtPr>
          <w:sdtContent>
            <w:tc>
              <w:tcPr>
                <w:tcW w:w="1706" w:type="dxa"/>
                <w:vMerge w:val="restart"/>
                <w:vAlign w:val="center"/>
              </w:tcPr>
              <w:p w14:paraId="4D438DCC"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5E000F" w14:paraId="07743FBF" w14:textId="77777777">
        <w:tc>
          <w:tcPr>
            <w:tcW w:w="1811" w:type="dxa"/>
            <w:vMerge/>
            <w:vAlign w:val="center"/>
          </w:tcPr>
          <w:p w14:paraId="268340E5" w14:textId="77777777" w:rsidR="005E000F" w:rsidRDefault="005E000F">
            <w:pPr>
              <w:jc w:val="center"/>
              <w:rPr>
                <w:color w:val="008000"/>
              </w:rPr>
            </w:pPr>
          </w:p>
        </w:tc>
        <w:sdt>
          <w:sdtPr>
            <w:tag w:val="_PLD_7158bbb0fd6b45478d53b382f0c1a5e9"/>
            <w:id w:val="1409727379"/>
          </w:sdtPr>
          <w:sdtContent>
            <w:tc>
              <w:tcPr>
                <w:tcW w:w="1560" w:type="dxa"/>
                <w:vAlign w:val="center"/>
              </w:tcPr>
              <w:p w14:paraId="145D46FE"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a456fd5785a44d89b944d155197986fc"/>
            <w:id w:val="1616328517"/>
          </w:sdtPr>
          <w:sdtContent>
            <w:tc>
              <w:tcPr>
                <w:tcW w:w="1985" w:type="dxa"/>
                <w:vAlign w:val="center"/>
              </w:tcPr>
              <w:p w14:paraId="597941C8"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fb9265a3aa334f7ab93242b9630540b0"/>
            <w:id w:val="-1554995804"/>
          </w:sdtPr>
          <w:sdtContent>
            <w:tc>
              <w:tcPr>
                <w:tcW w:w="1985" w:type="dxa"/>
                <w:vAlign w:val="center"/>
              </w:tcPr>
              <w:p w14:paraId="1BDD88C0"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1706" w:type="dxa"/>
            <w:vMerge/>
            <w:vAlign w:val="center"/>
          </w:tcPr>
          <w:p w14:paraId="1CD3E13A" w14:textId="77777777" w:rsidR="005E000F" w:rsidRDefault="005E000F">
            <w:pPr>
              <w:jc w:val="center"/>
              <w:rPr>
                <w:color w:val="008000"/>
              </w:rPr>
            </w:pPr>
          </w:p>
        </w:tc>
      </w:tr>
      <w:tr w:rsidR="005E000F" w14:paraId="00D28D3E" w14:textId="77777777">
        <w:tc>
          <w:tcPr>
            <w:tcW w:w="1811" w:type="dxa"/>
            <w:vAlign w:val="center"/>
          </w:tcPr>
          <w:p w14:paraId="11BE356B"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2025年</w:t>
            </w:r>
            <w:r>
              <w:rPr>
                <w:rFonts w:ascii="宋体" w:eastAsia="宋体" w:hAnsi="宋体" w:cs="宋体" w:hint="eastAsia"/>
                <w:sz w:val="21"/>
                <w:szCs w:val="21"/>
                <w:lang w:eastAsia="zh-CN"/>
              </w:rPr>
              <w:t>1月1日余额</w:t>
            </w:r>
          </w:p>
        </w:tc>
        <w:tc>
          <w:tcPr>
            <w:tcW w:w="1560" w:type="dxa"/>
            <w:vAlign w:val="center"/>
          </w:tcPr>
          <w:p w14:paraId="4913F1BC" w14:textId="77777777" w:rsidR="005E000F" w:rsidRDefault="00000000">
            <w:pPr>
              <w:jc w:val="right"/>
            </w:pPr>
            <w:r>
              <w:t>63,699</w:t>
            </w:r>
          </w:p>
        </w:tc>
        <w:tc>
          <w:tcPr>
            <w:tcW w:w="1985" w:type="dxa"/>
            <w:vAlign w:val="center"/>
          </w:tcPr>
          <w:p w14:paraId="1D2D850D" w14:textId="77777777" w:rsidR="005E000F" w:rsidRDefault="00000000">
            <w:pPr>
              <w:jc w:val="right"/>
            </w:pPr>
            <w:r>
              <w:t>0</w:t>
            </w:r>
          </w:p>
        </w:tc>
        <w:tc>
          <w:tcPr>
            <w:tcW w:w="1985" w:type="dxa"/>
            <w:vAlign w:val="center"/>
          </w:tcPr>
          <w:p w14:paraId="76560FB2" w14:textId="77777777" w:rsidR="005E000F" w:rsidRDefault="00000000">
            <w:pPr>
              <w:jc w:val="right"/>
            </w:pPr>
            <w:r>
              <w:t>226,314</w:t>
            </w:r>
          </w:p>
        </w:tc>
        <w:tc>
          <w:tcPr>
            <w:tcW w:w="1706" w:type="dxa"/>
            <w:vAlign w:val="center"/>
          </w:tcPr>
          <w:p w14:paraId="5EA526E8" w14:textId="77777777" w:rsidR="005E000F" w:rsidRDefault="00000000">
            <w:pPr>
              <w:jc w:val="right"/>
            </w:pPr>
            <w:r>
              <w:t>290,013</w:t>
            </w:r>
          </w:p>
        </w:tc>
      </w:tr>
      <w:tr w:rsidR="005E000F" w14:paraId="5622C7D0" w14:textId="77777777">
        <w:tc>
          <w:tcPr>
            <w:tcW w:w="1811" w:type="dxa"/>
            <w:vAlign w:val="center"/>
          </w:tcPr>
          <w:p w14:paraId="288139C6"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2025年1月1日余额在本期</w:t>
            </w:r>
          </w:p>
        </w:tc>
        <w:tc>
          <w:tcPr>
            <w:tcW w:w="1560" w:type="dxa"/>
            <w:vAlign w:val="center"/>
          </w:tcPr>
          <w:p w14:paraId="009227E4" w14:textId="77777777" w:rsidR="005E000F" w:rsidRDefault="00000000">
            <w:pPr>
              <w:jc w:val="right"/>
            </w:pPr>
            <w:r>
              <w:t>0</w:t>
            </w:r>
          </w:p>
        </w:tc>
        <w:tc>
          <w:tcPr>
            <w:tcW w:w="1985" w:type="dxa"/>
            <w:vAlign w:val="center"/>
          </w:tcPr>
          <w:p w14:paraId="02111555" w14:textId="77777777" w:rsidR="005E000F" w:rsidRDefault="00000000">
            <w:pPr>
              <w:jc w:val="right"/>
            </w:pPr>
            <w:r>
              <w:t>0</w:t>
            </w:r>
          </w:p>
        </w:tc>
        <w:tc>
          <w:tcPr>
            <w:tcW w:w="1985" w:type="dxa"/>
            <w:vAlign w:val="center"/>
          </w:tcPr>
          <w:p w14:paraId="646C2240" w14:textId="77777777" w:rsidR="005E000F" w:rsidRDefault="00000000">
            <w:pPr>
              <w:jc w:val="right"/>
            </w:pPr>
            <w:r>
              <w:t>0</w:t>
            </w:r>
          </w:p>
        </w:tc>
        <w:tc>
          <w:tcPr>
            <w:tcW w:w="1706" w:type="dxa"/>
            <w:vAlign w:val="center"/>
          </w:tcPr>
          <w:p w14:paraId="236AE012" w14:textId="77777777" w:rsidR="005E000F" w:rsidRDefault="00000000">
            <w:pPr>
              <w:jc w:val="right"/>
            </w:pPr>
            <w:r>
              <w:t>0</w:t>
            </w:r>
          </w:p>
        </w:tc>
      </w:tr>
      <w:tr w:rsidR="005E000F" w14:paraId="7021A257" w14:textId="77777777">
        <w:tc>
          <w:tcPr>
            <w:tcW w:w="1811" w:type="dxa"/>
            <w:vAlign w:val="center"/>
          </w:tcPr>
          <w:p w14:paraId="0F585606"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tc>
          <w:tcPr>
            <w:tcW w:w="1560" w:type="dxa"/>
            <w:vAlign w:val="center"/>
          </w:tcPr>
          <w:p w14:paraId="4AE8E764" w14:textId="77777777" w:rsidR="005E000F" w:rsidRDefault="00000000">
            <w:pPr>
              <w:jc w:val="right"/>
            </w:pPr>
            <w:r>
              <w:t>0</w:t>
            </w:r>
          </w:p>
        </w:tc>
        <w:tc>
          <w:tcPr>
            <w:tcW w:w="1985" w:type="dxa"/>
            <w:vAlign w:val="center"/>
          </w:tcPr>
          <w:p w14:paraId="6401BE8B" w14:textId="77777777" w:rsidR="005E000F" w:rsidRDefault="00000000">
            <w:pPr>
              <w:jc w:val="right"/>
            </w:pPr>
            <w:r>
              <w:t>0</w:t>
            </w:r>
          </w:p>
        </w:tc>
        <w:tc>
          <w:tcPr>
            <w:tcW w:w="1985" w:type="dxa"/>
            <w:vAlign w:val="center"/>
          </w:tcPr>
          <w:p w14:paraId="31F7C4D2" w14:textId="77777777" w:rsidR="005E000F" w:rsidRDefault="00000000">
            <w:pPr>
              <w:jc w:val="right"/>
            </w:pPr>
            <w:r>
              <w:t>0</w:t>
            </w:r>
          </w:p>
        </w:tc>
        <w:tc>
          <w:tcPr>
            <w:tcW w:w="1706" w:type="dxa"/>
            <w:vAlign w:val="center"/>
          </w:tcPr>
          <w:p w14:paraId="09467C77" w14:textId="77777777" w:rsidR="005E000F" w:rsidRDefault="00000000">
            <w:pPr>
              <w:jc w:val="right"/>
            </w:pPr>
            <w:r>
              <w:t>0</w:t>
            </w:r>
          </w:p>
        </w:tc>
      </w:tr>
      <w:tr w:rsidR="005E000F" w14:paraId="66B73A08" w14:textId="77777777">
        <w:tc>
          <w:tcPr>
            <w:tcW w:w="1811" w:type="dxa"/>
            <w:vAlign w:val="center"/>
          </w:tcPr>
          <w:p w14:paraId="555DDDE3"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tc>
          <w:tcPr>
            <w:tcW w:w="1560" w:type="dxa"/>
            <w:vAlign w:val="center"/>
          </w:tcPr>
          <w:p w14:paraId="0D163817" w14:textId="77777777" w:rsidR="005E000F" w:rsidRDefault="00000000">
            <w:pPr>
              <w:jc w:val="right"/>
            </w:pPr>
            <w:r>
              <w:t>0</w:t>
            </w:r>
          </w:p>
        </w:tc>
        <w:tc>
          <w:tcPr>
            <w:tcW w:w="1985" w:type="dxa"/>
            <w:vAlign w:val="center"/>
          </w:tcPr>
          <w:p w14:paraId="2872900A" w14:textId="77777777" w:rsidR="005E000F" w:rsidRDefault="00000000">
            <w:pPr>
              <w:jc w:val="right"/>
            </w:pPr>
            <w:r>
              <w:t>0</w:t>
            </w:r>
          </w:p>
        </w:tc>
        <w:tc>
          <w:tcPr>
            <w:tcW w:w="1985" w:type="dxa"/>
            <w:vAlign w:val="center"/>
          </w:tcPr>
          <w:p w14:paraId="4E0CA6A0" w14:textId="77777777" w:rsidR="005E000F" w:rsidRDefault="00000000">
            <w:pPr>
              <w:jc w:val="right"/>
            </w:pPr>
            <w:r>
              <w:t>0</w:t>
            </w:r>
          </w:p>
        </w:tc>
        <w:tc>
          <w:tcPr>
            <w:tcW w:w="1706" w:type="dxa"/>
            <w:vAlign w:val="center"/>
          </w:tcPr>
          <w:p w14:paraId="56611D8B" w14:textId="77777777" w:rsidR="005E000F" w:rsidRDefault="00000000">
            <w:pPr>
              <w:jc w:val="right"/>
            </w:pPr>
            <w:r>
              <w:t>0</w:t>
            </w:r>
          </w:p>
        </w:tc>
      </w:tr>
      <w:tr w:rsidR="005E000F" w14:paraId="27465535" w14:textId="77777777">
        <w:tc>
          <w:tcPr>
            <w:tcW w:w="1811" w:type="dxa"/>
            <w:vAlign w:val="center"/>
          </w:tcPr>
          <w:p w14:paraId="1E3A2B43"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tc>
          <w:tcPr>
            <w:tcW w:w="1560" w:type="dxa"/>
            <w:vAlign w:val="center"/>
          </w:tcPr>
          <w:p w14:paraId="389A6176" w14:textId="77777777" w:rsidR="005E000F" w:rsidRDefault="00000000">
            <w:pPr>
              <w:jc w:val="right"/>
            </w:pPr>
            <w:r>
              <w:t>0</w:t>
            </w:r>
          </w:p>
        </w:tc>
        <w:tc>
          <w:tcPr>
            <w:tcW w:w="1985" w:type="dxa"/>
            <w:vAlign w:val="center"/>
          </w:tcPr>
          <w:p w14:paraId="1599C795" w14:textId="77777777" w:rsidR="005E000F" w:rsidRDefault="00000000">
            <w:pPr>
              <w:jc w:val="right"/>
            </w:pPr>
            <w:r>
              <w:t>0</w:t>
            </w:r>
          </w:p>
        </w:tc>
        <w:tc>
          <w:tcPr>
            <w:tcW w:w="1985" w:type="dxa"/>
            <w:vAlign w:val="center"/>
          </w:tcPr>
          <w:p w14:paraId="478A5F31" w14:textId="77777777" w:rsidR="005E000F" w:rsidRDefault="00000000">
            <w:pPr>
              <w:jc w:val="right"/>
            </w:pPr>
            <w:r>
              <w:t>0</w:t>
            </w:r>
          </w:p>
        </w:tc>
        <w:tc>
          <w:tcPr>
            <w:tcW w:w="1706" w:type="dxa"/>
            <w:vAlign w:val="center"/>
          </w:tcPr>
          <w:p w14:paraId="2272C041" w14:textId="77777777" w:rsidR="005E000F" w:rsidRDefault="00000000">
            <w:pPr>
              <w:jc w:val="right"/>
            </w:pPr>
            <w:r>
              <w:t>0</w:t>
            </w:r>
          </w:p>
        </w:tc>
      </w:tr>
      <w:tr w:rsidR="005E000F" w14:paraId="1B954DF1" w14:textId="77777777">
        <w:tc>
          <w:tcPr>
            <w:tcW w:w="1811" w:type="dxa"/>
            <w:vAlign w:val="center"/>
          </w:tcPr>
          <w:p w14:paraId="503F92B1"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tc>
          <w:tcPr>
            <w:tcW w:w="1560" w:type="dxa"/>
            <w:vAlign w:val="center"/>
          </w:tcPr>
          <w:p w14:paraId="31EB723C" w14:textId="77777777" w:rsidR="005E000F" w:rsidRDefault="00000000">
            <w:pPr>
              <w:jc w:val="right"/>
            </w:pPr>
            <w:r>
              <w:t>0</w:t>
            </w:r>
          </w:p>
        </w:tc>
        <w:tc>
          <w:tcPr>
            <w:tcW w:w="1985" w:type="dxa"/>
            <w:vAlign w:val="center"/>
          </w:tcPr>
          <w:p w14:paraId="308A2AC9" w14:textId="77777777" w:rsidR="005E000F" w:rsidRDefault="00000000">
            <w:pPr>
              <w:jc w:val="right"/>
            </w:pPr>
            <w:r>
              <w:t>0</w:t>
            </w:r>
          </w:p>
        </w:tc>
        <w:tc>
          <w:tcPr>
            <w:tcW w:w="1985" w:type="dxa"/>
            <w:vAlign w:val="center"/>
          </w:tcPr>
          <w:p w14:paraId="3F982355" w14:textId="77777777" w:rsidR="005E000F" w:rsidRDefault="00000000">
            <w:pPr>
              <w:jc w:val="right"/>
            </w:pPr>
            <w:r>
              <w:t>0</w:t>
            </w:r>
          </w:p>
        </w:tc>
        <w:tc>
          <w:tcPr>
            <w:tcW w:w="1706" w:type="dxa"/>
            <w:vAlign w:val="center"/>
          </w:tcPr>
          <w:p w14:paraId="4A904434" w14:textId="77777777" w:rsidR="005E000F" w:rsidRDefault="00000000">
            <w:pPr>
              <w:jc w:val="right"/>
            </w:pPr>
            <w:r>
              <w:t>0</w:t>
            </w:r>
          </w:p>
        </w:tc>
      </w:tr>
      <w:tr w:rsidR="005E000F" w14:paraId="16FB8C6B" w14:textId="77777777">
        <w:tc>
          <w:tcPr>
            <w:tcW w:w="1811" w:type="dxa"/>
            <w:vAlign w:val="center"/>
          </w:tcPr>
          <w:p w14:paraId="49DBE23A"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tc>
          <w:tcPr>
            <w:tcW w:w="1560" w:type="dxa"/>
            <w:vAlign w:val="center"/>
          </w:tcPr>
          <w:p w14:paraId="1382B672" w14:textId="77777777" w:rsidR="005E000F" w:rsidRDefault="00000000">
            <w:pPr>
              <w:jc w:val="right"/>
            </w:pPr>
            <w:r>
              <w:t>464,885</w:t>
            </w:r>
          </w:p>
        </w:tc>
        <w:tc>
          <w:tcPr>
            <w:tcW w:w="1985" w:type="dxa"/>
            <w:vAlign w:val="center"/>
          </w:tcPr>
          <w:p w14:paraId="189DF20F" w14:textId="77777777" w:rsidR="005E000F" w:rsidRDefault="00000000">
            <w:pPr>
              <w:jc w:val="right"/>
            </w:pPr>
            <w:r>
              <w:t>0</w:t>
            </w:r>
          </w:p>
        </w:tc>
        <w:tc>
          <w:tcPr>
            <w:tcW w:w="1985" w:type="dxa"/>
            <w:vAlign w:val="center"/>
          </w:tcPr>
          <w:p w14:paraId="7E5BD73A" w14:textId="77777777" w:rsidR="005E000F" w:rsidRDefault="00000000">
            <w:pPr>
              <w:jc w:val="right"/>
            </w:pPr>
            <w:r>
              <w:t>0</w:t>
            </w:r>
          </w:p>
        </w:tc>
        <w:tc>
          <w:tcPr>
            <w:tcW w:w="1706" w:type="dxa"/>
            <w:vAlign w:val="center"/>
          </w:tcPr>
          <w:p w14:paraId="245CCB9A" w14:textId="77777777" w:rsidR="005E000F" w:rsidRDefault="00000000">
            <w:pPr>
              <w:jc w:val="right"/>
            </w:pPr>
            <w:r>
              <w:t>464,885</w:t>
            </w:r>
          </w:p>
        </w:tc>
      </w:tr>
      <w:tr w:rsidR="005E000F" w14:paraId="2432F527" w14:textId="77777777">
        <w:tc>
          <w:tcPr>
            <w:tcW w:w="1811" w:type="dxa"/>
            <w:vAlign w:val="center"/>
          </w:tcPr>
          <w:p w14:paraId="4B46A48F" w14:textId="77777777" w:rsidR="005E000F" w:rsidRDefault="00000000">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tc>
        <w:tc>
          <w:tcPr>
            <w:tcW w:w="1560" w:type="dxa"/>
            <w:vAlign w:val="center"/>
          </w:tcPr>
          <w:p w14:paraId="7023EAEC" w14:textId="77777777" w:rsidR="005E000F" w:rsidRDefault="00000000">
            <w:pPr>
              <w:jc w:val="right"/>
            </w:pPr>
            <w:r>
              <w:t>242,169</w:t>
            </w:r>
          </w:p>
        </w:tc>
        <w:tc>
          <w:tcPr>
            <w:tcW w:w="1985" w:type="dxa"/>
            <w:vAlign w:val="center"/>
          </w:tcPr>
          <w:p w14:paraId="2CF84BEF" w14:textId="77777777" w:rsidR="005E000F" w:rsidRDefault="00000000">
            <w:pPr>
              <w:jc w:val="right"/>
            </w:pPr>
            <w:r>
              <w:t>0</w:t>
            </w:r>
          </w:p>
        </w:tc>
        <w:tc>
          <w:tcPr>
            <w:tcW w:w="1985" w:type="dxa"/>
            <w:vAlign w:val="center"/>
          </w:tcPr>
          <w:p w14:paraId="4C85CE64" w14:textId="77777777" w:rsidR="005E000F" w:rsidRDefault="00000000">
            <w:pPr>
              <w:jc w:val="right"/>
            </w:pPr>
            <w:r>
              <w:t>0</w:t>
            </w:r>
          </w:p>
        </w:tc>
        <w:tc>
          <w:tcPr>
            <w:tcW w:w="1706" w:type="dxa"/>
            <w:vAlign w:val="center"/>
          </w:tcPr>
          <w:p w14:paraId="444B9F81" w14:textId="77777777" w:rsidR="005E000F" w:rsidRDefault="00000000">
            <w:pPr>
              <w:jc w:val="right"/>
            </w:pPr>
            <w:r>
              <w:t>242,169</w:t>
            </w:r>
          </w:p>
        </w:tc>
      </w:tr>
      <w:tr w:rsidR="005E000F" w14:paraId="396D69EE" w14:textId="77777777">
        <w:tc>
          <w:tcPr>
            <w:tcW w:w="1811" w:type="dxa"/>
            <w:vAlign w:val="center"/>
          </w:tcPr>
          <w:p w14:paraId="51F3921D"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tc>
          <w:tcPr>
            <w:tcW w:w="1560" w:type="dxa"/>
            <w:vAlign w:val="center"/>
          </w:tcPr>
          <w:p w14:paraId="08393E2D" w14:textId="77777777" w:rsidR="005E000F" w:rsidRDefault="00000000">
            <w:pPr>
              <w:jc w:val="right"/>
            </w:pPr>
            <w:r>
              <w:t>0</w:t>
            </w:r>
          </w:p>
        </w:tc>
        <w:tc>
          <w:tcPr>
            <w:tcW w:w="1985" w:type="dxa"/>
            <w:vAlign w:val="center"/>
          </w:tcPr>
          <w:p w14:paraId="1712FD72" w14:textId="77777777" w:rsidR="005E000F" w:rsidRDefault="00000000">
            <w:pPr>
              <w:jc w:val="right"/>
            </w:pPr>
            <w:r>
              <w:t>0</w:t>
            </w:r>
          </w:p>
        </w:tc>
        <w:tc>
          <w:tcPr>
            <w:tcW w:w="1985" w:type="dxa"/>
            <w:vAlign w:val="center"/>
          </w:tcPr>
          <w:p w14:paraId="4E91C1A0" w14:textId="77777777" w:rsidR="005E000F" w:rsidRDefault="00000000">
            <w:pPr>
              <w:jc w:val="right"/>
            </w:pPr>
            <w:r>
              <w:t>0</w:t>
            </w:r>
          </w:p>
        </w:tc>
        <w:tc>
          <w:tcPr>
            <w:tcW w:w="1706" w:type="dxa"/>
            <w:vAlign w:val="center"/>
          </w:tcPr>
          <w:p w14:paraId="48BDEE57" w14:textId="77777777" w:rsidR="005E000F" w:rsidRDefault="00000000">
            <w:pPr>
              <w:jc w:val="right"/>
            </w:pPr>
            <w:r>
              <w:t>0</w:t>
            </w:r>
          </w:p>
        </w:tc>
      </w:tr>
      <w:tr w:rsidR="005E000F" w14:paraId="363C865C" w14:textId="77777777">
        <w:tc>
          <w:tcPr>
            <w:tcW w:w="1811" w:type="dxa"/>
            <w:vAlign w:val="center"/>
          </w:tcPr>
          <w:p w14:paraId="35859FA3" w14:textId="77777777" w:rsidR="005E000F" w:rsidRDefault="00000000">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tc>
        <w:tc>
          <w:tcPr>
            <w:tcW w:w="1560" w:type="dxa"/>
            <w:vAlign w:val="center"/>
          </w:tcPr>
          <w:p w14:paraId="6249F153" w14:textId="77777777" w:rsidR="005E000F" w:rsidRDefault="00000000">
            <w:pPr>
              <w:jc w:val="right"/>
            </w:pPr>
            <w:r>
              <w:t>34,001</w:t>
            </w:r>
          </w:p>
        </w:tc>
        <w:tc>
          <w:tcPr>
            <w:tcW w:w="1985" w:type="dxa"/>
            <w:vAlign w:val="center"/>
          </w:tcPr>
          <w:p w14:paraId="49BBF76F" w14:textId="77777777" w:rsidR="005E000F" w:rsidRDefault="00000000">
            <w:pPr>
              <w:jc w:val="right"/>
            </w:pPr>
            <w:r>
              <w:t>0</w:t>
            </w:r>
          </w:p>
        </w:tc>
        <w:tc>
          <w:tcPr>
            <w:tcW w:w="1985" w:type="dxa"/>
            <w:vAlign w:val="center"/>
          </w:tcPr>
          <w:p w14:paraId="4B1047F2" w14:textId="77777777" w:rsidR="005E000F" w:rsidRDefault="00000000">
            <w:pPr>
              <w:jc w:val="right"/>
            </w:pPr>
            <w:r>
              <w:t>226,314</w:t>
            </w:r>
          </w:p>
        </w:tc>
        <w:tc>
          <w:tcPr>
            <w:tcW w:w="1706" w:type="dxa"/>
            <w:vAlign w:val="center"/>
          </w:tcPr>
          <w:p w14:paraId="4AA4FAF6" w14:textId="77777777" w:rsidR="005E000F" w:rsidRDefault="00000000">
            <w:pPr>
              <w:jc w:val="right"/>
            </w:pPr>
            <w:r>
              <w:t>260,315</w:t>
            </w:r>
          </w:p>
        </w:tc>
      </w:tr>
      <w:tr w:rsidR="005E000F" w14:paraId="66ABF88D" w14:textId="77777777">
        <w:tc>
          <w:tcPr>
            <w:tcW w:w="1811" w:type="dxa"/>
            <w:vAlign w:val="center"/>
          </w:tcPr>
          <w:p w14:paraId="4AFB4CD7"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tc>
          <w:tcPr>
            <w:tcW w:w="1560" w:type="dxa"/>
            <w:vAlign w:val="center"/>
          </w:tcPr>
          <w:p w14:paraId="25BFB0A5" w14:textId="77777777" w:rsidR="005E000F" w:rsidRDefault="00000000">
            <w:pPr>
              <w:jc w:val="right"/>
            </w:pPr>
            <w:r>
              <w:t>0</w:t>
            </w:r>
          </w:p>
        </w:tc>
        <w:tc>
          <w:tcPr>
            <w:tcW w:w="1985" w:type="dxa"/>
            <w:vAlign w:val="center"/>
          </w:tcPr>
          <w:p w14:paraId="45E869EE" w14:textId="77777777" w:rsidR="005E000F" w:rsidRDefault="00000000">
            <w:pPr>
              <w:jc w:val="right"/>
            </w:pPr>
            <w:r>
              <w:t>0</w:t>
            </w:r>
          </w:p>
        </w:tc>
        <w:tc>
          <w:tcPr>
            <w:tcW w:w="1985" w:type="dxa"/>
            <w:vAlign w:val="center"/>
          </w:tcPr>
          <w:p w14:paraId="0034ADF3" w14:textId="77777777" w:rsidR="005E000F" w:rsidRDefault="00000000">
            <w:pPr>
              <w:jc w:val="right"/>
            </w:pPr>
            <w:r>
              <w:t>0</w:t>
            </w:r>
          </w:p>
        </w:tc>
        <w:tc>
          <w:tcPr>
            <w:tcW w:w="1706" w:type="dxa"/>
            <w:vAlign w:val="center"/>
          </w:tcPr>
          <w:p w14:paraId="0001F8A1" w14:textId="77777777" w:rsidR="005E000F" w:rsidRDefault="00000000">
            <w:pPr>
              <w:jc w:val="right"/>
            </w:pPr>
            <w:r>
              <w:t>0</w:t>
            </w:r>
          </w:p>
        </w:tc>
      </w:tr>
      <w:tr w:rsidR="005E000F" w14:paraId="7EB42884" w14:textId="77777777">
        <w:tc>
          <w:tcPr>
            <w:tcW w:w="1811" w:type="dxa"/>
            <w:vAlign w:val="center"/>
          </w:tcPr>
          <w:p w14:paraId="6E6B2D0C" w14:textId="77777777" w:rsidR="005E000F" w:rsidRDefault="00000000">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2025年12月31日</w:t>
            </w:r>
            <w:r>
              <w:rPr>
                <w:rFonts w:ascii="宋体" w:eastAsia="宋体" w:hAnsi="宋体" w:cs="宋体" w:hint="eastAsia"/>
                <w:sz w:val="21"/>
                <w:szCs w:val="21"/>
                <w:lang w:eastAsia="zh-CN"/>
              </w:rPr>
              <w:t>余额</w:t>
            </w:r>
          </w:p>
        </w:tc>
        <w:tc>
          <w:tcPr>
            <w:tcW w:w="1560" w:type="dxa"/>
            <w:vAlign w:val="center"/>
          </w:tcPr>
          <w:p w14:paraId="20AC1860" w14:textId="77777777" w:rsidR="005E000F" w:rsidRDefault="00000000">
            <w:pPr>
              <w:jc w:val="right"/>
            </w:pPr>
            <w:r>
              <w:t>252,414</w:t>
            </w:r>
          </w:p>
        </w:tc>
        <w:tc>
          <w:tcPr>
            <w:tcW w:w="1985" w:type="dxa"/>
            <w:vAlign w:val="center"/>
          </w:tcPr>
          <w:p w14:paraId="052FEDD3" w14:textId="77777777" w:rsidR="005E000F" w:rsidRDefault="00000000">
            <w:pPr>
              <w:jc w:val="right"/>
            </w:pPr>
            <w:r>
              <w:t>0</w:t>
            </w:r>
          </w:p>
        </w:tc>
        <w:tc>
          <w:tcPr>
            <w:tcW w:w="1985" w:type="dxa"/>
            <w:vAlign w:val="center"/>
          </w:tcPr>
          <w:p w14:paraId="1AC36E0E" w14:textId="77777777" w:rsidR="005E000F" w:rsidRDefault="00000000">
            <w:pPr>
              <w:jc w:val="right"/>
            </w:pPr>
            <w:r>
              <w:t>0</w:t>
            </w:r>
          </w:p>
        </w:tc>
        <w:tc>
          <w:tcPr>
            <w:tcW w:w="1706" w:type="dxa"/>
            <w:vAlign w:val="center"/>
          </w:tcPr>
          <w:p w14:paraId="5661BD9E" w14:textId="77777777" w:rsidR="005E000F" w:rsidRDefault="00000000">
            <w:pPr>
              <w:jc w:val="right"/>
            </w:pPr>
            <w:r>
              <w:t>252,414</w:t>
            </w:r>
          </w:p>
        </w:tc>
      </w:tr>
    </w:tbl>
    <w:p w14:paraId="60835327" w14:textId="77777777" w:rsidR="005E000F" w:rsidRDefault="005E000F"/>
    <w:p w14:paraId="2919DB1B"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其他应收款各阶段划分依据和坏账准备计提比例"/>
        <w:tag w:val="_GBC_d878dae05a464cf69eea4a309bb1cd21"/>
        <w:id w:val="-128015030"/>
        <w:placeholder>
          <w:docPart w:val="GBC22222222222222222222222222222"/>
        </w:placeholder>
      </w:sdtPr>
      <w:sdtContent>
        <w:p w14:paraId="5FF76FC7" w14:textId="77777777" w:rsidR="005E000F" w:rsidRDefault="00000000">
          <w:pPr>
            <w:rPr>
              <w:bCs/>
              <w:szCs w:val="22"/>
            </w:rPr>
          </w:pPr>
          <w:r>
            <w:rPr>
              <w:rFonts w:hint="eastAsia"/>
              <w:bCs/>
              <w:szCs w:val="22"/>
            </w:rPr>
            <w:t>无</w:t>
          </w:r>
        </w:p>
      </w:sdtContent>
    </w:sdt>
    <w:p w14:paraId="3287FE62" w14:textId="77777777" w:rsidR="005E000F" w:rsidRDefault="005E000F"/>
    <w:p w14:paraId="2636CE52" w14:textId="77777777" w:rsidR="005E000F" w:rsidRDefault="00000000">
      <w:pPr>
        <w:pStyle w:val="affb"/>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1607230328"/>
        <w:placeholder>
          <w:docPart w:val="GBC22222222222222222222222222222"/>
        </w:placeholder>
      </w:sdtPr>
      <w:sdtContent>
        <w:p w14:paraId="1F95D5A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232A53C" w14:textId="77777777" w:rsidR="005E000F" w:rsidRDefault="005E000F"/>
    <w:p w14:paraId="7BF9DDC3" w14:textId="77777777" w:rsidR="005E000F" w:rsidRDefault="00000000">
      <w:bookmarkStart w:id="304" w:name="_Hlk534806817"/>
      <w:bookmarkEnd w:id="303"/>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552080119"/>
        <w:placeholder>
          <w:docPart w:val="GBC22222222222222222222222222222"/>
        </w:placeholder>
      </w:sdtPr>
      <w:sdtContent>
        <w:p w14:paraId="3BBD826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0411105" w14:textId="77777777" w:rsidR="005E000F" w:rsidRDefault="005E000F"/>
    <w:p w14:paraId="0B36D7F8" w14:textId="77777777" w:rsidR="005E000F" w:rsidRDefault="00000000">
      <w:pPr>
        <w:pStyle w:val="5"/>
        <w:numPr>
          <w:ilvl w:val="0"/>
          <w:numId w:val="74"/>
        </w:numPr>
        <w:ind w:leftChars="0"/>
      </w:pPr>
      <w:bookmarkStart w:id="305" w:name="_Hlk532831394"/>
      <w:bookmarkEnd w:id="304"/>
      <w:r>
        <w:rPr>
          <w:rFonts w:hint="eastAsia"/>
        </w:rPr>
        <w:t>坏账准备的情况</w:t>
      </w:r>
    </w:p>
    <w:sdt>
      <w:sdtPr>
        <w:alias w:val="是否适用：其他应收款坏账准备[双击切换]"/>
        <w:tag w:val="_GBC_524ff4c8c6e549ef8e2bf00ca72ddbb6"/>
        <w:id w:val="-1399982093"/>
        <w:placeholder>
          <w:docPart w:val="GBC22222222222222222222222222222"/>
        </w:placeholder>
      </w:sdtPr>
      <w:sdtContent>
        <w:p w14:paraId="5207EEF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567DB44" w14:textId="77777777" w:rsidR="005E000F" w:rsidRDefault="005E000F"/>
    <w:p w14:paraId="4C538F80" w14:textId="77777777" w:rsidR="005E000F" w:rsidRDefault="00000000">
      <w:bookmarkStart w:id="306" w:name="_Hlk154157836"/>
      <w:r>
        <w:rPr>
          <w:rFonts w:hint="eastAsia"/>
        </w:rPr>
        <w:t>其中本期坏账准备转回或收回金额重要的：</w:t>
      </w:r>
    </w:p>
    <w:sdt>
      <w:sdtPr>
        <w:alias w:val="是否适用：其中本期其他应收账款坏账准备收回或转回金额重要的[双击切换]"/>
        <w:tag w:val="_GBC_c99a80b9a36440d7b9ed3ce899868361"/>
        <w:id w:val="-28730652"/>
        <w:placeholder>
          <w:docPart w:val="GBC22222222222222222222222222222"/>
        </w:placeholder>
      </w:sdtPr>
      <w:sdtContent>
        <w:p w14:paraId="3CB50C80"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AD4CAA" w14:textId="77777777" w:rsidR="005E000F" w:rsidRDefault="005E000F"/>
    <w:p w14:paraId="7B62D824" w14:textId="77777777" w:rsidR="005E000F" w:rsidRDefault="00000000">
      <w:r>
        <w:rPr>
          <w:rFonts w:hint="eastAsia"/>
        </w:rPr>
        <w:t>其他说明：</w:t>
      </w:r>
    </w:p>
    <w:sdt>
      <w:sdtPr>
        <w:alias w:val="其他应收款坏账准备情况的说明"/>
        <w:tag w:val="_GBC_ea3d549b97f449188fd9e2f767cdcd6c"/>
        <w:id w:val="952443175"/>
        <w:placeholder>
          <w:docPart w:val="GBC22222222222222222222222222222"/>
        </w:placeholder>
      </w:sdtPr>
      <w:sdtContent>
        <w:p w14:paraId="1A0ADABC" w14:textId="77777777" w:rsidR="005E000F" w:rsidRDefault="00000000">
          <w:r>
            <w:rPr>
              <w:rFonts w:hint="eastAsia"/>
            </w:rPr>
            <w:t>无</w:t>
          </w:r>
        </w:p>
      </w:sdtContent>
    </w:sdt>
    <w:bookmarkEnd w:id="305"/>
    <w:bookmarkEnd w:id="306"/>
    <w:p w14:paraId="2D76294D" w14:textId="77777777" w:rsidR="005E000F" w:rsidRDefault="00000000">
      <w:pPr>
        <w:pStyle w:val="5"/>
        <w:numPr>
          <w:ilvl w:val="0"/>
          <w:numId w:val="74"/>
        </w:numPr>
        <w:ind w:leftChars="0"/>
      </w:pPr>
      <w:r>
        <w:rPr>
          <w:rFonts w:hint="eastAsia"/>
        </w:rPr>
        <w:t>本期实际核销的其他应收款情况</w:t>
      </w:r>
    </w:p>
    <w:sdt>
      <w:sdtPr>
        <w:alias w:val="是否适用：本期实际核销的其他应收款情况[双击切换]"/>
        <w:tag w:val="_GBC_2ce86125d6b94b148fa674141e6497b1"/>
        <w:id w:val="901649346"/>
        <w:placeholder>
          <w:docPart w:val="GBC22222222222222222222222222222"/>
        </w:placeholder>
      </w:sdtPr>
      <w:sdtContent>
        <w:p w14:paraId="291B41F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5BF9102" w14:textId="77777777" w:rsidR="005E000F" w:rsidRDefault="00000000">
      <w:pPr>
        <w:jc w:val="right"/>
      </w:pPr>
      <w:r>
        <w:rPr>
          <w:rFonts w:hint="eastAsia"/>
        </w:rPr>
        <w:t>单位：</w:t>
      </w:r>
      <w:sdt>
        <w:sdtPr>
          <w:rPr>
            <w:rFonts w:hint="eastAsia"/>
          </w:rPr>
          <w:alias w:val="单位：财务附注：本报告期实际核销的其他应收款项情况"/>
          <w:tag w:val="_GBC_b44e35ef641b42dbb8431fa4625a2457"/>
          <w:id w:val="13616969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本报告期实际核销的其他应收款项情况"/>
          <w:tag w:val="_GBC_5908d1cb324b4d60915517ea5537d0f4"/>
          <w:id w:val="-110372732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4A0" w:firstRow="1" w:lastRow="0" w:firstColumn="1" w:lastColumn="0" w:noHBand="0" w:noVBand="1"/>
      </w:tblPr>
      <w:tblGrid>
        <w:gridCol w:w="4429"/>
        <w:gridCol w:w="4465"/>
      </w:tblGrid>
      <w:tr w:rsidR="005E000F" w14:paraId="50B9E202" w14:textId="77777777">
        <w:trPr>
          <w:cantSplit/>
        </w:trPr>
        <w:sdt>
          <w:sdtPr>
            <w:tag w:val="_PLD_37dfaf7051a145ae922646054d926a0e"/>
            <w:id w:val="-1676796917"/>
          </w:sdtPr>
          <w:sdtContent>
            <w:tc>
              <w:tcPr>
                <w:tcW w:w="4429" w:type="dxa"/>
                <w:vAlign w:val="center"/>
              </w:tcPr>
              <w:p w14:paraId="712AA422" w14:textId="77777777" w:rsidR="005E000F" w:rsidRDefault="00000000">
                <w:pPr>
                  <w:ind w:right="73"/>
                  <w:jc w:val="center"/>
                </w:pPr>
                <w:r>
                  <w:rPr>
                    <w:rFonts w:hint="eastAsia"/>
                  </w:rPr>
                  <w:t>项目</w:t>
                </w:r>
              </w:p>
            </w:tc>
          </w:sdtContent>
        </w:sdt>
        <w:sdt>
          <w:sdtPr>
            <w:tag w:val="_PLD_57b56183aec749d9a0e8479977704a0b"/>
            <w:id w:val="660210462"/>
          </w:sdtPr>
          <w:sdtContent>
            <w:tc>
              <w:tcPr>
                <w:tcW w:w="4465" w:type="dxa"/>
                <w:vAlign w:val="center"/>
              </w:tcPr>
              <w:p w14:paraId="0BE7A537" w14:textId="77777777" w:rsidR="005E000F" w:rsidRDefault="00000000">
                <w:pPr>
                  <w:ind w:right="73"/>
                  <w:jc w:val="center"/>
                </w:pPr>
                <w:r>
                  <w:rPr>
                    <w:rFonts w:hint="eastAsia"/>
                  </w:rPr>
                  <w:t>核销金额</w:t>
                </w:r>
              </w:p>
            </w:tc>
          </w:sdtContent>
        </w:sdt>
      </w:tr>
      <w:tr w:rsidR="005E000F" w14:paraId="315F2EAB" w14:textId="77777777">
        <w:trPr>
          <w:cantSplit/>
        </w:trPr>
        <w:tc>
          <w:tcPr>
            <w:tcW w:w="4429" w:type="dxa"/>
            <w:vAlign w:val="center"/>
          </w:tcPr>
          <w:p w14:paraId="062034F5" w14:textId="77777777" w:rsidR="005E000F" w:rsidRDefault="00000000">
            <w:pPr>
              <w:ind w:right="73"/>
            </w:pPr>
            <w:r>
              <w:rPr>
                <w:rFonts w:hint="eastAsia"/>
              </w:rPr>
              <w:t>实际核销的其他应收款</w:t>
            </w:r>
          </w:p>
        </w:tc>
        <w:tc>
          <w:tcPr>
            <w:tcW w:w="4465" w:type="dxa"/>
            <w:vAlign w:val="center"/>
          </w:tcPr>
          <w:p w14:paraId="1C9C4065" w14:textId="77777777" w:rsidR="005E000F" w:rsidRDefault="00000000">
            <w:pPr>
              <w:ind w:right="73"/>
              <w:jc w:val="right"/>
            </w:pPr>
            <w:r>
              <w:t>260,31</w:t>
            </w:r>
            <w:r>
              <w:rPr>
                <w:rFonts w:hint="eastAsia"/>
              </w:rPr>
              <w:t>5</w:t>
            </w:r>
          </w:p>
        </w:tc>
      </w:tr>
    </w:tbl>
    <w:p w14:paraId="2B8E3701" w14:textId="77777777" w:rsidR="005E000F" w:rsidRDefault="005E000F"/>
    <w:p w14:paraId="09E0F5E3" w14:textId="77777777" w:rsidR="005E000F" w:rsidRDefault="00000000">
      <w:r>
        <w:rPr>
          <w:rFonts w:hint="eastAsia"/>
        </w:rPr>
        <w:t>其中重要的其他应收款核销情况：</w:t>
      </w:r>
    </w:p>
    <w:sdt>
      <w:sdtPr>
        <w:alias w:val="是否适用：其中重要的其他应收款核销情况[双击切换]"/>
        <w:tag w:val="_GBC_6f3b8f9a05dc4f2082e4ad20a1930006"/>
        <w:id w:val="-481082300"/>
        <w:placeholder>
          <w:docPart w:val="GBC22222222222222222222222222222"/>
        </w:placeholder>
      </w:sdtPr>
      <w:sdtContent>
        <w:p w14:paraId="1645B4B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B33CE78" w14:textId="77777777" w:rsidR="005E000F" w:rsidRDefault="005E000F"/>
    <w:p w14:paraId="5D848538" w14:textId="77777777" w:rsidR="005E000F" w:rsidRDefault="00000000">
      <w:pPr>
        <w:snapToGrid w:val="0"/>
        <w:spacing w:line="240" w:lineRule="atLeast"/>
        <w:rPr>
          <w:b/>
          <w:bCs/>
        </w:rPr>
      </w:pPr>
      <w:r>
        <w:rPr>
          <w:rFonts w:hint="eastAsia"/>
        </w:rPr>
        <w:t>其他应收款核销说明：</w:t>
      </w:r>
    </w:p>
    <w:sdt>
      <w:sdtPr>
        <w:alias w:val="是否适用：其他应收款冲销坏帐明细的说明[双击切换]"/>
        <w:tag w:val="_GBC_c894606830c4440ba090ef98078b372b"/>
        <w:id w:val="-773790187"/>
        <w:placeholder>
          <w:docPart w:val="GBC22222222222222222222222222222"/>
        </w:placeholder>
      </w:sdtPr>
      <w:sdtContent>
        <w:p w14:paraId="3FF794F4"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81A25CA" w14:textId="77777777" w:rsidR="005E000F" w:rsidRDefault="005E000F">
      <w:pPr>
        <w:snapToGrid w:val="0"/>
        <w:spacing w:line="240" w:lineRule="atLeast"/>
      </w:pPr>
    </w:p>
    <w:p w14:paraId="3E28855C" w14:textId="77777777" w:rsidR="005E000F" w:rsidRDefault="00000000">
      <w:pPr>
        <w:pStyle w:val="5"/>
        <w:numPr>
          <w:ilvl w:val="0"/>
          <w:numId w:val="74"/>
        </w:numPr>
        <w:ind w:leftChars="0"/>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477179385"/>
        <w:placeholder>
          <w:docPart w:val="GBC22222222222222222222222222222"/>
        </w:placeholder>
      </w:sdtPr>
      <w:sdtContent>
        <w:p w14:paraId="3390DF2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7CCE47B" w14:textId="77777777" w:rsidR="005E000F" w:rsidRDefault="00000000">
      <w:pPr>
        <w:jc w:val="right"/>
      </w:pPr>
      <w:r>
        <w:rPr>
          <w:rFonts w:hint="eastAsia"/>
        </w:rPr>
        <w:t>单位：</w:t>
      </w:r>
      <w:sdt>
        <w:sdtPr>
          <w:rPr>
            <w:rFonts w:hint="eastAsia"/>
          </w:rPr>
          <w:alias w:val="单位财务附注：其他应收账款前五名欠款情况"/>
          <w:tag w:val="_GBC_06f7a71e039445228d80a5741df4c4f7"/>
          <w:id w:val="-20603835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其他应收账款前五名欠款情况"/>
          <w:tag w:val="_GBC_54cf5f95e62e4f5f8ccb31731efadf32"/>
          <w:id w:val="-7016342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1643"/>
        <w:gridCol w:w="1400"/>
        <w:gridCol w:w="1545"/>
        <w:gridCol w:w="1187"/>
        <w:gridCol w:w="1706"/>
      </w:tblGrid>
      <w:tr w:rsidR="005E000F" w14:paraId="0F8FFAD9" w14:textId="77777777">
        <w:trPr>
          <w:cantSplit/>
        </w:trPr>
        <w:sdt>
          <w:sdtPr>
            <w:tag w:val="_PLD_f30fc2dc8886472699c892f0395ab05e"/>
            <w:id w:val="-1174645527"/>
          </w:sdtPr>
          <w:sdtContent>
            <w:tc>
              <w:tcPr>
                <w:tcW w:w="1565" w:type="dxa"/>
                <w:vAlign w:val="center"/>
              </w:tcPr>
              <w:p w14:paraId="6A66274F" w14:textId="77777777" w:rsidR="005E000F" w:rsidRDefault="00000000">
                <w:pPr>
                  <w:ind w:right="105"/>
                  <w:jc w:val="center"/>
                </w:pPr>
                <w:r>
                  <w:rPr>
                    <w:rFonts w:hint="eastAsia"/>
                  </w:rPr>
                  <w:t>单位名称</w:t>
                </w:r>
              </w:p>
            </w:tc>
          </w:sdtContent>
        </w:sdt>
        <w:sdt>
          <w:sdtPr>
            <w:tag w:val="_PLD_1bc905abb4bf4c679b9fbe0a7587d651"/>
            <w:id w:val="-968740343"/>
          </w:sdtPr>
          <w:sdtContent>
            <w:tc>
              <w:tcPr>
                <w:tcW w:w="1643" w:type="dxa"/>
                <w:vAlign w:val="center"/>
              </w:tcPr>
              <w:p w14:paraId="6BFEFFBA" w14:textId="77777777" w:rsidR="005E000F" w:rsidRDefault="00000000">
                <w:pPr>
                  <w:ind w:right="73"/>
                  <w:jc w:val="center"/>
                </w:pPr>
                <w:r>
                  <w:rPr>
                    <w:rFonts w:hint="eastAsia"/>
                  </w:rPr>
                  <w:t>期末余额</w:t>
                </w:r>
              </w:p>
            </w:tc>
          </w:sdtContent>
        </w:sdt>
        <w:sdt>
          <w:sdtPr>
            <w:tag w:val="_PLD_055b75c0a3cf450e995ac7e13fdc0c08"/>
            <w:id w:val="-686751069"/>
          </w:sdtPr>
          <w:sdtContent>
            <w:tc>
              <w:tcPr>
                <w:tcW w:w="1400" w:type="dxa"/>
                <w:vAlign w:val="center"/>
              </w:tcPr>
              <w:p w14:paraId="30A57057" w14:textId="77777777" w:rsidR="005E000F" w:rsidRDefault="00000000">
                <w:pPr>
                  <w:jc w:val="center"/>
                </w:pPr>
                <w:r>
                  <w:rPr>
                    <w:rFonts w:hint="eastAsia"/>
                  </w:rPr>
                  <w:t>占其他应收款期末余额合计数的比例（</w:t>
                </w:r>
                <w:r>
                  <w:t>%</w:t>
                </w:r>
                <w:r>
                  <w:rPr>
                    <w:rFonts w:hint="eastAsia"/>
                  </w:rPr>
                  <w:t>）</w:t>
                </w:r>
              </w:p>
            </w:tc>
          </w:sdtContent>
        </w:sdt>
        <w:sdt>
          <w:sdtPr>
            <w:tag w:val="_PLD_44129b8132114de2a4d33c4acb8af98f"/>
            <w:id w:val="2066597993"/>
          </w:sdtPr>
          <w:sdtContent>
            <w:tc>
              <w:tcPr>
                <w:tcW w:w="1545" w:type="dxa"/>
                <w:vAlign w:val="center"/>
              </w:tcPr>
              <w:p w14:paraId="55D3977D" w14:textId="77777777" w:rsidR="005E000F" w:rsidRDefault="00000000">
                <w:pPr>
                  <w:ind w:right="73"/>
                  <w:jc w:val="center"/>
                </w:pPr>
                <w:r>
                  <w:rPr>
                    <w:rFonts w:hint="eastAsia"/>
                  </w:rPr>
                  <w:t>款项的性质</w:t>
                </w:r>
              </w:p>
            </w:tc>
          </w:sdtContent>
        </w:sdt>
        <w:sdt>
          <w:sdtPr>
            <w:tag w:val="_PLD_d9231de346f74815b1bc7c82527b1ef5"/>
            <w:id w:val="-706719897"/>
          </w:sdtPr>
          <w:sdtContent>
            <w:tc>
              <w:tcPr>
                <w:tcW w:w="1187" w:type="dxa"/>
                <w:vAlign w:val="center"/>
              </w:tcPr>
              <w:p w14:paraId="3167871B" w14:textId="77777777" w:rsidR="005E000F" w:rsidRDefault="00000000">
                <w:pPr>
                  <w:ind w:right="73"/>
                  <w:jc w:val="center"/>
                </w:pPr>
                <w:r>
                  <w:rPr>
                    <w:rFonts w:hint="eastAsia"/>
                  </w:rPr>
                  <w:t>账龄</w:t>
                </w:r>
              </w:p>
            </w:tc>
          </w:sdtContent>
        </w:sdt>
        <w:sdt>
          <w:sdtPr>
            <w:tag w:val="_PLD_a7951a260c094fc8b8b64f2d1e6a933e"/>
            <w:id w:val="2068070593"/>
          </w:sdtPr>
          <w:sdtContent>
            <w:tc>
              <w:tcPr>
                <w:tcW w:w="1706" w:type="dxa"/>
                <w:vAlign w:val="center"/>
              </w:tcPr>
              <w:p w14:paraId="6BB6D17A" w14:textId="77777777" w:rsidR="005E000F" w:rsidRDefault="00000000">
                <w:pPr>
                  <w:jc w:val="center"/>
                </w:pPr>
                <w:r>
                  <w:rPr>
                    <w:rFonts w:hint="eastAsia"/>
                  </w:rPr>
                  <w:t>坏账准备</w:t>
                </w:r>
              </w:p>
              <w:p w14:paraId="5F8F17C6" w14:textId="77777777" w:rsidR="005E000F" w:rsidRDefault="00000000">
                <w:pPr>
                  <w:jc w:val="center"/>
                </w:pPr>
                <w:r>
                  <w:rPr>
                    <w:rFonts w:hint="eastAsia"/>
                  </w:rPr>
                  <w:t>期末余额</w:t>
                </w:r>
              </w:p>
            </w:tc>
          </w:sdtContent>
        </w:sdt>
      </w:tr>
      <w:tr w:rsidR="005E000F" w14:paraId="7FE979CD" w14:textId="77777777">
        <w:trPr>
          <w:cantSplit/>
        </w:trPr>
        <w:tc>
          <w:tcPr>
            <w:tcW w:w="1565" w:type="dxa"/>
            <w:vAlign w:val="center"/>
          </w:tcPr>
          <w:p w14:paraId="21970A3C" w14:textId="77777777" w:rsidR="005E000F" w:rsidRDefault="00000000">
            <w:pPr>
              <w:ind w:right="73"/>
            </w:pPr>
            <w:r>
              <w:t>中国铁路太原</w:t>
            </w:r>
            <w:proofErr w:type="gramStart"/>
            <w:r>
              <w:t>局集团</w:t>
            </w:r>
            <w:proofErr w:type="gramEnd"/>
            <w:r>
              <w:t>有限公司</w:t>
            </w:r>
          </w:p>
        </w:tc>
        <w:tc>
          <w:tcPr>
            <w:tcW w:w="1643" w:type="dxa"/>
            <w:vAlign w:val="center"/>
          </w:tcPr>
          <w:p w14:paraId="3A706A80" w14:textId="77777777" w:rsidR="005E000F" w:rsidRDefault="00000000">
            <w:pPr>
              <w:ind w:right="73"/>
              <w:jc w:val="right"/>
            </w:pPr>
            <w:r>
              <w:t>3,691,866,604</w:t>
            </w:r>
          </w:p>
        </w:tc>
        <w:tc>
          <w:tcPr>
            <w:tcW w:w="1400" w:type="dxa"/>
            <w:vAlign w:val="center"/>
          </w:tcPr>
          <w:p w14:paraId="05B28E04" w14:textId="77777777" w:rsidR="005E000F" w:rsidRDefault="00000000">
            <w:pPr>
              <w:ind w:right="73"/>
              <w:jc w:val="right"/>
            </w:pPr>
            <w:r>
              <w:rPr>
                <w:rFonts w:hint="eastAsia"/>
              </w:rPr>
              <w:t>99.37</w:t>
            </w:r>
          </w:p>
        </w:tc>
        <w:tc>
          <w:tcPr>
            <w:tcW w:w="1545" w:type="dxa"/>
            <w:vAlign w:val="center"/>
          </w:tcPr>
          <w:p w14:paraId="2DFED6F1" w14:textId="77777777" w:rsidR="005E000F" w:rsidRDefault="00000000">
            <w:pPr>
              <w:ind w:right="73"/>
            </w:pPr>
            <w:r>
              <w:t>增值税流转、</w:t>
            </w:r>
            <w:r>
              <w:t>“</w:t>
            </w:r>
            <w:r>
              <w:t>三供</w:t>
            </w:r>
            <w:proofErr w:type="gramStart"/>
            <w:r>
              <w:t>一</w:t>
            </w:r>
            <w:proofErr w:type="gramEnd"/>
            <w:r>
              <w:t>业</w:t>
            </w:r>
            <w:r>
              <w:t>”</w:t>
            </w:r>
            <w:r>
              <w:t>中央财政补助资金等</w:t>
            </w:r>
            <w:r>
              <w:t xml:space="preserve"> </w:t>
            </w:r>
          </w:p>
        </w:tc>
        <w:tc>
          <w:tcPr>
            <w:tcW w:w="1187" w:type="dxa"/>
            <w:vAlign w:val="center"/>
          </w:tcPr>
          <w:p w14:paraId="2488AAD4" w14:textId="77777777" w:rsidR="005E000F" w:rsidRDefault="00000000">
            <w:pPr>
              <w:ind w:right="73"/>
            </w:pPr>
            <w:r>
              <w:t>6</w:t>
            </w:r>
            <w:r>
              <w:t>年以内</w:t>
            </w:r>
            <w:r>
              <w:t xml:space="preserve"> </w:t>
            </w:r>
          </w:p>
        </w:tc>
        <w:tc>
          <w:tcPr>
            <w:tcW w:w="1706" w:type="dxa"/>
            <w:vAlign w:val="center"/>
          </w:tcPr>
          <w:p w14:paraId="2A0E413D" w14:textId="77777777" w:rsidR="005E000F" w:rsidRDefault="00000000">
            <w:pPr>
              <w:ind w:right="73"/>
              <w:jc w:val="right"/>
            </w:pPr>
            <w:r>
              <w:rPr>
                <w:rFonts w:hint="eastAsia"/>
              </w:rPr>
              <w:t>0</w:t>
            </w:r>
          </w:p>
        </w:tc>
      </w:tr>
      <w:tr w:rsidR="005E000F" w14:paraId="5334EA74" w14:textId="77777777">
        <w:trPr>
          <w:cantSplit/>
        </w:trPr>
        <w:tc>
          <w:tcPr>
            <w:tcW w:w="1565" w:type="dxa"/>
            <w:vAlign w:val="center"/>
          </w:tcPr>
          <w:p w14:paraId="3AF2B9F7" w14:textId="77777777" w:rsidR="005E000F" w:rsidRDefault="00000000">
            <w:pPr>
              <w:ind w:right="73"/>
            </w:pPr>
            <w:r>
              <w:t>中铁物轨道科技服务集团有限公司</w:t>
            </w:r>
          </w:p>
        </w:tc>
        <w:tc>
          <w:tcPr>
            <w:tcW w:w="1643" w:type="dxa"/>
            <w:vAlign w:val="center"/>
          </w:tcPr>
          <w:p w14:paraId="0CD50263" w14:textId="77777777" w:rsidR="005E000F" w:rsidRDefault="00000000">
            <w:pPr>
              <w:ind w:right="73"/>
              <w:jc w:val="right"/>
            </w:pPr>
            <w:r>
              <w:t>17,014,261</w:t>
            </w:r>
          </w:p>
        </w:tc>
        <w:tc>
          <w:tcPr>
            <w:tcW w:w="1400" w:type="dxa"/>
            <w:vAlign w:val="center"/>
          </w:tcPr>
          <w:p w14:paraId="62C958A5" w14:textId="77777777" w:rsidR="005E000F" w:rsidRDefault="00000000">
            <w:pPr>
              <w:ind w:right="73"/>
              <w:jc w:val="right"/>
            </w:pPr>
            <w:r>
              <w:rPr>
                <w:rFonts w:hint="eastAsia"/>
              </w:rPr>
              <w:t>0.46</w:t>
            </w:r>
          </w:p>
        </w:tc>
        <w:tc>
          <w:tcPr>
            <w:tcW w:w="1545" w:type="dxa"/>
            <w:vAlign w:val="center"/>
          </w:tcPr>
          <w:p w14:paraId="615A931F" w14:textId="77777777" w:rsidR="005E000F" w:rsidRDefault="00000000">
            <w:pPr>
              <w:ind w:right="73"/>
            </w:pPr>
            <w:r>
              <w:t>应收赔偿款</w:t>
            </w:r>
            <w:r>
              <w:t xml:space="preserve"> </w:t>
            </w:r>
          </w:p>
        </w:tc>
        <w:tc>
          <w:tcPr>
            <w:tcW w:w="1187" w:type="dxa"/>
            <w:vAlign w:val="center"/>
          </w:tcPr>
          <w:p w14:paraId="6ACAFCA7" w14:textId="77777777" w:rsidR="005E000F" w:rsidRDefault="00000000">
            <w:pPr>
              <w:ind w:right="73"/>
            </w:pPr>
            <w:r>
              <w:t>1</w:t>
            </w:r>
            <w:r>
              <w:t>年以内</w:t>
            </w:r>
            <w:r>
              <w:t xml:space="preserve"> </w:t>
            </w:r>
          </w:p>
        </w:tc>
        <w:tc>
          <w:tcPr>
            <w:tcW w:w="1706" w:type="dxa"/>
            <w:vAlign w:val="center"/>
          </w:tcPr>
          <w:p w14:paraId="084B7E32" w14:textId="77777777" w:rsidR="005E000F" w:rsidRDefault="00000000">
            <w:pPr>
              <w:ind w:right="73"/>
              <w:jc w:val="right"/>
            </w:pPr>
            <w:r>
              <w:t xml:space="preserve"> 79,44</w:t>
            </w:r>
            <w:r>
              <w:rPr>
                <w:rFonts w:hint="eastAsia"/>
              </w:rPr>
              <w:t>8</w:t>
            </w:r>
          </w:p>
        </w:tc>
      </w:tr>
      <w:tr w:rsidR="005E000F" w14:paraId="00F2F737" w14:textId="77777777">
        <w:trPr>
          <w:cantSplit/>
        </w:trPr>
        <w:tc>
          <w:tcPr>
            <w:tcW w:w="1565" w:type="dxa"/>
            <w:vAlign w:val="center"/>
          </w:tcPr>
          <w:p w14:paraId="30133703" w14:textId="77777777" w:rsidR="005E000F" w:rsidRDefault="00000000">
            <w:pPr>
              <w:ind w:right="73"/>
            </w:pPr>
            <w:r>
              <w:rPr>
                <w:rFonts w:hint="eastAsia"/>
              </w:rPr>
              <w:t>代扣代缴款</w:t>
            </w:r>
          </w:p>
        </w:tc>
        <w:tc>
          <w:tcPr>
            <w:tcW w:w="1643" w:type="dxa"/>
            <w:vAlign w:val="center"/>
          </w:tcPr>
          <w:p w14:paraId="6C3243E1" w14:textId="77777777" w:rsidR="005E000F" w:rsidRDefault="00000000">
            <w:pPr>
              <w:ind w:right="73"/>
              <w:jc w:val="right"/>
            </w:pPr>
            <w:r>
              <w:rPr>
                <w:rFonts w:hint="eastAsia"/>
              </w:rPr>
              <w:t>1,881,111</w:t>
            </w:r>
          </w:p>
        </w:tc>
        <w:tc>
          <w:tcPr>
            <w:tcW w:w="1400" w:type="dxa"/>
            <w:vAlign w:val="center"/>
          </w:tcPr>
          <w:p w14:paraId="5F630E1D" w14:textId="77777777" w:rsidR="005E000F" w:rsidRDefault="00000000">
            <w:pPr>
              <w:ind w:right="73"/>
              <w:jc w:val="right"/>
            </w:pPr>
            <w:r>
              <w:rPr>
                <w:rFonts w:hint="eastAsia"/>
              </w:rPr>
              <w:t>0.05</w:t>
            </w:r>
          </w:p>
        </w:tc>
        <w:tc>
          <w:tcPr>
            <w:tcW w:w="1545" w:type="dxa"/>
            <w:vAlign w:val="center"/>
          </w:tcPr>
          <w:p w14:paraId="762166A4" w14:textId="77777777" w:rsidR="005E000F" w:rsidRDefault="00000000">
            <w:pPr>
              <w:ind w:right="73"/>
            </w:pPr>
            <w:r>
              <w:rPr>
                <w:rFonts w:hint="eastAsia"/>
              </w:rPr>
              <w:t>代垫款</w:t>
            </w:r>
            <w:r>
              <w:t xml:space="preserve"> </w:t>
            </w:r>
          </w:p>
        </w:tc>
        <w:tc>
          <w:tcPr>
            <w:tcW w:w="1187" w:type="dxa"/>
            <w:vAlign w:val="center"/>
          </w:tcPr>
          <w:p w14:paraId="7A6BA84C" w14:textId="77777777" w:rsidR="005E000F" w:rsidRDefault="00000000">
            <w:pPr>
              <w:ind w:right="73"/>
            </w:pPr>
            <w:r>
              <w:rPr>
                <w:rFonts w:hint="eastAsia"/>
              </w:rPr>
              <w:t>1</w:t>
            </w:r>
            <w:r>
              <w:t>年以内</w:t>
            </w:r>
            <w:r>
              <w:t xml:space="preserve"> </w:t>
            </w:r>
          </w:p>
        </w:tc>
        <w:tc>
          <w:tcPr>
            <w:tcW w:w="1706" w:type="dxa"/>
            <w:vAlign w:val="center"/>
          </w:tcPr>
          <w:p w14:paraId="0F245C3B" w14:textId="77777777" w:rsidR="005E000F" w:rsidRDefault="00000000">
            <w:pPr>
              <w:ind w:right="73"/>
              <w:jc w:val="right"/>
            </w:pPr>
            <w:r>
              <w:rPr>
                <w:rFonts w:hint="eastAsia"/>
              </w:rPr>
              <w:t>0</w:t>
            </w:r>
          </w:p>
        </w:tc>
      </w:tr>
      <w:tr w:rsidR="005E000F" w14:paraId="2BDDF7F5" w14:textId="77777777">
        <w:trPr>
          <w:cantSplit/>
        </w:trPr>
        <w:tc>
          <w:tcPr>
            <w:tcW w:w="1565" w:type="dxa"/>
            <w:vAlign w:val="center"/>
          </w:tcPr>
          <w:p w14:paraId="040299CE" w14:textId="77777777" w:rsidR="005E000F" w:rsidRDefault="00000000">
            <w:pPr>
              <w:ind w:right="73"/>
            </w:pPr>
            <w:r>
              <w:t>太原国铁京丰装备技术股份有限公司</w:t>
            </w:r>
          </w:p>
        </w:tc>
        <w:tc>
          <w:tcPr>
            <w:tcW w:w="1643" w:type="dxa"/>
            <w:vAlign w:val="center"/>
          </w:tcPr>
          <w:p w14:paraId="72D31660" w14:textId="77777777" w:rsidR="005E000F" w:rsidRDefault="00000000">
            <w:pPr>
              <w:ind w:right="73"/>
              <w:jc w:val="right"/>
            </w:pPr>
            <w:r>
              <w:t>305,065</w:t>
            </w:r>
          </w:p>
        </w:tc>
        <w:tc>
          <w:tcPr>
            <w:tcW w:w="1400" w:type="dxa"/>
            <w:vAlign w:val="center"/>
          </w:tcPr>
          <w:p w14:paraId="270E6276" w14:textId="77777777" w:rsidR="005E000F" w:rsidRDefault="00000000">
            <w:pPr>
              <w:ind w:right="73"/>
              <w:jc w:val="right"/>
            </w:pPr>
            <w:r>
              <w:rPr>
                <w:rFonts w:hint="eastAsia"/>
              </w:rPr>
              <w:t>0.01</w:t>
            </w:r>
          </w:p>
        </w:tc>
        <w:tc>
          <w:tcPr>
            <w:tcW w:w="1545" w:type="dxa"/>
            <w:vAlign w:val="center"/>
          </w:tcPr>
          <w:p w14:paraId="6DE40D93" w14:textId="77777777" w:rsidR="005E000F" w:rsidRDefault="00000000">
            <w:pPr>
              <w:ind w:right="73"/>
            </w:pPr>
            <w:r>
              <w:t>保证金</w:t>
            </w:r>
            <w:r>
              <w:t xml:space="preserve"> </w:t>
            </w:r>
          </w:p>
        </w:tc>
        <w:tc>
          <w:tcPr>
            <w:tcW w:w="1187" w:type="dxa"/>
            <w:vAlign w:val="center"/>
          </w:tcPr>
          <w:p w14:paraId="60E9AFE5" w14:textId="77777777" w:rsidR="005E000F" w:rsidRDefault="00000000">
            <w:pPr>
              <w:ind w:right="73"/>
            </w:pPr>
            <w:r>
              <w:t>1</w:t>
            </w:r>
            <w:r>
              <w:t>年以内</w:t>
            </w:r>
            <w:r>
              <w:t xml:space="preserve"> </w:t>
            </w:r>
          </w:p>
        </w:tc>
        <w:tc>
          <w:tcPr>
            <w:tcW w:w="1706" w:type="dxa"/>
            <w:vAlign w:val="center"/>
          </w:tcPr>
          <w:p w14:paraId="000DC8D3" w14:textId="77777777" w:rsidR="005E000F" w:rsidRDefault="00000000">
            <w:pPr>
              <w:ind w:right="73"/>
              <w:jc w:val="right"/>
            </w:pPr>
            <w:r>
              <w:rPr>
                <w:rFonts w:hint="eastAsia"/>
              </w:rPr>
              <w:t>0</w:t>
            </w:r>
          </w:p>
        </w:tc>
      </w:tr>
      <w:tr w:rsidR="005E000F" w14:paraId="43974426" w14:textId="77777777">
        <w:trPr>
          <w:cantSplit/>
        </w:trPr>
        <w:tc>
          <w:tcPr>
            <w:tcW w:w="1565" w:type="dxa"/>
            <w:shd w:val="clear" w:color="auto" w:fill="auto"/>
            <w:vAlign w:val="center"/>
          </w:tcPr>
          <w:p w14:paraId="7D7E3969" w14:textId="77777777" w:rsidR="005E000F" w:rsidRDefault="00000000">
            <w:pPr>
              <w:textAlignment w:val="center"/>
              <w:rPr>
                <w:rFonts w:ascii="Arial Narrow" w:eastAsia="Arial Narrow" w:hAnsi="Arial Narrow" w:cs="Arial Narrow"/>
                <w:color w:val="000000"/>
                <w:sz w:val="22"/>
                <w:szCs w:val="22"/>
              </w:rPr>
            </w:pPr>
            <w:r>
              <w:t>太原市社会保险管理服务中心</w:t>
            </w:r>
          </w:p>
        </w:tc>
        <w:tc>
          <w:tcPr>
            <w:tcW w:w="1643" w:type="dxa"/>
            <w:vAlign w:val="center"/>
          </w:tcPr>
          <w:p w14:paraId="6E6D5C97" w14:textId="77777777" w:rsidR="005E000F" w:rsidRDefault="00000000">
            <w:pPr>
              <w:ind w:right="73"/>
              <w:jc w:val="right"/>
            </w:pPr>
            <w:r>
              <w:t>136,073</w:t>
            </w:r>
          </w:p>
        </w:tc>
        <w:tc>
          <w:tcPr>
            <w:tcW w:w="1400" w:type="dxa"/>
            <w:vAlign w:val="center"/>
          </w:tcPr>
          <w:p w14:paraId="7485F8F9" w14:textId="77777777" w:rsidR="005E000F" w:rsidRDefault="00000000">
            <w:pPr>
              <w:ind w:right="73"/>
              <w:jc w:val="right"/>
            </w:pPr>
            <w:r>
              <w:rPr>
                <w:rFonts w:hint="eastAsia"/>
              </w:rPr>
              <w:t>0</w:t>
            </w:r>
          </w:p>
        </w:tc>
        <w:tc>
          <w:tcPr>
            <w:tcW w:w="1545" w:type="dxa"/>
            <w:vAlign w:val="center"/>
          </w:tcPr>
          <w:p w14:paraId="52AD6CDB" w14:textId="77777777" w:rsidR="005E000F" w:rsidRDefault="00000000">
            <w:pPr>
              <w:ind w:right="73"/>
            </w:pPr>
            <w:r>
              <w:rPr>
                <w:rFonts w:hint="eastAsia"/>
              </w:rPr>
              <w:t>代垫款</w:t>
            </w:r>
            <w:r>
              <w:t xml:space="preserve"> </w:t>
            </w:r>
          </w:p>
        </w:tc>
        <w:tc>
          <w:tcPr>
            <w:tcW w:w="1187" w:type="dxa"/>
            <w:vAlign w:val="center"/>
          </w:tcPr>
          <w:p w14:paraId="6235E5E6" w14:textId="77777777" w:rsidR="005E000F" w:rsidRDefault="00000000">
            <w:pPr>
              <w:ind w:right="73"/>
            </w:pPr>
            <w:r>
              <w:t>1</w:t>
            </w:r>
            <w:r>
              <w:t>年以内</w:t>
            </w:r>
            <w:r>
              <w:t xml:space="preserve"> </w:t>
            </w:r>
          </w:p>
        </w:tc>
        <w:tc>
          <w:tcPr>
            <w:tcW w:w="1706" w:type="dxa"/>
            <w:vAlign w:val="center"/>
          </w:tcPr>
          <w:p w14:paraId="48C18850" w14:textId="77777777" w:rsidR="005E000F" w:rsidRDefault="00000000">
            <w:pPr>
              <w:ind w:right="73"/>
              <w:jc w:val="right"/>
            </w:pPr>
            <w:r>
              <w:rPr>
                <w:rFonts w:hint="eastAsia"/>
              </w:rPr>
              <w:t>0</w:t>
            </w:r>
          </w:p>
        </w:tc>
      </w:tr>
      <w:tr w:rsidR="005E000F" w14:paraId="0A8AE7FA" w14:textId="77777777">
        <w:trPr>
          <w:cantSplit/>
        </w:trPr>
        <w:tc>
          <w:tcPr>
            <w:tcW w:w="1565" w:type="dxa"/>
            <w:vAlign w:val="center"/>
          </w:tcPr>
          <w:p w14:paraId="1D1E2C8A" w14:textId="77777777" w:rsidR="005E000F" w:rsidRDefault="00000000">
            <w:pPr>
              <w:ind w:right="105"/>
              <w:jc w:val="center"/>
            </w:pPr>
            <w:r>
              <w:rPr>
                <w:rFonts w:hint="eastAsia"/>
              </w:rPr>
              <w:t>合计</w:t>
            </w:r>
          </w:p>
        </w:tc>
        <w:tc>
          <w:tcPr>
            <w:tcW w:w="1643" w:type="dxa"/>
            <w:vAlign w:val="center"/>
          </w:tcPr>
          <w:p w14:paraId="299F6F98" w14:textId="77777777" w:rsidR="005E000F" w:rsidRDefault="00000000">
            <w:pPr>
              <w:ind w:right="73"/>
              <w:jc w:val="right"/>
            </w:pPr>
            <w:r>
              <w:rPr>
                <w:rFonts w:hint="eastAsia"/>
              </w:rPr>
              <w:t>3,711,203,114</w:t>
            </w:r>
          </w:p>
        </w:tc>
        <w:tc>
          <w:tcPr>
            <w:tcW w:w="1400" w:type="dxa"/>
            <w:vAlign w:val="center"/>
          </w:tcPr>
          <w:p w14:paraId="6488DC4E" w14:textId="77777777" w:rsidR="005E000F" w:rsidRDefault="00000000">
            <w:pPr>
              <w:ind w:right="73"/>
              <w:jc w:val="right"/>
            </w:pPr>
            <w:r>
              <w:rPr>
                <w:rFonts w:hint="eastAsia"/>
              </w:rPr>
              <w:t>99.89</w:t>
            </w:r>
          </w:p>
        </w:tc>
        <w:tc>
          <w:tcPr>
            <w:tcW w:w="1545" w:type="dxa"/>
            <w:vAlign w:val="center"/>
          </w:tcPr>
          <w:p w14:paraId="71787E1D" w14:textId="77777777" w:rsidR="005E000F" w:rsidRDefault="00000000">
            <w:pPr>
              <w:ind w:right="73"/>
              <w:jc w:val="right"/>
            </w:pPr>
            <w:r>
              <w:rPr>
                <w:rFonts w:hint="eastAsia"/>
              </w:rPr>
              <w:t>/</w:t>
            </w:r>
          </w:p>
        </w:tc>
        <w:tc>
          <w:tcPr>
            <w:tcW w:w="1187" w:type="dxa"/>
            <w:vAlign w:val="center"/>
          </w:tcPr>
          <w:p w14:paraId="368B2050" w14:textId="77777777" w:rsidR="005E000F" w:rsidRDefault="00000000">
            <w:pPr>
              <w:ind w:right="73"/>
              <w:jc w:val="right"/>
            </w:pPr>
            <w:r>
              <w:rPr>
                <w:rFonts w:hint="eastAsia"/>
              </w:rPr>
              <w:t>/</w:t>
            </w:r>
          </w:p>
        </w:tc>
        <w:tc>
          <w:tcPr>
            <w:tcW w:w="1706" w:type="dxa"/>
            <w:vAlign w:val="center"/>
          </w:tcPr>
          <w:p w14:paraId="1263679F" w14:textId="77777777" w:rsidR="005E000F" w:rsidRDefault="00000000">
            <w:pPr>
              <w:ind w:right="73"/>
              <w:jc w:val="right"/>
              <w:rPr>
                <w:lang w:val="en-GB"/>
              </w:rPr>
            </w:pPr>
            <w:r>
              <w:t>79,448</w:t>
            </w:r>
          </w:p>
        </w:tc>
      </w:tr>
    </w:tbl>
    <w:p w14:paraId="0DF2118E" w14:textId="77777777" w:rsidR="005E000F" w:rsidRDefault="005E000F">
      <w:pPr>
        <w:snapToGrid w:val="0"/>
        <w:spacing w:line="240" w:lineRule="atLeast"/>
      </w:pPr>
    </w:p>
    <w:p w14:paraId="1A981CC0" w14:textId="77777777" w:rsidR="005E000F" w:rsidRDefault="00000000">
      <w:pPr>
        <w:pStyle w:val="5"/>
        <w:numPr>
          <w:ilvl w:val="0"/>
          <w:numId w:val="74"/>
        </w:numPr>
        <w:ind w:leftChars="0"/>
        <w:rPr>
          <w:rFonts w:ascii="宋体" w:hAnsi="宋体" w:cs="宋体"/>
          <w:kern w:val="0"/>
          <w:szCs w:val="24"/>
        </w:rPr>
      </w:pPr>
      <w:r>
        <w:rPr>
          <w:rFonts w:ascii="宋体" w:hAnsi="宋体" w:cs="宋体"/>
          <w:kern w:val="0"/>
          <w:szCs w:val="24"/>
        </w:rPr>
        <w:t>因资金集中管理而列报于其他应收款</w:t>
      </w:r>
    </w:p>
    <w:sdt>
      <w:sdtPr>
        <w:alias w:val="是否适用：因资金集中管理而列报于其他应收款[双击切换]"/>
        <w:tag w:val="_GBC_b8da09aaaa6f41fc9a0da9e70575d260"/>
        <w:id w:val="2011407081"/>
        <w:placeholder>
          <w:docPart w:val="GBC22222222222222222222222222222"/>
        </w:placeholder>
      </w:sdtPr>
      <w:sdtContent>
        <w:p w14:paraId="5893B303"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5475BF2" w14:textId="77777777" w:rsidR="005E000F" w:rsidRDefault="005E000F">
      <w:pPr>
        <w:snapToGrid w:val="0"/>
        <w:spacing w:line="240" w:lineRule="atLeast"/>
      </w:pPr>
    </w:p>
    <w:p w14:paraId="0D9F354C" w14:textId="77777777" w:rsidR="005E000F" w:rsidRDefault="00000000">
      <w:r>
        <w:rPr>
          <w:rFonts w:hint="eastAsia"/>
        </w:rPr>
        <w:t>其他</w:t>
      </w:r>
      <w:r>
        <w:t>说明：</w:t>
      </w:r>
    </w:p>
    <w:sdt>
      <w:sdtPr>
        <w:rPr>
          <w:rFonts w:hint="eastAsia"/>
        </w:rPr>
        <w:alias w:val="是否适用：其他应收款的其他说明[双击切换]"/>
        <w:tag w:val="_GBC_f19370687b664bbeafd6d2809311f81e"/>
        <w:id w:val="1015888338"/>
        <w:placeholder>
          <w:docPart w:val="GBC22222222222222222222222222222"/>
        </w:placeholder>
      </w:sdtPr>
      <w:sdtContent>
        <w:p w14:paraId="2FCC6B0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03354F2" w14:textId="77777777" w:rsidR="005E000F" w:rsidRDefault="005E000F"/>
    <w:p w14:paraId="5C4E9A7C" w14:textId="77777777" w:rsidR="005E000F" w:rsidRDefault="00000000">
      <w:pPr>
        <w:pStyle w:val="3"/>
        <w:numPr>
          <w:ilvl w:val="0"/>
          <w:numId w:val="66"/>
        </w:numPr>
      </w:pPr>
      <w:r>
        <w:rPr>
          <w:rFonts w:hint="eastAsia"/>
        </w:rPr>
        <w:lastRenderedPageBreak/>
        <w:t>存货</w:t>
      </w:r>
    </w:p>
    <w:p w14:paraId="4E896754" w14:textId="77777777" w:rsidR="005E000F" w:rsidRDefault="00000000">
      <w:pPr>
        <w:pStyle w:val="4"/>
        <w:numPr>
          <w:ilvl w:val="3"/>
          <w:numId w:val="75"/>
        </w:numPr>
        <w:ind w:left="426" w:hanging="426"/>
      </w:pPr>
      <w:bookmarkStart w:id="307" w:name="_Hlk532992451"/>
      <w:bookmarkStart w:id="308" w:name="_Hlk24116366"/>
      <w:r>
        <w:rPr>
          <w:rFonts w:hint="eastAsia"/>
        </w:rPr>
        <w:t>存货分类</w:t>
      </w:r>
    </w:p>
    <w:sdt>
      <w:sdtPr>
        <w:alias w:val="是否适用：存货分类[双击切换]"/>
        <w:tag w:val="_GBC_357bbe1b1f034d20ba175209243f1121"/>
        <w:id w:val="-1296446959"/>
        <w:placeholder>
          <w:docPart w:val="GBC22222222222222222222222222222"/>
        </w:placeholder>
      </w:sdtPr>
      <w:sdtContent>
        <w:p w14:paraId="084DEB0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03DC8B4" w14:textId="77777777" w:rsidR="005E000F" w:rsidRDefault="00000000">
      <w:pPr>
        <w:jc w:val="right"/>
      </w:pPr>
      <w:r>
        <w:rPr>
          <w:rFonts w:hint="eastAsia"/>
        </w:rPr>
        <w:t>单位：</w:t>
      </w:r>
      <w:sdt>
        <w:sdtPr>
          <w:rPr>
            <w:rFonts w:hint="eastAsia"/>
          </w:rPr>
          <w:alias w:val="单位：财务附注：存货分类"/>
          <w:tag w:val="_GBC_d8d041ff281d42b2825673de12d9cf99"/>
          <w:id w:val="16948006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存货分类"/>
          <w:tag w:val="_GBC_dfe02fee4d9a4b77b46c5afad867d464"/>
          <w:id w:val="-10222450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1311"/>
        <w:gridCol w:w="1181"/>
        <w:gridCol w:w="1257"/>
        <w:gridCol w:w="1351"/>
        <w:gridCol w:w="1089"/>
        <w:gridCol w:w="1295"/>
      </w:tblGrid>
      <w:tr w:rsidR="005E000F" w14:paraId="08DD7BB3" w14:textId="77777777">
        <w:trPr>
          <w:cantSplit/>
        </w:trPr>
        <w:sdt>
          <w:sdtPr>
            <w:rPr>
              <w:sz w:val="18"/>
              <w:szCs w:val="18"/>
            </w:rPr>
            <w:tag w:val="_PLD_c7ef81863f9f475b86b8ee43ac7e9274"/>
            <w:id w:val="-1299836209"/>
          </w:sdtPr>
          <w:sdtContent>
            <w:tc>
              <w:tcPr>
                <w:tcW w:w="1564" w:type="dxa"/>
                <w:vMerge w:val="restart"/>
                <w:vAlign w:val="center"/>
              </w:tcPr>
              <w:p w14:paraId="4D496979" w14:textId="77777777" w:rsidR="005E000F" w:rsidRDefault="00000000">
                <w:pPr>
                  <w:jc w:val="center"/>
                  <w:rPr>
                    <w:sz w:val="18"/>
                    <w:szCs w:val="18"/>
                  </w:rPr>
                </w:pPr>
                <w:r>
                  <w:rPr>
                    <w:rFonts w:hint="eastAsia"/>
                    <w:sz w:val="18"/>
                    <w:szCs w:val="18"/>
                  </w:rPr>
                  <w:t>项目</w:t>
                </w:r>
              </w:p>
            </w:tc>
          </w:sdtContent>
        </w:sdt>
        <w:sdt>
          <w:sdtPr>
            <w:rPr>
              <w:sz w:val="18"/>
              <w:szCs w:val="18"/>
            </w:rPr>
            <w:tag w:val="_PLD_68fbd4316a69442d924038f565882f99"/>
            <w:id w:val="-365373086"/>
          </w:sdtPr>
          <w:sdtContent>
            <w:tc>
              <w:tcPr>
                <w:tcW w:w="3749" w:type="dxa"/>
                <w:gridSpan w:val="3"/>
                <w:vAlign w:val="center"/>
              </w:tcPr>
              <w:p w14:paraId="146016C2" w14:textId="77777777" w:rsidR="005E000F" w:rsidRDefault="00000000">
                <w:pPr>
                  <w:jc w:val="center"/>
                  <w:rPr>
                    <w:sz w:val="18"/>
                    <w:szCs w:val="18"/>
                  </w:rPr>
                </w:pPr>
                <w:r>
                  <w:rPr>
                    <w:rFonts w:hint="eastAsia"/>
                    <w:sz w:val="18"/>
                    <w:szCs w:val="18"/>
                  </w:rPr>
                  <w:t>期末余额</w:t>
                </w:r>
              </w:p>
            </w:tc>
          </w:sdtContent>
        </w:sdt>
        <w:sdt>
          <w:sdtPr>
            <w:rPr>
              <w:sz w:val="18"/>
              <w:szCs w:val="18"/>
            </w:rPr>
            <w:tag w:val="_PLD_39f6313de32c45ce95b6a2ef18238d4a"/>
            <w:id w:val="-453184043"/>
          </w:sdtPr>
          <w:sdtContent>
            <w:tc>
              <w:tcPr>
                <w:tcW w:w="3735" w:type="dxa"/>
                <w:gridSpan w:val="3"/>
                <w:vAlign w:val="center"/>
              </w:tcPr>
              <w:p w14:paraId="4555D51C" w14:textId="77777777" w:rsidR="005E000F" w:rsidRDefault="00000000">
                <w:pPr>
                  <w:jc w:val="center"/>
                  <w:rPr>
                    <w:sz w:val="18"/>
                    <w:szCs w:val="18"/>
                  </w:rPr>
                </w:pPr>
                <w:r>
                  <w:rPr>
                    <w:rFonts w:hint="eastAsia"/>
                    <w:sz w:val="18"/>
                    <w:szCs w:val="18"/>
                  </w:rPr>
                  <w:t>期初余额</w:t>
                </w:r>
              </w:p>
            </w:tc>
          </w:sdtContent>
        </w:sdt>
      </w:tr>
      <w:tr w:rsidR="005E000F" w14:paraId="1C017F57" w14:textId="77777777">
        <w:trPr>
          <w:cantSplit/>
        </w:trPr>
        <w:tc>
          <w:tcPr>
            <w:tcW w:w="1564" w:type="dxa"/>
            <w:vMerge/>
            <w:vAlign w:val="center"/>
          </w:tcPr>
          <w:p w14:paraId="33DF446A" w14:textId="77777777" w:rsidR="005E000F" w:rsidRDefault="005E000F">
            <w:pPr>
              <w:ind w:right="5"/>
              <w:jc w:val="center"/>
              <w:rPr>
                <w:sz w:val="18"/>
                <w:szCs w:val="18"/>
              </w:rPr>
            </w:pPr>
          </w:p>
        </w:tc>
        <w:sdt>
          <w:sdtPr>
            <w:rPr>
              <w:sz w:val="18"/>
              <w:szCs w:val="18"/>
            </w:rPr>
            <w:tag w:val="_PLD_73436d894fc444d5b519a3b75a689324"/>
            <w:id w:val="1379746191"/>
          </w:sdtPr>
          <w:sdtContent>
            <w:tc>
              <w:tcPr>
                <w:tcW w:w="1311" w:type="dxa"/>
                <w:vAlign w:val="center"/>
              </w:tcPr>
              <w:p w14:paraId="17506DCD" w14:textId="77777777" w:rsidR="005E000F" w:rsidRDefault="00000000">
                <w:pPr>
                  <w:ind w:right="5"/>
                  <w:jc w:val="center"/>
                  <w:rPr>
                    <w:sz w:val="18"/>
                    <w:szCs w:val="18"/>
                  </w:rPr>
                </w:pPr>
                <w:r>
                  <w:rPr>
                    <w:rFonts w:hint="eastAsia"/>
                    <w:sz w:val="18"/>
                    <w:szCs w:val="18"/>
                  </w:rPr>
                  <w:t>账面余额</w:t>
                </w:r>
              </w:p>
            </w:tc>
          </w:sdtContent>
        </w:sdt>
        <w:tc>
          <w:tcPr>
            <w:tcW w:w="1181" w:type="dxa"/>
            <w:vAlign w:val="center"/>
          </w:tcPr>
          <w:p w14:paraId="03911C68" w14:textId="77777777" w:rsidR="005E000F" w:rsidRDefault="00000000">
            <w:pPr>
              <w:ind w:right="5"/>
              <w:jc w:val="center"/>
              <w:rPr>
                <w:sz w:val="18"/>
                <w:szCs w:val="18"/>
              </w:rPr>
            </w:pPr>
            <w:sdt>
              <w:sdtPr>
                <w:rPr>
                  <w:sz w:val="18"/>
                  <w:szCs w:val="18"/>
                </w:rPr>
                <w:tag w:val="_PLD_09cd496fa8624ad4a9538b5b209e6d5a"/>
                <w:id w:val="1663810192"/>
              </w:sdtPr>
              <w:sdtContent>
                <w:r>
                  <w:rPr>
                    <w:rFonts w:hint="eastAsia"/>
                    <w:sz w:val="18"/>
                    <w:szCs w:val="18"/>
                  </w:rPr>
                  <w:t>存货跌价准备</w:t>
                </w:r>
                <w:r>
                  <w:rPr>
                    <w:sz w:val="18"/>
                    <w:szCs w:val="18"/>
                  </w:rPr>
                  <w:t>/</w:t>
                </w:r>
                <w:r>
                  <w:rPr>
                    <w:sz w:val="18"/>
                    <w:szCs w:val="18"/>
                  </w:rPr>
                  <w:t>合同履约成本减值准备</w:t>
                </w:r>
              </w:sdtContent>
            </w:sdt>
          </w:p>
        </w:tc>
        <w:sdt>
          <w:sdtPr>
            <w:rPr>
              <w:sz w:val="18"/>
              <w:szCs w:val="18"/>
            </w:rPr>
            <w:tag w:val="_PLD_2c7532c412cf491899c310ef9902157e"/>
            <w:id w:val="-1856412026"/>
          </w:sdtPr>
          <w:sdtContent>
            <w:tc>
              <w:tcPr>
                <w:tcW w:w="1257" w:type="dxa"/>
                <w:vAlign w:val="center"/>
              </w:tcPr>
              <w:p w14:paraId="70FB6778" w14:textId="77777777" w:rsidR="005E000F" w:rsidRDefault="00000000">
                <w:pPr>
                  <w:ind w:right="5"/>
                  <w:jc w:val="center"/>
                  <w:rPr>
                    <w:sz w:val="18"/>
                    <w:szCs w:val="18"/>
                  </w:rPr>
                </w:pPr>
                <w:r>
                  <w:rPr>
                    <w:rFonts w:hint="eastAsia"/>
                    <w:sz w:val="18"/>
                    <w:szCs w:val="18"/>
                  </w:rPr>
                  <w:t>账面价值</w:t>
                </w:r>
              </w:p>
            </w:tc>
          </w:sdtContent>
        </w:sdt>
        <w:sdt>
          <w:sdtPr>
            <w:rPr>
              <w:sz w:val="18"/>
              <w:szCs w:val="18"/>
            </w:rPr>
            <w:tag w:val="_PLD_6c2924a6d3da466f96c5c2e2f2d81de1"/>
            <w:id w:val="2123039967"/>
          </w:sdtPr>
          <w:sdtContent>
            <w:tc>
              <w:tcPr>
                <w:tcW w:w="1351" w:type="dxa"/>
                <w:vAlign w:val="center"/>
              </w:tcPr>
              <w:p w14:paraId="77BD4E71" w14:textId="77777777" w:rsidR="005E000F" w:rsidRDefault="00000000">
                <w:pPr>
                  <w:ind w:right="5"/>
                  <w:jc w:val="center"/>
                  <w:rPr>
                    <w:sz w:val="18"/>
                    <w:szCs w:val="18"/>
                  </w:rPr>
                </w:pPr>
                <w:r>
                  <w:rPr>
                    <w:rFonts w:hint="eastAsia"/>
                    <w:sz w:val="18"/>
                    <w:szCs w:val="18"/>
                  </w:rPr>
                  <w:t>账面余额</w:t>
                </w:r>
              </w:p>
            </w:tc>
          </w:sdtContent>
        </w:sdt>
        <w:tc>
          <w:tcPr>
            <w:tcW w:w="1089" w:type="dxa"/>
            <w:vAlign w:val="center"/>
          </w:tcPr>
          <w:p w14:paraId="34773BF7" w14:textId="77777777" w:rsidR="005E000F" w:rsidRDefault="00000000">
            <w:pPr>
              <w:ind w:right="5"/>
              <w:jc w:val="center"/>
              <w:rPr>
                <w:sz w:val="18"/>
                <w:szCs w:val="18"/>
              </w:rPr>
            </w:pPr>
            <w:sdt>
              <w:sdtPr>
                <w:rPr>
                  <w:sz w:val="18"/>
                  <w:szCs w:val="18"/>
                </w:rPr>
                <w:tag w:val="_PLD_e5df78ba36d146dfb7eedab7ddd98031"/>
                <w:id w:val="950901708"/>
              </w:sdtPr>
              <w:sdtContent>
                <w:r>
                  <w:rPr>
                    <w:rFonts w:hint="eastAsia"/>
                    <w:sz w:val="18"/>
                    <w:szCs w:val="18"/>
                  </w:rPr>
                  <w:t>存货跌价准备</w:t>
                </w:r>
                <w:r>
                  <w:rPr>
                    <w:sz w:val="18"/>
                    <w:szCs w:val="18"/>
                  </w:rPr>
                  <w:t>/</w:t>
                </w:r>
                <w:r>
                  <w:rPr>
                    <w:sz w:val="18"/>
                    <w:szCs w:val="18"/>
                  </w:rPr>
                  <w:t>合同履约成本减值准备</w:t>
                </w:r>
              </w:sdtContent>
            </w:sdt>
          </w:p>
        </w:tc>
        <w:sdt>
          <w:sdtPr>
            <w:rPr>
              <w:sz w:val="18"/>
              <w:szCs w:val="18"/>
            </w:rPr>
            <w:tag w:val="_PLD_ba07e513b5504e03b2dcef7d8421fa16"/>
            <w:id w:val="1056440805"/>
          </w:sdtPr>
          <w:sdtContent>
            <w:tc>
              <w:tcPr>
                <w:tcW w:w="1295" w:type="dxa"/>
                <w:vAlign w:val="center"/>
              </w:tcPr>
              <w:p w14:paraId="5D443065" w14:textId="77777777" w:rsidR="005E000F" w:rsidRDefault="00000000">
                <w:pPr>
                  <w:ind w:right="5"/>
                  <w:jc w:val="center"/>
                  <w:rPr>
                    <w:sz w:val="18"/>
                    <w:szCs w:val="18"/>
                  </w:rPr>
                </w:pPr>
                <w:r>
                  <w:rPr>
                    <w:rFonts w:hint="eastAsia"/>
                    <w:sz w:val="18"/>
                    <w:szCs w:val="18"/>
                  </w:rPr>
                  <w:t>账面价值</w:t>
                </w:r>
              </w:p>
            </w:tc>
          </w:sdtContent>
        </w:sdt>
      </w:tr>
      <w:tr w:rsidR="005E000F" w14:paraId="4E51385A" w14:textId="77777777">
        <w:trPr>
          <w:cantSplit/>
        </w:trPr>
        <w:tc>
          <w:tcPr>
            <w:tcW w:w="1564" w:type="dxa"/>
          </w:tcPr>
          <w:p w14:paraId="007EEE9F" w14:textId="77777777" w:rsidR="005E000F" w:rsidRDefault="00000000">
            <w:pPr>
              <w:autoSpaceDE w:val="0"/>
              <w:autoSpaceDN w:val="0"/>
              <w:adjustRightInd w:val="0"/>
              <w:rPr>
                <w:sz w:val="18"/>
                <w:szCs w:val="18"/>
              </w:rPr>
            </w:pPr>
            <w:r>
              <w:rPr>
                <w:rFonts w:ascii="宋体" w:hAnsi="宋体" w:hint="eastAsia"/>
                <w:color w:val="000000"/>
                <w:sz w:val="18"/>
                <w:szCs w:val="18"/>
              </w:rPr>
              <w:t>一般材料及轨料</w:t>
            </w:r>
          </w:p>
        </w:tc>
        <w:tc>
          <w:tcPr>
            <w:tcW w:w="1311" w:type="dxa"/>
            <w:vAlign w:val="center"/>
          </w:tcPr>
          <w:p w14:paraId="2094FE37" w14:textId="77777777" w:rsidR="005E000F" w:rsidRDefault="00000000">
            <w:pPr>
              <w:ind w:right="5"/>
              <w:jc w:val="right"/>
              <w:rPr>
                <w:sz w:val="18"/>
                <w:szCs w:val="18"/>
              </w:rPr>
            </w:pPr>
            <w:r>
              <w:rPr>
                <w:sz w:val="18"/>
                <w:szCs w:val="18"/>
              </w:rPr>
              <w:t>1,131,556,784</w:t>
            </w:r>
          </w:p>
        </w:tc>
        <w:tc>
          <w:tcPr>
            <w:tcW w:w="1181" w:type="dxa"/>
            <w:vAlign w:val="center"/>
          </w:tcPr>
          <w:p w14:paraId="0EE93D28" w14:textId="77777777" w:rsidR="005E000F" w:rsidRDefault="00000000">
            <w:pPr>
              <w:ind w:right="5"/>
              <w:jc w:val="right"/>
              <w:rPr>
                <w:sz w:val="18"/>
                <w:szCs w:val="18"/>
              </w:rPr>
            </w:pPr>
            <w:r>
              <w:rPr>
                <w:sz w:val="18"/>
                <w:szCs w:val="18"/>
              </w:rPr>
              <w:t>1,533,061</w:t>
            </w:r>
          </w:p>
        </w:tc>
        <w:tc>
          <w:tcPr>
            <w:tcW w:w="1257" w:type="dxa"/>
            <w:vAlign w:val="center"/>
          </w:tcPr>
          <w:p w14:paraId="24DBD6DA" w14:textId="77777777" w:rsidR="005E000F" w:rsidRDefault="00000000">
            <w:pPr>
              <w:ind w:right="5"/>
              <w:jc w:val="right"/>
              <w:rPr>
                <w:sz w:val="18"/>
                <w:szCs w:val="18"/>
              </w:rPr>
            </w:pPr>
            <w:r>
              <w:rPr>
                <w:sz w:val="18"/>
                <w:szCs w:val="18"/>
              </w:rPr>
              <w:t>1,130,023,723</w:t>
            </w:r>
          </w:p>
        </w:tc>
        <w:tc>
          <w:tcPr>
            <w:tcW w:w="1351" w:type="dxa"/>
            <w:vAlign w:val="center"/>
          </w:tcPr>
          <w:p w14:paraId="20CE2494" w14:textId="77777777" w:rsidR="005E000F" w:rsidRDefault="00000000">
            <w:pPr>
              <w:ind w:right="5"/>
              <w:jc w:val="right"/>
              <w:rPr>
                <w:sz w:val="18"/>
                <w:szCs w:val="18"/>
              </w:rPr>
            </w:pPr>
            <w:r>
              <w:rPr>
                <w:rFonts w:hint="eastAsia"/>
                <w:sz w:val="18"/>
                <w:szCs w:val="18"/>
              </w:rPr>
              <w:t>1,072,989,454</w:t>
            </w:r>
          </w:p>
        </w:tc>
        <w:tc>
          <w:tcPr>
            <w:tcW w:w="1089" w:type="dxa"/>
            <w:vAlign w:val="center"/>
          </w:tcPr>
          <w:p w14:paraId="1F5E0684" w14:textId="77777777" w:rsidR="005E000F" w:rsidRDefault="00000000">
            <w:pPr>
              <w:ind w:right="5"/>
              <w:jc w:val="right"/>
              <w:rPr>
                <w:sz w:val="18"/>
                <w:szCs w:val="18"/>
              </w:rPr>
            </w:pPr>
            <w:r>
              <w:rPr>
                <w:rFonts w:hint="eastAsia"/>
                <w:sz w:val="18"/>
                <w:szCs w:val="18"/>
              </w:rPr>
              <w:t>0</w:t>
            </w:r>
          </w:p>
        </w:tc>
        <w:tc>
          <w:tcPr>
            <w:tcW w:w="1295" w:type="dxa"/>
            <w:vAlign w:val="center"/>
          </w:tcPr>
          <w:p w14:paraId="752CAF62" w14:textId="77777777" w:rsidR="005E000F" w:rsidRDefault="00000000">
            <w:pPr>
              <w:ind w:right="5"/>
              <w:jc w:val="right"/>
              <w:rPr>
                <w:sz w:val="18"/>
                <w:szCs w:val="18"/>
              </w:rPr>
            </w:pPr>
            <w:r>
              <w:rPr>
                <w:rFonts w:hint="eastAsia"/>
                <w:sz w:val="18"/>
                <w:szCs w:val="18"/>
              </w:rPr>
              <w:t>1,072,989,454</w:t>
            </w:r>
          </w:p>
        </w:tc>
      </w:tr>
      <w:tr w:rsidR="005E000F" w14:paraId="78509F88" w14:textId="77777777">
        <w:trPr>
          <w:cantSplit/>
        </w:trPr>
        <w:tc>
          <w:tcPr>
            <w:tcW w:w="1564" w:type="dxa"/>
          </w:tcPr>
          <w:p w14:paraId="1CEBAC97" w14:textId="77777777" w:rsidR="005E000F" w:rsidRDefault="00000000">
            <w:pPr>
              <w:autoSpaceDE w:val="0"/>
              <w:autoSpaceDN w:val="0"/>
              <w:adjustRightInd w:val="0"/>
              <w:rPr>
                <w:sz w:val="18"/>
                <w:szCs w:val="18"/>
              </w:rPr>
            </w:pPr>
            <w:r>
              <w:rPr>
                <w:rFonts w:ascii="宋体" w:hAnsi="宋体" w:hint="eastAsia"/>
                <w:color w:val="000000"/>
                <w:sz w:val="18"/>
                <w:szCs w:val="18"/>
              </w:rPr>
              <w:t>线上料</w:t>
            </w:r>
          </w:p>
        </w:tc>
        <w:tc>
          <w:tcPr>
            <w:tcW w:w="1311" w:type="dxa"/>
            <w:vAlign w:val="center"/>
          </w:tcPr>
          <w:p w14:paraId="1848D2CE" w14:textId="77777777" w:rsidR="005E000F" w:rsidRDefault="00000000">
            <w:pPr>
              <w:ind w:right="5"/>
              <w:jc w:val="right"/>
              <w:rPr>
                <w:sz w:val="18"/>
                <w:szCs w:val="18"/>
              </w:rPr>
            </w:pPr>
            <w:r>
              <w:rPr>
                <w:sz w:val="18"/>
                <w:szCs w:val="18"/>
              </w:rPr>
              <w:t>310,466,582</w:t>
            </w:r>
          </w:p>
        </w:tc>
        <w:tc>
          <w:tcPr>
            <w:tcW w:w="1181" w:type="dxa"/>
            <w:vAlign w:val="center"/>
          </w:tcPr>
          <w:p w14:paraId="3CCBFA49" w14:textId="77777777" w:rsidR="005E000F" w:rsidRDefault="00000000">
            <w:pPr>
              <w:ind w:right="5"/>
              <w:jc w:val="right"/>
              <w:rPr>
                <w:sz w:val="18"/>
                <w:szCs w:val="18"/>
              </w:rPr>
            </w:pPr>
            <w:r>
              <w:rPr>
                <w:sz w:val="18"/>
                <w:szCs w:val="18"/>
              </w:rPr>
              <w:t>5,583,696</w:t>
            </w:r>
          </w:p>
        </w:tc>
        <w:tc>
          <w:tcPr>
            <w:tcW w:w="1257" w:type="dxa"/>
            <w:vAlign w:val="center"/>
          </w:tcPr>
          <w:p w14:paraId="784D8700" w14:textId="77777777" w:rsidR="005E000F" w:rsidRDefault="00000000">
            <w:pPr>
              <w:ind w:right="5"/>
              <w:jc w:val="right"/>
              <w:rPr>
                <w:sz w:val="18"/>
                <w:szCs w:val="18"/>
              </w:rPr>
            </w:pPr>
            <w:r>
              <w:rPr>
                <w:sz w:val="18"/>
                <w:szCs w:val="18"/>
              </w:rPr>
              <w:t>304,882,886</w:t>
            </w:r>
          </w:p>
        </w:tc>
        <w:tc>
          <w:tcPr>
            <w:tcW w:w="1351" w:type="dxa"/>
            <w:vAlign w:val="center"/>
          </w:tcPr>
          <w:p w14:paraId="51410BF3" w14:textId="77777777" w:rsidR="005E000F" w:rsidRDefault="00000000">
            <w:pPr>
              <w:ind w:right="5"/>
              <w:jc w:val="right"/>
              <w:rPr>
                <w:sz w:val="18"/>
                <w:szCs w:val="18"/>
              </w:rPr>
            </w:pPr>
            <w:r>
              <w:rPr>
                <w:rFonts w:hint="eastAsia"/>
                <w:sz w:val="18"/>
                <w:szCs w:val="18"/>
              </w:rPr>
              <w:t>330,602,814</w:t>
            </w:r>
          </w:p>
        </w:tc>
        <w:tc>
          <w:tcPr>
            <w:tcW w:w="1089" w:type="dxa"/>
            <w:vAlign w:val="center"/>
          </w:tcPr>
          <w:p w14:paraId="47745A58" w14:textId="77777777" w:rsidR="005E000F" w:rsidRDefault="00000000">
            <w:pPr>
              <w:ind w:right="5"/>
              <w:jc w:val="right"/>
              <w:rPr>
                <w:sz w:val="18"/>
                <w:szCs w:val="18"/>
              </w:rPr>
            </w:pPr>
            <w:r>
              <w:rPr>
                <w:rFonts w:hint="eastAsia"/>
                <w:sz w:val="18"/>
                <w:szCs w:val="18"/>
              </w:rPr>
              <w:t>4,183,312</w:t>
            </w:r>
          </w:p>
        </w:tc>
        <w:tc>
          <w:tcPr>
            <w:tcW w:w="1295" w:type="dxa"/>
            <w:vAlign w:val="center"/>
          </w:tcPr>
          <w:p w14:paraId="55BABF7A" w14:textId="77777777" w:rsidR="005E000F" w:rsidRDefault="00000000">
            <w:pPr>
              <w:ind w:right="5"/>
              <w:jc w:val="right"/>
              <w:rPr>
                <w:sz w:val="18"/>
                <w:szCs w:val="18"/>
              </w:rPr>
            </w:pPr>
            <w:r>
              <w:rPr>
                <w:rFonts w:hint="eastAsia"/>
                <w:sz w:val="18"/>
                <w:szCs w:val="18"/>
              </w:rPr>
              <w:t>326,419,502</w:t>
            </w:r>
          </w:p>
        </w:tc>
      </w:tr>
      <w:tr w:rsidR="005E000F" w14:paraId="412F9481" w14:textId="77777777">
        <w:trPr>
          <w:cantSplit/>
        </w:trPr>
        <w:tc>
          <w:tcPr>
            <w:tcW w:w="1564" w:type="dxa"/>
          </w:tcPr>
          <w:p w14:paraId="48051A0B" w14:textId="77777777" w:rsidR="005E000F" w:rsidRDefault="00000000">
            <w:pPr>
              <w:ind w:right="5"/>
              <w:rPr>
                <w:sz w:val="18"/>
                <w:szCs w:val="18"/>
              </w:rPr>
            </w:pPr>
            <w:r>
              <w:rPr>
                <w:rFonts w:ascii="宋体" w:hAnsi="宋体" w:hint="eastAsia"/>
                <w:color w:val="000000"/>
                <w:sz w:val="18"/>
                <w:szCs w:val="18"/>
              </w:rPr>
              <w:t>库存配件</w:t>
            </w:r>
          </w:p>
        </w:tc>
        <w:tc>
          <w:tcPr>
            <w:tcW w:w="1311" w:type="dxa"/>
            <w:vAlign w:val="center"/>
          </w:tcPr>
          <w:p w14:paraId="06C4F8BB" w14:textId="77777777" w:rsidR="005E000F" w:rsidRDefault="00000000">
            <w:pPr>
              <w:ind w:right="5"/>
              <w:jc w:val="right"/>
              <w:rPr>
                <w:sz w:val="18"/>
                <w:szCs w:val="18"/>
              </w:rPr>
            </w:pPr>
            <w:r>
              <w:rPr>
                <w:sz w:val="18"/>
                <w:szCs w:val="18"/>
              </w:rPr>
              <w:t>247,670,429</w:t>
            </w:r>
          </w:p>
        </w:tc>
        <w:tc>
          <w:tcPr>
            <w:tcW w:w="1181" w:type="dxa"/>
            <w:vAlign w:val="center"/>
          </w:tcPr>
          <w:p w14:paraId="4D86E484" w14:textId="77777777" w:rsidR="005E000F" w:rsidRDefault="00000000">
            <w:pPr>
              <w:ind w:right="5"/>
              <w:jc w:val="right"/>
              <w:rPr>
                <w:sz w:val="18"/>
                <w:szCs w:val="18"/>
              </w:rPr>
            </w:pPr>
            <w:r>
              <w:rPr>
                <w:sz w:val="18"/>
                <w:szCs w:val="18"/>
              </w:rPr>
              <w:t>1,198,791</w:t>
            </w:r>
          </w:p>
        </w:tc>
        <w:tc>
          <w:tcPr>
            <w:tcW w:w="1257" w:type="dxa"/>
            <w:vAlign w:val="center"/>
          </w:tcPr>
          <w:p w14:paraId="4AF979D7" w14:textId="77777777" w:rsidR="005E000F" w:rsidRDefault="00000000">
            <w:pPr>
              <w:ind w:right="5"/>
              <w:jc w:val="right"/>
              <w:rPr>
                <w:sz w:val="18"/>
                <w:szCs w:val="18"/>
              </w:rPr>
            </w:pPr>
            <w:r>
              <w:rPr>
                <w:sz w:val="18"/>
                <w:szCs w:val="18"/>
              </w:rPr>
              <w:t>246,471,638</w:t>
            </w:r>
          </w:p>
        </w:tc>
        <w:tc>
          <w:tcPr>
            <w:tcW w:w="1351" w:type="dxa"/>
            <w:vAlign w:val="center"/>
          </w:tcPr>
          <w:p w14:paraId="5FC3F76F" w14:textId="77777777" w:rsidR="005E000F" w:rsidRDefault="00000000">
            <w:pPr>
              <w:ind w:right="5"/>
              <w:jc w:val="right"/>
              <w:rPr>
                <w:sz w:val="18"/>
                <w:szCs w:val="18"/>
              </w:rPr>
            </w:pPr>
            <w:r>
              <w:rPr>
                <w:rFonts w:hint="eastAsia"/>
                <w:sz w:val="18"/>
                <w:szCs w:val="18"/>
              </w:rPr>
              <w:t>295,046,463</w:t>
            </w:r>
          </w:p>
        </w:tc>
        <w:tc>
          <w:tcPr>
            <w:tcW w:w="1089" w:type="dxa"/>
            <w:vAlign w:val="center"/>
          </w:tcPr>
          <w:p w14:paraId="7BF83E5A" w14:textId="77777777" w:rsidR="005E000F" w:rsidRDefault="00000000">
            <w:pPr>
              <w:ind w:right="5"/>
              <w:jc w:val="right"/>
              <w:rPr>
                <w:sz w:val="18"/>
                <w:szCs w:val="18"/>
              </w:rPr>
            </w:pPr>
            <w:r>
              <w:rPr>
                <w:rFonts w:hint="eastAsia"/>
                <w:sz w:val="18"/>
                <w:szCs w:val="18"/>
              </w:rPr>
              <w:t>959,180</w:t>
            </w:r>
          </w:p>
        </w:tc>
        <w:tc>
          <w:tcPr>
            <w:tcW w:w="1295" w:type="dxa"/>
            <w:vAlign w:val="center"/>
          </w:tcPr>
          <w:p w14:paraId="7D7D0B83" w14:textId="77777777" w:rsidR="005E000F" w:rsidRDefault="00000000">
            <w:pPr>
              <w:ind w:right="5"/>
              <w:jc w:val="right"/>
              <w:rPr>
                <w:sz w:val="18"/>
                <w:szCs w:val="18"/>
              </w:rPr>
            </w:pPr>
            <w:r>
              <w:rPr>
                <w:rFonts w:hint="eastAsia"/>
                <w:sz w:val="18"/>
                <w:szCs w:val="18"/>
              </w:rPr>
              <w:t>294,087,283</w:t>
            </w:r>
          </w:p>
        </w:tc>
      </w:tr>
      <w:tr w:rsidR="005E000F" w14:paraId="4E6A798A" w14:textId="77777777">
        <w:trPr>
          <w:cantSplit/>
        </w:trPr>
        <w:tc>
          <w:tcPr>
            <w:tcW w:w="1564" w:type="dxa"/>
          </w:tcPr>
          <w:p w14:paraId="5960F2B3" w14:textId="77777777" w:rsidR="005E000F" w:rsidRDefault="00000000">
            <w:pPr>
              <w:ind w:right="5"/>
              <w:rPr>
                <w:sz w:val="18"/>
                <w:szCs w:val="18"/>
              </w:rPr>
            </w:pPr>
            <w:r>
              <w:rPr>
                <w:rFonts w:ascii="宋体" w:hAnsi="宋体" w:hint="eastAsia"/>
                <w:color w:val="000000"/>
                <w:sz w:val="18"/>
                <w:szCs w:val="18"/>
              </w:rPr>
              <w:t>燃料及其他</w:t>
            </w:r>
          </w:p>
        </w:tc>
        <w:tc>
          <w:tcPr>
            <w:tcW w:w="1311" w:type="dxa"/>
            <w:vAlign w:val="center"/>
          </w:tcPr>
          <w:p w14:paraId="774BB50F" w14:textId="77777777" w:rsidR="005E000F" w:rsidRDefault="00000000">
            <w:pPr>
              <w:ind w:right="5"/>
              <w:jc w:val="right"/>
              <w:rPr>
                <w:sz w:val="18"/>
                <w:szCs w:val="18"/>
              </w:rPr>
            </w:pPr>
            <w:r>
              <w:rPr>
                <w:sz w:val="18"/>
                <w:szCs w:val="18"/>
              </w:rPr>
              <w:t>4,332,726</w:t>
            </w:r>
          </w:p>
        </w:tc>
        <w:tc>
          <w:tcPr>
            <w:tcW w:w="1181" w:type="dxa"/>
            <w:vAlign w:val="center"/>
          </w:tcPr>
          <w:p w14:paraId="2E6E0034" w14:textId="77777777" w:rsidR="005E000F" w:rsidRDefault="00000000">
            <w:pPr>
              <w:ind w:right="5"/>
              <w:jc w:val="right"/>
              <w:rPr>
                <w:sz w:val="18"/>
                <w:szCs w:val="18"/>
              </w:rPr>
            </w:pPr>
            <w:r>
              <w:rPr>
                <w:sz w:val="18"/>
                <w:szCs w:val="18"/>
              </w:rPr>
              <w:t>0</w:t>
            </w:r>
          </w:p>
        </w:tc>
        <w:tc>
          <w:tcPr>
            <w:tcW w:w="1257" w:type="dxa"/>
            <w:vAlign w:val="center"/>
          </w:tcPr>
          <w:p w14:paraId="4D0A9931" w14:textId="77777777" w:rsidR="005E000F" w:rsidRDefault="00000000">
            <w:pPr>
              <w:ind w:right="5"/>
              <w:jc w:val="right"/>
              <w:rPr>
                <w:sz w:val="18"/>
                <w:szCs w:val="18"/>
              </w:rPr>
            </w:pPr>
            <w:r>
              <w:rPr>
                <w:sz w:val="18"/>
                <w:szCs w:val="18"/>
              </w:rPr>
              <w:t>4,332,726</w:t>
            </w:r>
          </w:p>
        </w:tc>
        <w:tc>
          <w:tcPr>
            <w:tcW w:w="1351" w:type="dxa"/>
            <w:vAlign w:val="center"/>
          </w:tcPr>
          <w:p w14:paraId="2AA3BF86" w14:textId="77777777" w:rsidR="005E000F" w:rsidRDefault="00000000">
            <w:pPr>
              <w:ind w:right="5"/>
              <w:jc w:val="right"/>
              <w:rPr>
                <w:sz w:val="18"/>
                <w:szCs w:val="18"/>
              </w:rPr>
            </w:pPr>
            <w:r>
              <w:rPr>
                <w:rFonts w:hint="eastAsia"/>
                <w:sz w:val="18"/>
                <w:szCs w:val="18"/>
              </w:rPr>
              <w:t>6,636,559</w:t>
            </w:r>
          </w:p>
        </w:tc>
        <w:tc>
          <w:tcPr>
            <w:tcW w:w="1089" w:type="dxa"/>
            <w:vAlign w:val="center"/>
          </w:tcPr>
          <w:p w14:paraId="66F73F89" w14:textId="77777777" w:rsidR="005E000F" w:rsidRDefault="00000000">
            <w:pPr>
              <w:ind w:right="5"/>
              <w:jc w:val="right"/>
              <w:rPr>
                <w:sz w:val="18"/>
                <w:szCs w:val="18"/>
              </w:rPr>
            </w:pPr>
            <w:r>
              <w:rPr>
                <w:rFonts w:hint="eastAsia"/>
                <w:sz w:val="18"/>
                <w:szCs w:val="18"/>
              </w:rPr>
              <w:t>0</w:t>
            </w:r>
          </w:p>
        </w:tc>
        <w:tc>
          <w:tcPr>
            <w:tcW w:w="1295" w:type="dxa"/>
            <w:vAlign w:val="center"/>
          </w:tcPr>
          <w:p w14:paraId="364D4C07" w14:textId="77777777" w:rsidR="005E000F" w:rsidRDefault="00000000">
            <w:pPr>
              <w:ind w:right="5"/>
              <w:jc w:val="right"/>
              <w:rPr>
                <w:sz w:val="18"/>
                <w:szCs w:val="18"/>
              </w:rPr>
            </w:pPr>
            <w:r>
              <w:rPr>
                <w:rFonts w:hint="eastAsia"/>
                <w:sz w:val="18"/>
                <w:szCs w:val="18"/>
              </w:rPr>
              <w:t>6,636,559</w:t>
            </w:r>
          </w:p>
        </w:tc>
      </w:tr>
      <w:tr w:rsidR="005E000F" w14:paraId="14498811" w14:textId="77777777">
        <w:trPr>
          <w:cantSplit/>
        </w:trPr>
        <w:tc>
          <w:tcPr>
            <w:tcW w:w="1564" w:type="dxa"/>
            <w:vAlign w:val="center"/>
          </w:tcPr>
          <w:p w14:paraId="65C58A88" w14:textId="77777777" w:rsidR="005E000F" w:rsidRDefault="00000000">
            <w:pPr>
              <w:ind w:right="5"/>
              <w:jc w:val="center"/>
              <w:rPr>
                <w:sz w:val="18"/>
                <w:szCs w:val="18"/>
              </w:rPr>
            </w:pPr>
            <w:r>
              <w:rPr>
                <w:rFonts w:hint="eastAsia"/>
                <w:sz w:val="18"/>
                <w:szCs w:val="18"/>
              </w:rPr>
              <w:t>合计</w:t>
            </w:r>
          </w:p>
        </w:tc>
        <w:tc>
          <w:tcPr>
            <w:tcW w:w="1311" w:type="dxa"/>
            <w:vAlign w:val="center"/>
          </w:tcPr>
          <w:p w14:paraId="666076B8" w14:textId="77777777" w:rsidR="005E000F" w:rsidRDefault="00000000">
            <w:pPr>
              <w:ind w:right="5"/>
              <w:jc w:val="right"/>
              <w:rPr>
                <w:sz w:val="18"/>
                <w:szCs w:val="18"/>
              </w:rPr>
            </w:pPr>
            <w:r>
              <w:rPr>
                <w:sz w:val="18"/>
                <w:szCs w:val="18"/>
              </w:rPr>
              <w:t>1,694,026,521</w:t>
            </w:r>
          </w:p>
        </w:tc>
        <w:tc>
          <w:tcPr>
            <w:tcW w:w="1181" w:type="dxa"/>
            <w:vAlign w:val="center"/>
          </w:tcPr>
          <w:p w14:paraId="1DB75F97" w14:textId="77777777" w:rsidR="005E000F" w:rsidRDefault="00000000">
            <w:pPr>
              <w:ind w:right="5"/>
              <w:jc w:val="right"/>
              <w:rPr>
                <w:sz w:val="18"/>
                <w:szCs w:val="18"/>
              </w:rPr>
            </w:pPr>
            <w:r>
              <w:rPr>
                <w:sz w:val="18"/>
                <w:szCs w:val="18"/>
              </w:rPr>
              <w:t>8,315,548</w:t>
            </w:r>
          </w:p>
        </w:tc>
        <w:tc>
          <w:tcPr>
            <w:tcW w:w="1257" w:type="dxa"/>
            <w:vAlign w:val="center"/>
          </w:tcPr>
          <w:p w14:paraId="1EDAE92B" w14:textId="77777777" w:rsidR="005E000F" w:rsidRDefault="00000000">
            <w:pPr>
              <w:ind w:right="5"/>
              <w:jc w:val="right"/>
              <w:rPr>
                <w:sz w:val="18"/>
                <w:szCs w:val="18"/>
              </w:rPr>
            </w:pPr>
            <w:r>
              <w:rPr>
                <w:sz w:val="18"/>
                <w:szCs w:val="18"/>
              </w:rPr>
              <w:t>1,685,710,973</w:t>
            </w:r>
          </w:p>
        </w:tc>
        <w:tc>
          <w:tcPr>
            <w:tcW w:w="1351" w:type="dxa"/>
            <w:vAlign w:val="center"/>
          </w:tcPr>
          <w:p w14:paraId="4F2FCAC5" w14:textId="77777777" w:rsidR="005E000F" w:rsidRDefault="00000000">
            <w:pPr>
              <w:ind w:right="5"/>
              <w:jc w:val="right"/>
              <w:rPr>
                <w:sz w:val="18"/>
                <w:szCs w:val="18"/>
              </w:rPr>
            </w:pPr>
            <w:r>
              <w:rPr>
                <w:rFonts w:hint="eastAsia"/>
                <w:sz w:val="18"/>
                <w:szCs w:val="18"/>
              </w:rPr>
              <w:t>1,705,275,290</w:t>
            </w:r>
          </w:p>
        </w:tc>
        <w:tc>
          <w:tcPr>
            <w:tcW w:w="1089" w:type="dxa"/>
            <w:vAlign w:val="center"/>
          </w:tcPr>
          <w:p w14:paraId="7782D196" w14:textId="77777777" w:rsidR="005E000F" w:rsidRDefault="00000000">
            <w:pPr>
              <w:ind w:right="5"/>
              <w:jc w:val="right"/>
              <w:rPr>
                <w:sz w:val="18"/>
                <w:szCs w:val="18"/>
              </w:rPr>
            </w:pPr>
            <w:r>
              <w:rPr>
                <w:rFonts w:hint="eastAsia"/>
                <w:sz w:val="18"/>
                <w:szCs w:val="18"/>
              </w:rPr>
              <w:t>5,142,492</w:t>
            </w:r>
          </w:p>
        </w:tc>
        <w:tc>
          <w:tcPr>
            <w:tcW w:w="1295" w:type="dxa"/>
            <w:vAlign w:val="center"/>
          </w:tcPr>
          <w:p w14:paraId="70AF6884" w14:textId="77777777" w:rsidR="005E000F" w:rsidRDefault="00000000">
            <w:pPr>
              <w:ind w:right="5"/>
              <w:jc w:val="right"/>
              <w:rPr>
                <w:sz w:val="18"/>
                <w:szCs w:val="18"/>
              </w:rPr>
            </w:pPr>
            <w:r>
              <w:rPr>
                <w:rFonts w:hint="eastAsia"/>
                <w:sz w:val="18"/>
                <w:szCs w:val="18"/>
              </w:rPr>
              <w:t>1,700,132,798</w:t>
            </w:r>
          </w:p>
        </w:tc>
      </w:tr>
    </w:tbl>
    <w:p w14:paraId="63F5AE3E" w14:textId="77777777" w:rsidR="005E000F" w:rsidRDefault="005E000F"/>
    <w:p w14:paraId="632A77F5" w14:textId="77777777" w:rsidR="005E000F" w:rsidRDefault="00000000">
      <w:pPr>
        <w:pStyle w:val="4"/>
        <w:numPr>
          <w:ilvl w:val="3"/>
          <w:numId w:val="75"/>
        </w:numPr>
        <w:ind w:left="426" w:hanging="426"/>
        <w:rPr>
          <w:rFonts w:asciiTheme="minorHAnsi" w:eastAsia="宋体" w:hAnsiTheme="minorHAnsi" w:cs="宋体"/>
          <w:kern w:val="0"/>
          <w:szCs w:val="22"/>
        </w:rPr>
      </w:pPr>
      <w:bookmarkStart w:id="309" w:name="_Hlk182484983"/>
      <w:bookmarkEnd w:id="307"/>
      <w:bookmarkEnd w:id="308"/>
      <w:r>
        <w:rPr>
          <w:rFonts w:asciiTheme="minorHAnsi" w:eastAsia="宋体" w:hAnsiTheme="minorHAnsi" w:cs="宋体" w:hint="eastAsia"/>
          <w:kern w:val="0"/>
          <w:szCs w:val="22"/>
        </w:rPr>
        <w:t>确认为存货的数据资源</w:t>
      </w:r>
    </w:p>
    <w:sdt>
      <w:sdtPr>
        <w:rPr>
          <w:rFonts w:hint="eastAsia"/>
          <w:color w:val="000000" w:themeColor="text1"/>
        </w:rPr>
        <w:alias w:val="是否适用：确认为存货的数据资源[双击切换]"/>
        <w:tag w:val="_GBC_a7d9b8c6ebca4003bf262295877405d7"/>
        <w:id w:val="-272326905"/>
        <w:placeholder>
          <w:docPart w:val="GBC22222222222222222222222222222"/>
        </w:placeholder>
      </w:sdtPr>
      <w:sdtContent>
        <w:p w14:paraId="6F48E05F"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59D48BB4" w14:textId="77777777" w:rsidR="005E000F" w:rsidRDefault="005E000F">
      <w:pPr>
        <w:rPr>
          <w:color w:val="000000" w:themeColor="text1"/>
        </w:rPr>
      </w:pPr>
    </w:p>
    <w:p w14:paraId="4A006782" w14:textId="77777777" w:rsidR="005E000F" w:rsidRDefault="005E000F">
      <w:pPr>
        <w:rPr>
          <w:color w:val="000000" w:themeColor="text1"/>
        </w:rPr>
      </w:pPr>
    </w:p>
    <w:bookmarkEnd w:id="309" w:displacedByCustomXml="next"/>
    <w:bookmarkStart w:id="310" w:name="_Hlk533079150" w:displacedByCustomXml="next"/>
    <w:sdt>
      <w:sdtPr>
        <w:tag w:val="_PLD_b03e65bc536a43eab5570263a106c71d"/>
        <w:id w:val="-1889788248"/>
      </w:sdtPr>
      <w:sdtContent>
        <w:p w14:paraId="0C8FCE61" w14:textId="77777777" w:rsidR="005E000F" w:rsidRDefault="00000000">
          <w:pPr>
            <w:pStyle w:val="4"/>
            <w:numPr>
              <w:ilvl w:val="3"/>
              <w:numId w:val="75"/>
            </w:numPr>
            <w:ind w:left="426" w:hanging="426"/>
            <w:rPr>
              <w:b w:val="0"/>
              <w:bCs w:val="0"/>
            </w:rPr>
          </w:pPr>
          <w:r>
            <w:t>存货跌价准备及合同履约成本减值准备</w:t>
          </w:r>
        </w:p>
      </w:sdtContent>
    </w:sdt>
    <w:sdt>
      <w:sdtPr>
        <w:alias w:val="是否适用：存货跌价准备[双击切换]"/>
        <w:tag w:val="_GBC_c61866b530ae491eb21bee1edd36619e"/>
        <w:id w:val="1502468619"/>
        <w:placeholder>
          <w:docPart w:val="GBC22222222222222222222222222222"/>
        </w:placeholder>
      </w:sdtPr>
      <w:sdtContent>
        <w:p w14:paraId="03ED252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BB6E857" w14:textId="77777777" w:rsidR="005E000F" w:rsidRDefault="00000000">
      <w:pPr>
        <w:jc w:val="right"/>
      </w:pPr>
      <w:r>
        <w:rPr>
          <w:rFonts w:hint="eastAsia"/>
        </w:rPr>
        <w:t>单位：</w:t>
      </w:r>
      <w:sdt>
        <w:sdtPr>
          <w:rPr>
            <w:rFonts w:hint="eastAsia"/>
          </w:rPr>
          <w:alias w:val="单位：存货跌价准备"/>
          <w:tag w:val="_GBC_2d3e3a5e2ff44ef3bbef756054f246f3"/>
          <w:id w:val="91898688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存货跌价准备"/>
          <w:tag w:val="_GBC_c51bd05fe51f4b609e7e1904eb064d34"/>
          <w:id w:val="-16033254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1174"/>
        <w:gridCol w:w="1190"/>
        <w:gridCol w:w="1191"/>
        <w:gridCol w:w="1201"/>
        <w:gridCol w:w="1193"/>
        <w:gridCol w:w="1183"/>
      </w:tblGrid>
      <w:tr w:rsidR="005E000F" w14:paraId="2757BAA6" w14:textId="77777777">
        <w:trPr>
          <w:trHeight w:val="238"/>
        </w:trPr>
        <w:sdt>
          <w:sdtPr>
            <w:tag w:val="_PLD_4ac7cc4fa4994c1db43ed3b367defc13"/>
            <w:id w:val="-1496709235"/>
          </w:sdtPr>
          <w:sdtContent>
            <w:tc>
              <w:tcPr>
                <w:tcW w:w="1914" w:type="dxa"/>
                <w:vMerge w:val="restart"/>
                <w:tcBorders>
                  <w:top w:val="single" w:sz="4" w:space="0" w:color="auto"/>
                  <w:left w:val="single" w:sz="4" w:space="0" w:color="auto"/>
                  <w:bottom w:val="single" w:sz="4" w:space="0" w:color="auto"/>
                  <w:right w:val="single" w:sz="4" w:space="0" w:color="auto"/>
                </w:tcBorders>
                <w:vAlign w:val="center"/>
              </w:tcPr>
              <w:p w14:paraId="72FC1AA8" w14:textId="77777777" w:rsidR="005E000F" w:rsidRDefault="00000000">
                <w:pPr>
                  <w:jc w:val="center"/>
                </w:pPr>
                <w:r>
                  <w:rPr>
                    <w:rFonts w:hint="eastAsia"/>
                  </w:rPr>
                  <w:t>项目</w:t>
                </w:r>
              </w:p>
            </w:tc>
          </w:sdtContent>
        </w:sdt>
        <w:sdt>
          <w:sdtPr>
            <w:tag w:val="_PLD_7a2e758257864908b13bf89a561f9b5a"/>
            <w:id w:val="-239791960"/>
          </w:sdtPr>
          <w:sdtContent>
            <w:tc>
              <w:tcPr>
                <w:tcW w:w="1174" w:type="dxa"/>
                <w:vMerge w:val="restart"/>
                <w:tcBorders>
                  <w:top w:val="single" w:sz="4" w:space="0" w:color="auto"/>
                  <w:left w:val="single" w:sz="4" w:space="0" w:color="auto"/>
                  <w:bottom w:val="single" w:sz="4" w:space="0" w:color="auto"/>
                  <w:right w:val="single" w:sz="4" w:space="0" w:color="auto"/>
                </w:tcBorders>
                <w:vAlign w:val="center"/>
              </w:tcPr>
              <w:p w14:paraId="4C97A30E" w14:textId="77777777" w:rsidR="005E000F" w:rsidRDefault="00000000">
                <w:pPr>
                  <w:jc w:val="center"/>
                </w:pPr>
                <w:r>
                  <w:rPr>
                    <w:rFonts w:hint="eastAsia"/>
                  </w:rPr>
                  <w:t>期初余额</w:t>
                </w:r>
              </w:p>
            </w:tc>
          </w:sdtContent>
        </w:sdt>
        <w:sdt>
          <w:sdtPr>
            <w:tag w:val="_PLD_d95d27d30a6440b5ba0d3798473f422e"/>
            <w:id w:val="1144622646"/>
          </w:sdtPr>
          <w:sdtContent>
            <w:tc>
              <w:tcPr>
                <w:tcW w:w="2381" w:type="dxa"/>
                <w:gridSpan w:val="2"/>
                <w:tcBorders>
                  <w:top w:val="single" w:sz="4" w:space="0" w:color="auto"/>
                  <w:left w:val="single" w:sz="4" w:space="0" w:color="auto"/>
                  <w:right w:val="single" w:sz="4" w:space="0" w:color="auto"/>
                </w:tcBorders>
                <w:vAlign w:val="center"/>
              </w:tcPr>
              <w:p w14:paraId="70572C05" w14:textId="77777777" w:rsidR="005E000F" w:rsidRDefault="00000000">
                <w:pPr>
                  <w:jc w:val="center"/>
                </w:pPr>
                <w:r>
                  <w:rPr>
                    <w:rFonts w:hint="eastAsia"/>
                  </w:rPr>
                  <w:t>本期增加金额</w:t>
                </w:r>
              </w:p>
            </w:tc>
          </w:sdtContent>
        </w:sdt>
        <w:sdt>
          <w:sdtPr>
            <w:tag w:val="_PLD_cb7d37811bf944e4a7bb31b4366efaeb"/>
            <w:id w:val="396477564"/>
          </w:sdtPr>
          <w:sdtContent>
            <w:tc>
              <w:tcPr>
                <w:tcW w:w="2394" w:type="dxa"/>
                <w:gridSpan w:val="2"/>
                <w:tcBorders>
                  <w:top w:val="single" w:sz="4" w:space="0" w:color="auto"/>
                  <w:left w:val="single" w:sz="4" w:space="0" w:color="auto"/>
                  <w:right w:val="single" w:sz="4" w:space="0" w:color="auto"/>
                </w:tcBorders>
                <w:vAlign w:val="center"/>
              </w:tcPr>
              <w:p w14:paraId="5B40B726" w14:textId="77777777" w:rsidR="005E000F" w:rsidRDefault="00000000">
                <w:pPr>
                  <w:jc w:val="center"/>
                </w:pPr>
                <w:r>
                  <w:rPr>
                    <w:rFonts w:hint="eastAsia"/>
                  </w:rPr>
                  <w:t>本期减少金额</w:t>
                </w:r>
              </w:p>
            </w:tc>
          </w:sdtContent>
        </w:sdt>
        <w:sdt>
          <w:sdtPr>
            <w:tag w:val="_PLD_b2523ee7f028451790c9f2ef6e216a59"/>
            <w:id w:val="1030695191"/>
          </w:sdtPr>
          <w:sdtContent>
            <w:tc>
              <w:tcPr>
                <w:tcW w:w="1183" w:type="dxa"/>
                <w:vMerge w:val="restart"/>
                <w:tcBorders>
                  <w:top w:val="single" w:sz="4" w:space="0" w:color="auto"/>
                  <w:left w:val="single" w:sz="4" w:space="0" w:color="auto"/>
                  <w:bottom w:val="single" w:sz="4" w:space="0" w:color="auto"/>
                  <w:right w:val="single" w:sz="4" w:space="0" w:color="auto"/>
                </w:tcBorders>
                <w:vAlign w:val="center"/>
              </w:tcPr>
              <w:p w14:paraId="5CBF060B" w14:textId="77777777" w:rsidR="005E000F" w:rsidRDefault="00000000">
                <w:pPr>
                  <w:jc w:val="center"/>
                </w:pPr>
                <w:r>
                  <w:rPr>
                    <w:rFonts w:hint="eastAsia"/>
                  </w:rPr>
                  <w:t>期末余额</w:t>
                </w:r>
              </w:p>
            </w:tc>
          </w:sdtContent>
        </w:sdt>
      </w:tr>
      <w:tr w:rsidR="005E000F" w14:paraId="4CEFFECF" w14:textId="77777777">
        <w:trPr>
          <w:trHeight w:val="301"/>
        </w:trPr>
        <w:tc>
          <w:tcPr>
            <w:tcW w:w="1914" w:type="dxa"/>
            <w:vMerge/>
            <w:tcBorders>
              <w:top w:val="single" w:sz="4" w:space="0" w:color="auto"/>
              <w:left w:val="single" w:sz="4" w:space="0" w:color="auto"/>
              <w:bottom w:val="single" w:sz="4" w:space="0" w:color="auto"/>
              <w:right w:val="single" w:sz="4" w:space="0" w:color="auto"/>
            </w:tcBorders>
            <w:vAlign w:val="center"/>
          </w:tcPr>
          <w:p w14:paraId="6BA0464C" w14:textId="77777777" w:rsidR="005E000F" w:rsidRDefault="005E000F">
            <w:pPr>
              <w:jc w:val="center"/>
            </w:pPr>
          </w:p>
        </w:tc>
        <w:tc>
          <w:tcPr>
            <w:tcW w:w="1174" w:type="dxa"/>
            <w:vMerge/>
            <w:tcBorders>
              <w:top w:val="single" w:sz="4" w:space="0" w:color="auto"/>
              <w:left w:val="single" w:sz="4" w:space="0" w:color="auto"/>
              <w:bottom w:val="single" w:sz="4" w:space="0" w:color="auto"/>
              <w:right w:val="single" w:sz="4" w:space="0" w:color="auto"/>
            </w:tcBorders>
            <w:vAlign w:val="center"/>
          </w:tcPr>
          <w:p w14:paraId="7EB5C332" w14:textId="77777777" w:rsidR="005E000F" w:rsidRDefault="005E000F">
            <w:pPr>
              <w:jc w:val="center"/>
            </w:pPr>
          </w:p>
        </w:tc>
        <w:sdt>
          <w:sdtPr>
            <w:tag w:val="_PLD_16a8dea59b924b23a28ea45988190955"/>
            <w:id w:val="-1313018810"/>
          </w:sdtPr>
          <w:sdtContent>
            <w:tc>
              <w:tcPr>
                <w:tcW w:w="1190" w:type="dxa"/>
                <w:tcBorders>
                  <w:left w:val="single" w:sz="4" w:space="0" w:color="auto"/>
                  <w:bottom w:val="single" w:sz="4" w:space="0" w:color="auto"/>
                  <w:right w:val="single" w:sz="4" w:space="0" w:color="auto"/>
                </w:tcBorders>
                <w:vAlign w:val="center"/>
              </w:tcPr>
              <w:p w14:paraId="1E0E6375" w14:textId="77777777" w:rsidR="005E000F" w:rsidRDefault="00000000">
                <w:pPr>
                  <w:jc w:val="center"/>
                </w:pPr>
                <w:r>
                  <w:rPr>
                    <w:rFonts w:hint="eastAsia"/>
                  </w:rPr>
                  <w:t>计提</w:t>
                </w:r>
              </w:p>
            </w:tc>
          </w:sdtContent>
        </w:sdt>
        <w:sdt>
          <w:sdtPr>
            <w:tag w:val="_PLD_621a418b64e54315a5981611a5504791"/>
            <w:id w:val="-1671934600"/>
          </w:sdtPr>
          <w:sdtContent>
            <w:tc>
              <w:tcPr>
                <w:tcW w:w="1191" w:type="dxa"/>
                <w:tcBorders>
                  <w:left w:val="single" w:sz="4" w:space="0" w:color="auto"/>
                  <w:bottom w:val="single" w:sz="4" w:space="0" w:color="auto"/>
                  <w:right w:val="single" w:sz="4" w:space="0" w:color="auto"/>
                </w:tcBorders>
                <w:vAlign w:val="center"/>
              </w:tcPr>
              <w:p w14:paraId="290A3095" w14:textId="77777777" w:rsidR="005E000F" w:rsidRDefault="00000000">
                <w:pPr>
                  <w:jc w:val="center"/>
                </w:pPr>
                <w:r>
                  <w:rPr>
                    <w:rFonts w:hint="eastAsia"/>
                  </w:rPr>
                  <w:t>其他</w:t>
                </w:r>
              </w:p>
            </w:tc>
          </w:sdtContent>
        </w:sdt>
        <w:sdt>
          <w:sdtPr>
            <w:tag w:val="_PLD_1928b16982a747c59a563fa4d086d9fc"/>
            <w:id w:val="996691365"/>
          </w:sdtPr>
          <w:sdtContent>
            <w:tc>
              <w:tcPr>
                <w:tcW w:w="1201" w:type="dxa"/>
                <w:tcBorders>
                  <w:top w:val="single" w:sz="4" w:space="0" w:color="auto"/>
                  <w:left w:val="single" w:sz="4" w:space="0" w:color="auto"/>
                  <w:bottom w:val="single" w:sz="4" w:space="0" w:color="auto"/>
                  <w:right w:val="single" w:sz="4" w:space="0" w:color="auto"/>
                </w:tcBorders>
                <w:vAlign w:val="center"/>
              </w:tcPr>
              <w:p w14:paraId="06F69CFF" w14:textId="77777777" w:rsidR="005E000F" w:rsidRDefault="00000000">
                <w:pPr>
                  <w:jc w:val="center"/>
                </w:pPr>
                <w:r>
                  <w:rPr>
                    <w:rFonts w:hint="eastAsia"/>
                  </w:rPr>
                  <w:t>转回或转销</w:t>
                </w:r>
              </w:p>
            </w:tc>
          </w:sdtContent>
        </w:sdt>
        <w:sdt>
          <w:sdtPr>
            <w:tag w:val="_PLD_1472e7afb261461b8468e1969b080fd5"/>
            <w:id w:val="-176891161"/>
          </w:sdtPr>
          <w:sdtContent>
            <w:tc>
              <w:tcPr>
                <w:tcW w:w="1193" w:type="dxa"/>
                <w:tcBorders>
                  <w:top w:val="single" w:sz="4" w:space="0" w:color="auto"/>
                  <w:left w:val="single" w:sz="4" w:space="0" w:color="auto"/>
                  <w:bottom w:val="single" w:sz="4" w:space="0" w:color="auto"/>
                  <w:right w:val="single" w:sz="4" w:space="0" w:color="auto"/>
                </w:tcBorders>
                <w:vAlign w:val="center"/>
              </w:tcPr>
              <w:p w14:paraId="3DF1A673" w14:textId="77777777" w:rsidR="005E000F" w:rsidRDefault="00000000">
                <w:pPr>
                  <w:jc w:val="center"/>
                </w:pPr>
                <w:r>
                  <w:rPr>
                    <w:rFonts w:hint="eastAsia"/>
                  </w:rPr>
                  <w:t>其他</w:t>
                </w:r>
              </w:p>
            </w:tc>
          </w:sdtContent>
        </w:sdt>
        <w:tc>
          <w:tcPr>
            <w:tcW w:w="1183" w:type="dxa"/>
            <w:vMerge/>
            <w:tcBorders>
              <w:top w:val="single" w:sz="4" w:space="0" w:color="auto"/>
              <w:left w:val="single" w:sz="4" w:space="0" w:color="auto"/>
              <w:bottom w:val="single" w:sz="4" w:space="0" w:color="auto"/>
              <w:right w:val="single" w:sz="4" w:space="0" w:color="auto"/>
            </w:tcBorders>
            <w:vAlign w:val="center"/>
          </w:tcPr>
          <w:p w14:paraId="7A8B4C03" w14:textId="77777777" w:rsidR="005E000F" w:rsidRDefault="005E000F">
            <w:pPr>
              <w:jc w:val="center"/>
            </w:pPr>
          </w:p>
        </w:tc>
      </w:tr>
      <w:tr w:rsidR="005E000F" w14:paraId="0D7F4609" w14:textId="77777777">
        <w:trPr>
          <w:trHeight w:val="20"/>
        </w:trPr>
        <w:tc>
          <w:tcPr>
            <w:tcW w:w="1914" w:type="dxa"/>
            <w:tcBorders>
              <w:top w:val="single" w:sz="4" w:space="0" w:color="auto"/>
              <w:left w:val="single" w:sz="4" w:space="0" w:color="auto"/>
              <w:bottom w:val="single" w:sz="4" w:space="0" w:color="auto"/>
              <w:right w:val="single" w:sz="4" w:space="0" w:color="auto"/>
            </w:tcBorders>
          </w:tcPr>
          <w:p w14:paraId="2E0F1E72" w14:textId="77777777" w:rsidR="005E000F" w:rsidRDefault="00000000">
            <w:pPr>
              <w:ind w:right="5"/>
            </w:pPr>
            <w:r>
              <w:rPr>
                <w:rFonts w:hint="eastAsia"/>
                <w:color w:val="000000" w:themeColor="text1"/>
              </w:rPr>
              <w:t>一般材料及轨料</w:t>
            </w:r>
          </w:p>
        </w:tc>
        <w:tc>
          <w:tcPr>
            <w:tcW w:w="1174" w:type="dxa"/>
            <w:tcBorders>
              <w:top w:val="single" w:sz="4" w:space="0" w:color="auto"/>
              <w:left w:val="single" w:sz="4" w:space="0" w:color="auto"/>
              <w:bottom w:val="single" w:sz="4" w:space="0" w:color="auto"/>
              <w:right w:val="single" w:sz="4" w:space="0" w:color="auto"/>
            </w:tcBorders>
            <w:vAlign w:val="center"/>
          </w:tcPr>
          <w:p w14:paraId="150FCDB0" w14:textId="77777777" w:rsidR="005E000F" w:rsidRDefault="00000000">
            <w:pPr>
              <w:ind w:right="5"/>
              <w:jc w:val="right"/>
            </w:pPr>
            <w:r>
              <w:rPr>
                <w:rFonts w:hint="eastAsia"/>
              </w:rPr>
              <w:t>0</w:t>
            </w:r>
          </w:p>
        </w:tc>
        <w:tc>
          <w:tcPr>
            <w:tcW w:w="1190" w:type="dxa"/>
            <w:tcBorders>
              <w:top w:val="single" w:sz="4" w:space="0" w:color="auto"/>
              <w:left w:val="single" w:sz="4" w:space="0" w:color="auto"/>
              <w:bottom w:val="single" w:sz="4" w:space="0" w:color="auto"/>
              <w:right w:val="single" w:sz="4" w:space="0" w:color="auto"/>
            </w:tcBorders>
            <w:vAlign w:val="center"/>
          </w:tcPr>
          <w:p w14:paraId="1A529D5A" w14:textId="77777777" w:rsidR="005E000F" w:rsidRDefault="00000000">
            <w:pPr>
              <w:ind w:right="5"/>
              <w:jc w:val="right"/>
            </w:pPr>
            <w:r>
              <w:t>1,533,061</w:t>
            </w:r>
          </w:p>
        </w:tc>
        <w:tc>
          <w:tcPr>
            <w:tcW w:w="1191" w:type="dxa"/>
            <w:tcBorders>
              <w:top w:val="single" w:sz="4" w:space="0" w:color="auto"/>
              <w:left w:val="single" w:sz="4" w:space="0" w:color="auto"/>
              <w:bottom w:val="single" w:sz="4" w:space="0" w:color="auto"/>
              <w:right w:val="single" w:sz="4" w:space="0" w:color="auto"/>
            </w:tcBorders>
            <w:vAlign w:val="center"/>
          </w:tcPr>
          <w:p w14:paraId="6E6B32F3" w14:textId="77777777" w:rsidR="005E000F" w:rsidRDefault="00000000">
            <w:pPr>
              <w:ind w:right="5"/>
              <w:jc w:val="right"/>
            </w:pPr>
            <w:r>
              <w:rPr>
                <w:rFonts w:hint="eastAsia"/>
              </w:rPr>
              <w:t>0</w:t>
            </w:r>
          </w:p>
        </w:tc>
        <w:tc>
          <w:tcPr>
            <w:tcW w:w="1201" w:type="dxa"/>
            <w:tcBorders>
              <w:top w:val="single" w:sz="4" w:space="0" w:color="auto"/>
              <w:left w:val="single" w:sz="4" w:space="0" w:color="auto"/>
              <w:bottom w:val="single" w:sz="4" w:space="0" w:color="auto"/>
              <w:right w:val="single" w:sz="4" w:space="0" w:color="auto"/>
            </w:tcBorders>
            <w:vAlign w:val="center"/>
          </w:tcPr>
          <w:p w14:paraId="218E8964" w14:textId="77777777" w:rsidR="005E000F" w:rsidRDefault="00000000">
            <w:pPr>
              <w:ind w:right="5"/>
              <w:jc w:val="right"/>
            </w:pPr>
            <w:r>
              <w:rPr>
                <w:rFonts w:hint="eastAsia"/>
              </w:rPr>
              <w:t>0</w:t>
            </w:r>
          </w:p>
        </w:tc>
        <w:tc>
          <w:tcPr>
            <w:tcW w:w="1193" w:type="dxa"/>
            <w:tcBorders>
              <w:top w:val="single" w:sz="4" w:space="0" w:color="auto"/>
              <w:left w:val="single" w:sz="4" w:space="0" w:color="auto"/>
              <w:bottom w:val="single" w:sz="4" w:space="0" w:color="auto"/>
              <w:right w:val="single" w:sz="4" w:space="0" w:color="auto"/>
            </w:tcBorders>
            <w:vAlign w:val="center"/>
          </w:tcPr>
          <w:p w14:paraId="74399791" w14:textId="77777777" w:rsidR="005E000F" w:rsidRDefault="00000000">
            <w:pPr>
              <w:ind w:right="5"/>
              <w:jc w:val="right"/>
            </w:pPr>
            <w:r>
              <w:rPr>
                <w:rFonts w:hint="eastAsia"/>
              </w:rPr>
              <w:t>0</w:t>
            </w:r>
          </w:p>
        </w:tc>
        <w:tc>
          <w:tcPr>
            <w:tcW w:w="1183" w:type="dxa"/>
            <w:tcBorders>
              <w:top w:val="single" w:sz="4" w:space="0" w:color="auto"/>
              <w:left w:val="single" w:sz="4" w:space="0" w:color="auto"/>
              <w:bottom w:val="single" w:sz="4" w:space="0" w:color="auto"/>
              <w:right w:val="single" w:sz="4" w:space="0" w:color="auto"/>
            </w:tcBorders>
            <w:vAlign w:val="center"/>
          </w:tcPr>
          <w:p w14:paraId="60789880" w14:textId="77777777" w:rsidR="005E000F" w:rsidRDefault="00000000">
            <w:pPr>
              <w:ind w:right="5"/>
              <w:jc w:val="right"/>
            </w:pPr>
            <w:r>
              <w:t>1,533,061</w:t>
            </w:r>
          </w:p>
        </w:tc>
      </w:tr>
      <w:tr w:rsidR="005E000F" w14:paraId="6C2EDBC6" w14:textId="77777777">
        <w:trPr>
          <w:trHeight w:val="20"/>
        </w:trPr>
        <w:tc>
          <w:tcPr>
            <w:tcW w:w="1914" w:type="dxa"/>
            <w:tcBorders>
              <w:top w:val="single" w:sz="4" w:space="0" w:color="auto"/>
              <w:left w:val="single" w:sz="4" w:space="0" w:color="auto"/>
              <w:bottom w:val="single" w:sz="4" w:space="0" w:color="auto"/>
              <w:right w:val="single" w:sz="4" w:space="0" w:color="auto"/>
            </w:tcBorders>
          </w:tcPr>
          <w:p w14:paraId="66AE9172" w14:textId="77777777" w:rsidR="005E000F" w:rsidRDefault="00000000">
            <w:pPr>
              <w:ind w:right="5"/>
            </w:pPr>
            <w:r>
              <w:rPr>
                <w:rFonts w:hint="eastAsia"/>
                <w:color w:val="000000" w:themeColor="text1"/>
              </w:rPr>
              <w:t>线上料</w:t>
            </w:r>
          </w:p>
        </w:tc>
        <w:tc>
          <w:tcPr>
            <w:tcW w:w="1174" w:type="dxa"/>
            <w:tcBorders>
              <w:top w:val="single" w:sz="4" w:space="0" w:color="auto"/>
              <w:left w:val="single" w:sz="4" w:space="0" w:color="auto"/>
              <w:bottom w:val="single" w:sz="4" w:space="0" w:color="auto"/>
              <w:right w:val="single" w:sz="4" w:space="0" w:color="auto"/>
            </w:tcBorders>
            <w:vAlign w:val="center"/>
          </w:tcPr>
          <w:p w14:paraId="520EBBDF" w14:textId="77777777" w:rsidR="005E000F" w:rsidRDefault="00000000">
            <w:pPr>
              <w:ind w:right="5"/>
              <w:jc w:val="right"/>
            </w:pPr>
            <w:r>
              <w:rPr>
                <w:rFonts w:hint="eastAsia"/>
              </w:rPr>
              <w:t>4,183,312</w:t>
            </w:r>
          </w:p>
        </w:tc>
        <w:tc>
          <w:tcPr>
            <w:tcW w:w="1190" w:type="dxa"/>
            <w:tcBorders>
              <w:top w:val="single" w:sz="4" w:space="0" w:color="auto"/>
              <w:left w:val="single" w:sz="4" w:space="0" w:color="auto"/>
              <w:bottom w:val="single" w:sz="4" w:space="0" w:color="auto"/>
              <w:right w:val="single" w:sz="4" w:space="0" w:color="auto"/>
            </w:tcBorders>
            <w:vAlign w:val="center"/>
          </w:tcPr>
          <w:p w14:paraId="1A4A44B6" w14:textId="77777777" w:rsidR="005E000F" w:rsidRDefault="00000000">
            <w:pPr>
              <w:ind w:right="5"/>
              <w:jc w:val="right"/>
            </w:pPr>
            <w:r>
              <w:t>1,400,384</w:t>
            </w:r>
          </w:p>
        </w:tc>
        <w:tc>
          <w:tcPr>
            <w:tcW w:w="1191" w:type="dxa"/>
            <w:tcBorders>
              <w:top w:val="single" w:sz="4" w:space="0" w:color="auto"/>
              <w:left w:val="single" w:sz="4" w:space="0" w:color="auto"/>
              <w:bottom w:val="single" w:sz="4" w:space="0" w:color="auto"/>
              <w:right w:val="single" w:sz="4" w:space="0" w:color="auto"/>
            </w:tcBorders>
            <w:vAlign w:val="center"/>
          </w:tcPr>
          <w:p w14:paraId="2E3AC6C5" w14:textId="77777777" w:rsidR="005E000F" w:rsidRDefault="00000000">
            <w:pPr>
              <w:ind w:right="5"/>
              <w:jc w:val="right"/>
            </w:pPr>
            <w:r>
              <w:rPr>
                <w:rFonts w:hint="eastAsia"/>
              </w:rPr>
              <w:t>0</w:t>
            </w:r>
          </w:p>
        </w:tc>
        <w:tc>
          <w:tcPr>
            <w:tcW w:w="1201" w:type="dxa"/>
            <w:tcBorders>
              <w:top w:val="single" w:sz="4" w:space="0" w:color="auto"/>
              <w:left w:val="single" w:sz="4" w:space="0" w:color="auto"/>
              <w:bottom w:val="single" w:sz="4" w:space="0" w:color="auto"/>
              <w:right w:val="single" w:sz="4" w:space="0" w:color="auto"/>
            </w:tcBorders>
            <w:vAlign w:val="center"/>
          </w:tcPr>
          <w:p w14:paraId="1FE84670" w14:textId="77777777" w:rsidR="005E000F" w:rsidRDefault="00000000">
            <w:pPr>
              <w:ind w:right="5"/>
              <w:jc w:val="right"/>
            </w:pPr>
            <w:r>
              <w:rPr>
                <w:rFonts w:hint="eastAsia"/>
              </w:rPr>
              <w:t>0</w:t>
            </w:r>
          </w:p>
        </w:tc>
        <w:tc>
          <w:tcPr>
            <w:tcW w:w="1193" w:type="dxa"/>
            <w:tcBorders>
              <w:top w:val="single" w:sz="4" w:space="0" w:color="auto"/>
              <w:left w:val="single" w:sz="4" w:space="0" w:color="auto"/>
              <w:right w:val="single" w:sz="4" w:space="0" w:color="auto"/>
            </w:tcBorders>
            <w:vAlign w:val="center"/>
          </w:tcPr>
          <w:p w14:paraId="2CE30C7B" w14:textId="77777777" w:rsidR="005E000F" w:rsidRDefault="00000000">
            <w:pPr>
              <w:ind w:right="5"/>
              <w:jc w:val="right"/>
            </w:pPr>
            <w:r>
              <w:rPr>
                <w:rFonts w:hint="eastAsia"/>
              </w:rPr>
              <w:t>0</w:t>
            </w:r>
          </w:p>
        </w:tc>
        <w:tc>
          <w:tcPr>
            <w:tcW w:w="1183" w:type="dxa"/>
            <w:tcBorders>
              <w:top w:val="single" w:sz="4" w:space="0" w:color="auto"/>
              <w:left w:val="single" w:sz="4" w:space="0" w:color="auto"/>
              <w:bottom w:val="single" w:sz="4" w:space="0" w:color="auto"/>
              <w:right w:val="single" w:sz="4" w:space="0" w:color="auto"/>
            </w:tcBorders>
            <w:vAlign w:val="center"/>
          </w:tcPr>
          <w:p w14:paraId="1D62A3B3" w14:textId="77777777" w:rsidR="005E000F" w:rsidRDefault="00000000">
            <w:pPr>
              <w:ind w:right="5"/>
              <w:jc w:val="right"/>
            </w:pPr>
            <w:r>
              <w:t>5,583,696</w:t>
            </w:r>
          </w:p>
        </w:tc>
      </w:tr>
      <w:tr w:rsidR="005E000F" w14:paraId="50F1F12F" w14:textId="77777777">
        <w:trPr>
          <w:trHeight w:val="20"/>
        </w:trPr>
        <w:tc>
          <w:tcPr>
            <w:tcW w:w="1914" w:type="dxa"/>
            <w:tcBorders>
              <w:top w:val="single" w:sz="4" w:space="0" w:color="auto"/>
              <w:left w:val="single" w:sz="4" w:space="0" w:color="auto"/>
              <w:bottom w:val="single" w:sz="4" w:space="0" w:color="auto"/>
              <w:right w:val="single" w:sz="4" w:space="0" w:color="auto"/>
            </w:tcBorders>
          </w:tcPr>
          <w:p w14:paraId="5CB21B49" w14:textId="77777777" w:rsidR="005E000F" w:rsidRDefault="00000000">
            <w:pPr>
              <w:ind w:right="5"/>
            </w:pPr>
            <w:r>
              <w:rPr>
                <w:rFonts w:hint="eastAsia"/>
                <w:color w:val="000000" w:themeColor="text1"/>
              </w:rPr>
              <w:t>库存配件</w:t>
            </w:r>
          </w:p>
        </w:tc>
        <w:tc>
          <w:tcPr>
            <w:tcW w:w="1174" w:type="dxa"/>
            <w:tcBorders>
              <w:top w:val="single" w:sz="4" w:space="0" w:color="auto"/>
              <w:left w:val="single" w:sz="4" w:space="0" w:color="auto"/>
              <w:bottom w:val="single" w:sz="4" w:space="0" w:color="auto"/>
              <w:right w:val="single" w:sz="4" w:space="0" w:color="auto"/>
            </w:tcBorders>
            <w:vAlign w:val="center"/>
          </w:tcPr>
          <w:p w14:paraId="37CDB023" w14:textId="77777777" w:rsidR="005E000F" w:rsidRDefault="00000000">
            <w:pPr>
              <w:ind w:right="5"/>
              <w:jc w:val="right"/>
            </w:pPr>
            <w:r>
              <w:rPr>
                <w:rFonts w:hint="eastAsia"/>
              </w:rPr>
              <w:t>959,180</w:t>
            </w:r>
          </w:p>
        </w:tc>
        <w:tc>
          <w:tcPr>
            <w:tcW w:w="1190" w:type="dxa"/>
            <w:tcBorders>
              <w:top w:val="single" w:sz="4" w:space="0" w:color="auto"/>
              <w:left w:val="single" w:sz="4" w:space="0" w:color="auto"/>
              <w:bottom w:val="single" w:sz="4" w:space="0" w:color="auto"/>
              <w:right w:val="single" w:sz="4" w:space="0" w:color="auto"/>
            </w:tcBorders>
            <w:vAlign w:val="center"/>
          </w:tcPr>
          <w:p w14:paraId="68EB08C7" w14:textId="77777777" w:rsidR="005E000F" w:rsidRDefault="00000000">
            <w:pPr>
              <w:ind w:right="5"/>
              <w:jc w:val="right"/>
            </w:pPr>
            <w:r>
              <w:t>239,611</w:t>
            </w:r>
          </w:p>
        </w:tc>
        <w:tc>
          <w:tcPr>
            <w:tcW w:w="1191" w:type="dxa"/>
            <w:tcBorders>
              <w:top w:val="single" w:sz="4" w:space="0" w:color="auto"/>
              <w:left w:val="single" w:sz="4" w:space="0" w:color="auto"/>
              <w:bottom w:val="single" w:sz="4" w:space="0" w:color="auto"/>
              <w:right w:val="single" w:sz="4" w:space="0" w:color="auto"/>
            </w:tcBorders>
            <w:vAlign w:val="center"/>
          </w:tcPr>
          <w:p w14:paraId="1BBCA0DF" w14:textId="77777777" w:rsidR="005E000F" w:rsidRDefault="00000000">
            <w:pPr>
              <w:ind w:right="5"/>
              <w:jc w:val="right"/>
            </w:pPr>
            <w:r>
              <w:rPr>
                <w:rFonts w:hint="eastAsia"/>
              </w:rPr>
              <w:t>0</w:t>
            </w:r>
          </w:p>
        </w:tc>
        <w:tc>
          <w:tcPr>
            <w:tcW w:w="1201" w:type="dxa"/>
            <w:tcBorders>
              <w:top w:val="single" w:sz="4" w:space="0" w:color="auto"/>
              <w:left w:val="single" w:sz="4" w:space="0" w:color="auto"/>
              <w:bottom w:val="single" w:sz="4" w:space="0" w:color="auto"/>
              <w:right w:val="single" w:sz="4" w:space="0" w:color="auto"/>
            </w:tcBorders>
            <w:vAlign w:val="center"/>
          </w:tcPr>
          <w:p w14:paraId="2E74580A" w14:textId="77777777" w:rsidR="005E000F" w:rsidRDefault="00000000">
            <w:pPr>
              <w:ind w:right="5"/>
              <w:jc w:val="right"/>
            </w:pPr>
            <w:r>
              <w:rPr>
                <w:rFonts w:hint="eastAsia"/>
              </w:rPr>
              <w:t>0</w:t>
            </w:r>
          </w:p>
        </w:tc>
        <w:tc>
          <w:tcPr>
            <w:tcW w:w="1193" w:type="dxa"/>
            <w:tcBorders>
              <w:left w:val="single" w:sz="4" w:space="0" w:color="auto"/>
              <w:right w:val="single" w:sz="4" w:space="0" w:color="auto"/>
            </w:tcBorders>
            <w:vAlign w:val="center"/>
          </w:tcPr>
          <w:p w14:paraId="406246FB" w14:textId="77777777" w:rsidR="005E000F" w:rsidRDefault="00000000">
            <w:pPr>
              <w:ind w:right="5"/>
              <w:jc w:val="right"/>
            </w:pPr>
            <w:r>
              <w:rPr>
                <w:rFonts w:hint="eastAsia"/>
              </w:rPr>
              <w:t>0</w:t>
            </w:r>
          </w:p>
        </w:tc>
        <w:tc>
          <w:tcPr>
            <w:tcW w:w="1183" w:type="dxa"/>
            <w:tcBorders>
              <w:top w:val="single" w:sz="4" w:space="0" w:color="auto"/>
              <w:left w:val="single" w:sz="4" w:space="0" w:color="auto"/>
              <w:bottom w:val="single" w:sz="4" w:space="0" w:color="auto"/>
              <w:right w:val="single" w:sz="4" w:space="0" w:color="auto"/>
            </w:tcBorders>
            <w:vAlign w:val="center"/>
          </w:tcPr>
          <w:p w14:paraId="1549F2BD" w14:textId="77777777" w:rsidR="005E000F" w:rsidRDefault="00000000">
            <w:pPr>
              <w:ind w:right="5"/>
              <w:jc w:val="right"/>
            </w:pPr>
            <w:r>
              <w:t>1,198,791</w:t>
            </w:r>
          </w:p>
        </w:tc>
      </w:tr>
      <w:tr w:rsidR="005E000F" w14:paraId="4F762683" w14:textId="77777777">
        <w:trPr>
          <w:trHeight w:val="20"/>
        </w:trPr>
        <w:tc>
          <w:tcPr>
            <w:tcW w:w="1914" w:type="dxa"/>
            <w:tcBorders>
              <w:top w:val="single" w:sz="4" w:space="0" w:color="auto"/>
              <w:left w:val="single" w:sz="4" w:space="0" w:color="auto"/>
              <w:bottom w:val="single" w:sz="4" w:space="0" w:color="auto"/>
              <w:right w:val="single" w:sz="4" w:space="0" w:color="auto"/>
            </w:tcBorders>
          </w:tcPr>
          <w:p w14:paraId="6CBE7E93" w14:textId="77777777" w:rsidR="005E000F" w:rsidRDefault="00000000">
            <w:pPr>
              <w:autoSpaceDE w:val="0"/>
              <w:autoSpaceDN w:val="0"/>
              <w:adjustRightInd w:val="0"/>
            </w:pPr>
            <w:r>
              <w:rPr>
                <w:rFonts w:hint="eastAsia"/>
                <w:color w:val="000000" w:themeColor="text1"/>
              </w:rPr>
              <w:t>燃料及其他</w:t>
            </w:r>
          </w:p>
        </w:tc>
        <w:tc>
          <w:tcPr>
            <w:tcW w:w="1174" w:type="dxa"/>
            <w:tcBorders>
              <w:top w:val="single" w:sz="4" w:space="0" w:color="auto"/>
              <w:left w:val="single" w:sz="4" w:space="0" w:color="auto"/>
              <w:bottom w:val="single" w:sz="4" w:space="0" w:color="auto"/>
              <w:right w:val="single" w:sz="4" w:space="0" w:color="auto"/>
            </w:tcBorders>
            <w:vAlign w:val="center"/>
          </w:tcPr>
          <w:p w14:paraId="630AB9D2" w14:textId="77777777" w:rsidR="005E000F" w:rsidRDefault="00000000">
            <w:pPr>
              <w:ind w:right="5"/>
              <w:jc w:val="right"/>
            </w:pPr>
            <w:r>
              <w:rPr>
                <w:rFonts w:hint="eastAsia"/>
              </w:rPr>
              <w:t>0</w:t>
            </w:r>
          </w:p>
        </w:tc>
        <w:tc>
          <w:tcPr>
            <w:tcW w:w="1190" w:type="dxa"/>
            <w:tcBorders>
              <w:top w:val="single" w:sz="4" w:space="0" w:color="auto"/>
              <w:left w:val="single" w:sz="4" w:space="0" w:color="auto"/>
              <w:bottom w:val="single" w:sz="4" w:space="0" w:color="auto"/>
              <w:right w:val="single" w:sz="4" w:space="0" w:color="auto"/>
            </w:tcBorders>
            <w:vAlign w:val="center"/>
          </w:tcPr>
          <w:p w14:paraId="2D87A733" w14:textId="77777777" w:rsidR="005E000F" w:rsidRDefault="00000000">
            <w:pPr>
              <w:ind w:right="5"/>
              <w:jc w:val="right"/>
            </w:pPr>
            <w:r>
              <w:rPr>
                <w:rFonts w:hint="eastAsia"/>
              </w:rPr>
              <w:t>0</w:t>
            </w:r>
          </w:p>
        </w:tc>
        <w:tc>
          <w:tcPr>
            <w:tcW w:w="1191" w:type="dxa"/>
            <w:tcBorders>
              <w:top w:val="single" w:sz="4" w:space="0" w:color="auto"/>
              <w:left w:val="single" w:sz="4" w:space="0" w:color="auto"/>
              <w:bottom w:val="single" w:sz="4" w:space="0" w:color="auto"/>
              <w:right w:val="single" w:sz="4" w:space="0" w:color="auto"/>
            </w:tcBorders>
            <w:vAlign w:val="center"/>
          </w:tcPr>
          <w:p w14:paraId="4826174F" w14:textId="77777777" w:rsidR="005E000F" w:rsidRDefault="00000000">
            <w:pPr>
              <w:ind w:right="5"/>
              <w:jc w:val="right"/>
            </w:pPr>
            <w:r>
              <w:rPr>
                <w:rFonts w:hint="eastAsia"/>
              </w:rPr>
              <w:t>0</w:t>
            </w:r>
          </w:p>
        </w:tc>
        <w:tc>
          <w:tcPr>
            <w:tcW w:w="1201" w:type="dxa"/>
            <w:tcBorders>
              <w:top w:val="single" w:sz="4" w:space="0" w:color="auto"/>
              <w:left w:val="single" w:sz="4" w:space="0" w:color="auto"/>
              <w:bottom w:val="single" w:sz="4" w:space="0" w:color="auto"/>
              <w:right w:val="single" w:sz="4" w:space="0" w:color="auto"/>
            </w:tcBorders>
            <w:vAlign w:val="center"/>
          </w:tcPr>
          <w:p w14:paraId="78590BFC" w14:textId="77777777" w:rsidR="005E000F" w:rsidRDefault="00000000">
            <w:pPr>
              <w:ind w:right="5"/>
              <w:jc w:val="right"/>
            </w:pPr>
            <w:r>
              <w:rPr>
                <w:rFonts w:hint="eastAsia"/>
              </w:rPr>
              <w:t>0</w:t>
            </w:r>
          </w:p>
        </w:tc>
        <w:tc>
          <w:tcPr>
            <w:tcW w:w="1193" w:type="dxa"/>
            <w:tcBorders>
              <w:left w:val="single" w:sz="4" w:space="0" w:color="auto"/>
              <w:right w:val="single" w:sz="4" w:space="0" w:color="auto"/>
            </w:tcBorders>
            <w:vAlign w:val="center"/>
          </w:tcPr>
          <w:p w14:paraId="0B2DBE08" w14:textId="77777777" w:rsidR="005E000F" w:rsidRDefault="00000000">
            <w:pPr>
              <w:ind w:right="5"/>
              <w:jc w:val="right"/>
            </w:pPr>
            <w:r>
              <w:rPr>
                <w:rFonts w:hint="eastAsia"/>
              </w:rPr>
              <w:t>0</w:t>
            </w:r>
          </w:p>
        </w:tc>
        <w:tc>
          <w:tcPr>
            <w:tcW w:w="1183" w:type="dxa"/>
            <w:tcBorders>
              <w:top w:val="single" w:sz="4" w:space="0" w:color="auto"/>
              <w:left w:val="single" w:sz="4" w:space="0" w:color="auto"/>
              <w:bottom w:val="single" w:sz="4" w:space="0" w:color="auto"/>
              <w:right w:val="single" w:sz="4" w:space="0" w:color="auto"/>
            </w:tcBorders>
            <w:vAlign w:val="center"/>
          </w:tcPr>
          <w:p w14:paraId="74DFF991" w14:textId="77777777" w:rsidR="005E000F" w:rsidRDefault="00000000">
            <w:pPr>
              <w:ind w:right="5"/>
              <w:jc w:val="right"/>
            </w:pPr>
            <w:r>
              <w:rPr>
                <w:rFonts w:hint="eastAsia"/>
              </w:rPr>
              <w:t>0</w:t>
            </w:r>
          </w:p>
        </w:tc>
      </w:tr>
      <w:tr w:rsidR="005E000F" w14:paraId="2AEF7488" w14:textId="77777777">
        <w:trPr>
          <w:trHeight w:val="20"/>
        </w:trPr>
        <w:tc>
          <w:tcPr>
            <w:tcW w:w="1914" w:type="dxa"/>
            <w:tcBorders>
              <w:top w:val="single" w:sz="4" w:space="0" w:color="auto"/>
              <w:left w:val="single" w:sz="4" w:space="0" w:color="auto"/>
              <w:bottom w:val="single" w:sz="4" w:space="0" w:color="auto"/>
              <w:right w:val="single" w:sz="4" w:space="0" w:color="auto"/>
            </w:tcBorders>
            <w:vAlign w:val="center"/>
          </w:tcPr>
          <w:p w14:paraId="02B04CBB" w14:textId="77777777" w:rsidR="005E000F" w:rsidRDefault="00000000">
            <w:pPr>
              <w:jc w:val="center"/>
            </w:pPr>
            <w:r>
              <w:rPr>
                <w:rFonts w:hint="eastAsia"/>
              </w:rPr>
              <w:t>合计</w:t>
            </w:r>
          </w:p>
        </w:tc>
        <w:tc>
          <w:tcPr>
            <w:tcW w:w="1174" w:type="dxa"/>
            <w:tcBorders>
              <w:top w:val="single" w:sz="4" w:space="0" w:color="auto"/>
              <w:left w:val="single" w:sz="4" w:space="0" w:color="auto"/>
              <w:bottom w:val="single" w:sz="4" w:space="0" w:color="auto"/>
              <w:right w:val="single" w:sz="4" w:space="0" w:color="auto"/>
            </w:tcBorders>
            <w:vAlign w:val="center"/>
          </w:tcPr>
          <w:p w14:paraId="407C4CF1" w14:textId="77777777" w:rsidR="005E000F" w:rsidRDefault="00000000">
            <w:pPr>
              <w:ind w:right="5"/>
              <w:jc w:val="right"/>
            </w:pPr>
            <w:r>
              <w:rPr>
                <w:rFonts w:hint="eastAsia"/>
              </w:rPr>
              <w:t>5,142,492</w:t>
            </w:r>
          </w:p>
        </w:tc>
        <w:tc>
          <w:tcPr>
            <w:tcW w:w="1190" w:type="dxa"/>
            <w:tcBorders>
              <w:top w:val="single" w:sz="4" w:space="0" w:color="auto"/>
              <w:left w:val="single" w:sz="4" w:space="0" w:color="auto"/>
              <w:bottom w:val="single" w:sz="4" w:space="0" w:color="auto"/>
              <w:right w:val="single" w:sz="4" w:space="0" w:color="auto"/>
            </w:tcBorders>
            <w:vAlign w:val="center"/>
          </w:tcPr>
          <w:p w14:paraId="7BA09D6E" w14:textId="77777777" w:rsidR="005E000F" w:rsidRDefault="00000000">
            <w:pPr>
              <w:ind w:right="5"/>
              <w:jc w:val="right"/>
              <w:rPr>
                <w:lang w:val="en-GB"/>
              </w:rPr>
            </w:pPr>
            <w:r>
              <w:t>3,173,056</w:t>
            </w:r>
          </w:p>
        </w:tc>
        <w:tc>
          <w:tcPr>
            <w:tcW w:w="1191" w:type="dxa"/>
            <w:tcBorders>
              <w:top w:val="single" w:sz="4" w:space="0" w:color="auto"/>
              <w:left w:val="single" w:sz="4" w:space="0" w:color="auto"/>
              <w:bottom w:val="single" w:sz="4" w:space="0" w:color="auto"/>
              <w:right w:val="single" w:sz="4" w:space="0" w:color="auto"/>
            </w:tcBorders>
            <w:vAlign w:val="center"/>
          </w:tcPr>
          <w:p w14:paraId="5BC47AAC" w14:textId="77777777" w:rsidR="005E000F" w:rsidRDefault="00000000">
            <w:pPr>
              <w:ind w:right="5"/>
              <w:jc w:val="right"/>
            </w:pPr>
            <w:r>
              <w:rPr>
                <w:rFonts w:hint="eastAsia"/>
              </w:rPr>
              <w:t>0</w:t>
            </w:r>
          </w:p>
        </w:tc>
        <w:tc>
          <w:tcPr>
            <w:tcW w:w="1201" w:type="dxa"/>
            <w:tcBorders>
              <w:top w:val="single" w:sz="4" w:space="0" w:color="auto"/>
              <w:left w:val="single" w:sz="4" w:space="0" w:color="auto"/>
              <w:bottom w:val="single" w:sz="4" w:space="0" w:color="auto"/>
              <w:right w:val="single" w:sz="4" w:space="0" w:color="auto"/>
            </w:tcBorders>
            <w:vAlign w:val="center"/>
          </w:tcPr>
          <w:p w14:paraId="1BA3001D" w14:textId="77777777" w:rsidR="005E000F" w:rsidRDefault="00000000">
            <w:pPr>
              <w:ind w:right="5"/>
              <w:jc w:val="right"/>
            </w:pPr>
            <w:r>
              <w:rPr>
                <w:rFonts w:hint="eastAsia"/>
              </w:rPr>
              <w:t>0</w:t>
            </w:r>
          </w:p>
        </w:tc>
        <w:tc>
          <w:tcPr>
            <w:tcW w:w="1193" w:type="dxa"/>
            <w:tcBorders>
              <w:left w:val="single" w:sz="4" w:space="0" w:color="auto"/>
              <w:bottom w:val="single" w:sz="4" w:space="0" w:color="auto"/>
              <w:right w:val="single" w:sz="4" w:space="0" w:color="auto"/>
            </w:tcBorders>
            <w:vAlign w:val="center"/>
          </w:tcPr>
          <w:p w14:paraId="57481407" w14:textId="77777777" w:rsidR="005E000F" w:rsidRDefault="00000000">
            <w:pPr>
              <w:ind w:right="5"/>
              <w:jc w:val="right"/>
            </w:pPr>
            <w:r>
              <w:rPr>
                <w:rFonts w:hint="eastAsia"/>
              </w:rPr>
              <w:t>0</w:t>
            </w:r>
          </w:p>
        </w:tc>
        <w:tc>
          <w:tcPr>
            <w:tcW w:w="1183" w:type="dxa"/>
            <w:tcBorders>
              <w:top w:val="single" w:sz="4" w:space="0" w:color="auto"/>
              <w:left w:val="single" w:sz="4" w:space="0" w:color="auto"/>
              <w:bottom w:val="single" w:sz="4" w:space="0" w:color="auto"/>
              <w:right w:val="single" w:sz="4" w:space="0" w:color="auto"/>
            </w:tcBorders>
            <w:vAlign w:val="center"/>
          </w:tcPr>
          <w:p w14:paraId="033532EE" w14:textId="77777777" w:rsidR="005E000F" w:rsidRDefault="00000000">
            <w:pPr>
              <w:ind w:right="5"/>
              <w:jc w:val="right"/>
              <w:rPr>
                <w:lang w:val="en-GB"/>
              </w:rPr>
            </w:pPr>
            <w:r>
              <w:t>8,315,548</w:t>
            </w:r>
          </w:p>
        </w:tc>
      </w:tr>
    </w:tbl>
    <w:p w14:paraId="3F56555C" w14:textId="77777777" w:rsidR="005E000F" w:rsidRDefault="005E000F"/>
    <w:bookmarkEnd w:id="310"/>
    <w:p w14:paraId="6E156DA1" w14:textId="77777777" w:rsidR="005E000F" w:rsidRDefault="00000000">
      <w:r>
        <w:t>本期转回或转销存货跌价准备的原因</w:t>
      </w:r>
    </w:p>
    <w:sdt>
      <w:sdtPr>
        <w:alias w:val="是否适用：本期转回或转销存货跌价准备的原因[双击切换]"/>
        <w:tag w:val="_GBC_91edca895f07450c8e82d2352caede25"/>
        <w:id w:val="766737519"/>
        <w:placeholder>
          <w:docPart w:val="GBC22222222222222222222222222222"/>
        </w:placeholder>
      </w:sdtPr>
      <w:sdtContent>
        <w:p w14:paraId="471BB71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D4AF181" w14:textId="77777777" w:rsidR="005E000F" w:rsidRDefault="005E000F"/>
    <w:p w14:paraId="0F1F8BAD" w14:textId="77777777" w:rsidR="005E000F" w:rsidRDefault="00000000">
      <w:r>
        <w:rPr>
          <w:rFonts w:hint="eastAsia"/>
        </w:rPr>
        <w:t>按组合计提存货跌价准备</w:t>
      </w:r>
    </w:p>
    <w:sdt>
      <w:sdtPr>
        <w:alias w:val="是否适用：按组合计提存货跌价准备[双击切换]"/>
        <w:tag w:val="_GBC_7654282f8cf847d8a55f8274afb7a726"/>
        <w:id w:val="-345093991"/>
        <w:placeholder>
          <w:docPart w:val="GBC22222222222222222222222222222"/>
        </w:placeholder>
      </w:sdtPr>
      <w:sdtContent>
        <w:p w14:paraId="483E2CF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44FAD4A" w14:textId="77777777" w:rsidR="005E000F" w:rsidRDefault="005E000F"/>
    <w:p w14:paraId="4FB7B424" w14:textId="77777777" w:rsidR="005E000F" w:rsidRDefault="00000000">
      <w:r>
        <w:rPr>
          <w:rFonts w:hint="eastAsia"/>
        </w:rPr>
        <w:t>按组合计提存货跌价准备的计提标准</w:t>
      </w:r>
    </w:p>
    <w:sdt>
      <w:sdtPr>
        <w:alias w:val="是否适用：按组合计提存货跌价准备的计提标准[双击切换]"/>
        <w:tag w:val="_GBC_5ff59a2951ec4f938d7af938cd197e63"/>
        <w:id w:val="-607961614"/>
        <w:placeholder>
          <w:docPart w:val="GBC22222222222222222222222222222"/>
        </w:placeholder>
      </w:sdtPr>
      <w:sdtContent>
        <w:p w14:paraId="5586B52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BDF639E" w14:textId="77777777" w:rsidR="005E000F" w:rsidRDefault="005E000F"/>
    <w:p w14:paraId="33FD79D1" w14:textId="77777777" w:rsidR="005E000F" w:rsidRDefault="00000000">
      <w:pPr>
        <w:pStyle w:val="4"/>
        <w:numPr>
          <w:ilvl w:val="3"/>
          <w:numId w:val="75"/>
        </w:numPr>
        <w:ind w:left="426" w:hanging="426"/>
      </w:pPr>
      <w:r>
        <w:rPr>
          <w:rFonts w:hint="eastAsia"/>
        </w:rPr>
        <w:t>存货期末余额含有的借款费用资本</w:t>
      </w:r>
      <w:proofErr w:type="gramStart"/>
      <w:r>
        <w:rPr>
          <w:rFonts w:hint="eastAsia"/>
        </w:rPr>
        <w:t>化金额</w:t>
      </w:r>
      <w:proofErr w:type="gramEnd"/>
      <w:r>
        <w:rPr>
          <w:rFonts w:hint="eastAsia"/>
        </w:rPr>
        <w:t>及其计算标准和依据</w:t>
      </w:r>
    </w:p>
    <w:sdt>
      <w:sdtPr>
        <w:rPr>
          <w:rFonts w:hint="eastAsia"/>
        </w:rPr>
        <w:alias w:val="是否适用：存货期末余额含有借款费用资本化金额的说明[双击切换]"/>
        <w:tag w:val="_GBC_ff19f47f98f34678926b471a6f0d6b3f"/>
        <w:id w:val="550271931"/>
        <w:placeholder>
          <w:docPart w:val="GBC22222222222222222222222222222"/>
        </w:placeholder>
      </w:sdtPr>
      <w:sdtContent>
        <w:p w14:paraId="1E37237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4584C38" w14:textId="77777777" w:rsidR="005E000F" w:rsidRDefault="005E000F"/>
    <w:p w14:paraId="0A70DED5" w14:textId="77777777" w:rsidR="005E000F" w:rsidRDefault="00000000">
      <w:pPr>
        <w:pStyle w:val="4"/>
        <w:numPr>
          <w:ilvl w:val="3"/>
          <w:numId w:val="75"/>
        </w:numPr>
        <w:ind w:left="426" w:hanging="426"/>
      </w:pPr>
      <w:r>
        <w:rPr>
          <w:rFonts w:hint="eastAsia"/>
        </w:rPr>
        <w:t>合同履约成本本期摊销金额的说明</w:t>
      </w:r>
    </w:p>
    <w:sdt>
      <w:sdtPr>
        <w:alias w:val="是否适用：合同履约成本本期摊销金额的说明[双击切换]"/>
        <w:tag w:val="_GBC_7532d5a15e3d45fa8d69ad2921659b13"/>
        <w:id w:val="-300609843"/>
        <w:placeholder>
          <w:docPart w:val="GBC22222222222222222222222222222"/>
        </w:placeholder>
      </w:sdtPr>
      <w:sdtContent>
        <w:p w14:paraId="272146B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2A333FF" w14:textId="77777777" w:rsidR="005E000F" w:rsidRDefault="005E000F"/>
    <w:p w14:paraId="0A0EA318" w14:textId="77777777" w:rsidR="005E000F" w:rsidRDefault="00000000">
      <w:r>
        <w:rPr>
          <w:rFonts w:hint="eastAsia"/>
        </w:rPr>
        <w:t>其他说明：</w:t>
      </w:r>
    </w:p>
    <w:sdt>
      <w:sdtPr>
        <w:rPr>
          <w:rFonts w:hint="eastAsia"/>
        </w:rPr>
        <w:alias w:val="是否适用：建造合同形成的已完工未结算资产的其他说明[双击切换]"/>
        <w:tag w:val="_GBC_441099179b66496e99c8de04f24782ad"/>
        <w:id w:val="-1471825413"/>
        <w:placeholder>
          <w:docPart w:val="GBC22222222222222222222222222222"/>
        </w:placeholder>
      </w:sdtPr>
      <w:sdtContent>
        <w:p w14:paraId="6E9380F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BC6AAB8" w14:textId="77777777" w:rsidR="005E000F" w:rsidRDefault="005E000F"/>
    <w:p w14:paraId="7F901068" w14:textId="77777777" w:rsidR="005E000F" w:rsidRDefault="00000000">
      <w:pPr>
        <w:pStyle w:val="3"/>
        <w:numPr>
          <w:ilvl w:val="0"/>
          <w:numId w:val="66"/>
        </w:numPr>
        <w:tabs>
          <w:tab w:val="left" w:pos="504"/>
        </w:tabs>
      </w:pPr>
      <w:bookmarkStart w:id="311" w:name="_Hlk24380621"/>
      <w:r>
        <w:rPr>
          <w:rFonts w:hint="eastAsia"/>
        </w:rPr>
        <w:t>持有待售资产</w:t>
      </w:r>
    </w:p>
    <w:sdt>
      <w:sdtPr>
        <w:alias w:val="是否适用：划分为持有待售的资产[双击切换]"/>
        <w:tag w:val="_GBC_78f2c13384374d8eb0edd5d62d86bc52"/>
        <w:id w:val="1998373415"/>
        <w:placeholder>
          <w:docPart w:val="GBC22222222222222222222222222222"/>
        </w:placeholder>
      </w:sdtPr>
      <w:sdtContent>
        <w:p w14:paraId="54D2757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8F24B9A" w14:textId="77777777" w:rsidR="005E000F" w:rsidRDefault="005E000F"/>
    <w:p w14:paraId="724B0AD7" w14:textId="77777777" w:rsidR="005E000F" w:rsidRDefault="005E000F"/>
    <w:p w14:paraId="43EBC747" w14:textId="77777777" w:rsidR="005E000F" w:rsidRDefault="00000000">
      <w:pPr>
        <w:pStyle w:val="3"/>
        <w:numPr>
          <w:ilvl w:val="0"/>
          <w:numId w:val="66"/>
        </w:numPr>
        <w:tabs>
          <w:tab w:val="left" w:pos="504"/>
        </w:tabs>
      </w:pPr>
      <w:bookmarkStart w:id="312" w:name="_Hlk533608872"/>
      <w:bookmarkEnd w:id="311"/>
      <w:r>
        <w:rPr>
          <w:rFonts w:hint="eastAsia"/>
        </w:rPr>
        <w:t>一年内到期的非流动资产</w:t>
      </w:r>
    </w:p>
    <w:sdt>
      <w:sdtPr>
        <w:alias w:val="是否适用：一年内到期的非流动资产[双击切换]"/>
        <w:tag w:val="_GBC_ed2c28c8d4014bbb85fa424cc20fe6d7"/>
        <w:id w:val="1380119279"/>
        <w:placeholder>
          <w:docPart w:val="GBC22222222222222222222222222222"/>
        </w:placeholder>
      </w:sdtPr>
      <w:sdtContent>
        <w:p w14:paraId="4748BB4B"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C46178B" w14:textId="77777777" w:rsidR="005E000F" w:rsidRDefault="005E000F"/>
    <w:p w14:paraId="38020D88" w14:textId="77777777" w:rsidR="005E000F" w:rsidRDefault="00000000">
      <w:pPr>
        <w:pStyle w:val="4"/>
      </w:pPr>
      <w:r>
        <w:rPr>
          <w:rFonts w:hint="eastAsia"/>
        </w:rPr>
        <w:t>一年内到期的债权投资</w:t>
      </w:r>
    </w:p>
    <w:sdt>
      <w:sdtPr>
        <w:alias w:val="是否适用：一年内到期的债权投资[双击切换]"/>
        <w:tag w:val="_GBC_21106d2d4b32436eb1949dc414c4e6e2"/>
        <w:id w:val="2049331572"/>
        <w:placeholder>
          <w:docPart w:val="GBC22222222222222222222222222222"/>
        </w:placeholder>
      </w:sdtPr>
      <w:sdtContent>
        <w:p w14:paraId="41CDF2A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4E38947" w14:textId="77777777" w:rsidR="005E000F" w:rsidRDefault="005E000F">
      <w:pPr>
        <w:ind w:right="210"/>
      </w:pPr>
    </w:p>
    <w:p w14:paraId="781625A2" w14:textId="77777777" w:rsidR="005E000F" w:rsidRDefault="005E000F">
      <w:pPr>
        <w:ind w:right="210"/>
      </w:pPr>
    </w:p>
    <w:p w14:paraId="04AEA494" w14:textId="77777777" w:rsidR="005E000F" w:rsidRDefault="00000000">
      <w:pPr>
        <w:pStyle w:val="4"/>
      </w:pPr>
      <w:r>
        <w:rPr>
          <w:rFonts w:hint="eastAsia"/>
        </w:rPr>
        <w:t>一年内到期的其他债权投资</w:t>
      </w:r>
    </w:p>
    <w:sdt>
      <w:sdtPr>
        <w:alias w:val="是否适用：一年内到期的其他债权投资[双击切换]"/>
        <w:tag w:val="_GBC_7e23007806f94dceb2b97ed0f5d1e010"/>
        <w:id w:val="1843501895"/>
        <w:placeholder>
          <w:docPart w:val="GBC22222222222222222222222222222"/>
        </w:placeholder>
      </w:sdtPr>
      <w:sdtContent>
        <w:p w14:paraId="3AEC647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D6BA2B" w14:textId="77777777" w:rsidR="005E000F" w:rsidRDefault="005E000F"/>
    <w:p w14:paraId="5DB0B90B" w14:textId="77777777" w:rsidR="005E000F" w:rsidRDefault="005E000F">
      <w:pPr>
        <w:ind w:right="210"/>
      </w:pPr>
    </w:p>
    <w:p w14:paraId="5FB7C864" w14:textId="77777777" w:rsidR="005E000F" w:rsidRDefault="00000000">
      <w:pPr>
        <w:ind w:right="210"/>
      </w:pPr>
      <w:r>
        <w:rPr>
          <w:rFonts w:hint="eastAsia"/>
        </w:rPr>
        <w:t>一年内到期的非流动资产的其他说明：</w:t>
      </w:r>
    </w:p>
    <w:sdt>
      <w:sdtPr>
        <w:alias w:val="一年内到期的非流动资产其他说明"/>
        <w:tag w:val="_GBC_aebddb0e62fa4ec48ab98b4bc4575935"/>
        <w:id w:val="-1944143567"/>
        <w:placeholder>
          <w:docPart w:val="GBC22222222222222222222222222222"/>
        </w:placeholder>
      </w:sdtPr>
      <w:sdtContent>
        <w:p w14:paraId="288F85A9" w14:textId="77777777" w:rsidR="005E000F" w:rsidRDefault="00000000">
          <w:pPr>
            <w:ind w:right="210"/>
          </w:pPr>
          <w:r>
            <w:rPr>
              <w:rFonts w:hint="eastAsia"/>
            </w:rPr>
            <w:t>无</w:t>
          </w:r>
        </w:p>
      </w:sdtContent>
    </w:sdt>
    <w:p w14:paraId="25077C5D" w14:textId="77777777" w:rsidR="005E000F" w:rsidRDefault="005E000F">
      <w:pPr>
        <w:ind w:right="210"/>
      </w:pPr>
    </w:p>
    <w:p w14:paraId="2B3AB8B4" w14:textId="77777777" w:rsidR="005E000F" w:rsidRDefault="00000000">
      <w:pPr>
        <w:pStyle w:val="3"/>
        <w:numPr>
          <w:ilvl w:val="0"/>
          <w:numId w:val="66"/>
        </w:numPr>
        <w:tabs>
          <w:tab w:val="left" w:pos="504"/>
        </w:tabs>
      </w:pPr>
      <w:bookmarkStart w:id="313" w:name="_Hlk533609053"/>
      <w:bookmarkEnd w:id="312"/>
      <w:r>
        <w:rPr>
          <w:rFonts w:hint="eastAsia"/>
        </w:rPr>
        <w:t>其他流动资产</w:t>
      </w:r>
    </w:p>
    <w:sdt>
      <w:sdtPr>
        <w:alias w:val="是否适用：其他流动资产[双击切换]"/>
        <w:tag w:val="_GBC_49fe7514f24d4f7fbf009ae51ff98d5a"/>
        <w:id w:val="-529254713"/>
        <w:placeholder>
          <w:docPart w:val="GBC22222222222222222222222222222"/>
        </w:placeholder>
      </w:sdtPr>
      <w:sdtContent>
        <w:p w14:paraId="06CC9EB8"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2F1BDB3" w14:textId="77777777" w:rsidR="005E000F" w:rsidRDefault="00000000">
      <w:pPr>
        <w:jc w:val="right"/>
      </w:pPr>
      <w:r>
        <w:rPr>
          <w:rFonts w:hint="eastAsia"/>
        </w:rPr>
        <w:t>单位：</w:t>
      </w:r>
      <w:sdt>
        <w:sdtPr>
          <w:rPr>
            <w:rFonts w:hint="eastAsia"/>
          </w:rPr>
          <w:alias w:val="单位：其他流动资产"/>
          <w:tag w:val="_GBC_8aa27294471c4172ba97de2c15d029c6"/>
          <w:id w:val="-85488523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其他流动资产"/>
          <w:tag w:val="_GBC_8e1e40ac44704231aa91fcfbbccbd924"/>
          <w:id w:val="13144466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6"/>
        <w:gridCol w:w="2917"/>
        <w:gridCol w:w="2845"/>
      </w:tblGrid>
      <w:tr w:rsidR="005E000F" w14:paraId="7586FD07" w14:textId="77777777">
        <w:bookmarkStart w:id="314" w:name="_Hlk533421736" w:displacedByCustomXml="next"/>
        <w:sdt>
          <w:sdtPr>
            <w:tag w:val="_PLD_a34f889fb3794268b1f04c9534377486"/>
            <w:id w:val="73324627"/>
          </w:sdtPr>
          <w:sdtContent>
            <w:tc>
              <w:tcPr>
                <w:tcW w:w="3286" w:type="dxa"/>
                <w:vAlign w:val="center"/>
              </w:tcPr>
              <w:p w14:paraId="3F077975" w14:textId="77777777" w:rsidR="005E000F" w:rsidRDefault="00000000">
                <w:pPr>
                  <w:jc w:val="center"/>
                </w:pPr>
                <w:r>
                  <w:rPr>
                    <w:rFonts w:hint="eastAsia"/>
                  </w:rPr>
                  <w:t>项目</w:t>
                </w:r>
              </w:p>
            </w:tc>
          </w:sdtContent>
        </w:sdt>
        <w:sdt>
          <w:sdtPr>
            <w:tag w:val="_PLD_97b9b7e912e14a06b24f532e76914900"/>
            <w:id w:val="1240218969"/>
          </w:sdtPr>
          <w:sdtContent>
            <w:tc>
              <w:tcPr>
                <w:tcW w:w="2917" w:type="dxa"/>
                <w:vAlign w:val="center"/>
              </w:tcPr>
              <w:p w14:paraId="1CCB5A0B" w14:textId="77777777" w:rsidR="005E000F" w:rsidRDefault="00000000">
                <w:pPr>
                  <w:jc w:val="center"/>
                </w:pPr>
                <w:r>
                  <w:rPr>
                    <w:rFonts w:hint="eastAsia"/>
                  </w:rPr>
                  <w:t>期末余额</w:t>
                </w:r>
              </w:p>
            </w:tc>
          </w:sdtContent>
        </w:sdt>
        <w:sdt>
          <w:sdtPr>
            <w:tag w:val="_PLD_c02c94d4c7614f3cadd2972514fb87f4"/>
            <w:id w:val="-535588189"/>
          </w:sdtPr>
          <w:sdtContent>
            <w:tc>
              <w:tcPr>
                <w:tcW w:w="2845" w:type="dxa"/>
                <w:vAlign w:val="center"/>
              </w:tcPr>
              <w:p w14:paraId="404A17FC" w14:textId="77777777" w:rsidR="005E000F" w:rsidRDefault="00000000">
                <w:pPr>
                  <w:jc w:val="center"/>
                </w:pPr>
                <w:r>
                  <w:rPr>
                    <w:rFonts w:hint="eastAsia"/>
                  </w:rPr>
                  <w:t>期初余额</w:t>
                </w:r>
              </w:p>
            </w:tc>
          </w:sdtContent>
        </w:sdt>
      </w:tr>
      <w:tr w:rsidR="005E000F" w14:paraId="02491567" w14:textId="77777777">
        <w:tc>
          <w:tcPr>
            <w:tcW w:w="3286" w:type="dxa"/>
            <w:vAlign w:val="center"/>
          </w:tcPr>
          <w:p w14:paraId="56A5F79E" w14:textId="77777777" w:rsidR="005E000F" w:rsidRDefault="00000000">
            <w:r>
              <w:rPr>
                <w:rFonts w:ascii="宋体" w:hAnsi="宋体" w:hint="eastAsia"/>
                <w:color w:val="000000"/>
              </w:rPr>
              <w:t>应交增值税借方余额</w:t>
            </w:r>
          </w:p>
        </w:tc>
        <w:tc>
          <w:tcPr>
            <w:tcW w:w="2917" w:type="dxa"/>
            <w:vAlign w:val="center"/>
          </w:tcPr>
          <w:p w14:paraId="38194ED4" w14:textId="77777777" w:rsidR="005E000F" w:rsidRDefault="00000000">
            <w:pPr>
              <w:snapToGrid w:val="0"/>
              <w:jc w:val="right"/>
            </w:pPr>
            <w:r>
              <w:t>8,134,74</w:t>
            </w:r>
            <w:r>
              <w:rPr>
                <w:rFonts w:hint="eastAsia"/>
              </w:rPr>
              <w:t>6</w:t>
            </w:r>
          </w:p>
        </w:tc>
        <w:tc>
          <w:tcPr>
            <w:tcW w:w="2845" w:type="dxa"/>
            <w:vAlign w:val="center"/>
          </w:tcPr>
          <w:p w14:paraId="3DF1DA1B" w14:textId="77777777" w:rsidR="005E000F" w:rsidRDefault="00000000">
            <w:pPr>
              <w:jc w:val="right"/>
            </w:pPr>
            <w:r>
              <w:t>5,719,414</w:t>
            </w:r>
          </w:p>
        </w:tc>
      </w:tr>
      <w:tr w:rsidR="005E000F" w14:paraId="7ADDA272" w14:textId="77777777">
        <w:tc>
          <w:tcPr>
            <w:tcW w:w="3286" w:type="dxa"/>
            <w:vAlign w:val="center"/>
          </w:tcPr>
          <w:p w14:paraId="48C6D0DB" w14:textId="77777777" w:rsidR="005E000F" w:rsidRDefault="00000000">
            <w:r>
              <w:rPr>
                <w:rFonts w:ascii="宋体" w:hAnsi="宋体" w:hint="eastAsia"/>
                <w:color w:val="000000"/>
              </w:rPr>
              <w:t>待认证进项税额</w:t>
            </w:r>
          </w:p>
        </w:tc>
        <w:tc>
          <w:tcPr>
            <w:tcW w:w="2917" w:type="dxa"/>
            <w:vAlign w:val="center"/>
          </w:tcPr>
          <w:p w14:paraId="0E47437F" w14:textId="77777777" w:rsidR="005E000F" w:rsidRDefault="00000000">
            <w:pPr>
              <w:snapToGrid w:val="0"/>
              <w:jc w:val="right"/>
            </w:pPr>
            <w:r>
              <w:t>360,796,360</w:t>
            </w:r>
          </w:p>
        </w:tc>
        <w:tc>
          <w:tcPr>
            <w:tcW w:w="2845" w:type="dxa"/>
            <w:vAlign w:val="center"/>
          </w:tcPr>
          <w:p w14:paraId="5EF512C3" w14:textId="77777777" w:rsidR="005E000F" w:rsidRDefault="00000000">
            <w:pPr>
              <w:jc w:val="right"/>
            </w:pPr>
            <w:r>
              <w:t>231,591,736</w:t>
            </w:r>
          </w:p>
        </w:tc>
      </w:tr>
      <w:tr w:rsidR="005E000F" w14:paraId="42B26C0E" w14:textId="77777777">
        <w:tc>
          <w:tcPr>
            <w:tcW w:w="3286" w:type="dxa"/>
            <w:vAlign w:val="center"/>
          </w:tcPr>
          <w:p w14:paraId="23ADE6ED" w14:textId="77777777" w:rsidR="005E000F" w:rsidRDefault="00000000">
            <w:pPr>
              <w:snapToGrid w:val="0"/>
              <w:rPr>
                <w:rFonts w:ascii="宋体" w:hAnsi="宋体"/>
                <w:color w:val="000000"/>
              </w:rPr>
            </w:pPr>
            <w:r>
              <w:rPr>
                <w:rFonts w:ascii="宋体" w:hAnsi="宋体" w:hint="eastAsia"/>
                <w:color w:val="000000"/>
              </w:rPr>
              <w:t>预缴企业所得税</w:t>
            </w:r>
          </w:p>
        </w:tc>
        <w:tc>
          <w:tcPr>
            <w:tcW w:w="2917" w:type="dxa"/>
            <w:vAlign w:val="center"/>
          </w:tcPr>
          <w:p w14:paraId="6180E125" w14:textId="77777777" w:rsidR="005E000F" w:rsidRDefault="00000000">
            <w:pPr>
              <w:snapToGrid w:val="0"/>
              <w:jc w:val="right"/>
            </w:pPr>
            <w:r>
              <w:rPr>
                <w:rFonts w:hint="eastAsia"/>
              </w:rPr>
              <w:t>1,031,146,260</w:t>
            </w:r>
          </w:p>
        </w:tc>
        <w:tc>
          <w:tcPr>
            <w:tcW w:w="2845" w:type="dxa"/>
            <w:vAlign w:val="center"/>
          </w:tcPr>
          <w:p w14:paraId="284A3A7C" w14:textId="77777777" w:rsidR="005E000F" w:rsidRDefault="00000000">
            <w:pPr>
              <w:snapToGrid w:val="0"/>
              <w:jc w:val="right"/>
            </w:pPr>
            <w:r>
              <w:rPr>
                <w:rFonts w:hint="eastAsia"/>
              </w:rPr>
              <w:t>353,173</w:t>
            </w:r>
          </w:p>
        </w:tc>
      </w:tr>
      <w:tr w:rsidR="005E000F" w14:paraId="0920FC72" w14:textId="77777777">
        <w:tc>
          <w:tcPr>
            <w:tcW w:w="3286" w:type="dxa"/>
          </w:tcPr>
          <w:p w14:paraId="51E83A17" w14:textId="77777777" w:rsidR="005E000F" w:rsidRDefault="00000000">
            <w:pPr>
              <w:snapToGrid w:val="0"/>
            </w:pPr>
            <w:r>
              <w:rPr>
                <w:rFonts w:ascii="宋体" w:hAnsi="宋体" w:hint="eastAsia"/>
                <w:color w:val="000000"/>
              </w:rPr>
              <w:t>三供</w:t>
            </w:r>
            <w:proofErr w:type="gramStart"/>
            <w:r>
              <w:rPr>
                <w:rFonts w:ascii="宋体" w:hAnsi="宋体" w:hint="eastAsia"/>
                <w:color w:val="000000"/>
              </w:rPr>
              <w:t>一</w:t>
            </w:r>
            <w:proofErr w:type="gramEnd"/>
            <w:r>
              <w:rPr>
                <w:rFonts w:ascii="宋体" w:hAnsi="宋体" w:hint="eastAsia"/>
                <w:color w:val="000000"/>
              </w:rPr>
              <w:t>业维修改造支出（注1）</w:t>
            </w:r>
          </w:p>
        </w:tc>
        <w:tc>
          <w:tcPr>
            <w:tcW w:w="2917" w:type="dxa"/>
            <w:vAlign w:val="center"/>
          </w:tcPr>
          <w:p w14:paraId="55095880" w14:textId="77777777" w:rsidR="005E000F" w:rsidRDefault="00000000">
            <w:pPr>
              <w:snapToGrid w:val="0"/>
              <w:jc w:val="right"/>
            </w:pPr>
            <w:r>
              <w:t>20,628,101</w:t>
            </w:r>
          </w:p>
        </w:tc>
        <w:tc>
          <w:tcPr>
            <w:tcW w:w="2845" w:type="dxa"/>
            <w:vAlign w:val="center"/>
          </w:tcPr>
          <w:p w14:paraId="6294FFAA" w14:textId="77777777" w:rsidR="005E000F" w:rsidRDefault="00000000">
            <w:pPr>
              <w:snapToGrid w:val="0"/>
              <w:jc w:val="right"/>
            </w:pPr>
            <w:r>
              <w:t>167,231,105</w:t>
            </w:r>
          </w:p>
        </w:tc>
      </w:tr>
      <w:tr w:rsidR="005E000F" w14:paraId="5416CF64" w14:textId="77777777">
        <w:tc>
          <w:tcPr>
            <w:tcW w:w="3286" w:type="dxa"/>
          </w:tcPr>
          <w:p w14:paraId="5181532A" w14:textId="77777777" w:rsidR="005E000F" w:rsidRDefault="00000000">
            <w:pPr>
              <w:snapToGrid w:val="0"/>
              <w:rPr>
                <w:rFonts w:ascii="宋体" w:hAnsi="宋体"/>
                <w:color w:val="000000"/>
              </w:rPr>
            </w:pPr>
            <w:r>
              <w:rPr>
                <w:rFonts w:ascii="宋体" w:hAnsi="宋体" w:hint="eastAsia"/>
                <w:color w:val="000000"/>
              </w:rPr>
              <w:t>定期存款及利息（注2）</w:t>
            </w:r>
          </w:p>
        </w:tc>
        <w:tc>
          <w:tcPr>
            <w:tcW w:w="2917" w:type="dxa"/>
            <w:vAlign w:val="center"/>
          </w:tcPr>
          <w:p w14:paraId="69606379" w14:textId="77777777" w:rsidR="005E000F" w:rsidRDefault="00000000">
            <w:pPr>
              <w:snapToGrid w:val="0"/>
              <w:jc w:val="right"/>
            </w:pPr>
            <w:r>
              <w:t>502,938,889</w:t>
            </w:r>
          </w:p>
        </w:tc>
        <w:tc>
          <w:tcPr>
            <w:tcW w:w="2845" w:type="dxa"/>
            <w:vAlign w:val="center"/>
          </w:tcPr>
          <w:p w14:paraId="31D50468" w14:textId="77777777" w:rsidR="005E000F" w:rsidRDefault="00000000">
            <w:pPr>
              <w:snapToGrid w:val="0"/>
              <w:jc w:val="right"/>
            </w:pPr>
            <w:r>
              <w:rPr>
                <w:rFonts w:hint="eastAsia"/>
              </w:rPr>
              <w:t>0</w:t>
            </w:r>
          </w:p>
        </w:tc>
      </w:tr>
      <w:tr w:rsidR="005E000F" w14:paraId="2A55F6E1" w14:textId="77777777">
        <w:tc>
          <w:tcPr>
            <w:tcW w:w="3286" w:type="dxa"/>
            <w:shd w:val="clear" w:color="auto" w:fill="auto"/>
          </w:tcPr>
          <w:p w14:paraId="0A1EFF5B" w14:textId="77777777" w:rsidR="005E000F" w:rsidRDefault="00000000">
            <w:pPr>
              <w:snapToGrid w:val="0"/>
            </w:pPr>
            <w:r>
              <w:rPr>
                <w:rFonts w:ascii="宋体" w:hAnsi="宋体" w:hint="eastAsia"/>
                <w:color w:val="000000"/>
              </w:rPr>
              <w:t>其他</w:t>
            </w:r>
          </w:p>
        </w:tc>
        <w:tc>
          <w:tcPr>
            <w:tcW w:w="2917" w:type="dxa"/>
            <w:shd w:val="clear" w:color="auto" w:fill="auto"/>
            <w:vAlign w:val="center"/>
          </w:tcPr>
          <w:p w14:paraId="6236F93C" w14:textId="77777777" w:rsidR="005E000F" w:rsidRDefault="00000000">
            <w:pPr>
              <w:snapToGrid w:val="0"/>
              <w:jc w:val="right"/>
            </w:pPr>
            <w:r>
              <w:rPr>
                <w:rFonts w:hint="eastAsia"/>
              </w:rPr>
              <w:t>9</w:t>
            </w:r>
            <w:r>
              <w:t>,</w:t>
            </w:r>
            <w:r>
              <w:rPr>
                <w:rFonts w:hint="eastAsia"/>
              </w:rPr>
              <w:t>291</w:t>
            </w:r>
          </w:p>
        </w:tc>
        <w:tc>
          <w:tcPr>
            <w:tcW w:w="2845" w:type="dxa"/>
            <w:shd w:val="clear" w:color="auto" w:fill="auto"/>
            <w:vAlign w:val="center"/>
          </w:tcPr>
          <w:p w14:paraId="72044EF5" w14:textId="77777777" w:rsidR="005E000F" w:rsidRDefault="00000000">
            <w:pPr>
              <w:snapToGrid w:val="0"/>
              <w:jc w:val="right"/>
            </w:pPr>
            <w:r>
              <w:rPr>
                <w:rFonts w:hint="eastAsia"/>
              </w:rPr>
              <w:t>0</w:t>
            </w:r>
          </w:p>
        </w:tc>
      </w:tr>
      <w:tr w:rsidR="005E000F" w14:paraId="55170635" w14:textId="77777777">
        <w:tc>
          <w:tcPr>
            <w:tcW w:w="3286" w:type="dxa"/>
            <w:vAlign w:val="center"/>
          </w:tcPr>
          <w:p w14:paraId="3EECE28A" w14:textId="77777777" w:rsidR="005E000F" w:rsidRDefault="00000000">
            <w:pPr>
              <w:snapToGrid w:val="0"/>
              <w:ind w:leftChars="-51" w:left="-107"/>
              <w:jc w:val="center"/>
            </w:pPr>
            <w:r>
              <w:rPr>
                <w:rFonts w:hint="eastAsia"/>
              </w:rPr>
              <w:t>合计</w:t>
            </w:r>
          </w:p>
        </w:tc>
        <w:tc>
          <w:tcPr>
            <w:tcW w:w="2917" w:type="dxa"/>
            <w:vAlign w:val="center"/>
          </w:tcPr>
          <w:p w14:paraId="20BBA8F1" w14:textId="77777777" w:rsidR="005E000F" w:rsidRDefault="00000000">
            <w:pPr>
              <w:snapToGrid w:val="0"/>
              <w:jc w:val="right"/>
            </w:pPr>
            <w:r>
              <w:t>1,923,653,64</w:t>
            </w:r>
            <w:r>
              <w:rPr>
                <w:rFonts w:hint="eastAsia"/>
              </w:rPr>
              <w:t>7</w:t>
            </w:r>
          </w:p>
        </w:tc>
        <w:tc>
          <w:tcPr>
            <w:tcW w:w="2845" w:type="dxa"/>
            <w:vAlign w:val="center"/>
          </w:tcPr>
          <w:p w14:paraId="5A4CF31A" w14:textId="77777777" w:rsidR="005E000F" w:rsidRDefault="00000000">
            <w:pPr>
              <w:snapToGrid w:val="0"/>
              <w:jc w:val="right"/>
            </w:pPr>
            <w:r>
              <w:t>404,895,428</w:t>
            </w:r>
          </w:p>
        </w:tc>
      </w:tr>
    </w:tbl>
    <w:bookmarkEnd w:id="314"/>
    <w:p w14:paraId="6F561051" w14:textId="77777777" w:rsidR="005E000F" w:rsidRDefault="00000000">
      <w:r>
        <w:rPr>
          <w:rFonts w:hint="eastAsia"/>
        </w:rPr>
        <w:t>其他说明：</w:t>
      </w:r>
    </w:p>
    <w:sdt>
      <w:sdtPr>
        <w:rPr>
          <w:rFonts w:hint="eastAsia"/>
        </w:rPr>
        <w:alias w:val="其他流动资产说明"/>
        <w:tag w:val="_GBC_6b66243025624716a85c25ca534f7d52"/>
        <w:id w:val="-481315730"/>
        <w:placeholder>
          <w:docPart w:val="GBC22222222222222222222222222222"/>
        </w:placeholder>
      </w:sdtPr>
      <w:sdtContent>
        <w:p w14:paraId="53BCF74C" w14:textId="77777777" w:rsidR="005E000F" w:rsidRDefault="00000000">
          <w:pPr>
            <w:rPr>
              <w:bCs/>
            </w:rPr>
          </w:pPr>
          <w:r>
            <w:rPr>
              <w:rFonts w:hint="eastAsia"/>
              <w:bCs/>
            </w:rPr>
            <w:t>注</w:t>
          </w:r>
          <w:r>
            <w:rPr>
              <w:rFonts w:hint="eastAsia"/>
              <w:bCs/>
            </w:rPr>
            <w:t>1</w:t>
          </w:r>
          <w:r>
            <w:rPr>
              <w:rFonts w:hint="eastAsia"/>
              <w:bCs/>
            </w:rPr>
            <w:t>：根据《国务院办公厅转发国务院国资委、财政部关于国有企业职工家属区“三供一业”分离移交工作指导意见的通知》（国办发【</w:t>
          </w:r>
          <w:r>
            <w:rPr>
              <w:rFonts w:hint="eastAsia"/>
              <w:bCs/>
            </w:rPr>
            <w:t>2016</w:t>
          </w:r>
          <w:r>
            <w:rPr>
              <w:rFonts w:hint="eastAsia"/>
              <w:bCs/>
            </w:rPr>
            <w:t>】</w:t>
          </w:r>
          <w:r>
            <w:rPr>
              <w:rFonts w:hint="eastAsia"/>
              <w:bCs/>
            </w:rPr>
            <w:t xml:space="preserve">45 </w:t>
          </w:r>
          <w:r>
            <w:rPr>
              <w:rFonts w:hint="eastAsia"/>
              <w:bCs/>
            </w:rPr>
            <w:t>号）、《中国铁路总公司关于做好“三供一业”分离移交工作的通知》（</w:t>
          </w:r>
          <w:proofErr w:type="gramStart"/>
          <w:r>
            <w:rPr>
              <w:rFonts w:hint="eastAsia"/>
              <w:bCs/>
            </w:rPr>
            <w:t>铁总运【</w:t>
          </w:r>
          <w:r>
            <w:rPr>
              <w:rFonts w:hint="eastAsia"/>
              <w:bCs/>
            </w:rPr>
            <w:t>2016</w:t>
          </w:r>
          <w:r>
            <w:rPr>
              <w:rFonts w:hint="eastAsia"/>
              <w:bCs/>
            </w:rPr>
            <w:t>】</w:t>
          </w:r>
          <w:proofErr w:type="gramEnd"/>
          <w:r>
            <w:rPr>
              <w:rFonts w:hint="eastAsia"/>
              <w:bCs/>
            </w:rPr>
            <w:t xml:space="preserve">180 </w:t>
          </w:r>
          <w:r>
            <w:rPr>
              <w:rFonts w:hint="eastAsia"/>
              <w:bCs/>
            </w:rPr>
            <w:t>号）等文件的规定，本公司于</w:t>
          </w:r>
          <w:r>
            <w:rPr>
              <w:rFonts w:hint="eastAsia"/>
              <w:bCs/>
            </w:rPr>
            <w:t xml:space="preserve"> 2018 </w:t>
          </w:r>
          <w:r>
            <w:rPr>
              <w:rFonts w:hint="eastAsia"/>
              <w:bCs/>
            </w:rPr>
            <w:t>年启动“三供</w:t>
          </w:r>
          <w:proofErr w:type="gramStart"/>
          <w:r>
            <w:rPr>
              <w:rFonts w:hint="eastAsia"/>
              <w:bCs/>
            </w:rPr>
            <w:t>一</w:t>
          </w:r>
          <w:proofErr w:type="gramEnd"/>
          <w:r>
            <w:rPr>
              <w:rFonts w:hint="eastAsia"/>
              <w:bCs/>
            </w:rPr>
            <w:t>业”分离移交工作，对职工家属区供水、供电、供热（供气）和物业管理（统称“三供</w:t>
          </w:r>
          <w:proofErr w:type="gramStart"/>
          <w:r>
            <w:rPr>
              <w:rFonts w:hint="eastAsia"/>
              <w:bCs/>
            </w:rPr>
            <w:t>一</w:t>
          </w:r>
          <w:proofErr w:type="gramEnd"/>
          <w:r>
            <w:rPr>
              <w:rFonts w:hint="eastAsia"/>
              <w:bCs/>
            </w:rPr>
            <w:t>业”）实施分离移交。</w:t>
          </w:r>
        </w:p>
        <w:p w14:paraId="136812D4" w14:textId="77777777" w:rsidR="005E000F" w:rsidRDefault="00000000">
          <w:pPr>
            <w:rPr>
              <w:bCs/>
            </w:rPr>
          </w:pPr>
          <w:r>
            <w:rPr>
              <w:bCs/>
            </w:rPr>
            <w:t xml:space="preserve"> </w:t>
          </w:r>
        </w:p>
        <w:p w14:paraId="1AA6F7EE" w14:textId="77777777" w:rsidR="005E000F" w:rsidRDefault="00000000">
          <w:pPr>
            <w:rPr>
              <w:bCs/>
            </w:rPr>
          </w:pPr>
          <w:r>
            <w:rPr>
              <w:rFonts w:hint="eastAsia"/>
              <w:bCs/>
            </w:rPr>
            <w:t>于</w:t>
          </w:r>
          <w:r>
            <w:rPr>
              <w:rFonts w:hint="eastAsia"/>
              <w:bCs/>
            </w:rPr>
            <w:t>2025</w:t>
          </w:r>
          <w:r>
            <w:rPr>
              <w:rFonts w:hint="eastAsia"/>
              <w:bCs/>
            </w:rPr>
            <w:t>年</w:t>
          </w:r>
          <w:r>
            <w:rPr>
              <w:rFonts w:hint="eastAsia"/>
              <w:bCs/>
            </w:rPr>
            <w:t>12</w:t>
          </w:r>
          <w:r>
            <w:rPr>
              <w:rFonts w:hint="eastAsia"/>
              <w:bCs/>
            </w:rPr>
            <w:t>月</w:t>
          </w:r>
          <w:r>
            <w:rPr>
              <w:rFonts w:hint="eastAsia"/>
              <w:bCs/>
            </w:rPr>
            <w:t>31</w:t>
          </w:r>
          <w:r>
            <w:rPr>
              <w:rFonts w:hint="eastAsia"/>
              <w:bCs/>
            </w:rPr>
            <w:t>日，本公司“三供</w:t>
          </w:r>
          <w:proofErr w:type="gramStart"/>
          <w:r>
            <w:rPr>
              <w:rFonts w:hint="eastAsia"/>
              <w:bCs/>
            </w:rPr>
            <w:t>一</w:t>
          </w:r>
          <w:proofErr w:type="gramEnd"/>
          <w:r>
            <w:rPr>
              <w:rFonts w:hint="eastAsia"/>
              <w:bCs/>
            </w:rPr>
            <w:t>业”维修改造支出累计为人民币</w:t>
          </w:r>
          <w:r>
            <w:rPr>
              <w:rFonts w:hint="eastAsia"/>
              <w:bCs/>
            </w:rPr>
            <w:t>2,482,684,274</w:t>
          </w:r>
          <w:r>
            <w:rPr>
              <w:rFonts w:hint="eastAsia"/>
              <w:bCs/>
            </w:rPr>
            <w:t>元，其中累计已达到分离移交完成条件的维修改造支出累计为人民币</w:t>
          </w:r>
          <w:r>
            <w:rPr>
              <w:rFonts w:hint="eastAsia"/>
              <w:bCs/>
            </w:rPr>
            <w:t>2,462,056,173</w:t>
          </w:r>
          <w:r>
            <w:rPr>
              <w:rFonts w:hint="eastAsia"/>
              <w:bCs/>
            </w:rPr>
            <w:t>元。</w:t>
          </w:r>
          <w:r>
            <w:rPr>
              <w:rFonts w:hint="eastAsia"/>
              <w:bCs/>
            </w:rPr>
            <w:t>2022</w:t>
          </w:r>
          <w:r>
            <w:rPr>
              <w:rFonts w:hint="eastAsia"/>
              <w:bCs/>
            </w:rPr>
            <w:t>年，本公司根据《国铁集团办公厅转发财政部、国资委关于中央企业和原中央下放企业职工家属区“三供一业”分离移交中央财政补助资金清算的通知》（</w:t>
          </w:r>
          <w:proofErr w:type="gramStart"/>
          <w:r>
            <w:rPr>
              <w:rFonts w:hint="eastAsia"/>
              <w:bCs/>
            </w:rPr>
            <w:t>铁办财〔</w:t>
          </w:r>
          <w:r>
            <w:rPr>
              <w:rFonts w:hint="eastAsia"/>
              <w:bCs/>
            </w:rPr>
            <w:t>2019</w:t>
          </w:r>
          <w:r>
            <w:rPr>
              <w:rFonts w:hint="eastAsia"/>
              <w:bCs/>
            </w:rPr>
            <w:t>〕</w:t>
          </w:r>
          <w:proofErr w:type="gramEnd"/>
          <w:r>
            <w:rPr>
              <w:rFonts w:hint="eastAsia"/>
              <w:bCs/>
            </w:rPr>
            <w:t>47</w:t>
          </w:r>
          <w:r>
            <w:rPr>
              <w:rFonts w:hint="eastAsia"/>
              <w:bCs/>
            </w:rPr>
            <w:t>号）文件要求，将应由本公司承担的部分维修改造支出人民币</w:t>
          </w:r>
          <w:r>
            <w:rPr>
              <w:rFonts w:hint="eastAsia"/>
              <w:bCs/>
            </w:rPr>
            <w:t>12,708,352</w:t>
          </w:r>
          <w:r>
            <w:rPr>
              <w:rFonts w:hint="eastAsia"/>
              <w:bCs/>
            </w:rPr>
            <w:t>元冲减所有者权益，将应由中央财政补贴的部分人民币</w:t>
          </w:r>
          <w:r>
            <w:rPr>
              <w:rFonts w:hint="eastAsia"/>
              <w:bCs/>
            </w:rPr>
            <w:t>45,564,400</w:t>
          </w:r>
          <w:r>
            <w:rPr>
              <w:rFonts w:hint="eastAsia"/>
              <w:bCs/>
            </w:rPr>
            <w:t>元，于</w:t>
          </w:r>
          <w:r>
            <w:rPr>
              <w:rFonts w:hint="eastAsia"/>
              <w:bCs/>
            </w:rPr>
            <w:t>2025</w:t>
          </w:r>
          <w:r>
            <w:rPr>
              <w:rFonts w:hint="eastAsia"/>
              <w:bCs/>
            </w:rPr>
            <w:t>年</w:t>
          </w:r>
          <w:r>
            <w:rPr>
              <w:rFonts w:hint="eastAsia"/>
              <w:bCs/>
            </w:rPr>
            <w:t>12</w:t>
          </w:r>
          <w:r>
            <w:rPr>
              <w:rFonts w:hint="eastAsia"/>
              <w:bCs/>
            </w:rPr>
            <w:t>月</w:t>
          </w:r>
          <w:r>
            <w:rPr>
              <w:rFonts w:hint="eastAsia"/>
              <w:bCs/>
            </w:rPr>
            <w:t>31</w:t>
          </w:r>
          <w:r>
            <w:rPr>
              <w:rFonts w:hint="eastAsia"/>
              <w:bCs/>
            </w:rPr>
            <w:t>日确认为对国铁集团及其下属单位的其他应收款。截至</w:t>
          </w:r>
          <w:r>
            <w:rPr>
              <w:rFonts w:hint="eastAsia"/>
              <w:bCs/>
            </w:rPr>
            <w:t>2025</w:t>
          </w:r>
          <w:r>
            <w:rPr>
              <w:rFonts w:hint="eastAsia"/>
              <w:bCs/>
            </w:rPr>
            <w:t>年</w:t>
          </w:r>
          <w:r>
            <w:rPr>
              <w:rFonts w:hint="eastAsia"/>
              <w:bCs/>
            </w:rPr>
            <w:t>12</w:t>
          </w:r>
          <w:r>
            <w:rPr>
              <w:rFonts w:hint="eastAsia"/>
              <w:bCs/>
            </w:rPr>
            <w:t>月</w:t>
          </w:r>
          <w:r>
            <w:rPr>
              <w:rFonts w:hint="eastAsia"/>
              <w:bCs/>
            </w:rPr>
            <w:t>31</w:t>
          </w:r>
          <w:r>
            <w:rPr>
              <w:rFonts w:hint="eastAsia"/>
              <w:bCs/>
            </w:rPr>
            <w:t>日，本公司剩余预付维修改造支出余额为人民币</w:t>
          </w:r>
          <w:r>
            <w:rPr>
              <w:rFonts w:hint="eastAsia"/>
              <w:bCs/>
            </w:rPr>
            <w:t>20,628,101</w:t>
          </w:r>
          <w:r>
            <w:rPr>
              <w:rFonts w:hint="eastAsia"/>
              <w:bCs/>
            </w:rPr>
            <w:t>元（</w:t>
          </w:r>
          <w:r>
            <w:rPr>
              <w:rFonts w:hint="eastAsia"/>
              <w:bCs/>
            </w:rPr>
            <w:t>2024</w:t>
          </w:r>
          <w:r>
            <w:rPr>
              <w:rFonts w:hint="eastAsia"/>
              <w:bCs/>
            </w:rPr>
            <w:t>年</w:t>
          </w:r>
          <w:r>
            <w:rPr>
              <w:rFonts w:hint="eastAsia"/>
              <w:bCs/>
            </w:rPr>
            <w:t>12</w:t>
          </w:r>
          <w:r>
            <w:rPr>
              <w:rFonts w:hint="eastAsia"/>
              <w:bCs/>
            </w:rPr>
            <w:t>月</w:t>
          </w:r>
          <w:r>
            <w:rPr>
              <w:rFonts w:hint="eastAsia"/>
              <w:bCs/>
            </w:rPr>
            <w:t>31</w:t>
          </w:r>
          <w:r>
            <w:rPr>
              <w:rFonts w:hint="eastAsia"/>
              <w:bCs/>
            </w:rPr>
            <w:t>日：人民币</w:t>
          </w:r>
          <w:r>
            <w:rPr>
              <w:rFonts w:hint="eastAsia"/>
              <w:bCs/>
            </w:rPr>
            <w:t>167,231,105</w:t>
          </w:r>
          <w:r>
            <w:rPr>
              <w:rFonts w:hint="eastAsia"/>
              <w:bCs/>
            </w:rPr>
            <w:t>元），待达到分离移交完成条件后进行相应处理。</w:t>
          </w:r>
        </w:p>
        <w:p w14:paraId="12821FAF" w14:textId="77777777" w:rsidR="005E000F" w:rsidRDefault="005E000F">
          <w:pPr>
            <w:rPr>
              <w:bCs/>
            </w:rPr>
          </w:pPr>
        </w:p>
        <w:p w14:paraId="25063539" w14:textId="77777777" w:rsidR="005E000F" w:rsidRDefault="00000000">
          <w:pPr>
            <w:rPr>
              <w:bCs/>
            </w:rPr>
          </w:pPr>
          <w:r>
            <w:rPr>
              <w:rFonts w:hint="eastAsia"/>
              <w:bCs/>
            </w:rPr>
            <w:t>注</w:t>
          </w:r>
          <w:r>
            <w:rPr>
              <w:rFonts w:hint="eastAsia"/>
              <w:bCs/>
            </w:rPr>
            <w:t>2</w:t>
          </w:r>
          <w:r>
            <w:rPr>
              <w:rFonts w:hint="eastAsia"/>
              <w:bCs/>
            </w:rPr>
            <w:t>：定期存款本金人民币</w:t>
          </w:r>
          <w:r>
            <w:rPr>
              <w:rFonts w:hint="eastAsia"/>
              <w:bCs/>
            </w:rPr>
            <w:t>500,000,000</w:t>
          </w:r>
          <w:r>
            <w:rPr>
              <w:rFonts w:hint="eastAsia"/>
              <w:bCs/>
            </w:rPr>
            <w:t>元，为本集团持有的存放在中国铁路财务有限责任公司的若干笔定期存款，期限均为六个月。</w:t>
          </w:r>
        </w:p>
        <w:p w14:paraId="7A348B78" w14:textId="77777777" w:rsidR="005E000F" w:rsidRDefault="00000000"/>
      </w:sdtContent>
    </w:sdt>
    <w:p w14:paraId="4CD76A89" w14:textId="77777777" w:rsidR="005E000F" w:rsidRDefault="005E000F"/>
    <w:p w14:paraId="7F1EF1FE" w14:textId="77777777" w:rsidR="005E000F" w:rsidRDefault="00000000">
      <w:pPr>
        <w:pStyle w:val="3"/>
        <w:numPr>
          <w:ilvl w:val="0"/>
          <w:numId w:val="66"/>
        </w:numPr>
        <w:tabs>
          <w:tab w:val="left" w:pos="504"/>
        </w:tabs>
      </w:pPr>
      <w:bookmarkStart w:id="315" w:name="_Hlk533409588"/>
      <w:bookmarkEnd w:id="313"/>
      <w:r>
        <w:rPr>
          <w:rFonts w:hint="eastAsia"/>
        </w:rPr>
        <w:t>债权投资</w:t>
      </w:r>
    </w:p>
    <w:p w14:paraId="61369083" w14:textId="77777777" w:rsidR="005E000F" w:rsidRDefault="00000000">
      <w:pPr>
        <w:pStyle w:val="4"/>
        <w:numPr>
          <w:ilvl w:val="3"/>
          <w:numId w:val="76"/>
        </w:numPr>
        <w:ind w:left="426" w:hanging="426"/>
      </w:pPr>
      <w:bookmarkStart w:id="316" w:name="_Hlk532993723"/>
      <w:r>
        <w:rPr>
          <w:rFonts w:hint="eastAsia"/>
        </w:rPr>
        <w:t>债权投资情况</w:t>
      </w:r>
    </w:p>
    <w:sdt>
      <w:sdtPr>
        <w:alias w:val="是否适用：以摊余成本计量的长期债权投资[双击切换]"/>
        <w:tag w:val="_GBC_dbc7f90615cc46578228904cb4aa1cff"/>
        <w:id w:val="1226418869"/>
        <w:placeholder>
          <w:docPart w:val="GBC22222222222222222222222222222"/>
        </w:placeholder>
      </w:sdtPr>
      <w:sdtContent>
        <w:p w14:paraId="0552D98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66F7452" w14:textId="77777777" w:rsidR="005E000F" w:rsidRDefault="005E000F"/>
    <w:p w14:paraId="0CCE3FB0" w14:textId="77777777" w:rsidR="005E000F" w:rsidRDefault="00000000">
      <w:bookmarkStart w:id="317" w:name="_Hlk153455457"/>
      <w:r>
        <w:rPr>
          <w:rFonts w:hint="eastAsia"/>
        </w:rPr>
        <w:t>债权投资减值准备本期变动情况</w:t>
      </w:r>
    </w:p>
    <w:sdt>
      <w:sdtPr>
        <w:alias w:val="是否适用：减值准备本期变动情况[双击切换]"/>
        <w:tag w:val="_GBC_87c0bbb5863948af834604c8aeaf814f"/>
        <w:id w:val="519133528"/>
        <w:placeholder>
          <w:docPart w:val="GBC22222222222222222222222222222"/>
        </w:placeholder>
      </w:sdtPr>
      <w:sdtContent>
        <w:p w14:paraId="5F6E0AD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BA3CEE0" w14:textId="77777777" w:rsidR="005E000F" w:rsidRDefault="005E000F"/>
    <w:p w14:paraId="76443440" w14:textId="77777777" w:rsidR="005E000F" w:rsidRDefault="00000000">
      <w:pPr>
        <w:pStyle w:val="4"/>
        <w:numPr>
          <w:ilvl w:val="3"/>
          <w:numId w:val="76"/>
        </w:numPr>
        <w:ind w:left="426" w:hanging="426"/>
      </w:pPr>
      <w:bookmarkStart w:id="318" w:name="_Hlk532994191"/>
      <w:bookmarkEnd w:id="317"/>
      <w:r>
        <w:rPr>
          <w:rFonts w:hint="eastAsia"/>
        </w:rPr>
        <w:t>期末重要的债权投资</w:t>
      </w:r>
    </w:p>
    <w:sdt>
      <w:sdtPr>
        <w:alias w:val="是否适用：重要的债权投资[双击切换]"/>
        <w:tag w:val="_GBC_ca6db275ff8944c2900ec34693d6ebf6"/>
        <w:id w:val="-274783585"/>
        <w:placeholder>
          <w:docPart w:val="GBC22222222222222222222222222222"/>
        </w:placeholder>
      </w:sdtPr>
      <w:sdtContent>
        <w:p w14:paraId="3195630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B04CD0C" w14:textId="77777777" w:rsidR="005E000F" w:rsidRDefault="005E000F"/>
    <w:p w14:paraId="123B2678" w14:textId="77777777" w:rsidR="005E000F" w:rsidRDefault="00000000">
      <w:pPr>
        <w:pStyle w:val="4"/>
        <w:numPr>
          <w:ilvl w:val="3"/>
          <w:numId w:val="76"/>
        </w:numPr>
        <w:ind w:left="426" w:hanging="426"/>
      </w:pPr>
      <w:bookmarkStart w:id="319" w:name="_Hlk533872317"/>
      <w:bookmarkEnd w:id="315"/>
      <w:bookmarkEnd w:id="316"/>
      <w:bookmarkEnd w:id="318"/>
      <w:r>
        <w:rPr>
          <w:rFonts w:ascii="宋体" w:eastAsia="宋体" w:hAnsi="宋体" w:cs="宋体" w:hint="eastAsia"/>
          <w:bCs w:val="0"/>
          <w:kern w:val="0"/>
          <w:szCs w:val="24"/>
        </w:rPr>
        <w:t>减值准备计提情况</w:t>
      </w:r>
    </w:p>
    <w:sdt>
      <w:sdtPr>
        <w:alias w:val="是否适用：债权投资减值准备调节表[双击切换]"/>
        <w:tag w:val="_GBC_686136d6dd874d559865e7aa5dd1a835"/>
        <w:id w:val="672466568"/>
        <w:placeholder>
          <w:docPart w:val="GBC22222222222222222222222222222"/>
        </w:placeholder>
      </w:sdtPr>
      <w:sdtContent>
        <w:p w14:paraId="023F8CA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B03D24F" w14:textId="77777777" w:rsidR="005E000F" w:rsidRDefault="005E000F"/>
    <w:p w14:paraId="3CA81344" w14:textId="77777777" w:rsidR="005E000F" w:rsidRDefault="00000000">
      <w:r>
        <w:rPr>
          <w:rFonts w:hint="eastAsia"/>
        </w:rPr>
        <w:t>各阶段划分依据和减值准备计提比例：</w:t>
      </w:r>
    </w:p>
    <w:sdt>
      <w:sdtPr>
        <w:alias w:val="债权投资各阶段划分依据和减值准备计提比例"/>
        <w:tag w:val="_GBC_60f5cb3d88a34c9d9e0fb015def585fa"/>
        <w:id w:val="1219252107"/>
        <w:placeholder>
          <w:docPart w:val="GBC22222222222222222222222222222"/>
        </w:placeholder>
      </w:sdtPr>
      <w:sdtContent>
        <w:p w14:paraId="16F7FE22" w14:textId="77777777" w:rsidR="005E000F" w:rsidRDefault="00000000">
          <w:r>
            <w:rPr>
              <w:rFonts w:hint="eastAsia"/>
            </w:rPr>
            <w:t>无</w:t>
          </w:r>
        </w:p>
      </w:sdtContent>
    </w:sdt>
    <w:p w14:paraId="42DD1D71" w14:textId="77777777" w:rsidR="005E000F" w:rsidRDefault="005E000F"/>
    <w:p w14:paraId="37BF4FA5" w14:textId="77777777" w:rsidR="005E000F" w:rsidRDefault="00000000">
      <w:pPr>
        <w:pStyle w:val="affb"/>
      </w:pPr>
      <w:r>
        <w:rPr>
          <w:rFonts w:hint="eastAsia"/>
        </w:rPr>
        <w:t>对本期发生损失准备变动的债权投资账面余额显著变动的情况说明：</w:t>
      </w:r>
    </w:p>
    <w:sdt>
      <w:sdtPr>
        <w:alias w:val="是否适用：债权投资本期发生损失准备变动且账面余额显著变动的情况说明[双击切换]"/>
        <w:tag w:val="_GBC_5f05e251eb914f049048988a9e9168df"/>
        <w:id w:val="-494104646"/>
        <w:placeholder>
          <w:docPart w:val="GBC22222222222222222222222222222"/>
        </w:placeholder>
      </w:sdtPr>
      <w:sdtContent>
        <w:p w14:paraId="415F2D61"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B5CC42B" w14:textId="77777777" w:rsidR="005E000F" w:rsidRDefault="005E000F">
      <w:pPr>
        <w:autoSpaceDE w:val="0"/>
        <w:autoSpaceDN w:val="0"/>
        <w:adjustRightInd w:val="0"/>
        <w:ind w:rightChars="50" w:right="105"/>
      </w:pPr>
    </w:p>
    <w:bookmarkEnd w:id="319"/>
    <w:p w14:paraId="30DE8EF9" w14:textId="77777777" w:rsidR="005E000F" w:rsidRDefault="00000000">
      <w:pPr>
        <w:pStyle w:val="affb"/>
      </w:pPr>
      <w:r>
        <w:rPr>
          <w:rFonts w:hint="eastAsia"/>
        </w:rPr>
        <w:t>本</w:t>
      </w:r>
      <w:r>
        <w:t>期减</w:t>
      </w:r>
      <w:r>
        <w:rPr>
          <w:rFonts w:hint="eastAsia"/>
        </w:rPr>
        <w:t>值</w:t>
      </w:r>
      <w:r>
        <w:t>准备计提金额以及评估金融工具的</w:t>
      </w:r>
      <w:r>
        <w:rPr>
          <w:rFonts w:hint="eastAsia"/>
        </w:rPr>
        <w:t>信用风险是否显著增加的采用依据</w:t>
      </w:r>
    </w:p>
    <w:sdt>
      <w:sdtPr>
        <w:alias w:val="是否适用：债权投资减值准备计提金额以及评估金融工具的信用风险显著增加的采用依据[双击切换]"/>
        <w:tag w:val="_GBC_799f699e556f4272acd7681b17e4ede5"/>
        <w:id w:val="2123577746"/>
        <w:placeholder>
          <w:docPart w:val="GBC22222222222222222222222222222"/>
        </w:placeholder>
      </w:sdtPr>
      <w:sdtContent>
        <w:p w14:paraId="651FA8E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A01DA2" w14:textId="77777777" w:rsidR="005E000F" w:rsidRDefault="005E000F"/>
    <w:p w14:paraId="3B9D96A9" w14:textId="77777777" w:rsidR="005E000F" w:rsidRDefault="00000000">
      <w:pPr>
        <w:pStyle w:val="4"/>
        <w:numPr>
          <w:ilvl w:val="3"/>
          <w:numId w:val="76"/>
        </w:numPr>
        <w:ind w:left="426" w:hanging="426"/>
        <w:rPr>
          <w:rFonts w:ascii="宋体" w:eastAsia="宋体" w:hAnsi="宋体" w:cs="宋体"/>
          <w:kern w:val="0"/>
          <w:szCs w:val="24"/>
        </w:rPr>
      </w:pPr>
      <w:bookmarkStart w:id="320" w:name="_Hlk153455555"/>
      <w:r>
        <w:rPr>
          <w:rFonts w:ascii="宋体" w:eastAsia="宋体" w:hAnsi="宋体" w:cs="宋体"/>
          <w:kern w:val="0"/>
          <w:szCs w:val="24"/>
        </w:rPr>
        <w:t>本期实际</w:t>
      </w:r>
      <w:r>
        <w:rPr>
          <w:rFonts w:ascii="宋体" w:eastAsia="宋体" w:hAnsi="宋体" w:cs="宋体" w:hint="eastAsia"/>
          <w:kern w:val="0"/>
          <w:szCs w:val="24"/>
        </w:rPr>
        <w:t>的</w:t>
      </w:r>
      <w:r>
        <w:rPr>
          <w:rFonts w:ascii="宋体" w:eastAsia="宋体" w:hAnsi="宋体" w:cs="宋体"/>
          <w:kern w:val="0"/>
          <w:szCs w:val="24"/>
        </w:rPr>
        <w:t>核销</w:t>
      </w:r>
      <w:r>
        <w:rPr>
          <w:rFonts w:ascii="宋体" w:eastAsia="宋体" w:hAnsi="宋体" w:cs="宋体" w:hint="eastAsia"/>
          <w:kern w:val="0"/>
          <w:szCs w:val="24"/>
        </w:rPr>
        <w:t>债权投资</w:t>
      </w:r>
      <w:r>
        <w:rPr>
          <w:rFonts w:ascii="宋体" w:eastAsia="宋体" w:hAnsi="宋体" w:cs="宋体"/>
          <w:kern w:val="0"/>
          <w:szCs w:val="24"/>
        </w:rPr>
        <w:t>情况</w:t>
      </w:r>
    </w:p>
    <w:sdt>
      <w:sdtPr>
        <w:alias w:val="是否适用：实际核销的情况[双击切换]"/>
        <w:tag w:val="_GBC_fc91e5e5672d4b4eb2e0779a0867e84c"/>
        <w:id w:val="-907618935"/>
        <w:placeholder>
          <w:docPart w:val="GBC22222222222222222222222222222"/>
        </w:placeholder>
      </w:sdtPr>
      <w:sdtContent>
        <w:p w14:paraId="27A99DD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118659F" w14:textId="77777777" w:rsidR="005E000F" w:rsidRDefault="005E000F"/>
    <w:p w14:paraId="0FFF408F" w14:textId="77777777" w:rsidR="005E000F" w:rsidRDefault="00000000">
      <w:r>
        <w:rPr>
          <w:rFonts w:hint="eastAsia"/>
        </w:rPr>
        <w:t>其中重要的债权投资</w:t>
      </w:r>
      <w:r>
        <w:t>情况</w:t>
      </w:r>
      <w:r>
        <w:rPr>
          <w:rFonts w:hint="eastAsia"/>
        </w:rPr>
        <w:t>核销情况</w:t>
      </w:r>
    </w:p>
    <w:sdt>
      <w:sdtPr>
        <w:rPr>
          <w:rFonts w:hint="eastAsia"/>
        </w:rPr>
        <w:alias w:val="是否适用：重要的核销情况[双击切换]"/>
        <w:tag w:val="_GBC_b1835377ab8f4324a0ddc492f3da304c"/>
        <w:id w:val="439184522"/>
        <w:placeholder>
          <w:docPart w:val="GBC22222222222222222222222222222"/>
        </w:placeholder>
      </w:sdtPr>
      <w:sdtContent>
        <w:p w14:paraId="4E5C5F7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8C7A7A2" w14:textId="77777777" w:rsidR="005E000F" w:rsidRDefault="005E000F"/>
    <w:p w14:paraId="2E76C34D" w14:textId="77777777" w:rsidR="005E000F" w:rsidRDefault="00000000">
      <w:pPr>
        <w:snapToGrid w:val="0"/>
        <w:spacing w:line="240" w:lineRule="atLeast"/>
      </w:pPr>
      <w:r>
        <w:rPr>
          <w:rFonts w:hint="eastAsia"/>
        </w:rPr>
        <w:t>债权投资的核销说明：</w:t>
      </w:r>
    </w:p>
    <w:sdt>
      <w:sdtPr>
        <w:alias w:val="是否适用：核销说明[双击切换]"/>
        <w:tag w:val="_GBC_f135d5c946cc473182fa418ce9c408ae"/>
        <w:id w:val="-2108797116"/>
        <w:placeholder>
          <w:docPart w:val="GBC22222222222222222222222222222"/>
        </w:placeholder>
      </w:sdtPr>
      <w:sdtContent>
        <w:p w14:paraId="1D2F2576"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4BCD418" w14:textId="77777777" w:rsidR="005E000F" w:rsidRDefault="005E000F"/>
    <w:bookmarkEnd w:id="320"/>
    <w:p w14:paraId="4B216759" w14:textId="77777777" w:rsidR="005E000F" w:rsidRDefault="00000000">
      <w:r>
        <w:rPr>
          <w:rFonts w:hint="eastAsia"/>
        </w:rPr>
        <w:t>其他说明：</w:t>
      </w:r>
    </w:p>
    <w:sdt>
      <w:sdtPr>
        <w:alias w:val="是否适用：债权投资其他说明[双击切换]"/>
        <w:tag w:val="_GBC_17cf4c675aec4f36816c24c079df205c"/>
        <w:id w:val="-534200021"/>
        <w:placeholder>
          <w:docPart w:val="GBC22222222222222222222222222222"/>
        </w:placeholder>
      </w:sdtPr>
      <w:sdtContent>
        <w:p w14:paraId="5B8697DF" w14:textId="77777777" w:rsidR="005E000F" w:rsidRDefault="00000000">
          <w:pPr>
            <w:ind w:right="21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57D3E58" w14:textId="77777777" w:rsidR="005E000F" w:rsidRDefault="005E000F">
      <w:pPr>
        <w:ind w:right="210"/>
      </w:pPr>
    </w:p>
    <w:p w14:paraId="40CDAB3B" w14:textId="77777777" w:rsidR="005E000F" w:rsidRDefault="00000000">
      <w:pPr>
        <w:pStyle w:val="3"/>
        <w:numPr>
          <w:ilvl w:val="0"/>
          <w:numId w:val="66"/>
        </w:numPr>
        <w:tabs>
          <w:tab w:val="left" w:pos="504"/>
        </w:tabs>
      </w:pPr>
      <w:r>
        <w:rPr>
          <w:rFonts w:hint="eastAsia"/>
        </w:rPr>
        <w:t>其他债权投资</w:t>
      </w:r>
    </w:p>
    <w:p w14:paraId="2D2EDA8A" w14:textId="77777777" w:rsidR="005E000F" w:rsidRDefault="00000000">
      <w:pPr>
        <w:pStyle w:val="4"/>
        <w:numPr>
          <w:ilvl w:val="3"/>
          <w:numId w:val="77"/>
        </w:numPr>
        <w:ind w:left="426" w:hanging="426"/>
      </w:pPr>
      <w:r>
        <w:rPr>
          <w:rFonts w:hint="eastAsia"/>
        </w:rPr>
        <w:t>其他债权投资情况</w:t>
      </w:r>
    </w:p>
    <w:sdt>
      <w:sdtPr>
        <w:alias w:val="是否适用：其他债权投资情况[双击切换]"/>
        <w:tag w:val="_GBC_23599130a9db43be881f1fb4a46d3b7e"/>
        <w:id w:val="-1028793459"/>
        <w:placeholder>
          <w:docPart w:val="GBC22222222222222222222222222222"/>
        </w:placeholder>
      </w:sdtPr>
      <w:sdtContent>
        <w:p w14:paraId="7982AD61" w14:textId="77777777" w:rsidR="005E000F" w:rsidRDefault="00000000">
          <w:pPr>
            <w:ind w:right="21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5426CDC" w14:textId="77777777" w:rsidR="005E000F" w:rsidRDefault="005E000F">
      <w:pPr>
        <w:ind w:right="210"/>
      </w:pPr>
    </w:p>
    <w:p w14:paraId="0056E8E7" w14:textId="77777777" w:rsidR="005E000F" w:rsidRDefault="00000000">
      <w:bookmarkStart w:id="321" w:name="_Hlk153455695"/>
      <w:r>
        <w:rPr>
          <w:rFonts w:hint="eastAsia"/>
        </w:rPr>
        <w:t>其他债权投资减值准备本期变动情况</w:t>
      </w:r>
    </w:p>
    <w:sdt>
      <w:sdtPr>
        <w:alias w:val="是否适用：减值准备本期变动情况[双击切换]"/>
        <w:tag w:val="_GBC_3e5ec98f577f4409b379fbfcb3b1cc79"/>
        <w:id w:val="1265801260"/>
        <w:placeholder>
          <w:docPart w:val="GBC22222222222222222222222222222"/>
        </w:placeholder>
      </w:sdtPr>
      <w:sdtContent>
        <w:p w14:paraId="21318324"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21"/>
    <w:p w14:paraId="0380CFC7" w14:textId="77777777" w:rsidR="005E000F" w:rsidRDefault="005E000F"/>
    <w:p w14:paraId="7FAFC308" w14:textId="77777777" w:rsidR="005E000F" w:rsidRDefault="00000000">
      <w:pPr>
        <w:pStyle w:val="4"/>
        <w:numPr>
          <w:ilvl w:val="3"/>
          <w:numId w:val="77"/>
        </w:numPr>
        <w:ind w:left="426" w:hanging="426"/>
      </w:pPr>
      <w:bookmarkStart w:id="322" w:name="_Hlk533848078"/>
      <w:r>
        <w:rPr>
          <w:rFonts w:hint="eastAsia"/>
        </w:rPr>
        <w:t>期末重要的其他债权投资</w:t>
      </w:r>
    </w:p>
    <w:sdt>
      <w:sdtPr>
        <w:alias w:val="是否适用：重要的其他债权投资[双击切换]"/>
        <w:tag w:val="_GBC_bb82f40f19284b2489199fbaa477b35c"/>
        <w:id w:val="579803760"/>
        <w:placeholder>
          <w:docPart w:val="GBC22222222222222222222222222222"/>
        </w:placeholder>
      </w:sdtPr>
      <w:sdtContent>
        <w:p w14:paraId="14D9FD86" w14:textId="77777777" w:rsidR="005E000F" w:rsidRDefault="00000000">
          <w:pPr>
            <w:ind w:right="21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9DFBBA6" w14:textId="77777777" w:rsidR="005E000F" w:rsidRDefault="005E000F">
      <w:pPr>
        <w:ind w:right="210"/>
      </w:pPr>
    </w:p>
    <w:p w14:paraId="672E8B18" w14:textId="77777777" w:rsidR="005E000F" w:rsidRDefault="00000000">
      <w:pPr>
        <w:pStyle w:val="4"/>
        <w:numPr>
          <w:ilvl w:val="3"/>
          <w:numId w:val="77"/>
        </w:numPr>
        <w:ind w:left="426" w:hanging="426"/>
      </w:pPr>
      <w:bookmarkStart w:id="323" w:name="_Hlk533872678"/>
      <w:bookmarkEnd w:id="322"/>
      <w:r>
        <w:rPr>
          <w:rFonts w:ascii="宋体" w:eastAsia="宋体" w:hAnsi="宋体" w:cs="宋体" w:hint="eastAsia"/>
          <w:bCs w:val="0"/>
          <w:kern w:val="0"/>
          <w:szCs w:val="24"/>
        </w:rPr>
        <w:lastRenderedPageBreak/>
        <w:t>减值准备计提情况</w:t>
      </w:r>
    </w:p>
    <w:sdt>
      <w:sdtPr>
        <w:alias w:val="是否适用：其他债权投资减值准备调节表[双击切换]"/>
        <w:tag w:val="_GBC_4fb0e145a1004885abb87d20ed68a2ed"/>
        <w:id w:val="2019264555"/>
        <w:placeholder>
          <w:docPart w:val="GBC22222222222222222222222222222"/>
        </w:placeholder>
      </w:sdtPr>
      <w:sdtContent>
        <w:p w14:paraId="7F9B15F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BA6CDC4" w14:textId="77777777" w:rsidR="005E000F" w:rsidRDefault="005E000F"/>
    <w:p w14:paraId="4930D003" w14:textId="77777777" w:rsidR="005E000F" w:rsidRDefault="00000000">
      <w:r>
        <w:rPr>
          <w:rFonts w:hint="eastAsia"/>
        </w:rPr>
        <w:t>各阶段划分依据和减值准备计提比例：</w:t>
      </w:r>
    </w:p>
    <w:sdt>
      <w:sdtPr>
        <w:rPr>
          <w:rFonts w:hint="eastAsia"/>
        </w:rPr>
        <w:alias w:val="其他债权投资各阶段划分依据和减值准备计提比例"/>
        <w:tag w:val="_GBC_7a6f88a666dd4467adf9d3fa4f8e9354"/>
        <w:id w:val="-1382247391"/>
        <w:placeholder>
          <w:docPart w:val="GBC22222222222222222222222222222"/>
        </w:placeholder>
      </w:sdtPr>
      <w:sdtContent>
        <w:p w14:paraId="70A8EE03" w14:textId="77777777" w:rsidR="005E000F" w:rsidRDefault="00000000">
          <w:r>
            <w:rPr>
              <w:rFonts w:hint="eastAsia"/>
            </w:rPr>
            <w:t>无</w:t>
          </w:r>
        </w:p>
      </w:sdtContent>
    </w:sdt>
    <w:p w14:paraId="1BBFCAA6" w14:textId="77777777" w:rsidR="005E000F" w:rsidRDefault="005E000F"/>
    <w:p w14:paraId="27CE08F7" w14:textId="77777777" w:rsidR="005E000F" w:rsidRDefault="00000000">
      <w:pPr>
        <w:pStyle w:val="affb"/>
      </w:pPr>
      <w:r>
        <w:rPr>
          <w:rFonts w:hint="eastAsia"/>
        </w:rPr>
        <w:t>对本期发生损失准备变动的其他债权投资账面余额显著变动的情况说明：</w:t>
      </w:r>
    </w:p>
    <w:sdt>
      <w:sdtPr>
        <w:alias w:val="是否适用：其他债权投资本期发生损失准备变动且账面余额显著变动的情况说明[双击切换]"/>
        <w:tag w:val="_GBC_e9e1f5d4f63f46a18295ea4060322e59"/>
        <w:id w:val="596144322"/>
        <w:placeholder>
          <w:docPart w:val="GBC22222222222222222222222222222"/>
        </w:placeholder>
      </w:sdtPr>
      <w:sdtContent>
        <w:p w14:paraId="263AAA3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3A112EA" w14:textId="77777777" w:rsidR="005E000F" w:rsidRDefault="005E000F"/>
    <w:p w14:paraId="455F7C6A" w14:textId="77777777" w:rsidR="005E000F" w:rsidRDefault="00000000">
      <w:pPr>
        <w:pStyle w:val="affb"/>
      </w:pPr>
      <w:bookmarkStart w:id="324" w:name="_Hlk533848073"/>
      <w:bookmarkEnd w:id="323"/>
      <w:r>
        <w:rPr>
          <w:rFonts w:hint="eastAsia"/>
        </w:rPr>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1870058412"/>
        <w:placeholder>
          <w:docPart w:val="GBC22222222222222222222222222222"/>
        </w:placeholder>
      </w:sdtPr>
      <w:sdtContent>
        <w:p w14:paraId="7B34CD70" w14:textId="77777777" w:rsidR="005E000F" w:rsidRDefault="00000000">
          <w:pPr>
            <w:ind w:right="21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3BA4736" w14:textId="77777777" w:rsidR="005E000F" w:rsidRDefault="005E000F">
      <w:pPr>
        <w:ind w:right="210"/>
      </w:pPr>
    </w:p>
    <w:p w14:paraId="0C4AB079" w14:textId="77777777" w:rsidR="005E000F" w:rsidRDefault="00000000">
      <w:pPr>
        <w:pStyle w:val="4"/>
        <w:numPr>
          <w:ilvl w:val="3"/>
          <w:numId w:val="77"/>
        </w:numPr>
        <w:ind w:left="426" w:hanging="426"/>
        <w:rPr>
          <w:rFonts w:ascii="宋体" w:eastAsia="宋体" w:hAnsi="宋体" w:cs="宋体"/>
          <w:kern w:val="0"/>
          <w:szCs w:val="24"/>
        </w:rPr>
      </w:pPr>
      <w:bookmarkStart w:id="325" w:name="_Hlk153456989"/>
      <w:bookmarkEnd w:id="324"/>
      <w:r>
        <w:rPr>
          <w:rFonts w:ascii="宋体" w:eastAsia="宋体" w:hAnsi="宋体" w:cs="宋体"/>
          <w:kern w:val="0"/>
          <w:szCs w:val="24"/>
        </w:rPr>
        <w:t>本期实际核销</w:t>
      </w:r>
      <w:r>
        <w:rPr>
          <w:rFonts w:ascii="宋体" w:eastAsia="宋体" w:hAnsi="宋体" w:cs="宋体" w:hint="eastAsia"/>
          <w:kern w:val="0"/>
          <w:szCs w:val="24"/>
        </w:rPr>
        <w:t>的其他债权投资</w:t>
      </w:r>
      <w:r>
        <w:rPr>
          <w:rFonts w:ascii="宋体" w:eastAsia="宋体" w:hAnsi="宋体" w:cs="宋体"/>
          <w:kern w:val="0"/>
          <w:szCs w:val="24"/>
        </w:rPr>
        <w:t>情况</w:t>
      </w:r>
    </w:p>
    <w:sdt>
      <w:sdtPr>
        <w:alias w:val="是否适用：实际核销的情况[双击切换]"/>
        <w:tag w:val="_GBC_7ae85c2d27ec44faaa716fc50cbdc0bf"/>
        <w:id w:val="-984241521"/>
        <w:placeholder>
          <w:docPart w:val="GBC22222222222222222222222222222"/>
        </w:placeholder>
      </w:sdtPr>
      <w:sdtContent>
        <w:p w14:paraId="2860BAD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1EDB73C" w14:textId="77777777" w:rsidR="005E000F" w:rsidRDefault="005E000F"/>
    <w:p w14:paraId="379B3172" w14:textId="77777777" w:rsidR="005E000F" w:rsidRDefault="00000000">
      <w:r>
        <w:rPr>
          <w:rFonts w:hint="eastAsia"/>
        </w:rPr>
        <w:t>其中重要的其他债权投资</w:t>
      </w:r>
      <w:r>
        <w:t>情况</w:t>
      </w:r>
      <w:r>
        <w:rPr>
          <w:rFonts w:hint="eastAsia"/>
        </w:rPr>
        <w:t>核销情况</w:t>
      </w:r>
    </w:p>
    <w:sdt>
      <w:sdtPr>
        <w:rPr>
          <w:rFonts w:hint="eastAsia"/>
        </w:rPr>
        <w:alias w:val="是否适用：重要的核销情况[双击切换]"/>
        <w:tag w:val="_GBC_d4c60ae51ff54b7399e4fd6edd2e8504"/>
        <w:id w:val="-1169175994"/>
        <w:placeholder>
          <w:docPart w:val="GBC22222222222222222222222222222"/>
        </w:placeholder>
      </w:sdtPr>
      <w:sdtContent>
        <w:p w14:paraId="57C4A22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8E884B" w14:textId="77777777" w:rsidR="005E000F" w:rsidRDefault="005E000F"/>
    <w:p w14:paraId="500F66F5" w14:textId="77777777" w:rsidR="005E000F" w:rsidRDefault="00000000">
      <w:pPr>
        <w:snapToGrid w:val="0"/>
        <w:spacing w:line="240" w:lineRule="atLeast"/>
      </w:pPr>
      <w:r>
        <w:rPr>
          <w:rFonts w:hint="eastAsia"/>
        </w:rPr>
        <w:t>其他债权投资的核销说明：</w:t>
      </w:r>
    </w:p>
    <w:sdt>
      <w:sdtPr>
        <w:alias w:val="是否适用：核销说明[双击切换]"/>
        <w:tag w:val="_GBC_689ae117433c459c8a9722be4d19d604"/>
        <w:id w:val="1392229280"/>
        <w:placeholder>
          <w:docPart w:val="GBC22222222222222222222222222222"/>
        </w:placeholder>
      </w:sdtPr>
      <w:sdtContent>
        <w:p w14:paraId="79EDAA4E"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AB625B" w14:textId="77777777" w:rsidR="005E000F" w:rsidRDefault="005E000F"/>
    <w:p w14:paraId="22E905D1" w14:textId="77777777" w:rsidR="005E000F" w:rsidRDefault="00000000">
      <w:bookmarkStart w:id="326" w:name="_Hlk533848097"/>
      <w:bookmarkEnd w:id="325"/>
      <w:r>
        <w:rPr>
          <w:rFonts w:hint="eastAsia"/>
        </w:rPr>
        <w:t>其他说明：</w:t>
      </w:r>
      <w:bookmarkEnd w:id="326"/>
    </w:p>
    <w:sdt>
      <w:sdtPr>
        <w:alias w:val="是否适用：其他债权投资其他说明[双击切换]"/>
        <w:tag w:val="_GBC_ce8084fd599f45febc44624db662adaa"/>
        <w:id w:val="1986579054"/>
        <w:placeholder>
          <w:docPart w:val="GBC22222222222222222222222222222"/>
        </w:placeholder>
      </w:sdtPr>
      <w:sdtContent>
        <w:p w14:paraId="6090E4B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1A30664" w14:textId="77777777" w:rsidR="005E000F" w:rsidRDefault="005E000F"/>
    <w:p w14:paraId="5638EFDC"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长期应收款</w:t>
      </w:r>
    </w:p>
    <w:p w14:paraId="6156BA57" w14:textId="77777777" w:rsidR="005E000F" w:rsidRDefault="00000000">
      <w:pPr>
        <w:pStyle w:val="4"/>
        <w:numPr>
          <w:ilvl w:val="3"/>
          <w:numId w:val="78"/>
        </w:numPr>
        <w:ind w:left="426" w:hanging="426"/>
      </w:pPr>
      <w:r>
        <w:rPr>
          <w:rFonts w:hint="eastAsia"/>
        </w:rPr>
        <w:t>长期应收款情况</w:t>
      </w:r>
    </w:p>
    <w:sdt>
      <w:sdtPr>
        <w:alias w:val="是否适用：长期应收款情况[双击切换]"/>
        <w:tag w:val="_GBC_0c54e576828240c482e58c8a9f7cd173"/>
        <w:id w:val="-493038182"/>
        <w:placeholder>
          <w:docPart w:val="GBC22222222222222222222222222222"/>
        </w:placeholder>
      </w:sdtPr>
      <w:sdtContent>
        <w:p w14:paraId="57377944"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634017E" w14:textId="77777777" w:rsidR="005E000F" w:rsidRDefault="005E000F">
      <w:pPr>
        <w:rPr>
          <w:color w:val="FF0000"/>
        </w:rPr>
      </w:pPr>
    </w:p>
    <w:p w14:paraId="142A05CF" w14:textId="77777777" w:rsidR="005E000F" w:rsidRDefault="00000000">
      <w:pPr>
        <w:pStyle w:val="4"/>
        <w:numPr>
          <w:ilvl w:val="3"/>
          <w:numId w:val="78"/>
        </w:numPr>
        <w:ind w:left="426" w:hanging="426"/>
        <w:rPr>
          <w:rFonts w:ascii="宋体" w:eastAsia="宋体" w:hAnsi="宋体" w:cs="宋体"/>
          <w:kern w:val="0"/>
          <w:szCs w:val="24"/>
        </w:rPr>
      </w:pPr>
      <w:bookmarkStart w:id="327" w:name="_Hlk153457348"/>
      <w:r>
        <w:rPr>
          <w:rFonts w:ascii="宋体" w:eastAsia="宋体" w:hAnsi="宋体" w:cs="宋体" w:hint="eastAsia"/>
          <w:kern w:val="0"/>
          <w:szCs w:val="24"/>
        </w:rPr>
        <w:t>按</w:t>
      </w:r>
      <w:r>
        <w:rPr>
          <w:rFonts w:ascii="宋体" w:eastAsia="宋体" w:hAnsi="宋体" w:cs="宋体"/>
          <w:kern w:val="0"/>
          <w:szCs w:val="24"/>
        </w:rPr>
        <w:t>坏账计提方法分类披露</w:t>
      </w:r>
    </w:p>
    <w:sdt>
      <w:sdtPr>
        <w:alias w:val="是否适用：按坏账计提方法分类披露[双击切换]"/>
        <w:tag w:val="_GBC_b88f58fcc61342f3b795c44388b6782b"/>
        <w:id w:val="1122734540"/>
        <w:placeholder>
          <w:docPart w:val="GBC22222222222222222222222222222"/>
        </w:placeholder>
      </w:sdtPr>
      <w:sdtContent>
        <w:p w14:paraId="2B2D912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E26F697" w14:textId="77777777" w:rsidR="005E000F" w:rsidRDefault="005E000F"/>
    <w:p w14:paraId="07CEBBC7" w14:textId="77777777" w:rsidR="005E000F" w:rsidRDefault="00000000">
      <w:r>
        <w:rPr>
          <w:rFonts w:hint="eastAsia"/>
        </w:rPr>
        <w:t>按单项计提坏账准备：</w:t>
      </w:r>
    </w:p>
    <w:sdt>
      <w:sdtPr>
        <w:alias w:val="是否适用：按单项计提坏账准备的详细情况[双击切换]"/>
        <w:tag w:val="_GBC_19243c464e23496a87380a02fccd7f4a"/>
        <w:id w:val="1124892188"/>
        <w:placeholder>
          <w:docPart w:val="GBC22222222222222222222222222222"/>
        </w:placeholder>
      </w:sdtPr>
      <w:sdtContent>
        <w:p w14:paraId="2106684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DDA70D7" w14:textId="77777777" w:rsidR="005E000F" w:rsidRDefault="005E000F"/>
    <w:p w14:paraId="102798D0" w14:textId="77777777" w:rsidR="005E000F" w:rsidRDefault="00000000">
      <w:r>
        <w:rPr>
          <w:rFonts w:hint="eastAsia"/>
        </w:rPr>
        <w:t>按单项计提坏账准备的说明：</w:t>
      </w:r>
    </w:p>
    <w:sdt>
      <w:sdtPr>
        <w:alias w:val="是否适用：按单项计提坏账准备的说明[双击切换]"/>
        <w:tag w:val="_GBC_ee6f2bb0912a4ff4a6aa0561400844a8"/>
        <w:id w:val="885685178"/>
        <w:placeholder>
          <w:docPart w:val="GBC22222222222222222222222222222"/>
        </w:placeholder>
      </w:sdtPr>
      <w:sdtContent>
        <w:p w14:paraId="5A1E199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FC867E8" w14:textId="77777777" w:rsidR="005E000F" w:rsidRDefault="005E000F"/>
    <w:p w14:paraId="56471602" w14:textId="77777777" w:rsidR="005E000F" w:rsidRDefault="0000000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按组合计提坏账准备的详细情况[双击切换]"/>
        <w:tag w:val="_GBC_e6c71fc91a6941b5af515956aed70086"/>
        <w:id w:val="-427346553"/>
        <w:placeholder>
          <w:docPart w:val="GBC22222222222222222222222222222"/>
        </w:placeholder>
      </w:sdtPr>
      <w:sdtContent>
        <w:p w14:paraId="002425B2" w14:textId="77777777" w:rsidR="005E000F" w:rsidRDefault="0000000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05C6BE69" w14:textId="77777777" w:rsidR="005E000F" w:rsidRDefault="005E000F"/>
    <w:p w14:paraId="34838415" w14:textId="77777777" w:rsidR="005E000F" w:rsidRDefault="005E000F">
      <w:pPr>
        <w:rPr>
          <w:rFonts w:ascii="Calibri" w:hAnsi="Calibri"/>
          <w:b/>
          <w:bCs/>
          <w:szCs w:val="22"/>
        </w:rPr>
      </w:pPr>
    </w:p>
    <w:p w14:paraId="346EFBD9" w14:textId="77777777" w:rsidR="005E000F" w:rsidRDefault="00000000">
      <w:pPr>
        <w:pStyle w:val="4"/>
        <w:numPr>
          <w:ilvl w:val="3"/>
          <w:numId w:val="78"/>
        </w:numPr>
        <w:ind w:left="426" w:hanging="426"/>
        <w:rPr>
          <w:rFonts w:ascii="宋体" w:eastAsia="宋体" w:hAnsi="宋体" w:cs="宋体"/>
          <w:kern w:val="0"/>
          <w:szCs w:val="24"/>
        </w:rPr>
      </w:pPr>
      <w:bookmarkStart w:id="328" w:name="_Hlk533872428"/>
      <w:bookmarkEnd w:id="327"/>
      <w:r>
        <w:rPr>
          <w:rFonts w:ascii="宋体" w:eastAsia="宋体" w:hAnsi="宋体" w:cs="宋体" w:hint="eastAsia"/>
          <w:kern w:val="0"/>
          <w:szCs w:val="24"/>
        </w:rPr>
        <w:t>按预期信用损失一般模型计提坏账准备</w:t>
      </w:r>
    </w:p>
    <w:sdt>
      <w:sdtPr>
        <w:alias w:val="是否适用：长期应收款坏账准备调节表[双击切换]"/>
        <w:tag w:val="_GBC_83c414b79fa243258be4f4c6998e475c"/>
        <w:id w:val="2037317985"/>
        <w:placeholder>
          <w:docPart w:val="GBC22222222222222222222222222222"/>
        </w:placeholder>
      </w:sdtPr>
      <w:sdtContent>
        <w:p w14:paraId="20C07BC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35A4001" w14:textId="77777777" w:rsidR="005E000F" w:rsidRDefault="005E000F"/>
    <w:p w14:paraId="08561E00"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长期应收款各阶段划分依据和减值准备计提比例"/>
        <w:tag w:val="_GBC_1ce93281b7234898b8b1b4056be89182"/>
        <w:id w:val="-1411230689"/>
        <w:placeholder>
          <w:docPart w:val="GBC22222222222222222222222222222"/>
        </w:placeholder>
      </w:sdtPr>
      <w:sdtContent>
        <w:p w14:paraId="6AC9A799" w14:textId="77777777" w:rsidR="005E000F" w:rsidRDefault="00000000">
          <w:pPr>
            <w:rPr>
              <w:bCs/>
              <w:szCs w:val="22"/>
            </w:rPr>
          </w:pPr>
          <w:r>
            <w:rPr>
              <w:rFonts w:hint="eastAsia"/>
              <w:bCs/>
              <w:szCs w:val="22"/>
            </w:rPr>
            <w:t>无</w:t>
          </w:r>
        </w:p>
      </w:sdtContent>
    </w:sdt>
    <w:p w14:paraId="552F869D" w14:textId="77777777" w:rsidR="005E000F" w:rsidRDefault="005E000F"/>
    <w:p w14:paraId="1B4C182B" w14:textId="77777777" w:rsidR="005E000F" w:rsidRDefault="00000000">
      <w:pPr>
        <w:pStyle w:val="affb"/>
      </w:pPr>
      <w:r>
        <w:rPr>
          <w:rFonts w:hint="eastAsia"/>
        </w:rPr>
        <w:t>对本期发生损失准备变动的长期应收款账面余额显著变动的情况说明：</w:t>
      </w:r>
    </w:p>
    <w:sdt>
      <w:sdtPr>
        <w:alias w:val="是否适用：长期应收款本期发生损失准备变动且账面余额显著变动的情况说明[双击切换]"/>
        <w:tag w:val="_GBC_8e2c1b904a3a4c10829d424151d47109"/>
        <w:id w:val="-1960716102"/>
        <w:placeholder>
          <w:docPart w:val="GBC22222222222222222222222222222"/>
        </w:placeholder>
      </w:sdtPr>
      <w:sdtContent>
        <w:p w14:paraId="5147E90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EC2E531" w14:textId="77777777" w:rsidR="005E000F" w:rsidRDefault="005E000F"/>
    <w:bookmarkEnd w:id="328"/>
    <w:p w14:paraId="25DF5F1F" w14:textId="77777777" w:rsidR="005E000F" w:rsidRDefault="00000000">
      <w:pPr>
        <w:pStyle w:val="affb"/>
      </w:pPr>
      <w:r>
        <w:rPr>
          <w:rFonts w:hint="eastAsia"/>
        </w:rPr>
        <w:t>本期坏账准备计提金额以及评估金融工具的信用风险是否显著增加的采用依据</w:t>
      </w:r>
    </w:p>
    <w:sdt>
      <w:sdtPr>
        <w:alias w:val="是否适用：长期应收款坏账准备计提金额以及评估金融工具的信用风险显著增加的采用依据[双击切换]"/>
        <w:tag w:val="_GBC_ceed52ae8ff44f9ca03fb80cb11f18fc"/>
        <w:id w:val="789869315"/>
        <w:placeholder>
          <w:docPart w:val="GBC22222222222222222222222222222"/>
        </w:placeholder>
      </w:sdtPr>
      <w:sdtContent>
        <w:p w14:paraId="0550E55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B7AA2C8" w14:textId="77777777" w:rsidR="005E000F" w:rsidRDefault="005E000F"/>
    <w:p w14:paraId="7AC38F45" w14:textId="77777777" w:rsidR="005E000F" w:rsidRDefault="00000000">
      <w:pPr>
        <w:pStyle w:val="4"/>
        <w:numPr>
          <w:ilvl w:val="3"/>
          <w:numId w:val="78"/>
        </w:numPr>
        <w:ind w:left="426" w:hanging="426"/>
        <w:rPr>
          <w:rFonts w:ascii="宋体" w:eastAsia="宋体" w:hAnsi="宋体" w:cs="宋体"/>
          <w:kern w:val="0"/>
          <w:szCs w:val="24"/>
        </w:rPr>
      </w:pPr>
      <w:bookmarkStart w:id="329" w:name="_Hlk154131356"/>
      <w:bookmarkStart w:id="330" w:name="_Hlk153457634"/>
      <w:r>
        <w:rPr>
          <w:rFonts w:ascii="宋体" w:eastAsia="宋体" w:hAnsi="宋体" w:cs="宋体" w:hint="eastAsia"/>
          <w:kern w:val="0"/>
          <w:szCs w:val="24"/>
        </w:rPr>
        <w:t>坏账准备的情况</w:t>
      </w:r>
    </w:p>
    <w:sdt>
      <w:sdtPr>
        <w:alias w:val="是否适用：坏账准备情况[双击切换]"/>
        <w:tag w:val="_GBC_1878fe8dd18b4d7f9eb1b263bc7833d1"/>
        <w:id w:val="1918596743"/>
        <w:placeholder>
          <w:docPart w:val="GBC22222222222222222222222222222"/>
        </w:placeholder>
      </w:sdtPr>
      <w:sdtContent>
        <w:p w14:paraId="3B5C483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E4C6E3B" w14:textId="77777777" w:rsidR="005E000F" w:rsidRDefault="005E000F"/>
    <w:bookmarkEnd w:id="329"/>
    <w:p w14:paraId="352DA301" w14:textId="77777777" w:rsidR="005E000F" w:rsidRDefault="00000000">
      <w:r>
        <w:rPr>
          <w:rFonts w:hint="eastAsia"/>
        </w:rPr>
        <w:t>其中本期坏账准备收回或转回金额重要的：</w:t>
      </w:r>
    </w:p>
    <w:sdt>
      <w:sdtPr>
        <w:alias w:val="是否适用：本期坏账准备收回或转回金额重要的[双击切换]"/>
        <w:tag w:val="_GBC_b4e3b5deca584587a596a753699de6b7"/>
        <w:id w:val="-1700001722"/>
        <w:placeholder>
          <w:docPart w:val="GBC22222222222222222222222222222"/>
        </w:placeholder>
      </w:sdtPr>
      <w:sdtContent>
        <w:p w14:paraId="32D3217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8B7FD11" w14:textId="77777777" w:rsidR="005E000F" w:rsidRDefault="005E000F"/>
    <w:p w14:paraId="75745468" w14:textId="77777777" w:rsidR="005E000F" w:rsidRDefault="00000000">
      <w:r>
        <w:rPr>
          <w:rFonts w:hint="eastAsia"/>
        </w:rPr>
        <w:t>其他说明：</w:t>
      </w:r>
    </w:p>
    <w:sdt>
      <w:sdtPr>
        <w:alias w:val="坏账准备情况的说明"/>
        <w:tag w:val="_GBC_b5a80a414fe14b5c9e4001ca8a0f4bbf"/>
        <w:id w:val="-267473317"/>
        <w:placeholder>
          <w:docPart w:val="GBC22222222222222222222222222222"/>
        </w:placeholder>
      </w:sdtPr>
      <w:sdtContent>
        <w:p w14:paraId="0AD714D1" w14:textId="77777777" w:rsidR="005E000F" w:rsidRDefault="00000000">
          <w:pPr>
            <w:ind w:rightChars="20" w:right="42"/>
          </w:pPr>
          <w:r>
            <w:rPr>
              <w:rFonts w:hint="eastAsia"/>
            </w:rPr>
            <w:t>无</w:t>
          </w:r>
        </w:p>
      </w:sdtContent>
    </w:sdt>
    <w:p w14:paraId="7846534A" w14:textId="77777777" w:rsidR="005E000F" w:rsidRDefault="005E000F">
      <w:pPr>
        <w:ind w:rightChars="-759" w:right="-1594"/>
      </w:pPr>
    </w:p>
    <w:p w14:paraId="3CF63505" w14:textId="77777777" w:rsidR="005E000F" w:rsidRDefault="00000000">
      <w:pPr>
        <w:pStyle w:val="4"/>
        <w:numPr>
          <w:ilvl w:val="3"/>
          <w:numId w:val="78"/>
        </w:numPr>
        <w:ind w:left="426" w:hanging="426"/>
        <w:rPr>
          <w:rFonts w:ascii="宋体" w:eastAsia="宋体" w:hAnsi="宋体" w:cs="宋体"/>
          <w:kern w:val="0"/>
          <w:szCs w:val="24"/>
        </w:rPr>
      </w:pPr>
      <w:r>
        <w:rPr>
          <w:rFonts w:ascii="宋体" w:eastAsia="宋体" w:hAnsi="宋体" w:cs="宋体"/>
          <w:kern w:val="0"/>
          <w:szCs w:val="24"/>
        </w:rPr>
        <w:t>本期实际核销的</w:t>
      </w:r>
      <w:r>
        <w:rPr>
          <w:rFonts w:ascii="宋体" w:eastAsia="宋体" w:hAnsi="宋体" w:cs="宋体" w:hint="eastAsia"/>
          <w:kern w:val="0"/>
          <w:szCs w:val="24"/>
        </w:rPr>
        <w:t>长期应收款</w:t>
      </w:r>
      <w:r>
        <w:rPr>
          <w:rFonts w:ascii="宋体" w:eastAsia="宋体" w:hAnsi="宋体" w:cs="宋体"/>
          <w:kern w:val="0"/>
          <w:szCs w:val="24"/>
        </w:rPr>
        <w:t>情况</w:t>
      </w:r>
    </w:p>
    <w:sdt>
      <w:sdtPr>
        <w:alias w:val="是否适用：实际核销的情况[双击切换]"/>
        <w:tag w:val="_GBC_e9d4e4f95df144d1beb521844e7c35e7"/>
        <w:id w:val="1227116323"/>
        <w:placeholder>
          <w:docPart w:val="GBC22222222222222222222222222222"/>
        </w:placeholder>
      </w:sdtPr>
      <w:sdtContent>
        <w:p w14:paraId="4C5CD37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0293D1F" w14:textId="77777777" w:rsidR="005E000F" w:rsidRDefault="005E000F"/>
    <w:p w14:paraId="691A8D46" w14:textId="77777777" w:rsidR="005E000F" w:rsidRDefault="00000000">
      <w:r>
        <w:rPr>
          <w:rFonts w:hint="eastAsia"/>
        </w:rPr>
        <w:t>其中重要的长期应收款核销情况</w:t>
      </w:r>
    </w:p>
    <w:sdt>
      <w:sdtPr>
        <w:rPr>
          <w:rFonts w:hint="eastAsia"/>
        </w:rPr>
        <w:alias w:val="是否适用：重要的核销情况[双击切换]"/>
        <w:tag w:val="_GBC_17fbcf123507404b9fc25df0517e3788"/>
        <w:id w:val="691726389"/>
        <w:placeholder>
          <w:docPart w:val="GBC22222222222222222222222222222"/>
        </w:placeholder>
      </w:sdtPr>
      <w:sdtContent>
        <w:p w14:paraId="3AAAAD6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0CBA66E" w14:textId="77777777" w:rsidR="005E000F" w:rsidRDefault="005E000F"/>
    <w:p w14:paraId="5FBCAB84" w14:textId="77777777" w:rsidR="005E000F" w:rsidRDefault="00000000">
      <w:pPr>
        <w:snapToGrid w:val="0"/>
        <w:spacing w:line="240" w:lineRule="atLeast"/>
      </w:pPr>
      <w:r>
        <w:rPr>
          <w:rFonts w:hint="eastAsia"/>
        </w:rPr>
        <w:t>长期应收款核销说明：</w:t>
      </w:r>
    </w:p>
    <w:sdt>
      <w:sdtPr>
        <w:alias w:val="是否适用：核销说明[双击切换]"/>
        <w:tag w:val="_GBC_b5e2283b2a954039b963ac2506245e4d"/>
        <w:id w:val="-1351024879"/>
        <w:placeholder>
          <w:docPart w:val="GBC22222222222222222222222222222"/>
        </w:placeholder>
      </w:sdtPr>
      <w:sdtContent>
        <w:p w14:paraId="640CD3D2"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B271C91" w14:textId="77777777" w:rsidR="005E000F" w:rsidRDefault="005E000F"/>
    <w:bookmarkEnd w:id="330"/>
    <w:p w14:paraId="067FDB7E" w14:textId="77777777" w:rsidR="005E000F" w:rsidRDefault="00000000">
      <w:r>
        <w:rPr>
          <w:rFonts w:hint="eastAsia"/>
        </w:rPr>
        <w:t>其他说明：</w:t>
      </w:r>
    </w:p>
    <w:sdt>
      <w:sdtPr>
        <w:alias w:val="是否适用：长期应收款的其他说明[双击切换]"/>
        <w:tag w:val="_GBC_374ef9a861254142b9ef8519d87eb5ac"/>
        <w:id w:val="920608442"/>
        <w:placeholder>
          <w:docPart w:val="GBC22222222222222222222222222222"/>
        </w:placeholder>
      </w:sdtPr>
      <w:sdtContent>
        <w:p w14:paraId="72142B1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C51128" w14:textId="77777777" w:rsidR="005E000F" w:rsidRDefault="005E000F">
      <w:pPr>
        <w:sectPr w:rsidR="005E000F">
          <w:pgSz w:w="11906" w:h="16838"/>
          <w:pgMar w:top="1440" w:right="1797" w:bottom="1525" w:left="1276" w:header="856" w:footer="992" w:gutter="0"/>
          <w:cols w:space="425"/>
          <w:docGrid w:linePitch="312"/>
        </w:sectPr>
      </w:pPr>
    </w:p>
    <w:p w14:paraId="452FE740" w14:textId="77777777" w:rsidR="005E000F" w:rsidRDefault="005E000F"/>
    <w:p w14:paraId="59C7532C"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长期股权投资</w:t>
      </w:r>
    </w:p>
    <w:p w14:paraId="4ECE9F6B" w14:textId="77777777" w:rsidR="005E000F" w:rsidRDefault="00000000">
      <w:pPr>
        <w:pStyle w:val="4"/>
        <w:numPr>
          <w:ilvl w:val="0"/>
          <w:numId w:val="79"/>
        </w:numPr>
      </w:pPr>
      <w:bookmarkStart w:id="331" w:name="_Hlk152856977"/>
      <w:r>
        <w:rPr>
          <w:rFonts w:hint="eastAsia"/>
        </w:rPr>
        <w:t>长期股权投资情况</w:t>
      </w:r>
    </w:p>
    <w:p w14:paraId="67C69CF1" w14:textId="77777777" w:rsidR="005E000F" w:rsidRDefault="00000000">
      <w:sdt>
        <w:sdtPr>
          <w:rPr>
            <w:rFonts w:hint="eastAsia"/>
          </w:rPr>
          <w:alias w:val="是否适用：长期股权投资[双击切换]"/>
          <w:tag w:val="_GBC_94e2c461d3d34280a0a5f1e908656d3e"/>
          <w:id w:val="1967848922"/>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497FB7EB" w14:textId="77777777" w:rsidR="005E000F" w:rsidRDefault="00000000">
      <w:pPr>
        <w:jc w:val="right"/>
      </w:pPr>
      <w:r>
        <w:rPr>
          <w:rFonts w:hint="eastAsia"/>
        </w:rPr>
        <w:t>单位：</w:t>
      </w:r>
      <w:sdt>
        <w:sdtPr>
          <w:rPr>
            <w:rFonts w:hint="eastAsia"/>
          </w:rPr>
          <w:alias w:val="单位：财务附注：长期股权投资"/>
          <w:tag w:val="_GBC_9ef1128bd666425898c1d0386f4940f0"/>
          <w:id w:val="1600596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长期股权投资"/>
          <w:tag w:val="_GBC_3839232c7f594f79a27ec799cde377b3"/>
          <w:id w:val="178430860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529"/>
        <w:gridCol w:w="1013"/>
        <w:gridCol w:w="1126"/>
        <w:gridCol w:w="1424"/>
        <w:gridCol w:w="928"/>
        <w:gridCol w:w="1266"/>
        <w:gridCol w:w="1126"/>
        <w:gridCol w:w="960"/>
        <w:gridCol w:w="1055"/>
        <w:gridCol w:w="1529"/>
        <w:gridCol w:w="1024"/>
      </w:tblGrid>
      <w:tr w:rsidR="005E000F" w14:paraId="565EDAEB" w14:textId="77777777">
        <w:sdt>
          <w:sdtPr>
            <w:tag w:val="_PLD_904000e8ce384d4988e09c22d5f8f725"/>
            <w:id w:val="-425502921"/>
          </w:sdtPr>
          <w:sdtContent>
            <w:tc>
              <w:tcPr>
                <w:tcW w:w="440" w:type="pct"/>
                <w:vMerge w:val="restart"/>
                <w:tcBorders>
                  <w:top w:val="single" w:sz="4" w:space="0" w:color="auto"/>
                  <w:left w:val="single" w:sz="4" w:space="0" w:color="auto"/>
                  <w:right w:val="single" w:sz="4" w:space="0" w:color="auto"/>
                </w:tcBorders>
                <w:vAlign w:val="center"/>
              </w:tcPr>
              <w:p w14:paraId="43BFA191" w14:textId="77777777" w:rsidR="005E000F" w:rsidRDefault="00000000">
                <w:pPr>
                  <w:jc w:val="center"/>
                </w:pPr>
                <w:r>
                  <w:rPr>
                    <w:rFonts w:hint="eastAsia"/>
                  </w:rPr>
                  <w:t>被投资单位</w:t>
                </w:r>
              </w:p>
            </w:tc>
          </w:sdtContent>
        </w:sdt>
        <w:sdt>
          <w:sdtPr>
            <w:tag w:val="_PLD_2325481f20324f949b4d5af7cfe3ea45"/>
            <w:id w:val="734668563"/>
          </w:sdtPr>
          <w:sdtContent>
            <w:tc>
              <w:tcPr>
                <w:tcW w:w="542" w:type="pct"/>
                <w:vMerge w:val="restart"/>
                <w:tcBorders>
                  <w:top w:val="single" w:sz="4" w:space="0" w:color="auto"/>
                  <w:left w:val="single" w:sz="4" w:space="0" w:color="auto"/>
                  <w:right w:val="single" w:sz="4" w:space="0" w:color="auto"/>
                </w:tcBorders>
                <w:vAlign w:val="center"/>
              </w:tcPr>
              <w:p w14:paraId="29A6006F" w14:textId="77777777" w:rsidR="005E000F" w:rsidRDefault="00000000">
                <w:pPr>
                  <w:jc w:val="center"/>
                </w:pPr>
                <w:r>
                  <w:rPr>
                    <w:rFonts w:hint="eastAsia"/>
                  </w:rPr>
                  <w:t>期初</w:t>
                </w:r>
              </w:p>
              <w:p w14:paraId="606B641C" w14:textId="77777777" w:rsidR="005E000F" w:rsidRDefault="00000000">
                <w:pPr>
                  <w:jc w:val="center"/>
                </w:pPr>
                <w:r>
                  <w:rPr>
                    <w:rFonts w:hint="eastAsia"/>
                  </w:rPr>
                  <w:t>余额（账面价值）</w:t>
                </w:r>
              </w:p>
            </w:tc>
          </w:sdtContent>
        </w:sdt>
        <w:sdt>
          <w:sdtPr>
            <w:tag w:val="_PLD_62e0836260734d34965d8070b1a6f2dd"/>
            <w:id w:val="1178926269"/>
          </w:sdtPr>
          <w:sdtContent>
            <w:tc>
              <w:tcPr>
                <w:tcW w:w="3195" w:type="pct"/>
                <w:gridSpan w:val="8"/>
                <w:tcBorders>
                  <w:top w:val="single" w:sz="4" w:space="0" w:color="auto"/>
                  <w:left w:val="single" w:sz="4" w:space="0" w:color="auto"/>
                  <w:bottom w:val="single" w:sz="4" w:space="0" w:color="auto"/>
                  <w:right w:val="single" w:sz="4" w:space="0" w:color="auto"/>
                </w:tcBorders>
                <w:vAlign w:val="center"/>
              </w:tcPr>
              <w:p w14:paraId="12EC7272" w14:textId="77777777" w:rsidR="005E000F" w:rsidRDefault="00000000">
                <w:pPr>
                  <w:jc w:val="center"/>
                </w:pPr>
                <w:r>
                  <w:rPr>
                    <w:rFonts w:hint="eastAsia"/>
                  </w:rPr>
                  <w:t>本期增减变动</w:t>
                </w:r>
              </w:p>
            </w:tc>
          </w:sdtContent>
        </w:sdt>
        <w:sdt>
          <w:sdtPr>
            <w:tag w:val="_PLD_7b9429fc29b64f4c83eea02ed0cad7ba"/>
            <w:id w:val="1011030479"/>
          </w:sdtPr>
          <w:sdtContent>
            <w:tc>
              <w:tcPr>
                <w:tcW w:w="413" w:type="pct"/>
                <w:vMerge w:val="restart"/>
                <w:tcBorders>
                  <w:top w:val="single" w:sz="4" w:space="0" w:color="auto"/>
                  <w:left w:val="single" w:sz="4" w:space="0" w:color="auto"/>
                  <w:right w:val="single" w:sz="4" w:space="0" w:color="auto"/>
                </w:tcBorders>
                <w:vAlign w:val="center"/>
              </w:tcPr>
              <w:p w14:paraId="13EF44F3" w14:textId="77777777" w:rsidR="005E000F" w:rsidRDefault="00000000">
                <w:pPr>
                  <w:jc w:val="center"/>
                </w:pPr>
                <w:r>
                  <w:rPr>
                    <w:rFonts w:hint="eastAsia"/>
                  </w:rPr>
                  <w:t>期末</w:t>
                </w:r>
              </w:p>
              <w:p w14:paraId="5D34E755" w14:textId="77777777" w:rsidR="005E000F" w:rsidRDefault="00000000">
                <w:pPr>
                  <w:jc w:val="center"/>
                </w:pPr>
                <w:r>
                  <w:rPr>
                    <w:rFonts w:hint="eastAsia"/>
                  </w:rPr>
                  <w:t>余额（账面价值）</w:t>
                </w:r>
              </w:p>
            </w:tc>
          </w:sdtContent>
        </w:sdt>
        <w:sdt>
          <w:sdtPr>
            <w:tag w:val="_PLD_79298dc466f54a239357520005d5d0d6"/>
            <w:id w:val="1579027168"/>
          </w:sdtPr>
          <w:sdtContent>
            <w:tc>
              <w:tcPr>
                <w:tcW w:w="408" w:type="pct"/>
                <w:vMerge w:val="restart"/>
                <w:tcBorders>
                  <w:top w:val="single" w:sz="4" w:space="0" w:color="auto"/>
                  <w:left w:val="single" w:sz="4" w:space="0" w:color="auto"/>
                  <w:right w:val="single" w:sz="4" w:space="0" w:color="auto"/>
                </w:tcBorders>
                <w:vAlign w:val="center"/>
              </w:tcPr>
              <w:p w14:paraId="519B858A" w14:textId="77777777" w:rsidR="005E000F" w:rsidRDefault="00000000">
                <w:pPr>
                  <w:jc w:val="center"/>
                </w:pPr>
                <w:r>
                  <w:rPr>
                    <w:rFonts w:hint="eastAsia"/>
                  </w:rPr>
                  <w:t>减值准备期末余额</w:t>
                </w:r>
              </w:p>
            </w:tc>
          </w:sdtContent>
        </w:sdt>
      </w:tr>
      <w:tr w:rsidR="005E000F" w14:paraId="75E27F63" w14:textId="77777777">
        <w:tc>
          <w:tcPr>
            <w:tcW w:w="440" w:type="pct"/>
            <w:vMerge/>
            <w:tcBorders>
              <w:left w:val="single" w:sz="4" w:space="0" w:color="auto"/>
              <w:bottom w:val="single" w:sz="4" w:space="0" w:color="auto"/>
              <w:right w:val="single" w:sz="4" w:space="0" w:color="auto"/>
            </w:tcBorders>
            <w:vAlign w:val="center"/>
          </w:tcPr>
          <w:p w14:paraId="100156C5" w14:textId="77777777" w:rsidR="005E000F" w:rsidRDefault="005E000F">
            <w:pPr>
              <w:jc w:val="center"/>
            </w:pPr>
          </w:p>
        </w:tc>
        <w:tc>
          <w:tcPr>
            <w:tcW w:w="542" w:type="pct"/>
            <w:vMerge/>
            <w:tcBorders>
              <w:left w:val="single" w:sz="4" w:space="0" w:color="auto"/>
              <w:bottom w:val="single" w:sz="4" w:space="0" w:color="auto"/>
              <w:right w:val="single" w:sz="4" w:space="0" w:color="auto"/>
            </w:tcBorders>
            <w:vAlign w:val="center"/>
          </w:tcPr>
          <w:p w14:paraId="1E6A7E8A" w14:textId="77777777" w:rsidR="005E000F" w:rsidRDefault="005E000F">
            <w:pPr>
              <w:jc w:val="center"/>
            </w:pPr>
          </w:p>
        </w:tc>
        <w:sdt>
          <w:sdtPr>
            <w:tag w:val="_PLD_32174384d8204c80ab4f8eb2ee1b7c00"/>
            <w:id w:val="2076159712"/>
          </w:sdtPr>
          <w:sdtContent>
            <w:tc>
              <w:tcPr>
                <w:tcW w:w="406" w:type="pct"/>
                <w:tcBorders>
                  <w:top w:val="single" w:sz="4" w:space="0" w:color="auto"/>
                  <w:left w:val="single" w:sz="4" w:space="0" w:color="auto"/>
                  <w:bottom w:val="single" w:sz="4" w:space="0" w:color="auto"/>
                  <w:right w:val="single" w:sz="4" w:space="0" w:color="auto"/>
                </w:tcBorders>
                <w:vAlign w:val="center"/>
              </w:tcPr>
              <w:p w14:paraId="768525BB" w14:textId="77777777" w:rsidR="005E000F" w:rsidRDefault="00000000">
                <w:pPr>
                  <w:jc w:val="center"/>
                </w:pPr>
                <w:r>
                  <w:rPr>
                    <w:rFonts w:hint="eastAsia"/>
                  </w:rPr>
                  <w:t>追加投资</w:t>
                </w:r>
              </w:p>
            </w:tc>
          </w:sdtContent>
        </w:sdt>
        <w:sdt>
          <w:sdtPr>
            <w:tag w:val="_PLD_095046b604db44b8b22c0d62f18b7d7b"/>
            <w:id w:val="979967858"/>
          </w:sdtPr>
          <w:sdtContent>
            <w:tc>
              <w:tcPr>
                <w:tcW w:w="357" w:type="pct"/>
                <w:tcBorders>
                  <w:top w:val="single" w:sz="4" w:space="0" w:color="auto"/>
                  <w:left w:val="single" w:sz="4" w:space="0" w:color="auto"/>
                  <w:bottom w:val="single" w:sz="4" w:space="0" w:color="auto"/>
                  <w:right w:val="single" w:sz="4" w:space="0" w:color="auto"/>
                </w:tcBorders>
                <w:vAlign w:val="center"/>
              </w:tcPr>
              <w:p w14:paraId="6D058093" w14:textId="77777777" w:rsidR="005E000F" w:rsidRDefault="00000000">
                <w:pPr>
                  <w:jc w:val="center"/>
                </w:pPr>
                <w:r>
                  <w:rPr>
                    <w:rFonts w:hint="eastAsia"/>
                  </w:rPr>
                  <w:t>减少投资</w:t>
                </w:r>
              </w:p>
            </w:tc>
          </w:sdtContent>
        </w:sdt>
        <w:sdt>
          <w:sdtPr>
            <w:tag w:val="_PLD_6b1aa2f12a4b43c9acfdfe03af1b69b5"/>
            <w:id w:val="-1613665454"/>
          </w:sdtPr>
          <w:sdtContent>
            <w:tc>
              <w:tcPr>
                <w:tcW w:w="422" w:type="pct"/>
                <w:tcBorders>
                  <w:top w:val="single" w:sz="4" w:space="0" w:color="auto"/>
                  <w:left w:val="single" w:sz="4" w:space="0" w:color="auto"/>
                  <w:bottom w:val="single" w:sz="4" w:space="0" w:color="auto"/>
                  <w:right w:val="single" w:sz="4" w:space="0" w:color="auto"/>
                </w:tcBorders>
                <w:vAlign w:val="center"/>
              </w:tcPr>
              <w:p w14:paraId="07227B2C" w14:textId="77777777" w:rsidR="005E000F" w:rsidRDefault="00000000">
                <w:pPr>
                  <w:jc w:val="center"/>
                </w:pPr>
                <w:r>
                  <w:rPr>
                    <w:rFonts w:hint="eastAsia"/>
                  </w:rPr>
                  <w:t>权益法下确认的投资损益</w:t>
                </w:r>
              </w:p>
            </w:tc>
          </w:sdtContent>
        </w:sdt>
        <w:sdt>
          <w:sdtPr>
            <w:tag w:val="_PLD_7843f54d0d14415a8d81c3e768bcd483"/>
            <w:id w:val="-2001736584"/>
          </w:sdtPr>
          <w:sdtContent>
            <w:tc>
              <w:tcPr>
                <w:tcW w:w="376" w:type="pct"/>
                <w:tcBorders>
                  <w:top w:val="single" w:sz="4" w:space="0" w:color="auto"/>
                  <w:left w:val="single" w:sz="4" w:space="0" w:color="auto"/>
                  <w:bottom w:val="single" w:sz="4" w:space="0" w:color="auto"/>
                  <w:right w:val="single" w:sz="4" w:space="0" w:color="auto"/>
                </w:tcBorders>
                <w:vAlign w:val="center"/>
              </w:tcPr>
              <w:p w14:paraId="50DBEC86" w14:textId="77777777" w:rsidR="005E000F" w:rsidRDefault="00000000">
                <w:pPr>
                  <w:jc w:val="center"/>
                </w:pPr>
                <w:r>
                  <w:rPr>
                    <w:rFonts w:hint="eastAsia"/>
                  </w:rPr>
                  <w:t>其他综合收益调整</w:t>
                </w:r>
              </w:p>
            </w:tc>
          </w:sdtContent>
        </w:sdt>
        <w:sdt>
          <w:sdtPr>
            <w:tag w:val="_PLD_dd698127723b4ea0815eca9ac49240a1"/>
            <w:id w:val="411353744"/>
          </w:sdtPr>
          <w:sdtContent>
            <w:tc>
              <w:tcPr>
                <w:tcW w:w="380" w:type="pct"/>
                <w:tcBorders>
                  <w:top w:val="single" w:sz="4" w:space="0" w:color="auto"/>
                  <w:left w:val="single" w:sz="4" w:space="0" w:color="auto"/>
                  <w:bottom w:val="single" w:sz="4" w:space="0" w:color="auto"/>
                  <w:right w:val="single" w:sz="4" w:space="0" w:color="auto"/>
                </w:tcBorders>
                <w:vAlign w:val="center"/>
              </w:tcPr>
              <w:p w14:paraId="200DAA99" w14:textId="77777777" w:rsidR="005E000F" w:rsidRDefault="00000000">
                <w:pPr>
                  <w:jc w:val="center"/>
                </w:pPr>
                <w:r>
                  <w:rPr>
                    <w:rFonts w:hint="eastAsia"/>
                  </w:rPr>
                  <w:t>其他权益变动</w:t>
                </w:r>
              </w:p>
            </w:tc>
          </w:sdtContent>
        </w:sdt>
        <w:sdt>
          <w:sdtPr>
            <w:tag w:val="_PLD_6d37a876ad014b7ba59d452d3d7f5f15"/>
            <w:id w:val="1825006089"/>
          </w:sdtPr>
          <w:sdtContent>
            <w:tc>
              <w:tcPr>
                <w:tcW w:w="419" w:type="pct"/>
                <w:tcBorders>
                  <w:top w:val="single" w:sz="4" w:space="0" w:color="auto"/>
                  <w:left w:val="single" w:sz="4" w:space="0" w:color="auto"/>
                  <w:bottom w:val="single" w:sz="4" w:space="0" w:color="auto"/>
                  <w:right w:val="single" w:sz="4" w:space="0" w:color="auto"/>
                </w:tcBorders>
                <w:vAlign w:val="center"/>
              </w:tcPr>
              <w:p w14:paraId="475661DC" w14:textId="77777777" w:rsidR="005E000F" w:rsidRDefault="00000000">
                <w:pPr>
                  <w:jc w:val="center"/>
                </w:pPr>
                <w:r>
                  <w:rPr>
                    <w:rFonts w:hint="eastAsia"/>
                  </w:rPr>
                  <w:t>宣告发放现金股利或利润</w:t>
                </w:r>
              </w:p>
            </w:tc>
          </w:sdtContent>
        </w:sdt>
        <w:sdt>
          <w:sdtPr>
            <w:tag w:val="_PLD_050d96d5e62f42b9bb4f13a2ca047503"/>
            <w:id w:val="972485552"/>
          </w:sdtPr>
          <w:sdtContent>
            <w:tc>
              <w:tcPr>
                <w:tcW w:w="414" w:type="pct"/>
                <w:tcBorders>
                  <w:top w:val="single" w:sz="4" w:space="0" w:color="auto"/>
                  <w:left w:val="single" w:sz="4" w:space="0" w:color="auto"/>
                  <w:bottom w:val="single" w:sz="4" w:space="0" w:color="auto"/>
                  <w:right w:val="single" w:sz="4" w:space="0" w:color="auto"/>
                </w:tcBorders>
                <w:vAlign w:val="center"/>
              </w:tcPr>
              <w:p w14:paraId="57F50A30" w14:textId="77777777" w:rsidR="005E000F" w:rsidRDefault="00000000">
                <w:pPr>
                  <w:jc w:val="center"/>
                </w:pPr>
                <w:r>
                  <w:rPr>
                    <w:rFonts w:hint="eastAsia"/>
                  </w:rPr>
                  <w:t>计提减值准备</w:t>
                </w:r>
              </w:p>
            </w:tc>
          </w:sdtContent>
        </w:sdt>
        <w:sdt>
          <w:sdtPr>
            <w:tag w:val="_PLD_add111e25b4543c48121d495919f2030"/>
            <w:id w:val="526223540"/>
          </w:sdtPr>
          <w:sdtContent>
            <w:tc>
              <w:tcPr>
                <w:tcW w:w="418" w:type="pct"/>
                <w:tcBorders>
                  <w:top w:val="single" w:sz="4" w:space="0" w:color="auto"/>
                  <w:left w:val="single" w:sz="4" w:space="0" w:color="auto"/>
                  <w:bottom w:val="single" w:sz="4" w:space="0" w:color="auto"/>
                  <w:right w:val="single" w:sz="4" w:space="0" w:color="auto"/>
                </w:tcBorders>
                <w:vAlign w:val="center"/>
              </w:tcPr>
              <w:p w14:paraId="6E94C866" w14:textId="77777777" w:rsidR="005E000F" w:rsidRDefault="00000000">
                <w:pPr>
                  <w:jc w:val="center"/>
                </w:pPr>
                <w:r>
                  <w:rPr>
                    <w:rFonts w:hint="eastAsia"/>
                  </w:rPr>
                  <w:t>其他</w:t>
                </w:r>
              </w:p>
            </w:tc>
          </w:sdtContent>
        </w:sdt>
        <w:tc>
          <w:tcPr>
            <w:tcW w:w="413" w:type="pct"/>
            <w:vMerge/>
            <w:tcBorders>
              <w:left w:val="single" w:sz="4" w:space="0" w:color="auto"/>
              <w:bottom w:val="single" w:sz="4" w:space="0" w:color="auto"/>
              <w:right w:val="single" w:sz="4" w:space="0" w:color="auto"/>
            </w:tcBorders>
            <w:vAlign w:val="center"/>
          </w:tcPr>
          <w:p w14:paraId="5CD8DFA6" w14:textId="77777777" w:rsidR="005E000F" w:rsidRDefault="005E000F">
            <w:pPr>
              <w:jc w:val="center"/>
            </w:pPr>
          </w:p>
        </w:tc>
        <w:tc>
          <w:tcPr>
            <w:tcW w:w="408" w:type="pct"/>
            <w:vMerge/>
            <w:tcBorders>
              <w:left w:val="single" w:sz="4" w:space="0" w:color="auto"/>
              <w:bottom w:val="single" w:sz="4" w:space="0" w:color="auto"/>
              <w:right w:val="single" w:sz="4" w:space="0" w:color="auto"/>
            </w:tcBorders>
            <w:vAlign w:val="center"/>
          </w:tcPr>
          <w:p w14:paraId="0708C10B" w14:textId="77777777" w:rsidR="005E000F" w:rsidRDefault="005E000F">
            <w:pPr>
              <w:jc w:val="center"/>
            </w:pPr>
          </w:p>
        </w:tc>
      </w:tr>
      <w:tr w:rsidR="005E000F" w14:paraId="1A1D1FF2" w14:textId="77777777">
        <w:sdt>
          <w:sdtPr>
            <w:tag w:val="_PLD_2c448562bca04f23a9ec97848768cd82"/>
            <w:id w:val="-448776824"/>
          </w:sdtPr>
          <w:sdtContent>
            <w:tc>
              <w:tcPr>
                <w:tcW w:w="5000" w:type="pct"/>
                <w:gridSpan w:val="12"/>
                <w:tcBorders>
                  <w:top w:val="single" w:sz="4" w:space="0" w:color="auto"/>
                  <w:left w:val="single" w:sz="4" w:space="0" w:color="auto"/>
                  <w:bottom w:val="single" w:sz="4" w:space="0" w:color="auto"/>
                  <w:right w:val="single" w:sz="4" w:space="0" w:color="auto"/>
                </w:tcBorders>
                <w:vAlign w:val="center"/>
              </w:tcPr>
              <w:p w14:paraId="0D3DE23E" w14:textId="77777777" w:rsidR="005E000F" w:rsidRDefault="00000000">
                <w:pPr>
                  <w:jc w:val="both"/>
                </w:pPr>
                <w:r>
                  <w:rPr>
                    <w:rFonts w:hint="eastAsia"/>
                  </w:rPr>
                  <w:t>一、联营企业</w:t>
                </w:r>
              </w:p>
            </w:tc>
          </w:sdtContent>
        </w:sdt>
      </w:tr>
      <w:tr w:rsidR="005E000F" w14:paraId="4B9BCDBB" w14:textId="77777777">
        <w:tc>
          <w:tcPr>
            <w:tcW w:w="440" w:type="pct"/>
            <w:tcBorders>
              <w:top w:val="single" w:sz="4" w:space="0" w:color="auto"/>
              <w:left w:val="single" w:sz="4" w:space="0" w:color="auto"/>
              <w:bottom w:val="single" w:sz="4" w:space="0" w:color="auto"/>
              <w:right w:val="single" w:sz="4" w:space="0" w:color="auto"/>
            </w:tcBorders>
          </w:tcPr>
          <w:p w14:paraId="6A5F3BF6" w14:textId="77777777" w:rsidR="005E000F" w:rsidRDefault="00000000">
            <w:proofErr w:type="gramStart"/>
            <w:r>
              <w:t>国能朔黄</w:t>
            </w:r>
            <w:proofErr w:type="gramEnd"/>
            <w:r>
              <w:t>铁路发展有限责任公司</w:t>
            </w:r>
            <w:r>
              <w:t>*</w:t>
            </w:r>
            <w:r>
              <w:rPr>
                <w:rFonts w:hint="eastAsia"/>
              </w:rPr>
              <w:t>（</w:t>
            </w:r>
            <w:r>
              <w:t>注</w:t>
            </w:r>
            <w:r>
              <w:t xml:space="preserve"> 1</w:t>
            </w:r>
            <w:r>
              <w:rPr>
                <w:rFonts w:hint="eastAsia"/>
              </w:rPr>
              <w:t>）</w:t>
            </w:r>
          </w:p>
        </w:tc>
        <w:tc>
          <w:tcPr>
            <w:tcW w:w="542" w:type="pct"/>
            <w:tcBorders>
              <w:top w:val="single" w:sz="4" w:space="0" w:color="auto"/>
              <w:left w:val="single" w:sz="4" w:space="0" w:color="auto"/>
              <w:bottom w:val="single" w:sz="4" w:space="0" w:color="auto"/>
              <w:right w:val="single" w:sz="4" w:space="0" w:color="auto"/>
            </w:tcBorders>
            <w:vAlign w:val="center"/>
          </w:tcPr>
          <w:p w14:paraId="628C3D48" w14:textId="77777777" w:rsidR="005E000F" w:rsidRDefault="00000000">
            <w:pPr>
              <w:jc w:val="right"/>
              <w:rPr>
                <w:lang w:eastAsia="en-US"/>
              </w:rPr>
            </w:pPr>
            <w:r>
              <w:t>19,318,842,330</w:t>
            </w:r>
          </w:p>
        </w:tc>
        <w:tc>
          <w:tcPr>
            <w:tcW w:w="406" w:type="pct"/>
            <w:tcBorders>
              <w:top w:val="single" w:sz="4" w:space="0" w:color="auto"/>
              <w:left w:val="single" w:sz="4" w:space="0" w:color="auto"/>
              <w:bottom w:val="single" w:sz="4" w:space="0" w:color="auto"/>
              <w:right w:val="single" w:sz="4" w:space="0" w:color="auto"/>
            </w:tcBorders>
            <w:vAlign w:val="center"/>
          </w:tcPr>
          <w:p w14:paraId="3917E918" w14:textId="77777777" w:rsidR="005E000F" w:rsidRDefault="00000000">
            <w:pPr>
              <w:jc w:val="right"/>
            </w:pPr>
            <w:r>
              <w:t>0</w:t>
            </w:r>
          </w:p>
        </w:tc>
        <w:tc>
          <w:tcPr>
            <w:tcW w:w="357" w:type="pct"/>
            <w:tcBorders>
              <w:top w:val="single" w:sz="4" w:space="0" w:color="auto"/>
              <w:left w:val="single" w:sz="4" w:space="0" w:color="auto"/>
              <w:bottom w:val="single" w:sz="4" w:space="0" w:color="auto"/>
              <w:right w:val="single" w:sz="4" w:space="0" w:color="auto"/>
            </w:tcBorders>
            <w:vAlign w:val="center"/>
          </w:tcPr>
          <w:p w14:paraId="655613CF" w14:textId="77777777" w:rsidR="005E000F" w:rsidRDefault="00000000">
            <w:pPr>
              <w:jc w:val="right"/>
            </w:pPr>
            <w:r>
              <w:t>0</w:t>
            </w:r>
          </w:p>
        </w:tc>
        <w:tc>
          <w:tcPr>
            <w:tcW w:w="422" w:type="pct"/>
            <w:tcBorders>
              <w:top w:val="single" w:sz="4" w:space="0" w:color="auto"/>
              <w:left w:val="single" w:sz="4" w:space="0" w:color="auto"/>
              <w:bottom w:val="single" w:sz="4" w:space="0" w:color="auto"/>
              <w:right w:val="single" w:sz="4" w:space="0" w:color="auto"/>
            </w:tcBorders>
            <w:vAlign w:val="center"/>
          </w:tcPr>
          <w:p w14:paraId="3242E117" w14:textId="77777777" w:rsidR="005E000F" w:rsidRDefault="00000000">
            <w:pPr>
              <w:jc w:val="right"/>
            </w:pPr>
            <w:r>
              <w:t>2,681,101,917</w:t>
            </w:r>
          </w:p>
        </w:tc>
        <w:tc>
          <w:tcPr>
            <w:tcW w:w="376" w:type="pct"/>
            <w:tcBorders>
              <w:top w:val="single" w:sz="4" w:space="0" w:color="auto"/>
              <w:left w:val="single" w:sz="4" w:space="0" w:color="auto"/>
              <w:bottom w:val="single" w:sz="4" w:space="0" w:color="auto"/>
              <w:right w:val="single" w:sz="4" w:space="0" w:color="auto"/>
            </w:tcBorders>
            <w:vAlign w:val="center"/>
          </w:tcPr>
          <w:p w14:paraId="4AC1F09E" w14:textId="77777777" w:rsidR="005E000F" w:rsidRDefault="00000000">
            <w:pPr>
              <w:jc w:val="right"/>
            </w:pPr>
            <w:r>
              <w:t>0</w:t>
            </w:r>
          </w:p>
        </w:tc>
        <w:tc>
          <w:tcPr>
            <w:tcW w:w="380" w:type="pct"/>
            <w:tcBorders>
              <w:top w:val="single" w:sz="4" w:space="0" w:color="auto"/>
              <w:left w:val="single" w:sz="4" w:space="0" w:color="auto"/>
              <w:bottom w:val="single" w:sz="4" w:space="0" w:color="auto"/>
              <w:right w:val="single" w:sz="4" w:space="0" w:color="auto"/>
            </w:tcBorders>
            <w:vAlign w:val="center"/>
          </w:tcPr>
          <w:p w14:paraId="0D38BF42" w14:textId="77777777" w:rsidR="005E000F" w:rsidRDefault="00000000">
            <w:pPr>
              <w:jc w:val="right"/>
            </w:pPr>
            <w:r>
              <w:t>312,116,723</w:t>
            </w:r>
          </w:p>
        </w:tc>
        <w:tc>
          <w:tcPr>
            <w:tcW w:w="419" w:type="pct"/>
            <w:tcBorders>
              <w:top w:val="single" w:sz="4" w:space="0" w:color="auto"/>
              <w:left w:val="single" w:sz="4" w:space="0" w:color="auto"/>
              <w:bottom w:val="single" w:sz="4" w:space="0" w:color="auto"/>
              <w:right w:val="single" w:sz="4" w:space="0" w:color="auto"/>
            </w:tcBorders>
            <w:vAlign w:val="center"/>
          </w:tcPr>
          <w:p w14:paraId="550E02FE" w14:textId="77777777" w:rsidR="005E000F" w:rsidRDefault="00000000">
            <w:pPr>
              <w:jc w:val="right"/>
            </w:pPr>
            <w:r>
              <w:t>0</w:t>
            </w:r>
          </w:p>
        </w:tc>
        <w:tc>
          <w:tcPr>
            <w:tcW w:w="414" w:type="pct"/>
            <w:tcBorders>
              <w:top w:val="single" w:sz="4" w:space="0" w:color="auto"/>
              <w:left w:val="single" w:sz="4" w:space="0" w:color="auto"/>
              <w:bottom w:val="single" w:sz="4" w:space="0" w:color="auto"/>
              <w:right w:val="single" w:sz="4" w:space="0" w:color="auto"/>
            </w:tcBorders>
            <w:vAlign w:val="center"/>
          </w:tcPr>
          <w:p w14:paraId="1595B712" w14:textId="77777777" w:rsidR="005E000F" w:rsidRDefault="00000000">
            <w:pPr>
              <w:jc w:val="right"/>
            </w:pPr>
            <w:r>
              <w:t>0</w:t>
            </w:r>
          </w:p>
        </w:tc>
        <w:tc>
          <w:tcPr>
            <w:tcW w:w="418" w:type="pct"/>
            <w:tcBorders>
              <w:top w:val="single" w:sz="4" w:space="0" w:color="auto"/>
              <w:left w:val="single" w:sz="4" w:space="0" w:color="auto"/>
              <w:bottom w:val="single" w:sz="4" w:space="0" w:color="auto"/>
              <w:right w:val="single" w:sz="4" w:space="0" w:color="auto"/>
            </w:tcBorders>
            <w:vAlign w:val="center"/>
          </w:tcPr>
          <w:p w14:paraId="2B9CFD7D" w14:textId="77777777" w:rsidR="005E000F" w:rsidRDefault="00000000">
            <w:pPr>
              <w:jc w:val="right"/>
            </w:pPr>
            <w:r>
              <w:t>0</w:t>
            </w:r>
          </w:p>
        </w:tc>
        <w:tc>
          <w:tcPr>
            <w:tcW w:w="413" w:type="pct"/>
            <w:tcBorders>
              <w:top w:val="single" w:sz="4" w:space="0" w:color="auto"/>
              <w:left w:val="single" w:sz="4" w:space="0" w:color="auto"/>
              <w:bottom w:val="single" w:sz="4" w:space="0" w:color="auto"/>
              <w:right w:val="single" w:sz="4" w:space="0" w:color="auto"/>
            </w:tcBorders>
            <w:vAlign w:val="center"/>
          </w:tcPr>
          <w:p w14:paraId="40B576FB" w14:textId="77777777" w:rsidR="005E000F" w:rsidRDefault="00000000">
            <w:pPr>
              <w:jc w:val="right"/>
            </w:pPr>
            <w:r>
              <w:t>22,312,060,970</w:t>
            </w:r>
          </w:p>
        </w:tc>
        <w:tc>
          <w:tcPr>
            <w:tcW w:w="408" w:type="pct"/>
            <w:tcBorders>
              <w:top w:val="single" w:sz="4" w:space="0" w:color="auto"/>
              <w:left w:val="single" w:sz="4" w:space="0" w:color="auto"/>
              <w:bottom w:val="single" w:sz="4" w:space="0" w:color="auto"/>
              <w:right w:val="single" w:sz="4" w:space="0" w:color="auto"/>
            </w:tcBorders>
            <w:vAlign w:val="center"/>
          </w:tcPr>
          <w:p w14:paraId="0CA25B78" w14:textId="77777777" w:rsidR="005E000F" w:rsidRDefault="00000000">
            <w:pPr>
              <w:jc w:val="right"/>
            </w:pPr>
            <w:r>
              <w:t>0</w:t>
            </w:r>
          </w:p>
        </w:tc>
      </w:tr>
      <w:tr w:rsidR="005E000F" w14:paraId="3AF1DDDA" w14:textId="77777777">
        <w:tc>
          <w:tcPr>
            <w:tcW w:w="440" w:type="pct"/>
            <w:tcBorders>
              <w:top w:val="single" w:sz="4" w:space="0" w:color="auto"/>
              <w:left w:val="single" w:sz="4" w:space="0" w:color="auto"/>
              <w:bottom w:val="single" w:sz="4" w:space="0" w:color="auto"/>
              <w:right w:val="single" w:sz="4" w:space="0" w:color="auto"/>
            </w:tcBorders>
          </w:tcPr>
          <w:p w14:paraId="33304F2F" w14:textId="77777777" w:rsidR="005E000F" w:rsidRDefault="00000000">
            <w:proofErr w:type="gramStart"/>
            <w:r>
              <w:t>浩</w:t>
            </w:r>
            <w:proofErr w:type="gramEnd"/>
            <w:r>
              <w:t>吉铁路股份有限公司</w:t>
            </w:r>
            <w:r>
              <w:t>*</w:t>
            </w:r>
            <w:r>
              <w:rPr>
                <w:rFonts w:hint="eastAsia"/>
              </w:rPr>
              <w:t>（</w:t>
            </w:r>
            <w:r>
              <w:t>注</w:t>
            </w:r>
            <w:r>
              <w:t xml:space="preserve"> 2</w:t>
            </w:r>
            <w:r>
              <w:rPr>
                <w:rFonts w:hint="eastAsia"/>
              </w:rPr>
              <w:t>）</w:t>
            </w:r>
          </w:p>
        </w:tc>
        <w:tc>
          <w:tcPr>
            <w:tcW w:w="542" w:type="pct"/>
            <w:tcBorders>
              <w:top w:val="single" w:sz="4" w:space="0" w:color="auto"/>
              <w:left w:val="single" w:sz="4" w:space="0" w:color="auto"/>
              <w:bottom w:val="single" w:sz="4" w:space="0" w:color="auto"/>
              <w:right w:val="single" w:sz="4" w:space="0" w:color="auto"/>
            </w:tcBorders>
            <w:vAlign w:val="center"/>
          </w:tcPr>
          <w:p w14:paraId="5F5A8627" w14:textId="77777777" w:rsidR="005E000F" w:rsidRDefault="00000000">
            <w:pPr>
              <w:jc w:val="right"/>
              <w:rPr>
                <w:lang w:eastAsia="en-US"/>
              </w:rPr>
            </w:pPr>
            <w:r>
              <w:t>5,320,871,957</w:t>
            </w:r>
          </w:p>
        </w:tc>
        <w:tc>
          <w:tcPr>
            <w:tcW w:w="406" w:type="pct"/>
            <w:tcBorders>
              <w:top w:val="single" w:sz="4" w:space="0" w:color="auto"/>
              <w:left w:val="single" w:sz="4" w:space="0" w:color="auto"/>
              <w:bottom w:val="single" w:sz="4" w:space="0" w:color="auto"/>
              <w:right w:val="single" w:sz="4" w:space="0" w:color="auto"/>
            </w:tcBorders>
            <w:vAlign w:val="center"/>
          </w:tcPr>
          <w:p w14:paraId="2ED97C55" w14:textId="77777777" w:rsidR="005E000F" w:rsidRDefault="00000000">
            <w:pPr>
              <w:jc w:val="right"/>
            </w:pPr>
            <w:r>
              <w:t>0</w:t>
            </w:r>
          </w:p>
        </w:tc>
        <w:tc>
          <w:tcPr>
            <w:tcW w:w="357" w:type="pct"/>
            <w:tcBorders>
              <w:top w:val="single" w:sz="4" w:space="0" w:color="auto"/>
              <w:left w:val="single" w:sz="4" w:space="0" w:color="auto"/>
              <w:bottom w:val="single" w:sz="4" w:space="0" w:color="auto"/>
              <w:right w:val="single" w:sz="4" w:space="0" w:color="auto"/>
            </w:tcBorders>
            <w:vAlign w:val="center"/>
          </w:tcPr>
          <w:p w14:paraId="68838D83" w14:textId="77777777" w:rsidR="005E000F" w:rsidRDefault="00000000">
            <w:pPr>
              <w:jc w:val="right"/>
            </w:pPr>
            <w:r>
              <w:t>0</w:t>
            </w:r>
          </w:p>
        </w:tc>
        <w:tc>
          <w:tcPr>
            <w:tcW w:w="422" w:type="pct"/>
            <w:tcBorders>
              <w:top w:val="single" w:sz="4" w:space="0" w:color="auto"/>
              <w:left w:val="single" w:sz="4" w:space="0" w:color="auto"/>
              <w:bottom w:val="single" w:sz="4" w:space="0" w:color="auto"/>
              <w:right w:val="single" w:sz="4" w:space="0" w:color="auto"/>
            </w:tcBorders>
            <w:vAlign w:val="center"/>
          </w:tcPr>
          <w:p w14:paraId="19D8C31E" w14:textId="77777777" w:rsidR="005E000F" w:rsidRDefault="00000000">
            <w:pPr>
              <w:jc w:val="right"/>
            </w:pPr>
            <w:r>
              <w:t>58,313,33</w:t>
            </w:r>
            <w:r>
              <w:rPr>
                <w:rFonts w:hint="eastAsia"/>
              </w:rPr>
              <w:t>3</w:t>
            </w:r>
          </w:p>
        </w:tc>
        <w:tc>
          <w:tcPr>
            <w:tcW w:w="376" w:type="pct"/>
            <w:tcBorders>
              <w:top w:val="single" w:sz="4" w:space="0" w:color="auto"/>
              <w:left w:val="single" w:sz="4" w:space="0" w:color="auto"/>
              <w:bottom w:val="single" w:sz="4" w:space="0" w:color="auto"/>
              <w:right w:val="single" w:sz="4" w:space="0" w:color="auto"/>
            </w:tcBorders>
            <w:vAlign w:val="center"/>
          </w:tcPr>
          <w:p w14:paraId="2BC21849" w14:textId="77777777" w:rsidR="005E000F" w:rsidRDefault="00000000">
            <w:pPr>
              <w:jc w:val="right"/>
            </w:pPr>
            <w:r>
              <w:t>0</w:t>
            </w:r>
          </w:p>
        </w:tc>
        <w:tc>
          <w:tcPr>
            <w:tcW w:w="380" w:type="pct"/>
            <w:tcBorders>
              <w:top w:val="single" w:sz="4" w:space="0" w:color="auto"/>
              <w:left w:val="single" w:sz="4" w:space="0" w:color="auto"/>
              <w:bottom w:val="single" w:sz="4" w:space="0" w:color="auto"/>
              <w:right w:val="single" w:sz="4" w:space="0" w:color="auto"/>
            </w:tcBorders>
            <w:vAlign w:val="center"/>
          </w:tcPr>
          <w:p w14:paraId="502A7FCF" w14:textId="77777777" w:rsidR="005E000F" w:rsidRDefault="00000000">
            <w:pPr>
              <w:jc w:val="right"/>
            </w:pPr>
            <w:r>
              <w:t>3,278,399</w:t>
            </w:r>
          </w:p>
        </w:tc>
        <w:tc>
          <w:tcPr>
            <w:tcW w:w="419" w:type="pct"/>
            <w:tcBorders>
              <w:top w:val="single" w:sz="4" w:space="0" w:color="auto"/>
              <w:left w:val="single" w:sz="4" w:space="0" w:color="auto"/>
              <w:bottom w:val="single" w:sz="4" w:space="0" w:color="auto"/>
              <w:right w:val="single" w:sz="4" w:space="0" w:color="auto"/>
            </w:tcBorders>
            <w:vAlign w:val="center"/>
          </w:tcPr>
          <w:p w14:paraId="0976197F" w14:textId="77777777" w:rsidR="005E000F" w:rsidRDefault="00000000">
            <w:pPr>
              <w:jc w:val="right"/>
            </w:pPr>
            <w:r>
              <w:t>0</w:t>
            </w:r>
          </w:p>
        </w:tc>
        <w:tc>
          <w:tcPr>
            <w:tcW w:w="414" w:type="pct"/>
            <w:tcBorders>
              <w:top w:val="single" w:sz="4" w:space="0" w:color="auto"/>
              <w:left w:val="single" w:sz="4" w:space="0" w:color="auto"/>
              <w:bottom w:val="single" w:sz="4" w:space="0" w:color="auto"/>
              <w:right w:val="single" w:sz="4" w:space="0" w:color="auto"/>
            </w:tcBorders>
            <w:vAlign w:val="center"/>
          </w:tcPr>
          <w:p w14:paraId="12BCC2D4" w14:textId="77777777" w:rsidR="005E000F" w:rsidRDefault="00000000">
            <w:pPr>
              <w:jc w:val="right"/>
            </w:pPr>
            <w:r>
              <w:t>0</w:t>
            </w:r>
          </w:p>
        </w:tc>
        <w:tc>
          <w:tcPr>
            <w:tcW w:w="418" w:type="pct"/>
            <w:tcBorders>
              <w:top w:val="single" w:sz="4" w:space="0" w:color="auto"/>
              <w:left w:val="single" w:sz="4" w:space="0" w:color="auto"/>
              <w:bottom w:val="single" w:sz="4" w:space="0" w:color="auto"/>
              <w:right w:val="single" w:sz="4" w:space="0" w:color="auto"/>
            </w:tcBorders>
            <w:vAlign w:val="center"/>
          </w:tcPr>
          <w:p w14:paraId="6E8B0080" w14:textId="77777777" w:rsidR="005E000F" w:rsidRDefault="00000000">
            <w:pPr>
              <w:jc w:val="right"/>
            </w:pPr>
            <w:r>
              <w:t>0</w:t>
            </w:r>
          </w:p>
        </w:tc>
        <w:tc>
          <w:tcPr>
            <w:tcW w:w="413" w:type="pct"/>
            <w:tcBorders>
              <w:top w:val="single" w:sz="4" w:space="0" w:color="auto"/>
              <w:left w:val="single" w:sz="4" w:space="0" w:color="auto"/>
              <w:bottom w:val="single" w:sz="4" w:space="0" w:color="auto"/>
              <w:right w:val="single" w:sz="4" w:space="0" w:color="auto"/>
            </w:tcBorders>
            <w:vAlign w:val="center"/>
          </w:tcPr>
          <w:p w14:paraId="659F2542" w14:textId="77777777" w:rsidR="005E000F" w:rsidRDefault="00000000">
            <w:pPr>
              <w:jc w:val="right"/>
            </w:pPr>
            <w:r>
              <w:t>5,382,463,6</w:t>
            </w:r>
            <w:r>
              <w:rPr>
                <w:rFonts w:hint="eastAsia"/>
              </w:rPr>
              <w:t>89</w:t>
            </w:r>
          </w:p>
        </w:tc>
        <w:tc>
          <w:tcPr>
            <w:tcW w:w="408" w:type="pct"/>
            <w:tcBorders>
              <w:top w:val="single" w:sz="4" w:space="0" w:color="auto"/>
              <w:left w:val="single" w:sz="4" w:space="0" w:color="auto"/>
              <w:bottom w:val="single" w:sz="4" w:space="0" w:color="auto"/>
              <w:right w:val="single" w:sz="4" w:space="0" w:color="auto"/>
            </w:tcBorders>
            <w:vAlign w:val="center"/>
          </w:tcPr>
          <w:p w14:paraId="2565516F" w14:textId="77777777" w:rsidR="005E000F" w:rsidRDefault="00000000">
            <w:pPr>
              <w:jc w:val="right"/>
            </w:pPr>
            <w:r>
              <w:t>0</w:t>
            </w:r>
          </w:p>
        </w:tc>
      </w:tr>
      <w:tr w:rsidR="005E000F" w14:paraId="3979C3F8" w14:textId="77777777">
        <w:tc>
          <w:tcPr>
            <w:tcW w:w="440" w:type="pct"/>
            <w:tcBorders>
              <w:top w:val="single" w:sz="4" w:space="0" w:color="auto"/>
              <w:left w:val="single" w:sz="4" w:space="0" w:color="auto"/>
              <w:bottom w:val="single" w:sz="4" w:space="0" w:color="auto"/>
              <w:right w:val="single" w:sz="4" w:space="0" w:color="auto"/>
            </w:tcBorders>
          </w:tcPr>
          <w:p w14:paraId="6BD8B575" w14:textId="77777777" w:rsidR="005E000F" w:rsidRDefault="00000000">
            <w:r>
              <w:t>唐港铁路装卸有限责任公司</w:t>
            </w:r>
            <w:r>
              <w:rPr>
                <w:rFonts w:hint="eastAsia"/>
              </w:rPr>
              <w:t>（</w:t>
            </w:r>
            <w:r>
              <w:t>注</w:t>
            </w:r>
            <w:r>
              <w:t xml:space="preserve"> 3</w:t>
            </w:r>
            <w:r>
              <w:rPr>
                <w:rFonts w:hint="eastAsia"/>
              </w:rPr>
              <w:t>）</w:t>
            </w:r>
          </w:p>
        </w:tc>
        <w:tc>
          <w:tcPr>
            <w:tcW w:w="542" w:type="pct"/>
            <w:tcBorders>
              <w:top w:val="single" w:sz="4" w:space="0" w:color="auto"/>
              <w:left w:val="single" w:sz="4" w:space="0" w:color="auto"/>
              <w:bottom w:val="single" w:sz="4" w:space="0" w:color="auto"/>
              <w:right w:val="single" w:sz="4" w:space="0" w:color="auto"/>
            </w:tcBorders>
            <w:vAlign w:val="center"/>
          </w:tcPr>
          <w:p w14:paraId="73B62B5C" w14:textId="77777777" w:rsidR="005E000F" w:rsidRDefault="00000000">
            <w:pPr>
              <w:jc w:val="right"/>
              <w:rPr>
                <w:lang w:eastAsia="en-US"/>
              </w:rPr>
            </w:pPr>
            <w:r>
              <w:t>1,082,575</w:t>
            </w:r>
          </w:p>
        </w:tc>
        <w:tc>
          <w:tcPr>
            <w:tcW w:w="406" w:type="pct"/>
            <w:tcBorders>
              <w:top w:val="single" w:sz="4" w:space="0" w:color="auto"/>
              <w:left w:val="single" w:sz="4" w:space="0" w:color="auto"/>
              <w:bottom w:val="single" w:sz="4" w:space="0" w:color="auto"/>
              <w:right w:val="single" w:sz="4" w:space="0" w:color="auto"/>
            </w:tcBorders>
            <w:vAlign w:val="center"/>
          </w:tcPr>
          <w:p w14:paraId="2EAA4AF4" w14:textId="77777777" w:rsidR="005E000F" w:rsidRDefault="00000000">
            <w:pPr>
              <w:jc w:val="right"/>
            </w:pPr>
            <w:r>
              <w:t>0</w:t>
            </w:r>
          </w:p>
        </w:tc>
        <w:tc>
          <w:tcPr>
            <w:tcW w:w="357" w:type="pct"/>
            <w:tcBorders>
              <w:top w:val="single" w:sz="4" w:space="0" w:color="auto"/>
              <w:left w:val="single" w:sz="4" w:space="0" w:color="auto"/>
              <w:bottom w:val="single" w:sz="4" w:space="0" w:color="auto"/>
              <w:right w:val="single" w:sz="4" w:space="0" w:color="auto"/>
            </w:tcBorders>
            <w:vAlign w:val="center"/>
          </w:tcPr>
          <w:p w14:paraId="560A4715" w14:textId="77777777" w:rsidR="005E000F" w:rsidRDefault="00000000">
            <w:pPr>
              <w:jc w:val="right"/>
            </w:pPr>
            <w:r>
              <w:t>-600,000</w:t>
            </w:r>
          </w:p>
        </w:tc>
        <w:tc>
          <w:tcPr>
            <w:tcW w:w="422" w:type="pct"/>
            <w:tcBorders>
              <w:top w:val="single" w:sz="4" w:space="0" w:color="auto"/>
              <w:left w:val="single" w:sz="4" w:space="0" w:color="auto"/>
              <w:bottom w:val="single" w:sz="4" w:space="0" w:color="auto"/>
              <w:right w:val="single" w:sz="4" w:space="0" w:color="auto"/>
            </w:tcBorders>
            <w:vAlign w:val="center"/>
          </w:tcPr>
          <w:p w14:paraId="6355E5AA" w14:textId="77777777" w:rsidR="005E000F" w:rsidRDefault="00000000">
            <w:pPr>
              <w:jc w:val="right"/>
            </w:pPr>
            <w:r>
              <w:t>-195,115</w:t>
            </w:r>
          </w:p>
        </w:tc>
        <w:tc>
          <w:tcPr>
            <w:tcW w:w="376" w:type="pct"/>
            <w:tcBorders>
              <w:top w:val="single" w:sz="4" w:space="0" w:color="auto"/>
              <w:left w:val="single" w:sz="4" w:space="0" w:color="auto"/>
              <w:bottom w:val="single" w:sz="4" w:space="0" w:color="auto"/>
              <w:right w:val="single" w:sz="4" w:space="0" w:color="auto"/>
            </w:tcBorders>
            <w:vAlign w:val="center"/>
          </w:tcPr>
          <w:p w14:paraId="7158A051" w14:textId="77777777" w:rsidR="005E000F" w:rsidRDefault="00000000">
            <w:pPr>
              <w:jc w:val="right"/>
            </w:pPr>
            <w:r>
              <w:t>0</w:t>
            </w:r>
          </w:p>
        </w:tc>
        <w:tc>
          <w:tcPr>
            <w:tcW w:w="380" w:type="pct"/>
            <w:tcBorders>
              <w:top w:val="single" w:sz="4" w:space="0" w:color="auto"/>
              <w:left w:val="single" w:sz="4" w:space="0" w:color="auto"/>
              <w:bottom w:val="single" w:sz="4" w:space="0" w:color="auto"/>
              <w:right w:val="single" w:sz="4" w:space="0" w:color="auto"/>
            </w:tcBorders>
            <w:vAlign w:val="center"/>
          </w:tcPr>
          <w:p w14:paraId="700B4367" w14:textId="77777777" w:rsidR="005E000F" w:rsidRDefault="00000000">
            <w:pPr>
              <w:jc w:val="right"/>
            </w:pPr>
            <w:r>
              <w:t>0</w:t>
            </w:r>
          </w:p>
        </w:tc>
        <w:tc>
          <w:tcPr>
            <w:tcW w:w="419" w:type="pct"/>
            <w:tcBorders>
              <w:top w:val="single" w:sz="4" w:space="0" w:color="auto"/>
              <w:left w:val="single" w:sz="4" w:space="0" w:color="auto"/>
              <w:bottom w:val="single" w:sz="4" w:space="0" w:color="auto"/>
              <w:right w:val="single" w:sz="4" w:space="0" w:color="auto"/>
            </w:tcBorders>
            <w:vAlign w:val="center"/>
          </w:tcPr>
          <w:p w14:paraId="7B25A98B" w14:textId="77777777" w:rsidR="005E000F" w:rsidRDefault="00000000">
            <w:pPr>
              <w:jc w:val="right"/>
            </w:pPr>
            <w:r>
              <w:t>-287,460</w:t>
            </w:r>
          </w:p>
        </w:tc>
        <w:tc>
          <w:tcPr>
            <w:tcW w:w="414" w:type="pct"/>
            <w:tcBorders>
              <w:top w:val="single" w:sz="4" w:space="0" w:color="auto"/>
              <w:left w:val="single" w:sz="4" w:space="0" w:color="auto"/>
              <w:bottom w:val="single" w:sz="4" w:space="0" w:color="auto"/>
              <w:right w:val="single" w:sz="4" w:space="0" w:color="auto"/>
            </w:tcBorders>
            <w:vAlign w:val="center"/>
          </w:tcPr>
          <w:p w14:paraId="6EE645AF" w14:textId="77777777" w:rsidR="005E000F" w:rsidRDefault="00000000">
            <w:pPr>
              <w:jc w:val="right"/>
            </w:pPr>
            <w:r>
              <w:t>0</w:t>
            </w:r>
          </w:p>
        </w:tc>
        <w:tc>
          <w:tcPr>
            <w:tcW w:w="418" w:type="pct"/>
            <w:tcBorders>
              <w:top w:val="single" w:sz="4" w:space="0" w:color="auto"/>
              <w:left w:val="single" w:sz="4" w:space="0" w:color="auto"/>
              <w:bottom w:val="single" w:sz="4" w:space="0" w:color="auto"/>
              <w:right w:val="single" w:sz="4" w:space="0" w:color="auto"/>
            </w:tcBorders>
            <w:vAlign w:val="center"/>
          </w:tcPr>
          <w:p w14:paraId="130C4516" w14:textId="77777777" w:rsidR="005E000F" w:rsidRDefault="00000000">
            <w:pPr>
              <w:jc w:val="right"/>
            </w:pPr>
            <w:r>
              <w:t>0</w:t>
            </w:r>
          </w:p>
        </w:tc>
        <w:tc>
          <w:tcPr>
            <w:tcW w:w="413" w:type="pct"/>
            <w:tcBorders>
              <w:top w:val="single" w:sz="4" w:space="0" w:color="auto"/>
              <w:left w:val="single" w:sz="4" w:space="0" w:color="auto"/>
              <w:bottom w:val="single" w:sz="4" w:space="0" w:color="auto"/>
              <w:right w:val="single" w:sz="4" w:space="0" w:color="auto"/>
            </w:tcBorders>
            <w:vAlign w:val="center"/>
          </w:tcPr>
          <w:p w14:paraId="58C30FDE" w14:textId="77777777" w:rsidR="005E000F" w:rsidRDefault="00000000">
            <w:pPr>
              <w:jc w:val="right"/>
            </w:pPr>
            <w:r>
              <w:t>0</w:t>
            </w:r>
          </w:p>
        </w:tc>
        <w:tc>
          <w:tcPr>
            <w:tcW w:w="408" w:type="pct"/>
            <w:tcBorders>
              <w:top w:val="single" w:sz="4" w:space="0" w:color="auto"/>
              <w:left w:val="single" w:sz="4" w:space="0" w:color="auto"/>
              <w:bottom w:val="single" w:sz="4" w:space="0" w:color="auto"/>
              <w:right w:val="single" w:sz="4" w:space="0" w:color="auto"/>
            </w:tcBorders>
            <w:vAlign w:val="center"/>
          </w:tcPr>
          <w:p w14:paraId="4E449E4D" w14:textId="77777777" w:rsidR="005E000F" w:rsidRDefault="00000000">
            <w:pPr>
              <w:jc w:val="right"/>
            </w:pPr>
            <w:r>
              <w:t>0</w:t>
            </w:r>
          </w:p>
        </w:tc>
      </w:tr>
      <w:tr w:rsidR="005E000F" w14:paraId="5CE80F28" w14:textId="77777777">
        <w:tc>
          <w:tcPr>
            <w:tcW w:w="440" w:type="pct"/>
            <w:tcBorders>
              <w:top w:val="single" w:sz="4" w:space="0" w:color="auto"/>
              <w:left w:val="single" w:sz="4" w:space="0" w:color="auto"/>
              <w:bottom w:val="single" w:sz="4" w:space="0" w:color="auto"/>
              <w:right w:val="single" w:sz="4" w:space="0" w:color="auto"/>
            </w:tcBorders>
          </w:tcPr>
          <w:p w14:paraId="0F5FCC53" w14:textId="77777777" w:rsidR="005E000F" w:rsidRDefault="00000000">
            <w:r>
              <w:t>曹妃</w:t>
            </w:r>
            <w:proofErr w:type="gramStart"/>
            <w:r>
              <w:t>甸</w:t>
            </w:r>
            <w:proofErr w:type="gramEnd"/>
            <w:r>
              <w:t>港</w:t>
            </w:r>
            <w:proofErr w:type="gramStart"/>
            <w:r>
              <w:t>港</w:t>
            </w:r>
            <w:proofErr w:type="gramEnd"/>
            <w:r>
              <w:t>铁物流有限公司</w:t>
            </w:r>
            <w:r>
              <w:rPr>
                <w:rFonts w:hint="eastAsia"/>
              </w:rPr>
              <w:t>（</w:t>
            </w:r>
            <w:r>
              <w:t>注</w:t>
            </w:r>
            <w:r>
              <w:t xml:space="preserve"> 3</w:t>
            </w:r>
            <w:r>
              <w:rPr>
                <w:rFonts w:hint="eastAsia"/>
              </w:rPr>
              <w:t>）</w:t>
            </w:r>
          </w:p>
        </w:tc>
        <w:tc>
          <w:tcPr>
            <w:tcW w:w="542" w:type="pct"/>
            <w:tcBorders>
              <w:top w:val="single" w:sz="4" w:space="0" w:color="auto"/>
              <w:left w:val="single" w:sz="4" w:space="0" w:color="auto"/>
              <w:bottom w:val="single" w:sz="4" w:space="0" w:color="auto"/>
              <w:right w:val="single" w:sz="4" w:space="0" w:color="auto"/>
            </w:tcBorders>
            <w:vAlign w:val="center"/>
          </w:tcPr>
          <w:p w14:paraId="692E4DB6" w14:textId="77777777" w:rsidR="005E000F" w:rsidRDefault="00000000">
            <w:pPr>
              <w:jc w:val="right"/>
              <w:rPr>
                <w:lang w:eastAsia="en-US"/>
              </w:rPr>
            </w:pPr>
            <w:r>
              <w:t>2,188,260</w:t>
            </w:r>
          </w:p>
        </w:tc>
        <w:tc>
          <w:tcPr>
            <w:tcW w:w="406" w:type="pct"/>
            <w:tcBorders>
              <w:top w:val="single" w:sz="4" w:space="0" w:color="auto"/>
              <w:left w:val="single" w:sz="4" w:space="0" w:color="auto"/>
              <w:bottom w:val="single" w:sz="4" w:space="0" w:color="auto"/>
              <w:right w:val="single" w:sz="4" w:space="0" w:color="auto"/>
            </w:tcBorders>
            <w:vAlign w:val="center"/>
          </w:tcPr>
          <w:p w14:paraId="30683CD9" w14:textId="77777777" w:rsidR="005E000F" w:rsidRDefault="00000000">
            <w:pPr>
              <w:jc w:val="right"/>
            </w:pPr>
            <w:r>
              <w:t>0</w:t>
            </w:r>
          </w:p>
        </w:tc>
        <w:tc>
          <w:tcPr>
            <w:tcW w:w="357" w:type="pct"/>
            <w:tcBorders>
              <w:top w:val="single" w:sz="4" w:space="0" w:color="auto"/>
              <w:left w:val="single" w:sz="4" w:space="0" w:color="auto"/>
              <w:bottom w:val="single" w:sz="4" w:space="0" w:color="auto"/>
              <w:right w:val="single" w:sz="4" w:space="0" w:color="auto"/>
            </w:tcBorders>
            <w:vAlign w:val="center"/>
          </w:tcPr>
          <w:p w14:paraId="29F322BB" w14:textId="77777777" w:rsidR="005E000F" w:rsidRDefault="00000000">
            <w:pPr>
              <w:jc w:val="right"/>
            </w:pPr>
            <w:r>
              <w:t>0</w:t>
            </w:r>
          </w:p>
        </w:tc>
        <w:tc>
          <w:tcPr>
            <w:tcW w:w="422" w:type="pct"/>
            <w:tcBorders>
              <w:top w:val="single" w:sz="4" w:space="0" w:color="auto"/>
              <w:left w:val="single" w:sz="4" w:space="0" w:color="auto"/>
              <w:bottom w:val="single" w:sz="4" w:space="0" w:color="auto"/>
              <w:right w:val="single" w:sz="4" w:space="0" w:color="auto"/>
            </w:tcBorders>
            <w:vAlign w:val="center"/>
          </w:tcPr>
          <w:p w14:paraId="6F8827DD" w14:textId="77777777" w:rsidR="005E000F" w:rsidRDefault="00000000">
            <w:pPr>
              <w:jc w:val="right"/>
            </w:pPr>
            <w:r>
              <w:t>-2,301,344</w:t>
            </w:r>
          </w:p>
        </w:tc>
        <w:tc>
          <w:tcPr>
            <w:tcW w:w="376" w:type="pct"/>
            <w:tcBorders>
              <w:top w:val="single" w:sz="4" w:space="0" w:color="auto"/>
              <w:left w:val="single" w:sz="4" w:space="0" w:color="auto"/>
              <w:bottom w:val="single" w:sz="4" w:space="0" w:color="auto"/>
              <w:right w:val="single" w:sz="4" w:space="0" w:color="auto"/>
            </w:tcBorders>
            <w:vAlign w:val="center"/>
          </w:tcPr>
          <w:p w14:paraId="556E3182" w14:textId="77777777" w:rsidR="005E000F" w:rsidRDefault="00000000">
            <w:pPr>
              <w:jc w:val="right"/>
            </w:pPr>
            <w:r>
              <w:t>0</w:t>
            </w:r>
          </w:p>
        </w:tc>
        <w:tc>
          <w:tcPr>
            <w:tcW w:w="380" w:type="pct"/>
            <w:tcBorders>
              <w:top w:val="single" w:sz="4" w:space="0" w:color="auto"/>
              <w:left w:val="single" w:sz="4" w:space="0" w:color="auto"/>
              <w:bottom w:val="single" w:sz="4" w:space="0" w:color="auto"/>
              <w:right w:val="single" w:sz="4" w:space="0" w:color="auto"/>
            </w:tcBorders>
            <w:vAlign w:val="center"/>
          </w:tcPr>
          <w:p w14:paraId="7F6E3B8A" w14:textId="77777777" w:rsidR="005E000F" w:rsidRDefault="00000000">
            <w:pPr>
              <w:jc w:val="right"/>
            </w:pPr>
            <w:r>
              <w:t>113,084</w:t>
            </w:r>
          </w:p>
        </w:tc>
        <w:tc>
          <w:tcPr>
            <w:tcW w:w="419" w:type="pct"/>
            <w:tcBorders>
              <w:top w:val="single" w:sz="4" w:space="0" w:color="auto"/>
              <w:left w:val="single" w:sz="4" w:space="0" w:color="auto"/>
              <w:bottom w:val="single" w:sz="4" w:space="0" w:color="auto"/>
              <w:right w:val="single" w:sz="4" w:space="0" w:color="auto"/>
            </w:tcBorders>
            <w:vAlign w:val="center"/>
          </w:tcPr>
          <w:p w14:paraId="42EF0BE1" w14:textId="77777777" w:rsidR="005E000F" w:rsidRDefault="00000000">
            <w:pPr>
              <w:jc w:val="right"/>
            </w:pPr>
            <w:r>
              <w:t>0</w:t>
            </w:r>
          </w:p>
        </w:tc>
        <w:tc>
          <w:tcPr>
            <w:tcW w:w="414" w:type="pct"/>
            <w:tcBorders>
              <w:top w:val="single" w:sz="4" w:space="0" w:color="auto"/>
              <w:left w:val="single" w:sz="4" w:space="0" w:color="auto"/>
              <w:bottom w:val="single" w:sz="4" w:space="0" w:color="auto"/>
              <w:right w:val="single" w:sz="4" w:space="0" w:color="auto"/>
            </w:tcBorders>
            <w:vAlign w:val="center"/>
          </w:tcPr>
          <w:p w14:paraId="67A77C32" w14:textId="77777777" w:rsidR="005E000F" w:rsidRDefault="00000000">
            <w:pPr>
              <w:jc w:val="right"/>
            </w:pPr>
            <w:r>
              <w:t>0</w:t>
            </w:r>
          </w:p>
        </w:tc>
        <w:tc>
          <w:tcPr>
            <w:tcW w:w="418" w:type="pct"/>
            <w:tcBorders>
              <w:top w:val="single" w:sz="4" w:space="0" w:color="auto"/>
              <w:left w:val="single" w:sz="4" w:space="0" w:color="auto"/>
              <w:bottom w:val="single" w:sz="4" w:space="0" w:color="auto"/>
              <w:right w:val="single" w:sz="4" w:space="0" w:color="auto"/>
            </w:tcBorders>
            <w:vAlign w:val="center"/>
          </w:tcPr>
          <w:p w14:paraId="1F54729E" w14:textId="77777777" w:rsidR="005E000F" w:rsidRDefault="00000000">
            <w:pPr>
              <w:jc w:val="right"/>
            </w:pPr>
            <w:r>
              <w:t>0</w:t>
            </w:r>
          </w:p>
        </w:tc>
        <w:tc>
          <w:tcPr>
            <w:tcW w:w="413" w:type="pct"/>
            <w:tcBorders>
              <w:top w:val="single" w:sz="4" w:space="0" w:color="auto"/>
              <w:left w:val="single" w:sz="4" w:space="0" w:color="auto"/>
              <w:bottom w:val="single" w:sz="4" w:space="0" w:color="auto"/>
              <w:right w:val="single" w:sz="4" w:space="0" w:color="auto"/>
            </w:tcBorders>
            <w:vAlign w:val="center"/>
          </w:tcPr>
          <w:p w14:paraId="05BDD2D2" w14:textId="77777777" w:rsidR="005E000F" w:rsidRDefault="00000000">
            <w:pPr>
              <w:jc w:val="right"/>
            </w:pPr>
            <w:r>
              <w:t>0</w:t>
            </w:r>
          </w:p>
        </w:tc>
        <w:tc>
          <w:tcPr>
            <w:tcW w:w="408" w:type="pct"/>
            <w:tcBorders>
              <w:top w:val="single" w:sz="4" w:space="0" w:color="auto"/>
              <w:left w:val="single" w:sz="4" w:space="0" w:color="auto"/>
              <w:bottom w:val="single" w:sz="4" w:space="0" w:color="auto"/>
              <w:right w:val="single" w:sz="4" w:space="0" w:color="auto"/>
            </w:tcBorders>
            <w:vAlign w:val="center"/>
          </w:tcPr>
          <w:p w14:paraId="5E4D7756" w14:textId="77777777" w:rsidR="005E000F" w:rsidRDefault="00000000">
            <w:pPr>
              <w:jc w:val="right"/>
            </w:pPr>
            <w:r>
              <w:t>0</w:t>
            </w:r>
          </w:p>
        </w:tc>
      </w:tr>
      <w:tr w:rsidR="005E000F" w14:paraId="69AD0E87" w14:textId="77777777">
        <w:tc>
          <w:tcPr>
            <w:tcW w:w="440" w:type="pct"/>
            <w:tcBorders>
              <w:top w:val="single" w:sz="4" w:space="0" w:color="auto"/>
              <w:left w:val="single" w:sz="4" w:space="0" w:color="auto"/>
              <w:bottom w:val="single" w:sz="4" w:space="0" w:color="auto"/>
              <w:right w:val="single" w:sz="4" w:space="0" w:color="auto"/>
            </w:tcBorders>
          </w:tcPr>
          <w:p w14:paraId="4D9A6778" w14:textId="77777777" w:rsidR="005E000F" w:rsidRDefault="00000000">
            <w:r>
              <w:t>曹妃</w:t>
            </w:r>
            <w:proofErr w:type="gramStart"/>
            <w:r>
              <w:t>甸</w:t>
            </w:r>
            <w:proofErr w:type="gramEnd"/>
            <w:r>
              <w:t>港</w:t>
            </w:r>
            <w:r>
              <w:rPr>
                <w:rFonts w:hint="eastAsia"/>
              </w:rPr>
              <w:t>（</w:t>
            </w:r>
            <w:r>
              <w:t>内蒙古</w:t>
            </w:r>
            <w:r>
              <w:rPr>
                <w:rFonts w:hint="eastAsia"/>
              </w:rPr>
              <w:t>）</w:t>
            </w:r>
            <w:r>
              <w:t>包头</w:t>
            </w:r>
            <w:r>
              <w:lastRenderedPageBreak/>
              <w:t>内陆港有限公司</w:t>
            </w:r>
            <w:r>
              <w:rPr>
                <w:rFonts w:hint="eastAsia"/>
              </w:rPr>
              <w:t>（</w:t>
            </w:r>
            <w:r>
              <w:t>注</w:t>
            </w:r>
            <w:r>
              <w:t xml:space="preserve"> 3</w:t>
            </w:r>
            <w:r>
              <w:rPr>
                <w:rFonts w:hint="eastAsia"/>
              </w:rPr>
              <w:t>）</w:t>
            </w:r>
          </w:p>
        </w:tc>
        <w:tc>
          <w:tcPr>
            <w:tcW w:w="542" w:type="pct"/>
            <w:tcBorders>
              <w:top w:val="single" w:sz="4" w:space="0" w:color="auto"/>
              <w:left w:val="single" w:sz="4" w:space="0" w:color="auto"/>
              <w:bottom w:val="single" w:sz="4" w:space="0" w:color="auto"/>
              <w:right w:val="single" w:sz="4" w:space="0" w:color="auto"/>
            </w:tcBorders>
            <w:vAlign w:val="center"/>
          </w:tcPr>
          <w:p w14:paraId="37803CB0" w14:textId="77777777" w:rsidR="005E000F" w:rsidRDefault="00000000">
            <w:pPr>
              <w:jc w:val="right"/>
              <w:rPr>
                <w:lang w:eastAsia="en-US"/>
              </w:rPr>
            </w:pPr>
            <w:r>
              <w:lastRenderedPageBreak/>
              <w:t>1,069,386</w:t>
            </w:r>
          </w:p>
        </w:tc>
        <w:tc>
          <w:tcPr>
            <w:tcW w:w="406" w:type="pct"/>
            <w:tcBorders>
              <w:top w:val="single" w:sz="4" w:space="0" w:color="auto"/>
              <w:left w:val="single" w:sz="4" w:space="0" w:color="auto"/>
              <w:bottom w:val="single" w:sz="4" w:space="0" w:color="auto"/>
              <w:right w:val="single" w:sz="4" w:space="0" w:color="auto"/>
            </w:tcBorders>
            <w:vAlign w:val="center"/>
          </w:tcPr>
          <w:p w14:paraId="4DA4FA76" w14:textId="77777777" w:rsidR="005E000F" w:rsidRDefault="00000000">
            <w:pPr>
              <w:jc w:val="right"/>
            </w:pPr>
            <w:r>
              <w:t>0</w:t>
            </w:r>
          </w:p>
        </w:tc>
        <w:tc>
          <w:tcPr>
            <w:tcW w:w="357" w:type="pct"/>
            <w:tcBorders>
              <w:top w:val="single" w:sz="4" w:space="0" w:color="auto"/>
              <w:left w:val="single" w:sz="4" w:space="0" w:color="auto"/>
              <w:bottom w:val="single" w:sz="4" w:space="0" w:color="auto"/>
              <w:right w:val="single" w:sz="4" w:space="0" w:color="auto"/>
            </w:tcBorders>
            <w:vAlign w:val="center"/>
          </w:tcPr>
          <w:p w14:paraId="4D29687E" w14:textId="77777777" w:rsidR="005E000F" w:rsidRDefault="00000000">
            <w:pPr>
              <w:jc w:val="right"/>
            </w:pPr>
            <w:r>
              <w:t>-1,000,000</w:t>
            </w:r>
          </w:p>
        </w:tc>
        <w:tc>
          <w:tcPr>
            <w:tcW w:w="422" w:type="pct"/>
            <w:tcBorders>
              <w:top w:val="single" w:sz="4" w:space="0" w:color="auto"/>
              <w:left w:val="single" w:sz="4" w:space="0" w:color="auto"/>
              <w:bottom w:val="single" w:sz="4" w:space="0" w:color="auto"/>
              <w:right w:val="single" w:sz="4" w:space="0" w:color="auto"/>
            </w:tcBorders>
            <w:vAlign w:val="center"/>
          </w:tcPr>
          <w:p w14:paraId="489A8BA1" w14:textId="77777777" w:rsidR="005E000F" w:rsidRDefault="00000000">
            <w:pPr>
              <w:jc w:val="right"/>
            </w:pPr>
            <w:r>
              <w:t>-6,181</w:t>
            </w:r>
          </w:p>
        </w:tc>
        <w:tc>
          <w:tcPr>
            <w:tcW w:w="376" w:type="pct"/>
            <w:tcBorders>
              <w:top w:val="single" w:sz="4" w:space="0" w:color="auto"/>
              <w:left w:val="single" w:sz="4" w:space="0" w:color="auto"/>
              <w:bottom w:val="single" w:sz="4" w:space="0" w:color="auto"/>
              <w:right w:val="single" w:sz="4" w:space="0" w:color="auto"/>
            </w:tcBorders>
            <w:vAlign w:val="center"/>
          </w:tcPr>
          <w:p w14:paraId="6BEB81DE" w14:textId="77777777" w:rsidR="005E000F" w:rsidRDefault="00000000">
            <w:pPr>
              <w:jc w:val="right"/>
            </w:pPr>
            <w:r>
              <w:t>0</w:t>
            </w:r>
          </w:p>
        </w:tc>
        <w:tc>
          <w:tcPr>
            <w:tcW w:w="380" w:type="pct"/>
            <w:tcBorders>
              <w:top w:val="single" w:sz="4" w:space="0" w:color="auto"/>
              <w:left w:val="single" w:sz="4" w:space="0" w:color="auto"/>
              <w:bottom w:val="single" w:sz="4" w:space="0" w:color="auto"/>
              <w:right w:val="single" w:sz="4" w:space="0" w:color="auto"/>
            </w:tcBorders>
            <w:vAlign w:val="center"/>
          </w:tcPr>
          <w:p w14:paraId="44E20E72" w14:textId="77777777" w:rsidR="005E000F" w:rsidRDefault="00000000">
            <w:pPr>
              <w:jc w:val="right"/>
            </w:pPr>
            <w:r>
              <w:t>0</w:t>
            </w:r>
          </w:p>
        </w:tc>
        <w:tc>
          <w:tcPr>
            <w:tcW w:w="419" w:type="pct"/>
            <w:tcBorders>
              <w:top w:val="single" w:sz="4" w:space="0" w:color="auto"/>
              <w:left w:val="single" w:sz="4" w:space="0" w:color="auto"/>
              <w:bottom w:val="single" w:sz="4" w:space="0" w:color="auto"/>
              <w:right w:val="single" w:sz="4" w:space="0" w:color="auto"/>
            </w:tcBorders>
            <w:vAlign w:val="center"/>
          </w:tcPr>
          <w:p w14:paraId="2F50FB5D" w14:textId="77777777" w:rsidR="005E000F" w:rsidRDefault="00000000">
            <w:pPr>
              <w:jc w:val="right"/>
            </w:pPr>
            <w:r>
              <w:t>-63,205</w:t>
            </w:r>
          </w:p>
        </w:tc>
        <w:tc>
          <w:tcPr>
            <w:tcW w:w="414" w:type="pct"/>
            <w:tcBorders>
              <w:top w:val="single" w:sz="4" w:space="0" w:color="auto"/>
              <w:left w:val="single" w:sz="4" w:space="0" w:color="auto"/>
              <w:bottom w:val="single" w:sz="4" w:space="0" w:color="auto"/>
              <w:right w:val="single" w:sz="4" w:space="0" w:color="auto"/>
            </w:tcBorders>
            <w:vAlign w:val="center"/>
          </w:tcPr>
          <w:p w14:paraId="50C7F15B" w14:textId="77777777" w:rsidR="005E000F" w:rsidRDefault="00000000">
            <w:pPr>
              <w:jc w:val="right"/>
            </w:pPr>
            <w:r>
              <w:t>0</w:t>
            </w:r>
          </w:p>
        </w:tc>
        <w:tc>
          <w:tcPr>
            <w:tcW w:w="418" w:type="pct"/>
            <w:tcBorders>
              <w:top w:val="single" w:sz="4" w:space="0" w:color="auto"/>
              <w:left w:val="single" w:sz="4" w:space="0" w:color="auto"/>
              <w:bottom w:val="single" w:sz="4" w:space="0" w:color="auto"/>
              <w:right w:val="single" w:sz="4" w:space="0" w:color="auto"/>
            </w:tcBorders>
            <w:vAlign w:val="center"/>
          </w:tcPr>
          <w:p w14:paraId="21831058" w14:textId="77777777" w:rsidR="005E000F" w:rsidRDefault="00000000">
            <w:pPr>
              <w:jc w:val="right"/>
            </w:pPr>
            <w:r>
              <w:t>0</w:t>
            </w:r>
          </w:p>
        </w:tc>
        <w:tc>
          <w:tcPr>
            <w:tcW w:w="413" w:type="pct"/>
            <w:tcBorders>
              <w:top w:val="single" w:sz="4" w:space="0" w:color="auto"/>
              <w:left w:val="single" w:sz="4" w:space="0" w:color="auto"/>
              <w:bottom w:val="single" w:sz="4" w:space="0" w:color="auto"/>
              <w:right w:val="single" w:sz="4" w:space="0" w:color="auto"/>
            </w:tcBorders>
            <w:vAlign w:val="center"/>
          </w:tcPr>
          <w:p w14:paraId="3C16C31B" w14:textId="77777777" w:rsidR="005E000F" w:rsidRDefault="00000000">
            <w:pPr>
              <w:jc w:val="right"/>
            </w:pPr>
            <w:r>
              <w:t>0</w:t>
            </w:r>
          </w:p>
        </w:tc>
        <w:tc>
          <w:tcPr>
            <w:tcW w:w="408" w:type="pct"/>
            <w:tcBorders>
              <w:top w:val="single" w:sz="4" w:space="0" w:color="auto"/>
              <w:left w:val="single" w:sz="4" w:space="0" w:color="auto"/>
              <w:bottom w:val="single" w:sz="4" w:space="0" w:color="auto"/>
              <w:right w:val="single" w:sz="4" w:space="0" w:color="auto"/>
            </w:tcBorders>
            <w:vAlign w:val="center"/>
          </w:tcPr>
          <w:p w14:paraId="5047B30E" w14:textId="77777777" w:rsidR="005E000F" w:rsidRDefault="00000000">
            <w:pPr>
              <w:jc w:val="right"/>
            </w:pPr>
            <w:r>
              <w:t>0</w:t>
            </w:r>
          </w:p>
        </w:tc>
      </w:tr>
      <w:tr w:rsidR="005E000F" w14:paraId="59A21617" w14:textId="77777777">
        <w:tc>
          <w:tcPr>
            <w:tcW w:w="440" w:type="pct"/>
            <w:tcBorders>
              <w:top w:val="single" w:sz="4" w:space="0" w:color="auto"/>
              <w:left w:val="single" w:sz="4" w:space="0" w:color="auto"/>
              <w:bottom w:val="single" w:sz="4" w:space="0" w:color="auto"/>
              <w:right w:val="single" w:sz="4" w:space="0" w:color="auto"/>
            </w:tcBorders>
          </w:tcPr>
          <w:p w14:paraId="2F134735" w14:textId="77777777" w:rsidR="005E000F" w:rsidRDefault="00000000">
            <w:pPr>
              <w:rPr>
                <w:lang w:eastAsia="en-US"/>
              </w:rPr>
            </w:pPr>
            <w:r>
              <w:t>其他</w:t>
            </w:r>
          </w:p>
        </w:tc>
        <w:tc>
          <w:tcPr>
            <w:tcW w:w="542" w:type="pct"/>
            <w:tcBorders>
              <w:top w:val="single" w:sz="4" w:space="0" w:color="auto"/>
              <w:left w:val="single" w:sz="4" w:space="0" w:color="auto"/>
              <w:bottom w:val="single" w:sz="4" w:space="0" w:color="auto"/>
              <w:right w:val="single" w:sz="4" w:space="0" w:color="auto"/>
            </w:tcBorders>
            <w:vAlign w:val="center"/>
          </w:tcPr>
          <w:p w14:paraId="119F80E4" w14:textId="77777777" w:rsidR="005E000F" w:rsidRDefault="00000000">
            <w:pPr>
              <w:jc w:val="right"/>
              <w:rPr>
                <w:lang w:eastAsia="en-US"/>
              </w:rPr>
            </w:pPr>
            <w:r>
              <w:t>14,539,920</w:t>
            </w:r>
          </w:p>
        </w:tc>
        <w:tc>
          <w:tcPr>
            <w:tcW w:w="406" w:type="pct"/>
            <w:tcBorders>
              <w:top w:val="single" w:sz="4" w:space="0" w:color="auto"/>
              <w:left w:val="single" w:sz="4" w:space="0" w:color="auto"/>
              <w:bottom w:val="single" w:sz="4" w:space="0" w:color="auto"/>
              <w:right w:val="single" w:sz="4" w:space="0" w:color="auto"/>
            </w:tcBorders>
            <w:vAlign w:val="center"/>
          </w:tcPr>
          <w:p w14:paraId="2F206CFE" w14:textId="77777777" w:rsidR="005E000F" w:rsidRDefault="00000000">
            <w:pPr>
              <w:jc w:val="right"/>
            </w:pPr>
            <w:r>
              <w:t>0</w:t>
            </w:r>
          </w:p>
        </w:tc>
        <w:tc>
          <w:tcPr>
            <w:tcW w:w="357" w:type="pct"/>
            <w:tcBorders>
              <w:top w:val="single" w:sz="4" w:space="0" w:color="auto"/>
              <w:left w:val="single" w:sz="4" w:space="0" w:color="auto"/>
              <w:bottom w:val="single" w:sz="4" w:space="0" w:color="auto"/>
              <w:right w:val="single" w:sz="4" w:space="0" w:color="auto"/>
            </w:tcBorders>
            <w:vAlign w:val="center"/>
          </w:tcPr>
          <w:p w14:paraId="0A020EAA" w14:textId="77777777" w:rsidR="005E000F" w:rsidRDefault="00000000">
            <w:pPr>
              <w:jc w:val="right"/>
            </w:pPr>
            <w:r>
              <w:t>0</w:t>
            </w:r>
          </w:p>
        </w:tc>
        <w:tc>
          <w:tcPr>
            <w:tcW w:w="422" w:type="pct"/>
            <w:tcBorders>
              <w:top w:val="single" w:sz="4" w:space="0" w:color="auto"/>
              <w:left w:val="single" w:sz="4" w:space="0" w:color="auto"/>
              <w:bottom w:val="single" w:sz="4" w:space="0" w:color="auto"/>
              <w:right w:val="single" w:sz="4" w:space="0" w:color="auto"/>
            </w:tcBorders>
            <w:vAlign w:val="center"/>
          </w:tcPr>
          <w:p w14:paraId="0BF940B1" w14:textId="77777777" w:rsidR="005E000F" w:rsidRDefault="00000000">
            <w:pPr>
              <w:jc w:val="right"/>
            </w:pPr>
            <w:r>
              <w:t>985,48</w:t>
            </w:r>
            <w:r>
              <w:rPr>
                <w:rFonts w:hint="eastAsia"/>
              </w:rPr>
              <w:t>5</w:t>
            </w:r>
          </w:p>
        </w:tc>
        <w:tc>
          <w:tcPr>
            <w:tcW w:w="376" w:type="pct"/>
            <w:tcBorders>
              <w:top w:val="single" w:sz="4" w:space="0" w:color="auto"/>
              <w:left w:val="single" w:sz="4" w:space="0" w:color="auto"/>
              <w:bottom w:val="single" w:sz="4" w:space="0" w:color="auto"/>
              <w:right w:val="single" w:sz="4" w:space="0" w:color="auto"/>
            </w:tcBorders>
            <w:vAlign w:val="center"/>
          </w:tcPr>
          <w:p w14:paraId="74336ADD" w14:textId="77777777" w:rsidR="005E000F" w:rsidRDefault="00000000">
            <w:pPr>
              <w:jc w:val="right"/>
            </w:pPr>
            <w:r>
              <w:t>0</w:t>
            </w:r>
          </w:p>
        </w:tc>
        <w:tc>
          <w:tcPr>
            <w:tcW w:w="380" w:type="pct"/>
            <w:tcBorders>
              <w:top w:val="single" w:sz="4" w:space="0" w:color="auto"/>
              <w:left w:val="single" w:sz="4" w:space="0" w:color="auto"/>
              <w:bottom w:val="single" w:sz="4" w:space="0" w:color="auto"/>
              <w:right w:val="single" w:sz="4" w:space="0" w:color="auto"/>
            </w:tcBorders>
            <w:vAlign w:val="center"/>
          </w:tcPr>
          <w:p w14:paraId="739792B3" w14:textId="77777777" w:rsidR="005E000F" w:rsidRDefault="00000000">
            <w:pPr>
              <w:jc w:val="right"/>
            </w:pPr>
            <w:r>
              <w:t>0</w:t>
            </w:r>
          </w:p>
        </w:tc>
        <w:tc>
          <w:tcPr>
            <w:tcW w:w="419" w:type="pct"/>
            <w:tcBorders>
              <w:top w:val="single" w:sz="4" w:space="0" w:color="auto"/>
              <w:left w:val="single" w:sz="4" w:space="0" w:color="auto"/>
              <w:bottom w:val="single" w:sz="4" w:space="0" w:color="auto"/>
              <w:right w:val="single" w:sz="4" w:space="0" w:color="auto"/>
            </w:tcBorders>
            <w:vAlign w:val="center"/>
          </w:tcPr>
          <w:p w14:paraId="18E3C4F5" w14:textId="77777777" w:rsidR="005E000F" w:rsidRDefault="00000000">
            <w:pPr>
              <w:jc w:val="right"/>
            </w:pPr>
            <w:r>
              <w:t>-1,220,619</w:t>
            </w:r>
          </w:p>
        </w:tc>
        <w:tc>
          <w:tcPr>
            <w:tcW w:w="414" w:type="pct"/>
            <w:tcBorders>
              <w:top w:val="single" w:sz="4" w:space="0" w:color="auto"/>
              <w:left w:val="single" w:sz="4" w:space="0" w:color="auto"/>
              <w:bottom w:val="single" w:sz="4" w:space="0" w:color="auto"/>
              <w:right w:val="single" w:sz="4" w:space="0" w:color="auto"/>
            </w:tcBorders>
            <w:vAlign w:val="center"/>
          </w:tcPr>
          <w:p w14:paraId="75079C14" w14:textId="77777777" w:rsidR="005E000F" w:rsidRDefault="00000000">
            <w:pPr>
              <w:jc w:val="right"/>
            </w:pPr>
            <w:r>
              <w:t>0</w:t>
            </w:r>
          </w:p>
        </w:tc>
        <w:tc>
          <w:tcPr>
            <w:tcW w:w="418" w:type="pct"/>
            <w:tcBorders>
              <w:top w:val="single" w:sz="4" w:space="0" w:color="auto"/>
              <w:left w:val="single" w:sz="4" w:space="0" w:color="auto"/>
              <w:bottom w:val="single" w:sz="4" w:space="0" w:color="auto"/>
              <w:right w:val="single" w:sz="4" w:space="0" w:color="auto"/>
            </w:tcBorders>
            <w:vAlign w:val="center"/>
          </w:tcPr>
          <w:p w14:paraId="3FFBAA7F" w14:textId="77777777" w:rsidR="005E000F" w:rsidRDefault="00000000">
            <w:pPr>
              <w:jc w:val="right"/>
            </w:pPr>
            <w:r>
              <w:t>0</w:t>
            </w:r>
          </w:p>
        </w:tc>
        <w:tc>
          <w:tcPr>
            <w:tcW w:w="413" w:type="pct"/>
            <w:tcBorders>
              <w:top w:val="single" w:sz="4" w:space="0" w:color="auto"/>
              <w:left w:val="single" w:sz="4" w:space="0" w:color="auto"/>
              <w:bottom w:val="single" w:sz="4" w:space="0" w:color="auto"/>
              <w:right w:val="single" w:sz="4" w:space="0" w:color="auto"/>
            </w:tcBorders>
            <w:vAlign w:val="center"/>
          </w:tcPr>
          <w:p w14:paraId="34C88E19" w14:textId="77777777" w:rsidR="005E000F" w:rsidRDefault="00000000">
            <w:pPr>
              <w:jc w:val="right"/>
            </w:pPr>
            <w:r>
              <w:t>14,304,78</w:t>
            </w:r>
            <w:r>
              <w:rPr>
                <w:rFonts w:hint="eastAsia"/>
              </w:rPr>
              <w:t>6</w:t>
            </w:r>
          </w:p>
        </w:tc>
        <w:tc>
          <w:tcPr>
            <w:tcW w:w="408" w:type="pct"/>
            <w:tcBorders>
              <w:top w:val="single" w:sz="4" w:space="0" w:color="auto"/>
              <w:left w:val="single" w:sz="4" w:space="0" w:color="auto"/>
              <w:bottom w:val="single" w:sz="4" w:space="0" w:color="auto"/>
              <w:right w:val="single" w:sz="4" w:space="0" w:color="auto"/>
            </w:tcBorders>
            <w:vAlign w:val="center"/>
          </w:tcPr>
          <w:p w14:paraId="0D002542" w14:textId="77777777" w:rsidR="005E000F" w:rsidRDefault="00000000">
            <w:pPr>
              <w:jc w:val="right"/>
            </w:pPr>
            <w:r>
              <w:rPr>
                <w:rFonts w:hint="eastAsia"/>
              </w:rPr>
              <w:t>0</w:t>
            </w:r>
          </w:p>
        </w:tc>
      </w:tr>
      <w:tr w:rsidR="005E000F" w14:paraId="19B48C78" w14:textId="77777777">
        <w:tc>
          <w:tcPr>
            <w:tcW w:w="440" w:type="pct"/>
            <w:tcBorders>
              <w:top w:val="single" w:sz="4" w:space="0" w:color="auto"/>
              <w:left w:val="single" w:sz="4" w:space="0" w:color="auto"/>
              <w:bottom w:val="single" w:sz="4" w:space="0" w:color="auto"/>
              <w:right w:val="single" w:sz="4" w:space="0" w:color="auto"/>
            </w:tcBorders>
            <w:vAlign w:val="center"/>
          </w:tcPr>
          <w:p w14:paraId="3A364447" w14:textId="77777777" w:rsidR="005E000F" w:rsidRDefault="00000000">
            <w:pPr>
              <w:jc w:val="center"/>
            </w:pPr>
            <w:r>
              <w:rPr>
                <w:rFonts w:hint="eastAsia"/>
              </w:rPr>
              <w:t>合计</w:t>
            </w:r>
          </w:p>
        </w:tc>
        <w:tc>
          <w:tcPr>
            <w:tcW w:w="542" w:type="pct"/>
            <w:tcBorders>
              <w:top w:val="single" w:sz="4" w:space="0" w:color="auto"/>
              <w:left w:val="single" w:sz="4" w:space="0" w:color="auto"/>
              <w:bottom w:val="single" w:sz="4" w:space="0" w:color="auto"/>
              <w:right w:val="single" w:sz="4" w:space="0" w:color="auto"/>
            </w:tcBorders>
            <w:vAlign w:val="center"/>
          </w:tcPr>
          <w:p w14:paraId="4EE61C0D" w14:textId="77777777" w:rsidR="005E000F" w:rsidRDefault="00000000">
            <w:pPr>
              <w:jc w:val="right"/>
            </w:pPr>
            <w:r>
              <w:t>24,658,594,428</w:t>
            </w:r>
          </w:p>
        </w:tc>
        <w:tc>
          <w:tcPr>
            <w:tcW w:w="406" w:type="pct"/>
            <w:tcBorders>
              <w:top w:val="single" w:sz="4" w:space="0" w:color="auto"/>
              <w:left w:val="single" w:sz="4" w:space="0" w:color="auto"/>
              <w:bottom w:val="single" w:sz="4" w:space="0" w:color="auto"/>
              <w:right w:val="single" w:sz="4" w:space="0" w:color="auto"/>
            </w:tcBorders>
            <w:vAlign w:val="center"/>
          </w:tcPr>
          <w:p w14:paraId="6CCF0AC4" w14:textId="77777777" w:rsidR="005E000F" w:rsidRDefault="00000000">
            <w:pPr>
              <w:jc w:val="right"/>
            </w:pPr>
            <w:r>
              <w:t>0</w:t>
            </w:r>
          </w:p>
        </w:tc>
        <w:tc>
          <w:tcPr>
            <w:tcW w:w="357" w:type="pct"/>
            <w:tcBorders>
              <w:top w:val="single" w:sz="4" w:space="0" w:color="auto"/>
              <w:left w:val="single" w:sz="4" w:space="0" w:color="auto"/>
              <w:bottom w:val="single" w:sz="4" w:space="0" w:color="auto"/>
              <w:right w:val="single" w:sz="4" w:space="0" w:color="auto"/>
            </w:tcBorders>
            <w:vAlign w:val="center"/>
          </w:tcPr>
          <w:p w14:paraId="5DDCFE8F" w14:textId="77777777" w:rsidR="005E000F" w:rsidRDefault="00000000">
            <w:pPr>
              <w:jc w:val="right"/>
            </w:pPr>
            <w:r>
              <w:t>-1,600,000</w:t>
            </w:r>
          </w:p>
        </w:tc>
        <w:tc>
          <w:tcPr>
            <w:tcW w:w="422" w:type="pct"/>
            <w:tcBorders>
              <w:top w:val="single" w:sz="4" w:space="0" w:color="auto"/>
              <w:left w:val="single" w:sz="4" w:space="0" w:color="auto"/>
              <w:bottom w:val="single" w:sz="4" w:space="0" w:color="auto"/>
              <w:right w:val="single" w:sz="4" w:space="0" w:color="auto"/>
            </w:tcBorders>
            <w:vAlign w:val="center"/>
          </w:tcPr>
          <w:p w14:paraId="021E8972" w14:textId="77777777" w:rsidR="005E000F" w:rsidRDefault="00000000">
            <w:pPr>
              <w:jc w:val="right"/>
            </w:pPr>
            <w:r>
              <w:t>2,737,898,095</w:t>
            </w:r>
          </w:p>
        </w:tc>
        <w:tc>
          <w:tcPr>
            <w:tcW w:w="376" w:type="pct"/>
            <w:tcBorders>
              <w:top w:val="single" w:sz="4" w:space="0" w:color="auto"/>
              <w:left w:val="single" w:sz="4" w:space="0" w:color="auto"/>
              <w:bottom w:val="single" w:sz="4" w:space="0" w:color="auto"/>
              <w:right w:val="single" w:sz="4" w:space="0" w:color="auto"/>
            </w:tcBorders>
            <w:vAlign w:val="center"/>
          </w:tcPr>
          <w:p w14:paraId="688B978E" w14:textId="77777777" w:rsidR="005E000F" w:rsidRDefault="00000000">
            <w:pPr>
              <w:jc w:val="right"/>
            </w:pPr>
            <w:r>
              <w:t>0</w:t>
            </w:r>
          </w:p>
        </w:tc>
        <w:tc>
          <w:tcPr>
            <w:tcW w:w="380" w:type="pct"/>
            <w:tcBorders>
              <w:top w:val="single" w:sz="4" w:space="0" w:color="auto"/>
              <w:left w:val="single" w:sz="4" w:space="0" w:color="auto"/>
              <w:bottom w:val="single" w:sz="4" w:space="0" w:color="auto"/>
              <w:right w:val="single" w:sz="4" w:space="0" w:color="auto"/>
            </w:tcBorders>
            <w:vAlign w:val="center"/>
          </w:tcPr>
          <w:p w14:paraId="4E4204D2" w14:textId="77777777" w:rsidR="005E000F" w:rsidRDefault="00000000">
            <w:pPr>
              <w:jc w:val="right"/>
            </w:pPr>
            <w:r>
              <w:t>315,508,206</w:t>
            </w:r>
          </w:p>
        </w:tc>
        <w:tc>
          <w:tcPr>
            <w:tcW w:w="419" w:type="pct"/>
            <w:tcBorders>
              <w:top w:val="single" w:sz="4" w:space="0" w:color="auto"/>
              <w:left w:val="single" w:sz="4" w:space="0" w:color="auto"/>
              <w:bottom w:val="single" w:sz="4" w:space="0" w:color="auto"/>
              <w:right w:val="single" w:sz="4" w:space="0" w:color="auto"/>
            </w:tcBorders>
            <w:vAlign w:val="center"/>
          </w:tcPr>
          <w:p w14:paraId="55BFBBC9" w14:textId="77777777" w:rsidR="005E000F" w:rsidRDefault="00000000">
            <w:pPr>
              <w:jc w:val="right"/>
            </w:pPr>
            <w:r>
              <w:t>-1,571,284</w:t>
            </w:r>
          </w:p>
        </w:tc>
        <w:tc>
          <w:tcPr>
            <w:tcW w:w="414" w:type="pct"/>
            <w:tcBorders>
              <w:top w:val="single" w:sz="4" w:space="0" w:color="auto"/>
              <w:left w:val="single" w:sz="4" w:space="0" w:color="auto"/>
              <w:bottom w:val="single" w:sz="4" w:space="0" w:color="auto"/>
              <w:right w:val="single" w:sz="4" w:space="0" w:color="auto"/>
            </w:tcBorders>
            <w:vAlign w:val="center"/>
          </w:tcPr>
          <w:p w14:paraId="37940382" w14:textId="77777777" w:rsidR="005E000F" w:rsidRDefault="005E000F">
            <w:pPr>
              <w:jc w:val="right"/>
            </w:pPr>
          </w:p>
        </w:tc>
        <w:tc>
          <w:tcPr>
            <w:tcW w:w="418" w:type="pct"/>
            <w:tcBorders>
              <w:top w:val="single" w:sz="4" w:space="0" w:color="auto"/>
              <w:left w:val="single" w:sz="4" w:space="0" w:color="auto"/>
              <w:bottom w:val="single" w:sz="4" w:space="0" w:color="auto"/>
              <w:right w:val="single" w:sz="4" w:space="0" w:color="auto"/>
            </w:tcBorders>
            <w:vAlign w:val="center"/>
          </w:tcPr>
          <w:p w14:paraId="445764DF" w14:textId="77777777" w:rsidR="005E000F" w:rsidRDefault="00000000">
            <w:pPr>
              <w:jc w:val="right"/>
            </w:pPr>
            <w:r>
              <w:t>0</w:t>
            </w:r>
          </w:p>
        </w:tc>
        <w:tc>
          <w:tcPr>
            <w:tcW w:w="413" w:type="pct"/>
            <w:tcBorders>
              <w:top w:val="single" w:sz="4" w:space="0" w:color="auto"/>
              <w:left w:val="single" w:sz="4" w:space="0" w:color="auto"/>
              <w:bottom w:val="single" w:sz="4" w:space="0" w:color="auto"/>
              <w:right w:val="single" w:sz="4" w:space="0" w:color="auto"/>
            </w:tcBorders>
            <w:vAlign w:val="center"/>
          </w:tcPr>
          <w:p w14:paraId="67C5A643" w14:textId="77777777" w:rsidR="005E000F" w:rsidRDefault="00000000">
            <w:pPr>
              <w:jc w:val="right"/>
            </w:pPr>
            <w:r>
              <w:t>27,708,829,445</w:t>
            </w:r>
          </w:p>
        </w:tc>
        <w:tc>
          <w:tcPr>
            <w:tcW w:w="408" w:type="pct"/>
            <w:tcBorders>
              <w:top w:val="single" w:sz="4" w:space="0" w:color="auto"/>
              <w:left w:val="single" w:sz="4" w:space="0" w:color="auto"/>
              <w:bottom w:val="single" w:sz="4" w:space="0" w:color="auto"/>
              <w:right w:val="single" w:sz="4" w:space="0" w:color="auto"/>
            </w:tcBorders>
            <w:vAlign w:val="center"/>
          </w:tcPr>
          <w:p w14:paraId="24883DB8" w14:textId="77777777" w:rsidR="005E000F" w:rsidRDefault="00000000">
            <w:pPr>
              <w:jc w:val="right"/>
            </w:pPr>
            <w:r>
              <w:t>0</w:t>
            </w:r>
          </w:p>
        </w:tc>
      </w:tr>
    </w:tbl>
    <w:p w14:paraId="3E7D9C27" w14:textId="77777777" w:rsidR="005E000F" w:rsidRDefault="005E000F">
      <w:pPr>
        <w:snapToGrid w:val="0"/>
        <w:spacing w:line="240" w:lineRule="atLeast"/>
      </w:pPr>
    </w:p>
    <w:bookmarkEnd w:id="331"/>
    <w:p w14:paraId="73DC65B9" w14:textId="77777777" w:rsidR="005E000F" w:rsidRDefault="005E000F">
      <w:pPr>
        <w:snapToGrid w:val="0"/>
        <w:spacing w:line="240" w:lineRule="atLeast"/>
      </w:pPr>
    </w:p>
    <w:p w14:paraId="69375713" w14:textId="77777777" w:rsidR="005E000F" w:rsidRDefault="00000000">
      <w:pPr>
        <w:pStyle w:val="4"/>
        <w:numPr>
          <w:ilvl w:val="0"/>
          <w:numId w:val="79"/>
        </w:numPr>
      </w:pPr>
      <w:r>
        <w:rPr>
          <w:rFonts w:hint="eastAsia"/>
        </w:rPr>
        <w:t>长期股权投资的减值测试情况</w:t>
      </w:r>
    </w:p>
    <w:sdt>
      <w:sdtPr>
        <w:alias w:val="是否适用：减值测试情况[双击切换]"/>
        <w:tag w:val="_GBC_869bca5d4169451086ae6ff386220647"/>
        <w:id w:val="-116148267"/>
        <w:placeholder>
          <w:docPart w:val="GBC22222222222222222222222222222"/>
        </w:placeholder>
      </w:sdtPr>
      <w:sdtContent>
        <w:p w14:paraId="0B14714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A49C665" w14:textId="77777777" w:rsidR="005E000F" w:rsidRDefault="005E000F"/>
    <w:p w14:paraId="6B4CED3A" w14:textId="77777777" w:rsidR="005E000F" w:rsidRDefault="005E000F">
      <w:pPr>
        <w:snapToGrid w:val="0"/>
        <w:spacing w:line="240" w:lineRule="atLeast"/>
      </w:pPr>
    </w:p>
    <w:p w14:paraId="0135B06D" w14:textId="77777777" w:rsidR="005E000F" w:rsidRDefault="00000000">
      <w:pPr>
        <w:snapToGrid w:val="0"/>
        <w:spacing w:line="240" w:lineRule="atLeast"/>
      </w:pPr>
      <w:r>
        <w:rPr>
          <w:rFonts w:hint="eastAsia"/>
        </w:rPr>
        <w:t>其他说明：</w:t>
      </w:r>
    </w:p>
    <w:sdt>
      <w:sdtPr>
        <w:alias w:val="长期股票投资的说明"/>
        <w:tag w:val="_GBC_4023b747651f4831814ee17f68bb62d6"/>
        <w:id w:val="-1325117789"/>
        <w:placeholder>
          <w:docPart w:val="GBC22222222222222222222222222222"/>
        </w:placeholder>
      </w:sdtPr>
      <w:sdtContent>
        <w:p w14:paraId="03BDFDDF" w14:textId="77777777" w:rsidR="005E000F" w:rsidRDefault="00000000">
          <w:pPr>
            <w:snapToGrid w:val="0"/>
            <w:spacing w:line="240" w:lineRule="atLeast"/>
          </w:pPr>
          <w:r>
            <w:rPr>
              <w:rFonts w:hint="eastAsia"/>
            </w:rPr>
            <w:t>“</w:t>
          </w:r>
          <w:r>
            <w:rPr>
              <w:rFonts w:hint="eastAsia"/>
            </w:rPr>
            <w:t>*</w:t>
          </w:r>
          <w:r>
            <w:rPr>
              <w:rFonts w:hint="eastAsia"/>
            </w:rPr>
            <w:t>”标示之公司为公司直接投资的联营企业。</w:t>
          </w:r>
          <w:r>
            <w:rPr>
              <w:rFonts w:hint="eastAsia"/>
            </w:rPr>
            <w:t xml:space="preserve"> </w:t>
          </w:r>
        </w:p>
        <w:p w14:paraId="2AC1174D" w14:textId="77777777" w:rsidR="005E000F" w:rsidRDefault="00000000">
          <w:pPr>
            <w:snapToGrid w:val="0"/>
            <w:spacing w:line="240" w:lineRule="atLeast"/>
          </w:pPr>
          <w:r>
            <w:rPr>
              <w:rFonts w:hint="eastAsia"/>
            </w:rPr>
            <w:t>注</w:t>
          </w:r>
          <w:r>
            <w:rPr>
              <w:rFonts w:hint="eastAsia"/>
            </w:rPr>
            <w:t>1</w:t>
          </w:r>
          <w:r>
            <w:rPr>
              <w:rFonts w:hint="eastAsia"/>
            </w:rPr>
            <w:t>：本集团于</w:t>
          </w:r>
          <w:r>
            <w:rPr>
              <w:rFonts w:hint="eastAsia"/>
            </w:rPr>
            <w:t>2010</w:t>
          </w:r>
          <w:r>
            <w:rPr>
              <w:rFonts w:hint="eastAsia"/>
            </w:rPr>
            <w:t>年</w:t>
          </w:r>
          <w:r>
            <w:rPr>
              <w:rFonts w:hint="eastAsia"/>
            </w:rPr>
            <w:t>8</w:t>
          </w:r>
          <w:r>
            <w:rPr>
              <w:rFonts w:hint="eastAsia"/>
            </w:rPr>
            <w:t>月</w:t>
          </w:r>
          <w:r>
            <w:rPr>
              <w:rFonts w:hint="eastAsia"/>
            </w:rPr>
            <w:t>31</w:t>
          </w:r>
          <w:r>
            <w:rPr>
              <w:rFonts w:hint="eastAsia"/>
            </w:rPr>
            <w:t>日</w:t>
          </w:r>
          <w:proofErr w:type="gramStart"/>
          <w:r>
            <w:rPr>
              <w:rFonts w:hint="eastAsia"/>
            </w:rPr>
            <w:t>取得国能朔</w:t>
          </w:r>
          <w:proofErr w:type="gramEnd"/>
          <w:r>
            <w:rPr>
              <w:rFonts w:hint="eastAsia"/>
            </w:rPr>
            <w:t>黄铁路发展有限责任公司（以下简称“朔黄铁路”）</w:t>
          </w:r>
          <w:r>
            <w:rPr>
              <w:rFonts w:hint="eastAsia"/>
            </w:rPr>
            <w:t>41.16%</w:t>
          </w:r>
          <w:r>
            <w:rPr>
              <w:rFonts w:hint="eastAsia"/>
            </w:rPr>
            <w:t>的股权并采用权益法核算，初始投资成本为人民币</w:t>
          </w:r>
          <w:r>
            <w:rPr>
              <w:rFonts w:hint="eastAsia"/>
            </w:rPr>
            <w:t>14,059,721,496</w:t>
          </w:r>
          <w:r>
            <w:rPr>
              <w:rFonts w:hint="eastAsia"/>
            </w:rPr>
            <w:t>元。</w:t>
          </w:r>
          <w:r>
            <w:rPr>
              <w:rFonts w:hint="eastAsia"/>
            </w:rPr>
            <w:t xml:space="preserve">   </w:t>
          </w:r>
        </w:p>
        <w:p w14:paraId="4CA7A84A" w14:textId="77777777" w:rsidR="005E000F" w:rsidRDefault="005E000F">
          <w:pPr>
            <w:snapToGrid w:val="0"/>
            <w:spacing w:line="240" w:lineRule="atLeast"/>
          </w:pPr>
        </w:p>
        <w:p w14:paraId="56F00C17" w14:textId="77777777" w:rsidR="005E000F" w:rsidRDefault="00000000">
          <w:pPr>
            <w:snapToGrid w:val="0"/>
            <w:spacing w:line="240" w:lineRule="atLeast"/>
          </w:pPr>
          <w:r>
            <w:rPr>
              <w:rFonts w:hint="eastAsia"/>
            </w:rPr>
            <w:t>注</w:t>
          </w:r>
          <w:r>
            <w:rPr>
              <w:rFonts w:hint="eastAsia"/>
            </w:rPr>
            <w:t>2</w:t>
          </w:r>
          <w:r>
            <w:rPr>
              <w:rFonts w:hint="eastAsia"/>
            </w:rPr>
            <w:t>：本集团于</w:t>
          </w:r>
          <w:r>
            <w:rPr>
              <w:rFonts w:hint="eastAsia"/>
            </w:rPr>
            <w:t>2019</w:t>
          </w:r>
          <w:r>
            <w:rPr>
              <w:rFonts w:hint="eastAsia"/>
            </w:rPr>
            <w:t>年</w:t>
          </w:r>
          <w:r>
            <w:rPr>
              <w:rFonts w:hint="eastAsia"/>
            </w:rPr>
            <w:t>1</w:t>
          </w:r>
          <w:r>
            <w:rPr>
              <w:rFonts w:hint="eastAsia"/>
            </w:rPr>
            <w:t>月</w:t>
          </w:r>
          <w:r>
            <w:rPr>
              <w:rFonts w:hint="eastAsia"/>
            </w:rPr>
            <w:t>23</w:t>
          </w:r>
          <w:r>
            <w:rPr>
              <w:rFonts w:hint="eastAsia"/>
            </w:rPr>
            <w:t>日对</w:t>
          </w:r>
          <w:proofErr w:type="gramStart"/>
          <w:r>
            <w:rPr>
              <w:rFonts w:hint="eastAsia"/>
            </w:rPr>
            <w:t>浩</w:t>
          </w:r>
          <w:proofErr w:type="gramEnd"/>
          <w:r>
            <w:rPr>
              <w:rFonts w:hint="eastAsia"/>
            </w:rPr>
            <w:t>吉铁路股份有限公司（以下简称“浩吉铁路”）出资人民币</w:t>
          </w:r>
          <w:r>
            <w:rPr>
              <w:rFonts w:hint="eastAsia"/>
            </w:rPr>
            <w:t>2,000,000,000</w:t>
          </w:r>
          <w:r>
            <w:rPr>
              <w:rFonts w:hint="eastAsia"/>
            </w:rPr>
            <w:t>元，取得</w:t>
          </w:r>
          <w:proofErr w:type="gramStart"/>
          <w:r>
            <w:rPr>
              <w:rFonts w:hint="eastAsia"/>
            </w:rPr>
            <w:t>浩</w:t>
          </w:r>
          <w:proofErr w:type="gramEnd"/>
          <w:r>
            <w:rPr>
              <w:rFonts w:hint="eastAsia"/>
            </w:rPr>
            <w:t>吉铁路</w:t>
          </w:r>
          <w:r>
            <w:rPr>
              <w:rFonts w:hint="eastAsia"/>
            </w:rPr>
            <w:t>3.34%</w:t>
          </w:r>
          <w:r>
            <w:rPr>
              <w:rFonts w:hint="eastAsia"/>
            </w:rPr>
            <w:t>股权；于</w:t>
          </w:r>
          <w:r>
            <w:rPr>
              <w:rFonts w:hint="eastAsia"/>
            </w:rPr>
            <w:t>2019</w:t>
          </w:r>
          <w:r>
            <w:rPr>
              <w:rFonts w:hint="eastAsia"/>
            </w:rPr>
            <w:t>年</w:t>
          </w:r>
          <w:r>
            <w:rPr>
              <w:rFonts w:hint="eastAsia"/>
            </w:rPr>
            <w:t xml:space="preserve"> 11</w:t>
          </w:r>
          <w:r>
            <w:rPr>
              <w:rFonts w:hint="eastAsia"/>
            </w:rPr>
            <w:t>月</w:t>
          </w:r>
          <w:r>
            <w:rPr>
              <w:rFonts w:hint="eastAsia"/>
            </w:rPr>
            <w:t xml:space="preserve"> 19</w:t>
          </w:r>
          <w:r>
            <w:rPr>
              <w:rFonts w:hint="eastAsia"/>
            </w:rPr>
            <w:t>日对</w:t>
          </w:r>
          <w:proofErr w:type="gramStart"/>
          <w:r>
            <w:rPr>
              <w:rFonts w:hint="eastAsia"/>
            </w:rPr>
            <w:t>浩</w:t>
          </w:r>
          <w:proofErr w:type="gramEnd"/>
          <w:r>
            <w:rPr>
              <w:rFonts w:hint="eastAsia"/>
            </w:rPr>
            <w:t>吉铁路继续增资人民币</w:t>
          </w:r>
          <w:r>
            <w:rPr>
              <w:rFonts w:hint="eastAsia"/>
            </w:rPr>
            <w:t>3,985,000,000</w:t>
          </w:r>
          <w:r>
            <w:rPr>
              <w:rFonts w:hint="eastAsia"/>
            </w:rPr>
            <w:t>元，累计取得</w:t>
          </w:r>
          <w:proofErr w:type="gramStart"/>
          <w:r>
            <w:rPr>
              <w:rFonts w:hint="eastAsia"/>
            </w:rPr>
            <w:t>浩</w:t>
          </w:r>
          <w:proofErr w:type="gramEnd"/>
          <w:r>
            <w:rPr>
              <w:rFonts w:hint="eastAsia"/>
            </w:rPr>
            <w:t>吉铁路</w:t>
          </w:r>
          <w:r>
            <w:rPr>
              <w:rFonts w:hint="eastAsia"/>
            </w:rPr>
            <w:t>10%</w:t>
          </w:r>
          <w:r>
            <w:rPr>
              <w:rFonts w:hint="eastAsia"/>
            </w:rPr>
            <w:t>股权并采用权益法核算，初始投资成本合计为人民币</w:t>
          </w:r>
          <w:r>
            <w:rPr>
              <w:rFonts w:hint="eastAsia"/>
            </w:rPr>
            <w:t>5,985,000,000</w:t>
          </w:r>
          <w:r>
            <w:rPr>
              <w:rFonts w:hint="eastAsia"/>
            </w:rPr>
            <w:t>元。</w:t>
          </w:r>
          <w:r>
            <w:rPr>
              <w:rFonts w:hint="eastAsia"/>
            </w:rPr>
            <w:t xml:space="preserve">   </w:t>
          </w:r>
        </w:p>
        <w:p w14:paraId="520CB169" w14:textId="77777777" w:rsidR="005E000F" w:rsidRDefault="005E000F">
          <w:pPr>
            <w:snapToGrid w:val="0"/>
            <w:spacing w:line="240" w:lineRule="atLeast"/>
          </w:pPr>
        </w:p>
        <w:p w14:paraId="4BFEE7EE" w14:textId="77777777" w:rsidR="005E000F" w:rsidRDefault="00000000">
          <w:pPr>
            <w:snapToGrid w:val="0"/>
            <w:spacing w:line="240" w:lineRule="atLeast"/>
          </w:pPr>
          <w:r>
            <w:rPr>
              <w:rFonts w:hint="eastAsia"/>
            </w:rPr>
            <w:t>注</w:t>
          </w:r>
          <w:r>
            <w:rPr>
              <w:rFonts w:hint="eastAsia"/>
            </w:rPr>
            <w:t>3</w:t>
          </w:r>
          <w:r>
            <w:rPr>
              <w:rFonts w:hint="eastAsia"/>
            </w:rPr>
            <w:t>：本集团通过子公司唐港公司间接持有唐山市唐港铁路装卸有限责任公司</w:t>
          </w:r>
          <w:r>
            <w:rPr>
              <w:rFonts w:hint="eastAsia"/>
            </w:rPr>
            <w:t>30%</w:t>
          </w:r>
          <w:r>
            <w:rPr>
              <w:rFonts w:hint="eastAsia"/>
            </w:rPr>
            <w:t>的股权，唐港公司本年度转让其持有唐山市唐港铁路装卸有限责任公司</w:t>
          </w:r>
          <w:r>
            <w:rPr>
              <w:rFonts w:hint="eastAsia"/>
            </w:rPr>
            <w:t xml:space="preserve"> 30%</w:t>
          </w:r>
          <w:r>
            <w:rPr>
              <w:rFonts w:hint="eastAsia"/>
            </w:rPr>
            <w:t>的股权，曹妃</w:t>
          </w:r>
          <w:proofErr w:type="gramStart"/>
          <w:r>
            <w:rPr>
              <w:rFonts w:hint="eastAsia"/>
            </w:rPr>
            <w:t>甸</w:t>
          </w:r>
          <w:proofErr w:type="gramEnd"/>
          <w:r>
            <w:rPr>
              <w:rFonts w:hint="eastAsia"/>
            </w:rPr>
            <w:t>港</w:t>
          </w:r>
          <w:r>
            <w:rPr>
              <w:rFonts w:hint="eastAsia"/>
            </w:rPr>
            <w:t>(</w:t>
          </w:r>
          <w:r>
            <w:rPr>
              <w:rFonts w:hint="eastAsia"/>
            </w:rPr>
            <w:t>内蒙古</w:t>
          </w:r>
          <w:r>
            <w:rPr>
              <w:rFonts w:hint="eastAsia"/>
            </w:rPr>
            <w:t>)</w:t>
          </w:r>
          <w:r>
            <w:rPr>
              <w:rFonts w:hint="eastAsia"/>
            </w:rPr>
            <w:t>包头内陆港有限公司已于</w:t>
          </w:r>
          <w:r>
            <w:rPr>
              <w:rFonts w:hint="eastAsia"/>
            </w:rPr>
            <w:t>2025</w:t>
          </w:r>
          <w:r>
            <w:rPr>
              <w:rFonts w:hint="eastAsia"/>
            </w:rPr>
            <w:t>年</w:t>
          </w:r>
          <w:r>
            <w:rPr>
              <w:rFonts w:hint="eastAsia"/>
            </w:rPr>
            <w:t>10</w:t>
          </w:r>
          <w:r>
            <w:rPr>
              <w:rFonts w:hint="eastAsia"/>
            </w:rPr>
            <w:t>月</w:t>
          </w:r>
          <w:r>
            <w:rPr>
              <w:rFonts w:hint="eastAsia"/>
            </w:rPr>
            <w:t>23</w:t>
          </w:r>
          <w:r>
            <w:rPr>
              <w:rFonts w:hint="eastAsia"/>
            </w:rPr>
            <w:t>日注销。</w:t>
          </w:r>
        </w:p>
      </w:sdtContent>
    </w:sdt>
    <w:p w14:paraId="0D1466B0" w14:textId="77777777" w:rsidR="005E000F" w:rsidRDefault="005E000F">
      <w:pPr>
        <w:snapToGrid w:val="0"/>
        <w:spacing w:line="240" w:lineRule="atLeast"/>
      </w:pPr>
    </w:p>
    <w:p w14:paraId="62B41D84" w14:textId="77777777" w:rsidR="005E000F" w:rsidRDefault="005E000F">
      <w:pPr>
        <w:snapToGrid w:val="0"/>
        <w:spacing w:line="240" w:lineRule="atLeast"/>
        <w:sectPr w:rsidR="005E000F">
          <w:pgSz w:w="16838" w:h="11906" w:orient="landscape"/>
          <w:pgMar w:top="1276" w:right="1440" w:bottom="1797" w:left="1525" w:header="856" w:footer="992" w:gutter="0"/>
          <w:cols w:space="425"/>
          <w:docGrid w:linePitch="312"/>
        </w:sectPr>
      </w:pPr>
    </w:p>
    <w:p w14:paraId="32DD37E8" w14:textId="77777777" w:rsidR="005E000F" w:rsidRDefault="005E000F">
      <w:pPr>
        <w:snapToGrid w:val="0"/>
        <w:spacing w:line="240" w:lineRule="atLeast"/>
      </w:pPr>
    </w:p>
    <w:p w14:paraId="6BB688C9" w14:textId="77777777" w:rsidR="005E000F" w:rsidRDefault="00000000">
      <w:pPr>
        <w:pStyle w:val="3"/>
        <w:numPr>
          <w:ilvl w:val="0"/>
          <w:numId w:val="66"/>
        </w:numPr>
        <w:tabs>
          <w:tab w:val="left" w:pos="504"/>
        </w:tabs>
        <w:rPr>
          <w:szCs w:val="21"/>
        </w:rPr>
      </w:pPr>
      <w:bookmarkStart w:id="332" w:name="_Hlk152858292"/>
      <w:bookmarkStart w:id="333" w:name="_Hlk533409746"/>
      <w:bookmarkStart w:id="334" w:name="_Hlk533409702"/>
      <w:r>
        <w:rPr>
          <w:rFonts w:hint="eastAsia"/>
          <w:szCs w:val="21"/>
        </w:rPr>
        <w:t>其他权益工具投资</w:t>
      </w:r>
    </w:p>
    <w:p w14:paraId="54AA6820" w14:textId="77777777" w:rsidR="005E000F" w:rsidRDefault="00000000">
      <w:pPr>
        <w:pStyle w:val="4"/>
        <w:numPr>
          <w:ilvl w:val="3"/>
          <w:numId w:val="80"/>
        </w:numPr>
        <w:ind w:left="426" w:hanging="426"/>
      </w:pPr>
      <w:bookmarkStart w:id="335" w:name="_Hlk532994936"/>
      <w:r>
        <w:rPr>
          <w:rFonts w:hint="eastAsia"/>
        </w:rPr>
        <w:t>其他权益工具投资情况</w:t>
      </w:r>
    </w:p>
    <w:sdt>
      <w:sdtPr>
        <w:rPr>
          <w:color w:val="000000" w:themeColor="text1"/>
        </w:rPr>
        <w:alias w:val="是否适用：其他权益工具投资情况[双击切换]"/>
        <w:tag w:val="_GBC_ac87b47cf70d4820a1189b53bf53af73"/>
        <w:id w:val="-1375302332"/>
        <w:placeholder>
          <w:docPart w:val="{40404384-9aff-4ae6-9899-54f8b5c2674b}"/>
        </w:placeholder>
      </w:sdtPr>
      <w:sdtContent>
        <w:p w14:paraId="28697D0D" w14:textId="77777777" w:rsidR="005E000F" w:rsidRDefault="00000000">
          <w:pPr>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1EF2500" w14:textId="77777777" w:rsidR="005E000F" w:rsidRDefault="00000000">
      <w:pPr>
        <w:autoSpaceDE w:val="0"/>
        <w:autoSpaceDN w:val="0"/>
        <w:adjustRightInd w:val="0"/>
        <w:ind w:left="5880" w:right="105"/>
        <w:jc w:val="right"/>
        <w:rPr>
          <w:color w:val="000000" w:themeColor="text1"/>
        </w:rPr>
      </w:pPr>
      <w:r>
        <w:rPr>
          <w:rFonts w:hint="eastAsia"/>
          <w:color w:val="000000" w:themeColor="text1"/>
        </w:rPr>
        <w:t>单位：</w:t>
      </w:r>
      <w:sdt>
        <w:sdtPr>
          <w:rPr>
            <w:rFonts w:hint="eastAsia"/>
            <w:color w:val="000000" w:themeColor="text1"/>
          </w:rPr>
          <w:alias w:val="单位：其他权益工具投资情况"/>
          <w:tag w:val="_GBC_9bbc2bc262694a308c04bf4f25e3f1bb"/>
          <w:id w:val="-669019357"/>
          <w:placeholder>
            <w:docPart w:val="{40404384-9aff-4ae6-9899-54f8b5c2674b}"/>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其他权益工具投资情况"/>
          <w:tag w:val="_GBC_c944479021b54a639f17a7b9d298ba98"/>
          <w:id w:val="314533235"/>
          <w:placeholder>
            <w:docPart w:val="{40404384-9aff-4ae6-9899-54f8b5c2674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4183"/>
        <w:gridCol w:w="4221"/>
      </w:tblGrid>
      <w:tr w:rsidR="005E000F" w14:paraId="129B568D" w14:textId="77777777">
        <w:tc>
          <w:tcPr>
            <w:tcW w:w="2017" w:type="pct"/>
            <w:vAlign w:val="center"/>
          </w:tcPr>
          <w:p w14:paraId="7E6B6390" w14:textId="77777777" w:rsidR="005E000F" w:rsidRDefault="00000000">
            <w:pPr>
              <w:jc w:val="center"/>
              <w:rPr>
                <w:color w:val="000000" w:themeColor="text1"/>
              </w:rPr>
            </w:pPr>
            <w:r>
              <w:rPr>
                <w:rFonts w:hint="eastAsia"/>
                <w:color w:val="000000" w:themeColor="text1"/>
              </w:rPr>
              <w:t>项目</w:t>
            </w:r>
          </w:p>
        </w:tc>
        <w:tc>
          <w:tcPr>
            <w:tcW w:w="1484" w:type="pct"/>
            <w:vAlign w:val="center"/>
          </w:tcPr>
          <w:p w14:paraId="78D7812C" w14:textId="77777777" w:rsidR="005E000F" w:rsidRDefault="00000000">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tc>
          <w:tcPr>
            <w:tcW w:w="1497" w:type="pct"/>
            <w:vAlign w:val="center"/>
          </w:tcPr>
          <w:p w14:paraId="7E836A8B" w14:textId="77777777" w:rsidR="005E000F" w:rsidRDefault="00000000">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tr>
      <w:tr w:rsidR="005E000F" w14:paraId="3EF2BD60" w14:textId="77777777">
        <w:tc>
          <w:tcPr>
            <w:tcW w:w="2017" w:type="pct"/>
          </w:tcPr>
          <w:p w14:paraId="6C542308" w14:textId="77777777" w:rsidR="005E000F" w:rsidRDefault="00000000">
            <w:r>
              <w:rPr>
                <w:rFonts w:hint="eastAsia"/>
              </w:rPr>
              <w:t>秦皇岛港股份有限公司</w:t>
            </w:r>
          </w:p>
        </w:tc>
        <w:tc>
          <w:tcPr>
            <w:tcW w:w="1484" w:type="pct"/>
            <w:vAlign w:val="center"/>
          </w:tcPr>
          <w:p w14:paraId="72D0D281" w14:textId="77777777" w:rsidR="005E000F" w:rsidRDefault="00000000">
            <w:pPr>
              <w:jc w:val="right"/>
            </w:pPr>
            <w:r>
              <w:t>149,197,500</w:t>
            </w:r>
          </w:p>
        </w:tc>
        <w:tc>
          <w:tcPr>
            <w:tcW w:w="1497" w:type="pct"/>
            <w:vAlign w:val="center"/>
          </w:tcPr>
          <w:p w14:paraId="50288E95" w14:textId="77777777" w:rsidR="005E000F" w:rsidRDefault="00000000">
            <w:pPr>
              <w:jc w:val="right"/>
            </w:pPr>
            <w:r>
              <w:rPr>
                <w:rFonts w:hint="eastAsia"/>
              </w:rPr>
              <w:t>143,212,500</w:t>
            </w:r>
          </w:p>
        </w:tc>
      </w:tr>
      <w:tr w:rsidR="005E000F" w14:paraId="25151733" w14:textId="77777777">
        <w:tc>
          <w:tcPr>
            <w:tcW w:w="2017" w:type="pct"/>
          </w:tcPr>
          <w:p w14:paraId="0157DE27" w14:textId="77777777" w:rsidR="005E000F" w:rsidRDefault="00000000">
            <w:r>
              <w:rPr>
                <w:rFonts w:hint="eastAsia"/>
              </w:rPr>
              <w:t>太原国铁京丰装备技术股份有限公司</w:t>
            </w:r>
          </w:p>
        </w:tc>
        <w:tc>
          <w:tcPr>
            <w:tcW w:w="1484" w:type="pct"/>
            <w:vAlign w:val="center"/>
          </w:tcPr>
          <w:p w14:paraId="22F21C37" w14:textId="77777777" w:rsidR="005E000F" w:rsidRDefault="00000000">
            <w:pPr>
              <w:jc w:val="right"/>
            </w:pPr>
            <w:r>
              <w:t>91,551,000</w:t>
            </w:r>
          </w:p>
        </w:tc>
        <w:tc>
          <w:tcPr>
            <w:tcW w:w="1497" w:type="pct"/>
            <w:vAlign w:val="center"/>
          </w:tcPr>
          <w:p w14:paraId="3D313D9A" w14:textId="77777777" w:rsidR="005E000F" w:rsidRDefault="00000000">
            <w:pPr>
              <w:jc w:val="right"/>
            </w:pPr>
            <w:r>
              <w:rPr>
                <w:rFonts w:hint="eastAsia"/>
              </w:rPr>
              <w:t>91,551,000</w:t>
            </w:r>
          </w:p>
        </w:tc>
      </w:tr>
      <w:tr w:rsidR="005E000F" w14:paraId="5E71906D" w14:textId="77777777">
        <w:tc>
          <w:tcPr>
            <w:tcW w:w="2017" w:type="pct"/>
            <w:vAlign w:val="center"/>
          </w:tcPr>
          <w:p w14:paraId="3527BE05" w14:textId="77777777" w:rsidR="005E000F" w:rsidRDefault="00000000">
            <w:pPr>
              <w:jc w:val="center"/>
              <w:rPr>
                <w:color w:val="000000" w:themeColor="text1"/>
              </w:rPr>
            </w:pPr>
            <w:r>
              <w:rPr>
                <w:rFonts w:hint="eastAsia"/>
                <w:color w:val="000000" w:themeColor="text1"/>
              </w:rPr>
              <w:t>合计</w:t>
            </w:r>
          </w:p>
        </w:tc>
        <w:tc>
          <w:tcPr>
            <w:tcW w:w="1484" w:type="pct"/>
            <w:vAlign w:val="center"/>
          </w:tcPr>
          <w:p w14:paraId="50B18C06" w14:textId="77777777" w:rsidR="005E000F" w:rsidRDefault="00000000">
            <w:pPr>
              <w:jc w:val="right"/>
              <w:rPr>
                <w:lang w:val="en-GB" w:eastAsia="en-US"/>
              </w:rPr>
            </w:pPr>
            <w:r>
              <w:t>240,748,500</w:t>
            </w:r>
          </w:p>
        </w:tc>
        <w:tc>
          <w:tcPr>
            <w:tcW w:w="1497" w:type="pct"/>
            <w:vAlign w:val="center"/>
          </w:tcPr>
          <w:p w14:paraId="4655A396" w14:textId="77777777" w:rsidR="005E000F" w:rsidRDefault="00000000">
            <w:pPr>
              <w:jc w:val="right"/>
            </w:pPr>
            <w:r>
              <w:rPr>
                <w:rFonts w:hint="eastAsia"/>
              </w:rPr>
              <w:t>234,763,500</w:t>
            </w:r>
          </w:p>
        </w:tc>
      </w:tr>
    </w:tbl>
    <w:p w14:paraId="45BE84C2" w14:textId="77777777" w:rsidR="005E000F" w:rsidRDefault="005E000F">
      <w:pPr>
        <w:pStyle w:val="4"/>
      </w:pPr>
    </w:p>
    <w:p w14:paraId="38F7D42E" w14:textId="77777777" w:rsidR="005E000F" w:rsidRDefault="00000000">
      <w:pPr>
        <w:pStyle w:val="4"/>
        <w:numPr>
          <w:ilvl w:val="3"/>
          <w:numId w:val="80"/>
        </w:numPr>
        <w:ind w:left="426" w:hanging="426"/>
      </w:pPr>
      <w:r>
        <w:rPr>
          <w:rFonts w:hint="eastAsia"/>
        </w:rPr>
        <w:t>其他权益工具投资情况</w:t>
      </w:r>
    </w:p>
    <w:sdt>
      <w:sdtPr>
        <w:alias w:val="是否适用：其他权益工具投资情况[双击切换]"/>
        <w:tag w:val="_GBC_d086d5c38ce84090b98eac90481c97aa"/>
        <w:id w:val="471877521"/>
        <w:placeholder>
          <w:docPart w:val="GBC22222222222222222222222222222"/>
        </w:placeholder>
      </w:sdtPr>
      <w:sdtContent>
        <w:p w14:paraId="1693AA0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9EF772F" w14:textId="77777777" w:rsidR="005E000F" w:rsidRDefault="00000000">
      <w:pPr>
        <w:autoSpaceDE w:val="0"/>
        <w:autoSpaceDN w:val="0"/>
        <w:adjustRightInd w:val="0"/>
        <w:ind w:left="5880" w:right="105"/>
        <w:jc w:val="right"/>
      </w:pPr>
      <w:r>
        <w:rPr>
          <w:rFonts w:hint="eastAsia"/>
        </w:rPr>
        <w:t>单位：</w:t>
      </w:r>
      <w:sdt>
        <w:sdtPr>
          <w:rPr>
            <w:rFonts w:hint="eastAsia"/>
          </w:rPr>
          <w:alias w:val="单位：其他权益工具投资情况"/>
          <w:tag w:val="_GBC_afada4c07d144e589675aeac548ff1d0"/>
          <w:id w:val="-5210904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其他权益工具投资情况"/>
          <w:tag w:val="_GBC_b0fd0da2e6914f91b6f9923463f182a5"/>
          <w:id w:val="-202623686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4"/>
        <w:gridCol w:w="1277"/>
        <w:gridCol w:w="1094"/>
        <w:gridCol w:w="1035"/>
        <w:gridCol w:w="1308"/>
        <w:gridCol w:w="1204"/>
        <w:gridCol w:w="756"/>
        <w:gridCol w:w="1275"/>
        <w:gridCol w:w="1156"/>
        <w:gridCol w:w="1303"/>
        <w:gridCol w:w="1009"/>
        <w:gridCol w:w="1138"/>
      </w:tblGrid>
      <w:tr w:rsidR="005E000F" w14:paraId="7FDD032C" w14:textId="77777777">
        <w:bookmarkEnd w:id="335" w:displacedByCustomXml="next"/>
        <w:bookmarkEnd w:id="334" w:displacedByCustomXml="next"/>
        <w:sdt>
          <w:sdtPr>
            <w:tag w:val="_PLD_0f1e4cd012be4666a6aee1d8ddb3d5fc"/>
            <w:id w:val="670457867"/>
          </w:sdtPr>
          <w:sdtContent>
            <w:tc>
              <w:tcPr>
                <w:tcW w:w="544" w:type="pct"/>
                <w:vMerge w:val="restart"/>
                <w:tcBorders>
                  <w:top w:val="single" w:sz="4" w:space="0" w:color="auto"/>
                  <w:left w:val="single" w:sz="4" w:space="0" w:color="auto"/>
                  <w:right w:val="single" w:sz="4" w:space="0" w:color="auto"/>
                </w:tcBorders>
                <w:vAlign w:val="center"/>
              </w:tcPr>
              <w:p w14:paraId="32BC2456" w14:textId="77777777" w:rsidR="005E000F" w:rsidRDefault="00000000">
                <w:pPr>
                  <w:jc w:val="center"/>
                </w:pPr>
                <w:r>
                  <w:rPr>
                    <w:rFonts w:hint="eastAsia"/>
                  </w:rPr>
                  <w:t>项目</w:t>
                </w:r>
              </w:p>
            </w:tc>
          </w:sdtContent>
        </w:sdt>
        <w:sdt>
          <w:sdtPr>
            <w:tag w:val="_PLD_cd86550f752a4870b5ecfa3ace922f6d"/>
            <w:id w:val="-396369141"/>
          </w:sdtPr>
          <w:sdtContent>
            <w:tc>
              <w:tcPr>
                <w:tcW w:w="453" w:type="pct"/>
                <w:vMerge w:val="restart"/>
                <w:tcBorders>
                  <w:top w:val="single" w:sz="4" w:space="0" w:color="auto"/>
                  <w:left w:val="single" w:sz="4" w:space="0" w:color="auto"/>
                  <w:right w:val="single" w:sz="4" w:space="0" w:color="auto"/>
                </w:tcBorders>
                <w:vAlign w:val="center"/>
              </w:tcPr>
              <w:p w14:paraId="76CABE0C" w14:textId="77777777" w:rsidR="005E000F" w:rsidRDefault="00000000">
                <w:pPr>
                  <w:jc w:val="center"/>
                </w:pPr>
                <w:r>
                  <w:rPr>
                    <w:rFonts w:hint="eastAsia"/>
                  </w:rPr>
                  <w:t>期初</w:t>
                </w:r>
              </w:p>
              <w:p w14:paraId="5AE9C526" w14:textId="77777777" w:rsidR="005E000F" w:rsidRDefault="00000000">
                <w:pPr>
                  <w:jc w:val="center"/>
                </w:pPr>
                <w:r>
                  <w:rPr>
                    <w:rFonts w:hint="eastAsia"/>
                  </w:rPr>
                  <w:t>余额</w:t>
                </w:r>
              </w:p>
            </w:tc>
          </w:sdtContent>
        </w:sdt>
        <w:sdt>
          <w:sdtPr>
            <w:tag w:val="_PLD_379e5b07c94943c082f8141e69827eb8"/>
            <w:id w:val="2022122901"/>
          </w:sdtPr>
          <w:sdtContent>
            <w:tc>
              <w:tcPr>
                <w:tcW w:w="1914" w:type="pct"/>
                <w:gridSpan w:val="5"/>
                <w:tcBorders>
                  <w:top w:val="single" w:sz="4" w:space="0" w:color="auto"/>
                  <w:left w:val="single" w:sz="4" w:space="0" w:color="auto"/>
                  <w:bottom w:val="single" w:sz="4" w:space="0" w:color="auto"/>
                  <w:right w:val="single" w:sz="4" w:space="0" w:color="auto"/>
                </w:tcBorders>
                <w:vAlign w:val="center"/>
              </w:tcPr>
              <w:p w14:paraId="553D2722" w14:textId="77777777" w:rsidR="005E000F" w:rsidRDefault="00000000">
                <w:pPr>
                  <w:jc w:val="center"/>
                </w:pPr>
                <w:r>
                  <w:rPr>
                    <w:rFonts w:hint="eastAsia"/>
                  </w:rPr>
                  <w:t>本期增减变动</w:t>
                </w:r>
              </w:p>
            </w:tc>
          </w:sdtContent>
        </w:sdt>
        <w:sdt>
          <w:sdtPr>
            <w:tag w:val="_PLD_ac415aedc9c6446485bac805332ca59b"/>
            <w:id w:val="215932389"/>
          </w:sdtPr>
          <w:sdtContent>
            <w:tc>
              <w:tcPr>
                <w:tcW w:w="452" w:type="pct"/>
                <w:vMerge w:val="restart"/>
                <w:tcBorders>
                  <w:top w:val="single" w:sz="4" w:space="0" w:color="auto"/>
                  <w:left w:val="single" w:sz="4" w:space="0" w:color="auto"/>
                  <w:right w:val="single" w:sz="4" w:space="0" w:color="auto"/>
                </w:tcBorders>
                <w:vAlign w:val="center"/>
              </w:tcPr>
              <w:p w14:paraId="26132582" w14:textId="77777777" w:rsidR="005E000F" w:rsidRDefault="00000000">
                <w:pPr>
                  <w:jc w:val="center"/>
                </w:pPr>
                <w:r>
                  <w:rPr>
                    <w:rFonts w:hint="eastAsia"/>
                  </w:rPr>
                  <w:t>期末</w:t>
                </w:r>
              </w:p>
              <w:p w14:paraId="4792C41E" w14:textId="77777777" w:rsidR="005E000F" w:rsidRDefault="00000000">
                <w:pPr>
                  <w:jc w:val="center"/>
                </w:pPr>
                <w:r>
                  <w:rPr>
                    <w:rFonts w:hint="eastAsia"/>
                  </w:rPr>
                  <w:t>余额</w:t>
                </w:r>
              </w:p>
            </w:tc>
          </w:sdtContent>
        </w:sdt>
        <w:sdt>
          <w:sdtPr>
            <w:tag w:val="_PLD_d139f6e8adbe4eb2bd13c29bba65a2f9"/>
            <w:id w:val="26843667"/>
          </w:sdtPr>
          <w:sdtContent>
            <w:tc>
              <w:tcPr>
                <w:tcW w:w="410" w:type="pct"/>
                <w:vMerge w:val="restart"/>
                <w:tcBorders>
                  <w:top w:val="single" w:sz="4" w:space="0" w:color="auto"/>
                  <w:left w:val="single" w:sz="4" w:space="0" w:color="auto"/>
                  <w:right w:val="single" w:sz="4" w:space="0" w:color="auto"/>
                </w:tcBorders>
                <w:vAlign w:val="center"/>
              </w:tcPr>
              <w:p w14:paraId="647A8F35" w14:textId="77777777" w:rsidR="005E000F" w:rsidRDefault="00000000">
                <w:pPr>
                  <w:jc w:val="center"/>
                </w:pPr>
                <w:r>
                  <w:rPr>
                    <w:rFonts w:hint="eastAsia"/>
                  </w:rPr>
                  <w:t>本期确认的股利收入</w:t>
                </w:r>
              </w:p>
            </w:tc>
          </w:sdtContent>
        </w:sdt>
        <w:sdt>
          <w:sdtPr>
            <w:tag w:val="_PLD_0bed6b4465254f08b9b73b5b113c87f5"/>
            <w:id w:val="866642242"/>
          </w:sdtPr>
          <w:sdtContent>
            <w:tc>
              <w:tcPr>
                <w:tcW w:w="462" w:type="pct"/>
                <w:vMerge w:val="restart"/>
                <w:tcBorders>
                  <w:top w:val="single" w:sz="4" w:space="0" w:color="auto"/>
                  <w:left w:val="single" w:sz="4" w:space="0" w:color="auto"/>
                  <w:right w:val="single" w:sz="4" w:space="0" w:color="auto"/>
                </w:tcBorders>
                <w:vAlign w:val="center"/>
              </w:tcPr>
              <w:p w14:paraId="4CD4DC10" w14:textId="77777777" w:rsidR="005E000F" w:rsidRDefault="00000000">
                <w:pPr>
                  <w:jc w:val="center"/>
                </w:pPr>
                <w:r>
                  <w:rPr>
                    <w:rFonts w:hint="eastAsia"/>
                  </w:rPr>
                  <w:t>累计计入其他综合收益的利得</w:t>
                </w:r>
              </w:p>
            </w:tc>
          </w:sdtContent>
        </w:sdt>
        <w:sdt>
          <w:sdtPr>
            <w:tag w:val="_PLD_e1975ba88e6f4c8d8d6ca2c971af1701"/>
            <w:id w:val="-44531500"/>
          </w:sdtPr>
          <w:sdtContent>
            <w:tc>
              <w:tcPr>
                <w:tcW w:w="358" w:type="pct"/>
                <w:vMerge w:val="restart"/>
                <w:tcBorders>
                  <w:top w:val="single" w:sz="4" w:space="0" w:color="auto"/>
                  <w:left w:val="single" w:sz="4" w:space="0" w:color="auto"/>
                  <w:right w:val="single" w:sz="4" w:space="0" w:color="auto"/>
                </w:tcBorders>
                <w:vAlign w:val="center"/>
              </w:tcPr>
              <w:p w14:paraId="1D0B3CAA" w14:textId="77777777" w:rsidR="005E000F" w:rsidRDefault="00000000">
                <w:pPr>
                  <w:jc w:val="center"/>
                </w:pPr>
                <w:r>
                  <w:rPr>
                    <w:rFonts w:hint="eastAsia"/>
                  </w:rPr>
                  <w:t>累计计入其他综合收益的损失</w:t>
                </w:r>
              </w:p>
            </w:tc>
          </w:sdtContent>
        </w:sdt>
        <w:sdt>
          <w:sdtPr>
            <w:tag w:val="_PLD_22e80ab64b37459ebc83e5b928d25051"/>
            <w:id w:val="-1507133424"/>
          </w:sdtPr>
          <w:sdtContent>
            <w:tc>
              <w:tcPr>
                <w:tcW w:w="404" w:type="pct"/>
                <w:vMerge w:val="restart"/>
                <w:tcBorders>
                  <w:top w:val="single" w:sz="4" w:space="0" w:color="auto"/>
                  <w:left w:val="single" w:sz="4" w:space="0" w:color="auto"/>
                  <w:right w:val="single" w:sz="4" w:space="0" w:color="auto"/>
                </w:tcBorders>
                <w:vAlign w:val="center"/>
              </w:tcPr>
              <w:p w14:paraId="5322F9FB" w14:textId="77777777" w:rsidR="005E000F" w:rsidRDefault="00000000">
                <w:pPr>
                  <w:jc w:val="center"/>
                </w:pPr>
                <w:r>
                  <w:rPr>
                    <w:rFonts w:hint="eastAsia"/>
                  </w:rPr>
                  <w:t>指定为以公允价值计量且其变动计入其他综合收益的原因</w:t>
                </w:r>
              </w:p>
            </w:tc>
          </w:sdtContent>
        </w:sdt>
      </w:tr>
      <w:tr w:rsidR="005E000F" w14:paraId="3917F312" w14:textId="77777777">
        <w:tc>
          <w:tcPr>
            <w:tcW w:w="544" w:type="pct"/>
            <w:vMerge/>
            <w:tcBorders>
              <w:left w:val="single" w:sz="4" w:space="0" w:color="auto"/>
              <w:bottom w:val="single" w:sz="4" w:space="0" w:color="auto"/>
              <w:right w:val="single" w:sz="4" w:space="0" w:color="auto"/>
            </w:tcBorders>
            <w:vAlign w:val="center"/>
          </w:tcPr>
          <w:p w14:paraId="5CCFABE3" w14:textId="77777777" w:rsidR="005E000F" w:rsidRDefault="005E000F">
            <w:pPr>
              <w:jc w:val="center"/>
            </w:pPr>
          </w:p>
        </w:tc>
        <w:tc>
          <w:tcPr>
            <w:tcW w:w="453" w:type="pct"/>
            <w:vMerge/>
            <w:tcBorders>
              <w:left w:val="single" w:sz="4" w:space="0" w:color="auto"/>
              <w:bottom w:val="single" w:sz="4" w:space="0" w:color="auto"/>
              <w:right w:val="single" w:sz="4" w:space="0" w:color="auto"/>
            </w:tcBorders>
            <w:vAlign w:val="center"/>
          </w:tcPr>
          <w:p w14:paraId="26021BE0" w14:textId="77777777" w:rsidR="005E000F" w:rsidRDefault="005E000F">
            <w:pPr>
              <w:jc w:val="center"/>
            </w:pPr>
          </w:p>
        </w:tc>
        <w:sdt>
          <w:sdtPr>
            <w:tag w:val="_PLD_dcfe2e1d36cd40b9af799c21d5b8002d"/>
            <w:id w:val="-358819886"/>
          </w:sdtPr>
          <w:sdtContent>
            <w:tc>
              <w:tcPr>
                <w:tcW w:w="388" w:type="pct"/>
                <w:tcBorders>
                  <w:top w:val="single" w:sz="4" w:space="0" w:color="auto"/>
                  <w:left w:val="single" w:sz="4" w:space="0" w:color="auto"/>
                  <w:bottom w:val="single" w:sz="4" w:space="0" w:color="auto"/>
                  <w:right w:val="single" w:sz="4" w:space="0" w:color="auto"/>
                </w:tcBorders>
                <w:vAlign w:val="center"/>
              </w:tcPr>
              <w:p w14:paraId="39F4363E" w14:textId="77777777" w:rsidR="005E000F" w:rsidRDefault="00000000">
                <w:pPr>
                  <w:jc w:val="center"/>
                </w:pPr>
                <w:r>
                  <w:rPr>
                    <w:rFonts w:hint="eastAsia"/>
                  </w:rPr>
                  <w:t>追加投资</w:t>
                </w:r>
              </w:p>
            </w:tc>
          </w:sdtContent>
        </w:sdt>
        <w:sdt>
          <w:sdtPr>
            <w:tag w:val="_PLD_35b99bcd41834275ae207d04ef825953"/>
            <w:id w:val="-270549462"/>
          </w:sdtPr>
          <w:sdtContent>
            <w:tc>
              <w:tcPr>
                <w:tcW w:w="367" w:type="pct"/>
                <w:tcBorders>
                  <w:top w:val="single" w:sz="4" w:space="0" w:color="auto"/>
                  <w:left w:val="single" w:sz="4" w:space="0" w:color="auto"/>
                  <w:bottom w:val="single" w:sz="4" w:space="0" w:color="auto"/>
                  <w:right w:val="single" w:sz="4" w:space="0" w:color="auto"/>
                </w:tcBorders>
                <w:vAlign w:val="center"/>
              </w:tcPr>
              <w:p w14:paraId="68D1C881" w14:textId="77777777" w:rsidR="005E000F" w:rsidRDefault="00000000">
                <w:pPr>
                  <w:jc w:val="center"/>
                </w:pPr>
                <w:r>
                  <w:rPr>
                    <w:rFonts w:hint="eastAsia"/>
                  </w:rPr>
                  <w:t>减少投资</w:t>
                </w:r>
              </w:p>
            </w:tc>
          </w:sdtContent>
        </w:sdt>
        <w:sdt>
          <w:sdtPr>
            <w:tag w:val="_PLD_8a4bbeebcb134d688741468780d5bbd1"/>
            <w:id w:val="-1306616645"/>
          </w:sdtPr>
          <w:sdtContent>
            <w:tc>
              <w:tcPr>
                <w:tcW w:w="464" w:type="pct"/>
                <w:tcBorders>
                  <w:top w:val="single" w:sz="4" w:space="0" w:color="auto"/>
                  <w:left w:val="single" w:sz="4" w:space="0" w:color="auto"/>
                  <w:bottom w:val="single" w:sz="4" w:space="0" w:color="auto"/>
                  <w:right w:val="single" w:sz="4" w:space="0" w:color="auto"/>
                </w:tcBorders>
                <w:vAlign w:val="center"/>
              </w:tcPr>
              <w:p w14:paraId="5305F0DA" w14:textId="77777777" w:rsidR="005E000F" w:rsidRDefault="00000000">
                <w:pPr>
                  <w:jc w:val="center"/>
                </w:pPr>
                <w:r>
                  <w:rPr>
                    <w:rFonts w:hint="eastAsia"/>
                  </w:rPr>
                  <w:t>本期计入其他综合收益的利得</w:t>
                </w:r>
              </w:p>
            </w:tc>
          </w:sdtContent>
        </w:sdt>
        <w:sdt>
          <w:sdtPr>
            <w:tag w:val="_PLD_34c6f06bd6ce4dec84766a6723567bb2"/>
            <w:id w:val="50816858"/>
          </w:sdtPr>
          <w:sdtContent>
            <w:tc>
              <w:tcPr>
                <w:tcW w:w="427" w:type="pct"/>
                <w:tcBorders>
                  <w:top w:val="single" w:sz="4" w:space="0" w:color="auto"/>
                  <w:left w:val="single" w:sz="4" w:space="0" w:color="auto"/>
                  <w:bottom w:val="single" w:sz="4" w:space="0" w:color="auto"/>
                  <w:right w:val="single" w:sz="4" w:space="0" w:color="auto"/>
                </w:tcBorders>
                <w:vAlign w:val="center"/>
              </w:tcPr>
              <w:p w14:paraId="25F5BBEE" w14:textId="77777777" w:rsidR="005E000F" w:rsidRDefault="00000000">
                <w:pPr>
                  <w:jc w:val="center"/>
                </w:pPr>
                <w:r>
                  <w:rPr>
                    <w:rFonts w:hint="eastAsia"/>
                  </w:rPr>
                  <w:t>本期计入其他综合收益的损失</w:t>
                </w:r>
              </w:p>
            </w:tc>
          </w:sdtContent>
        </w:sdt>
        <w:sdt>
          <w:sdtPr>
            <w:tag w:val="_PLD_10fb3a2b23634dbcb6ec64725618b767"/>
            <w:id w:val="809748609"/>
          </w:sdtPr>
          <w:sdtContent>
            <w:tc>
              <w:tcPr>
                <w:tcW w:w="267" w:type="pct"/>
                <w:tcBorders>
                  <w:left w:val="single" w:sz="4" w:space="0" w:color="auto"/>
                  <w:bottom w:val="single" w:sz="4" w:space="0" w:color="auto"/>
                  <w:right w:val="single" w:sz="4" w:space="0" w:color="auto"/>
                </w:tcBorders>
                <w:vAlign w:val="center"/>
              </w:tcPr>
              <w:p w14:paraId="5F37600B" w14:textId="77777777" w:rsidR="005E000F" w:rsidRDefault="00000000">
                <w:pPr>
                  <w:jc w:val="center"/>
                </w:pPr>
                <w:r>
                  <w:rPr>
                    <w:rFonts w:hint="eastAsia"/>
                  </w:rPr>
                  <w:t>其他</w:t>
                </w:r>
              </w:p>
            </w:tc>
          </w:sdtContent>
        </w:sdt>
        <w:tc>
          <w:tcPr>
            <w:tcW w:w="452" w:type="pct"/>
            <w:vMerge/>
            <w:tcBorders>
              <w:left w:val="single" w:sz="4" w:space="0" w:color="auto"/>
              <w:bottom w:val="single" w:sz="4" w:space="0" w:color="auto"/>
              <w:right w:val="single" w:sz="4" w:space="0" w:color="auto"/>
            </w:tcBorders>
            <w:vAlign w:val="center"/>
          </w:tcPr>
          <w:p w14:paraId="6A6C63E1" w14:textId="77777777" w:rsidR="005E000F" w:rsidRDefault="005E000F">
            <w:pPr>
              <w:jc w:val="center"/>
            </w:pPr>
          </w:p>
        </w:tc>
        <w:tc>
          <w:tcPr>
            <w:tcW w:w="410" w:type="pct"/>
            <w:vMerge/>
            <w:tcBorders>
              <w:left w:val="single" w:sz="4" w:space="0" w:color="auto"/>
              <w:bottom w:val="single" w:sz="4" w:space="0" w:color="auto"/>
              <w:right w:val="single" w:sz="4" w:space="0" w:color="auto"/>
            </w:tcBorders>
            <w:vAlign w:val="center"/>
          </w:tcPr>
          <w:p w14:paraId="5B409F6E" w14:textId="77777777" w:rsidR="005E000F" w:rsidRDefault="005E000F">
            <w:pPr>
              <w:jc w:val="center"/>
            </w:pPr>
          </w:p>
        </w:tc>
        <w:tc>
          <w:tcPr>
            <w:tcW w:w="462" w:type="pct"/>
            <w:vMerge/>
            <w:tcBorders>
              <w:left w:val="single" w:sz="4" w:space="0" w:color="auto"/>
              <w:bottom w:val="single" w:sz="4" w:space="0" w:color="auto"/>
              <w:right w:val="single" w:sz="4" w:space="0" w:color="auto"/>
            </w:tcBorders>
            <w:vAlign w:val="center"/>
          </w:tcPr>
          <w:p w14:paraId="59311FFE" w14:textId="77777777" w:rsidR="005E000F" w:rsidRDefault="005E000F">
            <w:pPr>
              <w:jc w:val="center"/>
            </w:pPr>
          </w:p>
        </w:tc>
        <w:tc>
          <w:tcPr>
            <w:tcW w:w="358" w:type="pct"/>
            <w:vMerge/>
            <w:tcBorders>
              <w:left w:val="single" w:sz="4" w:space="0" w:color="auto"/>
              <w:bottom w:val="single" w:sz="4" w:space="0" w:color="auto"/>
              <w:right w:val="single" w:sz="4" w:space="0" w:color="auto"/>
            </w:tcBorders>
            <w:vAlign w:val="center"/>
          </w:tcPr>
          <w:p w14:paraId="4CA535BB" w14:textId="77777777" w:rsidR="005E000F" w:rsidRDefault="005E000F">
            <w:pPr>
              <w:jc w:val="center"/>
            </w:pPr>
          </w:p>
        </w:tc>
        <w:tc>
          <w:tcPr>
            <w:tcW w:w="404" w:type="pct"/>
            <w:vMerge/>
            <w:tcBorders>
              <w:left w:val="single" w:sz="4" w:space="0" w:color="auto"/>
              <w:bottom w:val="single" w:sz="4" w:space="0" w:color="auto"/>
              <w:right w:val="single" w:sz="4" w:space="0" w:color="auto"/>
            </w:tcBorders>
            <w:vAlign w:val="center"/>
          </w:tcPr>
          <w:p w14:paraId="790B1455" w14:textId="77777777" w:rsidR="005E000F" w:rsidRDefault="005E000F">
            <w:pPr>
              <w:jc w:val="center"/>
            </w:pPr>
          </w:p>
        </w:tc>
      </w:tr>
      <w:tr w:rsidR="005E000F" w14:paraId="1FEFB289" w14:textId="77777777">
        <w:tc>
          <w:tcPr>
            <w:tcW w:w="544" w:type="pct"/>
            <w:tcBorders>
              <w:top w:val="single" w:sz="4" w:space="0" w:color="auto"/>
              <w:left w:val="single" w:sz="4" w:space="0" w:color="auto"/>
              <w:bottom w:val="single" w:sz="4" w:space="0" w:color="auto"/>
              <w:right w:val="single" w:sz="4" w:space="0" w:color="auto"/>
            </w:tcBorders>
          </w:tcPr>
          <w:p w14:paraId="66D4CC7C" w14:textId="77777777" w:rsidR="005E000F" w:rsidRDefault="00000000">
            <w:pPr>
              <w:rPr>
                <w:rFonts w:cs="宋体"/>
                <w:bCs/>
              </w:rPr>
            </w:pPr>
            <w:r>
              <w:rPr>
                <w:rFonts w:cs="宋体" w:hint="eastAsia"/>
                <w:bCs/>
              </w:rPr>
              <w:t>秦皇岛港股份有限公司</w:t>
            </w:r>
          </w:p>
        </w:tc>
        <w:tc>
          <w:tcPr>
            <w:tcW w:w="453" w:type="pct"/>
            <w:tcBorders>
              <w:top w:val="single" w:sz="4" w:space="0" w:color="auto"/>
              <w:left w:val="single" w:sz="4" w:space="0" w:color="auto"/>
              <w:bottom w:val="single" w:sz="4" w:space="0" w:color="auto"/>
              <w:right w:val="single" w:sz="4" w:space="0" w:color="auto"/>
            </w:tcBorders>
            <w:vAlign w:val="center"/>
          </w:tcPr>
          <w:p w14:paraId="0CB58DD0" w14:textId="77777777" w:rsidR="005E000F" w:rsidRDefault="00000000">
            <w:pPr>
              <w:jc w:val="right"/>
              <w:rPr>
                <w:lang w:eastAsia="en-US"/>
              </w:rPr>
            </w:pPr>
            <w:r>
              <w:t>143,212,500</w:t>
            </w:r>
          </w:p>
        </w:tc>
        <w:tc>
          <w:tcPr>
            <w:tcW w:w="388" w:type="pct"/>
            <w:tcBorders>
              <w:top w:val="single" w:sz="4" w:space="0" w:color="auto"/>
              <w:left w:val="single" w:sz="4" w:space="0" w:color="auto"/>
              <w:bottom w:val="single" w:sz="4" w:space="0" w:color="auto"/>
              <w:right w:val="single" w:sz="4" w:space="0" w:color="auto"/>
            </w:tcBorders>
            <w:vAlign w:val="center"/>
          </w:tcPr>
          <w:p w14:paraId="2C0E1318" w14:textId="77777777" w:rsidR="005E000F" w:rsidRDefault="00000000">
            <w:pPr>
              <w:jc w:val="right"/>
            </w:pPr>
            <w:r>
              <w:t>0</w:t>
            </w:r>
          </w:p>
        </w:tc>
        <w:tc>
          <w:tcPr>
            <w:tcW w:w="367" w:type="pct"/>
            <w:tcBorders>
              <w:top w:val="single" w:sz="4" w:space="0" w:color="auto"/>
              <w:left w:val="single" w:sz="4" w:space="0" w:color="auto"/>
              <w:bottom w:val="single" w:sz="4" w:space="0" w:color="auto"/>
              <w:right w:val="single" w:sz="4" w:space="0" w:color="auto"/>
            </w:tcBorders>
            <w:vAlign w:val="center"/>
          </w:tcPr>
          <w:p w14:paraId="32FF51D7" w14:textId="77777777" w:rsidR="005E000F" w:rsidRDefault="00000000">
            <w:pPr>
              <w:jc w:val="right"/>
            </w:pPr>
            <w:r>
              <w:t>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07F381F2" w14:textId="77777777" w:rsidR="005E000F" w:rsidRDefault="00000000">
            <w:pPr>
              <w:jc w:val="right"/>
            </w:pPr>
            <w:r>
              <w:t>5,985,000</w:t>
            </w:r>
          </w:p>
        </w:tc>
        <w:tc>
          <w:tcPr>
            <w:tcW w:w="427" w:type="pct"/>
            <w:tcBorders>
              <w:top w:val="single" w:sz="4" w:space="0" w:color="auto"/>
              <w:left w:val="single" w:sz="4" w:space="0" w:color="auto"/>
              <w:bottom w:val="single" w:sz="4" w:space="0" w:color="auto"/>
              <w:right w:val="single" w:sz="4" w:space="0" w:color="auto"/>
            </w:tcBorders>
            <w:vAlign w:val="center"/>
          </w:tcPr>
          <w:p w14:paraId="23CCD66A" w14:textId="77777777" w:rsidR="005E000F" w:rsidRDefault="00000000">
            <w:pPr>
              <w:jc w:val="right"/>
            </w:pPr>
            <w:r>
              <w:rPr>
                <w:rFonts w:hint="eastAsia"/>
              </w:rPr>
              <w:t>0</w:t>
            </w:r>
          </w:p>
        </w:tc>
        <w:tc>
          <w:tcPr>
            <w:tcW w:w="267" w:type="pct"/>
            <w:tcBorders>
              <w:top w:val="single" w:sz="4" w:space="0" w:color="auto"/>
              <w:left w:val="single" w:sz="4" w:space="0" w:color="auto"/>
              <w:bottom w:val="single" w:sz="4" w:space="0" w:color="auto"/>
              <w:right w:val="single" w:sz="4" w:space="0" w:color="auto"/>
            </w:tcBorders>
            <w:vAlign w:val="center"/>
          </w:tcPr>
          <w:p w14:paraId="044A6E83" w14:textId="77777777" w:rsidR="005E000F" w:rsidRDefault="00000000">
            <w:pPr>
              <w:jc w:val="right"/>
            </w:pPr>
            <w:r>
              <w:t>0</w:t>
            </w:r>
          </w:p>
        </w:tc>
        <w:tc>
          <w:tcPr>
            <w:tcW w:w="452" w:type="pct"/>
            <w:tcBorders>
              <w:top w:val="single" w:sz="4" w:space="0" w:color="auto"/>
              <w:left w:val="single" w:sz="4" w:space="0" w:color="auto"/>
              <w:bottom w:val="single" w:sz="4" w:space="0" w:color="auto"/>
              <w:right w:val="single" w:sz="4" w:space="0" w:color="auto"/>
            </w:tcBorders>
            <w:vAlign w:val="center"/>
          </w:tcPr>
          <w:p w14:paraId="367E4E70" w14:textId="77777777" w:rsidR="005E000F" w:rsidRDefault="00000000">
            <w:pPr>
              <w:jc w:val="right"/>
            </w:pPr>
            <w:r>
              <w:t>149,197,500</w:t>
            </w:r>
          </w:p>
        </w:tc>
        <w:tc>
          <w:tcPr>
            <w:tcW w:w="410" w:type="pct"/>
            <w:tcBorders>
              <w:top w:val="single" w:sz="4" w:space="0" w:color="auto"/>
              <w:left w:val="single" w:sz="4" w:space="0" w:color="auto"/>
              <w:bottom w:val="single" w:sz="4" w:space="0" w:color="auto"/>
              <w:right w:val="single" w:sz="4" w:space="0" w:color="auto"/>
            </w:tcBorders>
            <w:vAlign w:val="center"/>
          </w:tcPr>
          <w:p w14:paraId="2693F708" w14:textId="77777777" w:rsidR="005E000F" w:rsidRDefault="00000000">
            <w:pPr>
              <w:jc w:val="right"/>
            </w:pPr>
            <w:r>
              <w:t>3,633,750</w:t>
            </w:r>
          </w:p>
        </w:tc>
        <w:tc>
          <w:tcPr>
            <w:tcW w:w="462" w:type="pct"/>
            <w:tcBorders>
              <w:top w:val="single" w:sz="4" w:space="0" w:color="auto"/>
              <w:left w:val="single" w:sz="4" w:space="0" w:color="auto"/>
              <w:bottom w:val="single" w:sz="4" w:space="0" w:color="auto"/>
              <w:right w:val="single" w:sz="4" w:space="0" w:color="auto"/>
            </w:tcBorders>
            <w:vAlign w:val="center"/>
          </w:tcPr>
          <w:p w14:paraId="1578A74E" w14:textId="77777777" w:rsidR="005E000F" w:rsidRDefault="00000000">
            <w:pPr>
              <w:jc w:val="right"/>
            </w:pPr>
            <w:r>
              <w:t>84,038,803</w:t>
            </w:r>
          </w:p>
        </w:tc>
        <w:tc>
          <w:tcPr>
            <w:tcW w:w="358" w:type="pct"/>
            <w:tcBorders>
              <w:top w:val="single" w:sz="4" w:space="0" w:color="auto"/>
              <w:left w:val="single" w:sz="4" w:space="0" w:color="auto"/>
              <w:bottom w:val="single" w:sz="4" w:space="0" w:color="auto"/>
              <w:right w:val="single" w:sz="4" w:space="0" w:color="auto"/>
            </w:tcBorders>
            <w:vAlign w:val="center"/>
          </w:tcPr>
          <w:p w14:paraId="50B7140E" w14:textId="77777777" w:rsidR="005E000F" w:rsidRDefault="00000000">
            <w:pPr>
              <w:jc w:val="right"/>
            </w:pPr>
            <w:r>
              <w:t>0</w:t>
            </w:r>
          </w:p>
        </w:tc>
        <w:tc>
          <w:tcPr>
            <w:tcW w:w="404" w:type="pct"/>
            <w:tcBorders>
              <w:top w:val="single" w:sz="4" w:space="0" w:color="auto"/>
              <w:left w:val="single" w:sz="4" w:space="0" w:color="auto"/>
              <w:bottom w:val="single" w:sz="4" w:space="0" w:color="auto"/>
              <w:right w:val="single" w:sz="4" w:space="0" w:color="auto"/>
            </w:tcBorders>
          </w:tcPr>
          <w:p w14:paraId="1A894A2F" w14:textId="77777777" w:rsidR="005E000F" w:rsidRDefault="00000000">
            <w:r>
              <w:rPr>
                <w:rFonts w:hint="eastAsia"/>
              </w:rPr>
              <w:t>出于战略目的而计划长期持有</w:t>
            </w:r>
          </w:p>
        </w:tc>
      </w:tr>
      <w:tr w:rsidR="005E000F" w14:paraId="612ADA21" w14:textId="77777777">
        <w:tc>
          <w:tcPr>
            <w:tcW w:w="544" w:type="pct"/>
            <w:tcBorders>
              <w:top w:val="single" w:sz="4" w:space="0" w:color="auto"/>
              <w:left w:val="single" w:sz="4" w:space="0" w:color="auto"/>
              <w:bottom w:val="single" w:sz="4" w:space="0" w:color="auto"/>
              <w:right w:val="single" w:sz="4" w:space="0" w:color="auto"/>
            </w:tcBorders>
          </w:tcPr>
          <w:p w14:paraId="49A0F3DB" w14:textId="77777777" w:rsidR="005E000F" w:rsidRDefault="00000000">
            <w:pPr>
              <w:rPr>
                <w:rFonts w:cs="宋体"/>
                <w:bCs/>
              </w:rPr>
            </w:pPr>
            <w:r>
              <w:rPr>
                <w:rFonts w:cs="宋体" w:hint="eastAsia"/>
                <w:bCs/>
              </w:rPr>
              <w:t>太原国铁京丰装备技术股份有限公司</w:t>
            </w:r>
          </w:p>
        </w:tc>
        <w:tc>
          <w:tcPr>
            <w:tcW w:w="453" w:type="pct"/>
            <w:tcBorders>
              <w:top w:val="single" w:sz="4" w:space="0" w:color="auto"/>
              <w:left w:val="single" w:sz="4" w:space="0" w:color="auto"/>
              <w:bottom w:val="single" w:sz="4" w:space="0" w:color="auto"/>
              <w:right w:val="single" w:sz="4" w:space="0" w:color="auto"/>
            </w:tcBorders>
            <w:vAlign w:val="center"/>
          </w:tcPr>
          <w:p w14:paraId="3EB7FA57" w14:textId="77777777" w:rsidR="005E000F" w:rsidRDefault="00000000">
            <w:pPr>
              <w:jc w:val="right"/>
              <w:rPr>
                <w:lang w:eastAsia="en-US"/>
              </w:rPr>
            </w:pPr>
            <w:r>
              <w:t>91,551,000</w:t>
            </w:r>
          </w:p>
        </w:tc>
        <w:tc>
          <w:tcPr>
            <w:tcW w:w="388" w:type="pct"/>
            <w:tcBorders>
              <w:top w:val="single" w:sz="4" w:space="0" w:color="auto"/>
              <w:left w:val="single" w:sz="4" w:space="0" w:color="auto"/>
              <w:bottom w:val="single" w:sz="4" w:space="0" w:color="auto"/>
              <w:right w:val="single" w:sz="4" w:space="0" w:color="auto"/>
            </w:tcBorders>
            <w:vAlign w:val="center"/>
          </w:tcPr>
          <w:p w14:paraId="330BB705" w14:textId="77777777" w:rsidR="005E000F" w:rsidRDefault="00000000">
            <w:pPr>
              <w:jc w:val="right"/>
            </w:pPr>
            <w:r>
              <w:t>0</w:t>
            </w:r>
          </w:p>
        </w:tc>
        <w:tc>
          <w:tcPr>
            <w:tcW w:w="367" w:type="pct"/>
            <w:tcBorders>
              <w:top w:val="single" w:sz="4" w:space="0" w:color="auto"/>
              <w:left w:val="single" w:sz="4" w:space="0" w:color="auto"/>
              <w:bottom w:val="single" w:sz="4" w:space="0" w:color="auto"/>
              <w:right w:val="single" w:sz="4" w:space="0" w:color="auto"/>
            </w:tcBorders>
            <w:vAlign w:val="center"/>
          </w:tcPr>
          <w:p w14:paraId="6379055E" w14:textId="77777777" w:rsidR="005E000F" w:rsidRDefault="00000000">
            <w:pPr>
              <w:jc w:val="right"/>
            </w:pPr>
            <w:r>
              <w:t>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34CFDD16" w14:textId="77777777" w:rsidR="005E000F" w:rsidRDefault="00000000">
            <w:pPr>
              <w:jc w:val="right"/>
            </w:pPr>
            <w:r>
              <w:t>0</w:t>
            </w:r>
          </w:p>
        </w:tc>
        <w:tc>
          <w:tcPr>
            <w:tcW w:w="427" w:type="pct"/>
            <w:tcBorders>
              <w:top w:val="single" w:sz="4" w:space="0" w:color="auto"/>
              <w:left w:val="single" w:sz="4" w:space="0" w:color="auto"/>
              <w:bottom w:val="single" w:sz="4" w:space="0" w:color="auto"/>
              <w:right w:val="single" w:sz="4" w:space="0" w:color="auto"/>
            </w:tcBorders>
            <w:vAlign w:val="center"/>
          </w:tcPr>
          <w:p w14:paraId="25616B16" w14:textId="77777777" w:rsidR="005E000F" w:rsidRDefault="00000000">
            <w:pPr>
              <w:jc w:val="right"/>
            </w:pPr>
            <w:r>
              <w:t>0</w:t>
            </w:r>
          </w:p>
        </w:tc>
        <w:tc>
          <w:tcPr>
            <w:tcW w:w="267" w:type="pct"/>
            <w:tcBorders>
              <w:top w:val="single" w:sz="4" w:space="0" w:color="auto"/>
              <w:left w:val="single" w:sz="4" w:space="0" w:color="auto"/>
              <w:bottom w:val="single" w:sz="4" w:space="0" w:color="auto"/>
              <w:right w:val="single" w:sz="4" w:space="0" w:color="auto"/>
            </w:tcBorders>
            <w:vAlign w:val="center"/>
          </w:tcPr>
          <w:p w14:paraId="2555F985" w14:textId="77777777" w:rsidR="005E000F" w:rsidRDefault="00000000">
            <w:pPr>
              <w:jc w:val="right"/>
            </w:pPr>
            <w:r>
              <w:t>0</w:t>
            </w:r>
          </w:p>
        </w:tc>
        <w:tc>
          <w:tcPr>
            <w:tcW w:w="452" w:type="pct"/>
            <w:tcBorders>
              <w:top w:val="single" w:sz="4" w:space="0" w:color="auto"/>
              <w:left w:val="single" w:sz="4" w:space="0" w:color="auto"/>
              <w:bottom w:val="single" w:sz="4" w:space="0" w:color="auto"/>
              <w:right w:val="single" w:sz="4" w:space="0" w:color="auto"/>
            </w:tcBorders>
            <w:vAlign w:val="center"/>
          </w:tcPr>
          <w:p w14:paraId="6E522494" w14:textId="77777777" w:rsidR="005E000F" w:rsidRDefault="00000000">
            <w:pPr>
              <w:jc w:val="right"/>
            </w:pPr>
            <w:r>
              <w:t>91,551,000</w:t>
            </w:r>
          </w:p>
        </w:tc>
        <w:tc>
          <w:tcPr>
            <w:tcW w:w="410" w:type="pct"/>
            <w:tcBorders>
              <w:top w:val="single" w:sz="4" w:space="0" w:color="auto"/>
              <w:left w:val="single" w:sz="4" w:space="0" w:color="auto"/>
              <w:bottom w:val="single" w:sz="4" w:space="0" w:color="auto"/>
              <w:right w:val="single" w:sz="4" w:space="0" w:color="auto"/>
            </w:tcBorders>
            <w:vAlign w:val="center"/>
          </w:tcPr>
          <w:p w14:paraId="6052239F" w14:textId="77777777" w:rsidR="005E000F" w:rsidRDefault="00000000">
            <w:pPr>
              <w:jc w:val="right"/>
            </w:pPr>
            <w:r>
              <w:t>0</w:t>
            </w:r>
          </w:p>
        </w:tc>
        <w:tc>
          <w:tcPr>
            <w:tcW w:w="462" w:type="pct"/>
            <w:tcBorders>
              <w:top w:val="single" w:sz="4" w:space="0" w:color="auto"/>
              <w:left w:val="single" w:sz="4" w:space="0" w:color="auto"/>
              <w:bottom w:val="single" w:sz="4" w:space="0" w:color="auto"/>
              <w:right w:val="single" w:sz="4" w:space="0" w:color="auto"/>
            </w:tcBorders>
            <w:vAlign w:val="center"/>
          </w:tcPr>
          <w:p w14:paraId="4A2D6D4B" w14:textId="77777777" w:rsidR="005E000F" w:rsidRDefault="00000000">
            <w:pPr>
              <w:jc w:val="right"/>
            </w:pPr>
            <w:r>
              <w:t>0</w:t>
            </w:r>
          </w:p>
        </w:tc>
        <w:tc>
          <w:tcPr>
            <w:tcW w:w="358" w:type="pct"/>
            <w:tcBorders>
              <w:top w:val="single" w:sz="4" w:space="0" w:color="auto"/>
              <w:left w:val="single" w:sz="4" w:space="0" w:color="auto"/>
              <w:bottom w:val="single" w:sz="4" w:space="0" w:color="auto"/>
              <w:right w:val="single" w:sz="4" w:space="0" w:color="auto"/>
            </w:tcBorders>
            <w:vAlign w:val="center"/>
          </w:tcPr>
          <w:p w14:paraId="4BC6AA9D" w14:textId="77777777" w:rsidR="005E000F" w:rsidRDefault="00000000">
            <w:pPr>
              <w:jc w:val="right"/>
            </w:pPr>
            <w:r>
              <w:t>0</w:t>
            </w:r>
          </w:p>
        </w:tc>
        <w:tc>
          <w:tcPr>
            <w:tcW w:w="404" w:type="pct"/>
            <w:tcBorders>
              <w:top w:val="single" w:sz="4" w:space="0" w:color="auto"/>
              <w:left w:val="single" w:sz="4" w:space="0" w:color="auto"/>
              <w:bottom w:val="single" w:sz="4" w:space="0" w:color="auto"/>
              <w:right w:val="single" w:sz="4" w:space="0" w:color="auto"/>
            </w:tcBorders>
          </w:tcPr>
          <w:p w14:paraId="1F8C371B" w14:textId="77777777" w:rsidR="005E000F" w:rsidRDefault="00000000">
            <w:r>
              <w:rPr>
                <w:rFonts w:hint="eastAsia"/>
              </w:rPr>
              <w:t>出于战略目的而计划长期持有</w:t>
            </w:r>
          </w:p>
        </w:tc>
      </w:tr>
      <w:tr w:rsidR="005E000F" w14:paraId="6D055CDE" w14:textId="77777777">
        <w:tc>
          <w:tcPr>
            <w:tcW w:w="544" w:type="pct"/>
            <w:tcBorders>
              <w:top w:val="single" w:sz="4" w:space="0" w:color="auto"/>
              <w:left w:val="single" w:sz="4" w:space="0" w:color="auto"/>
              <w:bottom w:val="single" w:sz="4" w:space="0" w:color="auto"/>
              <w:right w:val="single" w:sz="4" w:space="0" w:color="auto"/>
            </w:tcBorders>
            <w:vAlign w:val="center"/>
          </w:tcPr>
          <w:p w14:paraId="43FEFD3A" w14:textId="77777777" w:rsidR="005E000F" w:rsidRDefault="00000000">
            <w:pPr>
              <w:jc w:val="center"/>
            </w:pPr>
            <w:r>
              <w:rPr>
                <w:rFonts w:hint="eastAsia"/>
              </w:rPr>
              <w:t>合计</w:t>
            </w:r>
          </w:p>
        </w:tc>
        <w:tc>
          <w:tcPr>
            <w:tcW w:w="453" w:type="pct"/>
            <w:tcBorders>
              <w:top w:val="single" w:sz="4" w:space="0" w:color="auto"/>
              <w:left w:val="single" w:sz="4" w:space="0" w:color="auto"/>
              <w:bottom w:val="single" w:sz="4" w:space="0" w:color="auto"/>
              <w:right w:val="single" w:sz="4" w:space="0" w:color="auto"/>
            </w:tcBorders>
          </w:tcPr>
          <w:p w14:paraId="284580B9" w14:textId="77777777" w:rsidR="005E000F" w:rsidRDefault="00000000">
            <w:pPr>
              <w:jc w:val="right"/>
              <w:rPr>
                <w:lang w:eastAsia="en-US"/>
              </w:rPr>
            </w:pPr>
            <w:r>
              <w:t>234,763,500</w:t>
            </w:r>
          </w:p>
        </w:tc>
        <w:tc>
          <w:tcPr>
            <w:tcW w:w="388" w:type="pct"/>
            <w:tcBorders>
              <w:top w:val="single" w:sz="4" w:space="0" w:color="auto"/>
              <w:left w:val="single" w:sz="4" w:space="0" w:color="auto"/>
              <w:bottom w:val="single" w:sz="4" w:space="0" w:color="auto"/>
              <w:right w:val="single" w:sz="4" w:space="0" w:color="auto"/>
            </w:tcBorders>
            <w:vAlign w:val="center"/>
          </w:tcPr>
          <w:p w14:paraId="0D680D34" w14:textId="77777777" w:rsidR="005E000F" w:rsidRDefault="00000000">
            <w:pPr>
              <w:jc w:val="right"/>
            </w:pPr>
            <w:r>
              <w:t>0</w:t>
            </w:r>
          </w:p>
        </w:tc>
        <w:tc>
          <w:tcPr>
            <w:tcW w:w="367" w:type="pct"/>
            <w:tcBorders>
              <w:top w:val="single" w:sz="4" w:space="0" w:color="auto"/>
              <w:left w:val="single" w:sz="4" w:space="0" w:color="auto"/>
              <w:bottom w:val="single" w:sz="4" w:space="0" w:color="auto"/>
              <w:right w:val="single" w:sz="4" w:space="0" w:color="auto"/>
            </w:tcBorders>
            <w:vAlign w:val="center"/>
          </w:tcPr>
          <w:p w14:paraId="6BCF4F1E" w14:textId="77777777" w:rsidR="005E000F" w:rsidRDefault="00000000">
            <w:pPr>
              <w:jc w:val="right"/>
            </w:pPr>
            <w:r>
              <w:t>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0B1B19D4" w14:textId="77777777" w:rsidR="005E000F" w:rsidRDefault="00000000">
            <w:pPr>
              <w:jc w:val="right"/>
              <w:rPr>
                <w:lang w:val="en-GB"/>
              </w:rPr>
            </w:pPr>
            <w:r>
              <w:t>5,985,000</w:t>
            </w:r>
          </w:p>
        </w:tc>
        <w:tc>
          <w:tcPr>
            <w:tcW w:w="427" w:type="pct"/>
            <w:tcBorders>
              <w:top w:val="single" w:sz="4" w:space="0" w:color="auto"/>
              <w:left w:val="single" w:sz="4" w:space="0" w:color="auto"/>
              <w:bottom w:val="single" w:sz="4" w:space="0" w:color="auto"/>
              <w:right w:val="single" w:sz="4" w:space="0" w:color="auto"/>
            </w:tcBorders>
            <w:vAlign w:val="center"/>
          </w:tcPr>
          <w:p w14:paraId="29BA8B18" w14:textId="77777777" w:rsidR="005E000F" w:rsidRDefault="00000000">
            <w:pPr>
              <w:jc w:val="right"/>
              <w:rPr>
                <w:lang w:val="en-GB"/>
              </w:rPr>
            </w:pPr>
            <w:r>
              <w:rPr>
                <w:rFonts w:hint="eastAsia"/>
              </w:rPr>
              <w:t>0</w:t>
            </w:r>
          </w:p>
        </w:tc>
        <w:tc>
          <w:tcPr>
            <w:tcW w:w="267" w:type="pct"/>
            <w:tcBorders>
              <w:top w:val="single" w:sz="4" w:space="0" w:color="auto"/>
              <w:left w:val="single" w:sz="4" w:space="0" w:color="auto"/>
              <w:bottom w:val="single" w:sz="4" w:space="0" w:color="auto"/>
              <w:right w:val="single" w:sz="4" w:space="0" w:color="auto"/>
            </w:tcBorders>
            <w:vAlign w:val="center"/>
          </w:tcPr>
          <w:p w14:paraId="7476F095" w14:textId="77777777" w:rsidR="005E000F" w:rsidRDefault="00000000">
            <w:pPr>
              <w:jc w:val="right"/>
            </w:pPr>
            <w:r>
              <w:t>0</w:t>
            </w:r>
          </w:p>
        </w:tc>
        <w:tc>
          <w:tcPr>
            <w:tcW w:w="452" w:type="pct"/>
            <w:tcBorders>
              <w:top w:val="single" w:sz="4" w:space="0" w:color="auto"/>
              <w:left w:val="single" w:sz="4" w:space="0" w:color="auto"/>
              <w:bottom w:val="single" w:sz="4" w:space="0" w:color="auto"/>
              <w:right w:val="single" w:sz="4" w:space="0" w:color="auto"/>
            </w:tcBorders>
            <w:vAlign w:val="center"/>
          </w:tcPr>
          <w:p w14:paraId="11F86E4E" w14:textId="77777777" w:rsidR="005E000F" w:rsidRDefault="00000000">
            <w:pPr>
              <w:jc w:val="right"/>
              <w:rPr>
                <w:lang w:val="en-GB"/>
              </w:rPr>
            </w:pPr>
            <w:r>
              <w:t>240,748,500</w:t>
            </w:r>
          </w:p>
        </w:tc>
        <w:tc>
          <w:tcPr>
            <w:tcW w:w="410" w:type="pct"/>
            <w:tcBorders>
              <w:top w:val="single" w:sz="4" w:space="0" w:color="auto"/>
              <w:left w:val="single" w:sz="4" w:space="0" w:color="auto"/>
              <w:bottom w:val="single" w:sz="4" w:space="0" w:color="auto"/>
              <w:right w:val="single" w:sz="4" w:space="0" w:color="auto"/>
            </w:tcBorders>
            <w:vAlign w:val="center"/>
          </w:tcPr>
          <w:p w14:paraId="02AC68A7" w14:textId="77777777" w:rsidR="005E000F" w:rsidRDefault="00000000">
            <w:pPr>
              <w:jc w:val="right"/>
              <w:rPr>
                <w:lang w:val="en-GB"/>
              </w:rPr>
            </w:pPr>
            <w:r>
              <w:t>3,633,750</w:t>
            </w:r>
          </w:p>
        </w:tc>
        <w:tc>
          <w:tcPr>
            <w:tcW w:w="462" w:type="pct"/>
            <w:tcBorders>
              <w:top w:val="single" w:sz="4" w:space="0" w:color="auto"/>
              <w:left w:val="single" w:sz="4" w:space="0" w:color="auto"/>
              <w:bottom w:val="single" w:sz="4" w:space="0" w:color="auto"/>
              <w:right w:val="single" w:sz="4" w:space="0" w:color="auto"/>
            </w:tcBorders>
            <w:vAlign w:val="center"/>
          </w:tcPr>
          <w:p w14:paraId="2B3778A1" w14:textId="77777777" w:rsidR="005E000F" w:rsidRDefault="00000000">
            <w:pPr>
              <w:jc w:val="right"/>
              <w:rPr>
                <w:lang w:val="en-GB"/>
              </w:rPr>
            </w:pPr>
            <w:r>
              <w:t>84,038,803</w:t>
            </w:r>
          </w:p>
        </w:tc>
        <w:tc>
          <w:tcPr>
            <w:tcW w:w="358" w:type="pct"/>
            <w:tcBorders>
              <w:top w:val="single" w:sz="4" w:space="0" w:color="auto"/>
              <w:left w:val="single" w:sz="4" w:space="0" w:color="auto"/>
              <w:bottom w:val="single" w:sz="4" w:space="0" w:color="auto"/>
              <w:right w:val="single" w:sz="4" w:space="0" w:color="auto"/>
            </w:tcBorders>
            <w:vAlign w:val="center"/>
          </w:tcPr>
          <w:p w14:paraId="0A1B878B" w14:textId="77777777" w:rsidR="005E000F" w:rsidRDefault="00000000">
            <w:pPr>
              <w:jc w:val="right"/>
            </w:pPr>
            <w:r>
              <w:rPr>
                <w:rFonts w:hint="eastAsia"/>
              </w:rPr>
              <w:t>0</w:t>
            </w:r>
          </w:p>
        </w:tc>
        <w:tc>
          <w:tcPr>
            <w:tcW w:w="404" w:type="pct"/>
            <w:tcBorders>
              <w:top w:val="single" w:sz="4" w:space="0" w:color="auto"/>
              <w:left w:val="single" w:sz="4" w:space="0" w:color="auto"/>
              <w:bottom w:val="single" w:sz="4" w:space="0" w:color="auto"/>
              <w:right w:val="single" w:sz="4" w:space="0" w:color="auto"/>
            </w:tcBorders>
            <w:vAlign w:val="center"/>
          </w:tcPr>
          <w:p w14:paraId="5D2B9BD0" w14:textId="77777777" w:rsidR="005E000F" w:rsidRDefault="00000000">
            <w:r>
              <w:rPr>
                <w:rFonts w:hint="eastAsia"/>
              </w:rPr>
              <w:t>/</w:t>
            </w:r>
          </w:p>
        </w:tc>
      </w:tr>
    </w:tbl>
    <w:p w14:paraId="01C8967B" w14:textId="77777777" w:rsidR="005E000F" w:rsidRDefault="005E000F">
      <w:pPr>
        <w:pStyle w:val="41"/>
        <w:ind w:firstLineChars="0" w:firstLine="0"/>
      </w:pPr>
    </w:p>
    <w:bookmarkEnd w:id="332"/>
    <w:p w14:paraId="07419A78" w14:textId="77777777" w:rsidR="005E000F" w:rsidRDefault="00000000">
      <w:pPr>
        <w:pStyle w:val="4"/>
        <w:numPr>
          <w:ilvl w:val="3"/>
          <w:numId w:val="80"/>
        </w:numPr>
        <w:ind w:left="426" w:hanging="426"/>
      </w:pPr>
      <w:r>
        <w:rPr>
          <w:rFonts w:hint="eastAsia"/>
        </w:rPr>
        <w:t>本期存在终止确认的情况说明</w:t>
      </w:r>
    </w:p>
    <w:sdt>
      <w:sdtPr>
        <w:alias w:val="是否适用：本期存在终止确认的情况说明[双击切换]"/>
        <w:tag w:val="_GBC_27e93a66690f439284ed9d6df3a9bd6c"/>
        <w:id w:val="1790231349"/>
        <w:placeholder>
          <w:docPart w:val="GBC22222222222222222222222222222"/>
        </w:placeholder>
      </w:sdtPr>
      <w:sdtContent>
        <w:p w14:paraId="7ACFA06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49395F" w14:textId="77777777" w:rsidR="005E000F" w:rsidRDefault="005E000F"/>
    <w:p w14:paraId="362AB16D" w14:textId="77777777" w:rsidR="005E000F" w:rsidRDefault="00000000">
      <w:r>
        <w:rPr>
          <w:rFonts w:hint="eastAsia"/>
        </w:rPr>
        <w:t>其他</w:t>
      </w:r>
      <w:r>
        <w:t>说明</w:t>
      </w:r>
      <w:r>
        <w:rPr>
          <w:rFonts w:hint="eastAsia"/>
        </w:rPr>
        <w:t>：</w:t>
      </w:r>
    </w:p>
    <w:sdt>
      <w:sdtPr>
        <w:alias w:val="是否适用：其他权益工具投资其他说明[双击切换]"/>
        <w:tag w:val="_GBC_217dff5073ff4a12b86d342292038452"/>
        <w:id w:val="1405331359"/>
        <w:placeholder>
          <w:docPart w:val="GBC22222222222222222222222222222"/>
        </w:placeholder>
      </w:sdtPr>
      <w:sdtContent>
        <w:p w14:paraId="1EE57A1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48A8A5E" w14:textId="77777777" w:rsidR="005E000F" w:rsidRDefault="005E000F">
      <w:pPr>
        <w:snapToGrid w:val="0"/>
        <w:spacing w:line="240" w:lineRule="atLeast"/>
      </w:pPr>
    </w:p>
    <w:p w14:paraId="31EB1E34" w14:textId="77777777" w:rsidR="005E000F" w:rsidRDefault="005E000F">
      <w:pPr>
        <w:sectPr w:rsidR="005E000F">
          <w:pgSz w:w="16838" w:h="11906" w:orient="landscape"/>
          <w:pgMar w:top="1276" w:right="1440" w:bottom="1797" w:left="1525" w:header="856" w:footer="992" w:gutter="0"/>
          <w:cols w:space="425"/>
          <w:docGrid w:linePitch="312"/>
        </w:sectPr>
      </w:pPr>
    </w:p>
    <w:p w14:paraId="23F27381" w14:textId="77777777" w:rsidR="005E000F" w:rsidRDefault="005E000F"/>
    <w:p w14:paraId="2745E1B3" w14:textId="77777777" w:rsidR="005E000F" w:rsidRDefault="00000000">
      <w:pPr>
        <w:pStyle w:val="3"/>
        <w:numPr>
          <w:ilvl w:val="0"/>
          <w:numId w:val="66"/>
        </w:numPr>
        <w:tabs>
          <w:tab w:val="left" w:pos="504"/>
        </w:tabs>
        <w:rPr>
          <w:szCs w:val="21"/>
        </w:rPr>
      </w:pPr>
      <w:r>
        <w:rPr>
          <w:rFonts w:hint="eastAsia"/>
          <w:szCs w:val="21"/>
        </w:rPr>
        <w:t>其他非流动金融资产</w:t>
      </w:r>
    </w:p>
    <w:sdt>
      <w:sdtPr>
        <w:alias w:val="是否适用：其他非流动金融资产[双击切换]"/>
        <w:tag w:val="_GBC_6b599068045d444b87b686a3b6690bf1"/>
        <w:id w:val="433022974"/>
        <w:placeholder>
          <w:docPart w:val="GBC22222222222222222222222222222"/>
        </w:placeholder>
      </w:sdtPr>
      <w:sdtContent>
        <w:p w14:paraId="3EF04E9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403EA66" w14:textId="77777777" w:rsidR="005E000F" w:rsidRDefault="005E000F"/>
    <w:bookmarkEnd w:id="333"/>
    <w:p w14:paraId="454401FA" w14:textId="77777777" w:rsidR="005E000F" w:rsidRDefault="00000000">
      <w:r>
        <w:rPr>
          <w:rFonts w:hint="eastAsia"/>
        </w:rPr>
        <w:t>其他</w:t>
      </w:r>
      <w:r>
        <w:t>说明</w:t>
      </w:r>
      <w:r>
        <w:rPr>
          <w:rFonts w:hint="eastAsia"/>
        </w:rPr>
        <w:t>：</w:t>
      </w:r>
    </w:p>
    <w:sdt>
      <w:sdtPr>
        <w:alias w:val="是否适用：其他非流动金融资产其他说明[双击切换]"/>
        <w:tag w:val="_GBC_037912ebdd3b4e80b4b66cf88f8cb3e7"/>
        <w:id w:val="388230017"/>
        <w:placeholder>
          <w:docPart w:val="GBC22222222222222222222222222222"/>
        </w:placeholder>
      </w:sdtPr>
      <w:sdtContent>
        <w:p w14:paraId="5D0CB32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B40D4A0" w14:textId="77777777" w:rsidR="005E000F" w:rsidRDefault="005E000F">
      <w:pPr>
        <w:snapToGrid w:val="0"/>
        <w:spacing w:line="240" w:lineRule="atLeast"/>
      </w:pPr>
    </w:p>
    <w:p w14:paraId="1129DD96"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投资性房地产</w:t>
      </w:r>
    </w:p>
    <w:p w14:paraId="0E2686B5" w14:textId="77777777" w:rsidR="005E000F" w:rsidRDefault="00000000">
      <w:r>
        <w:t>投资性房地产</w:t>
      </w:r>
      <w:r>
        <w:rPr>
          <w:rFonts w:hint="eastAsia"/>
        </w:rPr>
        <w:t>计量模式</w:t>
      </w:r>
    </w:p>
    <w:p w14:paraId="770A7E9B" w14:textId="77777777" w:rsidR="005E000F" w:rsidRDefault="00000000">
      <w:pPr>
        <w:ind w:right="283"/>
        <w:rPr>
          <w:rFonts w:cstheme="minorBidi"/>
          <w:kern w:val="2"/>
        </w:rPr>
      </w:pPr>
      <w:r>
        <w:rPr>
          <w:rFonts w:cstheme="minorBidi" w:hint="eastAsia"/>
          <w:kern w:val="2"/>
        </w:rPr>
        <w:t>不</w:t>
      </w:r>
      <w:sdt>
        <w:sdtPr>
          <w:tag w:val="_PLD_04923bd149fe463fabfad2e2d6108628"/>
          <w:id w:val="713546570"/>
          <w:placeholder>
            <w:docPart w:val="GBC22222222222222222222222222222"/>
          </w:placeholder>
        </w:sdtPr>
        <w:sdtContent>
          <w:r>
            <w:rPr>
              <w:rFonts w:cstheme="minorBidi" w:hint="eastAsia"/>
              <w:kern w:val="2"/>
              <w:shd w:val="solid" w:color="FFFFFF" w:fill="auto"/>
            </w:rPr>
            <w:t>适</w:t>
          </w:r>
          <w:r>
            <w:rPr>
              <w:rFonts w:cstheme="minorBidi" w:hint="eastAsia"/>
              <w:kern w:val="2"/>
            </w:rPr>
            <w:t>用</w:t>
          </w:r>
        </w:sdtContent>
      </w:sdt>
    </w:p>
    <w:p w14:paraId="68A7EAA1" w14:textId="77777777" w:rsidR="005E000F" w:rsidRDefault="005E000F">
      <w:pPr>
        <w:ind w:right="283"/>
        <w:rPr>
          <w:rFonts w:cstheme="minorBidi"/>
          <w:kern w:val="2"/>
        </w:rPr>
      </w:pPr>
    </w:p>
    <w:p w14:paraId="0CE1191A" w14:textId="77777777" w:rsidR="005E000F" w:rsidRDefault="00000000">
      <w:pPr>
        <w:pStyle w:val="3"/>
        <w:numPr>
          <w:ilvl w:val="0"/>
          <w:numId w:val="66"/>
        </w:numPr>
        <w:tabs>
          <w:tab w:val="left" w:pos="504"/>
        </w:tabs>
        <w:rPr>
          <w:rFonts w:ascii="宋体" w:hAnsi="宋体"/>
          <w:szCs w:val="21"/>
        </w:rPr>
      </w:pPr>
      <w:bookmarkStart w:id="336" w:name="_Hlk152860822"/>
      <w:bookmarkStart w:id="337" w:name="_Hlk153460290"/>
      <w:bookmarkEnd w:id="336"/>
      <w:bookmarkEnd w:id="337"/>
      <w:r>
        <w:rPr>
          <w:rFonts w:ascii="宋体" w:hAnsi="宋体" w:hint="eastAsia"/>
          <w:szCs w:val="21"/>
        </w:rPr>
        <w:t>固定资产</w:t>
      </w:r>
    </w:p>
    <w:p w14:paraId="328CC287" w14:textId="77777777" w:rsidR="005E000F" w:rsidRDefault="00000000">
      <w:pPr>
        <w:pStyle w:val="4"/>
      </w:pPr>
      <w:bookmarkStart w:id="338" w:name="_Hlk532907583"/>
      <w:r>
        <w:rPr>
          <w:rFonts w:hint="eastAsia"/>
        </w:rPr>
        <w:t>项目列示</w:t>
      </w:r>
    </w:p>
    <w:sdt>
      <w:sdtPr>
        <w:alias w:val="是否适用：固定资产分类列示[双击切换]"/>
        <w:tag w:val="_GBC_aa56cf68790e4b9d866b3ea7d6d8073d"/>
        <w:id w:val="164288492"/>
        <w:placeholder>
          <w:docPart w:val="GBC22222222222222222222222222222"/>
        </w:placeholder>
      </w:sdtPr>
      <w:sdtContent>
        <w:p w14:paraId="5D0F84D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768171B" w14:textId="77777777" w:rsidR="005E000F" w:rsidRDefault="00000000">
      <w:pPr>
        <w:jc w:val="right"/>
      </w:pPr>
      <w:r>
        <w:rPr>
          <w:rFonts w:hint="eastAsia"/>
        </w:rPr>
        <w:t>单位：</w:t>
      </w:r>
      <w:sdt>
        <w:sdtPr>
          <w:rPr>
            <w:rFonts w:hint="eastAsia"/>
          </w:rPr>
          <w:alias w:val="单位：固定资产分类列示"/>
          <w:tag w:val="_GBC_857b5f6755c84b5aa235351580358065"/>
          <w:id w:val="-782488127"/>
          <w:placeholder>
            <w:docPart w:val="FEF732353D9043128EDB1595796E7159"/>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固定资产分类列示"/>
          <w:tag w:val="_GBC_726c882708c540a4a7832f00029fe5d4"/>
          <w:id w:val="-2101940360"/>
          <w:placeholder>
            <w:docPart w:val="FEF732353D9043128EDB1595796E7159"/>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2863"/>
        <w:gridCol w:w="2877"/>
      </w:tblGrid>
      <w:tr w:rsidR="005E000F" w14:paraId="0BC62ED9" w14:textId="77777777">
        <w:sdt>
          <w:sdtPr>
            <w:tag w:val="_PLD_a1c8e68343ee4b7fa02f5422a7fad5c0"/>
            <w:id w:val="1182401184"/>
          </w:sdtPr>
          <w:sdtContent>
            <w:tc>
              <w:tcPr>
                <w:tcW w:w="3308" w:type="dxa"/>
                <w:vAlign w:val="center"/>
              </w:tcPr>
              <w:p w14:paraId="2F4B28F9" w14:textId="77777777" w:rsidR="005E000F" w:rsidRDefault="00000000">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a7d9e039146b4c3ab8e71ba63a4ca55d"/>
            <w:id w:val="-226534923"/>
          </w:sdtPr>
          <w:sdtContent>
            <w:tc>
              <w:tcPr>
                <w:tcW w:w="2863" w:type="dxa"/>
                <w:vAlign w:val="center"/>
              </w:tcPr>
              <w:p w14:paraId="716F9AD7" w14:textId="77777777" w:rsidR="005E000F" w:rsidRDefault="00000000">
                <w:pPr>
                  <w:jc w:val="center"/>
                </w:pPr>
                <w:r>
                  <w:rPr>
                    <w:rFonts w:hint="eastAsia"/>
                  </w:rPr>
                  <w:t>期末余额</w:t>
                </w:r>
              </w:p>
            </w:tc>
          </w:sdtContent>
        </w:sdt>
        <w:sdt>
          <w:sdtPr>
            <w:tag w:val="_PLD_a075f0130f1f4334b8370490adf71764"/>
            <w:id w:val="1949971737"/>
          </w:sdtPr>
          <w:sdtContent>
            <w:tc>
              <w:tcPr>
                <w:tcW w:w="2877" w:type="dxa"/>
                <w:vAlign w:val="center"/>
              </w:tcPr>
              <w:p w14:paraId="619427C2" w14:textId="77777777" w:rsidR="005E000F" w:rsidRDefault="00000000">
                <w:pPr>
                  <w:jc w:val="center"/>
                </w:pPr>
                <w:r>
                  <w:rPr>
                    <w:rFonts w:hint="eastAsia"/>
                  </w:rPr>
                  <w:t>期初余额</w:t>
                </w:r>
              </w:p>
            </w:tc>
          </w:sdtContent>
        </w:sdt>
      </w:tr>
      <w:tr w:rsidR="005E000F" w14:paraId="3C5718B1" w14:textId="77777777">
        <w:tc>
          <w:tcPr>
            <w:tcW w:w="3308" w:type="dxa"/>
            <w:vAlign w:val="center"/>
          </w:tcPr>
          <w:p w14:paraId="4CFFE77D" w14:textId="77777777" w:rsidR="005E000F" w:rsidRDefault="00000000">
            <w:pPr>
              <w:tabs>
                <w:tab w:val="right" w:pos="3690"/>
                <w:tab w:val="right" w:pos="5130"/>
                <w:tab w:val="right" w:pos="6030"/>
                <w:tab w:val="right" w:pos="7650"/>
                <w:tab w:val="right" w:pos="9270"/>
              </w:tabs>
              <w:adjustRightInd w:val="0"/>
              <w:snapToGrid w:val="0"/>
            </w:pPr>
            <w:r>
              <w:rPr>
                <w:rFonts w:hint="eastAsia"/>
              </w:rPr>
              <w:t>固定资产</w:t>
            </w:r>
          </w:p>
        </w:tc>
        <w:tc>
          <w:tcPr>
            <w:tcW w:w="2863" w:type="dxa"/>
            <w:vAlign w:val="center"/>
          </w:tcPr>
          <w:p w14:paraId="10608A25" w14:textId="77777777" w:rsidR="005E000F" w:rsidRDefault="00000000">
            <w:pPr>
              <w:tabs>
                <w:tab w:val="right" w:pos="3690"/>
                <w:tab w:val="right" w:pos="5130"/>
                <w:tab w:val="right" w:pos="6030"/>
                <w:tab w:val="right" w:pos="7650"/>
                <w:tab w:val="right" w:pos="9270"/>
              </w:tabs>
              <w:adjustRightInd w:val="0"/>
              <w:snapToGrid w:val="0"/>
              <w:jc w:val="right"/>
            </w:pPr>
            <w:r>
              <w:t>89,697,315,060</w:t>
            </w:r>
          </w:p>
        </w:tc>
        <w:tc>
          <w:tcPr>
            <w:tcW w:w="2877" w:type="dxa"/>
            <w:vAlign w:val="center"/>
          </w:tcPr>
          <w:p w14:paraId="62A057D9" w14:textId="77777777" w:rsidR="005E000F" w:rsidRDefault="00000000">
            <w:pPr>
              <w:pStyle w:val="TableParagraph"/>
              <w:spacing w:after="0" w:line="240" w:lineRule="auto"/>
              <w:jc w:val="right"/>
              <w:rPr>
                <w:sz w:val="11"/>
              </w:rPr>
            </w:pPr>
            <w:r>
              <w:rPr>
                <w:rFonts w:ascii="Times New Roman" w:hAnsi="Times New Roman" w:cs="Times New Roman"/>
                <w:sz w:val="21"/>
              </w:rPr>
              <w:t>88,308,761,406</w:t>
            </w:r>
          </w:p>
        </w:tc>
      </w:tr>
      <w:tr w:rsidR="005E000F" w14:paraId="456982C1" w14:textId="77777777">
        <w:tc>
          <w:tcPr>
            <w:tcW w:w="3308" w:type="dxa"/>
            <w:vAlign w:val="center"/>
          </w:tcPr>
          <w:p w14:paraId="745B179D" w14:textId="77777777" w:rsidR="005E000F" w:rsidRDefault="00000000">
            <w:pPr>
              <w:tabs>
                <w:tab w:val="right" w:pos="3690"/>
                <w:tab w:val="right" w:pos="5130"/>
                <w:tab w:val="right" w:pos="6030"/>
                <w:tab w:val="right" w:pos="7650"/>
                <w:tab w:val="right" w:pos="9270"/>
              </w:tabs>
              <w:adjustRightInd w:val="0"/>
              <w:snapToGrid w:val="0"/>
            </w:pPr>
            <w:r>
              <w:rPr>
                <w:rFonts w:hint="eastAsia"/>
              </w:rPr>
              <w:t>固定资产清理</w:t>
            </w:r>
          </w:p>
        </w:tc>
        <w:tc>
          <w:tcPr>
            <w:tcW w:w="2863" w:type="dxa"/>
            <w:vAlign w:val="center"/>
          </w:tcPr>
          <w:p w14:paraId="65A5CFA7" w14:textId="77777777" w:rsidR="005E000F" w:rsidRDefault="00000000">
            <w:pPr>
              <w:tabs>
                <w:tab w:val="right" w:pos="3690"/>
                <w:tab w:val="right" w:pos="5130"/>
                <w:tab w:val="right" w:pos="6030"/>
                <w:tab w:val="right" w:pos="7650"/>
                <w:tab w:val="right" w:pos="9270"/>
              </w:tabs>
              <w:adjustRightInd w:val="0"/>
              <w:snapToGrid w:val="0"/>
              <w:jc w:val="right"/>
            </w:pPr>
            <w:r>
              <w:t>1,308,180</w:t>
            </w:r>
          </w:p>
        </w:tc>
        <w:tc>
          <w:tcPr>
            <w:tcW w:w="2877" w:type="dxa"/>
            <w:vAlign w:val="center"/>
          </w:tcPr>
          <w:p w14:paraId="251C2FFB" w14:textId="77777777" w:rsidR="005E000F" w:rsidRDefault="00000000">
            <w:pPr>
              <w:tabs>
                <w:tab w:val="right" w:pos="3690"/>
                <w:tab w:val="right" w:pos="5130"/>
                <w:tab w:val="right" w:pos="6030"/>
                <w:tab w:val="right" w:pos="7650"/>
                <w:tab w:val="right" w:pos="9270"/>
              </w:tabs>
              <w:adjustRightInd w:val="0"/>
              <w:snapToGrid w:val="0"/>
              <w:jc w:val="right"/>
            </w:pPr>
            <w:r>
              <w:rPr>
                <w:rFonts w:hint="eastAsia"/>
              </w:rPr>
              <w:t>0</w:t>
            </w:r>
          </w:p>
        </w:tc>
      </w:tr>
      <w:tr w:rsidR="005E000F" w14:paraId="12D4CCCF" w14:textId="77777777">
        <w:tc>
          <w:tcPr>
            <w:tcW w:w="3308" w:type="dxa"/>
            <w:vAlign w:val="center"/>
          </w:tcPr>
          <w:p w14:paraId="7BCA0665" w14:textId="77777777" w:rsidR="005E000F" w:rsidRDefault="00000000">
            <w:pPr>
              <w:tabs>
                <w:tab w:val="right" w:pos="3690"/>
                <w:tab w:val="right" w:pos="5130"/>
                <w:tab w:val="right" w:pos="6030"/>
                <w:tab w:val="right" w:pos="7650"/>
                <w:tab w:val="right" w:pos="9270"/>
              </w:tabs>
              <w:adjustRightInd w:val="0"/>
              <w:snapToGrid w:val="0"/>
              <w:jc w:val="center"/>
            </w:pPr>
            <w:r>
              <w:rPr>
                <w:rFonts w:hint="eastAsia"/>
              </w:rPr>
              <w:t>合计</w:t>
            </w:r>
          </w:p>
        </w:tc>
        <w:tc>
          <w:tcPr>
            <w:tcW w:w="2863" w:type="dxa"/>
            <w:vAlign w:val="center"/>
          </w:tcPr>
          <w:p w14:paraId="10643A32" w14:textId="77777777" w:rsidR="005E000F" w:rsidRDefault="00000000">
            <w:pPr>
              <w:tabs>
                <w:tab w:val="right" w:pos="3690"/>
                <w:tab w:val="right" w:pos="5130"/>
                <w:tab w:val="right" w:pos="6030"/>
                <w:tab w:val="right" w:pos="7650"/>
                <w:tab w:val="right" w:pos="9270"/>
              </w:tabs>
              <w:adjustRightInd w:val="0"/>
              <w:snapToGrid w:val="0"/>
              <w:jc w:val="right"/>
            </w:pPr>
            <w:r>
              <w:t>89,698,623,240</w:t>
            </w:r>
          </w:p>
        </w:tc>
        <w:tc>
          <w:tcPr>
            <w:tcW w:w="2877" w:type="dxa"/>
            <w:vAlign w:val="center"/>
          </w:tcPr>
          <w:p w14:paraId="70193A0C" w14:textId="77777777" w:rsidR="005E000F" w:rsidRDefault="00000000">
            <w:pPr>
              <w:tabs>
                <w:tab w:val="right" w:pos="3690"/>
                <w:tab w:val="right" w:pos="5130"/>
                <w:tab w:val="right" w:pos="6030"/>
                <w:tab w:val="right" w:pos="7650"/>
                <w:tab w:val="right" w:pos="9270"/>
              </w:tabs>
              <w:adjustRightInd w:val="0"/>
              <w:snapToGrid w:val="0"/>
              <w:jc w:val="right"/>
            </w:pPr>
            <w:r>
              <w:rPr>
                <w:szCs w:val="22"/>
              </w:rPr>
              <w:t>88,308,761,406</w:t>
            </w:r>
          </w:p>
        </w:tc>
      </w:tr>
    </w:tbl>
    <w:p w14:paraId="08C1CACA" w14:textId="77777777" w:rsidR="005E000F" w:rsidRDefault="005E000F"/>
    <w:p w14:paraId="0D8D5398" w14:textId="77777777" w:rsidR="005E000F" w:rsidRDefault="005E000F">
      <w:pPr>
        <w:rPr>
          <w:b/>
        </w:rPr>
      </w:pPr>
    </w:p>
    <w:bookmarkEnd w:id="338"/>
    <w:p w14:paraId="01CCA824" w14:textId="77777777" w:rsidR="005E000F" w:rsidRDefault="00000000">
      <w:r>
        <w:rPr>
          <w:rFonts w:hint="eastAsia"/>
        </w:rPr>
        <w:t>其他说明：</w:t>
      </w:r>
    </w:p>
    <w:sdt>
      <w:sdtPr>
        <w:alias w:val="是否适用：固定资产分类列示其他说明[双击切换]"/>
        <w:tag w:val="_GBC_242c272ba3a1435aacea1f45ade5a2e0"/>
        <w:id w:val="1612782217"/>
        <w:placeholder>
          <w:docPart w:val="GBC22222222222222222222222222222"/>
        </w:placeholder>
      </w:sdtPr>
      <w:sdtContent>
        <w:p w14:paraId="235B303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C557E3A" w14:textId="77777777" w:rsidR="005E000F" w:rsidRDefault="005E000F">
      <w:pPr>
        <w:sectPr w:rsidR="005E000F">
          <w:pgSz w:w="11906" w:h="16838"/>
          <w:pgMar w:top="1440" w:right="1797" w:bottom="1525" w:left="1276" w:header="856" w:footer="992" w:gutter="0"/>
          <w:cols w:space="425"/>
          <w:docGrid w:linePitch="312"/>
        </w:sectPr>
      </w:pPr>
    </w:p>
    <w:p w14:paraId="76D87C84" w14:textId="77777777" w:rsidR="005E000F" w:rsidRDefault="005E000F"/>
    <w:p w14:paraId="6A2DC11F" w14:textId="77777777" w:rsidR="005E000F" w:rsidRDefault="00000000">
      <w:pPr>
        <w:pStyle w:val="4"/>
        <w:ind w:left="360" w:hanging="360"/>
      </w:pPr>
      <w:r>
        <w:rPr>
          <w:rFonts w:hint="eastAsia"/>
        </w:rPr>
        <w:t>固定资产</w:t>
      </w:r>
    </w:p>
    <w:p w14:paraId="7856B520" w14:textId="77777777" w:rsidR="005E000F" w:rsidRDefault="00000000">
      <w:pPr>
        <w:pStyle w:val="5"/>
        <w:numPr>
          <w:ilvl w:val="0"/>
          <w:numId w:val="81"/>
        </w:numPr>
        <w:ind w:leftChars="0"/>
        <w:rPr>
          <w:szCs w:val="21"/>
        </w:rPr>
      </w:pPr>
      <w:r>
        <w:rPr>
          <w:rFonts w:hint="eastAsia"/>
        </w:rPr>
        <w:t>固定资产情况</w:t>
      </w:r>
    </w:p>
    <w:sdt>
      <w:sdtPr>
        <w:alias w:val="是否适用：固定资产情况[双击切换]"/>
        <w:tag w:val="_GBC_a44afb7019ae43b7a273970cf76154a3"/>
        <w:id w:val="-202093154"/>
        <w:placeholder>
          <w:docPart w:val="GBC22222222222222222222222222222"/>
        </w:placeholder>
      </w:sdtPr>
      <w:sdtContent>
        <w:p w14:paraId="316F77E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C5876C6" w14:textId="77777777" w:rsidR="005E000F" w:rsidRDefault="00000000">
      <w:pPr>
        <w:autoSpaceDE w:val="0"/>
        <w:autoSpaceDN w:val="0"/>
        <w:adjustRightInd w:val="0"/>
        <w:jc w:val="right"/>
      </w:pPr>
      <w:r>
        <w:rPr>
          <w:rFonts w:hint="eastAsia"/>
        </w:rPr>
        <w:t>单位：</w:t>
      </w:r>
      <w:sdt>
        <w:sdtPr>
          <w:rPr>
            <w:rFonts w:hint="eastAsia"/>
          </w:rPr>
          <w:alias w:val="单位：财务附注：固定资产情况"/>
          <w:tag w:val="_GBC_6aff6dff3e7c47e2891bcccce5ef5b8c"/>
          <w:id w:val="-3699143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固定资产情况"/>
          <w:tag w:val="_GBC_acfb726ad8bc4e37a6326a98b903d495"/>
          <w:id w:val="-12993711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245"/>
        <w:gridCol w:w="1133"/>
        <w:gridCol w:w="1131"/>
        <w:gridCol w:w="1418"/>
        <w:gridCol w:w="1134"/>
        <w:gridCol w:w="1277"/>
        <w:gridCol w:w="1131"/>
        <w:gridCol w:w="990"/>
        <w:gridCol w:w="1134"/>
        <w:gridCol w:w="1275"/>
        <w:gridCol w:w="1117"/>
        <w:gridCol w:w="1114"/>
      </w:tblGrid>
      <w:tr w:rsidR="005E000F" w14:paraId="600C7EE4" w14:textId="77777777">
        <w:sdt>
          <w:sdtPr>
            <w:rPr>
              <w:sz w:val="13"/>
              <w:szCs w:val="13"/>
            </w:rPr>
            <w:tag w:val="_PLD_0431b88b9ff14ebb90e5715c273e1c1d"/>
            <w:id w:val="1501243847"/>
          </w:sdtPr>
          <w:sdtContent>
            <w:tc>
              <w:tcPr>
                <w:tcW w:w="442" w:type="pct"/>
                <w:vAlign w:val="center"/>
              </w:tcPr>
              <w:p w14:paraId="08D13BD6" w14:textId="77777777" w:rsidR="005E000F" w:rsidRDefault="00000000">
                <w:pPr>
                  <w:jc w:val="center"/>
                  <w:rPr>
                    <w:sz w:val="13"/>
                    <w:szCs w:val="13"/>
                  </w:rPr>
                </w:pPr>
                <w:r>
                  <w:rPr>
                    <w:rFonts w:hint="eastAsia"/>
                    <w:sz w:val="13"/>
                    <w:szCs w:val="13"/>
                  </w:rPr>
                  <w:t>项目</w:t>
                </w:r>
              </w:p>
            </w:tc>
          </w:sdtContent>
        </w:sdt>
        <w:sdt>
          <w:sdtPr>
            <w:rPr>
              <w:rFonts w:hint="eastAsia"/>
              <w:sz w:val="13"/>
              <w:szCs w:val="13"/>
            </w:rPr>
            <w:alias w:val="固定资产情况明细-项目名称"/>
            <w:tag w:val="_GBC_d421638fcfb34bbba0e548b4cb719a06"/>
            <w:id w:val="407353093"/>
            <w:text/>
          </w:sdtPr>
          <w:sdtContent>
            <w:tc>
              <w:tcPr>
                <w:tcW w:w="402" w:type="pct"/>
                <w:vAlign w:val="center"/>
              </w:tcPr>
              <w:p w14:paraId="5DF1332B" w14:textId="77777777" w:rsidR="005E000F" w:rsidRDefault="00000000">
                <w:pPr>
                  <w:jc w:val="center"/>
                  <w:rPr>
                    <w:sz w:val="13"/>
                    <w:szCs w:val="13"/>
                  </w:rPr>
                </w:pPr>
                <w:r>
                  <w:rPr>
                    <w:rFonts w:hint="eastAsia"/>
                    <w:sz w:val="13"/>
                    <w:szCs w:val="13"/>
                  </w:rPr>
                  <w:t>房屋建筑物</w:t>
                </w:r>
              </w:p>
            </w:tc>
          </w:sdtContent>
        </w:sdt>
        <w:sdt>
          <w:sdtPr>
            <w:rPr>
              <w:rFonts w:hint="eastAsia"/>
              <w:sz w:val="13"/>
              <w:szCs w:val="13"/>
            </w:rPr>
            <w:alias w:val="固定资产情况明细-项目名称"/>
            <w:tag w:val="_GBC_d421638fcfb34bbba0e548b4cb719a06"/>
            <w:id w:val="-1706247212"/>
            <w:text/>
          </w:sdtPr>
          <w:sdtContent>
            <w:tc>
              <w:tcPr>
                <w:tcW w:w="401" w:type="pct"/>
                <w:vAlign w:val="center"/>
              </w:tcPr>
              <w:p w14:paraId="0944DBD4" w14:textId="77777777" w:rsidR="005E000F" w:rsidRDefault="00000000">
                <w:pPr>
                  <w:jc w:val="center"/>
                  <w:rPr>
                    <w:sz w:val="13"/>
                    <w:szCs w:val="13"/>
                  </w:rPr>
                </w:pPr>
                <w:r>
                  <w:rPr>
                    <w:rFonts w:hint="eastAsia"/>
                    <w:sz w:val="13"/>
                    <w:szCs w:val="13"/>
                  </w:rPr>
                  <w:t>机车车辆</w:t>
                </w:r>
              </w:p>
            </w:tc>
          </w:sdtContent>
        </w:sdt>
        <w:sdt>
          <w:sdtPr>
            <w:rPr>
              <w:rFonts w:hint="eastAsia"/>
              <w:sz w:val="13"/>
              <w:szCs w:val="13"/>
            </w:rPr>
            <w:alias w:val="固定资产情况明细-项目名称"/>
            <w:tag w:val="_GBC_d421638fcfb34bbba0e548b4cb719a06"/>
            <w:id w:val="657664208"/>
            <w:text/>
          </w:sdtPr>
          <w:sdtContent>
            <w:tc>
              <w:tcPr>
                <w:tcW w:w="503" w:type="pct"/>
                <w:vAlign w:val="center"/>
              </w:tcPr>
              <w:p w14:paraId="31B21A60" w14:textId="77777777" w:rsidR="005E000F" w:rsidRDefault="00000000">
                <w:pPr>
                  <w:jc w:val="center"/>
                  <w:rPr>
                    <w:sz w:val="13"/>
                    <w:szCs w:val="13"/>
                  </w:rPr>
                </w:pPr>
                <w:r>
                  <w:rPr>
                    <w:rFonts w:hint="eastAsia"/>
                    <w:sz w:val="13"/>
                    <w:szCs w:val="13"/>
                  </w:rPr>
                  <w:t>路基、桥梁、隧道、道口、涵、轨道、道岔和其他线路资产</w:t>
                </w:r>
              </w:p>
            </w:tc>
          </w:sdtContent>
        </w:sdt>
        <w:sdt>
          <w:sdtPr>
            <w:rPr>
              <w:rFonts w:hint="eastAsia"/>
              <w:sz w:val="13"/>
              <w:szCs w:val="13"/>
            </w:rPr>
            <w:alias w:val="固定资产情况明细-项目名称"/>
            <w:tag w:val="_GBC_d421638fcfb34bbba0e548b4cb719a06"/>
            <w:id w:val="110556911"/>
            <w:text/>
          </w:sdtPr>
          <w:sdtContent>
            <w:tc>
              <w:tcPr>
                <w:tcW w:w="402" w:type="pct"/>
                <w:vAlign w:val="center"/>
              </w:tcPr>
              <w:p w14:paraId="18AA9DDC" w14:textId="77777777" w:rsidR="005E000F" w:rsidRDefault="00000000">
                <w:pPr>
                  <w:jc w:val="center"/>
                  <w:rPr>
                    <w:sz w:val="13"/>
                    <w:szCs w:val="13"/>
                  </w:rPr>
                </w:pPr>
                <w:r>
                  <w:rPr>
                    <w:rFonts w:hint="eastAsia"/>
                    <w:sz w:val="13"/>
                    <w:szCs w:val="13"/>
                  </w:rPr>
                  <w:t>通信信号设备</w:t>
                </w:r>
              </w:p>
            </w:tc>
          </w:sdtContent>
        </w:sdt>
        <w:sdt>
          <w:sdtPr>
            <w:rPr>
              <w:rFonts w:hint="eastAsia"/>
              <w:sz w:val="13"/>
              <w:szCs w:val="13"/>
            </w:rPr>
            <w:alias w:val="固定资产情况明细-项目名称"/>
            <w:tag w:val="_GBC_d421638fcfb34bbba0e548b4cb719a06"/>
            <w:id w:val="-1403973018"/>
            <w:text/>
          </w:sdtPr>
          <w:sdtContent>
            <w:tc>
              <w:tcPr>
                <w:tcW w:w="453" w:type="pct"/>
                <w:vAlign w:val="center"/>
              </w:tcPr>
              <w:p w14:paraId="6476B140" w14:textId="77777777" w:rsidR="005E000F" w:rsidRDefault="00000000">
                <w:pPr>
                  <w:jc w:val="center"/>
                  <w:rPr>
                    <w:sz w:val="13"/>
                    <w:szCs w:val="13"/>
                  </w:rPr>
                </w:pPr>
                <w:r>
                  <w:rPr>
                    <w:rFonts w:hint="eastAsia"/>
                    <w:sz w:val="13"/>
                    <w:szCs w:val="13"/>
                  </w:rPr>
                  <w:t>电气化供电系统</w:t>
                </w:r>
              </w:p>
            </w:tc>
          </w:sdtContent>
        </w:sdt>
        <w:sdt>
          <w:sdtPr>
            <w:rPr>
              <w:rFonts w:hint="eastAsia"/>
              <w:sz w:val="13"/>
              <w:szCs w:val="13"/>
            </w:rPr>
            <w:alias w:val="固定资产情况明细-项目名称"/>
            <w:tag w:val="_GBC_d421638fcfb34bbba0e548b4cb719a06"/>
            <w:id w:val="944497719"/>
            <w:text/>
          </w:sdtPr>
          <w:sdtContent>
            <w:tc>
              <w:tcPr>
                <w:tcW w:w="401" w:type="pct"/>
                <w:vAlign w:val="center"/>
              </w:tcPr>
              <w:p w14:paraId="387AC429" w14:textId="77777777" w:rsidR="005E000F" w:rsidRDefault="00000000">
                <w:pPr>
                  <w:jc w:val="center"/>
                  <w:rPr>
                    <w:sz w:val="13"/>
                    <w:szCs w:val="13"/>
                  </w:rPr>
                </w:pPr>
                <w:r>
                  <w:rPr>
                    <w:rFonts w:hint="eastAsia"/>
                    <w:sz w:val="13"/>
                    <w:szCs w:val="13"/>
                  </w:rPr>
                  <w:t>机械动力设备</w:t>
                </w:r>
              </w:p>
            </w:tc>
          </w:sdtContent>
        </w:sdt>
        <w:sdt>
          <w:sdtPr>
            <w:rPr>
              <w:rFonts w:hint="eastAsia"/>
              <w:sz w:val="13"/>
              <w:szCs w:val="13"/>
            </w:rPr>
            <w:alias w:val="固定资产情况明细-项目名称"/>
            <w:tag w:val="_GBC_d421638fcfb34bbba0e548b4cb719a06"/>
            <w:id w:val="-1882774476"/>
            <w:text/>
          </w:sdtPr>
          <w:sdtContent>
            <w:tc>
              <w:tcPr>
                <w:tcW w:w="351" w:type="pct"/>
                <w:vAlign w:val="center"/>
              </w:tcPr>
              <w:p w14:paraId="58C41F8D" w14:textId="77777777" w:rsidR="005E000F" w:rsidRDefault="00000000">
                <w:pPr>
                  <w:jc w:val="center"/>
                  <w:rPr>
                    <w:sz w:val="13"/>
                    <w:szCs w:val="13"/>
                  </w:rPr>
                </w:pPr>
                <w:r>
                  <w:rPr>
                    <w:rFonts w:hint="eastAsia"/>
                    <w:sz w:val="13"/>
                    <w:szCs w:val="13"/>
                  </w:rPr>
                  <w:t>运输设备</w:t>
                </w:r>
              </w:p>
            </w:tc>
          </w:sdtContent>
        </w:sdt>
        <w:sdt>
          <w:sdtPr>
            <w:rPr>
              <w:rFonts w:hint="eastAsia"/>
              <w:sz w:val="13"/>
              <w:szCs w:val="13"/>
            </w:rPr>
            <w:alias w:val="固定资产情况明细-项目名称"/>
            <w:tag w:val="_GBC_d421638fcfb34bbba0e548b4cb719a06"/>
            <w:id w:val="656117984"/>
            <w:text/>
          </w:sdtPr>
          <w:sdtContent>
            <w:tc>
              <w:tcPr>
                <w:tcW w:w="402" w:type="pct"/>
                <w:vAlign w:val="center"/>
              </w:tcPr>
              <w:p w14:paraId="76FB4913" w14:textId="77777777" w:rsidR="005E000F" w:rsidRDefault="00000000">
                <w:pPr>
                  <w:jc w:val="center"/>
                  <w:rPr>
                    <w:sz w:val="13"/>
                    <w:szCs w:val="13"/>
                  </w:rPr>
                </w:pPr>
                <w:r>
                  <w:rPr>
                    <w:rFonts w:hint="eastAsia"/>
                    <w:sz w:val="13"/>
                    <w:szCs w:val="13"/>
                  </w:rPr>
                  <w:t>传导设备</w:t>
                </w:r>
              </w:p>
            </w:tc>
          </w:sdtContent>
        </w:sdt>
        <w:sdt>
          <w:sdtPr>
            <w:rPr>
              <w:rFonts w:hint="eastAsia"/>
              <w:sz w:val="13"/>
              <w:szCs w:val="13"/>
            </w:rPr>
            <w:alias w:val="固定资产情况明细-项目名称"/>
            <w:tag w:val="_GBC_d421638fcfb34bbba0e548b4cb719a06"/>
            <w:id w:val="1305972514"/>
            <w:text/>
          </w:sdtPr>
          <w:sdtContent>
            <w:tc>
              <w:tcPr>
                <w:tcW w:w="452" w:type="pct"/>
                <w:vAlign w:val="center"/>
              </w:tcPr>
              <w:p w14:paraId="212F4A7A" w14:textId="77777777" w:rsidR="005E000F" w:rsidRDefault="00000000">
                <w:pPr>
                  <w:jc w:val="center"/>
                  <w:rPr>
                    <w:sz w:val="13"/>
                    <w:szCs w:val="13"/>
                  </w:rPr>
                </w:pPr>
                <w:r>
                  <w:rPr>
                    <w:rFonts w:hint="eastAsia"/>
                    <w:sz w:val="13"/>
                    <w:szCs w:val="13"/>
                  </w:rPr>
                  <w:t>仪器仪表及信息技术设备</w:t>
                </w:r>
              </w:p>
            </w:tc>
          </w:sdtContent>
        </w:sdt>
        <w:sdt>
          <w:sdtPr>
            <w:rPr>
              <w:rFonts w:hint="eastAsia"/>
              <w:sz w:val="13"/>
              <w:szCs w:val="13"/>
            </w:rPr>
            <w:alias w:val="固定资产情况明细-项目名称"/>
            <w:tag w:val="_GBC_d421638fcfb34bbba0e548b4cb719a06"/>
            <w:id w:val="2065064051"/>
            <w:text/>
          </w:sdtPr>
          <w:sdtContent>
            <w:tc>
              <w:tcPr>
                <w:tcW w:w="396" w:type="pct"/>
                <w:vAlign w:val="center"/>
              </w:tcPr>
              <w:p w14:paraId="2E48E571" w14:textId="77777777" w:rsidR="005E000F" w:rsidRDefault="00000000">
                <w:pPr>
                  <w:jc w:val="center"/>
                  <w:rPr>
                    <w:sz w:val="13"/>
                    <w:szCs w:val="13"/>
                  </w:rPr>
                </w:pPr>
                <w:r>
                  <w:rPr>
                    <w:rFonts w:hint="eastAsia"/>
                    <w:sz w:val="13"/>
                    <w:szCs w:val="13"/>
                  </w:rPr>
                  <w:t>工具及器具</w:t>
                </w:r>
              </w:p>
            </w:tc>
          </w:sdtContent>
        </w:sdt>
        <w:sdt>
          <w:sdtPr>
            <w:rPr>
              <w:sz w:val="13"/>
              <w:szCs w:val="13"/>
            </w:rPr>
            <w:tag w:val="_PLD_44989fc4cd3d46cc990c4d1941405a11"/>
            <w:id w:val="2023820036"/>
          </w:sdtPr>
          <w:sdtContent>
            <w:tc>
              <w:tcPr>
                <w:tcW w:w="395" w:type="pct"/>
                <w:vAlign w:val="center"/>
              </w:tcPr>
              <w:p w14:paraId="3D96DF97" w14:textId="77777777" w:rsidR="005E000F" w:rsidRDefault="00000000">
                <w:pPr>
                  <w:jc w:val="center"/>
                  <w:rPr>
                    <w:sz w:val="13"/>
                    <w:szCs w:val="13"/>
                  </w:rPr>
                </w:pPr>
                <w:r>
                  <w:rPr>
                    <w:rFonts w:hint="eastAsia"/>
                    <w:sz w:val="13"/>
                    <w:szCs w:val="13"/>
                  </w:rPr>
                  <w:t>合计</w:t>
                </w:r>
              </w:p>
            </w:tc>
          </w:sdtContent>
        </w:sdt>
      </w:tr>
      <w:tr w:rsidR="005E000F" w14:paraId="1EA445E2" w14:textId="77777777">
        <w:sdt>
          <w:sdtPr>
            <w:rPr>
              <w:sz w:val="13"/>
              <w:szCs w:val="13"/>
            </w:rPr>
            <w:tag w:val="_PLD_baa91289996942f0a3579319b339b24d"/>
            <w:id w:val="-299769671"/>
          </w:sdtPr>
          <w:sdtContent>
            <w:tc>
              <w:tcPr>
                <w:tcW w:w="5000" w:type="pct"/>
                <w:gridSpan w:val="12"/>
                <w:vAlign w:val="center"/>
              </w:tcPr>
              <w:p w14:paraId="5A6CE544" w14:textId="77777777" w:rsidR="005E000F" w:rsidRDefault="00000000">
                <w:pPr>
                  <w:rPr>
                    <w:sz w:val="13"/>
                    <w:szCs w:val="13"/>
                  </w:rPr>
                </w:pPr>
                <w:r>
                  <w:rPr>
                    <w:rFonts w:hint="eastAsia"/>
                    <w:sz w:val="13"/>
                    <w:szCs w:val="13"/>
                  </w:rPr>
                  <w:t>一、账面原值：</w:t>
                </w:r>
              </w:p>
            </w:tc>
          </w:sdtContent>
        </w:sdt>
      </w:tr>
      <w:tr w:rsidR="005E000F" w14:paraId="07F29E46" w14:textId="77777777">
        <w:sdt>
          <w:sdtPr>
            <w:rPr>
              <w:sz w:val="13"/>
              <w:szCs w:val="13"/>
            </w:rPr>
            <w:tag w:val="_PLD_8e55a39d9b04404cba08570c8d73eda8"/>
            <w:id w:val="2139983505"/>
          </w:sdtPr>
          <w:sdtContent>
            <w:tc>
              <w:tcPr>
                <w:tcW w:w="442" w:type="pct"/>
                <w:vAlign w:val="center"/>
              </w:tcPr>
              <w:p w14:paraId="1F19C353" w14:textId="77777777" w:rsidR="005E000F" w:rsidRDefault="00000000">
                <w:pPr>
                  <w:ind w:firstLineChars="200" w:firstLine="260"/>
                  <w:rPr>
                    <w:sz w:val="13"/>
                    <w:szCs w:val="13"/>
                  </w:rPr>
                </w:pPr>
                <w:r>
                  <w:rPr>
                    <w:sz w:val="13"/>
                    <w:szCs w:val="13"/>
                  </w:rPr>
                  <w:t>1.</w:t>
                </w:r>
                <w:r>
                  <w:rPr>
                    <w:rFonts w:hint="eastAsia"/>
                    <w:sz w:val="13"/>
                    <w:szCs w:val="13"/>
                  </w:rPr>
                  <w:t>期初余额</w:t>
                </w:r>
              </w:p>
            </w:tc>
          </w:sdtContent>
        </w:sdt>
        <w:tc>
          <w:tcPr>
            <w:tcW w:w="402" w:type="pct"/>
            <w:vAlign w:val="center"/>
          </w:tcPr>
          <w:p w14:paraId="3A6700EC" w14:textId="77777777" w:rsidR="005E000F" w:rsidRDefault="00000000">
            <w:pPr>
              <w:jc w:val="right"/>
              <w:rPr>
                <w:sz w:val="13"/>
                <w:szCs w:val="13"/>
              </w:rPr>
            </w:pPr>
            <w:r>
              <w:rPr>
                <w:sz w:val="13"/>
                <w:szCs w:val="13"/>
              </w:rPr>
              <w:t>14,817,779,336</w:t>
            </w:r>
          </w:p>
        </w:tc>
        <w:tc>
          <w:tcPr>
            <w:tcW w:w="401" w:type="pct"/>
            <w:vAlign w:val="center"/>
          </w:tcPr>
          <w:p w14:paraId="1C9B394D" w14:textId="77777777" w:rsidR="005E000F" w:rsidRDefault="00000000">
            <w:pPr>
              <w:jc w:val="right"/>
              <w:rPr>
                <w:sz w:val="13"/>
                <w:szCs w:val="13"/>
              </w:rPr>
            </w:pPr>
            <w:r>
              <w:rPr>
                <w:sz w:val="13"/>
                <w:szCs w:val="13"/>
              </w:rPr>
              <w:t>38,163,273,573</w:t>
            </w:r>
          </w:p>
        </w:tc>
        <w:tc>
          <w:tcPr>
            <w:tcW w:w="503" w:type="pct"/>
            <w:vAlign w:val="center"/>
          </w:tcPr>
          <w:p w14:paraId="09F1F11A" w14:textId="77777777" w:rsidR="005E000F" w:rsidRDefault="00000000">
            <w:pPr>
              <w:jc w:val="right"/>
              <w:rPr>
                <w:sz w:val="13"/>
                <w:szCs w:val="13"/>
              </w:rPr>
            </w:pPr>
            <w:r>
              <w:rPr>
                <w:sz w:val="13"/>
                <w:szCs w:val="13"/>
              </w:rPr>
              <w:t>62,254,070,061</w:t>
            </w:r>
          </w:p>
        </w:tc>
        <w:tc>
          <w:tcPr>
            <w:tcW w:w="402" w:type="pct"/>
            <w:vAlign w:val="center"/>
          </w:tcPr>
          <w:p w14:paraId="21BB39C7" w14:textId="77777777" w:rsidR="005E000F" w:rsidRDefault="00000000">
            <w:pPr>
              <w:jc w:val="right"/>
              <w:rPr>
                <w:sz w:val="13"/>
                <w:szCs w:val="13"/>
              </w:rPr>
            </w:pPr>
            <w:r>
              <w:rPr>
                <w:sz w:val="13"/>
                <w:szCs w:val="13"/>
              </w:rPr>
              <w:t>10,071,540,225</w:t>
            </w:r>
          </w:p>
        </w:tc>
        <w:tc>
          <w:tcPr>
            <w:tcW w:w="453" w:type="pct"/>
            <w:vAlign w:val="center"/>
          </w:tcPr>
          <w:p w14:paraId="26A45E23" w14:textId="77777777" w:rsidR="005E000F" w:rsidRDefault="00000000">
            <w:pPr>
              <w:jc w:val="right"/>
              <w:rPr>
                <w:sz w:val="13"/>
                <w:szCs w:val="13"/>
              </w:rPr>
            </w:pPr>
            <w:r>
              <w:rPr>
                <w:sz w:val="13"/>
                <w:szCs w:val="13"/>
              </w:rPr>
              <w:t>7,917,601,008</w:t>
            </w:r>
          </w:p>
        </w:tc>
        <w:tc>
          <w:tcPr>
            <w:tcW w:w="401" w:type="pct"/>
            <w:vAlign w:val="center"/>
          </w:tcPr>
          <w:p w14:paraId="0ABC2C33" w14:textId="77777777" w:rsidR="005E000F" w:rsidRDefault="00000000">
            <w:pPr>
              <w:jc w:val="right"/>
              <w:rPr>
                <w:sz w:val="13"/>
                <w:szCs w:val="13"/>
              </w:rPr>
            </w:pPr>
            <w:r>
              <w:rPr>
                <w:sz w:val="13"/>
                <w:szCs w:val="13"/>
              </w:rPr>
              <w:t>2,100,358,367</w:t>
            </w:r>
          </w:p>
        </w:tc>
        <w:tc>
          <w:tcPr>
            <w:tcW w:w="351" w:type="pct"/>
            <w:vAlign w:val="center"/>
          </w:tcPr>
          <w:p w14:paraId="6FF85EF1" w14:textId="77777777" w:rsidR="005E000F" w:rsidRDefault="00000000">
            <w:pPr>
              <w:jc w:val="right"/>
              <w:rPr>
                <w:sz w:val="13"/>
                <w:szCs w:val="13"/>
              </w:rPr>
            </w:pPr>
            <w:r>
              <w:rPr>
                <w:sz w:val="13"/>
                <w:szCs w:val="13"/>
              </w:rPr>
              <w:t>921,083,400</w:t>
            </w:r>
          </w:p>
        </w:tc>
        <w:tc>
          <w:tcPr>
            <w:tcW w:w="402" w:type="pct"/>
            <w:vAlign w:val="center"/>
          </w:tcPr>
          <w:p w14:paraId="265F2928" w14:textId="77777777" w:rsidR="005E000F" w:rsidRDefault="00000000">
            <w:pPr>
              <w:jc w:val="right"/>
              <w:rPr>
                <w:sz w:val="13"/>
                <w:szCs w:val="13"/>
              </w:rPr>
            </w:pPr>
            <w:r>
              <w:rPr>
                <w:sz w:val="13"/>
                <w:szCs w:val="13"/>
              </w:rPr>
              <w:t>3,251,005,670</w:t>
            </w:r>
          </w:p>
        </w:tc>
        <w:tc>
          <w:tcPr>
            <w:tcW w:w="452" w:type="pct"/>
            <w:vAlign w:val="center"/>
          </w:tcPr>
          <w:p w14:paraId="2BBAA2B3" w14:textId="77777777" w:rsidR="005E000F" w:rsidRDefault="00000000">
            <w:pPr>
              <w:jc w:val="right"/>
              <w:rPr>
                <w:sz w:val="13"/>
                <w:szCs w:val="13"/>
              </w:rPr>
            </w:pPr>
            <w:r>
              <w:rPr>
                <w:sz w:val="13"/>
                <w:szCs w:val="13"/>
              </w:rPr>
              <w:t>4,573,538,825</w:t>
            </w:r>
          </w:p>
        </w:tc>
        <w:tc>
          <w:tcPr>
            <w:tcW w:w="396" w:type="pct"/>
            <w:vAlign w:val="center"/>
          </w:tcPr>
          <w:p w14:paraId="3200653A" w14:textId="77777777" w:rsidR="005E000F" w:rsidRDefault="00000000">
            <w:pPr>
              <w:jc w:val="right"/>
              <w:rPr>
                <w:sz w:val="13"/>
                <w:szCs w:val="13"/>
              </w:rPr>
            </w:pPr>
            <w:r>
              <w:rPr>
                <w:sz w:val="13"/>
                <w:szCs w:val="13"/>
              </w:rPr>
              <w:t>935,217,668</w:t>
            </w:r>
          </w:p>
        </w:tc>
        <w:tc>
          <w:tcPr>
            <w:tcW w:w="395" w:type="pct"/>
            <w:vAlign w:val="center"/>
          </w:tcPr>
          <w:p w14:paraId="54381E63" w14:textId="77777777" w:rsidR="005E000F" w:rsidRDefault="00000000">
            <w:pPr>
              <w:jc w:val="right"/>
              <w:rPr>
                <w:sz w:val="13"/>
                <w:szCs w:val="13"/>
              </w:rPr>
            </w:pPr>
            <w:r>
              <w:rPr>
                <w:sz w:val="13"/>
                <w:szCs w:val="13"/>
              </w:rPr>
              <w:t>145,005,468,133</w:t>
            </w:r>
          </w:p>
        </w:tc>
      </w:tr>
      <w:tr w:rsidR="005E000F" w14:paraId="67FCFD2F" w14:textId="77777777">
        <w:sdt>
          <w:sdtPr>
            <w:rPr>
              <w:sz w:val="13"/>
              <w:szCs w:val="13"/>
            </w:rPr>
            <w:tag w:val="_PLD_5d0a6e7657e6410e9c0550f674185af8"/>
            <w:id w:val="-362752376"/>
          </w:sdtPr>
          <w:sdtContent>
            <w:tc>
              <w:tcPr>
                <w:tcW w:w="442" w:type="pct"/>
                <w:vAlign w:val="center"/>
              </w:tcPr>
              <w:p w14:paraId="01AEA2E6" w14:textId="77777777" w:rsidR="005E000F" w:rsidRDefault="00000000">
                <w:pPr>
                  <w:ind w:firstLineChars="200" w:firstLine="260"/>
                  <w:rPr>
                    <w:sz w:val="13"/>
                    <w:szCs w:val="13"/>
                  </w:rPr>
                </w:pPr>
                <w:r>
                  <w:rPr>
                    <w:sz w:val="13"/>
                    <w:szCs w:val="13"/>
                  </w:rPr>
                  <w:t>2.</w:t>
                </w:r>
                <w:r>
                  <w:rPr>
                    <w:rFonts w:hint="eastAsia"/>
                    <w:sz w:val="13"/>
                    <w:szCs w:val="13"/>
                  </w:rPr>
                  <w:t>本期增加金额</w:t>
                </w:r>
              </w:p>
            </w:tc>
          </w:sdtContent>
        </w:sdt>
        <w:tc>
          <w:tcPr>
            <w:tcW w:w="402" w:type="pct"/>
            <w:vAlign w:val="center"/>
          </w:tcPr>
          <w:p w14:paraId="23ABFF43" w14:textId="77777777" w:rsidR="005E000F" w:rsidRDefault="00000000">
            <w:pPr>
              <w:jc w:val="right"/>
              <w:rPr>
                <w:sz w:val="13"/>
                <w:szCs w:val="13"/>
              </w:rPr>
            </w:pPr>
            <w:r>
              <w:rPr>
                <w:sz w:val="13"/>
                <w:szCs w:val="13"/>
              </w:rPr>
              <w:t>763,618,469</w:t>
            </w:r>
          </w:p>
        </w:tc>
        <w:tc>
          <w:tcPr>
            <w:tcW w:w="401" w:type="pct"/>
            <w:vAlign w:val="center"/>
          </w:tcPr>
          <w:p w14:paraId="186C7F8B" w14:textId="77777777" w:rsidR="005E000F" w:rsidRDefault="00000000">
            <w:pPr>
              <w:jc w:val="right"/>
              <w:rPr>
                <w:sz w:val="13"/>
                <w:szCs w:val="13"/>
              </w:rPr>
            </w:pPr>
            <w:r>
              <w:rPr>
                <w:sz w:val="13"/>
                <w:szCs w:val="13"/>
              </w:rPr>
              <w:t>7,885,509,628</w:t>
            </w:r>
          </w:p>
        </w:tc>
        <w:tc>
          <w:tcPr>
            <w:tcW w:w="503" w:type="pct"/>
            <w:vAlign w:val="center"/>
          </w:tcPr>
          <w:p w14:paraId="1565A594" w14:textId="77777777" w:rsidR="005E000F" w:rsidRDefault="00000000">
            <w:pPr>
              <w:jc w:val="right"/>
              <w:rPr>
                <w:sz w:val="13"/>
                <w:szCs w:val="13"/>
              </w:rPr>
            </w:pPr>
            <w:r>
              <w:rPr>
                <w:sz w:val="13"/>
                <w:szCs w:val="13"/>
              </w:rPr>
              <w:t>4,204,331,789</w:t>
            </w:r>
          </w:p>
        </w:tc>
        <w:tc>
          <w:tcPr>
            <w:tcW w:w="402" w:type="pct"/>
            <w:vAlign w:val="center"/>
          </w:tcPr>
          <w:p w14:paraId="778DED70" w14:textId="77777777" w:rsidR="005E000F" w:rsidRDefault="00000000">
            <w:pPr>
              <w:jc w:val="right"/>
              <w:rPr>
                <w:sz w:val="13"/>
                <w:szCs w:val="13"/>
              </w:rPr>
            </w:pPr>
            <w:r>
              <w:rPr>
                <w:sz w:val="13"/>
                <w:szCs w:val="13"/>
              </w:rPr>
              <w:t>940,318,705</w:t>
            </w:r>
          </w:p>
        </w:tc>
        <w:tc>
          <w:tcPr>
            <w:tcW w:w="453" w:type="pct"/>
            <w:vAlign w:val="center"/>
          </w:tcPr>
          <w:p w14:paraId="1ADAD741" w14:textId="77777777" w:rsidR="005E000F" w:rsidRDefault="00000000">
            <w:pPr>
              <w:jc w:val="right"/>
              <w:rPr>
                <w:sz w:val="13"/>
                <w:szCs w:val="13"/>
              </w:rPr>
            </w:pPr>
            <w:r>
              <w:rPr>
                <w:sz w:val="13"/>
                <w:szCs w:val="13"/>
              </w:rPr>
              <w:t>196,583,909</w:t>
            </w:r>
          </w:p>
        </w:tc>
        <w:tc>
          <w:tcPr>
            <w:tcW w:w="401" w:type="pct"/>
            <w:vAlign w:val="center"/>
          </w:tcPr>
          <w:p w14:paraId="58808BF0" w14:textId="77777777" w:rsidR="005E000F" w:rsidRDefault="00000000">
            <w:pPr>
              <w:jc w:val="right"/>
              <w:rPr>
                <w:sz w:val="13"/>
                <w:szCs w:val="13"/>
              </w:rPr>
            </w:pPr>
            <w:r>
              <w:rPr>
                <w:sz w:val="13"/>
                <w:szCs w:val="13"/>
              </w:rPr>
              <w:t>158,179,664</w:t>
            </w:r>
          </w:p>
        </w:tc>
        <w:tc>
          <w:tcPr>
            <w:tcW w:w="351" w:type="pct"/>
            <w:vAlign w:val="center"/>
          </w:tcPr>
          <w:p w14:paraId="56856049" w14:textId="77777777" w:rsidR="005E000F" w:rsidRDefault="00000000">
            <w:pPr>
              <w:jc w:val="right"/>
              <w:rPr>
                <w:sz w:val="13"/>
                <w:szCs w:val="13"/>
              </w:rPr>
            </w:pPr>
            <w:r>
              <w:rPr>
                <w:sz w:val="13"/>
                <w:szCs w:val="13"/>
              </w:rPr>
              <w:t>153,432,376</w:t>
            </w:r>
          </w:p>
        </w:tc>
        <w:tc>
          <w:tcPr>
            <w:tcW w:w="402" w:type="pct"/>
            <w:vAlign w:val="center"/>
          </w:tcPr>
          <w:p w14:paraId="55CBB226" w14:textId="77777777" w:rsidR="005E000F" w:rsidRDefault="00000000">
            <w:pPr>
              <w:jc w:val="right"/>
              <w:rPr>
                <w:sz w:val="13"/>
                <w:szCs w:val="13"/>
              </w:rPr>
            </w:pPr>
            <w:r>
              <w:rPr>
                <w:sz w:val="13"/>
                <w:szCs w:val="13"/>
              </w:rPr>
              <w:t>139,225,229</w:t>
            </w:r>
          </w:p>
        </w:tc>
        <w:tc>
          <w:tcPr>
            <w:tcW w:w="452" w:type="pct"/>
            <w:vAlign w:val="center"/>
          </w:tcPr>
          <w:p w14:paraId="027E4FA6" w14:textId="77777777" w:rsidR="005E000F" w:rsidRDefault="00000000">
            <w:pPr>
              <w:jc w:val="right"/>
              <w:rPr>
                <w:sz w:val="13"/>
                <w:szCs w:val="13"/>
              </w:rPr>
            </w:pPr>
            <w:r>
              <w:rPr>
                <w:sz w:val="13"/>
                <w:szCs w:val="13"/>
              </w:rPr>
              <w:t>327,671,906</w:t>
            </w:r>
          </w:p>
        </w:tc>
        <w:tc>
          <w:tcPr>
            <w:tcW w:w="396" w:type="pct"/>
            <w:vAlign w:val="center"/>
          </w:tcPr>
          <w:p w14:paraId="42C23FBD" w14:textId="77777777" w:rsidR="005E000F" w:rsidRDefault="00000000">
            <w:pPr>
              <w:jc w:val="right"/>
              <w:rPr>
                <w:sz w:val="13"/>
                <w:szCs w:val="13"/>
              </w:rPr>
            </w:pPr>
            <w:r>
              <w:rPr>
                <w:sz w:val="13"/>
                <w:szCs w:val="13"/>
              </w:rPr>
              <w:t>66,837,782</w:t>
            </w:r>
          </w:p>
        </w:tc>
        <w:tc>
          <w:tcPr>
            <w:tcW w:w="395" w:type="pct"/>
            <w:vAlign w:val="center"/>
          </w:tcPr>
          <w:p w14:paraId="3114047D" w14:textId="77777777" w:rsidR="005E000F" w:rsidRDefault="00000000">
            <w:pPr>
              <w:jc w:val="right"/>
              <w:rPr>
                <w:sz w:val="13"/>
                <w:szCs w:val="13"/>
              </w:rPr>
            </w:pPr>
            <w:r>
              <w:rPr>
                <w:sz w:val="13"/>
                <w:szCs w:val="13"/>
              </w:rPr>
              <w:t>14,835,709,457</w:t>
            </w:r>
          </w:p>
        </w:tc>
      </w:tr>
      <w:tr w:rsidR="005E000F" w14:paraId="749AE25F" w14:textId="77777777">
        <w:sdt>
          <w:sdtPr>
            <w:rPr>
              <w:sz w:val="13"/>
              <w:szCs w:val="13"/>
            </w:rPr>
            <w:tag w:val="_PLD_21acfc7c80ed4c8898e7254bc3a221c4"/>
            <w:id w:val="778921883"/>
          </w:sdtPr>
          <w:sdtContent>
            <w:tc>
              <w:tcPr>
                <w:tcW w:w="442" w:type="pct"/>
                <w:vAlign w:val="center"/>
              </w:tcPr>
              <w:p w14:paraId="6F89E2BE" w14:textId="77777777" w:rsidR="005E000F" w:rsidRDefault="00000000">
                <w:pPr>
                  <w:ind w:firstLineChars="200" w:firstLine="260"/>
                  <w:rPr>
                    <w:sz w:val="13"/>
                    <w:szCs w:val="13"/>
                  </w:rPr>
                </w:pPr>
                <w:r>
                  <w:rPr>
                    <w:rFonts w:hint="eastAsia"/>
                    <w:sz w:val="13"/>
                    <w:szCs w:val="13"/>
                  </w:rPr>
                  <w:t>（</w:t>
                </w:r>
                <w:r>
                  <w:rPr>
                    <w:rFonts w:hint="eastAsia"/>
                    <w:sz w:val="13"/>
                    <w:szCs w:val="13"/>
                  </w:rPr>
                  <w:t>1</w:t>
                </w:r>
                <w:r>
                  <w:rPr>
                    <w:rFonts w:hint="eastAsia"/>
                    <w:sz w:val="13"/>
                    <w:szCs w:val="13"/>
                  </w:rPr>
                  <w:t>）购置</w:t>
                </w:r>
              </w:p>
            </w:tc>
          </w:sdtContent>
        </w:sdt>
        <w:tc>
          <w:tcPr>
            <w:tcW w:w="402" w:type="pct"/>
            <w:vAlign w:val="center"/>
          </w:tcPr>
          <w:p w14:paraId="17CC77BB" w14:textId="77777777" w:rsidR="005E000F" w:rsidRDefault="00000000">
            <w:pPr>
              <w:jc w:val="right"/>
              <w:rPr>
                <w:sz w:val="13"/>
                <w:szCs w:val="13"/>
              </w:rPr>
            </w:pPr>
            <w:r>
              <w:rPr>
                <w:sz w:val="13"/>
                <w:szCs w:val="13"/>
              </w:rPr>
              <w:t>4,336,074</w:t>
            </w:r>
          </w:p>
        </w:tc>
        <w:tc>
          <w:tcPr>
            <w:tcW w:w="401" w:type="pct"/>
            <w:vAlign w:val="center"/>
          </w:tcPr>
          <w:p w14:paraId="1A19F935" w14:textId="77777777" w:rsidR="005E000F" w:rsidRDefault="00000000">
            <w:pPr>
              <w:jc w:val="right"/>
              <w:rPr>
                <w:sz w:val="13"/>
                <w:szCs w:val="13"/>
              </w:rPr>
            </w:pPr>
            <w:r>
              <w:rPr>
                <w:sz w:val="13"/>
                <w:szCs w:val="13"/>
              </w:rPr>
              <w:t>867,610,764</w:t>
            </w:r>
          </w:p>
        </w:tc>
        <w:tc>
          <w:tcPr>
            <w:tcW w:w="503" w:type="pct"/>
            <w:vAlign w:val="center"/>
          </w:tcPr>
          <w:p w14:paraId="717A2989" w14:textId="77777777" w:rsidR="005E000F" w:rsidRDefault="00000000">
            <w:pPr>
              <w:jc w:val="right"/>
              <w:rPr>
                <w:sz w:val="13"/>
                <w:szCs w:val="13"/>
              </w:rPr>
            </w:pPr>
            <w:r>
              <w:rPr>
                <w:sz w:val="13"/>
                <w:szCs w:val="13"/>
              </w:rPr>
              <w:t>0</w:t>
            </w:r>
          </w:p>
        </w:tc>
        <w:tc>
          <w:tcPr>
            <w:tcW w:w="402" w:type="pct"/>
            <w:vAlign w:val="center"/>
          </w:tcPr>
          <w:p w14:paraId="76987151" w14:textId="77777777" w:rsidR="005E000F" w:rsidRDefault="00000000">
            <w:pPr>
              <w:jc w:val="right"/>
              <w:rPr>
                <w:sz w:val="13"/>
                <w:szCs w:val="13"/>
              </w:rPr>
            </w:pPr>
            <w:r>
              <w:rPr>
                <w:sz w:val="13"/>
                <w:szCs w:val="13"/>
              </w:rPr>
              <w:t>39,012,410</w:t>
            </w:r>
          </w:p>
        </w:tc>
        <w:tc>
          <w:tcPr>
            <w:tcW w:w="453" w:type="pct"/>
            <w:vAlign w:val="center"/>
          </w:tcPr>
          <w:p w14:paraId="514016B4" w14:textId="77777777" w:rsidR="005E000F" w:rsidRDefault="00000000">
            <w:pPr>
              <w:jc w:val="right"/>
              <w:rPr>
                <w:sz w:val="13"/>
                <w:szCs w:val="13"/>
              </w:rPr>
            </w:pPr>
            <w:r>
              <w:rPr>
                <w:sz w:val="13"/>
                <w:szCs w:val="13"/>
              </w:rPr>
              <w:t>2,469,033</w:t>
            </w:r>
          </w:p>
        </w:tc>
        <w:tc>
          <w:tcPr>
            <w:tcW w:w="401" w:type="pct"/>
            <w:vAlign w:val="center"/>
          </w:tcPr>
          <w:p w14:paraId="22B3CEFC" w14:textId="77777777" w:rsidR="005E000F" w:rsidRDefault="00000000">
            <w:pPr>
              <w:jc w:val="right"/>
              <w:rPr>
                <w:sz w:val="13"/>
                <w:szCs w:val="13"/>
              </w:rPr>
            </w:pPr>
            <w:r>
              <w:rPr>
                <w:sz w:val="13"/>
                <w:szCs w:val="13"/>
              </w:rPr>
              <w:t>27,965,220</w:t>
            </w:r>
          </w:p>
        </w:tc>
        <w:tc>
          <w:tcPr>
            <w:tcW w:w="351" w:type="pct"/>
            <w:vAlign w:val="center"/>
          </w:tcPr>
          <w:p w14:paraId="671859FC" w14:textId="77777777" w:rsidR="005E000F" w:rsidRDefault="00000000">
            <w:pPr>
              <w:jc w:val="right"/>
              <w:rPr>
                <w:sz w:val="13"/>
                <w:szCs w:val="13"/>
              </w:rPr>
            </w:pPr>
            <w:r>
              <w:rPr>
                <w:sz w:val="13"/>
                <w:szCs w:val="13"/>
              </w:rPr>
              <w:t>67,480,092</w:t>
            </w:r>
          </w:p>
        </w:tc>
        <w:tc>
          <w:tcPr>
            <w:tcW w:w="402" w:type="pct"/>
            <w:vAlign w:val="center"/>
          </w:tcPr>
          <w:p w14:paraId="2C40FA7B" w14:textId="77777777" w:rsidR="005E000F" w:rsidRDefault="00000000">
            <w:pPr>
              <w:jc w:val="right"/>
              <w:rPr>
                <w:sz w:val="13"/>
                <w:szCs w:val="13"/>
              </w:rPr>
            </w:pPr>
            <w:r>
              <w:rPr>
                <w:sz w:val="13"/>
                <w:szCs w:val="13"/>
              </w:rPr>
              <w:t>3,504,467</w:t>
            </w:r>
          </w:p>
        </w:tc>
        <w:tc>
          <w:tcPr>
            <w:tcW w:w="452" w:type="pct"/>
            <w:vAlign w:val="center"/>
          </w:tcPr>
          <w:p w14:paraId="53D603AB" w14:textId="77777777" w:rsidR="005E000F" w:rsidRDefault="00000000">
            <w:pPr>
              <w:jc w:val="right"/>
              <w:rPr>
                <w:sz w:val="13"/>
                <w:szCs w:val="13"/>
              </w:rPr>
            </w:pPr>
            <w:r>
              <w:rPr>
                <w:sz w:val="13"/>
                <w:szCs w:val="13"/>
              </w:rPr>
              <w:t>122,876,003</w:t>
            </w:r>
          </w:p>
        </w:tc>
        <w:tc>
          <w:tcPr>
            <w:tcW w:w="396" w:type="pct"/>
            <w:vAlign w:val="center"/>
          </w:tcPr>
          <w:p w14:paraId="54579FCC" w14:textId="77777777" w:rsidR="005E000F" w:rsidRDefault="00000000">
            <w:pPr>
              <w:jc w:val="right"/>
              <w:rPr>
                <w:sz w:val="13"/>
                <w:szCs w:val="13"/>
              </w:rPr>
            </w:pPr>
            <w:r>
              <w:rPr>
                <w:sz w:val="13"/>
                <w:szCs w:val="13"/>
              </w:rPr>
              <w:t>14,246,331</w:t>
            </w:r>
          </w:p>
        </w:tc>
        <w:tc>
          <w:tcPr>
            <w:tcW w:w="395" w:type="pct"/>
            <w:vAlign w:val="center"/>
          </w:tcPr>
          <w:p w14:paraId="409A256F" w14:textId="77777777" w:rsidR="005E000F" w:rsidRDefault="00000000">
            <w:pPr>
              <w:jc w:val="right"/>
              <w:rPr>
                <w:sz w:val="13"/>
                <w:szCs w:val="13"/>
              </w:rPr>
            </w:pPr>
            <w:r>
              <w:rPr>
                <w:sz w:val="13"/>
                <w:szCs w:val="13"/>
              </w:rPr>
              <w:t>1,149,500,394</w:t>
            </w:r>
          </w:p>
        </w:tc>
      </w:tr>
      <w:tr w:rsidR="005E000F" w14:paraId="4BC69B45" w14:textId="77777777">
        <w:sdt>
          <w:sdtPr>
            <w:rPr>
              <w:sz w:val="13"/>
              <w:szCs w:val="13"/>
            </w:rPr>
            <w:tag w:val="_PLD_c4fb45cabc464177bb10403e2ec415b1"/>
            <w:id w:val="2087270172"/>
          </w:sdtPr>
          <w:sdtContent>
            <w:tc>
              <w:tcPr>
                <w:tcW w:w="442" w:type="pct"/>
                <w:vAlign w:val="center"/>
              </w:tcPr>
              <w:p w14:paraId="74EB488D" w14:textId="77777777" w:rsidR="005E000F" w:rsidRDefault="00000000">
                <w:pPr>
                  <w:ind w:firstLineChars="200" w:firstLine="260"/>
                  <w:rPr>
                    <w:sz w:val="13"/>
                    <w:szCs w:val="13"/>
                  </w:rPr>
                </w:pPr>
                <w:r>
                  <w:rPr>
                    <w:rFonts w:hint="eastAsia"/>
                    <w:sz w:val="13"/>
                    <w:szCs w:val="13"/>
                  </w:rPr>
                  <w:t>（</w:t>
                </w:r>
                <w:r>
                  <w:rPr>
                    <w:rFonts w:hint="eastAsia"/>
                    <w:sz w:val="13"/>
                    <w:szCs w:val="13"/>
                  </w:rPr>
                  <w:t>2</w:t>
                </w:r>
                <w:r>
                  <w:rPr>
                    <w:rFonts w:hint="eastAsia"/>
                    <w:sz w:val="13"/>
                    <w:szCs w:val="13"/>
                  </w:rPr>
                  <w:t>）在建工程转入</w:t>
                </w:r>
              </w:p>
            </w:tc>
          </w:sdtContent>
        </w:sdt>
        <w:tc>
          <w:tcPr>
            <w:tcW w:w="402" w:type="pct"/>
            <w:vAlign w:val="center"/>
          </w:tcPr>
          <w:p w14:paraId="014B34C0" w14:textId="77777777" w:rsidR="005E000F" w:rsidRDefault="00000000">
            <w:pPr>
              <w:jc w:val="right"/>
              <w:rPr>
                <w:sz w:val="13"/>
                <w:szCs w:val="13"/>
              </w:rPr>
            </w:pPr>
            <w:r>
              <w:rPr>
                <w:sz w:val="13"/>
                <w:szCs w:val="13"/>
              </w:rPr>
              <w:t>1,207,360,343</w:t>
            </w:r>
          </w:p>
        </w:tc>
        <w:tc>
          <w:tcPr>
            <w:tcW w:w="401" w:type="pct"/>
            <w:vAlign w:val="center"/>
          </w:tcPr>
          <w:p w14:paraId="3D33500A" w14:textId="77777777" w:rsidR="005E000F" w:rsidRDefault="00000000">
            <w:pPr>
              <w:jc w:val="right"/>
              <w:rPr>
                <w:sz w:val="13"/>
                <w:szCs w:val="13"/>
              </w:rPr>
            </w:pPr>
            <w:r>
              <w:rPr>
                <w:sz w:val="13"/>
                <w:szCs w:val="13"/>
              </w:rPr>
              <w:t>7,007,723,130</w:t>
            </w:r>
          </w:p>
        </w:tc>
        <w:tc>
          <w:tcPr>
            <w:tcW w:w="503" w:type="pct"/>
            <w:vAlign w:val="center"/>
          </w:tcPr>
          <w:p w14:paraId="74926280" w14:textId="77777777" w:rsidR="005E000F" w:rsidRDefault="00000000">
            <w:pPr>
              <w:jc w:val="right"/>
              <w:rPr>
                <w:sz w:val="13"/>
                <w:szCs w:val="13"/>
              </w:rPr>
            </w:pPr>
            <w:r>
              <w:rPr>
                <w:sz w:val="13"/>
                <w:szCs w:val="13"/>
              </w:rPr>
              <w:t>4,080,095,009</w:t>
            </w:r>
          </w:p>
        </w:tc>
        <w:tc>
          <w:tcPr>
            <w:tcW w:w="402" w:type="pct"/>
            <w:vAlign w:val="center"/>
          </w:tcPr>
          <w:p w14:paraId="2ED9D01F" w14:textId="77777777" w:rsidR="005E000F" w:rsidRDefault="00000000">
            <w:pPr>
              <w:jc w:val="right"/>
              <w:rPr>
                <w:sz w:val="13"/>
                <w:szCs w:val="13"/>
              </w:rPr>
            </w:pPr>
            <w:r>
              <w:rPr>
                <w:sz w:val="13"/>
                <w:szCs w:val="13"/>
              </w:rPr>
              <w:t>744,062,327</w:t>
            </w:r>
          </w:p>
        </w:tc>
        <w:tc>
          <w:tcPr>
            <w:tcW w:w="453" w:type="pct"/>
            <w:vAlign w:val="center"/>
          </w:tcPr>
          <w:p w14:paraId="75120668" w14:textId="77777777" w:rsidR="005E000F" w:rsidRDefault="00000000">
            <w:pPr>
              <w:jc w:val="right"/>
              <w:rPr>
                <w:sz w:val="13"/>
                <w:szCs w:val="13"/>
              </w:rPr>
            </w:pPr>
            <w:r>
              <w:rPr>
                <w:sz w:val="13"/>
                <w:szCs w:val="13"/>
              </w:rPr>
              <w:t>125,849,678</w:t>
            </w:r>
          </w:p>
        </w:tc>
        <w:tc>
          <w:tcPr>
            <w:tcW w:w="401" w:type="pct"/>
            <w:vAlign w:val="center"/>
          </w:tcPr>
          <w:p w14:paraId="4F8CB91E" w14:textId="77777777" w:rsidR="005E000F" w:rsidRDefault="00000000">
            <w:pPr>
              <w:jc w:val="right"/>
              <w:rPr>
                <w:sz w:val="13"/>
                <w:szCs w:val="13"/>
              </w:rPr>
            </w:pPr>
            <w:r>
              <w:rPr>
                <w:sz w:val="13"/>
                <w:szCs w:val="13"/>
              </w:rPr>
              <w:t>112,317,442</w:t>
            </w:r>
          </w:p>
        </w:tc>
        <w:tc>
          <w:tcPr>
            <w:tcW w:w="351" w:type="pct"/>
            <w:vAlign w:val="center"/>
          </w:tcPr>
          <w:p w14:paraId="64A69F1E" w14:textId="77777777" w:rsidR="005E000F" w:rsidRDefault="00000000">
            <w:pPr>
              <w:jc w:val="right"/>
              <w:rPr>
                <w:sz w:val="13"/>
                <w:szCs w:val="13"/>
              </w:rPr>
            </w:pPr>
            <w:r>
              <w:rPr>
                <w:sz w:val="13"/>
                <w:szCs w:val="13"/>
              </w:rPr>
              <w:t>90,869,956</w:t>
            </w:r>
          </w:p>
        </w:tc>
        <w:tc>
          <w:tcPr>
            <w:tcW w:w="402" w:type="pct"/>
            <w:vAlign w:val="center"/>
          </w:tcPr>
          <w:p w14:paraId="67333F54" w14:textId="77777777" w:rsidR="005E000F" w:rsidRDefault="00000000">
            <w:pPr>
              <w:jc w:val="right"/>
              <w:rPr>
                <w:sz w:val="13"/>
                <w:szCs w:val="13"/>
              </w:rPr>
            </w:pPr>
            <w:r>
              <w:rPr>
                <w:sz w:val="13"/>
                <w:szCs w:val="13"/>
              </w:rPr>
              <w:t>89,824,141</w:t>
            </w:r>
          </w:p>
        </w:tc>
        <w:tc>
          <w:tcPr>
            <w:tcW w:w="452" w:type="pct"/>
            <w:vAlign w:val="center"/>
          </w:tcPr>
          <w:p w14:paraId="341155E7" w14:textId="77777777" w:rsidR="005E000F" w:rsidRDefault="00000000">
            <w:pPr>
              <w:jc w:val="right"/>
              <w:rPr>
                <w:sz w:val="13"/>
                <w:szCs w:val="13"/>
              </w:rPr>
            </w:pPr>
            <w:r>
              <w:rPr>
                <w:sz w:val="13"/>
                <w:szCs w:val="13"/>
              </w:rPr>
              <w:t>172,281,512</w:t>
            </w:r>
          </w:p>
        </w:tc>
        <w:tc>
          <w:tcPr>
            <w:tcW w:w="396" w:type="pct"/>
            <w:vAlign w:val="center"/>
          </w:tcPr>
          <w:p w14:paraId="18195756" w14:textId="77777777" w:rsidR="005E000F" w:rsidRDefault="00000000">
            <w:pPr>
              <w:jc w:val="right"/>
              <w:rPr>
                <w:sz w:val="13"/>
                <w:szCs w:val="13"/>
              </w:rPr>
            </w:pPr>
            <w:r>
              <w:rPr>
                <w:sz w:val="13"/>
                <w:szCs w:val="13"/>
              </w:rPr>
              <w:t>55,825,525</w:t>
            </w:r>
          </w:p>
        </w:tc>
        <w:tc>
          <w:tcPr>
            <w:tcW w:w="395" w:type="pct"/>
            <w:vAlign w:val="center"/>
          </w:tcPr>
          <w:p w14:paraId="1F383E9C" w14:textId="77777777" w:rsidR="005E000F" w:rsidRDefault="00000000">
            <w:pPr>
              <w:jc w:val="right"/>
              <w:rPr>
                <w:sz w:val="13"/>
                <w:szCs w:val="13"/>
              </w:rPr>
            </w:pPr>
            <w:r>
              <w:rPr>
                <w:sz w:val="13"/>
                <w:szCs w:val="13"/>
              </w:rPr>
              <w:t>13,686,209,063</w:t>
            </w:r>
          </w:p>
        </w:tc>
      </w:tr>
      <w:tr w:rsidR="005E000F" w14:paraId="5F5AE44E" w14:textId="77777777">
        <w:sdt>
          <w:sdtPr>
            <w:rPr>
              <w:sz w:val="13"/>
              <w:szCs w:val="13"/>
            </w:rPr>
            <w:tag w:val="_PLD_726d6f59ad1c442a86cca9c28703f954"/>
            <w:id w:val="1187718153"/>
          </w:sdtPr>
          <w:sdtContent>
            <w:tc>
              <w:tcPr>
                <w:tcW w:w="442" w:type="pct"/>
                <w:vAlign w:val="center"/>
              </w:tcPr>
              <w:p w14:paraId="1D3F938A" w14:textId="77777777" w:rsidR="005E000F" w:rsidRDefault="00000000">
                <w:pPr>
                  <w:ind w:firstLineChars="200" w:firstLine="260"/>
                  <w:rPr>
                    <w:sz w:val="13"/>
                    <w:szCs w:val="13"/>
                  </w:rPr>
                </w:pPr>
                <w:r>
                  <w:rPr>
                    <w:rFonts w:hint="eastAsia"/>
                    <w:sz w:val="13"/>
                    <w:szCs w:val="13"/>
                  </w:rPr>
                  <w:t>（</w:t>
                </w:r>
                <w:r>
                  <w:rPr>
                    <w:rFonts w:hint="eastAsia"/>
                    <w:sz w:val="13"/>
                    <w:szCs w:val="13"/>
                  </w:rPr>
                  <w:t>3</w:t>
                </w:r>
                <w:r>
                  <w:rPr>
                    <w:rFonts w:hint="eastAsia"/>
                    <w:sz w:val="13"/>
                    <w:szCs w:val="13"/>
                  </w:rPr>
                  <w:t>）其他增加</w:t>
                </w:r>
              </w:p>
            </w:tc>
          </w:sdtContent>
        </w:sdt>
        <w:tc>
          <w:tcPr>
            <w:tcW w:w="402" w:type="pct"/>
            <w:vAlign w:val="center"/>
          </w:tcPr>
          <w:p w14:paraId="2B0BD712" w14:textId="77777777" w:rsidR="005E000F" w:rsidRDefault="00000000">
            <w:pPr>
              <w:jc w:val="right"/>
              <w:rPr>
                <w:sz w:val="13"/>
                <w:szCs w:val="13"/>
              </w:rPr>
            </w:pPr>
            <w:r>
              <w:rPr>
                <w:sz w:val="13"/>
                <w:szCs w:val="13"/>
              </w:rPr>
              <w:t>-448,077,948</w:t>
            </w:r>
          </w:p>
        </w:tc>
        <w:tc>
          <w:tcPr>
            <w:tcW w:w="401" w:type="pct"/>
            <w:vAlign w:val="center"/>
          </w:tcPr>
          <w:p w14:paraId="0046A163" w14:textId="77777777" w:rsidR="005E000F" w:rsidRDefault="00000000">
            <w:pPr>
              <w:jc w:val="right"/>
              <w:rPr>
                <w:sz w:val="13"/>
                <w:szCs w:val="13"/>
              </w:rPr>
            </w:pPr>
            <w:r>
              <w:rPr>
                <w:sz w:val="13"/>
                <w:szCs w:val="13"/>
              </w:rPr>
              <w:t>10,175,734</w:t>
            </w:r>
          </w:p>
        </w:tc>
        <w:tc>
          <w:tcPr>
            <w:tcW w:w="503" w:type="pct"/>
            <w:vAlign w:val="center"/>
          </w:tcPr>
          <w:p w14:paraId="30AA1042" w14:textId="77777777" w:rsidR="005E000F" w:rsidRDefault="00000000">
            <w:pPr>
              <w:jc w:val="right"/>
              <w:rPr>
                <w:sz w:val="13"/>
                <w:szCs w:val="13"/>
              </w:rPr>
            </w:pPr>
            <w:r>
              <w:rPr>
                <w:sz w:val="13"/>
                <w:szCs w:val="13"/>
              </w:rPr>
              <w:t>124,236,780</w:t>
            </w:r>
          </w:p>
        </w:tc>
        <w:tc>
          <w:tcPr>
            <w:tcW w:w="402" w:type="pct"/>
            <w:vAlign w:val="center"/>
          </w:tcPr>
          <w:p w14:paraId="073E7DC9" w14:textId="77777777" w:rsidR="005E000F" w:rsidRDefault="00000000">
            <w:pPr>
              <w:jc w:val="right"/>
              <w:rPr>
                <w:sz w:val="13"/>
                <w:szCs w:val="13"/>
              </w:rPr>
            </w:pPr>
            <w:r>
              <w:rPr>
                <w:sz w:val="13"/>
                <w:szCs w:val="13"/>
              </w:rPr>
              <w:t>157,243,968</w:t>
            </w:r>
          </w:p>
        </w:tc>
        <w:tc>
          <w:tcPr>
            <w:tcW w:w="453" w:type="pct"/>
            <w:vAlign w:val="center"/>
          </w:tcPr>
          <w:p w14:paraId="036C46AA" w14:textId="77777777" w:rsidR="005E000F" w:rsidRDefault="00000000">
            <w:pPr>
              <w:jc w:val="right"/>
              <w:rPr>
                <w:sz w:val="13"/>
                <w:szCs w:val="13"/>
              </w:rPr>
            </w:pPr>
            <w:r>
              <w:rPr>
                <w:sz w:val="13"/>
                <w:szCs w:val="13"/>
              </w:rPr>
              <w:t>68,265,198</w:t>
            </w:r>
          </w:p>
        </w:tc>
        <w:tc>
          <w:tcPr>
            <w:tcW w:w="401" w:type="pct"/>
            <w:vAlign w:val="center"/>
          </w:tcPr>
          <w:p w14:paraId="6BDF9589" w14:textId="77777777" w:rsidR="005E000F" w:rsidRDefault="00000000">
            <w:pPr>
              <w:jc w:val="right"/>
              <w:rPr>
                <w:sz w:val="13"/>
                <w:szCs w:val="13"/>
              </w:rPr>
            </w:pPr>
            <w:r>
              <w:rPr>
                <w:sz w:val="13"/>
                <w:szCs w:val="13"/>
              </w:rPr>
              <w:t>17,897,002</w:t>
            </w:r>
          </w:p>
        </w:tc>
        <w:tc>
          <w:tcPr>
            <w:tcW w:w="351" w:type="pct"/>
            <w:vAlign w:val="center"/>
          </w:tcPr>
          <w:p w14:paraId="7B78A84B" w14:textId="77777777" w:rsidR="005E000F" w:rsidRDefault="00000000">
            <w:pPr>
              <w:jc w:val="right"/>
              <w:rPr>
                <w:sz w:val="13"/>
                <w:szCs w:val="13"/>
              </w:rPr>
            </w:pPr>
            <w:r>
              <w:rPr>
                <w:sz w:val="13"/>
                <w:szCs w:val="13"/>
              </w:rPr>
              <w:t>-4,917,672</w:t>
            </w:r>
          </w:p>
        </w:tc>
        <w:tc>
          <w:tcPr>
            <w:tcW w:w="402" w:type="pct"/>
            <w:vAlign w:val="center"/>
          </w:tcPr>
          <w:p w14:paraId="5EDD4B71" w14:textId="77777777" w:rsidR="005E000F" w:rsidRDefault="00000000">
            <w:pPr>
              <w:jc w:val="right"/>
              <w:rPr>
                <w:sz w:val="13"/>
                <w:szCs w:val="13"/>
              </w:rPr>
            </w:pPr>
            <w:r>
              <w:rPr>
                <w:sz w:val="13"/>
                <w:szCs w:val="13"/>
              </w:rPr>
              <w:t>45,896,621</w:t>
            </w:r>
          </w:p>
        </w:tc>
        <w:tc>
          <w:tcPr>
            <w:tcW w:w="452" w:type="pct"/>
            <w:vAlign w:val="center"/>
          </w:tcPr>
          <w:p w14:paraId="6AA4142D" w14:textId="77777777" w:rsidR="005E000F" w:rsidRDefault="00000000">
            <w:pPr>
              <w:jc w:val="right"/>
              <w:rPr>
                <w:sz w:val="13"/>
                <w:szCs w:val="13"/>
              </w:rPr>
            </w:pPr>
            <w:r>
              <w:rPr>
                <w:sz w:val="13"/>
                <w:szCs w:val="13"/>
              </w:rPr>
              <w:t>32,514,391</w:t>
            </w:r>
          </w:p>
        </w:tc>
        <w:tc>
          <w:tcPr>
            <w:tcW w:w="396" w:type="pct"/>
            <w:vAlign w:val="center"/>
          </w:tcPr>
          <w:p w14:paraId="33A6F24B" w14:textId="77777777" w:rsidR="005E000F" w:rsidRDefault="00000000">
            <w:pPr>
              <w:jc w:val="right"/>
              <w:rPr>
                <w:sz w:val="13"/>
                <w:szCs w:val="13"/>
              </w:rPr>
            </w:pPr>
            <w:r>
              <w:rPr>
                <w:sz w:val="13"/>
                <w:szCs w:val="13"/>
              </w:rPr>
              <w:t>-3,234,074</w:t>
            </w:r>
          </w:p>
        </w:tc>
        <w:tc>
          <w:tcPr>
            <w:tcW w:w="395" w:type="pct"/>
            <w:vAlign w:val="center"/>
          </w:tcPr>
          <w:p w14:paraId="26A9E8F6" w14:textId="77777777" w:rsidR="005E000F" w:rsidRDefault="00000000">
            <w:pPr>
              <w:jc w:val="right"/>
              <w:rPr>
                <w:sz w:val="13"/>
                <w:szCs w:val="13"/>
              </w:rPr>
            </w:pPr>
            <w:r>
              <w:rPr>
                <w:sz w:val="13"/>
                <w:szCs w:val="13"/>
              </w:rPr>
              <w:t>0</w:t>
            </w:r>
          </w:p>
        </w:tc>
      </w:tr>
      <w:tr w:rsidR="005E000F" w14:paraId="473EC8F0" w14:textId="77777777">
        <w:sdt>
          <w:sdtPr>
            <w:rPr>
              <w:sz w:val="13"/>
              <w:szCs w:val="13"/>
            </w:rPr>
            <w:tag w:val="_PLD_82105b7a23294bcc97fa2c9d341d5e29"/>
            <w:id w:val="-1633704606"/>
          </w:sdtPr>
          <w:sdtContent>
            <w:tc>
              <w:tcPr>
                <w:tcW w:w="442" w:type="pct"/>
                <w:vAlign w:val="center"/>
              </w:tcPr>
              <w:p w14:paraId="3CF5745B" w14:textId="77777777" w:rsidR="005E000F" w:rsidRDefault="00000000">
                <w:pPr>
                  <w:ind w:firstLineChars="202" w:firstLine="263"/>
                  <w:rPr>
                    <w:sz w:val="13"/>
                    <w:szCs w:val="13"/>
                  </w:rPr>
                </w:pPr>
                <w:r>
                  <w:rPr>
                    <w:rFonts w:hint="eastAsia"/>
                    <w:sz w:val="13"/>
                    <w:szCs w:val="13"/>
                  </w:rPr>
                  <w:t>3.</w:t>
                </w:r>
                <w:r>
                  <w:rPr>
                    <w:rFonts w:hint="eastAsia"/>
                    <w:sz w:val="13"/>
                    <w:szCs w:val="13"/>
                  </w:rPr>
                  <w:t>本期减少金额</w:t>
                </w:r>
              </w:p>
            </w:tc>
          </w:sdtContent>
        </w:sdt>
        <w:tc>
          <w:tcPr>
            <w:tcW w:w="402" w:type="pct"/>
            <w:vAlign w:val="center"/>
          </w:tcPr>
          <w:p w14:paraId="2F7D8FBE" w14:textId="77777777" w:rsidR="005E000F" w:rsidRDefault="00000000">
            <w:pPr>
              <w:jc w:val="right"/>
              <w:rPr>
                <w:sz w:val="13"/>
                <w:szCs w:val="13"/>
              </w:rPr>
            </w:pPr>
            <w:r>
              <w:rPr>
                <w:sz w:val="13"/>
                <w:szCs w:val="13"/>
              </w:rPr>
              <w:t>386,647,130</w:t>
            </w:r>
          </w:p>
        </w:tc>
        <w:tc>
          <w:tcPr>
            <w:tcW w:w="401" w:type="pct"/>
            <w:vAlign w:val="center"/>
          </w:tcPr>
          <w:p w14:paraId="7F0026D7" w14:textId="77777777" w:rsidR="005E000F" w:rsidRDefault="00000000">
            <w:pPr>
              <w:jc w:val="right"/>
              <w:rPr>
                <w:sz w:val="13"/>
                <w:szCs w:val="13"/>
              </w:rPr>
            </w:pPr>
            <w:r>
              <w:rPr>
                <w:sz w:val="13"/>
                <w:szCs w:val="13"/>
              </w:rPr>
              <w:t>8,798,849,061</w:t>
            </w:r>
          </w:p>
        </w:tc>
        <w:tc>
          <w:tcPr>
            <w:tcW w:w="503" w:type="pct"/>
            <w:vAlign w:val="center"/>
          </w:tcPr>
          <w:p w14:paraId="43DEF67F" w14:textId="77777777" w:rsidR="005E000F" w:rsidRDefault="00000000">
            <w:pPr>
              <w:jc w:val="right"/>
              <w:rPr>
                <w:sz w:val="13"/>
                <w:szCs w:val="13"/>
              </w:rPr>
            </w:pPr>
            <w:r>
              <w:rPr>
                <w:sz w:val="13"/>
                <w:szCs w:val="13"/>
              </w:rPr>
              <w:t>3,129,804,284</w:t>
            </w:r>
          </w:p>
        </w:tc>
        <w:tc>
          <w:tcPr>
            <w:tcW w:w="402" w:type="pct"/>
            <w:vAlign w:val="center"/>
          </w:tcPr>
          <w:p w14:paraId="5BA351A8" w14:textId="77777777" w:rsidR="005E000F" w:rsidRDefault="00000000">
            <w:pPr>
              <w:jc w:val="right"/>
              <w:rPr>
                <w:sz w:val="13"/>
                <w:szCs w:val="13"/>
              </w:rPr>
            </w:pPr>
            <w:r>
              <w:rPr>
                <w:sz w:val="13"/>
                <w:szCs w:val="13"/>
              </w:rPr>
              <w:t>333,771,793</w:t>
            </w:r>
          </w:p>
        </w:tc>
        <w:tc>
          <w:tcPr>
            <w:tcW w:w="453" w:type="pct"/>
            <w:vAlign w:val="center"/>
          </w:tcPr>
          <w:p w14:paraId="23808CF9" w14:textId="77777777" w:rsidR="005E000F" w:rsidRDefault="00000000">
            <w:pPr>
              <w:jc w:val="right"/>
              <w:rPr>
                <w:sz w:val="13"/>
                <w:szCs w:val="13"/>
              </w:rPr>
            </w:pPr>
            <w:r>
              <w:rPr>
                <w:sz w:val="13"/>
                <w:szCs w:val="13"/>
              </w:rPr>
              <w:t>50,574,190</w:t>
            </w:r>
          </w:p>
        </w:tc>
        <w:tc>
          <w:tcPr>
            <w:tcW w:w="401" w:type="pct"/>
            <w:vAlign w:val="center"/>
          </w:tcPr>
          <w:p w14:paraId="15ACF85D" w14:textId="77777777" w:rsidR="005E000F" w:rsidRDefault="00000000">
            <w:pPr>
              <w:jc w:val="right"/>
              <w:rPr>
                <w:sz w:val="13"/>
                <w:szCs w:val="13"/>
              </w:rPr>
            </w:pPr>
            <w:r>
              <w:rPr>
                <w:sz w:val="13"/>
                <w:szCs w:val="13"/>
              </w:rPr>
              <w:t>138,787,139</w:t>
            </w:r>
          </w:p>
        </w:tc>
        <w:tc>
          <w:tcPr>
            <w:tcW w:w="351" w:type="pct"/>
            <w:vAlign w:val="center"/>
          </w:tcPr>
          <w:p w14:paraId="27C0BB56" w14:textId="77777777" w:rsidR="005E000F" w:rsidRDefault="00000000">
            <w:pPr>
              <w:jc w:val="right"/>
              <w:rPr>
                <w:sz w:val="13"/>
                <w:szCs w:val="13"/>
              </w:rPr>
            </w:pPr>
            <w:r>
              <w:rPr>
                <w:sz w:val="13"/>
                <w:szCs w:val="13"/>
              </w:rPr>
              <w:t>85,497,180</w:t>
            </w:r>
          </w:p>
        </w:tc>
        <w:tc>
          <w:tcPr>
            <w:tcW w:w="402" w:type="pct"/>
            <w:vAlign w:val="center"/>
          </w:tcPr>
          <w:p w14:paraId="27DFAAE2" w14:textId="77777777" w:rsidR="005E000F" w:rsidRDefault="00000000">
            <w:pPr>
              <w:jc w:val="right"/>
              <w:rPr>
                <w:sz w:val="13"/>
                <w:szCs w:val="13"/>
              </w:rPr>
            </w:pPr>
            <w:r>
              <w:rPr>
                <w:sz w:val="13"/>
                <w:szCs w:val="13"/>
              </w:rPr>
              <w:t>7,336,702</w:t>
            </w:r>
          </w:p>
        </w:tc>
        <w:tc>
          <w:tcPr>
            <w:tcW w:w="452" w:type="pct"/>
            <w:vAlign w:val="center"/>
          </w:tcPr>
          <w:p w14:paraId="4AAB755F" w14:textId="77777777" w:rsidR="005E000F" w:rsidRDefault="00000000">
            <w:pPr>
              <w:jc w:val="right"/>
              <w:rPr>
                <w:sz w:val="13"/>
                <w:szCs w:val="13"/>
              </w:rPr>
            </w:pPr>
            <w:r>
              <w:rPr>
                <w:sz w:val="13"/>
                <w:szCs w:val="13"/>
              </w:rPr>
              <w:t>222,721,877</w:t>
            </w:r>
          </w:p>
        </w:tc>
        <w:tc>
          <w:tcPr>
            <w:tcW w:w="396" w:type="pct"/>
            <w:vAlign w:val="center"/>
          </w:tcPr>
          <w:p w14:paraId="2EC28C1D" w14:textId="77777777" w:rsidR="005E000F" w:rsidRDefault="00000000">
            <w:pPr>
              <w:jc w:val="right"/>
              <w:rPr>
                <w:sz w:val="13"/>
                <w:szCs w:val="13"/>
              </w:rPr>
            </w:pPr>
            <w:r>
              <w:rPr>
                <w:sz w:val="13"/>
                <w:szCs w:val="13"/>
              </w:rPr>
              <w:t>54,374,935</w:t>
            </w:r>
          </w:p>
        </w:tc>
        <w:tc>
          <w:tcPr>
            <w:tcW w:w="395" w:type="pct"/>
            <w:vAlign w:val="center"/>
          </w:tcPr>
          <w:p w14:paraId="7885FCC3" w14:textId="77777777" w:rsidR="005E000F" w:rsidRDefault="00000000">
            <w:pPr>
              <w:jc w:val="right"/>
              <w:rPr>
                <w:sz w:val="13"/>
                <w:szCs w:val="13"/>
              </w:rPr>
            </w:pPr>
            <w:r>
              <w:rPr>
                <w:sz w:val="13"/>
                <w:szCs w:val="13"/>
              </w:rPr>
              <w:t>13,208,364,291</w:t>
            </w:r>
          </w:p>
        </w:tc>
      </w:tr>
      <w:tr w:rsidR="005E000F" w14:paraId="23717A0E" w14:textId="77777777">
        <w:sdt>
          <w:sdtPr>
            <w:rPr>
              <w:sz w:val="13"/>
              <w:szCs w:val="13"/>
            </w:rPr>
            <w:tag w:val="_PLD_ff1592931fc24cf7bf5faee8eae2abb5"/>
            <w:id w:val="-2061692393"/>
          </w:sdtPr>
          <w:sdtContent>
            <w:tc>
              <w:tcPr>
                <w:tcW w:w="442" w:type="pct"/>
                <w:vAlign w:val="center"/>
              </w:tcPr>
              <w:p w14:paraId="4EAF8204" w14:textId="77777777" w:rsidR="005E000F" w:rsidRDefault="00000000">
                <w:pPr>
                  <w:ind w:firstLineChars="200" w:firstLine="260"/>
                  <w:rPr>
                    <w:sz w:val="13"/>
                    <w:szCs w:val="13"/>
                  </w:rPr>
                </w:pPr>
                <w:r>
                  <w:rPr>
                    <w:rFonts w:hint="eastAsia"/>
                    <w:sz w:val="13"/>
                    <w:szCs w:val="13"/>
                  </w:rPr>
                  <w:t>（</w:t>
                </w:r>
                <w:r>
                  <w:rPr>
                    <w:rFonts w:hint="eastAsia"/>
                    <w:sz w:val="13"/>
                    <w:szCs w:val="13"/>
                  </w:rPr>
                  <w:t>1</w:t>
                </w:r>
                <w:r>
                  <w:rPr>
                    <w:rFonts w:hint="eastAsia"/>
                    <w:sz w:val="13"/>
                    <w:szCs w:val="13"/>
                  </w:rPr>
                  <w:t>）处置或报废</w:t>
                </w:r>
              </w:p>
            </w:tc>
          </w:sdtContent>
        </w:sdt>
        <w:tc>
          <w:tcPr>
            <w:tcW w:w="402" w:type="pct"/>
            <w:vAlign w:val="center"/>
          </w:tcPr>
          <w:p w14:paraId="3E1BC3B2" w14:textId="77777777" w:rsidR="005E000F" w:rsidRDefault="00000000">
            <w:pPr>
              <w:jc w:val="right"/>
              <w:rPr>
                <w:sz w:val="13"/>
                <w:szCs w:val="13"/>
              </w:rPr>
            </w:pPr>
            <w:r>
              <w:rPr>
                <w:sz w:val="13"/>
                <w:szCs w:val="13"/>
              </w:rPr>
              <w:t>45,728,652</w:t>
            </w:r>
          </w:p>
        </w:tc>
        <w:tc>
          <w:tcPr>
            <w:tcW w:w="401" w:type="pct"/>
            <w:vAlign w:val="center"/>
          </w:tcPr>
          <w:p w14:paraId="4A2F6140" w14:textId="77777777" w:rsidR="005E000F" w:rsidRDefault="00000000">
            <w:pPr>
              <w:jc w:val="right"/>
              <w:rPr>
                <w:sz w:val="13"/>
                <w:szCs w:val="13"/>
              </w:rPr>
            </w:pPr>
            <w:r>
              <w:rPr>
                <w:sz w:val="13"/>
                <w:szCs w:val="13"/>
              </w:rPr>
              <w:t>187,664,031</w:t>
            </w:r>
          </w:p>
        </w:tc>
        <w:tc>
          <w:tcPr>
            <w:tcW w:w="503" w:type="pct"/>
            <w:vAlign w:val="center"/>
          </w:tcPr>
          <w:p w14:paraId="16B2A912" w14:textId="77777777" w:rsidR="005E000F" w:rsidRDefault="00000000">
            <w:pPr>
              <w:jc w:val="right"/>
              <w:rPr>
                <w:sz w:val="13"/>
                <w:szCs w:val="13"/>
              </w:rPr>
            </w:pPr>
            <w:r>
              <w:rPr>
                <w:sz w:val="13"/>
                <w:szCs w:val="13"/>
              </w:rPr>
              <w:t>332,090,968</w:t>
            </w:r>
          </w:p>
        </w:tc>
        <w:tc>
          <w:tcPr>
            <w:tcW w:w="402" w:type="pct"/>
            <w:vAlign w:val="center"/>
          </w:tcPr>
          <w:p w14:paraId="5F0CE2B1" w14:textId="77777777" w:rsidR="005E000F" w:rsidRDefault="00000000">
            <w:pPr>
              <w:jc w:val="right"/>
              <w:rPr>
                <w:sz w:val="13"/>
                <w:szCs w:val="13"/>
              </w:rPr>
            </w:pPr>
            <w:r>
              <w:rPr>
                <w:sz w:val="13"/>
                <w:szCs w:val="13"/>
              </w:rPr>
              <w:t>79,787,953</w:t>
            </w:r>
          </w:p>
        </w:tc>
        <w:tc>
          <w:tcPr>
            <w:tcW w:w="453" w:type="pct"/>
            <w:vAlign w:val="center"/>
          </w:tcPr>
          <w:p w14:paraId="0C618143" w14:textId="77777777" w:rsidR="005E000F" w:rsidRDefault="00000000">
            <w:pPr>
              <w:jc w:val="right"/>
              <w:rPr>
                <w:sz w:val="13"/>
                <w:szCs w:val="13"/>
              </w:rPr>
            </w:pPr>
            <w:r>
              <w:rPr>
                <w:sz w:val="13"/>
                <w:szCs w:val="13"/>
              </w:rPr>
              <w:t>12,317,706</w:t>
            </w:r>
          </w:p>
        </w:tc>
        <w:tc>
          <w:tcPr>
            <w:tcW w:w="401" w:type="pct"/>
            <w:vAlign w:val="center"/>
          </w:tcPr>
          <w:p w14:paraId="13A89C78" w14:textId="77777777" w:rsidR="005E000F" w:rsidRDefault="00000000">
            <w:pPr>
              <w:jc w:val="right"/>
              <w:rPr>
                <w:sz w:val="13"/>
                <w:szCs w:val="13"/>
              </w:rPr>
            </w:pPr>
            <w:r>
              <w:rPr>
                <w:sz w:val="13"/>
                <w:szCs w:val="13"/>
              </w:rPr>
              <w:t>70,459,707</w:t>
            </w:r>
          </w:p>
        </w:tc>
        <w:tc>
          <w:tcPr>
            <w:tcW w:w="351" w:type="pct"/>
            <w:vAlign w:val="center"/>
          </w:tcPr>
          <w:p w14:paraId="468752C1" w14:textId="77777777" w:rsidR="005E000F" w:rsidRDefault="00000000">
            <w:pPr>
              <w:jc w:val="right"/>
              <w:rPr>
                <w:sz w:val="13"/>
                <w:szCs w:val="13"/>
              </w:rPr>
            </w:pPr>
            <w:r>
              <w:rPr>
                <w:sz w:val="13"/>
                <w:szCs w:val="13"/>
              </w:rPr>
              <w:t>67,259,924</w:t>
            </w:r>
          </w:p>
        </w:tc>
        <w:tc>
          <w:tcPr>
            <w:tcW w:w="402" w:type="pct"/>
            <w:vAlign w:val="center"/>
          </w:tcPr>
          <w:p w14:paraId="507E8191" w14:textId="77777777" w:rsidR="005E000F" w:rsidRDefault="00000000">
            <w:pPr>
              <w:jc w:val="right"/>
              <w:rPr>
                <w:sz w:val="13"/>
                <w:szCs w:val="13"/>
              </w:rPr>
            </w:pPr>
            <w:r>
              <w:rPr>
                <w:sz w:val="13"/>
                <w:szCs w:val="13"/>
              </w:rPr>
              <w:t>5,909,679</w:t>
            </w:r>
          </w:p>
        </w:tc>
        <w:tc>
          <w:tcPr>
            <w:tcW w:w="452" w:type="pct"/>
            <w:vAlign w:val="center"/>
          </w:tcPr>
          <w:p w14:paraId="203D6E25" w14:textId="77777777" w:rsidR="005E000F" w:rsidRDefault="00000000">
            <w:pPr>
              <w:jc w:val="right"/>
              <w:rPr>
                <w:sz w:val="13"/>
                <w:szCs w:val="13"/>
              </w:rPr>
            </w:pPr>
            <w:r>
              <w:rPr>
                <w:sz w:val="13"/>
                <w:szCs w:val="13"/>
              </w:rPr>
              <w:t>208,958,375</w:t>
            </w:r>
          </w:p>
        </w:tc>
        <w:tc>
          <w:tcPr>
            <w:tcW w:w="396" w:type="pct"/>
            <w:vAlign w:val="center"/>
          </w:tcPr>
          <w:p w14:paraId="6FB74C71" w14:textId="77777777" w:rsidR="005E000F" w:rsidRDefault="00000000">
            <w:pPr>
              <w:jc w:val="right"/>
              <w:rPr>
                <w:sz w:val="13"/>
                <w:szCs w:val="13"/>
              </w:rPr>
            </w:pPr>
            <w:r>
              <w:rPr>
                <w:sz w:val="13"/>
                <w:szCs w:val="13"/>
              </w:rPr>
              <w:t>40,855,107</w:t>
            </w:r>
          </w:p>
        </w:tc>
        <w:tc>
          <w:tcPr>
            <w:tcW w:w="395" w:type="pct"/>
            <w:vAlign w:val="center"/>
          </w:tcPr>
          <w:p w14:paraId="65FC846F" w14:textId="77777777" w:rsidR="005E000F" w:rsidRDefault="00000000">
            <w:pPr>
              <w:jc w:val="right"/>
              <w:rPr>
                <w:sz w:val="13"/>
                <w:szCs w:val="13"/>
              </w:rPr>
            </w:pPr>
            <w:r>
              <w:rPr>
                <w:sz w:val="13"/>
                <w:szCs w:val="13"/>
              </w:rPr>
              <w:t>1,051,032,102</w:t>
            </w:r>
          </w:p>
        </w:tc>
      </w:tr>
      <w:tr w:rsidR="005E000F" w14:paraId="7E088EE5" w14:textId="77777777">
        <w:sdt>
          <w:sdtPr>
            <w:rPr>
              <w:rFonts w:hint="eastAsia"/>
              <w:sz w:val="13"/>
              <w:szCs w:val="13"/>
            </w:rPr>
            <w:alias w:val="固定资产账面原值减少项目名称"/>
            <w:tag w:val="_GBC_bf0a28cbddd8409cb7657fa18a522437"/>
            <w:id w:val="848911914"/>
          </w:sdtPr>
          <w:sdtContent>
            <w:tc>
              <w:tcPr>
                <w:tcW w:w="442" w:type="pct"/>
                <w:vAlign w:val="center"/>
              </w:tcPr>
              <w:p w14:paraId="53643BDC" w14:textId="77777777" w:rsidR="005E000F" w:rsidRDefault="00000000">
                <w:pPr>
                  <w:ind w:firstLineChars="200" w:firstLine="260"/>
                  <w:rPr>
                    <w:sz w:val="13"/>
                    <w:szCs w:val="13"/>
                  </w:rPr>
                </w:pPr>
                <w:r>
                  <w:rPr>
                    <w:rFonts w:hint="eastAsia"/>
                    <w:sz w:val="13"/>
                    <w:szCs w:val="13"/>
                  </w:rPr>
                  <w:t>（</w:t>
                </w:r>
                <w:r>
                  <w:rPr>
                    <w:rFonts w:hint="eastAsia"/>
                    <w:sz w:val="13"/>
                    <w:szCs w:val="13"/>
                  </w:rPr>
                  <w:t>2</w:t>
                </w:r>
                <w:r>
                  <w:rPr>
                    <w:rFonts w:hint="eastAsia"/>
                    <w:sz w:val="13"/>
                    <w:szCs w:val="13"/>
                  </w:rPr>
                  <w:t>）大修转入在建工程</w:t>
                </w:r>
              </w:p>
            </w:tc>
          </w:sdtContent>
        </w:sdt>
        <w:tc>
          <w:tcPr>
            <w:tcW w:w="402" w:type="pct"/>
            <w:vAlign w:val="center"/>
          </w:tcPr>
          <w:p w14:paraId="4759396B" w14:textId="77777777" w:rsidR="005E000F" w:rsidRDefault="00000000">
            <w:pPr>
              <w:jc w:val="right"/>
              <w:rPr>
                <w:sz w:val="13"/>
                <w:szCs w:val="13"/>
              </w:rPr>
            </w:pPr>
            <w:r>
              <w:rPr>
                <w:sz w:val="13"/>
                <w:szCs w:val="13"/>
              </w:rPr>
              <w:t>322,271,957</w:t>
            </w:r>
          </w:p>
        </w:tc>
        <w:tc>
          <w:tcPr>
            <w:tcW w:w="401" w:type="pct"/>
            <w:vAlign w:val="center"/>
          </w:tcPr>
          <w:p w14:paraId="44FC9730" w14:textId="77777777" w:rsidR="005E000F" w:rsidRDefault="00000000">
            <w:pPr>
              <w:jc w:val="right"/>
              <w:rPr>
                <w:sz w:val="13"/>
                <w:szCs w:val="13"/>
              </w:rPr>
            </w:pPr>
            <w:r>
              <w:rPr>
                <w:sz w:val="13"/>
                <w:szCs w:val="13"/>
              </w:rPr>
              <w:t>7,861,706,808</w:t>
            </w:r>
          </w:p>
        </w:tc>
        <w:tc>
          <w:tcPr>
            <w:tcW w:w="503" w:type="pct"/>
            <w:vAlign w:val="center"/>
          </w:tcPr>
          <w:p w14:paraId="2940D3B2" w14:textId="77777777" w:rsidR="005E000F" w:rsidRDefault="00000000">
            <w:pPr>
              <w:jc w:val="right"/>
              <w:rPr>
                <w:sz w:val="13"/>
                <w:szCs w:val="13"/>
              </w:rPr>
            </w:pPr>
            <w:r>
              <w:rPr>
                <w:sz w:val="13"/>
                <w:szCs w:val="13"/>
              </w:rPr>
              <w:t>2,693,799,589</w:t>
            </w:r>
          </w:p>
        </w:tc>
        <w:tc>
          <w:tcPr>
            <w:tcW w:w="402" w:type="pct"/>
            <w:vAlign w:val="center"/>
          </w:tcPr>
          <w:p w14:paraId="3706238A" w14:textId="77777777" w:rsidR="005E000F" w:rsidRDefault="00000000">
            <w:pPr>
              <w:jc w:val="right"/>
              <w:rPr>
                <w:sz w:val="13"/>
                <w:szCs w:val="13"/>
              </w:rPr>
            </w:pPr>
            <w:r>
              <w:rPr>
                <w:sz w:val="13"/>
                <w:szCs w:val="13"/>
              </w:rPr>
              <w:t>45,669,707</w:t>
            </w:r>
          </w:p>
        </w:tc>
        <w:tc>
          <w:tcPr>
            <w:tcW w:w="453" w:type="pct"/>
            <w:vAlign w:val="center"/>
          </w:tcPr>
          <w:p w14:paraId="018E30BD" w14:textId="77777777" w:rsidR="005E000F" w:rsidRDefault="00000000">
            <w:pPr>
              <w:jc w:val="right"/>
              <w:rPr>
                <w:sz w:val="13"/>
                <w:szCs w:val="13"/>
              </w:rPr>
            </w:pPr>
            <w:r>
              <w:rPr>
                <w:sz w:val="13"/>
                <w:szCs w:val="13"/>
              </w:rPr>
              <w:t>15,441,540</w:t>
            </w:r>
          </w:p>
        </w:tc>
        <w:tc>
          <w:tcPr>
            <w:tcW w:w="401" w:type="pct"/>
            <w:vAlign w:val="center"/>
          </w:tcPr>
          <w:p w14:paraId="46F080B3" w14:textId="77777777" w:rsidR="005E000F" w:rsidRDefault="00000000">
            <w:pPr>
              <w:jc w:val="right"/>
              <w:rPr>
                <w:sz w:val="13"/>
                <w:szCs w:val="13"/>
              </w:rPr>
            </w:pPr>
            <w:r>
              <w:rPr>
                <w:sz w:val="13"/>
                <w:szCs w:val="13"/>
              </w:rPr>
              <w:t>63,513,362</w:t>
            </w:r>
          </w:p>
        </w:tc>
        <w:tc>
          <w:tcPr>
            <w:tcW w:w="351" w:type="pct"/>
            <w:vAlign w:val="center"/>
          </w:tcPr>
          <w:p w14:paraId="13863C28" w14:textId="77777777" w:rsidR="005E000F" w:rsidRDefault="00000000">
            <w:pPr>
              <w:jc w:val="right"/>
              <w:rPr>
                <w:sz w:val="13"/>
                <w:szCs w:val="13"/>
              </w:rPr>
            </w:pPr>
            <w:r>
              <w:rPr>
                <w:sz w:val="13"/>
                <w:szCs w:val="13"/>
              </w:rPr>
              <w:t>16,674,988</w:t>
            </w:r>
          </w:p>
        </w:tc>
        <w:tc>
          <w:tcPr>
            <w:tcW w:w="402" w:type="pct"/>
            <w:vAlign w:val="center"/>
          </w:tcPr>
          <w:p w14:paraId="1FBE8367" w14:textId="77777777" w:rsidR="005E000F" w:rsidRDefault="00000000">
            <w:pPr>
              <w:jc w:val="right"/>
              <w:rPr>
                <w:sz w:val="13"/>
                <w:szCs w:val="13"/>
              </w:rPr>
            </w:pPr>
            <w:r>
              <w:rPr>
                <w:sz w:val="13"/>
                <w:szCs w:val="13"/>
              </w:rPr>
              <w:t>79,256</w:t>
            </w:r>
          </w:p>
        </w:tc>
        <w:tc>
          <w:tcPr>
            <w:tcW w:w="452" w:type="pct"/>
            <w:vAlign w:val="center"/>
          </w:tcPr>
          <w:p w14:paraId="6AC3DB16" w14:textId="77777777" w:rsidR="005E000F" w:rsidRDefault="00000000">
            <w:pPr>
              <w:jc w:val="right"/>
              <w:rPr>
                <w:sz w:val="13"/>
                <w:szCs w:val="13"/>
              </w:rPr>
            </w:pPr>
            <w:r>
              <w:rPr>
                <w:sz w:val="13"/>
                <w:szCs w:val="13"/>
              </w:rPr>
              <w:t>11,782,539</w:t>
            </w:r>
          </w:p>
        </w:tc>
        <w:tc>
          <w:tcPr>
            <w:tcW w:w="396" w:type="pct"/>
            <w:vAlign w:val="center"/>
          </w:tcPr>
          <w:p w14:paraId="76B8BE92" w14:textId="77777777" w:rsidR="005E000F" w:rsidRDefault="00000000">
            <w:pPr>
              <w:jc w:val="right"/>
              <w:rPr>
                <w:sz w:val="13"/>
                <w:szCs w:val="13"/>
              </w:rPr>
            </w:pPr>
            <w:r>
              <w:rPr>
                <w:sz w:val="13"/>
                <w:szCs w:val="13"/>
              </w:rPr>
              <w:t>12,590,572</w:t>
            </w:r>
          </w:p>
        </w:tc>
        <w:tc>
          <w:tcPr>
            <w:tcW w:w="395" w:type="pct"/>
            <w:vAlign w:val="center"/>
          </w:tcPr>
          <w:p w14:paraId="2873D03D" w14:textId="77777777" w:rsidR="005E000F" w:rsidRDefault="00000000">
            <w:pPr>
              <w:jc w:val="right"/>
              <w:rPr>
                <w:sz w:val="13"/>
                <w:szCs w:val="13"/>
              </w:rPr>
            </w:pPr>
            <w:r>
              <w:rPr>
                <w:sz w:val="13"/>
                <w:szCs w:val="13"/>
              </w:rPr>
              <w:t>11,043,530,318</w:t>
            </w:r>
          </w:p>
        </w:tc>
      </w:tr>
      <w:tr w:rsidR="005E000F" w14:paraId="1274BDE3" w14:textId="77777777">
        <w:sdt>
          <w:sdtPr>
            <w:rPr>
              <w:rFonts w:hint="eastAsia"/>
              <w:sz w:val="13"/>
              <w:szCs w:val="13"/>
            </w:rPr>
            <w:alias w:val="固定资产账面原值减少项目名称"/>
            <w:tag w:val="_GBC_bf0a28cbddd8409cb7657fa18a522437"/>
            <w:id w:val="1066456150"/>
          </w:sdtPr>
          <w:sdtContent>
            <w:tc>
              <w:tcPr>
                <w:tcW w:w="442" w:type="pct"/>
                <w:vAlign w:val="center"/>
              </w:tcPr>
              <w:p w14:paraId="295EE61F" w14:textId="77777777" w:rsidR="005E000F" w:rsidRDefault="00000000">
                <w:pPr>
                  <w:ind w:firstLineChars="200" w:firstLine="260"/>
                  <w:rPr>
                    <w:sz w:val="13"/>
                    <w:szCs w:val="13"/>
                  </w:rPr>
                </w:pPr>
                <w:r>
                  <w:rPr>
                    <w:rFonts w:hint="eastAsia"/>
                    <w:sz w:val="13"/>
                    <w:szCs w:val="13"/>
                  </w:rPr>
                  <w:t>（</w:t>
                </w:r>
                <w:r>
                  <w:rPr>
                    <w:rFonts w:hint="eastAsia"/>
                    <w:sz w:val="13"/>
                    <w:szCs w:val="13"/>
                  </w:rPr>
                  <w:t>3</w:t>
                </w:r>
                <w:r>
                  <w:rPr>
                    <w:rFonts w:hint="eastAsia"/>
                    <w:sz w:val="13"/>
                    <w:szCs w:val="13"/>
                  </w:rPr>
                  <w:t>）大修转入成本</w:t>
                </w:r>
              </w:p>
            </w:tc>
          </w:sdtContent>
        </w:sdt>
        <w:tc>
          <w:tcPr>
            <w:tcW w:w="402" w:type="pct"/>
            <w:vAlign w:val="center"/>
          </w:tcPr>
          <w:p w14:paraId="38AF01B6" w14:textId="77777777" w:rsidR="005E000F" w:rsidRDefault="00000000">
            <w:pPr>
              <w:jc w:val="right"/>
              <w:rPr>
                <w:sz w:val="13"/>
                <w:szCs w:val="13"/>
              </w:rPr>
            </w:pPr>
            <w:r>
              <w:rPr>
                <w:sz w:val="13"/>
                <w:szCs w:val="13"/>
              </w:rPr>
              <w:t>18,646,521</w:t>
            </w:r>
          </w:p>
        </w:tc>
        <w:tc>
          <w:tcPr>
            <w:tcW w:w="401" w:type="pct"/>
            <w:vAlign w:val="center"/>
          </w:tcPr>
          <w:p w14:paraId="2CE183C7" w14:textId="77777777" w:rsidR="005E000F" w:rsidRDefault="00000000">
            <w:pPr>
              <w:jc w:val="right"/>
              <w:rPr>
                <w:sz w:val="13"/>
                <w:szCs w:val="13"/>
              </w:rPr>
            </w:pPr>
            <w:r>
              <w:rPr>
                <w:sz w:val="13"/>
                <w:szCs w:val="13"/>
              </w:rPr>
              <w:t>749,478,222</w:t>
            </w:r>
          </w:p>
        </w:tc>
        <w:tc>
          <w:tcPr>
            <w:tcW w:w="503" w:type="pct"/>
            <w:vAlign w:val="center"/>
          </w:tcPr>
          <w:p w14:paraId="628928E8" w14:textId="77777777" w:rsidR="005E000F" w:rsidRDefault="00000000">
            <w:pPr>
              <w:jc w:val="right"/>
              <w:rPr>
                <w:sz w:val="13"/>
                <w:szCs w:val="13"/>
              </w:rPr>
            </w:pPr>
            <w:r>
              <w:rPr>
                <w:sz w:val="13"/>
                <w:szCs w:val="13"/>
              </w:rPr>
              <w:t>103,913,727</w:t>
            </w:r>
          </w:p>
        </w:tc>
        <w:tc>
          <w:tcPr>
            <w:tcW w:w="402" w:type="pct"/>
            <w:vAlign w:val="center"/>
          </w:tcPr>
          <w:p w14:paraId="42F32E4A" w14:textId="77777777" w:rsidR="005E000F" w:rsidRDefault="00000000">
            <w:pPr>
              <w:jc w:val="right"/>
              <w:rPr>
                <w:sz w:val="13"/>
                <w:szCs w:val="13"/>
              </w:rPr>
            </w:pPr>
            <w:r>
              <w:rPr>
                <w:sz w:val="13"/>
                <w:szCs w:val="13"/>
              </w:rPr>
              <w:t>208,314,133</w:t>
            </w:r>
          </w:p>
        </w:tc>
        <w:tc>
          <w:tcPr>
            <w:tcW w:w="453" w:type="pct"/>
            <w:vAlign w:val="center"/>
          </w:tcPr>
          <w:p w14:paraId="064396D7" w14:textId="77777777" w:rsidR="005E000F" w:rsidRDefault="00000000">
            <w:pPr>
              <w:jc w:val="right"/>
              <w:rPr>
                <w:sz w:val="13"/>
                <w:szCs w:val="13"/>
              </w:rPr>
            </w:pPr>
            <w:r>
              <w:rPr>
                <w:sz w:val="13"/>
                <w:szCs w:val="13"/>
              </w:rPr>
              <w:t>22,814,944</w:t>
            </w:r>
          </w:p>
        </w:tc>
        <w:tc>
          <w:tcPr>
            <w:tcW w:w="401" w:type="pct"/>
            <w:vAlign w:val="center"/>
          </w:tcPr>
          <w:p w14:paraId="69FE744B" w14:textId="77777777" w:rsidR="005E000F" w:rsidRDefault="00000000">
            <w:pPr>
              <w:jc w:val="right"/>
              <w:rPr>
                <w:sz w:val="13"/>
                <w:szCs w:val="13"/>
              </w:rPr>
            </w:pPr>
            <w:r>
              <w:rPr>
                <w:sz w:val="13"/>
                <w:szCs w:val="13"/>
              </w:rPr>
              <w:t>4,814,070</w:t>
            </w:r>
          </w:p>
        </w:tc>
        <w:tc>
          <w:tcPr>
            <w:tcW w:w="351" w:type="pct"/>
            <w:vAlign w:val="center"/>
          </w:tcPr>
          <w:p w14:paraId="61C0584E" w14:textId="77777777" w:rsidR="005E000F" w:rsidRDefault="00000000">
            <w:pPr>
              <w:jc w:val="right"/>
              <w:rPr>
                <w:sz w:val="13"/>
                <w:szCs w:val="13"/>
              </w:rPr>
            </w:pPr>
            <w:r>
              <w:rPr>
                <w:sz w:val="13"/>
                <w:szCs w:val="13"/>
              </w:rPr>
              <w:t>1,562,268</w:t>
            </w:r>
          </w:p>
        </w:tc>
        <w:tc>
          <w:tcPr>
            <w:tcW w:w="402" w:type="pct"/>
            <w:vAlign w:val="center"/>
          </w:tcPr>
          <w:p w14:paraId="2B089A3B" w14:textId="77777777" w:rsidR="005E000F" w:rsidRDefault="00000000">
            <w:pPr>
              <w:jc w:val="right"/>
              <w:rPr>
                <w:sz w:val="13"/>
                <w:szCs w:val="13"/>
              </w:rPr>
            </w:pPr>
            <w:r>
              <w:rPr>
                <w:sz w:val="13"/>
                <w:szCs w:val="13"/>
              </w:rPr>
              <w:t>1,347,767</w:t>
            </w:r>
          </w:p>
        </w:tc>
        <w:tc>
          <w:tcPr>
            <w:tcW w:w="452" w:type="pct"/>
            <w:vAlign w:val="center"/>
          </w:tcPr>
          <w:p w14:paraId="04118083" w14:textId="77777777" w:rsidR="005E000F" w:rsidRDefault="00000000">
            <w:pPr>
              <w:jc w:val="right"/>
              <w:rPr>
                <w:sz w:val="13"/>
                <w:szCs w:val="13"/>
              </w:rPr>
            </w:pPr>
            <w:r>
              <w:rPr>
                <w:sz w:val="13"/>
                <w:szCs w:val="13"/>
              </w:rPr>
              <w:t>1,980,963</w:t>
            </w:r>
          </w:p>
        </w:tc>
        <w:tc>
          <w:tcPr>
            <w:tcW w:w="396" w:type="pct"/>
            <w:vAlign w:val="center"/>
          </w:tcPr>
          <w:p w14:paraId="2E7BC21C" w14:textId="77777777" w:rsidR="005E000F" w:rsidRDefault="00000000">
            <w:pPr>
              <w:jc w:val="right"/>
              <w:rPr>
                <w:sz w:val="13"/>
                <w:szCs w:val="13"/>
              </w:rPr>
            </w:pPr>
            <w:r>
              <w:rPr>
                <w:sz w:val="13"/>
                <w:szCs w:val="13"/>
              </w:rPr>
              <w:t>929,256</w:t>
            </w:r>
          </w:p>
        </w:tc>
        <w:tc>
          <w:tcPr>
            <w:tcW w:w="395" w:type="pct"/>
            <w:vAlign w:val="center"/>
          </w:tcPr>
          <w:p w14:paraId="5CD27F91" w14:textId="77777777" w:rsidR="005E000F" w:rsidRDefault="00000000">
            <w:pPr>
              <w:jc w:val="right"/>
              <w:rPr>
                <w:sz w:val="13"/>
                <w:szCs w:val="13"/>
              </w:rPr>
            </w:pPr>
            <w:r>
              <w:rPr>
                <w:sz w:val="13"/>
                <w:szCs w:val="13"/>
              </w:rPr>
              <w:t>1,113,801,871</w:t>
            </w:r>
          </w:p>
        </w:tc>
      </w:tr>
      <w:tr w:rsidR="005E000F" w14:paraId="41B7F5DA" w14:textId="77777777">
        <w:sdt>
          <w:sdtPr>
            <w:rPr>
              <w:sz w:val="13"/>
              <w:szCs w:val="13"/>
            </w:rPr>
            <w:tag w:val="_PLD_3fb9f6c6a0b842188aea461d99c9adab"/>
            <w:id w:val="-680746402"/>
          </w:sdtPr>
          <w:sdtContent>
            <w:tc>
              <w:tcPr>
                <w:tcW w:w="442" w:type="pct"/>
                <w:vAlign w:val="center"/>
              </w:tcPr>
              <w:p w14:paraId="23A569A2" w14:textId="77777777" w:rsidR="005E000F" w:rsidRDefault="00000000">
                <w:pPr>
                  <w:ind w:firstLineChars="200" w:firstLine="260"/>
                  <w:rPr>
                    <w:sz w:val="13"/>
                    <w:szCs w:val="13"/>
                  </w:rPr>
                </w:pPr>
                <w:r>
                  <w:rPr>
                    <w:rFonts w:hint="eastAsia"/>
                    <w:sz w:val="13"/>
                    <w:szCs w:val="13"/>
                  </w:rPr>
                  <w:t>4.</w:t>
                </w:r>
                <w:r>
                  <w:rPr>
                    <w:rFonts w:hint="eastAsia"/>
                    <w:sz w:val="13"/>
                    <w:szCs w:val="13"/>
                  </w:rPr>
                  <w:t>期末余额</w:t>
                </w:r>
              </w:p>
            </w:tc>
          </w:sdtContent>
        </w:sdt>
        <w:tc>
          <w:tcPr>
            <w:tcW w:w="402" w:type="pct"/>
            <w:vAlign w:val="center"/>
          </w:tcPr>
          <w:p w14:paraId="1BD24039" w14:textId="77777777" w:rsidR="005E000F" w:rsidRDefault="00000000">
            <w:pPr>
              <w:jc w:val="right"/>
              <w:rPr>
                <w:sz w:val="13"/>
                <w:szCs w:val="13"/>
              </w:rPr>
            </w:pPr>
            <w:r>
              <w:rPr>
                <w:sz w:val="13"/>
                <w:szCs w:val="13"/>
              </w:rPr>
              <w:t>15,194,750,675</w:t>
            </w:r>
          </w:p>
        </w:tc>
        <w:tc>
          <w:tcPr>
            <w:tcW w:w="401" w:type="pct"/>
            <w:vAlign w:val="center"/>
          </w:tcPr>
          <w:p w14:paraId="6BF69269" w14:textId="77777777" w:rsidR="005E000F" w:rsidRDefault="00000000">
            <w:pPr>
              <w:jc w:val="right"/>
              <w:rPr>
                <w:sz w:val="13"/>
                <w:szCs w:val="13"/>
              </w:rPr>
            </w:pPr>
            <w:r>
              <w:rPr>
                <w:sz w:val="13"/>
                <w:szCs w:val="13"/>
              </w:rPr>
              <w:t>37,249,934,140</w:t>
            </w:r>
          </w:p>
        </w:tc>
        <w:tc>
          <w:tcPr>
            <w:tcW w:w="503" w:type="pct"/>
            <w:vAlign w:val="center"/>
          </w:tcPr>
          <w:p w14:paraId="6D5BBFD3" w14:textId="77777777" w:rsidR="005E000F" w:rsidRDefault="00000000">
            <w:pPr>
              <w:jc w:val="right"/>
              <w:rPr>
                <w:sz w:val="13"/>
                <w:szCs w:val="13"/>
              </w:rPr>
            </w:pPr>
            <w:r>
              <w:rPr>
                <w:sz w:val="13"/>
                <w:szCs w:val="13"/>
              </w:rPr>
              <w:t>63,328,597,566</w:t>
            </w:r>
          </w:p>
        </w:tc>
        <w:tc>
          <w:tcPr>
            <w:tcW w:w="402" w:type="pct"/>
            <w:vAlign w:val="center"/>
          </w:tcPr>
          <w:p w14:paraId="73DB0141" w14:textId="77777777" w:rsidR="005E000F" w:rsidRDefault="00000000">
            <w:pPr>
              <w:jc w:val="right"/>
              <w:rPr>
                <w:sz w:val="13"/>
                <w:szCs w:val="13"/>
              </w:rPr>
            </w:pPr>
            <w:r>
              <w:rPr>
                <w:sz w:val="13"/>
                <w:szCs w:val="13"/>
              </w:rPr>
              <w:t>10,678,087,137</w:t>
            </w:r>
          </w:p>
        </w:tc>
        <w:tc>
          <w:tcPr>
            <w:tcW w:w="453" w:type="pct"/>
            <w:vAlign w:val="center"/>
          </w:tcPr>
          <w:p w14:paraId="33CC0157" w14:textId="77777777" w:rsidR="005E000F" w:rsidRDefault="00000000">
            <w:pPr>
              <w:jc w:val="right"/>
              <w:rPr>
                <w:sz w:val="13"/>
                <w:szCs w:val="13"/>
              </w:rPr>
            </w:pPr>
            <w:r>
              <w:rPr>
                <w:sz w:val="13"/>
                <w:szCs w:val="13"/>
              </w:rPr>
              <w:t>8,063,610,727</w:t>
            </w:r>
          </w:p>
        </w:tc>
        <w:tc>
          <w:tcPr>
            <w:tcW w:w="401" w:type="pct"/>
            <w:vAlign w:val="center"/>
          </w:tcPr>
          <w:p w14:paraId="345C41A5" w14:textId="77777777" w:rsidR="005E000F" w:rsidRDefault="00000000">
            <w:pPr>
              <w:jc w:val="right"/>
              <w:rPr>
                <w:sz w:val="13"/>
                <w:szCs w:val="13"/>
              </w:rPr>
            </w:pPr>
            <w:r>
              <w:rPr>
                <w:sz w:val="13"/>
                <w:szCs w:val="13"/>
              </w:rPr>
              <w:t>2,119,750,892</w:t>
            </w:r>
          </w:p>
        </w:tc>
        <w:tc>
          <w:tcPr>
            <w:tcW w:w="351" w:type="pct"/>
            <w:vAlign w:val="center"/>
          </w:tcPr>
          <w:p w14:paraId="524F2504" w14:textId="77777777" w:rsidR="005E000F" w:rsidRDefault="00000000">
            <w:pPr>
              <w:jc w:val="right"/>
              <w:rPr>
                <w:sz w:val="13"/>
                <w:szCs w:val="13"/>
              </w:rPr>
            </w:pPr>
            <w:r>
              <w:rPr>
                <w:sz w:val="13"/>
                <w:szCs w:val="13"/>
              </w:rPr>
              <w:t>989,018,596</w:t>
            </w:r>
          </w:p>
        </w:tc>
        <w:tc>
          <w:tcPr>
            <w:tcW w:w="402" w:type="pct"/>
            <w:vAlign w:val="center"/>
          </w:tcPr>
          <w:p w14:paraId="414BEEA2" w14:textId="77777777" w:rsidR="005E000F" w:rsidRDefault="00000000">
            <w:pPr>
              <w:jc w:val="right"/>
              <w:rPr>
                <w:sz w:val="13"/>
                <w:szCs w:val="13"/>
              </w:rPr>
            </w:pPr>
            <w:r>
              <w:rPr>
                <w:sz w:val="13"/>
                <w:szCs w:val="13"/>
              </w:rPr>
              <w:t>3,382,894,197</w:t>
            </w:r>
          </w:p>
        </w:tc>
        <w:tc>
          <w:tcPr>
            <w:tcW w:w="452" w:type="pct"/>
            <w:vAlign w:val="center"/>
          </w:tcPr>
          <w:p w14:paraId="190E9113" w14:textId="77777777" w:rsidR="005E000F" w:rsidRDefault="00000000">
            <w:pPr>
              <w:jc w:val="right"/>
              <w:rPr>
                <w:sz w:val="13"/>
                <w:szCs w:val="13"/>
              </w:rPr>
            </w:pPr>
            <w:r>
              <w:rPr>
                <w:sz w:val="13"/>
                <w:szCs w:val="13"/>
              </w:rPr>
              <w:t>4,678,488,854</w:t>
            </w:r>
          </w:p>
        </w:tc>
        <w:tc>
          <w:tcPr>
            <w:tcW w:w="396" w:type="pct"/>
            <w:vAlign w:val="center"/>
          </w:tcPr>
          <w:p w14:paraId="5EE03FAC" w14:textId="77777777" w:rsidR="005E000F" w:rsidRDefault="00000000">
            <w:pPr>
              <w:jc w:val="right"/>
              <w:rPr>
                <w:sz w:val="13"/>
                <w:szCs w:val="13"/>
              </w:rPr>
            </w:pPr>
            <w:r>
              <w:rPr>
                <w:sz w:val="13"/>
                <w:szCs w:val="13"/>
              </w:rPr>
              <w:t>947,680,515</w:t>
            </w:r>
          </w:p>
        </w:tc>
        <w:tc>
          <w:tcPr>
            <w:tcW w:w="395" w:type="pct"/>
            <w:vAlign w:val="center"/>
          </w:tcPr>
          <w:p w14:paraId="5BF7850C" w14:textId="77777777" w:rsidR="005E000F" w:rsidRDefault="00000000">
            <w:pPr>
              <w:jc w:val="right"/>
              <w:rPr>
                <w:sz w:val="13"/>
                <w:szCs w:val="13"/>
              </w:rPr>
            </w:pPr>
            <w:r>
              <w:rPr>
                <w:sz w:val="13"/>
                <w:szCs w:val="13"/>
              </w:rPr>
              <w:t>146,632,813,299</w:t>
            </w:r>
          </w:p>
        </w:tc>
      </w:tr>
      <w:tr w:rsidR="005E000F" w14:paraId="6DDFD8E2" w14:textId="77777777">
        <w:sdt>
          <w:sdtPr>
            <w:rPr>
              <w:sz w:val="13"/>
              <w:szCs w:val="13"/>
            </w:rPr>
            <w:tag w:val="_PLD_14f44e7a4341414ca27a4047f9622e44"/>
            <w:id w:val="1460992258"/>
          </w:sdtPr>
          <w:sdtContent>
            <w:tc>
              <w:tcPr>
                <w:tcW w:w="5000" w:type="pct"/>
                <w:gridSpan w:val="12"/>
                <w:vAlign w:val="center"/>
              </w:tcPr>
              <w:p w14:paraId="495F7387" w14:textId="77777777" w:rsidR="005E000F" w:rsidRDefault="00000000">
                <w:pPr>
                  <w:rPr>
                    <w:sz w:val="13"/>
                    <w:szCs w:val="13"/>
                  </w:rPr>
                </w:pPr>
                <w:r>
                  <w:rPr>
                    <w:rFonts w:hint="eastAsia"/>
                    <w:sz w:val="13"/>
                    <w:szCs w:val="13"/>
                  </w:rPr>
                  <w:t>二、累计折旧</w:t>
                </w:r>
              </w:p>
            </w:tc>
          </w:sdtContent>
        </w:sdt>
      </w:tr>
      <w:tr w:rsidR="005E000F" w14:paraId="1DBB3642" w14:textId="77777777">
        <w:sdt>
          <w:sdtPr>
            <w:rPr>
              <w:sz w:val="13"/>
              <w:szCs w:val="13"/>
            </w:rPr>
            <w:tag w:val="_PLD_bdfb76068a2a4a95ab0a3bcf1b094bf2"/>
            <w:id w:val="549198481"/>
          </w:sdtPr>
          <w:sdtContent>
            <w:tc>
              <w:tcPr>
                <w:tcW w:w="442" w:type="pct"/>
                <w:vAlign w:val="center"/>
              </w:tcPr>
              <w:p w14:paraId="3F9043F2" w14:textId="77777777" w:rsidR="005E000F" w:rsidRDefault="00000000">
                <w:pPr>
                  <w:ind w:firstLineChars="200" w:firstLine="260"/>
                  <w:rPr>
                    <w:sz w:val="13"/>
                    <w:szCs w:val="13"/>
                  </w:rPr>
                </w:pPr>
                <w:r>
                  <w:rPr>
                    <w:sz w:val="13"/>
                    <w:szCs w:val="13"/>
                  </w:rPr>
                  <w:t>1.</w:t>
                </w:r>
                <w:r>
                  <w:rPr>
                    <w:rFonts w:hint="eastAsia"/>
                    <w:sz w:val="13"/>
                    <w:szCs w:val="13"/>
                  </w:rPr>
                  <w:t>期初余额</w:t>
                </w:r>
              </w:p>
            </w:tc>
          </w:sdtContent>
        </w:sdt>
        <w:tc>
          <w:tcPr>
            <w:tcW w:w="402" w:type="pct"/>
            <w:vAlign w:val="center"/>
          </w:tcPr>
          <w:p w14:paraId="1C8B7FD8" w14:textId="77777777" w:rsidR="005E000F" w:rsidRDefault="00000000">
            <w:pPr>
              <w:jc w:val="right"/>
              <w:rPr>
                <w:sz w:val="13"/>
                <w:szCs w:val="13"/>
              </w:rPr>
            </w:pPr>
            <w:r>
              <w:rPr>
                <w:sz w:val="13"/>
                <w:szCs w:val="13"/>
              </w:rPr>
              <w:t>5,129,435,071</w:t>
            </w:r>
          </w:p>
        </w:tc>
        <w:tc>
          <w:tcPr>
            <w:tcW w:w="401" w:type="pct"/>
            <w:vAlign w:val="center"/>
          </w:tcPr>
          <w:p w14:paraId="2EB44EA5" w14:textId="77777777" w:rsidR="005E000F" w:rsidRDefault="00000000">
            <w:pPr>
              <w:jc w:val="right"/>
              <w:rPr>
                <w:sz w:val="13"/>
                <w:szCs w:val="13"/>
              </w:rPr>
            </w:pPr>
            <w:r>
              <w:rPr>
                <w:sz w:val="13"/>
                <w:szCs w:val="13"/>
              </w:rPr>
              <w:t>11,872,833,582</w:t>
            </w:r>
          </w:p>
        </w:tc>
        <w:tc>
          <w:tcPr>
            <w:tcW w:w="503" w:type="pct"/>
            <w:vAlign w:val="center"/>
          </w:tcPr>
          <w:p w14:paraId="5639ED3A" w14:textId="77777777" w:rsidR="005E000F" w:rsidRDefault="00000000">
            <w:pPr>
              <w:jc w:val="right"/>
              <w:rPr>
                <w:sz w:val="13"/>
                <w:szCs w:val="13"/>
              </w:rPr>
            </w:pPr>
            <w:r>
              <w:rPr>
                <w:sz w:val="13"/>
                <w:szCs w:val="13"/>
              </w:rPr>
              <w:t>15,931,107,461</w:t>
            </w:r>
          </w:p>
        </w:tc>
        <w:tc>
          <w:tcPr>
            <w:tcW w:w="402" w:type="pct"/>
            <w:vAlign w:val="center"/>
          </w:tcPr>
          <w:p w14:paraId="074EA962" w14:textId="77777777" w:rsidR="005E000F" w:rsidRDefault="00000000">
            <w:pPr>
              <w:jc w:val="right"/>
              <w:rPr>
                <w:sz w:val="13"/>
                <w:szCs w:val="13"/>
              </w:rPr>
            </w:pPr>
            <w:r>
              <w:rPr>
                <w:sz w:val="13"/>
                <w:szCs w:val="13"/>
              </w:rPr>
              <w:t>8,175,068,661</w:t>
            </w:r>
          </w:p>
        </w:tc>
        <w:tc>
          <w:tcPr>
            <w:tcW w:w="453" w:type="pct"/>
            <w:vAlign w:val="center"/>
          </w:tcPr>
          <w:p w14:paraId="6FC4C9DF" w14:textId="77777777" w:rsidR="005E000F" w:rsidRDefault="00000000">
            <w:pPr>
              <w:jc w:val="right"/>
              <w:rPr>
                <w:sz w:val="13"/>
                <w:szCs w:val="13"/>
              </w:rPr>
            </w:pPr>
            <w:r>
              <w:rPr>
                <w:sz w:val="13"/>
                <w:szCs w:val="13"/>
              </w:rPr>
              <w:t>6,904,063,368</w:t>
            </w:r>
          </w:p>
        </w:tc>
        <w:tc>
          <w:tcPr>
            <w:tcW w:w="401" w:type="pct"/>
            <w:vAlign w:val="center"/>
          </w:tcPr>
          <w:p w14:paraId="6B8175D5" w14:textId="77777777" w:rsidR="005E000F" w:rsidRDefault="00000000">
            <w:pPr>
              <w:jc w:val="right"/>
              <w:rPr>
                <w:sz w:val="13"/>
                <w:szCs w:val="13"/>
              </w:rPr>
            </w:pPr>
            <w:r>
              <w:rPr>
                <w:sz w:val="13"/>
                <w:szCs w:val="13"/>
              </w:rPr>
              <w:t>1,395,350,244</w:t>
            </w:r>
          </w:p>
        </w:tc>
        <w:tc>
          <w:tcPr>
            <w:tcW w:w="351" w:type="pct"/>
            <w:vAlign w:val="center"/>
          </w:tcPr>
          <w:p w14:paraId="6092561A" w14:textId="77777777" w:rsidR="005E000F" w:rsidRDefault="00000000">
            <w:pPr>
              <w:jc w:val="right"/>
              <w:rPr>
                <w:sz w:val="13"/>
                <w:szCs w:val="13"/>
              </w:rPr>
            </w:pPr>
            <w:r>
              <w:rPr>
                <w:sz w:val="13"/>
                <w:szCs w:val="13"/>
              </w:rPr>
              <w:t>508,437,969</w:t>
            </w:r>
          </w:p>
        </w:tc>
        <w:tc>
          <w:tcPr>
            <w:tcW w:w="402" w:type="pct"/>
            <w:vAlign w:val="center"/>
          </w:tcPr>
          <w:p w14:paraId="68FE08AC" w14:textId="77777777" w:rsidR="005E000F" w:rsidRDefault="00000000">
            <w:pPr>
              <w:jc w:val="right"/>
              <w:rPr>
                <w:sz w:val="13"/>
                <w:szCs w:val="13"/>
              </w:rPr>
            </w:pPr>
            <w:r>
              <w:rPr>
                <w:sz w:val="13"/>
                <w:szCs w:val="13"/>
              </w:rPr>
              <w:t>1,998,689,002</w:t>
            </w:r>
          </w:p>
        </w:tc>
        <w:tc>
          <w:tcPr>
            <w:tcW w:w="452" w:type="pct"/>
            <w:vAlign w:val="center"/>
          </w:tcPr>
          <w:p w14:paraId="749F9788" w14:textId="77777777" w:rsidR="005E000F" w:rsidRDefault="00000000">
            <w:pPr>
              <w:jc w:val="right"/>
              <w:rPr>
                <w:sz w:val="13"/>
                <w:szCs w:val="13"/>
              </w:rPr>
            </w:pPr>
            <w:r>
              <w:rPr>
                <w:sz w:val="13"/>
                <w:szCs w:val="13"/>
              </w:rPr>
              <w:t>3,948,600,428</w:t>
            </w:r>
          </w:p>
        </w:tc>
        <w:tc>
          <w:tcPr>
            <w:tcW w:w="396" w:type="pct"/>
            <w:vAlign w:val="center"/>
          </w:tcPr>
          <w:p w14:paraId="29852F93" w14:textId="77777777" w:rsidR="005E000F" w:rsidRDefault="00000000">
            <w:pPr>
              <w:jc w:val="right"/>
              <w:rPr>
                <w:sz w:val="13"/>
                <w:szCs w:val="13"/>
              </w:rPr>
            </w:pPr>
            <w:r>
              <w:rPr>
                <w:sz w:val="13"/>
                <w:szCs w:val="13"/>
              </w:rPr>
              <w:t>782,836,735</w:t>
            </w:r>
          </w:p>
        </w:tc>
        <w:tc>
          <w:tcPr>
            <w:tcW w:w="395" w:type="pct"/>
            <w:vAlign w:val="center"/>
          </w:tcPr>
          <w:p w14:paraId="757ED4EB" w14:textId="77777777" w:rsidR="005E000F" w:rsidRDefault="00000000">
            <w:pPr>
              <w:jc w:val="right"/>
              <w:rPr>
                <w:sz w:val="13"/>
                <w:szCs w:val="13"/>
              </w:rPr>
            </w:pPr>
            <w:r>
              <w:rPr>
                <w:sz w:val="13"/>
                <w:szCs w:val="13"/>
              </w:rPr>
              <w:t>56,646,422,521</w:t>
            </w:r>
          </w:p>
        </w:tc>
      </w:tr>
      <w:tr w:rsidR="005E000F" w14:paraId="12B3830F" w14:textId="77777777">
        <w:sdt>
          <w:sdtPr>
            <w:rPr>
              <w:sz w:val="13"/>
              <w:szCs w:val="13"/>
            </w:rPr>
            <w:tag w:val="_PLD_ac9d6720c4e84ec2b82637a9bc7e4a54"/>
            <w:id w:val="1355533945"/>
          </w:sdtPr>
          <w:sdtContent>
            <w:tc>
              <w:tcPr>
                <w:tcW w:w="442" w:type="pct"/>
                <w:vAlign w:val="center"/>
              </w:tcPr>
              <w:p w14:paraId="321D3142" w14:textId="77777777" w:rsidR="005E000F" w:rsidRDefault="00000000">
                <w:pPr>
                  <w:ind w:firstLineChars="200" w:firstLine="260"/>
                  <w:rPr>
                    <w:sz w:val="13"/>
                    <w:szCs w:val="13"/>
                  </w:rPr>
                </w:pPr>
                <w:r>
                  <w:rPr>
                    <w:sz w:val="13"/>
                    <w:szCs w:val="13"/>
                  </w:rPr>
                  <w:t>2.</w:t>
                </w:r>
                <w:r>
                  <w:rPr>
                    <w:rFonts w:hint="eastAsia"/>
                    <w:sz w:val="13"/>
                    <w:szCs w:val="13"/>
                  </w:rPr>
                  <w:t>本期增加金额</w:t>
                </w:r>
              </w:p>
            </w:tc>
          </w:sdtContent>
        </w:sdt>
        <w:tc>
          <w:tcPr>
            <w:tcW w:w="402" w:type="pct"/>
            <w:vAlign w:val="center"/>
          </w:tcPr>
          <w:p w14:paraId="24F77C0F" w14:textId="77777777" w:rsidR="005E000F" w:rsidRDefault="00000000">
            <w:pPr>
              <w:jc w:val="right"/>
              <w:rPr>
                <w:sz w:val="13"/>
                <w:szCs w:val="13"/>
              </w:rPr>
            </w:pPr>
            <w:r>
              <w:rPr>
                <w:sz w:val="13"/>
                <w:szCs w:val="13"/>
              </w:rPr>
              <w:t>489,873,238</w:t>
            </w:r>
          </w:p>
        </w:tc>
        <w:tc>
          <w:tcPr>
            <w:tcW w:w="401" w:type="pct"/>
            <w:vAlign w:val="center"/>
          </w:tcPr>
          <w:p w14:paraId="455EFF13" w14:textId="77777777" w:rsidR="005E000F" w:rsidRDefault="00000000">
            <w:pPr>
              <w:jc w:val="right"/>
              <w:rPr>
                <w:sz w:val="13"/>
                <w:szCs w:val="13"/>
              </w:rPr>
            </w:pPr>
            <w:r>
              <w:rPr>
                <w:sz w:val="13"/>
                <w:szCs w:val="13"/>
              </w:rPr>
              <w:t>1,555,242,934</w:t>
            </w:r>
          </w:p>
        </w:tc>
        <w:tc>
          <w:tcPr>
            <w:tcW w:w="503" w:type="pct"/>
            <w:vAlign w:val="center"/>
          </w:tcPr>
          <w:p w14:paraId="686C5B82" w14:textId="77777777" w:rsidR="005E000F" w:rsidRDefault="00000000">
            <w:pPr>
              <w:jc w:val="right"/>
              <w:rPr>
                <w:sz w:val="13"/>
                <w:szCs w:val="13"/>
              </w:rPr>
            </w:pPr>
            <w:r>
              <w:rPr>
                <w:sz w:val="13"/>
                <w:szCs w:val="13"/>
              </w:rPr>
              <w:t>1,663,784,226</w:t>
            </w:r>
          </w:p>
        </w:tc>
        <w:tc>
          <w:tcPr>
            <w:tcW w:w="402" w:type="pct"/>
            <w:vAlign w:val="center"/>
          </w:tcPr>
          <w:p w14:paraId="1FFF81BD" w14:textId="77777777" w:rsidR="005E000F" w:rsidRDefault="00000000">
            <w:pPr>
              <w:jc w:val="right"/>
              <w:rPr>
                <w:sz w:val="13"/>
                <w:szCs w:val="13"/>
              </w:rPr>
            </w:pPr>
            <w:r>
              <w:rPr>
                <w:sz w:val="13"/>
                <w:szCs w:val="13"/>
              </w:rPr>
              <w:t>584,377,897</w:t>
            </w:r>
          </w:p>
        </w:tc>
        <w:tc>
          <w:tcPr>
            <w:tcW w:w="453" w:type="pct"/>
            <w:vAlign w:val="center"/>
          </w:tcPr>
          <w:p w14:paraId="2820FEA3" w14:textId="77777777" w:rsidR="005E000F" w:rsidRDefault="00000000">
            <w:pPr>
              <w:jc w:val="right"/>
              <w:rPr>
                <w:sz w:val="13"/>
                <w:szCs w:val="13"/>
              </w:rPr>
            </w:pPr>
            <w:r>
              <w:rPr>
                <w:sz w:val="13"/>
                <w:szCs w:val="13"/>
              </w:rPr>
              <w:t>195,326,709</w:t>
            </w:r>
          </w:p>
        </w:tc>
        <w:tc>
          <w:tcPr>
            <w:tcW w:w="401" w:type="pct"/>
            <w:vAlign w:val="center"/>
          </w:tcPr>
          <w:p w14:paraId="14D577ED" w14:textId="77777777" w:rsidR="005E000F" w:rsidRDefault="00000000">
            <w:pPr>
              <w:jc w:val="right"/>
              <w:rPr>
                <w:sz w:val="13"/>
                <w:szCs w:val="13"/>
              </w:rPr>
            </w:pPr>
            <w:r>
              <w:rPr>
                <w:sz w:val="13"/>
                <w:szCs w:val="13"/>
              </w:rPr>
              <w:t>133,565,851</w:t>
            </w:r>
          </w:p>
        </w:tc>
        <w:tc>
          <w:tcPr>
            <w:tcW w:w="351" w:type="pct"/>
            <w:vAlign w:val="center"/>
          </w:tcPr>
          <w:p w14:paraId="5C66883A" w14:textId="77777777" w:rsidR="005E000F" w:rsidRDefault="00000000">
            <w:pPr>
              <w:jc w:val="right"/>
              <w:rPr>
                <w:sz w:val="13"/>
                <w:szCs w:val="13"/>
              </w:rPr>
            </w:pPr>
            <w:r>
              <w:rPr>
                <w:sz w:val="13"/>
                <w:szCs w:val="13"/>
              </w:rPr>
              <w:t>76,091,994</w:t>
            </w:r>
          </w:p>
        </w:tc>
        <w:tc>
          <w:tcPr>
            <w:tcW w:w="402" w:type="pct"/>
            <w:vAlign w:val="center"/>
          </w:tcPr>
          <w:p w14:paraId="6484FDB2" w14:textId="77777777" w:rsidR="005E000F" w:rsidRDefault="00000000">
            <w:pPr>
              <w:jc w:val="right"/>
              <w:rPr>
                <w:sz w:val="13"/>
                <w:szCs w:val="13"/>
              </w:rPr>
            </w:pPr>
            <w:r>
              <w:rPr>
                <w:sz w:val="13"/>
                <w:szCs w:val="13"/>
              </w:rPr>
              <w:t>134,525,103</w:t>
            </w:r>
          </w:p>
        </w:tc>
        <w:tc>
          <w:tcPr>
            <w:tcW w:w="452" w:type="pct"/>
            <w:vAlign w:val="center"/>
          </w:tcPr>
          <w:p w14:paraId="5D0593B1" w14:textId="77777777" w:rsidR="005E000F" w:rsidRDefault="00000000">
            <w:pPr>
              <w:jc w:val="right"/>
              <w:rPr>
                <w:sz w:val="13"/>
                <w:szCs w:val="13"/>
              </w:rPr>
            </w:pPr>
            <w:r>
              <w:rPr>
                <w:sz w:val="13"/>
                <w:szCs w:val="13"/>
              </w:rPr>
              <w:t>326,467,120</w:t>
            </w:r>
          </w:p>
        </w:tc>
        <w:tc>
          <w:tcPr>
            <w:tcW w:w="396" w:type="pct"/>
            <w:vAlign w:val="center"/>
          </w:tcPr>
          <w:p w14:paraId="39FFDB12" w14:textId="77777777" w:rsidR="005E000F" w:rsidRDefault="00000000">
            <w:pPr>
              <w:jc w:val="right"/>
              <w:rPr>
                <w:sz w:val="13"/>
                <w:szCs w:val="13"/>
              </w:rPr>
            </w:pPr>
            <w:r>
              <w:rPr>
                <w:sz w:val="13"/>
                <w:szCs w:val="13"/>
              </w:rPr>
              <w:t>78,573,406</w:t>
            </w:r>
          </w:p>
        </w:tc>
        <w:tc>
          <w:tcPr>
            <w:tcW w:w="395" w:type="pct"/>
            <w:vAlign w:val="center"/>
          </w:tcPr>
          <w:p w14:paraId="27841F5A" w14:textId="77777777" w:rsidR="005E000F" w:rsidRDefault="00000000">
            <w:pPr>
              <w:jc w:val="right"/>
              <w:rPr>
                <w:sz w:val="13"/>
                <w:szCs w:val="13"/>
              </w:rPr>
            </w:pPr>
            <w:r>
              <w:rPr>
                <w:sz w:val="13"/>
                <w:szCs w:val="13"/>
              </w:rPr>
              <w:t>5,237,828,478</w:t>
            </w:r>
          </w:p>
        </w:tc>
      </w:tr>
      <w:tr w:rsidR="005E000F" w14:paraId="5129BF40" w14:textId="77777777">
        <w:sdt>
          <w:sdtPr>
            <w:rPr>
              <w:sz w:val="13"/>
              <w:szCs w:val="13"/>
            </w:rPr>
            <w:tag w:val="_PLD_4b899f8229be463181a7e6a6c1cb2337"/>
            <w:id w:val="-1535650842"/>
          </w:sdtPr>
          <w:sdtContent>
            <w:tc>
              <w:tcPr>
                <w:tcW w:w="442" w:type="pct"/>
                <w:vAlign w:val="center"/>
              </w:tcPr>
              <w:p w14:paraId="0BB7953E" w14:textId="77777777" w:rsidR="005E000F" w:rsidRDefault="00000000">
                <w:pPr>
                  <w:ind w:firstLineChars="200" w:firstLine="260"/>
                  <w:rPr>
                    <w:sz w:val="13"/>
                    <w:szCs w:val="13"/>
                  </w:rPr>
                </w:pPr>
                <w:r>
                  <w:rPr>
                    <w:rFonts w:hint="eastAsia"/>
                    <w:sz w:val="13"/>
                    <w:szCs w:val="13"/>
                  </w:rPr>
                  <w:t>（</w:t>
                </w:r>
                <w:r>
                  <w:rPr>
                    <w:rFonts w:hint="eastAsia"/>
                    <w:sz w:val="13"/>
                    <w:szCs w:val="13"/>
                  </w:rPr>
                  <w:t>1</w:t>
                </w:r>
                <w:r>
                  <w:rPr>
                    <w:rFonts w:hint="eastAsia"/>
                    <w:sz w:val="13"/>
                    <w:szCs w:val="13"/>
                  </w:rPr>
                  <w:t>）计提</w:t>
                </w:r>
              </w:p>
            </w:tc>
          </w:sdtContent>
        </w:sdt>
        <w:tc>
          <w:tcPr>
            <w:tcW w:w="402" w:type="pct"/>
            <w:vAlign w:val="center"/>
          </w:tcPr>
          <w:p w14:paraId="1CE5273E" w14:textId="77777777" w:rsidR="005E000F" w:rsidRDefault="00000000">
            <w:pPr>
              <w:jc w:val="right"/>
              <w:rPr>
                <w:sz w:val="13"/>
                <w:szCs w:val="13"/>
              </w:rPr>
            </w:pPr>
            <w:r>
              <w:rPr>
                <w:sz w:val="13"/>
                <w:szCs w:val="13"/>
              </w:rPr>
              <w:t>566,955,714</w:t>
            </w:r>
          </w:p>
        </w:tc>
        <w:tc>
          <w:tcPr>
            <w:tcW w:w="401" w:type="pct"/>
            <w:vAlign w:val="center"/>
          </w:tcPr>
          <w:p w14:paraId="1E1F4673" w14:textId="77777777" w:rsidR="005E000F" w:rsidRDefault="00000000">
            <w:pPr>
              <w:jc w:val="right"/>
              <w:rPr>
                <w:sz w:val="13"/>
                <w:szCs w:val="13"/>
              </w:rPr>
            </w:pPr>
            <w:r>
              <w:rPr>
                <w:sz w:val="13"/>
                <w:szCs w:val="13"/>
              </w:rPr>
              <w:t>1,655,615,863</w:t>
            </w:r>
          </w:p>
        </w:tc>
        <w:tc>
          <w:tcPr>
            <w:tcW w:w="503" w:type="pct"/>
            <w:vAlign w:val="center"/>
          </w:tcPr>
          <w:p w14:paraId="30DE63D9" w14:textId="77777777" w:rsidR="005E000F" w:rsidRDefault="00000000">
            <w:pPr>
              <w:jc w:val="right"/>
              <w:rPr>
                <w:sz w:val="13"/>
                <w:szCs w:val="13"/>
              </w:rPr>
            </w:pPr>
            <w:r>
              <w:rPr>
                <w:sz w:val="13"/>
                <w:szCs w:val="13"/>
              </w:rPr>
              <w:t>1,489,014,846</w:t>
            </w:r>
          </w:p>
        </w:tc>
        <w:tc>
          <w:tcPr>
            <w:tcW w:w="402" w:type="pct"/>
            <w:vAlign w:val="center"/>
          </w:tcPr>
          <w:p w14:paraId="5EA94CE7" w14:textId="77777777" w:rsidR="005E000F" w:rsidRDefault="00000000">
            <w:pPr>
              <w:jc w:val="right"/>
              <w:rPr>
                <w:sz w:val="13"/>
                <w:szCs w:val="13"/>
              </w:rPr>
            </w:pPr>
            <w:r>
              <w:rPr>
                <w:sz w:val="13"/>
                <w:szCs w:val="13"/>
              </w:rPr>
              <w:t>580,892,127</w:t>
            </w:r>
          </w:p>
        </w:tc>
        <w:tc>
          <w:tcPr>
            <w:tcW w:w="453" w:type="pct"/>
            <w:vAlign w:val="center"/>
          </w:tcPr>
          <w:p w14:paraId="1FF8284A" w14:textId="77777777" w:rsidR="005E000F" w:rsidRDefault="00000000">
            <w:pPr>
              <w:jc w:val="right"/>
              <w:rPr>
                <w:sz w:val="13"/>
                <w:szCs w:val="13"/>
              </w:rPr>
            </w:pPr>
            <w:r>
              <w:rPr>
                <w:sz w:val="13"/>
                <w:szCs w:val="13"/>
              </w:rPr>
              <w:t>201,081,105</w:t>
            </w:r>
          </w:p>
        </w:tc>
        <w:tc>
          <w:tcPr>
            <w:tcW w:w="401" w:type="pct"/>
            <w:vAlign w:val="center"/>
          </w:tcPr>
          <w:p w14:paraId="0E2E67B7" w14:textId="77777777" w:rsidR="005E000F" w:rsidRDefault="00000000">
            <w:pPr>
              <w:jc w:val="right"/>
              <w:rPr>
                <w:sz w:val="13"/>
                <w:szCs w:val="13"/>
              </w:rPr>
            </w:pPr>
            <w:r>
              <w:rPr>
                <w:sz w:val="13"/>
                <w:szCs w:val="13"/>
              </w:rPr>
              <w:t>140,173,443</w:t>
            </w:r>
          </w:p>
        </w:tc>
        <w:tc>
          <w:tcPr>
            <w:tcW w:w="351" w:type="pct"/>
            <w:vAlign w:val="center"/>
          </w:tcPr>
          <w:p w14:paraId="254DA03D" w14:textId="77777777" w:rsidR="005E000F" w:rsidRDefault="00000000">
            <w:pPr>
              <w:jc w:val="right"/>
              <w:rPr>
                <w:sz w:val="13"/>
                <w:szCs w:val="13"/>
              </w:rPr>
            </w:pPr>
            <w:r>
              <w:rPr>
                <w:sz w:val="13"/>
                <w:szCs w:val="13"/>
              </w:rPr>
              <w:t>76,070,387</w:t>
            </w:r>
          </w:p>
        </w:tc>
        <w:tc>
          <w:tcPr>
            <w:tcW w:w="402" w:type="pct"/>
            <w:vAlign w:val="center"/>
          </w:tcPr>
          <w:p w14:paraId="2E0905F3" w14:textId="77777777" w:rsidR="005E000F" w:rsidRDefault="00000000">
            <w:pPr>
              <w:jc w:val="right"/>
              <w:rPr>
                <w:sz w:val="13"/>
                <w:szCs w:val="13"/>
              </w:rPr>
            </w:pPr>
            <w:r>
              <w:rPr>
                <w:sz w:val="13"/>
                <w:szCs w:val="13"/>
              </w:rPr>
              <w:t>120,077,188</w:t>
            </w:r>
          </w:p>
        </w:tc>
        <w:tc>
          <w:tcPr>
            <w:tcW w:w="452" w:type="pct"/>
            <w:vAlign w:val="center"/>
          </w:tcPr>
          <w:p w14:paraId="2B360130" w14:textId="77777777" w:rsidR="005E000F" w:rsidRDefault="00000000">
            <w:pPr>
              <w:jc w:val="right"/>
              <w:rPr>
                <w:sz w:val="13"/>
                <w:szCs w:val="13"/>
              </w:rPr>
            </w:pPr>
            <w:r>
              <w:rPr>
                <w:sz w:val="13"/>
                <w:szCs w:val="13"/>
              </w:rPr>
              <w:t>317,727,766</w:t>
            </w:r>
          </w:p>
        </w:tc>
        <w:tc>
          <w:tcPr>
            <w:tcW w:w="396" w:type="pct"/>
            <w:vAlign w:val="center"/>
          </w:tcPr>
          <w:p w14:paraId="51D853F8" w14:textId="77777777" w:rsidR="005E000F" w:rsidRDefault="00000000">
            <w:pPr>
              <w:jc w:val="right"/>
              <w:rPr>
                <w:sz w:val="13"/>
                <w:szCs w:val="13"/>
              </w:rPr>
            </w:pPr>
            <w:r>
              <w:rPr>
                <w:sz w:val="13"/>
                <w:szCs w:val="13"/>
              </w:rPr>
              <w:t>90,220,039</w:t>
            </w:r>
          </w:p>
        </w:tc>
        <w:tc>
          <w:tcPr>
            <w:tcW w:w="395" w:type="pct"/>
            <w:vAlign w:val="center"/>
          </w:tcPr>
          <w:p w14:paraId="731A4082" w14:textId="77777777" w:rsidR="005E000F" w:rsidRDefault="00000000">
            <w:pPr>
              <w:jc w:val="right"/>
              <w:rPr>
                <w:sz w:val="13"/>
                <w:szCs w:val="13"/>
              </w:rPr>
            </w:pPr>
            <w:r>
              <w:rPr>
                <w:sz w:val="13"/>
                <w:szCs w:val="13"/>
              </w:rPr>
              <w:t>5,237,828,478</w:t>
            </w:r>
          </w:p>
        </w:tc>
      </w:tr>
      <w:tr w:rsidR="005E000F" w14:paraId="5D874737" w14:textId="77777777">
        <w:sdt>
          <w:sdtPr>
            <w:rPr>
              <w:rFonts w:hint="eastAsia"/>
              <w:sz w:val="13"/>
              <w:szCs w:val="13"/>
            </w:rPr>
            <w:alias w:val="固定资产累计折旧增加项目名称"/>
            <w:tag w:val="_GBC_c82e46f282074bcd8f0977f9e064b7a6"/>
            <w:id w:val="-445010525"/>
          </w:sdtPr>
          <w:sdtContent>
            <w:tc>
              <w:tcPr>
                <w:tcW w:w="442" w:type="pct"/>
                <w:vAlign w:val="center"/>
              </w:tcPr>
              <w:p w14:paraId="499AD630" w14:textId="77777777" w:rsidR="005E000F" w:rsidRDefault="00000000">
                <w:pPr>
                  <w:ind w:firstLineChars="200" w:firstLine="260"/>
                  <w:rPr>
                    <w:sz w:val="13"/>
                    <w:szCs w:val="13"/>
                  </w:rPr>
                </w:pPr>
                <w:r>
                  <w:rPr>
                    <w:rFonts w:hint="eastAsia"/>
                    <w:sz w:val="13"/>
                    <w:szCs w:val="13"/>
                  </w:rPr>
                  <w:t>（</w:t>
                </w:r>
                <w:r>
                  <w:rPr>
                    <w:rFonts w:hint="eastAsia"/>
                    <w:sz w:val="13"/>
                    <w:szCs w:val="13"/>
                  </w:rPr>
                  <w:t>2</w:t>
                </w:r>
                <w:r>
                  <w:rPr>
                    <w:rFonts w:hint="eastAsia"/>
                    <w:sz w:val="13"/>
                    <w:szCs w:val="13"/>
                  </w:rPr>
                  <w:t>）其他增加</w:t>
                </w:r>
              </w:p>
            </w:tc>
          </w:sdtContent>
        </w:sdt>
        <w:tc>
          <w:tcPr>
            <w:tcW w:w="402" w:type="pct"/>
            <w:vAlign w:val="center"/>
          </w:tcPr>
          <w:p w14:paraId="5417C468" w14:textId="77777777" w:rsidR="005E000F" w:rsidRDefault="00000000">
            <w:pPr>
              <w:jc w:val="right"/>
              <w:rPr>
                <w:sz w:val="13"/>
                <w:szCs w:val="13"/>
              </w:rPr>
            </w:pPr>
            <w:r>
              <w:rPr>
                <w:sz w:val="13"/>
                <w:szCs w:val="13"/>
              </w:rPr>
              <w:t>-77,082,476</w:t>
            </w:r>
          </w:p>
        </w:tc>
        <w:tc>
          <w:tcPr>
            <w:tcW w:w="401" w:type="pct"/>
            <w:vAlign w:val="center"/>
          </w:tcPr>
          <w:p w14:paraId="2ED6A2DF" w14:textId="77777777" w:rsidR="005E000F" w:rsidRDefault="00000000">
            <w:pPr>
              <w:jc w:val="right"/>
              <w:rPr>
                <w:sz w:val="13"/>
                <w:szCs w:val="13"/>
              </w:rPr>
            </w:pPr>
            <w:r>
              <w:rPr>
                <w:sz w:val="13"/>
                <w:szCs w:val="13"/>
              </w:rPr>
              <w:t>-100,372,929</w:t>
            </w:r>
          </w:p>
        </w:tc>
        <w:tc>
          <w:tcPr>
            <w:tcW w:w="503" w:type="pct"/>
            <w:vAlign w:val="center"/>
          </w:tcPr>
          <w:p w14:paraId="7B331DB9" w14:textId="77777777" w:rsidR="005E000F" w:rsidRDefault="00000000">
            <w:pPr>
              <w:jc w:val="right"/>
              <w:rPr>
                <w:sz w:val="13"/>
                <w:szCs w:val="13"/>
              </w:rPr>
            </w:pPr>
            <w:r>
              <w:rPr>
                <w:sz w:val="13"/>
                <w:szCs w:val="13"/>
              </w:rPr>
              <w:t>174,769,380</w:t>
            </w:r>
          </w:p>
        </w:tc>
        <w:tc>
          <w:tcPr>
            <w:tcW w:w="402" w:type="pct"/>
            <w:vAlign w:val="center"/>
          </w:tcPr>
          <w:p w14:paraId="730844CE" w14:textId="77777777" w:rsidR="005E000F" w:rsidRDefault="00000000">
            <w:pPr>
              <w:jc w:val="right"/>
              <w:rPr>
                <w:sz w:val="13"/>
                <w:szCs w:val="13"/>
              </w:rPr>
            </w:pPr>
            <w:r>
              <w:rPr>
                <w:sz w:val="13"/>
                <w:szCs w:val="13"/>
              </w:rPr>
              <w:t>3,485,770</w:t>
            </w:r>
          </w:p>
        </w:tc>
        <w:tc>
          <w:tcPr>
            <w:tcW w:w="453" w:type="pct"/>
            <w:vAlign w:val="center"/>
          </w:tcPr>
          <w:p w14:paraId="1F4483C1" w14:textId="77777777" w:rsidR="005E000F" w:rsidRDefault="00000000">
            <w:pPr>
              <w:jc w:val="right"/>
              <w:rPr>
                <w:sz w:val="13"/>
                <w:szCs w:val="13"/>
              </w:rPr>
            </w:pPr>
            <w:r>
              <w:rPr>
                <w:sz w:val="13"/>
                <w:szCs w:val="13"/>
              </w:rPr>
              <w:t>-5,754,396</w:t>
            </w:r>
          </w:p>
        </w:tc>
        <w:tc>
          <w:tcPr>
            <w:tcW w:w="401" w:type="pct"/>
            <w:vAlign w:val="center"/>
          </w:tcPr>
          <w:p w14:paraId="227F52C4" w14:textId="77777777" w:rsidR="005E000F" w:rsidRDefault="00000000">
            <w:pPr>
              <w:jc w:val="right"/>
              <w:rPr>
                <w:sz w:val="13"/>
                <w:szCs w:val="13"/>
              </w:rPr>
            </w:pPr>
            <w:r>
              <w:rPr>
                <w:sz w:val="13"/>
                <w:szCs w:val="13"/>
              </w:rPr>
              <w:t>-6,607,592</w:t>
            </w:r>
          </w:p>
        </w:tc>
        <w:tc>
          <w:tcPr>
            <w:tcW w:w="351" w:type="pct"/>
            <w:vAlign w:val="center"/>
          </w:tcPr>
          <w:p w14:paraId="0996DFE8" w14:textId="77777777" w:rsidR="005E000F" w:rsidRDefault="00000000">
            <w:pPr>
              <w:jc w:val="right"/>
              <w:rPr>
                <w:sz w:val="13"/>
                <w:szCs w:val="13"/>
              </w:rPr>
            </w:pPr>
            <w:r>
              <w:rPr>
                <w:sz w:val="13"/>
                <w:szCs w:val="13"/>
              </w:rPr>
              <w:t>21,607</w:t>
            </w:r>
          </w:p>
        </w:tc>
        <w:tc>
          <w:tcPr>
            <w:tcW w:w="402" w:type="pct"/>
            <w:vAlign w:val="center"/>
          </w:tcPr>
          <w:p w14:paraId="7C186B52" w14:textId="77777777" w:rsidR="005E000F" w:rsidRDefault="00000000">
            <w:pPr>
              <w:jc w:val="right"/>
              <w:rPr>
                <w:sz w:val="13"/>
                <w:szCs w:val="13"/>
              </w:rPr>
            </w:pPr>
            <w:r>
              <w:rPr>
                <w:sz w:val="13"/>
                <w:szCs w:val="13"/>
              </w:rPr>
              <w:t>14,447,915</w:t>
            </w:r>
          </w:p>
        </w:tc>
        <w:tc>
          <w:tcPr>
            <w:tcW w:w="452" w:type="pct"/>
            <w:vAlign w:val="center"/>
          </w:tcPr>
          <w:p w14:paraId="4FDA10CA" w14:textId="77777777" w:rsidR="005E000F" w:rsidRDefault="00000000">
            <w:pPr>
              <w:jc w:val="right"/>
              <w:rPr>
                <w:sz w:val="13"/>
                <w:szCs w:val="13"/>
              </w:rPr>
            </w:pPr>
            <w:r>
              <w:rPr>
                <w:sz w:val="13"/>
                <w:szCs w:val="13"/>
              </w:rPr>
              <w:t>8,739,354</w:t>
            </w:r>
          </w:p>
        </w:tc>
        <w:tc>
          <w:tcPr>
            <w:tcW w:w="396" w:type="pct"/>
            <w:vAlign w:val="center"/>
          </w:tcPr>
          <w:p w14:paraId="7BC2F3B7" w14:textId="77777777" w:rsidR="005E000F" w:rsidRDefault="00000000">
            <w:pPr>
              <w:jc w:val="right"/>
              <w:rPr>
                <w:sz w:val="13"/>
                <w:szCs w:val="13"/>
              </w:rPr>
            </w:pPr>
            <w:r>
              <w:rPr>
                <w:sz w:val="13"/>
                <w:szCs w:val="13"/>
              </w:rPr>
              <w:t>-11,646,633</w:t>
            </w:r>
          </w:p>
        </w:tc>
        <w:tc>
          <w:tcPr>
            <w:tcW w:w="395" w:type="pct"/>
            <w:vAlign w:val="center"/>
          </w:tcPr>
          <w:p w14:paraId="010CA7A0" w14:textId="77777777" w:rsidR="005E000F" w:rsidRDefault="00000000">
            <w:pPr>
              <w:jc w:val="right"/>
              <w:rPr>
                <w:sz w:val="13"/>
                <w:szCs w:val="13"/>
              </w:rPr>
            </w:pPr>
            <w:r>
              <w:rPr>
                <w:sz w:val="13"/>
                <w:szCs w:val="13"/>
              </w:rPr>
              <w:t>0</w:t>
            </w:r>
          </w:p>
        </w:tc>
      </w:tr>
      <w:tr w:rsidR="005E000F" w14:paraId="477AAA65" w14:textId="77777777">
        <w:sdt>
          <w:sdtPr>
            <w:rPr>
              <w:sz w:val="13"/>
              <w:szCs w:val="13"/>
            </w:rPr>
            <w:tag w:val="_PLD_1a8a0c2973de4a7c99ed0dd69c4a85fa"/>
            <w:id w:val="892775758"/>
          </w:sdtPr>
          <w:sdtContent>
            <w:tc>
              <w:tcPr>
                <w:tcW w:w="442" w:type="pct"/>
                <w:vAlign w:val="center"/>
              </w:tcPr>
              <w:p w14:paraId="29C3FBA0" w14:textId="77777777" w:rsidR="005E000F" w:rsidRDefault="00000000">
                <w:pPr>
                  <w:ind w:firstLineChars="200" w:firstLine="260"/>
                  <w:rPr>
                    <w:sz w:val="13"/>
                    <w:szCs w:val="13"/>
                  </w:rPr>
                </w:pPr>
                <w:r>
                  <w:rPr>
                    <w:rFonts w:hint="eastAsia"/>
                    <w:sz w:val="13"/>
                    <w:szCs w:val="13"/>
                  </w:rPr>
                  <w:t>3.</w:t>
                </w:r>
                <w:r>
                  <w:rPr>
                    <w:rFonts w:hint="eastAsia"/>
                    <w:sz w:val="13"/>
                    <w:szCs w:val="13"/>
                  </w:rPr>
                  <w:t>本期减少金额</w:t>
                </w:r>
              </w:p>
            </w:tc>
          </w:sdtContent>
        </w:sdt>
        <w:tc>
          <w:tcPr>
            <w:tcW w:w="402" w:type="pct"/>
            <w:vAlign w:val="center"/>
          </w:tcPr>
          <w:p w14:paraId="5E98E49E" w14:textId="77777777" w:rsidR="005E000F" w:rsidRDefault="00000000">
            <w:pPr>
              <w:jc w:val="right"/>
              <w:rPr>
                <w:sz w:val="13"/>
                <w:szCs w:val="13"/>
              </w:rPr>
            </w:pPr>
            <w:r>
              <w:rPr>
                <w:sz w:val="13"/>
                <w:szCs w:val="13"/>
              </w:rPr>
              <w:t>149,740,513</w:t>
            </w:r>
          </w:p>
        </w:tc>
        <w:tc>
          <w:tcPr>
            <w:tcW w:w="401" w:type="pct"/>
            <w:vAlign w:val="center"/>
          </w:tcPr>
          <w:p w14:paraId="2A8763C8" w14:textId="77777777" w:rsidR="005E000F" w:rsidRDefault="00000000">
            <w:pPr>
              <w:jc w:val="right"/>
              <w:rPr>
                <w:sz w:val="13"/>
                <w:szCs w:val="13"/>
              </w:rPr>
            </w:pPr>
            <w:r>
              <w:rPr>
                <w:sz w:val="13"/>
                <w:szCs w:val="13"/>
              </w:rPr>
              <w:t>3,484,830,414</w:t>
            </w:r>
          </w:p>
        </w:tc>
        <w:tc>
          <w:tcPr>
            <w:tcW w:w="503" w:type="pct"/>
            <w:vAlign w:val="center"/>
          </w:tcPr>
          <w:p w14:paraId="270BB617" w14:textId="77777777" w:rsidR="005E000F" w:rsidRDefault="00000000">
            <w:pPr>
              <w:jc w:val="right"/>
              <w:rPr>
                <w:sz w:val="13"/>
                <w:szCs w:val="13"/>
              </w:rPr>
            </w:pPr>
            <w:r>
              <w:rPr>
                <w:sz w:val="13"/>
                <w:szCs w:val="13"/>
              </w:rPr>
              <w:t>535,488,245</w:t>
            </w:r>
          </w:p>
        </w:tc>
        <w:tc>
          <w:tcPr>
            <w:tcW w:w="402" w:type="pct"/>
            <w:vAlign w:val="center"/>
          </w:tcPr>
          <w:p w14:paraId="0755604F" w14:textId="77777777" w:rsidR="005E000F" w:rsidRDefault="00000000">
            <w:pPr>
              <w:jc w:val="right"/>
              <w:rPr>
                <w:sz w:val="13"/>
                <w:szCs w:val="13"/>
              </w:rPr>
            </w:pPr>
            <w:r>
              <w:rPr>
                <w:sz w:val="13"/>
                <w:szCs w:val="13"/>
              </w:rPr>
              <w:t>311,134,824</w:t>
            </w:r>
          </w:p>
        </w:tc>
        <w:tc>
          <w:tcPr>
            <w:tcW w:w="453" w:type="pct"/>
            <w:vAlign w:val="center"/>
          </w:tcPr>
          <w:p w14:paraId="715C62E7" w14:textId="77777777" w:rsidR="005E000F" w:rsidRDefault="00000000">
            <w:pPr>
              <w:jc w:val="right"/>
              <w:rPr>
                <w:sz w:val="13"/>
                <w:szCs w:val="13"/>
              </w:rPr>
            </w:pPr>
            <w:r>
              <w:rPr>
                <w:sz w:val="13"/>
                <w:szCs w:val="13"/>
              </w:rPr>
              <w:t>47,909,675</w:t>
            </w:r>
          </w:p>
        </w:tc>
        <w:tc>
          <w:tcPr>
            <w:tcW w:w="401" w:type="pct"/>
            <w:vAlign w:val="center"/>
          </w:tcPr>
          <w:p w14:paraId="004B3E91" w14:textId="77777777" w:rsidR="005E000F" w:rsidRDefault="00000000">
            <w:pPr>
              <w:jc w:val="right"/>
              <w:rPr>
                <w:sz w:val="13"/>
                <w:szCs w:val="13"/>
              </w:rPr>
            </w:pPr>
            <w:r>
              <w:rPr>
                <w:sz w:val="13"/>
                <w:szCs w:val="13"/>
              </w:rPr>
              <w:t>129,001,309</w:t>
            </w:r>
          </w:p>
        </w:tc>
        <w:tc>
          <w:tcPr>
            <w:tcW w:w="351" w:type="pct"/>
            <w:vAlign w:val="center"/>
          </w:tcPr>
          <w:p w14:paraId="61AC03E2" w14:textId="77777777" w:rsidR="005E000F" w:rsidRDefault="00000000">
            <w:pPr>
              <w:jc w:val="right"/>
              <w:rPr>
                <w:sz w:val="13"/>
                <w:szCs w:val="13"/>
              </w:rPr>
            </w:pPr>
            <w:r>
              <w:rPr>
                <w:sz w:val="13"/>
                <w:szCs w:val="13"/>
              </w:rPr>
              <w:t>80,558,399</w:t>
            </w:r>
          </w:p>
        </w:tc>
        <w:tc>
          <w:tcPr>
            <w:tcW w:w="402" w:type="pct"/>
            <w:vAlign w:val="center"/>
          </w:tcPr>
          <w:p w14:paraId="1F1DF2AF" w14:textId="77777777" w:rsidR="005E000F" w:rsidRDefault="00000000">
            <w:pPr>
              <w:jc w:val="right"/>
              <w:rPr>
                <w:sz w:val="13"/>
                <w:szCs w:val="13"/>
              </w:rPr>
            </w:pPr>
            <w:r>
              <w:rPr>
                <w:sz w:val="13"/>
                <w:szCs w:val="13"/>
              </w:rPr>
              <w:t>6,917,792</w:t>
            </w:r>
          </w:p>
        </w:tc>
        <w:tc>
          <w:tcPr>
            <w:tcW w:w="452" w:type="pct"/>
            <w:vAlign w:val="center"/>
          </w:tcPr>
          <w:p w14:paraId="5AF3F5EB" w14:textId="77777777" w:rsidR="005E000F" w:rsidRDefault="00000000">
            <w:pPr>
              <w:jc w:val="right"/>
              <w:rPr>
                <w:sz w:val="13"/>
                <w:szCs w:val="13"/>
              </w:rPr>
            </w:pPr>
            <w:r>
              <w:rPr>
                <w:sz w:val="13"/>
                <w:szCs w:val="13"/>
              </w:rPr>
              <w:t>208,809,733</w:t>
            </w:r>
          </w:p>
        </w:tc>
        <w:tc>
          <w:tcPr>
            <w:tcW w:w="396" w:type="pct"/>
            <w:vAlign w:val="center"/>
          </w:tcPr>
          <w:p w14:paraId="5C2E2A1C" w14:textId="77777777" w:rsidR="005E000F" w:rsidRDefault="00000000">
            <w:pPr>
              <w:jc w:val="right"/>
              <w:rPr>
                <w:sz w:val="13"/>
                <w:szCs w:val="13"/>
              </w:rPr>
            </w:pPr>
            <w:r>
              <w:rPr>
                <w:sz w:val="13"/>
                <w:szCs w:val="13"/>
              </w:rPr>
              <w:t>48,041,266</w:t>
            </w:r>
          </w:p>
        </w:tc>
        <w:tc>
          <w:tcPr>
            <w:tcW w:w="395" w:type="pct"/>
            <w:vAlign w:val="center"/>
          </w:tcPr>
          <w:p w14:paraId="72126A08" w14:textId="77777777" w:rsidR="005E000F" w:rsidRDefault="00000000">
            <w:pPr>
              <w:jc w:val="right"/>
              <w:rPr>
                <w:sz w:val="13"/>
                <w:szCs w:val="13"/>
              </w:rPr>
            </w:pPr>
            <w:r>
              <w:rPr>
                <w:sz w:val="13"/>
                <w:szCs w:val="13"/>
              </w:rPr>
              <w:t>5,002,432,170</w:t>
            </w:r>
          </w:p>
        </w:tc>
      </w:tr>
      <w:tr w:rsidR="005E000F" w14:paraId="699DC954" w14:textId="77777777">
        <w:sdt>
          <w:sdtPr>
            <w:rPr>
              <w:sz w:val="13"/>
              <w:szCs w:val="13"/>
            </w:rPr>
            <w:tag w:val="_PLD_051549d56ef94d0f864893f6bcd12368"/>
            <w:id w:val="-611817844"/>
          </w:sdtPr>
          <w:sdtContent>
            <w:tc>
              <w:tcPr>
                <w:tcW w:w="442" w:type="pct"/>
                <w:vAlign w:val="center"/>
              </w:tcPr>
              <w:p w14:paraId="47E7B756" w14:textId="77777777" w:rsidR="005E000F" w:rsidRDefault="00000000">
                <w:pPr>
                  <w:ind w:firstLineChars="200" w:firstLine="260"/>
                  <w:rPr>
                    <w:sz w:val="13"/>
                    <w:szCs w:val="13"/>
                  </w:rPr>
                </w:pPr>
                <w:r>
                  <w:rPr>
                    <w:rFonts w:hint="eastAsia"/>
                    <w:sz w:val="13"/>
                    <w:szCs w:val="13"/>
                  </w:rPr>
                  <w:t>（</w:t>
                </w:r>
                <w:r>
                  <w:rPr>
                    <w:rFonts w:hint="eastAsia"/>
                    <w:sz w:val="13"/>
                    <w:szCs w:val="13"/>
                  </w:rPr>
                  <w:t>1</w:t>
                </w:r>
                <w:r>
                  <w:rPr>
                    <w:rFonts w:hint="eastAsia"/>
                    <w:sz w:val="13"/>
                    <w:szCs w:val="13"/>
                  </w:rPr>
                  <w:t>）处置或报废</w:t>
                </w:r>
              </w:p>
            </w:tc>
          </w:sdtContent>
        </w:sdt>
        <w:tc>
          <w:tcPr>
            <w:tcW w:w="402" w:type="pct"/>
            <w:vAlign w:val="center"/>
          </w:tcPr>
          <w:p w14:paraId="1F71457F" w14:textId="77777777" w:rsidR="005E000F" w:rsidRDefault="00000000">
            <w:pPr>
              <w:jc w:val="right"/>
              <w:rPr>
                <w:sz w:val="13"/>
                <w:szCs w:val="13"/>
              </w:rPr>
            </w:pPr>
            <w:r>
              <w:rPr>
                <w:sz w:val="13"/>
                <w:szCs w:val="13"/>
              </w:rPr>
              <w:t>30,715,540</w:t>
            </w:r>
          </w:p>
        </w:tc>
        <w:tc>
          <w:tcPr>
            <w:tcW w:w="401" w:type="pct"/>
            <w:vAlign w:val="center"/>
          </w:tcPr>
          <w:p w14:paraId="5783D826" w14:textId="77777777" w:rsidR="005E000F" w:rsidRDefault="00000000">
            <w:pPr>
              <w:jc w:val="right"/>
              <w:rPr>
                <w:sz w:val="13"/>
                <w:szCs w:val="13"/>
              </w:rPr>
            </w:pPr>
            <w:r>
              <w:rPr>
                <w:sz w:val="13"/>
                <w:szCs w:val="13"/>
              </w:rPr>
              <w:t>162,783,607</w:t>
            </w:r>
          </w:p>
        </w:tc>
        <w:tc>
          <w:tcPr>
            <w:tcW w:w="503" w:type="pct"/>
            <w:vAlign w:val="center"/>
          </w:tcPr>
          <w:p w14:paraId="780820CA" w14:textId="77777777" w:rsidR="005E000F" w:rsidRDefault="00000000">
            <w:pPr>
              <w:jc w:val="right"/>
              <w:rPr>
                <w:sz w:val="13"/>
                <w:szCs w:val="13"/>
              </w:rPr>
            </w:pPr>
            <w:r>
              <w:rPr>
                <w:sz w:val="13"/>
                <w:szCs w:val="13"/>
              </w:rPr>
              <w:t>80,633,310</w:t>
            </w:r>
          </w:p>
        </w:tc>
        <w:tc>
          <w:tcPr>
            <w:tcW w:w="402" w:type="pct"/>
            <w:vAlign w:val="center"/>
          </w:tcPr>
          <w:p w14:paraId="6ADED04E" w14:textId="77777777" w:rsidR="005E000F" w:rsidRDefault="00000000">
            <w:pPr>
              <w:jc w:val="right"/>
              <w:rPr>
                <w:sz w:val="13"/>
                <w:szCs w:val="13"/>
              </w:rPr>
            </w:pPr>
            <w:r>
              <w:rPr>
                <w:sz w:val="13"/>
                <w:szCs w:val="13"/>
              </w:rPr>
              <w:t>76,650,973</w:t>
            </w:r>
          </w:p>
        </w:tc>
        <w:tc>
          <w:tcPr>
            <w:tcW w:w="453" w:type="pct"/>
            <w:vAlign w:val="center"/>
          </w:tcPr>
          <w:p w14:paraId="00EA21F9" w14:textId="77777777" w:rsidR="005E000F" w:rsidRDefault="00000000">
            <w:pPr>
              <w:jc w:val="right"/>
              <w:rPr>
                <w:sz w:val="13"/>
                <w:szCs w:val="13"/>
              </w:rPr>
            </w:pPr>
            <w:r>
              <w:rPr>
                <w:sz w:val="13"/>
                <w:szCs w:val="13"/>
              </w:rPr>
              <w:t>11,603,195</w:t>
            </w:r>
          </w:p>
        </w:tc>
        <w:tc>
          <w:tcPr>
            <w:tcW w:w="401" w:type="pct"/>
            <w:vAlign w:val="center"/>
          </w:tcPr>
          <w:p w14:paraId="3125F4A5" w14:textId="77777777" w:rsidR="005E000F" w:rsidRDefault="00000000">
            <w:pPr>
              <w:jc w:val="right"/>
              <w:rPr>
                <w:sz w:val="13"/>
                <w:szCs w:val="13"/>
              </w:rPr>
            </w:pPr>
            <w:r>
              <w:rPr>
                <w:sz w:val="13"/>
                <w:szCs w:val="13"/>
              </w:rPr>
              <w:t>66,354,878</w:t>
            </w:r>
          </w:p>
        </w:tc>
        <w:tc>
          <w:tcPr>
            <w:tcW w:w="351" w:type="pct"/>
            <w:vAlign w:val="center"/>
          </w:tcPr>
          <w:p w14:paraId="182737B6" w14:textId="77777777" w:rsidR="005E000F" w:rsidRDefault="00000000">
            <w:pPr>
              <w:jc w:val="right"/>
              <w:rPr>
                <w:sz w:val="13"/>
                <w:szCs w:val="13"/>
              </w:rPr>
            </w:pPr>
            <w:r>
              <w:rPr>
                <w:sz w:val="13"/>
                <w:szCs w:val="13"/>
              </w:rPr>
              <w:t>63,452,062</w:t>
            </w:r>
          </w:p>
        </w:tc>
        <w:tc>
          <w:tcPr>
            <w:tcW w:w="402" w:type="pct"/>
            <w:vAlign w:val="center"/>
          </w:tcPr>
          <w:p w14:paraId="3390F0F6" w14:textId="77777777" w:rsidR="005E000F" w:rsidRDefault="00000000">
            <w:pPr>
              <w:jc w:val="right"/>
              <w:rPr>
                <w:sz w:val="13"/>
                <w:szCs w:val="13"/>
              </w:rPr>
            </w:pPr>
            <w:r>
              <w:rPr>
                <w:sz w:val="13"/>
                <w:szCs w:val="13"/>
              </w:rPr>
              <w:t>5,617,757</w:t>
            </w:r>
          </w:p>
        </w:tc>
        <w:tc>
          <w:tcPr>
            <w:tcW w:w="452" w:type="pct"/>
            <w:vAlign w:val="center"/>
          </w:tcPr>
          <w:p w14:paraId="5A78D329" w14:textId="77777777" w:rsidR="005E000F" w:rsidRDefault="00000000">
            <w:pPr>
              <w:jc w:val="right"/>
              <w:rPr>
                <w:sz w:val="13"/>
                <w:szCs w:val="13"/>
              </w:rPr>
            </w:pPr>
            <w:r>
              <w:rPr>
                <w:sz w:val="13"/>
                <w:szCs w:val="13"/>
              </w:rPr>
              <w:t>198,944,367</w:t>
            </w:r>
          </w:p>
        </w:tc>
        <w:tc>
          <w:tcPr>
            <w:tcW w:w="396" w:type="pct"/>
            <w:vAlign w:val="center"/>
          </w:tcPr>
          <w:p w14:paraId="6849C085" w14:textId="77777777" w:rsidR="005E000F" w:rsidRDefault="00000000">
            <w:pPr>
              <w:jc w:val="right"/>
              <w:rPr>
                <w:sz w:val="13"/>
                <w:szCs w:val="13"/>
              </w:rPr>
            </w:pPr>
            <w:r>
              <w:rPr>
                <w:sz w:val="13"/>
                <w:szCs w:val="13"/>
              </w:rPr>
              <w:t>38,602,538</w:t>
            </w:r>
          </w:p>
        </w:tc>
        <w:tc>
          <w:tcPr>
            <w:tcW w:w="395" w:type="pct"/>
            <w:vAlign w:val="center"/>
          </w:tcPr>
          <w:p w14:paraId="706B90C5" w14:textId="77777777" w:rsidR="005E000F" w:rsidRDefault="00000000">
            <w:pPr>
              <w:jc w:val="right"/>
              <w:rPr>
                <w:sz w:val="13"/>
                <w:szCs w:val="13"/>
              </w:rPr>
            </w:pPr>
            <w:r>
              <w:rPr>
                <w:sz w:val="13"/>
                <w:szCs w:val="13"/>
              </w:rPr>
              <w:t>735,358,227</w:t>
            </w:r>
          </w:p>
        </w:tc>
      </w:tr>
      <w:tr w:rsidR="005E000F" w14:paraId="4E5AD6ED" w14:textId="77777777">
        <w:sdt>
          <w:sdtPr>
            <w:rPr>
              <w:rFonts w:hint="eastAsia"/>
              <w:sz w:val="13"/>
              <w:szCs w:val="13"/>
            </w:rPr>
            <w:alias w:val="固定资产累计折旧减少项目名称"/>
            <w:tag w:val="_GBC_20eae31762484d0a9c046fa65503339a"/>
            <w:id w:val="-1895494638"/>
          </w:sdtPr>
          <w:sdtContent>
            <w:tc>
              <w:tcPr>
                <w:tcW w:w="442" w:type="pct"/>
                <w:vAlign w:val="center"/>
              </w:tcPr>
              <w:p w14:paraId="65418DC8" w14:textId="77777777" w:rsidR="005E000F" w:rsidRDefault="00000000">
                <w:pPr>
                  <w:ind w:firstLineChars="200" w:firstLine="260"/>
                  <w:rPr>
                    <w:sz w:val="13"/>
                    <w:szCs w:val="13"/>
                  </w:rPr>
                </w:pPr>
                <w:r>
                  <w:rPr>
                    <w:rFonts w:hint="eastAsia"/>
                    <w:sz w:val="13"/>
                    <w:szCs w:val="13"/>
                  </w:rPr>
                  <w:t>（</w:t>
                </w:r>
                <w:r>
                  <w:rPr>
                    <w:rFonts w:hint="eastAsia"/>
                    <w:sz w:val="13"/>
                    <w:szCs w:val="13"/>
                  </w:rPr>
                  <w:t>2</w:t>
                </w:r>
                <w:r>
                  <w:rPr>
                    <w:rFonts w:hint="eastAsia"/>
                    <w:sz w:val="13"/>
                    <w:szCs w:val="13"/>
                  </w:rPr>
                  <w:t>）大修转入在建工程</w:t>
                </w:r>
              </w:p>
            </w:tc>
          </w:sdtContent>
        </w:sdt>
        <w:tc>
          <w:tcPr>
            <w:tcW w:w="402" w:type="pct"/>
            <w:vAlign w:val="center"/>
          </w:tcPr>
          <w:p w14:paraId="1EE90B93" w14:textId="77777777" w:rsidR="005E000F" w:rsidRDefault="00000000">
            <w:pPr>
              <w:jc w:val="right"/>
              <w:rPr>
                <w:sz w:val="13"/>
                <w:szCs w:val="13"/>
              </w:rPr>
            </w:pPr>
            <w:r>
              <w:rPr>
                <w:sz w:val="13"/>
                <w:szCs w:val="13"/>
              </w:rPr>
              <w:t>111,342,577</w:t>
            </w:r>
          </w:p>
        </w:tc>
        <w:tc>
          <w:tcPr>
            <w:tcW w:w="401" w:type="pct"/>
            <w:vAlign w:val="center"/>
          </w:tcPr>
          <w:p w14:paraId="6D6DB8AD" w14:textId="77777777" w:rsidR="005E000F" w:rsidRDefault="00000000">
            <w:pPr>
              <w:jc w:val="right"/>
              <w:rPr>
                <w:sz w:val="13"/>
                <w:szCs w:val="13"/>
              </w:rPr>
            </w:pPr>
            <w:r>
              <w:rPr>
                <w:sz w:val="13"/>
                <w:szCs w:val="13"/>
              </w:rPr>
              <w:t>3,000,160,317</w:t>
            </w:r>
          </w:p>
        </w:tc>
        <w:tc>
          <w:tcPr>
            <w:tcW w:w="503" w:type="pct"/>
            <w:vAlign w:val="center"/>
          </w:tcPr>
          <w:p w14:paraId="2552C07B" w14:textId="77777777" w:rsidR="005E000F" w:rsidRDefault="00000000">
            <w:pPr>
              <w:jc w:val="right"/>
              <w:rPr>
                <w:sz w:val="13"/>
                <w:szCs w:val="13"/>
              </w:rPr>
            </w:pPr>
            <w:r>
              <w:rPr>
                <w:sz w:val="13"/>
                <w:szCs w:val="13"/>
              </w:rPr>
              <w:t>432,125,559</w:t>
            </w:r>
          </w:p>
        </w:tc>
        <w:tc>
          <w:tcPr>
            <w:tcW w:w="402" w:type="pct"/>
            <w:vAlign w:val="center"/>
          </w:tcPr>
          <w:p w14:paraId="72AEFD6E" w14:textId="77777777" w:rsidR="005E000F" w:rsidRDefault="00000000">
            <w:pPr>
              <w:jc w:val="right"/>
              <w:rPr>
                <w:sz w:val="13"/>
                <w:szCs w:val="13"/>
              </w:rPr>
            </w:pPr>
            <w:r>
              <w:rPr>
                <w:sz w:val="13"/>
                <w:szCs w:val="13"/>
              </w:rPr>
              <w:t>39,003,416</w:t>
            </w:r>
          </w:p>
        </w:tc>
        <w:tc>
          <w:tcPr>
            <w:tcW w:w="453" w:type="pct"/>
            <w:vAlign w:val="center"/>
          </w:tcPr>
          <w:p w14:paraId="3E3D617E" w14:textId="77777777" w:rsidR="005E000F" w:rsidRDefault="00000000">
            <w:pPr>
              <w:jc w:val="right"/>
              <w:rPr>
                <w:sz w:val="13"/>
                <w:szCs w:val="13"/>
              </w:rPr>
            </w:pPr>
            <w:r>
              <w:rPr>
                <w:sz w:val="13"/>
                <w:szCs w:val="13"/>
              </w:rPr>
              <w:t>14,554,256</w:t>
            </w:r>
          </w:p>
        </w:tc>
        <w:tc>
          <w:tcPr>
            <w:tcW w:w="401" w:type="pct"/>
            <w:vAlign w:val="center"/>
          </w:tcPr>
          <w:p w14:paraId="53D1F46A" w14:textId="77777777" w:rsidR="005E000F" w:rsidRDefault="00000000">
            <w:pPr>
              <w:jc w:val="right"/>
              <w:rPr>
                <w:sz w:val="13"/>
                <w:szCs w:val="13"/>
              </w:rPr>
            </w:pPr>
            <w:r>
              <w:rPr>
                <w:sz w:val="13"/>
                <w:szCs w:val="13"/>
              </w:rPr>
              <w:t>58,403,504</w:t>
            </w:r>
          </w:p>
        </w:tc>
        <w:tc>
          <w:tcPr>
            <w:tcW w:w="351" w:type="pct"/>
            <w:vAlign w:val="center"/>
          </w:tcPr>
          <w:p w14:paraId="389A77F3" w14:textId="77777777" w:rsidR="005E000F" w:rsidRDefault="00000000">
            <w:pPr>
              <w:jc w:val="right"/>
              <w:rPr>
                <w:sz w:val="13"/>
                <w:szCs w:val="13"/>
              </w:rPr>
            </w:pPr>
            <w:r>
              <w:rPr>
                <w:sz w:val="13"/>
                <w:szCs w:val="13"/>
              </w:rPr>
              <w:t>15,656,990</w:t>
            </w:r>
          </w:p>
        </w:tc>
        <w:tc>
          <w:tcPr>
            <w:tcW w:w="402" w:type="pct"/>
            <w:vAlign w:val="center"/>
          </w:tcPr>
          <w:p w14:paraId="18F87F45" w14:textId="77777777" w:rsidR="005E000F" w:rsidRDefault="00000000">
            <w:pPr>
              <w:jc w:val="right"/>
              <w:rPr>
                <w:sz w:val="13"/>
                <w:szCs w:val="13"/>
              </w:rPr>
            </w:pPr>
            <w:r>
              <w:rPr>
                <w:sz w:val="13"/>
                <w:szCs w:val="13"/>
              </w:rPr>
              <w:t>75,293</w:t>
            </w:r>
          </w:p>
        </w:tc>
        <w:tc>
          <w:tcPr>
            <w:tcW w:w="452" w:type="pct"/>
            <w:vAlign w:val="center"/>
          </w:tcPr>
          <w:p w14:paraId="10373351" w14:textId="77777777" w:rsidR="005E000F" w:rsidRDefault="00000000">
            <w:pPr>
              <w:jc w:val="right"/>
              <w:rPr>
                <w:sz w:val="13"/>
                <w:szCs w:val="13"/>
              </w:rPr>
            </w:pPr>
            <w:r>
              <w:rPr>
                <w:sz w:val="13"/>
                <w:szCs w:val="13"/>
              </w:rPr>
              <w:t>8,498,325</w:t>
            </w:r>
          </w:p>
        </w:tc>
        <w:tc>
          <w:tcPr>
            <w:tcW w:w="396" w:type="pct"/>
            <w:vAlign w:val="center"/>
          </w:tcPr>
          <w:p w14:paraId="30B85536" w14:textId="77777777" w:rsidR="005E000F" w:rsidRDefault="00000000">
            <w:pPr>
              <w:jc w:val="right"/>
              <w:rPr>
                <w:sz w:val="13"/>
                <w:szCs w:val="13"/>
              </w:rPr>
            </w:pPr>
            <w:r>
              <w:rPr>
                <w:sz w:val="13"/>
                <w:szCs w:val="13"/>
              </w:rPr>
              <w:t>8,684,561</w:t>
            </w:r>
          </w:p>
        </w:tc>
        <w:tc>
          <w:tcPr>
            <w:tcW w:w="395" w:type="pct"/>
            <w:vAlign w:val="center"/>
          </w:tcPr>
          <w:p w14:paraId="2AA9C798" w14:textId="77777777" w:rsidR="005E000F" w:rsidRDefault="00000000">
            <w:pPr>
              <w:jc w:val="right"/>
              <w:rPr>
                <w:sz w:val="13"/>
                <w:szCs w:val="13"/>
              </w:rPr>
            </w:pPr>
            <w:r>
              <w:rPr>
                <w:sz w:val="13"/>
                <w:szCs w:val="13"/>
              </w:rPr>
              <w:t>3,688,504,798</w:t>
            </w:r>
          </w:p>
        </w:tc>
      </w:tr>
      <w:tr w:rsidR="005E000F" w14:paraId="47F49CB7" w14:textId="77777777">
        <w:sdt>
          <w:sdtPr>
            <w:rPr>
              <w:rFonts w:hint="eastAsia"/>
              <w:sz w:val="13"/>
              <w:szCs w:val="13"/>
            </w:rPr>
            <w:alias w:val="固定资产累计折旧减少项目名称"/>
            <w:tag w:val="_GBC_20eae31762484d0a9c046fa65503339a"/>
            <w:id w:val="908580332"/>
          </w:sdtPr>
          <w:sdtContent>
            <w:tc>
              <w:tcPr>
                <w:tcW w:w="442" w:type="pct"/>
                <w:vAlign w:val="center"/>
              </w:tcPr>
              <w:p w14:paraId="0DF43198" w14:textId="77777777" w:rsidR="005E000F" w:rsidRDefault="00000000">
                <w:pPr>
                  <w:ind w:firstLineChars="200" w:firstLine="260"/>
                  <w:rPr>
                    <w:sz w:val="13"/>
                    <w:szCs w:val="13"/>
                  </w:rPr>
                </w:pPr>
                <w:r>
                  <w:rPr>
                    <w:rFonts w:hint="eastAsia"/>
                    <w:sz w:val="13"/>
                    <w:szCs w:val="13"/>
                  </w:rPr>
                  <w:t>（</w:t>
                </w:r>
                <w:r>
                  <w:rPr>
                    <w:rFonts w:hint="eastAsia"/>
                    <w:sz w:val="13"/>
                    <w:szCs w:val="13"/>
                  </w:rPr>
                  <w:t>3</w:t>
                </w:r>
                <w:r>
                  <w:rPr>
                    <w:rFonts w:hint="eastAsia"/>
                    <w:sz w:val="13"/>
                    <w:szCs w:val="13"/>
                  </w:rPr>
                  <w:t>）大修转入成本</w:t>
                </w:r>
              </w:p>
            </w:tc>
          </w:sdtContent>
        </w:sdt>
        <w:tc>
          <w:tcPr>
            <w:tcW w:w="402" w:type="pct"/>
            <w:vAlign w:val="center"/>
          </w:tcPr>
          <w:p w14:paraId="6C1F527B" w14:textId="77777777" w:rsidR="005E000F" w:rsidRDefault="00000000">
            <w:pPr>
              <w:jc w:val="right"/>
              <w:rPr>
                <w:sz w:val="13"/>
                <w:szCs w:val="13"/>
              </w:rPr>
            </w:pPr>
            <w:r>
              <w:rPr>
                <w:sz w:val="13"/>
                <w:szCs w:val="13"/>
              </w:rPr>
              <w:t>7,682,396</w:t>
            </w:r>
          </w:p>
        </w:tc>
        <w:tc>
          <w:tcPr>
            <w:tcW w:w="401" w:type="pct"/>
            <w:vAlign w:val="center"/>
          </w:tcPr>
          <w:p w14:paraId="08AC36B7" w14:textId="77777777" w:rsidR="005E000F" w:rsidRDefault="00000000">
            <w:pPr>
              <w:jc w:val="right"/>
              <w:rPr>
                <w:sz w:val="13"/>
                <w:szCs w:val="13"/>
              </w:rPr>
            </w:pPr>
            <w:r>
              <w:rPr>
                <w:sz w:val="13"/>
                <w:szCs w:val="13"/>
              </w:rPr>
              <w:t>321,886,490</w:t>
            </w:r>
          </w:p>
        </w:tc>
        <w:tc>
          <w:tcPr>
            <w:tcW w:w="503" w:type="pct"/>
            <w:vAlign w:val="center"/>
          </w:tcPr>
          <w:p w14:paraId="51BBD209" w14:textId="77777777" w:rsidR="005E000F" w:rsidRDefault="00000000">
            <w:pPr>
              <w:jc w:val="right"/>
              <w:rPr>
                <w:sz w:val="13"/>
                <w:szCs w:val="13"/>
              </w:rPr>
            </w:pPr>
            <w:r>
              <w:rPr>
                <w:sz w:val="13"/>
                <w:szCs w:val="13"/>
              </w:rPr>
              <w:t>22,729,376</w:t>
            </w:r>
          </w:p>
        </w:tc>
        <w:tc>
          <w:tcPr>
            <w:tcW w:w="402" w:type="pct"/>
            <w:vAlign w:val="center"/>
          </w:tcPr>
          <w:p w14:paraId="2D758F05" w14:textId="77777777" w:rsidR="005E000F" w:rsidRDefault="00000000">
            <w:pPr>
              <w:jc w:val="right"/>
              <w:rPr>
                <w:sz w:val="13"/>
                <w:szCs w:val="13"/>
              </w:rPr>
            </w:pPr>
            <w:r>
              <w:rPr>
                <w:sz w:val="13"/>
                <w:szCs w:val="13"/>
              </w:rPr>
              <w:t>195,480,435</w:t>
            </w:r>
          </w:p>
        </w:tc>
        <w:tc>
          <w:tcPr>
            <w:tcW w:w="453" w:type="pct"/>
            <w:vAlign w:val="center"/>
          </w:tcPr>
          <w:p w14:paraId="11FC6DF0" w14:textId="77777777" w:rsidR="005E000F" w:rsidRDefault="00000000">
            <w:pPr>
              <w:jc w:val="right"/>
              <w:rPr>
                <w:sz w:val="13"/>
                <w:szCs w:val="13"/>
              </w:rPr>
            </w:pPr>
            <w:r>
              <w:rPr>
                <w:sz w:val="13"/>
                <w:szCs w:val="13"/>
              </w:rPr>
              <w:t>21,752,224</w:t>
            </w:r>
          </w:p>
        </w:tc>
        <w:tc>
          <w:tcPr>
            <w:tcW w:w="401" w:type="pct"/>
            <w:vAlign w:val="center"/>
          </w:tcPr>
          <w:p w14:paraId="1C124FBB" w14:textId="77777777" w:rsidR="005E000F" w:rsidRDefault="00000000">
            <w:pPr>
              <w:jc w:val="right"/>
              <w:rPr>
                <w:sz w:val="13"/>
                <w:szCs w:val="13"/>
              </w:rPr>
            </w:pPr>
            <w:r>
              <w:rPr>
                <w:sz w:val="13"/>
                <w:szCs w:val="13"/>
              </w:rPr>
              <w:t>4,242,927</w:t>
            </w:r>
          </w:p>
        </w:tc>
        <w:tc>
          <w:tcPr>
            <w:tcW w:w="351" w:type="pct"/>
            <w:vAlign w:val="center"/>
          </w:tcPr>
          <w:p w14:paraId="05896D9D" w14:textId="77777777" w:rsidR="005E000F" w:rsidRDefault="00000000">
            <w:pPr>
              <w:jc w:val="right"/>
              <w:rPr>
                <w:sz w:val="13"/>
                <w:szCs w:val="13"/>
              </w:rPr>
            </w:pPr>
            <w:r>
              <w:rPr>
                <w:sz w:val="13"/>
                <w:szCs w:val="13"/>
              </w:rPr>
              <w:t>1,449,347</w:t>
            </w:r>
          </w:p>
        </w:tc>
        <w:tc>
          <w:tcPr>
            <w:tcW w:w="402" w:type="pct"/>
            <w:vAlign w:val="center"/>
          </w:tcPr>
          <w:p w14:paraId="043EC7C0" w14:textId="77777777" w:rsidR="005E000F" w:rsidRDefault="00000000">
            <w:pPr>
              <w:jc w:val="right"/>
              <w:rPr>
                <w:sz w:val="13"/>
                <w:szCs w:val="13"/>
              </w:rPr>
            </w:pPr>
            <w:r>
              <w:rPr>
                <w:sz w:val="13"/>
                <w:szCs w:val="13"/>
              </w:rPr>
              <w:t>1,224,742</w:t>
            </w:r>
          </w:p>
        </w:tc>
        <w:tc>
          <w:tcPr>
            <w:tcW w:w="452" w:type="pct"/>
            <w:vAlign w:val="center"/>
          </w:tcPr>
          <w:p w14:paraId="7781CE90" w14:textId="77777777" w:rsidR="005E000F" w:rsidRDefault="00000000">
            <w:pPr>
              <w:jc w:val="right"/>
              <w:rPr>
                <w:sz w:val="13"/>
                <w:szCs w:val="13"/>
              </w:rPr>
            </w:pPr>
            <w:r>
              <w:rPr>
                <w:sz w:val="13"/>
                <w:szCs w:val="13"/>
              </w:rPr>
              <w:t>1,367,041</w:t>
            </w:r>
          </w:p>
        </w:tc>
        <w:tc>
          <w:tcPr>
            <w:tcW w:w="396" w:type="pct"/>
            <w:vAlign w:val="center"/>
          </w:tcPr>
          <w:p w14:paraId="49DE64E5" w14:textId="77777777" w:rsidR="005E000F" w:rsidRDefault="00000000">
            <w:pPr>
              <w:jc w:val="right"/>
              <w:rPr>
                <w:sz w:val="13"/>
                <w:szCs w:val="13"/>
              </w:rPr>
            </w:pPr>
            <w:r>
              <w:rPr>
                <w:sz w:val="13"/>
                <w:szCs w:val="13"/>
              </w:rPr>
              <w:t>754,167</w:t>
            </w:r>
          </w:p>
        </w:tc>
        <w:tc>
          <w:tcPr>
            <w:tcW w:w="395" w:type="pct"/>
            <w:vAlign w:val="center"/>
          </w:tcPr>
          <w:p w14:paraId="73D18552" w14:textId="77777777" w:rsidR="005E000F" w:rsidRDefault="00000000">
            <w:pPr>
              <w:jc w:val="right"/>
              <w:rPr>
                <w:sz w:val="13"/>
                <w:szCs w:val="13"/>
              </w:rPr>
            </w:pPr>
            <w:r>
              <w:rPr>
                <w:sz w:val="13"/>
                <w:szCs w:val="13"/>
              </w:rPr>
              <w:t>578,569,145</w:t>
            </w:r>
          </w:p>
        </w:tc>
      </w:tr>
      <w:tr w:rsidR="005E000F" w14:paraId="6A7588D8" w14:textId="77777777">
        <w:sdt>
          <w:sdtPr>
            <w:rPr>
              <w:sz w:val="13"/>
              <w:szCs w:val="13"/>
            </w:rPr>
            <w:tag w:val="_PLD_461cd300a56d4a1d8e530b3c2f9767bf"/>
            <w:id w:val="612331732"/>
          </w:sdtPr>
          <w:sdtContent>
            <w:tc>
              <w:tcPr>
                <w:tcW w:w="442" w:type="pct"/>
                <w:vAlign w:val="center"/>
              </w:tcPr>
              <w:p w14:paraId="0E2CF120" w14:textId="77777777" w:rsidR="005E000F" w:rsidRDefault="00000000">
                <w:pPr>
                  <w:ind w:firstLineChars="200" w:firstLine="260"/>
                  <w:rPr>
                    <w:sz w:val="13"/>
                    <w:szCs w:val="13"/>
                  </w:rPr>
                </w:pPr>
                <w:r>
                  <w:rPr>
                    <w:rFonts w:hint="eastAsia"/>
                    <w:sz w:val="13"/>
                    <w:szCs w:val="13"/>
                  </w:rPr>
                  <w:t>4.</w:t>
                </w:r>
                <w:r>
                  <w:rPr>
                    <w:rFonts w:hint="eastAsia"/>
                    <w:sz w:val="13"/>
                    <w:szCs w:val="13"/>
                  </w:rPr>
                  <w:t>期末余额</w:t>
                </w:r>
              </w:p>
            </w:tc>
          </w:sdtContent>
        </w:sdt>
        <w:tc>
          <w:tcPr>
            <w:tcW w:w="402" w:type="pct"/>
            <w:vAlign w:val="center"/>
          </w:tcPr>
          <w:p w14:paraId="6D2B0787" w14:textId="77777777" w:rsidR="005E000F" w:rsidRDefault="00000000">
            <w:pPr>
              <w:jc w:val="right"/>
              <w:rPr>
                <w:sz w:val="13"/>
                <w:szCs w:val="13"/>
              </w:rPr>
            </w:pPr>
            <w:r>
              <w:rPr>
                <w:sz w:val="13"/>
                <w:szCs w:val="13"/>
              </w:rPr>
              <w:t>5,469,567,796</w:t>
            </w:r>
          </w:p>
        </w:tc>
        <w:tc>
          <w:tcPr>
            <w:tcW w:w="401" w:type="pct"/>
            <w:vAlign w:val="center"/>
          </w:tcPr>
          <w:p w14:paraId="26CCBB02" w14:textId="77777777" w:rsidR="005E000F" w:rsidRDefault="00000000">
            <w:pPr>
              <w:jc w:val="right"/>
              <w:rPr>
                <w:sz w:val="13"/>
                <w:szCs w:val="13"/>
              </w:rPr>
            </w:pPr>
            <w:r>
              <w:rPr>
                <w:sz w:val="13"/>
                <w:szCs w:val="13"/>
              </w:rPr>
              <w:t>9,943,246,102</w:t>
            </w:r>
          </w:p>
        </w:tc>
        <w:tc>
          <w:tcPr>
            <w:tcW w:w="503" w:type="pct"/>
            <w:vAlign w:val="center"/>
          </w:tcPr>
          <w:p w14:paraId="172F0409" w14:textId="77777777" w:rsidR="005E000F" w:rsidRDefault="00000000">
            <w:pPr>
              <w:jc w:val="right"/>
              <w:rPr>
                <w:sz w:val="13"/>
                <w:szCs w:val="13"/>
              </w:rPr>
            </w:pPr>
            <w:r>
              <w:rPr>
                <w:sz w:val="13"/>
                <w:szCs w:val="13"/>
              </w:rPr>
              <w:t>17,059,403,442</w:t>
            </w:r>
          </w:p>
        </w:tc>
        <w:tc>
          <w:tcPr>
            <w:tcW w:w="402" w:type="pct"/>
            <w:vAlign w:val="center"/>
          </w:tcPr>
          <w:p w14:paraId="01BA8B9D" w14:textId="77777777" w:rsidR="005E000F" w:rsidRDefault="00000000">
            <w:pPr>
              <w:jc w:val="right"/>
              <w:rPr>
                <w:sz w:val="13"/>
                <w:szCs w:val="13"/>
              </w:rPr>
            </w:pPr>
            <w:r>
              <w:rPr>
                <w:sz w:val="13"/>
                <w:szCs w:val="13"/>
              </w:rPr>
              <w:t>8,448,311,734</w:t>
            </w:r>
          </w:p>
        </w:tc>
        <w:tc>
          <w:tcPr>
            <w:tcW w:w="453" w:type="pct"/>
            <w:vAlign w:val="center"/>
          </w:tcPr>
          <w:p w14:paraId="6C8ABE4E" w14:textId="77777777" w:rsidR="005E000F" w:rsidRDefault="00000000">
            <w:pPr>
              <w:jc w:val="right"/>
              <w:rPr>
                <w:sz w:val="13"/>
                <w:szCs w:val="13"/>
              </w:rPr>
            </w:pPr>
            <w:r>
              <w:rPr>
                <w:sz w:val="13"/>
                <w:szCs w:val="13"/>
              </w:rPr>
              <w:t>7,051,480,402</w:t>
            </w:r>
          </w:p>
        </w:tc>
        <w:tc>
          <w:tcPr>
            <w:tcW w:w="401" w:type="pct"/>
            <w:vAlign w:val="center"/>
          </w:tcPr>
          <w:p w14:paraId="21B39FFD" w14:textId="77777777" w:rsidR="005E000F" w:rsidRDefault="00000000">
            <w:pPr>
              <w:jc w:val="right"/>
              <w:rPr>
                <w:sz w:val="13"/>
                <w:szCs w:val="13"/>
              </w:rPr>
            </w:pPr>
            <w:r>
              <w:rPr>
                <w:sz w:val="13"/>
                <w:szCs w:val="13"/>
              </w:rPr>
              <w:t>1,399,914,786</w:t>
            </w:r>
          </w:p>
        </w:tc>
        <w:tc>
          <w:tcPr>
            <w:tcW w:w="351" w:type="pct"/>
            <w:vAlign w:val="center"/>
          </w:tcPr>
          <w:p w14:paraId="030D7BD0" w14:textId="77777777" w:rsidR="005E000F" w:rsidRDefault="00000000">
            <w:pPr>
              <w:jc w:val="right"/>
              <w:rPr>
                <w:sz w:val="13"/>
                <w:szCs w:val="13"/>
              </w:rPr>
            </w:pPr>
            <w:r>
              <w:rPr>
                <w:sz w:val="13"/>
                <w:szCs w:val="13"/>
              </w:rPr>
              <w:t>503,971,564</w:t>
            </w:r>
          </w:p>
        </w:tc>
        <w:tc>
          <w:tcPr>
            <w:tcW w:w="402" w:type="pct"/>
            <w:vAlign w:val="center"/>
          </w:tcPr>
          <w:p w14:paraId="3753984E" w14:textId="77777777" w:rsidR="005E000F" w:rsidRDefault="00000000">
            <w:pPr>
              <w:jc w:val="right"/>
              <w:rPr>
                <w:sz w:val="13"/>
                <w:szCs w:val="13"/>
              </w:rPr>
            </w:pPr>
            <w:r>
              <w:rPr>
                <w:sz w:val="13"/>
                <w:szCs w:val="13"/>
              </w:rPr>
              <w:t>2,126,296,313</w:t>
            </w:r>
          </w:p>
        </w:tc>
        <w:tc>
          <w:tcPr>
            <w:tcW w:w="452" w:type="pct"/>
            <w:vAlign w:val="center"/>
          </w:tcPr>
          <w:p w14:paraId="1D06B598" w14:textId="77777777" w:rsidR="005E000F" w:rsidRDefault="00000000">
            <w:pPr>
              <w:jc w:val="right"/>
              <w:rPr>
                <w:sz w:val="13"/>
                <w:szCs w:val="13"/>
              </w:rPr>
            </w:pPr>
            <w:r>
              <w:rPr>
                <w:sz w:val="13"/>
                <w:szCs w:val="13"/>
              </w:rPr>
              <w:t>4,066,257,815</w:t>
            </w:r>
          </w:p>
        </w:tc>
        <w:tc>
          <w:tcPr>
            <w:tcW w:w="396" w:type="pct"/>
            <w:vAlign w:val="center"/>
          </w:tcPr>
          <w:p w14:paraId="257136C0" w14:textId="77777777" w:rsidR="005E000F" w:rsidRDefault="00000000">
            <w:pPr>
              <w:jc w:val="right"/>
              <w:rPr>
                <w:sz w:val="13"/>
                <w:szCs w:val="13"/>
              </w:rPr>
            </w:pPr>
            <w:r>
              <w:rPr>
                <w:sz w:val="13"/>
                <w:szCs w:val="13"/>
              </w:rPr>
              <w:t>813,368,875</w:t>
            </w:r>
          </w:p>
        </w:tc>
        <w:tc>
          <w:tcPr>
            <w:tcW w:w="395" w:type="pct"/>
            <w:vAlign w:val="center"/>
          </w:tcPr>
          <w:p w14:paraId="034E35E0" w14:textId="77777777" w:rsidR="005E000F" w:rsidRDefault="00000000">
            <w:pPr>
              <w:jc w:val="right"/>
              <w:rPr>
                <w:sz w:val="13"/>
                <w:szCs w:val="13"/>
              </w:rPr>
            </w:pPr>
            <w:r>
              <w:rPr>
                <w:sz w:val="13"/>
                <w:szCs w:val="13"/>
              </w:rPr>
              <w:t>56,881,818,829</w:t>
            </w:r>
          </w:p>
        </w:tc>
      </w:tr>
      <w:tr w:rsidR="005E000F" w14:paraId="0A9339AC" w14:textId="77777777">
        <w:sdt>
          <w:sdtPr>
            <w:rPr>
              <w:sz w:val="13"/>
              <w:szCs w:val="13"/>
            </w:rPr>
            <w:tag w:val="_PLD_b98cd9e8075a44b28b16fc9fd4c3c81f"/>
            <w:id w:val="-1107189324"/>
          </w:sdtPr>
          <w:sdtContent>
            <w:tc>
              <w:tcPr>
                <w:tcW w:w="5000" w:type="pct"/>
                <w:gridSpan w:val="12"/>
                <w:vAlign w:val="center"/>
              </w:tcPr>
              <w:p w14:paraId="3A0FC8B2" w14:textId="77777777" w:rsidR="005E000F" w:rsidRDefault="00000000">
                <w:pPr>
                  <w:rPr>
                    <w:sz w:val="13"/>
                    <w:szCs w:val="13"/>
                  </w:rPr>
                </w:pPr>
                <w:r>
                  <w:rPr>
                    <w:rFonts w:hint="eastAsia"/>
                    <w:sz w:val="13"/>
                    <w:szCs w:val="13"/>
                  </w:rPr>
                  <w:t>三、减值准备</w:t>
                </w:r>
              </w:p>
            </w:tc>
          </w:sdtContent>
        </w:sdt>
      </w:tr>
      <w:tr w:rsidR="005E000F" w14:paraId="3076A482" w14:textId="77777777">
        <w:sdt>
          <w:sdtPr>
            <w:rPr>
              <w:sz w:val="13"/>
              <w:szCs w:val="13"/>
            </w:rPr>
            <w:tag w:val="_PLD_56eded0ad9c34a2dabfd9ced3cc4cb08"/>
            <w:id w:val="-396973560"/>
          </w:sdtPr>
          <w:sdtContent>
            <w:tc>
              <w:tcPr>
                <w:tcW w:w="442" w:type="pct"/>
                <w:vAlign w:val="center"/>
              </w:tcPr>
              <w:p w14:paraId="4D182944" w14:textId="77777777" w:rsidR="005E000F" w:rsidRDefault="00000000">
                <w:pPr>
                  <w:ind w:firstLineChars="200" w:firstLine="260"/>
                  <w:rPr>
                    <w:sz w:val="13"/>
                    <w:szCs w:val="13"/>
                  </w:rPr>
                </w:pPr>
                <w:r>
                  <w:rPr>
                    <w:sz w:val="13"/>
                    <w:szCs w:val="13"/>
                  </w:rPr>
                  <w:t>1.</w:t>
                </w:r>
                <w:r>
                  <w:rPr>
                    <w:rFonts w:hint="eastAsia"/>
                    <w:sz w:val="13"/>
                    <w:szCs w:val="13"/>
                  </w:rPr>
                  <w:t>期初余额</w:t>
                </w:r>
              </w:p>
            </w:tc>
          </w:sdtContent>
        </w:sdt>
        <w:tc>
          <w:tcPr>
            <w:tcW w:w="402" w:type="pct"/>
            <w:vAlign w:val="center"/>
          </w:tcPr>
          <w:p w14:paraId="32F3EEDE" w14:textId="77777777" w:rsidR="005E000F" w:rsidRDefault="00000000">
            <w:pPr>
              <w:jc w:val="right"/>
              <w:rPr>
                <w:sz w:val="13"/>
                <w:szCs w:val="13"/>
              </w:rPr>
            </w:pPr>
            <w:r>
              <w:rPr>
                <w:sz w:val="13"/>
                <w:szCs w:val="13"/>
              </w:rPr>
              <w:t>672,252</w:t>
            </w:r>
          </w:p>
        </w:tc>
        <w:tc>
          <w:tcPr>
            <w:tcW w:w="401" w:type="pct"/>
            <w:vAlign w:val="center"/>
          </w:tcPr>
          <w:p w14:paraId="531F9A55" w14:textId="77777777" w:rsidR="005E000F" w:rsidRDefault="00000000">
            <w:pPr>
              <w:jc w:val="right"/>
              <w:rPr>
                <w:sz w:val="13"/>
                <w:szCs w:val="13"/>
              </w:rPr>
            </w:pPr>
            <w:r>
              <w:rPr>
                <w:sz w:val="13"/>
                <w:szCs w:val="13"/>
              </w:rPr>
              <w:t>0</w:t>
            </w:r>
          </w:p>
        </w:tc>
        <w:tc>
          <w:tcPr>
            <w:tcW w:w="503" w:type="pct"/>
            <w:vAlign w:val="center"/>
          </w:tcPr>
          <w:p w14:paraId="7E7086FE" w14:textId="77777777" w:rsidR="005E000F" w:rsidRDefault="00000000">
            <w:pPr>
              <w:jc w:val="right"/>
              <w:rPr>
                <w:sz w:val="13"/>
                <w:szCs w:val="13"/>
              </w:rPr>
            </w:pPr>
            <w:r>
              <w:rPr>
                <w:sz w:val="13"/>
                <w:szCs w:val="13"/>
              </w:rPr>
              <w:t>49,168,780</w:t>
            </w:r>
          </w:p>
        </w:tc>
        <w:tc>
          <w:tcPr>
            <w:tcW w:w="402" w:type="pct"/>
            <w:vAlign w:val="center"/>
          </w:tcPr>
          <w:p w14:paraId="3DF7AF7E" w14:textId="77777777" w:rsidR="005E000F" w:rsidRDefault="00000000">
            <w:pPr>
              <w:jc w:val="right"/>
              <w:rPr>
                <w:sz w:val="13"/>
                <w:szCs w:val="13"/>
              </w:rPr>
            </w:pPr>
            <w:r>
              <w:rPr>
                <w:sz w:val="13"/>
                <w:szCs w:val="13"/>
              </w:rPr>
              <w:t>0</w:t>
            </w:r>
          </w:p>
        </w:tc>
        <w:tc>
          <w:tcPr>
            <w:tcW w:w="453" w:type="pct"/>
            <w:vAlign w:val="center"/>
          </w:tcPr>
          <w:p w14:paraId="621439EE" w14:textId="77777777" w:rsidR="005E000F" w:rsidRDefault="00000000">
            <w:pPr>
              <w:jc w:val="right"/>
              <w:rPr>
                <w:sz w:val="13"/>
                <w:szCs w:val="13"/>
              </w:rPr>
            </w:pPr>
            <w:r>
              <w:rPr>
                <w:sz w:val="13"/>
                <w:szCs w:val="13"/>
              </w:rPr>
              <w:t>0</w:t>
            </w:r>
          </w:p>
        </w:tc>
        <w:tc>
          <w:tcPr>
            <w:tcW w:w="401" w:type="pct"/>
            <w:vAlign w:val="center"/>
          </w:tcPr>
          <w:p w14:paraId="3CFF5267" w14:textId="77777777" w:rsidR="005E000F" w:rsidRDefault="00000000">
            <w:pPr>
              <w:jc w:val="right"/>
              <w:rPr>
                <w:sz w:val="13"/>
                <w:szCs w:val="13"/>
              </w:rPr>
            </w:pPr>
            <w:r>
              <w:rPr>
                <w:sz w:val="13"/>
                <w:szCs w:val="13"/>
              </w:rPr>
              <w:t>0</w:t>
            </w:r>
          </w:p>
        </w:tc>
        <w:tc>
          <w:tcPr>
            <w:tcW w:w="351" w:type="pct"/>
            <w:vAlign w:val="center"/>
          </w:tcPr>
          <w:p w14:paraId="2A090552" w14:textId="77777777" w:rsidR="005E000F" w:rsidRDefault="00000000">
            <w:pPr>
              <w:jc w:val="right"/>
              <w:rPr>
                <w:sz w:val="13"/>
                <w:szCs w:val="13"/>
              </w:rPr>
            </w:pPr>
            <w:r>
              <w:rPr>
                <w:sz w:val="13"/>
                <w:szCs w:val="13"/>
              </w:rPr>
              <w:t>0</w:t>
            </w:r>
          </w:p>
        </w:tc>
        <w:tc>
          <w:tcPr>
            <w:tcW w:w="402" w:type="pct"/>
            <w:vAlign w:val="center"/>
          </w:tcPr>
          <w:p w14:paraId="371DF4B4" w14:textId="77777777" w:rsidR="005E000F" w:rsidRDefault="00000000">
            <w:pPr>
              <w:jc w:val="right"/>
              <w:rPr>
                <w:sz w:val="13"/>
                <w:szCs w:val="13"/>
              </w:rPr>
            </w:pPr>
            <w:r>
              <w:rPr>
                <w:sz w:val="13"/>
                <w:szCs w:val="13"/>
              </w:rPr>
              <w:t>0</w:t>
            </w:r>
          </w:p>
        </w:tc>
        <w:tc>
          <w:tcPr>
            <w:tcW w:w="452" w:type="pct"/>
            <w:vAlign w:val="center"/>
          </w:tcPr>
          <w:p w14:paraId="13417609" w14:textId="77777777" w:rsidR="005E000F" w:rsidRDefault="00000000">
            <w:pPr>
              <w:jc w:val="right"/>
              <w:rPr>
                <w:sz w:val="13"/>
                <w:szCs w:val="13"/>
              </w:rPr>
            </w:pPr>
            <w:r>
              <w:rPr>
                <w:sz w:val="13"/>
                <w:szCs w:val="13"/>
              </w:rPr>
              <w:t>443,174</w:t>
            </w:r>
          </w:p>
        </w:tc>
        <w:tc>
          <w:tcPr>
            <w:tcW w:w="396" w:type="pct"/>
            <w:vAlign w:val="center"/>
          </w:tcPr>
          <w:p w14:paraId="5159E62D" w14:textId="77777777" w:rsidR="005E000F" w:rsidRDefault="00000000">
            <w:pPr>
              <w:jc w:val="right"/>
              <w:rPr>
                <w:sz w:val="13"/>
                <w:szCs w:val="13"/>
              </w:rPr>
            </w:pPr>
            <w:r>
              <w:rPr>
                <w:sz w:val="13"/>
                <w:szCs w:val="13"/>
              </w:rPr>
              <w:t>0</w:t>
            </w:r>
          </w:p>
        </w:tc>
        <w:tc>
          <w:tcPr>
            <w:tcW w:w="395" w:type="pct"/>
            <w:vAlign w:val="center"/>
          </w:tcPr>
          <w:p w14:paraId="00E01AF4" w14:textId="77777777" w:rsidR="005E000F" w:rsidRDefault="00000000">
            <w:pPr>
              <w:jc w:val="right"/>
              <w:rPr>
                <w:sz w:val="13"/>
                <w:szCs w:val="13"/>
              </w:rPr>
            </w:pPr>
            <w:r>
              <w:rPr>
                <w:sz w:val="13"/>
                <w:szCs w:val="13"/>
              </w:rPr>
              <w:t>50,284,206</w:t>
            </w:r>
          </w:p>
        </w:tc>
      </w:tr>
      <w:tr w:rsidR="005E000F" w14:paraId="2BAA9B8A" w14:textId="77777777">
        <w:sdt>
          <w:sdtPr>
            <w:rPr>
              <w:sz w:val="13"/>
              <w:szCs w:val="13"/>
            </w:rPr>
            <w:tag w:val="_PLD_e23909e3deca4ed3b3374e1998a20d9d"/>
            <w:id w:val="2097280700"/>
          </w:sdtPr>
          <w:sdtContent>
            <w:tc>
              <w:tcPr>
                <w:tcW w:w="442" w:type="pct"/>
                <w:vAlign w:val="center"/>
              </w:tcPr>
              <w:p w14:paraId="5291ECF6" w14:textId="77777777" w:rsidR="005E000F" w:rsidRDefault="00000000">
                <w:pPr>
                  <w:ind w:firstLineChars="200" w:firstLine="260"/>
                  <w:rPr>
                    <w:sz w:val="13"/>
                    <w:szCs w:val="13"/>
                  </w:rPr>
                </w:pPr>
                <w:r>
                  <w:rPr>
                    <w:sz w:val="13"/>
                    <w:szCs w:val="13"/>
                  </w:rPr>
                  <w:t>2.</w:t>
                </w:r>
                <w:r>
                  <w:rPr>
                    <w:rFonts w:hint="eastAsia"/>
                    <w:sz w:val="13"/>
                    <w:szCs w:val="13"/>
                  </w:rPr>
                  <w:t>本期增加金</w:t>
                </w:r>
                <w:r>
                  <w:rPr>
                    <w:rFonts w:hint="eastAsia"/>
                    <w:sz w:val="13"/>
                    <w:szCs w:val="13"/>
                  </w:rPr>
                  <w:lastRenderedPageBreak/>
                  <w:t>额</w:t>
                </w:r>
              </w:p>
            </w:tc>
          </w:sdtContent>
        </w:sdt>
        <w:tc>
          <w:tcPr>
            <w:tcW w:w="402" w:type="pct"/>
            <w:vAlign w:val="center"/>
          </w:tcPr>
          <w:p w14:paraId="433C87A0" w14:textId="77777777" w:rsidR="005E000F" w:rsidRDefault="00000000">
            <w:pPr>
              <w:jc w:val="right"/>
              <w:rPr>
                <w:sz w:val="13"/>
                <w:szCs w:val="13"/>
              </w:rPr>
            </w:pPr>
            <w:r>
              <w:rPr>
                <w:sz w:val="13"/>
                <w:szCs w:val="13"/>
              </w:rPr>
              <w:lastRenderedPageBreak/>
              <w:t>0</w:t>
            </w:r>
          </w:p>
        </w:tc>
        <w:tc>
          <w:tcPr>
            <w:tcW w:w="401" w:type="pct"/>
            <w:vAlign w:val="center"/>
          </w:tcPr>
          <w:p w14:paraId="042BD6A7" w14:textId="77777777" w:rsidR="005E000F" w:rsidRDefault="00000000">
            <w:pPr>
              <w:jc w:val="right"/>
              <w:rPr>
                <w:sz w:val="13"/>
                <w:szCs w:val="13"/>
              </w:rPr>
            </w:pPr>
            <w:r>
              <w:rPr>
                <w:sz w:val="13"/>
                <w:szCs w:val="13"/>
              </w:rPr>
              <w:t>3,395,204</w:t>
            </w:r>
          </w:p>
        </w:tc>
        <w:tc>
          <w:tcPr>
            <w:tcW w:w="503" w:type="pct"/>
            <w:vAlign w:val="center"/>
          </w:tcPr>
          <w:p w14:paraId="20D669C2" w14:textId="77777777" w:rsidR="005E000F" w:rsidRDefault="00000000">
            <w:pPr>
              <w:jc w:val="right"/>
              <w:rPr>
                <w:sz w:val="13"/>
                <w:szCs w:val="13"/>
              </w:rPr>
            </w:pPr>
            <w:r>
              <w:rPr>
                <w:sz w:val="13"/>
                <w:szCs w:val="13"/>
              </w:rPr>
              <w:t>0</w:t>
            </w:r>
          </w:p>
        </w:tc>
        <w:tc>
          <w:tcPr>
            <w:tcW w:w="402" w:type="pct"/>
            <w:vAlign w:val="center"/>
          </w:tcPr>
          <w:p w14:paraId="5CA40DF1" w14:textId="77777777" w:rsidR="005E000F" w:rsidRDefault="00000000">
            <w:pPr>
              <w:jc w:val="right"/>
              <w:rPr>
                <w:sz w:val="13"/>
                <w:szCs w:val="13"/>
              </w:rPr>
            </w:pPr>
            <w:r>
              <w:rPr>
                <w:sz w:val="13"/>
                <w:szCs w:val="13"/>
              </w:rPr>
              <w:t>0</w:t>
            </w:r>
          </w:p>
        </w:tc>
        <w:tc>
          <w:tcPr>
            <w:tcW w:w="453" w:type="pct"/>
            <w:vAlign w:val="center"/>
          </w:tcPr>
          <w:p w14:paraId="1CB7C7EB" w14:textId="77777777" w:rsidR="005E000F" w:rsidRDefault="00000000">
            <w:pPr>
              <w:jc w:val="right"/>
              <w:rPr>
                <w:sz w:val="13"/>
                <w:szCs w:val="13"/>
              </w:rPr>
            </w:pPr>
            <w:r>
              <w:rPr>
                <w:sz w:val="13"/>
                <w:szCs w:val="13"/>
              </w:rPr>
              <w:t>0</w:t>
            </w:r>
          </w:p>
        </w:tc>
        <w:tc>
          <w:tcPr>
            <w:tcW w:w="401" w:type="pct"/>
            <w:vAlign w:val="center"/>
          </w:tcPr>
          <w:p w14:paraId="517D5564" w14:textId="77777777" w:rsidR="005E000F" w:rsidRDefault="00000000">
            <w:pPr>
              <w:jc w:val="right"/>
              <w:rPr>
                <w:sz w:val="13"/>
                <w:szCs w:val="13"/>
              </w:rPr>
            </w:pPr>
            <w:r>
              <w:rPr>
                <w:sz w:val="13"/>
                <w:szCs w:val="13"/>
              </w:rPr>
              <w:t>0</w:t>
            </w:r>
          </w:p>
        </w:tc>
        <w:tc>
          <w:tcPr>
            <w:tcW w:w="351" w:type="pct"/>
            <w:vAlign w:val="center"/>
          </w:tcPr>
          <w:p w14:paraId="5041C10F" w14:textId="77777777" w:rsidR="005E000F" w:rsidRDefault="00000000">
            <w:pPr>
              <w:jc w:val="right"/>
              <w:rPr>
                <w:sz w:val="13"/>
                <w:szCs w:val="13"/>
              </w:rPr>
            </w:pPr>
            <w:r>
              <w:rPr>
                <w:sz w:val="13"/>
                <w:szCs w:val="13"/>
              </w:rPr>
              <w:t>0</w:t>
            </w:r>
          </w:p>
        </w:tc>
        <w:tc>
          <w:tcPr>
            <w:tcW w:w="402" w:type="pct"/>
            <w:vAlign w:val="center"/>
          </w:tcPr>
          <w:p w14:paraId="05982D3A" w14:textId="77777777" w:rsidR="005E000F" w:rsidRDefault="00000000">
            <w:pPr>
              <w:jc w:val="right"/>
              <w:rPr>
                <w:sz w:val="13"/>
                <w:szCs w:val="13"/>
              </w:rPr>
            </w:pPr>
            <w:r>
              <w:rPr>
                <w:sz w:val="13"/>
                <w:szCs w:val="13"/>
              </w:rPr>
              <w:t>0</w:t>
            </w:r>
          </w:p>
        </w:tc>
        <w:tc>
          <w:tcPr>
            <w:tcW w:w="452" w:type="pct"/>
            <w:vAlign w:val="center"/>
          </w:tcPr>
          <w:p w14:paraId="3A0BB634" w14:textId="77777777" w:rsidR="005E000F" w:rsidRDefault="00000000">
            <w:pPr>
              <w:jc w:val="right"/>
              <w:rPr>
                <w:sz w:val="13"/>
                <w:szCs w:val="13"/>
              </w:rPr>
            </w:pPr>
            <w:r>
              <w:rPr>
                <w:sz w:val="13"/>
                <w:szCs w:val="13"/>
              </w:rPr>
              <w:t>0</w:t>
            </w:r>
          </w:p>
        </w:tc>
        <w:tc>
          <w:tcPr>
            <w:tcW w:w="396" w:type="pct"/>
            <w:vAlign w:val="center"/>
          </w:tcPr>
          <w:p w14:paraId="6E59C234" w14:textId="77777777" w:rsidR="005E000F" w:rsidRDefault="00000000">
            <w:pPr>
              <w:jc w:val="right"/>
              <w:rPr>
                <w:sz w:val="13"/>
                <w:szCs w:val="13"/>
              </w:rPr>
            </w:pPr>
            <w:r>
              <w:rPr>
                <w:sz w:val="13"/>
                <w:szCs w:val="13"/>
              </w:rPr>
              <w:t>0</w:t>
            </w:r>
          </w:p>
        </w:tc>
        <w:tc>
          <w:tcPr>
            <w:tcW w:w="395" w:type="pct"/>
            <w:vAlign w:val="center"/>
          </w:tcPr>
          <w:p w14:paraId="047C3284" w14:textId="77777777" w:rsidR="005E000F" w:rsidRDefault="00000000">
            <w:pPr>
              <w:jc w:val="right"/>
              <w:rPr>
                <w:sz w:val="13"/>
                <w:szCs w:val="13"/>
              </w:rPr>
            </w:pPr>
            <w:r>
              <w:rPr>
                <w:sz w:val="13"/>
                <w:szCs w:val="13"/>
              </w:rPr>
              <w:t>3,395,204</w:t>
            </w:r>
          </w:p>
        </w:tc>
      </w:tr>
      <w:tr w:rsidR="005E000F" w14:paraId="7C09085F" w14:textId="77777777">
        <w:sdt>
          <w:sdtPr>
            <w:rPr>
              <w:sz w:val="13"/>
              <w:szCs w:val="13"/>
            </w:rPr>
            <w:tag w:val="_PLD_e9d33a6c6b2d4aff8a6ac53a9ce1b167"/>
            <w:id w:val="-1620062677"/>
          </w:sdtPr>
          <w:sdtContent>
            <w:tc>
              <w:tcPr>
                <w:tcW w:w="442" w:type="pct"/>
                <w:vAlign w:val="center"/>
              </w:tcPr>
              <w:p w14:paraId="4B1DCFB4" w14:textId="77777777" w:rsidR="005E000F" w:rsidRDefault="00000000">
                <w:pPr>
                  <w:ind w:firstLineChars="200" w:firstLine="260"/>
                  <w:rPr>
                    <w:sz w:val="13"/>
                    <w:szCs w:val="13"/>
                  </w:rPr>
                </w:pPr>
                <w:r>
                  <w:rPr>
                    <w:rFonts w:hint="eastAsia"/>
                    <w:sz w:val="13"/>
                    <w:szCs w:val="13"/>
                  </w:rPr>
                  <w:t>（</w:t>
                </w:r>
                <w:r>
                  <w:rPr>
                    <w:rFonts w:hint="eastAsia"/>
                    <w:sz w:val="13"/>
                    <w:szCs w:val="13"/>
                  </w:rPr>
                  <w:t>1</w:t>
                </w:r>
                <w:r>
                  <w:rPr>
                    <w:rFonts w:hint="eastAsia"/>
                    <w:sz w:val="13"/>
                    <w:szCs w:val="13"/>
                  </w:rPr>
                  <w:t>）计提</w:t>
                </w:r>
              </w:p>
            </w:tc>
          </w:sdtContent>
        </w:sdt>
        <w:tc>
          <w:tcPr>
            <w:tcW w:w="402" w:type="pct"/>
            <w:vAlign w:val="center"/>
          </w:tcPr>
          <w:p w14:paraId="51B60CAC" w14:textId="77777777" w:rsidR="005E000F" w:rsidRDefault="00000000">
            <w:pPr>
              <w:jc w:val="right"/>
              <w:rPr>
                <w:sz w:val="13"/>
                <w:szCs w:val="13"/>
              </w:rPr>
            </w:pPr>
            <w:r>
              <w:rPr>
                <w:sz w:val="13"/>
                <w:szCs w:val="13"/>
              </w:rPr>
              <w:t>0</w:t>
            </w:r>
          </w:p>
        </w:tc>
        <w:tc>
          <w:tcPr>
            <w:tcW w:w="401" w:type="pct"/>
            <w:vAlign w:val="center"/>
          </w:tcPr>
          <w:p w14:paraId="50110BFC" w14:textId="77777777" w:rsidR="005E000F" w:rsidRDefault="00000000">
            <w:pPr>
              <w:jc w:val="right"/>
              <w:rPr>
                <w:sz w:val="13"/>
                <w:szCs w:val="13"/>
              </w:rPr>
            </w:pPr>
            <w:r>
              <w:rPr>
                <w:sz w:val="13"/>
                <w:szCs w:val="13"/>
              </w:rPr>
              <w:t>3,395,204</w:t>
            </w:r>
          </w:p>
        </w:tc>
        <w:tc>
          <w:tcPr>
            <w:tcW w:w="503" w:type="pct"/>
            <w:vAlign w:val="center"/>
          </w:tcPr>
          <w:p w14:paraId="390592CC" w14:textId="77777777" w:rsidR="005E000F" w:rsidRDefault="00000000">
            <w:pPr>
              <w:jc w:val="right"/>
              <w:rPr>
                <w:sz w:val="13"/>
                <w:szCs w:val="13"/>
              </w:rPr>
            </w:pPr>
            <w:r>
              <w:rPr>
                <w:sz w:val="13"/>
                <w:szCs w:val="13"/>
              </w:rPr>
              <w:t>0</w:t>
            </w:r>
          </w:p>
        </w:tc>
        <w:tc>
          <w:tcPr>
            <w:tcW w:w="402" w:type="pct"/>
            <w:vAlign w:val="center"/>
          </w:tcPr>
          <w:p w14:paraId="25DD6431" w14:textId="77777777" w:rsidR="005E000F" w:rsidRDefault="00000000">
            <w:pPr>
              <w:jc w:val="right"/>
              <w:rPr>
                <w:sz w:val="13"/>
                <w:szCs w:val="13"/>
              </w:rPr>
            </w:pPr>
            <w:r>
              <w:rPr>
                <w:sz w:val="13"/>
                <w:szCs w:val="13"/>
              </w:rPr>
              <w:t>0</w:t>
            </w:r>
          </w:p>
        </w:tc>
        <w:tc>
          <w:tcPr>
            <w:tcW w:w="453" w:type="pct"/>
            <w:vAlign w:val="center"/>
          </w:tcPr>
          <w:p w14:paraId="39597B9A" w14:textId="77777777" w:rsidR="005E000F" w:rsidRDefault="00000000">
            <w:pPr>
              <w:jc w:val="right"/>
              <w:rPr>
                <w:sz w:val="13"/>
                <w:szCs w:val="13"/>
              </w:rPr>
            </w:pPr>
            <w:r>
              <w:rPr>
                <w:sz w:val="13"/>
                <w:szCs w:val="13"/>
              </w:rPr>
              <w:t>0</w:t>
            </w:r>
          </w:p>
        </w:tc>
        <w:tc>
          <w:tcPr>
            <w:tcW w:w="401" w:type="pct"/>
            <w:vAlign w:val="center"/>
          </w:tcPr>
          <w:p w14:paraId="38E78795" w14:textId="77777777" w:rsidR="005E000F" w:rsidRDefault="00000000">
            <w:pPr>
              <w:jc w:val="right"/>
              <w:rPr>
                <w:sz w:val="13"/>
                <w:szCs w:val="13"/>
              </w:rPr>
            </w:pPr>
            <w:r>
              <w:rPr>
                <w:sz w:val="13"/>
                <w:szCs w:val="13"/>
              </w:rPr>
              <w:t>0</w:t>
            </w:r>
          </w:p>
        </w:tc>
        <w:tc>
          <w:tcPr>
            <w:tcW w:w="351" w:type="pct"/>
            <w:vAlign w:val="center"/>
          </w:tcPr>
          <w:p w14:paraId="2549214B" w14:textId="77777777" w:rsidR="005E000F" w:rsidRDefault="00000000">
            <w:pPr>
              <w:jc w:val="right"/>
              <w:rPr>
                <w:sz w:val="13"/>
                <w:szCs w:val="13"/>
              </w:rPr>
            </w:pPr>
            <w:r>
              <w:rPr>
                <w:sz w:val="13"/>
                <w:szCs w:val="13"/>
              </w:rPr>
              <w:t>0</w:t>
            </w:r>
          </w:p>
        </w:tc>
        <w:tc>
          <w:tcPr>
            <w:tcW w:w="402" w:type="pct"/>
            <w:vAlign w:val="center"/>
          </w:tcPr>
          <w:p w14:paraId="018EFCA3" w14:textId="77777777" w:rsidR="005E000F" w:rsidRDefault="00000000">
            <w:pPr>
              <w:jc w:val="right"/>
              <w:rPr>
                <w:sz w:val="13"/>
                <w:szCs w:val="13"/>
              </w:rPr>
            </w:pPr>
            <w:r>
              <w:rPr>
                <w:sz w:val="13"/>
                <w:szCs w:val="13"/>
              </w:rPr>
              <w:t>0</w:t>
            </w:r>
          </w:p>
        </w:tc>
        <w:tc>
          <w:tcPr>
            <w:tcW w:w="452" w:type="pct"/>
            <w:vAlign w:val="center"/>
          </w:tcPr>
          <w:p w14:paraId="657EAA24" w14:textId="77777777" w:rsidR="005E000F" w:rsidRDefault="00000000">
            <w:pPr>
              <w:jc w:val="right"/>
              <w:rPr>
                <w:sz w:val="13"/>
                <w:szCs w:val="13"/>
              </w:rPr>
            </w:pPr>
            <w:r>
              <w:rPr>
                <w:sz w:val="13"/>
                <w:szCs w:val="13"/>
              </w:rPr>
              <w:t>0</w:t>
            </w:r>
          </w:p>
        </w:tc>
        <w:tc>
          <w:tcPr>
            <w:tcW w:w="396" w:type="pct"/>
            <w:vAlign w:val="center"/>
          </w:tcPr>
          <w:p w14:paraId="4752185F" w14:textId="77777777" w:rsidR="005E000F" w:rsidRDefault="00000000">
            <w:pPr>
              <w:jc w:val="right"/>
              <w:rPr>
                <w:sz w:val="13"/>
                <w:szCs w:val="13"/>
              </w:rPr>
            </w:pPr>
            <w:r>
              <w:rPr>
                <w:sz w:val="13"/>
                <w:szCs w:val="13"/>
              </w:rPr>
              <w:t>0</w:t>
            </w:r>
          </w:p>
        </w:tc>
        <w:tc>
          <w:tcPr>
            <w:tcW w:w="395" w:type="pct"/>
            <w:vAlign w:val="center"/>
          </w:tcPr>
          <w:p w14:paraId="337DCC07" w14:textId="77777777" w:rsidR="005E000F" w:rsidRDefault="00000000">
            <w:pPr>
              <w:jc w:val="right"/>
              <w:rPr>
                <w:sz w:val="13"/>
                <w:szCs w:val="13"/>
              </w:rPr>
            </w:pPr>
            <w:r>
              <w:rPr>
                <w:sz w:val="13"/>
                <w:szCs w:val="13"/>
              </w:rPr>
              <w:t>3,395,204</w:t>
            </w:r>
          </w:p>
        </w:tc>
      </w:tr>
      <w:tr w:rsidR="005E000F" w14:paraId="6DE881CA" w14:textId="77777777">
        <w:sdt>
          <w:sdtPr>
            <w:rPr>
              <w:rFonts w:hint="eastAsia"/>
              <w:sz w:val="13"/>
              <w:szCs w:val="13"/>
            </w:rPr>
            <w:alias w:val="固定资产减值准备增加项目名称"/>
            <w:tag w:val="_GBC_8226f6a389744b42bf90e51d4645b6a0"/>
            <w:id w:val="-1973898659"/>
          </w:sdtPr>
          <w:sdtContent>
            <w:tc>
              <w:tcPr>
                <w:tcW w:w="442" w:type="pct"/>
                <w:vAlign w:val="center"/>
              </w:tcPr>
              <w:p w14:paraId="019330EE" w14:textId="77777777" w:rsidR="005E000F" w:rsidRDefault="00000000">
                <w:pPr>
                  <w:ind w:firstLineChars="200" w:firstLine="260"/>
                  <w:rPr>
                    <w:sz w:val="13"/>
                    <w:szCs w:val="13"/>
                  </w:rPr>
                </w:pPr>
                <w:r>
                  <w:rPr>
                    <w:rFonts w:hint="eastAsia"/>
                    <w:sz w:val="13"/>
                    <w:szCs w:val="13"/>
                  </w:rPr>
                  <w:t>（</w:t>
                </w:r>
                <w:r>
                  <w:rPr>
                    <w:rFonts w:hint="eastAsia"/>
                    <w:sz w:val="13"/>
                    <w:szCs w:val="13"/>
                  </w:rPr>
                  <w:t>2</w:t>
                </w:r>
                <w:r>
                  <w:rPr>
                    <w:rFonts w:hint="eastAsia"/>
                    <w:sz w:val="13"/>
                    <w:szCs w:val="13"/>
                  </w:rPr>
                  <w:t>）其他</w:t>
                </w:r>
                <w:r>
                  <w:rPr>
                    <w:sz w:val="13"/>
                    <w:szCs w:val="13"/>
                  </w:rPr>
                  <w:t>增加</w:t>
                </w:r>
              </w:p>
            </w:tc>
          </w:sdtContent>
        </w:sdt>
        <w:tc>
          <w:tcPr>
            <w:tcW w:w="402" w:type="pct"/>
            <w:vAlign w:val="center"/>
          </w:tcPr>
          <w:p w14:paraId="06C8DD3A" w14:textId="77777777" w:rsidR="005E000F" w:rsidRDefault="00000000">
            <w:pPr>
              <w:jc w:val="right"/>
              <w:rPr>
                <w:sz w:val="13"/>
                <w:szCs w:val="13"/>
              </w:rPr>
            </w:pPr>
            <w:r>
              <w:rPr>
                <w:sz w:val="13"/>
                <w:szCs w:val="13"/>
              </w:rPr>
              <w:t>0</w:t>
            </w:r>
          </w:p>
        </w:tc>
        <w:tc>
          <w:tcPr>
            <w:tcW w:w="401" w:type="pct"/>
            <w:vAlign w:val="center"/>
          </w:tcPr>
          <w:p w14:paraId="62DBA77A" w14:textId="77777777" w:rsidR="005E000F" w:rsidRDefault="00000000">
            <w:pPr>
              <w:jc w:val="right"/>
              <w:rPr>
                <w:sz w:val="13"/>
                <w:szCs w:val="13"/>
              </w:rPr>
            </w:pPr>
            <w:r>
              <w:rPr>
                <w:sz w:val="13"/>
                <w:szCs w:val="13"/>
              </w:rPr>
              <w:t>0</w:t>
            </w:r>
          </w:p>
        </w:tc>
        <w:tc>
          <w:tcPr>
            <w:tcW w:w="503" w:type="pct"/>
            <w:vAlign w:val="center"/>
          </w:tcPr>
          <w:p w14:paraId="1FB4DB83" w14:textId="77777777" w:rsidR="005E000F" w:rsidRDefault="00000000">
            <w:pPr>
              <w:jc w:val="right"/>
              <w:rPr>
                <w:sz w:val="13"/>
                <w:szCs w:val="13"/>
              </w:rPr>
            </w:pPr>
            <w:r>
              <w:rPr>
                <w:sz w:val="13"/>
                <w:szCs w:val="13"/>
              </w:rPr>
              <w:t>0</w:t>
            </w:r>
          </w:p>
        </w:tc>
        <w:tc>
          <w:tcPr>
            <w:tcW w:w="402" w:type="pct"/>
            <w:vAlign w:val="center"/>
          </w:tcPr>
          <w:p w14:paraId="7855E6D6" w14:textId="77777777" w:rsidR="005E000F" w:rsidRDefault="00000000">
            <w:pPr>
              <w:jc w:val="right"/>
              <w:rPr>
                <w:sz w:val="13"/>
                <w:szCs w:val="13"/>
              </w:rPr>
            </w:pPr>
            <w:r>
              <w:rPr>
                <w:sz w:val="13"/>
                <w:szCs w:val="13"/>
              </w:rPr>
              <w:t>0</w:t>
            </w:r>
          </w:p>
        </w:tc>
        <w:tc>
          <w:tcPr>
            <w:tcW w:w="453" w:type="pct"/>
            <w:vAlign w:val="center"/>
          </w:tcPr>
          <w:p w14:paraId="12858D11" w14:textId="77777777" w:rsidR="005E000F" w:rsidRDefault="00000000">
            <w:pPr>
              <w:jc w:val="right"/>
              <w:rPr>
                <w:sz w:val="13"/>
                <w:szCs w:val="13"/>
              </w:rPr>
            </w:pPr>
            <w:r>
              <w:rPr>
                <w:sz w:val="13"/>
                <w:szCs w:val="13"/>
              </w:rPr>
              <w:t>0</w:t>
            </w:r>
          </w:p>
        </w:tc>
        <w:tc>
          <w:tcPr>
            <w:tcW w:w="401" w:type="pct"/>
            <w:vAlign w:val="center"/>
          </w:tcPr>
          <w:p w14:paraId="28817941" w14:textId="77777777" w:rsidR="005E000F" w:rsidRDefault="00000000">
            <w:pPr>
              <w:jc w:val="right"/>
              <w:rPr>
                <w:sz w:val="13"/>
                <w:szCs w:val="13"/>
              </w:rPr>
            </w:pPr>
            <w:r>
              <w:rPr>
                <w:sz w:val="13"/>
                <w:szCs w:val="13"/>
              </w:rPr>
              <w:t>0</w:t>
            </w:r>
          </w:p>
        </w:tc>
        <w:tc>
          <w:tcPr>
            <w:tcW w:w="351" w:type="pct"/>
            <w:vAlign w:val="center"/>
          </w:tcPr>
          <w:p w14:paraId="0A156F4F" w14:textId="77777777" w:rsidR="005E000F" w:rsidRDefault="00000000">
            <w:pPr>
              <w:jc w:val="right"/>
              <w:rPr>
                <w:sz w:val="13"/>
                <w:szCs w:val="13"/>
              </w:rPr>
            </w:pPr>
            <w:r>
              <w:rPr>
                <w:sz w:val="13"/>
                <w:szCs w:val="13"/>
              </w:rPr>
              <w:t>0</w:t>
            </w:r>
          </w:p>
        </w:tc>
        <w:tc>
          <w:tcPr>
            <w:tcW w:w="402" w:type="pct"/>
            <w:vAlign w:val="center"/>
          </w:tcPr>
          <w:p w14:paraId="735BE21E" w14:textId="77777777" w:rsidR="005E000F" w:rsidRDefault="00000000">
            <w:pPr>
              <w:jc w:val="right"/>
              <w:rPr>
                <w:sz w:val="13"/>
                <w:szCs w:val="13"/>
              </w:rPr>
            </w:pPr>
            <w:r>
              <w:rPr>
                <w:sz w:val="13"/>
                <w:szCs w:val="13"/>
              </w:rPr>
              <w:t>0</w:t>
            </w:r>
          </w:p>
        </w:tc>
        <w:tc>
          <w:tcPr>
            <w:tcW w:w="452" w:type="pct"/>
            <w:vAlign w:val="center"/>
          </w:tcPr>
          <w:p w14:paraId="26FE907C" w14:textId="77777777" w:rsidR="005E000F" w:rsidRDefault="00000000">
            <w:pPr>
              <w:jc w:val="right"/>
              <w:rPr>
                <w:sz w:val="13"/>
                <w:szCs w:val="13"/>
              </w:rPr>
            </w:pPr>
            <w:r>
              <w:rPr>
                <w:sz w:val="13"/>
                <w:szCs w:val="13"/>
              </w:rPr>
              <w:t>0</w:t>
            </w:r>
          </w:p>
        </w:tc>
        <w:tc>
          <w:tcPr>
            <w:tcW w:w="396" w:type="pct"/>
            <w:vAlign w:val="center"/>
          </w:tcPr>
          <w:p w14:paraId="0EF9BAFE" w14:textId="77777777" w:rsidR="005E000F" w:rsidRDefault="00000000">
            <w:pPr>
              <w:jc w:val="right"/>
              <w:rPr>
                <w:sz w:val="13"/>
                <w:szCs w:val="13"/>
              </w:rPr>
            </w:pPr>
            <w:r>
              <w:rPr>
                <w:sz w:val="13"/>
                <w:szCs w:val="13"/>
              </w:rPr>
              <w:t>0</w:t>
            </w:r>
          </w:p>
        </w:tc>
        <w:tc>
          <w:tcPr>
            <w:tcW w:w="395" w:type="pct"/>
            <w:vAlign w:val="center"/>
          </w:tcPr>
          <w:p w14:paraId="1D8762DD" w14:textId="77777777" w:rsidR="005E000F" w:rsidRDefault="00000000">
            <w:pPr>
              <w:jc w:val="right"/>
              <w:rPr>
                <w:sz w:val="13"/>
                <w:szCs w:val="13"/>
              </w:rPr>
            </w:pPr>
            <w:r>
              <w:rPr>
                <w:sz w:val="13"/>
                <w:szCs w:val="13"/>
              </w:rPr>
              <w:t>0</w:t>
            </w:r>
          </w:p>
        </w:tc>
      </w:tr>
      <w:tr w:rsidR="005E000F" w14:paraId="404D1068" w14:textId="77777777">
        <w:sdt>
          <w:sdtPr>
            <w:rPr>
              <w:sz w:val="13"/>
              <w:szCs w:val="13"/>
            </w:rPr>
            <w:tag w:val="_PLD_773acace40cf4e2b82acb417897e72ef"/>
            <w:id w:val="421228574"/>
          </w:sdtPr>
          <w:sdtContent>
            <w:tc>
              <w:tcPr>
                <w:tcW w:w="442" w:type="pct"/>
                <w:vAlign w:val="center"/>
              </w:tcPr>
              <w:p w14:paraId="0BC8037E" w14:textId="77777777" w:rsidR="005E000F" w:rsidRDefault="00000000">
                <w:pPr>
                  <w:ind w:firstLineChars="200" w:firstLine="260"/>
                  <w:rPr>
                    <w:sz w:val="13"/>
                    <w:szCs w:val="13"/>
                  </w:rPr>
                </w:pPr>
                <w:r>
                  <w:rPr>
                    <w:rFonts w:hint="eastAsia"/>
                    <w:sz w:val="13"/>
                    <w:szCs w:val="13"/>
                  </w:rPr>
                  <w:t>3.</w:t>
                </w:r>
                <w:r>
                  <w:rPr>
                    <w:rFonts w:hint="eastAsia"/>
                    <w:sz w:val="13"/>
                    <w:szCs w:val="13"/>
                  </w:rPr>
                  <w:t>本期减少金额</w:t>
                </w:r>
              </w:p>
            </w:tc>
          </w:sdtContent>
        </w:sdt>
        <w:tc>
          <w:tcPr>
            <w:tcW w:w="402" w:type="pct"/>
            <w:vAlign w:val="center"/>
          </w:tcPr>
          <w:p w14:paraId="133ABBD6" w14:textId="77777777" w:rsidR="005E000F" w:rsidRDefault="00000000">
            <w:pPr>
              <w:jc w:val="right"/>
              <w:rPr>
                <w:sz w:val="13"/>
                <w:szCs w:val="13"/>
              </w:rPr>
            </w:pPr>
            <w:r>
              <w:rPr>
                <w:sz w:val="13"/>
                <w:szCs w:val="13"/>
              </w:rPr>
              <w:t>0</w:t>
            </w:r>
          </w:p>
        </w:tc>
        <w:tc>
          <w:tcPr>
            <w:tcW w:w="401" w:type="pct"/>
            <w:vAlign w:val="center"/>
          </w:tcPr>
          <w:p w14:paraId="4F44CA05" w14:textId="77777777" w:rsidR="005E000F" w:rsidRDefault="00000000">
            <w:pPr>
              <w:jc w:val="right"/>
              <w:rPr>
                <w:sz w:val="13"/>
                <w:szCs w:val="13"/>
              </w:rPr>
            </w:pPr>
            <w:r>
              <w:rPr>
                <w:sz w:val="13"/>
                <w:szCs w:val="13"/>
              </w:rPr>
              <w:t>0</w:t>
            </w:r>
          </w:p>
        </w:tc>
        <w:tc>
          <w:tcPr>
            <w:tcW w:w="503" w:type="pct"/>
            <w:vAlign w:val="center"/>
          </w:tcPr>
          <w:p w14:paraId="1D071462" w14:textId="77777777" w:rsidR="005E000F" w:rsidRDefault="00000000">
            <w:pPr>
              <w:jc w:val="right"/>
              <w:rPr>
                <w:sz w:val="13"/>
                <w:szCs w:val="13"/>
              </w:rPr>
            </w:pPr>
            <w:r>
              <w:rPr>
                <w:sz w:val="13"/>
                <w:szCs w:val="13"/>
              </w:rPr>
              <w:t>0</w:t>
            </w:r>
          </w:p>
        </w:tc>
        <w:tc>
          <w:tcPr>
            <w:tcW w:w="402" w:type="pct"/>
            <w:vAlign w:val="center"/>
          </w:tcPr>
          <w:p w14:paraId="33A5C307" w14:textId="77777777" w:rsidR="005E000F" w:rsidRDefault="00000000">
            <w:pPr>
              <w:jc w:val="right"/>
              <w:rPr>
                <w:sz w:val="13"/>
                <w:szCs w:val="13"/>
              </w:rPr>
            </w:pPr>
            <w:r>
              <w:rPr>
                <w:sz w:val="13"/>
                <w:szCs w:val="13"/>
              </w:rPr>
              <w:t>0</w:t>
            </w:r>
          </w:p>
        </w:tc>
        <w:tc>
          <w:tcPr>
            <w:tcW w:w="453" w:type="pct"/>
            <w:vAlign w:val="center"/>
          </w:tcPr>
          <w:p w14:paraId="7937ABB2" w14:textId="77777777" w:rsidR="005E000F" w:rsidRDefault="00000000">
            <w:pPr>
              <w:jc w:val="right"/>
              <w:rPr>
                <w:sz w:val="13"/>
                <w:szCs w:val="13"/>
              </w:rPr>
            </w:pPr>
            <w:r>
              <w:rPr>
                <w:sz w:val="13"/>
                <w:szCs w:val="13"/>
              </w:rPr>
              <w:t>0</w:t>
            </w:r>
          </w:p>
        </w:tc>
        <w:tc>
          <w:tcPr>
            <w:tcW w:w="401" w:type="pct"/>
            <w:vAlign w:val="center"/>
          </w:tcPr>
          <w:p w14:paraId="67C2C8CB" w14:textId="77777777" w:rsidR="005E000F" w:rsidRDefault="00000000">
            <w:pPr>
              <w:jc w:val="right"/>
              <w:rPr>
                <w:sz w:val="13"/>
                <w:szCs w:val="13"/>
              </w:rPr>
            </w:pPr>
            <w:r>
              <w:rPr>
                <w:sz w:val="13"/>
                <w:szCs w:val="13"/>
              </w:rPr>
              <w:t>-443,174</w:t>
            </w:r>
          </w:p>
        </w:tc>
        <w:tc>
          <w:tcPr>
            <w:tcW w:w="351" w:type="pct"/>
            <w:vAlign w:val="center"/>
          </w:tcPr>
          <w:p w14:paraId="369DFAC6" w14:textId="77777777" w:rsidR="005E000F" w:rsidRDefault="00000000">
            <w:pPr>
              <w:jc w:val="right"/>
              <w:rPr>
                <w:sz w:val="13"/>
                <w:szCs w:val="13"/>
              </w:rPr>
            </w:pPr>
            <w:r>
              <w:rPr>
                <w:sz w:val="13"/>
                <w:szCs w:val="13"/>
              </w:rPr>
              <w:t>0</w:t>
            </w:r>
          </w:p>
        </w:tc>
        <w:tc>
          <w:tcPr>
            <w:tcW w:w="402" w:type="pct"/>
            <w:vAlign w:val="center"/>
          </w:tcPr>
          <w:p w14:paraId="65AA4E67" w14:textId="77777777" w:rsidR="005E000F" w:rsidRDefault="00000000">
            <w:pPr>
              <w:jc w:val="right"/>
              <w:rPr>
                <w:sz w:val="13"/>
                <w:szCs w:val="13"/>
              </w:rPr>
            </w:pPr>
            <w:r>
              <w:rPr>
                <w:sz w:val="13"/>
                <w:szCs w:val="13"/>
              </w:rPr>
              <w:t>0</w:t>
            </w:r>
          </w:p>
        </w:tc>
        <w:tc>
          <w:tcPr>
            <w:tcW w:w="452" w:type="pct"/>
            <w:vAlign w:val="center"/>
          </w:tcPr>
          <w:p w14:paraId="518EA267" w14:textId="77777777" w:rsidR="005E000F" w:rsidRDefault="00000000">
            <w:pPr>
              <w:jc w:val="right"/>
              <w:rPr>
                <w:sz w:val="13"/>
                <w:szCs w:val="13"/>
              </w:rPr>
            </w:pPr>
            <w:r>
              <w:rPr>
                <w:sz w:val="13"/>
                <w:szCs w:val="13"/>
              </w:rPr>
              <w:t>443,174</w:t>
            </w:r>
          </w:p>
        </w:tc>
        <w:tc>
          <w:tcPr>
            <w:tcW w:w="396" w:type="pct"/>
            <w:vAlign w:val="center"/>
          </w:tcPr>
          <w:p w14:paraId="67F93337" w14:textId="77777777" w:rsidR="005E000F" w:rsidRDefault="00000000">
            <w:pPr>
              <w:jc w:val="right"/>
              <w:rPr>
                <w:sz w:val="13"/>
                <w:szCs w:val="13"/>
              </w:rPr>
            </w:pPr>
            <w:r>
              <w:rPr>
                <w:sz w:val="13"/>
                <w:szCs w:val="13"/>
              </w:rPr>
              <w:t>0</w:t>
            </w:r>
          </w:p>
        </w:tc>
        <w:tc>
          <w:tcPr>
            <w:tcW w:w="395" w:type="pct"/>
            <w:vAlign w:val="center"/>
          </w:tcPr>
          <w:p w14:paraId="5E2EB11A" w14:textId="77777777" w:rsidR="005E000F" w:rsidRDefault="00000000">
            <w:pPr>
              <w:jc w:val="right"/>
              <w:rPr>
                <w:sz w:val="13"/>
                <w:szCs w:val="13"/>
              </w:rPr>
            </w:pPr>
            <w:r>
              <w:rPr>
                <w:sz w:val="13"/>
                <w:szCs w:val="13"/>
              </w:rPr>
              <w:t>0</w:t>
            </w:r>
          </w:p>
        </w:tc>
      </w:tr>
      <w:tr w:rsidR="005E000F" w14:paraId="469FDEBD" w14:textId="77777777">
        <w:sdt>
          <w:sdtPr>
            <w:rPr>
              <w:sz w:val="13"/>
              <w:szCs w:val="13"/>
            </w:rPr>
            <w:tag w:val="_PLD_be1108cdf7ba464f9f4ecab9aa198103"/>
            <w:id w:val="-308787976"/>
          </w:sdtPr>
          <w:sdtContent>
            <w:tc>
              <w:tcPr>
                <w:tcW w:w="442" w:type="pct"/>
                <w:vAlign w:val="center"/>
              </w:tcPr>
              <w:p w14:paraId="677B3714" w14:textId="77777777" w:rsidR="005E000F" w:rsidRDefault="00000000">
                <w:pPr>
                  <w:ind w:firstLineChars="200" w:firstLine="260"/>
                  <w:rPr>
                    <w:sz w:val="13"/>
                    <w:szCs w:val="13"/>
                  </w:rPr>
                </w:pPr>
                <w:r>
                  <w:rPr>
                    <w:rFonts w:hint="eastAsia"/>
                    <w:sz w:val="13"/>
                    <w:szCs w:val="13"/>
                  </w:rPr>
                  <w:t>（</w:t>
                </w:r>
                <w:r>
                  <w:rPr>
                    <w:rFonts w:hint="eastAsia"/>
                    <w:sz w:val="13"/>
                    <w:szCs w:val="13"/>
                  </w:rPr>
                  <w:t>1</w:t>
                </w:r>
                <w:r>
                  <w:rPr>
                    <w:rFonts w:hint="eastAsia"/>
                    <w:sz w:val="13"/>
                    <w:szCs w:val="13"/>
                  </w:rPr>
                  <w:t>）其他减少</w:t>
                </w:r>
              </w:p>
            </w:tc>
          </w:sdtContent>
        </w:sdt>
        <w:tc>
          <w:tcPr>
            <w:tcW w:w="402" w:type="pct"/>
            <w:vAlign w:val="center"/>
          </w:tcPr>
          <w:p w14:paraId="7CFCD72C" w14:textId="77777777" w:rsidR="005E000F" w:rsidRDefault="00000000">
            <w:pPr>
              <w:jc w:val="right"/>
              <w:rPr>
                <w:sz w:val="13"/>
                <w:szCs w:val="13"/>
              </w:rPr>
            </w:pPr>
            <w:r>
              <w:rPr>
                <w:sz w:val="13"/>
                <w:szCs w:val="13"/>
              </w:rPr>
              <w:t>0</w:t>
            </w:r>
          </w:p>
        </w:tc>
        <w:tc>
          <w:tcPr>
            <w:tcW w:w="401" w:type="pct"/>
            <w:vAlign w:val="center"/>
          </w:tcPr>
          <w:p w14:paraId="0AD7BC2F" w14:textId="77777777" w:rsidR="005E000F" w:rsidRDefault="00000000">
            <w:pPr>
              <w:jc w:val="right"/>
              <w:rPr>
                <w:sz w:val="13"/>
                <w:szCs w:val="13"/>
              </w:rPr>
            </w:pPr>
            <w:r>
              <w:rPr>
                <w:sz w:val="13"/>
                <w:szCs w:val="13"/>
              </w:rPr>
              <w:t>0</w:t>
            </w:r>
          </w:p>
        </w:tc>
        <w:tc>
          <w:tcPr>
            <w:tcW w:w="503" w:type="pct"/>
            <w:vAlign w:val="center"/>
          </w:tcPr>
          <w:p w14:paraId="115AFAAB" w14:textId="77777777" w:rsidR="005E000F" w:rsidRDefault="00000000">
            <w:pPr>
              <w:jc w:val="right"/>
              <w:rPr>
                <w:sz w:val="13"/>
                <w:szCs w:val="13"/>
              </w:rPr>
            </w:pPr>
            <w:r>
              <w:rPr>
                <w:sz w:val="13"/>
                <w:szCs w:val="13"/>
              </w:rPr>
              <w:t>0</w:t>
            </w:r>
          </w:p>
        </w:tc>
        <w:tc>
          <w:tcPr>
            <w:tcW w:w="402" w:type="pct"/>
            <w:vAlign w:val="center"/>
          </w:tcPr>
          <w:p w14:paraId="6A4F304F" w14:textId="77777777" w:rsidR="005E000F" w:rsidRDefault="00000000">
            <w:pPr>
              <w:jc w:val="right"/>
              <w:rPr>
                <w:sz w:val="13"/>
                <w:szCs w:val="13"/>
              </w:rPr>
            </w:pPr>
            <w:r>
              <w:rPr>
                <w:sz w:val="13"/>
                <w:szCs w:val="13"/>
              </w:rPr>
              <w:t>0</w:t>
            </w:r>
          </w:p>
        </w:tc>
        <w:tc>
          <w:tcPr>
            <w:tcW w:w="453" w:type="pct"/>
            <w:vAlign w:val="center"/>
          </w:tcPr>
          <w:p w14:paraId="7AFD3DC2" w14:textId="77777777" w:rsidR="005E000F" w:rsidRDefault="00000000">
            <w:pPr>
              <w:jc w:val="right"/>
              <w:rPr>
                <w:sz w:val="13"/>
                <w:szCs w:val="13"/>
              </w:rPr>
            </w:pPr>
            <w:r>
              <w:rPr>
                <w:sz w:val="13"/>
                <w:szCs w:val="13"/>
              </w:rPr>
              <w:t>0</w:t>
            </w:r>
          </w:p>
        </w:tc>
        <w:tc>
          <w:tcPr>
            <w:tcW w:w="401" w:type="pct"/>
            <w:vAlign w:val="center"/>
          </w:tcPr>
          <w:p w14:paraId="60372D5E" w14:textId="77777777" w:rsidR="005E000F" w:rsidRDefault="00000000">
            <w:pPr>
              <w:jc w:val="right"/>
              <w:rPr>
                <w:sz w:val="13"/>
                <w:szCs w:val="13"/>
              </w:rPr>
            </w:pPr>
            <w:r>
              <w:rPr>
                <w:sz w:val="13"/>
                <w:szCs w:val="13"/>
              </w:rPr>
              <w:t>-443,174</w:t>
            </w:r>
          </w:p>
        </w:tc>
        <w:tc>
          <w:tcPr>
            <w:tcW w:w="351" w:type="pct"/>
            <w:vAlign w:val="center"/>
          </w:tcPr>
          <w:p w14:paraId="3FD44C96" w14:textId="77777777" w:rsidR="005E000F" w:rsidRDefault="00000000">
            <w:pPr>
              <w:jc w:val="right"/>
              <w:rPr>
                <w:sz w:val="13"/>
                <w:szCs w:val="13"/>
              </w:rPr>
            </w:pPr>
            <w:r>
              <w:rPr>
                <w:sz w:val="13"/>
                <w:szCs w:val="13"/>
              </w:rPr>
              <w:t>0</w:t>
            </w:r>
          </w:p>
        </w:tc>
        <w:tc>
          <w:tcPr>
            <w:tcW w:w="402" w:type="pct"/>
            <w:vAlign w:val="center"/>
          </w:tcPr>
          <w:p w14:paraId="4E8ADD60" w14:textId="77777777" w:rsidR="005E000F" w:rsidRDefault="00000000">
            <w:pPr>
              <w:jc w:val="right"/>
              <w:rPr>
                <w:sz w:val="13"/>
                <w:szCs w:val="13"/>
              </w:rPr>
            </w:pPr>
            <w:r>
              <w:rPr>
                <w:sz w:val="13"/>
                <w:szCs w:val="13"/>
              </w:rPr>
              <w:t>0</w:t>
            </w:r>
          </w:p>
        </w:tc>
        <w:tc>
          <w:tcPr>
            <w:tcW w:w="452" w:type="pct"/>
            <w:vAlign w:val="center"/>
          </w:tcPr>
          <w:p w14:paraId="405B7F45" w14:textId="77777777" w:rsidR="005E000F" w:rsidRDefault="00000000">
            <w:pPr>
              <w:jc w:val="right"/>
              <w:rPr>
                <w:sz w:val="13"/>
                <w:szCs w:val="13"/>
              </w:rPr>
            </w:pPr>
            <w:r>
              <w:rPr>
                <w:sz w:val="13"/>
                <w:szCs w:val="13"/>
              </w:rPr>
              <w:t>443,174</w:t>
            </w:r>
          </w:p>
        </w:tc>
        <w:tc>
          <w:tcPr>
            <w:tcW w:w="396" w:type="pct"/>
            <w:vAlign w:val="center"/>
          </w:tcPr>
          <w:p w14:paraId="112E5A47" w14:textId="77777777" w:rsidR="005E000F" w:rsidRDefault="00000000">
            <w:pPr>
              <w:jc w:val="right"/>
              <w:rPr>
                <w:sz w:val="13"/>
                <w:szCs w:val="13"/>
              </w:rPr>
            </w:pPr>
            <w:r>
              <w:rPr>
                <w:sz w:val="13"/>
                <w:szCs w:val="13"/>
              </w:rPr>
              <w:t>0</w:t>
            </w:r>
          </w:p>
        </w:tc>
        <w:tc>
          <w:tcPr>
            <w:tcW w:w="395" w:type="pct"/>
            <w:vAlign w:val="center"/>
          </w:tcPr>
          <w:p w14:paraId="3A4A11F6" w14:textId="77777777" w:rsidR="005E000F" w:rsidRDefault="00000000">
            <w:pPr>
              <w:jc w:val="right"/>
              <w:rPr>
                <w:sz w:val="13"/>
                <w:szCs w:val="13"/>
              </w:rPr>
            </w:pPr>
            <w:r>
              <w:rPr>
                <w:sz w:val="13"/>
                <w:szCs w:val="13"/>
              </w:rPr>
              <w:t>0</w:t>
            </w:r>
          </w:p>
        </w:tc>
      </w:tr>
      <w:tr w:rsidR="005E000F" w14:paraId="64D1D750" w14:textId="77777777">
        <w:sdt>
          <w:sdtPr>
            <w:rPr>
              <w:sz w:val="13"/>
              <w:szCs w:val="13"/>
            </w:rPr>
            <w:tag w:val="_PLD_e5054a8d4a114197af28793eadccad9b"/>
            <w:id w:val="-1618060985"/>
          </w:sdtPr>
          <w:sdtContent>
            <w:tc>
              <w:tcPr>
                <w:tcW w:w="442" w:type="pct"/>
                <w:vAlign w:val="center"/>
              </w:tcPr>
              <w:p w14:paraId="7E30C05D" w14:textId="77777777" w:rsidR="005E000F" w:rsidRDefault="00000000">
                <w:pPr>
                  <w:ind w:firstLineChars="200" w:firstLine="260"/>
                  <w:rPr>
                    <w:sz w:val="13"/>
                    <w:szCs w:val="13"/>
                  </w:rPr>
                </w:pPr>
                <w:r>
                  <w:rPr>
                    <w:rFonts w:hint="eastAsia"/>
                    <w:sz w:val="13"/>
                    <w:szCs w:val="13"/>
                  </w:rPr>
                  <w:t>4.</w:t>
                </w:r>
                <w:r>
                  <w:rPr>
                    <w:rFonts w:hint="eastAsia"/>
                    <w:sz w:val="13"/>
                    <w:szCs w:val="13"/>
                  </w:rPr>
                  <w:t>期末余额</w:t>
                </w:r>
              </w:p>
            </w:tc>
          </w:sdtContent>
        </w:sdt>
        <w:tc>
          <w:tcPr>
            <w:tcW w:w="402" w:type="pct"/>
            <w:vAlign w:val="center"/>
          </w:tcPr>
          <w:p w14:paraId="2F50A978" w14:textId="77777777" w:rsidR="005E000F" w:rsidRDefault="00000000">
            <w:pPr>
              <w:jc w:val="right"/>
              <w:rPr>
                <w:sz w:val="13"/>
                <w:szCs w:val="13"/>
              </w:rPr>
            </w:pPr>
            <w:r>
              <w:rPr>
                <w:sz w:val="13"/>
                <w:szCs w:val="13"/>
              </w:rPr>
              <w:t>672,252</w:t>
            </w:r>
          </w:p>
        </w:tc>
        <w:tc>
          <w:tcPr>
            <w:tcW w:w="401" w:type="pct"/>
            <w:vAlign w:val="center"/>
          </w:tcPr>
          <w:p w14:paraId="448239D5" w14:textId="77777777" w:rsidR="005E000F" w:rsidRDefault="00000000">
            <w:pPr>
              <w:jc w:val="right"/>
              <w:rPr>
                <w:sz w:val="13"/>
                <w:szCs w:val="13"/>
              </w:rPr>
            </w:pPr>
            <w:r>
              <w:rPr>
                <w:sz w:val="13"/>
                <w:szCs w:val="13"/>
              </w:rPr>
              <w:t>3,395,204</w:t>
            </w:r>
          </w:p>
        </w:tc>
        <w:tc>
          <w:tcPr>
            <w:tcW w:w="503" w:type="pct"/>
            <w:vAlign w:val="center"/>
          </w:tcPr>
          <w:p w14:paraId="52F18708" w14:textId="77777777" w:rsidR="005E000F" w:rsidRDefault="00000000">
            <w:pPr>
              <w:jc w:val="right"/>
              <w:rPr>
                <w:sz w:val="13"/>
                <w:szCs w:val="13"/>
              </w:rPr>
            </w:pPr>
            <w:r>
              <w:rPr>
                <w:sz w:val="13"/>
                <w:szCs w:val="13"/>
              </w:rPr>
              <w:t>49,168,780</w:t>
            </w:r>
          </w:p>
        </w:tc>
        <w:tc>
          <w:tcPr>
            <w:tcW w:w="402" w:type="pct"/>
            <w:vAlign w:val="center"/>
          </w:tcPr>
          <w:p w14:paraId="16D611E7" w14:textId="77777777" w:rsidR="005E000F" w:rsidRDefault="00000000">
            <w:pPr>
              <w:jc w:val="right"/>
              <w:rPr>
                <w:sz w:val="13"/>
                <w:szCs w:val="13"/>
              </w:rPr>
            </w:pPr>
            <w:r>
              <w:rPr>
                <w:sz w:val="13"/>
                <w:szCs w:val="13"/>
              </w:rPr>
              <w:t>0</w:t>
            </w:r>
          </w:p>
        </w:tc>
        <w:tc>
          <w:tcPr>
            <w:tcW w:w="453" w:type="pct"/>
            <w:vAlign w:val="center"/>
          </w:tcPr>
          <w:p w14:paraId="2D799626" w14:textId="77777777" w:rsidR="005E000F" w:rsidRDefault="00000000">
            <w:pPr>
              <w:jc w:val="right"/>
              <w:rPr>
                <w:sz w:val="13"/>
                <w:szCs w:val="13"/>
              </w:rPr>
            </w:pPr>
            <w:r>
              <w:rPr>
                <w:sz w:val="13"/>
                <w:szCs w:val="13"/>
              </w:rPr>
              <w:t>0</w:t>
            </w:r>
          </w:p>
        </w:tc>
        <w:tc>
          <w:tcPr>
            <w:tcW w:w="401" w:type="pct"/>
            <w:vAlign w:val="center"/>
          </w:tcPr>
          <w:p w14:paraId="2C81F15E" w14:textId="77777777" w:rsidR="005E000F" w:rsidRDefault="00000000">
            <w:pPr>
              <w:jc w:val="right"/>
              <w:rPr>
                <w:sz w:val="13"/>
                <w:szCs w:val="13"/>
              </w:rPr>
            </w:pPr>
            <w:r>
              <w:rPr>
                <w:sz w:val="13"/>
                <w:szCs w:val="13"/>
              </w:rPr>
              <w:t>443,174</w:t>
            </w:r>
          </w:p>
        </w:tc>
        <w:tc>
          <w:tcPr>
            <w:tcW w:w="351" w:type="pct"/>
            <w:vAlign w:val="center"/>
          </w:tcPr>
          <w:p w14:paraId="10157A85" w14:textId="77777777" w:rsidR="005E000F" w:rsidRDefault="00000000">
            <w:pPr>
              <w:jc w:val="right"/>
              <w:rPr>
                <w:sz w:val="13"/>
                <w:szCs w:val="13"/>
              </w:rPr>
            </w:pPr>
            <w:r>
              <w:rPr>
                <w:sz w:val="13"/>
                <w:szCs w:val="13"/>
              </w:rPr>
              <w:t>0</w:t>
            </w:r>
          </w:p>
        </w:tc>
        <w:tc>
          <w:tcPr>
            <w:tcW w:w="402" w:type="pct"/>
            <w:vAlign w:val="center"/>
          </w:tcPr>
          <w:p w14:paraId="2309EBDA" w14:textId="77777777" w:rsidR="005E000F" w:rsidRDefault="00000000">
            <w:pPr>
              <w:jc w:val="right"/>
              <w:rPr>
                <w:sz w:val="13"/>
                <w:szCs w:val="13"/>
              </w:rPr>
            </w:pPr>
            <w:r>
              <w:rPr>
                <w:sz w:val="13"/>
                <w:szCs w:val="13"/>
              </w:rPr>
              <w:t>0</w:t>
            </w:r>
          </w:p>
        </w:tc>
        <w:tc>
          <w:tcPr>
            <w:tcW w:w="452" w:type="pct"/>
            <w:vAlign w:val="center"/>
          </w:tcPr>
          <w:p w14:paraId="4EA9D220" w14:textId="77777777" w:rsidR="005E000F" w:rsidRDefault="00000000">
            <w:pPr>
              <w:jc w:val="right"/>
              <w:rPr>
                <w:sz w:val="13"/>
                <w:szCs w:val="13"/>
              </w:rPr>
            </w:pPr>
            <w:r>
              <w:rPr>
                <w:sz w:val="13"/>
                <w:szCs w:val="13"/>
              </w:rPr>
              <w:t>0</w:t>
            </w:r>
          </w:p>
        </w:tc>
        <w:tc>
          <w:tcPr>
            <w:tcW w:w="396" w:type="pct"/>
            <w:vAlign w:val="center"/>
          </w:tcPr>
          <w:p w14:paraId="63EEFDD9" w14:textId="77777777" w:rsidR="005E000F" w:rsidRDefault="00000000">
            <w:pPr>
              <w:jc w:val="right"/>
              <w:rPr>
                <w:sz w:val="13"/>
                <w:szCs w:val="13"/>
              </w:rPr>
            </w:pPr>
            <w:r>
              <w:rPr>
                <w:sz w:val="13"/>
                <w:szCs w:val="13"/>
              </w:rPr>
              <w:t>0</w:t>
            </w:r>
          </w:p>
        </w:tc>
        <w:tc>
          <w:tcPr>
            <w:tcW w:w="395" w:type="pct"/>
            <w:vAlign w:val="center"/>
          </w:tcPr>
          <w:p w14:paraId="628D6112" w14:textId="77777777" w:rsidR="005E000F" w:rsidRDefault="00000000">
            <w:pPr>
              <w:jc w:val="right"/>
              <w:rPr>
                <w:sz w:val="13"/>
                <w:szCs w:val="13"/>
              </w:rPr>
            </w:pPr>
            <w:r>
              <w:rPr>
                <w:sz w:val="13"/>
                <w:szCs w:val="13"/>
              </w:rPr>
              <w:t>53,679,410</w:t>
            </w:r>
          </w:p>
        </w:tc>
      </w:tr>
      <w:tr w:rsidR="005E000F" w14:paraId="23C036B3" w14:textId="77777777">
        <w:sdt>
          <w:sdtPr>
            <w:rPr>
              <w:sz w:val="13"/>
              <w:szCs w:val="13"/>
            </w:rPr>
            <w:tag w:val="_PLD_e1d51c426bd84ffbb9a1a19b00d3b374"/>
            <w:id w:val="213397893"/>
          </w:sdtPr>
          <w:sdtContent>
            <w:tc>
              <w:tcPr>
                <w:tcW w:w="5000" w:type="pct"/>
                <w:gridSpan w:val="12"/>
                <w:vAlign w:val="center"/>
              </w:tcPr>
              <w:p w14:paraId="613E07DB" w14:textId="77777777" w:rsidR="005E000F" w:rsidRDefault="00000000">
                <w:pPr>
                  <w:rPr>
                    <w:sz w:val="13"/>
                    <w:szCs w:val="13"/>
                  </w:rPr>
                </w:pPr>
                <w:r>
                  <w:rPr>
                    <w:rFonts w:hint="eastAsia"/>
                    <w:sz w:val="13"/>
                    <w:szCs w:val="13"/>
                  </w:rPr>
                  <w:t>四、账面价值</w:t>
                </w:r>
              </w:p>
            </w:tc>
          </w:sdtContent>
        </w:sdt>
      </w:tr>
      <w:tr w:rsidR="005E000F" w14:paraId="3F2D868F" w14:textId="77777777">
        <w:sdt>
          <w:sdtPr>
            <w:rPr>
              <w:sz w:val="13"/>
              <w:szCs w:val="13"/>
            </w:rPr>
            <w:tag w:val="_PLD_438ac9fdebc24597a2bc032145166ee7"/>
            <w:id w:val="72714583"/>
          </w:sdtPr>
          <w:sdtContent>
            <w:tc>
              <w:tcPr>
                <w:tcW w:w="442" w:type="pct"/>
                <w:vAlign w:val="center"/>
              </w:tcPr>
              <w:p w14:paraId="1FFF3836" w14:textId="77777777" w:rsidR="005E000F" w:rsidRDefault="00000000">
                <w:pPr>
                  <w:ind w:firstLineChars="200" w:firstLine="260"/>
                  <w:rPr>
                    <w:sz w:val="13"/>
                    <w:szCs w:val="13"/>
                  </w:rPr>
                </w:pPr>
                <w:r>
                  <w:rPr>
                    <w:rFonts w:hint="eastAsia"/>
                    <w:sz w:val="13"/>
                    <w:szCs w:val="13"/>
                  </w:rPr>
                  <w:t>1.</w:t>
                </w:r>
                <w:r>
                  <w:rPr>
                    <w:rFonts w:hint="eastAsia"/>
                    <w:sz w:val="13"/>
                    <w:szCs w:val="13"/>
                  </w:rPr>
                  <w:t>期末账面价值</w:t>
                </w:r>
              </w:p>
            </w:tc>
          </w:sdtContent>
        </w:sdt>
        <w:tc>
          <w:tcPr>
            <w:tcW w:w="402" w:type="pct"/>
            <w:vAlign w:val="center"/>
          </w:tcPr>
          <w:p w14:paraId="1D1C3886" w14:textId="77777777" w:rsidR="005E000F" w:rsidRDefault="00000000">
            <w:pPr>
              <w:jc w:val="right"/>
              <w:rPr>
                <w:sz w:val="13"/>
                <w:szCs w:val="13"/>
              </w:rPr>
            </w:pPr>
            <w:r>
              <w:rPr>
                <w:sz w:val="13"/>
                <w:szCs w:val="13"/>
              </w:rPr>
              <w:t>9,724,510,627</w:t>
            </w:r>
          </w:p>
        </w:tc>
        <w:tc>
          <w:tcPr>
            <w:tcW w:w="401" w:type="pct"/>
            <w:vAlign w:val="center"/>
          </w:tcPr>
          <w:p w14:paraId="5EB13C67" w14:textId="77777777" w:rsidR="005E000F" w:rsidRDefault="00000000">
            <w:pPr>
              <w:jc w:val="right"/>
              <w:rPr>
                <w:sz w:val="13"/>
                <w:szCs w:val="13"/>
              </w:rPr>
            </w:pPr>
            <w:r>
              <w:rPr>
                <w:sz w:val="13"/>
                <w:szCs w:val="13"/>
              </w:rPr>
              <w:t>27,303,292,834</w:t>
            </w:r>
          </w:p>
        </w:tc>
        <w:tc>
          <w:tcPr>
            <w:tcW w:w="503" w:type="pct"/>
            <w:vAlign w:val="center"/>
          </w:tcPr>
          <w:p w14:paraId="50671F72" w14:textId="77777777" w:rsidR="005E000F" w:rsidRDefault="00000000">
            <w:pPr>
              <w:jc w:val="right"/>
              <w:rPr>
                <w:sz w:val="13"/>
                <w:szCs w:val="13"/>
              </w:rPr>
            </w:pPr>
            <w:r>
              <w:rPr>
                <w:sz w:val="13"/>
                <w:szCs w:val="13"/>
              </w:rPr>
              <w:t>46,220,025,344</w:t>
            </w:r>
          </w:p>
        </w:tc>
        <w:tc>
          <w:tcPr>
            <w:tcW w:w="402" w:type="pct"/>
            <w:vAlign w:val="center"/>
          </w:tcPr>
          <w:p w14:paraId="1F2E4510" w14:textId="77777777" w:rsidR="005E000F" w:rsidRDefault="00000000">
            <w:pPr>
              <w:jc w:val="right"/>
              <w:rPr>
                <w:sz w:val="13"/>
                <w:szCs w:val="13"/>
              </w:rPr>
            </w:pPr>
            <w:r>
              <w:rPr>
                <w:sz w:val="13"/>
                <w:szCs w:val="13"/>
              </w:rPr>
              <w:t>2,229,775,403</w:t>
            </w:r>
          </w:p>
        </w:tc>
        <w:tc>
          <w:tcPr>
            <w:tcW w:w="453" w:type="pct"/>
            <w:vAlign w:val="center"/>
          </w:tcPr>
          <w:p w14:paraId="4D1C38D3" w14:textId="77777777" w:rsidR="005E000F" w:rsidRDefault="00000000">
            <w:pPr>
              <w:jc w:val="right"/>
              <w:rPr>
                <w:sz w:val="13"/>
                <w:szCs w:val="13"/>
              </w:rPr>
            </w:pPr>
            <w:r>
              <w:rPr>
                <w:sz w:val="13"/>
                <w:szCs w:val="13"/>
              </w:rPr>
              <w:t>1,012,130,325</w:t>
            </w:r>
          </w:p>
        </w:tc>
        <w:tc>
          <w:tcPr>
            <w:tcW w:w="401" w:type="pct"/>
            <w:vAlign w:val="center"/>
          </w:tcPr>
          <w:p w14:paraId="4EBCD177" w14:textId="77777777" w:rsidR="005E000F" w:rsidRDefault="00000000">
            <w:pPr>
              <w:jc w:val="right"/>
              <w:rPr>
                <w:sz w:val="13"/>
                <w:szCs w:val="13"/>
              </w:rPr>
            </w:pPr>
            <w:r>
              <w:rPr>
                <w:sz w:val="13"/>
                <w:szCs w:val="13"/>
              </w:rPr>
              <w:t>719,392,932</w:t>
            </w:r>
          </w:p>
        </w:tc>
        <w:tc>
          <w:tcPr>
            <w:tcW w:w="351" w:type="pct"/>
            <w:vAlign w:val="center"/>
          </w:tcPr>
          <w:p w14:paraId="3CBCA1C4" w14:textId="77777777" w:rsidR="005E000F" w:rsidRDefault="00000000">
            <w:pPr>
              <w:jc w:val="right"/>
              <w:rPr>
                <w:sz w:val="13"/>
                <w:szCs w:val="13"/>
              </w:rPr>
            </w:pPr>
            <w:r>
              <w:rPr>
                <w:sz w:val="13"/>
                <w:szCs w:val="13"/>
              </w:rPr>
              <w:t>485,047,032</w:t>
            </w:r>
          </w:p>
        </w:tc>
        <w:tc>
          <w:tcPr>
            <w:tcW w:w="402" w:type="pct"/>
            <w:vAlign w:val="center"/>
          </w:tcPr>
          <w:p w14:paraId="2B96A662" w14:textId="77777777" w:rsidR="005E000F" w:rsidRDefault="00000000">
            <w:pPr>
              <w:jc w:val="right"/>
              <w:rPr>
                <w:sz w:val="13"/>
                <w:szCs w:val="13"/>
              </w:rPr>
            </w:pPr>
            <w:r>
              <w:rPr>
                <w:sz w:val="13"/>
                <w:szCs w:val="13"/>
              </w:rPr>
              <w:t>1,256,597,884</w:t>
            </w:r>
          </w:p>
        </w:tc>
        <w:tc>
          <w:tcPr>
            <w:tcW w:w="452" w:type="pct"/>
            <w:vAlign w:val="center"/>
          </w:tcPr>
          <w:p w14:paraId="4D79D0B2" w14:textId="77777777" w:rsidR="005E000F" w:rsidRDefault="00000000">
            <w:pPr>
              <w:jc w:val="right"/>
              <w:rPr>
                <w:sz w:val="13"/>
                <w:szCs w:val="13"/>
              </w:rPr>
            </w:pPr>
            <w:r>
              <w:rPr>
                <w:sz w:val="13"/>
                <w:szCs w:val="13"/>
              </w:rPr>
              <w:t>612,231,039</w:t>
            </w:r>
          </w:p>
        </w:tc>
        <w:tc>
          <w:tcPr>
            <w:tcW w:w="396" w:type="pct"/>
            <w:vAlign w:val="center"/>
          </w:tcPr>
          <w:p w14:paraId="5548275C" w14:textId="77777777" w:rsidR="005E000F" w:rsidRDefault="00000000">
            <w:pPr>
              <w:jc w:val="right"/>
              <w:rPr>
                <w:sz w:val="13"/>
                <w:szCs w:val="13"/>
              </w:rPr>
            </w:pPr>
            <w:r>
              <w:rPr>
                <w:sz w:val="13"/>
                <w:szCs w:val="13"/>
              </w:rPr>
              <w:t>134,311,640</w:t>
            </w:r>
          </w:p>
        </w:tc>
        <w:tc>
          <w:tcPr>
            <w:tcW w:w="395" w:type="pct"/>
            <w:vAlign w:val="center"/>
          </w:tcPr>
          <w:p w14:paraId="4C1AE770" w14:textId="77777777" w:rsidR="005E000F" w:rsidRDefault="00000000">
            <w:pPr>
              <w:jc w:val="right"/>
              <w:rPr>
                <w:sz w:val="13"/>
                <w:szCs w:val="13"/>
              </w:rPr>
            </w:pPr>
            <w:r>
              <w:rPr>
                <w:sz w:val="13"/>
                <w:szCs w:val="13"/>
              </w:rPr>
              <w:t>89,697,315,060</w:t>
            </w:r>
          </w:p>
        </w:tc>
      </w:tr>
      <w:tr w:rsidR="005E000F" w14:paraId="657FD2B4" w14:textId="77777777">
        <w:sdt>
          <w:sdtPr>
            <w:rPr>
              <w:sz w:val="13"/>
              <w:szCs w:val="13"/>
            </w:rPr>
            <w:tag w:val="_PLD_a86278e1e7584f56b206aaea009ce23d"/>
            <w:id w:val="-1678948937"/>
          </w:sdtPr>
          <w:sdtContent>
            <w:tc>
              <w:tcPr>
                <w:tcW w:w="442" w:type="pct"/>
                <w:vAlign w:val="center"/>
              </w:tcPr>
              <w:p w14:paraId="508FF1BE" w14:textId="77777777" w:rsidR="005E000F" w:rsidRDefault="00000000">
                <w:pPr>
                  <w:ind w:firstLineChars="200" w:firstLine="260"/>
                  <w:rPr>
                    <w:sz w:val="13"/>
                    <w:szCs w:val="13"/>
                  </w:rPr>
                </w:pPr>
                <w:r>
                  <w:rPr>
                    <w:rFonts w:hint="eastAsia"/>
                    <w:sz w:val="13"/>
                    <w:szCs w:val="13"/>
                  </w:rPr>
                  <w:t>2.</w:t>
                </w:r>
                <w:r>
                  <w:rPr>
                    <w:rFonts w:hint="eastAsia"/>
                    <w:sz w:val="13"/>
                    <w:szCs w:val="13"/>
                  </w:rPr>
                  <w:t>期初账面价值</w:t>
                </w:r>
              </w:p>
            </w:tc>
          </w:sdtContent>
        </w:sdt>
        <w:tc>
          <w:tcPr>
            <w:tcW w:w="402" w:type="pct"/>
            <w:vAlign w:val="center"/>
          </w:tcPr>
          <w:p w14:paraId="3D39DF0A" w14:textId="77777777" w:rsidR="005E000F" w:rsidRDefault="00000000">
            <w:pPr>
              <w:jc w:val="right"/>
              <w:rPr>
                <w:sz w:val="13"/>
                <w:szCs w:val="13"/>
              </w:rPr>
            </w:pPr>
            <w:r>
              <w:rPr>
                <w:sz w:val="13"/>
                <w:szCs w:val="13"/>
              </w:rPr>
              <w:t>9,687,672,013</w:t>
            </w:r>
          </w:p>
        </w:tc>
        <w:tc>
          <w:tcPr>
            <w:tcW w:w="401" w:type="pct"/>
            <w:vAlign w:val="center"/>
          </w:tcPr>
          <w:p w14:paraId="702E5461" w14:textId="77777777" w:rsidR="005E000F" w:rsidRDefault="00000000">
            <w:pPr>
              <w:jc w:val="right"/>
              <w:rPr>
                <w:sz w:val="13"/>
                <w:szCs w:val="13"/>
              </w:rPr>
            </w:pPr>
            <w:r>
              <w:rPr>
                <w:sz w:val="13"/>
                <w:szCs w:val="13"/>
              </w:rPr>
              <w:t>26,290,439,991</w:t>
            </w:r>
          </w:p>
        </w:tc>
        <w:tc>
          <w:tcPr>
            <w:tcW w:w="503" w:type="pct"/>
            <w:vAlign w:val="center"/>
          </w:tcPr>
          <w:p w14:paraId="3C67ED99" w14:textId="77777777" w:rsidR="005E000F" w:rsidRDefault="00000000">
            <w:pPr>
              <w:jc w:val="right"/>
              <w:rPr>
                <w:sz w:val="13"/>
                <w:szCs w:val="13"/>
              </w:rPr>
            </w:pPr>
            <w:r>
              <w:rPr>
                <w:sz w:val="13"/>
                <w:szCs w:val="13"/>
              </w:rPr>
              <w:t>46,273,793,820</w:t>
            </w:r>
          </w:p>
        </w:tc>
        <w:tc>
          <w:tcPr>
            <w:tcW w:w="402" w:type="pct"/>
            <w:vAlign w:val="center"/>
          </w:tcPr>
          <w:p w14:paraId="7A12D0D5" w14:textId="77777777" w:rsidR="005E000F" w:rsidRDefault="00000000">
            <w:pPr>
              <w:jc w:val="right"/>
              <w:rPr>
                <w:sz w:val="13"/>
                <w:szCs w:val="13"/>
              </w:rPr>
            </w:pPr>
            <w:r>
              <w:rPr>
                <w:sz w:val="13"/>
                <w:szCs w:val="13"/>
              </w:rPr>
              <w:t>1,896,471,564</w:t>
            </w:r>
          </w:p>
        </w:tc>
        <w:tc>
          <w:tcPr>
            <w:tcW w:w="453" w:type="pct"/>
            <w:vAlign w:val="center"/>
          </w:tcPr>
          <w:p w14:paraId="3EE27BCE" w14:textId="77777777" w:rsidR="005E000F" w:rsidRDefault="00000000">
            <w:pPr>
              <w:jc w:val="right"/>
              <w:rPr>
                <w:sz w:val="13"/>
                <w:szCs w:val="13"/>
              </w:rPr>
            </w:pPr>
            <w:r>
              <w:rPr>
                <w:sz w:val="13"/>
                <w:szCs w:val="13"/>
              </w:rPr>
              <w:t>1,013,537,640</w:t>
            </w:r>
          </w:p>
        </w:tc>
        <w:tc>
          <w:tcPr>
            <w:tcW w:w="401" w:type="pct"/>
            <w:vAlign w:val="center"/>
          </w:tcPr>
          <w:p w14:paraId="11B47491" w14:textId="77777777" w:rsidR="005E000F" w:rsidRDefault="00000000">
            <w:pPr>
              <w:jc w:val="right"/>
              <w:rPr>
                <w:sz w:val="13"/>
                <w:szCs w:val="13"/>
              </w:rPr>
            </w:pPr>
            <w:r>
              <w:rPr>
                <w:sz w:val="13"/>
                <w:szCs w:val="13"/>
              </w:rPr>
              <w:t>705,008,123</w:t>
            </w:r>
          </w:p>
        </w:tc>
        <w:tc>
          <w:tcPr>
            <w:tcW w:w="351" w:type="pct"/>
            <w:vAlign w:val="center"/>
          </w:tcPr>
          <w:p w14:paraId="52E89346" w14:textId="77777777" w:rsidR="005E000F" w:rsidRDefault="00000000">
            <w:pPr>
              <w:jc w:val="right"/>
              <w:rPr>
                <w:sz w:val="13"/>
                <w:szCs w:val="13"/>
              </w:rPr>
            </w:pPr>
            <w:r>
              <w:rPr>
                <w:sz w:val="13"/>
                <w:szCs w:val="13"/>
              </w:rPr>
              <w:t>412,645,431</w:t>
            </w:r>
          </w:p>
        </w:tc>
        <w:tc>
          <w:tcPr>
            <w:tcW w:w="402" w:type="pct"/>
            <w:vAlign w:val="center"/>
          </w:tcPr>
          <w:p w14:paraId="3F66D1E6" w14:textId="77777777" w:rsidR="005E000F" w:rsidRDefault="00000000">
            <w:pPr>
              <w:jc w:val="right"/>
              <w:rPr>
                <w:sz w:val="13"/>
                <w:szCs w:val="13"/>
              </w:rPr>
            </w:pPr>
            <w:r>
              <w:rPr>
                <w:sz w:val="13"/>
                <w:szCs w:val="13"/>
              </w:rPr>
              <w:t>1,252,316,668</w:t>
            </w:r>
          </w:p>
        </w:tc>
        <w:tc>
          <w:tcPr>
            <w:tcW w:w="452" w:type="pct"/>
            <w:vAlign w:val="center"/>
          </w:tcPr>
          <w:p w14:paraId="668F4CDA" w14:textId="77777777" w:rsidR="005E000F" w:rsidRDefault="00000000">
            <w:pPr>
              <w:jc w:val="right"/>
              <w:rPr>
                <w:sz w:val="13"/>
                <w:szCs w:val="13"/>
              </w:rPr>
            </w:pPr>
            <w:r>
              <w:rPr>
                <w:sz w:val="13"/>
                <w:szCs w:val="13"/>
              </w:rPr>
              <w:t>624,495,223</w:t>
            </w:r>
          </w:p>
        </w:tc>
        <w:tc>
          <w:tcPr>
            <w:tcW w:w="396" w:type="pct"/>
            <w:vAlign w:val="center"/>
          </w:tcPr>
          <w:p w14:paraId="22844168" w14:textId="77777777" w:rsidR="005E000F" w:rsidRDefault="00000000">
            <w:pPr>
              <w:jc w:val="right"/>
              <w:rPr>
                <w:sz w:val="13"/>
                <w:szCs w:val="13"/>
              </w:rPr>
            </w:pPr>
            <w:r>
              <w:rPr>
                <w:sz w:val="13"/>
                <w:szCs w:val="13"/>
              </w:rPr>
              <w:t>152,380,933</w:t>
            </w:r>
          </w:p>
        </w:tc>
        <w:tc>
          <w:tcPr>
            <w:tcW w:w="395" w:type="pct"/>
            <w:vAlign w:val="center"/>
          </w:tcPr>
          <w:p w14:paraId="46CDF013" w14:textId="77777777" w:rsidR="005E000F" w:rsidRDefault="00000000">
            <w:pPr>
              <w:jc w:val="right"/>
              <w:rPr>
                <w:sz w:val="13"/>
                <w:szCs w:val="13"/>
              </w:rPr>
            </w:pPr>
            <w:r>
              <w:rPr>
                <w:sz w:val="13"/>
                <w:szCs w:val="13"/>
              </w:rPr>
              <w:t>88,308,761,406</w:t>
            </w:r>
          </w:p>
        </w:tc>
      </w:tr>
    </w:tbl>
    <w:p w14:paraId="73C3405E" w14:textId="77777777" w:rsidR="005E000F" w:rsidRDefault="005E000F"/>
    <w:p w14:paraId="24895574" w14:textId="77777777" w:rsidR="005E000F" w:rsidRDefault="005E000F"/>
    <w:p w14:paraId="43A00DFE" w14:textId="77777777" w:rsidR="005E000F" w:rsidRDefault="005E000F">
      <w:pPr>
        <w:sectPr w:rsidR="005E000F">
          <w:pgSz w:w="16838" w:h="11906" w:orient="landscape"/>
          <w:pgMar w:top="1276" w:right="1440" w:bottom="1797" w:left="1525" w:header="856" w:footer="992" w:gutter="0"/>
          <w:cols w:space="425"/>
          <w:docGrid w:linePitch="312"/>
        </w:sectPr>
      </w:pPr>
    </w:p>
    <w:p w14:paraId="6E45B4B8" w14:textId="77777777" w:rsidR="005E000F" w:rsidRDefault="005E000F"/>
    <w:p w14:paraId="0332E2D2" w14:textId="77777777" w:rsidR="005E000F" w:rsidRDefault="00000000">
      <w:pPr>
        <w:pStyle w:val="5"/>
        <w:numPr>
          <w:ilvl w:val="0"/>
          <w:numId w:val="81"/>
        </w:numPr>
        <w:ind w:leftChars="0"/>
        <w:rPr>
          <w:rFonts w:ascii="宋体" w:hAnsi="宋体" w:cs="宋体"/>
          <w:kern w:val="0"/>
          <w:szCs w:val="24"/>
        </w:rPr>
      </w:pPr>
      <w:r>
        <w:rPr>
          <w:rFonts w:ascii="宋体" w:hAnsi="宋体" w:cs="宋体" w:hint="eastAsia"/>
          <w:kern w:val="0"/>
          <w:szCs w:val="24"/>
        </w:rPr>
        <w:t>暂时闲置的固定资产情况</w:t>
      </w:r>
    </w:p>
    <w:sdt>
      <w:sdtPr>
        <w:alias w:val="是否适用：暂时闲置的固定资产情况[双击切换]"/>
        <w:tag w:val="_GBC_2fdfdf37e427442eb50e14c905c59fbe"/>
        <w:id w:val="1301813324"/>
        <w:placeholder>
          <w:docPart w:val="GBC22222222222222222222222222222"/>
        </w:placeholder>
      </w:sdtPr>
      <w:sdtContent>
        <w:p w14:paraId="52343C0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8EF92B1" w14:textId="77777777" w:rsidR="005E000F" w:rsidRDefault="005E000F"/>
    <w:p w14:paraId="59DB58FB" w14:textId="77777777" w:rsidR="005E000F" w:rsidRDefault="00000000">
      <w:pPr>
        <w:pStyle w:val="5"/>
        <w:numPr>
          <w:ilvl w:val="0"/>
          <w:numId w:val="81"/>
        </w:numPr>
        <w:ind w:leftChars="0"/>
        <w:rPr>
          <w:rFonts w:ascii="宋体" w:hAnsi="宋体" w:cs="宋体"/>
          <w:kern w:val="0"/>
          <w:szCs w:val="24"/>
        </w:rPr>
      </w:pPr>
      <w:r>
        <w:rPr>
          <w:rFonts w:ascii="宋体" w:hAnsi="宋体" w:cs="宋体" w:hint="eastAsia"/>
          <w:kern w:val="0"/>
          <w:szCs w:val="24"/>
        </w:rPr>
        <w:t>通过经营租赁租出的固定资产</w:t>
      </w:r>
    </w:p>
    <w:sdt>
      <w:sdtPr>
        <w:alias w:val="是否适用：通过经营租赁租出的固定资产[双击切换]"/>
        <w:tag w:val="_GBC_c2ddde62aad742b6997b43c9077b5c4b"/>
        <w:id w:val="-2019768874"/>
        <w:placeholder>
          <w:docPart w:val="GBC22222222222222222222222222222"/>
        </w:placeholder>
      </w:sdtPr>
      <w:sdtContent>
        <w:p w14:paraId="4EF1765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056BE2E" w14:textId="77777777" w:rsidR="005E000F" w:rsidRDefault="00000000">
      <w:pPr>
        <w:jc w:val="right"/>
        <w:rPr>
          <w:color w:val="FF0000"/>
        </w:rPr>
      </w:pPr>
      <w:r>
        <w:rPr>
          <w:rFonts w:hint="eastAsia"/>
        </w:rPr>
        <w:t>单位：</w:t>
      </w:r>
      <w:sdt>
        <w:sdtPr>
          <w:rPr>
            <w:rFonts w:hint="eastAsia"/>
          </w:rPr>
          <w:alias w:val="单位：财务附注：通过经营租赁租出的固定资产"/>
          <w:tag w:val="_GBC_a5639cab25124e40a3a709f767bb31f5"/>
          <w:id w:val="1178815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通过经营租赁租出的固定资产"/>
          <w:tag w:val="_GBC_86c375c2858c4fd3a9a1149366376325"/>
          <w:id w:val="8422110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3"/>
        <w:gridCol w:w="4895"/>
      </w:tblGrid>
      <w:tr w:rsidR="005E000F" w14:paraId="346DCEC2" w14:textId="77777777">
        <w:sdt>
          <w:sdtPr>
            <w:tag w:val="_PLD_f35f56116f2549ddbf0e3623eed6359d"/>
            <w:id w:val="-909996290"/>
          </w:sdtPr>
          <w:sdtContent>
            <w:tc>
              <w:tcPr>
                <w:tcW w:w="4153" w:type="dxa"/>
                <w:tcBorders>
                  <w:top w:val="single" w:sz="4" w:space="0" w:color="auto"/>
                  <w:left w:val="single" w:sz="4" w:space="0" w:color="auto"/>
                  <w:bottom w:val="single" w:sz="4" w:space="0" w:color="auto"/>
                  <w:right w:val="single" w:sz="4" w:space="0" w:color="auto"/>
                </w:tcBorders>
                <w:vAlign w:val="center"/>
              </w:tcPr>
              <w:p w14:paraId="3ACAAFDF" w14:textId="77777777" w:rsidR="005E000F" w:rsidRDefault="00000000">
                <w:pPr>
                  <w:jc w:val="center"/>
                </w:pPr>
                <w:r>
                  <w:rPr>
                    <w:rFonts w:hint="eastAsia"/>
                  </w:rPr>
                  <w:t>项目</w:t>
                </w:r>
              </w:p>
            </w:tc>
          </w:sdtContent>
        </w:sdt>
        <w:sdt>
          <w:sdtPr>
            <w:tag w:val="_PLD_b998d1682a784108a43b71971c110733"/>
            <w:id w:val="315224752"/>
          </w:sdtPr>
          <w:sdtContent>
            <w:tc>
              <w:tcPr>
                <w:tcW w:w="4895" w:type="dxa"/>
                <w:tcBorders>
                  <w:top w:val="single" w:sz="4" w:space="0" w:color="auto"/>
                  <w:left w:val="single" w:sz="4" w:space="0" w:color="auto"/>
                  <w:bottom w:val="single" w:sz="4" w:space="0" w:color="auto"/>
                  <w:right w:val="single" w:sz="4" w:space="0" w:color="auto"/>
                </w:tcBorders>
                <w:vAlign w:val="center"/>
              </w:tcPr>
              <w:p w14:paraId="0CC9CA98" w14:textId="77777777" w:rsidR="005E000F" w:rsidRDefault="00000000">
                <w:pPr>
                  <w:jc w:val="center"/>
                </w:pPr>
                <w:r>
                  <w:rPr>
                    <w:rFonts w:hint="eastAsia"/>
                  </w:rPr>
                  <w:t>期末账面价值</w:t>
                </w:r>
              </w:p>
            </w:tc>
          </w:sdtContent>
        </w:sdt>
      </w:tr>
      <w:tr w:rsidR="005E000F" w14:paraId="0A015571" w14:textId="77777777">
        <w:tc>
          <w:tcPr>
            <w:tcW w:w="4153" w:type="dxa"/>
            <w:tcBorders>
              <w:top w:val="single" w:sz="4" w:space="0" w:color="auto"/>
              <w:left w:val="single" w:sz="4" w:space="0" w:color="auto"/>
              <w:bottom w:val="single" w:sz="4" w:space="0" w:color="auto"/>
              <w:right w:val="single" w:sz="4" w:space="0" w:color="auto"/>
            </w:tcBorders>
            <w:vAlign w:val="center"/>
          </w:tcPr>
          <w:p w14:paraId="73A1C263" w14:textId="77777777" w:rsidR="005E000F" w:rsidRDefault="00000000">
            <w:r>
              <w:rPr>
                <w:rFonts w:hint="eastAsia"/>
              </w:rPr>
              <w:t>机车和房屋</w:t>
            </w:r>
          </w:p>
        </w:tc>
        <w:tc>
          <w:tcPr>
            <w:tcW w:w="4895" w:type="dxa"/>
            <w:tcBorders>
              <w:top w:val="single" w:sz="4" w:space="0" w:color="auto"/>
              <w:left w:val="single" w:sz="4" w:space="0" w:color="auto"/>
              <w:bottom w:val="single" w:sz="4" w:space="0" w:color="auto"/>
              <w:right w:val="single" w:sz="4" w:space="0" w:color="auto"/>
            </w:tcBorders>
            <w:vAlign w:val="center"/>
          </w:tcPr>
          <w:p w14:paraId="1FAB4EF8" w14:textId="77777777" w:rsidR="005E000F" w:rsidRDefault="00000000">
            <w:pPr>
              <w:jc w:val="right"/>
            </w:pPr>
            <w:r>
              <w:t>1,080,197,686</w:t>
            </w:r>
          </w:p>
        </w:tc>
      </w:tr>
    </w:tbl>
    <w:p w14:paraId="70377F41" w14:textId="77777777" w:rsidR="005E000F" w:rsidRDefault="00000000">
      <w:r>
        <w:rPr>
          <w:rFonts w:hint="eastAsia"/>
        </w:rPr>
        <w:t>于</w:t>
      </w:r>
      <w:r>
        <w:rPr>
          <w:rFonts w:hint="eastAsia"/>
        </w:rPr>
        <w:t>2025</w:t>
      </w:r>
      <w:r>
        <w:rPr>
          <w:rFonts w:hint="eastAsia"/>
        </w:rPr>
        <w:t>年</w:t>
      </w:r>
      <w:r>
        <w:rPr>
          <w:rFonts w:hint="eastAsia"/>
        </w:rPr>
        <w:t>12</w:t>
      </w:r>
      <w:r>
        <w:rPr>
          <w:rFonts w:hint="eastAsia"/>
        </w:rPr>
        <w:t>月</w:t>
      </w:r>
      <w:r>
        <w:rPr>
          <w:rFonts w:hint="eastAsia"/>
        </w:rPr>
        <w:t>31</w:t>
      </w:r>
      <w:r>
        <w:rPr>
          <w:rFonts w:hint="eastAsia"/>
        </w:rPr>
        <w:t>日，本集团通过经营租赁租出的固定资产为机车和房屋，账面净值为人民币</w:t>
      </w:r>
      <w:r>
        <w:rPr>
          <w:rFonts w:hint="eastAsia"/>
        </w:rPr>
        <w:t>1,080,197,686</w:t>
      </w:r>
      <w:r>
        <w:rPr>
          <w:rFonts w:hint="eastAsia"/>
        </w:rPr>
        <w:t>元（</w:t>
      </w:r>
      <w:r>
        <w:rPr>
          <w:rFonts w:hint="eastAsia"/>
        </w:rPr>
        <w:t>2024</w:t>
      </w:r>
      <w:r>
        <w:rPr>
          <w:rFonts w:hint="eastAsia"/>
        </w:rPr>
        <w:t>年</w:t>
      </w:r>
      <w:r>
        <w:rPr>
          <w:rFonts w:hint="eastAsia"/>
        </w:rPr>
        <w:t>12</w:t>
      </w:r>
      <w:r>
        <w:rPr>
          <w:rFonts w:hint="eastAsia"/>
        </w:rPr>
        <w:t>月</w:t>
      </w:r>
      <w:r>
        <w:rPr>
          <w:rFonts w:hint="eastAsia"/>
        </w:rPr>
        <w:t>31</w:t>
      </w:r>
      <w:r>
        <w:rPr>
          <w:rFonts w:hint="eastAsia"/>
        </w:rPr>
        <w:t>日：人民币</w:t>
      </w:r>
      <w:r>
        <w:rPr>
          <w:rFonts w:hint="eastAsia"/>
        </w:rPr>
        <w:t>1,012,902,628</w:t>
      </w:r>
      <w:r>
        <w:rPr>
          <w:rFonts w:hint="eastAsia"/>
        </w:rPr>
        <w:t>元）。</w:t>
      </w:r>
    </w:p>
    <w:p w14:paraId="1C19CB17" w14:textId="77777777" w:rsidR="005E000F" w:rsidRDefault="005E000F"/>
    <w:p w14:paraId="2490E92E" w14:textId="77777777" w:rsidR="005E000F" w:rsidRDefault="00000000">
      <w:pPr>
        <w:pStyle w:val="5"/>
        <w:numPr>
          <w:ilvl w:val="0"/>
          <w:numId w:val="81"/>
        </w:numPr>
        <w:ind w:leftChars="0"/>
        <w:rPr>
          <w:rFonts w:ascii="宋体" w:hAnsi="宋体" w:cs="宋体"/>
          <w:kern w:val="0"/>
          <w:szCs w:val="24"/>
        </w:rPr>
      </w:pPr>
      <w:r>
        <w:rPr>
          <w:rFonts w:ascii="宋体" w:hAnsi="宋体" w:cs="宋体" w:hint="eastAsia"/>
          <w:kern w:val="0"/>
          <w:szCs w:val="24"/>
        </w:rPr>
        <w:t>未办妥产权证书的固定资产情况</w:t>
      </w:r>
    </w:p>
    <w:p w14:paraId="664E498C" w14:textId="77777777" w:rsidR="005E000F" w:rsidRDefault="00000000">
      <w:sdt>
        <w:sdtPr>
          <w:alias w:val="是否适用：未办妥产权证书的固定资产情况[双击切换]"/>
          <w:tag w:val="_GBC_46625a97c34c4326af56ee4f005058fb"/>
          <w:id w:val="-1209417667"/>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646876C5" w14:textId="77777777" w:rsidR="005E000F" w:rsidRDefault="00000000">
      <w:pPr>
        <w:jc w:val="right"/>
      </w:pPr>
      <w:r>
        <w:rPr>
          <w:rFonts w:hint="eastAsia"/>
        </w:rPr>
        <w:t>单位：</w:t>
      </w:r>
      <w:sdt>
        <w:sdtPr>
          <w:rPr>
            <w:rFonts w:hint="eastAsia"/>
          </w:rPr>
          <w:alias w:val="单位：财务附注：未办妥产权证书的固定资产情况"/>
          <w:tag w:val="_GBC_af0b65f779a444509a345fcc235c4e13"/>
          <w:id w:val="151750596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未办妥产权证书的固定资产情况"/>
          <w:tag w:val="_GBC_8b4f91db9e314b61ac2d85b092fd5832"/>
          <w:id w:val="4948429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3042"/>
        <w:gridCol w:w="3058"/>
      </w:tblGrid>
      <w:tr w:rsidR="005E000F" w14:paraId="7942FA00" w14:textId="77777777">
        <w:sdt>
          <w:sdtPr>
            <w:tag w:val="_PLD_3112d13ed7a04a10bce803acc672660e"/>
            <w:id w:val="819927980"/>
          </w:sdtPr>
          <w:sdtContent>
            <w:tc>
              <w:tcPr>
                <w:tcW w:w="2948" w:type="dxa"/>
                <w:vAlign w:val="center"/>
              </w:tcPr>
              <w:p w14:paraId="16A14786" w14:textId="77777777" w:rsidR="005E000F" w:rsidRDefault="00000000">
                <w:pPr>
                  <w:jc w:val="center"/>
                </w:pPr>
                <w:r>
                  <w:rPr>
                    <w:rFonts w:hint="eastAsia"/>
                  </w:rPr>
                  <w:t>项目</w:t>
                </w:r>
              </w:p>
            </w:tc>
          </w:sdtContent>
        </w:sdt>
        <w:sdt>
          <w:sdtPr>
            <w:tag w:val="_PLD_5fca73223de74724a06b56d07c06e26b"/>
            <w:id w:val="-467512671"/>
          </w:sdtPr>
          <w:sdtContent>
            <w:tc>
              <w:tcPr>
                <w:tcW w:w="3042" w:type="dxa"/>
                <w:vAlign w:val="center"/>
              </w:tcPr>
              <w:p w14:paraId="44419EFF" w14:textId="77777777" w:rsidR="005E000F" w:rsidRDefault="00000000">
                <w:pPr>
                  <w:jc w:val="center"/>
                </w:pPr>
                <w:r>
                  <w:rPr>
                    <w:rFonts w:hint="eastAsia"/>
                  </w:rPr>
                  <w:t>账面价值</w:t>
                </w:r>
              </w:p>
            </w:tc>
          </w:sdtContent>
        </w:sdt>
        <w:sdt>
          <w:sdtPr>
            <w:tag w:val="_PLD_0f07869ee4694758ae54754a2afb45dd"/>
            <w:id w:val="967472159"/>
          </w:sdtPr>
          <w:sdtContent>
            <w:tc>
              <w:tcPr>
                <w:tcW w:w="3058" w:type="dxa"/>
                <w:vAlign w:val="center"/>
              </w:tcPr>
              <w:p w14:paraId="247D62C6" w14:textId="77777777" w:rsidR="005E000F" w:rsidRDefault="00000000">
                <w:pPr>
                  <w:jc w:val="center"/>
                </w:pPr>
                <w:r>
                  <w:rPr>
                    <w:rFonts w:hint="eastAsia"/>
                  </w:rPr>
                  <w:t>未办妥产权证书的原因</w:t>
                </w:r>
              </w:p>
            </w:tc>
          </w:sdtContent>
        </w:sdt>
      </w:tr>
      <w:tr w:rsidR="005E000F" w14:paraId="44EE5356" w14:textId="77777777">
        <w:tc>
          <w:tcPr>
            <w:tcW w:w="2948" w:type="dxa"/>
            <w:vAlign w:val="center"/>
          </w:tcPr>
          <w:p w14:paraId="197DDB6C" w14:textId="77777777" w:rsidR="005E000F" w:rsidRDefault="00000000">
            <w:r>
              <w:rPr>
                <w:rFonts w:hint="eastAsia"/>
              </w:rPr>
              <w:t>房屋</w:t>
            </w:r>
          </w:p>
        </w:tc>
        <w:tc>
          <w:tcPr>
            <w:tcW w:w="3042" w:type="dxa"/>
            <w:vAlign w:val="center"/>
          </w:tcPr>
          <w:p w14:paraId="0C5776CF" w14:textId="77777777" w:rsidR="005E000F" w:rsidRDefault="00000000">
            <w:pPr>
              <w:jc w:val="right"/>
            </w:pPr>
            <w:r>
              <w:t xml:space="preserve"> 1,933,848,843 </w:t>
            </w:r>
          </w:p>
        </w:tc>
        <w:tc>
          <w:tcPr>
            <w:tcW w:w="3058" w:type="dxa"/>
            <w:vAlign w:val="center"/>
          </w:tcPr>
          <w:p w14:paraId="12759BFF" w14:textId="77777777" w:rsidR="005E000F" w:rsidRDefault="00000000">
            <w:pPr>
              <w:jc w:val="right"/>
            </w:pPr>
            <w:r>
              <w:rPr>
                <w:rFonts w:hint="eastAsia"/>
              </w:rPr>
              <w:t>/</w:t>
            </w:r>
          </w:p>
        </w:tc>
      </w:tr>
    </w:tbl>
    <w:p w14:paraId="05FFF1F2" w14:textId="77777777" w:rsidR="005E000F" w:rsidRDefault="00000000">
      <w:r>
        <w:rPr>
          <w:rFonts w:hint="eastAsia"/>
        </w:rPr>
        <w:t>注</w:t>
      </w:r>
      <w:r>
        <w:rPr>
          <w:rFonts w:hint="eastAsia"/>
        </w:rPr>
        <w:t xml:space="preserve"> 1</w:t>
      </w:r>
      <w:r>
        <w:rPr>
          <w:rFonts w:hint="eastAsia"/>
        </w:rPr>
        <w:t>：于</w:t>
      </w:r>
      <w:r>
        <w:rPr>
          <w:rFonts w:hint="eastAsia"/>
        </w:rPr>
        <w:t>2025</w:t>
      </w:r>
      <w:r>
        <w:rPr>
          <w:rFonts w:hint="eastAsia"/>
        </w:rPr>
        <w:t>年</w:t>
      </w:r>
      <w:r>
        <w:rPr>
          <w:rFonts w:hint="eastAsia"/>
        </w:rPr>
        <w:t>12</w:t>
      </w:r>
      <w:r>
        <w:rPr>
          <w:rFonts w:hint="eastAsia"/>
        </w:rPr>
        <w:t>月</w:t>
      </w:r>
      <w:r>
        <w:rPr>
          <w:rFonts w:hint="eastAsia"/>
        </w:rPr>
        <w:t>31</w:t>
      </w:r>
      <w:r>
        <w:rPr>
          <w:rFonts w:hint="eastAsia"/>
        </w:rPr>
        <w:t>日，净值约为人民币</w:t>
      </w:r>
      <w:r>
        <w:rPr>
          <w:rFonts w:hint="eastAsia"/>
        </w:rPr>
        <w:t>11.3</w:t>
      </w:r>
      <w:r>
        <w:rPr>
          <w:rFonts w:hint="eastAsia"/>
        </w:rPr>
        <w:t>亿元（原值人民币</w:t>
      </w:r>
      <w:r>
        <w:rPr>
          <w:rFonts w:hint="eastAsia"/>
        </w:rPr>
        <w:t>247.58</w:t>
      </w:r>
      <w:r>
        <w:rPr>
          <w:rFonts w:hint="eastAsia"/>
        </w:rPr>
        <w:t>亿元）</w:t>
      </w:r>
      <w:r>
        <w:rPr>
          <w:rFonts w:hint="eastAsia"/>
        </w:rPr>
        <w:t xml:space="preserve"> </w:t>
      </w:r>
      <w:r>
        <w:rPr>
          <w:rFonts w:hint="eastAsia"/>
        </w:rPr>
        <w:t>的固定资产已提足折旧但仍在继续使用</w:t>
      </w:r>
      <w:r>
        <w:rPr>
          <w:rFonts w:hint="eastAsia"/>
        </w:rPr>
        <w:t xml:space="preserve"> </w:t>
      </w:r>
      <w:r>
        <w:rPr>
          <w:rFonts w:hint="eastAsia"/>
        </w:rPr>
        <w:t>（</w:t>
      </w:r>
      <w:r>
        <w:rPr>
          <w:rFonts w:hint="eastAsia"/>
        </w:rPr>
        <w:t>2024</w:t>
      </w:r>
      <w:r>
        <w:rPr>
          <w:rFonts w:hint="eastAsia"/>
        </w:rPr>
        <w:t>年</w:t>
      </w:r>
      <w:r>
        <w:rPr>
          <w:rFonts w:hint="eastAsia"/>
        </w:rPr>
        <w:t>12</w:t>
      </w:r>
      <w:r>
        <w:rPr>
          <w:rFonts w:hint="eastAsia"/>
        </w:rPr>
        <w:t>月</w:t>
      </w:r>
      <w:r>
        <w:rPr>
          <w:rFonts w:hint="eastAsia"/>
        </w:rPr>
        <w:t>31</w:t>
      </w:r>
      <w:r>
        <w:rPr>
          <w:rFonts w:hint="eastAsia"/>
        </w:rPr>
        <w:t>日：净值人民币</w:t>
      </w:r>
      <w:r>
        <w:rPr>
          <w:rFonts w:hint="eastAsia"/>
        </w:rPr>
        <w:t xml:space="preserve">11.27 </w:t>
      </w:r>
      <w:r>
        <w:rPr>
          <w:rFonts w:hint="eastAsia"/>
        </w:rPr>
        <w:t>亿元，原值人民币</w:t>
      </w:r>
      <w:r>
        <w:rPr>
          <w:rFonts w:hint="eastAsia"/>
        </w:rPr>
        <w:t>231.75</w:t>
      </w:r>
      <w:r>
        <w:rPr>
          <w:rFonts w:hint="eastAsia"/>
        </w:rPr>
        <w:t>亿元）</w:t>
      </w:r>
      <w:r>
        <w:rPr>
          <w:rFonts w:hint="eastAsia"/>
        </w:rPr>
        <w:t xml:space="preserve"> </w:t>
      </w:r>
      <w:r>
        <w:rPr>
          <w:rFonts w:hint="eastAsia"/>
        </w:rPr>
        <w:t>。</w:t>
      </w:r>
    </w:p>
    <w:p w14:paraId="46F19360" w14:textId="77777777" w:rsidR="005E000F" w:rsidRDefault="005E000F"/>
    <w:p w14:paraId="3CAFA823" w14:textId="77777777" w:rsidR="005E000F" w:rsidRDefault="00000000">
      <w:r>
        <w:rPr>
          <w:rFonts w:hint="eastAsia"/>
        </w:rPr>
        <w:t>注</w:t>
      </w:r>
      <w:r>
        <w:rPr>
          <w:rFonts w:hint="eastAsia"/>
        </w:rPr>
        <w:t xml:space="preserve"> 2</w:t>
      </w:r>
      <w:r>
        <w:rPr>
          <w:rFonts w:hint="eastAsia"/>
        </w:rPr>
        <w:t>：</w:t>
      </w:r>
      <w:r>
        <w:rPr>
          <w:rFonts w:hint="eastAsia"/>
        </w:rPr>
        <w:t>2025</w:t>
      </w:r>
      <w:r>
        <w:rPr>
          <w:rFonts w:hint="eastAsia"/>
        </w:rPr>
        <w:t>年度固定资产计提的折旧金额为人民币</w:t>
      </w:r>
      <w:r>
        <w:rPr>
          <w:rFonts w:hint="eastAsia"/>
        </w:rPr>
        <w:t>5,237,828,478</w:t>
      </w:r>
      <w:r>
        <w:rPr>
          <w:rFonts w:hint="eastAsia"/>
        </w:rPr>
        <w:t>元</w:t>
      </w:r>
      <w:r>
        <w:rPr>
          <w:rFonts w:hint="eastAsia"/>
        </w:rPr>
        <w:t xml:space="preserve"> </w:t>
      </w:r>
      <w:r>
        <w:rPr>
          <w:rFonts w:hint="eastAsia"/>
        </w:rPr>
        <w:t>（</w:t>
      </w:r>
      <w:r>
        <w:rPr>
          <w:rFonts w:hint="eastAsia"/>
        </w:rPr>
        <w:t>2024</w:t>
      </w:r>
      <w:r>
        <w:rPr>
          <w:rFonts w:hint="eastAsia"/>
        </w:rPr>
        <w:t>年度：人民币</w:t>
      </w:r>
      <w:r>
        <w:rPr>
          <w:rFonts w:hint="eastAsia"/>
        </w:rPr>
        <w:t xml:space="preserve"> 5,487,886,947</w:t>
      </w:r>
      <w:r>
        <w:rPr>
          <w:rFonts w:hint="eastAsia"/>
        </w:rPr>
        <w:t>元）。其中，本集团本年度使用安全生产费购置固定资产人民币</w:t>
      </w:r>
      <w:r>
        <w:rPr>
          <w:rFonts w:hint="eastAsia"/>
        </w:rPr>
        <w:t>433,840,577</w:t>
      </w:r>
      <w:r>
        <w:rPr>
          <w:rFonts w:hint="eastAsia"/>
        </w:rPr>
        <w:t>元（</w:t>
      </w:r>
      <w:r>
        <w:rPr>
          <w:rFonts w:hint="eastAsia"/>
        </w:rPr>
        <w:t>2024</w:t>
      </w:r>
      <w:r>
        <w:rPr>
          <w:rFonts w:hint="eastAsia"/>
        </w:rPr>
        <w:t>年</w:t>
      </w:r>
      <w:r>
        <w:rPr>
          <w:rFonts w:hint="eastAsia"/>
        </w:rPr>
        <w:t>1</w:t>
      </w:r>
      <w:r>
        <w:rPr>
          <w:rFonts w:hint="eastAsia"/>
        </w:rPr>
        <w:t>至</w:t>
      </w:r>
      <w:r>
        <w:rPr>
          <w:rFonts w:hint="eastAsia"/>
        </w:rPr>
        <w:t>12</w:t>
      </w:r>
      <w:r>
        <w:rPr>
          <w:rFonts w:hint="eastAsia"/>
        </w:rPr>
        <w:t>月：人民币</w:t>
      </w:r>
      <w:r>
        <w:rPr>
          <w:rFonts w:hint="eastAsia"/>
        </w:rPr>
        <w:t>635,818,751</w:t>
      </w:r>
      <w:r>
        <w:rPr>
          <w:rFonts w:hint="eastAsia"/>
        </w:rPr>
        <w:t>元），按照相关固定资产的成本冲减专项储备，同时确认相应金额的累计折旧，相关固定资产以后期间不再计提折旧。</w:t>
      </w:r>
    </w:p>
    <w:p w14:paraId="39D20D86" w14:textId="77777777" w:rsidR="005E000F" w:rsidRDefault="005E000F"/>
    <w:p w14:paraId="4A5D9A1B" w14:textId="77777777" w:rsidR="005E000F" w:rsidRDefault="00000000">
      <w:r>
        <w:rPr>
          <w:rFonts w:hint="eastAsia"/>
        </w:rPr>
        <w:t>注</w:t>
      </w:r>
      <w:r>
        <w:rPr>
          <w:rFonts w:hint="eastAsia"/>
        </w:rPr>
        <w:t xml:space="preserve"> 3</w:t>
      </w:r>
      <w:r>
        <w:rPr>
          <w:rFonts w:hint="eastAsia"/>
        </w:rPr>
        <w:t>：于</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日，本集团固定资产未设置抵押（</w:t>
      </w:r>
      <w:r>
        <w:rPr>
          <w:rFonts w:hint="eastAsia"/>
        </w:rPr>
        <w:t>2024</w:t>
      </w:r>
      <w:r>
        <w:rPr>
          <w:rFonts w:hint="eastAsia"/>
        </w:rPr>
        <w:t>年</w:t>
      </w:r>
      <w:r>
        <w:rPr>
          <w:rFonts w:hint="eastAsia"/>
        </w:rPr>
        <w:t>12</w:t>
      </w:r>
      <w:r>
        <w:rPr>
          <w:rFonts w:hint="eastAsia"/>
        </w:rPr>
        <w:t>月</w:t>
      </w:r>
      <w:r>
        <w:rPr>
          <w:rFonts w:hint="eastAsia"/>
        </w:rPr>
        <w:t>31</w:t>
      </w:r>
      <w:r>
        <w:rPr>
          <w:rFonts w:hint="eastAsia"/>
        </w:rPr>
        <w:t>日：无）。</w:t>
      </w:r>
    </w:p>
    <w:p w14:paraId="03EDE224" w14:textId="77777777" w:rsidR="005E000F" w:rsidRDefault="005E000F"/>
    <w:p w14:paraId="58093ADF" w14:textId="77777777" w:rsidR="005E000F" w:rsidRDefault="00000000">
      <w:r>
        <w:rPr>
          <w:rFonts w:hint="eastAsia"/>
        </w:rPr>
        <w:t>注</w:t>
      </w:r>
      <w:r>
        <w:rPr>
          <w:rFonts w:hint="eastAsia"/>
        </w:rPr>
        <w:t xml:space="preserve"> 4</w:t>
      </w:r>
      <w:r>
        <w:rPr>
          <w:rFonts w:hint="eastAsia"/>
        </w:rPr>
        <w:t>：</w:t>
      </w:r>
      <w:r>
        <w:rPr>
          <w:rFonts w:hint="eastAsia"/>
        </w:rPr>
        <w:t>2025</w:t>
      </w:r>
      <w:r>
        <w:rPr>
          <w:rFonts w:hint="eastAsia"/>
        </w:rPr>
        <w:t>年度，本集团固定资产中有部分货车在本集团管区</w:t>
      </w:r>
      <w:proofErr w:type="gramStart"/>
      <w:r>
        <w:rPr>
          <w:rFonts w:hint="eastAsia"/>
        </w:rPr>
        <w:t>外执行</w:t>
      </w:r>
      <w:proofErr w:type="gramEnd"/>
      <w:r>
        <w:rPr>
          <w:rFonts w:hint="eastAsia"/>
        </w:rPr>
        <w:t>运输任务，确认对国铁集团及其下属单位货车使用费收入人民币</w:t>
      </w:r>
      <w:r>
        <w:rPr>
          <w:rFonts w:hint="eastAsia"/>
        </w:rPr>
        <w:t>347,919,055</w:t>
      </w:r>
      <w:r>
        <w:rPr>
          <w:rFonts w:hint="eastAsia"/>
        </w:rPr>
        <w:t>元（</w:t>
      </w:r>
      <w:r>
        <w:rPr>
          <w:rFonts w:hint="eastAsia"/>
        </w:rPr>
        <w:t>2024</w:t>
      </w:r>
      <w:r>
        <w:rPr>
          <w:rFonts w:hint="eastAsia"/>
        </w:rPr>
        <w:t>年</w:t>
      </w:r>
      <w:r>
        <w:rPr>
          <w:rFonts w:hint="eastAsia"/>
        </w:rPr>
        <w:t>1</w:t>
      </w:r>
      <w:r>
        <w:rPr>
          <w:rFonts w:hint="eastAsia"/>
        </w:rPr>
        <w:t>至</w:t>
      </w:r>
      <w:r>
        <w:rPr>
          <w:rFonts w:hint="eastAsia"/>
        </w:rPr>
        <w:t>12</w:t>
      </w:r>
      <w:r>
        <w:rPr>
          <w:rFonts w:hint="eastAsia"/>
        </w:rPr>
        <w:t>月：人民币</w:t>
      </w:r>
      <w:r>
        <w:rPr>
          <w:rFonts w:hint="eastAsia"/>
        </w:rPr>
        <w:t xml:space="preserve"> 290,590,435</w:t>
      </w:r>
      <w:r>
        <w:rPr>
          <w:rFonts w:hint="eastAsia"/>
        </w:rPr>
        <w:t>元）（附注十四</w:t>
      </w:r>
      <w:proofErr w:type="gramStart"/>
      <w:r>
        <w:rPr>
          <w:rFonts w:hint="eastAsia"/>
        </w:rPr>
        <w:t>5</w:t>
      </w:r>
      <w:proofErr w:type="gramEnd"/>
      <w:r>
        <w:rPr>
          <w:rFonts w:hint="eastAsia"/>
        </w:rPr>
        <w:t>（</w:t>
      </w:r>
      <w:r>
        <w:rPr>
          <w:rFonts w:hint="eastAsia"/>
        </w:rPr>
        <w:t>1</w:t>
      </w:r>
      <w:r>
        <w:rPr>
          <w:rFonts w:hint="eastAsia"/>
        </w:rPr>
        <w:t>））。</w:t>
      </w:r>
    </w:p>
    <w:p w14:paraId="752454E6" w14:textId="77777777" w:rsidR="005E000F" w:rsidRDefault="005E000F"/>
    <w:p w14:paraId="0DD9FE3C" w14:textId="77777777" w:rsidR="005E000F" w:rsidRDefault="00000000">
      <w:r>
        <w:rPr>
          <w:rFonts w:hint="eastAsia"/>
        </w:rPr>
        <w:t>注</w:t>
      </w:r>
      <w:r>
        <w:rPr>
          <w:rFonts w:hint="eastAsia"/>
        </w:rPr>
        <w:t xml:space="preserve"> 5</w:t>
      </w:r>
      <w:r>
        <w:rPr>
          <w:rFonts w:hint="eastAsia"/>
        </w:rPr>
        <w:t>：于</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日，本集团无暂时闲置的重大固定资产（</w:t>
      </w:r>
      <w:r>
        <w:rPr>
          <w:rFonts w:hint="eastAsia"/>
        </w:rPr>
        <w:t>2024</w:t>
      </w:r>
      <w:r>
        <w:rPr>
          <w:rFonts w:hint="eastAsia"/>
        </w:rPr>
        <w:t>年</w:t>
      </w:r>
      <w:r>
        <w:rPr>
          <w:rFonts w:hint="eastAsia"/>
        </w:rPr>
        <w:t>12</w:t>
      </w:r>
      <w:r>
        <w:rPr>
          <w:rFonts w:hint="eastAsia"/>
        </w:rPr>
        <w:t>月</w:t>
      </w:r>
      <w:r>
        <w:rPr>
          <w:rFonts w:hint="eastAsia"/>
        </w:rPr>
        <w:t>31</w:t>
      </w:r>
      <w:r>
        <w:rPr>
          <w:rFonts w:hint="eastAsia"/>
        </w:rPr>
        <w:t>日：无）。</w:t>
      </w:r>
    </w:p>
    <w:p w14:paraId="7EFAEEE1" w14:textId="77777777" w:rsidR="005E000F" w:rsidRDefault="005E000F"/>
    <w:p w14:paraId="7BAB1895" w14:textId="77777777" w:rsidR="005E000F" w:rsidRDefault="00000000">
      <w:pPr>
        <w:pStyle w:val="5"/>
        <w:numPr>
          <w:ilvl w:val="0"/>
          <w:numId w:val="81"/>
        </w:numPr>
        <w:ind w:leftChars="0"/>
        <w:rPr>
          <w:rFonts w:ascii="宋体" w:hAnsi="宋体" w:cs="宋体"/>
          <w:kern w:val="0"/>
          <w:szCs w:val="24"/>
        </w:rPr>
      </w:pPr>
      <w:bookmarkStart w:id="339" w:name="_Hlk153460880"/>
      <w:r>
        <w:rPr>
          <w:rFonts w:ascii="宋体" w:hAnsi="宋体" w:cs="宋体" w:hint="eastAsia"/>
          <w:kern w:val="0"/>
          <w:szCs w:val="24"/>
        </w:rPr>
        <w:t>固定资产的减值测试情况</w:t>
      </w:r>
    </w:p>
    <w:sdt>
      <w:sdtPr>
        <w:alias w:val="是否适用：减值测试情况[双击切换]"/>
        <w:tag w:val="_GBC_d1f21a00be1347f697689e4105263cab"/>
        <w:id w:val="874276040"/>
        <w:placeholder>
          <w:docPart w:val="GBC22222222222222222222222222222"/>
        </w:placeholder>
      </w:sdtPr>
      <w:sdtContent>
        <w:p w14:paraId="6DDB0D3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7976914" w14:textId="77777777" w:rsidR="005E000F" w:rsidRDefault="005E000F">
      <w:pPr>
        <w:snapToGrid w:val="0"/>
        <w:spacing w:line="240" w:lineRule="atLeast"/>
      </w:pPr>
    </w:p>
    <w:bookmarkEnd w:id="339"/>
    <w:p w14:paraId="56A6D33F" w14:textId="77777777" w:rsidR="005E000F" w:rsidRDefault="00000000">
      <w:r>
        <w:rPr>
          <w:rFonts w:hint="eastAsia"/>
        </w:rPr>
        <w:t>其他说明：</w:t>
      </w:r>
    </w:p>
    <w:sdt>
      <w:sdtPr>
        <w:alias w:val="是否适用：固定资产的说明[双击切换]"/>
        <w:tag w:val="_GBC_a7ec4df8fd354d7d9980e0f731a85e12"/>
        <w:id w:val="1853302601"/>
        <w:placeholder>
          <w:docPart w:val="GBC22222222222222222222222222222"/>
        </w:placeholder>
      </w:sdtPr>
      <w:sdtContent>
        <w:p w14:paraId="5902ED74"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05C659D" w14:textId="77777777" w:rsidR="005E000F" w:rsidRDefault="005E000F"/>
    <w:p w14:paraId="53B31625" w14:textId="77777777" w:rsidR="005E000F" w:rsidRDefault="00000000">
      <w:pPr>
        <w:pStyle w:val="4"/>
        <w:ind w:left="360" w:hanging="360"/>
      </w:pPr>
      <w:r>
        <w:rPr>
          <w:rFonts w:hint="eastAsia"/>
        </w:rPr>
        <w:t>固定资产清理</w:t>
      </w:r>
    </w:p>
    <w:sdt>
      <w:sdtPr>
        <w:alias w:val="是否适用：固定资产清理[双击切换]"/>
        <w:tag w:val="_GBC_e3c92a1042004e36882d16145109bd0e"/>
        <w:id w:val="121666920"/>
        <w:placeholder>
          <w:docPart w:val="GBC22222222222222222222222222222"/>
        </w:placeholder>
      </w:sdtPr>
      <w:sdtContent>
        <w:p w14:paraId="186568AE"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56D8985" w14:textId="77777777" w:rsidR="005E000F" w:rsidRDefault="00000000">
      <w:pPr>
        <w:jc w:val="right"/>
      </w:pPr>
      <w:r>
        <w:rPr>
          <w:rFonts w:hint="eastAsia"/>
        </w:rPr>
        <w:t>单位：</w:t>
      </w:r>
      <w:sdt>
        <w:sdtPr>
          <w:rPr>
            <w:rFonts w:hint="eastAsia"/>
          </w:rPr>
          <w:alias w:val="单位：财务附注：固定资产清理"/>
          <w:tag w:val="_GBC_dd9fac0435e34162af7691578328c197"/>
          <w:id w:val="1853145588"/>
          <w:placeholder>
            <w:docPart w:val="688899FF1A4340F0A50847ECC4826486"/>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rPr>
          <w:rFonts w:hint="eastAsia"/>
        </w:rPr>
        <w:t>币种：</w:t>
      </w:r>
      <w:sdt>
        <w:sdtPr>
          <w:rPr>
            <w:rFonts w:hint="eastAsia"/>
          </w:rPr>
          <w:alias w:val="币种：财务附注：固定资产清理"/>
          <w:tag w:val="_GBC_0a3f7129159d46aa90131f740f7a333d"/>
          <w:id w:val="181798467"/>
          <w:placeholder>
            <w:docPart w:val="688899FF1A4340F0A50847ECC482648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5056"/>
        <w:gridCol w:w="2134"/>
        <w:gridCol w:w="1868"/>
      </w:tblGrid>
      <w:tr w:rsidR="005E000F" w14:paraId="07D48FEE" w14:textId="77777777">
        <w:sdt>
          <w:sdtPr>
            <w:tag w:val="_PLD_72ed8e60b9b44aee824af33d3a0e1e45"/>
            <w:id w:val="2133514348"/>
          </w:sdtPr>
          <w:sdtContent>
            <w:tc>
              <w:tcPr>
                <w:tcW w:w="5056" w:type="dxa"/>
                <w:vAlign w:val="center"/>
              </w:tcPr>
              <w:p w14:paraId="56417088" w14:textId="77777777" w:rsidR="005E000F" w:rsidRDefault="00000000">
                <w:pPr>
                  <w:jc w:val="center"/>
                </w:pPr>
                <w:r>
                  <w:rPr>
                    <w:rFonts w:hint="eastAsia"/>
                  </w:rPr>
                  <w:t>项目</w:t>
                </w:r>
              </w:p>
            </w:tc>
          </w:sdtContent>
        </w:sdt>
        <w:sdt>
          <w:sdtPr>
            <w:tag w:val="_PLD_5116ba95ffe94c9abd82d232062969bb"/>
            <w:id w:val="478654515"/>
          </w:sdtPr>
          <w:sdtContent>
            <w:tc>
              <w:tcPr>
                <w:tcW w:w="2134" w:type="dxa"/>
                <w:vAlign w:val="center"/>
              </w:tcPr>
              <w:p w14:paraId="2786FA9B" w14:textId="77777777" w:rsidR="005E000F" w:rsidRDefault="00000000">
                <w:pPr>
                  <w:jc w:val="center"/>
                </w:pPr>
                <w:r>
                  <w:rPr>
                    <w:rFonts w:hint="eastAsia"/>
                  </w:rPr>
                  <w:t>期末余额</w:t>
                </w:r>
              </w:p>
            </w:tc>
          </w:sdtContent>
        </w:sdt>
        <w:sdt>
          <w:sdtPr>
            <w:tag w:val="_PLD_27fd89dc7db94a19a2bd7ad6296eabf8"/>
            <w:id w:val="33086735"/>
          </w:sdtPr>
          <w:sdtContent>
            <w:tc>
              <w:tcPr>
                <w:tcW w:w="1868" w:type="dxa"/>
                <w:vAlign w:val="center"/>
              </w:tcPr>
              <w:p w14:paraId="0048E70D" w14:textId="77777777" w:rsidR="005E000F" w:rsidRDefault="00000000">
                <w:pPr>
                  <w:jc w:val="center"/>
                </w:pPr>
                <w:r>
                  <w:rPr>
                    <w:rFonts w:hint="eastAsia"/>
                  </w:rPr>
                  <w:t>期初余额</w:t>
                </w:r>
              </w:p>
            </w:tc>
          </w:sdtContent>
        </w:sdt>
      </w:tr>
      <w:tr w:rsidR="005E000F" w14:paraId="4982BA61" w14:textId="77777777">
        <w:tc>
          <w:tcPr>
            <w:tcW w:w="5056" w:type="dxa"/>
            <w:shd w:val="clear" w:color="auto" w:fill="auto"/>
            <w:vAlign w:val="center"/>
          </w:tcPr>
          <w:p w14:paraId="00A24567" w14:textId="77777777" w:rsidR="005E000F" w:rsidRDefault="00000000">
            <w:pPr>
              <w:spacing w:line="360" w:lineRule="exact"/>
              <w:rPr>
                <w:rFonts w:ascii="宋体" w:hAnsi="宋体"/>
                <w:bCs/>
                <w:sz w:val="22"/>
                <w:szCs w:val="22"/>
              </w:rPr>
            </w:pPr>
            <w:r>
              <w:rPr>
                <w:rFonts w:ascii="宋体" w:hAnsi="宋体"/>
                <w:bCs/>
                <w:sz w:val="22"/>
                <w:szCs w:val="22"/>
              </w:rPr>
              <w:t>房屋建筑物</w:t>
            </w:r>
          </w:p>
        </w:tc>
        <w:tc>
          <w:tcPr>
            <w:tcW w:w="2134" w:type="dxa"/>
            <w:shd w:val="clear" w:color="auto" w:fill="auto"/>
            <w:vAlign w:val="center"/>
          </w:tcPr>
          <w:p w14:paraId="6C4D3B26" w14:textId="77777777" w:rsidR="005E000F" w:rsidRDefault="00000000">
            <w:pPr>
              <w:jc w:val="right"/>
            </w:pPr>
            <w:r>
              <w:t xml:space="preserve"> 1,107,313 </w:t>
            </w:r>
          </w:p>
        </w:tc>
        <w:tc>
          <w:tcPr>
            <w:tcW w:w="1868" w:type="dxa"/>
            <w:vAlign w:val="center"/>
          </w:tcPr>
          <w:p w14:paraId="69E32155" w14:textId="77777777" w:rsidR="005E000F" w:rsidRDefault="00000000">
            <w:pPr>
              <w:jc w:val="right"/>
            </w:pPr>
            <w:r>
              <w:rPr>
                <w:rFonts w:hint="eastAsia"/>
              </w:rPr>
              <w:t>0</w:t>
            </w:r>
          </w:p>
        </w:tc>
      </w:tr>
      <w:tr w:rsidR="005E000F" w14:paraId="1C900A52" w14:textId="77777777">
        <w:tc>
          <w:tcPr>
            <w:tcW w:w="5056" w:type="dxa"/>
            <w:shd w:val="clear" w:color="auto" w:fill="auto"/>
            <w:vAlign w:val="center"/>
          </w:tcPr>
          <w:p w14:paraId="373508C9" w14:textId="77777777" w:rsidR="005E000F" w:rsidRDefault="00000000">
            <w:pPr>
              <w:spacing w:line="360" w:lineRule="exact"/>
              <w:rPr>
                <w:rFonts w:ascii="宋体" w:hAnsi="宋体"/>
                <w:bCs/>
                <w:sz w:val="22"/>
                <w:szCs w:val="22"/>
              </w:rPr>
            </w:pPr>
            <w:r>
              <w:rPr>
                <w:rFonts w:ascii="宋体" w:hAnsi="宋体"/>
                <w:bCs/>
                <w:sz w:val="22"/>
                <w:szCs w:val="22"/>
              </w:rPr>
              <w:t>机车车辆</w:t>
            </w:r>
          </w:p>
        </w:tc>
        <w:tc>
          <w:tcPr>
            <w:tcW w:w="2134" w:type="dxa"/>
            <w:shd w:val="clear" w:color="auto" w:fill="auto"/>
            <w:vAlign w:val="center"/>
          </w:tcPr>
          <w:p w14:paraId="089ECFEE" w14:textId="77777777" w:rsidR="005E000F" w:rsidRDefault="00000000">
            <w:pPr>
              <w:jc w:val="right"/>
            </w:pPr>
            <w:r>
              <w:t xml:space="preserve"> 16,878 </w:t>
            </w:r>
          </w:p>
        </w:tc>
        <w:tc>
          <w:tcPr>
            <w:tcW w:w="1868" w:type="dxa"/>
            <w:vAlign w:val="center"/>
          </w:tcPr>
          <w:p w14:paraId="4F9B86D2" w14:textId="77777777" w:rsidR="005E000F" w:rsidRDefault="00000000">
            <w:pPr>
              <w:jc w:val="right"/>
            </w:pPr>
            <w:r>
              <w:rPr>
                <w:rFonts w:hint="eastAsia"/>
              </w:rPr>
              <w:t>0</w:t>
            </w:r>
          </w:p>
        </w:tc>
      </w:tr>
      <w:tr w:rsidR="005E000F" w14:paraId="14041AD3" w14:textId="77777777">
        <w:tc>
          <w:tcPr>
            <w:tcW w:w="5056" w:type="dxa"/>
            <w:shd w:val="clear" w:color="auto" w:fill="auto"/>
            <w:vAlign w:val="center"/>
          </w:tcPr>
          <w:p w14:paraId="5CE8B212" w14:textId="77777777" w:rsidR="005E000F" w:rsidRDefault="00000000">
            <w:pPr>
              <w:spacing w:line="360" w:lineRule="exact"/>
              <w:rPr>
                <w:rFonts w:ascii="宋体" w:hAnsi="宋体"/>
                <w:bCs/>
                <w:sz w:val="22"/>
                <w:szCs w:val="22"/>
              </w:rPr>
            </w:pPr>
            <w:r>
              <w:rPr>
                <w:rFonts w:ascii="宋体" w:hAnsi="宋体"/>
                <w:bCs/>
                <w:sz w:val="22"/>
                <w:szCs w:val="22"/>
              </w:rPr>
              <w:t>路基、桥梁、隧道、道口、涵、轨道、道岔和其他</w:t>
            </w:r>
            <w:r>
              <w:rPr>
                <w:rFonts w:ascii="宋体" w:hAnsi="宋体"/>
                <w:bCs/>
                <w:sz w:val="22"/>
                <w:szCs w:val="22"/>
              </w:rPr>
              <w:lastRenderedPageBreak/>
              <w:t>线路资产</w:t>
            </w:r>
          </w:p>
        </w:tc>
        <w:tc>
          <w:tcPr>
            <w:tcW w:w="2134" w:type="dxa"/>
            <w:shd w:val="clear" w:color="auto" w:fill="auto"/>
            <w:vAlign w:val="center"/>
          </w:tcPr>
          <w:p w14:paraId="660444EA" w14:textId="77777777" w:rsidR="005E000F" w:rsidRDefault="00000000">
            <w:pPr>
              <w:jc w:val="right"/>
            </w:pPr>
            <w:r>
              <w:lastRenderedPageBreak/>
              <w:t xml:space="preserve"> 326 </w:t>
            </w:r>
          </w:p>
        </w:tc>
        <w:tc>
          <w:tcPr>
            <w:tcW w:w="1868" w:type="dxa"/>
            <w:vAlign w:val="center"/>
          </w:tcPr>
          <w:p w14:paraId="4CD49FD2" w14:textId="77777777" w:rsidR="005E000F" w:rsidRDefault="00000000">
            <w:pPr>
              <w:jc w:val="right"/>
            </w:pPr>
            <w:r>
              <w:rPr>
                <w:rFonts w:hint="eastAsia"/>
              </w:rPr>
              <w:t>0</w:t>
            </w:r>
          </w:p>
        </w:tc>
      </w:tr>
      <w:tr w:rsidR="005E000F" w14:paraId="608CA58D" w14:textId="77777777">
        <w:tc>
          <w:tcPr>
            <w:tcW w:w="5056" w:type="dxa"/>
            <w:shd w:val="clear" w:color="auto" w:fill="auto"/>
            <w:vAlign w:val="center"/>
          </w:tcPr>
          <w:p w14:paraId="7C85DAD4" w14:textId="77777777" w:rsidR="005E000F" w:rsidRDefault="00000000">
            <w:pPr>
              <w:spacing w:line="360" w:lineRule="exact"/>
              <w:rPr>
                <w:rFonts w:ascii="宋体" w:hAnsi="宋体"/>
                <w:bCs/>
                <w:sz w:val="22"/>
                <w:szCs w:val="22"/>
              </w:rPr>
            </w:pPr>
            <w:r>
              <w:rPr>
                <w:rFonts w:ascii="宋体" w:hAnsi="宋体"/>
                <w:bCs/>
                <w:sz w:val="22"/>
                <w:szCs w:val="22"/>
              </w:rPr>
              <w:t>通信信号设备</w:t>
            </w:r>
          </w:p>
        </w:tc>
        <w:tc>
          <w:tcPr>
            <w:tcW w:w="2134" w:type="dxa"/>
            <w:shd w:val="clear" w:color="auto" w:fill="auto"/>
            <w:vAlign w:val="center"/>
          </w:tcPr>
          <w:p w14:paraId="3628F07A" w14:textId="77777777" w:rsidR="005E000F" w:rsidRDefault="00000000">
            <w:pPr>
              <w:jc w:val="right"/>
            </w:pPr>
            <w:r>
              <w:t xml:space="preserve"> 44,056 </w:t>
            </w:r>
          </w:p>
        </w:tc>
        <w:tc>
          <w:tcPr>
            <w:tcW w:w="1868" w:type="dxa"/>
            <w:vAlign w:val="center"/>
          </w:tcPr>
          <w:p w14:paraId="5B9E3CBA" w14:textId="77777777" w:rsidR="005E000F" w:rsidRDefault="00000000">
            <w:pPr>
              <w:jc w:val="right"/>
            </w:pPr>
            <w:r>
              <w:rPr>
                <w:rFonts w:hint="eastAsia"/>
              </w:rPr>
              <w:t>0</w:t>
            </w:r>
          </w:p>
        </w:tc>
      </w:tr>
      <w:tr w:rsidR="005E000F" w14:paraId="51E361B8" w14:textId="77777777">
        <w:tc>
          <w:tcPr>
            <w:tcW w:w="5056" w:type="dxa"/>
            <w:shd w:val="clear" w:color="auto" w:fill="auto"/>
            <w:vAlign w:val="center"/>
          </w:tcPr>
          <w:p w14:paraId="0EB80757" w14:textId="77777777" w:rsidR="005E000F" w:rsidRDefault="00000000">
            <w:pPr>
              <w:spacing w:line="360" w:lineRule="exact"/>
              <w:rPr>
                <w:rFonts w:ascii="宋体" w:hAnsi="宋体"/>
                <w:bCs/>
                <w:sz w:val="22"/>
                <w:szCs w:val="22"/>
              </w:rPr>
            </w:pPr>
            <w:r>
              <w:rPr>
                <w:rFonts w:ascii="宋体" w:hAnsi="宋体"/>
                <w:bCs/>
                <w:sz w:val="22"/>
                <w:szCs w:val="22"/>
              </w:rPr>
              <w:t>机械动力设备</w:t>
            </w:r>
          </w:p>
        </w:tc>
        <w:tc>
          <w:tcPr>
            <w:tcW w:w="2134" w:type="dxa"/>
            <w:shd w:val="clear" w:color="auto" w:fill="auto"/>
            <w:vAlign w:val="center"/>
          </w:tcPr>
          <w:p w14:paraId="44FE4469" w14:textId="77777777" w:rsidR="005E000F" w:rsidRDefault="00000000">
            <w:pPr>
              <w:jc w:val="right"/>
            </w:pPr>
            <w:r>
              <w:t xml:space="preserve"> 3,819 </w:t>
            </w:r>
          </w:p>
        </w:tc>
        <w:tc>
          <w:tcPr>
            <w:tcW w:w="1868" w:type="dxa"/>
            <w:vAlign w:val="center"/>
          </w:tcPr>
          <w:p w14:paraId="699345A3" w14:textId="77777777" w:rsidR="005E000F" w:rsidRDefault="00000000">
            <w:pPr>
              <w:jc w:val="right"/>
            </w:pPr>
            <w:r>
              <w:rPr>
                <w:rFonts w:hint="eastAsia"/>
              </w:rPr>
              <w:t>0</w:t>
            </w:r>
          </w:p>
        </w:tc>
      </w:tr>
      <w:tr w:rsidR="005E000F" w14:paraId="23295ABB" w14:textId="77777777">
        <w:tc>
          <w:tcPr>
            <w:tcW w:w="5056" w:type="dxa"/>
            <w:shd w:val="clear" w:color="auto" w:fill="auto"/>
            <w:vAlign w:val="center"/>
          </w:tcPr>
          <w:p w14:paraId="1B28B214" w14:textId="77777777" w:rsidR="005E000F" w:rsidRDefault="00000000">
            <w:pPr>
              <w:spacing w:line="360" w:lineRule="exact"/>
              <w:rPr>
                <w:rFonts w:ascii="宋体" w:hAnsi="宋体"/>
                <w:bCs/>
                <w:sz w:val="22"/>
                <w:szCs w:val="22"/>
              </w:rPr>
            </w:pPr>
            <w:r>
              <w:rPr>
                <w:rFonts w:ascii="宋体" w:hAnsi="宋体"/>
                <w:bCs/>
                <w:sz w:val="22"/>
                <w:szCs w:val="22"/>
              </w:rPr>
              <w:t>仪器仪表及信息技术设备</w:t>
            </w:r>
          </w:p>
        </w:tc>
        <w:tc>
          <w:tcPr>
            <w:tcW w:w="2134" w:type="dxa"/>
            <w:shd w:val="clear" w:color="auto" w:fill="auto"/>
            <w:vAlign w:val="center"/>
          </w:tcPr>
          <w:p w14:paraId="034461C4" w14:textId="77777777" w:rsidR="005E000F" w:rsidRDefault="00000000">
            <w:pPr>
              <w:jc w:val="right"/>
            </w:pPr>
            <w:r>
              <w:t xml:space="preserve"> 135,788 </w:t>
            </w:r>
          </w:p>
        </w:tc>
        <w:tc>
          <w:tcPr>
            <w:tcW w:w="1868" w:type="dxa"/>
            <w:vAlign w:val="center"/>
          </w:tcPr>
          <w:p w14:paraId="71674E07" w14:textId="77777777" w:rsidR="005E000F" w:rsidRDefault="00000000">
            <w:pPr>
              <w:jc w:val="right"/>
            </w:pPr>
            <w:r>
              <w:rPr>
                <w:rFonts w:hint="eastAsia"/>
              </w:rPr>
              <w:t>0</w:t>
            </w:r>
          </w:p>
        </w:tc>
      </w:tr>
      <w:tr w:rsidR="005E000F" w14:paraId="4DCF3F9A" w14:textId="77777777">
        <w:tc>
          <w:tcPr>
            <w:tcW w:w="5056" w:type="dxa"/>
            <w:vAlign w:val="center"/>
          </w:tcPr>
          <w:p w14:paraId="048A8FFA" w14:textId="77777777" w:rsidR="005E000F" w:rsidRDefault="00000000">
            <w:pPr>
              <w:jc w:val="center"/>
            </w:pPr>
            <w:r>
              <w:rPr>
                <w:rFonts w:hint="eastAsia"/>
              </w:rPr>
              <w:t>合计</w:t>
            </w:r>
          </w:p>
        </w:tc>
        <w:tc>
          <w:tcPr>
            <w:tcW w:w="2134" w:type="dxa"/>
            <w:vAlign w:val="center"/>
          </w:tcPr>
          <w:p w14:paraId="52C22DB4" w14:textId="77777777" w:rsidR="005E000F" w:rsidRDefault="00000000">
            <w:pPr>
              <w:jc w:val="right"/>
            </w:pPr>
            <w:r>
              <w:t xml:space="preserve"> 1,308,180 </w:t>
            </w:r>
          </w:p>
        </w:tc>
        <w:tc>
          <w:tcPr>
            <w:tcW w:w="1868" w:type="dxa"/>
            <w:vAlign w:val="center"/>
          </w:tcPr>
          <w:p w14:paraId="7E6041F5" w14:textId="77777777" w:rsidR="005E000F" w:rsidRDefault="00000000">
            <w:pPr>
              <w:jc w:val="right"/>
            </w:pPr>
            <w:r>
              <w:rPr>
                <w:rFonts w:hint="eastAsia"/>
              </w:rPr>
              <w:t>0</w:t>
            </w:r>
          </w:p>
        </w:tc>
      </w:tr>
    </w:tbl>
    <w:p w14:paraId="22C7CA7E" w14:textId="77777777" w:rsidR="005E000F" w:rsidRDefault="00000000">
      <w:r>
        <w:rPr>
          <w:rFonts w:hint="eastAsia"/>
        </w:rPr>
        <w:t>其他说明：</w:t>
      </w:r>
    </w:p>
    <w:sdt>
      <w:sdtPr>
        <w:rPr>
          <w:rFonts w:hint="eastAsia"/>
        </w:rPr>
        <w:alias w:val="固定资产清理的说明"/>
        <w:tag w:val="_GBC_e89c49a1ebd443eca7b8c08e14d56fca"/>
        <w:id w:val="-218740924"/>
        <w:placeholder>
          <w:docPart w:val="688899FF1A4340F0A50847ECC4826486"/>
        </w:placeholder>
      </w:sdtPr>
      <w:sdtContent>
        <w:p w14:paraId="65B00B8E" w14:textId="77777777" w:rsidR="005E000F" w:rsidRDefault="00000000">
          <w:r>
            <w:rPr>
              <w:rFonts w:hint="eastAsia"/>
            </w:rPr>
            <w:t>无</w:t>
          </w:r>
        </w:p>
      </w:sdtContent>
    </w:sdt>
    <w:p w14:paraId="2DB820E0" w14:textId="77777777" w:rsidR="005E000F" w:rsidRDefault="005E000F"/>
    <w:p w14:paraId="0BD2067F" w14:textId="77777777" w:rsidR="005E000F" w:rsidRDefault="005E000F">
      <w:pPr>
        <w:sectPr w:rsidR="005E000F">
          <w:pgSz w:w="11906" w:h="16838"/>
          <w:pgMar w:top="1440" w:right="1797" w:bottom="1525" w:left="1276" w:header="856" w:footer="992" w:gutter="0"/>
          <w:cols w:space="425"/>
          <w:docGrid w:linePitch="312"/>
        </w:sectPr>
      </w:pPr>
    </w:p>
    <w:p w14:paraId="134FF6CE" w14:textId="77777777" w:rsidR="005E000F" w:rsidRDefault="005E000F"/>
    <w:p w14:paraId="7DBBE6F1"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在建工程</w:t>
      </w:r>
    </w:p>
    <w:p w14:paraId="2C97AEE7" w14:textId="77777777" w:rsidR="005E000F" w:rsidRDefault="00000000">
      <w:pPr>
        <w:pStyle w:val="4"/>
        <w:rPr>
          <w:rFonts w:ascii="宋体" w:hAnsi="宋体"/>
          <w:szCs w:val="21"/>
        </w:rPr>
      </w:pPr>
      <w:bookmarkStart w:id="340" w:name="_Hlk532914352"/>
      <w:r>
        <w:rPr>
          <w:rFonts w:hint="eastAsia"/>
        </w:rPr>
        <w:t>项目列示</w:t>
      </w:r>
    </w:p>
    <w:sdt>
      <w:sdtPr>
        <w:alias w:val="是否适用：在建工程分类列示[双击切换]"/>
        <w:tag w:val="_GBC_c1e2db0ea96a470497d3e7b3545f11ff"/>
        <w:id w:val="1331565699"/>
        <w:placeholder>
          <w:docPart w:val="GBC22222222222222222222222222222"/>
        </w:placeholder>
      </w:sdtPr>
      <w:sdtContent>
        <w:p w14:paraId="521D976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4723B0" w14:textId="77777777" w:rsidR="005E000F" w:rsidRDefault="005E000F"/>
    <w:p w14:paraId="4830F0C7" w14:textId="77777777" w:rsidR="005E000F" w:rsidRDefault="00000000">
      <w:bookmarkStart w:id="341" w:name="_Hlk532915382"/>
      <w:bookmarkEnd w:id="340"/>
      <w:r>
        <w:rPr>
          <w:rFonts w:hint="eastAsia"/>
        </w:rPr>
        <w:t>其他说明：</w:t>
      </w:r>
    </w:p>
    <w:sdt>
      <w:sdtPr>
        <w:alias w:val="是否适用：在建工程分类列示其他说明[双击切换]"/>
        <w:tag w:val="_GBC_97da24841dd24220bc5206311fc28039"/>
        <w:id w:val="1882597497"/>
        <w:placeholder>
          <w:docPart w:val="GBC22222222222222222222222222222"/>
        </w:placeholder>
      </w:sdtPr>
      <w:sdtContent>
        <w:p w14:paraId="1891D3F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41"/>
    <w:p w14:paraId="2D7D841F" w14:textId="77777777" w:rsidR="005E000F" w:rsidRDefault="005E000F"/>
    <w:p w14:paraId="4342677D" w14:textId="77777777" w:rsidR="005E000F" w:rsidRDefault="00000000">
      <w:pPr>
        <w:pStyle w:val="4"/>
        <w:ind w:left="360" w:hanging="360"/>
      </w:pPr>
      <w:r>
        <w:rPr>
          <w:rFonts w:hint="eastAsia"/>
        </w:rPr>
        <w:t>在建工程</w:t>
      </w:r>
    </w:p>
    <w:p w14:paraId="6588F229" w14:textId="77777777" w:rsidR="005E000F" w:rsidRDefault="00000000">
      <w:pPr>
        <w:pStyle w:val="5"/>
        <w:numPr>
          <w:ilvl w:val="0"/>
          <w:numId w:val="82"/>
        </w:numPr>
        <w:ind w:leftChars="0"/>
      </w:pPr>
      <w:r>
        <w:rPr>
          <w:rFonts w:hint="eastAsia"/>
        </w:rPr>
        <w:t>在建工程情况</w:t>
      </w:r>
    </w:p>
    <w:sdt>
      <w:sdtPr>
        <w:alias w:val="是否适用：在建工程情况[双击切换]"/>
        <w:tag w:val="_GBC_3d1e0f4f19d8472c9f5250b0ba025185"/>
        <w:id w:val="-1948837947"/>
        <w:placeholder>
          <w:docPart w:val="GBC22222222222222222222222222222"/>
        </w:placeholder>
      </w:sdtPr>
      <w:sdtContent>
        <w:p w14:paraId="51BF013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79F3BAE" w14:textId="77777777" w:rsidR="005E000F" w:rsidRDefault="00000000">
      <w:pPr>
        <w:jc w:val="right"/>
      </w:pPr>
      <w:r>
        <w:rPr>
          <w:rFonts w:hint="eastAsia"/>
        </w:rPr>
        <w:t>单位：</w:t>
      </w:r>
      <w:sdt>
        <w:sdtPr>
          <w:rPr>
            <w:rFonts w:hint="eastAsia"/>
          </w:rPr>
          <w:alias w:val="单位：财务附注：在建工程"/>
          <w:tag w:val="_GBC_c20f70bc9d1e4476bd65c1988111664f"/>
          <w:id w:val="75331697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在建工程"/>
          <w:tag w:val="_GBC_8057969f154445809d2bd47ba3a4ee1d"/>
          <w:id w:val="-10123691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1863"/>
        <w:gridCol w:w="1863"/>
        <w:gridCol w:w="1843"/>
        <w:gridCol w:w="1837"/>
        <w:gridCol w:w="1863"/>
        <w:gridCol w:w="1888"/>
      </w:tblGrid>
      <w:tr w:rsidR="005E000F" w14:paraId="246AF19C" w14:textId="77777777">
        <w:trPr>
          <w:cantSplit/>
        </w:trPr>
        <w:sdt>
          <w:sdtPr>
            <w:tag w:val="_PLD_64c6d788b0564cf39dd83135bd94fa33"/>
            <w:id w:val="27308368"/>
          </w:sdtPr>
          <w:sdtContent>
            <w:tc>
              <w:tcPr>
                <w:tcW w:w="1040" w:type="pct"/>
                <w:vMerge w:val="restart"/>
                <w:vAlign w:val="center"/>
              </w:tcPr>
              <w:p w14:paraId="22C156BB" w14:textId="77777777" w:rsidR="005E000F" w:rsidRDefault="00000000">
                <w:pPr>
                  <w:jc w:val="center"/>
                </w:pPr>
                <w:r>
                  <w:rPr>
                    <w:rFonts w:hint="eastAsia"/>
                  </w:rPr>
                  <w:t>项目</w:t>
                </w:r>
              </w:p>
            </w:tc>
          </w:sdtContent>
        </w:sdt>
        <w:sdt>
          <w:sdtPr>
            <w:tag w:val="_PLD_0f8aeba685c643d8bbe995cb6221e768"/>
            <w:id w:val="-1630237859"/>
          </w:sdtPr>
          <w:sdtContent>
            <w:tc>
              <w:tcPr>
                <w:tcW w:w="1976" w:type="pct"/>
                <w:gridSpan w:val="3"/>
                <w:vAlign w:val="center"/>
              </w:tcPr>
              <w:p w14:paraId="6E291993" w14:textId="77777777" w:rsidR="005E000F" w:rsidRDefault="00000000">
                <w:pPr>
                  <w:jc w:val="center"/>
                </w:pPr>
                <w:r>
                  <w:rPr>
                    <w:rFonts w:hint="eastAsia"/>
                  </w:rPr>
                  <w:t>期末余额</w:t>
                </w:r>
              </w:p>
            </w:tc>
          </w:sdtContent>
        </w:sdt>
        <w:sdt>
          <w:sdtPr>
            <w:tag w:val="_PLD_87e3270219434e9f8494ce0079d505fd"/>
            <w:id w:val="-1141582753"/>
          </w:sdtPr>
          <w:sdtContent>
            <w:tc>
              <w:tcPr>
                <w:tcW w:w="1983" w:type="pct"/>
                <w:gridSpan w:val="3"/>
                <w:vAlign w:val="center"/>
              </w:tcPr>
              <w:p w14:paraId="39C70DD8" w14:textId="77777777" w:rsidR="005E000F" w:rsidRDefault="00000000">
                <w:pPr>
                  <w:jc w:val="center"/>
                </w:pPr>
                <w:r>
                  <w:rPr>
                    <w:rFonts w:hint="eastAsia"/>
                  </w:rPr>
                  <w:t>期初余额</w:t>
                </w:r>
              </w:p>
            </w:tc>
          </w:sdtContent>
        </w:sdt>
      </w:tr>
      <w:tr w:rsidR="005E000F" w14:paraId="67D1C64C" w14:textId="77777777">
        <w:trPr>
          <w:cantSplit/>
        </w:trPr>
        <w:tc>
          <w:tcPr>
            <w:tcW w:w="1040" w:type="pct"/>
            <w:vMerge/>
            <w:vAlign w:val="center"/>
          </w:tcPr>
          <w:p w14:paraId="35C3B4DB" w14:textId="77777777" w:rsidR="005E000F" w:rsidRDefault="005E000F">
            <w:pPr>
              <w:tabs>
                <w:tab w:val="left" w:pos="420"/>
              </w:tabs>
              <w:ind w:left="420" w:hanging="420"/>
              <w:jc w:val="center"/>
            </w:pPr>
          </w:p>
        </w:tc>
        <w:sdt>
          <w:sdtPr>
            <w:tag w:val="_PLD_38fd2fe6396a41ae994e421a6ad8573a"/>
            <w:id w:val="-1439211206"/>
          </w:sdtPr>
          <w:sdtContent>
            <w:tc>
              <w:tcPr>
                <w:tcW w:w="661" w:type="pct"/>
                <w:vAlign w:val="center"/>
              </w:tcPr>
              <w:p w14:paraId="2FFDFE77" w14:textId="77777777" w:rsidR="005E000F" w:rsidRDefault="00000000">
                <w:pPr>
                  <w:tabs>
                    <w:tab w:val="left" w:pos="420"/>
                  </w:tabs>
                  <w:ind w:left="420" w:hanging="420"/>
                  <w:jc w:val="center"/>
                </w:pPr>
                <w:r>
                  <w:rPr>
                    <w:rFonts w:hint="eastAsia"/>
                  </w:rPr>
                  <w:t>账面余额</w:t>
                </w:r>
              </w:p>
            </w:tc>
          </w:sdtContent>
        </w:sdt>
        <w:sdt>
          <w:sdtPr>
            <w:tag w:val="_PLD_efb5f565ae7d43338576e6ba69d207b2"/>
            <w:id w:val="1177382659"/>
          </w:sdtPr>
          <w:sdtContent>
            <w:tc>
              <w:tcPr>
                <w:tcW w:w="661" w:type="pct"/>
                <w:vAlign w:val="center"/>
              </w:tcPr>
              <w:p w14:paraId="3E17EAF4" w14:textId="77777777" w:rsidR="005E000F" w:rsidRDefault="00000000">
                <w:pPr>
                  <w:pStyle w:val="TOC1"/>
                  <w:spacing w:line="240" w:lineRule="auto"/>
                  <w:jc w:val="center"/>
                </w:pPr>
                <w:r>
                  <w:rPr>
                    <w:rFonts w:hint="eastAsia"/>
                  </w:rPr>
                  <w:t>减值准备</w:t>
                </w:r>
              </w:p>
            </w:tc>
          </w:sdtContent>
        </w:sdt>
        <w:sdt>
          <w:sdtPr>
            <w:tag w:val="_PLD_74e2fff2faeb4e10b56ba612a8b3b4e8"/>
            <w:id w:val="818547326"/>
          </w:sdtPr>
          <w:sdtContent>
            <w:tc>
              <w:tcPr>
                <w:tcW w:w="654" w:type="pct"/>
                <w:vAlign w:val="center"/>
              </w:tcPr>
              <w:p w14:paraId="369D76AC" w14:textId="77777777" w:rsidR="005E000F" w:rsidRDefault="00000000">
                <w:pPr>
                  <w:pStyle w:val="TOC1"/>
                  <w:spacing w:line="240" w:lineRule="auto"/>
                  <w:jc w:val="center"/>
                </w:pPr>
                <w:r>
                  <w:rPr>
                    <w:rFonts w:hint="eastAsia"/>
                  </w:rPr>
                  <w:t>账面价值</w:t>
                </w:r>
              </w:p>
            </w:tc>
          </w:sdtContent>
        </w:sdt>
        <w:sdt>
          <w:sdtPr>
            <w:tag w:val="_PLD_320b5c6e751a40cb8f8d6cb989669680"/>
            <w:id w:val="-981073364"/>
          </w:sdtPr>
          <w:sdtContent>
            <w:tc>
              <w:tcPr>
                <w:tcW w:w="652" w:type="pct"/>
                <w:vAlign w:val="center"/>
              </w:tcPr>
              <w:p w14:paraId="51DE6AC4" w14:textId="77777777" w:rsidR="005E000F" w:rsidRDefault="00000000">
                <w:pPr>
                  <w:tabs>
                    <w:tab w:val="left" w:pos="420"/>
                  </w:tabs>
                  <w:ind w:left="420" w:hanging="420"/>
                  <w:jc w:val="center"/>
                </w:pPr>
                <w:r>
                  <w:rPr>
                    <w:rFonts w:hint="eastAsia"/>
                  </w:rPr>
                  <w:t>账面余额</w:t>
                </w:r>
              </w:p>
            </w:tc>
          </w:sdtContent>
        </w:sdt>
        <w:sdt>
          <w:sdtPr>
            <w:tag w:val="_PLD_887f924a18a14763b7d38b336e4eca91"/>
            <w:id w:val="-1960023542"/>
          </w:sdtPr>
          <w:sdtContent>
            <w:tc>
              <w:tcPr>
                <w:tcW w:w="661" w:type="pct"/>
                <w:vAlign w:val="center"/>
              </w:tcPr>
              <w:p w14:paraId="5CB2C994" w14:textId="77777777" w:rsidR="005E000F" w:rsidRDefault="00000000">
                <w:pPr>
                  <w:pStyle w:val="TOC1"/>
                  <w:spacing w:line="240" w:lineRule="auto"/>
                  <w:jc w:val="center"/>
                </w:pPr>
                <w:r>
                  <w:rPr>
                    <w:rFonts w:hint="eastAsia"/>
                  </w:rPr>
                  <w:t>减值准备</w:t>
                </w:r>
              </w:p>
            </w:tc>
          </w:sdtContent>
        </w:sdt>
        <w:sdt>
          <w:sdtPr>
            <w:tag w:val="_PLD_56d3163c60044998bf2f3d80a83c26a6"/>
            <w:id w:val="1827479602"/>
          </w:sdtPr>
          <w:sdtContent>
            <w:tc>
              <w:tcPr>
                <w:tcW w:w="670" w:type="pct"/>
                <w:vAlign w:val="center"/>
              </w:tcPr>
              <w:p w14:paraId="51EC0D94" w14:textId="77777777" w:rsidR="005E000F" w:rsidRDefault="00000000">
                <w:pPr>
                  <w:pStyle w:val="TOC1"/>
                  <w:spacing w:line="240" w:lineRule="auto"/>
                  <w:jc w:val="center"/>
                </w:pPr>
                <w:r>
                  <w:rPr>
                    <w:rFonts w:hint="eastAsia"/>
                  </w:rPr>
                  <w:t>账面价值</w:t>
                </w:r>
              </w:p>
            </w:tc>
          </w:sdtContent>
        </w:sdt>
      </w:tr>
      <w:tr w:rsidR="005E000F" w14:paraId="72552972" w14:textId="77777777">
        <w:trPr>
          <w:cantSplit/>
        </w:trPr>
        <w:tc>
          <w:tcPr>
            <w:tcW w:w="1040" w:type="pct"/>
          </w:tcPr>
          <w:p w14:paraId="75B14226" w14:textId="77777777" w:rsidR="005E000F" w:rsidRDefault="00000000">
            <w:pPr>
              <w:rPr>
                <w:rFonts w:cs="宋体"/>
                <w:bCs/>
              </w:rPr>
            </w:pPr>
            <w:r>
              <w:rPr>
                <w:rFonts w:cs="宋体" w:hint="eastAsia"/>
                <w:bCs/>
              </w:rPr>
              <w:t>太原南站综合调度楼及列车换乘中心建设工程</w:t>
            </w:r>
          </w:p>
        </w:tc>
        <w:tc>
          <w:tcPr>
            <w:tcW w:w="661" w:type="pct"/>
            <w:vAlign w:val="center"/>
          </w:tcPr>
          <w:p w14:paraId="2C43A544" w14:textId="77777777" w:rsidR="005E000F" w:rsidRDefault="00000000">
            <w:pPr>
              <w:ind w:right="73"/>
              <w:jc w:val="right"/>
            </w:pPr>
            <w:r>
              <w:rPr>
                <w:rFonts w:hint="eastAsia"/>
              </w:rPr>
              <w:t>0</w:t>
            </w:r>
          </w:p>
        </w:tc>
        <w:tc>
          <w:tcPr>
            <w:tcW w:w="661" w:type="pct"/>
            <w:vAlign w:val="center"/>
          </w:tcPr>
          <w:p w14:paraId="3A27E61D" w14:textId="77777777" w:rsidR="005E000F" w:rsidRDefault="00000000">
            <w:pPr>
              <w:ind w:right="73"/>
              <w:jc w:val="right"/>
            </w:pPr>
            <w:r>
              <w:rPr>
                <w:rFonts w:hint="eastAsia"/>
              </w:rPr>
              <w:t>0</w:t>
            </w:r>
          </w:p>
        </w:tc>
        <w:tc>
          <w:tcPr>
            <w:tcW w:w="654" w:type="pct"/>
            <w:vAlign w:val="center"/>
          </w:tcPr>
          <w:p w14:paraId="27B3BA28" w14:textId="77777777" w:rsidR="005E000F" w:rsidRDefault="00000000">
            <w:pPr>
              <w:ind w:right="73"/>
              <w:jc w:val="right"/>
            </w:pPr>
            <w:r>
              <w:rPr>
                <w:rFonts w:hint="eastAsia"/>
              </w:rPr>
              <w:t>0</w:t>
            </w:r>
          </w:p>
        </w:tc>
        <w:tc>
          <w:tcPr>
            <w:tcW w:w="652" w:type="pct"/>
            <w:vAlign w:val="center"/>
          </w:tcPr>
          <w:p w14:paraId="34F95F48" w14:textId="77777777" w:rsidR="005E000F" w:rsidRDefault="00000000">
            <w:pPr>
              <w:ind w:right="73"/>
              <w:jc w:val="right"/>
              <w:rPr>
                <w:lang w:eastAsia="en-US"/>
              </w:rPr>
            </w:pPr>
            <w:r>
              <w:t>578,221,725</w:t>
            </w:r>
          </w:p>
        </w:tc>
        <w:tc>
          <w:tcPr>
            <w:tcW w:w="661" w:type="pct"/>
            <w:vAlign w:val="center"/>
          </w:tcPr>
          <w:p w14:paraId="5DC92353" w14:textId="77777777" w:rsidR="005E000F" w:rsidRDefault="00000000">
            <w:pPr>
              <w:ind w:right="73"/>
              <w:jc w:val="right"/>
              <w:rPr>
                <w:lang w:eastAsia="en-US"/>
              </w:rPr>
            </w:pPr>
            <w:r>
              <w:t>0</w:t>
            </w:r>
          </w:p>
        </w:tc>
        <w:tc>
          <w:tcPr>
            <w:tcW w:w="670" w:type="pct"/>
            <w:vAlign w:val="center"/>
          </w:tcPr>
          <w:p w14:paraId="085CFCA6" w14:textId="77777777" w:rsidR="005E000F" w:rsidRDefault="00000000">
            <w:pPr>
              <w:ind w:right="73"/>
              <w:jc w:val="right"/>
              <w:rPr>
                <w:lang w:eastAsia="en-US"/>
              </w:rPr>
            </w:pPr>
            <w:r>
              <w:t>578,221,725</w:t>
            </w:r>
          </w:p>
        </w:tc>
      </w:tr>
      <w:tr w:rsidR="005E000F" w14:paraId="2ED10D6E" w14:textId="77777777">
        <w:trPr>
          <w:cantSplit/>
        </w:trPr>
        <w:tc>
          <w:tcPr>
            <w:tcW w:w="1040" w:type="pct"/>
          </w:tcPr>
          <w:p w14:paraId="4823DCA5" w14:textId="77777777" w:rsidR="005E000F" w:rsidRDefault="00000000">
            <w:pPr>
              <w:rPr>
                <w:rFonts w:cs="宋体"/>
                <w:bCs/>
              </w:rPr>
            </w:pPr>
            <w:r>
              <w:rPr>
                <w:rFonts w:cs="宋体" w:hint="eastAsia"/>
                <w:bCs/>
              </w:rPr>
              <w:t>曹妃</w:t>
            </w:r>
            <w:proofErr w:type="gramStart"/>
            <w:r>
              <w:rPr>
                <w:rFonts w:cs="宋体" w:hint="eastAsia"/>
                <w:bCs/>
              </w:rPr>
              <w:t>甸</w:t>
            </w:r>
            <w:proofErr w:type="gramEnd"/>
            <w:r>
              <w:rPr>
                <w:rFonts w:cs="宋体" w:hint="eastAsia"/>
                <w:bCs/>
              </w:rPr>
              <w:t>南站扩能改造工程</w:t>
            </w:r>
          </w:p>
        </w:tc>
        <w:tc>
          <w:tcPr>
            <w:tcW w:w="661" w:type="pct"/>
            <w:vAlign w:val="center"/>
          </w:tcPr>
          <w:p w14:paraId="22D484E1" w14:textId="77777777" w:rsidR="005E000F" w:rsidRDefault="00000000">
            <w:pPr>
              <w:ind w:right="73"/>
              <w:jc w:val="right"/>
            </w:pPr>
            <w:r>
              <w:rPr>
                <w:rFonts w:hint="eastAsia"/>
              </w:rPr>
              <w:t>0</w:t>
            </w:r>
          </w:p>
        </w:tc>
        <w:tc>
          <w:tcPr>
            <w:tcW w:w="661" w:type="pct"/>
            <w:vAlign w:val="center"/>
          </w:tcPr>
          <w:p w14:paraId="4DFA6489" w14:textId="77777777" w:rsidR="005E000F" w:rsidRDefault="00000000">
            <w:pPr>
              <w:ind w:right="73"/>
              <w:jc w:val="right"/>
            </w:pPr>
            <w:r>
              <w:rPr>
                <w:rFonts w:hint="eastAsia"/>
              </w:rPr>
              <w:t>0</w:t>
            </w:r>
          </w:p>
        </w:tc>
        <w:tc>
          <w:tcPr>
            <w:tcW w:w="654" w:type="pct"/>
            <w:vAlign w:val="center"/>
          </w:tcPr>
          <w:p w14:paraId="19EFA979" w14:textId="77777777" w:rsidR="005E000F" w:rsidRDefault="00000000">
            <w:pPr>
              <w:ind w:right="73"/>
              <w:jc w:val="right"/>
            </w:pPr>
            <w:r>
              <w:rPr>
                <w:rFonts w:hint="eastAsia"/>
              </w:rPr>
              <w:t>0</w:t>
            </w:r>
          </w:p>
        </w:tc>
        <w:tc>
          <w:tcPr>
            <w:tcW w:w="652" w:type="pct"/>
          </w:tcPr>
          <w:p w14:paraId="1A45484C" w14:textId="77777777" w:rsidR="005E000F" w:rsidRDefault="00000000">
            <w:pPr>
              <w:ind w:right="73"/>
              <w:jc w:val="right"/>
              <w:rPr>
                <w:lang w:eastAsia="en-US"/>
              </w:rPr>
            </w:pPr>
            <w:r>
              <w:t>274,168,563</w:t>
            </w:r>
          </w:p>
        </w:tc>
        <w:tc>
          <w:tcPr>
            <w:tcW w:w="661" w:type="pct"/>
          </w:tcPr>
          <w:p w14:paraId="6EF34E11" w14:textId="77777777" w:rsidR="005E000F" w:rsidRDefault="00000000">
            <w:pPr>
              <w:ind w:right="73"/>
              <w:jc w:val="right"/>
              <w:rPr>
                <w:lang w:eastAsia="en-US"/>
              </w:rPr>
            </w:pPr>
            <w:r>
              <w:t>0</w:t>
            </w:r>
          </w:p>
        </w:tc>
        <w:tc>
          <w:tcPr>
            <w:tcW w:w="670" w:type="pct"/>
          </w:tcPr>
          <w:p w14:paraId="0706E6CD" w14:textId="77777777" w:rsidR="005E000F" w:rsidRDefault="00000000">
            <w:pPr>
              <w:ind w:right="73"/>
              <w:jc w:val="right"/>
              <w:rPr>
                <w:lang w:eastAsia="en-US"/>
              </w:rPr>
            </w:pPr>
            <w:r>
              <w:t>274,168,563</w:t>
            </w:r>
          </w:p>
        </w:tc>
      </w:tr>
      <w:tr w:rsidR="005E000F" w14:paraId="433161AF" w14:textId="77777777">
        <w:trPr>
          <w:cantSplit/>
        </w:trPr>
        <w:tc>
          <w:tcPr>
            <w:tcW w:w="1040" w:type="pct"/>
          </w:tcPr>
          <w:p w14:paraId="24FD0F54" w14:textId="77777777" w:rsidR="005E000F" w:rsidRDefault="00000000">
            <w:pPr>
              <w:rPr>
                <w:rFonts w:cs="宋体"/>
                <w:bCs/>
                <w:lang w:eastAsia="en-US"/>
              </w:rPr>
            </w:pPr>
            <w:r>
              <w:rPr>
                <w:rFonts w:cs="宋体" w:hint="eastAsia"/>
                <w:bCs/>
              </w:rPr>
              <w:t>固定资产大修</w:t>
            </w:r>
          </w:p>
        </w:tc>
        <w:tc>
          <w:tcPr>
            <w:tcW w:w="661" w:type="pct"/>
            <w:vAlign w:val="center"/>
          </w:tcPr>
          <w:p w14:paraId="1B41BF3E" w14:textId="77777777" w:rsidR="005E000F" w:rsidRDefault="00000000">
            <w:pPr>
              <w:ind w:right="73"/>
              <w:jc w:val="right"/>
              <w:rPr>
                <w:lang w:val="en-GB" w:eastAsia="en-US"/>
              </w:rPr>
            </w:pPr>
            <w:r>
              <w:t>413,574,237</w:t>
            </w:r>
          </w:p>
        </w:tc>
        <w:tc>
          <w:tcPr>
            <w:tcW w:w="661" w:type="pct"/>
            <w:vAlign w:val="center"/>
          </w:tcPr>
          <w:p w14:paraId="44526A11" w14:textId="77777777" w:rsidR="005E000F" w:rsidRDefault="00000000">
            <w:pPr>
              <w:ind w:right="73"/>
              <w:jc w:val="right"/>
            </w:pPr>
            <w:r>
              <w:rPr>
                <w:rFonts w:hint="eastAsia"/>
              </w:rPr>
              <w:t>0</w:t>
            </w:r>
          </w:p>
        </w:tc>
        <w:tc>
          <w:tcPr>
            <w:tcW w:w="654" w:type="pct"/>
            <w:vAlign w:val="center"/>
          </w:tcPr>
          <w:p w14:paraId="28BBDF06" w14:textId="77777777" w:rsidR="005E000F" w:rsidRDefault="00000000">
            <w:pPr>
              <w:ind w:right="73"/>
              <w:jc w:val="right"/>
            </w:pPr>
            <w:r>
              <w:t>413,574,237</w:t>
            </w:r>
          </w:p>
        </w:tc>
        <w:tc>
          <w:tcPr>
            <w:tcW w:w="652" w:type="pct"/>
          </w:tcPr>
          <w:p w14:paraId="4A67C2A5" w14:textId="77777777" w:rsidR="005E000F" w:rsidRDefault="00000000">
            <w:pPr>
              <w:ind w:right="73"/>
              <w:jc w:val="right"/>
              <w:rPr>
                <w:lang w:eastAsia="en-US"/>
              </w:rPr>
            </w:pPr>
            <w:r>
              <w:t>705,760,803</w:t>
            </w:r>
          </w:p>
        </w:tc>
        <w:tc>
          <w:tcPr>
            <w:tcW w:w="661" w:type="pct"/>
          </w:tcPr>
          <w:p w14:paraId="09A30923" w14:textId="77777777" w:rsidR="005E000F" w:rsidRDefault="00000000">
            <w:pPr>
              <w:ind w:right="73"/>
              <w:jc w:val="right"/>
              <w:rPr>
                <w:lang w:eastAsia="en-US"/>
              </w:rPr>
            </w:pPr>
            <w:r>
              <w:t>0</w:t>
            </w:r>
          </w:p>
        </w:tc>
        <w:tc>
          <w:tcPr>
            <w:tcW w:w="670" w:type="pct"/>
          </w:tcPr>
          <w:p w14:paraId="4EA24B59" w14:textId="77777777" w:rsidR="005E000F" w:rsidRDefault="00000000">
            <w:pPr>
              <w:ind w:right="73"/>
              <w:jc w:val="right"/>
              <w:rPr>
                <w:lang w:eastAsia="en-US"/>
              </w:rPr>
            </w:pPr>
            <w:r>
              <w:t>705,760,803</w:t>
            </w:r>
          </w:p>
        </w:tc>
      </w:tr>
      <w:tr w:rsidR="005E000F" w14:paraId="3EE93B7D" w14:textId="77777777">
        <w:trPr>
          <w:cantSplit/>
        </w:trPr>
        <w:tc>
          <w:tcPr>
            <w:tcW w:w="1040" w:type="pct"/>
          </w:tcPr>
          <w:p w14:paraId="587D53EF" w14:textId="77777777" w:rsidR="005E000F" w:rsidRDefault="00000000">
            <w:pPr>
              <w:rPr>
                <w:rFonts w:cs="宋体"/>
                <w:bCs/>
                <w:lang w:eastAsia="en-US"/>
              </w:rPr>
            </w:pPr>
            <w:r>
              <w:rPr>
                <w:rFonts w:cs="宋体" w:hint="eastAsia"/>
                <w:bCs/>
              </w:rPr>
              <w:t>其他工程（注</w:t>
            </w:r>
            <w:r>
              <w:rPr>
                <w:rFonts w:cs="宋体" w:hint="eastAsia"/>
                <w:bCs/>
              </w:rPr>
              <w:t xml:space="preserve"> 1</w:t>
            </w:r>
            <w:r>
              <w:rPr>
                <w:rFonts w:cs="宋体" w:hint="eastAsia"/>
                <w:bCs/>
              </w:rPr>
              <w:t>）</w:t>
            </w:r>
          </w:p>
        </w:tc>
        <w:tc>
          <w:tcPr>
            <w:tcW w:w="661" w:type="pct"/>
            <w:vAlign w:val="center"/>
          </w:tcPr>
          <w:p w14:paraId="5B09DE1A" w14:textId="77777777" w:rsidR="005E000F" w:rsidRDefault="00000000">
            <w:pPr>
              <w:ind w:right="73"/>
              <w:jc w:val="right"/>
              <w:rPr>
                <w:lang w:val="en-GB" w:eastAsia="en-US"/>
              </w:rPr>
            </w:pPr>
            <w:r>
              <w:t>468,010,994</w:t>
            </w:r>
          </w:p>
        </w:tc>
        <w:tc>
          <w:tcPr>
            <w:tcW w:w="661" w:type="pct"/>
            <w:vAlign w:val="center"/>
          </w:tcPr>
          <w:p w14:paraId="249A62F7" w14:textId="77777777" w:rsidR="005E000F" w:rsidRDefault="00000000">
            <w:pPr>
              <w:ind w:right="73"/>
              <w:jc w:val="right"/>
            </w:pPr>
            <w:r>
              <w:rPr>
                <w:rFonts w:hint="eastAsia"/>
              </w:rPr>
              <w:t>0</w:t>
            </w:r>
          </w:p>
        </w:tc>
        <w:tc>
          <w:tcPr>
            <w:tcW w:w="654" w:type="pct"/>
            <w:vAlign w:val="center"/>
          </w:tcPr>
          <w:p w14:paraId="51D35733" w14:textId="77777777" w:rsidR="005E000F" w:rsidRDefault="00000000">
            <w:pPr>
              <w:ind w:right="73"/>
              <w:jc w:val="right"/>
            </w:pPr>
            <w:r>
              <w:t>468,010,994</w:t>
            </w:r>
          </w:p>
        </w:tc>
        <w:tc>
          <w:tcPr>
            <w:tcW w:w="652" w:type="pct"/>
          </w:tcPr>
          <w:p w14:paraId="33C52595" w14:textId="77777777" w:rsidR="005E000F" w:rsidRDefault="00000000">
            <w:pPr>
              <w:ind w:right="73"/>
              <w:jc w:val="right"/>
              <w:rPr>
                <w:lang w:eastAsia="en-US"/>
              </w:rPr>
            </w:pPr>
            <w:r>
              <w:t>402,574,488</w:t>
            </w:r>
          </w:p>
        </w:tc>
        <w:tc>
          <w:tcPr>
            <w:tcW w:w="661" w:type="pct"/>
          </w:tcPr>
          <w:p w14:paraId="2D3F87BE" w14:textId="77777777" w:rsidR="005E000F" w:rsidRDefault="00000000">
            <w:pPr>
              <w:ind w:right="73"/>
              <w:jc w:val="right"/>
              <w:rPr>
                <w:lang w:eastAsia="en-US"/>
              </w:rPr>
            </w:pPr>
            <w:r>
              <w:t>0</w:t>
            </w:r>
          </w:p>
        </w:tc>
        <w:tc>
          <w:tcPr>
            <w:tcW w:w="670" w:type="pct"/>
          </w:tcPr>
          <w:p w14:paraId="794749DA" w14:textId="77777777" w:rsidR="005E000F" w:rsidRDefault="00000000">
            <w:pPr>
              <w:ind w:right="73"/>
              <w:jc w:val="right"/>
              <w:rPr>
                <w:lang w:eastAsia="en-US"/>
              </w:rPr>
            </w:pPr>
            <w:r>
              <w:t>402,574,488</w:t>
            </w:r>
          </w:p>
        </w:tc>
      </w:tr>
      <w:tr w:rsidR="005E000F" w14:paraId="3C093577" w14:textId="77777777">
        <w:trPr>
          <w:cantSplit/>
        </w:trPr>
        <w:tc>
          <w:tcPr>
            <w:tcW w:w="1040" w:type="pct"/>
            <w:vAlign w:val="center"/>
          </w:tcPr>
          <w:p w14:paraId="149BF7AA" w14:textId="77777777" w:rsidR="005E000F" w:rsidRDefault="00000000">
            <w:pPr>
              <w:jc w:val="center"/>
            </w:pPr>
            <w:r>
              <w:rPr>
                <w:rFonts w:hint="eastAsia"/>
              </w:rPr>
              <w:t>合计</w:t>
            </w:r>
          </w:p>
        </w:tc>
        <w:tc>
          <w:tcPr>
            <w:tcW w:w="661" w:type="pct"/>
            <w:vAlign w:val="center"/>
          </w:tcPr>
          <w:p w14:paraId="3E78F2A6" w14:textId="77777777" w:rsidR="005E000F" w:rsidRDefault="00000000">
            <w:pPr>
              <w:ind w:right="73"/>
              <w:jc w:val="right"/>
              <w:rPr>
                <w:lang w:val="en-GB" w:eastAsia="en-US"/>
              </w:rPr>
            </w:pPr>
            <w:r>
              <w:t>881</w:t>
            </w:r>
            <w:r>
              <w:rPr>
                <w:rFonts w:hint="eastAsia"/>
              </w:rPr>
              <w:t>,</w:t>
            </w:r>
            <w:r>
              <w:t>585</w:t>
            </w:r>
            <w:r>
              <w:rPr>
                <w:rFonts w:hint="eastAsia"/>
              </w:rPr>
              <w:t>,</w:t>
            </w:r>
            <w:r>
              <w:t>231</w:t>
            </w:r>
          </w:p>
        </w:tc>
        <w:tc>
          <w:tcPr>
            <w:tcW w:w="661" w:type="pct"/>
            <w:vAlign w:val="center"/>
          </w:tcPr>
          <w:p w14:paraId="4101A57E" w14:textId="77777777" w:rsidR="005E000F" w:rsidRDefault="00000000">
            <w:pPr>
              <w:ind w:right="73"/>
              <w:jc w:val="right"/>
            </w:pPr>
            <w:r>
              <w:rPr>
                <w:rFonts w:hint="eastAsia"/>
              </w:rPr>
              <w:t>0</w:t>
            </w:r>
          </w:p>
        </w:tc>
        <w:tc>
          <w:tcPr>
            <w:tcW w:w="654" w:type="pct"/>
            <w:vAlign w:val="center"/>
          </w:tcPr>
          <w:p w14:paraId="7736AEC8" w14:textId="77777777" w:rsidR="005E000F" w:rsidRDefault="00000000">
            <w:pPr>
              <w:ind w:right="73"/>
              <w:jc w:val="right"/>
            </w:pPr>
            <w:r>
              <w:t>881</w:t>
            </w:r>
            <w:r>
              <w:rPr>
                <w:rFonts w:hint="eastAsia"/>
              </w:rPr>
              <w:t>,</w:t>
            </w:r>
            <w:r>
              <w:t>585</w:t>
            </w:r>
            <w:r>
              <w:rPr>
                <w:rFonts w:hint="eastAsia"/>
              </w:rPr>
              <w:t>,</w:t>
            </w:r>
            <w:r>
              <w:t>231</w:t>
            </w:r>
          </w:p>
        </w:tc>
        <w:tc>
          <w:tcPr>
            <w:tcW w:w="652" w:type="pct"/>
          </w:tcPr>
          <w:p w14:paraId="07DC30F6" w14:textId="77777777" w:rsidR="005E000F" w:rsidRDefault="00000000">
            <w:pPr>
              <w:ind w:right="73"/>
              <w:jc w:val="right"/>
              <w:rPr>
                <w:lang w:eastAsia="en-US"/>
              </w:rPr>
            </w:pPr>
            <w:r>
              <w:t>1,960,725,579</w:t>
            </w:r>
          </w:p>
        </w:tc>
        <w:tc>
          <w:tcPr>
            <w:tcW w:w="661" w:type="pct"/>
          </w:tcPr>
          <w:p w14:paraId="254EFC0D" w14:textId="77777777" w:rsidR="005E000F" w:rsidRDefault="00000000">
            <w:pPr>
              <w:ind w:right="73"/>
              <w:jc w:val="right"/>
              <w:rPr>
                <w:lang w:eastAsia="en-US"/>
              </w:rPr>
            </w:pPr>
            <w:r>
              <w:t>0</w:t>
            </w:r>
          </w:p>
        </w:tc>
        <w:tc>
          <w:tcPr>
            <w:tcW w:w="670" w:type="pct"/>
          </w:tcPr>
          <w:p w14:paraId="6228386A" w14:textId="77777777" w:rsidR="005E000F" w:rsidRDefault="00000000">
            <w:pPr>
              <w:ind w:right="73"/>
              <w:jc w:val="right"/>
              <w:rPr>
                <w:lang w:eastAsia="en-US"/>
              </w:rPr>
            </w:pPr>
            <w:r>
              <w:t>1,960,725,579</w:t>
            </w:r>
          </w:p>
        </w:tc>
      </w:tr>
    </w:tbl>
    <w:p w14:paraId="4854F2D7" w14:textId="77777777" w:rsidR="005E000F" w:rsidRDefault="005E000F"/>
    <w:p w14:paraId="7DF50F6C" w14:textId="77777777" w:rsidR="005E000F" w:rsidRDefault="00000000">
      <w:pPr>
        <w:pStyle w:val="5"/>
        <w:numPr>
          <w:ilvl w:val="0"/>
          <w:numId w:val="82"/>
        </w:numPr>
        <w:ind w:leftChars="0"/>
        <w:rPr>
          <w:rFonts w:ascii="宋体" w:hAnsi="宋体" w:cs="宋体"/>
          <w:kern w:val="0"/>
          <w:szCs w:val="24"/>
        </w:rPr>
      </w:pPr>
      <w:r>
        <w:rPr>
          <w:rFonts w:ascii="宋体" w:hAnsi="宋体" w:cs="宋体" w:hint="eastAsia"/>
          <w:kern w:val="0"/>
          <w:szCs w:val="24"/>
        </w:rPr>
        <w:t>重要在建工程项目本期变动情况</w:t>
      </w:r>
    </w:p>
    <w:sdt>
      <w:sdtPr>
        <w:alias w:val="是否适用：重要在建工程项目本期变动情况[双击切换]"/>
        <w:tag w:val="_GBC_964f4529e8234c358a8541e8c4754ec8"/>
        <w:id w:val="1869409096"/>
        <w:placeholder>
          <w:docPart w:val="GBC22222222222222222222222222222"/>
        </w:placeholder>
      </w:sdtPr>
      <w:sdtContent>
        <w:p w14:paraId="3D5DA2F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C41939A" w14:textId="77777777" w:rsidR="005E000F" w:rsidRDefault="00000000">
      <w:pPr>
        <w:jc w:val="right"/>
      </w:pPr>
      <w:r>
        <w:rPr>
          <w:rFonts w:hint="eastAsia"/>
        </w:rPr>
        <w:t>单位：</w:t>
      </w:r>
      <w:sdt>
        <w:sdtPr>
          <w:rPr>
            <w:rFonts w:hint="eastAsia"/>
          </w:rPr>
          <w:alias w:val="单位：财务附注：在建工程项目变动情况"/>
          <w:tag w:val="_GBC_9057dff5be8544c398fdbd55cff334f7"/>
          <w:id w:val="-169021114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在建工程项目变动情况"/>
          <w:tag w:val="_GBC_110e0fe0dd4f471bae83a62e58e88d74"/>
          <w:id w:val="-97830231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216"/>
        <w:gridCol w:w="1366"/>
        <w:gridCol w:w="1466"/>
        <w:gridCol w:w="1466"/>
        <w:gridCol w:w="866"/>
        <w:gridCol w:w="1216"/>
        <w:gridCol w:w="884"/>
        <w:gridCol w:w="911"/>
        <w:gridCol w:w="911"/>
        <w:gridCol w:w="894"/>
        <w:gridCol w:w="925"/>
        <w:gridCol w:w="900"/>
      </w:tblGrid>
      <w:tr w:rsidR="005E000F" w14:paraId="0E15F152" w14:textId="77777777">
        <w:trPr>
          <w:cantSplit/>
        </w:trPr>
        <w:sdt>
          <w:sdtPr>
            <w:rPr>
              <w:sz w:val="20"/>
              <w:szCs w:val="20"/>
            </w:rPr>
            <w:tag w:val="_PLD_0072ffbc51294cefbe17dde844d0e5ed"/>
            <w:id w:val="1053736683"/>
          </w:sdtPr>
          <w:sdtContent>
            <w:tc>
              <w:tcPr>
                <w:tcW w:w="427" w:type="pct"/>
                <w:vAlign w:val="center"/>
              </w:tcPr>
              <w:p w14:paraId="0AC86BCA" w14:textId="77777777" w:rsidR="005E000F" w:rsidRDefault="00000000">
                <w:pPr>
                  <w:jc w:val="center"/>
                  <w:rPr>
                    <w:sz w:val="20"/>
                    <w:szCs w:val="20"/>
                  </w:rPr>
                </w:pPr>
                <w:r>
                  <w:rPr>
                    <w:rFonts w:hint="eastAsia"/>
                    <w:sz w:val="20"/>
                    <w:szCs w:val="20"/>
                  </w:rPr>
                  <w:t>项目名称</w:t>
                </w:r>
              </w:p>
            </w:tc>
          </w:sdtContent>
        </w:sdt>
        <w:sdt>
          <w:sdtPr>
            <w:rPr>
              <w:sz w:val="20"/>
              <w:szCs w:val="20"/>
            </w:rPr>
            <w:tag w:val="_PLD_6349ea6a696f4d27b00b071275a38ea5"/>
            <w:id w:val="-1742167149"/>
          </w:sdtPr>
          <w:sdtContent>
            <w:tc>
              <w:tcPr>
                <w:tcW w:w="347" w:type="pct"/>
                <w:vAlign w:val="center"/>
              </w:tcPr>
              <w:p w14:paraId="45DBECFD" w14:textId="77777777" w:rsidR="005E000F" w:rsidRDefault="00000000">
                <w:pPr>
                  <w:jc w:val="center"/>
                  <w:rPr>
                    <w:sz w:val="20"/>
                    <w:szCs w:val="20"/>
                  </w:rPr>
                </w:pPr>
                <w:r>
                  <w:rPr>
                    <w:rFonts w:hint="eastAsia"/>
                    <w:sz w:val="20"/>
                    <w:szCs w:val="20"/>
                  </w:rPr>
                  <w:t>预算数</w:t>
                </w:r>
              </w:p>
            </w:tc>
          </w:sdtContent>
        </w:sdt>
        <w:sdt>
          <w:sdtPr>
            <w:rPr>
              <w:sz w:val="20"/>
              <w:szCs w:val="20"/>
            </w:rPr>
            <w:tag w:val="_PLD_392420deb7e94f0a8026947a325da4f4"/>
            <w:id w:val="-1579820442"/>
          </w:sdtPr>
          <w:sdtContent>
            <w:tc>
              <w:tcPr>
                <w:tcW w:w="505" w:type="pct"/>
                <w:vAlign w:val="center"/>
              </w:tcPr>
              <w:p w14:paraId="211F8020" w14:textId="77777777" w:rsidR="005E000F" w:rsidRDefault="00000000">
                <w:pPr>
                  <w:jc w:val="center"/>
                  <w:rPr>
                    <w:sz w:val="20"/>
                    <w:szCs w:val="20"/>
                  </w:rPr>
                </w:pPr>
                <w:r>
                  <w:rPr>
                    <w:rFonts w:hint="eastAsia"/>
                    <w:sz w:val="20"/>
                    <w:szCs w:val="20"/>
                  </w:rPr>
                  <w:t>期初</w:t>
                </w:r>
              </w:p>
              <w:p w14:paraId="508319C6" w14:textId="77777777" w:rsidR="005E000F" w:rsidRDefault="00000000">
                <w:pPr>
                  <w:jc w:val="center"/>
                  <w:rPr>
                    <w:sz w:val="20"/>
                    <w:szCs w:val="20"/>
                  </w:rPr>
                </w:pPr>
                <w:r>
                  <w:rPr>
                    <w:rFonts w:hint="eastAsia"/>
                    <w:sz w:val="20"/>
                    <w:szCs w:val="20"/>
                  </w:rPr>
                  <w:t>余额</w:t>
                </w:r>
              </w:p>
            </w:tc>
          </w:sdtContent>
        </w:sdt>
        <w:sdt>
          <w:sdtPr>
            <w:rPr>
              <w:sz w:val="20"/>
              <w:szCs w:val="20"/>
            </w:rPr>
            <w:tag w:val="_PLD_de4faed3465b4da6b8ac35d7e677431c"/>
            <w:id w:val="-144907817"/>
          </w:sdtPr>
          <w:sdtContent>
            <w:tc>
              <w:tcPr>
                <w:tcW w:w="377" w:type="pct"/>
                <w:vAlign w:val="center"/>
              </w:tcPr>
              <w:p w14:paraId="5080AC14" w14:textId="77777777" w:rsidR="005E000F" w:rsidRDefault="00000000">
                <w:pPr>
                  <w:jc w:val="center"/>
                  <w:rPr>
                    <w:sz w:val="20"/>
                    <w:szCs w:val="20"/>
                  </w:rPr>
                </w:pPr>
                <w:r>
                  <w:rPr>
                    <w:rFonts w:hint="eastAsia"/>
                    <w:sz w:val="20"/>
                    <w:szCs w:val="20"/>
                  </w:rPr>
                  <w:t>本期增加金额</w:t>
                </w:r>
              </w:p>
            </w:tc>
          </w:sdtContent>
        </w:sdt>
        <w:sdt>
          <w:sdtPr>
            <w:rPr>
              <w:sz w:val="20"/>
              <w:szCs w:val="20"/>
            </w:rPr>
            <w:tag w:val="_PLD_51ce4224316b4f4b99a8fb0c8e4500a5"/>
            <w:id w:val="1445738550"/>
          </w:sdtPr>
          <w:sdtContent>
            <w:tc>
              <w:tcPr>
                <w:tcW w:w="372" w:type="pct"/>
                <w:vAlign w:val="center"/>
              </w:tcPr>
              <w:p w14:paraId="73564B5C" w14:textId="77777777" w:rsidR="005E000F" w:rsidRDefault="00000000">
                <w:pPr>
                  <w:jc w:val="center"/>
                  <w:rPr>
                    <w:sz w:val="20"/>
                    <w:szCs w:val="20"/>
                  </w:rPr>
                </w:pPr>
                <w:r>
                  <w:rPr>
                    <w:rFonts w:hint="eastAsia"/>
                    <w:sz w:val="20"/>
                    <w:szCs w:val="20"/>
                  </w:rPr>
                  <w:t>本期转入固定资产金额</w:t>
                </w:r>
              </w:p>
            </w:tc>
          </w:sdtContent>
        </w:sdt>
        <w:sdt>
          <w:sdtPr>
            <w:rPr>
              <w:sz w:val="20"/>
              <w:szCs w:val="20"/>
            </w:rPr>
            <w:tag w:val="_PLD_d80ffbe10b944f57a31723041ffbcbdf"/>
            <w:id w:val="-859197581"/>
          </w:sdtPr>
          <w:sdtContent>
            <w:tc>
              <w:tcPr>
                <w:tcW w:w="372" w:type="pct"/>
                <w:vAlign w:val="center"/>
              </w:tcPr>
              <w:p w14:paraId="50960F4B" w14:textId="77777777" w:rsidR="005E000F" w:rsidRDefault="00000000">
                <w:pPr>
                  <w:jc w:val="center"/>
                  <w:rPr>
                    <w:sz w:val="20"/>
                    <w:szCs w:val="20"/>
                  </w:rPr>
                </w:pPr>
                <w:r>
                  <w:rPr>
                    <w:rFonts w:hint="eastAsia"/>
                    <w:sz w:val="20"/>
                    <w:szCs w:val="20"/>
                  </w:rPr>
                  <w:t>本期其他减少金额</w:t>
                </w:r>
              </w:p>
            </w:tc>
          </w:sdtContent>
        </w:sdt>
        <w:sdt>
          <w:sdtPr>
            <w:rPr>
              <w:sz w:val="20"/>
              <w:szCs w:val="20"/>
            </w:rPr>
            <w:tag w:val="_PLD_c8b617c64ad64a03834695d9bc0b8d2f"/>
            <w:id w:val="720485692"/>
          </w:sdtPr>
          <w:sdtContent>
            <w:tc>
              <w:tcPr>
                <w:tcW w:w="365" w:type="pct"/>
                <w:vAlign w:val="center"/>
              </w:tcPr>
              <w:p w14:paraId="27D5884A" w14:textId="77777777" w:rsidR="005E000F" w:rsidRDefault="00000000">
                <w:pPr>
                  <w:jc w:val="center"/>
                  <w:rPr>
                    <w:sz w:val="20"/>
                    <w:szCs w:val="20"/>
                  </w:rPr>
                </w:pPr>
                <w:r>
                  <w:rPr>
                    <w:rFonts w:hint="eastAsia"/>
                    <w:sz w:val="20"/>
                    <w:szCs w:val="20"/>
                  </w:rPr>
                  <w:t>期末</w:t>
                </w:r>
              </w:p>
              <w:p w14:paraId="45DA42C5" w14:textId="77777777" w:rsidR="005E000F" w:rsidRDefault="00000000">
                <w:pPr>
                  <w:jc w:val="center"/>
                  <w:rPr>
                    <w:sz w:val="20"/>
                    <w:szCs w:val="20"/>
                  </w:rPr>
                </w:pPr>
                <w:r>
                  <w:rPr>
                    <w:rFonts w:hint="eastAsia"/>
                    <w:sz w:val="20"/>
                    <w:szCs w:val="20"/>
                  </w:rPr>
                  <w:t>余额</w:t>
                </w:r>
              </w:p>
            </w:tc>
          </w:sdtContent>
        </w:sdt>
        <w:sdt>
          <w:sdtPr>
            <w:rPr>
              <w:sz w:val="20"/>
              <w:szCs w:val="20"/>
            </w:rPr>
            <w:tag w:val="_PLD_738551d97ef741f093f852402c423e47"/>
            <w:id w:val="116734636"/>
          </w:sdtPr>
          <w:sdtContent>
            <w:tc>
              <w:tcPr>
                <w:tcW w:w="374" w:type="pct"/>
                <w:vAlign w:val="center"/>
              </w:tcPr>
              <w:p w14:paraId="614048C5" w14:textId="77777777" w:rsidR="005E000F" w:rsidRDefault="00000000">
                <w:pPr>
                  <w:jc w:val="center"/>
                  <w:rPr>
                    <w:sz w:val="20"/>
                    <w:szCs w:val="20"/>
                  </w:rPr>
                </w:pPr>
                <w:r>
                  <w:rPr>
                    <w:rFonts w:hint="eastAsia"/>
                    <w:sz w:val="20"/>
                    <w:szCs w:val="20"/>
                  </w:rPr>
                  <w:t>工程累计投入占预算比例（</w:t>
                </w:r>
                <w:r>
                  <w:rPr>
                    <w:rFonts w:hint="eastAsia"/>
                    <w:sz w:val="20"/>
                    <w:szCs w:val="20"/>
                  </w:rPr>
                  <w:t>%</w:t>
                </w:r>
                <w:r>
                  <w:rPr>
                    <w:rFonts w:hint="eastAsia"/>
                    <w:sz w:val="20"/>
                    <w:szCs w:val="20"/>
                  </w:rPr>
                  <w:t>）</w:t>
                </w:r>
              </w:p>
            </w:tc>
          </w:sdtContent>
        </w:sdt>
        <w:sdt>
          <w:sdtPr>
            <w:rPr>
              <w:sz w:val="20"/>
              <w:szCs w:val="20"/>
            </w:rPr>
            <w:tag w:val="_PLD_0f7f749f98e74f33ae9032c17002d136"/>
            <w:id w:val="414599034"/>
          </w:sdtPr>
          <w:sdtContent>
            <w:tc>
              <w:tcPr>
                <w:tcW w:w="372" w:type="pct"/>
                <w:vAlign w:val="center"/>
              </w:tcPr>
              <w:p w14:paraId="7A349929" w14:textId="77777777" w:rsidR="005E000F" w:rsidRDefault="00000000">
                <w:pPr>
                  <w:jc w:val="center"/>
                  <w:rPr>
                    <w:sz w:val="20"/>
                    <w:szCs w:val="20"/>
                  </w:rPr>
                </w:pPr>
                <w:r>
                  <w:rPr>
                    <w:rFonts w:hint="eastAsia"/>
                    <w:sz w:val="20"/>
                    <w:szCs w:val="20"/>
                  </w:rPr>
                  <w:t>工程进度</w:t>
                </w:r>
              </w:p>
            </w:tc>
          </w:sdtContent>
        </w:sdt>
        <w:sdt>
          <w:sdtPr>
            <w:rPr>
              <w:sz w:val="20"/>
              <w:szCs w:val="20"/>
            </w:rPr>
            <w:tag w:val="_PLD_0b58d44121d2475586a13d1ce8eaed0a"/>
            <w:id w:val="1443874493"/>
          </w:sdtPr>
          <w:sdtContent>
            <w:tc>
              <w:tcPr>
                <w:tcW w:w="372" w:type="pct"/>
                <w:vAlign w:val="center"/>
              </w:tcPr>
              <w:p w14:paraId="4EE4B3CD" w14:textId="77777777" w:rsidR="005E000F" w:rsidRDefault="00000000">
                <w:pPr>
                  <w:jc w:val="center"/>
                  <w:rPr>
                    <w:sz w:val="20"/>
                    <w:szCs w:val="20"/>
                  </w:rPr>
                </w:pPr>
                <w:r>
                  <w:rPr>
                    <w:rFonts w:hint="eastAsia"/>
                    <w:sz w:val="20"/>
                    <w:szCs w:val="20"/>
                  </w:rPr>
                  <w:t>利息资本化累计金额</w:t>
                </w:r>
              </w:p>
            </w:tc>
          </w:sdtContent>
        </w:sdt>
        <w:sdt>
          <w:sdtPr>
            <w:rPr>
              <w:sz w:val="20"/>
              <w:szCs w:val="20"/>
            </w:rPr>
            <w:tag w:val="_PLD_2250f692e957437687c2cafcae1d7f81"/>
            <w:id w:val="-1647588192"/>
          </w:sdtPr>
          <w:sdtContent>
            <w:tc>
              <w:tcPr>
                <w:tcW w:w="366" w:type="pct"/>
                <w:vAlign w:val="center"/>
              </w:tcPr>
              <w:p w14:paraId="36D2ADB1" w14:textId="77777777" w:rsidR="005E000F" w:rsidRDefault="00000000">
                <w:pPr>
                  <w:jc w:val="center"/>
                  <w:rPr>
                    <w:sz w:val="20"/>
                    <w:szCs w:val="20"/>
                  </w:rPr>
                </w:pPr>
                <w:r>
                  <w:rPr>
                    <w:rFonts w:hint="eastAsia"/>
                    <w:sz w:val="20"/>
                    <w:szCs w:val="20"/>
                  </w:rPr>
                  <w:t>其中：本期利息资本</w:t>
                </w:r>
                <w:proofErr w:type="gramStart"/>
                <w:r>
                  <w:rPr>
                    <w:rFonts w:hint="eastAsia"/>
                    <w:sz w:val="20"/>
                    <w:szCs w:val="20"/>
                  </w:rPr>
                  <w:t>化金额</w:t>
                </w:r>
                <w:proofErr w:type="gramEnd"/>
              </w:p>
            </w:tc>
          </w:sdtContent>
        </w:sdt>
        <w:sdt>
          <w:sdtPr>
            <w:rPr>
              <w:sz w:val="20"/>
              <w:szCs w:val="20"/>
            </w:rPr>
            <w:tag w:val="_PLD_7a9834f354d948e19f071bbf4b5baafe"/>
            <w:id w:val="2122416677"/>
          </w:sdtPr>
          <w:sdtContent>
            <w:tc>
              <w:tcPr>
                <w:tcW w:w="377" w:type="pct"/>
                <w:vAlign w:val="center"/>
              </w:tcPr>
              <w:p w14:paraId="4B5E408F" w14:textId="77777777" w:rsidR="005E000F" w:rsidRDefault="00000000">
                <w:pPr>
                  <w:jc w:val="center"/>
                  <w:rPr>
                    <w:sz w:val="20"/>
                    <w:szCs w:val="20"/>
                  </w:rPr>
                </w:pPr>
                <w:r>
                  <w:rPr>
                    <w:rFonts w:hint="eastAsia"/>
                    <w:sz w:val="20"/>
                    <w:szCs w:val="20"/>
                  </w:rPr>
                  <w:t>本期利息资本化率（</w:t>
                </w:r>
                <w:r>
                  <w:rPr>
                    <w:rFonts w:hint="eastAsia"/>
                    <w:sz w:val="20"/>
                    <w:szCs w:val="20"/>
                  </w:rPr>
                  <w:t>%</w:t>
                </w:r>
                <w:r>
                  <w:rPr>
                    <w:rFonts w:hint="eastAsia"/>
                    <w:sz w:val="20"/>
                    <w:szCs w:val="20"/>
                  </w:rPr>
                  <w:t>）</w:t>
                </w:r>
              </w:p>
            </w:tc>
          </w:sdtContent>
        </w:sdt>
        <w:sdt>
          <w:sdtPr>
            <w:rPr>
              <w:sz w:val="20"/>
              <w:szCs w:val="20"/>
            </w:rPr>
            <w:tag w:val="_PLD_6015e39597424a7ea59d45da3ff56e99"/>
            <w:id w:val="554205973"/>
          </w:sdtPr>
          <w:sdtContent>
            <w:tc>
              <w:tcPr>
                <w:tcW w:w="368" w:type="pct"/>
                <w:vAlign w:val="center"/>
              </w:tcPr>
              <w:p w14:paraId="79DF7EF2" w14:textId="77777777" w:rsidR="005E000F" w:rsidRDefault="00000000">
                <w:pPr>
                  <w:jc w:val="center"/>
                  <w:rPr>
                    <w:sz w:val="20"/>
                    <w:szCs w:val="20"/>
                  </w:rPr>
                </w:pPr>
                <w:r>
                  <w:rPr>
                    <w:rFonts w:hint="eastAsia"/>
                    <w:sz w:val="20"/>
                    <w:szCs w:val="20"/>
                  </w:rPr>
                  <w:t>资金来源</w:t>
                </w:r>
              </w:p>
            </w:tc>
          </w:sdtContent>
        </w:sdt>
      </w:tr>
      <w:tr w:rsidR="005E000F" w14:paraId="361F1C71" w14:textId="77777777">
        <w:trPr>
          <w:cantSplit/>
        </w:trPr>
        <w:tc>
          <w:tcPr>
            <w:tcW w:w="427" w:type="pct"/>
          </w:tcPr>
          <w:p w14:paraId="7AD77D60" w14:textId="77777777" w:rsidR="005E000F" w:rsidRDefault="00000000">
            <w:pPr>
              <w:rPr>
                <w:rFonts w:cs="宋体"/>
                <w:bCs/>
                <w:sz w:val="20"/>
                <w:szCs w:val="20"/>
              </w:rPr>
            </w:pPr>
            <w:r>
              <w:rPr>
                <w:rFonts w:cs="宋体" w:hint="eastAsia"/>
                <w:bCs/>
                <w:sz w:val="20"/>
                <w:szCs w:val="20"/>
              </w:rPr>
              <w:lastRenderedPageBreak/>
              <w:t>太原南站综合调度楼及列车换乘中心建设工程</w:t>
            </w:r>
          </w:p>
        </w:tc>
        <w:tc>
          <w:tcPr>
            <w:tcW w:w="347" w:type="pct"/>
            <w:vAlign w:val="center"/>
          </w:tcPr>
          <w:p w14:paraId="37F1BA9F" w14:textId="77777777" w:rsidR="005E000F" w:rsidRDefault="00000000">
            <w:pPr>
              <w:jc w:val="right"/>
              <w:rPr>
                <w:sz w:val="20"/>
                <w:szCs w:val="20"/>
              </w:rPr>
            </w:pPr>
            <w:r>
              <w:rPr>
                <w:sz w:val="20"/>
                <w:szCs w:val="20"/>
              </w:rPr>
              <w:t>589,1</w:t>
            </w:r>
            <w:r>
              <w:rPr>
                <w:rFonts w:hint="eastAsia"/>
                <w:sz w:val="20"/>
                <w:szCs w:val="20"/>
              </w:rPr>
              <w:t>76</w:t>
            </w:r>
            <w:r>
              <w:rPr>
                <w:sz w:val="20"/>
                <w:szCs w:val="20"/>
              </w:rPr>
              <w:t>,000</w:t>
            </w:r>
          </w:p>
        </w:tc>
        <w:tc>
          <w:tcPr>
            <w:tcW w:w="505" w:type="pct"/>
            <w:vAlign w:val="center"/>
          </w:tcPr>
          <w:p w14:paraId="4F912B38" w14:textId="77777777" w:rsidR="005E000F" w:rsidRDefault="00000000">
            <w:pPr>
              <w:jc w:val="right"/>
              <w:rPr>
                <w:sz w:val="20"/>
                <w:szCs w:val="20"/>
                <w:lang w:eastAsia="en-US"/>
              </w:rPr>
            </w:pPr>
            <w:r>
              <w:rPr>
                <w:sz w:val="20"/>
                <w:szCs w:val="20"/>
              </w:rPr>
              <w:t>578,221,725</w:t>
            </w:r>
          </w:p>
        </w:tc>
        <w:tc>
          <w:tcPr>
            <w:tcW w:w="377" w:type="pct"/>
            <w:vAlign w:val="center"/>
          </w:tcPr>
          <w:p w14:paraId="0F33EBCC" w14:textId="77777777" w:rsidR="005E000F" w:rsidRDefault="00000000">
            <w:pPr>
              <w:jc w:val="right"/>
              <w:rPr>
                <w:sz w:val="20"/>
                <w:szCs w:val="20"/>
              </w:rPr>
            </w:pPr>
            <w:r>
              <w:rPr>
                <w:sz w:val="20"/>
                <w:szCs w:val="20"/>
              </w:rPr>
              <w:t>41,874</w:t>
            </w:r>
          </w:p>
        </w:tc>
        <w:tc>
          <w:tcPr>
            <w:tcW w:w="372" w:type="pct"/>
            <w:vAlign w:val="center"/>
          </w:tcPr>
          <w:p w14:paraId="55E9AC87" w14:textId="77777777" w:rsidR="005E000F" w:rsidRDefault="00000000">
            <w:pPr>
              <w:jc w:val="right"/>
              <w:rPr>
                <w:sz w:val="20"/>
                <w:szCs w:val="20"/>
              </w:rPr>
            </w:pPr>
            <w:r>
              <w:rPr>
                <w:sz w:val="20"/>
                <w:szCs w:val="20"/>
              </w:rPr>
              <w:t>578,263,599</w:t>
            </w:r>
          </w:p>
        </w:tc>
        <w:tc>
          <w:tcPr>
            <w:tcW w:w="372" w:type="pct"/>
            <w:vAlign w:val="center"/>
          </w:tcPr>
          <w:p w14:paraId="008C9276" w14:textId="77777777" w:rsidR="005E000F" w:rsidRDefault="00000000">
            <w:pPr>
              <w:jc w:val="right"/>
              <w:rPr>
                <w:sz w:val="20"/>
                <w:szCs w:val="20"/>
              </w:rPr>
            </w:pPr>
            <w:r>
              <w:rPr>
                <w:sz w:val="20"/>
                <w:szCs w:val="20"/>
              </w:rPr>
              <w:t>0</w:t>
            </w:r>
          </w:p>
        </w:tc>
        <w:tc>
          <w:tcPr>
            <w:tcW w:w="365" w:type="pct"/>
            <w:vAlign w:val="center"/>
          </w:tcPr>
          <w:p w14:paraId="2BDB5D0F" w14:textId="77777777" w:rsidR="005E000F" w:rsidRDefault="00000000">
            <w:pPr>
              <w:jc w:val="right"/>
              <w:rPr>
                <w:sz w:val="20"/>
                <w:szCs w:val="20"/>
              </w:rPr>
            </w:pPr>
            <w:r>
              <w:rPr>
                <w:sz w:val="20"/>
                <w:szCs w:val="20"/>
              </w:rPr>
              <w:t>0</w:t>
            </w:r>
          </w:p>
        </w:tc>
        <w:tc>
          <w:tcPr>
            <w:tcW w:w="374" w:type="pct"/>
            <w:vAlign w:val="center"/>
          </w:tcPr>
          <w:p w14:paraId="198DD807" w14:textId="77777777" w:rsidR="005E000F" w:rsidRDefault="00000000">
            <w:pPr>
              <w:jc w:val="right"/>
              <w:rPr>
                <w:sz w:val="20"/>
                <w:szCs w:val="20"/>
              </w:rPr>
            </w:pPr>
            <w:r>
              <w:rPr>
                <w:sz w:val="20"/>
                <w:szCs w:val="20"/>
              </w:rPr>
              <w:t>100%</w:t>
            </w:r>
          </w:p>
        </w:tc>
        <w:tc>
          <w:tcPr>
            <w:tcW w:w="372" w:type="pct"/>
            <w:vAlign w:val="center"/>
          </w:tcPr>
          <w:p w14:paraId="71A53FC5" w14:textId="77777777" w:rsidR="005E000F" w:rsidRDefault="00000000">
            <w:pPr>
              <w:jc w:val="right"/>
              <w:rPr>
                <w:sz w:val="20"/>
                <w:szCs w:val="20"/>
              </w:rPr>
            </w:pPr>
            <w:r>
              <w:rPr>
                <w:sz w:val="20"/>
                <w:szCs w:val="20"/>
              </w:rPr>
              <w:t>100%</w:t>
            </w:r>
          </w:p>
        </w:tc>
        <w:tc>
          <w:tcPr>
            <w:tcW w:w="372" w:type="pct"/>
            <w:vAlign w:val="center"/>
          </w:tcPr>
          <w:p w14:paraId="6B8C6C1A" w14:textId="77777777" w:rsidR="005E000F" w:rsidRDefault="00000000">
            <w:pPr>
              <w:jc w:val="right"/>
              <w:rPr>
                <w:sz w:val="20"/>
                <w:szCs w:val="20"/>
              </w:rPr>
            </w:pPr>
            <w:r>
              <w:rPr>
                <w:sz w:val="20"/>
                <w:szCs w:val="20"/>
              </w:rPr>
              <w:t>0</w:t>
            </w:r>
          </w:p>
        </w:tc>
        <w:tc>
          <w:tcPr>
            <w:tcW w:w="366" w:type="pct"/>
            <w:vAlign w:val="center"/>
          </w:tcPr>
          <w:p w14:paraId="051C0986" w14:textId="77777777" w:rsidR="005E000F" w:rsidRDefault="00000000">
            <w:pPr>
              <w:jc w:val="right"/>
              <w:rPr>
                <w:sz w:val="20"/>
                <w:szCs w:val="20"/>
              </w:rPr>
            </w:pPr>
            <w:r>
              <w:rPr>
                <w:sz w:val="20"/>
                <w:szCs w:val="20"/>
              </w:rPr>
              <w:t>0</w:t>
            </w:r>
          </w:p>
        </w:tc>
        <w:tc>
          <w:tcPr>
            <w:tcW w:w="377" w:type="pct"/>
            <w:vAlign w:val="center"/>
          </w:tcPr>
          <w:p w14:paraId="1FA618B2" w14:textId="77777777" w:rsidR="005E000F" w:rsidRDefault="00000000">
            <w:pPr>
              <w:jc w:val="right"/>
              <w:rPr>
                <w:sz w:val="20"/>
                <w:szCs w:val="20"/>
              </w:rPr>
            </w:pPr>
            <w:r>
              <w:rPr>
                <w:sz w:val="20"/>
                <w:szCs w:val="20"/>
              </w:rPr>
              <w:t>0</w:t>
            </w:r>
          </w:p>
        </w:tc>
        <w:tc>
          <w:tcPr>
            <w:tcW w:w="368" w:type="pct"/>
            <w:vAlign w:val="center"/>
          </w:tcPr>
          <w:p w14:paraId="420E3549" w14:textId="77777777" w:rsidR="005E000F" w:rsidRDefault="00000000">
            <w:pPr>
              <w:rPr>
                <w:sz w:val="20"/>
                <w:szCs w:val="20"/>
              </w:rPr>
            </w:pPr>
            <w:r>
              <w:rPr>
                <w:rFonts w:hint="eastAsia"/>
                <w:sz w:val="20"/>
                <w:szCs w:val="20"/>
              </w:rPr>
              <w:t>自筹</w:t>
            </w:r>
          </w:p>
        </w:tc>
      </w:tr>
      <w:tr w:rsidR="005E000F" w14:paraId="0F8F2557" w14:textId="77777777">
        <w:trPr>
          <w:cantSplit/>
        </w:trPr>
        <w:tc>
          <w:tcPr>
            <w:tcW w:w="427" w:type="pct"/>
          </w:tcPr>
          <w:p w14:paraId="6292FC9B" w14:textId="77777777" w:rsidR="005E000F" w:rsidRDefault="00000000">
            <w:pPr>
              <w:rPr>
                <w:rFonts w:cs="宋体"/>
                <w:bCs/>
                <w:sz w:val="20"/>
                <w:szCs w:val="20"/>
              </w:rPr>
            </w:pPr>
            <w:r>
              <w:rPr>
                <w:rFonts w:cs="宋体" w:hint="eastAsia"/>
                <w:bCs/>
                <w:sz w:val="20"/>
                <w:szCs w:val="20"/>
              </w:rPr>
              <w:t>曹妃</w:t>
            </w:r>
            <w:proofErr w:type="gramStart"/>
            <w:r>
              <w:rPr>
                <w:rFonts w:cs="宋体" w:hint="eastAsia"/>
                <w:bCs/>
                <w:sz w:val="20"/>
                <w:szCs w:val="20"/>
              </w:rPr>
              <w:t>甸</w:t>
            </w:r>
            <w:proofErr w:type="gramEnd"/>
            <w:r>
              <w:rPr>
                <w:rFonts w:cs="宋体" w:hint="eastAsia"/>
                <w:bCs/>
                <w:sz w:val="20"/>
                <w:szCs w:val="20"/>
              </w:rPr>
              <w:t>南站扩能改造工程</w:t>
            </w:r>
          </w:p>
        </w:tc>
        <w:tc>
          <w:tcPr>
            <w:tcW w:w="347" w:type="pct"/>
            <w:vAlign w:val="center"/>
          </w:tcPr>
          <w:p w14:paraId="3BF1B32E" w14:textId="77777777" w:rsidR="005E000F" w:rsidRDefault="00000000">
            <w:pPr>
              <w:jc w:val="right"/>
              <w:rPr>
                <w:sz w:val="20"/>
                <w:szCs w:val="20"/>
              </w:rPr>
            </w:pPr>
            <w:r>
              <w:rPr>
                <w:sz w:val="20"/>
                <w:szCs w:val="20"/>
              </w:rPr>
              <w:t>310,640,000</w:t>
            </w:r>
          </w:p>
        </w:tc>
        <w:tc>
          <w:tcPr>
            <w:tcW w:w="505" w:type="pct"/>
            <w:vAlign w:val="center"/>
          </w:tcPr>
          <w:p w14:paraId="4273C2A1" w14:textId="77777777" w:rsidR="005E000F" w:rsidRDefault="00000000">
            <w:pPr>
              <w:jc w:val="right"/>
              <w:rPr>
                <w:sz w:val="20"/>
                <w:szCs w:val="20"/>
                <w:lang w:eastAsia="en-US"/>
              </w:rPr>
            </w:pPr>
            <w:r>
              <w:rPr>
                <w:sz w:val="20"/>
                <w:szCs w:val="20"/>
              </w:rPr>
              <w:t>274,168,563</w:t>
            </w:r>
          </w:p>
        </w:tc>
        <w:tc>
          <w:tcPr>
            <w:tcW w:w="377" w:type="pct"/>
            <w:vAlign w:val="center"/>
          </w:tcPr>
          <w:p w14:paraId="6DFE68F0" w14:textId="77777777" w:rsidR="005E000F" w:rsidRDefault="00000000">
            <w:pPr>
              <w:jc w:val="right"/>
              <w:rPr>
                <w:sz w:val="20"/>
                <w:szCs w:val="20"/>
              </w:rPr>
            </w:pPr>
            <w:r>
              <w:rPr>
                <w:sz w:val="20"/>
                <w:szCs w:val="20"/>
              </w:rPr>
              <w:t>8,339,360</w:t>
            </w:r>
          </w:p>
        </w:tc>
        <w:tc>
          <w:tcPr>
            <w:tcW w:w="372" w:type="pct"/>
            <w:vAlign w:val="center"/>
          </w:tcPr>
          <w:p w14:paraId="540C9FD8" w14:textId="77777777" w:rsidR="005E000F" w:rsidRDefault="00000000">
            <w:pPr>
              <w:jc w:val="right"/>
              <w:rPr>
                <w:sz w:val="20"/>
                <w:szCs w:val="20"/>
              </w:rPr>
            </w:pPr>
            <w:r>
              <w:rPr>
                <w:sz w:val="20"/>
                <w:szCs w:val="20"/>
              </w:rPr>
              <w:t>282,507,923</w:t>
            </w:r>
          </w:p>
        </w:tc>
        <w:tc>
          <w:tcPr>
            <w:tcW w:w="372" w:type="pct"/>
            <w:vAlign w:val="center"/>
          </w:tcPr>
          <w:p w14:paraId="035D079A" w14:textId="77777777" w:rsidR="005E000F" w:rsidRDefault="00000000">
            <w:pPr>
              <w:jc w:val="right"/>
              <w:rPr>
                <w:sz w:val="20"/>
                <w:szCs w:val="20"/>
              </w:rPr>
            </w:pPr>
            <w:r>
              <w:rPr>
                <w:sz w:val="20"/>
                <w:szCs w:val="20"/>
              </w:rPr>
              <w:t>0</w:t>
            </w:r>
          </w:p>
        </w:tc>
        <w:tc>
          <w:tcPr>
            <w:tcW w:w="365" w:type="pct"/>
            <w:vAlign w:val="center"/>
          </w:tcPr>
          <w:p w14:paraId="22F9422A" w14:textId="77777777" w:rsidR="005E000F" w:rsidRDefault="00000000">
            <w:pPr>
              <w:jc w:val="right"/>
              <w:rPr>
                <w:sz w:val="20"/>
                <w:szCs w:val="20"/>
              </w:rPr>
            </w:pPr>
            <w:r>
              <w:rPr>
                <w:sz w:val="20"/>
                <w:szCs w:val="20"/>
              </w:rPr>
              <w:t>0</w:t>
            </w:r>
          </w:p>
        </w:tc>
        <w:tc>
          <w:tcPr>
            <w:tcW w:w="374" w:type="pct"/>
            <w:vAlign w:val="center"/>
          </w:tcPr>
          <w:p w14:paraId="4F6C06F8" w14:textId="77777777" w:rsidR="005E000F" w:rsidRDefault="00000000">
            <w:pPr>
              <w:jc w:val="right"/>
              <w:rPr>
                <w:sz w:val="20"/>
                <w:szCs w:val="20"/>
              </w:rPr>
            </w:pPr>
            <w:r>
              <w:rPr>
                <w:sz w:val="20"/>
                <w:szCs w:val="20"/>
              </w:rPr>
              <w:t>100%</w:t>
            </w:r>
          </w:p>
        </w:tc>
        <w:tc>
          <w:tcPr>
            <w:tcW w:w="372" w:type="pct"/>
            <w:vAlign w:val="center"/>
          </w:tcPr>
          <w:p w14:paraId="7E543D65" w14:textId="77777777" w:rsidR="005E000F" w:rsidRDefault="00000000">
            <w:pPr>
              <w:jc w:val="right"/>
              <w:rPr>
                <w:sz w:val="20"/>
                <w:szCs w:val="20"/>
              </w:rPr>
            </w:pPr>
            <w:r>
              <w:rPr>
                <w:sz w:val="20"/>
                <w:szCs w:val="20"/>
              </w:rPr>
              <w:t>100%</w:t>
            </w:r>
          </w:p>
        </w:tc>
        <w:tc>
          <w:tcPr>
            <w:tcW w:w="372" w:type="pct"/>
            <w:vAlign w:val="center"/>
          </w:tcPr>
          <w:p w14:paraId="00C43BB7" w14:textId="77777777" w:rsidR="005E000F" w:rsidRDefault="00000000">
            <w:pPr>
              <w:jc w:val="right"/>
              <w:rPr>
                <w:sz w:val="20"/>
                <w:szCs w:val="20"/>
              </w:rPr>
            </w:pPr>
            <w:r>
              <w:rPr>
                <w:sz w:val="20"/>
                <w:szCs w:val="20"/>
              </w:rPr>
              <w:t>0</w:t>
            </w:r>
          </w:p>
        </w:tc>
        <w:tc>
          <w:tcPr>
            <w:tcW w:w="366" w:type="pct"/>
            <w:vAlign w:val="center"/>
          </w:tcPr>
          <w:p w14:paraId="03337DE0" w14:textId="77777777" w:rsidR="005E000F" w:rsidRDefault="00000000">
            <w:pPr>
              <w:jc w:val="right"/>
              <w:rPr>
                <w:sz w:val="20"/>
                <w:szCs w:val="20"/>
              </w:rPr>
            </w:pPr>
            <w:r>
              <w:rPr>
                <w:sz w:val="20"/>
                <w:szCs w:val="20"/>
              </w:rPr>
              <w:t>0</w:t>
            </w:r>
          </w:p>
        </w:tc>
        <w:tc>
          <w:tcPr>
            <w:tcW w:w="377" w:type="pct"/>
            <w:vAlign w:val="center"/>
          </w:tcPr>
          <w:p w14:paraId="6970BC29" w14:textId="77777777" w:rsidR="005E000F" w:rsidRDefault="00000000">
            <w:pPr>
              <w:jc w:val="right"/>
              <w:rPr>
                <w:sz w:val="20"/>
                <w:szCs w:val="20"/>
              </w:rPr>
            </w:pPr>
            <w:r>
              <w:rPr>
                <w:sz w:val="20"/>
                <w:szCs w:val="20"/>
              </w:rPr>
              <w:t>0</w:t>
            </w:r>
          </w:p>
        </w:tc>
        <w:tc>
          <w:tcPr>
            <w:tcW w:w="368" w:type="pct"/>
            <w:vAlign w:val="center"/>
          </w:tcPr>
          <w:p w14:paraId="24EF68AB" w14:textId="77777777" w:rsidR="005E000F" w:rsidRDefault="00000000">
            <w:pPr>
              <w:rPr>
                <w:sz w:val="20"/>
                <w:szCs w:val="20"/>
              </w:rPr>
            </w:pPr>
            <w:r>
              <w:rPr>
                <w:rFonts w:hint="eastAsia"/>
                <w:sz w:val="20"/>
                <w:szCs w:val="20"/>
              </w:rPr>
              <w:t>自筹</w:t>
            </w:r>
          </w:p>
        </w:tc>
      </w:tr>
      <w:tr w:rsidR="005E000F" w14:paraId="70483680" w14:textId="77777777">
        <w:trPr>
          <w:cantSplit/>
        </w:trPr>
        <w:tc>
          <w:tcPr>
            <w:tcW w:w="427" w:type="pct"/>
          </w:tcPr>
          <w:p w14:paraId="01983D72" w14:textId="77777777" w:rsidR="005E000F" w:rsidRDefault="00000000">
            <w:pPr>
              <w:rPr>
                <w:rFonts w:cs="宋体"/>
                <w:bCs/>
                <w:sz w:val="20"/>
                <w:szCs w:val="20"/>
                <w:lang w:eastAsia="en-US"/>
              </w:rPr>
            </w:pPr>
            <w:r>
              <w:rPr>
                <w:rFonts w:cs="宋体" w:hint="eastAsia"/>
                <w:bCs/>
                <w:sz w:val="20"/>
                <w:szCs w:val="20"/>
              </w:rPr>
              <w:t>固定资产大修</w:t>
            </w:r>
          </w:p>
        </w:tc>
        <w:tc>
          <w:tcPr>
            <w:tcW w:w="347" w:type="pct"/>
            <w:vAlign w:val="center"/>
          </w:tcPr>
          <w:p w14:paraId="4879F2CA" w14:textId="77777777" w:rsidR="005E000F" w:rsidRDefault="00000000">
            <w:pPr>
              <w:jc w:val="right"/>
              <w:rPr>
                <w:sz w:val="20"/>
                <w:szCs w:val="20"/>
              </w:rPr>
            </w:pPr>
            <w:r>
              <w:rPr>
                <w:sz w:val="20"/>
                <w:szCs w:val="20"/>
              </w:rPr>
              <w:t>/</w:t>
            </w:r>
          </w:p>
        </w:tc>
        <w:tc>
          <w:tcPr>
            <w:tcW w:w="505" w:type="pct"/>
            <w:vAlign w:val="center"/>
          </w:tcPr>
          <w:p w14:paraId="096407F4" w14:textId="77777777" w:rsidR="005E000F" w:rsidRDefault="00000000">
            <w:pPr>
              <w:jc w:val="right"/>
              <w:rPr>
                <w:sz w:val="20"/>
                <w:szCs w:val="20"/>
                <w:lang w:eastAsia="en-US"/>
              </w:rPr>
            </w:pPr>
            <w:r>
              <w:rPr>
                <w:sz w:val="20"/>
                <w:szCs w:val="20"/>
              </w:rPr>
              <w:t>705,760,803</w:t>
            </w:r>
          </w:p>
        </w:tc>
        <w:tc>
          <w:tcPr>
            <w:tcW w:w="1466" w:type="dxa"/>
            <w:vAlign w:val="center"/>
          </w:tcPr>
          <w:p w14:paraId="5D91CF0A" w14:textId="77777777" w:rsidR="005E000F" w:rsidRDefault="00000000">
            <w:pPr>
              <w:jc w:val="right"/>
              <w:rPr>
                <w:sz w:val="20"/>
                <w:szCs w:val="20"/>
              </w:rPr>
            </w:pPr>
            <w:r>
              <w:rPr>
                <w:sz w:val="20"/>
                <w:szCs w:val="20"/>
              </w:rPr>
              <w:t>11,306,187,933</w:t>
            </w:r>
          </w:p>
        </w:tc>
        <w:tc>
          <w:tcPr>
            <w:tcW w:w="1466" w:type="dxa"/>
            <w:vAlign w:val="center"/>
          </w:tcPr>
          <w:p w14:paraId="3DC0A3B3" w14:textId="77777777" w:rsidR="005E000F" w:rsidRDefault="00000000">
            <w:pPr>
              <w:jc w:val="right"/>
              <w:rPr>
                <w:sz w:val="20"/>
                <w:szCs w:val="20"/>
              </w:rPr>
            </w:pPr>
            <w:r>
              <w:rPr>
                <w:sz w:val="20"/>
                <w:szCs w:val="20"/>
              </w:rPr>
              <w:t>11,598,374,499</w:t>
            </w:r>
          </w:p>
        </w:tc>
        <w:tc>
          <w:tcPr>
            <w:tcW w:w="1216" w:type="dxa"/>
            <w:vAlign w:val="center"/>
          </w:tcPr>
          <w:p w14:paraId="2254E78A" w14:textId="77777777" w:rsidR="005E000F" w:rsidRDefault="00000000">
            <w:pPr>
              <w:jc w:val="right"/>
              <w:rPr>
                <w:sz w:val="20"/>
                <w:szCs w:val="20"/>
              </w:rPr>
            </w:pPr>
            <w:r>
              <w:rPr>
                <w:rFonts w:hint="eastAsia"/>
                <w:sz w:val="20"/>
                <w:szCs w:val="20"/>
              </w:rPr>
              <w:t>0</w:t>
            </w:r>
            <w:r>
              <w:rPr>
                <w:sz w:val="20"/>
                <w:szCs w:val="20"/>
              </w:rPr>
              <w:t xml:space="preserve">　</w:t>
            </w:r>
          </w:p>
        </w:tc>
        <w:tc>
          <w:tcPr>
            <w:tcW w:w="1216" w:type="dxa"/>
            <w:vAlign w:val="center"/>
          </w:tcPr>
          <w:p w14:paraId="2E4366FC" w14:textId="77777777" w:rsidR="005E000F" w:rsidRDefault="00000000">
            <w:pPr>
              <w:jc w:val="right"/>
              <w:rPr>
                <w:sz w:val="20"/>
                <w:szCs w:val="20"/>
              </w:rPr>
            </w:pPr>
            <w:r>
              <w:rPr>
                <w:sz w:val="20"/>
                <w:szCs w:val="20"/>
              </w:rPr>
              <w:t>413,574,237</w:t>
            </w:r>
          </w:p>
        </w:tc>
        <w:tc>
          <w:tcPr>
            <w:tcW w:w="374" w:type="pct"/>
            <w:vAlign w:val="center"/>
          </w:tcPr>
          <w:p w14:paraId="6AD2A0D2" w14:textId="77777777" w:rsidR="005E000F" w:rsidRDefault="00000000">
            <w:pPr>
              <w:jc w:val="right"/>
              <w:rPr>
                <w:sz w:val="20"/>
                <w:szCs w:val="20"/>
              </w:rPr>
            </w:pPr>
            <w:r>
              <w:rPr>
                <w:sz w:val="20"/>
                <w:szCs w:val="20"/>
              </w:rPr>
              <w:t>0</w:t>
            </w:r>
          </w:p>
        </w:tc>
        <w:tc>
          <w:tcPr>
            <w:tcW w:w="372" w:type="pct"/>
            <w:vAlign w:val="center"/>
          </w:tcPr>
          <w:p w14:paraId="2D7078E0" w14:textId="77777777" w:rsidR="005E000F" w:rsidRDefault="00000000">
            <w:pPr>
              <w:jc w:val="right"/>
              <w:rPr>
                <w:sz w:val="20"/>
                <w:szCs w:val="20"/>
              </w:rPr>
            </w:pPr>
            <w:r>
              <w:rPr>
                <w:sz w:val="20"/>
                <w:szCs w:val="20"/>
              </w:rPr>
              <w:t>0</w:t>
            </w:r>
          </w:p>
        </w:tc>
        <w:tc>
          <w:tcPr>
            <w:tcW w:w="372" w:type="pct"/>
            <w:vAlign w:val="center"/>
          </w:tcPr>
          <w:p w14:paraId="4ED9E218" w14:textId="77777777" w:rsidR="005E000F" w:rsidRDefault="00000000">
            <w:pPr>
              <w:jc w:val="right"/>
              <w:rPr>
                <w:sz w:val="20"/>
                <w:szCs w:val="20"/>
              </w:rPr>
            </w:pPr>
            <w:r>
              <w:rPr>
                <w:sz w:val="20"/>
                <w:szCs w:val="20"/>
              </w:rPr>
              <w:t>0</w:t>
            </w:r>
          </w:p>
        </w:tc>
        <w:tc>
          <w:tcPr>
            <w:tcW w:w="366" w:type="pct"/>
            <w:vAlign w:val="center"/>
          </w:tcPr>
          <w:p w14:paraId="17C39FD1" w14:textId="77777777" w:rsidR="005E000F" w:rsidRDefault="00000000">
            <w:pPr>
              <w:jc w:val="right"/>
              <w:rPr>
                <w:sz w:val="20"/>
                <w:szCs w:val="20"/>
              </w:rPr>
            </w:pPr>
            <w:r>
              <w:rPr>
                <w:sz w:val="20"/>
                <w:szCs w:val="20"/>
              </w:rPr>
              <w:t>0</w:t>
            </w:r>
          </w:p>
        </w:tc>
        <w:tc>
          <w:tcPr>
            <w:tcW w:w="377" w:type="pct"/>
            <w:vAlign w:val="center"/>
          </w:tcPr>
          <w:p w14:paraId="46D6DA62" w14:textId="77777777" w:rsidR="005E000F" w:rsidRDefault="00000000">
            <w:pPr>
              <w:jc w:val="right"/>
              <w:rPr>
                <w:sz w:val="20"/>
                <w:szCs w:val="20"/>
              </w:rPr>
            </w:pPr>
            <w:r>
              <w:rPr>
                <w:sz w:val="20"/>
                <w:szCs w:val="20"/>
              </w:rPr>
              <w:t>0</w:t>
            </w:r>
          </w:p>
        </w:tc>
        <w:tc>
          <w:tcPr>
            <w:tcW w:w="368" w:type="pct"/>
            <w:vAlign w:val="center"/>
          </w:tcPr>
          <w:p w14:paraId="3B84CA0D" w14:textId="77777777" w:rsidR="005E000F" w:rsidRDefault="00000000">
            <w:pPr>
              <w:rPr>
                <w:sz w:val="20"/>
                <w:szCs w:val="20"/>
              </w:rPr>
            </w:pPr>
            <w:r>
              <w:rPr>
                <w:rFonts w:hint="eastAsia"/>
                <w:sz w:val="20"/>
                <w:szCs w:val="20"/>
              </w:rPr>
              <w:t>自筹</w:t>
            </w:r>
          </w:p>
        </w:tc>
      </w:tr>
      <w:tr w:rsidR="005E000F" w14:paraId="3428BD91" w14:textId="77777777">
        <w:trPr>
          <w:cantSplit/>
        </w:trPr>
        <w:tc>
          <w:tcPr>
            <w:tcW w:w="427" w:type="pct"/>
          </w:tcPr>
          <w:p w14:paraId="1D5FCE47" w14:textId="77777777" w:rsidR="005E000F" w:rsidRDefault="00000000">
            <w:pPr>
              <w:rPr>
                <w:rFonts w:cs="宋体"/>
                <w:bCs/>
                <w:sz w:val="20"/>
                <w:szCs w:val="20"/>
                <w:lang w:eastAsia="en-US"/>
              </w:rPr>
            </w:pPr>
            <w:r>
              <w:rPr>
                <w:rFonts w:cs="宋体" w:hint="eastAsia"/>
                <w:bCs/>
                <w:sz w:val="20"/>
                <w:szCs w:val="20"/>
              </w:rPr>
              <w:t>其他工程（注</w:t>
            </w:r>
            <w:r>
              <w:rPr>
                <w:rFonts w:cs="宋体" w:hint="eastAsia"/>
                <w:bCs/>
                <w:sz w:val="20"/>
                <w:szCs w:val="20"/>
              </w:rPr>
              <w:t xml:space="preserve"> 1</w:t>
            </w:r>
            <w:r>
              <w:rPr>
                <w:rFonts w:cs="宋体" w:hint="eastAsia"/>
                <w:bCs/>
                <w:sz w:val="20"/>
                <w:szCs w:val="20"/>
              </w:rPr>
              <w:t>）</w:t>
            </w:r>
          </w:p>
        </w:tc>
        <w:tc>
          <w:tcPr>
            <w:tcW w:w="347" w:type="pct"/>
            <w:vAlign w:val="center"/>
          </w:tcPr>
          <w:p w14:paraId="7F794458" w14:textId="77777777" w:rsidR="005E000F" w:rsidRDefault="00000000">
            <w:pPr>
              <w:jc w:val="right"/>
              <w:rPr>
                <w:sz w:val="20"/>
                <w:szCs w:val="20"/>
              </w:rPr>
            </w:pPr>
            <w:r>
              <w:rPr>
                <w:sz w:val="20"/>
                <w:szCs w:val="20"/>
              </w:rPr>
              <w:t>/</w:t>
            </w:r>
          </w:p>
        </w:tc>
        <w:tc>
          <w:tcPr>
            <w:tcW w:w="505" w:type="pct"/>
            <w:vAlign w:val="center"/>
          </w:tcPr>
          <w:p w14:paraId="6A3FD9E7" w14:textId="77777777" w:rsidR="005E000F" w:rsidRDefault="00000000">
            <w:pPr>
              <w:jc w:val="right"/>
              <w:rPr>
                <w:sz w:val="20"/>
                <w:szCs w:val="20"/>
                <w:lang w:eastAsia="en-US"/>
              </w:rPr>
            </w:pPr>
            <w:r>
              <w:rPr>
                <w:sz w:val="20"/>
                <w:szCs w:val="20"/>
              </w:rPr>
              <w:t>402,574,488</w:t>
            </w:r>
          </w:p>
        </w:tc>
        <w:tc>
          <w:tcPr>
            <w:tcW w:w="1466" w:type="dxa"/>
            <w:vAlign w:val="center"/>
          </w:tcPr>
          <w:p w14:paraId="2E976F86" w14:textId="77777777" w:rsidR="005E000F" w:rsidRDefault="00000000">
            <w:pPr>
              <w:jc w:val="right"/>
              <w:rPr>
                <w:sz w:val="20"/>
                <w:szCs w:val="20"/>
              </w:rPr>
            </w:pPr>
            <w:r>
              <w:rPr>
                <w:sz w:val="20"/>
                <w:szCs w:val="20"/>
              </w:rPr>
              <w:t>1,293,368,142</w:t>
            </w:r>
          </w:p>
        </w:tc>
        <w:tc>
          <w:tcPr>
            <w:tcW w:w="1466" w:type="dxa"/>
            <w:vAlign w:val="center"/>
          </w:tcPr>
          <w:p w14:paraId="029E4425" w14:textId="77777777" w:rsidR="005E000F" w:rsidRDefault="00000000">
            <w:pPr>
              <w:jc w:val="right"/>
              <w:rPr>
                <w:sz w:val="20"/>
                <w:szCs w:val="20"/>
              </w:rPr>
            </w:pPr>
            <w:r>
              <w:rPr>
                <w:sz w:val="20"/>
                <w:szCs w:val="20"/>
              </w:rPr>
              <w:t>1,227,063,042</w:t>
            </w:r>
          </w:p>
        </w:tc>
        <w:tc>
          <w:tcPr>
            <w:tcW w:w="1216" w:type="dxa"/>
            <w:vAlign w:val="center"/>
          </w:tcPr>
          <w:p w14:paraId="0CA8F877" w14:textId="77777777" w:rsidR="005E000F" w:rsidRDefault="00000000">
            <w:pPr>
              <w:jc w:val="right"/>
              <w:rPr>
                <w:sz w:val="20"/>
                <w:szCs w:val="20"/>
              </w:rPr>
            </w:pPr>
            <w:r>
              <w:rPr>
                <w:rFonts w:hint="eastAsia"/>
                <w:sz w:val="20"/>
                <w:szCs w:val="20"/>
              </w:rPr>
              <w:t>868,594</w:t>
            </w:r>
          </w:p>
        </w:tc>
        <w:tc>
          <w:tcPr>
            <w:tcW w:w="1216" w:type="dxa"/>
            <w:vAlign w:val="center"/>
          </w:tcPr>
          <w:p w14:paraId="4950A97A" w14:textId="77777777" w:rsidR="005E000F" w:rsidRDefault="00000000">
            <w:pPr>
              <w:jc w:val="right"/>
              <w:rPr>
                <w:sz w:val="20"/>
                <w:szCs w:val="20"/>
              </w:rPr>
            </w:pPr>
            <w:r>
              <w:rPr>
                <w:sz w:val="20"/>
                <w:szCs w:val="20"/>
              </w:rPr>
              <w:t>468,010,994</w:t>
            </w:r>
          </w:p>
        </w:tc>
        <w:tc>
          <w:tcPr>
            <w:tcW w:w="374" w:type="pct"/>
            <w:vAlign w:val="center"/>
          </w:tcPr>
          <w:p w14:paraId="3682794A" w14:textId="77777777" w:rsidR="005E000F" w:rsidRDefault="00000000">
            <w:pPr>
              <w:jc w:val="right"/>
              <w:rPr>
                <w:sz w:val="20"/>
                <w:szCs w:val="20"/>
              </w:rPr>
            </w:pPr>
            <w:r>
              <w:rPr>
                <w:sz w:val="20"/>
                <w:szCs w:val="20"/>
              </w:rPr>
              <w:t>0</w:t>
            </w:r>
          </w:p>
        </w:tc>
        <w:tc>
          <w:tcPr>
            <w:tcW w:w="372" w:type="pct"/>
            <w:vAlign w:val="center"/>
          </w:tcPr>
          <w:p w14:paraId="4673DD7B" w14:textId="77777777" w:rsidR="005E000F" w:rsidRDefault="00000000">
            <w:pPr>
              <w:jc w:val="right"/>
              <w:rPr>
                <w:sz w:val="20"/>
                <w:szCs w:val="20"/>
              </w:rPr>
            </w:pPr>
            <w:r>
              <w:rPr>
                <w:sz w:val="20"/>
                <w:szCs w:val="20"/>
              </w:rPr>
              <w:t>0</w:t>
            </w:r>
          </w:p>
        </w:tc>
        <w:tc>
          <w:tcPr>
            <w:tcW w:w="372" w:type="pct"/>
            <w:vAlign w:val="center"/>
          </w:tcPr>
          <w:p w14:paraId="66048A1A" w14:textId="77777777" w:rsidR="005E000F" w:rsidRDefault="00000000">
            <w:pPr>
              <w:jc w:val="right"/>
              <w:rPr>
                <w:sz w:val="20"/>
                <w:szCs w:val="20"/>
              </w:rPr>
            </w:pPr>
            <w:r>
              <w:rPr>
                <w:sz w:val="20"/>
                <w:szCs w:val="20"/>
              </w:rPr>
              <w:t>0</w:t>
            </w:r>
          </w:p>
        </w:tc>
        <w:tc>
          <w:tcPr>
            <w:tcW w:w="366" w:type="pct"/>
            <w:vAlign w:val="center"/>
          </w:tcPr>
          <w:p w14:paraId="57330027" w14:textId="77777777" w:rsidR="005E000F" w:rsidRDefault="00000000">
            <w:pPr>
              <w:jc w:val="right"/>
              <w:rPr>
                <w:sz w:val="20"/>
                <w:szCs w:val="20"/>
              </w:rPr>
            </w:pPr>
            <w:r>
              <w:rPr>
                <w:sz w:val="20"/>
                <w:szCs w:val="20"/>
              </w:rPr>
              <w:t>0</w:t>
            </w:r>
          </w:p>
        </w:tc>
        <w:tc>
          <w:tcPr>
            <w:tcW w:w="377" w:type="pct"/>
            <w:vAlign w:val="center"/>
          </w:tcPr>
          <w:p w14:paraId="5A99C9E8" w14:textId="77777777" w:rsidR="005E000F" w:rsidRDefault="00000000">
            <w:pPr>
              <w:jc w:val="right"/>
              <w:rPr>
                <w:sz w:val="20"/>
                <w:szCs w:val="20"/>
              </w:rPr>
            </w:pPr>
            <w:r>
              <w:rPr>
                <w:sz w:val="20"/>
                <w:szCs w:val="20"/>
              </w:rPr>
              <w:t>0</w:t>
            </w:r>
          </w:p>
        </w:tc>
        <w:tc>
          <w:tcPr>
            <w:tcW w:w="368" w:type="pct"/>
            <w:vAlign w:val="center"/>
          </w:tcPr>
          <w:p w14:paraId="58E3BF24" w14:textId="77777777" w:rsidR="005E000F" w:rsidRDefault="00000000">
            <w:pPr>
              <w:rPr>
                <w:sz w:val="20"/>
                <w:szCs w:val="20"/>
              </w:rPr>
            </w:pPr>
            <w:r>
              <w:rPr>
                <w:rFonts w:hint="eastAsia"/>
                <w:sz w:val="20"/>
                <w:szCs w:val="20"/>
              </w:rPr>
              <w:t>自筹</w:t>
            </w:r>
          </w:p>
        </w:tc>
      </w:tr>
      <w:tr w:rsidR="005E000F" w14:paraId="2BAE6097" w14:textId="77777777">
        <w:trPr>
          <w:cantSplit/>
        </w:trPr>
        <w:tc>
          <w:tcPr>
            <w:tcW w:w="427" w:type="pct"/>
            <w:vAlign w:val="center"/>
          </w:tcPr>
          <w:p w14:paraId="19FD3653" w14:textId="77777777" w:rsidR="005E000F" w:rsidRDefault="00000000">
            <w:pPr>
              <w:jc w:val="center"/>
              <w:rPr>
                <w:sz w:val="20"/>
                <w:szCs w:val="20"/>
              </w:rPr>
            </w:pPr>
            <w:r>
              <w:rPr>
                <w:rFonts w:hint="eastAsia"/>
                <w:sz w:val="20"/>
                <w:szCs w:val="20"/>
              </w:rPr>
              <w:t>合计</w:t>
            </w:r>
          </w:p>
        </w:tc>
        <w:tc>
          <w:tcPr>
            <w:tcW w:w="347" w:type="pct"/>
            <w:vAlign w:val="center"/>
          </w:tcPr>
          <w:p w14:paraId="2219CF0B" w14:textId="77777777" w:rsidR="005E000F" w:rsidRDefault="00000000">
            <w:pPr>
              <w:jc w:val="right"/>
              <w:rPr>
                <w:sz w:val="20"/>
                <w:szCs w:val="20"/>
              </w:rPr>
            </w:pPr>
            <w:r>
              <w:rPr>
                <w:rFonts w:hint="eastAsia"/>
                <w:sz w:val="20"/>
                <w:szCs w:val="20"/>
              </w:rPr>
              <w:t>899,816,000</w:t>
            </w:r>
          </w:p>
        </w:tc>
        <w:tc>
          <w:tcPr>
            <w:tcW w:w="505" w:type="pct"/>
            <w:vAlign w:val="center"/>
          </w:tcPr>
          <w:p w14:paraId="53289803" w14:textId="77777777" w:rsidR="005E000F" w:rsidRDefault="00000000">
            <w:pPr>
              <w:jc w:val="right"/>
              <w:rPr>
                <w:sz w:val="20"/>
                <w:szCs w:val="20"/>
                <w:lang w:eastAsia="en-US"/>
              </w:rPr>
            </w:pPr>
            <w:r>
              <w:rPr>
                <w:sz w:val="20"/>
                <w:szCs w:val="20"/>
              </w:rPr>
              <w:t>1,960,725,579</w:t>
            </w:r>
          </w:p>
        </w:tc>
        <w:tc>
          <w:tcPr>
            <w:tcW w:w="1466" w:type="dxa"/>
            <w:vAlign w:val="center"/>
          </w:tcPr>
          <w:p w14:paraId="575C7BB6" w14:textId="77777777" w:rsidR="005E000F" w:rsidRDefault="00000000">
            <w:pPr>
              <w:jc w:val="right"/>
              <w:rPr>
                <w:sz w:val="20"/>
                <w:szCs w:val="20"/>
              </w:rPr>
            </w:pPr>
            <w:r>
              <w:rPr>
                <w:rFonts w:hint="eastAsia"/>
                <w:sz w:val="20"/>
                <w:szCs w:val="20"/>
              </w:rPr>
              <w:t>12,607,937,309</w:t>
            </w:r>
          </w:p>
        </w:tc>
        <w:tc>
          <w:tcPr>
            <w:tcW w:w="1466" w:type="dxa"/>
            <w:vAlign w:val="center"/>
          </w:tcPr>
          <w:p w14:paraId="1202E00B" w14:textId="77777777" w:rsidR="005E000F" w:rsidRDefault="00000000">
            <w:pPr>
              <w:jc w:val="right"/>
              <w:rPr>
                <w:sz w:val="20"/>
                <w:szCs w:val="20"/>
              </w:rPr>
            </w:pPr>
            <w:r>
              <w:rPr>
                <w:sz w:val="20"/>
                <w:szCs w:val="20"/>
              </w:rPr>
              <w:t>13,686,209,063</w:t>
            </w:r>
          </w:p>
        </w:tc>
        <w:tc>
          <w:tcPr>
            <w:tcW w:w="866" w:type="dxa"/>
            <w:vAlign w:val="center"/>
          </w:tcPr>
          <w:p w14:paraId="1359C131" w14:textId="77777777" w:rsidR="005E000F" w:rsidRDefault="00000000">
            <w:pPr>
              <w:jc w:val="right"/>
              <w:rPr>
                <w:sz w:val="20"/>
                <w:szCs w:val="20"/>
              </w:rPr>
            </w:pPr>
            <w:r>
              <w:rPr>
                <w:rFonts w:hint="eastAsia"/>
                <w:sz w:val="20"/>
                <w:szCs w:val="20"/>
              </w:rPr>
              <w:t>868,594</w:t>
            </w:r>
          </w:p>
        </w:tc>
        <w:tc>
          <w:tcPr>
            <w:tcW w:w="1216" w:type="dxa"/>
            <w:vAlign w:val="center"/>
          </w:tcPr>
          <w:p w14:paraId="75553B4E" w14:textId="77777777" w:rsidR="005E000F" w:rsidRDefault="00000000">
            <w:pPr>
              <w:jc w:val="right"/>
              <w:rPr>
                <w:sz w:val="20"/>
                <w:szCs w:val="20"/>
              </w:rPr>
            </w:pPr>
            <w:r>
              <w:rPr>
                <w:sz w:val="20"/>
                <w:szCs w:val="20"/>
              </w:rPr>
              <w:t>881,585,231</w:t>
            </w:r>
          </w:p>
        </w:tc>
        <w:tc>
          <w:tcPr>
            <w:tcW w:w="374" w:type="pct"/>
            <w:vAlign w:val="center"/>
          </w:tcPr>
          <w:p w14:paraId="61D11C9D" w14:textId="77777777" w:rsidR="005E000F" w:rsidRDefault="00000000">
            <w:pPr>
              <w:jc w:val="right"/>
              <w:rPr>
                <w:sz w:val="20"/>
                <w:szCs w:val="20"/>
              </w:rPr>
            </w:pPr>
            <w:r>
              <w:rPr>
                <w:rFonts w:hint="eastAsia"/>
                <w:sz w:val="20"/>
                <w:szCs w:val="20"/>
              </w:rPr>
              <w:t>/</w:t>
            </w:r>
          </w:p>
        </w:tc>
        <w:tc>
          <w:tcPr>
            <w:tcW w:w="372" w:type="pct"/>
            <w:vAlign w:val="center"/>
          </w:tcPr>
          <w:p w14:paraId="2E43A7DA" w14:textId="77777777" w:rsidR="005E000F" w:rsidRDefault="00000000">
            <w:pPr>
              <w:jc w:val="right"/>
              <w:rPr>
                <w:sz w:val="20"/>
                <w:szCs w:val="20"/>
              </w:rPr>
            </w:pPr>
            <w:r>
              <w:rPr>
                <w:rFonts w:hint="eastAsia"/>
                <w:sz w:val="20"/>
                <w:szCs w:val="20"/>
              </w:rPr>
              <w:t>/</w:t>
            </w:r>
          </w:p>
        </w:tc>
        <w:tc>
          <w:tcPr>
            <w:tcW w:w="372" w:type="pct"/>
            <w:vAlign w:val="center"/>
          </w:tcPr>
          <w:p w14:paraId="748B107D" w14:textId="77777777" w:rsidR="005E000F" w:rsidRDefault="00000000">
            <w:pPr>
              <w:jc w:val="right"/>
              <w:rPr>
                <w:sz w:val="20"/>
                <w:szCs w:val="20"/>
              </w:rPr>
            </w:pPr>
            <w:r>
              <w:rPr>
                <w:sz w:val="20"/>
                <w:szCs w:val="20"/>
              </w:rPr>
              <w:t>0</w:t>
            </w:r>
          </w:p>
        </w:tc>
        <w:tc>
          <w:tcPr>
            <w:tcW w:w="366" w:type="pct"/>
            <w:vAlign w:val="center"/>
          </w:tcPr>
          <w:p w14:paraId="16047164" w14:textId="77777777" w:rsidR="005E000F" w:rsidRDefault="00000000">
            <w:pPr>
              <w:jc w:val="right"/>
              <w:rPr>
                <w:sz w:val="20"/>
                <w:szCs w:val="20"/>
              </w:rPr>
            </w:pPr>
            <w:r>
              <w:rPr>
                <w:rFonts w:hint="eastAsia"/>
                <w:sz w:val="20"/>
                <w:szCs w:val="20"/>
              </w:rPr>
              <w:t>/</w:t>
            </w:r>
          </w:p>
        </w:tc>
        <w:tc>
          <w:tcPr>
            <w:tcW w:w="377" w:type="pct"/>
            <w:vAlign w:val="center"/>
          </w:tcPr>
          <w:p w14:paraId="437EC50C" w14:textId="77777777" w:rsidR="005E000F" w:rsidRDefault="00000000">
            <w:pPr>
              <w:jc w:val="right"/>
              <w:rPr>
                <w:sz w:val="20"/>
                <w:szCs w:val="20"/>
              </w:rPr>
            </w:pPr>
            <w:r>
              <w:rPr>
                <w:sz w:val="20"/>
                <w:szCs w:val="20"/>
              </w:rPr>
              <w:t>0</w:t>
            </w:r>
          </w:p>
        </w:tc>
        <w:tc>
          <w:tcPr>
            <w:tcW w:w="368" w:type="pct"/>
            <w:vAlign w:val="center"/>
          </w:tcPr>
          <w:p w14:paraId="715A2E47" w14:textId="77777777" w:rsidR="005E000F" w:rsidRDefault="00000000">
            <w:pPr>
              <w:jc w:val="right"/>
              <w:rPr>
                <w:sz w:val="20"/>
                <w:szCs w:val="20"/>
              </w:rPr>
            </w:pPr>
            <w:r>
              <w:rPr>
                <w:rFonts w:hint="eastAsia"/>
                <w:sz w:val="20"/>
                <w:szCs w:val="20"/>
              </w:rPr>
              <w:t>/</w:t>
            </w:r>
          </w:p>
        </w:tc>
      </w:tr>
    </w:tbl>
    <w:p w14:paraId="5BBC5200" w14:textId="77777777" w:rsidR="005E000F" w:rsidRDefault="005E000F">
      <w:pPr>
        <w:snapToGrid w:val="0"/>
        <w:spacing w:line="240" w:lineRule="atLeast"/>
        <w:sectPr w:rsidR="005E000F">
          <w:pgSz w:w="16838" w:h="11906" w:orient="landscape"/>
          <w:pgMar w:top="1276" w:right="1440" w:bottom="1797" w:left="1525" w:header="856" w:footer="992" w:gutter="0"/>
          <w:cols w:space="425"/>
          <w:docGrid w:linePitch="312"/>
        </w:sectPr>
      </w:pPr>
    </w:p>
    <w:p w14:paraId="62A2BF56" w14:textId="77777777" w:rsidR="005E000F" w:rsidRDefault="005E000F">
      <w:pPr>
        <w:snapToGrid w:val="0"/>
        <w:spacing w:line="240" w:lineRule="atLeast"/>
      </w:pPr>
    </w:p>
    <w:p w14:paraId="18933151" w14:textId="77777777" w:rsidR="005E000F" w:rsidRDefault="00000000">
      <w:pPr>
        <w:pStyle w:val="5"/>
        <w:numPr>
          <w:ilvl w:val="0"/>
          <w:numId w:val="82"/>
        </w:numPr>
        <w:ind w:leftChars="0"/>
        <w:rPr>
          <w:rFonts w:ascii="宋体" w:hAnsi="宋体" w:cs="宋体"/>
          <w:kern w:val="0"/>
          <w:szCs w:val="24"/>
        </w:rPr>
      </w:pPr>
      <w:r>
        <w:rPr>
          <w:rFonts w:ascii="宋体" w:hAnsi="宋体" w:cs="宋体" w:hint="eastAsia"/>
          <w:kern w:val="0"/>
          <w:szCs w:val="24"/>
        </w:rPr>
        <w:t>本期计提在建工程减值准备情况</w:t>
      </w:r>
    </w:p>
    <w:sdt>
      <w:sdtPr>
        <w:alias w:val="是否适用：本期计提在建工程减值准备情况[双击切换]"/>
        <w:tag w:val="_GBC_f0a78e682a314d34a7b55dd88c219307"/>
        <w:id w:val="607934420"/>
        <w:placeholder>
          <w:docPart w:val="GBC22222222222222222222222222222"/>
        </w:placeholder>
      </w:sdtPr>
      <w:sdtContent>
        <w:p w14:paraId="61D7B98E"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BF66137" w14:textId="77777777" w:rsidR="005E000F" w:rsidRDefault="005E000F">
      <w:pPr>
        <w:rPr>
          <w:rFonts w:asciiTheme="minorHAnsi" w:hAnsiTheme="minorHAnsi" w:cstheme="minorBidi"/>
          <w:kern w:val="2"/>
          <w:szCs w:val="22"/>
        </w:rPr>
      </w:pPr>
    </w:p>
    <w:p w14:paraId="25FC52A6" w14:textId="77777777" w:rsidR="005E000F" w:rsidRDefault="00000000">
      <w:pPr>
        <w:pStyle w:val="5"/>
        <w:numPr>
          <w:ilvl w:val="0"/>
          <w:numId w:val="82"/>
        </w:numPr>
        <w:ind w:leftChars="0"/>
        <w:rPr>
          <w:rFonts w:ascii="宋体" w:hAnsi="宋体" w:cs="宋体"/>
          <w:kern w:val="0"/>
          <w:szCs w:val="24"/>
        </w:rPr>
      </w:pPr>
      <w:bookmarkStart w:id="342" w:name="_Hlk153461314"/>
      <w:r>
        <w:rPr>
          <w:rFonts w:ascii="宋体" w:hAnsi="宋体" w:cs="宋体" w:hint="eastAsia"/>
          <w:kern w:val="0"/>
          <w:szCs w:val="24"/>
        </w:rPr>
        <w:t>在建工程的减值测试情况</w:t>
      </w:r>
    </w:p>
    <w:sdt>
      <w:sdtPr>
        <w:alias w:val="是否适用：减值测试情况[双击切换]"/>
        <w:tag w:val="_GBC_d3e3ceb3450d42e8a3d61da2c2d7d3cb"/>
        <w:id w:val="1926377189"/>
        <w:placeholder>
          <w:docPart w:val="GBC22222222222222222222222222222"/>
        </w:placeholder>
      </w:sdtPr>
      <w:sdtContent>
        <w:p w14:paraId="5BFB71B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84630ED" w14:textId="77777777" w:rsidR="005E000F" w:rsidRDefault="005E000F">
      <w:pPr>
        <w:snapToGrid w:val="0"/>
        <w:spacing w:line="240" w:lineRule="atLeast"/>
      </w:pPr>
    </w:p>
    <w:bookmarkEnd w:id="342"/>
    <w:p w14:paraId="17CFDDD3" w14:textId="77777777" w:rsidR="005E000F" w:rsidRDefault="00000000">
      <w:r>
        <w:rPr>
          <w:rFonts w:hint="eastAsia"/>
        </w:rPr>
        <w:t>其他说明：</w:t>
      </w:r>
    </w:p>
    <w:sdt>
      <w:sdtPr>
        <w:alias w:val="是否适用：在建工程的说明[双击切换]"/>
        <w:tag w:val="_GBC_e6220a45d928426882f5c3ad23ff2098"/>
        <w:id w:val="1146559842"/>
        <w:placeholder>
          <w:docPart w:val="GBC22222222222222222222222222222"/>
        </w:placeholder>
      </w:sdtPr>
      <w:sdtContent>
        <w:p w14:paraId="1C7DA672"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在建工程的说明"/>
        <w:tag w:val="_GBC_917b304512fa407ebe1ac25233a9f6a6"/>
        <w:id w:val="-1647053125"/>
        <w:placeholder>
          <w:docPart w:val="0255A55D61294BA8813FADA9CD86B4BA"/>
        </w:placeholder>
      </w:sdtPr>
      <w:sdtContent>
        <w:p w14:paraId="1B671F22" w14:textId="77777777" w:rsidR="005E000F" w:rsidRDefault="00000000">
          <w:pPr>
            <w:rPr>
              <w:color w:val="000000" w:themeColor="text1"/>
            </w:rPr>
          </w:pPr>
          <w:r>
            <w:rPr>
              <w:rFonts w:hint="eastAsia"/>
              <w:color w:val="000000" w:themeColor="text1"/>
            </w:rPr>
            <w:t>于</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w:t>
          </w:r>
          <w:r>
            <w:rPr>
              <w:rFonts w:hint="eastAsia"/>
            </w:rPr>
            <w:t>本集团</w:t>
          </w:r>
          <w:r>
            <w:rPr>
              <w:rFonts w:hint="eastAsia"/>
              <w:color w:val="000000" w:themeColor="text1"/>
            </w:rPr>
            <w:t>的在建工程不存在重大减值迹象。</w:t>
          </w:r>
        </w:p>
        <w:p w14:paraId="5E222C46" w14:textId="77777777" w:rsidR="005E000F" w:rsidRDefault="005E000F">
          <w:pPr>
            <w:rPr>
              <w:color w:val="000000" w:themeColor="text1"/>
            </w:rPr>
          </w:pPr>
        </w:p>
        <w:p w14:paraId="600959DC" w14:textId="77777777" w:rsidR="005E000F" w:rsidRDefault="00000000">
          <w:pPr>
            <w:rPr>
              <w:color w:val="000000" w:themeColor="text1"/>
            </w:rPr>
          </w:pPr>
          <w:r>
            <w:rPr>
              <w:rFonts w:hint="eastAsia"/>
              <w:color w:val="000000" w:themeColor="text1"/>
            </w:rPr>
            <w:t>注</w:t>
          </w:r>
          <w:r>
            <w:rPr>
              <w:rFonts w:hint="eastAsia"/>
              <w:color w:val="000000" w:themeColor="text1"/>
            </w:rPr>
            <w:t>1</w:t>
          </w:r>
          <w:r>
            <w:rPr>
              <w:rFonts w:hint="eastAsia"/>
              <w:color w:val="000000" w:themeColor="text1"/>
            </w:rPr>
            <w:t>：其他工程项目由于单项金额较小，未单独列示。</w:t>
          </w:r>
        </w:p>
      </w:sdtContent>
    </w:sdt>
    <w:p w14:paraId="61C9445B" w14:textId="77777777" w:rsidR="005E000F" w:rsidRDefault="005E000F">
      <w:pPr>
        <w:rPr>
          <w:color w:val="000000" w:themeColor="text1"/>
        </w:rPr>
      </w:pPr>
    </w:p>
    <w:p w14:paraId="0150456F" w14:textId="77777777" w:rsidR="005E000F" w:rsidRDefault="00000000">
      <w:pPr>
        <w:pStyle w:val="4"/>
        <w:ind w:left="360" w:hanging="360"/>
      </w:pPr>
      <w:bookmarkStart w:id="343" w:name="_Hlk532903321"/>
      <w:r>
        <w:rPr>
          <w:rFonts w:hint="eastAsia"/>
        </w:rPr>
        <w:t>工程物资</w:t>
      </w:r>
    </w:p>
    <w:p w14:paraId="7F8455CA" w14:textId="77777777" w:rsidR="005E000F" w:rsidRDefault="00000000">
      <w:pPr>
        <w:pStyle w:val="5"/>
        <w:numPr>
          <w:ilvl w:val="0"/>
          <w:numId w:val="83"/>
        </w:numPr>
        <w:ind w:leftChars="0"/>
      </w:pPr>
      <w:r>
        <w:rPr>
          <w:rFonts w:hint="eastAsia"/>
        </w:rPr>
        <w:t>工程物资情况</w:t>
      </w:r>
    </w:p>
    <w:sdt>
      <w:sdtPr>
        <w:alias w:val="是否适用：工程物资[双击切换]"/>
        <w:tag w:val="_GBC_91916c11fa864423a1c0e6a4024fdda5"/>
        <w:id w:val="-369143795"/>
        <w:placeholder>
          <w:docPart w:val="GBC22222222222222222222222222222"/>
        </w:placeholder>
      </w:sdtPr>
      <w:sdtContent>
        <w:p w14:paraId="12DC158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031C344" w14:textId="77777777" w:rsidR="005E000F" w:rsidRDefault="005E000F"/>
    <w:p w14:paraId="301CD388" w14:textId="77777777" w:rsidR="005E000F" w:rsidRDefault="005E000F">
      <w:pPr>
        <w:rPr>
          <w:rFonts w:cstheme="minorBidi"/>
        </w:rPr>
      </w:pPr>
    </w:p>
    <w:bookmarkEnd w:id="343"/>
    <w:p w14:paraId="5CEBDB5A"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生产性生物资产</w:t>
      </w:r>
    </w:p>
    <w:p w14:paraId="5F4AE874" w14:textId="77777777" w:rsidR="005E000F" w:rsidRDefault="00000000">
      <w:pPr>
        <w:pStyle w:val="4"/>
        <w:numPr>
          <w:ilvl w:val="3"/>
          <w:numId w:val="84"/>
        </w:numPr>
        <w:ind w:left="426" w:hanging="426"/>
      </w:pPr>
      <w:r>
        <w:rPr>
          <w:rFonts w:hint="eastAsia"/>
        </w:rPr>
        <w:t>采用成本计量模式的生产性生物资产</w:t>
      </w:r>
    </w:p>
    <w:sdt>
      <w:sdtPr>
        <w:rPr>
          <w:rFonts w:hint="eastAsia"/>
        </w:rPr>
        <w:alias w:val="是否适用：财务附注：以成本计量的生产性生物资产[双击切换]"/>
        <w:tag w:val="_GBC_925c2a7345d74ba1bae908f2c1695459"/>
        <w:id w:val="1052739660"/>
        <w:placeholder>
          <w:docPart w:val="GBC22222222222222222222222222222"/>
        </w:placeholder>
      </w:sdtPr>
      <w:sdtContent>
        <w:p w14:paraId="57C4A56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E0A0C2D" w14:textId="77777777" w:rsidR="005E000F" w:rsidRDefault="005E000F">
      <w:pPr>
        <w:rPr>
          <w:rFonts w:cstheme="minorBidi"/>
        </w:rPr>
      </w:pPr>
    </w:p>
    <w:p w14:paraId="5281F72F" w14:textId="77777777" w:rsidR="005E000F" w:rsidRDefault="00000000">
      <w:pPr>
        <w:pStyle w:val="4"/>
        <w:numPr>
          <w:ilvl w:val="3"/>
          <w:numId w:val="84"/>
        </w:numPr>
        <w:ind w:left="426" w:hanging="426"/>
        <w:rPr>
          <w:rFonts w:ascii="宋体" w:eastAsia="宋体" w:hAnsi="宋体" w:cstheme="minorBidi"/>
          <w:kern w:val="0"/>
          <w:szCs w:val="24"/>
        </w:rPr>
      </w:pPr>
      <w:bookmarkStart w:id="344" w:name="_Hlk153461442"/>
      <w:r>
        <w:rPr>
          <w:rFonts w:ascii="宋体" w:eastAsia="宋体" w:hAnsi="宋体" w:cstheme="minorBidi" w:hint="eastAsia"/>
          <w:kern w:val="0"/>
          <w:szCs w:val="24"/>
        </w:rPr>
        <w:t>采用成本计量模式的生产性生物资产的减值测试情况</w:t>
      </w:r>
    </w:p>
    <w:sdt>
      <w:sdtPr>
        <w:alias w:val="是否适用：减值测试情况[双击切换]"/>
        <w:tag w:val="_GBC_1463ca9b414a4cb28d5d13fd1d3b8486"/>
        <w:id w:val="-1544281505"/>
        <w:placeholder>
          <w:docPart w:val="GBC22222222222222222222222222222"/>
        </w:placeholder>
      </w:sdtPr>
      <w:sdtContent>
        <w:p w14:paraId="5EF4A1E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9F54230" w14:textId="77777777" w:rsidR="005E000F" w:rsidRDefault="005E000F">
      <w:pPr>
        <w:snapToGrid w:val="0"/>
        <w:spacing w:line="240" w:lineRule="atLeast"/>
      </w:pPr>
    </w:p>
    <w:bookmarkEnd w:id="344"/>
    <w:p w14:paraId="00F908A7" w14:textId="77777777" w:rsidR="005E000F" w:rsidRDefault="00000000">
      <w:pPr>
        <w:pStyle w:val="4"/>
        <w:numPr>
          <w:ilvl w:val="3"/>
          <w:numId w:val="84"/>
        </w:numPr>
        <w:ind w:left="426" w:hanging="426"/>
      </w:pPr>
      <w:r>
        <w:rPr>
          <w:rFonts w:hint="eastAsia"/>
        </w:rPr>
        <w:t>采用公允价值计量模式的生产性生物资产</w:t>
      </w:r>
    </w:p>
    <w:sdt>
      <w:sdtPr>
        <w:alias w:val="是否适用：财务附注：以公允价值计量的生产性生物资产[双击切换]"/>
        <w:tag w:val="_GBC_9b7a21a74fee4d22abc99ad9ee747e07"/>
        <w:id w:val="2050498830"/>
        <w:placeholder>
          <w:docPart w:val="GBC22222222222222222222222222222"/>
        </w:placeholder>
      </w:sdtPr>
      <w:sdtContent>
        <w:p w14:paraId="6CCDA0A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798B9B4" w14:textId="77777777" w:rsidR="005E000F" w:rsidRDefault="005E000F"/>
    <w:p w14:paraId="2918F2A7" w14:textId="77777777" w:rsidR="005E000F" w:rsidRDefault="00000000">
      <w:pPr>
        <w:autoSpaceDE w:val="0"/>
        <w:autoSpaceDN w:val="0"/>
        <w:adjustRightInd w:val="0"/>
      </w:pPr>
      <w:r>
        <w:rPr>
          <w:rFonts w:hint="eastAsia"/>
        </w:rPr>
        <w:t>其他说明：</w:t>
      </w:r>
    </w:p>
    <w:sdt>
      <w:sdtPr>
        <w:alias w:val="是否适用：生产性生物资产的说明[双击切换]"/>
        <w:tag w:val="_GBC_d3e0f749d04b4097a0886c38dadda8f4"/>
        <w:id w:val="-1911070689"/>
        <w:placeholder>
          <w:docPart w:val="GBC22222222222222222222222222222"/>
        </w:placeholder>
      </w:sdtPr>
      <w:sdtContent>
        <w:p w14:paraId="3D21B65A" w14:textId="77777777" w:rsidR="005E000F" w:rsidRDefault="00000000">
          <w:pPr>
            <w:autoSpaceDE w:val="0"/>
            <w:autoSpaceDN w:val="0"/>
            <w:adjustRightInd w:val="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15D71B0" w14:textId="77777777" w:rsidR="005E000F" w:rsidRDefault="005E000F"/>
    <w:p w14:paraId="08DF425C"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油气资产</w:t>
      </w:r>
    </w:p>
    <w:p w14:paraId="78017998" w14:textId="77777777" w:rsidR="005E000F" w:rsidRDefault="00000000">
      <w:pPr>
        <w:pStyle w:val="4"/>
        <w:numPr>
          <w:ilvl w:val="0"/>
          <w:numId w:val="85"/>
        </w:numPr>
        <w:ind w:left="450" w:hanging="450"/>
      </w:pPr>
      <w:r>
        <w:rPr>
          <w:rFonts w:hint="eastAsia"/>
        </w:rPr>
        <w:t>油气资产情况</w:t>
      </w:r>
    </w:p>
    <w:sdt>
      <w:sdtPr>
        <w:alias w:val="是否适用：油气资产[双击切换]"/>
        <w:tag w:val="_GBC_a587239cd6ac4d96b99f6fe496e97c34"/>
        <w:id w:val="-1471970575"/>
        <w:placeholder>
          <w:docPart w:val="GBC22222222222222222222222222222"/>
        </w:placeholder>
      </w:sdtPr>
      <w:sdtContent>
        <w:p w14:paraId="6BA2A29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94399AC" w14:textId="77777777" w:rsidR="005E000F" w:rsidRDefault="005E000F">
      <w:pPr>
        <w:rPr>
          <w:rFonts w:cstheme="minorBidi"/>
          <w:kern w:val="2"/>
        </w:rPr>
      </w:pPr>
    </w:p>
    <w:p w14:paraId="116B4536" w14:textId="77777777" w:rsidR="005E000F" w:rsidRDefault="00000000">
      <w:pPr>
        <w:pStyle w:val="4"/>
        <w:numPr>
          <w:ilvl w:val="0"/>
          <w:numId w:val="85"/>
        </w:numPr>
        <w:ind w:left="450" w:hanging="450"/>
      </w:pPr>
      <w:bookmarkStart w:id="345" w:name="_Hlk153461604"/>
      <w:r>
        <w:rPr>
          <w:rFonts w:hint="eastAsia"/>
        </w:rPr>
        <w:t>油气资产的减值测试情况</w:t>
      </w:r>
    </w:p>
    <w:sdt>
      <w:sdtPr>
        <w:alias w:val="是否适用：减值测试情况[双击切换]"/>
        <w:tag w:val="_GBC_c658db7dbb96462dbe4ab745ca73e3ca"/>
        <w:id w:val="-1352872078"/>
        <w:placeholder>
          <w:docPart w:val="GBC22222222222222222222222222222"/>
        </w:placeholder>
      </w:sdtPr>
      <w:sdtContent>
        <w:p w14:paraId="5B4AE76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39C62DC" w14:textId="77777777" w:rsidR="005E000F" w:rsidRDefault="005E000F"/>
    <w:p w14:paraId="01898936" w14:textId="77777777" w:rsidR="005E000F" w:rsidRDefault="005E000F">
      <w:pPr>
        <w:snapToGrid w:val="0"/>
        <w:spacing w:line="240" w:lineRule="atLeast"/>
      </w:pPr>
    </w:p>
    <w:p w14:paraId="146196B1" w14:textId="77777777" w:rsidR="005E000F" w:rsidRDefault="00000000">
      <w:pPr>
        <w:autoSpaceDE w:val="0"/>
        <w:autoSpaceDN w:val="0"/>
        <w:adjustRightInd w:val="0"/>
      </w:pPr>
      <w:bookmarkStart w:id="346" w:name="_Hlk152863119"/>
      <w:bookmarkEnd w:id="345"/>
      <w:r>
        <w:rPr>
          <w:rFonts w:hint="eastAsia"/>
        </w:rPr>
        <w:t>其他说明：</w:t>
      </w:r>
    </w:p>
    <w:p w14:paraId="7EDEAF02" w14:textId="77777777" w:rsidR="005E000F" w:rsidRDefault="00000000">
      <w:sdt>
        <w:sdtPr>
          <w:alias w:val="油气资产的说明"/>
          <w:tag w:val="_GBC_4766b2b071af48e7aaf22a35a082671e"/>
          <w:id w:val="757640863"/>
          <w:placeholder>
            <w:docPart w:val="GBC22222222222222222222222222222"/>
          </w:placeholder>
        </w:sdtPr>
        <w:sdtContent>
          <w:r>
            <w:rPr>
              <w:rFonts w:hint="eastAsia"/>
            </w:rPr>
            <w:t>无</w:t>
          </w:r>
        </w:sdtContent>
      </w:sdt>
    </w:p>
    <w:bookmarkEnd w:id="346"/>
    <w:p w14:paraId="3FECD999" w14:textId="77777777" w:rsidR="005E000F" w:rsidRDefault="005E000F">
      <w:pPr>
        <w:sectPr w:rsidR="005E000F">
          <w:pgSz w:w="11906" w:h="16838"/>
          <w:pgMar w:top="1440" w:right="1797" w:bottom="1525" w:left="1276" w:header="856" w:footer="992" w:gutter="0"/>
          <w:cols w:space="425"/>
          <w:docGrid w:linePitch="312"/>
        </w:sectPr>
      </w:pPr>
    </w:p>
    <w:p w14:paraId="7C649A2B" w14:textId="77777777" w:rsidR="005E000F" w:rsidRDefault="005E000F"/>
    <w:bookmarkStart w:id="347" w:name="_Hlk121390344" w:displacedByCustomXml="next"/>
    <w:bookmarkStart w:id="348" w:name="_Hlk24026112" w:displacedByCustomXml="next"/>
    <w:sdt>
      <w:sdtPr>
        <w:rPr>
          <w:rFonts w:ascii="宋体" w:hAnsi="宋体" w:cs="宋体" w:hint="eastAsia"/>
          <w:b w:val="0"/>
          <w:bCs w:val="0"/>
          <w:kern w:val="0"/>
          <w:szCs w:val="21"/>
        </w:rPr>
        <w:alias w:val="模块:使用权资产"/>
        <w:tag w:val="_SEC_56ef077439914c3f97ba31c1af9eef32"/>
        <w:id w:val="2012414294"/>
        <w:placeholder>
          <w:docPart w:val="GBC22222222222222222222222222222"/>
        </w:placeholder>
      </w:sdtPr>
      <w:sdtEndPr>
        <w:rPr>
          <w:rFonts w:ascii="Times New Roman" w:hAnsi="Times New Roman" w:cs="Times New Roman"/>
          <w:szCs w:val="20"/>
        </w:rPr>
      </w:sdtEndPr>
      <w:sdtContent>
        <w:sdt>
          <w:sdtPr>
            <w:tag w:val="_PLD_711cc8de7e9f47e8bf0e59a53059ca2e"/>
            <w:id w:val="78722622"/>
          </w:sdtPr>
          <w:sdtContent>
            <w:p w14:paraId="3A7B70C9" w14:textId="77777777" w:rsidR="005E000F" w:rsidRDefault="00000000">
              <w:pPr>
                <w:pStyle w:val="3"/>
                <w:numPr>
                  <w:ilvl w:val="0"/>
                  <w:numId w:val="66"/>
                </w:numPr>
                <w:tabs>
                  <w:tab w:val="left" w:pos="504"/>
                </w:tabs>
                <w:rPr>
                  <w:szCs w:val="21"/>
                </w:rPr>
              </w:pPr>
              <w:r>
                <w:rPr>
                  <w:rFonts w:hint="eastAsia"/>
                  <w:szCs w:val="21"/>
                </w:rPr>
                <w:t>使用权资产</w:t>
              </w:r>
            </w:p>
          </w:sdtContent>
        </w:sdt>
        <w:p w14:paraId="2CA2B0F4" w14:textId="77777777" w:rsidR="005E000F" w:rsidRDefault="00000000">
          <w:pPr>
            <w:pStyle w:val="4"/>
            <w:numPr>
              <w:ilvl w:val="0"/>
              <w:numId w:val="86"/>
            </w:numPr>
          </w:pPr>
          <w:r>
            <w:rPr>
              <w:rFonts w:hint="eastAsia"/>
            </w:rPr>
            <w:t>使用权资产情况</w:t>
          </w:r>
        </w:p>
        <w:sdt>
          <w:sdtPr>
            <w:alias w:val="是否适用：使用权资产[双击切换]"/>
            <w:tag w:val="_GBC_0d86ed9789d84ef592fcb1556e3f676f"/>
            <w:id w:val="1058517875"/>
          </w:sdtPr>
          <w:sdtContent>
            <w:p w14:paraId="786B43A0"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sdtContent>
        </w:sdt>
        <w:p w14:paraId="460E39CD" w14:textId="77777777" w:rsidR="005E000F" w:rsidRDefault="00000000">
          <w:pPr>
            <w:autoSpaceDE w:val="0"/>
            <w:autoSpaceDN w:val="0"/>
            <w:adjustRightInd w:val="0"/>
            <w:jc w:val="right"/>
          </w:pPr>
          <w:r>
            <w:rPr>
              <w:rFonts w:hint="eastAsia"/>
            </w:rPr>
            <w:t>单位：</w:t>
          </w:r>
          <w:sdt>
            <w:sdtPr>
              <w:rPr>
                <w:rFonts w:hint="eastAsia"/>
              </w:rPr>
              <w:alias w:val="单位：使用权资产"/>
              <w:tag w:val="_GBC_f958637710fb400c8900b59a67a7bfeb"/>
              <w:id w:val="-1181193753"/>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w:t>
          </w:r>
          <w:r>
            <w:rPr>
              <w:rFonts w:hint="eastAsia"/>
            </w:rPr>
            <w:t>币种：</w:t>
          </w:r>
          <w:sdt>
            <w:sdtPr>
              <w:rPr>
                <w:rFonts w:hint="eastAsia"/>
              </w:rPr>
              <w:alias w:val="币种：使用权资产"/>
              <w:tag w:val="_GBC_52957ed8d1644c96801bc28a57ac0486"/>
              <w:id w:val="388628509"/>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474"/>
            <w:gridCol w:w="1685"/>
            <w:gridCol w:w="1581"/>
            <w:gridCol w:w="1386"/>
            <w:gridCol w:w="1372"/>
            <w:gridCol w:w="1353"/>
            <w:gridCol w:w="1685"/>
            <w:gridCol w:w="1513"/>
          </w:tblGrid>
          <w:tr w:rsidR="005E000F" w14:paraId="0F8AC325" w14:textId="77777777">
            <w:trPr>
              <w:trHeight w:val="284"/>
            </w:trPr>
            <w:sdt>
              <w:sdtPr>
                <w:tag w:val="_PLD_6e52ac1447e040bbbee6d5db3fc1c995"/>
                <w:id w:val="-1508521036"/>
              </w:sdtPr>
              <w:sdtContent>
                <w:tc>
                  <w:tcPr>
                    <w:tcW w:w="724" w:type="pct"/>
                    <w:vAlign w:val="center"/>
                  </w:tcPr>
                  <w:p w14:paraId="2ACC3DDF" w14:textId="77777777" w:rsidR="005E000F" w:rsidRDefault="00000000">
                    <w:pPr>
                      <w:spacing w:line="240" w:lineRule="atLeast"/>
                      <w:jc w:val="center"/>
                    </w:pPr>
                    <w:r>
                      <w:rPr>
                        <w:rFonts w:hint="eastAsia"/>
                      </w:rPr>
                      <w:t>项目</w:t>
                    </w:r>
                  </w:p>
                </w:tc>
              </w:sdtContent>
            </w:sdt>
            <w:sdt>
              <w:sdtPr>
                <w:alias w:val="使用权资产明细-项目"/>
                <w:tag w:val="_GBC_8854a3b92dce426b81aa78cb836a99cd"/>
                <w:id w:val="525757394"/>
              </w:sdtPr>
              <w:sdtContent>
                <w:tc>
                  <w:tcPr>
                    <w:tcW w:w="523" w:type="pct"/>
                    <w:vAlign w:val="center"/>
                  </w:tcPr>
                  <w:p w14:paraId="786E6A07" w14:textId="77777777" w:rsidR="005E000F" w:rsidRDefault="00000000">
                    <w:pPr>
                      <w:spacing w:line="240" w:lineRule="atLeast"/>
                      <w:jc w:val="center"/>
                    </w:pPr>
                    <w:r>
                      <w:t>房屋及建筑物</w:t>
                    </w:r>
                  </w:p>
                </w:tc>
              </w:sdtContent>
            </w:sdt>
            <w:sdt>
              <w:sdtPr>
                <w:alias w:val="使用权资产明细-项目"/>
                <w:tag w:val="_GBC_8854a3b92dce426b81aa78cb836a99cd"/>
                <w:id w:val="-1482621486"/>
              </w:sdtPr>
              <w:sdtContent>
                <w:tc>
                  <w:tcPr>
                    <w:tcW w:w="598" w:type="pct"/>
                    <w:vAlign w:val="center"/>
                  </w:tcPr>
                  <w:p w14:paraId="3EE67C77" w14:textId="77777777" w:rsidR="005E000F" w:rsidRDefault="00000000">
                    <w:pPr>
                      <w:spacing w:line="240" w:lineRule="atLeast"/>
                      <w:jc w:val="center"/>
                    </w:pPr>
                    <w:r>
                      <w:t>机车车辆</w:t>
                    </w:r>
                  </w:p>
                </w:tc>
              </w:sdtContent>
            </w:sdt>
            <w:sdt>
              <w:sdtPr>
                <w:alias w:val="使用权资产明细-项目"/>
                <w:tag w:val="_GBC_8854a3b92dce426b81aa78cb836a99cd"/>
                <w:id w:val="-863906841"/>
              </w:sdtPr>
              <w:sdtContent>
                <w:tc>
                  <w:tcPr>
                    <w:tcW w:w="561" w:type="pct"/>
                    <w:vAlign w:val="center"/>
                  </w:tcPr>
                  <w:p w14:paraId="2B41A6B1" w14:textId="77777777" w:rsidR="005E000F" w:rsidRDefault="00000000">
                    <w:pPr>
                      <w:spacing w:line="240" w:lineRule="atLeast"/>
                      <w:jc w:val="center"/>
                    </w:pPr>
                    <w:r>
                      <w:t>线路设备</w:t>
                    </w:r>
                  </w:p>
                </w:tc>
              </w:sdtContent>
            </w:sdt>
            <w:sdt>
              <w:sdtPr>
                <w:alias w:val="使用权资产明细-项目"/>
                <w:tag w:val="_GBC_8854a3b92dce426b81aa78cb836a99cd"/>
                <w:id w:val="-1686441849"/>
              </w:sdtPr>
              <w:sdtContent>
                <w:tc>
                  <w:tcPr>
                    <w:tcW w:w="492" w:type="pct"/>
                    <w:vAlign w:val="center"/>
                  </w:tcPr>
                  <w:p w14:paraId="10A49664" w14:textId="77777777" w:rsidR="005E000F" w:rsidRDefault="00000000">
                    <w:pPr>
                      <w:spacing w:line="240" w:lineRule="atLeast"/>
                      <w:jc w:val="center"/>
                    </w:pPr>
                    <w:r>
                      <w:t>通信信号设备</w:t>
                    </w:r>
                  </w:p>
                </w:tc>
              </w:sdtContent>
            </w:sdt>
            <w:sdt>
              <w:sdtPr>
                <w:alias w:val="使用权资产明细-项目"/>
                <w:tag w:val="_GBC_8854a3b92dce426b81aa78cb836a99cd"/>
                <w:id w:val="-561020573"/>
              </w:sdtPr>
              <w:sdtContent>
                <w:tc>
                  <w:tcPr>
                    <w:tcW w:w="487" w:type="pct"/>
                    <w:vAlign w:val="center"/>
                  </w:tcPr>
                  <w:p w14:paraId="152A35C0" w14:textId="77777777" w:rsidR="005E000F" w:rsidRDefault="00000000">
                    <w:pPr>
                      <w:spacing w:line="240" w:lineRule="atLeast"/>
                      <w:jc w:val="center"/>
                    </w:pPr>
                    <w:r>
                      <w:t>电气化供电系统</w:t>
                    </w:r>
                  </w:p>
                </w:tc>
              </w:sdtContent>
            </w:sdt>
            <w:sdt>
              <w:sdtPr>
                <w:alias w:val="使用权资产明细-项目"/>
                <w:tag w:val="_GBC_8854a3b92dce426b81aa78cb836a99cd"/>
                <w:id w:val="508333658"/>
              </w:sdtPr>
              <w:sdtContent>
                <w:tc>
                  <w:tcPr>
                    <w:tcW w:w="480" w:type="pct"/>
                    <w:vAlign w:val="center"/>
                  </w:tcPr>
                  <w:p w14:paraId="0F5CBBCD" w14:textId="77777777" w:rsidR="005E000F" w:rsidRDefault="00000000">
                    <w:pPr>
                      <w:spacing w:line="240" w:lineRule="atLeast"/>
                      <w:jc w:val="center"/>
                    </w:pPr>
                    <w:r>
                      <w:t>运输设备</w:t>
                    </w:r>
                  </w:p>
                </w:tc>
              </w:sdtContent>
            </w:sdt>
            <w:sdt>
              <w:sdtPr>
                <w:alias w:val="使用权资产明细-项目"/>
                <w:tag w:val="_GBC_8854a3b92dce426b81aa78cb836a99cd"/>
                <w:id w:val="2140836510"/>
              </w:sdtPr>
              <w:sdtContent>
                <w:tc>
                  <w:tcPr>
                    <w:tcW w:w="598" w:type="pct"/>
                    <w:vAlign w:val="center"/>
                  </w:tcPr>
                  <w:p w14:paraId="739D7206" w14:textId="77777777" w:rsidR="005E000F" w:rsidRDefault="00000000">
                    <w:pPr>
                      <w:spacing w:line="240" w:lineRule="atLeast"/>
                      <w:jc w:val="center"/>
                    </w:pPr>
                    <w:r>
                      <w:t>土地使用权</w:t>
                    </w:r>
                  </w:p>
                </w:tc>
              </w:sdtContent>
            </w:sdt>
            <w:sdt>
              <w:sdtPr>
                <w:tag w:val="_PLD_9c5be9b6ed044311be8a2370c18f35f0"/>
                <w:id w:val="807443677"/>
              </w:sdtPr>
              <w:sdtContent>
                <w:tc>
                  <w:tcPr>
                    <w:tcW w:w="533" w:type="pct"/>
                    <w:vAlign w:val="center"/>
                  </w:tcPr>
                  <w:p w14:paraId="7A2C461D" w14:textId="77777777" w:rsidR="005E000F" w:rsidRDefault="00000000">
                    <w:pPr>
                      <w:spacing w:line="240" w:lineRule="atLeast"/>
                      <w:jc w:val="center"/>
                    </w:pPr>
                    <w:r>
                      <w:t>合计</w:t>
                    </w:r>
                  </w:p>
                </w:tc>
              </w:sdtContent>
            </w:sdt>
          </w:tr>
          <w:tr w:rsidR="005E000F" w14:paraId="49562563" w14:textId="77777777">
            <w:trPr>
              <w:trHeight w:val="284"/>
            </w:trPr>
            <w:sdt>
              <w:sdtPr>
                <w:tag w:val="_PLD_3548dba12ab44fffb8352baf0a2432b0"/>
                <w:id w:val="984125316"/>
              </w:sdtPr>
              <w:sdtContent>
                <w:tc>
                  <w:tcPr>
                    <w:tcW w:w="5000" w:type="pct"/>
                    <w:gridSpan w:val="9"/>
                    <w:vAlign w:val="center"/>
                  </w:tcPr>
                  <w:p w14:paraId="596D189D" w14:textId="77777777" w:rsidR="005E000F" w:rsidRDefault="00000000">
                    <w:pPr>
                      <w:spacing w:line="240" w:lineRule="atLeast"/>
                    </w:pPr>
                    <w:r>
                      <w:t>一、</w:t>
                    </w:r>
                    <w:r>
                      <w:rPr>
                        <w:rFonts w:hint="eastAsia"/>
                      </w:rPr>
                      <w:t>账面</w:t>
                    </w:r>
                    <w:r>
                      <w:t>原</w:t>
                    </w:r>
                    <w:r>
                      <w:rPr>
                        <w:rFonts w:hint="eastAsia"/>
                      </w:rPr>
                      <w:t>值</w:t>
                    </w:r>
                  </w:p>
                </w:tc>
              </w:sdtContent>
            </w:sdt>
          </w:tr>
          <w:tr w:rsidR="005E000F" w14:paraId="1C07945C" w14:textId="77777777">
            <w:trPr>
              <w:trHeight w:val="284"/>
            </w:trPr>
            <w:sdt>
              <w:sdtPr>
                <w:tag w:val="_PLD_d9e4985b1f214dbdbea8088f5cdc4d6f"/>
                <w:id w:val="306980824"/>
              </w:sdtPr>
              <w:sdtContent>
                <w:tc>
                  <w:tcPr>
                    <w:tcW w:w="724" w:type="pct"/>
                    <w:vAlign w:val="center"/>
                  </w:tcPr>
                  <w:p w14:paraId="08E52574" w14:textId="77777777" w:rsidR="005E000F" w:rsidRDefault="00000000">
                    <w:pPr>
                      <w:spacing w:line="240" w:lineRule="atLeast"/>
                      <w:ind w:firstLineChars="200" w:firstLine="420"/>
                    </w:pPr>
                    <w:r>
                      <w:t>1.</w:t>
                    </w:r>
                    <w:r>
                      <w:rPr>
                        <w:rFonts w:hint="eastAsia"/>
                      </w:rPr>
                      <w:t>期</w:t>
                    </w:r>
                    <w:r>
                      <w:t>初余额</w:t>
                    </w:r>
                  </w:p>
                </w:tc>
              </w:sdtContent>
            </w:sdt>
            <w:sdt>
              <w:sdtPr>
                <w:alias w:val="使用权资产明细-账面原值"/>
                <w:tag w:val="_GBC_0ab2785ed046482fa0286c95c6b706fc"/>
                <w:id w:val="-553473387"/>
              </w:sdtPr>
              <w:sdtContent>
                <w:tc>
                  <w:tcPr>
                    <w:tcW w:w="523" w:type="pct"/>
                    <w:vAlign w:val="center"/>
                  </w:tcPr>
                  <w:p w14:paraId="59DA887D" w14:textId="77777777" w:rsidR="005E000F" w:rsidRDefault="00000000">
                    <w:pPr>
                      <w:spacing w:line="240" w:lineRule="atLeast"/>
                      <w:ind w:firstLineChars="200" w:firstLine="420"/>
                      <w:jc w:val="right"/>
                    </w:pPr>
                    <w:r>
                      <w:t>2,829,643</w:t>
                    </w:r>
                  </w:p>
                </w:tc>
              </w:sdtContent>
            </w:sdt>
            <w:sdt>
              <w:sdtPr>
                <w:alias w:val="使用权资产明细-账面原值"/>
                <w:tag w:val="_GBC_0ab2785ed046482fa0286c95c6b706fc"/>
                <w:id w:val="2090960238"/>
              </w:sdtPr>
              <w:sdtContent>
                <w:tc>
                  <w:tcPr>
                    <w:tcW w:w="598" w:type="pct"/>
                    <w:vAlign w:val="center"/>
                  </w:tcPr>
                  <w:p w14:paraId="2FB309D7" w14:textId="77777777" w:rsidR="005E000F" w:rsidRDefault="00000000">
                    <w:pPr>
                      <w:spacing w:line="240" w:lineRule="atLeast"/>
                      <w:ind w:firstLineChars="200" w:firstLine="420"/>
                      <w:jc w:val="right"/>
                    </w:pPr>
                    <w:r>
                      <w:t>661,058,121</w:t>
                    </w:r>
                  </w:p>
                </w:tc>
              </w:sdtContent>
            </w:sdt>
            <w:sdt>
              <w:sdtPr>
                <w:alias w:val="使用权资产明细-账面原值"/>
                <w:tag w:val="_GBC_0ab2785ed046482fa0286c95c6b706fc"/>
                <w:id w:val="422299990"/>
              </w:sdtPr>
              <w:sdtContent>
                <w:tc>
                  <w:tcPr>
                    <w:tcW w:w="561" w:type="pct"/>
                    <w:vAlign w:val="center"/>
                  </w:tcPr>
                  <w:p w14:paraId="028D3C33" w14:textId="77777777" w:rsidR="005E000F" w:rsidRDefault="00000000">
                    <w:pPr>
                      <w:spacing w:line="240" w:lineRule="atLeast"/>
                      <w:ind w:firstLineChars="200" w:firstLine="420"/>
                      <w:jc w:val="right"/>
                    </w:pPr>
                    <w:r>
                      <w:t>10,994,162</w:t>
                    </w:r>
                  </w:p>
                </w:tc>
              </w:sdtContent>
            </w:sdt>
            <w:sdt>
              <w:sdtPr>
                <w:alias w:val="使用权资产明细-账面原值"/>
                <w:tag w:val="_GBC_0ab2785ed046482fa0286c95c6b706fc"/>
                <w:id w:val="1635751599"/>
              </w:sdtPr>
              <w:sdtContent>
                <w:tc>
                  <w:tcPr>
                    <w:tcW w:w="492" w:type="pct"/>
                    <w:vAlign w:val="center"/>
                  </w:tcPr>
                  <w:p w14:paraId="7F4B21C0" w14:textId="77777777" w:rsidR="005E000F" w:rsidRDefault="00000000">
                    <w:pPr>
                      <w:spacing w:line="240" w:lineRule="atLeast"/>
                      <w:ind w:firstLineChars="200" w:firstLine="420"/>
                      <w:jc w:val="right"/>
                    </w:pPr>
                    <w:r>
                      <w:t>0</w:t>
                    </w:r>
                  </w:p>
                </w:tc>
              </w:sdtContent>
            </w:sdt>
            <w:sdt>
              <w:sdtPr>
                <w:alias w:val="使用权资产明细-账面原值"/>
                <w:tag w:val="_GBC_0ab2785ed046482fa0286c95c6b706fc"/>
                <w:id w:val="597061514"/>
              </w:sdtPr>
              <w:sdtContent>
                <w:tc>
                  <w:tcPr>
                    <w:tcW w:w="487" w:type="pct"/>
                    <w:vAlign w:val="center"/>
                  </w:tcPr>
                  <w:p w14:paraId="005ACFEC" w14:textId="77777777" w:rsidR="005E000F" w:rsidRDefault="00000000">
                    <w:pPr>
                      <w:spacing w:line="240" w:lineRule="atLeast"/>
                      <w:ind w:firstLineChars="200" w:firstLine="420"/>
                      <w:jc w:val="right"/>
                    </w:pPr>
                    <w:r>
                      <w:t>0</w:t>
                    </w:r>
                  </w:p>
                </w:tc>
              </w:sdtContent>
            </w:sdt>
            <w:sdt>
              <w:sdtPr>
                <w:alias w:val="使用权资产明细-账面原值"/>
                <w:tag w:val="_GBC_0ab2785ed046482fa0286c95c6b706fc"/>
                <w:id w:val="1510327336"/>
              </w:sdtPr>
              <w:sdtContent>
                <w:tc>
                  <w:tcPr>
                    <w:tcW w:w="480" w:type="pct"/>
                    <w:vAlign w:val="center"/>
                  </w:tcPr>
                  <w:p w14:paraId="36E73D05" w14:textId="77777777" w:rsidR="005E000F" w:rsidRDefault="00000000">
                    <w:pPr>
                      <w:spacing w:line="240" w:lineRule="atLeast"/>
                      <w:ind w:firstLineChars="200" w:firstLine="420"/>
                      <w:jc w:val="right"/>
                    </w:pPr>
                    <w:r>
                      <w:t>0</w:t>
                    </w:r>
                  </w:p>
                </w:tc>
              </w:sdtContent>
            </w:sdt>
            <w:sdt>
              <w:sdtPr>
                <w:alias w:val="使用权资产明细-账面原值"/>
                <w:tag w:val="_GBC_0ab2785ed046482fa0286c95c6b706fc"/>
                <w:id w:val="-1917239598"/>
              </w:sdtPr>
              <w:sdtContent>
                <w:tc>
                  <w:tcPr>
                    <w:tcW w:w="598" w:type="pct"/>
                    <w:vAlign w:val="center"/>
                  </w:tcPr>
                  <w:p w14:paraId="601CA9B4" w14:textId="77777777" w:rsidR="005E000F" w:rsidRDefault="00000000">
                    <w:pPr>
                      <w:spacing w:line="240" w:lineRule="atLeast"/>
                      <w:ind w:firstLineChars="200" w:firstLine="420"/>
                      <w:jc w:val="right"/>
                    </w:pPr>
                    <w:r>
                      <w:t>505,420,043</w:t>
                    </w:r>
                  </w:p>
                </w:tc>
              </w:sdtContent>
            </w:sdt>
            <w:sdt>
              <w:sdtPr>
                <w:alias w:val="使用权资产账面原值"/>
                <w:tag w:val="_GBC_e1728fe2e2ff4db3beabf7b697c2ebea"/>
                <w:id w:val="1128280972"/>
              </w:sdtPr>
              <w:sdtContent>
                <w:tc>
                  <w:tcPr>
                    <w:tcW w:w="533" w:type="pct"/>
                    <w:vAlign w:val="center"/>
                  </w:tcPr>
                  <w:p w14:paraId="46A75228" w14:textId="77777777" w:rsidR="005E000F" w:rsidRDefault="00000000">
                    <w:pPr>
                      <w:spacing w:line="240" w:lineRule="atLeast"/>
                      <w:jc w:val="right"/>
                    </w:pPr>
                    <w:r>
                      <w:t>1,180,301,969</w:t>
                    </w:r>
                  </w:p>
                </w:tc>
              </w:sdtContent>
            </w:sdt>
          </w:tr>
          <w:tr w:rsidR="005E000F" w14:paraId="44DFCCCF" w14:textId="77777777">
            <w:trPr>
              <w:trHeight w:val="284"/>
            </w:trPr>
            <w:sdt>
              <w:sdtPr>
                <w:tag w:val="_PLD_1fa797c470714bedadbd87ce828adb8e"/>
                <w:id w:val="-657844961"/>
              </w:sdtPr>
              <w:sdtContent>
                <w:tc>
                  <w:tcPr>
                    <w:tcW w:w="724" w:type="pct"/>
                    <w:vAlign w:val="center"/>
                  </w:tcPr>
                  <w:p w14:paraId="69D3605E" w14:textId="77777777" w:rsidR="005E000F" w:rsidRDefault="00000000">
                    <w:pPr>
                      <w:spacing w:line="240" w:lineRule="atLeast"/>
                      <w:ind w:firstLineChars="200" w:firstLine="420"/>
                    </w:pPr>
                    <w:r>
                      <w:t>2.</w:t>
                    </w:r>
                    <w:r>
                      <w:t>本期增加</w:t>
                    </w:r>
                    <w:r>
                      <w:rPr>
                        <w:rFonts w:hint="eastAsia"/>
                      </w:rPr>
                      <w:t>金额</w:t>
                    </w:r>
                  </w:p>
                </w:tc>
              </w:sdtContent>
            </w:sdt>
            <w:sdt>
              <w:sdtPr>
                <w:alias w:val="使用权资产明细-账面原值增加"/>
                <w:tag w:val="_GBC_fdfc534ed7cd4a5788dbae6b00e9f811"/>
                <w:id w:val="-1598562034"/>
              </w:sdtPr>
              <w:sdtContent>
                <w:tc>
                  <w:tcPr>
                    <w:tcW w:w="523" w:type="pct"/>
                    <w:vAlign w:val="center"/>
                  </w:tcPr>
                  <w:p w14:paraId="6D24D2E8" w14:textId="77777777" w:rsidR="005E000F" w:rsidRDefault="00000000">
                    <w:pPr>
                      <w:spacing w:line="240" w:lineRule="atLeast"/>
                      <w:jc w:val="right"/>
                    </w:pPr>
                    <w:r>
                      <w:t>0</w:t>
                    </w:r>
                  </w:p>
                </w:tc>
              </w:sdtContent>
            </w:sdt>
            <w:sdt>
              <w:sdtPr>
                <w:alias w:val="使用权资产明细-账面原值增加"/>
                <w:tag w:val="_GBC_fdfc534ed7cd4a5788dbae6b00e9f811"/>
                <w:id w:val="1325705249"/>
              </w:sdtPr>
              <w:sdtContent>
                <w:tc>
                  <w:tcPr>
                    <w:tcW w:w="598" w:type="pct"/>
                    <w:vAlign w:val="center"/>
                  </w:tcPr>
                  <w:p w14:paraId="38BC098A" w14:textId="77777777" w:rsidR="005E000F" w:rsidRDefault="00000000">
                    <w:pPr>
                      <w:spacing w:line="240" w:lineRule="atLeast"/>
                      <w:jc w:val="right"/>
                    </w:pPr>
                    <w:r>
                      <w:t>0</w:t>
                    </w:r>
                  </w:p>
                </w:tc>
              </w:sdtContent>
            </w:sdt>
            <w:sdt>
              <w:sdtPr>
                <w:alias w:val="使用权资产明细-账面原值增加"/>
                <w:tag w:val="_GBC_fdfc534ed7cd4a5788dbae6b00e9f811"/>
                <w:id w:val="1262414830"/>
              </w:sdtPr>
              <w:sdtContent>
                <w:tc>
                  <w:tcPr>
                    <w:tcW w:w="561" w:type="pct"/>
                    <w:vAlign w:val="center"/>
                  </w:tcPr>
                  <w:p w14:paraId="20C6C555" w14:textId="77777777" w:rsidR="005E000F" w:rsidRDefault="00000000">
                    <w:pPr>
                      <w:spacing w:line="240" w:lineRule="atLeast"/>
                      <w:jc w:val="right"/>
                    </w:pPr>
                    <w:r>
                      <w:t>0</w:t>
                    </w:r>
                  </w:p>
                </w:tc>
              </w:sdtContent>
            </w:sdt>
            <w:sdt>
              <w:sdtPr>
                <w:alias w:val="使用权资产明细-账面原值增加"/>
                <w:tag w:val="_GBC_fdfc534ed7cd4a5788dbae6b00e9f811"/>
                <w:id w:val="2088955155"/>
              </w:sdtPr>
              <w:sdtContent>
                <w:tc>
                  <w:tcPr>
                    <w:tcW w:w="492" w:type="pct"/>
                    <w:vAlign w:val="center"/>
                  </w:tcPr>
                  <w:p w14:paraId="048D0B53" w14:textId="77777777" w:rsidR="005E000F" w:rsidRDefault="00000000">
                    <w:pPr>
                      <w:spacing w:line="240" w:lineRule="atLeast"/>
                      <w:jc w:val="right"/>
                    </w:pPr>
                    <w:r>
                      <w:t>0</w:t>
                    </w:r>
                  </w:p>
                </w:tc>
              </w:sdtContent>
            </w:sdt>
            <w:sdt>
              <w:sdtPr>
                <w:alias w:val="使用权资产明细-账面原值增加"/>
                <w:tag w:val="_GBC_fdfc534ed7cd4a5788dbae6b00e9f811"/>
                <w:id w:val="1539784675"/>
              </w:sdtPr>
              <w:sdtContent>
                <w:tc>
                  <w:tcPr>
                    <w:tcW w:w="487" w:type="pct"/>
                    <w:vAlign w:val="center"/>
                  </w:tcPr>
                  <w:p w14:paraId="31F82088" w14:textId="77777777" w:rsidR="005E000F" w:rsidRDefault="00000000">
                    <w:pPr>
                      <w:spacing w:line="240" w:lineRule="atLeast"/>
                      <w:jc w:val="right"/>
                    </w:pPr>
                    <w:r>
                      <w:t>0</w:t>
                    </w:r>
                  </w:p>
                </w:tc>
              </w:sdtContent>
            </w:sdt>
            <w:sdt>
              <w:sdtPr>
                <w:alias w:val="使用权资产明细-账面原值增加"/>
                <w:tag w:val="_GBC_fdfc534ed7cd4a5788dbae6b00e9f811"/>
                <w:id w:val="697593832"/>
              </w:sdtPr>
              <w:sdtContent>
                <w:tc>
                  <w:tcPr>
                    <w:tcW w:w="480" w:type="pct"/>
                    <w:vAlign w:val="center"/>
                  </w:tcPr>
                  <w:p w14:paraId="1704CFC9" w14:textId="77777777" w:rsidR="005E000F" w:rsidRDefault="00000000">
                    <w:pPr>
                      <w:spacing w:line="240" w:lineRule="atLeast"/>
                      <w:jc w:val="right"/>
                    </w:pPr>
                    <w:r>
                      <w:t>0</w:t>
                    </w:r>
                  </w:p>
                </w:tc>
              </w:sdtContent>
            </w:sdt>
            <w:sdt>
              <w:sdtPr>
                <w:alias w:val="使用权资产明细-账面原值增加"/>
                <w:tag w:val="_GBC_fdfc534ed7cd4a5788dbae6b00e9f811"/>
                <w:id w:val="2124411620"/>
              </w:sdtPr>
              <w:sdtContent>
                <w:tc>
                  <w:tcPr>
                    <w:tcW w:w="598" w:type="pct"/>
                    <w:vAlign w:val="center"/>
                  </w:tcPr>
                  <w:p w14:paraId="2EA40559" w14:textId="77777777" w:rsidR="005E000F" w:rsidRDefault="00000000">
                    <w:pPr>
                      <w:spacing w:line="240" w:lineRule="atLeast"/>
                      <w:jc w:val="right"/>
                    </w:pPr>
                    <w:r>
                      <w:t>1,700,210,504</w:t>
                    </w:r>
                  </w:p>
                </w:tc>
              </w:sdtContent>
            </w:sdt>
            <w:sdt>
              <w:sdtPr>
                <w:alias w:val="使用权资产账面原值增加"/>
                <w:tag w:val="_GBC_8dc66ccaf0474de3be47227a8882d40b"/>
                <w:id w:val="2047875150"/>
              </w:sdtPr>
              <w:sdtContent>
                <w:tc>
                  <w:tcPr>
                    <w:tcW w:w="533" w:type="pct"/>
                    <w:vAlign w:val="center"/>
                  </w:tcPr>
                  <w:p w14:paraId="656DEB11" w14:textId="77777777" w:rsidR="005E000F" w:rsidRDefault="00000000">
                    <w:pPr>
                      <w:spacing w:line="240" w:lineRule="atLeast"/>
                      <w:jc w:val="right"/>
                    </w:pPr>
                    <w:r>
                      <w:t>1,700,210,504</w:t>
                    </w:r>
                  </w:p>
                </w:tc>
              </w:sdtContent>
            </w:sdt>
          </w:tr>
          <w:tr w:rsidR="005E000F" w14:paraId="47AA0E44" w14:textId="77777777">
            <w:trPr>
              <w:trHeight w:val="284"/>
            </w:trPr>
            <w:sdt>
              <w:sdtPr>
                <w:alias w:val="使用权资产账面原值增加项目名称"/>
                <w:tag w:val="_GBC_c40e073bcdd34746b4a5bc73f48f0f07"/>
                <w:id w:val="-1179807374"/>
              </w:sdtPr>
              <w:sdtContent>
                <w:tc>
                  <w:tcPr>
                    <w:tcW w:w="724" w:type="pct"/>
                    <w:vAlign w:val="center"/>
                  </w:tcPr>
                  <w:p w14:paraId="58C0EEAD" w14:textId="77777777" w:rsidR="005E000F" w:rsidRDefault="00000000">
                    <w:pPr>
                      <w:spacing w:line="240" w:lineRule="atLeast"/>
                      <w:ind w:firstLineChars="300" w:firstLine="630"/>
                    </w:pPr>
                    <w:r>
                      <w:t>（</w:t>
                    </w:r>
                    <w:r>
                      <w:t>1</w:t>
                    </w:r>
                    <w:r>
                      <w:t>）本期增加</w:t>
                    </w:r>
                  </w:p>
                </w:tc>
              </w:sdtContent>
            </w:sdt>
            <w:sdt>
              <w:sdtPr>
                <w:alias w:val="使用权资产账面原值增加项目金额"/>
                <w:tag w:val="_GBC_9c5b429873dc41e0ae54f3d9be24e561"/>
                <w:id w:val="854859181"/>
              </w:sdtPr>
              <w:sdtContent>
                <w:tc>
                  <w:tcPr>
                    <w:tcW w:w="523" w:type="pct"/>
                    <w:vAlign w:val="center"/>
                  </w:tcPr>
                  <w:p w14:paraId="7C9135A4" w14:textId="77777777" w:rsidR="005E000F" w:rsidRDefault="00000000">
                    <w:pPr>
                      <w:spacing w:line="240" w:lineRule="atLeast"/>
                      <w:jc w:val="right"/>
                    </w:pPr>
                    <w:r>
                      <w:t>0</w:t>
                    </w:r>
                  </w:p>
                </w:tc>
              </w:sdtContent>
            </w:sdt>
            <w:sdt>
              <w:sdtPr>
                <w:alias w:val="使用权资产账面原值增加项目金额"/>
                <w:tag w:val="_GBC_9c5b429873dc41e0ae54f3d9be24e561"/>
                <w:id w:val="-725300779"/>
              </w:sdtPr>
              <w:sdtContent>
                <w:tc>
                  <w:tcPr>
                    <w:tcW w:w="598" w:type="pct"/>
                    <w:vAlign w:val="center"/>
                  </w:tcPr>
                  <w:p w14:paraId="69C3C9C4" w14:textId="77777777" w:rsidR="005E000F" w:rsidRDefault="00000000">
                    <w:pPr>
                      <w:spacing w:line="240" w:lineRule="atLeast"/>
                      <w:jc w:val="right"/>
                    </w:pPr>
                    <w:r>
                      <w:t>0</w:t>
                    </w:r>
                  </w:p>
                </w:tc>
              </w:sdtContent>
            </w:sdt>
            <w:sdt>
              <w:sdtPr>
                <w:alias w:val="使用权资产账面原值增加项目金额"/>
                <w:tag w:val="_GBC_9c5b429873dc41e0ae54f3d9be24e561"/>
                <w:id w:val="1525522194"/>
              </w:sdtPr>
              <w:sdtContent>
                <w:tc>
                  <w:tcPr>
                    <w:tcW w:w="561" w:type="pct"/>
                    <w:vAlign w:val="center"/>
                  </w:tcPr>
                  <w:p w14:paraId="17204158" w14:textId="77777777" w:rsidR="005E000F" w:rsidRDefault="00000000">
                    <w:pPr>
                      <w:spacing w:line="240" w:lineRule="atLeast"/>
                      <w:jc w:val="right"/>
                    </w:pPr>
                    <w:r>
                      <w:t>0</w:t>
                    </w:r>
                  </w:p>
                </w:tc>
              </w:sdtContent>
            </w:sdt>
            <w:sdt>
              <w:sdtPr>
                <w:alias w:val="使用权资产账面原值增加项目金额"/>
                <w:tag w:val="_GBC_9c5b429873dc41e0ae54f3d9be24e561"/>
                <w:id w:val="-466826706"/>
              </w:sdtPr>
              <w:sdtContent>
                <w:tc>
                  <w:tcPr>
                    <w:tcW w:w="492" w:type="pct"/>
                    <w:vAlign w:val="center"/>
                  </w:tcPr>
                  <w:p w14:paraId="4B7777FA" w14:textId="77777777" w:rsidR="005E000F" w:rsidRDefault="00000000">
                    <w:pPr>
                      <w:spacing w:line="240" w:lineRule="atLeast"/>
                      <w:jc w:val="right"/>
                    </w:pPr>
                    <w:r>
                      <w:t>0</w:t>
                    </w:r>
                  </w:p>
                </w:tc>
              </w:sdtContent>
            </w:sdt>
            <w:sdt>
              <w:sdtPr>
                <w:alias w:val="使用权资产账面原值增加项目金额"/>
                <w:tag w:val="_GBC_9c5b429873dc41e0ae54f3d9be24e561"/>
                <w:id w:val="-1513910124"/>
              </w:sdtPr>
              <w:sdtContent>
                <w:tc>
                  <w:tcPr>
                    <w:tcW w:w="487" w:type="pct"/>
                    <w:vAlign w:val="center"/>
                  </w:tcPr>
                  <w:p w14:paraId="414295B3" w14:textId="77777777" w:rsidR="005E000F" w:rsidRDefault="00000000">
                    <w:pPr>
                      <w:spacing w:line="240" w:lineRule="atLeast"/>
                      <w:jc w:val="right"/>
                    </w:pPr>
                    <w:r>
                      <w:t>0</w:t>
                    </w:r>
                  </w:p>
                </w:tc>
              </w:sdtContent>
            </w:sdt>
            <w:sdt>
              <w:sdtPr>
                <w:alias w:val="使用权资产账面原值增加项目金额"/>
                <w:tag w:val="_GBC_9c5b429873dc41e0ae54f3d9be24e561"/>
                <w:id w:val="-679736136"/>
              </w:sdtPr>
              <w:sdtContent>
                <w:tc>
                  <w:tcPr>
                    <w:tcW w:w="480" w:type="pct"/>
                    <w:vAlign w:val="center"/>
                  </w:tcPr>
                  <w:p w14:paraId="3275D2BD" w14:textId="77777777" w:rsidR="005E000F" w:rsidRDefault="00000000">
                    <w:pPr>
                      <w:spacing w:line="240" w:lineRule="atLeast"/>
                      <w:jc w:val="right"/>
                    </w:pPr>
                    <w:r>
                      <w:t>0</w:t>
                    </w:r>
                  </w:p>
                </w:tc>
              </w:sdtContent>
            </w:sdt>
            <w:sdt>
              <w:sdtPr>
                <w:alias w:val="使用权资产账面原值增加项目金额"/>
                <w:tag w:val="_GBC_9c5b429873dc41e0ae54f3d9be24e561"/>
                <w:id w:val="1176611201"/>
              </w:sdtPr>
              <w:sdtContent>
                <w:tc>
                  <w:tcPr>
                    <w:tcW w:w="598" w:type="pct"/>
                    <w:vAlign w:val="center"/>
                  </w:tcPr>
                  <w:p w14:paraId="6D2266E9" w14:textId="77777777" w:rsidR="005E000F" w:rsidRDefault="00000000">
                    <w:pPr>
                      <w:spacing w:line="240" w:lineRule="atLeast"/>
                      <w:jc w:val="right"/>
                    </w:pPr>
                    <w:r>
                      <w:t>1,700,210,504</w:t>
                    </w:r>
                  </w:p>
                </w:tc>
              </w:sdtContent>
            </w:sdt>
            <w:sdt>
              <w:sdtPr>
                <w:alias w:val="使用权资产账面原值增加项目合计金额"/>
                <w:tag w:val="_GBC_3be6b1e2202b489da7293037f9306a9f"/>
                <w:id w:val="388699772"/>
              </w:sdtPr>
              <w:sdtContent>
                <w:tc>
                  <w:tcPr>
                    <w:tcW w:w="533" w:type="pct"/>
                    <w:vAlign w:val="center"/>
                  </w:tcPr>
                  <w:p w14:paraId="5BD2F912" w14:textId="77777777" w:rsidR="005E000F" w:rsidRDefault="00000000">
                    <w:pPr>
                      <w:spacing w:line="240" w:lineRule="atLeast"/>
                      <w:jc w:val="right"/>
                    </w:pPr>
                    <w:r>
                      <w:t>1,700,210,504</w:t>
                    </w:r>
                  </w:p>
                </w:tc>
              </w:sdtContent>
            </w:sdt>
          </w:tr>
          <w:tr w:rsidR="005E000F" w14:paraId="723E4E53" w14:textId="77777777">
            <w:trPr>
              <w:trHeight w:val="284"/>
            </w:trPr>
            <w:sdt>
              <w:sdtPr>
                <w:tag w:val="_PLD_108835bc70f94655846132849651bf9f"/>
                <w:id w:val="1168915448"/>
              </w:sdtPr>
              <w:sdtContent>
                <w:tc>
                  <w:tcPr>
                    <w:tcW w:w="724" w:type="pct"/>
                    <w:vAlign w:val="center"/>
                  </w:tcPr>
                  <w:p w14:paraId="61F221AA" w14:textId="77777777" w:rsidR="005E000F" w:rsidRDefault="00000000">
                    <w:pPr>
                      <w:spacing w:line="240" w:lineRule="atLeast"/>
                      <w:ind w:firstLineChars="200" w:firstLine="420"/>
                    </w:pPr>
                    <w:r>
                      <w:t>3.</w:t>
                    </w:r>
                    <w:r>
                      <w:t>本期减少</w:t>
                    </w:r>
                    <w:r>
                      <w:rPr>
                        <w:rFonts w:hint="eastAsia"/>
                      </w:rPr>
                      <w:t>金额</w:t>
                    </w:r>
                  </w:p>
                </w:tc>
              </w:sdtContent>
            </w:sdt>
            <w:sdt>
              <w:sdtPr>
                <w:alias w:val="使用权资产明细-账面原值减少"/>
                <w:tag w:val="_GBC_ea4470b5df63450a9f56f9f0d45d74ea"/>
                <w:id w:val="-459332953"/>
              </w:sdtPr>
              <w:sdtContent>
                <w:tc>
                  <w:tcPr>
                    <w:tcW w:w="523" w:type="pct"/>
                    <w:vAlign w:val="center"/>
                  </w:tcPr>
                  <w:p w14:paraId="2102643B" w14:textId="77777777" w:rsidR="005E000F" w:rsidRDefault="00000000">
                    <w:pPr>
                      <w:spacing w:line="240" w:lineRule="atLeast"/>
                      <w:jc w:val="right"/>
                    </w:pPr>
                    <w:r>
                      <w:t>972,554</w:t>
                    </w:r>
                  </w:p>
                </w:tc>
              </w:sdtContent>
            </w:sdt>
            <w:sdt>
              <w:sdtPr>
                <w:alias w:val="使用权资产明细-账面原值减少"/>
                <w:tag w:val="_GBC_ea4470b5df63450a9f56f9f0d45d74ea"/>
                <w:id w:val="-1574654898"/>
              </w:sdtPr>
              <w:sdtContent>
                <w:tc>
                  <w:tcPr>
                    <w:tcW w:w="598" w:type="pct"/>
                    <w:vAlign w:val="center"/>
                  </w:tcPr>
                  <w:p w14:paraId="73CBED5E" w14:textId="77777777" w:rsidR="005E000F" w:rsidRDefault="00000000">
                    <w:pPr>
                      <w:spacing w:line="240" w:lineRule="atLeast"/>
                      <w:jc w:val="right"/>
                    </w:pPr>
                    <w:r>
                      <w:t>0</w:t>
                    </w:r>
                  </w:p>
                </w:tc>
              </w:sdtContent>
            </w:sdt>
            <w:sdt>
              <w:sdtPr>
                <w:alias w:val="使用权资产明细-账面原值减少"/>
                <w:tag w:val="_GBC_ea4470b5df63450a9f56f9f0d45d74ea"/>
                <w:id w:val="-2081511816"/>
              </w:sdtPr>
              <w:sdtContent>
                <w:tc>
                  <w:tcPr>
                    <w:tcW w:w="561" w:type="pct"/>
                    <w:vAlign w:val="center"/>
                  </w:tcPr>
                  <w:p w14:paraId="715E295B" w14:textId="77777777" w:rsidR="005E000F" w:rsidRDefault="00000000">
                    <w:pPr>
                      <w:spacing w:line="240" w:lineRule="atLeast"/>
                      <w:jc w:val="right"/>
                    </w:pPr>
                    <w:r>
                      <w:t>10,330,443</w:t>
                    </w:r>
                  </w:p>
                </w:tc>
              </w:sdtContent>
            </w:sdt>
            <w:sdt>
              <w:sdtPr>
                <w:alias w:val="使用权资产明细-账面原值减少"/>
                <w:tag w:val="_GBC_ea4470b5df63450a9f56f9f0d45d74ea"/>
                <w:id w:val="-1231382494"/>
              </w:sdtPr>
              <w:sdtContent>
                <w:tc>
                  <w:tcPr>
                    <w:tcW w:w="492" w:type="pct"/>
                    <w:vAlign w:val="center"/>
                  </w:tcPr>
                  <w:p w14:paraId="44656BCA" w14:textId="77777777" w:rsidR="005E000F" w:rsidRDefault="00000000">
                    <w:pPr>
                      <w:spacing w:line="240" w:lineRule="atLeast"/>
                      <w:jc w:val="right"/>
                    </w:pPr>
                    <w:r>
                      <w:t>0</w:t>
                    </w:r>
                  </w:p>
                </w:tc>
              </w:sdtContent>
            </w:sdt>
            <w:sdt>
              <w:sdtPr>
                <w:alias w:val="使用权资产明细-账面原值减少"/>
                <w:tag w:val="_GBC_ea4470b5df63450a9f56f9f0d45d74ea"/>
                <w:id w:val="-1413621385"/>
              </w:sdtPr>
              <w:sdtContent>
                <w:tc>
                  <w:tcPr>
                    <w:tcW w:w="487" w:type="pct"/>
                    <w:vAlign w:val="center"/>
                  </w:tcPr>
                  <w:p w14:paraId="01E4F53C" w14:textId="77777777" w:rsidR="005E000F" w:rsidRDefault="00000000">
                    <w:pPr>
                      <w:spacing w:line="240" w:lineRule="atLeast"/>
                      <w:jc w:val="right"/>
                    </w:pPr>
                    <w:r>
                      <w:t>0</w:t>
                    </w:r>
                  </w:p>
                </w:tc>
              </w:sdtContent>
            </w:sdt>
            <w:sdt>
              <w:sdtPr>
                <w:alias w:val="使用权资产明细-账面原值减少"/>
                <w:tag w:val="_GBC_ea4470b5df63450a9f56f9f0d45d74ea"/>
                <w:id w:val="346677980"/>
              </w:sdtPr>
              <w:sdtContent>
                <w:tc>
                  <w:tcPr>
                    <w:tcW w:w="480" w:type="pct"/>
                    <w:vAlign w:val="center"/>
                  </w:tcPr>
                  <w:p w14:paraId="47A0B1E6" w14:textId="77777777" w:rsidR="005E000F" w:rsidRDefault="00000000">
                    <w:pPr>
                      <w:spacing w:line="240" w:lineRule="atLeast"/>
                      <w:jc w:val="right"/>
                    </w:pPr>
                    <w:r>
                      <w:t>0</w:t>
                    </w:r>
                  </w:p>
                </w:tc>
              </w:sdtContent>
            </w:sdt>
            <w:sdt>
              <w:sdtPr>
                <w:alias w:val="使用权资产明细-账面原值减少"/>
                <w:tag w:val="_GBC_ea4470b5df63450a9f56f9f0d45d74ea"/>
                <w:id w:val="2065447950"/>
              </w:sdtPr>
              <w:sdtContent>
                <w:tc>
                  <w:tcPr>
                    <w:tcW w:w="598" w:type="pct"/>
                    <w:vAlign w:val="center"/>
                  </w:tcPr>
                  <w:p w14:paraId="7AD599BF" w14:textId="77777777" w:rsidR="005E000F" w:rsidRDefault="00000000">
                    <w:pPr>
                      <w:spacing w:line="240" w:lineRule="atLeast"/>
                      <w:jc w:val="right"/>
                    </w:pPr>
                    <w:r>
                      <w:t>0</w:t>
                    </w:r>
                  </w:p>
                </w:tc>
              </w:sdtContent>
            </w:sdt>
            <w:sdt>
              <w:sdtPr>
                <w:alias w:val="使用权资产账面原值减少"/>
                <w:tag w:val="_GBC_d49e7be6d5cf4a7ba881458b87648d6f"/>
                <w:id w:val="941427499"/>
              </w:sdtPr>
              <w:sdtContent>
                <w:tc>
                  <w:tcPr>
                    <w:tcW w:w="533" w:type="pct"/>
                    <w:vAlign w:val="center"/>
                  </w:tcPr>
                  <w:p w14:paraId="6F783962" w14:textId="77777777" w:rsidR="005E000F" w:rsidRDefault="00000000">
                    <w:pPr>
                      <w:spacing w:line="240" w:lineRule="atLeast"/>
                      <w:jc w:val="right"/>
                    </w:pPr>
                    <w:r>
                      <w:t>11,302,997</w:t>
                    </w:r>
                  </w:p>
                </w:tc>
              </w:sdtContent>
            </w:sdt>
          </w:tr>
          <w:tr w:rsidR="005E000F" w14:paraId="5D92E1F6" w14:textId="77777777">
            <w:trPr>
              <w:trHeight w:val="284"/>
            </w:trPr>
            <w:sdt>
              <w:sdtPr>
                <w:alias w:val="使用权资产账面原值减少项目名称"/>
                <w:tag w:val="_GBC_310d9afeedc44c0bbb9afea02a5efdd5"/>
                <w:id w:val="-959333874"/>
              </w:sdtPr>
              <w:sdtContent>
                <w:tc>
                  <w:tcPr>
                    <w:tcW w:w="724" w:type="pct"/>
                    <w:vAlign w:val="center"/>
                  </w:tcPr>
                  <w:p w14:paraId="5B4FAB61" w14:textId="77777777" w:rsidR="005E000F" w:rsidRDefault="00000000">
                    <w:pPr>
                      <w:spacing w:line="240" w:lineRule="atLeast"/>
                      <w:ind w:firstLineChars="300" w:firstLine="630"/>
                    </w:pPr>
                    <w:r>
                      <w:t>（</w:t>
                    </w:r>
                    <w:r>
                      <w:t>1</w:t>
                    </w:r>
                    <w:r>
                      <w:t>）本期减少</w:t>
                    </w:r>
                  </w:p>
                </w:tc>
              </w:sdtContent>
            </w:sdt>
            <w:sdt>
              <w:sdtPr>
                <w:alias w:val="使用权资产账面原值减少项目金额"/>
                <w:tag w:val="_GBC_fe5a28d31bf24919aec0a95e20fb3ccf"/>
                <w:id w:val="215167700"/>
              </w:sdtPr>
              <w:sdtContent>
                <w:tc>
                  <w:tcPr>
                    <w:tcW w:w="523" w:type="pct"/>
                    <w:vAlign w:val="center"/>
                  </w:tcPr>
                  <w:p w14:paraId="1A6E915E" w14:textId="77777777" w:rsidR="005E000F" w:rsidRDefault="00000000">
                    <w:pPr>
                      <w:spacing w:line="240" w:lineRule="atLeast"/>
                      <w:jc w:val="right"/>
                    </w:pPr>
                    <w:r>
                      <w:t>972,554</w:t>
                    </w:r>
                  </w:p>
                </w:tc>
              </w:sdtContent>
            </w:sdt>
            <w:sdt>
              <w:sdtPr>
                <w:alias w:val="使用权资产账面原值减少项目金额"/>
                <w:tag w:val="_GBC_fe5a28d31bf24919aec0a95e20fb3ccf"/>
                <w:id w:val="808524204"/>
              </w:sdtPr>
              <w:sdtContent>
                <w:tc>
                  <w:tcPr>
                    <w:tcW w:w="598" w:type="pct"/>
                    <w:vAlign w:val="center"/>
                  </w:tcPr>
                  <w:p w14:paraId="1ECB708F" w14:textId="77777777" w:rsidR="005E000F" w:rsidRDefault="00000000">
                    <w:pPr>
                      <w:spacing w:line="240" w:lineRule="atLeast"/>
                      <w:jc w:val="right"/>
                    </w:pPr>
                    <w:r>
                      <w:t>0</w:t>
                    </w:r>
                  </w:p>
                </w:tc>
              </w:sdtContent>
            </w:sdt>
            <w:sdt>
              <w:sdtPr>
                <w:alias w:val="使用权资产账面原值减少项目金额"/>
                <w:tag w:val="_GBC_fe5a28d31bf24919aec0a95e20fb3ccf"/>
                <w:id w:val="635915548"/>
              </w:sdtPr>
              <w:sdtContent>
                <w:tc>
                  <w:tcPr>
                    <w:tcW w:w="561" w:type="pct"/>
                    <w:vAlign w:val="center"/>
                  </w:tcPr>
                  <w:p w14:paraId="7DA9D445" w14:textId="77777777" w:rsidR="005E000F" w:rsidRDefault="00000000">
                    <w:pPr>
                      <w:spacing w:line="240" w:lineRule="atLeast"/>
                      <w:jc w:val="right"/>
                    </w:pPr>
                    <w:r>
                      <w:t>10,330,443</w:t>
                    </w:r>
                  </w:p>
                </w:tc>
              </w:sdtContent>
            </w:sdt>
            <w:sdt>
              <w:sdtPr>
                <w:alias w:val="使用权资产账面原值减少项目金额"/>
                <w:tag w:val="_GBC_fe5a28d31bf24919aec0a95e20fb3ccf"/>
                <w:id w:val="-1884245177"/>
              </w:sdtPr>
              <w:sdtContent>
                <w:tc>
                  <w:tcPr>
                    <w:tcW w:w="492" w:type="pct"/>
                    <w:vAlign w:val="center"/>
                  </w:tcPr>
                  <w:p w14:paraId="77414F5A" w14:textId="77777777" w:rsidR="005E000F" w:rsidRDefault="00000000">
                    <w:pPr>
                      <w:spacing w:line="240" w:lineRule="atLeast"/>
                      <w:jc w:val="right"/>
                    </w:pPr>
                    <w:r>
                      <w:t>0</w:t>
                    </w:r>
                  </w:p>
                </w:tc>
              </w:sdtContent>
            </w:sdt>
            <w:sdt>
              <w:sdtPr>
                <w:alias w:val="使用权资产账面原值减少项目金额"/>
                <w:tag w:val="_GBC_fe5a28d31bf24919aec0a95e20fb3ccf"/>
                <w:id w:val="-7682332"/>
              </w:sdtPr>
              <w:sdtContent>
                <w:tc>
                  <w:tcPr>
                    <w:tcW w:w="487" w:type="pct"/>
                    <w:vAlign w:val="center"/>
                  </w:tcPr>
                  <w:p w14:paraId="1F8E2C4E" w14:textId="77777777" w:rsidR="005E000F" w:rsidRDefault="00000000">
                    <w:pPr>
                      <w:spacing w:line="240" w:lineRule="atLeast"/>
                      <w:jc w:val="right"/>
                    </w:pPr>
                    <w:r>
                      <w:t>0</w:t>
                    </w:r>
                  </w:p>
                </w:tc>
              </w:sdtContent>
            </w:sdt>
            <w:sdt>
              <w:sdtPr>
                <w:alias w:val="使用权资产账面原值减少项目金额"/>
                <w:tag w:val="_GBC_fe5a28d31bf24919aec0a95e20fb3ccf"/>
                <w:id w:val="2082634735"/>
              </w:sdtPr>
              <w:sdtContent>
                <w:tc>
                  <w:tcPr>
                    <w:tcW w:w="480" w:type="pct"/>
                    <w:vAlign w:val="center"/>
                  </w:tcPr>
                  <w:p w14:paraId="2C466283" w14:textId="77777777" w:rsidR="005E000F" w:rsidRDefault="00000000">
                    <w:pPr>
                      <w:spacing w:line="240" w:lineRule="atLeast"/>
                      <w:jc w:val="right"/>
                    </w:pPr>
                    <w:r>
                      <w:t>0</w:t>
                    </w:r>
                  </w:p>
                </w:tc>
              </w:sdtContent>
            </w:sdt>
            <w:sdt>
              <w:sdtPr>
                <w:alias w:val="使用权资产账面原值减少项目金额"/>
                <w:tag w:val="_GBC_fe5a28d31bf24919aec0a95e20fb3ccf"/>
                <w:id w:val="-598249854"/>
              </w:sdtPr>
              <w:sdtContent>
                <w:tc>
                  <w:tcPr>
                    <w:tcW w:w="598" w:type="pct"/>
                    <w:vAlign w:val="center"/>
                  </w:tcPr>
                  <w:p w14:paraId="233DFB95" w14:textId="77777777" w:rsidR="005E000F" w:rsidRDefault="00000000">
                    <w:pPr>
                      <w:spacing w:line="240" w:lineRule="atLeast"/>
                      <w:jc w:val="right"/>
                    </w:pPr>
                    <w:r>
                      <w:t>0</w:t>
                    </w:r>
                  </w:p>
                </w:tc>
              </w:sdtContent>
            </w:sdt>
            <w:sdt>
              <w:sdtPr>
                <w:alias w:val="使用权资产账面原值减少项目合计金额"/>
                <w:tag w:val="_GBC_88a689d4a4644f7591b68afa5e70a220"/>
                <w:id w:val="-984167391"/>
              </w:sdtPr>
              <w:sdtContent>
                <w:tc>
                  <w:tcPr>
                    <w:tcW w:w="533" w:type="pct"/>
                    <w:vAlign w:val="center"/>
                  </w:tcPr>
                  <w:p w14:paraId="1BE93B41" w14:textId="77777777" w:rsidR="005E000F" w:rsidRDefault="00000000">
                    <w:pPr>
                      <w:spacing w:line="240" w:lineRule="atLeast"/>
                      <w:jc w:val="right"/>
                    </w:pPr>
                    <w:r>
                      <w:t>11,302,997</w:t>
                    </w:r>
                  </w:p>
                </w:tc>
              </w:sdtContent>
            </w:sdt>
          </w:tr>
          <w:tr w:rsidR="005E000F" w14:paraId="6E27E093" w14:textId="77777777">
            <w:trPr>
              <w:trHeight w:val="284"/>
            </w:trPr>
            <w:sdt>
              <w:sdtPr>
                <w:tag w:val="_PLD_195c5de53c024ce09b278402caf2f69a"/>
                <w:id w:val="-1005133358"/>
              </w:sdtPr>
              <w:sdtContent>
                <w:tc>
                  <w:tcPr>
                    <w:tcW w:w="724" w:type="pct"/>
                    <w:vAlign w:val="center"/>
                  </w:tcPr>
                  <w:p w14:paraId="66F380CB" w14:textId="77777777" w:rsidR="005E000F" w:rsidRDefault="00000000">
                    <w:pPr>
                      <w:spacing w:line="240" w:lineRule="atLeast"/>
                      <w:ind w:firstLineChars="200" w:firstLine="420"/>
                    </w:pPr>
                    <w:r>
                      <w:t>4.</w:t>
                    </w:r>
                    <w:r>
                      <w:t>期末余额</w:t>
                    </w:r>
                  </w:p>
                </w:tc>
              </w:sdtContent>
            </w:sdt>
            <w:sdt>
              <w:sdtPr>
                <w:alias w:val="使用权资产明细-账面原值"/>
                <w:tag w:val="_GBC_90832b9a42eb461789cbbc0727760beb"/>
                <w:id w:val="-1746400183"/>
              </w:sdtPr>
              <w:sdtContent>
                <w:tc>
                  <w:tcPr>
                    <w:tcW w:w="523" w:type="pct"/>
                    <w:vAlign w:val="center"/>
                  </w:tcPr>
                  <w:p w14:paraId="26A0D133" w14:textId="77777777" w:rsidR="005E000F" w:rsidRDefault="00000000">
                    <w:pPr>
                      <w:spacing w:line="240" w:lineRule="atLeast"/>
                      <w:jc w:val="right"/>
                    </w:pPr>
                    <w:r>
                      <w:t>1,857,089</w:t>
                    </w:r>
                  </w:p>
                </w:tc>
              </w:sdtContent>
            </w:sdt>
            <w:sdt>
              <w:sdtPr>
                <w:alias w:val="使用权资产明细-账面原值"/>
                <w:tag w:val="_GBC_90832b9a42eb461789cbbc0727760beb"/>
                <w:id w:val="-1740470446"/>
              </w:sdtPr>
              <w:sdtContent>
                <w:tc>
                  <w:tcPr>
                    <w:tcW w:w="598" w:type="pct"/>
                    <w:vAlign w:val="center"/>
                  </w:tcPr>
                  <w:p w14:paraId="0286691F" w14:textId="77777777" w:rsidR="005E000F" w:rsidRDefault="00000000">
                    <w:pPr>
                      <w:spacing w:line="240" w:lineRule="atLeast"/>
                      <w:jc w:val="right"/>
                    </w:pPr>
                    <w:r>
                      <w:t>661,058,121</w:t>
                    </w:r>
                  </w:p>
                </w:tc>
              </w:sdtContent>
            </w:sdt>
            <w:sdt>
              <w:sdtPr>
                <w:alias w:val="使用权资产明细-账面原值"/>
                <w:tag w:val="_GBC_90832b9a42eb461789cbbc0727760beb"/>
                <w:id w:val="-1454938399"/>
              </w:sdtPr>
              <w:sdtContent>
                <w:tc>
                  <w:tcPr>
                    <w:tcW w:w="561" w:type="pct"/>
                    <w:vAlign w:val="center"/>
                  </w:tcPr>
                  <w:p w14:paraId="797B8AB2" w14:textId="77777777" w:rsidR="005E000F" w:rsidRDefault="00000000">
                    <w:pPr>
                      <w:spacing w:line="240" w:lineRule="atLeast"/>
                      <w:jc w:val="right"/>
                    </w:pPr>
                    <w:r>
                      <w:t>663,719</w:t>
                    </w:r>
                  </w:p>
                </w:tc>
              </w:sdtContent>
            </w:sdt>
            <w:sdt>
              <w:sdtPr>
                <w:alias w:val="使用权资产明细-账面原值"/>
                <w:tag w:val="_GBC_90832b9a42eb461789cbbc0727760beb"/>
                <w:id w:val="354468201"/>
              </w:sdtPr>
              <w:sdtContent>
                <w:tc>
                  <w:tcPr>
                    <w:tcW w:w="492" w:type="pct"/>
                    <w:vAlign w:val="center"/>
                  </w:tcPr>
                  <w:p w14:paraId="1384D6F7" w14:textId="77777777" w:rsidR="005E000F" w:rsidRDefault="00000000">
                    <w:pPr>
                      <w:spacing w:line="240" w:lineRule="atLeast"/>
                      <w:jc w:val="right"/>
                    </w:pPr>
                    <w:r>
                      <w:t>0</w:t>
                    </w:r>
                  </w:p>
                </w:tc>
              </w:sdtContent>
            </w:sdt>
            <w:sdt>
              <w:sdtPr>
                <w:alias w:val="使用权资产明细-账面原值"/>
                <w:tag w:val="_GBC_90832b9a42eb461789cbbc0727760beb"/>
                <w:id w:val="1367492263"/>
              </w:sdtPr>
              <w:sdtContent>
                <w:tc>
                  <w:tcPr>
                    <w:tcW w:w="487" w:type="pct"/>
                    <w:vAlign w:val="center"/>
                  </w:tcPr>
                  <w:p w14:paraId="6A37755B" w14:textId="77777777" w:rsidR="005E000F" w:rsidRDefault="00000000">
                    <w:pPr>
                      <w:spacing w:line="240" w:lineRule="atLeast"/>
                      <w:jc w:val="right"/>
                    </w:pPr>
                    <w:r>
                      <w:t>0</w:t>
                    </w:r>
                  </w:p>
                </w:tc>
              </w:sdtContent>
            </w:sdt>
            <w:sdt>
              <w:sdtPr>
                <w:alias w:val="使用权资产明细-账面原值"/>
                <w:tag w:val="_GBC_90832b9a42eb461789cbbc0727760beb"/>
                <w:id w:val="-720137862"/>
              </w:sdtPr>
              <w:sdtContent>
                <w:tc>
                  <w:tcPr>
                    <w:tcW w:w="480" w:type="pct"/>
                    <w:vAlign w:val="center"/>
                  </w:tcPr>
                  <w:p w14:paraId="6C9E03AA" w14:textId="77777777" w:rsidR="005E000F" w:rsidRDefault="00000000">
                    <w:pPr>
                      <w:spacing w:line="240" w:lineRule="atLeast"/>
                      <w:jc w:val="right"/>
                    </w:pPr>
                    <w:r>
                      <w:t>0</w:t>
                    </w:r>
                  </w:p>
                </w:tc>
              </w:sdtContent>
            </w:sdt>
            <w:sdt>
              <w:sdtPr>
                <w:alias w:val="使用权资产明细-账面原值"/>
                <w:tag w:val="_GBC_90832b9a42eb461789cbbc0727760beb"/>
                <w:id w:val="1655489556"/>
              </w:sdtPr>
              <w:sdtContent>
                <w:tc>
                  <w:tcPr>
                    <w:tcW w:w="598" w:type="pct"/>
                    <w:vAlign w:val="center"/>
                  </w:tcPr>
                  <w:p w14:paraId="04FF8846" w14:textId="77777777" w:rsidR="005E000F" w:rsidRDefault="00000000">
                    <w:pPr>
                      <w:spacing w:line="240" w:lineRule="atLeast"/>
                      <w:jc w:val="right"/>
                    </w:pPr>
                    <w:r>
                      <w:t>2,205,630,547</w:t>
                    </w:r>
                  </w:p>
                </w:tc>
              </w:sdtContent>
            </w:sdt>
            <w:sdt>
              <w:sdtPr>
                <w:alias w:val="使用权资产账面原值"/>
                <w:tag w:val="_GBC_1b5f210a8f144e478396479b23b0d941"/>
                <w:id w:val="-1593310228"/>
              </w:sdtPr>
              <w:sdtContent>
                <w:tc>
                  <w:tcPr>
                    <w:tcW w:w="533" w:type="pct"/>
                    <w:vAlign w:val="center"/>
                  </w:tcPr>
                  <w:p w14:paraId="5A1B8E1D" w14:textId="77777777" w:rsidR="005E000F" w:rsidRDefault="00000000">
                    <w:pPr>
                      <w:spacing w:line="240" w:lineRule="atLeast"/>
                      <w:jc w:val="right"/>
                    </w:pPr>
                    <w:r>
                      <w:t>2,869,209,476</w:t>
                    </w:r>
                  </w:p>
                </w:tc>
              </w:sdtContent>
            </w:sdt>
          </w:tr>
          <w:tr w:rsidR="005E000F" w14:paraId="34775B02" w14:textId="77777777">
            <w:trPr>
              <w:trHeight w:val="284"/>
            </w:trPr>
            <w:sdt>
              <w:sdtPr>
                <w:tag w:val="_PLD_39b1174f077e44e0af9583631dcb785f"/>
                <w:id w:val="-980537511"/>
              </w:sdtPr>
              <w:sdtContent>
                <w:tc>
                  <w:tcPr>
                    <w:tcW w:w="5000" w:type="pct"/>
                    <w:gridSpan w:val="9"/>
                    <w:vAlign w:val="center"/>
                  </w:tcPr>
                  <w:p w14:paraId="0ADF52C7" w14:textId="77777777" w:rsidR="005E000F" w:rsidRDefault="00000000">
                    <w:pPr>
                      <w:spacing w:line="240" w:lineRule="atLeast"/>
                    </w:pPr>
                    <w:r>
                      <w:t>二、累计折旧</w:t>
                    </w:r>
                  </w:p>
                </w:tc>
              </w:sdtContent>
            </w:sdt>
          </w:tr>
          <w:tr w:rsidR="005E000F" w14:paraId="12BF6B8B" w14:textId="77777777">
            <w:trPr>
              <w:trHeight w:val="284"/>
            </w:trPr>
            <w:sdt>
              <w:sdtPr>
                <w:tag w:val="_PLD_cc2df6f51cd84805a89f2c118eadcb65"/>
                <w:id w:val="-1170712399"/>
              </w:sdtPr>
              <w:sdtContent>
                <w:tc>
                  <w:tcPr>
                    <w:tcW w:w="724" w:type="pct"/>
                    <w:vAlign w:val="center"/>
                  </w:tcPr>
                  <w:p w14:paraId="61EB36D6" w14:textId="77777777" w:rsidR="005E000F" w:rsidRDefault="00000000">
                    <w:pPr>
                      <w:spacing w:line="240" w:lineRule="atLeast"/>
                      <w:ind w:firstLineChars="200" w:firstLine="420"/>
                    </w:pPr>
                    <w:r>
                      <w:rPr>
                        <w:rFonts w:hint="eastAsia"/>
                      </w:rPr>
                      <w:t>1.</w:t>
                    </w:r>
                    <w:r>
                      <w:rPr>
                        <w:rFonts w:hint="eastAsia"/>
                      </w:rPr>
                      <w:t>期</w:t>
                    </w:r>
                    <w:r>
                      <w:t>初余额</w:t>
                    </w:r>
                  </w:p>
                </w:tc>
              </w:sdtContent>
            </w:sdt>
            <w:sdt>
              <w:sdtPr>
                <w:alias w:val="使用权资产明细-累计折旧"/>
                <w:tag w:val="_GBC_aef537751ddc4173aeac4cf14710f7c8"/>
                <w:id w:val="-891800423"/>
              </w:sdtPr>
              <w:sdtContent>
                <w:tc>
                  <w:tcPr>
                    <w:tcW w:w="523" w:type="pct"/>
                    <w:vAlign w:val="center"/>
                  </w:tcPr>
                  <w:p w14:paraId="17A3AB27" w14:textId="77777777" w:rsidR="005E000F" w:rsidRDefault="00000000">
                    <w:pPr>
                      <w:spacing w:line="240" w:lineRule="atLeast"/>
                      <w:jc w:val="right"/>
                    </w:pPr>
                    <w:r>
                      <w:t>1,078,632</w:t>
                    </w:r>
                  </w:p>
                </w:tc>
              </w:sdtContent>
            </w:sdt>
            <w:sdt>
              <w:sdtPr>
                <w:alias w:val="使用权资产明细-累计折旧"/>
                <w:tag w:val="_GBC_aef537751ddc4173aeac4cf14710f7c8"/>
                <w:id w:val="509880011"/>
              </w:sdtPr>
              <w:sdtContent>
                <w:tc>
                  <w:tcPr>
                    <w:tcW w:w="598" w:type="pct"/>
                    <w:vAlign w:val="center"/>
                  </w:tcPr>
                  <w:p w14:paraId="7CE9B0DC" w14:textId="77777777" w:rsidR="005E000F" w:rsidRDefault="00000000">
                    <w:pPr>
                      <w:spacing w:line="240" w:lineRule="atLeast"/>
                      <w:jc w:val="right"/>
                    </w:pPr>
                    <w:r>
                      <w:t>216,674,621</w:t>
                    </w:r>
                  </w:p>
                </w:tc>
              </w:sdtContent>
            </w:sdt>
            <w:sdt>
              <w:sdtPr>
                <w:alias w:val="使用权资产明细-累计折旧"/>
                <w:tag w:val="_GBC_aef537751ddc4173aeac4cf14710f7c8"/>
                <w:id w:val="-1859421500"/>
              </w:sdtPr>
              <w:sdtContent>
                <w:tc>
                  <w:tcPr>
                    <w:tcW w:w="561" w:type="pct"/>
                    <w:vAlign w:val="center"/>
                  </w:tcPr>
                  <w:p w14:paraId="2C32E2E1" w14:textId="77777777" w:rsidR="005E000F" w:rsidRDefault="00000000">
                    <w:pPr>
                      <w:spacing w:line="240" w:lineRule="atLeast"/>
                      <w:jc w:val="right"/>
                    </w:pPr>
                    <w:r>
                      <w:t>10,267,880</w:t>
                    </w:r>
                  </w:p>
                </w:tc>
              </w:sdtContent>
            </w:sdt>
            <w:sdt>
              <w:sdtPr>
                <w:alias w:val="使用权资产明细-累计折旧"/>
                <w:tag w:val="_GBC_aef537751ddc4173aeac4cf14710f7c8"/>
                <w:id w:val="83884670"/>
              </w:sdtPr>
              <w:sdtContent>
                <w:tc>
                  <w:tcPr>
                    <w:tcW w:w="492" w:type="pct"/>
                    <w:vAlign w:val="center"/>
                  </w:tcPr>
                  <w:p w14:paraId="3736AE6D" w14:textId="77777777" w:rsidR="005E000F" w:rsidRDefault="00000000">
                    <w:pPr>
                      <w:spacing w:line="240" w:lineRule="atLeast"/>
                      <w:jc w:val="right"/>
                    </w:pPr>
                    <w:r>
                      <w:t>0</w:t>
                    </w:r>
                  </w:p>
                </w:tc>
              </w:sdtContent>
            </w:sdt>
            <w:sdt>
              <w:sdtPr>
                <w:alias w:val="使用权资产明细-累计折旧"/>
                <w:tag w:val="_GBC_aef537751ddc4173aeac4cf14710f7c8"/>
                <w:id w:val="450367877"/>
              </w:sdtPr>
              <w:sdtContent>
                <w:tc>
                  <w:tcPr>
                    <w:tcW w:w="487" w:type="pct"/>
                    <w:vAlign w:val="center"/>
                  </w:tcPr>
                  <w:p w14:paraId="47CE5986" w14:textId="77777777" w:rsidR="005E000F" w:rsidRDefault="00000000">
                    <w:pPr>
                      <w:spacing w:line="240" w:lineRule="atLeast"/>
                      <w:jc w:val="right"/>
                    </w:pPr>
                    <w:r>
                      <w:t>0</w:t>
                    </w:r>
                  </w:p>
                </w:tc>
              </w:sdtContent>
            </w:sdt>
            <w:sdt>
              <w:sdtPr>
                <w:alias w:val="使用权资产明细-累计折旧"/>
                <w:tag w:val="_GBC_aef537751ddc4173aeac4cf14710f7c8"/>
                <w:id w:val="1903643373"/>
              </w:sdtPr>
              <w:sdtContent>
                <w:tc>
                  <w:tcPr>
                    <w:tcW w:w="480" w:type="pct"/>
                    <w:vAlign w:val="center"/>
                  </w:tcPr>
                  <w:p w14:paraId="524D3FEC" w14:textId="77777777" w:rsidR="005E000F" w:rsidRDefault="00000000">
                    <w:pPr>
                      <w:spacing w:line="240" w:lineRule="atLeast"/>
                      <w:jc w:val="right"/>
                    </w:pPr>
                    <w:r>
                      <w:t>0</w:t>
                    </w:r>
                  </w:p>
                </w:tc>
              </w:sdtContent>
            </w:sdt>
            <w:sdt>
              <w:sdtPr>
                <w:alias w:val="使用权资产明细-累计折旧"/>
                <w:tag w:val="_GBC_aef537751ddc4173aeac4cf14710f7c8"/>
                <w:id w:val="-1266457702"/>
              </w:sdtPr>
              <w:sdtContent>
                <w:tc>
                  <w:tcPr>
                    <w:tcW w:w="598" w:type="pct"/>
                    <w:vAlign w:val="center"/>
                  </w:tcPr>
                  <w:p w14:paraId="789A1D31" w14:textId="77777777" w:rsidR="005E000F" w:rsidRDefault="00000000">
                    <w:pPr>
                      <w:spacing w:line="240" w:lineRule="atLeast"/>
                      <w:jc w:val="right"/>
                    </w:pPr>
                    <w:r>
                      <w:t>39,995,528</w:t>
                    </w:r>
                  </w:p>
                </w:tc>
              </w:sdtContent>
            </w:sdt>
            <w:sdt>
              <w:sdtPr>
                <w:alias w:val="使用权资产累计折旧"/>
                <w:tag w:val="_GBC_870cd3aa94674cd4a6d4be1a197ab18c"/>
                <w:id w:val="1789702836"/>
              </w:sdtPr>
              <w:sdtContent>
                <w:tc>
                  <w:tcPr>
                    <w:tcW w:w="533" w:type="pct"/>
                    <w:vAlign w:val="center"/>
                  </w:tcPr>
                  <w:p w14:paraId="4B5EE68C" w14:textId="77777777" w:rsidR="005E000F" w:rsidRDefault="00000000">
                    <w:pPr>
                      <w:spacing w:line="240" w:lineRule="atLeast"/>
                      <w:jc w:val="right"/>
                    </w:pPr>
                    <w:r>
                      <w:t>268,016,661</w:t>
                    </w:r>
                  </w:p>
                </w:tc>
              </w:sdtContent>
            </w:sdt>
          </w:tr>
          <w:tr w:rsidR="005E000F" w14:paraId="27CFB021" w14:textId="77777777">
            <w:trPr>
              <w:trHeight w:val="284"/>
            </w:trPr>
            <w:sdt>
              <w:sdtPr>
                <w:tag w:val="_PLD_a678535377134b91a0f9295c145e89b9"/>
                <w:id w:val="270902823"/>
              </w:sdtPr>
              <w:sdtContent>
                <w:tc>
                  <w:tcPr>
                    <w:tcW w:w="724" w:type="pct"/>
                    <w:vAlign w:val="center"/>
                  </w:tcPr>
                  <w:p w14:paraId="548D6F70" w14:textId="77777777" w:rsidR="005E000F" w:rsidRDefault="00000000">
                    <w:pPr>
                      <w:spacing w:line="240" w:lineRule="atLeast"/>
                      <w:ind w:firstLineChars="200" w:firstLine="420"/>
                    </w:pPr>
                    <w:r>
                      <w:t>2.</w:t>
                    </w:r>
                    <w:r>
                      <w:t>本期增加</w:t>
                    </w:r>
                    <w:r>
                      <w:rPr>
                        <w:rFonts w:hint="eastAsia"/>
                      </w:rPr>
                      <w:t>金额</w:t>
                    </w:r>
                  </w:p>
                </w:tc>
              </w:sdtContent>
            </w:sdt>
            <w:sdt>
              <w:sdtPr>
                <w:alias w:val="使用权资产明细-累计折旧增加"/>
                <w:tag w:val="_GBC_44dcec9586be4faa99cd83a4b974c335"/>
                <w:id w:val="-2008195707"/>
              </w:sdtPr>
              <w:sdtContent>
                <w:tc>
                  <w:tcPr>
                    <w:tcW w:w="523" w:type="pct"/>
                    <w:vAlign w:val="center"/>
                  </w:tcPr>
                  <w:p w14:paraId="50F90184" w14:textId="77777777" w:rsidR="005E000F" w:rsidRDefault="00000000">
                    <w:pPr>
                      <w:spacing w:line="240" w:lineRule="atLeast"/>
                      <w:jc w:val="right"/>
                    </w:pPr>
                    <w:r>
                      <w:t>740,474</w:t>
                    </w:r>
                  </w:p>
                </w:tc>
              </w:sdtContent>
            </w:sdt>
            <w:sdt>
              <w:sdtPr>
                <w:alias w:val="使用权资产明细-累计折旧增加"/>
                <w:tag w:val="_GBC_44dcec9586be4faa99cd83a4b974c335"/>
                <w:id w:val="429624300"/>
              </w:sdtPr>
              <w:sdtContent>
                <w:tc>
                  <w:tcPr>
                    <w:tcW w:w="598" w:type="pct"/>
                    <w:vAlign w:val="center"/>
                  </w:tcPr>
                  <w:p w14:paraId="7BBBF905" w14:textId="77777777" w:rsidR="005E000F" w:rsidRDefault="00000000">
                    <w:pPr>
                      <w:spacing w:line="240" w:lineRule="atLeast"/>
                      <w:jc w:val="right"/>
                    </w:pPr>
                    <w:r>
                      <w:t>221,909,244</w:t>
                    </w:r>
                  </w:p>
                </w:tc>
              </w:sdtContent>
            </w:sdt>
            <w:sdt>
              <w:sdtPr>
                <w:alias w:val="使用权资产明细-累计折旧增加"/>
                <w:tag w:val="_GBC_44dcec9586be4faa99cd83a4b974c335"/>
                <w:id w:val="781837052"/>
              </w:sdtPr>
              <w:sdtContent>
                <w:tc>
                  <w:tcPr>
                    <w:tcW w:w="561" w:type="pct"/>
                    <w:vAlign w:val="center"/>
                  </w:tcPr>
                  <w:p w14:paraId="754D2D60" w14:textId="77777777" w:rsidR="005E000F" w:rsidRDefault="00000000">
                    <w:pPr>
                      <w:spacing w:line="240" w:lineRule="atLeast"/>
                      <w:jc w:val="right"/>
                    </w:pPr>
                    <w:r>
                      <w:t>505,649</w:t>
                    </w:r>
                  </w:p>
                </w:tc>
              </w:sdtContent>
            </w:sdt>
            <w:sdt>
              <w:sdtPr>
                <w:alias w:val="使用权资产明细-累计折旧增加"/>
                <w:tag w:val="_GBC_44dcec9586be4faa99cd83a4b974c335"/>
                <w:id w:val="914294020"/>
              </w:sdtPr>
              <w:sdtContent>
                <w:tc>
                  <w:tcPr>
                    <w:tcW w:w="492" w:type="pct"/>
                    <w:vAlign w:val="center"/>
                  </w:tcPr>
                  <w:p w14:paraId="2CD29FC2" w14:textId="77777777" w:rsidR="005E000F" w:rsidRDefault="00000000">
                    <w:pPr>
                      <w:spacing w:line="240" w:lineRule="atLeast"/>
                      <w:jc w:val="right"/>
                    </w:pPr>
                    <w:r>
                      <w:t>0</w:t>
                    </w:r>
                  </w:p>
                </w:tc>
              </w:sdtContent>
            </w:sdt>
            <w:sdt>
              <w:sdtPr>
                <w:alias w:val="使用权资产明细-累计折旧增加"/>
                <w:tag w:val="_GBC_44dcec9586be4faa99cd83a4b974c335"/>
                <w:id w:val="-1576813431"/>
              </w:sdtPr>
              <w:sdtContent>
                <w:tc>
                  <w:tcPr>
                    <w:tcW w:w="487" w:type="pct"/>
                    <w:vAlign w:val="center"/>
                  </w:tcPr>
                  <w:p w14:paraId="27478DE6" w14:textId="77777777" w:rsidR="005E000F" w:rsidRDefault="00000000">
                    <w:pPr>
                      <w:spacing w:line="240" w:lineRule="atLeast"/>
                      <w:jc w:val="right"/>
                    </w:pPr>
                    <w:r>
                      <w:t>0</w:t>
                    </w:r>
                  </w:p>
                </w:tc>
              </w:sdtContent>
            </w:sdt>
            <w:sdt>
              <w:sdtPr>
                <w:alias w:val="使用权资产明细-累计折旧增加"/>
                <w:tag w:val="_GBC_44dcec9586be4faa99cd83a4b974c335"/>
                <w:id w:val="873264557"/>
              </w:sdtPr>
              <w:sdtContent>
                <w:tc>
                  <w:tcPr>
                    <w:tcW w:w="480" w:type="pct"/>
                    <w:vAlign w:val="center"/>
                  </w:tcPr>
                  <w:p w14:paraId="7F1B81C6" w14:textId="77777777" w:rsidR="005E000F" w:rsidRDefault="00000000">
                    <w:pPr>
                      <w:spacing w:line="240" w:lineRule="atLeast"/>
                      <w:jc w:val="right"/>
                    </w:pPr>
                    <w:r>
                      <w:t>0</w:t>
                    </w:r>
                  </w:p>
                </w:tc>
              </w:sdtContent>
            </w:sdt>
            <w:sdt>
              <w:sdtPr>
                <w:alias w:val="使用权资产明细-累计折旧增加"/>
                <w:tag w:val="_GBC_44dcec9586be4faa99cd83a4b974c335"/>
                <w:id w:val="1227189974"/>
              </w:sdtPr>
              <w:sdtContent>
                <w:tc>
                  <w:tcPr>
                    <w:tcW w:w="598" w:type="pct"/>
                    <w:vAlign w:val="center"/>
                  </w:tcPr>
                  <w:p w14:paraId="5D4E853C" w14:textId="77777777" w:rsidR="005E000F" w:rsidRDefault="00000000">
                    <w:pPr>
                      <w:spacing w:line="240" w:lineRule="atLeast"/>
                      <w:jc w:val="right"/>
                    </w:pPr>
                    <w:r>
                      <w:t>30,313,843</w:t>
                    </w:r>
                  </w:p>
                </w:tc>
              </w:sdtContent>
            </w:sdt>
            <w:sdt>
              <w:sdtPr>
                <w:alias w:val="使用权资产累计折旧增加"/>
                <w:tag w:val="_GBC_617c4ee85811439fadff818806f2c50c"/>
                <w:id w:val="1672141794"/>
              </w:sdtPr>
              <w:sdtContent>
                <w:tc>
                  <w:tcPr>
                    <w:tcW w:w="533" w:type="pct"/>
                    <w:vAlign w:val="center"/>
                  </w:tcPr>
                  <w:p w14:paraId="285A35D3" w14:textId="77777777" w:rsidR="005E000F" w:rsidRDefault="00000000">
                    <w:pPr>
                      <w:spacing w:line="240" w:lineRule="atLeast"/>
                      <w:jc w:val="right"/>
                    </w:pPr>
                    <w:r>
                      <w:t>253,469,210</w:t>
                    </w:r>
                  </w:p>
                </w:tc>
              </w:sdtContent>
            </w:sdt>
          </w:tr>
          <w:tr w:rsidR="005E000F" w14:paraId="5B4E14FF" w14:textId="77777777">
            <w:trPr>
              <w:trHeight w:val="284"/>
            </w:trPr>
            <w:sdt>
              <w:sdtPr>
                <w:tag w:val="_PLD_706704748f2e4193adef0f2bd0232889"/>
                <w:id w:val="-589319591"/>
              </w:sdtPr>
              <w:sdtContent>
                <w:tc>
                  <w:tcPr>
                    <w:tcW w:w="724" w:type="pct"/>
                    <w:vAlign w:val="center"/>
                  </w:tcPr>
                  <w:p w14:paraId="65A4989C" w14:textId="77777777" w:rsidR="005E000F" w:rsidRDefault="00000000">
                    <w:pPr>
                      <w:spacing w:line="240" w:lineRule="atLeast"/>
                      <w:ind w:firstLineChars="200" w:firstLine="420"/>
                    </w:pPr>
                    <w:r>
                      <w:rPr>
                        <w:rFonts w:hint="eastAsia"/>
                      </w:rPr>
                      <w:t>（</w:t>
                    </w:r>
                    <w:r>
                      <w:rPr>
                        <w:rFonts w:hint="eastAsia"/>
                      </w:rPr>
                      <w:t>1</w:t>
                    </w:r>
                    <w:r>
                      <w:rPr>
                        <w:rFonts w:hint="eastAsia"/>
                      </w:rPr>
                      <w:t>）</w:t>
                    </w:r>
                    <w:r>
                      <w:t>计提</w:t>
                    </w:r>
                  </w:p>
                </w:tc>
              </w:sdtContent>
            </w:sdt>
            <w:sdt>
              <w:sdtPr>
                <w:alias w:val="使用权资产明细-计提导致的累计折旧增加"/>
                <w:tag w:val="_GBC_efd1bdb8e7c048ab8f42b7f800346fa8"/>
                <w:id w:val="1513567883"/>
              </w:sdtPr>
              <w:sdtContent>
                <w:tc>
                  <w:tcPr>
                    <w:tcW w:w="523" w:type="pct"/>
                    <w:vAlign w:val="center"/>
                  </w:tcPr>
                  <w:p w14:paraId="767F8278" w14:textId="77777777" w:rsidR="005E000F" w:rsidRDefault="00000000">
                    <w:pPr>
                      <w:spacing w:line="240" w:lineRule="atLeast"/>
                      <w:jc w:val="right"/>
                    </w:pPr>
                    <w:r>
                      <w:t>740,474</w:t>
                    </w:r>
                  </w:p>
                </w:tc>
              </w:sdtContent>
            </w:sdt>
            <w:sdt>
              <w:sdtPr>
                <w:alias w:val="使用权资产明细-计提导致的累计折旧增加"/>
                <w:tag w:val="_GBC_efd1bdb8e7c048ab8f42b7f800346fa8"/>
                <w:id w:val="-1229532258"/>
              </w:sdtPr>
              <w:sdtContent>
                <w:tc>
                  <w:tcPr>
                    <w:tcW w:w="598" w:type="pct"/>
                    <w:vAlign w:val="center"/>
                  </w:tcPr>
                  <w:p w14:paraId="14BD21B8" w14:textId="77777777" w:rsidR="005E000F" w:rsidRDefault="00000000">
                    <w:pPr>
                      <w:spacing w:line="240" w:lineRule="atLeast"/>
                      <w:jc w:val="right"/>
                    </w:pPr>
                    <w:r>
                      <w:t>221,909,244</w:t>
                    </w:r>
                  </w:p>
                </w:tc>
              </w:sdtContent>
            </w:sdt>
            <w:sdt>
              <w:sdtPr>
                <w:alias w:val="使用权资产明细-计提导致的累计折旧增加"/>
                <w:tag w:val="_GBC_efd1bdb8e7c048ab8f42b7f800346fa8"/>
                <w:id w:val="-1249117164"/>
              </w:sdtPr>
              <w:sdtContent>
                <w:tc>
                  <w:tcPr>
                    <w:tcW w:w="561" w:type="pct"/>
                    <w:vAlign w:val="center"/>
                  </w:tcPr>
                  <w:p w14:paraId="36C34784" w14:textId="77777777" w:rsidR="005E000F" w:rsidRDefault="00000000">
                    <w:pPr>
                      <w:spacing w:line="240" w:lineRule="atLeast"/>
                      <w:jc w:val="right"/>
                    </w:pPr>
                    <w:r>
                      <w:t>505,649</w:t>
                    </w:r>
                  </w:p>
                </w:tc>
              </w:sdtContent>
            </w:sdt>
            <w:sdt>
              <w:sdtPr>
                <w:alias w:val="使用权资产明细-计提导致的累计折旧增加"/>
                <w:tag w:val="_GBC_efd1bdb8e7c048ab8f42b7f800346fa8"/>
                <w:id w:val="-212886346"/>
              </w:sdtPr>
              <w:sdtContent>
                <w:tc>
                  <w:tcPr>
                    <w:tcW w:w="492" w:type="pct"/>
                    <w:vAlign w:val="center"/>
                  </w:tcPr>
                  <w:p w14:paraId="7C9B6B37" w14:textId="77777777" w:rsidR="005E000F" w:rsidRDefault="00000000">
                    <w:pPr>
                      <w:spacing w:line="240" w:lineRule="atLeast"/>
                      <w:jc w:val="right"/>
                    </w:pPr>
                    <w:r>
                      <w:t>0</w:t>
                    </w:r>
                  </w:p>
                </w:tc>
              </w:sdtContent>
            </w:sdt>
            <w:sdt>
              <w:sdtPr>
                <w:alias w:val="使用权资产明细-计提导致的累计折旧增加"/>
                <w:tag w:val="_GBC_efd1bdb8e7c048ab8f42b7f800346fa8"/>
                <w:id w:val="1701745604"/>
              </w:sdtPr>
              <w:sdtContent>
                <w:tc>
                  <w:tcPr>
                    <w:tcW w:w="487" w:type="pct"/>
                    <w:vAlign w:val="center"/>
                  </w:tcPr>
                  <w:p w14:paraId="716D1C22" w14:textId="77777777" w:rsidR="005E000F" w:rsidRDefault="00000000">
                    <w:pPr>
                      <w:spacing w:line="240" w:lineRule="atLeast"/>
                      <w:jc w:val="right"/>
                    </w:pPr>
                    <w:r>
                      <w:t>0</w:t>
                    </w:r>
                  </w:p>
                </w:tc>
              </w:sdtContent>
            </w:sdt>
            <w:sdt>
              <w:sdtPr>
                <w:alias w:val="使用权资产明细-计提导致的累计折旧增加"/>
                <w:tag w:val="_GBC_efd1bdb8e7c048ab8f42b7f800346fa8"/>
                <w:id w:val="702516838"/>
              </w:sdtPr>
              <w:sdtContent>
                <w:tc>
                  <w:tcPr>
                    <w:tcW w:w="480" w:type="pct"/>
                    <w:vAlign w:val="center"/>
                  </w:tcPr>
                  <w:p w14:paraId="01DD27A3" w14:textId="77777777" w:rsidR="005E000F" w:rsidRDefault="00000000">
                    <w:pPr>
                      <w:spacing w:line="240" w:lineRule="atLeast"/>
                      <w:jc w:val="right"/>
                    </w:pPr>
                    <w:r>
                      <w:t>0</w:t>
                    </w:r>
                  </w:p>
                </w:tc>
              </w:sdtContent>
            </w:sdt>
            <w:sdt>
              <w:sdtPr>
                <w:alias w:val="使用权资产明细-计提导致的累计折旧增加"/>
                <w:tag w:val="_GBC_efd1bdb8e7c048ab8f42b7f800346fa8"/>
                <w:id w:val="1109474652"/>
              </w:sdtPr>
              <w:sdtContent>
                <w:tc>
                  <w:tcPr>
                    <w:tcW w:w="598" w:type="pct"/>
                    <w:vAlign w:val="center"/>
                  </w:tcPr>
                  <w:p w14:paraId="1C463F41" w14:textId="77777777" w:rsidR="005E000F" w:rsidRDefault="00000000">
                    <w:pPr>
                      <w:spacing w:line="240" w:lineRule="atLeast"/>
                      <w:jc w:val="right"/>
                    </w:pPr>
                    <w:r>
                      <w:t>30,313,843</w:t>
                    </w:r>
                  </w:p>
                </w:tc>
              </w:sdtContent>
            </w:sdt>
            <w:sdt>
              <w:sdtPr>
                <w:alias w:val="使用权资产计提导致的累计折旧增加"/>
                <w:tag w:val="_GBC_b3661903116f4de9b98cf810a4ea1fb5"/>
                <w:id w:val="1456760801"/>
              </w:sdtPr>
              <w:sdtContent>
                <w:tc>
                  <w:tcPr>
                    <w:tcW w:w="533" w:type="pct"/>
                    <w:vAlign w:val="center"/>
                  </w:tcPr>
                  <w:p w14:paraId="4DF56C71" w14:textId="77777777" w:rsidR="005E000F" w:rsidRDefault="00000000">
                    <w:pPr>
                      <w:spacing w:line="240" w:lineRule="atLeast"/>
                      <w:jc w:val="right"/>
                    </w:pPr>
                    <w:r>
                      <w:t>253,469,210</w:t>
                    </w:r>
                  </w:p>
                </w:tc>
              </w:sdtContent>
            </w:sdt>
          </w:tr>
          <w:tr w:rsidR="005E000F" w14:paraId="2DCD387E" w14:textId="77777777">
            <w:trPr>
              <w:trHeight w:val="284"/>
            </w:trPr>
            <w:sdt>
              <w:sdtPr>
                <w:tag w:val="_PLD_f2eebf1aedbe4ea4abe3183a11bec5d1"/>
                <w:id w:val="207070436"/>
              </w:sdtPr>
              <w:sdtContent>
                <w:tc>
                  <w:tcPr>
                    <w:tcW w:w="724" w:type="pct"/>
                    <w:vAlign w:val="center"/>
                  </w:tcPr>
                  <w:p w14:paraId="5D8874B2" w14:textId="77777777" w:rsidR="005E000F" w:rsidRDefault="00000000">
                    <w:pPr>
                      <w:spacing w:line="240" w:lineRule="atLeast"/>
                      <w:ind w:firstLineChars="200" w:firstLine="420"/>
                    </w:pPr>
                    <w:r>
                      <w:rPr>
                        <w:rFonts w:hint="eastAsia"/>
                      </w:rPr>
                      <w:t>3.</w:t>
                    </w:r>
                    <w:r>
                      <w:t>本期减少</w:t>
                    </w:r>
                    <w:r>
                      <w:rPr>
                        <w:rFonts w:hint="eastAsia"/>
                      </w:rPr>
                      <w:t>金额</w:t>
                    </w:r>
                  </w:p>
                </w:tc>
              </w:sdtContent>
            </w:sdt>
            <w:sdt>
              <w:sdtPr>
                <w:alias w:val="使用权资产明细-累计折旧减少"/>
                <w:tag w:val="_GBC_e2ef0a3cb82e4a6ea7ad6837db07ee0a"/>
                <w:id w:val="834116784"/>
              </w:sdtPr>
              <w:sdtContent>
                <w:tc>
                  <w:tcPr>
                    <w:tcW w:w="523" w:type="pct"/>
                    <w:vAlign w:val="center"/>
                  </w:tcPr>
                  <w:p w14:paraId="56F1A662" w14:textId="77777777" w:rsidR="005E000F" w:rsidRDefault="00000000">
                    <w:pPr>
                      <w:spacing w:line="240" w:lineRule="atLeast"/>
                      <w:jc w:val="right"/>
                    </w:pPr>
                    <w:r>
                      <w:t>972,554</w:t>
                    </w:r>
                  </w:p>
                </w:tc>
              </w:sdtContent>
            </w:sdt>
            <w:sdt>
              <w:sdtPr>
                <w:alias w:val="使用权资产明细-累计折旧减少"/>
                <w:tag w:val="_GBC_e2ef0a3cb82e4a6ea7ad6837db07ee0a"/>
                <w:id w:val="1579862422"/>
              </w:sdtPr>
              <w:sdtContent>
                <w:tc>
                  <w:tcPr>
                    <w:tcW w:w="598" w:type="pct"/>
                    <w:vAlign w:val="center"/>
                  </w:tcPr>
                  <w:p w14:paraId="0F88CFA7" w14:textId="77777777" w:rsidR="005E000F" w:rsidRDefault="00000000">
                    <w:pPr>
                      <w:spacing w:line="240" w:lineRule="atLeast"/>
                      <w:jc w:val="right"/>
                    </w:pPr>
                    <w:r>
                      <w:t>0</w:t>
                    </w:r>
                  </w:p>
                </w:tc>
              </w:sdtContent>
            </w:sdt>
            <w:sdt>
              <w:sdtPr>
                <w:alias w:val="使用权资产明细-累计折旧减少"/>
                <w:tag w:val="_GBC_e2ef0a3cb82e4a6ea7ad6837db07ee0a"/>
                <w:id w:val="-109594135"/>
              </w:sdtPr>
              <w:sdtContent>
                <w:tc>
                  <w:tcPr>
                    <w:tcW w:w="561" w:type="pct"/>
                    <w:vAlign w:val="center"/>
                  </w:tcPr>
                  <w:p w14:paraId="0E92E92D" w14:textId="77777777" w:rsidR="005E000F" w:rsidRDefault="00000000">
                    <w:pPr>
                      <w:spacing w:line="240" w:lineRule="atLeast"/>
                      <w:jc w:val="right"/>
                    </w:pPr>
                    <w:r>
                      <w:t>10,330,443</w:t>
                    </w:r>
                  </w:p>
                </w:tc>
              </w:sdtContent>
            </w:sdt>
            <w:sdt>
              <w:sdtPr>
                <w:alias w:val="使用权资产明细-累计折旧减少"/>
                <w:tag w:val="_GBC_e2ef0a3cb82e4a6ea7ad6837db07ee0a"/>
                <w:id w:val="-2073490711"/>
              </w:sdtPr>
              <w:sdtContent>
                <w:tc>
                  <w:tcPr>
                    <w:tcW w:w="492" w:type="pct"/>
                    <w:vAlign w:val="center"/>
                  </w:tcPr>
                  <w:p w14:paraId="35081CF8" w14:textId="77777777" w:rsidR="005E000F" w:rsidRDefault="00000000">
                    <w:pPr>
                      <w:spacing w:line="240" w:lineRule="atLeast"/>
                      <w:jc w:val="right"/>
                    </w:pPr>
                    <w:r>
                      <w:t>0</w:t>
                    </w:r>
                  </w:p>
                </w:tc>
              </w:sdtContent>
            </w:sdt>
            <w:sdt>
              <w:sdtPr>
                <w:alias w:val="使用权资产明细-累计折旧减少"/>
                <w:tag w:val="_GBC_e2ef0a3cb82e4a6ea7ad6837db07ee0a"/>
                <w:id w:val="-489635257"/>
              </w:sdtPr>
              <w:sdtContent>
                <w:tc>
                  <w:tcPr>
                    <w:tcW w:w="487" w:type="pct"/>
                    <w:vAlign w:val="center"/>
                  </w:tcPr>
                  <w:p w14:paraId="134C23B9" w14:textId="77777777" w:rsidR="005E000F" w:rsidRDefault="00000000">
                    <w:pPr>
                      <w:spacing w:line="240" w:lineRule="atLeast"/>
                      <w:jc w:val="right"/>
                    </w:pPr>
                    <w:r>
                      <w:t>0</w:t>
                    </w:r>
                  </w:p>
                </w:tc>
              </w:sdtContent>
            </w:sdt>
            <w:sdt>
              <w:sdtPr>
                <w:alias w:val="使用权资产明细-累计折旧减少"/>
                <w:tag w:val="_GBC_e2ef0a3cb82e4a6ea7ad6837db07ee0a"/>
                <w:id w:val="1956595757"/>
              </w:sdtPr>
              <w:sdtContent>
                <w:tc>
                  <w:tcPr>
                    <w:tcW w:w="480" w:type="pct"/>
                    <w:vAlign w:val="center"/>
                  </w:tcPr>
                  <w:p w14:paraId="6B032A93" w14:textId="77777777" w:rsidR="005E000F" w:rsidRDefault="00000000">
                    <w:pPr>
                      <w:spacing w:line="240" w:lineRule="atLeast"/>
                      <w:jc w:val="right"/>
                    </w:pPr>
                    <w:r>
                      <w:t>0</w:t>
                    </w:r>
                  </w:p>
                </w:tc>
              </w:sdtContent>
            </w:sdt>
            <w:sdt>
              <w:sdtPr>
                <w:alias w:val="使用权资产明细-累计折旧减少"/>
                <w:tag w:val="_GBC_e2ef0a3cb82e4a6ea7ad6837db07ee0a"/>
                <w:id w:val="897633703"/>
              </w:sdtPr>
              <w:sdtContent>
                <w:tc>
                  <w:tcPr>
                    <w:tcW w:w="598" w:type="pct"/>
                    <w:vAlign w:val="center"/>
                  </w:tcPr>
                  <w:p w14:paraId="73853658" w14:textId="77777777" w:rsidR="005E000F" w:rsidRDefault="00000000">
                    <w:pPr>
                      <w:spacing w:line="240" w:lineRule="atLeast"/>
                      <w:jc w:val="right"/>
                    </w:pPr>
                    <w:r>
                      <w:t>0</w:t>
                    </w:r>
                  </w:p>
                </w:tc>
              </w:sdtContent>
            </w:sdt>
            <w:sdt>
              <w:sdtPr>
                <w:alias w:val="使用权资产累计折旧减少"/>
                <w:tag w:val="_GBC_5c1741ec6d6749fdb04311d780de1628"/>
                <w:id w:val="-527333567"/>
              </w:sdtPr>
              <w:sdtContent>
                <w:tc>
                  <w:tcPr>
                    <w:tcW w:w="533" w:type="pct"/>
                    <w:vAlign w:val="center"/>
                  </w:tcPr>
                  <w:p w14:paraId="5882D25E" w14:textId="77777777" w:rsidR="005E000F" w:rsidRDefault="00000000">
                    <w:pPr>
                      <w:spacing w:line="240" w:lineRule="atLeast"/>
                      <w:jc w:val="right"/>
                    </w:pPr>
                    <w:r>
                      <w:t>11,302,997</w:t>
                    </w:r>
                  </w:p>
                </w:tc>
              </w:sdtContent>
            </w:sdt>
          </w:tr>
          <w:tr w:rsidR="005E000F" w14:paraId="7F814614" w14:textId="77777777">
            <w:trPr>
              <w:trHeight w:val="284"/>
            </w:trPr>
            <w:sdt>
              <w:sdtPr>
                <w:tag w:val="_PLD_ae5964fc5a2a43cd841fd16ac1d5d30a"/>
                <w:id w:val="474034104"/>
              </w:sdtPr>
              <w:sdtContent>
                <w:tc>
                  <w:tcPr>
                    <w:tcW w:w="724" w:type="pct"/>
                    <w:vAlign w:val="center"/>
                  </w:tcPr>
                  <w:p w14:paraId="34FCF32B" w14:textId="77777777" w:rsidR="005E000F" w:rsidRDefault="00000000">
                    <w:pPr>
                      <w:spacing w:line="240" w:lineRule="atLeast"/>
                      <w:ind w:firstLineChars="200" w:firstLine="420"/>
                    </w:pPr>
                    <w:r>
                      <w:rPr>
                        <w:rFonts w:hint="eastAsia"/>
                      </w:rPr>
                      <w:t>（</w:t>
                    </w:r>
                    <w:r>
                      <w:rPr>
                        <w:rFonts w:hint="eastAsia"/>
                      </w:rPr>
                      <w:t>1</w:t>
                    </w:r>
                    <w:r>
                      <w:rPr>
                        <w:rFonts w:hint="eastAsia"/>
                      </w:rPr>
                      <w:t>）处置</w:t>
                    </w:r>
                  </w:p>
                </w:tc>
              </w:sdtContent>
            </w:sdt>
            <w:sdt>
              <w:sdtPr>
                <w:alias w:val="使用权资产明细-处置导致的累计折旧减少"/>
                <w:tag w:val="_GBC_e716051cd4af4006af3bcbbb70a5e02b"/>
                <w:id w:val="-264390976"/>
              </w:sdtPr>
              <w:sdtContent>
                <w:tc>
                  <w:tcPr>
                    <w:tcW w:w="523" w:type="pct"/>
                    <w:vAlign w:val="center"/>
                  </w:tcPr>
                  <w:p w14:paraId="670997B4" w14:textId="77777777" w:rsidR="005E000F" w:rsidRDefault="00000000">
                    <w:pPr>
                      <w:spacing w:line="240" w:lineRule="atLeast"/>
                      <w:jc w:val="right"/>
                    </w:pPr>
                    <w:r>
                      <w:t>972,554</w:t>
                    </w:r>
                  </w:p>
                </w:tc>
              </w:sdtContent>
            </w:sdt>
            <w:sdt>
              <w:sdtPr>
                <w:alias w:val="使用权资产明细-处置导致的累计折旧减少"/>
                <w:tag w:val="_GBC_e716051cd4af4006af3bcbbb70a5e02b"/>
                <w:id w:val="1192112252"/>
              </w:sdtPr>
              <w:sdtContent>
                <w:tc>
                  <w:tcPr>
                    <w:tcW w:w="598" w:type="pct"/>
                    <w:vAlign w:val="center"/>
                  </w:tcPr>
                  <w:p w14:paraId="760DC17C" w14:textId="77777777" w:rsidR="005E000F" w:rsidRDefault="00000000">
                    <w:pPr>
                      <w:spacing w:line="240" w:lineRule="atLeast"/>
                      <w:jc w:val="right"/>
                    </w:pPr>
                    <w:r>
                      <w:t>0</w:t>
                    </w:r>
                  </w:p>
                </w:tc>
              </w:sdtContent>
            </w:sdt>
            <w:sdt>
              <w:sdtPr>
                <w:alias w:val="使用权资产明细-处置导致的累计折旧减少"/>
                <w:tag w:val="_GBC_e716051cd4af4006af3bcbbb70a5e02b"/>
                <w:id w:val="1638985781"/>
              </w:sdtPr>
              <w:sdtContent>
                <w:tc>
                  <w:tcPr>
                    <w:tcW w:w="561" w:type="pct"/>
                    <w:vAlign w:val="center"/>
                  </w:tcPr>
                  <w:p w14:paraId="08C49DDF" w14:textId="77777777" w:rsidR="005E000F" w:rsidRDefault="00000000">
                    <w:pPr>
                      <w:spacing w:line="240" w:lineRule="atLeast"/>
                      <w:jc w:val="right"/>
                    </w:pPr>
                    <w:r>
                      <w:t>10,330,443</w:t>
                    </w:r>
                  </w:p>
                </w:tc>
              </w:sdtContent>
            </w:sdt>
            <w:sdt>
              <w:sdtPr>
                <w:alias w:val="使用权资产明细-处置导致的累计折旧减少"/>
                <w:tag w:val="_GBC_e716051cd4af4006af3bcbbb70a5e02b"/>
                <w:id w:val="-1707324746"/>
              </w:sdtPr>
              <w:sdtContent>
                <w:tc>
                  <w:tcPr>
                    <w:tcW w:w="492" w:type="pct"/>
                    <w:vAlign w:val="center"/>
                  </w:tcPr>
                  <w:p w14:paraId="79E9362C" w14:textId="77777777" w:rsidR="005E000F" w:rsidRDefault="00000000">
                    <w:pPr>
                      <w:spacing w:line="240" w:lineRule="atLeast"/>
                      <w:jc w:val="right"/>
                    </w:pPr>
                    <w:r>
                      <w:t>0</w:t>
                    </w:r>
                  </w:p>
                </w:tc>
              </w:sdtContent>
            </w:sdt>
            <w:sdt>
              <w:sdtPr>
                <w:alias w:val="使用权资产明细-处置导致的累计折旧减少"/>
                <w:tag w:val="_GBC_e716051cd4af4006af3bcbbb70a5e02b"/>
                <w:id w:val="2098287580"/>
              </w:sdtPr>
              <w:sdtContent>
                <w:tc>
                  <w:tcPr>
                    <w:tcW w:w="487" w:type="pct"/>
                    <w:vAlign w:val="center"/>
                  </w:tcPr>
                  <w:p w14:paraId="02D01EBD" w14:textId="77777777" w:rsidR="005E000F" w:rsidRDefault="00000000">
                    <w:pPr>
                      <w:spacing w:line="240" w:lineRule="atLeast"/>
                      <w:jc w:val="right"/>
                    </w:pPr>
                    <w:r>
                      <w:t>0</w:t>
                    </w:r>
                  </w:p>
                </w:tc>
              </w:sdtContent>
            </w:sdt>
            <w:sdt>
              <w:sdtPr>
                <w:alias w:val="使用权资产明细-处置导致的累计折旧减少"/>
                <w:tag w:val="_GBC_e716051cd4af4006af3bcbbb70a5e02b"/>
                <w:id w:val="1725639441"/>
              </w:sdtPr>
              <w:sdtContent>
                <w:tc>
                  <w:tcPr>
                    <w:tcW w:w="480" w:type="pct"/>
                    <w:vAlign w:val="center"/>
                  </w:tcPr>
                  <w:p w14:paraId="0537E9BE" w14:textId="77777777" w:rsidR="005E000F" w:rsidRDefault="00000000">
                    <w:pPr>
                      <w:spacing w:line="240" w:lineRule="atLeast"/>
                      <w:jc w:val="right"/>
                    </w:pPr>
                    <w:r>
                      <w:t>0</w:t>
                    </w:r>
                  </w:p>
                </w:tc>
              </w:sdtContent>
            </w:sdt>
            <w:sdt>
              <w:sdtPr>
                <w:alias w:val="使用权资产明细-处置导致的累计折旧减少"/>
                <w:tag w:val="_GBC_e716051cd4af4006af3bcbbb70a5e02b"/>
                <w:id w:val="-2119817768"/>
              </w:sdtPr>
              <w:sdtContent>
                <w:tc>
                  <w:tcPr>
                    <w:tcW w:w="598" w:type="pct"/>
                    <w:vAlign w:val="center"/>
                  </w:tcPr>
                  <w:p w14:paraId="4D0ED087" w14:textId="77777777" w:rsidR="005E000F" w:rsidRDefault="00000000">
                    <w:pPr>
                      <w:spacing w:line="240" w:lineRule="atLeast"/>
                      <w:jc w:val="right"/>
                    </w:pPr>
                    <w:r>
                      <w:t>0</w:t>
                    </w:r>
                  </w:p>
                </w:tc>
              </w:sdtContent>
            </w:sdt>
            <w:sdt>
              <w:sdtPr>
                <w:alias w:val="使用权资产处置导致的累计折旧减少"/>
                <w:tag w:val="_GBC_d08bcdb3fd6f46f2af5927674d755256"/>
                <w:id w:val="661899516"/>
              </w:sdtPr>
              <w:sdtContent>
                <w:tc>
                  <w:tcPr>
                    <w:tcW w:w="533" w:type="pct"/>
                    <w:vAlign w:val="center"/>
                  </w:tcPr>
                  <w:p w14:paraId="4C62A5D9" w14:textId="77777777" w:rsidR="005E000F" w:rsidRDefault="00000000">
                    <w:pPr>
                      <w:spacing w:line="240" w:lineRule="atLeast"/>
                      <w:jc w:val="right"/>
                    </w:pPr>
                    <w:r>
                      <w:t>11,302,997</w:t>
                    </w:r>
                  </w:p>
                </w:tc>
              </w:sdtContent>
            </w:sdt>
          </w:tr>
          <w:tr w:rsidR="005E000F" w14:paraId="08E0CA1A" w14:textId="77777777">
            <w:trPr>
              <w:trHeight w:val="284"/>
            </w:trPr>
            <w:sdt>
              <w:sdtPr>
                <w:tag w:val="_PLD_79567bd0b797412896b3df2b101d8dd7"/>
                <w:id w:val="2116857942"/>
              </w:sdtPr>
              <w:sdtContent>
                <w:tc>
                  <w:tcPr>
                    <w:tcW w:w="724" w:type="pct"/>
                    <w:vAlign w:val="center"/>
                  </w:tcPr>
                  <w:p w14:paraId="1D6A5BB6" w14:textId="77777777" w:rsidR="005E000F" w:rsidRDefault="00000000">
                    <w:pPr>
                      <w:spacing w:line="240" w:lineRule="atLeast"/>
                      <w:ind w:firstLineChars="200" w:firstLine="420"/>
                    </w:pPr>
                    <w:r>
                      <w:rPr>
                        <w:rFonts w:hint="eastAsia"/>
                      </w:rPr>
                      <w:t>4.</w:t>
                    </w:r>
                    <w:r>
                      <w:t>期末余额</w:t>
                    </w:r>
                  </w:p>
                </w:tc>
              </w:sdtContent>
            </w:sdt>
            <w:sdt>
              <w:sdtPr>
                <w:alias w:val="使用权资产明细-累计折旧"/>
                <w:tag w:val="_GBC_a77fb6c1cfca49759dec668e26296ff4"/>
                <w:id w:val="745990775"/>
              </w:sdtPr>
              <w:sdtContent>
                <w:tc>
                  <w:tcPr>
                    <w:tcW w:w="523" w:type="pct"/>
                    <w:vAlign w:val="center"/>
                  </w:tcPr>
                  <w:p w14:paraId="144D2512" w14:textId="77777777" w:rsidR="005E000F" w:rsidRDefault="00000000">
                    <w:pPr>
                      <w:spacing w:line="240" w:lineRule="atLeast"/>
                      <w:jc w:val="right"/>
                    </w:pPr>
                    <w:r>
                      <w:t>846,552</w:t>
                    </w:r>
                  </w:p>
                </w:tc>
              </w:sdtContent>
            </w:sdt>
            <w:sdt>
              <w:sdtPr>
                <w:alias w:val="使用权资产明细-累计折旧"/>
                <w:tag w:val="_GBC_a77fb6c1cfca49759dec668e26296ff4"/>
                <w:id w:val="1092822274"/>
              </w:sdtPr>
              <w:sdtContent>
                <w:tc>
                  <w:tcPr>
                    <w:tcW w:w="598" w:type="pct"/>
                    <w:vAlign w:val="center"/>
                  </w:tcPr>
                  <w:p w14:paraId="6E93CFBF" w14:textId="77777777" w:rsidR="005E000F" w:rsidRDefault="00000000">
                    <w:pPr>
                      <w:spacing w:line="240" w:lineRule="atLeast"/>
                      <w:jc w:val="right"/>
                    </w:pPr>
                    <w:r>
                      <w:t>438,583,865</w:t>
                    </w:r>
                  </w:p>
                </w:tc>
              </w:sdtContent>
            </w:sdt>
            <w:sdt>
              <w:sdtPr>
                <w:alias w:val="使用权资产明细-累计折旧"/>
                <w:tag w:val="_GBC_a77fb6c1cfca49759dec668e26296ff4"/>
                <w:id w:val="415138788"/>
              </w:sdtPr>
              <w:sdtContent>
                <w:tc>
                  <w:tcPr>
                    <w:tcW w:w="561" w:type="pct"/>
                    <w:vAlign w:val="center"/>
                  </w:tcPr>
                  <w:p w14:paraId="3795B2AC" w14:textId="77777777" w:rsidR="005E000F" w:rsidRDefault="00000000">
                    <w:pPr>
                      <w:spacing w:line="240" w:lineRule="atLeast"/>
                      <w:jc w:val="right"/>
                    </w:pPr>
                    <w:r>
                      <w:t>443,086</w:t>
                    </w:r>
                  </w:p>
                </w:tc>
              </w:sdtContent>
            </w:sdt>
            <w:sdt>
              <w:sdtPr>
                <w:alias w:val="使用权资产明细-累计折旧"/>
                <w:tag w:val="_GBC_a77fb6c1cfca49759dec668e26296ff4"/>
                <w:id w:val="202991557"/>
              </w:sdtPr>
              <w:sdtContent>
                <w:tc>
                  <w:tcPr>
                    <w:tcW w:w="492" w:type="pct"/>
                    <w:vAlign w:val="center"/>
                  </w:tcPr>
                  <w:p w14:paraId="04F433B3" w14:textId="77777777" w:rsidR="005E000F" w:rsidRDefault="00000000">
                    <w:pPr>
                      <w:spacing w:line="240" w:lineRule="atLeast"/>
                      <w:jc w:val="right"/>
                    </w:pPr>
                    <w:r>
                      <w:t>0</w:t>
                    </w:r>
                  </w:p>
                </w:tc>
              </w:sdtContent>
            </w:sdt>
            <w:sdt>
              <w:sdtPr>
                <w:alias w:val="使用权资产明细-累计折旧"/>
                <w:tag w:val="_GBC_a77fb6c1cfca49759dec668e26296ff4"/>
                <w:id w:val="1064366432"/>
              </w:sdtPr>
              <w:sdtContent>
                <w:tc>
                  <w:tcPr>
                    <w:tcW w:w="487" w:type="pct"/>
                    <w:vAlign w:val="center"/>
                  </w:tcPr>
                  <w:p w14:paraId="27700AE2" w14:textId="77777777" w:rsidR="005E000F" w:rsidRDefault="00000000">
                    <w:pPr>
                      <w:spacing w:line="240" w:lineRule="atLeast"/>
                      <w:jc w:val="right"/>
                    </w:pPr>
                    <w:r>
                      <w:t>0</w:t>
                    </w:r>
                  </w:p>
                </w:tc>
              </w:sdtContent>
            </w:sdt>
            <w:sdt>
              <w:sdtPr>
                <w:alias w:val="使用权资产明细-累计折旧"/>
                <w:tag w:val="_GBC_a77fb6c1cfca49759dec668e26296ff4"/>
                <w:id w:val="1433940986"/>
              </w:sdtPr>
              <w:sdtContent>
                <w:tc>
                  <w:tcPr>
                    <w:tcW w:w="480" w:type="pct"/>
                    <w:vAlign w:val="center"/>
                  </w:tcPr>
                  <w:p w14:paraId="105E4411" w14:textId="77777777" w:rsidR="005E000F" w:rsidRDefault="00000000">
                    <w:pPr>
                      <w:spacing w:line="240" w:lineRule="atLeast"/>
                      <w:jc w:val="right"/>
                    </w:pPr>
                    <w:r>
                      <w:t>0</w:t>
                    </w:r>
                  </w:p>
                </w:tc>
              </w:sdtContent>
            </w:sdt>
            <w:sdt>
              <w:sdtPr>
                <w:alias w:val="使用权资产明细-累计折旧"/>
                <w:tag w:val="_GBC_a77fb6c1cfca49759dec668e26296ff4"/>
                <w:id w:val="1403491923"/>
              </w:sdtPr>
              <w:sdtContent>
                <w:tc>
                  <w:tcPr>
                    <w:tcW w:w="598" w:type="pct"/>
                    <w:vAlign w:val="center"/>
                  </w:tcPr>
                  <w:p w14:paraId="0B65E9FD" w14:textId="77777777" w:rsidR="005E000F" w:rsidRDefault="00000000">
                    <w:pPr>
                      <w:spacing w:line="240" w:lineRule="atLeast"/>
                      <w:jc w:val="right"/>
                    </w:pPr>
                    <w:r>
                      <w:t>70,309,371</w:t>
                    </w:r>
                  </w:p>
                </w:tc>
              </w:sdtContent>
            </w:sdt>
            <w:sdt>
              <w:sdtPr>
                <w:alias w:val="使用权资产累计折旧"/>
                <w:tag w:val="_GBC_0752071ca86f40d997c453d76ec5f1db"/>
                <w:id w:val="1213936096"/>
              </w:sdtPr>
              <w:sdtContent>
                <w:tc>
                  <w:tcPr>
                    <w:tcW w:w="533" w:type="pct"/>
                    <w:vAlign w:val="center"/>
                  </w:tcPr>
                  <w:p w14:paraId="5FCE5005" w14:textId="77777777" w:rsidR="005E000F" w:rsidRDefault="00000000">
                    <w:pPr>
                      <w:spacing w:line="240" w:lineRule="atLeast"/>
                      <w:jc w:val="right"/>
                    </w:pPr>
                    <w:r>
                      <w:t>510,182,874</w:t>
                    </w:r>
                  </w:p>
                </w:tc>
              </w:sdtContent>
            </w:sdt>
          </w:tr>
          <w:tr w:rsidR="005E000F" w14:paraId="0CEBE471" w14:textId="77777777">
            <w:trPr>
              <w:trHeight w:val="284"/>
            </w:trPr>
            <w:sdt>
              <w:sdtPr>
                <w:tag w:val="_PLD_a32c53282c7a49e1a1747c76e44e7471"/>
                <w:id w:val="-1073354032"/>
              </w:sdtPr>
              <w:sdtContent>
                <w:tc>
                  <w:tcPr>
                    <w:tcW w:w="5000" w:type="pct"/>
                    <w:gridSpan w:val="9"/>
                    <w:vAlign w:val="center"/>
                  </w:tcPr>
                  <w:p w14:paraId="32B60BB5" w14:textId="77777777" w:rsidR="005E000F" w:rsidRDefault="00000000">
                    <w:pPr>
                      <w:spacing w:line="240" w:lineRule="atLeast"/>
                    </w:pPr>
                    <w:r>
                      <w:t>三、减值准备</w:t>
                    </w:r>
                  </w:p>
                </w:tc>
              </w:sdtContent>
            </w:sdt>
          </w:tr>
          <w:tr w:rsidR="005E000F" w14:paraId="487C8857" w14:textId="77777777">
            <w:trPr>
              <w:trHeight w:val="284"/>
            </w:trPr>
            <w:sdt>
              <w:sdtPr>
                <w:tag w:val="_PLD_c525722dd32447e7b903d6dfb9a3e95e"/>
                <w:id w:val="-1705159730"/>
              </w:sdtPr>
              <w:sdtContent>
                <w:tc>
                  <w:tcPr>
                    <w:tcW w:w="724" w:type="pct"/>
                    <w:vAlign w:val="center"/>
                  </w:tcPr>
                  <w:p w14:paraId="50A773AE" w14:textId="77777777" w:rsidR="005E000F" w:rsidRDefault="00000000">
                    <w:pPr>
                      <w:spacing w:line="240" w:lineRule="atLeast"/>
                      <w:ind w:firstLineChars="200" w:firstLine="420"/>
                    </w:pPr>
                    <w:r>
                      <w:rPr>
                        <w:rFonts w:hint="eastAsia"/>
                      </w:rPr>
                      <w:t>1.</w:t>
                    </w:r>
                    <w:r>
                      <w:rPr>
                        <w:rFonts w:hint="eastAsia"/>
                      </w:rPr>
                      <w:t>期</w:t>
                    </w:r>
                    <w:r>
                      <w:t>初余额</w:t>
                    </w:r>
                  </w:p>
                </w:tc>
              </w:sdtContent>
            </w:sdt>
            <w:sdt>
              <w:sdtPr>
                <w:alias w:val="使用权资产明细-减值准备"/>
                <w:tag w:val="_GBC_879ef9206a9d4d5c9d4259f630ca6076"/>
                <w:id w:val="1756937670"/>
              </w:sdtPr>
              <w:sdtContent>
                <w:tc>
                  <w:tcPr>
                    <w:tcW w:w="523" w:type="pct"/>
                    <w:vAlign w:val="center"/>
                  </w:tcPr>
                  <w:p w14:paraId="430DAFA1" w14:textId="77777777" w:rsidR="005E000F" w:rsidRDefault="00000000">
                    <w:pPr>
                      <w:spacing w:line="240" w:lineRule="atLeast"/>
                      <w:jc w:val="right"/>
                    </w:pPr>
                    <w:r>
                      <w:t>0</w:t>
                    </w:r>
                  </w:p>
                </w:tc>
              </w:sdtContent>
            </w:sdt>
            <w:sdt>
              <w:sdtPr>
                <w:alias w:val="使用权资产明细-减值准备"/>
                <w:tag w:val="_GBC_879ef9206a9d4d5c9d4259f630ca6076"/>
                <w:id w:val="-901523826"/>
              </w:sdtPr>
              <w:sdtContent>
                <w:tc>
                  <w:tcPr>
                    <w:tcW w:w="598" w:type="pct"/>
                    <w:vAlign w:val="center"/>
                  </w:tcPr>
                  <w:p w14:paraId="7F179005" w14:textId="77777777" w:rsidR="005E000F" w:rsidRDefault="00000000">
                    <w:pPr>
                      <w:spacing w:line="240" w:lineRule="atLeast"/>
                      <w:jc w:val="right"/>
                    </w:pPr>
                    <w:r>
                      <w:t>0</w:t>
                    </w:r>
                  </w:p>
                </w:tc>
              </w:sdtContent>
            </w:sdt>
            <w:sdt>
              <w:sdtPr>
                <w:alias w:val="使用权资产明细-减值准备"/>
                <w:tag w:val="_GBC_879ef9206a9d4d5c9d4259f630ca6076"/>
                <w:id w:val="1609469295"/>
              </w:sdtPr>
              <w:sdtContent>
                <w:tc>
                  <w:tcPr>
                    <w:tcW w:w="561" w:type="pct"/>
                    <w:vAlign w:val="center"/>
                  </w:tcPr>
                  <w:p w14:paraId="45FD1C88" w14:textId="77777777" w:rsidR="005E000F" w:rsidRDefault="00000000">
                    <w:pPr>
                      <w:spacing w:line="240" w:lineRule="atLeast"/>
                      <w:jc w:val="right"/>
                    </w:pPr>
                    <w:r>
                      <w:t>0</w:t>
                    </w:r>
                  </w:p>
                </w:tc>
              </w:sdtContent>
            </w:sdt>
            <w:sdt>
              <w:sdtPr>
                <w:alias w:val="使用权资产明细-减值准备"/>
                <w:tag w:val="_GBC_879ef9206a9d4d5c9d4259f630ca6076"/>
                <w:id w:val="812683468"/>
              </w:sdtPr>
              <w:sdtContent>
                <w:tc>
                  <w:tcPr>
                    <w:tcW w:w="492" w:type="pct"/>
                    <w:vAlign w:val="center"/>
                  </w:tcPr>
                  <w:p w14:paraId="1A3C6C0B" w14:textId="77777777" w:rsidR="005E000F" w:rsidRDefault="00000000">
                    <w:pPr>
                      <w:spacing w:line="240" w:lineRule="atLeast"/>
                      <w:jc w:val="right"/>
                    </w:pPr>
                    <w:r>
                      <w:t>0</w:t>
                    </w:r>
                  </w:p>
                </w:tc>
              </w:sdtContent>
            </w:sdt>
            <w:sdt>
              <w:sdtPr>
                <w:alias w:val="使用权资产明细-减值准备"/>
                <w:tag w:val="_GBC_879ef9206a9d4d5c9d4259f630ca6076"/>
                <w:id w:val="1222720767"/>
              </w:sdtPr>
              <w:sdtContent>
                <w:tc>
                  <w:tcPr>
                    <w:tcW w:w="487" w:type="pct"/>
                    <w:vAlign w:val="center"/>
                  </w:tcPr>
                  <w:p w14:paraId="1B09A549" w14:textId="77777777" w:rsidR="005E000F" w:rsidRDefault="00000000">
                    <w:pPr>
                      <w:spacing w:line="240" w:lineRule="atLeast"/>
                      <w:jc w:val="right"/>
                    </w:pPr>
                    <w:r>
                      <w:t>0</w:t>
                    </w:r>
                  </w:p>
                </w:tc>
              </w:sdtContent>
            </w:sdt>
            <w:sdt>
              <w:sdtPr>
                <w:alias w:val="使用权资产明细-减值准备"/>
                <w:tag w:val="_GBC_879ef9206a9d4d5c9d4259f630ca6076"/>
                <w:id w:val="1620179279"/>
              </w:sdtPr>
              <w:sdtContent>
                <w:tc>
                  <w:tcPr>
                    <w:tcW w:w="480" w:type="pct"/>
                    <w:vAlign w:val="center"/>
                  </w:tcPr>
                  <w:p w14:paraId="5C169957" w14:textId="77777777" w:rsidR="005E000F" w:rsidRDefault="00000000">
                    <w:pPr>
                      <w:spacing w:line="240" w:lineRule="atLeast"/>
                      <w:jc w:val="right"/>
                    </w:pPr>
                    <w:r>
                      <w:t>0</w:t>
                    </w:r>
                  </w:p>
                </w:tc>
              </w:sdtContent>
            </w:sdt>
            <w:sdt>
              <w:sdtPr>
                <w:alias w:val="使用权资产明细-减值准备"/>
                <w:tag w:val="_GBC_879ef9206a9d4d5c9d4259f630ca6076"/>
                <w:id w:val="-1213807061"/>
              </w:sdtPr>
              <w:sdtContent>
                <w:tc>
                  <w:tcPr>
                    <w:tcW w:w="598" w:type="pct"/>
                    <w:vAlign w:val="center"/>
                  </w:tcPr>
                  <w:p w14:paraId="6A0584CE" w14:textId="77777777" w:rsidR="005E000F" w:rsidRDefault="00000000">
                    <w:pPr>
                      <w:spacing w:line="240" w:lineRule="atLeast"/>
                      <w:jc w:val="right"/>
                    </w:pPr>
                    <w:r>
                      <w:t>0</w:t>
                    </w:r>
                  </w:p>
                </w:tc>
              </w:sdtContent>
            </w:sdt>
            <w:sdt>
              <w:sdtPr>
                <w:alias w:val="使用权资产减值准备"/>
                <w:tag w:val="_GBC_3fada38a1dba4837be935c7e5d414e8b"/>
                <w:id w:val="-652685076"/>
              </w:sdtPr>
              <w:sdtContent>
                <w:tc>
                  <w:tcPr>
                    <w:tcW w:w="533" w:type="pct"/>
                    <w:vAlign w:val="center"/>
                  </w:tcPr>
                  <w:p w14:paraId="70C4C9BF" w14:textId="77777777" w:rsidR="005E000F" w:rsidRDefault="00000000">
                    <w:pPr>
                      <w:spacing w:line="240" w:lineRule="atLeast"/>
                      <w:jc w:val="right"/>
                    </w:pPr>
                    <w:r>
                      <w:t>0</w:t>
                    </w:r>
                  </w:p>
                </w:tc>
              </w:sdtContent>
            </w:sdt>
          </w:tr>
          <w:tr w:rsidR="005E000F" w14:paraId="744FFDAF" w14:textId="77777777">
            <w:trPr>
              <w:trHeight w:val="284"/>
            </w:trPr>
            <w:sdt>
              <w:sdtPr>
                <w:tag w:val="_PLD_1326d35dee514a94975331999134ee01"/>
                <w:id w:val="1376894543"/>
              </w:sdtPr>
              <w:sdtContent>
                <w:tc>
                  <w:tcPr>
                    <w:tcW w:w="724" w:type="pct"/>
                    <w:vAlign w:val="center"/>
                  </w:tcPr>
                  <w:p w14:paraId="6C87576E" w14:textId="77777777" w:rsidR="005E000F" w:rsidRDefault="00000000">
                    <w:pPr>
                      <w:spacing w:line="240" w:lineRule="atLeast"/>
                      <w:ind w:firstLineChars="200" w:firstLine="420"/>
                    </w:pPr>
                    <w:r>
                      <w:t>2.</w:t>
                    </w:r>
                    <w:r>
                      <w:t>本期增加</w:t>
                    </w:r>
                    <w:r>
                      <w:rPr>
                        <w:rFonts w:hint="eastAsia"/>
                      </w:rPr>
                      <w:t>金额</w:t>
                    </w:r>
                  </w:p>
                </w:tc>
              </w:sdtContent>
            </w:sdt>
            <w:sdt>
              <w:sdtPr>
                <w:alias w:val="使用权资产明细-减值准备增加"/>
                <w:tag w:val="_GBC_3b26ec4d090d4b14bd96faa96fe9aa1f"/>
                <w:id w:val="1164983265"/>
              </w:sdtPr>
              <w:sdtContent>
                <w:tc>
                  <w:tcPr>
                    <w:tcW w:w="523" w:type="pct"/>
                    <w:vAlign w:val="center"/>
                  </w:tcPr>
                  <w:p w14:paraId="1F321165" w14:textId="77777777" w:rsidR="005E000F" w:rsidRDefault="00000000">
                    <w:pPr>
                      <w:spacing w:line="240" w:lineRule="atLeast"/>
                      <w:jc w:val="right"/>
                    </w:pPr>
                    <w:r>
                      <w:t>0</w:t>
                    </w:r>
                  </w:p>
                </w:tc>
              </w:sdtContent>
            </w:sdt>
            <w:sdt>
              <w:sdtPr>
                <w:alias w:val="使用权资产明细-减值准备增加"/>
                <w:tag w:val="_GBC_3b26ec4d090d4b14bd96faa96fe9aa1f"/>
                <w:id w:val="-1987776662"/>
              </w:sdtPr>
              <w:sdtContent>
                <w:tc>
                  <w:tcPr>
                    <w:tcW w:w="598" w:type="pct"/>
                    <w:vAlign w:val="center"/>
                  </w:tcPr>
                  <w:p w14:paraId="5ED22209" w14:textId="77777777" w:rsidR="005E000F" w:rsidRDefault="00000000">
                    <w:pPr>
                      <w:spacing w:line="240" w:lineRule="atLeast"/>
                      <w:jc w:val="right"/>
                    </w:pPr>
                    <w:r>
                      <w:t>0</w:t>
                    </w:r>
                  </w:p>
                </w:tc>
              </w:sdtContent>
            </w:sdt>
            <w:sdt>
              <w:sdtPr>
                <w:alias w:val="使用权资产明细-减值准备增加"/>
                <w:tag w:val="_GBC_3b26ec4d090d4b14bd96faa96fe9aa1f"/>
                <w:id w:val="637072775"/>
              </w:sdtPr>
              <w:sdtContent>
                <w:tc>
                  <w:tcPr>
                    <w:tcW w:w="561" w:type="pct"/>
                    <w:vAlign w:val="center"/>
                  </w:tcPr>
                  <w:p w14:paraId="3E70A503" w14:textId="77777777" w:rsidR="005E000F" w:rsidRDefault="00000000">
                    <w:pPr>
                      <w:spacing w:line="240" w:lineRule="atLeast"/>
                      <w:jc w:val="right"/>
                    </w:pPr>
                    <w:r>
                      <w:t>0</w:t>
                    </w:r>
                  </w:p>
                </w:tc>
              </w:sdtContent>
            </w:sdt>
            <w:sdt>
              <w:sdtPr>
                <w:alias w:val="使用权资产明细-减值准备增加"/>
                <w:tag w:val="_GBC_3b26ec4d090d4b14bd96faa96fe9aa1f"/>
                <w:id w:val="-1593708078"/>
              </w:sdtPr>
              <w:sdtContent>
                <w:tc>
                  <w:tcPr>
                    <w:tcW w:w="492" w:type="pct"/>
                    <w:vAlign w:val="center"/>
                  </w:tcPr>
                  <w:p w14:paraId="02773398" w14:textId="77777777" w:rsidR="005E000F" w:rsidRDefault="00000000">
                    <w:pPr>
                      <w:spacing w:line="240" w:lineRule="atLeast"/>
                      <w:jc w:val="right"/>
                    </w:pPr>
                    <w:r>
                      <w:t>0</w:t>
                    </w:r>
                  </w:p>
                </w:tc>
              </w:sdtContent>
            </w:sdt>
            <w:sdt>
              <w:sdtPr>
                <w:alias w:val="使用权资产明细-减值准备增加"/>
                <w:tag w:val="_GBC_3b26ec4d090d4b14bd96faa96fe9aa1f"/>
                <w:id w:val="1859547359"/>
              </w:sdtPr>
              <w:sdtContent>
                <w:tc>
                  <w:tcPr>
                    <w:tcW w:w="487" w:type="pct"/>
                    <w:vAlign w:val="center"/>
                  </w:tcPr>
                  <w:p w14:paraId="3202F6FB" w14:textId="77777777" w:rsidR="005E000F" w:rsidRDefault="00000000">
                    <w:pPr>
                      <w:spacing w:line="240" w:lineRule="atLeast"/>
                      <w:jc w:val="right"/>
                    </w:pPr>
                    <w:r>
                      <w:t>0</w:t>
                    </w:r>
                  </w:p>
                </w:tc>
              </w:sdtContent>
            </w:sdt>
            <w:sdt>
              <w:sdtPr>
                <w:alias w:val="使用权资产明细-减值准备增加"/>
                <w:tag w:val="_GBC_3b26ec4d090d4b14bd96faa96fe9aa1f"/>
                <w:id w:val="1890375652"/>
              </w:sdtPr>
              <w:sdtContent>
                <w:tc>
                  <w:tcPr>
                    <w:tcW w:w="480" w:type="pct"/>
                    <w:vAlign w:val="center"/>
                  </w:tcPr>
                  <w:p w14:paraId="36C9CDD5" w14:textId="77777777" w:rsidR="005E000F" w:rsidRDefault="00000000">
                    <w:pPr>
                      <w:spacing w:line="240" w:lineRule="atLeast"/>
                      <w:jc w:val="right"/>
                    </w:pPr>
                    <w:r>
                      <w:t>0</w:t>
                    </w:r>
                  </w:p>
                </w:tc>
              </w:sdtContent>
            </w:sdt>
            <w:sdt>
              <w:sdtPr>
                <w:alias w:val="使用权资产明细-减值准备增加"/>
                <w:tag w:val="_GBC_3b26ec4d090d4b14bd96faa96fe9aa1f"/>
                <w:id w:val="-1436287471"/>
              </w:sdtPr>
              <w:sdtContent>
                <w:tc>
                  <w:tcPr>
                    <w:tcW w:w="598" w:type="pct"/>
                    <w:vAlign w:val="center"/>
                  </w:tcPr>
                  <w:p w14:paraId="76EA3C44" w14:textId="77777777" w:rsidR="005E000F" w:rsidRDefault="00000000">
                    <w:pPr>
                      <w:spacing w:line="240" w:lineRule="atLeast"/>
                      <w:jc w:val="right"/>
                    </w:pPr>
                    <w:r>
                      <w:t>0</w:t>
                    </w:r>
                  </w:p>
                </w:tc>
              </w:sdtContent>
            </w:sdt>
            <w:sdt>
              <w:sdtPr>
                <w:alias w:val="使用权资产减值准备增加"/>
                <w:tag w:val="_GBC_5ab7ef2a8a114820a648dada24eb333f"/>
                <w:id w:val="1138841740"/>
              </w:sdtPr>
              <w:sdtContent>
                <w:tc>
                  <w:tcPr>
                    <w:tcW w:w="533" w:type="pct"/>
                    <w:vAlign w:val="center"/>
                  </w:tcPr>
                  <w:p w14:paraId="1316FF62" w14:textId="77777777" w:rsidR="005E000F" w:rsidRDefault="00000000">
                    <w:pPr>
                      <w:spacing w:line="240" w:lineRule="atLeast"/>
                      <w:jc w:val="right"/>
                    </w:pPr>
                    <w:r>
                      <w:t>0</w:t>
                    </w:r>
                  </w:p>
                </w:tc>
              </w:sdtContent>
            </w:sdt>
          </w:tr>
          <w:tr w:rsidR="005E000F" w14:paraId="7CC8CEFE" w14:textId="77777777">
            <w:trPr>
              <w:trHeight w:val="284"/>
            </w:trPr>
            <w:sdt>
              <w:sdtPr>
                <w:tag w:val="_PLD_b940c183adbb49e38f890af4f7a0809b"/>
                <w:id w:val="914830416"/>
              </w:sdtPr>
              <w:sdtContent>
                <w:tc>
                  <w:tcPr>
                    <w:tcW w:w="724" w:type="pct"/>
                    <w:vAlign w:val="center"/>
                  </w:tcPr>
                  <w:p w14:paraId="3BC40D6C" w14:textId="77777777" w:rsidR="005E000F" w:rsidRDefault="00000000">
                    <w:pPr>
                      <w:spacing w:line="240" w:lineRule="atLeast"/>
                      <w:ind w:firstLineChars="200" w:firstLine="420"/>
                    </w:pPr>
                    <w:r>
                      <w:rPr>
                        <w:rFonts w:hint="eastAsia"/>
                      </w:rPr>
                      <w:t>（</w:t>
                    </w:r>
                    <w:r>
                      <w:rPr>
                        <w:rFonts w:hint="eastAsia"/>
                      </w:rPr>
                      <w:t>1</w:t>
                    </w:r>
                    <w:r>
                      <w:rPr>
                        <w:rFonts w:hint="eastAsia"/>
                      </w:rPr>
                      <w:t>）</w:t>
                    </w:r>
                    <w:r>
                      <w:t>计提</w:t>
                    </w:r>
                  </w:p>
                </w:tc>
              </w:sdtContent>
            </w:sdt>
            <w:sdt>
              <w:sdtPr>
                <w:alias w:val="使用权资产明细-计提导致的减值准备增加"/>
                <w:tag w:val="_GBC_36607329e17f4fec8911a23f3d8701ea"/>
                <w:id w:val="660051690"/>
              </w:sdtPr>
              <w:sdtContent>
                <w:tc>
                  <w:tcPr>
                    <w:tcW w:w="523" w:type="pct"/>
                    <w:vAlign w:val="center"/>
                  </w:tcPr>
                  <w:p w14:paraId="6B43C2F8" w14:textId="77777777" w:rsidR="005E000F" w:rsidRDefault="00000000">
                    <w:pPr>
                      <w:spacing w:line="240" w:lineRule="atLeast"/>
                      <w:jc w:val="right"/>
                    </w:pPr>
                    <w:r>
                      <w:t>0</w:t>
                    </w:r>
                  </w:p>
                </w:tc>
              </w:sdtContent>
            </w:sdt>
            <w:sdt>
              <w:sdtPr>
                <w:alias w:val="使用权资产明细-计提导致的减值准备增加"/>
                <w:tag w:val="_GBC_36607329e17f4fec8911a23f3d8701ea"/>
                <w:id w:val="-576053135"/>
              </w:sdtPr>
              <w:sdtContent>
                <w:tc>
                  <w:tcPr>
                    <w:tcW w:w="598" w:type="pct"/>
                    <w:vAlign w:val="center"/>
                  </w:tcPr>
                  <w:p w14:paraId="219BA306" w14:textId="77777777" w:rsidR="005E000F" w:rsidRDefault="00000000">
                    <w:pPr>
                      <w:spacing w:line="240" w:lineRule="atLeast"/>
                      <w:jc w:val="right"/>
                    </w:pPr>
                    <w:r>
                      <w:t>0</w:t>
                    </w:r>
                  </w:p>
                </w:tc>
              </w:sdtContent>
            </w:sdt>
            <w:sdt>
              <w:sdtPr>
                <w:alias w:val="使用权资产明细-计提导致的减值准备增加"/>
                <w:tag w:val="_GBC_36607329e17f4fec8911a23f3d8701ea"/>
                <w:id w:val="-286969701"/>
              </w:sdtPr>
              <w:sdtContent>
                <w:tc>
                  <w:tcPr>
                    <w:tcW w:w="561" w:type="pct"/>
                    <w:vAlign w:val="center"/>
                  </w:tcPr>
                  <w:p w14:paraId="6AC9EBA1" w14:textId="77777777" w:rsidR="005E000F" w:rsidRDefault="00000000">
                    <w:pPr>
                      <w:spacing w:line="240" w:lineRule="atLeast"/>
                      <w:jc w:val="right"/>
                    </w:pPr>
                    <w:r>
                      <w:t>0</w:t>
                    </w:r>
                  </w:p>
                </w:tc>
              </w:sdtContent>
            </w:sdt>
            <w:sdt>
              <w:sdtPr>
                <w:alias w:val="使用权资产明细-计提导致的减值准备增加"/>
                <w:tag w:val="_GBC_36607329e17f4fec8911a23f3d8701ea"/>
                <w:id w:val="-252516929"/>
              </w:sdtPr>
              <w:sdtContent>
                <w:tc>
                  <w:tcPr>
                    <w:tcW w:w="492" w:type="pct"/>
                    <w:vAlign w:val="center"/>
                  </w:tcPr>
                  <w:p w14:paraId="5F616025" w14:textId="77777777" w:rsidR="005E000F" w:rsidRDefault="00000000">
                    <w:pPr>
                      <w:spacing w:line="240" w:lineRule="atLeast"/>
                      <w:jc w:val="right"/>
                    </w:pPr>
                    <w:r>
                      <w:t>0</w:t>
                    </w:r>
                  </w:p>
                </w:tc>
              </w:sdtContent>
            </w:sdt>
            <w:sdt>
              <w:sdtPr>
                <w:alias w:val="使用权资产明细-计提导致的减值准备增加"/>
                <w:tag w:val="_GBC_36607329e17f4fec8911a23f3d8701ea"/>
                <w:id w:val="1009951101"/>
              </w:sdtPr>
              <w:sdtContent>
                <w:tc>
                  <w:tcPr>
                    <w:tcW w:w="487" w:type="pct"/>
                    <w:vAlign w:val="center"/>
                  </w:tcPr>
                  <w:p w14:paraId="35B25192" w14:textId="77777777" w:rsidR="005E000F" w:rsidRDefault="00000000">
                    <w:pPr>
                      <w:spacing w:line="240" w:lineRule="atLeast"/>
                      <w:jc w:val="right"/>
                    </w:pPr>
                    <w:r>
                      <w:t>0</w:t>
                    </w:r>
                  </w:p>
                </w:tc>
              </w:sdtContent>
            </w:sdt>
            <w:sdt>
              <w:sdtPr>
                <w:alias w:val="使用权资产明细-计提导致的减值准备增加"/>
                <w:tag w:val="_GBC_36607329e17f4fec8911a23f3d8701ea"/>
                <w:id w:val="-1783185751"/>
              </w:sdtPr>
              <w:sdtContent>
                <w:tc>
                  <w:tcPr>
                    <w:tcW w:w="480" w:type="pct"/>
                    <w:vAlign w:val="center"/>
                  </w:tcPr>
                  <w:p w14:paraId="14F0179F" w14:textId="77777777" w:rsidR="005E000F" w:rsidRDefault="00000000">
                    <w:pPr>
                      <w:spacing w:line="240" w:lineRule="atLeast"/>
                      <w:jc w:val="right"/>
                    </w:pPr>
                    <w:r>
                      <w:t>0</w:t>
                    </w:r>
                  </w:p>
                </w:tc>
              </w:sdtContent>
            </w:sdt>
            <w:sdt>
              <w:sdtPr>
                <w:alias w:val="使用权资产明细-计提导致的减值准备增加"/>
                <w:tag w:val="_GBC_36607329e17f4fec8911a23f3d8701ea"/>
                <w:id w:val="-852644138"/>
              </w:sdtPr>
              <w:sdtContent>
                <w:tc>
                  <w:tcPr>
                    <w:tcW w:w="598" w:type="pct"/>
                    <w:vAlign w:val="center"/>
                  </w:tcPr>
                  <w:p w14:paraId="59C6F079" w14:textId="77777777" w:rsidR="005E000F" w:rsidRDefault="00000000">
                    <w:pPr>
                      <w:spacing w:line="240" w:lineRule="atLeast"/>
                      <w:jc w:val="right"/>
                    </w:pPr>
                    <w:r>
                      <w:t>0</w:t>
                    </w:r>
                  </w:p>
                </w:tc>
              </w:sdtContent>
            </w:sdt>
            <w:sdt>
              <w:sdtPr>
                <w:alias w:val="使用权资产计提导致的减值准备增加"/>
                <w:tag w:val="_GBC_b4a109238ec044dd949662d90a0ef64c"/>
                <w:id w:val="-1174720030"/>
              </w:sdtPr>
              <w:sdtContent>
                <w:tc>
                  <w:tcPr>
                    <w:tcW w:w="533" w:type="pct"/>
                    <w:vAlign w:val="center"/>
                  </w:tcPr>
                  <w:p w14:paraId="40043743" w14:textId="77777777" w:rsidR="005E000F" w:rsidRDefault="00000000">
                    <w:pPr>
                      <w:spacing w:line="240" w:lineRule="atLeast"/>
                      <w:jc w:val="right"/>
                    </w:pPr>
                    <w:r>
                      <w:t>0</w:t>
                    </w:r>
                  </w:p>
                </w:tc>
              </w:sdtContent>
            </w:sdt>
          </w:tr>
          <w:tr w:rsidR="005E000F" w14:paraId="2FBFB149" w14:textId="77777777">
            <w:trPr>
              <w:trHeight w:val="284"/>
            </w:trPr>
            <w:sdt>
              <w:sdtPr>
                <w:tag w:val="_PLD_163a7584d25d44a58678bd5bf64e847e"/>
                <w:id w:val="1897696786"/>
              </w:sdtPr>
              <w:sdtContent>
                <w:tc>
                  <w:tcPr>
                    <w:tcW w:w="724" w:type="pct"/>
                    <w:vAlign w:val="center"/>
                  </w:tcPr>
                  <w:p w14:paraId="3EB9D551" w14:textId="77777777" w:rsidR="005E000F" w:rsidRDefault="00000000">
                    <w:pPr>
                      <w:spacing w:line="240" w:lineRule="atLeast"/>
                      <w:ind w:firstLineChars="200" w:firstLine="420"/>
                    </w:pPr>
                    <w:r>
                      <w:rPr>
                        <w:rFonts w:hint="eastAsia"/>
                      </w:rPr>
                      <w:t>3.</w:t>
                    </w:r>
                    <w:r>
                      <w:t>本期减少</w:t>
                    </w:r>
                    <w:r>
                      <w:rPr>
                        <w:rFonts w:hint="eastAsia"/>
                      </w:rPr>
                      <w:t>金额</w:t>
                    </w:r>
                  </w:p>
                </w:tc>
              </w:sdtContent>
            </w:sdt>
            <w:sdt>
              <w:sdtPr>
                <w:alias w:val="使用权资产明细-减值准备减少"/>
                <w:tag w:val="_GBC_a1eaf6a6ed064fd88327ce07f0754825"/>
                <w:id w:val="-1173722215"/>
              </w:sdtPr>
              <w:sdtContent>
                <w:tc>
                  <w:tcPr>
                    <w:tcW w:w="523" w:type="pct"/>
                    <w:vAlign w:val="center"/>
                  </w:tcPr>
                  <w:p w14:paraId="7A3965C1" w14:textId="77777777" w:rsidR="005E000F" w:rsidRDefault="00000000">
                    <w:pPr>
                      <w:spacing w:line="240" w:lineRule="atLeast"/>
                      <w:jc w:val="right"/>
                    </w:pPr>
                    <w:r>
                      <w:t>0</w:t>
                    </w:r>
                  </w:p>
                </w:tc>
              </w:sdtContent>
            </w:sdt>
            <w:sdt>
              <w:sdtPr>
                <w:alias w:val="使用权资产明细-减值准备减少"/>
                <w:tag w:val="_GBC_a1eaf6a6ed064fd88327ce07f0754825"/>
                <w:id w:val="931405534"/>
              </w:sdtPr>
              <w:sdtContent>
                <w:tc>
                  <w:tcPr>
                    <w:tcW w:w="598" w:type="pct"/>
                    <w:vAlign w:val="center"/>
                  </w:tcPr>
                  <w:p w14:paraId="07019B72" w14:textId="77777777" w:rsidR="005E000F" w:rsidRDefault="00000000">
                    <w:pPr>
                      <w:spacing w:line="240" w:lineRule="atLeast"/>
                      <w:jc w:val="right"/>
                    </w:pPr>
                    <w:r>
                      <w:t>0</w:t>
                    </w:r>
                  </w:p>
                </w:tc>
              </w:sdtContent>
            </w:sdt>
            <w:sdt>
              <w:sdtPr>
                <w:alias w:val="使用权资产明细-减值准备减少"/>
                <w:tag w:val="_GBC_a1eaf6a6ed064fd88327ce07f0754825"/>
                <w:id w:val="1744069207"/>
              </w:sdtPr>
              <w:sdtContent>
                <w:tc>
                  <w:tcPr>
                    <w:tcW w:w="561" w:type="pct"/>
                    <w:vAlign w:val="center"/>
                  </w:tcPr>
                  <w:p w14:paraId="63B5217B" w14:textId="77777777" w:rsidR="005E000F" w:rsidRDefault="00000000">
                    <w:pPr>
                      <w:spacing w:line="240" w:lineRule="atLeast"/>
                      <w:jc w:val="right"/>
                    </w:pPr>
                    <w:r>
                      <w:t>0</w:t>
                    </w:r>
                  </w:p>
                </w:tc>
              </w:sdtContent>
            </w:sdt>
            <w:sdt>
              <w:sdtPr>
                <w:alias w:val="使用权资产明细-减值准备减少"/>
                <w:tag w:val="_GBC_a1eaf6a6ed064fd88327ce07f0754825"/>
                <w:id w:val="-286042589"/>
              </w:sdtPr>
              <w:sdtContent>
                <w:tc>
                  <w:tcPr>
                    <w:tcW w:w="492" w:type="pct"/>
                    <w:vAlign w:val="center"/>
                  </w:tcPr>
                  <w:p w14:paraId="36D246F2" w14:textId="77777777" w:rsidR="005E000F" w:rsidRDefault="00000000">
                    <w:pPr>
                      <w:spacing w:line="240" w:lineRule="atLeast"/>
                      <w:jc w:val="right"/>
                    </w:pPr>
                    <w:r>
                      <w:t>0</w:t>
                    </w:r>
                  </w:p>
                </w:tc>
              </w:sdtContent>
            </w:sdt>
            <w:sdt>
              <w:sdtPr>
                <w:alias w:val="使用权资产明细-减值准备减少"/>
                <w:tag w:val="_GBC_a1eaf6a6ed064fd88327ce07f0754825"/>
                <w:id w:val="-558323044"/>
              </w:sdtPr>
              <w:sdtContent>
                <w:tc>
                  <w:tcPr>
                    <w:tcW w:w="487" w:type="pct"/>
                    <w:vAlign w:val="center"/>
                  </w:tcPr>
                  <w:p w14:paraId="3BF894E5" w14:textId="77777777" w:rsidR="005E000F" w:rsidRDefault="00000000">
                    <w:pPr>
                      <w:spacing w:line="240" w:lineRule="atLeast"/>
                      <w:jc w:val="right"/>
                    </w:pPr>
                    <w:r>
                      <w:t>0</w:t>
                    </w:r>
                  </w:p>
                </w:tc>
              </w:sdtContent>
            </w:sdt>
            <w:sdt>
              <w:sdtPr>
                <w:alias w:val="使用权资产明细-减值准备减少"/>
                <w:tag w:val="_GBC_a1eaf6a6ed064fd88327ce07f0754825"/>
                <w:id w:val="-2110574130"/>
              </w:sdtPr>
              <w:sdtContent>
                <w:tc>
                  <w:tcPr>
                    <w:tcW w:w="480" w:type="pct"/>
                    <w:vAlign w:val="center"/>
                  </w:tcPr>
                  <w:p w14:paraId="4A74ED02" w14:textId="77777777" w:rsidR="005E000F" w:rsidRDefault="00000000">
                    <w:pPr>
                      <w:spacing w:line="240" w:lineRule="atLeast"/>
                      <w:jc w:val="right"/>
                    </w:pPr>
                    <w:r>
                      <w:t>0</w:t>
                    </w:r>
                  </w:p>
                </w:tc>
              </w:sdtContent>
            </w:sdt>
            <w:sdt>
              <w:sdtPr>
                <w:alias w:val="使用权资产明细-减值准备减少"/>
                <w:tag w:val="_GBC_a1eaf6a6ed064fd88327ce07f0754825"/>
                <w:id w:val="-32882957"/>
              </w:sdtPr>
              <w:sdtContent>
                <w:tc>
                  <w:tcPr>
                    <w:tcW w:w="598" w:type="pct"/>
                    <w:vAlign w:val="center"/>
                  </w:tcPr>
                  <w:p w14:paraId="02B53B13" w14:textId="77777777" w:rsidR="005E000F" w:rsidRDefault="00000000">
                    <w:pPr>
                      <w:spacing w:line="240" w:lineRule="atLeast"/>
                      <w:jc w:val="right"/>
                    </w:pPr>
                    <w:r>
                      <w:t>0</w:t>
                    </w:r>
                  </w:p>
                </w:tc>
              </w:sdtContent>
            </w:sdt>
            <w:sdt>
              <w:sdtPr>
                <w:alias w:val="使用权资产减值准备减少"/>
                <w:tag w:val="_GBC_d6a780b237f349d6b6207f0f2149a58a"/>
                <w:id w:val="1217480753"/>
              </w:sdtPr>
              <w:sdtContent>
                <w:tc>
                  <w:tcPr>
                    <w:tcW w:w="533" w:type="pct"/>
                    <w:vAlign w:val="center"/>
                  </w:tcPr>
                  <w:p w14:paraId="7DA7F71B" w14:textId="77777777" w:rsidR="005E000F" w:rsidRDefault="00000000">
                    <w:pPr>
                      <w:spacing w:line="240" w:lineRule="atLeast"/>
                      <w:jc w:val="right"/>
                    </w:pPr>
                    <w:r>
                      <w:t>0</w:t>
                    </w:r>
                  </w:p>
                </w:tc>
              </w:sdtContent>
            </w:sdt>
          </w:tr>
          <w:tr w:rsidR="005E000F" w14:paraId="63673D3D" w14:textId="77777777">
            <w:trPr>
              <w:trHeight w:val="284"/>
            </w:trPr>
            <w:sdt>
              <w:sdtPr>
                <w:tag w:val="_PLD_c50144b0223b4e5ab6e27836b807987c"/>
                <w:id w:val="-482851961"/>
              </w:sdtPr>
              <w:sdtContent>
                <w:tc>
                  <w:tcPr>
                    <w:tcW w:w="724" w:type="pct"/>
                    <w:vAlign w:val="center"/>
                  </w:tcPr>
                  <w:p w14:paraId="68010C44" w14:textId="77777777" w:rsidR="005E000F" w:rsidRDefault="00000000">
                    <w:pPr>
                      <w:spacing w:line="240" w:lineRule="atLeast"/>
                      <w:ind w:firstLineChars="200" w:firstLine="420"/>
                    </w:pPr>
                    <w:r>
                      <w:rPr>
                        <w:rFonts w:hint="eastAsia"/>
                      </w:rPr>
                      <w:t>（</w:t>
                    </w:r>
                    <w:r>
                      <w:rPr>
                        <w:rFonts w:hint="eastAsia"/>
                      </w:rPr>
                      <w:t>1</w:t>
                    </w:r>
                    <w:r>
                      <w:rPr>
                        <w:rFonts w:hint="eastAsia"/>
                      </w:rPr>
                      <w:t>）处置</w:t>
                    </w:r>
                  </w:p>
                </w:tc>
              </w:sdtContent>
            </w:sdt>
            <w:sdt>
              <w:sdtPr>
                <w:alias w:val="使用权资产明细-处置导致的减值准备减少"/>
                <w:tag w:val="_GBC_74eeec7ae9cf4a10b92130bef99a5d2f"/>
                <w:id w:val="-164396497"/>
              </w:sdtPr>
              <w:sdtContent>
                <w:tc>
                  <w:tcPr>
                    <w:tcW w:w="523" w:type="pct"/>
                    <w:vAlign w:val="center"/>
                  </w:tcPr>
                  <w:p w14:paraId="0B40893D" w14:textId="77777777" w:rsidR="005E000F" w:rsidRDefault="00000000">
                    <w:pPr>
                      <w:spacing w:line="240" w:lineRule="atLeast"/>
                      <w:jc w:val="right"/>
                    </w:pPr>
                    <w:r>
                      <w:t>0</w:t>
                    </w:r>
                  </w:p>
                </w:tc>
              </w:sdtContent>
            </w:sdt>
            <w:sdt>
              <w:sdtPr>
                <w:alias w:val="使用权资产明细-处置导致的减值准备减少"/>
                <w:tag w:val="_GBC_74eeec7ae9cf4a10b92130bef99a5d2f"/>
                <w:id w:val="-1307154896"/>
              </w:sdtPr>
              <w:sdtContent>
                <w:tc>
                  <w:tcPr>
                    <w:tcW w:w="598" w:type="pct"/>
                    <w:vAlign w:val="center"/>
                  </w:tcPr>
                  <w:p w14:paraId="45DD984A" w14:textId="77777777" w:rsidR="005E000F" w:rsidRDefault="00000000">
                    <w:pPr>
                      <w:spacing w:line="240" w:lineRule="atLeast"/>
                      <w:jc w:val="right"/>
                    </w:pPr>
                    <w:r>
                      <w:t>0</w:t>
                    </w:r>
                  </w:p>
                </w:tc>
              </w:sdtContent>
            </w:sdt>
            <w:sdt>
              <w:sdtPr>
                <w:alias w:val="使用权资产明细-处置导致的减值准备减少"/>
                <w:tag w:val="_GBC_74eeec7ae9cf4a10b92130bef99a5d2f"/>
                <w:id w:val="-1489085676"/>
              </w:sdtPr>
              <w:sdtContent>
                <w:tc>
                  <w:tcPr>
                    <w:tcW w:w="561" w:type="pct"/>
                    <w:vAlign w:val="center"/>
                  </w:tcPr>
                  <w:p w14:paraId="61283263" w14:textId="77777777" w:rsidR="005E000F" w:rsidRDefault="00000000">
                    <w:pPr>
                      <w:spacing w:line="240" w:lineRule="atLeast"/>
                      <w:jc w:val="right"/>
                    </w:pPr>
                    <w:r>
                      <w:t>0</w:t>
                    </w:r>
                  </w:p>
                </w:tc>
              </w:sdtContent>
            </w:sdt>
            <w:sdt>
              <w:sdtPr>
                <w:alias w:val="使用权资产明细-处置导致的减值准备减少"/>
                <w:tag w:val="_GBC_74eeec7ae9cf4a10b92130bef99a5d2f"/>
                <w:id w:val="1807507609"/>
              </w:sdtPr>
              <w:sdtContent>
                <w:tc>
                  <w:tcPr>
                    <w:tcW w:w="492" w:type="pct"/>
                    <w:vAlign w:val="center"/>
                  </w:tcPr>
                  <w:p w14:paraId="5E21E232" w14:textId="77777777" w:rsidR="005E000F" w:rsidRDefault="00000000">
                    <w:pPr>
                      <w:spacing w:line="240" w:lineRule="atLeast"/>
                      <w:jc w:val="right"/>
                    </w:pPr>
                    <w:r>
                      <w:t>0</w:t>
                    </w:r>
                  </w:p>
                </w:tc>
              </w:sdtContent>
            </w:sdt>
            <w:sdt>
              <w:sdtPr>
                <w:alias w:val="使用权资产明细-处置导致的减值准备减少"/>
                <w:tag w:val="_GBC_74eeec7ae9cf4a10b92130bef99a5d2f"/>
                <w:id w:val="860559714"/>
              </w:sdtPr>
              <w:sdtContent>
                <w:tc>
                  <w:tcPr>
                    <w:tcW w:w="487" w:type="pct"/>
                    <w:vAlign w:val="center"/>
                  </w:tcPr>
                  <w:p w14:paraId="54EF7706" w14:textId="77777777" w:rsidR="005E000F" w:rsidRDefault="00000000">
                    <w:pPr>
                      <w:spacing w:line="240" w:lineRule="atLeast"/>
                      <w:jc w:val="right"/>
                    </w:pPr>
                    <w:r>
                      <w:t>0</w:t>
                    </w:r>
                  </w:p>
                </w:tc>
              </w:sdtContent>
            </w:sdt>
            <w:sdt>
              <w:sdtPr>
                <w:alias w:val="使用权资产明细-处置导致的减值准备减少"/>
                <w:tag w:val="_GBC_74eeec7ae9cf4a10b92130bef99a5d2f"/>
                <w:id w:val="489373637"/>
              </w:sdtPr>
              <w:sdtContent>
                <w:tc>
                  <w:tcPr>
                    <w:tcW w:w="480" w:type="pct"/>
                    <w:vAlign w:val="center"/>
                  </w:tcPr>
                  <w:p w14:paraId="01B5F960" w14:textId="77777777" w:rsidR="005E000F" w:rsidRDefault="00000000">
                    <w:pPr>
                      <w:spacing w:line="240" w:lineRule="atLeast"/>
                      <w:jc w:val="right"/>
                    </w:pPr>
                    <w:r>
                      <w:t>0</w:t>
                    </w:r>
                  </w:p>
                </w:tc>
              </w:sdtContent>
            </w:sdt>
            <w:sdt>
              <w:sdtPr>
                <w:alias w:val="使用权资产明细-处置导致的减值准备减少"/>
                <w:tag w:val="_GBC_74eeec7ae9cf4a10b92130bef99a5d2f"/>
                <w:id w:val="-930197955"/>
              </w:sdtPr>
              <w:sdtContent>
                <w:tc>
                  <w:tcPr>
                    <w:tcW w:w="598" w:type="pct"/>
                    <w:vAlign w:val="center"/>
                  </w:tcPr>
                  <w:p w14:paraId="3D2C8355" w14:textId="77777777" w:rsidR="005E000F" w:rsidRDefault="00000000">
                    <w:pPr>
                      <w:spacing w:line="240" w:lineRule="atLeast"/>
                      <w:jc w:val="right"/>
                    </w:pPr>
                    <w:r>
                      <w:t>0</w:t>
                    </w:r>
                  </w:p>
                </w:tc>
              </w:sdtContent>
            </w:sdt>
            <w:sdt>
              <w:sdtPr>
                <w:alias w:val="使用权资产处置导致的减值准备减少"/>
                <w:tag w:val="_GBC_811b556691394c7cb6dbb7b5868509dc"/>
                <w:id w:val="-659846244"/>
              </w:sdtPr>
              <w:sdtContent>
                <w:tc>
                  <w:tcPr>
                    <w:tcW w:w="533" w:type="pct"/>
                    <w:vAlign w:val="center"/>
                  </w:tcPr>
                  <w:p w14:paraId="6FB73B34" w14:textId="77777777" w:rsidR="005E000F" w:rsidRDefault="00000000">
                    <w:pPr>
                      <w:spacing w:line="240" w:lineRule="atLeast"/>
                      <w:jc w:val="right"/>
                    </w:pPr>
                    <w:r>
                      <w:t>0</w:t>
                    </w:r>
                  </w:p>
                </w:tc>
              </w:sdtContent>
            </w:sdt>
          </w:tr>
          <w:tr w:rsidR="005E000F" w14:paraId="3B8A9017" w14:textId="77777777">
            <w:trPr>
              <w:trHeight w:val="284"/>
            </w:trPr>
            <w:sdt>
              <w:sdtPr>
                <w:tag w:val="_PLD_066290f5449b443993c412f700441a12"/>
                <w:id w:val="1898930677"/>
              </w:sdtPr>
              <w:sdtContent>
                <w:tc>
                  <w:tcPr>
                    <w:tcW w:w="724" w:type="pct"/>
                    <w:vAlign w:val="center"/>
                  </w:tcPr>
                  <w:p w14:paraId="0AA5370A" w14:textId="77777777" w:rsidR="005E000F" w:rsidRDefault="00000000">
                    <w:pPr>
                      <w:spacing w:line="240" w:lineRule="atLeast"/>
                      <w:ind w:firstLineChars="200" w:firstLine="420"/>
                    </w:pPr>
                    <w:r>
                      <w:rPr>
                        <w:rFonts w:hint="eastAsia"/>
                      </w:rPr>
                      <w:t>4.</w:t>
                    </w:r>
                    <w:r>
                      <w:t>期末余额</w:t>
                    </w:r>
                  </w:p>
                </w:tc>
              </w:sdtContent>
            </w:sdt>
            <w:sdt>
              <w:sdtPr>
                <w:alias w:val="使用权资产明细-减值准备"/>
                <w:tag w:val="_GBC_7e6b69be7ade49e19fc07edd7814fefc"/>
                <w:id w:val="1486897176"/>
              </w:sdtPr>
              <w:sdtContent>
                <w:tc>
                  <w:tcPr>
                    <w:tcW w:w="523" w:type="pct"/>
                    <w:vAlign w:val="center"/>
                  </w:tcPr>
                  <w:p w14:paraId="7F3D20FE" w14:textId="77777777" w:rsidR="005E000F" w:rsidRDefault="00000000">
                    <w:pPr>
                      <w:spacing w:line="240" w:lineRule="atLeast"/>
                      <w:jc w:val="right"/>
                    </w:pPr>
                    <w:r>
                      <w:t>0</w:t>
                    </w:r>
                  </w:p>
                </w:tc>
              </w:sdtContent>
            </w:sdt>
            <w:sdt>
              <w:sdtPr>
                <w:alias w:val="使用权资产明细-减值准备"/>
                <w:tag w:val="_GBC_7e6b69be7ade49e19fc07edd7814fefc"/>
                <w:id w:val="585661025"/>
              </w:sdtPr>
              <w:sdtContent>
                <w:tc>
                  <w:tcPr>
                    <w:tcW w:w="598" w:type="pct"/>
                    <w:vAlign w:val="center"/>
                  </w:tcPr>
                  <w:p w14:paraId="6727B079" w14:textId="77777777" w:rsidR="005E000F" w:rsidRDefault="00000000">
                    <w:pPr>
                      <w:spacing w:line="240" w:lineRule="atLeast"/>
                      <w:jc w:val="right"/>
                    </w:pPr>
                    <w:r>
                      <w:t>0</w:t>
                    </w:r>
                  </w:p>
                </w:tc>
              </w:sdtContent>
            </w:sdt>
            <w:sdt>
              <w:sdtPr>
                <w:alias w:val="使用权资产明细-减值准备"/>
                <w:tag w:val="_GBC_7e6b69be7ade49e19fc07edd7814fefc"/>
                <w:id w:val="1062131924"/>
              </w:sdtPr>
              <w:sdtContent>
                <w:tc>
                  <w:tcPr>
                    <w:tcW w:w="561" w:type="pct"/>
                    <w:vAlign w:val="center"/>
                  </w:tcPr>
                  <w:p w14:paraId="78AA0A10" w14:textId="77777777" w:rsidR="005E000F" w:rsidRDefault="00000000">
                    <w:pPr>
                      <w:spacing w:line="240" w:lineRule="atLeast"/>
                      <w:jc w:val="right"/>
                    </w:pPr>
                    <w:r>
                      <w:t>0</w:t>
                    </w:r>
                  </w:p>
                </w:tc>
              </w:sdtContent>
            </w:sdt>
            <w:sdt>
              <w:sdtPr>
                <w:alias w:val="使用权资产明细-减值准备"/>
                <w:tag w:val="_GBC_7e6b69be7ade49e19fc07edd7814fefc"/>
                <w:id w:val="-1722432315"/>
              </w:sdtPr>
              <w:sdtContent>
                <w:tc>
                  <w:tcPr>
                    <w:tcW w:w="492" w:type="pct"/>
                    <w:vAlign w:val="center"/>
                  </w:tcPr>
                  <w:p w14:paraId="2E510E89" w14:textId="77777777" w:rsidR="005E000F" w:rsidRDefault="00000000">
                    <w:pPr>
                      <w:spacing w:line="240" w:lineRule="atLeast"/>
                      <w:jc w:val="right"/>
                    </w:pPr>
                    <w:r>
                      <w:t>0</w:t>
                    </w:r>
                  </w:p>
                </w:tc>
              </w:sdtContent>
            </w:sdt>
            <w:sdt>
              <w:sdtPr>
                <w:alias w:val="使用权资产明细-减值准备"/>
                <w:tag w:val="_GBC_7e6b69be7ade49e19fc07edd7814fefc"/>
                <w:id w:val="259196350"/>
              </w:sdtPr>
              <w:sdtContent>
                <w:tc>
                  <w:tcPr>
                    <w:tcW w:w="487" w:type="pct"/>
                    <w:vAlign w:val="center"/>
                  </w:tcPr>
                  <w:p w14:paraId="76A76805" w14:textId="77777777" w:rsidR="005E000F" w:rsidRDefault="00000000">
                    <w:pPr>
                      <w:spacing w:line="240" w:lineRule="atLeast"/>
                      <w:jc w:val="right"/>
                    </w:pPr>
                    <w:r>
                      <w:t>0</w:t>
                    </w:r>
                  </w:p>
                </w:tc>
              </w:sdtContent>
            </w:sdt>
            <w:sdt>
              <w:sdtPr>
                <w:alias w:val="使用权资产明细-减值准备"/>
                <w:tag w:val="_GBC_7e6b69be7ade49e19fc07edd7814fefc"/>
                <w:id w:val="-1952776408"/>
              </w:sdtPr>
              <w:sdtContent>
                <w:tc>
                  <w:tcPr>
                    <w:tcW w:w="480" w:type="pct"/>
                    <w:vAlign w:val="center"/>
                  </w:tcPr>
                  <w:p w14:paraId="0F4E883F" w14:textId="77777777" w:rsidR="005E000F" w:rsidRDefault="00000000">
                    <w:pPr>
                      <w:spacing w:line="240" w:lineRule="atLeast"/>
                      <w:jc w:val="right"/>
                    </w:pPr>
                    <w:r>
                      <w:t>0</w:t>
                    </w:r>
                  </w:p>
                </w:tc>
              </w:sdtContent>
            </w:sdt>
            <w:sdt>
              <w:sdtPr>
                <w:alias w:val="使用权资产明细-减值准备"/>
                <w:tag w:val="_GBC_7e6b69be7ade49e19fc07edd7814fefc"/>
                <w:id w:val="331259477"/>
              </w:sdtPr>
              <w:sdtContent>
                <w:tc>
                  <w:tcPr>
                    <w:tcW w:w="598" w:type="pct"/>
                    <w:vAlign w:val="center"/>
                  </w:tcPr>
                  <w:p w14:paraId="52CD9940" w14:textId="77777777" w:rsidR="005E000F" w:rsidRDefault="00000000">
                    <w:pPr>
                      <w:spacing w:line="240" w:lineRule="atLeast"/>
                      <w:jc w:val="right"/>
                    </w:pPr>
                    <w:r>
                      <w:t>0</w:t>
                    </w:r>
                  </w:p>
                </w:tc>
              </w:sdtContent>
            </w:sdt>
            <w:sdt>
              <w:sdtPr>
                <w:alias w:val="使用权资产减值准备"/>
                <w:tag w:val="_GBC_c32c0b426f8840cdb2c4ed783c65d536"/>
                <w:id w:val="1969780800"/>
              </w:sdtPr>
              <w:sdtContent>
                <w:tc>
                  <w:tcPr>
                    <w:tcW w:w="533" w:type="pct"/>
                    <w:vAlign w:val="center"/>
                  </w:tcPr>
                  <w:p w14:paraId="347D0737" w14:textId="77777777" w:rsidR="005E000F" w:rsidRDefault="00000000">
                    <w:pPr>
                      <w:spacing w:line="240" w:lineRule="atLeast"/>
                      <w:jc w:val="right"/>
                    </w:pPr>
                    <w:r>
                      <w:t>0</w:t>
                    </w:r>
                  </w:p>
                </w:tc>
              </w:sdtContent>
            </w:sdt>
          </w:tr>
          <w:tr w:rsidR="005E000F" w14:paraId="53CE0517" w14:textId="77777777">
            <w:trPr>
              <w:trHeight w:val="284"/>
            </w:trPr>
            <w:sdt>
              <w:sdtPr>
                <w:tag w:val="_PLD_11c4f53648e149a88b6ff0ef5ef90dc8"/>
                <w:id w:val="-1978910078"/>
              </w:sdtPr>
              <w:sdtContent>
                <w:tc>
                  <w:tcPr>
                    <w:tcW w:w="5000" w:type="pct"/>
                    <w:gridSpan w:val="9"/>
                    <w:vAlign w:val="center"/>
                  </w:tcPr>
                  <w:p w14:paraId="4DC6844B" w14:textId="77777777" w:rsidR="005E000F" w:rsidRDefault="00000000">
                    <w:pPr>
                      <w:spacing w:line="240" w:lineRule="atLeast"/>
                    </w:pPr>
                    <w:r>
                      <w:t>四、账面价值</w:t>
                    </w:r>
                  </w:p>
                </w:tc>
              </w:sdtContent>
            </w:sdt>
          </w:tr>
          <w:tr w:rsidR="005E000F" w14:paraId="5FB2C83D" w14:textId="77777777">
            <w:trPr>
              <w:trHeight w:val="284"/>
            </w:trPr>
            <w:sdt>
              <w:sdtPr>
                <w:tag w:val="_PLD_f93f7bc9d80c4cb2892143080a094eff"/>
                <w:id w:val="-706565663"/>
              </w:sdtPr>
              <w:sdtContent>
                <w:tc>
                  <w:tcPr>
                    <w:tcW w:w="724" w:type="pct"/>
                    <w:vAlign w:val="center"/>
                  </w:tcPr>
                  <w:p w14:paraId="21A62703" w14:textId="77777777" w:rsidR="005E000F" w:rsidRDefault="00000000">
                    <w:pPr>
                      <w:spacing w:line="240" w:lineRule="atLeast"/>
                    </w:pPr>
                    <w:r>
                      <w:t>1.</w:t>
                    </w:r>
                    <w:r>
                      <w:t>期末账面价值</w:t>
                    </w:r>
                  </w:p>
                </w:tc>
              </w:sdtContent>
            </w:sdt>
            <w:sdt>
              <w:sdtPr>
                <w:alias w:val="使用权资产明细-账面价值"/>
                <w:tag w:val="_GBC_941da60e08f04bcd9a1eb75e917c0ed1"/>
                <w:id w:val="2115712819"/>
              </w:sdtPr>
              <w:sdtContent>
                <w:tc>
                  <w:tcPr>
                    <w:tcW w:w="523" w:type="pct"/>
                    <w:vAlign w:val="center"/>
                  </w:tcPr>
                  <w:p w14:paraId="7E3367E4" w14:textId="77777777" w:rsidR="005E000F" w:rsidRDefault="00000000">
                    <w:pPr>
                      <w:spacing w:line="240" w:lineRule="atLeast"/>
                      <w:jc w:val="right"/>
                    </w:pPr>
                    <w:r>
                      <w:t>1,010,537</w:t>
                    </w:r>
                  </w:p>
                </w:tc>
              </w:sdtContent>
            </w:sdt>
            <w:sdt>
              <w:sdtPr>
                <w:alias w:val="使用权资产明细-账面价值"/>
                <w:tag w:val="_GBC_941da60e08f04bcd9a1eb75e917c0ed1"/>
                <w:id w:val="-84143011"/>
              </w:sdtPr>
              <w:sdtContent>
                <w:tc>
                  <w:tcPr>
                    <w:tcW w:w="598" w:type="pct"/>
                    <w:vAlign w:val="center"/>
                  </w:tcPr>
                  <w:p w14:paraId="152592D0" w14:textId="77777777" w:rsidR="005E000F" w:rsidRDefault="00000000">
                    <w:pPr>
                      <w:spacing w:line="240" w:lineRule="atLeast"/>
                      <w:jc w:val="right"/>
                    </w:pPr>
                    <w:r>
                      <w:t>222,474,256</w:t>
                    </w:r>
                  </w:p>
                </w:tc>
              </w:sdtContent>
            </w:sdt>
            <w:sdt>
              <w:sdtPr>
                <w:alias w:val="使用权资产明细-账面价值"/>
                <w:tag w:val="_GBC_941da60e08f04bcd9a1eb75e917c0ed1"/>
                <w:id w:val="-2028778925"/>
              </w:sdtPr>
              <w:sdtContent>
                <w:tc>
                  <w:tcPr>
                    <w:tcW w:w="561" w:type="pct"/>
                    <w:vAlign w:val="center"/>
                  </w:tcPr>
                  <w:p w14:paraId="5D7DE823" w14:textId="77777777" w:rsidR="005E000F" w:rsidRDefault="00000000">
                    <w:pPr>
                      <w:spacing w:line="240" w:lineRule="atLeast"/>
                      <w:jc w:val="right"/>
                    </w:pPr>
                    <w:r>
                      <w:t>220,633</w:t>
                    </w:r>
                  </w:p>
                </w:tc>
              </w:sdtContent>
            </w:sdt>
            <w:sdt>
              <w:sdtPr>
                <w:alias w:val="使用权资产明细-账面价值"/>
                <w:tag w:val="_GBC_941da60e08f04bcd9a1eb75e917c0ed1"/>
                <w:id w:val="-1742094094"/>
              </w:sdtPr>
              <w:sdtContent>
                <w:tc>
                  <w:tcPr>
                    <w:tcW w:w="492" w:type="pct"/>
                    <w:vAlign w:val="center"/>
                  </w:tcPr>
                  <w:p w14:paraId="423F77DB" w14:textId="77777777" w:rsidR="005E000F" w:rsidRDefault="00000000">
                    <w:pPr>
                      <w:spacing w:line="240" w:lineRule="atLeast"/>
                      <w:jc w:val="right"/>
                    </w:pPr>
                    <w:r>
                      <w:t>0</w:t>
                    </w:r>
                  </w:p>
                </w:tc>
              </w:sdtContent>
            </w:sdt>
            <w:sdt>
              <w:sdtPr>
                <w:alias w:val="使用权资产明细-账面价值"/>
                <w:tag w:val="_GBC_941da60e08f04bcd9a1eb75e917c0ed1"/>
                <w:id w:val="1877812940"/>
              </w:sdtPr>
              <w:sdtContent>
                <w:tc>
                  <w:tcPr>
                    <w:tcW w:w="487" w:type="pct"/>
                    <w:vAlign w:val="center"/>
                  </w:tcPr>
                  <w:p w14:paraId="17E5F10A" w14:textId="77777777" w:rsidR="005E000F" w:rsidRDefault="00000000">
                    <w:pPr>
                      <w:spacing w:line="240" w:lineRule="atLeast"/>
                      <w:jc w:val="right"/>
                    </w:pPr>
                    <w:r>
                      <w:t>0</w:t>
                    </w:r>
                  </w:p>
                </w:tc>
              </w:sdtContent>
            </w:sdt>
            <w:sdt>
              <w:sdtPr>
                <w:alias w:val="使用权资产明细-账面价值"/>
                <w:tag w:val="_GBC_941da60e08f04bcd9a1eb75e917c0ed1"/>
                <w:id w:val="-1380550025"/>
              </w:sdtPr>
              <w:sdtContent>
                <w:tc>
                  <w:tcPr>
                    <w:tcW w:w="480" w:type="pct"/>
                    <w:vAlign w:val="center"/>
                  </w:tcPr>
                  <w:p w14:paraId="6B5CD65C" w14:textId="77777777" w:rsidR="005E000F" w:rsidRDefault="00000000">
                    <w:pPr>
                      <w:spacing w:line="240" w:lineRule="atLeast"/>
                      <w:jc w:val="right"/>
                    </w:pPr>
                    <w:r>
                      <w:t>0</w:t>
                    </w:r>
                  </w:p>
                </w:tc>
              </w:sdtContent>
            </w:sdt>
            <w:sdt>
              <w:sdtPr>
                <w:alias w:val="使用权资产明细-账面价值"/>
                <w:tag w:val="_GBC_941da60e08f04bcd9a1eb75e917c0ed1"/>
                <w:id w:val="-1788189873"/>
              </w:sdtPr>
              <w:sdtContent>
                <w:tc>
                  <w:tcPr>
                    <w:tcW w:w="598" w:type="pct"/>
                    <w:vAlign w:val="center"/>
                  </w:tcPr>
                  <w:p w14:paraId="63987D6F" w14:textId="77777777" w:rsidR="005E000F" w:rsidRDefault="00000000">
                    <w:pPr>
                      <w:spacing w:line="240" w:lineRule="atLeast"/>
                      <w:jc w:val="right"/>
                    </w:pPr>
                    <w:r>
                      <w:t>2,135,321,176</w:t>
                    </w:r>
                  </w:p>
                </w:tc>
              </w:sdtContent>
            </w:sdt>
            <w:sdt>
              <w:sdtPr>
                <w:alias w:val="使用权资产"/>
                <w:tag w:val="_GBC_420e2228c6c64790a3945a1adf3ac5ba"/>
                <w:id w:val="858471409"/>
              </w:sdtPr>
              <w:sdtContent>
                <w:tc>
                  <w:tcPr>
                    <w:tcW w:w="533" w:type="pct"/>
                    <w:vAlign w:val="center"/>
                  </w:tcPr>
                  <w:p w14:paraId="6C10E875" w14:textId="77777777" w:rsidR="005E000F" w:rsidRDefault="00000000">
                    <w:pPr>
                      <w:spacing w:line="240" w:lineRule="atLeast"/>
                      <w:jc w:val="right"/>
                    </w:pPr>
                    <w:r>
                      <w:t>2,359,026,602</w:t>
                    </w:r>
                  </w:p>
                </w:tc>
              </w:sdtContent>
            </w:sdt>
          </w:tr>
          <w:tr w:rsidR="005E000F" w14:paraId="219C0355" w14:textId="77777777">
            <w:trPr>
              <w:trHeight w:val="284"/>
            </w:trPr>
            <w:sdt>
              <w:sdtPr>
                <w:tag w:val="_PLD_93fe6fba803e4d55939d41845bc58fb5"/>
                <w:id w:val="-571198130"/>
              </w:sdtPr>
              <w:sdtContent>
                <w:tc>
                  <w:tcPr>
                    <w:tcW w:w="724" w:type="pct"/>
                    <w:vAlign w:val="center"/>
                  </w:tcPr>
                  <w:p w14:paraId="68B8B030" w14:textId="77777777" w:rsidR="005E000F" w:rsidRDefault="00000000">
                    <w:pPr>
                      <w:spacing w:line="240" w:lineRule="atLeast"/>
                    </w:pPr>
                    <w:r>
                      <w:t>2.</w:t>
                    </w:r>
                    <w:r>
                      <w:t>期初账面价值</w:t>
                    </w:r>
                  </w:p>
                </w:tc>
              </w:sdtContent>
            </w:sdt>
            <w:sdt>
              <w:sdtPr>
                <w:alias w:val="使用权资产明细-账面价值"/>
                <w:tag w:val="_GBC_84f6dafa81054af6994b4e9d520a2014"/>
                <w:id w:val="1018507070"/>
              </w:sdtPr>
              <w:sdtContent>
                <w:tc>
                  <w:tcPr>
                    <w:tcW w:w="523" w:type="pct"/>
                    <w:vAlign w:val="center"/>
                  </w:tcPr>
                  <w:p w14:paraId="104C0E16" w14:textId="77777777" w:rsidR="005E000F" w:rsidRDefault="00000000">
                    <w:pPr>
                      <w:spacing w:line="240" w:lineRule="atLeast"/>
                      <w:jc w:val="right"/>
                    </w:pPr>
                    <w:r>
                      <w:t>1,751,011</w:t>
                    </w:r>
                  </w:p>
                </w:tc>
              </w:sdtContent>
            </w:sdt>
            <w:sdt>
              <w:sdtPr>
                <w:alias w:val="使用权资产明细-账面价值"/>
                <w:tag w:val="_GBC_84f6dafa81054af6994b4e9d520a2014"/>
                <w:id w:val="-1445684916"/>
              </w:sdtPr>
              <w:sdtContent>
                <w:tc>
                  <w:tcPr>
                    <w:tcW w:w="598" w:type="pct"/>
                    <w:vAlign w:val="center"/>
                  </w:tcPr>
                  <w:p w14:paraId="50C52401" w14:textId="77777777" w:rsidR="005E000F" w:rsidRDefault="00000000">
                    <w:pPr>
                      <w:spacing w:line="240" w:lineRule="atLeast"/>
                      <w:jc w:val="right"/>
                    </w:pPr>
                    <w:r>
                      <w:t>444,383,500</w:t>
                    </w:r>
                  </w:p>
                </w:tc>
              </w:sdtContent>
            </w:sdt>
            <w:tc>
              <w:tcPr>
                <w:tcW w:w="561" w:type="pct"/>
                <w:vAlign w:val="center"/>
              </w:tcPr>
              <w:p w14:paraId="3603152D" w14:textId="77777777" w:rsidR="005E000F" w:rsidRDefault="00000000">
                <w:pPr>
                  <w:spacing w:line="240" w:lineRule="atLeast"/>
                  <w:jc w:val="right"/>
                </w:pPr>
                <w:r>
                  <w:t>726,282</w:t>
                </w:r>
              </w:p>
            </w:tc>
            <w:sdt>
              <w:sdtPr>
                <w:alias w:val="使用权资产明细-账面价值"/>
                <w:tag w:val="_GBC_84f6dafa81054af6994b4e9d520a2014"/>
                <w:id w:val="1742978570"/>
              </w:sdtPr>
              <w:sdtContent>
                <w:tc>
                  <w:tcPr>
                    <w:tcW w:w="492" w:type="pct"/>
                    <w:vAlign w:val="center"/>
                  </w:tcPr>
                  <w:p w14:paraId="2F503EE2" w14:textId="77777777" w:rsidR="005E000F" w:rsidRDefault="00000000">
                    <w:pPr>
                      <w:spacing w:line="240" w:lineRule="atLeast"/>
                      <w:jc w:val="right"/>
                    </w:pPr>
                    <w:r>
                      <w:t>0</w:t>
                    </w:r>
                  </w:p>
                </w:tc>
              </w:sdtContent>
            </w:sdt>
            <w:sdt>
              <w:sdtPr>
                <w:alias w:val="使用权资产明细-账面价值"/>
                <w:tag w:val="_GBC_84f6dafa81054af6994b4e9d520a2014"/>
                <w:id w:val="-45602519"/>
              </w:sdtPr>
              <w:sdtContent>
                <w:tc>
                  <w:tcPr>
                    <w:tcW w:w="487" w:type="pct"/>
                    <w:vAlign w:val="center"/>
                  </w:tcPr>
                  <w:p w14:paraId="34892E48" w14:textId="77777777" w:rsidR="005E000F" w:rsidRDefault="00000000">
                    <w:pPr>
                      <w:spacing w:line="240" w:lineRule="atLeast"/>
                      <w:jc w:val="right"/>
                    </w:pPr>
                    <w:r>
                      <w:t>0</w:t>
                    </w:r>
                  </w:p>
                </w:tc>
              </w:sdtContent>
            </w:sdt>
            <w:sdt>
              <w:sdtPr>
                <w:alias w:val="使用权资产明细-账面价值"/>
                <w:tag w:val="_GBC_84f6dafa81054af6994b4e9d520a2014"/>
                <w:id w:val="1813288263"/>
              </w:sdtPr>
              <w:sdtContent>
                <w:tc>
                  <w:tcPr>
                    <w:tcW w:w="480" w:type="pct"/>
                    <w:vAlign w:val="center"/>
                  </w:tcPr>
                  <w:p w14:paraId="0DC15341" w14:textId="77777777" w:rsidR="005E000F" w:rsidRDefault="00000000">
                    <w:pPr>
                      <w:spacing w:line="240" w:lineRule="atLeast"/>
                      <w:jc w:val="right"/>
                    </w:pPr>
                    <w:r>
                      <w:t>0</w:t>
                    </w:r>
                  </w:p>
                </w:tc>
              </w:sdtContent>
            </w:sdt>
            <w:sdt>
              <w:sdtPr>
                <w:alias w:val="使用权资产明细-账面价值"/>
                <w:tag w:val="_GBC_84f6dafa81054af6994b4e9d520a2014"/>
                <w:id w:val="398944072"/>
              </w:sdtPr>
              <w:sdtContent>
                <w:tc>
                  <w:tcPr>
                    <w:tcW w:w="598" w:type="pct"/>
                    <w:vAlign w:val="center"/>
                  </w:tcPr>
                  <w:p w14:paraId="4CA3A8F3" w14:textId="77777777" w:rsidR="005E000F" w:rsidRDefault="00000000">
                    <w:pPr>
                      <w:spacing w:line="240" w:lineRule="atLeast"/>
                      <w:jc w:val="right"/>
                    </w:pPr>
                    <w:r>
                      <w:t>465,424,515</w:t>
                    </w:r>
                  </w:p>
                </w:tc>
              </w:sdtContent>
            </w:sdt>
            <w:sdt>
              <w:sdtPr>
                <w:alias w:val="使用权资产"/>
                <w:tag w:val="_GBC_6bb62eee87504f97bf7bf0e2c4c1a5f8"/>
                <w:id w:val="-2146968430"/>
              </w:sdtPr>
              <w:sdtContent>
                <w:tc>
                  <w:tcPr>
                    <w:tcW w:w="533" w:type="pct"/>
                    <w:vAlign w:val="center"/>
                  </w:tcPr>
                  <w:p w14:paraId="3D953EEE" w14:textId="77777777" w:rsidR="005E000F" w:rsidRDefault="00000000">
                    <w:pPr>
                      <w:spacing w:line="240" w:lineRule="atLeast"/>
                      <w:jc w:val="right"/>
                    </w:pPr>
                    <w:r>
                      <w:t>912,285,308</w:t>
                    </w:r>
                  </w:p>
                </w:tc>
              </w:sdtContent>
            </w:sdt>
          </w:tr>
        </w:tbl>
        <w:p w14:paraId="7938A9AB" w14:textId="77777777" w:rsidR="005E000F" w:rsidRDefault="005E000F"/>
        <w:p w14:paraId="0DD20481" w14:textId="77777777" w:rsidR="005E000F" w:rsidRDefault="005E000F"/>
        <w:p w14:paraId="4D03743F" w14:textId="77777777" w:rsidR="005E000F" w:rsidRDefault="00000000"/>
      </w:sdtContent>
    </w:sdt>
    <w:p w14:paraId="188F753F" w14:textId="77777777" w:rsidR="005E000F" w:rsidRDefault="005E000F">
      <w:pPr>
        <w:pStyle w:val="4"/>
        <w:numPr>
          <w:ilvl w:val="0"/>
          <w:numId w:val="86"/>
        </w:numPr>
        <w:sectPr w:rsidR="005E000F">
          <w:pgSz w:w="16838" w:h="11906" w:orient="landscape"/>
          <w:pgMar w:top="1276" w:right="1440" w:bottom="1797" w:left="1525" w:header="856" w:footer="992" w:gutter="0"/>
          <w:cols w:space="425"/>
          <w:docGrid w:linePitch="312"/>
        </w:sectPr>
      </w:pPr>
      <w:bookmarkStart w:id="349" w:name="_Hlk153461708"/>
      <w:bookmarkEnd w:id="347"/>
    </w:p>
    <w:p w14:paraId="5291BBFD" w14:textId="77777777" w:rsidR="005E000F" w:rsidRDefault="00000000">
      <w:pPr>
        <w:pStyle w:val="4"/>
        <w:numPr>
          <w:ilvl w:val="0"/>
          <w:numId w:val="86"/>
        </w:numPr>
      </w:pPr>
      <w:r>
        <w:rPr>
          <w:rFonts w:hint="eastAsia"/>
        </w:rPr>
        <w:lastRenderedPageBreak/>
        <w:t>使用权资产的减值测试情况</w:t>
      </w:r>
    </w:p>
    <w:sdt>
      <w:sdtPr>
        <w:alias w:val="是否适用：减值测试情况[双击切换]"/>
        <w:tag w:val="_GBC_3b3aabc5b9ad4e9896fb84bfd63b8c60"/>
        <w:id w:val="-1870286866"/>
        <w:placeholder>
          <w:docPart w:val="GBC22222222222222222222222222222"/>
        </w:placeholder>
      </w:sdtPr>
      <w:sdtContent>
        <w:p w14:paraId="3BE5CB6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9B8F6DF" w14:textId="77777777" w:rsidR="005E000F" w:rsidRDefault="005E000F">
      <w:pPr>
        <w:snapToGrid w:val="0"/>
        <w:spacing w:line="240" w:lineRule="atLeast"/>
      </w:pPr>
    </w:p>
    <w:p w14:paraId="47E3BBA7" w14:textId="77777777" w:rsidR="005E000F" w:rsidRDefault="00000000">
      <w:pPr>
        <w:autoSpaceDE w:val="0"/>
        <w:autoSpaceDN w:val="0"/>
        <w:adjustRightInd w:val="0"/>
      </w:pPr>
      <w:bookmarkStart w:id="350" w:name="_Hlk152863567"/>
      <w:bookmarkEnd w:id="348"/>
      <w:bookmarkEnd w:id="349"/>
      <w:r>
        <w:rPr>
          <w:rFonts w:hint="eastAsia"/>
        </w:rPr>
        <w:t>其他说明：</w:t>
      </w:r>
    </w:p>
    <w:p w14:paraId="06A2CC37" w14:textId="77777777" w:rsidR="005E000F" w:rsidRDefault="00000000">
      <w:sdt>
        <w:sdtPr>
          <w:alias w:val="使用权资产其他说明"/>
          <w:tag w:val="_GBC_41c40d661bff4f1b859d4bd00049983c"/>
          <w:id w:val="-455563514"/>
          <w:placeholder>
            <w:docPart w:val="GBC22222222222222222222222222222"/>
          </w:placeholder>
        </w:sdtPr>
        <w:sdtContent>
          <w:r>
            <w:rPr>
              <w:rFonts w:hint="eastAsia"/>
            </w:rPr>
            <w:t>无</w:t>
          </w:r>
        </w:sdtContent>
      </w:sdt>
    </w:p>
    <w:bookmarkEnd w:id="350"/>
    <w:p w14:paraId="2E810597"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无形资产</w:t>
      </w:r>
    </w:p>
    <w:p w14:paraId="26C040C2" w14:textId="77777777" w:rsidR="005E000F" w:rsidRDefault="00000000">
      <w:pPr>
        <w:pStyle w:val="4"/>
        <w:numPr>
          <w:ilvl w:val="3"/>
          <w:numId w:val="87"/>
        </w:numPr>
        <w:ind w:left="426" w:hanging="426"/>
      </w:pPr>
      <w:bookmarkStart w:id="351" w:name="_Hlk90557281"/>
      <w:r>
        <w:rPr>
          <w:rFonts w:hint="eastAsia"/>
        </w:rPr>
        <w:t>无形资产情况</w:t>
      </w:r>
    </w:p>
    <w:sdt>
      <w:sdtPr>
        <w:rPr>
          <w:rFonts w:hint="eastAsia"/>
        </w:rPr>
        <w:alias w:val="是否适用：无形资产情况[双击切换]"/>
        <w:tag w:val="_GBC_42237c7a99c64602a661c1668bc893bd"/>
        <w:id w:val="-1836448289"/>
      </w:sdtPr>
      <w:sdtContent>
        <w:p w14:paraId="38811038" w14:textId="77777777" w:rsidR="005E000F" w:rsidRDefault="0000000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sdtContent>
    </w:sdt>
    <w:p w14:paraId="4A580198" w14:textId="77777777" w:rsidR="005E000F" w:rsidRDefault="00000000">
      <w:pPr>
        <w:snapToGrid w:val="0"/>
        <w:spacing w:line="240" w:lineRule="atLeast"/>
        <w:jc w:val="right"/>
      </w:pPr>
      <w:r>
        <w:rPr>
          <w:rFonts w:hint="eastAsia"/>
        </w:rPr>
        <w:t>单位：</w:t>
      </w:r>
      <w:sdt>
        <w:sdtPr>
          <w:rPr>
            <w:rFonts w:hint="eastAsia"/>
          </w:rPr>
          <w:alias w:val="单位：财务附注：无形资产情况"/>
          <w:tag w:val="_GBC_37e64bddc8e645b48a19b4e7bafb7839"/>
          <w:id w:val="-1992704774"/>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rPr>
          <w:rFonts w:hint="eastAsia"/>
        </w:rPr>
        <w:t>币种：</w:t>
      </w:r>
      <w:sdt>
        <w:sdtPr>
          <w:rPr>
            <w:rFonts w:hint="eastAsia"/>
          </w:rPr>
          <w:alias w:val="币种：财务附注：无形资产情况"/>
          <w:tag w:val="_GBC_2c85ccef3cf1470c8cf657b14b474192"/>
          <w:id w:val="689115404"/>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0"/>
        <w:gridCol w:w="2051"/>
        <w:gridCol w:w="2049"/>
        <w:gridCol w:w="2277"/>
      </w:tblGrid>
      <w:tr w:rsidR="005E000F" w14:paraId="6B21B23B" w14:textId="77777777">
        <w:trPr>
          <w:trHeight w:val="340"/>
        </w:trPr>
        <w:sdt>
          <w:sdtPr>
            <w:tag w:val="_PLD_0d0c5c4c9acf46eaa7c41a19eb731a5c"/>
            <w:id w:val="1327086695"/>
          </w:sdtPr>
          <w:sdtContent>
            <w:tc>
              <w:tcPr>
                <w:tcW w:w="2670" w:type="dxa"/>
                <w:vAlign w:val="center"/>
              </w:tcPr>
              <w:p w14:paraId="2D420879" w14:textId="77777777" w:rsidR="005E000F" w:rsidRDefault="00000000">
                <w:pPr>
                  <w:jc w:val="center"/>
                </w:pPr>
                <w:r>
                  <w:rPr>
                    <w:rFonts w:hint="eastAsia"/>
                  </w:rPr>
                  <w:t>项目</w:t>
                </w:r>
              </w:p>
            </w:tc>
          </w:sdtContent>
        </w:sdt>
        <w:sdt>
          <w:sdtPr>
            <w:tag w:val="_PLD_0dfc6d612ce04e4ab91d7f5c675c7954"/>
            <w:id w:val="548648602"/>
          </w:sdtPr>
          <w:sdtContent>
            <w:tc>
              <w:tcPr>
                <w:tcW w:w="2051" w:type="dxa"/>
                <w:vAlign w:val="center"/>
              </w:tcPr>
              <w:p w14:paraId="594BE525" w14:textId="77777777" w:rsidR="005E000F" w:rsidRDefault="00000000">
                <w:pPr>
                  <w:jc w:val="center"/>
                </w:pPr>
                <w:r>
                  <w:rPr>
                    <w:rFonts w:hint="eastAsia"/>
                  </w:rPr>
                  <w:t>土地使用权</w:t>
                </w:r>
              </w:p>
            </w:tc>
          </w:sdtContent>
        </w:sdt>
        <w:sdt>
          <w:sdtPr>
            <w:tag w:val="_PLD_0d5a6bdde1fe4f6d9dcc5cb928d96ee9"/>
            <w:id w:val="-1714022542"/>
          </w:sdtPr>
          <w:sdtContent>
            <w:tc>
              <w:tcPr>
                <w:tcW w:w="2049" w:type="dxa"/>
                <w:vAlign w:val="center"/>
              </w:tcPr>
              <w:p w14:paraId="4FA29874" w14:textId="77777777" w:rsidR="005E000F" w:rsidRDefault="00000000">
                <w:pPr>
                  <w:jc w:val="center"/>
                </w:pPr>
                <w:r>
                  <w:rPr>
                    <w:rFonts w:hint="eastAsia"/>
                  </w:rPr>
                  <w:t>计算机</w:t>
                </w:r>
                <w:r>
                  <w:t>软件</w:t>
                </w:r>
              </w:p>
            </w:tc>
          </w:sdtContent>
        </w:sdt>
        <w:sdt>
          <w:sdtPr>
            <w:tag w:val="_PLD_010a173744294c79817b77db863e3438"/>
            <w:id w:val="318858180"/>
          </w:sdtPr>
          <w:sdtContent>
            <w:tc>
              <w:tcPr>
                <w:tcW w:w="2277" w:type="dxa"/>
                <w:vAlign w:val="center"/>
              </w:tcPr>
              <w:p w14:paraId="2BBF7614" w14:textId="77777777" w:rsidR="005E000F" w:rsidRDefault="00000000">
                <w:pPr>
                  <w:jc w:val="center"/>
                </w:pPr>
                <w:r>
                  <w:t>合计</w:t>
                </w:r>
              </w:p>
            </w:tc>
          </w:sdtContent>
        </w:sdt>
      </w:tr>
      <w:tr w:rsidR="005E000F" w14:paraId="7BC05D40" w14:textId="77777777">
        <w:trPr>
          <w:trHeight w:val="340"/>
        </w:trPr>
        <w:sdt>
          <w:sdtPr>
            <w:tag w:val="_PLD_d38b2136312a4180852ade61efe6b93c"/>
            <w:id w:val="-1063023073"/>
          </w:sdtPr>
          <w:sdtContent>
            <w:tc>
              <w:tcPr>
                <w:tcW w:w="9047" w:type="dxa"/>
                <w:gridSpan w:val="4"/>
                <w:vAlign w:val="center"/>
              </w:tcPr>
              <w:p w14:paraId="06BF80E4" w14:textId="77777777" w:rsidR="005E000F" w:rsidRDefault="00000000">
                <w:r>
                  <w:t>一、</w:t>
                </w:r>
                <w:r>
                  <w:rPr>
                    <w:rFonts w:hint="eastAsia"/>
                  </w:rPr>
                  <w:t>账面原值</w:t>
                </w:r>
              </w:p>
            </w:tc>
          </w:sdtContent>
        </w:sdt>
      </w:tr>
      <w:tr w:rsidR="005E000F" w14:paraId="2520E287" w14:textId="77777777">
        <w:trPr>
          <w:trHeight w:val="340"/>
        </w:trPr>
        <w:sdt>
          <w:sdtPr>
            <w:tag w:val="_PLD_c5adbbf7566848428d517f50646b04c1"/>
            <w:id w:val="-1819877110"/>
          </w:sdtPr>
          <w:sdtContent>
            <w:tc>
              <w:tcPr>
                <w:tcW w:w="2670" w:type="dxa"/>
                <w:vAlign w:val="center"/>
              </w:tcPr>
              <w:p w14:paraId="1DC669D2" w14:textId="77777777" w:rsidR="005E000F" w:rsidRDefault="00000000">
                <w:pPr>
                  <w:ind w:firstLineChars="200" w:firstLine="420"/>
                </w:pPr>
                <w:r>
                  <w:t>1.</w:t>
                </w:r>
                <w:r>
                  <w:rPr>
                    <w:rFonts w:hint="eastAsia"/>
                  </w:rPr>
                  <w:t>期</w:t>
                </w:r>
                <w:r>
                  <w:t>初余额</w:t>
                </w:r>
              </w:p>
            </w:tc>
          </w:sdtContent>
        </w:sdt>
        <w:tc>
          <w:tcPr>
            <w:tcW w:w="2051" w:type="dxa"/>
            <w:vAlign w:val="center"/>
          </w:tcPr>
          <w:p w14:paraId="5FD663A5" w14:textId="77777777" w:rsidR="005E000F" w:rsidRDefault="00000000">
            <w:pPr>
              <w:jc w:val="right"/>
            </w:pPr>
            <w:r>
              <w:t>12,758,237,018</w:t>
            </w:r>
          </w:p>
        </w:tc>
        <w:tc>
          <w:tcPr>
            <w:tcW w:w="2049" w:type="dxa"/>
            <w:vAlign w:val="center"/>
          </w:tcPr>
          <w:p w14:paraId="3EB9A049" w14:textId="77777777" w:rsidR="005E000F" w:rsidRDefault="00000000">
            <w:pPr>
              <w:jc w:val="right"/>
            </w:pPr>
            <w:r>
              <w:t>227,731,307</w:t>
            </w:r>
          </w:p>
        </w:tc>
        <w:tc>
          <w:tcPr>
            <w:tcW w:w="2277" w:type="dxa"/>
            <w:vAlign w:val="center"/>
          </w:tcPr>
          <w:p w14:paraId="7246E735" w14:textId="77777777" w:rsidR="005E000F" w:rsidRDefault="00000000">
            <w:pPr>
              <w:jc w:val="right"/>
            </w:pPr>
            <w:r>
              <w:t>12,985,968,325</w:t>
            </w:r>
          </w:p>
        </w:tc>
      </w:tr>
      <w:tr w:rsidR="005E000F" w14:paraId="301BF8AD" w14:textId="77777777">
        <w:trPr>
          <w:trHeight w:val="340"/>
        </w:trPr>
        <w:sdt>
          <w:sdtPr>
            <w:tag w:val="_PLD_0b446630b07f4e06a5d143f4d4a21911"/>
            <w:id w:val="-1391571214"/>
          </w:sdtPr>
          <w:sdtContent>
            <w:tc>
              <w:tcPr>
                <w:tcW w:w="2670" w:type="dxa"/>
                <w:vAlign w:val="center"/>
              </w:tcPr>
              <w:p w14:paraId="799F1BB2" w14:textId="77777777" w:rsidR="005E000F" w:rsidRDefault="00000000">
                <w:pPr>
                  <w:ind w:firstLineChars="200" w:firstLine="420"/>
                </w:pPr>
                <w:r>
                  <w:t>2.</w:t>
                </w:r>
                <w:r>
                  <w:t>本期增加</w:t>
                </w:r>
                <w:r>
                  <w:rPr>
                    <w:rFonts w:hint="eastAsia"/>
                  </w:rPr>
                  <w:t>金额</w:t>
                </w:r>
              </w:p>
            </w:tc>
          </w:sdtContent>
        </w:sdt>
        <w:tc>
          <w:tcPr>
            <w:tcW w:w="2051" w:type="dxa"/>
            <w:vAlign w:val="center"/>
          </w:tcPr>
          <w:p w14:paraId="67F686E1" w14:textId="77777777" w:rsidR="005E000F" w:rsidRDefault="00000000">
            <w:pPr>
              <w:jc w:val="right"/>
            </w:pPr>
            <w:r>
              <w:t>24,285,801,558</w:t>
            </w:r>
          </w:p>
        </w:tc>
        <w:tc>
          <w:tcPr>
            <w:tcW w:w="2049" w:type="dxa"/>
            <w:vAlign w:val="center"/>
          </w:tcPr>
          <w:p w14:paraId="77A15275" w14:textId="77777777" w:rsidR="005E000F" w:rsidRDefault="00000000">
            <w:pPr>
              <w:jc w:val="right"/>
            </w:pPr>
            <w:r>
              <w:t>11,278,254</w:t>
            </w:r>
          </w:p>
        </w:tc>
        <w:tc>
          <w:tcPr>
            <w:tcW w:w="2277" w:type="dxa"/>
            <w:vAlign w:val="center"/>
          </w:tcPr>
          <w:p w14:paraId="02E541DA" w14:textId="77777777" w:rsidR="005E000F" w:rsidRDefault="00000000">
            <w:pPr>
              <w:jc w:val="right"/>
            </w:pPr>
            <w:r>
              <w:t>24,297,079,812</w:t>
            </w:r>
          </w:p>
        </w:tc>
      </w:tr>
      <w:tr w:rsidR="005E000F" w14:paraId="5387FD3B" w14:textId="77777777">
        <w:trPr>
          <w:trHeight w:val="340"/>
        </w:trPr>
        <w:sdt>
          <w:sdtPr>
            <w:tag w:val="_PLD_add88995250b4c76b28f71f8876082c0"/>
            <w:id w:val="-83143055"/>
          </w:sdtPr>
          <w:sdtContent>
            <w:tc>
              <w:tcPr>
                <w:tcW w:w="2670" w:type="dxa"/>
                <w:vAlign w:val="center"/>
              </w:tcPr>
              <w:p w14:paraId="3C1FCC55" w14:textId="77777777" w:rsidR="005E000F" w:rsidRDefault="00000000">
                <w:pPr>
                  <w:ind w:firstLineChars="200" w:firstLine="420"/>
                </w:pPr>
                <w:r>
                  <w:rPr>
                    <w:rFonts w:hint="eastAsia"/>
                  </w:rPr>
                  <w:t>（</w:t>
                </w:r>
                <w:r>
                  <w:rPr>
                    <w:rFonts w:hint="eastAsia"/>
                  </w:rPr>
                  <w:t>1</w:t>
                </w:r>
                <w:r>
                  <w:rPr>
                    <w:rFonts w:hint="eastAsia"/>
                  </w:rPr>
                  <w:t>）购置</w:t>
                </w:r>
              </w:p>
            </w:tc>
          </w:sdtContent>
        </w:sdt>
        <w:tc>
          <w:tcPr>
            <w:tcW w:w="2051" w:type="dxa"/>
            <w:vAlign w:val="center"/>
          </w:tcPr>
          <w:p w14:paraId="2AEEAE4C" w14:textId="77777777" w:rsidR="005E000F" w:rsidRDefault="00000000">
            <w:pPr>
              <w:jc w:val="right"/>
            </w:pPr>
            <w:r>
              <w:t>24,285,801,558</w:t>
            </w:r>
          </w:p>
        </w:tc>
        <w:tc>
          <w:tcPr>
            <w:tcW w:w="2049" w:type="dxa"/>
            <w:vAlign w:val="center"/>
          </w:tcPr>
          <w:p w14:paraId="21A17626" w14:textId="77777777" w:rsidR="005E000F" w:rsidRDefault="00000000">
            <w:pPr>
              <w:jc w:val="right"/>
            </w:pPr>
            <w:r>
              <w:t>11,278,254</w:t>
            </w:r>
          </w:p>
        </w:tc>
        <w:tc>
          <w:tcPr>
            <w:tcW w:w="2277" w:type="dxa"/>
            <w:vAlign w:val="center"/>
          </w:tcPr>
          <w:p w14:paraId="4A3E4FCB" w14:textId="77777777" w:rsidR="005E000F" w:rsidRDefault="00000000">
            <w:pPr>
              <w:jc w:val="right"/>
            </w:pPr>
            <w:r>
              <w:t>24,297,079,812</w:t>
            </w:r>
          </w:p>
        </w:tc>
      </w:tr>
      <w:tr w:rsidR="005E000F" w14:paraId="21837413" w14:textId="77777777">
        <w:trPr>
          <w:trHeight w:val="340"/>
        </w:trPr>
        <w:sdt>
          <w:sdtPr>
            <w:tag w:val="_PLD_ef6de8d106a344419ba63c194a180aab"/>
            <w:id w:val="446666779"/>
          </w:sdtPr>
          <w:sdtContent>
            <w:tc>
              <w:tcPr>
                <w:tcW w:w="2670" w:type="dxa"/>
                <w:vAlign w:val="center"/>
              </w:tcPr>
              <w:p w14:paraId="230A9C26" w14:textId="77777777" w:rsidR="005E000F" w:rsidRDefault="00000000">
                <w:pPr>
                  <w:ind w:firstLineChars="200" w:firstLine="420"/>
                </w:pPr>
                <w:r>
                  <w:t>3.</w:t>
                </w:r>
                <w:r>
                  <w:t>本期减少</w:t>
                </w:r>
                <w:r>
                  <w:rPr>
                    <w:rFonts w:hint="eastAsia"/>
                  </w:rPr>
                  <w:t>金额</w:t>
                </w:r>
              </w:p>
            </w:tc>
          </w:sdtContent>
        </w:sdt>
        <w:tc>
          <w:tcPr>
            <w:tcW w:w="2051" w:type="dxa"/>
            <w:vAlign w:val="center"/>
          </w:tcPr>
          <w:p w14:paraId="69151DDE" w14:textId="77777777" w:rsidR="005E000F" w:rsidRDefault="00000000">
            <w:pPr>
              <w:jc w:val="right"/>
            </w:pPr>
            <w:r>
              <w:t>763,053</w:t>
            </w:r>
          </w:p>
        </w:tc>
        <w:tc>
          <w:tcPr>
            <w:tcW w:w="2049" w:type="dxa"/>
            <w:vAlign w:val="center"/>
          </w:tcPr>
          <w:p w14:paraId="6A27B319" w14:textId="77777777" w:rsidR="005E000F" w:rsidRDefault="00000000">
            <w:pPr>
              <w:jc w:val="right"/>
            </w:pPr>
            <w:r>
              <w:t>18,868</w:t>
            </w:r>
          </w:p>
        </w:tc>
        <w:tc>
          <w:tcPr>
            <w:tcW w:w="2277" w:type="dxa"/>
            <w:vAlign w:val="center"/>
          </w:tcPr>
          <w:p w14:paraId="100EC40A" w14:textId="77777777" w:rsidR="005E000F" w:rsidRDefault="00000000">
            <w:pPr>
              <w:jc w:val="right"/>
            </w:pPr>
            <w:r>
              <w:t>781,921</w:t>
            </w:r>
          </w:p>
        </w:tc>
      </w:tr>
      <w:tr w:rsidR="005E000F" w14:paraId="01DE30BF" w14:textId="77777777">
        <w:trPr>
          <w:trHeight w:val="340"/>
        </w:trPr>
        <w:sdt>
          <w:sdtPr>
            <w:tag w:val="_PLD_a2dde99d637c467abd414e8ab49b893b"/>
            <w:id w:val="-1687048579"/>
          </w:sdtPr>
          <w:sdtContent>
            <w:tc>
              <w:tcPr>
                <w:tcW w:w="2670" w:type="dxa"/>
                <w:vAlign w:val="center"/>
              </w:tcPr>
              <w:p w14:paraId="4B08B878" w14:textId="77777777" w:rsidR="005E000F" w:rsidRDefault="00000000">
                <w:pPr>
                  <w:ind w:firstLineChars="200" w:firstLine="420"/>
                </w:pPr>
                <w:r>
                  <w:rPr>
                    <w:rFonts w:hint="eastAsia"/>
                  </w:rPr>
                  <w:t>（</w:t>
                </w:r>
                <w:r>
                  <w:rPr>
                    <w:rFonts w:hint="eastAsia"/>
                  </w:rPr>
                  <w:t>1</w:t>
                </w:r>
                <w:r>
                  <w:rPr>
                    <w:rFonts w:hint="eastAsia"/>
                  </w:rPr>
                  <w:t>）处置</w:t>
                </w:r>
              </w:p>
            </w:tc>
          </w:sdtContent>
        </w:sdt>
        <w:tc>
          <w:tcPr>
            <w:tcW w:w="2051" w:type="dxa"/>
            <w:vAlign w:val="center"/>
          </w:tcPr>
          <w:p w14:paraId="2899BCF2" w14:textId="77777777" w:rsidR="005E000F" w:rsidRDefault="00000000">
            <w:pPr>
              <w:jc w:val="right"/>
            </w:pPr>
            <w:r>
              <w:t>763,053</w:t>
            </w:r>
          </w:p>
        </w:tc>
        <w:tc>
          <w:tcPr>
            <w:tcW w:w="2049" w:type="dxa"/>
            <w:vAlign w:val="center"/>
          </w:tcPr>
          <w:p w14:paraId="2CF2523A" w14:textId="77777777" w:rsidR="005E000F" w:rsidRDefault="00000000">
            <w:pPr>
              <w:jc w:val="right"/>
            </w:pPr>
            <w:r>
              <w:t>18,868</w:t>
            </w:r>
          </w:p>
        </w:tc>
        <w:tc>
          <w:tcPr>
            <w:tcW w:w="2277" w:type="dxa"/>
            <w:vAlign w:val="center"/>
          </w:tcPr>
          <w:p w14:paraId="67494B64" w14:textId="77777777" w:rsidR="005E000F" w:rsidRDefault="00000000">
            <w:pPr>
              <w:jc w:val="right"/>
            </w:pPr>
            <w:r>
              <w:t>781,921</w:t>
            </w:r>
          </w:p>
        </w:tc>
      </w:tr>
      <w:tr w:rsidR="005E000F" w14:paraId="4F2C4BD1" w14:textId="77777777">
        <w:trPr>
          <w:trHeight w:val="340"/>
        </w:trPr>
        <w:sdt>
          <w:sdtPr>
            <w:tag w:val="_PLD_03745bff079541e1ababba4ad6de075d"/>
            <w:id w:val="1446579859"/>
          </w:sdtPr>
          <w:sdtContent>
            <w:tc>
              <w:tcPr>
                <w:tcW w:w="2670" w:type="dxa"/>
                <w:vAlign w:val="center"/>
              </w:tcPr>
              <w:p w14:paraId="4400B4B3" w14:textId="77777777" w:rsidR="005E000F" w:rsidRDefault="00000000">
                <w:pPr>
                  <w:ind w:firstLineChars="200" w:firstLine="420"/>
                </w:pPr>
                <w:r>
                  <w:t>4.</w:t>
                </w:r>
                <w:r>
                  <w:t>期末余额</w:t>
                </w:r>
              </w:p>
            </w:tc>
          </w:sdtContent>
        </w:sdt>
        <w:tc>
          <w:tcPr>
            <w:tcW w:w="2051" w:type="dxa"/>
            <w:vAlign w:val="center"/>
          </w:tcPr>
          <w:p w14:paraId="6A212266" w14:textId="77777777" w:rsidR="005E000F" w:rsidRDefault="00000000">
            <w:pPr>
              <w:jc w:val="right"/>
            </w:pPr>
            <w:r>
              <w:t>37,043,275,523</w:t>
            </w:r>
          </w:p>
        </w:tc>
        <w:tc>
          <w:tcPr>
            <w:tcW w:w="2049" w:type="dxa"/>
            <w:vAlign w:val="center"/>
          </w:tcPr>
          <w:p w14:paraId="14319F10" w14:textId="77777777" w:rsidR="005E000F" w:rsidRDefault="00000000">
            <w:pPr>
              <w:jc w:val="right"/>
            </w:pPr>
            <w:r>
              <w:t>238,990,693</w:t>
            </w:r>
          </w:p>
        </w:tc>
        <w:tc>
          <w:tcPr>
            <w:tcW w:w="2277" w:type="dxa"/>
            <w:vAlign w:val="center"/>
          </w:tcPr>
          <w:p w14:paraId="4EAFF3E4" w14:textId="77777777" w:rsidR="005E000F" w:rsidRDefault="00000000">
            <w:pPr>
              <w:jc w:val="right"/>
            </w:pPr>
            <w:r>
              <w:t>37,282,266,216</w:t>
            </w:r>
          </w:p>
        </w:tc>
      </w:tr>
      <w:tr w:rsidR="005E000F" w14:paraId="5B9B08EA" w14:textId="77777777">
        <w:trPr>
          <w:trHeight w:val="340"/>
        </w:trPr>
        <w:sdt>
          <w:sdtPr>
            <w:tag w:val="_PLD_31b6b6971eff48bf893163f2b1779469"/>
            <w:id w:val="1497072429"/>
          </w:sdtPr>
          <w:sdtContent>
            <w:tc>
              <w:tcPr>
                <w:tcW w:w="9047" w:type="dxa"/>
                <w:gridSpan w:val="4"/>
                <w:vAlign w:val="center"/>
              </w:tcPr>
              <w:p w14:paraId="71657088" w14:textId="77777777" w:rsidR="005E000F" w:rsidRDefault="00000000">
                <w:r>
                  <w:t>二、累计</w:t>
                </w:r>
                <w:r>
                  <w:rPr>
                    <w:rFonts w:hint="eastAsia"/>
                  </w:rPr>
                  <w:t>摊销</w:t>
                </w:r>
              </w:p>
            </w:tc>
          </w:sdtContent>
        </w:sdt>
      </w:tr>
      <w:tr w:rsidR="005E000F" w14:paraId="592F3885" w14:textId="77777777">
        <w:trPr>
          <w:trHeight w:val="340"/>
        </w:trPr>
        <w:sdt>
          <w:sdtPr>
            <w:tag w:val="_PLD_192ef7a489984acd8b494007033b87de"/>
            <w:id w:val="-1506199254"/>
          </w:sdtPr>
          <w:sdtContent>
            <w:tc>
              <w:tcPr>
                <w:tcW w:w="2670" w:type="dxa"/>
                <w:vAlign w:val="center"/>
              </w:tcPr>
              <w:p w14:paraId="65B1EE6B" w14:textId="77777777" w:rsidR="005E000F" w:rsidRDefault="00000000">
                <w:pPr>
                  <w:ind w:firstLineChars="200" w:firstLine="420"/>
                </w:pPr>
                <w:r>
                  <w:rPr>
                    <w:rFonts w:hint="eastAsia"/>
                  </w:rPr>
                  <w:t>1.</w:t>
                </w:r>
                <w:r>
                  <w:rPr>
                    <w:rFonts w:hint="eastAsia"/>
                  </w:rPr>
                  <w:t>期</w:t>
                </w:r>
                <w:r>
                  <w:t>初余额</w:t>
                </w:r>
              </w:p>
            </w:tc>
          </w:sdtContent>
        </w:sdt>
        <w:tc>
          <w:tcPr>
            <w:tcW w:w="2051" w:type="dxa"/>
            <w:vAlign w:val="center"/>
          </w:tcPr>
          <w:p w14:paraId="761470E9" w14:textId="77777777" w:rsidR="005E000F" w:rsidRDefault="00000000">
            <w:pPr>
              <w:jc w:val="right"/>
            </w:pPr>
            <w:r>
              <w:t>2,301,242,309</w:t>
            </w:r>
          </w:p>
        </w:tc>
        <w:tc>
          <w:tcPr>
            <w:tcW w:w="2049" w:type="dxa"/>
            <w:vAlign w:val="center"/>
          </w:tcPr>
          <w:p w14:paraId="093C8605" w14:textId="77777777" w:rsidR="005E000F" w:rsidRDefault="00000000">
            <w:pPr>
              <w:jc w:val="right"/>
            </w:pPr>
            <w:r>
              <w:t>152,976,955</w:t>
            </w:r>
          </w:p>
        </w:tc>
        <w:tc>
          <w:tcPr>
            <w:tcW w:w="2277" w:type="dxa"/>
            <w:vAlign w:val="center"/>
          </w:tcPr>
          <w:p w14:paraId="71EE2C87" w14:textId="77777777" w:rsidR="005E000F" w:rsidRDefault="00000000">
            <w:pPr>
              <w:jc w:val="right"/>
            </w:pPr>
            <w:r>
              <w:t>2,454,219,264</w:t>
            </w:r>
          </w:p>
        </w:tc>
      </w:tr>
      <w:tr w:rsidR="005E000F" w14:paraId="7543AF9B" w14:textId="77777777">
        <w:trPr>
          <w:trHeight w:val="340"/>
        </w:trPr>
        <w:sdt>
          <w:sdtPr>
            <w:tag w:val="_PLD_d9b2c881fa5c4e37827a5af57760bac7"/>
            <w:id w:val="1618721044"/>
          </w:sdtPr>
          <w:sdtContent>
            <w:tc>
              <w:tcPr>
                <w:tcW w:w="2670" w:type="dxa"/>
                <w:vAlign w:val="center"/>
              </w:tcPr>
              <w:p w14:paraId="03981B5D" w14:textId="77777777" w:rsidR="005E000F" w:rsidRDefault="00000000">
                <w:pPr>
                  <w:ind w:firstLineChars="200" w:firstLine="420"/>
                </w:pPr>
                <w:r>
                  <w:t>2.</w:t>
                </w:r>
                <w:r>
                  <w:t>本期增加</w:t>
                </w:r>
                <w:r>
                  <w:rPr>
                    <w:rFonts w:hint="eastAsia"/>
                  </w:rPr>
                  <w:t>金额</w:t>
                </w:r>
              </w:p>
            </w:tc>
          </w:sdtContent>
        </w:sdt>
        <w:tc>
          <w:tcPr>
            <w:tcW w:w="2051" w:type="dxa"/>
            <w:vAlign w:val="center"/>
          </w:tcPr>
          <w:p w14:paraId="7D5E787A" w14:textId="77777777" w:rsidR="005E000F" w:rsidRDefault="00000000">
            <w:pPr>
              <w:jc w:val="right"/>
            </w:pPr>
            <w:r>
              <w:t>298,316,428</w:t>
            </w:r>
          </w:p>
        </w:tc>
        <w:tc>
          <w:tcPr>
            <w:tcW w:w="2049" w:type="dxa"/>
            <w:vAlign w:val="center"/>
          </w:tcPr>
          <w:p w14:paraId="2C40DB47" w14:textId="77777777" w:rsidR="005E000F" w:rsidRDefault="00000000">
            <w:pPr>
              <w:jc w:val="right"/>
            </w:pPr>
            <w:r>
              <w:t>17,380,475</w:t>
            </w:r>
          </w:p>
        </w:tc>
        <w:tc>
          <w:tcPr>
            <w:tcW w:w="2277" w:type="dxa"/>
            <w:vAlign w:val="center"/>
          </w:tcPr>
          <w:p w14:paraId="4F290F7B" w14:textId="77777777" w:rsidR="005E000F" w:rsidRDefault="00000000">
            <w:pPr>
              <w:jc w:val="right"/>
            </w:pPr>
            <w:r>
              <w:t>315,696,903</w:t>
            </w:r>
          </w:p>
        </w:tc>
      </w:tr>
      <w:tr w:rsidR="005E000F" w14:paraId="31A979E1" w14:textId="77777777">
        <w:trPr>
          <w:trHeight w:val="340"/>
        </w:trPr>
        <w:sdt>
          <w:sdtPr>
            <w:tag w:val="_PLD_8e892aff304549108ee89d7a36074102"/>
            <w:id w:val="762656861"/>
          </w:sdtPr>
          <w:sdtContent>
            <w:tc>
              <w:tcPr>
                <w:tcW w:w="2670" w:type="dxa"/>
                <w:vAlign w:val="center"/>
              </w:tcPr>
              <w:p w14:paraId="40B4C9EA" w14:textId="77777777" w:rsidR="005E000F" w:rsidRDefault="00000000">
                <w:pPr>
                  <w:ind w:firstLineChars="200" w:firstLine="420"/>
                </w:pPr>
                <w:r>
                  <w:rPr>
                    <w:rFonts w:hint="eastAsia"/>
                  </w:rPr>
                  <w:t>3.</w:t>
                </w:r>
                <w:r>
                  <w:t>本期减少</w:t>
                </w:r>
                <w:r>
                  <w:rPr>
                    <w:rFonts w:hint="eastAsia"/>
                  </w:rPr>
                  <w:t>金额</w:t>
                </w:r>
              </w:p>
            </w:tc>
          </w:sdtContent>
        </w:sdt>
        <w:tc>
          <w:tcPr>
            <w:tcW w:w="2051" w:type="dxa"/>
            <w:vAlign w:val="center"/>
          </w:tcPr>
          <w:p w14:paraId="72B2F28B" w14:textId="77777777" w:rsidR="005E000F" w:rsidRDefault="00000000">
            <w:pPr>
              <w:jc w:val="right"/>
            </w:pPr>
            <w:r>
              <w:t>0</w:t>
            </w:r>
          </w:p>
        </w:tc>
        <w:tc>
          <w:tcPr>
            <w:tcW w:w="2049" w:type="dxa"/>
            <w:vAlign w:val="center"/>
          </w:tcPr>
          <w:p w14:paraId="560FA4D9" w14:textId="77777777" w:rsidR="005E000F" w:rsidRDefault="00000000">
            <w:pPr>
              <w:jc w:val="right"/>
            </w:pPr>
            <w:r>
              <w:t>18,868</w:t>
            </w:r>
          </w:p>
        </w:tc>
        <w:tc>
          <w:tcPr>
            <w:tcW w:w="2277" w:type="dxa"/>
            <w:vAlign w:val="center"/>
          </w:tcPr>
          <w:p w14:paraId="3133F778" w14:textId="77777777" w:rsidR="005E000F" w:rsidRDefault="00000000">
            <w:pPr>
              <w:jc w:val="right"/>
            </w:pPr>
            <w:r>
              <w:t>18,868</w:t>
            </w:r>
          </w:p>
        </w:tc>
      </w:tr>
      <w:tr w:rsidR="005E000F" w14:paraId="179D84EE" w14:textId="77777777">
        <w:trPr>
          <w:trHeight w:val="340"/>
        </w:trPr>
        <w:sdt>
          <w:sdtPr>
            <w:tag w:val="_PLD_00974608625b4b68972908d459d17711"/>
            <w:id w:val="-971835265"/>
          </w:sdtPr>
          <w:sdtContent>
            <w:tc>
              <w:tcPr>
                <w:tcW w:w="2670" w:type="dxa"/>
                <w:vAlign w:val="center"/>
              </w:tcPr>
              <w:p w14:paraId="4DB58AEC" w14:textId="77777777" w:rsidR="005E000F" w:rsidRDefault="00000000">
                <w:pPr>
                  <w:ind w:firstLineChars="200" w:firstLine="420"/>
                </w:pPr>
                <w:r>
                  <w:rPr>
                    <w:rFonts w:hint="eastAsia"/>
                  </w:rPr>
                  <w:t>4.</w:t>
                </w:r>
                <w:r>
                  <w:t>期末余额</w:t>
                </w:r>
              </w:p>
            </w:tc>
          </w:sdtContent>
        </w:sdt>
        <w:tc>
          <w:tcPr>
            <w:tcW w:w="2051" w:type="dxa"/>
            <w:vAlign w:val="center"/>
          </w:tcPr>
          <w:p w14:paraId="489F65F0" w14:textId="77777777" w:rsidR="005E000F" w:rsidRDefault="00000000">
            <w:pPr>
              <w:jc w:val="right"/>
            </w:pPr>
            <w:r>
              <w:t>2,599,558,737</w:t>
            </w:r>
          </w:p>
        </w:tc>
        <w:tc>
          <w:tcPr>
            <w:tcW w:w="2049" w:type="dxa"/>
            <w:vAlign w:val="center"/>
          </w:tcPr>
          <w:p w14:paraId="261678BD" w14:textId="77777777" w:rsidR="005E000F" w:rsidRDefault="00000000">
            <w:pPr>
              <w:jc w:val="right"/>
            </w:pPr>
            <w:r>
              <w:t>170,338,562</w:t>
            </w:r>
          </w:p>
        </w:tc>
        <w:tc>
          <w:tcPr>
            <w:tcW w:w="2277" w:type="dxa"/>
            <w:vAlign w:val="center"/>
          </w:tcPr>
          <w:p w14:paraId="4722A840" w14:textId="77777777" w:rsidR="005E000F" w:rsidRDefault="00000000">
            <w:pPr>
              <w:jc w:val="right"/>
            </w:pPr>
            <w:r>
              <w:t>2,769,897,299</w:t>
            </w:r>
          </w:p>
        </w:tc>
      </w:tr>
      <w:tr w:rsidR="005E000F" w14:paraId="7D7CF5A7" w14:textId="77777777">
        <w:trPr>
          <w:trHeight w:val="340"/>
        </w:trPr>
        <w:sdt>
          <w:sdtPr>
            <w:tag w:val="_PLD_f7d5f180eba449a29a01985d504a8cad"/>
            <w:id w:val="-2023390473"/>
          </w:sdtPr>
          <w:sdtContent>
            <w:tc>
              <w:tcPr>
                <w:tcW w:w="9047" w:type="dxa"/>
                <w:gridSpan w:val="4"/>
                <w:vAlign w:val="center"/>
              </w:tcPr>
              <w:p w14:paraId="11016499" w14:textId="77777777" w:rsidR="005E000F" w:rsidRDefault="00000000">
                <w:r>
                  <w:t>三、减值准备</w:t>
                </w:r>
              </w:p>
            </w:tc>
          </w:sdtContent>
        </w:sdt>
      </w:tr>
      <w:tr w:rsidR="005E000F" w14:paraId="76FE8F8C" w14:textId="77777777">
        <w:trPr>
          <w:trHeight w:val="340"/>
        </w:trPr>
        <w:sdt>
          <w:sdtPr>
            <w:tag w:val="_PLD_d456d6b4542546f2b64c57daa1b24f6c"/>
            <w:id w:val="-1611968731"/>
          </w:sdtPr>
          <w:sdtContent>
            <w:tc>
              <w:tcPr>
                <w:tcW w:w="2670" w:type="dxa"/>
                <w:vAlign w:val="center"/>
              </w:tcPr>
              <w:p w14:paraId="3DE91116" w14:textId="77777777" w:rsidR="005E000F" w:rsidRDefault="00000000">
                <w:pPr>
                  <w:ind w:firstLineChars="200" w:firstLine="420"/>
                </w:pPr>
                <w:r>
                  <w:rPr>
                    <w:rFonts w:hint="eastAsia"/>
                  </w:rPr>
                  <w:t>1.</w:t>
                </w:r>
                <w:r>
                  <w:rPr>
                    <w:rFonts w:hint="eastAsia"/>
                  </w:rPr>
                  <w:t>期</w:t>
                </w:r>
                <w:r>
                  <w:t>初余额</w:t>
                </w:r>
              </w:p>
            </w:tc>
          </w:sdtContent>
        </w:sdt>
        <w:tc>
          <w:tcPr>
            <w:tcW w:w="2051" w:type="dxa"/>
            <w:vAlign w:val="center"/>
          </w:tcPr>
          <w:p w14:paraId="314157ED" w14:textId="77777777" w:rsidR="005E000F" w:rsidRDefault="00000000">
            <w:pPr>
              <w:jc w:val="right"/>
            </w:pPr>
            <w:r>
              <w:t>0</w:t>
            </w:r>
          </w:p>
        </w:tc>
        <w:tc>
          <w:tcPr>
            <w:tcW w:w="2049" w:type="dxa"/>
            <w:vAlign w:val="center"/>
          </w:tcPr>
          <w:p w14:paraId="32D6FE42" w14:textId="77777777" w:rsidR="005E000F" w:rsidRDefault="00000000">
            <w:pPr>
              <w:jc w:val="right"/>
            </w:pPr>
            <w:r>
              <w:t>0</w:t>
            </w:r>
          </w:p>
        </w:tc>
        <w:tc>
          <w:tcPr>
            <w:tcW w:w="2277" w:type="dxa"/>
            <w:vAlign w:val="center"/>
          </w:tcPr>
          <w:p w14:paraId="7CE4F7AC" w14:textId="77777777" w:rsidR="005E000F" w:rsidRDefault="00000000">
            <w:pPr>
              <w:jc w:val="right"/>
            </w:pPr>
            <w:r>
              <w:t>0</w:t>
            </w:r>
          </w:p>
        </w:tc>
      </w:tr>
      <w:tr w:rsidR="005E000F" w14:paraId="1909EED7" w14:textId="77777777">
        <w:trPr>
          <w:trHeight w:val="340"/>
        </w:trPr>
        <w:sdt>
          <w:sdtPr>
            <w:tag w:val="_PLD_e2857e7aebd8427e95c78e58c21c30a8"/>
            <w:id w:val="-2009818150"/>
          </w:sdtPr>
          <w:sdtContent>
            <w:tc>
              <w:tcPr>
                <w:tcW w:w="2670" w:type="dxa"/>
                <w:vAlign w:val="center"/>
              </w:tcPr>
              <w:p w14:paraId="1ED5D6B0" w14:textId="77777777" w:rsidR="005E000F" w:rsidRDefault="00000000">
                <w:pPr>
                  <w:ind w:firstLineChars="200" w:firstLine="420"/>
                </w:pPr>
                <w:r>
                  <w:t>2.</w:t>
                </w:r>
                <w:r>
                  <w:t>本期增加</w:t>
                </w:r>
                <w:r>
                  <w:rPr>
                    <w:rFonts w:hint="eastAsia"/>
                  </w:rPr>
                  <w:t>金额</w:t>
                </w:r>
              </w:p>
            </w:tc>
          </w:sdtContent>
        </w:sdt>
        <w:tc>
          <w:tcPr>
            <w:tcW w:w="2051" w:type="dxa"/>
            <w:vAlign w:val="center"/>
          </w:tcPr>
          <w:p w14:paraId="0C99D5EA" w14:textId="77777777" w:rsidR="005E000F" w:rsidRDefault="00000000">
            <w:pPr>
              <w:jc w:val="right"/>
            </w:pPr>
            <w:r>
              <w:t>0</w:t>
            </w:r>
          </w:p>
        </w:tc>
        <w:tc>
          <w:tcPr>
            <w:tcW w:w="2049" w:type="dxa"/>
            <w:vAlign w:val="center"/>
          </w:tcPr>
          <w:p w14:paraId="04B0196D" w14:textId="77777777" w:rsidR="005E000F" w:rsidRDefault="00000000">
            <w:pPr>
              <w:jc w:val="right"/>
            </w:pPr>
            <w:r>
              <w:t>0</w:t>
            </w:r>
          </w:p>
        </w:tc>
        <w:tc>
          <w:tcPr>
            <w:tcW w:w="2277" w:type="dxa"/>
            <w:vAlign w:val="center"/>
          </w:tcPr>
          <w:p w14:paraId="72CC0C8A" w14:textId="77777777" w:rsidR="005E000F" w:rsidRDefault="00000000">
            <w:pPr>
              <w:jc w:val="right"/>
            </w:pPr>
            <w:r>
              <w:t>0</w:t>
            </w:r>
          </w:p>
        </w:tc>
      </w:tr>
      <w:tr w:rsidR="005E000F" w14:paraId="7D18C3F4" w14:textId="77777777">
        <w:trPr>
          <w:trHeight w:val="340"/>
        </w:trPr>
        <w:sdt>
          <w:sdtPr>
            <w:tag w:val="_PLD_82ae87c72cfb4360abe17ac07d374fa6"/>
            <w:id w:val="1690259565"/>
          </w:sdtPr>
          <w:sdtContent>
            <w:tc>
              <w:tcPr>
                <w:tcW w:w="2670" w:type="dxa"/>
                <w:vAlign w:val="center"/>
              </w:tcPr>
              <w:p w14:paraId="2D1C6661" w14:textId="77777777" w:rsidR="005E000F" w:rsidRDefault="00000000">
                <w:pPr>
                  <w:ind w:firstLineChars="200" w:firstLine="420"/>
                </w:pPr>
                <w:r>
                  <w:rPr>
                    <w:rFonts w:hint="eastAsia"/>
                  </w:rPr>
                  <w:t>3.</w:t>
                </w:r>
                <w:r>
                  <w:t>本期减少</w:t>
                </w:r>
                <w:r>
                  <w:rPr>
                    <w:rFonts w:hint="eastAsia"/>
                  </w:rPr>
                  <w:t>金额</w:t>
                </w:r>
              </w:p>
            </w:tc>
          </w:sdtContent>
        </w:sdt>
        <w:tc>
          <w:tcPr>
            <w:tcW w:w="2051" w:type="dxa"/>
            <w:vAlign w:val="center"/>
          </w:tcPr>
          <w:p w14:paraId="35905A86" w14:textId="77777777" w:rsidR="005E000F" w:rsidRDefault="00000000">
            <w:pPr>
              <w:jc w:val="right"/>
            </w:pPr>
            <w:r>
              <w:t>0</w:t>
            </w:r>
          </w:p>
        </w:tc>
        <w:tc>
          <w:tcPr>
            <w:tcW w:w="2049" w:type="dxa"/>
            <w:vAlign w:val="center"/>
          </w:tcPr>
          <w:p w14:paraId="7DEDA4DC" w14:textId="77777777" w:rsidR="005E000F" w:rsidRDefault="00000000">
            <w:pPr>
              <w:jc w:val="right"/>
            </w:pPr>
            <w:r>
              <w:t>0</w:t>
            </w:r>
          </w:p>
        </w:tc>
        <w:tc>
          <w:tcPr>
            <w:tcW w:w="2277" w:type="dxa"/>
            <w:vAlign w:val="center"/>
          </w:tcPr>
          <w:p w14:paraId="20DA987D" w14:textId="77777777" w:rsidR="005E000F" w:rsidRDefault="00000000">
            <w:pPr>
              <w:jc w:val="right"/>
            </w:pPr>
            <w:r>
              <w:t>0</w:t>
            </w:r>
          </w:p>
        </w:tc>
      </w:tr>
      <w:tr w:rsidR="005E000F" w14:paraId="1A9D3144" w14:textId="77777777">
        <w:trPr>
          <w:trHeight w:val="340"/>
        </w:trPr>
        <w:sdt>
          <w:sdtPr>
            <w:tag w:val="_PLD_9428ef0f2bd34dc7821d00833f5252c1"/>
            <w:id w:val="-1445224003"/>
          </w:sdtPr>
          <w:sdtContent>
            <w:tc>
              <w:tcPr>
                <w:tcW w:w="2670" w:type="dxa"/>
                <w:vAlign w:val="center"/>
              </w:tcPr>
              <w:p w14:paraId="3A2271F5" w14:textId="77777777" w:rsidR="005E000F" w:rsidRDefault="00000000">
                <w:pPr>
                  <w:ind w:firstLineChars="200" w:firstLine="420"/>
                </w:pPr>
                <w:r>
                  <w:rPr>
                    <w:rFonts w:hint="eastAsia"/>
                  </w:rPr>
                  <w:t>4.</w:t>
                </w:r>
                <w:r>
                  <w:t>期末余额</w:t>
                </w:r>
              </w:p>
            </w:tc>
          </w:sdtContent>
        </w:sdt>
        <w:tc>
          <w:tcPr>
            <w:tcW w:w="2051" w:type="dxa"/>
            <w:vAlign w:val="center"/>
          </w:tcPr>
          <w:p w14:paraId="567AA9D5" w14:textId="77777777" w:rsidR="005E000F" w:rsidRDefault="00000000">
            <w:pPr>
              <w:jc w:val="right"/>
            </w:pPr>
            <w:r>
              <w:t>0</w:t>
            </w:r>
          </w:p>
        </w:tc>
        <w:tc>
          <w:tcPr>
            <w:tcW w:w="2049" w:type="dxa"/>
            <w:vAlign w:val="center"/>
          </w:tcPr>
          <w:p w14:paraId="3AD22473" w14:textId="77777777" w:rsidR="005E000F" w:rsidRDefault="00000000">
            <w:pPr>
              <w:jc w:val="right"/>
            </w:pPr>
            <w:r>
              <w:t>0</w:t>
            </w:r>
          </w:p>
        </w:tc>
        <w:tc>
          <w:tcPr>
            <w:tcW w:w="2277" w:type="dxa"/>
            <w:vAlign w:val="center"/>
          </w:tcPr>
          <w:p w14:paraId="2ACD21FA" w14:textId="77777777" w:rsidR="005E000F" w:rsidRDefault="00000000">
            <w:pPr>
              <w:jc w:val="right"/>
            </w:pPr>
            <w:r>
              <w:t>0</w:t>
            </w:r>
          </w:p>
        </w:tc>
      </w:tr>
      <w:tr w:rsidR="005E000F" w14:paraId="59848701" w14:textId="77777777">
        <w:trPr>
          <w:trHeight w:val="340"/>
        </w:trPr>
        <w:sdt>
          <w:sdtPr>
            <w:tag w:val="_PLD_4b0672b3afec475f9c6133950914fc81"/>
            <w:id w:val="809061691"/>
          </w:sdtPr>
          <w:sdtContent>
            <w:tc>
              <w:tcPr>
                <w:tcW w:w="9047" w:type="dxa"/>
                <w:gridSpan w:val="4"/>
                <w:vAlign w:val="center"/>
              </w:tcPr>
              <w:p w14:paraId="1B77AF15" w14:textId="77777777" w:rsidR="005E000F" w:rsidRDefault="00000000">
                <w:r>
                  <w:t>四、账面价值</w:t>
                </w:r>
              </w:p>
            </w:tc>
          </w:sdtContent>
        </w:sdt>
      </w:tr>
      <w:tr w:rsidR="005E000F" w14:paraId="5919B169" w14:textId="77777777">
        <w:trPr>
          <w:trHeight w:val="340"/>
        </w:trPr>
        <w:sdt>
          <w:sdtPr>
            <w:tag w:val="_PLD_1fc70ce7dba842249c5899f16f4ea2f4"/>
            <w:id w:val="674617925"/>
          </w:sdtPr>
          <w:sdtContent>
            <w:tc>
              <w:tcPr>
                <w:tcW w:w="2670" w:type="dxa"/>
                <w:vAlign w:val="center"/>
              </w:tcPr>
              <w:p w14:paraId="4C3C0B0D" w14:textId="77777777" w:rsidR="005E000F" w:rsidRDefault="00000000">
                <w:pPr>
                  <w:ind w:firstLineChars="200" w:firstLine="420"/>
                </w:pPr>
                <w:r>
                  <w:t>1.</w:t>
                </w:r>
                <w:r>
                  <w:t>期末账面价值</w:t>
                </w:r>
              </w:p>
            </w:tc>
          </w:sdtContent>
        </w:sdt>
        <w:tc>
          <w:tcPr>
            <w:tcW w:w="2051" w:type="dxa"/>
            <w:vAlign w:val="center"/>
          </w:tcPr>
          <w:p w14:paraId="3680DBD2" w14:textId="77777777" w:rsidR="005E000F" w:rsidRDefault="00000000">
            <w:pPr>
              <w:jc w:val="right"/>
            </w:pPr>
            <w:r>
              <w:t>34,443,716,786</w:t>
            </w:r>
          </w:p>
        </w:tc>
        <w:tc>
          <w:tcPr>
            <w:tcW w:w="2049" w:type="dxa"/>
            <w:vAlign w:val="center"/>
          </w:tcPr>
          <w:p w14:paraId="087DE8ED" w14:textId="77777777" w:rsidR="005E000F" w:rsidRDefault="00000000">
            <w:pPr>
              <w:jc w:val="right"/>
            </w:pPr>
            <w:r>
              <w:t>68,652,131</w:t>
            </w:r>
          </w:p>
        </w:tc>
        <w:tc>
          <w:tcPr>
            <w:tcW w:w="2277" w:type="dxa"/>
            <w:vAlign w:val="center"/>
          </w:tcPr>
          <w:p w14:paraId="615D7335" w14:textId="77777777" w:rsidR="005E000F" w:rsidRDefault="00000000">
            <w:pPr>
              <w:jc w:val="right"/>
            </w:pPr>
            <w:r>
              <w:t>34,512,368,917</w:t>
            </w:r>
          </w:p>
        </w:tc>
      </w:tr>
      <w:tr w:rsidR="005E000F" w14:paraId="3C9B1431" w14:textId="77777777">
        <w:trPr>
          <w:trHeight w:val="340"/>
        </w:trPr>
        <w:sdt>
          <w:sdtPr>
            <w:tag w:val="_PLD_b71bc5d491a34e85a1ce292ad355233a"/>
            <w:id w:val="-305625882"/>
          </w:sdtPr>
          <w:sdtContent>
            <w:tc>
              <w:tcPr>
                <w:tcW w:w="2670" w:type="dxa"/>
                <w:vAlign w:val="center"/>
              </w:tcPr>
              <w:p w14:paraId="49B7FE55" w14:textId="77777777" w:rsidR="005E000F" w:rsidRDefault="00000000">
                <w:pPr>
                  <w:ind w:firstLineChars="200" w:firstLine="420"/>
                </w:pPr>
                <w:r>
                  <w:t>2.</w:t>
                </w:r>
                <w:r>
                  <w:rPr>
                    <w:rFonts w:hint="eastAsia"/>
                  </w:rPr>
                  <w:t>期初</w:t>
                </w:r>
                <w:r>
                  <w:t>账面价值</w:t>
                </w:r>
              </w:p>
            </w:tc>
          </w:sdtContent>
        </w:sdt>
        <w:tc>
          <w:tcPr>
            <w:tcW w:w="2051" w:type="dxa"/>
            <w:vAlign w:val="center"/>
          </w:tcPr>
          <w:p w14:paraId="32A4E004" w14:textId="77777777" w:rsidR="005E000F" w:rsidRDefault="00000000">
            <w:pPr>
              <w:jc w:val="right"/>
            </w:pPr>
            <w:r>
              <w:t>10,456,994,709</w:t>
            </w:r>
          </w:p>
        </w:tc>
        <w:tc>
          <w:tcPr>
            <w:tcW w:w="2049" w:type="dxa"/>
            <w:vAlign w:val="center"/>
          </w:tcPr>
          <w:p w14:paraId="7A32CAD2" w14:textId="77777777" w:rsidR="005E000F" w:rsidRDefault="00000000">
            <w:pPr>
              <w:jc w:val="right"/>
            </w:pPr>
            <w:r>
              <w:t>74,754,352</w:t>
            </w:r>
          </w:p>
        </w:tc>
        <w:tc>
          <w:tcPr>
            <w:tcW w:w="2277" w:type="dxa"/>
            <w:vAlign w:val="center"/>
          </w:tcPr>
          <w:p w14:paraId="099BE489" w14:textId="77777777" w:rsidR="005E000F" w:rsidRDefault="00000000">
            <w:pPr>
              <w:jc w:val="right"/>
            </w:pPr>
            <w:r>
              <w:t>10,531,749,061</w:t>
            </w:r>
          </w:p>
        </w:tc>
      </w:tr>
    </w:tbl>
    <w:p w14:paraId="24626D06" w14:textId="77777777" w:rsidR="005E000F" w:rsidRDefault="005E000F">
      <w:pPr>
        <w:snapToGrid w:val="0"/>
        <w:spacing w:line="240" w:lineRule="atLeast"/>
      </w:pPr>
    </w:p>
    <w:p w14:paraId="6EFD551F" w14:textId="77777777" w:rsidR="005E000F" w:rsidRDefault="00000000">
      <w:pPr>
        <w:snapToGrid w:val="0"/>
        <w:spacing w:line="240" w:lineRule="atLeast"/>
      </w:pPr>
      <w:r>
        <w:rPr>
          <w:rFonts w:hint="eastAsia"/>
        </w:rPr>
        <w:t>2025</w:t>
      </w:r>
      <w:r>
        <w:rPr>
          <w:rFonts w:hint="eastAsia"/>
        </w:rPr>
        <w:t>年</w:t>
      </w:r>
      <w:r>
        <w:rPr>
          <w:rFonts w:hint="eastAsia"/>
        </w:rPr>
        <w:t>1-12</w:t>
      </w:r>
      <w:r>
        <w:rPr>
          <w:rFonts w:hint="eastAsia"/>
        </w:rPr>
        <w:t>月无形资产摊销金额为人民币</w:t>
      </w:r>
      <w:r>
        <w:rPr>
          <w:rFonts w:hint="eastAsia"/>
        </w:rPr>
        <w:t xml:space="preserve">315,696,903 </w:t>
      </w:r>
      <w:r>
        <w:rPr>
          <w:rFonts w:hint="eastAsia"/>
        </w:rPr>
        <w:t>元</w:t>
      </w:r>
      <w:r>
        <w:rPr>
          <w:rFonts w:hint="eastAsia"/>
        </w:rPr>
        <w:t xml:space="preserve"> </w:t>
      </w:r>
      <w:r>
        <w:rPr>
          <w:rFonts w:hint="eastAsia"/>
        </w:rPr>
        <w:t>（</w:t>
      </w:r>
      <w:r>
        <w:rPr>
          <w:rFonts w:hint="eastAsia"/>
        </w:rPr>
        <w:t>2024</w:t>
      </w:r>
      <w:r>
        <w:rPr>
          <w:rFonts w:hint="eastAsia"/>
        </w:rPr>
        <w:t>年</w:t>
      </w:r>
      <w:r>
        <w:rPr>
          <w:rFonts w:hint="eastAsia"/>
        </w:rPr>
        <w:t>1-12</w:t>
      </w:r>
      <w:r>
        <w:rPr>
          <w:rFonts w:hint="eastAsia"/>
        </w:rPr>
        <w:t>月：人民币</w:t>
      </w:r>
      <w:r>
        <w:rPr>
          <w:rFonts w:hint="eastAsia"/>
        </w:rPr>
        <w:t xml:space="preserve"> 146,883,505 </w:t>
      </w:r>
      <w:r>
        <w:rPr>
          <w:rFonts w:hint="eastAsia"/>
        </w:rPr>
        <w:t>元）。</w:t>
      </w:r>
    </w:p>
    <w:p w14:paraId="07B76D38" w14:textId="77777777" w:rsidR="005E000F" w:rsidRDefault="005E000F">
      <w:pPr>
        <w:snapToGrid w:val="0"/>
        <w:spacing w:line="240" w:lineRule="atLeast"/>
      </w:pPr>
    </w:p>
    <w:p w14:paraId="22E5A0A3" w14:textId="77777777" w:rsidR="005E000F" w:rsidRDefault="00000000">
      <w:pPr>
        <w:snapToGrid w:val="0"/>
        <w:spacing w:line="240" w:lineRule="atLeast"/>
      </w:pPr>
      <w:r>
        <w:rPr>
          <w:rFonts w:hint="eastAsia"/>
        </w:rPr>
        <w:t>于</w:t>
      </w:r>
      <w:r>
        <w:rPr>
          <w:rFonts w:hint="eastAsia"/>
        </w:rPr>
        <w:t>2025</w:t>
      </w:r>
      <w:r>
        <w:rPr>
          <w:rFonts w:hint="eastAsia"/>
        </w:rPr>
        <w:t>年</w:t>
      </w:r>
      <w:r>
        <w:rPr>
          <w:rFonts w:hint="eastAsia"/>
        </w:rPr>
        <w:t>12</w:t>
      </w:r>
      <w:r>
        <w:rPr>
          <w:rFonts w:hint="eastAsia"/>
        </w:rPr>
        <w:t>月</w:t>
      </w:r>
      <w:r>
        <w:rPr>
          <w:rFonts w:hint="eastAsia"/>
        </w:rPr>
        <w:t>31</w:t>
      </w:r>
      <w:r>
        <w:rPr>
          <w:rFonts w:hint="eastAsia"/>
        </w:rPr>
        <w:t>日，本集团用于抵押的无形资产账面价值为人民币</w:t>
      </w:r>
      <w:r>
        <w:rPr>
          <w:rFonts w:hint="eastAsia"/>
        </w:rPr>
        <w:t>1,019,966,463</w:t>
      </w:r>
      <w:r>
        <w:rPr>
          <w:rFonts w:hint="eastAsia"/>
        </w:rPr>
        <w:t>元</w:t>
      </w:r>
      <w:r>
        <w:rPr>
          <w:rFonts w:hint="eastAsia"/>
        </w:rPr>
        <w:t xml:space="preserve"> </w:t>
      </w:r>
      <w:r>
        <w:rPr>
          <w:rFonts w:hint="eastAsia"/>
        </w:rPr>
        <w:t>（原值为人民币</w:t>
      </w:r>
      <w:r>
        <w:rPr>
          <w:rFonts w:hint="eastAsia"/>
        </w:rPr>
        <w:t>1,234,182,956</w:t>
      </w:r>
      <w:r>
        <w:rPr>
          <w:rFonts w:hint="eastAsia"/>
        </w:rPr>
        <w:t>元）。</w:t>
      </w:r>
    </w:p>
    <w:p w14:paraId="5E5055E5" w14:textId="77777777" w:rsidR="005E000F" w:rsidRDefault="005E000F">
      <w:pPr>
        <w:snapToGrid w:val="0"/>
        <w:spacing w:line="240" w:lineRule="atLeast"/>
      </w:pPr>
    </w:p>
    <w:p w14:paraId="4AFC1360" w14:textId="77777777" w:rsidR="005E000F" w:rsidRDefault="00000000">
      <w:pPr>
        <w:pStyle w:val="4"/>
        <w:numPr>
          <w:ilvl w:val="3"/>
          <w:numId w:val="87"/>
        </w:numPr>
        <w:ind w:left="426" w:hanging="426"/>
        <w:rPr>
          <w:rFonts w:ascii="宋体" w:eastAsia="宋体" w:hAnsi="宋体" w:cs="宋体"/>
          <w:kern w:val="0"/>
          <w:szCs w:val="24"/>
        </w:rPr>
      </w:pPr>
      <w:bookmarkStart w:id="352" w:name="_Hlk169705970"/>
      <w:bookmarkStart w:id="353" w:name="_Hlk182485368"/>
      <w:bookmarkEnd w:id="351"/>
      <w:r>
        <w:rPr>
          <w:rFonts w:ascii="宋体" w:eastAsia="宋体" w:hAnsi="宋体" w:cs="宋体" w:hint="eastAsia"/>
          <w:kern w:val="0"/>
          <w:szCs w:val="24"/>
        </w:rPr>
        <w:t>确认为无形资产的数据资源</w:t>
      </w:r>
    </w:p>
    <w:sdt>
      <w:sdtPr>
        <w:rPr>
          <w:color w:val="000000" w:themeColor="text1"/>
        </w:rPr>
        <w:alias w:val="是否适用：确认为无形资产的数据资源[双击切换]"/>
        <w:tag w:val="_GBC_178251a2b9bc4427aa8303576cf5eeed"/>
        <w:id w:val="-541678293"/>
        <w:placeholder>
          <w:docPart w:val="GBC22222222222222222222222222222"/>
        </w:placeholder>
      </w:sdtPr>
      <w:sdtContent>
        <w:p w14:paraId="438013E7"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3887071" w14:textId="77777777" w:rsidR="005E000F" w:rsidRDefault="005E000F">
      <w:pPr>
        <w:snapToGrid w:val="0"/>
        <w:spacing w:line="240" w:lineRule="atLeast"/>
        <w:rPr>
          <w:color w:val="000000" w:themeColor="text1"/>
        </w:rPr>
      </w:pPr>
    </w:p>
    <w:p w14:paraId="444E6BA1" w14:textId="77777777" w:rsidR="005E000F" w:rsidRDefault="005E000F">
      <w:pPr>
        <w:snapToGrid w:val="0"/>
        <w:spacing w:line="240" w:lineRule="atLeast"/>
        <w:rPr>
          <w:color w:val="000000" w:themeColor="text1"/>
        </w:rPr>
      </w:pPr>
    </w:p>
    <w:bookmarkEnd w:id="352"/>
    <w:bookmarkEnd w:id="353"/>
    <w:p w14:paraId="0F83CB65" w14:textId="77777777" w:rsidR="005E000F" w:rsidRDefault="00000000">
      <w:pPr>
        <w:pStyle w:val="4"/>
        <w:numPr>
          <w:ilvl w:val="3"/>
          <w:numId w:val="87"/>
        </w:numPr>
        <w:ind w:left="426" w:hanging="426"/>
      </w:pPr>
      <w:r>
        <w:rPr>
          <w:rFonts w:hint="eastAsia"/>
        </w:rPr>
        <w:lastRenderedPageBreak/>
        <w:t>未办妥产权证书的土地使用权情况</w:t>
      </w:r>
    </w:p>
    <w:p w14:paraId="4E1E953E" w14:textId="77777777" w:rsidR="005E000F" w:rsidRDefault="00000000">
      <w:sdt>
        <w:sdtPr>
          <w:alias w:val="是否适用：未办妥产权证书的土地使用权情况[双击切换]"/>
          <w:tag w:val="_GBC_62bb02d09b844cb69dfe16466ac211c9"/>
          <w:id w:val="543793974"/>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0650442B" w14:textId="77777777" w:rsidR="005E000F" w:rsidRDefault="00000000">
      <w:pPr>
        <w:jc w:val="right"/>
      </w:pPr>
      <w:r>
        <w:rPr>
          <w:rFonts w:hint="eastAsia"/>
        </w:rPr>
        <w:t>单位：</w:t>
      </w:r>
      <w:sdt>
        <w:sdtPr>
          <w:rPr>
            <w:rFonts w:hint="eastAsia"/>
          </w:rPr>
          <w:alias w:val="单位：财务附注：未办妥产权证书的土地使用权情况"/>
          <w:tag w:val="_GBC_0f049ced02af4be6bb3132c9fb8b9914"/>
          <w:id w:val="-117202616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未办妥产权证书的土地使用权情况"/>
          <w:tag w:val="_GBC_2d9d301f865248d6b6f1b7ab06b239cf"/>
          <w:id w:val="-4635761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5E000F" w14:paraId="3BD7E4B8" w14:textId="77777777">
        <w:sdt>
          <w:sdtPr>
            <w:tag w:val="_PLD_394f6bb5ef6741f099060f7a817e1f9c"/>
            <w:id w:val="778460104"/>
          </w:sdtPr>
          <w:sdtContent>
            <w:tc>
              <w:tcPr>
                <w:tcW w:w="3015" w:type="dxa"/>
                <w:vAlign w:val="center"/>
              </w:tcPr>
              <w:p w14:paraId="5053D487" w14:textId="77777777" w:rsidR="005E000F" w:rsidRDefault="00000000">
                <w:pPr>
                  <w:jc w:val="center"/>
                </w:pPr>
                <w:r>
                  <w:rPr>
                    <w:rFonts w:hint="eastAsia"/>
                  </w:rPr>
                  <w:t>项目</w:t>
                </w:r>
              </w:p>
            </w:tc>
          </w:sdtContent>
        </w:sdt>
        <w:sdt>
          <w:sdtPr>
            <w:tag w:val="_PLD_e52ee31192ed4f9facd48939a297a1af"/>
            <w:id w:val="1600297825"/>
          </w:sdtPr>
          <w:sdtContent>
            <w:tc>
              <w:tcPr>
                <w:tcW w:w="3016" w:type="dxa"/>
                <w:vAlign w:val="center"/>
              </w:tcPr>
              <w:p w14:paraId="3B0D0DA5" w14:textId="77777777" w:rsidR="005E000F" w:rsidRDefault="00000000">
                <w:pPr>
                  <w:jc w:val="center"/>
                </w:pPr>
                <w:r>
                  <w:rPr>
                    <w:rFonts w:hint="eastAsia"/>
                  </w:rPr>
                  <w:t>账面价值</w:t>
                </w:r>
              </w:p>
            </w:tc>
          </w:sdtContent>
        </w:sdt>
        <w:sdt>
          <w:sdtPr>
            <w:tag w:val="_PLD_658d52b6529741e0acdd01e40f47293b"/>
            <w:id w:val="934401342"/>
          </w:sdtPr>
          <w:sdtContent>
            <w:tc>
              <w:tcPr>
                <w:tcW w:w="3016" w:type="dxa"/>
                <w:vAlign w:val="center"/>
              </w:tcPr>
              <w:p w14:paraId="7ED13B2B" w14:textId="77777777" w:rsidR="005E000F" w:rsidRDefault="00000000">
                <w:pPr>
                  <w:jc w:val="center"/>
                </w:pPr>
                <w:r>
                  <w:rPr>
                    <w:rFonts w:hint="eastAsia"/>
                  </w:rPr>
                  <w:t>未办妥产权证书的原因</w:t>
                </w:r>
              </w:p>
            </w:tc>
          </w:sdtContent>
        </w:sdt>
      </w:tr>
      <w:tr w:rsidR="005E000F" w14:paraId="7EDFCF6C" w14:textId="77777777">
        <w:tc>
          <w:tcPr>
            <w:tcW w:w="3015" w:type="dxa"/>
            <w:vAlign w:val="center"/>
          </w:tcPr>
          <w:p w14:paraId="646E49AC" w14:textId="77777777" w:rsidR="005E000F" w:rsidRDefault="00000000">
            <w:r>
              <w:t>土地使用权</w:t>
            </w:r>
          </w:p>
        </w:tc>
        <w:tc>
          <w:tcPr>
            <w:tcW w:w="3016" w:type="dxa"/>
            <w:vAlign w:val="center"/>
          </w:tcPr>
          <w:p w14:paraId="760D3BB9" w14:textId="77777777" w:rsidR="005E000F" w:rsidRDefault="00000000">
            <w:pPr>
              <w:jc w:val="right"/>
            </w:pPr>
            <w:r>
              <w:rPr>
                <w:rFonts w:hint="eastAsia"/>
              </w:rPr>
              <w:t>27,677,035,642</w:t>
            </w:r>
          </w:p>
        </w:tc>
        <w:tc>
          <w:tcPr>
            <w:tcW w:w="3016" w:type="dxa"/>
            <w:vAlign w:val="center"/>
          </w:tcPr>
          <w:p w14:paraId="74B92C27" w14:textId="77777777" w:rsidR="005E000F" w:rsidRDefault="00000000">
            <w:pPr>
              <w:jc w:val="right"/>
            </w:pPr>
            <w:r>
              <w:rPr>
                <w:rFonts w:hint="eastAsia"/>
              </w:rPr>
              <w:t>/</w:t>
            </w:r>
          </w:p>
        </w:tc>
      </w:tr>
    </w:tbl>
    <w:p w14:paraId="6B255ACB" w14:textId="77777777" w:rsidR="005E000F" w:rsidRDefault="00000000">
      <w:pPr>
        <w:snapToGrid w:val="0"/>
        <w:spacing w:line="240" w:lineRule="atLeast"/>
      </w:pPr>
      <w:r>
        <w:rPr>
          <w:rFonts w:hint="eastAsia"/>
        </w:rPr>
        <w:t>本公司于</w:t>
      </w:r>
      <w:r>
        <w:rPr>
          <w:rFonts w:hint="eastAsia"/>
        </w:rPr>
        <w:t>2010</w:t>
      </w:r>
      <w:r>
        <w:rPr>
          <w:rFonts w:hint="eastAsia"/>
        </w:rPr>
        <w:t>年</w:t>
      </w:r>
      <w:r>
        <w:rPr>
          <w:rFonts w:hint="eastAsia"/>
        </w:rPr>
        <w:t>8</w:t>
      </w:r>
      <w:r>
        <w:rPr>
          <w:rFonts w:hint="eastAsia"/>
        </w:rPr>
        <w:t>月完成对太原铁路局运输业务的相关资产和负债的收购。收购时，目标业务所占用的土地未纳入收购范围而由本集团向太原局集团公司租赁使用。本公司于</w:t>
      </w:r>
      <w:r>
        <w:rPr>
          <w:rFonts w:hint="eastAsia"/>
        </w:rPr>
        <w:t>2025</w:t>
      </w:r>
      <w:r>
        <w:rPr>
          <w:rFonts w:hint="eastAsia"/>
        </w:rPr>
        <w:t>年</w:t>
      </w:r>
      <w:r>
        <w:rPr>
          <w:rFonts w:hint="eastAsia"/>
        </w:rPr>
        <w:t>10</w:t>
      </w:r>
      <w:r>
        <w:rPr>
          <w:rFonts w:hint="eastAsia"/>
        </w:rPr>
        <w:t>月已完成上述事项中的</w:t>
      </w:r>
      <w:r>
        <w:rPr>
          <w:rFonts w:hint="eastAsia"/>
        </w:rPr>
        <w:t>788</w:t>
      </w:r>
      <w:r>
        <w:rPr>
          <w:rFonts w:hint="eastAsia"/>
        </w:rPr>
        <w:t>宗地的收购，剩余</w:t>
      </w:r>
      <w:r>
        <w:rPr>
          <w:rFonts w:hint="eastAsia"/>
        </w:rPr>
        <w:t>74</w:t>
      </w:r>
      <w:r>
        <w:rPr>
          <w:rFonts w:hint="eastAsia"/>
        </w:rPr>
        <w:t>宗不具备交割条件的土地向太原局集团公司长期租赁</w:t>
      </w:r>
      <w:r>
        <w:rPr>
          <w:rFonts w:hint="eastAsia"/>
        </w:rPr>
        <w:t>(</w:t>
      </w:r>
      <w:r>
        <w:rPr>
          <w:rFonts w:hint="eastAsia"/>
        </w:rPr>
        <w:t>附注七、</w:t>
      </w:r>
      <w:r>
        <w:rPr>
          <w:rFonts w:hint="eastAsia"/>
        </w:rPr>
        <w:t>25)</w:t>
      </w:r>
      <w:r>
        <w:rPr>
          <w:rFonts w:hint="eastAsia"/>
        </w:rPr>
        <w:t>。</w:t>
      </w:r>
    </w:p>
    <w:p w14:paraId="131901A1" w14:textId="77777777" w:rsidR="005E000F" w:rsidRDefault="005E000F">
      <w:pPr>
        <w:snapToGrid w:val="0"/>
        <w:spacing w:line="240" w:lineRule="atLeast"/>
      </w:pPr>
    </w:p>
    <w:p w14:paraId="416035E9" w14:textId="77777777" w:rsidR="005E000F" w:rsidRDefault="00000000">
      <w:pPr>
        <w:pStyle w:val="4"/>
        <w:numPr>
          <w:ilvl w:val="3"/>
          <w:numId w:val="87"/>
        </w:numPr>
        <w:ind w:left="426" w:hanging="426"/>
        <w:rPr>
          <w:rFonts w:ascii="宋体" w:eastAsia="宋体" w:hAnsi="宋体" w:cs="宋体"/>
          <w:kern w:val="0"/>
          <w:szCs w:val="24"/>
        </w:rPr>
      </w:pPr>
      <w:bookmarkStart w:id="354" w:name="_Hlk153461844"/>
      <w:r>
        <w:rPr>
          <w:rFonts w:ascii="宋体" w:eastAsia="宋体" w:hAnsi="宋体" w:cs="宋体" w:hint="eastAsia"/>
          <w:kern w:val="0"/>
          <w:szCs w:val="24"/>
        </w:rPr>
        <w:t>无形资产的减值测试情况</w:t>
      </w:r>
    </w:p>
    <w:sdt>
      <w:sdtPr>
        <w:alias w:val="是否适用：减值测试情况[双击切换]"/>
        <w:tag w:val="_GBC_c5612c50ddb44cf8892aefcbaf89a0f7"/>
        <w:id w:val="453608777"/>
        <w:placeholder>
          <w:docPart w:val="GBC22222222222222222222222222222"/>
        </w:placeholder>
      </w:sdtPr>
      <w:sdtContent>
        <w:p w14:paraId="2300FCD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7F1A697" w14:textId="77777777" w:rsidR="005E000F" w:rsidRDefault="005E000F">
      <w:pPr>
        <w:snapToGrid w:val="0"/>
        <w:spacing w:line="240" w:lineRule="atLeast"/>
      </w:pPr>
    </w:p>
    <w:bookmarkEnd w:id="354"/>
    <w:p w14:paraId="0C90D5CF" w14:textId="77777777" w:rsidR="005E000F" w:rsidRDefault="00000000">
      <w:r>
        <w:rPr>
          <w:rFonts w:hint="eastAsia"/>
        </w:rPr>
        <w:t>其他说明：</w:t>
      </w:r>
    </w:p>
    <w:sdt>
      <w:sdtPr>
        <w:alias w:val="是否适用：无形资产的说明[双击切换]"/>
        <w:tag w:val="_GBC_ff92654365f04f7ba71b01dd8af2f696"/>
        <w:id w:val="-897596108"/>
        <w:placeholder>
          <w:docPart w:val="GBC22222222222222222222222222222"/>
        </w:placeholder>
      </w:sdtPr>
      <w:sdtContent>
        <w:p w14:paraId="2B672FDB"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0A3AD3E" w14:textId="77777777" w:rsidR="005E000F" w:rsidRDefault="005E000F">
      <w:pPr>
        <w:snapToGrid w:val="0"/>
        <w:spacing w:line="240" w:lineRule="atLeast"/>
      </w:pPr>
    </w:p>
    <w:p w14:paraId="1239DE58"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商誉</w:t>
      </w:r>
    </w:p>
    <w:p w14:paraId="51139FFF" w14:textId="77777777" w:rsidR="005E000F" w:rsidRDefault="00000000">
      <w:pPr>
        <w:pStyle w:val="4"/>
        <w:numPr>
          <w:ilvl w:val="3"/>
          <w:numId w:val="88"/>
        </w:numPr>
        <w:ind w:left="426" w:hanging="426"/>
      </w:pPr>
      <w:r>
        <w:rPr>
          <w:rFonts w:hint="eastAsia"/>
        </w:rPr>
        <w:t>商誉账面原值</w:t>
      </w:r>
    </w:p>
    <w:sdt>
      <w:sdtPr>
        <w:alias w:val="是否适用：商誉账面原值[双击切换]"/>
        <w:tag w:val="_GBC_ef393f0687ab4747a43cd96895a18dcb"/>
        <w:id w:val="921294773"/>
        <w:placeholder>
          <w:docPart w:val="GBC22222222222222222222222222222"/>
        </w:placeholder>
      </w:sdtPr>
      <w:sdtContent>
        <w:p w14:paraId="78EDE528"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97D2278" w14:textId="77777777" w:rsidR="005E000F" w:rsidRDefault="005E000F"/>
    <w:p w14:paraId="30A04803" w14:textId="77777777" w:rsidR="005E000F" w:rsidRDefault="00000000">
      <w:pPr>
        <w:pStyle w:val="4"/>
        <w:numPr>
          <w:ilvl w:val="3"/>
          <w:numId w:val="88"/>
        </w:numPr>
        <w:ind w:left="426" w:hanging="426"/>
      </w:pPr>
      <w:r>
        <w:rPr>
          <w:rFonts w:hint="eastAsia"/>
        </w:rPr>
        <w:t>商誉减值准备</w:t>
      </w:r>
    </w:p>
    <w:sdt>
      <w:sdtPr>
        <w:alias w:val="是否适用：商誉减值准备[双击切换]"/>
        <w:tag w:val="_GBC_6da4c3df55cf453f9753bb7045db7e9c"/>
        <w:id w:val="1644539532"/>
        <w:placeholder>
          <w:docPart w:val="GBC22222222222222222222222222222"/>
        </w:placeholder>
      </w:sdtPr>
      <w:sdtContent>
        <w:p w14:paraId="0FF75C9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FA76A2A" w14:textId="77777777" w:rsidR="005E000F" w:rsidRDefault="005E000F"/>
    <w:p w14:paraId="74A0A346" w14:textId="77777777" w:rsidR="005E000F" w:rsidRDefault="00000000">
      <w:pPr>
        <w:pStyle w:val="4"/>
        <w:numPr>
          <w:ilvl w:val="3"/>
          <w:numId w:val="88"/>
        </w:numPr>
        <w:ind w:left="426" w:hanging="426"/>
        <w:rPr>
          <w:rFonts w:ascii="宋体" w:eastAsia="宋体" w:hAnsi="宋体" w:cs="宋体"/>
          <w:kern w:val="0"/>
          <w:szCs w:val="24"/>
        </w:rPr>
      </w:pPr>
      <w:r>
        <w:rPr>
          <w:rFonts w:ascii="宋体" w:eastAsia="宋体" w:hAnsi="宋体" w:cs="宋体" w:hint="eastAsia"/>
          <w:kern w:val="0"/>
          <w:szCs w:val="24"/>
        </w:rPr>
        <w:t>商誉所在资产组或资产组组合的相关信息</w:t>
      </w:r>
    </w:p>
    <w:sdt>
      <w:sdtPr>
        <w:rPr>
          <w:rFonts w:hint="eastAsia"/>
        </w:rPr>
        <w:alias w:val="是否适用：商誉所在资产组或资产组组合的相关信息[双击切换]"/>
        <w:tag w:val="_GBC_119e2aba5afb45e0b1f50033345c80ee"/>
        <w:id w:val="899567404"/>
        <w:placeholder>
          <w:docPart w:val="GBC22222222222222222222222222222"/>
        </w:placeholder>
      </w:sdtPr>
      <w:sdtContent>
        <w:p w14:paraId="51A4A25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3F51C28" w14:textId="77777777" w:rsidR="005E000F" w:rsidRDefault="005E000F"/>
    <w:p w14:paraId="5D45EC9E" w14:textId="77777777" w:rsidR="005E000F" w:rsidRDefault="00000000">
      <w:bookmarkStart w:id="355" w:name="_Hlk153462880"/>
      <w:r>
        <w:rPr>
          <w:rFonts w:hint="eastAsia"/>
        </w:rPr>
        <w:t>资产组或资产组组合发生变化</w:t>
      </w:r>
    </w:p>
    <w:sdt>
      <w:sdtPr>
        <w:alias w:val="是否适用：资产组或资产组组合发生变化[双击切换]"/>
        <w:tag w:val="_GBC_31d9e35c99cb43c2ad1aced4a6a40606"/>
        <w:id w:val="-1492326115"/>
        <w:placeholder>
          <w:docPart w:val="GBC22222222222222222222222222222"/>
        </w:placeholder>
      </w:sdtPr>
      <w:sdtContent>
        <w:p w14:paraId="5E934B2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3B7FF1F" w14:textId="77777777" w:rsidR="005E000F" w:rsidRDefault="005E000F"/>
    <w:p w14:paraId="54C3392D" w14:textId="77777777" w:rsidR="005E000F" w:rsidRDefault="00000000">
      <w:bookmarkStart w:id="356" w:name="_Hlk152948734"/>
      <w:bookmarkEnd w:id="355"/>
      <w:r>
        <w:rPr>
          <w:rFonts w:hint="eastAsia"/>
        </w:rPr>
        <w:t>其他说明：</w:t>
      </w:r>
    </w:p>
    <w:sdt>
      <w:sdtPr>
        <w:alias w:val="是否适用：商誉所在资产组或资产组组合的相关信息其他说明[双击切换]"/>
        <w:tag w:val="_GBC_9f9bd4d9cf084d4594694aa545981d14"/>
        <w:id w:val="1530449758"/>
        <w:placeholder>
          <w:docPart w:val="GBC22222222222222222222222222222"/>
        </w:placeholder>
      </w:sdtPr>
      <w:sdtContent>
        <w:p w14:paraId="6075694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56"/>
    <w:p w14:paraId="1354EB9D" w14:textId="77777777" w:rsidR="005E000F" w:rsidRDefault="005E000F"/>
    <w:p w14:paraId="3BDFB490" w14:textId="77777777" w:rsidR="005E000F" w:rsidRDefault="00000000">
      <w:pPr>
        <w:pStyle w:val="4"/>
        <w:numPr>
          <w:ilvl w:val="3"/>
          <w:numId w:val="88"/>
        </w:numPr>
        <w:ind w:left="424" w:hangingChars="201" w:hanging="424"/>
      </w:pPr>
      <w:r>
        <w:rPr>
          <w:rFonts w:hint="eastAsia"/>
        </w:rPr>
        <w:t>可收回金额的具体确定方法</w:t>
      </w:r>
    </w:p>
    <w:p w14:paraId="101EB994" w14:textId="77777777" w:rsidR="005E000F" w:rsidRDefault="00000000">
      <w:bookmarkStart w:id="357" w:name="_Hlk153463075"/>
      <w:r>
        <w:rPr>
          <w:rFonts w:hint="eastAsia"/>
        </w:rPr>
        <w:t>可收回金额按公允价值减去处置费用后的净额确定</w:t>
      </w:r>
    </w:p>
    <w:sdt>
      <w:sdtPr>
        <w:alias w:val="是否适用：可收回金额按公允价值减去处置费用后的净额确定[双击切换]"/>
        <w:tag w:val="_GBC_0b6e879ad4b9460fa4cd105a6a6161a9"/>
        <w:id w:val="-388576805"/>
        <w:placeholder>
          <w:docPart w:val="GBC22222222222222222222222222222"/>
        </w:placeholder>
      </w:sdtPr>
      <w:sdtContent>
        <w:p w14:paraId="05C21E4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30FAC5D" w14:textId="77777777" w:rsidR="005E000F" w:rsidRDefault="005E000F"/>
    <w:p w14:paraId="0B540BDC" w14:textId="77777777" w:rsidR="005E000F" w:rsidRDefault="00000000">
      <w:r>
        <w:rPr>
          <w:rFonts w:hint="eastAsia"/>
        </w:rPr>
        <w:t>可收回金额按预计未来现金流量的现值确定</w:t>
      </w:r>
    </w:p>
    <w:sdt>
      <w:sdtPr>
        <w:rPr>
          <w:rFonts w:hint="eastAsia"/>
        </w:rPr>
        <w:alias w:val="是否适用：可收回金额按预计未来现金流量的现值确定[双击切换]"/>
        <w:tag w:val="_GBC_17189f5d61eb4932aa47036bc0a56c3c"/>
        <w:id w:val="1068533939"/>
        <w:placeholder>
          <w:docPart w:val="GBC22222222222222222222222222222"/>
        </w:placeholder>
      </w:sdtPr>
      <w:sdtContent>
        <w:p w14:paraId="3257A08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6B584CA" w14:textId="77777777" w:rsidR="005E000F" w:rsidRDefault="005E000F"/>
    <w:p w14:paraId="5CB427B7" w14:textId="77777777" w:rsidR="005E000F" w:rsidRDefault="00000000">
      <w:r>
        <w:rPr>
          <w:rFonts w:hint="eastAsia"/>
        </w:rPr>
        <w:t>前述信息与以前年度减值测试采用的信息或外部信息明显不一致的差异原因</w:t>
      </w:r>
    </w:p>
    <w:sdt>
      <w:sdtPr>
        <w:alias w:val="是否适用：前述信息与以前年度减值测试采用的信息或外部信息明显不一致的差异原因[双击切换]"/>
        <w:tag w:val="_GBC_6fedd0cb22e642148a39712dafed8ab2"/>
        <w:id w:val="2074389391"/>
        <w:placeholder>
          <w:docPart w:val="GBC22222222222222222222222222222"/>
        </w:placeholder>
      </w:sdtPr>
      <w:sdtContent>
        <w:p w14:paraId="0664700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62B4AA9" w14:textId="77777777" w:rsidR="005E000F" w:rsidRDefault="005E000F">
      <w:pPr>
        <w:snapToGrid w:val="0"/>
        <w:spacing w:line="240" w:lineRule="atLeast"/>
      </w:pPr>
    </w:p>
    <w:p w14:paraId="55DC081D" w14:textId="77777777" w:rsidR="005E000F" w:rsidRDefault="00000000">
      <w:r>
        <w:rPr>
          <w:rFonts w:hint="eastAsia"/>
        </w:rPr>
        <w:t>公司以前年度减值测试采用信息与当年实际情况明显不一致的差异原因</w:t>
      </w:r>
    </w:p>
    <w:sdt>
      <w:sdtPr>
        <w:alias w:val="是否适用：公司以前年度减值测试采用信息与当年实际情况明显不一致的差异原因[双击切换]"/>
        <w:tag w:val="_GBC_18d33f86a7b9452d90cad7f084f6d59d"/>
        <w:id w:val="83423637"/>
        <w:placeholder>
          <w:docPart w:val="GBC22222222222222222222222222222"/>
        </w:placeholder>
      </w:sdtPr>
      <w:sdtContent>
        <w:p w14:paraId="75302EC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7E835F" w14:textId="77777777" w:rsidR="005E000F" w:rsidRDefault="005E000F">
      <w:pPr>
        <w:snapToGrid w:val="0"/>
        <w:spacing w:line="240" w:lineRule="atLeast"/>
      </w:pPr>
    </w:p>
    <w:p w14:paraId="1482A4A9" w14:textId="77777777" w:rsidR="005E000F" w:rsidRDefault="00000000">
      <w:pPr>
        <w:pStyle w:val="4"/>
        <w:numPr>
          <w:ilvl w:val="3"/>
          <w:numId w:val="88"/>
        </w:numPr>
        <w:ind w:left="426" w:hanging="426"/>
        <w:rPr>
          <w:rFonts w:ascii="宋体" w:eastAsia="宋体" w:hAnsi="宋体" w:cs="宋体"/>
          <w:kern w:val="0"/>
          <w:szCs w:val="24"/>
        </w:rPr>
      </w:pPr>
      <w:bookmarkStart w:id="358" w:name="_Hlk153463443"/>
      <w:bookmarkEnd w:id="357"/>
      <w:r>
        <w:rPr>
          <w:rFonts w:ascii="宋体" w:eastAsia="宋体" w:hAnsi="宋体" w:cs="宋体" w:hint="eastAsia"/>
          <w:kern w:val="0"/>
          <w:szCs w:val="24"/>
        </w:rPr>
        <w:lastRenderedPageBreak/>
        <w:t>业绩承诺及对应商誉减值情况</w:t>
      </w:r>
    </w:p>
    <w:p w14:paraId="72F3B65E" w14:textId="77777777" w:rsidR="005E000F" w:rsidRDefault="00000000">
      <w:r>
        <w:rPr>
          <w:rFonts w:hint="eastAsia"/>
        </w:rPr>
        <w:t>形成商誉时存在业绩承诺</w:t>
      </w:r>
      <w:proofErr w:type="gramStart"/>
      <w:r>
        <w:rPr>
          <w:rFonts w:hint="eastAsia"/>
        </w:rPr>
        <w:t>且报告</w:t>
      </w:r>
      <w:proofErr w:type="gramEnd"/>
      <w:r>
        <w:rPr>
          <w:rFonts w:hint="eastAsia"/>
        </w:rPr>
        <w:t>期或报告期上一期间处于业绩承诺期内</w:t>
      </w:r>
    </w:p>
    <w:sdt>
      <w:sdtPr>
        <w:alias w:val="是否适用：业绩承诺完成及对应商誉减值情况[双击切换]"/>
        <w:tag w:val="_GBC_95d9b287a7584eabae736c33b656195c"/>
        <w:id w:val="1809127765"/>
        <w:placeholder>
          <w:docPart w:val="GBC22222222222222222222222222222"/>
        </w:placeholder>
      </w:sdtPr>
      <w:sdtContent>
        <w:p w14:paraId="0AA81F3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EC296E9" w14:textId="77777777" w:rsidR="005E000F" w:rsidRDefault="005E000F"/>
    <w:bookmarkEnd w:id="358"/>
    <w:p w14:paraId="3A24543E" w14:textId="77777777" w:rsidR="005E000F" w:rsidRDefault="00000000">
      <w:r>
        <w:rPr>
          <w:rFonts w:hint="eastAsia"/>
        </w:rPr>
        <w:t>其他说明：</w:t>
      </w:r>
    </w:p>
    <w:sdt>
      <w:sdtPr>
        <w:alias w:val="是否适用：商誉其他需要说明的事项[双击切换]"/>
        <w:tag w:val="_GBC_99f8ebd0cb464294bea4051ad19cf581"/>
        <w:id w:val="757951547"/>
        <w:placeholder>
          <w:docPart w:val="GBC22222222222222222222222222222"/>
        </w:placeholder>
      </w:sdtPr>
      <w:sdtContent>
        <w:p w14:paraId="1EC0A21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F165452" w14:textId="77777777" w:rsidR="005E000F" w:rsidRDefault="005E000F">
      <w:pPr>
        <w:snapToGrid w:val="0"/>
        <w:spacing w:line="240" w:lineRule="atLeast"/>
        <w:rPr>
          <w:rFonts w:cstheme="minorBidi"/>
          <w:kern w:val="2"/>
        </w:rPr>
      </w:pPr>
    </w:p>
    <w:p w14:paraId="76ADA813"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1164397278"/>
        <w:placeholder>
          <w:docPart w:val="GBC22222222222222222222222222222"/>
        </w:placeholder>
      </w:sdtPr>
      <w:sdtContent>
        <w:p w14:paraId="7F15DC6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4B482A2" w14:textId="77777777" w:rsidR="005E000F" w:rsidRDefault="00000000">
      <w:pPr>
        <w:jc w:val="right"/>
      </w:pPr>
      <w:r>
        <w:rPr>
          <w:rFonts w:hint="eastAsia"/>
        </w:rPr>
        <w:t>单位：</w:t>
      </w:r>
      <w:sdt>
        <w:sdtPr>
          <w:rPr>
            <w:rFonts w:hint="eastAsia"/>
          </w:rPr>
          <w:alias w:val="单位：财务附注：长期待摊费用"/>
          <w:tag w:val="_GBC_bcda40ca2da04d5da4a9e3293430f9ac"/>
          <w:id w:val="87898369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长期待摊费用"/>
          <w:tag w:val="_GBC_45bcea706579408d8f2a7cd4ab5ef115"/>
          <w:id w:val="4639250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1447"/>
        <w:gridCol w:w="1496"/>
        <w:gridCol w:w="1496"/>
        <w:gridCol w:w="1496"/>
        <w:gridCol w:w="1520"/>
        <w:gridCol w:w="1590"/>
      </w:tblGrid>
      <w:tr w:rsidR="005E000F" w14:paraId="5457514C" w14:textId="77777777">
        <w:sdt>
          <w:sdtPr>
            <w:tag w:val="_PLD_d70e367624f544f28430d4fa9dc10540"/>
            <w:id w:val="-848251426"/>
          </w:sdtPr>
          <w:sdtContent>
            <w:tc>
              <w:tcPr>
                <w:tcW w:w="1447" w:type="dxa"/>
                <w:vAlign w:val="center"/>
              </w:tcPr>
              <w:p w14:paraId="1C042B0A" w14:textId="77777777" w:rsidR="005E000F" w:rsidRDefault="00000000">
                <w:pPr>
                  <w:jc w:val="center"/>
                </w:pPr>
                <w:r>
                  <w:rPr>
                    <w:rFonts w:hint="eastAsia"/>
                  </w:rPr>
                  <w:t>项目</w:t>
                </w:r>
              </w:p>
            </w:tc>
          </w:sdtContent>
        </w:sdt>
        <w:sdt>
          <w:sdtPr>
            <w:tag w:val="_PLD_e9e93178bf6e4ae6b25e934d80cadf90"/>
            <w:id w:val="1600833008"/>
          </w:sdtPr>
          <w:sdtContent>
            <w:tc>
              <w:tcPr>
                <w:tcW w:w="1496" w:type="dxa"/>
                <w:vAlign w:val="center"/>
              </w:tcPr>
              <w:p w14:paraId="66F3DC39" w14:textId="77777777" w:rsidR="005E000F" w:rsidRDefault="00000000">
                <w:pPr>
                  <w:jc w:val="center"/>
                </w:pPr>
                <w:r>
                  <w:rPr>
                    <w:rFonts w:hint="eastAsia"/>
                  </w:rPr>
                  <w:t>期初余额</w:t>
                </w:r>
              </w:p>
            </w:tc>
          </w:sdtContent>
        </w:sdt>
        <w:sdt>
          <w:sdtPr>
            <w:tag w:val="_PLD_b0304019406b49bba87fd5d26e9e77a3"/>
            <w:id w:val="-308321155"/>
          </w:sdtPr>
          <w:sdtContent>
            <w:tc>
              <w:tcPr>
                <w:tcW w:w="1496" w:type="dxa"/>
                <w:vAlign w:val="center"/>
              </w:tcPr>
              <w:p w14:paraId="34545C63" w14:textId="77777777" w:rsidR="005E000F" w:rsidRDefault="00000000">
                <w:pPr>
                  <w:jc w:val="center"/>
                </w:pPr>
                <w:r>
                  <w:rPr>
                    <w:rFonts w:hint="eastAsia"/>
                  </w:rPr>
                  <w:t>本期增加金额</w:t>
                </w:r>
              </w:p>
            </w:tc>
          </w:sdtContent>
        </w:sdt>
        <w:sdt>
          <w:sdtPr>
            <w:tag w:val="_PLD_e1350bea96cf4f45a6200cab08f11722"/>
            <w:id w:val="1898544321"/>
          </w:sdtPr>
          <w:sdtContent>
            <w:tc>
              <w:tcPr>
                <w:tcW w:w="1496" w:type="dxa"/>
                <w:vAlign w:val="center"/>
              </w:tcPr>
              <w:p w14:paraId="2369081A" w14:textId="77777777" w:rsidR="005E000F" w:rsidRDefault="00000000">
                <w:pPr>
                  <w:jc w:val="center"/>
                </w:pPr>
                <w:r>
                  <w:rPr>
                    <w:rFonts w:hint="eastAsia"/>
                  </w:rPr>
                  <w:t>本期摊销金额</w:t>
                </w:r>
              </w:p>
            </w:tc>
          </w:sdtContent>
        </w:sdt>
        <w:sdt>
          <w:sdtPr>
            <w:tag w:val="_PLD_dd7c0d5ab3334691b3e0047d34ecb634"/>
            <w:id w:val="1431856343"/>
          </w:sdtPr>
          <w:sdtContent>
            <w:tc>
              <w:tcPr>
                <w:tcW w:w="1520" w:type="dxa"/>
                <w:vAlign w:val="center"/>
              </w:tcPr>
              <w:p w14:paraId="0F688186" w14:textId="77777777" w:rsidR="005E000F" w:rsidRDefault="00000000">
                <w:pPr>
                  <w:jc w:val="center"/>
                </w:pPr>
                <w:r>
                  <w:rPr>
                    <w:rFonts w:hint="eastAsia"/>
                  </w:rPr>
                  <w:t>其他减少金额</w:t>
                </w:r>
              </w:p>
            </w:tc>
          </w:sdtContent>
        </w:sdt>
        <w:sdt>
          <w:sdtPr>
            <w:tag w:val="_PLD_3ab32d124e7942f1b1f82c0287c9220f"/>
            <w:id w:val="-334460647"/>
          </w:sdtPr>
          <w:sdtContent>
            <w:tc>
              <w:tcPr>
                <w:tcW w:w="1590" w:type="dxa"/>
                <w:vAlign w:val="center"/>
              </w:tcPr>
              <w:p w14:paraId="373DAE5F" w14:textId="77777777" w:rsidR="005E000F" w:rsidRDefault="00000000">
                <w:pPr>
                  <w:jc w:val="center"/>
                </w:pPr>
                <w:r>
                  <w:rPr>
                    <w:rFonts w:hint="eastAsia"/>
                  </w:rPr>
                  <w:t>期末余额</w:t>
                </w:r>
              </w:p>
            </w:tc>
          </w:sdtContent>
        </w:sdt>
      </w:tr>
      <w:tr w:rsidR="005E000F" w14:paraId="26B3CBCA" w14:textId="77777777">
        <w:tc>
          <w:tcPr>
            <w:tcW w:w="1447" w:type="dxa"/>
            <w:vAlign w:val="center"/>
          </w:tcPr>
          <w:p w14:paraId="34D6A1D5" w14:textId="77777777" w:rsidR="005E000F" w:rsidRDefault="00000000">
            <w:r>
              <w:rPr>
                <w:rFonts w:hint="eastAsia"/>
              </w:rPr>
              <w:t>经营租赁</w:t>
            </w:r>
            <w:r>
              <w:t>改良支出等</w:t>
            </w:r>
          </w:p>
        </w:tc>
        <w:tc>
          <w:tcPr>
            <w:tcW w:w="1496" w:type="dxa"/>
            <w:vAlign w:val="center"/>
          </w:tcPr>
          <w:p w14:paraId="290B3E53" w14:textId="77777777" w:rsidR="005E000F" w:rsidRDefault="00000000">
            <w:pPr>
              <w:jc w:val="right"/>
            </w:pPr>
            <w:r>
              <w:t>157,142,415</w:t>
            </w:r>
          </w:p>
        </w:tc>
        <w:tc>
          <w:tcPr>
            <w:tcW w:w="1496" w:type="dxa"/>
            <w:vAlign w:val="center"/>
          </w:tcPr>
          <w:p w14:paraId="2F62B6BE" w14:textId="77777777" w:rsidR="005E000F" w:rsidRDefault="00000000">
            <w:pPr>
              <w:jc w:val="right"/>
            </w:pPr>
            <w:r>
              <w:t>93,651,639</w:t>
            </w:r>
          </w:p>
        </w:tc>
        <w:tc>
          <w:tcPr>
            <w:tcW w:w="1496" w:type="dxa"/>
            <w:vAlign w:val="center"/>
          </w:tcPr>
          <w:p w14:paraId="79096086" w14:textId="77777777" w:rsidR="005E000F" w:rsidRDefault="00000000">
            <w:pPr>
              <w:jc w:val="right"/>
            </w:pPr>
            <w:r>
              <w:t>132,589,944</w:t>
            </w:r>
          </w:p>
        </w:tc>
        <w:tc>
          <w:tcPr>
            <w:tcW w:w="1520" w:type="dxa"/>
            <w:vAlign w:val="center"/>
          </w:tcPr>
          <w:p w14:paraId="77C8FC26" w14:textId="77777777" w:rsidR="005E000F" w:rsidRDefault="00000000">
            <w:pPr>
              <w:jc w:val="right"/>
            </w:pPr>
            <w:r>
              <w:t>0</w:t>
            </w:r>
          </w:p>
        </w:tc>
        <w:tc>
          <w:tcPr>
            <w:tcW w:w="1590" w:type="dxa"/>
            <w:vAlign w:val="center"/>
          </w:tcPr>
          <w:p w14:paraId="747E273A" w14:textId="77777777" w:rsidR="005E000F" w:rsidRDefault="00000000">
            <w:pPr>
              <w:jc w:val="right"/>
            </w:pPr>
            <w:r>
              <w:t>118,204,110</w:t>
            </w:r>
          </w:p>
        </w:tc>
      </w:tr>
      <w:tr w:rsidR="005E000F" w14:paraId="5D934E6C" w14:textId="77777777">
        <w:tc>
          <w:tcPr>
            <w:tcW w:w="1447" w:type="dxa"/>
            <w:vAlign w:val="center"/>
          </w:tcPr>
          <w:p w14:paraId="5A9DD7A0" w14:textId="77777777" w:rsidR="005E000F" w:rsidRDefault="00000000">
            <w:pPr>
              <w:jc w:val="center"/>
            </w:pPr>
            <w:r>
              <w:rPr>
                <w:rFonts w:hint="eastAsia"/>
              </w:rPr>
              <w:t>合计</w:t>
            </w:r>
          </w:p>
        </w:tc>
        <w:tc>
          <w:tcPr>
            <w:tcW w:w="1496" w:type="dxa"/>
            <w:vAlign w:val="center"/>
          </w:tcPr>
          <w:p w14:paraId="74660DC2" w14:textId="77777777" w:rsidR="005E000F" w:rsidRDefault="00000000">
            <w:pPr>
              <w:jc w:val="right"/>
            </w:pPr>
            <w:r>
              <w:t>157,142,415</w:t>
            </w:r>
          </w:p>
        </w:tc>
        <w:tc>
          <w:tcPr>
            <w:tcW w:w="1496" w:type="dxa"/>
            <w:vAlign w:val="center"/>
          </w:tcPr>
          <w:p w14:paraId="0A2AB641" w14:textId="77777777" w:rsidR="005E000F" w:rsidRDefault="00000000">
            <w:pPr>
              <w:jc w:val="right"/>
            </w:pPr>
            <w:r>
              <w:t>93,651,639</w:t>
            </w:r>
          </w:p>
        </w:tc>
        <w:tc>
          <w:tcPr>
            <w:tcW w:w="1496" w:type="dxa"/>
            <w:vAlign w:val="center"/>
          </w:tcPr>
          <w:p w14:paraId="239E88F2" w14:textId="77777777" w:rsidR="005E000F" w:rsidRDefault="00000000">
            <w:pPr>
              <w:jc w:val="right"/>
            </w:pPr>
            <w:r>
              <w:t>132,589,944</w:t>
            </w:r>
          </w:p>
        </w:tc>
        <w:tc>
          <w:tcPr>
            <w:tcW w:w="1520" w:type="dxa"/>
            <w:vAlign w:val="center"/>
          </w:tcPr>
          <w:p w14:paraId="13F881A3" w14:textId="77777777" w:rsidR="005E000F" w:rsidRDefault="00000000">
            <w:pPr>
              <w:jc w:val="right"/>
            </w:pPr>
            <w:r>
              <w:t>0</w:t>
            </w:r>
          </w:p>
        </w:tc>
        <w:tc>
          <w:tcPr>
            <w:tcW w:w="1590" w:type="dxa"/>
            <w:vAlign w:val="center"/>
          </w:tcPr>
          <w:p w14:paraId="3F91F5E6" w14:textId="77777777" w:rsidR="005E000F" w:rsidRDefault="00000000">
            <w:pPr>
              <w:jc w:val="right"/>
            </w:pPr>
            <w:r>
              <w:t>118,204,110</w:t>
            </w:r>
          </w:p>
        </w:tc>
      </w:tr>
    </w:tbl>
    <w:p w14:paraId="77346537" w14:textId="77777777" w:rsidR="005E000F" w:rsidRDefault="00000000">
      <w:r>
        <w:rPr>
          <w:rFonts w:hint="eastAsia"/>
        </w:rPr>
        <w:t>其他说明：</w:t>
      </w:r>
    </w:p>
    <w:sdt>
      <w:sdtPr>
        <w:alias w:val="长期待摊费用的说明"/>
        <w:tag w:val="_GBC_c30bd5dcf50e4808a29b1b204a96f4c2"/>
        <w:id w:val="-545140057"/>
        <w:placeholder>
          <w:docPart w:val="GBC22222222222222222222222222222"/>
        </w:placeholder>
      </w:sdtPr>
      <w:sdtContent>
        <w:p w14:paraId="301BE2F9" w14:textId="77777777" w:rsidR="005E000F" w:rsidRDefault="00000000">
          <w:r>
            <w:rPr>
              <w:rFonts w:hint="eastAsia"/>
            </w:rPr>
            <w:t>无</w:t>
          </w:r>
        </w:p>
      </w:sdtContent>
    </w:sdt>
    <w:p w14:paraId="38DF24D4" w14:textId="77777777" w:rsidR="005E000F" w:rsidRDefault="005E000F"/>
    <w:p w14:paraId="63949F99"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递延所得税资产/ 递延所得税负债</w:t>
      </w:r>
    </w:p>
    <w:p w14:paraId="57BB8E77" w14:textId="77777777" w:rsidR="005E000F" w:rsidRDefault="00000000">
      <w:pPr>
        <w:pStyle w:val="4"/>
        <w:numPr>
          <w:ilvl w:val="0"/>
          <w:numId w:val="89"/>
        </w:numPr>
        <w:ind w:left="426" w:hanging="426"/>
      </w:pPr>
      <w:bookmarkStart w:id="359" w:name="_Toc215903151"/>
      <w:bookmarkStart w:id="360" w:name="_Hlk24103450"/>
      <w:r>
        <w:rPr>
          <w:rFonts w:hint="eastAsia"/>
        </w:rPr>
        <w:t>未经</w:t>
      </w:r>
      <w:proofErr w:type="gramStart"/>
      <w:r>
        <w:rPr>
          <w:rFonts w:hint="eastAsia"/>
        </w:rPr>
        <w:t>抵销</w:t>
      </w:r>
      <w:proofErr w:type="gramEnd"/>
      <w:r>
        <w:rPr>
          <w:rFonts w:hint="eastAsia"/>
        </w:rPr>
        <w:t>的递延所得税资产</w:t>
      </w:r>
    </w:p>
    <w:sdt>
      <w:sdtPr>
        <w:alias w:val="是否适用：未经抵销的递延所得税资产[双击切换]"/>
        <w:tag w:val="_GBC_ba4415ee4af24efe852073192d94c115"/>
        <w:id w:val="-1405686814"/>
        <w:placeholder>
          <w:docPart w:val="GBC22222222222222222222222222222"/>
        </w:placeholder>
      </w:sdtPr>
      <w:sdtContent>
        <w:p w14:paraId="51555BE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2B44DC4" w14:textId="77777777" w:rsidR="005E000F" w:rsidRDefault="00000000">
      <w:pPr>
        <w:jc w:val="right"/>
      </w:pPr>
      <w:r>
        <w:rPr>
          <w:rFonts w:hint="eastAsia"/>
        </w:rPr>
        <w:t>单位：</w:t>
      </w:r>
      <w:sdt>
        <w:sdtPr>
          <w:rPr>
            <w:rFonts w:hint="eastAsia"/>
          </w:rPr>
          <w:alias w:val="单位：财务附注：已确认的递延所得税资产和递延所得税负债"/>
          <w:tag w:val="_GBC_39a9c92575cb4f1c9a029fb2f64168e5"/>
          <w:id w:val="-17035419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bookmarkEnd w:id="359"/>
      <w:sdt>
        <w:sdtPr>
          <w:rPr>
            <w:rFonts w:hint="eastAsia"/>
          </w:rPr>
          <w:alias w:val="币种：财务附注：已确认的递延所得税资产和递延所得税负债"/>
          <w:tag w:val="_GBC_33d1ac52f1ce463294fce1044445d46f"/>
          <w:id w:val="-1542323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3"/>
        <w:gridCol w:w="1650"/>
        <w:gridCol w:w="1648"/>
        <w:gridCol w:w="1663"/>
        <w:gridCol w:w="1646"/>
      </w:tblGrid>
      <w:tr w:rsidR="005E000F" w14:paraId="0E17D523" w14:textId="77777777">
        <w:trPr>
          <w:trHeight w:val="283"/>
        </w:trPr>
        <w:sdt>
          <w:sdtPr>
            <w:tag w:val="_PLD_e006c9e7b70844cd8ef6f2cbb5161589"/>
            <w:id w:val="-1251262514"/>
          </w:sdtPr>
          <w:sdtContent>
            <w:tc>
              <w:tcPr>
                <w:tcW w:w="2443" w:type="dxa"/>
                <w:vMerge w:val="restart"/>
                <w:vAlign w:val="center"/>
              </w:tcPr>
              <w:p w14:paraId="6A183AA8" w14:textId="77777777" w:rsidR="005E000F" w:rsidRDefault="00000000">
                <w:pPr>
                  <w:jc w:val="center"/>
                </w:pPr>
                <w:r>
                  <w:rPr>
                    <w:rFonts w:hint="eastAsia"/>
                  </w:rPr>
                  <w:t>项目</w:t>
                </w:r>
              </w:p>
            </w:tc>
          </w:sdtContent>
        </w:sdt>
        <w:sdt>
          <w:sdtPr>
            <w:tag w:val="_PLD_9380d941020241f39819205f4df8c355"/>
            <w:id w:val="497155560"/>
          </w:sdtPr>
          <w:sdtContent>
            <w:tc>
              <w:tcPr>
                <w:tcW w:w="3298" w:type="dxa"/>
                <w:gridSpan w:val="2"/>
                <w:vAlign w:val="center"/>
              </w:tcPr>
              <w:p w14:paraId="3E8F32CC" w14:textId="77777777" w:rsidR="005E000F" w:rsidRDefault="00000000">
                <w:pPr>
                  <w:jc w:val="center"/>
                </w:pPr>
                <w:r>
                  <w:rPr>
                    <w:rFonts w:hint="eastAsia"/>
                  </w:rPr>
                  <w:t>期末余额</w:t>
                </w:r>
              </w:p>
            </w:tc>
          </w:sdtContent>
        </w:sdt>
        <w:sdt>
          <w:sdtPr>
            <w:tag w:val="_PLD_40d587838e534f37a8f9a9e7e2020671"/>
            <w:id w:val="635075076"/>
          </w:sdtPr>
          <w:sdtContent>
            <w:tc>
              <w:tcPr>
                <w:tcW w:w="3309" w:type="dxa"/>
                <w:gridSpan w:val="2"/>
                <w:vAlign w:val="center"/>
              </w:tcPr>
              <w:p w14:paraId="169C87F1" w14:textId="77777777" w:rsidR="005E000F" w:rsidRDefault="00000000">
                <w:pPr>
                  <w:jc w:val="center"/>
                </w:pPr>
                <w:r>
                  <w:rPr>
                    <w:rFonts w:hint="eastAsia"/>
                  </w:rPr>
                  <w:t>期初余额</w:t>
                </w:r>
              </w:p>
            </w:tc>
          </w:sdtContent>
        </w:sdt>
      </w:tr>
      <w:tr w:rsidR="005E000F" w14:paraId="02BE776E" w14:textId="77777777">
        <w:trPr>
          <w:trHeight w:val="283"/>
        </w:trPr>
        <w:tc>
          <w:tcPr>
            <w:tcW w:w="2443" w:type="dxa"/>
            <w:vMerge/>
            <w:vAlign w:val="center"/>
          </w:tcPr>
          <w:p w14:paraId="4358561D" w14:textId="77777777" w:rsidR="005E000F" w:rsidRDefault="005E000F">
            <w:pPr>
              <w:jc w:val="center"/>
              <w:rPr>
                <w:b/>
              </w:rPr>
            </w:pPr>
          </w:p>
        </w:tc>
        <w:sdt>
          <w:sdtPr>
            <w:tag w:val="_PLD_c239006a5e6040d58bedd94ab36e9784"/>
            <w:id w:val="1465850969"/>
          </w:sdtPr>
          <w:sdtContent>
            <w:tc>
              <w:tcPr>
                <w:tcW w:w="1650" w:type="dxa"/>
                <w:vAlign w:val="center"/>
              </w:tcPr>
              <w:p w14:paraId="2EEC6B6E" w14:textId="77777777" w:rsidR="005E000F" w:rsidRDefault="00000000">
                <w:pPr>
                  <w:jc w:val="center"/>
                </w:pPr>
                <w:r>
                  <w:rPr>
                    <w:rFonts w:hint="eastAsia"/>
                  </w:rPr>
                  <w:t>可抵扣暂时性差异</w:t>
                </w:r>
              </w:p>
            </w:tc>
          </w:sdtContent>
        </w:sdt>
        <w:sdt>
          <w:sdtPr>
            <w:tag w:val="_PLD_1559717fc58743e19a1e868ac528fbc0"/>
            <w:id w:val="-1023479272"/>
          </w:sdtPr>
          <w:sdtContent>
            <w:tc>
              <w:tcPr>
                <w:tcW w:w="1648" w:type="dxa"/>
                <w:vAlign w:val="center"/>
              </w:tcPr>
              <w:p w14:paraId="3EE22D15" w14:textId="77777777" w:rsidR="005E000F" w:rsidRDefault="00000000">
                <w:pPr>
                  <w:jc w:val="center"/>
                </w:pPr>
                <w:r>
                  <w:rPr>
                    <w:rFonts w:hint="eastAsia"/>
                  </w:rPr>
                  <w:t>递延所得税</w:t>
                </w:r>
              </w:p>
              <w:p w14:paraId="05E85B78" w14:textId="77777777" w:rsidR="005E000F" w:rsidRDefault="00000000">
                <w:pPr>
                  <w:jc w:val="center"/>
                </w:pPr>
                <w:r>
                  <w:rPr>
                    <w:rFonts w:hint="eastAsia"/>
                  </w:rPr>
                  <w:t>资产</w:t>
                </w:r>
              </w:p>
            </w:tc>
          </w:sdtContent>
        </w:sdt>
        <w:sdt>
          <w:sdtPr>
            <w:tag w:val="_PLD_de171afb73ff474dbccc47c2cec6d4f1"/>
            <w:id w:val="1833169406"/>
          </w:sdtPr>
          <w:sdtContent>
            <w:tc>
              <w:tcPr>
                <w:tcW w:w="1663" w:type="dxa"/>
                <w:vAlign w:val="center"/>
              </w:tcPr>
              <w:p w14:paraId="3E09C018" w14:textId="77777777" w:rsidR="005E000F" w:rsidRDefault="00000000">
                <w:pPr>
                  <w:jc w:val="center"/>
                </w:pPr>
                <w:r>
                  <w:rPr>
                    <w:rFonts w:hint="eastAsia"/>
                  </w:rPr>
                  <w:t>可抵扣暂时性差异</w:t>
                </w:r>
              </w:p>
            </w:tc>
          </w:sdtContent>
        </w:sdt>
        <w:sdt>
          <w:sdtPr>
            <w:tag w:val="_PLD_bafc90864e7347e5bb50ec31a5dffe05"/>
            <w:id w:val="456610050"/>
          </w:sdtPr>
          <w:sdtContent>
            <w:tc>
              <w:tcPr>
                <w:tcW w:w="1646" w:type="dxa"/>
                <w:vAlign w:val="center"/>
              </w:tcPr>
              <w:p w14:paraId="171B26B9" w14:textId="77777777" w:rsidR="005E000F" w:rsidRDefault="00000000">
                <w:pPr>
                  <w:jc w:val="center"/>
                </w:pPr>
                <w:r>
                  <w:rPr>
                    <w:rFonts w:hint="eastAsia"/>
                  </w:rPr>
                  <w:t>递延所得税</w:t>
                </w:r>
              </w:p>
              <w:p w14:paraId="07A93E0F" w14:textId="77777777" w:rsidR="005E000F" w:rsidRDefault="00000000">
                <w:pPr>
                  <w:jc w:val="center"/>
                </w:pPr>
                <w:r>
                  <w:rPr>
                    <w:rFonts w:hint="eastAsia"/>
                  </w:rPr>
                  <w:t>资产</w:t>
                </w:r>
              </w:p>
            </w:tc>
          </w:sdtContent>
        </w:sdt>
      </w:tr>
      <w:tr w:rsidR="005E000F" w14:paraId="38B3928D" w14:textId="77777777">
        <w:trPr>
          <w:trHeight w:val="283"/>
        </w:trPr>
        <w:tc>
          <w:tcPr>
            <w:tcW w:w="2443" w:type="dxa"/>
          </w:tcPr>
          <w:p w14:paraId="5FF8705B" w14:textId="77777777" w:rsidR="005E000F" w:rsidRDefault="00000000">
            <w:pPr>
              <w:rPr>
                <w:color w:val="000000" w:themeColor="text1"/>
                <w:lang w:eastAsia="en-US"/>
              </w:rPr>
            </w:pPr>
            <w:r>
              <w:rPr>
                <w:rFonts w:hint="eastAsia"/>
                <w:color w:val="000000" w:themeColor="text1"/>
              </w:rPr>
              <w:t>资产减值准备</w:t>
            </w:r>
          </w:p>
        </w:tc>
        <w:tc>
          <w:tcPr>
            <w:tcW w:w="1650" w:type="dxa"/>
            <w:vAlign w:val="center"/>
          </w:tcPr>
          <w:p w14:paraId="58FB3225" w14:textId="77777777" w:rsidR="005E000F" w:rsidRDefault="00000000">
            <w:pPr>
              <w:jc w:val="right"/>
            </w:pPr>
            <w:r>
              <w:t>133,328,135</w:t>
            </w:r>
          </w:p>
        </w:tc>
        <w:tc>
          <w:tcPr>
            <w:tcW w:w="1648" w:type="dxa"/>
            <w:vAlign w:val="center"/>
          </w:tcPr>
          <w:p w14:paraId="37BF932D" w14:textId="77777777" w:rsidR="005E000F" w:rsidRDefault="00000000">
            <w:pPr>
              <w:jc w:val="right"/>
            </w:pPr>
            <w:r>
              <w:t>33,332,034</w:t>
            </w:r>
          </w:p>
        </w:tc>
        <w:tc>
          <w:tcPr>
            <w:tcW w:w="1663" w:type="dxa"/>
            <w:vAlign w:val="center"/>
          </w:tcPr>
          <w:p w14:paraId="4B7E081A" w14:textId="77777777" w:rsidR="005E000F" w:rsidRDefault="00000000">
            <w:pPr>
              <w:jc w:val="right"/>
              <w:rPr>
                <w:lang w:eastAsia="en-US"/>
              </w:rPr>
            </w:pPr>
            <w:r>
              <w:t>180,416,243</w:t>
            </w:r>
          </w:p>
        </w:tc>
        <w:tc>
          <w:tcPr>
            <w:tcW w:w="1646" w:type="dxa"/>
            <w:vAlign w:val="center"/>
          </w:tcPr>
          <w:p w14:paraId="3D09B6B8" w14:textId="77777777" w:rsidR="005E000F" w:rsidRDefault="00000000">
            <w:pPr>
              <w:jc w:val="right"/>
              <w:rPr>
                <w:lang w:eastAsia="en-US"/>
              </w:rPr>
            </w:pPr>
            <w:r>
              <w:t>45,104,061</w:t>
            </w:r>
          </w:p>
        </w:tc>
      </w:tr>
      <w:tr w:rsidR="005E000F" w14:paraId="127793A2" w14:textId="77777777">
        <w:trPr>
          <w:trHeight w:val="283"/>
        </w:trPr>
        <w:tc>
          <w:tcPr>
            <w:tcW w:w="2443" w:type="dxa"/>
          </w:tcPr>
          <w:p w14:paraId="5C09FFAA" w14:textId="77777777" w:rsidR="005E000F" w:rsidRDefault="00000000">
            <w:pPr>
              <w:rPr>
                <w:color w:val="000000" w:themeColor="text1"/>
              </w:rPr>
            </w:pPr>
            <w:r>
              <w:rPr>
                <w:rFonts w:hint="eastAsia"/>
                <w:color w:val="000000" w:themeColor="text1"/>
              </w:rPr>
              <w:t>因目标业务固定资产评估增值可税前抵扣而确认的递延税项资产（注</w:t>
            </w:r>
            <w:r>
              <w:rPr>
                <w:rFonts w:hint="eastAsia"/>
                <w:color w:val="000000" w:themeColor="text1"/>
              </w:rPr>
              <w:t>1</w:t>
            </w:r>
            <w:r>
              <w:rPr>
                <w:rFonts w:hint="eastAsia"/>
                <w:color w:val="000000" w:themeColor="text1"/>
              </w:rPr>
              <w:t>）</w:t>
            </w:r>
          </w:p>
        </w:tc>
        <w:tc>
          <w:tcPr>
            <w:tcW w:w="1650" w:type="dxa"/>
            <w:vAlign w:val="center"/>
          </w:tcPr>
          <w:p w14:paraId="06A211CD" w14:textId="77777777" w:rsidR="005E000F" w:rsidRDefault="00000000">
            <w:pPr>
              <w:jc w:val="right"/>
            </w:pPr>
            <w:r>
              <w:t>3,945,862,639</w:t>
            </w:r>
          </w:p>
        </w:tc>
        <w:tc>
          <w:tcPr>
            <w:tcW w:w="1648" w:type="dxa"/>
            <w:vAlign w:val="center"/>
          </w:tcPr>
          <w:p w14:paraId="12918E50" w14:textId="77777777" w:rsidR="005E000F" w:rsidRDefault="00000000">
            <w:pPr>
              <w:jc w:val="right"/>
            </w:pPr>
            <w:r>
              <w:t>986,465,660</w:t>
            </w:r>
          </w:p>
        </w:tc>
        <w:tc>
          <w:tcPr>
            <w:tcW w:w="1663" w:type="dxa"/>
            <w:vAlign w:val="center"/>
          </w:tcPr>
          <w:p w14:paraId="750D464F" w14:textId="77777777" w:rsidR="005E000F" w:rsidRDefault="00000000">
            <w:pPr>
              <w:jc w:val="right"/>
              <w:rPr>
                <w:lang w:eastAsia="en-US"/>
              </w:rPr>
            </w:pPr>
            <w:r>
              <w:t>4,115,079,654</w:t>
            </w:r>
          </w:p>
        </w:tc>
        <w:tc>
          <w:tcPr>
            <w:tcW w:w="1646" w:type="dxa"/>
            <w:vAlign w:val="center"/>
          </w:tcPr>
          <w:p w14:paraId="194F4E32" w14:textId="77777777" w:rsidR="005E000F" w:rsidRDefault="00000000">
            <w:pPr>
              <w:jc w:val="right"/>
              <w:rPr>
                <w:lang w:eastAsia="en-US"/>
              </w:rPr>
            </w:pPr>
            <w:r>
              <w:t>1,028,769,914</w:t>
            </w:r>
          </w:p>
        </w:tc>
      </w:tr>
      <w:tr w:rsidR="005E000F" w14:paraId="2CE09FFA" w14:textId="77777777">
        <w:trPr>
          <w:trHeight w:val="283"/>
        </w:trPr>
        <w:tc>
          <w:tcPr>
            <w:tcW w:w="2443" w:type="dxa"/>
            <w:tcBorders>
              <w:bottom w:val="single" w:sz="4" w:space="0" w:color="auto"/>
            </w:tcBorders>
          </w:tcPr>
          <w:p w14:paraId="10675B90" w14:textId="77777777" w:rsidR="005E000F" w:rsidRDefault="00000000">
            <w:pPr>
              <w:rPr>
                <w:color w:val="000000" w:themeColor="text1"/>
              </w:rPr>
            </w:pPr>
            <w:r>
              <w:rPr>
                <w:rFonts w:hint="eastAsia"/>
                <w:color w:val="000000" w:themeColor="text1"/>
              </w:rPr>
              <w:t>因向子公司实物增资的资产评估增值可税前抵扣而确认的递延所得税资产</w:t>
            </w:r>
            <w:r>
              <w:rPr>
                <w:rFonts w:hint="eastAsia"/>
                <w:color w:val="000000" w:themeColor="text1"/>
              </w:rPr>
              <w:t xml:space="preserve"> </w:t>
            </w:r>
            <w:r>
              <w:rPr>
                <w:rFonts w:hint="eastAsia"/>
                <w:color w:val="000000" w:themeColor="text1"/>
              </w:rPr>
              <w:t>（注</w:t>
            </w:r>
            <w:r>
              <w:rPr>
                <w:rFonts w:hint="eastAsia"/>
                <w:color w:val="000000" w:themeColor="text1"/>
              </w:rPr>
              <w:t>2</w:t>
            </w:r>
            <w:r>
              <w:rPr>
                <w:rFonts w:hint="eastAsia"/>
                <w:color w:val="000000" w:themeColor="text1"/>
              </w:rPr>
              <w:t>）</w:t>
            </w:r>
          </w:p>
        </w:tc>
        <w:tc>
          <w:tcPr>
            <w:tcW w:w="1650" w:type="dxa"/>
            <w:vAlign w:val="center"/>
          </w:tcPr>
          <w:p w14:paraId="68304F25" w14:textId="77777777" w:rsidR="005E000F" w:rsidRDefault="00000000">
            <w:pPr>
              <w:jc w:val="right"/>
            </w:pPr>
            <w:r>
              <w:t>643,471,197</w:t>
            </w:r>
          </w:p>
        </w:tc>
        <w:tc>
          <w:tcPr>
            <w:tcW w:w="1648" w:type="dxa"/>
            <w:vAlign w:val="center"/>
          </w:tcPr>
          <w:p w14:paraId="20592240" w14:textId="77777777" w:rsidR="005E000F" w:rsidRDefault="00000000">
            <w:pPr>
              <w:jc w:val="right"/>
            </w:pPr>
            <w:r>
              <w:t>160,867,799</w:t>
            </w:r>
          </w:p>
        </w:tc>
        <w:tc>
          <w:tcPr>
            <w:tcW w:w="1663" w:type="dxa"/>
            <w:vAlign w:val="center"/>
          </w:tcPr>
          <w:p w14:paraId="1683A2A1" w14:textId="77777777" w:rsidR="005E000F" w:rsidRDefault="00000000">
            <w:pPr>
              <w:jc w:val="right"/>
              <w:rPr>
                <w:lang w:eastAsia="en-US"/>
              </w:rPr>
            </w:pPr>
            <w:r>
              <w:t>670,321,361</w:t>
            </w:r>
          </w:p>
        </w:tc>
        <w:tc>
          <w:tcPr>
            <w:tcW w:w="1646" w:type="dxa"/>
            <w:vAlign w:val="center"/>
          </w:tcPr>
          <w:p w14:paraId="5302C8DD" w14:textId="77777777" w:rsidR="005E000F" w:rsidRDefault="00000000">
            <w:pPr>
              <w:jc w:val="right"/>
              <w:rPr>
                <w:lang w:eastAsia="en-US"/>
              </w:rPr>
            </w:pPr>
            <w:r>
              <w:t>167,580,340</w:t>
            </w:r>
          </w:p>
        </w:tc>
      </w:tr>
      <w:tr w:rsidR="005E000F" w14:paraId="4A532B10" w14:textId="77777777">
        <w:trPr>
          <w:trHeight w:val="283"/>
        </w:trPr>
        <w:tc>
          <w:tcPr>
            <w:tcW w:w="2443" w:type="dxa"/>
          </w:tcPr>
          <w:p w14:paraId="4065FD8E" w14:textId="77777777" w:rsidR="005E000F" w:rsidRDefault="00000000">
            <w:pPr>
              <w:rPr>
                <w:color w:val="000000" w:themeColor="text1"/>
              </w:rPr>
            </w:pPr>
            <w:r>
              <w:rPr>
                <w:rFonts w:hint="eastAsia"/>
                <w:color w:val="000000" w:themeColor="text1"/>
              </w:rPr>
              <w:t>线路上部设备折旧差异</w:t>
            </w:r>
          </w:p>
        </w:tc>
        <w:tc>
          <w:tcPr>
            <w:tcW w:w="1650" w:type="dxa"/>
            <w:vAlign w:val="center"/>
          </w:tcPr>
          <w:p w14:paraId="23BD1238" w14:textId="77777777" w:rsidR="005E000F" w:rsidRDefault="00000000">
            <w:pPr>
              <w:jc w:val="right"/>
            </w:pPr>
            <w:r>
              <w:t>573,349,310</w:t>
            </w:r>
          </w:p>
        </w:tc>
        <w:tc>
          <w:tcPr>
            <w:tcW w:w="1648" w:type="dxa"/>
            <w:vAlign w:val="center"/>
          </w:tcPr>
          <w:p w14:paraId="2770BBD2" w14:textId="77777777" w:rsidR="005E000F" w:rsidRDefault="00000000">
            <w:pPr>
              <w:jc w:val="right"/>
            </w:pPr>
            <w:r>
              <w:t>143,337,328</w:t>
            </w:r>
          </w:p>
        </w:tc>
        <w:tc>
          <w:tcPr>
            <w:tcW w:w="1663" w:type="dxa"/>
            <w:vAlign w:val="center"/>
          </w:tcPr>
          <w:p w14:paraId="2AE23A16" w14:textId="77777777" w:rsidR="005E000F" w:rsidRDefault="00000000">
            <w:pPr>
              <w:jc w:val="right"/>
              <w:rPr>
                <w:lang w:eastAsia="en-US"/>
              </w:rPr>
            </w:pPr>
            <w:r>
              <w:t>501,286,432</w:t>
            </w:r>
          </w:p>
        </w:tc>
        <w:tc>
          <w:tcPr>
            <w:tcW w:w="1646" w:type="dxa"/>
            <w:vAlign w:val="center"/>
          </w:tcPr>
          <w:p w14:paraId="43DB2CD1" w14:textId="77777777" w:rsidR="005E000F" w:rsidRDefault="00000000">
            <w:pPr>
              <w:jc w:val="right"/>
              <w:rPr>
                <w:lang w:eastAsia="en-US"/>
              </w:rPr>
            </w:pPr>
            <w:r>
              <w:t>125,321,608</w:t>
            </w:r>
          </w:p>
        </w:tc>
      </w:tr>
      <w:tr w:rsidR="005E000F" w14:paraId="01F28164" w14:textId="77777777">
        <w:trPr>
          <w:trHeight w:val="283"/>
        </w:trPr>
        <w:tc>
          <w:tcPr>
            <w:tcW w:w="2443" w:type="dxa"/>
          </w:tcPr>
          <w:p w14:paraId="73A7D62F" w14:textId="77777777" w:rsidR="005E000F" w:rsidRDefault="00000000">
            <w:pPr>
              <w:rPr>
                <w:color w:val="000000" w:themeColor="text1"/>
                <w:lang w:eastAsia="en-US"/>
              </w:rPr>
            </w:pPr>
            <w:r>
              <w:rPr>
                <w:rFonts w:hint="eastAsia"/>
                <w:color w:val="000000" w:themeColor="text1"/>
              </w:rPr>
              <w:t>租赁负债</w:t>
            </w:r>
          </w:p>
        </w:tc>
        <w:tc>
          <w:tcPr>
            <w:tcW w:w="1650" w:type="dxa"/>
            <w:vAlign w:val="center"/>
          </w:tcPr>
          <w:p w14:paraId="08D0ACF5" w14:textId="77777777" w:rsidR="005E000F" w:rsidRDefault="00000000">
            <w:pPr>
              <w:jc w:val="right"/>
            </w:pPr>
            <w:r>
              <w:t>2,417,076,462</w:t>
            </w:r>
          </w:p>
        </w:tc>
        <w:tc>
          <w:tcPr>
            <w:tcW w:w="1648" w:type="dxa"/>
            <w:vAlign w:val="center"/>
          </w:tcPr>
          <w:p w14:paraId="4887EB6D" w14:textId="77777777" w:rsidR="005E000F" w:rsidRDefault="00000000">
            <w:pPr>
              <w:jc w:val="right"/>
            </w:pPr>
            <w:r>
              <w:t>604,269,116</w:t>
            </w:r>
          </w:p>
        </w:tc>
        <w:tc>
          <w:tcPr>
            <w:tcW w:w="1663" w:type="dxa"/>
            <w:vAlign w:val="center"/>
          </w:tcPr>
          <w:p w14:paraId="215F85D2" w14:textId="77777777" w:rsidR="005E000F" w:rsidRDefault="00000000">
            <w:pPr>
              <w:jc w:val="right"/>
              <w:rPr>
                <w:lang w:eastAsia="en-US"/>
              </w:rPr>
            </w:pPr>
            <w:r>
              <w:t>1,038,039,902</w:t>
            </w:r>
          </w:p>
        </w:tc>
        <w:tc>
          <w:tcPr>
            <w:tcW w:w="1646" w:type="dxa"/>
            <w:vAlign w:val="center"/>
          </w:tcPr>
          <w:p w14:paraId="689D9F3B" w14:textId="77777777" w:rsidR="005E000F" w:rsidRDefault="00000000">
            <w:pPr>
              <w:jc w:val="right"/>
              <w:rPr>
                <w:lang w:eastAsia="en-US"/>
              </w:rPr>
            </w:pPr>
            <w:r>
              <w:t>259,509,976</w:t>
            </w:r>
          </w:p>
        </w:tc>
      </w:tr>
      <w:tr w:rsidR="005E000F" w14:paraId="230ACC5D" w14:textId="77777777">
        <w:trPr>
          <w:trHeight w:val="283"/>
        </w:trPr>
        <w:tc>
          <w:tcPr>
            <w:tcW w:w="2443" w:type="dxa"/>
          </w:tcPr>
          <w:p w14:paraId="4F5A7C78" w14:textId="77777777" w:rsidR="005E000F" w:rsidRDefault="00000000">
            <w:pPr>
              <w:rPr>
                <w:color w:val="000000" w:themeColor="text1"/>
                <w:lang w:eastAsia="en-US"/>
              </w:rPr>
            </w:pPr>
            <w:r>
              <w:rPr>
                <w:rFonts w:hint="eastAsia"/>
                <w:color w:val="000000" w:themeColor="text1"/>
              </w:rPr>
              <w:t>其他</w:t>
            </w:r>
          </w:p>
        </w:tc>
        <w:tc>
          <w:tcPr>
            <w:tcW w:w="1650" w:type="dxa"/>
            <w:vAlign w:val="center"/>
          </w:tcPr>
          <w:p w14:paraId="5D65E8B4" w14:textId="77777777" w:rsidR="005E000F" w:rsidRDefault="00000000">
            <w:pPr>
              <w:jc w:val="right"/>
            </w:pPr>
            <w:r>
              <w:t>2,493,783,1</w:t>
            </w:r>
            <w:r>
              <w:rPr>
                <w:rFonts w:hint="eastAsia"/>
              </w:rPr>
              <w:t>59</w:t>
            </w:r>
          </w:p>
        </w:tc>
        <w:tc>
          <w:tcPr>
            <w:tcW w:w="1648" w:type="dxa"/>
            <w:vAlign w:val="center"/>
          </w:tcPr>
          <w:p w14:paraId="299D1B75" w14:textId="77777777" w:rsidR="005E000F" w:rsidRDefault="00000000">
            <w:pPr>
              <w:jc w:val="right"/>
            </w:pPr>
            <w:r>
              <w:t>623,445,79</w:t>
            </w:r>
            <w:r>
              <w:rPr>
                <w:rFonts w:hint="eastAsia"/>
              </w:rPr>
              <w:t>0</w:t>
            </w:r>
          </w:p>
        </w:tc>
        <w:tc>
          <w:tcPr>
            <w:tcW w:w="1663" w:type="dxa"/>
            <w:vAlign w:val="center"/>
          </w:tcPr>
          <w:p w14:paraId="0B3317B9" w14:textId="77777777" w:rsidR="005E000F" w:rsidRDefault="00000000">
            <w:pPr>
              <w:jc w:val="right"/>
              <w:rPr>
                <w:lang w:eastAsia="en-US"/>
              </w:rPr>
            </w:pPr>
            <w:r>
              <w:t>2,316,443,549</w:t>
            </w:r>
          </w:p>
        </w:tc>
        <w:tc>
          <w:tcPr>
            <w:tcW w:w="1646" w:type="dxa"/>
            <w:vAlign w:val="center"/>
          </w:tcPr>
          <w:p w14:paraId="4221BADF" w14:textId="77777777" w:rsidR="005E000F" w:rsidRDefault="00000000">
            <w:pPr>
              <w:jc w:val="right"/>
              <w:rPr>
                <w:lang w:eastAsia="en-US"/>
              </w:rPr>
            </w:pPr>
            <w:r>
              <w:t>579,110,886</w:t>
            </w:r>
          </w:p>
        </w:tc>
      </w:tr>
      <w:tr w:rsidR="005E000F" w14:paraId="71A85E1C" w14:textId="77777777">
        <w:trPr>
          <w:trHeight w:val="283"/>
        </w:trPr>
        <w:tc>
          <w:tcPr>
            <w:tcW w:w="2443" w:type="dxa"/>
            <w:vAlign w:val="center"/>
          </w:tcPr>
          <w:p w14:paraId="704ECCF8" w14:textId="77777777" w:rsidR="005E000F" w:rsidRDefault="00000000">
            <w:pPr>
              <w:jc w:val="center"/>
            </w:pPr>
            <w:r>
              <w:rPr>
                <w:rFonts w:hint="eastAsia"/>
              </w:rPr>
              <w:t>合计</w:t>
            </w:r>
          </w:p>
        </w:tc>
        <w:tc>
          <w:tcPr>
            <w:tcW w:w="1650" w:type="dxa"/>
            <w:vAlign w:val="center"/>
          </w:tcPr>
          <w:p w14:paraId="1A1A4759" w14:textId="77777777" w:rsidR="005E000F" w:rsidRDefault="00000000">
            <w:pPr>
              <w:jc w:val="right"/>
            </w:pPr>
            <w:r>
              <w:t>10,206,870,9</w:t>
            </w:r>
            <w:r>
              <w:rPr>
                <w:rFonts w:hint="eastAsia"/>
              </w:rPr>
              <w:t>02</w:t>
            </w:r>
          </w:p>
        </w:tc>
        <w:tc>
          <w:tcPr>
            <w:tcW w:w="1648" w:type="dxa"/>
            <w:vAlign w:val="center"/>
          </w:tcPr>
          <w:p w14:paraId="7D2FE18B" w14:textId="77777777" w:rsidR="005E000F" w:rsidRDefault="00000000">
            <w:pPr>
              <w:jc w:val="right"/>
            </w:pPr>
            <w:r>
              <w:t>2,551,717,72</w:t>
            </w:r>
            <w:r>
              <w:rPr>
                <w:rFonts w:hint="eastAsia"/>
              </w:rPr>
              <w:t>7</w:t>
            </w:r>
          </w:p>
        </w:tc>
        <w:tc>
          <w:tcPr>
            <w:tcW w:w="1663" w:type="dxa"/>
            <w:vAlign w:val="center"/>
          </w:tcPr>
          <w:p w14:paraId="30EC84E3" w14:textId="77777777" w:rsidR="005E000F" w:rsidRDefault="00000000">
            <w:pPr>
              <w:jc w:val="right"/>
              <w:rPr>
                <w:lang w:eastAsia="en-US"/>
              </w:rPr>
            </w:pPr>
            <w:r>
              <w:t>8,821,587,141</w:t>
            </w:r>
          </w:p>
        </w:tc>
        <w:tc>
          <w:tcPr>
            <w:tcW w:w="1646" w:type="dxa"/>
            <w:vAlign w:val="center"/>
          </w:tcPr>
          <w:p w14:paraId="7CB2C7CF" w14:textId="77777777" w:rsidR="005E000F" w:rsidRDefault="00000000">
            <w:pPr>
              <w:jc w:val="right"/>
              <w:rPr>
                <w:lang w:eastAsia="en-US"/>
              </w:rPr>
            </w:pPr>
            <w:r>
              <w:t>2,205,396,785</w:t>
            </w:r>
          </w:p>
        </w:tc>
      </w:tr>
    </w:tbl>
    <w:p w14:paraId="632F5992" w14:textId="77777777" w:rsidR="005E000F" w:rsidRDefault="005E000F"/>
    <w:p w14:paraId="2A8C2A8E" w14:textId="77777777" w:rsidR="005E000F" w:rsidRDefault="00000000">
      <w:pPr>
        <w:pStyle w:val="4"/>
        <w:numPr>
          <w:ilvl w:val="0"/>
          <w:numId w:val="89"/>
        </w:numPr>
        <w:ind w:left="426" w:hanging="426"/>
      </w:pPr>
      <w:r>
        <w:rPr>
          <w:rFonts w:hint="eastAsia"/>
        </w:rPr>
        <w:t>未经</w:t>
      </w:r>
      <w:proofErr w:type="gramStart"/>
      <w:r>
        <w:rPr>
          <w:rFonts w:hint="eastAsia"/>
        </w:rPr>
        <w:t>抵销</w:t>
      </w:r>
      <w:proofErr w:type="gramEnd"/>
      <w:r>
        <w:rPr>
          <w:rFonts w:hint="eastAsia"/>
        </w:rPr>
        <w:t>的递延所得税负债</w:t>
      </w:r>
    </w:p>
    <w:p w14:paraId="5E494E5E" w14:textId="77777777" w:rsidR="005E000F" w:rsidRDefault="00000000">
      <w:sdt>
        <w:sdtPr>
          <w:alias w:val="是否适用：未经抵销的递延所得税负债[双击切换]"/>
          <w:tag w:val="_GBC_e7d8f83d611d4464afa60fcd4c2b0690"/>
          <w:id w:val="-65427570"/>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3D50629C" w14:textId="77777777" w:rsidR="005E000F" w:rsidRDefault="00000000">
      <w:pPr>
        <w:jc w:val="right"/>
      </w:pPr>
      <w:r>
        <w:rPr>
          <w:rFonts w:hint="eastAsia"/>
        </w:rPr>
        <w:t>单位：</w:t>
      </w:r>
      <w:sdt>
        <w:sdtPr>
          <w:rPr>
            <w:rFonts w:hint="eastAsia"/>
          </w:rPr>
          <w:alias w:val="单位：财务附注：未经抵销的递延所得税负债"/>
          <w:tag w:val="_GBC_20c1fd2b551d429d888a1c48c5ee9c5a"/>
          <w:id w:val="147482489"/>
          <w:placeholder>
            <w:docPart w:val="{defc1f02-9569-48ee-9461-b701c3645561}"/>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未经抵销的递延所得税负债"/>
          <w:tag w:val="_GBC_e6ace91667794eff9d02520878b629f9"/>
          <w:id w:val="147479309"/>
          <w:placeholder>
            <w:docPart w:val="{defc1f02-9569-48ee-9461-b701c364556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pPr w:leftFromText="180" w:rightFromText="180" w:vertAnchor="text" w:horzAnchor="page" w:tblpX="1300" w:tblpY="1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4"/>
        <w:gridCol w:w="1675"/>
        <w:gridCol w:w="1665"/>
        <w:gridCol w:w="1657"/>
        <w:gridCol w:w="1676"/>
      </w:tblGrid>
      <w:tr w:rsidR="005E000F" w14:paraId="55279C5B" w14:textId="77777777">
        <w:trPr>
          <w:trHeight w:val="283"/>
        </w:trPr>
        <w:sdt>
          <w:sdtPr>
            <w:tag w:val="_PLD_e9bdb30dce784b4a9efd1b5efd6964fb"/>
            <w:id w:val="147479018"/>
          </w:sdtPr>
          <w:sdtContent>
            <w:tc>
              <w:tcPr>
                <w:tcW w:w="2374" w:type="dxa"/>
                <w:vMerge w:val="restart"/>
                <w:vAlign w:val="center"/>
              </w:tcPr>
              <w:p w14:paraId="4FE3DB2E" w14:textId="77777777" w:rsidR="005E000F" w:rsidRDefault="00000000">
                <w:pPr>
                  <w:jc w:val="center"/>
                </w:pPr>
                <w:r>
                  <w:rPr>
                    <w:rFonts w:hint="eastAsia"/>
                  </w:rPr>
                  <w:t>项目</w:t>
                </w:r>
              </w:p>
            </w:tc>
          </w:sdtContent>
        </w:sdt>
        <w:sdt>
          <w:sdtPr>
            <w:tag w:val="_PLD_600f3752c404468197724275bf44cd43"/>
            <w:id w:val="147463122"/>
          </w:sdtPr>
          <w:sdtContent>
            <w:tc>
              <w:tcPr>
                <w:tcW w:w="3340" w:type="dxa"/>
                <w:gridSpan w:val="2"/>
                <w:vAlign w:val="center"/>
              </w:tcPr>
              <w:p w14:paraId="735C4BC0" w14:textId="77777777" w:rsidR="005E000F" w:rsidRDefault="00000000">
                <w:pPr>
                  <w:jc w:val="center"/>
                </w:pPr>
                <w:r>
                  <w:rPr>
                    <w:rFonts w:hint="eastAsia"/>
                  </w:rPr>
                  <w:t>期末余额</w:t>
                </w:r>
              </w:p>
            </w:tc>
          </w:sdtContent>
        </w:sdt>
        <w:sdt>
          <w:sdtPr>
            <w:tag w:val="_PLD_7e4b2554e2544865b74424edbdb55d4b"/>
            <w:id w:val="147455123"/>
          </w:sdtPr>
          <w:sdtContent>
            <w:tc>
              <w:tcPr>
                <w:tcW w:w="3333" w:type="dxa"/>
                <w:gridSpan w:val="2"/>
                <w:vAlign w:val="center"/>
              </w:tcPr>
              <w:p w14:paraId="36D2EF00" w14:textId="77777777" w:rsidR="005E000F" w:rsidRDefault="00000000">
                <w:pPr>
                  <w:jc w:val="center"/>
                </w:pPr>
                <w:r>
                  <w:rPr>
                    <w:rFonts w:hint="eastAsia"/>
                  </w:rPr>
                  <w:t>期初余额</w:t>
                </w:r>
              </w:p>
            </w:tc>
          </w:sdtContent>
        </w:sdt>
      </w:tr>
      <w:tr w:rsidR="005E000F" w14:paraId="6E23A705" w14:textId="77777777">
        <w:trPr>
          <w:trHeight w:val="283"/>
        </w:trPr>
        <w:tc>
          <w:tcPr>
            <w:tcW w:w="2374" w:type="dxa"/>
            <w:vMerge/>
            <w:vAlign w:val="center"/>
          </w:tcPr>
          <w:p w14:paraId="6BA6223A" w14:textId="77777777" w:rsidR="005E000F" w:rsidRDefault="005E000F">
            <w:pPr>
              <w:jc w:val="center"/>
              <w:rPr>
                <w:b/>
              </w:rPr>
            </w:pPr>
          </w:p>
        </w:tc>
        <w:sdt>
          <w:sdtPr>
            <w:tag w:val="_PLD_2db432e06e184a41a8eb727ebb64ec40"/>
            <w:id w:val="147459447"/>
          </w:sdtPr>
          <w:sdtContent>
            <w:tc>
              <w:tcPr>
                <w:tcW w:w="1675" w:type="dxa"/>
                <w:vAlign w:val="center"/>
              </w:tcPr>
              <w:p w14:paraId="5F7BFCBC" w14:textId="77777777" w:rsidR="005E000F" w:rsidRDefault="00000000">
                <w:pPr>
                  <w:jc w:val="center"/>
                </w:pPr>
                <w:r>
                  <w:rPr>
                    <w:rFonts w:ascii="Arial" w:hAnsi="Arial" w:hint="eastAsia"/>
                  </w:rPr>
                  <w:t>应纳税暂时性差异</w:t>
                </w:r>
              </w:p>
            </w:tc>
          </w:sdtContent>
        </w:sdt>
        <w:sdt>
          <w:sdtPr>
            <w:tag w:val="_PLD_b3dd3e66f628452aab8284dc189a458b"/>
            <w:id w:val="147459494"/>
          </w:sdtPr>
          <w:sdtContent>
            <w:tc>
              <w:tcPr>
                <w:tcW w:w="1665" w:type="dxa"/>
                <w:vAlign w:val="center"/>
              </w:tcPr>
              <w:p w14:paraId="329BA744" w14:textId="77777777" w:rsidR="005E000F" w:rsidRDefault="00000000">
                <w:pPr>
                  <w:jc w:val="center"/>
                </w:pPr>
                <w:r>
                  <w:rPr>
                    <w:rFonts w:hint="eastAsia"/>
                  </w:rPr>
                  <w:t>递延所得税</w:t>
                </w:r>
              </w:p>
              <w:p w14:paraId="186CB5EB" w14:textId="77777777" w:rsidR="005E000F" w:rsidRDefault="00000000">
                <w:pPr>
                  <w:jc w:val="center"/>
                </w:pPr>
                <w:r>
                  <w:rPr>
                    <w:rFonts w:hint="eastAsia"/>
                  </w:rPr>
                  <w:t>负债</w:t>
                </w:r>
              </w:p>
            </w:tc>
          </w:sdtContent>
        </w:sdt>
        <w:sdt>
          <w:sdtPr>
            <w:tag w:val="_PLD_3e69493cf6a2462eab1eaf8ece87a89d"/>
            <w:id w:val="147476376"/>
          </w:sdtPr>
          <w:sdtContent>
            <w:tc>
              <w:tcPr>
                <w:tcW w:w="1657" w:type="dxa"/>
                <w:vAlign w:val="center"/>
              </w:tcPr>
              <w:p w14:paraId="1D8BC686" w14:textId="77777777" w:rsidR="005E000F" w:rsidRDefault="00000000">
                <w:pPr>
                  <w:jc w:val="center"/>
                </w:pPr>
                <w:r>
                  <w:rPr>
                    <w:rFonts w:ascii="Arial" w:hAnsi="Arial" w:hint="eastAsia"/>
                  </w:rPr>
                  <w:t>应纳税暂时性差异</w:t>
                </w:r>
              </w:p>
            </w:tc>
          </w:sdtContent>
        </w:sdt>
        <w:sdt>
          <w:sdtPr>
            <w:tag w:val="_PLD_ad4c3389a4a04a96990ace5203f3adbb"/>
            <w:id w:val="147452185"/>
          </w:sdtPr>
          <w:sdtContent>
            <w:tc>
              <w:tcPr>
                <w:tcW w:w="1676" w:type="dxa"/>
                <w:vAlign w:val="center"/>
              </w:tcPr>
              <w:p w14:paraId="164BC777" w14:textId="77777777" w:rsidR="005E000F" w:rsidRDefault="00000000">
                <w:pPr>
                  <w:jc w:val="center"/>
                </w:pPr>
                <w:r>
                  <w:rPr>
                    <w:rFonts w:hint="eastAsia"/>
                  </w:rPr>
                  <w:t>递延所得税</w:t>
                </w:r>
              </w:p>
              <w:p w14:paraId="742FF053" w14:textId="77777777" w:rsidR="005E000F" w:rsidRDefault="00000000">
                <w:pPr>
                  <w:jc w:val="center"/>
                </w:pPr>
                <w:r>
                  <w:rPr>
                    <w:rFonts w:hint="eastAsia"/>
                  </w:rPr>
                  <w:t>负债</w:t>
                </w:r>
              </w:p>
            </w:tc>
          </w:sdtContent>
        </w:sdt>
      </w:tr>
      <w:tr w:rsidR="005E000F" w14:paraId="03B64641" w14:textId="77777777">
        <w:trPr>
          <w:trHeight w:val="283"/>
        </w:trPr>
        <w:tc>
          <w:tcPr>
            <w:tcW w:w="2374" w:type="dxa"/>
          </w:tcPr>
          <w:p w14:paraId="68CB6938" w14:textId="77777777" w:rsidR="005E000F" w:rsidRDefault="00000000">
            <w:pPr>
              <w:rPr>
                <w:color w:val="000000" w:themeColor="text1"/>
              </w:rPr>
            </w:pPr>
            <w:r>
              <w:rPr>
                <w:rFonts w:hint="eastAsia"/>
                <w:color w:val="000000" w:themeColor="text1"/>
              </w:rPr>
              <w:t>其他权益工具投资公允价值变动</w:t>
            </w:r>
          </w:p>
        </w:tc>
        <w:tc>
          <w:tcPr>
            <w:tcW w:w="1675" w:type="dxa"/>
            <w:vAlign w:val="center"/>
          </w:tcPr>
          <w:p w14:paraId="5E9073AA" w14:textId="77777777" w:rsidR="005E000F" w:rsidRDefault="00000000">
            <w:pPr>
              <w:jc w:val="right"/>
            </w:pPr>
            <w:r>
              <w:t>84,038,803</w:t>
            </w:r>
          </w:p>
        </w:tc>
        <w:tc>
          <w:tcPr>
            <w:tcW w:w="1665" w:type="dxa"/>
            <w:vAlign w:val="center"/>
          </w:tcPr>
          <w:p w14:paraId="66B2374B" w14:textId="77777777" w:rsidR="005E000F" w:rsidRDefault="00000000">
            <w:pPr>
              <w:jc w:val="right"/>
            </w:pPr>
            <w:r>
              <w:t>21,009,701</w:t>
            </w:r>
          </w:p>
        </w:tc>
        <w:tc>
          <w:tcPr>
            <w:tcW w:w="1657" w:type="dxa"/>
            <w:vAlign w:val="center"/>
          </w:tcPr>
          <w:p w14:paraId="5E001FB8" w14:textId="77777777" w:rsidR="005E000F" w:rsidRDefault="00000000">
            <w:pPr>
              <w:jc w:val="right"/>
              <w:rPr>
                <w:lang w:eastAsia="en-US"/>
              </w:rPr>
            </w:pPr>
            <w:r>
              <w:t>78,053,803</w:t>
            </w:r>
          </w:p>
        </w:tc>
        <w:tc>
          <w:tcPr>
            <w:tcW w:w="1676" w:type="dxa"/>
            <w:vAlign w:val="center"/>
          </w:tcPr>
          <w:p w14:paraId="45CDD020" w14:textId="77777777" w:rsidR="005E000F" w:rsidRDefault="00000000">
            <w:pPr>
              <w:jc w:val="right"/>
              <w:rPr>
                <w:lang w:eastAsia="en-US"/>
              </w:rPr>
            </w:pPr>
            <w:r>
              <w:t>19,513,451</w:t>
            </w:r>
          </w:p>
        </w:tc>
      </w:tr>
      <w:tr w:rsidR="005E000F" w14:paraId="0DC179CB" w14:textId="77777777">
        <w:trPr>
          <w:trHeight w:val="283"/>
        </w:trPr>
        <w:tc>
          <w:tcPr>
            <w:tcW w:w="2374" w:type="dxa"/>
          </w:tcPr>
          <w:p w14:paraId="02B1CAF0" w14:textId="77777777" w:rsidR="005E000F" w:rsidRDefault="00000000">
            <w:pPr>
              <w:rPr>
                <w:color w:val="000000" w:themeColor="text1"/>
              </w:rPr>
            </w:pPr>
            <w:r>
              <w:rPr>
                <w:rFonts w:hint="eastAsia"/>
                <w:color w:val="000000" w:themeColor="text1"/>
              </w:rPr>
              <w:lastRenderedPageBreak/>
              <w:t>单价</w:t>
            </w:r>
            <w:r>
              <w:rPr>
                <w:rFonts w:hint="eastAsia"/>
                <w:color w:val="000000" w:themeColor="text1"/>
              </w:rPr>
              <w:t>500</w:t>
            </w:r>
            <w:r>
              <w:rPr>
                <w:rFonts w:hint="eastAsia"/>
                <w:color w:val="000000" w:themeColor="text1"/>
              </w:rPr>
              <w:t>万元以下资产一次扣除形成的递延所得税负债</w:t>
            </w:r>
            <w:r>
              <w:rPr>
                <w:rFonts w:hint="eastAsia"/>
                <w:color w:val="000000" w:themeColor="text1"/>
              </w:rPr>
              <w:t xml:space="preserve"> </w:t>
            </w:r>
            <w:r>
              <w:rPr>
                <w:rFonts w:hint="eastAsia"/>
                <w:color w:val="000000" w:themeColor="text1"/>
              </w:rPr>
              <w:t>（注</w:t>
            </w:r>
            <w:r>
              <w:rPr>
                <w:rFonts w:hint="eastAsia"/>
                <w:color w:val="000000" w:themeColor="text1"/>
              </w:rPr>
              <w:t xml:space="preserve"> 3</w:t>
            </w:r>
            <w:r>
              <w:rPr>
                <w:rFonts w:hint="eastAsia"/>
                <w:color w:val="000000" w:themeColor="text1"/>
              </w:rPr>
              <w:t>）</w:t>
            </w:r>
          </w:p>
        </w:tc>
        <w:tc>
          <w:tcPr>
            <w:tcW w:w="1675" w:type="dxa"/>
            <w:vAlign w:val="center"/>
          </w:tcPr>
          <w:p w14:paraId="79C309D0" w14:textId="77777777" w:rsidR="005E000F" w:rsidRDefault="00000000">
            <w:pPr>
              <w:jc w:val="right"/>
            </w:pPr>
            <w:r>
              <w:t>2,133,316,385</w:t>
            </w:r>
          </w:p>
        </w:tc>
        <w:tc>
          <w:tcPr>
            <w:tcW w:w="1665" w:type="dxa"/>
            <w:vAlign w:val="center"/>
          </w:tcPr>
          <w:p w14:paraId="4A5C6C59" w14:textId="77777777" w:rsidR="005E000F" w:rsidRDefault="00000000">
            <w:pPr>
              <w:jc w:val="right"/>
            </w:pPr>
            <w:r>
              <w:t>533,329,096</w:t>
            </w:r>
          </w:p>
        </w:tc>
        <w:tc>
          <w:tcPr>
            <w:tcW w:w="1657" w:type="dxa"/>
            <w:vAlign w:val="center"/>
          </w:tcPr>
          <w:p w14:paraId="56B55F95" w14:textId="77777777" w:rsidR="005E000F" w:rsidRDefault="00000000">
            <w:pPr>
              <w:jc w:val="right"/>
              <w:rPr>
                <w:lang w:eastAsia="en-US"/>
              </w:rPr>
            </w:pPr>
            <w:r>
              <w:t>2,207,071,855</w:t>
            </w:r>
          </w:p>
        </w:tc>
        <w:tc>
          <w:tcPr>
            <w:tcW w:w="1676" w:type="dxa"/>
            <w:vAlign w:val="center"/>
          </w:tcPr>
          <w:p w14:paraId="0720BB63" w14:textId="77777777" w:rsidR="005E000F" w:rsidRDefault="00000000">
            <w:pPr>
              <w:jc w:val="right"/>
              <w:rPr>
                <w:lang w:eastAsia="en-US"/>
              </w:rPr>
            </w:pPr>
            <w:r>
              <w:t>551,767,964</w:t>
            </w:r>
          </w:p>
        </w:tc>
      </w:tr>
      <w:tr w:rsidR="005E000F" w14:paraId="7BBE1E0F" w14:textId="77777777">
        <w:trPr>
          <w:trHeight w:val="283"/>
        </w:trPr>
        <w:tc>
          <w:tcPr>
            <w:tcW w:w="2374" w:type="dxa"/>
          </w:tcPr>
          <w:p w14:paraId="526A1665" w14:textId="77777777" w:rsidR="005E000F" w:rsidRDefault="00000000">
            <w:pPr>
              <w:rPr>
                <w:color w:val="000000" w:themeColor="text1"/>
                <w:lang w:eastAsia="en-US"/>
              </w:rPr>
            </w:pPr>
            <w:r>
              <w:rPr>
                <w:rFonts w:hint="eastAsia"/>
                <w:color w:val="000000" w:themeColor="text1"/>
              </w:rPr>
              <w:t>使用权资产</w:t>
            </w:r>
          </w:p>
        </w:tc>
        <w:tc>
          <w:tcPr>
            <w:tcW w:w="1675" w:type="dxa"/>
            <w:vAlign w:val="center"/>
          </w:tcPr>
          <w:p w14:paraId="4AE9FCA1" w14:textId="77777777" w:rsidR="005E000F" w:rsidRDefault="00000000">
            <w:pPr>
              <w:jc w:val="right"/>
            </w:pPr>
            <w:r>
              <w:t>2,358,542,988</w:t>
            </w:r>
          </w:p>
        </w:tc>
        <w:tc>
          <w:tcPr>
            <w:tcW w:w="1665" w:type="dxa"/>
            <w:vAlign w:val="center"/>
          </w:tcPr>
          <w:p w14:paraId="0D8D8176" w14:textId="77777777" w:rsidR="005E000F" w:rsidRDefault="00000000">
            <w:pPr>
              <w:jc w:val="right"/>
            </w:pPr>
            <w:r>
              <w:t>589,635,747</w:t>
            </w:r>
          </w:p>
        </w:tc>
        <w:tc>
          <w:tcPr>
            <w:tcW w:w="1657" w:type="dxa"/>
            <w:vAlign w:val="center"/>
          </w:tcPr>
          <w:p w14:paraId="08AC3E99" w14:textId="77777777" w:rsidR="005E000F" w:rsidRDefault="00000000">
            <w:pPr>
              <w:jc w:val="right"/>
              <w:rPr>
                <w:lang w:eastAsia="en-US"/>
              </w:rPr>
            </w:pPr>
            <w:r>
              <w:t>912,285,308</w:t>
            </w:r>
          </w:p>
        </w:tc>
        <w:tc>
          <w:tcPr>
            <w:tcW w:w="1676" w:type="dxa"/>
            <w:vAlign w:val="center"/>
          </w:tcPr>
          <w:p w14:paraId="52EA25EF" w14:textId="77777777" w:rsidR="005E000F" w:rsidRDefault="00000000">
            <w:pPr>
              <w:jc w:val="right"/>
              <w:rPr>
                <w:lang w:eastAsia="en-US"/>
              </w:rPr>
            </w:pPr>
            <w:r>
              <w:t>228,071,327</w:t>
            </w:r>
          </w:p>
        </w:tc>
      </w:tr>
      <w:tr w:rsidR="005E000F" w14:paraId="7F0C6F65" w14:textId="77777777">
        <w:trPr>
          <w:trHeight w:val="283"/>
        </w:trPr>
        <w:tc>
          <w:tcPr>
            <w:tcW w:w="2374" w:type="dxa"/>
          </w:tcPr>
          <w:p w14:paraId="4794164B" w14:textId="77777777" w:rsidR="005E000F" w:rsidRDefault="00000000">
            <w:pPr>
              <w:rPr>
                <w:color w:val="000000" w:themeColor="text1"/>
                <w:lang w:eastAsia="en-US"/>
              </w:rPr>
            </w:pPr>
            <w:r>
              <w:rPr>
                <w:rFonts w:hint="eastAsia"/>
                <w:color w:val="000000" w:themeColor="text1"/>
              </w:rPr>
              <w:t>其他</w:t>
            </w:r>
          </w:p>
        </w:tc>
        <w:tc>
          <w:tcPr>
            <w:tcW w:w="1675" w:type="dxa"/>
            <w:vAlign w:val="center"/>
          </w:tcPr>
          <w:p w14:paraId="17280401" w14:textId="77777777" w:rsidR="005E000F" w:rsidRDefault="00000000">
            <w:pPr>
              <w:jc w:val="right"/>
            </w:pPr>
            <w:r>
              <w:t>4,414,729</w:t>
            </w:r>
          </w:p>
        </w:tc>
        <w:tc>
          <w:tcPr>
            <w:tcW w:w="1665" w:type="dxa"/>
            <w:vAlign w:val="center"/>
          </w:tcPr>
          <w:p w14:paraId="752E5C26" w14:textId="77777777" w:rsidR="005E000F" w:rsidRDefault="00000000">
            <w:pPr>
              <w:jc w:val="right"/>
            </w:pPr>
            <w:r>
              <w:t>1,103,682</w:t>
            </w:r>
          </w:p>
        </w:tc>
        <w:tc>
          <w:tcPr>
            <w:tcW w:w="1657" w:type="dxa"/>
            <w:vAlign w:val="center"/>
          </w:tcPr>
          <w:p w14:paraId="0E920A14" w14:textId="77777777" w:rsidR="005E000F" w:rsidRDefault="00000000">
            <w:pPr>
              <w:jc w:val="right"/>
              <w:rPr>
                <w:lang w:eastAsia="en-US"/>
              </w:rPr>
            </w:pPr>
            <w:r>
              <w:t>1,103,683</w:t>
            </w:r>
          </w:p>
        </w:tc>
        <w:tc>
          <w:tcPr>
            <w:tcW w:w="1676" w:type="dxa"/>
            <w:vAlign w:val="center"/>
          </w:tcPr>
          <w:p w14:paraId="139966E1" w14:textId="77777777" w:rsidR="005E000F" w:rsidRDefault="00000000">
            <w:pPr>
              <w:jc w:val="right"/>
              <w:rPr>
                <w:lang w:eastAsia="en-US"/>
              </w:rPr>
            </w:pPr>
            <w:r>
              <w:t>275,920</w:t>
            </w:r>
          </w:p>
        </w:tc>
      </w:tr>
      <w:tr w:rsidR="005E000F" w14:paraId="0F1D11C1" w14:textId="77777777">
        <w:trPr>
          <w:trHeight w:val="283"/>
        </w:trPr>
        <w:tc>
          <w:tcPr>
            <w:tcW w:w="2374" w:type="dxa"/>
            <w:vAlign w:val="center"/>
          </w:tcPr>
          <w:p w14:paraId="1B1A7599" w14:textId="77777777" w:rsidR="005E000F" w:rsidRDefault="00000000">
            <w:pPr>
              <w:jc w:val="center"/>
            </w:pPr>
            <w:r>
              <w:rPr>
                <w:rFonts w:hint="eastAsia"/>
              </w:rPr>
              <w:t>合计</w:t>
            </w:r>
          </w:p>
        </w:tc>
        <w:tc>
          <w:tcPr>
            <w:tcW w:w="1675" w:type="dxa"/>
            <w:vAlign w:val="center"/>
          </w:tcPr>
          <w:p w14:paraId="611E2474" w14:textId="77777777" w:rsidR="005E000F" w:rsidRDefault="00000000">
            <w:pPr>
              <w:jc w:val="right"/>
            </w:pPr>
            <w:r>
              <w:t>4,580,312,905</w:t>
            </w:r>
          </w:p>
        </w:tc>
        <w:tc>
          <w:tcPr>
            <w:tcW w:w="1665" w:type="dxa"/>
            <w:vAlign w:val="center"/>
          </w:tcPr>
          <w:p w14:paraId="5C6966FB" w14:textId="77777777" w:rsidR="005E000F" w:rsidRDefault="00000000">
            <w:pPr>
              <w:jc w:val="right"/>
            </w:pPr>
            <w:r>
              <w:t>1,145,078,226</w:t>
            </w:r>
          </w:p>
        </w:tc>
        <w:tc>
          <w:tcPr>
            <w:tcW w:w="1657" w:type="dxa"/>
            <w:vAlign w:val="center"/>
          </w:tcPr>
          <w:p w14:paraId="52A09A27" w14:textId="77777777" w:rsidR="005E000F" w:rsidRDefault="00000000">
            <w:pPr>
              <w:jc w:val="right"/>
              <w:rPr>
                <w:lang w:eastAsia="en-US"/>
              </w:rPr>
            </w:pPr>
            <w:r>
              <w:t>3,198,514,649</w:t>
            </w:r>
          </w:p>
        </w:tc>
        <w:tc>
          <w:tcPr>
            <w:tcW w:w="1676" w:type="dxa"/>
            <w:vAlign w:val="center"/>
          </w:tcPr>
          <w:p w14:paraId="7646A461" w14:textId="77777777" w:rsidR="005E000F" w:rsidRDefault="00000000">
            <w:pPr>
              <w:jc w:val="right"/>
              <w:rPr>
                <w:lang w:eastAsia="en-US"/>
              </w:rPr>
            </w:pPr>
            <w:r>
              <w:t>799,628,662</w:t>
            </w:r>
          </w:p>
        </w:tc>
      </w:tr>
    </w:tbl>
    <w:p w14:paraId="693EDDF8" w14:textId="77777777" w:rsidR="005E000F" w:rsidRDefault="005E000F"/>
    <w:p w14:paraId="2BD67086" w14:textId="77777777" w:rsidR="005E000F" w:rsidRDefault="005E000F"/>
    <w:p w14:paraId="5CA7A111" w14:textId="77777777" w:rsidR="005E000F" w:rsidRDefault="00000000">
      <w:pPr>
        <w:pStyle w:val="4"/>
        <w:numPr>
          <w:ilvl w:val="0"/>
          <w:numId w:val="89"/>
        </w:numPr>
        <w:ind w:left="426" w:hanging="426"/>
      </w:pPr>
      <w:r>
        <w:rPr>
          <w:rFonts w:hint="eastAsia"/>
        </w:rPr>
        <w:t>以</w:t>
      </w:r>
      <w:proofErr w:type="gramStart"/>
      <w:r>
        <w:rPr>
          <w:rFonts w:hint="eastAsia"/>
        </w:rPr>
        <w:t>抵销</w:t>
      </w:r>
      <w:proofErr w:type="gramEnd"/>
      <w:r>
        <w:rPr>
          <w:rFonts w:hint="eastAsia"/>
        </w:rPr>
        <w:t>后净额列示的递延所得税资产或负债</w:t>
      </w:r>
    </w:p>
    <w:sdt>
      <w:sdtPr>
        <w:alias w:val="是否适用：以抵销后净额列示的递延所得税资产或负债[双击切换]"/>
        <w:tag w:val="_GBC_adbd88aca1694de2a14c265a3fb12290"/>
        <w:id w:val="1323009075"/>
        <w:placeholder>
          <w:docPart w:val="GBC22222222222222222222222222222"/>
        </w:placeholder>
      </w:sdtPr>
      <w:sdtContent>
        <w:p w14:paraId="25DAE198"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90D4495" w14:textId="77777777" w:rsidR="005E000F" w:rsidRDefault="00000000">
      <w:pPr>
        <w:wordWrap w:val="0"/>
        <w:jc w:val="right"/>
      </w:pPr>
      <w:r>
        <w:rPr>
          <w:rFonts w:hint="eastAsia"/>
        </w:rPr>
        <w:t>单位：</w:t>
      </w:r>
      <w:sdt>
        <w:sdtPr>
          <w:rPr>
            <w:rFonts w:hint="eastAsia"/>
          </w:rPr>
          <w:alias w:val="单位：财务附注：互抵后的递延所得税资产及负债的组成项目"/>
          <w:tag w:val="_GBC_2b339a7e526d4061aa348bb358a09881"/>
          <w:id w:val="-4537942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互抵后的递延所得税资产及负债的组成项目"/>
          <w:tag w:val="_GBC_e04e01fedf4a42b48978284d31c493e1"/>
          <w:id w:val="19366266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1675"/>
        <w:gridCol w:w="1662"/>
        <w:gridCol w:w="1688"/>
        <w:gridCol w:w="1660"/>
      </w:tblGrid>
      <w:tr w:rsidR="005E000F" w14:paraId="18DAF85C" w14:textId="77777777">
        <w:sdt>
          <w:sdtPr>
            <w:tag w:val="_PLD_9e50bf23f9ed49bdabf6012766e0349d"/>
            <w:id w:val="-737872692"/>
          </w:sdtPr>
          <w:sdtContent>
            <w:tc>
              <w:tcPr>
                <w:tcW w:w="2363" w:type="dxa"/>
                <w:vMerge w:val="restart"/>
                <w:vAlign w:val="center"/>
              </w:tcPr>
              <w:p w14:paraId="6D0CE317" w14:textId="77777777" w:rsidR="005E000F" w:rsidRDefault="00000000">
                <w:pPr>
                  <w:jc w:val="center"/>
                  <w:rPr>
                    <w:color w:val="000000" w:themeColor="text1"/>
                  </w:rPr>
                </w:pPr>
                <w:r>
                  <w:rPr>
                    <w:rFonts w:hint="eastAsia"/>
                    <w:color w:val="000000" w:themeColor="text1"/>
                  </w:rPr>
                  <w:t>项目</w:t>
                </w:r>
              </w:p>
            </w:tc>
          </w:sdtContent>
        </w:sdt>
        <w:sdt>
          <w:sdtPr>
            <w:tag w:val="_PLD_033e4a11ede747529f4c3efd9b18ad19"/>
            <w:id w:val="-1632157317"/>
          </w:sdtPr>
          <w:sdtContent>
            <w:tc>
              <w:tcPr>
                <w:tcW w:w="3337" w:type="dxa"/>
                <w:gridSpan w:val="2"/>
                <w:tcBorders>
                  <w:bottom w:val="single" w:sz="4" w:space="0" w:color="auto"/>
                </w:tcBorders>
                <w:vAlign w:val="center"/>
              </w:tcPr>
              <w:p w14:paraId="2270D6D4" w14:textId="77777777" w:rsidR="005E000F" w:rsidRDefault="00000000">
                <w:pPr>
                  <w:jc w:val="center"/>
                  <w:rPr>
                    <w:color w:val="000000" w:themeColor="text1"/>
                  </w:rPr>
                </w:pPr>
                <w:r>
                  <w:rPr>
                    <w:rFonts w:hint="eastAsia"/>
                    <w:color w:val="000000" w:themeColor="text1"/>
                  </w:rPr>
                  <w:t>期末余额</w:t>
                </w:r>
              </w:p>
            </w:tc>
          </w:sdtContent>
        </w:sdt>
        <w:sdt>
          <w:sdtPr>
            <w:tag w:val="_PLD_a00f6a5b3eb54004b4aa3da029c2612c"/>
            <w:id w:val="1279373952"/>
          </w:sdtPr>
          <w:sdtContent>
            <w:tc>
              <w:tcPr>
                <w:tcW w:w="3348" w:type="dxa"/>
                <w:gridSpan w:val="2"/>
                <w:tcBorders>
                  <w:bottom w:val="single" w:sz="4" w:space="0" w:color="auto"/>
                </w:tcBorders>
                <w:vAlign w:val="center"/>
              </w:tcPr>
              <w:p w14:paraId="5DEE4507" w14:textId="77777777" w:rsidR="005E000F" w:rsidRDefault="00000000">
                <w:pPr>
                  <w:jc w:val="center"/>
                  <w:rPr>
                    <w:color w:val="000000" w:themeColor="text1"/>
                  </w:rPr>
                </w:pPr>
                <w:r>
                  <w:rPr>
                    <w:rFonts w:hint="eastAsia"/>
                    <w:color w:val="000000" w:themeColor="text1"/>
                  </w:rPr>
                  <w:t>期初余额</w:t>
                </w:r>
              </w:p>
            </w:tc>
          </w:sdtContent>
        </w:sdt>
      </w:tr>
      <w:tr w:rsidR="005E000F" w14:paraId="602C92D2" w14:textId="77777777">
        <w:tc>
          <w:tcPr>
            <w:tcW w:w="2363" w:type="dxa"/>
            <w:vMerge/>
            <w:tcBorders>
              <w:bottom w:val="single" w:sz="4" w:space="0" w:color="auto"/>
            </w:tcBorders>
            <w:vAlign w:val="center"/>
          </w:tcPr>
          <w:p w14:paraId="23769A98" w14:textId="77777777" w:rsidR="005E000F" w:rsidRDefault="005E000F">
            <w:pPr>
              <w:jc w:val="center"/>
              <w:rPr>
                <w:color w:val="000000" w:themeColor="text1"/>
              </w:rPr>
            </w:pPr>
          </w:p>
        </w:tc>
        <w:sdt>
          <w:sdtPr>
            <w:tag w:val="_PLD_835762c7fddb43d1a6ee9ee15b40521d"/>
            <w:id w:val="1045096880"/>
          </w:sdtPr>
          <w:sdtContent>
            <w:tc>
              <w:tcPr>
                <w:tcW w:w="1675" w:type="dxa"/>
                <w:tcBorders>
                  <w:bottom w:val="single" w:sz="4" w:space="0" w:color="auto"/>
                </w:tcBorders>
                <w:vAlign w:val="center"/>
              </w:tcPr>
              <w:p w14:paraId="18158367" w14:textId="77777777" w:rsidR="005E000F" w:rsidRDefault="00000000">
                <w:pPr>
                  <w:jc w:val="center"/>
                  <w:rPr>
                    <w:color w:val="000000" w:themeColor="text1"/>
                  </w:rPr>
                </w:pPr>
                <w:r>
                  <w:rPr>
                    <w:rFonts w:hint="eastAsia"/>
                    <w:color w:val="000000" w:themeColor="text1"/>
                  </w:rPr>
                  <w:t>递延所得税资产和负债互</w:t>
                </w:r>
                <w:proofErr w:type="gramStart"/>
                <w:r>
                  <w:rPr>
                    <w:rFonts w:hint="eastAsia"/>
                    <w:color w:val="000000" w:themeColor="text1"/>
                  </w:rPr>
                  <w:t>抵金额</w:t>
                </w:r>
                <w:proofErr w:type="gramEnd"/>
              </w:p>
            </w:tc>
          </w:sdtContent>
        </w:sdt>
        <w:sdt>
          <w:sdtPr>
            <w:tag w:val="_PLD_6793eabf083041e98d636c9fc0412fec"/>
            <w:id w:val="1636291803"/>
          </w:sdtPr>
          <w:sdtContent>
            <w:tc>
              <w:tcPr>
                <w:tcW w:w="1662" w:type="dxa"/>
                <w:tcBorders>
                  <w:bottom w:val="single" w:sz="4" w:space="0" w:color="auto"/>
                </w:tcBorders>
                <w:vAlign w:val="center"/>
              </w:tcPr>
              <w:p w14:paraId="0C5EB327" w14:textId="77777777" w:rsidR="005E000F" w:rsidRDefault="00000000">
                <w:pPr>
                  <w:jc w:val="center"/>
                  <w:rPr>
                    <w:color w:val="000000" w:themeColor="text1"/>
                  </w:rPr>
                </w:pPr>
                <w:proofErr w:type="gramStart"/>
                <w:r>
                  <w:rPr>
                    <w:rFonts w:hint="eastAsia"/>
                    <w:color w:val="000000" w:themeColor="text1"/>
                  </w:rPr>
                  <w:t>抵销后递延</w:t>
                </w:r>
                <w:proofErr w:type="gramEnd"/>
                <w:r>
                  <w:rPr>
                    <w:rFonts w:hint="eastAsia"/>
                    <w:color w:val="000000" w:themeColor="text1"/>
                  </w:rPr>
                  <w:t>所得税资产或负债余额</w:t>
                </w:r>
              </w:p>
            </w:tc>
          </w:sdtContent>
        </w:sdt>
        <w:sdt>
          <w:sdtPr>
            <w:tag w:val="_PLD_b196310238c944bc97a27f77dab5da31"/>
            <w:id w:val="1163124298"/>
          </w:sdtPr>
          <w:sdtContent>
            <w:tc>
              <w:tcPr>
                <w:tcW w:w="1688" w:type="dxa"/>
                <w:tcBorders>
                  <w:bottom w:val="single" w:sz="4" w:space="0" w:color="auto"/>
                </w:tcBorders>
                <w:vAlign w:val="center"/>
              </w:tcPr>
              <w:p w14:paraId="280BA381" w14:textId="77777777" w:rsidR="005E000F" w:rsidRDefault="00000000">
                <w:pPr>
                  <w:jc w:val="center"/>
                  <w:rPr>
                    <w:color w:val="000000" w:themeColor="text1"/>
                  </w:rPr>
                </w:pPr>
                <w:r>
                  <w:rPr>
                    <w:rFonts w:hint="eastAsia"/>
                    <w:color w:val="000000" w:themeColor="text1"/>
                  </w:rPr>
                  <w:t>递延所得税资产和负债互</w:t>
                </w:r>
                <w:proofErr w:type="gramStart"/>
                <w:r>
                  <w:rPr>
                    <w:rFonts w:hint="eastAsia"/>
                    <w:color w:val="000000" w:themeColor="text1"/>
                  </w:rPr>
                  <w:t>抵金额</w:t>
                </w:r>
                <w:proofErr w:type="gramEnd"/>
              </w:p>
            </w:tc>
          </w:sdtContent>
        </w:sdt>
        <w:sdt>
          <w:sdtPr>
            <w:tag w:val="_PLD_c3aebf3cf2194ddf933aa14ffbbfd279"/>
            <w:id w:val="796261655"/>
          </w:sdtPr>
          <w:sdtContent>
            <w:tc>
              <w:tcPr>
                <w:tcW w:w="1660" w:type="dxa"/>
                <w:tcBorders>
                  <w:bottom w:val="single" w:sz="4" w:space="0" w:color="auto"/>
                </w:tcBorders>
                <w:vAlign w:val="center"/>
              </w:tcPr>
              <w:p w14:paraId="618C5883" w14:textId="77777777" w:rsidR="005E000F" w:rsidRDefault="00000000">
                <w:pPr>
                  <w:jc w:val="center"/>
                  <w:rPr>
                    <w:color w:val="000000" w:themeColor="text1"/>
                  </w:rPr>
                </w:pPr>
                <w:proofErr w:type="gramStart"/>
                <w:r>
                  <w:rPr>
                    <w:rFonts w:hint="eastAsia"/>
                    <w:color w:val="000000" w:themeColor="text1"/>
                  </w:rPr>
                  <w:t>抵销后递延</w:t>
                </w:r>
                <w:proofErr w:type="gramEnd"/>
                <w:r>
                  <w:rPr>
                    <w:rFonts w:hint="eastAsia"/>
                    <w:color w:val="000000" w:themeColor="text1"/>
                  </w:rPr>
                  <w:t>所得税资产或负债余额</w:t>
                </w:r>
              </w:p>
            </w:tc>
          </w:sdtContent>
        </w:sdt>
      </w:tr>
      <w:tr w:rsidR="005E000F" w14:paraId="2F569899" w14:textId="77777777">
        <w:tc>
          <w:tcPr>
            <w:tcW w:w="2363" w:type="dxa"/>
            <w:vAlign w:val="center"/>
          </w:tcPr>
          <w:p w14:paraId="29097E72" w14:textId="77777777" w:rsidR="005E000F" w:rsidRDefault="00000000">
            <w:pPr>
              <w:rPr>
                <w:color w:val="000000" w:themeColor="text1"/>
              </w:rPr>
            </w:pPr>
            <w:bookmarkStart w:id="361" w:name="_Hlk200964296"/>
            <w:r>
              <w:rPr>
                <w:rFonts w:hint="eastAsia"/>
                <w:color w:val="000000" w:themeColor="text1"/>
              </w:rPr>
              <w:t>递延所得税资产</w:t>
            </w:r>
          </w:p>
        </w:tc>
        <w:tc>
          <w:tcPr>
            <w:tcW w:w="1675" w:type="dxa"/>
            <w:vAlign w:val="center"/>
          </w:tcPr>
          <w:p w14:paraId="6C44B46D" w14:textId="77777777" w:rsidR="005E000F" w:rsidRDefault="00000000">
            <w:pPr>
              <w:jc w:val="right"/>
            </w:pPr>
            <w:r>
              <w:t>1,145,078,226</w:t>
            </w:r>
          </w:p>
        </w:tc>
        <w:tc>
          <w:tcPr>
            <w:tcW w:w="1662" w:type="dxa"/>
            <w:vAlign w:val="center"/>
          </w:tcPr>
          <w:p w14:paraId="22CAB1B6" w14:textId="77777777" w:rsidR="005E000F" w:rsidRDefault="00000000">
            <w:pPr>
              <w:jc w:val="right"/>
            </w:pPr>
            <w:r>
              <w:t>1,406,639,50</w:t>
            </w:r>
            <w:r>
              <w:rPr>
                <w:rFonts w:hint="eastAsia"/>
              </w:rPr>
              <w:t>1</w:t>
            </w:r>
          </w:p>
        </w:tc>
        <w:tc>
          <w:tcPr>
            <w:tcW w:w="1688" w:type="dxa"/>
            <w:vAlign w:val="center"/>
          </w:tcPr>
          <w:p w14:paraId="55104D30" w14:textId="77777777" w:rsidR="005E000F" w:rsidRDefault="00000000">
            <w:pPr>
              <w:jc w:val="right"/>
            </w:pPr>
            <w:r>
              <w:t>799,628,662</w:t>
            </w:r>
          </w:p>
        </w:tc>
        <w:tc>
          <w:tcPr>
            <w:tcW w:w="1660" w:type="dxa"/>
            <w:vAlign w:val="center"/>
          </w:tcPr>
          <w:p w14:paraId="6D6DFB82" w14:textId="77777777" w:rsidR="005E000F" w:rsidRDefault="00000000">
            <w:pPr>
              <w:jc w:val="right"/>
            </w:pPr>
            <w:r>
              <w:t>1,405,768,123</w:t>
            </w:r>
          </w:p>
        </w:tc>
      </w:tr>
      <w:tr w:rsidR="005E000F" w14:paraId="440A6AE0" w14:textId="77777777">
        <w:tc>
          <w:tcPr>
            <w:tcW w:w="2363" w:type="dxa"/>
            <w:vAlign w:val="center"/>
          </w:tcPr>
          <w:p w14:paraId="2828EE7D" w14:textId="77777777" w:rsidR="005E000F" w:rsidRDefault="00000000">
            <w:pPr>
              <w:rPr>
                <w:color w:val="000000" w:themeColor="text1"/>
              </w:rPr>
            </w:pPr>
            <w:r>
              <w:rPr>
                <w:rFonts w:hint="eastAsia"/>
                <w:color w:val="000000" w:themeColor="text1"/>
              </w:rPr>
              <w:t>递延所得税负债</w:t>
            </w:r>
          </w:p>
        </w:tc>
        <w:tc>
          <w:tcPr>
            <w:tcW w:w="1675" w:type="dxa"/>
            <w:vAlign w:val="center"/>
          </w:tcPr>
          <w:p w14:paraId="45520122" w14:textId="77777777" w:rsidR="005E000F" w:rsidRDefault="00000000">
            <w:pPr>
              <w:jc w:val="right"/>
            </w:pPr>
            <w:r>
              <w:t>1,145,078,226</w:t>
            </w:r>
          </w:p>
        </w:tc>
        <w:tc>
          <w:tcPr>
            <w:tcW w:w="1662" w:type="dxa"/>
            <w:vAlign w:val="center"/>
          </w:tcPr>
          <w:p w14:paraId="76025961" w14:textId="77777777" w:rsidR="005E000F" w:rsidRDefault="00000000">
            <w:pPr>
              <w:jc w:val="right"/>
            </w:pPr>
            <w:r>
              <w:t>0</w:t>
            </w:r>
          </w:p>
        </w:tc>
        <w:tc>
          <w:tcPr>
            <w:tcW w:w="1688" w:type="dxa"/>
            <w:vAlign w:val="center"/>
          </w:tcPr>
          <w:p w14:paraId="532BCAE2" w14:textId="77777777" w:rsidR="005E000F" w:rsidRDefault="00000000">
            <w:pPr>
              <w:jc w:val="right"/>
            </w:pPr>
            <w:r>
              <w:rPr>
                <w:rFonts w:hint="eastAsia"/>
              </w:rPr>
              <w:t>799,628,662</w:t>
            </w:r>
          </w:p>
        </w:tc>
        <w:tc>
          <w:tcPr>
            <w:tcW w:w="1660" w:type="dxa"/>
            <w:vAlign w:val="center"/>
          </w:tcPr>
          <w:p w14:paraId="521328A0" w14:textId="77777777" w:rsidR="005E000F" w:rsidRDefault="00000000">
            <w:pPr>
              <w:jc w:val="right"/>
            </w:pPr>
            <w:r>
              <w:rPr>
                <w:rFonts w:hint="eastAsia"/>
              </w:rPr>
              <w:t>0</w:t>
            </w:r>
          </w:p>
        </w:tc>
      </w:tr>
      <w:bookmarkEnd w:id="361"/>
    </w:tbl>
    <w:p w14:paraId="5EB2EAAA" w14:textId="77777777" w:rsidR="005E000F" w:rsidRDefault="005E000F"/>
    <w:p w14:paraId="10E16D0D" w14:textId="77777777" w:rsidR="005E000F" w:rsidRDefault="00000000">
      <w:pPr>
        <w:pStyle w:val="4"/>
        <w:numPr>
          <w:ilvl w:val="0"/>
          <w:numId w:val="89"/>
        </w:numPr>
        <w:ind w:left="426" w:hanging="426"/>
      </w:pPr>
      <w:r>
        <w:rPr>
          <w:rFonts w:hint="eastAsia"/>
        </w:rPr>
        <w:t>未确认递延所得税资产明细</w:t>
      </w:r>
    </w:p>
    <w:sdt>
      <w:sdtPr>
        <w:alias w:val="是否适用：未确认递延所得税资产明细[双击切换]"/>
        <w:tag w:val="_GBC_713996bf5e4d4c6988835fbf892c5ef2"/>
        <w:id w:val="-641040848"/>
        <w:placeholder>
          <w:docPart w:val="GBC22222222222222222222222222222"/>
        </w:placeholder>
      </w:sdtPr>
      <w:sdtContent>
        <w:p w14:paraId="332157C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1312EC8" w14:textId="77777777" w:rsidR="005E000F" w:rsidRDefault="00000000">
      <w:pPr>
        <w:jc w:val="right"/>
      </w:pPr>
      <w:r>
        <w:rPr>
          <w:rFonts w:hint="eastAsia"/>
        </w:rPr>
        <w:t>单位：</w:t>
      </w:r>
      <w:sdt>
        <w:sdtPr>
          <w:rPr>
            <w:rFonts w:hint="eastAsia"/>
          </w:rPr>
          <w:alias w:val="单位：财务附注：未确认递延所得税资产明细"/>
          <w:tag w:val="_GBC_f8fecfb8754c42a8b3b02d67ae705062"/>
          <w:id w:val="15139607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未确认递延所得税资产明细"/>
          <w:tag w:val="_GBC_2f5aab227caa4f7da7d6278ecf51ccdf"/>
          <w:id w:val="118595067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8"/>
        <w:gridCol w:w="3082"/>
        <w:gridCol w:w="3078"/>
      </w:tblGrid>
      <w:tr w:rsidR="005E000F" w14:paraId="483CA488" w14:textId="77777777">
        <w:trPr>
          <w:trHeight w:val="285"/>
        </w:trPr>
        <w:sdt>
          <w:sdtPr>
            <w:tag w:val="_PLD_91af0f9b93ef459d823e4bc33d9190d6"/>
            <w:id w:val="637838757"/>
          </w:sdtPr>
          <w:sdtContent>
            <w:tc>
              <w:tcPr>
                <w:tcW w:w="2888" w:type="dxa"/>
                <w:tcBorders>
                  <w:top w:val="single" w:sz="4" w:space="0" w:color="auto"/>
                  <w:left w:val="single" w:sz="4" w:space="0" w:color="auto"/>
                  <w:bottom w:val="single" w:sz="4" w:space="0" w:color="auto"/>
                  <w:right w:val="single" w:sz="4" w:space="0" w:color="auto"/>
                </w:tcBorders>
                <w:vAlign w:val="center"/>
              </w:tcPr>
              <w:p w14:paraId="76DC7F0D" w14:textId="77777777" w:rsidR="005E000F" w:rsidRDefault="00000000">
                <w:pPr>
                  <w:jc w:val="center"/>
                </w:pPr>
                <w:r>
                  <w:rPr>
                    <w:rFonts w:hint="eastAsia"/>
                  </w:rPr>
                  <w:t>项目</w:t>
                </w:r>
              </w:p>
            </w:tc>
          </w:sdtContent>
        </w:sdt>
        <w:sdt>
          <w:sdtPr>
            <w:tag w:val="_PLD_2c2dee2efbd6433784024156b3454ba7"/>
            <w:id w:val="56360789"/>
          </w:sdtPr>
          <w:sdtContent>
            <w:tc>
              <w:tcPr>
                <w:tcW w:w="3082" w:type="dxa"/>
                <w:tcBorders>
                  <w:top w:val="single" w:sz="4" w:space="0" w:color="auto"/>
                  <w:left w:val="single" w:sz="4" w:space="0" w:color="auto"/>
                  <w:bottom w:val="single" w:sz="4" w:space="0" w:color="auto"/>
                  <w:right w:val="single" w:sz="4" w:space="0" w:color="auto"/>
                </w:tcBorders>
                <w:vAlign w:val="center"/>
              </w:tcPr>
              <w:p w14:paraId="0403121C" w14:textId="77777777" w:rsidR="005E000F" w:rsidRDefault="00000000">
                <w:pPr>
                  <w:jc w:val="center"/>
                </w:pPr>
                <w:r>
                  <w:rPr>
                    <w:rFonts w:hint="eastAsia"/>
                  </w:rPr>
                  <w:t>期末余额</w:t>
                </w:r>
              </w:p>
            </w:tc>
          </w:sdtContent>
        </w:sdt>
        <w:sdt>
          <w:sdtPr>
            <w:tag w:val="_PLD_d5059c87582d4e558703d63a8a2d5399"/>
            <w:id w:val="-555858829"/>
          </w:sdtPr>
          <w:sdtContent>
            <w:tc>
              <w:tcPr>
                <w:tcW w:w="3078" w:type="dxa"/>
                <w:tcBorders>
                  <w:top w:val="single" w:sz="4" w:space="0" w:color="auto"/>
                  <w:left w:val="single" w:sz="4" w:space="0" w:color="auto"/>
                  <w:bottom w:val="single" w:sz="4" w:space="0" w:color="auto"/>
                  <w:right w:val="single" w:sz="4" w:space="0" w:color="auto"/>
                </w:tcBorders>
                <w:vAlign w:val="center"/>
              </w:tcPr>
              <w:p w14:paraId="04DA5D5E" w14:textId="77777777" w:rsidR="005E000F" w:rsidRDefault="00000000">
                <w:pPr>
                  <w:jc w:val="center"/>
                </w:pPr>
                <w:r>
                  <w:rPr>
                    <w:rFonts w:hint="eastAsia"/>
                  </w:rPr>
                  <w:t>期初余额</w:t>
                </w:r>
              </w:p>
            </w:tc>
          </w:sdtContent>
        </w:sdt>
      </w:tr>
      <w:tr w:rsidR="005E000F" w14:paraId="4CEF7483" w14:textId="77777777">
        <w:trPr>
          <w:trHeight w:val="285"/>
        </w:trPr>
        <w:tc>
          <w:tcPr>
            <w:tcW w:w="2888" w:type="dxa"/>
            <w:tcBorders>
              <w:top w:val="single" w:sz="4" w:space="0" w:color="auto"/>
              <w:left w:val="single" w:sz="4" w:space="0" w:color="auto"/>
              <w:bottom w:val="single" w:sz="4" w:space="0" w:color="auto"/>
              <w:right w:val="single" w:sz="4" w:space="0" w:color="auto"/>
            </w:tcBorders>
            <w:vAlign w:val="center"/>
          </w:tcPr>
          <w:p w14:paraId="5980D6E3" w14:textId="77777777" w:rsidR="005E000F" w:rsidRDefault="00000000">
            <w:pPr>
              <w:jc w:val="both"/>
              <w:rPr>
                <w:color w:val="000000" w:themeColor="text1"/>
              </w:rPr>
            </w:pPr>
            <w:r>
              <w:rPr>
                <w:rFonts w:hint="eastAsia"/>
                <w:color w:val="000000" w:themeColor="text1"/>
              </w:rPr>
              <w:t>可抵扣暂时性差异</w:t>
            </w:r>
          </w:p>
        </w:tc>
        <w:tc>
          <w:tcPr>
            <w:tcW w:w="3082" w:type="dxa"/>
            <w:tcBorders>
              <w:top w:val="single" w:sz="4" w:space="0" w:color="auto"/>
              <w:left w:val="single" w:sz="4" w:space="0" w:color="auto"/>
              <w:bottom w:val="single" w:sz="4" w:space="0" w:color="auto"/>
              <w:right w:val="single" w:sz="4" w:space="0" w:color="auto"/>
            </w:tcBorders>
            <w:vAlign w:val="center"/>
          </w:tcPr>
          <w:p w14:paraId="3EC0A85E" w14:textId="77777777" w:rsidR="005E000F" w:rsidRDefault="00000000">
            <w:pPr>
              <w:jc w:val="right"/>
            </w:pPr>
            <w:r>
              <w:t xml:space="preserve"> 18,890,984 </w:t>
            </w:r>
          </w:p>
        </w:tc>
        <w:tc>
          <w:tcPr>
            <w:tcW w:w="3078" w:type="dxa"/>
            <w:tcBorders>
              <w:top w:val="single" w:sz="4" w:space="0" w:color="auto"/>
              <w:left w:val="single" w:sz="4" w:space="0" w:color="auto"/>
              <w:bottom w:val="single" w:sz="4" w:space="0" w:color="auto"/>
              <w:right w:val="single" w:sz="4" w:space="0" w:color="auto"/>
            </w:tcBorders>
            <w:vAlign w:val="center"/>
          </w:tcPr>
          <w:p w14:paraId="0007F931" w14:textId="77777777" w:rsidR="005E000F" w:rsidRDefault="00000000">
            <w:pPr>
              <w:jc w:val="right"/>
              <w:rPr>
                <w:lang w:eastAsia="en-US"/>
              </w:rPr>
            </w:pPr>
            <w:r>
              <w:t>7,669,560</w:t>
            </w:r>
          </w:p>
        </w:tc>
      </w:tr>
      <w:tr w:rsidR="005E000F" w14:paraId="7643CCD4" w14:textId="77777777">
        <w:trPr>
          <w:trHeight w:val="285"/>
        </w:trPr>
        <w:tc>
          <w:tcPr>
            <w:tcW w:w="2888" w:type="dxa"/>
            <w:tcBorders>
              <w:top w:val="single" w:sz="4" w:space="0" w:color="auto"/>
              <w:left w:val="single" w:sz="4" w:space="0" w:color="auto"/>
              <w:bottom w:val="single" w:sz="4" w:space="0" w:color="auto"/>
              <w:right w:val="single" w:sz="4" w:space="0" w:color="auto"/>
            </w:tcBorders>
            <w:vAlign w:val="center"/>
          </w:tcPr>
          <w:p w14:paraId="1955A9C6" w14:textId="77777777" w:rsidR="005E000F" w:rsidRDefault="00000000">
            <w:pPr>
              <w:jc w:val="both"/>
              <w:rPr>
                <w:color w:val="000000" w:themeColor="text1"/>
              </w:rPr>
            </w:pPr>
            <w:r>
              <w:rPr>
                <w:rFonts w:hint="eastAsia"/>
                <w:color w:val="000000" w:themeColor="text1"/>
              </w:rPr>
              <w:t>可抵扣亏损</w:t>
            </w:r>
          </w:p>
        </w:tc>
        <w:tc>
          <w:tcPr>
            <w:tcW w:w="3082" w:type="dxa"/>
            <w:tcBorders>
              <w:top w:val="single" w:sz="4" w:space="0" w:color="auto"/>
              <w:left w:val="single" w:sz="4" w:space="0" w:color="auto"/>
              <w:bottom w:val="single" w:sz="4" w:space="0" w:color="auto"/>
              <w:right w:val="single" w:sz="4" w:space="0" w:color="auto"/>
            </w:tcBorders>
            <w:vAlign w:val="center"/>
          </w:tcPr>
          <w:p w14:paraId="065ECC6D" w14:textId="77777777" w:rsidR="005E000F" w:rsidRDefault="00000000">
            <w:pPr>
              <w:jc w:val="right"/>
            </w:pPr>
            <w:r>
              <w:t>1,647,214,060</w:t>
            </w:r>
          </w:p>
        </w:tc>
        <w:tc>
          <w:tcPr>
            <w:tcW w:w="3078" w:type="dxa"/>
            <w:tcBorders>
              <w:top w:val="single" w:sz="4" w:space="0" w:color="auto"/>
              <w:left w:val="single" w:sz="4" w:space="0" w:color="auto"/>
              <w:bottom w:val="single" w:sz="4" w:space="0" w:color="auto"/>
              <w:right w:val="single" w:sz="4" w:space="0" w:color="auto"/>
            </w:tcBorders>
            <w:vAlign w:val="center"/>
          </w:tcPr>
          <w:p w14:paraId="7DD52D9D" w14:textId="77777777" w:rsidR="005E000F" w:rsidRDefault="00000000">
            <w:pPr>
              <w:jc w:val="right"/>
              <w:rPr>
                <w:lang w:eastAsia="en-US"/>
              </w:rPr>
            </w:pPr>
            <w:r>
              <w:t>1,644,209,317</w:t>
            </w:r>
          </w:p>
        </w:tc>
      </w:tr>
      <w:tr w:rsidR="005E000F" w14:paraId="14A370D3" w14:textId="77777777">
        <w:trPr>
          <w:trHeight w:val="285"/>
        </w:trPr>
        <w:tc>
          <w:tcPr>
            <w:tcW w:w="2888" w:type="dxa"/>
            <w:tcBorders>
              <w:top w:val="single" w:sz="4" w:space="0" w:color="auto"/>
              <w:left w:val="single" w:sz="4" w:space="0" w:color="auto"/>
              <w:bottom w:val="single" w:sz="4" w:space="0" w:color="auto"/>
              <w:right w:val="single" w:sz="4" w:space="0" w:color="auto"/>
            </w:tcBorders>
            <w:vAlign w:val="center"/>
          </w:tcPr>
          <w:p w14:paraId="2215D754" w14:textId="77777777" w:rsidR="005E000F" w:rsidRDefault="00000000">
            <w:pPr>
              <w:jc w:val="center"/>
            </w:pPr>
            <w:r>
              <w:rPr>
                <w:rFonts w:hint="eastAsia"/>
              </w:rPr>
              <w:t>合计</w:t>
            </w:r>
          </w:p>
        </w:tc>
        <w:tc>
          <w:tcPr>
            <w:tcW w:w="3082" w:type="dxa"/>
            <w:tcBorders>
              <w:top w:val="single" w:sz="4" w:space="0" w:color="auto"/>
              <w:left w:val="single" w:sz="4" w:space="0" w:color="auto"/>
              <w:bottom w:val="single" w:sz="4" w:space="0" w:color="auto"/>
              <w:right w:val="single" w:sz="4" w:space="0" w:color="auto"/>
            </w:tcBorders>
            <w:vAlign w:val="center"/>
          </w:tcPr>
          <w:p w14:paraId="3AF2842A" w14:textId="77777777" w:rsidR="005E000F" w:rsidRDefault="00000000">
            <w:pPr>
              <w:jc w:val="right"/>
            </w:pPr>
            <w:r>
              <w:t xml:space="preserve">  1,666,105,044</w:t>
            </w:r>
          </w:p>
        </w:tc>
        <w:tc>
          <w:tcPr>
            <w:tcW w:w="3078" w:type="dxa"/>
            <w:tcBorders>
              <w:top w:val="single" w:sz="4" w:space="0" w:color="auto"/>
              <w:left w:val="single" w:sz="4" w:space="0" w:color="auto"/>
              <w:bottom w:val="single" w:sz="4" w:space="0" w:color="auto"/>
              <w:right w:val="single" w:sz="4" w:space="0" w:color="auto"/>
            </w:tcBorders>
            <w:vAlign w:val="center"/>
          </w:tcPr>
          <w:p w14:paraId="04C50026" w14:textId="77777777" w:rsidR="005E000F" w:rsidRDefault="00000000">
            <w:pPr>
              <w:jc w:val="right"/>
            </w:pPr>
            <w:r>
              <w:rPr>
                <w:rFonts w:hint="eastAsia"/>
              </w:rPr>
              <w:t>1,651,878,877</w:t>
            </w:r>
          </w:p>
        </w:tc>
      </w:tr>
    </w:tbl>
    <w:p w14:paraId="5D2BF8E9" w14:textId="77777777" w:rsidR="005E000F" w:rsidRDefault="005E000F"/>
    <w:p w14:paraId="7AF8ED90" w14:textId="77777777" w:rsidR="005E000F" w:rsidRDefault="00000000">
      <w:pPr>
        <w:pStyle w:val="4"/>
        <w:numPr>
          <w:ilvl w:val="0"/>
          <w:numId w:val="89"/>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926852305"/>
        <w:placeholder>
          <w:docPart w:val="GBC22222222222222222222222222222"/>
        </w:placeholder>
      </w:sdtPr>
      <w:sdtContent>
        <w:p w14:paraId="3ABEB53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13B8574" w14:textId="77777777" w:rsidR="005E000F" w:rsidRDefault="00000000">
      <w:pPr>
        <w:ind w:right="57"/>
        <w:jc w:val="right"/>
      </w:pPr>
      <w:r>
        <w:rPr>
          <w:rFonts w:hint="eastAsia"/>
        </w:rPr>
        <w:t>单位：</w:t>
      </w:r>
      <w:sdt>
        <w:sdtPr>
          <w:rPr>
            <w:rFonts w:hint="eastAsia"/>
          </w:rPr>
          <w:alias w:val="单位：财务附注：未确认递延所得税资产的可抵扣亏损将于以下年度到期"/>
          <w:tag w:val="_GBC_f2f4114ac2e940dc8739e6c3e20fe15f"/>
          <w:id w:val="100001465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未确认递延所得税资产的可抵扣亏损将于以下年度到期"/>
          <w:tag w:val="_GBC_a44b093249e5439fa4b311f7150bce43"/>
          <w:id w:val="-345843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4"/>
        <w:gridCol w:w="2285"/>
        <w:gridCol w:w="2323"/>
        <w:gridCol w:w="2354"/>
      </w:tblGrid>
      <w:tr w:rsidR="005E000F" w14:paraId="41270FDC" w14:textId="77777777">
        <w:trPr>
          <w:trHeight w:val="285"/>
        </w:trPr>
        <w:sdt>
          <w:sdtPr>
            <w:tag w:val="_PLD_c2bad95d2ced4c2f8958303268f6cd2b"/>
            <w:id w:val="706690290"/>
          </w:sdtPr>
          <w:sdtContent>
            <w:tc>
              <w:tcPr>
                <w:tcW w:w="2084" w:type="dxa"/>
                <w:tcBorders>
                  <w:top w:val="single" w:sz="4" w:space="0" w:color="auto"/>
                  <w:left w:val="single" w:sz="4" w:space="0" w:color="auto"/>
                  <w:bottom w:val="single" w:sz="4" w:space="0" w:color="auto"/>
                  <w:right w:val="single" w:sz="4" w:space="0" w:color="auto"/>
                </w:tcBorders>
                <w:vAlign w:val="center"/>
              </w:tcPr>
              <w:p w14:paraId="237B97FF" w14:textId="77777777" w:rsidR="005E000F" w:rsidRDefault="00000000">
                <w:pPr>
                  <w:jc w:val="center"/>
                </w:pPr>
                <w:r>
                  <w:rPr>
                    <w:rFonts w:hint="eastAsia"/>
                  </w:rPr>
                  <w:t>年份</w:t>
                </w:r>
              </w:p>
            </w:tc>
          </w:sdtContent>
        </w:sdt>
        <w:sdt>
          <w:sdtPr>
            <w:tag w:val="_PLD_20395d1e877346dbbdb29c15ffdda67a"/>
            <w:id w:val="1557672329"/>
          </w:sdtPr>
          <w:sdtContent>
            <w:tc>
              <w:tcPr>
                <w:tcW w:w="2285" w:type="dxa"/>
                <w:tcBorders>
                  <w:top w:val="single" w:sz="4" w:space="0" w:color="auto"/>
                  <w:left w:val="single" w:sz="4" w:space="0" w:color="auto"/>
                  <w:bottom w:val="single" w:sz="4" w:space="0" w:color="auto"/>
                  <w:right w:val="single" w:sz="4" w:space="0" w:color="auto"/>
                </w:tcBorders>
                <w:vAlign w:val="center"/>
              </w:tcPr>
              <w:p w14:paraId="5782D7D8" w14:textId="77777777" w:rsidR="005E000F" w:rsidRDefault="00000000">
                <w:pPr>
                  <w:jc w:val="center"/>
                </w:pPr>
                <w:r>
                  <w:rPr>
                    <w:rFonts w:hint="eastAsia"/>
                  </w:rPr>
                  <w:t>期末金额</w:t>
                </w:r>
              </w:p>
            </w:tc>
          </w:sdtContent>
        </w:sdt>
        <w:sdt>
          <w:sdtPr>
            <w:tag w:val="_PLD_7c3e310eca854a9283aca385397086c3"/>
            <w:id w:val="-1768074751"/>
          </w:sdtPr>
          <w:sdtContent>
            <w:tc>
              <w:tcPr>
                <w:tcW w:w="2323" w:type="dxa"/>
                <w:tcBorders>
                  <w:top w:val="single" w:sz="4" w:space="0" w:color="auto"/>
                  <w:left w:val="single" w:sz="4" w:space="0" w:color="auto"/>
                  <w:bottom w:val="single" w:sz="4" w:space="0" w:color="auto"/>
                  <w:right w:val="single" w:sz="4" w:space="0" w:color="auto"/>
                </w:tcBorders>
                <w:vAlign w:val="center"/>
              </w:tcPr>
              <w:p w14:paraId="519F5AE0" w14:textId="77777777" w:rsidR="005E000F" w:rsidRDefault="00000000">
                <w:pPr>
                  <w:jc w:val="center"/>
                </w:pPr>
                <w:r>
                  <w:rPr>
                    <w:rFonts w:hint="eastAsia"/>
                  </w:rPr>
                  <w:t>期</w:t>
                </w:r>
                <w:proofErr w:type="gramStart"/>
                <w:r>
                  <w:rPr>
                    <w:rFonts w:hint="eastAsia"/>
                  </w:rPr>
                  <w:t>初金额</w:t>
                </w:r>
                <w:proofErr w:type="gramEnd"/>
              </w:p>
            </w:tc>
          </w:sdtContent>
        </w:sdt>
        <w:sdt>
          <w:sdtPr>
            <w:tag w:val="_PLD_39d10c26cbf24b4481db02bd3f33378d"/>
            <w:id w:val="873811598"/>
          </w:sdtPr>
          <w:sdtContent>
            <w:tc>
              <w:tcPr>
                <w:tcW w:w="2354" w:type="dxa"/>
                <w:tcBorders>
                  <w:top w:val="single" w:sz="4" w:space="0" w:color="auto"/>
                  <w:left w:val="single" w:sz="4" w:space="0" w:color="auto"/>
                  <w:bottom w:val="single" w:sz="4" w:space="0" w:color="auto"/>
                  <w:right w:val="single" w:sz="4" w:space="0" w:color="auto"/>
                </w:tcBorders>
                <w:vAlign w:val="center"/>
              </w:tcPr>
              <w:p w14:paraId="696E224F" w14:textId="77777777" w:rsidR="005E000F" w:rsidRDefault="00000000">
                <w:pPr>
                  <w:jc w:val="center"/>
                </w:pPr>
                <w:r>
                  <w:rPr>
                    <w:rFonts w:hint="eastAsia"/>
                  </w:rPr>
                  <w:t>备注</w:t>
                </w:r>
              </w:p>
            </w:tc>
          </w:sdtContent>
        </w:sdt>
      </w:tr>
      <w:tr w:rsidR="005E000F" w14:paraId="22697CFE" w14:textId="77777777">
        <w:trPr>
          <w:trHeight w:val="80"/>
        </w:trPr>
        <w:tc>
          <w:tcPr>
            <w:tcW w:w="2084" w:type="dxa"/>
            <w:tcBorders>
              <w:top w:val="single" w:sz="4" w:space="0" w:color="auto"/>
              <w:left w:val="single" w:sz="4" w:space="0" w:color="auto"/>
              <w:bottom w:val="single" w:sz="4" w:space="0" w:color="auto"/>
              <w:right w:val="single" w:sz="4" w:space="0" w:color="auto"/>
            </w:tcBorders>
          </w:tcPr>
          <w:p w14:paraId="129838A0" w14:textId="77777777" w:rsidR="005E000F" w:rsidRDefault="00000000">
            <w:pPr>
              <w:jc w:val="both"/>
              <w:rPr>
                <w:color w:val="000000" w:themeColor="text1"/>
                <w:lang w:eastAsia="en-US"/>
              </w:rPr>
            </w:pPr>
            <w:r>
              <w:rPr>
                <w:rFonts w:hint="eastAsia"/>
                <w:color w:val="000000" w:themeColor="text1"/>
              </w:rPr>
              <w:t xml:space="preserve">2025 </w:t>
            </w:r>
            <w:r>
              <w:rPr>
                <w:rFonts w:hint="eastAsia"/>
                <w:color w:val="000000" w:themeColor="text1"/>
              </w:rPr>
              <w:t>年</w:t>
            </w:r>
          </w:p>
        </w:tc>
        <w:tc>
          <w:tcPr>
            <w:tcW w:w="2285" w:type="dxa"/>
            <w:tcBorders>
              <w:top w:val="single" w:sz="4" w:space="0" w:color="auto"/>
              <w:left w:val="single" w:sz="4" w:space="0" w:color="auto"/>
              <w:bottom w:val="single" w:sz="4" w:space="0" w:color="auto"/>
              <w:right w:val="single" w:sz="4" w:space="0" w:color="auto"/>
            </w:tcBorders>
            <w:vAlign w:val="center"/>
          </w:tcPr>
          <w:p w14:paraId="74C11376" w14:textId="77777777" w:rsidR="005E000F" w:rsidRDefault="00000000">
            <w:pPr>
              <w:jc w:val="right"/>
            </w:pPr>
            <w:r>
              <w:rPr>
                <w:rFonts w:hint="eastAsia"/>
              </w:rPr>
              <w:t>0</w:t>
            </w:r>
          </w:p>
        </w:tc>
        <w:tc>
          <w:tcPr>
            <w:tcW w:w="2323" w:type="dxa"/>
            <w:tcBorders>
              <w:top w:val="single" w:sz="4" w:space="0" w:color="auto"/>
              <w:left w:val="single" w:sz="4" w:space="0" w:color="auto"/>
              <w:bottom w:val="single" w:sz="4" w:space="0" w:color="auto"/>
              <w:right w:val="single" w:sz="4" w:space="0" w:color="auto"/>
            </w:tcBorders>
            <w:vAlign w:val="center"/>
          </w:tcPr>
          <w:p w14:paraId="2E147EB1" w14:textId="77777777" w:rsidR="005E000F" w:rsidRDefault="00000000">
            <w:pPr>
              <w:jc w:val="right"/>
              <w:rPr>
                <w:lang w:eastAsia="en-US"/>
              </w:rPr>
            </w:pPr>
            <w:r>
              <w:t>386,341,831</w:t>
            </w:r>
          </w:p>
        </w:tc>
        <w:tc>
          <w:tcPr>
            <w:tcW w:w="2354" w:type="dxa"/>
            <w:tcBorders>
              <w:top w:val="single" w:sz="4" w:space="0" w:color="auto"/>
              <w:left w:val="single" w:sz="4" w:space="0" w:color="auto"/>
              <w:bottom w:val="single" w:sz="4" w:space="0" w:color="auto"/>
              <w:right w:val="single" w:sz="4" w:space="0" w:color="auto"/>
            </w:tcBorders>
            <w:vAlign w:val="center"/>
          </w:tcPr>
          <w:p w14:paraId="634D2AA2" w14:textId="77777777" w:rsidR="005E000F" w:rsidRDefault="005E000F"/>
        </w:tc>
      </w:tr>
      <w:tr w:rsidR="005E000F" w14:paraId="66ECEAE6" w14:textId="77777777">
        <w:trPr>
          <w:trHeight w:val="80"/>
        </w:trPr>
        <w:tc>
          <w:tcPr>
            <w:tcW w:w="2084" w:type="dxa"/>
            <w:tcBorders>
              <w:top w:val="single" w:sz="4" w:space="0" w:color="auto"/>
              <w:left w:val="single" w:sz="4" w:space="0" w:color="auto"/>
              <w:bottom w:val="single" w:sz="4" w:space="0" w:color="auto"/>
              <w:right w:val="single" w:sz="4" w:space="0" w:color="auto"/>
            </w:tcBorders>
          </w:tcPr>
          <w:p w14:paraId="43ECE494" w14:textId="77777777" w:rsidR="005E000F" w:rsidRDefault="00000000">
            <w:pPr>
              <w:jc w:val="both"/>
              <w:rPr>
                <w:color w:val="000000" w:themeColor="text1"/>
                <w:lang w:eastAsia="en-US"/>
              </w:rPr>
            </w:pPr>
            <w:r>
              <w:rPr>
                <w:rFonts w:hint="eastAsia"/>
                <w:color w:val="000000" w:themeColor="text1"/>
              </w:rPr>
              <w:t xml:space="preserve">2026 </w:t>
            </w:r>
            <w:r>
              <w:rPr>
                <w:rFonts w:hint="eastAsia"/>
                <w:color w:val="000000" w:themeColor="text1"/>
              </w:rPr>
              <w:t>年</w:t>
            </w:r>
          </w:p>
        </w:tc>
        <w:tc>
          <w:tcPr>
            <w:tcW w:w="2285" w:type="dxa"/>
            <w:tcBorders>
              <w:top w:val="single" w:sz="4" w:space="0" w:color="auto"/>
              <w:left w:val="single" w:sz="4" w:space="0" w:color="auto"/>
              <w:bottom w:val="single" w:sz="4" w:space="0" w:color="auto"/>
              <w:right w:val="single" w:sz="4" w:space="0" w:color="auto"/>
            </w:tcBorders>
            <w:vAlign w:val="center"/>
          </w:tcPr>
          <w:p w14:paraId="7209E677" w14:textId="77777777" w:rsidR="005E000F" w:rsidRDefault="00000000">
            <w:pPr>
              <w:jc w:val="right"/>
            </w:pPr>
            <w:r>
              <w:t>224,773,945</w:t>
            </w:r>
          </w:p>
        </w:tc>
        <w:tc>
          <w:tcPr>
            <w:tcW w:w="2323" w:type="dxa"/>
            <w:tcBorders>
              <w:top w:val="single" w:sz="4" w:space="0" w:color="auto"/>
              <w:left w:val="single" w:sz="4" w:space="0" w:color="auto"/>
              <w:bottom w:val="single" w:sz="4" w:space="0" w:color="auto"/>
              <w:right w:val="single" w:sz="4" w:space="0" w:color="auto"/>
            </w:tcBorders>
            <w:vAlign w:val="center"/>
          </w:tcPr>
          <w:p w14:paraId="00DB683B" w14:textId="77777777" w:rsidR="005E000F" w:rsidRDefault="00000000">
            <w:pPr>
              <w:jc w:val="right"/>
              <w:rPr>
                <w:lang w:eastAsia="en-US"/>
              </w:rPr>
            </w:pPr>
            <w:r>
              <w:t>230,270,718</w:t>
            </w:r>
          </w:p>
        </w:tc>
        <w:tc>
          <w:tcPr>
            <w:tcW w:w="2354" w:type="dxa"/>
            <w:tcBorders>
              <w:top w:val="single" w:sz="4" w:space="0" w:color="auto"/>
              <w:left w:val="single" w:sz="4" w:space="0" w:color="auto"/>
              <w:bottom w:val="single" w:sz="4" w:space="0" w:color="auto"/>
              <w:right w:val="single" w:sz="4" w:space="0" w:color="auto"/>
            </w:tcBorders>
            <w:vAlign w:val="center"/>
          </w:tcPr>
          <w:p w14:paraId="7C3A62CA" w14:textId="77777777" w:rsidR="005E000F" w:rsidRDefault="005E000F"/>
        </w:tc>
      </w:tr>
      <w:tr w:rsidR="005E000F" w14:paraId="59E02092" w14:textId="77777777">
        <w:trPr>
          <w:trHeight w:val="80"/>
        </w:trPr>
        <w:tc>
          <w:tcPr>
            <w:tcW w:w="2084" w:type="dxa"/>
            <w:tcBorders>
              <w:top w:val="single" w:sz="4" w:space="0" w:color="auto"/>
              <w:left w:val="single" w:sz="4" w:space="0" w:color="auto"/>
              <w:bottom w:val="single" w:sz="4" w:space="0" w:color="auto"/>
              <w:right w:val="single" w:sz="4" w:space="0" w:color="auto"/>
            </w:tcBorders>
          </w:tcPr>
          <w:p w14:paraId="29FC672D" w14:textId="77777777" w:rsidR="005E000F" w:rsidRDefault="00000000">
            <w:pPr>
              <w:jc w:val="both"/>
              <w:rPr>
                <w:color w:val="000000" w:themeColor="text1"/>
                <w:lang w:eastAsia="en-US"/>
              </w:rPr>
            </w:pPr>
            <w:r>
              <w:rPr>
                <w:rFonts w:hint="eastAsia"/>
                <w:color w:val="000000" w:themeColor="text1"/>
              </w:rPr>
              <w:t xml:space="preserve">2027 </w:t>
            </w:r>
            <w:r>
              <w:rPr>
                <w:rFonts w:hint="eastAsia"/>
                <w:color w:val="000000" w:themeColor="text1"/>
              </w:rPr>
              <w:t>年</w:t>
            </w:r>
          </w:p>
        </w:tc>
        <w:tc>
          <w:tcPr>
            <w:tcW w:w="2285" w:type="dxa"/>
            <w:tcBorders>
              <w:top w:val="single" w:sz="4" w:space="0" w:color="auto"/>
              <w:left w:val="single" w:sz="4" w:space="0" w:color="auto"/>
              <w:bottom w:val="single" w:sz="4" w:space="0" w:color="auto"/>
              <w:right w:val="single" w:sz="4" w:space="0" w:color="auto"/>
            </w:tcBorders>
            <w:vAlign w:val="center"/>
          </w:tcPr>
          <w:p w14:paraId="530EF938" w14:textId="77777777" w:rsidR="005E000F" w:rsidRDefault="00000000">
            <w:pPr>
              <w:jc w:val="right"/>
            </w:pPr>
            <w:r>
              <w:t>295,134,120</w:t>
            </w:r>
          </w:p>
        </w:tc>
        <w:tc>
          <w:tcPr>
            <w:tcW w:w="2323" w:type="dxa"/>
            <w:tcBorders>
              <w:top w:val="single" w:sz="4" w:space="0" w:color="auto"/>
              <w:left w:val="single" w:sz="4" w:space="0" w:color="auto"/>
              <w:bottom w:val="single" w:sz="4" w:space="0" w:color="auto"/>
              <w:right w:val="single" w:sz="4" w:space="0" w:color="auto"/>
            </w:tcBorders>
            <w:vAlign w:val="center"/>
          </w:tcPr>
          <w:p w14:paraId="007BCB50" w14:textId="77777777" w:rsidR="005E000F" w:rsidRDefault="00000000">
            <w:pPr>
              <w:jc w:val="right"/>
              <w:rPr>
                <w:lang w:eastAsia="en-US"/>
              </w:rPr>
            </w:pPr>
            <w:r>
              <w:t>300,212,424</w:t>
            </w:r>
          </w:p>
        </w:tc>
        <w:tc>
          <w:tcPr>
            <w:tcW w:w="2354" w:type="dxa"/>
            <w:tcBorders>
              <w:top w:val="single" w:sz="4" w:space="0" w:color="auto"/>
              <w:left w:val="single" w:sz="4" w:space="0" w:color="auto"/>
              <w:bottom w:val="single" w:sz="4" w:space="0" w:color="auto"/>
              <w:right w:val="single" w:sz="4" w:space="0" w:color="auto"/>
            </w:tcBorders>
            <w:vAlign w:val="center"/>
          </w:tcPr>
          <w:p w14:paraId="28337A1B" w14:textId="77777777" w:rsidR="005E000F" w:rsidRDefault="005E000F"/>
        </w:tc>
      </w:tr>
      <w:tr w:rsidR="005E000F" w14:paraId="5063DD8A" w14:textId="77777777">
        <w:trPr>
          <w:trHeight w:val="80"/>
        </w:trPr>
        <w:tc>
          <w:tcPr>
            <w:tcW w:w="2084" w:type="dxa"/>
            <w:tcBorders>
              <w:top w:val="single" w:sz="4" w:space="0" w:color="auto"/>
              <w:left w:val="single" w:sz="4" w:space="0" w:color="auto"/>
              <w:bottom w:val="single" w:sz="4" w:space="0" w:color="auto"/>
              <w:right w:val="single" w:sz="4" w:space="0" w:color="auto"/>
            </w:tcBorders>
          </w:tcPr>
          <w:p w14:paraId="064E6050" w14:textId="77777777" w:rsidR="005E000F" w:rsidRDefault="00000000">
            <w:pPr>
              <w:jc w:val="both"/>
              <w:rPr>
                <w:color w:val="000000" w:themeColor="text1"/>
                <w:lang w:eastAsia="en-US"/>
              </w:rPr>
            </w:pPr>
            <w:r>
              <w:rPr>
                <w:rFonts w:hint="eastAsia"/>
                <w:color w:val="000000" w:themeColor="text1"/>
              </w:rPr>
              <w:t xml:space="preserve">2028 </w:t>
            </w:r>
            <w:r>
              <w:rPr>
                <w:rFonts w:hint="eastAsia"/>
                <w:color w:val="000000" w:themeColor="text1"/>
              </w:rPr>
              <w:t>年</w:t>
            </w:r>
          </w:p>
        </w:tc>
        <w:tc>
          <w:tcPr>
            <w:tcW w:w="2285" w:type="dxa"/>
            <w:tcBorders>
              <w:top w:val="single" w:sz="4" w:space="0" w:color="auto"/>
              <w:left w:val="single" w:sz="4" w:space="0" w:color="auto"/>
              <w:bottom w:val="single" w:sz="4" w:space="0" w:color="auto"/>
              <w:right w:val="single" w:sz="4" w:space="0" w:color="auto"/>
            </w:tcBorders>
            <w:vAlign w:val="center"/>
          </w:tcPr>
          <w:p w14:paraId="07D1A200" w14:textId="77777777" w:rsidR="005E000F" w:rsidRDefault="00000000">
            <w:pPr>
              <w:jc w:val="right"/>
            </w:pPr>
            <w:r>
              <w:t>359,216,815</w:t>
            </w:r>
          </w:p>
        </w:tc>
        <w:tc>
          <w:tcPr>
            <w:tcW w:w="2323" w:type="dxa"/>
            <w:tcBorders>
              <w:top w:val="single" w:sz="4" w:space="0" w:color="auto"/>
              <w:left w:val="single" w:sz="4" w:space="0" w:color="auto"/>
              <w:bottom w:val="single" w:sz="4" w:space="0" w:color="auto"/>
              <w:right w:val="single" w:sz="4" w:space="0" w:color="auto"/>
            </w:tcBorders>
            <w:vAlign w:val="center"/>
          </w:tcPr>
          <w:p w14:paraId="104091AD" w14:textId="77777777" w:rsidR="005E000F" w:rsidRDefault="00000000">
            <w:pPr>
              <w:jc w:val="right"/>
              <w:rPr>
                <w:lang w:eastAsia="en-US"/>
              </w:rPr>
            </w:pPr>
            <w:r>
              <w:t>408,088,814</w:t>
            </w:r>
          </w:p>
        </w:tc>
        <w:tc>
          <w:tcPr>
            <w:tcW w:w="2354" w:type="dxa"/>
            <w:tcBorders>
              <w:top w:val="single" w:sz="4" w:space="0" w:color="auto"/>
              <w:left w:val="single" w:sz="4" w:space="0" w:color="auto"/>
              <w:bottom w:val="single" w:sz="4" w:space="0" w:color="auto"/>
              <w:right w:val="single" w:sz="4" w:space="0" w:color="auto"/>
            </w:tcBorders>
            <w:vAlign w:val="center"/>
          </w:tcPr>
          <w:p w14:paraId="18214BC1" w14:textId="77777777" w:rsidR="005E000F" w:rsidRDefault="005E000F"/>
        </w:tc>
      </w:tr>
      <w:tr w:rsidR="005E000F" w14:paraId="4D52421B" w14:textId="77777777">
        <w:trPr>
          <w:trHeight w:val="80"/>
        </w:trPr>
        <w:tc>
          <w:tcPr>
            <w:tcW w:w="2084" w:type="dxa"/>
            <w:tcBorders>
              <w:top w:val="single" w:sz="4" w:space="0" w:color="auto"/>
              <w:left w:val="single" w:sz="4" w:space="0" w:color="auto"/>
              <w:bottom w:val="single" w:sz="4" w:space="0" w:color="auto"/>
              <w:right w:val="single" w:sz="4" w:space="0" w:color="auto"/>
            </w:tcBorders>
          </w:tcPr>
          <w:p w14:paraId="2236DA57" w14:textId="77777777" w:rsidR="005E000F" w:rsidRDefault="00000000">
            <w:pPr>
              <w:jc w:val="both"/>
              <w:rPr>
                <w:color w:val="000000" w:themeColor="text1"/>
                <w:lang w:eastAsia="en-US"/>
              </w:rPr>
            </w:pPr>
            <w:r>
              <w:rPr>
                <w:rFonts w:hint="eastAsia"/>
                <w:color w:val="000000" w:themeColor="text1"/>
              </w:rPr>
              <w:t xml:space="preserve">2029 </w:t>
            </w:r>
            <w:r>
              <w:rPr>
                <w:rFonts w:hint="eastAsia"/>
                <w:color w:val="000000" w:themeColor="text1"/>
              </w:rPr>
              <w:t>年</w:t>
            </w:r>
          </w:p>
        </w:tc>
        <w:tc>
          <w:tcPr>
            <w:tcW w:w="2285" w:type="dxa"/>
            <w:tcBorders>
              <w:top w:val="single" w:sz="4" w:space="0" w:color="auto"/>
              <w:left w:val="single" w:sz="4" w:space="0" w:color="auto"/>
              <w:bottom w:val="single" w:sz="4" w:space="0" w:color="auto"/>
              <w:right w:val="single" w:sz="4" w:space="0" w:color="auto"/>
            </w:tcBorders>
            <w:vAlign w:val="center"/>
          </w:tcPr>
          <w:p w14:paraId="2D6301F7" w14:textId="77777777" w:rsidR="005E000F" w:rsidRDefault="00000000">
            <w:pPr>
              <w:jc w:val="right"/>
            </w:pPr>
            <w:r>
              <w:t>293,785,567</w:t>
            </w:r>
          </w:p>
        </w:tc>
        <w:tc>
          <w:tcPr>
            <w:tcW w:w="2323" w:type="dxa"/>
            <w:tcBorders>
              <w:top w:val="single" w:sz="4" w:space="0" w:color="auto"/>
              <w:left w:val="single" w:sz="4" w:space="0" w:color="auto"/>
              <w:bottom w:val="single" w:sz="4" w:space="0" w:color="auto"/>
              <w:right w:val="single" w:sz="4" w:space="0" w:color="auto"/>
            </w:tcBorders>
            <w:vAlign w:val="center"/>
          </w:tcPr>
          <w:p w14:paraId="4A4F29B6" w14:textId="77777777" w:rsidR="005E000F" w:rsidRDefault="00000000">
            <w:pPr>
              <w:jc w:val="right"/>
              <w:rPr>
                <w:lang w:eastAsia="en-US"/>
              </w:rPr>
            </w:pPr>
            <w:r>
              <w:t>319,295,530</w:t>
            </w:r>
          </w:p>
        </w:tc>
        <w:tc>
          <w:tcPr>
            <w:tcW w:w="2354" w:type="dxa"/>
            <w:tcBorders>
              <w:top w:val="single" w:sz="4" w:space="0" w:color="auto"/>
              <w:left w:val="single" w:sz="4" w:space="0" w:color="auto"/>
              <w:bottom w:val="single" w:sz="4" w:space="0" w:color="auto"/>
              <w:right w:val="single" w:sz="4" w:space="0" w:color="auto"/>
            </w:tcBorders>
            <w:vAlign w:val="center"/>
          </w:tcPr>
          <w:p w14:paraId="5A0001CF" w14:textId="77777777" w:rsidR="005E000F" w:rsidRDefault="005E000F"/>
        </w:tc>
      </w:tr>
      <w:tr w:rsidR="005E000F" w14:paraId="17BC0DB0" w14:textId="77777777">
        <w:trPr>
          <w:trHeight w:val="80"/>
        </w:trPr>
        <w:tc>
          <w:tcPr>
            <w:tcW w:w="2084" w:type="dxa"/>
            <w:tcBorders>
              <w:top w:val="single" w:sz="4" w:space="0" w:color="auto"/>
              <w:left w:val="single" w:sz="4" w:space="0" w:color="auto"/>
              <w:bottom w:val="single" w:sz="4" w:space="0" w:color="auto"/>
              <w:right w:val="single" w:sz="4" w:space="0" w:color="auto"/>
            </w:tcBorders>
            <w:vAlign w:val="center"/>
          </w:tcPr>
          <w:p w14:paraId="67BEF2D4" w14:textId="77777777" w:rsidR="005E000F" w:rsidRDefault="00000000">
            <w:r>
              <w:rPr>
                <w:rFonts w:hint="eastAsia"/>
                <w:color w:val="000000" w:themeColor="text1"/>
              </w:rPr>
              <w:t xml:space="preserve">2030 </w:t>
            </w:r>
            <w:r>
              <w:rPr>
                <w:rFonts w:hint="eastAsia"/>
                <w:color w:val="000000" w:themeColor="text1"/>
              </w:rPr>
              <w:t>年</w:t>
            </w:r>
          </w:p>
        </w:tc>
        <w:tc>
          <w:tcPr>
            <w:tcW w:w="2285" w:type="dxa"/>
            <w:tcBorders>
              <w:top w:val="single" w:sz="4" w:space="0" w:color="auto"/>
              <w:left w:val="single" w:sz="4" w:space="0" w:color="auto"/>
              <w:bottom w:val="single" w:sz="4" w:space="0" w:color="auto"/>
              <w:right w:val="single" w:sz="4" w:space="0" w:color="auto"/>
            </w:tcBorders>
            <w:vAlign w:val="center"/>
          </w:tcPr>
          <w:p w14:paraId="237693DF" w14:textId="77777777" w:rsidR="005E000F" w:rsidRDefault="00000000">
            <w:pPr>
              <w:jc w:val="right"/>
            </w:pPr>
            <w:r>
              <w:t>474,303,613</w:t>
            </w:r>
          </w:p>
        </w:tc>
        <w:tc>
          <w:tcPr>
            <w:tcW w:w="2323" w:type="dxa"/>
            <w:tcBorders>
              <w:top w:val="single" w:sz="4" w:space="0" w:color="auto"/>
              <w:left w:val="single" w:sz="4" w:space="0" w:color="auto"/>
              <w:bottom w:val="single" w:sz="4" w:space="0" w:color="auto"/>
              <w:right w:val="single" w:sz="4" w:space="0" w:color="auto"/>
            </w:tcBorders>
            <w:vAlign w:val="center"/>
          </w:tcPr>
          <w:p w14:paraId="17139839" w14:textId="77777777" w:rsidR="005E000F" w:rsidRDefault="00000000">
            <w:pPr>
              <w:jc w:val="right"/>
            </w:pPr>
            <w:r>
              <w:rPr>
                <w:rFonts w:hint="eastAsia"/>
              </w:rPr>
              <w:t>0</w:t>
            </w:r>
          </w:p>
        </w:tc>
        <w:tc>
          <w:tcPr>
            <w:tcW w:w="2354" w:type="dxa"/>
            <w:tcBorders>
              <w:top w:val="single" w:sz="4" w:space="0" w:color="auto"/>
              <w:left w:val="single" w:sz="4" w:space="0" w:color="auto"/>
              <w:bottom w:val="single" w:sz="4" w:space="0" w:color="auto"/>
              <w:right w:val="single" w:sz="4" w:space="0" w:color="auto"/>
            </w:tcBorders>
            <w:vAlign w:val="center"/>
          </w:tcPr>
          <w:p w14:paraId="65C37DC0" w14:textId="77777777" w:rsidR="005E000F" w:rsidRDefault="005E000F"/>
        </w:tc>
      </w:tr>
      <w:tr w:rsidR="005E000F" w14:paraId="558A926F" w14:textId="77777777">
        <w:trPr>
          <w:trHeight w:val="285"/>
        </w:trPr>
        <w:tc>
          <w:tcPr>
            <w:tcW w:w="2084" w:type="dxa"/>
            <w:tcBorders>
              <w:top w:val="single" w:sz="4" w:space="0" w:color="auto"/>
              <w:left w:val="single" w:sz="4" w:space="0" w:color="auto"/>
              <w:bottom w:val="single" w:sz="4" w:space="0" w:color="auto"/>
              <w:right w:val="single" w:sz="4" w:space="0" w:color="auto"/>
            </w:tcBorders>
            <w:vAlign w:val="center"/>
          </w:tcPr>
          <w:p w14:paraId="2465D1BC" w14:textId="77777777" w:rsidR="005E000F" w:rsidRDefault="00000000">
            <w:pPr>
              <w:jc w:val="center"/>
            </w:pPr>
            <w:r>
              <w:rPr>
                <w:rFonts w:hint="eastAsia"/>
              </w:rPr>
              <w:t>合计</w:t>
            </w:r>
          </w:p>
        </w:tc>
        <w:tc>
          <w:tcPr>
            <w:tcW w:w="2285" w:type="dxa"/>
            <w:tcBorders>
              <w:top w:val="single" w:sz="4" w:space="0" w:color="auto"/>
              <w:left w:val="single" w:sz="4" w:space="0" w:color="auto"/>
              <w:bottom w:val="single" w:sz="4" w:space="0" w:color="auto"/>
              <w:right w:val="single" w:sz="4" w:space="0" w:color="auto"/>
            </w:tcBorders>
            <w:vAlign w:val="center"/>
          </w:tcPr>
          <w:p w14:paraId="712BE6FF" w14:textId="77777777" w:rsidR="005E000F" w:rsidRDefault="00000000">
            <w:pPr>
              <w:jc w:val="right"/>
            </w:pPr>
            <w:r>
              <w:t>1,647,214,060</w:t>
            </w:r>
          </w:p>
        </w:tc>
        <w:tc>
          <w:tcPr>
            <w:tcW w:w="2323" w:type="dxa"/>
            <w:tcBorders>
              <w:top w:val="single" w:sz="4" w:space="0" w:color="auto"/>
              <w:left w:val="single" w:sz="4" w:space="0" w:color="auto"/>
              <w:bottom w:val="single" w:sz="4" w:space="0" w:color="auto"/>
              <w:right w:val="single" w:sz="4" w:space="0" w:color="auto"/>
            </w:tcBorders>
            <w:vAlign w:val="center"/>
          </w:tcPr>
          <w:p w14:paraId="3C49AC57" w14:textId="77777777" w:rsidR="005E000F" w:rsidRDefault="00000000">
            <w:pPr>
              <w:jc w:val="right"/>
            </w:pPr>
            <w:r>
              <w:t>1,644,209,317</w:t>
            </w:r>
          </w:p>
        </w:tc>
        <w:tc>
          <w:tcPr>
            <w:tcW w:w="2354" w:type="dxa"/>
            <w:tcBorders>
              <w:top w:val="single" w:sz="4" w:space="0" w:color="auto"/>
              <w:left w:val="single" w:sz="4" w:space="0" w:color="auto"/>
              <w:bottom w:val="single" w:sz="4" w:space="0" w:color="auto"/>
              <w:right w:val="single" w:sz="4" w:space="0" w:color="auto"/>
            </w:tcBorders>
            <w:vAlign w:val="center"/>
          </w:tcPr>
          <w:p w14:paraId="71654810" w14:textId="77777777" w:rsidR="005E000F" w:rsidRDefault="00000000">
            <w:pPr>
              <w:jc w:val="center"/>
            </w:pPr>
            <w:r>
              <w:rPr>
                <w:rFonts w:hint="eastAsia"/>
              </w:rPr>
              <w:t>/</w:t>
            </w:r>
          </w:p>
        </w:tc>
      </w:tr>
    </w:tbl>
    <w:p w14:paraId="402099A5" w14:textId="77777777" w:rsidR="005E000F" w:rsidRDefault="005E000F">
      <w:pPr>
        <w:rPr>
          <w:color w:val="FF00FF"/>
        </w:rPr>
      </w:pPr>
    </w:p>
    <w:bookmarkEnd w:id="360"/>
    <w:p w14:paraId="3DB3294E" w14:textId="77777777" w:rsidR="005E000F" w:rsidRDefault="00000000">
      <w:r>
        <w:rPr>
          <w:rFonts w:hint="eastAsia"/>
        </w:rPr>
        <w:t>其他说明：</w:t>
      </w:r>
    </w:p>
    <w:sdt>
      <w:sdtPr>
        <w:alias w:val="是否适用：递延所得税资产和递延所得税负债的说明[双击切换]"/>
        <w:tag w:val="_GBC_7f4fae30d73847918bda2bbfa91008fe"/>
        <w:id w:val="-267786350"/>
        <w:placeholder>
          <w:docPart w:val="GBC22222222222222222222222222222"/>
        </w:placeholder>
      </w:sdtPr>
      <w:sdtContent>
        <w:p w14:paraId="1D44716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递延所得税资产和递延所得税负债的说明"/>
        <w:tag w:val="_GBC_8a0849a247654a52813ac31359163aaa"/>
        <w:id w:val="916983883"/>
        <w:placeholder>
          <w:docPart w:val="GBC22222222222222222222222222222"/>
        </w:placeholder>
      </w:sdtPr>
      <w:sdtContent>
        <w:sdt>
          <w:sdtPr>
            <w:rPr>
              <w:color w:val="000000" w:themeColor="text1"/>
            </w:rPr>
            <w:alias w:val="递延所得税资产和递延所得税负债的说明"/>
            <w:tag w:val="_GBC_542c1a23126f46c398ae6907555a7cf5"/>
            <w:id w:val="1978563842"/>
            <w:placeholder>
              <w:docPart w:val="{d159fd9a-73ef-4dc9-b8e8-4e7794576214}"/>
            </w:placeholder>
          </w:sdtPr>
          <w:sdtContent>
            <w:p w14:paraId="65C01F23" w14:textId="77777777" w:rsidR="005E000F" w:rsidRDefault="00000000">
              <w:pPr>
                <w:rPr>
                  <w:color w:val="000000" w:themeColor="text1"/>
                </w:rPr>
              </w:pPr>
              <w:r>
                <w:rPr>
                  <w:rFonts w:hint="eastAsia"/>
                  <w:color w:val="000000" w:themeColor="text1"/>
                </w:rPr>
                <w:t>注</w:t>
              </w:r>
              <w:r>
                <w:rPr>
                  <w:rFonts w:hint="eastAsia"/>
                  <w:color w:val="000000" w:themeColor="text1"/>
                </w:rPr>
                <w:t xml:space="preserve"> 1</w:t>
              </w:r>
              <w:r>
                <w:rPr>
                  <w:rFonts w:hint="eastAsia"/>
                  <w:color w:val="000000" w:themeColor="text1"/>
                </w:rPr>
                <w:t>：本公司于</w:t>
              </w:r>
              <w:r>
                <w:rPr>
                  <w:rFonts w:hint="eastAsia"/>
                  <w:color w:val="000000" w:themeColor="text1"/>
                </w:rPr>
                <w:t>2010</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31</w:t>
              </w:r>
              <w:r>
                <w:rPr>
                  <w:rFonts w:hint="eastAsia"/>
                  <w:color w:val="000000" w:themeColor="text1"/>
                </w:rPr>
                <w:t>日完成了对于目标业务的收购。由于原大</w:t>
              </w:r>
              <w:proofErr w:type="gramStart"/>
              <w:r>
                <w:rPr>
                  <w:rFonts w:hint="eastAsia"/>
                  <w:color w:val="000000" w:themeColor="text1"/>
                </w:rPr>
                <w:t>秦公司</w:t>
              </w:r>
              <w:proofErr w:type="gramEnd"/>
              <w:r>
                <w:rPr>
                  <w:rFonts w:hint="eastAsia"/>
                  <w:color w:val="000000" w:themeColor="text1"/>
                </w:rPr>
                <w:t>与目标业务</w:t>
              </w:r>
              <w:r>
                <w:rPr>
                  <w:rFonts w:hint="eastAsia"/>
                  <w:color w:val="000000" w:themeColor="text1"/>
                </w:rPr>
                <w:t>(</w:t>
              </w:r>
              <w:r>
                <w:rPr>
                  <w:rFonts w:hint="eastAsia"/>
                  <w:color w:val="000000" w:themeColor="text1"/>
                </w:rPr>
                <w:t>除“朔黄铁路股权”外</w:t>
              </w:r>
              <w:r>
                <w:rPr>
                  <w:rFonts w:hint="eastAsia"/>
                  <w:color w:val="000000" w:themeColor="text1"/>
                </w:rPr>
                <w:t>)</w:t>
              </w:r>
              <w:r>
                <w:rPr>
                  <w:rFonts w:hint="eastAsia"/>
                  <w:color w:val="000000" w:themeColor="text1"/>
                </w:rPr>
                <w:t>在资产</w:t>
              </w:r>
              <w:proofErr w:type="gramStart"/>
              <w:r>
                <w:rPr>
                  <w:rFonts w:hint="eastAsia"/>
                  <w:color w:val="000000" w:themeColor="text1"/>
                </w:rPr>
                <w:t>交割日前</w:t>
              </w:r>
              <w:proofErr w:type="gramEnd"/>
              <w:r>
                <w:rPr>
                  <w:rFonts w:hint="eastAsia"/>
                  <w:color w:val="000000" w:themeColor="text1"/>
                </w:rPr>
                <w:t>后均受太原局集团公司控制，因此本集团按照同</w:t>
              </w:r>
              <w:proofErr w:type="gramStart"/>
              <w:r>
                <w:rPr>
                  <w:rFonts w:hint="eastAsia"/>
                  <w:color w:val="000000" w:themeColor="text1"/>
                </w:rPr>
                <w:t>一控制</w:t>
              </w:r>
              <w:proofErr w:type="gramEnd"/>
              <w:r>
                <w:rPr>
                  <w:rFonts w:hint="eastAsia"/>
                  <w:color w:val="000000" w:themeColor="text1"/>
                </w:rPr>
                <w:t>下企业合并的有关处理要求，将目标业务</w:t>
              </w:r>
              <w:r>
                <w:rPr>
                  <w:rFonts w:hint="eastAsia"/>
                  <w:color w:val="000000" w:themeColor="text1"/>
                </w:rPr>
                <w:t>(</w:t>
              </w:r>
              <w:r>
                <w:rPr>
                  <w:rFonts w:hint="eastAsia"/>
                  <w:color w:val="000000" w:themeColor="text1"/>
                </w:rPr>
                <w:t>除“朔黄铁路股权”外</w:t>
              </w:r>
              <w:r>
                <w:rPr>
                  <w:rFonts w:hint="eastAsia"/>
                  <w:color w:val="000000" w:themeColor="text1"/>
                </w:rPr>
                <w:t>)</w:t>
              </w:r>
              <w:r>
                <w:rPr>
                  <w:rFonts w:hint="eastAsia"/>
                  <w:color w:val="000000" w:themeColor="text1"/>
                </w:rPr>
                <w:t>的资产、负债按照其原账面价值</w:t>
              </w:r>
              <w:proofErr w:type="gramStart"/>
              <w:r>
                <w:rPr>
                  <w:rFonts w:hint="eastAsia"/>
                  <w:color w:val="000000" w:themeColor="text1"/>
                </w:rPr>
                <w:t>合并入本集团</w:t>
              </w:r>
              <w:proofErr w:type="gramEnd"/>
              <w:r>
                <w:rPr>
                  <w:rFonts w:hint="eastAsia"/>
                  <w:color w:val="000000" w:themeColor="text1"/>
                </w:rPr>
                <w:t>财务报表。</w:t>
              </w:r>
            </w:p>
            <w:p w14:paraId="167778EE" w14:textId="77777777" w:rsidR="005E000F" w:rsidRDefault="00000000">
              <w:pPr>
                <w:rPr>
                  <w:color w:val="000000" w:themeColor="text1"/>
                </w:rPr>
              </w:pPr>
              <w:r>
                <w:rPr>
                  <w:rFonts w:hint="eastAsia"/>
                  <w:color w:val="000000" w:themeColor="text1"/>
                </w:rPr>
                <w:t>根据财政部及国家税务总局《关于太原铁路局运输主业改制上市有关企业所得税政策的通知》</w:t>
              </w:r>
              <w:r>
                <w:rPr>
                  <w:rFonts w:hint="eastAsia"/>
                  <w:color w:val="000000" w:themeColor="text1"/>
                </w:rPr>
                <w:t>(</w:t>
              </w:r>
              <w:r>
                <w:rPr>
                  <w:rFonts w:hint="eastAsia"/>
                  <w:color w:val="000000" w:themeColor="text1"/>
                </w:rPr>
                <w:t>财税【</w:t>
              </w:r>
              <w:r>
                <w:rPr>
                  <w:rFonts w:hint="eastAsia"/>
                  <w:color w:val="000000" w:themeColor="text1"/>
                </w:rPr>
                <w:t>2012</w:t>
              </w:r>
              <w:r>
                <w:rPr>
                  <w:rFonts w:hint="eastAsia"/>
                  <w:color w:val="000000" w:themeColor="text1"/>
                </w:rPr>
                <w:t>】</w:t>
              </w:r>
              <w:r>
                <w:rPr>
                  <w:rFonts w:hint="eastAsia"/>
                  <w:color w:val="000000" w:themeColor="text1"/>
                </w:rPr>
                <w:t>46</w:t>
              </w:r>
              <w:r>
                <w:rPr>
                  <w:rFonts w:hint="eastAsia"/>
                  <w:color w:val="000000" w:themeColor="text1"/>
                </w:rPr>
                <w:t>号</w:t>
              </w:r>
              <w:r>
                <w:rPr>
                  <w:rFonts w:hint="eastAsia"/>
                  <w:color w:val="000000" w:themeColor="text1"/>
                </w:rPr>
                <w:t>)</w:t>
              </w:r>
              <w:r>
                <w:rPr>
                  <w:rFonts w:hint="eastAsia"/>
                  <w:color w:val="000000" w:themeColor="text1"/>
                </w:rPr>
                <w:t>，对于原大</w:t>
              </w:r>
              <w:proofErr w:type="gramStart"/>
              <w:r>
                <w:rPr>
                  <w:rFonts w:hint="eastAsia"/>
                  <w:color w:val="000000" w:themeColor="text1"/>
                </w:rPr>
                <w:t>秦公司收购自</w:t>
              </w:r>
              <w:proofErr w:type="gramEnd"/>
              <w:r>
                <w:rPr>
                  <w:rFonts w:hint="eastAsia"/>
                  <w:color w:val="000000" w:themeColor="text1"/>
                </w:rPr>
                <w:t>太原局集团公司的固定资产，允许本公司按照以</w:t>
              </w:r>
              <w:r>
                <w:rPr>
                  <w:rFonts w:hint="eastAsia"/>
                  <w:color w:val="000000" w:themeColor="text1"/>
                </w:rPr>
                <w:t>2009</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30</w:t>
              </w:r>
              <w:r>
                <w:rPr>
                  <w:rFonts w:hint="eastAsia"/>
                  <w:color w:val="000000" w:themeColor="text1"/>
                </w:rPr>
                <w:t>日为评估基准日的评估价值计提折旧或者摊销，并在企业所得税前扣除。</w:t>
              </w:r>
            </w:p>
            <w:p w14:paraId="0066F591" w14:textId="77777777" w:rsidR="005E000F" w:rsidRDefault="005E000F">
              <w:pPr>
                <w:rPr>
                  <w:color w:val="000000" w:themeColor="text1"/>
                </w:rPr>
              </w:pPr>
            </w:p>
            <w:p w14:paraId="08E76A82" w14:textId="77777777" w:rsidR="005E000F" w:rsidRDefault="00000000">
              <w:pPr>
                <w:rPr>
                  <w:color w:val="000000" w:themeColor="text1"/>
                </w:rPr>
              </w:pPr>
              <w:r>
                <w:rPr>
                  <w:rFonts w:hint="eastAsia"/>
                  <w:color w:val="000000" w:themeColor="text1"/>
                </w:rPr>
                <w:lastRenderedPageBreak/>
                <w:t>注</w:t>
              </w:r>
              <w:r>
                <w:rPr>
                  <w:rFonts w:hint="eastAsia"/>
                  <w:color w:val="000000" w:themeColor="text1"/>
                </w:rPr>
                <w:t xml:space="preserve"> 2</w:t>
              </w:r>
              <w:r>
                <w:rPr>
                  <w:rFonts w:hint="eastAsia"/>
                  <w:color w:val="000000" w:themeColor="text1"/>
                </w:rPr>
                <w:t>：本公司于</w:t>
              </w:r>
              <w:r>
                <w:rPr>
                  <w:rFonts w:hint="eastAsia"/>
                  <w:color w:val="000000" w:themeColor="text1"/>
                </w:rPr>
                <w:t>2015</w:t>
              </w:r>
              <w:r>
                <w:rPr>
                  <w:rFonts w:hint="eastAsia"/>
                  <w:color w:val="000000" w:themeColor="text1"/>
                </w:rPr>
                <w:t>年</w:t>
              </w:r>
              <w:r>
                <w:rPr>
                  <w:rFonts w:hint="eastAsia"/>
                  <w:color w:val="000000" w:themeColor="text1"/>
                </w:rPr>
                <w:t>3</w:t>
              </w:r>
              <w:r>
                <w:rPr>
                  <w:rFonts w:hint="eastAsia"/>
                  <w:color w:val="000000" w:themeColor="text1"/>
                </w:rPr>
                <w:t>月和</w:t>
              </w:r>
              <w:r>
                <w:rPr>
                  <w:rFonts w:hint="eastAsia"/>
                  <w:color w:val="000000" w:themeColor="text1"/>
                </w:rPr>
                <w:t>2015</w:t>
              </w:r>
              <w:r>
                <w:rPr>
                  <w:rFonts w:hint="eastAsia"/>
                  <w:color w:val="000000" w:themeColor="text1"/>
                </w:rPr>
                <w:t>年</w:t>
              </w:r>
              <w:r>
                <w:rPr>
                  <w:rFonts w:hint="eastAsia"/>
                  <w:color w:val="000000" w:themeColor="text1"/>
                </w:rPr>
                <w:t>12</w:t>
              </w:r>
              <w:proofErr w:type="gramStart"/>
              <w:r>
                <w:rPr>
                  <w:rFonts w:hint="eastAsia"/>
                  <w:color w:val="000000" w:themeColor="text1"/>
                </w:rPr>
                <w:t>月分</w:t>
              </w:r>
              <w:proofErr w:type="gramEnd"/>
              <w:r>
                <w:rPr>
                  <w:rFonts w:hint="eastAsia"/>
                  <w:color w:val="000000" w:themeColor="text1"/>
                </w:rPr>
                <w:t>别以公司既有的铁路线路资产向子公司</w:t>
              </w:r>
              <w:proofErr w:type="gramStart"/>
              <w:r>
                <w:rPr>
                  <w:rFonts w:hint="eastAsia"/>
                  <w:color w:val="000000" w:themeColor="text1"/>
                </w:rPr>
                <w:t>侯禹公司</w:t>
              </w:r>
              <w:proofErr w:type="gramEnd"/>
              <w:r>
                <w:rPr>
                  <w:rFonts w:hint="eastAsia"/>
                  <w:color w:val="000000" w:themeColor="text1"/>
                </w:rPr>
                <w:t>和山西太兴铁路有限责任公司</w:t>
              </w:r>
              <w:r>
                <w:rPr>
                  <w:rFonts w:hint="eastAsia"/>
                  <w:color w:val="000000" w:themeColor="text1"/>
                </w:rPr>
                <w:t>(</w:t>
              </w:r>
              <w:r>
                <w:rPr>
                  <w:rFonts w:hint="eastAsia"/>
                  <w:color w:val="000000" w:themeColor="text1"/>
                </w:rPr>
                <w:t>以下简称“</w:t>
              </w:r>
              <w:proofErr w:type="gramStart"/>
              <w:r>
                <w:rPr>
                  <w:rFonts w:hint="eastAsia"/>
                  <w:color w:val="000000" w:themeColor="text1"/>
                </w:rPr>
                <w:t>太兴</w:t>
              </w:r>
              <w:proofErr w:type="gramEnd"/>
              <w:r>
                <w:rPr>
                  <w:rFonts w:hint="eastAsia"/>
                  <w:color w:val="000000" w:themeColor="text1"/>
                </w:rPr>
                <w:t>公司”</w:t>
              </w:r>
              <w:r>
                <w:rPr>
                  <w:rFonts w:hint="eastAsia"/>
                  <w:color w:val="000000" w:themeColor="text1"/>
                </w:rPr>
                <w:t>)</w:t>
              </w:r>
              <w:r>
                <w:rPr>
                  <w:rFonts w:hint="eastAsia"/>
                  <w:color w:val="000000" w:themeColor="text1"/>
                </w:rPr>
                <w:t>增资。该等向子公司实物增资的既有铁路线路资产经评估的增值额于本集团合并层面形成递延所得税资产。</w:t>
              </w:r>
            </w:p>
            <w:p w14:paraId="30EDC4DC" w14:textId="77777777" w:rsidR="005E000F" w:rsidRDefault="005E000F">
              <w:pPr>
                <w:rPr>
                  <w:color w:val="000000" w:themeColor="text1"/>
                </w:rPr>
              </w:pPr>
            </w:p>
            <w:p w14:paraId="2CA606A7" w14:textId="77777777" w:rsidR="005E000F" w:rsidRDefault="00000000">
              <w:pPr>
                <w:rPr>
                  <w:color w:val="000000" w:themeColor="text1"/>
                </w:rPr>
              </w:pPr>
              <w:r>
                <w:rPr>
                  <w:rFonts w:hint="eastAsia"/>
                  <w:color w:val="000000" w:themeColor="text1"/>
                </w:rPr>
                <w:t>注</w:t>
              </w:r>
              <w:r>
                <w:rPr>
                  <w:rFonts w:hint="eastAsia"/>
                  <w:color w:val="000000" w:themeColor="text1"/>
                </w:rPr>
                <w:t xml:space="preserve"> 3</w:t>
              </w:r>
              <w:r>
                <w:rPr>
                  <w:rFonts w:hint="eastAsia"/>
                  <w:color w:val="000000" w:themeColor="text1"/>
                </w:rPr>
                <w:t>：根据财税【</w:t>
              </w:r>
              <w:r>
                <w:rPr>
                  <w:rFonts w:hint="eastAsia"/>
                  <w:color w:val="000000" w:themeColor="text1"/>
                </w:rPr>
                <w:t>2023</w:t>
              </w:r>
              <w:r>
                <w:rPr>
                  <w:rFonts w:hint="eastAsia"/>
                  <w:color w:val="000000" w:themeColor="text1"/>
                </w:rPr>
                <w:t>】</w:t>
              </w:r>
              <w:r>
                <w:rPr>
                  <w:rFonts w:hint="eastAsia"/>
                  <w:color w:val="000000" w:themeColor="text1"/>
                </w:rPr>
                <w:t xml:space="preserve">37 </w:t>
              </w:r>
              <w:r>
                <w:rPr>
                  <w:rFonts w:hint="eastAsia"/>
                  <w:color w:val="000000" w:themeColor="text1"/>
                </w:rPr>
                <w:t>号，企业在</w:t>
              </w:r>
              <w:r>
                <w:rPr>
                  <w:rFonts w:hint="eastAsia"/>
                  <w:color w:val="000000" w:themeColor="text1"/>
                </w:rPr>
                <w:t>2024</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日至</w:t>
              </w:r>
              <w:r>
                <w:rPr>
                  <w:rFonts w:hint="eastAsia"/>
                  <w:color w:val="000000" w:themeColor="text1"/>
                </w:rPr>
                <w:t>2027</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日期间新购进的设备、器具，单位价值不超过</w:t>
              </w:r>
              <w:r>
                <w:rPr>
                  <w:rFonts w:hint="eastAsia"/>
                  <w:color w:val="000000" w:themeColor="text1"/>
                </w:rPr>
                <w:t>500</w:t>
              </w:r>
              <w:r>
                <w:rPr>
                  <w:rFonts w:hint="eastAsia"/>
                  <w:color w:val="000000" w:themeColor="text1"/>
                </w:rPr>
                <w:t>万元的，允许一次性计入当期成本费用在计算应纳税所得额时扣除，不再分年度计算折旧。于</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日，该事项形成递延所得税负债余额约人民币</w:t>
              </w:r>
              <w:r>
                <w:rPr>
                  <w:rFonts w:hint="eastAsia"/>
                  <w:color w:val="000000" w:themeColor="text1"/>
                </w:rPr>
                <w:t>5.33</w:t>
              </w:r>
              <w:r>
                <w:rPr>
                  <w:rFonts w:hint="eastAsia"/>
                  <w:color w:val="000000" w:themeColor="text1"/>
                </w:rPr>
                <w:t>亿元。</w:t>
              </w:r>
            </w:p>
            <w:p w14:paraId="7859FDFB" w14:textId="77777777" w:rsidR="005E000F" w:rsidRDefault="005E000F">
              <w:pPr>
                <w:rPr>
                  <w:color w:val="000000" w:themeColor="text1"/>
                </w:rPr>
              </w:pPr>
            </w:p>
            <w:p w14:paraId="2F718F6B" w14:textId="77777777" w:rsidR="005E000F" w:rsidRDefault="00000000">
              <w:pPr>
                <w:rPr>
                  <w:color w:val="000000" w:themeColor="text1"/>
                </w:rPr>
              </w:pPr>
              <w:r>
                <w:rPr>
                  <w:rFonts w:hint="eastAsia"/>
                  <w:color w:val="000000" w:themeColor="text1"/>
                </w:rPr>
                <w:t>注</w:t>
              </w:r>
              <w:r>
                <w:rPr>
                  <w:rFonts w:hint="eastAsia"/>
                  <w:color w:val="000000" w:themeColor="text1"/>
                </w:rPr>
                <w:t xml:space="preserve"> 4</w:t>
              </w:r>
              <w:r>
                <w:rPr>
                  <w:rFonts w:hint="eastAsia"/>
                  <w:color w:val="000000" w:themeColor="text1"/>
                </w:rPr>
                <w:t>：根据财政部税务总局公告</w:t>
              </w:r>
              <w:r>
                <w:rPr>
                  <w:rFonts w:hint="eastAsia"/>
                  <w:color w:val="000000" w:themeColor="text1"/>
                </w:rPr>
                <w:t>2020</w:t>
              </w:r>
              <w:r>
                <w:rPr>
                  <w:rFonts w:hint="eastAsia"/>
                  <w:color w:val="000000" w:themeColor="text1"/>
                </w:rPr>
                <w:t>年第</w:t>
              </w:r>
              <w:r>
                <w:rPr>
                  <w:rFonts w:hint="eastAsia"/>
                  <w:color w:val="000000" w:themeColor="text1"/>
                </w:rPr>
                <w:t>8</w:t>
              </w:r>
              <w:r>
                <w:rPr>
                  <w:rFonts w:hint="eastAsia"/>
                  <w:color w:val="000000" w:themeColor="text1"/>
                </w:rPr>
                <w:t>号，受疫情影响较大的困难行业企业</w:t>
              </w:r>
              <w:r>
                <w:rPr>
                  <w:rFonts w:hint="eastAsia"/>
                  <w:color w:val="000000" w:themeColor="text1"/>
                </w:rPr>
                <w:t>2020</w:t>
              </w:r>
              <w:r>
                <w:rPr>
                  <w:rFonts w:hint="eastAsia"/>
                  <w:color w:val="000000" w:themeColor="text1"/>
                </w:rPr>
                <w:t>年度发生的亏损，最长结转年限由</w:t>
              </w:r>
              <w:r>
                <w:rPr>
                  <w:rFonts w:hint="eastAsia"/>
                  <w:color w:val="000000" w:themeColor="text1"/>
                </w:rPr>
                <w:t>5</w:t>
              </w:r>
              <w:r>
                <w:rPr>
                  <w:rFonts w:hint="eastAsia"/>
                  <w:color w:val="000000" w:themeColor="text1"/>
                </w:rPr>
                <w:t>年延长至</w:t>
              </w:r>
              <w:r>
                <w:rPr>
                  <w:rFonts w:hint="eastAsia"/>
                  <w:color w:val="000000" w:themeColor="text1"/>
                </w:rPr>
                <w:t>8</w:t>
              </w:r>
              <w:r>
                <w:rPr>
                  <w:rFonts w:hint="eastAsia"/>
                  <w:color w:val="000000" w:themeColor="text1"/>
                </w:rPr>
                <w:t>年。</w:t>
              </w:r>
              <w:proofErr w:type="gramStart"/>
              <w:r>
                <w:rPr>
                  <w:rFonts w:hint="eastAsia"/>
                  <w:color w:val="000000" w:themeColor="text1"/>
                </w:rPr>
                <w:t>太兴</w:t>
              </w:r>
              <w:proofErr w:type="gramEnd"/>
              <w:r>
                <w:rPr>
                  <w:rFonts w:hint="eastAsia"/>
                  <w:color w:val="000000" w:themeColor="text1"/>
                </w:rPr>
                <w:t>公司与中鼎公司符合要求。</w:t>
              </w:r>
            </w:p>
          </w:sdtContent>
        </w:sdt>
        <w:p w14:paraId="3297B617" w14:textId="77777777" w:rsidR="005E000F" w:rsidRDefault="00000000"/>
      </w:sdtContent>
    </w:sdt>
    <w:p w14:paraId="01316F5E" w14:textId="77777777" w:rsidR="005E000F" w:rsidRDefault="00000000">
      <w:pPr>
        <w:pStyle w:val="3"/>
        <w:numPr>
          <w:ilvl w:val="0"/>
          <w:numId w:val="66"/>
        </w:numPr>
        <w:tabs>
          <w:tab w:val="left" w:pos="504"/>
        </w:tabs>
        <w:rPr>
          <w:szCs w:val="21"/>
        </w:rPr>
      </w:pPr>
      <w:bookmarkStart w:id="362" w:name="_Hlk533670093"/>
      <w:r>
        <w:rPr>
          <w:rFonts w:hint="eastAsia"/>
          <w:szCs w:val="21"/>
        </w:rPr>
        <w:t>其他非流动资产</w:t>
      </w:r>
    </w:p>
    <w:sdt>
      <w:sdtPr>
        <w:alias w:val="是否适用：其他非流动资产[双击切换]"/>
        <w:tag w:val="_GBC_a847828a70d64218a7f8a07dc593d18b"/>
        <w:id w:val="1299270543"/>
        <w:placeholder>
          <w:docPart w:val="GBC22222222222222222222222222222"/>
        </w:placeholder>
      </w:sdtPr>
      <w:sdtContent>
        <w:p w14:paraId="608A28E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F506297" w14:textId="77777777" w:rsidR="005E000F" w:rsidRDefault="00000000">
      <w:pPr>
        <w:jc w:val="right"/>
      </w:pPr>
      <w:r>
        <w:rPr>
          <w:rFonts w:hint="eastAsia"/>
        </w:rPr>
        <w:t>单位：</w:t>
      </w:r>
      <w:sdt>
        <w:sdtPr>
          <w:alias w:val="单位：财务附注：其他非流动资产"/>
          <w:tag w:val="_GBC_7c7ae7cee25948deb399f93e000e5ba2"/>
          <w:id w:val="-1890701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t>元</w:t>
          </w:r>
        </w:sdtContent>
      </w:sdt>
      <w:r>
        <w:rPr>
          <w:rFonts w:hint="eastAsia"/>
        </w:rPr>
        <w:t xml:space="preserve">  </w:t>
      </w:r>
      <w:r>
        <w:rPr>
          <w:rFonts w:hint="eastAsia"/>
        </w:rPr>
        <w:t>币种：</w:t>
      </w:r>
      <w:sdt>
        <w:sdtPr>
          <w:rPr>
            <w:rFonts w:hint="eastAsia"/>
          </w:rPr>
          <w:alias w:val="币种：财务附注：其他非流动资产"/>
          <w:tag w:val="_GBC_b449fdd4941b4ff8a1bda3449b257e1d"/>
          <w:id w:val="-106833789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345"/>
        <w:gridCol w:w="1500"/>
        <w:gridCol w:w="967"/>
        <w:gridCol w:w="1478"/>
        <w:gridCol w:w="1489"/>
        <w:gridCol w:w="811"/>
        <w:gridCol w:w="1468"/>
      </w:tblGrid>
      <w:tr w:rsidR="005E000F" w14:paraId="191CC0D0" w14:textId="77777777">
        <w:sdt>
          <w:sdtPr>
            <w:tag w:val="_PLD_2b90e6e62acc45b288941c3eec3d8d88"/>
            <w:id w:val="1666822548"/>
          </w:sdtPr>
          <w:sdtContent>
            <w:tc>
              <w:tcPr>
                <w:tcW w:w="1345" w:type="dxa"/>
                <w:vMerge w:val="restart"/>
                <w:vAlign w:val="center"/>
              </w:tcPr>
              <w:p w14:paraId="39E30808" w14:textId="77777777" w:rsidR="005E000F" w:rsidRDefault="00000000">
                <w:pPr>
                  <w:jc w:val="center"/>
                </w:pPr>
                <w:r>
                  <w:rPr>
                    <w:rFonts w:hint="eastAsia"/>
                  </w:rPr>
                  <w:t>项目</w:t>
                </w:r>
              </w:p>
            </w:tc>
          </w:sdtContent>
        </w:sdt>
        <w:sdt>
          <w:sdtPr>
            <w:tag w:val="_PLD_bb07270ad4df4c0f94d4e0af019ab46c"/>
            <w:id w:val="-799987718"/>
          </w:sdtPr>
          <w:sdtContent>
            <w:tc>
              <w:tcPr>
                <w:tcW w:w="3945" w:type="dxa"/>
                <w:gridSpan w:val="3"/>
                <w:vAlign w:val="center"/>
              </w:tcPr>
              <w:p w14:paraId="55B7F831" w14:textId="77777777" w:rsidR="005E000F" w:rsidRDefault="00000000">
                <w:pPr>
                  <w:jc w:val="center"/>
                </w:pPr>
                <w:r>
                  <w:rPr>
                    <w:rFonts w:hint="eastAsia"/>
                  </w:rPr>
                  <w:t>期末余额</w:t>
                </w:r>
              </w:p>
            </w:tc>
          </w:sdtContent>
        </w:sdt>
        <w:sdt>
          <w:sdtPr>
            <w:tag w:val="_PLD_7a3b43a9fc7d404ca5a79aa8f44f7452"/>
            <w:id w:val="-236248198"/>
          </w:sdtPr>
          <w:sdtContent>
            <w:tc>
              <w:tcPr>
                <w:tcW w:w="3768" w:type="dxa"/>
                <w:gridSpan w:val="3"/>
                <w:vAlign w:val="center"/>
              </w:tcPr>
              <w:p w14:paraId="0DB94F1D" w14:textId="77777777" w:rsidR="005E000F" w:rsidRDefault="00000000">
                <w:pPr>
                  <w:jc w:val="center"/>
                </w:pPr>
                <w:r>
                  <w:rPr>
                    <w:rFonts w:hint="eastAsia"/>
                  </w:rPr>
                  <w:t>期初余额</w:t>
                </w:r>
              </w:p>
            </w:tc>
          </w:sdtContent>
        </w:sdt>
      </w:tr>
      <w:tr w:rsidR="005E000F" w14:paraId="3EB6A542" w14:textId="77777777">
        <w:tc>
          <w:tcPr>
            <w:tcW w:w="1345" w:type="dxa"/>
            <w:vMerge/>
            <w:vAlign w:val="center"/>
          </w:tcPr>
          <w:p w14:paraId="7F1DA4A8" w14:textId="77777777" w:rsidR="005E000F" w:rsidRDefault="005E000F">
            <w:pPr>
              <w:jc w:val="center"/>
            </w:pPr>
          </w:p>
        </w:tc>
        <w:tc>
          <w:tcPr>
            <w:tcW w:w="1500" w:type="dxa"/>
            <w:vAlign w:val="center"/>
          </w:tcPr>
          <w:sdt>
            <w:sdtPr>
              <w:tag w:val="_PLD_eaca5bccdac9417999d4d9af7ad1eefe"/>
              <w:id w:val="1303108897"/>
            </w:sdtPr>
            <w:sdtContent>
              <w:p w14:paraId="2F42AA9B" w14:textId="77777777" w:rsidR="005E000F" w:rsidRDefault="00000000">
                <w:pPr>
                  <w:jc w:val="center"/>
                </w:pPr>
                <w:r>
                  <w:rPr>
                    <w:rFonts w:hint="eastAsia"/>
                  </w:rPr>
                  <w:t>账面余额</w:t>
                </w:r>
              </w:p>
            </w:sdtContent>
          </w:sdt>
        </w:tc>
        <w:tc>
          <w:tcPr>
            <w:tcW w:w="967" w:type="dxa"/>
            <w:vAlign w:val="center"/>
          </w:tcPr>
          <w:sdt>
            <w:sdtPr>
              <w:tag w:val="_PLD_b913601a6f0c496ba876b57f7e93b40e"/>
              <w:id w:val="-1530783168"/>
            </w:sdtPr>
            <w:sdtContent>
              <w:p w14:paraId="2B97D39A" w14:textId="77777777" w:rsidR="005E000F" w:rsidRDefault="00000000">
                <w:pPr>
                  <w:jc w:val="center"/>
                </w:pPr>
                <w:r>
                  <w:t>减值准备</w:t>
                </w:r>
              </w:p>
            </w:sdtContent>
          </w:sdt>
        </w:tc>
        <w:tc>
          <w:tcPr>
            <w:tcW w:w="1478" w:type="dxa"/>
            <w:vAlign w:val="center"/>
          </w:tcPr>
          <w:sdt>
            <w:sdtPr>
              <w:tag w:val="_PLD_22318356783c413ba8286ddb8d1cda63"/>
              <w:id w:val="1199049212"/>
            </w:sdtPr>
            <w:sdtContent>
              <w:p w14:paraId="7A9D85DF" w14:textId="77777777" w:rsidR="005E000F" w:rsidRDefault="00000000">
                <w:pPr>
                  <w:jc w:val="center"/>
                </w:pPr>
                <w:r>
                  <w:t>账面价值</w:t>
                </w:r>
              </w:p>
            </w:sdtContent>
          </w:sdt>
        </w:tc>
        <w:tc>
          <w:tcPr>
            <w:tcW w:w="1489" w:type="dxa"/>
            <w:vAlign w:val="center"/>
          </w:tcPr>
          <w:sdt>
            <w:sdtPr>
              <w:tag w:val="_PLD_0c6f94cdfaf1457fa98b2252d3b39131"/>
              <w:id w:val="1539860260"/>
            </w:sdtPr>
            <w:sdtContent>
              <w:p w14:paraId="0825AE6E" w14:textId="77777777" w:rsidR="005E000F" w:rsidRDefault="00000000">
                <w:pPr>
                  <w:jc w:val="center"/>
                </w:pPr>
                <w:r>
                  <w:t>账面余额</w:t>
                </w:r>
              </w:p>
            </w:sdtContent>
          </w:sdt>
        </w:tc>
        <w:tc>
          <w:tcPr>
            <w:tcW w:w="811" w:type="dxa"/>
            <w:vAlign w:val="center"/>
          </w:tcPr>
          <w:sdt>
            <w:sdtPr>
              <w:tag w:val="_PLD_9d7969af67514b9e93b62156119189b9"/>
              <w:id w:val="837816287"/>
            </w:sdtPr>
            <w:sdtContent>
              <w:p w14:paraId="28A17386" w14:textId="77777777" w:rsidR="005E000F" w:rsidRDefault="00000000">
                <w:pPr>
                  <w:jc w:val="center"/>
                </w:pPr>
                <w:r>
                  <w:t>减值准备</w:t>
                </w:r>
              </w:p>
            </w:sdtContent>
          </w:sdt>
        </w:tc>
        <w:tc>
          <w:tcPr>
            <w:tcW w:w="1468" w:type="dxa"/>
            <w:vAlign w:val="center"/>
          </w:tcPr>
          <w:sdt>
            <w:sdtPr>
              <w:tag w:val="_PLD_9c8736640ddf4dc897f3c30fb690ab09"/>
              <w:id w:val="598223248"/>
            </w:sdtPr>
            <w:sdtContent>
              <w:p w14:paraId="54D9B30C" w14:textId="77777777" w:rsidR="005E000F" w:rsidRDefault="00000000">
                <w:pPr>
                  <w:jc w:val="center"/>
                </w:pPr>
                <w:r>
                  <w:t>账面价值</w:t>
                </w:r>
              </w:p>
            </w:sdtContent>
          </w:sdt>
        </w:tc>
      </w:tr>
      <w:tr w:rsidR="005E000F" w14:paraId="743D5450" w14:textId="77777777">
        <w:tc>
          <w:tcPr>
            <w:tcW w:w="1345" w:type="dxa"/>
            <w:vAlign w:val="center"/>
          </w:tcPr>
          <w:p w14:paraId="7FEE9CE7" w14:textId="77777777" w:rsidR="005E000F" w:rsidRDefault="00000000">
            <w:pPr>
              <w:jc w:val="both"/>
              <w:rPr>
                <w:rFonts w:ascii="Noto Sans CJK JP Regular" w:eastAsia="Noto Sans CJK JP Regular" w:hAnsi="Noto Sans CJK JP Regular" w:cs="Noto Sans CJK JP Regular"/>
                <w:szCs w:val="22"/>
                <w:lang w:eastAsia="en-US"/>
              </w:rPr>
            </w:pPr>
            <w:r>
              <w:rPr>
                <w:rFonts w:hint="eastAsia"/>
                <w:color w:val="000000" w:themeColor="text1"/>
              </w:rPr>
              <w:t>长期定期存款及利息</w:t>
            </w:r>
          </w:p>
        </w:tc>
        <w:tc>
          <w:tcPr>
            <w:tcW w:w="1500" w:type="dxa"/>
            <w:vAlign w:val="center"/>
          </w:tcPr>
          <w:p w14:paraId="00065883" w14:textId="77777777" w:rsidR="005E000F" w:rsidRDefault="00000000">
            <w:pPr>
              <w:jc w:val="right"/>
            </w:pPr>
            <w:r>
              <w:t>4,095,766,666</w:t>
            </w:r>
          </w:p>
        </w:tc>
        <w:tc>
          <w:tcPr>
            <w:tcW w:w="967" w:type="dxa"/>
            <w:vAlign w:val="center"/>
          </w:tcPr>
          <w:p w14:paraId="0E7E402E" w14:textId="77777777" w:rsidR="005E000F" w:rsidRDefault="00000000">
            <w:pPr>
              <w:jc w:val="right"/>
            </w:pPr>
            <w:r>
              <w:rPr>
                <w:rFonts w:hint="eastAsia"/>
              </w:rPr>
              <w:t>0</w:t>
            </w:r>
          </w:p>
        </w:tc>
        <w:tc>
          <w:tcPr>
            <w:tcW w:w="1478" w:type="dxa"/>
            <w:vAlign w:val="center"/>
          </w:tcPr>
          <w:p w14:paraId="1C70ED18" w14:textId="77777777" w:rsidR="005E000F" w:rsidRDefault="00000000">
            <w:pPr>
              <w:jc w:val="right"/>
            </w:pPr>
            <w:r>
              <w:t>4,095,766,666</w:t>
            </w:r>
          </w:p>
        </w:tc>
        <w:tc>
          <w:tcPr>
            <w:tcW w:w="1489" w:type="dxa"/>
            <w:vAlign w:val="center"/>
          </w:tcPr>
          <w:p w14:paraId="334484AF" w14:textId="77777777" w:rsidR="005E000F" w:rsidRDefault="00000000">
            <w:pPr>
              <w:jc w:val="right"/>
              <w:rPr>
                <w:lang w:eastAsia="en-US"/>
              </w:rPr>
            </w:pPr>
            <w:r>
              <w:rPr>
                <w:rFonts w:hint="eastAsia"/>
              </w:rPr>
              <w:t>3,507,166,667</w:t>
            </w:r>
          </w:p>
        </w:tc>
        <w:tc>
          <w:tcPr>
            <w:tcW w:w="811" w:type="dxa"/>
            <w:vAlign w:val="center"/>
          </w:tcPr>
          <w:p w14:paraId="66A30277" w14:textId="77777777" w:rsidR="005E000F" w:rsidRDefault="00000000">
            <w:pPr>
              <w:jc w:val="right"/>
            </w:pPr>
            <w:r>
              <w:rPr>
                <w:rFonts w:hint="eastAsia"/>
              </w:rPr>
              <w:t>0</w:t>
            </w:r>
          </w:p>
        </w:tc>
        <w:tc>
          <w:tcPr>
            <w:tcW w:w="1468" w:type="dxa"/>
            <w:vAlign w:val="center"/>
          </w:tcPr>
          <w:p w14:paraId="16A287B8" w14:textId="77777777" w:rsidR="005E000F" w:rsidRDefault="00000000">
            <w:pPr>
              <w:jc w:val="right"/>
            </w:pPr>
            <w:r>
              <w:rPr>
                <w:rFonts w:hint="eastAsia"/>
              </w:rPr>
              <w:t>3,507,166,667</w:t>
            </w:r>
          </w:p>
        </w:tc>
      </w:tr>
      <w:tr w:rsidR="005E000F" w14:paraId="05CDC421" w14:textId="77777777">
        <w:tc>
          <w:tcPr>
            <w:tcW w:w="1345" w:type="dxa"/>
            <w:vAlign w:val="center"/>
          </w:tcPr>
          <w:p w14:paraId="6FD88349" w14:textId="77777777" w:rsidR="005E000F" w:rsidRDefault="00000000">
            <w:pPr>
              <w:jc w:val="both"/>
              <w:rPr>
                <w:rFonts w:ascii="Noto Sans CJK JP Regular" w:eastAsia="Noto Sans CJK JP Regular" w:hAnsi="Noto Sans CJK JP Regular" w:cs="Noto Sans CJK JP Regular"/>
                <w:szCs w:val="22"/>
                <w:lang w:eastAsia="en-US"/>
              </w:rPr>
            </w:pPr>
            <w:r>
              <w:rPr>
                <w:rFonts w:hint="eastAsia"/>
                <w:color w:val="000000" w:themeColor="text1"/>
              </w:rPr>
              <w:t>应交增值税借方余额</w:t>
            </w:r>
          </w:p>
        </w:tc>
        <w:tc>
          <w:tcPr>
            <w:tcW w:w="1500" w:type="dxa"/>
            <w:vAlign w:val="center"/>
          </w:tcPr>
          <w:p w14:paraId="60317C08" w14:textId="77777777" w:rsidR="005E000F" w:rsidRDefault="00000000">
            <w:pPr>
              <w:jc w:val="right"/>
            </w:pPr>
            <w:r>
              <w:t>76,225,986</w:t>
            </w:r>
          </w:p>
        </w:tc>
        <w:tc>
          <w:tcPr>
            <w:tcW w:w="967" w:type="dxa"/>
            <w:vAlign w:val="center"/>
          </w:tcPr>
          <w:p w14:paraId="65702A20" w14:textId="77777777" w:rsidR="005E000F" w:rsidRDefault="00000000">
            <w:pPr>
              <w:jc w:val="right"/>
            </w:pPr>
            <w:r>
              <w:rPr>
                <w:rFonts w:hint="eastAsia"/>
              </w:rPr>
              <w:t>0</w:t>
            </w:r>
          </w:p>
        </w:tc>
        <w:tc>
          <w:tcPr>
            <w:tcW w:w="1478" w:type="dxa"/>
            <w:vAlign w:val="center"/>
          </w:tcPr>
          <w:p w14:paraId="1B0D0B0F" w14:textId="77777777" w:rsidR="005E000F" w:rsidRDefault="00000000">
            <w:pPr>
              <w:jc w:val="right"/>
            </w:pPr>
            <w:r>
              <w:t>76,225,986</w:t>
            </w:r>
          </w:p>
        </w:tc>
        <w:tc>
          <w:tcPr>
            <w:tcW w:w="1489" w:type="dxa"/>
            <w:vAlign w:val="center"/>
          </w:tcPr>
          <w:p w14:paraId="5E6DF479" w14:textId="77777777" w:rsidR="005E000F" w:rsidRDefault="00000000">
            <w:pPr>
              <w:jc w:val="right"/>
              <w:rPr>
                <w:lang w:eastAsia="en-US"/>
              </w:rPr>
            </w:pPr>
            <w:r>
              <w:rPr>
                <w:rFonts w:hint="eastAsia"/>
              </w:rPr>
              <w:t>83,697,919</w:t>
            </w:r>
          </w:p>
        </w:tc>
        <w:tc>
          <w:tcPr>
            <w:tcW w:w="811" w:type="dxa"/>
            <w:vAlign w:val="center"/>
          </w:tcPr>
          <w:p w14:paraId="3B489E5F" w14:textId="77777777" w:rsidR="005E000F" w:rsidRDefault="00000000">
            <w:pPr>
              <w:jc w:val="right"/>
            </w:pPr>
            <w:r>
              <w:rPr>
                <w:rFonts w:hint="eastAsia"/>
              </w:rPr>
              <w:t>0</w:t>
            </w:r>
          </w:p>
        </w:tc>
        <w:tc>
          <w:tcPr>
            <w:tcW w:w="1468" w:type="dxa"/>
            <w:vAlign w:val="center"/>
          </w:tcPr>
          <w:p w14:paraId="6BF0893C" w14:textId="77777777" w:rsidR="005E000F" w:rsidRDefault="00000000">
            <w:pPr>
              <w:jc w:val="right"/>
            </w:pPr>
            <w:r>
              <w:rPr>
                <w:rFonts w:hint="eastAsia"/>
              </w:rPr>
              <w:t>83,697,919</w:t>
            </w:r>
          </w:p>
        </w:tc>
      </w:tr>
      <w:tr w:rsidR="005E000F" w14:paraId="6DD1A221" w14:textId="77777777">
        <w:tc>
          <w:tcPr>
            <w:tcW w:w="1345" w:type="dxa"/>
            <w:vAlign w:val="center"/>
          </w:tcPr>
          <w:p w14:paraId="41E9C6E2" w14:textId="77777777" w:rsidR="005E000F" w:rsidRDefault="00000000">
            <w:pPr>
              <w:jc w:val="both"/>
              <w:rPr>
                <w:rFonts w:ascii="Noto Sans CJK JP Regular" w:eastAsia="Noto Sans CJK JP Regular" w:hAnsi="Noto Sans CJK JP Regular" w:cs="Noto Sans CJK JP Regular"/>
                <w:szCs w:val="22"/>
              </w:rPr>
            </w:pPr>
            <w:r>
              <w:rPr>
                <w:rFonts w:hint="eastAsia"/>
                <w:color w:val="000000" w:themeColor="text1"/>
              </w:rPr>
              <w:t>预付土地出让金及土地征用补偿款、</w:t>
            </w:r>
            <w:proofErr w:type="gramStart"/>
            <w:r>
              <w:rPr>
                <w:rFonts w:hint="eastAsia"/>
                <w:color w:val="000000" w:themeColor="text1"/>
              </w:rPr>
              <w:t>拆迁款</w:t>
            </w:r>
            <w:proofErr w:type="gramEnd"/>
            <w:r>
              <w:rPr>
                <w:rFonts w:hint="eastAsia"/>
                <w:color w:val="000000" w:themeColor="text1"/>
              </w:rPr>
              <w:t>等</w:t>
            </w:r>
          </w:p>
        </w:tc>
        <w:tc>
          <w:tcPr>
            <w:tcW w:w="1500" w:type="dxa"/>
            <w:vAlign w:val="center"/>
          </w:tcPr>
          <w:p w14:paraId="407F9BFA" w14:textId="77777777" w:rsidR="005E000F" w:rsidRDefault="00000000">
            <w:pPr>
              <w:jc w:val="right"/>
            </w:pPr>
            <w:r>
              <w:t>10,000,000</w:t>
            </w:r>
          </w:p>
        </w:tc>
        <w:tc>
          <w:tcPr>
            <w:tcW w:w="967" w:type="dxa"/>
            <w:vAlign w:val="center"/>
          </w:tcPr>
          <w:p w14:paraId="7A8F916B" w14:textId="77777777" w:rsidR="005E000F" w:rsidRDefault="00000000">
            <w:pPr>
              <w:jc w:val="right"/>
            </w:pPr>
            <w:r>
              <w:rPr>
                <w:rFonts w:hint="eastAsia"/>
              </w:rPr>
              <w:t>0</w:t>
            </w:r>
          </w:p>
        </w:tc>
        <w:tc>
          <w:tcPr>
            <w:tcW w:w="1478" w:type="dxa"/>
            <w:vAlign w:val="center"/>
          </w:tcPr>
          <w:p w14:paraId="70CAC0A3" w14:textId="77777777" w:rsidR="005E000F" w:rsidRDefault="00000000">
            <w:pPr>
              <w:jc w:val="right"/>
            </w:pPr>
            <w:r>
              <w:t>10,000,000</w:t>
            </w:r>
          </w:p>
        </w:tc>
        <w:tc>
          <w:tcPr>
            <w:tcW w:w="1489" w:type="dxa"/>
            <w:vAlign w:val="center"/>
          </w:tcPr>
          <w:p w14:paraId="2D4D1657" w14:textId="77777777" w:rsidR="005E000F" w:rsidRDefault="00000000">
            <w:pPr>
              <w:jc w:val="right"/>
              <w:rPr>
                <w:lang w:eastAsia="en-US"/>
              </w:rPr>
            </w:pPr>
            <w:r>
              <w:rPr>
                <w:rFonts w:hint="eastAsia"/>
              </w:rPr>
              <w:t>20,000,000</w:t>
            </w:r>
          </w:p>
        </w:tc>
        <w:tc>
          <w:tcPr>
            <w:tcW w:w="811" w:type="dxa"/>
            <w:vAlign w:val="center"/>
          </w:tcPr>
          <w:p w14:paraId="015EDB74" w14:textId="77777777" w:rsidR="005E000F" w:rsidRDefault="00000000">
            <w:pPr>
              <w:jc w:val="right"/>
            </w:pPr>
            <w:r>
              <w:rPr>
                <w:rFonts w:hint="eastAsia"/>
              </w:rPr>
              <w:t>0</w:t>
            </w:r>
          </w:p>
        </w:tc>
        <w:tc>
          <w:tcPr>
            <w:tcW w:w="1468" w:type="dxa"/>
            <w:vAlign w:val="center"/>
          </w:tcPr>
          <w:p w14:paraId="2F15AE6F" w14:textId="77777777" w:rsidR="005E000F" w:rsidRDefault="00000000">
            <w:pPr>
              <w:jc w:val="right"/>
            </w:pPr>
            <w:r>
              <w:rPr>
                <w:rFonts w:hint="eastAsia"/>
              </w:rPr>
              <w:t>20,000,000</w:t>
            </w:r>
          </w:p>
        </w:tc>
      </w:tr>
      <w:tr w:rsidR="005E000F" w14:paraId="26357690" w14:textId="77777777">
        <w:tc>
          <w:tcPr>
            <w:tcW w:w="1345" w:type="dxa"/>
            <w:vAlign w:val="center"/>
          </w:tcPr>
          <w:p w14:paraId="1E45AE1C" w14:textId="77777777" w:rsidR="005E000F" w:rsidRDefault="00000000">
            <w:pPr>
              <w:jc w:val="both"/>
              <w:rPr>
                <w:rFonts w:ascii="Noto Sans CJK JP Regular" w:eastAsia="Noto Sans CJK JP Regular" w:hAnsi="Noto Sans CJK JP Regular" w:cs="Noto Sans CJK JP Regular"/>
                <w:szCs w:val="22"/>
                <w:lang w:eastAsia="en-US"/>
              </w:rPr>
            </w:pPr>
            <w:r>
              <w:rPr>
                <w:rFonts w:hint="eastAsia"/>
                <w:color w:val="000000" w:themeColor="text1"/>
              </w:rPr>
              <w:t>预付工程款</w:t>
            </w:r>
          </w:p>
        </w:tc>
        <w:tc>
          <w:tcPr>
            <w:tcW w:w="1500" w:type="dxa"/>
            <w:vAlign w:val="center"/>
          </w:tcPr>
          <w:p w14:paraId="7235296F" w14:textId="77777777" w:rsidR="005E000F" w:rsidRDefault="00000000">
            <w:pPr>
              <w:jc w:val="right"/>
            </w:pPr>
            <w:r>
              <w:t>5,912,512</w:t>
            </w:r>
          </w:p>
        </w:tc>
        <w:tc>
          <w:tcPr>
            <w:tcW w:w="967" w:type="dxa"/>
            <w:vAlign w:val="center"/>
          </w:tcPr>
          <w:p w14:paraId="7C83692D" w14:textId="77777777" w:rsidR="005E000F" w:rsidRDefault="00000000">
            <w:pPr>
              <w:jc w:val="right"/>
            </w:pPr>
            <w:r>
              <w:rPr>
                <w:rFonts w:hint="eastAsia"/>
              </w:rPr>
              <w:t>0</w:t>
            </w:r>
          </w:p>
        </w:tc>
        <w:tc>
          <w:tcPr>
            <w:tcW w:w="1478" w:type="dxa"/>
            <w:vAlign w:val="center"/>
          </w:tcPr>
          <w:p w14:paraId="5866EC3E" w14:textId="77777777" w:rsidR="005E000F" w:rsidRDefault="00000000">
            <w:pPr>
              <w:jc w:val="right"/>
            </w:pPr>
            <w:r>
              <w:t>5,912,512</w:t>
            </w:r>
          </w:p>
        </w:tc>
        <w:tc>
          <w:tcPr>
            <w:tcW w:w="1489" w:type="dxa"/>
            <w:vAlign w:val="center"/>
          </w:tcPr>
          <w:p w14:paraId="7F81DAF7" w14:textId="77777777" w:rsidR="005E000F" w:rsidRDefault="00000000">
            <w:pPr>
              <w:jc w:val="right"/>
              <w:rPr>
                <w:lang w:eastAsia="en-US"/>
              </w:rPr>
            </w:pPr>
            <w:r>
              <w:rPr>
                <w:rFonts w:hint="eastAsia"/>
              </w:rPr>
              <w:t>4,552,816</w:t>
            </w:r>
          </w:p>
        </w:tc>
        <w:tc>
          <w:tcPr>
            <w:tcW w:w="811" w:type="dxa"/>
            <w:vAlign w:val="center"/>
          </w:tcPr>
          <w:p w14:paraId="33BA2AC5" w14:textId="77777777" w:rsidR="005E000F" w:rsidRDefault="00000000">
            <w:pPr>
              <w:jc w:val="right"/>
            </w:pPr>
            <w:r>
              <w:rPr>
                <w:rFonts w:hint="eastAsia"/>
              </w:rPr>
              <w:t>0</w:t>
            </w:r>
          </w:p>
        </w:tc>
        <w:tc>
          <w:tcPr>
            <w:tcW w:w="1468" w:type="dxa"/>
            <w:vAlign w:val="center"/>
          </w:tcPr>
          <w:p w14:paraId="080796EB" w14:textId="77777777" w:rsidR="005E000F" w:rsidRDefault="00000000">
            <w:pPr>
              <w:jc w:val="right"/>
            </w:pPr>
            <w:r>
              <w:rPr>
                <w:rFonts w:hint="eastAsia"/>
              </w:rPr>
              <w:t>4,552,816</w:t>
            </w:r>
          </w:p>
        </w:tc>
      </w:tr>
      <w:tr w:rsidR="005E000F" w14:paraId="19387BCB" w14:textId="77777777">
        <w:tc>
          <w:tcPr>
            <w:tcW w:w="1345" w:type="dxa"/>
            <w:vAlign w:val="center"/>
          </w:tcPr>
          <w:p w14:paraId="6C1226D6" w14:textId="77777777" w:rsidR="005E000F" w:rsidRDefault="00000000">
            <w:pPr>
              <w:jc w:val="center"/>
            </w:pPr>
            <w:r>
              <w:rPr>
                <w:rFonts w:hint="eastAsia"/>
                <w:color w:val="000000" w:themeColor="text1"/>
              </w:rPr>
              <w:t>合计</w:t>
            </w:r>
          </w:p>
        </w:tc>
        <w:tc>
          <w:tcPr>
            <w:tcW w:w="1500" w:type="dxa"/>
            <w:vAlign w:val="center"/>
          </w:tcPr>
          <w:p w14:paraId="0F68C63F" w14:textId="77777777" w:rsidR="005E000F" w:rsidRDefault="00000000">
            <w:pPr>
              <w:jc w:val="right"/>
            </w:pPr>
            <w:r>
              <w:t>4,187,905,164</w:t>
            </w:r>
          </w:p>
        </w:tc>
        <w:tc>
          <w:tcPr>
            <w:tcW w:w="967" w:type="dxa"/>
            <w:vAlign w:val="center"/>
          </w:tcPr>
          <w:p w14:paraId="418A24F2" w14:textId="77777777" w:rsidR="005E000F" w:rsidRDefault="00000000">
            <w:pPr>
              <w:jc w:val="right"/>
            </w:pPr>
            <w:r>
              <w:rPr>
                <w:rFonts w:hint="eastAsia"/>
              </w:rPr>
              <w:t>0</w:t>
            </w:r>
          </w:p>
        </w:tc>
        <w:tc>
          <w:tcPr>
            <w:tcW w:w="1478" w:type="dxa"/>
            <w:vAlign w:val="center"/>
          </w:tcPr>
          <w:p w14:paraId="6BB82B62" w14:textId="77777777" w:rsidR="005E000F" w:rsidRDefault="00000000">
            <w:pPr>
              <w:jc w:val="right"/>
            </w:pPr>
            <w:r>
              <w:t>4,187,905,164</w:t>
            </w:r>
          </w:p>
        </w:tc>
        <w:tc>
          <w:tcPr>
            <w:tcW w:w="1489" w:type="dxa"/>
            <w:vAlign w:val="center"/>
          </w:tcPr>
          <w:p w14:paraId="136535C8" w14:textId="77777777" w:rsidR="005E000F" w:rsidRDefault="00000000">
            <w:pPr>
              <w:jc w:val="right"/>
              <w:rPr>
                <w:lang w:eastAsia="en-US"/>
              </w:rPr>
            </w:pPr>
            <w:r>
              <w:rPr>
                <w:rFonts w:hint="eastAsia"/>
              </w:rPr>
              <w:t>3,615,417,402</w:t>
            </w:r>
          </w:p>
        </w:tc>
        <w:tc>
          <w:tcPr>
            <w:tcW w:w="811" w:type="dxa"/>
            <w:vAlign w:val="center"/>
          </w:tcPr>
          <w:p w14:paraId="2CCCF1C7" w14:textId="77777777" w:rsidR="005E000F" w:rsidRDefault="00000000">
            <w:pPr>
              <w:jc w:val="right"/>
            </w:pPr>
            <w:r>
              <w:rPr>
                <w:rFonts w:hint="eastAsia"/>
              </w:rPr>
              <w:t>0</w:t>
            </w:r>
          </w:p>
        </w:tc>
        <w:tc>
          <w:tcPr>
            <w:tcW w:w="1468" w:type="dxa"/>
            <w:vAlign w:val="center"/>
          </w:tcPr>
          <w:p w14:paraId="4D643B01" w14:textId="77777777" w:rsidR="005E000F" w:rsidRDefault="00000000">
            <w:pPr>
              <w:jc w:val="right"/>
            </w:pPr>
            <w:r>
              <w:rPr>
                <w:rFonts w:hint="eastAsia"/>
              </w:rPr>
              <w:t>3,615,417,402</w:t>
            </w:r>
          </w:p>
        </w:tc>
      </w:tr>
    </w:tbl>
    <w:p w14:paraId="26F1D9D6" w14:textId="77777777" w:rsidR="005E000F" w:rsidRDefault="00000000">
      <w:r>
        <w:rPr>
          <w:rFonts w:hint="eastAsia"/>
        </w:rPr>
        <w:t>其他说明：</w:t>
      </w:r>
    </w:p>
    <w:p w14:paraId="273EBE56" w14:textId="77777777" w:rsidR="005E000F" w:rsidRDefault="00000000">
      <w:sdt>
        <w:sdtPr>
          <w:alias w:val="其他长期资产的说明"/>
          <w:tag w:val="_GBC_d2d37b97b8df4ba1b7bcbf3e8c04d024"/>
          <w:id w:val="-678809918"/>
          <w:placeholder>
            <w:docPart w:val="GBC22222222222222222222222222222"/>
          </w:placeholder>
        </w:sdtPr>
        <w:sdtContent>
          <w:r>
            <w:rPr>
              <w:rFonts w:hint="eastAsia"/>
            </w:rPr>
            <w:t>长期定期存款本金人民币</w:t>
          </w:r>
          <w:r>
            <w:rPr>
              <w:rFonts w:hint="eastAsia"/>
            </w:rPr>
            <w:t>40</w:t>
          </w:r>
          <w:r>
            <w:rPr>
              <w:rFonts w:hint="eastAsia"/>
            </w:rPr>
            <w:t>亿元，为本集团持有的存放在中国铁路财务有限责任公司的若干笔定期存款，期限均为三年。</w:t>
          </w:r>
        </w:sdtContent>
      </w:sdt>
      <w:bookmarkEnd w:id="362"/>
    </w:p>
    <w:p w14:paraId="2D18A9AF" w14:textId="77777777" w:rsidR="005E000F" w:rsidRDefault="005E000F"/>
    <w:p w14:paraId="26325A25" w14:textId="77777777" w:rsidR="005E000F" w:rsidRDefault="00000000">
      <w:pPr>
        <w:pStyle w:val="3"/>
        <w:numPr>
          <w:ilvl w:val="0"/>
          <w:numId w:val="66"/>
        </w:numPr>
        <w:tabs>
          <w:tab w:val="left" w:pos="504"/>
        </w:tabs>
        <w:rPr>
          <w:rFonts w:ascii="宋体" w:hAnsi="宋体" w:cs="宋体"/>
          <w:color w:val="000000" w:themeColor="text1"/>
          <w:kern w:val="0"/>
          <w:szCs w:val="21"/>
        </w:rPr>
      </w:pPr>
      <w:bookmarkStart w:id="363" w:name="_Hlk182485605"/>
      <w:r>
        <w:rPr>
          <w:rFonts w:ascii="宋体" w:hAnsi="宋体" w:cs="宋体" w:hint="eastAsia"/>
          <w:color w:val="000000" w:themeColor="text1"/>
          <w:kern w:val="0"/>
          <w:szCs w:val="21"/>
        </w:rPr>
        <w:t>所有权或使用权受限资产</w:t>
      </w:r>
    </w:p>
    <w:sdt>
      <w:sdtPr>
        <w:rPr>
          <w:color w:val="000000" w:themeColor="text1"/>
        </w:rPr>
        <w:alias w:val="是否适用：所有权或使用权受到限制的资产[双击切换]"/>
        <w:tag w:val="_GBC_f1f6d80d559a42ada65c7a06e1485986"/>
        <w:id w:val="242387435"/>
        <w:placeholder>
          <w:docPart w:val="GBC22222222222222222222222222222"/>
        </w:placeholder>
      </w:sdtPr>
      <w:sdtContent>
        <w:p w14:paraId="74B9006D"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8523E45" w14:textId="77777777" w:rsidR="005E000F" w:rsidRDefault="00000000">
      <w:pPr>
        <w:pStyle w:val="aff8"/>
        <w:ind w:firstLineChars="0" w:firstLine="0"/>
        <w:jc w:val="right"/>
        <w:rPr>
          <w:rFonts w:ascii="宋体" w:hAnsi="宋体"/>
          <w:color w:val="000000" w:themeColor="text1"/>
          <w:szCs w:val="21"/>
        </w:rPr>
      </w:pPr>
      <w:r>
        <w:rPr>
          <w:rFonts w:ascii="宋体" w:hAnsi="宋体" w:hint="eastAsia"/>
          <w:color w:val="000000" w:themeColor="text1"/>
          <w:szCs w:val="21"/>
        </w:rPr>
        <w:t>单位：</w:t>
      </w:r>
      <w:sdt>
        <w:sdtPr>
          <w:rPr>
            <w:rFonts w:ascii="宋体" w:hAnsi="宋体" w:hint="eastAsia"/>
            <w:color w:val="000000" w:themeColor="text1"/>
            <w:szCs w:val="21"/>
          </w:rPr>
          <w:alias w:val="单位：财务附注：所有权或使用权受到限制的资产"/>
          <w:tag w:val="_GBC_e246ad9146ff415ca076abb824966967"/>
          <w:id w:val="175739860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color w:val="000000" w:themeColor="text1"/>
              <w:szCs w:val="21"/>
            </w:rPr>
            <w:t>元</w:t>
          </w:r>
        </w:sdtContent>
      </w:sdt>
      <w:r>
        <w:rPr>
          <w:rFonts w:ascii="宋体" w:hAnsi="宋体" w:hint="eastAsia"/>
          <w:color w:val="000000" w:themeColor="text1"/>
          <w:szCs w:val="21"/>
        </w:rPr>
        <w:t xml:space="preserve">  币种：</w:t>
      </w:r>
      <w:sdt>
        <w:sdtPr>
          <w:rPr>
            <w:rFonts w:ascii="宋体" w:hAnsi="宋体" w:hint="eastAsia"/>
            <w:color w:val="000000" w:themeColor="text1"/>
            <w:szCs w:val="21"/>
          </w:rPr>
          <w:alias w:val="币种：财务附注：所有权或使用权受到限制的资产"/>
          <w:tag w:val="_GBC_3384ecfbee774a528f8956ac7bda492a"/>
          <w:id w:val="11420805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color w:val="000000" w:themeColor="text1"/>
              <w:szCs w:val="21"/>
            </w:rPr>
            <w:t>人民币</w:t>
          </w:r>
        </w:sdtContent>
      </w:sdt>
    </w:p>
    <w:tbl>
      <w:tblPr>
        <w:tblStyle w:val="aff2"/>
        <w:tblW w:w="0" w:type="auto"/>
        <w:tblLayout w:type="fixed"/>
        <w:tblLook w:val="04A0" w:firstRow="1" w:lastRow="0" w:firstColumn="1" w:lastColumn="0" w:noHBand="0" w:noVBand="1"/>
      </w:tblPr>
      <w:tblGrid>
        <w:gridCol w:w="979"/>
        <w:gridCol w:w="1285"/>
        <w:gridCol w:w="1365"/>
        <w:gridCol w:w="635"/>
        <w:gridCol w:w="635"/>
        <w:gridCol w:w="1431"/>
        <w:gridCol w:w="1289"/>
        <w:gridCol w:w="578"/>
        <w:gridCol w:w="626"/>
      </w:tblGrid>
      <w:tr w:rsidR="005E000F" w14:paraId="247C664B" w14:textId="77777777">
        <w:sdt>
          <w:sdtPr>
            <w:rPr>
              <w:sz w:val="18"/>
              <w:szCs w:val="18"/>
            </w:rPr>
            <w:tag w:val="_PLD_85915b25a498409faaeec94754cc91ce"/>
            <w:id w:val="-1911218482"/>
          </w:sdtPr>
          <w:sdtContent>
            <w:tc>
              <w:tcPr>
                <w:tcW w:w="979" w:type="dxa"/>
                <w:vMerge w:val="restart"/>
                <w:vAlign w:val="center"/>
              </w:tcPr>
              <w:p w14:paraId="062BD3D5" w14:textId="77777777" w:rsidR="005E000F" w:rsidRDefault="00000000">
                <w:pPr>
                  <w:jc w:val="center"/>
                  <w:rPr>
                    <w:color w:val="000000" w:themeColor="text1"/>
                    <w:sz w:val="18"/>
                    <w:szCs w:val="18"/>
                  </w:rPr>
                </w:pPr>
                <w:r>
                  <w:rPr>
                    <w:rFonts w:hint="eastAsia"/>
                    <w:color w:val="000000" w:themeColor="text1"/>
                    <w:sz w:val="18"/>
                    <w:szCs w:val="18"/>
                  </w:rPr>
                  <w:t>项目</w:t>
                </w:r>
              </w:p>
            </w:tc>
          </w:sdtContent>
        </w:sdt>
        <w:sdt>
          <w:sdtPr>
            <w:rPr>
              <w:sz w:val="18"/>
              <w:szCs w:val="18"/>
            </w:rPr>
            <w:tag w:val="_PLD_bcba7b22c1f8467fb1ed1a4a9e7f7dae"/>
            <w:id w:val="602234824"/>
          </w:sdtPr>
          <w:sdtContent>
            <w:tc>
              <w:tcPr>
                <w:tcW w:w="3920" w:type="dxa"/>
                <w:gridSpan w:val="4"/>
                <w:vAlign w:val="center"/>
              </w:tcPr>
              <w:p w14:paraId="5A6A421B" w14:textId="77777777" w:rsidR="005E000F" w:rsidRDefault="00000000">
                <w:pPr>
                  <w:jc w:val="center"/>
                  <w:rPr>
                    <w:color w:val="000000" w:themeColor="text1"/>
                    <w:sz w:val="18"/>
                    <w:szCs w:val="18"/>
                  </w:rPr>
                </w:pPr>
                <w:r>
                  <w:rPr>
                    <w:rFonts w:hint="eastAsia"/>
                    <w:color w:val="000000" w:themeColor="text1"/>
                    <w:sz w:val="18"/>
                    <w:szCs w:val="18"/>
                  </w:rPr>
                  <w:t>期末</w:t>
                </w:r>
              </w:p>
            </w:tc>
          </w:sdtContent>
        </w:sdt>
        <w:sdt>
          <w:sdtPr>
            <w:rPr>
              <w:sz w:val="18"/>
              <w:szCs w:val="18"/>
            </w:rPr>
            <w:tag w:val="_PLD_e062301463624f04b097cb249cdb774e"/>
            <w:id w:val="-889181666"/>
          </w:sdtPr>
          <w:sdtContent>
            <w:tc>
              <w:tcPr>
                <w:tcW w:w="3924" w:type="dxa"/>
                <w:gridSpan w:val="4"/>
                <w:vAlign w:val="center"/>
              </w:tcPr>
              <w:p w14:paraId="3976FAB3" w14:textId="77777777" w:rsidR="005E000F" w:rsidRDefault="00000000">
                <w:pPr>
                  <w:jc w:val="center"/>
                  <w:rPr>
                    <w:color w:val="000000" w:themeColor="text1"/>
                    <w:sz w:val="18"/>
                    <w:szCs w:val="18"/>
                  </w:rPr>
                </w:pPr>
                <w:r>
                  <w:rPr>
                    <w:rFonts w:hint="eastAsia"/>
                    <w:color w:val="000000" w:themeColor="text1"/>
                    <w:sz w:val="18"/>
                    <w:szCs w:val="18"/>
                  </w:rPr>
                  <w:t>期初</w:t>
                </w:r>
              </w:p>
            </w:tc>
          </w:sdtContent>
        </w:sdt>
      </w:tr>
      <w:tr w:rsidR="005E000F" w14:paraId="4F987C2C" w14:textId="77777777">
        <w:trPr>
          <w:trHeight w:val="70"/>
        </w:trPr>
        <w:tc>
          <w:tcPr>
            <w:tcW w:w="979" w:type="dxa"/>
            <w:vMerge/>
            <w:vAlign w:val="center"/>
          </w:tcPr>
          <w:p w14:paraId="536D06BD" w14:textId="77777777" w:rsidR="005E000F" w:rsidRDefault="005E000F">
            <w:pPr>
              <w:rPr>
                <w:color w:val="000000" w:themeColor="text1"/>
                <w:sz w:val="18"/>
                <w:szCs w:val="18"/>
              </w:rPr>
            </w:pPr>
          </w:p>
        </w:tc>
        <w:sdt>
          <w:sdtPr>
            <w:rPr>
              <w:sz w:val="18"/>
              <w:szCs w:val="18"/>
            </w:rPr>
            <w:tag w:val="_PLD_83e681f7f54f4bd9bfe88e1c973e1b43"/>
            <w:id w:val="466082742"/>
          </w:sdtPr>
          <w:sdtContent>
            <w:tc>
              <w:tcPr>
                <w:tcW w:w="1285" w:type="dxa"/>
                <w:vAlign w:val="center"/>
              </w:tcPr>
              <w:p w14:paraId="18A8630B" w14:textId="77777777" w:rsidR="005E000F" w:rsidRDefault="00000000">
                <w:pPr>
                  <w:jc w:val="center"/>
                  <w:rPr>
                    <w:color w:val="000000" w:themeColor="text1"/>
                    <w:sz w:val="18"/>
                    <w:szCs w:val="18"/>
                  </w:rPr>
                </w:pPr>
                <w:r>
                  <w:rPr>
                    <w:color w:val="000000" w:themeColor="text1"/>
                    <w:sz w:val="18"/>
                    <w:szCs w:val="18"/>
                  </w:rPr>
                  <w:t>账面余额</w:t>
                </w:r>
              </w:p>
            </w:tc>
          </w:sdtContent>
        </w:sdt>
        <w:sdt>
          <w:sdtPr>
            <w:rPr>
              <w:sz w:val="18"/>
              <w:szCs w:val="18"/>
            </w:rPr>
            <w:tag w:val="_PLD_2a265c047cf94f85a8553f5e0b2b7388"/>
            <w:id w:val="1337275831"/>
          </w:sdtPr>
          <w:sdtContent>
            <w:tc>
              <w:tcPr>
                <w:tcW w:w="1365" w:type="dxa"/>
                <w:vAlign w:val="center"/>
              </w:tcPr>
              <w:p w14:paraId="0EEC636F" w14:textId="77777777" w:rsidR="005E000F" w:rsidRDefault="00000000">
                <w:pPr>
                  <w:jc w:val="center"/>
                  <w:rPr>
                    <w:color w:val="000000" w:themeColor="text1"/>
                    <w:sz w:val="18"/>
                    <w:szCs w:val="18"/>
                  </w:rPr>
                </w:pPr>
                <w:r>
                  <w:rPr>
                    <w:color w:val="000000" w:themeColor="text1"/>
                    <w:sz w:val="18"/>
                    <w:szCs w:val="18"/>
                  </w:rPr>
                  <w:t>账面价值</w:t>
                </w:r>
              </w:p>
            </w:tc>
          </w:sdtContent>
        </w:sdt>
        <w:sdt>
          <w:sdtPr>
            <w:rPr>
              <w:sz w:val="18"/>
              <w:szCs w:val="18"/>
            </w:rPr>
            <w:tag w:val="_PLD_5b6c4747a96541ecafc3956c6df7be1e"/>
            <w:id w:val="58761319"/>
          </w:sdtPr>
          <w:sdtContent>
            <w:tc>
              <w:tcPr>
                <w:tcW w:w="635" w:type="dxa"/>
                <w:vAlign w:val="center"/>
              </w:tcPr>
              <w:p w14:paraId="1DAF42E9" w14:textId="77777777" w:rsidR="005E000F" w:rsidRDefault="00000000">
                <w:pPr>
                  <w:jc w:val="center"/>
                  <w:rPr>
                    <w:color w:val="000000" w:themeColor="text1"/>
                    <w:sz w:val="18"/>
                    <w:szCs w:val="18"/>
                  </w:rPr>
                </w:pPr>
                <w:r>
                  <w:rPr>
                    <w:color w:val="000000" w:themeColor="text1"/>
                    <w:sz w:val="18"/>
                    <w:szCs w:val="18"/>
                  </w:rPr>
                  <w:t>受限类型</w:t>
                </w:r>
              </w:p>
            </w:tc>
          </w:sdtContent>
        </w:sdt>
        <w:sdt>
          <w:sdtPr>
            <w:rPr>
              <w:sz w:val="18"/>
              <w:szCs w:val="18"/>
            </w:rPr>
            <w:tag w:val="_PLD_0fdc8d5500aa413592588c79ae47d121"/>
            <w:id w:val="-201019824"/>
          </w:sdtPr>
          <w:sdtContent>
            <w:tc>
              <w:tcPr>
                <w:tcW w:w="635" w:type="dxa"/>
                <w:vAlign w:val="center"/>
              </w:tcPr>
              <w:p w14:paraId="67A6B737" w14:textId="77777777" w:rsidR="005E000F" w:rsidRDefault="00000000">
                <w:pPr>
                  <w:jc w:val="center"/>
                  <w:rPr>
                    <w:color w:val="000000" w:themeColor="text1"/>
                    <w:sz w:val="18"/>
                    <w:szCs w:val="18"/>
                  </w:rPr>
                </w:pPr>
                <w:r>
                  <w:rPr>
                    <w:color w:val="000000" w:themeColor="text1"/>
                    <w:sz w:val="18"/>
                    <w:szCs w:val="18"/>
                  </w:rPr>
                  <w:t>受限情况</w:t>
                </w:r>
              </w:p>
            </w:tc>
          </w:sdtContent>
        </w:sdt>
        <w:sdt>
          <w:sdtPr>
            <w:rPr>
              <w:sz w:val="18"/>
              <w:szCs w:val="18"/>
            </w:rPr>
            <w:tag w:val="_PLD_19a6e2039b054e27ae63e997e8202099"/>
            <w:id w:val="-1571962932"/>
          </w:sdtPr>
          <w:sdtContent>
            <w:tc>
              <w:tcPr>
                <w:tcW w:w="1431" w:type="dxa"/>
                <w:vAlign w:val="center"/>
              </w:tcPr>
              <w:p w14:paraId="01CF9944" w14:textId="77777777" w:rsidR="005E000F" w:rsidRDefault="00000000">
                <w:pPr>
                  <w:jc w:val="center"/>
                  <w:rPr>
                    <w:color w:val="000000" w:themeColor="text1"/>
                    <w:sz w:val="18"/>
                    <w:szCs w:val="18"/>
                  </w:rPr>
                </w:pPr>
                <w:r>
                  <w:rPr>
                    <w:color w:val="000000" w:themeColor="text1"/>
                    <w:sz w:val="18"/>
                    <w:szCs w:val="18"/>
                  </w:rPr>
                  <w:t>账面余额</w:t>
                </w:r>
              </w:p>
            </w:tc>
          </w:sdtContent>
        </w:sdt>
        <w:sdt>
          <w:sdtPr>
            <w:rPr>
              <w:sz w:val="18"/>
              <w:szCs w:val="18"/>
            </w:rPr>
            <w:tag w:val="_PLD_c874887424044a5dbc1a1644f585ae7e"/>
            <w:id w:val="1622725721"/>
          </w:sdtPr>
          <w:sdtContent>
            <w:tc>
              <w:tcPr>
                <w:tcW w:w="1289" w:type="dxa"/>
                <w:vAlign w:val="center"/>
              </w:tcPr>
              <w:p w14:paraId="143788D8" w14:textId="77777777" w:rsidR="005E000F" w:rsidRDefault="00000000">
                <w:pPr>
                  <w:jc w:val="center"/>
                  <w:rPr>
                    <w:color w:val="000000" w:themeColor="text1"/>
                    <w:sz w:val="18"/>
                    <w:szCs w:val="18"/>
                  </w:rPr>
                </w:pPr>
                <w:r>
                  <w:rPr>
                    <w:color w:val="000000" w:themeColor="text1"/>
                    <w:sz w:val="18"/>
                    <w:szCs w:val="18"/>
                  </w:rPr>
                  <w:t>账面价值</w:t>
                </w:r>
              </w:p>
            </w:tc>
          </w:sdtContent>
        </w:sdt>
        <w:sdt>
          <w:sdtPr>
            <w:rPr>
              <w:sz w:val="18"/>
              <w:szCs w:val="18"/>
            </w:rPr>
            <w:tag w:val="_PLD_92198303043b4f9e9d277fb8a7835f44"/>
            <w:id w:val="-1170868921"/>
          </w:sdtPr>
          <w:sdtContent>
            <w:tc>
              <w:tcPr>
                <w:tcW w:w="578" w:type="dxa"/>
                <w:vAlign w:val="center"/>
              </w:tcPr>
              <w:p w14:paraId="3189705B" w14:textId="77777777" w:rsidR="005E000F" w:rsidRDefault="00000000">
                <w:pPr>
                  <w:jc w:val="center"/>
                  <w:rPr>
                    <w:color w:val="000000" w:themeColor="text1"/>
                    <w:sz w:val="18"/>
                    <w:szCs w:val="18"/>
                  </w:rPr>
                </w:pPr>
                <w:r>
                  <w:rPr>
                    <w:color w:val="000000" w:themeColor="text1"/>
                    <w:sz w:val="18"/>
                    <w:szCs w:val="18"/>
                  </w:rPr>
                  <w:t>受限类型</w:t>
                </w:r>
              </w:p>
            </w:tc>
          </w:sdtContent>
        </w:sdt>
        <w:sdt>
          <w:sdtPr>
            <w:rPr>
              <w:sz w:val="18"/>
              <w:szCs w:val="18"/>
            </w:rPr>
            <w:tag w:val="_PLD_4ea3dd881caf4532ad39a52fb85dd9ad"/>
            <w:id w:val="494543547"/>
          </w:sdtPr>
          <w:sdtContent>
            <w:tc>
              <w:tcPr>
                <w:tcW w:w="626" w:type="dxa"/>
                <w:vAlign w:val="center"/>
              </w:tcPr>
              <w:p w14:paraId="00A83226" w14:textId="77777777" w:rsidR="005E000F" w:rsidRDefault="00000000">
                <w:pPr>
                  <w:jc w:val="center"/>
                  <w:rPr>
                    <w:color w:val="000000" w:themeColor="text1"/>
                    <w:sz w:val="18"/>
                    <w:szCs w:val="18"/>
                  </w:rPr>
                </w:pPr>
                <w:r>
                  <w:rPr>
                    <w:color w:val="000000" w:themeColor="text1"/>
                    <w:sz w:val="18"/>
                    <w:szCs w:val="18"/>
                  </w:rPr>
                  <w:t>受限情况</w:t>
                </w:r>
              </w:p>
            </w:tc>
          </w:sdtContent>
        </w:sdt>
      </w:tr>
      <w:tr w:rsidR="005E000F" w14:paraId="5680962D" w14:textId="77777777">
        <w:tc>
          <w:tcPr>
            <w:tcW w:w="979" w:type="dxa"/>
            <w:tcBorders>
              <w:bottom w:val="single" w:sz="4" w:space="0" w:color="auto"/>
            </w:tcBorders>
            <w:vAlign w:val="center"/>
          </w:tcPr>
          <w:p w14:paraId="27E08FCF" w14:textId="77777777" w:rsidR="005E000F" w:rsidRDefault="00000000">
            <w:pPr>
              <w:jc w:val="left"/>
              <w:rPr>
                <w:color w:val="000000" w:themeColor="text1"/>
                <w:sz w:val="18"/>
                <w:szCs w:val="18"/>
              </w:rPr>
            </w:pPr>
            <w:r>
              <w:rPr>
                <w:color w:val="000000" w:themeColor="text1"/>
                <w:sz w:val="18"/>
                <w:szCs w:val="18"/>
              </w:rPr>
              <w:t>无形资产</w:t>
            </w:r>
          </w:p>
        </w:tc>
        <w:tc>
          <w:tcPr>
            <w:tcW w:w="1285" w:type="dxa"/>
            <w:vAlign w:val="center"/>
          </w:tcPr>
          <w:p w14:paraId="6CF9C5BF" w14:textId="77777777" w:rsidR="005E000F" w:rsidRDefault="00000000">
            <w:pPr>
              <w:jc w:val="right"/>
              <w:rPr>
                <w:sz w:val="18"/>
                <w:szCs w:val="18"/>
              </w:rPr>
            </w:pPr>
            <w:r>
              <w:rPr>
                <w:sz w:val="18"/>
                <w:szCs w:val="18"/>
              </w:rPr>
              <w:t>1,234,182,956</w:t>
            </w:r>
          </w:p>
        </w:tc>
        <w:tc>
          <w:tcPr>
            <w:tcW w:w="1365" w:type="dxa"/>
            <w:vAlign w:val="center"/>
          </w:tcPr>
          <w:p w14:paraId="45243084" w14:textId="77777777" w:rsidR="005E000F" w:rsidRDefault="00000000">
            <w:pPr>
              <w:jc w:val="right"/>
              <w:rPr>
                <w:sz w:val="18"/>
                <w:szCs w:val="18"/>
              </w:rPr>
            </w:pPr>
            <w:r>
              <w:rPr>
                <w:sz w:val="18"/>
                <w:szCs w:val="18"/>
              </w:rPr>
              <w:t>1,019,966,463</w:t>
            </w:r>
          </w:p>
        </w:tc>
        <w:sdt>
          <w:sdtPr>
            <w:rPr>
              <w:color w:val="000000" w:themeColor="text1"/>
              <w:sz w:val="18"/>
              <w:szCs w:val="18"/>
            </w:rPr>
            <w:alias w:val="所有权或使用权受到限制的资产中无形资产受限类型"/>
            <w:tag w:val="_GBC_ed0c1abe0de84d359e970630f4d34fdd"/>
            <w:id w:val="-470289100"/>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tc>
              <w:tcPr>
                <w:tcW w:w="635" w:type="dxa"/>
                <w:vAlign w:val="center"/>
              </w:tcPr>
              <w:p w14:paraId="186602CF" w14:textId="77777777" w:rsidR="005E000F" w:rsidRDefault="00000000">
                <w:pPr>
                  <w:rPr>
                    <w:color w:val="000000" w:themeColor="text1"/>
                    <w:sz w:val="18"/>
                    <w:szCs w:val="18"/>
                  </w:rPr>
                </w:pPr>
                <w:r>
                  <w:rPr>
                    <w:color w:val="000000" w:themeColor="text1"/>
                    <w:sz w:val="18"/>
                    <w:szCs w:val="18"/>
                  </w:rPr>
                  <w:t>抵押</w:t>
                </w:r>
              </w:p>
            </w:tc>
          </w:sdtContent>
        </w:sdt>
        <w:tc>
          <w:tcPr>
            <w:tcW w:w="635" w:type="dxa"/>
            <w:vAlign w:val="center"/>
          </w:tcPr>
          <w:p w14:paraId="1C868449" w14:textId="77777777" w:rsidR="005E000F" w:rsidRDefault="00000000">
            <w:pPr>
              <w:rPr>
                <w:sz w:val="18"/>
                <w:szCs w:val="18"/>
              </w:rPr>
            </w:pPr>
            <w:r>
              <w:rPr>
                <w:sz w:val="18"/>
                <w:szCs w:val="18"/>
              </w:rPr>
              <w:t>抵押借款</w:t>
            </w:r>
          </w:p>
        </w:tc>
        <w:tc>
          <w:tcPr>
            <w:tcW w:w="1431" w:type="dxa"/>
          </w:tcPr>
          <w:p w14:paraId="6F8DAA20" w14:textId="77777777" w:rsidR="005E000F" w:rsidRDefault="00000000">
            <w:pPr>
              <w:jc w:val="right"/>
              <w:rPr>
                <w:sz w:val="18"/>
                <w:szCs w:val="18"/>
                <w:lang w:eastAsia="en-US"/>
              </w:rPr>
            </w:pPr>
            <w:r>
              <w:rPr>
                <w:sz w:val="18"/>
                <w:szCs w:val="18"/>
              </w:rPr>
              <w:t>1,233,888,354</w:t>
            </w:r>
          </w:p>
        </w:tc>
        <w:tc>
          <w:tcPr>
            <w:tcW w:w="1289" w:type="dxa"/>
          </w:tcPr>
          <w:p w14:paraId="28C48403" w14:textId="77777777" w:rsidR="005E000F" w:rsidRDefault="00000000">
            <w:pPr>
              <w:jc w:val="right"/>
              <w:rPr>
                <w:sz w:val="18"/>
                <w:szCs w:val="18"/>
                <w:lang w:eastAsia="en-US"/>
              </w:rPr>
            </w:pPr>
            <w:r>
              <w:rPr>
                <w:sz w:val="18"/>
                <w:szCs w:val="18"/>
              </w:rPr>
              <w:t>1,044,700,762</w:t>
            </w:r>
          </w:p>
        </w:tc>
        <w:tc>
          <w:tcPr>
            <w:tcW w:w="578" w:type="dxa"/>
            <w:vAlign w:val="center"/>
          </w:tcPr>
          <w:sdt>
            <w:sdtPr>
              <w:rPr>
                <w:color w:val="000000" w:themeColor="text1"/>
                <w:sz w:val="18"/>
                <w:szCs w:val="18"/>
              </w:rPr>
              <w:alias w:val="所有权或使用权受到限制的资产中无形资产受限类型"/>
              <w:tag w:val="_GBC_ed0c1abe0de84d359e970630f4d34fdd"/>
              <w:id w:val="147472661"/>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p w14:paraId="160940A2" w14:textId="77777777" w:rsidR="005E000F" w:rsidRDefault="00000000">
                <w:pPr>
                  <w:rPr>
                    <w:color w:val="000000" w:themeColor="text1"/>
                    <w:sz w:val="18"/>
                    <w:szCs w:val="18"/>
                    <w:lang w:eastAsia="en-US"/>
                  </w:rPr>
                </w:pPr>
                <w:r>
                  <w:rPr>
                    <w:color w:val="000000" w:themeColor="text1"/>
                    <w:sz w:val="18"/>
                    <w:szCs w:val="18"/>
                  </w:rPr>
                  <w:t>抵押</w:t>
                </w:r>
              </w:p>
            </w:sdtContent>
          </w:sdt>
        </w:tc>
        <w:tc>
          <w:tcPr>
            <w:tcW w:w="626" w:type="dxa"/>
          </w:tcPr>
          <w:p w14:paraId="7C013CA6" w14:textId="77777777" w:rsidR="005E000F" w:rsidRDefault="00000000">
            <w:pPr>
              <w:rPr>
                <w:sz w:val="18"/>
                <w:szCs w:val="18"/>
                <w:lang w:eastAsia="en-US"/>
              </w:rPr>
            </w:pPr>
            <w:r>
              <w:rPr>
                <w:sz w:val="18"/>
                <w:szCs w:val="18"/>
              </w:rPr>
              <w:t>抵押借款</w:t>
            </w:r>
          </w:p>
        </w:tc>
      </w:tr>
      <w:tr w:rsidR="005E000F" w14:paraId="529C5542" w14:textId="77777777">
        <w:tc>
          <w:tcPr>
            <w:tcW w:w="979" w:type="dxa"/>
            <w:tcBorders>
              <w:bottom w:val="single" w:sz="4" w:space="0" w:color="auto"/>
            </w:tcBorders>
            <w:shd w:val="clear" w:color="auto" w:fill="auto"/>
            <w:vAlign w:val="center"/>
          </w:tcPr>
          <w:p w14:paraId="1E0E2F84" w14:textId="77777777" w:rsidR="005E000F" w:rsidRDefault="00000000">
            <w:pPr>
              <w:jc w:val="left"/>
              <w:rPr>
                <w:color w:val="000000" w:themeColor="text1"/>
                <w:sz w:val="18"/>
                <w:szCs w:val="18"/>
              </w:rPr>
            </w:pPr>
            <w:r>
              <w:rPr>
                <w:color w:val="000000" w:themeColor="text1"/>
                <w:sz w:val="18"/>
                <w:szCs w:val="18"/>
              </w:rPr>
              <w:t>货币资金</w:t>
            </w:r>
          </w:p>
        </w:tc>
        <w:tc>
          <w:tcPr>
            <w:tcW w:w="1285" w:type="dxa"/>
            <w:shd w:val="clear" w:color="auto" w:fill="auto"/>
            <w:vAlign w:val="center"/>
          </w:tcPr>
          <w:p w14:paraId="21419566" w14:textId="77777777" w:rsidR="005E000F" w:rsidRDefault="00000000">
            <w:pPr>
              <w:jc w:val="right"/>
              <w:rPr>
                <w:sz w:val="18"/>
                <w:szCs w:val="18"/>
              </w:rPr>
            </w:pPr>
            <w:r>
              <w:rPr>
                <w:sz w:val="18"/>
                <w:szCs w:val="18"/>
              </w:rPr>
              <w:t>16,001,672</w:t>
            </w:r>
          </w:p>
        </w:tc>
        <w:tc>
          <w:tcPr>
            <w:tcW w:w="1365" w:type="dxa"/>
            <w:shd w:val="clear" w:color="auto" w:fill="auto"/>
            <w:vAlign w:val="center"/>
          </w:tcPr>
          <w:p w14:paraId="6C0D379A" w14:textId="77777777" w:rsidR="005E000F" w:rsidRDefault="00000000">
            <w:pPr>
              <w:jc w:val="right"/>
              <w:rPr>
                <w:sz w:val="18"/>
                <w:szCs w:val="18"/>
              </w:rPr>
            </w:pPr>
            <w:r>
              <w:rPr>
                <w:sz w:val="18"/>
                <w:szCs w:val="18"/>
              </w:rPr>
              <w:t>16,001,672</w:t>
            </w:r>
          </w:p>
        </w:tc>
        <w:tc>
          <w:tcPr>
            <w:tcW w:w="635" w:type="dxa"/>
            <w:shd w:val="clear" w:color="auto" w:fill="auto"/>
          </w:tcPr>
          <w:p w14:paraId="521B0F12" w14:textId="77777777" w:rsidR="005E000F" w:rsidRDefault="00000000">
            <w:pPr>
              <w:rPr>
                <w:color w:val="000000" w:themeColor="text1"/>
                <w:sz w:val="18"/>
                <w:szCs w:val="18"/>
              </w:rPr>
            </w:pPr>
            <w:r>
              <w:rPr>
                <w:rFonts w:hint="eastAsia"/>
                <w:color w:val="000000" w:themeColor="text1"/>
                <w:sz w:val="18"/>
                <w:szCs w:val="18"/>
              </w:rPr>
              <w:t>计提的利息</w:t>
            </w:r>
          </w:p>
          <w:p w14:paraId="731E16C1" w14:textId="77777777" w:rsidR="005E000F" w:rsidRDefault="005E000F">
            <w:pPr>
              <w:rPr>
                <w:color w:val="000000" w:themeColor="text1"/>
                <w:sz w:val="18"/>
                <w:szCs w:val="18"/>
              </w:rPr>
            </w:pPr>
          </w:p>
        </w:tc>
        <w:tc>
          <w:tcPr>
            <w:tcW w:w="635" w:type="dxa"/>
            <w:shd w:val="clear" w:color="auto" w:fill="auto"/>
          </w:tcPr>
          <w:p w14:paraId="645BD58F" w14:textId="77777777" w:rsidR="005E000F" w:rsidRDefault="00000000">
            <w:pPr>
              <w:rPr>
                <w:sz w:val="18"/>
                <w:szCs w:val="18"/>
              </w:rPr>
            </w:pPr>
            <w:r>
              <w:rPr>
                <w:rFonts w:hint="eastAsia"/>
                <w:sz w:val="18"/>
                <w:szCs w:val="18"/>
              </w:rPr>
              <w:t>计提的利息</w:t>
            </w:r>
          </w:p>
        </w:tc>
        <w:tc>
          <w:tcPr>
            <w:tcW w:w="1431" w:type="dxa"/>
            <w:shd w:val="clear" w:color="auto" w:fill="auto"/>
            <w:vAlign w:val="center"/>
          </w:tcPr>
          <w:p w14:paraId="321CBB12" w14:textId="77777777" w:rsidR="005E000F" w:rsidRDefault="00000000">
            <w:pPr>
              <w:jc w:val="right"/>
              <w:rPr>
                <w:sz w:val="18"/>
                <w:szCs w:val="18"/>
              </w:rPr>
            </w:pPr>
            <w:r>
              <w:rPr>
                <w:rFonts w:hint="eastAsia"/>
                <w:sz w:val="18"/>
                <w:szCs w:val="18"/>
              </w:rPr>
              <w:t>0</w:t>
            </w:r>
          </w:p>
        </w:tc>
        <w:tc>
          <w:tcPr>
            <w:tcW w:w="1289" w:type="dxa"/>
            <w:shd w:val="clear" w:color="auto" w:fill="auto"/>
            <w:vAlign w:val="center"/>
          </w:tcPr>
          <w:p w14:paraId="13417F81" w14:textId="77777777" w:rsidR="005E000F" w:rsidRDefault="00000000">
            <w:pPr>
              <w:jc w:val="right"/>
              <w:rPr>
                <w:sz w:val="18"/>
                <w:szCs w:val="18"/>
              </w:rPr>
            </w:pPr>
            <w:r>
              <w:rPr>
                <w:rFonts w:hint="eastAsia"/>
                <w:sz w:val="18"/>
                <w:szCs w:val="18"/>
              </w:rPr>
              <w:t>0</w:t>
            </w:r>
          </w:p>
        </w:tc>
        <w:tc>
          <w:tcPr>
            <w:tcW w:w="578" w:type="dxa"/>
            <w:shd w:val="clear" w:color="auto" w:fill="auto"/>
            <w:vAlign w:val="center"/>
          </w:tcPr>
          <w:sdt>
            <w:sdtPr>
              <w:rPr>
                <w:color w:val="000000" w:themeColor="text1"/>
                <w:sz w:val="18"/>
                <w:szCs w:val="18"/>
              </w:rPr>
              <w:alias w:val="所有权或使用权受到限制的资产中货币资金受限类型"/>
              <w:tag w:val="_GBC_6f6cb50e97ca4fa8a27036ee94b76871"/>
              <w:id w:val="147459598"/>
              <w:showingPlcHdr/>
              <w:comboBox>
                <w:listItem w:displayText="抵押" w:value="抵押"/>
                <w:listItem w:displayText="质押" w:value="质押"/>
                <w:listItem w:displayText="查封" w:value="查封"/>
                <w:listItem w:displayText="冻结" w:value="冻结"/>
                <w:listItem w:displayText="扣押" w:value="扣押"/>
                <w:listItem w:displayText="其他" w:value="其他"/>
              </w:comboBox>
            </w:sdtPr>
            <w:sdtContent>
              <w:p w14:paraId="52C522CC" w14:textId="77777777" w:rsidR="005E000F" w:rsidRDefault="00000000">
                <w:pPr>
                  <w:rPr>
                    <w:color w:val="000000" w:themeColor="text1"/>
                    <w:sz w:val="18"/>
                    <w:szCs w:val="18"/>
                  </w:rPr>
                </w:pPr>
                <w:r>
                  <w:rPr>
                    <w:rStyle w:val="affa"/>
                    <w:rFonts w:hint="eastAsia"/>
                    <w:color w:val="000000" w:themeColor="text1"/>
                    <w:sz w:val="18"/>
                    <w:szCs w:val="18"/>
                  </w:rPr>
                  <w:t xml:space="preserve">　</w:t>
                </w:r>
              </w:p>
            </w:sdtContent>
          </w:sdt>
          <w:p w14:paraId="6FD4C905" w14:textId="77777777" w:rsidR="005E000F" w:rsidRDefault="005E000F">
            <w:pPr>
              <w:rPr>
                <w:color w:val="000000" w:themeColor="text1"/>
                <w:sz w:val="18"/>
                <w:szCs w:val="18"/>
              </w:rPr>
            </w:pPr>
          </w:p>
        </w:tc>
        <w:tc>
          <w:tcPr>
            <w:tcW w:w="626" w:type="dxa"/>
            <w:shd w:val="clear" w:color="auto" w:fill="auto"/>
            <w:vAlign w:val="center"/>
          </w:tcPr>
          <w:p w14:paraId="5130A7A5" w14:textId="77777777" w:rsidR="005E000F" w:rsidRDefault="005E000F">
            <w:pPr>
              <w:rPr>
                <w:sz w:val="18"/>
                <w:szCs w:val="18"/>
              </w:rPr>
            </w:pPr>
          </w:p>
        </w:tc>
      </w:tr>
      <w:tr w:rsidR="005E000F" w14:paraId="78547C19" w14:textId="77777777">
        <w:tc>
          <w:tcPr>
            <w:tcW w:w="979" w:type="dxa"/>
            <w:vAlign w:val="center"/>
          </w:tcPr>
          <w:p w14:paraId="527FA988" w14:textId="77777777" w:rsidR="005E000F" w:rsidRDefault="00000000">
            <w:pPr>
              <w:jc w:val="center"/>
              <w:rPr>
                <w:color w:val="000000" w:themeColor="text1"/>
                <w:sz w:val="18"/>
                <w:szCs w:val="18"/>
              </w:rPr>
            </w:pPr>
            <w:r>
              <w:rPr>
                <w:color w:val="000000" w:themeColor="text1"/>
                <w:sz w:val="18"/>
                <w:szCs w:val="18"/>
              </w:rPr>
              <w:t>合计</w:t>
            </w:r>
          </w:p>
        </w:tc>
        <w:tc>
          <w:tcPr>
            <w:tcW w:w="1285" w:type="dxa"/>
            <w:vAlign w:val="center"/>
          </w:tcPr>
          <w:p w14:paraId="0697971C" w14:textId="77777777" w:rsidR="005E000F" w:rsidRDefault="00000000">
            <w:pPr>
              <w:jc w:val="right"/>
              <w:rPr>
                <w:sz w:val="18"/>
                <w:szCs w:val="18"/>
              </w:rPr>
            </w:pPr>
            <w:r>
              <w:rPr>
                <w:sz w:val="18"/>
                <w:szCs w:val="18"/>
              </w:rPr>
              <w:t>1,250,184,628</w:t>
            </w:r>
          </w:p>
        </w:tc>
        <w:tc>
          <w:tcPr>
            <w:tcW w:w="1365" w:type="dxa"/>
            <w:vAlign w:val="center"/>
          </w:tcPr>
          <w:p w14:paraId="008CB257" w14:textId="77777777" w:rsidR="005E000F" w:rsidRDefault="00000000">
            <w:pPr>
              <w:jc w:val="right"/>
              <w:rPr>
                <w:sz w:val="18"/>
                <w:szCs w:val="18"/>
              </w:rPr>
            </w:pPr>
            <w:r>
              <w:rPr>
                <w:sz w:val="18"/>
                <w:szCs w:val="18"/>
              </w:rPr>
              <w:t>1,035,968,135</w:t>
            </w:r>
          </w:p>
        </w:tc>
        <w:tc>
          <w:tcPr>
            <w:tcW w:w="635" w:type="dxa"/>
            <w:vAlign w:val="center"/>
          </w:tcPr>
          <w:p w14:paraId="30A26AAE" w14:textId="77777777" w:rsidR="005E000F" w:rsidRDefault="00000000">
            <w:pPr>
              <w:jc w:val="center"/>
              <w:rPr>
                <w:color w:val="000000" w:themeColor="text1"/>
                <w:sz w:val="18"/>
                <w:szCs w:val="18"/>
              </w:rPr>
            </w:pPr>
            <w:r>
              <w:rPr>
                <w:color w:val="000000" w:themeColor="text1"/>
                <w:sz w:val="18"/>
                <w:szCs w:val="18"/>
              </w:rPr>
              <w:t>/</w:t>
            </w:r>
          </w:p>
        </w:tc>
        <w:tc>
          <w:tcPr>
            <w:tcW w:w="635" w:type="dxa"/>
            <w:vAlign w:val="center"/>
          </w:tcPr>
          <w:p w14:paraId="61E35C18" w14:textId="77777777" w:rsidR="005E000F" w:rsidRDefault="00000000">
            <w:pPr>
              <w:jc w:val="center"/>
              <w:rPr>
                <w:color w:val="000000" w:themeColor="text1"/>
                <w:sz w:val="18"/>
                <w:szCs w:val="18"/>
              </w:rPr>
            </w:pPr>
            <w:r>
              <w:rPr>
                <w:color w:val="000000" w:themeColor="text1"/>
                <w:sz w:val="18"/>
                <w:szCs w:val="18"/>
              </w:rPr>
              <w:t>/</w:t>
            </w:r>
          </w:p>
        </w:tc>
        <w:tc>
          <w:tcPr>
            <w:tcW w:w="1431" w:type="dxa"/>
          </w:tcPr>
          <w:p w14:paraId="6A50E39D" w14:textId="77777777" w:rsidR="005E000F" w:rsidRDefault="00000000">
            <w:pPr>
              <w:jc w:val="right"/>
              <w:rPr>
                <w:sz w:val="18"/>
                <w:szCs w:val="18"/>
                <w:lang w:eastAsia="en-US"/>
              </w:rPr>
            </w:pPr>
            <w:r>
              <w:rPr>
                <w:sz w:val="18"/>
                <w:szCs w:val="18"/>
              </w:rPr>
              <w:t>1,233,888,354</w:t>
            </w:r>
          </w:p>
        </w:tc>
        <w:tc>
          <w:tcPr>
            <w:tcW w:w="1289" w:type="dxa"/>
          </w:tcPr>
          <w:p w14:paraId="3C38ECEE" w14:textId="77777777" w:rsidR="005E000F" w:rsidRDefault="00000000">
            <w:pPr>
              <w:jc w:val="right"/>
              <w:rPr>
                <w:sz w:val="18"/>
                <w:szCs w:val="18"/>
                <w:lang w:eastAsia="en-US"/>
              </w:rPr>
            </w:pPr>
            <w:r>
              <w:rPr>
                <w:sz w:val="18"/>
                <w:szCs w:val="18"/>
              </w:rPr>
              <w:t>1,044,700,762</w:t>
            </w:r>
          </w:p>
        </w:tc>
        <w:tc>
          <w:tcPr>
            <w:tcW w:w="578" w:type="dxa"/>
            <w:vAlign w:val="center"/>
          </w:tcPr>
          <w:p w14:paraId="6EE639B4" w14:textId="77777777" w:rsidR="005E000F" w:rsidRDefault="00000000">
            <w:pPr>
              <w:jc w:val="center"/>
              <w:rPr>
                <w:color w:val="000000" w:themeColor="text1"/>
                <w:sz w:val="18"/>
                <w:szCs w:val="18"/>
              </w:rPr>
            </w:pPr>
            <w:r>
              <w:rPr>
                <w:color w:val="000000" w:themeColor="text1"/>
                <w:sz w:val="18"/>
                <w:szCs w:val="18"/>
              </w:rPr>
              <w:t>/</w:t>
            </w:r>
          </w:p>
        </w:tc>
        <w:tc>
          <w:tcPr>
            <w:tcW w:w="626" w:type="dxa"/>
            <w:vAlign w:val="center"/>
          </w:tcPr>
          <w:p w14:paraId="1140A707" w14:textId="77777777" w:rsidR="005E000F" w:rsidRDefault="00000000">
            <w:pPr>
              <w:jc w:val="center"/>
              <w:rPr>
                <w:color w:val="000000" w:themeColor="text1"/>
                <w:sz w:val="18"/>
                <w:szCs w:val="18"/>
              </w:rPr>
            </w:pPr>
            <w:r>
              <w:rPr>
                <w:color w:val="000000" w:themeColor="text1"/>
                <w:sz w:val="18"/>
                <w:szCs w:val="18"/>
              </w:rPr>
              <w:t>/</w:t>
            </w:r>
          </w:p>
        </w:tc>
      </w:tr>
    </w:tbl>
    <w:p w14:paraId="5C29D300" w14:textId="77777777" w:rsidR="005E000F" w:rsidRDefault="00000000">
      <w:pPr>
        <w:spacing w:before="60" w:after="60"/>
        <w:rPr>
          <w:color w:val="000000" w:themeColor="text1"/>
        </w:rPr>
      </w:pPr>
      <w:r>
        <w:rPr>
          <w:rFonts w:hint="eastAsia"/>
          <w:color w:val="000000" w:themeColor="text1"/>
        </w:rPr>
        <w:t>其他说明：</w:t>
      </w:r>
    </w:p>
    <w:sdt>
      <w:sdtPr>
        <w:rPr>
          <w:color w:val="000000" w:themeColor="text1"/>
        </w:rPr>
        <w:alias w:val="所有权或使用权受到限制的资产的其他说明"/>
        <w:tag w:val="_GBC_cb6598cbee3c4c8881c3583f4da2f049"/>
        <w:id w:val="-260844033"/>
        <w:placeholder>
          <w:docPart w:val="GBC22222222222222222222222222222"/>
        </w:placeholder>
      </w:sdtPr>
      <w:sdtContent>
        <w:sdt>
          <w:sdtPr>
            <w:rPr>
              <w:color w:val="000000" w:themeColor="text1"/>
            </w:rPr>
            <w:alias w:val="所有权或使用权受到限制的资产的其他说明"/>
            <w:tag w:val="_GBC_571ebdda2c564d648db287965351cd50"/>
            <w:id w:val="1342274100"/>
            <w:placeholder>
              <w:docPart w:val="{42e3fae5-41c4-4b24-aa7a-5f53ee2a26b4}"/>
            </w:placeholder>
          </w:sdtPr>
          <w:sdtContent>
            <w:p w14:paraId="4B909405" w14:textId="77777777" w:rsidR="005E000F" w:rsidRDefault="00000000">
              <w:pPr>
                <w:rPr>
                  <w:color w:val="000000" w:themeColor="text1"/>
                </w:rPr>
              </w:pPr>
              <w:r>
                <w:rPr>
                  <w:rFonts w:hint="eastAsia"/>
                  <w:color w:val="000000" w:themeColor="text1"/>
                </w:rPr>
                <w:t>详见附注七、</w:t>
              </w:r>
              <w:r>
                <w:rPr>
                  <w:rFonts w:hint="eastAsia"/>
                  <w:color w:val="000000" w:themeColor="text1"/>
                </w:rPr>
                <w:t>1</w:t>
              </w:r>
              <w:r>
                <w:rPr>
                  <w:rFonts w:hint="eastAsia"/>
                  <w:color w:val="000000" w:themeColor="text1"/>
                </w:rPr>
                <w:t>和七、</w:t>
              </w:r>
              <w:r>
                <w:rPr>
                  <w:rFonts w:hint="eastAsia"/>
                  <w:color w:val="000000" w:themeColor="text1"/>
                </w:rPr>
                <w:t>26</w:t>
              </w:r>
              <w:r>
                <w:rPr>
                  <w:rFonts w:hint="eastAsia"/>
                  <w:color w:val="000000" w:themeColor="text1"/>
                </w:rPr>
                <w:t>。</w:t>
              </w:r>
            </w:p>
          </w:sdtContent>
        </w:sdt>
        <w:p w14:paraId="048B68AD" w14:textId="77777777" w:rsidR="005E000F" w:rsidRDefault="00000000">
          <w:pPr>
            <w:rPr>
              <w:color w:val="000000" w:themeColor="text1"/>
            </w:rPr>
          </w:pPr>
        </w:p>
      </w:sdtContent>
    </w:sdt>
    <w:bookmarkEnd w:id="363"/>
    <w:p w14:paraId="733B54B0" w14:textId="77777777" w:rsidR="005E000F" w:rsidRDefault="005E000F"/>
    <w:p w14:paraId="462CEBB5"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lastRenderedPageBreak/>
        <w:t>短期借款</w:t>
      </w:r>
    </w:p>
    <w:p w14:paraId="445B5DB0" w14:textId="77777777" w:rsidR="005E000F" w:rsidRDefault="00000000">
      <w:pPr>
        <w:pStyle w:val="4"/>
        <w:numPr>
          <w:ilvl w:val="0"/>
          <w:numId w:val="90"/>
        </w:numPr>
        <w:ind w:left="426" w:hanging="426"/>
      </w:pPr>
      <w:r>
        <w:rPr>
          <w:rFonts w:hint="eastAsia"/>
        </w:rPr>
        <w:t>短期借款分类</w:t>
      </w:r>
    </w:p>
    <w:sdt>
      <w:sdtPr>
        <w:alias w:val="是否适用：短期借款分类[双击切换]"/>
        <w:tag w:val="_GBC_d7624f1054024527b72d59c4122e81cb"/>
        <w:id w:val="-290675946"/>
        <w:placeholder>
          <w:docPart w:val="GBC22222222222222222222222222222"/>
        </w:placeholder>
      </w:sdtPr>
      <w:sdtContent>
        <w:p w14:paraId="0026081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E1174C8" w14:textId="77777777" w:rsidR="005E000F" w:rsidRDefault="00000000">
      <w:pPr>
        <w:jc w:val="right"/>
      </w:pPr>
      <w:r>
        <w:rPr>
          <w:rFonts w:hint="eastAsia"/>
        </w:rPr>
        <w:t>单位：</w:t>
      </w:r>
      <w:sdt>
        <w:sdtPr>
          <w:rPr>
            <w:rFonts w:hint="eastAsia"/>
          </w:rPr>
          <w:alias w:val="单位：财务附注：短期借款分类"/>
          <w:tag w:val="_GBC_8d30fbb8785645499f9234dccd6e5b81"/>
          <w:id w:val="-4317418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短期借款分类"/>
          <w:tag w:val="_GBC_f7294c19819e4515b1d98b3d42f8d07c"/>
          <w:id w:val="-92896169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868"/>
        <w:gridCol w:w="3002"/>
        <w:gridCol w:w="3020"/>
      </w:tblGrid>
      <w:tr w:rsidR="005E000F" w14:paraId="1E04A49A" w14:textId="77777777">
        <w:trPr>
          <w:cantSplit/>
        </w:trPr>
        <w:sdt>
          <w:sdtPr>
            <w:tag w:val="_PLD_7d518e78e06f4dc9b46aae7b6b47fd01"/>
            <w:id w:val="2138825598"/>
          </w:sdtPr>
          <w:sdtContent>
            <w:tc>
              <w:tcPr>
                <w:tcW w:w="2868" w:type="dxa"/>
                <w:vAlign w:val="center"/>
              </w:tcPr>
              <w:p w14:paraId="0EBA045D" w14:textId="77777777" w:rsidR="005E000F" w:rsidRDefault="00000000">
                <w:pPr>
                  <w:autoSpaceDE w:val="0"/>
                  <w:autoSpaceDN w:val="0"/>
                  <w:adjustRightInd w:val="0"/>
                  <w:snapToGrid w:val="0"/>
                  <w:spacing w:line="240" w:lineRule="atLeast"/>
                  <w:jc w:val="center"/>
                  <w:rPr>
                    <w:color w:val="000000" w:themeColor="text1"/>
                  </w:rPr>
                </w:pPr>
                <w:r>
                  <w:rPr>
                    <w:rFonts w:hint="eastAsia"/>
                    <w:color w:val="000000" w:themeColor="text1"/>
                  </w:rPr>
                  <w:t>项目</w:t>
                </w:r>
              </w:p>
            </w:tc>
          </w:sdtContent>
        </w:sdt>
        <w:sdt>
          <w:sdtPr>
            <w:tag w:val="_PLD_cda187315847461e8ed854d1807d3b14"/>
            <w:id w:val="-1167625650"/>
          </w:sdtPr>
          <w:sdtContent>
            <w:tc>
              <w:tcPr>
                <w:tcW w:w="3002" w:type="dxa"/>
                <w:vAlign w:val="center"/>
              </w:tcPr>
              <w:p w14:paraId="11460E46" w14:textId="77777777" w:rsidR="005E000F" w:rsidRDefault="00000000">
                <w:pPr>
                  <w:jc w:val="center"/>
                  <w:rPr>
                    <w:color w:val="000000" w:themeColor="text1"/>
                  </w:rPr>
                </w:pPr>
                <w:r>
                  <w:rPr>
                    <w:rFonts w:hint="eastAsia"/>
                    <w:color w:val="000000" w:themeColor="text1"/>
                  </w:rPr>
                  <w:t>期末余额</w:t>
                </w:r>
              </w:p>
            </w:tc>
          </w:sdtContent>
        </w:sdt>
        <w:sdt>
          <w:sdtPr>
            <w:tag w:val="_PLD_805e4b849be14c0ab0ca7f324971119b"/>
            <w:id w:val="1874425020"/>
          </w:sdtPr>
          <w:sdtContent>
            <w:tc>
              <w:tcPr>
                <w:tcW w:w="3020" w:type="dxa"/>
                <w:vAlign w:val="center"/>
              </w:tcPr>
              <w:p w14:paraId="479E4688" w14:textId="77777777" w:rsidR="005E000F" w:rsidRDefault="00000000">
                <w:pPr>
                  <w:jc w:val="center"/>
                  <w:rPr>
                    <w:color w:val="000000" w:themeColor="text1"/>
                  </w:rPr>
                </w:pPr>
                <w:r>
                  <w:rPr>
                    <w:rFonts w:hint="eastAsia"/>
                    <w:color w:val="000000" w:themeColor="text1"/>
                  </w:rPr>
                  <w:t>期初余额</w:t>
                </w:r>
              </w:p>
            </w:tc>
          </w:sdtContent>
        </w:sdt>
      </w:tr>
      <w:tr w:rsidR="005E000F" w14:paraId="16A6AB42" w14:textId="77777777">
        <w:trPr>
          <w:cantSplit/>
          <w:trHeight w:val="237"/>
        </w:trPr>
        <w:tc>
          <w:tcPr>
            <w:tcW w:w="2868" w:type="dxa"/>
            <w:vAlign w:val="center"/>
          </w:tcPr>
          <w:p w14:paraId="332B6F94" w14:textId="77777777" w:rsidR="005E000F" w:rsidRDefault="00000000">
            <w:pPr>
              <w:autoSpaceDE w:val="0"/>
              <w:autoSpaceDN w:val="0"/>
              <w:adjustRightInd w:val="0"/>
              <w:snapToGrid w:val="0"/>
              <w:spacing w:line="240" w:lineRule="atLeast"/>
              <w:jc w:val="both"/>
              <w:rPr>
                <w:color w:val="000000" w:themeColor="text1"/>
              </w:rPr>
            </w:pPr>
            <w:r>
              <w:rPr>
                <w:rFonts w:hint="eastAsia"/>
                <w:color w:val="000000" w:themeColor="text1"/>
              </w:rPr>
              <w:t>信用借款</w:t>
            </w:r>
          </w:p>
        </w:tc>
        <w:tc>
          <w:tcPr>
            <w:tcW w:w="3002" w:type="dxa"/>
            <w:vAlign w:val="center"/>
          </w:tcPr>
          <w:p w14:paraId="24644D1F" w14:textId="77777777" w:rsidR="005E000F" w:rsidRDefault="00000000">
            <w:pPr>
              <w:autoSpaceDE w:val="0"/>
              <w:autoSpaceDN w:val="0"/>
              <w:adjustRightInd w:val="0"/>
              <w:snapToGrid w:val="0"/>
              <w:spacing w:line="240" w:lineRule="atLeast"/>
              <w:ind w:right="180"/>
              <w:jc w:val="right"/>
            </w:pPr>
            <w:r>
              <w:t>289,147,358</w:t>
            </w:r>
          </w:p>
        </w:tc>
        <w:tc>
          <w:tcPr>
            <w:tcW w:w="3020" w:type="dxa"/>
            <w:vAlign w:val="center"/>
          </w:tcPr>
          <w:p w14:paraId="36EF5543" w14:textId="77777777" w:rsidR="005E000F" w:rsidRDefault="00000000">
            <w:pPr>
              <w:autoSpaceDE w:val="0"/>
              <w:autoSpaceDN w:val="0"/>
              <w:adjustRightInd w:val="0"/>
              <w:snapToGrid w:val="0"/>
              <w:spacing w:line="240" w:lineRule="atLeast"/>
              <w:ind w:right="180"/>
              <w:jc w:val="right"/>
            </w:pPr>
            <w:r>
              <w:t>238,158,266</w:t>
            </w:r>
          </w:p>
        </w:tc>
      </w:tr>
      <w:tr w:rsidR="005E000F" w14:paraId="4F2DB594" w14:textId="77777777">
        <w:trPr>
          <w:cantSplit/>
        </w:trPr>
        <w:tc>
          <w:tcPr>
            <w:tcW w:w="2868" w:type="dxa"/>
            <w:vAlign w:val="center"/>
          </w:tcPr>
          <w:p w14:paraId="1304B422" w14:textId="77777777" w:rsidR="005E000F" w:rsidRDefault="00000000">
            <w:pPr>
              <w:autoSpaceDE w:val="0"/>
              <w:autoSpaceDN w:val="0"/>
              <w:adjustRightInd w:val="0"/>
              <w:snapToGrid w:val="0"/>
              <w:spacing w:line="240" w:lineRule="atLeast"/>
              <w:jc w:val="center"/>
              <w:rPr>
                <w:color w:val="000000" w:themeColor="text1"/>
              </w:rPr>
            </w:pPr>
            <w:r>
              <w:rPr>
                <w:rFonts w:hint="eastAsia"/>
                <w:color w:val="000000" w:themeColor="text1"/>
              </w:rPr>
              <w:t>合计</w:t>
            </w:r>
          </w:p>
        </w:tc>
        <w:tc>
          <w:tcPr>
            <w:tcW w:w="3002" w:type="dxa"/>
            <w:vAlign w:val="center"/>
          </w:tcPr>
          <w:p w14:paraId="367F35D3" w14:textId="77777777" w:rsidR="005E000F" w:rsidRDefault="00000000">
            <w:pPr>
              <w:autoSpaceDE w:val="0"/>
              <w:autoSpaceDN w:val="0"/>
              <w:adjustRightInd w:val="0"/>
              <w:snapToGrid w:val="0"/>
              <w:spacing w:line="240" w:lineRule="atLeast"/>
              <w:ind w:right="180"/>
              <w:jc w:val="right"/>
            </w:pPr>
            <w:r>
              <w:t>289,147,358</w:t>
            </w:r>
          </w:p>
        </w:tc>
        <w:tc>
          <w:tcPr>
            <w:tcW w:w="3020" w:type="dxa"/>
            <w:vAlign w:val="center"/>
          </w:tcPr>
          <w:p w14:paraId="49409F57" w14:textId="77777777" w:rsidR="005E000F" w:rsidRDefault="00000000">
            <w:pPr>
              <w:autoSpaceDE w:val="0"/>
              <w:autoSpaceDN w:val="0"/>
              <w:adjustRightInd w:val="0"/>
              <w:snapToGrid w:val="0"/>
              <w:spacing w:line="240" w:lineRule="atLeast"/>
              <w:ind w:right="180"/>
              <w:jc w:val="right"/>
            </w:pPr>
            <w:r>
              <w:t>238,158,266</w:t>
            </w:r>
          </w:p>
        </w:tc>
      </w:tr>
    </w:tbl>
    <w:p w14:paraId="279BDAF7" w14:textId="77777777" w:rsidR="005E000F" w:rsidRDefault="00000000">
      <w:pPr>
        <w:snapToGrid w:val="0"/>
        <w:spacing w:line="240" w:lineRule="atLeast"/>
        <w:rPr>
          <w:color w:val="000000" w:themeColor="text1"/>
        </w:rPr>
      </w:pPr>
      <w:r>
        <w:rPr>
          <w:rFonts w:hint="eastAsia"/>
          <w:color w:val="000000" w:themeColor="text1"/>
        </w:rPr>
        <w:t>短期借款分类的说明：</w:t>
      </w:r>
    </w:p>
    <w:sdt>
      <w:sdtPr>
        <w:alias w:val="短期借款分类的说明"/>
        <w:tag w:val="_GBC_39c88fc069c44763b7ed661bff072142"/>
        <w:id w:val="-1582902841"/>
        <w:placeholder>
          <w:docPart w:val="GBC22222222222222222222222222222"/>
        </w:placeholder>
      </w:sdtPr>
      <w:sdtContent>
        <w:p w14:paraId="212BF44C" w14:textId="77777777" w:rsidR="005E000F" w:rsidRDefault="00000000">
          <w:pPr>
            <w:snapToGrid w:val="0"/>
            <w:spacing w:line="240" w:lineRule="atLeast"/>
          </w:pPr>
          <w:r>
            <w:rPr>
              <w:rFonts w:hint="eastAsia"/>
            </w:rPr>
            <w:t>无</w:t>
          </w:r>
        </w:p>
      </w:sdtContent>
    </w:sdt>
    <w:p w14:paraId="2E47D4C9" w14:textId="77777777" w:rsidR="005E000F" w:rsidRDefault="005E000F">
      <w:pPr>
        <w:snapToGrid w:val="0"/>
        <w:spacing w:line="240" w:lineRule="atLeast"/>
        <w:rPr>
          <w:color w:val="000000" w:themeColor="text1"/>
        </w:rPr>
      </w:pPr>
    </w:p>
    <w:p w14:paraId="14BB004F" w14:textId="77777777" w:rsidR="005E000F" w:rsidRDefault="00000000">
      <w:pPr>
        <w:pStyle w:val="4"/>
        <w:numPr>
          <w:ilvl w:val="0"/>
          <w:numId w:val="90"/>
        </w:numPr>
        <w:ind w:left="426" w:hanging="426"/>
      </w:pPr>
      <w:r>
        <w:rPr>
          <w:rFonts w:hint="eastAsia"/>
        </w:rPr>
        <w:t>已逾期</w:t>
      </w:r>
      <w:proofErr w:type="gramStart"/>
      <w:r>
        <w:rPr>
          <w:rFonts w:hint="eastAsia"/>
        </w:rPr>
        <w:t>未偿</w:t>
      </w:r>
      <w:proofErr w:type="gramEnd"/>
      <w:r>
        <w:rPr>
          <w:rFonts w:hint="eastAsia"/>
        </w:rPr>
        <w:t>还的短期借款情况</w:t>
      </w:r>
    </w:p>
    <w:sdt>
      <w:sdtPr>
        <w:alias w:val="是否适用：已逾期未偿还的短期借款情况[双击切换]"/>
        <w:tag w:val="_GBC_b92057263cbf4b81a96df7b9d664c576"/>
        <w:id w:val="868645470"/>
        <w:placeholder>
          <w:docPart w:val="GBC22222222222222222222222222222"/>
        </w:placeholder>
      </w:sdtPr>
      <w:sdtEndPr>
        <w:rPr>
          <w:rFonts w:ascii="宋体" w:hAnsi="宋体"/>
        </w:rPr>
      </w:sdtEndPr>
      <w:sdtContent>
        <w:p w14:paraId="65078FA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E1E8894" w14:textId="77777777" w:rsidR="005E000F" w:rsidRDefault="005E000F"/>
    <w:p w14:paraId="246A753A" w14:textId="77777777" w:rsidR="005E000F" w:rsidRDefault="00000000">
      <w:r>
        <w:t>其中重要的已逾期</w:t>
      </w:r>
      <w:proofErr w:type="gramStart"/>
      <w:r>
        <w:t>未偿</w:t>
      </w:r>
      <w:proofErr w:type="gramEnd"/>
      <w:r>
        <w:t>还的短期借款情况如下：</w:t>
      </w:r>
    </w:p>
    <w:sdt>
      <w:sdtPr>
        <w:alias w:val="是否适用：其中重要的已逾期未偿还的短期借款情况[双击切换]"/>
        <w:tag w:val="_GBC_7c9437a678604c0382802a3e97f4d126"/>
        <w:id w:val="-1745407370"/>
        <w:placeholder>
          <w:docPart w:val="GBC22222222222222222222222222222"/>
        </w:placeholder>
      </w:sdtPr>
      <w:sdtContent>
        <w:p w14:paraId="231FF56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C17621E" w14:textId="77777777" w:rsidR="005E000F" w:rsidRDefault="005E000F"/>
    <w:p w14:paraId="481BD49E" w14:textId="77777777" w:rsidR="005E000F" w:rsidRDefault="00000000">
      <w:r>
        <w:rPr>
          <w:rFonts w:hint="eastAsia"/>
        </w:rPr>
        <w:t>其他说明：</w:t>
      </w:r>
    </w:p>
    <w:sdt>
      <w:sdtPr>
        <w:alias w:val="是否适用：短期借款的说明[双击切换]"/>
        <w:tag w:val="_GBC_c52256f82238457bbb4708bc99652730"/>
        <w:id w:val="-490030307"/>
        <w:placeholder>
          <w:docPart w:val="GBC22222222222222222222222222222"/>
        </w:placeholder>
      </w:sdtPr>
      <w:sdtContent>
        <w:p w14:paraId="6EB8825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76C6439" w14:textId="77777777" w:rsidR="005E000F" w:rsidRDefault="005E000F"/>
    <w:p w14:paraId="544DAFDA" w14:textId="77777777" w:rsidR="005E000F" w:rsidRDefault="00000000">
      <w:pPr>
        <w:pStyle w:val="3"/>
        <w:numPr>
          <w:ilvl w:val="0"/>
          <w:numId w:val="66"/>
        </w:numPr>
        <w:tabs>
          <w:tab w:val="left" w:pos="504"/>
        </w:tabs>
        <w:rPr>
          <w:szCs w:val="21"/>
        </w:rPr>
      </w:pPr>
      <w:bookmarkStart w:id="364" w:name="_Hlk533670147"/>
      <w:bookmarkStart w:id="365" w:name="_Hlk533422954"/>
      <w:r>
        <w:rPr>
          <w:rFonts w:hint="eastAsia"/>
          <w:szCs w:val="21"/>
        </w:rPr>
        <w:t>交易性金融负债</w:t>
      </w:r>
    </w:p>
    <w:sdt>
      <w:sdtPr>
        <w:alias w:val="是否适用：交易性金融负债[双击切换]"/>
        <w:tag w:val="_GBC_c7e98597070f45a4a30160e35e818445"/>
        <w:id w:val="-704242833"/>
        <w:placeholder>
          <w:docPart w:val="GBC22222222222222222222222222222"/>
        </w:placeholder>
      </w:sdtPr>
      <w:sdtContent>
        <w:p w14:paraId="4360338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CA5D37A" w14:textId="77777777" w:rsidR="005E000F" w:rsidRDefault="005E000F"/>
    <w:p w14:paraId="60AEDED0" w14:textId="77777777" w:rsidR="005E000F" w:rsidRDefault="00000000">
      <w:r>
        <w:rPr>
          <w:rFonts w:hint="eastAsia"/>
        </w:rPr>
        <w:t>其他</w:t>
      </w:r>
      <w:r>
        <w:t>说明</w:t>
      </w:r>
      <w:r>
        <w:rPr>
          <w:rFonts w:hint="eastAsia"/>
        </w:rPr>
        <w:t>：</w:t>
      </w:r>
    </w:p>
    <w:sdt>
      <w:sdtPr>
        <w:alias w:val="是否适用：交易性金融负债的说明[双击切换]"/>
        <w:tag w:val="_GBC_995f4c24d1994336b676a94c12f11d69"/>
        <w:id w:val="1168828311"/>
        <w:placeholder>
          <w:docPart w:val="GBC22222222222222222222222222222"/>
        </w:placeholder>
      </w:sdtPr>
      <w:sdtContent>
        <w:p w14:paraId="2FA6B63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9A84D78" w14:textId="77777777" w:rsidR="005E000F" w:rsidRDefault="005E000F"/>
    <w:bookmarkEnd w:id="364"/>
    <w:bookmarkEnd w:id="365"/>
    <w:p w14:paraId="38B0BC00" w14:textId="77777777" w:rsidR="005E000F" w:rsidRDefault="00000000">
      <w:pPr>
        <w:pStyle w:val="3"/>
        <w:numPr>
          <w:ilvl w:val="0"/>
          <w:numId w:val="66"/>
        </w:numPr>
        <w:tabs>
          <w:tab w:val="left" w:pos="504"/>
        </w:tabs>
        <w:rPr>
          <w:szCs w:val="21"/>
        </w:rPr>
      </w:pPr>
      <w:r>
        <w:rPr>
          <w:rFonts w:hint="eastAsia"/>
          <w:szCs w:val="21"/>
        </w:rPr>
        <w:t>衍生</w:t>
      </w:r>
      <w:r>
        <w:rPr>
          <w:rFonts w:hint="eastAsia"/>
        </w:rPr>
        <w:t>金融</w:t>
      </w:r>
      <w:r>
        <w:rPr>
          <w:rFonts w:hint="eastAsia"/>
          <w:szCs w:val="21"/>
        </w:rPr>
        <w:t>负债</w:t>
      </w:r>
    </w:p>
    <w:p w14:paraId="6F2929CF" w14:textId="77777777" w:rsidR="005E000F" w:rsidRDefault="00000000">
      <w:sdt>
        <w:sdtPr>
          <w:alias w:val="是否适用：衍生金融负债[双击切换]"/>
          <w:tag w:val="_GBC_9a70de9cca174edeb1bce62f4a47d15c"/>
          <w:id w:val="-718973012"/>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1935D3ED" w14:textId="77777777" w:rsidR="005E000F" w:rsidRDefault="005E000F"/>
    <w:p w14:paraId="410FE9F6" w14:textId="77777777" w:rsidR="005E000F" w:rsidRDefault="005E000F"/>
    <w:p w14:paraId="1A8F6B6B" w14:textId="77777777" w:rsidR="005E000F" w:rsidRDefault="00000000">
      <w:pPr>
        <w:pStyle w:val="3"/>
        <w:numPr>
          <w:ilvl w:val="0"/>
          <w:numId w:val="66"/>
        </w:numPr>
        <w:tabs>
          <w:tab w:val="left" w:pos="504"/>
        </w:tabs>
        <w:rPr>
          <w:szCs w:val="21"/>
        </w:rPr>
      </w:pPr>
      <w:r>
        <w:rPr>
          <w:rFonts w:hint="eastAsia"/>
        </w:rPr>
        <w:t>应付票据</w:t>
      </w:r>
    </w:p>
    <w:p w14:paraId="0B18B4AD" w14:textId="77777777" w:rsidR="005E000F" w:rsidRDefault="00000000">
      <w:pPr>
        <w:pStyle w:val="4"/>
        <w:numPr>
          <w:ilvl w:val="0"/>
          <w:numId w:val="91"/>
        </w:numPr>
        <w:ind w:left="426" w:hanging="426"/>
      </w:pPr>
      <w:r>
        <w:rPr>
          <w:rFonts w:hint="eastAsia"/>
        </w:rPr>
        <w:t>应付票据列示</w:t>
      </w:r>
    </w:p>
    <w:sdt>
      <w:sdtPr>
        <w:alias w:val="是否适用：应付票据[双击切换]"/>
        <w:tag w:val="_GBC_c0116f9cd6f34dcfa483a1f112dac85a"/>
        <w:id w:val="-178510335"/>
        <w:placeholder>
          <w:docPart w:val="GBC22222222222222222222222222222"/>
        </w:placeholder>
      </w:sdtPr>
      <w:sdtContent>
        <w:p w14:paraId="4DD80B4B"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43609CB" w14:textId="77777777" w:rsidR="005E000F" w:rsidRDefault="00000000">
      <w:pPr>
        <w:jc w:val="right"/>
      </w:pPr>
      <w:bookmarkStart w:id="366" w:name="_Hlk24103817"/>
      <w:r>
        <w:rPr>
          <w:rFonts w:hint="eastAsia"/>
        </w:rPr>
        <w:t>单位：</w:t>
      </w:r>
      <w:sdt>
        <w:sdtPr>
          <w:rPr>
            <w:rFonts w:hint="eastAsia"/>
          </w:rPr>
          <w:alias w:val="单位：财务附注：应付票据"/>
          <w:tag w:val="_GBC_15d55f1cad24473fb8cfaa98468213e2"/>
          <w:id w:val="966550413"/>
          <w:placeholder>
            <w:docPart w:val="GBC22222222222222222222222222222"/>
          </w:placeholder>
          <w:dataBinding w:prefixMappings="xmlns:clcid-ci-ar='clcid-ci-ar'" w:xpath="/*/clcid-ci-ar:DanWeiCaiWuFuZhuYingFuPiaoJu[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应付票据"/>
          <w:tag w:val="_GBC_db171c7622f3432ab2c9c6ae31a7aba7"/>
          <w:id w:val="161793962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3396"/>
        <w:gridCol w:w="3301"/>
      </w:tblGrid>
      <w:tr w:rsidR="005E000F" w14:paraId="3EA20BED" w14:textId="77777777">
        <w:trPr>
          <w:cantSplit/>
        </w:trPr>
        <w:sdt>
          <w:sdtPr>
            <w:tag w:val="_PLD_73e624e5fe424f71bbf918594e2a1c9a"/>
            <w:id w:val="-1453390961"/>
          </w:sdtPr>
          <w:sdtContent>
            <w:tc>
              <w:tcPr>
                <w:tcW w:w="2350" w:type="dxa"/>
                <w:vAlign w:val="center"/>
              </w:tcPr>
              <w:p w14:paraId="5822B0DF" w14:textId="77777777" w:rsidR="005E000F" w:rsidRDefault="00000000">
                <w:pPr>
                  <w:autoSpaceDE w:val="0"/>
                  <w:autoSpaceDN w:val="0"/>
                  <w:adjustRightInd w:val="0"/>
                  <w:snapToGrid w:val="0"/>
                  <w:spacing w:line="240" w:lineRule="atLeast"/>
                  <w:jc w:val="center"/>
                </w:pPr>
                <w:r>
                  <w:rPr>
                    <w:rFonts w:hint="eastAsia"/>
                  </w:rPr>
                  <w:t>种类</w:t>
                </w:r>
              </w:p>
            </w:tc>
          </w:sdtContent>
        </w:sdt>
        <w:sdt>
          <w:sdtPr>
            <w:tag w:val="_PLD_cca40679bdc548d8af0315d52fd2660e"/>
            <w:id w:val="-1117369459"/>
          </w:sdtPr>
          <w:sdtContent>
            <w:tc>
              <w:tcPr>
                <w:tcW w:w="3396" w:type="dxa"/>
                <w:vAlign w:val="center"/>
              </w:tcPr>
              <w:p w14:paraId="45E84C3A" w14:textId="77777777" w:rsidR="005E000F" w:rsidRDefault="00000000">
                <w:pPr>
                  <w:autoSpaceDE w:val="0"/>
                  <w:autoSpaceDN w:val="0"/>
                  <w:adjustRightInd w:val="0"/>
                  <w:snapToGrid w:val="0"/>
                  <w:spacing w:line="240" w:lineRule="atLeast"/>
                  <w:jc w:val="center"/>
                </w:pPr>
                <w:r>
                  <w:rPr>
                    <w:rFonts w:hint="eastAsia"/>
                  </w:rPr>
                  <w:t>期末余额</w:t>
                </w:r>
              </w:p>
            </w:tc>
          </w:sdtContent>
        </w:sdt>
        <w:sdt>
          <w:sdtPr>
            <w:tag w:val="_PLD_6429209ce46840dba67a32ae31e71913"/>
            <w:id w:val="-1251650595"/>
          </w:sdtPr>
          <w:sdtContent>
            <w:tc>
              <w:tcPr>
                <w:tcW w:w="3301" w:type="dxa"/>
                <w:vAlign w:val="center"/>
              </w:tcPr>
              <w:p w14:paraId="7BC13884" w14:textId="77777777" w:rsidR="005E000F" w:rsidRDefault="00000000">
                <w:pPr>
                  <w:autoSpaceDE w:val="0"/>
                  <w:autoSpaceDN w:val="0"/>
                  <w:adjustRightInd w:val="0"/>
                  <w:snapToGrid w:val="0"/>
                  <w:spacing w:line="240" w:lineRule="atLeast"/>
                  <w:jc w:val="center"/>
                </w:pPr>
                <w:r>
                  <w:rPr>
                    <w:rFonts w:hint="eastAsia"/>
                  </w:rPr>
                  <w:t>期初余额</w:t>
                </w:r>
              </w:p>
            </w:tc>
          </w:sdtContent>
        </w:sdt>
      </w:tr>
      <w:tr w:rsidR="005E000F" w14:paraId="5C49D1ED" w14:textId="77777777">
        <w:trPr>
          <w:cantSplit/>
        </w:trPr>
        <w:tc>
          <w:tcPr>
            <w:tcW w:w="2350" w:type="dxa"/>
            <w:vAlign w:val="center"/>
          </w:tcPr>
          <w:p w14:paraId="69B05332" w14:textId="77777777" w:rsidR="005E000F" w:rsidRDefault="00000000">
            <w:pPr>
              <w:autoSpaceDE w:val="0"/>
              <w:autoSpaceDN w:val="0"/>
              <w:adjustRightInd w:val="0"/>
              <w:snapToGrid w:val="0"/>
              <w:spacing w:line="240" w:lineRule="atLeast"/>
            </w:pPr>
            <w:r>
              <w:rPr>
                <w:rFonts w:hint="eastAsia"/>
              </w:rPr>
              <w:t>商业承兑汇票</w:t>
            </w:r>
          </w:p>
        </w:tc>
        <w:tc>
          <w:tcPr>
            <w:tcW w:w="3396" w:type="dxa"/>
            <w:vAlign w:val="center"/>
          </w:tcPr>
          <w:p w14:paraId="2C7485AC" w14:textId="77777777" w:rsidR="005E000F" w:rsidRDefault="00000000">
            <w:pPr>
              <w:jc w:val="right"/>
            </w:pPr>
            <w:r>
              <w:t>131,262,922</w:t>
            </w:r>
          </w:p>
        </w:tc>
        <w:tc>
          <w:tcPr>
            <w:tcW w:w="3301" w:type="dxa"/>
            <w:vAlign w:val="center"/>
          </w:tcPr>
          <w:p w14:paraId="0D38EF87" w14:textId="77777777" w:rsidR="005E000F" w:rsidRDefault="00000000">
            <w:pPr>
              <w:jc w:val="right"/>
            </w:pPr>
            <w:r>
              <w:t>128,225,073</w:t>
            </w:r>
          </w:p>
        </w:tc>
      </w:tr>
      <w:tr w:rsidR="005E000F" w14:paraId="3C200D17" w14:textId="77777777">
        <w:trPr>
          <w:cantSplit/>
        </w:trPr>
        <w:tc>
          <w:tcPr>
            <w:tcW w:w="2350" w:type="dxa"/>
            <w:vAlign w:val="center"/>
          </w:tcPr>
          <w:p w14:paraId="170760AB" w14:textId="77777777" w:rsidR="005E000F" w:rsidRDefault="00000000">
            <w:pPr>
              <w:autoSpaceDE w:val="0"/>
              <w:autoSpaceDN w:val="0"/>
              <w:adjustRightInd w:val="0"/>
              <w:snapToGrid w:val="0"/>
              <w:spacing w:line="240" w:lineRule="atLeast"/>
            </w:pPr>
            <w:r>
              <w:rPr>
                <w:rFonts w:hint="eastAsia"/>
              </w:rPr>
              <w:t>银行承兑汇票</w:t>
            </w:r>
          </w:p>
        </w:tc>
        <w:tc>
          <w:tcPr>
            <w:tcW w:w="3396" w:type="dxa"/>
            <w:vAlign w:val="center"/>
          </w:tcPr>
          <w:p w14:paraId="1114455C" w14:textId="77777777" w:rsidR="005E000F" w:rsidRDefault="00000000">
            <w:pPr>
              <w:jc w:val="right"/>
            </w:pPr>
            <w:r>
              <w:rPr>
                <w:rFonts w:hint="eastAsia"/>
              </w:rPr>
              <w:t>0</w:t>
            </w:r>
          </w:p>
        </w:tc>
        <w:tc>
          <w:tcPr>
            <w:tcW w:w="3301" w:type="dxa"/>
            <w:vAlign w:val="center"/>
          </w:tcPr>
          <w:p w14:paraId="51B5879A" w14:textId="77777777" w:rsidR="005E000F" w:rsidRDefault="00000000">
            <w:pPr>
              <w:jc w:val="right"/>
            </w:pPr>
            <w:r>
              <w:rPr>
                <w:rFonts w:hint="eastAsia"/>
              </w:rPr>
              <w:t>0</w:t>
            </w:r>
          </w:p>
        </w:tc>
      </w:tr>
      <w:tr w:rsidR="005E000F" w14:paraId="6D6B46DE" w14:textId="77777777">
        <w:trPr>
          <w:cantSplit/>
          <w:trHeight w:val="286"/>
        </w:trPr>
        <w:tc>
          <w:tcPr>
            <w:tcW w:w="2350" w:type="dxa"/>
            <w:vAlign w:val="center"/>
          </w:tcPr>
          <w:p w14:paraId="34A305A5" w14:textId="77777777" w:rsidR="005E000F" w:rsidRDefault="00000000">
            <w:pPr>
              <w:autoSpaceDE w:val="0"/>
              <w:autoSpaceDN w:val="0"/>
              <w:adjustRightInd w:val="0"/>
              <w:snapToGrid w:val="0"/>
              <w:spacing w:line="240" w:lineRule="atLeast"/>
              <w:jc w:val="center"/>
            </w:pPr>
            <w:r>
              <w:rPr>
                <w:rFonts w:hint="eastAsia"/>
              </w:rPr>
              <w:t>合计</w:t>
            </w:r>
          </w:p>
        </w:tc>
        <w:tc>
          <w:tcPr>
            <w:tcW w:w="3396" w:type="dxa"/>
            <w:vAlign w:val="center"/>
          </w:tcPr>
          <w:p w14:paraId="6D1C600F" w14:textId="77777777" w:rsidR="005E000F" w:rsidRDefault="00000000">
            <w:pPr>
              <w:jc w:val="right"/>
            </w:pPr>
            <w:r>
              <w:t>131,262,922</w:t>
            </w:r>
          </w:p>
        </w:tc>
        <w:tc>
          <w:tcPr>
            <w:tcW w:w="3301" w:type="dxa"/>
            <w:vAlign w:val="center"/>
          </w:tcPr>
          <w:p w14:paraId="749E0679" w14:textId="77777777" w:rsidR="005E000F" w:rsidRDefault="00000000">
            <w:pPr>
              <w:jc w:val="right"/>
            </w:pPr>
            <w:r>
              <w:t>128,225,073</w:t>
            </w:r>
          </w:p>
        </w:tc>
      </w:tr>
    </w:tbl>
    <w:p w14:paraId="478A96AD" w14:textId="77777777" w:rsidR="005E000F" w:rsidRDefault="00000000">
      <w:pPr>
        <w:snapToGrid w:val="0"/>
        <w:spacing w:line="240" w:lineRule="atLeast"/>
      </w:pPr>
      <w:r>
        <w:rPr>
          <w:rFonts w:hint="eastAsia"/>
        </w:rPr>
        <w:t>本</w:t>
      </w:r>
      <w:proofErr w:type="gramStart"/>
      <w:r>
        <w:rPr>
          <w:rFonts w:hint="eastAsia"/>
        </w:rPr>
        <w:t>期末已</w:t>
      </w:r>
      <w:proofErr w:type="gramEnd"/>
      <w:r>
        <w:rPr>
          <w:rFonts w:hint="eastAsia"/>
        </w:rPr>
        <w:t>到期未支付的应付票据总额为</w:t>
      </w:r>
      <w:sdt>
        <w:sdtPr>
          <w:rPr>
            <w:rFonts w:hint="eastAsia"/>
          </w:rPr>
          <w:alias w:val="已到期未支付的应付票据总额"/>
          <w:tag w:val="_GBC_0987f9272cb2419f937357595042911e"/>
          <w:id w:val="-1390648940"/>
          <w:placeholder>
            <w:docPart w:val="GBC22222222222222222222222222222"/>
          </w:placeholder>
        </w:sdtPr>
        <w:sdtContent>
          <w:r>
            <w:rPr>
              <w:rFonts w:hint="eastAsia"/>
            </w:rPr>
            <w:t>0</w:t>
          </w:r>
        </w:sdtContent>
      </w:sdt>
      <w:r>
        <w:rPr>
          <w:rFonts w:hint="eastAsia"/>
        </w:rPr>
        <w:t xml:space="preserve"> </w:t>
      </w:r>
      <w:sdt>
        <w:sdtPr>
          <w:rPr>
            <w:rFonts w:hint="eastAsia"/>
          </w:rPr>
          <w:alias w:val="单位：财务附注：应付票据"/>
          <w:tag w:val="_GBC_f1610b1fed6e494b87377ce35347d10d"/>
          <w:id w:val="-741492193"/>
          <w:placeholder>
            <w:docPart w:val="GBC22222222222222222222222222222"/>
          </w:placeholder>
          <w:dataBinding w:prefixMappings="xmlns:clcid-ci-ar='clcid-ci-ar'" w:xpath="/*/clcid-ci-ar:DanWeiCaiWuFuZhuYingFuPiaoJu[not(@periodRef)]"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w:t>
      </w:r>
      <w:sdt>
        <w:sdtPr>
          <w:tag w:val="_PLD_023929cfeaff49d9b49666f875fb8afb"/>
          <w:id w:val="-1397422335"/>
          <w:showingPlcHdr/>
        </w:sdtPr>
        <w:sdtContent>
          <w:r>
            <w:rPr>
              <w:rFonts w:hint="eastAsia"/>
            </w:rPr>
            <w:t xml:space="preserve">     </w:t>
          </w:r>
        </w:sdtContent>
      </w:sdt>
    </w:p>
    <w:bookmarkEnd w:id="366"/>
    <w:p w14:paraId="2AC35792" w14:textId="77777777" w:rsidR="005E000F" w:rsidRDefault="005E000F"/>
    <w:p w14:paraId="23034505" w14:textId="77777777" w:rsidR="005E000F" w:rsidRDefault="00000000">
      <w:pPr>
        <w:pStyle w:val="3"/>
        <w:numPr>
          <w:ilvl w:val="0"/>
          <w:numId w:val="66"/>
        </w:numPr>
        <w:tabs>
          <w:tab w:val="left" w:pos="504"/>
        </w:tabs>
      </w:pPr>
      <w:r>
        <w:rPr>
          <w:rFonts w:hint="eastAsia"/>
        </w:rPr>
        <w:t>应付账款</w:t>
      </w:r>
    </w:p>
    <w:p w14:paraId="4F7BA782" w14:textId="77777777" w:rsidR="005E000F" w:rsidRDefault="00000000">
      <w:pPr>
        <w:pStyle w:val="4"/>
        <w:numPr>
          <w:ilvl w:val="0"/>
          <w:numId w:val="92"/>
        </w:numPr>
        <w:ind w:left="426" w:hanging="426"/>
      </w:pPr>
      <w:r>
        <w:rPr>
          <w:rFonts w:hint="eastAsia"/>
        </w:rPr>
        <w:t>应付账款列示</w:t>
      </w:r>
    </w:p>
    <w:sdt>
      <w:sdtPr>
        <w:alias w:val="是否适用：应付账款列示[双击切换]"/>
        <w:tag w:val="_GBC_dfb190a9e762454c9f89eb6be64b6eae"/>
        <w:id w:val="-342169541"/>
        <w:placeholder>
          <w:docPart w:val="GBC22222222222222222222222222222"/>
        </w:placeholder>
      </w:sdtPr>
      <w:sdtContent>
        <w:p w14:paraId="55D6062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EB63360" w14:textId="77777777" w:rsidR="005E000F" w:rsidRDefault="00000000">
      <w:pPr>
        <w:jc w:val="right"/>
      </w:pPr>
      <w:r>
        <w:rPr>
          <w:rFonts w:hint="eastAsia"/>
        </w:rPr>
        <w:t>单位：</w:t>
      </w:r>
      <w:sdt>
        <w:sdtPr>
          <w:rPr>
            <w:rFonts w:hint="eastAsia"/>
          </w:rPr>
          <w:alias w:val="单位：财务附注：应付账款情况"/>
          <w:tag w:val="_GBC_c14fe17937b74139aa7e100941fb21e9"/>
          <w:id w:val="-202076755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应付账款情况"/>
          <w:tag w:val="_GBC_946604b552a44d368399e078594b3226"/>
          <w:id w:val="-20704910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3"/>
        <w:gridCol w:w="2744"/>
        <w:gridCol w:w="3340"/>
      </w:tblGrid>
      <w:tr w:rsidR="005E000F" w14:paraId="41728C09" w14:textId="77777777">
        <w:sdt>
          <w:sdtPr>
            <w:tag w:val="_PLD_8270d78e97cf4a1cb18154c5c5dafe58"/>
            <w:id w:val="-785815624"/>
          </w:sdtPr>
          <w:sdtContent>
            <w:tc>
              <w:tcPr>
                <w:tcW w:w="2963" w:type="dxa"/>
                <w:vAlign w:val="center"/>
              </w:tcPr>
              <w:p w14:paraId="7EDDA85D" w14:textId="77777777" w:rsidR="005E000F" w:rsidRDefault="00000000">
                <w:pPr>
                  <w:jc w:val="center"/>
                </w:pPr>
                <w:r>
                  <w:rPr>
                    <w:rFonts w:hint="eastAsia"/>
                  </w:rPr>
                  <w:t>项目</w:t>
                </w:r>
              </w:p>
            </w:tc>
          </w:sdtContent>
        </w:sdt>
        <w:sdt>
          <w:sdtPr>
            <w:tag w:val="_PLD_56127cd5754c44aaacae0a1320139a7a"/>
            <w:id w:val="1272740386"/>
          </w:sdtPr>
          <w:sdtContent>
            <w:tc>
              <w:tcPr>
                <w:tcW w:w="2744" w:type="dxa"/>
                <w:vAlign w:val="center"/>
              </w:tcPr>
              <w:p w14:paraId="1890E45C" w14:textId="77777777" w:rsidR="005E000F" w:rsidRDefault="00000000">
                <w:pPr>
                  <w:jc w:val="center"/>
                </w:pPr>
                <w:r>
                  <w:rPr>
                    <w:rFonts w:hint="eastAsia"/>
                  </w:rPr>
                  <w:t>期末余额</w:t>
                </w:r>
              </w:p>
            </w:tc>
          </w:sdtContent>
        </w:sdt>
        <w:sdt>
          <w:sdtPr>
            <w:tag w:val="_PLD_27c6d2ca479446539fe00ab23ee1dc13"/>
            <w:id w:val="-739021688"/>
          </w:sdtPr>
          <w:sdtContent>
            <w:tc>
              <w:tcPr>
                <w:tcW w:w="3340" w:type="dxa"/>
                <w:vAlign w:val="center"/>
              </w:tcPr>
              <w:p w14:paraId="0995588B" w14:textId="77777777" w:rsidR="005E000F" w:rsidRDefault="00000000">
                <w:pPr>
                  <w:jc w:val="center"/>
                </w:pPr>
                <w:r>
                  <w:rPr>
                    <w:rFonts w:hint="eastAsia"/>
                  </w:rPr>
                  <w:t>期初余额</w:t>
                </w:r>
              </w:p>
            </w:tc>
          </w:sdtContent>
        </w:sdt>
      </w:tr>
      <w:tr w:rsidR="005E000F" w14:paraId="1F136A78" w14:textId="77777777">
        <w:tc>
          <w:tcPr>
            <w:tcW w:w="2963" w:type="dxa"/>
          </w:tcPr>
          <w:p w14:paraId="6273104E" w14:textId="77777777" w:rsidR="005E000F" w:rsidRDefault="00000000">
            <w:pPr>
              <w:autoSpaceDE w:val="0"/>
              <w:autoSpaceDN w:val="0"/>
              <w:adjustRightInd w:val="0"/>
              <w:snapToGrid w:val="0"/>
              <w:spacing w:line="240" w:lineRule="atLeast"/>
              <w:rPr>
                <w:lang w:eastAsia="en-US"/>
              </w:rPr>
            </w:pPr>
            <w:r>
              <w:rPr>
                <w:rFonts w:hint="eastAsia"/>
              </w:rPr>
              <w:t>应付太原局集团公司</w:t>
            </w:r>
          </w:p>
        </w:tc>
        <w:tc>
          <w:tcPr>
            <w:tcW w:w="2744" w:type="dxa"/>
            <w:vAlign w:val="center"/>
          </w:tcPr>
          <w:p w14:paraId="734574C6" w14:textId="77777777" w:rsidR="005E000F" w:rsidRDefault="00000000">
            <w:pPr>
              <w:jc w:val="right"/>
            </w:pPr>
            <w:r>
              <w:t>1,286,787,084</w:t>
            </w:r>
          </w:p>
        </w:tc>
        <w:tc>
          <w:tcPr>
            <w:tcW w:w="3340" w:type="dxa"/>
            <w:vAlign w:val="center"/>
          </w:tcPr>
          <w:p w14:paraId="4A9DB41C" w14:textId="77777777" w:rsidR="005E000F" w:rsidRDefault="00000000">
            <w:pPr>
              <w:jc w:val="right"/>
              <w:rPr>
                <w:lang w:eastAsia="en-US"/>
              </w:rPr>
            </w:pPr>
            <w:r>
              <w:t>534,225,528</w:t>
            </w:r>
          </w:p>
        </w:tc>
      </w:tr>
      <w:tr w:rsidR="005E000F" w14:paraId="30A5B4D8" w14:textId="77777777">
        <w:tc>
          <w:tcPr>
            <w:tcW w:w="2963" w:type="dxa"/>
          </w:tcPr>
          <w:p w14:paraId="46E83E55" w14:textId="77777777" w:rsidR="005E000F" w:rsidRDefault="00000000">
            <w:pPr>
              <w:autoSpaceDE w:val="0"/>
              <w:autoSpaceDN w:val="0"/>
              <w:adjustRightInd w:val="0"/>
              <w:snapToGrid w:val="0"/>
              <w:spacing w:line="240" w:lineRule="atLeast"/>
            </w:pPr>
            <w:r>
              <w:rPr>
                <w:rFonts w:hint="eastAsia"/>
              </w:rPr>
              <w:lastRenderedPageBreak/>
              <w:t>应付太原局集团公司下属单位</w:t>
            </w:r>
          </w:p>
        </w:tc>
        <w:tc>
          <w:tcPr>
            <w:tcW w:w="2744" w:type="dxa"/>
            <w:vAlign w:val="center"/>
          </w:tcPr>
          <w:p w14:paraId="56AC1A52" w14:textId="77777777" w:rsidR="005E000F" w:rsidRDefault="00000000">
            <w:pPr>
              <w:jc w:val="right"/>
            </w:pPr>
            <w:r>
              <w:t>229,911,791</w:t>
            </w:r>
          </w:p>
        </w:tc>
        <w:tc>
          <w:tcPr>
            <w:tcW w:w="3340" w:type="dxa"/>
            <w:vAlign w:val="center"/>
          </w:tcPr>
          <w:p w14:paraId="237A94A8" w14:textId="77777777" w:rsidR="005E000F" w:rsidRDefault="00000000">
            <w:pPr>
              <w:jc w:val="right"/>
              <w:rPr>
                <w:lang w:eastAsia="en-US"/>
              </w:rPr>
            </w:pPr>
            <w:r>
              <w:t>336,883,819</w:t>
            </w:r>
          </w:p>
        </w:tc>
      </w:tr>
      <w:tr w:rsidR="005E000F" w14:paraId="22F75146" w14:textId="77777777">
        <w:tc>
          <w:tcPr>
            <w:tcW w:w="2963" w:type="dxa"/>
          </w:tcPr>
          <w:p w14:paraId="601784B4" w14:textId="77777777" w:rsidR="005E000F" w:rsidRDefault="00000000">
            <w:pPr>
              <w:autoSpaceDE w:val="0"/>
              <w:autoSpaceDN w:val="0"/>
              <w:adjustRightInd w:val="0"/>
              <w:snapToGrid w:val="0"/>
              <w:spacing w:line="240" w:lineRule="atLeast"/>
            </w:pPr>
            <w:r>
              <w:rPr>
                <w:rFonts w:hint="eastAsia"/>
              </w:rPr>
              <w:t>应付国铁集团及其他下属单位</w:t>
            </w:r>
          </w:p>
        </w:tc>
        <w:tc>
          <w:tcPr>
            <w:tcW w:w="2744" w:type="dxa"/>
            <w:vAlign w:val="center"/>
          </w:tcPr>
          <w:p w14:paraId="014ADD1D" w14:textId="77777777" w:rsidR="005E000F" w:rsidRDefault="00000000">
            <w:pPr>
              <w:jc w:val="right"/>
            </w:pPr>
            <w:r>
              <w:t>235,399,263</w:t>
            </w:r>
          </w:p>
        </w:tc>
        <w:tc>
          <w:tcPr>
            <w:tcW w:w="3340" w:type="dxa"/>
            <w:vAlign w:val="center"/>
          </w:tcPr>
          <w:p w14:paraId="30114E58" w14:textId="77777777" w:rsidR="005E000F" w:rsidRDefault="00000000">
            <w:pPr>
              <w:jc w:val="right"/>
              <w:rPr>
                <w:lang w:eastAsia="en-US"/>
              </w:rPr>
            </w:pPr>
            <w:r>
              <w:t>125,656,584</w:t>
            </w:r>
          </w:p>
        </w:tc>
      </w:tr>
      <w:tr w:rsidR="005E000F" w14:paraId="3194B132" w14:textId="77777777">
        <w:tc>
          <w:tcPr>
            <w:tcW w:w="2963" w:type="dxa"/>
          </w:tcPr>
          <w:p w14:paraId="04F5BE77" w14:textId="77777777" w:rsidR="005E000F" w:rsidRDefault="00000000">
            <w:pPr>
              <w:autoSpaceDE w:val="0"/>
              <w:autoSpaceDN w:val="0"/>
              <w:adjustRightInd w:val="0"/>
              <w:snapToGrid w:val="0"/>
              <w:spacing w:line="240" w:lineRule="atLeast"/>
              <w:rPr>
                <w:lang w:eastAsia="en-US"/>
              </w:rPr>
            </w:pPr>
            <w:r>
              <w:rPr>
                <w:rFonts w:hint="eastAsia"/>
              </w:rPr>
              <w:t>应付其他</w:t>
            </w:r>
          </w:p>
        </w:tc>
        <w:tc>
          <w:tcPr>
            <w:tcW w:w="2744" w:type="dxa"/>
            <w:vAlign w:val="center"/>
          </w:tcPr>
          <w:p w14:paraId="629896C2" w14:textId="77777777" w:rsidR="005E000F" w:rsidRDefault="00000000">
            <w:pPr>
              <w:jc w:val="right"/>
            </w:pPr>
            <w:r>
              <w:t>3,386,818,696</w:t>
            </w:r>
          </w:p>
        </w:tc>
        <w:tc>
          <w:tcPr>
            <w:tcW w:w="3340" w:type="dxa"/>
            <w:vAlign w:val="center"/>
          </w:tcPr>
          <w:p w14:paraId="12DC8987" w14:textId="77777777" w:rsidR="005E000F" w:rsidRDefault="00000000">
            <w:pPr>
              <w:jc w:val="right"/>
              <w:rPr>
                <w:lang w:eastAsia="en-US"/>
              </w:rPr>
            </w:pPr>
            <w:r>
              <w:t>4,004,991,771</w:t>
            </w:r>
          </w:p>
        </w:tc>
      </w:tr>
      <w:tr w:rsidR="005E000F" w14:paraId="4C9B4CD7" w14:textId="77777777">
        <w:tc>
          <w:tcPr>
            <w:tcW w:w="2963" w:type="dxa"/>
            <w:vAlign w:val="center"/>
          </w:tcPr>
          <w:p w14:paraId="305EAB00" w14:textId="77777777" w:rsidR="005E000F" w:rsidRDefault="00000000">
            <w:pPr>
              <w:jc w:val="center"/>
              <w:rPr>
                <w:color w:val="000000" w:themeColor="text1"/>
              </w:rPr>
            </w:pPr>
            <w:r>
              <w:rPr>
                <w:rFonts w:hint="eastAsia"/>
                <w:color w:val="000000" w:themeColor="text1"/>
              </w:rPr>
              <w:t>合计</w:t>
            </w:r>
          </w:p>
        </w:tc>
        <w:tc>
          <w:tcPr>
            <w:tcW w:w="2744" w:type="dxa"/>
            <w:vAlign w:val="center"/>
          </w:tcPr>
          <w:p w14:paraId="3AD2DEB1" w14:textId="77777777" w:rsidR="005E000F" w:rsidRDefault="00000000">
            <w:pPr>
              <w:jc w:val="right"/>
            </w:pPr>
            <w:r>
              <w:t>5,138,916,834</w:t>
            </w:r>
          </w:p>
        </w:tc>
        <w:tc>
          <w:tcPr>
            <w:tcW w:w="3340" w:type="dxa"/>
            <w:vAlign w:val="center"/>
          </w:tcPr>
          <w:p w14:paraId="46B5EEE9" w14:textId="77777777" w:rsidR="005E000F" w:rsidRDefault="00000000">
            <w:pPr>
              <w:jc w:val="right"/>
              <w:rPr>
                <w:lang w:eastAsia="en-US"/>
              </w:rPr>
            </w:pPr>
            <w:r>
              <w:t>5,001,757,702</w:t>
            </w:r>
          </w:p>
        </w:tc>
      </w:tr>
    </w:tbl>
    <w:p w14:paraId="7CDFB908" w14:textId="77777777" w:rsidR="005E000F" w:rsidRDefault="005E000F"/>
    <w:p w14:paraId="2DCA5B72" w14:textId="77777777" w:rsidR="005E000F" w:rsidRDefault="00000000">
      <w:pPr>
        <w:pStyle w:val="4"/>
        <w:numPr>
          <w:ilvl w:val="0"/>
          <w:numId w:val="92"/>
        </w:numPr>
        <w:ind w:left="426" w:hanging="426"/>
      </w:pPr>
      <w:r>
        <w:rPr>
          <w:rFonts w:hint="eastAsia"/>
        </w:rPr>
        <w:t>账龄超过</w:t>
      </w:r>
      <w:r>
        <w:t>1年</w:t>
      </w:r>
      <w:r>
        <w:rPr>
          <w:rFonts w:hint="eastAsia"/>
        </w:rPr>
        <w:t>或逾期</w:t>
      </w:r>
      <w:r>
        <w:t>的重要应付账款</w:t>
      </w:r>
    </w:p>
    <w:sdt>
      <w:sdtPr>
        <w:alias w:val="是否适用：账龄超过1年的重要应付账款[双击切换]"/>
        <w:tag w:val="_GBC_0eff470980a54dc3a4ea5996ab7721ce"/>
        <w:id w:val="-419568638"/>
        <w:placeholder>
          <w:docPart w:val="GBC22222222222222222222222222222"/>
        </w:placeholder>
      </w:sdtPr>
      <w:sdtContent>
        <w:p w14:paraId="472301D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50ACF14" w14:textId="77777777" w:rsidR="005E000F" w:rsidRDefault="005E000F"/>
    <w:p w14:paraId="2AB705AA" w14:textId="77777777" w:rsidR="005E000F" w:rsidRDefault="00000000">
      <w:r>
        <w:rPr>
          <w:rFonts w:hint="eastAsia"/>
        </w:rPr>
        <w:t>其他说明：</w:t>
      </w:r>
    </w:p>
    <w:sdt>
      <w:sdtPr>
        <w:alias w:val="是否适用：应付账款的其他说明[双击切换]"/>
        <w:tag w:val="_GBC_5dc0587a83084b71961a20293aaa95fb"/>
        <w:id w:val="-1975980033"/>
        <w:placeholder>
          <w:docPart w:val="GBC22222222222222222222222222222"/>
        </w:placeholder>
      </w:sdtPr>
      <w:sdtContent>
        <w:p w14:paraId="4A61049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6FA6A7B" w14:textId="77777777" w:rsidR="005E000F" w:rsidRDefault="005E000F">
      <w:pPr>
        <w:snapToGrid w:val="0"/>
        <w:spacing w:line="240" w:lineRule="atLeast"/>
      </w:pPr>
    </w:p>
    <w:p w14:paraId="4FD39EB0"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预收款项</w:t>
      </w:r>
    </w:p>
    <w:p w14:paraId="047BB403" w14:textId="77777777" w:rsidR="005E000F" w:rsidRDefault="00000000">
      <w:pPr>
        <w:pStyle w:val="4"/>
        <w:numPr>
          <w:ilvl w:val="0"/>
          <w:numId w:val="93"/>
        </w:numPr>
      </w:pPr>
      <w:r>
        <w:rPr>
          <w:rFonts w:hint="eastAsia"/>
        </w:rPr>
        <w:t>预收款项列示</w:t>
      </w:r>
    </w:p>
    <w:sdt>
      <w:sdtPr>
        <w:alias w:val="是否适用：预收账款项列示[双击切换]"/>
        <w:tag w:val="_GBC_87fabe8d5b22400ca19233d7f82c54fc"/>
        <w:id w:val="-1399433652"/>
        <w:placeholder>
          <w:docPart w:val="GBC22222222222222222222222222222"/>
        </w:placeholder>
      </w:sdtPr>
      <w:sdtContent>
        <w:p w14:paraId="18B5840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697999A" w14:textId="77777777" w:rsidR="005E000F" w:rsidRDefault="00000000">
      <w:pPr>
        <w:jc w:val="right"/>
      </w:pPr>
      <w:r>
        <w:rPr>
          <w:rFonts w:hint="eastAsia"/>
        </w:rPr>
        <w:t>单位：</w:t>
      </w:r>
      <w:sdt>
        <w:sdtPr>
          <w:rPr>
            <w:rFonts w:hint="eastAsia"/>
          </w:rPr>
          <w:alias w:val="单位：财务附注：预收账款情况"/>
          <w:tag w:val="_GBC_4fab9f590de5470ea6904b137451f241"/>
          <w:id w:val="10848064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预收账款情况"/>
          <w:tag w:val="_GBC_b59ed32203e141d0aee0063632b10524"/>
          <w:id w:val="-85426039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3078"/>
        <w:gridCol w:w="3073"/>
      </w:tblGrid>
      <w:tr w:rsidR="005E000F" w14:paraId="73FD07E2" w14:textId="77777777">
        <w:sdt>
          <w:sdtPr>
            <w:tag w:val="_PLD_d5178a0aff824e07b02041ccbb504bd9"/>
            <w:id w:val="367037748"/>
          </w:sdtPr>
          <w:sdtContent>
            <w:tc>
              <w:tcPr>
                <w:tcW w:w="2897" w:type="dxa"/>
                <w:vAlign w:val="center"/>
              </w:tcPr>
              <w:p w14:paraId="00EC693D" w14:textId="77777777" w:rsidR="005E000F" w:rsidRDefault="00000000">
                <w:pPr>
                  <w:jc w:val="center"/>
                </w:pPr>
                <w:r>
                  <w:rPr>
                    <w:rFonts w:hint="eastAsia"/>
                  </w:rPr>
                  <w:t>项目</w:t>
                </w:r>
              </w:p>
            </w:tc>
          </w:sdtContent>
        </w:sdt>
        <w:sdt>
          <w:sdtPr>
            <w:tag w:val="_PLD_4365dc5a9b404da5ab51b4fe0a65574b"/>
            <w:id w:val="1347280194"/>
          </w:sdtPr>
          <w:sdtContent>
            <w:tc>
              <w:tcPr>
                <w:tcW w:w="3078" w:type="dxa"/>
                <w:vAlign w:val="center"/>
              </w:tcPr>
              <w:p w14:paraId="088DF6CC" w14:textId="77777777" w:rsidR="005E000F" w:rsidRDefault="00000000">
                <w:pPr>
                  <w:jc w:val="center"/>
                </w:pPr>
                <w:r>
                  <w:rPr>
                    <w:rFonts w:hint="eastAsia"/>
                  </w:rPr>
                  <w:t>期末余额</w:t>
                </w:r>
              </w:p>
            </w:tc>
          </w:sdtContent>
        </w:sdt>
        <w:sdt>
          <w:sdtPr>
            <w:tag w:val="_PLD_319db0af23654ebca500fecfff199482"/>
            <w:id w:val="-1986384862"/>
          </w:sdtPr>
          <w:sdtContent>
            <w:tc>
              <w:tcPr>
                <w:tcW w:w="3073" w:type="dxa"/>
                <w:vAlign w:val="center"/>
              </w:tcPr>
              <w:p w14:paraId="494194FA" w14:textId="77777777" w:rsidR="005E000F" w:rsidRDefault="00000000">
                <w:pPr>
                  <w:jc w:val="center"/>
                </w:pPr>
                <w:r>
                  <w:rPr>
                    <w:rFonts w:hint="eastAsia"/>
                  </w:rPr>
                  <w:t>期初余额</w:t>
                </w:r>
              </w:p>
            </w:tc>
          </w:sdtContent>
        </w:sdt>
      </w:tr>
      <w:tr w:rsidR="005E000F" w14:paraId="1AF5B724" w14:textId="77777777">
        <w:tc>
          <w:tcPr>
            <w:tcW w:w="2897" w:type="dxa"/>
            <w:vAlign w:val="center"/>
          </w:tcPr>
          <w:p w14:paraId="4D244F27" w14:textId="77777777" w:rsidR="005E000F" w:rsidRDefault="00000000">
            <w:r>
              <w:t>预收租金</w:t>
            </w:r>
          </w:p>
        </w:tc>
        <w:tc>
          <w:tcPr>
            <w:tcW w:w="3078" w:type="dxa"/>
            <w:vAlign w:val="center"/>
          </w:tcPr>
          <w:p w14:paraId="04FD744C" w14:textId="77777777" w:rsidR="005E000F" w:rsidRDefault="00000000">
            <w:pPr>
              <w:jc w:val="right"/>
            </w:pPr>
            <w:r>
              <w:t>9,075,644</w:t>
            </w:r>
          </w:p>
        </w:tc>
        <w:tc>
          <w:tcPr>
            <w:tcW w:w="3073" w:type="dxa"/>
            <w:vAlign w:val="center"/>
          </w:tcPr>
          <w:p w14:paraId="0A633505" w14:textId="77777777" w:rsidR="005E000F" w:rsidRDefault="00000000">
            <w:pPr>
              <w:jc w:val="right"/>
            </w:pPr>
            <w:r>
              <w:t>9,549,615</w:t>
            </w:r>
          </w:p>
        </w:tc>
      </w:tr>
      <w:tr w:rsidR="005E000F" w14:paraId="3136A4F4" w14:textId="77777777">
        <w:tc>
          <w:tcPr>
            <w:tcW w:w="2897" w:type="dxa"/>
            <w:vAlign w:val="center"/>
          </w:tcPr>
          <w:p w14:paraId="5F7FAE01" w14:textId="77777777" w:rsidR="005E000F" w:rsidRDefault="00000000">
            <w:pPr>
              <w:jc w:val="center"/>
              <w:rPr>
                <w:color w:val="000000" w:themeColor="text1"/>
              </w:rPr>
            </w:pPr>
            <w:r>
              <w:rPr>
                <w:rFonts w:hint="eastAsia"/>
                <w:color w:val="000000" w:themeColor="text1"/>
              </w:rPr>
              <w:t>合计</w:t>
            </w:r>
          </w:p>
        </w:tc>
        <w:tc>
          <w:tcPr>
            <w:tcW w:w="3078" w:type="dxa"/>
            <w:vAlign w:val="center"/>
          </w:tcPr>
          <w:p w14:paraId="4043329B" w14:textId="77777777" w:rsidR="005E000F" w:rsidRDefault="00000000">
            <w:pPr>
              <w:jc w:val="right"/>
            </w:pPr>
            <w:r>
              <w:t>9,075,644</w:t>
            </w:r>
          </w:p>
        </w:tc>
        <w:tc>
          <w:tcPr>
            <w:tcW w:w="3073" w:type="dxa"/>
            <w:vAlign w:val="center"/>
          </w:tcPr>
          <w:p w14:paraId="6CF940C5" w14:textId="77777777" w:rsidR="005E000F" w:rsidRDefault="00000000">
            <w:pPr>
              <w:jc w:val="right"/>
            </w:pPr>
            <w:r>
              <w:t>9,549,615</w:t>
            </w:r>
          </w:p>
        </w:tc>
      </w:tr>
    </w:tbl>
    <w:p w14:paraId="1862E0F6" w14:textId="77777777" w:rsidR="005E000F" w:rsidRDefault="005E000F"/>
    <w:p w14:paraId="245CF950" w14:textId="77777777" w:rsidR="005E000F" w:rsidRDefault="00000000">
      <w:pPr>
        <w:pStyle w:val="4"/>
        <w:numPr>
          <w:ilvl w:val="0"/>
          <w:numId w:val="93"/>
        </w:numPr>
      </w:pPr>
      <w:r>
        <w:rPr>
          <w:rFonts w:hint="eastAsia"/>
        </w:rPr>
        <w:t>账龄超过</w:t>
      </w:r>
      <w:r>
        <w:t>1年的重要预收款项</w:t>
      </w:r>
    </w:p>
    <w:sdt>
      <w:sdtPr>
        <w:alias w:val="是否适用：账龄超过1年的重要预收款项[双击切换]"/>
        <w:tag w:val="_GBC_79146ea4ecd2426b824d2bcf21203a69"/>
        <w:id w:val="1829165096"/>
        <w:placeholder>
          <w:docPart w:val="GBC22222222222222222222222222222"/>
        </w:placeholder>
      </w:sdtPr>
      <w:sdtContent>
        <w:p w14:paraId="1DD5318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6D9DC1E" w14:textId="77777777" w:rsidR="005E000F" w:rsidRDefault="005E000F">
      <w:pPr>
        <w:rPr>
          <w:rFonts w:cstheme="minorBidi"/>
        </w:rPr>
      </w:pPr>
    </w:p>
    <w:p w14:paraId="3EDE16BB" w14:textId="77777777" w:rsidR="005E000F" w:rsidRDefault="00000000">
      <w:pPr>
        <w:pStyle w:val="4"/>
        <w:numPr>
          <w:ilvl w:val="0"/>
          <w:numId w:val="93"/>
        </w:numPr>
        <w:ind w:left="450" w:hanging="450"/>
      </w:pPr>
      <w:r>
        <w:rPr>
          <w:rFonts w:hint="eastAsia"/>
        </w:rPr>
        <w:t>报告期内账面价值发生重大变动的金额和原因</w:t>
      </w:r>
    </w:p>
    <w:sdt>
      <w:sdtPr>
        <w:alias w:val="是否适用：预收款项账面价值发生重大变动的金额和原因?[双击切换]"/>
        <w:tag w:val="_GBC_080f20e9d1b64963a38dcdee1ed191a2"/>
        <w:id w:val="-2019220161"/>
        <w:placeholder>
          <w:docPart w:val="GBC22222222222222222222222222222"/>
        </w:placeholder>
      </w:sdtPr>
      <w:sdtContent>
        <w:p w14:paraId="691AE7B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8391567" w14:textId="77777777" w:rsidR="005E000F" w:rsidRDefault="005E000F"/>
    <w:p w14:paraId="50F6DECB" w14:textId="77777777" w:rsidR="005E000F" w:rsidRDefault="00000000">
      <w:r>
        <w:rPr>
          <w:rFonts w:hint="eastAsia"/>
        </w:rPr>
        <w:t>其他说明：</w:t>
      </w:r>
    </w:p>
    <w:sdt>
      <w:sdtPr>
        <w:alias w:val="是否适用：预收账款的其他说明[双击切换]"/>
        <w:tag w:val="_GBC_c0e961ba454e4e2cb91293bde731349d"/>
        <w:id w:val="34022076"/>
        <w:placeholder>
          <w:docPart w:val="GBC22222222222222222222222222222"/>
        </w:placeholder>
      </w:sdtPr>
      <w:sdtContent>
        <w:p w14:paraId="29CDEB70"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BCDEB6C" w14:textId="77777777" w:rsidR="005E000F" w:rsidRDefault="005E000F">
      <w:pPr>
        <w:rPr>
          <w:rFonts w:cstheme="minorBidi"/>
          <w:color w:val="000000" w:themeColor="text1"/>
          <w:kern w:val="2"/>
        </w:rPr>
      </w:pPr>
    </w:p>
    <w:p w14:paraId="05CD6FDF" w14:textId="77777777" w:rsidR="005E000F" w:rsidRDefault="00000000">
      <w:pPr>
        <w:pStyle w:val="3"/>
        <w:numPr>
          <w:ilvl w:val="0"/>
          <w:numId w:val="66"/>
        </w:numPr>
        <w:tabs>
          <w:tab w:val="left" w:pos="504"/>
        </w:tabs>
        <w:rPr>
          <w:szCs w:val="21"/>
        </w:rPr>
      </w:pPr>
      <w:r>
        <w:rPr>
          <w:rFonts w:hint="eastAsia"/>
          <w:szCs w:val="21"/>
        </w:rPr>
        <w:t>合同负债</w:t>
      </w:r>
    </w:p>
    <w:p w14:paraId="35496520" w14:textId="77777777" w:rsidR="005E000F" w:rsidRDefault="00000000">
      <w:pPr>
        <w:pStyle w:val="4"/>
        <w:numPr>
          <w:ilvl w:val="0"/>
          <w:numId w:val="94"/>
        </w:numPr>
      </w:pPr>
      <w:r>
        <w:rPr>
          <w:rFonts w:hint="eastAsia"/>
        </w:rPr>
        <w:t>合同负债情况</w:t>
      </w:r>
    </w:p>
    <w:sdt>
      <w:sdtPr>
        <w:alias w:val="是否适用：合同负债情况[双击切换]"/>
        <w:tag w:val="_GBC_257112066c884c67acfede3a1536844a"/>
        <w:id w:val="-1388639124"/>
        <w:placeholder>
          <w:docPart w:val="GBC22222222222222222222222222222"/>
        </w:placeholder>
      </w:sdtPr>
      <w:sdtContent>
        <w:p w14:paraId="5BB94F6B"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F28B10E" w14:textId="77777777" w:rsidR="005E000F" w:rsidRDefault="00000000">
      <w:pPr>
        <w:ind w:left="360"/>
        <w:jc w:val="right"/>
      </w:pPr>
      <w:r>
        <w:rPr>
          <w:rFonts w:hint="eastAsia"/>
        </w:rPr>
        <w:t>单位：</w:t>
      </w:r>
      <w:sdt>
        <w:sdtPr>
          <w:rPr>
            <w:rFonts w:hint="eastAsia"/>
          </w:rPr>
          <w:alias w:val="单位：合同负债情况"/>
          <w:tag w:val="_GBC_ea58ca5e76b74f328a4691ca7c6cc941"/>
          <w:id w:val="-8564996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合同负债情况"/>
          <w:tag w:val="_GBC_58f1908d1f4c48699237bf8c7f3604da"/>
          <w:id w:val="1777757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3078"/>
        <w:gridCol w:w="3073"/>
      </w:tblGrid>
      <w:tr w:rsidR="005E000F" w14:paraId="380C3DDC" w14:textId="77777777">
        <w:sdt>
          <w:sdtPr>
            <w:tag w:val="_PLD_c331ae60cae44b02b2a16eccd02434b1"/>
            <w:id w:val="-713578913"/>
          </w:sdtPr>
          <w:sdtContent>
            <w:tc>
              <w:tcPr>
                <w:tcW w:w="2897" w:type="dxa"/>
                <w:vAlign w:val="center"/>
              </w:tcPr>
              <w:p w14:paraId="071D6997" w14:textId="77777777" w:rsidR="005E000F" w:rsidRDefault="00000000">
                <w:pPr>
                  <w:jc w:val="center"/>
                </w:pPr>
                <w:r>
                  <w:rPr>
                    <w:rFonts w:hint="eastAsia"/>
                  </w:rPr>
                  <w:t>项目</w:t>
                </w:r>
              </w:p>
            </w:tc>
          </w:sdtContent>
        </w:sdt>
        <w:sdt>
          <w:sdtPr>
            <w:tag w:val="_PLD_1619b2dd861a497cbc814256ed0e2957"/>
            <w:id w:val="-169567465"/>
          </w:sdtPr>
          <w:sdtContent>
            <w:tc>
              <w:tcPr>
                <w:tcW w:w="3078" w:type="dxa"/>
                <w:vAlign w:val="center"/>
              </w:tcPr>
              <w:p w14:paraId="0E6870F1" w14:textId="77777777" w:rsidR="005E000F" w:rsidRDefault="00000000">
                <w:pPr>
                  <w:autoSpaceDE w:val="0"/>
                  <w:autoSpaceDN w:val="0"/>
                  <w:adjustRightInd w:val="0"/>
                  <w:snapToGrid w:val="0"/>
                  <w:spacing w:line="240" w:lineRule="atLeast"/>
                  <w:jc w:val="center"/>
                </w:pPr>
                <w:r>
                  <w:rPr>
                    <w:rFonts w:hint="eastAsia"/>
                  </w:rPr>
                  <w:t>期末余额</w:t>
                </w:r>
              </w:p>
            </w:tc>
          </w:sdtContent>
        </w:sdt>
        <w:sdt>
          <w:sdtPr>
            <w:tag w:val="_PLD_6341013bed194ee78619c433ebd01fda"/>
            <w:id w:val="856630536"/>
          </w:sdtPr>
          <w:sdtContent>
            <w:tc>
              <w:tcPr>
                <w:tcW w:w="3073" w:type="dxa"/>
                <w:vAlign w:val="center"/>
              </w:tcPr>
              <w:p w14:paraId="57C19209" w14:textId="77777777" w:rsidR="005E000F" w:rsidRDefault="00000000">
                <w:pPr>
                  <w:autoSpaceDE w:val="0"/>
                  <w:autoSpaceDN w:val="0"/>
                  <w:adjustRightInd w:val="0"/>
                  <w:snapToGrid w:val="0"/>
                  <w:spacing w:line="240" w:lineRule="atLeast"/>
                  <w:jc w:val="center"/>
                </w:pPr>
                <w:r>
                  <w:rPr>
                    <w:rFonts w:hint="eastAsia"/>
                  </w:rPr>
                  <w:t>期初余额</w:t>
                </w:r>
              </w:p>
            </w:tc>
          </w:sdtContent>
        </w:sdt>
      </w:tr>
      <w:tr w:rsidR="005E000F" w14:paraId="62B0E03F" w14:textId="77777777">
        <w:tc>
          <w:tcPr>
            <w:tcW w:w="2897" w:type="dxa"/>
          </w:tcPr>
          <w:p w14:paraId="48ADEB8D" w14:textId="77777777" w:rsidR="005E000F" w:rsidRDefault="00000000">
            <w:pPr>
              <w:rPr>
                <w:lang w:eastAsia="en-US"/>
              </w:rPr>
            </w:pPr>
            <w:r>
              <w:t>预收运费</w:t>
            </w:r>
          </w:p>
        </w:tc>
        <w:tc>
          <w:tcPr>
            <w:tcW w:w="3078" w:type="dxa"/>
            <w:vAlign w:val="center"/>
          </w:tcPr>
          <w:p w14:paraId="533256C4" w14:textId="77777777" w:rsidR="005E000F" w:rsidRDefault="00000000">
            <w:pPr>
              <w:jc w:val="right"/>
            </w:pPr>
            <w:r>
              <w:t>1,512,046,360</w:t>
            </w:r>
          </w:p>
        </w:tc>
        <w:tc>
          <w:tcPr>
            <w:tcW w:w="3073" w:type="dxa"/>
          </w:tcPr>
          <w:p w14:paraId="4D376F2D" w14:textId="77777777" w:rsidR="005E000F" w:rsidRDefault="00000000">
            <w:pPr>
              <w:jc w:val="right"/>
              <w:rPr>
                <w:lang w:eastAsia="en-US"/>
              </w:rPr>
            </w:pPr>
            <w:r>
              <w:t>1,309,220,644</w:t>
            </w:r>
          </w:p>
        </w:tc>
      </w:tr>
      <w:tr w:rsidR="005E000F" w14:paraId="17A9CD2A" w14:textId="77777777">
        <w:tc>
          <w:tcPr>
            <w:tcW w:w="2897" w:type="dxa"/>
          </w:tcPr>
          <w:p w14:paraId="3697B4FE" w14:textId="77777777" w:rsidR="005E000F" w:rsidRDefault="00000000">
            <w:pPr>
              <w:rPr>
                <w:lang w:eastAsia="en-US"/>
              </w:rPr>
            </w:pPr>
            <w:r>
              <w:t>其他</w:t>
            </w:r>
          </w:p>
        </w:tc>
        <w:tc>
          <w:tcPr>
            <w:tcW w:w="3078" w:type="dxa"/>
            <w:vAlign w:val="center"/>
          </w:tcPr>
          <w:p w14:paraId="75074186" w14:textId="77777777" w:rsidR="005E000F" w:rsidRDefault="00000000">
            <w:pPr>
              <w:jc w:val="right"/>
            </w:pPr>
            <w:r>
              <w:t>308,063,665</w:t>
            </w:r>
          </w:p>
        </w:tc>
        <w:tc>
          <w:tcPr>
            <w:tcW w:w="3073" w:type="dxa"/>
          </w:tcPr>
          <w:p w14:paraId="326995EF" w14:textId="77777777" w:rsidR="005E000F" w:rsidRDefault="00000000">
            <w:pPr>
              <w:jc w:val="right"/>
              <w:rPr>
                <w:lang w:eastAsia="en-US"/>
              </w:rPr>
            </w:pPr>
            <w:r>
              <w:t>142,644,840</w:t>
            </w:r>
          </w:p>
        </w:tc>
      </w:tr>
      <w:tr w:rsidR="005E000F" w14:paraId="01B5CDDF" w14:textId="77777777">
        <w:tc>
          <w:tcPr>
            <w:tcW w:w="2897" w:type="dxa"/>
            <w:vAlign w:val="center"/>
          </w:tcPr>
          <w:p w14:paraId="683087D7" w14:textId="77777777" w:rsidR="005E000F" w:rsidRDefault="00000000">
            <w:pPr>
              <w:jc w:val="center"/>
              <w:rPr>
                <w:color w:val="000000"/>
              </w:rPr>
            </w:pPr>
            <w:r>
              <w:rPr>
                <w:rFonts w:hint="eastAsia"/>
                <w:color w:val="000000"/>
              </w:rPr>
              <w:t>合计</w:t>
            </w:r>
          </w:p>
        </w:tc>
        <w:tc>
          <w:tcPr>
            <w:tcW w:w="3078" w:type="dxa"/>
            <w:vAlign w:val="center"/>
          </w:tcPr>
          <w:p w14:paraId="28D83D2A" w14:textId="77777777" w:rsidR="005E000F" w:rsidRDefault="00000000">
            <w:pPr>
              <w:jc w:val="right"/>
            </w:pPr>
            <w:r>
              <w:t>1,820,110,025</w:t>
            </w:r>
          </w:p>
        </w:tc>
        <w:tc>
          <w:tcPr>
            <w:tcW w:w="3073" w:type="dxa"/>
          </w:tcPr>
          <w:p w14:paraId="0AAF49FB" w14:textId="77777777" w:rsidR="005E000F" w:rsidRDefault="00000000">
            <w:pPr>
              <w:jc w:val="right"/>
              <w:rPr>
                <w:lang w:eastAsia="en-US"/>
              </w:rPr>
            </w:pPr>
            <w:r>
              <w:t>1,451,865,484</w:t>
            </w:r>
          </w:p>
        </w:tc>
      </w:tr>
    </w:tbl>
    <w:p w14:paraId="36A79384" w14:textId="77777777" w:rsidR="005E000F" w:rsidRDefault="005E000F"/>
    <w:p w14:paraId="55D30EF0" w14:textId="77777777" w:rsidR="005E000F" w:rsidRDefault="00000000">
      <w:pPr>
        <w:pStyle w:val="4"/>
        <w:numPr>
          <w:ilvl w:val="0"/>
          <w:numId w:val="94"/>
        </w:numPr>
        <w:ind w:left="450" w:hanging="450"/>
      </w:pPr>
      <w:r>
        <w:rPr>
          <w:rFonts w:hint="eastAsia"/>
        </w:rPr>
        <w:t>账龄超过</w:t>
      </w:r>
      <w:r>
        <w:t>1年的重要合同负债</w:t>
      </w:r>
    </w:p>
    <w:sdt>
      <w:sdtPr>
        <w:alias w:val="是否适用：账龄超过1年的重要合同负债明细[双击切换]"/>
        <w:tag w:val="_GBC_743f27908aba47b4a5755e98b31475ae"/>
        <w:id w:val="-529339241"/>
        <w:placeholder>
          <w:docPart w:val="GBC22222222222222222222222222222"/>
        </w:placeholder>
      </w:sdtPr>
      <w:sdtContent>
        <w:p w14:paraId="1CF0F1D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279B697" w14:textId="77777777" w:rsidR="005E000F" w:rsidRDefault="005E000F"/>
    <w:p w14:paraId="725EAC9F" w14:textId="77777777" w:rsidR="005E000F" w:rsidRDefault="00000000">
      <w:pPr>
        <w:pStyle w:val="4"/>
        <w:numPr>
          <w:ilvl w:val="0"/>
          <w:numId w:val="94"/>
        </w:numPr>
      </w:pPr>
      <w:r>
        <w:rPr>
          <w:rFonts w:hint="eastAsia"/>
        </w:rPr>
        <w:t>报告期内账面价值发生重大变动的金额和原因</w:t>
      </w:r>
    </w:p>
    <w:sdt>
      <w:sdtPr>
        <w:alias w:val="是否适用：合同负债账面价值发生重大变动[双击切换]"/>
        <w:tag w:val="_GBC_267fd365085f4836b846799edc8c3765"/>
        <w:id w:val="-1484303972"/>
        <w:placeholder>
          <w:docPart w:val="GBC22222222222222222222222222222"/>
        </w:placeholder>
      </w:sdtPr>
      <w:sdtContent>
        <w:p w14:paraId="351153F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4CDE18C" w14:textId="77777777" w:rsidR="005E000F" w:rsidRDefault="005E000F"/>
    <w:p w14:paraId="19529D04" w14:textId="77777777" w:rsidR="005E000F" w:rsidRDefault="00000000">
      <w:r>
        <w:rPr>
          <w:rFonts w:hint="eastAsia"/>
        </w:rPr>
        <w:t>其他说明：</w:t>
      </w:r>
    </w:p>
    <w:sdt>
      <w:sdtPr>
        <w:alias w:val="是否适用：合同负债其他说明[双击切换]"/>
        <w:tag w:val="_GBC_1c99003b181f47ebb73e6452f4bfa446"/>
        <w:id w:val="1322309955"/>
        <w:placeholder>
          <w:docPart w:val="GBC22222222222222222222222222222"/>
        </w:placeholder>
      </w:sdtPr>
      <w:sdtContent>
        <w:p w14:paraId="115E5E53"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合同负债其他说明"/>
        <w:tag w:val="_GBC_24dedae851f44d938b800a45b0471f2e"/>
        <w:id w:val="1107543819"/>
        <w:placeholder>
          <w:docPart w:val="GBC22222222222222222222222222222"/>
        </w:placeholder>
      </w:sdtPr>
      <w:sdtContent>
        <w:sdt>
          <w:sdtPr>
            <w:rPr>
              <w:color w:val="000000" w:themeColor="text1"/>
            </w:rPr>
            <w:alias w:val="合同负债其他说明"/>
            <w:tag w:val="_GBC_0797daeaea704437a372be9b93f1c1d4"/>
            <w:id w:val="-993409176"/>
            <w:placeholder>
              <w:docPart w:val="{bb59f70c-62c6-45d1-91a4-08072ef39245}"/>
            </w:placeholder>
          </w:sdtPr>
          <w:sdtContent>
            <w:p w14:paraId="6C554EA5" w14:textId="77777777" w:rsidR="005E000F" w:rsidRDefault="00000000">
              <w:pPr>
                <w:rPr>
                  <w:color w:val="000000" w:themeColor="text1"/>
                </w:rPr>
              </w:pPr>
              <w:r>
                <w:rPr>
                  <w:rFonts w:hint="eastAsia"/>
                  <w:color w:val="000000" w:themeColor="text1"/>
                </w:rPr>
                <w:t>根据太铁收函【</w:t>
              </w:r>
              <w:r>
                <w:rPr>
                  <w:rFonts w:hint="eastAsia"/>
                  <w:color w:val="000000" w:themeColor="text1"/>
                </w:rPr>
                <w:t>2005</w:t>
              </w:r>
              <w:r>
                <w:rPr>
                  <w:rFonts w:hint="eastAsia"/>
                  <w:color w:val="000000" w:themeColor="text1"/>
                </w:rPr>
                <w:t>】</w:t>
              </w:r>
              <w:r>
                <w:rPr>
                  <w:rFonts w:hint="eastAsia"/>
                  <w:color w:val="000000" w:themeColor="text1"/>
                </w:rPr>
                <w:t>213</w:t>
              </w:r>
              <w:r>
                <w:rPr>
                  <w:rFonts w:hint="eastAsia"/>
                  <w:color w:val="000000" w:themeColor="text1"/>
                </w:rPr>
                <w:t>号文件《关于印发</w:t>
              </w:r>
              <w:r>
                <w:rPr>
                  <w:rFonts w:hint="eastAsia"/>
                  <w:color w:val="000000" w:themeColor="text1"/>
                </w:rPr>
                <w:t>&lt;</w:t>
              </w:r>
              <w:r>
                <w:rPr>
                  <w:rFonts w:hint="eastAsia"/>
                  <w:color w:val="000000" w:themeColor="text1"/>
                </w:rPr>
                <w:t>太原铁路局托运人预付铁路运杂费管理办法</w:t>
              </w:r>
              <w:r>
                <w:rPr>
                  <w:rFonts w:hint="eastAsia"/>
                  <w:color w:val="000000" w:themeColor="text1"/>
                </w:rPr>
                <w:t>&gt;</w:t>
              </w:r>
              <w:r>
                <w:rPr>
                  <w:rFonts w:hint="eastAsia"/>
                  <w:color w:val="000000" w:themeColor="text1"/>
                </w:rPr>
                <w:t>的通知》，本集团自</w:t>
              </w:r>
              <w:r>
                <w:rPr>
                  <w:rFonts w:hint="eastAsia"/>
                  <w:color w:val="000000" w:themeColor="text1"/>
                </w:rPr>
                <w:t>2005</w:t>
              </w:r>
              <w:r>
                <w:rPr>
                  <w:rFonts w:hint="eastAsia"/>
                  <w:color w:val="000000" w:themeColor="text1"/>
                </w:rPr>
                <w:t>年</w:t>
              </w:r>
              <w:r>
                <w:rPr>
                  <w:rFonts w:hint="eastAsia"/>
                  <w:color w:val="000000" w:themeColor="text1"/>
                </w:rPr>
                <w:t>9</w:t>
              </w:r>
              <w:r>
                <w:rPr>
                  <w:rFonts w:hint="eastAsia"/>
                  <w:color w:val="000000" w:themeColor="text1"/>
                </w:rPr>
                <w:t>月起开始向客户预收运费。于</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日，合同负债中的预收运费共计人民币</w:t>
              </w:r>
              <w:r>
                <w:t>1,512,046,360</w:t>
              </w:r>
              <w:r>
                <w:rPr>
                  <w:rFonts w:hint="eastAsia"/>
                  <w:color w:val="000000" w:themeColor="text1"/>
                </w:rPr>
                <w:t>元。</w:t>
              </w:r>
            </w:p>
          </w:sdtContent>
        </w:sdt>
      </w:sdtContent>
    </w:sdt>
    <w:p w14:paraId="1FB70E7F" w14:textId="77777777" w:rsidR="005E000F" w:rsidRDefault="005E000F"/>
    <w:p w14:paraId="4CB3F008"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应付职工薪</w:t>
      </w:r>
      <w:proofErr w:type="gramStart"/>
      <w:r>
        <w:rPr>
          <w:rFonts w:ascii="宋体" w:hAnsi="宋体" w:hint="eastAsia"/>
          <w:szCs w:val="21"/>
        </w:rPr>
        <w:t>酬</w:t>
      </w:r>
      <w:proofErr w:type="gramEnd"/>
    </w:p>
    <w:p w14:paraId="2E0C5134" w14:textId="77777777" w:rsidR="005E000F" w:rsidRDefault="00000000">
      <w:pPr>
        <w:pStyle w:val="4"/>
        <w:numPr>
          <w:ilvl w:val="0"/>
          <w:numId w:val="95"/>
        </w:numPr>
      </w:pPr>
      <w:r>
        <w:rPr>
          <w:rFonts w:hint="eastAsia"/>
        </w:rPr>
        <w:t>应付职工薪</w:t>
      </w:r>
      <w:proofErr w:type="gramStart"/>
      <w:r>
        <w:rPr>
          <w:rFonts w:hint="eastAsia"/>
        </w:rPr>
        <w:t>酬</w:t>
      </w:r>
      <w:proofErr w:type="gramEnd"/>
      <w:r>
        <w:rPr>
          <w:rFonts w:hint="eastAsia"/>
        </w:rPr>
        <w:t>列示</w:t>
      </w:r>
    </w:p>
    <w:sdt>
      <w:sdtPr>
        <w:alias w:val="是否适用：应付职工薪酬列示[双击切换]"/>
        <w:tag w:val="_GBC_215b41e091df4b2bbb2009fd3c8040b5"/>
        <w:id w:val="1465082537"/>
        <w:placeholder>
          <w:docPart w:val="GBC22222222222222222222222222222"/>
        </w:placeholder>
      </w:sdtPr>
      <w:sdtContent>
        <w:p w14:paraId="2993F9C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CE12DFE" w14:textId="77777777" w:rsidR="005E000F" w:rsidRDefault="00000000">
      <w:pPr>
        <w:jc w:val="right"/>
      </w:pPr>
      <w:r>
        <w:rPr>
          <w:rFonts w:hint="eastAsia"/>
        </w:rPr>
        <w:t>单位：</w:t>
      </w:r>
      <w:sdt>
        <w:sdtPr>
          <w:rPr>
            <w:rFonts w:hint="eastAsia"/>
          </w:rPr>
          <w:alias w:val="单位：财务附注：应付职工薪酬"/>
          <w:tag w:val="_GBC_6889c0e435324d63b7c01ed595a8e140"/>
          <w:id w:val="11326009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应付职工薪酬"/>
          <w:tag w:val="_GBC_64bcd9de14a14550b941cbdaf7bdc974"/>
          <w:id w:val="-100596723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2"/>
        <w:gridCol w:w="1758"/>
        <w:gridCol w:w="1607"/>
        <w:gridCol w:w="1610"/>
        <w:gridCol w:w="1619"/>
      </w:tblGrid>
      <w:tr w:rsidR="005E000F" w14:paraId="717BEF17" w14:textId="77777777">
        <w:sdt>
          <w:sdtPr>
            <w:tag w:val="_PLD_4761dc2d96c64c3fb5d407cdbec097a2"/>
            <w:id w:val="-510301478"/>
          </w:sdtPr>
          <w:sdtContent>
            <w:tc>
              <w:tcPr>
                <w:tcW w:w="2452" w:type="dxa"/>
                <w:vAlign w:val="center"/>
              </w:tcPr>
              <w:p w14:paraId="55AE2AAF" w14:textId="77777777" w:rsidR="005E000F" w:rsidRDefault="00000000">
                <w:pPr>
                  <w:jc w:val="center"/>
                </w:pPr>
                <w:r>
                  <w:rPr>
                    <w:rFonts w:hint="eastAsia"/>
                  </w:rPr>
                  <w:t>项目</w:t>
                </w:r>
              </w:p>
            </w:tc>
          </w:sdtContent>
        </w:sdt>
        <w:sdt>
          <w:sdtPr>
            <w:tag w:val="_PLD_f666739d3c0f4f9891bd8f4974d101ec"/>
            <w:id w:val="-1724356858"/>
          </w:sdtPr>
          <w:sdtContent>
            <w:tc>
              <w:tcPr>
                <w:tcW w:w="1758" w:type="dxa"/>
                <w:vAlign w:val="center"/>
              </w:tcPr>
              <w:p w14:paraId="15A86B5F" w14:textId="77777777" w:rsidR="005E000F" w:rsidRDefault="00000000">
                <w:pPr>
                  <w:jc w:val="center"/>
                </w:pPr>
                <w:r>
                  <w:rPr>
                    <w:rFonts w:hint="eastAsia"/>
                  </w:rPr>
                  <w:t>期初余额</w:t>
                </w:r>
              </w:p>
            </w:tc>
          </w:sdtContent>
        </w:sdt>
        <w:sdt>
          <w:sdtPr>
            <w:tag w:val="_PLD_cc701d3a5a44484d862c996437df1e7d"/>
            <w:id w:val="-1326515121"/>
          </w:sdtPr>
          <w:sdtContent>
            <w:tc>
              <w:tcPr>
                <w:tcW w:w="1607" w:type="dxa"/>
                <w:vAlign w:val="center"/>
              </w:tcPr>
              <w:p w14:paraId="792BCF49" w14:textId="77777777" w:rsidR="005E000F" w:rsidRDefault="00000000">
                <w:pPr>
                  <w:jc w:val="center"/>
                </w:pPr>
                <w:r>
                  <w:rPr>
                    <w:rFonts w:hint="eastAsia"/>
                  </w:rPr>
                  <w:t>本期增加</w:t>
                </w:r>
              </w:p>
            </w:tc>
          </w:sdtContent>
        </w:sdt>
        <w:sdt>
          <w:sdtPr>
            <w:tag w:val="_PLD_0e8f833fca684ce592b0cba6d04c75ef"/>
            <w:id w:val="-962108424"/>
          </w:sdtPr>
          <w:sdtContent>
            <w:tc>
              <w:tcPr>
                <w:tcW w:w="1610" w:type="dxa"/>
                <w:vAlign w:val="center"/>
              </w:tcPr>
              <w:p w14:paraId="20BC1111" w14:textId="77777777" w:rsidR="005E000F" w:rsidRDefault="00000000">
                <w:pPr>
                  <w:jc w:val="center"/>
                </w:pPr>
                <w:r>
                  <w:rPr>
                    <w:rFonts w:hint="eastAsia"/>
                  </w:rPr>
                  <w:t>本期减少</w:t>
                </w:r>
              </w:p>
            </w:tc>
          </w:sdtContent>
        </w:sdt>
        <w:sdt>
          <w:sdtPr>
            <w:tag w:val="_PLD_c39a265e94994f0480d13abd59d3eb39"/>
            <w:id w:val="2054877828"/>
          </w:sdtPr>
          <w:sdtContent>
            <w:tc>
              <w:tcPr>
                <w:tcW w:w="1619" w:type="dxa"/>
                <w:vAlign w:val="center"/>
              </w:tcPr>
              <w:p w14:paraId="69E7823B" w14:textId="77777777" w:rsidR="005E000F" w:rsidRDefault="00000000">
                <w:pPr>
                  <w:jc w:val="center"/>
                </w:pPr>
                <w:r>
                  <w:rPr>
                    <w:rFonts w:hint="eastAsia"/>
                  </w:rPr>
                  <w:t>期末余额</w:t>
                </w:r>
              </w:p>
            </w:tc>
          </w:sdtContent>
        </w:sdt>
      </w:tr>
      <w:tr w:rsidR="005E000F" w14:paraId="7F370179" w14:textId="77777777">
        <w:tc>
          <w:tcPr>
            <w:tcW w:w="2452" w:type="dxa"/>
            <w:vAlign w:val="center"/>
          </w:tcPr>
          <w:p w14:paraId="3A904782" w14:textId="77777777" w:rsidR="005E000F" w:rsidRDefault="00000000">
            <w:r>
              <w:rPr>
                <w:rFonts w:hint="eastAsia"/>
              </w:rPr>
              <w:t>一、短期薪酬</w:t>
            </w:r>
          </w:p>
        </w:tc>
        <w:tc>
          <w:tcPr>
            <w:tcW w:w="1758" w:type="dxa"/>
            <w:vAlign w:val="center"/>
          </w:tcPr>
          <w:p w14:paraId="4C140D55" w14:textId="77777777" w:rsidR="005E000F" w:rsidRDefault="00000000">
            <w:pPr>
              <w:jc w:val="right"/>
              <w:rPr>
                <w:lang w:eastAsia="en-US"/>
              </w:rPr>
            </w:pPr>
            <w:r>
              <w:t>1,709,712,071</w:t>
            </w:r>
          </w:p>
        </w:tc>
        <w:tc>
          <w:tcPr>
            <w:tcW w:w="1607" w:type="dxa"/>
            <w:vAlign w:val="center"/>
          </w:tcPr>
          <w:p w14:paraId="38505E2E" w14:textId="77777777" w:rsidR="005E000F" w:rsidRDefault="00000000">
            <w:pPr>
              <w:jc w:val="right"/>
            </w:pPr>
            <w:r>
              <w:t>20,703,394,600</w:t>
            </w:r>
          </w:p>
        </w:tc>
        <w:tc>
          <w:tcPr>
            <w:tcW w:w="1610" w:type="dxa"/>
            <w:vAlign w:val="center"/>
          </w:tcPr>
          <w:p w14:paraId="7E39DE8D" w14:textId="77777777" w:rsidR="005E000F" w:rsidRDefault="00000000">
            <w:pPr>
              <w:jc w:val="right"/>
            </w:pPr>
            <w:r>
              <w:t>20,532,936,966</w:t>
            </w:r>
          </w:p>
        </w:tc>
        <w:tc>
          <w:tcPr>
            <w:tcW w:w="1619" w:type="dxa"/>
            <w:vAlign w:val="center"/>
          </w:tcPr>
          <w:p w14:paraId="0D1BD13E" w14:textId="77777777" w:rsidR="005E000F" w:rsidRDefault="00000000">
            <w:pPr>
              <w:jc w:val="right"/>
            </w:pPr>
            <w:r>
              <w:t>1,880,169,705</w:t>
            </w:r>
          </w:p>
        </w:tc>
      </w:tr>
      <w:tr w:rsidR="005E000F" w14:paraId="1AFF2887" w14:textId="77777777">
        <w:tc>
          <w:tcPr>
            <w:tcW w:w="2452" w:type="dxa"/>
            <w:vAlign w:val="center"/>
          </w:tcPr>
          <w:p w14:paraId="7C4089DF" w14:textId="77777777" w:rsidR="005E000F" w:rsidRDefault="00000000">
            <w:r>
              <w:rPr>
                <w:rFonts w:hint="eastAsia"/>
              </w:rPr>
              <w:t>二、离职后福利</w:t>
            </w:r>
            <w:r>
              <w:rPr>
                <w:rFonts w:hint="eastAsia"/>
              </w:rPr>
              <w:t>-</w:t>
            </w:r>
            <w:r>
              <w:rPr>
                <w:rFonts w:hint="eastAsia"/>
              </w:rPr>
              <w:t>设定提存计划</w:t>
            </w:r>
          </w:p>
        </w:tc>
        <w:tc>
          <w:tcPr>
            <w:tcW w:w="1758" w:type="dxa"/>
            <w:vAlign w:val="center"/>
          </w:tcPr>
          <w:p w14:paraId="52F62739" w14:textId="77777777" w:rsidR="005E000F" w:rsidRDefault="00000000">
            <w:pPr>
              <w:jc w:val="right"/>
              <w:rPr>
                <w:lang w:eastAsia="en-US"/>
              </w:rPr>
            </w:pPr>
            <w:r>
              <w:t>235,430</w:t>
            </w:r>
          </w:p>
        </w:tc>
        <w:tc>
          <w:tcPr>
            <w:tcW w:w="1607" w:type="dxa"/>
            <w:vAlign w:val="center"/>
          </w:tcPr>
          <w:p w14:paraId="484B8F3F" w14:textId="77777777" w:rsidR="005E000F" w:rsidRDefault="00000000">
            <w:pPr>
              <w:jc w:val="right"/>
            </w:pPr>
            <w:r>
              <w:t>3,522,584,518</w:t>
            </w:r>
          </w:p>
        </w:tc>
        <w:tc>
          <w:tcPr>
            <w:tcW w:w="1610" w:type="dxa"/>
            <w:vAlign w:val="center"/>
          </w:tcPr>
          <w:p w14:paraId="15C3400D" w14:textId="77777777" w:rsidR="005E000F" w:rsidRDefault="00000000">
            <w:pPr>
              <w:jc w:val="right"/>
            </w:pPr>
            <w:r>
              <w:t>3,522,561,056</w:t>
            </w:r>
          </w:p>
        </w:tc>
        <w:tc>
          <w:tcPr>
            <w:tcW w:w="1619" w:type="dxa"/>
            <w:vAlign w:val="center"/>
          </w:tcPr>
          <w:p w14:paraId="7E7CF63B" w14:textId="77777777" w:rsidR="005E000F" w:rsidRDefault="00000000">
            <w:pPr>
              <w:jc w:val="right"/>
            </w:pPr>
            <w:r>
              <w:t>258,892</w:t>
            </w:r>
          </w:p>
        </w:tc>
      </w:tr>
      <w:tr w:rsidR="005E000F" w14:paraId="48D35A22" w14:textId="77777777">
        <w:tc>
          <w:tcPr>
            <w:tcW w:w="2452" w:type="dxa"/>
            <w:vAlign w:val="center"/>
          </w:tcPr>
          <w:p w14:paraId="49C27685" w14:textId="77777777" w:rsidR="005E000F" w:rsidRDefault="00000000">
            <w:r>
              <w:rPr>
                <w:rFonts w:hint="eastAsia"/>
              </w:rPr>
              <w:t>三、一年内到期的其他福利</w:t>
            </w:r>
          </w:p>
        </w:tc>
        <w:tc>
          <w:tcPr>
            <w:tcW w:w="1758" w:type="dxa"/>
            <w:vAlign w:val="center"/>
          </w:tcPr>
          <w:p w14:paraId="44499DFD" w14:textId="77777777" w:rsidR="005E000F" w:rsidRDefault="00000000">
            <w:pPr>
              <w:jc w:val="right"/>
            </w:pPr>
            <w:r>
              <w:rPr>
                <w:rFonts w:hint="eastAsia"/>
              </w:rPr>
              <w:t>0</w:t>
            </w:r>
          </w:p>
        </w:tc>
        <w:tc>
          <w:tcPr>
            <w:tcW w:w="1607" w:type="dxa"/>
            <w:vAlign w:val="center"/>
          </w:tcPr>
          <w:p w14:paraId="573ECC4C" w14:textId="77777777" w:rsidR="005E000F" w:rsidRDefault="00000000">
            <w:pPr>
              <w:jc w:val="right"/>
            </w:pPr>
            <w:r>
              <w:t>90,763,000</w:t>
            </w:r>
          </w:p>
        </w:tc>
        <w:tc>
          <w:tcPr>
            <w:tcW w:w="1610" w:type="dxa"/>
            <w:vAlign w:val="center"/>
          </w:tcPr>
          <w:p w14:paraId="1F307433" w14:textId="77777777" w:rsidR="005E000F" w:rsidRDefault="00000000">
            <w:pPr>
              <w:jc w:val="right"/>
            </w:pPr>
            <w:r>
              <w:rPr>
                <w:rFonts w:hint="eastAsia"/>
              </w:rPr>
              <w:t>0</w:t>
            </w:r>
          </w:p>
        </w:tc>
        <w:tc>
          <w:tcPr>
            <w:tcW w:w="1619" w:type="dxa"/>
            <w:vAlign w:val="center"/>
          </w:tcPr>
          <w:p w14:paraId="20E69448" w14:textId="77777777" w:rsidR="005E000F" w:rsidRDefault="00000000">
            <w:pPr>
              <w:jc w:val="right"/>
            </w:pPr>
            <w:r>
              <w:t>90,763,000</w:t>
            </w:r>
          </w:p>
        </w:tc>
      </w:tr>
      <w:tr w:rsidR="005E000F" w14:paraId="44B9ED77" w14:textId="77777777">
        <w:tc>
          <w:tcPr>
            <w:tcW w:w="2452" w:type="dxa"/>
            <w:vAlign w:val="center"/>
          </w:tcPr>
          <w:p w14:paraId="6F35AB3B" w14:textId="77777777" w:rsidR="005E000F" w:rsidRDefault="00000000">
            <w:pPr>
              <w:jc w:val="center"/>
            </w:pPr>
            <w:r>
              <w:rPr>
                <w:rFonts w:hint="eastAsia"/>
              </w:rPr>
              <w:t>合计</w:t>
            </w:r>
          </w:p>
        </w:tc>
        <w:tc>
          <w:tcPr>
            <w:tcW w:w="1758" w:type="dxa"/>
            <w:vAlign w:val="center"/>
          </w:tcPr>
          <w:p w14:paraId="78F6F150" w14:textId="77777777" w:rsidR="005E000F" w:rsidRDefault="00000000">
            <w:pPr>
              <w:jc w:val="right"/>
              <w:rPr>
                <w:lang w:eastAsia="en-US"/>
              </w:rPr>
            </w:pPr>
            <w:r>
              <w:t>1,709,947,501</w:t>
            </w:r>
          </w:p>
        </w:tc>
        <w:tc>
          <w:tcPr>
            <w:tcW w:w="1607" w:type="dxa"/>
            <w:vAlign w:val="center"/>
          </w:tcPr>
          <w:p w14:paraId="34948612" w14:textId="77777777" w:rsidR="005E000F" w:rsidRDefault="00000000">
            <w:pPr>
              <w:jc w:val="right"/>
            </w:pPr>
            <w:r>
              <w:t>24,316,742,118</w:t>
            </w:r>
          </w:p>
        </w:tc>
        <w:tc>
          <w:tcPr>
            <w:tcW w:w="1610" w:type="dxa"/>
            <w:vAlign w:val="center"/>
          </w:tcPr>
          <w:p w14:paraId="40E82BB1" w14:textId="77777777" w:rsidR="005E000F" w:rsidRDefault="00000000">
            <w:pPr>
              <w:jc w:val="right"/>
            </w:pPr>
            <w:r>
              <w:t>24,055,498,022</w:t>
            </w:r>
          </w:p>
        </w:tc>
        <w:tc>
          <w:tcPr>
            <w:tcW w:w="1619" w:type="dxa"/>
            <w:vAlign w:val="center"/>
          </w:tcPr>
          <w:p w14:paraId="25E10643" w14:textId="77777777" w:rsidR="005E000F" w:rsidRDefault="00000000">
            <w:pPr>
              <w:jc w:val="right"/>
            </w:pPr>
            <w:r>
              <w:t>1,971,191,597</w:t>
            </w:r>
          </w:p>
        </w:tc>
      </w:tr>
    </w:tbl>
    <w:p w14:paraId="2BD7BFC1" w14:textId="77777777" w:rsidR="005E000F" w:rsidRDefault="005E000F"/>
    <w:p w14:paraId="0EE41A92" w14:textId="77777777" w:rsidR="005E000F" w:rsidRDefault="00000000">
      <w:pPr>
        <w:pStyle w:val="4"/>
        <w:numPr>
          <w:ilvl w:val="0"/>
          <w:numId w:val="95"/>
        </w:numPr>
      </w:pPr>
      <w:r>
        <w:rPr>
          <w:rFonts w:hint="eastAsia"/>
        </w:rPr>
        <w:t>短期薪酬列示</w:t>
      </w:r>
    </w:p>
    <w:sdt>
      <w:sdtPr>
        <w:alias w:val="是否适用：短期薪酬列示[双击切换]"/>
        <w:tag w:val="_GBC_531fef0ef27e47ad98c1bb26abdf204f"/>
        <w:id w:val="725870510"/>
        <w:placeholder>
          <w:docPart w:val="GBC22222222222222222222222222222"/>
        </w:placeholder>
      </w:sdtPr>
      <w:sdtContent>
        <w:p w14:paraId="5FDC0324"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6716D73" w14:textId="77777777" w:rsidR="005E000F" w:rsidRDefault="00000000">
      <w:pPr>
        <w:jc w:val="right"/>
      </w:pPr>
      <w:r>
        <w:rPr>
          <w:rFonts w:hint="eastAsia"/>
        </w:rPr>
        <w:t>单位：</w:t>
      </w:r>
      <w:sdt>
        <w:sdtPr>
          <w:rPr>
            <w:rFonts w:hint="eastAsia"/>
          </w:rPr>
          <w:alias w:val="单位：财务附注：短期薪酬"/>
          <w:tag w:val="_GBC_4710a4978b1b4a4bbcd5757aaf80b8d7"/>
          <w:id w:val="207183948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短期薪酬"/>
          <w:tag w:val="_GBC_aa08b58287754c0d8fad97e31bacb9e4"/>
          <w:id w:val="18701789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3"/>
        <w:gridCol w:w="1612"/>
        <w:gridCol w:w="1594"/>
        <w:gridCol w:w="1608"/>
        <w:gridCol w:w="1619"/>
      </w:tblGrid>
      <w:tr w:rsidR="005E000F" w14:paraId="513E0CB2" w14:textId="77777777">
        <w:sdt>
          <w:sdtPr>
            <w:tag w:val="_PLD_977153d49ca449b191bb833cd5f689b2"/>
            <w:id w:val="-164403861"/>
          </w:sdtPr>
          <w:sdtContent>
            <w:tc>
              <w:tcPr>
                <w:tcW w:w="2613" w:type="dxa"/>
                <w:tcBorders>
                  <w:top w:val="single" w:sz="4" w:space="0" w:color="auto"/>
                  <w:left w:val="single" w:sz="4" w:space="0" w:color="auto"/>
                  <w:bottom w:val="single" w:sz="4" w:space="0" w:color="auto"/>
                  <w:right w:val="single" w:sz="4" w:space="0" w:color="auto"/>
                </w:tcBorders>
                <w:vAlign w:val="center"/>
              </w:tcPr>
              <w:p w14:paraId="18808170" w14:textId="77777777" w:rsidR="005E000F" w:rsidRDefault="00000000">
                <w:pPr>
                  <w:autoSpaceDE w:val="0"/>
                  <w:autoSpaceDN w:val="0"/>
                  <w:adjustRightInd w:val="0"/>
                  <w:jc w:val="center"/>
                </w:pPr>
                <w:r>
                  <w:rPr>
                    <w:rFonts w:hint="eastAsia"/>
                  </w:rPr>
                  <w:t>项目</w:t>
                </w:r>
              </w:p>
            </w:tc>
          </w:sdtContent>
        </w:sdt>
        <w:sdt>
          <w:sdtPr>
            <w:tag w:val="_PLD_557c49ee2a4f40de99f948c76f4c3adc"/>
            <w:id w:val="555752344"/>
          </w:sdtPr>
          <w:sdtContent>
            <w:tc>
              <w:tcPr>
                <w:tcW w:w="1612" w:type="dxa"/>
                <w:tcBorders>
                  <w:top w:val="single" w:sz="4" w:space="0" w:color="auto"/>
                  <w:left w:val="single" w:sz="4" w:space="0" w:color="auto"/>
                  <w:bottom w:val="single" w:sz="4" w:space="0" w:color="auto"/>
                  <w:right w:val="single" w:sz="4" w:space="0" w:color="auto"/>
                </w:tcBorders>
                <w:vAlign w:val="center"/>
              </w:tcPr>
              <w:p w14:paraId="14F2630F" w14:textId="77777777" w:rsidR="005E000F" w:rsidRDefault="00000000">
                <w:pPr>
                  <w:autoSpaceDE w:val="0"/>
                  <w:autoSpaceDN w:val="0"/>
                  <w:adjustRightInd w:val="0"/>
                  <w:jc w:val="center"/>
                </w:pPr>
                <w:r>
                  <w:rPr>
                    <w:rFonts w:hint="eastAsia"/>
                  </w:rPr>
                  <w:t>期初余额</w:t>
                </w:r>
              </w:p>
            </w:tc>
          </w:sdtContent>
        </w:sdt>
        <w:sdt>
          <w:sdtPr>
            <w:tag w:val="_PLD_98d1ab48f8084264aff0ef3a30e8ba71"/>
            <w:id w:val="-398603008"/>
          </w:sdtPr>
          <w:sdtContent>
            <w:tc>
              <w:tcPr>
                <w:tcW w:w="1594" w:type="dxa"/>
                <w:tcBorders>
                  <w:top w:val="single" w:sz="4" w:space="0" w:color="auto"/>
                  <w:left w:val="single" w:sz="4" w:space="0" w:color="auto"/>
                  <w:bottom w:val="single" w:sz="4" w:space="0" w:color="auto"/>
                  <w:right w:val="single" w:sz="4" w:space="0" w:color="auto"/>
                </w:tcBorders>
                <w:vAlign w:val="center"/>
              </w:tcPr>
              <w:p w14:paraId="31CEE0DC" w14:textId="77777777" w:rsidR="005E000F" w:rsidRDefault="00000000">
                <w:pPr>
                  <w:jc w:val="center"/>
                </w:pPr>
                <w:r>
                  <w:rPr>
                    <w:rFonts w:hint="eastAsia"/>
                  </w:rPr>
                  <w:t>本期增加</w:t>
                </w:r>
              </w:p>
            </w:tc>
          </w:sdtContent>
        </w:sdt>
        <w:sdt>
          <w:sdtPr>
            <w:tag w:val="_PLD_e35c4f26db444503b2f9a32896872169"/>
            <w:id w:val="-640119412"/>
          </w:sdtPr>
          <w:sdtContent>
            <w:tc>
              <w:tcPr>
                <w:tcW w:w="1608" w:type="dxa"/>
                <w:tcBorders>
                  <w:top w:val="single" w:sz="4" w:space="0" w:color="auto"/>
                  <w:left w:val="single" w:sz="4" w:space="0" w:color="auto"/>
                  <w:bottom w:val="single" w:sz="4" w:space="0" w:color="auto"/>
                  <w:right w:val="single" w:sz="4" w:space="0" w:color="auto"/>
                </w:tcBorders>
                <w:vAlign w:val="center"/>
              </w:tcPr>
              <w:p w14:paraId="68952A6A" w14:textId="77777777" w:rsidR="005E000F" w:rsidRDefault="00000000">
                <w:pPr>
                  <w:jc w:val="center"/>
                </w:pPr>
                <w:r>
                  <w:t>本期减少</w:t>
                </w:r>
              </w:p>
            </w:tc>
          </w:sdtContent>
        </w:sdt>
        <w:sdt>
          <w:sdtPr>
            <w:tag w:val="_PLD_e67d191300ac43c2b1b07c1beddfe891"/>
            <w:id w:val="-2024079245"/>
          </w:sdtPr>
          <w:sdtContent>
            <w:tc>
              <w:tcPr>
                <w:tcW w:w="1619" w:type="dxa"/>
                <w:tcBorders>
                  <w:top w:val="single" w:sz="4" w:space="0" w:color="auto"/>
                  <w:left w:val="single" w:sz="4" w:space="0" w:color="auto"/>
                  <w:bottom w:val="single" w:sz="4" w:space="0" w:color="auto"/>
                  <w:right w:val="single" w:sz="4" w:space="0" w:color="auto"/>
                </w:tcBorders>
                <w:vAlign w:val="center"/>
              </w:tcPr>
              <w:p w14:paraId="3D892430" w14:textId="77777777" w:rsidR="005E000F" w:rsidRDefault="00000000">
                <w:pPr>
                  <w:autoSpaceDE w:val="0"/>
                  <w:autoSpaceDN w:val="0"/>
                  <w:adjustRightInd w:val="0"/>
                  <w:jc w:val="center"/>
                </w:pPr>
                <w:r>
                  <w:rPr>
                    <w:rFonts w:hint="eastAsia"/>
                  </w:rPr>
                  <w:t>期末余额</w:t>
                </w:r>
              </w:p>
            </w:tc>
          </w:sdtContent>
        </w:sdt>
      </w:tr>
      <w:tr w:rsidR="005E000F" w14:paraId="2C169FE0" w14:textId="77777777">
        <w:tc>
          <w:tcPr>
            <w:tcW w:w="2613" w:type="dxa"/>
            <w:tcBorders>
              <w:top w:val="single" w:sz="4" w:space="0" w:color="auto"/>
              <w:left w:val="single" w:sz="4" w:space="0" w:color="auto"/>
              <w:bottom w:val="single" w:sz="4" w:space="0" w:color="auto"/>
              <w:right w:val="single" w:sz="4" w:space="0" w:color="auto"/>
            </w:tcBorders>
            <w:vAlign w:val="center"/>
          </w:tcPr>
          <w:p w14:paraId="5479D889" w14:textId="77777777" w:rsidR="005E000F" w:rsidRDefault="00000000">
            <w:pPr>
              <w:autoSpaceDE w:val="0"/>
              <w:autoSpaceDN w:val="0"/>
              <w:adjustRightInd w:val="0"/>
            </w:pPr>
            <w:r>
              <w:rPr>
                <w:rFonts w:hint="eastAsia"/>
              </w:rPr>
              <w:t>一、工资、奖金、津贴和补贴</w:t>
            </w:r>
          </w:p>
        </w:tc>
        <w:tc>
          <w:tcPr>
            <w:tcW w:w="1612" w:type="dxa"/>
            <w:tcBorders>
              <w:top w:val="single" w:sz="4" w:space="0" w:color="auto"/>
              <w:left w:val="single" w:sz="4" w:space="0" w:color="auto"/>
              <w:bottom w:val="single" w:sz="4" w:space="0" w:color="auto"/>
              <w:right w:val="single" w:sz="4" w:space="0" w:color="auto"/>
            </w:tcBorders>
            <w:vAlign w:val="center"/>
          </w:tcPr>
          <w:p w14:paraId="6174F1BC" w14:textId="77777777" w:rsidR="005E000F" w:rsidRDefault="00000000">
            <w:pPr>
              <w:jc w:val="right"/>
              <w:rPr>
                <w:lang w:eastAsia="en-US"/>
              </w:rPr>
            </w:pPr>
            <w:r>
              <w:t>238,169,484</w:t>
            </w:r>
          </w:p>
        </w:tc>
        <w:tc>
          <w:tcPr>
            <w:tcW w:w="1594" w:type="dxa"/>
            <w:tcBorders>
              <w:top w:val="single" w:sz="4" w:space="0" w:color="auto"/>
              <w:left w:val="single" w:sz="4" w:space="0" w:color="auto"/>
              <w:bottom w:val="single" w:sz="4" w:space="0" w:color="auto"/>
              <w:right w:val="single" w:sz="4" w:space="0" w:color="auto"/>
            </w:tcBorders>
            <w:vAlign w:val="center"/>
          </w:tcPr>
          <w:p w14:paraId="5E6A9DB3" w14:textId="77777777" w:rsidR="005E000F" w:rsidRDefault="00000000">
            <w:pPr>
              <w:jc w:val="right"/>
            </w:pPr>
            <w:r>
              <w:t>15,740,157,917</w:t>
            </w:r>
          </w:p>
        </w:tc>
        <w:tc>
          <w:tcPr>
            <w:tcW w:w="1608" w:type="dxa"/>
            <w:tcBorders>
              <w:top w:val="single" w:sz="4" w:space="0" w:color="auto"/>
              <w:left w:val="single" w:sz="4" w:space="0" w:color="auto"/>
              <w:bottom w:val="single" w:sz="4" w:space="0" w:color="auto"/>
              <w:right w:val="single" w:sz="4" w:space="0" w:color="auto"/>
            </w:tcBorders>
            <w:vAlign w:val="center"/>
          </w:tcPr>
          <w:p w14:paraId="3B30C527" w14:textId="77777777" w:rsidR="005E000F" w:rsidRDefault="00000000">
            <w:pPr>
              <w:jc w:val="right"/>
            </w:pPr>
            <w:r>
              <w:t>15,740,157,914</w:t>
            </w:r>
          </w:p>
        </w:tc>
        <w:tc>
          <w:tcPr>
            <w:tcW w:w="1619" w:type="dxa"/>
            <w:tcBorders>
              <w:top w:val="single" w:sz="4" w:space="0" w:color="auto"/>
              <w:left w:val="single" w:sz="4" w:space="0" w:color="auto"/>
              <w:bottom w:val="single" w:sz="4" w:space="0" w:color="auto"/>
              <w:right w:val="single" w:sz="4" w:space="0" w:color="auto"/>
            </w:tcBorders>
            <w:vAlign w:val="center"/>
          </w:tcPr>
          <w:p w14:paraId="59083CF0" w14:textId="77777777" w:rsidR="005E000F" w:rsidRDefault="00000000">
            <w:pPr>
              <w:jc w:val="right"/>
            </w:pPr>
            <w:r>
              <w:t>238,169,487</w:t>
            </w:r>
          </w:p>
        </w:tc>
      </w:tr>
      <w:tr w:rsidR="005E000F" w14:paraId="4AA1E401" w14:textId="77777777">
        <w:tc>
          <w:tcPr>
            <w:tcW w:w="2613" w:type="dxa"/>
            <w:tcBorders>
              <w:top w:val="single" w:sz="4" w:space="0" w:color="auto"/>
              <w:left w:val="single" w:sz="4" w:space="0" w:color="auto"/>
              <w:bottom w:val="single" w:sz="4" w:space="0" w:color="auto"/>
              <w:right w:val="single" w:sz="4" w:space="0" w:color="auto"/>
            </w:tcBorders>
            <w:vAlign w:val="center"/>
          </w:tcPr>
          <w:p w14:paraId="7B00224C" w14:textId="77777777" w:rsidR="005E000F" w:rsidRDefault="00000000">
            <w:pPr>
              <w:autoSpaceDE w:val="0"/>
              <w:autoSpaceDN w:val="0"/>
              <w:adjustRightInd w:val="0"/>
            </w:pPr>
            <w:r>
              <w:rPr>
                <w:rFonts w:hint="eastAsia"/>
              </w:rPr>
              <w:t>二、职工福利费</w:t>
            </w:r>
          </w:p>
        </w:tc>
        <w:tc>
          <w:tcPr>
            <w:tcW w:w="1612" w:type="dxa"/>
            <w:tcBorders>
              <w:top w:val="single" w:sz="4" w:space="0" w:color="auto"/>
              <w:left w:val="single" w:sz="4" w:space="0" w:color="auto"/>
              <w:bottom w:val="single" w:sz="4" w:space="0" w:color="auto"/>
              <w:right w:val="single" w:sz="4" w:space="0" w:color="auto"/>
            </w:tcBorders>
            <w:vAlign w:val="center"/>
          </w:tcPr>
          <w:p w14:paraId="4F30BA37" w14:textId="77777777" w:rsidR="005E000F" w:rsidRDefault="00000000">
            <w:pPr>
              <w:jc w:val="right"/>
              <w:rPr>
                <w:lang w:eastAsia="en-US"/>
              </w:rPr>
            </w:pPr>
            <w:r>
              <w:t>0</w:t>
            </w:r>
          </w:p>
        </w:tc>
        <w:tc>
          <w:tcPr>
            <w:tcW w:w="1594" w:type="dxa"/>
            <w:tcBorders>
              <w:top w:val="single" w:sz="4" w:space="0" w:color="auto"/>
              <w:left w:val="single" w:sz="4" w:space="0" w:color="auto"/>
              <w:bottom w:val="single" w:sz="4" w:space="0" w:color="auto"/>
              <w:right w:val="single" w:sz="4" w:space="0" w:color="auto"/>
            </w:tcBorders>
            <w:vAlign w:val="center"/>
          </w:tcPr>
          <w:p w14:paraId="1B64AC85" w14:textId="77777777" w:rsidR="005E000F" w:rsidRDefault="00000000">
            <w:pPr>
              <w:jc w:val="right"/>
            </w:pPr>
            <w:r>
              <w:t>696,946,291</w:t>
            </w:r>
          </w:p>
        </w:tc>
        <w:tc>
          <w:tcPr>
            <w:tcW w:w="1608" w:type="dxa"/>
            <w:tcBorders>
              <w:top w:val="single" w:sz="4" w:space="0" w:color="auto"/>
              <w:left w:val="single" w:sz="4" w:space="0" w:color="auto"/>
              <w:bottom w:val="single" w:sz="4" w:space="0" w:color="auto"/>
              <w:right w:val="single" w:sz="4" w:space="0" w:color="auto"/>
            </w:tcBorders>
            <w:vAlign w:val="center"/>
          </w:tcPr>
          <w:p w14:paraId="003B2A4F" w14:textId="77777777" w:rsidR="005E000F" w:rsidRDefault="00000000">
            <w:pPr>
              <w:jc w:val="right"/>
            </w:pPr>
            <w:r>
              <w:t>696,946,291</w:t>
            </w:r>
          </w:p>
        </w:tc>
        <w:tc>
          <w:tcPr>
            <w:tcW w:w="1619" w:type="dxa"/>
            <w:tcBorders>
              <w:top w:val="single" w:sz="4" w:space="0" w:color="auto"/>
              <w:left w:val="single" w:sz="4" w:space="0" w:color="auto"/>
              <w:bottom w:val="single" w:sz="4" w:space="0" w:color="auto"/>
              <w:right w:val="single" w:sz="4" w:space="0" w:color="auto"/>
            </w:tcBorders>
            <w:vAlign w:val="center"/>
          </w:tcPr>
          <w:p w14:paraId="78D2D0D1" w14:textId="77777777" w:rsidR="005E000F" w:rsidRDefault="00000000">
            <w:pPr>
              <w:jc w:val="right"/>
            </w:pPr>
            <w:r>
              <w:rPr>
                <w:rFonts w:hint="eastAsia"/>
              </w:rPr>
              <w:t>0</w:t>
            </w:r>
          </w:p>
        </w:tc>
      </w:tr>
      <w:tr w:rsidR="005E000F" w14:paraId="163ADF5F" w14:textId="77777777">
        <w:tc>
          <w:tcPr>
            <w:tcW w:w="2613" w:type="dxa"/>
            <w:tcBorders>
              <w:top w:val="single" w:sz="4" w:space="0" w:color="auto"/>
              <w:left w:val="single" w:sz="4" w:space="0" w:color="auto"/>
              <w:bottom w:val="single" w:sz="4" w:space="0" w:color="auto"/>
              <w:right w:val="single" w:sz="4" w:space="0" w:color="auto"/>
            </w:tcBorders>
            <w:vAlign w:val="center"/>
          </w:tcPr>
          <w:p w14:paraId="3FB4C8D0" w14:textId="77777777" w:rsidR="005E000F" w:rsidRDefault="00000000">
            <w:pPr>
              <w:autoSpaceDE w:val="0"/>
              <w:autoSpaceDN w:val="0"/>
              <w:adjustRightInd w:val="0"/>
            </w:pPr>
            <w:r>
              <w:rPr>
                <w:rFonts w:hint="eastAsia"/>
              </w:rPr>
              <w:t>三、社会保险费</w:t>
            </w:r>
          </w:p>
        </w:tc>
        <w:tc>
          <w:tcPr>
            <w:tcW w:w="1612" w:type="dxa"/>
            <w:tcBorders>
              <w:top w:val="single" w:sz="4" w:space="0" w:color="auto"/>
              <w:left w:val="single" w:sz="4" w:space="0" w:color="auto"/>
              <w:bottom w:val="single" w:sz="4" w:space="0" w:color="auto"/>
              <w:right w:val="single" w:sz="4" w:space="0" w:color="auto"/>
            </w:tcBorders>
            <w:vAlign w:val="center"/>
          </w:tcPr>
          <w:p w14:paraId="1588B439" w14:textId="77777777" w:rsidR="005E000F" w:rsidRDefault="00000000">
            <w:pPr>
              <w:jc w:val="right"/>
              <w:rPr>
                <w:lang w:eastAsia="en-US"/>
              </w:rPr>
            </w:pPr>
            <w:r>
              <w:t>398,976,240</w:t>
            </w:r>
          </w:p>
        </w:tc>
        <w:tc>
          <w:tcPr>
            <w:tcW w:w="1594" w:type="dxa"/>
            <w:tcBorders>
              <w:top w:val="single" w:sz="4" w:space="0" w:color="auto"/>
              <w:left w:val="single" w:sz="4" w:space="0" w:color="auto"/>
              <w:bottom w:val="single" w:sz="4" w:space="0" w:color="auto"/>
              <w:right w:val="single" w:sz="4" w:space="0" w:color="auto"/>
            </w:tcBorders>
            <w:vAlign w:val="center"/>
          </w:tcPr>
          <w:p w14:paraId="3876AE52" w14:textId="77777777" w:rsidR="005E000F" w:rsidRDefault="00000000">
            <w:pPr>
              <w:jc w:val="right"/>
            </w:pPr>
            <w:r>
              <w:t>2,008,414,341</w:t>
            </w:r>
          </w:p>
        </w:tc>
        <w:tc>
          <w:tcPr>
            <w:tcW w:w="1608" w:type="dxa"/>
            <w:tcBorders>
              <w:top w:val="single" w:sz="4" w:space="0" w:color="auto"/>
              <w:left w:val="single" w:sz="4" w:space="0" w:color="auto"/>
              <w:bottom w:val="single" w:sz="4" w:space="0" w:color="auto"/>
              <w:right w:val="single" w:sz="4" w:space="0" w:color="auto"/>
            </w:tcBorders>
            <w:vAlign w:val="center"/>
          </w:tcPr>
          <w:p w14:paraId="3C0A61CC" w14:textId="77777777" w:rsidR="005E000F" w:rsidRDefault="00000000">
            <w:pPr>
              <w:jc w:val="right"/>
            </w:pPr>
            <w:r>
              <w:t>1,792,919,076</w:t>
            </w:r>
          </w:p>
        </w:tc>
        <w:tc>
          <w:tcPr>
            <w:tcW w:w="1619" w:type="dxa"/>
            <w:tcBorders>
              <w:top w:val="single" w:sz="4" w:space="0" w:color="auto"/>
              <w:left w:val="single" w:sz="4" w:space="0" w:color="auto"/>
              <w:bottom w:val="single" w:sz="4" w:space="0" w:color="auto"/>
              <w:right w:val="single" w:sz="4" w:space="0" w:color="auto"/>
            </w:tcBorders>
            <w:vAlign w:val="center"/>
          </w:tcPr>
          <w:p w14:paraId="75569910" w14:textId="77777777" w:rsidR="005E000F" w:rsidRDefault="00000000">
            <w:pPr>
              <w:jc w:val="right"/>
            </w:pPr>
            <w:r>
              <w:t>614,471,505</w:t>
            </w:r>
          </w:p>
        </w:tc>
      </w:tr>
      <w:tr w:rsidR="005E000F" w14:paraId="0B18F8DD" w14:textId="77777777">
        <w:tc>
          <w:tcPr>
            <w:tcW w:w="2613" w:type="dxa"/>
            <w:tcBorders>
              <w:top w:val="single" w:sz="4" w:space="0" w:color="auto"/>
              <w:left w:val="single" w:sz="4" w:space="0" w:color="auto"/>
              <w:bottom w:val="single" w:sz="4" w:space="0" w:color="auto"/>
              <w:right w:val="single" w:sz="4" w:space="0" w:color="auto"/>
            </w:tcBorders>
            <w:vAlign w:val="center"/>
          </w:tcPr>
          <w:p w14:paraId="6B97E9FE" w14:textId="77777777" w:rsidR="005E000F" w:rsidRDefault="00000000">
            <w:pPr>
              <w:rPr>
                <w:color w:val="008000"/>
              </w:rPr>
            </w:pPr>
            <w:r>
              <w:rPr>
                <w:rFonts w:hint="eastAsia"/>
              </w:rPr>
              <w:t>其中：</w:t>
            </w:r>
            <w:r>
              <w:t>医疗保险费</w:t>
            </w:r>
          </w:p>
        </w:tc>
        <w:tc>
          <w:tcPr>
            <w:tcW w:w="1612" w:type="dxa"/>
            <w:tcBorders>
              <w:top w:val="single" w:sz="4" w:space="0" w:color="auto"/>
              <w:left w:val="single" w:sz="4" w:space="0" w:color="auto"/>
              <w:bottom w:val="single" w:sz="4" w:space="0" w:color="auto"/>
              <w:right w:val="single" w:sz="4" w:space="0" w:color="auto"/>
            </w:tcBorders>
            <w:vAlign w:val="center"/>
          </w:tcPr>
          <w:p w14:paraId="3DF8B51A" w14:textId="77777777" w:rsidR="005E000F" w:rsidRDefault="00000000">
            <w:pPr>
              <w:jc w:val="right"/>
              <w:rPr>
                <w:lang w:eastAsia="en-US"/>
              </w:rPr>
            </w:pPr>
            <w:r>
              <w:t>398,975,102</w:t>
            </w:r>
          </w:p>
        </w:tc>
        <w:tc>
          <w:tcPr>
            <w:tcW w:w="1594" w:type="dxa"/>
            <w:tcBorders>
              <w:top w:val="single" w:sz="4" w:space="0" w:color="auto"/>
              <w:left w:val="single" w:sz="4" w:space="0" w:color="auto"/>
              <w:bottom w:val="single" w:sz="4" w:space="0" w:color="auto"/>
              <w:right w:val="single" w:sz="4" w:space="0" w:color="auto"/>
            </w:tcBorders>
            <w:vAlign w:val="center"/>
          </w:tcPr>
          <w:p w14:paraId="09487BCB" w14:textId="77777777" w:rsidR="005E000F" w:rsidRDefault="00000000">
            <w:pPr>
              <w:jc w:val="right"/>
            </w:pPr>
            <w:r>
              <w:t>1,859,140,622</w:t>
            </w:r>
          </w:p>
        </w:tc>
        <w:tc>
          <w:tcPr>
            <w:tcW w:w="1608" w:type="dxa"/>
            <w:tcBorders>
              <w:top w:val="single" w:sz="4" w:space="0" w:color="auto"/>
              <w:left w:val="single" w:sz="4" w:space="0" w:color="auto"/>
              <w:bottom w:val="single" w:sz="4" w:space="0" w:color="auto"/>
              <w:right w:val="single" w:sz="4" w:space="0" w:color="auto"/>
            </w:tcBorders>
            <w:vAlign w:val="center"/>
          </w:tcPr>
          <w:p w14:paraId="3CC1C9F4" w14:textId="77777777" w:rsidR="005E000F" w:rsidRDefault="00000000">
            <w:pPr>
              <w:jc w:val="right"/>
            </w:pPr>
            <w:r>
              <w:t>1,643,645,260</w:t>
            </w:r>
          </w:p>
        </w:tc>
        <w:tc>
          <w:tcPr>
            <w:tcW w:w="1619" w:type="dxa"/>
            <w:tcBorders>
              <w:top w:val="single" w:sz="4" w:space="0" w:color="auto"/>
              <w:left w:val="single" w:sz="4" w:space="0" w:color="auto"/>
              <w:bottom w:val="single" w:sz="4" w:space="0" w:color="auto"/>
              <w:right w:val="single" w:sz="4" w:space="0" w:color="auto"/>
            </w:tcBorders>
            <w:vAlign w:val="center"/>
          </w:tcPr>
          <w:p w14:paraId="716D59BF" w14:textId="77777777" w:rsidR="005E000F" w:rsidRDefault="00000000">
            <w:pPr>
              <w:jc w:val="right"/>
            </w:pPr>
            <w:r>
              <w:t>614,470,464</w:t>
            </w:r>
          </w:p>
        </w:tc>
      </w:tr>
      <w:tr w:rsidR="005E000F" w14:paraId="4458AD8F" w14:textId="77777777">
        <w:tc>
          <w:tcPr>
            <w:tcW w:w="2613" w:type="dxa"/>
            <w:tcBorders>
              <w:top w:val="single" w:sz="4" w:space="0" w:color="auto"/>
              <w:left w:val="single" w:sz="4" w:space="0" w:color="auto"/>
              <w:bottom w:val="single" w:sz="4" w:space="0" w:color="auto"/>
              <w:right w:val="single" w:sz="4" w:space="0" w:color="auto"/>
            </w:tcBorders>
            <w:vAlign w:val="center"/>
          </w:tcPr>
          <w:p w14:paraId="580FEF28" w14:textId="77777777" w:rsidR="005E000F" w:rsidRDefault="00000000">
            <w:pPr>
              <w:ind w:firstLineChars="300" w:firstLine="630"/>
            </w:pPr>
            <w:r>
              <w:rPr>
                <w:rFonts w:hint="eastAsia"/>
              </w:rPr>
              <w:t>工伤保险费</w:t>
            </w:r>
          </w:p>
        </w:tc>
        <w:tc>
          <w:tcPr>
            <w:tcW w:w="1612" w:type="dxa"/>
            <w:tcBorders>
              <w:top w:val="single" w:sz="4" w:space="0" w:color="auto"/>
              <w:left w:val="single" w:sz="4" w:space="0" w:color="auto"/>
              <w:bottom w:val="single" w:sz="4" w:space="0" w:color="auto"/>
              <w:right w:val="single" w:sz="4" w:space="0" w:color="auto"/>
            </w:tcBorders>
            <w:vAlign w:val="center"/>
          </w:tcPr>
          <w:p w14:paraId="7656A632" w14:textId="77777777" w:rsidR="005E000F" w:rsidRDefault="00000000">
            <w:pPr>
              <w:jc w:val="right"/>
              <w:rPr>
                <w:lang w:eastAsia="en-US"/>
              </w:rPr>
            </w:pPr>
            <w:r>
              <w:t>1,138</w:t>
            </w:r>
          </w:p>
        </w:tc>
        <w:tc>
          <w:tcPr>
            <w:tcW w:w="1594" w:type="dxa"/>
            <w:tcBorders>
              <w:top w:val="single" w:sz="4" w:space="0" w:color="auto"/>
              <w:left w:val="single" w:sz="4" w:space="0" w:color="auto"/>
              <w:bottom w:val="single" w:sz="4" w:space="0" w:color="auto"/>
              <w:right w:val="single" w:sz="4" w:space="0" w:color="auto"/>
            </w:tcBorders>
            <w:vAlign w:val="center"/>
          </w:tcPr>
          <w:p w14:paraId="7532D61B" w14:textId="77777777" w:rsidR="005E000F" w:rsidRDefault="00000000">
            <w:pPr>
              <w:jc w:val="right"/>
            </w:pPr>
            <w:r>
              <w:t>149,273,719</w:t>
            </w:r>
          </w:p>
        </w:tc>
        <w:tc>
          <w:tcPr>
            <w:tcW w:w="1608" w:type="dxa"/>
            <w:tcBorders>
              <w:top w:val="single" w:sz="4" w:space="0" w:color="auto"/>
              <w:left w:val="single" w:sz="4" w:space="0" w:color="auto"/>
              <w:bottom w:val="single" w:sz="4" w:space="0" w:color="auto"/>
              <w:right w:val="single" w:sz="4" w:space="0" w:color="auto"/>
            </w:tcBorders>
            <w:vAlign w:val="center"/>
          </w:tcPr>
          <w:p w14:paraId="3A4CB315" w14:textId="77777777" w:rsidR="005E000F" w:rsidRDefault="00000000">
            <w:pPr>
              <w:jc w:val="right"/>
            </w:pPr>
            <w:r>
              <w:t>149,273,816</w:t>
            </w:r>
          </w:p>
        </w:tc>
        <w:tc>
          <w:tcPr>
            <w:tcW w:w="1619" w:type="dxa"/>
            <w:tcBorders>
              <w:top w:val="single" w:sz="4" w:space="0" w:color="auto"/>
              <w:left w:val="single" w:sz="4" w:space="0" w:color="auto"/>
              <w:bottom w:val="single" w:sz="4" w:space="0" w:color="auto"/>
              <w:right w:val="single" w:sz="4" w:space="0" w:color="auto"/>
            </w:tcBorders>
            <w:vAlign w:val="center"/>
          </w:tcPr>
          <w:p w14:paraId="2B7F0E69" w14:textId="77777777" w:rsidR="005E000F" w:rsidRDefault="00000000">
            <w:pPr>
              <w:jc w:val="right"/>
            </w:pPr>
            <w:r>
              <w:t>1,041</w:t>
            </w:r>
          </w:p>
        </w:tc>
      </w:tr>
      <w:tr w:rsidR="005E000F" w14:paraId="26D8571A" w14:textId="77777777">
        <w:tc>
          <w:tcPr>
            <w:tcW w:w="2613" w:type="dxa"/>
            <w:tcBorders>
              <w:top w:val="single" w:sz="4" w:space="0" w:color="auto"/>
              <w:left w:val="single" w:sz="4" w:space="0" w:color="auto"/>
              <w:bottom w:val="single" w:sz="4" w:space="0" w:color="auto"/>
              <w:right w:val="single" w:sz="4" w:space="0" w:color="auto"/>
            </w:tcBorders>
            <w:vAlign w:val="center"/>
          </w:tcPr>
          <w:p w14:paraId="19071181" w14:textId="77777777" w:rsidR="005E000F" w:rsidRDefault="00000000">
            <w:pPr>
              <w:autoSpaceDE w:val="0"/>
              <w:autoSpaceDN w:val="0"/>
              <w:adjustRightInd w:val="0"/>
            </w:pPr>
            <w:r>
              <w:rPr>
                <w:rFonts w:hint="eastAsia"/>
              </w:rPr>
              <w:t>四、住房公积金</w:t>
            </w:r>
          </w:p>
        </w:tc>
        <w:tc>
          <w:tcPr>
            <w:tcW w:w="1612" w:type="dxa"/>
            <w:tcBorders>
              <w:top w:val="single" w:sz="4" w:space="0" w:color="auto"/>
              <w:left w:val="single" w:sz="4" w:space="0" w:color="auto"/>
              <w:bottom w:val="single" w:sz="4" w:space="0" w:color="auto"/>
              <w:right w:val="single" w:sz="4" w:space="0" w:color="auto"/>
            </w:tcBorders>
            <w:vAlign w:val="center"/>
          </w:tcPr>
          <w:p w14:paraId="3F375170" w14:textId="77777777" w:rsidR="005E000F" w:rsidRDefault="00000000">
            <w:pPr>
              <w:jc w:val="right"/>
              <w:rPr>
                <w:lang w:eastAsia="en-US"/>
              </w:rPr>
            </w:pPr>
            <w:r>
              <w:t>1,322,232</w:t>
            </w:r>
          </w:p>
        </w:tc>
        <w:tc>
          <w:tcPr>
            <w:tcW w:w="1594" w:type="dxa"/>
            <w:tcBorders>
              <w:top w:val="single" w:sz="4" w:space="0" w:color="auto"/>
              <w:left w:val="single" w:sz="4" w:space="0" w:color="auto"/>
              <w:bottom w:val="single" w:sz="4" w:space="0" w:color="auto"/>
              <w:right w:val="single" w:sz="4" w:space="0" w:color="auto"/>
            </w:tcBorders>
            <w:vAlign w:val="center"/>
          </w:tcPr>
          <w:p w14:paraId="483C0BC8" w14:textId="77777777" w:rsidR="005E000F" w:rsidRDefault="00000000">
            <w:pPr>
              <w:jc w:val="right"/>
            </w:pPr>
            <w:r>
              <w:t>1,691,263,592</w:t>
            </w:r>
          </w:p>
        </w:tc>
        <w:tc>
          <w:tcPr>
            <w:tcW w:w="1608" w:type="dxa"/>
            <w:tcBorders>
              <w:top w:val="single" w:sz="4" w:space="0" w:color="auto"/>
              <w:left w:val="single" w:sz="4" w:space="0" w:color="auto"/>
              <w:bottom w:val="single" w:sz="4" w:space="0" w:color="auto"/>
              <w:right w:val="single" w:sz="4" w:space="0" w:color="auto"/>
            </w:tcBorders>
            <w:vAlign w:val="center"/>
          </w:tcPr>
          <w:p w14:paraId="429CC62E" w14:textId="77777777" w:rsidR="005E000F" w:rsidRDefault="00000000">
            <w:pPr>
              <w:jc w:val="right"/>
            </w:pPr>
            <w:r>
              <w:t>1,692,585,824</w:t>
            </w:r>
          </w:p>
        </w:tc>
        <w:tc>
          <w:tcPr>
            <w:tcW w:w="1619" w:type="dxa"/>
            <w:tcBorders>
              <w:top w:val="single" w:sz="4" w:space="0" w:color="auto"/>
              <w:left w:val="single" w:sz="4" w:space="0" w:color="auto"/>
              <w:bottom w:val="single" w:sz="4" w:space="0" w:color="auto"/>
              <w:right w:val="single" w:sz="4" w:space="0" w:color="auto"/>
            </w:tcBorders>
            <w:vAlign w:val="center"/>
          </w:tcPr>
          <w:p w14:paraId="136BBA57" w14:textId="77777777" w:rsidR="005E000F" w:rsidRDefault="00000000">
            <w:pPr>
              <w:jc w:val="right"/>
            </w:pPr>
            <w:r>
              <w:rPr>
                <w:rFonts w:hint="eastAsia"/>
              </w:rPr>
              <w:t>0</w:t>
            </w:r>
          </w:p>
        </w:tc>
      </w:tr>
      <w:tr w:rsidR="005E000F" w14:paraId="7AC921D2" w14:textId="77777777">
        <w:tc>
          <w:tcPr>
            <w:tcW w:w="2613" w:type="dxa"/>
            <w:tcBorders>
              <w:top w:val="single" w:sz="4" w:space="0" w:color="auto"/>
              <w:left w:val="single" w:sz="4" w:space="0" w:color="auto"/>
              <w:bottom w:val="single" w:sz="4" w:space="0" w:color="auto"/>
              <w:right w:val="single" w:sz="4" w:space="0" w:color="auto"/>
            </w:tcBorders>
            <w:vAlign w:val="center"/>
          </w:tcPr>
          <w:p w14:paraId="54923C76" w14:textId="77777777" w:rsidR="005E000F" w:rsidRDefault="00000000">
            <w:pPr>
              <w:autoSpaceDE w:val="0"/>
              <w:autoSpaceDN w:val="0"/>
              <w:adjustRightInd w:val="0"/>
            </w:pPr>
            <w:r>
              <w:rPr>
                <w:rFonts w:hint="eastAsia"/>
              </w:rPr>
              <w:t>五、工会经费和职工教育经费</w:t>
            </w:r>
          </w:p>
        </w:tc>
        <w:tc>
          <w:tcPr>
            <w:tcW w:w="1612" w:type="dxa"/>
            <w:tcBorders>
              <w:top w:val="single" w:sz="4" w:space="0" w:color="auto"/>
              <w:left w:val="single" w:sz="4" w:space="0" w:color="auto"/>
              <w:bottom w:val="single" w:sz="4" w:space="0" w:color="auto"/>
              <w:right w:val="single" w:sz="4" w:space="0" w:color="auto"/>
            </w:tcBorders>
            <w:vAlign w:val="center"/>
          </w:tcPr>
          <w:p w14:paraId="092667AB" w14:textId="77777777" w:rsidR="005E000F" w:rsidRDefault="00000000">
            <w:pPr>
              <w:jc w:val="right"/>
              <w:rPr>
                <w:lang w:eastAsia="en-US"/>
              </w:rPr>
            </w:pPr>
            <w:r>
              <w:t>1,070,796,912</w:t>
            </w:r>
          </w:p>
        </w:tc>
        <w:tc>
          <w:tcPr>
            <w:tcW w:w="1594" w:type="dxa"/>
            <w:tcBorders>
              <w:top w:val="single" w:sz="4" w:space="0" w:color="auto"/>
              <w:left w:val="single" w:sz="4" w:space="0" w:color="auto"/>
              <w:bottom w:val="single" w:sz="4" w:space="0" w:color="auto"/>
              <w:right w:val="single" w:sz="4" w:space="0" w:color="auto"/>
            </w:tcBorders>
            <w:vAlign w:val="center"/>
          </w:tcPr>
          <w:p w14:paraId="2163B4B5" w14:textId="77777777" w:rsidR="005E000F" w:rsidRDefault="00000000">
            <w:pPr>
              <w:jc w:val="right"/>
            </w:pPr>
            <w:r>
              <w:t>550,885,239</w:t>
            </w:r>
          </w:p>
        </w:tc>
        <w:tc>
          <w:tcPr>
            <w:tcW w:w="1608" w:type="dxa"/>
            <w:tcBorders>
              <w:top w:val="single" w:sz="4" w:space="0" w:color="auto"/>
              <w:left w:val="single" w:sz="4" w:space="0" w:color="auto"/>
              <w:bottom w:val="single" w:sz="4" w:space="0" w:color="auto"/>
              <w:right w:val="single" w:sz="4" w:space="0" w:color="auto"/>
            </w:tcBorders>
            <w:vAlign w:val="center"/>
          </w:tcPr>
          <w:p w14:paraId="09185654" w14:textId="77777777" w:rsidR="005E000F" w:rsidRDefault="00000000">
            <w:pPr>
              <w:jc w:val="right"/>
            </w:pPr>
            <w:r>
              <w:t>595,942,612</w:t>
            </w:r>
          </w:p>
        </w:tc>
        <w:tc>
          <w:tcPr>
            <w:tcW w:w="1619" w:type="dxa"/>
            <w:tcBorders>
              <w:top w:val="single" w:sz="4" w:space="0" w:color="auto"/>
              <w:left w:val="single" w:sz="4" w:space="0" w:color="auto"/>
              <w:bottom w:val="single" w:sz="4" w:space="0" w:color="auto"/>
              <w:right w:val="single" w:sz="4" w:space="0" w:color="auto"/>
            </w:tcBorders>
            <w:vAlign w:val="center"/>
          </w:tcPr>
          <w:p w14:paraId="05B48E70" w14:textId="77777777" w:rsidR="005E000F" w:rsidRDefault="00000000">
            <w:pPr>
              <w:jc w:val="right"/>
            </w:pPr>
            <w:r>
              <w:t>1,025,739,539</w:t>
            </w:r>
          </w:p>
        </w:tc>
      </w:tr>
      <w:tr w:rsidR="005E000F" w14:paraId="729E85DE" w14:textId="77777777">
        <w:tc>
          <w:tcPr>
            <w:tcW w:w="2613" w:type="dxa"/>
            <w:tcBorders>
              <w:top w:val="single" w:sz="4" w:space="0" w:color="auto"/>
              <w:left w:val="single" w:sz="4" w:space="0" w:color="auto"/>
              <w:bottom w:val="single" w:sz="4" w:space="0" w:color="auto"/>
              <w:right w:val="single" w:sz="4" w:space="0" w:color="auto"/>
            </w:tcBorders>
            <w:vAlign w:val="center"/>
          </w:tcPr>
          <w:p w14:paraId="11236BE7" w14:textId="77777777" w:rsidR="005E000F" w:rsidRDefault="00000000">
            <w:r>
              <w:rPr>
                <w:rFonts w:hint="eastAsia"/>
              </w:rPr>
              <w:t>六、其他短期薪酬</w:t>
            </w:r>
          </w:p>
        </w:tc>
        <w:tc>
          <w:tcPr>
            <w:tcW w:w="1612" w:type="dxa"/>
            <w:tcBorders>
              <w:top w:val="single" w:sz="4" w:space="0" w:color="auto"/>
              <w:left w:val="single" w:sz="4" w:space="0" w:color="auto"/>
              <w:bottom w:val="single" w:sz="4" w:space="0" w:color="auto"/>
              <w:right w:val="single" w:sz="4" w:space="0" w:color="auto"/>
            </w:tcBorders>
            <w:vAlign w:val="center"/>
          </w:tcPr>
          <w:p w14:paraId="16EF4514" w14:textId="77777777" w:rsidR="005E000F" w:rsidRDefault="00000000">
            <w:pPr>
              <w:jc w:val="right"/>
              <w:rPr>
                <w:lang w:eastAsia="en-US"/>
              </w:rPr>
            </w:pPr>
            <w:r>
              <w:t>447,203</w:t>
            </w:r>
          </w:p>
        </w:tc>
        <w:tc>
          <w:tcPr>
            <w:tcW w:w="1594" w:type="dxa"/>
            <w:tcBorders>
              <w:top w:val="single" w:sz="4" w:space="0" w:color="auto"/>
              <w:left w:val="single" w:sz="4" w:space="0" w:color="auto"/>
              <w:bottom w:val="single" w:sz="4" w:space="0" w:color="auto"/>
              <w:right w:val="single" w:sz="4" w:space="0" w:color="auto"/>
            </w:tcBorders>
            <w:vAlign w:val="center"/>
          </w:tcPr>
          <w:p w14:paraId="7439C0AB" w14:textId="77777777" w:rsidR="005E000F" w:rsidRDefault="00000000">
            <w:pPr>
              <w:jc w:val="right"/>
            </w:pPr>
            <w:r>
              <w:t>15,727,220</w:t>
            </w:r>
          </w:p>
        </w:tc>
        <w:tc>
          <w:tcPr>
            <w:tcW w:w="1608" w:type="dxa"/>
            <w:tcBorders>
              <w:top w:val="single" w:sz="4" w:space="0" w:color="auto"/>
              <w:left w:val="single" w:sz="4" w:space="0" w:color="auto"/>
              <w:bottom w:val="single" w:sz="4" w:space="0" w:color="auto"/>
              <w:right w:val="single" w:sz="4" w:space="0" w:color="auto"/>
            </w:tcBorders>
            <w:vAlign w:val="center"/>
          </w:tcPr>
          <w:p w14:paraId="66A146FF" w14:textId="77777777" w:rsidR="005E000F" w:rsidRDefault="00000000">
            <w:pPr>
              <w:jc w:val="right"/>
            </w:pPr>
            <w:r>
              <w:t>14,385,249</w:t>
            </w:r>
          </w:p>
        </w:tc>
        <w:tc>
          <w:tcPr>
            <w:tcW w:w="1619" w:type="dxa"/>
            <w:tcBorders>
              <w:top w:val="single" w:sz="4" w:space="0" w:color="auto"/>
              <w:left w:val="single" w:sz="4" w:space="0" w:color="auto"/>
              <w:bottom w:val="single" w:sz="4" w:space="0" w:color="auto"/>
              <w:right w:val="single" w:sz="4" w:space="0" w:color="auto"/>
            </w:tcBorders>
            <w:vAlign w:val="center"/>
          </w:tcPr>
          <w:p w14:paraId="542D8D9C" w14:textId="77777777" w:rsidR="005E000F" w:rsidRDefault="00000000">
            <w:pPr>
              <w:jc w:val="right"/>
            </w:pPr>
            <w:r>
              <w:t>1,789,174</w:t>
            </w:r>
          </w:p>
        </w:tc>
      </w:tr>
      <w:tr w:rsidR="005E000F" w14:paraId="53B27D40" w14:textId="77777777">
        <w:tc>
          <w:tcPr>
            <w:tcW w:w="2613" w:type="dxa"/>
            <w:tcBorders>
              <w:top w:val="single" w:sz="4" w:space="0" w:color="auto"/>
              <w:left w:val="single" w:sz="4" w:space="0" w:color="auto"/>
              <w:bottom w:val="single" w:sz="4" w:space="0" w:color="auto"/>
              <w:right w:val="single" w:sz="4" w:space="0" w:color="auto"/>
            </w:tcBorders>
            <w:vAlign w:val="center"/>
          </w:tcPr>
          <w:p w14:paraId="46827A94" w14:textId="77777777" w:rsidR="005E000F" w:rsidRDefault="00000000">
            <w:pPr>
              <w:autoSpaceDE w:val="0"/>
              <w:autoSpaceDN w:val="0"/>
              <w:adjustRightInd w:val="0"/>
              <w:jc w:val="center"/>
            </w:pPr>
            <w:r>
              <w:rPr>
                <w:rFonts w:hint="eastAsia"/>
              </w:rPr>
              <w:t>合计</w:t>
            </w:r>
          </w:p>
        </w:tc>
        <w:tc>
          <w:tcPr>
            <w:tcW w:w="1612" w:type="dxa"/>
            <w:tcBorders>
              <w:top w:val="single" w:sz="4" w:space="0" w:color="auto"/>
              <w:left w:val="single" w:sz="4" w:space="0" w:color="auto"/>
              <w:bottom w:val="single" w:sz="4" w:space="0" w:color="auto"/>
              <w:right w:val="single" w:sz="4" w:space="0" w:color="auto"/>
            </w:tcBorders>
            <w:vAlign w:val="center"/>
          </w:tcPr>
          <w:p w14:paraId="16A54D05" w14:textId="77777777" w:rsidR="005E000F" w:rsidRDefault="00000000">
            <w:pPr>
              <w:jc w:val="right"/>
              <w:rPr>
                <w:lang w:eastAsia="en-US"/>
              </w:rPr>
            </w:pPr>
            <w:r>
              <w:t>1,709,712,071</w:t>
            </w:r>
          </w:p>
        </w:tc>
        <w:tc>
          <w:tcPr>
            <w:tcW w:w="1594" w:type="dxa"/>
            <w:tcBorders>
              <w:top w:val="single" w:sz="4" w:space="0" w:color="auto"/>
              <w:left w:val="single" w:sz="4" w:space="0" w:color="auto"/>
              <w:bottom w:val="single" w:sz="4" w:space="0" w:color="auto"/>
              <w:right w:val="single" w:sz="4" w:space="0" w:color="auto"/>
            </w:tcBorders>
            <w:vAlign w:val="center"/>
          </w:tcPr>
          <w:p w14:paraId="5E8876B5" w14:textId="77777777" w:rsidR="005E000F" w:rsidRDefault="00000000">
            <w:pPr>
              <w:jc w:val="right"/>
            </w:pPr>
            <w:r>
              <w:t>20,703,394,600</w:t>
            </w:r>
          </w:p>
        </w:tc>
        <w:tc>
          <w:tcPr>
            <w:tcW w:w="1608" w:type="dxa"/>
            <w:tcBorders>
              <w:top w:val="single" w:sz="4" w:space="0" w:color="auto"/>
              <w:left w:val="single" w:sz="4" w:space="0" w:color="auto"/>
              <w:bottom w:val="single" w:sz="4" w:space="0" w:color="auto"/>
              <w:right w:val="single" w:sz="4" w:space="0" w:color="auto"/>
            </w:tcBorders>
            <w:vAlign w:val="center"/>
          </w:tcPr>
          <w:p w14:paraId="343ED8F1" w14:textId="77777777" w:rsidR="005E000F" w:rsidRDefault="00000000">
            <w:pPr>
              <w:jc w:val="right"/>
            </w:pPr>
            <w:r>
              <w:t>20,532,936,966</w:t>
            </w:r>
          </w:p>
        </w:tc>
        <w:tc>
          <w:tcPr>
            <w:tcW w:w="1619" w:type="dxa"/>
            <w:tcBorders>
              <w:top w:val="single" w:sz="4" w:space="0" w:color="auto"/>
              <w:left w:val="single" w:sz="4" w:space="0" w:color="auto"/>
              <w:bottom w:val="single" w:sz="4" w:space="0" w:color="auto"/>
              <w:right w:val="single" w:sz="4" w:space="0" w:color="auto"/>
            </w:tcBorders>
            <w:vAlign w:val="center"/>
          </w:tcPr>
          <w:p w14:paraId="6A15718F" w14:textId="77777777" w:rsidR="005E000F" w:rsidRDefault="00000000">
            <w:pPr>
              <w:jc w:val="right"/>
            </w:pPr>
            <w:r>
              <w:t>1,880,169,705</w:t>
            </w:r>
          </w:p>
        </w:tc>
      </w:tr>
    </w:tbl>
    <w:p w14:paraId="017BD539" w14:textId="77777777" w:rsidR="005E000F" w:rsidRDefault="005E000F">
      <w:pPr>
        <w:rPr>
          <w:color w:val="000000" w:themeColor="text1"/>
        </w:rPr>
      </w:pPr>
    </w:p>
    <w:p w14:paraId="06AF9E70" w14:textId="77777777" w:rsidR="005E000F" w:rsidRDefault="00000000">
      <w:pPr>
        <w:pStyle w:val="4"/>
        <w:numPr>
          <w:ilvl w:val="0"/>
          <w:numId w:val="95"/>
        </w:numPr>
      </w:pPr>
      <w:r>
        <w:rPr>
          <w:rFonts w:hint="eastAsia"/>
        </w:rPr>
        <w:t>设定提存计划列示</w:t>
      </w:r>
    </w:p>
    <w:p w14:paraId="1A5DE10B" w14:textId="77777777" w:rsidR="005E000F" w:rsidRDefault="00000000">
      <w:sdt>
        <w:sdtPr>
          <w:alias w:val="是否适用：设定提存计划列示[双击切换]"/>
          <w:tag w:val="_GBC_b10b1dbaca2d418ba8658bab8f732ec8"/>
          <w:id w:val="-96324658"/>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1E8F2460" w14:textId="77777777" w:rsidR="005E000F" w:rsidRDefault="00000000">
      <w:pPr>
        <w:jc w:val="right"/>
      </w:pPr>
      <w:r>
        <w:rPr>
          <w:rFonts w:hint="eastAsia"/>
        </w:rPr>
        <w:t>单位：</w:t>
      </w:r>
      <w:sdt>
        <w:sdtPr>
          <w:rPr>
            <w:rFonts w:hint="eastAsia"/>
          </w:rPr>
          <w:alias w:val="单位：财务附注：设定提存计划列示"/>
          <w:tag w:val="_GBC_925094ba622346ba8857a40cf7e6f1b2"/>
          <w:id w:val="-12832621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设定提存计划列示"/>
          <w:tag w:val="_GBC_e3e3da384da84c8f92edb23d37c13690"/>
          <w:id w:val="9020224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1623"/>
        <w:gridCol w:w="1608"/>
        <w:gridCol w:w="1637"/>
        <w:gridCol w:w="1592"/>
      </w:tblGrid>
      <w:tr w:rsidR="005E000F" w14:paraId="79207B33" w14:textId="77777777">
        <w:sdt>
          <w:sdtPr>
            <w:tag w:val="_PLD_5a05fd1b5f8842ba9ae6094f6792dfbe"/>
            <w:id w:val="-1531483789"/>
          </w:sdtPr>
          <w:sdtContent>
            <w:tc>
              <w:tcPr>
                <w:tcW w:w="2586" w:type="dxa"/>
                <w:vAlign w:val="center"/>
              </w:tcPr>
              <w:p w14:paraId="747329A3" w14:textId="77777777" w:rsidR="005E000F" w:rsidRDefault="00000000">
                <w:pPr>
                  <w:jc w:val="center"/>
                </w:pPr>
                <w:r>
                  <w:rPr>
                    <w:rFonts w:hint="eastAsia"/>
                  </w:rPr>
                  <w:t>项目</w:t>
                </w:r>
              </w:p>
            </w:tc>
          </w:sdtContent>
        </w:sdt>
        <w:sdt>
          <w:sdtPr>
            <w:tag w:val="_PLD_fae7d76d85e4429d925f3d30ff27566f"/>
            <w:id w:val="-1345550082"/>
          </w:sdtPr>
          <w:sdtContent>
            <w:tc>
              <w:tcPr>
                <w:tcW w:w="1623" w:type="dxa"/>
                <w:vAlign w:val="center"/>
              </w:tcPr>
              <w:p w14:paraId="0111419A" w14:textId="77777777" w:rsidR="005E000F" w:rsidRDefault="00000000">
                <w:pPr>
                  <w:jc w:val="center"/>
                </w:pPr>
                <w:r>
                  <w:rPr>
                    <w:rFonts w:hint="eastAsia"/>
                  </w:rPr>
                  <w:t>期初余额</w:t>
                </w:r>
              </w:p>
            </w:tc>
          </w:sdtContent>
        </w:sdt>
        <w:sdt>
          <w:sdtPr>
            <w:tag w:val="_PLD_cd3c897871944aa0a1ea524d70e51704"/>
            <w:id w:val="-538125035"/>
          </w:sdtPr>
          <w:sdtContent>
            <w:tc>
              <w:tcPr>
                <w:tcW w:w="1608" w:type="dxa"/>
                <w:vAlign w:val="center"/>
              </w:tcPr>
              <w:p w14:paraId="0E0E51B1" w14:textId="77777777" w:rsidR="005E000F" w:rsidRDefault="00000000">
                <w:pPr>
                  <w:jc w:val="center"/>
                </w:pPr>
                <w:r>
                  <w:rPr>
                    <w:rFonts w:hint="eastAsia"/>
                  </w:rPr>
                  <w:t>本期增加</w:t>
                </w:r>
              </w:p>
            </w:tc>
          </w:sdtContent>
        </w:sdt>
        <w:sdt>
          <w:sdtPr>
            <w:tag w:val="_PLD_5ef10b06a3d24730bad93c45f119182f"/>
            <w:id w:val="-700700526"/>
          </w:sdtPr>
          <w:sdtContent>
            <w:tc>
              <w:tcPr>
                <w:tcW w:w="1637" w:type="dxa"/>
                <w:vAlign w:val="center"/>
              </w:tcPr>
              <w:p w14:paraId="5660B53D" w14:textId="77777777" w:rsidR="005E000F" w:rsidRDefault="00000000">
                <w:pPr>
                  <w:jc w:val="center"/>
                </w:pPr>
                <w:r>
                  <w:rPr>
                    <w:rFonts w:hint="eastAsia"/>
                  </w:rPr>
                  <w:t>本期减少</w:t>
                </w:r>
              </w:p>
            </w:tc>
          </w:sdtContent>
        </w:sdt>
        <w:sdt>
          <w:sdtPr>
            <w:tag w:val="_PLD_13d5e5df016d4921aa56218755dfb8f4"/>
            <w:id w:val="-1478304260"/>
          </w:sdtPr>
          <w:sdtContent>
            <w:tc>
              <w:tcPr>
                <w:tcW w:w="1592" w:type="dxa"/>
                <w:vAlign w:val="center"/>
              </w:tcPr>
              <w:p w14:paraId="5715C481" w14:textId="77777777" w:rsidR="005E000F" w:rsidRDefault="00000000">
                <w:pPr>
                  <w:jc w:val="center"/>
                </w:pPr>
                <w:r>
                  <w:rPr>
                    <w:rFonts w:hint="eastAsia"/>
                  </w:rPr>
                  <w:t>期末余额</w:t>
                </w:r>
              </w:p>
            </w:tc>
          </w:sdtContent>
        </w:sdt>
      </w:tr>
      <w:tr w:rsidR="005E000F" w14:paraId="49219CE7" w14:textId="77777777">
        <w:tc>
          <w:tcPr>
            <w:tcW w:w="2586" w:type="dxa"/>
            <w:vAlign w:val="center"/>
          </w:tcPr>
          <w:p w14:paraId="6E235AC5" w14:textId="77777777" w:rsidR="005E000F" w:rsidRDefault="00000000">
            <w:r>
              <w:rPr>
                <w:rFonts w:hint="eastAsia"/>
              </w:rPr>
              <w:t>1</w:t>
            </w:r>
            <w:r>
              <w:rPr>
                <w:rFonts w:hint="eastAsia"/>
              </w:rPr>
              <w:t>、基本养老保险</w:t>
            </w:r>
          </w:p>
        </w:tc>
        <w:tc>
          <w:tcPr>
            <w:tcW w:w="1623" w:type="dxa"/>
          </w:tcPr>
          <w:p w14:paraId="5D5E3286" w14:textId="77777777" w:rsidR="005E000F" w:rsidRDefault="00000000">
            <w:pPr>
              <w:jc w:val="right"/>
              <w:rPr>
                <w:lang w:eastAsia="en-US"/>
              </w:rPr>
            </w:pPr>
            <w:r>
              <w:t>84,648</w:t>
            </w:r>
          </w:p>
        </w:tc>
        <w:tc>
          <w:tcPr>
            <w:tcW w:w="1608" w:type="dxa"/>
            <w:vAlign w:val="center"/>
          </w:tcPr>
          <w:p w14:paraId="01C51B5F" w14:textId="77777777" w:rsidR="005E000F" w:rsidRDefault="00000000">
            <w:pPr>
              <w:jc w:val="right"/>
            </w:pPr>
            <w:r>
              <w:t>2,291,952,547</w:t>
            </w:r>
          </w:p>
        </w:tc>
        <w:tc>
          <w:tcPr>
            <w:tcW w:w="1637" w:type="dxa"/>
            <w:vAlign w:val="center"/>
          </w:tcPr>
          <w:p w14:paraId="01B7B314" w14:textId="77777777" w:rsidR="005E000F" w:rsidRDefault="00000000">
            <w:pPr>
              <w:jc w:val="right"/>
            </w:pPr>
            <w:r>
              <w:t>2,292,005,689</w:t>
            </w:r>
          </w:p>
        </w:tc>
        <w:tc>
          <w:tcPr>
            <w:tcW w:w="1592" w:type="dxa"/>
            <w:vAlign w:val="center"/>
          </w:tcPr>
          <w:p w14:paraId="7F5DB625" w14:textId="77777777" w:rsidR="005E000F" w:rsidRDefault="00000000">
            <w:pPr>
              <w:jc w:val="right"/>
            </w:pPr>
            <w:r>
              <w:t>31,506</w:t>
            </w:r>
          </w:p>
        </w:tc>
      </w:tr>
      <w:tr w:rsidR="005E000F" w14:paraId="3005D974" w14:textId="77777777">
        <w:tc>
          <w:tcPr>
            <w:tcW w:w="2586" w:type="dxa"/>
            <w:vAlign w:val="center"/>
          </w:tcPr>
          <w:p w14:paraId="298D18AB" w14:textId="77777777" w:rsidR="005E000F" w:rsidRDefault="00000000">
            <w:r>
              <w:rPr>
                <w:rFonts w:hint="eastAsia"/>
              </w:rPr>
              <w:t>2</w:t>
            </w:r>
            <w:r>
              <w:rPr>
                <w:rFonts w:hint="eastAsia"/>
              </w:rPr>
              <w:t>、失业保险费</w:t>
            </w:r>
          </w:p>
        </w:tc>
        <w:tc>
          <w:tcPr>
            <w:tcW w:w="1623" w:type="dxa"/>
          </w:tcPr>
          <w:p w14:paraId="24F82E4A" w14:textId="77777777" w:rsidR="005E000F" w:rsidRDefault="00000000">
            <w:pPr>
              <w:jc w:val="right"/>
              <w:rPr>
                <w:lang w:eastAsia="en-US"/>
              </w:rPr>
            </w:pPr>
            <w:r>
              <w:t>150,782</w:t>
            </w:r>
          </w:p>
        </w:tc>
        <w:tc>
          <w:tcPr>
            <w:tcW w:w="1608" w:type="dxa"/>
            <w:vAlign w:val="center"/>
          </w:tcPr>
          <w:p w14:paraId="6014A260" w14:textId="77777777" w:rsidR="005E000F" w:rsidRDefault="00000000">
            <w:pPr>
              <w:jc w:val="right"/>
            </w:pPr>
            <w:r>
              <w:t>100,314,478</w:t>
            </w:r>
          </w:p>
        </w:tc>
        <w:tc>
          <w:tcPr>
            <w:tcW w:w="1637" w:type="dxa"/>
            <w:vAlign w:val="center"/>
          </w:tcPr>
          <w:p w14:paraId="12A62062" w14:textId="77777777" w:rsidR="005E000F" w:rsidRDefault="00000000">
            <w:pPr>
              <w:jc w:val="right"/>
            </w:pPr>
            <w:r>
              <w:t>100,237,874</w:t>
            </w:r>
          </w:p>
        </w:tc>
        <w:tc>
          <w:tcPr>
            <w:tcW w:w="1592" w:type="dxa"/>
            <w:vAlign w:val="center"/>
          </w:tcPr>
          <w:p w14:paraId="0A350B79" w14:textId="77777777" w:rsidR="005E000F" w:rsidRDefault="00000000">
            <w:pPr>
              <w:jc w:val="right"/>
            </w:pPr>
            <w:r>
              <w:t>227,386</w:t>
            </w:r>
          </w:p>
        </w:tc>
      </w:tr>
      <w:tr w:rsidR="005E000F" w14:paraId="211E012D" w14:textId="77777777">
        <w:tc>
          <w:tcPr>
            <w:tcW w:w="2586" w:type="dxa"/>
            <w:vAlign w:val="center"/>
          </w:tcPr>
          <w:p w14:paraId="6B740F54" w14:textId="77777777" w:rsidR="005E000F" w:rsidRDefault="00000000">
            <w:r>
              <w:rPr>
                <w:rFonts w:hint="eastAsia"/>
              </w:rPr>
              <w:t>3</w:t>
            </w:r>
            <w:r>
              <w:rPr>
                <w:rFonts w:hint="eastAsia"/>
              </w:rPr>
              <w:t>、企业年金缴费</w:t>
            </w:r>
          </w:p>
        </w:tc>
        <w:tc>
          <w:tcPr>
            <w:tcW w:w="1623" w:type="dxa"/>
          </w:tcPr>
          <w:p w14:paraId="5E7D01B3" w14:textId="77777777" w:rsidR="005E000F" w:rsidRDefault="00000000">
            <w:pPr>
              <w:jc w:val="right"/>
              <w:rPr>
                <w:lang w:eastAsia="en-US"/>
              </w:rPr>
            </w:pPr>
            <w:r>
              <w:t>0</w:t>
            </w:r>
          </w:p>
        </w:tc>
        <w:tc>
          <w:tcPr>
            <w:tcW w:w="1608" w:type="dxa"/>
            <w:vAlign w:val="center"/>
          </w:tcPr>
          <w:p w14:paraId="7CB7175A" w14:textId="77777777" w:rsidR="005E000F" w:rsidRDefault="00000000">
            <w:pPr>
              <w:jc w:val="right"/>
            </w:pPr>
            <w:r>
              <w:t>1,130,317,493</w:t>
            </w:r>
          </w:p>
        </w:tc>
        <w:tc>
          <w:tcPr>
            <w:tcW w:w="1637" w:type="dxa"/>
            <w:vAlign w:val="center"/>
          </w:tcPr>
          <w:p w14:paraId="1707C40B" w14:textId="77777777" w:rsidR="005E000F" w:rsidRDefault="00000000">
            <w:pPr>
              <w:jc w:val="right"/>
            </w:pPr>
            <w:r>
              <w:t>1,130,317,493</w:t>
            </w:r>
          </w:p>
        </w:tc>
        <w:tc>
          <w:tcPr>
            <w:tcW w:w="1592" w:type="dxa"/>
            <w:vAlign w:val="center"/>
          </w:tcPr>
          <w:p w14:paraId="1FF8A6A6" w14:textId="77777777" w:rsidR="005E000F" w:rsidRDefault="00000000">
            <w:pPr>
              <w:jc w:val="right"/>
            </w:pPr>
            <w:r>
              <w:rPr>
                <w:rFonts w:hint="eastAsia"/>
              </w:rPr>
              <w:t>0</w:t>
            </w:r>
          </w:p>
        </w:tc>
      </w:tr>
      <w:tr w:rsidR="005E000F" w14:paraId="4F0F157E" w14:textId="77777777">
        <w:tc>
          <w:tcPr>
            <w:tcW w:w="2586" w:type="dxa"/>
            <w:vAlign w:val="center"/>
          </w:tcPr>
          <w:p w14:paraId="171FF125" w14:textId="77777777" w:rsidR="005E000F" w:rsidRDefault="00000000">
            <w:pPr>
              <w:jc w:val="center"/>
            </w:pPr>
            <w:r>
              <w:rPr>
                <w:rFonts w:hint="eastAsia"/>
              </w:rPr>
              <w:t>合计</w:t>
            </w:r>
          </w:p>
        </w:tc>
        <w:tc>
          <w:tcPr>
            <w:tcW w:w="1623" w:type="dxa"/>
            <w:vAlign w:val="center"/>
          </w:tcPr>
          <w:p w14:paraId="3F72CB18" w14:textId="77777777" w:rsidR="005E000F" w:rsidRDefault="00000000">
            <w:pPr>
              <w:jc w:val="right"/>
            </w:pPr>
            <w:r>
              <w:rPr>
                <w:sz w:val="20"/>
              </w:rPr>
              <w:t>235,430</w:t>
            </w:r>
          </w:p>
        </w:tc>
        <w:tc>
          <w:tcPr>
            <w:tcW w:w="1608" w:type="dxa"/>
            <w:vAlign w:val="center"/>
          </w:tcPr>
          <w:p w14:paraId="31E62977" w14:textId="77777777" w:rsidR="005E000F" w:rsidRDefault="00000000">
            <w:pPr>
              <w:jc w:val="right"/>
            </w:pPr>
            <w:r>
              <w:t>3,522,584,518</w:t>
            </w:r>
          </w:p>
        </w:tc>
        <w:tc>
          <w:tcPr>
            <w:tcW w:w="1637" w:type="dxa"/>
            <w:vAlign w:val="center"/>
          </w:tcPr>
          <w:p w14:paraId="65D19A96" w14:textId="77777777" w:rsidR="005E000F" w:rsidRDefault="00000000">
            <w:pPr>
              <w:jc w:val="right"/>
            </w:pPr>
            <w:r>
              <w:t>3,522,561,056</w:t>
            </w:r>
          </w:p>
        </w:tc>
        <w:tc>
          <w:tcPr>
            <w:tcW w:w="1592" w:type="dxa"/>
            <w:vAlign w:val="center"/>
          </w:tcPr>
          <w:p w14:paraId="35245CF6" w14:textId="77777777" w:rsidR="005E000F" w:rsidRDefault="00000000">
            <w:pPr>
              <w:jc w:val="right"/>
            </w:pPr>
            <w:r>
              <w:t>258,892</w:t>
            </w:r>
          </w:p>
        </w:tc>
      </w:tr>
    </w:tbl>
    <w:p w14:paraId="10B87198" w14:textId="77777777" w:rsidR="005E000F" w:rsidRDefault="005E000F">
      <w:pPr>
        <w:autoSpaceDE w:val="0"/>
        <w:autoSpaceDN w:val="0"/>
        <w:adjustRightInd w:val="0"/>
      </w:pPr>
    </w:p>
    <w:p w14:paraId="0EEAA080" w14:textId="77777777" w:rsidR="005E000F" w:rsidRDefault="00000000">
      <w:pPr>
        <w:autoSpaceDE w:val="0"/>
        <w:autoSpaceDN w:val="0"/>
        <w:adjustRightInd w:val="0"/>
      </w:pPr>
      <w:r>
        <w:rPr>
          <w:rFonts w:hint="eastAsia"/>
        </w:rPr>
        <w:t>其他说明：</w:t>
      </w:r>
    </w:p>
    <w:sdt>
      <w:sdtPr>
        <w:alias w:val="是否适用：应付职工薪酬的说明[双击切换]"/>
        <w:tag w:val="_GBC_140070104764414eae4680364e4d0b62"/>
        <w:id w:val="1802491397"/>
        <w:placeholder>
          <w:docPart w:val="GBC22222222222222222222222222222"/>
        </w:placeholder>
      </w:sdtPr>
      <w:sdtContent>
        <w:p w14:paraId="5A1BFE87" w14:textId="77777777" w:rsidR="005E000F" w:rsidRDefault="00000000">
          <w:pPr>
            <w:autoSpaceDE w:val="0"/>
            <w:autoSpaceDN w:val="0"/>
            <w:adjustRightInd w:val="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F006B70" w14:textId="77777777" w:rsidR="005E000F" w:rsidRDefault="005E000F">
      <w:pPr>
        <w:autoSpaceDE w:val="0"/>
        <w:autoSpaceDN w:val="0"/>
        <w:adjustRightInd w:val="0"/>
      </w:pPr>
    </w:p>
    <w:p w14:paraId="4E26A531"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342549800"/>
        <w:placeholder>
          <w:docPart w:val="GBC22222222222222222222222222222"/>
        </w:placeholder>
      </w:sdtPr>
      <w:sdtContent>
        <w:p w14:paraId="3B9C2C3B"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159AEB2" w14:textId="77777777" w:rsidR="005E000F" w:rsidRDefault="00000000">
      <w:pPr>
        <w:jc w:val="right"/>
      </w:pPr>
      <w:r>
        <w:rPr>
          <w:rFonts w:hint="eastAsia"/>
        </w:rPr>
        <w:t>单位：</w:t>
      </w:r>
      <w:sdt>
        <w:sdtPr>
          <w:rPr>
            <w:rFonts w:hint="eastAsia"/>
          </w:rPr>
          <w:alias w:val="单位：财务附注：应交税费"/>
          <w:tag w:val="_GBC_9fe49c1b8a984180ae11c305f9fe5484"/>
          <w:id w:val="4633163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应交税费"/>
          <w:tag w:val="_GBC_aefdac676d8d4584b84883b8a3980e21"/>
          <w:id w:val="-2042497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1"/>
        <w:gridCol w:w="3006"/>
        <w:gridCol w:w="3011"/>
      </w:tblGrid>
      <w:tr w:rsidR="005E000F" w14:paraId="073854C0" w14:textId="77777777">
        <w:trPr>
          <w:cantSplit/>
        </w:trPr>
        <w:sdt>
          <w:sdtPr>
            <w:tag w:val="_PLD_6c8ac0907441450eac644085301d6804"/>
            <w:id w:val="1358854343"/>
          </w:sdtPr>
          <w:sdtContent>
            <w:tc>
              <w:tcPr>
                <w:tcW w:w="3031" w:type="dxa"/>
                <w:vAlign w:val="center"/>
              </w:tcPr>
              <w:p w14:paraId="188FC5A6" w14:textId="77777777" w:rsidR="005E000F" w:rsidRDefault="00000000">
                <w:pPr>
                  <w:ind w:right="105"/>
                  <w:jc w:val="center"/>
                </w:pPr>
                <w:r>
                  <w:rPr>
                    <w:rFonts w:hint="eastAsia"/>
                  </w:rPr>
                  <w:t>项目</w:t>
                </w:r>
              </w:p>
            </w:tc>
          </w:sdtContent>
        </w:sdt>
        <w:sdt>
          <w:sdtPr>
            <w:tag w:val="_PLD_8dab1e5e153c4b93a2d18673e1365591"/>
            <w:id w:val="-891959893"/>
          </w:sdtPr>
          <w:sdtContent>
            <w:tc>
              <w:tcPr>
                <w:tcW w:w="3006" w:type="dxa"/>
                <w:vAlign w:val="center"/>
              </w:tcPr>
              <w:p w14:paraId="5E9E22D5" w14:textId="77777777" w:rsidR="005E000F" w:rsidRDefault="00000000">
                <w:pPr>
                  <w:jc w:val="center"/>
                </w:pPr>
                <w:r>
                  <w:rPr>
                    <w:rFonts w:hint="eastAsia"/>
                  </w:rPr>
                  <w:t>期末余额</w:t>
                </w:r>
              </w:p>
            </w:tc>
          </w:sdtContent>
        </w:sdt>
        <w:sdt>
          <w:sdtPr>
            <w:tag w:val="_PLD_9793c5ba001a43cb914658d949d3dcec"/>
            <w:id w:val="-1575507146"/>
          </w:sdtPr>
          <w:sdtContent>
            <w:tc>
              <w:tcPr>
                <w:tcW w:w="3011" w:type="dxa"/>
                <w:vAlign w:val="center"/>
              </w:tcPr>
              <w:p w14:paraId="73AB21B0" w14:textId="77777777" w:rsidR="005E000F" w:rsidRDefault="00000000">
                <w:pPr>
                  <w:jc w:val="center"/>
                </w:pPr>
                <w:r>
                  <w:rPr>
                    <w:rFonts w:hint="eastAsia"/>
                  </w:rPr>
                  <w:t>期初余额</w:t>
                </w:r>
              </w:p>
            </w:tc>
          </w:sdtContent>
        </w:sdt>
      </w:tr>
      <w:tr w:rsidR="005E000F" w14:paraId="663FEBF6" w14:textId="77777777">
        <w:trPr>
          <w:cantSplit/>
        </w:trPr>
        <w:tc>
          <w:tcPr>
            <w:tcW w:w="3031" w:type="dxa"/>
            <w:vAlign w:val="center"/>
          </w:tcPr>
          <w:p w14:paraId="17180E50" w14:textId="77777777" w:rsidR="005E000F" w:rsidRDefault="00000000">
            <w:pPr>
              <w:ind w:right="105"/>
            </w:pPr>
            <w:r>
              <w:rPr>
                <w:rFonts w:hint="eastAsia"/>
              </w:rPr>
              <w:t>增值税</w:t>
            </w:r>
          </w:p>
        </w:tc>
        <w:tc>
          <w:tcPr>
            <w:tcW w:w="3006" w:type="dxa"/>
            <w:vAlign w:val="center"/>
          </w:tcPr>
          <w:p w14:paraId="10E9CE42" w14:textId="77777777" w:rsidR="005E000F" w:rsidRDefault="00000000">
            <w:pPr>
              <w:jc w:val="right"/>
            </w:pPr>
            <w:r>
              <w:t>173,286,136</w:t>
            </w:r>
          </w:p>
        </w:tc>
        <w:tc>
          <w:tcPr>
            <w:tcW w:w="3011" w:type="dxa"/>
            <w:vAlign w:val="center"/>
          </w:tcPr>
          <w:p w14:paraId="749A807B" w14:textId="77777777" w:rsidR="005E000F" w:rsidRDefault="00000000">
            <w:pPr>
              <w:jc w:val="right"/>
            </w:pPr>
            <w:r>
              <w:t>165,460,856</w:t>
            </w:r>
          </w:p>
        </w:tc>
      </w:tr>
      <w:tr w:rsidR="005E000F" w14:paraId="6702DBA1" w14:textId="77777777">
        <w:trPr>
          <w:cantSplit/>
        </w:trPr>
        <w:tc>
          <w:tcPr>
            <w:tcW w:w="3031" w:type="dxa"/>
            <w:vAlign w:val="center"/>
          </w:tcPr>
          <w:p w14:paraId="3D4C312E" w14:textId="77777777" w:rsidR="005E000F" w:rsidRDefault="00000000">
            <w:pPr>
              <w:ind w:right="105"/>
            </w:pPr>
            <w:r>
              <w:rPr>
                <w:rFonts w:hint="eastAsia"/>
              </w:rPr>
              <w:t>企业所得税</w:t>
            </w:r>
          </w:p>
        </w:tc>
        <w:tc>
          <w:tcPr>
            <w:tcW w:w="3006" w:type="dxa"/>
            <w:vAlign w:val="center"/>
          </w:tcPr>
          <w:p w14:paraId="2F07925F" w14:textId="77777777" w:rsidR="005E000F" w:rsidRDefault="00000000">
            <w:pPr>
              <w:jc w:val="right"/>
            </w:pPr>
            <w:r>
              <w:t>121,394,225</w:t>
            </w:r>
          </w:p>
        </w:tc>
        <w:tc>
          <w:tcPr>
            <w:tcW w:w="3011" w:type="dxa"/>
            <w:vAlign w:val="center"/>
          </w:tcPr>
          <w:p w14:paraId="50870620" w14:textId="77777777" w:rsidR="005E000F" w:rsidRDefault="00000000">
            <w:pPr>
              <w:jc w:val="right"/>
            </w:pPr>
            <w:r>
              <w:t>400,994,063</w:t>
            </w:r>
          </w:p>
        </w:tc>
      </w:tr>
      <w:tr w:rsidR="005E000F" w14:paraId="019946D1" w14:textId="77777777">
        <w:trPr>
          <w:cantSplit/>
        </w:trPr>
        <w:tc>
          <w:tcPr>
            <w:tcW w:w="3031" w:type="dxa"/>
            <w:vAlign w:val="center"/>
          </w:tcPr>
          <w:p w14:paraId="73B09FCE" w14:textId="77777777" w:rsidR="005E000F" w:rsidRDefault="00000000">
            <w:pPr>
              <w:ind w:right="105"/>
            </w:pPr>
            <w:r>
              <w:rPr>
                <w:rFonts w:hint="eastAsia"/>
              </w:rPr>
              <w:t>个人所得税</w:t>
            </w:r>
          </w:p>
        </w:tc>
        <w:tc>
          <w:tcPr>
            <w:tcW w:w="3006" w:type="dxa"/>
            <w:vAlign w:val="center"/>
          </w:tcPr>
          <w:p w14:paraId="59EF8663" w14:textId="77777777" w:rsidR="005E000F" w:rsidRDefault="00000000">
            <w:pPr>
              <w:jc w:val="right"/>
            </w:pPr>
            <w:r>
              <w:t>63,360,414</w:t>
            </w:r>
          </w:p>
        </w:tc>
        <w:tc>
          <w:tcPr>
            <w:tcW w:w="3011" w:type="dxa"/>
            <w:vAlign w:val="center"/>
          </w:tcPr>
          <w:p w14:paraId="55037B2D" w14:textId="77777777" w:rsidR="005E000F" w:rsidRDefault="00000000">
            <w:pPr>
              <w:jc w:val="right"/>
            </w:pPr>
            <w:r>
              <w:t>85,151,934</w:t>
            </w:r>
          </w:p>
        </w:tc>
      </w:tr>
      <w:tr w:rsidR="005E000F" w14:paraId="78B2341F" w14:textId="77777777">
        <w:trPr>
          <w:cantSplit/>
        </w:trPr>
        <w:tc>
          <w:tcPr>
            <w:tcW w:w="3031" w:type="dxa"/>
            <w:vAlign w:val="center"/>
          </w:tcPr>
          <w:p w14:paraId="703E6EC1" w14:textId="77777777" w:rsidR="005E000F" w:rsidRDefault="00000000">
            <w:pPr>
              <w:ind w:right="105"/>
            </w:pPr>
            <w:r>
              <w:rPr>
                <w:rFonts w:hint="eastAsia"/>
              </w:rPr>
              <w:t>城市维护建设税</w:t>
            </w:r>
          </w:p>
        </w:tc>
        <w:tc>
          <w:tcPr>
            <w:tcW w:w="3006" w:type="dxa"/>
            <w:vAlign w:val="center"/>
          </w:tcPr>
          <w:p w14:paraId="262BD01C" w14:textId="77777777" w:rsidR="005E000F" w:rsidRDefault="00000000">
            <w:pPr>
              <w:jc w:val="right"/>
            </w:pPr>
            <w:r>
              <w:t>15,247,471</w:t>
            </w:r>
          </w:p>
        </w:tc>
        <w:tc>
          <w:tcPr>
            <w:tcW w:w="3011" w:type="dxa"/>
            <w:vAlign w:val="center"/>
          </w:tcPr>
          <w:p w14:paraId="79DB9A0F" w14:textId="77777777" w:rsidR="005E000F" w:rsidRDefault="00000000">
            <w:pPr>
              <w:jc w:val="right"/>
            </w:pPr>
            <w:r>
              <w:t>14,625,834</w:t>
            </w:r>
          </w:p>
        </w:tc>
      </w:tr>
      <w:tr w:rsidR="005E000F" w14:paraId="552B361B" w14:textId="77777777">
        <w:trPr>
          <w:cantSplit/>
        </w:trPr>
        <w:tc>
          <w:tcPr>
            <w:tcW w:w="3031" w:type="dxa"/>
            <w:vAlign w:val="center"/>
          </w:tcPr>
          <w:p w14:paraId="67868112" w14:textId="77777777" w:rsidR="005E000F" w:rsidRDefault="00000000">
            <w:pPr>
              <w:ind w:right="105"/>
            </w:pPr>
            <w:r>
              <w:rPr>
                <w:rFonts w:hint="eastAsia"/>
              </w:rPr>
              <w:t>教育费附加</w:t>
            </w:r>
          </w:p>
        </w:tc>
        <w:tc>
          <w:tcPr>
            <w:tcW w:w="3006" w:type="dxa"/>
            <w:vAlign w:val="center"/>
          </w:tcPr>
          <w:p w14:paraId="2E127A77" w14:textId="77777777" w:rsidR="005E000F" w:rsidRDefault="00000000">
            <w:pPr>
              <w:jc w:val="right"/>
            </w:pPr>
            <w:r>
              <w:t>9,396,764</w:t>
            </w:r>
          </w:p>
        </w:tc>
        <w:tc>
          <w:tcPr>
            <w:tcW w:w="3011" w:type="dxa"/>
            <w:vAlign w:val="center"/>
          </w:tcPr>
          <w:p w14:paraId="15F0E26D" w14:textId="77777777" w:rsidR="005E000F" w:rsidRDefault="00000000">
            <w:pPr>
              <w:tabs>
                <w:tab w:val="left" w:pos="2085"/>
              </w:tabs>
              <w:jc w:val="right"/>
            </w:pPr>
            <w:r>
              <w:rPr>
                <w:rFonts w:hint="eastAsia"/>
              </w:rPr>
              <w:t>8,874,583</w:t>
            </w:r>
          </w:p>
        </w:tc>
      </w:tr>
      <w:tr w:rsidR="005E000F" w14:paraId="4B2125CE" w14:textId="77777777">
        <w:trPr>
          <w:cantSplit/>
        </w:trPr>
        <w:tc>
          <w:tcPr>
            <w:tcW w:w="3031" w:type="dxa"/>
            <w:vAlign w:val="center"/>
          </w:tcPr>
          <w:p w14:paraId="75C780B9" w14:textId="77777777" w:rsidR="005E000F" w:rsidRDefault="00000000">
            <w:pPr>
              <w:tabs>
                <w:tab w:val="left" w:pos="2085"/>
              </w:tabs>
            </w:pPr>
            <w:r>
              <w:rPr>
                <w:rFonts w:hint="eastAsia"/>
              </w:rPr>
              <w:t>契税</w:t>
            </w:r>
          </w:p>
        </w:tc>
        <w:tc>
          <w:tcPr>
            <w:tcW w:w="3006" w:type="dxa"/>
            <w:vAlign w:val="center"/>
          </w:tcPr>
          <w:p w14:paraId="01A22E06" w14:textId="77777777" w:rsidR="005E000F" w:rsidRDefault="00000000">
            <w:pPr>
              <w:tabs>
                <w:tab w:val="left" w:pos="2085"/>
              </w:tabs>
              <w:jc w:val="right"/>
            </w:pPr>
            <w:r>
              <w:rPr>
                <w:rFonts w:hint="eastAsia"/>
              </w:rPr>
              <w:t>707,337,793</w:t>
            </w:r>
          </w:p>
        </w:tc>
        <w:tc>
          <w:tcPr>
            <w:tcW w:w="3011" w:type="dxa"/>
            <w:vAlign w:val="center"/>
          </w:tcPr>
          <w:p w14:paraId="45CC568C" w14:textId="77777777" w:rsidR="005E000F" w:rsidRDefault="00000000">
            <w:pPr>
              <w:tabs>
                <w:tab w:val="left" w:pos="2085"/>
              </w:tabs>
              <w:jc w:val="right"/>
            </w:pPr>
            <w:r>
              <w:rPr>
                <w:rFonts w:hint="eastAsia"/>
              </w:rPr>
              <w:t>0</w:t>
            </w:r>
          </w:p>
        </w:tc>
      </w:tr>
      <w:tr w:rsidR="005E000F" w14:paraId="4F8D0DF3" w14:textId="77777777">
        <w:trPr>
          <w:cantSplit/>
        </w:trPr>
        <w:tc>
          <w:tcPr>
            <w:tcW w:w="3031" w:type="dxa"/>
            <w:vAlign w:val="center"/>
          </w:tcPr>
          <w:p w14:paraId="51B4392F" w14:textId="77777777" w:rsidR="005E000F" w:rsidRDefault="00000000">
            <w:pPr>
              <w:tabs>
                <w:tab w:val="left" w:pos="2085"/>
              </w:tabs>
            </w:pPr>
            <w:r>
              <w:rPr>
                <w:rFonts w:hint="eastAsia"/>
              </w:rPr>
              <w:t>其他</w:t>
            </w:r>
          </w:p>
        </w:tc>
        <w:tc>
          <w:tcPr>
            <w:tcW w:w="3006" w:type="dxa"/>
            <w:vAlign w:val="center"/>
          </w:tcPr>
          <w:p w14:paraId="0A02A8C1" w14:textId="77777777" w:rsidR="005E000F" w:rsidRDefault="00000000">
            <w:pPr>
              <w:tabs>
                <w:tab w:val="left" w:pos="2085"/>
              </w:tabs>
              <w:jc w:val="right"/>
            </w:pPr>
            <w:r>
              <w:rPr>
                <w:rFonts w:hint="eastAsia"/>
              </w:rPr>
              <w:t>14,510,212</w:t>
            </w:r>
          </w:p>
        </w:tc>
        <w:tc>
          <w:tcPr>
            <w:tcW w:w="3011" w:type="dxa"/>
            <w:vAlign w:val="center"/>
          </w:tcPr>
          <w:p w14:paraId="23109E13" w14:textId="77777777" w:rsidR="005E000F" w:rsidRDefault="00000000">
            <w:pPr>
              <w:jc w:val="right"/>
            </w:pPr>
            <w:r>
              <w:rPr>
                <w:rFonts w:hint="eastAsia"/>
              </w:rPr>
              <w:t>14,748,389</w:t>
            </w:r>
          </w:p>
        </w:tc>
      </w:tr>
      <w:tr w:rsidR="005E000F" w14:paraId="63C3AE8C" w14:textId="77777777">
        <w:trPr>
          <w:cantSplit/>
        </w:trPr>
        <w:tc>
          <w:tcPr>
            <w:tcW w:w="3031" w:type="dxa"/>
            <w:vAlign w:val="center"/>
          </w:tcPr>
          <w:p w14:paraId="715D1551" w14:textId="77777777" w:rsidR="005E000F" w:rsidRDefault="00000000">
            <w:pPr>
              <w:ind w:right="105"/>
              <w:jc w:val="center"/>
            </w:pPr>
            <w:r>
              <w:rPr>
                <w:rFonts w:hint="eastAsia"/>
              </w:rPr>
              <w:t>合计</w:t>
            </w:r>
          </w:p>
        </w:tc>
        <w:tc>
          <w:tcPr>
            <w:tcW w:w="3006" w:type="dxa"/>
            <w:vAlign w:val="center"/>
          </w:tcPr>
          <w:p w14:paraId="1B07AFCD" w14:textId="77777777" w:rsidR="005E000F" w:rsidRDefault="00000000">
            <w:pPr>
              <w:jc w:val="right"/>
            </w:pPr>
            <w:r>
              <w:t>1,104,533,015</w:t>
            </w:r>
          </w:p>
        </w:tc>
        <w:tc>
          <w:tcPr>
            <w:tcW w:w="3011" w:type="dxa"/>
            <w:vAlign w:val="center"/>
          </w:tcPr>
          <w:p w14:paraId="10F00A31" w14:textId="77777777" w:rsidR="005E000F" w:rsidRDefault="00000000">
            <w:pPr>
              <w:jc w:val="right"/>
            </w:pPr>
            <w:r>
              <w:rPr>
                <w:rFonts w:hint="eastAsia"/>
              </w:rPr>
              <w:t>689,855,659</w:t>
            </w:r>
          </w:p>
        </w:tc>
      </w:tr>
    </w:tbl>
    <w:p w14:paraId="650C2C44" w14:textId="77777777" w:rsidR="005E000F" w:rsidRDefault="00000000">
      <w:r>
        <w:rPr>
          <w:rFonts w:hint="eastAsia"/>
        </w:rPr>
        <w:t>其他说明：</w:t>
      </w:r>
    </w:p>
    <w:sdt>
      <w:sdtPr>
        <w:alias w:val="应交税金的说明"/>
        <w:tag w:val="_GBC_e365cc8f407645ca84ccf91263d3cc28"/>
        <w:id w:val="-1413847103"/>
        <w:placeholder>
          <w:docPart w:val="GBC22222222222222222222222222222"/>
        </w:placeholder>
      </w:sdtPr>
      <w:sdtContent>
        <w:sdt>
          <w:sdtPr>
            <w:rPr>
              <w:color w:val="000000" w:themeColor="text1"/>
            </w:rPr>
            <w:alias w:val="应交税金的说明"/>
            <w:tag w:val="_GBC_fb59f8f9de2d41c3aaf0dc3b0970dd91"/>
            <w:id w:val="1472634003"/>
            <w:placeholder>
              <w:docPart w:val="{1aa4ebd5-1c4d-41bc-8f15-6debc8b4d6ea}"/>
            </w:placeholder>
          </w:sdtPr>
          <w:sdtContent>
            <w:p w14:paraId="1F0B0CC3" w14:textId="77777777" w:rsidR="005E000F" w:rsidRDefault="00000000">
              <w:pPr>
                <w:rPr>
                  <w:color w:val="000000" w:themeColor="text1"/>
                </w:rPr>
              </w:pPr>
              <w:r>
                <w:rPr>
                  <w:rFonts w:hint="eastAsia"/>
                  <w:color w:val="000000" w:themeColor="text1"/>
                </w:rPr>
                <w:t>注：根据铁</w:t>
              </w:r>
              <w:proofErr w:type="gramStart"/>
              <w:r>
                <w:rPr>
                  <w:rFonts w:hint="eastAsia"/>
                  <w:color w:val="000000" w:themeColor="text1"/>
                </w:rPr>
                <w:t>总财函</w:t>
              </w:r>
              <w:proofErr w:type="gramEnd"/>
              <w:r>
                <w:rPr>
                  <w:rFonts w:hint="eastAsia"/>
                  <w:color w:val="000000" w:themeColor="text1"/>
                </w:rPr>
                <w:t>【</w:t>
              </w:r>
              <w:r>
                <w:rPr>
                  <w:rFonts w:hint="eastAsia"/>
                  <w:color w:val="000000" w:themeColor="text1"/>
                </w:rPr>
                <w:t>2014</w:t>
              </w:r>
              <w:r>
                <w:rPr>
                  <w:rFonts w:hint="eastAsia"/>
                  <w:color w:val="000000" w:themeColor="text1"/>
                </w:rPr>
                <w:t>】</w:t>
              </w:r>
              <w:r>
                <w:rPr>
                  <w:rFonts w:hint="eastAsia"/>
                  <w:color w:val="000000" w:themeColor="text1"/>
                </w:rPr>
                <w:t>255</w:t>
              </w:r>
              <w:r>
                <w:rPr>
                  <w:rFonts w:hint="eastAsia"/>
                  <w:color w:val="000000" w:themeColor="text1"/>
                </w:rPr>
                <w:t>号文的相关规定，铁路运输业于</w:t>
              </w:r>
              <w:r>
                <w:rPr>
                  <w:rFonts w:hint="eastAsia"/>
                  <w:color w:val="000000" w:themeColor="text1"/>
                </w:rPr>
                <w:t>2014</w:t>
              </w:r>
              <w:r>
                <w:rPr>
                  <w:rFonts w:hint="eastAsia"/>
                  <w:color w:val="000000" w:themeColor="text1"/>
                </w:rPr>
                <w:t>年</w:t>
              </w:r>
              <w:r>
                <w:rPr>
                  <w:rFonts w:hint="eastAsia"/>
                  <w:color w:val="000000" w:themeColor="text1"/>
                </w:rPr>
                <w:t>1</w:t>
              </w:r>
              <w:r>
                <w:rPr>
                  <w:rFonts w:hint="eastAsia"/>
                  <w:color w:val="000000" w:themeColor="text1"/>
                </w:rPr>
                <w:t>月</w:t>
              </w:r>
              <w:r>
                <w:rPr>
                  <w:rFonts w:hint="eastAsia"/>
                  <w:color w:val="000000" w:themeColor="text1"/>
                </w:rPr>
                <w:t>1</w:t>
              </w:r>
              <w:r>
                <w:rPr>
                  <w:rFonts w:hint="eastAsia"/>
                  <w:color w:val="000000" w:themeColor="text1"/>
                </w:rPr>
                <w:t>日起在全国范围内纳入营业税改征增值税试点。各铁路局、专业运输公司、股改企业和控股合资公司（运输企业）及其所属基层单位（含站段、货运中心、分公司等）统一由国铁集团汇总缴纳增值税及其附加税。汇总缴纳的业务范围为提供铁路运输服务和与铁路运输相关的物流辅助服务。其他增值税应税行为按照增值税相关规定属地缴纳。</w:t>
              </w:r>
            </w:p>
          </w:sdtContent>
        </w:sdt>
      </w:sdtContent>
    </w:sdt>
    <w:p w14:paraId="05F56970" w14:textId="77777777" w:rsidR="005E000F" w:rsidRDefault="005E000F"/>
    <w:p w14:paraId="32DAA3F0" w14:textId="77777777" w:rsidR="005E000F" w:rsidRDefault="00000000">
      <w:pPr>
        <w:pStyle w:val="3"/>
        <w:numPr>
          <w:ilvl w:val="0"/>
          <w:numId w:val="66"/>
        </w:numPr>
        <w:tabs>
          <w:tab w:val="left" w:pos="504"/>
        </w:tabs>
        <w:rPr>
          <w:szCs w:val="21"/>
        </w:rPr>
      </w:pPr>
      <w:r>
        <w:rPr>
          <w:rFonts w:hint="eastAsia"/>
          <w:szCs w:val="21"/>
        </w:rPr>
        <w:t>其他应付款</w:t>
      </w:r>
    </w:p>
    <w:p w14:paraId="08CFF526" w14:textId="77777777" w:rsidR="005E000F" w:rsidRDefault="00000000">
      <w:pPr>
        <w:pStyle w:val="4"/>
        <w:numPr>
          <w:ilvl w:val="0"/>
          <w:numId w:val="96"/>
        </w:numPr>
      </w:pPr>
      <w:bookmarkStart w:id="367" w:name="_Hlk532910042"/>
      <w:r>
        <w:rPr>
          <w:rFonts w:hint="eastAsia"/>
        </w:rPr>
        <w:t>项目列示</w:t>
      </w:r>
    </w:p>
    <w:sdt>
      <w:sdtPr>
        <w:alias w:val="是否适用：其他应付款分类列示[双击切换]"/>
        <w:tag w:val="_GBC_66f20e30acfe43c3b4edf860d086ad10"/>
        <w:id w:val="-1203088666"/>
        <w:placeholder>
          <w:docPart w:val="GBC22222222222222222222222222222"/>
        </w:placeholder>
      </w:sdtPr>
      <w:sdtContent>
        <w:p w14:paraId="2CFC66CE"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A00C8EC" w14:textId="77777777" w:rsidR="005E000F" w:rsidRDefault="00000000">
      <w:pPr>
        <w:jc w:val="right"/>
      </w:pPr>
      <w:r>
        <w:rPr>
          <w:rFonts w:hint="eastAsia"/>
        </w:rPr>
        <w:t>单位：</w:t>
      </w:r>
      <w:sdt>
        <w:sdtPr>
          <w:rPr>
            <w:rFonts w:hint="eastAsia"/>
          </w:rPr>
          <w:alias w:val="单位：其他应付款分类列示"/>
          <w:tag w:val="_GBC_1d2c755c7a60470390b86f677f589d52"/>
          <w:id w:val="-189511629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其他应付款分类列示"/>
          <w:tag w:val="_GBC_54becc5fdf374134a56007701ad1c4e0"/>
          <w:id w:val="484253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2863"/>
        <w:gridCol w:w="2877"/>
      </w:tblGrid>
      <w:tr w:rsidR="005E000F" w14:paraId="25DF5A02" w14:textId="77777777">
        <w:sdt>
          <w:sdtPr>
            <w:tag w:val="_PLD_5b32323c48c441e4832da1fe28654990"/>
            <w:id w:val="1871726643"/>
          </w:sdtPr>
          <w:sdtContent>
            <w:tc>
              <w:tcPr>
                <w:tcW w:w="3308" w:type="dxa"/>
                <w:vAlign w:val="center"/>
              </w:tcPr>
              <w:p w14:paraId="3B28E8A4" w14:textId="77777777" w:rsidR="005E000F" w:rsidRDefault="00000000">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427fe40919c945eaada0e2529b497787"/>
            <w:id w:val="773127271"/>
          </w:sdtPr>
          <w:sdtContent>
            <w:tc>
              <w:tcPr>
                <w:tcW w:w="2863" w:type="dxa"/>
                <w:vAlign w:val="center"/>
              </w:tcPr>
              <w:p w14:paraId="2B71AC6D" w14:textId="77777777" w:rsidR="005E000F" w:rsidRDefault="00000000">
                <w:pPr>
                  <w:jc w:val="center"/>
                </w:pPr>
                <w:r>
                  <w:rPr>
                    <w:rFonts w:hint="eastAsia"/>
                  </w:rPr>
                  <w:t>期末余额</w:t>
                </w:r>
              </w:p>
            </w:tc>
          </w:sdtContent>
        </w:sdt>
        <w:sdt>
          <w:sdtPr>
            <w:tag w:val="_PLD_963dd0fff1a644319fa667127e37c635"/>
            <w:id w:val="1772513007"/>
          </w:sdtPr>
          <w:sdtContent>
            <w:tc>
              <w:tcPr>
                <w:tcW w:w="2877" w:type="dxa"/>
                <w:vAlign w:val="center"/>
              </w:tcPr>
              <w:p w14:paraId="42F0AB10" w14:textId="77777777" w:rsidR="005E000F" w:rsidRDefault="00000000">
                <w:pPr>
                  <w:jc w:val="center"/>
                </w:pPr>
                <w:r>
                  <w:rPr>
                    <w:rFonts w:hint="eastAsia"/>
                  </w:rPr>
                  <w:t>期初余额</w:t>
                </w:r>
              </w:p>
            </w:tc>
          </w:sdtContent>
        </w:sdt>
      </w:tr>
      <w:tr w:rsidR="005E000F" w14:paraId="20319D2A" w14:textId="77777777">
        <w:tc>
          <w:tcPr>
            <w:tcW w:w="3308" w:type="dxa"/>
            <w:vAlign w:val="center"/>
          </w:tcPr>
          <w:p w14:paraId="048CC65D" w14:textId="77777777" w:rsidR="005E000F" w:rsidRDefault="00000000">
            <w:pPr>
              <w:tabs>
                <w:tab w:val="right" w:pos="3690"/>
                <w:tab w:val="right" w:pos="5130"/>
                <w:tab w:val="right" w:pos="6030"/>
                <w:tab w:val="right" w:pos="7650"/>
                <w:tab w:val="right" w:pos="9270"/>
              </w:tabs>
              <w:adjustRightInd w:val="0"/>
              <w:snapToGrid w:val="0"/>
            </w:pPr>
            <w:r>
              <w:rPr>
                <w:rFonts w:hint="eastAsia"/>
              </w:rPr>
              <w:t>应付股利</w:t>
            </w:r>
          </w:p>
        </w:tc>
        <w:tc>
          <w:tcPr>
            <w:tcW w:w="2863" w:type="dxa"/>
            <w:vAlign w:val="center"/>
          </w:tcPr>
          <w:p w14:paraId="27A283C7" w14:textId="77777777" w:rsidR="005E000F" w:rsidRDefault="00000000">
            <w:pPr>
              <w:tabs>
                <w:tab w:val="right" w:pos="3690"/>
                <w:tab w:val="right" w:pos="5130"/>
                <w:tab w:val="right" w:pos="6030"/>
                <w:tab w:val="right" w:pos="7650"/>
                <w:tab w:val="right" w:pos="9270"/>
              </w:tabs>
              <w:adjustRightInd w:val="0"/>
              <w:snapToGrid w:val="0"/>
              <w:jc w:val="right"/>
            </w:pPr>
            <w:r>
              <w:t>95,876,561</w:t>
            </w:r>
          </w:p>
        </w:tc>
        <w:tc>
          <w:tcPr>
            <w:tcW w:w="2877" w:type="dxa"/>
            <w:vAlign w:val="center"/>
          </w:tcPr>
          <w:p w14:paraId="20A6204B" w14:textId="77777777" w:rsidR="005E000F" w:rsidRDefault="00000000">
            <w:pPr>
              <w:tabs>
                <w:tab w:val="right" w:pos="3690"/>
                <w:tab w:val="right" w:pos="5130"/>
                <w:tab w:val="right" w:pos="6030"/>
                <w:tab w:val="right" w:pos="7650"/>
                <w:tab w:val="right" w:pos="9270"/>
              </w:tabs>
              <w:adjustRightInd w:val="0"/>
              <w:snapToGrid w:val="0"/>
              <w:jc w:val="right"/>
            </w:pPr>
            <w:r>
              <w:t>121,207,654</w:t>
            </w:r>
          </w:p>
        </w:tc>
      </w:tr>
      <w:tr w:rsidR="005E000F" w14:paraId="71F18BFC" w14:textId="77777777">
        <w:tc>
          <w:tcPr>
            <w:tcW w:w="3308" w:type="dxa"/>
            <w:vAlign w:val="center"/>
          </w:tcPr>
          <w:p w14:paraId="2A67056A" w14:textId="77777777" w:rsidR="005E000F" w:rsidRDefault="00000000">
            <w:pPr>
              <w:tabs>
                <w:tab w:val="right" w:pos="3690"/>
                <w:tab w:val="right" w:pos="5130"/>
                <w:tab w:val="right" w:pos="6030"/>
                <w:tab w:val="right" w:pos="7650"/>
                <w:tab w:val="right" w:pos="9270"/>
              </w:tabs>
              <w:adjustRightInd w:val="0"/>
              <w:snapToGrid w:val="0"/>
            </w:pPr>
            <w:r>
              <w:rPr>
                <w:rFonts w:hint="eastAsia"/>
              </w:rPr>
              <w:t>其他应付款</w:t>
            </w:r>
          </w:p>
        </w:tc>
        <w:tc>
          <w:tcPr>
            <w:tcW w:w="2863" w:type="dxa"/>
            <w:vAlign w:val="center"/>
          </w:tcPr>
          <w:p w14:paraId="4D476CFA" w14:textId="77777777" w:rsidR="005E000F" w:rsidRDefault="00000000">
            <w:pPr>
              <w:tabs>
                <w:tab w:val="right" w:pos="3690"/>
                <w:tab w:val="right" w:pos="5130"/>
                <w:tab w:val="right" w:pos="6030"/>
                <w:tab w:val="right" w:pos="7650"/>
                <w:tab w:val="right" w:pos="9270"/>
              </w:tabs>
              <w:adjustRightInd w:val="0"/>
              <w:snapToGrid w:val="0"/>
              <w:jc w:val="right"/>
            </w:pPr>
            <w:r>
              <w:t>4,365,746,882</w:t>
            </w:r>
          </w:p>
        </w:tc>
        <w:tc>
          <w:tcPr>
            <w:tcW w:w="2877" w:type="dxa"/>
            <w:vAlign w:val="center"/>
          </w:tcPr>
          <w:p w14:paraId="482C98DF" w14:textId="77777777" w:rsidR="005E000F" w:rsidRDefault="00000000">
            <w:pPr>
              <w:tabs>
                <w:tab w:val="right" w:pos="3690"/>
                <w:tab w:val="right" w:pos="5130"/>
                <w:tab w:val="right" w:pos="6030"/>
                <w:tab w:val="right" w:pos="7650"/>
                <w:tab w:val="right" w:pos="9270"/>
              </w:tabs>
              <w:adjustRightInd w:val="0"/>
              <w:snapToGrid w:val="0"/>
              <w:jc w:val="right"/>
            </w:pPr>
            <w:r>
              <w:t>4,017,543,238</w:t>
            </w:r>
          </w:p>
        </w:tc>
      </w:tr>
      <w:tr w:rsidR="005E000F" w14:paraId="02E0E338" w14:textId="77777777">
        <w:tc>
          <w:tcPr>
            <w:tcW w:w="3308" w:type="dxa"/>
            <w:vAlign w:val="center"/>
          </w:tcPr>
          <w:p w14:paraId="5A942EBE" w14:textId="77777777" w:rsidR="005E000F" w:rsidRDefault="00000000">
            <w:pPr>
              <w:tabs>
                <w:tab w:val="right" w:pos="3690"/>
                <w:tab w:val="right" w:pos="5130"/>
                <w:tab w:val="right" w:pos="6030"/>
                <w:tab w:val="right" w:pos="7650"/>
                <w:tab w:val="right" w:pos="9270"/>
              </w:tabs>
              <w:adjustRightInd w:val="0"/>
              <w:snapToGrid w:val="0"/>
            </w:pPr>
            <w:r>
              <w:rPr>
                <w:rFonts w:hint="eastAsia"/>
              </w:rPr>
              <w:t>合计</w:t>
            </w:r>
          </w:p>
        </w:tc>
        <w:tc>
          <w:tcPr>
            <w:tcW w:w="2863" w:type="dxa"/>
            <w:vAlign w:val="center"/>
          </w:tcPr>
          <w:p w14:paraId="01D213F5" w14:textId="77777777" w:rsidR="005E000F" w:rsidRDefault="00000000">
            <w:pPr>
              <w:tabs>
                <w:tab w:val="right" w:pos="3690"/>
                <w:tab w:val="right" w:pos="5130"/>
                <w:tab w:val="right" w:pos="6030"/>
                <w:tab w:val="right" w:pos="7650"/>
                <w:tab w:val="right" w:pos="9270"/>
              </w:tabs>
              <w:adjustRightInd w:val="0"/>
              <w:snapToGrid w:val="0"/>
              <w:jc w:val="right"/>
            </w:pPr>
            <w:r>
              <w:t>4,461,623,443</w:t>
            </w:r>
          </w:p>
        </w:tc>
        <w:tc>
          <w:tcPr>
            <w:tcW w:w="2877" w:type="dxa"/>
            <w:vAlign w:val="center"/>
          </w:tcPr>
          <w:p w14:paraId="735444D0" w14:textId="77777777" w:rsidR="005E000F" w:rsidRDefault="00000000">
            <w:pPr>
              <w:tabs>
                <w:tab w:val="right" w:pos="3690"/>
                <w:tab w:val="right" w:pos="5130"/>
                <w:tab w:val="right" w:pos="6030"/>
                <w:tab w:val="right" w:pos="7650"/>
                <w:tab w:val="right" w:pos="9270"/>
              </w:tabs>
              <w:adjustRightInd w:val="0"/>
              <w:snapToGrid w:val="0"/>
              <w:jc w:val="right"/>
            </w:pPr>
            <w:r>
              <w:t>4,138,750,892</w:t>
            </w:r>
          </w:p>
        </w:tc>
      </w:tr>
    </w:tbl>
    <w:p w14:paraId="087984EF" w14:textId="77777777" w:rsidR="005E000F" w:rsidRDefault="005E000F"/>
    <w:p w14:paraId="38ED7109" w14:textId="77777777" w:rsidR="005E000F" w:rsidRDefault="00000000">
      <w:bookmarkStart w:id="368" w:name="_Hlk155097683"/>
      <w:r>
        <w:rPr>
          <w:rFonts w:hint="eastAsia"/>
        </w:rPr>
        <w:t>其他说明：</w:t>
      </w:r>
    </w:p>
    <w:sdt>
      <w:sdtPr>
        <w:alias w:val="是否适用：其他应付款分类列示其他说明[双击切换]"/>
        <w:tag w:val="_GBC_9cfb2316deee44a8a3605ab376f15408"/>
        <w:id w:val="1117334841"/>
        <w:placeholder>
          <w:docPart w:val="GBC22222222222222222222222222222"/>
        </w:placeholder>
      </w:sdtPr>
      <w:sdtContent>
        <w:p w14:paraId="0816373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74FD738" w14:textId="77777777" w:rsidR="005E000F" w:rsidRDefault="005E000F"/>
    <w:p w14:paraId="2D0074AF" w14:textId="77777777" w:rsidR="005E000F" w:rsidRDefault="00000000">
      <w:pPr>
        <w:pStyle w:val="4"/>
        <w:numPr>
          <w:ilvl w:val="0"/>
          <w:numId w:val="96"/>
        </w:numPr>
        <w:rPr>
          <w:rFonts w:ascii="宋体" w:eastAsia="宋体" w:hAnsi="宋体" w:cs="宋体"/>
          <w:kern w:val="0"/>
          <w:szCs w:val="24"/>
        </w:rPr>
      </w:pPr>
      <w:r>
        <w:rPr>
          <w:rFonts w:ascii="宋体" w:eastAsia="宋体" w:hAnsi="宋体" w:cs="宋体" w:hint="eastAsia"/>
          <w:kern w:val="0"/>
          <w:szCs w:val="24"/>
        </w:rPr>
        <w:t>应付利息</w:t>
      </w:r>
    </w:p>
    <w:p w14:paraId="0589224A" w14:textId="77777777" w:rsidR="005E000F" w:rsidRDefault="00000000">
      <w:r>
        <w:rPr>
          <w:rFonts w:hint="eastAsia"/>
        </w:rPr>
        <w:t>分类列示</w:t>
      </w:r>
    </w:p>
    <w:sdt>
      <w:sdtPr>
        <w:alias w:val="是否适用：应付利息[双击切换]"/>
        <w:tag w:val="_GBC_563016e83d32408f90ee8ae140b7dccd"/>
        <w:id w:val="199060884"/>
        <w:placeholder>
          <w:docPart w:val="GBC22222222222222222222222222222"/>
        </w:placeholder>
      </w:sdtPr>
      <w:sdtContent>
        <w:p w14:paraId="78F513A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CFFABEE" w14:textId="77777777" w:rsidR="005E000F" w:rsidRDefault="005E000F"/>
    <w:p w14:paraId="2773C791" w14:textId="77777777" w:rsidR="005E000F" w:rsidRDefault="00000000">
      <w:r>
        <w:rPr>
          <w:rFonts w:hint="eastAsia"/>
        </w:rPr>
        <w:t>逾期的重要应付利息：</w:t>
      </w:r>
    </w:p>
    <w:sdt>
      <w:sdtPr>
        <w:alias w:val="是否适用：重要的已逾期未支付的利息情况[双击切换]"/>
        <w:tag w:val="_GBC_e97342df449a4b51897b93180a76915c"/>
        <w:id w:val="619499787"/>
        <w:placeholder>
          <w:docPart w:val="GBC22222222222222222222222222222"/>
        </w:placeholder>
      </w:sdtPr>
      <w:sdtContent>
        <w:p w14:paraId="1FBBD42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3C5B049" w14:textId="77777777" w:rsidR="005E000F" w:rsidRDefault="005E000F"/>
    <w:p w14:paraId="5208A022" w14:textId="77777777" w:rsidR="005E000F" w:rsidRDefault="00000000">
      <w:pPr>
        <w:spacing w:before="60" w:after="60"/>
      </w:pPr>
      <w:r>
        <w:rPr>
          <w:rFonts w:hint="eastAsia"/>
        </w:rPr>
        <w:t>其他说明：</w:t>
      </w:r>
    </w:p>
    <w:sdt>
      <w:sdtPr>
        <w:alias w:val="是否适用：应付利息说明[双击切换]"/>
        <w:tag w:val="_GBC_8e7eb675343843e89996290865d02478"/>
        <w:id w:val="-1998638783"/>
        <w:placeholder>
          <w:docPart w:val="GBC22222222222222222222222222222"/>
        </w:placeholder>
      </w:sdtPr>
      <w:sdtContent>
        <w:p w14:paraId="2FF41A5C" w14:textId="77777777" w:rsidR="005E000F" w:rsidRDefault="00000000">
          <w:pPr>
            <w:spacing w:before="60" w:after="6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2A40560" w14:textId="77777777" w:rsidR="005E000F" w:rsidRDefault="005E000F"/>
    <w:p w14:paraId="296F186E" w14:textId="77777777" w:rsidR="005E000F" w:rsidRDefault="00000000">
      <w:pPr>
        <w:pStyle w:val="4"/>
        <w:numPr>
          <w:ilvl w:val="0"/>
          <w:numId w:val="96"/>
        </w:numPr>
        <w:rPr>
          <w:rFonts w:ascii="宋体" w:eastAsia="宋体" w:hAnsi="宋体" w:cs="宋体"/>
          <w:kern w:val="0"/>
          <w:szCs w:val="24"/>
        </w:rPr>
      </w:pPr>
      <w:r>
        <w:rPr>
          <w:rFonts w:ascii="宋体" w:eastAsia="宋体" w:hAnsi="宋体" w:cs="宋体" w:hint="eastAsia"/>
          <w:kern w:val="0"/>
          <w:szCs w:val="24"/>
        </w:rPr>
        <w:t>应付股利</w:t>
      </w:r>
    </w:p>
    <w:p w14:paraId="260904A9" w14:textId="77777777" w:rsidR="005E000F" w:rsidRDefault="00000000">
      <w:r>
        <w:rPr>
          <w:rFonts w:hint="eastAsia"/>
        </w:rPr>
        <w:t>分类列示</w:t>
      </w:r>
    </w:p>
    <w:sdt>
      <w:sdtPr>
        <w:alias w:val="是否适用：应付股利[双击切换]"/>
        <w:tag w:val="_GBC_b5ae3881f6d849679d4053b7e1707366"/>
        <w:id w:val="1198745358"/>
        <w:placeholder>
          <w:docPart w:val="GBC22222222222222222222222222222"/>
        </w:placeholder>
      </w:sdtPr>
      <w:sdtContent>
        <w:p w14:paraId="430492E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185452C" w14:textId="77777777" w:rsidR="005E000F" w:rsidRDefault="00000000">
      <w:pPr>
        <w:jc w:val="right"/>
      </w:pPr>
      <w:r>
        <w:rPr>
          <w:rFonts w:hint="eastAsia"/>
        </w:rPr>
        <w:t>单位：</w:t>
      </w:r>
      <w:sdt>
        <w:sdtPr>
          <w:rPr>
            <w:rFonts w:hint="eastAsia"/>
          </w:rPr>
          <w:alias w:val="单位：财务附注：应付股利"/>
          <w:tag w:val="_GBC_746e24ac62424d15a96488b86eb826bf"/>
          <w:id w:val="-3229712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应付股利"/>
          <w:tag w:val="_GBC_c18d5382c5f94daeb6547452b4d37f05"/>
          <w:id w:val="-19412848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4A0" w:firstRow="1" w:lastRow="0" w:firstColumn="1" w:lastColumn="0" w:noHBand="0" w:noVBand="1"/>
      </w:tblPr>
      <w:tblGrid>
        <w:gridCol w:w="2858"/>
        <w:gridCol w:w="3017"/>
        <w:gridCol w:w="3018"/>
      </w:tblGrid>
      <w:tr w:rsidR="005E000F" w14:paraId="1D895E6D" w14:textId="77777777">
        <w:trPr>
          <w:cantSplit/>
        </w:trPr>
        <w:sdt>
          <w:sdtPr>
            <w:tag w:val="_PLD_88e24e44527e4710873d9194ba96a0df"/>
            <w:id w:val="-700327992"/>
          </w:sdtPr>
          <w:sdtContent>
            <w:tc>
              <w:tcPr>
                <w:tcW w:w="2858" w:type="dxa"/>
                <w:vAlign w:val="center"/>
              </w:tcPr>
              <w:p w14:paraId="10BB6FDF" w14:textId="77777777" w:rsidR="005E000F" w:rsidRDefault="00000000">
                <w:pPr>
                  <w:ind w:right="105"/>
                  <w:jc w:val="center"/>
                </w:pPr>
                <w:r>
                  <w:rPr>
                    <w:rFonts w:hint="eastAsia"/>
                  </w:rPr>
                  <w:t>项目</w:t>
                </w:r>
              </w:p>
            </w:tc>
          </w:sdtContent>
        </w:sdt>
        <w:sdt>
          <w:sdtPr>
            <w:tag w:val="_PLD_af903224d39d4058972c7eba8a903356"/>
            <w:id w:val="-1965112818"/>
          </w:sdtPr>
          <w:sdtContent>
            <w:tc>
              <w:tcPr>
                <w:tcW w:w="3017" w:type="dxa"/>
                <w:vAlign w:val="center"/>
              </w:tcPr>
              <w:p w14:paraId="01BF6B0C" w14:textId="77777777" w:rsidR="005E000F" w:rsidRDefault="00000000">
                <w:pPr>
                  <w:jc w:val="center"/>
                </w:pPr>
                <w:r>
                  <w:rPr>
                    <w:rFonts w:hint="eastAsia"/>
                  </w:rPr>
                  <w:t>期末余额</w:t>
                </w:r>
              </w:p>
            </w:tc>
          </w:sdtContent>
        </w:sdt>
        <w:sdt>
          <w:sdtPr>
            <w:tag w:val="_PLD_11459cf9081a4b309da14403cad71071"/>
            <w:id w:val="-174423164"/>
          </w:sdtPr>
          <w:sdtContent>
            <w:tc>
              <w:tcPr>
                <w:tcW w:w="3018" w:type="dxa"/>
                <w:vAlign w:val="center"/>
              </w:tcPr>
              <w:p w14:paraId="277A6535" w14:textId="77777777" w:rsidR="005E000F" w:rsidRDefault="00000000">
                <w:pPr>
                  <w:jc w:val="center"/>
                </w:pPr>
                <w:r>
                  <w:rPr>
                    <w:rFonts w:hint="eastAsia"/>
                  </w:rPr>
                  <w:t>期初余额</w:t>
                </w:r>
              </w:p>
            </w:tc>
          </w:sdtContent>
        </w:sdt>
      </w:tr>
      <w:tr w:rsidR="005E000F" w14:paraId="11374E6C" w14:textId="77777777">
        <w:trPr>
          <w:cantSplit/>
        </w:trPr>
        <w:tc>
          <w:tcPr>
            <w:tcW w:w="2858" w:type="dxa"/>
            <w:vAlign w:val="center"/>
          </w:tcPr>
          <w:p w14:paraId="39F8409B" w14:textId="77777777" w:rsidR="005E000F" w:rsidRDefault="00000000">
            <w:r>
              <w:t>子公司应付其少数股东</w:t>
            </w:r>
          </w:p>
        </w:tc>
        <w:tc>
          <w:tcPr>
            <w:tcW w:w="3017" w:type="dxa"/>
            <w:vAlign w:val="center"/>
          </w:tcPr>
          <w:p w14:paraId="03D35F51" w14:textId="77777777" w:rsidR="005E000F" w:rsidRDefault="00000000">
            <w:pPr>
              <w:ind w:right="73"/>
              <w:jc w:val="right"/>
            </w:pPr>
            <w:r>
              <w:t>95,876,561</w:t>
            </w:r>
          </w:p>
        </w:tc>
        <w:tc>
          <w:tcPr>
            <w:tcW w:w="3018" w:type="dxa"/>
            <w:vAlign w:val="center"/>
          </w:tcPr>
          <w:p w14:paraId="5EFC5435" w14:textId="77777777" w:rsidR="005E000F" w:rsidRDefault="00000000">
            <w:pPr>
              <w:ind w:right="73"/>
              <w:jc w:val="right"/>
            </w:pPr>
            <w:r>
              <w:t>121,207,654</w:t>
            </w:r>
          </w:p>
        </w:tc>
      </w:tr>
      <w:tr w:rsidR="005E000F" w14:paraId="62A6F6F8" w14:textId="77777777">
        <w:trPr>
          <w:cantSplit/>
        </w:trPr>
        <w:tc>
          <w:tcPr>
            <w:tcW w:w="2858" w:type="dxa"/>
            <w:vAlign w:val="center"/>
          </w:tcPr>
          <w:p w14:paraId="11C83E8F" w14:textId="77777777" w:rsidR="005E000F" w:rsidRDefault="00000000">
            <w:pPr>
              <w:ind w:right="105"/>
              <w:jc w:val="center"/>
              <w:rPr>
                <w:color w:val="000000" w:themeColor="text1"/>
              </w:rPr>
            </w:pPr>
            <w:r>
              <w:rPr>
                <w:rFonts w:hint="eastAsia"/>
                <w:color w:val="000000" w:themeColor="text1"/>
              </w:rPr>
              <w:t>合计</w:t>
            </w:r>
          </w:p>
        </w:tc>
        <w:tc>
          <w:tcPr>
            <w:tcW w:w="3017" w:type="dxa"/>
            <w:vAlign w:val="center"/>
          </w:tcPr>
          <w:p w14:paraId="4A14A5B4" w14:textId="77777777" w:rsidR="005E000F" w:rsidRDefault="00000000">
            <w:pPr>
              <w:ind w:right="73"/>
              <w:jc w:val="right"/>
            </w:pPr>
            <w:r>
              <w:t>95,876,561</w:t>
            </w:r>
          </w:p>
        </w:tc>
        <w:tc>
          <w:tcPr>
            <w:tcW w:w="3018" w:type="dxa"/>
            <w:vAlign w:val="center"/>
          </w:tcPr>
          <w:p w14:paraId="1525B53F" w14:textId="77777777" w:rsidR="005E000F" w:rsidRDefault="00000000">
            <w:pPr>
              <w:ind w:right="73"/>
              <w:jc w:val="right"/>
            </w:pPr>
            <w:r>
              <w:t>121,207,654</w:t>
            </w:r>
          </w:p>
        </w:tc>
      </w:tr>
    </w:tbl>
    <w:p w14:paraId="3A5D7411" w14:textId="77777777" w:rsidR="005E000F" w:rsidRDefault="00000000">
      <w:pPr>
        <w:snapToGrid w:val="0"/>
      </w:pPr>
      <w:r>
        <w:rPr>
          <w:rFonts w:hint="eastAsia"/>
        </w:rPr>
        <w:t>其他说明，包括重要的超过</w:t>
      </w:r>
      <w:r>
        <w:t>1</w:t>
      </w:r>
      <w:r>
        <w:t>年未支付的应付股利，应披露未支付原因：</w:t>
      </w:r>
    </w:p>
    <w:p w14:paraId="2E3A8033" w14:textId="77777777" w:rsidR="005E000F" w:rsidRDefault="00000000">
      <w:pPr>
        <w:snapToGrid w:val="0"/>
      </w:pPr>
      <w:sdt>
        <w:sdtPr>
          <w:alias w:val="应付股利的说明"/>
          <w:tag w:val="_GBC_9ce4b2e8b2314e3ab29de5513773410c"/>
          <w:id w:val="-1235394496"/>
          <w:placeholder>
            <w:docPart w:val="GBC22222222222222222222222222222"/>
          </w:placeholder>
        </w:sdtPr>
        <w:sdtContent>
          <w:r>
            <w:rPr>
              <w:rFonts w:hint="eastAsia"/>
            </w:rPr>
            <w:t>无</w:t>
          </w:r>
        </w:sdtContent>
      </w:sdt>
    </w:p>
    <w:p w14:paraId="1554FE12" w14:textId="77777777" w:rsidR="005E000F" w:rsidRDefault="005E000F">
      <w:pPr>
        <w:snapToGrid w:val="0"/>
      </w:pPr>
    </w:p>
    <w:p w14:paraId="78A3AE56" w14:textId="77777777" w:rsidR="005E000F" w:rsidRDefault="00000000">
      <w:pPr>
        <w:pStyle w:val="4"/>
        <w:numPr>
          <w:ilvl w:val="0"/>
          <w:numId w:val="96"/>
        </w:numPr>
        <w:rPr>
          <w:rFonts w:ascii="宋体" w:eastAsia="宋体" w:hAnsi="宋体" w:cs="宋体"/>
          <w:kern w:val="0"/>
          <w:szCs w:val="24"/>
        </w:rPr>
      </w:pPr>
      <w:r>
        <w:rPr>
          <w:rFonts w:ascii="宋体" w:eastAsia="宋体" w:hAnsi="宋体" w:cs="宋体" w:hint="eastAsia"/>
          <w:kern w:val="0"/>
          <w:szCs w:val="24"/>
        </w:rPr>
        <w:t>其他应付款</w:t>
      </w:r>
    </w:p>
    <w:p w14:paraId="3A64031E" w14:textId="77777777" w:rsidR="005E000F" w:rsidRDefault="00000000">
      <w:r>
        <w:rPr>
          <w:rFonts w:hint="eastAsia"/>
        </w:rPr>
        <w:t>按款项性质列示其他应付款</w:t>
      </w:r>
    </w:p>
    <w:sdt>
      <w:sdtPr>
        <w:alias w:val="是否适用：按款项性质列示其他应付款[双击切换]"/>
        <w:tag w:val="_GBC_57fbe084a94a43569e8618c84187e188"/>
        <w:id w:val="-1137183730"/>
        <w:placeholder>
          <w:docPart w:val="GBC22222222222222222222222222222"/>
        </w:placeholder>
      </w:sdtPr>
      <w:sdtContent>
        <w:p w14:paraId="29D862B4"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D4F4DD5" w14:textId="77777777" w:rsidR="005E000F" w:rsidRDefault="00000000">
      <w:pPr>
        <w:jc w:val="right"/>
      </w:pPr>
      <w:r>
        <w:rPr>
          <w:rFonts w:hint="eastAsia"/>
        </w:rPr>
        <w:t>单位：</w:t>
      </w:r>
      <w:sdt>
        <w:sdtPr>
          <w:rPr>
            <w:rFonts w:hint="eastAsia"/>
          </w:rPr>
          <w:alias w:val="单位：财务附注：其他应付款情况"/>
          <w:tag w:val="_GBC_d726e1428c6749b29d7f0a192835a738"/>
          <w:id w:val="147468042"/>
          <w:placeholder>
            <w:docPart w:val="{1066055e-0a95-438a-bf13-2612172c0439}"/>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其他应付款情况"/>
          <w:tag w:val="_GBC_d6d5ce55cea54bfdb348f465f935498d"/>
          <w:id w:val="147456508"/>
          <w:placeholder>
            <w:docPart w:val="{1066055e-0a95-438a-bf13-2612172c0439}"/>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2"/>
        <w:gridCol w:w="2998"/>
        <w:gridCol w:w="3127"/>
      </w:tblGrid>
      <w:tr w:rsidR="005E000F" w14:paraId="3505234C" w14:textId="77777777">
        <w:sdt>
          <w:sdtPr>
            <w:tag w:val="_PLD_93c8bd274adc4f10996e441415613a6a"/>
            <w:id w:val="147483046"/>
          </w:sdtPr>
          <w:sdtContent>
            <w:tc>
              <w:tcPr>
                <w:tcW w:w="2922" w:type="dxa"/>
                <w:vAlign w:val="center"/>
              </w:tcPr>
              <w:p w14:paraId="1669D84C" w14:textId="77777777" w:rsidR="005E000F" w:rsidRDefault="00000000">
                <w:pPr>
                  <w:jc w:val="center"/>
                </w:pPr>
                <w:r>
                  <w:rPr>
                    <w:rFonts w:hint="eastAsia"/>
                  </w:rPr>
                  <w:t>项目</w:t>
                </w:r>
              </w:p>
            </w:tc>
          </w:sdtContent>
        </w:sdt>
        <w:sdt>
          <w:sdtPr>
            <w:tag w:val="_PLD_a5c3f7ebd9dd4870a971a7b858fb9f49"/>
            <w:id w:val="147479021"/>
          </w:sdtPr>
          <w:sdtContent>
            <w:tc>
              <w:tcPr>
                <w:tcW w:w="2998" w:type="dxa"/>
                <w:vAlign w:val="center"/>
              </w:tcPr>
              <w:p w14:paraId="759B8F15" w14:textId="77777777" w:rsidR="005E000F" w:rsidRDefault="00000000">
                <w:pPr>
                  <w:jc w:val="center"/>
                </w:pPr>
                <w:r>
                  <w:rPr>
                    <w:rFonts w:hint="eastAsia"/>
                  </w:rPr>
                  <w:t>期末余额</w:t>
                </w:r>
              </w:p>
            </w:tc>
          </w:sdtContent>
        </w:sdt>
        <w:sdt>
          <w:sdtPr>
            <w:tag w:val="_PLD_f8823e49aba34d32b07cafa41f32e166"/>
            <w:id w:val="147476261"/>
          </w:sdtPr>
          <w:sdtContent>
            <w:tc>
              <w:tcPr>
                <w:tcW w:w="3127" w:type="dxa"/>
                <w:vAlign w:val="center"/>
              </w:tcPr>
              <w:p w14:paraId="6BCD10A9" w14:textId="77777777" w:rsidR="005E000F" w:rsidRDefault="00000000">
                <w:pPr>
                  <w:jc w:val="center"/>
                </w:pPr>
                <w:r>
                  <w:rPr>
                    <w:rFonts w:hint="eastAsia"/>
                  </w:rPr>
                  <w:t>期初余额</w:t>
                </w:r>
              </w:p>
            </w:tc>
          </w:sdtContent>
        </w:sdt>
      </w:tr>
      <w:tr w:rsidR="005E000F" w14:paraId="7B41E055" w14:textId="77777777">
        <w:tc>
          <w:tcPr>
            <w:tcW w:w="2922" w:type="dxa"/>
          </w:tcPr>
          <w:p w14:paraId="2127F6D9" w14:textId="77777777" w:rsidR="005E000F" w:rsidRDefault="00000000">
            <w:pPr>
              <w:rPr>
                <w:lang w:eastAsia="en-US"/>
              </w:rPr>
            </w:pPr>
            <w:r>
              <w:t>抵押金和</w:t>
            </w:r>
            <w:proofErr w:type="gramStart"/>
            <w:r>
              <w:t>质保金</w:t>
            </w:r>
            <w:proofErr w:type="gramEnd"/>
          </w:p>
        </w:tc>
        <w:tc>
          <w:tcPr>
            <w:tcW w:w="2998" w:type="dxa"/>
            <w:vAlign w:val="center"/>
          </w:tcPr>
          <w:p w14:paraId="1535AD50" w14:textId="77777777" w:rsidR="005E000F" w:rsidRDefault="00000000">
            <w:pPr>
              <w:jc w:val="right"/>
            </w:pPr>
            <w:r>
              <w:t>618,344,660</w:t>
            </w:r>
          </w:p>
        </w:tc>
        <w:tc>
          <w:tcPr>
            <w:tcW w:w="3127" w:type="dxa"/>
            <w:vAlign w:val="center"/>
          </w:tcPr>
          <w:p w14:paraId="47469EAB" w14:textId="77777777" w:rsidR="005E000F" w:rsidRDefault="00000000">
            <w:pPr>
              <w:jc w:val="right"/>
              <w:rPr>
                <w:lang w:eastAsia="en-US"/>
              </w:rPr>
            </w:pPr>
            <w:r>
              <w:t>487,068,220</w:t>
            </w:r>
          </w:p>
        </w:tc>
      </w:tr>
      <w:tr w:rsidR="005E000F" w14:paraId="5B62BF45" w14:textId="77777777">
        <w:tc>
          <w:tcPr>
            <w:tcW w:w="2922" w:type="dxa"/>
          </w:tcPr>
          <w:p w14:paraId="29481165" w14:textId="77777777" w:rsidR="005E000F" w:rsidRDefault="00000000">
            <w:pPr>
              <w:rPr>
                <w:lang w:eastAsia="en-US"/>
              </w:rPr>
            </w:pPr>
            <w:r>
              <w:t>应付工程及设备款</w:t>
            </w:r>
          </w:p>
        </w:tc>
        <w:tc>
          <w:tcPr>
            <w:tcW w:w="2998" w:type="dxa"/>
            <w:vAlign w:val="center"/>
          </w:tcPr>
          <w:p w14:paraId="4CD0148D" w14:textId="77777777" w:rsidR="005E000F" w:rsidRDefault="00000000">
            <w:pPr>
              <w:jc w:val="right"/>
            </w:pPr>
            <w:r>
              <w:t>2,537,897,017</w:t>
            </w:r>
          </w:p>
        </w:tc>
        <w:tc>
          <w:tcPr>
            <w:tcW w:w="3127" w:type="dxa"/>
            <w:vAlign w:val="center"/>
          </w:tcPr>
          <w:p w14:paraId="65B13C4A" w14:textId="77777777" w:rsidR="005E000F" w:rsidRDefault="00000000">
            <w:pPr>
              <w:jc w:val="right"/>
              <w:rPr>
                <w:lang w:eastAsia="en-US"/>
              </w:rPr>
            </w:pPr>
            <w:r>
              <w:t>2,458,883,499</w:t>
            </w:r>
          </w:p>
        </w:tc>
      </w:tr>
      <w:tr w:rsidR="005E000F" w14:paraId="22DE4B27" w14:textId="77777777">
        <w:tc>
          <w:tcPr>
            <w:tcW w:w="2922" w:type="dxa"/>
          </w:tcPr>
          <w:p w14:paraId="7650927B" w14:textId="77777777" w:rsidR="005E000F" w:rsidRDefault="00000000">
            <w:pPr>
              <w:rPr>
                <w:lang w:eastAsia="en-US"/>
              </w:rPr>
            </w:pPr>
            <w:r>
              <w:t>代管资金</w:t>
            </w:r>
          </w:p>
        </w:tc>
        <w:tc>
          <w:tcPr>
            <w:tcW w:w="2998" w:type="dxa"/>
            <w:vAlign w:val="center"/>
          </w:tcPr>
          <w:p w14:paraId="0C105F6A" w14:textId="77777777" w:rsidR="005E000F" w:rsidRDefault="00000000">
            <w:pPr>
              <w:jc w:val="right"/>
            </w:pPr>
            <w:r>
              <w:t>156,415,369</w:t>
            </w:r>
          </w:p>
        </w:tc>
        <w:tc>
          <w:tcPr>
            <w:tcW w:w="3127" w:type="dxa"/>
            <w:vAlign w:val="center"/>
          </w:tcPr>
          <w:p w14:paraId="6B291A2E" w14:textId="77777777" w:rsidR="005E000F" w:rsidRDefault="00000000">
            <w:pPr>
              <w:jc w:val="right"/>
              <w:rPr>
                <w:lang w:eastAsia="en-US"/>
              </w:rPr>
            </w:pPr>
            <w:r>
              <w:t>163,135,736</w:t>
            </w:r>
          </w:p>
        </w:tc>
      </w:tr>
      <w:tr w:rsidR="005E000F" w14:paraId="4505F536" w14:textId="77777777">
        <w:tc>
          <w:tcPr>
            <w:tcW w:w="2922" w:type="dxa"/>
          </w:tcPr>
          <w:p w14:paraId="44F5D522" w14:textId="77777777" w:rsidR="005E000F" w:rsidRDefault="00000000">
            <w:r>
              <w:t>其他应付国铁集团及其他下属单位</w:t>
            </w:r>
          </w:p>
        </w:tc>
        <w:tc>
          <w:tcPr>
            <w:tcW w:w="2998" w:type="dxa"/>
            <w:vAlign w:val="center"/>
          </w:tcPr>
          <w:p w14:paraId="25FE5B82" w14:textId="77777777" w:rsidR="005E000F" w:rsidRDefault="00000000">
            <w:pPr>
              <w:jc w:val="right"/>
            </w:pPr>
            <w:r>
              <w:t>129,244,031</w:t>
            </w:r>
          </w:p>
        </w:tc>
        <w:tc>
          <w:tcPr>
            <w:tcW w:w="3127" w:type="dxa"/>
            <w:vAlign w:val="center"/>
          </w:tcPr>
          <w:p w14:paraId="2A09621E" w14:textId="77777777" w:rsidR="005E000F" w:rsidRDefault="00000000">
            <w:pPr>
              <w:jc w:val="right"/>
              <w:rPr>
                <w:lang w:eastAsia="en-US"/>
              </w:rPr>
            </w:pPr>
            <w:r>
              <w:t>92,989,362</w:t>
            </w:r>
          </w:p>
        </w:tc>
      </w:tr>
      <w:tr w:rsidR="005E000F" w14:paraId="27B54941" w14:textId="77777777">
        <w:tc>
          <w:tcPr>
            <w:tcW w:w="2922" w:type="dxa"/>
          </w:tcPr>
          <w:p w14:paraId="109CEA11" w14:textId="77777777" w:rsidR="005E000F" w:rsidRDefault="00000000">
            <w:pPr>
              <w:rPr>
                <w:lang w:eastAsia="en-US"/>
              </w:rPr>
            </w:pPr>
            <w:r>
              <w:t>其他</w:t>
            </w:r>
          </w:p>
        </w:tc>
        <w:tc>
          <w:tcPr>
            <w:tcW w:w="2998" w:type="dxa"/>
            <w:vAlign w:val="center"/>
          </w:tcPr>
          <w:p w14:paraId="6ECC52A8" w14:textId="77777777" w:rsidR="005E000F" w:rsidRDefault="00000000">
            <w:pPr>
              <w:jc w:val="right"/>
            </w:pPr>
            <w:r>
              <w:t>923,845,805</w:t>
            </w:r>
          </w:p>
        </w:tc>
        <w:tc>
          <w:tcPr>
            <w:tcW w:w="3127" w:type="dxa"/>
            <w:vAlign w:val="center"/>
          </w:tcPr>
          <w:p w14:paraId="2F8BF7FC" w14:textId="77777777" w:rsidR="005E000F" w:rsidRDefault="00000000">
            <w:pPr>
              <w:jc w:val="right"/>
              <w:rPr>
                <w:lang w:eastAsia="en-US"/>
              </w:rPr>
            </w:pPr>
            <w:r>
              <w:t>815,466,421</w:t>
            </w:r>
          </w:p>
        </w:tc>
      </w:tr>
      <w:tr w:rsidR="005E000F" w14:paraId="4CEA3BDB" w14:textId="77777777">
        <w:tc>
          <w:tcPr>
            <w:tcW w:w="2922" w:type="dxa"/>
            <w:vAlign w:val="center"/>
          </w:tcPr>
          <w:p w14:paraId="70C7F9C2" w14:textId="77777777" w:rsidR="005E000F" w:rsidRDefault="00000000">
            <w:pPr>
              <w:jc w:val="center"/>
              <w:rPr>
                <w:color w:val="000000" w:themeColor="text1"/>
              </w:rPr>
            </w:pPr>
            <w:r>
              <w:rPr>
                <w:rFonts w:hint="eastAsia"/>
                <w:color w:val="000000" w:themeColor="text1"/>
              </w:rPr>
              <w:t>合计</w:t>
            </w:r>
          </w:p>
        </w:tc>
        <w:tc>
          <w:tcPr>
            <w:tcW w:w="2998" w:type="dxa"/>
            <w:vAlign w:val="center"/>
          </w:tcPr>
          <w:p w14:paraId="42C57BB1" w14:textId="77777777" w:rsidR="005E000F" w:rsidRDefault="00000000">
            <w:pPr>
              <w:jc w:val="right"/>
            </w:pPr>
            <w:r>
              <w:t>4,365,746,882</w:t>
            </w:r>
          </w:p>
        </w:tc>
        <w:tc>
          <w:tcPr>
            <w:tcW w:w="3127" w:type="dxa"/>
            <w:vAlign w:val="center"/>
          </w:tcPr>
          <w:p w14:paraId="2D2704A7" w14:textId="77777777" w:rsidR="005E000F" w:rsidRDefault="00000000">
            <w:pPr>
              <w:jc w:val="right"/>
              <w:rPr>
                <w:lang w:eastAsia="en-US"/>
              </w:rPr>
            </w:pPr>
            <w:r>
              <w:t>4,017,543,238</w:t>
            </w:r>
          </w:p>
        </w:tc>
      </w:tr>
    </w:tbl>
    <w:p w14:paraId="51071B72" w14:textId="77777777" w:rsidR="005E000F" w:rsidRDefault="005E000F">
      <w:pPr>
        <w:jc w:val="right"/>
      </w:pPr>
    </w:p>
    <w:p w14:paraId="18B4CAEB" w14:textId="77777777" w:rsidR="005E000F" w:rsidRDefault="00000000">
      <w:r>
        <w:rPr>
          <w:rFonts w:hint="eastAsia"/>
        </w:rPr>
        <w:t>账龄超过</w:t>
      </w:r>
      <w:r>
        <w:t>1</w:t>
      </w:r>
      <w:r>
        <w:t>年</w:t>
      </w:r>
      <w:r>
        <w:rPr>
          <w:rFonts w:hint="eastAsia"/>
        </w:rPr>
        <w:t>或逾期</w:t>
      </w:r>
      <w:r>
        <w:t>的重要其他应付款</w:t>
      </w:r>
    </w:p>
    <w:p w14:paraId="6AD95F6D" w14:textId="77777777" w:rsidR="005E000F" w:rsidRDefault="00000000">
      <w:sdt>
        <w:sdtPr>
          <w:alias w:val="是否适用：账龄超过1年的重要其他应付款[双击切换]"/>
          <w:tag w:val="_GBC_fcaee62c74504c20ba2aca131c060029"/>
          <w:id w:val="-1890175450"/>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302ED26F" w14:textId="77777777" w:rsidR="005E000F" w:rsidRDefault="005E000F"/>
    <w:p w14:paraId="0F4BAD4A" w14:textId="77777777" w:rsidR="005E000F" w:rsidRDefault="00000000">
      <w:r>
        <w:rPr>
          <w:rFonts w:hint="eastAsia"/>
        </w:rPr>
        <w:t>其他说明：</w:t>
      </w:r>
    </w:p>
    <w:sdt>
      <w:sdtPr>
        <w:alias w:val="是否适用：其他应付款的其他说明[双击切换]"/>
        <w:tag w:val="_GBC_b02a256e4ac940019e9d9179cb6dc349"/>
        <w:id w:val="-1975747978"/>
        <w:placeholder>
          <w:docPart w:val="GBC22222222222222222222222222222"/>
        </w:placeholder>
      </w:sdtPr>
      <w:sdtContent>
        <w:p w14:paraId="6543B5D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1A4D226" w14:textId="77777777" w:rsidR="005E000F" w:rsidRDefault="005E000F"/>
    <w:bookmarkEnd w:id="367"/>
    <w:bookmarkEnd w:id="368"/>
    <w:p w14:paraId="5B1EE71A" w14:textId="77777777" w:rsidR="005E000F" w:rsidRDefault="00000000">
      <w:pPr>
        <w:pStyle w:val="3"/>
        <w:numPr>
          <w:ilvl w:val="0"/>
          <w:numId w:val="66"/>
        </w:numPr>
        <w:tabs>
          <w:tab w:val="left" w:pos="504"/>
        </w:tabs>
        <w:rPr>
          <w:szCs w:val="21"/>
        </w:rPr>
      </w:pPr>
      <w:r>
        <w:rPr>
          <w:rFonts w:ascii="宋体" w:hAnsi="宋体" w:hint="eastAsia"/>
          <w:szCs w:val="21"/>
        </w:rPr>
        <w:t>持有待售负债</w:t>
      </w:r>
    </w:p>
    <w:sdt>
      <w:sdtPr>
        <w:alias w:val="是否适用：划分为持有待售的负债[双击切换]"/>
        <w:tag w:val="_GBC_4ea9b2c6d4024d74b39e491f80a07798"/>
        <w:id w:val="1336345744"/>
        <w:placeholder>
          <w:docPart w:val="GBC22222222222222222222222222222"/>
        </w:placeholder>
      </w:sdtPr>
      <w:sdtContent>
        <w:p w14:paraId="4B94AE7B"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1F67CF4" w14:textId="77777777" w:rsidR="005E000F" w:rsidRDefault="005E000F"/>
    <w:p w14:paraId="08244F12" w14:textId="77777777" w:rsidR="005E000F" w:rsidRDefault="00000000">
      <w:pPr>
        <w:pStyle w:val="3"/>
        <w:numPr>
          <w:ilvl w:val="0"/>
          <w:numId w:val="66"/>
        </w:numPr>
        <w:tabs>
          <w:tab w:val="left" w:pos="504"/>
        </w:tabs>
        <w:rPr>
          <w:rFonts w:ascii="宋体" w:hAnsi="宋体"/>
          <w:szCs w:val="21"/>
        </w:rPr>
      </w:pPr>
      <w:bookmarkStart w:id="369" w:name="_Hlk24104125"/>
      <w:r>
        <w:rPr>
          <w:rFonts w:ascii="宋体" w:hAnsi="宋体" w:hint="eastAsia"/>
          <w:szCs w:val="21"/>
        </w:rPr>
        <w:t>1年内到期的非流动负债</w:t>
      </w:r>
    </w:p>
    <w:sdt>
      <w:sdtPr>
        <w:alias w:val="是否适用：1年内到期的非流动负债[双击切换]"/>
        <w:tag w:val="_GBC_bf40c7464345405f8470856436e2c6a3"/>
        <w:id w:val="-1297296246"/>
        <w:placeholder>
          <w:docPart w:val="GBC22222222222222222222222222222"/>
        </w:placeholder>
      </w:sdtPr>
      <w:sdtContent>
        <w:p w14:paraId="73FA226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E05CFF5" w14:textId="77777777" w:rsidR="005E000F" w:rsidRDefault="00000000">
      <w:pPr>
        <w:jc w:val="right"/>
      </w:pPr>
      <w:r>
        <w:rPr>
          <w:rFonts w:hint="eastAsia"/>
        </w:rPr>
        <w:t>单位：</w:t>
      </w:r>
      <w:sdt>
        <w:sdtPr>
          <w:rPr>
            <w:rFonts w:hint="eastAsia"/>
          </w:rPr>
          <w:alias w:val="单位：1年内到期的非流动负债情况"/>
          <w:tag w:val="_GBC_fc5bef9f043c4967ab706b443fc31d3c"/>
          <w:id w:val="2886374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1年内到期的非流动负债情况"/>
          <w:tag w:val="_GBC_fbd4d32585d945468e7aeae52abddc6f"/>
          <w:id w:val="8482877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9"/>
        <w:gridCol w:w="2915"/>
        <w:gridCol w:w="3103"/>
      </w:tblGrid>
      <w:tr w:rsidR="005E000F" w14:paraId="48370937" w14:textId="77777777">
        <w:sdt>
          <w:sdtPr>
            <w:tag w:val="_PLD_e20bf58d6f134f4caedbea03f8659c14"/>
            <w:id w:val="-460030830"/>
          </w:sdtPr>
          <w:sdtContent>
            <w:tc>
              <w:tcPr>
                <w:tcW w:w="3029" w:type="dxa"/>
                <w:vAlign w:val="center"/>
              </w:tcPr>
              <w:p w14:paraId="2007D96D" w14:textId="77777777" w:rsidR="005E000F" w:rsidRDefault="00000000">
                <w:pPr>
                  <w:jc w:val="center"/>
                </w:pPr>
                <w:r>
                  <w:rPr>
                    <w:rFonts w:hint="eastAsia"/>
                  </w:rPr>
                  <w:t>项目</w:t>
                </w:r>
              </w:p>
            </w:tc>
          </w:sdtContent>
        </w:sdt>
        <w:sdt>
          <w:sdtPr>
            <w:tag w:val="_PLD_dad829d6a45646668218857399318d20"/>
            <w:id w:val="976570379"/>
          </w:sdtPr>
          <w:sdtContent>
            <w:tc>
              <w:tcPr>
                <w:tcW w:w="2915" w:type="dxa"/>
                <w:vAlign w:val="center"/>
              </w:tcPr>
              <w:p w14:paraId="682CE1E5" w14:textId="77777777" w:rsidR="005E000F" w:rsidRDefault="00000000">
                <w:pPr>
                  <w:jc w:val="center"/>
                </w:pPr>
                <w:r>
                  <w:rPr>
                    <w:rFonts w:hint="eastAsia"/>
                  </w:rPr>
                  <w:t>期末余额</w:t>
                </w:r>
              </w:p>
            </w:tc>
          </w:sdtContent>
        </w:sdt>
        <w:sdt>
          <w:sdtPr>
            <w:tag w:val="_PLD_9d1d036ddf0544b2b2ddd1dc5633a114"/>
            <w:id w:val="430789938"/>
          </w:sdtPr>
          <w:sdtContent>
            <w:tc>
              <w:tcPr>
                <w:tcW w:w="3103" w:type="dxa"/>
                <w:vAlign w:val="center"/>
              </w:tcPr>
              <w:p w14:paraId="1CE2E9FB" w14:textId="77777777" w:rsidR="005E000F" w:rsidRDefault="00000000">
                <w:pPr>
                  <w:jc w:val="center"/>
                </w:pPr>
                <w:r>
                  <w:rPr>
                    <w:rFonts w:hint="eastAsia"/>
                  </w:rPr>
                  <w:t>期初余额</w:t>
                </w:r>
              </w:p>
            </w:tc>
          </w:sdtContent>
        </w:sdt>
      </w:tr>
      <w:tr w:rsidR="005E000F" w14:paraId="55A586FB" w14:textId="77777777">
        <w:tc>
          <w:tcPr>
            <w:tcW w:w="3029" w:type="dxa"/>
            <w:vAlign w:val="center"/>
          </w:tcPr>
          <w:p w14:paraId="02696451" w14:textId="77777777" w:rsidR="005E000F" w:rsidRDefault="00000000">
            <w:r>
              <w:t>一</w:t>
            </w:r>
            <w:r>
              <w:rPr>
                <w:rFonts w:hint="eastAsia"/>
              </w:rPr>
              <w:t>年内到期的长期借款</w:t>
            </w:r>
          </w:p>
        </w:tc>
        <w:tc>
          <w:tcPr>
            <w:tcW w:w="2915" w:type="dxa"/>
            <w:vAlign w:val="center"/>
          </w:tcPr>
          <w:p w14:paraId="203A2908" w14:textId="77777777" w:rsidR="005E000F" w:rsidRDefault="00000000">
            <w:pPr>
              <w:jc w:val="right"/>
            </w:pPr>
            <w:r>
              <w:t>1,090,759,835</w:t>
            </w:r>
          </w:p>
        </w:tc>
        <w:tc>
          <w:tcPr>
            <w:tcW w:w="3103" w:type="dxa"/>
          </w:tcPr>
          <w:p w14:paraId="7244D4D3" w14:textId="77777777" w:rsidR="005E000F" w:rsidRDefault="00000000">
            <w:pPr>
              <w:jc w:val="right"/>
              <w:rPr>
                <w:lang w:eastAsia="en-US"/>
              </w:rPr>
            </w:pPr>
            <w:r>
              <w:t>1,538,886,121</w:t>
            </w:r>
          </w:p>
        </w:tc>
      </w:tr>
      <w:tr w:rsidR="005E000F" w14:paraId="6387BB6D" w14:textId="77777777">
        <w:tc>
          <w:tcPr>
            <w:tcW w:w="3029" w:type="dxa"/>
            <w:vAlign w:val="center"/>
          </w:tcPr>
          <w:p w14:paraId="4A382D6A" w14:textId="77777777" w:rsidR="005E000F" w:rsidRDefault="00000000">
            <w:r>
              <w:t>一</w:t>
            </w:r>
            <w:r>
              <w:rPr>
                <w:rFonts w:hint="eastAsia"/>
              </w:rPr>
              <w:t>年内到期的应付债券</w:t>
            </w:r>
          </w:p>
        </w:tc>
        <w:tc>
          <w:tcPr>
            <w:tcW w:w="2915" w:type="dxa"/>
            <w:vAlign w:val="center"/>
          </w:tcPr>
          <w:p w14:paraId="68331A5D" w14:textId="77777777" w:rsidR="005E000F" w:rsidRDefault="00000000">
            <w:pPr>
              <w:jc w:val="right"/>
            </w:pPr>
            <w:r>
              <w:rPr>
                <w:rFonts w:hint="eastAsia"/>
              </w:rPr>
              <w:t>0</w:t>
            </w:r>
          </w:p>
        </w:tc>
        <w:tc>
          <w:tcPr>
            <w:tcW w:w="3103" w:type="dxa"/>
          </w:tcPr>
          <w:p w14:paraId="0B876058" w14:textId="77777777" w:rsidR="005E000F" w:rsidRDefault="00000000">
            <w:pPr>
              <w:jc w:val="right"/>
              <w:rPr>
                <w:lang w:eastAsia="en-US"/>
              </w:rPr>
            </w:pPr>
            <w:r>
              <w:t>9,288,412</w:t>
            </w:r>
          </w:p>
        </w:tc>
      </w:tr>
      <w:tr w:rsidR="005E000F" w14:paraId="13D3B84A" w14:textId="77777777">
        <w:tc>
          <w:tcPr>
            <w:tcW w:w="3029" w:type="dxa"/>
            <w:vAlign w:val="center"/>
          </w:tcPr>
          <w:p w14:paraId="692E2BEC" w14:textId="77777777" w:rsidR="005E000F" w:rsidRDefault="00000000">
            <w:r>
              <w:t>一</w:t>
            </w:r>
            <w:r>
              <w:rPr>
                <w:rFonts w:hint="eastAsia"/>
              </w:rPr>
              <w:t>年内到期的租赁负债</w:t>
            </w:r>
          </w:p>
        </w:tc>
        <w:tc>
          <w:tcPr>
            <w:tcW w:w="2915" w:type="dxa"/>
            <w:vAlign w:val="center"/>
          </w:tcPr>
          <w:p w14:paraId="2B57E915" w14:textId="77777777" w:rsidR="005E000F" w:rsidRDefault="00000000">
            <w:pPr>
              <w:jc w:val="right"/>
            </w:pPr>
            <w:r>
              <w:t>265,643,049</w:t>
            </w:r>
          </w:p>
        </w:tc>
        <w:tc>
          <w:tcPr>
            <w:tcW w:w="3103" w:type="dxa"/>
            <w:vAlign w:val="center"/>
          </w:tcPr>
          <w:p w14:paraId="66959721" w14:textId="77777777" w:rsidR="005E000F" w:rsidRDefault="00000000">
            <w:pPr>
              <w:jc w:val="right"/>
              <w:rPr>
                <w:lang w:eastAsia="en-US"/>
              </w:rPr>
            </w:pPr>
            <w:r>
              <w:rPr>
                <w:rFonts w:hint="eastAsia"/>
              </w:rPr>
              <w:t>232,592,189</w:t>
            </w:r>
          </w:p>
        </w:tc>
      </w:tr>
      <w:tr w:rsidR="005E000F" w14:paraId="2522D2C1" w14:textId="77777777">
        <w:tc>
          <w:tcPr>
            <w:tcW w:w="3029" w:type="dxa"/>
            <w:vAlign w:val="center"/>
          </w:tcPr>
          <w:p w14:paraId="3C51A68E" w14:textId="77777777" w:rsidR="005E000F" w:rsidRDefault="00000000">
            <w:r>
              <w:t>一年内到期的其他非流动负债</w:t>
            </w:r>
          </w:p>
        </w:tc>
        <w:tc>
          <w:tcPr>
            <w:tcW w:w="2915" w:type="dxa"/>
            <w:vAlign w:val="center"/>
          </w:tcPr>
          <w:p w14:paraId="236F6DDB" w14:textId="77777777" w:rsidR="005E000F" w:rsidRDefault="00000000">
            <w:pPr>
              <w:jc w:val="right"/>
            </w:pPr>
            <w:r>
              <w:t>15,680,109</w:t>
            </w:r>
          </w:p>
        </w:tc>
        <w:tc>
          <w:tcPr>
            <w:tcW w:w="3103" w:type="dxa"/>
            <w:vAlign w:val="center"/>
          </w:tcPr>
          <w:p w14:paraId="04D61CFD" w14:textId="77777777" w:rsidR="005E000F" w:rsidRDefault="00000000">
            <w:pPr>
              <w:jc w:val="right"/>
              <w:rPr>
                <w:lang w:eastAsia="en-US"/>
              </w:rPr>
            </w:pPr>
            <w:r>
              <w:rPr>
                <w:rFonts w:hint="eastAsia"/>
              </w:rPr>
              <w:t>15,699,191</w:t>
            </w:r>
          </w:p>
        </w:tc>
      </w:tr>
      <w:tr w:rsidR="005E000F" w14:paraId="532AB6A5" w14:textId="77777777">
        <w:tc>
          <w:tcPr>
            <w:tcW w:w="3029" w:type="dxa"/>
            <w:vAlign w:val="center"/>
          </w:tcPr>
          <w:p w14:paraId="43FBFC79" w14:textId="77777777" w:rsidR="005E000F" w:rsidRDefault="00000000">
            <w:pPr>
              <w:jc w:val="center"/>
            </w:pPr>
            <w:r>
              <w:rPr>
                <w:rFonts w:hint="eastAsia"/>
              </w:rPr>
              <w:t>合计</w:t>
            </w:r>
          </w:p>
        </w:tc>
        <w:tc>
          <w:tcPr>
            <w:tcW w:w="2915" w:type="dxa"/>
            <w:vAlign w:val="center"/>
          </w:tcPr>
          <w:p w14:paraId="351176F0" w14:textId="77777777" w:rsidR="005E000F" w:rsidRDefault="00000000">
            <w:pPr>
              <w:jc w:val="right"/>
            </w:pPr>
            <w:r>
              <w:t>1,372,082,993</w:t>
            </w:r>
          </w:p>
        </w:tc>
        <w:tc>
          <w:tcPr>
            <w:tcW w:w="3103" w:type="dxa"/>
            <w:vAlign w:val="center"/>
          </w:tcPr>
          <w:p w14:paraId="7A0CABE0" w14:textId="77777777" w:rsidR="005E000F" w:rsidRDefault="00000000">
            <w:pPr>
              <w:jc w:val="right"/>
              <w:rPr>
                <w:lang w:eastAsia="en-US"/>
              </w:rPr>
            </w:pPr>
            <w:r>
              <w:rPr>
                <w:rFonts w:hint="eastAsia"/>
              </w:rPr>
              <w:t>1,796,465,913</w:t>
            </w:r>
          </w:p>
        </w:tc>
      </w:tr>
    </w:tbl>
    <w:p w14:paraId="28ADC4F7" w14:textId="77777777" w:rsidR="005E000F" w:rsidRDefault="00000000">
      <w:pPr>
        <w:spacing w:before="60" w:after="60"/>
      </w:pPr>
      <w:r>
        <w:rPr>
          <w:rFonts w:hint="eastAsia"/>
        </w:rPr>
        <w:t>其他说明：</w:t>
      </w:r>
    </w:p>
    <w:sdt>
      <w:sdtPr>
        <w:alias w:val="1年内到期的非流动负债说明"/>
        <w:tag w:val="_GBC_8d20cbb6880f4895b7051ae6dee973ca"/>
        <w:id w:val="-1139640843"/>
        <w:placeholder>
          <w:docPart w:val="GBC22222222222222222222222222222"/>
        </w:placeholder>
      </w:sdtPr>
      <w:sdtContent>
        <w:p w14:paraId="2D69F639" w14:textId="77777777" w:rsidR="005E000F" w:rsidRDefault="00000000">
          <w:r>
            <w:rPr>
              <w:rFonts w:hint="eastAsia"/>
            </w:rPr>
            <w:t>无</w:t>
          </w:r>
        </w:p>
      </w:sdtContent>
    </w:sdt>
    <w:bookmarkEnd w:id="369"/>
    <w:p w14:paraId="5517AEEA"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其他流动负债</w:t>
      </w:r>
    </w:p>
    <w:p w14:paraId="089E286B" w14:textId="77777777" w:rsidR="005E000F" w:rsidRDefault="00000000">
      <w:bookmarkStart w:id="370" w:name="_Hlk533670262"/>
      <w:r>
        <w:rPr>
          <w:rFonts w:hint="eastAsia"/>
        </w:rPr>
        <w:t>其他流动负债情况</w:t>
      </w:r>
    </w:p>
    <w:sdt>
      <w:sdtPr>
        <w:rPr>
          <w:rFonts w:hint="eastAsia"/>
        </w:rPr>
        <w:alias w:val="是否适用：其他流动负债情况 [双击切换]"/>
        <w:tag w:val="_GBC_a84ebf5eebf04d4ab9f07c3da85115c2"/>
        <w:id w:val="-1643570720"/>
        <w:placeholder>
          <w:docPart w:val="GBC22222222222222222222222222222"/>
        </w:placeholder>
      </w:sdtPr>
      <w:sdtContent>
        <w:p w14:paraId="36814971"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8EB5336" w14:textId="77777777" w:rsidR="005E000F" w:rsidRDefault="00000000">
      <w:pPr>
        <w:jc w:val="right"/>
      </w:pPr>
      <w:r>
        <w:rPr>
          <w:rFonts w:hint="eastAsia"/>
        </w:rPr>
        <w:t>单位：</w:t>
      </w:r>
      <w:sdt>
        <w:sdtPr>
          <w:rPr>
            <w:rFonts w:hint="eastAsia"/>
          </w:rPr>
          <w:alias w:val="单位：财务附注：其他流动负债"/>
          <w:tag w:val="_GBC_1a3ea80bd2b9426ead4537785c82d01e"/>
          <w:id w:val="-51823597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其他流动负债"/>
          <w:tag w:val="_GBC_c39ac2b60b0f44cbbd7534c211405631"/>
          <w:id w:val="-177816794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1"/>
        <w:gridCol w:w="3118"/>
        <w:gridCol w:w="3129"/>
      </w:tblGrid>
      <w:tr w:rsidR="005E000F" w14:paraId="09E15D0A" w14:textId="77777777">
        <w:trPr>
          <w:jc w:val="center"/>
        </w:trPr>
        <w:bookmarkStart w:id="371" w:name="_Hlk533423091" w:displacedByCustomXml="next"/>
        <w:sdt>
          <w:sdtPr>
            <w:tag w:val="_PLD_96b7e8e5e688449c87d23adc1b63439f"/>
            <w:id w:val="718397541"/>
          </w:sdtPr>
          <w:sdtContent>
            <w:tc>
              <w:tcPr>
                <w:tcW w:w="2801" w:type="dxa"/>
                <w:tcBorders>
                  <w:top w:val="single" w:sz="4" w:space="0" w:color="auto"/>
                  <w:left w:val="single" w:sz="4" w:space="0" w:color="auto"/>
                  <w:bottom w:val="single" w:sz="4" w:space="0" w:color="auto"/>
                  <w:right w:val="single" w:sz="4" w:space="0" w:color="auto"/>
                </w:tcBorders>
                <w:vAlign w:val="center"/>
              </w:tcPr>
              <w:p w14:paraId="16E40C52" w14:textId="77777777" w:rsidR="005E000F" w:rsidRDefault="00000000">
                <w:pPr>
                  <w:tabs>
                    <w:tab w:val="right" w:pos="3690"/>
                    <w:tab w:val="right" w:pos="5130"/>
                    <w:tab w:val="right" w:pos="6030"/>
                    <w:tab w:val="right" w:pos="7650"/>
                    <w:tab w:val="right" w:pos="9270"/>
                  </w:tabs>
                  <w:snapToGrid w:val="0"/>
                  <w:ind w:leftChars="-52" w:left="-109"/>
                  <w:jc w:val="center"/>
                </w:pPr>
                <w:r>
                  <w:rPr>
                    <w:rFonts w:hint="eastAsia"/>
                  </w:rPr>
                  <w:t>项目</w:t>
                </w:r>
              </w:p>
            </w:tc>
          </w:sdtContent>
        </w:sdt>
        <w:sdt>
          <w:sdtPr>
            <w:tag w:val="_PLD_741229e75da644bb809ec002cfe06423"/>
            <w:id w:val="-308247383"/>
          </w:sdtPr>
          <w:sdtContent>
            <w:tc>
              <w:tcPr>
                <w:tcW w:w="3118" w:type="dxa"/>
                <w:tcBorders>
                  <w:top w:val="single" w:sz="4" w:space="0" w:color="auto"/>
                  <w:left w:val="single" w:sz="4" w:space="0" w:color="auto"/>
                  <w:bottom w:val="single" w:sz="4" w:space="0" w:color="auto"/>
                  <w:right w:val="single" w:sz="4" w:space="0" w:color="auto"/>
                </w:tcBorders>
                <w:vAlign w:val="center"/>
              </w:tcPr>
              <w:p w14:paraId="45B96720" w14:textId="77777777" w:rsidR="005E000F" w:rsidRDefault="00000000">
                <w:pPr>
                  <w:adjustRightInd w:val="0"/>
                  <w:snapToGrid w:val="0"/>
                  <w:jc w:val="center"/>
                </w:pPr>
                <w:r>
                  <w:rPr>
                    <w:rFonts w:hint="eastAsia"/>
                  </w:rPr>
                  <w:t>期末余额</w:t>
                </w:r>
              </w:p>
            </w:tc>
          </w:sdtContent>
        </w:sdt>
        <w:sdt>
          <w:sdtPr>
            <w:tag w:val="_PLD_426d25a331b04af9b2ec53d6a7e168d4"/>
            <w:id w:val="-1246331495"/>
          </w:sdtPr>
          <w:sdtContent>
            <w:tc>
              <w:tcPr>
                <w:tcW w:w="3129" w:type="dxa"/>
                <w:tcBorders>
                  <w:top w:val="single" w:sz="4" w:space="0" w:color="auto"/>
                  <w:left w:val="single" w:sz="4" w:space="0" w:color="auto"/>
                  <w:bottom w:val="single" w:sz="4" w:space="0" w:color="auto"/>
                  <w:right w:val="single" w:sz="4" w:space="0" w:color="auto"/>
                </w:tcBorders>
                <w:vAlign w:val="center"/>
              </w:tcPr>
              <w:p w14:paraId="74B61F72" w14:textId="77777777" w:rsidR="005E000F" w:rsidRDefault="00000000">
                <w:pPr>
                  <w:adjustRightInd w:val="0"/>
                  <w:snapToGrid w:val="0"/>
                  <w:jc w:val="center"/>
                </w:pPr>
                <w:r>
                  <w:rPr>
                    <w:rFonts w:hint="eastAsia"/>
                  </w:rPr>
                  <w:t>期初余额</w:t>
                </w:r>
              </w:p>
            </w:tc>
          </w:sdtContent>
        </w:sdt>
      </w:tr>
      <w:tr w:rsidR="005E000F" w14:paraId="1C5F7CDE" w14:textId="77777777">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25BB0F98" w14:textId="77777777" w:rsidR="005E000F" w:rsidRDefault="00000000">
            <w:r>
              <w:rPr>
                <w:rFonts w:hint="eastAsia"/>
              </w:rPr>
              <w:t>待转销项税额</w:t>
            </w:r>
          </w:p>
        </w:tc>
        <w:tc>
          <w:tcPr>
            <w:tcW w:w="3118" w:type="dxa"/>
            <w:tcBorders>
              <w:top w:val="single" w:sz="4" w:space="0" w:color="auto"/>
              <w:left w:val="single" w:sz="4" w:space="0" w:color="auto"/>
              <w:bottom w:val="single" w:sz="4" w:space="0" w:color="auto"/>
              <w:right w:val="single" w:sz="4" w:space="0" w:color="auto"/>
            </w:tcBorders>
            <w:vAlign w:val="center"/>
          </w:tcPr>
          <w:p w14:paraId="1451EE39" w14:textId="77777777" w:rsidR="005E000F" w:rsidRDefault="00000000">
            <w:pPr>
              <w:jc w:val="right"/>
            </w:pPr>
            <w:r>
              <w:t>143,025,104</w:t>
            </w:r>
          </w:p>
        </w:tc>
        <w:tc>
          <w:tcPr>
            <w:tcW w:w="3129" w:type="dxa"/>
            <w:tcBorders>
              <w:top w:val="single" w:sz="4" w:space="0" w:color="auto"/>
              <w:left w:val="single" w:sz="4" w:space="0" w:color="auto"/>
              <w:bottom w:val="single" w:sz="4" w:space="0" w:color="auto"/>
              <w:right w:val="single" w:sz="4" w:space="0" w:color="auto"/>
            </w:tcBorders>
            <w:vAlign w:val="center"/>
          </w:tcPr>
          <w:p w14:paraId="262CB66F" w14:textId="77777777" w:rsidR="005E000F" w:rsidRDefault="00000000">
            <w:pPr>
              <w:jc w:val="right"/>
            </w:pPr>
            <w:r>
              <w:t>125,486,662</w:t>
            </w:r>
          </w:p>
        </w:tc>
      </w:tr>
      <w:tr w:rsidR="005E000F" w14:paraId="6BFF1FB5" w14:textId="77777777">
        <w:trPr>
          <w:jc w:val="center"/>
        </w:trPr>
        <w:tc>
          <w:tcPr>
            <w:tcW w:w="2801" w:type="dxa"/>
            <w:tcBorders>
              <w:top w:val="single" w:sz="4" w:space="0" w:color="auto"/>
              <w:left w:val="single" w:sz="4" w:space="0" w:color="auto"/>
              <w:bottom w:val="single" w:sz="4" w:space="0" w:color="auto"/>
              <w:right w:val="single" w:sz="4" w:space="0" w:color="auto"/>
            </w:tcBorders>
            <w:vAlign w:val="center"/>
          </w:tcPr>
          <w:p w14:paraId="16462180" w14:textId="77777777" w:rsidR="005E000F" w:rsidRDefault="00000000">
            <w:pPr>
              <w:jc w:val="center"/>
            </w:pPr>
            <w:r>
              <w:rPr>
                <w:rFonts w:hint="eastAsia"/>
              </w:rPr>
              <w:t>合计</w:t>
            </w:r>
          </w:p>
        </w:tc>
        <w:tc>
          <w:tcPr>
            <w:tcW w:w="3118" w:type="dxa"/>
            <w:tcBorders>
              <w:top w:val="single" w:sz="4" w:space="0" w:color="auto"/>
              <w:left w:val="single" w:sz="4" w:space="0" w:color="auto"/>
              <w:bottom w:val="single" w:sz="4" w:space="0" w:color="auto"/>
              <w:right w:val="single" w:sz="4" w:space="0" w:color="auto"/>
            </w:tcBorders>
            <w:vAlign w:val="center"/>
          </w:tcPr>
          <w:p w14:paraId="1B7FDE9B" w14:textId="77777777" w:rsidR="005E000F" w:rsidRDefault="00000000">
            <w:pPr>
              <w:jc w:val="right"/>
            </w:pPr>
            <w:r>
              <w:t>143,025,104</w:t>
            </w:r>
          </w:p>
        </w:tc>
        <w:tc>
          <w:tcPr>
            <w:tcW w:w="3129" w:type="dxa"/>
            <w:tcBorders>
              <w:top w:val="single" w:sz="4" w:space="0" w:color="auto"/>
              <w:left w:val="single" w:sz="4" w:space="0" w:color="auto"/>
              <w:bottom w:val="single" w:sz="4" w:space="0" w:color="auto"/>
              <w:right w:val="single" w:sz="4" w:space="0" w:color="auto"/>
            </w:tcBorders>
            <w:vAlign w:val="center"/>
          </w:tcPr>
          <w:p w14:paraId="138B8F24" w14:textId="77777777" w:rsidR="005E000F" w:rsidRDefault="00000000">
            <w:pPr>
              <w:jc w:val="right"/>
            </w:pPr>
            <w:r>
              <w:t>125,486,662</w:t>
            </w:r>
          </w:p>
        </w:tc>
      </w:tr>
    </w:tbl>
    <w:bookmarkEnd w:id="370"/>
    <w:bookmarkEnd w:id="371"/>
    <w:p w14:paraId="35705578" w14:textId="77777777" w:rsidR="005E000F" w:rsidRDefault="00000000">
      <w:r>
        <w:rPr>
          <w:rFonts w:hint="eastAsia"/>
        </w:rPr>
        <w:t>短期</w:t>
      </w:r>
      <w:r>
        <w:t>应付债券的增减变动</w:t>
      </w:r>
      <w:r>
        <w:rPr>
          <w:rFonts w:hint="eastAsia"/>
        </w:rPr>
        <w:t>：</w:t>
      </w:r>
    </w:p>
    <w:sdt>
      <w:sdtPr>
        <w:alias w:val="是否适用：短期应付债券的增减变动[双击切换]"/>
        <w:tag w:val="_GBC_9702365af41547e6b7eeb62225fd79a4"/>
        <w:id w:val="-1593228475"/>
        <w:placeholder>
          <w:docPart w:val="GBC22222222222222222222222222222"/>
        </w:placeholder>
      </w:sdtPr>
      <w:sdtContent>
        <w:p w14:paraId="318BBA08"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86C8BCA" w14:textId="77777777" w:rsidR="005E000F" w:rsidRDefault="005E000F"/>
    <w:p w14:paraId="573B97C7" w14:textId="77777777" w:rsidR="005E000F" w:rsidRDefault="00000000">
      <w:pPr>
        <w:spacing w:before="60" w:after="60"/>
      </w:pPr>
      <w:r>
        <w:rPr>
          <w:rFonts w:hint="eastAsia"/>
        </w:rPr>
        <w:t>其他说明：</w:t>
      </w:r>
    </w:p>
    <w:sdt>
      <w:sdtPr>
        <w:alias w:val="是否适用：其他流动负债说明[双击切换]"/>
        <w:tag w:val="_GBC_137d3b80ab3041c1a1b255a500c3d52c"/>
        <w:id w:val="340970813"/>
        <w:placeholder>
          <w:docPart w:val="GBC22222222222222222222222222222"/>
        </w:placeholder>
      </w:sdtPr>
      <w:sdtContent>
        <w:p w14:paraId="243A8D81" w14:textId="77777777" w:rsidR="005E000F" w:rsidRDefault="00000000">
          <w:pPr>
            <w:spacing w:before="60" w:after="60"/>
            <w:sectPr w:rsidR="005E000F">
              <w:pgSz w:w="11906" w:h="16838"/>
              <w:pgMar w:top="1440" w:right="1797" w:bottom="1525" w:left="1276" w:header="856" w:footer="992" w:gutter="0"/>
              <w:cols w:space="425"/>
              <w:docGrid w:linePitch="312"/>
            </w:sect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5534A07"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lastRenderedPageBreak/>
        <w:t>长期借款</w:t>
      </w:r>
    </w:p>
    <w:p w14:paraId="174BE947" w14:textId="77777777" w:rsidR="005E000F" w:rsidRDefault="00000000">
      <w:pPr>
        <w:pStyle w:val="4"/>
        <w:numPr>
          <w:ilvl w:val="3"/>
          <w:numId w:val="97"/>
        </w:numPr>
      </w:pPr>
      <w:r>
        <w:rPr>
          <w:rFonts w:hint="eastAsia"/>
        </w:rPr>
        <w:t>长期借款分类</w:t>
      </w:r>
    </w:p>
    <w:sdt>
      <w:sdtPr>
        <w:alias w:val="是否适用：长期借款分类[双击切换]"/>
        <w:tag w:val="_GBC_f97d0882083646ed86769469b3ee8875"/>
        <w:id w:val="-1219592460"/>
        <w:placeholder>
          <w:docPart w:val="GBC22222222222222222222222222222"/>
        </w:placeholder>
      </w:sdtPr>
      <w:sdtContent>
        <w:p w14:paraId="564110A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9289190" w14:textId="77777777" w:rsidR="005E000F" w:rsidRDefault="00000000">
      <w:pPr>
        <w:jc w:val="right"/>
      </w:pPr>
      <w:r>
        <w:rPr>
          <w:rFonts w:hint="eastAsia"/>
        </w:rPr>
        <w:t>单位：</w:t>
      </w:r>
      <w:sdt>
        <w:sdtPr>
          <w:rPr>
            <w:rFonts w:hint="eastAsia"/>
          </w:rPr>
          <w:alias w:val="单位：财务附注：长期借款分类"/>
          <w:tag w:val="_GBC_1469e55f5b66428a857f07acaf1e4ae0"/>
          <w:id w:val="-10606241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长期借款分类"/>
          <w:tag w:val="_GBC_02e1603886284ce797acd755be7f672a"/>
          <w:id w:val="181591347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1"/>
        <w:gridCol w:w="3051"/>
        <w:gridCol w:w="2946"/>
      </w:tblGrid>
      <w:tr w:rsidR="005E000F" w14:paraId="59554382" w14:textId="77777777">
        <w:trPr>
          <w:cantSplit/>
        </w:trPr>
        <w:sdt>
          <w:sdtPr>
            <w:tag w:val="_PLD_4e1b60888e3248369c96087fd1f19eed"/>
            <w:id w:val="-1491169721"/>
          </w:sdtPr>
          <w:sdtContent>
            <w:tc>
              <w:tcPr>
                <w:tcW w:w="3051" w:type="dxa"/>
                <w:vAlign w:val="center"/>
              </w:tcPr>
              <w:p w14:paraId="4465124F" w14:textId="77777777" w:rsidR="005E000F" w:rsidRDefault="00000000">
                <w:pPr>
                  <w:autoSpaceDE w:val="0"/>
                  <w:autoSpaceDN w:val="0"/>
                  <w:adjustRightInd w:val="0"/>
                  <w:snapToGrid w:val="0"/>
                  <w:jc w:val="center"/>
                </w:pPr>
                <w:r>
                  <w:rPr>
                    <w:rFonts w:hint="eastAsia"/>
                  </w:rPr>
                  <w:t>项目</w:t>
                </w:r>
              </w:p>
            </w:tc>
          </w:sdtContent>
        </w:sdt>
        <w:sdt>
          <w:sdtPr>
            <w:tag w:val="_PLD_5eb33a0c1cde49ff9ed499493463ec46"/>
            <w:id w:val="-1884400035"/>
          </w:sdtPr>
          <w:sdtContent>
            <w:tc>
              <w:tcPr>
                <w:tcW w:w="3051" w:type="dxa"/>
                <w:vAlign w:val="center"/>
              </w:tcPr>
              <w:p w14:paraId="747C4819" w14:textId="77777777" w:rsidR="005E000F" w:rsidRDefault="00000000">
                <w:pPr>
                  <w:jc w:val="center"/>
                </w:pPr>
                <w:r>
                  <w:rPr>
                    <w:rFonts w:hint="eastAsia"/>
                  </w:rPr>
                  <w:t>期末余额</w:t>
                </w:r>
              </w:p>
            </w:tc>
          </w:sdtContent>
        </w:sdt>
        <w:sdt>
          <w:sdtPr>
            <w:tag w:val="_PLD_9b129c446a5847edb58141b866ffac5d"/>
            <w:id w:val="2081096691"/>
          </w:sdtPr>
          <w:sdtContent>
            <w:tc>
              <w:tcPr>
                <w:tcW w:w="2946" w:type="dxa"/>
                <w:vAlign w:val="center"/>
              </w:tcPr>
              <w:p w14:paraId="5EE6DA65" w14:textId="77777777" w:rsidR="005E000F" w:rsidRDefault="00000000">
                <w:pPr>
                  <w:jc w:val="center"/>
                </w:pPr>
                <w:r>
                  <w:rPr>
                    <w:rFonts w:hint="eastAsia"/>
                  </w:rPr>
                  <w:t>期初余额</w:t>
                </w:r>
              </w:p>
            </w:tc>
          </w:sdtContent>
        </w:sdt>
      </w:tr>
      <w:tr w:rsidR="005E000F" w14:paraId="6983930C" w14:textId="77777777">
        <w:trPr>
          <w:cantSplit/>
        </w:trPr>
        <w:tc>
          <w:tcPr>
            <w:tcW w:w="3051" w:type="dxa"/>
          </w:tcPr>
          <w:p w14:paraId="370BC4DE" w14:textId="77777777" w:rsidR="005E000F" w:rsidRDefault="00000000">
            <w:pPr>
              <w:rPr>
                <w:rFonts w:cs="宋体"/>
                <w:bCs/>
                <w:lang w:eastAsia="en-US"/>
              </w:rPr>
            </w:pPr>
            <w:r>
              <w:rPr>
                <w:rFonts w:cs="宋体" w:hint="eastAsia"/>
                <w:bCs/>
              </w:rPr>
              <w:t>银行借款</w:t>
            </w:r>
          </w:p>
        </w:tc>
        <w:tc>
          <w:tcPr>
            <w:tcW w:w="3051" w:type="dxa"/>
            <w:vAlign w:val="center"/>
          </w:tcPr>
          <w:p w14:paraId="598C4F0A" w14:textId="77777777" w:rsidR="005E000F" w:rsidRDefault="005E000F">
            <w:pPr>
              <w:autoSpaceDE w:val="0"/>
              <w:autoSpaceDN w:val="0"/>
              <w:adjustRightInd w:val="0"/>
              <w:snapToGrid w:val="0"/>
              <w:ind w:right="180"/>
              <w:jc w:val="right"/>
            </w:pPr>
          </w:p>
        </w:tc>
        <w:tc>
          <w:tcPr>
            <w:tcW w:w="2946" w:type="dxa"/>
            <w:vAlign w:val="center"/>
          </w:tcPr>
          <w:p w14:paraId="76C11D07" w14:textId="77777777" w:rsidR="005E000F" w:rsidRDefault="005E000F">
            <w:pPr>
              <w:autoSpaceDE w:val="0"/>
              <w:autoSpaceDN w:val="0"/>
              <w:adjustRightInd w:val="0"/>
              <w:snapToGrid w:val="0"/>
              <w:ind w:right="180"/>
              <w:jc w:val="right"/>
            </w:pPr>
          </w:p>
        </w:tc>
      </w:tr>
      <w:tr w:rsidR="005E000F" w14:paraId="4A152F4B" w14:textId="77777777">
        <w:trPr>
          <w:cantSplit/>
        </w:trPr>
        <w:tc>
          <w:tcPr>
            <w:tcW w:w="3051" w:type="dxa"/>
          </w:tcPr>
          <w:p w14:paraId="77AD16C9" w14:textId="77777777" w:rsidR="005E000F" w:rsidRDefault="00000000">
            <w:pPr>
              <w:ind w:firstLineChars="400" w:firstLine="840"/>
              <w:rPr>
                <w:rFonts w:cs="宋体"/>
                <w:bCs/>
                <w:lang w:eastAsia="en-US"/>
              </w:rPr>
            </w:pPr>
            <w:r>
              <w:rPr>
                <w:rFonts w:cs="宋体" w:hint="eastAsia"/>
                <w:bCs/>
              </w:rPr>
              <w:t>抵押借款</w:t>
            </w:r>
          </w:p>
        </w:tc>
        <w:tc>
          <w:tcPr>
            <w:tcW w:w="3051" w:type="dxa"/>
            <w:vAlign w:val="center"/>
          </w:tcPr>
          <w:p w14:paraId="46501EA5" w14:textId="77777777" w:rsidR="005E000F" w:rsidRDefault="00000000">
            <w:pPr>
              <w:autoSpaceDE w:val="0"/>
              <w:autoSpaceDN w:val="0"/>
              <w:adjustRightInd w:val="0"/>
              <w:snapToGrid w:val="0"/>
              <w:ind w:right="180"/>
              <w:jc w:val="right"/>
            </w:pPr>
            <w:r>
              <w:t>52,044,552</w:t>
            </w:r>
          </w:p>
        </w:tc>
        <w:tc>
          <w:tcPr>
            <w:tcW w:w="2946" w:type="dxa"/>
            <w:vAlign w:val="center"/>
          </w:tcPr>
          <w:p w14:paraId="0AB48313" w14:textId="77777777" w:rsidR="005E000F" w:rsidRDefault="00000000">
            <w:pPr>
              <w:autoSpaceDE w:val="0"/>
              <w:autoSpaceDN w:val="0"/>
              <w:adjustRightInd w:val="0"/>
              <w:snapToGrid w:val="0"/>
              <w:ind w:right="180"/>
              <w:jc w:val="right"/>
              <w:rPr>
                <w:lang w:eastAsia="en-US"/>
              </w:rPr>
            </w:pPr>
            <w:r>
              <w:t>56,846,331</w:t>
            </w:r>
          </w:p>
        </w:tc>
      </w:tr>
      <w:tr w:rsidR="005E000F" w14:paraId="6F57FB8F" w14:textId="77777777">
        <w:trPr>
          <w:cantSplit/>
        </w:trPr>
        <w:tc>
          <w:tcPr>
            <w:tcW w:w="3051" w:type="dxa"/>
          </w:tcPr>
          <w:p w14:paraId="29C41D59" w14:textId="77777777" w:rsidR="005E000F" w:rsidRDefault="00000000">
            <w:pPr>
              <w:ind w:firstLineChars="400" w:firstLine="840"/>
              <w:rPr>
                <w:rFonts w:cs="宋体"/>
                <w:bCs/>
                <w:lang w:eastAsia="en-US"/>
              </w:rPr>
            </w:pPr>
            <w:r>
              <w:rPr>
                <w:rFonts w:cs="宋体" w:hint="eastAsia"/>
                <w:bCs/>
              </w:rPr>
              <w:t>信用借款</w:t>
            </w:r>
          </w:p>
        </w:tc>
        <w:tc>
          <w:tcPr>
            <w:tcW w:w="3051" w:type="dxa"/>
            <w:vAlign w:val="center"/>
          </w:tcPr>
          <w:p w14:paraId="63A6B5A6" w14:textId="77777777" w:rsidR="005E000F" w:rsidRDefault="00000000">
            <w:pPr>
              <w:autoSpaceDE w:val="0"/>
              <w:autoSpaceDN w:val="0"/>
              <w:adjustRightInd w:val="0"/>
              <w:snapToGrid w:val="0"/>
              <w:ind w:right="180"/>
              <w:jc w:val="right"/>
            </w:pPr>
            <w:r>
              <w:t>10,474,948,082</w:t>
            </w:r>
          </w:p>
        </w:tc>
        <w:tc>
          <w:tcPr>
            <w:tcW w:w="2946" w:type="dxa"/>
            <w:vAlign w:val="center"/>
          </w:tcPr>
          <w:p w14:paraId="0D9384BD" w14:textId="77777777" w:rsidR="005E000F" w:rsidRDefault="00000000">
            <w:pPr>
              <w:autoSpaceDE w:val="0"/>
              <w:autoSpaceDN w:val="0"/>
              <w:adjustRightInd w:val="0"/>
              <w:snapToGrid w:val="0"/>
              <w:ind w:right="180"/>
              <w:jc w:val="right"/>
              <w:rPr>
                <w:lang w:eastAsia="en-US"/>
              </w:rPr>
            </w:pPr>
            <w:r>
              <w:t>10,564,974,301</w:t>
            </w:r>
          </w:p>
        </w:tc>
      </w:tr>
      <w:tr w:rsidR="005E000F" w14:paraId="76E2002C" w14:textId="77777777">
        <w:trPr>
          <w:cantSplit/>
        </w:trPr>
        <w:tc>
          <w:tcPr>
            <w:tcW w:w="3051" w:type="dxa"/>
          </w:tcPr>
          <w:p w14:paraId="1D5A7FEF" w14:textId="77777777" w:rsidR="005E000F" w:rsidRDefault="00000000">
            <w:pPr>
              <w:rPr>
                <w:rFonts w:cs="宋体"/>
                <w:bCs/>
                <w:lang w:eastAsia="en-US"/>
              </w:rPr>
            </w:pPr>
            <w:r>
              <w:rPr>
                <w:rFonts w:cs="宋体" w:hint="eastAsia"/>
                <w:bCs/>
              </w:rPr>
              <w:t>委托贷款</w:t>
            </w:r>
          </w:p>
        </w:tc>
        <w:tc>
          <w:tcPr>
            <w:tcW w:w="3051" w:type="dxa"/>
            <w:vAlign w:val="center"/>
          </w:tcPr>
          <w:p w14:paraId="33EAA55A" w14:textId="77777777" w:rsidR="005E000F" w:rsidRDefault="00000000">
            <w:pPr>
              <w:autoSpaceDE w:val="0"/>
              <w:autoSpaceDN w:val="0"/>
              <w:adjustRightInd w:val="0"/>
              <w:snapToGrid w:val="0"/>
              <w:ind w:right="180"/>
              <w:jc w:val="right"/>
            </w:pPr>
            <w:r>
              <w:t>400,</w:t>
            </w:r>
            <w:r>
              <w:rPr>
                <w:rFonts w:hint="eastAsia"/>
              </w:rPr>
              <w:t>286</w:t>
            </w:r>
            <w:r>
              <w:t>,</w:t>
            </w:r>
            <w:r>
              <w:rPr>
                <w:rFonts w:hint="eastAsia"/>
              </w:rPr>
              <w:t>000</w:t>
            </w:r>
          </w:p>
        </w:tc>
        <w:tc>
          <w:tcPr>
            <w:tcW w:w="2946" w:type="dxa"/>
            <w:vAlign w:val="center"/>
          </w:tcPr>
          <w:p w14:paraId="4BD64A02" w14:textId="77777777" w:rsidR="005E000F" w:rsidRDefault="00000000">
            <w:pPr>
              <w:autoSpaceDE w:val="0"/>
              <w:autoSpaceDN w:val="0"/>
              <w:adjustRightInd w:val="0"/>
              <w:snapToGrid w:val="0"/>
              <w:ind w:right="180"/>
              <w:jc w:val="right"/>
              <w:rPr>
                <w:lang w:eastAsia="en-US"/>
              </w:rPr>
            </w:pPr>
            <w:r>
              <w:t>400,354,444</w:t>
            </w:r>
          </w:p>
        </w:tc>
      </w:tr>
      <w:tr w:rsidR="005E000F" w14:paraId="091E3E89" w14:textId="77777777">
        <w:trPr>
          <w:cantSplit/>
        </w:trPr>
        <w:tc>
          <w:tcPr>
            <w:tcW w:w="3051" w:type="dxa"/>
          </w:tcPr>
          <w:p w14:paraId="572D82D5" w14:textId="77777777" w:rsidR="005E000F" w:rsidRDefault="00000000">
            <w:pPr>
              <w:rPr>
                <w:rFonts w:cs="宋体"/>
                <w:bCs/>
              </w:rPr>
            </w:pPr>
            <w:r>
              <w:rPr>
                <w:rFonts w:cs="宋体" w:hint="eastAsia"/>
                <w:bCs/>
              </w:rPr>
              <w:t>减：一年以内到期的长期借款</w:t>
            </w:r>
          </w:p>
        </w:tc>
        <w:tc>
          <w:tcPr>
            <w:tcW w:w="3051" w:type="dxa"/>
            <w:vAlign w:val="center"/>
          </w:tcPr>
          <w:p w14:paraId="0801001F" w14:textId="77777777" w:rsidR="005E000F" w:rsidRDefault="00000000">
            <w:pPr>
              <w:autoSpaceDE w:val="0"/>
              <w:autoSpaceDN w:val="0"/>
              <w:adjustRightInd w:val="0"/>
              <w:snapToGrid w:val="0"/>
              <w:ind w:right="180"/>
              <w:jc w:val="right"/>
            </w:pPr>
            <w:r>
              <w:t>1,090,759,835</w:t>
            </w:r>
          </w:p>
        </w:tc>
        <w:tc>
          <w:tcPr>
            <w:tcW w:w="2946" w:type="dxa"/>
            <w:vAlign w:val="center"/>
          </w:tcPr>
          <w:p w14:paraId="296E5777" w14:textId="77777777" w:rsidR="005E000F" w:rsidRDefault="00000000">
            <w:pPr>
              <w:autoSpaceDE w:val="0"/>
              <w:autoSpaceDN w:val="0"/>
              <w:adjustRightInd w:val="0"/>
              <w:snapToGrid w:val="0"/>
              <w:ind w:right="180"/>
              <w:jc w:val="right"/>
              <w:rPr>
                <w:lang w:eastAsia="en-US"/>
              </w:rPr>
            </w:pPr>
            <w:r>
              <w:t>1,538,886,121</w:t>
            </w:r>
          </w:p>
        </w:tc>
      </w:tr>
      <w:tr w:rsidR="005E000F" w14:paraId="405A7691" w14:textId="77777777">
        <w:trPr>
          <w:cantSplit/>
        </w:trPr>
        <w:tc>
          <w:tcPr>
            <w:tcW w:w="3051" w:type="dxa"/>
            <w:vAlign w:val="center"/>
          </w:tcPr>
          <w:p w14:paraId="6851BA20" w14:textId="77777777" w:rsidR="005E000F" w:rsidRDefault="00000000">
            <w:pPr>
              <w:autoSpaceDE w:val="0"/>
              <w:autoSpaceDN w:val="0"/>
              <w:adjustRightInd w:val="0"/>
              <w:snapToGrid w:val="0"/>
              <w:jc w:val="center"/>
            </w:pPr>
            <w:r>
              <w:rPr>
                <w:rFonts w:hint="eastAsia"/>
              </w:rPr>
              <w:t>合计</w:t>
            </w:r>
          </w:p>
        </w:tc>
        <w:tc>
          <w:tcPr>
            <w:tcW w:w="3051" w:type="dxa"/>
            <w:vAlign w:val="center"/>
          </w:tcPr>
          <w:p w14:paraId="225E4BD9" w14:textId="77777777" w:rsidR="005E000F" w:rsidRDefault="00000000">
            <w:pPr>
              <w:autoSpaceDE w:val="0"/>
              <w:autoSpaceDN w:val="0"/>
              <w:adjustRightInd w:val="0"/>
              <w:snapToGrid w:val="0"/>
              <w:ind w:right="180"/>
              <w:jc w:val="right"/>
            </w:pPr>
            <w:r>
              <w:t>9,836,518,799</w:t>
            </w:r>
          </w:p>
        </w:tc>
        <w:tc>
          <w:tcPr>
            <w:tcW w:w="2946" w:type="dxa"/>
            <w:vAlign w:val="center"/>
          </w:tcPr>
          <w:p w14:paraId="16907EBB" w14:textId="77777777" w:rsidR="005E000F" w:rsidRDefault="00000000">
            <w:pPr>
              <w:autoSpaceDE w:val="0"/>
              <w:autoSpaceDN w:val="0"/>
              <w:adjustRightInd w:val="0"/>
              <w:snapToGrid w:val="0"/>
              <w:ind w:right="180"/>
              <w:jc w:val="right"/>
              <w:rPr>
                <w:lang w:eastAsia="en-US"/>
              </w:rPr>
            </w:pPr>
            <w:r>
              <w:t>9,483,288,955</w:t>
            </w:r>
          </w:p>
        </w:tc>
      </w:tr>
    </w:tbl>
    <w:p w14:paraId="69838013" w14:textId="77777777" w:rsidR="005E000F" w:rsidRDefault="00000000">
      <w:pPr>
        <w:snapToGrid w:val="0"/>
        <w:spacing w:before="60" w:after="60" w:line="240" w:lineRule="atLeast"/>
      </w:pPr>
      <w:r>
        <w:rPr>
          <w:rFonts w:hint="eastAsia"/>
        </w:rPr>
        <w:t>长期借款分类的说明：</w:t>
      </w:r>
    </w:p>
    <w:sdt>
      <w:sdtPr>
        <w:alias w:val="长期借款分类的说明"/>
        <w:tag w:val="_GBC_b89f86a2a8054eb2892900c86ecbdcb3"/>
        <w:id w:val="-627861604"/>
        <w:placeholder>
          <w:docPart w:val="GBC22222222222222222222222222222"/>
        </w:placeholder>
      </w:sdtPr>
      <w:sdtContent>
        <w:p w14:paraId="74D54C37" w14:textId="77777777" w:rsidR="005E000F" w:rsidRDefault="00000000">
          <w:pPr>
            <w:snapToGrid w:val="0"/>
            <w:rPr>
              <w:rFonts w:cstheme="minorBidi"/>
              <w:color w:val="000000" w:themeColor="text1"/>
              <w:kern w:val="2"/>
            </w:rPr>
          </w:pPr>
          <w:r>
            <w:rPr>
              <w:rFonts w:hint="eastAsia"/>
            </w:rPr>
            <w:t>无</w:t>
          </w:r>
        </w:p>
      </w:sdtContent>
    </w:sdt>
    <w:p w14:paraId="35D9C8BA" w14:textId="77777777" w:rsidR="005E000F" w:rsidRDefault="005E000F">
      <w:pPr>
        <w:snapToGrid w:val="0"/>
        <w:rPr>
          <w:rFonts w:cstheme="minorBidi"/>
          <w:color w:val="000000" w:themeColor="text1"/>
          <w:kern w:val="2"/>
        </w:rPr>
      </w:pPr>
    </w:p>
    <w:p w14:paraId="7EF64D06" w14:textId="77777777" w:rsidR="005E000F" w:rsidRDefault="00000000">
      <w:pPr>
        <w:snapToGrid w:val="0"/>
        <w:rPr>
          <w:color w:val="000000" w:themeColor="text1"/>
        </w:rPr>
      </w:pPr>
      <w:r>
        <w:rPr>
          <w:rFonts w:hint="eastAsia"/>
          <w:color w:val="000000" w:themeColor="text1"/>
        </w:rPr>
        <w:t>其他说明：</w:t>
      </w:r>
    </w:p>
    <w:sdt>
      <w:sdtPr>
        <w:rPr>
          <w:color w:val="000000" w:themeColor="text1"/>
        </w:rPr>
        <w:alias w:val="是否适用：长期借款的说明[双击切换]"/>
        <w:tag w:val="_GBC_81b19a673078421a910ba8721333fbbe"/>
        <w:id w:val="-1611657624"/>
        <w:placeholder>
          <w:docPart w:val="GBC22222222222222222222222222222"/>
        </w:placeholder>
      </w:sdtPr>
      <w:sdtContent>
        <w:p w14:paraId="49F5EDFE" w14:textId="77777777" w:rsidR="005E000F" w:rsidRDefault="00000000">
          <w:pPr>
            <w:snapToGrid w:val="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sdt>
      <w:sdtPr>
        <w:alias w:val="长期借款的说明"/>
        <w:tag w:val="_GBC_5848bb69eab4491191dfd1df2d6dde23"/>
        <w:id w:val="-146202991"/>
        <w:placeholder>
          <w:docPart w:val="GBC22222222222222222222222222222"/>
        </w:placeholder>
      </w:sdtPr>
      <w:sdtContent>
        <w:p w14:paraId="7AB80B34" w14:textId="77777777" w:rsidR="005E000F" w:rsidRDefault="00000000">
          <w:pPr>
            <w:snapToGrid w:val="0"/>
          </w:pPr>
          <w:r>
            <w:t>于</w:t>
          </w:r>
          <w:r>
            <w:t>2025</w:t>
          </w:r>
          <w:r>
            <w:t>年</w:t>
          </w:r>
          <w:r>
            <w:t>12</w:t>
          </w:r>
          <w:r>
            <w:t>月</w:t>
          </w:r>
          <w:r>
            <w:t>31</w:t>
          </w:r>
          <w:r>
            <w:t>日，长期借款的利率区间为</w:t>
          </w:r>
          <w:r>
            <w:t>1.8%~3.26%</w:t>
          </w:r>
          <w:r>
            <w:rPr>
              <w:rFonts w:hint="eastAsia"/>
            </w:rPr>
            <w:t>（</w:t>
          </w:r>
          <w:r>
            <w:t>2024</w:t>
          </w:r>
          <w:r>
            <w:t>年</w:t>
          </w:r>
          <w:r>
            <w:t>12</w:t>
          </w:r>
          <w:r>
            <w:t>月</w:t>
          </w:r>
          <w:r>
            <w:t>31</w:t>
          </w:r>
          <w:r>
            <w:t>日：长期借款的利率区间为</w:t>
          </w:r>
          <w:r>
            <w:rPr>
              <w:rFonts w:hint="eastAsia"/>
            </w:rPr>
            <w:t>1</w:t>
          </w:r>
          <w:r>
            <w:t>.90%~</w:t>
          </w:r>
          <w:r>
            <w:rPr>
              <w:rFonts w:hint="eastAsia"/>
            </w:rPr>
            <w:t>5</w:t>
          </w:r>
          <w:r>
            <w:t>.</w:t>
          </w:r>
          <w:r>
            <w:rPr>
              <w:rFonts w:hint="eastAsia"/>
            </w:rPr>
            <w:t>40</w:t>
          </w:r>
          <w:r>
            <w:t>%</w:t>
          </w:r>
          <w:r>
            <w:rPr>
              <w:rFonts w:hint="eastAsia"/>
            </w:rPr>
            <w:t>）</w:t>
          </w:r>
          <w:r>
            <w:t>。</w:t>
          </w:r>
          <w:r>
            <w:t xml:space="preserve"> </w:t>
          </w:r>
        </w:p>
        <w:p w14:paraId="0192B33E" w14:textId="77777777" w:rsidR="005E000F" w:rsidRDefault="005E000F">
          <w:pPr>
            <w:snapToGrid w:val="0"/>
          </w:pPr>
        </w:p>
        <w:p w14:paraId="73F313FB" w14:textId="77777777" w:rsidR="005E000F" w:rsidRDefault="00000000">
          <w:pPr>
            <w:snapToGrid w:val="0"/>
          </w:pPr>
          <w:r>
            <w:rPr>
              <w:rFonts w:hint="eastAsia"/>
            </w:rPr>
            <w:t>本</w:t>
          </w:r>
          <w:r>
            <w:t>公司之子公司中鼎物流以土地使用权抵押的方式自中间控股股东中国铁路太原</w:t>
          </w:r>
          <w:proofErr w:type="gramStart"/>
          <w:r>
            <w:t>局集团</w:t>
          </w:r>
          <w:proofErr w:type="gramEnd"/>
          <w:r>
            <w:t>有限公司借入委托贷款共计人民币</w:t>
          </w:r>
          <w:r>
            <w:t>400,000,000</w:t>
          </w:r>
          <w:r>
            <w:t>元，借款利率为</w:t>
          </w:r>
          <w:r>
            <w:rPr>
              <w:rFonts w:hint="eastAsia"/>
            </w:rPr>
            <w:t>浮动利率</w:t>
          </w:r>
          <w:r>
            <w:t>，付息方式均为按季度付息，到期一次性还本。</w:t>
          </w:r>
        </w:p>
      </w:sdtContent>
    </w:sdt>
    <w:p w14:paraId="4F5288CF" w14:textId="77777777" w:rsidR="005E000F" w:rsidRDefault="005E000F"/>
    <w:p w14:paraId="2C573F8C"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应付债券</w:t>
      </w:r>
    </w:p>
    <w:p w14:paraId="2A2DA93D" w14:textId="77777777" w:rsidR="005E000F" w:rsidRDefault="00000000">
      <w:pPr>
        <w:pStyle w:val="4"/>
        <w:numPr>
          <w:ilvl w:val="0"/>
          <w:numId w:val="98"/>
        </w:numPr>
        <w:ind w:left="426" w:hanging="426"/>
      </w:pPr>
      <w:r>
        <w:rPr>
          <w:rFonts w:hint="eastAsia"/>
        </w:rPr>
        <w:t>应付债券</w:t>
      </w:r>
    </w:p>
    <w:sdt>
      <w:sdtPr>
        <w:alias w:val="是否适用：应付债券[双击切换]"/>
        <w:tag w:val="_GBC_645b020b25af4284b8eff88f14f8c5c2"/>
        <w:id w:val="-205492053"/>
        <w:placeholder>
          <w:docPart w:val="GBC22222222222222222222222222222"/>
        </w:placeholder>
      </w:sdtPr>
      <w:sdtContent>
        <w:p w14:paraId="34C258A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ED01A85" w14:textId="77777777" w:rsidR="005E000F" w:rsidRDefault="00000000">
      <w:pPr>
        <w:jc w:val="right"/>
      </w:pPr>
      <w:r>
        <w:rPr>
          <w:rFonts w:hint="eastAsia"/>
        </w:rPr>
        <w:t>单位：</w:t>
      </w:r>
      <w:sdt>
        <w:sdtPr>
          <w:rPr>
            <w:rFonts w:hint="eastAsia"/>
          </w:rPr>
          <w:alias w:val="单位：财务附注：应付债券"/>
          <w:tag w:val="_GBC_57b3a408d4a84bb0a330d1831f7c6f29"/>
          <w:id w:val="-174894532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应付债券"/>
          <w:tag w:val="_GBC_058298e5284a4aa58bf3ef0038f20732"/>
          <w:id w:val="-16122750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054"/>
        <w:gridCol w:w="3078"/>
        <w:gridCol w:w="2926"/>
      </w:tblGrid>
      <w:tr w:rsidR="005E000F" w14:paraId="38E58AEB" w14:textId="77777777">
        <w:trPr>
          <w:cantSplit/>
          <w:trHeight w:val="252"/>
        </w:trPr>
        <w:sdt>
          <w:sdtPr>
            <w:tag w:val="_PLD_b1ab73cce61a4f81a37c70a551b42047"/>
            <w:id w:val="-1598099774"/>
          </w:sdtPr>
          <w:sdtContent>
            <w:tc>
              <w:tcPr>
                <w:tcW w:w="3054" w:type="dxa"/>
                <w:vAlign w:val="center"/>
              </w:tcPr>
              <w:p w14:paraId="309632F7" w14:textId="77777777" w:rsidR="005E000F" w:rsidRDefault="00000000">
                <w:pPr>
                  <w:jc w:val="center"/>
                </w:pPr>
                <w:r>
                  <w:rPr>
                    <w:rFonts w:hint="eastAsia"/>
                  </w:rPr>
                  <w:t>项目</w:t>
                </w:r>
              </w:p>
            </w:tc>
          </w:sdtContent>
        </w:sdt>
        <w:sdt>
          <w:sdtPr>
            <w:tag w:val="_PLD_3d8bcc7ecd3e4fd5ad328c296fbe1164"/>
            <w:id w:val="-300849300"/>
          </w:sdtPr>
          <w:sdtContent>
            <w:tc>
              <w:tcPr>
                <w:tcW w:w="3078" w:type="dxa"/>
                <w:vAlign w:val="center"/>
              </w:tcPr>
              <w:p w14:paraId="0D2DEE9F" w14:textId="77777777" w:rsidR="005E000F" w:rsidRDefault="00000000">
                <w:pPr>
                  <w:adjustRightInd w:val="0"/>
                  <w:snapToGrid w:val="0"/>
                  <w:ind w:leftChars="-2" w:left="-2" w:rightChars="9" w:right="19" w:hangingChars="1" w:hanging="2"/>
                  <w:jc w:val="center"/>
                  <w:rPr>
                    <w:b/>
                  </w:rPr>
                </w:pPr>
                <w:r>
                  <w:rPr>
                    <w:rFonts w:hint="eastAsia"/>
                  </w:rPr>
                  <w:t>期末余额</w:t>
                </w:r>
              </w:p>
            </w:tc>
          </w:sdtContent>
        </w:sdt>
        <w:sdt>
          <w:sdtPr>
            <w:tag w:val="_PLD_82ec823678804bd3ba2932976400cc89"/>
            <w:id w:val="-361979532"/>
          </w:sdtPr>
          <w:sdtContent>
            <w:tc>
              <w:tcPr>
                <w:tcW w:w="2926" w:type="dxa"/>
                <w:vAlign w:val="center"/>
              </w:tcPr>
              <w:p w14:paraId="362808C7" w14:textId="77777777" w:rsidR="005E000F" w:rsidRDefault="00000000">
                <w:pPr>
                  <w:adjustRightInd w:val="0"/>
                  <w:snapToGrid w:val="0"/>
                  <w:ind w:leftChars="-2" w:left="-2" w:rightChars="9" w:right="19" w:hangingChars="1" w:hanging="2"/>
                  <w:jc w:val="center"/>
                </w:pPr>
                <w:r>
                  <w:rPr>
                    <w:rFonts w:hint="eastAsia"/>
                  </w:rPr>
                  <w:t>期初余额</w:t>
                </w:r>
              </w:p>
            </w:tc>
          </w:sdtContent>
        </w:sdt>
      </w:tr>
      <w:tr w:rsidR="005E000F" w14:paraId="08547213" w14:textId="77777777">
        <w:trPr>
          <w:cantSplit/>
        </w:trPr>
        <w:tc>
          <w:tcPr>
            <w:tcW w:w="3054" w:type="dxa"/>
          </w:tcPr>
          <w:p w14:paraId="590F1DEE" w14:textId="77777777" w:rsidR="005E000F" w:rsidRDefault="00000000">
            <w:pPr>
              <w:rPr>
                <w:rFonts w:cs="宋体"/>
                <w:bCs/>
                <w:lang w:eastAsia="en-US"/>
              </w:rPr>
            </w:pPr>
            <w:r>
              <w:rPr>
                <w:rFonts w:cs="宋体" w:hint="eastAsia"/>
                <w:bCs/>
              </w:rPr>
              <w:t>可转换公司债</w:t>
            </w:r>
            <w:proofErr w:type="gramStart"/>
            <w:r>
              <w:rPr>
                <w:rFonts w:cs="宋体" w:hint="eastAsia"/>
                <w:bCs/>
              </w:rPr>
              <w:t>券</w:t>
            </w:r>
            <w:proofErr w:type="gramEnd"/>
          </w:p>
        </w:tc>
        <w:tc>
          <w:tcPr>
            <w:tcW w:w="3078" w:type="dxa"/>
            <w:vAlign w:val="center"/>
          </w:tcPr>
          <w:p w14:paraId="33FC1505" w14:textId="77777777" w:rsidR="005E000F" w:rsidRDefault="00000000">
            <w:pPr>
              <w:jc w:val="right"/>
            </w:pPr>
            <w:r>
              <w:rPr>
                <w:rFonts w:hint="eastAsia"/>
              </w:rPr>
              <w:t>0</w:t>
            </w:r>
          </w:p>
        </w:tc>
        <w:tc>
          <w:tcPr>
            <w:tcW w:w="2926" w:type="dxa"/>
          </w:tcPr>
          <w:p w14:paraId="68BF2752" w14:textId="77777777" w:rsidR="005E000F" w:rsidRDefault="00000000">
            <w:pPr>
              <w:jc w:val="right"/>
              <w:rPr>
                <w:lang w:eastAsia="en-US"/>
              </w:rPr>
            </w:pPr>
            <w:r>
              <w:t>7,602,639,363</w:t>
            </w:r>
          </w:p>
        </w:tc>
      </w:tr>
      <w:tr w:rsidR="005E000F" w14:paraId="549934AC" w14:textId="77777777">
        <w:trPr>
          <w:cantSplit/>
        </w:trPr>
        <w:tc>
          <w:tcPr>
            <w:tcW w:w="3054" w:type="dxa"/>
          </w:tcPr>
          <w:p w14:paraId="2AA8EAFE" w14:textId="77777777" w:rsidR="005E000F" w:rsidRDefault="00000000">
            <w:pPr>
              <w:rPr>
                <w:rFonts w:cs="宋体"/>
                <w:bCs/>
              </w:rPr>
            </w:pPr>
            <w:r>
              <w:rPr>
                <w:rFonts w:cs="宋体" w:hint="eastAsia"/>
                <w:bCs/>
              </w:rPr>
              <w:t>减：一年内到期的应付债券</w:t>
            </w:r>
          </w:p>
        </w:tc>
        <w:tc>
          <w:tcPr>
            <w:tcW w:w="3078" w:type="dxa"/>
            <w:vAlign w:val="center"/>
          </w:tcPr>
          <w:p w14:paraId="2D4BCC92" w14:textId="77777777" w:rsidR="005E000F" w:rsidRDefault="00000000">
            <w:pPr>
              <w:jc w:val="right"/>
            </w:pPr>
            <w:r>
              <w:rPr>
                <w:rFonts w:hint="eastAsia"/>
              </w:rPr>
              <w:t>0</w:t>
            </w:r>
          </w:p>
        </w:tc>
        <w:tc>
          <w:tcPr>
            <w:tcW w:w="2926" w:type="dxa"/>
          </w:tcPr>
          <w:p w14:paraId="4FF3BCA7" w14:textId="77777777" w:rsidR="005E000F" w:rsidRDefault="00000000">
            <w:pPr>
              <w:jc w:val="right"/>
              <w:rPr>
                <w:lang w:eastAsia="en-US"/>
              </w:rPr>
            </w:pPr>
            <w:r>
              <w:t>9,288,412</w:t>
            </w:r>
          </w:p>
        </w:tc>
      </w:tr>
      <w:tr w:rsidR="005E000F" w14:paraId="2605A60E" w14:textId="77777777">
        <w:trPr>
          <w:cantSplit/>
        </w:trPr>
        <w:tc>
          <w:tcPr>
            <w:tcW w:w="3054" w:type="dxa"/>
            <w:vAlign w:val="center"/>
          </w:tcPr>
          <w:p w14:paraId="14869ACE" w14:textId="77777777" w:rsidR="005E000F" w:rsidRDefault="00000000">
            <w:pPr>
              <w:jc w:val="center"/>
            </w:pPr>
            <w:r>
              <w:rPr>
                <w:rFonts w:hint="eastAsia"/>
              </w:rPr>
              <w:t>合计</w:t>
            </w:r>
          </w:p>
        </w:tc>
        <w:tc>
          <w:tcPr>
            <w:tcW w:w="3078" w:type="dxa"/>
            <w:vAlign w:val="center"/>
          </w:tcPr>
          <w:p w14:paraId="0AED8F08" w14:textId="77777777" w:rsidR="005E000F" w:rsidRDefault="00000000">
            <w:pPr>
              <w:jc w:val="right"/>
            </w:pPr>
            <w:r>
              <w:rPr>
                <w:rFonts w:hint="eastAsia"/>
              </w:rPr>
              <w:t>0</w:t>
            </w:r>
          </w:p>
        </w:tc>
        <w:tc>
          <w:tcPr>
            <w:tcW w:w="2926" w:type="dxa"/>
          </w:tcPr>
          <w:p w14:paraId="5694D03D" w14:textId="77777777" w:rsidR="005E000F" w:rsidRDefault="00000000">
            <w:pPr>
              <w:jc w:val="right"/>
              <w:rPr>
                <w:lang w:eastAsia="en-US"/>
              </w:rPr>
            </w:pPr>
            <w:r>
              <w:t>7,593,350,951</w:t>
            </w:r>
          </w:p>
        </w:tc>
      </w:tr>
    </w:tbl>
    <w:p w14:paraId="41C01E29" w14:textId="77777777" w:rsidR="005E000F" w:rsidRDefault="005E000F"/>
    <w:p w14:paraId="0251D1C8" w14:textId="77777777" w:rsidR="005E000F" w:rsidRDefault="005E000F">
      <w:pPr>
        <w:sectPr w:rsidR="005E000F">
          <w:pgSz w:w="11906" w:h="16838"/>
          <w:pgMar w:top="1440" w:right="1797" w:bottom="1525" w:left="1276" w:header="856" w:footer="992" w:gutter="0"/>
          <w:cols w:space="425"/>
          <w:docGrid w:linePitch="312"/>
        </w:sectPr>
      </w:pPr>
    </w:p>
    <w:p w14:paraId="17E992B1" w14:textId="77777777" w:rsidR="005E000F" w:rsidRDefault="00000000">
      <w:pPr>
        <w:pStyle w:val="4"/>
        <w:numPr>
          <w:ilvl w:val="0"/>
          <w:numId w:val="98"/>
        </w:numPr>
        <w:ind w:left="426" w:hanging="426"/>
      </w:pPr>
      <w:r>
        <w:lastRenderedPageBreak/>
        <w:t>应付债券的具体情况</w:t>
      </w:r>
      <w:r>
        <w:rPr>
          <w:rFonts w:hint="eastAsia"/>
        </w:rPr>
        <w:t>：（不包括划分为金融负债的优先股、永续债等其他金融工具）</w:t>
      </w:r>
    </w:p>
    <w:sdt>
      <w:sdtPr>
        <w:alias w:val="是否适用：应付债券的增减变动[双击切换]"/>
        <w:tag w:val="_GBC_a682f35f6b7c4d8b840f80705a81f19c"/>
        <w:id w:val="787710045"/>
      </w:sdtPr>
      <w:sdtContent>
        <w:p w14:paraId="76AD4A2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sdtContent>
    </w:sdt>
    <w:p w14:paraId="710266F9" w14:textId="77777777" w:rsidR="005E000F" w:rsidRDefault="00000000">
      <w:pPr>
        <w:jc w:val="right"/>
      </w:pPr>
      <w:r>
        <w:rPr>
          <w:rFonts w:hint="eastAsia"/>
        </w:rPr>
        <w:t>单位：</w:t>
      </w:r>
      <w:sdt>
        <w:sdtPr>
          <w:rPr>
            <w:rFonts w:hint="eastAsia"/>
          </w:rPr>
          <w:alias w:val="单位：财务附注：应付债券的增减变动"/>
          <w:tag w:val="_GBC_221366b8136447aca9359e6115acb07a"/>
          <w:id w:val="-708491813"/>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rPr>
          <w:rFonts w:hint="eastAsia"/>
        </w:rPr>
        <w:t>币种：</w:t>
      </w:r>
      <w:sdt>
        <w:sdtPr>
          <w:rPr>
            <w:rFonts w:hint="eastAsia"/>
          </w:rPr>
          <w:alias w:val="币种：财务附注：应付债券的增减变动"/>
          <w:tag w:val="_GBC_ab4475cd02fd49449e15ccf7e0fadc42"/>
          <w:id w:val="65325368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722"/>
        <w:gridCol w:w="826"/>
        <w:gridCol w:w="2007"/>
        <w:gridCol w:w="738"/>
        <w:gridCol w:w="1499"/>
        <w:gridCol w:w="1418"/>
        <w:gridCol w:w="477"/>
        <w:gridCol w:w="1235"/>
        <w:gridCol w:w="1165"/>
        <w:gridCol w:w="1404"/>
        <w:gridCol w:w="1176"/>
        <w:gridCol w:w="426"/>
      </w:tblGrid>
      <w:tr w:rsidR="005E000F" w14:paraId="3D29D078" w14:textId="77777777">
        <w:trPr>
          <w:cantSplit/>
          <w:trHeight w:val="590"/>
        </w:trPr>
        <w:tc>
          <w:tcPr>
            <w:tcW w:w="611" w:type="pct"/>
            <w:vAlign w:val="center"/>
          </w:tcPr>
          <w:p w14:paraId="04355047" w14:textId="77777777" w:rsidR="005E000F" w:rsidRDefault="00000000">
            <w:pPr>
              <w:jc w:val="center"/>
              <w:rPr>
                <w:sz w:val="20"/>
                <w:szCs w:val="20"/>
              </w:rPr>
            </w:pPr>
            <w:r>
              <w:rPr>
                <w:rFonts w:hint="eastAsia"/>
                <w:sz w:val="20"/>
                <w:szCs w:val="20"/>
              </w:rPr>
              <w:t>债券</w:t>
            </w:r>
          </w:p>
          <w:p w14:paraId="0C5563FA" w14:textId="77777777" w:rsidR="005E000F" w:rsidRDefault="00000000">
            <w:pPr>
              <w:jc w:val="center"/>
              <w:rPr>
                <w:sz w:val="20"/>
                <w:szCs w:val="20"/>
              </w:rPr>
            </w:pPr>
            <w:r>
              <w:rPr>
                <w:rFonts w:hint="eastAsia"/>
                <w:sz w:val="20"/>
                <w:szCs w:val="20"/>
              </w:rPr>
              <w:t>名称</w:t>
            </w:r>
          </w:p>
        </w:tc>
        <w:tc>
          <w:tcPr>
            <w:tcW w:w="289" w:type="pct"/>
            <w:vAlign w:val="center"/>
          </w:tcPr>
          <w:p w14:paraId="42E9196E" w14:textId="77777777" w:rsidR="005E000F" w:rsidRDefault="00000000">
            <w:pPr>
              <w:jc w:val="center"/>
              <w:rPr>
                <w:sz w:val="20"/>
                <w:szCs w:val="20"/>
              </w:rPr>
            </w:pPr>
            <w:r>
              <w:rPr>
                <w:rFonts w:hint="eastAsia"/>
                <w:sz w:val="20"/>
                <w:szCs w:val="20"/>
              </w:rPr>
              <w:t>面值（元）</w:t>
            </w:r>
          </w:p>
        </w:tc>
        <w:tc>
          <w:tcPr>
            <w:tcW w:w="712" w:type="pct"/>
            <w:vAlign w:val="center"/>
          </w:tcPr>
          <w:p w14:paraId="03815FDD" w14:textId="77777777" w:rsidR="005E000F" w:rsidRDefault="00000000">
            <w:pPr>
              <w:jc w:val="center"/>
              <w:rPr>
                <w:sz w:val="20"/>
                <w:szCs w:val="20"/>
              </w:rPr>
            </w:pPr>
            <w:r>
              <w:rPr>
                <w:rFonts w:hint="eastAsia"/>
                <w:sz w:val="20"/>
                <w:szCs w:val="20"/>
              </w:rPr>
              <w:t>发行</w:t>
            </w:r>
          </w:p>
          <w:p w14:paraId="15475F07" w14:textId="77777777" w:rsidR="005E000F" w:rsidRDefault="00000000">
            <w:pPr>
              <w:jc w:val="center"/>
              <w:rPr>
                <w:sz w:val="20"/>
                <w:szCs w:val="20"/>
              </w:rPr>
            </w:pPr>
            <w:r>
              <w:rPr>
                <w:rFonts w:hint="eastAsia"/>
                <w:sz w:val="20"/>
                <w:szCs w:val="20"/>
              </w:rPr>
              <w:t>日期</w:t>
            </w:r>
          </w:p>
        </w:tc>
        <w:tc>
          <w:tcPr>
            <w:tcW w:w="263" w:type="pct"/>
            <w:vAlign w:val="center"/>
          </w:tcPr>
          <w:p w14:paraId="6E155CCB" w14:textId="77777777" w:rsidR="005E000F" w:rsidRDefault="00000000">
            <w:pPr>
              <w:jc w:val="center"/>
              <w:rPr>
                <w:sz w:val="20"/>
                <w:szCs w:val="20"/>
              </w:rPr>
            </w:pPr>
            <w:r>
              <w:rPr>
                <w:rFonts w:hint="eastAsia"/>
                <w:sz w:val="20"/>
                <w:szCs w:val="20"/>
              </w:rPr>
              <w:t>债券</w:t>
            </w:r>
          </w:p>
          <w:p w14:paraId="4495BC00" w14:textId="77777777" w:rsidR="005E000F" w:rsidRDefault="00000000">
            <w:pPr>
              <w:jc w:val="center"/>
              <w:rPr>
                <w:sz w:val="20"/>
                <w:szCs w:val="20"/>
              </w:rPr>
            </w:pPr>
            <w:r>
              <w:rPr>
                <w:rFonts w:hint="eastAsia"/>
                <w:sz w:val="20"/>
                <w:szCs w:val="20"/>
              </w:rPr>
              <w:t>期限</w:t>
            </w:r>
          </w:p>
        </w:tc>
        <w:tc>
          <w:tcPr>
            <w:tcW w:w="532" w:type="pct"/>
            <w:vAlign w:val="center"/>
          </w:tcPr>
          <w:p w14:paraId="3F5A2757" w14:textId="77777777" w:rsidR="005E000F" w:rsidRDefault="00000000">
            <w:pPr>
              <w:jc w:val="center"/>
              <w:rPr>
                <w:sz w:val="20"/>
                <w:szCs w:val="20"/>
              </w:rPr>
            </w:pPr>
            <w:r>
              <w:rPr>
                <w:rFonts w:hint="eastAsia"/>
                <w:sz w:val="20"/>
                <w:szCs w:val="20"/>
              </w:rPr>
              <w:t>发行</w:t>
            </w:r>
          </w:p>
          <w:p w14:paraId="00A3F832" w14:textId="77777777" w:rsidR="005E000F" w:rsidRDefault="00000000">
            <w:pPr>
              <w:jc w:val="center"/>
              <w:rPr>
                <w:sz w:val="20"/>
                <w:szCs w:val="20"/>
              </w:rPr>
            </w:pPr>
            <w:r>
              <w:rPr>
                <w:rFonts w:hint="eastAsia"/>
                <w:sz w:val="20"/>
                <w:szCs w:val="20"/>
              </w:rPr>
              <w:t>金额</w:t>
            </w:r>
          </w:p>
        </w:tc>
        <w:tc>
          <w:tcPr>
            <w:tcW w:w="503" w:type="pct"/>
            <w:vAlign w:val="center"/>
          </w:tcPr>
          <w:p w14:paraId="2D75437F" w14:textId="77777777" w:rsidR="005E000F" w:rsidRDefault="00000000">
            <w:pPr>
              <w:jc w:val="center"/>
              <w:rPr>
                <w:sz w:val="20"/>
                <w:szCs w:val="20"/>
              </w:rPr>
            </w:pPr>
            <w:r>
              <w:rPr>
                <w:rFonts w:hint="eastAsia"/>
                <w:sz w:val="20"/>
                <w:szCs w:val="20"/>
              </w:rPr>
              <w:t>期初</w:t>
            </w:r>
          </w:p>
          <w:p w14:paraId="06AB34DC" w14:textId="77777777" w:rsidR="005E000F" w:rsidRDefault="00000000">
            <w:pPr>
              <w:jc w:val="center"/>
              <w:rPr>
                <w:sz w:val="20"/>
                <w:szCs w:val="20"/>
              </w:rPr>
            </w:pPr>
            <w:r>
              <w:rPr>
                <w:rFonts w:hint="eastAsia"/>
                <w:sz w:val="20"/>
                <w:szCs w:val="20"/>
              </w:rPr>
              <w:t>余额</w:t>
            </w:r>
          </w:p>
        </w:tc>
        <w:tc>
          <w:tcPr>
            <w:tcW w:w="170" w:type="pct"/>
            <w:vAlign w:val="center"/>
          </w:tcPr>
          <w:p w14:paraId="7117931B" w14:textId="77777777" w:rsidR="005E000F" w:rsidRDefault="00000000">
            <w:pPr>
              <w:jc w:val="center"/>
              <w:rPr>
                <w:sz w:val="20"/>
                <w:szCs w:val="20"/>
              </w:rPr>
            </w:pPr>
            <w:r>
              <w:rPr>
                <w:rFonts w:hint="eastAsia"/>
                <w:sz w:val="20"/>
                <w:szCs w:val="20"/>
              </w:rPr>
              <w:t>本期</w:t>
            </w:r>
          </w:p>
          <w:p w14:paraId="30735754" w14:textId="77777777" w:rsidR="005E000F" w:rsidRDefault="00000000">
            <w:pPr>
              <w:jc w:val="center"/>
              <w:rPr>
                <w:sz w:val="20"/>
                <w:szCs w:val="20"/>
              </w:rPr>
            </w:pPr>
            <w:r>
              <w:rPr>
                <w:rFonts w:hint="eastAsia"/>
                <w:sz w:val="20"/>
                <w:szCs w:val="20"/>
              </w:rPr>
              <w:t>发行</w:t>
            </w:r>
          </w:p>
        </w:tc>
        <w:tc>
          <w:tcPr>
            <w:tcW w:w="438" w:type="pct"/>
            <w:vAlign w:val="center"/>
          </w:tcPr>
          <w:p w14:paraId="53E9EB96" w14:textId="77777777" w:rsidR="005E000F" w:rsidRDefault="00000000">
            <w:pPr>
              <w:jc w:val="center"/>
              <w:rPr>
                <w:sz w:val="20"/>
                <w:szCs w:val="20"/>
              </w:rPr>
            </w:pPr>
            <w:r>
              <w:rPr>
                <w:rFonts w:hint="eastAsia"/>
                <w:sz w:val="20"/>
                <w:szCs w:val="20"/>
              </w:rPr>
              <w:t>按面值计提利息</w:t>
            </w:r>
          </w:p>
        </w:tc>
        <w:tc>
          <w:tcPr>
            <w:tcW w:w="413" w:type="pct"/>
            <w:vAlign w:val="center"/>
          </w:tcPr>
          <w:p w14:paraId="4FFFAA90" w14:textId="77777777" w:rsidR="005E000F" w:rsidRDefault="00000000">
            <w:pPr>
              <w:jc w:val="center"/>
              <w:rPr>
                <w:sz w:val="20"/>
                <w:szCs w:val="20"/>
              </w:rPr>
            </w:pPr>
            <w:proofErr w:type="gramStart"/>
            <w:r>
              <w:rPr>
                <w:rFonts w:hint="eastAsia"/>
                <w:sz w:val="20"/>
                <w:szCs w:val="20"/>
              </w:rPr>
              <w:t>溢</w:t>
            </w:r>
            <w:proofErr w:type="gramEnd"/>
            <w:r>
              <w:rPr>
                <w:rFonts w:hint="eastAsia"/>
                <w:sz w:val="20"/>
                <w:szCs w:val="20"/>
              </w:rPr>
              <w:t>折价摊销</w:t>
            </w:r>
          </w:p>
        </w:tc>
        <w:tc>
          <w:tcPr>
            <w:tcW w:w="498" w:type="pct"/>
            <w:vAlign w:val="center"/>
          </w:tcPr>
          <w:p w14:paraId="1E3F44AF" w14:textId="77777777" w:rsidR="005E000F" w:rsidRDefault="00000000">
            <w:pPr>
              <w:jc w:val="center"/>
              <w:rPr>
                <w:sz w:val="20"/>
                <w:szCs w:val="20"/>
              </w:rPr>
            </w:pPr>
            <w:r>
              <w:rPr>
                <w:rFonts w:hint="eastAsia"/>
                <w:sz w:val="20"/>
                <w:szCs w:val="20"/>
              </w:rPr>
              <w:t>本期</w:t>
            </w:r>
          </w:p>
          <w:p w14:paraId="7C3AB667" w14:textId="77777777" w:rsidR="005E000F" w:rsidRDefault="00000000">
            <w:pPr>
              <w:jc w:val="center"/>
              <w:rPr>
                <w:sz w:val="20"/>
                <w:szCs w:val="20"/>
              </w:rPr>
            </w:pPr>
            <w:r>
              <w:rPr>
                <w:rFonts w:hint="eastAsia"/>
                <w:sz w:val="20"/>
                <w:szCs w:val="20"/>
              </w:rPr>
              <w:t>转股</w:t>
            </w:r>
          </w:p>
        </w:tc>
        <w:tc>
          <w:tcPr>
            <w:tcW w:w="417" w:type="pct"/>
            <w:vAlign w:val="center"/>
          </w:tcPr>
          <w:p w14:paraId="73747C89" w14:textId="77777777" w:rsidR="005E000F" w:rsidRDefault="00000000">
            <w:pPr>
              <w:jc w:val="center"/>
              <w:rPr>
                <w:sz w:val="20"/>
                <w:szCs w:val="20"/>
              </w:rPr>
            </w:pPr>
            <w:r>
              <w:rPr>
                <w:rFonts w:hint="eastAsia"/>
                <w:sz w:val="20"/>
                <w:szCs w:val="20"/>
              </w:rPr>
              <w:t>本期</w:t>
            </w:r>
          </w:p>
          <w:p w14:paraId="56DA7BFE" w14:textId="77777777" w:rsidR="005E000F" w:rsidRDefault="00000000">
            <w:pPr>
              <w:jc w:val="center"/>
              <w:rPr>
                <w:sz w:val="20"/>
                <w:szCs w:val="20"/>
              </w:rPr>
            </w:pPr>
            <w:r>
              <w:rPr>
                <w:rFonts w:hint="eastAsia"/>
                <w:sz w:val="20"/>
                <w:szCs w:val="20"/>
              </w:rPr>
              <w:t>偿还</w:t>
            </w:r>
          </w:p>
        </w:tc>
        <w:tc>
          <w:tcPr>
            <w:tcW w:w="147" w:type="pct"/>
            <w:vAlign w:val="center"/>
          </w:tcPr>
          <w:p w14:paraId="16D3B297" w14:textId="77777777" w:rsidR="005E000F" w:rsidRDefault="00000000">
            <w:pPr>
              <w:jc w:val="center"/>
              <w:rPr>
                <w:sz w:val="20"/>
                <w:szCs w:val="20"/>
              </w:rPr>
            </w:pPr>
            <w:r>
              <w:rPr>
                <w:rFonts w:hint="eastAsia"/>
                <w:sz w:val="20"/>
                <w:szCs w:val="20"/>
              </w:rPr>
              <w:t>期末</w:t>
            </w:r>
          </w:p>
          <w:p w14:paraId="5277133C" w14:textId="77777777" w:rsidR="005E000F" w:rsidRDefault="00000000">
            <w:pPr>
              <w:jc w:val="center"/>
              <w:rPr>
                <w:sz w:val="20"/>
                <w:szCs w:val="20"/>
              </w:rPr>
            </w:pPr>
            <w:r>
              <w:rPr>
                <w:rFonts w:hint="eastAsia"/>
                <w:sz w:val="20"/>
                <w:szCs w:val="20"/>
              </w:rPr>
              <w:t>余额</w:t>
            </w:r>
          </w:p>
        </w:tc>
      </w:tr>
      <w:sdt>
        <w:sdtPr>
          <w:rPr>
            <w:sz w:val="20"/>
            <w:szCs w:val="20"/>
          </w:rPr>
          <w:alias w:val="应付债券明细"/>
          <w:tag w:val="_TUP_483a6814da9c434391de215e945c94f6"/>
          <w:id w:val="-1694456309"/>
          <w:placeholder>
            <w:docPart w:val="168A5089F61849EBA9692A0F488CD6A3"/>
          </w:placeholder>
        </w:sdtPr>
        <w:sdtEndPr>
          <w:rPr>
            <w:sz w:val="22"/>
            <w:szCs w:val="22"/>
          </w:rPr>
        </w:sdtEndPr>
        <w:sdtContent>
          <w:tr w:rsidR="005E000F" w14:paraId="52E02BAB" w14:textId="77777777">
            <w:trPr>
              <w:cantSplit/>
              <w:trHeight w:val="266"/>
            </w:trPr>
            <w:tc>
              <w:tcPr>
                <w:tcW w:w="611" w:type="pct"/>
                <w:vAlign w:val="center"/>
              </w:tcPr>
              <w:p w14:paraId="082F661C" w14:textId="77777777" w:rsidR="005E000F" w:rsidRDefault="00000000">
                <w:pPr>
                  <w:rPr>
                    <w:sz w:val="20"/>
                    <w:szCs w:val="20"/>
                  </w:rPr>
                </w:pPr>
                <w:r>
                  <w:rPr>
                    <w:rFonts w:hint="eastAsia"/>
                    <w:sz w:val="20"/>
                    <w:szCs w:val="20"/>
                  </w:rPr>
                  <w:t>可转换公司债</w:t>
                </w:r>
                <w:proofErr w:type="gramStart"/>
                <w:r>
                  <w:rPr>
                    <w:rFonts w:hint="eastAsia"/>
                    <w:sz w:val="20"/>
                    <w:szCs w:val="20"/>
                  </w:rPr>
                  <w:t>券</w:t>
                </w:r>
                <w:proofErr w:type="gramEnd"/>
              </w:p>
            </w:tc>
            <w:tc>
              <w:tcPr>
                <w:tcW w:w="289" w:type="pct"/>
                <w:vAlign w:val="center"/>
              </w:tcPr>
              <w:p w14:paraId="1D6D03D6" w14:textId="77777777" w:rsidR="005E000F" w:rsidRDefault="00000000">
                <w:pPr>
                  <w:jc w:val="right"/>
                  <w:rPr>
                    <w:sz w:val="20"/>
                    <w:szCs w:val="20"/>
                  </w:rPr>
                </w:pPr>
                <w:r>
                  <w:rPr>
                    <w:rFonts w:hint="eastAsia"/>
                    <w:sz w:val="20"/>
                    <w:szCs w:val="20"/>
                  </w:rPr>
                  <w:t>100</w:t>
                </w:r>
              </w:p>
            </w:tc>
            <w:tc>
              <w:tcPr>
                <w:tcW w:w="712" w:type="pct"/>
                <w:vAlign w:val="center"/>
              </w:tcPr>
              <w:p w14:paraId="7A38DD0A" w14:textId="77777777" w:rsidR="005E000F" w:rsidRDefault="00000000">
                <w:pPr>
                  <w:jc w:val="right"/>
                  <w:rPr>
                    <w:sz w:val="20"/>
                    <w:szCs w:val="20"/>
                  </w:rPr>
                </w:pPr>
                <w:r>
                  <w:rPr>
                    <w:rFonts w:hint="eastAsia"/>
                    <w:sz w:val="20"/>
                    <w:szCs w:val="20"/>
                  </w:rPr>
                  <w:t>2020</w:t>
                </w:r>
                <w:r>
                  <w:rPr>
                    <w:rFonts w:hint="eastAsia"/>
                    <w:sz w:val="20"/>
                    <w:szCs w:val="20"/>
                  </w:rPr>
                  <w:t>年</w:t>
                </w:r>
                <w:r>
                  <w:rPr>
                    <w:rFonts w:hint="eastAsia"/>
                    <w:sz w:val="20"/>
                    <w:szCs w:val="20"/>
                  </w:rPr>
                  <w:t>12</w:t>
                </w:r>
                <w:r>
                  <w:rPr>
                    <w:rFonts w:hint="eastAsia"/>
                    <w:sz w:val="20"/>
                    <w:szCs w:val="20"/>
                  </w:rPr>
                  <w:t>月</w:t>
                </w:r>
                <w:r>
                  <w:rPr>
                    <w:rFonts w:hint="eastAsia"/>
                    <w:sz w:val="20"/>
                    <w:szCs w:val="20"/>
                  </w:rPr>
                  <w:t>14</w:t>
                </w:r>
                <w:r>
                  <w:rPr>
                    <w:rFonts w:hint="eastAsia"/>
                    <w:sz w:val="20"/>
                    <w:szCs w:val="20"/>
                  </w:rPr>
                  <w:t>日</w:t>
                </w:r>
              </w:p>
            </w:tc>
            <w:tc>
              <w:tcPr>
                <w:tcW w:w="263" w:type="pct"/>
                <w:vAlign w:val="center"/>
              </w:tcPr>
              <w:p w14:paraId="7284C097" w14:textId="77777777" w:rsidR="005E000F" w:rsidRDefault="00000000">
                <w:pPr>
                  <w:jc w:val="right"/>
                  <w:rPr>
                    <w:sz w:val="20"/>
                    <w:szCs w:val="20"/>
                  </w:rPr>
                </w:pPr>
                <w:r>
                  <w:rPr>
                    <w:rFonts w:hint="eastAsia"/>
                    <w:sz w:val="20"/>
                    <w:szCs w:val="20"/>
                  </w:rPr>
                  <w:t>6</w:t>
                </w:r>
                <w:r>
                  <w:rPr>
                    <w:rFonts w:hint="eastAsia"/>
                    <w:sz w:val="20"/>
                    <w:szCs w:val="20"/>
                  </w:rPr>
                  <w:t>年</w:t>
                </w:r>
              </w:p>
            </w:tc>
            <w:tc>
              <w:tcPr>
                <w:tcW w:w="532" w:type="pct"/>
                <w:vAlign w:val="center"/>
              </w:tcPr>
              <w:p w14:paraId="69DD59B6" w14:textId="77777777" w:rsidR="005E000F" w:rsidRDefault="00000000">
                <w:pPr>
                  <w:rPr>
                    <w:sz w:val="20"/>
                    <w:szCs w:val="20"/>
                  </w:rPr>
                </w:pPr>
                <w:r>
                  <w:rPr>
                    <w:sz w:val="20"/>
                    <w:szCs w:val="20"/>
                  </w:rPr>
                  <w:t>32,000,000,000</w:t>
                </w:r>
              </w:p>
            </w:tc>
            <w:tc>
              <w:tcPr>
                <w:tcW w:w="503" w:type="pct"/>
                <w:vAlign w:val="center"/>
              </w:tcPr>
              <w:p w14:paraId="6BC79ADE" w14:textId="77777777" w:rsidR="005E000F" w:rsidRDefault="00000000">
                <w:pPr>
                  <w:jc w:val="right"/>
                  <w:rPr>
                    <w:sz w:val="20"/>
                    <w:szCs w:val="20"/>
                  </w:rPr>
                </w:pPr>
                <w:r>
                  <w:rPr>
                    <w:rFonts w:hint="eastAsia"/>
                    <w:sz w:val="20"/>
                    <w:szCs w:val="20"/>
                  </w:rPr>
                  <w:t>7,602,639,363</w:t>
                </w:r>
              </w:p>
            </w:tc>
            <w:tc>
              <w:tcPr>
                <w:tcW w:w="170" w:type="pct"/>
                <w:vAlign w:val="center"/>
              </w:tcPr>
              <w:p w14:paraId="638D2B3C" w14:textId="77777777" w:rsidR="005E000F" w:rsidRDefault="00000000">
                <w:pPr>
                  <w:jc w:val="right"/>
                  <w:rPr>
                    <w:sz w:val="20"/>
                    <w:szCs w:val="20"/>
                  </w:rPr>
                </w:pPr>
                <w:r>
                  <w:rPr>
                    <w:rFonts w:hint="eastAsia"/>
                    <w:sz w:val="20"/>
                    <w:szCs w:val="20"/>
                  </w:rPr>
                  <w:t>0</w:t>
                </w:r>
              </w:p>
            </w:tc>
            <w:tc>
              <w:tcPr>
                <w:tcW w:w="438" w:type="pct"/>
                <w:vAlign w:val="center"/>
              </w:tcPr>
              <w:p w14:paraId="39C08EEA" w14:textId="77777777" w:rsidR="005E000F" w:rsidRDefault="00000000">
                <w:pPr>
                  <w:jc w:val="right"/>
                  <w:rPr>
                    <w:sz w:val="20"/>
                    <w:szCs w:val="20"/>
                  </w:rPr>
                </w:pPr>
                <w:r>
                  <w:rPr>
                    <w:sz w:val="20"/>
                    <w:szCs w:val="20"/>
                  </w:rPr>
                  <w:t>22,401,464</w:t>
                </w:r>
              </w:p>
            </w:tc>
            <w:tc>
              <w:tcPr>
                <w:tcW w:w="413" w:type="pct"/>
                <w:vAlign w:val="center"/>
              </w:tcPr>
              <w:p w14:paraId="2B3772FD" w14:textId="77777777" w:rsidR="005E000F" w:rsidRDefault="00000000">
                <w:pPr>
                  <w:jc w:val="right"/>
                  <w:rPr>
                    <w:sz w:val="20"/>
                    <w:szCs w:val="20"/>
                  </w:rPr>
                </w:pPr>
                <w:r>
                  <w:rPr>
                    <w:sz w:val="20"/>
                    <w:szCs w:val="20"/>
                  </w:rPr>
                  <w:t>9,156,902</w:t>
                </w:r>
              </w:p>
            </w:tc>
            <w:tc>
              <w:tcPr>
                <w:tcW w:w="498" w:type="pct"/>
                <w:vAlign w:val="center"/>
              </w:tcPr>
              <w:p w14:paraId="09430E6F" w14:textId="77777777" w:rsidR="005E000F" w:rsidRDefault="00000000">
                <w:pPr>
                  <w:jc w:val="right"/>
                  <w:rPr>
                    <w:sz w:val="20"/>
                    <w:szCs w:val="20"/>
                  </w:rPr>
                </w:pPr>
                <w:r>
                  <w:rPr>
                    <w:sz w:val="20"/>
                    <w:szCs w:val="20"/>
                  </w:rPr>
                  <w:t>7,614,976,529</w:t>
                </w:r>
              </w:p>
            </w:tc>
            <w:tc>
              <w:tcPr>
                <w:tcW w:w="417" w:type="pct"/>
                <w:vAlign w:val="center"/>
              </w:tcPr>
              <w:p w14:paraId="6C8D667A" w14:textId="77777777" w:rsidR="005E000F" w:rsidRDefault="00000000">
                <w:pPr>
                  <w:jc w:val="right"/>
                  <w:rPr>
                    <w:sz w:val="20"/>
                    <w:szCs w:val="20"/>
                  </w:rPr>
                </w:pPr>
                <w:r>
                  <w:rPr>
                    <w:sz w:val="20"/>
                    <w:szCs w:val="20"/>
                  </w:rPr>
                  <w:t>19,221,200</w:t>
                </w:r>
              </w:p>
            </w:tc>
            <w:tc>
              <w:tcPr>
                <w:tcW w:w="147" w:type="pct"/>
                <w:vAlign w:val="center"/>
              </w:tcPr>
              <w:p w14:paraId="07A15255" w14:textId="77777777" w:rsidR="005E000F" w:rsidRDefault="00000000">
                <w:pPr>
                  <w:jc w:val="right"/>
                  <w:rPr>
                    <w:sz w:val="20"/>
                    <w:szCs w:val="20"/>
                  </w:rPr>
                </w:pPr>
                <w:r>
                  <w:rPr>
                    <w:rFonts w:hint="eastAsia"/>
                    <w:sz w:val="20"/>
                    <w:szCs w:val="20"/>
                  </w:rPr>
                  <w:t>0</w:t>
                </w:r>
              </w:p>
            </w:tc>
          </w:tr>
        </w:sdtContent>
      </w:sdt>
    </w:tbl>
    <w:p w14:paraId="7CF82013" w14:textId="77777777" w:rsidR="005E000F" w:rsidRDefault="005E000F">
      <w:pPr>
        <w:rPr>
          <w:rFonts w:cstheme="minorBidi"/>
          <w:color w:val="000000" w:themeColor="text1"/>
        </w:rPr>
      </w:pPr>
    </w:p>
    <w:p w14:paraId="55F37AC1" w14:textId="77777777" w:rsidR="005E000F" w:rsidRDefault="005E000F">
      <w:pPr>
        <w:jc w:val="right"/>
      </w:pPr>
    </w:p>
    <w:p w14:paraId="78B90FB5" w14:textId="77777777" w:rsidR="005E000F" w:rsidRDefault="005E000F">
      <w:pPr>
        <w:rPr>
          <w:rFonts w:cstheme="minorBidi"/>
          <w:color w:val="000000" w:themeColor="text1"/>
        </w:rPr>
      </w:pPr>
    </w:p>
    <w:p w14:paraId="6E9C8B89" w14:textId="77777777" w:rsidR="005E000F" w:rsidRDefault="00000000">
      <w:pPr>
        <w:pStyle w:val="4"/>
        <w:numPr>
          <w:ilvl w:val="0"/>
          <w:numId w:val="98"/>
        </w:numPr>
        <w:ind w:left="426" w:hanging="426"/>
      </w:pPr>
      <w:bookmarkStart w:id="372" w:name="OLE_LINK18"/>
      <w:bookmarkStart w:id="373" w:name="OLE_LINK16"/>
      <w:r>
        <w:rPr>
          <w:rFonts w:hint="eastAsia"/>
        </w:rPr>
        <w:t>可转换公司债</w:t>
      </w:r>
      <w:proofErr w:type="gramStart"/>
      <w:r>
        <w:rPr>
          <w:rFonts w:hint="eastAsia"/>
        </w:rPr>
        <w:t>券</w:t>
      </w:r>
      <w:proofErr w:type="gramEnd"/>
      <w:r>
        <w:rPr>
          <w:rFonts w:hint="eastAsia"/>
        </w:rPr>
        <w:t>的说明</w:t>
      </w:r>
    </w:p>
    <w:sdt>
      <w:sdtPr>
        <w:rPr>
          <w:rFonts w:hint="eastAsia"/>
        </w:rPr>
        <w:alias w:val="是否适用：可转换公司债券的转股条件、转股时间说明[双击切换]"/>
        <w:tag w:val="_GBC_2b6cb515ba4c417781662a31ccbd84e3"/>
        <w:id w:val="1195277450"/>
        <w:placeholder>
          <w:docPart w:val="GBC22222222222222222222222222222"/>
        </w:placeholder>
      </w:sdtPr>
      <w:sdtContent>
        <w:p w14:paraId="06A1FF7C" w14:textId="77777777" w:rsidR="005E000F" w:rsidRDefault="00000000">
          <w:pPr>
            <w:spacing w:before="60" w:after="60"/>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FD2DD24" w14:textId="77777777" w:rsidR="005E000F" w:rsidRDefault="005E000F">
      <w:pPr>
        <w:spacing w:before="60" w:after="60"/>
      </w:pPr>
    </w:p>
    <w:p w14:paraId="277A5E2F" w14:textId="77777777" w:rsidR="005E000F" w:rsidRDefault="00000000">
      <w:pPr>
        <w:spacing w:before="60" w:after="60"/>
      </w:pPr>
      <w:r>
        <w:rPr>
          <w:rFonts w:hint="eastAsia"/>
        </w:rPr>
        <w:t>转股权会计处理及判断依据</w:t>
      </w:r>
    </w:p>
    <w:sdt>
      <w:sdtPr>
        <w:alias w:val="是否适用：转股权会计处理及判断依据[双击切换]"/>
        <w:tag w:val="_GBC_8ec57a1730b24863aa91d9cece86f4d1"/>
        <w:id w:val="-1790271633"/>
        <w:placeholder>
          <w:docPart w:val="GBC22222222222222222222222222222"/>
        </w:placeholder>
      </w:sdtPr>
      <w:sdtContent>
        <w:p w14:paraId="1C7BFC14" w14:textId="77777777" w:rsidR="005E000F" w:rsidRDefault="00000000">
          <w:pPr>
            <w:spacing w:before="60" w:after="60"/>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转股权会计处理及判断依据"/>
        <w:tag w:val="_GBC_3598a1a8b4b14f0ab1f7bada7a69d258"/>
        <w:id w:val="-937749568"/>
        <w:placeholder>
          <w:docPart w:val="GBC22222222222222222222222222222"/>
        </w:placeholder>
      </w:sdtPr>
      <w:sdtContent>
        <w:sdt>
          <w:sdtPr>
            <w:rPr>
              <w:color w:val="000000" w:themeColor="text1"/>
            </w:rPr>
            <w:alias w:val="转股权会计处理及判断依据"/>
            <w:tag w:val="_GBC_e9cbb766e01842cfbf2ee857f29e5fa1"/>
            <w:id w:val="-87389495"/>
            <w:placeholder>
              <w:docPart w:val="{546621ef-cacf-4017-940c-4037d26fda89}"/>
            </w:placeholder>
          </w:sdtPr>
          <w:sdtContent>
            <w:p w14:paraId="5B825E49" w14:textId="77777777" w:rsidR="005E000F" w:rsidRDefault="00000000">
              <w:pPr>
                <w:spacing w:before="60" w:after="60"/>
                <w:rPr>
                  <w:color w:val="000000" w:themeColor="text1"/>
                </w:rPr>
              </w:pPr>
              <w:r>
                <w:rPr>
                  <w:rFonts w:hint="eastAsia"/>
                  <w:color w:val="000000" w:themeColor="text1"/>
                </w:rPr>
                <w:t>经中国证券监督管理委员会证监许可</w:t>
              </w:r>
              <w:r>
                <w:rPr>
                  <w:rFonts w:hint="eastAsia"/>
                  <w:color w:val="000000" w:themeColor="text1"/>
                </w:rPr>
                <w:t>[2020]2263</w:t>
              </w:r>
              <w:r>
                <w:rPr>
                  <w:rFonts w:hint="eastAsia"/>
                  <w:color w:val="000000" w:themeColor="text1"/>
                </w:rPr>
                <w:t>号文核准，本公司于</w:t>
              </w:r>
              <w:r>
                <w:rPr>
                  <w:rFonts w:hint="eastAsia"/>
                  <w:color w:val="000000" w:themeColor="text1"/>
                </w:rPr>
                <w:t>2020</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14</w:t>
              </w:r>
              <w:r>
                <w:rPr>
                  <w:rFonts w:hint="eastAsia"/>
                  <w:color w:val="000000" w:themeColor="text1"/>
                </w:rPr>
                <w:t>日公开发行了总额为</w:t>
              </w:r>
              <w:r>
                <w:rPr>
                  <w:rFonts w:hint="eastAsia"/>
                  <w:color w:val="000000" w:themeColor="text1"/>
                </w:rPr>
                <w:t>320</w:t>
              </w:r>
              <w:r>
                <w:rPr>
                  <w:rFonts w:hint="eastAsia"/>
                  <w:color w:val="000000" w:themeColor="text1"/>
                </w:rPr>
                <w:t>亿元可转换公司债</w:t>
              </w:r>
              <w:proofErr w:type="gramStart"/>
              <w:r>
                <w:rPr>
                  <w:rFonts w:hint="eastAsia"/>
                  <w:color w:val="000000" w:themeColor="text1"/>
                </w:rPr>
                <w:t>券</w:t>
              </w:r>
              <w:proofErr w:type="gramEnd"/>
              <w:r>
                <w:rPr>
                  <w:rFonts w:hint="eastAsia"/>
                  <w:color w:val="000000" w:themeColor="text1"/>
                </w:rPr>
                <w:t>（以下简称“可转债”），本次可转债存续期限为六年，即</w:t>
              </w:r>
              <w:r>
                <w:rPr>
                  <w:rFonts w:hint="eastAsia"/>
                  <w:color w:val="000000" w:themeColor="text1"/>
                </w:rPr>
                <w:t>2020</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14</w:t>
              </w:r>
              <w:r>
                <w:rPr>
                  <w:rFonts w:hint="eastAsia"/>
                  <w:color w:val="000000" w:themeColor="text1"/>
                </w:rPr>
                <w:t>日至</w:t>
              </w:r>
              <w:r>
                <w:rPr>
                  <w:rFonts w:hint="eastAsia"/>
                  <w:color w:val="000000" w:themeColor="text1"/>
                </w:rPr>
                <w:t>2026</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13</w:t>
              </w:r>
              <w:r>
                <w:rPr>
                  <w:rFonts w:hint="eastAsia"/>
                  <w:color w:val="000000" w:themeColor="text1"/>
                </w:rPr>
                <w:t>日。票面利率</w:t>
              </w:r>
              <w:r>
                <w:rPr>
                  <w:rFonts w:hint="eastAsia"/>
                  <w:color w:val="000000" w:themeColor="text1"/>
                </w:rPr>
                <w:t xml:space="preserve">0.20% </w:t>
              </w:r>
              <w:r>
                <w:rPr>
                  <w:rFonts w:hint="eastAsia"/>
                  <w:color w:val="000000" w:themeColor="text1"/>
                </w:rPr>
                <w:t>、第二年</w:t>
              </w:r>
              <w:r>
                <w:rPr>
                  <w:rFonts w:hint="eastAsia"/>
                  <w:color w:val="000000" w:themeColor="text1"/>
                </w:rPr>
                <w:t>0.50%</w:t>
              </w:r>
              <w:r>
                <w:rPr>
                  <w:rFonts w:hint="eastAsia"/>
                  <w:color w:val="000000" w:themeColor="text1"/>
                </w:rPr>
                <w:t>、第三年</w:t>
              </w:r>
              <w:r>
                <w:rPr>
                  <w:rFonts w:hint="eastAsia"/>
                  <w:color w:val="000000" w:themeColor="text1"/>
                </w:rPr>
                <w:t>1.00%</w:t>
              </w:r>
              <w:r>
                <w:rPr>
                  <w:rFonts w:hint="eastAsia"/>
                  <w:color w:val="000000" w:themeColor="text1"/>
                </w:rPr>
                <w:t>、第四年</w:t>
              </w:r>
              <w:r>
                <w:rPr>
                  <w:rFonts w:hint="eastAsia"/>
                  <w:color w:val="000000" w:themeColor="text1"/>
                </w:rPr>
                <w:t>1.80%</w:t>
              </w:r>
              <w:r>
                <w:rPr>
                  <w:rFonts w:hint="eastAsia"/>
                  <w:color w:val="000000" w:themeColor="text1"/>
                </w:rPr>
                <w:t>、第五年</w:t>
              </w:r>
              <w:r>
                <w:rPr>
                  <w:rFonts w:hint="eastAsia"/>
                  <w:color w:val="000000" w:themeColor="text1"/>
                </w:rPr>
                <w:t>2. 60%</w:t>
              </w:r>
              <w:r>
                <w:rPr>
                  <w:rFonts w:hint="eastAsia"/>
                  <w:color w:val="000000" w:themeColor="text1"/>
                </w:rPr>
                <w:t>、第六年</w:t>
              </w:r>
              <w:r>
                <w:rPr>
                  <w:rFonts w:hint="eastAsia"/>
                  <w:color w:val="000000" w:themeColor="text1"/>
                </w:rPr>
                <w:t>3.00%</w:t>
              </w:r>
              <w:r>
                <w:rPr>
                  <w:rFonts w:hint="eastAsia"/>
                  <w:color w:val="000000" w:themeColor="text1"/>
                </w:rPr>
                <w:t>。</w:t>
              </w:r>
            </w:p>
            <w:p w14:paraId="3367FA40" w14:textId="77777777" w:rsidR="005E000F" w:rsidRDefault="00000000">
              <w:pPr>
                <w:spacing w:before="60" w:after="60"/>
                <w:rPr>
                  <w:color w:val="000000" w:themeColor="text1"/>
                </w:rPr>
              </w:pPr>
              <w:r>
                <w:rPr>
                  <w:rFonts w:hint="eastAsia"/>
                  <w:color w:val="000000" w:themeColor="text1"/>
                </w:rPr>
                <w:t>（</w:t>
              </w:r>
              <w:proofErr w:type="spellStart"/>
              <w:r>
                <w:rPr>
                  <w:rFonts w:hint="eastAsia"/>
                  <w:color w:val="000000" w:themeColor="text1"/>
                </w:rPr>
                <w:t>i</w:t>
              </w:r>
              <w:proofErr w:type="spellEnd"/>
              <w:r>
                <w:rPr>
                  <w:rFonts w:hint="eastAsia"/>
                  <w:color w:val="000000" w:themeColor="text1"/>
                </w:rPr>
                <w:t>）转股权</w:t>
              </w:r>
            </w:p>
            <w:p w14:paraId="36F83A06" w14:textId="77777777" w:rsidR="005E000F" w:rsidRDefault="00000000">
              <w:pPr>
                <w:spacing w:before="60" w:after="60"/>
                <w:rPr>
                  <w:color w:val="000000" w:themeColor="text1"/>
                </w:rPr>
              </w:pPr>
              <w:r>
                <w:rPr>
                  <w:rFonts w:hint="eastAsia"/>
                  <w:color w:val="000000" w:themeColor="text1"/>
                </w:rPr>
                <w:t>本次发行的可转债的</w:t>
              </w:r>
              <w:proofErr w:type="gramStart"/>
              <w:r>
                <w:rPr>
                  <w:rFonts w:hint="eastAsia"/>
                  <w:color w:val="000000" w:themeColor="text1"/>
                </w:rPr>
                <w:t>初始转</w:t>
              </w:r>
              <w:proofErr w:type="gramEnd"/>
              <w:r>
                <w:rPr>
                  <w:rFonts w:hint="eastAsia"/>
                  <w:color w:val="000000" w:themeColor="text1"/>
                </w:rPr>
                <w:t>股价格为人民币</w:t>
              </w:r>
              <w:r>
                <w:rPr>
                  <w:rFonts w:hint="eastAsia"/>
                  <w:color w:val="000000" w:themeColor="text1"/>
                </w:rPr>
                <w:t>7.66</w:t>
              </w:r>
              <w:r>
                <w:rPr>
                  <w:rFonts w:hint="eastAsia"/>
                  <w:color w:val="000000" w:themeColor="text1"/>
                </w:rPr>
                <w:t>元</w:t>
              </w:r>
              <w:r>
                <w:rPr>
                  <w:rFonts w:hint="eastAsia"/>
                  <w:color w:val="000000" w:themeColor="text1"/>
                </w:rPr>
                <w:t>/</w:t>
              </w:r>
              <w:r>
                <w:rPr>
                  <w:rFonts w:hint="eastAsia"/>
                  <w:color w:val="000000" w:themeColor="text1"/>
                </w:rPr>
                <w:t>股。在本次发行之后，若本公司发生派送股票股利、转增股本、增发新股（不包括因本次发行的可转换公司债</w:t>
              </w:r>
              <w:proofErr w:type="gramStart"/>
              <w:r>
                <w:rPr>
                  <w:rFonts w:hint="eastAsia"/>
                  <w:color w:val="000000" w:themeColor="text1"/>
                </w:rPr>
                <w:t>券</w:t>
              </w:r>
              <w:proofErr w:type="gramEnd"/>
              <w:r>
                <w:rPr>
                  <w:rFonts w:hint="eastAsia"/>
                  <w:color w:val="000000" w:themeColor="text1"/>
                </w:rPr>
                <w:t>转股而增加的股本）、配股以及派发现金股利等情况，本公司将相应调整转股价格。在本次发行的可转换公司债</w:t>
              </w:r>
              <w:proofErr w:type="gramStart"/>
              <w:r>
                <w:rPr>
                  <w:rFonts w:hint="eastAsia"/>
                  <w:color w:val="000000" w:themeColor="text1"/>
                </w:rPr>
                <w:t>券</w:t>
              </w:r>
              <w:proofErr w:type="gramEnd"/>
              <w:r>
                <w:rPr>
                  <w:rFonts w:hint="eastAsia"/>
                  <w:color w:val="000000" w:themeColor="text1"/>
                </w:rPr>
                <w:t>存续期间，当公司股票在任意连续三十个交易日中至少有十五个交易日的收盘价低于当期转股价格的</w:t>
              </w:r>
              <w:r>
                <w:rPr>
                  <w:rFonts w:hint="eastAsia"/>
                  <w:color w:val="000000" w:themeColor="text1"/>
                </w:rPr>
                <w:t>85%</w:t>
              </w:r>
              <w:r>
                <w:rPr>
                  <w:rFonts w:hint="eastAsia"/>
                  <w:color w:val="000000" w:themeColor="text1"/>
                </w:rPr>
                <w:t>时，公司董事会有权提出转股价格向下修正方案并提交公司股东大会表决。</w:t>
              </w:r>
            </w:p>
            <w:p w14:paraId="6BD6CAAC" w14:textId="77777777" w:rsidR="005E000F" w:rsidRDefault="005E000F">
              <w:pPr>
                <w:spacing w:before="60" w:after="60"/>
                <w:rPr>
                  <w:color w:val="000000" w:themeColor="text1"/>
                </w:rPr>
              </w:pPr>
            </w:p>
            <w:p w14:paraId="2A2A282A" w14:textId="77777777" w:rsidR="005E000F" w:rsidRDefault="00000000">
              <w:pPr>
                <w:spacing w:before="60" w:after="60"/>
                <w:rPr>
                  <w:color w:val="000000" w:themeColor="text1"/>
                </w:rPr>
              </w:pPr>
              <w:r>
                <w:rPr>
                  <w:rFonts w:hint="eastAsia"/>
                  <w:color w:val="000000" w:themeColor="text1"/>
                </w:rPr>
                <w:t>本公司于</w:t>
              </w:r>
              <w:r>
                <w:rPr>
                  <w:rFonts w:hint="eastAsia"/>
                  <w:color w:val="000000" w:themeColor="text1"/>
                </w:rPr>
                <w:t>2024</w:t>
              </w:r>
              <w:r>
                <w:rPr>
                  <w:rFonts w:hint="eastAsia"/>
                  <w:color w:val="000000" w:themeColor="text1"/>
                </w:rPr>
                <w:t>年</w:t>
              </w:r>
              <w:r>
                <w:rPr>
                  <w:rFonts w:hint="eastAsia"/>
                  <w:color w:val="000000" w:themeColor="text1"/>
                </w:rPr>
                <w:t>5</w:t>
              </w:r>
              <w:r>
                <w:rPr>
                  <w:rFonts w:hint="eastAsia"/>
                  <w:color w:val="000000" w:themeColor="text1"/>
                </w:rPr>
                <w:t>月</w:t>
              </w:r>
              <w:r>
                <w:rPr>
                  <w:rFonts w:hint="eastAsia"/>
                  <w:color w:val="000000" w:themeColor="text1"/>
                </w:rPr>
                <w:t>21</w:t>
              </w:r>
              <w:r>
                <w:rPr>
                  <w:rFonts w:hint="eastAsia"/>
                  <w:color w:val="000000" w:themeColor="text1"/>
                </w:rPr>
                <w:t>日召开</w:t>
              </w:r>
              <w:r>
                <w:rPr>
                  <w:rFonts w:hint="eastAsia"/>
                  <w:color w:val="000000" w:themeColor="text1"/>
                </w:rPr>
                <w:t>2023</w:t>
              </w:r>
              <w:r>
                <w:rPr>
                  <w:rFonts w:hint="eastAsia"/>
                  <w:color w:val="000000" w:themeColor="text1"/>
                </w:rPr>
                <w:t>年年度股东大会审议通过</w:t>
              </w:r>
              <w:r>
                <w:rPr>
                  <w:rFonts w:hint="eastAsia"/>
                  <w:color w:val="000000" w:themeColor="text1"/>
                </w:rPr>
                <w:t>2023</w:t>
              </w:r>
              <w:r>
                <w:rPr>
                  <w:rFonts w:hint="eastAsia"/>
                  <w:color w:val="000000" w:themeColor="text1"/>
                </w:rPr>
                <w:t>年度利润分配方案，以实施权益分派股权登记日登记的总股本为基数，向全体股东每股派发现金股利人民币</w:t>
              </w:r>
              <w:r>
                <w:rPr>
                  <w:rFonts w:hint="eastAsia"/>
                  <w:color w:val="000000" w:themeColor="text1"/>
                </w:rPr>
                <w:t>0.38</w:t>
              </w:r>
              <w:r>
                <w:rPr>
                  <w:rFonts w:hint="eastAsia"/>
                  <w:color w:val="000000" w:themeColor="text1"/>
                </w:rPr>
                <w:t>元（含税）。于</w:t>
              </w:r>
              <w:r>
                <w:rPr>
                  <w:rFonts w:hint="eastAsia"/>
                  <w:color w:val="000000" w:themeColor="text1"/>
                </w:rPr>
                <w:t>2024</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4</w:t>
              </w:r>
              <w:r>
                <w:rPr>
                  <w:rFonts w:hint="eastAsia"/>
                  <w:color w:val="000000" w:themeColor="text1"/>
                </w:rPr>
                <w:t>日，本公司发布了大秦铁路股份有限公司</w:t>
              </w:r>
              <w:r>
                <w:rPr>
                  <w:rFonts w:hint="eastAsia"/>
                  <w:color w:val="000000" w:themeColor="text1"/>
                </w:rPr>
                <w:t>2023</w:t>
              </w:r>
              <w:r>
                <w:rPr>
                  <w:rFonts w:hint="eastAsia"/>
                  <w:color w:val="000000" w:themeColor="text1"/>
                </w:rPr>
                <w:t>年年度权益分派实施公告，按照募集说明书关于转股价格调整的相关规定，自</w:t>
              </w:r>
              <w:r>
                <w:rPr>
                  <w:rFonts w:hint="eastAsia"/>
                  <w:color w:val="000000" w:themeColor="text1"/>
                </w:rPr>
                <w:t>2024</w:t>
              </w:r>
              <w:r>
                <w:rPr>
                  <w:rFonts w:hint="eastAsia"/>
                  <w:color w:val="000000" w:themeColor="text1"/>
                </w:rPr>
                <w:t>年</w:t>
              </w:r>
              <w:r>
                <w:rPr>
                  <w:rFonts w:hint="eastAsia"/>
                  <w:color w:val="000000" w:themeColor="text1"/>
                </w:rPr>
                <w:t>7</w:t>
              </w:r>
              <w:r>
                <w:rPr>
                  <w:rFonts w:hint="eastAsia"/>
                  <w:color w:val="000000" w:themeColor="text1"/>
                </w:rPr>
                <w:t>月</w:t>
              </w:r>
              <w:r>
                <w:rPr>
                  <w:rFonts w:hint="eastAsia"/>
                  <w:color w:val="000000" w:themeColor="text1"/>
                </w:rPr>
                <w:t>11</w:t>
              </w:r>
              <w:r>
                <w:rPr>
                  <w:rFonts w:hint="eastAsia"/>
                  <w:color w:val="000000" w:themeColor="text1"/>
                </w:rPr>
                <w:t>日（除权（息）日）起，该可转债的转股价格由人民币</w:t>
              </w:r>
              <w:r>
                <w:rPr>
                  <w:rFonts w:hint="eastAsia"/>
                  <w:color w:val="000000" w:themeColor="text1"/>
                </w:rPr>
                <w:t>6.22</w:t>
              </w:r>
              <w:r>
                <w:rPr>
                  <w:rFonts w:hint="eastAsia"/>
                  <w:color w:val="000000" w:themeColor="text1"/>
                </w:rPr>
                <w:t>元</w:t>
              </w:r>
              <w:r>
                <w:rPr>
                  <w:rFonts w:hint="eastAsia"/>
                  <w:color w:val="000000" w:themeColor="text1"/>
                </w:rPr>
                <w:t>/</w:t>
              </w:r>
              <w:r>
                <w:rPr>
                  <w:rFonts w:hint="eastAsia"/>
                  <w:color w:val="000000" w:themeColor="text1"/>
                </w:rPr>
                <w:t>股调整为人民币</w:t>
              </w:r>
              <w:r>
                <w:rPr>
                  <w:rFonts w:hint="eastAsia"/>
                  <w:color w:val="000000" w:themeColor="text1"/>
                </w:rPr>
                <w:t>5.84</w:t>
              </w:r>
              <w:r>
                <w:rPr>
                  <w:rFonts w:hint="eastAsia"/>
                  <w:color w:val="000000" w:themeColor="text1"/>
                </w:rPr>
                <w:t>元</w:t>
              </w:r>
              <w:r>
                <w:rPr>
                  <w:rFonts w:hint="eastAsia"/>
                  <w:color w:val="000000" w:themeColor="text1"/>
                </w:rPr>
                <w:t>/</w:t>
              </w:r>
              <w:r>
                <w:rPr>
                  <w:rFonts w:hint="eastAsia"/>
                  <w:color w:val="000000" w:themeColor="text1"/>
                </w:rPr>
                <w:t>股。</w:t>
              </w:r>
              <w:proofErr w:type="gramStart"/>
              <w:r>
                <w:rPr>
                  <w:rFonts w:hint="eastAsia"/>
                  <w:color w:val="000000" w:themeColor="text1"/>
                </w:rPr>
                <w:t>大秦于</w:t>
              </w:r>
              <w:r>
                <w:rPr>
                  <w:rFonts w:hint="eastAsia"/>
                  <w:color w:val="000000" w:themeColor="text1"/>
                </w:rPr>
                <w:t>2024</w:t>
              </w:r>
              <w:r>
                <w:rPr>
                  <w:rFonts w:hint="eastAsia"/>
                  <w:color w:val="000000" w:themeColor="text1"/>
                </w:rPr>
                <w:t>年</w:t>
              </w:r>
              <w:r>
                <w:rPr>
                  <w:rFonts w:hint="eastAsia"/>
                  <w:color w:val="000000" w:themeColor="text1"/>
                </w:rPr>
                <w:t>8</w:t>
              </w:r>
              <w:r>
                <w:rPr>
                  <w:rFonts w:hint="eastAsia"/>
                  <w:color w:val="000000" w:themeColor="text1"/>
                </w:rPr>
                <w:t>月</w:t>
              </w:r>
              <w:r>
                <w:rPr>
                  <w:rFonts w:hint="eastAsia"/>
                  <w:color w:val="000000" w:themeColor="text1"/>
                </w:rPr>
                <w:t>28</w:t>
              </w:r>
              <w:r>
                <w:rPr>
                  <w:rFonts w:hint="eastAsia"/>
                  <w:color w:val="000000" w:themeColor="text1"/>
                </w:rPr>
                <w:t>日</w:t>
              </w:r>
              <w:proofErr w:type="gramEnd"/>
              <w:r>
                <w:rPr>
                  <w:rFonts w:hint="eastAsia"/>
                  <w:color w:val="000000" w:themeColor="text1"/>
                </w:rPr>
                <w:t>召开第七届董事会第七次会议审议通过公司</w:t>
              </w:r>
              <w:r>
                <w:rPr>
                  <w:rFonts w:hint="eastAsia"/>
                  <w:color w:val="000000" w:themeColor="text1"/>
                </w:rPr>
                <w:t>2024</w:t>
              </w:r>
              <w:r>
                <w:rPr>
                  <w:rFonts w:hint="eastAsia"/>
                  <w:color w:val="000000" w:themeColor="text1"/>
                </w:rPr>
                <w:t>年中期利润分配的议案，以实施权益分派股权登记日登记的总股本为基数，向全体股东每</w:t>
              </w:r>
              <w:r>
                <w:rPr>
                  <w:rFonts w:hint="eastAsia"/>
                  <w:color w:val="000000" w:themeColor="text1"/>
                </w:rPr>
                <w:lastRenderedPageBreak/>
                <w:t>股派发现金股利人民币</w:t>
              </w:r>
              <w:r>
                <w:rPr>
                  <w:rFonts w:hint="eastAsia"/>
                  <w:color w:val="000000" w:themeColor="text1"/>
                </w:rPr>
                <w:t>0.13</w:t>
              </w:r>
              <w:r>
                <w:rPr>
                  <w:rFonts w:hint="eastAsia"/>
                  <w:color w:val="000000" w:themeColor="text1"/>
                </w:rPr>
                <w:t>元（含税）。于</w:t>
              </w:r>
              <w:r>
                <w:rPr>
                  <w:rFonts w:hint="eastAsia"/>
                  <w:color w:val="000000" w:themeColor="text1"/>
                </w:rPr>
                <w:t>2024</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17</w:t>
              </w:r>
              <w:r>
                <w:rPr>
                  <w:rFonts w:hint="eastAsia"/>
                  <w:color w:val="000000" w:themeColor="text1"/>
                </w:rPr>
                <w:t>日，发布了大秦铁路股份有限公司</w:t>
              </w:r>
              <w:r>
                <w:rPr>
                  <w:rFonts w:hint="eastAsia"/>
                  <w:color w:val="000000" w:themeColor="text1"/>
                </w:rPr>
                <w:t>2024</w:t>
              </w:r>
              <w:r>
                <w:rPr>
                  <w:rFonts w:hint="eastAsia"/>
                  <w:color w:val="000000" w:themeColor="text1"/>
                </w:rPr>
                <w:t>年半年度权益分派实施公告，按照募集说明书关于转股价格调整的相关规定，自</w:t>
              </w:r>
              <w:r>
                <w:rPr>
                  <w:rFonts w:hint="eastAsia"/>
                  <w:color w:val="000000" w:themeColor="text1"/>
                </w:rPr>
                <w:t>2024</w:t>
              </w:r>
              <w:r>
                <w:rPr>
                  <w:rFonts w:hint="eastAsia"/>
                  <w:color w:val="000000" w:themeColor="text1"/>
                </w:rPr>
                <w:t>年</w:t>
              </w:r>
              <w:r>
                <w:rPr>
                  <w:rFonts w:hint="eastAsia"/>
                  <w:color w:val="000000" w:themeColor="text1"/>
                </w:rPr>
                <w:t>10</w:t>
              </w:r>
              <w:r>
                <w:rPr>
                  <w:rFonts w:hint="eastAsia"/>
                  <w:color w:val="000000" w:themeColor="text1"/>
                </w:rPr>
                <w:t>月</w:t>
              </w:r>
              <w:r>
                <w:rPr>
                  <w:rFonts w:hint="eastAsia"/>
                  <w:color w:val="000000" w:themeColor="text1"/>
                </w:rPr>
                <w:t>24</w:t>
              </w:r>
              <w:r>
                <w:rPr>
                  <w:rFonts w:hint="eastAsia"/>
                  <w:color w:val="000000" w:themeColor="text1"/>
                </w:rPr>
                <w:t>日（除权（息）日）起，该可转债的转股价格由人民币</w:t>
              </w:r>
              <w:r>
                <w:rPr>
                  <w:rFonts w:hint="eastAsia"/>
                  <w:color w:val="000000" w:themeColor="text1"/>
                </w:rPr>
                <w:t>5.84</w:t>
              </w:r>
              <w:r>
                <w:rPr>
                  <w:rFonts w:hint="eastAsia"/>
                  <w:color w:val="000000" w:themeColor="text1"/>
                </w:rPr>
                <w:t>元</w:t>
              </w:r>
              <w:r>
                <w:rPr>
                  <w:rFonts w:hint="eastAsia"/>
                  <w:color w:val="000000" w:themeColor="text1"/>
                </w:rPr>
                <w:t>/</w:t>
              </w:r>
              <w:r>
                <w:rPr>
                  <w:rFonts w:hint="eastAsia"/>
                  <w:color w:val="000000" w:themeColor="text1"/>
                </w:rPr>
                <w:t>股调整为人民币</w:t>
              </w:r>
              <w:r>
                <w:rPr>
                  <w:rFonts w:hint="eastAsia"/>
                  <w:color w:val="000000" w:themeColor="text1"/>
                </w:rPr>
                <w:t>5.71</w:t>
              </w:r>
              <w:r>
                <w:rPr>
                  <w:rFonts w:hint="eastAsia"/>
                  <w:color w:val="000000" w:themeColor="text1"/>
                </w:rPr>
                <w:t>元</w:t>
              </w:r>
              <w:r>
                <w:rPr>
                  <w:rFonts w:hint="eastAsia"/>
                  <w:color w:val="000000" w:themeColor="text1"/>
                </w:rPr>
                <w:t>/</w:t>
              </w:r>
              <w:r>
                <w:rPr>
                  <w:rFonts w:hint="eastAsia"/>
                  <w:color w:val="000000" w:themeColor="text1"/>
                </w:rPr>
                <w:t>股。</w:t>
              </w:r>
            </w:p>
            <w:p w14:paraId="2E539A84" w14:textId="77777777" w:rsidR="005E000F" w:rsidRDefault="005E000F">
              <w:pPr>
                <w:spacing w:before="60" w:after="60"/>
                <w:rPr>
                  <w:color w:val="000000" w:themeColor="text1"/>
                </w:rPr>
              </w:pPr>
            </w:p>
            <w:p w14:paraId="585B89D3" w14:textId="77777777" w:rsidR="005E000F" w:rsidRDefault="00000000">
              <w:pPr>
                <w:spacing w:before="60" w:after="60"/>
                <w:rPr>
                  <w:color w:val="000000" w:themeColor="text1"/>
                </w:rPr>
              </w:pPr>
              <w:r>
                <w:rPr>
                  <w:rFonts w:hint="eastAsia"/>
                  <w:color w:val="000000" w:themeColor="text1"/>
                </w:rPr>
                <w:t>可转债持有人可在可转债发行结束之日起满六个月后的第一个交易日起至可转债到期日止的期间（以下简称“转股期”）内，即</w:t>
              </w:r>
              <w:r>
                <w:rPr>
                  <w:rFonts w:hint="eastAsia"/>
                  <w:color w:val="000000" w:themeColor="text1"/>
                </w:rPr>
                <w:t>2021</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18</w:t>
              </w:r>
              <w:r>
                <w:rPr>
                  <w:rFonts w:hint="eastAsia"/>
                  <w:color w:val="000000" w:themeColor="text1"/>
                </w:rPr>
                <w:t>日至</w:t>
              </w:r>
              <w:r>
                <w:rPr>
                  <w:rFonts w:hint="eastAsia"/>
                  <w:color w:val="000000" w:themeColor="text1"/>
                </w:rPr>
                <w:t>2026</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13</w:t>
              </w:r>
              <w:r>
                <w:rPr>
                  <w:rFonts w:hint="eastAsia"/>
                  <w:color w:val="000000" w:themeColor="text1"/>
                </w:rPr>
                <w:t>日，按照当期转股价格行使将本次可转债转换为本公司股票的权利。在本次发行的可转换公司债</w:t>
              </w:r>
              <w:proofErr w:type="gramStart"/>
              <w:r>
                <w:rPr>
                  <w:rFonts w:hint="eastAsia"/>
                  <w:color w:val="000000" w:themeColor="text1"/>
                </w:rPr>
                <w:t>券</w:t>
              </w:r>
              <w:proofErr w:type="gramEnd"/>
              <w:r>
                <w:rPr>
                  <w:rFonts w:hint="eastAsia"/>
                  <w:color w:val="000000" w:themeColor="text1"/>
                </w:rPr>
                <w:t>期满后</w:t>
              </w:r>
              <w:r>
                <w:rPr>
                  <w:rFonts w:hint="eastAsia"/>
                  <w:color w:val="000000" w:themeColor="text1"/>
                </w:rPr>
                <w:t>5</w:t>
              </w:r>
              <w:r>
                <w:rPr>
                  <w:rFonts w:hint="eastAsia"/>
                  <w:color w:val="000000" w:themeColor="text1"/>
                </w:rPr>
                <w:t>个交易日内，本公司将以本次发行的可转债的票面面值的</w:t>
              </w:r>
              <w:r>
                <w:rPr>
                  <w:rFonts w:hint="eastAsia"/>
                  <w:color w:val="000000" w:themeColor="text1"/>
                </w:rPr>
                <w:t>108%</w:t>
              </w:r>
              <w:r>
                <w:rPr>
                  <w:rFonts w:hint="eastAsia"/>
                  <w:color w:val="000000" w:themeColor="text1"/>
                </w:rPr>
                <w:t>（</w:t>
              </w:r>
              <w:proofErr w:type="gramStart"/>
              <w:r>
                <w:rPr>
                  <w:rFonts w:hint="eastAsia"/>
                  <w:color w:val="000000" w:themeColor="text1"/>
                </w:rPr>
                <w:t>含最后</w:t>
              </w:r>
              <w:proofErr w:type="gramEnd"/>
              <w:r>
                <w:rPr>
                  <w:rFonts w:hint="eastAsia"/>
                  <w:color w:val="000000" w:themeColor="text1"/>
                </w:rPr>
                <w:t>一期年度利息）的价格向可转债持有人赎回全部未转股的可转债。</w:t>
              </w:r>
            </w:p>
            <w:p w14:paraId="4AC3559E" w14:textId="77777777" w:rsidR="005E000F" w:rsidRDefault="00000000">
              <w:pPr>
                <w:spacing w:before="60" w:after="60"/>
                <w:rPr>
                  <w:color w:val="000000" w:themeColor="text1"/>
                </w:rPr>
              </w:pPr>
              <w:r>
                <w:rPr>
                  <w:rFonts w:hint="eastAsia"/>
                  <w:color w:val="000000" w:themeColor="text1"/>
                </w:rPr>
                <w:t>（</w:t>
              </w:r>
              <w:r>
                <w:rPr>
                  <w:rFonts w:hint="eastAsia"/>
                  <w:color w:val="000000" w:themeColor="text1"/>
                </w:rPr>
                <w:t>ii</w:t>
              </w:r>
              <w:r>
                <w:rPr>
                  <w:rFonts w:hint="eastAsia"/>
                  <w:color w:val="000000" w:themeColor="text1"/>
                </w:rPr>
                <w:t>）发行人的赎回权</w:t>
              </w:r>
            </w:p>
            <w:p w14:paraId="42B872CD" w14:textId="77777777" w:rsidR="005E000F" w:rsidRDefault="00000000">
              <w:pPr>
                <w:spacing w:before="60" w:after="60"/>
                <w:rPr>
                  <w:color w:val="000000" w:themeColor="text1"/>
                </w:rPr>
              </w:pPr>
              <w:r>
                <w:rPr>
                  <w:rFonts w:hint="eastAsia"/>
                  <w:color w:val="000000" w:themeColor="text1"/>
                </w:rPr>
                <w:t>在可转债转股期内，如果公司股票连续三十个交易日中至少有十五个交易日的收盘价格不低于当期转股价格的</w:t>
              </w:r>
              <w:r>
                <w:rPr>
                  <w:rFonts w:hint="eastAsia"/>
                  <w:color w:val="000000" w:themeColor="text1"/>
                </w:rPr>
                <w:t>120%</w:t>
              </w:r>
              <w:r>
                <w:rPr>
                  <w:rFonts w:hint="eastAsia"/>
                  <w:color w:val="000000" w:themeColor="text1"/>
                </w:rPr>
                <w:t>（含</w:t>
              </w:r>
              <w:r>
                <w:rPr>
                  <w:rFonts w:hint="eastAsia"/>
                  <w:color w:val="000000" w:themeColor="text1"/>
                </w:rPr>
                <w:t>120%</w:t>
              </w:r>
              <w:r>
                <w:rPr>
                  <w:rFonts w:hint="eastAsia"/>
                  <w:color w:val="000000" w:themeColor="text1"/>
                </w:rPr>
                <w:t>），本公司有权按照债券面值加当期应计利息的价格赎回全部或部分未转股的可转债。此外，当本次发行的可转债未转股余额不足人民币</w:t>
              </w:r>
              <w:r>
                <w:rPr>
                  <w:rFonts w:hint="eastAsia"/>
                  <w:color w:val="000000" w:themeColor="text1"/>
                </w:rPr>
                <w:t>3,000</w:t>
              </w:r>
              <w:r>
                <w:rPr>
                  <w:rFonts w:hint="eastAsia"/>
                  <w:color w:val="000000" w:themeColor="text1"/>
                </w:rPr>
                <w:t>万元时，本公司有权按照债券面值加当期应计利息的价格赎回全部或部分未转股的可转债。</w:t>
              </w:r>
            </w:p>
            <w:p w14:paraId="39190B99" w14:textId="77777777" w:rsidR="005E000F" w:rsidRDefault="005E000F">
              <w:pPr>
                <w:spacing w:before="60" w:after="60"/>
                <w:rPr>
                  <w:color w:val="000000" w:themeColor="text1"/>
                </w:rPr>
              </w:pPr>
            </w:p>
            <w:p w14:paraId="10DEC05B" w14:textId="77777777" w:rsidR="005E000F" w:rsidRDefault="00000000">
              <w:pPr>
                <w:spacing w:before="60" w:after="60"/>
                <w:rPr>
                  <w:color w:val="000000" w:themeColor="text1"/>
                </w:rPr>
              </w:pPr>
              <w:r>
                <w:rPr>
                  <w:rFonts w:hint="eastAsia"/>
                  <w:color w:val="000000" w:themeColor="text1"/>
                </w:rPr>
                <w:t>本公司的股票自</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w:t>
              </w:r>
              <w:r>
                <w:rPr>
                  <w:rFonts w:hint="eastAsia"/>
                  <w:color w:val="000000" w:themeColor="text1"/>
                </w:rPr>
                <w:t>日至</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24</w:t>
              </w:r>
              <w:r>
                <w:rPr>
                  <w:rFonts w:hint="eastAsia"/>
                  <w:color w:val="000000" w:themeColor="text1"/>
                </w:rPr>
                <w:t>日连续</w:t>
              </w:r>
              <w:r>
                <w:rPr>
                  <w:rFonts w:hint="eastAsia"/>
                  <w:color w:val="000000" w:themeColor="text1"/>
                </w:rPr>
                <w:t>16</w:t>
              </w:r>
              <w:r>
                <w:rPr>
                  <w:rFonts w:hint="eastAsia"/>
                  <w:color w:val="000000" w:themeColor="text1"/>
                </w:rPr>
                <w:t>个交易日内有</w:t>
              </w:r>
              <w:r>
                <w:rPr>
                  <w:rFonts w:hint="eastAsia"/>
                  <w:color w:val="000000" w:themeColor="text1"/>
                </w:rPr>
                <w:t>15</w:t>
              </w:r>
              <w:r>
                <w:rPr>
                  <w:rFonts w:hint="eastAsia"/>
                  <w:color w:val="000000" w:themeColor="text1"/>
                </w:rPr>
                <w:t>个交易日收盘价格不低于当期转股价格的</w:t>
              </w:r>
              <w:r>
                <w:rPr>
                  <w:rFonts w:hint="eastAsia"/>
                  <w:color w:val="000000" w:themeColor="text1"/>
                </w:rPr>
                <w:t>120%</w:t>
              </w:r>
              <w:r>
                <w:rPr>
                  <w:rFonts w:hint="eastAsia"/>
                  <w:color w:val="000000" w:themeColor="text1"/>
                </w:rPr>
                <w:t>即，</w:t>
              </w:r>
              <w:r>
                <w:rPr>
                  <w:rFonts w:hint="eastAsia"/>
                  <w:color w:val="000000" w:themeColor="text1"/>
                </w:rPr>
                <w:t>6.86</w:t>
              </w:r>
              <w:r>
                <w:rPr>
                  <w:rFonts w:hint="eastAsia"/>
                  <w:color w:val="000000" w:themeColor="text1"/>
                </w:rPr>
                <w:t>元</w:t>
              </w:r>
              <w:r>
                <w:rPr>
                  <w:rFonts w:hint="eastAsia"/>
                  <w:color w:val="000000" w:themeColor="text1"/>
                </w:rPr>
                <w:t>/</w:t>
              </w:r>
              <w:r>
                <w:rPr>
                  <w:rFonts w:hint="eastAsia"/>
                  <w:color w:val="000000" w:themeColor="text1"/>
                </w:rPr>
                <w:t>股。按照《大秦铁路股份有限公司公开发行可转换公司债券募集说明书》（以下简称“募集说明书”）的相关约定，“大秦转债”已触发有条件赎回条款。公司于</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24</w:t>
              </w:r>
              <w:r>
                <w:rPr>
                  <w:rFonts w:hint="eastAsia"/>
                  <w:color w:val="000000" w:themeColor="text1"/>
                </w:rPr>
                <w:t>日召开第七届董事会第十次会议审议通过《关于提前赎回“大秦转债”的议案》，决定行使“大秦转债”的提前赎回权利，对“赎回登记日”登记在册的“大秦转债”全部赎回。“赎回登记日”为</w:t>
              </w:r>
              <w:r>
                <w:rPr>
                  <w:rFonts w:hint="eastAsia"/>
                  <w:color w:val="000000" w:themeColor="text1"/>
                </w:rPr>
                <w:t>2025</w:t>
              </w:r>
              <w:r>
                <w:rPr>
                  <w:rFonts w:hint="eastAsia"/>
                  <w:color w:val="000000" w:themeColor="text1"/>
                </w:rPr>
                <w:t>年</w:t>
              </w:r>
              <w:r>
                <w:rPr>
                  <w:rFonts w:hint="eastAsia"/>
                  <w:color w:val="000000" w:themeColor="text1"/>
                </w:rPr>
                <w:t>2</w:t>
              </w:r>
              <w:r>
                <w:rPr>
                  <w:rFonts w:hint="eastAsia"/>
                  <w:color w:val="000000" w:themeColor="text1"/>
                </w:rPr>
                <w:t>月</w:t>
              </w:r>
              <w:r>
                <w:rPr>
                  <w:rFonts w:hint="eastAsia"/>
                  <w:color w:val="000000" w:themeColor="text1"/>
                </w:rPr>
                <w:t>10</w:t>
              </w:r>
              <w:r>
                <w:rPr>
                  <w:rFonts w:hint="eastAsia"/>
                  <w:color w:val="000000" w:themeColor="text1"/>
                </w:rPr>
                <w:t>日。截至</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日，累计赎回面值人民币</w:t>
              </w:r>
              <w:r>
                <w:rPr>
                  <w:rFonts w:hint="eastAsia"/>
                  <w:color w:val="000000" w:themeColor="text1"/>
                </w:rPr>
                <w:t>19,428,000</w:t>
              </w:r>
              <w:r>
                <w:rPr>
                  <w:rFonts w:hint="eastAsia"/>
                  <w:color w:val="000000" w:themeColor="text1"/>
                </w:rPr>
                <w:t>元可转换公司债</w:t>
              </w:r>
              <w:proofErr w:type="gramStart"/>
              <w:r>
                <w:rPr>
                  <w:rFonts w:hint="eastAsia"/>
                  <w:color w:val="000000" w:themeColor="text1"/>
                </w:rPr>
                <w:t>券</w:t>
              </w:r>
              <w:proofErr w:type="gramEnd"/>
              <w:r>
                <w:rPr>
                  <w:rFonts w:hint="eastAsia"/>
                  <w:color w:val="000000" w:themeColor="text1"/>
                </w:rPr>
                <w:t>。</w:t>
              </w:r>
            </w:p>
          </w:sdtContent>
        </w:sdt>
        <w:p w14:paraId="4C861962" w14:textId="77777777" w:rsidR="005E000F" w:rsidRDefault="00000000">
          <w:pPr>
            <w:spacing w:before="60" w:after="60"/>
          </w:pPr>
        </w:p>
      </w:sdtContent>
    </w:sdt>
    <w:p w14:paraId="4F889287" w14:textId="77777777" w:rsidR="005E000F" w:rsidRDefault="005E000F"/>
    <w:p w14:paraId="456A1B49" w14:textId="77777777" w:rsidR="005E000F" w:rsidRDefault="00000000">
      <w:pPr>
        <w:pStyle w:val="4"/>
        <w:numPr>
          <w:ilvl w:val="0"/>
          <w:numId w:val="98"/>
        </w:numPr>
        <w:tabs>
          <w:tab w:val="left" w:pos="672"/>
        </w:tabs>
        <w:rPr>
          <w:rFonts w:ascii="宋体" w:hAnsi="宋体"/>
          <w:color w:val="000000" w:themeColor="text1"/>
          <w:szCs w:val="21"/>
        </w:rPr>
      </w:pPr>
      <w:bookmarkStart w:id="374" w:name="_Hlk184976397"/>
      <w:bookmarkEnd w:id="372"/>
      <w:bookmarkEnd w:id="373"/>
      <w:r>
        <w:rPr>
          <w:rFonts w:ascii="宋体" w:hAnsi="宋体" w:hint="eastAsia"/>
          <w:color w:val="000000" w:themeColor="text1"/>
          <w:szCs w:val="21"/>
        </w:rPr>
        <w:t>划分为金融负债的其他金融工具说明</w:t>
      </w:r>
    </w:p>
    <w:p w14:paraId="12A59BFC" w14:textId="77777777" w:rsidR="005E000F" w:rsidRDefault="00000000">
      <w:pPr>
        <w:rPr>
          <w:color w:val="000000" w:themeColor="text1"/>
        </w:rPr>
      </w:pPr>
      <w:r>
        <w:rPr>
          <w:rFonts w:hint="eastAsia"/>
          <w:color w:val="000000" w:themeColor="text1"/>
        </w:rPr>
        <w:t>期末发行在外的优先股、永续债等其他金融工具基本情况</w:t>
      </w:r>
    </w:p>
    <w:sdt>
      <w:sdtPr>
        <w:rPr>
          <w:color w:val="000000" w:themeColor="text1"/>
        </w:rPr>
        <w:alias w:val="是否适用：划分为金融负债的其他金融工具说明[双击切换]"/>
        <w:tag w:val="_GBC_53513c1d69be4ad5ae1f8e792b460c3a"/>
        <w:id w:val="95911421"/>
        <w:placeholder>
          <w:docPart w:val="GBC22222222222222222222222222222"/>
        </w:placeholder>
      </w:sdtPr>
      <w:sdtContent>
        <w:p w14:paraId="765DCB90"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7575C49" w14:textId="77777777" w:rsidR="005E000F" w:rsidRDefault="005E000F">
      <w:pPr>
        <w:rPr>
          <w:color w:val="000000" w:themeColor="text1"/>
        </w:rPr>
      </w:pPr>
    </w:p>
    <w:p w14:paraId="3D7C117F" w14:textId="77777777" w:rsidR="005E000F" w:rsidRDefault="00000000">
      <w:pPr>
        <w:rPr>
          <w:color w:val="000000" w:themeColor="text1"/>
        </w:rPr>
      </w:pPr>
      <w:r>
        <w:rPr>
          <w:rFonts w:hint="eastAsia"/>
          <w:color w:val="000000" w:themeColor="text1"/>
        </w:rPr>
        <w:t>期末发行在外的优先股、永续债等金融工具变动情况表</w:t>
      </w:r>
    </w:p>
    <w:sdt>
      <w:sdtPr>
        <w:rPr>
          <w:color w:val="000000" w:themeColor="text1"/>
        </w:rPr>
        <w:alias w:val="是否适用：期末发行在外的优先股、永续债等金融工具变动情况表_应付债券[双击切换]"/>
        <w:tag w:val="_GBC_e613ba16b53e4bbb8a851aaf5017e3db"/>
        <w:id w:val="377061160"/>
        <w:placeholder>
          <w:docPart w:val="GBC22222222222222222222222222222"/>
        </w:placeholder>
      </w:sdtPr>
      <w:sdtContent>
        <w:p w14:paraId="5BB7F8B8"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3BCDA4E7" w14:textId="77777777" w:rsidR="005E000F" w:rsidRDefault="005E000F">
      <w:pPr>
        <w:rPr>
          <w:color w:val="000000" w:themeColor="text1"/>
        </w:rPr>
      </w:pPr>
    </w:p>
    <w:p w14:paraId="5B3C07A2" w14:textId="77777777" w:rsidR="005E000F" w:rsidRDefault="00000000">
      <w:pPr>
        <w:spacing w:before="60" w:after="60"/>
        <w:rPr>
          <w:color w:val="000000" w:themeColor="text1"/>
        </w:rPr>
      </w:pPr>
      <w:r>
        <w:rPr>
          <w:rFonts w:hint="eastAsia"/>
          <w:color w:val="000000" w:themeColor="text1"/>
        </w:rPr>
        <w:t>其他金融工具划分为金融负债的依据说明</w:t>
      </w:r>
    </w:p>
    <w:sdt>
      <w:sdtPr>
        <w:rPr>
          <w:color w:val="000000" w:themeColor="text1"/>
        </w:rPr>
        <w:alias w:val="是否适用：其他金融工具划分为金融负债的依据说明[双击切换]"/>
        <w:tag w:val="_GBC_a204081d4f834a93a4a19ca79b51cf77"/>
        <w:id w:val="222262576"/>
        <w:placeholder>
          <w:docPart w:val="GBC22222222222222222222222222222"/>
        </w:placeholder>
      </w:sdtPr>
      <w:sdtContent>
        <w:p w14:paraId="28FDCA43" w14:textId="77777777" w:rsidR="005E000F" w:rsidRDefault="00000000">
          <w:pPr>
            <w:spacing w:before="60" w:after="60"/>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2B454236" w14:textId="77777777" w:rsidR="005E000F" w:rsidRDefault="005E000F">
      <w:pPr>
        <w:rPr>
          <w:color w:val="000000" w:themeColor="text1"/>
        </w:rPr>
      </w:pPr>
    </w:p>
    <w:bookmarkEnd w:id="374"/>
    <w:p w14:paraId="1B09CB3D" w14:textId="77777777" w:rsidR="005E000F" w:rsidRDefault="00000000">
      <w:pPr>
        <w:spacing w:before="60" w:after="60"/>
      </w:pPr>
      <w:r>
        <w:rPr>
          <w:rFonts w:hint="eastAsia"/>
        </w:rPr>
        <w:t>其他说明：</w:t>
      </w:r>
    </w:p>
    <w:sdt>
      <w:sdtPr>
        <w:alias w:val="是否适用：应付债券的其他说明[双击切换]"/>
        <w:tag w:val="_GBC_2068e4e6d2994d6f8cfa9ecc26b171d4"/>
        <w:id w:val="1305735705"/>
        <w:placeholder>
          <w:docPart w:val="GBC22222222222222222222222222222"/>
        </w:placeholder>
      </w:sdtPr>
      <w:sdtContent>
        <w:p w14:paraId="61C6B0C9" w14:textId="77777777" w:rsidR="005E000F" w:rsidRDefault="00000000">
          <w:pPr>
            <w:spacing w:before="60" w:after="6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E78EFC1" w14:textId="77777777" w:rsidR="005E000F" w:rsidRDefault="005E000F">
      <w:pPr>
        <w:sectPr w:rsidR="005E000F">
          <w:pgSz w:w="16838" w:h="11906" w:orient="landscape"/>
          <w:pgMar w:top="1276" w:right="1440" w:bottom="1797" w:left="1525" w:header="856" w:footer="992" w:gutter="0"/>
          <w:cols w:space="425"/>
          <w:docGrid w:linePitch="312"/>
        </w:sectPr>
      </w:pPr>
    </w:p>
    <w:p w14:paraId="209285B3" w14:textId="77777777" w:rsidR="005E000F" w:rsidRDefault="005E000F"/>
    <w:p w14:paraId="301FDB8D" w14:textId="77777777" w:rsidR="005E000F" w:rsidRDefault="00000000">
      <w:pPr>
        <w:pStyle w:val="3"/>
        <w:numPr>
          <w:ilvl w:val="0"/>
          <w:numId w:val="66"/>
        </w:numPr>
        <w:tabs>
          <w:tab w:val="left" w:pos="504"/>
        </w:tabs>
        <w:rPr>
          <w:szCs w:val="21"/>
        </w:rPr>
      </w:pPr>
      <w:bookmarkStart w:id="375" w:name="_Hlk24026742"/>
      <w:r>
        <w:rPr>
          <w:rFonts w:hint="eastAsia"/>
          <w:szCs w:val="21"/>
        </w:rPr>
        <w:t>租赁负债</w:t>
      </w:r>
    </w:p>
    <w:sdt>
      <w:sdtPr>
        <w:alias w:val="是否适用：租赁负债[双击切换]"/>
        <w:tag w:val="_GBC_abf9a23b0ddc4b63b6f39d768c084973"/>
        <w:id w:val="340902325"/>
        <w:placeholder>
          <w:docPart w:val="GBC22222222222222222222222222222"/>
        </w:placeholder>
      </w:sdtPr>
      <w:sdtContent>
        <w:p w14:paraId="51367A8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2085442" w14:textId="77777777" w:rsidR="005E000F" w:rsidRDefault="00000000">
      <w:pPr>
        <w:jc w:val="right"/>
      </w:pPr>
      <w:r>
        <w:rPr>
          <w:rFonts w:hint="eastAsia"/>
        </w:rPr>
        <w:t>单位：</w:t>
      </w:r>
      <w:sdt>
        <w:sdtPr>
          <w:rPr>
            <w:rFonts w:hint="eastAsia"/>
          </w:rPr>
          <w:alias w:val="单位：租赁负债"/>
          <w:tag w:val="_GBC_33e504b2a4a34d41946083d1a309022f"/>
          <w:id w:val="-1869757701"/>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租赁负债"/>
          <w:tag w:val="_GBC_90ebb9825c5740c794669c2bf1475590"/>
          <w:id w:val="20785495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5"/>
        <w:gridCol w:w="2921"/>
        <w:gridCol w:w="2922"/>
      </w:tblGrid>
      <w:tr w:rsidR="005E000F" w14:paraId="766D6C2E" w14:textId="77777777">
        <w:trPr>
          <w:cantSplit/>
          <w:trHeight w:val="307"/>
        </w:trPr>
        <w:sdt>
          <w:sdtPr>
            <w:tag w:val="_PLD_a05982b715d74082b7e01db9e1e265ef"/>
            <w:id w:val="-323439607"/>
          </w:sdtPr>
          <w:sdtContent>
            <w:tc>
              <w:tcPr>
                <w:tcW w:w="3205" w:type="dxa"/>
                <w:vAlign w:val="center"/>
              </w:tcPr>
              <w:p w14:paraId="04952413" w14:textId="77777777" w:rsidR="005E000F" w:rsidRDefault="00000000">
                <w:pPr>
                  <w:jc w:val="center"/>
                </w:pPr>
                <w:r>
                  <w:rPr>
                    <w:rFonts w:hint="eastAsia"/>
                  </w:rPr>
                  <w:t>项目</w:t>
                </w:r>
              </w:p>
            </w:tc>
          </w:sdtContent>
        </w:sdt>
        <w:sdt>
          <w:sdtPr>
            <w:tag w:val="_PLD_84a0d8719b674f50bfcfc1c6ed86fed6"/>
            <w:id w:val="351069440"/>
          </w:sdtPr>
          <w:sdtContent>
            <w:tc>
              <w:tcPr>
                <w:tcW w:w="2921" w:type="dxa"/>
                <w:vAlign w:val="center"/>
              </w:tcPr>
              <w:p w14:paraId="689593F0" w14:textId="77777777" w:rsidR="005E000F" w:rsidRDefault="00000000">
                <w:pPr>
                  <w:jc w:val="center"/>
                </w:pPr>
                <w:r>
                  <w:rPr>
                    <w:rFonts w:hint="eastAsia"/>
                  </w:rPr>
                  <w:t>期末余额</w:t>
                </w:r>
              </w:p>
            </w:tc>
          </w:sdtContent>
        </w:sdt>
        <w:sdt>
          <w:sdtPr>
            <w:tag w:val="_PLD_d601589800f8414abb18e7477e7b41d6"/>
            <w:id w:val="-1561481657"/>
          </w:sdtPr>
          <w:sdtContent>
            <w:tc>
              <w:tcPr>
                <w:tcW w:w="2922" w:type="dxa"/>
                <w:vAlign w:val="center"/>
              </w:tcPr>
              <w:p w14:paraId="4D595061" w14:textId="77777777" w:rsidR="005E000F" w:rsidRDefault="00000000">
                <w:pPr>
                  <w:jc w:val="center"/>
                </w:pPr>
                <w:r>
                  <w:rPr>
                    <w:rFonts w:hint="eastAsia"/>
                  </w:rPr>
                  <w:t>期初余额</w:t>
                </w:r>
              </w:p>
            </w:tc>
          </w:sdtContent>
        </w:sdt>
      </w:tr>
      <w:tr w:rsidR="005E000F" w14:paraId="203BBBDD" w14:textId="77777777">
        <w:trPr>
          <w:cantSplit/>
          <w:trHeight w:val="186"/>
        </w:trPr>
        <w:tc>
          <w:tcPr>
            <w:tcW w:w="3205" w:type="dxa"/>
          </w:tcPr>
          <w:p w14:paraId="5EDC23D5" w14:textId="77777777" w:rsidR="005E000F" w:rsidRDefault="00000000">
            <w:pPr>
              <w:tabs>
                <w:tab w:val="right" w:pos="3690"/>
                <w:tab w:val="right" w:pos="5130"/>
                <w:tab w:val="right" w:pos="6030"/>
                <w:tab w:val="right" w:pos="7650"/>
                <w:tab w:val="right" w:pos="9270"/>
              </w:tabs>
              <w:adjustRightInd w:val="0"/>
              <w:snapToGrid w:val="0"/>
              <w:rPr>
                <w:lang w:eastAsia="en-US"/>
              </w:rPr>
            </w:pPr>
            <w:r>
              <w:rPr>
                <w:rFonts w:hint="eastAsia"/>
              </w:rPr>
              <w:t>长期租赁负债</w:t>
            </w:r>
          </w:p>
        </w:tc>
        <w:tc>
          <w:tcPr>
            <w:tcW w:w="2921" w:type="dxa"/>
            <w:vAlign w:val="center"/>
          </w:tcPr>
          <w:p w14:paraId="3E579DC9" w14:textId="77777777" w:rsidR="005E000F" w:rsidRDefault="00000000">
            <w:pPr>
              <w:jc w:val="right"/>
            </w:pPr>
            <w:r>
              <w:rPr>
                <w:rFonts w:hint="eastAsia"/>
              </w:rPr>
              <w:t xml:space="preserve"> 2,417,076,462 </w:t>
            </w:r>
          </w:p>
        </w:tc>
        <w:tc>
          <w:tcPr>
            <w:tcW w:w="2922" w:type="dxa"/>
          </w:tcPr>
          <w:p w14:paraId="424D0814" w14:textId="77777777" w:rsidR="005E000F" w:rsidRDefault="00000000">
            <w:pPr>
              <w:jc w:val="right"/>
              <w:rPr>
                <w:lang w:eastAsia="en-US"/>
              </w:rPr>
            </w:pPr>
            <w:r>
              <w:t>1,038,039,902</w:t>
            </w:r>
          </w:p>
        </w:tc>
      </w:tr>
      <w:tr w:rsidR="005E000F" w14:paraId="64B3EEE9" w14:textId="77777777">
        <w:trPr>
          <w:cantSplit/>
          <w:trHeight w:val="186"/>
        </w:trPr>
        <w:tc>
          <w:tcPr>
            <w:tcW w:w="3205" w:type="dxa"/>
          </w:tcPr>
          <w:p w14:paraId="2EA2C389" w14:textId="77777777" w:rsidR="005E000F" w:rsidRDefault="00000000">
            <w:pPr>
              <w:tabs>
                <w:tab w:val="right" w:pos="3690"/>
                <w:tab w:val="right" w:pos="5130"/>
                <w:tab w:val="right" w:pos="6030"/>
                <w:tab w:val="right" w:pos="7650"/>
                <w:tab w:val="right" w:pos="9270"/>
              </w:tabs>
              <w:adjustRightInd w:val="0"/>
              <w:snapToGrid w:val="0"/>
            </w:pPr>
            <w:r>
              <w:rPr>
                <w:rFonts w:hint="eastAsia"/>
              </w:rPr>
              <w:t>减：一年内到期的租赁负债</w:t>
            </w:r>
          </w:p>
        </w:tc>
        <w:tc>
          <w:tcPr>
            <w:tcW w:w="2921" w:type="dxa"/>
            <w:vAlign w:val="center"/>
          </w:tcPr>
          <w:p w14:paraId="353425BA" w14:textId="77777777" w:rsidR="005E000F" w:rsidRDefault="00000000">
            <w:pPr>
              <w:jc w:val="right"/>
            </w:pPr>
            <w:r>
              <w:t>265,643,049</w:t>
            </w:r>
          </w:p>
        </w:tc>
        <w:tc>
          <w:tcPr>
            <w:tcW w:w="2922" w:type="dxa"/>
          </w:tcPr>
          <w:p w14:paraId="2C982AEF" w14:textId="77777777" w:rsidR="005E000F" w:rsidRDefault="00000000">
            <w:pPr>
              <w:jc w:val="right"/>
              <w:rPr>
                <w:lang w:eastAsia="en-US"/>
              </w:rPr>
            </w:pPr>
            <w:r>
              <w:t>232,592,189</w:t>
            </w:r>
          </w:p>
        </w:tc>
      </w:tr>
      <w:tr w:rsidR="005E000F" w14:paraId="5C8A288E" w14:textId="77777777">
        <w:trPr>
          <w:cantSplit/>
          <w:trHeight w:val="186"/>
        </w:trPr>
        <w:tc>
          <w:tcPr>
            <w:tcW w:w="3205" w:type="dxa"/>
            <w:vAlign w:val="center"/>
          </w:tcPr>
          <w:p w14:paraId="65E1438C" w14:textId="77777777" w:rsidR="005E000F" w:rsidRDefault="00000000">
            <w:pPr>
              <w:jc w:val="center"/>
            </w:pPr>
            <w:r>
              <w:rPr>
                <w:rFonts w:hint="eastAsia"/>
              </w:rPr>
              <w:t>合计</w:t>
            </w:r>
          </w:p>
        </w:tc>
        <w:tc>
          <w:tcPr>
            <w:tcW w:w="2921" w:type="dxa"/>
            <w:vAlign w:val="center"/>
          </w:tcPr>
          <w:p w14:paraId="0DE94913" w14:textId="77777777" w:rsidR="005E000F" w:rsidRDefault="00000000">
            <w:pPr>
              <w:jc w:val="right"/>
            </w:pPr>
            <w:r>
              <w:t>2,151,433,413</w:t>
            </w:r>
          </w:p>
        </w:tc>
        <w:tc>
          <w:tcPr>
            <w:tcW w:w="2922" w:type="dxa"/>
          </w:tcPr>
          <w:p w14:paraId="49A51101" w14:textId="77777777" w:rsidR="005E000F" w:rsidRDefault="00000000">
            <w:pPr>
              <w:jc w:val="right"/>
              <w:rPr>
                <w:lang w:eastAsia="en-US"/>
              </w:rPr>
            </w:pPr>
            <w:r>
              <w:t>805,447,713</w:t>
            </w:r>
          </w:p>
        </w:tc>
      </w:tr>
    </w:tbl>
    <w:p w14:paraId="3B42BD95" w14:textId="77777777" w:rsidR="005E000F" w:rsidRDefault="00000000">
      <w:pPr>
        <w:snapToGrid w:val="0"/>
        <w:spacing w:before="60" w:after="60" w:line="240" w:lineRule="atLeast"/>
      </w:pPr>
      <w:r>
        <w:rPr>
          <w:rFonts w:hint="eastAsia"/>
        </w:rPr>
        <w:t>其他说明：</w:t>
      </w:r>
    </w:p>
    <w:sdt>
      <w:sdtPr>
        <w:alias w:val="租赁负债其他说明"/>
        <w:tag w:val="_GBC_d655dad6394141cbbfbca3ff3319cddc"/>
        <w:id w:val="1189957312"/>
        <w:placeholder>
          <w:docPart w:val="GBC22222222222222222222222222222"/>
        </w:placeholder>
      </w:sdtPr>
      <w:sdtContent>
        <w:p w14:paraId="0A6FC97C" w14:textId="77777777" w:rsidR="005E000F" w:rsidRDefault="00000000">
          <w:r>
            <w:rPr>
              <w:rFonts w:hint="eastAsia"/>
            </w:rPr>
            <w:t>无</w:t>
          </w:r>
        </w:p>
      </w:sdtContent>
    </w:sdt>
    <w:bookmarkEnd w:id="375"/>
    <w:p w14:paraId="7D91510A" w14:textId="77777777" w:rsidR="005E000F" w:rsidRDefault="005E000F"/>
    <w:p w14:paraId="4ADEF946"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长期应付款</w:t>
      </w:r>
    </w:p>
    <w:p w14:paraId="670DCA05" w14:textId="77777777" w:rsidR="005E000F" w:rsidRDefault="00000000">
      <w:pPr>
        <w:pStyle w:val="4"/>
      </w:pPr>
      <w:bookmarkStart w:id="376" w:name="_Hlk532911038"/>
      <w:r>
        <w:rPr>
          <w:rFonts w:hint="eastAsia"/>
        </w:rPr>
        <w:t>项目列示</w:t>
      </w:r>
    </w:p>
    <w:sdt>
      <w:sdtPr>
        <w:alias w:val="是否适用：长期应付款分类列示[双击切换]"/>
        <w:tag w:val="_GBC_90d4a9bd673140ef9c99898da48d1614"/>
        <w:id w:val="1964776145"/>
        <w:placeholder>
          <w:docPart w:val="GBC22222222222222222222222222222"/>
        </w:placeholder>
      </w:sdtPr>
      <w:sdtContent>
        <w:p w14:paraId="170C089F"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pPr w:leftFromText="180" w:rightFromText="180" w:vertAnchor="text" w:horzAnchor="page" w:tblpX="1267" w:tblpY="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8"/>
        <w:gridCol w:w="2863"/>
        <w:gridCol w:w="2877"/>
      </w:tblGrid>
      <w:tr w:rsidR="005E000F" w14:paraId="470EE5B1" w14:textId="77777777">
        <w:sdt>
          <w:sdtPr>
            <w:tag w:val="_PLD_2038af4a07e447f88ceb8aedfaa7f12b"/>
            <w:id w:val="147453041"/>
          </w:sdtPr>
          <w:sdtContent>
            <w:tc>
              <w:tcPr>
                <w:tcW w:w="3308" w:type="dxa"/>
                <w:vAlign w:val="center"/>
              </w:tcPr>
              <w:p w14:paraId="43B37754" w14:textId="77777777" w:rsidR="005E000F" w:rsidRDefault="00000000">
                <w:pPr>
                  <w:tabs>
                    <w:tab w:val="right" w:pos="3690"/>
                    <w:tab w:val="right" w:pos="5130"/>
                    <w:tab w:val="right" w:pos="6030"/>
                    <w:tab w:val="right" w:pos="7650"/>
                    <w:tab w:val="right" w:pos="9270"/>
                  </w:tabs>
                  <w:adjustRightInd w:val="0"/>
                  <w:snapToGrid w:val="0"/>
                  <w:jc w:val="center"/>
                </w:pPr>
                <w:r>
                  <w:rPr>
                    <w:rFonts w:hint="eastAsia"/>
                  </w:rPr>
                  <w:t>项目</w:t>
                </w:r>
              </w:p>
            </w:tc>
          </w:sdtContent>
        </w:sdt>
        <w:sdt>
          <w:sdtPr>
            <w:tag w:val="_PLD_8b56081577b84bd3b322c0202b6a7142"/>
            <w:id w:val="147473572"/>
          </w:sdtPr>
          <w:sdtContent>
            <w:tc>
              <w:tcPr>
                <w:tcW w:w="2863" w:type="dxa"/>
                <w:vAlign w:val="center"/>
              </w:tcPr>
              <w:p w14:paraId="56F5BADD" w14:textId="77777777" w:rsidR="005E000F" w:rsidRDefault="00000000">
                <w:pPr>
                  <w:jc w:val="center"/>
                </w:pPr>
                <w:r>
                  <w:rPr>
                    <w:rFonts w:hint="eastAsia"/>
                  </w:rPr>
                  <w:t>期末余额</w:t>
                </w:r>
              </w:p>
            </w:tc>
          </w:sdtContent>
        </w:sdt>
        <w:sdt>
          <w:sdtPr>
            <w:tag w:val="_PLD_2fa2691f59be4fb398c9e37e50109f5a"/>
            <w:id w:val="147466548"/>
          </w:sdtPr>
          <w:sdtContent>
            <w:tc>
              <w:tcPr>
                <w:tcW w:w="2877" w:type="dxa"/>
                <w:vAlign w:val="center"/>
              </w:tcPr>
              <w:p w14:paraId="2C0E98F6" w14:textId="77777777" w:rsidR="005E000F" w:rsidRDefault="00000000">
                <w:pPr>
                  <w:jc w:val="center"/>
                </w:pPr>
                <w:r>
                  <w:rPr>
                    <w:rFonts w:hint="eastAsia"/>
                  </w:rPr>
                  <w:t>期初余额</w:t>
                </w:r>
              </w:p>
            </w:tc>
          </w:sdtContent>
        </w:sdt>
      </w:tr>
      <w:tr w:rsidR="005E000F" w14:paraId="5519142E" w14:textId="77777777">
        <w:tc>
          <w:tcPr>
            <w:tcW w:w="3308" w:type="dxa"/>
            <w:vAlign w:val="center"/>
          </w:tcPr>
          <w:p w14:paraId="218E865A" w14:textId="77777777" w:rsidR="005E000F" w:rsidRDefault="00000000">
            <w:pPr>
              <w:tabs>
                <w:tab w:val="right" w:pos="3690"/>
                <w:tab w:val="right" w:pos="5130"/>
                <w:tab w:val="right" w:pos="6030"/>
                <w:tab w:val="right" w:pos="7650"/>
                <w:tab w:val="right" w:pos="9270"/>
              </w:tabs>
              <w:adjustRightInd w:val="0"/>
              <w:snapToGrid w:val="0"/>
            </w:pPr>
            <w:r>
              <w:rPr>
                <w:rFonts w:hint="eastAsia"/>
              </w:rPr>
              <w:t>长期应付款</w:t>
            </w:r>
          </w:p>
        </w:tc>
        <w:tc>
          <w:tcPr>
            <w:tcW w:w="2863" w:type="dxa"/>
            <w:vAlign w:val="center"/>
          </w:tcPr>
          <w:p w14:paraId="73C4F65F" w14:textId="77777777" w:rsidR="005E000F" w:rsidRDefault="00000000">
            <w:pPr>
              <w:tabs>
                <w:tab w:val="right" w:pos="3690"/>
                <w:tab w:val="right" w:pos="5130"/>
                <w:tab w:val="right" w:pos="6030"/>
                <w:tab w:val="right" w:pos="7650"/>
                <w:tab w:val="right" w:pos="9270"/>
              </w:tabs>
              <w:adjustRightInd w:val="0"/>
              <w:snapToGrid w:val="0"/>
              <w:jc w:val="right"/>
            </w:pPr>
            <w:r>
              <w:t>223,32</w:t>
            </w:r>
            <w:r>
              <w:rPr>
                <w:rFonts w:hint="eastAsia"/>
              </w:rPr>
              <w:t>5</w:t>
            </w:r>
          </w:p>
        </w:tc>
        <w:tc>
          <w:tcPr>
            <w:tcW w:w="2877" w:type="dxa"/>
          </w:tcPr>
          <w:p w14:paraId="662C85E2" w14:textId="77777777" w:rsidR="005E000F" w:rsidRDefault="00000000">
            <w:pPr>
              <w:tabs>
                <w:tab w:val="right" w:pos="3690"/>
                <w:tab w:val="right" w:pos="5130"/>
                <w:tab w:val="right" w:pos="6030"/>
                <w:tab w:val="right" w:pos="7650"/>
                <w:tab w:val="right" w:pos="9270"/>
              </w:tabs>
              <w:adjustRightInd w:val="0"/>
              <w:snapToGrid w:val="0"/>
              <w:jc w:val="right"/>
              <w:rPr>
                <w:lang w:eastAsia="en-US"/>
              </w:rPr>
            </w:pPr>
            <w:r>
              <w:t>224,186</w:t>
            </w:r>
          </w:p>
        </w:tc>
      </w:tr>
      <w:tr w:rsidR="005E000F" w14:paraId="3D3BC3CD" w14:textId="77777777">
        <w:tc>
          <w:tcPr>
            <w:tcW w:w="3308" w:type="dxa"/>
            <w:vAlign w:val="center"/>
          </w:tcPr>
          <w:p w14:paraId="3E2803D3" w14:textId="77777777" w:rsidR="005E000F" w:rsidRDefault="00000000">
            <w:pPr>
              <w:tabs>
                <w:tab w:val="right" w:pos="3690"/>
                <w:tab w:val="right" w:pos="5130"/>
                <w:tab w:val="right" w:pos="6030"/>
                <w:tab w:val="right" w:pos="7650"/>
                <w:tab w:val="right" w:pos="9270"/>
              </w:tabs>
              <w:adjustRightInd w:val="0"/>
              <w:snapToGrid w:val="0"/>
            </w:pPr>
            <w:r>
              <w:rPr>
                <w:rFonts w:hint="eastAsia"/>
              </w:rPr>
              <w:t>专项应付款</w:t>
            </w:r>
          </w:p>
        </w:tc>
        <w:tc>
          <w:tcPr>
            <w:tcW w:w="2863" w:type="dxa"/>
            <w:vAlign w:val="center"/>
          </w:tcPr>
          <w:p w14:paraId="20278AB3" w14:textId="77777777" w:rsidR="005E000F" w:rsidRDefault="00000000">
            <w:pPr>
              <w:tabs>
                <w:tab w:val="right" w:pos="3690"/>
                <w:tab w:val="right" w:pos="5130"/>
                <w:tab w:val="right" w:pos="6030"/>
                <w:tab w:val="right" w:pos="7650"/>
                <w:tab w:val="right" w:pos="9270"/>
              </w:tabs>
              <w:adjustRightInd w:val="0"/>
              <w:snapToGrid w:val="0"/>
              <w:jc w:val="right"/>
            </w:pPr>
            <w:r>
              <w:t>62,082,34</w:t>
            </w:r>
            <w:r>
              <w:rPr>
                <w:rFonts w:hint="eastAsia"/>
              </w:rPr>
              <w:t>2</w:t>
            </w:r>
          </w:p>
        </w:tc>
        <w:tc>
          <w:tcPr>
            <w:tcW w:w="2877" w:type="dxa"/>
          </w:tcPr>
          <w:p w14:paraId="2800AEB9" w14:textId="77777777" w:rsidR="005E000F" w:rsidRDefault="00000000">
            <w:pPr>
              <w:tabs>
                <w:tab w:val="right" w:pos="3690"/>
                <w:tab w:val="right" w:pos="5130"/>
                <w:tab w:val="right" w:pos="6030"/>
                <w:tab w:val="right" w:pos="7650"/>
                <w:tab w:val="right" w:pos="9270"/>
              </w:tabs>
              <w:adjustRightInd w:val="0"/>
              <w:snapToGrid w:val="0"/>
              <w:jc w:val="right"/>
              <w:rPr>
                <w:lang w:eastAsia="en-US"/>
              </w:rPr>
            </w:pPr>
            <w:r>
              <w:t>62,082,342</w:t>
            </w:r>
          </w:p>
        </w:tc>
      </w:tr>
      <w:tr w:rsidR="005E000F" w14:paraId="238C61AB" w14:textId="77777777">
        <w:tc>
          <w:tcPr>
            <w:tcW w:w="3308" w:type="dxa"/>
            <w:vAlign w:val="center"/>
          </w:tcPr>
          <w:p w14:paraId="38D36C16" w14:textId="77777777" w:rsidR="005E000F" w:rsidRDefault="00000000">
            <w:pPr>
              <w:tabs>
                <w:tab w:val="right" w:pos="3690"/>
                <w:tab w:val="right" w:pos="5130"/>
                <w:tab w:val="right" w:pos="6030"/>
                <w:tab w:val="right" w:pos="7650"/>
                <w:tab w:val="right" w:pos="9270"/>
              </w:tabs>
              <w:adjustRightInd w:val="0"/>
              <w:snapToGrid w:val="0"/>
            </w:pPr>
            <w:r>
              <w:rPr>
                <w:rFonts w:hint="eastAsia"/>
              </w:rPr>
              <w:t>合计</w:t>
            </w:r>
          </w:p>
        </w:tc>
        <w:tc>
          <w:tcPr>
            <w:tcW w:w="2863" w:type="dxa"/>
            <w:vAlign w:val="center"/>
          </w:tcPr>
          <w:p w14:paraId="21E64EF4" w14:textId="77777777" w:rsidR="005E000F" w:rsidRDefault="00000000">
            <w:pPr>
              <w:tabs>
                <w:tab w:val="right" w:pos="3690"/>
                <w:tab w:val="right" w:pos="5130"/>
                <w:tab w:val="right" w:pos="6030"/>
                <w:tab w:val="right" w:pos="7650"/>
                <w:tab w:val="right" w:pos="9270"/>
              </w:tabs>
              <w:adjustRightInd w:val="0"/>
              <w:snapToGrid w:val="0"/>
              <w:jc w:val="right"/>
            </w:pPr>
            <w:r>
              <w:t>62,305,667</w:t>
            </w:r>
          </w:p>
        </w:tc>
        <w:tc>
          <w:tcPr>
            <w:tcW w:w="2877" w:type="dxa"/>
          </w:tcPr>
          <w:p w14:paraId="1B6F9AA5" w14:textId="77777777" w:rsidR="005E000F" w:rsidRDefault="00000000">
            <w:pPr>
              <w:tabs>
                <w:tab w:val="right" w:pos="3690"/>
                <w:tab w:val="right" w:pos="5130"/>
                <w:tab w:val="right" w:pos="6030"/>
                <w:tab w:val="right" w:pos="7650"/>
                <w:tab w:val="right" w:pos="9270"/>
              </w:tabs>
              <w:adjustRightInd w:val="0"/>
              <w:snapToGrid w:val="0"/>
              <w:jc w:val="right"/>
              <w:rPr>
                <w:lang w:eastAsia="en-US"/>
              </w:rPr>
            </w:pPr>
            <w:r>
              <w:t>62,306,528</w:t>
            </w:r>
          </w:p>
        </w:tc>
      </w:tr>
    </w:tbl>
    <w:p w14:paraId="5B8B99A9" w14:textId="77777777" w:rsidR="005E000F" w:rsidRDefault="00000000">
      <w:pPr>
        <w:jc w:val="right"/>
      </w:pPr>
      <w:r>
        <w:rPr>
          <w:rFonts w:hint="eastAsia"/>
        </w:rPr>
        <w:t>单位：</w:t>
      </w:r>
      <w:sdt>
        <w:sdtPr>
          <w:rPr>
            <w:rFonts w:hint="eastAsia"/>
          </w:rPr>
          <w:alias w:val="单位：长期应付款分类列示"/>
          <w:tag w:val="_GBC_6f1c5753ac2941b597e1d984d66c55a3"/>
          <w:id w:val="48736975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长期应付款分类列示"/>
          <w:tag w:val="_GBC_8f45b0164513461a90709633a96141c4"/>
          <w:id w:val="-189079723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p w14:paraId="1592DF9C" w14:textId="77777777" w:rsidR="005E000F" w:rsidRDefault="005E000F"/>
    <w:p w14:paraId="3E9916C6" w14:textId="77777777" w:rsidR="005E000F" w:rsidRDefault="00000000">
      <w:bookmarkStart w:id="377" w:name="_Hlk532911057"/>
      <w:bookmarkEnd w:id="376"/>
      <w:r>
        <w:rPr>
          <w:rFonts w:hint="eastAsia"/>
        </w:rPr>
        <w:t>其他说明：</w:t>
      </w:r>
    </w:p>
    <w:sdt>
      <w:sdtPr>
        <w:alias w:val="是否适用：长期应付款分类列示其他说明[双击切换]"/>
        <w:tag w:val="_GBC_e7daa7f55cea4e3d835be6ee6457b35d"/>
        <w:id w:val="-1056690681"/>
        <w:placeholder>
          <w:docPart w:val="GBC22222222222222222222222222222"/>
        </w:placeholder>
      </w:sdtPr>
      <w:sdtContent>
        <w:p w14:paraId="120B7F2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E18B641" w14:textId="77777777" w:rsidR="005E000F" w:rsidRDefault="005E000F"/>
    <w:bookmarkEnd w:id="377"/>
    <w:p w14:paraId="7514CE53" w14:textId="77777777" w:rsidR="005E000F" w:rsidRDefault="00000000">
      <w:pPr>
        <w:pStyle w:val="4"/>
        <w:ind w:left="360" w:hanging="360"/>
      </w:pPr>
      <w:r>
        <w:rPr>
          <w:rFonts w:hint="eastAsia"/>
        </w:rPr>
        <w:t>长期应付款</w:t>
      </w:r>
    </w:p>
    <w:p w14:paraId="3A3C49E1" w14:textId="77777777" w:rsidR="005E000F" w:rsidRDefault="00000000">
      <w:pPr>
        <w:pStyle w:val="5"/>
        <w:numPr>
          <w:ilvl w:val="0"/>
          <w:numId w:val="99"/>
        </w:numPr>
        <w:ind w:leftChars="0"/>
      </w:pPr>
      <w:r>
        <w:rPr>
          <w:rFonts w:hint="eastAsia"/>
        </w:rPr>
        <w:t>按款项性质列示长期应付款</w:t>
      </w:r>
    </w:p>
    <w:sdt>
      <w:sdtPr>
        <w:alias w:val="是否适用：按款项性质列示长期应付款[双击切换]"/>
        <w:tag w:val="_GBC_6a4cca7cce5341018cd4836f32746cd9"/>
        <w:id w:val="79961617"/>
        <w:placeholder>
          <w:docPart w:val="GBC22222222222222222222222222222"/>
        </w:placeholder>
      </w:sdtPr>
      <w:sdtContent>
        <w:p w14:paraId="35EAFCCE"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2F129EE" w14:textId="77777777" w:rsidR="005E000F" w:rsidRDefault="00000000">
      <w:pPr>
        <w:jc w:val="right"/>
      </w:pPr>
      <w:r>
        <w:rPr>
          <w:rFonts w:hint="eastAsia"/>
        </w:rPr>
        <w:t>单位：</w:t>
      </w:r>
      <w:sdt>
        <w:sdtPr>
          <w:rPr>
            <w:rFonts w:hint="eastAsia"/>
          </w:rPr>
          <w:alias w:val="单位：财务附注：长期应付款"/>
          <w:tag w:val="_GBC_ddf7b9d28f164198ac6c2f6a82b47d41"/>
          <w:id w:val="-10708097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长期应付款"/>
          <w:tag w:val="_GBC_f93228408d4f48699309d8ab4da673ba"/>
          <w:id w:val="15366120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208"/>
        <w:gridCol w:w="2924"/>
        <w:gridCol w:w="2926"/>
      </w:tblGrid>
      <w:tr w:rsidR="005E000F" w14:paraId="0FC2A435" w14:textId="77777777">
        <w:trPr>
          <w:cantSplit/>
          <w:trHeight w:val="307"/>
        </w:trPr>
        <w:sdt>
          <w:sdtPr>
            <w:tag w:val="_PLD_80697eb0741143188d1783ddd81c2db2"/>
            <w:id w:val="-1181805550"/>
          </w:sdtPr>
          <w:sdtContent>
            <w:tc>
              <w:tcPr>
                <w:tcW w:w="3208" w:type="dxa"/>
                <w:vAlign w:val="center"/>
              </w:tcPr>
              <w:p w14:paraId="48E240B0" w14:textId="77777777" w:rsidR="005E000F" w:rsidRDefault="00000000">
                <w:pPr>
                  <w:jc w:val="center"/>
                </w:pPr>
                <w:r>
                  <w:rPr>
                    <w:rFonts w:hint="eastAsia"/>
                  </w:rPr>
                  <w:t>项目</w:t>
                </w:r>
              </w:p>
            </w:tc>
          </w:sdtContent>
        </w:sdt>
        <w:sdt>
          <w:sdtPr>
            <w:tag w:val="_PLD_b45e38f9b06048e18bf5d20429299b7b"/>
            <w:id w:val="923529660"/>
          </w:sdtPr>
          <w:sdtContent>
            <w:tc>
              <w:tcPr>
                <w:tcW w:w="2924" w:type="dxa"/>
                <w:vAlign w:val="center"/>
              </w:tcPr>
              <w:p w14:paraId="2AD886BE" w14:textId="77777777" w:rsidR="005E000F" w:rsidRDefault="00000000">
                <w:pPr>
                  <w:jc w:val="center"/>
                </w:pPr>
                <w:r>
                  <w:rPr>
                    <w:rFonts w:hint="eastAsia"/>
                  </w:rPr>
                  <w:t>期末余额</w:t>
                </w:r>
              </w:p>
            </w:tc>
          </w:sdtContent>
        </w:sdt>
        <w:sdt>
          <w:sdtPr>
            <w:tag w:val="_PLD_361897af892e4de98bc2cf056e2b512c"/>
            <w:id w:val="334034270"/>
          </w:sdtPr>
          <w:sdtContent>
            <w:tc>
              <w:tcPr>
                <w:tcW w:w="2926" w:type="dxa"/>
                <w:vAlign w:val="center"/>
              </w:tcPr>
              <w:p w14:paraId="4FB5E297" w14:textId="77777777" w:rsidR="005E000F" w:rsidRDefault="00000000">
                <w:pPr>
                  <w:jc w:val="center"/>
                </w:pPr>
                <w:r>
                  <w:rPr>
                    <w:rFonts w:hint="eastAsia"/>
                  </w:rPr>
                  <w:t>期初余额</w:t>
                </w:r>
              </w:p>
            </w:tc>
          </w:sdtContent>
        </w:sdt>
      </w:tr>
      <w:tr w:rsidR="005E000F" w14:paraId="4351777A" w14:textId="77777777">
        <w:trPr>
          <w:cantSplit/>
          <w:trHeight w:val="186"/>
        </w:trPr>
        <w:tc>
          <w:tcPr>
            <w:tcW w:w="3208" w:type="dxa"/>
          </w:tcPr>
          <w:p w14:paraId="39224791" w14:textId="77777777" w:rsidR="005E000F" w:rsidRDefault="00000000">
            <w:pPr>
              <w:tabs>
                <w:tab w:val="right" w:pos="3690"/>
                <w:tab w:val="right" w:pos="5130"/>
                <w:tab w:val="right" w:pos="6030"/>
                <w:tab w:val="right" w:pos="7650"/>
                <w:tab w:val="right" w:pos="9270"/>
              </w:tabs>
              <w:adjustRightInd w:val="0"/>
              <w:snapToGrid w:val="0"/>
              <w:rPr>
                <w:lang w:eastAsia="en-US"/>
              </w:rPr>
            </w:pPr>
            <w:r>
              <w:rPr>
                <w:rFonts w:hint="eastAsia"/>
              </w:rPr>
              <w:t>应付融资租赁款</w:t>
            </w:r>
          </w:p>
        </w:tc>
        <w:tc>
          <w:tcPr>
            <w:tcW w:w="2924" w:type="dxa"/>
            <w:vAlign w:val="center"/>
          </w:tcPr>
          <w:p w14:paraId="732055FF" w14:textId="77777777" w:rsidR="005E000F" w:rsidRDefault="00000000">
            <w:pPr>
              <w:jc w:val="right"/>
            </w:pPr>
            <w:r>
              <w:rPr>
                <w:rFonts w:hint="eastAsia"/>
              </w:rPr>
              <w:t>0</w:t>
            </w:r>
          </w:p>
        </w:tc>
        <w:tc>
          <w:tcPr>
            <w:tcW w:w="2926" w:type="dxa"/>
          </w:tcPr>
          <w:p w14:paraId="3A900D0D" w14:textId="77777777" w:rsidR="005E000F" w:rsidRDefault="00000000">
            <w:pPr>
              <w:jc w:val="right"/>
              <w:rPr>
                <w:lang w:eastAsia="en-US"/>
              </w:rPr>
            </w:pPr>
            <w:r>
              <w:t>0</w:t>
            </w:r>
          </w:p>
        </w:tc>
      </w:tr>
      <w:tr w:rsidR="005E000F" w14:paraId="7E811FE3" w14:textId="77777777">
        <w:trPr>
          <w:cantSplit/>
          <w:trHeight w:val="186"/>
        </w:trPr>
        <w:tc>
          <w:tcPr>
            <w:tcW w:w="3208" w:type="dxa"/>
          </w:tcPr>
          <w:p w14:paraId="27614F4D" w14:textId="77777777" w:rsidR="005E000F" w:rsidRDefault="00000000">
            <w:pPr>
              <w:tabs>
                <w:tab w:val="right" w:pos="3690"/>
                <w:tab w:val="right" w:pos="5130"/>
                <w:tab w:val="right" w:pos="6030"/>
                <w:tab w:val="right" w:pos="7650"/>
                <w:tab w:val="right" w:pos="9270"/>
              </w:tabs>
              <w:adjustRightInd w:val="0"/>
              <w:snapToGrid w:val="0"/>
              <w:rPr>
                <w:lang w:eastAsia="en-US"/>
              </w:rPr>
            </w:pPr>
            <w:r>
              <w:rPr>
                <w:rFonts w:hint="eastAsia"/>
              </w:rPr>
              <w:t>其他</w:t>
            </w:r>
          </w:p>
        </w:tc>
        <w:tc>
          <w:tcPr>
            <w:tcW w:w="2924" w:type="dxa"/>
            <w:vAlign w:val="center"/>
          </w:tcPr>
          <w:p w14:paraId="5B2BF77E" w14:textId="77777777" w:rsidR="005E000F" w:rsidRDefault="00000000">
            <w:pPr>
              <w:jc w:val="right"/>
            </w:pPr>
            <w:r>
              <w:t>223,32</w:t>
            </w:r>
            <w:r>
              <w:rPr>
                <w:rFonts w:hint="eastAsia"/>
              </w:rPr>
              <w:t>5</w:t>
            </w:r>
          </w:p>
        </w:tc>
        <w:tc>
          <w:tcPr>
            <w:tcW w:w="2926" w:type="dxa"/>
          </w:tcPr>
          <w:p w14:paraId="40C2714B" w14:textId="77777777" w:rsidR="005E000F" w:rsidRDefault="00000000">
            <w:pPr>
              <w:jc w:val="right"/>
              <w:rPr>
                <w:lang w:eastAsia="en-US"/>
              </w:rPr>
            </w:pPr>
            <w:r>
              <w:t>224,186</w:t>
            </w:r>
          </w:p>
        </w:tc>
      </w:tr>
      <w:tr w:rsidR="005E000F" w14:paraId="646555C6" w14:textId="77777777">
        <w:trPr>
          <w:cantSplit/>
          <w:trHeight w:val="186"/>
        </w:trPr>
        <w:tc>
          <w:tcPr>
            <w:tcW w:w="3208" w:type="dxa"/>
          </w:tcPr>
          <w:p w14:paraId="3AB138E8" w14:textId="77777777" w:rsidR="005E000F" w:rsidRDefault="00000000">
            <w:pPr>
              <w:tabs>
                <w:tab w:val="right" w:pos="3690"/>
                <w:tab w:val="right" w:pos="5130"/>
                <w:tab w:val="right" w:pos="6030"/>
                <w:tab w:val="right" w:pos="7650"/>
                <w:tab w:val="right" w:pos="9270"/>
              </w:tabs>
              <w:adjustRightInd w:val="0"/>
              <w:snapToGrid w:val="0"/>
            </w:pPr>
            <w:r>
              <w:rPr>
                <w:rFonts w:hint="eastAsia"/>
              </w:rPr>
              <w:t>减：一年内到期的长期应付款</w:t>
            </w:r>
          </w:p>
        </w:tc>
        <w:tc>
          <w:tcPr>
            <w:tcW w:w="2924" w:type="dxa"/>
            <w:vAlign w:val="center"/>
          </w:tcPr>
          <w:p w14:paraId="3BE0F66C" w14:textId="77777777" w:rsidR="005E000F" w:rsidRDefault="00000000">
            <w:pPr>
              <w:jc w:val="right"/>
            </w:pPr>
            <w:r>
              <w:rPr>
                <w:rFonts w:hint="eastAsia"/>
              </w:rPr>
              <w:t>0</w:t>
            </w:r>
          </w:p>
        </w:tc>
        <w:tc>
          <w:tcPr>
            <w:tcW w:w="2926" w:type="dxa"/>
          </w:tcPr>
          <w:p w14:paraId="405A546B" w14:textId="77777777" w:rsidR="005E000F" w:rsidRDefault="00000000">
            <w:pPr>
              <w:jc w:val="right"/>
              <w:rPr>
                <w:lang w:eastAsia="en-US"/>
              </w:rPr>
            </w:pPr>
            <w:r>
              <w:t>0</w:t>
            </w:r>
          </w:p>
        </w:tc>
      </w:tr>
      <w:tr w:rsidR="005E000F" w14:paraId="4B3241E4" w14:textId="77777777">
        <w:trPr>
          <w:cantSplit/>
          <w:trHeight w:val="186"/>
        </w:trPr>
        <w:tc>
          <w:tcPr>
            <w:tcW w:w="3208" w:type="dxa"/>
          </w:tcPr>
          <w:p w14:paraId="1E988305" w14:textId="77777777" w:rsidR="005E000F" w:rsidRDefault="00000000">
            <w:pPr>
              <w:tabs>
                <w:tab w:val="right" w:pos="3690"/>
                <w:tab w:val="right" w:pos="5130"/>
                <w:tab w:val="right" w:pos="6030"/>
                <w:tab w:val="right" w:pos="7650"/>
                <w:tab w:val="right" w:pos="9270"/>
              </w:tabs>
              <w:adjustRightInd w:val="0"/>
              <w:snapToGrid w:val="0"/>
              <w:jc w:val="center"/>
              <w:rPr>
                <w:lang w:eastAsia="en-US"/>
              </w:rPr>
            </w:pPr>
            <w:r>
              <w:rPr>
                <w:rFonts w:hint="eastAsia"/>
              </w:rPr>
              <w:t>合计</w:t>
            </w:r>
          </w:p>
        </w:tc>
        <w:tc>
          <w:tcPr>
            <w:tcW w:w="2924" w:type="dxa"/>
            <w:vAlign w:val="center"/>
          </w:tcPr>
          <w:p w14:paraId="5BE7147B" w14:textId="77777777" w:rsidR="005E000F" w:rsidRDefault="00000000">
            <w:pPr>
              <w:jc w:val="right"/>
            </w:pPr>
            <w:r>
              <w:t>223,32</w:t>
            </w:r>
            <w:r>
              <w:rPr>
                <w:rFonts w:hint="eastAsia"/>
              </w:rPr>
              <w:t>5</w:t>
            </w:r>
          </w:p>
        </w:tc>
        <w:tc>
          <w:tcPr>
            <w:tcW w:w="2926" w:type="dxa"/>
          </w:tcPr>
          <w:p w14:paraId="4B099F54" w14:textId="77777777" w:rsidR="005E000F" w:rsidRDefault="00000000">
            <w:pPr>
              <w:jc w:val="right"/>
              <w:rPr>
                <w:lang w:eastAsia="en-US"/>
              </w:rPr>
            </w:pPr>
            <w:r>
              <w:t>224,186</w:t>
            </w:r>
          </w:p>
        </w:tc>
      </w:tr>
    </w:tbl>
    <w:p w14:paraId="6216A2A4" w14:textId="77777777" w:rsidR="005E000F" w:rsidRDefault="005E000F"/>
    <w:p w14:paraId="196A4D1D" w14:textId="77777777" w:rsidR="005E000F" w:rsidRDefault="00000000">
      <w:pPr>
        <w:snapToGrid w:val="0"/>
        <w:spacing w:before="60" w:after="60" w:line="240" w:lineRule="atLeast"/>
      </w:pPr>
      <w:r>
        <w:rPr>
          <w:rFonts w:hint="eastAsia"/>
        </w:rPr>
        <w:t>其他说明：</w:t>
      </w:r>
    </w:p>
    <w:p w14:paraId="1E1D1BB7" w14:textId="77777777" w:rsidR="005E000F" w:rsidRDefault="00000000">
      <w:pPr>
        <w:snapToGrid w:val="0"/>
        <w:spacing w:line="240" w:lineRule="atLeast"/>
      </w:pPr>
      <w:sdt>
        <w:sdtPr>
          <w:alias w:val="长期应付款的说明"/>
          <w:tag w:val="_GBC_1e1004e075cc4ec6b1e314219a582067"/>
          <w:id w:val="-1760521663"/>
          <w:placeholder>
            <w:docPart w:val="GBC22222222222222222222222222222"/>
          </w:placeholder>
        </w:sdtPr>
        <w:sdtContent>
          <w:r>
            <w:rPr>
              <w:rFonts w:hint="eastAsia"/>
            </w:rPr>
            <w:t>无</w:t>
          </w:r>
        </w:sdtContent>
      </w:sdt>
    </w:p>
    <w:p w14:paraId="5DBD0E93" w14:textId="77777777" w:rsidR="005E000F" w:rsidRDefault="005E000F">
      <w:pPr>
        <w:snapToGrid w:val="0"/>
        <w:spacing w:line="240" w:lineRule="atLeast"/>
        <w:rPr>
          <w:rFonts w:cstheme="minorBidi"/>
        </w:rPr>
      </w:pPr>
    </w:p>
    <w:p w14:paraId="38E5081A" w14:textId="77777777" w:rsidR="005E000F" w:rsidRDefault="00000000">
      <w:pPr>
        <w:pStyle w:val="4"/>
        <w:ind w:left="360" w:hanging="360"/>
      </w:pPr>
      <w:r>
        <w:rPr>
          <w:rFonts w:hint="eastAsia"/>
        </w:rPr>
        <w:t>专项应付款</w:t>
      </w:r>
    </w:p>
    <w:p w14:paraId="45749A19" w14:textId="77777777" w:rsidR="005E000F" w:rsidRDefault="00000000">
      <w:pPr>
        <w:pStyle w:val="5"/>
        <w:numPr>
          <w:ilvl w:val="0"/>
          <w:numId w:val="100"/>
        </w:numPr>
        <w:ind w:leftChars="0"/>
        <w:rPr>
          <w:rFonts w:asciiTheme="minorHAnsi" w:hAnsiTheme="minorHAnsi" w:cstheme="minorBidi"/>
          <w:kern w:val="0"/>
          <w:szCs w:val="24"/>
        </w:rPr>
      </w:pPr>
      <w:r>
        <w:rPr>
          <w:rFonts w:asciiTheme="minorHAnsi" w:hAnsiTheme="minorHAnsi" w:cstheme="minorBidi" w:hint="eastAsia"/>
          <w:kern w:val="0"/>
          <w:szCs w:val="24"/>
        </w:rPr>
        <w:t>按款项性质列示专项应付款</w:t>
      </w:r>
    </w:p>
    <w:sdt>
      <w:sdtPr>
        <w:alias w:val="是否适用：专项应付款[双击切换]"/>
        <w:tag w:val="_GBC_857ddecb5bce4a0f99e428cd2635aa03"/>
        <w:id w:val="501857870"/>
        <w:placeholder>
          <w:docPart w:val="GBC22222222222222222222222222222"/>
        </w:placeholder>
      </w:sdtPr>
      <w:sdtContent>
        <w:p w14:paraId="254883F4"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9FAFD6E" w14:textId="77777777" w:rsidR="005E000F" w:rsidRDefault="005E000F">
      <w:pPr>
        <w:snapToGrid w:val="0"/>
      </w:pPr>
    </w:p>
    <w:p w14:paraId="5CD96456" w14:textId="77777777" w:rsidR="005E000F" w:rsidRDefault="005E000F">
      <w:pPr>
        <w:snapToGrid w:val="0"/>
      </w:pPr>
    </w:p>
    <w:p w14:paraId="1AEB2F5B" w14:textId="77777777" w:rsidR="005E000F" w:rsidRDefault="00000000">
      <w:pPr>
        <w:pStyle w:val="3"/>
        <w:numPr>
          <w:ilvl w:val="0"/>
          <w:numId w:val="66"/>
        </w:numPr>
        <w:tabs>
          <w:tab w:val="left" w:pos="504"/>
        </w:tabs>
        <w:rPr>
          <w:szCs w:val="21"/>
        </w:rPr>
      </w:pPr>
      <w:r>
        <w:rPr>
          <w:rFonts w:hint="eastAsia"/>
          <w:szCs w:val="21"/>
        </w:rPr>
        <w:t>长期应付职工薪</w:t>
      </w:r>
      <w:proofErr w:type="gramStart"/>
      <w:r>
        <w:rPr>
          <w:rFonts w:hint="eastAsia"/>
          <w:szCs w:val="21"/>
        </w:rPr>
        <w:t>酬</w:t>
      </w:r>
      <w:proofErr w:type="gramEnd"/>
    </w:p>
    <w:sdt>
      <w:sdtPr>
        <w:alias w:val="是否适用：长期应付职工薪酬[双击切换]"/>
        <w:tag w:val="_GBC_24f9546075204a64926cf2cb24e64f0e"/>
        <w:id w:val="2033917388"/>
        <w:placeholder>
          <w:docPart w:val="GBC22222222222222222222222222222"/>
        </w:placeholder>
      </w:sdtPr>
      <w:sdtContent>
        <w:p w14:paraId="4B84700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2CB9331" w14:textId="77777777" w:rsidR="005E000F" w:rsidRDefault="00000000">
      <w:pPr>
        <w:pStyle w:val="4"/>
        <w:numPr>
          <w:ilvl w:val="0"/>
          <w:numId w:val="101"/>
        </w:numPr>
        <w:ind w:left="426" w:hanging="426"/>
      </w:pPr>
      <w:r>
        <w:rPr>
          <w:rFonts w:hint="eastAsia"/>
        </w:rPr>
        <w:lastRenderedPageBreak/>
        <w:t>长期应付职工薪酬表</w:t>
      </w:r>
    </w:p>
    <w:sdt>
      <w:sdtPr>
        <w:alias w:val="是否适用：长期应付职工薪酬表[双击切换]"/>
        <w:tag w:val="_GBC_b44de9fd198c4a3499852d2770fe541b"/>
        <w:id w:val="1575624887"/>
        <w:placeholder>
          <w:docPart w:val="GBC22222222222222222222222222222"/>
        </w:placeholder>
      </w:sdtPr>
      <w:sdtContent>
        <w:p w14:paraId="46DA8AEE"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91094EB" w14:textId="77777777" w:rsidR="005E000F" w:rsidRDefault="00000000">
      <w:pPr>
        <w:jc w:val="right"/>
      </w:pPr>
      <w:r>
        <w:rPr>
          <w:rFonts w:hint="eastAsia"/>
        </w:rPr>
        <w:t>单位：</w:t>
      </w:r>
      <w:sdt>
        <w:sdtPr>
          <w:rPr>
            <w:rFonts w:hint="eastAsia"/>
          </w:rPr>
          <w:alias w:val="单位：财务附注：长期应付职工薪酬"/>
          <w:tag w:val="_GBC_494e432bb7b842a4b2966c2a30e46b7c"/>
          <w:id w:val="13048927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长期应付职工薪酬"/>
          <w:tag w:val="_GBC_02ec6d6e408949a7aba93c9538df7dad"/>
          <w:id w:val="6777795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3"/>
        <w:gridCol w:w="2631"/>
        <w:gridCol w:w="2763"/>
      </w:tblGrid>
      <w:tr w:rsidR="005E000F" w14:paraId="2031E0F5" w14:textId="77777777">
        <w:sdt>
          <w:sdtPr>
            <w:tag w:val="_PLD_87f8419ee43a44a3851aeb0ae20db3b3"/>
            <w:id w:val="1762797330"/>
          </w:sdtPr>
          <w:sdtContent>
            <w:tc>
              <w:tcPr>
                <w:tcW w:w="3653" w:type="dxa"/>
                <w:vAlign w:val="center"/>
              </w:tcPr>
              <w:p w14:paraId="1C2DC7A7" w14:textId="77777777" w:rsidR="005E000F" w:rsidRDefault="00000000">
                <w:pPr>
                  <w:jc w:val="center"/>
                </w:pPr>
                <w:r>
                  <w:rPr>
                    <w:rFonts w:hint="eastAsia"/>
                  </w:rPr>
                  <w:t>项目</w:t>
                </w:r>
              </w:p>
            </w:tc>
          </w:sdtContent>
        </w:sdt>
        <w:sdt>
          <w:sdtPr>
            <w:tag w:val="_PLD_dc953e100cbb4806858d7d10436872c1"/>
            <w:id w:val="580193645"/>
          </w:sdtPr>
          <w:sdtContent>
            <w:tc>
              <w:tcPr>
                <w:tcW w:w="2631" w:type="dxa"/>
                <w:vAlign w:val="center"/>
              </w:tcPr>
              <w:p w14:paraId="235101B3" w14:textId="77777777" w:rsidR="005E000F" w:rsidRDefault="00000000">
                <w:pPr>
                  <w:jc w:val="center"/>
                </w:pPr>
                <w:r>
                  <w:rPr>
                    <w:rFonts w:hint="eastAsia"/>
                  </w:rPr>
                  <w:t>期末余额</w:t>
                </w:r>
              </w:p>
            </w:tc>
          </w:sdtContent>
        </w:sdt>
        <w:sdt>
          <w:sdtPr>
            <w:tag w:val="_PLD_28d4785454ea4bd99f4433899ff434f8"/>
            <w:id w:val="1623717710"/>
          </w:sdtPr>
          <w:sdtContent>
            <w:tc>
              <w:tcPr>
                <w:tcW w:w="2763" w:type="dxa"/>
                <w:vAlign w:val="center"/>
              </w:tcPr>
              <w:p w14:paraId="75BAF40F" w14:textId="77777777" w:rsidR="005E000F" w:rsidRDefault="00000000">
                <w:pPr>
                  <w:jc w:val="center"/>
                </w:pPr>
                <w:r>
                  <w:rPr>
                    <w:rFonts w:hint="eastAsia"/>
                  </w:rPr>
                  <w:t>期初余额</w:t>
                </w:r>
              </w:p>
            </w:tc>
          </w:sdtContent>
        </w:sdt>
      </w:tr>
      <w:tr w:rsidR="005E000F" w14:paraId="00B561F6" w14:textId="77777777">
        <w:tc>
          <w:tcPr>
            <w:tcW w:w="3653" w:type="dxa"/>
            <w:vAlign w:val="center"/>
          </w:tcPr>
          <w:p w14:paraId="348FD412" w14:textId="77777777" w:rsidR="005E000F" w:rsidRDefault="00000000">
            <w:r>
              <w:rPr>
                <w:rFonts w:hint="eastAsia"/>
              </w:rPr>
              <w:t>一、离职后福利</w:t>
            </w:r>
            <w:r>
              <w:rPr>
                <w:rFonts w:hint="eastAsia"/>
              </w:rPr>
              <w:t>-</w:t>
            </w:r>
            <w:r>
              <w:rPr>
                <w:rFonts w:hint="eastAsia"/>
              </w:rPr>
              <w:t>设定受益计划净负债</w:t>
            </w:r>
          </w:p>
        </w:tc>
        <w:tc>
          <w:tcPr>
            <w:tcW w:w="2631" w:type="dxa"/>
            <w:vAlign w:val="center"/>
          </w:tcPr>
          <w:p w14:paraId="0CC791CE" w14:textId="77777777" w:rsidR="005E000F" w:rsidRDefault="00000000">
            <w:pPr>
              <w:jc w:val="right"/>
            </w:pPr>
            <w:r>
              <w:t>3,257,026,846</w:t>
            </w:r>
          </w:p>
        </w:tc>
        <w:tc>
          <w:tcPr>
            <w:tcW w:w="2763" w:type="dxa"/>
            <w:vAlign w:val="center"/>
          </w:tcPr>
          <w:p w14:paraId="5F314874" w14:textId="77777777" w:rsidR="005E000F" w:rsidRDefault="00000000">
            <w:pPr>
              <w:jc w:val="right"/>
            </w:pPr>
            <w:r>
              <w:t>3,244,077,004</w:t>
            </w:r>
          </w:p>
        </w:tc>
      </w:tr>
      <w:tr w:rsidR="005E000F" w14:paraId="034600DF" w14:textId="77777777">
        <w:tc>
          <w:tcPr>
            <w:tcW w:w="3653" w:type="dxa"/>
            <w:vAlign w:val="center"/>
          </w:tcPr>
          <w:p w14:paraId="497BC959" w14:textId="77777777" w:rsidR="005E000F" w:rsidRDefault="00000000">
            <w:r>
              <w:rPr>
                <w:rFonts w:hint="eastAsia"/>
              </w:rPr>
              <w:t>二、辞退福利</w:t>
            </w:r>
          </w:p>
        </w:tc>
        <w:tc>
          <w:tcPr>
            <w:tcW w:w="2631" w:type="dxa"/>
            <w:vAlign w:val="center"/>
          </w:tcPr>
          <w:p w14:paraId="2CE830E7" w14:textId="77777777" w:rsidR="005E000F" w:rsidRDefault="00000000">
            <w:pPr>
              <w:jc w:val="right"/>
            </w:pPr>
            <w:r>
              <w:rPr>
                <w:rFonts w:hint="eastAsia"/>
              </w:rPr>
              <w:t>0</w:t>
            </w:r>
          </w:p>
        </w:tc>
        <w:tc>
          <w:tcPr>
            <w:tcW w:w="2763" w:type="dxa"/>
            <w:vAlign w:val="center"/>
          </w:tcPr>
          <w:p w14:paraId="62A8DD7D" w14:textId="77777777" w:rsidR="005E000F" w:rsidRDefault="00000000">
            <w:pPr>
              <w:jc w:val="right"/>
            </w:pPr>
            <w:r>
              <w:rPr>
                <w:rFonts w:hint="eastAsia"/>
              </w:rPr>
              <w:t>0</w:t>
            </w:r>
          </w:p>
        </w:tc>
      </w:tr>
      <w:tr w:rsidR="005E000F" w14:paraId="4A81A5B8" w14:textId="77777777">
        <w:tc>
          <w:tcPr>
            <w:tcW w:w="3653" w:type="dxa"/>
            <w:vAlign w:val="center"/>
          </w:tcPr>
          <w:p w14:paraId="2F9C132D" w14:textId="77777777" w:rsidR="005E000F" w:rsidRDefault="00000000">
            <w:r>
              <w:rPr>
                <w:rFonts w:hint="eastAsia"/>
              </w:rPr>
              <w:t>三、其他长期福利</w:t>
            </w:r>
          </w:p>
        </w:tc>
        <w:tc>
          <w:tcPr>
            <w:tcW w:w="2631" w:type="dxa"/>
            <w:vAlign w:val="center"/>
          </w:tcPr>
          <w:p w14:paraId="1198669E" w14:textId="77777777" w:rsidR="005E000F" w:rsidRDefault="00000000">
            <w:pPr>
              <w:jc w:val="right"/>
            </w:pPr>
            <w:r>
              <w:rPr>
                <w:rFonts w:hint="eastAsia"/>
              </w:rPr>
              <w:t>0</w:t>
            </w:r>
          </w:p>
        </w:tc>
        <w:tc>
          <w:tcPr>
            <w:tcW w:w="2763" w:type="dxa"/>
            <w:vAlign w:val="center"/>
          </w:tcPr>
          <w:p w14:paraId="1EA56789" w14:textId="77777777" w:rsidR="005E000F" w:rsidRDefault="00000000">
            <w:pPr>
              <w:jc w:val="right"/>
            </w:pPr>
            <w:r>
              <w:rPr>
                <w:rFonts w:hint="eastAsia"/>
              </w:rPr>
              <w:t>0</w:t>
            </w:r>
          </w:p>
        </w:tc>
      </w:tr>
      <w:tr w:rsidR="005E000F" w14:paraId="3F0A7D8C" w14:textId="77777777">
        <w:tc>
          <w:tcPr>
            <w:tcW w:w="3653" w:type="dxa"/>
            <w:vAlign w:val="center"/>
          </w:tcPr>
          <w:p w14:paraId="6ABF7176" w14:textId="77777777" w:rsidR="005E000F" w:rsidRDefault="00000000">
            <w:pPr>
              <w:jc w:val="center"/>
            </w:pPr>
            <w:r>
              <w:rPr>
                <w:rFonts w:hint="eastAsia"/>
              </w:rPr>
              <w:t>合计</w:t>
            </w:r>
          </w:p>
        </w:tc>
        <w:tc>
          <w:tcPr>
            <w:tcW w:w="2631" w:type="dxa"/>
            <w:vAlign w:val="center"/>
          </w:tcPr>
          <w:p w14:paraId="4D70B21B" w14:textId="77777777" w:rsidR="005E000F" w:rsidRDefault="00000000">
            <w:pPr>
              <w:jc w:val="right"/>
            </w:pPr>
            <w:r>
              <w:t>3,257,026,846</w:t>
            </w:r>
          </w:p>
        </w:tc>
        <w:tc>
          <w:tcPr>
            <w:tcW w:w="2763" w:type="dxa"/>
            <w:vAlign w:val="center"/>
          </w:tcPr>
          <w:p w14:paraId="776D8168" w14:textId="77777777" w:rsidR="005E000F" w:rsidRDefault="00000000">
            <w:pPr>
              <w:jc w:val="right"/>
            </w:pPr>
            <w:r>
              <w:t>3,244,077,004</w:t>
            </w:r>
          </w:p>
        </w:tc>
      </w:tr>
    </w:tbl>
    <w:p w14:paraId="107F4CFD" w14:textId="77777777" w:rsidR="005E000F" w:rsidRDefault="005E000F"/>
    <w:p w14:paraId="7EB93350" w14:textId="77777777" w:rsidR="005E000F" w:rsidRDefault="00000000">
      <w:pPr>
        <w:pStyle w:val="4"/>
        <w:numPr>
          <w:ilvl w:val="0"/>
          <w:numId w:val="101"/>
        </w:numPr>
        <w:ind w:left="426" w:hanging="426"/>
      </w:pPr>
      <w:r>
        <w:rPr>
          <w:rFonts w:hint="eastAsia"/>
        </w:rPr>
        <w:t>设定受益计划变动情况</w:t>
      </w:r>
    </w:p>
    <w:p w14:paraId="21F2871D" w14:textId="77777777" w:rsidR="005E000F" w:rsidRDefault="00000000">
      <w:r>
        <w:rPr>
          <w:rFonts w:hint="eastAsia"/>
        </w:rPr>
        <w:t>设定受益计划义务现值：</w:t>
      </w:r>
    </w:p>
    <w:sdt>
      <w:sdtPr>
        <w:alias w:val="是否适用：设定受益计划义务现值[双击切换]"/>
        <w:tag w:val="_GBC_898bbd8ee5bb4ad698965551469ae3fb"/>
        <w:id w:val="-566336357"/>
        <w:placeholder>
          <w:docPart w:val="GBC22222222222222222222222222222"/>
        </w:placeholder>
      </w:sdtPr>
      <w:sdtContent>
        <w:p w14:paraId="70363188"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A1731FA" w14:textId="77777777" w:rsidR="005E000F" w:rsidRDefault="00000000">
      <w:pPr>
        <w:jc w:val="right"/>
      </w:pPr>
      <w:r>
        <w:rPr>
          <w:rFonts w:hint="eastAsia"/>
        </w:rPr>
        <w:t>单位：</w:t>
      </w:r>
      <w:sdt>
        <w:sdtPr>
          <w:rPr>
            <w:rFonts w:hint="eastAsia"/>
          </w:rPr>
          <w:alias w:val="单位：财务附注：设定受益计划义务现值"/>
          <w:tag w:val="_GBC_d87db3237cee4a5a822494fe218bb633"/>
          <w:id w:val="-2953689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设定受益计划义务现值"/>
          <w:tag w:val="_GBC_99e1a1c974464745933602a4864f5ee3"/>
          <w:id w:val="97434277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2"/>
        <w:gridCol w:w="2961"/>
        <w:gridCol w:w="2605"/>
      </w:tblGrid>
      <w:tr w:rsidR="005E000F" w14:paraId="7CC7FBBC" w14:textId="77777777">
        <w:sdt>
          <w:sdtPr>
            <w:tag w:val="_PLD_3dee25d75b904d5fa25c2c52ba200ae2"/>
            <w:id w:val="2075158164"/>
          </w:sdtPr>
          <w:sdtContent>
            <w:tc>
              <w:tcPr>
                <w:tcW w:w="3482" w:type="dxa"/>
                <w:tcBorders>
                  <w:left w:val="single" w:sz="6" w:space="0" w:color="auto"/>
                  <w:bottom w:val="single" w:sz="6" w:space="0" w:color="auto"/>
                  <w:right w:val="single" w:sz="6" w:space="0" w:color="auto"/>
                </w:tcBorders>
                <w:vAlign w:val="center"/>
              </w:tcPr>
              <w:p w14:paraId="16E54287" w14:textId="77777777" w:rsidR="005E000F" w:rsidRDefault="00000000">
                <w:pPr>
                  <w:jc w:val="center"/>
                </w:pPr>
                <w:r>
                  <w:rPr>
                    <w:rFonts w:hint="eastAsia"/>
                  </w:rPr>
                  <w:t>项目</w:t>
                </w:r>
              </w:p>
            </w:tc>
          </w:sdtContent>
        </w:sdt>
        <w:sdt>
          <w:sdtPr>
            <w:tag w:val="_PLD_a95376567d1a4834b376e3089b85f864"/>
            <w:id w:val="-1999416899"/>
          </w:sdtPr>
          <w:sdtContent>
            <w:tc>
              <w:tcPr>
                <w:tcW w:w="2961" w:type="dxa"/>
                <w:tcBorders>
                  <w:top w:val="single" w:sz="6" w:space="0" w:color="auto"/>
                  <w:left w:val="single" w:sz="6" w:space="0" w:color="auto"/>
                  <w:bottom w:val="single" w:sz="4" w:space="0" w:color="auto"/>
                  <w:right w:val="single" w:sz="4" w:space="0" w:color="auto"/>
                </w:tcBorders>
                <w:vAlign w:val="center"/>
              </w:tcPr>
              <w:p w14:paraId="7435EE6F" w14:textId="77777777" w:rsidR="005E000F" w:rsidRDefault="00000000">
                <w:pPr>
                  <w:jc w:val="center"/>
                </w:pPr>
                <w:r>
                  <w:rPr>
                    <w:rFonts w:hint="eastAsia"/>
                  </w:rPr>
                  <w:t>本期发生额</w:t>
                </w:r>
              </w:p>
            </w:tc>
          </w:sdtContent>
        </w:sdt>
        <w:sdt>
          <w:sdtPr>
            <w:tag w:val="_PLD_86c4cd0f85c94b3197fb39dcde827282"/>
            <w:id w:val="219017328"/>
          </w:sdtPr>
          <w:sdtContent>
            <w:tc>
              <w:tcPr>
                <w:tcW w:w="2605" w:type="dxa"/>
                <w:tcBorders>
                  <w:top w:val="single" w:sz="6" w:space="0" w:color="auto"/>
                  <w:left w:val="single" w:sz="6" w:space="0" w:color="auto"/>
                  <w:bottom w:val="single" w:sz="4" w:space="0" w:color="auto"/>
                  <w:right w:val="single" w:sz="4" w:space="0" w:color="auto"/>
                </w:tcBorders>
                <w:vAlign w:val="center"/>
              </w:tcPr>
              <w:p w14:paraId="54091DC5" w14:textId="77777777" w:rsidR="005E000F" w:rsidRDefault="00000000">
                <w:pPr>
                  <w:jc w:val="center"/>
                </w:pPr>
                <w:r>
                  <w:rPr>
                    <w:rFonts w:hint="eastAsia"/>
                  </w:rPr>
                  <w:t>上期发生额</w:t>
                </w:r>
              </w:p>
            </w:tc>
          </w:sdtContent>
        </w:sdt>
      </w:tr>
      <w:tr w:rsidR="005E000F" w14:paraId="1D23F0F5" w14:textId="77777777">
        <w:tc>
          <w:tcPr>
            <w:tcW w:w="3482" w:type="dxa"/>
            <w:tcBorders>
              <w:top w:val="single" w:sz="6" w:space="0" w:color="auto"/>
              <w:left w:val="single" w:sz="6" w:space="0" w:color="auto"/>
              <w:bottom w:val="single" w:sz="6" w:space="0" w:color="auto"/>
              <w:right w:val="single" w:sz="6" w:space="0" w:color="auto"/>
            </w:tcBorders>
            <w:vAlign w:val="center"/>
          </w:tcPr>
          <w:p w14:paraId="1F114E17" w14:textId="77777777" w:rsidR="005E000F" w:rsidRDefault="00000000">
            <w:r>
              <w:rPr>
                <w:rFonts w:hint="eastAsia"/>
              </w:rPr>
              <w:t>一、期初余额</w:t>
            </w:r>
          </w:p>
        </w:tc>
        <w:tc>
          <w:tcPr>
            <w:tcW w:w="2961" w:type="dxa"/>
            <w:tcBorders>
              <w:top w:val="single" w:sz="6" w:space="0" w:color="auto"/>
              <w:left w:val="single" w:sz="6" w:space="0" w:color="auto"/>
              <w:bottom w:val="single" w:sz="4" w:space="0" w:color="auto"/>
              <w:right w:val="single" w:sz="4" w:space="0" w:color="auto"/>
            </w:tcBorders>
            <w:vAlign w:val="center"/>
          </w:tcPr>
          <w:p w14:paraId="75ED8651" w14:textId="77777777" w:rsidR="005E000F" w:rsidRDefault="00000000">
            <w:pPr>
              <w:jc w:val="right"/>
            </w:pPr>
            <w:r>
              <w:t>3,244,077,004</w:t>
            </w:r>
          </w:p>
        </w:tc>
        <w:tc>
          <w:tcPr>
            <w:tcW w:w="2605" w:type="dxa"/>
            <w:tcBorders>
              <w:top w:val="single" w:sz="6" w:space="0" w:color="auto"/>
              <w:left w:val="single" w:sz="6" w:space="0" w:color="auto"/>
              <w:bottom w:val="single" w:sz="4" w:space="0" w:color="auto"/>
              <w:right w:val="single" w:sz="4" w:space="0" w:color="auto"/>
            </w:tcBorders>
            <w:vAlign w:val="center"/>
          </w:tcPr>
          <w:p w14:paraId="3446D9F2" w14:textId="77777777" w:rsidR="005E000F" w:rsidRDefault="00000000">
            <w:pPr>
              <w:jc w:val="right"/>
              <w:rPr>
                <w:lang w:eastAsia="en-US"/>
              </w:rPr>
            </w:pPr>
            <w:r>
              <w:t>2,199,678,642</w:t>
            </w:r>
          </w:p>
        </w:tc>
      </w:tr>
      <w:tr w:rsidR="005E000F" w14:paraId="12E4F469" w14:textId="77777777">
        <w:tc>
          <w:tcPr>
            <w:tcW w:w="3482" w:type="dxa"/>
            <w:tcBorders>
              <w:top w:val="single" w:sz="6" w:space="0" w:color="auto"/>
              <w:left w:val="single" w:sz="6" w:space="0" w:color="auto"/>
              <w:bottom w:val="single" w:sz="6" w:space="0" w:color="auto"/>
              <w:right w:val="single" w:sz="6" w:space="0" w:color="auto"/>
            </w:tcBorders>
            <w:vAlign w:val="center"/>
          </w:tcPr>
          <w:p w14:paraId="06DFAAE5" w14:textId="77777777" w:rsidR="005E000F" w:rsidRDefault="00000000">
            <w:r>
              <w:rPr>
                <w:rFonts w:hint="eastAsia"/>
              </w:rPr>
              <w:t>二、计入当期损益的设定受益成本</w:t>
            </w:r>
          </w:p>
        </w:tc>
        <w:tc>
          <w:tcPr>
            <w:tcW w:w="2961" w:type="dxa"/>
            <w:tcBorders>
              <w:top w:val="single" w:sz="4" w:space="0" w:color="auto"/>
              <w:left w:val="single" w:sz="6" w:space="0" w:color="auto"/>
              <w:bottom w:val="single" w:sz="4" w:space="0" w:color="auto"/>
              <w:right w:val="single" w:sz="4" w:space="0" w:color="auto"/>
            </w:tcBorders>
            <w:vAlign w:val="center"/>
          </w:tcPr>
          <w:p w14:paraId="4DABB608" w14:textId="77777777" w:rsidR="005E000F" w:rsidRDefault="00000000">
            <w:pPr>
              <w:jc w:val="right"/>
            </w:pPr>
            <w:r>
              <w:t>164,283,334</w:t>
            </w:r>
          </w:p>
        </w:tc>
        <w:tc>
          <w:tcPr>
            <w:tcW w:w="2605" w:type="dxa"/>
            <w:tcBorders>
              <w:top w:val="single" w:sz="4" w:space="0" w:color="auto"/>
              <w:left w:val="single" w:sz="6" w:space="0" w:color="auto"/>
              <w:bottom w:val="single" w:sz="4" w:space="0" w:color="auto"/>
              <w:right w:val="single" w:sz="4" w:space="0" w:color="auto"/>
            </w:tcBorders>
            <w:vAlign w:val="center"/>
          </w:tcPr>
          <w:p w14:paraId="4F733C81" w14:textId="77777777" w:rsidR="005E000F" w:rsidRDefault="00000000">
            <w:pPr>
              <w:jc w:val="right"/>
              <w:rPr>
                <w:lang w:eastAsia="en-US"/>
              </w:rPr>
            </w:pPr>
            <w:r>
              <w:t>67,602,594</w:t>
            </w:r>
          </w:p>
        </w:tc>
      </w:tr>
      <w:tr w:rsidR="005E000F" w14:paraId="11DF9C87" w14:textId="77777777">
        <w:tc>
          <w:tcPr>
            <w:tcW w:w="3482" w:type="dxa"/>
            <w:tcBorders>
              <w:top w:val="single" w:sz="6" w:space="0" w:color="auto"/>
              <w:left w:val="single" w:sz="6" w:space="0" w:color="auto"/>
              <w:bottom w:val="single" w:sz="6" w:space="0" w:color="auto"/>
              <w:right w:val="single" w:sz="6" w:space="0" w:color="auto"/>
            </w:tcBorders>
            <w:vAlign w:val="center"/>
          </w:tcPr>
          <w:p w14:paraId="748127EC" w14:textId="77777777" w:rsidR="005E000F" w:rsidRDefault="00000000">
            <w:r>
              <w:t>1.</w:t>
            </w:r>
            <w:r>
              <w:rPr>
                <w:rFonts w:hint="eastAsia"/>
              </w:rPr>
              <w:t>当期服务成本</w:t>
            </w:r>
          </w:p>
        </w:tc>
        <w:tc>
          <w:tcPr>
            <w:tcW w:w="2961" w:type="dxa"/>
            <w:tcBorders>
              <w:top w:val="single" w:sz="4" w:space="0" w:color="auto"/>
              <w:left w:val="single" w:sz="6" w:space="0" w:color="auto"/>
              <w:bottom w:val="single" w:sz="4" w:space="0" w:color="auto"/>
              <w:right w:val="single" w:sz="4" w:space="0" w:color="auto"/>
            </w:tcBorders>
            <w:vAlign w:val="center"/>
          </w:tcPr>
          <w:p w14:paraId="19E58964" w14:textId="77777777" w:rsidR="005E000F" w:rsidRDefault="00000000">
            <w:pPr>
              <w:jc w:val="right"/>
            </w:pPr>
            <w:r>
              <w:t>151,439,880</w:t>
            </w:r>
          </w:p>
        </w:tc>
        <w:tc>
          <w:tcPr>
            <w:tcW w:w="2605" w:type="dxa"/>
            <w:tcBorders>
              <w:top w:val="single" w:sz="4" w:space="0" w:color="auto"/>
              <w:left w:val="single" w:sz="6" w:space="0" w:color="auto"/>
              <w:bottom w:val="single" w:sz="4" w:space="0" w:color="auto"/>
              <w:right w:val="single" w:sz="4" w:space="0" w:color="auto"/>
            </w:tcBorders>
            <w:vAlign w:val="center"/>
          </w:tcPr>
          <w:p w14:paraId="15D47029" w14:textId="77777777" w:rsidR="005E000F" w:rsidRDefault="00000000">
            <w:pPr>
              <w:jc w:val="right"/>
              <w:rPr>
                <w:lang w:eastAsia="en-US"/>
              </w:rPr>
            </w:pPr>
            <w:r>
              <w:t>90,410,935</w:t>
            </w:r>
          </w:p>
        </w:tc>
      </w:tr>
      <w:tr w:rsidR="005E000F" w14:paraId="42132B84" w14:textId="77777777">
        <w:tc>
          <w:tcPr>
            <w:tcW w:w="3482" w:type="dxa"/>
            <w:tcBorders>
              <w:top w:val="single" w:sz="6" w:space="0" w:color="auto"/>
              <w:left w:val="single" w:sz="6" w:space="0" w:color="auto"/>
              <w:bottom w:val="single" w:sz="6" w:space="0" w:color="auto"/>
              <w:right w:val="single" w:sz="6" w:space="0" w:color="auto"/>
            </w:tcBorders>
            <w:vAlign w:val="center"/>
          </w:tcPr>
          <w:p w14:paraId="4A84B365" w14:textId="77777777" w:rsidR="005E000F" w:rsidRDefault="00000000">
            <w:r>
              <w:t>2.</w:t>
            </w:r>
            <w:r>
              <w:rPr>
                <w:rFonts w:hint="eastAsia"/>
              </w:rPr>
              <w:t>过去服务成本</w:t>
            </w:r>
          </w:p>
        </w:tc>
        <w:tc>
          <w:tcPr>
            <w:tcW w:w="2961" w:type="dxa"/>
            <w:tcBorders>
              <w:top w:val="single" w:sz="4" w:space="0" w:color="auto"/>
              <w:left w:val="single" w:sz="6" w:space="0" w:color="auto"/>
              <w:bottom w:val="single" w:sz="4" w:space="0" w:color="auto"/>
              <w:right w:val="single" w:sz="4" w:space="0" w:color="auto"/>
            </w:tcBorders>
            <w:vAlign w:val="center"/>
          </w:tcPr>
          <w:p w14:paraId="5FE3070D" w14:textId="77777777" w:rsidR="005E000F" w:rsidRDefault="00000000">
            <w:pPr>
              <w:jc w:val="right"/>
            </w:pPr>
            <w:r>
              <w:t>-51,408,000</w:t>
            </w:r>
          </w:p>
        </w:tc>
        <w:tc>
          <w:tcPr>
            <w:tcW w:w="2605" w:type="dxa"/>
            <w:tcBorders>
              <w:top w:val="single" w:sz="4" w:space="0" w:color="auto"/>
              <w:left w:val="single" w:sz="6" w:space="0" w:color="auto"/>
              <w:bottom w:val="single" w:sz="4" w:space="0" w:color="auto"/>
              <w:right w:val="single" w:sz="4" w:space="0" w:color="auto"/>
            </w:tcBorders>
            <w:vAlign w:val="center"/>
          </w:tcPr>
          <w:p w14:paraId="23926400" w14:textId="77777777" w:rsidR="005E000F" w:rsidRDefault="00000000">
            <w:pPr>
              <w:jc w:val="right"/>
              <w:rPr>
                <w:lang w:eastAsia="en-US"/>
              </w:rPr>
            </w:pPr>
            <w:r>
              <w:t>-82,413,000</w:t>
            </w:r>
          </w:p>
        </w:tc>
      </w:tr>
      <w:tr w:rsidR="005E000F" w14:paraId="4A59E79A" w14:textId="77777777">
        <w:tc>
          <w:tcPr>
            <w:tcW w:w="3482" w:type="dxa"/>
            <w:tcBorders>
              <w:top w:val="single" w:sz="6" w:space="0" w:color="auto"/>
              <w:left w:val="single" w:sz="6" w:space="0" w:color="auto"/>
              <w:bottom w:val="single" w:sz="6" w:space="0" w:color="auto"/>
              <w:right w:val="single" w:sz="6" w:space="0" w:color="auto"/>
            </w:tcBorders>
            <w:vAlign w:val="center"/>
          </w:tcPr>
          <w:p w14:paraId="747946C9" w14:textId="77777777" w:rsidR="005E000F" w:rsidRDefault="00000000">
            <w:r>
              <w:t>3.</w:t>
            </w:r>
            <w:r>
              <w:rPr>
                <w:rFonts w:hint="eastAsia"/>
              </w:rPr>
              <w:t>结算利得（损失以“－”表示）</w:t>
            </w:r>
          </w:p>
        </w:tc>
        <w:tc>
          <w:tcPr>
            <w:tcW w:w="2961" w:type="dxa"/>
            <w:tcBorders>
              <w:top w:val="single" w:sz="4" w:space="0" w:color="auto"/>
              <w:left w:val="single" w:sz="6" w:space="0" w:color="auto"/>
              <w:bottom w:val="single" w:sz="4" w:space="0" w:color="auto"/>
              <w:right w:val="single" w:sz="4" w:space="0" w:color="auto"/>
            </w:tcBorders>
            <w:vAlign w:val="center"/>
          </w:tcPr>
          <w:p w14:paraId="6B9D7312" w14:textId="77777777" w:rsidR="005E000F" w:rsidRDefault="00000000">
            <w:pPr>
              <w:jc w:val="right"/>
            </w:pPr>
            <w:r>
              <w:rPr>
                <w:rFonts w:hint="eastAsia"/>
              </w:rPr>
              <w:t>0</w:t>
            </w:r>
          </w:p>
        </w:tc>
        <w:tc>
          <w:tcPr>
            <w:tcW w:w="2605" w:type="dxa"/>
            <w:tcBorders>
              <w:top w:val="single" w:sz="4" w:space="0" w:color="auto"/>
              <w:left w:val="single" w:sz="6" w:space="0" w:color="auto"/>
              <w:bottom w:val="single" w:sz="4" w:space="0" w:color="auto"/>
              <w:right w:val="single" w:sz="4" w:space="0" w:color="auto"/>
            </w:tcBorders>
            <w:vAlign w:val="center"/>
          </w:tcPr>
          <w:p w14:paraId="125462AB" w14:textId="77777777" w:rsidR="005E000F" w:rsidRDefault="00000000">
            <w:pPr>
              <w:jc w:val="right"/>
              <w:rPr>
                <w:lang w:eastAsia="en-US"/>
              </w:rPr>
            </w:pPr>
            <w:r>
              <w:t>0</w:t>
            </w:r>
          </w:p>
        </w:tc>
      </w:tr>
      <w:tr w:rsidR="005E000F" w14:paraId="47B769F5" w14:textId="77777777">
        <w:tc>
          <w:tcPr>
            <w:tcW w:w="3482" w:type="dxa"/>
            <w:tcBorders>
              <w:top w:val="single" w:sz="6" w:space="0" w:color="auto"/>
              <w:left w:val="single" w:sz="6" w:space="0" w:color="auto"/>
              <w:bottom w:val="single" w:sz="6" w:space="0" w:color="auto"/>
              <w:right w:val="single" w:sz="6" w:space="0" w:color="auto"/>
            </w:tcBorders>
            <w:vAlign w:val="center"/>
          </w:tcPr>
          <w:p w14:paraId="7616E299" w14:textId="77777777" w:rsidR="005E000F" w:rsidRDefault="00000000">
            <w:r>
              <w:t>4</w:t>
            </w:r>
            <w:r>
              <w:rPr>
                <w:rFonts w:hint="eastAsia"/>
              </w:rPr>
              <w:t>、利息净额</w:t>
            </w:r>
          </w:p>
        </w:tc>
        <w:tc>
          <w:tcPr>
            <w:tcW w:w="2961" w:type="dxa"/>
            <w:tcBorders>
              <w:top w:val="single" w:sz="4" w:space="0" w:color="auto"/>
              <w:left w:val="single" w:sz="6" w:space="0" w:color="auto"/>
              <w:bottom w:val="single" w:sz="4" w:space="0" w:color="auto"/>
              <w:right w:val="single" w:sz="4" w:space="0" w:color="auto"/>
            </w:tcBorders>
            <w:vAlign w:val="center"/>
          </w:tcPr>
          <w:p w14:paraId="66FFF7BF" w14:textId="77777777" w:rsidR="005E000F" w:rsidRDefault="00000000">
            <w:pPr>
              <w:jc w:val="right"/>
            </w:pPr>
            <w:r>
              <w:t>64,251,454</w:t>
            </w:r>
          </w:p>
        </w:tc>
        <w:tc>
          <w:tcPr>
            <w:tcW w:w="2605" w:type="dxa"/>
            <w:tcBorders>
              <w:top w:val="single" w:sz="4" w:space="0" w:color="auto"/>
              <w:left w:val="single" w:sz="6" w:space="0" w:color="auto"/>
              <w:bottom w:val="single" w:sz="4" w:space="0" w:color="auto"/>
              <w:right w:val="single" w:sz="4" w:space="0" w:color="auto"/>
            </w:tcBorders>
            <w:vAlign w:val="center"/>
          </w:tcPr>
          <w:p w14:paraId="04D05772" w14:textId="77777777" w:rsidR="005E000F" w:rsidRDefault="00000000">
            <w:pPr>
              <w:jc w:val="right"/>
              <w:rPr>
                <w:lang w:eastAsia="en-US"/>
              </w:rPr>
            </w:pPr>
            <w:r>
              <w:t>59,604,659</w:t>
            </w:r>
          </w:p>
        </w:tc>
      </w:tr>
      <w:tr w:rsidR="005E000F" w14:paraId="5DA1BCBA" w14:textId="77777777">
        <w:tc>
          <w:tcPr>
            <w:tcW w:w="3482" w:type="dxa"/>
            <w:tcBorders>
              <w:top w:val="single" w:sz="6" w:space="0" w:color="auto"/>
              <w:left w:val="single" w:sz="6" w:space="0" w:color="auto"/>
              <w:bottom w:val="single" w:sz="6" w:space="0" w:color="auto"/>
              <w:right w:val="single" w:sz="6" w:space="0" w:color="auto"/>
            </w:tcBorders>
            <w:vAlign w:val="center"/>
          </w:tcPr>
          <w:p w14:paraId="6268C906" w14:textId="77777777" w:rsidR="005E000F" w:rsidRDefault="00000000">
            <w:r>
              <w:rPr>
                <w:rFonts w:hint="eastAsia"/>
              </w:rPr>
              <w:t>三、计入其他综合收益的设定收益成本</w:t>
            </w:r>
          </w:p>
        </w:tc>
        <w:tc>
          <w:tcPr>
            <w:tcW w:w="2961" w:type="dxa"/>
            <w:tcBorders>
              <w:top w:val="single" w:sz="4" w:space="0" w:color="auto"/>
              <w:left w:val="single" w:sz="6" w:space="0" w:color="auto"/>
              <w:bottom w:val="single" w:sz="4" w:space="0" w:color="auto"/>
              <w:right w:val="single" w:sz="4" w:space="0" w:color="auto"/>
            </w:tcBorders>
            <w:vAlign w:val="center"/>
          </w:tcPr>
          <w:p w14:paraId="68F4D008" w14:textId="77777777" w:rsidR="005E000F" w:rsidRDefault="00000000">
            <w:pPr>
              <w:jc w:val="right"/>
            </w:pPr>
            <w:r>
              <w:t>55,028,218</w:t>
            </w:r>
          </w:p>
        </w:tc>
        <w:tc>
          <w:tcPr>
            <w:tcW w:w="2605" w:type="dxa"/>
            <w:tcBorders>
              <w:top w:val="single" w:sz="4" w:space="0" w:color="auto"/>
              <w:left w:val="single" w:sz="6" w:space="0" w:color="auto"/>
              <w:bottom w:val="single" w:sz="4" w:space="0" w:color="auto"/>
              <w:right w:val="single" w:sz="4" w:space="0" w:color="auto"/>
            </w:tcBorders>
            <w:vAlign w:val="center"/>
          </w:tcPr>
          <w:p w14:paraId="12DDAF7B" w14:textId="77777777" w:rsidR="005E000F" w:rsidRDefault="00000000">
            <w:pPr>
              <w:jc w:val="right"/>
              <w:rPr>
                <w:lang w:eastAsia="en-US"/>
              </w:rPr>
            </w:pPr>
            <w:r>
              <w:t>1,146,189,509</w:t>
            </w:r>
          </w:p>
        </w:tc>
      </w:tr>
      <w:tr w:rsidR="005E000F" w14:paraId="5051AC70" w14:textId="77777777">
        <w:tc>
          <w:tcPr>
            <w:tcW w:w="3482" w:type="dxa"/>
            <w:tcBorders>
              <w:top w:val="single" w:sz="6" w:space="0" w:color="auto"/>
              <w:left w:val="single" w:sz="6" w:space="0" w:color="auto"/>
              <w:bottom w:val="single" w:sz="6" w:space="0" w:color="auto"/>
              <w:right w:val="single" w:sz="6" w:space="0" w:color="auto"/>
            </w:tcBorders>
            <w:vAlign w:val="center"/>
          </w:tcPr>
          <w:p w14:paraId="20D20A82" w14:textId="77777777" w:rsidR="005E000F" w:rsidRDefault="00000000">
            <w:r>
              <w:t>1.</w:t>
            </w:r>
            <w:r>
              <w:rPr>
                <w:rFonts w:hint="eastAsia"/>
              </w:rPr>
              <w:t>精算损失（</w:t>
            </w:r>
            <w:proofErr w:type="gramStart"/>
            <w:r>
              <w:rPr>
                <w:rFonts w:hint="eastAsia"/>
              </w:rPr>
              <w:t>利得以</w:t>
            </w:r>
            <w:proofErr w:type="gramEnd"/>
            <w:r>
              <w:rPr>
                <w:rFonts w:hint="eastAsia"/>
              </w:rPr>
              <w:t>“－”表示）</w:t>
            </w:r>
          </w:p>
        </w:tc>
        <w:tc>
          <w:tcPr>
            <w:tcW w:w="2961" w:type="dxa"/>
            <w:tcBorders>
              <w:top w:val="single" w:sz="4" w:space="0" w:color="auto"/>
              <w:left w:val="single" w:sz="6" w:space="0" w:color="auto"/>
              <w:bottom w:val="single" w:sz="4" w:space="0" w:color="auto"/>
              <w:right w:val="single" w:sz="4" w:space="0" w:color="auto"/>
            </w:tcBorders>
            <w:vAlign w:val="center"/>
          </w:tcPr>
          <w:p w14:paraId="34E9D606" w14:textId="77777777" w:rsidR="005E000F" w:rsidRDefault="00000000">
            <w:pPr>
              <w:jc w:val="right"/>
            </w:pPr>
            <w:r>
              <w:t>55,028,218</w:t>
            </w:r>
          </w:p>
        </w:tc>
        <w:tc>
          <w:tcPr>
            <w:tcW w:w="2605" w:type="dxa"/>
            <w:tcBorders>
              <w:top w:val="single" w:sz="4" w:space="0" w:color="auto"/>
              <w:left w:val="single" w:sz="6" w:space="0" w:color="auto"/>
              <w:bottom w:val="single" w:sz="4" w:space="0" w:color="auto"/>
              <w:right w:val="single" w:sz="4" w:space="0" w:color="auto"/>
            </w:tcBorders>
            <w:vAlign w:val="center"/>
          </w:tcPr>
          <w:p w14:paraId="09C471E2" w14:textId="77777777" w:rsidR="005E000F" w:rsidRDefault="00000000">
            <w:pPr>
              <w:jc w:val="right"/>
              <w:rPr>
                <w:lang w:eastAsia="en-US"/>
              </w:rPr>
            </w:pPr>
            <w:r>
              <w:t>1,146,189,509</w:t>
            </w:r>
          </w:p>
        </w:tc>
      </w:tr>
      <w:tr w:rsidR="005E000F" w14:paraId="507FF4CA" w14:textId="77777777">
        <w:tc>
          <w:tcPr>
            <w:tcW w:w="3482" w:type="dxa"/>
            <w:tcBorders>
              <w:top w:val="single" w:sz="6" w:space="0" w:color="auto"/>
              <w:left w:val="single" w:sz="6" w:space="0" w:color="auto"/>
              <w:bottom w:val="single" w:sz="6" w:space="0" w:color="auto"/>
              <w:right w:val="single" w:sz="6" w:space="0" w:color="auto"/>
            </w:tcBorders>
            <w:vAlign w:val="center"/>
          </w:tcPr>
          <w:p w14:paraId="68512D83" w14:textId="77777777" w:rsidR="005E000F" w:rsidRDefault="00000000">
            <w:r>
              <w:rPr>
                <w:rFonts w:hint="eastAsia"/>
              </w:rPr>
              <w:t>四、其他变动</w:t>
            </w:r>
          </w:p>
        </w:tc>
        <w:tc>
          <w:tcPr>
            <w:tcW w:w="2961" w:type="dxa"/>
            <w:tcBorders>
              <w:top w:val="single" w:sz="4" w:space="0" w:color="auto"/>
              <w:left w:val="single" w:sz="6" w:space="0" w:color="auto"/>
              <w:bottom w:val="single" w:sz="4" w:space="0" w:color="auto"/>
              <w:right w:val="single" w:sz="4" w:space="0" w:color="auto"/>
            </w:tcBorders>
            <w:vAlign w:val="center"/>
          </w:tcPr>
          <w:p w14:paraId="0D4BD8DA" w14:textId="77777777" w:rsidR="005E000F" w:rsidRDefault="00000000">
            <w:pPr>
              <w:jc w:val="right"/>
            </w:pPr>
            <w:r>
              <w:t>-206,361,710</w:t>
            </w:r>
          </w:p>
        </w:tc>
        <w:tc>
          <w:tcPr>
            <w:tcW w:w="2605" w:type="dxa"/>
            <w:tcBorders>
              <w:top w:val="single" w:sz="4" w:space="0" w:color="auto"/>
              <w:left w:val="single" w:sz="6" w:space="0" w:color="auto"/>
              <w:bottom w:val="single" w:sz="4" w:space="0" w:color="auto"/>
              <w:right w:val="single" w:sz="4" w:space="0" w:color="auto"/>
            </w:tcBorders>
            <w:vAlign w:val="center"/>
          </w:tcPr>
          <w:p w14:paraId="31CAEA01" w14:textId="77777777" w:rsidR="005E000F" w:rsidRDefault="00000000">
            <w:pPr>
              <w:jc w:val="right"/>
              <w:rPr>
                <w:lang w:eastAsia="en-US"/>
              </w:rPr>
            </w:pPr>
            <w:r>
              <w:t>-169,393,741</w:t>
            </w:r>
          </w:p>
        </w:tc>
      </w:tr>
      <w:tr w:rsidR="005E000F" w14:paraId="77C27019" w14:textId="77777777">
        <w:tc>
          <w:tcPr>
            <w:tcW w:w="3482" w:type="dxa"/>
            <w:tcBorders>
              <w:top w:val="single" w:sz="6" w:space="0" w:color="auto"/>
              <w:left w:val="single" w:sz="6" w:space="0" w:color="auto"/>
              <w:bottom w:val="single" w:sz="6" w:space="0" w:color="auto"/>
              <w:right w:val="single" w:sz="6" w:space="0" w:color="auto"/>
            </w:tcBorders>
            <w:vAlign w:val="center"/>
          </w:tcPr>
          <w:p w14:paraId="57DECDB6" w14:textId="77777777" w:rsidR="005E000F" w:rsidRDefault="00000000">
            <w:r>
              <w:t>1.</w:t>
            </w:r>
            <w:r>
              <w:rPr>
                <w:rFonts w:hint="eastAsia"/>
              </w:rPr>
              <w:t>结算时支付的对价</w:t>
            </w:r>
          </w:p>
        </w:tc>
        <w:tc>
          <w:tcPr>
            <w:tcW w:w="2961" w:type="dxa"/>
            <w:tcBorders>
              <w:top w:val="single" w:sz="4" w:space="0" w:color="auto"/>
              <w:left w:val="single" w:sz="6" w:space="0" w:color="auto"/>
              <w:bottom w:val="single" w:sz="4" w:space="0" w:color="auto"/>
              <w:right w:val="single" w:sz="4" w:space="0" w:color="auto"/>
            </w:tcBorders>
            <w:vAlign w:val="center"/>
          </w:tcPr>
          <w:p w14:paraId="1986A147" w14:textId="77777777" w:rsidR="005E000F" w:rsidRDefault="00000000">
            <w:pPr>
              <w:jc w:val="right"/>
            </w:pPr>
            <w:r>
              <w:rPr>
                <w:rFonts w:hint="eastAsia"/>
              </w:rPr>
              <w:t>0</w:t>
            </w:r>
          </w:p>
        </w:tc>
        <w:tc>
          <w:tcPr>
            <w:tcW w:w="2605" w:type="dxa"/>
            <w:tcBorders>
              <w:top w:val="single" w:sz="4" w:space="0" w:color="auto"/>
              <w:left w:val="single" w:sz="6" w:space="0" w:color="auto"/>
              <w:bottom w:val="single" w:sz="4" w:space="0" w:color="auto"/>
              <w:right w:val="single" w:sz="4" w:space="0" w:color="auto"/>
            </w:tcBorders>
            <w:vAlign w:val="center"/>
          </w:tcPr>
          <w:p w14:paraId="5CE5D252" w14:textId="77777777" w:rsidR="005E000F" w:rsidRDefault="00000000">
            <w:pPr>
              <w:jc w:val="right"/>
              <w:rPr>
                <w:lang w:eastAsia="en-US"/>
              </w:rPr>
            </w:pPr>
            <w:r>
              <w:t>0</w:t>
            </w:r>
          </w:p>
        </w:tc>
      </w:tr>
      <w:tr w:rsidR="005E000F" w14:paraId="05D0A315" w14:textId="77777777">
        <w:tc>
          <w:tcPr>
            <w:tcW w:w="3482" w:type="dxa"/>
            <w:tcBorders>
              <w:top w:val="single" w:sz="6" w:space="0" w:color="auto"/>
              <w:left w:val="single" w:sz="6" w:space="0" w:color="auto"/>
              <w:bottom w:val="single" w:sz="6" w:space="0" w:color="auto"/>
              <w:right w:val="single" w:sz="6" w:space="0" w:color="auto"/>
            </w:tcBorders>
            <w:vAlign w:val="center"/>
          </w:tcPr>
          <w:p w14:paraId="795366E4" w14:textId="77777777" w:rsidR="005E000F" w:rsidRDefault="00000000">
            <w:r>
              <w:t>2.</w:t>
            </w:r>
            <w:r>
              <w:rPr>
                <w:rFonts w:hint="eastAsia"/>
              </w:rPr>
              <w:t>已支付的福利</w:t>
            </w:r>
          </w:p>
        </w:tc>
        <w:tc>
          <w:tcPr>
            <w:tcW w:w="2961" w:type="dxa"/>
            <w:tcBorders>
              <w:top w:val="single" w:sz="4" w:space="0" w:color="auto"/>
              <w:left w:val="single" w:sz="6" w:space="0" w:color="auto"/>
              <w:bottom w:val="single" w:sz="4" w:space="0" w:color="auto"/>
              <w:right w:val="single" w:sz="4" w:space="0" w:color="auto"/>
            </w:tcBorders>
            <w:vAlign w:val="center"/>
          </w:tcPr>
          <w:p w14:paraId="0F9F23C1" w14:textId="77777777" w:rsidR="005E000F" w:rsidRDefault="00000000">
            <w:pPr>
              <w:jc w:val="right"/>
            </w:pPr>
            <w:r>
              <w:t>-115,598,710</w:t>
            </w:r>
          </w:p>
        </w:tc>
        <w:tc>
          <w:tcPr>
            <w:tcW w:w="2605" w:type="dxa"/>
            <w:tcBorders>
              <w:top w:val="single" w:sz="4" w:space="0" w:color="auto"/>
              <w:left w:val="single" w:sz="6" w:space="0" w:color="auto"/>
              <w:bottom w:val="single" w:sz="4" w:space="0" w:color="auto"/>
              <w:right w:val="single" w:sz="4" w:space="0" w:color="auto"/>
            </w:tcBorders>
            <w:vAlign w:val="center"/>
          </w:tcPr>
          <w:p w14:paraId="672B5E61" w14:textId="77777777" w:rsidR="005E000F" w:rsidRDefault="00000000">
            <w:pPr>
              <w:jc w:val="right"/>
              <w:rPr>
                <w:lang w:eastAsia="en-US"/>
              </w:rPr>
            </w:pPr>
            <w:r>
              <w:t>-169,393,741</w:t>
            </w:r>
          </w:p>
        </w:tc>
      </w:tr>
      <w:tr w:rsidR="005E000F" w14:paraId="4F3F3124" w14:textId="77777777">
        <w:tc>
          <w:tcPr>
            <w:tcW w:w="3482" w:type="dxa"/>
            <w:tcBorders>
              <w:top w:val="single" w:sz="6" w:space="0" w:color="auto"/>
              <w:left w:val="single" w:sz="6" w:space="0" w:color="auto"/>
              <w:bottom w:val="single" w:sz="6" w:space="0" w:color="auto"/>
              <w:right w:val="single" w:sz="6" w:space="0" w:color="auto"/>
            </w:tcBorders>
            <w:vAlign w:val="center"/>
          </w:tcPr>
          <w:p w14:paraId="300D0910" w14:textId="77777777" w:rsidR="005E000F" w:rsidRDefault="00000000">
            <w:r>
              <w:rPr>
                <w:rFonts w:hint="eastAsia"/>
              </w:rPr>
              <w:t>3.</w:t>
            </w:r>
            <w:r>
              <w:rPr>
                <w:rFonts w:hint="eastAsia"/>
              </w:rPr>
              <w:t>其他</w:t>
            </w:r>
          </w:p>
        </w:tc>
        <w:tc>
          <w:tcPr>
            <w:tcW w:w="2961" w:type="dxa"/>
            <w:tcBorders>
              <w:top w:val="single" w:sz="4" w:space="0" w:color="auto"/>
              <w:left w:val="single" w:sz="6" w:space="0" w:color="auto"/>
              <w:bottom w:val="single" w:sz="4" w:space="0" w:color="auto"/>
              <w:right w:val="single" w:sz="4" w:space="0" w:color="auto"/>
            </w:tcBorders>
            <w:vAlign w:val="center"/>
          </w:tcPr>
          <w:p w14:paraId="7F2179A2" w14:textId="77777777" w:rsidR="005E000F" w:rsidRDefault="00000000">
            <w:pPr>
              <w:jc w:val="right"/>
            </w:pPr>
            <w:r>
              <w:t>-90,763,000</w:t>
            </w:r>
          </w:p>
        </w:tc>
        <w:tc>
          <w:tcPr>
            <w:tcW w:w="2605" w:type="dxa"/>
            <w:tcBorders>
              <w:top w:val="single" w:sz="4" w:space="0" w:color="auto"/>
              <w:left w:val="single" w:sz="6" w:space="0" w:color="auto"/>
              <w:bottom w:val="single" w:sz="4" w:space="0" w:color="auto"/>
              <w:right w:val="single" w:sz="4" w:space="0" w:color="auto"/>
            </w:tcBorders>
            <w:vAlign w:val="center"/>
          </w:tcPr>
          <w:p w14:paraId="42443F5A" w14:textId="77777777" w:rsidR="005E000F" w:rsidRDefault="00000000">
            <w:pPr>
              <w:jc w:val="right"/>
            </w:pPr>
            <w:r>
              <w:rPr>
                <w:rFonts w:hint="eastAsia"/>
              </w:rPr>
              <w:t>0</w:t>
            </w:r>
          </w:p>
        </w:tc>
      </w:tr>
      <w:tr w:rsidR="005E000F" w14:paraId="2A5A2D38" w14:textId="77777777">
        <w:tc>
          <w:tcPr>
            <w:tcW w:w="3482" w:type="dxa"/>
            <w:tcBorders>
              <w:top w:val="single" w:sz="6" w:space="0" w:color="auto"/>
              <w:left w:val="single" w:sz="6" w:space="0" w:color="auto"/>
              <w:bottom w:val="single" w:sz="6" w:space="0" w:color="auto"/>
              <w:right w:val="single" w:sz="6" w:space="0" w:color="auto"/>
            </w:tcBorders>
            <w:vAlign w:val="center"/>
          </w:tcPr>
          <w:p w14:paraId="464D1CED" w14:textId="77777777" w:rsidR="005E000F" w:rsidRDefault="00000000">
            <w:r>
              <w:rPr>
                <w:rFonts w:hint="eastAsia"/>
              </w:rPr>
              <w:t>五、期末余额</w:t>
            </w:r>
          </w:p>
        </w:tc>
        <w:tc>
          <w:tcPr>
            <w:tcW w:w="2961" w:type="dxa"/>
            <w:tcBorders>
              <w:top w:val="single" w:sz="4" w:space="0" w:color="auto"/>
              <w:left w:val="single" w:sz="6" w:space="0" w:color="auto"/>
              <w:bottom w:val="single" w:sz="4" w:space="0" w:color="auto"/>
              <w:right w:val="single" w:sz="4" w:space="0" w:color="auto"/>
            </w:tcBorders>
            <w:vAlign w:val="center"/>
          </w:tcPr>
          <w:p w14:paraId="175B8AB0" w14:textId="77777777" w:rsidR="005E000F" w:rsidRDefault="00000000">
            <w:pPr>
              <w:jc w:val="right"/>
            </w:pPr>
            <w:r>
              <w:t>3,257,026,846</w:t>
            </w:r>
          </w:p>
        </w:tc>
        <w:tc>
          <w:tcPr>
            <w:tcW w:w="2605" w:type="dxa"/>
            <w:tcBorders>
              <w:top w:val="single" w:sz="4" w:space="0" w:color="auto"/>
              <w:left w:val="single" w:sz="6" w:space="0" w:color="auto"/>
              <w:bottom w:val="single" w:sz="4" w:space="0" w:color="auto"/>
              <w:right w:val="single" w:sz="4" w:space="0" w:color="auto"/>
            </w:tcBorders>
            <w:vAlign w:val="center"/>
          </w:tcPr>
          <w:p w14:paraId="2DE44C91" w14:textId="77777777" w:rsidR="005E000F" w:rsidRDefault="00000000">
            <w:pPr>
              <w:jc w:val="right"/>
              <w:rPr>
                <w:lang w:eastAsia="en-US"/>
              </w:rPr>
            </w:pPr>
            <w:r>
              <w:t>3,244,077,004</w:t>
            </w:r>
          </w:p>
        </w:tc>
      </w:tr>
    </w:tbl>
    <w:p w14:paraId="60858F50" w14:textId="77777777" w:rsidR="005E000F" w:rsidRDefault="005E000F"/>
    <w:p w14:paraId="7ED7E552" w14:textId="77777777" w:rsidR="005E000F" w:rsidRDefault="00000000">
      <w:r>
        <w:rPr>
          <w:rFonts w:hint="eastAsia"/>
        </w:rPr>
        <w:t>计划资产：</w:t>
      </w:r>
    </w:p>
    <w:p w14:paraId="3B858542" w14:textId="77777777" w:rsidR="005E000F" w:rsidRDefault="00000000">
      <w:sdt>
        <w:sdtPr>
          <w:rPr>
            <w:rFonts w:hint="eastAsia"/>
          </w:rPr>
          <w:alias w:val="是否适用：设定受益计划变动情况_计划资产[双击切换]"/>
          <w:tag w:val="_GBC_da74e4a7bfc84e888afc38ffa6096a31"/>
          <w:id w:val="1868794383"/>
          <w:placeholder>
            <w:docPart w:val="GBC22222222222222222222222222222"/>
          </w:placeholder>
        </w:sdtPr>
        <w:sdtContent>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0C56023B" w14:textId="77777777" w:rsidR="005E000F" w:rsidRDefault="005E000F"/>
    <w:p w14:paraId="5AA04F53" w14:textId="77777777" w:rsidR="005E000F" w:rsidRDefault="00000000">
      <w:r>
        <w:rPr>
          <w:rFonts w:hint="eastAsia"/>
        </w:rPr>
        <w:t>设定受益计划净负债（净资产）</w:t>
      </w:r>
    </w:p>
    <w:sdt>
      <w:sdtPr>
        <w:alias w:val="是否适用：设定受益计划变动情况_设定受益计划净负债[双击切换]"/>
        <w:tag w:val="_GBC_4ef7ea9e6dc7431c9365dcd01da99b90"/>
        <w:id w:val="-745111163"/>
        <w:placeholder>
          <w:docPart w:val="GBC22222222222222222222222222222"/>
        </w:placeholder>
      </w:sdtPr>
      <w:sdtContent>
        <w:p w14:paraId="530FFE5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79D2B9F" w14:textId="77777777" w:rsidR="005E000F" w:rsidRDefault="005E000F"/>
    <w:p w14:paraId="539F2856" w14:textId="77777777" w:rsidR="005E000F" w:rsidRDefault="00000000">
      <w:r>
        <w:rPr>
          <w:rFonts w:hint="eastAsia"/>
        </w:rPr>
        <w:t>设定受益计划的内容及与之相关风险、对公司未来现金流量、时间和不确定性的影响说明：</w:t>
      </w:r>
    </w:p>
    <w:sdt>
      <w:sdtPr>
        <w:alias w:val="是否适用：设定受益计划的内容及与之相关风险、对公司未来现金流量、时间和不确定性的影响说明[双击切换]"/>
        <w:tag w:val="_GBC_4c44a3ab962f4a27836276afcc8a7570"/>
        <w:id w:val="1834177686"/>
        <w:placeholder>
          <w:docPart w:val="GBC22222222222222222222222222222"/>
        </w:placeholder>
      </w:sdtPr>
      <w:sdtContent>
        <w:p w14:paraId="1BDB403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53B30B5" w14:textId="77777777" w:rsidR="005E000F" w:rsidRDefault="005E000F"/>
    <w:p w14:paraId="0AC86879" w14:textId="77777777" w:rsidR="005E000F" w:rsidRDefault="00000000">
      <w:r>
        <w:rPr>
          <w:rFonts w:hint="eastAsia"/>
        </w:rPr>
        <w:t>设定受益计划重大精算假设及敏感性分析结果说明</w:t>
      </w:r>
    </w:p>
    <w:sdt>
      <w:sdtPr>
        <w:alias w:val="是否适用：设定受益计划重大精算假设及敏感性分析结果说明[双击切换]"/>
        <w:tag w:val="_GBC_24dfbea0996e4d8cbbe60d6820df50a2"/>
        <w:id w:val="-1664238169"/>
        <w:placeholder>
          <w:docPart w:val="GBC22222222222222222222222222222"/>
        </w:placeholder>
      </w:sdtPr>
      <w:sdtContent>
        <w:p w14:paraId="455C9FD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设定受益计划重大精算假设及敏感性分析结果说明"/>
        <w:tag w:val="_GBC_9c923d91b13f47b798cfd40efd61959a"/>
        <w:id w:val="52364361"/>
        <w:placeholder>
          <w:docPart w:val="GBC22222222222222222222222222222"/>
        </w:placeholder>
      </w:sdtPr>
      <w:sdtContent>
        <w:p w14:paraId="0D6C78DC" w14:textId="77777777" w:rsidR="005E000F" w:rsidRDefault="005E000F"/>
        <w:tbl>
          <w:tblPr>
            <w:tblStyle w:val="aff2"/>
            <w:tblW w:w="0" w:type="auto"/>
            <w:tblLook w:val="04A0" w:firstRow="1" w:lastRow="0" w:firstColumn="1" w:lastColumn="0" w:noHBand="0" w:noVBand="1"/>
          </w:tblPr>
          <w:tblGrid>
            <w:gridCol w:w="3820"/>
            <w:gridCol w:w="1867"/>
            <w:gridCol w:w="1722"/>
            <w:gridCol w:w="1640"/>
          </w:tblGrid>
          <w:tr w:rsidR="005E000F" w14:paraId="54F195D9" w14:textId="77777777">
            <w:tc>
              <w:tcPr>
                <w:tcW w:w="3820" w:type="dxa"/>
                <w:vMerge w:val="restart"/>
                <w:vAlign w:val="center"/>
              </w:tcPr>
              <w:p w14:paraId="15655888" w14:textId="77777777" w:rsidR="005E000F" w:rsidRDefault="00000000">
                <w:pPr>
                  <w:jc w:val="center"/>
                  <w:rPr>
                    <w:color w:val="000000" w:themeColor="text1"/>
                  </w:rPr>
                </w:pPr>
                <w:r>
                  <w:rPr>
                    <w:rFonts w:hint="eastAsia"/>
                    <w:color w:val="000000" w:themeColor="text1"/>
                  </w:rPr>
                  <w:t>项目</w:t>
                </w:r>
              </w:p>
            </w:tc>
            <w:tc>
              <w:tcPr>
                <w:tcW w:w="1867" w:type="dxa"/>
              </w:tcPr>
              <w:p w14:paraId="6C020D41" w14:textId="77777777" w:rsidR="005E000F" w:rsidRDefault="005E000F">
                <w:pPr>
                  <w:rPr>
                    <w:color w:val="000000" w:themeColor="text1"/>
                  </w:rPr>
                </w:pPr>
              </w:p>
            </w:tc>
            <w:tc>
              <w:tcPr>
                <w:tcW w:w="3362" w:type="dxa"/>
                <w:gridSpan w:val="2"/>
              </w:tcPr>
              <w:p w14:paraId="25C36B21" w14:textId="77777777" w:rsidR="005E000F" w:rsidRDefault="00000000">
                <w:pPr>
                  <w:rPr>
                    <w:color w:val="000000" w:themeColor="text1"/>
                  </w:rPr>
                </w:pPr>
                <w:r>
                  <w:rPr>
                    <w:rFonts w:hint="eastAsia"/>
                    <w:color w:val="000000" w:themeColor="text1"/>
                  </w:rPr>
                  <w:t>对设定受益义务现值的影响</w:t>
                </w:r>
              </w:p>
            </w:tc>
          </w:tr>
          <w:tr w:rsidR="005E000F" w14:paraId="3AC99D8B" w14:textId="77777777">
            <w:tc>
              <w:tcPr>
                <w:tcW w:w="3820" w:type="dxa"/>
                <w:vMerge/>
              </w:tcPr>
              <w:p w14:paraId="530E7CE6" w14:textId="77777777" w:rsidR="005E000F" w:rsidRDefault="005E000F">
                <w:pPr>
                  <w:rPr>
                    <w:color w:val="000000" w:themeColor="text1"/>
                  </w:rPr>
                </w:pPr>
              </w:p>
            </w:tc>
            <w:tc>
              <w:tcPr>
                <w:tcW w:w="1867" w:type="dxa"/>
              </w:tcPr>
              <w:p w14:paraId="6DDA5FF0" w14:textId="77777777" w:rsidR="005E000F" w:rsidRDefault="00000000">
                <w:pPr>
                  <w:rPr>
                    <w:color w:val="000000" w:themeColor="text1"/>
                  </w:rPr>
                </w:pPr>
                <w:r>
                  <w:rPr>
                    <w:rFonts w:hint="eastAsia"/>
                    <w:color w:val="000000" w:themeColor="text1"/>
                  </w:rPr>
                  <w:t>假设变动幅度（</w:t>
                </w:r>
                <w:r>
                  <w:rPr>
                    <w:rFonts w:hint="eastAsia"/>
                    <w:color w:val="000000" w:themeColor="text1"/>
                  </w:rPr>
                  <w:t>%</w:t>
                </w:r>
                <w:r>
                  <w:rPr>
                    <w:rFonts w:hint="eastAsia"/>
                    <w:color w:val="000000" w:themeColor="text1"/>
                  </w:rPr>
                  <w:t>）</w:t>
                </w:r>
              </w:p>
            </w:tc>
            <w:tc>
              <w:tcPr>
                <w:tcW w:w="1722" w:type="dxa"/>
              </w:tcPr>
              <w:p w14:paraId="6D9F78F7" w14:textId="77777777" w:rsidR="005E000F" w:rsidRDefault="00000000">
                <w:pPr>
                  <w:rPr>
                    <w:color w:val="000000" w:themeColor="text1"/>
                  </w:rPr>
                </w:pPr>
                <w:r>
                  <w:rPr>
                    <w:rFonts w:hint="eastAsia"/>
                    <w:color w:val="000000" w:themeColor="text1"/>
                  </w:rPr>
                  <w:t>假设增加（</w:t>
                </w:r>
                <w:r>
                  <w:rPr>
                    <w:rFonts w:hint="eastAsia"/>
                    <w:color w:val="000000" w:themeColor="text1"/>
                  </w:rPr>
                  <w:t>%</w:t>
                </w:r>
                <w:r>
                  <w:rPr>
                    <w:rFonts w:hint="eastAsia"/>
                    <w:color w:val="000000" w:themeColor="text1"/>
                  </w:rPr>
                  <w:t>）</w:t>
                </w:r>
              </w:p>
            </w:tc>
            <w:tc>
              <w:tcPr>
                <w:tcW w:w="1640" w:type="dxa"/>
              </w:tcPr>
              <w:p w14:paraId="19F08276" w14:textId="77777777" w:rsidR="005E000F" w:rsidRDefault="00000000">
                <w:pPr>
                  <w:rPr>
                    <w:color w:val="000000" w:themeColor="text1"/>
                  </w:rPr>
                </w:pPr>
                <w:r>
                  <w:rPr>
                    <w:rFonts w:hint="eastAsia"/>
                    <w:color w:val="000000" w:themeColor="text1"/>
                  </w:rPr>
                  <w:t>假设减少（</w:t>
                </w:r>
                <w:r>
                  <w:rPr>
                    <w:rFonts w:hint="eastAsia"/>
                    <w:color w:val="000000" w:themeColor="text1"/>
                  </w:rPr>
                  <w:t>%</w:t>
                </w:r>
                <w:r>
                  <w:rPr>
                    <w:rFonts w:hint="eastAsia"/>
                    <w:color w:val="000000" w:themeColor="text1"/>
                  </w:rPr>
                  <w:t>）</w:t>
                </w:r>
              </w:p>
            </w:tc>
          </w:tr>
          <w:tr w:rsidR="005E000F" w14:paraId="7B0680F9" w14:textId="77777777">
            <w:tc>
              <w:tcPr>
                <w:tcW w:w="3820" w:type="dxa"/>
              </w:tcPr>
              <w:p w14:paraId="63ADAB92" w14:textId="77777777" w:rsidR="005E000F" w:rsidRDefault="00000000">
                <w:pPr>
                  <w:rPr>
                    <w:color w:val="000000" w:themeColor="text1"/>
                  </w:rPr>
                </w:pPr>
                <w:r>
                  <w:rPr>
                    <w:rFonts w:hint="eastAsia"/>
                    <w:color w:val="000000" w:themeColor="text1"/>
                  </w:rPr>
                  <w:t>折现率</w:t>
                </w:r>
              </w:p>
            </w:tc>
            <w:tc>
              <w:tcPr>
                <w:tcW w:w="1867" w:type="dxa"/>
                <w:shd w:val="clear" w:color="auto" w:fill="auto"/>
                <w:vAlign w:val="center"/>
              </w:tcPr>
              <w:p w14:paraId="189BE439" w14:textId="77777777" w:rsidR="005E000F" w:rsidRDefault="00000000">
                <w:pPr>
                  <w:jc w:val="right"/>
                </w:pPr>
                <w:r>
                  <w:t>0.25</w:t>
                </w:r>
              </w:p>
            </w:tc>
            <w:tc>
              <w:tcPr>
                <w:tcW w:w="1722" w:type="dxa"/>
                <w:shd w:val="clear" w:color="auto" w:fill="auto"/>
                <w:vAlign w:val="center"/>
              </w:tcPr>
              <w:p w14:paraId="2F8F0C91" w14:textId="77777777" w:rsidR="005E000F" w:rsidRDefault="00000000">
                <w:pPr>
                  <w:jc w:val="right"/>
                </w:pPr>
                <w:r>
                  <w:t>-5</w:t>
                </w:r>
              </w:p>
            </w:tc>
            <w:tc>
              <w:tcPr>
                <w:tcW w:w="1640" w:type="dxa"/>
                <w:shd w:val="clear" w:color="auto" w:fill="auto"/>
                <w:vAlign w:val="center"/>
              </w:tcPr>
              <w:p w14:paraId="1DE1D073" w14:textId="77777777" w:rsidR="005E000F" w:rsidRDefault="00000000">
                <w:pPr>
                  <w:jc w:val="right"/>
                </w:pPr>
                <w:r>
                  <w:t>5</w:t>
                </w:r>
              </w:p>
            </w:tc>
          </w:tr>
          <w:tr w:rsidR="005E000F" w14:paraId="0B7DD33C" w14:textId="77777777">
            <w:tc>
              <w:tcPr>
                <w:tcW w:w="3820" w:type="dxa"/>
              </w:tcPr>
              <w:p w14:paraId="438ECF50" w14:textId="77777777" w:rsidR="005E000F" w:rsidRDefault="00000000">
                <w:pPr>
                  <w:rPr>
                    <w:color w:val="000000" w:themeColor="text1"/>
                  </w:rPr>
                </w:pPr>
                <w:r>
                  <w:rPr>
                    <w:rFonts w:hint="eastAsia"/>
                    <w:color w:val="000000" w:themeColor="text1"/>
                  </w:rPr>
                  <w:t>医疗费用的年增长率</w:t>
                </w:r>
              </w:p>
            </w:tc>
            <w:tc>
              <w:tcPr>
                <w:tcW w:w="1867" w:type="dxa"/>
                <w:shd w:val="clear" w:color="auto" w:fill="auto"/>
                <w:vAlign w:val="center"/>
              </w:tcPr>
              <w:p w14:paraId="58B3F778" w14:textId="77777777" w:rsidR="005E000F" w:rsidRDefault="00000000">
                <w:pPr>
                  <w:jc w:val="right"/>
                </w:pPr>
                <w:r>
                  <w:t>1</w:t>
                </w:r>
              </w:p>
            </w:tc>
            <w:tc>
              <w:tcPr>
                <w:tcW w:w="1722" w:type="dxa"/>
                <w:shd w:val="clear" w:color="auto" w:fill="auto"/>
                <w:vAlign w:val="center"/>
              </w:tcPr>
              <w:p w14:paraId="0B299468" w14:textId="77777777" w:rsidR="005E000F" w:rsidRDefault="00000000">
                <w:pPr>
                  <w:jc w:val="right"/>
                </w:pPr>
                <w:r>
                  <w:t>10</w:t>
                </w:r>
              </w:p>
            </w:tc>
            <w:tc>
              <w:tcPr>
                <w:tcW w:w="1640" w:type="dxa"/>
                <w:shd w:val="clear" w:color="auto" w:fill="auto"/>
                <w:vAlign w:val="center"/>
              </w:tcPr>
              <w:p w14:paraId="552F1D24" w14:textId="77777777" w:rsidR="005E000F" w:rsidRDefault="00000000">
                <w:pPr>
                  <w:jc w:val="right"/>
                </w:pPr>
                <w:r>
                  <w:t>-8</w:t>
                </w:r>
              </w:p>
            </w:tc>
          </w:tr>
          <w:tr w:rsidR="005E000F" w14:paraId="20AA2B71" w14:textId="77777777">
            <w:tc>
              <w:tcPr>
                <w:tcW w:w="3820" w:type="dxa"/>
              </w:tcPr>
              <w:p w14:paraId="751D6083" w14:textId="77777777" w:rsidR="005E000F" w:rsidRDefault="00000000">
                <w:pPr>
                  <w:rPr>
                    <w:color w:val="000000" w:themeColor="text1"/>
                  </w:rPr>
                </w:pPr>
                <w:r>
                  <w:rPr>
                    <w:rFonts w:hint="eastAsia"/>
                    <w:color w:val="000000" w:themeColor="text1"/>
                  </w:rPr>
                  <w:t>一次性独生子女父母奖励平均年增长率</w:t>
                </w:r>
              </w:p>
            </w:tc>
            <w:tc>
              <w:tcPr>
                <w:tcW w:w="1867" w:type="dxa"/>
                <w:shd w:val="clear" w:color="auto" w:fill="auto"/>
                <w:vAlign w:val="center"/>
              </w:tcPr>
              <w:p w14:paraId="030C78E1" w14:textId="77777777" w:rsidR="005E000F" w:rsidRDefault="00000000">
                <w:pPr>
                  <w:jc w:val="right"/>
                </w:pPr>
                <w:r>
                  <w:t>1</w:t>
                </w:r>
              </w:p>
            </w:tc>
            <w:tc>
              <w:tcPr>
                <w:tcW w:w="1722" w:type="dxa"/>
                <w:shd w:val="clear" w:color="auto" w:fill="auto"/>
                <w:vAlign w:val="center"/>
              </w:tcPr>
              <w:p w14:paraId="108609D0" w14:textId="77777777" w:rsidR="005E000F" w:rsidRDefault="00000000">
                <w:pPr>
                  <w:jc w:val="right"/>
                </w:pPr>
                <w:r>
                  <w:t>4</w:t>
                </w:r>
              </w:p>
            </w:tc>
            <w:tc>
              <w:tcPr>
                <w:tcW w:w="1640" w:type="dxa"/>
                <w:shd w:val="clear" w:color="auto" w:fill="auto"/>
                <w:vAlign w:val="center"/>
              </w:tcPr>
              <w:p w14:paraId="01331B47" w14:textId="77777777" w:rsidR="005E000F" w:rsidRDefault="00000000">
                <w:pPr>
                  <w:jc w:val="right"/>
                </w:pPr>
                <w:r>
                  <w:t>-3</w:t>
                </w:r>
              </w:p>
            </w:tc>
          </w:tr>
        </w:tbl>
        <w:p w14:paraId="3B514DD1" w14:textId="77777777" w:rsidR="005E000F" w:rsidRDefault="005E000F">
          <w:pPr>
            <w:rPr>
              <w:color w:val="000000" w:themeColor="text1"/>
            </w:rPr>
          </w:pPr>
        </w:p>
        <w:p w14:paraId="39232002" w14:textId="77777777" w:rsidR="005E000F" w:rsidRDefault="00000000">
          <w:r>
            <w:rPr>
              <w:rFonts w:hint="eastAsia"/>
              <w:color w:val="000000" w:themeColor="text1"/>
            </w:rPr>
            <w:t>上述敏感性分析是基于一个假设发生变动而其他假设均保持不变，但实际上各种假设通常是相互关联的。上述敏感性分析在计算设定受益义务现值时也同样采用预期累计福利单位法。</w:t>
          </w:r>
        </w:p>
      </w:sdtContent>
    </w:sdt>
    <w:p w14:paraId="138FBD0D" w14:textId="77777777" w:rsidR="005E000F" w:rsidRDefault="005E000F"/>
    <w:p w14:paraId="0C546AC7" w14:textId="77777777" w:rsidR="005E000F" w:rsidRDefault="00000000">
      <w:r>
        <w:rPr>
          <w:rFonts w:hint="eastAsia"/>
        </w:rPr>
        <w:t>其他说明：</w:t>
      </w:r>
    </w:p>
    <w:sdt>
      <w:sdtPr>
        <w:alias w:val="是否适用：长期应付职工薪酬的其他说明[双击切换]"/>
        <w:tag w:val="_GBC_4c32051ec1ee486180dafb68d556d339"/>
        <w:id w:val="-1352953935"/>
        <w:placeholder>
          <w:docPart w:val="GBC22222222222222222222222222222"/>
        </w:placeholder>
      </w:sdtPr>
      <w:sdtContent>
        <w:p w14:paraId="1D90F99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长期应付职工薪酬的其他说明"/>
        <w:tag w:val="_GBC_28b9bb6550fe4ba38d6cea04e7fd30f2"/>
        <w:id w:val="-783423916"/>
        <w:placeholder>
          <w:docPart w:val="GBC22222222222222222222222222222"/>
        </w:placeholder>
      </w:sdtPr>
      <w:sdtContent>
        <w:sdt>
          <w:sdtPr>
            <w:rPr>
              <w:color w:val="000000" w:themeColor="text1"/>
            </w:rPr>
            <w:alias w:val="长期应付职工薪酬的其他说明"/>
            <w:tag w:val="_GBC_11b0805a85104151b95464d0af701946"/>
            <w:id w:val="-84990804"/>
            <w:placeholder>
              <w:docPart w:val="{b1eee458-b133-4f78-8363-201535ecce4d}"/>
            </w:placeholder>
          </w:sdtPr>
          <w:sdtContent>
            <w:p w14:paraId="5DC49AAE" w14:textId="77777777" w:rsidR="005E000F" w:rsidRDefault="00000000">
              <w:pPr>
                <w:rPr>
                  <w:color w:val="000000" w:themeColor="text1"/>
                </w:rPr>
              </w:pPr>
              <w:r>
                <w:rPr>
                  <w:rFonts w:hint="eastAsia"/>
                  <w:color w:val="000000" w:themeColor="text1"/>
                </w:rPr>
                <w:t>注：本集团在国家规定的基本福利制度外，为现有离退休人员及在职人员退休后提供补充退休后福利。本集团于资产负债表日的补充退休福利由独立精算师韬睿惠悦管理咨询有限公司使用“预期累计福利单位法”进行评估。</w:t>
              </w:r>
            </w:p>
          </w:sdtContent>
        </w:sdt>
        <w:p w14:paraId="5A6EEA37" w14:textId="77777777" w:rsidR="005E000F" w:rsidRDefault="00000000"/>
      </w:sdtContent>
    </w:sdt>
    <w:p w14:paraId="6C1C141F" w14:textId="77777777" w:rsidR="005E000F" w:rsidRDefault="00000000">
      <w:pPr>
        <w:pStyle w:val="4"/>
        <w:ind w:left="425" w:hanging="425"/>
        <w:rPr>
          <w:rFonts w:ascii="宋体" w:hAnsi="宋体"/>
          <w:color w:val="000000" w:themeColor="text1"/>
          <w:szCs w:val="21"/>
        </w:rPr>
      </w:pPr>
      <w:r>
        <w:rPr>
          <w:rFonts w:ascii="宋体" w:hAnsi="宋体" w:hint="eastAsia"/>
          <w:color w:val="000000" w:themeColor="text1"/>
          <w:szCs w:val="21"/>
        </w:rPr>
        <w:t>（3）.精算假设和敏感性分析</w:t>
      </w:r>
    </w:p>
    <w:p w14:paraId="0C3CE8CB" w14:textId="77777777" w:rsidR="005E000F" w:rsidRDefault="005E000F">
      <w:pPr>
        <w:rPr>
          <w:color w:val="000000" w:themeColor="text1"/>
        </w:rPr>
      </w:pPr>
    </w:p>
    <w:p w14:paraId="17BB6D38" w14:textId="77777777" w:rsidR="005E000F" w:rsidRDefault="00000000">
      <w:pPr>
        <w:rPr>
          <w:color w:val="000000" w:themeColor="text1"/>
        </w:rPr>
      </w:pPr>
      <w:r>
        <w:rPr>
          <w:rFonts w:hint="eastAsia"/>
          <w:color w:val="000000" w:themeColor="text1"/>
        </w:rPr>
        <w:t>本集团在估算设定受益计划义务现值时所采用的重大精算假设如下：</w:t>
      </w:r>
    </w:p>
    <w:p w14:paraId="0C59BD09" w14:textId="77777777" w:rsidR="005E000F" w:rsidRDefault="005E000F">
      <w:pPr>
        <w:rPr>
          <w:color w:val="000000" w:themeColor="text1"/>
        </w:rPr>
      </w:pPr>
    </w:p>
    <w:tbl>
      <w:tblPr>
        <w:tblStyle w:val="aff2"/>
        <w:tblW w:w="0" w:type="auto"/>
        <w:tblLook w:val="04A0" w:firstRow="1" w:lastRow="0" w:firstColumn="1" w:lastColumn="0" w:noHBand="0" w:noVBand="1"/>
      </w:tblPr>
      <w:tblGrid>
        <w:gridCol w:w="2907"/>
        <w:gridCol w:w="3125"/>
        <w:gridCol w:w="3017"/>
      </w:tblGrid>
      <w:tr w:rsidR="005E000F" w14:paraId="375B495D" w14:textId="77777777">
        <w:tc>
          <w:tcPr>
            <w:tcW w:w="2907" w:type="dxa"/>
          </w:tcPr>
          <w:p w14:paraId="69B5C4E1" w14:textId="77777777" w:rsidR="005E000F" w:rsidRDefault="00000000">
            <w:pPr>
              <w:rPr>
                <w:color w:val="000000" w:themeColor="text1"/>
              </w:rPr>
            </w:pPr>
            <w:r>
              <w:rPr>
                <w:rFonts w:hint="eastAsia"/>
                <w:color w:val="000000" w:themeColor="text1"/>
              </w:rPr>
              <w:t>项目</w:t>
            </w:r>
          </w:p>
        </w:tc>
        <w:tc>
          <w:tcPr>
            <w:tcW w:w="3125" w:type="dxa"/>
          </w:tcPr>
          <w:p w14:paraId="7D4ED7EE" w14:textId="77777777" w:rsidR="005E000F" w:rsidRDefault="00000000">
            <w:pPr>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w:t>
            </w:r>
          </w:p>
        </w:tc>
        <w:tc>
          <w:tcPr>
            <w:tcW w:w="3017" w:type="dxa"/>
          </w:tcPr>
          <w:p w14:paraId="54BED0C0" w14:textId="77777777" w:rsidR="005E000F" w:rsidRDefault="00000000">
            <w:pPr>
              <w:rPr>
                <w:color w:val="000000" w:themeColor="text1"/>
              </w:rPr>
            </w:pP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w:t>
            </w:r>
          </w:p>
        </w:tc>
      </w:tr>
      <w:tr w:rsidR="005E000F" w14:paraId="506D50E9" w14:textId="77777777">
        <w:tc>
          <w:tcPr>
            <w:tcW w:w="2907" w:type="dxa"/>
          </w:tcPr>
          <w:p w14:paraId="441A590A" w14:textId="77777777" w:rsidR="005E000F" w:rsidRDefault="00000000">
            <w:pPr>
              <w:rPr>
                <w:color w:val="000000" w:themeColor="text1"/>
              </w:rPr>
            </w:pPr>
            <w:r>
              <w:rPr>
                <w:rFonts w:hint="eastAsia"/>
                <w:color w:val="000000" w:themeColor="text1"/>
              </w:rPr>
              <w:t>折现率（注）</w:t>
            </w:r>
          </w:p>
        </w:tc>
        <w:tc>
          <w:tcPr>
            <w:tcW w:w="3125" w:type="dxa"/>
            <w:vAlign w:val="center"/>
          </w:tcPr>
          <w:p w14:paraId="41D6AFD2" w14:textId="77777777" w:rsidR="005E000F" w:rsidRDefault="00000000">
            <w:pPr>
              <w:jc w:val="right"/>
              <w:rPr>
                <w:color w:val="000000" w:themeColor="text1"/>
              </w:rPr>
            </w:pPr>
            <w:r>
              <w:rPr>
                <w:rFonts w:hint="eastAsia"/>
                <w:color w:val="000000" w:themeColor="text1"/>
              </w:rPr>
              <w:t>2.25%</w:t>
            </w:r>
          </w:p>
        </w:tc>
        <w:tc>
          <w:tcPr>
            <w:tcW w:w="3017" w:type="dxa"/>
            <w:vAlign w:val="center"/>
          </w:tcPr>
          <w:p w14:paraId="6423E74D" w14:textId="77777777" w:rsidR="005E000F" w:rsidRDefault="00000000">
            <w:pPr>
              <w:jc w:val="right"/>
              <w:rPr>
                <w:color w:val="000000" w:themeColor="text1"/>
              </w:rPr>
            </w:pPr>
            <w:r>
              <w:rPr>
                <w:rFonts w:hint="eastAsia"/>
                <w:color w:val="000000" w:themeColor="text1"/>
              </w:rPr>
              <w:t>2.00%</w:t>
            </w:r>
          </w:p>
        </w:tc>
      </w:tr>
      <w:tr w:rsidR="005E000F" w14:paraId="3FDEE4D8" w14:textId="77777777">
        <w:tc>
          <w:tcPr>
            <w:tcW w:w="2907" w:type="dxa"/>
          </w:tcPr>
          <w:p w14:paraId="0CC5CF9E" w14:textId="77777777" w:rsidR="005E000F" w:rsidRDefault="00000000">
            <w:pPr>
              <w:rPr>
                <w:color w:val="000000" w:themeColor="text1"/>
              </w:rPr>
            </w:pPr>
            <w:r>
              <w:rPr>
                <w:rFonts w:hint="eastAsia"/>
                <w:color w:val="000000" w:themeColor="text1"/>
              </w:rPr>
              <w:t>医疗费用的年增长率</w:t>
            </w:r>
          </w:p>
        </w:tc>
        <w:tc>
          <w:tcPr>
            <w:tcW w:w="3125" w:type="dxa"/>
            <w:vAlign w:val="center"/>
          </w:tcPr>
          <w:p w14:paraId="1BBA9321" w14:textId="77777777" w:rsidR="005E000F" w:rsidRDefault="00000000">
            <w:pPr>
              <w:jc w:val="right"/>
              <w:rPr>
                <w:color w:val="000000" w:themeColor="text1"/>
              </w:rPr>
            </w:pPr>
            <w:r>
              <w:rPr>
                <w:rFonts w:hint="eastAsia"/>
                <w:color w:val="000000" w:themeColor="text1"/>
              </w:rPr>
              <w:t>8.00%</w:t>
            </w:r>
          </w:p>
        </w:tc>
        <w:tc>
          <w:tcPr>
            <w:tcW w:w="3017" w:type="dxa"/>
            <w:vAlign w:val="center"/>
          </w:tcPr>
          <w:p w14:paraId="5FAB0B57" w14:textId="77777777" w:rsidR="005E000F" w:rsidRDefault="00000000">
            <w:pPr>
              <w:jc w:val="right"/>
              <w:rPr>
                <w:color w:val="000000" w:themeColor="text1"/>
              </w:rPr>
            </w:pPr>
            <w:r>
              <w:rPr>
                <w:rFonts w:hint="eastAsia"/>
                <w:color w:val="000000" w:themeColor="text1"/>
              </w:rPr>
              <w:t>8.00%</w:t>
            </w:r>
          </w:p>
        </w:tc>
      </w:tr>
      <w:tr w:rsidR="005E000F" w14:paraId="7DC1F793" w14:textId="77777777">
        <w:tc>
          <w:tcPr>
            <w:tcW w:w="2907" w:type="dxa"/>
          </w:tcPr>
          <w:p w14:paraId="64FDFCF2" w14:textId="77777777" w:rsidR="005E000F" w:rsidRDefault="00000000">
            <w:pPr>
              <w:rPr>
                <w:color w:val="000000" w:themeColor="text1"/>
              </w:rPr>
            </w:pPr>
            <w:r>
              <w:rPr>
                <w:rFonts w:hint="eastAsia"/>
                <w:color w:val="000000" w:themeColor="text1"/>
              </w:rPr>
              <w:t>一次性独生子女父母奖励平均年增长率</w:t>
            </w:r>
          </w:p>
        </w:tc>
        <w:tc>
          <w:tcPr>
            <w:tcW w:w="3125" w:type="dxa"/>
            <w:vAlign w:val="center"/>
          </w:tcPr>
          <w:p w14:paraId="7EDDBEE1" w14:textId="77777777" w:rsidR="005E000F" w:rsidRDefault="00000000">
            <w:pPr>
              <w:jc w:val="right"/>
              <w:rPr>
                <w:color w:val="000000" w:themeColor="text1"/>
              </w:rPr>
            </w:pPr>
            <w:r>
              <w:rPr>
                <w:rFonts w:hint="eastAsia"/>
                <w:color w:val="000000" w:themeColor="text1"/>
              </w:rPr>
              <w:t>7.00%</w:t>
            </w:r>
          </w:p>
        </w:tc>
        <w:tc>
          <w:tcPr>
            <w:tcW w:w="3017" w:type="dxa"/>
            <w:vAlign w:val="center"/>
          </w:tcPr>
          <w:p w14:paraId="1BF0BE51" w14:textId="77777777" w:rsidR="005E000F" w:rsidRDefault="00000000">
            <w:pPr>
              <w:jc w:val="right"/>
              <w:rPr>
                <w:color w:val="000000" w:themeColor="text1"/>
              </w:rPr>
            </w:pPr>
            <w:r>
              <w:rPr>
                <w:rFonts w:hint="eastAsia"/>
                <w:color w:val="000000" w:themeColor="text1"/>
              </w:rPr>
              <w:t>7.00%</w:t>
            </w:r>
          </w:p>
        </w:tc>
      </w:tr>
      <w:tr w:rsidR="005E000F" w14:paraId="1812EB6F" w14:textId="77777777">
        <w:tc>
          <w:tcPr>
            <w:tcW w:w="2907" w:type="dxa"/>
          </w:tcPr>
          <w:p w14:paraId="1543AD8E" w14:textId="77777777" w:rsidR="005E000F" w:rsidRDefault="00000000">
            <w:pPr>
              <w:rPr>
                <w:color w:val="000000" w:themeColor="text1"/>
              </w:rPr>
            </w:pPr>
            <w:r>
              <w:rPr>
                <w:rFonts w:hint="eastAsia"/>
                <w:color w:val="000000" w:themeColor="text1"/>
              </w:rPr>
              <w:t>在职员工离职率</w:t>
            </w:r>
          </w:p>
        </w:tc>
        <w:tc>
          <w:tcPr>
            <w:tcW w:w="3125" w:type="dxa"/>
            <w:vAlign w:val="center"/>
          </w:tcPr>
          <w:p w14:paraId="6065CA78" w14:textId="77777777" w:rsidR="005E000F" w:rsidRDefault="00000000">
            <w:pPr>
              <w:jc w:val="right"/>
              <w:rPr>
                <w:color w:val="000000" w:themeColor="text1"/>
              </w:rPr>
            </w:pPr>
            <w:r>
              <w:rPr>
                <w:rFonts w:hint="eastAsia"/>
                <w:color w:val="000000" w:themeColor="text1"/>
              </w:rPr>
              <w:t>0.00%</w:t>
            </w:r>
          </w:p>
        </w:tc>
        <w:tc>
          <w:tcPr>
            <w:tcW w:w="3017" w:type="dxa"/>
            <w:vAlign w:val="center"/>
          </w:tcPr>
          <w:p w14:paraId="3C154C0A" w14:textId="77777777" w:rsidR="005E000F" w:rsidRDefault="00000000">
            <w:pPr>
              <w:jc w:val="right"/>
              <w:rPr>
                <w:color w:val="000000" w:themeColor="text1"/>
              </w:rPr>
            </w:pPr>
            <w:r>
              <w:rPr>
                <w:rFonts w:hint="eastAsia"/>
                <w:color w:val="000000" w:themeColor="text1"/>
              </w:rPr>
              <w:t>0.00%</w:t>
            </w:r>
          </w:p>
        </w:tc>
      </w:tr>
      <w:tr w:rsidR="005E000F" w14:paraId="3401AA0A" w14:textId="77777777">
        <w:tc>
          <w:tcPr>
            <w:tcW w:w="2907" w:type="dxa"/>
          </w:tcPr>
          <w:p w14:paraId="28DEC5F6" w14:textId="77777777" w:rsidR="005E000F" w:rsidRDefault="00000000">
            <w:pPr>
              <w:rPr>
                <w:color w:val="000000" w:themeColor="text1"/>
              </w:rPr>
            </w:pPr>
            <w:r>
              <w:rPr>
                <w:rFonts w:hint="eastAsia"/>
                <w:color w:val="000000" w:themeColor="text1"/>
              </w:rPr>
              <w:t>预计未来平均寿命</w:t>
            </w:r>
          </w:p>
        </w:tc>
        <w:tc>
          <w:tcPr>
            <w:tcW w:w="3125" w:type="dxa"/>
            <w:vAlign w:val="center"/>
          </w:tcPr>
          <w:p w14:paraId="055D3088" w14:textId="77777777" w:rsidR="005E000F" w:rsidRDefault="00000000">
            <w:pPr>
              <w:textAlignment w:val="center"/>
              <w:rPr>
                <w:color w:val="000000" w:themeColor="text1"/>
              </w:rPr>
            </w:pPr>
            <w:r>
              <w:rPr>
                <w:rFonts w:hint="eastAsia"/>
                <w:color w:val="000000" w:themeColor="text1"/>
              </w:rPr>
              <w:t>参考</w:t>
            </w:r>
            <w:proofErr w:type="gramStart"/>
            <w:r>
              <w:rPr>
                <w:rFonts w:hint="eastAsia"/>
                <w:color w:val="000000" w:themeColor="text1"/>
              </w:rPr>
              <w:t>《</w:t>
            </w:r>
            <w:proofErr w:type="gramEnd"/>
            <w:r>
              <w:rPr>
                <w:rFonts w:hint="eastAsia"/>
                <w:color w:val="000000" w:themeColor="text1"/>
              </w:rPr>
              <w:t>中国人身保险业经验生命表</w:t>
            </w:r>
            <w:r>
              <w:rPr>
                <w:rFonts w:hint="eastAsia"/>
                <w:color w:val="000000" w:themeColor="text1"/>
              </w:rPr>
              <w:t>2010-2013</w:t>
            </w:r>
            <w:r>
              <w:rPr>
                <w:rFonts w:hint="eastAsia"/>
                <w:color w:val="000000" w:themeColor="text1"/>
              </w:rPr>
              <w:t>向后平均移</w:t>
            </w:r>
            <w:r>
              <w:rPr>
                <w:rFonts w:hint="eastAsia"/>
                <w:color w:val="000000" w:themeColor="text1"/>
              </w:rPr>
              <w:t>2</w:t>
            </w:r>
            <w:r>
              <w:rPr>
                <w:rFonts w:hint="eastAsia"/>
                <w:color w:val="000000" w:themeColor="text1"/>
              </w:rPr>
              <w:t>年</w:t>
            </w:r>
          </w:p>
        </w:tc>
        <w:tc>
          <w:tcPr>
            <w:tcW w:w="3017" w:type="dxa"/>
            <w:vAlign w:val="center"/>
          </w:tcPr>
          <w:p w14:paraId="631B93CA" w14:textId="77777777" w:rsidR="005E000F" w:rsidRDefault="00000000">
            <w:pPr>
              <w:rPr>
                <w:color w:val="000000" w:themeColor="text1"/>
              </w:rPr>
            </w:pPr>
            <w:r>
              <w:rPr>
                <w:rFonts w:hint="eastAsia"/>
                <w:color w:val="000000" w:themeColor="text1"/>
              </w:rPr>
              <w:t>参考《中国人身保险业经验生命表</w:t>
            </w:r>
            <w:r>
              <w:rPr>
                <w:rFonts w:hint="eastAsia"/>
                <w:color w:val="000000" w:themeColor="text1"/>
              </w:rPr>
              <w:t>2010-2013</w:t>
            </w:r>
            <w:r>
              <w:rPr>
                <w:rFonts w:hint="eastAsia"/>
                <w:color w:val="000000" w:themeColor="text1"/>
              </w:rPr>
              <w:t>》向后平移</w:t>
            </w:r>
            <w:r>
              <w:rPr>
                <w:rFonts w:hint="eastAsia"/>
                <w:color w:val="000000" w:themeColor="text1"/>
              </w:rPr>
              <w:t>2</w:t>
            </w:r>
            <w:r>
              <w:rPr>
                <w:rFonts w:hint="eastAsia"/>
                <w:color w:val="000000" w:themeColor="text1"/>
              </w:rPr>
              <w:t>年</w:t>
            </w:r>
          </w:p>
        </w:tc>
      </w:tr>
    </w:tbl>
    <w:p w14:paraId="3EE50C90" w14:textId="77777777" w:rsidR="005E000F" w:rsidRDefault="005E000F">
      <w:pPr>
        <w:rPr>
          <w:color w:val="000000" w:themeColor="text1"/>
        </w:rPr>
      </w:pPr>
    </w:p>
    <w:p w14:paraId="741FBC5D" w14:textId="77777777" w:rsidR="005E000F" w:rsidRDefault="00000000">
      <w:pPr>
        <w:rPr>
          <w:color w:val="000000" w:themeColor="text1"/>
        </w:rPr>
      </w:pPr>
      <w:r>
        <w:rPr>
          <w:rFonts w:hint="eastAsia"/>
          <w:color w:val="000000" w:themeColor="text1"/>
        </w:rPr>
        <w:t>注：折现率的选定参考了中国国债收益率。</w:t>
      </w:r>
    </w:p>
    <w:p w14:paraId="008A23A4" w14:textId="77777777" w:rsidR="005E000F" w:rsidRDefault="005E000F">
      <w:pPr>
        <w:rPr>
          <w:color w:val="000000" w:themeColor="text1"/>
        </w:rPr>
      </w:pPr>
    </w:p>
    <w:p w14:paraId="4E85F4C3" w14:textId="77777777" w:rsidR="005E000F" w:rsidRDefault="00000000">
      <w:pPr>
        <w:rPr>
          <w:color w:val="000000" w:themeColor="text1"/>
        </w:rPr>
      </w:pPr>
      <w:r>
        <w:rPr>
          <w:rFonts w:hint="eastAsia"/>
          <w:color w:val="000000" w:themeColor="text1"/>
        </w:rPr>
        <w:t>本集团设定受益计划义务现值</w:t>
      </w:r>
      <w:proofErr w:type="gramStart"/>
      <w:r>
        <w:rPr>
          <w:rFonts w:hint="eastAsia"/>
          <w:color w:val="000000" w:themeColor="text1"/>
        </w:rPr>
        <w:t>加权平均久期为</w:t>
      </w:r>
      <w:proofErr w:type="gramEnd"/>
      <w:r>
        <w:rPr>
          <w:rFonts w:hint="eastAsia"/>
          <w:color w:val="000000" w:themeColor="text1"/>
        </w:rPr>
        <w:t>21.2</w:t>
      </w:r>
      <w:r>
        <w:rPr>
          <w:rFonts w:hint="eastAsia"/>
          <w:color w:val="000000" w:themeColor="text1"/>
        </w:rPr>
        <w:t>年。</w:t>
      </w:r>
    </w:p>
    <w:p w14:paraId="040BC0CD" w14:textId="77777777" w:rsidR="005E000F" w:rsidRDefault="005E000F">
      <w:pPr>
        <w:rPr>
          <w:color w:val="000000" w:themeColor="text1"/>
        </w:rPr>
      </w:pPr>
    </w:p>
    <w:p w14:paraId="51F01CE3" w14:textId="77777777" w:rsidR="005E000F" w:rsidRDefault="00000000">
      <w:pPr>
        <w:rPr>
          <w:color w:val="000000" w:themeColor="text1"/>
        </w:rPr>
      </w:pPr>
      <w:r>
        <w:rPr>
          <w:rFonts w:hint="eastAsia"/>
          <w:color w:val="000000" w:themeColor="text1"/>
        </w:rPr>
        <w:t>设定受益计划义务使公司面临各种风险，主要风险有国债利率的变动风险，通货膨胀风险等。国债利率的下降将导致设定受益负债的增加；设定受益计划义务是与通货膨胀挂钩，通货膨胀的上升将导致设定受益负债的增加。</w:t>
      </w:r>
    </w:p>
    <w:p w14:paraId="039114F3" w14:textId="77777777" w:rsidR="005E000F" w:rsidRDefault="005E000F"/>
    <w:p w14:paraId="6FDD51A4" w14:textId="77777777" w:rsidR="005E000F" w:rsidRDefault="005E000F"/>
    <w:p w14:paraId="1891F698" w14:textId="77777777" w:rsidR="005E000F" w:rsidRDefault="00000000">
      <w:pPr>
        <w:pStyle w:val="3"/>
        <w:numPr>
          <w:ilvl w:val="0"/>
          <w:numId w:val="66"/>
        </w:numPr>
        <w:tabs>
          <w:tab w:val="left" w:pos="504"/>
        </w:tabs>
        <w:rPr>
          <w:rFonts w:ascii="宋体" w:hAnsi="宋体"/>
          <w:szCs w:val="21"/>
        </w:rPr>
      </w:pPr>
      <w:bookmarkStart w:id="378" w:name="_Hlk533670325"/>
      <w:r>
        <w:rPr>
          <w:rFonts w:ascii="宋体" w:hAnsi="宋体" w:hint="eastAsia"/>
          <w:szCs w:val="21"/>
        </w:rPr>
        <w:t>预计负债</w:t>
      </w:r>
    </w:p>
    <w:sdt>
      <w:sdtPr>
        <w:alias w:val="是否适用：预计负债[双击切换]"/>
        <w:tag w:val="_GBC_d57ab9083835465c9b1fdeb5ed46b3ce"/>
        <w:id w:val="-1833521650"/>
        <w:placeholder>
          <w:docPart w:val="GBC22222222222222222222222222222"/>
        </w:placeholder>
      </w:sdtPr>
      <w:sdtContent>
        <w:p w14:paraId="32ADDBFE"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2DD70A5" w14:textId="77777777" w:rsidR="005E000F" w:rsidRDefault="005E000F">
      <w:pPr>
        <w:autoSpaceDE w:val="0"/>
        <w:autoSpaceDN w:val="0"/>
        <w:adjustRightInd w:val="0"/>
      </w:pPr>
    </w:p>
    <w:bookmarkEnd w:id="378"/>
    <w:p w14:paraId="14374DD3" w14:textId="77777777" w:rsidR="005E000F" w:rsidRDefault="005E000F"/>
    <w:p w14:paraId="28B15000"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递延收益</w:t>
      </w:r>
    </w:p>
    <w:p w14:paraId="3556DA41" w14:textId="77777777" w:rsidR="005E000F" w:rsidRDefault="00000000">
      <w:pPr>
        <w:pStyle w:val="aff8"/>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623233976"/>
        <w:placeholder>
          <w:docPart w:val="GBC22222222222222222222222222222"/>
        </w:placeholder>
      </w:sdtPr>
      <w:sdtContent>
        <w:p w14:paraId="5FFFC9AD" w14:textId="77777777" w:rsidR="005E000F" w:rsidRDefault="00000000">
          <w:pPr>
            <w:pStyle w:val="aff8"/>
            <w:ind w:firstLineChars="0" w:firstLine="0"/>
            <w:jc w:val="left"/>
            <w:rPr>
              <w:rFonts w:ascii="宋体" w:hAnsi="宋体" w:cs="宋体"/>
              <w:kern w:val="0"/>
              <w:szCs w:val="21"/>
            </w:rPr>
          </w:pPr>
          <w:r>
            <w:rPr>
              <w:rFonts w:ascii="宋体" w:hAnsi="宋体" w:cs="宋体"/>
              <w:kern w:val="0"/>
              <w:szCs w:val="21"/>
            </w:rPr>
            <w:fldChar w:fldCharType="begin"/>
          </w:r>
          <w:r>
            <w:rPr>
              <w:rFonts w:ascii="宋体" w:hAnsi="宋体" w:cs="宋体" w:hint="eastAsia"/>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Pr>
              <w:rFonts w:ascii="宋体" w:hAnsi="宋体" w:cs="宋体" w:hint="eastAsia"/>
              <w:kern w:val="0"/>
              <w:szCs w:val="21"/>
            </w:rPr>
            <w:instrText xml:space="preserve"> MACROBUTTON  SnrToggleCheckbox √不适用 </w:instrText>
          </w:r>
          <w:r>
            <w:rPr>
              <w:rFonts w:ascii="宋体" w:hAnsi="宋体" w:cs="宋体"/>
              <w:kern w:val="0"/>
              <w:szCs w:val="21"/>
            </w:rPr>
            <w:fldChar w:fldCharType="end"/>
          </w:r>
        </w:p>
      </w:sdtContent>
    </w:sdt>
    <w:p w14:paraId="72E8D86C" w14:textId="77777777" w:rsidR="005E000F" w:rsidRDefault="005E000F">
      <w:pPr>
        <w:pStyle w:val="aff8"/>
        <w:ind w:firstLineChars="0" w:firstLine="0"/>
        <w:jc w:val="left"/>
      </w:pPr>
    </w:p>
    <w:p w14:paraId="69C39A9F" w14:textId="77777777" w:rsidR="005E000F" w:rsidRDefault="00000000">
      <w:pPr>
        <w:spacing w:before="60" w:after="60"/>
      </w:pPr>
      <w:bookmarkStart w:id="379" w:name="_Hlk532902543"/>
      <w:bookmarkStart w:id="380" w:name="_Hlk532902569"/>
      <w:bookmarkStart w:id="381" w:name="OLE_LINK84"/>
      <w:bookmarkStart w:id="382" w:name="OLE_LINK85"/>
      <w:bookmarkEnd w:id="379"/>
      <w:bookmarkEnd w:id="380"/>
      <w:r>
        <w:rPr>
          <w:rFonts w:hint="eastAsia"/>
        </w:rPr>
        <w:t>其他说明：</w:t>
      </w:r>
    </w:p>
    <w:sdt>
      <w:sdtPr>
        <w:alias w:val="是否适用：递延收益的其他说明[双击切换]"/>
        <w:tag w:val="_GBC_0c28db54a76349869056f2b92b5d9400"/>
        <w:id w:val="1220325401"/>
        <w:placeholder>
          <w:docPart w:val="GBC22222222222222222222222222222"/>
        </w:placeholder>
      </w:sdtPr>
      <w:sdtContent>
        <w:p w14:paraId="100FBB7A" w14:textId="77777777" w:rsidR="005E000F" w:rsidRDefault="00000000">
          <w:pPr>
            <w:spacing w:before="60" w:after="6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81"/>
    <w:bookmarkEnd w:id="382"/>
    <w:p w14:paraId="4697F882" w14:textId="77777777" w:rsidR="005E000F" w:rsidRDefault="005E000F">
      <w:pPr>
        <w:snapToGrid w:val="0"/>
        <w:spacing w:line="240" w:lineRule="atLeast"/>
      </w:pPr>
    </w:p>
    <w:p w14:paraId="4F256E1D" w14:textId="77777777" w:rsidR="005E000F" w:rsidRDefault="00000000">
      <w:pPr>
        <w:pStyle w:val="3"/>
        <w:numPr>
          <w:ilvl w:val="0"/>
          <w:numId w:val="66"/>
        </w:numPr>
        <w:tabs>
          <w:tab w:val="left" w:pos="504"/>
        </w:tabs>
        <w:rPr>
          <w:rFonts w:ascii="宋体" w:hAnsi="宋体"/>
          <w:szCs w:val="21"/>
        </w:rPr>
      </w:pPr>
      <w:bookmarkStart w:id="383" w:name="_Hlk533670383"/>
      <w:r>
        <w:rPr>
          <w:rFonts w:ascii="宋体" w:hAnsi="宋体" w:hint="eastAsia"/>
          <w:szCs w:val="21"/>
        </w:rPr>
        <w:t>其他非流动负债</w:t>
      </w:r>
    </w:p>
    <w:sdt>
      <w:sdtPr>
        <w:alias w:val="是否适用：其他非流动负债[双击切换]"/>
        <w:tag w:val="_GBC_05e5676f32624ce18727385761bd1a9a"/>
        <w:id w:val="-1158691202"/>
        <w:placeholder>
          <w:docPart w:val="GBC22222222222222222222222222222"/>
        </w:placeholder>
      </w:sdtPr>
      <w:sdtContent>
        <w:p w14:paraId="69FE350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84586B1" w14:textId="77777777" w:rsidR="005E000F" w:rsidRDefault="00000000">
      <w:pPr>
        <w:jc w:val="right"/>
      </w:pPr>
      <w:r>
        <w:rPr>
          <w:rFonts w:hint="eastAsia"/>
        </w:rPr>
        <w:t>单位：</w:t>
      </w:r>
      <w:sdt>
        <w:sdtPr>
          <w:rPr>
            <w:rFonts w:hint="eastAsia"/>
          </w:rPr>
          <w:alias w:val="单位：财务附注：其他非流动负债"/>
          <w:tag w:val="_GBC_71e4a9e0bf114863bce91ed701edd264"/>
          <w:id w:val="8393498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其他非流动负债"/>
          <w:tag w:val="_GBC_bf94df270d184979b66ad44c93bd13bb"/>
          <w:id w:val="-45656817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5"/>
        <w:gridCol w:w="2897"/>
        <w:gridCol w:w="2895"/>
      </w:tblGrid>
      <w:tr w:rsidR="005E000F" w14:paraId="4012E104" w14:textId="77777777">
        <w:trPr>
          <w:jc w:val="center"/>
        </w:trPr>
        <w:sdt>
          <w:sdtPr>
            <w:tag w:val="_PLD_e94b93964ff94154a24d0d892b58ec93"/>
            <w:id w:val="-1976984313"/>
          </w:sdtPr>
          <w:sdtContent>
            <w:tc>
              <w:tcPr>
                <w:tcW w:w="3255" w:type="dxa"/>
                <w:tcBorders>
                  <w:top w:val="single" w:sz="4" w:space="0" w:color="auto"/>
                  <w:left w:val="single" w:sz="4" w:space="0" w:color="auto"/>
                  <w:bottom w:val="single" w:sz="4" w:space="0" w:color="auto"/>
                  <w:right w:val="single" w:sz="4" w:space="0" w:color="auto"/>
                </w:tcBorders>
                <w:vAlign w:val="center"/>
              </w:tcPr>
              <w:p w14:paraId="7E4D07C4" w14:textId="77777777" w:rsidR="005E000F" w:rsidRDefault="00000000">
                <w:pPr>
                  <w:jc w:val="center"/>
                </w:pPr>
                <w:r>
                  <w:rPr>
                    <w:rFonts w:hint="eastAsia"/>
                  </w:rPr>
                  <w:t>项目</w:t>
                </w:r>
              </w:p>
            </w:tc>
          </w:sdtContent>
        </w:sdt>
        <w:sdt>
          <w:sdtPr>
            <w:tag w:val="_PLD_626c17c2445349ccb36ec3f46c17db19"/>
            <w:id w:val="1715236038"/>
          </w:sdtPr>
          <w:sdtContent>
            <w:tc>
              <w:tcPr>
                <w:tcW w:w="2897" w:type="dxa"/>
                <w:tcBorders>
                  <w:top w:val="single" w:sz="4" w:space="0" w:color="auto"/>
                  <w:left w:val="single" w:sz="4" w:space="0" w:color="auto"/>
                  <w:bottom w:val="single" w:sz="4" w:space="0" w:color="auto"/>
                  <w:right w:val="single" w:sz="4" w:space="0" w:color="auto"/>
                </w:tcBorders>
                <w:vAlign w:val="center"/>
              </w:tcPr>
              <w:p w14:paraId="6C2FF7BE" w14:textId="77777777" w:rsidR="005E000F" w:rsidRDefault="00000000">
                <w:pPr>
                  <w:jc w:val="center"/>
                </w:pPr>
                <w:r>
                  <w:rPr>
                    <w:rFonts w:hint="eastAsia"/>
                  </w:rPr>
                  <w:t>期末余额</w:t>
                </w:r>
              </w:p>
            </w:tc>
          </w:sdtContent>
        </w:sdt>
        <w:sdt>
          <w:sdtPr>
            <w:tag w:val="_PLD_132229a357f24f83a62e7827f1a297f0"/>
            <w:id w:val="1113020689"/>
          </w:sdtPr>
          <w:sdtContent>
            <w:tc>
              <w:tcPr>
                <w:tcW w:w="2895" w:type="dxa"/>
                <w:tcBorders>
                  <w:top w:val="single" w:sz="4" w:space="0" w:color="auto"/>
                  <w:left w:val="single" w:sz="4" w:space="0" w:color="auto"/>
                  <w:bottom w:val="single" w:sz="4" w:space="0" w:color="auto"/>
                  <w:right w:val="single" w:sz="4" w:space="0" w:color="auto"/>
                </w:tcBorders>
                <w:vAlign w:val="center"/>
              </w:tcPr>
              <w:p w14:paraId="07401283" w14:textId="77777777" w:rsidR="005E000F" w:rsidRDefault="00000000">
                <w:pPr>
                  <w:jc w:val="center"/>
                </w:pPr>
                <w:r>
                  <w:rPr>
                    <w:rFonts w:hint="eastAsia"/>
                  </w:rPr>
                  <w:t>期初余额</w:t>
                </w:r>
              </w:p>
            </w:tc>
          </w:sdtContent>
        </w:sdt>
      </w:tr>
      <w:tr w:rsidR="005E000F" w14:paraId="3672222C" w14:textId="77777777">
        <w:trPr>
          <w:jc w:val="center"/>
        </w:trPr>
        <w:tc>
          <w:tcPr>
            <w:tcW w:w="3255" w:type="dxa"/>
            <w:tcBorders>
              <w:top w:val="single" w:sz="4" w:space="0" w:color="auto"/>
              <w:left w:val="single" w:sz="4" w:space="0" w:color="auto"/>
              <w:bottom w:val="single" w:sz="4" w:space="0" w:color="auto"/>
              <w:right w:val="single" w:sz="4" w:space="0" w:color="auto"/>
            </w:tcBorders>
          </w:tcPr>
          <w:p w14:paraId="2F4F1D7D" w14:textId="77777777" w:rsidR="005E000F" w:rsidRDefault="00000000">
            <w:pPr>
              <w:rPr>
                <w:lang w:eastAsia="en-US"/>
              </w:rPr>
            </w:pPr>
            <w:r>
              <w:rPr>
                <w:rFonts w:hint="eastAsia"/>
              </w:rPr>
              <w:t>租赁预收款</w:t>
            </w:r>
          </w:p>
        </w:tc>
        <w:tc>
          <w:tcPr>
            <w:tcW w:w="2897" w:type="dxa"/>
            <w:tcBorders>
              <w:top w:val="single" w:sz="4" w:space="0" w:color="auto"/>
              <w:left w:val="single" w:sz="4" w:space="0" w:color="auto"/>
              <w:bottom w:val="single" w:sz="4" w:space="0" w:color="auto"/>
              <w:right w:val="single" w:sz="4" w:space="0" w:color="auto"/>
            </w:tcBorders>
            <w:vAlign w:val="center"/>
          </w:tcPr>
          <w:p w14:paraId="092AFF62" w14:textId="77777777" w:rsidR="005E000F" w:rsidRDefault="00000000">
            <w:pPr>
              <w:ind w:right="-14"/>
              <w:jc w:val="right"/>
            </w:pPr>
            <w:r>
              <w:t>346,094,970</w:t>
            </w:r>
          </w:p>
        </w:tc>
        <w:tc>
          <w:tcPr>
            <w:tcW w:w="2895" w:type="dxa"/>
            <w:tcBorders>
              <w:top w:val="single" w:sz="4" w:space="0" w:color="auto"/>
              <w:left w:val="single" w:sz="4" w:space="0" w:color="auto"/>
              <w:bottom w:val="single" w:sz="4" w:space="0" w:color="auto"/>
              <w:right w:val="single" w:sz="4" w:space="0" w:color="auto"/>
            </w:tcBorders>
          </w:tcPr>
          <w:p w14:paraId="51940434" w14:textId="77777777" w:rsidR="005E000F" w:rsidRDefault="00000000">
            <w:pPr>
              <w:ind w:right="-14"/>
              <w:jc w:val="right"/>
              <w:rPr>
                <w:lang w:eastAsia="en-US"/>
              </w:rPr>
            </w:pPr>
            <w:r>
              <w:t>361,794,160</w:t>
            </w:r>
          </w:p>
        </w:tc>
      </w:tr>
      <w:tr w:rsidR="005E000F" w14:paraId="3B77BCDC" w14:textId="77777777">
        <w:trPr>
          <w:jc w:val="center"/>
        </w:trPr>
        <w:tc>
          <w:tcPr>
            <w:tcW w:w="3255" w:type="dxa"/>
            <w:tcBorders>
              <w:top w:val="single" w:sz="4" w:space="0" w:color="auto"/>
              <w:left w:val="single" w:sz="4" w:space="0" w:color="auto"/>
              <w:bottom w:val="single" w:sz="4" w:space="0" w:color="auto"/>
              <w:right w:val="single" w:sz="4" w:space="0" w:color="auto"/>
            </w:tcBorders>
          </w:tcPr>
          <w:p w14:paraId="5395BF4F" w14:textId="77777777" w:rsidR="005E000F" w:rsidRDefault="00000000">
            <w:r>
              <w:rPr>
                <w:rFonts w:hint="eastAsia"/>
              </w:rPr>
              <w:t>减</w:t>
            </w:r>
            <w:r>
              <w:rPr>
                <w:rFonts w:hint="eastAsia"/>
              </w:rPr>
              <w:t>:</w:t>
            </w:r>
            <w:r>
              <w:rPr>
                <w:rFonts w:hint="eastAsia"/>
              </w:rPr>
              <w:t>一年内到期的其他非流动负债</w:t>
            </w:r>
          </w:p>
        </w:tc>
        <w:tc>
          <w:tcPr>
            <w:tcW w:w="2897" w:type="dxa"/>
            <w:tcBorders>
              <w:top w:val="single" w:sz="4" w:space="0" w:color="auto"/>
              <w:left w:val="single" w:sz="4" w:space="0" w:color="auto"/>
              <w:bottom w:val="single" w:sz="4" w:space="0" w:color="auto"/>
              <w:right w:val="single" w:sz="4" w:space="0" w:color="auto"/>
            </w:tcBorders>
            <w:vAlign w:val="center"/>
          </w:tcPr>
          <w:p w14:paraId="32D924EC" w14:textId="77777777" w:rsidR="005E000F" w:rsidRDefault="00000000">
            <w:pPr>
              <w:ind w:right="-14"/>
              <w:jc w:val="right"/>
            </w:pPr>
            <w:r>
              <w:t>15,680,109</w:t>
            </w:r>
          </w:p>
        </w:tc>
        <w:tc>
          <w:tcPr>
            <w:tcW w:w="2895" w:type="dxa"/>
            <w:tcBorders>
              <w:top w:val="single" w:sz="4" w:space="0" w:color="auto"/>
              <w:left w:val="single" w:sz="4" w:space="0" w:color="auto"/>
              <w:bottom w:val="single" w:sz="4" w:space="0" w:color="auto"/>
              <w:right w:val="single" w:sz="4" w:space="0" w:color="auto"/>
            </w:tcBorders>
          </w:tcPr>
          <w:p w14:paraId="4F6A48CD" w14:textId="77777777" w:rsidR="005E000F" w:rsidRDefault="00000000">
            <w:pPr>
              <w:ind w:right="-14"/>
              <w:jc w:val="right"/>
              <w:rPr>
                <w:lang w:eastAsia="en-US"/>
              </w:rPr>
            </w:pPr>
            <w:r>
              <w:t>15,699,191</w:t>
            </w:r>
          </w:p>
        </w:tc>
      </w:tr>
      <w:tr w:rsidR="005E000F" w14:paraId="2C69146E" w14:textId="77777777">
        <w:trPr>
          <w:jc w:val="center"/>
        </w:trPr>
        <w:tc>
          <w:tcPr>
            <w:tcW w:w="3255" w:type="dxa"/>
            <w:tcBorders>
              <w:top w:val="single" w:sz="4" w:space="0" w:color="auto"/>
              <w:left w:val="single" w:sz="4" w:space="0" w:color="auto"/>
              <w:bottom w:val="single" w:sz="4" w:space="0" w:color="auto"/>
              <w:right w:val="single" w:sz="4" w:space="0" w:color="auto"/>
            </w:tcBorders>
            <w:vAlign w:val="center"/>
          </w:tcPr>
          <w:p w14:paraId="7B951C55" w14:textId="77777777" w:rsidR="005E000F" w:rsidRDefault="00000000">
            <w:pPr>
              <w:jc w:val="center"/>
              <w:rPr>
                <w:color w:val="000000" w:themeColor="text1"/>
              </w:rPr>
            </w:pPr>
            <w:r>
              <w:rPr>
                <w:rFonts w:hint="eastAsia"/>
                <w:color w:val="000000" w:themeColor="text1"/>
              </w:rPr>
              <w:t>合计</w:t>
            </w:r>
          </w:p>
        </w:tc>
        <w:tc>
          <w:tcPr>
            <w:tcW w:w="2897" w:type="dxa"/>
            <w:tcBorders>
              <w:top w:val="single" w:sz="4" w:space="0" w:color="auto"/>
              <w:left w:val="single" w:sz="4" w:space="0" w:color="auto"/>
              <w:bottom w:val="single" w:sz="4" w:space="0" w:color="auto"/>
              <w:right w:val="single" w:sz="4" w:space="0" w:color="auto"/>
            </w:tcBorders>
            <w:vAlign w:val="center"/>
          </w:tcPr>
          <w:p w14:paraId="226CF5F9" w14:textId="77777777" w:rsidR="005E000F" w:rsidRDefault="00000000">
            <w:pPr>
              <w:ind w:right="-14"/>
              <w:jc w:val="right"/>
            </w:pPr>
            <w:r>
              <w:t>330,414,861</w:t>
            </w:r>
          </w:p>
        </w:tc>
        <w:tc>
          <w:tcPr>
            <w:tcW w:w="2895" w:type="dxa"/>
            <w:tcBorders>
              <w:top w:val="single" w:sz="4" w:space="0" w:color="auto"/>
              <w:left w:val="single" w:sz="4" w:space="0" w:color="auto"/>
              <w:bottom w:val="single" w:sz="4" w:space="0" w:color="auto"/>
              <w:right w:val="single" w:sz="4" w:space="0" w:color="auto"/>
            </w:tcBorders>
          </w:tcPr>
          <w:p w14:paraId="49250622" w14:textId="77777777" w:rsidR="005E000F" w:rsidRDefault="00000000">
            <w:pPr>
              <w:ind w:right="-14"/>
              <w:jc w:val="right"/>
              <w:rPr>
                <w:lang w:eastAsia="en-US"/>
              </w:rPr>
            </w:pPr>
            <w:r>
              <w:t>346,094,969</w:t>
            </w:r>
          </w:p>
        </w:tc>
      </w:tr>
    </w:tbl>
    <w:p w14:paraId="56417DC7" w14:textId="77777777" w:rsidR="005E000F" w:rsidRDefault="00000000">
      <w:pPr>
        <w:spacing w:before="60" w:after="60"/>
      </w:pPr>
      <w:r>
        <w:rPr>
          <w:rFonts w:hint="eastAsia"/>
        </w:rPr>
        <w:t>其他说明：</w:t>
      </w:r>
    </w:p>
    <w:sdt>
      <w:sdtPr>
        <w:alias w:val="其他非流动负债说明"/>
        <w:tag w:val="_GBC_4686d44ffe664a59bb3950cd69e64f86"/>
        <w:id w:val="833502354"/>
        <w:placeholder>
          <w:docPart w:val="GBC22222222222222222222222222222"/>
        </w:placeholder>
      </w:sdtPr>
      <w:sdtContent>
        <w:p w14:paraId="29830F84" w14:textId="77777777" w:rsidR="005E000F" w:rsidRDefault="00000000">
          <w:r>
            <w:rPr>
              <w:rFonts w:hint="eastAsia"/>
            </w:rPr>
            <w:t>无</w:t>
          </w:r>
        </w:p>
      </w:sdtContent>
    </w:sdt>
    <w:bookmarkEnd w:id="383"/>
    <w:p w14:paraId="23F6F4BA" w14:textId="77777777" w:rsidR="005E000F" w:rsidRDefault="005E000F"/>
    <w:p w14:paraId="541738C5"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160745831"/>
        <w:placeholder>
          <w:docPart w:val="GBC22222222222222222222222222222"/>
        </w:placeholder>
      </w:sdtPr>
      <w:sdtContent>
        <w:p w14:paraId="19E9B60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5FA24C8" w14:textId="77777777" w:rsidR="005E000F" w:rsidRDefault="00000000">
      <w:pPr>
        <w:jc w:val="right"/>
      </w:pPr>
      <w:r>
        <w:rPr>
          <w:rFonts w:hint="eastAsia"/>
        </w:rPr>
        <w:t>单位：</w:t>
      </w:r>
      <w:sdt>
        <w:sdtPr>
          <w:rPr>
            <w:rFonts w:hint="eastAsia"/>
          </w:rPr>
          <w:alias w:val="单位：财务附注：股本"/>
          <w:tag w:val="_GBC_e2cacf7f2d9f4ad78dce53a3e345569e"/>
          <w:id w:val="-8111760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股本"/>
          <w:tag w:val="_GBC_a1c9c99744d0466d8ff5672b2b69076a"/>
          <w:id w:val="-17787943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638"/>
        <w:gridCol w:w="522"/>
        <w:gridCol w:w="489"/>
        <w:gridCol w:w="500"/>
        <w:gridCol w:w="1578"/>
        <w:gridCol w:w="1433"/>
        <w:gridCol w:w="1729"/>
      </w:tblGrid>
      <w:tr w:rsidR="005E000F" w14:paraId="1A3CEEA0" w14:textId="77777777">
        <w:trPr>
          <w:cantSplit/>
          <w:trHeight w:val="270"/>
        </w:trPr>
        <w:sdt>
          <w:sdtPr>
            <w:tag w:val="_PLD_59c3e97e3f674ae6805374496a9434cd"/>
            <w:id w:val="1139605151"/>
            <w:showingPlcHdr/>
          </w:sdtPr>
          <w:sdtContent>
            <w:tc>
              <w:tcPr>
                <w:tcW w:w="1158" w:type="dxa"/>
                <w:vMerge w:val="restart"/>
                <w:tcBorders>
                  <w:top w:val="single" w:sz="4" w:space="0" w:color="auto"/>
                  <w:left w:val="single" w:sz="4" w:space="0" w:color="auto"/>
                  <w:bottom w:val="single" w:sz="4" w:space="0" w:color="auto"/>
                  <w:right w:val="single" w:sz="4" w:space="0" w:color="auto"/>
                </w:tcBorders>
                <w:vAlign w:val="center"/>
              </w:tcPr>
              <w:p w14:paraId="5861E37F" w14:textId="77777777" w:rsidR="005E000F" w:rsidRDefault="00000000">
                <w:pPr>
                  <w:jc w:val="center"/>
                </w:pPr>
                <w:r>
                  <w:rPr>
                    <w:rStyle w:val="affa"/>
                    <w:rFonts w:hint="eastAsia"/>
                  </w:rPr>
                  <w:t xml:space="preserve">　</w:t>
                </w:r>
              </w:p>
            </w:tc>
          </w:sdtContent>
        </w:sdt>
        <w:sdt>
          <w:sdtPr>
            <w:tag w:val="_PLD_fd63a619db16496bad52eeb145839158"/>
            <w:id w:val="-1996939745"/>
          </w:sdtPr>
          <w:sdtContent>
            <w:tc>
              <w:tcPr>
                <w:tcW w:w="1638" w:type="dxa"/>
                <w:vMerge w:val="restart"/>
                <w:tcBorders>
                  <w:top w:val="single" w:sz="4" w:space="0" w:color="auto"/>
                  <w:left w:val="single" w:sz="4" w:space="0" w:color="auto"/>
                  <w:right w:val="single" w:sz="4" w:space="0" w:color="auto"/>
                </w:tcBorders>
                <w:vAlign w:val="center"/>
              </w:tcPr>
              <w:p w14:paraId="3E616CFB" w14:textId="77777777" w:rsidR="005E000F" w:rsidRDefault="00000000">
                <w:pPr>
                  <w:jc w:val="center"/>
                </w:pPr>
                <w:r>
                  <w:rPr>
                    <w:rFonts w:hint="eastAsia"/>
                  </w:rPr>
                  <w:t>期初余额</w:t>
                </w:r>
              </w:p>
            </w:tc>
          </w:sdtContent>
        </w:sdt>
        <w:sdt>
          <w:sdtPr>
            <w:tag w:val="_PLD_2cb33d9d8b0d47539581498c039e86aa"/>
            <w:id w:val="-384944589"/>
          </w:sdtPr>
          <w:sdtContent>
            <w:tc>
              <w:tcPr>
                <w:tcW w:w="4522" w:type="dxa"/>
                <w:gridSpan w:val="5"/>
                <w:tcBorders>
                  <w:top w:val="single" w:sz="4" w:space="0" w:color="auto"/>
                  <w:left w:val="single" w:sz="4" w:space="0" w:color="auto"/>
                  <w:bottom w:val="single" w:sz="4" w:space="0" w:color="auto"/>
                  <w:right w:val="single" w:sz="4" w:space="0" w:color="auto"/>
                </w:tcBorders>
                <w:vAlign w:val="center"/>
              </w:tcPr>
              <w:p w14:paraId="3A9EBDF6" w14:textId="77777777" w:rsidR="005E000F" w:rsidRDefault="00000000">
                <w:pPr>
                  <w:jc w:val="center"/>
                </w:pPr>
                <w:r>
                  <w:rPr>
                    <w:rFonts w:hint="eastAsia"/>
                  </w:rPr>
                  <w:t>本次变动增减（</w:t>
                </w:r>
                <w:r>
                  <w:rPr>
                    <w:rFonts w:hint="eastAsia"/>
                  </w:rPr>
                  <w:t>+</w:t>
                </w:r>
                <w:r>
                  <w:rPr>
                    <w:rFonts w:hint="eastAsia"/>
                  </w:rPr>
                  <w:t>、</w:t>
                </w:r>
                <w:r>
                  <w:rPr>
                    <w:rFonts w:hint="eastAsia"/>
                  </w:rPr>
                  <w:t>-</w:t>
                </w:r>
                <w:r>
                  <w:rPr>
                    <w:rFonts w:hint="eastAsia"/>
                  </w:rPr>
                  <w:t>）</w:t>
                </w:r>
              </w:p>
            </w:tc>
          </w:sdtContent>
        </w:sdt>
        <w:sdt>
          <w:sdtPr>
            <w:tag w:val="_PLD_e579078cb28f47a09273701ab9e2e37a"/>
            <w:id w:val="-1841686847"/>
          </w:sdtPr>
          <w:sdtContent>
            <w:tc>
              <w:tcPr>
                <w:tcW w:w="1729" w:type="dxa"/>
                <w:vMerge w:val="restart"/>
                <w:tcBorders>
                  <w:top w:val="single" w:sz="4" w:space="0" w:color="auto"/>
                  <w:left w:val="single" w:sz="4" w:space="0" w:color="auto"/>
                  <w:right w:val="single" w:sz="4" w:space="0" w:color="auto"/>
                </w:tcBorders>
                <w:vAlign w:val="center"/>
              </w:tcPr>
              <w:p w14:paraId="76EA6BF8" w14:textId="77777777" w:rsidR="005E000F" w:rsidRDefault="00000000">
                <w:pPr>
                  <w:jc w:val="center"/>
                </w:pPr>
                <w:r>
                  <w:rPr>
                    <w:rFonts w:hint="eastAsia"/>
                  </w:rPr>
                  <w:t>期末余额</w:t>
                </w:r>
              </w:p>
            </w:tc>
          </w:sdtContent>
        </w:sdt>
      </w:tr>
      <w:tr w:rsidR="005E000F" w14:paraId="50980222" w14:textId="77777777">
        <w:trPr>
          <w:cantSplit/>
          <w:trHeight w:val="312"/>
        </w:trPr>
        <w:tc>
          <w:tcPr>
            <w:tcW w:w="1158" w:type="dxa"/>
            <w:vMerge/>
            <w:tcBorders>
              <w:top w:val="single" w:sz="4" w:space="0" w:color="auto"/>
              <w:left w:val="single" w:sz="4" w:space="0" w:color="auto"/>
              <w:bottom w:val="single" w:sz="4" w:space="0" w:color="auto"/>
              <w:right w:val="single" w:sz="4" w:space="0" w:color="auto"/>
            </w:tcBorders>
            <w:vAlign w:val="center"/>
          </w:tcPr>
          <w:p w14:paraId="2E9B2866" w14:textId="77777777" w:rsidR="005E000F" w:rsidRDefault="005E000F"/>
        </w:tc>
        <w:tc>
          <w:tcPr>
            <w:tcW w:w="1638" w:type="dxa"/>
            <w:vMerge/>
            <w:tcBorders>
              <w:left w:val="single" w:sz="4" w:space="0" w:color="auto"/>
              <w:bottom w:val="single" w:sz="4" w:space="0" w:color="auto"/>
              <w:right w:val="single" w:sz="4" w:space="0" w:color="auto"/>
            </w:tcBorders>
            <w:vAlign w:val="center"/>
          </w:tcPr>
          <w:p w14:paraId="11699458" w14:textId="77777777" w:rsidR="005E000F" w:rsidRDefault="005E000F">
            <w:pPr>
              <w:ind w:leftChars="-119" w:left="-250" w:firstLineChars="119" w:firstLine="250"/>
            </w:pPr>
          </w:p>
        </w:tc>
        <w:sdt>
          <w:sdtPr>
            <w:tag w:val="_PLD_2f067dcfa40a4e2d896a383f16e2e483"/>
            <w:id w:val="918603361"/>
          </w:sdtPr>
          <w:sdtContent>
            <w:tc>
              <w:tcPr>
                <w:tcW w:w="522" w:type="dxa"/>
                <w:tcBorders>
                  <w:top w:val="single" w:sz="4" w:space="0" w:color="auto"/>
                  <w:left w:val="single" w:sz="4" w:space="0" w:color="auto"/>
                  <w:bottom w:val="single" w:sz="4" w:space="0" w:color="auto"/>
                  <w:right w:val="single" w:sz="4" w:space="0" w:color="auto"/>
                </w:tcBorders>
                <w:vAlign w:val="center"/>
              </w:tcPr>
              <w:p w14:paraId="1A6CABCB" w14:textId="77777777" w:rsidR="005E000F" w:rsidRDefault="00000000">
                <w:pPr>
                  <w:jc w:val="center"/>
                </w:pPr>
                <w:r>
                  <w:rPr>
                    <w:rFonts w:hint="eastAsia"/>
                  </w:rPr>
                  <w:t>发行</w:t>
                </w:r>
              </w:p>
              <w:p w14:paraId="56074A95" w14:textId="77777777" w:rsidR="005E000F" w:rsidRDefault="00000000">
                <w:pPr>
                  <w:jc w:val="center"/>
                </w:pPr>
                <w:r>
                  <w:rPr>
                    <w:rFonts w:hint="eastAsia"/>
                  </w:rPr>
                  <w:t>新股</w:t>
                </w:r>
              </w:p>
            </w:tc>
          </w:sdtContent>
        </w:sdt>
        <w:sdt>
          <w:sdtPr>
            <w:tag w:val="_PLD_afc58df66e0343a29873ec3c2270451e"/>
            <w:id w:val="-772008724"/>
          </w:sdtPr>
          <w:sdtContent>
            <w:tc>
              <w:tcPr>
                <w:tcW w:w="489" w:type="dxa"/>
                <w:tcBorders>
                  <w:top w:val="single" w:sz="4" w:space="0" w:color="auto"/>
                  <w:left w:val="single" w:sz="4" w:space="0" w:color="auto"/>
                  <w:bottom w:val="single" w:sz="4" w:space="0" w:color="auto"/>
                  <w:right w:val="single" w:sz="4" w:space="0" w:color="auto"/>
                </w:tcBorders>
                <w:vAlign w:val="center"/>
              </w:tcPr>
              <w:p w14:paraId="70C52D0A" w14:textId="77777777" w:rsidR="005E000F" w:rsidRDefault="00000000">
                <w:pPr>
                  <w:jc w:val="center"/>
                </w:pPr>
                <w:r>
                  <w:rPr>
                    <w:rFonts w:hint="eastAsia"/>
                  </w:rPr>
                  <w:t>送股</w:t>
                </w:r>
              </w:p>
            </w:tc>
          </w:sdtContent>
        </w:sdt>
        <w:sdt>
          <w:sdtPr>
            <w:tag w:val="_PLD_31d618a387e243239ea8ee139a3a39da"/>
            <w:id w:val="22302403"/>
          </w:sdtPr>
          <w:sdtContent>
            <w:tc>
              <w:tcPr>
                <w:tcW w:w="500" w:type="dxa"/>
                <w:tcBorders>
                  <w:top w:val="single" w:sz="4" w:space="0" w:color="auto"/>
                  <w:left w:val="single" w:sz="4" w:space="0" w:color="auto"/>
                  <w:bottom w:val="single" w:sz="4" w:space="0" w:color="auto"/>
                  <w:right w:val="single" w:sz="4" w:space="0" w:color="auto"/>
                </w:tcBorders>
                <w:vAlign w:val="center"/>
              </w:tcPr>
              <w:p w14:paraId="575DBC96" w14:textId="77777777" w:rsidR="005E000F" w:rsidRDefault="00000000">
                <w:pPr>
                  <w:jc w:val="center"/>
                </w:pPr>
                <w:r>
                  <w:rPr>
                    <w:rFonts w:hint="eastAsia"/>
                  </w:rPr>
                  <w:t>公积金</w:t>
                </w:r>
              </w:p>
              <w:p w14:paraId="4218AC52" w14:textId="77777777" w:rsidR="005E000F" w:rsidRDefault="00000000">
                <w:pPr>
                  <w:jc w:val="center"/>
                </w:pPr>
                <w:r>
                  <w:rPr>
                    <w:rFonts w:hint="eastAsia"/>
                  </w:rPr>
                  <w:t>转股</w:t>
                </w:r>
              </w:p>
            </w:tc>
          </w:sdtContent>
        </w:sdt>
        <w:sdt>
          <w:sdtPr>
            <w:tag w:val="_PLD_12526084dedd4dc68d673c8a71c73862"/>
            <w:id w:val="-326522858"/>
          </w:sdtPr>
          <w:sdtContent>
            <w:tc>
              <w:tcPr>
                <w:tcW w:w="1578" w:type="dxa"/>
                <w:tcBorders>
                  <w:top w:val="single" w:sz="4" w:space="0" w:color="auto"/>
                  <w:left w:val="single" w:sz="4" w:space="0" w:color="auto"/>
                  <w:bottom w:val="single" w:sz="4" w:space="0" w:color="auto"/>
                  <w:right w:val="single" w:sz="4" w:space="0" w:color="auto"/>
                </w:tcBorders>
                <w:vAlign w:val="center"/>
              </w:tcPr>
              <w:p w14:paraId="479799DC" w14:textId="77777777" w:rsidR="005E000F" w:rsidRDefault="00000000">
                <w:pPr>
                  <w:jc w:val="center"/>
                </w:pPr>
                <w:r>
                  <w:rPr>
                    <w:rFonts w:hint="eastAsia"/>
                  </w:rPr>
                  <w:t>其他</w:t>
                </w:r>
              </w:p>
            </w:tc>
          </w:sdtContent>
        </w:sdt>
        <w:sdt>
          <w:sdtPr>
            <w:tag w:val="_PLD_fe70bd23af2d4fd680087e555e574f82"/>
            <w:id w:val="-1303845526"/>
          </w:sdtPr>
          <w:sdtContent>
            <w:tc>
              <w:tcPr>
                <w:tcW w:w="1433" w:type="dxa"/>
                <w:tcBorders>
                  <w:top w:val="single" w:sz="4" w:space="0" w:color="auto"/>
                  <w:left w:val="single" w:sz="4" w:space="0" w:color="auto"/>
                  <w:bottom w:val="single" w:sz="4" w:space="0" w:color="auto"/>
                  <w:right w:val="single" w:sz="4" w:space="0" w:color="auto"/>
                </w:tcBorders>
                <w:vAlign w:val="center"/>
              </w:tcPr>
              <w:p w14:paraId="1DF65F1F" w14:textId="77777777" w:rsidR="005E000F" w:rsidRDefault="00000000">
                <w:pPr>
                  <w:jc w:val="center"/>
                </w:pPr>
                <w:r>
                  <w:rPr>
                    <w:rFonts w:hint="eastAsia"/>
                  </w:rPr>
                  <w:t>小计</w:t>
                </w:r>
              </w:p>
            </w:tc>
          </w:sdtContent>
        </w:sdt>
        <w:tc>
          <w:tcPr>
            <w:tcW w:w="1729" w:type="dxa"/>
            <w:vMerge/>
            <w:tcBorders>
              <w:left w:val="single" w:sz="4" w:space="0" w:color="auto"/>
              <w:bottom w:val="single" w:sz="4" w:space="0" w:color="auto"/>
              <w:right w:val="single" w:sz="4" w:space="0" w:color="auto"/>
            </w:tcBorders>
            <w:vAlign w:val="center"/>
          </w:tcPr>
          <w:p w14:paraId="0FABE5B5" w14:textId="77777777" w:rsidR="005E000F" w:rsidRDefault="005E000F"/>
        </w:tc>
      </w:tr>
      <w:tr w:rsidR="005E000F" w14:paraId="343BA41C" w14:textId="77777777">
        <w:trPr>
          <w:cantSplit/>
        </w:trPr>
        <w:tc>
          <w:tcPr>
            <w:tcW w:w="1158" w:type="dxa"/>
            <w:tcBorders>
              <w:top w:val="single" w:sz="4" w:space="0" w:color="auto"/>
              <w:left w:val="single" w:sz="4" w:space="0" w:color="auto"/>
              <w:bottom w:val="single" w:sz="4" w:space="0" w:color="auto"/>
              <w:right w:val="single" w:sz="4" w:space="0" w:color="auto"/>
            </w:tcBorders>
            <w:vAlign w:val="center"/>
          </w:tcPr>
          <w:p w14:paraId="7296A0B9" w14:textId="77777777" w:rsidR="005E000F" w:rsidRDefault="00000000">
            <w:pPr>
              <w:jc w:val="center"/>
            </w:pPr>
            <w:r>
              <w:rPr>
                <w:rFonts w:hint="eastAsia"/>
              </w:rPr>
              <w:t>股份总数</w:t>
            </w:r>
          </w:p>
        </w:tc>
        <w:tc>
          <w:tcPr>
            <w:tcW w:w="1638" w:type="dxa"/>
            <w:tcBorders>
              <w:top w:val="single" w:sz="4" w:space="0" w:color="auto"/>
              <w:left w:val="single" w:sz="4" w:space="0" w:color="auto"/>
              <w:bottom w:val="single" w:sz="4" w:space="0" w:color="auto"/>
              <w:right w:val="single" w:sz="4" w:space="0" w:color="auto"/>
            </w:tcBorders>
            <w:vAlign w:val="center"/>
          </w:tcPr>
          <w:p w14:paraId="17A0D943" w14:textId="77777777" w:rsidR="005E000F" w:rsidRDefault="00000000">
            <w:pPr>
              <w:jc w:val="right"/>
            </w:pPr>
            <w:r>
              <w:t>18,807,273,822</w:t>
            </w:r>
          </w:p>
        </w:tc>
        <w:tc>
          <w:tcPr>
            <w:tcW w:w="522" w:type="dxa"/>
            <w:tcBorders>
              <w:top w:val="single" w:sz="4" w:space="0" w:color="auto"/>
              <w:left w:val="single" w:sz="4" w:space="0" w:color="auto"/>
              <w:bottom w:val="single" w:sz="4" w:space="0" w:color="auto"/>
              <w:right w:val="single" w:sz="4" w:space="0" w:color="auto"/>
            </w:tcBorders>
            <w:vAlign w:val="center"/>
          </w:tcPr>
          <w:p w14:paraId="10BBA327" w14:textId="77777777" w:rsidR="005E000F" w:rsidRDefault="00000000">
            <w:pPr>
              <w:jc w:val="right"/>
            </w:pPr>
            <w:r>
              <w:rPr>
                <w:rFonts w:hint="eastAsia"/>
              </w:rPr>
              <w:t>0</w:t>
            </w:r>
          </w:p>
        </w:tc>
        <w:tc>
          <w:tcPr>
            <w:tcW w:w="489" w:type="dxa"/>
            <w:tcBorders>
              <w:top w:val="single" w:sz="4" w:space="0" w:color="auto"/>
              <w:left w:val="single" w:sz="4" w:space="0" w:color="auto"/>
              <w:bottom w:val="single" w:sz="4" w:space="0" w:color="auto"/>
              <w:right w:val="single" w:sz="4" w:space="0" w:color="auto"/>
            </w:tcBorders>
            <w:vAlign w:val="center"/>
          </w:tcPr>
          <w:p w14:paraId="096ED169" w14:textId="77777777" w:rsidR="005E000F" w:rsidRDefault="00000000">
            <w:pPr>
              <w:jc w:val="right"/>
            </w:pPr>
            <w:r>
              <w:rPr>
                <w:rFonts w:hint="eastAsia"/>
              </w:rPr>
              <w:t>0</w:t>
            </w:r>
          </w:p>
        </w:tc>
        <w:tc>
          <w:tcPr>
            <w:tcW w:w="500" w:type="dxa"/>
            <w:tcBorders>
              <w:top w:val="single" w:sz="4" w:space="0" w:color="auto"/>
              <w:left w:val="single" w:sz="4" w:space="0" w:color="auto"/>
              <w:bottom w:val="single" w:sz="4" w:space="0" w:color="auto"/>
              <w:right w:val="single" w:sz="4" w:space="0" w:color="auto"/>
            </w:tcBorders>
            <w:vAlign w:val="center"/>
          </w:tcPr>
          <w:p w14:paraId="7B644C22" w14:textId="77777777" w:rsidR="005E000F" w:rsidRDefault="00000000">
            <w:pPr>
              <w:jc w:val="right"/>
            </w:pPr>
            <w:r>
              <w:rPr>
                <w:rFonts w:hint="eastAsia"/>
              </w:rPr>
              <w:t>0</w:t>
            </w:r>
          </w:p>
        </w:tc>
        <w:tc>
          <w:tcPr>
            <w:tcW w:w="1578" w:type="dxa"/>
            <w:tcBorders>
              <w:top w:val="single" w:sz="4" w:space="0" w:color="auto"/>
              <w:left w:val="single" w:sz="4" w:space="0" w:color="auto"/>
              <w:bottom w:val="single" w:sz="4" w:space="0" w:color="auto"/>
              <w:right w:val="single" w:sz="4" w:space="0" w:color="auto"/>
            </w:tcBorders>
            <w:vAlign w:val="center"/>
          </w:tcPr>
          <w:p w14:paraId="51C9ADE2" w14:textId="77777777" w:rsidR="005E000F" w:rsidRDefault="00000000">
            <w:pPr>
              <w:jc w:val="right"/>
            </w:pPr>
            <w:r>
              <w:t>1,339,903,894</w:t>
            </w:r>
          </w:p>
        </w:tc>
        <w:tc>
          <w:tcPr>
            <w:tcW w:w="1433" w:type="dxa"/>
            <w:tcBorders>
              <w:top w:val="single" w:sz="4" w:space="0" w:color="auto"/>
              <w:left w:val="single" w:sz="4" w:space="0" w:color="auto"/>
              <w:bottom w:val="single" w:sz="4" w:space="0" w:color="auto"/>
              <w:right w:val="single" w:sz="4" w:space="0" w:color="auto"/>
            </w:tcBorders>
            <w:vAlign w:val="center"/>
          </w:tcPr>
          <w:p w14:paraId="4120A8EB" w14:textId="77777777" w:rsidR="005E000F" w:rsidRDefault="00000000">
            <w:pPr>
              <w:jc w:val="right"/>
            </w:pPr>
            <w:r>
              <w:t>1,339,903,894</w:t>
            </w:r>
          </w:p>
        </w:tc>
        <w:tc>
          <w:tcPr>
            <w:tcW w:w="1729" w:type="dxa"/>
            <w:tcBorders>
              <w:top w:val="single" w:sz="4" w:space="0" w:color="auto"/>
              <w:left w:val="single" w:sz="4" w:space="0" w:color="auto"/>
              <w:bottom w:val="single" w:sz="4" w:space="0" w:color="auto"/>
              <w:right w:val="single" w:sz="4" w:space="0" w:color="auto"/>
            </w:tcBorders>
            <w:vAlign w:val="center"/>
          </w:tcPr>
          <w:p w14:paraId="1CFD15D7" w14:textId="77777777" w:rsidR="005E000F" w:rsidRDefault="00000000">
            <w:pPr>
              <w:jc w:val="right"/>
            </w:pPr>
            <w:r>
              <w:t>20,147,177,716</w:t>
            </w:r>
          </w:p>
        </w:tc>
      </w:tr>
    </w:tbl>
    <w:p w14:paraId="6F139931" w14:textId="77777777" w:rsidR="005E000F" w:rsidRDefault="00000000">
      <w:pPr>
        <w:spacing w:before="60" w:after="60"/>
      </w:pPr>
      <w:r>
        <w:rPr>
          <w:rFonts w:hint="eastAsia"/>
        </w:rPr>
        <w:t>其他说明：</w:t>
      </w:r>
    </w:p>
    <w:sdt>
      <w:sdtPr>
        <w:alias w:val="股本变动情况说明"/>
        <w:tag w:val="_GBC_6600e13aac194caa9cb58963beb3073e"/>
        <w:id w:val="-2079040001"/>
        <w:placeholder>
          <w:docPart w:val="GBC22222222222222222222222222222"/>
        </w:placeholder>
      </w:sdtPr>
      <w:sdtContent>
        <w:p w14:paraId="5DE8D087" w14:textId="77777777" w:rsidR="005E000F" w:rsidRDefault="00000000">
          <w:r>
            <w:rPr>
              <w:rFonts w:hint="eastAsia"/>
              <w:color w:val="000000" w:themeColor="text1"/>
            </w:rPr>
            <w:t>如附注七、</w:t>
          </w:r>
          <w:r>
            <w:rPr>
              <w:rFonts w:hint="eastAsia"/>
              <w:color w:val="000000" w:themeColor="text1"/>
            </w:rPr>
            <w:t xml:space="preserve">54 </w:t>
          </w:r>
          <w:r>
            <w:rPr>
              <w:rFonts w:hint="eastAsia"/>
              <w:color w:val="000000" w:themeColor="text1"/>
            </w:rPr>
            <w:t>所述，</w:t>
          </w:r>
          <w:r>
            <w:rPr>
              <w:rFonts w:hint="eastAsia"/>
            </w:rPr>
            <w:t>本集团本年有面值人民币</w:t>
          </w:r>
          <w:r>
            <w:rPr>
              <w:rFonts w:hint="eastAsia"/>
            </w:rPr>
            <w:t>7,650,867,000</w:t>
          </w:r>
          <w:r>
            <w:rPr>
              <w:rFonts w:hint="eastAsia"/>
            </w:rPr>
            <w:t>元可转换公司债</w:t>
          </w:r>
          <w:proofErr w:type="gramStart"/>
          <w:r>
            <w:rPr>
              <w:rFonts w:hint="eastAsia"/>
            </w:rPr>
            <w:t>券</w:t>
          </w:r>
          <w:proofErr w:type="gramEnd"/>
          <w:r>
            <w:rPr>
              <w:rFonts w:hint="eastAsia"/>
            </w:rPr>
            <w:t>转换为本公司股票。因转</w:t>
          </w:r>
          <w:proofErr w:type="gramStart"/>
          <w:r>
            <w:rPr>
              <w:rFonts w:hint="eastAsia"/>
            </w:rPr>
            <w:t>股因素</w:t>
          </w:r>
          <w:proofErr w:type="gramEnd"/>
          <w:r>
            <w:rPr>
              <w:rFonts w:hint="eastAsia"/>
            </w:rPr>
            <w:t>影响，本集团股本增加人民币</w:t>
          </w:r>
          <w:r>
            <w:rPr>
              <w:rFonts w:hint="eastAsia"/>
            </w:rPr>
            <w:t>1,339,903,894</w:t>
          </w:r>
          <w:r>
            <w:rPr>
              <w:rFonts w:hint="eastAsia"/>
            </w:rPr>
            <w:t>元。</w:t>
          </w:r>
        </w:p>
      </w:sdtContent>
    </w:sdt>
    <w:p w14:paraId="4794C241" w14:textId="77777777" w:rsidR="005E000F" w:rsidRDefault="005E000F">
      <w:pPr>
        <w:sectPr w:rsidR="005E000F">
          <w:pgSz w:w="11906" w:h="16838"/>
          <w:pgMar w:top="1440" w:right="1797" w:bottom="1525" w:left="1276" w:header="856" w:footer="992" w:gutter="0"/>
          <w:cols w:space="425"/>
          <w:docGrid w:linePitch="312"/>
        </w:sectPr>
      </w:pPr>
    </w:p>
    <w:p w14:paraId="30ED1114" w14:textId="77777777" w:rsidR="005E000F" w:rsidRDefault="005E000F"/>
    <w:p w14:paraId="11B50176" w14:textId="77777777" w:rsidR="005E000F" w:rsidRDefault="00000000">
      <w:pPr>
        <w:pStyle w:val="3"/>
        <w:numPr>
          <w:ilvl w:val="0"/>
          <w:numId w:val="66"/>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p w14:paraId="6805D37F" w14:textId="77777777" w:rsidR="005E000F" w:rsidRDefault="00000000">
      <w:pPr>
        <w:pStyle w:val="4"/>
        <w:numPr>
          <w:ilvl w:val="0"/>
          <w:numId w:val="102"/>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1326707196"/>
        <w:placeholder>
          <w:docPart w:val="GBC22222222222222222222222222222"/>
        </w:placeholder>
      </w:sdtPr>
      <w:sdtContent>
        <w:p w14:paraId="428FA1D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权益工具下期末发行在外的优先股、永续债等其他金融工具基本情况的说明"/>
        <w:tag w:val="_GBC_32bb6ebd595e45c5ae3e9c4589265a7e"/>
        <w:id w:val="-1385093229"/>
        <w:placeholder>
          <w:docPart w:val="GBC22222222222222222222222222222"/>
        </w:placeholder>
      </w:sdtPr>
      <w:sdtContent>
        <w:p w14:paraId="1B41058F" w14:textId="77777777" w:rsidR="005E000F" w:rsidRDefault="005E000F"/>
        <w:p w14:paraId="287EFEDD" w14:textId="77777777" w:rsidR="005E000F" w:rsidRDefault="00000000">
          <w:pPr>
            <w:jc w:val="right"/>
          </w:pPr>
          <w:r>
            <w:rPr>
              <w:rFonts w:hint="eastAsia"/>
            </w:rPr>
            <w:t>单位：元</w:t>
          </w:r>
          <w:r>
            <w:rPr>
              <w:rFonts w:hint="eastAsia"/>
            </w:rPr>
            <w:t xml:space="preserve">  </w:t>
          </w:r>
          <w:r>
            <w:rPr>
              <w:rFonts w:hint="eastAsia"/>
            </w:rPr>
            <w:t>币种：人民币</w:t>
          </w:r>
        </w:p>
        <w:tbl>
          <w:tblPr>
            <w:tblW w:w="4998" w:type="pct"/>
            <w:tblLook w:val="04A0" w:firstRow="1" w:lastRow="0" w:firstColumn="1" w:lastColumn="0" w:noHBand="0" w:noVBand="1"/>
          </w:tblPr>
          <w:tblGrid>
            <w:gridCol w:w="2106"/>
            <w:gridCol w:w="1949"/>
            <w:gridCol w:w="1476"/>
            <w:gridCol w:w="1686"/>
            <w:gridCol w:w="1056"/>
            <w:gridCol w:w="826"/>
            <w:gridCol w:w="923"/>
            <w:gridCol w:w="1949"/>
            <w:gridCol w:w="1056"/>
            <w:gridCol w:w="1056"/>
          </w:tblGrid>
          <w:tr w:rsidR="005E000F" w14:paraId="12C23625" w14:textId="77777777">
            <w:trPr>
              <w:trHeight w:val="300"/>
            </w:trPr>
            <w:tc>
              <w:tcPr>
                <w:tcW w:w="632" w:type="pct"/>
                <w:tcBorders>
                  <w:top w:val="single" w:sz="4" w:space="0" w:color="000000"/>
                  <w:left w:val="single" w:sz="4" w:space="0" w:color="000000"/>
                  <w:bottom w:val="single" w:sz="4" w:space="0" w:color="000000"/>
                  <w:right w:val="single" w:sz="4" w:space="0" w:color="000000"/>
                </w:tcBorders>
                <w:noWrap/>
                <w:vAlign w:val="center"/>
              </w:tcPr>
              <w:p w14:paraId="2B043BCE" w14:textId="77777777" w:rsidR="005E000F" w:rsidRDefault="00000000">
                <w:r>
                  <w:rPr>
                    <w:rFonts w:hint="eastAsia"/>
                  </w:rPr>
                  <w:t>发行在外的金融工具</w:t>
                </w:r>
              </w:p>
            </w:tc>
            <w:tc>
              <w:tcPr>
                <w:tcW w:w="731" w:type="pct"/>
                <w:tcBorders>
                  <w:top w:val="single" w:sz="4" w:space="0" w:color="000000"/>
                  <w:left w:val="single" w:sz="4" w:space="0" w:color="000000"/>
                  <w:bottom w:val="single" w:sz="4" w:space="0" w:color="000000"/>
                  <w:right w:val="single" w:sz="4" w:space="0" w:color="000000"/>
                </w:tcBorders>
                <w:noWrap/>
                <w:vAlign w:val="center"/>
              </w:tcPr>
              <w:p w14:paraId="5C77074E" w14:textId="77777777" w:rsidR="005E000F" w:rsidRDefault="00000000">
                <w:r>
                  <w:rPr>
                    <w:rFonts w:hint="eastAsia"/>
                  </w:rPr>
                  <w:t>发行时间</w:t>
                </w:r>
              </w:p>
            </w:tc>
            <w:tc>
              <w:tcPr>
                <w:tcW w:w="554" w:type="pct"/>
                <w:tcBorders>
                  <w:top w:val="single" w:sz="4" w:space="0" w:color="000000"/>
                  <w:left w:val="single" w:sz="4" w:space="0" w:color="000000"/>
                  <w:bottom w:val="single" w:sz="4" w:space="0" w:color="000000"/>
                  <w:right w:val="single" w:sz="4" w:space="0" w:color="000000"/>
                </w:tcBorders>
                <w:noWrap/>
                <w:vAlign w:val="center"/>
              </w:tcPr>
              <w:p w14:paraId="5D602163" w14:textId="77777777" w:rsidR="005E000F" w:rsidRDefault="00000000">
                <w:r>
                  <w:rPr>
                    <w:rFonts w:hint="eastAsia"/>
                  </w:rPr>
                  <w:t>会计分类</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4BEDBBF0" w14:textId="77777777" w:rsidR="005E000F" w:rsidRDefault="00000000">
                <w:r>
                  <w:rPr>
                    <w:rFonts w:hint="eastAsia"/>
                  </w:rPr>
                  <w:t>股利率或利息率</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7A4FD261" w14:textId="77777777" w:rsidR="005E000F" w:rsidRDefault="00000000">
                <w:r>
                  <w:rPr>
                    <w:rFonts w:hint="eastAsia"/>
                  </w:rPr>
                  <w:t>发行价格</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6346DE87" w14:textId="77777777" w:rsidR="005E000F" w:rsidRDefault="00000000">
                <w:r>
                  <w:rPr>
                    <w:rFonts w:hint="eastAsia"/>
                  </w:rPr>
                  <w:t>数量</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30D3D4A9" w14:textId="77777777" w:rsidR="005E000F" w:rsidRDefault="00000000">
                <w:r>
                  <w:rPr>
                    <w:rFonts w:hint="eastAsia"/>
                  </w:rPr>
                  <w:t>金额</w:t>
                </w:r>
              </w:p>
            </w:tc>
            <w:tc>
              <w:tcPr>
                <w:tcW w:w="731" w:type="pct"/>
                <w:tcBorders>
                  <w:top w:val="single" w:sz="4" w:space="0" w:color="000000"/>
                  <w:left w:val="single" w:sz="4" w:space="0" w:color="000000"/>
                  <w:bottom w:val="single" w:sz="4" w:space="0" w:color="000000"/>
                  <w:right w:val="single" w:sz="4" w:space="0" w:color="000000"/>
                </w:tcBorders>
                <w:noWrap/>
                <w:vAlign w:val="center"/>
              </w:tcPr>
              <w:p w14:paraId="49921549" w14:textId="77777777" w:rsidR="005E000F" w:rsidRDefault="00000000">
                <w:r>
                  <w:rPr>
                    <w:rFonts w:hint="eastAsia"/>
                  </w:rPr>
                  <w:t>到期日或续期情况</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04476CB6" w14:textId="77777777" w:rsidR="005E000F" w:rsidRDefault="00000000">
                <w:r>
                  <w:rPr>
                    <w:rFonts w:hint="eastAsia"/>
                  </w:rPr>
                  <w:t>转股条件</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432237C4" w14:textId="77777777" w:rsidR="005E000F" w:rsidRDefault="00000000">
                <w:r>
                  <w:rPr>
                    <w:rFonts w:hint="eastAsia"/>
                  </w:rPr>
                  <w:t>转换情况</w:t>
                </w:r>
              </w:p>
            </w:tc>
          </w:tr>
          <w:tr w:rsidR="005E000F" w14:paraId="3CAB3632" w14:textId="77777777">
            <w:trPr>
              <w:trHeight w:val="300"/>
            </w:trPr>
            <w:tc>
              <w:tcPr>
                <w:tcW w:w="632" w:type="pct"/>
                <w:tcBorders>
                  <w:top w:val="single" w:sz="4" w:space="0" w:color="000000"/>
                  <w:left w:val="single" w:sz="4" w:space="0" w:color="000000"/>
                  <w:bottom w:val="single" w:sz="4" w:space="0" w:color="000000"/>
                  <w:right w:val="single" w:sz="4" w:space="0" w:color="000000"/>
                </w:tcBorders>
                <w:noWrap/>
                <w:vAlign w:val="center"/>
              </w:tcPr>
              <w:p w14:paraId="3FA3D80C" w14:textId="77777777" w:rsidR="005E000F" w:rsidRDefault="00000000">
                <w:r>
                  <w:rPr>
                    <w:rFonts w:hint="eastAsia"/>
                  </w:rPr>
                  <w:t>可转换公司债</w:t>
                </w:r>
                <w:proofErr w:type="gramStart"/>
                <w:r>
                  <w:rPr>
                    <w:rFonts w:hint="eastAsia"/>
                  </w:rPr>
                  <w:t>券</w:t>
                </w:r>
                <w:proofErr w:type="gramEnd"/>
              </w:p>
            </w:tc>
            <w:tc>
              <w:tcPr>
                <w:tcW w:w="731" w:type="pct"/>
                <w:tcBorders>
                  <w:top w:val="single" w:sz="4" w:space="0" w:color="000000"/>
                  <w:left w:val="single" w:sz="4" w:space="0" w:color="000000"/>
                  <w:bottom w:val="single" w:sz="4" w:space="0" w:color="000000"/>
                  <w:right w:val="single" w:sz="4" w:space="0" w:color="000000"/>
                </w:tcBorders>
                <w:noWrap/>
                <w:vAlign w:val="center"/>
              </w:tcPr>
              <w:p w14:paraId="0BA41D74" w14:textId="77777777" w:rsidR="005E000F" w:rsidRDefault="00000000">
                <w:r>
                  <w:rPr>
                    <w:rFonts w:hint="eastAsia"/>
                  </w:rPr>
                  <w:t>2020</w:t>
                </w:r>
                <w:r>
                  <w:rPr>
                    <w:rFonts w:hint="eastAsia"/>
                  </w:rPr>
                  <w:t>年</w:t>
                </w:r>
                <w:r>
                  <w:rPr>
                    <w:rFonts w:hint="eastAsia"/>
                  </w:rPr>
                  <w:t>12</w:t>
                </w:r>
                <w:r>
                  <w:rPr>
                    <w:rFonts w:hint="eastAsia"/>
                  </w:rPr>
                  <w:t>月</w:t>
                </w:r>
                <w:r>
                  <w:rPr>
                    <w:rFonts w:hint="eastAsia"/>
                  </w:rPr>
                  <w:t>14</w:t>
                </w:r>
                <w:r>
                  <w:rPr>
                    <w:rFonts w:hint="eastAsia"/>
                  </w:rPr>
                  <w:t>日</w:t>
                </w:r>
              </w:p>
            </w:tc>
            <w:tc>
              <w:tcPr>
                <w:tcW w:w="554" w:type="pct"/>
                <w:tcBorders>
                  <w:top w:val="single" w:sz="4" w:space="0" w:color="000000"/>
                  <w:left w:val="single" w:sz="4" w:space="0" w:color="000000"/>
                  <w:bottom w:val="single" w:sz="4" w:space="0" w:color="000000"/>
                  <w:right w:val="single" w:sz="4" w:space="0" w:color="000000"/>
                </w:tcBorders>
                <w:noWrap/>
                <w:vAlign w:val="center"/>
              </w:tcPr>
              <w:p w14:paraId="320A9D7E" w14:textId="77777777" w:rsidR="005E000F" w:rsidRDefault="00000000">
                <w:r>
                  <w:rPr>
                    <w:rFonts w:hint="eastAsia"/>
                  </w:rPr>
                  <w:t>复合金融工具</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5C48C702" w14:textId="77777777" w:rsidR="005E000F" w:rsidRDefault="00000000">
                <w:r>
                  <w:rPr>
                    <w:rFonts w:hint="eastAsia"/>
                  </w:rPr>
                  <w:t>/</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6F078891" w14:textId="77777777" w:rsidR="005E000F" w:rsidRDefault="00000000">
                <w:r>
                  <w:rPr>
                    <w:rFonts w:hint="eastAsia"/>
                  </w:rPr>
                  <w:t>100</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0F0F11A6" w14:textId="77777777" w:rsidR="005E000F" w:rsidRDefault="00000000">
                <w:r>
                  <w:rPr>
                    <w:rFonts w:hint="eastAsia"/>
                  </w:rPr>
                  <w:t>0</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5024C13B" w14:textId="77777777" w:rsidR="005E000F" w:rsidRDefault="00000000">
                <w:r>
                  <w:rPr>
                    <w:rFonts w:hint="eastAsia"/>
                  </w:rPr>
                  <w:t>0</w:t>
                </w:r>
              </w:p>
            </w:tc>
            <w:tc>
              <w:tcPr>
                <w:tcW w:w="731" w:type="pct"/>
                <w:tcBorders>
                  <w:top w:val="single" w:sz="4" w:space="0" w:color="000000"/>
                  <w:left w:val="single" w:sz="4" w:space="0" w:color="000000"/>
                  <w:bottom w:val="single" w:sz="4" w:space="0" w:color="000000"/>
                  <w:right w:val="single" w:sz="4" w:space="0" w:color="000000"/>
                </w:tcBorders>
                <w:noWrap/>
                <w:vAlign w:val="center"/>
              </w:tcPr>
              <w:p w14:paraId="2D15C98E" w14:textId="77777777" w:rsidR="005E000F" w:rsidRDefault="00000000">
                <w:r>
                  <w:rPr>
                    <w:rFonts w:hint="eastAsia"/>
                  </w:rPr>
                  <w:t>2026</w:t>
                </w:r>
                <w:r>
                  <w:rPr>
                    <w:rFonts w:hint="eastAsia"/>
                  </w:rPr>
                  <w:t>年</w:t>
                </w:r>
                <w:r>
                  <w:rPr>
                    <w:rFonts w:hint="eastAsia"/>
                  </w:rPr>
                  <w:t>12</w:t>
                </w:r>
                <w:r>
                  <w:rPr>
                    <w:rFonts w:hint="eastAsia"/>
                  </w:rPr>
                  <w:t>月</w:t>
                </w:r>
                <w:r>
                  <w:rPr>
                    <w:rFonts w:hint="eastAsia"/>
                  </w:rPr>
                  <w:t>14</w:t>
                </w:r>
                <w:r>
                  <w:rPr>
                    <w:rFonts w:hint="eastAsia"/>
                  </w:rPr>
                  <w:t>日</w:t>
                </w:r>
              </w:p>
            </w:tc>
            <w:tc>
              <w:tcPr>
                <w:tcW w:w="396" w:type="pct"/>
                <w:tcBorders>
                  <w:top w:val="single" w:sz="4" w:space="0" w:color="000000"/>
                  <w:left w:val="single" w:sz="4" w:space="0" w:color="000000"/>
                  <w:bottom w:val="single" w:sz="4" w:space="0" w:color="000000"/>
                  <w:right w:val="single" w:sz="4" w:space="0" w:color="000000"/>
                </w:tcBorders>
                <w:noWrap/>
                <w:vAlign w:val="center"/>
              </w:tcPr>
              <w:p w14:paraId="37E20D40" w14:textId="77777777" w:rsidR="005E000F" w:rsidRDefault="00000000">
                <w:r>
                  <w:rPr>
                    <w:rFonts w:hint="eastAsia"/>
                  </w:rPr>
                  <w:t>自愿转股</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762320B8" w14:textId="77777777" w:rsidR="005E000F" w:rsidRDefault="00000000">
                <w:r>
                  <w:rPr>
                    <w:rFonts w:hint="eastAsia"/>
                  </w:rPr>
                  <w:t>见注</w:t>
                </w:r>
                <w:r>
                  <w:rPr>
                    <w:rFonts w:hint="eastAsia"/>
                  </w:rPr>
                  <w:t xml:space="preserve"> 1</w:t>
                </w:r>
              </w:p>
            </w:tc>
          </w:tr>
        </w:tbl>
        <w:p w14:paraId="0F4ADFAE" w14:textId="77777777" w:rsidR="005E000F" w:rsidRDefault="00000000"/>
      </w:sdtContent>
    </w:sdt>
    <w:p w14:paraId="4673BC93" w14:textId="77777777" w:rsidR="005E000F" w:rsidRDefault="005E000F"/>
    <w:p w14:paraId="61162D3D" w14:textId="77777777" w:rsidR="005E000F" w:rsidRDefault="00000000">
      <w:pPr>
        <w:pStyle w:val="4"/>
        <w:numPr>
          <w:ilvl w:val="0"/>
          <w:numId w:val="102"/>
        </w:numPr>
        <w:ind w:left="426" w:hanging="426"/>
      </w:pPr>
      <w:bookmarkStart w:id="384" w:name="_Hlk89785156"/>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2056609275"/>
        <w:placeholder>
          <w:docPart w:val="GBC22222222222222222222222222222"/>
        </w:placeholder>
      </w:sdtPr>
      <w:sdtContent>
        <w:p w14:paraId="2AD2753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6E6D88D" w14:textId="77777777" w:rsidR="005E000F" w:rsidRDefault="00000000">
      <w:pPr>
        <w:jc w:val="right"/>
      </w:pPr>
      <w:r>
        <w:rPr>
          <w:rFonts w:hint="eastAsia"/>
        </w:rPr>
        <w:t>单位：</w:t>
      </w:r>
      <w:sdt>
        <w:sdtPr>
          <w:rPr>
            <w:rFonts w:hint="eastAsia"/>
          </w:rPr>
          <w:alias w:val="单位：期末发行在外的优先股、永续债等金融工具变动情况表"/>
          <w:tag w:val="_GBC_d2372fc5ff6d449398ab6e1c411fa976"/>
          <w:id w:val="-261995916"/>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期末发行在外的优先股、永续债等金融工具变动情况表"/>
          <w:tag w:val="_GBC_66ee05b2a4d0475f9a4ec5517301dec9"/>
          <w:id w:val="-105932726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716"/>
        <w:gridCol w:w="1208"/>
        <w:gridCol w:w="1487"/>
        <w:gridCol w:w="1338"/>
        <w:gridCol w:w="1529"/>
        <w:gridCol w:w="1399"/>
        <w:gridCol w:w="1492"/>
        <w:gridCol w:w="1396"/>
        <w:gridCol w:w="1534"/>
      </w:tblGrid>
      <w:tr w:rsidR="005E000F" w14:paraId="6FB7886A" w14:textId="77777777">
        <w:trPr>
          <w:trHeight w:val="340"/>
        </w:trPr>
        <w:sdt>
          <w:sdtPr>
            <w:tag w:val="_PLD_df628908b5094c73bf63d2bbbc0f369b"/>
            <w:id w:val="-43682178"/>
          </w:sdtPr>
          <w:sdtContent>
            <w:tc>
              <w:tcPr>
                <w:tcW w:w="963" w:type="pct"/>
                <w:vMerge w:val="restart"/>
                <w:vAlign w:val="center"/>
              </w:tcPr>
              <w:p w14:paraId="410E8DD0" w14:textId="77777777" w:rsidR="005E000F" w:rsidRDefault="00000000">
                <w:pPr>
                  <w:jc w:val="center"/>
                </w:pPr>
                <w:r>
                  <w:rPr>
                    <w:rFonts w:hint="eastAsia"/>
                  </w:rPr>
                  <w:t>发行在外的金融工具</w:t>
                </w:r>
              </w:p>
            </w:tc>
          </w:sdtContent>
        </w:sdt>
        <w:sdt>
          <w:sdtPr>
            <w:tag w:val="_PLD_fce65120208840efbe468c59d259be05"/>
            <w:id w:val="239682883"/>
          </w:sdtPr>
          <w:sdtContent>
            <w:tc>
              <w:tcPr>
                <w:tcW w:w="955" w:type="pct"/>
                <w:gridSpan w:val="2"/>
                <w:vAlign w:val="center"/>
              </w:tcPr>
              <w:p w14:paraId="66633050" w14:textId="77777777" w:rsidR="005E000F" w:rsidRDefault="00000000">
                <w:pPr>
                  <w:jc w:val="center"/>
                </w:pPr>
                <w:r>
                  <w:rPr>
                    <w:rFonts w:hint="eastAsia"/>
                  </w:rPr>
                  <w:t>期初</w:t>
                </w:r>
              </w:p>
            </w:tc>
          </w:sdtContent>
        </w:sdt>
        <w:sdt>
          <w:sdtPr>
            <w:tag w:val="_PLD_18ce06e25fcb40258e1160c9b2b3e3ff"/>
            <w:id w:val="1747461373"/>
          </w:sdtPr>
          <w:sdtContent>
            <w:tc>
              <w:tcPr>
                <w:tcW w:w="1016" w:type="pct"/>
                <w:gridSpan w:val="2"/>
                <w:vAlign w:val="center"/>
              </w:tcPr>
              <w:p w14:paraId="06415F68" w14:textId="77777777" w:rsidR="005E000F" w:rsidRDefault="00000000">
                <w:pPr>
                  <w:jc w:val="center"/>
                </w:pPr>
                <w:r>
                  <w:rPr>
                    <w:rFonts w:hint="eastAsia"/>
                  </w:rPr>
                  <w:t>本期增加</w:t>
                </w:r>
              </w:p>
            </w:tc>
          </w:sdtContent>
        </w:sdt>
        <w:sdt>
          <w:sdtPr>
            <w:tag w:val="_PLD_845d97dab9324a1b938b3698bf77ae08"/>
            <w:id w:val="1353537168"/>
          </w:sdtPr>
          <w:sdtContent>
            <w:tc>
              <w:tcPr>
                <w:tcW w:w="1025" w:type="pct"/>
                <w:gridSpan w:val="2"/>
                <w:vAlign w:val="center"/>
              </w:tcPr>
              <w:p w14:paraId="14F5D34E" w14:textId="77777777" w:rsidR="005E000F" w:rsidRDefault="00000000">
                <w:pPr>
                  <w:jc w:val="center"/>
                </w:pPr>
                <w:r>
                  <w:rPr>
                    <w:rFonts w:hint="eastAsia"/>
                  </w:rPr>
                  <w:t>本期减少</w:t>
                </w:r>
              </w:p>
            </w:tc>
          </w:sdtContent>
        </w:sdt>
        <w:sdt>
          <w:sdtPr>
            <w:tag w:val="_PLD_c9583d25c4ef43689e2163e07818032b"/>
            <w:id w:val="636608855"/>
          </w:sdtPr>
          <w:sdtContent>
            <w:tc>
              <w:tcPr>
                <w:tcW w:w="1039" w:type="pct"/>
                <w:gridSpan w:val="2"/>
                <w:vAlign w:val="center"/>
              </w:tcPr>
              <w:p w14:paraId="35B8057E" w14:textId="77777777" w:rsidR="005E000F" w:rsidRDefault="00000000">
                <w:pPr>
                  <w:jc w:val="center"/>
                </w:pPr>
                <w:r>
                  <w:rPr>
                    <w:rFonts w:hint="eastAsia"/>
                  </w:rPr>
                  <w:t>期末</w:t>
                </w:r>
              </w:p>
            </w:tc>
          </w:sdtContent>
        </w:sdt>
      </w:tr>
      <w:tr w:rsidR="005E000F" w14:paraId="1AF78439" w14:textId="77777777">
        <w:trPr>
          <w:trHeight w:val="340"/>
        </w:trPr>
        <w:tc>
          <w:tcPr>
            <w:tcW w:w="963" w:type="pct"/>
            <w:vMerge/>
            <w:vAlign w:val="center"/>
          </w:tcPr>
          <w:p w14:paraId="6EF93BF2" w14:textId="77777777" w:rsidR="005E000F" w:rsidRDefault="005E000F">
            <w:pPr>
              <w:jc w:val="center"/>
            </w:pPr>
          </w:p>
        </w:tc>
        <w:sdt>
          <w:sdtPr>
            <w:tag w:val="_PLD_45e61464bc5d4bc892736d90fbe1c1f7"/>
            <w:id w:val="676085910"/>
          </w:sdtPr>
          <w:sdtContent>
            <w:tc>
              <w:tcPr>
                <w:tcW w:w="428" w:type="pct"/>
                <w:vAlign w:val="center"/>
              </w:tcPr>
              <w:p w14:paraId="6A7DB36A" w14:textId="77777777" w:rsidR="005E000F" w:rsidRDefault="00000000">
                <w:pPr>
                  <w:jc w:val="center"/>
                </w:pPr>
                <w:r>
                  <w:rPr>
                    <w:rFonts w:hint="eastAsia"/>
                  </w:rPr>
                  <w:t>数量</w:t>
                </w:r>
              </w:p>
            </w:tc>
          </w:sdtContent>
        </w:sdt>
        <w:sdt>
          <w:sdtPr>
            <w:tag w:val="_PLD_c4afaacc073244569b1b7834fc03b329"/>
            <w:id w:val="356401329"/>
          </w:sdtPr>
          <w:sdtContent>
            <w:tc>
              <w:tcPr>
                <w:tcW w:w="527" w:type="pct"/>
                <w:vAlign w:val="center"/>
              </w:tcPr>
              <w:p w14:paraId="7358D720" w14:textId="77777777" w:rsidR="005E000F" w:rsidRDefault="00000000">
                <w:pPr>
                  <w:jc w:val="center"/>
                </w:pPr>
                <w:r>
                  <w:rPr>
                    <w:rFonts w:hint="eastAsia"/>
                  </w:rPr>
                  <w:t>账面价值</w:t>
                </w:r>
              </w:p>
            </w:tc>
          </w:sdtContent>
        </w:sdt>
        <w:sdt>
          <w:sdtPr>
            <w:tag w:val="_PLD_8e1cccc1cb5f4a25bc68efd1b62378b8"/>
            <w:id w:val="126285750"/>
          </w:sdtPr>
          <w:sdtContent>
            <w:tc>
              <w:tcPr>
                <w:tcW w:w="474" w:type="pct"/>
                <w:vAlign w:val="center"/>
              </w:tcPr>
              <w:p w14:paraId="3241DCDD" w14:textId="77777777" w:rsidR="005E000F" w:rsidRDefault="00000000">
                <w:pPr>
                  <w:jc w:val="center"/>
                </w:pPr>
                <w:r>
                  <w:rPr>
                    <w:rFonts w:hint="eastAsia"/>
                  </w:rPr>
                  <w:t>数量</w:t>
                </w:r>
              </w:p>
            </w:tc>
          </w:sdtContent>
        </w:sdt>
        <w:sdt>
          <w:sdtPr>
            <w:tag w:val="_PLD_ec5a25aac9f64725962e7a8df3cdbe3c"/>
            <w:id w:val="1596051186"/>
          </w:sdtPr>
          <w:sdtContent>
            <w:tc>
              <w:tcPr>
                <w:tcW w:w="542" w:type="pct"/>
                <w:vAlign w:val="center"/>
              </w:tcPr>
              <w:p w14:paraId="23C2D60A" w14:textId="77777777" w:rsidR="005E000F" w:rsidRDefault="00000000">
                <w:pPr>
                  <w:jc w:val="center"/>
                </w:pPr>
                <w:r>
                  <w:rPr>
                    <w:rFonts w:hint="eastAsia"/>
                  </w:rPr>
                  <w:t>账面价值</w:t>
                </w:r>
              </w:p>
            </w:tc>
          </w:sdtContent>
        </w:sdt>
        <w:sdt>
          <w:sdtPr>
            <w:tag w:val="_PLD_c73f641ea2f645108a8b82692fa23869"/>
            <w:id w:val="1901318798"/>
          </w:sdtPr>
          <w:sdtContent>
            <w:tc>
              <w:tcPr>
                <w:tcW w:w="496" w:type="pct"/>
                <w:vAlign w:val="center"/>
              </w:tcPr>
              <w:p w14:paraId="049A099D" w14:textId="77777777" w:rsidR="005E000F" w:rsidRDefault="00000000">
                <w:pPr>
                  <w:jc w:val="center"/>
                </w:pPr>
                <w:r>
                  <w:rPr>
                    <w:rFonts w:hint="eastAsia"/>
                  </w:rPr>
                  <w:t>数量</w:t>
                </w:r>
              </w:p>
            </w:tc>
          </w:sdtContent>
        </w:sdt>
        <w:sdt>
          <w:sdtPr>
            <w:tag w:val="_PLD_78b2601ce135482fad14bd4d88f9655e"/>
            <w:id w:val="23997174"/>
          </w:sdtPr>
          <w:sdtContent>
            <w:tc>
              <w:tcPr>
                <w:tcW w:w="529" w:type="pct"/>
                <w:vAlign w:val="center"/>
              </w:tcPr>
              <w:p w14:paraId="246F868E" w14:textId="77777777" w:rsidR="005E000F" w:rsidRDefault="00000000">
                <w:pPr>
                  <w:jc w:val="center"/>
                </w:pPr>
                <w:r>
                  <w:rPr>
                    <w:rFonts w:hint="eastAsia"/>
                  </w:rPr>
                  <w:t>账面价值</w:t>
                </w:r>
              </w:p>
            </w:tc>
          </w:sdtContent>
        </w:sdt>
        <w:sdt>
          <w:sdtPr>
            <w:tag w:val="_PLD_9d6d43395400480f89a8592b018d121c"/>
            <w:id w:val="2114629428"/>
          </w:sdtPr>
          <w:sdtContent>
            <w:tc>
              <w:tcPr>
                <w:tcW w:w="495" w:type="pct"/>
                <w:vAlign w:val="center"/>
              </w:tcPr>
              <w:p w14:paraId="6589CA1A" w14:textId="77777777" w:rsidR="005E000F" w:rsidRDefault="00000000">
                <w:pPr>
                  <w:jc w:val="center"/>
                </w:pPr>
                <w:r>
                  <w:rPr>
                    <w:rFonts w:hint="eastAsia"/>
                  </w:rPr>
                  <w:t>数量</w:t>
                </w:r>
              </w:p>
            </w:tc>
          </w:sdtContent>
        </w:sdt>
        <w:sdt>
          <w:sdtPr>
            <w:tag w:val="_PLD_a754aae4328d42e5bc9c79faf2a1547c"/>
            <w:id w:val="-1128241497"/>
          </w:sdtPr>
          <w:sdtContent>
            <w:tc>
              <w:tcPr>
                <w:tcW w:w="544" w:type="pct"/>
                <w:vAlign w:val="center"/>
              </w:tcPr>
              <w:p w14:paraId="721B4373" w14:textId="77777777" w:rsidR="005E000F" w:rsidRDefault="00000000">
                <w:pPr>
                  <w:jc w:val="center"/>
                </w:pPr>
                <w:r>
                  <w:rPr>
                    <w:rFonts w:hint="eastAsia"/>
                  </w:rPr>
                  <w:t>账面价值</w:t>
                </w:r>
              </w:p>
            </w:tc>
          </w:sdtContent>
        </w:sdt>
      </w:tr>
      <w:tr w:rsidR="005E000F" w14:paraId="3703AFAF" w14:textId="77777777">
        <w:trPr>
          <w:trHeight w:val="340"/>
        </w:trPr>
        <w:tc>
          <w:tcPr>
            <w:tcW w:w="963" w:type="pct"/>
            <w:vAlign w:val="center"/>
          </w:tcPr>
          <w:p w14:paraId="2498327C" w14:textId="77777777" w:rsidR="005E000F" w:rsidRDefault="00000000">
            <w:r>
              <w:t>可转换公司债</w:t>
            </w:r>
            <w:proofErr w:type="gramStart"/>
            <w:r>
              <w:t>券</w:t>
            </w:r>
            <w:proofErr w:type="gramEnd"/>
            <w:r>
              <w:t>权益部分</w:t>
            </w:r>
          </w:p>
        </w:tc>
        <w:tc>
          <w:tcPr>
            <w:tcW w:w="428" w:type="pct"/>
          </w:tcPr>
          <w:p w14:paraId="7DD5863A" w14:textId="77777777" w:rsidR="005E000F" w:rsidRDefault="00000000">
            <w:pPr>
              <w:jc w:val="right"/>
              <w:rPr>
                <w:lang w:eastAsia="en-US"/>
              </w:rPr>
            </w:pPr>
            <w:r>
              <w:t>76,702,950</w:t>
            </w:r>
          </w:p>
        </w:tc>
        <w:tc>
          <w:tcPr>
            <w:tcW w:w="527" w:type="pct"/>
          </w:tcPr>
          <w:p w14:paraId="038B4E58" w14:textId="77777777" w:rsidR="005E000F" w:rsidRDefault="00000000">
            <w:pPr>
              <w:jc w:val="right"/>
              <w:rPr>
                <w:lang w:eastAsia="en-US"/>
              </w:rPr>
            </w:pPr>
            <w:r>
              <w:t>804,984,728</w:t>
            </w:r>
          </w:p>
        </w:tc>
        <w:tc>
          <w:tcPr>
            <w:tcW w:w="474" w:type="pct"/>
            <w:vAlign w:val="center"/>
          </w:tcPr>
          <w:p w14:paraId="12492F68" w14:textId="77777777" w:rsidR="005E000F" w:rsidRDefault="00000000">
            <w:pPr>
              <w:jc w:val="right"/>
            </w:pPr>
            <w:r>
              <w:rPr>
                <w:rFonts w:hint="eastAsia"/>
              </w:rPr>
              <w:t>0</w:t>
            </w:r>
          </w:p>
        </w:tc>
        <w:tc>
          <w:tcPr>
            <w:tcW w:w="542" w:type="pct"/>
            <w:vAlign w:val="center"/>
          </w:tcPr>
          <w:p w14:paraId="1CAC6D6B" w14:textId="77777777" w:rsidR="005E000F" w:rsidRDefault="00000000">
            <w:pPr>
              <w:jc w:val="right"/>
            </w:pPr>
            <w:r>
              <w:rPr>
                <w:rFonts w:hint="eastAsia"/>
              </w:rPr>
              <w:t>0</w:t>
            </w:r>
          </w:p>
        </w:tc>
        <w:tc>
          <w:tcPr>
            <w:tcW w:w="496" w:type="pct"/>
          </w:tcPr>
          <w:p w14:paraId="1DEE6409" w14:textId="77777777" w:rsidR="005E000F" w:rsidRDefault="00000000">
            <w:pPr>
              <w:jc w:val="right"/>
              <w:rPr>
                <w:lang w:eastAsia="en-US"/>
              </w:rPr>
            </w:pPr>
            <w:r>
              <w:t>76,702,950</w:t>
            </w:r>
          </w:p>
        </w:tc>
        <w:tc>
          <w:tcPr>
            <w:tcW w:w="529" w:type="pct"/>
          </w:tcPr>
          <w:p w14:paraId="5D806FA8" w14:textId="77777777" w:rsidR="005E000F" w:rsidRDefault="00000000">
            <w:pPr>
              <w:jc w:val="right"/>
              <w:rPr>
                <w:lang w:eastAsia="en-US"/>
              </w:rPr>
            </w:pPr>
            <w:r>
              <w:t>804,984,728</w:t>
            </w:r>
          </w:p>
        </w:tc>
        <w:tc>
          <w:tcPr>
            <w:tcW w:w="495" w:type="pct"/>
            <w:vAlign w:val="center"/>
          </w:tcPr>
          <w:p w14:paraId="23485753" w14:textId="77777777" w:rsidR="005E000F" w:rsidRDefault="00000000">
            <w:pPr>
              <w:jc w:val="right"/>
            </w:pPr>
            <w:r>
              <w:rPr>
                <w:rFonts w:hint="eastAsia"/>
              </w:rPr>
              <w:t>0</w:t>
            </w:r>
          </w:p>
        </w:tc>
        <w:tc>
          <w:tcPr>
            <w:tcW w:w="544" w:type="pct"/>
            <w:vAlign w:val="center"/>
          </w:tcPr>
          <w:p w14:paraId="294AD615" w14:textId="77777777" w:rsidR="005E000F" w:rsidRDefault="00000000">
            <w:pPr>
              <w:jc w:val="right"/>
            </w:pPr>
            <w:r>
              <w:rPr>
                <w:rFonts w:hint="eastAsia"/>
              </w:rPr>
              <w:t>0</w:t>
            </w:r>
          </w:p>
        </w:tc>
      </w:tr>
      <w:tr w:rsidR="005E000F" w14:paraId="219E9EAA" w14:textId="77777777">
        <w:trPr>
          <w:trHeight w:val="340"/>
        </w:trPr>
        <w:tc>
          <w:tcPr>
            <w:tcW w:w="963" w:type="pct"/>
            <w:vAlign w:val="center"/>
          </w:tcPr>
          <w:p w14:paraId="23778E10" w14:textId="77777777" w:rsidR="005E000F" w:rsidRDefault="00000000">
            <w:pPr>
              <w:jc w:val="center"/>
            </w:pPr>
            <w:r>
              <w:rPr>
                <w:rFonts w:hint="eastAsia"/>
              </w:rPr>
              <w:t>合计</w:t>
            </w:r>
          </w:p>
        </w:tc>
        <w:tc>
          <w:tcPr>
            <w:tcW w:w="428" w:type="pct"/>
          </w:tcPr>
          <w:p w14:paraId="3C91CC36" w14:textId="77777777" w:rsidR="005E000F" w:rsidRDefault="00000000">
            <w:pPr>
              <w:jc w:val="right"/>
              <w:rPr>
                <w:lang w:eastAsia="en-US"/>
              </w:rPr>
            </w:pPr>
            <w:r>
              <w:t>76,702,950</w:t>
            </w:r>
          </w:p>
        </w:tc>
        <w:tc>
          <w:tcPr>
            <w:tcW w:w="527" w:type="pct"/>
          </w:tcPr>
          <w:p w14:paraId="405409A3" w14:textId="77777777" w:rsidR="005E000F" w:rsidRDefault="00000000">
            <w:pPr>
              <w:jc w:val="right"/>
              <w:rPr>
                <w:lang w:eastAsia="en-US"/>
              </w:rPr>
            </w:pPr>
            <w:r>
              <w:t>804,984,728</w:t>
            </w:r>
          </w:p>
        </w:tc>
        <w:tc>
          <w:tcPr>
            <w:tcW w:w="474" w:type="pct"/>
            <w:vAlign w:val="center"/>
          </w:tcPr>
          <w:p w14:paraId="730279C5" w14:textId="77777777" w:rsidR="005E000F" w:rsidRDefault="00000000">
            <w:pPr>
              <w:jc w:val="right"/>
            </w:pPr>
            <w:r>
              <w:rPr>
                <w:rFonts w:hint="eastAsia"/>
              </w:rPr>
              <w:t>0</w:t>
            </w:r>
          </w:p>
        </w:tc>
        <w:tc>
          <w:tcPr>
            <w:tcW w:w="542" w:type="pct"/>
            <w:vAlign w:val="center"/>
          </w:tcPr>
          <w:p w14:paraId="41066650" w14:textId="77777777" w:rsidR="005E000F" w:rsidRDefault="00000000">
            <w:pPr>
              <w:jc w:val="right"/>
            </w:pPr>
            <w:r>
              <w:rPr>
                <w:rFonts w:hint="eastAsia"/>
              </w:rPr>
              <w:t>0</w:t>
            </w:r>
          </w:p>
        </w:tc>
        <w:tc>
          <w:tcPr>
            <w:tcW w:w="496" w:type="pct"/>
          </w:tcPr>
          <w:p w14:paraId="2D8FECB2" w14:textId="77777777" w:rsidR="005E000F" w:rsidRDefault="00000000">
            <w:pPr>
              <w:jc w:val="right"/>
              <w:rPr>
                <w:lang w:eastAsia="en-US"/>
              </w:rPr>
            </w:pPr>
            <w:r>
              <w:t>76,702,950</w:t>
            </w:r>
          </w:p>
        </w:tc>
        <w:tc>
          <w:tcPr>
            <w:tcW w:w="529" w:type="pct"/>
          </w:tcPr>
          <w:p w14:paraId="05783625" w14:textId="77777777" w:rsidR="005E000F" w:rsidRDefault="00000000">
            <w:pPr>
              <w:jc w:val="right"/>
              <w:rPr>
                <w:lang w:eastAsia="en-US"/>
              </w:rPr>
            </w:pPr>
            <w:r>
              <w:t>804,984,728</w:t>
            </w:r>
          </w:p>
        </w:tc>
        <w:tc>
          <w:tcPr>
            <w:tcW w:w="495" w:type="pct"/>
            <w:vAlign w:val="center"/>
          </w:tcPr>
          <w:p w14:paraId="6FC1D5DF" w14:textId="77777777" w:rsidR="005E000F" w:rsidRDefault="00000000">
            <w:pPr>
              <w:jc w:val="right"/>
            </w:pPr>
            <w:r>
              <w:rPr>
                <w:rFonts w:hint="eastAsia"/>
              </w:rPr>
              <w:t>0</w:t>
            </w:r>
          </w:p>
        </w:tc>
        <w:tc>
          <w:tcPr>
            <w:tcW w:w="544" w:type="pct"/>
            <w:vAlign w:val="center"/>
          </w:tcPr>
          <w:p w14:paraId="7A36C132" w14:textId="77777777" w:rsidR="005E000F" w:rsidRDefault="00000000">
            <w:pPr>
              <w:jc w:val="right"/>
            </w:pPr>
            <w:r>
              <w:rPr>
                <w:rFonts w:hint="eastAsia"/>
              </w:rPr>
              <w:t>0</w:t>
            </w:r>
          </w:p>
        </w:tc>
      </w:tr>
    </w:tbl>
    <w:p w14:paraId="5D39B134" w14:textId="77777777" w:rsidR="005E000F" w:rsidRDefault="005E000F"/>
    <w:p w14:paraId="095002BE" w14:textId="77777777" w:rsidR="005E000F" w:rsidRDefault="00000000">
      <w:bookmarkStart w:id="385" w:name="_Hlk89785136"/>
      <w:bookmarkEnd w:id="384"/>
      <w:r>
        <w:rPr>
          <w:rFonts w:hint="eastAsia"/>
        </w:rPr>
        <w:t>其他权益工具本期增减变动情况、变动原因说明，以及相关会计处理的依据：</w:t>
      </w:r>
    </w:p>
    <w:sdt>
      <w:sdtPr>
        <w:alias w:val="是否适用：其他权益工具本期增减变动情况、变动原因说明，以及相关会计处理的依据[双击切换]"/>
        <w:tag w:val="_GBC_e803942788b34e5092c70a4cbf71f4b5"/>
        <w:id w:val="1611474771"/>
        <w:placeholder>
          <w:docPart w:val="GBC22222222222222222222222222222"/>
        </w:placeholder>
      </w:sdtPr>
      <w:sdtContent>
        <w:p w14:paraId="5D85E73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5054CE0" w14:textId="77777777" w:rsidR="005E000F" w:rsidRDefault="00000000">
      <w:sdt>
        <w:sdtPr>
          <w:alias w:val="其他权益工具变动原因及相关会计处理的依据"/>
          <w:tag w:val="_GBC_7fcefd9a883c44c7bdeeedbeb7b1cd34"/>
          <w:id w:val="-217357882"/>
          <w:placeholder>
            <w:docPart w:val="GBC22222222222222222222222222222"/>
          </w:placeholder>
        </w:sdtPr>
        <w:sdtContent>
          <w:r>
            <w:rPr>
              <w:rFonts w:hint="eastAsia"/>
            </w:rPr>
            <w:t>注</w:t>
          </w:r>
          <w:r>
            <w:rPr>
              <w:rFonts w:hint="eastAsia"/>
            </w:rPr>
            <w:t xml:space="preserve"> 1</w:t>
          </w:r>
          <w:r>
            <w:rPr>
              <w:rFonts w:hint="eastAsia"/>
            </w:rPr>
            <w:t>：截至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日止，累计有面值人民币</w:t>
          </w:r>
          <w:r>
            <w:rPr>
              <w:rFonts w:hint="eastAsia"/>
            </w:rPr>
            <w:t>31,980,572,000</w:t>
          </w:r>
          <w:r>
            <w:rPr>
              <w:rFonts w:hint="eastAsia"/>
            </w:rPr>
            <w:t>元可转债转换成公司股票，因转股形成的股份数量累计为</w:t>
          </w:r>
          <w:r>
            <w:rPr>
              <w:rFonts w:hint="eastAsia"/>
            </w:rPr>
            <w:t>5,280,386,225</w:t>
          </w:r>
          <w:r>
            <w:rPr>
              <w:rFonts w:hint="eastAsia"/>
            </w:rPr>
            <w:t>股；本集团赎回面值人民币</w:t>
          </w:r>
          <w:r>
            <w:rPr>
              <w:rFonts w:hint="eastAsia"/>
            </w:rPr>
            <w:t>19,428,000</w:t>
          </w:r>
          <w:r>
            <w:rPr>
              <w:rFonts w:hint="eastAsia"/>
            </w:rPr>
            <w:t>元可转债，至此可转债余额为</w:t>
          </w:r>
          <w:r>
            <w:rPr>
              <w:rFonts w:hint="eastAsia"/>
            </w:rPr>
            <w:t>0</w:t>
          </w:r>
          <w:r>
            <w:rPr>
              <w:rFonts w:hint="eastAsia"/>
            </w:rPr>
            <w:t>。</w:t>
          </w:r>
        </w:sdtContent>
      </w:sdt>
    </w:p>
    <w:bookmarkEnd w:id="385"/>
    <w:p w14:paraId="67632A47" w14:textId="77777777" w:rsidR="005E000F" w:rsidRDefault="005E000F"/>
    <w:p w14:paraId="6259DE33" w14:textId="77777777" w:rsidR="005E000F" w:rsidRDefault="00000000">
      <w:bookmarkStart w:id="386" w:name="_Hlk89785124"/>
      <w:r>
        <w:rPr>
          <w:rFonts w:hint="eastAsia"/>
        </w:rPr>
        <w:t>其他说明：</w:t>
      </w:r>
    </w:p>
    <w:sdt>
      <w:sdtPr>
        <w:alias w:val="是否适用：其他权益工具的其他说明[双击切换]"/>
        <w:tag w:val="_GBC_af2e32ae9c704175a99ebad592dec5f2"/>
        <w:id w:val="1354917811"/>
        <w:placeholder>
          <w:docPart w:val="GBC22222222222222222222222222222"/>
        </w:placeholder>
      </w:sdtPr>
      <w:sdtContent>
        <w:p w14:paraId="2CAE46C3"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386"/>
    <w:p w14:paraId="34DD6076" w14:textId="77777777" w:rsidR="005E000F" w:rsidRDefault="005E000F">
      <w:pPr>
        <w:sectPr w:rsidR="005E000F">
          <w:pgSz w:w="16838" w:h="11906" w:orient="landscape"/>
          <w:pgMar w:top="1276" w:right="1440" w:bottom="1797" w:left="1525" w:header="856" w:footer="992" w:gutter="0"/>
          <w:cols w:space="425"/>
          <w:docGrid w:linePitch="312"/>
        </w:sectPr>
      </w:pPr>
    </w:p>
    <w:p w14:paraId="2BCA5C7F" w14:textId="77777777" w:rsidR="005E000F" w:rsidRDefault="005E000F"/>
    <w:p w14:paraId="0D4B2E82"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2073078141"/>
        <w:placeholder>
          <w:docPart w:val="GBC22222222222222222222222222222"/>
        </w:placeholder>
      </w:sdtPr>
      <w:sdtContent>
        <w:p w14:paraId="1843F7D0"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2869E17" w14:textId="77777777" w:rsidR="005E000F" w:rsidRDefault="00000000">
      <w:pPr>
        <w:jc w:val="right"/>
      </w:pPr>
      <w:r>
        <w:rPr>
          <w:rFonts w:hint="eastAsia"/>
        </w:rPr>
        <w:t>单位：</w:t>
      </w:r>
      <w:sdt>
        <w:sdtPr>
          <w:rPr>
            <w:rFonts w:hint="eastAsia"/>
          </w:rPr>
          <w:alias w:val="单位：财务附注：资本公积"/>
          <w:tag w:val="_GBC_1b11e7474fd44870ad976b16c25b20f4"/>
          <w:id w:val="20585093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资本公积"/>
          <w:tag w:val="_GBC_6c523a4f3a0744439ef148664a9f722b"/>
          <w:id w:val="-196673815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706"/>
        <w:gridCol w:w="1820"/>
        <w:gridCol w:w="1855"/>
        <w:gridCol w:w="1838"/>
        <w:gridCol w:w="1837"/>
      </w:tblGrid>
      <w:tr w:rsidR="005E000F" w14:paraId="31AEC53F" w14:textId="77777777">
        <w:sdt>
          <w:sdtPr>
            <w:tag w:val="_PLD_b4e0b77813064aeb83afd63c7bafbdab"/>
            <w:id w:val="293881576"/>
          </w:sdtPr>
          <w:sdtContent>
            <w:tc>
              <w:tcPr>
                <w:tcW w:w="1706" w:type="dxa"/>
                <w:vAlign w:val="center"/>
              </w:tcPr>
              <w:p w14:paraId="016B7C53" w14:textId="77777777" w:rsidR="005E000F" w:rsidRDefault="00000000">
                <w:pPr>
                  <w:autoSpaceDE w:val="0"/>
                  <w:autoSpaceDN w:val="0"/>
                  <w:adjustRightInd w:val="0"/>
                  <w:snapToGrid w:val="0"/>
                  <w:jc w:val="center"/>
                </w:pPr>
                <w:r>
                  <w:rPr>
                    <w:rFonts w:hint="eastAsia"/>
                  </w:rPr>
                  <w:t>项目</w:t>
                </w:r>
              </w:p>
            </w:tc>
          </w:sdtContent>
        </w:sdt>
        <w:sdt>
          <w:sdtPr>
            <w:tag w:val="_PLD_2e3387dfd4d8490ca15036edd55f5d7b"/>
            <w:id w:val="-2103555205"/>
          </w:sdtPr>
          <w:sdtContent>
            <w:tc>
              <w:tcPr>
                <w:tcW w:w="1820" w:type="dxa"/>
                <w:vAlign w:val="center"/>
              </w:tcPr>
              <w:p w14:paraId="138D36D4" w14:textId="77777777" w:rsidR="005E000F" w:rsidRDefault="00000000">
                <w:pPr>
                  <w:autoSpaceDE w:val="0"/>
                  <w:autoSpaceDN w:val="0"/>
                  <w:adjustRightInd w:val="0"/>
                  <w:snapToGrid w:val="0"/>
                  <w:jc w:val="center"/>
                </w:pPr>
                <w:r>
                  <w:rPr>
                    <w:rFonts w:hint="eastAsia"/>
                  </w:rPr>
                  <w:t>期初余额</w:t>
                </w:r>
              </w:p>
            </w:tc>
          </w:sdtContent>
        </w:sdt>
        <w:sdt>
          <w:sdtPr>
            <w:tag w:val="_PLD_48beb7e26e4d4ae4b8c76cfd47809420"/>
            <w:id w:val="249010978"/>
          </w:sdtPr>
          <w:sdtContent>
            <w:tc>
              <w:tcPr>
                <w:tcW w:w="1855" w:type="dxa"/>
                <w:vAlign w:val="center"/>
              </w:tcPr>
              <w:p w14:paraId="2B7D0FBE" w14:textId="77777777" w:rsidR="005E000F" w:rsidRDefault="00000000">
                <w:pPr>
                  <w:autoSpaceDE w:val="0"/>
                  <w:autoSpaceDN w:val="0"/>
                  <w:adjustRightInd w:val="0"/>
                  <w:snapToGrid w:val="0"/>
                  <w:jc w:val="center"/>
                </w:pPr>
                <w:r>
                  <w:rPr>
                    <w:rFonts w:hint="eastAsia"/>
                  </w:rPr>
                  <w:t>本期增加</w:t>
                </w:r>
              </w:p>
            </w:tc>
          </w:sdtContent>
        </w:sdt>
        <w:sdt>
          <w:sdtPr>
            <w:tag w:val="_PLD_146cd5e556074222b88edab30b505382"/>
            <w:id w:val="-672719314"/>
          </w:sdtPr>
          <w:sdtContent>
            <w:tc>
              <w:tcPr>
                <w:tcW w:w="1838" w:type="dxa"/>
                <w:vAlign w:val="center"/>
              </w:tcPr>
              <w:p w14:paraId="77D1C398" w14:textId="77777777" w:rsidR="005E000F" w:rsidRDefault="00000000">
                <w:pPr>
                  <w:autoSpaceDE w:val="0"/>
                  <w:autoSpaceDN w:val="0"/>
                  <w:adjustRightInd w:val="0"/>
                  <w:snapToGrid w:val="0"/>
                  <w:jc w:val="center"/>
                </w:pPr>
                <w:r>
                  <w:rPr>
                    <w:rFonts w:hint="eastAsia"/>
                  </w:rPr>
                  <w:t>本期减少</w:t>
                </w:r>
              </w:p>
            </w:tc>
          </w:sdtContent>
        </w:sdt>
        <w:sdt>
          <w:sdtPr>
            <w:tag w:val="_PLD_ce18950b18064dc1ac40e20c98bf9dcb"/>
            <w:id w:val="519445781"/>
          </w:sdtPr>
          <w:sdtContent>
            <w:tc>
              <w:tcPr>
                <w:tcW w:w="1837" w:type="dxa"/>
                <w:vAlign w:val="center"/>
              </w:tcPr>
              <w:p w14:paraId="45498CE3" w14:textId="77777777" w:rsidR="005E000F" w:rsidRDefault="00000000">
                <w:pPr>
                  <w:autoSpaceDE w:val="0"/>
                  <w:autoSpaceDN w:val="0"/>
                  <w:adjustRightInd w:val="0"/>
                  <w:snapToGrid w:val="0"/>
                  <w:jc w:val="center"/>
                </w:pPr>
                <w:r>
                  <w:rPr>
                    <w:rFonts w:hint="eastAsia"/>
                  </w:rPr>
                  <w:t>期末余额</w:t>
                </w:r>
              </w:p>
            </w:tc>
          </w:sdtContent>
        </w:sdt>
      </w:tr>
      <w:tr w:rsidR="005E000F" w14:paraId="219E306A" w14:textId="77777777">
        <w:tc>
          <w:tcPr>
            <w:tcW w:w="1706" w:type="dxa"/>
            <w:vAlign w:val="center"/>
          </w:tcPr>
          <w:p w14:paraId="18D1C121" w14:textId="77777777" w:rsidR="005E000F" w:rsidRDefault="00000000">
            <w:pPr>
              <w:autoSpaceDE w:val="0"/>
              <w:autoSpaceDN w:val="0"/>
              <w:adjustRightInd w:val="0"/>
              <w:snapToGrid w:val="0"/>
            </w:pPr>
            <w:r>
              <w:rPr>
                <w:rFonts w:hint="eastAsia"/>
              </w:rPr>
              <w:t>资本溢价（股本溢价）</w:t>
            </w:r>
          </w:p>
        </w:tc>
        <w:tc>
          <w:tcPr>
            <w:tcW w:w="1820" w:type="dxa"/>
            <w:vAlign w:val="center"/>
          </w:tcPr>
          <w:p w14:paraId="41EACE27" w14:textId="77777777" w:rsidR="005E000F" w:rsidRDefault="00000000">
            <w:pPr>
              <w:autoSpaceDE w:val="0"/>
              <w:autoSpaceDN w:val="0"/>
              <w:adjustRightInd w:val="0"/>
              <w:snapToGrid w:val="0"/>
              <w:jc w:val="right"/>
              <w:rPr>
                <w:lang w:eastAsia="en-US"/>
              </w:rPr>
            </w:pPr>
            <w:r>
              <w:t>45,564,599,326</w:t>
            </w:r>
          </w:p>
        </w:tc>
        <w:tc>
          <w:tcPr>
            <w:tcW w:w="1855" w:type="dxa"/>
            <w:vAlign w:val="center"/>
          </w:tcPr>
          <w:p w14:paraId="67F38CBA" w14:textId="77777777" w:rsidR="005E000F" w:rsidRDefault="00000000">
            <w:pPr>
              <w:autoSpaceDE w:val="0"/>
              <w:autoSpaceDN w:val="0"/>
              <w:adjustRightInd w:val="0"/>
              <w:snapToGrid w:val="0"/>
              <w:jc w:val="right"/>
            </w:pPr>
            <w:r>
              <w:t>7,079,753,155</w:t>
            </w:r>
          </w:p>
        </w:tc>
        <w:tc>
          <w:tcPr>
            <w:tcW w:w="1838" w:type="dxa"/>
            <w:vAlign w:val="center"/>
          </w:tcPr>
          <w:p w14:paraId="056A9E41" w14:textId="77777777" w:rsidR="005E000F" w:rsidRDefault="00000000">
            <w:pPr>
              <w:autoSpaceDE w:val="0"/>
              <w:autoSpaceDN w:val="0"/>
              <w:adjustRightInd w:val="0"/>
              <w:snapToGrid w:val="0"/>
              <w:jc w:val="right"/>
            </w:pPr>
            <w:r>
              <w:rPr>
                <w:rFonts w:hint="eastAsia"/>
              </w:rPr>
              <w:t>0</w:t>
            </w:r>
          </w:p>
        </w:tc>
        <w:tc>
          <w:tcPr>
            <w:tcW w:w="1837" w:type="dxa"/>
            <w:vAlign w:val="center"/>
          </w:tcPr>
          <w:p w14:paraId="6645DF8E" w14:textId="77777777" w:rsidR="005E000F" w:rsidRDefault="00000000">
            <w:pPr>
              <w:autoSpaceDE w:val="0"/>
              <w:autoSpaceDN w:val="0"/>
              <w:adjustRightInd w:val="0"/>
              <w:snapToGrid w:val="0"/>
              <w:jc w:val="right"/>
            </w:pPr>
            <w:r>
              <w:t>52,644,352,481</w:t>
            </w:r>
          </w:p>
        </w:tc>
      </w:tr>
      <w:tr w:rsidR="005E000F" w14:paraId="27763F9B" w14:textId="77777777">
        <w:tc>
          <w:tcPr>
            <w:tcW w:w="1706" w:type="dxa"/>
            <w:vAlign w:val="center"/>
          </w:tcPr>
          <w:p w14:paraId="4CB42694" w14:textId="77777777" w:rsidR="005E000F" w:rsidRDefault="00000000">
            <w:pPr>
              <w:autoSpaceDE w:val="0"/>
              <w:autoSpaceDN w:val="0"/>
              <w:adjustRightInd w:val="0"/>
              <w:snapToGrid w:val="0"/>
            </w:pPr>
            <w:r>
              <w:rPr>
                <w:rFonts w:hint="eastAsia"/>
              </w:rPr>
              <w:t>其他资本公积</w:t>
            </w:r>
          </w:p>
        </w:tc>
        <w:tc>
          <w:tcPr>
            <w:tcW w:w="1820" w:type="dxa"/>
            <w:vAlign w:val="center"/>
          </w:tcPr>
          <w:p w14:paraId="3638CDF6" w14:textId="77777777" w:rsidR="005E000F" w:rsidRDefault="00000000">
            <w:pPr>
              <w:autoSpaceDE w:val="0"/>
              <w:autoSpaceDN w:val="0"/>
              <w:adjustRightInd w:val="0"/>
              <w:snapToGrid w:val="0"/>
              <w:jc w:val="right"/>
              <w:rPr>
                <w:lang w:eastAsia="en-US"/>
              </w:rPr>
            </w:pPr>
            <w:r>
              <w:t>407,005,433</w:t>
            </w:r>
          </w:p>
        </w:tc>
        <w:tc>
          <w:tcPr>
            <w:tcW w:w="1855" w:type="dxa"/>
            <w:vAlign w:val="center"/>
          </w:tcPr>
          <w:p w14:paraId="3C423A2C" w14:textId="77777777" w:rsidR="005E000F" w:rsidRDefault="00000000">
            <w:pPr>
              <w:autoSpaceDE w:val="0"/>
              <w:autoSpaceDN w:val="0"/>
              <w:adjustRightInd w:val="0"/>
              <w:snapToGrid w:val="0"/>
              <w:jc w:val="right"/>
            </w:pPr>
            <w:r>
              <w:t>462,786,941</w:t>
            </w:r>
          </w:p>
        </w:tc>
        <w:tc>
          <w:tcPr>
            <w:tcW w:w="1838" w:type="dxa"/>
            <w:vAlign w:val="center"/>
          </w:tcPr>
          <w:p w14:paraId="53BE81B9" w14:textId="77777777" w:rsidR="005E000F" w:rsidRDefault="00000000">
            <w:pPr>
              <w:autoSpaceDE w:val="0"/>
              <w:autoSpaceDN w:val="0"/>
              <w:adjustRightInd w:val="0"/>
              <w:snapToGrid w:val="0"/>
              <w:jc w:val="right"/>
            </w:pPr>
            <w:r>
              <w:rPr>
                <w:rFonts w:hint="eastAsia"/>
              </w:rPr>
              <w:t>0</w:t>
            </w:r>
          </w:p>
        </w:tc>
        <w:tc>
          <w:tcPr>
            <w:tcW w:w="1837" w:type="dxa"/>
            <w:vAlign w:val="center"/>
          </w:tcPr>
          <w:p w14:paraId="4E838AF2" w14:textId="77777777" w:rsidR="005E000F" w:rsidRDefault="00000000">
            <w:pPr>
              <w:autoSpaceDE w:val="0"/>
              <w:autoSpaceDN w:val="0"/>
              <w:adjustRightInd w:val="0"/>
              <w:snapToGrid w:val="0"/>
              <w:jc w:val="right"/>
            </w:pPr>
            <w:r>
              <w:t>869,792,374</w:t>
            </w:r>
          </w:p>
        </w:tc>
      </w:tr>
      <w:tr w:rsidR="005E000F" w14:paraId="1293E1FD" w14:textId="77777777">
        <w:tc>
          <w:tcPr>
            <w:tcW w:w="1706" w:type="dxa"/>
            <w:vAlign w:val="center"/>
          </w:tcPr>
          <w:p w14:paraId="7E72E10A" w14:textId="77777777" w:rsidR="005E000F" w:rsidRDefault="00000000">
            <w:pPr>
              <w:autoSpaceDE w:val="0"/>
              <w:autoSpaceDN w:val="0"/>
              <w:adjustRightInd w:val="0"/>
              <w:snapToGrid w:val="0"/>
              <w:jc w:val="center"/>
            </w:pPr>
            <w:r>
              <w:rPr>
                <w:rFonts w:hint="eastAsia"/>
              </w:rPr>
              <w:t>合计</w:t>
            </w:r>
          </w:p>
        </w:tc>
        <w:tc>
          <w:tcPr>
            <w:tcW w:w="1820" w:type="dxa"/>
            <w:vAlign w:val="center"/>
          </w:tcPr>
          <w:p w14:paraId="183044A1" w14:textId="77777777" w:rsidR="005E000F" w:rsidRDefault="00000000">
            <w:pPr>
              <w:autoSpaceDE w:val="0"/>
              <w:autoSpaceDN w:val="0"/>
              <w:adjustRightInd w:val="0"/>
              <w:snapToGrid w:val="0"/>
              <w:jc w:val="right"/>
              <w:rPr>
                <w:lang w:eastAsia="en-US"/>
              </w:rPr>
            </w:pPr>
            <w:r>
              <w:t>45,971,604,759</w:t>
            </w:r>
          </w:p>
        </w:tc>
        <w:tc>
          <w:tcPr>
            <w:tcW w:w="1855" w:type="dxa"/>
            <w:vAlign w:val="center"/>
          </w:tcPr>
          <w:p w14:paraId="0EC5A20B" w14:textId="77777777" w:rsidR="005E000F" w:rsidRDefault="00000000">
            <w:pPr>
              <w:autoSpaceDE w:val="0"/>
              <w:autoSpaceDN w:val="0"/>
              <w:adjustRightInd w:val="0"/>
              <w:snapToGrid w:val="0"/>
              <w:jc w:val="right"/>
            </w:pPr>
            <w:r>
              <w:t>7,542,540,096</w:t>
            </w:r>
          </w:p>
        </w:tc>
        <w:tc>
          <w:tcPr>
            <w:tcW w:w="1838" w:type="dxa"/>
            <w:vAlign w:val="center"/>
          </w:tcPr>
          <w:p w14:paraId="4EE63365" w14:textId="77777777" w:rsidR="005E000F" w:rsidRDefault="00000000">
            <w:pPr>
              <w:autoSpaceDE w:val="0"/>
              <w:autoSpaceDN w:val="0"/>
              <w:adjustRightInd w:val="0"/>
              <w:snapToGrid w:val="0"/>
              <w:jc w:val="right"/>
            </w:pPr>
            <w:r>
              <w:rPr>
                <w:rFonts w:hint="eastAsia"/>
              </w:rPr>
              <w:t>0</w:t>
            </w:r>
          </w:p>
        </w:tc>
        <w:tc>
          <w:tcPr>
            <w:tcW w:w="1837" w:type="dxa"/>
            <w:vAlign w:val="center"/>
          </w:tcPr>
          <w:p w14:paraId="704E9AC1" w14:textId="77777777" w:rsidR="005E000F" w:rsidRDefault="00000000">
            <w:pPr>
              <w:autoSpaceDE w:val="0"/>
              <w:autoSpaceDN w:val="0"/>
              <w:adjustRightInd w:val="0"/>
              <w:snapToGrid w:val="0"/>
              <w:jc w:val="right"/>
            </w:pPr>
            <w:r>
              <w:t>53,514,144,855</w:t>
            </w:r>
          </w:p>
        </w:tc>
      </w:tr>
    </w:tbl>
    <w:p w14:paraId="4E5174C3" w14:textId="77777777" w:rsidR="005E000F" w:rsidRDefault="00000000">
      <w:r>
        <w:rPr>
          <w:rFonts w:hint="eastAsia"/>
        </w:rPr>
        <w:t>其他说明，包括本期增减变动情况、变动原因说明：</w:t>
      </w:r>
    </w:p>
    <w:sdt>
      <w:sdtPr>
        <w:alias w:val="资本公积说明"/>
        <w:tag w:val="_GBC_bd957b69783b49af88b2c285825bd0fc"/>
        <w:id w:val="-205560474"/>
        <w:placeholder>
          <w:docPart w:val="GBC22222222222222222222222222222"/>
        </w:placeholder>
      </w:sdtPr>
      <w:sdtContent>
        <w:p w14:paraId="25F92C1E" w14:textId="77777777" w:rsidR="005E000F" w:rsidRDefault="00000000">
          <w:r>
            <w:rPr>
              <w:rFonts w:hint="eastAsia"/>
            </w:rPr>
            <w:t>因本集团之联营企业本年其他权益变动的影响，本集团合并财务报表的资本公</w:t>
          </w:r>
          <w:proofErr w:type="gramStart"/>
          <w:r>
            <w:rPr>
              <w:rFonts w:hint="eastAsia"/>
            </w:rPr>
            <w:t>积增加</w:t>
          </w:r>
          <w:proofErr w:type="gramEnd"/>
          <w:r>
            <w:rPr>
              <w:rFonts w:hint="eastAsia"/>
            </w:rPr>
            <w:t>人民币</w:t>
          </w:r>
          <w:r>
            <w:rPr>
              <w:rFonts w:hint="eastAsia"/>
            </w:rPr>
            <w:t>37,048,630</w:t>
          </w:r>
          <w:r>
            <w:rPr>
              <w:rFonts w:hint="eastAsia"/>
            </w:rPr>
            <w:t>元。</w:t>
          </w:r>
        </w:p>
        <w:p w14:paraId="631E351E" w14:textId="77777777" w:rsidR="005E000F" w:rsidRDefault="005E000F"/>
        <w:p w14:paraId="18E89EE9" w14:textId="77777777" w:rsidR="005E000F" w:rsidRDefault="00000000">
          <w:r>
            <w:rPr>
              <w:rFonts w:hint="eastAsia"/>
            </w:rPr>
            <w:t>因本集团本年收到超长期国债的影响，本集团合并财务报表资本公</w:t>
          </w:r>
          <w:proofErr w:type="gramStart"/>
          <w:r>
            <w:rPr>
              <w:rFonts w:hint="eastAsia"/>
            </w:rPr>
            <w:t>积增加</w:t>
          </w:r>
          <w:proofErr w:type="gramEnd"/>
          <w:r>
            <w:rPr>
              <w:rFonts w:hint="eastAsia"/>
            </w:rPr>
            <w:t>人民币</w:t>
          </w:r>
          <w:r>
            <w:rPr>
              <w:rFonts w:hint="eastAsia"/>
            </w:rPr>
            <w:t>425,738,311</w:t>
          </w:r>
          <w:r>
            <w:rPr>
              <w:rFonts w:hint="eastAsia"/>
            </w:rPr>
            <w:t>元。</w:t>
          </w:r>
        </w:p>
        <w:p w14:paraId="2F251069" w14:textId="77777777" w:rsidR="005E000F" w:rsidRDefault="005E000F"/>
        <w:p w14:paraId="3BF355BA" w14:textId="77777777" w:rsidR="005E000F" w:rsidRDefault="00000000">
          <w:r>
            <w:rPr>
              <w:rFonts w:hint="eastAsia"/>
            </w:rPr>
            <w:t>本集团本年有面值人民币</w:t>
          </w:r>
          <w:r>
            <w:rPr>
              <w:rFonts w:hint="eastAsia"/>
            </w:rPr>
            <w:t>7,650,867,000</w:t>
          </w:r>
          <w:r>
            <w:rPr>
              <w:rFonts w:hint="eastAsia"/>
            </w:rPr>
            <w:t>元可转换公司债</w:t>
          </w:r>
          <w:proofErr w:type="gramStart"/>
          <w:r>
            <w:rPr>
              <w:rFonts w:hint="eastAsia"/>
            </w:rPr>
            <w:t>券</w:t>
          </w:r>
          <w:proofErr w:type="gramEnd"/>
          <w:r>
            <w:rPr>
              <w:rFonts w:hint="eastAsia"/>
            </w:rPr>
            <w:t>转换为本公司股票。因转</w:t>
          </w:r>
          <w:proofErr w:type="gramStart"/>
          <w:r>
            <w:rPr>
              <w:rFonts w:hint="eastAsia"/>
            </w:rPr>
            <w:t>股因素</w:t>
          </w:r>
          <w:proofErr w:type="gramEnd"/>
          <w:r>
            <w:rPr>
              <w:rFonts w:hint="eastAsia"/>
            </w:rPr>
            <w:t>影响，本集团资本公</w:t>
          </w:r>
          <w:proofErr w:type="gramStart"/>
          <w:r>
            <w:rPr>
              <w:rFonts w:hint="eastAsia"/>
            </w:rPr>
            <w:t>积增加</w:t>
          </w:r>
          <w:proofErr w:type="gramEnd"/>
          <w:r>
            <w:rPr>
              <w:rFonts w:hint="eastAsia"/>
            </w:rPr>
            <w:t>人民币</w:t>
          </w:r>
          <w:r>
            <w:rPr>
              <w:rFonts w:hint="eastAsia"/>
            </w:rPr>
            <w:t>7,078,002,662</w:t>
          </w:r>
          <w:r>
            <w:rPr>
              <w:rFonts w:hint="eastAsia"/>
            </w:rPr>
            <w:t>元。本集团本年赎回面值人民币</w:t>
          </w:r>
          <w:r>
            <w:rPr>
              <w:rFonts w:hint="eastAsia"/>
            </w:rPr>
            <w:t>19,428,000</w:t>
          </w:r>
          <w:r>
            <w:rPr>
              <w:rFonts w:hint="eastAsia"/>
            </w:rPr>
            <w:t>元可转换公司债</w:t>
          </w:r>
          <w:proofErr w:type="gramStart"/>
          <w:r>
            <w:rPr>
              <w:rFonts w:hint="eastAsia"/>
            </w:rPr>
            <w:t>券</w:t>
          </w:r>
          <w:proofErr w:type="gramEnd"/>
          <w:r>
            <w:rPr>
              <w:rFonts w:hint="eastAsia"/>
            </w:rPr>
            <w:t>，因赎回影响，本集团资本公</w:t>
          </w:r>
          <w:proofErr w:type="gramStart"/>
          <w:r>
            <w:rPr>
              <w:rFonts w:hint="eastAsia"/>
            </w:rPr>
            <w:t>积增加</w:t>
          </w:r>
          <w:proofErr w:type="gramEnd"/>
          <w:r>
            <w:rPr>
              <w:rFonts w:hint="eastAsia"/>
            </w:rPr>
            <w:t>人民币</w:t>
          </w:r>
          <w:r>
            <w:rPr>
              <w:rFonts w:hint="eastAsia"/>
            </w:rPr>
            <w:t>1,750,493</w:t>
          </w:r>
          <w:r>
            <w:rPr>
              <w:rFonts w:hint="eastAsia"/>
            </w:rPr>
            <w:t>元</w:t>
          </w:r>
          <w:r>
            <w:t>。</w:t>
          </w:r>
        </w:p>
        <w:p w14:paraId="012C8249" w14:textId="77777777" w:rsidR="005E000F" w:rsidRDefault="00000000">
          <w:r>
            <w:t xml:space="preserve">  </w:t>
          </w:r>
        </w:p>
      </w:sdtContent>
    </w:sdt>
    <w:p w14:paraId="238EE976" w14:textId="77777777" w:rsidR="005E000F" w:rsidRDefault="005E000F"/>
    <w:p w14:paraId="3C9F1D86"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1270899308"/>
        <w:placeholder>
          <w:docPart w:val="GBC22222222222222222222222222222"/>
        </w:placeholder>
      </w:sdtPr>
      <w:sdtContent>
        <w:p w14:paraId="3F3C71D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CE8F4B8" w14:textId="77777777" w:rsidR="005E000F" w:rsidRDefault="00000000">
      <w:pPr>
        <w:jc w:val="right"/>
        <w:rPr>
          <w:rFonts w:ascii="宋体" w:hAnsi="宋体"/>
        </w:rPr>
      </w:pPr>
      <w:r>
        <w:rPr>
          <w:rFonts w:ascii="宋体" w:hAnsi="宋体" w:hint="eastAsia"/>
        </w:rPr>
        <w:t>单位：</w:t>
      </w:r>
      <w:sdt>
        <w:sdtPr>
          <w:rPr>
            <w:rFonts w:ascii="宋体" w:hAnsi="宋体" w:hint="eastAsia"/>
          </w:rPr>
          <w:alias w:val="单位：财务附注：库存股"/>
          <w:tag w:val="_GBC_1762a395ee414a4ab9d088576fc67b95"/>
          <w:id w:val="641772135"/>
          <w:placeholder>
            <w:docPart w:val="2904BB302B8D43B29B2FCC5A2AE1DE61"/>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rPr>
            <w:t>元</w:t>
          </w:r>
        </w:sdtContent>
      </w:sdt>
      <w:r>
        <w:rPr>
          <w:rFonts w:ascii="宋体" w:hAnsi="宋体" w:hint="eastAsia"/>
        </w:rPr>
        <w:t xml:space="preserve">  币种：</w:t>
      </w:r>
      <w:sdt>
        <w:sdtPr>
          <w:rPr>
            <w:rFonts w:ascii="宋体" w:hAnsi="宋体" w:hint="eastAsia"/>
          </w:rPr>
          <w:alias w:val="币种：财务附注：库存股"/>
          <w:tag w:val="_GBC_aa9b77277b2f445fb00ee31519c400b8"/>
          <w:id w:val="-2118514878"/>
          <w:placeholder>
            <w:docPart w:val="2904BB302B8D43B29B2FCC5A2AE1DE61"/>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712"/>
        <w:gridCol w:w="1808"/>
        <w:gridCol w:w="1837"/>
        <w:gridCol w:w="1849"/>
        <w:gridCol w:w="1851"/>
      </w:tblGrid>
      <w:tr w:rsidR="005E000F" w14:paraId="219E269F" w14:textId="77777777">
        <w:sdt>
          <w:sdtPr>
            <w:tag w:val="_PLD_3bb42fd3c8c244e1ba361777cd8b061c"/>
            <w:id w:val="-1141265104"/>
          </w:sdtPr>
          <w:sdtContent>
            <w:tc>
              <w:tcPr>
                <w:tcW w:w="1712" w:type="dxa"/>
                <w:vAlign w:val="center"/>
              </w:tcPr>
              <w:p w14:paraId="6000EA9E" w14:textId="77777777" w:rsidR="005E000F" w:rsidRDefault="00000000">
                <w:pPr>
                  <w:jc w:val="center"/>
                </w:pPr>
                <w:r>
                  <w:rPr>
                    <w:rFonts w:hint="eastAsia"/>
                  </w:rPr>
                  <w:t>项目</w:t>
                </w:r>
              </w:p>
            </w:tc>
          </w:sdtContent>
        </w:sdt>
        <w:sdt>
          <w:sdtPr>
            <w:tag w:val="_PLD_dbccb5fb3e6647159adf418aaf7a819d"/>
            <w:id w:val="1832098959"/>
          </w:sdtPr>
          <w:sdtContent>
            <w:tc>
              <w:tcPr>
                <w:tcW w:w="1808" w:type="dxa"/>
                <w:vAlign w:val="center"/>
              </w:tcPr>
              <w:p w14:paraId="1E359CF2" w14:textId="77777777" w:rsidR="005E000F" w:rsidRDefault="00000000">
                <w:pPr>
                  <w:jc w:val="center"/>
                </w:pPr>
                <w:r>
                  <w:rPr>
                    <w:rFonts w:hint="eastAsia"/>
                  </w:rPr>
                  <w:t>期初余额</w:t>
                </w:r>
              </w:p>
            </w:tc>
          </w:sdtContent>
        </w:sdt>
        <w:sdt>
          <w:sdtPr>
            <w:tag w:val="_PLD_efd45699d9ff4436b9e070adb8fb59ad"/>
            <w:id w:val="-1790573890"/>
          </w:sdtPr>
          <w:sdtContent>
            <w:tc>
              <w:tcPr>
                <w:tcW w:w="1837" w:type="dxa"/>
                <w:vAlign w:val="center"/>
              </w:tcPr>
              <w:p w14:paraId="09D2B8D3" w14:textId="77777777" w:rsidR="005E000F" w:rsidRDefault="00000000">
                <w:pPr>
                  <w:jc w:val="center"/>
                </w:pPr>
                <w:r>
                  <w:rPr>
                    <w:rFonts w:hint="eastAsia"/>
                  </w:rPr>
                  <w:t>本期增加</w:t>
                </w:r>
              </w:p>
            </w:tc>
          </w:sdtContent>
        </w:sdt>
        <w:sdt>
          <w:sdtPr>
            <w:tag w:val="_PLD_98330c8585594c0b8f1ac93353a4e2bc"/>
            <w:id w:val="1903643440"/>
          </w:sdtPr>
          <w:sdtContent>
            <w:tc>
              <w:tcPr>
                <w:tcW w:w="1849" w:type="dxa"/>
                <w:vAlign w:val="center"/>
              </w:tcPr>
              <w:p w14:paraId="74092003" w14:textId="77777777" w:rsidR="005E000F" w:rsidRDefault="00000000">
                <w:pPr>
                  <w:jc w:val="center"/>
                </w:pPr>
                <w:r>
                  <w:rPr>
                    <w:rFonts w:hint="eastAsia"/>
                  </w:rPr>
                  <w:t>本期减少</w:t>
                </w:r>
              </w:p>
            </w:tc>
          </w:sdtContent>
        </w:sdt>
        <w:sdt>
          <w:sdtPr>
            <w:tag w:val="_PLD_6d3e824a5a6f4f1fbc66e6ffabf43d1e"/>
            <w:id w:val="-736560530"/>
          </w:sdtPr>
          <w:sdtContent>
            <w:tc>
              <w:tcPr>
                <w:tcW w:w="1851" w:type="dxa"/>
                <w:vAlign w:val="center"/>
              </w:tcPr>
              <w:p w14:paraId="1D1DF71F" w14:textId="77777777" w:rsidR="005E000F" w:rsidRDefault="00000000">
                <w:pPr>
                  <w:jc w:val="center"/>
                </w:pPr>
                <w:r>
                  <w:rPr>
                    <w:rFonts w:hint="eastAsia"/>
                  </w:rPr>
                  <w:t>期末余额</w:t>
                </w:r>
              </w:p>
            </w:tc>
          </w:sdtContent>
        </w:sdt>
      </w:tr>
      <w:tr w:rsidR="005E000F" w14:paraId="69EAACA0" w14:textId="77777777">
        <w:tc>
          <w:tcPr>
            <w:tcW w:w="1712" w:type="dxa"/>
            <w:vAlign w:val="center"/>
          </w:tcPr>
          <w:p w14:paraId="4B3C6ABE" w14:textId="77777777" w:rsidR="005E000F" w:rsidRDefault="00000000">
            <w:r>
              <w:rPr>
                <w:rFonts w:hint="eastAsia"/>
              </w:rPr>
              <w:t>股权激励形成的库存股</w:t>
            </w:r>
          </w:p>
        </w:tc>
        <w:tc>
          <w:tcPr>
            <w:tcW w:w="1808" w:type="dxa"/>
            <w:vAlign w:val="center"/>
          </w:tcPr>
          <w:p w14:paraId="67D7D1B7" w14:textId="77777777" w:rsidR="005E000F" w:rsidRDefault="00000000">
            <w:pPr>
              <w:jc w:val="right"/>
            </w:pPr>
            <w:r>
              <w:rPr>
                <w:rFonts w:hint="eastAsia"/>
              </w:rPr>
              <w:t>0</w:t>
            </w:r>
          </w:p>
        </w:tc>
        <w:tc>
          <w:tcPr>
            <w:tcW w:w="1837" w:type="dxa"/>
            <w:vAlign w:val="center"/>
          </w:tcPr>
          <w:p w14:paraId="5D953963" w14:textId="77777777" w:rsidR="005E000F" w:rsidRDefault="00000000">
            <w:pPr>
              <w:jc w:val="right"/>
            </w:pPr>
            <w:r>
              <w:t>247,783,807</w:t>
            </w:r>
          </w:p>
        </w:tc>
        <w:tc>
          <w:tcPr>
            <w:tcW w:w="1849" w:type="dxa"/>
            <w:vAlign w:val="center"/>
          </w:tcPr>
          <w:p w14:paraId="40C777FC" w14:textId="77777777" w:rsidR="005E000F" w:rsidRDefault="00000000">
            <w:pPr>
              <w:jc w:val="right"/>
            </w:pPr>
            <w:r>
              <w:rPr>
                <w:rFonts w:hint="eastAsia"/>
              </w:rPr>
              <w:t>0</w:t>
            </w:r>
          </w:p>
        </w:tc>
        <w:tc>
          <w:tcPr>
            <w:tcW w:w="1851" w:type="dxa"/>
            <w:vAlign w:val="center"/>
          </w:tcPr>
          <w:p w14:paraId="3F52E367" w14:textId="77777777" w:rsidR="005E000F" w:rsidRDefault="00000000">
            <w:pPr>
              <w:jc w:val="right"/>
            </w:pPr>
            <w:r>
              <w:t>247,783,807</w:t>
            </w:r>
          </w:p>
        </w:tc>
      </w:tr>
      <w:tr w:rsidR="005E000F" w14:paraId="4654D62B" w14:textId="77777777">
        <w:tc>
          <w:tcPr>
            <w:tcW w:w="1712" w:type="dxa"/>
            <w:vAlign w:val="center"/>
          </w:tcPr>
          <w:p w14:paraId="6AED5788" w14:textId="77777777" w:rsidR="005E000F" w:rsidRDefault="00000000">
            <w:pPr>
              <w:jc w:val="center"/>
            </w:pPr>
            <w:r>
              <w:rPr>
                <w:rFonts w:hint="eastAsia"/>
              </w:rPr>
              <w:t>合计</w:t>
            </w:r>
          </w:p>
        </w:tc>
        <w:tc>
          <w:tcPr>
            <w:tcW w:w="1808" w:type="dxa"/>
            <w:vAlign w:val="center"/>
          </w:tcPr>
          <w:p w14:paraId="2E43DB58" w14:textId="77777777" w:rsidR="005E000F" w:rsidRDefault="00000000">
            <w:pPr>
              <w:jc w:val="right"/>
            </w:pPr>
            <w:r>
              <w:rPr>
                <w:rFonts w:hint="eastAsia"/>
              </w:rPr>
              <w:t>0</w:t>
            </w:r>
          </w:p>
        </w:tc>
        <w:tc>
          <w:tcPr>
            <w:tcW w:w="1837" w:type="dxa"/>
            <w:vAlign w:val="center"/>
          </w:tcPr>
          <w:p w14:paraId="7C4277D6" w14:textId="77777777" w:rsidR="005E000F" w:rsidRDefault="00000000">
            <w:pPr>
              <w:jc w:val="right"/>
            </w:pPr>
            <w:r>
              <w:t>247,783,807</w:t>
            </w:r>
          </w:p>
        </w:tc>
        <w:tc>
          <w:tcPr>
            <w:tcW w:w="1849" w:type="dxa"/>
            <w:vAlign w:val="center"/>
          </w:tcPr>
          <w:p w14:paraId="1CFC47C7" w14:textId="77777777" w:rsidR="005E000F" w:rsidRDefault="00000000">
            <w:pPr>
              <w:jc w:val="right"/>
            </w:pPr>
            <w:r>
              <w:rPr>
                <w:rFonts w:hint="eastAsia"/>
              </w:rPr>
              <w:t>0</w:t>
            </w:r>
          </w:p>
        </w:tc>
        <w:tc>
          <w:tcPr>
            <w:tcW w:w="1851" w:type="dxa"/>
            <w:vAlign w:val="center"/>
          </w:tcPr>
          <w:p w14:paraId="155A5AAA" w14:textId="77777777" w:rsidR="005E000F" w:rsidRDefault="00000000">
            <w:pPr>
              <w:jc w:val="right"/>
            </w:pPr>
            <w:r>
              <w:t>247,783,807</w:t>
            </w:r>
          </w:p>
        </w:tc>
      </w:tr>
    </w:tbl>
    <w:p w14:paraId="3FA9021E" w14:textId="77777777" w:rsidR="005E000F" w:rsidRDefault="00000000">
      <w:r>
        <w:rPr>
          <w:rFonts w:hint="eastAsia"/>
        </w:rPr>
        <w:t>其他说明，包括本期增减变动情况、变动原因说明：</w:t>
      </w:r>
    </w:p>
    <w:sdt>
      <w:sdtPr>
        <w:alias w:val="库存股情况说明"/>
        <w:tag w:val="_GBC_42d286884eca4cfab482f6fcc10c0c0b"/>
        <w:id w:val="-1187213592"/>
        <w:placeholder>
          <w:docPart w:val="2904BB302B8D43B29B2FCC5A2AE1DE61"/>
        </w:placeholder>
      </w:sdtPr>
      <w:sdtContent>
        <w:p w14:paraId="51C31236" w14:textId="77777777" w:rsidR="005E000F" w:rsidRDefault="00000000">
          <w:r>
            <w:rPr>
              <w:rFonts w:hint="eastAsia"/>
            </w:rPr>
            <w:t>本公司分别于</w:t>
          </w:r>
          <w:r>
            <w:rPr>
              <w:rFonts w:hint="eastAsia"/>
            </w:rPr>
            <w:t>2025</w:t>
          </w:r>
          <w:r>
            <w:rPr>
              <w:rFonts w:hint="eastAsia"/>
            </w:rPr>
            <w:t>年</w:t>
          </w:r>
          <w:r>
            <w:rPr>
              <w:rFonts w:hint="eastAsia"/>
            </w:rPr>
            <w:t>8</w:t>
          </w:r>
          <w:r>
            <w:rPr>
              <w:rFonts w:hint="eastAsia"/>
            </w:rPr>
            <w:t>月</w:t>
          </w:r>
          <w:r>
            <w:rPr>
              <w:rFonts w:hint="eastAsia"/>
            </w:rPr>
            <w:t>27</w:t>
          </w:r>
          <w:r>
            <w:rPr>
              <w:rFonts w:hint="eastAsia"/>
            </w:rPr>
            <w:t>日、</w:t>
          </w:r>
          <w:r>
            <w:rPr>
              <w:rFonts w:hint="eastAsia"/>
            </w:rPr>
            <w:t>2025</w:t>
          </w:r>
          <w:r>
            <w:rPr>
              <w:rFonts w:hint="eastAsia"/>
            </w:rPr>
            <w:t>年</w:t>
          </w:r>
          <w:r>
            <w:rPr>
              <w:rFonts w:hint="eastAsia"/>
            </w:rPr>
            <w:t>9</w:t>
          </w:r>
          <w:r>
            <w:rPr>
              <w:rFonts w:hint="eastAsia"/>
            </w:rPr>
            <w:t>月</w:t>
          </w:r>
          <w:r>
            <w:rPr>
              <w:rFonts w:hint="eastAsia"/>
            </w:rPr>
            <w:t>23</w:t>
          </w:r>
          <w:r>
            <w:rPr>
              <w:rFonts w:hint="eastAsia"/>
            </w:rPr>
            <w:t>日召开第七届董事会第十三次会议、</w:t>
          </w:r>
          <w:r>
            <w:rPr>
              <w:rFonts w:hint="eastAsia"/>
            </w:rPr>
            <w:t>2025</w:t>
          </w:r>
          <w:r>
            <w:rPr>
              <w:rFonts w:hint="eastAsia"/>
            </w:rPr>
            <w:t>年第一次临时股东会审议通过了《关于以集中竞价方式回购公司股份的议案》，同意公司使用自有资金，通过上海证券交易所交易系统以集中竞价交易方式回购公司发行的人民币普通股</w:t>
          </w:r>
          <w:r>
            <w:rPr>
              <w:rFonts w:hint="eastAsia"/>
            </w:rPr>
            <w:t>A</w:t>
          </w:r>
          <w:r>
            <w:rPr>
              <w:rFonts w:hint="eastAsia"/>
            </w:rPr>
            <w:t>股股份，回购金额为人民币</w:t>
          </w:r>
          <w:r>
            <w:rPr>
              <w:rFonts w:hint="eastAsia"/>
            </w:rPr>
            <w:t>10</w:t>
          </w:r>
          <w:r>
            <w:rPr>
              <w:rFonts w:hint="eastAsia"/>
            </w:rPr>
            <w:t>亿元至</w:t>
          </w:r>
          <w:r>
            <w:rPr>
              <w:rFonts w:hint="eastAsia"/>
            </w:rPr>
            <w:t>15</w:t>
          </w:r>
          <w:r>
            <w:rPr>
              <w:rFonts w:hint="eastAsia"/>
            </w:rPr>
            <w:t>亿元，回购价格上限为</w:t>
          </w:r>
          <w:r>
            <w:rPr>
              <w:rFonts w:hint="eastAsia"/>
            </w:rPr>
            <w:t>8.19</w:t>
          </w:r>
          <w:r>
            <w:rPr>
              <w:rFonts w:hint="eastAsia"/>
            </w:rPr>
            <w:t>元</w:t>
          </w:r>
          <w:r>
            <w:rPr>
              <w:rFonts w:hint="eastAsia"/>
            </w:rPr>
            <w:t>/</w:t>
          </w:r>
          <w:r>
            <w:rPr>
              <w:rFonts w:hint="eastAsia"/>
            </w:rPr>
            <w:t>股，回购股</w:t>
          </w:r>
          <w:proofErr w:type="gramStart"/>
          <w:r>
            <w:rPr>
              <w:rFonts w:hint="eastAsia"/>
            </w:rPr>
            <w:t>份用于</w:t>
          </w:r>
          <w:proofErr w:type="gramEnd"/>
          <w:r>
            <w:rPr>
              <w:rFonts w:hint="eastAsia"/>
            </w:rPr>
            <w:t>注销并减少公司注册资本，回购股份的实施期限自公司股东会审议通过本次回购方案之日起</w:t>
          </w:r>
          <w:r>
            <w:rPr>
              <w:rFonts w:hint="eastAsia"/>
            </w:rPr>
            <w:t>12</w:t>
          </w:r>
          <w:r>
            <w:rPr>
              <w:rFonts w:hint="eastAsia"/>
            </w:rPr>
            <w:t>个月内。</w:t>
          </w:r>
        </w:p>
        <w:p w14:paraId="439E8F3D" w14:textId="77777777" w:rsidR="005E000F" w:rsidRDefault="005E000F"/>
        <w:p w14:paraId="34E9E709" w14:textId="77777777" w:rsidR="005E000F" w:rsidRDefault="00000000">
          <w:r>
            <w:rPr>
              <w:rFonts w:hint="eastAsia"/>
            </w:rPr>
            <w:t>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日，公司通过上海证券交易所交易系统以集中竞价交易方式已累计回购公司股份</w:t>
          </w:r>
          <w:r>
            <w:rPr>
              <w:rFonts w:hint="eastAsia"/>
            </w:rPr>
            <w:t>44,098,700</w:t>
          </w:r>
          <w:r>
            <w:rPr>
              <w:rFonts w:hint="eastAsia"/>
            </w:rPr>
            <w:t>股，占公司总股本</w:t>
          </w:r>
          <w:r>
            <w:rPr>
              <w:rFonts w:hint="eastAsia"/>
            </w:rPr>
            <w:t>20,147,177,716</w:t>
          </w:r>
          <w:r>
            <w:rPr>
              <w:rFonts w:hint="eastAsia"/>
            </w:rPr>
            <w:t>股的比例为</w:t>
          </w:r>
          <w:r>
            <w:rPr>
              <w:rFonts w:hint="eastAsia"/>
            </w:rPr>
            <w:t>0.2189%%</w:t>
          </w:r>
          <w:r>
            <w:rPr>
              <w:rFonts w:hint="eastAsia"/>
            </w:rPr>
            <w:t>，回购成交的</w:t>
          </w:r>
          <w:proofErr w:type="gramStart"/>
          <w:r>
            <w:rPr>
              <w:rFonts w:hint="eastAsia"/>
            </w:rPr>
            <w:t>最</w:t>
          </w:r>
          <w:proofErr w:type="gramEnd"/>
          <w:r>
            <w:rPr>
              <w:rFonts w:hint="eastAsia"/>
            </w:rPr>
            <w:t>高价为人民币</w:t>
          </w:r>
          <w:r>
            <w:rPr>
              <w:rFonts w:hint="eastAsia"/>
            </w:rPr>
            <w:t>5.78</w:t>
          </w:r>
          <w:r>
            <w:rPr>
              <w:rFonts w:hint="eastAsia"/>
            </w:rPr>
            <w:t>元</w:t>
          </w:r>
          <w:r>
            <w:rPr>
              <w:rFonts w:hint="eastAsia"/>
            </w:rPr>
            <w:t>/</w:t>
          </w:r>
          <w:r>
            <w:rPr>
              <w:rFonts w:hint="eastAsia"/>
            </w:rPr>
            <w:t>股，最低价为人民币</w:t>
          </w:r>
          <w:r>
            <w:rPr>
              <w:rFonts w:hint="eastAsia"/>
            </w:rPr>
            <w:t>5.16</w:t>
          </w:r>
          <w:r>
            <w:rPr>
              <w:rFonts w:hint="eastAsia"/>
            </w:rPr>
            <w:t>元</w:t>
          </w:r>
          <w:r>
            <w:rPr>
              <w:rFonts w:hint="eastAsia"/>
            </w:rPr>
            <w:t>/</w:t>
          </w:r>
          <w:r>
            <w:rPr>
              <w:rFonts w:hint="eastAsia"/>
            </w:rPr>
            <w:t>股，支付的资金总额为人民币</w:t>
          </w:r>
          <w:r>
            <w:rPr>
              <w:rFonts w:hint="eastAsia"/>
            </w:rPr>
            <w:t>247,783,807</w:t>
          </w:r>
          <w:r>
            <w:rPr>
              <w:rFonts w:hint="eastAsia"/>
            </w:rPr>
            <w:t>元（包含交易费用）。</w:t>
          </w:r>
        </w:p>
      </w:sdtContent>
    </w:sdt>
    <w:p w14:paraId="0C510FE0" w14:textId="77777777" w:rsidR="005E000F" w:rsidRDefault="005E000F">
      <w:pPr>
        <w:rPr>
          <w:b/>
        </w:rPr>
      </w:pPr>
    </w:p>
    <w:p w14:paraId="1CDAC26B" w14:textId="77777777" w:rsidR="005E000F" w:rsidRDefault="005E000F">
      <w:pPr>
        <w:sectPr w:rsidR="005E000F">
          <w:pgSz w:w="11906" w:h="16838"/>
          <w:pgMar w:top="1440" w:right="1797" w:bottom="1525" w:left="1276" w:header="856" w:footer="992" w:gutter="0"/>
          <w:cols w:space="425"/>
          <w:docGrid w:linePitch="312"/>
        </w:sectPr>
      </w:pPr>
    </w:p>
    <w:p w14:paraId="0F6145A3" w14:textId="77777777" w:rsidR="005E000F" w:rsidRDefault="005E000F"/>
    <w:p w14:paraId="21B92BA0" w14:textId="77777777" w:rsidR="005E000F" w:rsidRDefault="00000000">
      <w:pPr>
        <w:pStyle w:val="3"/>
        <w:numPr>
          <w:ilvl w:val="0"/>
          <w:numId w:val="66"/>
        </w:numPr>
        <w:tabs>
          <w:tab w:val="left" w:pos="504"/>
        </w:tabs>
        <w:rPr>
          <w:rFonts w:ascii="宋体" w:hAnsi="宋体"/>
          <w:szCs w:val="21"/>
        </w:rPr>
      </w:pPr>
      <w:bookmarkStart w:id="387" w:name="_Hlk10537776"/>
      <w:bookmarkStart w:id="388" w:name="_Hlk24027351"/>
      <w:bookmarkEnd w:id="387"/>
      <w:r>
        <w:rPr>
          <w:rFonts w:ascii="宋体" w:hAnsi="宋体" w:hint="eastAsia"/>
          <w:szCs w:val="21"/>
        </w:rPr>
        <w:t>其他综合收益</w:t>
      </w:r>
    </w:p>
    <w:sdt>
      <w:sdtPr>
        <w:alias w:val="是否适用：其他综合收益[双击切换]"/>
        <w:tag w:val="_GBC_60105f81909745c788232a2118ec8260"/>
        <w:id w:val="-1056621254"/>
        <w:placeholder>
          <w:docPart w:val="GBC22222222222222222222222222222"/>
        </w:placeholder>
      </w:sdtPr>
      <w:sdtContent>
        <w:p w14:paraId="57CB4F72"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DB3BCB4" w14:textId="77777777" w:rsidR="005E000F" w:rsidRDefault="00000000">
      <w:pPr>
        <w:jc w:val="right"/>
      </w:pPr>
      <w:r>
        <w:rPr>
          <w:rFonts w:hint="eastAsia"/>
        </w:rPr>
        <w:t>单位：</w:t>
      </w:r>
      <w:sdt>
        <w:sdtPr>
          <w:rPr>
            <w:rFonts w:hint="eastAsia"/>
          </w:rPr>
          <w:alias w:val="单位：财务附注：其他综合收益情况"/>
          <w:tag w:val="_GBC_e409bf7299734ac38578b7aeaafe4b22"/>
          <w:id w:val="104649062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其他综合收益情况"/>
          <w:tag w:val="_GBC_27d655d96e764a21a47eae18f25945dc"/>
          <w:id w:val="4559177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77"/>
        <w:gridCol w:w="1200"/>
        <w:gridCol w:w="1459"/>
        <w:gridCol w:w="1563"/>
        <w:gridCol w:w="1563"/>
        <w:gridCol w:w="1563"/>
        <w:gridCol w:w="1600"/>
        <w:gridCol w:w="1563"/>
      </w:tblGrid>
      <w:tr w:rsidR="005E000F" w14:paraId="12DBFD99" w14:textId="77777777">
        <w:trPr>
          <w:trHeight w:val="215"/>
        </w:trPr>
        <w:sdt>
          <w:sdtPr>
            <w:rPr>
              <w:sz w:val="18"/>
              <w:szCs w:val="18"/>
            </w:rPr>
            <w:tag w:val="_PLD_b9ff3615ccfb4fb8b5b240bdfb50f58f"/>
            <w:id w:val="547578899"/>
          </w:sdtPr>
          <w:sdtContent>
            <w:tc>
              <w:tcPr>
                <w:tcW w:w="743" w:type="pct"/>
                <w:vMerge w:val="restart"/>
                <w:vAlign w:val="center"/>
              </w:tcPr>
              <w:p w14:paraId="635B1BA2" w14:textId="77777777" w:rsidR="005E000F" w:rsidRDefault="00000000">
                <w:pPr>
                  <w:jc w:val="center"/>
                  <w:rPr>
                    <w:sz w:val="18"/>
                    <w:szCs w:val="18"/>
                  </w:rPr>
                </w:pPr>
                <w:r>
                  <w:rPr>
                    <w:rFonts w:hint="eastAsia"/>
                    <w:sz w:val="18"/>
                    <w:szCs w:val="18"/>
                  </w:rPr>
                  <w:t>项目</w:t>
                </w:r>
              </w:p>
            </w:tc>
          </w:sdtContent>
        </w:sdt>
        <w:sdt>
          <w:sdtPr>
            <w:rPr>
              <w:sz w:val="18"/>
              <w:szCs w:val="18"/>
            </w:rPr>
            <w:tag w:val="_PLD_c452eb3cb7084e41ba725641dbad27ab"/>
            <w:id w:val="-1928180422"/>
          </w:sdtPr>
          <w:sdtContent>
            <w:tc>
              <w:tcPr>
                <w:tcW w:w="524" w:type="pct"/>
                <w:vMerge w:val="restart"/>
                <w:vAlign w:val="center"/>
              </w:tcPr>
              <w:p w14:paraId="393FF250" w14:textId="77777777" w:rsidR="005E000F" w:rsidRDefault="00000000">
                <w:pPr>
                  <w:jc w:val="center"/>
                  <w:rPr>
                    <w:sz w:val="18"/>
                    <w:szCs w:val="18"/>
                  </w:rPr>
                </w:pPr>
                <w:r>
                  <w:rPr>
                    <w:rFonts w:hint="eastAsia"/>
                    <w:sz w:val="18"/>
                    <w:szCs w:val="18"/>
                  </w:rPr>
                  <w:t>期初</w:t>
                </w:r>
              </w:p>
              <w:p w14:paraId="653FC672" w14:textId="77777777" w:rsidR="005E000F" w:rsidRDefault="00000000">
                <w:pPr>
                  <w:jc w:val="center"/>
                  <w:rPr>
                    <w:sz w:val="18"/>
                    <w:szCs w:val="18"/>
                  </w:rPr>
                </w:pPr>
                <w:r>
                  <w:rPr>
                    <w:rFonts w:hint="eastAsia"/>
                    <w:sz w:val="18"/>
                    <w:szCs w:val="18"/>
                  </w:rPr>
                  <w:t>余额</w:t>
                </w:r>
              </w:p>
            </w:tc>
          </w:sdtContent>
        </w:sdt>
        <w:sdt>
          <w:sdtPr>
            <w:rPr>
              <w:sz w:val="18"/>
              <w:szCs w:val="18"/>
            </w:rPr>
            <w:tag w:val="_PLD_c4c67158aa744717a253a7b51b99ed00"/>
            <w:id w:val="284086828"/>
          </w:sdtPr>
          <w:sdtContent>
            <w:tc>
              <w:tcPr>
                <w:tcW w:w="3177" w:type="pct"/>
                <w:gridSpan w:val="6"/>
                <w:vAlign w:val="center"/>
              </w:tcPr>
              <w:p w14:paraId="5AACE605" w14:textId="77777777" w:rsidR="005E000F" w:rsidRDefault="00000000">
                <w:pPr>
                  <w:jc w:val="center"/>
                  <w:rPr>
                    <w:sz w:val="18"/>
                    <w:szCs w:val="18"/>
                  </w:rPr>
                </w:pPr>
                <w:r>
                  <w:rPr>
                    <w:rFonts w:hint="eastAsia"/>
                    <w:sz w:val="18"/>
                    <w:szCs w:val="18"/>
                  </w:rPr>
                  <w:t>本期发生金额</w:t>
                </w:r>
              </w:p>
            </w:tc>
          </w:sdtContent>
        </w:sdt>
        <w:sdt>
          <w:sdtPr>
            <w:rPr>
              <w:sz w:val="18"/>
              <w:szCs w:val="18"/>
            </w:rPr>
            <w:tag w:val="_PLD_2fcdc30e089b48d0af01eff4e6c0c7ad"/>
            <w:id w:val="1427314446"/>
          </w:sdtPr>
          <w:sdtContent>
            <w:tc>
              <w:tcPr>
                <w:tcW w:w="555" w:type="pct"/>
                <w:vMerge w:val="restart"/>
                <w:vAlign w:val="center"/>
              </w:tcPr>
              <w:p w14:paraId="36012928" w14:textId="77777777" w:rsidR="005E000F" w:rsidRDefault="00000000">
                <w:pPr>
                  <w:jc w:val="center"/>
                  <w:rPr>
                    <w:sz w:val="18"/>
                    <w:szCs w:val="18"/>
                  </w:rPr>
                </w:pPr>
                <w:r>
                  <w:rPr>
                    <w:rFonts w:hint="eastAsia"/>
                    <w:sz w:val="18"/>
                    <w:szCs w:val="18"/>
                  </w:rPr>
                  <w:t>期末</w:t>
                </w:r>
              </w:p>
              <w:p w14:paraId="6594A71D" w14:textId="77777777" w:rsidR="005E000F" w:rsidRDefault="00000000">
                <w:pPr>
                  <w:jc w:val="center"/>
                  <w:rPr>
                    <w:sz w:val="18"/>
                    <w:szCs w:val="18"/>
                  </w:rPr>
                </w:pPr>
                <w:r>
                  <w:rPr>
                    <w:rFonts w:hint="eastAsia"/>
                    <w:sz w:val="18"/>
                    <w:szCs w:val="18"/>
                  </w:rPr>
                  <w:t>余额</w:t>
                </w:r>
              </w:p>
            </w:tc>
          </w:sdtContent>
        </w:sdt>
      </w:tr>
      <w:tr w:rsidR="005E000F" w14:paraId="0439D222" w14:textId="77777777">
        <w:tc>
          <w:tcPr>
            <w:tcW w:w="743" w:type="pct"/>
            <w:vMerge/>
            <w:vAlign w:val="center"/>
          </w:tcPr>
          <w:p w14:paraId="1C9C85F0" w14:textId="77777777" w:rsidR="005E000F" w:rsidRDefault="005E000F">
            <w:pPr>
              <w:jc w:val="center"/>
              <w:rPr>
                <w:sz w:val="18"/>
                <w:szCs w:val="18"/>
              </w:rPr>
            </w:pPr>
          </w:p>
        </w:tc>
        <w:tc>
          <w:tcPr>
            <w:tcW w:w="524" w:type="pct"/>
            <w:vMerge/>
            <w:vAlign w:val="center"/>
          </w:tcPr>
          <w:p w14:paraId="3BCB1A3C" w14:textId="77777777" w:rsidR="005E000F" w:rsidRDefault="005E000F">
            <w:pPr>
              <w:jc w:val="center"/>
              <w:rPr>
                <w:sz w:val="18"/>
                <w:szCs w:val="18"/>
              </w:rPr>
            </w:pPr>
          </w:p>
        </w:tc>
        <w:sdt>
          <w:sdtPr>
            <w:rPr>
              <w:sz w:val="18"/>
              <w:szCs w:val="18"/>
            </w:rPr>
            <w:tag w:val="_PLD_08b0381418824e1685e4223515aed1f1"/>
            <w:id w:val="-954554926"/>
          </w:sdtPr>
          <w:sdtContent>
            <w:tc>
              <w:tcPr>
                <w:tcW w:w="426" w:type="pct"/>
                <w:vAlign w:val="center"/>
              </w:tcPr>
              <w:p w14:paraId="79BA45A9" w14:textId="77777777" w:rsidR="005E000F" w:rsidRDefault="00000000">
                <w:pPr>
                  <w:jc w:val="center"/>
                  <w:rPr>
                    <w:sz w:val="18"/>
                    <w:szCs w:val="18"/>
                  </w:rPr>
                </w:pPr>
                <w:r>
                  <w:rPr>
                    <w:rFonts w:hint="eastAsia"/>
                    <w:sz w:val="18"/>
                    <w:szCs w:val="18"/>
                  </w:rPr>
                  <w:t>本期所得税前发生额</w:t>
                </w:r>
              </w:p>
            </w:tc>
          </w:sdtContent>
        </w:sdt>
        <w:sdt>
          <w:sdtPr>
            <w:rPr>
              <w:sz w:val="18"/>
              <w:szCs w:val="18"/>
            </w:rPr>
            <w:tag w:val="_PLD_b9b4a9789ab94b46aa682fa396296a6f"/>
            <w:id w:val="-776788066"/>
          </w:sdtPr>
          <w:sdtContent>
            <w:tc>
              <w:tcPr>
                <w:tcW w:w="518" w:type="pct"/>
                <w:vAlign w:val="center"/>
              </w:tcPr>
              <w:p w14:paraId="7A0F6ABD" w14:textId="77777777" w:rsidR="005E000F" w:rsidRDefault="00000000">
                <w:pPr>
                  <w:jc w:val="center"/>
                  <w:rPr>
                    <w:sz w:val="18"/>
                    <w:szCs w:val="18"/>
                  </w:rPr>
                </w:pPr>
                <w:r>
                  <w:rPr>
                    <w:rFonts w:hint="eastAsia"/>
                    <w:sz w:val="18"/>
                    <w:szCs w:val="18"/>
                  </w:rPr>
                  <w:t>减：前期计入其他综合收益当期转入损益</w:t>
                </w:r>
              </w:p>
            </w:tc>
          </w:sdtContent>
        </w:sdt>
        <w:tc>
          <w:tcPr>
            <w:tcW w:w="555" w:type="pct"/>
            <w:vAlign w:val="center"/>
          </w:tcPr>
          <w:sdt>
            <w:sdtPr>
              <w:rPr>
                <w:sz w:val="18"/>
                <w:szCs w:val="18"/>
              </w:rPr>
              <w:tag w:val="_PLD_a38fa46c72bd4d5dbd427d2107ab58cc"/>
              <w:id w:val="343371491"/>
            </w:sdtPr>
            <w:sdtContent>
              <w:p w14:paraId="3C7EC8BA" w14:textId="77777777" w:rsidR="005E000F" w:rsidRDefault="00000000">
                <w:pPr>
                  <w:jc w:val="center"/>
                  <w:rPr>
                    <w:sz w:val="18"/>
                    <w:szCs w:val="18"/>
                  </w:rPr>
                </w:pPr>
                <w:r>
                  <w:rPr>
                    <w:rFonts w:hint="eastAsia"/>
                    <w:sz w:val="18"/>
                    <w:szCs w:val="18"/>
                  </w:rPr>
                  <w:t>减：前期计入其他综合收益当期转入留存收益</w:t>
                </w:r>
              </w:p>
            </w:sdtContent>
          </w:sdt>
        </w:tc>
        <w:sdt>
          <w:sdtPr>
            <w:rPr>
              <w:sz w:val="18"/>
              <w:szCs w:val="18"/>
            </w:rPr>
            <w:tag w:val="_PLD_3aa0b45624ce4714ba49e23b657915b8"/>
            <w:id w:val="1433394916"/>
          </w:sdtPr>
          <w:sdtContent>
            <w:tc>
              <w:tcPr>
                <w:tcW w:w="555" w:type="pct"/>
                <w:vAlign w:val="center"/>
              </w:tcPr>
              <w:p w14:paraId="66E748FB" w14:textId="77777777" w:rsidR="005E000F" w:rsidRDefault="00000000">
                <w:pPr>
                  <w:jc w:val="center"/>
                  <w:rPr>
                    <w:sz w:val="18"/>
                    <w:szCs w:val="18"/>
                  </w:rPr>
                </w:pPr>
                <w:r>
                  <w:rPr>
                    <w:rFonts w:hint="eastAsia"/>
                    <w:sz w:val="18"/>
                    <w:szCs w:val="18"/>
                  </w:rPr>
                  <w:t>减：所得税费用</w:t>
                </w:r>
              </w:p>
            </w:tc>
          </w:sdtContent>
        </w:sdt>
        <w:sdt>
          <w:sdtPr>
            <w:rPr>
              <w:sz w:val="18"/>
              <w:szCs w:val="18"/>
            </w:rPr>
            <w:tag w:val="_PLD_8b3cddc1172740f1a089204a9d0cbe76"/>
            <w:id w:val="1304430780"/>
          </w:sdtPr>
          <w:sdtContent>
            <w:tc>
              <w:tcPr>
                <w:tcW w:w="555" w:type="pct"/>
                <w:vAlign w:val="center"/>
              </w:tcPr>
              <w:p w14:paraId="51E7B4FA" w14:textId="77777777" w:rsidR="005E000F" w:rsidRDefault="00000000">
                <w:pPr>
                  <w:jc w:val="center"/>
                  <w:rPr>
                    <w:sz w:val="18"/>
                    <w:szCs w:val="18"/>
                  </w:rPr>
                </w:pPr>
                <w:r>
                  <w:rPr>
                    <w:rFonts w:hint="eastAsia"/>
                    <w:sz w:val="18"/>
                    <w:szCs w:val="18"/>
                  </w:rPr>
                  <w:t>税后归属于母公司</w:t>
                </w:r>
              </w:p>
            </w:tc>
          </w:sdtContent>
        </w:sdt>
        <w:sdt>
          <w:sdtPr>
            <w:rPr>
              <w:sz w:val="18"/>
              <w:szCs w:val="18"/>
            </w:rPr>
            <w:tag w:val="_PLD_addbe2b10c3b49449f4532c4ee8679a0"/>
            <w:id w:val="1754084489"/>
          </w:sdtPr>
          <w:sdtContent>
            <w:tc>
              <w:tcPr>
                <w:tcW w:w="568" w:type="pct"/>
                <w:vAlign w:val="center"/>
              </w:tcPr>
              <w:p w14:paraId="4116B4F6" w14:textId="77777777" w:rsidR="005E000F" w:rsidRDefault="00000000">
                <w:pPr>
                  <w:jc w:val="center"/>
                  <w:rPr>
                    <w:sz w:val="18"/>
                    <w:szCs w:val="18"/>
                  </w:rPr>
                </w:pPr>
                <w:r>
                  <w:rPr>
                    <w:rFonts w:hint="eastAsia"/>
                    <w:sz w:val="18"/>
                    <w:szCs w:val="18"/>
                  </w:rPr>
                  <w:t>税后归属于少数股东</w:t>
                </w:r>
              </w:p>
            </w:tc>
          </w:sdtContent>
        </w:sdt>
        <w:tc>
          <w:tcPr>
            <w:tcW w:w="555" w:type="pct"/>
            <w:vMerge/>
            <w:vAlign w:val="center"/>
          </w:tcPr>
          <w:p w14:paraId="1F29088D" w14:textId="77777777" w:rsidR="005E000F" w:rsidRDefault="005E000F">
            <w:pPr>
              <w:jc w:val="center"/>
              <w:rPr>
                <w:sz w:val="18"/>
                <w:szCs w:val="18"/>
              </w:rPr>
            </w:pPr>
          </w:p>
        </w:tc>
      </w:tr>
      <w:tr w:rsidR="005E000F" w14:paraId="31150903" w14:textId="77777777">
        <w:tc>
          <w:tcPr>
            <w:tcW w:w="743" w:type="pct"/>
            <w:vAlign w:val="center"/>
          </w:tcPr>
          <w:p w14:paraId="393F0BB6" w14:textId="77777777" w:rsidR="005E000F" w:rsidRDefault="00000000">
            <w:pPr>
              <w:rPr>
                <w:sz w:val="18"/>
                <w:szCs w:val="18"/>
              </w:rPr>
            </w:pPr>
            <w:r>
              <w:rPr>
                <w:rFonts w:hint="eastAsia"/>
                <w:sz w:val="18"/>
                <w:szCs w:val="18"/>
              </w:rPr>
              <w:t>一、不能重分类进损益的其他综合收益</w:t>
            </w:r>
          </w:p>
        </w:tc>
        <w:tc>
          <w:tcPr>
            <w:tcW w:w="524" w:type="pct"/>
            <w:vAlign w:val="center"/>
          </w:tcPr>
          <w:p w14:paraId="42B12926" w14:textId="77777777" w:rsidR="005E000F" w:rsidRDefault="00000000">
            <w:pPr>
              <w:jc w:val="right"/>
              <w:rPr>
                <w:sz w:val="18"/>
                <w:szCs w:val="18"/>
              </w:rPr>
            </w:pPr>
            <w:r>
              <w:rPr>
                <w:sz w:val="18"/>
                <w:szCs w:val="18"/>
              </w:rPr>
              <w:t>-1,920,952,306</w:t>
            </w:r>
          </w:p>
        </w:tc>
        <w:tc>
          <w:tcPr>
            <w:tcW w:w="426" w:type="pct"/>
            <w:vAlign w:val="center"/>
          </w:tcPr>
          <w:p w14:paraId="21845D17" w14:textId="77777777" w:rsidR="005E000F" w:rsidRDefault="00000000">
            <w:pPr>
              <w:jc w:val="right"/>
              <w:rPr>
                <w:sz w:val="18"/>
                <w:szCs w:val="18"/>
              </w:rPr>
            </w:pPr>
            <w:r>
              <w:rPr>
                <w:sz w:val="18"/>
                <w:szCs w:val="18"/>
              </w:rPr>
              <w:t>-49,043,218</w:t>
            </w:r>
          </w:p>
        </w:tc>
        <w:tc>
          <w:tcPr>
            <w:tcW w:w="518" w:type="pct"/>
            <w:vAlign w:val="center"/>
          </w:tcPr>
          <w:p w14:paraId="6DF3FD5D" w14:textId="77777777" w:rsidR="005E000F" w:rsidRDefault="00000000">
            <w:pPr>
              <w:jc w:val="right"/>
              <w:rPr>
                <w:sz w:val="18"/>
                <w:szCs w:val="18"/>
              </w:rPr>
            </w:pPr>
            <w:r>
              <w:rPr>
                <w:rFonts w:hint="eastAsia"/>
                <w:sz w:val="18"/>
                <w:szCs w:val="18"/>
              </w:rPr>
              <w:t>0</w:t>
            </w:r>
          </w:p>
        </w:tc>
        <w:tc>
          <w:tcPr>
            <w:tcW w:w="555" w:type="pct"/>
            <w:vAlign w:val="center"/>
          </w:tcPr>
          <w:p w14:paraId="444BD9F6" w14:textId="77777777" w:rsidR="005E000F" w:rsidRDefault="00000000">
            <w:pPr>
              <w:jc w:val="right"/>
              <w:rPr>
                <w:sz w:val="18"/>
                <w:szCs w:val="18"/>
              </w:rPr>
            </w:pPr>
            <w:r>
              <w:rPr>
                <w:rFonts w:hint="eastAsia"/>
                <w:sz w:val="18"/>
                <w:szCs w:val="18"/>
              </w:rPr>
              <w:t>0</w:t>
            </w:r>
          </w:p>
        </w:tc>
        <w:tc>
          <w:tcPr>
            <w:tcW w:w="1563" w:type="dxa"/>
            <w:vAlign w:val="center"/>
          </w:tcPr>
          <w:p w14:paraId="2CF591E7" w14:textId="77777777" w:rsidR="005E000F" w:rsidRDefault="00000000">
            <w:pPr>
              <w:jc w:val="right"/>
              <w:rPr>
                <w:sz w:val="18"/>
                <w:szCs w:val="18"/>
              </w:rPr>
            </w:pPr>
            <w:r>
              <w:rPr>
                <w:rFonts w:hint="eastAsia"/>
                <w:sz w:val="18"/>
                <w:szCs w:val="18"/>
              </w:rPr>
              <w:t>1,496,250</w:t>
            </w:r>
          </w:p>
        </w:tc>
        <w:tc>
          <w:tcPr>
            <w:tcW w:w="1563" w:type="dxa"/>
            <w:vAlign w:val="center"/>
          </w:tcPr>
          <w:p w14:paraId="63EB1518" w14:textId="77777777" w:rsidR="005E000F" w:rsidRDefault="00000000">
            <w:pPr>
              <w:jc w:val="right"/>
              <w:rPr>
                <w:sz w:val="18"/>
                <w:szCs w:val="18"/>
              </w:rPr>
            </w:pPr>
            <w:r>
              <w:rPr>
                <w:rFonts w:hint="eastAsia"/>
                <w:sz w:val="18"/>
                <w:szCs w:val="18"/>
              </w:rPr>
              <w:t>-51,624,889</w:t>
            </w:r>
          </w:p>
        </w:tc>
        <w:tc>
          <w:tcPr>
            <w:tcW w:w="1600" w:type="dxa"/>
            <w:vAlign w:val="center"/>
          </w:tcPr>
          <w:p w14:paraId="4C95332D" w14:textId="77777777" w:rsidR="005E000F" w:rsidRDefault="00000000">
            <w:pPr>
              <w:jc w:val="right"/>
              <w:rPr>
                <w:sz w:val="18"/>
                <w:szCs w:val="18"/>
              </w:rPr>
            </w:pPr>
            <w:r>
              <w:rPr>
                <w:rFonts w:hint="eastAsia"/>
                <w:sz w:val="18"/>
                <w:szCs w:val="18"/>
              </w:rPr>
              <w:t>1,085,421</w:t>
            </w:r>
          </w:p>
        </w:tc>
        <w:tc>
          <w:tcPr>
            <w:tcW w:w="1563" w:type="dxa"/>
            <w:vAlign w:val="center"/>
          </w:tcPr>
          <w:p w14:paraId="12D9300C" w14:textId="77777777" w:rsidR="005E000F" w:rsidRDefault="00000000">
            <w:pPr>
              <w:jc w:val="right"/>
              <w:rPr>
                <w:sz w:val="18"/>
                <w:szCs w:val="18"/>
              </w:rPr>
            </w:pPr>
            <w:r>
              <w:rPr>
                <w:rFonts w:hint="eastAsia"/>
                <w:sz w:val="18"/>
                <w:szCs w:val="18"/>
              </w:rPr>
              <w:t>-1,972,577,195</w:t>
            </w:r>
          </w:p>
        </w:tc>
      </w:tr>
      <w:tr w:rsidR="005E000F" w14:paraId="32569DAD" w14:textId="77777777">
        <w:tc>
          <w:tcPr>
            <w:tcW w:w="743" w:type="pct"/>
            <w:vAlign w:val="center"/>
          </w:tcPr>
          <w:p w14:paraId="0F078AF7" w14:textId="77777777" w:rsidR="005E000F" w:rsidRDefault="00000000">
            <w:pPr>
              <w:rPr>
                <w:sz w:val="18"/>
                <w:szCs w:val="18"/>
              </w:rPr>
            </w:pPr>
            <w:r>
              <w:rPr>
                <w:rFonts w:hint="eastAsia"/>
                <w:sz w:val="18"/>
                <w:szCs w:val="18"/>
              </w:rPr>
              <w:t>其中：重新计量设定受益计划变动额</w:t>
            </w:r>
          </w:p>
        </w:tc>
        <w:tc>
          <w:tcPr>
            <w:tcW w:w="524" w:type="pct"/>
            <w:vAlign w:val="center"/>
          </w:tcPr>
          <w:p w14:paraId="2F6AD529" w14:textId="77777777" w:rsidR="005E000F" w:rsidRDefault="00000000">
            <w:pPr>
              <w:jc w:val="right"/>
              <w:rPr>
                <w:sz w:val="18"/>
                <w:szCs w:val="18"/>
              </w:rPr>
            </w:pPr>
            <w:r>
              <w:rPr>
                <w:sz w:val="18"/>
                <w:szCs w:val="18"/>
              </w:rPr>
              <w:t>-1,979,492,658</w:t>
            </w:r>
          </w:p>
        </w:tc>
        <w:tc>
          <w:tcPr>
            <w:tcW w:w="426" w:type="pct"/>
            <w:vAlign w:val="center"/>
          </w:tcPr>
          <w:p w14:paraId="30805EE9" w14:textId="77777777" w:rsidR="005E000F" w:rsidRDefault="00000000">
            <w:pPr>
              <w:jc w:val="right"/>
              <w:rPr>
                <w:sz w:val="18"/>
                <w:szCs w:val="18"/>
              </w:rPr>
            </w:pPr>
            <w:r>
              <w:rPr>
                <w:sz w:val="18"/>
                <w:szCs w:val="18"/>
              </w:rPr>
              <w:t>-55,028,218</w:t>
            </w:r>
          </w:p>
        </w:tc>
        <w:tc>
          <w:tcPr>
            <w:tcW w:w="518" w:type="pct"/>
            <w:vAlign w:val="center"/>
          </w:tcPr>
          <w:p w14:paraId="47C5E264" w14:textId="77777777" w:rsidR="005E000F" w:rsidRDefault="00000000">
            <w:pPr>
              <w:jc w:val="right"/>
              <w:rPr>
                <w:sz w:val="18"/>
                <w:szCs w:val="18"/>
              </w:rPr>
            </w:pPr>
            <w:r>
              <w:rPr>
                <w:rFonts w:hint="eastAsia"/>
                <w:sz w:val="18"/>
                <w:szCs w:val="18"/>
              </w:rPr>
              <w:t>0</w:t>
            </w:r>
          </w:p>
        </w:tc>
        <w:tc>
          <w:tcPr>
            <w:tcW w:w="555" w:type="pct"/>
            <w:vAlign w:val="center"/>
          </w:tcPr>
          <w:p w14:paraId="0D8AF6B0" w14:textId="77777777" w:rsidR="005E000F" w:rsidRDefault="00000000">
            <w:pPr>
              <w:jc w:val="right"/>
              <w:rPr>
                <w:sz w:val="18"/>
                <w:szCs w:val="18"/>
              </w:rPr>
            </w:pPr>
            <w:r>
              <w:rPr>
                <w:rFonts w:hint="eastAsia"/>
                <w:sz w:val="18"/>
                <w:szCs w:val="18"/>
              </w:rPr>
              <w:t>0</w:t>
            </w:r>
          </w:p>
        </w:tc>
        <w:tc>
          <w:tcPr>
            <w:tcW w:w="1563" w:type="dxa"/>
            <w:vAlign w:val="center"/>
          </w:tcPr>
          <w:p w14:paraId="2726880B" w14:textId="77777777" w:rsidR="005E000F" w:rsidRDefault="005E000F">
            <w:pPr>
              <w:jc w:val="right"/>
              <w:rPr>
                <w:sz w:val="18"/>
                <w:szCs w:val="18"/>
              </w:rPr>
            </w:pPr>
          </w:p>
        </w:tc>
        <w:tc>
          <w:tcPr>
            <w:tcW w:w="1563" w:type="dxa"/>
            <w:vAlign w:val="center"/>
          </w:tcPr>
          <w:p w14:paraId="0C3DDA20" w14:textId="77777777" w:rsidR="005E000F" w:rsidRDefault="00000000">
            <w:pPr>
              <w:jc w:val="right"/>
              <w:rPr>
                <w:sz w:val="18"/>
                <w:szCs w:val="18"/>
              </w:rPr>
            </w:pPr>
            <w:r>
              <w:rPr>
                <w:rFonts w:hint="eastAsia"/>
                <w:sz w:val="18"/>
                <w:szCs w:val="18"/>
              </w:rPr>
              <w:t>-56,113,639</w:t>
            </w:r>
          </w:p>
        </w:tc>
        <w:tc>
          <w:tcPr>
            <w:tcW w:w="1600" w:type="dxa"/>
            <w:vAlign w:val="center"/>
          </w:tcPr>
          <w:p w14:paraId="3BE5C615" w14:textId="77777777" w:rsidR="005E000F" w:rsidRDefault="00000000">
            <w:pPr>
              <w:jc w:val="right"/>
              <w:rPr>
                <w:sz w:val="18"/>
                <w:szCs w:val="18"/>
              </w:rPr>
            </w:pPr>
            <w:r>
              <w:rPr>
                <w:rFonts w:hint="eastAsia"/>
                <w:sz w:val="18"/>
                <w:szCs w:val="18"/>
              </w:rPr>
              <w:t>1,085,421</w:t>
            </w:r>
          </w:p>
        </w:tc>
        <w:tc>
          <w:tcPr>
            <w:tcW w:w="1563" w:type="dxa"/>
            <w:vAlign w:val="center"/>
          </w:tcPr>
          <w:p w14:paraId="78ECDFE7" w14:textId="77777777" w:rsidR="005E000F" w:rsidRDefault="00000000">
            <w:pPr>
              <w:jc w:val="right"/>
              <w:rPr>
                <w:sz w:val="18"/>
                <w:szCs w:val="18"/>
              </w:rPr>
            </w:pPr>
            <w:r>
              <w:rPr>
                <w:rFonts w:hint="eastAsia"/>
                <w:sz w:val="18"/>
                <w:szCs w:val="18"/>
              </w:rPr>
              <w:t>-2,035,606,297</w:t>
            </w:r>
          </w:p>
        </w:tc>
      </w:tr>
      <w:tr w:rsidR="005E000F" w14:paraId="250DDAF9" w14:textId="77777777">
        <w:tc>
          <w:tcPr>
            <w:tcW w:w="743" w:type="pct"/>
            <w:vAlign w:val="center"/>
          </w:tcPr>
          <w:p w14:paraId="3FEBB9F5" w14:textId="77777777" w:rsidR="005E000F" w:rsidRDefault="00000000">
            <w:pPr>
              <w:ind w:firstLineChars="100" w:firstLine="180"/>
              <w:rPr>
                <w:sz w:val="18"/>
                <w:szCs w:val="18"/>
              </w:rPr>
            </w:pPr>
            <w:r>
              <w:rPr>
                <w:rFonts w:hint="eastAsia"/>
                <w:sz w:val="18"/>
                <w:szCs w:val="18"/>
              </w:rPr>
              <w:t>其他权益工具投资公允价值变动</w:t>
            </w:r>
          </w:p>
        </w:tc>
        <w:tc>
          <w:tcPr>
            <w:tcW w:w="524" w:type="pct"/>
            <w:vAlign w:val="center"/>
          </w:tcPr>
          <w:p w14:paraId="5149CA1D" w14:textId="77777777" w:rsidR="005E000F" w:rsidRDefault="00000000">
            <w:pPr>
              <w:jc w:val="right"/>
              <w:rPr>
                <w:sz w:val="18"/>
                <w:szCs w:val="18"/>
              </w:rPr>
            </w:pPr>
            <w:r>
              <w:rPr>
                <w:sz w:val="18"/>
                <w:szCs w:val="18"/>
              </w:rPr>
              <w:t>58,540,352</w:t>
            </w:r>
          </w:p>
        </w:tc>
        <w:tc>
          <w:tcPr>
            <w:tcW w:w="426" w:type="pct"/>
            <w:vAlign w:val="center"/>
          </w:tcPr>
          <w:p w14:paraId="16DB99C6" w14:textId="77777777" w:rsidR="005E000F" w:rsidRDefault="00000000">
            <w:pPr>
              <w:jc w:val="right"/>
              <w:rPr>
                <w:sz w:val="18"/>
                <w:szCs w:val="18"/>
              </w:rPr>
            </w:pPr>
            <w:r>
              <w:rPr>
                <w:sz w:val="18"/>
                <w:szCs w:val="18"/>
              </w:rPr>
              <w:t>5,985,000</w:t>
            </w:r>
          </w:p>
        </w:tc>
        <w:tc>
          <w:tcPr>
            <w:tcW w:w="518" w:type="pct"/>
            <w:vAlign w:val="center"/>
          </w:tcPr>
          <w:p w14:paraId="01A6EF3D" w14:textId="77777777" w:rsidR="005E000F" w:rsidRDefault="00000000">
            <w:pPr>
              <w:jc w:val="right"/>
              <w:rPr>
                <w:sz w:val="18"/>
                <w:szCs w:val="18"/>
              </w:rPr>
            </w:pPr>
            <w:r>
              <w:rPr>
                <w:rFonts w:hint="eastAsia"/>
                <w:sz w:val="18"/>
                <w:szCs w:val="18"/>
              </w:rPr>
              <w:t>0</w:t>
            </w:r>
          </w:p>
        </w:tc>
        <w:tc>
          <w:tcPr>
            <w:tcW w:w="555" w:type="pct"/>
            <w:vAlign w:val="center"/>
          </w:tcPr>
          <w:p w14:paraId="7C34B460" w14:textId="77777777" w:rsidR="005E000F" w:rsidRDefault="00000000">
            <w:pPr>
              <w:jc w:val="right"/>
              <w:rPr>
                <w:sz w:val="18"/>
                <w:szCs w:val="18"/>
              </w:rPr>
            </w:pPr>
            <w:r>
              <w:rPr>
                <w:rFonts w:hint="eastAsia"/>
                <w:sz w:val="18"/>
                <w:szCs w:val="18"/>
              </w:rPr>
              <w:t>0</w:t>
            </w:r>
          </w:p>
        </w:tc>
        <w:tc>
          <w:tcPr>
            <w:tcW w:w="1563" w:type="dxa"/>
            <w:vAlign w:val="center"/>
          </w:tcPr>
          <w:p w14:paraId="0CF8B014" w14:textId="77777777" w:rsidR="005E000F" w:rsidRDefault="00000000">
            <w:pPr>
              <w:jc w:val="right"/>
              <w:rPr>
                <w:sz w:val="18"/>
                <w:szCs w:val="18"/>
              </w:rPr>
            </w:pPr>
            <w:r>
              <w:rPr>
                <w:rFonts w:hint="eastAsia"/>
                <w:sz w:val="18"/>
                <w:szCs w:val="18"/>
              </w:rPr>
              <w:t>1,496,250</w:t>
            </w:r>
          </w:p>
        </w:tc>
        <w:tc>
          <w:tcPr>
            <w:tcW w:w="1563" w:type="dxa"/>
            <w:vAlign w:val="center"/>
          </w:tcPr>
          <w:p w14:paraId="3B87AF2E" w14:textId="77777777" w:rsidR="005E000F" w:rsidRDefault="00000000">
            <w:pPr>
              <w:jc w:val="right"/>
              <w:rPr>
                <w:sz w:val="18"/>
                <w:szCs w:val="18"/>
              </w:rPr>
            </w:pPr>
            <w:r>
              <w:rPr>
                <w:rFonts w:hint="eastAsia"/>
                <w:sz w:val="18"/>
                <w:szCs w:val="18"/>
              </w:rPr>
              <w:t>4,488,750</w:t>
            </w:r>
          </w:p>
        </w:tc>
        <w:tc>
          <w:tcPr>
            <w:tcW w:w="1600" w:type="dxa"/>
            <w:vAlign w:val="center"/>
          </w:tcPr>
          <w:p w14:paraId="5F584F3A" w14:textId="77777777" w:rsidR="005E000F" w:rsidRDefault="00000000">
            <w:pPr>
              <w:jc w:val="right"/>
              <w:rPr>
                <w:sz w:val="18"/>
                <w:szCs w:val="18"/>
              </w:rPr>
            </w:pPr>
            <w:r>
              <w:rPr>
                <w:rFonts w:hint="eastAsia"/>
                <w:sz w:val="18"/>
                <w:szCs w:val="18"/>
              </w:rPr>
              <w:t>0</w:t>
            </w:r>
          </w:p>
        </w:tc>
        <w:tc>
          <w:tcPr>
            <w:tcW w:w="1563" w:type="dxa"/>
            <w:vAlign w:val="center"/>
          </w:tcPr>
          <w:p w14:paraId="59E443E7" w14:textId="77777777" w:rsidR="005E000F" w:rsidRDefault="00000000">
            <w:pPr>
              <w:jc w:val="right"/>
              <w:rPr>
                <w:sz w:val="18"/>
                <w:szCs w:val="18"/>
              </w:rPr>
            </w:pPr>
            <w:r>
              <w:rPr>
                <w:rFonts w:hint="eastAsia"/>
                <w:sz w:val="18"/>
                <w:szCs w:val="18"/>
              </w:rPr>
              <w:t>63,029,102</w:t>
            </w:r>
          </w:p>
        </w:tc>
      </w:tr>
      <w:tr w:rsidR="005E000F" w14:paraId="223D7039" w14:textId="77777777">
        <w:tc>
          <w:tcPr>
            <w:tcW w:w="743" w:type="pct"/>
            <w:vAlign w:val="center"/>
          </w:tcPr>
          <w:p w14:paraId="1F964512" w14:textId="77777777" w:rsidR="005E000F" w:rsidRDefault="00000000">
            <w:pPr>
              <w:rPr>
                <w:sz w:val="18"/>
                <w:szCs w:val="18"/>
              </w:rPr>
            </w:pPr>
            <w:r>
              <w:rPr>
                <w:rFonts w:hint="eastAsia"/>
                <w:sz w:val="18"/>
                <w:szCs w:val="18"/>
              </w:rPr>
              <w:t>二、将重分类进损益的其他综合收益</w:t>
            </w:r>
          </w:p>
        </w:tc>
        <w:tc>
          <w:tcPr>
            <w:tcW w:w="524" w:type="pct"/>
            <w:vAlign w:val="center"/>
          </w:tcPr>
          <w:p w14:paraId="62E4895F" w14:textId="77777777" w:rsidR="005E000F" w:rsidRDefault="00000000">
            <w:pPr>
              <w:jc w:val="right"/>
              <w:rPr>
                <w:sz w:val="18"/>
                <w:szCs w:val="18"/>
              </w:rPr>
            </w:pPr>
            <w:r>
              <w:rPr>
                <w:rFonts w:hint="eastAsia"/>
                <w:sz w:val="18"/>
                <w:szCs w:val="18"/>
              </w:rPr>
              <w:t>0</w:t>
            </w:r>
          </w:p>
        </w:tc>
        <w:tc>
          <w:tcPr>
            <w:tcW w:w="426" w:type="pct"/>
            <w:vAlign w:val="center"/>
          </w:tcPr>
          <w:p w14:paraId="7476E670" w14:textId="77777777" w:rsidR="005E000F" w:rsidRDefault="00000000">
            <w:pPr>
              <w:jc w:val="right"/>
              <w:rPr>
                <w:sz w:val="18"/>
                <w:szCs w:val="18"/>
              </w:rPr>
            </w:pPr>
            <w:r>
              <w:rPr>
                <w:rFonts w:hint="eastAsia"/>
                <w:sz w:val="18"/>
                <w:szCs w:val="18"/>
              </w:rPr>
              <w:t>0</w:t>
            </w:r>
          </w:p>
        </w:tc>
        <w:tc>
          <w:tcPr>
            <w:tcW w:w="518" w:type="pct"/>
            <w:vAlign w:val="center"/>
          </w:tcPr>
          <w:p w14:paraId="10734A3B" w14:textId="77777777" w:rsidR="005E000F" w:rsidRDefault="00000000">
            <w:pPr>
              <w:jc w:val="right"/>
              <w:rPr>
                <w:sz w:val="18"/>
                <w:szCs w:val="18"/>
              </w:rPr>
            </w:pPr>
            <w:r>
              <w:rPr>
                <w:rFonts w:hint="eastAsia"/>
                <w:sz w:val="18"/>
                <w:szCs w:val="18"/>
              </w:rPr>
              <w:t>0</w:t>
            </w:r>
          </w:p>
        </w:tc>
        <w:tc>
          <w:tcPr>
            <w:tcW w:w="555" w:type="pct"/>
            <w:vAlign w:val="center"/>
          </w:tcPr>
          <w:p w14:paraId="31F37082" w14:textId="77777777" w:rsidR="005E000F" w:rsidRDefault="00000000">
            <w:pPr>
              <w:jc w:val="right"/>
              <w:rPr>
                <w:sz w:val="18"/>
                <w:szCs w:val="18"/>
              </w:rPr>
            </w:pPr>
            <w:r>
              <w:rPr>
                <w:rFonts w:hint="eastAsia"/>
                <w:sz w:val="18"/>
                <w:szCs w:val="18"/>
              </w:rPr>
              <w:t>0</w:t>
            </w:r>
          </w:p>
        </w:tc>
        <w:tc>
          <w:tcPr>
            <w:tcW w:w="555" w:type="pct"/>
            <w:vAlign w:val="center"/>
          </w:tcPr>
          <w:p w14:paraId="632FF21B" w14:textId="77777777" w:rsidR="005E000F" w:rsidRDefault="00000000">
            <w:pPr>
              <w:jc w:val="right"/>
              <w:rPr>
                <w:sz w:val="18"/>
                <w:szCs w:val="18"/>
              </w:rPr>
            </w:pPr>
            <w:r>
              <w:rPr>
                <w:rFonts w:hint="eastAsia"/>
                <w:sz w:val="18"/>
                <w:szCs w:val="18"/>
              </w:rPr>
              <w:t>0</w:t>
            </w:r>
          </w:p>
        </w:tc>
        <w:tc>
          <w:tcPr>
            <w:tcW w:w="555" w:type="pct"/>
            <w:vAlign w:val="center"/>
          </w:tcPr>
          <w:p w14:paraId="4167EF91" w14:textId="77777777" w:rsidR="005E000F" w:rsidRDefault="00000000">
            <w:pPr>
              <w:jc w:val="right"/>
              <w:rPr>
                <w:sz w:val="18"/>
                <w:szCs w:val="18"/>
              </w:rPr>
            </w:pPr>
            <w:r>
              <w:rPr>
                <w:rFonts w:hint="eastAsia"/>
                <w:sz w:val="18"/>
                <w:szCs w:val="18"/>
              </w:rPr>
              <w:t>0</w:t>
            </w:r>
          </w:p>
        </w:tc>
        <w:tc>
          <w:tcPr>
            <w:tcW w:w="568" w:type="pct"/>
            <w:vAlign w:val="center"/>
          </w:tcPr>
          <w:p w14:paraId="4B5E6DE2" w14:textId="77777777" w:rsidR="005E000F" w:rsidRDefault="00000000">
            <w:pPr>
              <w:jc w:val="right"/>
              <w:rPr>
                <w:sz w:val="18"/>
                <w:szCs w:val="18"/>
              </w:rPr>
            </w:pPr>
            <w:r>
              <w:rPr>
                <w:rFonts w:hint="eastAsia"/>
                <w:sz w:val="18"/>
                <w:szCs w:val="18"/>
              </w:rPr>
              <w:t>0</w:t>
            </w:r>
          </w:p>
        </w:tc>
        <w:tc>
          <w:tcPr>
            <w:tcW w:w="555" w:type="pct"/>
            <w:vAlign w:val="center"/>
          </w:tcPr>
          <w:p w14:paraId="00AA59A3" w14:textId="77777777" w:rsidR="005E000F" w:rsidRDefault="00000000">
            <w:pPr>
              <w:jc w:val="right"/>
              <w:rPr>
                <w:sz w:val="18"/>
                <w:szCs w:val="18"/>
              </w:rPr>
            </w:pPr>
            <w:r>
              <w:rPr>
                <w:rFonts w:hint="eastAsia"/>
                <w:sz w:val="18"/>
                <w:szCs w:val="18"/>
              </w:rPr>
              <w:t>0</w:t>
            </w:r>
          </w:p>
        </w:tc>
      </w:tr>
      <w:tr w:rsidR="005E000F" w14:paraId="52415C07" w14:textId="77777777">
        <w:tc>
          <w:tcPr>
            <w:tcW w:w="743" w:type="pct"/>
            <w:vAlign w:val="center"/>
          </w:tcPr>
          <w:p w14:paraId="2A07026B" w14:textId="77777777" w:rsidR="005E000F" w:rsidRDefault="00000000">
            <w:pPr>
              <w:rPr>
                <w:sz w:val="18"/>
                <w:szCs w:val="18"/>
              </w:rPr>
            </w:pPr>
            <w:r>
              <w:rPr>
                <w:rFonts w:hint="eastAsia"/>
                <w:sz w:val="18"/>
                <w:szCs w:val="18"/>
              </w:rPr>
              <w:t>其中：权益法下可转损益的其他综合收益</w:t>
            </w:r>
          </w:p>
        </w:tc>
        <w:tc>
          <w:tcPr>
            <w:tcW w:w="524" w:type="pct"/>
            <w:vAlign w:val="center"/>
          </w:tcPr>
          <w:p w14:paraId="69F47B54" w14:textId="77777777" w:rsidR="005E000F" w:rsidRDefault="00000000">
            <w:pPr>
              <w:jc w:val="right"/>
              <w:rPr>
                <w:sz w:val="18"/>
                <w:szCs w:val="18"/>
              </w:rPr>
            </w:pPr>
            <w:r>
              <w:rPr>
                <w:rFonts w:hint="eastAsia"/>
                <w:sz w:val="18"/>
                <w:szCs w:val="18"/>
              </w:rPr>
              <w:t>0</w:t>
            </w:r>
          </w:p>
        </w:tc>
        <w:tc>
          <w:tcPr>
            <w:tcW w:w="426" w:type="pct"/>
            <w:vAlign w:val="center"/>
          </w:tcPr>
          <w:p w14:paraId="632C2D67" w14:textId="77777777" w:rsidR="005E000F" w:rsidRDefault="00000000">
            <w:pPr>
              <w:jc w:val="right"/>
              <w:rPr>
                <w:sz w:val="18"/>
                <w:szCs w:val="18"/>
              </w:rPr>
            </w:pPr>
            <w:r>
              <w:rPr>
                <w:rFonts w:hint="eastAsia"/>
                <w:sz w:val="18"/>
                <w:szCs w:val="18"/>
              </w:rPr>
              <w:t>0</w:t>
            </w:r>
          </w:p>
        </w:tc>
        <w:tc>
          <w:tcPr>
            <w:tcW w:w="518" w:type="pct"/>
            <w:vAlign w:val="center"/>
          </w:tcPr>
          <w:p w14:paraId="30D6AF85" w14:textId="77777777" w:rsidR="005E000F" w:rsidRDefault="00000000">
            <w:pPr>
              <w:jc w:val="right"/>
              <w:rPr>
                <w:sz w:val="18"/>
                <w:szCs w:val="18"/>
              </w:rPr>
            </w:pPr>
            <w:r>
              <w:rPr>
                <w:rFonts w:hint="eastAsia"/>
                <w:sz w:val="18"/>
                <w:szCs w:val="18"/>
              </w:rPr>
              <w:t>0</w:t>
            </w:r>
          </w:p>
        </w:tc>
        <w:tc>
          <w:tcPr>
            <w:tcW w:w="555" w:type="pct"/>
            <w:vAlign w:val="center"/>
          </w:tcPr>
          <w:p w14:paraId="371858C2" w14:textId="77777777" w:rsidR="005E000F" w:rsidRDefault="00000000">
            <w:pPr>
              <w:jc w:val="right"/>
              <w:rPr>
                <w:sz w:val="18"/>
                <w:szCs w:val="18"/>
              </w:rPr>
            </w:pPr>
            <w:r>
              <w:rPr>
                <w:rFonts w:hint="eastAsia"/>
                <w:sz w:val="18"/>
                <w:szCs w:val="18"/>
              </w:rPr>
              <w:t>0</w:t>
            </w:r>
          </w:p>
        </w:tc>
        <w:tc>
          <w:tcPr>
            <w:tcW w:w="555" w:type="pct"/>
            <w:vAlign w:val="center"/>
          </w:tcPr>
          <w:p w14:paraId="3C11E358" w14:textId="77777777" w:rsidR="005E000F" w:rsidRDefault="00000000">
            <w:pPr>
              <w:jc w:val="right"/>
              <w:rPr>
                <w:sz w:val="18"/>
                <w:szCs w:val="18"/>
              </w:rPr>
            </w:pPr>
            <w:r>
              <w:rPr>
                <w:rFonts w:hint="eastAsia"/>
                <w:sz w:val="18"/>
                <w:szCs w:val="18"/>
              </w:rPr>
              <w:t>0</w:t>
            </w:r>
          </w:p>
        </w:tc>
        <w:tc>
          <w:tcPr>
            <w:tcW w:w="555" w:type="pct"/>
            <w:vAlign w:val="center"/>
          </w:tcPr>
          <w:p w14:paraId="154B6AC8" w14:textId="77777777" w:rsidR="005E000F" w:rsidRDefault="00000000">
            <w:pPr>
              <w:jc w:val="right"/>
              <w:rPr>
                <w:sz w:val="18"/>
                <w:szCs w:val="18"/>
              </w:rPr>
            </w:pPr>
            <w:r>
              <w:rPr>
                <w:rFonts w:hint="eastAsia"/>
                <w:sz w:val="18"/>
                <w:szCs w:val="18"/>
              </w:rPr>
              <w:t>0</w:t>
            </w:r>
          </w:p>
        </w:tc>
        <w:tc>
          <w:tcPr>
            <w:tcW w:w="568" w:type="pct"/>
            <w:vAlign w:val="center"/>
          </w:tcPr>
          <w:p w14:paraId="094C3CE6" w14:textId="77777777" w:rsidR="005E000F" w:rsidRDefault="00000000">
            <w:pPr>
              <w:jc w:val="right"/>
              <w:rPr>
                <w:sz w:val="18"/>
                <w:szCs w:val="18"/>
              </w:rPr>
            </w:pPr>
            <w:r>
              <w:rPr>
                <w:rFonts w:hint="eastAsia"/>
                <w:sz w:val="18"/>
                <w:szCs w:val="18"/>
              </w:rPr>
              <w:t>0</w:t>
            </w:r>
          </w:p>
        </w:tc>
        <w:tc>
          <w:tcPr>
            <w:tcW w:w="555" w:type="pct"/>
            <w:vAlign w:val="center"/>
          </w:tcPr>
          <w:p w14:paraId="4CC8E68C" w14:textId="77777777" w:rsidR="005E000F" w:rsidRDefault="00000000">
            <w:pPr>
              <w:jc w:val="right"/>
              <w:rPr>
                <w:sz w:val="18"/>
                <w:szCs w:val="18"/>
              </w:rPr>
            </w:pPr>
            <w:r>
              <w:rPr>
                <w:rFonts w:hint="eastAsia"/>
                <w:sz w:val="18"/>
                <w:szCs w:val="18"/>
              </w:rPr>
              <w:t>0</w:t>
            </w:r>
          </w:p>
        </w:tc>
      </w:tr>
      <w:tr w:rsidR="005E000F" w14:paraId="13A77DDE" w14:textId="77777777">
        <w:tc>
          <w:tcPr>
            <w:tcW w:w="743" w:type="pct"/>
            <w:vAlign w:val="center"/>
          </w:tcPr>
          <w:p w14:paraId="30746A36" w14:textId="77777777" w:rsidR="005E000F" w:rsidRDefault="00000000">
            <w:pPr>
              <w:rPr>
                <w:sz w:val="18"/>
                <w:szCs w:val="18"/>
              </w:rPr>
            </w:pPr>
            <w:r>
              <w:rPr>
                <w:rFonts w:hint="eastAsia"/>
                <w:sz w:val="18"/>
                <w:szCs w:val="18"/>
              </w:rPr>
              <w:t>其他综合收益合计</w:t>
            </w:r>
          </w:p>
        </w:tc>
        <w:tc>
          <w:tcPr>
            <w:tcW w:w="524" w:type="pct"/>
            <w:vAlign w:val="center"/>
          </w:tcPr>
          <w:p w14:paraId="7D1B6225" w14:textId="77777777" w:rsidR="005E000F" w:rsidRDefault="00000000">
            <w:pPr>
              <w:jc w:val="right"/>
              <w:rPr>
                <w:sz w:val="18"/>
                <w:szCs w:val="18"/>
              </w:rPr>
            </w:pPr>
            <w:r>
              <w:rPr>
                <w:sz w:val="18"/>
                <w:szCs w:val="18"/>
              </w:rPr>
              <w:t>-1,920,952,306</w:t>
            </w:r>
          </w:p>
        </w:tc>
        <w:tc>
          <w:tcPr>
            <w:tcW w:w="426" w:type="pct"/>
            <w:vAlign w:val="center"/>
          </w:tcPr>
          <w:p w14:paraId="1E911F0D" w14:textId="77777777" w:rsidR="005E000F" w:rsidRDefault="00000000">
            <w:pPr>
              <w:jc w:val="right"/>
              <w:rPr>
                <w:sz w:val="18"/>
                <w:szCs w:val="18"/>
              </w:rPr>
            </w:pPr>
            <w:r>
              <w:rPr>
                <w:sz w:val="18"/>
                <w:szCs w:val="18"/>
              </w:rPr>
              <w:t>-49,043,218</w:t>
            </w:r>
          </w:p>
        </w:tc>
        <w:tc>
          <w:tcPr>
            <w:tcW w:w="518" w:type="pct"/>
            <w:vAlign w:val="center"/>
          </w:tcPr>
          <w:p w14:paraId="40610812" w14:textId="77777777" w:rsidR="005E000F" w:rsidRDefault="00000000">
            <w:pPr>
              <w:jc w:val="right"/>
              <w:rPr>
                <w:sz w:val="18"/>
                <w:szCs w:val="18"/>
              </w:rPr>
            </w:pPr>
            <w:r>
              <w:rPr>
                <w:rFonts w:hint="eastAsia"/>
                <w:sz w:val="18"/>
                <w:szCs w:val="18"/>
              </w:rPr>
              <w:t>0</w:t>
            </w:r>
          </w:p>
        </w:tc>
        <w:tc>
          <w:tcPr>
            <w:tcW w:w="555" w:type="pct"/>
            <w:vAlign w:val="center"/>
          </w:tcPr>
          <w:p w14:paraId="657F65EA" w14:textId="77777777" w:rsidR="005E000F" w:rsidRDefault="00000000">
            <w:pPr>
              <w:jc w:val="right"/>
              <w:rPr>
                <w:sz w:val="18"/>
                <w:szCs w:val="18"/>
              </w:rPr>
            </w:pPr>
            <w:r>
              <w:rPr>
                <w:rFonts w:hint="eastAsia"/>
                <w:sz w:val="18"/>
                <w:szCs w:val="18"/>
              </w:rPr>
              <w:t>0</w:t>
            </w:r>
          </w:p>
        </w:tc>
        <w:tc>
          <w:tcPr>
            <w:tcW w:w="1563" w:type="dxa"/>
            <w:vAlign w:val="center"/>
          </w:tcPr>
          <w:p w14:paraId="6375B7DE" w14:textId="77777777" w:rsidR="005E000F" w:rsidRDefault="00000000">
            <w:pPr>
              <w:jc w:val="right"/>
              <w:rPr>
                <w:sz w:val="18"/>
                <w:szCs w:val="18"/>
              </w:rPr>
            </w:pPr>
            <w:r>
              <w:rPr>
                <w:rFonts w:hint="eastAsia"/>
                <w:sz w:val="18"/>
                <w:szCs w:val="18"/>
              </w:rPr>
              <w:t>1,496,250</w:t>
            </w:r>
          </w:p>
        </w:tc>
        <w:tc>
          <w:tcPr>
            <w:tcW w:w="1563" w:type="dxa"/>
            <w:vAlign w:val="center"/>
          </w:tcPr>
          <w:p w14:paraId="361BB523" w14:textId="77777777" w:rsidR="005E000F" w:rsidRDefault="00000000">
            <w:pPr>
              <w:jc w:val="right"/>
              <w:rPr>
                <w:sz w:val="18"/>
                <w:szCs w:val="18"/>
              </w:rPr>
            </w:pPr>
            <w:r>
              <w:rPr>
                <w:rFonts w:hint="eastAsia"/>
                <w:sz w:val="18"/>
                <w:szCs w:val="18"/>
              </w:rPr>
              <w:t>-51,624,889</w:t>
            </w:r>
          </w:p>
        </w:tc>
        <w:tc>
          <w:tcPr>
            <w:tcW w:w="1600" w:type="dxa"/>
            <w:vAlign w:val="center"/>
          </w:tcPr>
          <w:p w14:paraId="6000D25C" w14:textId="77777777" w:rsidR="005E000F" w:rsidRDefault="00000000">
            <w:pPr>
              <w:jc w:val="right"/>
              <w:rPr>
                <w:sz w:val="18"/>
                <w:szCs w:val="18"/>
              </w:rPr>
            </w:pPr>
            <w:r>
              <w:rPr>
                <w:rFonts w:hint="eastAsia"/>
                <w:sz w:val="18"/>
                <w:szCs w:val="18"/>
              </w:rPr>
              <w:t>1,085,421</w:t>
            </w:r>
          </w:p>
        </w:tc>
        <w:tc>
          <w:tcPr>
            <w:tcW w:w="1563" w:type="dxa"/>
            <w:vAlign w:val="center"/>
          </w:tcPr>
          <w:p w14:paraId="1A92FAAD" w14:textId="77777777" w:rsidR="005E000F" w:rsidRDefault="00000000">
            <w:pPr>
              <w:jc w:val="right"/>
              <w:rPr>
                <w:sz w:val="18"/>
                <w:szCs w:val="18"/>
              </w:rPr>
            </w:pPr>
            <w:r>
              <w:rPr>
                <w:rFonts w:hint="eastAsia"/>
                <w:sz w:val="18"/>
                <w:szCs w:val="18"/>
              </w:rPr>
              <w:t>-1,972,577,195</w:t>
            </w:r>
          </w:p>
        </w:tc>
      </w:tr>
    </w:tbl>
    <w:p w14:paraId="1B9457E9" w14:textId="77777777" w:rsidR="005E000F" w:rsidRDefault="005E000F"/>
    <w:p w14:paraId="24FD4A35" w14:textId="77777777" w:rsidR="005E000F" w:rsidRDefault="00000000">
      <w:pPr>
        <w:spacing w:before="60" w:after="60"/>
        <w:rPr>
          <w:b/>
        </w:rPr>
      </w:pPr>
      <w:r>
        <w:rPr>
          <w:rFonts w:hint="eastAsia"/>
        </w:rPr>
        <w:t>其他说明，包括对现金流量套期损益的有效部分转为被套</w:t>
      </w:r>
      <w:proofErr w:type="gramStart"/>
      <w:r>
        <w:rPr>
          <w:rFonts w:hint="eastAsia"/>
        </w:rPr>
        <w:t>期项目</w:t>
      </w:r>
      <w:proofErr w:type="gramEnd"/>
      <w:r>
        <w:rPr>
          <w:rFonts w:hint="eastAsia"/>
        </w:rPr>
        <w:t>初始确认金额调整：</w:t>
      </w:r>
    </w:p>
    <w:sdt>
      <w:sdtPr>
        <w:rPr>
          <w:rFonts w:hint="eastAsia"/>
        </w:rPr>
        <w:alias w:val="综合收益情况"/>
        <w:tag w:val="_GBC_5d84d969b6cc4ff285c66258c1721a98"/>
        <w:id w:val="-1216576648"/>
        <w:placeholder>
          <w:docPart w:val="GBC22222222222222222222222222222"/>
        </w:placeholder>
      </w:sdtPr>
      <w:sdtContent>
        <w:p w14:paraId="24148E73" w14:textId="77777777" w:rsidR="005E000F" w:rsidRDefault="00000000">
          <w:r>
            <w:rPr>
              <w:rFonts w:hint="eastAsia"/>
            </w:rPr>
            <w:t>无</w:t>
          </w:r>
        </w:p>
      </w:sdtContent>
    </w:sdt>
    <w:p w14:paraId="43A99849" w14:textId="77777777" w:rsidR="005E000F" w:rsidRDefault="005E000F">
      <w:pPr>
        <w:sectPr w:rsidR="005E000F">
          <w:pgSz w:w="16838" w:h="11906" w:orient="landscape"/>
          <w:pgMar w:top="1276" w:right="1440" w:bottom="1797" w:left="1525" w:header="856" w:footer="992" w:gutter="0"/>
          <w:cols w:space="425"/>
          <w:docGrid w:linePitch="312"/>
        </w:sectPr>
      </w:pPr>
    </w:p>
    <w:p w14:paraId="5C43FF6F" w14:textId="77777777" w:rsidR="005E000F" w:rsidRDefault="005E000F"/>
    <w:bookmarkEnd w:id="388"/>
    <w:p w14:paraId="37AB3A23"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101110084"/>
        <w:placeholder>
          <w:docPart w:val="GBC22222222222222222222222222222"/>
        </w:placeholder>
      </w:sdtPr>
      <w:sdtContent>
        <w:p w14:paraId="3EE2315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68CEF7E" w14:textId="77777777" w:rsidR="005E000F" w:rsidRDefault="00000000">
      <w:pPr>
        <w:pStyle w:val="aff8"/>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8870754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0d38a2dae28a4705ad4e665e5fcad88c"/>
          <w:id w:val="12751314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712"/>
        <w:gridCol w:w="1822"/>
        <w:gridCol w:w="1822"/>
        <w:gridCol w:w="1864"/>
        <w:gridCol w:w="1837"/>
      </w:tblGrid>
      <w:tr w:rsidR="005E000F" w14:paraId="0131F510" w14:textId="77777777">
        <w:sdt>
          <w:sdtPr>
            <w:tag w:val="_PLD_1b8418d949a749fe8d001c0cc33cf61e"/>
            <w:id w:val="533316004"/>
          </w:sdtPr>
          <w:sdtContent>
            <w:tc>
              <w:tcPr>
                <w:tcW w:w="1712" w:type="dxa"/>
                <w:vAlign w:val="center"/>
              </w:tcPr>
              <w:p w14:paraId="67CC706A" w14:textId="77777777" w:rsidR="005E000F" w:rsidRDefault="00000000">
                <w:pPr>
                  <w:jc w:val="center"/>
                </w:pPr>
                <w:r>
                  <w:rPr>
                    <w:rFonts w:hint="eastAsia"/>
                  </w:rPr>
                  <w:t>项目</w:t>
                </w:r>
              </w:p>
            </w:tc>
          </w:sdtContent>
        </w:sdt>
        <w:sdt>
          <w:sdtPr>
            <w:tag w:val="_PLD_080ff0821e57448ea6f6c5e836583c19"/>
            <w:id w:val="246623089"/>
          </w:sdtPr>
          <w:sdtContent>
            <w:tc>
              <w:tcPr>
                <w:tcW w:w="1822" w:type="dxa"/>
                <w:vAlign w:val="center"/>
              </w:tcPr>
              <w:p w14:paraId="290182D4" w14:textId="77777777" w:rsidR="005E000F" w:rsidRDefault="00000000">
                <w:pPr>
                  <w:jc w:val="center"/>
                </w:pPr>
                <w:r>
                  <w:rPr>
                    <w:rFonts w:hint="eastAsia"/>
                  </w:rPr>
                  <w:t>期初余额</w:t>
                </w:r>
              </w:p>
            </w:tc>
          </w:sdtContent>
        </w:sdt>
        <w:sdt>
          <w:sdtPr>
            <w:tag w:val="_PLD_99281caa76a54a77b09eef392dfa3e36"/>
            <w:id w:val="-618142626"/>
          </w:sdtPr>
          <w:sdtContent>
            <w:tc>
              <w:tcPr>
                <w:tcW w:w="1822" w:type="dxa"/>
                <w:vAlign w:val="center"/>
              </w:tcPr>
              <w:p w14:paraId="3A04BD35" w14:textId="77777777" w:rsidR="005E000F" w:rsidRDefault="00000000">
                <w:pPr>
                  <w:jc w:val="center"/>
                </w:pPr>
                <w:r>
                  <w:rPr>
                    <w:rFonts w:hint="eastAsia"/>
                  </w:rPr>
                  <w:t>本期增加</w:t>
                </w:r>
              </w:p>
            </w:tc>
          </w:sdtContent>
        </w:sdt>
        <w:sdt>
          <w:sdtPr>
            <w:tag w:val="_PLD_c1f0c2bb01df4af28d10ddd8f2af79a9"/>
            <w:id w:val="1581335488"/>
          </w:sdtPr>
          <w:sdtContent>
            <w:tc>
              <w:tcPr>
                <w:tcW w:w="1864" w:type="dxa"/>
                <w:vAlign w:val="center"/>
              </w:tcPr>
              <w:p w14:paraId="62DB6AF3" w14:textId="77777777" w:rsidR="005E000F" w:rsidRDefault="00000000">
                <w:pPr>
                  <w:jc w:val="center"/>
                </w:pPr>
                <w:r>
                  <w:rPr>
                    <w:rFonts w:hint="eastAsia"/>
                  </w:rPr>
                  <w:t>本期减少</w:t>
                </w:r>
              </w:p>
            </w:tc>
          </w:sdtContent>
        </w:sdt>
        <w:sdt>
          <w:sdtPr>
            <w:tag w:val="_PLD_c07fab254eb14bc88273a7ed58442223"/>
            <w:id w:val="2105229931"/>
          </w:sdtPr>
          <w:sdtContent>
            <w:tc>
              <w:tcPr>
                <w:tcW w:w="1837" w:type="dxa"/>
                <w:vAlign w:val="center"/>
              </w:tcPr>
              <w:p w14:paraId="16A2DE2C" w14:textId="77777777" w:rsidR="005E000F" w:rsidRDefault="00000000">
                <w:pPr>
                  <w:jc w:val="center"/>
                </w:pPr>
                <w:r>
                  <w:rPr>
                    <w:rFonts w:hint="eastAsia"/>
                  </w:rPr>
                  <w:t>期末余额</w:t>
                </w:r>
              </w:p>
            </w:tc>
          </w:sdtContent>
        </w:sdt>
      </w:tr>
      <w:tr w:rsidR="005E000F" w14:paraId="6B4A13AF" w14:textId="77777777">
        <w:tc>
          <w:tcPr>
            <w:tcW w:w="1712" w:type="dxa"/>
            <w:vAlign w:val="center"/>
          </w:tcPr>
          <w:p w14:paraId="74930754" w14:textId="77777777" w:rsidR="005E000F" w:rsidRDefault="00000000">
            <w:r>
              <w:rPr>
                <w:rFonts w:hint="eastAsia"/>
              </w:rPr>
              <w:t>安全生产费</w:t>
            </w:r>
          </w:p>
        </w:tc>
        <w:tc>
          <w:tcPr>
            <w:tcW w:w="1822" w:type="dxa"/>
            <w:vAlign w:val="center"/>
          </w:tcPr>
          <w:p w14:paraId="478D1B46" w14:textId="77777777" w:rsidR="005E000F" w:rsidRDefault="00000000">
            <w:pPr>
              <w:jc w:val="right"/>
            </w:pPr>
            <w:r>
              <w:t>235,448,207</w:t>
            </w:r>
          </w:p>
        </w:tc>
        <w:tc>
          <w:tcPr>
            <w:tcW w:w="1822" w:type="dxa"/>
            <w:vAlign w:val="center"/>
          </w:tcPr>
          <w:p w14:paraId="0B5C3841" w14:textId="77777777" w:rsidR="005E000F" w:rsidRDefault="00000000">
            <w:pPr>
              <w:jc w:val="right"/>
            </w:pPr>
            <w:r>
              <w:t>722,247,053</w:t>
            </w:r>
          </w:p>
        </w:tc>
        <w:tc>
          <w:tcPr>
            <w:tcW w:w="1864" w:type="dxa"/>
            <w:vAlign w:val="center"/>
          </w:tcPr>
          <w:p w14:paraId="6BE6D7B3" w14:textId="77777777" w:rsidR="005E000F" w:rsidRDefault="00000000">
            <w:pPr>
              <w:jc w:val="right"/>
            </w:pPr>
            <w:r>
              <w:t>762,662,492</w:t>
            </w:r>
          </w:p>
        </w:tc>
        <w:tc>
          <w:tcPr>
            <w:tcW w:w="1837" w:type="dxa"/>
            <w:vAlign w:val="center"/>
          </w:tcPr>
          <w:p w14:paraId="11EDCFD0" w14:textId="77777777" w:rsidR="005E000F" w:rsidRDefault="00000000">
            <w:pPr>
              <w:jc w:val="right"/>
            </w:pPr>
            <w:r>
              <w:t>195,032,768</w:t>
            </w:r>
          </w:p>
        </w:tc>
      </w:tr>
      <w:tr w:rsidR="005E000F" w14:paraId="3FB44E7E" w14:textId="77777777">
        <w:tc>
          <w:tcPr>
            <w:tcW w:w="1712" w:type="dxa"/>
            <w:vAlign w:val="center"/>
          </w:tcPr>
          <w:p w14:paraId="13E21876" w14:textId="77777777" w:rsidR="005E000F" w:rsidRDefault="00000000">
            <w:pPr>
              <w:jc w:val="center"/>
            </w:pPr>
            <w:r>
              <w:rPr>
                <w:rFonts w:hint="eastAsia"/>
              </w:rPr>
              <w:t>合计</w:t>
            </w:r>
          </w:p>
        </w:tc>
        <w:tc>
          <w:tcPr>
            <w:tcW w:w="1822" w:type="dxa"/>
            <w:vAlign w:val="center"/>
          </w:tcPr>
          <w:p w14:paraId="63D13251" w14:textId="77777777" w:rsidR="005E000F" w:rsidRDefault="00000000">
            <w:pPr>
              <w:jc w:val="right"/>
            </w:pPr>
            <w:r>
              <w:t>235,448,207</w:t>
            </w:r>
          </w:p>
        </w:tc>
        <w:tc>
          <w:tcPr>
            <w:tcW w:w="1822" w:type="dxa"/>
            <w:vAlign w:val="center"/>
          </w:tcPr>
          <w:p w14:paraId="6B844A41" w14:textId="77777777" w:rsidR="005E000F" w:rsidRDefault="00000000">
            <w:pPr>
              <w:jc w:val="right"/>
            </w:pPr>
            <w:r>
              <w:t>722,247,053</w:t>
            </w:r>
          </w:p>
        </w:tc>
        <w:tc>
          <w:tcPr>
            <w:tcW w:w="1864" w:type="dxa"/>
            <w:vAlign w:val="center"/>
          </w:tcPr>
          <w:p w14:paraId="4D2190FB" w14:textId="77777777" w:rsidR="005E000F" w:rsidRDefault="00000000">
            <w:pPr>
              <w:jc w:val="right"/>
            </w:pPr>
            <w:r>
              <w:t>762,662,492</w:t>
            </w:r>
          </w:p>
        </w:tc>
        <w:tc>
          <w:tcPr>
            <w:tcW w:w="1837" w:type="dxa"/>
            <w:vAlign w:val="center"/>
          </w:tcPr>
          <w:p w14:paraId="1BC3C048" w14:textId="77777777" w:rsidR="005E000F" w:rsidRDefault="00000000">
            <w:pPr>
              <w:jc w:val="right"/>
            </w:pPr>
            <w:r>
              <w:t>195,032,768</w:t>
            </w:r>
          </w:p>
        </w:tc>
      </w:tr>
    </w:tbl>
    <w:p w14:paraId="0334046E" w14:textId="77777777" w:rsidR="005E000F" w:rsidRDefault="00000000">
      <w:r>
        <w:rPr>
          <w:rFonts w:hint="eastAsia"/>
        </w:rPr>
        <w:t>其他说明，包括本期增减变动情况、变动原因说明：</w:t>
      </w:r>
    </w:p>
    <w:p w14:paraId="7D9A9C77" w14:textId="77777777" w:rsidR="005E000F" w:rsidRDefault="00000000">
      <w:sdt>
        <w:sdtPr>
          <w:alias w:val="专项储备情况说明"/>
          <w:tag w:val="_GBC_a75c8c7cc1e44ab5a1585f4a9964199c"/>
          <w:id w:val="1484116814"/>
          <w:placeholder>
            <w:docPart w:val="GBC22222222222222222222222222222"/>
          </w:placeholder>
        </w:sdtPr>
        <w:sdtContent>
          <w:r>
            <w:rPr>
              <w:rFonts w:hint="eastAsia"/>
            </w:rPr>
            <w:t>无</w:t>
          </w:r>
        </w:sdtContent>
      </w:sdt>
    </w:p>
    <w:p w14:paraId="2F717D64" w14:textId="77777777" w:rsidR="005E000F" w:rsidRDefault="005E000F"/>
    <w:p w14:paraId="2FE42EFC"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852340107"/>
        <w:placeholder>
          <w:docPart w:val="GBC22222222222222222222222222222"/>
        </w:placeholder>
      </w:sdtPr>
      <w:sdtContent>
        <w:p w14:paraId="5FEB423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F588C40" w14:textId="77777777" w:rsidR="005E000F" w:rsidRDefault="00000000">
      <w:pPr>
        <w:jc w:val="right"/>
      </w:pPr>
      <w:r>
        <w:rPr>
          <w:rFonts w:hint="eastAsia"/>
        </w:rPr>
        <w:t>单位：</w:t>
      </w:r>
      <w:sdt>
        <w:sdtPr>
          <w:rPr>
            <w:rFonts w:hint="eastAsia"/>
          </w:rPr>
          <w:alias w:val="单位：财务附注：盈余公积"/>
          <w:tag w:val="_GBC_8ca7c8f8d04e47ff92c33109bbf55576"/>
          <w:id w:val="-161251413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盈余公积"/>
          <w:tag w:val="_GBC_24d833c69b8448ca876fbf8299519039"/>
          <w:id w:val="-34069972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671"/>
        <w:gridCol w:w="1798"/>
        <w:gridCol w:w="1803"/>
        <w:gridCol w:w="1815"/>
        <w:gridCol w:w="1803"/>
      </w:tblGrid>
      <w:tr w:rsidR="005E000F" w14:paraId="1B00B5EC" w14:textId="77777777">
        <w:sdt>
          <w:sdtPr>
            <w:tag w:val="_PLD_448cc13fae91499a9f41c6e4c1f51937"/>
            <w:id w:val="-286046585"/>
          </w:sdtPr>
          <w:sdtContent>
            <w:tc>
              <w:tcPr>
                <w:tcW w:w="1671" w:type="dxa"/>
                <w:vAlign w:val="center"/>
              </w:tcPr>
              <w:p w14:paraId="630963A4" w14:textId="77777777" w:rsidR="005E000F" w:rsidRDefault="00000000">
                <w:pPr>
                  <w:autoSpaceDE w:val="0"/>
                  <w:autoSpaceDN w:val="0"/>
                  <w:adjustRightInd w:val="0"/>
                  <w:snapToGrid w:val="0"/>
                  <w:jc w:val="center"/>
                </w:pPr>
                <w:r>
                  <w:rPr>
                    <w:rFonts w:hint="eastAsia"/>
                  </w:rPr>
                  <w:t>项目</w:t>
                </w:r>
              </w:p>
            </w:tc>
          </w:sdtContent>
        </w:sdt>
        <w:sdt>
          <w:sdtPr>
            <w:tag w:val="_PLD_112a59f6ca7b4b5f8ced860f9465eb1a"/>
            <w:id w:val="208933811"/>
          </w:sdtPr>
          <w:sdtContent>
            <w:tc>
              <w:tcPr>
                <w:tcW w:w="1798" w:type="dxa"/>
                <w:vAlign w:val="center"/>
              </w:tcPr>
              <w:p w14:paraId="7A407619" w14:textId="77777777" w:rsidR="005E000F" w:rsidRDefault="00000000">
                <w:pPr>
                  <w:autoSpaceDE w:val="0"/>
                  <w:autoSpaceDN w:val="0"/>
                  <w:adjustRightInd w:val="0"/>
                  <w:snapToGrid w:val="0"/>
                  <w:jc w:val="center"/>
                </w:pPr>
                <w:r>
                  <w:rPr>
                    <w:rFonts w:hint="eastAsia"/>
                  </w:rPr>
                  <w:t>期初余额</w:t>
                </w:r>
              </w:p>
            </w:tc>
          </w:sdtContent>
        </w:sdt>
        <w:sdt>
          <w:sdtPr>
            <w:tag w:val="_PLD_a2c4f4720dd7427b93c04e32666cfd69"/>
            <w:id w:val="371349745"/>
          </w:sdtPr>
          <w:sdtContent>
            <w:tc>
              <w:tcPr>
                <w:tcW w:w="1803" w:type="dxa"/>
                <w:vAlign w:val="center"/>
              </w:tcPr>
              <w:p w14:paraId="15FF9006" w14:textId="77777777" w:rsidR="005E000F" w:rsidRDefault="00000000">
                <w:pPr>
                  <w:autoSpaceDE w:val="0"/>
                  <w:autoSpaceDN w:val="0"/>
                  <w:adjustRightInd w:val="0"/>
                  <w:snapToGrid w:val="0"/>
                  <w:jc w:val="center"/>
                </w:pPr>
                <w:r>
                  <w:rPr>
                    <w:rFonts w:hint="eastAsia"/>
                  </w:rPr>
                  <w:t>本期增加</w:t>
                </w:r>
              </w:p>
            </w:tc>
          </w:sdtContent>
        </w:sdt>
        <w:sdt>
          <w:sdtPr>
            <w:tag w:val="_PLD_ad1876bb4d7c41eaa003da876ae9e601"/>
            <w:id w:val="1884060759"/>
          </w:sdtPr>
          <w:sdtContent>
            <w:tc>
              <w:tcPr>
                <w:tcW w:w="1815" w:type="dxa"/>
                <w:vAlign w:val="center"/>
              </w:tcPr>
              <w:p w14:paraId="0845023C" w14:textId="77777777" w:rsidR="005E000F" w:rsidRDefault="00000000">
                <w:pPr>
                  <w:autoSpaceDE w:val="0"/>
                  <w:autoSpaceDN w:val="0"/>
                  <w:adjustRightInd w:val="0"/>
                  <w:snapToGrid w:val="0"/>
                  <w:jc w:val="center"/>
                </w:pPr>
                <w:r>
                  <w:rPr>
                    <w:rFonts w:hint="eastAsia"/>
                  </w:rPr>
                  <w:t>本期减少</w:t>
                </w:r>
              </w:p>
            </w:tc>
          </w:sdtContent>
        </w:sdt>
        <w:sdt>
          <w:sdtPr>
            <w:tag w:val="_PLD_45d6cc2a2d2140619579c3f035df8d6a"/>
            <w:id w:val="-2133006852"/>
          </w:sdtPr>
          <w:sdtContent>
            <w:tc>
              <w:tcPr>
                <w:tcW w:w="1803" w:type="dxa"/>
                <w:vAlign w:val="center"/>
              </w:tcPr>
              <w:p w14:paraId="5A737948" w14:textId="77777777" w:rsidR="005E000F" w:rsidRDefault="00000000">
                <w:pPr>
                  <w:autoSpaceDE w:val="0"/>
                  <w:autoSpaceDN w:val="0"/>
                  <w:adjustRightInd w:val="0"/>
                  <w:snapToGrid w:val="0"/>
                  <w:jc w:val="center"/>
                </w:pPr>
                <w:r>
                  <w:rPr>
                    <w:rFonts w:hint="eastAsia"/>
                  </w:rPr>
                  <w:t>期末余额</w:t>
                </w:r>
              </w:p>
            </w:tc>
          </w:sdtContent>
        </w:sdt>
      </w:tr>
      <w:tr w:rsidR="005E000F" w14:paraId="10F5E4C6" w14:textId="77777777">
        <w:tc>
          <w:tcPr>
            <w:tcW w:w="1671" w:type="dxa"/>
            <w:vAlign w:val="center"/>
          </w:tcPr>
          <w:p w14:paraId="054FCE65" w14:textId="77777777" w:rsidR="005E000F" w:rsidRDefault="00000000">
            <w:pPr>
              <w:autoSpaceDE w:val="0"/>
              <w:autoSpaceDN w:val="0"/>
              <w:adjustRightInd w:val="0"/>
              <w:snapToGrid w:val="0"/>
              <w:jc w:val="both"/>
            </w:pPr>
            <w:r>
              <w:rPr>
                <w:rFonts w:hint="eastAsia"/>
              </w:rPr>
              <w:t>法定盈余公积</w:t>
            </w:r>
          </w:p>
        </w:tc>
        <w:tc>
          <w:tcPr>
            <w:tcW w:w="1798" w:type="dxa"/>
          </w:tcPr>
          <w:p w14:paraId="61AD99E2" w14:textId="77777777" w:rsidR="005E000F" w:rsidRDefault="00000000">
            <w:pPr>
              <w:jc w:val="right"/>
              <w:rPr>
                <w:lang w:eastAsia="en-US"/>
              </w:rPr>
            </w:pPr>
            <w:r>
              <w:t>20,964,623,349</w:t>
            </w:r>
          </w:p>
        </w:tc>
        <w:tc>
          <w:tcPr>
            <w:tcW w:w="1803" w:type="dxa"/>
            <w:vAlign w:val="center"/>
          </w:tcPr>
          <w:p w14:paraId="5BF55ED9" w14:textId="77777777" w:rsidR="005E000F" w:rsidRDefault="00000000">
            <w:pPr>
              <w:jc w:val="right"/>
            </w:pPr>
            <w:r>
              <w:t>614,017,876</w:t>
            </w:r>
          </w:p>
        </w:tc>
        <w:tc>
          <w:tcPr>
            <w:tcW w:w="1815" w:type="dxa"/>
            <w:vAlign w:val="center"/>
          </w:tcPr>
          <w:p w14:paraId="6F448C50" w14:textId="77777777" w:rsidR="005E000F" w:rsidRDefault="00000000">
            <w:pPr>
              <w:jc w:val="right"/>
            </w:pPr>
            <w:r>
              <w:rPr>
                <w:rFonts w:hint="eastAsia"/>
              </w:rPr>
              <w:t>0</w:t>
            </w:r>
          </w:p>
        </w:tc>
        <w:tc>
          <w:tcPr>
            <w:tcW w:w="1803" w:type="dxa"/>
            <w:vAlign w:val="center"/>
          </w:tcPr>
          <w:p w14:paraId="33C7BEF7" w14:textId="77777777" w:rsidR="005E000F" w:rsidRDefault="00000000">
            <w:pPr>
              <w:jc w:val="right"/>
            </w:pPr>
            <w:r>
              <w:t>21,578,641,225</w:t>
            </w:r>
          </w:p>
        </w:tc>
      </w:tr>
      <w:tr w:rsidR="005E000F" w14:paraId="60E2E3F9" w14:textId="77777777">
        <w:tc>
          <w:tcPr>
            <w:tcW w:w="1671" w:type="dxa"/>
            <w:vAlign w:val="center"/>
          </w:tcPr>
          <w:p w14:paraId="445627A4" w14:textId="77777777" w:rsidR="005E000F" w:rsidRDefault="00000000">
            <w:pPr>
              <w:autoSpaceDE w:val="0"/>
              <w:autoSpaceDN w:val="0"/>
              <w:adjustRightInd w:val="0"/>
              <w:snapToGrid w:val="0"/>
              <w:jc w:val="both"/>
            </w:pPr>
            <w:r>
              <w:rPr>
                <w:rFonts w:hint="eastAsia"/>
              </w:rPr>
              <w:t>任意盈余公积</w:t>
            </w:r>
          </w:p>
        </w:tc>
        <w:tc>
          <w:tcPr>
            <w:tcW w:w="1798" w:type="dxa"/>
          </w:tcPr>
          <w:p w14:paraId="383BA2C2" w14:textId="77777777" w:rsidR="005E000F" w:rsidRDefault="00000000">
            <w:pPr>
              <w:jc w:val="right"/>
              <w:rPr>
                <w:lang w:eastAsia="en-US"/>
              </w:rPr>
            </w:pPr>
            <w:r>
              <w:t>531,373,477</w:t>
            </w:r>
          </w:p>
        </w:tc>
        <w:tc>
          <w:tcPr>
            <w:tcW w:w="1803" w:type="dxa"/>
            <w:vAlign w:val="center"/>
          </w:tcPr>
          <w:p w14:paraId="62DFC0B2" w14:textId="77777777" w:rsidR="005E000F" w:rsidRDefault="00000000">
            <w:pPr>
              <w:jc w:val="right"/>
            </w:pPr>
            <w:r>
              <w:rPr>
                <w:rFonts w:hint="eastAsia"/>
              </w:rPr>
              <w:t>0</w:t>
            </w:r>
          </w:p>
        </w:tc>
        <w:tc>
          <w:tcPr>
            <w:tcW w:w="1815" w:type="dxa"/>
            <w:vAlign w:val="center"/>
          </w:tcPr>
          <w:p w14:paraId="3CF04CCC" w14:textId="77777777" w:rsidR="005E000F" w:rsidRDefault="00000000">
            <w:pPr>
              <w:jc w:val="right"/>
            </w:pPr>
            <w:r>
              <w:rPr>
                <w:rFonts w:hint="eastAsia"/>
              </w:rPr>
              <w:t>0</w:t>
            </w:r>
          </w:p>
        </w:tc>
        <w:tc>
          <w:tcPr>
            <w:tcW w:w="1803" w:type="dxa"/>
            <w:vAlign w:val="center"/>
          </w:tcPr>
          <w:p w14:paraId="69BF09AB" w14:textId="77777777" w:rsidR="005E000F" w:rsidRDefault="00000000">
            <w:pPr>
              <w:jc w:val="right"/>
            </w:pPr>
            <w:r>
              <w:t>531,373,477</w:t>
            </w:r>
          </w:p>
        </w:tc>
      </w:tr>
      <w:tr w:rsidR="005E000F" w14:paraId="2044AAC7" w14:textId="77777777">
        <w:tc>
          <w:tcPr>
            <w:tcW w:w="1671" w:type="dxa"/>
            <w:vAlign w:val="center"/>
          </w:tcPr>
          <w:p w14:paraId="7B50B526" w14:textId="77777777" w:rsidR="005E000F" w:rsidRDefault="00000000">
            <w:pPr>
              <w:autoSpaceDE w:val="0"/>
              <w:autoSpaceDN w:val="0"/>
              <w:adjustRightInd w:val="0"/>
              <w:snapToGrid w:val="0"/>
              <w:jc w:val="center"/>
            </w:pPr>
            <w:r>
              <w:rPr>
                <w:rFonts w:hint="eastAsia"/>
              </w:rPr>
              <w:t>合计</w:t>
            </w:r>
          </w:p>
        </w:tc>
        <w:tc>
          <w:tcPr>
            <w:tcW w:w="1798" w:type="dxa"/>
            <w:vAlign w:val="center"/>
          </w:tcPr>
          <w:p w14:paraId="62427002" w14:textId="77777777" w:rsidR="005E000F" w:rsidRDefault="00000000">
            <w:pPr>
              <w:jc w:val="right"/>
            </w:pPr>
            <w:r>
              <w:t>21,495,996,826</w:t>
            </w:r>
          </w:p>
        </w:tc>
        <w:tc>
          <w:tcPr>
            <w:tcW w:w="1803" w:type="dxa"/>
            <w:vAlign w:val="center"/>
          </w:tcPr>
          <w:p w14:paraId="29CFEAA6" w14:textId="77777777" w:rsidR="005E000F" w:rsidRDefault="00000000">
            <w:pPr>
              <w:jc w:val="right"/>
            </w:pPr>
            <w:r>
              <w:t>614,017,876</w:t>
            </w:r>
          </w:p>
        </w:tc>
        <w:tc>
          <w:tcPr>
            <w:tcW w:w="1815" w:type="dxa"/>
            <w:vAlign w:val="center"/>
          </w:tcPr>
          <w:p w14:paraId="2869A7B1" w14:textId="77777777" w:rsidR="005E000F" w:rsidRDefault="00000000">
            <w:pPr>
              <w:jc w:val="right"/>
            </w:pPr>
            <w:r>
              <w:rPr>
                <w:rFonts w:hint="eastAsia"/>
              </w:rPr>
              <w:t>0</w:t>
            </w:r>
          </w:p>
        </w:tc>
        <w:tc>
          <w:tcPr>
            <w:tcW w:w="1803" w:type="dxa"/>
            <w:vAlign w:val="center"/>
          </w:tcPr>
          <w:p w14:paraId="7852EC6B" w14:textId="77777777" w:rsidR="005E000F" w:rsidRDefault="00000000">
            <w:pPr>
              <w:jc w:val="right"/>
            </w:pPr>
            <w:r>
              <w:t>22,110,014,702</w:t>
            </w:r>
          </w:p>
        </w:tc>
      </w:tr>
    </w:tbl>
    <w:p w14:paraId="055848F9" w14:textId="77777777" w:rsidR="005E000F" w:rsidRDefault="00000000">
      <w:pPr>
        <w:spacing w:before="60" w:after="60"/>
      </w:pPr>
      <w:r>
        <w:rPr>
          <w:rFonts w:hint="eastAsia"/>
        </w:rPr>
        <w:t>盈余公积说明，包括本期增减变动情况、变动原因说明：</w:t>
      </w:r>
    </w:p>
    <w:sdt>
      <w:sdtPr>
        <w:alias w:val="盈余公积说明"/>
        <w:tag w:val="_GBC_538b8c4ba55d480592f5f9485177617e"/>
        <w:id w:val="1738584867"/>
        <w:placeholder>
          <w:docPart w:val="GBC22222222222222222222222222222"/>
        </w:placeholder>
      </w:sdtPr>
      <w:sdtContent>
        <w:p w14:paraId="26F4202C" w14:textId="77777777" w:rsidR="005E000F" w:rsidRDefault="00000000">
          <w:pPr>
            <w:autoSpaceDE w:val="0"/>
            <w:autoSpaceDN w:val="0"/>
            <w:adjustRightInd w:val="0"/>
          </w:pPr>
          <w:r>
            <w:rPr>
              <w:rFonts w:hint="eastAsia"/>
            </w:rPr>
            <w:t>根据《中华人民共和国公司法》及公司章程，本公司</w:t>
          </w:r>
          <w:r>
            <w:rPr>
              <w:rFonts w:hint="eastAsia"/>
            </w:rPr>
            <w:t>2025</w:t>
          </w:r>
          <w:r>
            <w:rPr>
              <w:rFonts w:hint="eastAsia"/>
            </w:rPr>
            <w:t>年度提取法定盈余公积金人民币</w:t>
          </w:r>
          <w:r>
            <w:t>614,017,876</w:t>
          </w:r>
          <w:r>
            <w:rPr>
              <w:rFonts w:hint="eastAsia"/>
            </w:rPr>
            <w:t>元（</w:t>
          </w:r>
          <w:r>
            <w:rPr>
              <w:rFonts w:hint="eastAsia"/>
            </w:rPr>
            <w:t>2024</w:t>
          </w:r>
          <w:r>
            <w:rPr>
              <w:rFonts w:hint="eastAsia"/>
            </w:rPr>
            <w:t>年度</w:t>
          </w:r>
          <w:r>
            <w:rPr>
              <w:rFonts w:hint="eastAsia"/>
            </w:rPr>
            <w:t>:</w:t>
          </w:r>
          <w:r>
            <w:rPr>
              <w:rFonts w:hint="eastAsia"/>
            </w:rPr>
            <w:t>人民币</w:t>
          </w:r>
          <w:r>
            <w:rPr>
              <w:rFonts w:hint="eastAsia"/>
            </w:rPr>
            <w:t>900,996,209</w:t>
          </w:r>
          <w:r>
            <w:rPr>
              <w:rFonts w:hint="eastAsia"/>
            </w:rPr>
            <w:t>元）。</w:t>
          </w:r>
        </w:p>
      </w:sdtContent>
    </w:sdt>
    <w:p w14:paraId="7E82F5CC" w14:textId="77777777" w:rsidR="005E000F" w:rsidRDefault="005E000F">
      <w:pPr>
        <w:autoSpaceDE w:val="0"/>
        <w:autoSpaceDN w:val="0"/>
        <w:adjustRightInd w:val="0"/>
        <w:rPr>
          <w:color w:val="000000" w:themeColor="text1"/>
        </w:rPr>
      </w:pPr>
    </w:p>
    <w:p w14:paraId="011C8DB2"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未分配利润</w:t>
      </w:r>
    </w:p>
    <w:p w14:paraId="3F749F6F" w14:textId="77777777" w:rsidR="005E000F" w:rsidRDefault="00000000">
      <w:sdt>
        <w:sdtPr>
          <w:alias w:val="是否适用：未分配利润[双击切换]"/>
          <w:tag w:val="_GBC_0ccb002da9b649db91afd1ca2a9330f8"/>
          <w:id w:val="-1340083243"/>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781540E2" w14:textId="77777777" w:rsidR="005E000F" w:rsidRDefault="00000000">
      <w:pPr>
        <w:jc w:val="right"/>
      </w:pPr>
      <w:r>
        <w:rPr>
          <w:rFonts w:hint="eastAsia"/>
        </w:rPr>
        <w:t>单位：</w:t>
      </w:r>
      <w:sdt>
        <w:sdtPr>
          <w:rPr>
            <w:rFonts w:hint="eastAsia"/>
          </w:rPr>
          <w:alias w:val="单位：财务附注：未分配利润"/>
          <w:tag w:val="_GBC_fc12fabcd66949d39f6f74b747284465"/>
          <w:id w:val="-152678521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未分配利润"/>
          <w:tag w:val="_GBC_7b3accd97aa744c08d773ec06b05684e"/>
          <w:id w:val="13292489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91"/>
        <w:gridCol w:w="2826"/>
        <w:gridCol w:w="2739"/>
      </w:tblGrid>
      <w:tr w:rsidR="005E000F" w14:paraId="0DF2E248" w14:textId="77777777">
        <w:trPr>
          <w:cantSplit/>
        </w:trPr>
        <w:sdt>
          <w:sdtPr>
            <w:tag w:val="_PLD_30da0a90f08b46f090b6fee887a691bc"/>
            <w:id w:val="1466699781"/>
          </w:sdtPr>
          <w:sdtContent>
            <w:tc>
              <w:tcPr>
                <w:tcW w:w="3491" w:type="dxa"/>
                <w:vAlign w:val="center"/>
              </w:tcPr>
              <w:p w14:paraId="6267286B" w14:textId="77777777" w:rsidR="005E000F" w:rsidRDefault="00000000">
                <w:pPr>
                  <w:jc w:val="center"/>
                </w:pPr>
                <w:r>
                  <w:rPr>
                    <w:rFonts w:hint="eastAsia"/>
                  </w:rPr>
                  <w:t>项目</w:t>
                </w:r>
              </w:p>
            </w:tc>
          </w:sdtContent>
        </w:sdt>
        <w:sdt>
          <w:sdtPr>
            <w:tag w:val="_PLD_27c0ff4064964dc5b9e335151d04b603"/>
            <w:id w:val="-365135899"/>
          </w:sdtPr>
          <w:sdtContent>
            <w:tc>
              <w:tcPr>
                <w:tcW w:w="2826" w:type="dxa"/>
                <w:vAlign w:val="center"/>
              </w:tcPr>
              <w:p w14:paraId="2A8676B3" w14:textId="77777777" w:rsidR="005E000F" w:rsidRDefault="00000000">
                <w:pPr>
                  <w:jc w:val="center"/>
                </w:pPr>
                <w:r>
                  <w:rPr>
                    <w:rFonts w:hint="eastAsia"/>
                  </w:rPr>
                  <w:t>本期</w:t>
                </w:r>
              </w:p>
            </w:tc>
          </w:sdtContent>
        </w:sdt>
        <w:sdt>
          <w:sdtPr>
            <w:tag w:val="_PLD_613460741a0147b7be8212812793694e"/>
            <w:id w:val="-438066542"/>
          </w:sdtPr>
          <w:sdtContent>
            <w:tc>
              <w:tcPr>
                <w:tcW w:w="2739" w:type="dxa"/>
                <w:vAlign w:val="center"/>
              </w:tcPr>
              <w:p w14:paraId="0384851A" w14:textId="77777777" w:rsidR="005E000F" w:rsidRDefault="00000000">
                <w:pPr>
                  <w:jc w:val="center"/>
                </w:pPr>
                <w:r>
                  <w:rPr>
                    <w:rFonts w:hint="eastAsia"/>
                  </w:rPr>
                  <w:t>上期</w:t>
                </w:r>
              </w:p>
            </w:tc>
          </w:sdtContent>
        </w:sdt>
      </w:tr>
      <w:tr w:rsidR="005E000F" w14:paraId="6F2D6CBB" w14:textId="77777777">
        <w:trPr>
          <w:cantSplit/>
        </w:trPr>
        <w:tc>
          <w:tcPr>
            <w:tcW w:w="3491" w:type="dxa"/>
            <w:vAlign w:val="center"/>
          </w:tcPr>
          <w:p w14:paraId="39DFA199" w14:textId="77777777" w:rsidR="005E000F" w:rsidRDefault="00000000">
            <w:r>
              <w:rPr>
                <w:rFonts w:hint="eastAsia"/>
              </w:rPr>
              <w:t>调整前上期末未分配利润</w:t>
            </w:r>
          </w:p>
        </w:tc>
        <w:tc>
          <w:tcPr>
            <w:tcW w:w="2826" w:type="dxa"/>
            <w:vAlign w:val="center"/>
          </w:tcPr>
          <w:p w14:paraId="53474252" w14:textId="77777777" w:rsidR="005E000F" w:rsidRDefault="00000000">
            <w:pPr>
              <w:jc w:val="right"/>
            </w:pPr>
            <w:r>
              <w:t>69,489,614,587</w:t>
            </w:r>
          </w:p>
        </w:tc>
        <w:tc>
          <w:tcPr>
            <w:tcW w:w="2739" w:type="dxa"/>
            <w:vAlign w:val="center"/>
          </w:tcPr>
          <w:p w14:paraId="6FC83886" w14:textId="77777777" w:rsidR="005E000F" w:rsidRDefault="00000000">
            <w:pPr>
              <w:jc w:val="right"/>
              <w:rPr>
                <w:lang w:eastAsia="en-US"/>
              </w:rPr>
            </w:pPr>
            <w:r>
              <w:t>70,658,537,032</w:t>
            </w:r>
          </w:p>
        </w:tc>
      </w:tr>
      <w:tr w:rsidR="005E000F" w14:paraId="4CCA2C90" w14:textId="77777777">
        <w:trPr>
          <w:cantSplit/>
        </w:trPr>
        <w:tc>
          <w:tcPr>
            <w:tcW w:w="3491" w:type="dxa"/>
            <w:vAlign w:val="center"/>
          </w:tcPr>
          <w:p w14:paraId="3CB12C1C" w14:textId="77777777" w:rsidR="005E000F" w:rsidRDefault="00000000">
            <w:r>
              <w:rPr>
                <w:rFonts w:hint="eastAsia"/>
              </w:rPr>
              <w:t>调整期初未分配利润合计数（调增</w:t>
            </w:r>
            <w:r>
              <w:t>+</w:t>
            </w:r>
            <w:r>
              <w:rPr>
                <w:rFonts w:hint="eastAsia"/>
              </w:rPr>
              <w:t>，调减－）</w:t>
            </w:r>
          </w:p>
        </w:tc>
        <w:tc>
          <w:tcPr>
            <w:tcW w:w="2826" w:type="dxa"/>
            <w:vAlign w:val="center"/>
          </w:tcPr>
          <w:p w14:paraId="73F5F07B" w14:textId="77777777" w:rsidR="005E000F" w:rsidRDefault="00000000">
            <w:pPr>
              <w:jc w:val="right"/>
            </w:pPr>
            <w:r>
              <w:rPr>
                <w:rFonts w:hint="eastAsia"/>
              </w:rPr>
              <w:t>0</w:t>
            </w:r>
          </w:p>
        </w:tc>
        <w:tc>
          <w:tcPr>
            <w:tcW w:w="2739" w:type="dxa"/>
            <w:vAlign w:val="center"/>
          </w:tcPr>
          <w:p w14:paraId="3D17955F" w14:textId="77777777" w:rsidR="005E000F" w:rsidRDefault="00000000">
            <w:pPr>
              <w:jc w:val="right"/>
              <w:rPr>
                <w:lang w:eastAsia="en-US"/>
              </w:rPr>
            </w:pPr>
            <w:r>
              <w:t>0</w:t>
            </w:r>
          </w:p>
        </w:tc>
      </w:tr>
      <w:tr w:rsidR="005E000F" w14:paraId="7B77A71D" w14:textId="77777777">
        <w:trPr>
          <w:cantSplit/>
        </w:trPr>
        <w:tc>
          <w:tcPr>
            <w:tcW w:w="3491" w:type="dxa"/>
            <w:vAlign w:val="center"/>
          </w:tcPr>
          <w:p w14:paraId="031C5BFE" w14:textId="77777777" w:rsidR="005E000F" w:rsidRDefault="00000000">
            <w:r>
              <w:rPr>
                <w:rFonts w:hint="eastAsia"/>
              </w:rPr>
              <w:t>调整后期初未分配利润</w:t>
            </w:r>
          </w:p>
        </w:tc>
        <w:tc>
          <w:tcPr>
            <w:tcW w:w="2826" w:type="dxa"/>
            <w:vAlign w:val="center"/>
          </w:tcPr>
          <w:p w14:paraId="7201E448" w14:textId="77777777" w:rsidR="005E000F" w:rsidRDefault="00000000">
            <w:pPr>
              <w:jc w:val="right"/>
            </w:pPr>
            <w:r>
              <w:t>69,489,614,587</w:t>
            </w:r>
          </w:p>
        </w:tc>
        <w:tc>
          <w:tcPr>
            <w:tcW w:w="2739" w:type="dxa"/>
            <w:vAlign w:val="center"/>
          </w:tcPr>
          <w:p w14:paraId="4D9F8329" w14:textId="77777777" w:rsidR="005E000F" w:rsidRDefault="00000000">
            <w:pPr>
              <w:jc w:val="right"/>
              <w:rPr>
                <w:lang w:eastAsia="en-US"/>
              </w:rPr>
            </w:pPr>
            <w:r>
              <w:t>70,658,537,032</w:t>
            </w:r>
          </w:p>
        </w:tc>
      </w:tr>
      <w:tr w:rsidR="005E000F" w14:paraId="1E043293" w14:textId="77777777">
        <w:trPr>
          <w:cantSplit/>
        </w:trPr>
        <w:tc>
          <w:tcPr>
            <w:tcW w:w="3491" w:type="dxa"/>
            <w:vAlign w:val="center"/>
          </w:tcPr>
          <w:p w14:paraId="385300F7" w14:textId="77777777" w:rsidR="005E000F" w:rsidRDefault="00000000">
            <w:pPr>
              <w:ind w:right="6"/>
            </w:pPr>
            <w:r>
              <w:rPr>
                <w:rFonts w:hint="eastAsia"/>
              </w:rPr>
              <w:t>加：本期归属于母公司所有者的净利润</w:t>
            </w:r>
          </w:p>
        </w:tc>
        <w:tc>
          <w:tcPr>
            <w:tcW w:w="2826" w:type="dxa"/>
            <w:vAlign w:val="center"/>
          </w:tcPr>
          <w:p w14:paraId="6358E044" w14:textId="77777777" w:rsidR="005E000F" w:rsidRDefault="00000000">
            <w:pPr>
              <w:jc w:val="right"/>
            </w:pPr>
            <w:r>
              <w:t>5,900,148,479</w:t>
            </w:r>
          </w:p>
        </w:tc>
        <w:tc>
          <w:tcPr>
            <w:tcW w:w="2739" w:type="dxa"/>
            <w:vAlign w:val="center"/>
          </w:tcPr>
          <w:p w14:paraId="63A0770E" w14:textId="77777777" w:rsidR="005E000F" w:rsidRDefault="00000000">
            <w:pPr>
              <w:jc w:val="right"/>
              <w:rPr>
                <w:lang w:eastAsia="en-US"/>
              </w:rPr>
            </w:pPr>
            <w:r>
              <w:t>9,039,359,180</w:t>
            </w:r>
          </w:p>
        </w:tc>
      </w:tr>
      <w:tr w:rsidR="005E000F" w14:paraId="574C5110" w14:textId="77777777">
        <w:trPr>
          <w:cantSplit/>
        </w:trPr>
        <w:tc>
          <w:tcPr>
            <w:tcW w:w="3491" w:type="dxa"/>
            <w:vAlign w:val="center"/>
          </w:tcPr>
          <w:p w14:paraId="2214E6C1" w14:textId="77777777" w:rsidR="005E000F" w:rsidRDefault="00000000">
            <w:pPr>
              <w:autoSpaceDE w:val="0"/>
              <w:autoSpaceDN w:val="0"/>
              <w:adjustRightInd w:val="0"/>
            </w:pPr>
            <w:r>
              <w:rPr>
                <w:rFonts w:hint="eastAsia"/>
              </w:rPr>
              <w:t>减：提取法定盈余公积</w:t>
            </w:r>
          </w:p>
        </w:tc>
        <w:tc>
          <w:tcPr>
            <w:tcW w:w="2826" w:type="dxa"/>
            <w:vAlign w:val="center"/>
          </w:tcPr>
          <w:p w14:paraId="16E53A2E" w14:textId="77777777" w:rsidR="005E000F" w:rsidRDefault="00000000">
            <w:pPr>
              <w:jc w:val="right"/>
            </w:pPr>
            <w:r>
              <w:t>614,017,876</w:t>
            </w:r>
          </w:p>
        </w:tc>
        <w:tc>
          <w:tcPr>
            <w:tcW w:w="2739" w:type="dxa"/>
            <w:vAlign w:val="center"/>
          </w:tcPr>
          <w:p w14:paraId="72F5B5CC" w14:textId="77777777" w:rsidR="005E000F" w:rsidRDefault="00000000">
            <w:pPr>
              <w:jc w:val="right"/>
              <w:rPr>
                <w:lang w:eastAsia="en-US"/>
              </w:rPr>
            </w:pPr>
            <w:r>
              <w:t>900,996,209</w:t>
            </w:r>
          </w:p>
        </w:tc>
      </w:tr>
      <w:tr w:rsidR="005E000F" w14:paraId="699C9624" w14:textId="77777777">
        <w:trPr>
          <w:cantSplit/>
        </w:trPr>
        <w:tc>
          <w:tcPr>
            <w:tcW w:w="3491" w:type="dxa"/>
            <w:vAlign w:val="center"/>
          </w:tcPr>
          <w:p w14:paraId="25CEB9B1" w14:textId="77777777" w:rsidR="005E000F" w:rsidRDefault="00000000">
            <w:pPr>
              <w:autoSpaceDE w:val="0"/>
              <w:autoSpaceDN w:val="0"/>
              <w:adjustRightInd w:val="0"/>
              <w:ind w:firstLine="420"/>
            </w:pPr>
            <w:r>
              <w:rPr>
                <w:rFonts w:hint="eastAsia"/>
              </w:rPr>
              <w:t>提取任意盈余公积</w:t>
            </w:r>
          </w:p>
        </w:tc>
        <w:tc>
          <w:tcPr>
            <w:tcW w:w="2826" w:type="dxa"/>
            <w:vAlign w:val="center"/>
          </w:tcPr>
          <w:p w14:paraId="06B67DD7" w14:textId="77777777" w:rsidR="005E000F" w:rsidRDefault="00000000">
            <w:pPr>
              <w:jc w:val="right"/>
            </w:pPr>
            <w:r>
              <w:rPr>
                <w:rFonts w:hint="eastAsia"/>
              </w:rPr>
              <w:t>0</w:t>
            </w:r>
          </w:p>
        </w:tc>
        <w:tc>
          <w:tcPr>
            <w:tcW w:w="2739" w:type="dxa"/>
            <w:vAlign w:val="center"/>
          </w:tcPr>
          <w:p w14:paraId="22065FF9" w14:textId="77777777" w:rsidR="005E000F" w:rsidRDefault="00000000">
            <w:pPr>
              <w:jc w:val="right"/>
              <w:rPr>
                <w:lang w:eastAsia="en-US"/>
              </w:rPr>
            </w:pPr>
            <w:r>
              <w:t>0</w:t>
            </w:r>
          </w:p>
        </w:tc>
      </w:tr>
      <w:tr w:rsidR="005E000F" w14:paraId="525368B9" w14:textId="77777777">
        <w:trPr>
          <w:cantSplit/>
        </w:trPr>
        <w:tc>
          <w:tcPr>
            <w:tcW w:w="3491" w:type="dxa"/>
            <w:vAlign w:val="center"/>
          </w:tcPr>
          <w:p w14:paraId="3738D63E" w14:textId="77777777" w:rsidR="005E000F" w:rsidRDefault="00000000">
            <w:pPr>
              <w:autoSpaceDE w:val="0"/>
              <w:autoSpaceDN w:val="0"/>
              <w:adjustRightInd w:val="0"/>
              <w:ind w:firstLine="420"/>
            </w:pPr>
            <w:r>
              <w:rPr>
                <w:rFonts w:hint="eastAsia"/>
              </w:rPr>
              <w:t>提取一般风险准备</w:t>
            </w:r>
          </w:p>
        </w:tc>
        <w:tc>
          <w:tcPr>
            <w:tcW w:w="2826" w:type="dxa"/>
            <w:vAlign w:val="center"/>
          </w:tcPr>
          <w:p w14:paraId="1A7FE955" w14:textId="77777777" w:rsidR="005E000F" w:rsidRDefault="00000000">
            <w:pPr>
              <w:jc w:val="right"/>
            </w:pPr>
            <w:r>
              <w:rPr>
                <w:rFonts w:hint="eastAsia"/>
              </w:rPr>
              <w:t>0</w:t>
            </w:r>
          </w:p>
        </w:tc>
        <w:tc>
          <w:tcPr>
            <w:tcW w:w="2739" w:type="dxa"/>
            <w:vAlign w:val="center"/>
          </w:tcPr>
          <w:p w14:paraId="38272F6E" w14:textId="77777777" w:rsidR="005E000F" w:rsidRDefault="00000000">
            <w:pPr>
              <w:jc w:val="right"/>
              <w:rPr>
                <w:lang w:eastAsia="en-US"/>
              </w:rPr>
            </w:pPr>
            <w:r>
              <w:t>0</w:t>
            </w:r>
          </w:p>
        </w:tc>
      </w:tr>
      <w:tr w:rsidR="005E000F" w14:paraId="171681B2" w14:textId="77777777">
        <w:trPr>
          <w:cantSplit/>
        </w:trPr>
        <w:tc>
          <w:tcPr>
            <w:tcW w:w="3491" w:type="dxa"/>
            <w:vAlign w:val="center"/>
          </w:tcPr>
          <w:p w14:paraId="64E57246" w14:textId="77777777" w:rsidR="005E000F" w:rsidRDefault="00000000">
            <w:pPr>
              <w:autoSpaceDE w:val="0"/>
              <w:autoSpaceDN w:val="0"/>
              <w:adjustRightInd w:val="0"/>
              <w:ind w:firstLine="420"/>
            </w:pPr>
            <w:r>
              <w:rPr>
                <w:rFonts w:hint="eastAsia"/>
              </w:rPr>
              <w:t>应付普通股股利</w:t>
            </w:r>
          </w:p>
        </w:tc>
        <w:tc>
          <w:tcPr>
            <w:tcW w:w="2826" w:type="dxa"/>
            <w:vAlign w:val="center"/>
          </w:tcPr>
          <w:p w14:paraId="515DC4F1" w14:textId="77777777" w:rsidR="005E000F" w:rsidRDefault="00000000">
            <w:pPr>
              <w:jc w:val="right"/>
            </w:pPr>
            <w:r>
              <w:t>4,432,379,098</w:t>
            </w:r>
          </w:p>
        </w:tc>
        <w:tc>
          <w:tcPr>
            <w:tcW w:w="2739" w:type="dxa"/>
            <w:vAlign w:val="center"/>
          </w:tcPr>
          <w:p w14:paraId="15591F67" w14:textId="77777777" w:rsidR="005E000F" w:rsidRDefault="00000000">
            <w:pPr>
              <w:jc w:val="right"/>
              <w:rPr>
                <w:lang w:eastAsia="en-US"/>
              </w:rPr>
            </w:pPr>
            <w:r>
              <w:t>9,288,476,722</w:t>
            </w:r>
          </w:p>
        </w:tc>
      </w:tr>
      <w:tr w:rsidR="005E000F" w14:paraId="3ED4BF8D" w14:textId="77777777">
        <w:trPr>
          <w:cantSplit/>
        </w:trPr>
        <w:tc>
          <w:tcPr>
            <w:tcW w:w="3491" w:type="dxa"/>
            <w:vAlign w:val="center"/>
          </w:tcPr>
          <w:p w14:paraId="557A43E2" w14:textId="77777777" w:rsidR="005E000F" w:rsidRDefault="00000000">
            <w:pPr>
              <w:autoSpaceDE w:val="0"/>
              <w:autoSpaceDN w:val="0"/>
              <w:adjustRightInd w:val="0"/>
              <w:ind w:firstLine="420"/>
            </w:pPr>
            <w:r>
              <w:rPr>
                <w:rFonts w:hint="eastAsia"/>
              </w:rPr>
              <w:t>转作股本的普通股股利</w:t>
            </w:r>
          </w:p>
        </w:tc>
        <w:tc>
          <w:tcPr>
            <w:tcW w:w="2826" w:type="dxa"/>
            <w:vAlign w:val="center"/>
          </w:tcPr>
          <w:p w14:paraId="4E8B141C" w14:textId="77777777" w:rsidR="005E000F" w:rsidRDefault="00000000">
            <w:pPr>
              <w:jc w:val="right"/>
            </w:pPr>
            <w:r>
              <w:rPr>
                <w:rFonts w:hint="eastAsia"/>
              </w:rPr>
              <w:t>0</w:t>
            </w:r>
          </w:p>
        </w:tc>
        <w:tc>
          <w:tcPr>
            <w:tcW w:w="2739" w:type="dxa"/>
            <w:vAlign w:val="center"/>
          </w:tcPr>
          <w:p w14:paraId="488F5C4D" w14:textId="77777777" w:rsidR="005E000F" w:rsidRDefault="00000000">
            <w:pPr>
              <w:jc w:val="right"/>
              <w:rPr>
                <w:lang w:eastAsia="en-US"/>
              </w:rPr>
            </w:pPr>
            <w:r>
              <w:t>0</w:t>
            </w:r>
          </w:p>
        </w:tc>
      </w:tr>
      <w:tr w:rsidR="005E000F" w14:paraId="4F582F71" w14:textId="77777777">
        <w:trPr>
          <w:cantSplit/>
        </w:trPr>
        <w:tc>
          <w:tcPr>
            <w:tcW w:w="3491" w:type="dxa"/>
            <w:vAlign w:val="center"/>
          </w:tcPr>
          <w:p w14:paraId="02C56C4D" w14:textId="77777777" w:rsidR="005E000F" w:rsidRDefault="00000000">
            <w:pPr>
              <w:autoSpaceDE w:val="0"/>
              <w:autoSpaceDN w:val="0"/>
              <w:adjustRightInd w:val="0"/>
            </w:pPr>
            <w:r>
              <w:rPr>
                <w:rFonts w:hint="eastAsia"/>
              </w:rPr>
              <w:t xml:space="preserve">    </w:t>
            </w:r>
            <w:r>
              <w:rPr>
                <w:rFonts w:hint="eastAsia"/>
              </w:rPr>
              <w:t>其他</w:t>
            </w:r>
          </w:p>
        </w:tc>
        <w:tc>
          <w:tcPr>
            <w:tcW w:w="2826" w:type="dxa"/>
            <w:vAlign w:val="center"/>
          </w:tcPr>
          <w:p w14:paraId="6AD884E9" w14:textId="77777777" w:rsidR="005E000F" w:rsidRDefault="00000000">
            <w:pPr>
              <w:jc w:val="right"/>
            </w:pPr>
            <w:r>
              <w:t>-186,880,703</w:t>
            </w:r>
          </w:p>
        </w:tc>
        <w:tc>
          <w:tcPr>
            <w:tcW w:w="2739" w:type="dxa"/>
            <w:vAlign w:val="center"/>
          </w:tcPr>
          <w:p w14:paraId="0F6FCEAB" w14:textId="77777777" w:rsidR="005E000F" w:rsidRDefault="00000000">
            <w:pPr>
              <w:jc w:val="right"/>
              <w:rPr>
                <w:lang w:eastAsia="en-US"/>
              </w:rPr>
            </w:pPr>
            <w:r>
              <w:t>18,808,694</w:t>
            </w:r>
          </w:p>
        </w:tc>
      </w:tr>
      <w:tr w:rsidR="005E000F" w14:paraId="3CAC7264" w14:textId="77777777">
        <w:trPr>
          <w:cantSplit/>
        </w:trPr>
        <w:tc>
          <w:tcPr>
            <w:tcW w:w="3491" w:type="dxa"/>
            <w:vAlign w:val="center"/>
          </w:tcPr>
          <w:p w14:paraId="0520DA2C" w14:textId="77777777" w:rsidR="005E000F" w:rsidRDefault="00000000">
            <w:pPr>
              <w:autoSpaceDE w:val="0"/>
              <w:autoSpaceDN w:val="0"/>
              <w:adjustRightInd w:val="0"/>
            </w:pPr>
            <w:r>
              <w:rPr>
                <w:rFonts w:hint="eastAsia"/>
              </w:rPr>
              <w:t>期末未分配利润</w:t>
            </w:r>
          </w:p>
        </w:tc>
        <w:tc>
          <w:tcPr>
            <w:tcW w:w="2826" w:type="dxa"/>
            <w:vAlign w:val="center"/>
          </w:tcPr>
          <w:p w14:paraId="585E6E79" w14:textId="77777777" w:rsidR="005E000F" w:rsidRDefault="00000000">
            <w:pPr>
              <w:jc w:val="right"/>
            </w:pPr>
            <w:r>
              <w:t>70,530,246,795</w:t>
            </w:r>
          </w:p>
        </w:tc>
        <w:tc>
          <w:tcPr>
            <w:tcW w:w="2739" w:type="dxa"/>
            <w:vAlign w:val="center"/>
          </w:tcPr>
          <w:p w14:paraId="39C10368" w14:textId="77777777" w:rsidR="005E000F" w:rsidRDefault="00000000">
            <w:pPr>
              <w:jc w:val="right"/>
              <w:rPr>
                <w:lang w:eastAsia="en-US"/>
              </w:rPr>
            </w:pPr>
            <w:r>
              <w:t>69,489,614,587</w:t>
            </w:r>
          </w:p>
        </w:tc>
      </w:tr>
    </w:tbl>
    <w:p w14:paraId="3EAD365A" w14:textId="77777777" w:rsidR="005E000F" w:rsidRDefault="00000000">
      <w:pPr>
        <w:spacing w:before="60" w:after="60"/>
        <w:rPr>
          <w:color w:val="000000" w:themeColor="text1"/>
        </w:rPr>
      </w:pPr>
      <w:r>
        <w:rPr>
          <w:rFonts w:hint="eastAsia"/>
          <w:color w:val="000000" w:themeColor="text1"/>
        </w:rPr>
        <w:t>调整期初未分配利润明细：</w:t>
      </w:r>
    </w:p>
    <w:p w14:paraId="160AF43D" w14:textId="77777777" w:rsidR="005E000F" w:rsidRDefault="00000000">
      <w:r>
        <w:rPr>
          <w:rFonts w:hint="eastAsia"/>
        </w:rPr>
        <w:t>1</w:t>
      </w:r>
      <w:r>
        <w:rPr>
          <w:rFonts w:hint="eastAsia"/>
        </w:rPr>
        <w:t>、由于《企业会计准则》及其相关新规定进行追溯调整，影响期初未分配利润</w:t>
      </w:r>
      <w:sdt>
        <w:sdtPr>
          <w:rPr>
            <w:rFonts w:hint="eastAsia"/>
          </w:rPr>
          <w:alias w:val="依据《企业会计准则》及其相关规定进行追溯调整影响年初未分配利润合计"/>
          <w:tag w:val="_GBC_1fcb28b764eb43c48b913d5e107ed4eb"/>
          <w:id w:val="382524154"/>
          <w:placeholder>
            <w:docPart w:val="GBC22222222222222222222222222222"/>
          </w:placeholder>
        </w:sdtPr>
        <w:sdtContent>
          <w:r>
            <w:rPr>
              <w:rFonts w:hint="eastAsia"/>
            </w:rPr>
            <w:t>0</w:t>
          </w:r>
        </w:sdtContent>
      </w:sdt>
      <w:r>
        <w:rPr>
          <w:rFonts w:hint="eastAsia"/>
        </w:rPr>
        <w:t xml:space="preserve"> </w:t>
      </w:r>
      <w:r>
        <w:rPr>
          <w:rFonts w:hint="eastAsia"/>
        </w:rPr>
        <w:t>元。</w:t>
      </w:r>
    </w:p>
    <w:p w14:paraId="3D487DF6" w14:textId="77777777" w:rsidR="005E000F" w:rsidRDefault="00000000">
      <w:r>
        <w:rPr>
          <w:rFonts w:hint="eastAsia"/>
        </w:rPr>
        <w:t>2</w:t>
      </w:r>
      <w:r>
        <w:rPr>
          <w:rFonts w:hint="eastAsia"/>
        </w:rPr>
        <w:t>、由于会计政策变更，影响期初未分配利润</w:t>
      </w:r>
      <w:sdt>
        <w:sdtPr>
          <w:rPr>
            <w:rFonts w:hint="eastAsia"/>
          </w:rPr>
          <w:alias w:val="由于会计政策变更影响年初未分配利润"/>
          <w:tag w:val="_GBC_0f2691a265a44dd08d91157d1df0cf3f"/>
          <w:id w:val="536927260"/>
          <w:placeholder>
            <w:docPart w:val="GBC22222222222222222222222222222"/>
          </w:placeholder>
        </w:sdtPr>
        <w:sdtContent>
          <w:r>
            <w:rPr>
              <w:rFonts w:hint="eastAsia"/>
            </w:rPr>
            <w:t>0</w:t>
          </w:r>
        </w:sdtContent>
      </w:sdt>
      <w:r>
        <w:rPr>
          <w:rFonts w:hint="eastAsia"/>
        </w:rPr>
        <w:t xml:space="preserve"> </w:t>
      </w:r>
      <w:r>
        <w:rPr>
          <w:rFonts w:hint="eastAsia"/>
        </w:rPr>
        <w:t>元。</w:t>
      </w:r>
    </w:p>
    <w:p w14:paraId="211509E1" w14:textId="77777777" w:rsidR="005E000F" w:rsidRDefault="00000000">
      <w:r>
        <w:rPr>
          <w:rFonts w:hint="eastAsia"/>
        </w:rPr>
        <w:t>3</w:t>
      </w:r>
      <w:r>
        <w:rPr>
          <w:rFonts w:hint="eastAsia"/>
        </w:rPr>
        <w:t>、由于重大会计差错更正，影响期初未分配利润</w:t>
      </w:r>
      <w:sdt>
        <w:sdtPr>
          <w:rPr>
            <w:rFonts w:hint="eastAsia"/>
          </w:rPr>
          <w:alias w:val="由于重大会计差错更正影响年初未分配利润"/>
          <w:tag w:val="_GBC_6558a990019646559dec1140b9f53b0c"/>
          <w:id w:val="-1996868966"/>
          <w:placeholder>
            <w:docPart w:val="GBC22222222222222222222222222222"/>
          </w:placeholder>
        </w:sdtPr>
        <w:sdtContent>
          <w:r>
            <w:rPr>
              <w:rFonts w:hint="eastAsia"/>
            </w:rPr>
            <w:t>0</w:t>
          </w:r>
        </w:sdtContent>
      </w:sdt>
      <w:r>
        <w:rPr>
          <w:rFonts w:hint="eastAsia"/>
        </w:rPr>
        <w:t xml:space="preserve"> </w:t>
      </w:r>
      <w:r>
        <w:rPr>
          <w:rFonts w:hint="eastAsia"/>
        </w:rPr>
        <w:t>元。</w:t>
      </w:r>
    </w:p>
    <w:p w14:paraId="3F28C977" w14:textId="77777777" w:rsidR="005E000F" w:rsidRDefault="00000000">
      <w:r>
        <w:rPr>
          <w:rFonts w:hint="eastAsia"/>
        </w:rPr>
        <w:t>4</w:t>
      </w:r>
      <w:r>
        <w:rPr>
          <w:rFonts w:hint="eastAsia"/>
        </w:rPr>
        <w:t>、由于同</w:t>
      </w:r>
      <w:proofErr w:type="gramStart"/>
      <w:r>
        <w:rPr>
          <w:rFonts w:hint="eastAsia"/>
        </w:rPr>
        <w:t>一控制</w:t>
      </w:r>
      <w:proofErr w:type="gramEnd"/>
      <w:r>
        <w:rPr>
          <w:rFonts w:hint="eastAsia"/>
        </w:rPr>
        <w:t>导致的合并范围变更，影响期初未分配利润</w:t>
      </w:r>
      <w:sdt>
        <w:sdtPr>
          <w:rPr>
            <w:rFonts w:hint="eastAsia"/>
          </w:rPr>
          <w:alias w:val="同一控制导致的合并范围变更影响年初未分配利润"/>
          <w:tag w:val="_GBC_f30de8253e8b446d94ba7a482cf7cae5"/>
          <w:id w:val="-2018832276"/>
          <w:placeholder>
            <w:docPart w:val="GBC22222222222222222222222222222"/>
          </w:placeholder>
        </w:sdtPr>
        <w:sdtContent>
          <w:r>
            <w:rPr>
              <w:rFonts w:hint="eastAsia"/>
            </w:rPr>
            <w:t>0</w:t>
          </w:r>
        </w:sdtContent>
      </w:sdt>
      <w:r>
        <w:rPr>
          <w:rFonts w:hint="eastAsia"/>
        </w:rPr>
        <w:t xml:space="preserve"> </w:t>
      </w:r>
      <w:r>
        <w:rPr>
          <w:rFonts w:hint="eastAsia"/>
        </w:rPr>
        <w:t>元。</w:t>
      </w:r>
    </w:p>
    <w:p w14:paraId="1AC5B412" w14:textId="77777777" w:rsidR="005E000F" w:rsidRDefault="00000000">
      <w:r>
        <w:rPr>
          <w:rFonts w:hint="eastAsia"/>
        </w:rPr>
        <w:t>5</w:t>
      </w:r>
      <w:r>
        <w:rPr>
          <w:rFonts w:hint="eastAsia"/>
        </w:rPr>
        <w:t>、其他调整合计影响期初未分配利润</w:t>
      </w:r>
      <w:sdt>
        <w:sdtPr>
          <w:rPr>
            <w:rFonts w:hint="eastAsia"/>
          </w:rPr>
          <w:alias w:val="其他调整合计影响年初未分配利润"/>
          <w:tag w:val="_GBC_7fea08c189344f12b9e1dc7c084896bb"/>
          <w:id w:val="1331016598"/>
          <w:placeholder>
            <w:docPart w:val="GBC22222222222222222222222222222"/>
          </w:placeholder>
        </w:sdtPr>
        <w:sdtContent>
          <w:r>
            <w:rPr>
              <w:rFonts w:hint="eastAsia"/>
            </w:rPr>
            <w:t>0</w:t>
          </w:r>
        </w:sdtContent>
      </w:sdt>
      <w:r>
        <w:rPr>
          <w:rFonts w:hint="eastAsia"/>
        </w:rPr>
        <w:t xml:space="preserve"> </w:t>
      </w:r>
      <w:r>
        <w:rPr>
          <w:rFonts w:hint="eastAsia"/>
        </w:rPr>
        <w:t>元。</w:t>
      </w:r>
    </w:p>
    <w:p w14:paraId="2D99E836" w14:textId="77777777" w:rsidR="005E000F" w:rsidRDefault="005E000F"/>
    <w:p w14:paraId="046E3903" w14:textId="77777777" w:rsidR="005E000F" w:rsidRDefault="00000000">
      <w:r>
        <w:rPr>
          <w:rFonts w:hint="eastAsia"/>
        </w:rPr>
        <w:t>根据</w:t>
      </w:r>
      <w:r>
        <w:rPr>
          <w:rFonts w:hint="eastAsia"/>
        </w:rPr>
        <w:t>2025</w:t>
      </w:r>
      <w:r>
        <w:rPr>
          <w:rFonts w:hint="eastAsia"/>
        </w:rPr>
        <w:t>年</w:t>
      </w:r>
      <w:r>
        <w:rPr>
          <w:rFonts w:hint="eastAsia"/>
        </w:rPr>
        <w:t>5</w:t>
      </w:r>
      <w:r>
        <w:rPr>
          <w:rFonts w:hint="eastAsia"/>
        </w:rPr>
        <w:t>月</w:t>
      </w:r>
      <w:r>
        <w:rPr>
          <w:rFonts w:hint="eastAsia"/>
        </w:rPr>
        <w:t>21</w:t>
      </w:r>
      <w:r>
        <w:rPr>
          <w:rFonts w:hint="eastAsia"/>
        </w:rPr>
        <w:t>日股东大会决议，本公司向全体股东派发</w:t>
      </w:r>
      <w:r>
        <w:rPr>
          <w:rFonts w:hint="eastAsia"/>
        </w:rPr>
        <w:t>2024</w:t>
      </w:r>
      <w:r>
        <w:rPr>
          <w:rFonts w:hint="eastAsia"/>
        </w:rPr>
        <w:t>年度净利润之现金股利，以实施权益分派股权登记日登记的总股本为基数，向全体股东每股派发现金股利人民币</w:t>
      </w:r>
      <w:r>
        <w:rPr>
          <w:rFonts w:hint="eastAsia"/>
        </w:rPr>
        <w:t xml:space="preserve">0.14 </w:t>
      </w:r>
      <w:r>
        <w:rPr>
          <w:rFonts w:hint="eastAsia"/>
        </w:rPr>
        <w:t>元（含税）。</w:t>
      </w:r>
    </w:p>
    <w:p w14:paraId="138DCFF4" w14:textId="77777777" w:rsidR="005E000F" w:rsidRDefault="005E000F"/>
    <w:p w14:paraId="426F8F65" w14:textId="77777777" w:rsidR="005E000F" w:rsidRDefault="00000000">
      <w:r>
        <w:rPr>
          <w:rFonts w:hint="eastAsia"/>
        </w:rPr>
        <w:t>根据</w:t>
      </w:r>
      <w:r>
        <w:rPr>
          <w:rFonts w:hint="eastAsia"/>
        </w:rPr>
        <w:t>2025</w:t>
      </w:r>
      <w:r>
        <w:rPr>
          <w:rFonts w:hint="eastAsia"/>
        </w:rPr>
        <w:t>年</w:t>
      </w:r>
      <w:r>
        <w:rPr>
          <w:rFonts w:hint="eastAsia"/>
        </w:rPr>
        <w:t>8</w:t>
      </w:r>
      <w:r>
        <w:rPr>
          <w:rFonts w:hint="eastAsia"/>
        </w:rPr>
        <w:t>月</w:t>
      </w:r>
      <w:r>
        <w:rPr>
          <w:rFonts w:hint="eastAsia"/>
        </w:rPr>
        <w:t>27</w:t>
      </w:r>
      <w:r>
        <w:rPr>
          <w:rFonts w:hint="eastAsia"/>
        </w:rPr>
        <w:t>日董事会决议，以实施权益分派股权登记日登记的总股本为基数，每股派现金股利人民币</w:t>
      </w:r>
      <w:r>
        <w:rPr>
          <w:rFonts w:hint="eastAsia"/>
        </w:rPr>
        <w:t>0.08</w:t>
      </w:r>
      <w:r>
        <w:rPr>
          <w:rFonts w:hint="eastAsia"/>
        </w:rPr>
        <w:t>元</w:t>
      </w:r>
      <w:r>
        <w:rPr>
          <w:rFonts w:hint="eastAsia"/>
        </w:rPr>
        <w:t>(</w:t>
      </w:r>
      <w:r>
        <w:rPr>
          <w:rFonts w:hint="eastAsia"/>
        </w:rPr>
        <w:t>含税</w:t>
      </w:r>
      <w:r>
        <w:rPr>
          <w:rFonts w:hint="eastAsia"/>
        </w:rPr>
        <w:t>)</w:t>
      </w:r>
      <w:r>
        <w:rPr>
          <w:rFonts w:hint="eastAsia"/>
        </w:rPr>
        <w:t>。</w:t>
      </w:r>
    </w:p>
    <w:p w14:paraId="4CDCE1AB" w14:textId="77777777" w:rsidR="005E000F" w:rsidRDefault="00000000">
      <w:pPr>
        <w:pStyle w:val="3"/>
        <w:numPr>
          <w:ilvl w:val="0"/>
          <w:numId w:val="66"/>
        </w:numPr>
        <w:tabs>
          <w:tab w:val="left" w:pos="504"/>
        </w:tabs>
        <w:rPr>
          <w:szCs w:val="21"/>
        </w:rPr>
      </w:pPr>
      <w:r>
        <w:rPr>
          <w:szCs w:val="21"/>
        </w:rPr>
        <w:t>营业</w:t>
      </w:r>
      <w:r>
        <w:rPr>
          <w:rFonts w:ascii="宋体" w:hAnsi="宋体"/>
          <w:szCs w:val="21"/>
        </w:rPr>
        <w:t>收入</w:t>
      </w:r>
      <w:r>
        <w:rPr>
          <w:szCs w:val="21"/>
        </w:rPr>
        <w:t>和营业成本</w:t>
      </w:r>
    </w:p>
    <w:p w14:paraId="50CA3E01" w14:textId="77777777" w:rsidR="005E000F" w:rsidRDefault="00000000">
      <w:pPr>
        <w:pStyle w:val="4"/>
        <w:numPr>
          <w:ilvl w:val="0"/>
          <w:numId w:val="103"/>
        </w:numPr>
        <w:ind w:left="426" w:hanging="426"/>
      </w:pPr>
      <w:r>
        <w:rPr>
          <w:rFonts w:hint="eastAsia"/>
        </w:rPr>
        <w:t>营业收入和营业成本情况</w:t>
      </w:r>
    </w:p>
    <w:sdt>
      <w:sdtPr>
        <w:alias w:val="是否适用：营业收入和营业成本[双击切换]"/>
        <w:tag w:val="_GBC_c0388196e3634afc823f4b5822c5937a"/>
        <w:id w:val="-658304814"/>
        <w:placeholder>
          <w:docPart w:val="GBC22222222222222222222222222222"/>
        </w:placeholder>
      </w:sdtPr>
      <w:sdtContent>
        <w:p w14:paraId="79B980E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C9233BE" w14:textId="77777777" w:rsidR="005E000F" w:rsidRDefault="00000000">
      <w:pPr>
        <w:jc w:val="right"/>
      </w:pPr>
      <w:r>
        <w:rPr>
          <w:rFonts w:hint="eastAsia"/>
          <w:bCs/>
        </w:rPr>
        <w:t>单位：</w:t>
      </w:r>
      <w:sdt>
        <w:sdtPr>
          <w:rPr>
            <w:rFonts w:hint="eastAsia"/>
            <w:bCs/>
          </w:rPr>
          <w:alias w:val="单位：财务附注：营业收入"/>
          <w:tag w:val="_GBC_65cadde8ae1e4b178e7f2737b89bb434"/>
          <w:id w:val="-206809699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rPr>
            <w:t>元</w:t>
          </w:r>
        </w:sdtContent>
      </w:sdt>
      <w:r>
        <w:rPr>
          <w:rFonts w:hint="eastAsia"/>
          <w:bCs/>
        </w:rPr>
        <w:t xml:space="preserve">  </w:t>
      </w:r>
      <w:r>
        <w:rPr>
          <w:rFonts w:hint="eastAsia"/>
          <w:bCs/>
        </w:rPr>
        <w:t>币种：</w:t>
      </w:r>
      <w:sdt>
        <w:sdtPr>
          <w:rPr>
            <w:rFonts w:hint="eastAsia"/>
            <w:bCs/>
          </w:rPr>
          <w:alias w:val="币种：财务附注：营业收入"/>
          <w:tag w:val="_GBC_1371c944b91f437595273e807317f64f"/>
          <w:id w:val="94480525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
        <w:gridCol w:w="1889"/>
        <w:gridCol w:w="1902"/>
        <w:gridCol w:w="1900"/>
        <w:gridCol w:w="1900"/>
      </w:tblGrid>
      <w:tr w:rsidR="005E000F" w14:paraId="26F8E4BC" w14:textId="77777777">
        <w:sdt>
          <w:sdtPr>
            <w:tag w:val="_PLD_77e8683f75cd4c9e919404e1278fe9a0"/>
            <w:id w:val="1719867997"/>
          </w:sdtPr>
          <w:sdtContent>
            <w:tc>
              <w:tcPr>
                <w:tcW w:w="1456" w:type="dxa"/>
                <w:vMerge w:val="restart"/>
                <w:tcBorders>
                  <w:top w:val="single" w:sz="4" w:space="0" w:color="auto"/>
                  <w:left w:val="single" w:sz="4" w:space="0" w:color="auto"/>
                  <w:right w:val="single" w:sz="4" w:space="0" w:color="auto"/>
                </w:tcBorders>
                <w:vAlign w:val="center"/>
              </w:tcPr>
              <w:p w14:paraId="6FD7F18A" w14:textId="77777777" w:rsidR="005E000F" w:rsidRDefault="00000000">
                <w:pPr>
                  <w:jc w:val="center"/>
                </w:pPr>
                <w:r>
                  <w:rPr>
                    <w:rFonts w:hint="eastAsia"/>
                  </w:rPr>
                  <w:t>项目</w:t>
                </w:r>
              </w:p>
            </w:tc>
          </w:sdtContent>
        </w:sdt>
        <w:sdt>
          <w:sdtPr>
            <w:tag w:val="_PLD_e956f55a311f45a19dc3ce9396b931c9"/>
            <w:id w:val="-1281096034"/>
          </w:sdtPr>
          <w:sdtContent>
            <w:tc>
              <w:tcPr>
                <w:tcW w:w="3791" w:type="dxa"/>
                <w:gridSpan w:val="2"/>
                <w:tcBorders>
                  <w:top w:val="single" w:sz="4" w:space="0" w:color="auto"/>
                  <w:left w:val="single" w:sz="4" w:space="0" w:color="auto"/>
                  <w:bottom w:val="single" w:sz="4" w:space="0" w:color="auto"/>
                  <w:right w:val="single" w:sz="4" w:space="0" w:color="auto"/>
                </w:tcBorders>
                <w:vAlign w:val="center"/>
              </w:tcPr>
              <w:p w14:paraId="4A5A1C17" w14:textId="77777777" w:rsidR="005E000F" w:rsidRDefault="00000000">
                <w:pPr>
                  <w:jc w:val="center"/>
                </w:pPr>
                <w:r>
                  <w:rPr>
                    <w:rFonts w:hint="eastAsia"/>
                  </w:rPr>
                  <w:t>本期发生额</w:t>
                </w:r>
              </w:p>
            </w:tc>
          </w:sdtContent>
        </w:sdt>
        <w:sdt>
          <w:sdtPr>
            <w:tag w:val="_PLD_d175a7df90684e2bbdccc1ba942f2760"/>
            <w:id w:val="681243724"/>
          </w:sdtPr>
          <w:sdtContent>
            <w:tc>
              <w:tcPr>
                <w:tcW w:w="3800" w:type="dxa"/>
                <w:gridSpan w:val="2"/>
                <w:tcBorders>
                  <w:top w:val="single" w:sz="4" w:space="0" w:color="auto"/>
                  <w:left w:val="single" w:sz="4" w:space="0" w:color="auto"/>
                  <w:bottom w:val="single" w:sz="4" w:space="0" w:color="auto"/>
                  <w:right w:val="single" w:sz="4" w:space="0" w:color="auto"/>
                </w:tcBorders>
                <w:vAlign w:val="center"/>
              </w:tcPr>
              <w:p w14:paraId="7DF479FD" w14:textId="77777777" w:rsidR="005E000F" w:rsidRDefault="00000000">
                <w:pPr>
                  <w:jc w:val="center"/>
                </w:pPr>
                <w:r>
                  <w:rPr>
                    <w:rFonts w:hint="eastAsia"/>
                  </w:rPr>
                  <w:t>上期发生额</w:t>
                </w:r>
              </w:p>
            </w:tc>
          </w:sdtContent>
        </w:sdt>
      </w:tr>
      <w:tr w:rsidR="005E000F" w14:paraId="58CCABC5" w14:textId="77777777">
        <w:tc>
          <w:tcPr>
            <w:tcW w:w="1456" w:type="dxa"/>
            <w:vMerge/>
            <w:tcBorders>
              <w:left w:val="single" w:sz="4" w:space="0" w:color="auto"/>
              <w:bottom w:val="single" w:sz="4" w:space="0" w:color="auto"/>
              <w:right w:val="single" w:sz="4" w:space="0" w:color="auto"/>
            </w:tcBorders>
            <w:vAlign w:val="center"/>
          </w:tcPr>
          <w:p w14:paraId="356BC3A9" w14:textId="77777777" w:rsidR="005E000F" w:rsidRDefault="005E000F">
            <w:pPr>
              <w:jc w:val="center"/>
            </w:pPr>
          </w:p>
        </w:tc>
        <w:sdt>
          <w:sdtPr>
            <w:tag w:val="_PLD_fe053e4bca564a1fbda44c85256ce067"/>
            <w:id w:val="2096201142"/>
          </w:sdtPr>
          <w:sdtContent>
            <w:tc>
              <w:tcPr>
                <w:tcW w:w="1889" w:type="dxa"/>
                <w:tcBorders>
                  <w:top w:val="single" w:sz="4" w:space="0" w:color="auto"/>
                  <w:left w:val="single" w:sz="4" w:space="0" w:color="auto"/>
                  <w:bottom w:val="single" w:sz="4" w:space="0" w:color="auto"/>
                  <w:right w:val="single" w:sz="4" w:space="0" w:color="auto"/>
                </w:tcBorders>
                <w:vAlign w:val="center"/>
              </w:tcPr>
              <w:p w14:paraId="023DE930" w14:textId="77777777" w:rsidR="005E000F" w:rsidRDefault="00000000">
                <w:pPr>
                  <w:jc w:val="center"/>
                </w:pPr>
                <w:r>
                  <w:rPr>
                    <w:rFonts w:hint="eastAsia"/>
                  </w:rPr>
                  <w:t>收入</w:t>
                </w:r>
              </w:p>
            </w:tc>
          </w:sdtContent>
        </w:sdt>
        <w:sdt>
          <w:sdtPr>
            <w:tag w:val="_PLD_88be7d92d03d4168a79d4492be4a258c"/>
            <w:id w:val="476341879"/>
          </w:sdtPr>
          <w:sdtContent>
            <w:tc>
              <w:tcPr>
                <w:tcW w:w="1902" w:type="dxa"/>
                <w:tcBorders>
                  <w:top w:val="single" w:sz="4" w:space="0" w:color="auto"/>
                  <w:left w:val="single" w:sz="4" w:space="0" w:color="auto"/>
                  <w:bottom w:val="single" w:sz="4" w:space="0" w:color="auto"/>
                  <w:right w:val="single" w:sz="4" w:space="0" w:color="auto"/>
                </w:tcBorders>
                <w:vAlign w:val="center"/>
              </w:tcPr>
              <w:p w14:paraId="1C279228" w14:textId="77777777" w:rsidR="005E000F" w:rsidRDefault="00000000">
                <w:pPr>
                  <w:jc w:val="center"/>
                </w:pPr>
                <w:r>
                  <w:rPr>
                    <w:rFonts w:hint="eastAsia"/>
                  </w:rPr>
                  <w:t>成本</w:t>
                </w:r>
              </w:p>
            </w:tc>
          </w:sdtContent>
        </w:sdt>
        <w:sdt>
          <w:sdtPr>
            <w:tag w:val="_PLD_5ba4682bc5644bc38c4b795c78508b1f"/>
            <w:id w:val="1169208514"/>
          </w:sdtPr>
          <w:sdtContent>
            <w:tc>
              <w:tcPr>
                <w:tcW w:w="1900" w:type="dxa"/>
                <w:tcBorders>
                  <w:top w:val="single" w:sz="4" w:space="0" w:color="auto"/>
                  <w:left w:val="single" w:sz="4" w:space="0" w:color="auto"/>
                  <w:bottom w:val="single" w:sz="4" w:space="0" w:color="auto"/>
                  <w:right w:val="single" w:sz="4" w:space="0" w:color="auto"/>
                </w:tcBorders>
                <w:vAlign w:val="center"/>
              </w:tcPr>
              <w:p w14:paraId="351ED975" w14:textId="77777777" w:rsidR="005E000F" w:rsidRDefault="00000000">
                <w:pPr>
                  <w:jc w:val="center"/>
                </w:pPr>
                <w:r>
                  <w:rPr>
                    <w:rFonts w:hint="eastAsia"/>
                  </w:rPr>
                  <w:t>收入</w:t>
                </w:r>
              </w:p>
            </w:tc>
          </w:sdtContent>
        </w:sdt>
        <w:sdt>
          <w:sdtPr>
            <w:tag w:val="_PLD_94a3ede4ab834e37a20364f2c6897976"/>
            <w:id w:val="-317420334"/>
          </w:sdtPr>
          <w:sdtContent>
            <w:tc>
              <w:tcPr>
                <w:tcW w:w="1900" w:type="dxa"/>
                <w:tcBorders>
                  <w:top w:val="single" w:sz="4" w:space="0" w:color="auto"/>
                  <w:left w:val="single" w:sz="4" w:space="0" w:color="auto"/>
                  <w:bottom w:val="single" w:sz="4" w:space="0" w:color="auto"/>
                  <w:right w:val="single" w:sz="4" w:space="0" w:color="auto"/>
                </w:tcBorders>
                <w:vAlign w:val="center"/>
              </w:tcPr>
              <w:p w14:paraId="7B892E93" w14:textId="77777777" w:rsidR="005E000F" w:rsidRDefault="00000000">
                <w:pPr>
                  <w:jc w:val="center"/>
                </w:pPr>
                <w:r>
                  <w:rPr>
                    <w:rFonts w:hint="eastAsia"/>
                  </w:rPr>
                  <w:t>成本</w:t>
                </w:r>
              </w:p>
            </w:tc>
          </w:sdtContent>
        </w:sdt>
      </w:tr>
      <w:tr w:rsidR="005E000F" w14:paraId="1287DA46" w14:textId="77777777">
        <w:tc>
          <w:tcPr>
            <w:tcW w:w="1456" w:type="dxa"/>
            <w:tcBorders>
              <w:top w:val="single" w:sz="4" w:space="0" w:color="auto"/>
              <w:left w:val="single" w:sz="4" w:space="0" w:color="auto"/>
              <w:bottom w:val="single" w:sz="4" w:space="0" w:color="auto"/>
              <w:right w:val="single" w:sz="4" w:space="0" w:color="auto"/>
            </w:tcBorders>
            <w:vAlign w:val="center"/>
          </w:tcPr>
          <w:p w14:paraId="3EE693D6" w14:textId="77777777" w:rsidR="005E000F" w:rsidRDefault="00000000">
            <w:r>
              <w:rPr>
                <w:rFonts w:hint="eastAsia"/>
              </w:rPr>
              <w:t>主营业务</w:t>
            </w:r>
          </w:p>
        </w:tc>
        <w:tc>
          <w:tcPr>
            <w:tcW w:w="1889" w:type="dxa"/>
            <w:tcBorders>
              <w:top w:val="single" w:sz="4" w:space="0" w:color="auto"/>
              <w:left w:val="single" w:sz="4" w:space="0" w:color="auto"/>
              <w:bottom w:val="single" w:sz="4" w:space="0" w:color="auto"/>
              <w:right w:val="single" w:sz="4" w:space="0" w:color="auto"/>
            </w:tcBorders>
            <w:vAlign w:val="center"/>
          </w:tcPr>
          <w:p w14:paraId="2EC24878" w14:textId="77777777" w:rsidR="005E000F" w:rsidRDefault="00000000">
            <w:pPr>
              <w:jc w:val="right"/>
            </w:pPr>
            <w:r>
              <w:t>76,409,490,504</w:t>
            </w:r>
          </w:p>
        </w:tc>
        <w:tc>
          <w:tcPr>
            <w:tcW w:w="1902" w:type="dxa"/>
            <w:tcBorders>
              <w:top w:val="single" w:sz="4" w:space="0" w:color="auto"/>
              <w:left w:val="single" w:sz="4" w:space="0" w:color="auto"/>
              <w:bottom w:val="single" w:sz="4" w:space="0" w:color="auto"/>
              <w:right w:val="single" w:sz="4" w:space="0" w:color="auto"/>
            </w:tcBorders>
            <w:vAlign w:val="center"/>
          </w:tcPr>
          <w:p w14:paraId="6E62E142" w14:textId="77777777" w:rsidR="005E000F" w:rsidRDefault="00000000">
            <w:pPr>
              <w:jc w:val="right"/>
            </w:pPr>
            <w:r>
              <w:t>70,193,644,077</w:t>
            </w:r>
          </w:p>
        </w:tc>
        <w:tc>
          <w:tcPr>
            <w:tcW w:w="1900" w:type="dxa"/>
            <w:tcBorders>
              <w:top w:val="single" w:sz="4" w:space="0" w:color="auto"/>
              <w:left w:val="single" w:sz="4" w:space="0" w:color="auto"/>
              <w:bottom w:val="single" w:sz="4" w:space="0" w:color="auto"/>
              <w:right w:val="single" w:sz="4" w:space="0" w:color="auto"/>
            </w:tcBorders>
            <w:vAlign w:val="center"/>
          </w:tcPr>
          <w:p w14:paraId="62688D9F" w14:textId="77777777" w:rsidR="005E000F" w:rsidRDefault="00000000">
            <w:pPr>
              <w:jc w:val="right"/>
              <w:rPr>
                <w:lang w:eastAsia="en-US"/>
              </w:rPr>
            </w:pPr>
            <w:r>
              <w:t>73,330,925,694</w:t>
            </w:r>
          </w:p>
        </w:tc>
        <w:tc>
          <w:tcPr>
            <w:tcW w:w="1900" w:type="dxa"/>
            <w:tcBorders>
              <w:top w:val="single" w:sz="4" w:space="0" w:color="auto"/>
              <w:left w:val="single" w:sz="4" w:space="0" w:color="auto"/>
              <w:bottom w:val="single" w:sz="4" w:space="0" w:color="auto"/>
              <w:right w:val="single" w:sz="4" w:space="0" w:color="auto"/>
            </w:tcBorders>
            <w:vAlign w:val="center"/>
          </w:tcPr>
          <w:p w14:paraId="600DF549" w14:textId="77777777" w:rsidR="005E000F" w:rsidRDefault="00000000">
            <w:pPr>
              <w:jc w:val="right"/>
              <w:rPr>
                <w:lang w:eastAsia="en-US"/>
              </w:rPr>
            </w:pPr>
            <w:r>
              <w:t>62,319,879,782</w:t>
            </w:r>
          </w:p>
        </w:tc>
      </w:tr>
      <w:tr w:rsidR="005E000F" w14:paraId="5C534C3D" w14:textId="77777777">
        <w:tc>
          <w:tcPr>
            <w:tcW w:w="1456" w:type="dxa"/>
            <w:tcBorders>
              <w:top w:val="single" w:sz="4" w:space="0" w:color="auto"/>
              <w:left w:val="single" w:sz="4" w:space="0" w:color="auto"/>
              <w:bottom w:val="single" w:sz="4" w:space="0" w:color="auto"/>
              <w:right w:val="single" w:sz="4" w:space="0" w:color="auto"/>
            </w:tcBorders>
            <w:vAlign w:val="center"/>
          </w:tcPr>
          <w:p w14:paraId="00CD605D" w14:textId="77777777" w:rsidR="005E000F" w:rsidRDefault="00000000">
            <w:r>
              <w:rPr>
                <w:rFonts w:hint="eastAsia"/>
              </w:rPr>
              <w:t>其他业务</w:t>
            </w:r>
          </w:p>
        </w:tc>
        <w:tc>
          <w:tcPr>
            <w:tcW w:w="1889" w:type="dxa"/>
            <w:tcBorders>
              <w:top w:val="single" w:sz="4" w:space="0" w:color="auto"/>
              <w:left w:val="single" w:sz="4" w:space="0" w:color="auto"/>
              <w:bottom w:val="single" w:sz="4" w:space="0" w:color="auto"/>
              <w:right w:val="single" w:sz="4" w:space="0" w:color="auto"/>
            </w:tcBorders>
            <w:vAlign w:val="center"/>
          </w:tcPr>
          <w:p w14:paraId="61F67459" w14:textId="77777777" w:rsidR="005E000F" w:rsidRDefault="00000000">
            <w:pPr>
              <w:jc w:val="right"/>
            </w:pPr>
            <w:r>
              <w:t>1,235,321,878</w:t>
            </w:r>
          </w:p>
        </w:tc>
        <w:tc>
          <w:tcPr>
            <w:tcW w:w="1902" w:type="dxa"/>
            <w:tcBorders>
              <w:top w:val="single" w:sz="4" w:space="0" w:color="auto"/>
              <w:left w:val="single" w:sz="4" w:space="0" w:color="auto"/>
              <w:bottom w:val="single" w:sz="4" w:space="0" w:color="auto"/>
              <w:right w:val="single" w:sz="4" w:space="0" w:color="auto"/>
            </w:tcBorders>
            <w:vAlign w:val="center"/>
          </w:tcPr>
          <w:p w14:paraId="46DA6CC0" w14:textId="77777777" w:rsidR="005E000F" w:rsidRDefault="00000000">
            <w:pPr>
              <w:jc w:val="right"/>
            </w:pPr>
            <w:r>
              <w:t>757,713,473</w:t>
            </w:r>
          </w:p>
        </w:tc>
        <w:tc>
          <w:tcPr>
            <w:tcW w:w="1900" w:type="dxa"/>
            <w:tcBorders>
              <w:top w:val="single" w:sz="4" w:space="0" w:color="auto"/>
              <w:left w:val="single" w:sz="4" w:space="0" w:color="auto"/>
              <w:bottom w:val="single" w:sz="4" w:space="0" w:color="auto"/>
              <w:right w:val="single" w:sz="4" w:space="0" w:color="auto"/>
            </w:tcBorders>
            <w:vAlign w:val="center"/>
          </w:tcPr>
          <w:p w14:paraId="448ACEB4" w14:textId="77777777" w:rsidR="005E000F" w:rsidRDefault="00000000">
            <w:pPr>
              <w:jc w:val="right"/>
              <w:rPr>
                <w:lang w:eastAsia="en-US"/>
              </w:rPr>
            </w:pPr>
            <w:r>
              <w:t>1,296,347,822</w:t>
            </w:r>
          </w:p>
        </w:tc>
        <w:tc>
          <w:tcPr>
            <w:tcW w:w="1900" w:type="dxa"/>
            <w:tcBorders>
              <w:top w:val="single" w:sz="4" w:space="0" w:color="auto"/>
              <w:left w:val="single" w:sz="4" w:space="0" w:color="auto"/>
              <w:bottom w:val="single" w:sz="4" w:space="0" w:color="auto"/>
              <w:right w:val="single" w:sz="4" w:space="0" w:color="auto"/>
            </w:tcBorders>
            <w:vAlign w:val="center"/>
          </w:tcPr>
          <w:p w14:paraId="1C2897C6" w14:textId="77777777" w:rsidR="005E000F" w:rsidRDefault="00000000">
            <w:pPr>
              <w:jc w:val="right"/>
              <w:rPr>
                <w:lang w:eastAsia="en-US"/>
              </w:rPr>
            </w:pPr>
            <w:r>
              <w:t>887,893,155</w:t>
            </w:r>
          </w:p>
        </w:tc>
      </w:tr>
      <w:tr w:rsidR="005E000F" w14:paraId="332BDD99" w14:textId="77777777">
        <w:tc>
          <w:tcPr>
            <w:tcW w:w="1456" w:type="dxa"/>
            <w:tcBorders>
              <w:top w:val="single" w:sz="4" w:space="0" w:color="auto"/>
              <w:left w:val="single" w:sz="4" w:space="0" w:color="auto"/>
              <w:bottom w:val="single" w:sz="4" w:space="0" w:color="auto"/>
              <w:right w:val="single" w:sz="4" w:space="0" w:color="auto"/>
            </w:tcBorders>
            <w:vAlign w:val="center"/>
          </w:tcPr>
          <w:p w14:paraId="02A09AAD" w14:textId="77777777" w:rsidR="005E000F" w:rsidRDefault="00000000">
            <w:pPr>
              <w:jc w:val="center"/>
            </w:pPr>
            <w:r>
              <w:rPr>
                <w:rFonts w:hint="eastAsia"/>
              </w:rPr>
              <w:t>合计</w:t>
            </w:r>
          </w:p>
        </w:tc>
        <w:tc>
          <w:tcPr>
            <w:tcW w:w="1889" w:type="dxa"/>
            <w:tcBorders>
              <w:top w:val="single" w:sz="4" w:space="0" w:color="auto"/>
              <w:left w:val="single" w:sz="4" w:space="0" w:color="auto"/>
              <w:bottom w:val="single" w:sz="4" w:space="0" w:color="auto"/>
              <w:right w:val="single" w:sz="4" w:space="0" w:color="auto"/>
            </w:tcBorders>
            <w:vAlign w:val="center"/>
          </w:tcPr>
          <w:p w14:paraId="665AA282" w14:textId="77777777" w:rsidR="005E000F" w:rsidRDefault="00000000">
            <w:pPr>
              <w:jc w:val="right"/>
            </w:pPr>
            <w:r>
              <w:t>77,644,812,382</w:t>
            </w:r>
          </w:p>
        </w:tc>
        <w:tc>
          <w:tcPr>
            <w:tcW w:w="1902" w:type="dxa"/>
            <w:tcBorders>
              <w:top w:val="single" w:sz="4" w:space="0" w:color="auto"/>
              <w:left w:val="single" w:sz="4" w:space="0" w:color="auto"/>
              <w:bottom w:val="single" w:sz="4" w:space="0" w:color="auto"/>
              <w:right w:val="single" w:sz="4" w:space="0" w:color="auto"/>
            </w:tcBorders>
            <w:vAlign w:val="center"/>
          </w:tcPr>
          <w:p w14:paraId="3E192FE5" w14:textId="77777777" w:rsidR="005E000F" w:rsidRDefault="00000000">
            <w:pPr>
              <w:jc w:val="right"/>
            </w:pPr>
            <w:r>
              <w:t>70,951,357,550</w:t>
            </w:r>
          </w:p>
        </w:tc>
        <w:tc>
          <w:tcPr>
            <w:tcW w:w="1900" w:type="dxa"/>
            <w:tcBorders>
              <w:top w:val="single" w:sz="4" w:space="0" w:color="auto"/>
              <w:left w:val="single" w:sz="4" w:space="0" w:color="auto"/>
              <w:bottom w:val="single" w:sz="4" w:space="0" w:color="auto"/>
              <w:right w:val="single" w:sz="4" w:space="0" w:color="auto"/>
            </w:tcBorders>
            <w:vAlign w:val="center"/>
          </w:tcPr>
          <w:p w14:paraId="674F266D" w14:textId="77777777" w:rsidR="005E000F" w:rsidRDefault="00000000">
            <w:pPr>
              <w:jc w:val="right"/>
              <w:rPr>
                <w:lang w:eastAsia="en-US"/>
              </w:rPr>
            </w:pPr>
            <w:r>
              <w:t>74,627,273,516</w:t>
            </w:r>
          </w:p>
        </w:tc>
        <w:tc>
          <w:tcPr>
            <w:tcW w:w="1900" w:type="dxa"/>
            <w:tcBorders>
              <w:top w:val="single" w:sz="4" w:space="0" w:color="auto"/>
              <w:left w:val="single" w:sz="4" w:space="0" w:color="auto"/>
              <w:bottom w:val="single" w:sz="4" w:space="0" w:color="auto"/>
              <w:right w:val="single" w:sz="4" w:space="0" w:color="auto"/>
            </w:tcBorders>
            <w:vAlign w:val="center"/>
          </w:tcPr>
          <w:p w14:paraId="62821350" w14:textId="77777777" w:rsidR="005E000F" w:rsidRDefault="00000000">
            <w:pPr>
              <w:jc w:val="right"/>
              <w:rPr>
                <w:lang w:eastAsia="en-US"/>
              </w:rPr>
            </w:pPr>
            <w:r>
              <w:t>63,207,772,937</w:t>
            </w:r>
          </w:p>
        </w:tc>
      </w:tr>
      <w:tr w:rsidR="005E000F" w14:paraId="51B0C524" w14:textId="77777777">
        <w:tc>
          <w:tcPr>
            <w:tcW w:w="1456" w:type="dxa"/>
            <w:tcBorders>
              <w:top w:val="single" w:sz="4" w:space="0" w:color="auto"/>
              <w:left w:val="single" w:sz="4" w:space="0" w:color="auto"/>
              <w:bottom w:val="single" w:sz="4" w:space="0" w:color="auto"/>
              <w:right w:val="single" w:sz="4" w:space="0" w:color="auto"/>
            </w:tcBorders>
            <w:vAlign w:val="center"/>
          </w:tcPr>
          <w:p w14:paraId="34E101E3" w14:textId="77777777" w:rsidR="005E000F" w:rsidRDefault="00000000">
            <w:pPr>
              <w:jc w:val="center"/>
            </w:pPr>
            <w:r>
              <w:rPr>
                <w:rFonts w:ascii="宋体" w:hAnsi="宋体" w:hint="eastAsia"/>
                <w:color w:val="000000"/>
              </w:rPr>
              <w:t>其中：合同产生的收入</w:t>
            </w:r>
          </w:p>
        </w:tc>
        <w:tc>
          <w:tcPr>
            <w:tcW w:w="1889" w:type="dxa"/>
            <w:tcBorders>
              <w:top w:val="single" w:sz="4" w:space="0" w:color="auto"/>
              <w:left w:val="single" w:sz="4" w:space="0" w:color="auto"/>
              <w:bottom w:val="single" w:sz="4" w:space="0" w:color="auto"/>
              <w:right w:val="single" w:sz="4" w:space="0" w:color="auto"/>
            </w:tcBorders>
            <w:vAlign w:val="center"/>
          </w:tcPr>
          <w:p w14:paraId="371229FF" w14:textId="77777777" w:rsidR="005E000F" w:rsidRDefault="00000000">
            <w:pPr>
              <w:jc w:val="right"/>
            </w:pPr>
            <w:r>
              <w:t>77,489,692,302</w:t>
            </w:r>
          </w:p>
        </w:tc>
        <w:tc>
          <w:tcPr>
            <w:tcW w:w="1902" w:type="dxa"/>
            <w:tcBorders>
              <w:top w:val="single" w:sz="4" w:space="0" w:color="auto"/>
              <w:left w:val="single" w:sz="4" w:space="0" w:color="auto"/>
              <w:bottom w:val="single" w:sz="4" w:space="0" w:color="auto"/>
              <w:right w:val="single" w:sz="4" w:space="0" w:color="auto"/>
            </w:tcBorders>
            <w:vAlign w:val="center"/>
          </w:tcPr>
          <w:p w14:paraId="4EE1EEE2" w14:textId="77777777" w:rsidR="005E000F" w:rsidRDefault="00000000">
            <w:pPr>
              <w:jc w:val="right"/>
            </w:pPr>
            <w:r>
              <w:rPr>
                <w:rFonts w:hint="eastAsia"/>
              </w:rPr>
              <w:t>/</w:t>
            </w:r>
          </w:p>
        </w:tc>
        <w:tc>
          <w:tcPr>
            <w:tcW w:w="1900" w:type="dxa"/>
            <w:tcBorders>
              <w:top w:val="single" w:sz="4" w:space="0" w:color="auto"/>
              <w:left w:val="single" w:sz="4" w:space="0" w:color="auto"/>
              <w:bottom w:val="single" w:sz="4" w:space="0" w:color="auto"/>
              <w:right w:val="single" w:sz="4" w:space="0" w:color="auto"/>
            </w:tcBorders>
            <w:vAlign w:val="center"/>
          </w:tcPr>
          <w:p w14:paraId="4C96265F" w14:textId="77777777" w:rsidR="005E000F" w:rsidRDefault="00000000">
            <w:pPr>
              <w:jc w:val="right"/>
            </w:pPr>
            <w:r>
              <w:rPr>
                <w:rFonts w:hint="eastAsia"/>
              </w:rPr>
              <w:t>74,465,128,025</w:t>
            </w:r>
          </w:p>
        </w:tc>
        <w:tc>
          <w:tcPr>
            <w:tcW w:w="1900" w:type="dxa"/>
            <w:tcBorders>
              <w:top w:val="single" w:sz="4" w:space="0" w:color="auto"/>
              <w:left w:val="single" w:sz="4" w:space="0" w:color="auto"/>
              <w:bottom w:val="single" w:sz="4" w:space="0" w:color="auto"/>
              <w:right w:val="single" w:sz="4" w:space="0" w:color="auto"/>
            </w:tcBorders>
            <w:vAlign w:val="center"/>
          </w:tcPr>
          <w:p w14:paraId="374AF549" w14:textId="77777777" w:rsidR="005E000F" w:rsidRDefault="00000000">
            <w:pPr>
              <w:jc w:val="right"/>
            </w:pPr>
            <w:r>
              <w:rPr>
                <w:rFonts w:hint="eastAsia"/>
              </w:rPr>
              <w:t>/</w:t>
            </w:r>
          </w:p>
        </w:tc>
      </w:tr>
      <w:tr w:rsidR="005E000F" w14:paraId="5A635769" w14:textId="77777777">
        <w:tc>
          <w:tcPr>
            <w:tcW w:w="1456" w:type="dxa"/>
            <w:tcBorders>
              <w:top w:val="single" w:sz="4" w:space="0" w:color="auto"/>
              <w:left w:val="single" w:sz="4" w:space="0" w:color="auto"/>
              <w:bottom w:val="single" w:sz="4" w:space="0" w:color="auto"/>
              <w:right w:val="single" w:sz="4" w:space="0" w:color="auto"/>
            </w:tcBorders>
            <w:vAlign w:val="center"/>
          </w:tcPr>
          <w:p w14:paraId="0587C4D5" w14:textId="77777777" w:rsidR="005E000F" w:rsidRDefault="00000000">
            <w:pPr>
              <w:jc w:val="center"/>
            </w:pPr>
            <w:r>
              <w:rPr>
                <w:rFonts w:ascii="宋体" w:hAnsi="宋体" w:hint="eastAsia"/>
                <w:color w:val="000000"/>
              </w:rPr>
              <w:t>其他收入</w:t>
            </w:r>
          </w:p>
        </w:tc>
        <w:tc>
          <w:tcPr>
            <w:tcW w:w="1889" w:type="dxa"/>
            <w:tcBorders>
              <w:top w:val="single" w:sz="4" w:space="0" w:color="auto"/>
              <w:left w:val="single" w:sz="4" w:space="0" w:color="auto"/>
              <w:bottom w:val="single" w:sz="4" w:space="0" w:color="auto"/>
              <w:right w:val="single" w:sz="4" w:space="0" w:color="auto"/>
            </w:tcBorders>
            <w:vAlign w:val="center"/>
          </w:tcPr>
          <w:p w14:paraId="4496CF2F" w14:textId="77777777" w:rsidR="005E000F" w:rsidRDefault="00000000">
            <w:pPr>
              <w:jc w:val="right"/>
            </w:pPr>
            <w:r>
              <w:t>155,120,080</w:t>
            </w:r>
          </w:p>
        </w:tc>
        <w:tc>
          <w:tcPr>
            <w:tcW w:w="1902" w:type="dxa"/>
            <w:tcBorders>
              <w:top w:val="single" w:sz="4" w:space="0" w:color="auto"/>
              <w:left w:val="single" w:sz="4" w:space="0" w:color="auto"/>
              <w:bottom w:val="single" w:sz="4" w:space="0" w:color="auto"/>
              <w:right w:val="single" w:sz="4" w:space="0" w:color="auto"/>
            </w:tcBorders>
            <w:vAlign w:val="center"/>
          </w:tcPr>
          <w:p w14:paraId="68971391" w14:textId="77777777" w:rsidR="005E000F" w:rsidRDefault="00000000">
            <w:pPr>
              <w:jc w:val="right"/>
            </w:pPr>
            <w:r>
              <w:rPr>
                <w:rFonts w:hint="eastAsia"/>
              </w:rPr>
              <w:t>/</w:t>
            </w:r>
          </w:p>
        </w:tc>
        <w:tc>
          <w:tcPr>
            <w:tcW w:w="1900" w:type="dxa"/>
            <w:tcBorders>
              <w:top w:val="single" w:sz="4" w:space="0" w:color="auto"/>
              <w:left w:val="single" w:sz="4" w:space="0" w:color="auto"/>
              <w:bottom w:val="single" w:sz="4" w:space="0" w:color="auto"/>
              <w:right w:val="single" w:sz="4" w:space="0" w:color="auto"/>
            </w:tcBorders>
            <w:vAlign w:val="center"/>
          </w:tcPr>
          <w:p w14:paraId="06D6852F" w14:textId="77777777" w:rsidR="005E000F" w:rsidRDefault="00000000">
            <w:pPr>
              <w:jc w:val="right"/>
            </w:pPr>
            <w:r>
              <w:rPr>
                <w:rFonts w:hint="eastAsia"/>
              </w:rPr>
              <w:t>162,145,491</w:t>
            </w:r>
          </w:p>
        </w:tc>
        <w:tc>
          <w:tcPr>
            <w:tcW w:w="1900" w:type="dxa"/>
            <w:tcBorders>
              <w:top w:val="single" w:sz="4" w:space="0" w:color="auto"/>
              <w:left w:val="single" w:sz="4" w:space="0" w:color="auto"/>
              <w:bottom w:val="single" w:sz="4" w:space="0" w:color="auto"/>
              <w:right w:val="single" w:sz="4" w:space="0" w:color="auto"/>
            </w:tcBorders>
            <w:vAlign w:val="center"/>
          </w:tcPr>
          <w:p w14:paraId="6EC017F0" w14:textId="77777777" w:rsidR="005E000F" w:rsidRDefault="00000000">
            <w:pPr>
              <w:jc w:val="right"/>
            </w:pPr>
            <w:r>
              <w:rPr>
                <w:rFonts w:hint="eastAsia"/>
              </w:rPr>
              <w:t>/</w:t>
            </w:r>
          </w:p>
        </w:tc>
      </w:tr>
    </w:tbl>
    <w:p w14:paraId="301D2F7C" w14:textId="77777777" w:rsidR="005E000F" w:rsidRDefault="005E000F"/>
    <w:p w14:paraId="6AB387CE" w14:textId="77777777" w:rsidR="005E000F" w:rsidRDefault="00000000">
      <w:pPr>
        <w:rPr>
          <w:b/>
          <w:color w:val="000000" w:themeColor="text1"/>
        </w:rPr>
      </w:pPr>
      <w:r>
        <w:rPr>
          <w:rFonts w:hint="eastAsia"/>
          <w:b/>
          <w:color w:val="000000" w:themeColor="text1"/>
        </w:rPr>
        <w:t>主营业务收入和主营业务成本</w:t>
      </w:r>
    </w:p>
    <w:p w14:paraId="046DC8ED" w14:textId="77777777" w:rsidR="005E000F" w:rsidRDefault="00000000">
      <w:pPr>
        <w:rPr>
          <w:color w:val="000000" w:themeColor="text1"/>
        </w:rPr>
      </w:pPr>
      <w:r>
        <w:rPr>
          <w:rFonts w:hint="eastAsia"/>
          <w:color w:val="000000" w:themeColor="text1"/>
        </w:rPr>
        <w:t xml:space="preserve"> </w:t>
      </w:r>
    </w:p>
    <w:p w14:paraId="02C1CC79" w14:textId="77777777" w:rsidR="005E000F" w:rsidRDefault="00000000">
      <w:pPr>
        <w:rPr>
          <w:color w:val="000000" w:themeColor="text1"/>
        </w:rPr>
      </w:pPr>
      <w:r>
        <w:rPr>
          <w:rFonts w:hint="eastAsia"/>
          <w:color w:val="000000" w:themeColor="text1"/>
        </w:rPr>
        <w:t>按行业分析如下：</w:t>
      </w:r>
    </w:p>
    <w:p w14:paraId="5FCDDD0D" w14:textId="77777777" w:rsidR="005E000F" w:rsidRDefault="00000000">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820"/>
        <w:gridCol w:w="1903"/>
        <w:gridCol w:w="1899"/>
        <w:gridCol w:w="1902"/>
      </w:tblGrid>
      <w:tr w:rsidR="005E000F" w14:paraId="34863B63" w14:textId="77777777">
        <w:tc>
          <w:tcPr>
            <w:tcW w:w="842" w:type="pct"/>
            <w:vMerge w:val="restart"/>
            <w:tcBorders>
              <w:top w:val="single" w:sz="4" w:space="0" w:color="auto"/>
              <w:left w:val="single" w:sz="4" w:space="0" w:color="auto"/>
              <w:bottom w:val="single" w:sz="4" w:space="0" w:color="auto"/>
              <w:right w:val="single" w:sz="4" w:space="0" w:color="auto"/>
            </w:tcBorders>
            <w:vAlign w:val="center"/>
          </w:tcPr>
          <w:p w14:paraId="77A6242C" w14:textId="77777777" w:rsidR="005E000F" w:rsidRDefault="00000000">
            <w:pPr>
              <w:jc w:val="center"/>
              <w:rPr>
                <w:color w:val="000000" w:themeColor="text1"/>
              </w:rPr>
            </w:pPr>
            <w:r>
              <w:rPr>
                <w:rFonts w:hint="eastAsia"/>
                <w:color w:val="000000" w:themeColor="text1"/>
              </w:rPr>
              <w:t>项目</w:t>
            </w:r>
          </w:p>
        </w:tc>
        <w:tc>
          <w:tcPr>
            <w:tcW w:w="2056" w:type="pct"/>
            <w:gridSpan w:val="2"/>
            <w:tcBorders>
              <w:top w:val="single" w:sz="4" w:space="0" w:color="auto"/>
              <w:left w:val="nil"/>
              <w:bottom w:val="single" w:sz="4" w:space="0" w:color="auto"/>
              <w:right w:val="single" w:sz="4" w:space="0" w:color="auto"/>
            </w:tcBorders>
            <w:vAlign w:val="center"/>
          </w:tcPr>
          <w:p w14:paraId="3BC6A4C5" w14:textId="77777777" w:rsidR="005E000F" w:rsidRDefault="00000000">
            <w:pPr>
              <w:jc w:val="center"/>
              <w:rPr>
                <w:color w:val="000000" w:themeColor="text1"/>
              </w:rPr>
            </w:pPr>
            <w:r>
              <w:rPr>
                <w:rFonts w:hint="eastAsia"/>
                <w:color w:val="000000" w:themeColor="text1"/>
              </w:rPr>
              <w:t>本期发生额</w:t>
            </w:r>
          </w:p>
        </w:tc>
        <w:tc>
          <w:tcPr>
            <w:tcW w:w="2100" w:type="pct"/>
            <w:gridSpan w:val="2"/>
            <w:tcBorders>
              <w:top w:val="single" w:sz="4" w:space="0" w:color="auto"/>
              <w:left w:val="nil"/>
              <w:bottom w:val="single" w:sz="4" w:space="0" w:color="auto"/>
              <w:right w:val="single" w:sz="4" w:space="0" w:color="auto"/>
            </w:tcBorders>
            <w:vAlign w:val="center"/>
          </w:tcPr>
          <w:p w14:paraId="4EABEBE9" w14:textId="77777777" w:rsidR="005E000F" w:rsidRDefault="00000000">
            <w:pPr>
              <w:jc w:val="center"/>
              <w:rPr>
                <w:color w:val="000000" w:themeColor="text1"/>
              </w:rPr>
            </w:pPr>
            <w:r>
              <w:rPr>
                <w:rFonts w:hint="eastAsia"/>
                <w:color w:val="000000" w:themeColor="text1"/>
              </w:rPr>
              <w:t>上期发生额</w:t>
            </w:r>
          </w:p>
        </w:tc>
      </w:tr>
      <w:tr w:rsidR="005E000F" w14:paraId="6808B0A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CA11477" w14:textId="77777777" w:rsidR="005E000F" w:rsidRDefault="005E000F">
            <w:pPr>
              <w:rPr>
                <w:color w:val="000000" w:themeColor="text1"/>
              </w:rPr>
            </w:pPr>
          </w:p>
        </w:tc>
        <w:tc>
          <w:tcPr>
            <w:tcW w:w="1005" w:type="pct"/>
            <w:tcBorders>
              <w:top w:val="single" w:sz="4" w:space="0" w:color="auto"/>
              <w:left w:val="nil"/>
              <w:bottom w:val="single" w:sz="4" w:space="0" w:color="auto"/>
              <w:right w:val="single" w:sz="4" w:space="0" w:color="auto"/>
            </w:tcBorders>
            <w:vAlign w:val="center"/>
          </w:tcPr>
          <w:p w14:paraId="6A9AE85A" w14:textId="77777777" w:rsidR="005E000F" w:rsidRDefault="00000000">
            <w:pPr>
              <w:jc w:val="center"/>
              <w:rPr>
                <w:color w:val="000000" w:themeColor="text1"/>
              </w:rPr>
            </w:pPr>
            <w:r>
              <w:rPr>
                <w:rFonts w:hint="eastAsia"/>
                <w:color w:val="000000" w:themeColor="text1"/>
              </w:rPr>
              <w:t>主营业务收入</w:t>
            </w:r>
          </w:p>
        </w:tc>
        <w:tc>
          <w:tcPr>
            <w:tcW w:w="1051" w:type="pct"/>
            <w:tcBorders>
              <w:top w:val="single" w:sz="4" w:space="0" w:color="auto"/>
              <w:left w:val="nil"/>
              <w:bottom w:val="single" w:sz="4" w:space="0" w:color="auto"/>
              <w:right w:val="single" w:sz="4" w:space="0" w:color="auto"/>
            </w:tcBorders>
            <w:vAlign w:val="center"/>
          </w:tcPr>
          <w:p w14:paraId="53D0BDB4" w14:textId="77777777" w:rsidR="005E000F" w:rsidRDefault="00000000">
            <w:pPr>
              <w:jc w:val="center"/>
              <w:rPr>
                <w:color w:val="000000" w:themeColor="text1"/>
              </w:rPr>
            </w:pPr>
            <w:r>
              <w:rPr>
                <w:rFonts w:hint="eastAsia"/>
                <w:color w:val="000000" w:themeColor="text1"/>
              </w:rPr>
              <w:t>主营业务成本</w:t>
            </w:r>
          </w:p>
        </w:tc>
        <w:tc>
          <w:tcPr>
            <w:tcW w:w="1049" w:type="pct"/>
            <w:tcBorders>
              <w:top w:val="single" w:sz="4" w:space="0" w:color="auto"/>
              <w:left w:val="nil"/>
              <w:bottom w:val="single" w:sz="4" w:space="0" w:color="auto"/>
              <w:right w:val="single" w:sz="4" w:space="0" w:color="auto"/>
            </w:tcBorders>
            <w:vAlign w:val="center"/>
          </w:tcPr>
          <w:p w14:paraId="0A0A89A5" w14:textId="77777777" w:rsidR="005E000F" w:rsidRDefault="00000000">
            <w:pPr>
              <w:jc w:val="center"/>
              <w:rPr>
                <w:color w:val="000000" w:themeColor="text1"/>
              </w:rPr>
            </w:pPr>
            <w:r>
              <w:rPr>
                <w:rFonts w:hint="eastAsia"/>
                <w:color w:val="000000" w:themeColor="text1"/>
              </w:rPr>
              <w:t>主营业务收入</w:t>
            </w:r>
          </w:p>
        </w:tc>
        <w:tc>
          <w:tcPr>
            <w:tcW w:w="1051" w:type="pct"/>
            <w:tcBorders>
              <w:top w:val="single" w:sz="4" w:space="0" w:color="auto"/>
              <w:left w:val="nil"/>
              <w:bottom w:val="single" w:sz="4" w:space="0" w:color="auto"/>
              <w:right w:val="single" w:sz="4" w:space="0" w:color="auto"/>
            </w:tcBorders>
            <w:vAlign w:val="center"/>
          </w:tcPr>
          <w:p w14:paraId="514F3DF5" w14:textId="77777777" w:rsidR="005E000F" w:rsidRDefault="00000000">
            <w:pPr>
              <w:jc w:val="center"/>
              <w:rPr>
                <w:color w:val="000000" w:themeColor="text1"/>
              </w:rPr>
            </w:pPr>
            <w:r>
              <w:rPr>
                <w:rFonts w:hint="eastAsia"/>
                <w:color w:val="000000" w:themeColor="text1"/>
              </w:rPr>
              <w:t>主营业务成本</w:t>
            </w:r>
          </w:p>
        </w:tc>
      </w:tr>
      <w:tr w:rsidR="005E000F" w14:paraId="75EC5B57" w14:textId="77777777">
        <w:tc>
          <w:tcPr>
            <w:tcW w:w="842" w:type="pct"/>
            <w:tcBorders>
              <w:top w:val="single" w:sz="4" w:space="0" w:color="auto"/>
              <w:left w:val="single" w:sz="4" w:space="0" w:color="auto"/>
              <w:bottom w:val="single" w:sz="4" w:space="0" w:color="auto"/>
              <w:right w:val="single" w:sz="4" w:space="0" w:color="auto"/>
            </w:tcBorders>
          </w:tcPr>
          <w:p w14:paraId="306CD50D" w14:textId="77777777" w:rsidR="005E000F" w:rsidRDefault="00000000">
            <w:pPr>
              <w:rPr>
                <w:color w:val="000000" w:themeColor="text1"/>
              </w:rPr>
            </w:pPr>
            <w:r>
              <w:rPr>
                <w:rFonts w:hint="eastAsia"/>
                <w:color w:val="000000" w:themeColor="text1"/>
              </w:rPr>
              <w:t>铁路运输行业</w:t>
            </w:r>
          </w:p>
        </w:tc>
        <w:tc>
          <w:tcPr>
            <w:tcW w:w="1820" w:type="dxa"/>
            <w:tcBorders>
              <w:top w:val="single" w:sz="4" w:space="0" w:color="auto"/>
              <w:left w:val="nil"/>
              <w:bottom w:val="single" w:sz="4" w:space="0" w:color="auto"/>
              <w:right w:val="single" w:sz="4" w:space="0" w:color="auto"/>
            </w:tcBorders>
            <w:vAlign w:val="center"/>
          </w:tcPr>
          <w:p w14:paraId="5A360EEA" w14:textId="77777777" w:rsidR="005E000F" w:rsidRDefault="00000000">
            <w:pPr>
              <w:jc w:val="right"/>
            </w:pPr>
            <w:r>
              <w:t>76,409,490,504</w:t>
            </w:r>
          </w:p>
        </w:tc>
        <w:tc>
          <w:tcPr>
            <w:tcW w:w="1903" w:type="dxa"/>
            <w:tcBorders>
              <w:top w:val="single" w:sz="4" w:space="0" w:color="auto"/>
              <w:left w:val="nil"/>
              <w:bottom w:val="single" w:sz="4" w:space="0" w:color="auto"/>
              <w:right w:val="single" w:sz="4" w:space="0" w:color="auto"/>
            </w:tcBorders>
            <w:vAlign w:val="center"/>
          </w:tcPr>
          <w:p w14:paraId="66E713E0" w14:textId="77777777" w:rsidR="005E000F" w:rsidRDefault="00000000">
            <w:pPr>
              <w:jc w:val="right"/>
            </w:pPr>
            <w:r>
              <w:t>70,193,644,077</w:t>
            </w:r>
          </w:p>
        </w:tc>
        <w:tc>
          <w:tcPr>
            <w:tcW w:w="1049" w:type="pct"/>
            <w:tcBorders>
              <w:top w:val="single" w:sz="4" w:space="0" w:color="auto"/>
              <w:left w:val="nil"/>
              <w:bottom w:val="single" w:sz="4" w:space="0" w:color="auto"/>
              <w:right w:val="single" w:sz="4" w:space="0" w:color="auto"/>
            </w:tcBorders>
            <w:vAlign w:val="center"/>
          </w:tcPr>
          <w:p w14:paraId="49F275A8" w14:textId="77777777" w:rsidR="005E000F" w:rsidRDefault="00000000">
            <w:pPr>
              <w:jc w:val="right"/>
            </w:pPr>
            <w:r>
              <w:rPr>
                <w:rFonts w:hint="eastAsia"/>
              </w:rPr>
              <w:t>73,330,925,694</w:t>
            </w:r>
          </w:p>
        </w:tc>
        <w:tc>
          <w:tcPr>
            <w:tcW w:w="1051" w:type="pct"/>
            <w:tcBorders>
              <w:top w:val="single" w:sz="4" w:space="0" w:color="auto"/>
              <w:left w:val="nil"/>
              <w:bottom w:val="single" w:sz="4" w:space="0" w:color="auto"/>
              <w:right w:val="single" w:sz="4" w:space="0" w:color="auto"/>
            </w:tcBorders>
            <w:vAlign w:val="center"/>
          </w:tcPr>
          <w:p w14:paraId="75987C7A" w14:textId="77777777" w:rsidR="005E000F" w:rsidRDefault="00000000">
            <w:pPr>
              <w:jc w:val="right"/>
            </w:pPr>
            <w:r>
              <w:rPr>
                <w:rFonts w:hint="eastAsia"/>
              </w:rPr>
              <w:t>62,319,879,782</w:t>
            </w:r>
          </w:p>
        </w:tc>
      </w:tr>
    </w:tbl>
    <w:p w14:paraId="0778FEBD" w14:textId="77777777" w:rsidR="005E000F" w:rsidRDefault="00000000">
      <w:pPr>
        <w:rPr>
          <w:color w:val="000000" w:themeColor="text1"/>
        </w:rPr>
      </w:pPr>
      <w:r>
        <w:rPr>
          <w:rFonts w:hint="eastAsia"/>
          <w:color w:val="000000" w:themeColor="text1"/>
        </w:rPr>
        <w:t xml:space="preserve"> </w:t>
      </w:r>
    </w:p>
    <w:p w14:paraId="47D13BF4" w14:textId="77777777" w:rsidR="005E000F" w:rsidRDefault="00000000">
      <w:pPr>
        <w:rPr>
          <w:color w:val="000000" w:themeColor="text1"/>
        </w:rPr>
      </w:pPr>
      <w:r>
        <w:rPr>
          <w:rFonts w:hint="eastAsia"/>
          <w:color w:val="000000" w:themeColor="text1"/>
        </w:rPr>
        <w:t>按主营业务收入类型分析如下：</w:t>
      </w:r>
    </w:p>
    <w:p w14:paraId="40F5C852" w14:textId="77777777" w:rsidR="005E000F" w:rsidRDefault="00000000">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2824"/>
        <w:gridCol w:w="2737"/>
      </w:tblGrid>
      <w:tr w:rsidR="005E000F" w14:paraId="1A8AB19E" w14:textId="77777777">
        <w:trPr>
          <w:cantSplit/>
        </w:trPr>
        <w:tc>
          <w:tcPr>
            <w:tcW w:w="1927" w:type="pct"/>
            <w:tcBorders>
              <w:top w:val="single" w:sz="4" w:space="0" w:color="auto"/>
              <w:left w:val="single" w:sz="4" w:space="0" w:color="auto"/>
              <w:bottom w:val="single" w:sz="4" w:space="0" w:color="auto"/>
              <w:right w:val="single" w:sz="4" w:space="0" w:color="auto"/>
            </w:tcBorders>
            <w:vAlign w:val="center"/>
          </w:tcPr>
          <w:p w14:paraId="3012D2F9" w14:textId="77777777" w:rsidR="005E000F" w:rsidRDefault="00000000">
            <w:pPr>
              <w:jc w:val="center"/>
              <w:rPr>
                <w:color w:val="000000" w:themeColor="text1"/>
              </w:rPr>
            </w:pPr>
            <w:r>
              <w:rPr>
                <w:rFonts w:hint="eastAsia"/>
                <w:color w:val="000000" w:themeColor="text1"/>
              </w:rPr>
              <w:t>项目</w:t>
            </w:r>
          </w:p>
        </w:tc>
        <w:tc>
          <w:tcPr>
            <w:tcW w:w="1560" w:type="pct"/>
            <w:tcBorders>
              <w:top w:val="single" w:sz="4" w:space="0" w:color="auto"/>
              <w:left w:val="single" w:sz="4" w:space="0" w:color="auto"/>
              <w:bottom w:val="single" w:sz="4" w:space="0" w:color="auto"/>
              <w:right w:val="single" w:sz="4" w:space="0" w:color="auto"/>
            </w:tcBorders>
            <w:vAlign w:val="center"/>
          </w:tcPr>
          <w:p w14:paraId="5D34647C" w14:textId="77777777" w:rsidR="005E000F" w:rsidRDefault="00000000">
            <w:pPr>
              <w:jc w:val="center"/>
              <w:rPr>
                <w:color w:val="000000" w:themeColor="text1"/>
              </w:rPr>
            </w:pPr>
            <w:r>
              <w:rPr>
                <w:rFonts w:hint="eastAsia"/>
                <w:color w:val="000000" w:themeColor="text1"/>
              </w:rPr>
              <w:t>本期发生额</w:t>
            </w:r>
          </w:p>
        </w:tc>
        <w:tc>
          <w:tcPr>
            <w:tcW w:w="1512" w:type="pct"/>
            <w:tcBorders>
              <w:top w:val="single" w:sz="4" w:space="0" w:color="auto"/>
              <w:left w:val="single" w:sz="4" w:space="0" w:color="auto"/>
              <w:bottom w:val="single" w:sz="4" w:space="0" w:color="auto"/>
              <w:right w:val="single" w:sz="4" w:space="0" w:color="auto"/>
            </w:tcBorders>
            <w:vAlign w:val="center"/>
          </w:tcPr>
          <w:p w14:paraId="3DFFD492" w14:textId="77777777" w:rsidR="005E000F" w:rsidRDefault="00000000">
            <w:pPr>
              <w:jc w:val="center"/>
              <w:rPr>
                <w:color w:val="000000" w:themeColor="text1"/>
              </w:rPr>
            </w:pPr>
            <w:r>
              <w:rPr>
                <w:rFonts w:hint="eastAsia"/>
                <w:color w:val="000000" w:themeColor="text1"/>
              </w:rPr>
              <w:t>上期发生额</w:t>
            </w:r>
          </w:p>
        </w:tc>
      </w:tr>
      <w:tr w:rsidR="005E000F" w14:paraId="6DD1C313" w14:textId="77777777">
        <w:trPr>
          <w:cantSplit/>
          <w:trHeight w:val="90"/>
        </w:trPr>
        <w:tc>
          <w:tcPr>
            <w:tcW w:w="1927" w:type="pct"/>
            <w:tcBorders>
              <w:top w:val="single" w:sz="4" w:space="0" w:color="auto"/>
              <w:left w:val="single" w:sz="4" w:space="0" w:color="auto"/>
              <w:bottom w:val="single" w:sz="4" w:space="0" w:color="auto"/>
              <w:right w:val="single" w:sz="4" w:space="0" w:color="auto"/>
            </w:tcBorders>
          </w:tcPr>
          <w:p w14:paraId="55CCC64D" w14:textId="77777777" w:rsidR="005E000F" w:rsidRDefault="00000000">
            <w:pPr>
              <w:rPr>
                <w:color w:val="000000" w:themeColor="text1"/>
              </w:rPr>
            </w:pPr>
            <w:r>
              <w:rPr>
                <w:rFonts w:hint="eastAsia"/>
                <w:color w:val="000000" w:themeColor="text1"/>
              </w:rPr>
              <w:t>货运收入</w:t>
            </w:r>
          </w:p>
        </w:tc>
        <w:tc>
          <w:tcPr>
            <w:tcW w:w="2824" w:type="dxa"/>
            <w:tcBorders>
              <w:top w:val="single" w:sz="4" w:space="0" w:color="auto"/>
              <w:left w:val="single" w:sz="4" w:space="0" w:color="auto"/>
              <w:bottom w:val="single" w:sz="4" w:space="0" w:color="auto"/>
              <w:right w:val="single" w:sz="4" w:space="0" w:color="auto"/>
            </w:tcBorders>
            <w:vAlign w:val="center"/>
          </w:tcPr>
          <w:p w14:paraId="2BE051E3" w14:textId="77777777" w:rsidR="005E000F" w:rsidRDefault="00000000">
            <w:pPr>
              <w:jc w:val="right"/>
              <w:rPr>
                <w:color w:val="000000" w:themeColor="text1"/>
              </w:rPr>
            </w:pPr>
            <w:r>
              <w:rPr>
                <w:color w:val="000000" w:themeColor="text1"/>
              </w:rPr>
              <w:t>54,321,785,789</w:t>
            </w:r>
          </w:p>
        </w:tc>
        <w:tc>
          <w:tcPr>
            <w:tcW w:w="1512" w:type="pct"/>
            <w:tcBorders>
              <w:top w:val="single" w:sz="4" w:space="0" w:color="auto"/>
              <w:left w:val="single" w:sz="4" w:space="0" w:color="auto"/>
              <w:bottom w:val="single" w:sz="4" w:space="0" w:color="auto"/>
              <w:right w:val="single" w:sz="4" w:space="0" w:color="auto"/>
            </w:tcBorders>
            <w:vAlign w:val="center"/>
          </w:tcPr>
          <w:p w14:paraId="57B24A1B" w14:textId="77777777" w:rsidR="005E000F" w:rsidRDefault="00000000">
            <w:pPr>
              <w:jc w:val="right"/>
              <w:rPr>
                <w:color w:val="000000" w:themeColor="text1"/>
              </w:rPr>
            </w:pPr>
            <w:r>
              <w:rPr>
                <w:rFonts w:hint="eastAsia"/>
                <w:color w:val="000000" w:themeColor="text1"/>
              </w:rPr>
              <w:t>53,441,183,993</w:t>
            </w:r>
          </w:p>
        </w:tc>
      </w:tr>
      <w:tr w:rsidR="005E000F" w14:paraId="619F2F9A" w14:textId="77777777">
        <w:trPr>
          <w:cantSplit/>
        </w:trPr>
        <w:tc>
          <w:tcPr>
            <w:tcW w:w="1927" w:type="pct"/>
            <w:tcBorders>
              <w:top w:val="single" w:sz="4" w:space="0" w:color="auto"/>
              <w:left w:val="single" w:sz="4" w:space="0" w:color="auto"/>
              <w:bottom w:val="single" w:sz="4" w:space="0" w:color="auto"/>
              <w:right w:val="single" w:sz="4" w:space="0" w:color="auto"/>
            </w:tcBorders>
          </w:tcPr>
          <w:p w14:paraId="2335A4DE" w14:textId="77777777" w:rsidR="005E000F" w:rsidRDefault="00000000">
            <w:pPr>
              <w:rPr>
                <w:color w:val="000000" w:themeColor="text1"/>
              </w:rPr>
            </w:pPr>
            <w:r>
              <w:rPr>
                <w:rFonts w:hint="eastAsia"/>
                <w:color w:val="000000" w:themeColor="text1"/>
              </w:rPr>
              <w:t>客运收入</w:t>
            </w:r>
          </w:p>
        </w:tc>
        <w:tc>
          <w:tcPr>
            <w:tcW w:w="2824" w:type="dxa"/>
            <w:tcBorders>
              <w:top w:val="single" w:sz="4" w:space="0" w:color="auto"/>
              <w:left w:val="single" w:sz="4" w:space="0" w:color="auto"/>
              <w:bottom w:val="single" w:sz="4" w:space="0" w:color="auto"/>
              <w:right w:val="single" w:sz="4" w:space="0" w:color="auto"/>
            </w:tcBorders>
            <w:vAlign w:val="center"/>
          </w:tcPr>
          <w:p w14:paraId="5C02A0F4" w14:textId="77777777" w:rsidR="005E000F" w:rsidRDefault="00000000">
            <w:pPr>
              <w:jc w:val="right"/>
              <w:rPr>
                <w:color w:val="000000" w:themeColor="text1"/>
              </w:rPr>
            </w:pPr>
            <w:r>
              <w:rPr>
                <w:color w:val="000000" w:themeColor="text1"/>
              </w:rPr>
              <w:t>10,431,258,204</w:t>
            </w:r>
          </w:p>
        </w:tc>
        <w:tc>
          <w:tcPr>
            <w:tcW w:w="1512" w:type="pct"/>
            <w:tcBorders>
              <w:top w:val="single" w:sz="4" w:space="0" w:color="auto"/>
              <w:left w:val="single" w:sz="4" w:space="0" w:color="auto"/>
              <w:bottom w:val="single" w:sz="4" w:space="0" w:color="auto"/>
              <w:right w:val="single" w:sz="4" w:space="0" w:color="auto"/>
            </w:tcBorders>
            <w:vAlign w:val="center"/>
          </w:tcPr>
          <w:p w14:paraId="6BE59558" w14:textId="77777777" w:rsidR="005E000F" w:rsidRDefault="00000000">
            <w:pPr>
              <w:jc w:val="right"/>
              <w:rPr>
                <w:color w:val="000000" w:themeColor="text1"/>
              </w:rPr>
            </w:pPr>
            <w:r>
              <w:rPr>
                <w:rFonts w:hint="eastAsia"/>
                <w:color w:val="000000" w:themeColor="text1"/>
              </w:rPr>
              <w:t>10,009,529,593</w:t>
            </w:r>
          </w:p>
        </w:tc>
      </w:tr>
      <w:tr w:rsidR="005E000F" w14:paraId="3261B283" w14:textId="77777777">
        <w:trPr>
          <w:cantSplit/>
        </w:trPr>
        <w:tc>
          <w:tcPr>
            <w:tcW w:w="1927" w:type="pct"/>
            <w:tcBorders>
              <w:top w:val="single" w:sz="4" w:space="0" w:color="auto"/>
              <w:left w:val="single" w:sz="4" w:space="0" w:color="auto"/>
              <w:bottom w:val="single" w:sz="4" w:space="0" w:color="auto"/>
              <w:right w:val="single" w:sz="4" w:space="0" w:color="auto"/>
            </w:tcBorders>
          </w:tcPr>
          <w:p w14:paraId="32F210AC" w14:textId="77777777" w:rsidR="005E000F" w:rsidRDefault="00000000">
            <w:pPr>
              <w:rPr>
                <w:color w:val="000000" w:themeColor="text1"/>
              </w:rPr>
            </w:pPr>
            <w:r>
              <w:rPr>
                <w:rFonts w:hint="eastAsia"/>
                <w:color w:val="000000" w:themeColor="text1"/>
              </w:rPr>
              <w:t>其他收入</w:t>
            </w:r>
          </w:p>
        </w:tc>
        <w:tc>
          <w:tcPr>
            <w:tcW w:w="2824" w:type="dxa"/>
            <w:tcBorders>
              <w:top w:val="single" w:sz="4" w:space="0" w:color="auto"/>
              <w:left w:val="single" w:sz="4" w:space="0" w:color="auto"/>
              <w:bottom w:val="single" w:sz="4" w:space="0" w:color="auto"/>
              <w:right w:val="single" w:sz="4" w:space="0" w:color="auto"/>
            </w:tcBorders>
            <w:vAlign w:val="center"/>
          </w:tcPr>
          <w:p w14:paraId="0B765547" w14:textId="77777777" w:rsidR="005E000F" w:rsidRDefault="00000000">
            <w:pPr>
              <w:jc w:val="right"/>
              <w:rPr>
                <w:color w:val="000000" w:themeColor="text1"/>
              </w:rPr>
            </w:pPr>
            <w:r>
              <w:rPr>
                <w:color w:val="000000" w:themeColor="text1"/>
              </w:rPr>
              <w:t>11,656,446,511</w:t>
            </w:r>
          </w:p>
        </w:tc>
        <w:tc>
          <w:tcPr>
            <w:tcW w:w="1512" w:type="pct"/>
            <w:tcBorders>
              <w:top w:val="single" w:sz="4" w:space="0" w:color="auto"/>
              <w:left w:val="single" w:sz="4" w:space="0" w:color="auto"/>
              <w:bottom w:val="single" w:sz="4" w:space="0" w:color="auto"/>
              <w:right w:val="single" w:sz="4" w:space="0" w:color="auto"/>
            </w:tcBorders>
            <w:vAlign w:val="center"/>
          </w:tcPr>
          <w:p w14:paraId="55B24083" w14:textId="77777777" w:rsidR="005E000F" w:rsidRDefault="00000000">
            <w:pPr>
              <w:jc w:val="right"/>
              <w:rPr>
                <w:color w:val="000000" w:themeColor="text1"/>
              </w:rPr>
            </w:pPr>
            <w:r>
              <w:rPr>
                <w:rFonts w:hint="eastAsia"/>
                <w:color w:val="000000" w:themeColor="text1"/>
              </w:rPr>
              <w:t>9,880,212,108</w:t>
            </w:r>
          </w:p>
        </w:tc>
      </w:tr>
      <w:tr w:rsidR="005E000F" w14:paraId="74837897" w14:textId="77777777">
        <w:trPr>
          <w:cantSplit/>
        </w:trPr>
        <w:tc>
          <w:tcPr>
            <w:tcW w:w="1927" w:type="pct"/>
            <w:tcBorders>
              <w:top w:val="single" w:sz="4" w:space="0" w:color="auto"/>
              <w:left w:val="single" w:sz="4" w:space="0" w:color="auto"/>
              <w:bottom w:val="single" w:sz="4" w:space="0" w:color="auto"/>
              <w:right w:val="single" w:sz="4" w:space="0" w:color="auto"/>
            </w:tcBorders>
          </w:tcPr>
          <w:p w14:paraId="690A2C05" w14:textId="77777777" w:rsidR="005E000F" w:rsidRDefault="00000000">
            <w:pPr>
              <w:rPr>
                <w:color w:val="000000" w:themeColor="text1"/>
              </w:rPr>
            </w:pPr>
            <w:r>
              <w:rPr>
                <w:rFonts w:hint="eastAsia"/>
                <w:color w:val="000000" w:themeColor="text1"/>
              </w:rPr>
              <w:t>合计</w:t>
            </w:r>
          </w:p>
        </w:tc>
        <w:tc>
          <w:tcPr>
            <w:tcW w:w="2824" w:type="dxa"/>
            <w:tcBorders>
              <w:top w:val="single" w:sz="4" w:space="0" w:color="auto"/>
              <w:left w:val="single" w:sz="4" w:space="0" w:color="auto"/>
              <w:bottom w:val="single" w:sz="4" w:space="0" w:color="auto"/>
              <w:right w:val="single" w:sz="4" w:space="0" w:color="auto"/>
            </w:tcBorders>
            <w:vAlign w:val="center"/>
          </w:tcPr>
          <w:p w14:paraId="4647B341" w14:textId="77777777" w:rsidR="005E000F" w:rsidRDefault="00000000">
            <w:pPr>
              <w:jc w:val="right"/>
              <w:rPr>
                <w:color w:val="000000" w:themeColor="text1"/>
              </w:rPr>
            </w:pPr>
            <w:r>
              <w:rPr>
                <w:color w:val="000000" w:themeColor="text1"/>
              </w:rPr>
              <w:t>76,409,490,504</w:t>
            </w:r>
          </w:p>
        </w:tc>
        <w:tc>
          <w:tcPr>
            <w:tcW w:w="1512" w:type="pct"/>
            <w:tcBorders>
              <w:top w:val="single" w:sz="4" w:space="0" w:color="auto"/>
              <w:left w:val="single" w:sz="4" w:space="0" w:color="auto"/>
              <w:bottom w:val="single" w:sz="4" w:space="0" w:color="auto"/>
              <w:right w:val="single" w:sz="4" w:space="0" w:color="auto"/>
            </w:tcBorders>
            <w:vAlign w:val="center"/>
          </w:tcPr>
          <w:p w14:paraId="47B48C9F" w14:textId="77777777" w:rsidR="005E000F" w:rsidRDefault="00000000">
            <w:pPr>
              <w:jc w:val="right"/>
              <w:rPr>
                <w:color w:val="000000" w:themeColor="text1"/>
              </w:rPr>
            </w:pPr>
            <w:r>
              <w:rPr>
                <w:rFonts w:hint="eastAsia"/>
                <w:color w:val="000000" w:themeColor="text1"/>
              </w:rPr>
              <w:t>73,330,925,694</w:t>
            </w:r>
          </w:p>
        </w:tc>
      </w:tr>
    </w:tbl>
    <w:p w14:paraId="72B627F9" w14:textId="77777777" w:rsidR="005E000F" w:rsidRDefault="00000000">
      <w:pPr>
        <w:rPr>
          <w:color w:val="000000" w:themeColor="text1"/>
        </w:rPr>
      </w:pPr>
      <w:r>
        <w:rPr>
          <w:color w:val="000000" w:themeColor="text1"/>
        </w:rPr>
        <w:t xml:space="preserve"> </w:t>
      </w:r>
    </w:p>
    <w:p w14:paraId="512863AE" w14:textId="77777777" w:rsidR="005E000F" w:rsidRDefault="00000000">
      <w:pPr>
        <w:rPr>
          <w:color w:val="000000" w:themeColor="text1"/>
        </w:rPr>
      </w:pPr>
      <w:r>
        <w:rPr>
          <w:rFonts w:hint="eastAsia"/>
          <w:color w:val="000000" w:themeColor="text1"/>
        </w:rPr>
        <w:t>按主营业务成本类型分析如下：</w:t>
      </w:r>
    </w:p>
    <w:p w14:paraId="1584FD87" w14:textId="77777777" w:rsidR="005E000F" w:rsidRDefault="00000000">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2824"/>
        <w:gridCol w:w="2737"/>
      </w:tblGrid>
      <w:tr w:rsidR="005E000F" w14:paraId="3751C1C5" w14:textId="77777777">
        <w:trPr>
          <w:cantSplit/>
        </w:trPr>
        <w:tc>
          <w:tcPr>
            <w:tcW w:w="1927" w:type="pct"/>
            <w:tcBorders>
              <w:top w:val="single" w:sz="4" w:space="0" w:color="auto"/>
              <w:left w:val="single" w:sz="4" w:space="0" w:color="auto"/>
              <w:bottom w:val="single" w:sz="4" w:space="0" w:color="auto"/>
              <w:right w:val="single" w:sz="4" w:space="0" w:color="auto"/>
            </w:tcBorders>
            <w:vAlign w:val="center"/>
          </w:tcPr>
          <w:p w14:paraId="29FEEC6D" w14:textId="77777777" w:rsidR="005E000F" w:rsidRDefault="00000000">
            <w:pPr>
              <w:jc w:val="center"/>
              <w:rPr>
                <w:color w:val="000000" w:themeColor="text1"/>
              </w:rPr>
            </w:pPr>
            <w:r>
              <w:rPr>
                <w:rFonts w:hint="eastAsia"/>
                <w:color w:val="000000" w:themeColor="text1"/>
              </w:rPr>
              <w:t>类别</w:t>
            </w:r>
          </w:p>
        </w:tc>
        <w:tc>
          <w:tcPr>
            <w:tcW w:w="1560" w:type="pct"/>
            <w:tcBorders>
              <w:top w:val="single" w:sz="4" w:space="0" w:color="auto"/>
              <w:left w:val="single" w:sz="4" w:space="0" w:color="auto"/>
              <w:bottom w:val="single" w:sz="4" w:space="0" w:color="auto"/>
              <w:right w:val="single" w:sz="4" w:space="0" w:color="auto"/>
            </w:tcBorders>
            <w:vAlign w:val="center"/>
          </w:tcPr>
          <w:p w14:paraId="33C0D6E8" w14:textId="77777777" w:rsidR="005E000F" w:rsidRDefault="00000000">
            <w:pPr>
              <w:jc w:val="center"/>
              <w:rPr>
                <w:color w:val="000000" w:themeColor="text1"/>
              </w:rPr>
            </w:pPr>
            <w:r>
              <w:rPr>
                <w:rFonts w:hint="eastAsia"/>
                <w:color w:val="000000" w:themeColor="text1"/>
              </w:rPr>
              <w:t>本期发生额</w:t>
            </w:r>
          </w:p>
        </w:tc>
        <w:tc>
          <w:tcPr>
            <w:tcW w:w="1512" w:type="pct"/>
            <w:tcBorders>
              <w:top w:val="single" w:sz="4" w:space="0" w:color="auto"/>
              <w:left w:val="single" w:sz="4" w:space="0" w:color="auto"/>
              <w:bottom w:val="single" w:sz="4" w:space="0" w:color="auto"/>
              <w:right w:val="single" w:sz="4" w:space="0" w:color="auto"/>
            </w:tcBorders>
            <w:vAlign w:val="center"/>
          </w:tcPr>
          <w:p w14:paraId="08015CCC" w14:textId="77777777" w:rsidR="005E000F" w:rsidRDefault="00000000">
            <w:pPr>
              <w:jc w:val="center"/>
              <w:rPr>
                <w:color w:val="000000" w:themeColor="text1"/>
              </w:rPr>
            </w:pPr>
            <w:r>
              <w:rPr>
                <w:rFonts w:hint="eastAsia"/>
                <w:color w:val="000000" w:themeColor="text1"/>
              </w:rPr>
              <w:t>上期发生额</w:t>
            </w:r>
          </w:p>
        </w:tc>
      </w:tr>
      <w:tr w:rsidR="005E000F" w14:paraId="4DEF5BDC"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56837D3B" w14:textId="77777777" w:rsidR="005E000F" w:rsidRDefault="00000000">
            <w:pPr>
              <w:rPr>
                <w:color w:val="000000" w:themeColor="text1"/>
              </w:rPr>
            </w:pPr>
            <w:r>
              <w:rPr>
                <w:color w:val="000000" w:themeColor="text1"/>
              </w:rPr>
              <w:t>人员费用</w:t>
            </w:r>
          </w:p>
        </w:tc>
        <w:tc>
          <w:tcPr>
            <w:tcW w:w="2824" w:type="dxa"/>
            <w:tcBorders>
              <w:top w:val="single" w:sz="4" w:space="0" w:color="auto"/>
              <w:left w:val="single" w:sz="4" w:space="0" w:color="auto"/>
              <w:bottom w:val="single" w:sz="4" w:space="0" w:color="auto"/>
              <w:right w:val="single" w:sz="4" w:space="0" w:color="auto"/>
            </w:tcBorders>
            <w:vAlign w:val="center"/>
          </w:tcPr>
          <w:p w14:paraId="0D681209" w14:textId="77777777" w:rsidR="005E000F" w:rsidRDefault="00000000">
            <w:pPr>
              <w:jc w:val="right"/>
              <w:rPr>
                <w:color w:val="000000" w:themeColor="text1"/>
              </w:rPr>
            </w:pPr>
            <w:r>
              <w:rPr>
                <w:color w:val="000000" w:themeColor="text1"/>
              </w:rPr>
              <w:t>23,079,163,107</w:t>
            </w:r>
          </w:p>
        </w:tc>
        <w:tc>
          <w:tcPr>
            <w:tcW w:w="2737" w:type="dxa"/>
            <w:tcBorders>
              <w:top w:val="single" w:sz="4" w:space="0" w:color="auto"/>
              <w:left w:val="single" w:sz="4" w:space="0" w:color="auto"/>
              <w:bottom w:val="single" w:sz="4" w:space="0" w:color="auto"/>
              <w:right w:val="single" w:sz="4" w:space="0" w:color="auto"/>
            </w:tcBorders>
            <w:vAlign w:val="center"/>
          </w:tcPr>
          <w:p w14:paraId="6C888F53" w14:textId="77777777" w:rsidR="005E000F" w:rsidRDefault="00000000">
            <w:pPr>
              <w:jc w:val="right"/>
              <w:rPr>
                <w:color w:val="000000" w:themeColor="text1"/>
              </w:rPr>
            </w:pPr>
            <w:r>
              <w:rPr>
                <w:color w:val="000000" w:themeColor="text1"/>
              </w:rPr>
              <w:t>22,544,805,167</w:t>
            </w:r>
          </w:p>
        </w:tc>
      </w:tr>
      <w:tr w:rsidR="005E000F" w14:paraId="1F1BF80A"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72A3F8BC" w14:textId="77777777" w:rsidR="005E000F" w:rsidRDefault="00000000">
            <w:pPr>
              <w:rPr>
                <w:color w:val="000000" w:themeColor="text1"/>
              </w:rPr>
            </w:pPr>
            <w:r>
              <w:rPr>
                <w:color w:val="000000" w:themeColor="text1"/>
              </w:rPr>
              <w:t>折旧</w:t>
            </w:r>
          </w:p>
        </w:tc>
        <w:tc>
          <w:tcPr>
            <w:tcW w:w="2824" w:type="dxa"/>
            <w:tcBorders>
              <w:top w:val="single" w:sz="4" w:space="0" w:color="auto"/>
              <w:left w:val="single" w:sz="4" w:space="0" w:color="auto"/>
              <w:bottom w:val="single" w:sz="4" w:space="0" w:color="auto"/>
              <w:right w:val="single" w:sz="4" w:space="0" w:color="auto"/>
            </w:tcBorders>
            <w:vAlign w:val="center"/>
          </w:tcPr>
          <w:p w14:paraId="178A4121" w14:textId="77777777" w:rsidR="005E000F" w:rsidRDefault="00000000">
            <w:pPr>
              <w:jc w:val="right"/>
              <w:rPr>
                <w:color w:val="000000" w:themeColor="text1"/>
              </w:rPr>
            </w:pPr>
            <w:r>
              <w:rPr>
                <w:color w:val="000000" w:themeColor="text1"/>
              </w:rPr>
              <w:t>5,338,072,808</w:t>
            </w:r>
          </w:p>
        </w:tc>
        <w:tc>
          <w:tcPr>
            <w:tcW w:w="2737" w:type="dxa"/>
            <w:tcBorders>
              <w:top w:val="single" w:sz="4" w:space="0" w:color="auto"/>
              <w:left w:val="single" w:sz="4" w:space="0" w:color="auto"/>
              <w:bottom w:val="single" w:sz="4" w:space="0" w:color="auto"/>
              <w:right w:val="single" w:sz="4" w:space="0" w:color="auto"/>
            </w:tcBorders>
            <w:vAlign w:val="center"/>
          </w:tcPr>
          <w:p w14:paraId="2DF15A25" w14:textId="77777777" w:rsidR="005E000F" w:rsidRDefault="00000000">
            <w:pPr>
              <w:jc w:val="right"/>
              <w:rPr>
                <w:color w:val="000000" w:themeColor="text1"/>
              </w:rPr>
            </w:pPr>
            <w:r>
              <w:rPr>
                <w:color w:val="000000" w:themeColor="text1"/>
              </w:rPr>
              <w:t>5,531,728,638</w:t>
            </w:r>
          </w:p>
        </w:tc>
      </w:tr>
      <w:tr w:rsidR="005E000F" w14:paraId="54A2779B"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0F074CC3" w14:textId="77777777" w:rsidR="005E000F" w:rsidRDefault="00000000">
            <w:pPr>
              <w:rPr>
                <w:color w:val="000000" w:themeColor="text1"/>
              </w:rPr>
            </w:pPr>
            <w:r>
              <w:rPr>
                <w:color w:val="000000" w:themeColor="text1"/>
              </w:rPr>
              <w:t>货车使用费</w:t>
            </w:r>
          </w:p>
        </w:tc>
        <w:tc>
          <w:tcPr>
            <w:tcW w:w="2824" w:type="dxa"/>
            <w:tcBorders>
              <w:top w:val="single" w:sz="4" w:space="0" w:color="auto"/>
              <w:left w:val="single" w:sz="4" w:space="0" w:color="auto"/>
              <w:bottom w:val="single" w:sz="4" w:space="0" w:color="auto"/>
              <w:right w:val="single" w:sz="4" w:space="0" w:color="auto"/>
            </w:tcBorders>
            <w:vAlign w:val="center"/>
          </w:tcPr>
          <w:p w14:paraId="26188000" w14:textId="77777777" w:rsidR="005E000F" w:rsidRDefault="00000000">
            <w:pPr>
              <w:jc w:val="right"/>
              <w:rPr>
                <w:color w:val="000000" w:themeColor="text1"/>
              </w:rPr>
            </w:pPr>
            <w:r>
              <w:rPr>
                <w:color w:val="000000" w:themeColor="text1"/>
              </w:rPr>
              <w:t>3,251,613,829</w:t>
            </w:r>
          </w:p>
        </w:tc>
        <w:tc>
          <w:tcPr>
            <w:tcW w:w="2737" w:type="dxa"/>
            <w:tcBorders>
              <w:top w:val="single" w:sz="4" w:space="0" w:color="auto"/>
              <w:left w:val="single" w:sz="4" w:space="0" w:color="auto"/>
              <w:bottom w:val="single" w:sz="4" w:space="0" w:color="auto"/>
              <w:right w:val="single" w:sz="4" w:space="0" w:color="auto"/>
            </w:tcBorders>
            <w:vAlign w:val="center"/>
          </w:tcPr>
          <w:p w14:paraId="14F34B75" w14:textId="77777777" w:rsidR="005E000F" w:rsidRDefault="00000000">
            <w:pPr>
              <w:jc w:val="right"/>
              <w:rPr>
                <w:color w:val="000000" w:themeColor="text1"/>
              </w:rPr>
            </w:pPr>
            <w:r>
              <w:rPr>
                <w:color w:val="000000" w:themeColor="text1"/>
              </w:rPr>
              <w:t>3,093,272,351</w:t>
            </w:r>
          </w:p>
        </w:tc>
      </w:tr>
      <w:tr w:rsidR="005E000F" w14:paraId="530FD703"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77D366AC" w14:textId="77777777" w:rsidR="005E000F" w:rsidRDefault="00000000">
            <w:pPr>
              <w:rPr>
                <w:color w:val="000000" w:themeColor="text1"/>
              </w:rPr>
            </w:pPr>
            <w:r>
              <w:rPr>
                <w:color w:val="000000" w:themeColor="text1"/>
              </w:rPr>
              <w:t>机客车租赁费</w:t>
            </w:r>
          </w:p>
        </w:tc>
        <w:tc>
          <w:tcPr>
            <w:tcW w:w="2824" w:type="dxa"/>
            <w:tcBorders>
              <w:top w:val="single" w:sz="4" w:space="0" w:color="auto"/>
              <w:left w:val="single" w:sz="4" w:space="0" w:color="auto"/>
              <w:bottom w:val="single" w:sz="4" w:space="0" w:color="auto"/>
              <w:right w:val="single" w:sz="4" w:space="0" w:color="auto"/>
            </w:tcBorders>
            <w:vAlign w:val="center"/>
          </w:tcPr>
          <w:p w14:paraId="0416CDDF" w14:textId="77777777" w:rsidR="005E000F" w:rsidRDefault="00000000">
            <w:pPr>
              <w:jc w:val="right"/>
              <w:rPr>
                <w:color w:val="000000" w:themeColor="text1"/>
              </w:rPr>
            </w:pPr>
            <w:r>
              <w:rPr>
                <w:color w:val="000000" w:themeColor="text1"/>
              </w:rPr>
              <w:t>1,901,471,768</w:t>
            </w:r>
          </w:p>
        </w:tc>
        <w:tc>
          <w:tcPr>
            <w:tcW w:w="2737" w:type="dxa"/>
            <w:tcBorders>
              <w:top w:val="single" w:sz="4" w:space="0" w:color="auto"/>
              <w:left w:val="single" w:sz="4" w:space="0" w:color="auto"/>
              <w:bottom w:val="single" w:sz="4" w:space="0" w:color="auto"/>
              <w:right w:val="single" w:sz="4" w:space="0" w:color="auto"/>
            </w:tcBorders>
            <w:vAlign w:val="center"/>
          </w:tcPr>
          <w:p w14:paraId="79E4A160" w14:textId="77777777" w:rsidR="005E000F" w:rsidRDefault="00000000">
            <w:pPr>
              <w:jc w:val="right"/>
              <w:rPr>
                <w:color w:val="000000" w:themeColor="text1"/>
              </w:rPr>
            </w:pPr>
            <w:r>
              <w:rPr>
                <w:color w:val="000000" w:themeColor="text1"/>
              </w:rPr>
              <w:t>1,764,945,516</w:t>
            </w:r>
          </w:p>
        </w:tc>
      </w:tr>
      <w:tr w:rsidR="005E000F" w14:paraId="24851FC9"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21B860BD" w14:textId="77777777" w:rsidR="005E000F" w:rsidRDefault="00000000">
            <w:pPr>
              <w:rPr>
                <w:color w:val="000000" w:themeColor="text1"/>
              </w:rPr>
            </w:pPr>
            <w:r>
              <w:rPr>
                <w:color w:val="000000" w:themeColor="text1"/>
              </w:rPr>
              <w:t>电力及燃料</w:t>
            </w:r>
          </w:p>
        </w:tc>
        <w:tc>
          <w:tcPr>
            <w:tcW w:w="2824" w:type="dxa"/>
            <w:tcBorders>
              <w:top w:val="single" w:sz="4" w:space="0" w:color="auto"/>
              <w:left w:val="single" w:sz="4" w:space="0" w:color="auto"/>
              <w:bottom w:val="single" w:sz="4" w:space="0" w:color="auto"/>
              <w:right w:val="single" w:sz="4" w:space="0" w:color="auto"/>
            </w:tcBorders>
            <w:vAlign w:val="center"/>
          </w:tcPr>
          <w:p w14:paraId="3963F38C" w14:textId="77777777" w:rsidR="005E000F" w:rsidRDefault="00000000">
            <w:pPr>
              <w:jc w:val="right"/>
              <w:rPr>
                <w:color w:val="000000" w:themeColor="text1"/>
              </w:rPr>
            </w:pPr>
            <w:r>
              <w:rPr>
                <w:color w:val="000000" w:themeColor="text1"/>
              </w:rPr>
              <w:t>3,100,510,062</w:t>
            </w:r>
          </w:p>
        </w:tc>
        <w:tc>
          <w:tcPr>
            <w:tcW w:w="2737" w:type="dxa"/>
            <w:tcBorders>
              <w:top w:val="single" w:sz="4" w:space="0" w:color="auto"/>
              <w:left w:val="single" w:sz="4" w:space="0" w:color="auto"/>
              <w:bottom w:val="single" w:sz="4" w:space="0" w:color="auto"/>
              <w:right w:val="single" w:sz="4" w:space="0" w:color="auto"/>
            </w:tcBorders>
            <w:vAlign w:val="center"/>
          </w:tcPr>
          <w:p w14:paraId="4A83273D" w14:textId="77777777" w:rsidR="005E000F" w:rsidRDefault="00000000">
            <w:pPr>
              <w:jc w:val="right"/>
              <w:rPr>
                <w:color w:val="000000" w:themeColor="text1"/>
              </w:rPr>
            </w:pPr>
            <w:r>
              <w:rPr>
                <w:color w:val="000000" w:themeColor="text1"/>
              </w:rPr>
              <w:t>3,118,366,699</w:t>
            </w:r>
          </w:p>
        </w:tc>
      </w:tr>
      <w:tr w:rsidR="005E000F" w14:paraId="75424D62"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22212695" w14:textId="77777777" w:rsidR="005E000F" w:rsidRDefault="00000000">
            <w:pPr>
              <w:rPr>
                <w:color w:val="000000" w:themeColor="text1"/>
              </w:rPr>
            </w:pPr>
            <w:r>
              <w:rPr>
                <w:color w:val="000000" w:themeColor="text1"/>
              </w:rPr>
              <w:t>材料</w:t>
            </w:r>
          </w:p>
        </w:tc>
        <w:tc>
          <w:tcPr>
            <w:tcW w:w="2824" w:type="dxa"/>
            <w:tcBorders>
              <w:top w:val="single" w:sz="4" w:space="0" w:color="auto"/>
              <w:left w:val="single" w:sz="4" w:space="0" w:color="auto"/>
              <w:bottom w:val="single" w:sz="4" w:space="0" w:color="auto"/>
              <w:right w:val="single" w:sz="4" w:space="0" w:color="auto"/>
            </w:tcBorders>
            <w:vAlign w:val="center"/>
          </w:tcPr>
          <w:p w14:paraId="6CD1DD52" w14:textId="77777777" w:rsidR="005E000F" w:rsidRDefault="00000000">
            <w:pPr>
              <w:jc w:val="right"/>
              <w:rPr>
                <w:color w:val="000000" w:themeColor="text1"/>
              </w:rPr>
            </w:pPr>
            <w:r>
              <w:rPr>
                <w:color w:val="000000" w:themeColor="text1"/>
              </w:rPr>
              <w:t>1,156,059,052</w:t>
            </w:r>
          </w:p>
        </w:tc>
        <w:tc>
          <w:tcPr>
            <w:tcW w:w="2737" w:type="dxa"/>
            <w:tcBorders>
              <w:top w:val="single" w:sz="4" w:space="0" w:color="auto"/>
              <w:left w:val="single" w:sz="4" w:space="0" w:color="auto"/>
              <w:bottom w:val="single" w:sz="4" w:space="0" w:color="auto"/>
              <w:right w:val="single" w:sz="4" w:space="0" w:color="auto"/>
            </w:tcBorders>
            <w:vAlign w:val="center"/>
          </w:tcPr>
          <w:p w14:paraId="4A247FA9" w14:textId="77777777" w:rsidR="005E000F" w:rsidRDefault="00000000">
            <w:pPr>
              <w:jc w:val="right"/>
              <w:rPr>
                <w:color w:val="000000" w:themeColor="text1"/>
              </w:rPr>
            </w:pPr>
            <w:r>
              <w:rPr>
                <w:color w:val="000000" w:themeColor="text1"/>
              </w:rPr>
              <w:t>1,302,912,581</w:t>
            </w:r>
          </w:p>
        </w:tc>
      </w:tr>
      <w:tr w:rsidR="005E000F" w14:paraId="535FFBA9"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0B9FA463" w14:textId="77777777" w:rsidR="005E000F" w:rsidRDefault="00000000">
            <w:pPr>
              <w:rPr>
                <w:color w:val="000000" w:themeColor="text1"/>
              </w:rPr>
            </w:pPr>
            <w:r>
              <w:rPr>
                <w:color w:val="000000" w:themeColor="text1"/>
              </w:rPr>
              <w:t>大修支出</w:t>
            </w:r>
          </w:p>
        </w:tc>
        <w:tc>
          <w:tcPr>
            <w:tcW w:w="2824" w:type="dxa"/>
            <w:tcBorders>
              <w:top w:val="single" w:sz="4" w:space="0" w:color="auto"/>
              <w:left w:val="single" w:sz="4" w:space="0" w:color="auto"/>
              <w:bottom w:val="single" w:sz="4" w:space="0" w:color="auto"/>
              <w:right w:val="single" w:sz="4" w:space="0" w:color="auto"/>
            </w:tcBorders>
            <w:vAlign w:val="center"/>
          </w:tcPr>
          <w:p w14:paraId="06722024" w14:textId="77777777" w:rsidR="005E000F" w:rsidRDefault="00000000">
            <w:pPr>
              <w:jc w:val="right"/>
              <w:rPr>
                <w:color w:val="000000" w:themeColor="text1"/>
              </w:rPr>
            </w:pPr>
            <w:r>
              <w:rPr>
                <w:color w:val="000000" w:themeColor="text1"/>
              </w:rPr>
              <w:t>397,338,386</w:t>
            </w:r>
          </w:p>
        </w:tc>
        <w:tc>
          <w:tcPr>
            <w:tcW w:w="2737" w:type="dxa"/>
            <w:tcBorders>
              <w:top w:val="single" w:sz="4" w:space="0" w:color="auto"/>
              <w:left w:val="single" w:sz="4" w:space="0" w:color="auto"/>
              <w:bottom w:val="single" w:sz="4" w:space="0" w:color="auto"/>
              <w:right w:val="single" w:sz="4" w:space="0" w:color="auto"/>
            </w:tcBorders>
            <w:vAlign w:val="center"/>
          </w:tcPr>
          <w:p w14:paraId="6347C511" w14:textId="77777777" w:rsidR="005E000F" w:rsidRDefault="00000000">
            <w:pPr>
              <w:jc w:val="right"/>
              <w:rPr>
                <w:color w:val="000000" w:themeColor="text1"/>
              </w:rPr>
            </w:pPr>
            <w:r>
              <w:rPr>
                <w:color w:val="000000" w:themeColor="text1"/>
              </w:rPr>
              <w:t>247,099,516</w:t>
            </w:r>
          </w:p>
        </w:tc>
      </w:tr>
      <w:tr w:rsidR="005E000F" w14:paraId="2B83BDD8"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24465E1C" w14:textId="77777777" w:rsidR="005E000F" w:rsidRDefault="00000000">
            <w:pPr>
              <w:rPr>
                <w:color w:val="000000" w:themeColor="text1"/>
              </w:rPr>
            </w:pPr>
            <w:r>
              <w:rPr>
                <w:color w:val="000000" w:themeColor="text1"/>
              </w:rPr>
              <w:t>土地房屋租赁费</w:t>
            </w:r>
          </w:p>
        </w:tc>
        <w:tc>
          <w:tcPr>
            <w:tcW w:w="2824" w:type="dxa"/>
            <w:tcBorders>
              <w:top w:val="single" w:sz="4" w:space="0" w:color="auto"/>
              <w:left w:val="single" w:sz="4" w:space="0" w:color="auto"/>
              <w:bottom w:val="single" w:sz="4" w:space="0" w:color="auto"/>
              <w:right w:val="single" w:sz="4" w:space="0" w:color="auto"/>
            </w:tcBorders>
            <w:vAlign w:val="center"/>
          </w:tcPr>
          <w:p w14:paraId="3A95183C" w14:textId="77777777" w:rsidR="005E000F" w:rsidRDefault="00000000">
            <w:pPr>
              <w:jc w:val="right"/>
              <w:rPr>
                <w:color w:val="000000" w:themeColor="text1"/>
              </w:rPr>
            </w:pPr>
            <w:r>
              <w:rPr>
                <w:color w:val="000000" w:themeColor="text1"/>
              </w:rPr>
              <w:t>572,635,057</w:t>
            </w:r>
          </w:p>
        </w:tc>
        <w:tc>
          <w:tcPr>
            <w:tcW w:w="2737" w:type="dxa"/>
            <w:tcBorders>
              <w:top w:val="single" w:sz="4" w:space="0" w:color="auto"/>
              <w:left w:val="single" w:sz="4" w:space="0" w:color="auto"/>
              <w:bottom w:val="single" w:sz="4" w:space="0" w:color="auto"/>
              <w:right w:val="single" w:sz="4" w:space="0" w:color="auto"/>
            </w:tcBorders>
            <w:vAlign w:val="center"/>
          </w:tcPr>
          <w:p w14:paraId="04CF9B41" w14:textId="77777777" w:rsidR="005E000F" w:rsidRDefault="00000000">
            <w:pPr>
              <w:jc w:val="right"/>
              <w:rPr>
                <w:color w:val="000000" w:themeColor="text1"/>
              </w:rPr>
            </w:pPr>
            <w:r>
              <w:rPr>
                <w:color w:val="000000" w:themeColor="text1"/>
              </w:rPr>
              <w:t>702,870,916</w:t>
            </w:r>
          </w:p>
        </w:tc>
      </w:tr>
      <w:tr w:rsidR="005E000F" w14:paraId="18B70547"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7816C7E7" w14:textId="77777777" w:rsidR="005E000F" w:rsidRDefault="00000000">
            <w:pPr>
              <w:rPr>
                <w:color w:val="000000" w:themeColor="text1"/>
              </w:rPr>
            </w:pPr>
            <w:r>
              <w:rPr>
                <w:color w:val="000000" w:themeColor="text1"/>
              </w:rPr>
              <w:t>供热、供暖费及房屋维修费</w:t>
            </w:r>
          </w:p>
        </w:tc>
        <w:tc>
          <w:tcPr>
            <w:tcW w:w="2824" w:type="dxa"/>
            <w:tcBorders>
              <w:top w:val="single" w:sz="4" w:space="0" w:color="auto"/>
              <w:left w:val="single" w:sz="4" w:space="0" w:color="auto"/>
              <w:bottom w:val="single" w:sz="4" w:space="0" w:color="auto"/>
              <w:right w:val="single" w:sz="4" w:space="0" w:color="auto"/>
            </w:tcBorders>
            <w:vAlign w:val="center"/>
          </w:tcPr>
          <w:p w14:paraId="1CFFF137" w14:textId="77777777" w:rsidR="005E000F" w:rsidRDefault="00000000">
            <w:pPr>
              <w:jc w:val="right"/>
              <w:rPr>
                <w:color w:val="000000" w:themeColor="text1"/>
              </w:rPr>
            </w:pPr>
            <w:r>
              <w:rPr>
                <w:color w:val="000000" w:themeColor="text1"/>
              </w:rPr>
              <w:t>368,065,926</w:t>
            </w:r>
          </w:p>
        </w:tc>
        <w:tc>
          <w:tcPr>
            <w:tcW w:w="2737" w:type="dxa"/>
            <w:tcBorders>
              <w:top w:val="single" w:sz="4" w:space="0" w:color="auto"/>
              <w:left w:val="single" w:sz="4" w:space="0" w:color="auto"/>
              <w:bottom w:val="single" w:sz="4" w:space="0" w:color="auto"/>
              <w:right w:val="single" w:sz="4" w:space="0" w:color="auto"/>
            </w:tcBorders>
            <w:vAlign w:val="center"/>
          </w:tcPr>
          <w:p w14:paraId="21D58E0B" w14:textId="77777777" w:rsidR="005E000F" w:rsidRDefault="00000000">
            <w:pPr>
              <w:jc w:val="right"/>
              <w:rPr>
                <w:color w:val="000000" w:themeColor="text1"/>
              </w:rPr>
            </w:pPr>
            <w:r>
              <w:rPr>
                <w:color w:val="000000" w:themeColor="text1"/>
              </w:rPr>
              <w:t>307,338,173</w:t>
            </w:r>
          </w:p>
        </w:tc>
      </w:tr>
      <w:tr w:rsidR="005E000F" w14:paraId="747C4FDC"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405240FF" w14:textId="77777777" w:rsidR="005E000F" w:rsidRDefault="00000000">
            <w:pPr>
              <w:rPr>
                <w:color w:val="000000" w:themeColor="text1"/>
              </w:rPr>
            </w:pPr>
            <w:r>
              <w:rPr>
                <w:color w:val="000000" w:themeColor="text1"/>
              </w:rPr>
              <w:t>和谐机车检修</w:t>
            </w:r>
          </w:p>
        </w:tc>
        <w:tc>
          <w:tcPr>
            <w:tcW w:w="2824" w:type="dxa"/>
            <w:tcBorders>
              <w:top w:val="single" w:sz="4" w:space="0" w:color="auto"/>
              <w:left w:val="single" w:sz="4" w:space="0" w:color="auto"/>
              <w:bottom w:val="single" w:sz="4" w:space="0" w:color="auto"/>
              <w:right w:val="single" w:sz="4" w:space="0" w:color="auto"/>
            </w:tcBorders>
            <w:vAlign w:val="center"/>
          </w:tcPr>
          <w:p w14:paraId="2E944610" w14:textId="77777777" w:rsidR="005E000F" w:rsidRDefault="00000000">
            <w:pPr>
              <w:jc w:val="right"/>
              <w:rPr>
                <w:color w:val="000000" w:themeColor="text1"/>
              </w:rPr>
            </w:pPr>
            <w:r>
              <w:rPr>
                <w:color w:val="000000" w:themeColor="text1"/>
              </w:rPr>
              <w:t>302,631,312</w:t>
            </w:r>
          </w:p>
        </w:tc>
        <w:tc>
          <w:tcPr>
            <w:tcW w:w="2737" w:type="dxa"/>
            <w:tcBorders>
              <w:top w:val="single" w:sz="4" w:space="0" w:color="auto"/>
              <w:left w:val="single" w:sz="4" w:space="0" w:color="auto"/>
              <w:bottom w:val="single" w:sz="4" w:space="0" w:color="auto"/>
              <w:right w:val="single" w:sz="4" w:space="0" w:color="auto"/>
            </w:tcBorders>
            <w:vAlign w:val="center"/>
          </w:tcPr>
          <w:p w14:paraId="09509BF9" w14:textId="77777777" w:rsidR="005E000F" w:rsidRDefault="00000000">
            <w:pPr>
              <w:jc w:val="right"/>
              <w:rPr>
                <w:color w:val="000000" w:themeColor="text1"/>
              </w:rPr>
            </w:pPr>
            <w:r>
              <w:rPr>
                <w:color w:val="000000" w:themeColor="text1"/>
              </w:rPr>
              <w:t>409,223,665</w:t>
            </w:r>
          </w:p>
        </w:tc>
      </w:tr>
      <w:tr w:rsidR="005E000F" w14:paraId="5B161894"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601091CC" w14:textId="77777777" w:rsidR="005E000F" w:rsidRDefault="00000000">
            <w:pPr>
              <w:rPr>
                <w:color w:val="000000" w:themeColor="text1"/>
              </w:rPr>
            </w:pPr>
            <w:r>
              <w:rPr>
                <w:color w:val="000000" w:themeColor="text1"/>
              </w:rPr>
              <w:t>付费支出：</w:t>
            </w:r>
          </w:p>
        </w:tc>
        <w:tc>
          <w:tcPr>
            <w:tcW w:w="2824" w:type="dxa"/>
            <w:tcBorders>
              <w:top w:val="single" w:sz="4" w:space="0" w:color="auto"/>
              <w:left w:val="single" w:sz="4" w:space="0" w:color="auto"/>
              <w:bottom w:val="single" w:sz="4" w:space="0" w:color="auto"/>
              <w:right w:val="single" w:sz="4" w:space="0" w:color="auto"/>
            </w:tcBorders>
            <w:vAlign w:val="center"/>
          </w:tcPr>
          <w:p w14:paraId="76B62815" w14:textId="77777777" w:rsidR="005E000F" w:rsidRDefault="00000000">
            <w:pPr>
              <w:jc w:val="right"/>
            </w:pPr>
            <w:r>
              <w:t>24,942,092,564</w:t>
            </w:r>
          </w:p>
        </w:tc>
        <w:tc>
          <w:tcPr>
            <w:tcW w:w="2737" w:type="dxa"/>
            <w:tcBorders>
              <w:top w:val="single" w:sz="4" w:space="0" w:color="auto"/>
              <w:left w:val="single" w:sz="4" w:space="0" w:color="auto"/>
              <w:bottom w:val="single" w:sz="4" w:space="0" w:color="auto"/>
              <w:right w:val="single" w:sz="4" w:space="0" w:color="auto"/>
            </w:tcBorders>
            <w:vAlign w:val="center"/>
          </w:tcPr>
          <w:p w14:paraId="452C99D3" w14:textId="77777777" w:rsidR="005E000F" w:rsidRDefault="00000000">
            <w:pPr>
              <w:jc w:val="right"/>
            </w:pPr>
            <w:r>
              <w:t>21,051,808,098</w:t>
            </w:r>
          </w:p>
        </w:tc>
      </w:tr>
      <w:tr w:rsidR="005E000F" w14:paraId="7082670B"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79B9D94D" w14:textId="77777777" w:rsidR="005E000F" w:rsidRDefault="00000000">
            <w:pPr>
              <w:rPr>
                <w:color w:val="000000" w:themeColor="text1"/>
              </w:rPr>
            </w:pPr>
            <w:r>
              <w:rPr>
                <w:color w:val="000000" w:themeColor="text1"/>
              </w:rPr>
              <w:t>其中：客运服务费（注</w:t>
            </w:r>
            <w:r>
              <w:rPr>
                <w:color w:val="000000" w:themeColor="text1"/>
              </w:rPr>
              <w:t>1</w:t>
            </w:r>
            <w:r>
              <w:rPr>
                <w:color w:val="000000" w:themeColor="text1"/>
              </w:rPr>
              <w:t>）</w:t>
            </w:r>
          </w:p>
        </w:tc>
        <w:tc>
          <w:tcPr>
            <w:tcW w:w="2824" w:type="dxa"/>
            <w:tcBorders>
              <w:top w:val="single" w:sz="4" w:space="0" w:color="auto"/>
              <w:left w:val="single" w:sz="4" w:space="0" w:color="auto"/>
              <w:bottom w:val="single" w:sz="4" w:space="0" w:color="auto"/>
              <w:right w:val="single" w:sz="4" w:space="0" w:color="auto"/>
            </w:tcBorders>
            <w:vAlign w:val="center"/>
          </w:tcPr>
          <w:p w14:paraId="69D2629F" w14:textId="77777777" w:rsidR="005E000F" w:rsidRDefault="00000000">
            <w:pPr>
              <w:jc w:val="right"/>
              <w:rPr>
                <w:color w:val="000000" w:themeColor="text1"/>
              </w:rPr>
            </w:pPr>
            <w:r>
              <w:rPr>
                <w:color w:val="000000" w:themeColor="text1"/>
              </w:rPr>
              <w:t>6,885,369,322</w:t>
            </w:r>
          </w:p>
        </w:tc>
        <w:tc>
          <w:tcPr>
            <w:tcW w:w="2737" w:type="dxa"/>
            <w:tcBorders>
              <w:top w:val="single" w:sz="4" w:space="0" w:color="auto"/>
              <w:left w:val="single" w:sz="4" w:space="0" w:color="auto"/>
              <w:bottom w:val="single" w:sz="4" w:space="0" w:color="auto"/>
              <w:right w:val="single" w:sz="4" w:space="0" w:color="auto"/>
            </w:tcBorders>
            <w:vAlign w:val="center"/>
          </w:tcPr>
          <w:p w14:paraId="471E4D25" w14:textId="77777777" w:rsidR="005E000F" w:rsidRDefault="00000000">
            <w:pPr>
              <w:jc w:val="right"/>
              <w:rPr>
                <w:color w:val="000000" w:themeColor="text1"/>
              </w:rPr>
            </w:pPr>
            <w:r>
              <w:rPr>
                <w:color w:val="000000" w:themeColor="text1"/>
              </w:rPr>
              <w:t>6,360,029,381</w:t>
            </w:r>
          </w:p>
        </w:tc>
      </w:tr>
      <w:tr w:rsidR="005E000F" w14:paraId="117B178C"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55B812B2" w14:textId="77777777" w:rsidR="005E000F" w:rsidRDefault="00000000">
            <w:pPr>
              <w:rPr>
                <w:color w:val="000000" w:themeColor="text1"/>
              </w:rPr>
            </w:pPr>
            <w:r>
              <w:rPr>
                <w:rFonts w:hint="eastAsia"/>
                <w:color w:val="000000" w:themeColor="text1"/>
              </w:rPr>
              <w:t>其中：货运服务费（注</w:t>
            </w:r>
            <w:r>
              <w:rPr>
                <w:rFonts w:hint="eastAsia"/>
                <w:color w:val="000000" w:themeColor="text1"/>
              </w:rPr>
              <w:t>2</w:t>
            </w:r>
            <w:r>
              <w:rPr>
                <w:rFonts w:hint="eastAsia"/>
                <w:color w:val="000000" w:themeColor="text1"/>
              </w:rPr>
              <w:t>）</w:t>
            </w:r>
          </w:p>
        </w:tc>
        <w:tc>
          <w:tcPr>
            <w:tcW w:w="2824" w:type="dxa"/>
            <w:tcBorders>
              <w:top w:val="single" w:sz="4" w:space="0" w:color="auto"/>
              <w:left w:val="single" w:sz="4" w:space="0" w:color="auto"/>
              <w:bottom w:val="single" w:sz="4" w:space="0" w:color="auto"/>
              <w:right w:val="single" w:sz="4" w:space="0" w:color="auto"/>
            </w:tcBorders>
            <w:vAlign w:val="center"/>
          </w:tcPr>
          <w:p w14:paraId="11B220B1" w14:textId="77777777" w:rsidR="005E000F" w:rsidRDefault="00000000">
            <w:pPr>
              <w:jc w:val="right"/>
              <w:rPr>
                <w:color w:val="000000" w:themeColor="text1"/>
              </w:rPr>
            </w:pPr>
            <w:r>
              <w:rPr>
                <w:color w:val="000000" w:themeColor="text1"/>
              </w:rPr>
              <w:t>18,056,723,242</w:t>
            </w:r>
          </w:p>
        </w:tc>
        <w:tc>
          <w:tcPr>
            <w:tcW w:w="2737" w:type="dxa"/>
            <w:tcBorders>
              <w:top w:val="single" w:sz="4" w:space="0" w:color="auto"/>
              <w:left w:val="single" w:sz="4" w:space="0" w:color="auto"/>
              <w:bottom w:val="single" w:sz="4" w:space="0" w:color="auto"/>
              <w:right w:val="single" w:sz="4" w:space="0" w:color="auto"/>
            </w:tcBorders>
            <w:vAlign w:val="center"/>
          </w:tcPr>
          <w:p w14:paraId="799CDA99" w14:textId="77777777" w:rsidR="005E000F" w:rsidRDefault="00000000">
            <w:pPr>
              <w:jc w:val="right"/>
              <w:rPr>
                <w:color w:val="000000" w:themeColor="text1"/>
              </w:rPr>
            </w:pPr>
            <w:r>
              <w:rPr>
                <w:color w:val="000000" w:themeColor="text1"/>
              </w:rPr>
              <w:t>14,691,778,717</w:t>
            </w:r>
          </w:p>
        </w:tc>
      </w:tr>
      <w:tr w:rsidR="005E000F" w14:paraId="4F72E668"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3A4301FE" w14:textId="77777777" w:rsidR="005E000F" w:rsidRDefault="00000000">
            <w:pPr>
              <w:rPr>
                <w:color w:val="000000" w:themeColor="text1"/>
              </w:rPr>
            </w:pPr>
            <w:r>
              <w:rPr>
                <w:rFonts w:hint="eastAsia"/>
                <w:color w:val="000000" w:themeColor="text1"/>
              </w:rPr>
              <w:lastRenderedPageBreak/>
              <w:t>两端物流辅助（注</w:t>
            </w:r>
            <w:r>
              <w:rPr>
                <w:rFonts w:hint="eastAsia"/>
                <w:color w:val="000000" w:themeColor="text1"/>
              </w:rPr>
              <w:t>3</w:t>
            </w:r>
            <w:r>
              <w:rPr>
                <w:rFonts w:hint="eastAsia"/>
                <w:color w:val="000000" w:themeColor="text1"/>
              </w:rPr>
              <w:t>）</w:t>
            </w:r>
          </w:p>
        </w:tc>
        <w:tc>
          <w:tcPr>
            <w:tcW w:w="2824" w:type="dxa"/>
            <w:tcBorders>
              <w:top w:val="single" w:sz="4" w:space="0" w:color="auto"/>
              <w:left w:val="single" w:sz="4" w:space="0" w:color="auto"/>
              <w:bottom w:val="single" w:sz="4" w:space="0" w:color="auto"/>
              <w:right w:val="single" w:sz="4" w:space="0" w:color="auto"/>
            </w:tcBorders>
            <w:vAlign w:val="center"/>
          </w:tcPr>
          <w:p w14:paraId="37B04697" w14:textId="77777777" w:rsidR="005E000F" w:rsidRDefault="00000000">
            <w:pPr>
              <w:jc w:val="right"/>
              <w:rPr>
                <w:color w:val="000000" w:themeColor="text1"/>
              </w:rPr>
            </w:pPr>
            <w:r>
              <w:rPr>
                <w:color w:val="000000" w:themeColor="text1"/>
              </w:rPr>
              <w:t>3,268,187,622</w:t>
            </w:r>
          </w:p>
        </w:tc>
        <w:tc>
          <w:tcPr>
            <w:tcW w:w="2737" w:type="dxa"/>
            <w:tcBorders>
              <w:top w:val="single" w:sz="4" w:space="0" w:color="auto"/>
              <w:left w:val="single" w:sz="4" w:space="0" w:color="auto"/>
              <w:bottom w:val="single" w:sz="4" w:space="0" w:color="auto"/>
              <w:right w:val="single" w:sz="4" w:space="0" w:color="auto"/>
            </w:tcBorders>
            <w:vAlign w:val="center"/>
          </w:tcPr>
          <w:p w14:paraId="0090D61E" w14:textId="77777777" w:rsidR="005E000F" w:rsidRDefault="00000000">
            <w:pPr>
              <w:jc w:val="right"/>
              <w:rPr>
                <w:color w:val="000000" w:themeColor="text1"/>
              </w:rPr>
            </w:pPr>
            <w:r>
              <w:rPr>
                <w:color w:val="000000" w:themeColor="text1"/>
              </w:rPr>
              <w:t>87,989,072</w:t>
            </w:r>
          </w:p>
        </w:tc>
      </w:tr>
      <w:tr w:rsidR="005E000F" w14:paraId="6E669244"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05FE15C1" w14:textId="77777777" w:rsidR="005E000F" w:rsidRDefault="00000000">
            <w:pPr>
              <w:rPr>
                <w:color w:val="000000" w:themeColor="text1"/>
              </w:rPr>
            </w:pPr>
            <w:r>
              <w:rPr>
                <w:rFonts w:hint="eastAsia"/>
                <w:color w:val="000000" w:themeColor="text1"/>
              </w:rPr>
              <w:t>其他</w:t>
            </w:r>
          </w:p>
        </w:tc>
        <w:tc>
          <w:tcPr>
            <w:tcW w:w="2824" w:type="dxa"/>
            <w:tcBorders>
              <w:top w:val="single" w:sz="4" w:space="0" w:color="auto"/>
              <w:left w:val="single" w:sz="4" w:space="0" w:color="auto"/>
              <w:bottom w:val="single" w:sz="4" w:space="0" w:color="auto"/>
              <w:right w:val="single" w:sz="4" w:space="0" w:color="auto"/>
            </w:tcBorders>
            <w:vAlign w:val="center"/>
          </w:tcPr>
          <w:p w14:paraId="7F953040" w14:textId="77777777" w:rsidR="005E000F" w:rsidRDefault="00000000">
            <w:pPr>
              <w:jc w:val="right"/>
              <w:rPr>
                <w:color w:val="000000" w:themeColor="text1"/>
              </w:rPr>
            </w:pPr>
            <w:r>
              <w:rPr>
                <w:color w:val="000000" w:themeColor="text1"/>
              </w:rPr>
              <w:t>2,515,802,584</w:t>
            </w:r>
          </w:p>
        </w:tc>
        <w:tc>
          <w:tcPr>
            <w:tcW w:w="2737" w:type="dxa"/>
            <w:tcBorders>
              <w:top w:val="single" w:sz="4" w:space="0" w:color="auto"/>
              <w:left w:val="single" w:sz="4" w:space="0" w:color="auto"/>
              <w:bottom w:val="single" w:sz="4" w:space="0" w:color="auto"/>
              <w:right w:val="single" w:sz="4" w:space="0" w:color="auto"/>
            </w:tcBorders>
            <w:vAlign w:val="center"/>
          </w:tcPr>
          <w:p w14:paraId="19690EB9" w14:textId="77777777" w:rsidR="005E000F" w:rsidRDefault="00000000">
            <w:pPr>
              <w:jc w:val="right"/>
              <w:rPr>
                <w:color w:val="000000" w:themeColor="text1"/>
              </w:rPr>
            </w:pPr>
            <w:r>
              <w:rPr>
                <w:color w:val="000000" w:themeColor="text1"/>
              </w:rPr>
              <w:t>2,157,519,390</w:t>
            </w:r>
          </w:p>
        </w:tc>
      </w:tr>
      <w:tr w:rsidR="005E000F" w14:paraId="553818F9" w14:textId="77777777">
        <w:trPr>
          <w:cantSplit/>
        </w:trPr>
        <w:tc>
          <w:tcPr>
            <w:tcW w:w="3488" w:type="dxa"/>
            <w:tcBorders>
              <w:top w:val="single" w:sz="4" w:space="0" w:color="auto"/>
              <w:left w:val="single" w:sz="4" w:space="0" w:color="auto"/>
              <w:bottom w:val="single" w:sz="4" w:space="0" w:color="auto"/>
              <w:right w:val="single" w:sz="4" w:space="0" w:color="auto"/>
            </w:tcBorders>
            <w:vAlign w:val="center"/>
          </w:tcPr>
          <w:p w14:paraId="70062A58" w14:textId="77777777" w:rsidR="005E000F" w:rsidRDefault="00000000">
            <w:pPr>
              <w:rPr>
                <w:color w:val="000000" w:themeColor="text1"/>
              </w:rPr>
            </w:pPr>
            <w:r>
              <w:rPr>
                <w:rFonts w:hint="eastAsia"/>
                <w:color w:val="000000" w:themeColor="text1"/>
              </w:rPr>
              <w:t>合计</w:t>
            </w:r>
          </w:p>
        </w:tc>
        <w:tc>
          <w:tcPr>
            <w:tcW w:w="2824" w:type="dxa"/>
            <w:tcBorders>
              <w:top w:val="single" w:sz="4" w:space="0" w:color="auto"/>
              <w:left w:val="single" w:sz="4" w:space="0" w:color="auto"/>
              <w:bottom w:val="single" w:sz="4" w:space="0" w:color="auto"/>
              <w:right w:val="single" w:sz="4" w:space="0" w:color="auto"/>
            </w:tcBorders>
            <w:vAlign w:val="center"/>
          </w:tcPr>
          <w:p w14:paraId="379364AF" w14:textId="77777777" w:rsidR="005E000F" w:rsidRDefault="00000000">
            <w:pPr>
              <w:jc w:val="right"/>
              <w:rPr>
                <w:color w:val="000000" w:themeColor="text1"/>
              </w:rPr>
            </w:pPr>
            <w:r>
              <w:rPr>
                <w:color w:val="000000" w:themeColor="text1"/>
              </w:rPr>
              <w:t>70,193,644,077</w:t>
            </w:r>
          </w:p>
        </w:tc>
        <w:tc>
          <w:tcPr>
            <w:tcW w:w="2737" w:type="dxa"/>
            <w:tcBorders>
              <w:top w:val="single" w:sz="4" w:space="0" w:color="auto"/>
              <w:left w:val="single" w:sz="4" w:space="0" w:color="auto"/>
              <w:bottom w:val="single" w:sz="4" w:space="0" w:color="auto"/>
              <w:right w:val="single" w:sz="4" w:space="0" w:color="auto"/>
            </w:tcBorders>
            <w:vAlign w:val="center"/>
          </w:tcPr>
          <w:p w14:paraId="2C8A6B03" w14:textId="77777777" w:rsidR="005E000F" w:rsidRDefault="00000000">
            <w:pPr>
              <w:jc w:val="right"/>
              <w:rPr>
                <w:color w:val="000000" w:themeColor="text1"/>
              </w:rPr>
            </w:pPr>
            <w:r>
              <w:rPr>
                <w:color w:val="000000" w:themeColor="text1"/>
              </w:rPr>
              <w:t>62,319,879,782</w:t>
            </w:r>
          </w:p>
        </w:tc>
      </w:tr>
    </w:tbl>
    <w:p w14:paraId="6422DBDA" w14:textId="77777777" w:rsidR="005E000F" w:rsidRDefault="005E000F"/>
    <w:p w14:paraId="28591A68" w14:textId="77777777" w:rsidR="005E000F" w:rsidRDefault="00000000">
      <w:pPr>
        <w:rPr>
          <w:color w:val="000000" w:themeColor="text1"/>
        </w:rPr>
      </w:pPr>
      <w:r>
        <w:rPr>
          <w:rFonts w:hint="eastAsia"/>
          <w:color w:val="000000" w:themeColor="text1"/>
        </w:rPr>
        <w:t>注</w:t>
      </w:r>
      <w:r>
        <w:rPr>
          <w:rFonts w:hint="eastAsia"/>
          <w:color w:val="000000" w:themeColor="text1"/>
        </w:rPr>
        <w:t>1</w:t>
      </w:r>
      <w:r>
        <w:rPr>
          <w:rFonts w:hint="eastAsia"/>
          <w:color w:val="000000" w:themeColor="text1"/>
        </w:rPr>
        <w:t>：客运服务费为本集团的客车行驶到本集团管界外的客运线路并由其他铁路局机车牵引，而发生的机车牵引服务费和线路使用费等。</w:t>
      </w:r>
    </w:p>
    <w:p w14:paraId="7D56C3F2" w14:textId="77777777" w:rsidR="005E000F" w:rsidRDefault="00000000">
      <w:pPr>
        <w:rPr>
          <w:color w:val="000000" w:themeColor="text1"/>
        </w:rPr>
      </w:pPr>
      <w:r>
        <w:rPr>
          <w:color w:val="000000" w:themeColor="text1"/>
        </w:rPr>
        <w:t xml:space="preserve"> </w:t>
      </w:r>
    </w:p>
    <w:p w14:paraId="04A815A7" w14:textId="77777777" w:rsidR="005E000F" w:rsidRDefault="00000000">
      <w:pPr>
        <w:rPr>
          <w:color w:val="000000" w:themeColor="text1"/>
        </w:rPr>
      </w:pPr>
      <w:r>
        <w:rPr>
          <w:rFonts w:hint="eastAsia"/>
          <w:color w:val="000000" w:themeColor="text1"/>
        </w:rPr>
        <w:t>注</w:t>
      </w:r>
      <w:r>
        <w:rPr>
          <w:rFonts w:hint="eastAsia"/>
          <w:color w:val="000000" w:themeColor="text1"/>
        </w:rPr>
        <w:t>2</w:t>
      </w:r>
      <w:r>
        <w:rPr>
          <w:rFonts w:hint="eastAsia"/>
          <w:color w:val="000000" w:themeColor="text1"/>
        </w:rPr>
        <w:t>：货运服务费包括货运机车牵引服务费、线路使用费、车辆服务费、到达作业服务费、综合服务费和货运接触网使用费等。</w:t>
      </w:r>
    </w:p>
    <w:p w14:paraId="3F534929" w14:textId="77777777" w:rsidR="005E000F" w:rsidRDefault="005E000F">
      <w:pPr>
        <w:rPr>
          <w:color w:val="000000" w:themeColor="text1"/>
        </w:rPr>
      </w:pPr>
    </w:p>
    <w:p w14:paraId="792A8B26" w14:textId="77777777" w:rsidR="005E000F" w:rsidRDefault="00000000">
      <w:pPr>
        <w:rPr>
          <w:color w:val="000000" w:themeColor="text1"/>
        </w:rPr>
      </w:pPr>
      <w:r>
        <w:rPr>
          <w:rFonts w:hint="eastAsia"/>
          <w:color w:val="000000" w:themeColor="text1"/>
        </w:rPr>
        <w:t>注</w:t>
      </w:r>
      <w:r>
        <w:rPr>
          <w:rFonts w:hint="eastAsia"/>
          <w:color w:val="000000" w:themeColor="text1"/>
        </w:rPr>
        <w:t>3</w:t>
      </w:r>
      <w:r>
        <w:rPr>
          <w:rFonts w:hint="eastAsia"/>
          <w:color w:val="000000" w:themeColor="text1"/>
        </w:rPr>
        <w:t>：两端物流辅助包括其他物流辅助服务费以及接取送达费等。</w:t>
      </w:r>
    </w:p>
    <w:p w14:paraId="7029282A" w14:textId="77777777" w:rsidR="005E000F" w:rsidRDefault="00000000">
      <w:pPr>
        <w:rPr>
          <w:color w:val="000000" w:themeColor="text1"/>
        </w:rPr>
      </w:pPr>
      <w:r>
        <w:rPr>
          <w:color w:val="000000" w:themeColor="text1"/>
        </w:rPr>
        <w:t xml:space="preserve"> </w:t>
      </w:r>
    </w:p>
    <w:p w14:paraId="75F6BABB" w14:textId="77777777" w:rsidR="005E000F" w:rsidRDefault="00000000">
      <w:pPr>
        <w:rPr>
          <w:color w:val="000000" w:themeColor="text1"/>
        </w:rPr>
      </w:pPr>
      <w:r>
        <w:rPr>
          <w:rFonts w:hint="eastAsia"/>
          <w:color w:val="000000" w:themeColor="text1"/>
        </w:rPr>
        <w:t>其他业务收入、其他业务成本：</w:t>
      </w:r>
    </w:p>
    <w:p w14:paraId="1566924B" w14:textId="77777777" w:rsidR="005E000F" w:rsidRDefault="00000000">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p>
    <w:tbl>
      <w:tblPr>
        <w:tblpPr w:leftFromText="180" w:rightFromText="180" w:vertAnchor="text" w:horzAnchor="page" w:tblpX="1254" w:tblpY="26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820"/>
        <w:gridCol w:w="1904"/>
        <w:gridCol w:w="1898"/>
        <w:gridCol w:w="1902"/>
      </w:tblGrid>
      <w:tr w:rsidR="005E000F" w14:paraId="3C7749C5" w14:textId="77777777">
        <w:tc>
          <w:tcPr>
            <w:tcW w:w="842" w:type="pct"/>
            <w:vMerge w:val="restart"/>
            <w:tcBorders>
              <w:top w:val="single" w:sz="4" w:space="0" w:color="auto"/>
              <w:left w:val="single" w:sz="4" w:space="0" w:color="auto"/>
              <w:bottom w:val="single" w:sz="4" w:space="0" w:color="auto"/>
              <w:right w:val="single" w:sz="4" w:space="0" w:color="auto"/>
            </w:tcBorders>
            <w:vAlign w:val="center"/>
          </w:tcPr>
          <w:p w14:paraId="1B07128D" w14:textId="77777777" w:rsidR="005E000F" w:rsidRDefault="00000000">
            <w:pPr>
              <w:jc w:val="center"/>
              <w:rPr>
                <w:color w:val="000000" w:themeColor="text1"/>
              </w:rPr>
            </w:pPr>
            <w:r>
              <w:rPr>
                <w:rFonts w:hint="eastAsia"/>
                <w:color w:val="000000" w:themeColor="text1"/>
              </w:rPr>
              <w:t>项目</w:t>
            </w:r>
          </w:p>
        </w:tc>
        <w:tc>
          <w:tcPr>
            <w:tcW w:w="2057" w:type="pct"/>
            <w:gridSpan w:val="2"/>
            <w:tcBorders>
              <w:top w:val="single" w:sz="4" w:space="0" w:color="auto"/>
              <w:left w:val="nil"/>
              <w:bottom w:val="single" w:sz="4" w:space="0" w:color="auto"/>
              <w:right w:val="single" w:sz="4" w:space="0" w:color="auto"/>
            </w:tcBorders>
            <w:vAlign w:val="center"/>
          </w:tcPr>
          <w:p w14:paraId="795F73C0" w14:textId="77777777" w:rsidR="005E000F" w:rsidRDefault="00000000">
            <w:pPr>
              <w:jc w:val="center"/>
              <w:rPr>
                <w:color w:val="000000" w:themeColor="text1"/>
              </w:rPr>
            </w:pPr>
            <w:r>
              <w:rPr>
                <w:rFonts w:hint="eastAsia"/>
                <w:color w:val="000000" w:themeColor="text1"/>
              </w:rPr>
              <w:t>本期发生额</w:t>
            </w:r>
          </w:p>
        </w:tc>
        <w:tc>
          <w:tcPr>
            <w:tcW w:w="2100" w:type="pct"/>
            <w:gridSpan w:val="2"/>
            <w:tcBorders>
              <w:top w:val="single" w:sz="4" w:space="0" w:color="auto"/>
              <w:left w:val="nil"/>
              <w:bottom w:val="single" w:sz="4" w:space="0" w:color="auto"/>
              <w:right w:val="single" w:sz="4" w:space="0" w:color="auto"/>
            </w:tcBorders>
            <w:vAlign w:val="center"/>
          </w:tcPr>
          <w:p w14:paraId="5DE8865B" w14:textId="77777777" w:rsidR="005E000F" w:rsidRDefault="00000000">
            <w:pPr>
              <w:jc w:val="center"/>
              <w:rPr>
                <w:color w:val="000000" w:themeColor="text1"/>
              </w:rPr>
            </w:pPr>
            <w:r>
              <w:rPr>
                <w:rFonts w:hint="eastAsia"/>
                <w:color w:val="000000" w:themeColor="text1"/>
              </w:rPr>
              <w:t>上期发生额</w:t>
            </w:r>
          </w:p>
        </w:tc>
      </w:tr>
      <w:tr w:rsidR="005E000F" w14:paraId="0D34587F" w14:textId="77777777">
        <w:tc>
          <w:tcPr>
            <w:tcW w:w="842" w:type="pct"/>
            <w:vMerge/>
            <w:tcBorders>
              <w:top w:val="single" w:sz="4" w:space="0" w:color="auto"/>
              <w:left w:val="single" w:sz="4" w:space="0" w:color="auto"/>
              <w:bottom w:val="single" w:sz="4" w:space="0" w:color="auto"/>
              <w:right w:val="single" w:sz="4" w:space="0" w:color="auto"/>
            </w:tcBorders>
            <w:vAlign w:val="center"/>
          </w:tcPr>
          <w:p w14:paraId="4755D5F2" w14:textId="77777777" w:rsidR="005E000F" w:rsidRDefault="005E000F">
            <w:pPr>
              <w:rPr>
                <w:color w:val="000000" w:themeColor="text1"/>
              </w:rPr>
            </w:pPr>
          </w:p>
        </w:tc>
        <w:tc>
          <w:tcPr>
            <w:tcW w:w="1005" w:type="pct"/>
            <w:tcBorders>
              <w:top w:val="single" w:sz="4" w:space="0" w:color="auto"/>
              <w:left w:val="nil"/>
              <w:bottom w:val="single" w:sz="4" w:space="0" w:color="auto"/>
              <w:right w:val="single" w:sz="4" w:space="0" w:color="auto"/>
            </w:tcBorders>
            <w:vAlign w:val="center"/>
          </w:tcPr>
          <w:p w14:paraId="42FD746A" w14:textId="77777777" w:rsidR="005E000F" w:rsidRDefault="00000000">
            <w:pPr>
              <w:jc w:val="center"/>
              <w:rPr>
                <w:color w:val="000000" w:themeColor="text1"/>
              </w:rPr>
            </w:pPr>
            <w:r>
              <w:rPr>
                <w:rFonts w:hint="eastAsia"/>
                <w:color w:val="000000" w:themeColor="text1"/>
              </w:rPr>
              <w:t>其他业务收入</w:t>
            </w:r>
          </w:p>
        </w:tc>
        <w:tc>
          <w:tcPr>
            <w:tcW w:w="1051" w:type="pct"/>
            <w:tcBorders>
              <w:top w:val="single" w:sz="4" w:space="0" w:color="auto"/>
              <w:left w:val="nil"/>
              <w:bottom w:val="single" w:sz="4" w:space="0" w:color="auto"/>
              <w:right w:val="single" w:sz="4" w:space="0" w:color="auto"/>
            </w:tcBorders>
            <w:vAlign w:val="center"/>
          </w:tcPr>
          <w:p w14:paraId="1067D5A3" w14:textId="77777777" w:rsidR="005E000F" w:rsidRDefault="00000000">
            <w:pPr>
              <w:jc w:val="center"/>
              <w:rPr>
                <w:color w:val="000000" w:themeColor="text1"/>
              </w:rPr>
            </w:pPr>
            <w:r>
              <w:rPr>
                <w:rFonts w:hint="eastAsia"/>
                <w:color w:val="000000" w:themeColor="text1"/>
              </w:rPr>
              <w:t>其他业务成本</w:t>
            </w:r>
          </w:p>
        </w:tc>
        <w:tc>
          <w:tcPr>
            <w:tcW w:w="1049" w:type="pct"/>
            <w:tcBorders>
              <w:top w:val="single" w:sz="4" w:space="0" w:color="auto"/>
              <w:left w:val="nil"/>
              <w:bottom w:val="single" w:sz="4" w:space="0" w:color="auto"/>
              <w:right w:val="single" w:sz="4" w:space="0" w:color="auto"/>
            </w:tcBorders>
            <w:vAlign w:val="center"/>
          </w:tcPr>
          <w:p w14:paraId="7A7B7A7F" w14:textId="77777777" w:rsidR="005E000F" w:rsidRDefault="00000000">
            <w:pPr>
              <w:jc w:val="center"/>
              <w:rPr>
                <w:color w:val="000000" w:themeColor="text1"/>
              </w:rPr>
            </w:pPr>
            <w:r>
              <w:rPr>
                <w:rFonts w:hint="eastAsia"/>
                <w:color w:val="000000" w:themeColor="text1"/>
              </w:rPr>
              <w:t>其他业务收入</w:t>
            </w:r>
          </w:p>
        </w:tc>
        <w:tc>
          <w:tcPr>
            <w:tcW w:w="1051" w:type="pct"/>
            <w:tcBorders>
              <w:top w:val="single" w:sz="4" w:space="0" w:color="auto"/>
              <w:left w:val="nil"/>
              <w:bottom w:val="single" w:sz="4" w:space="0" w:color="auto"/>
              <w:right w:val="single" w:sz="4" w:space="0" w:color="auto"/>
            </w:tcBorders>
            <w:vAlign w:val="center"/>
          </w:tcPr>
          <w:p w14:paraId="6E174163" w14:textId="77777777" w:rsidR="005E000F" w:rsidRDefault="00000000">
            <w:pPr>
              <w:jc w:val="center"/>
              <w:rPr>
                <w:color w:val="000000" w:themeColor="text1"/>
              </w:rPr>
            </w:pPr>
            <w:r>
              <w:rPr>
                <w:rFonts w:hint="eastAsia"/>
                <w:color w:val="000000" w:themeColor="text1"/>
              </w:rPr>
              <w:t>其他业务成本</w:t>
            </w:r>
          </w:p>
        </w:tc>
      </w:tr>
      <w:tr w:rsidR="005E000F" w14:paraId="4C67435D" w14:textId="77777777">
        <w:tc>
          <w:tcPr>
            <w:tcW w:w="842" w:type="pct"/>
            <w:tcBorders>
              <w:top w:val="single" w:sz="4" w:space="0" w:color="auto"/>
              <w:left w:val="single" w:sz="4" w:space="0" w:color="auto"/>
              <w:bottom w:val="single" w:sz="4" w:space="0" w:color="auto"/>
              <w:right w:val="single" w:sz="4" w:space="0" w:color="auto"/>
            </w:tcBorders>
          </w:tcPr>
          <w:p w14:paraId="2C33B869" w14:textId="77777777" w:rsidR="005E000F" w:rsidRDefault="00000000">
            <w:pPr>
              <w:rPr>
                <w:color w:val="000000" w:themeColor="text1"/>
              </w:rPr>
            </w:pPr>
            <w:r>
              <w:rPr>
                <w:rFonts w:hint="eastAsia"/>
                <w:color w:val="000000" w:themeColor="text1"/>
              </w:rPr>
              <w:t>材料物品销售</w:t>
            </w:r>
          </w:p>
        </w:tc>
        <w:tc>
          <w:tcPr>
            <w:tcW w:w="1005" w:type="pct"/>
            <w:tcBorders>
              <w:top w:val="single" w:sz="4" w:space="0" w:color="auto"/>
              <w:left w:val="nil"/>
              <w:bottom w:val="single" w:sz="4" w:space="0" w:color="auto"/>
              <w:right w:val="single" w:sz="4" w:space="0" w:color="auto"/>
            </w:tcBorders>
            <w:vAlign w:val="center"/>
          </w:tcPr>
          <w:p w14:paraId="5736576E" w14:textId="77777777" w:rsidR="005E000F" w:rsidRDefault="00000000">
            <w:pPr>
              <w:jc w:val="right"/>
              <w:rPr>
                <w:color w:val="000000" w:themeColor="text1"/>
              </w:rPr>
            </w:pPr>
            <w:r>
              <w:rPr>
                <w:color w:val="000000" w:themeColor="text1"/>
              </w:rPr>
              <w:t>393,791,705</w:t>
            </w:r>
          </w:p>
        </w:tc>
        <w:tc>
          <w:tcPr>
            <w:tcW w:w="1051" w:type="pct"/>
            <w:tcBorders>
              <w:top w:val="single" w:sz="4" w:space="0" w:color="auto"/>
              <w:left w:val="nil"/>
              <w:bottom w:val="single" w:sz="4" w:space="0" w:color="auto"/>
              <w:right w:val="single" w:sz="4" w:space="0" w:color="auto"/>
            </w:tcBorders>
            <w:vAlign w:val="center"/>
          </w:tcPr>
          <w:p w14:paraId="5AC4F525" w14:textId="77777777" w:rsidR="005E000F" w:rsidRDefault="00000000">
            <w:pPr>
              <w:jc w:val="right"/>
              <w:rPr>
                <w:color w:val="000000" w:themeColor="text1"/>
              </w:rPr>
            </w:pPr>
            <w:r>
              <w:rPr>
                <w:color w:val="000000" w:themeColor="text1"/>
              </w:rPr>
              <w:t>292,226,646</w:t>
            </w:r>
          </w:p>
        </w:tc>
        <w:tc>
          <w:tcPr>
            <w:tcW w:w="1049" w:type="pct"/>
            <w:tcBorders>
              <w:top w:val="single" w:sz="4" w:space="0" w:color="auto"/>
              <w:left w:val="nil"/>
              <w:bottom w:val="single" w:sz="4" w:space="0" w:color="auto"/>
              <w:right w:val="single" w:sz="4" w:space="0" w:color="auto"/>
            </w:tcBorders>
            <w:vAlign w:val="center"/>
          </w:tcPr>
          <w:p w14:paraId="50FD72A5" w14:textId="77777777" w:rsidR="005E000F" w:rsidRDefault="00000000">
            <w:pPr>
              <w:jc w:val="right"/>
              <w:rPr>
                <w:color w:val="000000" w:themeColor="text1"/>
              </w:rPr>
            </w:pPr>
            <w:r>
              <w:rPr>
                <w:rFonts w:hint="eastAsia"/>
                <w:color w:val="000000" w:themeColor="text1"/>
              </w:rPr>
              <w:t>417,004,255</w:t>
            </w:r>
          </w:p>
        </w:tc>
        <w:tc>
          <w:tcPr>
            <w:tcW w:w="1051" w:type="pct"/>
            <w:tcBorders>
              <w:top w:val="single" w:sz="4" w:space="0" w:color="auto"/>
              <w:left w:val="nil"/>
              <w:bottom w:val="single" w:sz="4" w:space="0" w:color="auto"/>
              <w:right w:val="single" w:sz="4" w:space="0" w:color="auto"/>
            </w:tcBorders>
            <w:vAlign w:val="center"/>
          </w:tcPr>
          <w:p w14:paraId="2623F47E" w14:textId="77777777" w:rsidR="005E000F" w:rsidRDefault="00000000">
            <w:pPr>
              <w:jc w:val="right"/>
              <w:rPr>
                <w:color w:val="000000" w:themeColor="text1"/>
              </w:rPr>
            </w:pPr>
            <w:r>
              <w:rPr>
                <w:rFonts w:hint="eastAsia"/>
                <w:color w:val="000000" w:themeColor="text1"/>
              </w:rPr>
              <w:t>311,297,872</w:t>
            </w:r>
          </w:p>
        </w:tc>
      </w:tr>
      <w:tr w:rsidR="005E000F" w14:paraId="269CF459" w14:textId="77777777">
        <w:tc>
          <w:tcPr>
            <w:tcW w:w="842" w:type="pct"/>
            <w:tcBorders>
              <w:top w:val="single" w:sz="4" w:space="0" w:color="auto"/>
              <w:left w:val="single" w:sz="4" w:space="0" w:color="auto"/>
              <w:bottom w:val="single" w:sz="4" w:space="0" w:color="auto"/>
              <w:right w:val="single" w:sz="4" w:space="0" w:color="auto"/>
            </w:tcBorders>
          </w:tcPr>
          <w:p w14:paraId="30902C77" w14:textId="77777777" w:rsidR="005E000F" w:rsidRDefault="00000000">
            <w:pPr>
              <w:rPr>
                <w:color w:val="000000" w:themeColor="text1"/>
              </w:rPr>
            </w:pPr>
            <w:r>
              <w:rPr>
                <w:rFonts w:hint="eastAsia"/>
                <w:color w:val="000000" w:themeColor="text1"/>
              </w:rPr>
              <w:t>维修</w:t>
            </w:r>
          </w:p>
        </w:tc>
        <w:tc>
          <w:tcPr>
            <w:tcW w:w="1005" w:type="pct"/>
            <w:tcBorders>
              <w:top w:val="single" w:sz="4" w:space="0" w:color="auto"/>
              <w:left w:val="nil"/>
              <w:bottom w:val="single" w:sz="4" w:space="0" w:color="auto"/>
              <w:right w:val="single" w:sz="4" w:space="0" w:color="auto"/>
            </w:tcBorders>
            <w:vAlign w:val="center"/>
          </w:tcPr>
          <w:p w14:paraId="2606975E" w14:textId="77777777" w:rsidR="005E000F" w:rsidRDefault="00000000">
            <w:pPr>
              <w:jc w:val="right"/>
              <w:rPr>
                <w:color w:val="000000" w:themeColor="text1"/>
              </w:rPr>
            </w:pPr>
            <w:r>
              <w:rPr>
                <w:color w:val="000000" w:themeColor="text1"/>
              </w:rPr>
              <w:t>418,519,464</w:t>
            </w:r>
          </w:p>
        </w:tc>
        <w:tc>
          <w:tcPr>
            <w:tcW w:w="1051" w:type="pct"/>
            <w:tcBorders>
              <w:top w:val="single" w:sz="4" w:space="0" w:color="auto"/>
              <w:left w:val="nil"/>
              <w:bottom w:val="single" w:sz="4" w:space="0" w:color="auto"/>
              <w:right w:val="single" w:sz="4" w:space="0" w:color="auto"/>
            </w:tcBorders>
            <w:vAlign w:val="center"/>
          </w:tcPr>
          <w:p w14:paraId="65E9A539" w14:textId="77777777" w:rsidR="005E000F" w:rsidRDefault="00000000">
            <w:pPr>
              <w:jc w:val="right"/>
              <w:rPr>
                <w:color w:val="000000" w:themeColor="text1"/>
              </w:rPr>
            </w:pPr>
            <w:r>
              <w:rPr>
                <w:color w:val="000000" w:themeColor="text1"/>
              </w:rPr>
              <w:t>275,333,151</w:t>
            </w:r>
          </w:p>
        </w:tc>
        <w:tc>
          <w:tcPr>
            <w:tcW w:w="1049" w:type="pct"/>
            <w:tcBorders>
              <w:top w:val="single" w:sz="4" w:space="0" w:color="auto"/>
              <w:left w:val="nil"/>
              <w:bottom w:val="single" w:sz="4" w:space="0" w:color="auto"/>
              <w:right w:val="single" w:sz="4" w:space="0" w:color="auto"/>
            </w:tcBorders>
            <w:vAlign w:val="center"/>
          </w:tcPr>
          <w:p w14:paraId="4F745EC3" w14:textId="77777777" w:rsidR="005E000F" w:rsidRDefault="00000000">
            <w:pPr>
              <w:jc w:val="right"/>
              <w:rPr>
                <w:color w:val="000000" w:themeColor="text1"/>
              </w:rPr>
            </w:pPr>
            <w:r>
              <w:rPr>
                <w:rFonts w:hint="eastAsia"/>
                <w:color w:val="000000" w:themeColor="text1"/>
              </w:rPr>
              <w:t>452,090,953</w:t>
            </w:r>
          </w:p>
        </w:tc>
        <w:tc>
          <w:tcPr>
            <w:tcW w:w="1051" w:type="pct"/>
            <w:tcBorders>
              <w:top w:val="single" w:sz="4" w:space="0" w:color="auto"/>
              <w:left w:val="nil"/>
              <w:bottom w:val="single" w:sz="4" w:space="0" w:color="auto"/>
              <w:right w:val="single" w:sz="4" w:space="0" w:color="auto"/>
            </w:tcBorders>
            <w:vAlign w:val="center"/>
          </w:tcPr>
          <w:p w14:paraId="3E643DA0" w14:textId="77777777" w:rsidR="005E000F" w:rsidRDefault="00000000">
            <w:pPr>
              <w:jc w:val="right"/>
              <w:rPr>
                <w:color w:val="000000" w:themeColor="text1"/>
              </w:rPr>
            </w:pPr>
            <w:r>
              <w:rPr>
                <w:rFonts w:hint="eastAsia"/>
                <w:color w:val="000000" w:themeColor="text1"/>
              </w:rPr>
              <w:t>273,509,606</w:t>
            </w:r>
          </w:p>
        </w:tc>
      </w:tr>
      <w:tr w:rsidR="005E000F" w14:paraId="7B49BB02" w14:textId="77777777">
        <w:tc>
          <w:tcPr>
            <w:tcW w:w="842" w:type="pct"/>
            <w:tcBorders>
              <w:top w:val="single" w:sz="4" w:space="0" w:color="auto"/>
              <w:left w:val="single" w:sz="4" w:space="0" w:color="auto"/>
              <w:bottom w:val="single" w:sz="4" w:space="0" w:color="auto"/>
              <w:right w:val="single" w:sz="4" w:space="0" w:color="auto"/>
            </w:tcBorders>
          </w:tcPr>
          <w:p w14:paraId="6E56D046" w14:textId="77777777" w:rsidR="005E000F" w:rsidRDefault="00000000">
            <w:pPr>
              <w:rPr>
                <w:color w:val="000000" w:themeColor="text1"/>
              </w:rPr>
            </w:pPr>
            <w:r>
              <w:rPr>
                <w:rFonts w:hint="eastAsia"/>
                <w:color w:val="000000" w:themeColor="text1"/>
              </w:rPr>
              <w:t>劳务</w:t>
            </w:r>
          </w:p>
        </w:tc>
        <w:tc>
          <w:tcPr>
            <w:tcW w:w="1005" w:type="pct"/>
            <w:tcBorders>
              <w:top w:val="single" w:sz="4" w:space="0" w:color="auto"/>
              <w:left w:val="nil"/>
              <w:bottom w:val="single" w:sz="4" w:space="0" w:color="auto"/>
              <w:right w:val="single" w:sz="4" w:space="0" w:color="auto"/>
            </w:tcBorders>
            <w:vAlign w:val="center"/>
          </w:tcPr>
          <w:p w14:paraId="1380F462" w14:textId="77777777" w:rsidR="005E000F" w:rsidRDefault="00000000">
            <w:pPr>
              <w:jc w:val="right"/>
              <w:rPr>
                <w:color w:val="000000" w:themeColor="text1"/>
              </w:rPr>
            </w:pPr>
            <w:r>
              <w:rPr>
                <w:color w:val="000000" w:themeColor="text1"/>
              </w:rPr>
              <w:t>158,786,558</w:t>
            </w:r>
          </w:p>
        </w:tc>
        <w:tc>
          <w:tcPr>
            <w:tcW w:w="1051" w:type="pct"/>
            <w:tcBorders>
              <w:top w:val="single" w:sz="4" w:space="0" w:color="auto"/>
              <w:left w:val="nil"/>
              <w:bottom w:val="single" w:sz="4" w:space="0" w:color="auto"/>
              <w:right w:val="single" w:sz="4" w:space="0" w:color="auto"/>
            </w:tcBorders>
            <w:vAlign w:val="center"/>
          </w:tcPr>
          <w:p w14:paraId="552C1D41" w14:textId="77777777" w:rsidR="005E000F" w:rsidRDefault="00000000">
            <w:pPr>
              <w:jc w:val="right"/>
              <w:rPr>
                <w:color w:val="000000" w:themeColor="text1"/>
              </w:rPr>
            </w:pPr>
            <w:r>
              <w:rPr>
                <w:color w:val="000000" w:themeColor="text1"/>
              </w:rPr>
              <w:t>96,314,197</w:t>
            </w:r>
          </w:p>
        </w:tc>
        <w:tc>
          <w:tcPr>
            <w:tcW w:w="1049" w:type="pct"/>
            <w:tcBorders>
              <w:top w:val="single" w:sz="4" w:space="0" w:color="auto"/>
              <w:left w:val="nil"/>
              <w:bottom w:val="single" w:sz="4" w:space="0" w:color="auto"/>
              <w:right w:val="single" w:sz="4" w:space="0" w:color="auto"/>
            </w:tcBorders>
            <w:vAlign w:val="center"/>
          </w:tcPr>
          <w:p w14:paraId="186B35A9" w14:textId="77777777" w:rsidR="005E000F" w:rsidRDefault="00000000">
            <w:pPr>
              <w:jc w:val="right"/>
              <w:rPr>
                <w:color w:val="000000" w:themeColor="text1"/>
              </w:rPr>
            </w:pPr>
            <w:r>
              <w:rPr>
                <w:rFonts w:hint="eastAsia"/>
                <w:color w:val="000000" w:themeColor="text1"/>
              </w:rPr>
              <w:t>161,446,393</w:t>
            </w:r>
          </w:p>
        </w:tc>
        <w:tc>
          <w:tcPr>
            <w:tcW w:w="1051" w:type="pct"/>
            <w:tcBorders>
              <w:top w:val="single" w:sz="4" w:space="0" w:color="auto"/>
              <w:left w:val="nil"/>
              <w:bottom w:val="single" w:sz="4" w:space="0" w:color="auto"/>
              <w:right w:val="single" w:sz="4" w:space="0" w:color="auto"/>
            </w:tcBorders>
            <w:vAlign w:val="center"/>
          </w:tcPr>
          <w:p w14:paraId="63F64F36" w14:textId="77777777" w:rsidR="005E000F" w:rsidRDefault="00000000">
            <w:pPr>
              <w:jc w:val="right"/>
              <w:rPr>
                <w:color w:val="000000" w:themeColor="text1"/>
              </w:rPr>
            </w:pPr>
            <w:r>
              <w:rPr>
                <w:rFonts w:hint="eastAsia"/>
                <w:color w:val="000000" w:themeColor="text1"/>
              </w:rPr>
              <w:t>115,374,637</w:t>
            </w:r>
          </w:p>
        </w:tc>
      </w:tr>
      <w:tr w:rsidR="005E000F" w14:paraId="7672ED87" w14:textId="77777777">
        <w:tc>
          <w:tcPr>
            <w:tcW w:w="842" w:type="pct"/>
            <w:tcBorders>
              <w:top w:val="single" w:sz="4" w:space="0" w:color="auto"/>
              <w:left w:val="single" w:sz="4" w:space="0" w:color="auto"/>
              <w:bottom w:val="single" w:sz="4" w:space="0" w:color="auto"/>
              <w:right w:val="single" w:sz="4" w:space="0" w:color="auto"/>
            </w:tcBorders>
          </w:tcPr>
          <w:p w14:paraId="5698273F" w14:textId="77777777" w:rsidR="005E000F" w:rsidRDefault="00000000">
            <w:pPr>
              <w:rPr>
                <w:color w:val="000000" w:themeColor="text1"/>
              </w:rPr>
            </w:pPr>
            <w:r>
              <w:rPr>
                <w:rFonts w:hint="eastAsia"/>
                <w:color w:val="000000" w:themeColor="text1"/>
              </w:rPr>
              <w:t>其他</w:t>
            </w:r>
          </w:p>
        </w:tc>
        <w:tc>
          <w:tcPr>
            <w:tcW w:w="1005" w:type="pct"/>
            <w:tcBorders>
              <w:top w:val="single" w:sz="4" w:space="0" w:color="auto"/>
              <w:left w:val="nil"/>
              <w:bottom w:val="single" w:sz="4" w:space="0" w:color="auto"/>
              <w:right w:val="single" w:sz="4" w:space="0" w:color="auto"/>
            </w:tcBorders>
            <w:vAlign w:val="center"/>
          </w:tcPr>
          <w:p w14:paraId="26268EE7" w14:textId="77777777" w:rsidR="005E000F" w:rsidRDefault="00000000">
            <w:pPr>
              <w:jc w:val="right"/>
              <w:rPr>
                <w:color w:val="000000" w:themeColor="text1"/>
              </w:rPr>
            </w:pPr>
            <w:r>
              <w:rPr>
                <w:color w:val="000000" w:themeColor="text1"/>
              </w:rPr>
              <w:t>264,224,151</w:t>
            </w:r>
          </w:p>
        </w:tc>
        <w:tc>
          <w:tcPr>
            <w:tcW w:w="1051" w:type="pct"/>
            <w:tcBorders>
              <w:top w:val="single" w:sz="4" w:space="0" w:color="auto"/>
              <w:left w:val="nil"/>
              <w:bottom w:val="single" w:sz="4" w:space="0" w:color="auto"/>
              <w:right w:val="single" w:sz="4" w:space="0" w:color="auto"/>
            </w:tcBorders>
            <w:vAlign w:val="center"/>
          </w:tcPr>
          <w:p w14:paraId="304506CA" w14:textId="77777777" w:rsidR="005E000F" w:rsidRDefault="00000000">
            <w:pPr>
              <w:jc w:val="right"/>
              <w:rPr>
                <w:color w:val="000000" w:themeColor="text1"/>
              </w:rPr>
            </w:pPr>
            <w:r>
              <w:rPr>
                <w:color w:val="000000" w:themeColor="text1"/>
              </w:rPr>
              <w:t>93,839,479</w:t>
            </w:r>
          </w:p>
        </w:tc>
        <w:tc>
          <w:tcPr>
            <w:tcW w:w="1049" w:type="pct"/>
            <w:tcBorders>
              <w:top w:val="single" w:sz="4" w:space="0" w:color="auto"/>
              <w:left w:val="nil"/>
              <w:bottom w:val="single" w:sz="4" w:space="0" w:color="auto"/>
              <w:right w:val="single" w:sz="4" w:space="0" w:color="auto"/>
            </w:tcBorders>
            <w:vAlign w:val="center"/>
          </w:tcPr>
          <w:p w14:paraId="6322492D" w14:textId="77777777" w:rsidR="005E000F" w:rsidRDefault="00000000">
            <w:pPr>
              <w:jc w:val="right"/>
              <w:rPr>
                <w:color w:val="000000" w:themeColor="text1"/>
              </w:rPr>
            </w:pPr>
            <w:r>
              <w:rPr>
                <w:rFonts w:hint="eastAsia"/>
                <w:color w:val="000000" w:themeColor="text1"/>
              </w:rPr>
              <w:t>265,806,221</w:t>
            </w:r>
          </w:p>
        </w:tc>
        <w:tc>
          <w:tcPr>
            <w:tcW w:w="1051" w:type="pct"/>
            <w:tcBorders>
              <w:top w:val="single" w:sz="4" w:space="0" w:color="auto"/>
              <w:left w:val="nil"/>
              <w:bottom w:val="single" w:sz="4" w:space="0" w:color="auto"/>
              <w:right w:val="single" w:sz="4" w:space="0" w:color="auto"/>
            </w:tcBorders>
            <w:vAlign w:val="center"/>
          </w:tcPr>
          <w:p w14:paraId="355E1C5D" w14:textId="77777777" w:rsidR="005E000F" w:rsidRDefault="00000000">
            <w:pPr>
              <w:jc w:val="right"/>
              <w:rPr>
                <w:color w:val="000000" w:themeColor="text1"/>
              </w:rPr>
            </w:pPr>
            <w:r>
              <w:rPr>
                <w:rFonts w:hint="eastAsia"/>
                <w:color w:val="000000" w:themeColor="text1"/>
              </w:rPr>
              <w:t>187,711,040</w:t>
            </w:r>
          </w:p>
        </w:tc>
      </w:tr>
      <w:tr w:rsidR="005E000F" w14:paraId="613FA2ED" w14:textId="77777777">
        <w:tc>
          <w:tcPr>
            <w:tcW w:w="842" w:type="pct"/>
            <w:tcBorders>
              <w:top w:val="single" w:sz="4" w:space="0" w:color="auto"/>
              <w:left w:val="single" w:sz="4" w:space="0" w:color="auto"/>
              <w:bottom w:val="single" w:sz="4" w:space="0" w:color="auto"/>
              <w:right w:val="single" w:sz="4" w:space="0" w:color="auto"/>
            </w:tcBorders>
          </w:tcPr>
          <w:p w14:paraId="320F5AC4" w14:textId="77777777" w:rsidR="005E000F" w:rsidRDefault="00000000">
            <w:pPr>
              <w:rPr>
                <w:color w:val="000000" w:themeColor="text1"/>
              </w:rPr>
            </w:pPr>
            <w:r>
              <w:rPr>
                <w:rFonts w:hint="eastAsia"/>
                <w:color w:val="000000" w:themeColor="text1"/>
              </w:rPr>
              <w:t>合计</w:t>
            </w:r>
          </w:p>
        </w:tc>
        <w:tc>
          <w:tcPr>
            <w:tcW w:w="1005" w:type="pct"/>
            <w:tcBorders>
              <w:top w:val="single" w:sz="4" w:space="0" w:color="auto"/>
              <w:left w:val="nil"/>
              <w:bottom w:val="single" w:sz="4" w:space="0" w:color="auto"/>
              <w:right w:val="single" w:sz="4" w:space="0" w:color="auto"/>
            </w:tcBorders>
            <w:vAlign w:val="center"/>
          </w:tcPr>
          <w:p w14:paraId="1219DB76" w14:textId="77777777" w:rsidR="005E000F" w:rsidRDefault="00000000">
            <w:pPr>
              <w:jc w:val="right"/>
              <w:rPr>
                <w:color w:val="000000" w:themeColor="text1"/>
              </w:rPr>
            </w:pPr>
            <w:r>
              <w:rPr>
                <w:color w:val="000000" w:themeColor="text1"/>
              </w:rPr>
              <w:t>1,235,321,878</w:t>
            </w:r>
          </w:p>
        </w:tc>
        <w:tc>
          <w:tcPr>
            <w:tcW w:w="1051" w:type="pct"/>
            <w:tcBorders>
              <w:top w:val="single" w:sz="4" w:space="0" w:color="auto"/>
              <w:left w:val="nil"/>
              <w:bottom w:val="single" w:sz="4" w:space="0" w:color="auto"/>
              <w:right w:val="single" w:sz="4" w:space="0" w:color="auto"/>
            </w:tcBorders>
            <w:vAlign w:val="center"/>
          </w:tcPr>
          <w:p w14:paraId="0504F192" w14:textId="77777777" w:rsidR="005E000F" w:rsidRDefault="00000000">
            <w:pPr>
              <w:jc w:val="right"/>
              <w:rPr>
                <w:color w:val="000000" w:themeColor="text1"/>
              </w:rPr>
            </w:pPr>
            <w:r>
              <w:rPr>
                <w:color w:val="000000" w:themeColor="text1"/>
              </w:rPr>
              <w:t>757,713,473</w:t>
            </w:r>
          </w:p>
        </w:tc>
        <w:tc>
          <w:tcPr>
            <w:tcW w:w="1049" w:type="pct"/>
            <w:tcBorders>
              <w:top w:val="single" w:sz="4" w:space="0" w:color="auto"/>
              <w:left w:val="nil"/>
              <w:bottom w:val="single" w:sz="4" w:space="0" w:color="auto"/>
              <w:right w:val="single" w:sz="4" w:space="0" w:color="auto"/>
            </w:tcBorders>
            <w:vAlign w:val="center"/>
          </w:tcPr>
          <w:p w14:paraId="29B42E41" w14:textId="77777777" w:rsidR="005E000F" w:rsidRDefault="00000000">
            <w:pPr>
              <w:jc w:val="right"/>
              <w:rPr>
                <w:color w:val="000000" w:themeColor="text1"/>
              </w:rPr>
            </w:pPr>
            <w:r>
              <w:rPr>
                <w:rFonts w:hint="eastAsia"/>
                <w:color w:val="000000" w:themeColor="text1"/>
              </w:rPr>
              <w:t>1,296,347,822</w:t>
            </w:r>
          </w:p>
        </w:tc>
        <w:tc>
          <w:tcPr>
            <w:tcW w:w="1051" w:type="pct"/>
            <w:tcBorders>
              <w:top w:val="single" w:sz="4" w:space="0" w:color="auto"/>
              <w:left w:val="nil"/>
              <w:bottom w:val="single" w:sz="4" w:space="0" w:color="auto"/>
              <w:right w:val="single" w:sz="4" w:space="0" w:color="auto"/>
            </w:tcBorders>
            <w:vAlign w:val="center"/>
          </w:tcPr>
          <w:p w14:paraId="005F40A5" w14:textId="77777777" w:rsidR="005E000F" w:rsidRDefault="00000000">
            <w:pPr>
              <w:jc w:val="right"/>
              <w:rPr>
                <w:color w:val="000000" w:themeColor="text1"/>
              </w:rPr>
            </w:pPr>
            <w:r>
              <w:rPr>
                <w:rFonts w:hint="eastAsia"/>
                <w:color w:val="000000" w:themeColor="text1"/>
              </w:rPr>
              <w:t>887,893,155</w:t>
            </w:r>
          </w:p>
        </w:tc>
      </w:tr>
    </w:tbl>
    <w:p w14:paraId="615A45A6" w14:textId="77777777" w:rsidR="005E000F" w:rsidRDefault="005E000F"/>
    <w:p w14:paraId="5F2EDA94" w14:textId="77777777" w:rsidR="005E000F" w:rsidRDefault="005E000F"/>
    <w:bookmarkStart w:id="389" w:name="_Hlk533756233" w:displacedByCustomXml="next"/>
    <w:sdt>
      <w:sdtPr>
        <w:rPr>
          <w:rFonts w:ascii="宋体" w:eastAsia="宋体" w:hAnsi="宋体" w:cs="宋体" w:hint="eastAsia"/>
          <w:b w:val="0"/>
          <w:bCs w:val="0"/>
          <w:kern w:val="0"/>
          <w:szCs w:val="24"/>
        </w:rPr>
        <w:alias w:val="模块:合同产生的收入的情况"/>
        <w:tag w:val="_SEC_020e88e24a604d8684cb34b724e2379b"/>
        <w:id w:val="-1156754714"/>
        <w:placeholder>
          <w:docPart w:val="GBC22222222222222222222222222222"/>
        </w:placeholder>
      </w:sdtPr>
      <w:sdtEndPr>
        <w:rPr>
          <w:rFonts w:ascii="Times New Roman" w:hAnsi="Times New Roman" w:cs="Times New Roman" w:hint="default"/>
          <w:szCs w:val="20"/>
        </w:rPr>
      </w:sdtEndPr>
      <w:sdtContent>
        <w:p w14:paraId="23844179" w14:textId="77777777" w:rsidR="005E000F" w:rsidRDefault="00000000">
          <w:pPr>
            <w:pStyle w:val="4"/>
            <w:numPr>
              <w:ilvl w:val="0"/>
              <w:numId w:val="103"/>
            </w:numPr>
            <w:ind w:left="426" w:hanging="426"/>
          </w:pPr>
          <w:r>
            <w:rPr>
              <w:rFonts w:eastAsia="宋体" w:hint="eastAsia"/>
            </w:rPr>
            <w:t>合同产生的收入情况</w:t>
          </w:r>
          <w:r>
            <w:t xml:space="preserve"> </w:t>
          </w:r>
        </w:p>
        <w:sdt>
          <w:sdtPr>
            <w:rPr>
              <w:rFonts w:ascii="宋体" w:hAnsi="宋体"/>
              <w:szCs w:val="21"/>
            </w:rPr>
            <w:alias w:val="是否适用：营业收入、营业成本的分解信息 [双击切换]"/>
            <w:tag w:val="_GBC_9ca3964974eb4c71856442f0683fa140"/>
            <w:id w:val="-587158282"/>
            <w:placeholder>
              <w:docPart w:val="6EB19DA3EC754F8A98B456B8B2292B37"/>
            </w:placeholder>
          </w:sdtPr>
          <w:sdtContent>
            <w:p w14:paraId="23D09367" w14:textId="77777777" w:rsidR="005E000F" w:rsidRDefault="00000000">
              <w:pPr>
                <w:pStyle w:val="aff8"/>
                <w:ind w:firstLineChars="0" w:firstLine="0"/>
                <w:jc w:val="left"/>
                <w:rPr>
                  <w:rFonts w:ascii="宋体" w:hAnsi="宋体"/>
                  <w:szCs w:val="21"/>
                </w:rPr>
              </w:pPr>
              <w:r>
                <w:rPr>
                  <w:rFonts w:ascii="宋体" w:hAnsi="宋体"/>
                  <w:szCs w:val="21"/>
                </w:rPr>
                <w:fldChar w:fldCharType="begin"/>
              </w:r>
              <w:r>
                <w:rPr>
                  <w:rFonts w:ascii="宋体" w:hAnsi="宋体" w:hint="eastAsia"/>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hint="eastAsia"/>
                  <w:szCs w:val="21"/>
                </w:rPr>
                <w:instrText xml:space="preserve"> MACROBUTTON  SnrToggleCheckbox □不适用 </w:instrText>
              </w:r>
              <w:r>
                <w:rPr>
                  <w:rFonts w:ascii="宋体" w:hAnsi="宋体"/>
                  <w:szCs w:val="21"/>
                </w:rPr>
                <w:fldChar w:fldCharType="end"/>
              </w:r>
            </w:p>
          </w:sdtContent>
        </w:sdt>
        <w:p w14:paraId="13B3A519" w14:textId="77777777" w:rsidR="005E000F" w:rsidRDefault="00000000">
          <w:pPr>
            <w:pStyle w:val="aff8"/>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营业收入、营业成本的分解信息 "/>
              <w:tag w:val="_GBC_712aadfd959247489c16d4246880bfef"/>
              <w:id w:val="-850562306"/>
              <w:placeholder>
                <w:docPart w:val="6EB19DA3EC754F8A98B456B8B2292B37"/>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营业收入、营业成本的分解信息 "/>
              <w:tag w:val="_GBC_ca9b26593dbf458b829ac632033cd724"/>
              <w:id w:val="-795292089"/>
              <w:placeholder>
                <w:docPart w:val="6EB19DA3EC754F8A98B456B8B2292B37"/>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2"/>
            <w:gridCol w:w="3607"/>
          </w:tblGrid>
          <w:tr w:rsidR="005E000F" w14:paraId="0D5E8EAE" w14:textId="77777777">
            <w:sdt>
              <w:sdtPr>
                <w:tag w:val="_PLD_0e9269f20e6e4b7f8a6a8c59b9077225"/>
                <w:id w:val="-189538523"/>
              </w:sdtPr>
              <w:sdtContent>
                <w:tc>
                  <w:tcPr>
                    <w:tcW w:w="3007" w:type="pct"/>
                    <w:vMerge w:val="restart"/>
                    <w:tcBorders>
                      <w:top w:val="single" w:sz="4" w:space="0" w:color="auto"/>
                      <w:left w:val="single" w:sz="4" w:space="0" w:color="auto"/>
                      <w:right w:val="single" w:sz="4" w:space="0" w:color="auto"/>
                    </w:tcBorders>
                    <w:vAlign w:val="center"/>
                  </w:tcPr>
                  <w:p w14:paraId="6DD158EA" w14:textId="77777777" w:rsidR="005E000F" w:rsidRDefault="00000000">
                    <w:pPr>
                      <w:jc w:val="center"/>
                    </w:pPr>
                    <w:r>
                      <w:rPr>
                        <w:rFonts w:hint="eastAsia"/>
                      </w:rPr>
                      <w:t>合同分类</w:t>
                    </w:r>
                  </w:p>
                </w:tc>
              </w:sdtContent>
            </w:sdt>
            <w:sdt>
              <w:sdtPr>
                <w:tag w:val="_PLD_4c617eb15d544d45ba3090cf4fb369da"/>
                <w:id w:val="-29411724"/>
              </w:sdtPr>
              <w:sdtContent>
                <w:tc>
                  <w:tcPr>
                    <w:tcW w:w="1993" w:type="pct"/>
                    <w:tcBorders>
                      <w:top w:val="single" w:sz="4" w:space="0" w:color="auto"/>
                      <w:left w:val="single" w:sz="4" w:space="0" w:color="auto"/>
                      <w:bottom w:val="single" w:sz="4" w:space="0" w:color="auto"/>
                      <w:right w:val="single" w:sz="4" w:space="0" w:color="auto"/>
                    </w:tcBorders>
                    <w:vAlign w:val="center"/>
                  </w:tcPr>
                  <w:p w14:paraId="134D08FD" w14:textId="77777777" w:rsidR="005E000F" w:rsidRDefault="00000000">
                    <w:pPr>
                      <w:jc w:val="center"/>
                    </w:pPr>
                    <w:r>
                      <w:rPr>
                        <w:rFonts w:hint="eastAsia"/>
                      </w:rPr>
                      <w:t>合计</w:t>
                    </w:r>
                  </w:p>
                </w:tc>
              </w:sdtContent>
            </w:sdt>
          </w:tr>
          <w:tr w:rsidR="005E000F" w14:paraId="1ECB07C1" w14:textId="77777777">
            <w:tc>
              <w:tcPr>
                <w:tcW w:w="3007" w:type="pct"/>
                <w:vMerge/>
                <w:tcBorders>
                  <w:left w:val="single" w:sz="4" w:space="0" w:color="auto"/>
                  <w:bottom w:val="single" w:sz="4" w:space="0" w:color="auto"/>
                  <w:right w:val="single" w:sz="4" w:space="0" w:color="auto"/>
                </w:tcBorders>
                <w:vAlign w:val="center"/>
              </w:tcPr>
              <w:p w14:paraId="7F946899" w14:textId="77777777" w:rsidR="005E000F" w:rsidRDefault="005E000F">
                <w:pPr>
                  <w:jc w:val="center"/>
                </w:pPr>
              </w:p>
            </w:tc>
            <w:tc>
              <w:tcPr>
                <w:tcW w:w="1993" w:type="pct"/>
                <w:tcBorders>
                  <w:top w:val="single" w:sz="4" w:space="0" w:color="auto"/>
                  <w:left w:val="single" w:sz="4" w:space="0" w:color="auto"/>
                  <w:bottom w:val="single" w:sz="4" w:space="0" w:color="auto"/>
                  <w:right w:val="single" w:sz="4" w:space="0" w:color="auto"/>
                </w:tcBorders>
                <w:vAlign w:val="center"/>
              </w:tcPr>
              <w:p w14:paraId="7B7DA90B" w14:textId="77777777" w:rsidR="005E000F" w:rsidRDefault="00000000">
                <w:pPr>
                  <w:jc w:val="center"/>
                </w:pPr>
                <w:r>
                  <w:rPr>
                    <w:rFonts w:hint="eastAsia"/>
                  </w:rPr>
                  <w:t>本期</w:t>
                </w:r>
                <w:r>
                  <w:t>发生额</w:t>
                </w:r>
              </w:p>
            </w:tc>
          </w:tr>
          <w:tr w:rsidR="005E000F" w14:paraId="067D4C2A" w14:textId="77777777">
            <w:tc>
              <w:tcPr>
                <w:tcW w:w="3007" w:type="pct"/>
                <w:tcBorders>
                  <w:top w:val="single" w:sz="4" w:space="0" w:color="auto"/>
                  <w:left w:val="single" w:sz="4" w:space="0" w:color="auto"/>
                  <w:bottom w:val="single" w:sz="4" w:space="0" w:color="auto"/>
                  <w:right w:val="single" w:sz="4" w:space="0" w:color="auto"/>
                </w:tcBorders>
                <w:vAlign w:val="center"/>
              </w:tcPr>
              <w:sdt>
                <w:sdtPr>
                  <w:tag w:val="_PLD_c1c882aee274449b8105b0e9bd7e039f"/>
                  <w:id w:val="-630019596"/>
                </w:sdtPr>
                <w:sdtContent>
                  <w:p w14:paraId="6DF53B38" w14:textId="77777777" w:rsidR="005E000F" w:rsidRDefault="00000000">
                    <w:r>
                      <w:rPr>
                        <w:rFonts w:hint="eastAsia"/>
                      </w:rPr>
                      <w:t>按商品转让的时间分类</w:t>
                    </w:r>
                  </w:p>
                </w:sdtContent>
              </w:sdt>
            </w:tc>
            <w:sdt>
              <w:sdtPr>
                <w:alias w:val="按商品转让的时间分类合同产生的收入"/>
                <w:tag w:val="_GBC_468c4261479d439489e658692f297b7b"/>
                <w:id w:val="2044330190"/>
                <w:showingPlcHdr/>
              </w:sdtPr>
              <w:sdtContent>
                <w:tc>
                  <w:tcPr>
                    <w:tcW w:w="1993" w:type="pct"/>
                    <w:tcBorders>
                      <w:top w:val="single" w:sz="4" w:space="0" w:color="auto"/>
                      <w:left w:val="single" w:sz="4" w:space="0" w:color="auto"/>
                      <w:bottom w:val="single" w:sz="4" w:space="0" w:color="auto"/>
                      <w:right w:val="single" w:sz="4" w:space="0" w:color="auto"/>
                    </w:tcBorders>
                    <w:vAlign w:val="center"/>
                  </w:tcPr>
                  <w:p w14:paraId="73EDD7D0" w14:textId="77777777" w:rsidR="005E000F" w:rsidRDefault="00000000">
                    <w:pPr>
                      <w:jc w:val="right"/>
                    </w:pPr>
                    <w:r>
                      <w:rPr>
                        <w:rFonts w:hint="eastAsia"/>
                      </w:rPr>
                      <w:t xml:space="preserve">　</w:t>
                    </w:r>
                  </w:p>
                </w:tc>
              </w:sdtContent>
            </w:sdt>
          </w:tr>
          <w:tr w:rsidR="005E000F" w14:paraId="3531B5EB" w14:textId="77777777">
            <w:sdt>
              <w:sdtPr>
                <w:rPr>
                  <w:rFonts w:hint="eastAsia"/>
                </w:rPr>
                <w:alias w:val="分部按商品转让的时间分类明细名称"/>
                <w:tag w:val="_GBC_845ae172b9204419a97e7a8ef5dfc145"/>
                <w:id w:val="1837728205"/>
              </w:sdtPr>
              <w:sdtContent>
                <w:tc>
                  <w:tcPr>
                    <w:tcW w:w="3007" w:type="pct"/>
                    <w:tcBorders>
                      <w:top w:val="single" w:sz="4" w:space="0" w:color="auto"/>
                      <w:left w:val="single" w:sz="4" w:space="0" w:color="auto"/>
                      <w:bottom w:val="single" w:sz="4" w:space="0" w:color="auto"/>
                      <w:right w:val="single" w:sz="4" w:space="0" w:color="auto"/>
                    </w:tcBorders>
                    <w:vAlign w:val="center"/>
                  </w:tcPr>
                  <w:p w14:paraId="0FDF95A4" w14:textId="77777777" w:rsidR="005E000F" w:rsidRDefault="00000000">
                    <w:pPr>
                      <w:ind w:firstLineChars="200" w:firstLine="420"/>
                    </w:pPr>
                    <w:r>
                      <w:rPr>
                        <w:rFonts w:hint="eastAsia"/>
                      </w:rPr>
                      <w:t>在某一时点</w:t>
                    </w:r>
                    <w:r>
                      <w:t>确认收入</w:t>
                    </w:r>
                  </w:p>
                </w:tc>
              </w:sdtContent>
            </w:sdt>
            <w:sdt>
              <w:sdtPr>
                <w:alias w:val="按商品转让的时间分类明细合同产生的收入"/>
                <w:tag w:val="_GBC_652ab23a7fe047e2b9d0f12989dadd41"/>
                <w:id w:val="-1635553586"/>
              </w:sdtPr>
              <w:sdtContent>
                <w:tc>
                  <w:tcPr>
                    <w:tcW w:w="1993" w:type="pct"/>
                    <w:tcBorders>
                      <w:top w:val="single" w:sz="4" w:space="0" w:color="auto"/>
                      <w:left w:val="single" w:sz="4" w:space="0" w:color="auto"/>
                      <w:bottom w:val="single" w:sz="4" w:space="0" w:color="auto"/>
                      <w:right w:val="single" w:sz="4" w:space="0" w:color="auto"/>
                    </w:tcBorders>
                    <w:vAlign w:val="center"/>
                  </w:tcPr>
                  <w:p w14:paraId="0F7C78C4" w14:textId="77777777" w:rsidR="005E000F" w:rsidRDefault="00000000">
                    <w:pPr>
                      <w:jc w:val="right"/>
                    </w:pPr>
                    <w:r>
                      <w:t>393,791,705</w:t>
                    </w:r>
                  </w:p>
                </w:tc>
              </w:sdtContent>
            </w:sdt>
          </w:tr>
          <w:tr w:rsidR="005E000F" w14:paraId="719E7F69" w14:textId="77777777">
            <w:sdt>
              <w:sdtPr>
                <w:rPr>
                  <w:rFonts w:hint="eastAsia"/>
                </w:rPr>
                <w:alias w:val="分部按商品转让的时间分类明细名称"/>
                <w:tag w:val="_GBC_845ae172b9204419a97e7a8ef5dfc145"/>
                <w:id w:val="-1165932622"/>
              </w:sdtPr>
              <w:sdtContent>
                <w:tc>
                  <w:tcPr>
                    <w:tcW w:w="3007" w:type="pct"/>
                    <w:tcBorders>
                      <w:top w:val="single" w:sz="4" w:space="0" w:color="auto"/>
                      <w:left w:val="single" w:sz="4" w:space="0" w:color="auto"/>
                      <w:bottom w:val="single" w:sz="4" w:space="0" w:color="auto"/>
                      <w:right w:val="single" w:sz="4" w:space="0" w:color="auto"/>
                    </w:tcBorders>
                    <w:vAlign w:val="center"/>
                  </w:tcPr>
                  <w:p w14:paraId="4F1CD37C" w14:textId="77777777" w:rsidR="005E000F" w:rsidRDefault="00000000">
                    <w:pPr>
                      <w:ind w:firstLineChars="200" w:firstLine="420"/>
                    </w:pPr>
                    <w:r>
                      <w:rPr>
                        <w:rFonts w:hint="eastAsia"/>
                      </w:rPr>
                      <w:t>在某一时段内确认收入</w:t>
                    </w:r>
                  </w:p>
                </w:tc>
              </w:sdtContent>
            </w:sdt>
            <w:sdt>
              <w:sdtPr>
                <w:alias w:val="按商品转让的时间分类明细合同产生的收入"/>
                <w:tag w:val="_GBC_652ab23a7fe047e2b9d0f12989dadd41"/>
                <w:id w:val="856167907"/>
              </w:sdtPr>
              <w:sdtContent>
                <w:tc>
                  <w:tcPr>
                    <w:tcW w:w="1993" w:type="pct"/>
                    <w:tcBorders>
                      <w:top w:val="single" w:sz="4" w:space="0" w:color="auto"/>
                      <w:left w:val="single" w:sz="4" w:space="0" w:color="auto"/>
                      <w:bottom w:val="single" w:sz="4" w:space="0" w:color="auto"/>
                      <w:right w:val="single" w:sz="4" w:space="0" w:color="auto"/>
                    </w:tcBorders>
                    <w:vAlign w:val="center"/>
                  </w:tcPr>
                  <w:p w14:paraId="1FEA1118" w14:textId="77777777" w:rsidR="005E000F" w:rsidRDefault="00000000">
                    <w:pPr>
                      <w:jc w:val="right"/>
                    </w:pPr>
                    <w:r>
                      <w:t>77,095,900,597</w:t>
                    </w:r>
                  </w:p>
                </w:tc>
              </w:sdtContent>
            </w:sdt>
          </w:tr>
          <w:tr w:rsidR="005E000F" w14:paraId="2AEB8A47" w14:textId="77777777">
            <w:tc>
              <w:tcPr>
                <w:tcW w:w="3007" w:type="pct"/>
                <w:tcBorders>
                  <w:top w:val="single" w:sz="4" w:space="0" w:color="auto"/>
                  <w:left w:val="single" w:sz="4" w:space="0" w:color="auto"/>
                  <w:bottom w:val="single" w:sz="4" w:space="0" w:color="auto"/>
                  <w:right w:val="single" w:sz="4" w:space="0" w:color="auto"/>
                </w:tcBorders>
                <w:vAlign w:val="center"/>
              </w:tcPr>
              <w:sdt>
                <w:sdtPr>
                  <w:tag w:val="_PLD_fc2447677af74925b8ccfd3b582b0ac5"/>
                  <w:id w:val="-722365284"/>
                </w:sdtPr>
                <w:sdtContent>
                  <w:p w14:paraId="688ADA1A" w14:textId="77777777" w:rsidR="005E000F" w:rsidRDefault="00000000">
                    <w:pPr>
                      <w:jc w:val="center"/>
                    </w:pPr>
                    <w:r>
                      <w:rPr>
                        <w:rFonts w:hint="eastAsia"/>
                      </w:rPr>
                      <w:t>合计</w:t>
                    </w:r>
                  </w:p>
                </w:sdtContent>
              </w:sdt>
            </w:tc>
            <w:sdt>
              <w:sdtPr>
                <w:alias w:val="合同产生的收入"/>
                <w:tag w:val="_GBC_f00e97b0cdad4ae6a1991491fb2cf279"/>
                <w:id w:val="475955185"/>
              </w:sdtPr>
              <w:sdtContent>
                <w:tc>
                  <w:tcPr>
                    <w:tcW w:w="1993" w:type="pct"/>
                    <w:tcBorders>
                      <w:top w:val="single" w:sz="4" w:space="0" w:color="auto"/>
                      <w:left w:val="single" w:sz="4" w:space="0" w:color="auto"/>
                      <w:bottom w:val="single" w:sz="4" w:space="0" w:color="auto"/>
                      <w:right w:val="single" w:sz="4" w:space="0" w:color="auto"/>
                    </w:tcBorders>
                    <w:vAlign w:val="center"/>
                  </w:tcPr>
                  <w:p w14:paraId="31DDF422" w14:textId="77777777" w:rsidR="005E000F" w:rsidRDefault="00000000">
                    <w:pPr>
                      <w:jc w:val="right"/>
                    </w:pPr>
                    <w:r>
                      <w:t>77,489,692,302</w:t>
                    </w:r>
                  </w:p>
                </w:tc>
              </w:sdtContent>
            </w:sdt>
          </w:tr>
        </w:tbl>
        <w:p w14:paraId="29249C0A" w14:textId="77777777" w:rsidR="005E000F" w:rsidRDefault="005E000F"/>
        <w:p w14:paraId="7C82E1BA" w14:textId="77777777" w:rsidR="005E000F" w:rsidRDefault="00000000">
          <w:r>
            <w:rPr>
              <w:rFonts w:hint="eastAsia"/>
            </w:rPr>
            <w:t>其他说明：</w:t>
          </w:r>
        </w:p>
        <w:sdt>
          <w:sdtPr>
            <w:alias w:val="是否适用：营业收入、营业成本的分解信息说明 [双击切换]"/>
            <w:tag w:val="_GBC_f134aa472e8b45f8af819092314ab743"/>
            <w:id w:val="2111539426"/>
            <w:placeholder>
              <w:docPart w:val="6EB19DA3EC754F8A98B456B8B2292B37"/>
            </w:placeholder>
          </w:sdtPr>
          <w:sdtContent>
            <w:p w14:paraId="441AA251"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CD1E01B" w14:textId="77777777" w:rsidR="005E000F" w:rsidRDefault="005E000F"/>
        <w:p w14:paraId="2A8F4E1E" w14:textId="77777777" w:rsidR="005E000F" w:rsidRDefault="005E000F"/>
        <w:p w14:paraId="56B4945D" w14:textId="77777777" w:rsidR="005E000F" w:rsidRDefault="00000000"/>
      </w:sdtContent>
    </w:sdt>
    <w:p w14:paraId="68AC87DA" w14:textId="77777777" w:rsidR="005E000F" w:rsidRDefault="00000000">
      <w:pPr>
        <w:pStyle w:val="4"/>
        <w:numPr>
          <w:ilvl w:val="0"/>
          <w:numId w:val="103"/>
        </w:numPr>
        <w:ind w:left="426" w:hanging="426"/>
      </w:pPr>
      <w:bookmarkStart w:id="390" w:name="_Hlk533670431"/>
      <w:bookmarkEnd w:id="389"/>
      <w:r>
        <w:rPr>
          <w:rFonts w:hint="eastAsia"/>
        </w:rPr>
        <w:t>履约义务的说明</w:t>
      </w:r>
    </w:p>
    <w:sdt>
      <w:sdtPr>
        <w:alias w:val="是否适用：履约义务的说明[双击切换]"/>
        <w:tag w:val="_GBC_2bcc2970f5df4fc982ad2497089d8292"/>
        <w:id w:val="-1704623652"/>
        <w:placeholder>
          <w:docPart w:val="GBC22222222222222222222222222222"/>
        </w:placeholder>
      </w:sdtPr>
      <w:sdtContent>
        <w:p w14:paraId="3DE4AEC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91105EC" w14:textId="77777777" w:rsidR="005E000F" w:rsidRDefault="005E000F"/>
    <w:p w14:paraId="6D1CE01C" w14:textId="77777777" w:rsidR="005E000F" w:rsidRDefault="00000000">
      <w:pPr>
        <w:pStyle w:val="4"/>
        <w:numPr>
          <w:ilvl w:val="0"/>
          <w:numId w:val="103"/>
        </w:numPr>
        <w:ind w:left="426" w:hanging="426"/>
      </w:pPr>
      <w:bookmarkStart w:id="391" w:name="_Hlk533423938"/>
      <w:bookmarkEnd w:id="390"/>
      <w:r>
        <w:rPr>
          <w:rFonts w:hint="eastAsia"/>
        </w:rPr>
        <w:t>分摊至剩余履约义务的说明</w:t>
      </w:r>
    </w:p>
    <w:sdt>
      <w:sdtPr>
        <w:alias w:val="是否适用：分摊至剩余履约义务的说明[双击切换]"/>
        <w:tag w:val="_GBC_67defaacf38a42549a2ed747c0fdb075"/>
        <w:id w:val="908280044"/>
        <w:placeholder>
          <w:docPart w:val="GBC22222222222222222222222222222"/>
        </w:placeholder>
      </w:sdtPr>
      <w:sdtContent>
        <w:p w14:paraId="07CE86E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1A727C" w14:textId="77777777" w:rsidR="005E000F" w:rsidRDefault="005E000F"/>
    <w:p w14:paraId="26A6D0B8" w14:textId="77777777" w:rsidR="005E000F" w:rsidRDefault="005E000F">
      <w:pPr>
        <w:rPr>
          <w:rFonts w:ascii="Arial" w:hAnsi="Arial"/>
        </w:rPr>
      </w:pPr>
    </w:p>
    <w:bookmarkEnd w:id="391"/>
    <w:p w14:paraId="68A1FC3B" w14:textId="77777777" w:rsidR="005E000F" w:rsidRDefault="00000000">
      <w:pPr>
        <w:pStyle w:val="4"/>
        <w:numPr>
          <w:ilvl w:val="0"/>
          <w:numId w:val="103"/>
        </w:numPr>
        <w:ind w:left="426" w:hanging="426"/>
      </w:pPr>
      <w:r>
        <w:rPr>
          <w:rFonts w:hint="eastAsia"/>
        </w:rPr>
        <w:t>重大合同变更或重大交易价格调整</w:t>
      </w:r>
    </w:p>
    <w:sdt>
      <w:sdtPr>
        <w:alias w:val="是否适用：重大合同变更或重大交易价格调整[双击切换]"/>
        <w:tag w:val="_GBC_0445697eb8d6440497b15f440010cd1d"/>
        <w:id w:val="589508949"/>
        <w:placeholder>
          <w:docPart w:val="GBC22222222222222222222222222222"/>
        </w:placeholder>
      </w:sdtPr>
      <w:sdtContent>
        <w:p w14:paraId="2956580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07BA9EE" w14:textId="77777777" w:rsidR="005E000F" w:rsidRDefault="005E000F">
      <w:pPr>
        <w:rPr>
          <w:rFonts w:ascii="Arial" w:hAnsi="Arial"/>
        </w:rPr>
      </w:pPr>
    </w:p>
    <w:p w14:paraId="533301CD" w14:textId="77777777" w:rsidR="005E000F" w:rsidRDefault="00000000">
      <w:pPr>
        <w:spacing w:before="60" w:after="60"/>
      </w:pPr>
      <w:bookmarkStart w:id="392" w:name="_Hlk26364697"/>
      <w:r>
        <w:rPr>
          <w:rFonts w:hint="eastAsia"/>
        </w:rPr>
        <w:lastRenderedPageBreak/>
        <w:t>其他说明：</w:t>
      </w:r>
    </w:p>
    <w:p w14:paraId="66D8F681" w14:textId="77777777" w:rsidR="005E000F" w:rsidRDefault="00000000">
      <w:sdt>
        <w:sdtPr>
          <w:alias w:val="主营业务说明"/>
          <w:tag w:val="_GBC_817222ab73384ad1a188a632c919c846"/>
          <w:id w:val="-1193837686"/>
          <w:placeholder>
            <w:docPart w:val="GBC22222222222222222222222222222"/>
          </w:placeholder>
        </w:sdtPr>
        <w:sdtContent>
          <w:r>
            <w:rPr>
              <w:rFonts w:hint="eastAsia"/>
            </w:rPr>
            <w:t>无</w:t>
          </w:r>
        </w:sdtContent>
      </w:sdt>
    </w:p>
    <w:p w14:paraId="2C759552" w14:textId="77777777" w:rsidR="005E000F" w:rsidRDefault="005E000F"/>
    <w:bookmarkEnd w:id="392"/>
    <w:p w14:paraId="35EE3831"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1128462252"/>
        <w:placeholder>
          <w:docPart w:val="GBC22222222222222222222222222222"/>
        </w:placeholder>
      </w:sdtPr>
      <w:sdtContent>
        <w:p w14:paraId="0EEE7BA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E09A26E" w14:textId="77777777" w:rsidR="005E000F" w:rsidRDefault="00000000">
      <w:pPr>
        <w:jc w:val="right"/>
        <w:rPr>
          <w:b/>
        </w:rPr>
      </w:pPr>
      <w:r>
        <w:rPr>
          <w:rFonts w:hint="eastAsia"/>
        </w:rPr>
        <w:t>单位：</w:t>
      </w:r>
      <w:sdt>
        <w:sdtPr>
          <w:rPr>
            <w:rFonts w:hint="eastAsia"/>
          </w:rPr>
          <w:alias w:val="单位：财务附注：税金及附加"/>
          <w:tag w:val="_GBC_6e5742d697d44a7dabc4411d4cd3c055"/>
          <w:id w:val="-9715974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税金及附加"/>
          <w:tag w:val="_GBC_7ad96346369145ef9c54edaefcc18214"/>
          <w:id w:val="15060817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2907"/>
        <w:gridCol w:w="3074"/>
        <w:gridCol w:w="3074"/>
      </w:tblGrid>
      <w:tr w:rsidR="005E000F" w14:paraId="0897DD1E" w14:textId="77777777">
        <w:sdt>
          <w:sdtPr>
            <w:tag w:val="_PLD_82dcdcc171754a7b940a70d1c7daa5c1"/>
            <w:id w:val="791321967"/>
          </w:sdtPr>
          <w:sdtContent>
            <w:tc>
              <w:tcPr>
                <w:tcW w:w="2907" w:type="dxa"/>
                <w:vAlign w:val="center"/>
              </w:tcPr>
              <w:p w14:paraId="02A95917" w14:textId="77777777" w:rsidR="005E000F" w:rsidRDefault="00000000">
                <w:pPr>
                  <w:autoSpaceDE w:val="0"/>
                  <w:autoSpaceDN w:val="0"/>
                  <w:adjustRightInd w:val="0"/>
                  <w:snapToGrid w:val="0"/>
                  <w:spacing w:line="240" w:lineRule="atLeast"/>
                  <w:jc w:val="center"/>
                </w:pPr>
                <w:r>
                  <w:rPr>
                    <w:rFonts w:hint="eastAsia"/>
                  </w:rPr>
                  <w:t>项目</w:t>
                </w:r>
              </w:p>
            </w:tc>
          </w:sdtContent>
        </w:sdt>
        <w:sdt>
          <w:sdtPr>
            <w:tag w:val="_PLD_a015e641f9074bee9ed1ee81511407cc"/>
            <w:id w:val="174775531"/>
          </w:sdtPr>
          <w:sdtContent>
            <w:tc>
              <w:tcPr>
                <w:tcW w:w="3074" w:type="dxa"/>
                <w:vAlign w:val="center"/>
              </w:tcPr>
              <w:p w14:paraId="35CB7609" w14:textId="77777777" w:rsidR="005E000F" w:rsidRDefault="00000000">
                <w:pPr>
                  <w:jc w:val="center"/>
                </w:pPr>
                <w:r>
                  <w:rPr>
                    <w:rFonts w:hint="eastAsia"/>
                  </w:rPr>
                  <w:t>本期发生额</w:t>
                </w:r>
              </w:p>
            </w:tc>
          </w:sdtContent>
        </w:sdt>
        <w:sdt>
          <w:sdtPr>
            <w:tag w:val="_PLD_5e944d291c9a4b0aab9f6558226d9112"/>
            <w:id w:val="-2109643199"/>
          </w:sdtPr>
          <w:sdtContent>
            <w:tc>
              <w:tcPr>
                <w:tcW w:w="3074" w:type="dxa"/>
                <w:vAlign w:val="center"/>
              </w:tcPr>
              <w:p w14:paraId="597C1754" w14:textId="77777777" w:rsidR="005E000F" w:rsidRDefault="00000000">
                <w:pPr>
                  <w:jc w:val="center"/>
                </w:pPr>
                <w:r>
                  <w:rPr>
                    <w:rFonts w:hint="eastAsia"/>
                  </w:rPr>
                  <w:t>上期发生额</w:t>
                </w:r>
              </w:p>
            </w:tc>
          </w:sdtContent>
        </w:sdt>
      </w:tr>
      <w:tr w:rsidR="005E000F" w14:paraId="7ADA5371" w14:textId="77777777">
        <w:tc>
          <w:tcPr>
            <w:tcW w:w="2907" w:type="dxa"/>
            <w:vAlign w:val="center"/>
          </w:tcPr>
          <w:p w14:paraId="450A7515" w14:textId="77777777" w:rsidR="005E000F" w:rsidRDefault="00000000">
            <w:pPr>
              <w:autoSpaceDE w:val="0"/>
              <w:autoSpaceDN w:val="0"/>
              <w:adjustRightInd w:val="0"/>
              <w:snapToGrid w:val="0"/>
              <w:spacing w:line="240" w:lineRule="atLeast"/>
            </w:pPr>
            <w:r>
              <w:rPr>
                <w:rFonts w:hint="eastAsia"/>
              </w:rPr>
              <w:t>城市维护建设税</w:t>
            </w:r>
          </w:p>
        </w:tc>
        <w:tc>
          <w:tcPr>
            <w:tcW w:w="3074" w:type="dxa"/>
            <w:vAlign w:val="center"/>
          </w:tcPr>
          <w:p w14:paraId="3D3A6E69" w14:textId="77777777" w:rsidR="005E000F" w:rsidRDefault="00000000">
            <w:pPr>
              <w:jc w:val="right"/>
              <w:rPr>
                <w:lang w:eastAsia="en-US"/>
              </w:rPr>
            </w:pPr>
            <w:r>
              <w:t>133,293,936</w:t>
            </w:r>
          </w:p>
        </w:tc>
        <w:tc>
          <w:tcPr>
            <w:tcW w:w="3074" w:type="dxa"/>
            <w:vAlign w:val="center"/>
          </w:tcPr>
          <w:p w14:paraId="05AA8C70" w14:textId="77777777" w:rsidR="005E000F" w:rsidRDefault="00000000">
            <w:pPr>
              <w:jc w:val="right"/>
              <w:rPr>
                <w:lang w:eastAsia="en-US"/>
              </w:rPr>
            </w:pPr>
            <w:r>
              <w:t>126,892,830</w:t>
            </w:r>
          </w:p>
        </w:tc>
      </w:tr>
      <w:tr w:rsidR="005E000F" w14:paraId="1D0098C8" w14:textId="77777777">
        <w:tc>
          <w:tcPr>
            <w:tcW w:w="2907" w:type="dxa"/>
            <w:vAlign w:val="center"/>
          </w:tcPr>
          <w:p w14:paraId="24BFFD14" w14:textId="77777777" w:rsidR="005E000F" w:rsidRDefault="00000000">
            <w:pPr>
              <w:autoSpaceDE w:val="0"/>
              <w:autoSpaceDN w:val="0"/>
              <w:adjustRightInd w:val="0"/>
              <w:snapToGrid w:val="0"/>
              <w:spacing w:line="240" w:lineRule="atLeast"/>
            </w:pPr>
            <w:r>
              <w:rPr>
                <w:rFonts w:hint="eastAsia"/>
              </w:rPr>
              <w:t>教育费附加</w:t>
            </w:r>
          </w:p>
        </w:tc>
        <w:tc>
          <w:tcPr>
            <w:tcW w:w="3074" w:type="dxa"/>
            <w:vAlign w:val="center"/>
          </w:tcPr>
          <w:p w14:paraId="745CB8D0" w14:textId="77777777" w:rsidR="005E000F" w:rsidRDefault="00000000">
            <w:pPr>
              <w:jc w:val="right"/>
              <w:rPr>
                <w:lang w:eastAsia="en-US"/>
              </w:rPr>
            </w:pPr>
            <w:r>
              <w:t>95,372,509</w:t>
            </w:r>
          </w:p>
        </w:tc>
        <w:tc>
          <w:tcPr>
            <w:tcW w:w="3074" w:type="dxa"/>
            <w:vAlign w:val="center"/>
          </w:tcPr>
          <w:p w14:paraId="242AE785" w14:textId="77777777" w:rsidR="005E000F" w:rsidRDefault="00000000">
            <w:pPr>
              <w:jc w:val="right"/>
              <w:rPr>
                <w:lang w:eastAsia="en-US"/>
              </w:rPr>
            </w:pPr>
            <w:r>
              <w:t>90,833,021</w:t>
            </w:r>
          </w:p>
        </w:tc>
      </w:tr>
      <w:tr w:rsidR="005E000F" w14:paraId="31D38878" w14:textId="77777777">
        <w:tc>
          <w:tcPr>
            <w:tcW w:w="2907" w:type="dxa"/>
            <w:vAlign w:val="center"/>
          </w:tcPr>
          <w:p w14:paraId="3AF204BA" w14:textId="77777777" w:rsidR="005E000F" w:rsidRDefault="00000000">
            <w:pPr>
              <w:autoSpaceDE w:val="0"/>
              <w:autoSpaceDN w:val="0"/>
              <w:adjustRightInd w:val="0"/>
              <w:snapToGrid w:val="0"/>
              <w:spacing w:line="240" w:lineRule="atLeast"/>
            </w:pPr>
            <w:r>
              <w:rPr>
                <w:rFonts w:hint="eastAsia"/>
              </w:rPr>
              <w:t>其他</w:t>
            </w:r>
          </w:p>
        </w:tc>
        <w:tc>
          <w:tcPr>
            <w:tcW w:w="3074" w:type="dxa"/>
            <w:vAlign w:val="center"/>
          </w:tcPr>
          <w:p w14:paraId="71AC25C4" w14:textId="77777777" w:rsidR="005E000F" w:rsidRDefault="00000000">
            <w:pPr>
              <w:jc w:val="right"/>
            </w:pPr>
            <w:r>
              <w:t>44,030,326</w:t>
            </w:r>
          </w:p>
        </w:tc>
        <w:tc>
          <w:tcPr>
            <w:tcW w:w="3074" w:type="dxa"/>
            <w:vAlign w:val="center"/>
          </w:tcPr>
          <w:p w14:paraId="7431B401" w14:textId="77777777" w:rsidR="005E000F" w:rsidRDefault="00000000">
            <w:pPr>
              <w:jc w:val="right"/>
              <w:rPr>
                <w:lang w:eastAsia="en-US"/>
              </w:rPr>
            </w:pPr>
            <w:r>
              <w:t>43,677,064</w:t>
            </w:r>
          </w:p>
        </w:tc>
      </w:tr>
      <w:tr w:rsidR="005E000F" w14:paraId="671D87F2" w14:textId="77777777">
        <w:tc>
          <w:tcPr>
            <w:tcW w:w="2907" w:type="dxa"/>
            <w:vAlign w:val="center"/>
          </w:tcPr>
          <w:p w14:paraId="1B27320C" w14:textId="77777777" w:rsidR="005E000F" w:rsidRDefault="00000000">
            <w:pPr>
              <w:autoSpaceDE w:val="0"/>
              <w:autoSpaceDN w:val="0"/>
              <w:adjustRightInd w:val="0"/>
              <w:snapToGrid w:val="0"/>
              <w:spacing w:line="240" w:lineRule="atLeast"/>
              <w:jc w:val="center"/>
            </w:pPr>
            <w:r>
              <w:rPr>
                <w:rFonts w:hint="eastAsia"/>
              </w:rPr>
              <w:t>合计</w:t>
            </w:r>
          </w:p>
        </w:tc>
        <w:tc>
          <w:tcPr>
            <w:tcW w:w="3074" w:type="dxa"/>
            <w:vAlign w:val="center"/>
          </w:tcPr>
          <w:p w14:paraId="49B7B0A7" w14:textId="77777777" w:rsidR="005E000F" w:rsidRDefault="00000000">
            <w:pPr>
              <w:jc w:val="right"/>
            </w:pPr>
            <w:r>
              <w:t>272,696,771</w:t>
            </w:r>
          </w:p>
        </w:tc>
        <w:tc>
          <w:tcPr>
            <w:tcW w:w="3074" w:type="dxa"/>
            <w:vAlign w:val="center"/>
          </w:tcPr>
          <w:p w14:paraId="2700DCA6" w14:textId="77777777" w:rsidR="005E000F" w:rsidRDefault="00000000">
            <w:pPr>
              <w:jc w:val="right"/>
              <w:rPr>
                <w:lang w:eastAsia="en-US"/>
              </w:rPr>
            </w:pPr>
            <w:r>
              <w:t>261,402,915</w:t>
            </w:r>
          </w:p>
        </w:tc>
      </w:tr>
    </w:tbl>
    <w:p w14:paraId="72F53F3B" w14:textId="77777777" w:rsidR="005E000F" w:rsidRDefault="00000000">
      <w:pPr>
        <w:spacing w:before="60" w:after="60"/>
      </w:pPr>
      <w:r>
        <w:rPr>
          <w:rFonts w:hint="eastAsia"/>
        </w:rPr>
        <w:t>其他说明：</w:t>
      </w:r>
    </w:p>
    <w:sdt>
      <w:sdtPr>
        <w:rPr>
          <w:rFonts w:hint="eastAsia"/>
        </w:rPr>
        <w:alias w:val="税金及附加说明"/>
        <w:tag w:val="_GBC_d333a7e7c5ed4b7896c9db975439c1ec"/>
        <w:id w:val="698662142"/>
        <w:placeholder>
          <w:docPart w:val="GBC22222222222222222222222222222"/>
        </w:placeholder>
      </w:sdtPr>
      <w:sdtContent>
        <w:p w14:paraId="45879EFD" w14:textId="77777777" w:rsidR="005E000F" w:rsidRDefault="00000000">
          <w:r>
            <w:rPr>
              <w:rFonts w:hint="eastAsia"/>
            </w:rPr>
            <w:t>无</w:t>
          </w:r>
        </w:p>
      </w:sdtContent>
    </w:sdt>
    <w:p w14:paraId="7EEB20C1" w14:textId="77777777" w:rsidR="005E000F" w:rsidRDefault="005E000F"/>
    <w:p w14:paraId="1D548BF2" w14:textId="77777777" w:rsidR="005E000F" w:rsidRDefault="00000000">
      <w:pPr>
        <w:pStyle w:val="3"/>
        <w:numPr>
          <w:ilvl w:val="0"/>
          <w:numId w:val="66"/>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916629222"/>
        <w:placeholder>
          <w:docPart w:val="GBC22222222222222222222222222222"/>
        </w:placeholder>
      </w:sdtPr>
      <w:sdtContent>
        <w:p w14:paraId="4F8971E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6E333C2" w14:textId="77777777" w:rsidR="005E000F" w:rsidRDefault="00000000">
      <w:pPr>
        <w:pStyle w:val="aff8"/>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172435984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119622246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2859"/>
        <w:gridCol w:w="2857"/>
      </w:tblGrid>
      <w:tr w:rsidR="005E000F" w14:paraId="56905132" w14:textId="77777777">
        <w:sdt>
          <w:sdtPr>
            <w:tag w:val="_PLD_27c4bc503cfe4eafa415de62f182f2c1"/>
            <w:id w:val="1112408810"/>
          </w:sdtPr>
          <w:sdtContent>
            <w:tc>
              <w:tcPr>
                <w:tcW w:w="3331" w:type="dxa"/>
                <w:tcBorders>
                  <w:top w:val="single" w:sz="4" w:space="0" w:color="auto"/>
                  <w:left w:val="single" w:sz="4" w:space="0" w:color="auto"/>
                  <w:bottom w:val="single" w:sz="4" w:space="0" w:color="auto"/>
                  <w:right w:val="single" w:sz="4" w:space="0" w:color="auto"/>
                </w:tcBorders>
                <w:vAlign w:val="center"/>
              </w:tcPr>
              <w:p w14:paraId="354583F3" w14:textId="77777777" w:rsidR="005E000F" w:rsidRDefault="00000000">
                <w:pPr>
                  <w:jc w:val="center"/>
                </w:pPr>
                <w:r>
                  <w:rPr>
                    <w:rFonts w:hint="eastAsia"/>
                  </w:rPr>
                  <w:t>项目</w:t>
                </w:r>
              </w:p>
            </w:tc>
          </w:sdtContent>
        </w:sdt>
        <w:sdt>
          <w:sdtPr>
            <w:tag w:val="_PLD_105cce5212fb42a182b1fd8e309ba67c"/>
            <w:id w:val="146414176"/>
          </w:sdtPr>
          <w:sdtContent>
            <w:tc>
              <w:tcPr>
                <w:tcW w:w="2859" w:type="dxa"/>
                <w:tcBorders>
                  <w:top w:val="single" w:sz="4" w:space="0" w:color="auto"/>
                  <w:left w:val="single" w:sz="4" w:space="0" w:color="auto"/>
                  <w:bottom w:val="single" w:sz="4" w:space="0" w:color="auto"/>
                  <w:right w:val="single" w:sz="4" w:space="0" w:color="auto"/>
                </w:tcBorders>
                <w:vAlign w:val="center"/>
              </w:tcPr>
              <w:p w14:paraId="46E3DF63" w14:textId="77777777" w:rsidR="005E000F" w:rsidRDefault="00000000">
                <w:pPr>
                  <w:jc w:val="center"/>
                </w:pPr>
                <w:r>
                  <w:rPr>
                    <w:rFonts w:hint="eastAsia"/>
                  </w:rPr>
                  <w:t>本期发生额</w:t>
                </w:r>
              </w:p>
            </w:tc>
          </w:sdtContent>
        </w:sdt>
        <w:sdt>
          <w:sdtPr>
            <w:tag w:val="_PLD_5f148659054c4187a80f7bdffc9e9cde"/>
            <w:id w:val="823479964"/>
          </w:sdtPr>
          <w:sdtContent>
            <w:tc>
              <w:tcPr>
                <w:tcW w:w="2857" w:type="dxa"/>
                <w:tcBorders>
                  <w:top w:val="single" w:sz="4" w:space="0" w:color="auto"/>
                  <w:left w:val="single" w:sz="4" w:space="0" w:color="auto"/>
                  <w:bottom w:val="single" w:sz="4" w:space="0" w:color="auto"/>
                  <w:right w:val="single" w:sz="4" w:space="0" w:color="auto"/>
                </w:tcBorders>
                <w:vAlign w:val="center"/>
              </w:tcPr>
              <w:p w14:paraId="2EFDB833" w14:textId="77777777" w:rsidR="005E000F" w:rsidRDefault="00000000">
                <w:pPr>
                  <w:jc w:val="center"/>
                </w:pPr>
                <w:r>
                  <w:rPr>
                    <w:rFonts w:hint="eastAsia"/>
                  </w:rPr>
                  <w:t>上期发生额</w:t>
                </w:r>
              </w:p>
            </w:tc>
          </w:sdtContent>
        </w:sdt>
      </w:tr>
      <w:tr w:rsidR="005E000F" w14:paraId="605096FA" w14:textId="77777777">
        <w:tc>
          <w:tcPr>
            <w:tcW w:w="3331" w:type="dxa"/>
            <w:tcBorders>
              <w:top w:val="single" w:sz="4" w:space="0" w:color="auto"/>
              <w:left w:val="single" w:sz="4" w:space="0" w:color="auto"/>
              <w:bottom w:val="single" w:sz="4" w:space="0" w:color="auto"/>
              <w:right w:val="single" w:sz="4" w:space="0" w:color="auto"/>
            </w:tcBorders>
          </w:tcPr>
          <w:p w14:paraId="7987CEBE" w14:textId="77777777" w:rsidR="005E000F" w:rsidRDefault="00000000">
            <w:pPr>
              <w:rPr>
                <w:lang w:eastAsia="en-US"/>
              </w:rPr>
            </w:pPr>
            <w:r>
              <w:t>人员费用</w:t>
            </w:r>
          </w:p>
        </w:tc>
        <w:tc>
          <w:tcPr>
            <w:tcW w:w="2859" w:type="dxa"/>
            <w:tcBorders>
              <w:top w:val="single" w:sz="4" w:space="0" w:color="auto"/>
              <w:left w:val="single" w:sz="4" w:space="0" w:color="auto"/>
              <w:bottom w:val="single" w:sz="4" w:space="0" w:color="auto"/>
              <w:right w:val="single" w:sz="4" w:space="0" w:color="auto"/>
            </w:tcBorders>
            <w:vAlign w:val="center"/>
          </w:tcPr>
          <w:p w14:paraId="6A133838" w14:textId="77777777" w:rsidR="005E000F" w:rsidRDefault="00000000">
            <w:pPr>
              <w:jc w:val="right"/>
            </w:pPr>
            <w:r>
              <w:t>47,439,711</w:t>
            </w:r>
          </w:p>
        </w:tc>
        <w:tc>
          <w:tcPr>
            <w:tcW w:w="2857" w:type="dxa"/>
            <w:tcBorders>
              <w:top w:val="single" w:sz="4" w:space="0" w:color="auto"/>
              <w:left w:val="single" w:sz="4" w:space="0" w:color="auto"/>
              <w:bottom w:val="single" w:sz="4" w:space="0" w:color="auto"/>
              <w:right w:val="single" w:sz="4" w:space="0" w:color="auto"/>
            </w:tcBorders>
          </w:tcPr>
          <w:p w14:paraId="7E60BD71" w14:textId="77777777" w:rsidR="005E000F" w:rsidRDefault="00000000">
            <w:pPr>
              <w:jc w:val="right"/>
              <w:rPr>
                <w:lang w:eastAsia="en-US"/>
              </w:rPr>
            </w:pPr>
            <w:r>
              <w:t>122,971,228</w:t>
            </w:r>
          </w:p>
        </w:tc>
      </w:tr>
      <w:tr w:rsidR="005E000F" w14:paraId="05ED15E7" w14:textId="77777777">
        <w:tc>
          <w:tcPr>
            <w:tcW w:w="3331" w:type="dxa"/>
            <w:tcBorders>
              <w:top w:val="single" w:sz="4" w:space="0" w:color="auto"/>
              <w:left w:val="single" w:sz="4" w:space="0" w:color="auto"/>
              <w:bottom w:val="single" w:sz="4" w:space="0" w:color="auto"/>
              <w:right w:val="single" w:sz="4" w:space="0" w:color="auto"/>
            </w:tcBorders>
          </w:tcPr>
          <w:p w14:paraId="0EBCE9A3" w14:textId="77777777" w:rsidR="005E000F" w:rsidRDefault="00000000">
            <w:pPr>
              <w:rPr>
                <w:lang w:eastAsia="en-US"/>
              </w:rPr>
            </w:pPr>
            <w:r>
              <w:t>营销费用</w:t>
            </w:r>
          </w:p>
        </w:tc>
        <w:tc>
          <w:tcPr>
            <w:tcW w:w="2859" w:type="dxa"/>
            <w:tcBorders>
              <w:top w:val="single" w:sz="4" w:space="0" w:color="auto"/>
              <w:left w:val="single" w:sz="4" w:space="0" w:color="auto"/>
              <w:bottom w:val="single" w:sz="4" w:space="0" w:color="auto"/>
              <w:right w:val="single" w:sz="4" w:space="0" w:color="auto"/>
            </w:tcBorders>
            <w:vAlign w:val="center"/>
          </w:tcPr>
          <w:p w14:paraId="005BCC83" w14:textId="77777777" w:rsidR="005E000F" w:rsidRDefault="00000000">
            <w:pPr>
              <w:jc w:val="right"/>
            </w:pPr>
            <w:r>
              <w:t>3,691,161</w:t>
            </w:r>
          </w:p>
        </w:tc>
        <w:tc>
          <w:tcPr>
            <w:tcW w:w="2857" w:type="dxa"/>
            <w:tcBorders>
              <w:top w:val="single" w:sz="4" w:space="0" w:color="auto"/>
              <w:left w:val="single" w:sz="4" w:space="0" w:color="auto"/>
              <w:bottom w:val="single" w:sz="4" w:space="0" w:color="auto"/>
              <w:right w:val="single" w:sz="4" w:space="0" w:color="auto"/>
            </w:tcBorders>
          </w:tcPr>
          <w:p w14:paraId="5CC17D34" w14:textId="77777777" w:rsidR="005E000F" w:rsidRDefault="00000000">
            <w:pPr>
              <w:jc w:val="right"/>
              <w:rPr>
                <w:lang w:eastAsia="en-US"/>
              </w:rPr>
            </w:pPr>
            <w:r>
              <w:t>4,160,989</w:t>
            </w:r>
          </w:p>
        </w:tc>
      </w:tr>
      <w:tr w:rsidR="005E000F" w14:paraId="40005B42" w14:textId="77777777">
        <w:tc>
          <w:tcPr>
            <w:tcW w:w="3331" w:type="dxa"/>
            <w:tcBorders>
              <w:top w:val="single" w:sz="4" w:space="0" w:color="auto"/>
              <w:left w:val="single" w:sz="4" w:space="0" w:color="auto"/>
              <w:bottom w:val="single" w:sz="4" w:space="0" w:color="auto"/>
              <w:right w:val="single" w:sz="4" w:space="0" w:color="auto"/>
            </w:tcBorders>
          </w:tcPr>
          <w:p w14:paraId="736DF0E4" w14:textId="77777777" w:rsidR="005E000F" w:rsidRDefault="00000000">
            <w:pPr>
              <w:rPr>
                <w:lang w:eastAsia="en-US"/>
              </w:rPr>
            </w:pPr>
            <w:r>
              <w:t>办公及差旅费用</w:t>
            </w:r>
          </w:p>
        </w:tc>
        <w:tc>
          <w:tcPr>
            <w:tcW w:w="2859" w:type="dxa"/>
            <w:tcBorders>
              <w:top w:val="single" w:sz="4" w:space="0" w:color="auto"/>
              <w:left w:val="single" w:sz="4" w:space="0" w:color="auto"/>
              <w:bottom w:val="single" w:sz="4" w:space="0" w:color="auto"/>
              <w:right w:val="single" w:sz="4" w:space="0" w:color="auto"/>
            </w:tcBorders>
            <w:vAlign w:val="center"/>
          </w:tcPr>
          <w:p w14:paraId="5BBF60F3" w14:textId="77777777" w:rsidR="005E000F" w:rsidRDefault="00000000">
            <w:pPr>
              <w:jc w:val="right"/>
            </w:pPr>
            <w:r>
              <w:t>292,431</w:t>
            </w:r>
          </w:p>
        </w:tc>
        <w:tc>
          <w:tcPr>
            <w:tcW w:w="2857" w:type="dxa"/>
            <w:tcBorders>
              <w:top w:val="single" w:sz="4" w:space="0" w:color="auto"/>
              <w:left w:val="single" w:sz="4" w:space="0" w:color="auto"/>
              <w:bottom w:val="single" w:sz="4" w:space="0" w:color="auto"/>
              <w:right w:val="single" w:sz="4" w:space="0" w:color="auto"/>
            </w:tcBorders>
          </w:tcPr>
          <w:p w14:paraId="57F72983" w14:textId="77777777" w:rsidR="005E000F" w:rsidRDefault="00000000">
            <w:pPr>
              <w:jc w:val="right"/>
              <w:rPr>
                <w:lang w:eastAsia="en-US"/>
              </w:rPr>
            </w:pPr>
            <w:r>
              <w:t>424,103</w:t>
            </w:r>
          </w:p>
        </w:tc>
      </w:tr>
      <w:tr w:rsidR="005E000F" w14:paraId="52D53E0A" w14:textId="77777777">
        <w:tc>
          <w:tcPr>
            <w:tcW w:w="3331" w:type="dxa"/>
            <w:tcBorders>
              <w:top w:val="single" w:sz="4" w:space="0" w:color="auto"/>
              <w:left w:val="single" w:sz="4" w:space="0" w:color="auto"/>
              <w:bottom w:val="single" w:sz="4" w:space="0" w:color="auto"/>
              <w:right w:val="single" w:sz="4" w:space="0" w:color="auto"/>
            </w:tcBorders>
          </w:tcPr>
          <w:p w14:paraId="68B9D68E" w14:textId="77777777" w:rsidR="005E000F" w:rsidRDefault="00000000">
            <w:pPr>
              <w:rPr>
                <w:lang w:eastAsia="en-US"/>
              </w:rPr>
            </w:pPr>
            <w:r>
              <w:t>其他</w:t>
            </w:r>
          </w:p>
        </w:tc>
        <w:tc>
          <w:tcPr>
            <w:tcW w:w="2859" w:type="dxa"/>
            <w:tcBorders>
              <w:top w:val="single" w:sz="4" w:space="0" w:color="auto"/>
              <w:left w:val="single" w:sz="4" w:space="0" w:color="auto"/>
              <w:bottom w:val="single" w:sz="4" w:space="0" w:color="auto"/>
              <w:right w:val="single" w:sz="4" w:space="0" w:color="auto"/>
            </w:tcBorders>
            <w:vAlign w:val="center"/>
          </w:tcPr>
          <w:p w14:paraId="3C68EEC9" w14:textId="77777777" w:rsidR="005E000F" w:rsidRDefault="00000000">
            <w:pPr>
              <w:jc w:val="right"/>
            </w:pPr>
            <w:r>
              <w:t>747,807</w:t>
            </w:r>
          </w:p>
        </w:tc>
        <w:tc>
          <w:tcPr>
            <w:tcW w:w="2857" w:type="dxa"/>
            <w:tcBorders>
              <w:top w:val="single" w:sz="4" w:space="0" w:color="auto"/>
              <w:left w:val="single" w:sz="4" w:space="0" w:color="auto"/>
              <w:bottom w:val="single" w:sz="4" w:space="0" w:color="auto"/>
              <w:right w:val="single" w:sz="4" w:space="0" w:color="auto"/>
            </w:tcBorders>
          </w:tcPr>
          <w:p w14:paraId="209D6FC3" w14:textId="77777777" w:rsidR="005E000F" w:rsidRDefault="00000000">
            <w:pPr>
              <w:jc w:val="right"/>
              <w:rPr>
                <w:lang w:eastAsia="en-US"/>
              </w:rPr>
            </w:pPr>
            <w:r>
              <w:t>939,002</w:t>
            </w:r>
          </w:p>
        </w:tc>
      </w:tr>
      <w:tr w:rsidR="005E000F" w14:paraId="46D8498E" w14:textId="77777777">
        <w:tc>
          <w:tcPr>
            <w:tcW w:w="3331" w:type="dxa"/>
            <w:tcBorders>
              <w:top w:val="single" w:sz="4" w:space="0" w:color="auto"/>
              <w:left w:val="single" w:sz="4" w:space="0" w:color="auto"/>
              <w:bottom w:val="single" w:sz="4" w:space="0" w:color="auto"/>
              <w:right w:val="single" w:sz="4" w:space="0" w:color="auto"/>
            </w:tcBorders>
            <w:vAlign w:val="center"/>
          </w:tcPr>
          <w:p w14:paraId="59B9FA4B" w14:textId="77777777" w:rsidR="005E000F" w:rsidRDefault="00000000">
            <w:pPr>
              <w:jc w:val="center"/>
            </w:pPr>
            <w:r>
              <w:rPr>
                <w:rFonts w:hint="eastAsia"/>
              </w:rPr>
              <w:t>合计</w:t>
            </w:r>
          </w:p>
        </w:tc>
        <w:tc>
          <w:tcPr>
            <w:tcW w:w="2859" w:type="dxa"/>
            <w:tcBorders>
              <w:top w:val="single" w:sz="4" w:space="0" w:color="auto"/>
              <w:left w:val="single" w:sz="4" w:space="0" w:color="auto"/>
              <w:bottom w:val="single" w:sz="4" w:space="0" w:color="auto"/>
              <w:right w:val="single" w:sz="4" w:space="0" w:color="auto"/>
            </w:tcBorders>
            <w:vAlign w:val="center"/>
          </w:tcPr>
          <w:p w14:paraId="4EC40854" w14:textId="77777777" w:rsidR="005E000F" w:rsidRDefault="00000000">
            <w:pPr>
              <w:jc w:val="right"/>
            </w:pPr>
            <w:r>
              <w:t>52,171,110</w:t>
            </w:r>
          </w:p>
        </w:tc>
        <w:tc>
          <w:tcPr>
            <w:tcW w:w="2857" w:type="dxa"/>
            <w:tcBorders>
              <w:top w:val="single" w:sz="4" w:space="0" w:color="auto"/>
              <w:left w:val="single" w:sz="4" w:space="0" w:color="auto"/>
              <w:bottom w:val="single" w:sz="4" w:space="0" w:color="auto"/>
              <w:right w:val="single" w:sz="4" w:space="0" w:color="auto"/>
            </w:tcBorders>
          </w:tcPr>
          <w:p w14:paraId="51806CBC" w14:textId="77777777" w:rsidR="005E000F" w:rsidRDefault="00000000">
            <w:pPr>
              <w:jc w:val="right"/>
              <w:rPr>
                <w:lang w:eastAsia="en-US"/>
              </w:rPr>
            </w:pPr>
            <w:r>
              <w:t>128,495,322</w:t>
            </w:r>
          </w:p>
        </w:tc>
      </w:tr>
    </w:tbl>
    <w:p w14:paraId="728A9D95" w14:textId="77777777" w:rsidR="005E000F" w:rsidRDefault="00000000">
      <w:pPr>
        <w:spacing w:before="60" w:after="60"/>
      </w:pPr>
      <w:r>
        <w:rPr>
          <w:rFonts w:hint="eastAsia"/>
        </w:rPr>
        <w:t>其他说明：</w:t>
      </w:r>
    </w:p>
    <w:sdt>
      <w:sdtPr>
        <w:alias w:val="销售费用的其他说明事项"/>
        <w:tag w:val="_GBC_da5acaab2dfe4976b479907a904edb4f"/>
        <w:id w:val="290707882"/>
        <w:placeholder>
          <w:docPart w:val="GBC22222222222222222222222222222"/>
        </w:placeholder>
      </w:sdtPr>
      <w:sdtContent>
        <w:p w14:paraId="4ACC4488" w14:textId="77777777" w:rsidR="005E000F" w:rsidRDefault="00000000">
          <w:r>
            <w:rPr>
              <w:rFonts w:hint="eastAsia"/>
            </w:rPr>
            <w:t>无</w:t>
          </w:r>
        </w:p>
      </w:sdtContent>
    </w:sdt>
    <w:p w14:paraId="196DE25C" w14:textId="77777777" w:rsidR="005E000F" w:rsidRDefault="005E000F"/>
    <w:p w14:paraId="2791ABCE" w14:textId="77777777" w:rsidR="005E000F" w:rsidRDefault="00000000">
      <w:pPr>
        <w:pStyle w:val="3"/>
        <w:numPr>
          <w:ilvl w:val="0"/>
          <w:numId w:val="66"/>
        </w:numPr>
        <w:tabs>
          <w:tab w:val="left" w:pos="504"/>
        </w:tabs>
        <w:rPr>
          <w:szCs w:val="21"/>
        </w:rPr>
      </w:pPr>
      <w:bookmarkStart w:id="393" w:name="_Hlk155098459"/>
      <w:bookmarkStart w:id="394" w:name="_Hlk532912714"/>
      <w:r>
        <w:rPr>
          <w:rFonts w:hint="eastAsia"/>
          <w:szCs w:val="21"/>
        </w:rPr>
        <w:t>管理费用</w:t>
      </w:r>
    </w:p>
    <w:sdt>
      <w:sdtPr>
        <w:alias w:val="是否适用：管理费用[双击切换]"/>
        <w:tag w:val="_GBC_b376fd9abaac4f3b8e5956b8dcd72faf"/>
        <w:id w:val="-1189668950"/>
        <w:placeholder>
          <w:docPart w:val="GBC22222222222222222222222222222"/>
        </w:placeholder>
      </w:sdtPr>
      <w:sdtContent>
        <w:p w14:paraId="1A78C32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5E33CF5" w14:textId="77777777" w:rsidR="005E000F" w:rsidRDefault="00000000">
      <w:pPr>
        <w:jc w:val="right"/>
      </w:pPr>
      <w:r>
        <w:rPr>
          <w:rFonts w:hint="eastAsia"/>
        </w:rPr>
        <w:t>单位：</w:t>
      </w:r>
      <w:sdt>
        <w:sdtPr>
          <w:rPr>
            <w:rFonts w:hint="eastAsia"/>
          </w:rPr>
          <w:alias w:val="单位：管理费用"/>
          <w:tag w:val="_GBC_73606f31bd404afb8bfe5aabe1a68278"/>
          <w:id w:val="5521165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管理费用"/>
          <w:tag w:val="_GBC_0549259a290d43c39c63d67cdad7f80d"/>
          <w:id w:val="12459182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2604"/>
        <w:gridCol w:w="2439"/>
      </w:tblGrid>
      <w:tr w:rsidR="005E000F" w14:paraId="24C10FCD" w14:textId="77777777">
        <w:sdt>
          <w:sdtPr>
            <w:tag w:val="_PLD_588268d9a550441d943c27cfc1105eb0"/>
            <w:id w:val="1162051849"/>
          </w:sdtPr>
          <w:sdtContent>
            <w:tc>
              <w:tcPr>
                <w:tcW w:w="4005" w:type="dxa"/>
                <w:tcBorders>
                  <w:top w:val="single" w:sz="4" w:space="0" w:color="auto"/>
                  <w:left w:val="single" w:sz="4" w:space="0" w:color="auto"/>
                  <w:bottom w:val="single" w:sz="4" w:space="0" w:color="auto"/>
                  <w:right w:val="single" w:sz="4" w:space="0" w:color="auto"/>
                </w:tcBorders>
                <w:vAlign w:val="center"/>
              </w:tcPr>
              <w:p w14:paraId="19A646AB" w14:textId="77777777" w:rsidR="005E000F" w:rsidRDefault="00000000">
                <w:pPr>
                  <w:jc w:val="center"/>
                </w:pPr>
                <w:r>
                  <w:rPr>
                    <w:rFonts w:hint="eastAsia"/>
                  </w:rPr>
                  <w:t>项目</w:t>
                </w:r>
              </w:p>
            </w:tc>
          </w:sdtContent>
        </w:sdt>
        <w:sdt>
          <w:sdtPr>
            <w:tag w:val="_PLD_0e4f4d04bcb2408d8a5744ac90a1f89b"/>
            <w:id w:val="-2031015901"/>
          </w:sdtPr>
          <w:sdtContent>
            <w:tc>
              <w:tcPr>
                <w:tcW w:w="2604" w:type="dxa"/>
                <w:tcBorders>
                  <w:top w:val="single" w:sz="4" w:space="0" w:color="auto"/>
                  <w:left w:val="single" w:sz="4" w:space="0" w:color="auto"/>
                  <w:bottom w:val="single" w:sz="4" w:space="0" w:color="auto"/>
                  <w:right w:val="single" w:sz="4" w:space="0" w:color="auto"/>
                </w:tcBorders>
                <w:vAlign w:val="center"/>
              </w:tcPr>
              <w:p w14:paraId="1AF1C26C" w14:textId="77777777" w:rsidR="005E000F" w:rsidRDefault="00000000">
                <w:pPr>
                  <w:jc w:val="center"/>
                </w:pPr>
                <w:r>
                  <w:rPr>
                    <w:rFonts w:hint="eastAsia"/>
                  </w:rPr>
                  <w:t>本期发生额</w:t>
                </w:r>
              </w:p>
            </w:tc>
          </w:sdtContent>
        </w:sdt>
        <w:sdt>
          <w:sdtPr>
            <w:tag w:val="_PLD_6f1ab61237164c0db56540ae1980b62c"/>
            <w:id w:val="605629881"/>
          </w:sdtPr>
          <w:sdtContent>
            <w:tc>
              <w:tcPr>
                <w:tcW w:w="2439" w:type="dxa"/>
                <w:tcBorders>
                  <w:top w:val="single" w:sz="4" w:space="0" w:color="auto"/>
                  <w:left w:val="single" w:sz="4" w:space="0" w:color="auto"/>
                  <w:bottom w:val="single" w:sz="4" w:space="0" w:color="auto"/>
                  <w:right w:val="single" w:sz="4" w:space="0" w:color="auto"/>
                </w:tcBorders>
                <w:vAlign w:val="center"/>
              </w:tcPr>
              <w:p w14:paraId="47BC7AD5" w14:textId="77777777" w:rsidR="005E000F" w:rsidRDefault="00000000">
                <w:pPr>
                  <w:jc w:val="center"/>
                </w:pPr>
                <w:r>
                  <w:rPr>
                    <w:rFonts w:hint="eastAsia"/>
                  </w:rPr>
                  <w:t>上期发生额</w:t>
                </w:r>
              </w:p>
            </w:tc>
          </w:sdtContent>
        </w:sdt>
      </w:tr>
      <w:tr w:rsidR="005E000F" w14:paraId="051C81E4" w14:textId="77777777">
        <w:tc>
          <w:tcPr>
            <w:tcW w:w="4005" w:type="dxa"/>
            <w:tcBorders>
              <w:top w:val="single" w:sz="4" w:space="0" w:color="auto"/>
              <w:left w:val="single" w:sz="4" w:space="0" w:color="auto"/>
              <w:bottom w:val="single" w:sz="4" w:space="0" w:color="auto"/>
              <w:right w:val="single" w:sz="4" w:space="0" w:color="auto"/>
            </w:tcBorders>
          </w:tcPr>
          <w:p w14:paraId="1D87FDD2" w14:textId="77777777" w:rsidR="005E000F" w:rsidRDefault="00000000">
            <w:pPr>
              <w:rPr>
                <w:lang w:eastAsia="en-US"/>
              </w:rPr>
            </w:pPr>
            <w:r>
              <w:t>人员费用</w:t>
            </w:r>
          </w:p>
        </w:tc>
        <w:tc>
          <w:tcPr>
            <w:tcW w:w="2604" w:type="dxa"/>
            <w:tcBorders>
              <w:top w:val="single" w:sz="4" w:space="0" w:color="auto"/>
              <w:left w:val="single" w:sz="4" w:space="0" w:color="auto"/>
              <w:bottom w:val="single" w:sz="4" w:space="0" w:color="auto"/>
              <w:right w:val="single" w:sz="4" w:space="0" w:color="auto"/>
            </w:tcBorders>
            <w:vAlign w:val="center"/>
          </w:tcPr>
          <w:p w14:paraId="05212CAC" w14:textId="77777777" w:rsidR="005E000F" w:rsidRDefault="00000000">
            <w:pPr>
              <w:jc w:val="right"/>
            </w:pPr>
            <w:r>
              <w:t>230,110,903</w:t>
            </w:r>
          </w:p>
        </w:tc>
        <w:tc>
          <w:tcPr>
            <w:tcW w:w="2439" w:type="dxa"/>
            <w:tcBorders>
              <w:top w:val="single" w:sz="4" w:space="0" w:color="auto"/>
              <w:left w:val="single" w:sz="4" w:space="0" w:color="auto"/>
              <w:bottom w:val="single" w:sz="4" w:space="0" w:color="auto"/>
              <w:right w:val="single" w:sz="4" w:space="0" w:color="auto"/>
            </w:tcBorders>
          </w:tcPr>
          <w:p w14:paraId="64BB6B9E" w14:textId="77777777" w:rsidR="005E000F" w:rsidRDefault="00000000">
            <w:pPr>
              <w:jc w:val="right"/>
              <w:rPr>
                <w:lang w:eastAsia="en-US"/>
              </w:rPr>
            </w:pPr>
            <w:r>
              <w:t>239,254,646</w:t>
            </w:r>
          </w:p>
        </w:tc>
      </w:tr>
      <w:tr w:rsidR="005E000F" w14:paraId="659CC0A8" w14:textId="77777777">
        <w:tc>
          <w:tcPr>
            <w:tcW w:w="4005" w:type="dxa"/>
            <w:tcBorders>
              <w:top w:val="single" w:sz="4" w:space="0" w:color="auto"/>
              <w:left w:val="single" w:sz="4" w:space="0" w:color="auto"/>
              <w:bottom w:val="single" w:sz="4" w:space="0" w:color="auto"/>
              <w:right w:val="single" w:sz="4" w:space="0" w:color="auto"/>
            </w:tcBorders>
          </w:tcPr>
          <w:p w14:paraId="31AFB41D" w14:textId="77777777" w:rsidR="005E000F" w:rsidRDefault="00000000">
            <w:pPr>
              <w:rPr>
                <w:lang w:eastAsia="en-US"/>
              </w:rPr>
            </w:pPr>
            <w:r>
              <w:t>无形资产摊销</w:t>
            </w:r>
          </w:p>
        </w:tc>
        <w:tc>
          <w:tcPr>
            <w:tcW w:w="2604" w:type="dxa"/>
            <w:tcBorders>
              <w:top w:val="single" w:sz="4" w:space="0" w:color="auto"/>
              <w:left w:val="single" w:sz="4" w:space="0" w:color="auto"/>
              <w:bottom w:val="single" w:sz="4" w:space="0" w:color="auto"/>
              <w:right w:val="single" w:sz="4" w:space="0" w:color="auto"/>
            </w:tcBorders>
            <w:vAlign w:val="center"/>
          </w:tcPr>
          <w:p w14:paraId="3C9D7D6C" w14:textId="77777777" w:rsidR="005E000F" w:rsidRDefault="00000000">
            <w:pPr>
              <w:jc w:val="right"/>
            </w:pPr>
            <w:r>
              <w:t>315,696,902</w:t>
            </w:r>
          </w:p>
        </w:tc>
        <w:tc>
          <w:tcPr>
            <w:tcW w:w="2439" w:type="dxa"/>
            <w:tcBorders>
              <w:top w:val="single" w:sz="4" w:space="0" w:color="auto"/>
              <w:left w:val="single" w:sz="4" w:space="0" w:color="auto"/>
              <w:bottom w:val="single" w:sz="4" w:space="0" w:color="auto"/>
              <w:right w:val="single" w:sz="4" w:space="0" w:color="auto"/>
            </w:tcBorders>
          </w:tcPr>
          <w:p w14:paraId="00E17D9E" w14:textId="77777777" w:rsidR="005E000F" w:rsidRDefault="00000000">
            <w:pPr>
              <w:jc w:val="right"/>
              <w:rPr>
                <w:lang w:eastAsia="en-US"/>
              </w:rPr>
            </w:pPr>
            <w:r>
              <w:t>146,883,505</w:t>
            </w:r>
          </w:p>
        </w:tc>
      </w:tr>
      <w:tr w:rsidR="005E000F" w14:paraId="0F5C0D76" w14:textId="77777777">
        <w:tc>
          <w:tcPr>
            <w:tcW w:w="4005" w:type="dxa"/>
            <w:tcBorders>
              <w:top w:val="single" w:sz="4" w:space="0" w:color="auto"/>
              <w:left w:val="single" w:sz="4" w:space="0" w:color="auto"/>
              <w:bottom w:val="single" w:sz="4" w:space="0" w:color="auto"/>
              <w:right w:val="single" w:sz="4" w:space="0" w:color="auto"/>
            </w:tcBorders>
          </w:tcPr>
          <w:p w14:paraId="4997D7F4" w14:textId="77777777" w:rsidR="005E000F" w:rsidRDefault="00000000">
            <w:pPr>
              <w:rPr>
                <w:lang w:eastAsia="en-US"/>
              </w:rPr>
            </w:pPr>
            <w:r>
              <w:t>折旧</w:t>
            </w:r>
          </w:p>
        </w:tc>
        <w:tc>
          <w:tcPr>
            <w:tcW w:w="2604" w:type="dxa"/>
            <w:tcBorders>
              <w:top w:val="single" w:sz="4" w:space="0" w:color="auto"/>
              <w:left w:val="single" w:sz="4" w:space="0" w:color="auto"/>
              <w:bottom w:val="single" w:sz="4" w:space="0" w:color="auto"/>
              <w:right w:val="single" w:sz="4" w:space="0" w:color="auto"/>
            </w:tcBorders>
            <w:vAlign w:val="center"/>
          </w:tcPr>
          <w:p w14:paraId="614498A9" w14:textId="77777777" w:rsidR="005E000F" w:rsidRDefault="00000000">
            <w:pPr>
              <w:jc w:val="right"/>
            </w:pPr>
            <w:r>
              <w:t>13,930,840</w:t>
            </w:r>
          </w:p>
        </w:tc>
        <w:tc>
          <w:tcPr>
            <w:tcW w:w="2439" w:type="dxa"/>
            <w:tcBorders>
              <w:top w:val="single" w:sz="4" w:space="0" w:color="auto"/>
              <w:left w:val="single" w:sz="4" w:space="0" w:color="auto"/>
              <w:bottom w:val="single" w:sz="4" w:space="0" w:color="auto"/>
              <w:right w:val="single" w:sz="4" w:space="0" w:color="auto"/>
            </w:tcBorders>
          </w:tcPr>
          <w:p w14:paraId="1FA17040" w14:textId="77777777" w:rsidR="005E000F" w:rsidRDefault="00000000">
            <w:pPr>
              <w:jc w:val="right"/>
              <w:rPr>
                <w:lang w:eastAsia="en-US"/>
              </w:rPr>
            </w:pPr>
            <w:r>
              <w:t>9,420,826</w:t>
            </w:r>
          </w:p>
        </w:tc>
      </w:tr>
      <w:tr w:rsidR="005E000F" w14:paraId="499F28CC" w14:textId="77777777">
        <w:tc>
          <w:tcPr>
            <w:tcW w:w="4005" w:type="dxa"/>
            <w:tcBorders>
              <w:top w:val="single" w:sz="4" w:space="0" w:color="auto"/>
              <w:left w:val="single" w:sz="4" w:space="0" w:color="auto"/>
              <w:bottom w:val="single" w:sz="4" w:space="0" w:color="auto"/>
              <w:right w:val="single" w:sz="4" w:space="0" w:color="auto"/>
            </w:tcBorders>
          </w:tcPr>
          <w:p w14:paraId="597D22E9" w14:textId="77777777" w:rsidR="005E000F" w:rsidRDefault="00000000">
            <w:pPr>
              <w:rPr>
                <w:lang w:eastAsia="en-US"/>
              </w:rPr>
            </w:pPr>
            <w:r>
              <w:t>办公及差旅费用</w:t>
            </w:r>
          </w:p>
        </w:tc>
        <w:tc>
          <w:tcPr>
            <w:tcW w:w="2604" w:type="dxa"/>
            <w:tcBorders>
              <w:top w:val="single" w:sz="4" w:space="0" w:color="auto"/>
              <w:left w:val="single" w:sz="4" w:space="0" w:color="auto"/>
              <w:bottom w:val="single" w:sz="4" w:space="0" w:color="auto"/>
              <w:right w:val="single" w:sz="4" w:space="0" w:color="auto"/>
            </w:tcBorders>
            <w:vAlign w:val="center"/>
          </w:tcPr>
          <w:p w14:paraId="30B12394" w14:textId="77777777" w:rsidR="005E000F" w:rsidRDefault="00000000">
            <w:pPr>
              <w:jc w:val="right"/>
            </w:pPr>
            <w:r>
              <w:t>5,070,338</w:t>
            </w:r>
          </w:p>
        </w:tc>
        <w:tc>
          <w:tcPr>
            <w:tcW w:w="2439" w:type="dxa"/>
            <w:tcBorders>
              <w:top w:val="single" w:sz="4" w:space="0" w:color="auto"/>
              <w:left w:val="single" w:sz="4" w:space="0" w:color="auto"/>
              <w:bottom w:val="single" w:sz="4" w:space="0" w:color="auto"/>
              <w:right w:val="single" w:sz="4" w:space="0" w:color="auto"/>
            </w:tcBorders>
          </w:tcPr>
          <w:p w14:paraId="16AEC3ED" w14:textId="77777777" w:rsidR="005E000F" w:rsidRDefault="00000000">
            <w:pPr>
              <w:jc w:val="right"/>
              <w:rPr>
                <w:lang w:eastAsia="en-US"/>
              </w:rPr>
            </w:pPr>
            <w:r>
              <w:t>4,087,447</w:t>
            </w:r>
          </w:p>
        </w:tc>
      </w:tr>
      <w:tr w:rsidR="005E000F" w14:paraId="2DD5ACBB" w14:textId="77777777">
        <w:tc>
          <w:tcPr>
            <w:tcW w:w="4005" w:type="dxa"/>
            <w:tcBorders>
              <w:top w:val="single" w:sz="4" w:space="0" w:color="auto"/>
              <w:left w:val="single" w:sz="4" w:space="0" w:color="auto"/>
              <w:bottom w:val="single" w:sz="4" w:space="0" w:color="auto"/>
              <w:right w:val="single" w:sz="4" w:space="0" w:color="auto"/>
            </w:tcBorders>
          </w:tcPr>
          <w:p w14:paraId="79ED01CF" w14:textId="77777777" w:rsidR="005E000F" w:rsidRDefault="00000000">
            <w:pPr>
              <w:rPr>
                <w:lang w:eastAsia="en-US"/>
              </w:rPr>
            </w:pPr>
            <w:r>
              <w:t>其他</w:t>
            </w:r>
          </w:p>
        </w:tc>
        <w:tc>
          <w:tcPr>
            <w:tcW w:w="2604" w:type="dxa"/>
            <w:tcBorders>
              <w:top w:val="single" w:sz="4" w:space="0" w:color="auto"/>
              <w:left w:val="single" w:sz="4" w:space="0" w:color="auto"/>
              <w:bottom w:val="single" w:sz="4" w:space="0" w:color="auto"/>
              <w:right w:val="single" w:sz="4" w:space="0" w:color="auto"/>
            </w:tcBorders>
            <w:vAlign w:val="center"/>
          </w:tcPr>
          <w:p w14:paraId="146B4B07" w14:textId="77777777" w:rsidR="005E000F" w:rsidRDefault="00000000">
            <w:pPr>
              <w:jc w:val="right"/>
            </w:pPr>
            <w:r>
              <w:t>353,903,178</w:t>
            </w:r>
          </w:p>
        </w:tc>
        <w:tc>
          <w:tcPr>
            <w:tcW w:w="2439" w:type="dxa"/>
            <w:tcBorders>
              <w:top w:val="single" w:sz="4" w:space="0" w:color="auto"/>
              <w:left w:val="single" w:sz="4" w:space="0" w:color="auto"/>
              <w:bottom w:val="single" w:sz="4" w:space="0" w:color="auto"/>
              <w:right w:val="single" w:sz="4" w:space="0" w:color="auto"/>
            </w:tcBorders>
          </w:tcPr>
          <w:p w14:paraId="732A0383" w14:textId="77777777" w:rsidR="005E000F" w:rsidRDefault="00000000">
            <w:pPr>
              <w:jc w:val="right"/>
              <w:rPr>
                <w:lang w:eastAsia="en-US"/>
              </w:rPr>
            </w:pPr>
            <w:r>
              <w:t>118,067,504</w:t>
            </w:r>
          </w:p>
        </w:tc>
      </w:tr>
      <w:tr w:rsidR="005E000F" w14:paraId="6B80C72A" w14:textId="77777777">
        <w:tc>
          <w:tcPr>
            <w:tcW w:w="4005" w:type="dxa"/>
            <w:tcBorders>
              <w:top w:val="single" w:sz="4" w:space="0" w:color="auto"/>
              <w:left w:val="single" w:sz="4" w:space="0" w:color="auto"/>
              <w:bottom w:val="single" w:sz="4" w:space="0" w:color="auto"/>
              <w:right w:val="single" w:sz="4" w:space="0" w:color="auto"/>
            </w:tcBorders>
            <w:vAlign w:val="center"/>
          </w:tcPr>
          <w:p w14:paraId="79504A63" w14:textId="77777777" w:rsidR="005E000F" w:rsidRDefault="00000000">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1842AA9C" w14:textId="77777777" w:rsidR="005E000F" w:rsidRDefault="00000000">
            <w:pPr>
              <w:jc w:val="right"/>
            </w:pPr>
            <w:r>
              <w:t>918,712,161</w:t>
            </w:r>
          </w:p>
        </w:tc>
        <w:tc>
          <w:tcPr>
            <w:tcW w:w="2439" w:type="dxa"/>
            <w:tcBorders>
              <w:top w:val="single" w:sz="4" w:space="0" w:color="auto"/>
              <w:left w:val="single" w:sz="4" w:space="0" w:color="auto"/>
              <w:bottom w:val="single" w:sz="4" w:space="0" w:color="auto"/>
              <w:right w:val="single" w:sz="4" w:space="0" w:color="auto"/>
            </w:tcBorders>
          </w:tcPr>
          <w:p w14:paraId="5097D2DA" w14:textId="77777777" w:rsidR="005E000F" w:rsidRDefault="00000000">
            <w:pPr>
              <w:jc w:val="right"/>
              <w:rPr>
                <w:lang w:eastAsia="en-US"/>
              </w:rPr>
            </w:pPr>
            <w:r>
              <w:t>517,713,928</w:t>
            </w:r>
          </w:p>
        </w:tc>
      </w:tr>
    </w:tbl>
    <w:p w14:paraId="46658B85" w14:textId="77777777" w:rsidR="005E000F" w:rsidRDefault="00000000">
      <w:r>
        <w:rPr>
          <w:rFonts w:hint="eastAsia"/>
        </w:rPr>
        <w:t>其他说明：</w:t>
      </w:r>
    </w:p>
    <w:sdt>
      <w:sdtPr>
        <w:alias w:val="管理费用的其他说明事项"/>
        <w:tag w:val="_GBC_9b151103b3714e6c9261d3362f24bd0a"/>
        <w:id w:val="1356614817"/>
        <w:placeholder>
          <w:docPart w:val="GBC22222222222222222222222222222"/>
        </w:placeholder>
      </w:sdtPr>
      <w:sdtContent>
        <w:p w14:paraId="40A6517F" w14:textId="77777777" w:rsidR="005E000F" w:rsidRDefault="00000000">
          <w:r>
            <w:rPr>
              <w:rFonts w:hint="eastAsia"/>
            </w:rPr>
            <w:t>无</w:t>
          </w:r>
        </w:p>
      </w:sdtContent>
    </w:sdt>
    <w:p w14:paraId="4791495B" w14:textId="77777777" w:rsidR="005E000F" w:rsidRDefault="005E000F"/>
    <w:p w14:paraId="2BB80831" w14:textId="77777777" w:rsidR="005E000F" w:rsidRDefault="00000000">
      <w:pPr>
        <w:pStyle w:val="3"/>
        <w:numPr>
          <w:ilvl w:val="0"/>
          <w:numId w:val="66"/>
        </w:numPr>
        <w:tabs>
          <w:tab w:val="left" w:pos="504"/>
        </w:tabs>
        <w:rPr>
          <w:szCs w:val="21"/>
        </w:rPr>
      </w:pPr>
      <w:r>
        <w:rPr>
          <w:rFonts w:hint="eastAsia"/>
          <w:szCs w:val="21"/>
        </w:rPr>
        <w:t>研发费用</w:t>
      </w:r>
    </w:p>
    <w:sdt>
      <w:sdtPr>
        <w:alias w:val="是否适用：研发费用[双击切换]"/>
        <w:tag w:val="_GBC_9898510b9c0a486f9cd9779f4b72b75c"/>
        <w:id w:val="492460720"/>
        <w:placeholder>
          <w:docPart w:val="GBC22222222222222222222222222222"/>
        </w:placeholder>
      </w:sdtPr>
      <w:sdtContent>
        <w:p w14:paraId="4E1F1B5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699747" w14:textId="77777777" w:rsidR="005E000F" w:rsidRDefault="005E000F"/>
    <w:p w14:paraId="5FDD4620" w14:textId="77777777" w:rsidR="005E000F" w:rsidRDefault="005E000F"/>
    <w:bookmarkEnd w:id="393"/>
    <w:bookmarkEnd w:id="394"/>
    <w:p w14:paraId="46D81078" w14:textId="77777777" w:rsidR="005E000F" w:rsidRDefault="00000000">
      <w:pPr>
        <w:pStyle w:val="3"/>
        <w:numPr>
          <w:ilvl w:val="0"/>
          <w:numId w:val="66"/>
        </w:numPr>
        <w:tabs>
          <w:tab w:val="left" w:pos="504"/>
        </w:tabs>
        <w:rPr>
          <w:szCs w:val="21"/>
        </w:rPr>
      </w:pPr>
      <w:r>
        <w:rPr>
          <w:rFonts w:hint="eastAsia"/>
          <w:szCs w:val="21"/>
        </w:rPr>
        <w:t>财务费用</w:t>
      </w:r>
    </w:p>
    <w:sdt>
      <w:sdtPr>
        <w:alias w:val="是否适用：财务费用[双击切换]"/>
        <w:tag w:val="_GBC_7e467c6faebc402ab141f588df31680d"/>
        <w:id w:val="-2125223786"/>
        <w:placeholder>
          <w:docPart w:val="GBC22222222222222222222222222222"/>
        </w:placeholder>
      </w:sdtPr>
      <w:sdtContent>
        <w:p w14:paraId="69FC9313"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9A324AF" w14:textId="77777777" w:rsidR="005E000F" w:rsidRDefault="00000000">
      <w:pPr>
        <w:jc w:val="right"/>
      </w:pPr>
      <w:r>
        <w:rPr>
          <w:rFonts w:hint="eastAsia"/>
        </w:rPr>
        <w:t>单位：</w:t>
      </w:r>
      <w:sdt>
        <w:sdtPr>
          <w:rPr>
            <w:rFonts w:hint="eastAsia"/>
          </w:rPr>
          <w:alias w:val="单位：财务费用"/>
          <w:tag w:val="_GBC_adcf988d29cd43aba011ce1310eac264"/>
          <w:id w:val="-38880576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费用"/>
          <w:tag w:val="_GBC_f6066e571d54449daf358ae3037f9712"/>
          <w:id w:val="21066870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5"/>
        <w:gridCol w:w="2604"/>
        <w:gridCol w:w="2439"/>
      </w:tblGrid>
      <w:tr w:rsidR="005E000F" w14:paraId="5C5298B0" w14:textId="77777777">
        <w:sdt>
          <w:sdtPr>
            <w:tag w:val="_PLD_49977e87dd3f474489b24bbaed00293d"/>
            <w:id w:val="-1226296122"/>
          </w:sdtPr>
          <w:sdtContent>
            <w:tc>
              <w:tcPr>
                <w:tcW w:w="4005" w:type="dxa"/>
                <w:tcBorders>
                  <w:top w:val="single" w:sz="4" w:space="0" w:color="auto"/>
                  <w:left w:val="single" w:sz="4" w:space="0" w:color="auto"/>
                  <w:bottom w:val="single" w:sz="4" w:space="0" w:color="auto"/>
                  <w:right w:val="single" w:sz="4" w:space="0" w:color="auto"/>
                </w:tcBorders>
                <w:vAlign w:val="center"/>
              </w:tcPr>
              <w:p w14:paraId="22C30CD1" w14:textId="77777777" w:rsidR="005E000F" w:rsidRDefault="00000000">
                <w:pPr>
                  <w:jc w:val="center"/>
                </w:pPr>
                <w:r>
                  <w:rPr>
                    <w:rFonts w:hint="eastAsia"/>
                  </w:rPr>
                  <w:t>项目</w:t>
                </w:r>
              </w:p>
            </w:tc>
          </w:sdtContent>
        </w:sdt>
        <w:sdt>
          <w:sdtPr>
            <w:tag w:val="_PLD_f64aa2e290ce4904a39347c56117acb7"/>
            <w:id w:val="-580056580"/>
          </w:sdtPr>
          <w:sdtContent>
            <w:tc>
              <w:tcPr>
                <w:tcW w:w="2604" w:type="dxa"/>
                <w:tcBorders>
                  <w:top w:val="single" w:sz="4" w:space="0" w:color="auto"/>
                  <w:left w:val="single" w:sz="4" w:space="0" w:color="auto"/>
                  <w:bottom w:val="single" w:sz="4" w:space="0" w:color="auto"/>
                  <w:right w:val="single" w:sz="4" w:space="0" w:color="auto"/>
                </w:tcBorders>
                <w:vAlign w:val="center"/>
              </w:tcPr>
              <w:p w14:paraId="2FCF6D17" w14:textId="77777777" w:rsidR="005E000F" w:rsidRDefault="00000000">
                <w:pPr>
                  <w:jc w:val="center"/>
                </w:pPr>
                <w:r>
                  <w:rPr>
                    <w:rFonts w:hint="eastAsia"/>
                  </w:rPr>
                  <w:t>本期发生额</w:t>
                </w:r>
              </w:p>
            </w:tc>
          </w:sdtContent>
        </w:sdt>
        <w:sdt>
          <w:sdtPr>
            <w:tag w:val="_PLD_178c78585f7e495ebd86923cb8c24338"/>
            <w:id w:val="1593201952"/>
          </w:sdtPr>
          <w:sdtContent>
            <w:tc>
              <w:tcPr>
                <w:tcW w:w="2439" w:type="dxa"/>
                <w:tcBorders>
                  <w:top w:val="single" w:sz="4" w:space="0" w:color="auto"/>
                  <w:left w:val="single" w:sz="4" w:space="0" w:color="auto"/>
                  <w:bottom w:val="single" w:sz="4" w:space="0" w:color="auto"/>
                  <w:right w:val="single" w:sz="4" w:space="0" w:color="auto"/>
                </w:tcBorders>
                <w:vAlign w:val="center"/>
              </w:tcPr>
              <w:p w14:paraId="4398E9EA" w14:textId="77777777" w:rsidR="005E000F" w:rsidRDefault="00000000">
                <w:pPr>
                  <w:jc w:val="center"/>
                </w:pPr>
                <w:r>
                  <w:rPr>
                    <w:rFonts w:hint="eastAsia"/>
                  </w:rPr>
                  <w:t>上期发生额</w:t>
                </w:r>
              </w:p>
            </w:tc>
          </w:sdtContent>
        </w:sdt>
      </w:tr>
      <w:tr w:rsidR="005E000F" w14:paraId="055F5367" w14:textId="77777777">
        <w:tc>
          <w:tcPr>
            <w:tcW w:w="4005" w:type="dxa"/>
            <w:tcBorders>
              <w:top w:val="single" w:sz="4" w:space="0" w:color="auto"/>
              <w:left w:val="single" w:sz="4" w:space="0" w:color="auto"/>
              <w:bottom w:val="single" w:sz="4" w:space="0" w:color="auto"/>
              <w:right w:val="single" w:sz="4" w:space="0" w:color="auto"/>
            </w:tcBorders>
          </w:tcPr>
          <w:p w14:paraId="67B87A3E" w14:textId="77777777" w:rsidR="005E000F" w:rsidRDefault="00000000">
            <w:r>
              <w:t>贷款及应付款项的利息支出</w:t>
            </w:r>
          </w:p>
        </w:tc>
        <w:tc>
          <w:tcPr>
            <w:tcW w:w="2604" w:type="dxa"/>
            <w:tcBorders>
              <w:top w:val="single" w:sz="4" w:space="0" w:color="auto"/>
              <w:left w:val="single" w:sz="4" w:space="0" w:color="auto"/>
              <w:bottom w:val="single" w:sz="4" w:space="0" w:color="auto"/>
              <w:right w:val="single" w:sz="4" w:space="0" w:color="auto"/>
            </w:tcBorders>
            <w:vAlign w:val="center"/>
          </w:tcPr>
          <w:p w14:paraId="2B36825A" w14:textId="77777777" w:rsidR="005E000F" w:rsidRDefault="00000000">
            <w:pPr>
              <w:jc w:val="right"/>
            </w:pPr>
            <w:r>
              <w:t>375,443,621</w:t>
            </w:r>
          </w:p>
        </w:tc>
        <w:tc>
          <w:tcPr>
            <w:tcW w:w="2439" w:type="dxa"/>
            <w:tcBorders>
              <w:top w:val="single" w:sz="4" w:space="0" w:color="auto"/>
              <w:left w:val="single" w:sz="4" w:space="0" w:color="auto"/>
              <w:bottom w:val="single" w:sz="4" w:space="0" w:color="auto"/>
              <w:right w:val="single" w:sz="4" w:space="0" w:color="auto"/>
            </w:tcBorders>
            <w:vAlign w:val="center"/>
          </w:tcPr>
          <w:p w14:paraId="65338AC3" w14:textId="77777777" w:rsidR="005E000F" w:rsidRDefault="00000000">
            <w:pPr>
              <w:jc w:val="right"/>
              <w:rPr>
                <w:lang w:eastAsia="en-US"/>
              </w:rPr>
            </w:pPr>
            <w:r>
              <w:t>900,739,256</w:t>
            </w:r>
          </w:p>
        </w:tc>
      </w:tr>
      <w:tr w:rsidR="005E000F" w14:paraId="2B99400B" w14:textId="77777777">
        <w:tc>
          <w:tcPr>
            <w:tcW w:w="4005" w:type="dxa"/>
            <w:tcBorders>
              <w:top w:val="single" w:sz="4" w:space="0" w:color="auto"/>
              <w:left w:val="single" w:sz="4" w:space="0" w:color="auto"/>
              <w:bottom w:val="single" w:sz="4" w:space="0" w:color="auto"/>
              <w:right w:val="single" w:sz="4" w:space="0" w:color="auto"/>
            </w:tcBorders>
          </w:tcPr>
          <w:p w14:paraId="350F53DC" w14:textId="77777777" w:rsidR="005E000F" w:rsidRDefault="00000000">
            <w:r>
              <w:t>存款及应收款项的利息收入</w:t>
            </w:r>
          </w:p>
        </w:tc>
        <w:tc>
          <w:tcPr>
            <w:tcW w:w="2604" w:type="dxa"/>
            <w:tcBorders>
              <w:top w:val="single" w:sz="4" w:space="0" w:color="auto"/>
              <w:left w:val="single" w:sz="4" w:space="0" w:color="auto"/>
              <w:bottom w:val="single" w:sz="4" w:space="0" w:color="auto"/>
              <w:right w:val="single" w:sz="4" w:space="0" w:color="auto"/>
            </w:tcBorders>
            <w:vAlign w:val="center"/>
          </w:tcPr>
          <w:p w14:paraId="2810F6AA" w14:textId="77777777" w:rsidR="005E000F" w:rsidRDefault="00000000">
            <w:pPr>
              <w:jc w:val="right"/>
            </w:pPr>
            <w:r>
              <w:rPr>
                <w:rFonts w:hint="eastAsia"/>
              </w:rPr>
              <w:t>-</w:t>
            </w:r>
            <w:r>
              <w:t>741,196,197</w:t>
            </w:r>
          </w:p>
        </w:tc>
        <w:tc>
          <w:tcPr>
            <w:tcW w:w="2439" w:type="dxa"/>
            <w:tcBorders>
              <w:top w:val="single" w:sz="4" w:space="0" w:color="auto"/>
              <w:left w:val="single" w:sz="4" w:space="0" w:color="auto"/>
              <w:bottom w:val="single" w:sz="4" w:space="0" w:color="auto"/>
              <w:right w:val="single" w:sz="4" w:space="0" w:color="auto"/>
            </w:tcBorders>
            <w:vAlign w:val="center"/>
          </w:tcPr>
          <w:p w14:paraId="2DD3A622" w14:textId="77777777" w:rsidR="005E000F" w:rsidRDefault="00000000">
            <w:pPr>
              <w:jc w:val="right"/>
              <w:rPr>
                <w:lang w:eastAsia="en-US"/>
              </w:rPr>
            </w:pPr>
            <w:r>
              <w:t>-953,173,688</w:t>
            </w:r>
          </w:p>
        </w:tc>
      </w:tr>
      <w:tr w:rsidR="005E000F" w14:paraId="0AA3BEF8" w14:textId="77777777">
        <w:tc>
          <w:tcPr>
            <w:tcW w:w="4005" w:type="dxa"/>
            <w:tcBorders>
              <w:top w:val="single" w:sz="4" w:space="0" w:color="auto"/>
              <w:left w:val="single" w:sz="4" w:space="0" w:color="auto"/>
              <w:bottom w:val="single" w:sz="4" w:space="0" w:color="auto"/>
              <w:right w:val="single" w:sz="4" w:space="0" w:color="auto"/>
            </w:tcBorders>
          </w:tcPr>
          <w:p w14:paraId="313AA9BC" w14:textId="77777777" w:rsidR="005E000F" w:rsidRDefault="00000000">
            <w:r>
              <w:t>补充退休福利折现利息摊销</w:t>
            </w:r>
          </w:p>
        </w:tc>
        <w:tc>
          <w:tcPr>
            <w:tcW w:w="2604" w:type="dxa"/>
            <w:tcBorders>
              <w:top w:val="single" w:sz="4" w:space="0" w:color="auto"/>
              <w:left w:val="single" w:sz="4" w:space="0" w:color="auto"/>
              <w:bottom w:val="single" w:sz="4" w:space="0" w:color="auto"/>
              <w:right w:val="single" w:sz="4" w:space="0" w:color="auto"/>
            </w:tcBorders>
            <w:vAlign w:val="center"/>
          </w:tcPr>
          <w:p w14:paraId="328E4C91" w14:textId="77777777" w:rsidR="005E000F" w:rsidRDefault="00000000">
            <w:pPr>
              <w:jc w:val="right"/>
            </w:pPr>
            <w:r>
              <w:t>64,251,454</w:t>
            </w:r>
          </w:p>
        </w:tc>
        <w:tc>
          <w:tcPr>
            <w:tcW w:w="2439" w:type="dxa"/>
            <w:tcBorders>
              <w:top w:val="single" w:sz="4" w:space="0" w:color="auto"/>
              <w:left w:val="single" w:sz="4" w:space="0" w:color="auto"/>
              <w:bottom w:val="single" w:sz="4" w:space="0" w:color="auto"/>
              <w:right w:val="single" w:sz="4" w:space="0" w:color="auto"/>
            </w:tcBorders>
            <w:vAlign w:val="center"/>
          </w:tcPr>
          <w:p w14:paraId="181C2428" w14:textId="77777777" w:rsidR="005E000F" w:rsidRDefault="00000000">
            <w:pPr>
              <w:jc w:val="right"/>
              <w:rPr>
                <w:lang w:eastAsia="en-US"/>
              </w:rPr>
            </w:pPr>
            <w:r>
              <w:t>59,604,659</w:t>
            </w:r>
          </w:p>
        </w:tc>
      </w:tr>
      <w:tr w:rsidR="005E000F" w14:paraId="36E4AFA5" w14:textId="77777777">
        <w:tc>
          <w:tcPr>
            <w:tcW w:w="4005" w:type="dxa"/>
            <w:tcBorders>
              <w:top w:val="single" w:sz="4" w:space="0" w:color="auto"/>
              <w:left w:val="single" w:sz="4" w:space="0" w:color="auto"/>
              <w:bottom w:val="single" w:sz="4" w:space="0" w:color="auto"/>
              <w:right w:val="single" w:sz="4" w:space="0" w:color="auto"/>
            </w:tcBorders>
          </w:tcPr>
          <w:p w14:paraId="46E1D88E" w14:textId="77777777" w:rsidR="005E000F" w:rsidRDefault="00000000">
            <w:pPr>
              <w:rPr>
                <w:lang w:eastAsia="en-US"/>
              </w:rPr>
            </w:pPr>
            <w:r>
              <w:t>其他财务费用</w:t>
            </w:r>
          </w:p>
        </w:tc>
        <w:tc>
          <w:tcPr>
            <w:tcW w:w="2604" w:type="dxa"/>
            <w:tcBorders>
              <w:top w:val="single" w:sz="4" w:space="0" w:color="auto"/>
              <w:left w:val="single" w:sz="4" w:space="0" w:color="auto"/>
              <w:bottom w:val="single" w:sz="4" w:space="0" w:color="auto"/>
              <w:right w:val="single" w:sz="4" w:space="0" w:color="auto"/>
            </w:tcBorders>
            <w:vAlign w:val="center"/>
          </w:tcPr>
          <w:p w14:paraId="613D9CB8" w14:textId="77777777" w:rsidR="005E000F" w:rsidRDefault="00000000">
            <w:pPr>
              <w:jc w:val="right"/>
            </w:pPr>
            <w:r>
              <w:t>5,479,015</w:t>
            </w:r>
          </w:p>
        </w:tc>
        <w:tc>
          <w:tcPr>
            <w:tcW w:w="2439" w:type="dxa"/>
            <w:tcBorders>
              <w:top w:val="single" w:sz="4" w:space="0" w:color="auto"/>
              <w:left w:val="single" w:sz="4" w:space="0" w:color="auto"/>
              <w:bottom w:val="single" w:sz="4" w:space="0" w:color="auto"/>
              <w:right w:val="single" w:sz="4" w:space="0" w:color="auto"/>
            </w:tcBorders>
            <w:vAlign w:val="center"/>
          </w:tcPr>
          <w:p w14:paraId="13B23695" w14:textId="77777777" w:rsidR="005E000F" w:rsidRDefault="00000000">
            <w:pPr>
              <w:jc w:val="right"/>
              <w:rPr>
                <w:lang w:eastAsia="en-US"/>
              </w:rPr>
            </w:pPr>
            <w:r>
              <w:t>6,545,870</w:t>
            </w:r>
          </w:p>
        </w:tc>
      </w:tr>
      <w:tr w:rsidR="005E000F" w14:paraId="70B47A8E" w14:textId="77777777">
        <w:tc>
          <w:tcPr>
            <w:tcW w:w="4005" w:type="dxa"/>
            <w:tcBorders>
              <w:top w:val="single" w:sz="4" w:space="0" w:color="auto"/>
              <w:left w:val="single" w:sz="4" w:space="0" w:color="auto"/>
              <w:bottom w:val="single" w:sz="4" w:space="0" w:color="auto"/>
              <w:right w:val="single" w:sz="4" w:space="0" w:color="auto"/>
            </w:tcBorders>
            <w:vAlign w:val="center"/>
          </w:tcPr>
          <w:p w14:paraId="7E332BA6" w14:textId="77777777" w:rsidR="005E000F" w:rsidRDefault="00000000">
            <w:pPr>
              <w:jc w:val="center"/>
            </w:pPr>
            <w:r>
              <w:rPr>
                <w:rFonts w:hint="eastAsia"/>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0C1E6FED" w14:textId="77777777" w:rsidR="005E000F" w:rsidRDefault="00000000">
            <w:pPr>
              <w:jc w:val="right"/>
            </w:pPr>
            <w:r>
              <w:t>-296,022,107</w:t>
            </w:r>
          </w:p>
        </w:tc>
        <w:tc>
          <w:tcPr>
            <w:tcW w:w="2439" w:type="dxa"/>
            <w:tcBorders>
              <w:top w:val="single" w:sz="4" w:space="0" w:color="auto"/>
              <w:left w:val="single" w:sz="4" w:space="0" w:color="auto"/>
              <w:bottom w:val="single" w:sz="4" w:space="0" w:color="auto"/>
              <w:right w:val="single" w:sz="4" w:space="0" w:color="auto"/>
            </w:tcBorders>
            <w:vAlign w:val="center"/>
          </w:tcPr>
          <w:p w14:paraId="06B88AE0" w14:textId="77777777" w:rsidR="005E000F" w:rsidRDefault="00000000">
            <w:pPr>
              <w:jc w:val="right"/>
              <w:rPr>
                <w:lang w:eastAsia="en-US"/>
              </w:rPr>
            </w:pPr>
            <w:r>
              <w:t>13,716,097</w:t>
            </w:r>
          </w:p>
        </w:tc>
      </w:tr>
    </w:tbl>
    <w:p w14:paraId="56CE88DA" w14:textId="77777777" w:rsidR="005E000F" w:rsidRDefault="00000000">
      <w:r>
        <w:rPr>
          <w:rFonts w:hint="eastAsia"/>
        </w:rPr>
        <w:t>其他说明：</w:t>
      </w:r>
    </w:p>
    <w:sdt>
      <w:sdtPr>
        <w:alias w:val="财务费用的其他说明事项"/>
        <w:tag w:val="_GBC_ac6200ee95c7483d9ee9565f49369f9a"/>
        <w:id w:val="-138350661"/>
        <w:placeholder>
          <w:docPart w:val="GBC22222222222222222222222222222"/>
        </w:placeholder>
      </w:sdtPr>
      <w:sdtContent>
        <w:p w14:paraId="4C65095B" w14:textId="77777777" w:rsidR="005E000F" w:rsidRDefault="00000000">
          <w:r>
            <w:rPr>
              <w:rFonts w:hint="eastAsia"/>
            </w:rPr>
            <w:t>无</w:t>
          </w:r>
        </w:p>
      </w:sdtContent>
    </w:sdt>
    <w:p w14:paraId="5B24D30E" w14:textId="77777777" w:rsidR="005E000F" w:rsidRDefault="005E000F"/>
    <w:p w14:paraId="2EC1A89D" w14:textId="77777777" w:rsidR="005E000F" w:rsidRDefault="00000000">
      <w:pPr>
        <w:pStyle w:val="3"/>
        <w:numPr>
          <w:ilvl w:val="0"/>
          <w:numId w:val="66"/>
        </w:numPr>
        <w:tabs>
          <w:tab w:val="left" w:pos="504"/>
        </w:tabs>
      </w:pPr>
      <w:r>
        <w:rPr>
          <w:rFonts w:hint="eastAsia"/>
        </w:rPr>
        <w:t>其他收益</w:t>
      </w:r>
    </w:p>
    <w:sdt>
      <w:sdtPr>
        <w:rPr>
          <w:bCs/>
        </w:rPr>
        <w:alias w:val="是否适用：财务报表其他收益[双击切换]"/>
        <w:tag w:val="_GBC_24722ffac3b6474db1e1d7972d6e4a7b"/>
        <w:id w:val="1449192449"/>
        <w:placeholder>
          <w:docPart w:val="GBC22222222222222222222222222222"/>
        </w:placeholder>
      </w:sdtPr>
      <w:sdtContent>
        <w:p w14:paraId="566E516C" w14:textId="77777777" w:rsidR="005E000F" w:rsidRDefault="00000000">
          <w:pPr>
            <w:rPr>
              <w:bCs/>
            </w:rPr>
          </w:pPr>
          <w:r>
            <w:rPr>
              <w:rFonts w:ascii="宋体" w:hAnsi="宋体"/>
              <w:bCs/>
            </w:rPr>
            <w:fldChar w:fldCharType="begin"/>
          </w:r>
          <w:r>
            <w:rPr>
              <w:rFonts w:ascii="宋体" w:hAnsi="宋体"/>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bCs/>
            </w:rPr>
            <w:instrText xml:space="preserve"> MACROBUTTON  SnrToggleCheckbox □不适用 </w:instrText>
          </w:r>
          <w:r>
            <w:rPr>
              <w:rFonts w:ascii="宋体" w:hAnsi="宋体"/>
              <w:bCs/>
            </w:rPr>
            <w:fldChar w:fldCharType="end"/>
          </w:r>
        </w:p>
      </w:sdtContent>
    </w:sdt>
    <w:p w14:paraId="61367386" w14:textId="77777777" w:rsidR="005E000F" w:rsidRDefault="00000000">
      <w:pPr>
        <w:pStyle w:val="aff8"/>
        <w:ind w:left="420" w:firstLineChars="0" w:firstLine="0"/>
        <w:jc w:val="right"/>
        <w:rPr>
          <w:bCs/>
        </w:rPr>
      </w:pPr>
      <w:r>
        <w:rPr>
          <w:bCs/>
        </w:rPr>
        <w:t>单位：</w:t>
      </w:r>
      <w:sdt>
        <w:sdtPr>
          <w:rPr>
            <w:bCs/>
          </w:rPr>
          <w:alias w:val="单位：财务报表其他收益明细"/>
          <w:tag w:val="_GBC_74ea52f952324be7ab2c4c494ff673ce"/>
          <w:id w:val="132932313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sdtContent>
      </w:sdt>
      <w:r>
        <w:rPr>
          <w:bCs/>
        </w:rPr>
        <w:t xml:space="preserve">  </w:t>
      </w:r>
      <w:r>
        <w:rPr>
          <w:bCs/>
        </w:rPr>
        <w:t>币种：</w:t>
      </w:r>
      <w:sdt>
        <w:sdtPr>
          <w:rPr>
            <w:bCs/>
          </w:rPr>
          <w:alias w:val="币种：财务报表其他收益明细"/>
          <w:tag w:val="_GBC_8360ed9b182a496c9b5d2220a414a4cb"/>
          <w:id w:val="120066986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5E000F" w14:paraId="19CFCA2B" w14:textId="77777777">
        <w:sdt>
          <w:sdtPr>
            <w:tag w:val="_PLD_7df5d6dc8fe1463b8e0d41784241e311"/>
            <w:id w:val="367257712"/>
          </w:sdtPr>
          <w:sdtContent>
            <w:tc>
              <w:tcPr>
                <w:tcW w:w="3015" w:type="dxa"/>
                <w:vAlign w:val="center"/>
              </w:tcPr>
              <w:p w14:paraId="00FACCFA" w14:textId="77777777" w:rsidR="005E000F" w:rsidRDefault="00000000">
                <w:pPr>
                  <w:widowControl w:val="0"/>
                  <w:jc w:val="center"/>
                </w:pPr>
                <w:r>
                  <w:rPr>
                    <w:rFonts w:hint="eastAsia"/>
                  </w:rPr>
                  <w:t>按性质分类</w:t>
                </w:r>
              </w:p>
            </w:tc>
          </w:sdtContent>
        </w:sdt>
        <w:sdt>
          <w:sdtPr>
            <w:tag w:val="_PLD_2c34d48a6a534080943d2d340c325c15"/>
            <w:id w:val="1879199313"/>
          </w:sdtPr>
          <w:sdtContent>
            <w:tc>
              <w:tcPr>
                <w:tcW w:w="3016" w:type="dxa"/>
                <w:vAlign w:val="center"/>
              </w:tcPr>
              <w:p w14:paraId="30963883" w14:textId="77777777" w:rsidR="005E000F" w:rsidRDefault="00000000">
                <w:pPr>
                  <w:widowControl w:val="0"/>
                  <w:jc w:val="center"/>
                </w:pPr>
                <w:r>
                  <w:rPr>
                    <w:rFonts w:hint="eastAsia"/>
                  </w:rPr>
                  <w:t>本期发生额</w:t>
                </w:r>
              </w:p>
            </w:tc>
          </w:sdtContent>
        </w:sdt>
        <w:sdt>
          <w:sdtPr>
            <w:tag w:val="_PLD_1a2c9ed0a9704089897421e22b8696dd"/>
            <w:id w:val="-683199851"/>
          </w:sdtPr>
          <w:sdtContent>
            <w:tc>
              <w:tcPr>
                <w:tcW w:w="3016" w:type="dxa"/>
                <w:vAlign w:val="center"/>
              </w:tcPr>
              <w:p w14:paraId="0E02BB15" w14:textId="77777777" w:rsidR="005E000F" w:rsidRDefault="00000000">
                <w:pPr>
                  <w:widowControl w:val="0"/>
                  <w:jc w:val="center"/>
                </w:pPr>
                <w:r>
                  <w:rPr>
                    <w:rFonts w:hint="eastAsia"/>
                  </w:rPr>
                  <w:t>上期发生额</w:t>
                </w:r>
              </w:p>
            </w:tc>
          </w:sdtContent>
        </w:sdt>
      </w:tr>
      <w:tr w:rsidR="005E000F" w14:paraId="1BA21C53" w14:textId="77777777">
        <w:tc>
          <w:tcPr>
            <w:tcW w:w="3015" w:type="dxa"/>
            <w:vAlign w:val="center"/>
          </w:tcPr>
          <w:p w14:paraId="538B91EC" w14:textId="77777777" w:rsidR="005E000F" w:rsidRDefault="00000000">
            <w:pPr>
              <w:widowControl w:val="0"/>
            </w:pPr>
            <w:r>
              <w:rPr>
                <w:rFonts w:hint="eastAsia"/>
              </w:rPr>
              <w:t>政府补助等</w:t>
            </w:r>
          </w:p>
        </w:tc>
        <w:tc>
          <w:tcPr>
            <w:tcW w:w="3016" w:type="dxa"/>
            <w:vAlign w:val="center"/>
          </w:tcPr>
          <w:p w14:paraId="2C69F911" w14:textId="77777777" w:rsidR="005E000F" w:rsidRDefault="00000000">
            <w:pPr>
              <w:widowControl w:val="0"/>
              <w:jc w:val="right"/>
            </w:pPr>
            <w:r>
              <w:t>124,916,246</w:t>
            </w:r>
          </w:p>
        </w:tc>
        <w:tc>
          <w:tcPr>
            <w:tcW w:w="3016" w:type="dxa"/>
            <w:vAlign w:val="center"/>
          </w:tcPr>
          <w:p w14:paraId="7884D9BD" w14:textId="77777777" w:rsidR="005E000F" w:rsidRDefault="00000000">
            <w:pPr>
              <w:widowControl w:val="0"/>
              <w:jc w:val="right"/>
            </w:pPr>
            <w:r>
              <w:t>96,449,800</w:t>
            </w:r>
          </w:p>
        </w:tc>
      </w:tr>
      <w:tr w:rsidR="005E000F" w14:paraId="166B8694" w14:textId="77777777">
        <w:tc>
          <w:tcPr>
            <w:tcW w:w="3015" w:type="dxa"/>
            <w:vAlign w:val="center"/>
          </w:tcPr>
          <w:p w14:paraId="35256EF3" w14:textId="77777777" w:rsidR="005E000F" w:rsidRDefault="00000000">
            <w:pPr>
              <w:widowControl w:val="0"/>
              <w:jc w:val="center"/>
            </w:pPr>
            <w:r>
              <w:rPr>
                <w:rFonts w:hint="eastAsia"/>
              </w:rPr>
              <w:t>合计</w:t>
            </w:r>
          </w:p>
        </w:tc>
        <w:tc>
          <w:tcPr>
            <w:tcW w:w="3016" w:type="dxa"/>
            <w:vAlign w:val="center"/>
          </w:tcPr>
          <w:p w14:paraId="781E2F19" w14:textId="77777777" w:rsidR="005E000F" w:rsidRDefault="00000000">
            <w:pPr>
              <w:widowControl w:val="0"/>
              <w:jc w:val="right"/>
            </w:pPr>
            <w:r>
              <w:t>124,916,246</w:t>
            </w:r>
          </w:p>
        </w:tc>
        <w:tc>
          <w:tcPr>
            <w:tcW w:w="3016" w:type="dxa"/>
            <w:vAlign w:val="center"/>
          </w:tcPr>
          <w:p w14:paraId="3901D595" w14:textId="77777777" w:rsidR="005E000F" w:rsidRDefault="00000000">
            <w:pPr>
              <w:widowControl w:val="0"/>
              <w:jc w:val="right"/>
            </w:pPr>
            <w:r>
              <w:t>96,449,800</w:t>
            </w:r>
          </w:p>
        </w:tc>
      </w:tr>
    </w:tbl>
    <w:p w14:paraId="3616A040" w14:textId="77777777" w:rsidR="005E000F" w:rsidRDefault="00000000">
      <w:r>
        <w:rPr>
          <w:rFonts w:hint="eastAsia"/>
        </w:rPr>
        <w:t>其他说明：</w:t>
      </w:r>
    </w:p>
    <w:sdt>
      <w:sdtPr>
        <w:alias w:val="财务报表其他收益其他说明"/>
        <w:tag w:val="_GBC_4b4ba73a66704c609e7c6617d0fa6694"/>
        <w:id w:val="-645670894"/>
        <w:placeholder>
          <w:docPart w:val="GBC22222222222222222222222222222"/>
        </w:placeholder>
      </w:sdtPr>
      <w:sdtContent>
        <w:p w14:paraId="1D0E91D7" w14:textId="77777777" w:rsidR="005E000F" w:rsidRDefault="00000000">
          <w:r>
            <w:rPr>
              <w:rFonts w:hint="eastAsia"/>
            </w:rPr>
            <w:t>无</w:t>
          </w:r>
        </w:p>
      </w:sdtContent>
    </w:sdt>
    <w:p w14:paraId="52FDAFBC" w14:textId="77777777" w:rsidR="005E000F" w:rsidRDefault="005E000F"/>
    <w:p w14:paraId="694B95D6" w14:textId="77777777" w:rsidR="005E000F" w:rsidRDefault="00000000">
      <w:pPr>
        <w:pStyle w:val="3"/>
        <w:numPr>
          <w:ilvl w:val="0"/>
          <w:numId w:val="66"/>
        </w:numPr>
        <w:tabs>
          <w:tab w:val="left" w:pos="504"/>
        </w:tabs>
        <w:rPr>
          <w:rFonts w:ascii="宋体" w:hAnsi="宋体"/>
          <w:szCs w:val="21"/>
        </w:rPr>
      </w:pPr>
      <w:bookmarkStart w:id="395" w:name="_Hlk11857276"/>
      <w:bookmarkStart w:id="396" w:name="_Hlk24027658"/>
      <w:bookmarkEnd w:id="395"/>
      <w:r>
        <w:rPr>
          <w:rFonts w:ascii="宋体" w:hAnsi="宋体" w:hint="eastAsia"/>
          <w:szCs w:val="21"/>
        </w:rPr>
        <w:t>投资收益</w:t>
      </w:r>
    </w:p>
    <w:sdt>
      <w:sdtPr>
        <w:alias w:val="是否适用：投资收益[双击切换]"/>
        <w:tag w:val="_GBC_f581223c46c2426aa46b9e88b6b47f4f"/>
        <w:id w:val="-2110654128"/>
        <w:placeholder>
          <w:docPart w:val="GBC22222222222222222222222222222"/>
        </w:placeholder>
      </w:sdtPr>
      <w:sdtContent>
        <w:p w14:paraId="13C02B14"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E416D2A" w14:textId="77777777" w:rsidR="005E000F" w:rsidRDefault="00000000">
      <w:pPr>
        <w:jc w:val="right"/>
        <w:rPr>
          <w:b/>
        </w:rPr>
      </w:pPr>
      <w:bookmarkStart w:id="397" w:name="_Hlk10538462"/>
      <w:r>
        <w:t>单位</w:t>
      </w:r>
      <w:r>
        <w:rPr>
          <w:rFonts w:hint="eastAsia"/>
        </w:rPr>
        <w:t>：</w:t>
      </w:r>
      <w:sdt>
        <w:sdtPr>
          <w:rPr>
            <w:rFonts w:hint="eastAsia"/>
          </w:rPr>
          <w:alias w:val="单位：财务附注：会计报表中的投资收益项目增加"/>
          <w:tag w:val="_GBC_aeb04d73052c442cb4e2c86d75a8fbb5"/>
          <w:id w:val="-5537680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t>币种</w:t>
      </w:r>
      <w:r>
        <w:rPr>
          <w:rFonts w:hint="eastAsia"/>
        </w:rPr>
        <w:t>：</w:t>
      </w:r>
      <w:sdt>
        <w:sdtPr>
          <w:rPr>
            <w:rFonts w:hint="eastAsia"/>
          </w:rPr>
          <w:alias w:val="币种：财务附注：会计报表中的投资收益项目增加"/>
          <w:tag w:val="_GBC_9845e736e0054165b2ee74d48d6dd757"/>
          <w:id w:val="-63773314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692"/>
        <w:gridCol w:w="2703"/>
      </w:tblGrid>
      <w:tr w:rsidR="005E000F" w14:paraId="2C3F65DE" w14:textId="77777777">
        <w:sdt>
          <w:sdtPr>
            <w:tag w:val="_PLD_998e1ec79cfc4df397c6fa0a751f3489"/>
            <w:id w:val="-1636638671"/>
          </w:sdtPr>
          <w:sdtContent>
            <w:tc>
              <w:tcPr>
                <w:tcW w:w="3652" w:type="dxa"/>
                <w:vAlign w:val="center"/>
              </w:tcPr>
              <w:p w14:paraId="3F05C85D" w14:textId="77777777" w:rsidR="005E000F" w:rsidRDefault="00000000">
                <w:pPr>
                  <w:ind w:left="420" w:hanging="420"/>
                  <w:jc w:val="center"/>
                </w:pPr>
                <w:r>
                  <w:rPr>
                    <w:rFonts w:hint="eastAsia"/>
                  </w:rPr>
                  <w:t>项目</w:t>
                </w:r>
              </w:p>
            </w:tc>
          </w:sdtContent>
        </w:sdt>
        <w:sdt>
          <w:sdtPr>
            <w:tag w:val="_PLD_239208f1271348119306f77c15ab0ec0"/>
            <w:id w:val="773900228"/>
          </w:sdtPr>
          <w:sdtContent>
            <w:tc>
              <w:tcPr>
                <w:tcW w:w="2692" w:type="dxa"/>
                <w:vAlign w:val="center"/>
              </w:tcPr>
              <w:p w14:paraId="5BE46509" w14:textId="77777777" w:rsidR="005E000F" w:rsidRDefault="00000000">
                <w:pPr>
                  <w:jc w:val="center"/>
                </w:pPr>
                <w:r>
                  <w:rPr>
                    <w:rFonts w:hint="eastAsia"/>
                  </w:rPr>
                  <w:t>本期发生额</w:t>
                </w:r>
              </w:p>
            </w:tc>
          </w:sdtContent>
        </w:sdt>
        <w:sdt>
          <w:sdtPr>
            <w:tag w:val="_PLD_c548c34a5b7b4e3eb5536d1408d6cc7b"/>
            <w:id w:val="540559949"/>
          </w:sdtPr>
          <w:sdtContent>
            <w:tc>
              <w:tcPr>
                <w:tcW w:w="2703" w:type="dxa"/>
                <w:vAlign w:val="center"/>
              </w:tcPr>
              <w:p w14:paraId="6404EE86" w14:textId="77777777" w:rsidR="005E000F" w:rsidRDefault="00000000">
                <w:pPr>
                  <w:jc w:val="center"/>
                </w:pPr>
                <w:r>
                  <w:rPr>
                    <w:rFonts w:hint="eastAsia"/>
                  </w:rPr>
                  <w:t>上期发生额</w:t>
                </w:r>
              </w:p>
            </w:tc>
          </w:sdtContent>
        </w:sdt>
      </w:tr>
      <w:tr w:rsidR="005E000F" w14:paraId="03F606ED" w14:textId="77777777">
        <w:tc>
          <w:tcPr>
            <w:tcW w:w="3652" w:type="dxa"/>
            <w:vAlign w:val="center"/>
          </w:tcPr>
          <w:p w14:paraId="1733D1AA" w14:textId="77777777" w:rsidR="005E000F" w:rsidRDefault="00000000">
            <w:r>
              <w:rPr>
                <w:rFonts w:hint="eastAsia"/>
              </w:rPr>
              <w:t>权益法核算的长期股权投资收益</w:t>
            </w:r>
          </w:p>
        </w:tc>
        <w:tc>
          <w:tcPr>
            <w:tcW w:w="2692" w:type="dxa"/>
            <w:vAlign w:val="center"/>
          </w:tcPr>
          <w:p w14:paraId="39FF1C55" w14:textId="77777777" w:rsidR="005E000F" w:rsidRDefault="00000000">
            <w:pPr>
              <w:jc w:val="right"/>
            </w:pPr>
            <w:r>
              <w:t>2,737,898,095</w:t>
            </w:r>
          </w:p>
        </w:tc>
        <w:tc>
          <w:tcPr>
            <w:tcW w:w="2703" w:type="dxa"/>
            <w:vAlign w:val="center"/>
          </w:tcPr>
          <w:p w14:paraId="0AEEBDDA" w14:textId="77777777" w:rsidR="005E000F" w:rsidRDefault="00000000">
            <w:pPr>
              <w:jc w:val="right"/>
              <w:rPr>
                <w:lang w:eastAsia="en-US"/>
              </w:rPr>
            </w:pPr>
            <w:r>
              <w:t>2,778,014,235</w:t>
            </w:r>
          </w:p>
        </w:tc>
      </w:tr>
      <w:tr w:rsidR="005E000F" w14:paraId="027E5C6F" w14:textId="77777777">
        <w:tc>
          <w:tcPr>
            <w:tcW w:w="3652" w:type="dxa"/>
            <w:vAlign w:val="center"/>
          </w:tcPr>
          <w:p w14:paraId="10746474" w14:textId="77777777" w:rsidR="005E000F" w:rsidRDefault="00000000">
            <w:r>
              <w:rPr>
                <w:rFonts w:hint="eastAsia"/>
              </w:rPr>
              <w:t>处置长期股权投资产生的投资收益</w:t>
            </w:r>
          </w:p>
        </w:tc>
        <w:tc>
          <w:tcPr>
            <w:tcW w:w="2692" w:type="dxa"/>
            <w:vAlign w:val="center"/>
          </w:tcPr>
          <w:p w14:paraId="5C3E6C03" w14:textId="77777777" w:rsidR="005E000F" w:rsidRDefault="00000000">
            <w:pPr>
              <w:jc w:val="right"/>
            </w:pPr>
            <w:r>
              <w:rPr>
                <w:rFonts w:hint="eastAsia"/>
              </w:rPr>
              <w:t>0</w:t>
            </w:r>
          </w:p>
        </w:tc>
        <w:tc>
          <w:tcPr>
            <w:tcW w:w="2703" w:type="dxa"/>
            <w:vAlign w:val="center"/>
          </w:tcPr>
          <w:p w14:paraId="61C29FEE" w14:textId="77777777" w:rsidR="005E000F" w:rsidRDefault="00000000">
            <w:pPr>
              <w:jc w:val="right"/>
              <w:rPr>
                <w:lang w:eastAsia="en-US"/>
              </w:rPr>
            </w:pPr>
            <w:r>
              <w:t>1,238</w:t>
            </w:r>
          </w:p>
        </w:tc>
      </w:tr>
      <w:tr w:rsidR="005E000F" w14:paraId="10DC35EB" w14:textId="77777777">
        <w:tc>
          <w:tcPr>
            <w:tcW w:w="3652" w:type="dxa"/>
            <w:vAlign w:val="center"/>
          </w:tcPr>
          <w:p w14:paraId="44ACC22D" w14:textId="77777777" w:rsidR="005E000F" w:rsidRDefault="00000000">
            <w:r>
              <w:rPr>
                <w:rFonts w:hint="eastAsia"/>
              </w:rPr>
              <w:t>交易性金融资产在持有期间的投资收益</w:t>
            </w:r>
          </w:p>
        </w:tc>
        <w:tc>
          <w:tcPr>
            <w:tcW w:w="2692" w:type="dxa"/>
            <w:vAlign w:val="center"/>
          </w:tcPr>
          <w:p w14:paraId="32A20680" w14:textId="77777777" w:rsidR="005E000F" w:rsidRDefault="00000000">
            <w:pPr>
              <w:jc w:val="right"/>
            </w:pPr>
            <w:r>
              <w:rPr>
                <w:rFonts w:hint="eastAsia"/>
              </w:rPr>
              <w:t>0</w:t>
            </w:r>
          </w:p>
        </w:tc>
        <w:tc>
          <w:tcPr>
            <w:tcW w:w="2703" w:type="dxa"/>
            <w:vAlign w:val="center"/>
          </w:tcPr>
          <w:p w14:paraId="0CE0384A" w14:textId="77777777" w:rsidR="005E000F" w:rsidRDefault="00000000">
            <w:pPr>
              <w:jc w:val="right"/>
              <w:rPr>
                <w:lang w:eastAsia="en-US"/>
              </w:rPr>
            </w:pPr>
            <w:r>
              <w:t>0</w:t>
            </w:r>
          </w:p>
        </w:tc>
      </w:tr>
      <w:tr w:rsidR="005E000F" w14:paraId="5160B2EE" w14:textId="77777777">
        <w:tc>
          <w:tcPr>
            <w:tcW w:w="3652" w:type="dxa"/>
            <w:vAlign w:val="center"/>
          </w:tcPr>
          <w:p w14:paraId="6B0D3356" w14:textId="77777777" w:rsidR="005E000F" w:rsidRDefault="00000000">
            <w:r>
              <w:rPr>
                <w:rFonts w:hint="eastAsia"/>
              </w:rPr>
              <w:t>其他权益工具投资在持有期间取得的股利收入</w:t>
            </w:r>
          </w:p>
        </w:tc>
        <w:tc>
          <w:tcPr>
            <w:tcW w:w="2692" w:type="dxa"/>
            <w:vAlign w:val="center"/>
          </w:tcPr>
          <w:p w14:paraId="74776892" w14:textId="77777777" w:rsidR="005E000F" w:rsidRDefault="00000000">
            <w:pPr>
              <w:jc w:val="right"/>
            </w:pPr>
            <w:r>
              <w:t>3,633,750</w:t>
            </w:r>
          </w:p>
        </w:tc>
        <w:tc>
          <w:tcPr>
            <w:tcW w:w="2703" w:type="dxa"/>
            <w:vAlign w:val="center"/>
          </w:tcPr>
          <w:p w14:paraId="23F38C79" w14:textId="77777777" w:rsidR="005E000F" w:rsidRDefault="00000000">
            <w:pPr>
              <w:jc w:val="right"/>
              <w:rPr>
                <w:lang w:eastAsia="en-US"/>
              </w:rPr>
            </w:pPr>
            <w:r>
              <w:t>3,548,250</w:t>
            </w:r>
          </w:p>
        </w:tc>
      </w:tr>
      <w:tr w:rsidR="005E000F" w14:paraId="4999A6B3" w14:textId="77777777">
        <w:tc>
          <w:tcPr>
            <w:tcW w:w="3652" w:type="dxa"/>
            <w:vAlign w:val="center"/>
          </w:tcPr>
          <w:p w14:paraId="05BD3E6A" w14:textId="77777777" w:rsidR="005E000F" w:rsidRDefault="00000000">
            <w:r>
              <w:rPr>
                <w:rFonts w:hint="eastAsia"/>
              </w:rPr>
              <w:t>债权投资在持有期间取得的利息收入</w:t>
            </w:r>
          </w:p>
        </w:tc>
        <w:tc>
          <w:tcPr>
            <w:tcW w:w="2692" w:type="dxa"/>
            <w:vAlign w:val="center"/>
          </w:tcPr>
          <w:p w14:paraId="481015D7" w14:textId="77777777" w:rsidR="005E000F" w:rsidRDefault="00000000">
            <w:pPr>
              <w:jc w:val="right"/>
              <w:rPr>
                <w:lang w:eastAsia="en-US"/>
              </w:rPr>
            </w:pPr>
            <w:r>
              <w:t>0</w:t>
            </w:r>
          </w:p>
        </w:tc>
        <w:tc>
          <w:tcPr>
            <w:tcW w:w="2703" w:type="dxa"/>
            <w:vAlign w:val="center"/>
          </w:tcPr>
          <w:p w14:paraId="2C22AED3" w14:textId="77777777" w:rsidR="005E000F" w:rsidRDefault="00000000">
            <w:pPr>
              <w:jc w:val="right"/>
              <w:rPr>
                <w:lang w:eastAsia="en-US"/>
              </w:rPr>
            </w:pPr>
            <w:r>
              <w:t>0</w:t>
            </w:r>
          </w:p>
        </w:tc>
      </w:tr>
      <w:tr w:rsidR="005E000F" w14:paraId="3968F731" w14:textId="77777777">
        <w:tc>
          <w:tcPr>
            <w:tcW w:w="3652" w:type="dxa"/>
            <w:vAlign w:val="center"/>
          </w:tcPr>
          <w:p w14:paraId="269CF6E6" w14:textId="77777777" w:rsidR="005E000F" w:rsidRDefault="00000000">
            <w:r>
              <w:rPr>
                <w:rFonts w:hint="eastAsia"/>
              </w:rPr>
              <w:t>其他债权投资在持有期间取得的利息收入</w:t>
            </w:r>
          </w:p>
        </w:tc>
        <w:tc>
          <w:tcPr>
            <w:tcW w:w="2692" w:type="dxa"/>
            <w:vAlign w:val="center"/>
          </w:tcPr>
          <w:p w14:paraId="6EB88F2C" w14:textId="77777777" w:rsidR="005E000F" w:rsidRDefault="00000000">
            <w:pPr>
              <w:jc w:val="right"/>
              <w:rPr>
                <w:lang w:eastAsia="en-US"/>
              </w:rPr>
            </w:pPr>
            <w:r>
              <w:t>0</w:t>
            </w:r>
          </w:p>
        </w:tc>
        <w:tc>
          <w:tcPr>
            <w:tcW w:w="2703" w:type="dxa"/>
            <w:vAlign w:val="center"/>
          </w:tcPr>
          <w:p w14:paraId="39597EF9" w14:textId="77777777" w:rsidR="005E000F" w:rsidRDefault="00000000">
            <w:pPr>
              <w:jc w:val="right"/>
              <w:rPr>
                <w:lang w:eastAsia="en-US"/>
              </w:rPr>
            </w:pPr>
            <w:r>
              <w:t>0</w:t>
            </w:r>
          </w:p>
        </w:tc>
      </w:tr>
      <w:tr w:rsidR="005E000F" w14:paraId="68FC76B1" w14:textId="77777777">
        <w:tc>
          <w:tcPr>
            <w:tcW w:w="3652" w:type="dxa"/>
            <w:vAlign w:val="center"/>
          </w:tcPr>
          <w:p w14:paraId="0ADFD963" w14:textId="77777777" w:rsidR="005E000F" w:rsidRDefault="00000000">
            <w:r>
              <w:rPr>
                <w:rFonts w:hint="eastAsia"/>
              </w:rPr>
              <w:t>处置交易性金融资产取得的投资收益</w:t>
            </w:r>
          </w:p>
        </w:tc>
        <w:tc>
          <w:tcPr>
            <w:tcW w:w="2692" w:type="dxa"/>
            <w:vAlign w:val="center"/>
          </w:tcPr>
          <w:p w14:paraId="48A3627D" w14:textId="77777777" w:rsidR="005E000F" w:rsidRDefault="00000000">
            <w:pPr>
              <w:jc w:val="right"/>
              <w:rPr>
                <w:lang w:eastAsia="en-US"/>
              </w:rPr>
            </w:pPr>
            <w:r>
              <w:t>0</w:t>
            </w:r>
          </w:p>
        </w:tc>
        <w:tc>
          <w:tcPr>
            <w:tcW w:w="2703" w:type="dxa"/>
            <w:vAlign w:val="center"/>
          </w:tcPr>
          <w:p w14:paraId="3F061FBD" w14:textId="77777777" w:rsidR="005E000F" w:rsidRDefault="00000000">
            <w:pPr>
              <w:jc w:val="right"/>
              <w:rPr>
                <w:lang w:eastAsia="en-US"/>
              </w:rPr>
            </w:pPr>
            <w:r>
              <w:t>0</w:t>
            </w:r>
          </w:p>
        </w:tc>
      </w:tr>
      <w:tr w:rsidR="005E000F" w14:paraId="139899A0" w14:textId="77777777">
        <w:tc>
          <w:tcPr>
            <w:tcW w:w="3652" w:type="dxa"/>
            <w:vAlign w:val="center"/>
          </w:tcPr>
          <w:p w14:paraId="386246C2" w14:textId="77777777" w:rsidR="005E000F" w:rsidRDefault="00000000">
            <w:r>
              <w:rPr>
                <w:rFonts w:hint="eastAsia"/>
              </w:rPr>
              <w:t>处置其他权益工具投资取得的投资收益</w:t>
            </w:r>
          </w:p>
        </w:tc>
        <w:tc>
          <w:tcPr>
            <w:tcW w:w="2692" w:type="dxa"/>
            <w:vAlign w:val="center"/>
          </w:tcPr>
          <w:p w14:paraId="2D414DE1" w14:textId="77777777" w:rsidR="005E000F" w:rsidRDefault="00000000">
            <w:pPr>
              <w:jc w:val="right"/>
              <w:rPr>
                <w:lang w:eastAsia="en-US"/>
              </w:rPr>
            </w:pPr>
            <w:r>
              <w:t>0</w:t>
            </w:r>
          </w:p>
        </w:tc>
        <w:tc>
          <w:tcPr>
            <w:tcW w:w="2703" w:type="dxa"/>
            <w:vAlign w:val="center"/>
          </w:tcPr>
          <w:p w14:paraId="3D557C91" w14:textId="77777777" w:rsidR="005E000F" w:rsidRDefault="00000000">
            <w:pPr>
              <w:jc w:val="right"/>
              <w:rPr>
                <w:lang w:eastAsia="en-US"/>
              </w:rPr>
            </w:pPr>
            <w:r>
              <w:t>0</w:t>
            </w:r>
          </w:p>
        </w:tc>
      </w:tr>
      <w:tr w:rsidR="005E000F" w14:paraId="59371084" w14:textId="77777777">
        <w:tc>
          <w:tcPr>
            <w:tcW w:w="3652" w:type="dxa"/>
            <w:vAlign w:val="center"/>
          </w:tcPr>
          <w:p w14:paraId="604A4585" w14:textId="77777777" w:rsidR="005E000F" w:rsidRDefault="00000000">
            <w:r>
              <w:rPr>
                <w:rFonts w:hint="eastAsia"/>
              </w:rPr>
              <w:t>处置债权投资取得的投资收益</w:t>
            </w:r>
          </w:p>
        </w:tc>
        <w:tc>
          <w:tcPr>
            <w:tcW w:w="2692" w:type="dxa"/>
            <w:vAlign w:val="center"/>
          </w:tcPr>
          <w:p w14:paraId="1C59FA93" w14:textId="77777777" w:rsidR="005E000F" w:rsidRDefault="00000000">
            <w:pPr>
              <w:jc w:val="right"/>
              <w:rPr>
                <w:lang w:eastAsia="en-US"/>
              </w:rPr>
            </w:pPr>
            <w:r>
              <w:t>0</w:t>
            </w:r>
          </w:p>
        </w:tc>
        <w:tc>
          <w:tcPr>
            <w:tcW w:w="2703" w:type="dxa"/>
            <w:vAlign w:val="center"/>
          </w:tcPr>
          <w:p w14:paraId="42EEAB86" w14:textId="77777777" w:rsidR="005E000F" w:rsidRDefault="00000000">
            <w:pPr>
              <w:jc w:val="right"/>
              <w:rPr>
                <w:lang w:eastAsia="en-US"/>
              </w:rPr>
            </w:pPr>
            <w:r>
              <w:t>0</w:t>
            </w:r>
          </w:p>
        </w:tc>
      </w:tr>
      <w:tr w:rsidR="005E000F" w14:paraId="10F8820B" w14:textId="77777777">
        <w:tc>
          <w:tcPr>
            <w:tcW w:w="3652" w:type="dxa"/>
            <w:vAlign w:val="center"/>
          </w:tcPr>
          <w:p w14:paraId="308173D1" w14:textId="77777777" w:rsidR="005E000F" w:rsidRDefault="00000000">
            <w:r>
              <w:rPr>
                <w:rFonts w:hint="eastAsia"/>
              </w:rPr>
              <w:t>处置其他债权投资取得的投资收益</w:t>
            </w:r>
          </w:p>
        </w:tc>
        <w:tc>
          <w:tcPr>
            <w:tcW w:w="2692" w:type="dxa"/>
            <w:vAlign w:val="center"/>
          </w:tcPr>
          <w:p w14:paraId="7144E6EC" w14:textId="77777777" w:rsidR="005E000F" w:rsidRDefault="00000000">
            <w:pPr>
              <w:jc w:val="right"/>
              <w:rPr>
                <w:lang w:eastAsia="en-US"/>
              </w:rPr>
            </w:pPr>
            <w:r>
              <w:t>0</w:t>
            </w:r>
          </w:p>
        </w:tc>
        <w:tc>
          <w:tcPr>
            <w:tcW w:w="2703" w:type="dxa"/>
            <w:vAlign w:val="center"/>
          </w:tcPr>
          <w:p w14:paraId="7B5BEF4E" w14:textId="77777777" w:rsidR="005E000F" w:rsidRDefault="00000000">
            <w:pPr>
              <w:jc w:val="right"/>
              <w:rPr>
                <w:lang w:eastAsia="en-US"/>
              </w:rPr>
            </w:pPr>
            <w:r>
              <w:t>0</w:t>
            </w:r>
          </w:p>
        </w:tc>
      </w:tr>
      <w:tr w:rsidR="005E000F" w14:paraId="1D1FB530" w14:textId="77777777">
        <w:tc>
          <w:tcPr>
            <w:tcW w:w="3652" w:type="dxa"/>
            <w:vAlign w:val="center"/>
          </w:tcPr>
          <w:p w14:paraId="28A19978" w14:textId="77777777" w:rsidR="005E000F" w:rsidRDefault="00000000">
            <w:r>
              <w:rPr>
                <w:rFonts w:hint="eastAsia"/>
              </w:rPr>
              <w:t>债务重组收益</w:t>
            </w:r>
          </w:p>
        </w:tc>
        <w:tc>
          <w:tcPr>
            <w:tcW w:w="2692" w:type="dxa"/>
            <w:vAlign w:val="center"/>
          </w:tcPr>
          <w:p w14:paraId="5A895048" w14:textId="77777777" w:rsidR="005E000F" w:rsidRDefault="00000000">
            <w:pPr>
              <w:jc w:val="right"/>
              <w:rPr>
                <w:lang w:eastAsia="en-US"/>
              </w:rPr>
            </w:pPr>
            <w:r>
              <w:t>0</w:t>
            </w:r>
          </w:p>
        </w:tc>
        <w:tc>
          <w:tcPr>
            <w:tcW w:w="2703" w:type="dxa"/>
            <w:vAlign w:val="center"/>
          </w:tcPr>
          <w:p w14:paraId="60D9C321" w14:textId="77777777" w:rsidR="005E000F" w:rsidRDefault="00000000">
            <w:pPr>
              <w:jc w:val="right"/>
              <w:rPr>
                <w:lang w:eastAsia="en-US"/>
              </w:rPr>
            </w:pPr>
            <w:r>
              <w:t>0</w:t>
            </w:r>
          </w:p>
        </w:tc>
      </w:tr>
      <w:tr w:rsidR="005E000F" w14:paraId="1E19A72F" w14:textId="77777777">
        <w:tc>
          <w:tcPr>
            <w:tcW w:w="3652" w:type="dxa"/>
            <w:vAlign w:val="center"/>
          </w:tcPr>
          <w:p w14:paraId="6476B100" w14:textId="77777777" w:rsidR="005E000F" w:rsidRDefault="00000000">
            <w:r>
              <w:rPr>
                <w:rFonts w:hint="eastAsia"/>
              </w:rPr>
              <w:t>其他</w:t>
            </w:r>
          </w:p>
        </w:tc>
        <w:tc>
          <w:tcPr>
            <w:tcW w:w="2692" w:type="dxa"/>
            <w:vAlign w:val="center"/>
          </w:tcPr>
          <w:p w14:paraId="3871408A" w14:textId="77777777" w:rsidR="005E000F" w:rsidRDefault="00000000">
            <w:pPr>
              <w:jc w:val="right"/>
              <w:rPr>
                <w:lang w:eastAsia="en-US"/>
              </w:rPr>
            </w:pPr>
            <w:r>
              <w:t>0</w:t>
            </w:r>
          </w:p>
        </w:tc>
        <w:tc>
          <w:tcPr>
            <w:tcW w:w="2703" w:type="dxa"/>
            <w:vAlign w:val="center"/>
          </w:tcPr>
          <w:p w14:paraId="6BC5CB6B" w14:textId="77777777" w:rsidR="005E000F" w:rsidRDefault="00000000">
            <w:pPr>
              <w:jc w:val="right"/>
              <w:rPr>
                <w:lang w:eastAsia="en-US"/>
              </w:rPr>
            </w:pPr>
            <w:r>
              <w:t>0</w:t>
            </w:r>
          </w:p>
        </w:tc>
      </w:tr>
      <w:tr w:rsidR="005E000F" w14:paraId="08EEF839" w14:textId="77777777">
        <w:tc>
          <w:tcPr>
            <w:tcW w:w="3652" w:type="dxa"/>
            <w:vAlign w:val="center"/>
          </w:tcPr>
          <w:p w14:paraId="592F6B59" w14:textId="77777777" w:rsidR="005E000F" w:rsidRDefault="00000000">
            <w:pPr>
              <w:jc w:val="center"/>
            </w:pPr>
            <w:r>
              <w:rPr>
                <w:rFonts w:hint="eastAsia"/>
              </w:rPr>
              <w:t>合计</w:t>
            </w:r>
          </w:p>
        </w:tc>
        <w:tc>
          <w:tcPr>
            <w:tcW w:w="2692" w:type="dxa"/>
            <w:vAlign w:val="center"/>
          </w:tcPr>
          <w:p w14:paraId="0B3614CB" w14:textId="77777777" w:rsidR="005E000F" w:rsidRDefault="00000000">
            <w:pPr>
              <w:jc w:val="right"/>
            </w:pPr>
            <w:r>
              <w:t>2,741,531,845</w:t>
            </w:r>
          </w:p>
        </w:tc>
        <w:tc>
          <w:tcPr>
            <w:tcW w:w="2703" w:type="dxa"/>
            <w:vAlign w:val="center"/>
          </w:tcPr>
          <w:p w14:paraId="34C872F5" w14:textId="77777777" w:rsidR="005E000F" w:rsidRDefault="00000000">
            <w:pPr>
              <w:jc w:val="right"/>
              <w:rPr>
                <w:lang w:eastAsia="en-US"/>
              </w:rPr>
            </w:pPr>
            <w:r>
              <w:t>2,781,563,723</w:t>
            </w:r>
          </w:p>
        </w:tc>
      </w:tr>
    </w:tbl>
    <w:bookmarkEnd w:id="397"/>
    <w:p w14:paraId="52B566AB" w14:textId="77777777" w:rsidR="005E000F" w:rsidRDefault="00000000">
      <w:pPr>
        <w:spacing w:before="60" w:after="60" w:line="360" w:lineRule="exact"/>
      </w:pPr>
      <w:r>
        <w:rPr>
          <w:rFonts w:hint="eastAsia"/>
        </w:rPr>
        <w:t>其他说明：</w:t>
      </w:r>
    </w:p>
    <w:sdt>
      <w:sdtPr>
        <w:rPr>
          <w:rFonts w:hint="eastAsia"/>
        </w:rPr>
        <w:alias w:val="投资收益说明"/>
        <w:tag w:val="_GBC_4461c08be8cf4739a76957c4ebbfc521"/>
        <w:id w:val="-914932736"/>
        <w:placeholder>
          <w:docPart w:val="GBC22222222222222222222222222222"/>
        </w:placeholder>
      </w:sdtPr>
      <w:sdtContent>
        <w:p w14:paraId="14307E4C" w14:textId="77777777" w:rsidR="005E000F" w:rsidRDefault="00000000">
          <w:pPr>
            <w:autoSpaceDE w:val="0"/>
            <w:autoSpaceDN w:val="0"/>
            <w:adjustRightInd w:val="0"/>
          </w:pPr>
          <w:r>
            <w:rPr>
              <w:rFonts w:hint="eastAsia"/>
            </w:rPr>
            <w:t>无</w:t>
          </w:r>
        </w:p>
      </w:sdtContent>
    </w:sdt>
    <w:p w14:paraId="2369EAB9" w14:textId="77777777" w:rsidR="005E000F" w:rsidRDefault="005E000F">
      <w:pPr>
        <w:autoSpaceDE w:val="0"/>
        <w:autoSpaceDN w:val="0"/>
        <w:adjustRightInd w:val="0"/>
      </w:pPr>
    </w:p>
    <w:bookmarkEnd w:id="396"/>
    <w:p w14:paraId="315E8F21" w14:textId="77777777" w:rsidR="005E000F" w:rsidRDefault="00000000">
      <w:pPr>
        <w:pStyle w:val="3"/>
        <w:numPr>
          <w:ilvl w:val="0"/>
          <w:numId w:val="66"/>
        </w:numPr>
        <w:tabs>
          <w:tab w:val="left" w:pos="504"/>
        </w:tabs>
        <w:rPr>
          <w:szCs w:val="21"/>
        </w:rPr>
      </w:pPr>
      <w:r>
        <w:rPr>
          <w:rFonts w:hint="eastAsia"/>
          <w:szCs w:val="21"/>
        </w:rPr>
        <w:t>净敞口套期收益</w:t>
      </w:r>
    </w:p>
    <w:sdt>
      <w:sdtPr>
        <w:alias w:val="是否适用：净敞口套期收益[双击切换]"/>
        <w:tag w:val="_GBC_0b9c0635e78547e1b23b27daf08672cd"/>
        <w:id w:val="726646229"/>
        <w:placeholder>
          <w:docPart w:val="GBC22222222222222222222222222222"/>
        </w:placeholder>
      </w:sdtPr>
      <w:sdtContent>
        <w:p w14:paraId="13A5A94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55AC1EF" w14:textId="77777777" w:rsidR="005E000F" w:rsidRDefault="005E000F">
      <w:pPr>
        <w:autoSpaceDE w:val="0"/>
        <w:autoSpaceDN w:val="0"/>
        <w:adjustRightInd w:val="0"/>
      </w:pPr>
    </w:p>
    <w:p w14:paraId="15CEC4D2" w14:textId="77777777" w:rsidR="005E000F" w:rsidRDefault="005E000F">
      <w:pPr>
        <w:autoSpaceDE w:val="0"/>
        <w:autoSpaceDN w:val="0"/>
        <w:adjustRightInd w:val="0"/>
      </w:pPr>
    </w:p>
    <w:p w14:paraId="38615B58" w14:textId="77777777" w:rsidR="005E000F" w:rsidRDefault="00000000">
      <w:pPr>
        <w:pStyle w:val="3"/>
        <w:numPr>
          <w:ilvl w:val="0"/>
          <w:numId w:val="66"/>
        </w:numPr>
        <w:tabs>
          <w:tab w:val="left" w:pos="504"/>
        </w:tabs>
        <w:rPr>
          <w:rFonts w:ascii="宋体" w:hAnsi="宋体"/>
          <w:szCs w:val="21"/>
        </w:rPr>
      </w:pPr>
      <w:bookmarkStart w:id="398" w:name="_Hlk534895224"/>
      <w:r>
        <w:rPr>
          <w:rFonts w:ascii="宋体" w:hAnsi="宋体" w:hint="eastAsia"/>
          <w:szCs w:val="21"/>
        </w:rPr>
        <w:lastRenderedPageBreak/>
        <w:t>公允价值变动收益</w:t>
      </w:r>
    </w:p>
    <w:sdt>
      <w:sdtPr>
        <w:alias w:val="是否适用：公允价值变动收益[双击切换]"/>
        <w:tag w:val="_GBC_703e46a239ba45afa37afdd4dcae0cb4"/>
        <w:id w:val="-685215052"/>
        <w:placeholder>
          <w:docPart w:val="GBC22222222222222222222222222222"/>
        </w:placeholder>
      </w:sdtPr>
      <w:sdtContent>
        <w:p w14:paraId="09FA1B8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AFE0A37" w14:textId="77777777" w:rsidR="005E000F" w:rsidRDefault="005E000F"/>
    <w:p w14:paraId="5EDABE77" w14:textId="77777777" w:rsidR="005E000F" w:rsidRDefault="005E000F">
      <w:pPr>
        <w:rPr>
          <w:rFonts w:cstheme="minorBidi"/>
          <w:kern w:val="2"/>
        </w:rPr>
      </w:pPr>
    </w:p>
    <w:bookmarkEnd w:id="398"/>
    <w:p w14:paraId="08C9B6F2" w14:textId="77777777" w:rsidR="005E000F" w:rsidRDefault="00000000">
      <w:pPr>
        <w:pStyle w:val="3"/>
        <w:numPr>
          <w:ilvl w:val="0"/>
          <w:numId w:val="66"/>
        </w:numPr>
        <w:tabs>
          <w:tab w:val="left" w:pos="504"/>
        </w:tabs>
      </w:pPr>
      <w:r>
        <w:rPr>
          <w:rFonts w:hint="eastAsia"/>
        </w:rPr>
        <w:t>信用减值损失</w:t>
      </w:r>
    </w:p>
    <w:sdt>
      <w:sdtPr>
        <w:alias w:val="是否适用：信用减值损失[双击切换]"/>
        <w:tag w:val="_GBC_3e1c9d9dad6c4530991d2befd4b098e3"/>
        <w:id w:val="-1313401119"/>
        <w:placeholder>
          <w:docPart w:val="GBC22222222222222222222222222222"/>
        </w:placeholder>
      </w:sdtPr>
      <w:sdtContent>
        <w:p w14:paraId="3D7C21F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E305946" w14:textId="77777777" w:rsidR="005E000F" w:rsidRDefault="00000000">
      <w:pPr>
        <w:pStyle w:val="aff8"/>
        <w:ind w:left="420" w:firstLineChars="0" w:firstLine="0"/>
        <w:jc w:val="right"/>
      </w:pPr>
      <w:r>
        <w:rPr>
          <w:rFonts w:hint="eastAsia"/>
        </w:rPr>
        <w:t>单位：</w:t>
      </w:r>
      <w:sdt>
        <w:sdtPr>
          <w:rPr>
            <w:rFonts w:hint="eastAsia"/>
          </w:rPr>
          <w:alias w:val="单位：信用减值损失"/>
          <w:tag w:val="_GBC_64c0f12c02d44b548838a6936d90e525"/>
          <w:id w:val="-7228903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信用减值损失"/>
          <w:tag w:val="_GBC_4d6a964234bf4666a052d68fb8b9d060"/>
          <w:id w:val="213367608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0"/>
        <w:gridCol w:w="2687"/>
        <w:gridCol w:w="2711"/>
      </w:tblGrid>
      <w:tr w:rsidR="005E000F" w14:paraId="5A051AF0" w14:textId="77777777">
        <w:sdt>
          <w:sdtPr>
            <w:tag w:val="_PLD_32efbc222fba4f8b87e71fbd7550f57d"/>
            <w:id w:val="-44302402"/>
          </w:sdtPr>
          <w:sdtContent>
            <w:tc>
              <w:tcPr>
                <w:tcW w:w="3650" w:type="dxa"/>
                <w:vAlign w:val="center"/>
              </w:tcPr>
              <w:p w14:paraId="7FDDAA04" w14:textId="77777777" w:rsidR="005E000F" w:rsidRDefault="00000000">
                <w:pPr>
                  <w:jc w:val="center"/>
                </w:pPr>
                <w:r>
                  <w:rPr>
                    <w:rFonts w:hint="eastAsia"/>
                  </w:rPr>
                  <w:t>项目</w:t>
                </w:r>
              </w:p>
            </w:tc>
          </w:sdtContent>
        </w:sdt>
        <w:sdt>
          <w:sdtPr>
            <w:tag w:val="_PLD_57fc93ac35684eca9207e23d2b2d6664"/>
            <w:id w:val="-1981141341"/>
          </w:sdtPr>
          <w:sdtContent>
            <w:tc>
              <w:tcPr>
                <w:tcW w:w="2687" w:type="dxa"/>
                <w:vAlign w:val="center"/>
              </w:tcPr>
              <w:p w14:paraId="75D0689D" w14:textId="77777777" w:rsidR="005E000F" w:rsidRDefault="00000000">
                <w:pPr>
                  <w:jc w:val="center"/>
                </w:pPr>
                <w:r>
                  <w:rPr>
                    <w:rFonts w:hint="eastAsia"/>
                  </w:rPr>
                  <w:t>本期发生额</w:t>
                </w:r>
              </w:p>
            </w:tc>
          </w:sdtContent>
        </w:sdt>
        <w:sdt>
          <w:sdtPr>
            <w:tag w:val="_PLD_ddb6bc4a58314fb2abbbb04ed4af2419"/>
            <w:id w:val="1825307556"/>
          </w:sdtPr>
          <w:sdtContent>
            <w:tc>
              <w:tcPr>
                <w:tcW w:w="2711" w:type="dxa"/>
                <w:vAlign w:val="center"/>
              </w:tcPr>
              <w:p w14:paraId="574A5754" w14:textId="77777777" w:rsidR="005E000F" w:rsidRDefault="00000000">
                <w:pPr>
                  <w:jc w:val="center"/>
                </w:pPr>
                <w:r>
                  <w:rPr>
                    <w:rFonts w:hint="eastAsia"/>
                  </w:rPr>
                  <w:t>上期发生额</w:t>
                </w:r>
              </w:p>
            </w:tc>
          </w:sdtContent>
        </w:sdt>
      </w:tr>
      <w:tr w:rsidR="005E000F" w14:paraId="29932DBE" w14:textId="77777777">
        <w:tc>
          <w:tcPr>
            <w:tcW w:w="3650" w:type="dxa"/>
            <w:vAlign w:val="center"/>
          </w:tcPr>
          <w:p w14:paraId="10E758D5" w14:textId="77777777" w:rsidR="005E000F" w:rsidRDefault="00000000">
            <w:r>
              <w:rPr>
                <w:rFonts w:hint="eastAsia"/>
              </w:rPr>
              <w:t>应收票据坏账损失</w:t>
            </w:r>
          </w:p>
        </w:tc>
        <w:tc>
          <w:tcPr>
            <w:tcW w:w="2687" w:type="dxa"/>
            <w:vAlign w:val="center"/>
          </w:tcPr>
          <w:p w14:paraId="1647AF95" w14:textId="77777777" w:rsidR="005E000F" w:rsidRDefault="00000000">
            <w:pPr>
              <w:jc w:val="right"/>
            </w:pPr>
            <w:r>
              <w:rPr>
                <w:rFonts w:hint="eastAsia"/>
              </w:rPr>
              <w:t>0</w:t>
            </w:r>
          </w:p>
        </w:tc>
        <w:tc>
          <w:tcPr>
            <w:tcW w:w="2711" w:type="dxa"/>
          </w:tcPr>
          <w:p w14:paraId="5727B68D" w14:textId="77777777" w:rsidR="005E000F" w:rsidRDefault="00000000">
            <w:pPr>
              <w:jc w:val="right"/>
              <w:rPr>
                <w:lang w:eastAsia="en-US"/>
              </w:rPr>
            </w:pPr>
            <w:r>
              <w:t>0</w:t>
            </w:r>
          </w:p>
        </w:tc>
      </w:tr>
      <w:tr w:rsidR="005E000F" w14:paraId="0FE9669B" w14:textId="77777777">
        <w:tc>
          <w:tcPr>
            <w:tcW w:w="3650" w:type="dxa"/>
            <w:vAlign w:val="center"/>
          </w:tcPr>
          <w:p w14:paraId="0E4EA8CB" w14:textId="77777777" w:rsidR="005E000F" w:rsidRDefault="00000000">
            <w:r>
              <w:rPr>
                <w:rFonts w:hint="eastAsia"/>
              </w:rPr>
              <w:t>应收账款坏账损失</w:t>
            </w:r>
          </w:p>
        </w:tc>
        <w:tc>
          <w:tcPr>
            <w:tcW w:w="2687" w:type="dxa"/>
            <w:vAlign w:val="center"/>
          </w:tcPr>
          <w:p w14:paraId="7AAE3442" w14:textId="77777777" w:rsidR="005E000F" w:rsidRDefault="00000000">
            <w:pPr>
              <w:jc w:val="right"/>
            </w:pPr>
            <w:r>
              <w:t>53,472,519</w:t>
            </w:r>
          </w:p>
        </w:tc>
        <w:tc>
          <w:tcPr>
            <w:tcW w:w="2711" w:type="dxa"/>
          </w:tcPr>
          <w:p w14:paraId="0817B0E1" w14:textId="77777777" w:rsidR="005E000F" w:rsidRDefault="00000000">
            <w:pPr>
              <w:jc w:val="right"/>
              <w:rPr>
                <w:lang w:eastAsia="en-US"/>
              </w:rPr>
            </w:pPr>
            <w:r>
              <w:t>52,504,162</w:t>
            </w:r>
          </w:p>
        </w:tc>
      </w:tr>
      <w:tr w:rsidR="005E000F" w14:paraId="1B6AC7B1" w14:textId="77777777">
        <w:tc>
          <w:tcPr>
            <w:tcW w:w="3650" w:type="dxa"/>
            <w:vAlign w:val="center"/>
          </w:tcPr>
          <w:p w14:paraId="08120B00" w14:textId="77777777" w:rsidR="005E000F" w:rsidRDefault="00000000">
            <w:r>
              <w:rPr>
                <w:rFonts w:hint="eastAsia"/>
              </w:rPr>
              <w:t>其他应收款坏账损失</w:t>
            </w:r>
          </w:p>
        </w:tc>
        <w:tc>
          <w:tcPr>
            <w:tcW w:w="2687" w:type="dxa"/>
            <w:vAlign w:val="center"/>
          </w:tcPr>
          <w:p w14:paraId="373CA570" w14:textId="77777777" w:rsidR="005E000F" w:rsidRDefault="00000000">
            <w:pPr>
              <w:jc w:val="right"/>
            </w:pPr>
            <w:r>
              <w:rPr>
                <w:rFonts w:hint="eastAsia"/>
              </w:rPr>
              <w:t>-</w:t>
            </w:r>
            <w:r>
              <w:t>222,716</w:t>
            </w:r>
          </w:p>
        </w:tc>
        <w:tc>
          <w:tcPr>
            <w:tcW w:w="2711" w:type="dxa"/>
          </w:tcPr>
          <w:p w14:paraId="2CA39A7F" w14:textId="77777777" w:rsidR="005E000F" w:rsidRDefault="00000000">
            <w:pPr>
              <w:jc w:val="right"/>
              <w:rPr>
                <w:lang w:eastAsia="en-US"/>
              </w:rPr>
            </w:pPr>
            <w:r>
              <w:rPr>
                <w:rFonts w:hint="eastAsia"/>
              </w:rPr>
              <w:t>-</w:t>
            </w:r>
            <w:r>
              <w:t>666,958</w:t>
            </w:r>
          </w:p>
        </w:tc>
      </w:tr>
      <w:tr w:rsidR="005E000F" w14:paraId="2B0AFB49" w14:textId="77777777">
        <w:tc>
          <w:tcPr>
            <w:tcW w:w="3650" w:type="dxa"/>
            <w:vAlign w:val="center"/>
          </w:tcPr>
          <w:p w14:paraId="6A7B84B3" w14:textId="77777777" w:rsidR="005E000F" w:rsidRDefault="00000000">
            <w:r>
              <w:rPr>
                <w:rFonts w:hint="eastAsia"/>
              </w:rPr>
              <w:t>债权投资减值损失</w:t>
            </w:r>
          </w:p>
        </w:tc>
        <w:tc>
          <w:tcPr>
            <w:tcW w:w="2687" w:type="dxa"/>
          </w:tcPr>
          <w:p w14:paraId="1F9EB819" w14:textId="77777777" w:rsidR="005E000F" w:rsidRDefault="00000000">
            <w:pPr>
              <w:jc w:val="right"/>
              <w:rPr>
                <w:lang w:eastAsia="en-US"/>
              </w:rPr>
            </w:pPr>
            <w:r>
              <w:t>0</w:t>
            </w:r>
          </w:p>
        </w:tc>
        <w:tc>
          <w:tcPr>
            <w:tcW w:w="2711" w:type="dxa"/>
          </w:tcPr>
          <w:p w14:paraId="27094E3B" w14:textId="77777777" w:rsidR="005E000F" w:rsidRDefault="00000000">
            <w:pPr>
              <w:jc w:val="right"/>
              <w:rPr>
                <w:lang w:eastAsia="en-US"/>
              </w:rPr>
            </w:pPr>
            <w:r>
              <w:t>0</w:t>
            </w:r>
          </w:p>
        </w:tc>
      </w:tr>
      <w:tr w:rsidR="005E000F" w14:paraId="2B7BCDCF" w14:textId="77777777">
        <w:tc>
          <w:tcPr>
            <w:tcW w:w="3650" w:type="dxa"/>
            <w:vAlign w:val="center"/>
          </w:tcPr>
          <w:p w14:paraId="5F56EECB" w14:textId="77777777" w:rsidR="005E000F" w:rsidRDefault="00000000">
            <w:r>
              <w:rPr>
                <w:rFonts w:hint="eastAsia"/>
              </w:rPr>
              <w:t>其他债权投资减值损失</w:t>
            </w:r>
          </w:p>
        </w:tc>
        <w:tc>
          <w:tcPr>
            <w:tcW w:w="2687" w:type="dxa"/>
          </w:tcPr>
          <w:p w14:paraId="2513C255" w14:textId="77777777" w:rsidR="005E000F" w:rsidRDefault="00000000">
            <w:pPr>
              <w:jc w:val="right"/>
              <w:rPr>
                <w:lang w:eastAsia="en-US"/>
              </w:rPr>
            </w:pPr>
            <w:r>
              <w:t>0</w:t>
            </w:r>
          </w:p>
        </w:tc>
        <w:tc>
          <w:tcPr>
            <w:tcW w:w="2711" w:type="dxa"/>
          </w:tcPr>
          <w:p w14:paraId="0212EF87" w14:textId="77777777" w:rsidR="005E000F" w:rsidRDefault="00000000">
            <w:pPr>
              <w:jc w:val="right"/>
              <w:rPr>
                <w:lang w:eastAsia="en-US"/>
              </w:rPr>
            </w:pPr>
            <w:r>
              <w:t>0</w:t>
            </w:r>
          </w:p>
        </w:tc>
      </w:tr>
      <w:tr w:rsidR="005E000F" w14:paraId="53D4C44E" w14:textId="77777777">
        <w:tc>
          <w:tcPr>
            <w:tcW w:w="3650" w:type="dxa"/>
            <w:vAlign w:val="center"/>
          </w:tcPr>
          <w:p w14:paraId="479347C8" w14:textId="77777777" w:rsidR="005E000F" w:rsidRDefault="00000000">
            <w:r>
              <w:rPr>
                <w:rFonts w:hint="eastAsia"/>
              </w:rPr>
              <w:t>长期应收款坏账损失</w:t>
            </w:r>
          </w:p>
        </w:tc>
        <w:tc>
          <w:tcPr>
            <w:tcW w:w="2687" w:type="dxa"/>
          </w:tcPr>
          <w:p w14:paraId="78359C5E" w14:textId="77777777" w:rsidR="005E000F" w:rsidRDefault="00000000">
            <w:pPr>
              <w:jc w:val="right"/>
              <w:rPr>
                <w:lang w:eastAsia="en-US"/>
              </w:rPr>
            </w:pPr>
            <w:r>
              <w:t>0</w:t>
            </w:r>
          </w:p>
        </w:tc>
        <w:tc>
          <w:tcPr>
            <w:tcW w:w="2711" w:type="dxa"/>
          </w:tcPr>
          <w:p w14:paraId="3BBCC4C0" w14:textId="77777777" w:rsidR="005E000F" w:rsidRDefault="00000000">
            <w:pPr>
              <w:jc w:val="right"/>
              <w:rPr>
                <w:lang w:eastAsia="en-US"/>
              </w:rPr>
            </w:pPr>
            <w:r>
              <w:t>0</w:t>
            </w:r>
          </w:p>
        </w:tc>
      </w:tr>
      <w:tr w:rsidR="005E000F" w14:paraId="506B2EB3" w14:textId="77777777">
        <w:tc>
          <w:tcPr>
            <w:tcW w:w="3650" w:type="dxa"/>
            <w:vAlign w:val="center"/>
          </w:tcPr>
          <w:p w14:paraId="247BB3E9" w14:textId="77777777" w:rsidR="005E000F" w:rsidRDefault="00000000">
            <w:r>
              <w:rPr>
                <w:rFonts w:hint="eastAsia"/>
              </w:rPr>
              <w:t>合同资产减值损失</w:t>
            </w:r>
          </w:p>
        </w:tc>
        <w:tc>
          <w:tcPr>
            <w:tcW w:w="2687" w:type="dxa"/>
          </w:tcPr>
          <w:p w14:paraId="38B1C7BD" w14:textId="77777777" w:rsidR="005E000F" w:rsidRDefault="00000000">
            <w:pPr>
              <w:jc w:val="right"/>
              <w:rPr>
                <w:lang w:eastAsia="en-US"/>
              </w:rPr>
            </w:pPr>
            <w:r>
              <w:t>0</w:t>
            </w:r>
          </w:p>
        </w:tc>
        <w:tc>
          <w:tcPr>
            <w:tcW w:w="2711" w:type="dxa"/>
          </w:tcPr>
          <w:p w14:paraId="17486C30" w14:textId="77777777" w:rsidR="005E000F" w:rsidRDefault="00000000">
            <w:pPr>
              <w:jc w:val="right"/>
              <w:rPr>
                <w:lang w:eastAsia="en-US"/>
              </w:rPr>
            </w:pPr>
            <w:r>
              <w:t>0</w:t>
            </w:r>
          </w:p>
        </w:tc>
      </w:tr>
      <w:tr w:rsidR="005E000F" w14:paraId="27E31FA2" w14:textId="77777777">
        <w:tc>
          <w:tcPr>
            <w:tcW w:w="3650" w:type="dxa"/>
            <w:vAlign w:val="center"/>
          </w:tcPr>
          <w:p w14:paraId="3AEB6AE2" w14:textId="77777777" w:rsidR="005E000F" w:rsidRDefault="00000000">
            <w:pPr>
              <w:jc w:val="center"/>
            </w:pPr>
            <w:r>
              <w:rPr>
                <w:rFonts w:hint="eastAsia"/>
              </w:rPr>
              <w:t>合计</w:t>
            </w:r>
          </w:p>
        </w:tc>
        <w:tc>
          <w:tcPr>
            <w:tcW w:w="2687" w:type="dxa"/>
            <w:vAlign w:val="center"/>
          </w:tcPr>
          <w:p w14:paraId="7470427B" w14:textId="77777777" w:rsidR="005E000F" w:rsidRDefault="00000000">
            <w:pPr>
              <w:jc w:val="right"/>
            </w:pPr>
            <w:r>
              <w:t>53,249,803</w:t>
            </w:r>
          </w:p>
        </w:tc>
        <w:tc>
          <w:tcPr>
            <w:tcW w:w="2711" w:type="dxa"/>
            <w:vAlign w:val="center"/>
          </w:tcPr>
          <w:p w14:paraId="11B3557C" w14:textId="77777777" w:rsidR="005E000F" w:rsidRDefault="00000000">
            <w:pPr>
              <w:jc w:val="right"/>
            </w:pPr>
            <w:r>
              <w:t>51,837,204</w:t>
            </w:r>
          </w:p>
        </w:tc>
      </w:tr>
    </w:tbl>
    <w:p w14:paraId="4F415C6C" w14:textId="77777777" w:rsidR="005E000F" w:rsidRDefault="00000000">
      <w:r>
        <w:rPr>
          <w:rFonts w:hint="eastAsia"/>
        </w:rPr>
        <w:t>其他</w:t>
      </w:r>
      <w:r>
        <w:t>说明</w:t>
      </w:r>
      <w:r>
        <w:rPr>
          <w:rFonts w:hint="eastAsia"/>
        </w:rPr>
        <w:t>：</w:t>
      </w:r>
    </w:p>
    <w:sdt>
      <w:sdtPr>
        <w:alias w:val="信用减值损失其他说明"/>
        <w:tag w:val="_GBC_c4f5a3728c354e07a647f36805e2176b"/>
        <w:id w:val="1050116101"/>
        <w:placeholder>
          <w:docPart w:val="GBC22222222222222222222222222222"/>
        </w:placeholder>
      </w:sdtPr>
      <w:sdtContent>
        <w:p w14:paraId="19837B85" w14:textId="77777777" w:rsidR="005E000F" w:rsidRDefault="00000000">
          <w:r>
            <w:rPr>
              <w:rFonts w:hint="eastAsia"/>
            </w:rPr>
            <w:t>无</w:t>
          </w:r>
        </w:p>
      </w:sdtContent>
    </w:sdt>
    <w:p w14:paraId="64266073" w14:textId="77777777" w:rsidR="005E000F" w:rsidRDefault="005E000F"/>
    <w:p w14:paraId="2F4F1264" w14:textId="77777777" w:rsidR="005E000F" w:rsidRDefault="005E000F">
      <w:pPr>
        <w:rPr>
          <w:rFonts w:cstheme="minorBidi"/>
          <w:kern w:val="2"/>
        </w:rPr>
      </w:pPr>
    </w:p>
    <w:p w14:paraId="07814E6A" w14:textId="77777777" w:rsidR="005E000F" w:rsidRDefault="00000000">
      <w:pPr>
        <w:pStyle w:val="3"/>
        <w:numPr>
          <w:ilvl w:val="0"/>
          <w:numId w:val="66"/>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1826805120"/>
        <w:placeholder>
          <w:docPart w:val="GBC22222222222222222222222222222"/>
        </w:placeholder>
      </w:sdtPr>
      <w:sdtContent>
        <w:p w14:paraId="06A9E1F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E4DC58C" w14:textId="77777777" w:rsidR="005E000F" w:rsidRDefault="00000000">
      <w:pPr>
        <w:jc w:val="right"/>
      </w:pPr>
      <w:r>
        <w:rPr>
          <w:rFonts w:hint="eastAsia"/>
        </w:rPr>
        <w:t>单位：</w:t>
      </w:r>
      <w:sdt>
        <w:sdtPr>
          <w:rPr>
            <w:rFonts w:hint="eastAsia"/>
          </w:rPr>
          <w:alias w:val="单位：财务附注：资产减值损失"/>
          <w:tag w:val="_GBC_fe85f36c54dd476ea970b9d8ae08135d"/>
          <w:id w:val="-85095302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资产减值损失"/>
          <w:tag w:val="_GBC_08596d3dbba143a8b694044119494ec6"/>
          <w:id w:val="-50343795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8"/>
        <w:gridCol w:w="2573"/>
        <w:gridCol w:w="3076"/>
      </w:tblGrid>
      <w:tr w:rsidR="005E000F" w14:paraId="4DB977D7" w14:textId="77777777">
        <w:sdt>
          <w:sdtPr>
            <w:tag w:val="_PLD_344de032f71b4e06985c561df3bcf55a"/>
            <w:id w:val="1194273881"/>
          </w:sdtPr>
          <w:sdtContent>
            <w:tc>
              <w:tcPr>
                <w:tcW w:w="3398" w:type="dxa"/>
                <w:tcBorders>
                  <w:top w:val="single" w:sz="4" w:space="0" w:color="auto"/>
                  <w:left w:val="single" w:sz="4" w:space="0" w:color="auto"/>
                  <w:bottom w:val="single" w:sz="4" w:space="0" w:color="auto"/>
                  <w:right w:val="single" w:sz="4" w:space="0" w:color="auto"/>
                </w:tcBorders>
                <w:vAlign w:val="center"/>
              </w:tcPr>
              <w:p w14:paraId="48A07462" w14:textId="77777777" w:rsidR="005E000F" w:rsidRDefault="00000000">
                <w:pPr>
                  <w:autoSpaceDE w:val="0"/>
                  <w:autoSpaceDN w:val="0"/>
                  <w:adjustRightInd w:val="0"/>
                  <w:jc w:val="center"/>
                </w:pPr>
                <w:r>
                  <w:rPr>
                    <w:rFonts w:hint="eastAsia"/>
                  </w:rPr>
                  <w:t>项目</w:t>
                </w:r>
              </w:p>
            </w:tc>
          </w:sdtContent>
        </w:sdt>
        <w:sdt>
          <w:sdtPr>
            <w:tag w:val="_PLD_9551307ec5c049a3aa84c3c7d3e61d92"/>
            <w:id w:val="-1786191289"/>
          </w:sdtPr>
          <w:sdtContent>
            <w:tc>
              <w:tcPr>
                <w:tcW w:w="2573" w:type="dxa"/>
                <w:tcBorders>
                  <w:top w:val="single" w:sz="4" w:space="0" w:color="auto"/>
                  <w:left w:val="single" w:sz="4" w:space="0" w:color="auto"/>
                  <w:bottom w:val="single" w:sz="4" w:space="0" w:color="auto"/>
                  <w:right w:val="single" w:sz="4" w:space="0" w:color="auto"/>
                </w:tcBorders>
                <w:vAlign w:val="center"/>
              </w:tcPr>
              <w:p w14:paraId="4E9DBC5A" w14:textId="77777777" w:rsidR="005E000F" w:rsidRDefault="00000000">
                <w:pPr>
                  <w:autoSpaceDE w:val="0"/>
                  <w:autoSpaceDN w:val="0"/>
                  <w:adjustRightInd w:val="0"/>
                  <w:jc w:val="center"/>
                </w:pPr>
                <w:r>
                  <w:rPr>
                    <w:rFonts w:hint="eastAsia"/>
                  </w:rPr>
                  <w:t>本期发生额</w:t>
                </w:r>
              </w:p>
            </w:tc>
          </w:sdtContent>
        </w:sdt>
        <w:sdt>
          <w:sdtPr>
            <w:tag w:val="_PLD_46a2a62cd1b1406f877f135b9d7e38a6"/>
            <w:id w:val="494617184"/>
          </w:sdtPr>
          <w:sdtContent>
            <w:tc>
              <w:tcPr>
                <w:tcW w:w="3076" w:type="dxa"/>
                <w:tcBorders>
                  <w:top w:val="single" w:sz="4" w:space="0" w:color="auto"/>
                  <w:left w:val="single" w:sz="4" w:space="0" w:color="auto"/>
                  <w:bottom w:val="single" w:sz="4" w:space="0" w:color="auto"/>
                  <w:right w:val="single" w:sz="4" w:space="0" w:color="auto"/>
                </w:tcBorders>
                <w:vAlign w:val="center"/>
              </w:tcPr>
              <w:p w14:paraId="144F9FFD" w14:textId="77777777" w:rsidR="005E000F" w:rsidRDefault="00000000">
                <w:pPr>
                  <w:autoSpaceDE w:val="0"/>
                  <w:autoSpaceDN w:val="0"/>
                  <w:adjustRightInd w:val="0"/>
                  <w:jc w:val="center"/>
                </w:pPr>
                <w:r>
                  <w:rPr>
                    <w:rFonts w:hint="eastAsia"/>
                  </w:rPr>
                  <w:t>上期发生额</w:t>
                </w:r>
              </w:p>
            </w:tc>
          </w:sdtContent>
        </w:sdt>
      </w:tr>
      <w:tr w:rsidR="005E000F" w14:paraId="4AFB2704" w14:textId="77777777">
        <w:tc>
          <w:tcPr>
            <w:tcW w:w="3398" w:type="dxa"/>
            <w:tcBorders>
              <w:top w:val="single" w:sz="4" w:space="0" w:color="auto"/>
              <w:left w:val="single" w:sz="4" w:space="0" w:color="auto"/>
              <w:bottom w:val="single" w:sz="4" w:space="0" w:color="auto"/>
              <w:right w:val="single" w:sz="4" w:space="0" w:color="auto"/>
            </w:tcBorders>
            <w:vAlign w:val="center"/>
          </w:tcPr>
          <w:p w14:paraId="5F373F28" w14:textId="77777777" w:rsidR="005E000F" w:rsidRDefault="00000000">
            <w:pPr>
              <w:autoSpaceDE w:val="0"/>
              <w:autoSpaceDN w:val="0"/>
              <w:adjustRightInd w:val="0"/>
            </w:pPr>
            <w:r>
              <w:rPr>
                <w:rFonts w:hint="eastAsia"/>
              </w:rPr>
              <w:t>一、合同资产减值损失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657EC961" w14:textId="77777777" w:rsidR="005E000F" w:rsidRDefault="00000000">
            <w:pPr>
              <w:autoSpaceDE w:val="0"/>
              <w:autoSpaceDN w:val="0"/>
              <w:adjustRightInd w:val="0"/>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4C008500" w14:textId="77777777" w:rsidR="005E000F" w:rsidRDefault="00000000">
            <w:pPr>
              <w:jc w:val="right"/>
            </w:pPr>
            <w:r>
              <w:rPr>
                <w:rFonts w:hint="eastAsia"/>
              </w:rPr>
              <w:t>0</w:t>
            </w:r>
          </w:p>
        </w:tc>
      </w:tr>
      <w:tr w:rsidR="005E000F" w14:paraId="01F3E169" w14:textId="77777777">
        <w:tc>
          <w:tcPr>
            <w:tcW w:w="3398" w:type="dxa"/>
            <w:tcBorders>
              <w:top w:val="single" w:sz="4" w:space="0" w:color="auto"/>
              <w:left w:val="single" w:sz="4" w:space="0" w:color="auto"/>
              <w:bottom w:val="single" w:sz="4" w:space="0" w:color="auto"/>
              <w:right w:val="single" w:sz="4" w:space="0" w:color="auto"/>
            </w:tcBorders>
            <w:vAlign w:val="center"/>
          </w:tcPr>
          <w:p w14:paraId="2014B260" w14:textId="77777777" w:rsidR="005E000F" w:rsidRDefault="00000000">
            <w:pPr>
              <w:autoSpaceDE w:val="0"/>
              <w:autoSpaceDN w:val="0"/>
              <w:adjustRightInd w:val="0"/>
            </w:pPr>
            <w:r>
              <w:rPr>
                <w:rFonts w:hint="eastAsia"/>
              </w:rPr>
              <w:t>二、存货跌价损失及合同履约成本减值损失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550BD242" w14:textId="77777777" w:rsidR="005E000F" w:rsidRDefault="00000000">
            <w:pPr>
              <w:autoSpaceDE w:val="0"/>
              <w:autoSpaceDN w:val="0"/>
              <w:adjustRightInd w:val="0"/>
              <w:jc w:val="right"/>
            </w:pPr>
            <w:r>
              <w:t>-3,173,056</w:t>
            </w:r>
          </w:p>
        </w:tc>
        <w:tc>
          <w:tcPr>
            <w:tcW w:w="3076" w:type="dxa"/>
            <w:tcBorders>
              <w:top w:val="single" w:sz="4" w:space="0" w:color="auto"/>
              <w:left w:val="single" w:sz="4" w:space="0" w:color="auto"/>
              <w:bottom w:val="single" w:sz="4" w:space="0" w:color="auto"/>
              <w:right w:val="single" w:sz="4" w:space="0" w:color="auto"/>
            </w:tcBorders>
            <w:vAlign w:val="center"/>
          </w:tcPr>
          <w:p w14:paraId="418E0F75" w14:textId="77777777" w:rsidR="005E000F" w:rsidRDefault="00000000">
            <w:pPr>
              <w:jc w:val="right"/>
            </w:pPr>
            <w:r>
              <w:rPr>
                <w:rFonts w:hint="eastAsia"/>
              </w:rPr>
              <w:t>0</w:t>
            </w:r>
          </w:p>
        </w:tc>
      </w:tr>
      <w:tr w:rsidR="005E000F" w14:paraId="18D57246" w14:textId="77777777">
        <w:tc>
          <w:tcPr>
            <w:tcW w:w="3398" w:type="dxa"/>
            <w:tcBorders>
              <w:top w:val="single" w:sz="4" w:space="0" w:color="auto"/>
              <w:left w:val="single" w:sz="4" w:space="0" w:color="auto"/>
              <w:bottom w:val="single" w:sz="4" w:space="0" w:color="auto"/>
              <w:right w:val="single" w:sz="4" w:space="0" w:color="auto"/>
            </w:tcBorders>
            <w:vAlign w:val="center"/>
          </w:tcPr>
          <w:p w14:paraId="041B2DD3" w14:textId="77777777" w:rsidR="005E000F" w:rsidRDefault="00000000">
            <w:pPr>
              <w:autoSpaceDE w:val="0"/>
              <w:autoSpaceDN w:val="0"/>
              <w:adjustRightInd w:val="0"/>
            </w:pPr>
            <w:r>
              <w:rPr>
                <w:rFonts w:hint="eastAsia"/>
              </w:rPr>
              <w:t>三、长期股权投资减值损失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21B99F5E" w14:textId="77777777" w:rsidR="005E000F" w:rsidRDefault="00000000">
            <w:pPr>
              <w:autoSpaceDE w:val="0"/>
              <w:autoSpaceDN w:val="0"/>
              <w:adjustRightInd w:val="0"/>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6923ADF5" w14:textId="77777777" w:rsidR="005E000F" w:rsidRDefault="00000000">
            <w:pPr>
              <w:jc w:val="right"/>
            </w:pPr>
            <w:r>
              <w:rPr>
                <w:rFonts w:hint="eastAsia"/>
              </w:rPr>
              <w:t>0</w:t>
            </w:r>
          </w:p>
        </w:tc>
      </w:tr>
      <w:tr w:rsidR="005E000F" w14:paraId="532E1CF4" w14:textId="77777777">
        <w:tc>
          <w:tcPr>
            <w:tcW w:w="3398" w:type="dxa"/>
            <w:tcBorders>
              <w:top w:val="single" w:sz="4" w:space="0" w:color="auto"/>
              <w:left w:val="single" w:sz="4" w:space="0" w:color="auto"/>
              <w:bottom w:val="single" w:sz="4" w:space="0" w:color="auto"/>
              <w:right w:val="single" w:sz="4" w:space="0" w:color="auto"/>
            </w:tcBorders>
            <w:vAlign w:val="center"/>
          </w:tcPr>
          <w:p w14:paraId="4F8DB68E" w14:textId="77777777" w:rsidR="005E000F" w:rsidRDefault="00000000">
            <w:pPr>
              <w:autoSpaceDE w:val="0"/>
              <w:autoSpaceDN w:val="0"/>
              <w:adjustRightInd w:val="0"/>
            </w:pPr>
            <w:r>
              <w:rPr>
                <w:rFonts w:hint="eastAsia"/>
              </w:rPr>
              <w:t>四、投资性房地产减值损失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0AA1383C" w14:textId="77777777" w:rsidR="005E000F" w:rsidRDefault="00000000">
            <w:pPr>
              <w:autoSpaceDE w:val="0"/>
              <w:autoSpaceDN w:val="0"/>
              <w:adjustRightInd w:val="0"/>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65F716AF" w14:textId="77777777" w:rsidR="005E000F" w:rsidRDefault="00000000">
            <w:pPr>
              <w:jc w:val="right"/>
            </w:pPr>
            <w:r>
              <w:rPr>
                <w:rFonts w:hint="eastAsia"/>
              </w:rPr>
              <w:t>0</w:t>
            </w:r>
          </w:p>
        </w:tc>
      </w:tr>
      <w:tr w:rsidR="005E000F" w14:paraId="60F3BB0F" w14:textId="77777777">
        <w:tc>
          <w:tcPr>
            <w:tcW w:w="3398" w:type="dxa"/>
            <w:tcBorders>
              <w:top w:val="single" w:sz="4" w:space="0" w:color="auto"/>
              <w:left w:val="single" w:sz="4" w:space="0" w:color="auto"/>
              <w:bottom w:val="single" w:sz="4" w:space="0" w:color="auto"/>
              <w:right w:val="single" w:sz="4" w:space="0" w:color="auto"/>
            </w:tcBorders>
            <w:vAlign w:val="center"/>
          </w:tcPr>
          <w:p w14:paraId="2B198D44" w14:textId="77777777" w:rsidR="005E000F" w:rsidRDefault="00000000">
            <w:pPr>
              <w:autoSpaceDE w:val="0"/>
              <w:autoSpaceDN w:val="0"/>
              <w:adjustRightInd w:val="0"/>
            </w:pPr>
            <w:r>
              <w:rPr>
                <w:rFonts w:hint="eastAsia"/>
              </w:rPr>
              <w:t>五、固定资产减值损失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0E4D2E44" w14:textId="77777777" w:rsidR="005E000F" w:rsidRDefault="00000000">
            <w:pPr>
              <w:autoSpaceDE w:val="0"/>
              <w:autoSpaceDN w:val="0"/>
              <w:adjustRightInd w:val="0"/>
              <w:jc w:val="right"/>
            </w:pPr>
            <w:r>
              <w:t>-3,395,204</w:t>
            </w:r>
          </w:p>
        </w:tc>
        <w:tc>
          <w:tcPr>
            <w:tcW w:w="3076" w:type="dxa"/>
            <w:tcBorders>
              <w:top w:val="single" w:sz="4" w:space="0" w:color="auto"/>
              <w:left w:val="single" w:sz="4" w:space="0" w:color="auto"/>
              <w:bottom w:val="single" w:sz="4" w:space="0" w:color="auto"/>
              <w:right w:val="single" w:sz="4" w:space="0" w:color="auto"/>
            </w:tcBorders>
            <w:vAlign w:val="center"/>
          </w:tcPr>
          <w:p w14:paraId="41F4A1E6" w14:textId="77777777" w:rsidR="005E000F" w:rsidRDefault="00000000">
            <w:pPr>
              <w:jc w:val="right"/>
            </w:pPr>
            <w:r>
              <w:rPr>
                <w:rFonts w:hint="eastAsia"/>
              </w:rPr>
              <w:t>0</w:t>
            </w:r>
          </w:p>
        </w:tc>
      </w:tr>
      <w:tr w:rsidR="005E000F" w14:paraId="2871706B" w14:textId="77777777">
        <w:tc>
          <w:tcPr>
            <w:tcW w:w="3398" w:type="dxa"/>
            <w:tcBorders>
              <w:top w:val="single" w:sz="4" w:space="0" w:color="auto"/>
              <w:left w:val="single" w:sz="4" w:space="0" w:color="auto"/>
              <w:bottom w:val="single" w:sz="4" w:space="0" w:color="auto"/>
              <w:right w:val="single" w:sz="4" w:space="0" w:color="auto"/>
            </w:tcBorders>
            <w:vAlign w:val="center"/>
          </w:tcPr>
          <w:p w14:paraId="015C2BBC" w14:textId="77777777" w:rsidR="005E000F" w:rsidRDefault="00000000">
            <w:pPr>
              <w:autoSpaceDE w:val="0"/>
              <w:autoSpaceDN w:val="0"/>
              <w:adjustRightInd w:val="0"/>
            </w:pPr>
            <w:r>
              <w:rPr>
                <w:rFonts w:hint="eastAsia"/>
              </w:rPr>
              <w:t>六、工程物资减值损失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48067362" w14:textId="77777777" w:rsidR="005E000F" w:rsidRDefault="00000000">
            <w:pPr>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3A855743" w14:textId="77777777" w:rsidR="005E000F" w:rsidRDefault="00000000">
            <w:pPr>
              <w:jc w:val="right"/>
            </w:pPr>
            <w:r>
              <w:rPr>
                <w:rFonts w:hint="eastAsia"/>
              </w:rPr>
              <w:t>0</w:t>
            </w:r>
          </w:p>
        </w:tc>
      </w:tr>
      <w:tr w:rsidR="005E000F" w14:paraId="0222E991" w14:textId="77777777">
        <w:tc>
          <w:tcPr>
            <w:tcW w:w="3398" w:type="dxa"/>
            <w:tcBorders>
              <w:top w:val="single" w:sz="4" w:space="0" w:color="auto"/>
              <w:left w:val="single" w:sz="4" w:space="0" w:color="auto"/>
              <w:bottom w:val="single" w:sz="4" w:space="0" w:color="auto"/>
              <w:right w:val="single" w:sz="4" w:space="0" w:color="auto"/>
            </w:tcBorders>
            <w:vAlign w:val="center"/>
          </w:tcPr>
          <w:p w14:paraId="22F292DD" w14:textId="77777777" w:rsidR="005E000F" w:rsidRDefault="00000000">
            <w:pPr>
              <w:autoSpaceDE w:val="0"/>
              <w:autoSpaceDN w:val="0"/>
              <w:adjustRightInd w:val="0"/>
            </w:pPr>
            <w:r>
              <w:rPr>
                <w:rFonts w:hint="eastAsia"/>
              </w:rPr>
              <w:t>七、在建工程减值损失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4EF8E188" w14:textId="77777777" w:rsidR="005E000F" w:rsidRDefault="00000000">
            <w:pPr>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3CF0EF8E" w14:textId="77777777" w:rsidR="005E000F" w:rsidRDefault="00000000">
            <w:pPr>
              <w:jc w:val="right"/>
            </w:pPr>
            <w:r>
              <w:rPr>
                <w:rFonts w:hint="eastAsia"/>
              </w:rPr>
              <w:t>0</w:t>
            </w:r>
          </w:p>
        </w:tc>
      </w:tr>
      <w:tr w:rsidR="005E000F" w14:paraId="2DAE327B" w14:textId="77777777">
        <w:tc>
          <w:tcPr>
            <w:tcW w:w="3398" w:type="dxa"/>
            <w:tcBorders>
              <w:top w:val="single" w:sz="4" w:space="0" w:color="auto"/>
              <w:left w:val="single" w:sz="4" w:space="0" w:color="auto"/>
              <w:bottom w:val="single" w:sz="4" w:space="0" w:color="auto"/>
              <w:right w:val="single" w:sz="4" w:space="0" w:color="auto"/>
            </w:tcBorders>
            <w:vAlign w:val="center"/>
          </w:tcPr>
          <w:p w14:paraId="1066FE06" w14:textId="77777777" w:rsidR="005E000F" w:rsidRDefault="00000000">
            <w:pPr>
              <w:autoSpaceDE w:val="0"/>
              <w:autoSpaceDN w:val="0"/>
              <w:adjustRightInd w:val="0"/>
            </w:pPr>
            <w:r>
              <w:rPr>
                <w:rFonts w:hint="eastAsia"/>
              </w:rPr>
              <w:t>八、生产性生物资产减值损失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5A2BF550" w14:textId="77777777" w:rsidR="005E000F" w:rsidRDefault="00000000">
            <w:pPr>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636ED354" w14:textId="77777777" w:rsidR="005E000F" w:rsidRDefault="00000000">
            <w:pPr>
              <w:jc w:val="right"/>
            </w:pPr>
            <w:r>
              <w:rPr>
                <w:rFonts w:hint="eastAsia"/>
              </w:rPr>
              <w:t>0</w:t>
            </w:r>
          </w:p>
        </w:tc>
      </w:tr>
      <w:tr w:rsidR="005E000F" w14:paraId="772B8890" w14:textId="77777777">
        <w:tc>
          <w:tcPr>
            <w:tcW w:w="3398" w:type="dxa"/>
            <w:tcBorders>
              <w:top w:val="single" w:sz="4" w:space="0" w:color="auto"/>
              <w:left w:val="single" w:sz="4" w:space="0" w:color="auto"/>
              <w:bottom w:val="single" w:sz="4" w:space="0" w:color="auto"/>
              <w:right w:val="single" w:sz="4" w:space="0" w:color="auto"/>
            </w:tcBorders>
            <w:vAlign w:val="center"/>
          </w:tcPr>
          <w:p w14:paraId="0ED360EB" w14:textId="77777777" w:rsidR="005E000F" w:rsidRDefault="00000000">
            <w:pPr>
              <w:autoSpaceDE w:val="0"/>
              <w:autoSpaceDN w:val="0"/>
              <w:adjustRightInd w:val="0"/>
            </w:pPr>
            <w:r>
              <w:rPr>
                <w:rFonts w:hint="eastAsia"/>
              </w:rPr>
              <w:t>九、油气资产减值损失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5E39CEBE" w14:textId="77777777" w:rsidR="005E000F" w:rsidRDefault="00000000">
            <w:pPr>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6ABD31C7" w14:textId="77777777" w:rsidR="005E000F" w:rsidRDefault="00000000">
            <w:pPr>
              <w:jc w:val="right"/>
            </w:pPr>
            <w:r>
              <w:rPr>
                <w:rFonts w:hint="eastAsia"/>
              </w:rPr>
              <w:t>0</w:t>
            </w:r>
          </w:p>
        </w:tc>
      </w:tr>
      <w:tr w:rsidR="005E000F" w14:paraId="233C2F79" w14:textId="77777777">
        <w:tc>
          <w:tcPr>
            <w:tcW w:w="3398" w:type="dxa"/>
            <w:tcBorders>
              <w:top w:val="single" w:sz="4" w:space="0" w:color="auto"/>
              <w:left w:val="single" w:sz="4" w:space="0" w:color="auto"/>
              <w:bottom w:val="single" w:sz="4" w:space="0" w:color="auto"/>
              <w:right w:val="single" w:sz="4" w:space="0" w:color="auto"/>
            </w:tcBorders>
            <w:vAlign w:val="center"/>
          </w:tcPr>
          <w:p w14:paraId="5C230462" w14:textId="77777777" w:rsidR="005E000F" w:rsidRDefault="00000000">
            <w:pPr>
              <w:autoSpaceDE w:val="0"/>
              <w:autoSpaceDN w:val="0"/>
              <w:adjustRightInd w:val="0"/>
            </w:pPr>
            <w:r>
              <w:rPr>
                <w:rFonts w:hint="eastAsia"/>
              </w:rPr>
              <w:t>十、无形资产减值损失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466BF80C" w14:textId="77777777" w:rsidR="005E000F" w:rsidRDefault="00000000">
            <w:pPr>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3717B309" w14:textId="77777777" w:rsidR="005E000F" w:rsidRDefault="00000000">
            <w:pPr>
              <w:jc w:val="right"/>
            </w:pPr>
            <w:r>
              <w:rPr>
                <w:rFonts w:hint="eastAsia"/>
              </w:rPr>
              <w:t>0</w:t>
            </w:r>
          </w:p>
        </w:tc>
      </w:tr>
      <w:tr w:rsidR="005E000F" w14:paraId="64298D28" w14:textId="77777777">
        <w:tc>
          <w:tcPr>
            <w:tcW w:w="3398" w:type="dxa"/>
            <w:tcBorders>
              <w:top w:val="single" w:sz="4" w:space="0" w:color="auto"/>
              <w:left w:val="single" w:sz="4" w:space="0" w:color="auto"/>
              <w:bottom w:val="single" w:sz="4" w:space="0" w:color="auto"/>
              <w:right w:val="single" w:sz="4" w:space="0" w:color="auto"/>
            </w:tcBorders>
            <w:vAlign w:val="center"/>
          </w:tcPr>
          <w:p w14:paraId="56F5E835" w14:textId="77777777" w:rsidR="005E000F" w:rsidRDefault="00000000">
            <w:pPr>
              <w:autoSpaceDE w:val="0"/>
              <w:autoSpaceDN w:val="0"/>
              <w:adjustRightInd w:val="0"/>
            </w:pPr>
            <w:r>
              <w:rPr>
                <w:rFonts w:hint="eastAsia"/>
              </w:rPr>
              <w:t>十一、商誉减值损失</w:t>
            </w:r>
          </w:p>
        </w:tc>
        <w:tc>
          <w:tcPr>
            <w:tcW w:w="2573" w:type="dxa"/>
            <w:tcBorders>
              <w:top w:val="single" w:sz="4" w:space="0" w:color="auto"/>
              <w:left w:val="single" w:sz="4" w:space="0" w:color="auto"/>
              <w:bottom w:val="single" w:sz="4" w:space="0" w:color="auto"/>
              <w:right w:val="single" w:sz="4" w:space="0" w:color="auto"/>
            </w:tcBorders>
            <w:vAlign w:val="center"/>
          </w:tcPr>
          <w:p w14:paraId="32DA1C63" w14:textId="77777777" w:rsidR="005E000F" w:rsidRDefault="00000000">
            <w:pPr>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747FC15A" w14:textId="77777777" w:rsidR="005E000F" w:rsidRDefault="00000000">
            <w:pPr>
              <w:jc w:val="right"/>
            </w:pPr>
            <w:r>
              <w:rPr>
                <w:rFonts w:hint="eastAsia"/>
              </w:rPr>
              <w:t>0</w:t>
            </w:r>
          </w:p>
        </w:tc>
      </w:tr>
      <w:tr w:rsidR="005E000F" w14:paraId="7F73C8F1" w14:textId="77777777">
        <w:tc>
          <w:tcPr>
            <w:tcW w:w="3398" w:type="dxa"/>
            <w:tcBorders>
              <w:top w:val="single" w:sz="4" w:space="0" w:color="auto"/>
              <w:left w:val="single" w:sz="4" w:space="0" w:color="auto"/>
              <w:bottom w:val="single" w:sz="4" w:space="0" w:color="auto"/>
              <w:right w:val="single" w:sz="4" w:space="0" w:color="auto"/>
            </w:tcBorders>
            <w:vAlign w:val="center"/>
          </w:tcPr>
          <w:p w14:paraId="2919344A" w14:textId="77777777" w:rsidR="005E000F" w:rsidRDefault="00000000">
            <w:pPr>
              <w:autoSpaceDE w:val="0"/>
              <w:autoSpaceDN w:val="0"/>
              <w:adjustRightInd w:val="0"/>
            </w:pPr>
            <w:r>
              <w:rPr>
                <w:rFonts w:hint="eastAsia"/>
              </w:rPr>
              <w:t>十二、其他</w:t>
            </w:r>
          </w:p>
        </w:tc>
        <w:tc>
          <w:tcPr>
            <w:tcW w:w="2573" w:type="dxa"/>
            <w:tcBorders>
              <w:top w:val="single" w:sz="4" w:space="0" w:color="auto"/>
              <w:left w:val="single" w:sz="4" w:space="0" w:color="auto"/>
              <w:bottom w:val="single" w:sz="4" w:space="0" w:color="auto"/>
              <w:right w:val="single" w:sz="4" w:space="0" w:color="auto"/>
            </w:tcBorders>
            <w:vAlign w:val="center"/>
          </w:tcPr>
          <w:p w14:paraId="46F7BEEB" w14:textId="77777777" w:rsidR="005E000F" w:rsidRDefault="00000000">
            <w:pPr>
              <w:jc w:val="right"/>
            </w:pPr>
            <w:r>
              <w:rPr>
                <w:rFonts w:hint="eastAsia"/>
              </w:rPr>
              <w:t>0</w:t>
            </w:r>
          </w:p>
        </w:tc>
        <w:tc>
          <w:tcPr>
            <w:tcW w:w="3076" w:type="dxa"/>
            <w:tcBorders>
              <w:top w:val="single" w:sz="4" w:space="0" w:color="auto"/>
              <w:left w:val="single" w:sz="4" w:space="0" w:color="auto"/>
              <w:bottom w:val="single" w:sz="4" w:space="0" w:color="auto"/>
              <w:right w:val="single" w:sz="4" w:space="0" w:color="auto"/>
            </w:tcBorders>
            <w:vAlign w:val="center"/>
          </w:tcPr>
          <w:p w14:paraId="29641484" w14:textId="77777777" w:rsidR="005E000F" w:rsidRDefault="00000000">
            <w:pPr>
              <w:jc w:val="right"/>
            </w:pPr>
            <w:r>
              <w:rPr>
                <w:rFonts w:hint="eastAsia"/>
              </w:rPr>
              <w:t>0</w:t>
            </w:r>
          </w:p>
        </w:tc>
      </w:tr>
      <w:tr w:rsidR="005E000F" w14:paraId="6CAA1B41" w14:textId="77777777">
        <w:tc>
          <w:tcPr>
            <w:tcW w:w="3398" w:type="dxa"/>
            <w:tcBorders>
              <w:top w:val="single" w:sz="4" w:space="0" w:color="auto"/>
              <w:left w:val="single" w:sz="4" w:space="0" w:color="auto"/>
              <w:bottom w:val="single" w:sz="4" w:space="0" w:color="auto"/>
              <w:right w:val="single" w:sz="4" w:space="0" w:color="auto"/>
            </w:tcBorders>
            <w:vAlign w:val="center"/>
          </w:tcPr>
          <w:p w14:paraId="17F0C036" w14:textId="77777777" w:rsidR="005E000F" w:rsidRDefault="00000000">
            <w:pPr>
              <w:autoSpaceDE w:val="0"/>
              <w:autoSpaceDN w:val="0"/>
              <w:adjustRightInd w:val="0"/>
              <w:jc w:val="center"/>
            </w:pPr>
            <w:r>
              <w:rPr>
                <w:rFonts w:hint="eastAsia"/>
              </w:rPr>
              <w:t>合计</w:t>
            </w:r>
          </w:p>
        </w:tc>
        <w:tc>
          <w:tcPr>
            <w:tcW w:w="2573" w:type="dxa"/>
            <w:tcBorders>
              <w:top w:val="single" w:sz="4" w:space="0" w:color="auto"/>
              <w:left w:val="single" w:sz="4" w:space="0" w:color="auto"/>
              <w:bottom w:val="single" w:sz="4" w:space="0" w:color="auto"/>
              <w:right w:val="single" w:sz="4" w:space="0" w:color="auto"/>
            </w:tcBorders>
            <w:vAlign w:val="center"/>
          </w:tcPr>
          <w:p w14:paraId="0A0A986F" w14:textId="77777777" w:rsidR="005E000F" w:rsidRDefault="00000000">
            <w:pPr>
              <w:autoSpaceDE w:val="0"/>
              <w:autoSpaceDN w:val="0"/>
              <w:adjustRightInd w:val="0"/>
              <w:jc w:val="right"/>
            </w:pPr>
            <w:r>
              <w:t>-6,568,260</w:t>
            </w:r>
          </w:p>
        </w:tc>
        <w:tc>
          <w:tcPr>
            <w:tcW w:w="3076" w:type="dxa"/>
            <w:tcBorders>
              <w:top w:val="single" w:sz="4" w:space="0" w:color="auto"/>
              <w:left w:val="single" w:sz="4" w:space="0" w:color="auto"/>
              <w:bottom w:val="single" w:sz="4" w:space="0" w:color="auto"/>
              <w:right w:val="single" w:sz="4" w:space="0" w:color="auto"/>
            </w:tcBorders>
            <w:vAlign w:val="center"/>
          </w:tcPr>
          <w:p w14:paraId="5386925F" w14:textId="77777777" w:rsidR="005E000F" w:rsidRDefault="00000000">
            <w:pPr>
              <w:jc w:val="right"/>
            </w:pPr>
            <w:r>
              <w:rPr>
                <w:rFonts w:hint="eastAsia"/>
              </w:rPr>
              <w:t>0</w:t>
            </w:r>
          </w:p>
        </w:tc>
      </w:tr>
    </w:tbl>
    <w:p w14:paraId="54E47729" w14:textId="77777777" w:rsidR="005E000F" w:rsidRDefault="00000000">
      <w:pPr>
        <w:spacing w:before="60" w:after="60"/>
      </w:pPr>
      <w:r>
        <w:rPr>
          <w:rFonts w:hint="eastAsia"/>
        </w:rPr>
        <w:t>其他说明：</w:t>
      </w:r>
    </w:p>
    <w:sdt>
      <w:sdtPr>
        <w:alias w:val="资产减值损失的说明"/>
        <w:tag w:val="_GBC_1e9b73a63ce74456883b0a5fd2597461"/>
        <w:id w:val="-1279708918"/>
        <w:placeholder>
          <w:docPart w:val="GBC22222222222222222222222222222"/>
        </w:placeholder>
      </w:sdtPr>
      <w:sdtContent>
        <w:p w14:paraId="5BBC451F" w14:textId="77777777" w:rsidR="005E000F" w:rsidRDefault="00000000">
          <w:r>
            <w:rPr>
              <w:rFonts w:hint="eastAsia"/>
            </w:rPr>
            <w:t>无</w:t>
          </w:r>
        </w:p>
      </w:sdtContent>
    </w:sdt>
    <w:p w14:paraId="60B49F4F" w14:textId="77777777" w:rsidR="005E000F" w:rsidRDefault="005E000F">
      <w:pPr>
        <w:rPr>
          <w:rFonts w:asciiTheme="minorHAnsi" w:eastAsiaTheme="minorEastAsia" w:hAnsiTheme="minorHAnsi"/>
          <w:szCs w:val="22"/>
        </w:rPr>
      </w:pPr>
    </w:p>
    <w:p w14:paraId="0C508CDE" w14:textId="77777777" w:rsidR="005E000F" w:rsidRDefault="005E000F">
      <w:pPr>
        <w:rPr>
          <w:rFonts w:asciiTheme="minorHAnsi" w:eastAsiaTheme="minorEastAsia" w:hAnsiTheme="minorHAnsi"/>
          <w:szCs w:val="22"/>
        </w:rPr>
      </w:pPr>
    </w:p>
    <w:p w14:paraId="0938DB19" w14:textId="77777777" w:rsidR="005E000F" w:rsidRDefault="00000000">
      <w:pPr>
        <w:pStyle w:val="3"/>
        <w:numPr>
          <w:ilvl w:val="0"/>
          <w:numId w:val="66"/>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1899120616"/>
        <w:placeholder>
          <w:docPart w:val="GBC22222222222222222222222222222"/>
        </w:placeholder>
      </w:sdtPr>
      <w:sdtContent>
        <w:p w14:paraId="6539F545" w14:textId="77777777" w:rsidR="005E000F" w:rsidRDefault="00000000">
          <w:r>
            <w:rPr>
              <w:rFonts w:ascii="宋体" w:hAnsi="宋体"/>
              <w:bCs/>
            </w:rPr>
            <w:fldChar w:fldCharType="begin"/>
          </w:r>
          <w:r>
            <w:rPr>
              <w:rFonts w:ascii="宋体" w:hAnsi="宋体" w:hint="eastAsia"/>
              <w:bCs/>
            </w:rPr>
            <w:instrText xml:space="preserve"> MACROBUTTON  SnrToggleCheckbox □适用 </w:instrText>
          </w:r>
          <w:r>
            <w:rPr>
              <w:rFonts w:ascii="宋体" w:hAnsi="宋体"/>
              <w:bCs/>
            </w:rPr>
            <w:fldChar w:fldCharType="end"/>
          </w:r>
          <w:r>
            <w:rPr>
              <w:rFonts w:ascii="宋体" w:hAnsi="宋体"/>
              <w:bCs/>
            </w:rPr>
            <w:fldChar w:fldCharType="begin"/>
          </w:r>
          <w:r>
            <w:rPr>
              <w:rFonts w:ascii="宋体" w:hAnsi="宋体" w:hint="eastAsia"/>
              <w:bCs/>
            </w:rPr>
            <w:instrText xml:space="preserve"> MACROBUTTON  SnrToggleCheckbox √不适用 </w:instrText>
          </w:r>
          <w:r>
            <w:rPr>
              <w:rFonts w:ascii="宋体" w:hAnsi="宋体"/>
              <w:bCs/>
            </w:rPr>
            <w:fldChar w:fldCharType="end"/>
          </w:r>
        </w:p>
      </w:sdtContent>
    </w:sdt>
    <w:p w14:paraId="7B8331D4" w14:textId="77777777" w:rsidR="005E000F" w:rsidRDefault="005E000F"/>
    <w:p w14:paraId="731B8314" w14:textId="77777777" w:rsidR="005E000F" w:rsidRDefault="005E000F">
      <w:pPr>
        <w:autoSpaceDE w:val="0"/>
        <w:autoSpaceDN w:val="0"/>
        <w:adjustRightInd w:val="0"/>
      </w:pPr>
    </w:p>
    <w:p w14:paraId="01809A38"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lastRenderedPageBreak/>
        <w:t>营业外收入</w:t>
      </w:r>
    </w:p>
    <w:p w14:paraId="3DA904E0" w14:textId="77777777" w:rsidR="005E000F" w:rsidRDefault="00000000">
      <w:r>
        <w:rPr>
          <w:rFonts w:hint="eastAsia"/>
        </w:rPr>
        <w:t>营业外收入情况</w:t>
      </w:r>
    </w:p>
    <w:sdt>
      <w:sdtPr>
        <w:rPr>
          <w:rFonts w:hint="eastAsia"/>
        </w:rPr>
        <w:alias w:val="是否适用：营业外收入情况 [双击切换]"/>
        <w:tag w:val="_GBC_4aec8b65d0e744aaaddac8859ae249bc"/>
        <w:id w:val="1788073153"/>
        <w:placeholder>
          <w:docPart w:val="GBC22222222222222222222222222222"/>
        </w:placeholder>
      </w:sdtPr>
      <w:sdtContent>
        <w:p w14:paraId="182CD780"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B540B71" w14:textId="77777777" w:rsidR="005E000F" w:rsidRDefault="00000000">
      <w:pPr>
        <w:jc w:val="right"/>
      </w:pPr>
      <w:r>
        <w:rPr>
          <w:rFonts w:hint="eastAsia"/>
        </w:rPr>
        <w:t>单位：</w:t>
      </w:r>
      <w:sdt>
        <w:sdtPr>
          <w:rPr>
            <w:rFonts w:hint="eastAsia"/>
          </w:rPr>
          <w:alias w:val="单位：财务附注：营业外收入"/>
          <w:tag w:val="_GBC_79d3fe1c29e746e7b2a9a9acfcc43449"/>
          <w:id w:val="127289134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营业外收入"/>
          <w:tag w:val="_GBC_4266913812da4517aa68b2f8bff79fbe"/>
          <w:id w:val="-168774514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5"/>
        <w:gridCol w:w="2133"/>
        <w:gridCol w:w="1713"/>
        <w:gridCol w:w="2316"/>
      </w:tblGrid>
      <w:tr w:rsidR="005E000F" w14:paraId="08E93FC8" w14:textId="77777777">
        <w:sdt>
          <w:sdtPr>
            <w:tag w:val="_PLD_1b52b1902e1443609ba6891d7076aebe"/>
            <w:id w:val="-1580676605"/>
          </w:sdtPr>
          <w:sdtContent>
            <w:tc>
              <w:tcPr>
                <w:tcW w:w="2885" w:type="dxa"/>
                <w:tcBorders>
                  <w:top w:val="single" w:sz="4" w:space="0" w:color="auto"/>
                  <w:left w:val="single" w:sz="4" w:space="0" w:color="auto"/>
                  <w:bottom w:val="single" w:sz="4" w:space="0" w:color="auto"/>
                  <w:right w:val="single" w:sz="4" w:space="0" w:color="auto"/>
                </w:tcBorders>
                <w:vAlign w:val="center"/>
              </w:tcPr>
              <w:p w14:paraId="32479B89" w14:textId="77777777" w:rsidR="005E000F" w:rsidRDefault="00000000">
                <w:pPr>
                  <w:autoSpaceDE w:val="0"/>
                  <w:autoSpaceDN w:val="0"/>
                  <w:adjustRightInd w:val="0"/>
                  <w:jc w:val="center"/>
                </w:pPr>
                <w:r>
                  <w:rPr>
                    <w:rFonts w:hint="eastAsia"/>
                  </w:rPr>
                  <w:t>项目</w:t>
                </w:r>
              </w:p>
            </w:tc>
          </w:sdtContent>
        </w:sdt>
        <w:sdt>
          <w:sdtPr>
            <w:tag w:val="_PLD_9dc87bd465124a2289f545f76d28c96c"/>
            <w:id w:val="918216975"/>
          </w:sdtPr>
          <w:sdtContent>
            <w:tc>
              <w:tcPr>
                <w:tcW w:w="2133" w:type="dxa"/>
                <w:tcBorders>
                  <w:top w:val="single" w:sz="4" w:space="0" w:color="auto"/>
                  <w:left w:val="single" w:sz="4" w:space="0" w:color="auto"/>
                  <w:bottom w:val="single" w:sz="4" w:space="0" w:color="auto"/>
                  <w:right w:val="single" w:sz="4" w:space="0" w:color="auto"/>
                </w:tcBorders>
                <w:vAlign w:val="center"/>
              </w:tcPr>
              <w:p w14:paraId="00269411" w14:textId="77777777" w:rsidR="005E000F" w:rsidRDefault="00000000">
                <w:pPr>
                  <w:autoSpaceDE w:val="0"/>
                  <w:autoSpaceDN w:val="0"/>
                  <w:adjustRightInd w:val="0"/>
                  <w:jc w:val="center"/>
                </w:pPr>
                <w:r>
                  <w:rPr>
                    <w:rFonts w:hint="eastAsia"/>
                  </w:rPr>
                  <w:t>本期发生额</w:t>
                </w:r>
              </w:p>
            </w:tc>
          </w:sdtContent>
        </w:sdt>
        <w:sdt>
          <w:sdtPr>
            <w:tag w:val="_PLD_e1b91f5db91a439083c1f9a1b7d17ef9"/>
            <w:id w:val="1469773578"/>
          </w:sdtPr>
          <w:sdtContent>
            <w:tc>
              <w:tcPr>
                <w:tcW w:w="1713" w:type="dxa"/>
                <w:tcBorders>
                  <w:top w:val="single" w:sz="4" w:space="0" w:color="auto"/>
                  <w:left w:val="single" w:sz="4" w:space="0" w:color="auto"/>
                  <w:bottom w:val="single" w:sz="4" w:space="0" w:color="auto"/>
                  <w:right w:val="single" w:sz="4" w:space="0" w:color="auto"/>
                </w:tcBorders>
                <w:vAlign w:val="center"/>
              </w:tcPr>
              <w:p w14:paraId="630AF39D" w14:textId="77777777" w:rsidR="005E000F" w:rsidRDefault="00000000">
                <w:pPr>
                  <w:autoSpaceDE w:val="0"/>
                  <w:autoSpaceDN w:val="0"/>
                  <w:adjustRightInd w:val="0"/>
                  <w:jc w:val="center"/>
                </w:pPr>
                <w:r>
                  <w:rPr>
                    <w:rFonts w:hint="eastAsia"/>
                  </w:rPr>
                  <w:t>上期发生额</w:t>
                </w:r>
              </w:p>
            </w:tc>
          </w:sdtContent>
        </w:sdt>
        <w:sdt>
          <w:sdtPr>
            <w:tag w:val="_PLD_db1c9e08e7ea407889a350e8451d2848"/>
            <w:id w:val="-1212333822"/>
          </w:sdtPr>
          <w:sdtContent>
            <w:tc>
              <w:tcPr>
                <w:tcW w:w="2316" w:type="dxa"/>
                <w:tcBorders>
                  <w:top w:val="single" w:sz="4" w:space="0" w:color="auto"/>
                  <w:left w:val="single" w:sz="4" w:space="0" w:color="auto"/>
                  <w:bottom w:val="single" w:sz="4" w:space="0" w:color="auto"/>
                  <w:right w:val="single" w:sz="4" w:space="0" w:color="auto"/>
                </w:tcBorders>
                <w:vAlign w:val="center"/>
              </w:tcPr>
              <w:p w14:paraId="3630CB05" w14:textId="77777777" w:rsidR="005E000F" w:rsidRDefault="00000000">
                <w:pPr>
                  <w:autoSpaceDE w:val="0"/>
                  <w:autoSpaceDN w:val="0"/>
                  <w:adjustRightInd w:val="0"/>
                  <w:jc w:val="center"/>
                  <w:rPr>
                    <w:color w:val="FF0000"/>
                  </w:rPr>
                </w:pPr>
                <w:r>
                  <w:rPr>
                    <w:rFonts w:hint="eastAsia"/>
                  </w:rPr>
                  <w:t>计入当期非经常性损益的金额</w:t>
                </w:r>
              </w:p>
            </w:tc>
          </w:sdtContent>
        </w:sdt>
      </w:tr>
      <w:tr w:rsidR="005E000F" w14:paraId="6E560D7C" w14:textId="77777777">
        <w:tc>
          <w:tcPr>
            <w:tcW w:w="2885" w:type="dxa"/>
            <w:tcBorders>
              <w:top w:val="single" w:sz="4" w:space="0" w:color="auto"/>
              <w:left w:val="single" w:sz="4" w:space="0" w:color="auto"/>
              <w:bottom w:val="single" w:sz="4" w:space="0" w:color="auto"/>
              <w:right w:val="single" w:sz="4" w:space="0" w:color="auto"/>
            </w:tcBorders>
            <w:vAlign w:val="center"/>
          </w:tcPr>
          <w:p w14:paraId="7740A1A3" w14:textId="77777777" w:rsidR="005E000F" w:rsidRDefault="00000000">
            <w:pPr>
              <w:autoSpaceDE w:val="0"/>
              <w:autoSpaceDN w:val="0"/>
              <w:adjustRightInd w:val="0"/>
            </w:pPr>
            <w:r>
              <w:rPr>
                <w:rFonts w:hint="eastAsia"/>
              </w:rPr>
              <w:t>非流动资产处置利得合计</w:t>
            </w:r>
          </w:p>
        </w:tc>
        <w:tc>
          <w:tcPr>
            <w:tcW w:w="2133" w:type="dxa"/>
            <w:tcBorders>
              <w:top w:val="single" w:sz="4" w:space="0" w:color="auto"/>
              <w:left w:val="single" w:sz="4" w:space="0" w:color="auto"/>
              <w:bottom w:val="single" w:sz="4" w:space="0" w:color="auto"/>
              <w:right w:val="single" w:sz="4" w:space="0" w:color="auto"/>
            </w:tcBorders>
            <w:vAlign w:val="center"/>
          </w:tcPr>
          <w:p w14:paraId="0585DD15" w14:textId="77777777" w:rsidR="005E000F" w:rsidRDefault="00000000">
            <w:pPr>
              <w:jc w:val="right"/>
            </w:pPr>
            <w:r>
              <w:t>19,075,361</w:t>
            </w:r>
          </w:p>
        </w:tc>
        <w:tc>
          <w:tcPr>
            <w:tcW w:w="1713" w:type="dxa"/>
            <w:tcBorders>
              <w:top w:val="single" w:sz="4" w:space="0" w:color="auto"/>
              <w:left w:val="single" w:sz="4" w:space="0" w:color="auto"/>
              <w:bottom w:val="single" w:sz="4" w:space="0" w:color="auto"/>
              <w:right w:val="single" w:sz="4" w:space="0" w:color="auto"/>
            </w:tcBorders>
            <w:vAlign w:val="center"/>
          </w:tcPr>
          <w:p w14:paraId="7B7F33A2" w14:textId="77777777" w:rsidR="005E000F" w:rsidRDefault="00000000">
            <w:pPr>
              <w:jc w:val="right"/>
            </w:pPr>
            <w:r>
              <w:t>7,500,401</w:t>
            </w:r>
          </w:p>
        </w:tc>
        <w:tc>
          <w:tcPr>
            <w:tcW w:w="2316" w:type="dxa"/>
            <w:tcBorders>
              <w:top w:val="single" w:sz="4" w:space="0" w:color="auto"/>
              <w:left w:val="single" w:sz="4" w:space="0" w:color="auto"/>
              <w:bottom w:val="single" w:sz="4" w:space="0" w:color="auto"/>
              <w:right w:val="single" w:sz="4" w:space="0" w:color="auto"/>
            </w:tcBorders>
            <w:vAlign w:val="center"/>
          </w:tcPr>
          <w:p w14:paraId="59ECD938" w14:textId="77777777" w:rsidR="005E000F" w:rsidRDefault="00000000">
            <w:pPr>
              <w:jc w:val="right"/>
            </w:pPr>
            <w:r>
              <w:t>19,075,361</w:t>
            </w:r>
          </w:p>
        </w:tc>
      </w:tr>
      <w:tr w:rsidR="005E000F" w14:paraId="28977FEE" w14:textId="77777777">
        <w:tc>
          <w:tcPr>
            <w:tcW w:w="2885" w:type="dxa"/>
            <w:tcBorders>
              <w:top w:val="single" w:sz="4" w:space="0" w:color="auto"/>
              <w:left w:val="single" w:sz="4" w:space="0" w:color="auto"/>
              <w:bottom w:val="single" w:sz="4" w:space="0" w:color="auto"/>
              <w:right w:val="single" w:sz="4" w:space="0" w:color="auto"/>
            </w:tcBorders>
            <w:vAlign w:val="center"/>
          </w:tcPr>
          <w:p w14:paraId="76504D92" w14:textId="77777777" w:rsidR="005E000F" w:rsidRDefault="00000000">
            <w:pPr>
              <w:autoSpaceDE w:val="0"/>
              <w:autoSpaceDN w:val="0"/>
              <w:adjustRightInd w:val="0"/>
            </w:pPr>
            <w:r>
              <w:rPr>
                <w:rFonts w:hint="eastAsia"/>
              </w:rPr>
              <w:t>其中：固定资产处置利得</w:t>
            </w:r>
          </w:p>
        </w:tc>
        <w:tc>
          <w:tcPr>
            <w:tcW w:w="2133" w:type="dxa"/>
            <w:tcBorders>
              <w:top w:val="single" w:sz="4" w:space="0" w:color="auto"/>
              <w:left w:val="single" w:sz="4" w:space="0" w:color="auto"/>
              <w:bottom w:val="single" w:sz="4" w:space="0" w:color="auto"/>
              <w:right w:val="single" w:sz="4" w:space="0" w:color="auto"/>
            </w:tcBorders>
            <w:vAlign w:val="center"/>
          </w:tcPr>
          <w:p w14:paraId="01BCE03D" w14:textId="77777777" w:rsidR="005E000F" w:rsidRDefault="00000000">
            <w:pPr>
              <w:jc w:val="right"/>
            </w:pPr>
            <w:r>
              <w:t>19,075,361</w:t>
            </w:r>
          </w:p>
        </w:tc>
        <w:tc>
          <w:tcPr>
            <w:tcW w:w="1713" w:type="dxa"/>
            <w:tcBorders>
              <w:top w:val="single" w:sz="4" w:space="0" w:color="auto"/>
              <w:left w:val="single" w:sz="4" w:space="0" w:color="auto"/>
              <w:bottom w:val="single" w:sz="4" w:space="0" w:color="auto"/>
              <w:right w:val="single" w:sz="4" w:space="0" w:color="auto"/>
            </w:tcBorders>
            <w:vAlign w:val="center"/>
          </w:tcPr>
          <w:p w14:paraId="45F343ED" w14:textId="77777777" w:rsidR="005E000F" w:rsidRDefault="00000000">
            <w:pPr>
              <w:jc w:val="right"/>
            </w:pPr>
            <w:r>
              <w:t>7,500,401</w:t>
            </w:r>
          </w:p>
        </w:tc>
        <w:tc>
          <w:tcPr>
            <w:tcW w:w="2316" w:type="dxa"/>
            <w:tcBorders>
              <w:top w:val="single" w:sz="4" w:space="0" w:color="auto"/>
              <w:left w:val="single" w:sz="4" w:space="0" w:color="auto"/>
              <w:bottom w:val="single" w:sz="4" w:space="0" w:color="auto"/>
              <w:right w:val="single" w:sz="4" w:space="0" w:color="auto"/>
            </w:tcBorders>
            <w:vAlign w:val="center"/>
          </w:tcPr>
          <w:p w14:paraId="2081A4AF" w14:textId="77777777" w:rsidR="005E000F" w:rsidRDefault="00000000">
            <w:pPr>
              <w:jc w:val="right"/>
            </w:pPr>
            <w:r>
              <w:t>19,075,361</w:t>
            </w:r>
          </w:p>
        </w:tc>
      </w:tr>
      <w:tr w:rsidR="005E000F" w14:paraId="7A3C0E71" w14:textId="77777777">
        <w:tc>
          <w:tcPr>
            <w:tcW w:w="2885" w:type="dxa"/>
            <w:tcBorders>
              <w:top w:val="single" w:sz="4" w:space="0" w:color="auto"/>
              <w:left w:val="single" w:sz="4" w:space="0" w:color="auto"/>
              <w:bottom w:val="single" w:sz="4" w:space="0" w:color="auto"/>
              <w:right w:val="single" w:sz="4" w:space="0" w:color="auto"/>
            </w:tcBorders>
            <w:vAlign w:val="center"/>
          </w:tcPr>
          <w:p w14:paraId="57138355" w14:textId="77777777" w:rsidR="005E000F" w:rsidRDefault="00000000">
            <w:pPr>
              <w:jc w:val="center"/>
            </w:pPr>
            <w:r>
              <w:rPr>
                <w:rFonts w:hint="eastAsia"/>
              </w:rPr>
              <w:t>其他</w:t>
            </w:r>
          </w:p>
        </w:tc>
        <w:tc>
          <w:tcPr>
            <w:tcW w:w="2133" w:type="dxa"/>
            <w:tcBorders>
              <w:top w:val="single" w:sz="4" w:space="0" w:color="auto"/>
              <w:left w:val="single" w:sz="4" w:space="0" w:color="auto"/>
              <w:bottom w:val="single" w:sz="4" w:space="0" w:color="auto"/>
              <w:right w:val="single" w:sz="4" w:space="0" w:color="auto"/>
            </w:tcBorders>
            <w:vAlign w:val="center"/>
          </w:tcPr>
          <w:p w14:paraId="22A244B9" w14:textId="77777777" w:rsidR="005E000F" w:rsidRDefault="00000000">
            <w:pPr>
              <w:jc w:val="right"/>
            </w:pPr>
            <w:r>
              <w:t>16,409,029</w:t>
            </w:r>
          </w:p>
        </w:tc>
        <w:tc>
          <w:tcPr>
            <w:tcW w:w="1713" w:type="dxa"/>
            <w:tcBorders>
              <w:top w:val="single" w:sz="4" w:space="0" w:color="auto"/>
              <w:left w:val="single" w:sz="4" w:space="0" w:color="auto"/>
              <w:bottom w:val="single" w:sz="4" w:space="0" w:color="auto"/>
              <w:right w:val="single" w:sz="4" w:space="0" w:color="auto"/>
            </w:tcBorders>
            <w:vAlign w:val="center"/>
          </w:tcPr>
          <w:p w14:paraId="463335D0" w14:textId="77777777" w:rsidR="005E000F" w:rsidRDefault="00000000">
            <w:pPr>
              <w:jc w:val="right"/>
            </w:pPr>
            <w:r>
              <w:t>50,884,103</w:t>
            </w:r>
          </w:p>
        </w:tc>
        <w:tc>
          <w:tcPr>
            <w:tcW w:w="2316" w:type="dxa"/>
            <w:tcBorders>
              <w:top w:val="single" w:sz="4" w:space="0" w:color="auto"/>
              <w:left w:val="single" w:sz="4" w:space="0" w:color="auto"/>
              <w:bottom w:val="single" w:sz="4" w:space="0" w:color="auto"/>
              <w:right w:val="single" w:sz="4" w:space="0" w:color="auto"/>
            </w:tcBorders>
            <w:vAlign w:val="center"/>
          </w:tcPr>
          <w:p w14:paraId="35A446C7" w14:textId="77777777" w:rsidR="005E000F" w:rsidRDefault="00000000">
            <w:pPr>
              <w:jc w:val="right"/>
            </w:pPr>
            <w:r>
              <w:t>16,409,029</w:t>
            </w:r>
          </w:p>
        </w:tc>
      </w:tr>
      <w:tr w:rsidR="005E000F" w14:paraId="65DB635F" w14:textId="77777777">
        <w:tc>
          <w:tcPr>
            <w:tcW w:w="2885" w:type="dxa"/>
            <w:tcBorders>
              <w:top w:val="single" w:sz="4" w:space="0" w:color="auto"/>
              <w:left w:val="single" w:sz="4" w:space="0" w:color="auto"/>
              <w:bottom w:val="single" w:sz="4" w:space="0" w:color="auto"/>
              <w:right w:val="single" w:sz="4" w:space="0" w:color="auto"/>
            </w:tcBorders>
            <w:vAlign w:val="center"/>
          </w:tcPr>
          <w:p w14:paraId="6D02F032" w14:textId="77777777" w:rsidR="005E000F" w:rsidRDefault="00000000">
            <w:pPr>
              <w:jc w:val="center"/>
            </w:pPr>
            <w:r>
              <w:rPr>
                <w:rFonts w:hint="eastAsia"/>
              </w:rPr>
              <w:t>合计</w:t>
            </w:r>
          </w:p>
        </w:tc>
        <w:tc>
          <w:tcPr>
            <w:tcW w:w="2133" w:type="dxa"/>
            <w:tcBorders>
              <w:top w:val="single" w:sz="4" w:space="0" w:color="auto"/>
              <w:left w:val="single" w:sz="4" w:space="0" w:color="auto"/>
              <w:bottom w:val="single" w:sz="4" w:space="0" w:color="auto"/>
              <w:right w:val="single" w:sz="4" w:space="0" w:color="auto"/>
            </w:tcBorders>
            <w:vAlign w:val="center"/>
          </w:tcPr>
          <w:p w14:paraId="24C5A4C7" w14:textId="77777777" w:rsidR="005E000F" w:rsidRDefault="00000000">
            <w:pPr>
              <w:jc w:val="right"/>
            </w:pPr>
            <w:r>
              <w:t>35,484,390</w:t>
            </w:r>
          </w:p>
        </w:tc>
        <w:tc>
          <w:tcPr>
            <w:tcW w:w="1713" w:type="dxa"/>
            <w:tcBorders>
              <w:top w:val="single" w:sz="4" w:space="0" w:color="auto"/>
              <w:left w:val="single" w:sz="4" w:space="0" w:color="auto"/>
              <w:bottom w:val="single" w:sz="4" w:space="0" w:color="auto"/>
              <w:right w:val="single" w:sz="4" w:space="0" w:color="auto"/>
            </w:tcBorders>
            <w:vAlign w:val="center"/>
          </w:tcPr>
          <w:p w14:paraId="4D4F2E73" w14:textId="77777777" w:rsidR="005E000F" w:rsidRDefault="00000000">
            <w:pPr>
              <w:jc w:val="right"/>
            </w:pPr>
            <w:r>
              <w:t>58,384,504</w:t>
            </w:r>
          </w:p>
        </w:tc>
        <w:tc>
          <w:tcPr>
            <w:tcW w:w="2316" w:type="dxa"/>
            <w:tcBorders>
              <w:top w:val="single" w:sz="4" w:space="0" w:color="auto"/>
              <w:left w:val="single" w:sz="4" w:space="0" w:color="auto"/>
              <w:bottom w:val="single" w:sz="4" w:space="0" w:color="auto"/>
              <w:right w:val="single" w:sz="4" w:space="0" w:color="auto"/>
            </w:tcBorders>
            <w:vAlign w:val="center"/>
          </w:tcPr>
          <w:p w14:paraId="71B5C88B" w14:textId="77777777" w:rsidR="005E000F" w:rsidRDefault="00000000">
            <w:pPr>
              <w:jc w:val="right"/>
            </w:pPr>
            <w:r>
              <w:t>35,484,390</w:t>
            </w:r>
          </w:p>
        </w:tc>
      </w:tr>
    </w:tbl>
    <w:p w14:paraId="2C801C7D" w14:textId="77777777" w:rsidR="005E000F" w:rsidRDefault="005E000F"/>
    <w:p w14:paraId="49D1AD3E" w14:textId="77777777" w:rsidR="005E000F" w:rsidRDefault="00000000">
      <w:pPr>
        <w:spacing w:before="60" w:after="60" w:line="360" w:lineRule="exact"/>
      </w:pPr>
      <w:r>
        <w:rPr>
          <w:rFonts w:hint="eastAsia"/>
        </w:rPr>
        <w:t>其他说明：</w:t>
      </w:r>
    </w:p>
    <w:sdt>
      <w:sdtPr>
        <w:alias w:val="是否适用：营业外收入说明[双击切换]"/>
        <w:tag w:val="_GBC_746f9c9c9cab4c2a87c7913a430e2392"/>
        <w:id w:val="1050965109"/>
        <w:placeholder>
          <w:docPart w:val="GBC22222222222222222222222222222"/>
        </w:placeholder>
      </w:sdtPr>
      <w:sdtContent>
        <w:p w14:paraId="0BF00875" w14:textId="77777777" w:rsidR="005E000F" w:rsidRDefault="00000000">
          <w:pPr>
            <w:spacing w:before="60" w:after="60" w:line="360" w:lineRule="exact"/>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2811752" w14:textId="77777777" w:rsidR="005E000F" w:rsidRDefault="005E000F"/>
    <w:p w14:paraId="7D685BB5"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营业外支出</w:t>
      </w:r>
    </w:p>
    <w:sdt>
      <w:sdtPr>
        <w:rPr>
          <w:rFonts w:hint="eastAsia"/>
        </w:rPr>
        <w:alias w:val="是否适用：营业外支出[双击切换]"/>
        <w:tag w:val="_GBC_8e8d3e6e563742f48edf759d6034f4ce"/>
        <w:id w:val="1775890662"/>
        <w:placeholder>
          <w:docPart w:val="GBC22222222222222222222222222222"/>
        </w:placeholder>
      </w:sdtPr>
      <w:sdtContent>
        <w:p w14:paraId="2793346E"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54F153C" w14:textId="77777777" w:rsidR="005E000F" w:rsidRDefault="00000000">
      <w:pPr>
        <w:jc w:val="right"/>
      </w:pPr>
      <w:r>
        <w:rPr>
          <w:rFonts w:hint="eastAsia"/>
        </w:rPr>
        <w:t>单位：</w:t>
      </w:r>
      <w:sdt>
        <w:sdtPr>
          <w:rPr>
            <w:rFonts w:hint="eastAsia"/>
          </w:rPr>
          <w:alias w:val="单位：财务附注：营业外支出"/>
          <w:tag w:val="_GBC_825ccc5a51fd47a4888bf19121bc88e6"/>
          <w:id w:val="66752081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营业外支出"/>
          <w:tag w:val="_GBC_0236683596bd499a92bd40e4c42dc931"/>
          <w:id w:val="-143442770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3"/>
        <w:gridCol w:w="2111"/>
        <w:gridCol w:w="1857"/>
        <w:gridCol w:w="2316"/>
      </w:tblGrid>
      <w:tr w:rsidR="005E000F" w14:paraId="598D7972" w14:textId="77777777">
        <w:sdt>
          <w:sdtPr>
            <w:tag w:val="_PLD_3e5b39f95fae41609c103f36a1017c54"/>
            <w:id w:val="-621771926"/>
          </w:sdtPr>
          <w:sdtContent>
            <w:tc>
              <w:tcPr>
                <w:tcW w:w="2763" w:type="dxa"/>
                <w:tcBorders>
                  <w:top w:val="single" w:sz="4" w:space="0" w:color="auto"/>
                  <w:left w:val="single" w:sz="4" w:space="0" w:color="auto"/>
                  <w:bottom w:val="single" w:sz="4" w:space="0" w:color="auto"/>
                  <w:right w:val="single" w:sz="4" w:space="0" w:color="auto"/>
                </w:tcBorders>
                <w:vAlign w:val="center"/>
              </w:tcPr>
              <w:p w14:paraId="55EE7E41" w14:textId="77777777" w:rsidR="005E000F" w:rsidRDefault="00000000">
                <w:pPr>
                  <w:autoSpaceDE w:val="0"/>
                  <w:autoSpaceDN w:val="0"/>
                  <w:adjustRightInd w:val="0"/>
                  <w:jc w:val="center"/>
                </w:pPr>
                <w:r>
                  <w:rPr>
                    <w:rFonts w:hint="eastAsia"/>
                  </w:rPr>
                  <w:t>项目</w:t>
                </w:r>
              </w:p>
            </w:tc>
          </w:sdtContent>
        </w:sdt>
        <w:sdt>
          <w:sdtPr>
            <w:tag w:val="_PLD_9ea5703e0d9641a1acf20638053e3dd5"/>
            <w:id w:val="-1408376861"/>
          </w:sdtPr>
          <w:sdtContent>
            <w:tc>
              <w:tcPr>
                <w:tcW w:w="2111" w:type="dxa"/>
                <w:tcBorders>
                  <w:top w:val="single" w:sz="4" w:space="0" w:color="auto"/>
                  <w:left w:val="single" w:sz="4" w:space="0" w:color="auto"/>
                  <w:bottom w:val="single" w:sz="4" w:space="0" w:color="auto"/>
                  <w:right w:val="single" w:sz="4" w:space="0" w:color="auto"/>
                </w:tcBorders>
                <w:vAlign w:val="center"/>
              </w:tcPr>
              <w:p w14:paraId="396E6D30" w14:textId="77777777" w:rsidR="005E000F" w:rsidRDefault="00000000">
                <w:pPr>
                  <w:autoSpaceDE w:val="0"/>
                  <w:autoSpaceDN w:val="0"/>
                  <w:adjustRightInd w:val="0"/>
                  <w:jc w:val="center"/>
                </w:pPr>
                <w:r>
                  <w:rPr>
                    <w:rFonts w:hint="eastAsia"/>
                  </w:rPr>
                  <w:t>本期发生额</w:t>
                </w:r>
              </w:p>
            </w:tc>
          </w:sdtContent>
        </w:sdt>
        <w:sdt>
          <w:sdtPr>
            <w:tag w:val="_PLD_27cbc4bb29594bcfa61154a0d46b4d20"/>
            <w:id w:val="1623270033"/>
          </w:sdtPr>
          <w:sdtContent>
            <w:tc>
              <w:tcPr>
                <w:tcW w:w="1857" w:type="dxa"/>
                <w:tcBorders>
                  <w:top w:val="single" w:sz="4" w:space="0" w:color="auto"/>
                  <w:left w:val="single" w:sz="4" w:space="0" w:color="auto"/>
                  <w:bottom w:val="single" w:sz="4" w:space="0" w:color="auto"/>
                  <w:right w:val="single" w:sz="4" w:space="0" w:color="auto"/>
                </w:tcBorders>
                <w:vAlign w:val="center"/>
              </w:tcPr>
              <w:p w14:paraId="5C5FA1A7" w14:textId="77777777" w:rsidR="005E000F" w:rsidRDefault="00000000">
                <w:pPr>
                  <w:autoSpaceDE w:val="0"/>
                  <w:autoSpaceDN w:val="0"/>
                  <w:adjustRightInd w:val="0"/>
                  <w:jc w:val="center"/>
                </w:pPr>
                <w:r>
                  <w:rPr>
                    <w:rFonts w:hint="eastAsia"/>
                  </w:rPr>
                  <w:t>上期发生额</w:t>
                </w:r>
              </w:p>
            </w:tc>
          </w:sdtContent>
        </w:sdt>
        <w:sdt>
          <w:sdtPr>
            <w:tag w:val="_PLD_cab5bf568f924fed9d087fb26b588481"/>
            <w:id w:val="1579488277"/>
          </w:sdtPr>
          <w:sdtContent>
            <w:tc>
              <w:tcPr>
                <w:tcW w:w="2316" w:type="dxa"/>
                <w:tcBorders>
                  <w:top w:val="single" w:sz="4" w:space="0" w:color="auto"/>
                  <w:left w:val="single" w:sz="4" w:space="0" w:color="auto"/>
                  <w:bottom w:val="single" w:sz="4" w:space="0" w:color="auto"/>
                  <w:right w:val="single" w:sz="4" w:space="0" w:color="auto"/>
                </w:tcBorders>
                <w:vAlign w:val="center"/>
              </w:tcPr>
              <w:p w14:paraId="5BC96DFD" w14:textId="77777777" w:rsidR="005E000F" w:rsidRDefault="00000000">
                <w:pPr>
                  <w:autoSpaceDE w:val="0"/>
                  <w:autoSpaceDN w:val="0"/>
                  <w:adjustRightInd w:val="0"/>
                  <w:jc w:val="center"/>
                </w:pPr>
                <w:r>
                  <w:rPr>
                    <w:rFonts w:hint="eastAsia"/>
                  </w:rPr>
                  <w:t>计入当期非经常性损益的金额</w:t>
                </w:r>
              </w:p>
            </w:tc>
          </w:sdtContent>
        </w:sdt>
      </w:tr>
      <w:tr w:rsidR="005E000F" w14:paraId="30D8CBCB" w14:textId="77777777">
        <w:tc>
          <w:tcPr>
            <w:tcW w:w="2763" w:type="dxa"/>
            <w:tcBorders>
              <w:top w:val="single" w:sz="4" w:space="0" w:color="auto"/>
              <w:left w:val="single" w:sz="4" w:space="0" w:color="auto"/>
              <w:bottom w:val="single" w:sz="4" w:space="0" w:color="auto"/>
              <w:right w:val="single" w:sz="4" w:space="0" w:color="auto"/>
            </w:tcBorders>
            <w:vAlign w:val="center"/>
          </w:tcPr>
          <w:p w14:paraId="2378F1E4" w14:textId="77777777" w:rsidR="005E000F" w:rsidRDefault="00000000">
            <w:pPr>
              <w:autoSpaceDE w:val="0"/>
              <w:autoSpaceDN w:val="0"/>
              <w:adjustRightInd w:val="0"/>
            </w:pPr>
            <w:r>
              <w:rPr>
                <w:rFonts w:hint="eastAsia"/>
              </w:rPr>
              <w:t>非流动资产处置损失合计</w:t>
            </w:r>
          </w:p>
        </w:tc>
        <w:tc>
          <w:tcPr>
            <w:tcW w:w="2111" w:type="dxa"/>
            <w:tcBorders>
              <w:top w:val="single" w:sz="4" w:space="0" w:color="auto"/>
              <w:left w:val="single" w:sz="4" w:space="0" w:color="auto"/>
              <w:bottom w:val="single" w:sz="4" w:space="0" w:color="auto"/>
              <w:right w:val="single" w:sz="4" w:space="0" w:color="auto"/>
            </w:tcBorders>
            <w:vAlign w:val="center"/>
          </w:tcPr>
          <w:p w14:paraId="71E48BBF" w14:textId="77777777" w:rsidR="005E000F" w:rsidRDefault="00000000">
            <w:pPr>
              <w:jc w:val="right"/>
            </w:pPr>
            <w:r>
              <w:t>34,624,255</w:t>
            </w:r>
          </w:p>
        </w:tc>
        <w:tc>
          <w:tcPr>
            <w:tcW w:w="1857" w:type="dxa"/>
            <w:tcBorders>
              <w:top w:val="single" w:sz="4" w:space="0" w:color="auto"/>
              <w:left w:val="single" w:sz="4" w:space="0" w:color="auto"/>
              <w:bottom w:val="single" w:sz="4" w:space="0" w:color="auto"/>
              <w:right w:val="single" w:sz="4" w:space="0" w:color="auto"/>
            </w:tcBorders>
            <w:vAlign w:val="center"/>
          </w:tcPr>
          <w:p w14:paraId="67D20902" w14:textId="77777777" w:rsidR="005E000F" w:rsidRDefault="00000000">
            <w:pPr>
              <w:jc w:val="right"/>
            </w:pPr>
            <w:r>
              <w:t>69,241,210</w:t>
            </w:r>
          </w:p>
        </w:tc>
        <w:tc>
          <w:tcPr>
            <w:tcW w:w="2316" w:type="dxa"/>
            <w:tcBorders>
              <w:top w:val="single" w:sz="4" w:space="0" w:color="auto"/>
              <w:left w:val="single" w:sz="4" w:space="0" w:color="auto"/>
              <w:bottom w:val="single" w:sz="4" w:space="0" w:color="auto"/>
              <w:right w:val="single" w:sz="4" w:space="0" w:color="auto"/>
            </w:tcBorders>
            <w:vAlign w:val="center"/>
          </w:tcPr>
          <w:p w14:paraId="7FB07DD8" w14:textId="77777777" w:rsidR="005E000F" w:rsidRDefault="00000000">
            <w:pPr>
              <w:jc w:val="right"/>
            </w:pPr>
            <w:r>
              <w:t>34,624,255</w:t>
            </w:r>
          </w:p>
        </w:tc>
      </w:tr>
      <w:tr w:rsidR="005E000F" w14:paraId="46D12DD5" w14:textId="77777777">
        <w:tc>
          <w:tcPr>
            <w:tcW w:w="2763" w:type="dxa"/>
            <w:tcBorders>
              <w:top w:val="single" w:sz="4" w:space="0" w:color="auto"/>
              <w:left w:val="single" w:sz="4" w:space="0" w:color="auto"/>
              <w:bottom w:val="single" w:sz="4" w:space="0" w:color="auto"/>
              <w:right w:val="single" w:sz="4" w:space="0" w:color="auto"/>
            </w:tcBorders>
            <w:vAlign w:val="center"/>
          </w:tcPr>
          <w:p w14:paraId="080EFC32" w14:textId="77777777" w:rsidR="005E000F" w:rsidRDefault="00000000">
            <w:pPr>
              <w:autoSpaceDE w:val="0"/>
              <w:autoSpaceDN w:val="0"/>
              <w:adjustRightInd w:val="0"/>
            </w:pPr>
            <w:r>
              <w:rPr>
                <w:rFonts w:hint="eastAsia"/>
              </w:rPr>
              <w:t>其中：固定资产处置损失</w:t>
            </w:r>
          </w:p>
        </w:tc>
        <w:tc>
          <w:tcPr>
            <w:tcW w:w="2111" w:type="dxa"/>
            <w:tcBorders>
              <w:top w:val="single" w:sz="4" w:space="0" w:color="auto"/>
              <w:left w:val="single" w:sz="4" w:space="0" w:color="auto"/>
              <w:bottom w:val="single" w:sz="4" w:space="0" w:color="auto"/>
              <w:right w:val="single" w:sz="4" w:space="0" w:color="auto"/>
            </w:tcBorders>
            <w:vAlign w:val="center"/>
          </w:tcPr>
          <w:p w14:paraId="41EDCEA6" w14:textId="77777777" w:rsidR="005E000F" w:rsidRDefault="00000000">
            <w:pPr>
              <w:jc w:val="right"/>
            </w:pPr>
            <w:r>
              <w:t>34,624,255</w:t>
            </w:r>
          </w:p>
        </w:tc>
        <w:tc>
          <w:tcPr>
            <w:tcW w:w="1857" w:type="dxa"/>
            <w:tcBorders>
              <w:top w:val="single" w:sz="4" w:space="0" w:color="auto"/>
              <w:left w:val="single" w:sz="4" w:space="0" w:color="auto"/>
              <w:bottom w:val="single" w:sz="4" w:space="0" w:color="auto"/>
              <w:right w:val="single" w:sz="4" w:space="0" w:color="auto"/>
            </w:tcBorders>
            <w:vAlign w:val="center"/>
          </w:tcPr>
          <w:p w14:paraId="5B1D90E4" w14:textId="77777777" w:rsidR="005E000F" w:rsidRDefault="00000000">
            <w:pPr>
              <w:jc w:val="right"/>
            </w:pPr>
            <w:r>
              <w:t>69,241,210</w:t>
            </w:r>
          </w:p>
        </w:tc>
        <w:tc>
          <w:tcPr>
            <w:tcW w:w="2316" w:type="dxa"/>
            <w:tcBorders>
              <w:top w:val="single" w:sz="4" w:space="0" w:color="auto"/>
              <w:left w:val="single" w:sz="4" w:space="0" w:color="auto"/>
              <w:bottom w:val="single" w:sz="4" w:space="0" w:color="auto"/>
              <w:right w:val="single" w:sz="4" w:space="0" w:color="auto"/>
            </w:tcBorders>
            <w:vAlign w:val="center"/>
          </w:tcPr>
          <w:p w14:paraId="184C6BD3" w14:textId="77777777" w:rsidR="005E000F" w:rsidRDefault="00000000">
            <w:pPr>
              <w:jc w:val="right"/>
            </w:pPr>
            <w:r>
              <w:t>34,624,255</w:t>
            </w:r>
          </w:p>
        </w:tc>
      </w:tr>
      <w:tr w:rsidR="005E000F" w14:paraId="60F52CAC" w14:textId="77777777">
        <w:tc>
          <w:tcPr>
            <w:tcW w:w="2763" w:type="dxa"/>
            <w:tcBorders>
              <w:top w:val="single" w:sz="4" w:space="0" w:color="auto"/>
              <w:left w:val="single" w:sz="4" w:space="0" w:color="auto"/>
              <w:bottom w:val="single" w:sz="4" w:space="0" w:color="auto"/>
              <w:right w:val="single" w:sz="4" w:space="0" w:color="auto"/>
            </w:tcBorders>
          </w:tcPr>
          <w:p w14:paraId="61D81659" w14:textId="77777777" w:rsidR="005E000F" w:rsidRDefault="00000000">
            <w:pPr>
              <w:autoSpaceDE w:val="0"/>
              <w:autoSpaceDN w:val="0"/>
              <w:adjustRightInd w:val="0"/>
            </w:pPr>
            <w:r>
              <w:rPr>
                <w:rFonts w:hint="eastAsia"/>
              </w:rPr>
              <w:t>铁路公安经费支出（注）</w:t>
            </w:r>
          </w:p>
        </w:tc>
        <w:tc>
          <w:tcPr>
            <w:tcW w:w="2111" w:type="dxa"/>
            <w:tcBorders>
              <w:top w:val="single" w:sz="4" w:space="0" w:color="auto"/>
              <w:left w:val="single" w:sz="4" w:space="0" w:color="auto"/>
              <w:bottom w:val="single" w:sz="4" w:space="0" w:color="auto"/>
              <w:right w:val="single" w:sz="4" w:space="0" w:color="auto"/>
            </w:tcBorders>
            <w:vAlign w:val="center"/>
          </w:tcPr>
          <w:p w14:paraId="39DE4998" w14:textId="77777777" w:rsidR="005E000F" w:rsidRDefault="00000000">
            <w:pPr>
              <w:jc w:val="right"/>
            </w:pPr>
            <w:r>
              <w:t>67,451,231</w:t>
            </w:r>
          </w:p>
        </w:tc>
        <w:tc>
          <w:tcPr>
            <w:tcW w:w="1857" w:type="dxa"/>
            <w:tcBorders>
              <w:top w:val="single" w:sz="4" w:space="0" w:color="auto"/>
              <w:left w:val="single" w:sz="4" w:space="0" w:color="auto"/>
              <w:bottom w:val="single" w:sz="4" w:space="0" w:color="auto"/>
              <w:right w:val="single" w:sz="4" w:space="0" w:color="auto"/>
            </w:tcBorders>
          </w:tcPr>
          <w:p w14:paraId="1FBA3053" w14:textId="77777777" w:rsidR="005E000F" w:rsidRDefault="00000000">
            <w:pPr>
              <w:jc w:val="right"/>
              <w:rPr>
                <w:lang w:eastAsia="en-US"/>
              </w:rPr>
            </w:pPr>
            <w:r>
              <w:t>72,582,706</w:t>
            </w:r>
          </w:p>
        </w:tc>
        <w:tc>
          <w:tcPr>
            <w:tcW w:w="2316" w:type="dxa"/>
            <w:tcBorders>
              <w:top w:val="single" w:sz="4" w:space="0" w:color="auto"/>
              <w:left w:val="single" w:sz="4" w:space="0" w:color="auto"/>
              <w:bottom w:val="single" w:sz="4" w:space="0" w:color="auto"/>
              <w:right w:val="single" w:sz="4" w:space="0" w:color="auto"/>
            </w:tcBorders>
            <w:vAlign w:val="center"/>
          </w:tcPr>
          <w:p w14:paraId="44DCAD67" w14:textId="77777777" w:rsidR="005E000F" w:rsidRDefault="00000000">
            <w:pPr>
              <w:jc w:val="right"/>
            </w:pPr>
            <w:r>
              <w:t>67,451,231</w:t>
            </w:r>
          </w:p>
        </w:tc>
      </w:tr>
      <w:tr w:rsidR="005E000F" w14:paraId="7FD77819" w14:textId="77777777">
        <w:tc>
          <w:tcPr>
            <w:tcW w:w="2763" w:type="dxa"/>
            <w:tcBorders>
              <w:top w:val="single" w:sz="4" w:space="0" w:color="auto"/>
              <w:left w:val="single" w:sz="4" w:space="0" w:color="auto"/>
              <w:bottom w:val="single" w:sz="4" w:space="0" w:color="auto"/>
              <w:right w:val="single" w:sz="4" w:space="0" w:color="auto"/>
            </w:tcBorders>
          </w:tcPr>
          <w:p w14:paraId="38BF9DAC" w14:textId="77777777" w:rsidR="005E000F" w:rsidRDefault="00000000">
            <w:pPr>
              <w:autoSpaceDE w:val="0"/>
              <w:autoSpaceDN w:val="0"/>
              <w:adjustRightInd w:val="0"/>
              <w:rPr>
                <w:lang w:eastAsia="en-US"/>
              </w:rPr>
            </w:pPr>
            <w:r>
              <w:rPr>
                <w:rFonts w:hint="eastAsia"/>
              </w:rPr>
              <w:t>其他</w:t>
            </w:r>
          </w:p>
        </w:tc>
        <w:tc>
          <w:tcPr>
            <w:tcW w:w="2111" w:type="dxa"/>
            <w:tcBorders>
              <w:top w:val="single" w:sz="4" w:space="0" w:color="auto"/>
              <w:left w:val="single" w:sz="4" w:space="0" w:color="auto"/>
              <w:bottom w:val="single" w:sz="4" w:space="0" w:color="auto"/>
              <w:right w:val="single" w:sz="4" w:space="0" w:color="auto"/>
            </w:tcBorders>
            <w:vAlign w:val="center"/>
          </w:tcPr>
          <w:p w14:paraId="2A10AB7F" w14:textId="77777777" w:rsidR="005E000F" w:rsidRDefault="00000000">
            <w:pPr>
              <w:jc w:val="right"/>
            </w:pPr>
            <w:r>
              <w:t>7,364,129</w:t>
            </w:r>
          </w:p>
        </w:tc>
        <w:tc>
          <w:tcPr>
            <w:tcW w:w="1857" w:type="dxa"/>
            <w:tcBorders>
              <w:top w:val="single" w:sz="4" w:space="0" w:color="auto"/>
              <w:left w:val="single" w:sz="4" w:space="0" w:color="auto"/>
              <w:bottom w:val="single" w:sz="4" w:space="0" w:color="auto"/>
              <w:right w:val="single" w:sz="4" w:space="0" w:color="auto"/>
            </w:tcBorders>
          </w:tcPr>
          <w:p w14:paraId="5C900313" w14:textId="77777777" w:rsidR="005E000F" w:rsidRDefault="00000000">
            <w:pPr>
              <w:jc w:val="right"/>
              <w:rPr>
                <w:lang w:eastAsia="en-US"/>
              </w:rPr>
            </w:pPr>
            <w:r>
              <w:t>11,380,235</w:t>
            </w:r>
          </w:p>
        </w:tc>
        <w:tc>
          <w:tcPr>
            <w:tcW w:w="2316" w:type="dxa"/>
            <w:tcBorders>
              <w:top w:val="single" w:sz="4" w:space="0" w:color="auto"/>
              <w:left w:val="single" w:sz="4" w:space="0" w:color="auto"/>
              <w:bottom w:val="single" w:sz="4" w:space="0" w:color="auto"/>
              <w:right w:val="single" w:sz="4" w:space="0" w:color="auto"/>
            </w:tcBorders>
            <w:vAlign w:val="center"/>
          </w:tcPr>
          <w:p w14:paraId="1BD2C4E0" w14:textId="77777777" w:rsidR="005E000F" w:rsidRDefault="00000000">
            <w:pPr>
              <w:jc w:val="right"/>
            </w:pPr>
            <w:r>
              <w:t>7,364,129</w:t>
            </w:r>
          </w:p>
        </w:tc>
      </w:tr>
      <w:tr w:rsidR="005E000F" w14:paraId="1EC451C3" w14:textId="77777777">
        <w:tc>
          <w:tcPr>
            <w:tcW w:w="2763" w:type="dxa"/>
            <w:tcBorders>
              <w:top w:val="single" w:sz="4" w:space="0" w:color="auto"/>
              <w:left w:val="single" w:sz="4" w:space="0" w:color="auto"/>
              <w:bottom w:val="single" w:sz="4" w:space="0" w:color="auto"/>
              <w:right w:val="single" w:sz="4" w:space="0" w:color="auto"/>
            </w:tcBorders>
            <w:vAlign w:val="center"/>
          </w:tcPr>
          <w:p w14:paraId="0827562A" w14:textId="77777777" w:rsidR="005E000F" w:rsidRDefault="00000000">
            <w:pPr>
              <w:ind w:right="6"/>
              <w:jc w:val="center"/>
            </w:pPr>
            <w:r>
              <w:rPr>
                <w:rFonts w:hint="eastAsia"/>
              </w:rPr>
              <w:t>合计</w:t>
            </w:r>
          </w:p>
        </w:tc>
        <w:tc>
          <w:tcPr>
            <w:tcW w:w="2111" w:type="dxa"/>
            <w:tcBorders>
              <w:top w:val="single" w:sz="4" w:space="0" w:color="auto"/>
              <w:left w:val="single" w:sz="4" w:space="0" w:color="auto"/>
              <w:bottom w:val="single" w:sz="4" w:space="0" w:color="auto"/>
              <w:right w:val="single" w:sz="4" w:space="0" w:color="auto"/>
            </w:tcBorders>
            <w:vAlign w:val="center"/>
          </w:tcPr>
          <w:p w14:paraId="68213F21" w14:textId="77777777" w:rsidR="005E000F" w:rsidRDefault="00000000">
            <w:pPr>
              <w:jc w:val="right"/>
            </w:pPr>
            <w:r>
              <w:t>109,439,615</w:t>
            </w:r>
          </w:p>
        </w:tc>
        <w:tc>
          <w:tcPr>
            <w:tcW w:w="1857" w:type="dxa"/>
            <w:tcBorders>
              <w:top w:val="single" w:sz="4" w:space="0" w:color="auto"/>
              <w:left w:val="single" w:sz="4" w:space="0" w:color="auto"/>
              <w:bottom w:val="single" w:sz="4" w:space="0" w:color="auto"/>
              <w:right w:val="single" w:sz="4" w:space="0" w:color="auto"/>
            </w:tcBorders>
          </w:tcPr>
          <w:p w14:paraId="5E7FC5D4" w14:textId="77777777" w:rsidR="005E000F" w:rsidRDefault="00000000">
            <w:pPr>
              <w:jc w:val="right"/>
              <w:rPr>
                <w:lang w:eastAsia="en-US"/>
              </w:rPr>
            </w:pPr>
            <w:r>
              <w:t>153,204,151</w:t>
            </w:r>
          </w:p>
        </w:tc>
        <w:tc>
          <w:tcPr>
            <w:tcW w:w="2316" w:type="dxa"/>
            <w:tcBorders>
              <w:top w:val="single" w:sz="4" w:space="0" w:color="auto"/>
              <w:left w:val="single" w:sz="4" w:space="0" w:color="auto"/>
              <w:bottom w:val="single" w:sz="4" w:space="0" w:color="auto"/>
              <w:right w:val="single" w:sz="4" w:space="0" w:color="auto"/>
            </w:tcBorders>
            <w:vAlign w:val="center"/>
          </w:tcPr>
          <w:p w14:paraId="66D544FB" w14:textId="77777777" w:rsidR="005E000F" w:rsidRDefault="00000000">
            <w:pPr>
              <w:jc w:val="right"/>
            </w:pPr>
            <w:r>
              <w:t>109,439,615</w:t>
            </w:r>
          </w:p>
        </w:tc>
      </w:tr>
    </w:tbl>
    <w:p w14:paraId="6C8173FD" w14:textId="77777777" w:rsidR="005E000F" w:rsidRDefault="00000000">
      <w:pPr>
        <w:spacing w:before="60" w:after="60"/>
      </w:pPr>
      <w:r>
        <w:rPr>
          <w:rFonts w:hint="eastAsia"/>
        </w:rPr>
        <w:t>其他说明：</w:t>
      </w:r>
    </w:p>
    <w:sdt>
      <w:sdtPr>
        <w:rPr>
          <w:rFonts w:hint="eastAsia"/>
        </w:rPr>
        <w:alias w:val="营业外支出说明"/>
        <w:tag w:val="_GBC_88ac743f9ece44c8ba4b737327409578"/>
        <w:id w:val="-1301685989"/>
        <w:placeholder>
          <w:docPart w:val="GBC22222222222222222222222222222"/>
        </w:placeholder>
      </w:sdtPr>
      <w:sdtEndPr>
        <w:rPr>
          <w:rFonts w:asciiTheme="minorHAnsi" w:eastAsiaTheme="minorEastAsia" w:hAnsiTheme="minorHAnsi"/>
        </w:rPr>
      </w:sdtEndPr>
      <w:sdtContent>
        <w:p w14:paraId="3D4B9C0F" w14:textId="77777777" w:rsidR="005E000F" w:rsidRDefault="00000000">
          <w:pPr>
            <w:rPr>
              <w:color w:val="000000" w:themeColor="text1"/>
            </w:rPr>
          </w:pPr>
          <w:r>
            <w:rPr>
              <w:rFonts w:hint="eastAsia"/>
              <w:color w:val="000000" w:themeColor="text1"/>
            </w:rPr>
            <w:t>注：根据原铁道部</w:t>
          </w:r>
          <w:proofErr w:type="gramStart"/>
          <w:r>
            <w:rPr>
              <w:rFonts w:hint="eastAsia"/>
              <w:color w:val="000000" w:themeColor="text1"/>
            </w:rPr>
            <w:t>铁财函</w:t>
          </w:r>
          <w:proofErr w:type="gramEnd"/>
          <w:r>
            <w:rPr>
              <w:rFonts w:hint="eastAsia"/>
              <w:color w:val="000000" w:themeColor="text1"/>
            </w:rPr>
            <w:t>【</w:t>
          </w:r>
          <w:r>
            <w:rPr>
              <w:rFonts w:hint="eastAsia"/>
              <w:color w:val="000000" w:themeColor="text1"/>
            </w:rPr>
            <w:t>2011</w:t>
          </w:r>
          <w:r>
            <w:rPr>
              <w:rFonts w:hint="eastAsia"/>
              <w:color w:val="000000" w:themeColor="text1"/>
            </w:rPr>
            <w:t>】</w:t>
          </w:r>
          <w:r>
            <w:rPr>
              <w:rFonts w:hint="eastAsia"/>
              <w:color w:val="000000" w:themeColor="text1"/>
            </w:rPr>
            <w:t>58</w:t>
          </w:r>
          <w:r>
            <w:rPr>
              <w:rFonts w:hint="eastAsia"/>
              <w:color w:val="000000" w:themeColor="text1"/>
            </w:rPr>
            <w:t>号《关于铁路企业承担铁路公安经费的通知》，本集团自</w:t>
          </w:r>
          <w:r>
            <w:rPr>
              <w:rFonts w:hint="eastAsia"/>
              <w:color w:val="000000" w:themeColor="text1"/>
            </w:rPr>
            <w:t>2010</w:t>
          </w:r>
          <w:r>
            <w:rPr>
              <w:rFonts w:hint="eastAsia"/>
              <w:color w:val="000000" w:themeColor="text1"/>
            </w:rPr>
            <w:t>年度起承担铁路公安经费支出。</w:t>
          </w:r>
        </w:p>
        <w:p w14:paraId="18AEBBB3" w14:textId="77777777" w:rsidR="005E000F" w:rsidRDefault="005E000F">
          <w:pPr>
            <w:rPr>
              <w:color w:val="000000" w:themeColor="text1"/>
            </w:rPr>
          </w:pPr>
        </w:p>
        <w:p w14:paraId="02638A1D" w14:textId="77777777" w:rsidR="005E000F" w:rsidRDefault="00000000">
          <w:r>
            <w:rPr>
              <w:rFonts w:hint="eastAsia"/>
              <w:color w:val="000000" w:themeColor="text1"/>
            </w:rPr>
            <w:t>2025</w:t>
          </w:r>
          <w:r>
            <w:rPr>
              <w:rFonts w:hint="eastAsia"/>
              <w:color w:val="000000" w:themeColor="text1"/>
            </w:rPr>
            <w:t>年，本集团应承担的铁路公安经费支出人民币</w:t>
          </w:r>
          <w:r>
            <w:rPr>
              <w:rFonts w:hint="eastAsia"/>
              <w:color w:val="000000" w:themeColor="text1"/>
            </w:rPr>
            <w:t>67,451,231</w:t>
          </w:r>
          <w:r>
            <w:rPr>
              <w:rFonts w:hint="eastAsia"/>
              <w:color w:val="000000" w:themeColor="text1"/>
            </w:rPr>
            <w:t>元</w:t>
          </w:r>
          <w:r>
            <w:rPr>
              <w:rFonts w:hint="eastAsia"/>
              <w:color w:val="000000" w:themeColor="text1"/>
            </w:rPr>
            <w:t>(2024</w:t>
          </w:r>
          <w:r>
            <w:rPr>
              <w:rFonts w:hint="eastAsia"/>
              <w:color w:val="000000" w:themeColor="text1"/>
            </w:rPr>
            <w:t>年：人民币</w:t>
          </w:r>
          <w:r>
            <w:rPr>
              <w:rFonts w:hint="eastAsia"/>
              <w:color w:val="000000" w:themeColor="text1"/>
            </w:rPr>
            <w:t>72,582,706</w:t>
          </w:r>
          <w:r>
            <w:rPr>
              <w:rFonts w:hint="eastAsia"/>
              <w:color w:val="000000" w:themeColor="text1"/>
            </w:rPr>
            <w:t>元</w:t>
          </w:r>
          <w:r>
            <w:rPr>
              <w:rFonts w:hint="eastAsia"/>
              <w:color w:val="000000" w:themeColor="text1"/>
            </w:rPr>
            <w:t>)</w:t>
          </w:r>
          <w:r>
            <w:rPr>
              <w:rFonts w:hint="eastAsia"/>
              <w:color w:val="000000" w:themeColor="text1"/>
            </w:rPr>
            <w:t>。</w:t>
          </w:r>
        </w:p>
      </w:sdtContent>
    </w:sdt>
    <w:p w14:paraId="3FB623F9" w14:textId="77777777" w:rsidR="005E000F" w:rsidRDefault="005E000F"/>
    <w:p w14:paraId="498ECC18"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所得税费用</w:t>
      </w:r>
    </w:p>
    <w:p w14:paraId="06388DE3" w14:textId="77777777" w:rsidR="005E000F" w:rsidRDefault="00000000">
      <w:pPr>
        <w:pStyle w:val="4"/>
        <w:numPr>
          <w:ilvl w:val="0"/>
          <w:numId w:val="104"/>
        </w:numPr>
        <w:ind w:left="426" w:hanging="426"/>
      </w:pPr>
      <w:r>
        <w:rPr>
          <w:rFonts w:hint="eastAsia"/>
        </w:rPr>
        <w:t>所得税费用表</w:t>
      </w:r>
    </w:p>
    <w:sdt>
      <w:sdtPr>
        <w:alias w:val="是否适用：所得税费用表[双击切换]"/>
        <w:tag w:val="_GBC_3ea18046339d457a8712506679035498"/>
        <w:id w:val="1045948913"/>
        <w:placeholder>
          <w:docPart w:val="GBC22222222222222222222222222222"/>
        </w:placeholder>
      </w:sdtPr>
      <w:sdtContent>
        <w:p w14:paraId="42A7F6C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0B35523" w14:textId="77777777" w:rsidR="005E000F" w:rsidRDefault="00000000">
      <w:pPr>
        <w:wordWrap w:val="0"/>
        <w:jc w:val="right"/>
      </w:pPr>
      <w:r>
        <w:rPr>
          <w:rFonts w:hint="eastAsia"/>
        </w:rPr>
        <w:t>单位：</w:t>
      </w:r>
      <w:sdt>
        <w:sdtPr>
          <w:rPr>
            <w:rFonts w:hint="eastAsia"/>
          </w:rPr>
          <w:alias w:val="单位：财务附注：所得税费用"/>
          <w:tag w:val="_GBC_5e89c62734b24d50a562694dcf8d2206"/>
          <w:id w:val="6160285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所得税费用"/>
          <w:tag w:val="_GBC_9c72c96e28344525b1836b3923556f61"/>
          <w:id w:val="-31773304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214"/>
        <w:gridCol w:w="2929"/>
        <w:gridCol w:w="2913"/>
      </w:tblGrid>
      <w:tr w:rsidR="005E000F" w14:paraId="6BBD62D1" w14:textId="77777777">
        <w:trPr>
          <w:trHeight w:val="279"/>
        </w:trPr>
        <w:sdt>
          <w:sdtPr>
            <w:tag w:val="_PLD_e0d72a7f55e04c898352587240ce636b"/>
            <w:id w:val="1455368458"/>
          </w:sdtPr>
          <w:sdtContent>
            <w:tc>
              <w:tcPr>
                <w:tcW w:w="3214" w:type="dxa"/>
                <w:vAlign w:val="center"/>
              </w:tcPr>
              <w:p w14:paraId="3AD5EA92" w14:textId="77777777" w:rsidR="005E000F" w:rsidRDefault="00000000">
                <w:pPr>
                  <w:ind w:right="6"/>
                  <w:jc w:val="center"/>
                </w:pPr>
                <w:r>
                  <w:rPr>
                    <w:rFonts w:hint="eastAsia"/>
                  </w:rPr>
                  <w:t>项目</w:t>
                </w:r>
              </w:p>
            </w:tc>
          </w:sdtContent>
        </w:sdt>
        <w:sdt>
          <w:sdtPr>
            <w:tag w:val="_PLD_e2b12491de324856a6b2f7034aa875da"/>
            <w:id w:val="-1522014931"/>
          </w:sdtPr>
          <w:sdtContent>
            <w:tc>
              <w:tcPr>
                <w:tcW w:w="2929" w:type="dxa"/>
                <w:vAlign w:val="center"/>
              </w:tcPr>
              <w:p w14:paraId="3B94A820" w14:textId="77777777" w:rsidR="005E000F" w:rsidRDefault="00000000">
                <w:pPr>
                  <w:ind w:right="6"/>
                  <w:jc w:val="center"/>
                </w:pPr>
                <w:r>
                  <w:rPr>
                    <w:rFonts w:hint="eastAsia"/>
                  </w:rPr>
                  <w:t>本期发生额</w:t>
                </w:r>
              </w:p>
            </w:tc>
          </w:sdtContent>
        </w:sdt>
        <w:sdt>
          <w:sdtPr>
            <w:tag w:val="_PLD_4b2515977b8d462088eb538637703bf1"/>
            <w:id w:val="1324551644"/>
          </w:sdtPr>
          <w:sdtContent>
            <w:tc>
              <w:tcPr>
                <w:tcW w:w="2913" w:type="dxa"/>
                <w:vAlign w:val="center"/>
              </w:tcPr>
              <w:p w14:paraId="5102993C" w14:textId="77777777" w:rsidR="005E000F" w:rsidRDefault="00000000">
                <w:pPr>
                  <w:ind w:right="6"/>
                  <w:jc w:val="center"/>
                </w:pPr>
                <w:r>
                  <w:rPr>
                    <w:rFonts w:hint="eastAsia"/>
                  </w:rPr>
                  <w:t>上期发生额</w:t>
                </w:r>
              </w:p>
            </w:tc>
          </w:sdtContent>
        </w:sdt>
      </w:tr>
      <w:tr w:rsidR="005E000F" w14:paraId="0487C954" w14:textId="77777777">
        <w:tc>
          <w:tcPr>
            <w:tcW w:w="3214" w:type="dxa"/>
            <w:vAlign w:val="center"/>
          </w:tcPr>
          <w:p w14:paraId="5B84EBD4" w14:textId="77777777" w:rsidR="005E000F" w:rsidRDefault="00000000">
            <w:pPr>
              <w:ind w:right="6"/>
              <w:rPr>
                <w:b/>
                <w:bCs/>
              </w:rPr>
            </w:pPr>
            <w:r>
              <w:rPr>
                <w:rFonts w:hint="eastAsia"/>
              </w:rPr>
              <w:t>当期所得税费用</w:t>
            </w:r>
          </w:p>
        </w:tc>
        <w:tc>
          <w:tcPr>
            <w:tcW w:w="2929" w:type="dxa"/>
            <w:vAlign w:val="center"/>
          </w:tcPr>
          <w:p w14:paraId="15580041" w14:textId="77777777" w:rsidR="005E000F" w:rsidRDefault="00000000">
            <w:pPr>
              <w:ind w:right="6"/>
              <w:jc w:val="right"/>
            </w:pPr>
            <w:r>
              <w:t>1,727,620,423</w:t>
            </w:r>
          </w:p>
        </w:tc>
        <w:tc>
          <w:tcPr>
            <w:tcW w:w="2913" w:type="dxa"/>
          </w:tcPr>
          <w:p w14:paraId="6C0E8817" w14:textId="77777777" w:rsidR="005E000F" w:rsidRDefault="00000000">
            <w:pPr>
              <w:ind w:right="6"/>
              <w:jc w:val="right"/>
              <w:rPr>
                <w:lang w:eastAsia="en-US"/>
              </w:rPr>
            </w:pPr>
            <w:r>
              <w:t>3,011,690,745</w:t>
            </w:r>
          </w:p>
        </w:tc>
      </w:tr>
      <w:tr w:rsidR="005E000F" w14:paraId="0C5817DB" w14:textId="77777777">
        <w:tc>
          <w:tcPr>
            <w:tcW w:w="3214" w:type="dxa"/>
            <w:vAlign w:val="center"/>
          </w:tcPr>
          <w:p w14:paraId="68434F70" w14:textId="77777777" w:rsidR="005E000F" w:rsidRDefault="00000000">
            <w:pPr>
              <w:ind w:right="6"/>
            </w:pPr>
            <w:r>
              <w:rPr>
                <w:rFonts w:hint="eastAsia"/>
              </w:rPr>
              <w:t>递延所得税费用</w:t>
            </w:r>
          </w:p>
        </w:tc>
        <w:tc>
          <w:tcPr>
            <w:tcW w:w="2929" w:type="dxa"/>
            <w:vAlign w:val="center"/>
          </w:tcPr>
          <w:p w14:paraId="794B772B" w14:textId="77777777" w:rsidR="005E000F" w:rsidRDefault="00000000">
            <w:pPr>
              <w:ind w:right="6"/>
              <w:jc w:val="right"/>
            </w:pPr>
            <w:r>
              <w:t>-2,367,628</w:t>
            </w:r>
          </w:p>
        </w:tc>
        <w:tc>
          <w:tcPr>
            <w:tcW w:w="2913" w:type="dxa"/>
          </w:tcPr>
          <w:p w14:paraId="5F2793A5" w14:textId="77777777" w:rsidR="005E000F" w:rsidRDefault="00000000">
            <w:pPr>
              <w:ind w:right="6"/>
              <w:jc w:val="right"/>
              <w:rPr>
                <w:lang w:eastAsia="en-US"/>
              </w:rPr>
            </w:pPr>
            <w:r>
              <w:t>39,784,611</w:t>
            </w:r>
          </w:p>
        </w:tc>
      </w:tr>
      <w:tr w:rsidR="005E000F" w14:paraId="22D4EF27" w14:textId="77777777">
        <w:tc>
          <w:tcPr>
            <w:tcW w:w="3214" w:type="dxa"/>
            <w:vAlign w:val="center"/>
          </w:tcPr>
          <w:p w14:paraId="2A97EA27" w14:textId="77777777" w:rsidR="005E000F" w:rsidRDefault="00000000">
            <w:pPr>
              <w:ind w:right="6"/>
              <w:jc w:val="center"/>
            </w:pPr>
            <w:r>
              <w:rPr>
                <w:rFonts w:hint="eastAsia"/>
              </w:rPr>
              <w:t>合计</w:t>
            </w:r>
          </w:p>
        </w:tc>
        <w:tc>
          <w:tcPr>
            <w:tcW w:w="2929" w:type="dxa"/>
            <w:vAlign w:val="center"/>
          </w:tcPr>
          <w:p w14:paraId="20FE997C" w14:textId="77777777" w:rsidR="005E000F" w:rsidRDefault="00000000">
            <w:pPr>
              <w:ind w:right="6"/>
              <w:jc w:val="right"/>
            </w:pPr>
            <w:r>
              <w:t>1,725,252,795</w:t>
            </w:r>
          </w:p>
        </w:tc>
        <w:tc>
          <w:tcPr>
            <w:tcW w:w="2913" w:type="dxa"/>
            <w:vAlign w:val="center"/>
          </w:tcPr>
          <w:p w14:paraId="6252F02E" w14:textId="77777777" w:rsidR="005E000F" w:rsidRDefault="00000000">
            <w:pPr>
              <w:ind w:right="6"/>
              <w:jc w:val="right"/>
            </w:pPr>
            <w:r>
              <w:t>3,051,475,356</w:t>
            </w:r>
          </w:p>
        </w:tc>
      </w:tr>
    </w:tbl>
    <w:p w14:paraId="5DE767DC" w14:textId="77777777" w:rsidR="005E000F" w:rsidRDefault="005E000F"/>
    <w:p w14:paraId="118841B6" w14:textId="77777777" w:rsidR="005E000F" w:rsidRDefault="00000000">
      <w:pPr>
        <w:pStyle w:val="4"/>
        <w:numPr>
          <w:ilvl w:val="0"/>
          <w:numId w:val="104"/>
        </w:numPr>
        <w:ind w:left="426" w:hanging="426"/>
      </w:pPr>
      <w:r>
        <w:rPr>
          <w:rFonts w:hint="eastAsia"/>
        </w:rPr>
        <w:t>会计利润与所得税费用调整过程</w:t>
      </w:r>
    </w:p>
    <w:sdt>
      <w:sdtPr>
        <w:alias w:val="是否适用：会计利润与所得税费用调整过程[双击切换]"/>
        <w:tag w:val="_GBC_add00d323e2049ad8bc932f632966661"/>
        <w:id w:val="-293205292"/>
        <w:placeholder>
          <w:docPart w:val="GBC22222222222222222222222222222"/>
        </w:placeholder>
      </w:sdtPr>
      <w:sdtContent>
        <w:p w14:paraId="334D8DF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14C85C3" w14:textId="77777777" w:rsidR="005E000F" w:rsidRDefault="00000000">
      <w:pPr>
        <w:jc w:val="right"/>
      </w:pPr>
      <w:r>
        <w:rPr>
          <w:rFonts w:hint="eastAsia"/>
        </w:rPr>
        <w:t>单位：</w:t>
      </w:r>
      <w:sdt>
        <w:sdtPr>
          <w:rPr>
            <w:rFonts w:hint="eastAsia"/>
          </w:rPr>
          <w:alias w:val="单位：会计利润与所得税费用调整过程"/>
          <w:tag w:val="_GBC_10825cb9bb5e445c9210ee34dc80406a"/>
          <w:id w:val="-15088931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会计利润与所得税费用调整过程"/>
          <w:tag w:val="_GBC_017b69d0005b4ea99f76c547a25a6231"/>
          <w:id w:val="124468360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4382"/>
        <w:gridCol w:w="4676"/>
      </w:tblGrid>
      <w:tr w:rsidR="005E000F" w14:paraId="1F02A95C" w14:textId="77777777">
        <w:sdt>
          <w:sdtPr>
            <w:tag w:val="_PLD_1123621c9879400694da9a8842888e14"/>
            <w:id w:val="-690374613"/>
          </w:sdtPr>
          <w:sdtContent>
            <w:tc>
              <w:tcPr>
                <w:tcW w:w="4382" w:type="dxa"/>
                <w:tcBorders>
                  <w:top w:val="single" w:sz="4" w:space="0" w:color="auto"/>
                  <w:left w:val="single" w:sz="4" w:space="0" w:color="auto"/>
                  <w:bottom w:val="single" w:sz="4" w:space="0" w:color="auto"/>
                  <w:right w:val="single" w:sz="4" w:space="0" w:color="auto"/>
                </w:tcBorders>
                <w:vAlign w:val="center"/>
              </w:tcPr>
              <w:p w14:paraId="2FB470CB" w14:textId="77777777" w:rsidR="005E000F" w:rsidRDefault="00000000">
                <w:pPr>
                  <w:jc w:val="center"/>
                </w:pPr>
                <w:r>
                  <w:rPr>
                    <w:rFonts w:hint="eastAsia"/>
                  </w:rPr>
                  <w:t>项目</w:t>
                </w:r>
              </w:p>
            </w:tc>
          </w:sdtContent>
        </w:sdt>
        <w:sdt>
          <w:sdtPr>
            <w:tag w:val="_PLD_4a270148a32846b69754961e55c75a04"/>
            <w:id w:val="-1196537931"/>
          </w:sdtPr>
          <w:sdtContent>
            <w:tc>
              <w:tcPr>
                <w:tcW w:w="4676" w:type="dxa"/>
                <w:tcBorders>
                  <w:top w:val="single" w:sz="4" w:space="0" w:color="auto"/>
                  <w:left w:val="single" w:sz="4" w:space="0" w:color="auto"/>
                  <w:bottom w:val="single" w:sz="4" w:space="0" w:color="auto"/>
                  <w:right w:val="single" w:sz="4" w:space="0" w:color="auto"/>
                </w:tcBorders>
                <w:vAlign w:val="center"/>
              </w:tcPr>
              <w:p w14:paraId="3857E540" w14:textId="77777777" w:rsidR="005E000F" w:rsidRDefault="00000000">
                <w:pPr>
                  <w:jc w:val="center"/>
                </w:pPr>
                <w:r>
                  <w:rPr>
                    <w:rFonts w:hint="eastAsia"/>
                  </w:rPr>
                  <w:t>本期发生额</w:t>
                </w:r>
              </w:p>
            </w:tc>
          </w:sdtContent>
        </w:sdt>
      </w:tr>
      <w:tr w:rsidR="005E000F" w14:paraId="6CBBC1B7" w14:textId="77777777">
        <w:tc>
          <w:tcPr>
            <w:tcW w:w="4382" w:type="dxa"/>
            <w:tcBorders>
              <w:top w:val="single" w:sz="4" w:space="0" w:color="auto"/>
              <w:left w:val="single" w:sz="4" w:space="0" w:color="auto"/>
              <w:bottom w:val="single" w:sz="4" w:space="0" w:color="auto"/>
              <w:right w:val="single" w:sz="4" w:space="0" w:color="auto"/>
            </w:tcBorders>
            <w:vAlign w:val="center"/>
          </w:tcPr>
          <w:p w14:paraId="4427F17C" w14:textId="77777777" w:rsidR="005E000F" w:rsidRDefault="00000000">
            <w:pPr>
              <w:ind w:right="6"/>
              <w:rPr>
                <w:b/>
                <w:bCs/>
              </w:rPr>
            </w:pPr>
            <w:r>
              <w:rPr>
                <w:rFonts w:hint="eastAsia"/>
              </w:rPr>
              <w:t>利润总额</w:t>
            </w:r>
          </w:p>
        </w:tc>
        <w:tc>
          <w:tcPr>
            <w:tcW w:w="4676" w:type="dxa"/>
            <w:tcBorders>
              <w:top w:val="single" w:sz="4" w:space="0" w:color="auto"/>
              <w:left w:val="single" w:sz="4" w:space="0" w:color="auto"/>
              <w:bottom w:val="single" w:sz="6" w:space="0" w:color="auto"/>
              <w:right w:val="single" w:sz="6" w:space="0" w:color="auto"/>
            </w:tcBorders>
            <w:vAlign w:val="center"/>
          </w:tcPr>
          <w:p w14:paraId="4B67EB54" w14:textId="77777777" w:rsidR="005E000F" w:rsidRDefault="00000000">
            <w:pPr>
              <w:ind w:right="6"/>
              <w:jc w:val="right"/>
            </w:pPr>
            <w:r>
              <w:t>8,574,289,11</w:t>
            </w:r>
            <w:r>
              <w:rPr>
                <w:rFonts w:hint="eastAsia"/>
              </w:rPr>
              <w:t>4</w:t>
            </w:r>
          </w:p>
        </w:tc>
      </w:tr>
      <w:tr w:rsidR="005E000F" w14:paraId="03975B8E" w14:textId="77777777">
        <w:tc>
          <w:tcPr>
            <w:tcW w:w="4382" w:type="dxa"/>
            <w:tcBorders>
              <w:top w:val="single" w:sz="4" w:space="0" w:color="auto"/>
              <w:left w:val="single" w:sz="4" w:space="0" w:color="auto"/>
              <w:bottom w:val="single" w:sz="4" w:space="0" w:color="auto"/>
              <w:right w:val="single" w:sz="4" w:space="0" w:color="auto"/>
            </w:tcBorders>
            <w:vAlign w:val="center"/>
          </w:tcPr>
          <w:p w14:paraId="7A037F44" w14:textId="77777777" w:rsidR="005E000F" w:rsidRDefault="00000000">
            <w:pPr>
              <w:ind w:right="6"/>
            </w:pPr>
            <w:r>
              <w:rPr>
                <w:rFonts w:hint="eastAsia"/>
              </w:rPr>
              <w:t>按法定</w:t>
            </w:r>
            <w:r>
              <w:t>/</w:t>
            </w:r>
            <w:r>
              <w:rPr>
                <w:rFonts w:hint="eastAsia"/>
              </w:rPr>
              <w:t>适用税率计算的所得税费用</w:t>
            </w:r>
          </w:p>
        </w:tc>
        <w:tc>
          <w:tcPr>
            <w:tcW w:w="4676" w:type="dxa"/>
            <w:tcBorders>
              <w:top w:val="single" w:sz="6" w:space="0" w:color="auto"/>
              <w:left w:val="single" w:sz="4" w:space="0" w:color="auto"/>
              <w:bottom w:val="single" w:sz="6" w:space="0" w:color="auto"/>
              <w:right w:val="single" w:sz="6" w:space="0" w:color="auto"/>
            </w:tcBorders>
            <w:vAlign w:val="center"/>
          </w:tcPr>
          <w:p w14:paraId="73364238" w14:textId="77777777" w:rsidR="005E000F" w:rsidRDefault="00000000">
            <w:pPr>
              <w:ind w:right="6"/>
              <w:jc w:val="right"/>
            </w:pPr>
            <w:r>
              <w:t>2,143,572,27</w:t>
            </w:r>
            <w:r>
              <w:rPr>
                <w:rFonts w:hint="eastAsia"/>
              </w:rPr>
              <w:t>9</w:t>
            </w:r>
          </w:p>
        </w:tc>
      </w:tr>
      <w:tr w:rsidR="005E000F" w14:paraId="11BD561E" w14:textId="77777777">
        <w:trPr>
          <w:trHeight w:val="139"/>
        </w:trPr>
        <w:tc>
          <w:tcPr>
            <w:tcW w:w="4382" w:type="dxa"/>
            <w:tcBorders>
              <w:top w:val="single" w:sz="4" w:space="0" w:color="auto"/>
              <w:left w:val="single" w:sz="4" w:space="0" w:color="auto"/>
              <w:bottom w:val="single" w:sz="4" w:space="0" w:color="auto"/>
              <w:right w:val="single" w:sz="4" w:space="0" w:color="auto"/>
            </w:tcBorders>
            <w:vAlign w:val="center"/>
          </w:tcPr>
          <w:p w14:paraId="609FF7C7" w14:textId="77777777" w:rsidR="005E000F" w:rsidRDefault="00000000">
            <w:pPr>
              <w:ind w:right="6"/>
            </w:pPr>
            <w:r>
              <w:rPr>
                <w:rFonts w:hint="eastAsia"/>
              </w:rPr>
              <w:lastRenderedPageBreak/>
              <w:t>子公司适用不同税率的影响</w:t>
            </w:r>
          </w:p>
        </w:tc>
        <w:tc>
          <w:tcPr>
            <w:tcW w:w="4676" w:type="dxa"/>
            <w:tcBorders>
              <w:top w:val="single" w:sz="6" w:space="0" w:color="auto"/>
              <w:left w:val="single" w:sz="4" w:space="0" w:color="auto"/>
              <w:bottom w:val="single" w:sz="6" w:space="0" w:color="auto"/>
              <w:right w:val="single" w:sz="6" w:space="0" w:color="auto"/>
            </w:tcBorders>
            <w:vAlign w:val="center"/>
          </w:tcPr>
          <w:p w14:paraId="73F17909" w14:textId="77777777" w:rsidR="005E000F" w:rsidRDefault="00000000">
            <w:pPr>
              <w:ind w:right="6"/>
              <w:jc w:val="right"/>
            </w:pPr>
            <w:r>
              <w:t>-909,822</w:t>
            </w:r>
          </w:p>
        </w:tc>
      </w:tr>
      <w:tr w:rsidR="005E000F" w14:paraId="2C97AA8A" w14:textId="77777777">
        <w:tc>
          <w:tcPr>
            <w:tcW w:w="4382" w:type="dxa"/>
            <w:tcBorders>
              <w:top w:val="single" w:sz="4" w:space="0" w:color="auto"/>
              <w:left w:val="single" w:sz="4" w:space="0" w:color="auto"/>
              <w:bottom w:val="single" w:sz="4" w:space="0" w:color="auto"/>
              <w:right w:val="single" w:sz="4" w:space="0" w:color="auto"/>
            </w:tcBorders>
            <w:vAlign w:val="center"/>
          </w:tcPr>
          <w:p w14:paraId="279D7C84" w14:textId="77777777" w:rsidR="005E000F" w:rsidRDefault="00000000">
            <w:pPr>
              <w:ind w:right="6"/>
            </w:pPr>
            <w:r>
              <w:rPr>
                <w:rFonts w:hint="eastAsia"/>
              </w:rPr>
              <w:t>调整以前期间所得税的影响</w:t>
            </w:r>
          </w:p>
        </w:tc>
        <w:tc>
          <w:tcPr>
            <w:tcW w:w="4676" w:type="dxa"/>
            <w:tcBorders>
              <w:top w:val="single" w:sz="6" w:space="0" w:color="auto"/>
              <w:left w:val="single" w:sz="4" w:space="0" w:color="auto"/>
              <w:bottom w:val="single" w:sz="6" w:space="0" w:color="auto"/>
              <w:right w:val="single" w:sz="6" w:space="0" w:color="auto"/>
            </w:tcBorders>
            <w:vAlign w:val="center"/>
          </w:tcPr>
          <w:p w14:paraId="5FBE8F98" w14:textId="77777777" w:rsidR="005E000F" w:rsidRDefault="00000000">
            <w:pPr>
              <w:ind w:right="6"/>
              <w:jc w:val="right"/>
            </w:pPr>
            <w:r>
              <w:t>262,454,186</w:t>
            </w:r>
          </w:p>
        </w:tc>
      </w:tr>
      <w:tr w:rsidR="005E000F" w14:paraId="3A99D4B9" w14:textId="77777777">
        <w:tc>
          <w:tcPr>
            <w:tcW w:w="4382" w:type="dxa"/>
            <w:tcBorders>
              <w:top w:val="single" w:sz="4" w:space="0" w:color="auto"/>
              <w:left w:val="single" w:sz="4" w:space="0" w:color="auto"/>
              <w:bottom w:val="single" w:sz="4" w:space="0" w:color="auto"/>
              <w:right w:val="single" w:sz="4" w:space="0" w:color="auto"/>
            </w:tcBorders>
            <w:vAlign w:val="center"/>
          </w:tcPr>
          <w:p w14:paraId="51762E53" w14:textId="77777777" w:rsidR="005E000F" w:rsidRDefault="00000000">
            <w:pPr>
              <w:ind w:right="6"/>
            </w:pPr>
            <w:r>
              <w:rPr>
                <w:rFonts w:hint="eastAsia"/>
              </w:rPr>
              <w:t>非应税收入的影响</w:t>
            </w:r>
          </w:p>
        </w:tc>
        <w:tc>
          <w:tcPr>
            <w:tcW w:w="4676" w:type="dxa"/>
            <w:tcBorders>
              <w:top w:val="single" w:sz="6" w:space="0" w:color="auto"/>
              <w:left w:val="single" w:sz="4" w:space="0" w:color="auto"/>
              <w:bottom w:val="single" w:sz="6" w:space="0" w:color="auto"/>
              <w:right w:val="single" w:sz="6" w:space="0" w:color="auto"/>
            </w:tcBorders>
            <w:vAlign w:val="center"/>
          </w:tcPr>
          <w:p w14:paraId="3DDBF6DA" w14:textId="77777777" w:rsidR="005E000F" w:rsidRDefault="00000000">
            <w:pPr>
              <w:ind w:right="6"/>
              <w:jc w:val="right"/>
            </w:pPr>
            <w:r>
              <w:rPr>
                <w:rFonts w:hint="eastAsia"/>
              </w:rPr>
              <w:t>0</w:t>
            </w:r>
          </w:p>
        </w:tc>
      </w:tr>
      <w:tr w:rsidR="005E000F" w14:paraId="4B08DC0C" w14:textId="77777777">
        <w:tc>
          <w:tcPr>
            <w:tcW w:w="4382" w:type="dxa"/>
            <w:tcBorders>
              <w:top w:val="single" w:sz="4" w:space="0" w:color="auto"/>
              <w:left w:val="single" w:sz="4" w:space="0" w:color="auto"/>
              <w:bottom w:val="single" w:sz="4" w:space="0" w:color="auto"/>
              <w:right w:val="single" w:sz="4" w:space="0" w:color="auto"/>
            </w:tcBorders>
            <w:vAlign w:val="center"/>
          </w:tcPr>
          <w:p w14:paraId="3A829AA5" w14:textId="77777777" w:rsidR="005E000F" w:rsidRDefault="00000000">
            <w:pPr>
              <w:ind w:right="6"/>
            </w:pPr>
            <w:r>
              <w:rPr>
                <w:rFonts w:hint="eastAsia"/>
              </w:rPr>
              <w:t>不可抵扣的成本、费用和损失的影响</w:t>
            </w:r>
          </w:p>
        </w:tc>
        <w:tc>
          <w:tcPr>
            <w:tcW w:w="4676" w:type="dxa"/>
            <w:tcBorders>
              <w:top w:val="single" w:sz="6" w:space="0" w:color="auto"/>
              <w:left w:val="single" w:sz="4" w:space="0" w:color="auto"/>
              <w:bottom w:val="single" w:sz="6" w:space="0" w:color="auto"/>
              <w:right w:val="single" w:sz="6" w:space="0" w:color="auto"/>
            </w:tcBorders>
            <w:vAlign w:val="center"/>
          </w:tcPr>
          <w:p w14:paraId="3F7372D3" w14:textId="77777777" w:rsidR="005E000F" w:rsidRDefault="00000000">
            <w:pPr>
              <w:ind w:right="6"/>
              <w:jc w:val="right"/>
            </w:pPr>
            <w:r>
              <w:t>-86,692,00</w:t>
            </w:r>
            <w:r>
              <w:rPr>
                <w:rFonts w:hint="eastAsia"/>
              </w:rPr>
              <w:t>2</w:t>
            </w:r>
          </w:p>
        </w:tc>
      </w:tr>
      <w:tr w:rsidR="005E000F" w14:paraId="388326A0" w14:textId="77777777">
        <w:tc>
          <w:tcPr>
            <w:tcW w:w="4382" w:type="dxa"/>
            <w:tcBorders>
              <w:top w:val="single" w:sz="4" w:space="0" w:color="auto"/>
              <w:left w:val="single" w:sz="4" w:space="0" w:color="auto"/>
              <w:bottom w:val="single" w:sz="4" w:space="0" w:color="auto"/>
              <w:right w:val="single" w:sz="4" w:space="0" w:color="auto"/>
            </w:tcBorders>
            <w:vAlign w:val="center"/>
          </w:tcPr>
          <w:p w14:paraId="2DEE9892" w14:textId="77777777" w:rsidR="005E000F" w:rsidRDefault="00000000">
            <w:pPr>
              <w:ind w:right="6"/>
            </w:pPr>
            <w:r>
              <w:rPr>
                <w:rFonts w:hint="eastAsia"/>
              </w:rPr>
              <w:t>使用前期未确认递延所得税资产的可抵扣亏损的影响</w:t>
            </w:r>
          </w:p>
        </w:tc>
        <w:tc>
          <w:tcPr>
            <w:tcW w:w="4676" w:type="dxa"/>
            <w:tcBorders>
              <w:top w:val="single" w:sz="6" w:space="0" w:color="auto"/>
              <w:left w:val="single" w:sz="4" w:space="0" w:color="auto"/>
              <w:bottom w:val="single" w:sz="6" w:space="0" w:color="auto"/>
              <w:right w:val="single" w:sz="6" w:space="0" w:color="auto"/>
            </w:tcBorders>
            <w:vAlign w:val="center"/>
          </w:tcPr>
          <w:p w14:paraId="355FD535" w14:textId="77777777" w:rsidR="005E000F" w:rsidRDefault="00000000">
            <w:pPr>
              <w:ind w:right="6"/>
              <w:jc w:val="right"/>
            </w:pPr>
            <w:r>
              <w:t>-25,398,63</w:t>
            </w:r>
            <w:r>
              <w:rPr>
                <w:rFonts w:hint="eastAsia"/>
              </w:rPr>
              <w:t>5</w:t>
            </w:r>
          </w:p>
        </w:tc>
      </w:tr>
      <w:tr w:rsidR="005E000F" w14:paraId="7234F944" w14:textId="77777777">
        <w:tc>
          <w:tcPr>
            <w:tcW w:w="4382" w:type="dxa"/>
            <w:tcBorders>
              <w:top w:val="single" w:sz="4" w:space="0" w:color="auto"/>
              <w:left w:val="single" w:sz="4" w:space="0" w:color="auto"/>
              <w:bottom w:val="single" w:sz="4" w:space="0" w:color="auto"/>
              <w:right w:val="single" w:sz="4" w:space="0" w:color="auto"/>
            </w:tcBorders>
            <w:vAlign w:val="center"/>
          </w:tcPr>
          <w:p w14:paraId="1A6D8FD6" w14:textId="77777777" w:rsidR="005E000F" w:rsidRDefault="00000000">
            <w:pPr>
              <w:ind w:right="6"/>
            </w:pPr>
            <w:proofErr w:type="gramStart"/>
            <w:r>
              <w:rPr>
                <w:rFonts w:hint="eastAsia"/>
              </w:rPr>
              <w:t>本期未</w:t>
            </w:r>
            <w:proofErr w:type="gramEnd"/>
            <w:r>
              <w:rPr>
                <w:rFonts w:hint="eastAsia"/>
              </w:rPr>
              <w:t>确认递延所得税资产的可抵扣暂时性差异或可抵扣亏损的影响</w:t>
            </w:r>
          </w:p>
        </w:tc>
        <w:tc>
          <w:tcPr>
            <w:tcW w:w="4676" w:type="dxa"/>
            <w:tcBorders>
              <w:top w:val="single" w:sz="6" w:space="0" w:color="auto"/>
              <w:left w:val="single" w:sz="4" w:space="0" w:color="auto"/>
              <w:bottom w:val="single" w:sz="6" w:space="0" w:color="auto"/>
              <w:right w:val="single" w:sz="6" w:space="0" w:color="auto"/>
            </w:tcBorders>
            <w:vAlign w:val="center"/>
          </w:tcPr>
          <w:p w14:paraId="7833B1B2" w14:textId="77777777" w:rsidR="005E000F" w:rsidRDefault="00000000">
            <w:pPr>
              <w:ind w:right="6"/>
              <w:jc w:val="right"/>
            </w:pPr>
            <w:r>
              <w:t>117,609,750</w:t>
            </w:r>
          </w:p>
        </w:tc>
      </w:tr>
      <w:tr w:rsidR="005E000F" w14:paraId="224C5527" w14:textId="77777777">
        <w:tc>
          <w:tcPr>
            <w:tcW w:w="4382" w:type="dxa"/>
            <w:tcBorders>
              <w:top w:val="single" w:sz="4" w:space="0" w:color="auto"/>
              <w:left w:val="single" w:sz="6" w:space="0" w:color="auto"/>
              <w:bottom w:val="single" w:sz="6" w:space="0" w:color="auto"/>
              <w:right w:val="single" w:sz="6" w:space="0" w:color="auto"/>
            </w:tcBorders>
            <w:vAlign w:val="center"/>
          </w:tcPr>
          <w:p w14:paraId="754B8C6D" w14:textId="77777777" w:rsidR="005E000F" w:rsidRDefault="00000000">
            <w:r>
              <w:rPr>
                <w:rFonts w:hint="eastAsia"/>
              </w:rPr>
              <w:t>免于纳税的投资收益</w:t>
            </w:r>
          </w:p>
        </w:tc>
        <w:tc>
          <w:tcPr>
            <w:tcW w:w="4676" w:type="dxa"/>
            <w:tcBorders>
              <w:top w:val="single" w:sz="6" w:space="0" w:color="auto"/>
              <w:left w:val="single" w:sz="6" w:space="0" w:color="auto"/>
              <w:bottom w:val="single" w:sz="6" w:space="0" w:color="auto"/>
              <w:right w:val="single" w:sz="6" w:space="0" w:color="auto"/>
            </w:tcBorders>
            <w:vAlign w:val="center"/>
          </w:tcPr>
          <w:p w14:paraId="6E5732FF" w14:textId="77777777" w:rsidR="005E000F" w:rsidRDefault="00000000">
            <w:pPr>
              <w:ind w:right="6"/>
              <w:jc w:val="right"/>
            </w:pPr>
            <w:r>
              <w:t>-685,382,961</w:t>
            </w:r>
          </w:p>
        </w:tc>
      </w:tr>
      <w:tr w:rsidR="005E000F" w14:paraId="7E4DA20E" w14:textId="77777777">
        <w:tc>
          <w:tcPr>
            <w:tcW w:w="4382" w:type="dxa"/>
            <w:tcBorders>
              <w:top w:val="single" w:sz="4" w:space="0" w:color="auto"/>
              <w:left w:val="single" w:sz="4" w:space="0" w:color="auto"/>
              <w:bottom w:val="single" w:sz="4" w:space="0" w:color="auto"/>
              <w:right w:val="single" w:sz="4" w:space="0" w:color="auto"/>
            </w:tcBorders>
            <w:vAlign w:val="center"/>
          </w:tcPr>
          <w:p w14:paraId="656B7E06" w14:textId="77777777" w:rsidR="005E000F" w:rsidRDefault="00000000">
            <w:r>
              <w:rPr>
                <w:rFonts w:hint="eastAsia"/>
              </w:rPr>
              <w:t>所得税费用</w:t>
            </w:r>
          </w:p>
        </w:tc>
        <w:tc>
          <w:tcPr>
            <w:tcW w:w="4676" w:type="dxa"/>
            <w:tcBorders>
              <w:top w:val="single" w:sz="6" w:space="0" w:color="auto"/>
              <w:left w:val="single" w:sz="4" w:space="0" w:color="auto"/>
              <w:bottom w:val="single" w:sz="6" w:space="0" w:color="auto"/>
              <w:right w:val="single" w:sz="6" w:space="0" w:color="auto"/>
            </w:tcBorders>
            <w:vAlign w:val="center"/>
          </w:tcPr>
          <w:p w14:paraId="67CEA99C" w14:textId="77777777" w:rsidR="005E000F" w:rsidRDefault="00000000">
            <w:pPr>
              <w:ind w:right="6"/>
              <w:jc w:val="right"/>
            </w:pPr>
            <w:r>
              <w:t>1,725,252,795</w:t>
            </w:r>
          </w:p>
        </w:tc>
      </w:tr>
    </w:tbl>
    <w:p w14:paraId="034EF1DE" w14:textId="77777777" w:rsidR="005E000F" w:rsidRDefault="005E000F"/>
    <w:p w14:paraId="06A19204" w14:textId="77777777" w:rsidR="005E000F" w:rsidRDefault="00000000">
      <w:pPr>
        <w:spacing w:before="60" w:after="60"/>
      </w:pPr>
      <w:r>
        <w:rPr>
          <w:rFonts w:hint="eastAsia"/>
        </w:rPr>
        <w:t>其他说明：</w:t>
      </w:r>
    </w:p>
    <w:sdt>
      <w:sdtPr>
        <w:alias w:val="是否适用：所得税费用的说明[双击切换]"/>
        <w:tag w:val="_GBC_6d867e6606c643469619e039bd83c158"/>
        <w:id w:val="1040776352"/>
        <w:placeholder>
          <w:docPart w:val="GBC22222222222222222222222222222"/>
        </w:placeholder>
      </w:sdtPr>
      <w:sdtContent>
        <w:p w14:paraId="7F6B580D" w14:textId="77777777" w:rsidR="005E000F" w:rsidRDefault="00000000">
          <w:pPr>
            <w:spacing w:before="60" w:after="60"/>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1DEF30" w14:textId="77777777" w:rsidR="005E000F" w:rsidRDefault="005E000F">
      <w:pPr>
        <w:rPr>
          <w:b/>
        </w:rPr>
      </w:pPr>
    </w:p>
    <w:p w14:paraId="1B6DD48A"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其他综合收益</w:t>
      </w:r>
    </w:p>
    <w:sdt>
      <w:sdtPr>
        <w:alias w:val="是否适用：其他综合收益说明[双击切换]"/>
        <w:tag w:val="_GBC_055e86e99cd742699e3e89a438a26b74"/>
        <w:id w:val="857003567"/>
        <w:placeholder>
          <w:docPart w:val="GBC22222222222222222222222222222"/>
        </w:placeholder>
      </w:sdtPr>
      <w:sdtContent>
        <w:p w14:paraId="5F7F6C4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669B7D6" w14:textId="77777777" w:rsidR="005E000F" w:rsidRDefault="00000000">
      <w:sdt>
        <w:sdtPr>
          <w:rPr>
            <w:rFonts w:hint="eastAsia"/>
          </w:rPr>
          <w:alias w:val="其他综合收益详见附注"/>
          <w:tag w:val="_GBC_88f79522b3404a9cba25ea8b611e6680"/>
          <w:id w:val="1103606739"/>
          <w:placeholder>
            <w:docPart w:val="GBC22222222222222222222222222222"/>
          </w:placeholder>
        </w:sdtPr>
        <w:sdtContent>
          <w:r>
            <w:rPr>
              <w:rFonts w:hint="eastAsia"/>
            </w:rPr>
            <w:t>详见附注</w:t>
          </w:r>
          <w:r>
            <w:rPr>
              <w:rFonts w:hint="eastAsia"/>
              <w:color w:val="000000" w:themeColor="text1"/>
            </w:rPr>
            <w:t>七、</w:t>
          </w:r>
          <w:r>
            <w:rPr>
              <w:rFonts w:hint="eastAsia"/>
              <w:color w:val="000000" w:themeColor="text1"/>
            </w:rPr>
            <w:t>57</w:t>
          </w:r>
        </w:sdtContent>
      </w:sdt>
    </w:p>
    <w:p w14:paraId="10BE50A1" w14:textId="77777777" w:rsidR="005E000F" w:rsidRDefault="005E000F"/>
    <w:p w14:paraId="7027F9B1"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现金流量表项目</w:t>
      </w:r>
    </w:p>
    <w:p w14:paraId="48A2E6E6" w14:textId="77777777" w:rsidR="005E000F" w:rsidRDefault="00000000">
      <w:pPr>
        <w:pStyle w:val="4"/>
        <w:numPr>
          <w:ilvl w:val="0"/>
          <w:numId w:val="105"/>
        </w:numPr>
        <w:ind w:left="426" w:hanging="426"/>
      </w:pPr>
      <w:r>
        <w:rPr>
          <w:rFonts w:hint="eastAsia"/>
        </w:rPr>
        <w:t>与经营活动有关的现金</w:t>
      </w:r>
    </w:p>
    <w:p w14:paraId="2C80D91A" w14:textId="77777777" w:rsidR="005E000F" w:rsidRDefault="00000000">
      <w:r>
        <w:rPr>
          <w:rFonts w:hint="eastAsia"/>
        </w:rPr>
        <w:t>收到的其他与经营活动有关的现金</w:t>
      </w:r>
    </w:p>
    <w:sdt>
      <w:sdtPr>
        <w:alias w:val="是否适用：收到的其他与经营活动有关的现金[双击切换]"/>
        <w:tag w:val="_GBC_27345010807c4445aa9d99ce1518a33b"/>
        <w:id w:val="-56636329"/>
        <w:placeholder>
          <w:docPart w:val="GBC22222222222222222222222222222"/>
        </w:placeholder>
      </w:sdtPr>
      <w:sdtContent>
        <w:p w14:paraId="6615823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231C55B" w14:textId="77777777" w:rsidR="005E000F" w:rsidRDefault="00000000">
      <w:pPr>
        <w:jc w:val="right"/>
      </w:pPr>
      <w:r>
        <w:rPr>
          <w:rFonts w:hint="eastAsia"/>
        </w:rPr>
        <w:t>单位：</w:t>
      </w:r>
      <w:sdt>
        <w:sdtPr>
          <w:rPr>
            <w:rFonts w:hint="eastAsia"/>
          </w:rPr>
          <w:alias w:val="单位：财务附注：收到的其他与经营活动有关的现金"/>
          <w:tag w:val="_GBC_dda6e50e7ee34f71977565af2472b533"/>
          <w:id w:val="-211273314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收到的其他与经营活动有关的现金"/>
          <w:tag w:val="_GBC_8a91de0777534f02ab9e5a53784ea05b"/>
          <w:id w:val="-111697639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830"/>
        <w:gridCol w:w="2819"/>
      </w:tblGrid>
      <w:tr w:rsidR="005E000F" w14:paraId="6294DC22" w14:textId="77777777">
        <w:sdt>
          <w:sdtPr>
            <w:tag w:val="_PLD_f7a5d7090c5c4e2b95d9e6f0ea383580"/>
            <w:id w:val="-1591532404"/>
          </w:sdtPr>
          <w:sdtContent>
            <w:tc>
              <w:tcPr>
                <w:tcW w:w="3409" w:type="dxa"/>
                <w:vAlign w:val="center"/>
              </w:tcPr>
              <w:p w14:paraId="2A6D2F8B" w14:textId="77777777" w:rsidR="005E000F" w:rsidRDefault="00000000">
                <w:pPr>
                  <w:autoSpaceDE w:val="0"/>
                  <w:autoSpaceDN w:val="0"/>
                  <w:adjustRightInd w:val="0"/>
                  <w:snapToGrid w:val="0"/>
                  <w:spacing w:line="240" w:lineRule="atLeast"/>
                  <w:jc w:val="center"/>
                </w:pPr>
                <w:r>
                  <w:rPr>
                    <w:rFonts w:hint="eastAsia"/>
                  </w:rPr>
                  <w:t>项目</w:t>
                </w:r>
              </w:p>
            </w:tc>
          </w:sdtContent>
        </w:sdt>
        <w:sdt>
          <w:sdtPr>
            <w:tag w:val="_PLD_6a2d5fc680f64ea980912395fdf43d18"/>
            <w:id w:val="1450519078"/>
          </w:sdtPr>
          <w:sdtContent>
            <w:tc>
              <w:tcPr>
                <w:tcW w:w="2830" w:type="dxa"/>
                <w:vAlign w:val="center"/>
              </w:tcPr>
              <w:p w14:paraId="39C5A829" w14:textId="77777777" w:rsidR="005E000F" w:rsidRDefault="00000000">
                <w:pPr>
                  <w:autoSpaceDE w:val="0"/>
                  <w:autoSpaceDN w:val="0"/>
                  <w:adjustRightInd w:val="0"/>
                  <w:snapToGrid w:val="0"/>
                  <w:spacing w:line="240" w:lineRule="atLeast"/>
                  <w:jc w:val="center"/>
                </w:pPr>
                <w:r>
                  <w:rPr>
                    <w:rFonts w:hint="eastAsia"/>
                  </w:rPr>
                  <w:t>本期发生额</w:t>
                </w:r>
              </w:p>
            </w:tc>
          </w:sdtContent>
        </w:sdt>
        <w:sdt>
          <w:sdtPr>
            <w:tag w:val="_PLD_4c33d44ff7254e8994d6dacbfee10de3"/>
            <w:id w:val="1310365355"/>
          </w:sdtPr>
          <w:sdtContent>
            <w:tc>
              <w:tcPr>
                <w:tcW w:w="2819" w:type="dxa"/>
                <w:vAlign w:val="center"/>
              </w:tcPr>
              <w:p w14:paraId="6ED0FD5D" w14:textId="77777777" w:rsidR="005E000F" w:rsidRDefault="00000000">
                <w:pPr>
                  <w:autoSpaceDE w:val="0"/>
                  <w:autoSpaceDN w:val="0"/>
                  <w:adjustRightInd w:val="0"/>
                  <w:snapToGrid w:val="0"/>
                  <w:spacing w:line="240" w:lineRule="atLeast"/>
                  <w:jc w:val="center"/>
                </w:pPr>
                <w:r>
                  <w:rPr>
                    <w:rFonts w:hint="eastAsia"/>
                  </w:rPr>
                  <w:t>上期发生额</w:t>
                </w:r>
              </w:p>
            </w:tc>
          </w:sdtContent>
        </w:sdt>
      </w:tr>
      <w:tr w:rsidR="005E000F" w14:paraId="6EF6E5F2" w14:textId="77777777">
        <w:tc>
          <w:tcPr>
            <w:tcW w:w="3409" w:type="dxa"/>
          </w:tcPr>
          <w:p w14:paraId="03CDEE3B" w14:textId="77777777" w:rsidR="005E000F" w:rsidRDefault="00000000">
            <w:pPr>
              <w:autoSpaceDE w:val="0"/>
              <w:autoSpaceDN w:val="0"/>
              <w:adjustRightInd w:val="0"/>
              <w:snapToGrid w:val="0"/>
              <w:spacing w:line="240" w:lineRule="atLeast"/>
            </w:pPr>
            <w:r>
              <w:t>经营租赁固定资产收到现金</w:t>
            </w:r>
          </w:p>
        </w:tc>
        <w:tc>
          <w:tcPr>
            <w:tcW w:w="2830" w:type="dxa"/>
            <w:vAlign w:val="center"/>
          </w:tcPr>
          <w:p w14:paraId="0E38F3CD" w14:textId="77777777" w:rsidR="005E000F" w:rsidRDefault="00000000">
            <w:pPr>
              <w:jc w:val="right"/>
            </w:pPr>
            <w:r>
              <w:t>37,577,590</w:t>
            </w:r>
          </w:p>
        </w:tc>
        <w:tc>
          <w:tcPr>
            <w:tcW w:w="2819" w:type="dxa"/>
          </w:tcPr>
          <w:p w14:paraId="39EDB2F3" w14:textId="77777777" w:rsidR="005E000F" w:rsidRDefault="00000000">
            <w:pPr>
              <w:jc w:val="right"/>
              <w:rPr>
                <w:lang w:eastAsia="en-US"/>
              </w:rPr>
            </w:pPr>
            <w:r>
              <w:t>59,313,628</w:t>
            </w:r>
          </w:p>
        </w:tc>
      </w:tr>
      <w:tr w:rsidR="005E000F" w14:paraId="50457DDC" w14:textId="77777777">
        <w:tc>
          <w:tcPr>
            <w:tcW w:w="3409" w:type="dxa"/>
          </w:tcPr>
          <w:p w14:paraId="10E074AC" w14:textId="77777777" w:rsidR="005E000F" w:rsidRDefault="00000000">
            <w:pPr>
              <w:autoSpaceDE w:val="0"/>
              <w:autoSpaceDN w:val="0"/>
              <w:adjustRightInd w:val="0"/>
              <w:snapToGrid w:val="0"/>
              <w:spacing w:line="240" w:lineRule="atLeast"/>
              <w:rPr>
                <w:lang w:eastAsia="en-US"/>
              </w:rPr>
            </w:pPr>
            <w:r>
              <w:t>政府补助</w:t>
            </w:r>
          </w:p>
        </w:tc>
        <w:tc>
          <w:tcPr>
            <w:tcW w:w="2830" w:type="dxa"/>
            <w:vAlign w:val="center"/>
          </w:tcPr>
          <w:p w14:paraId="0DE8926D" w14:textId="77777777" w:rsidR="005E000F" w:rsidRDefault="00000000">
            <w:pPr>
              <w:jc w:val="right"/>
            </w:pPr>
            <w:r>
              <w:t>93,766,104</w:t>
            </w:r>
          </w:p>
        </w:tc>
        <w:tc>
          <w:tcPr>
            <w:tcW w:w="2819" w:type="dxa"/>
          </w:tcPr>
          <w:p w14:paraId="2E460BF5" w14:textId="77777777" w:rsidR="005E000F" w:rsidRDefault="00000000">
            <w:pPr>
              <w:jc w:val="right"/>
              <w:rPr>
                <w:lang w:eastAsia="en-US"/>
              </w:rPr>
            </w:pPr>
            <w:r>
              <w:t>96,449,800</w:t>
            </w:r>
          </w:p>
        </w:tc>
      </w:tr>
      <w:tr w:rsidR="005E000F" w14:paraId="1634BD7C" w14:textId="77777777">
        <w:tc>
          <w:tcPr>
            <w:tcW w:w="3409" w:type="dxa"/>
          </w:tcPr>
          <w:p w14:paraId="14FA422F" w14:textId="77777777" w:rsidR="005E000F" w:rsidRDefault="00000000">
            <w:pPr>
              <w:autoSpaceDE w:val="0"/>
              <w:autoSpaceDN w:val="0"/>
              <w:adjustRightInd w:val="0"/>
              <w:snapToGrid w:val="0"/>
              <w:spacing w:line="240" w:lineRule="atLeast"/>
              <w:rPr>
                <w:lang w:eastAsia="en-US"/>
              </w:rPr>
            </w:pPr>
            <w:r>
              <w:t>其他</w:t>
            </w:r>
          </w:p>
        </w:tc>
        <w:tc>
          <w:tcPr>
            <w:tcW w:w="2830" w:type="dxa"/>
            <w:vAlign w:val="center"/>
          </w:tcPr>
          <w:p w14:paraId="5FC9AFB5" w14:textId="77777777" w:rsidR="005E000F" w:rsidRDefault="00000000">
            <w:pPr>
              <w:jc w:val="right"/>
            </w:pPr>
            <w:r>
              <w:t>129,434,11</w:t>
            </w:r>
            <w:r>
              <w:rPr>
                <w:rFonts w:hint="eastAsia"/>
              </w:rPr>
              <w:t>6</w:t>
            </w:r>
          </w:p>
        </w:tc>
        <w:tc>
          <w:tcPr>
            <w:tcW w:w="2819" w:type="dxa"/>
          </w:tcPr>
          <w:p w14:paraId="57669A27" w14:textId="77777777" w:rsidR="005E000F" w:rsidRDefault="00000000">
            <w:pPr>
              <w:jc w:val="right"/>
              <w:rPr>
                <w:lang w:eastAsia="en-US"/>
              </w:rPr>
            </w:pPr>
            <w:r>
              <w:t>36,586,827</w:t>
            </w:r>
          </w:p>
        </w:tc>
      </w:tr>
      <w:tr w:rsidR="005E000F" w14:paraId="6E291A2C" w14:textId="77777777">
        <w:tc>
          <w:tcPr>
            <w:tcW w:w="3409" w:type="dxa"/>
            <w:vAlign w:val="center"/>
          </w:tcPr>
          <w:p w14:paraId="0056066F" w14:textId="77777777" w:rsidR="005E000F" w:rsidRDefault="00000000">
            <w:pPr>
              <w:autoSpaceDE w:val="0"/>
              <w:autoSpaceDN w:val="0"/>
              <w:adjustRightInd w:val="0"/>
              <w:snapToGrid w:val="0"/>
              <w:spacing w:line="240" w:lineRule="atLeast"/>
              <w:jc w:val="center"/>
            </w:pPr>
            <w:r>
              <w:rPr>
                <w:rFonts w:hint="eastAsia"/>
              </w:rPr>
              <w:t>合计</w:t>
            </w:r>
          </w:p>
        </w:tc>
        <w:tc>
          <w:tcPr>
            <w:tcW w:w="2830" w:type="dxa"/>
            <w:vAlign w:val="center"/>
          </w:tcPr>
          <w:p w14:paraId="7F416F44" w14:textId="77777777" w:rsidR="005E000F" w:rsidRDefault="00000000">
            <w:pPr>
              <w:jc w:val="right"/>
            </w:pPr>
            <w:r>
              <w:t>260,777,8</w:t>
            </w:r>
            <w:r>
              <w:rPr>
                <w:rFonts w:hint="eastAsia"/>
              </w:rPr>
              <w:t>10</w:t>
            </w:r>
          </w:p>
        </w:tc>
        <w:tc>
          <w:tcPr>
            <w:tcW w:w="2819" w:type="dxa"/>
          </w:tcPr>
          <w:p w14:paraId="0C568496" w14:textId="77777777" w:rsidR="005E000F" w:rsidRDefault="00000000">
            <w:pPr>
              <w:jc w:val="right"/>
              <w:rPr>
                <w:lang w:eastAsia="en-US"/>
              </w:rPr>
            </w:pPr>
            <w:r>
              <w:t>192,350,255</w:t>
            </w:r>
          </w:p>
        </w:tc>
      </w:tr>
    </w:tbl>
    <w:p w14:paraId="39DE0637" w14:textId="77777777" w:rsidR="005E000F" w:rsidRDefault="00000000">
      <w:pPr>
        <w:snapToGrid w:val="0"/>
        <w:spacing w:before="60" w:after="60" w:line="240" w:lineRule="atLeast"/>
      </w:pPr>
      <w:r>
        <w:rPr>
          <w:rFonts w:hint="eastAsia"/>
        </w:rPr>
        <w:t>收到的其他与经营活动有关的现金说明：</w:t>
      </w:r>
    </w:p>
    <w:sdt>
      <w:sdtPr>
        <w:alias w:val="收到的其他与经营活动有关的现金说明"/>
        <w:tag w:val="_GBC_2e3adcc96d704a9b8dd36934b863d3d4"/>
        <w:id w:val="-1927571215"/>
        <w:placeholder>
          <w:docPart w:val="GBC22222222222222222222222222222"/>
        </w:placeholder>
      </w:sdtPr>
      <w:sdtContent>
        <w:p w14:paraId="15A14C1E" w14:textId="77777777" w:rsidR="005E000F" w:rsidRDefault="00000000">
          <w:r>
            <w:rPr>
              <w:rFonts w:hint="eastAsia"/>
            </w:rPr>
            <w:t>无</w:t>
          </w:r>
        </w:p>
      </w:sdtContent>
    </w:sdt>
    <w:p w14:paraId="67F1D018" w14:textId="77777777" w:rsidR="005E000F" w:rsidRDefault="005E000F"/>
    <w:p w14:paraId="42C92793" w14:textId="77777777" w:rsidR="005E000F" w:rsidRDefault="00000000">
      <w:r>
        <w:rPr>
          <w:rFonts w:hint="eastAsia"/>
        </w:rPr>
        <w:t>支付的其他与经营活动有关的现金</w:t>
      </w:r>
    </w:p>
    <w:sdt>
      <w:sdtPr>
        <w:alias w:val="是否适用：支付的其他与经营活动有关的现金[双击切换]"/>
        <w:tag w:val="_GBC_f4dd9812849049808cd722f0acb16a7a"/>
        <w:id w:val="-1031259658"/>
        <w:placeholder>
          <w:docPart w:val="GBC22222222222222222222222222222"/>
        </w:placeholder>
      </w:sdtPr>
      <w:sdtContent>
        <w:p w14:paraId="39FFF9B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C1C7824" w14:textId="77777777" w:rsidR="005E000F" w:rsidRDefault="00000000">
      <w:pPr>
        <w:jc w:val="right"/>
      </w:pPr>
      <w:r>
        <w:rPr>
          <w:rFonts w:hint="eastAsia"/>
        </w:rPr>
        <w:t>单位：</w:t>
      </w:r>
      <w:sdt>
        <w:sdtPr>
          <w:rPr>
            <w:rFonts w:hint="eastAsia"/>
          </w:rPr>
          <w:alias w:val="单位：财务附注：支付的其他与经营活动有关的现金"/>
          <w:tag w:val="_GBC_43b6d286fa3345adb12f59f8ca6d94fd"/>
          <w:id w:val="-3541162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支付的其他与经营活动有关的现金"/>
          <w:tag w:val="_GBC_1cb95a87f7e44f1f81d520deac5b4e18"/>
          <w:id w:val="-17892721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810"/>
        <w:gridCol w:w="2839"/>
      </w:tblGrid>
      <w:tr w:rsidR="005E000F" w14:paraId="4DDE4483" w14:textId="77777777">
        <w:sdt>
          <w:sdtPr>
            <w:tag w:val="_PLD_313336294a534de9a634e32311d5592e"/>
            <w:id w:val="1347827592"/>
          </w:sdtPr>
          <w:sdtContent>
            <w:tc>
              <w:tcPr>
                <w:tcW w:w="3409" w:type="dxa"/>
                <w:vAlign w:val="center"/>
              </w:tcPr>
              <w:p w14:paraId="5B39C48F" w14:textId="77777777" w:rsidR="005E000F" w:rsidRDefault="00000000">
                <w:pPr>
                  <w:autoSpaceDE w:val="0"/>
                  <w:autoSpaceDN w:val="0"/>
                  <w:adjustRightInd w:val="0"/>
                  <w:snapToGrid w:val="0"/>
                  <w:jc w:val="center"/>
                </w:pPr>
                <w:r>
                  <w:rPr>
                    <w:rFonts w:hint="eastAsia"/>
                  </w:rPr>
                  <w:t>项目</w:t>
                </w:r>
              </w:p>
            </w:tc>
          </w:sdtContent>
        </w:sdt>
        <w:sdt>
          <w:sdtPr>
            <w:tag w:val="_PLD_254446e36934468da941d479360a4c79"/>
            <w:id w:val="-1322193091"/>
          </w:sdtPr>
          <w:sdtContent>
            <w:tc>
              <w:tcPr>
                <w:tcW w:w="2810" w:type="dxa"/>
                <w:vAlign w:val="center"/>
              </w:tcPr>
              <w:p w14:paraId="523686BA" w14:textId="77777777" w:rsidR="005E000F" w:rsidRDefault="00000000">
                <w:pPr>
                  <w:autoSpaceDE w:val="0"/>
                  <w:autoSpaceDN w:val="0"/>
                  <w:adjustRightInd w:val="0"/>
                  <w:snapToGrid w:val="0"/>
                  <w:jc w:val="center"/>
                </w:pPr>
                <w:r>
                  <w:rPr>
                    <w:rFonts w:hint="eastAsia"/>
                  </w:rPr>
                  <w:t>本期发生额</w:t>
                </w:r>
              </w:p>
            </w:tc>
          </w:sdtContent>
        </w:sdt>
        <w:sdt>
          <w:sdtPr>
            <w:tag w:val="_PLD_7dc479c1c10240cc94f89ea3fc1d6136"/>
            <w:id w:val="1639387842"/>
          </w:sdtPr>
          <w:sdtContent>
            <w:tc>
              <w:tcPr>
                <w:tcW w:w="2839" w:type="dxa"/>
                <w:vAlign w:val="center"/>
              </w:tcPr>
              <w:p w14:paraId="10DB732D" w14:textId="77777777" w:rsidR="005E000F" w:rsidRDefault="00000000">
                <w:pPr>
                  <w:autoSpaceDE w:val="0"/>
                  <w:autoSpaceDN w:val="0"/>
                  <w:adjustRightInd w:val="0"/>
                  <w:snapToGrid w:val="0"/>
                  <w:jc w:val="center"/>
                </w:pPr>
                <w:r>
                  <w:rPr>
                    <w:rFonts w:hint="eastAsia"/>
                  </w:rPr>
                  <w:t>上期发生额</w:t>
                </w:r>
              </w:p>
            </w:tc>
          </w:sdtContent>
        </w:sdt>
      </w:tr>
      <w:tr w:rsidR="005E000F" w14:paraId="7180D585" w14:textId="77777777">
        <w:tc>
          <w:tcPr>
            <w:tcW w:w="3409" w:type="dxa"/>
          </w:tcPr>
          <w:p w14:paraId="62F73426" w14:textId="77777777" w:rsidR="005E000F" w:rsidRDefault="00000000">
            <w:pPr>
              <w:autoSpaceDE w:val="0"/>
              <w:autoSpaceDN w:val="0"/>
              <w:adjustRightInd w:val="0"/>
              <w:snapToGrid w:val="0"/>
              <w:spacing w:line="240" w:lineRule="atLeast"/>
              <w:rPr>
                <w:lang w:eastAsia="en-US"/>
              </w:rPr>
            </w:pPr>
            <w:r>
              <w:t>支付的抵押金</w:t>
            </w:r>
            <w:r>
              <w:t>/</w:t>
            </w:r>
            <w:r>
              <w:t>保证金</w:t>
            </w:r>
          </w:p>
        </w:tc>
        <w:tc>
          <w:tcPr>
            <w:tcW w:w="2810" w:type="dxa"/>
            <w:vAlign w:val="center"/>
          </w:tcPr>
          <w:p w14:paraId="4098787C" w14:textId="77777777" w:rsidR="005E000F" w:rsidRDefault="00000000">
            <w:pPr>
              <w:jc w:val="right"/>
            </w:pPr>
            <w:r>
              <w:t>111,733,843</w:t>
            </w:r>
          </w:p>
        </w:tc>
        <w:tc>
          <w:tcPr>
            <w:tcW w:w="2839" w:type="dxa"/>
            <w:vAlign w:val="center"/>
          </w:tcPr>
          <w:p w14:paraId="34530F5B" w14:textId="77777777" w:rsidR="005E000F" w:rsidRDefault="00000000">
            <w:pPr>
              <w:jc w:val="right"/>
              <w:rPr>
                <w:lang w:eastAsia="en-US"/>
              </w:rPr>
            </w:pPr>
            <w:r>
              <w:t>28,519,590</w:t>
            </w:r>
          </w:p>
        </w:tc>
      </w:tr>
      <w:tr w:rsidR="005E000F" w14:paraId="6A45454F" w14:textId="77777777">
        <w:tc>
          <w:tcPr>
            <w:tcW w:w="3409" w:type="dxa"/>
          </w:tcPr>
          <w:p w14:paraId="768C49BF" w14:textId="77777777" w:rsidR="005E000F" w:rsidRDefault="00000000">
            <w:pPr>
              <w:autoSpaceDE w:val="0"/>
              <w:autoSpaceDN w:val="0"/>
              <w:adjustRightInd w:val="0"/>
              <w:snapToGrid w:val="0"/>
              <w:spacing w:line="240" w:lineRule="atLeast"/>
              <w:rPr>
                <w:lang w:eastAsia="en-US"/>
              </w:rPr>
            </w:pPr>
            <w:r>
              <w:t>差旅费</w:t>
            </w:r>
          </w:p>
        </w:tc>
        <w:tc>
          <w:tcPr>
            <w:tcW w:w="2810" w:type="dxa"/>
            <w:vAlign w:val="center"/>
          </w:tcPr>
          <w:p w14:paraId="7EF61D18" w14:textId="77777777" w:rsidR="005E000F" w:rsidRDefault="00000000">
            <w:pPr>
              <w:jc w:val="right"/>
            </w:pPr>
            <w:r>
              <w:t>14,683,232</w:t>
            </w:r>
          </w:p>
        </w:tc>
        <w:tc>
          <w:tcPr>
            <w:tcW w:w="2839" w:type="dxa"/>
            <w:vAlign w:val="center"/>
          </w:tcPr>
          <w:p w14:paraId="42C71389" w14:textId="77777777" w:rsidR="005E000F" w:rsidRDefault="00000000">
            <w:pPr>
              <w:jc w:val="right"/>
              <w:rPr>
                <w:lang w:eastAsia="en-US"/>
              </w:rPr>
            </w:pPr>
            <w:r>
              <w:t>23,487,071</w:t>
            </w:r>
          </w:p>
        </w:tc>
      </w:tr>
      <w:tr w:rsidR="005E000F" w14:paraId="20F935B2" w14:textId="77777777">
        <w:tc>
          <w:tcPr>
            <w:tcW w:w="3409" w:type="dxa"/>
          </w:tcPr>
          <w:p w14:paraId="7E80E008" w14:textId="77777777" w:rsidR="005E000F" w:rsidRDefault="00000000">
            <w:pPr>
              <w:autoSpaceDE w:val="0"/>
              <w:autoSpaceDN w:val="0"/>
              <w:adjustRightInd w:val="0"/>
              <w:snapToGrid w:val="0"/>
              <w:spacing w:line="240" w:lineRule="atLeast"/>
              <w:rPr>
                <w:lang w:eastAsia="en-US"/>
              </w:rPr>
            </w:pPr>
            <w:r>
              <w:t>租赁费</w:t>
            </w:r>
          </w:p>
        </w:tc>
        <w:tc>
          <w:tcPr>
            <w:tcW w:w="2810" w:type="dxa"/>
            <w:vAlign w:val="center"/>
          </w:tcPr>
          <w:p w14:paraId="311F882C" w14:textId="77777777" w:rsidR="005E000F" w:rsidRDefault="00000000">
            <w:pPr>
              <w:jc w:val="right"/>
            </w:pPr>
            <w:r>
              <w:t>48,574,685</w:t>
            </w:r>
          </w:p>
        </w:tc>
        <w:tc>
          <w:tcPr>
            <w:tcW w:w="2839" w:type="dxa"/>
            <w:vAlign w:val="center"/>
          </w:tcPr>
          <w:p w14:paraId="21B7BDCD" w14:textId="77777777" w:rsidR="005E000F" w:rsidRDefault="00000000">
            <w:pPr>
              <w:jc w:val="right"/>
              <w:rPr>
                <w:lang w:eastAsia="en-US"/>
              </w:rPr>
            </w:pPr>
            <w:r>
              <w:t>23,053,249</w:t>
            </w:r>
          </w:p>
        </w:tc>
      </w:tr>
      <w:tr w:rsidR="005E000F" w14:paraId="738BD255" w14:textId="77777777">
        <w:tc>
          <w:tcPr>
            <w:tcW w:w="3409" w:type="dxa"/>
          </w:tcPr>
          <w:p w14:paraId="138DA770" w14:textId="77777777" w:rsidR="005E000F" w:rsidRDefault="00000000">
            <w:pPr>
              <w:autoSpaceDE w:val="0"/>
              <w:autoSpaceDN w:val="0"/>
              <w:adjustRightInd w:val="0"/>
              <w:snapToGrid w:val="0"/>
              <w:spacing w:line="240" w:lineRule="atLeast"/>
              <w:rPr>
                <w:lang w:eastAsia="en-US"/>
              </w:rPr>
            </w:pPr>
            <w:r>
              <w:t>其他</w:t>
            </w:r>
          </w:p>
        </w:tc>
        <w:tc>
          <w:tcPr>
            <w:tcW w:w="2810" w:type="dxa"/>
            <w:vAlign w:val="center"/>
          </w:tcPr>
          <w:p w14:paraId="3C5D28E3" w14:textId="77777777" w:rsidR="005E000F" w:rsidRDefault="00000000">
            <w:pPr>
              <w:jc w:val="right"/>
            </w:pPr>
            <w:r>
              <w:t>571,624,35</w:t>
            </w:r>
            <w:r>
              <w:rPr>
                <w:rFonts w:hint="eastAsia"/>
              </w:rPr>
              <w:t>2</w:t>
            </w:r>
          </w:p>
        </w:tc>
        <w:tc>
          <w:tcPr>
            <w:tcW w:w="2839" w:type="dxa"/>
            <w:vAlign w:val="center"/>
          </w:tcPr>
          <w:p w14:paraId="5CF664F4" w14:textId="77777777" w:rsidR="005E000F" w:rsidRDefault="00000000">
            <w:pPr>
              <w:jc w:val="right"/>
              <w:rPr>
                <w:lang w:eastAsia="en-US"/>
              </w:rPr>
            </w:pPr>
            <w:r>
              <w:t>427,633,375</w:t>
            </w:r>
          </w:p>
        </w:tc>
      </w:tr>
      <w:tr w:rsidR="005E000F" w14:paraId="0EB3A8CB" w14:textId="77777777">
        <w:tc>
          <w:tcPr>
            <w:tcW w:w="3409" w:type="dxa"/>
            <w:vAlign w:val="center"/>
          </w:tcPr>
          <w:p w14:paraId="56110415" w14:textId="77777777" w:rsidR="005E000F" w:rsidRDefault="00000000">
            <w:pPr>
              <w:autoSpaceDE w:val="0"/>
              <w:autoSpaceDN w:val="0"/>
              <w:adjustRightInd w:val="0"/>
              <w:snapToGrid w:val="0"/>
              <w:jc w:val="center"/>
            </w:pPr>
            <w:r>
              <w:rPr>
                <w:rFonts w:hint="eastAsia"/>
              </w:rPr>
              <w:t>合计</w:t>
            </w:r>
          </w:p>
        </w:tc>
        <w:tc>
          <w:tcPr>
            <w:tcW w:w="2810" w:type="dxa"/>
            <w:vAlign w:val="center"/>
          </w:tcPr>
          <w:p w14:paraId="65D6878C" w14:textId="77777777" w:rsidR="005E000F" w:rsidRDefault="00000000">
            <w:pPr>
              <w:jc w:val="right"/>
            </w:pPr>
            <w:r>
              <w:t>746,616,11</w:t>
            </w:r>
            <w:r>
              <w:rPr>
                <w:rFonts w:hint="eastAsia"/>
              </w:rPr>
              <w:t>2</w:t>
            </w:r>
          </w:p>
        </w:tc>
        <w:tc>
          <w:tcPr>
            <w:tcW w:w="2839" w:type="dxa"/>
            <w:vAlign w:val="center"/>
          </w:tcPr>
          <w:p w14:paraId="721AF19B" w14:textId="77777777" w:rsidR="005E000F" w:rsidRDefault="00000000">
            <w:pPr>
              <w:jc w:val="right"/>
              <w:rPr>
                <w:lang w:eastAsia="en-US"/>
              </w:rPr>
            </w:pPr>
            <w:r>
              <w:t>502,693,285</w:t>
            </w:r>
          </w:p>
        </w:tc>
      </w:tr>
    </w:tbl>
    <w:p w14:paraId="1D5F335D" w14:textId="77777777" w:rsidR="005E000F" w:rsidRDefault="00000000">
      <w:pPr>
        <w:spacing w:before="60" w:after="60"/>
      </w:pPr>
      <w:r>
        <w:rPr>
          <w:rFonts w:hint="eastAsia"/>
        </w:rPr>
        <w:t>支付的其他与经营活动有关的现金说明：</w:t>
      </w:r>
    </w:p>
    <w:sdt>
      <w:sdtPr>
        <w:rPr>
          <w:rFonts w:hint="eastAsia"/>
        </w:rPr>
        <w:alias w:val="支付的其他与经营活动有关的现金说明"/>
        <w:tag w:val="_GBC_0465de66d71e4a34a0d6c076baa704db"/>
        <w:id w:val="-434289115"/>
        <w:placeholder>
          <w:docPart w:val="GBC22222222222222222222222222222"/>
        </w:placeholder>
      </w:sdtPr>
      <w:sdtContent>
        <w:p w14:paraId="6842326D" w14:textId="77777777" w:rsidR="005E000F" w:rsidRDefault="00000000">
          <w:pPr>
            <w:ind w:right="5"/>
          </w:pPr>
          <w:r>
            <w:rPr>
              <w:rFonts w:hint="eastAsia"/>
            </w:rPr>
            <w:t>无</w:t>
          </w:r>
        </w:p>
      </w:sdtContent>
    </w:sdt>
    <w:p w14:paraId="4E956FEA" w14:textId="77777777" w:rsidR="005E000F" w:rsidRDefault="00000000">
      <w:pPr>
        <w:pStyle w:val="4"/>
        <w:numPr>
          <w:ilvl w:val="0"/>
          <w:numId w:val="105"/>
        </w:numPr>
        <w:ind w:left="426" w:hanging="426"/>
      </w:pPr>
      <w:r>
        <w:rPr>
          <w:rFonts w:hint="eastAsia"/>
        </w:rPr>
        <w:t>与投资活动有关的现金</w:t>
      </w:r>
    </w:p>
    <w:p w14:paraId="55F34890" w14:textId="77777777" w:rsidR="005E000F" w:rsidRDefault="00000000">
      <w:r>
        <w:rPr>
          <w:rFonts w:hint="eastAsia"/>
        </w:rPr>
        <w:t>收到的重要的投资活动有关的现金</w:t>
      </w:r>
    </w:p>
    <w:sdt>
      <w:sdtPr>
        <w:alias w:val="是否适用：收到的重要的投资活动有关的现金[双击切换]"/>
        <w:tag w:val="_GBC_9196f5edd13f48c58cf11429e2524db4"/>
        <w:id w:val="1380509320"/>
        <w:placeholder>
          <w:docPart w:val="GBC22222222222222222222222222222"/>
        </w:placeholder>
      </w:sdtPr>
      <w:sdtContent>
        <w:p w14:paraId="71338D0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1B5779E" w14:textId="77777777" w:rsidR="005E000F" w:rsidRDefault="005E000F"/>
    <w:p w14:paraId="09BAC5D6" w14:textId="77777777" w:rsidR="005E000F" w:rsidRDefault="005E000F"/>
    <w:p w14:paraId="5D44699F" w14:textId="77777777" w:rsidR="005E000F" w:rsidRDefault="00000000">
      <w:r>
        <w:rPr>
          <w:rFonts w:hint="eastAsia"/>
        </w:rPr>
        <w:t>支付的重要的投资活动有关的现金</w:t>
      </w:r>
    </w:p>
    <w:sdt>
      <w:sdtPr>
        <w:alias w:val="是否适用：支付的重要的投资活动有关的现金[双击切换]"/>
        <w:tag w:val="_GBC_87278c8d34004ae4ad117e1026d10209"/>
        <w:id w:val="1458676647"/>
        <w:placeholder>
          <w:docPart w:val="GBC22222222222222222222222222222"/>
        </w:placeholder>
      </w:sdtPr>
      <w:sdtContent>
        <w:p w14:paraId="2494F28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128B887" w14:textId="77777777" w:rsidR="005E000F" w:rsidRDefault="005E000F"/>
    <w:p w14:paraId="123BCF37" w14:textId="77777777" w:rsidR="005E000F" w:rsidRDefault="005E000F"/>
    <w:p w14:paraId="1B891EFD" w14:textId="77777777" w:rsidR="005E000F" w:rsidRDefault="00000000">
      <w:r>
        <w:rPr>
          <w:rFonts w:hint="eastAsia"/>
        </w:rPr>
        <w:t>收到的其他与投资活动有关的现金</w:t>
      </w:r>
    </w:p>
    <w:sdt>
      <w:sdtPr>
        <w:alias w:val="是否适用：收到的其他与投资活动有关的现金[双击切换]"/>
        <w:tag w:val="_GBC_a9d11a87566b448d9e6aac9a017a8388"/>
        <w:id w:val="1713772003"/>
        <w:placeholder>
          <w:docPart w:val="GBC22222222222222222222222222222"/>
        </w:placeholder>
      </w:sdtPr>
      <w:sdtContent>
        <w:p w14:paraId="7676A31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05C97DE" w14:textId="77777777" w:rsidR="005E000F" w:rsidRDefault="00000000">
      <w:pPr>
        <w:jc w:val="right"/>
      </w:pPr>
      <w:r>
        <w:rPr>
          <w:rFonts w:hint="eastAsia"/>
        </w:rPr>
        <w:t>单位：</w:t>
      </w:r>
      <w:sdt>
        <w:sdtPr>
          <w:rPr>
            <w:rFonts w:hint="eastAsia"/>
          </w:rPr>
          <w:alias w:val="单位：财务附注：收到的其他与投资活动有关的现金"/>
          <w:tag w:val="_GBC_0c9cf16095dd4d5ab3121520e225b633"/>
          <w:id w:val="-460785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收到的其他与投资活动有关的现金"/>
          <w:tag w:val="_GBC_791e060c2d294266a3abaf8a745aad01"/>
          <w:id w:val="-182982005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915"/>
        <w:gridCol w:w="2734"/>
      </w:tblGrid>
      <w:tr w:rsidR="005E000F" w14:paraId="08AC22A4" w14:textId="77777777">
        <w:sdt>
          <w:sdtPr>
            <w:tag w:val="_PLD_8fe69c5749494bb49faf620c5198417e"/>
            <w:id w:val="-1417313569"/>
          </w:sdtPr>
          <w:sdtContent>
            <w:tc>
              <w:tcPr>
                <w:tcW w:w="3409" w:type="dxa"/>
                <w:vAlign w:val="center"/>
              </w:tcPr>
              <w:p w14:paraId="3B3AF957" w14:textId="77777777" w:rsidR="005E000F" w:rsidRDefault="00000000">
                <w:pPr>
                  <w:autoSpaceDE w:val="0"/>
                  <w:autoSpaceDN w:val="0"/>
                  <w:adjustRightInd w:val="0"/>
                  <w:snapToGrid w:val="0"/>
                  <w:spacing w:line="240" w:lineRule="atLeast"/>
                  <w:jc w:val="center"/>
                </w:pPr>
                <w:r>
                  <w:rPr>
                    <w:rFonts w:hint="eastAsia"/>
                  </w:rPr>
                  <w:t>项目</w:t>
                </w:r>
              </w:p>
            </w:tc>
          </w:sdtContent>
        </w:sdt>
        <w:sdt>
          <w:sdtPr>
            <w:tag w:val="_PLD_bf91a26c50244250a28701d650837068"/>
            <w:id w:val="290171083"/>
          </w:sdtPr>
          <w:sdtContent>
            <w:tc>
              <w:tcPr>
                <w:tcW w:w="2915" w:type="dxa"/>
                <w:vAlign w:val="center"/>
              </w:tcPr>
              <w:p w14:paraId="607C4257" w14:textId="77777777" w:rsidR="005E000F" w:rsidRDefault="00000000">
                <w:pPr>
                  <w:autoSpaceDE w:val="0"/>
                  <w:autoSpaceDN w:val="0"/>
                  <w:adjustRightInd w:val="0"/>
                  <w:snapToGrid w:val="0"/>
                  <w:spacing w:line="240" w:lineRule="atLeast"/>
                  <w:jc w:val="center"/>
                </w:pPr>
                <w:r>
                  <w:rPr>
                    <w:rFonts w:hint="eastAsia"/>
                  </w:rPr>
                  <w:t>本期发生额</w:t>
                </w:r>
              </w:p>
            </w:tc>
          </w:sdtContent>
        </w:sdt>
        <w:sdt>
          <w:sdtPr>
            <w:tag w:val="_PLD_6ba4cebdd5f34f0ebe4577174e11dd6c"/>
            <w:id w:val="-775642609"/>
          </w:sdtPr>
          <w:sdtContent>
            <w:tc>
              <w:tcPr>
                <w:tcW w:w="2734" w:type="dxa"/>
                <w:vAlign w:val="center"/>
              </w:tcPr>
              <w:p w14:paraId="1A09E53D" w14:textId="77777777" w:rsidR="005E000F" w:rsidRDefault="00000000">
                <w:pPr>
                  <w:autoSpaceDE w:val="0"/>
                  <w:autoSpaceDN w:val="0"/>
                  <w:adjustRightInd w:val="0"/>
                  <w:snapToGrid w:val="0"/>
                  <w:spacing w:line="240" w:lineRule="atLeast"/>
                  <w:jc w:val="center"/>
                </w:pPr>
                <w:r>
                  <w:rPr>
                    <w:rFonts w:hint="eastAsia"/>
                  </w:rPr>
                  <w:t>上期发生额</w:t>
                </w:r>
              </w:p>
            </w:tc>
          </w:sdtContent>
        </w:sdt>
      </w:tr>
      <w:tr w:rsidR="005E000F" w14:paraId="1624DDD1" w14:textId="77777777">
        <w:tc>
          <w:tcPr>
            <w:tcW w:w="3409" w:type="dxa"/>
            <w:vAlign w:val="center"/>
          </w:tcPr>
          <w:p w14:paraId="4EB99A03" w14:textId="77777777" w:rsidR="005E000F" w:rsidRDefault="00000000">
            <w:pPr>
              <w:autoSpaceDE w:val="0"/>
              <w:autoSpaceDN w:val="0"/>
              <w:adjustRightInd w:val="0"/>
              <w:snapToGrid w:val="0"/>
              <w:spacing w:line="240" w:lineRule="atLeast"/>
            </w:pPr>
            <w:r>
              <w:t>银行存款利息收入</w:t>
            </w:r>
          </w:p>
        </w:tc>
        <w:tc>
          <w:tcPr>
            <w:tcW w:w="2915" w:type="dxa"/>
            <w:vAlign w:val="center"/>
          </w:tcPr>
          <w:p w14:paraId="415633EA" w14:textId="77777777" w:rsidR="005E000F" w:rsidRDefault="00000000">
            <w:pPr>
              <w:jc w:val="right"/>
            </w:pPr>
            <w:r>
              <w:t>638,615,979</w:t>
            </w:r>
          </w:p>
        </w:tc>
        <w:tc>
          <w:tcPr>
            <w:tcW w:w="2734" w:type="dxa"/>
            <w:vAlign w:val="center"/>
          </w:tcPr>
          <w:p w14:paraId="23127525" w14:textId="77777777" w:rsidR="005E000F" w:rsidRDefault="00000000">
            <w:pPr>
              <w:jc w:val="right"/>
            </w:pPr>
            <w:r>
              <w:t>953,173,688</w:t>
            </w:r>
          </w:p>
        </w:tc>
      </w:tr>
      <w:tr w:rsidR="005E000F" w14:paraId="4D1C36C9" w14:textId="77777777">
        <w:tc>
          <w:tcPr>
            <w:tcW w:w="3409" w:type="dxa"/>
            <w:vAlign w:val="center"/>
          </w:tcPr>
          <w:p w14:paraId="1F5E5872" w14:textId="77777777" w:rsidR="005E000F" w:rsidRDefault="00000000">
            <w:pPr>
              <w:autoSpaceDE w:val="0"/>
              <w:autoSpaceDN w:val="0"/>
              <w:adjustRightInd w:val="0"/>
              <w:snapToGrid w:val="0"/>
              <w:spacing w:line="240" w:lineRule="atLeast"/>
              <w:jc w:val="center"/>
            </w:pPr>
            <w:r>
              <w:rPr>
                <w:rFonts w:hint="eastAsia"/>
              </w:rPr>
              <w:t>合计</w:t>
            </w:r>
          </w:p>
        </w:tc>
        <w:tc>
          <w:tcPr>
            <w:tcW w:w="2915" w:type="dxa"/>
            <w:vAlign w:val="center"/>
          </w:tcPr>
          <w:p w14:paraId="0173C5C4" w14:textId="77777777" w:rsidR="005E000F" w:rsidRDefault="00000000">
            <w:pPr>
              <w:jc w:val="right"/>
            </w:pPr>
            <w:r>
              <w:t>638,615,979</w:t>
            </w:r>
          </w:p>
        </w:tc>
        <w:tc>
          <w:tcPr>
            <w:tcW w:w="2734" w:type="dxa"/>
            <w:vAlign w:val="center"/>
          </w:tcPr>
          <w:p w14:paraId="51769418" w14:textId="77777777" w:rsidR="005E000F" w:rsidRDefault="00000000">
            <w:pPr>
              <w:jc w:val="right"/>
            </w:pPr>
            <w:r>
              <w:t>953,173,688</w:t>
            </w:r>
          </w:p>
        </w:tc>
      </w:tr>
    </w:tbl>
    <w:p w14:paraId="4E6E88B2" w14:textId="77777777" w:rsidR="005E000F" w:rsidRDefault="00000000">
      <w:pPr>
        <w:snapToGrid w:val="0"/>
        <w:spacing w:before="60" w:after="60"/>
      </w:pPr>
      <w:r>
        <w:rPr>
          <w:rFonts w:hint="eastAsia"/>
        </w:rPr>
        <w:t>收到的其他与投资活动有关的现金说明：</w:t>
      </w:r>
    </w:p>
    <w:sdt>
      <w:sdtPr>
        <w:alias w:val="收到的其他与投资活动有关的现金说明"/>
        <w:tag w:val="_GBC_4f6584697d884cfd99a931a45c33cdac"/>
        <w:id w:val="2043096014"/>
        <w:placeholder>
          <w:docPart w:val="GBC22222222222222222222222222222"/>
        </w:placeholder>
      </w:sdtPr>
      <w:sdtContent>
        <w:p w14:paraId="017F000A" w14:textId="77777777" w:rsidR="005E000F" w:rsidRDefault="00000000">
          <w:pPr>
            <w:snapToGrid w:val="0"/>
            <w:spacing w:line="240" w:lineRule="atLeast"/>
          </w:pPr>
          <w:r>
            <w:rPr>
              <w:rFonts w:hint="eastAsia"/>
            </w:rPr>
            <w:t>无</w:t>
          </w:r>
        </w:p>
      </w:sdtContent>
    </w:sdt>
    <w:p w14:paraId="00313E47" w14:textId="77777777" w:rsidR="005E000F" w:rsidRDefault="005E000F"/>
    <w:p w14:paraId="7C2ED792" w14:textId="77777777" w:rsidR="005E000F" w:rsidRDefault="00000000">
      <w:r>
        <w:rPr>
          <w:rFonts w:hint="eastAsia"/>
        </w:rPr>
        <w:t>支付的其他与投资活动有关的现金</w:t>
      </w:r>
    </w:p>
    <w:sdt>
      <w:sdtPr>
        <w:alias w:val="是否适用：支付的其他与投资活动有关的现金[双击切换]"/>
        <w:tag w:val="_GBC_c733aab18a804ecea142a329ce5180ba"/>
        <w:id w:val="-710885963"/>
        <w:placeholder>
          <w:docPart w:val="GBC22222222222222222222222222222"/>
        </w:placeholder>
      </w:sdtPr>
      <w:sdtContent>
        <w:p w14:paraId="2C11071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448F177" w14:textId="77777777" w:rsidR="005E000F" w:rsidRDefault="005E000F"/>
    <w:p w14:paraId="1D64375A" w14:textId="77777777" w:rsidR="005E000F" w:rsidRDefault="005E000F"/>
    <w:p w14:paraId="28AC385C" w14:textId="77777777" w:rsidR="005E000F" w:rsidRDefault="00000000">
      <w:pPr>
        <w:pStyle w:val="4"/>
        <w:numPr>
          <w:ilvl w:val="0"/>
          <w:numId w:val="105"/>
        </w:numPr>
        <w:ind w:left="426" w:hanging="426"/>
      </w:pPr>
      <w:r>
        <w:rPr>
          <w:rFonts w:hint="eastAsia"/>
        </w:rPr>
        <w:t>与筹资活动有关的现金</w:t>
      </w:r>
    </w:p>
    <w:p w14:paraId="71FAF1E4" w14:textId="77777777" w:rsidR="005E000F" w:rsidRDefault="00000000">
      <w:r>
        <w:rPr>
          <w:rFonts w:hint="eastAsia"/>
        </w:rPr>
        <w:t>收到的其他与筹资活动有关的现金</w:t>
      </w:r>
    </w:p>
    <w:sdt>
      <w:sdtPr>
        <w:alias w:val="是否适用：收到的其他与筹资活动有关的现金[双击切换]"/>
        <w:tag w:val="_GBC_031910cf781944cf80900ffa99f7a9d7"/>
        <w:id w:val="-234557179"/>
        <w:placeholder>
          <w:docPart w:val="GBC22222222222222222222222222222"/>
        </w:placeholder>
      </w:sdtPr>
      <w:sdtContent>
        <w:p w14:paraId="431EBB2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CFF973A" w14:textId="77777777" w:rsidR="005E000F" w:rsidRDefault="00000000">
      <w:pPr>
        <w:jc w:val="right"/>
      </w:pPr>
      <w:r>
        <w:rPr>
          <w:rFonts w:hint="eastAsia"/>
        </w:rPr>
        <w:t>单位：</w:t>
      </w:r>
      <w:sdt>
        <w:sdtPr>
          <w:rPr>
            <w:rFonts w:hint="eastAsia"/>
          </w:rPr>
          <w:alias w:val="单位：财务附注：收到的其他与筹资活动有关的现金"/>
          <w:tag w:val="_GBC_666160c9e7144e11b24beaa82a8d20a2"/>
          <w:id w:val="-12006137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收到的其他与筹资活动有关的现金"/>
          <w:tag w:val="_GBC_5dbb9457a5854b088449e8b9e69e8c2e"/>
          <w:id w:val="8974047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916"/>
        <w:gridCol w:w="2732"/>
      </w:tblGrid>
      <w:tr w:rsidR="005E000F" w14:paraId="14CA05DA" w14:textId="77777777">
        <w:sdt>
          <w:sdtPr>
            <w:tag w:val="_PLD_a77349a2c05f473b9ac20b64fc24179e"/>
            <w:id w:val="-755433466"/>
          </w:sdtPr>
          <w:sdtContent>
            <w:tc>
              <w:tcPr>
                <w:tcW w:w="3409" w:type="dxa"/>
                <w:vAlign w:val="center"/>
              </w:tcPr>
              <w:p w14:paraId="4459326F" w14:textId="77777777" w:rsidR="005E000F" w:rsidRDefault="00000000">
                <w:pPr>
                  <w:autoSpaceDE w:val="0"/>
                  <w:autoSpaceDN w:val="0"/>
                  <w:adjustRightInd w:val="0"/>
                  <w:snapToGrid w:val="0"/>
                  <w:jc w:val="center"/>
                </w:pPr>
                <w:r>
                  <w:rPr>
                    <w:rFonts w:hint="eastAsia"/>
                  </w:rPr>
                  <w:t>项目</w:t>
                </w:r>
              </w:p>
            </w:tc>
          </w:sdtContent>
        </w:sdt>
        <w:sdt>
          <w:sdtPr>
            <w:tag w:val="_PLD_4f0ec6d40c994acb9eb5b3560f97c407"/>
            <w:id w:val="802735450"/>
          </w:sdtPr>
          <w:sdtContent>
            <w:tc>
              <w:tcPr>
                <w:tcW w:w="2916" w:type="dxa"/>
                <w:vAlign w:val="center"/>
              </w:tcPr>
              <w:p w14:paraId="2CF0A62A" w14:textId="77777777" w:rsidR="005E000F" w:rsidRDefault="00000000">
                <w:pPr>
                  <w:autoSpaceDE w:val="0"/>
                  <w:autoSpaceDN w:val="0"/>
                  <w:adjustRightInd w:val="0"/>
                  <w:snapToGrid w:val="0"/>
                  <w:jc w:val="center"/>
                </w:pPr>
                <w:r>
                  <w:rPr>
                    <w:rFonts w:hint="eastAsia"/>
                  </w:rPr>
                  <w:t>本期发生额</w:t>
                </w:r>
              </w:p>
            </w:tc>
          </w:sdtContent>
        </w:sdt>
        <w:sdt>
          <w:sdtPr>
            <w:tag w:val="_PLD_aa071ffac82040379300e6f5150e4ff7"/>
            <w:id w:val="2007082313"/>
          </w:sdtPr>
          <w:sdtContent>
            <w:tc>
              <w:tcPr>
                <w:tcW w:w="2732" w:type="dxa"/>
                <w:vAlign w:val="center"/>
              </w:tcPr>
              <w:p w14:paraId="27236AEE" w14:textId="77777777" w:rsidR="005E000F" w:rsidRDefault="00000000">
                <w:pPr>
                  <w:autoSpaceDE w:val="0"/>
                  <w:autoSpaceDN w:val="0"/>
                  <w:adjustRightInd w:val="0"/>
                  <w:snapToGrid w:val="0"/>
                  <w:jc w:val="center"/>
                </w:pPr>
                <w:r>
                  <w:rPr>
                    <w:rFonts w:hint="eastAsia"/>
                  </w:rPr>
                  <w:t>上期发生额</w:t>
                </w:r>
              </w:p>
            </w:tc>
          </w:sdtContent>
        </w:sdt>
      </w:tr>
      <w:tr w:rsidR="005E000F" w14:paraId="6227627F" w14:textId="77777777">
        <w:tc>
          <w:tcPr>
            <w:tcW w:w="3409" w:type="dxa"/>
          </w:tcPr>
          <w:p w14:paraId="254F4A6C" w14:textId="77777777" w:rsidR="005E000F" w:rsidRDefault="00000000">
            <w:pPr>
              <w:autoSpaceDE w:val="0"/>
              <w:autoSpaceDN w:val="0"/>
              <w:adjustRightInd w:val="0"/>
              <w:snapToGrid w:val="0"/>
              <w:rPr>
                <w:rFonts w:cs="宋体"/>
                <w:bCs/>
                <w:lang w:eastAsia="en-US"/>
              </w:rPr>
            </w:pPr>
            <w:r>
              <w:rPr>
                <w:rFonts w:cs="宋体" w:hint="eastAsia"/>
                <w:bCs/>
              </w:rPr>
              <w:t>超长期国债</w:t>
            </w:r>
          </w:p>
        </w:tc>
        <w:tc>
          <w:tcPr>
            <w:tcW w:w="2916" w:type="dxa"/>
            <w:vAlign w:val="center"/>
          </w:tcPr>
          <w:p w14:paraId="6DE6DCFC" w14:textId="77777777" w:rsidR="005E000F" w:rsidRDefault="00000000">
            <w:pPr>
              <w:jc w:val="right"/>
            </w:pPr>
            <w:r>
              <w:t>482,868,900</w:t>
            </w:r>
          </w:p>
        </w:tc>
        <w:tc>
          <w:tcPr>
            <w:tcW w:w="2732" w:type="dxa"/>
          </w:tcPr>
          <w:p w14:paraId="4CB8A1E3" w14:textId="77777777" w:rsidR="005E000F" w:rsidRDefault="00000000">
            <w:pPr>
              <w:jc w:val="right"/>
              <w:rPr>
                <w:lang w:eastAsia="en-US"/>
              </w:rPr>
            </w:pPr>
            <w:r>
              <w:t>295,721,100</w:t>
            </w:r>
          </w:p>
        </w:tc>
      </w:tr>
      <w:tr w:rsidR="005E000F" w14:paraId="7542FECC" w14:textId="77777777">
        <w:tc>
          <w:tcPr>
            <w:tcW w:w="3409" w:type="dxa"/>
          </w:tcPr>
          <w:p w14:paraId="1BFA8498" w14:textId="77777777" w:rsidR="005E000F" w:rsidRDefault="00000000">
            <w:pPr>
              <w:autoSpaceDE w:val="0"/>
              <w:autoSpaceDN w:val="0"/>
              <w:adjustRightInd w:val="0"/>
              <w:snapToGrid w:val="0"/>
              <w:rPr>
                <w:rFonts w:cs="宋体"/>
                <w:bCs/>
                <w:lang w:eastAsia="en-US"/>
              </w:rPr>
            </w:pPr>
            <w:r>
              <w:rPr>
                <w:rFonts w:cs="宋体" w:hint="eastAsia"/>
                <w:bCs/>
              </w:rPr>
              <w:t>收到的代管资金净额</w:t>
            </w:r>
          </w:p>
        </w:tc>
        <w:tc>
          <w:tcPr>
            <w:tcW w:w="2916" w:type="dxa"/>
            <w:vAlign w:val="center"/>
          </w:tcPr>
          <w:p w14:paraId="74BD889E" w14:textId="77777777" w:rsidR="005E000F" w:rsidRDefault="00000000">
            <w:pPr>
              <w:jc w:val="right"/>
            </w:pPr>
            <w:r>
              <w:t>0</w:t>
            </w:r>
          </w:p>
        </w:tc>
        <w:tc>
          <w:tcPr>
            <w:tcW w:w="2732" w:type="dxa"/>
          </w:tcPr>
          <w:p w14:paraId="262F0797" w14:textId="77777777" w:rsidR="005E000F" w:rsidRDefault="00000000">
            <w:pPr>
              <w:jc w:val="right"/>
              <w:rPr>
                <w:lang w:eastAsia="en-US"/>
              </w:rPr>
            </w:pPr>
            <w:r>
              <w:t>23,574,862</w:t>
            </w:r>
          </w:p>
        </w:tc>
      </w:tr>
      <w:tr w:rsidR="005E000F" w14:paraId="0D560101" w14:textId="77777777">
        <w:tc>
          <w:tcPr>
            <w:tcW w:w="3409" w:type="dxa"/>
            <w:vAlign w:val="center"/>
          </w:tcPr>
          <w:p w14:paraId="2635DB3C" w14:textId="77777777" w:rsidR="005E000F" w:rsidRDefault="00000000">
            <w:pPr>
              <w:autoSpaceDE w:val="0"/>
              <w:autoSpaceDN w:val="0"/>
              <w:adjustRightInd w:val="0"/>
              <w:snapToGrid w:val="0"/>
              <w:jc w:val="center"/>
            </w:pPr>
            <w:r>
              <w:rPr>
                <w:rFonts w:hint="eastAsia"/>
              </w:rPr>
              <w:t>合计</w:t>
            </w:r>
          </w:p>
        </w:tc>
        <w:tc>
          <w:tcPr>
            <w:tcW w:w="2916" w:type="dxa"/>
            <w:vAlign w:val="center"/>
          </w:tcPr>
          <w:p w14:paraId="7B2861D6" w14:textId="77777777" w:rsidR="005E000F" w:rsidRDefault="00000000">
            <w:pPr>
              <w:jc w:val="right"/>
            </w:pPr>
            <w:r>
              <w:t>482,868,900</w:t>
            </w:r>
          </w:p>
        </w:tc>
        <w:tc>
          <w:tcPr>
            <w:tcW w:w="2732" w:type="dxa"/>
          </w:tcPr>
          <w:p w14:paraId="573E552A" w14:textId="77777777" w:rsidR="005E000F" w:rsidRDefault="00000000">
            <w:pPr>
              <w:jc w:val="right"/>
              <w:rPr>
                <w:lang w:eastAsia="en-US"/>
              </w:rPr>
            </w:pPr>
            <w:r>
              <w:t>319,295,962</w:t>
            </w:r>
          </w:p>
        </w:tc>
      </w:tr>
    </w:tbl>
    <w:p w14:paraId="3771478D" w14:textId="77777777" w:rsidR="005E000F" w:rsidRDefault="00000000">
      <w:pPr>
        <w:spacing w:before="60" w:after="60"/>
      </w:pPr>
      <w:r>
        <w:rPr>
          <w:rFonts w:hint="eastAsia"/>
        </w:rPr>
        <w:t>收到的其他与筹资活动有关的现金说明：</w:t>
      </w:r>
    </w:p>
    <w:sdt>
      <w:sdtPr>
        <w:rPr>
          <w:rFonts w:hint="eastAsia"/>
        </w:rPr>
        <w:alias w:val="收到的其他与筹资活动有关的现金说明"/>
        <w:tag w:val="_GBC_d2ec2a0599ab42678694df6c15643c4d"/>
        <w:id w:val="868035644"/>
        <w:placeholder>
          <w:docPart w:val="GBC22222222222222222222222222222"/>
        </w:placeholder>
      </w:sdtPr>
      <w:sdtEndPr>
        <w:rPr>
          <w:szCs w:val="22"/>
        </w:rPr>
      </w:sdtEndPr>
      <w:sdtContent>
        <w:p w14:paraId="0FD2AAF1" w14:textId="77777777" w:rsidR="005E000F" w:rsidRDefault="00000000">
          <w:r>
            <w:rPr>
              <w:rFonts w:hint="eastAsia"/>
            </w:rPr>
            <w:t>无</w:t>
          </w:r>
        </w:p>
      </w:sdtContent>
    </w:sdt>
    <w:p w14:paraId="1FF4944D" w14:textId="77777777" w:rsidR="005E000F" w:rsidRDefault="005E000F"/>
    <w:p w14:paraId="04EA2305" w14:textId="77777777" w:rsidR="005E000F" w:rsidRDefault="00000000">
      <w:r>
        <w:rPr>
          <w:rFonts w:hint="eastAsia"/>
        </w:rPr>
        <w:t>支付的其他与筹资活动有关的现金</w:t>
      </w:r>
    </w:p>
    <w:sdt>
      <w:sdtPr>
        <w:alias w:val="是否适用：支付的其他与筹资活动有关的现金[双击切换]"/>
        <w:tag w:val="_GBC_fcc0d0c43a2d4fa88ca685f3e36f2f40"/>
        <w:id w:val="1273670141"/>
        <w:placeholder>
          <w:docPart w:val="GBC22222222222222222222222222222"/>
        </w:placeholder>
      </w:sdtPr>
      <w:sdtContent>
        <w:p w14:paraId="254E3083"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3A7E62F" w14:textId="77777777" w:rsidR="005E000F" w:rsidRDefault="00000000">
      <w:pPr>
        <w:jc w:val="right"/>
      </w:pPr>
      <w:r>
        <w:rPr>
          <w:rFonts w:hint="eastAsia"/>
        </w:rPr>
        <w:t>单位：</w:t>
      </w:r>
      <w:sdt>
        <w:sdtPr>
          <w:rPr>
            <w:rFonts w:hint="eastAsia"/>
          </w:rPr>
          <w:alias w:val="单位：财务附注：支付的其他与筹资活动有关的现金"/>
          <w:tag w:val="_GBC_f301b3c53ede43608ccf55c09ef288e7"/>
          <w:id w:val="-15658733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支付的其他与筹资活动有关的现金"/>
          <w:tag w:val="_GBC_462cc25e34014e2cb61c7b4f9232d7e5"/>
          <w:id w:val="4089006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409"/>
        <w:gridCol w:w="2916"/>
        <w:gridCol w:w="2732"/>
      </w:tblGrid>
      <w:tr w:rsidR="005E000F" w14:paraId="10E9E1AD" w14:textId="77777777">
        <w:sdt>
          <w:sdtPr>
            <w:tag w:val="_PLD_e2db8e0335cc47fe9b6461eeb2befa7e"/>
            <w:id w:val="1482194928"/>
          </w:sdtPr>
          <w:sdtContent>
            <w:tc>
              <w:tcPr>
                <w:tcW w:w="3409" w:type="dxa"/>
                <w:vAlign w:val="center"/>
              </w:tcPr>
              <w:p w14:paraId="1B3675B0" w14:textId="77777777" w:rsidR="005E000F" w:rsidRDefault="00000000">
                <w:pPr>
                  <w:autoSpaceDE w:val="0"/>
                  <w:autoSpaceDN w:val="0"/>
                  <w:adjustRightInd w:val="0"/>
                  <w:snapToGrid w:val="0"/>
                  <w:jc w:val="center"/>
                </w:pPr>
                <w:r>
                  <w:rPr>
                    <w:rFonts w:hint="eastAsia"/>
                  </w:rPr>
                  <w:t>项目</w:t>
                </w:r>
              </w:p>
            </w:tc>
          </w:sdtContent>
        </w:sdt>
        <w:sdt>
          <w:sdtPr>
            <w:tag w:val="_PLD_bb4a54a8a5be4a6691e4d59483217c64"/>
            <w:id w:val="1761871645"/>
          </w:sdtPr>
          <w:sdtContent>
            <w:tc>
              <w:tcPr>
                <w:tcW w:w="2916" w:type="dxa"/>
                <w:vAlign w:val="center"/>
              </w:tcPr>
              <w:p w14:paraId="134DA7E6" w14:textId="77777777" w:rsidR="005E000F" w:rsidRDefault="00000000">
                <w:pPr>
                  <w:autoSpaceDE w:val="0"/>
                  <w:autoSpaceDN w:val="0"/>
                  <w:adjustRightInd w:val="0"/>
                  <w:snapToGrid w:val="0"/>
                  <w:jc w:val="center"/>
                </w:pPr>
                <w:r>
                  <w:rPr>
                    <w:rFonts w:hint="eastAsia"/>
                  </w:rPr>
                  <w:t>本期发生额</w:t>
                </w:r>
              </w:p>
            </w:tc>
          </w:sdtContent>
        </w:sdt>
        <w:sdt>
          <w:sdtPr>
            <w:tag w:val="_PLD_a4930447bc4d450faf79f923eef8597b"/>
            <w:id w:val="970945953"/>
          </w:sdtPr>
          <w:sdtContent>
            <w:tc>
              <w:tcPr>
                <w:tcW w:w="2732" w:type="dxa"/>
                <w:vAlign w:val="center"/>
              </w:tcPr>
              <w:p w14:paraId="252ED68F" w14:textId="77777777" w:rsidR="005E000F" w:rsidRDefault="00000000">
                <w:pPr>
                  <w:autoSpaceDE w:val="0"/>
                  <w:autoSpaceDN w:val="0"/>
                  <w:adjustRightInd w:val="0"/>
                  <w:snapToGrid w:val="0"/>
                  <w:jc w:val="center"/>
                </w:pPr>
                <w:r>
                  <w:rPr>
                    <w:rFonts w:hint="eastAsia"/>
                  </w:rPr>
                  <w:t>上期发生额</w:t>
                </w:r>
              </w:p>
            </w:tc>
          </w:sdtContent>
        </w:sdt>
      </w:tr>
      <w:tr w:rsidR="005E000F" w14:paraId="2B24AEA1" w14:textId="77777777">
        <w:tc>
          <w:tcPr>
            <w:tcW w:w="3409" w:type="dxa"/>
          </w:tcPr>
          <w:p w14:paraId="77836663" w14:textId="77777777" w:rsidR="005E000F" w:rsidRDefault="00000000">
            <w:pPr>
              <w:autoSpaceDE w:val="0"/>
              <w:autoSpaceDN w:val="0"/>
              <w:adjustRightInd w:val="0"/>
              <w:snapToGrid w:val="0"/>
              <w:rPr>
                <w:rFonts w:cs="宋体"/>
                <w:bCs/>
                <w:lang w:eastAsia="en-US"/>
              </w:rPr>
            </w:pPr>
            <w:r>
              <w:rPr>
                <w:rFonts w:cs="宋体" w:hint="eastAsia"/>
                <w:bCs/>
              </w:rPr>
              <w:t>支付的代管资金净额</w:t>
            </w:r>
          </w:p>
        </w:tc>
        <w:tc>
          <w:tcPr>
            <w:tcW w:w="2916" w:type="dxa"/>
            <w:vAlign w:val="center"/>
          </w:tcPr>
          <w:p w14:paraId="06FBDB2E" w14:textId="77777777" w:rsidR="005E000F" w:rsidRDefault="00000000">
            <w:pPr>
              <w:jc w:val="right"/>
            </w:pPr>
            <w:r>
              <w:t>10,455,222</w:t>
            </w:r>
          </w:p>
        </w:tc>
        <w:tc>
          <w:tcPr>
            <w:tcW w:w="2732" w:type="dxa"/>
            <w:vAlign w:val="center"/>
          </w:tcPr>
          <w:p w14:paraId="071426E4" w14:textId="77777777" w:rsidR="005E000F" w:rsidRDefault="00000000">
            <w:pPr>
              <w:jc w:val="right"/>
              <w:rPr>
                <w:lang w:eastAsia="en-US"/>
              </w:rPr>
            </w:pPr>
            <w:r>
              <w:t>0</w:t>
            </w:r>
          </w:p>
        </w:tc>
      </w:tr>
      <w:tr w:rsidR="005E000F" w14:paraId="68D270D0" w14:textId="77777777">
        <w:tc>
          <w:tcPr>
            <w:tcW w:w="3409" w:type="dxa"/>
          </w:tcPr>
          <w:p w14:paraId="394C1A00" w14:textId="77777777" w:rsidR="005E000F" w:rsidRDefault="00000000">
            <w:pPr>
              <w:autoSpaceDE w:val="0"/>
              <w:autoSpaceDN w:val="0"/>
              <w:adjustRightInd w:val="0"/>
              <w:snapToGrid w:val="0"/>
              <w:rPr>
                <w:rFonts w:cs="宋体"/>
                <w:bCs/>
              </w:rPr>
            </w:pPr>
            <w:r>
              <w:rPr>
                <w:rFonts w:cs="宋体" w:hint="eastAsia"/>
                <w:bCs/>
              </w:rPr>
              <w:t>偿还租赁负债本金和利息</w:t>
            </w:r>
          </w:p>
        </w:tc>
        <w:tc>
          <w:tcPr>
            <w:tcW w:w="2916" w:type="dxa"/>
            <w:vAlign w:val="center"/>
          </w:tcPr>
          <w:p w14:paraId="378E3EBA" w14:textId="77777777" w:rsidR="005E000F" w:rsidRDefault="00000000">
            <w:pPr>
              <w:jc w:val="right"/>
            </w:pPr>
            <w:r>
              <w:t>202,320,404</w:t>
            </w:r>
          </w:p>
        </w:tc>
        <w:tc>
          <w:tcPr>
            <w:tcW w:w="2732" w:type="dxa"/>
            <w:vAlign w:val="center"/>
          </w:tcPr>
          <w:p w14:paraId="67093F68" w14:textId="77777777" w:rsidR="005E000F" w:rsidRDefault="00000000">
            <w:pPr>
              <w:jc w:val="right"/>
              <w:rPr>
                <w:lang w:eastAsia="en-US"/>
              </w:rPr>
            </w:pPr>
            <w:r>
              <w:t>40,042,051</w:t>
            </w:r>
          </w:p>
        </w:tc>
      </w:tr>
      <w:tr w:rsidR="005E000F" w14:paraId="4DDAC536" w14:textId="77777777">
        <w:tc>
          <w:tcPr>
            <w:tcW w:w="3409" w:type="dxa"/>
          </w:tcPr>
          <w:p w14:paraId="6C3EDB50" w14:textId="77777777" w:rsidR="005E000F" w:rsidRDefault="00000000">
            <w:pPr>
              <w:autoSpaceDE w:val="0"/>
              <w:autoSpaceDN w:val="0"/>
              <w:adjustRightInd w:val="0"/>
              <w:snapToGrid w:val="0"/>
              <w:rPr>
                <w:rFonts w:cs="宋体"/>
                <w:bCs/>
              </w:rPr>
            </w:pPr>
            <w:r>
              <w:rPr>
                <w:rFonts w:cs="宋体" w:hint="eastAsia"/>
                <w:bCs/>
              </w:rPr>
              <w:t>库存股回购</w:t>
            </w:r>
          </w:p>
        </w:tc>
        <w:tc>
          <w:tcPr>
            <w:tcW w:w="2916" w:type="dxa"/>
            <w:vAlign w:val="center"/>
          </w:tcPr>
          <w:p w14:paraId="427080A7" w14:textId="77777777" w:rsidR="005E000F" w:rsidRDefault="00000000">
            <w:pPr>
              <w:jc w:val="right"/>
            </w:pPr>
            <w:r>
              <w:t>247,787,869</w:t>
            </w:r>
          </w:p>
        </w:tc>
        <w:tc>
          <w:tcPr>
            <w:tcW w:w="2732" w:type="dxa"/>
            <w:vAlign w:val="center"/>
          </w:tcPr>
          <w:p w14:paraId="7104526B" w14:textId="77777777" w:rsidR="005E000F" w:rsidRDefault="00000000">
            <w:pPr>
              <w:jc w:val="right"/>
            </w:pPr>
            <w:r>
              <w:rPr>
                <w:rFonts w:hint="eastAsia"/>
              </w:rPr>
              <w:t>0</w:t>
            </w:r>
          </w:p>
        </w:tc>
      </w:tr>
      <w:tr w:rsidR="005E000F" w14:paraId="2B24435A" w14:textId="77777777">
        <w:tc>
          <w:tcPr>
            <w:tcW w:w="3409" w:type="dxa"/>
          </w:tcPr>
          <w:p w14:paraId="5CCC89A6" w14:textId="77777777" w:rsidR="005E000F" w:rsidRDefault="00000000">
            <w:pPr>
              <w:autoSpaceDE w:val="0"/>
              <w:autoSpaceDN w:val="0"/>
              <w:adjustRightInd w:val="0"/>
              <w:snapToGrid w:val="0"/>
              <w:rPr>
                <w:rFonts w:cs="宋体"/>
                <w:bCs/>
                <w:lang w:eastAsia="en-US"/>
              </w:rPr>
            </w:pPr>
            <w:r>
              <w:rPr>
                <w:rFonts w:cs="宋体" w:hint="eastAsia"/>
                <w:bCs/>
              </w:rPr>
              <w:t>其他</w:t>
            </w:r>
          </w:p>
        </w:tc>
        <w:tc>
          <w:tcPr>
            <w:tcW w:w="2916" w:type="dxa"/>
            <w:vAlign w:val="center"/>
          </w:tcPr>
          <w:p w14:paraId="2DC987C3" w14:textId="77777777" w:rsidR="005E000F" w:rsidRDefault="00000000">
            <w:pPr>
              <w:jc w:val="right"/>
            </w:pPr>
            <w:r>
              <w:t>16,601,255</w:t>
            </w:r>
          </w:p>
        </w:tc>
        <w:tc>
          <w:tcPr>
            <w:tcW w:w="2732" w:type="dxa"/>
            <w:vAlign w:val="center"/>
          </w:tcPr>
          <w:p w14:paraId="276A113E" w14:textId="77777777" w:rsidR="005E000F" w:rsidRDefault="00000000">
            <w:pPr>
              <w:jc w:val="right"/>
              <w:rPr>
                <w:lang w:eastAsia="en-US"/>
              </w:rPr>
            </w:pPr>
            <w:r>
              <w:t>19,281,896</w:t>
            </w:r>
          </w:p>
        </w:tc>
      </w:tr>
      <w:tr w:rsidR="005E000F" w14:paraId="3059D4B3" w14:textId="77777777">
        <w:tc>
          <w:tcPr>
            <w:tcW w:w="3409" w:type="dxa"/>
            <w:vAlign w:val="center"/>
          </w:tcPr>
          <w:p w14:paraId="2938A6A5" w14:textId="77777777" w:rsidR="005E000F" w:rsidRDefault="00000000">
            <w:pPr>
              <w:autoSpaceDE w:val="0"/>
              <w:autoSpaceDN w:val="0"/>
              <w:adjustRightInd w:val="0"/>
              <w:snapToGrid w:val="0"/>
              <w:jc w:val="center"/>
            </w:pPr>
            <w:r>
              <w:rPr>
                <w:rFonts w:hint="eastAsia"/>
              </w:rPr>
              <w:t>合计</w:t>
            </w:r>
          </w:p>
        </w:tc>
        <w:tc>
          <w:tcPr>
            <w:tcW w:w="2916" w:type="dxa"/>
            <w:vAlign w:val="center"/>
          </w:tcPr>
          <w:p w14:paraId="7D5DBE56" w14:textId="77777777" w:rsidR="005E000F" w:rsidRDefault="00000000">
            <w:pPr>
              <w:jc w:val="right"/>
            </w:pPr>
            <w:r>
              <w:t>477,164,750</w:t>
            </w:r>
          </w:p>
        </w:tc>
        <w:tc>
          <w:tcPr>
            <w:tcW w:w="2732" w:type="dxa"/>
            <w:vAlign w:val="center"/>
          </w:tcPr>
          <w:p w14:paraId="105BE481" w14:textId="77777777" w:rsidR="005E000F" w:rsidRDefault="00000000">
            <w:pPr>
              <w:jc w:val="right"/>
              <w:rPr>
                <w:lang w:eastAsia="en-US"/>
              </w:rPr>
            </w:pPr>
            <w:r>
              <w:t>59,323,947</w:t>
            </w:r>
          </w:p>
        </w:tc>
      </w:tr>
    </w:tbl>
    <w:p w14:paraId="01419479" w14:textId="77777777" w:rsidR="005E000F" w:rsidRDefault="00000000">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219477896"/>
        <w:placeholder>
          <w:docPart w:val="GBC22222222222222222222222222222"/>
        </w:placeholder>
      </w:sdtPr>
      <w:sdtContent>
        <w:p w14:paraId="4BE99756" w14:textId="77777777" w:rsidR="005E000F" w:rsidRDefault="00000000">
          <w:pPr>
            <w:ind w:right="5"/>
            <w:rPr>
              <w:rFonts w:asciiTheme="minorHAnsi" w:hAnsiTheme="minorHAnsi" w:cstheme="minorBidi"/>
              <w:kern w:val="2"/>
              <w:szCs w:val="22"/>
            </w:rPr>
          </w:pPr>
          <w:r>
            <w:rPr>
              <w:rFonts w:hint="eastAsia"/>
            </w:rPr>
            <w:t>无</w:t>
          </w:r>
        </w:p>
      </w:sdtContent>
    </w:sdt>
    <w:p w14:paraId="5B5F8C9E" w14:textId="77777777" w:rsidR="005E000F" w:rsidRDefault="005E000F">
      <w:pPr>
        <w:ind w:right="5"/>
      </w:pPr>
    </w:p>
    <w:p w14:paraId="7BA26E8C" w14:textId="77777777" w:rsidR="005E000F" w:rsidRDefault="00000000">
      <w:pPr>
        <w:ind w:right="5"/>
      </w:pPr>
      <w:r>
        <w:rPr>
          <w:rFonts w:hint="eastAsia"/>
        </w:rPr>
        <w:t>筹资活动产生的各项负债变动情况</w:t>
      </w:r>
    </w:p>
    <w:sdt>
      <w:sdtPr>
        <w:alias w:val="是否适用：筹资活动产生的各项负债变动情况[双击切换]"/>
        <w:tag w:val="_GBC_6935418490e145edaf7010b5534b8d6c"/>
        <w:id w:val="629976614"/>
      </w:sdtPr>
      <w:sdtContent>
        <w:p w14:paraId="2177F94E"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sdtContent>
    </w:sdt>
    <w:p w14:paraId="12A3F656" w14:textId="77777777" w:rsidR="005E000F" w:rsidRDefault="00000000">
      <w:pPr>
        <w:jc w:val="right"/>
      </w:pPr>
      <w:r>
        <w:rPr>
          <w:rFonts w:hint="eastAsia"/>
        </w:rPr>
        <w:t>单位：</w:t>
      </w:r>
      <w:sdt>
        <w:sdtPr>
          <w:rPr>
            <w:rFonts w:hint="eastAsia"/>
          </w:rPr>
          <w:alias w:val="单位：筹资活动产生的各项负债变动情况"/>
          <w:tag w:val="_GBC_925389d7776444c688d3aa66f662adfd"/>
          <w:id w:val="1031530656"/>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w:t>
      </w:r>
      <w:r>
        <w:rPr>
          <w:rFonts w:hint="eastAsia"/>
        </w:rPr>
        <w:t>币种：</w:t>
      </w:r>
      <w:sdt>
        <w:sdtPr>
          <w:rPr>
            <w:rFonts w:hint="eastAsia"/>
          </w:rPr>
          <w:alias w:val="币种：筹资活动产生的各项负债变动情况"/>
          <w:tag w:val="_GBC_3a33ea855d774ed4a7e23b58b10b2ecd"/>
          <w:id w:val="-1603484970"/>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701"/>
        <w:gridCol w:w="1300"/>
        <w:gridCol w:w="1223"/>
        <w:gridCol w:w="1210"/>
        <w:gridCol w:w="1167"/>
        <w:gridCol w:w="1200"/>
        <w:gridCol w:w="1256"/>
      </w:tblGrid>
      <w:tr w:rsidR="005E000F" w14:paraId="4C88C558" w14:textId="77777777">
        <w:trPr>
          <w:trHeight w:val="135"/>
        </w:trPr>
        <w:sdt>
          <w:sdtPr>
            <w:rPr>
              <w:sz w:val="16"/>
              <w:szCs w:val="16"/>
            </w:rPr>
            <w:tag w:val="_PLD_5f8ab210fee34d74a9ce8c73775994d9"/>
            <w:id w:val="-2044123201"/>
          </w:sdtPr>
          <w:sdtContent>
            <w:tc>
              <w:tcPr>
                <w:tcW w:w="1701" w:type="dxa"/>
                <w:vMerge w:val="restart"/>
                <w:vAlign w:val="center"/>
              </w:tcPr>
              <w:p w14:paraId="372E0248" w14:textId="77777777" w:rsidR="005E000F" w:rsidRDefault="00000000">
                <w:pPr>
                  <w:autoSpaceDE w:val="0"/>
                  <w:autoSpaceDN w:val="0"/>
                  <w:adjustRightInd w:val="0"/>
                  <w:snapToGrid w:val="0"/>
                  <w:jc w:val="center"/>
                  <w:rPr>
                    <w:sz w:val="16"/>
                    <w:szCs w:val="16"/>
                  </w:rPr>
                </w:pPr>
                <w:r>
                  <w:rPr>
                    <w:rFonts w:hint="eastAsia"/>
                    <w:sz w:val="16"/>
                    <w:szCs w:val="16"/>
                  </w:rPr>
                  <w:t>项目</w:t>
                </w:r>
              </w:p>
            </w:tc>
          </w:sdtContent>
        </w:sdt>
        <w:sdt>
          <w:sdtPr>
            <w:rPr>
              <w:sz w:val="16"/>
              <w:szCs w:val="16"/>
            </w:rPr>
            <w:tag w:val="_PLD_bab049d4c26d47d49041c46652b3d748"/>
            <w:id w:val="666672562"/>
          </w:sdtPr>
          <w:sdtContent>
            <w:tc>
              <w:tcPr>
                <w:tcW w:w="1300" w:type="dxa"/>
                <w:vMerge w:val="restart"/>
                <w:vAlign w:val="center"/>
              </w:tcPr>
              <w:p w14:paraId="7B1A511B" w14:textId="77777777" w:rsidR="005E000F" w:rsidRDefault="00000000">
                <w:pPr>
                  <w:autoSpaceDE w:val="0"/>
                  <w:autoSpaceDN w:val="0"/>
                  <w:adjustRightInd w:val="0"/>
                  <w:snapToGrid w:val="0"/>
                  <w:jc w:val="center"/>
                  <w:rPr>
                    <w:sz w:val="16"/>
                    <w:szCs w:val="16"/>
                  </w:rPr>
                </w:pPr>
                <w:r>
                  <w:rPr>
                    <w:sz w:val="16"/>
                    <w:szCs w:val="16"/>
                  </w:rPr>
                  <w:t>期初余额</w:t>
                </w:r>
              </w:p>
            </w:tc>
          </w:sdtContent>
        </w:sdt>
        <w:sdt>
          <w:sdtPr>
            <w:rPr>
              <w:sz w:val="16"/>
              <w:szCs w:val="16"/>
            </w:rPr>
            <w:tag w:val="_PLD_440b2c54c3664dc199a52a962ffbbdd3"/>
            <w:id w:val="90136391"/>
          </w:sdtPr>
          <w:sdtContent>
            <w:tc>
              <w:tcPr>
                <w:tcW w:w="2433" w:type="dxa"/>
                <w:gridSpan w:val="2"/>
                <w:vAlign w:val="center"/>
              </w:tcPr>
              <w:p w14:paraId="3BA6678E" w14:textId="77777777" w:rsidR="005E000F" w:rsidRDefault="00000000">
                <w:pPr>
                  <w:autoSpaceDE w:val="0"/>
                  <w:autoSpaceDN w:val="0"/>
                  <w:adjustRightInd w:val="0"/>
                  <w:snapToGrid w:val="0"/>
                  <w:jc w:val="center"/>
                  <w:rPr>
                    <w:sz w:val="16"/>
                    <w:szCs w:val="16"/>
                  </w:rPr>
                </w:pPr>
                <w:r>
                  <w:rPr>
                    <w:rFonts w:hint="eastAsia"/>
                    <w:sz w:val="16"/>
                    <w:szCs w:val="16"/>
                  </w:rPr>
                  <w:t>本期增加</w:t>
                </w:r>
              </w:p>
            </w:tc>
          </w:sdtContent>
        </w:sdt>
        <w:sdt>
          <w:sdtPr>
            <w:rPr>
              <w:sz w:val="16"/>
              <w:szCs w:val="16"/>
            </w:rPr>
            <w:tag w:val="_PLD_4dc104f2ec524f5a86e41fb0db78ed82"/>
            <w:id w:val="2093745601"/>
          </w:sdtPr>
          <w:sdtContent>
            <w:tc>
              <w:tcPr>
                <w:tcW w:w="2367" w:type="dxa"/>
                <w:gridSpan w:val="2"/>
                <w:vAlign w:val="center"/>
              </w:tcPr>
              <w:p w14:paraId="79DF780B" w14:textId="77777777" w:rsidR="005E000F" w:rsidRDefault="00000000">
                <w:pPr>
                  <w:autoSpaceDE w:val="0"/>
                  <w:autoSpaceDN w:val="0"/>
                  <w:adjustRightInd w:val="0"/>
                  <w:snapToGrid w:val="0"/>
                  <w:jc w:val="center"/>
                  <w:rPr>
                    <w:sz w:val="16"/>
                    <w:szCs w:val="16"/>
                  </w:rPr>
                </w:pPr>
                <w:r>
                  <w:rPr>
                    <w:rFonts w:hint="eastAsia"/>
                    <w:sz w:val="16"/>
                    <w:szCs w:val="16"/>
                  </w:rPr>
                  <w:t>本期减少</w:t>
                </w:r>
              </w:p>
            </w:tc>
          </w:sdtContent>
        </w:sdt>
        <w:sdt>
          <w:sdtPr>
            <w:rPr>
              <w:sz w:val="16"/>
              <w:szCs w:val="16"/>
            </w:rPr>
            <w:tag w:val="_PLD_54378f5247a844d49aa0017541fa519d"/>
            <w:id w:val="-71199236"/>
          </w:sdtPr>
          <w:sdtContent>
            <w:tc>
              <w:tcPr>
                <w:tcW w:w="1256" w:type="dxa"/>
                <w:vMerge w:val="restart"/>
                <w:vAlign w:val="center"/>
              </w:tcPr>
              <w:p w14:paraId="0D0D2673" w14:textId="77777777" w:rsidR="005E000F" w:rsidRDefault="00000000">
                <w:pPr>
                  <w:autoSpaceDE w:val="0"/>
                  <w:autoSpaceDN w:val="0"/>
                  <w:adjustRightInd w:val="0"/>
                  <w:snapToGrid w:val="0"/>
                  <w:jc w:val="center"/>
                  <w:rPr>
                    <w:sz w:val="16"/>
                    <w:szCs w:val="16"/>
                  </w:rPr>
                </w:pPr>
                <w:r>
                  <w:rPr>
                    <w:rFonts w:hint="eastAsia"/>
                    <w:sz w:val="16"/>
                    <w:szCs w:val="16"/>
                  </w:rPr>
                  <w:t>期末余额</w:t>
                </w:r>
              </w:p>
            </w:tc>
          </w:sdtContent>
        </w:sdt>
      </w:tr>
      <w:tr w:rsidR="005E000F" w14:paraId="61829478" w14:textId="77777777">
        <w:trPr>
          <w:trHeight w:val="135"/>
        </w:trPr>
        <w:tc>
          <w:tcPr>
            <w:tcW w:w="1701" w:type="dxa"/>
            <w:vMerge/>
            <w:vAlign w:val="center"/>
          </w:tcPr>
          <w:p w14:paraId="3607AA52" w14:textId="77777777" w:rsidR="005E000F" w:rsidRDefault="005E000F">
            <w:pPr>
              <w:autoSpaceDE w:val="0"/>
              <w:autoSpaceDN w:val="0"/>
              <w:adjustRightInd w:val="0"/>
              <w:snapToGrid w:val="0"/>
              <w:jc w:val="center"/>
              <w:rPr>
                <w:sz w:val="16"/>
                <w:szCs w:val="16"/>
              </w:rPr>
            </w:pPr>
          </w:p>
        </w:tc>
        <w:tc>
          <w:tcPr>
            <w:tcW w:w="1300" w:type="dxa"/>
            <w:vMerge/>
            <w:vAlign w:val="center"/>
          </w:tcPr>
          <w:p w14:paraId="5F1DCE19" w14:textId="77777777" w:rsidR="005E000F" w:rsidRDefault="005E000F">
            <w:pPr>
              <w:autoSpaceDE w:val="0"/>
              <w:autoSpaceDN w:val="0"/>
              <w:adjustRightInd w:val="0"/>
              <w:snapToGrid w:val="0"/>
              <w:jc w:val="center"/>
              <w:rPr>
                <w:sz w:val="16"/>
                <w:szCs w:val="16"/>
              </w:rPr>
            </w:pPr>
          </w:p>
        </w:tc>
        <w:sdt>
          <w:sdtPr>
            <w:rPr>
              <w:sz w:val="16"/>
              <w:szCs w:val="16"/>
            </w:rPr>
            <w:tag w:val="_PLD_420e321954544771b0b73780f2164d28"/>
            <w:id w:val="1158811815"/>
          </w:sdtPr>
          <w:sdtContent>
            <w:tc>
              <w:tcPr>
                <w:tcW w:w="1223" w:type="dxa"/>
                <w:vAlign w:val="center"/>
              </w:tcPr>
              <w:p w14:paraId="15788BC5" w14:textId="77777777" w:rsidR="005E000F" w:rsidRDefault="00000000">
                <w:pPr>
                  <w:autoSpaceDE w:val="0"/>
                  <w:autoSpaceDN w:val="0"/>
                  <w:adjustRightInd w:val="0"/>
                  <w:snapToGrid w:val="0"/>
                  <w:jc w:val="center"/>
                  <w:rPr>
                    <w:sz w:val="16"/>
                    <w:szCs w:val="16"/>
                  </w:rPr>
                </w:pPr>
                <w:r>
                  <w:rPr>
                    <w:sz w:val="16"/>
                    <w:szCs w:val="16"/>
                  </w:rPr>
                  <w:t>现金变动</w:t>
                </w:r>
              </w:p>
            </w:tc>
          </w:sdtContent>
        </w:sdt>
        <w:sdt>
          <w:sdtPr>
            <w:rPr>
              <w:sz w:val="16"/>
              <w:szCs w:val="16"/>
            </w:rPr>
            <w:tag w:val="_PLD_258fabff104642c7837f9d6f4d653a0f"/>
            <w:id w:val="459618862"/>
          </w:sdtPr>
          <w:sdtContent>
            <w:tc>
              <w:tcPr>
                <w:tcW w:w="1210" w:type="dxa"/>
                <w:vAlign w:val="center"/>
              </w:tcPr>
              <w:p w14:paraId="4C96D39E" w14:textId="77777777" w:rsidR="005E000F" w:rsidRDefault="00000000">
                <w:pPr>
                  <w:autoSpaceDE w:val="0"/>
                  <w:autoSpaceDN w:val="0"/>
                  <w:adjustRightInd w:val="0"/>
                  <w:snapToGrid w:val="0"/>
                  <w:jc w:val="center"/>
                  <w:rPr>
                    <w:sz w:val="16"/>
                    <w:szCs w:val="16"/>
                  </w:rPr>
                </w:pPr>
                <w:r>
                  <w:rPr>
                    <w:sz w:val="16"/>
                    <w:szCs w:val="16"/>
                  </w:rPr>
                  <w:t>非现金变动</w:t>
                </w:r>
              </w:p>
            </w:tc>
          </w:sdtContent>
        </w:sdt>
        <w:sdt>
          <w:sdtPr>
            <w:rPr>
              <w:sz w:val="16"/>
              <w:szCs w:val="16"/>
            </w:rPr>
            <w:tag w:val="_PLD_3c34596330aa4ababb3e1ef50efc7668"/>
            <w:id w:val="926924445"/>
          </w:sdtPr>
          <w:sdtContent>
            <w:tc>
              <w:tcPr>
                <w:tcW w:w="1167" w:type="dxa"/>
                <w:vAlign w:val="center"/>
              </w:tcPr>
              <w:p w14:paraId="51412013" w14:textId="77777777" w:rsidR="005E000F" w:rsidRDefault="00000000">
                <w:pPr>
                  <w:autoSpaceDE w:val="0"/>
                  <w:autoSpaceDN w:val="0"/>
                  <w:adjustRightInd w:val="0"/>
                  <w:snapToGrid w:val="0"/>
                  <w:jc w:val="center"/>
                  <w:rPr>
                    <w:sz w:val="16"/>
                    <w:szCs w:val="16"/>
                  </w:rPr>
                </w:pPr>
                <w:r>
                  <w:rPr>
                    <w:sz w:val="16"/>
                    <w:szCs w:val="16"/>
                  </w:rPr>
                  <w:t>现金变动</w:t>
                </w:r>
              </w:p>
            </w:tc>
          </w:sdtContent>
        </w:sdt>
        <w:sdt>
          <w:sdtPr>
            <w:rPr>
              <w:sz w:val="16"/>
              <w:szCs w:val="16"/>
            </w:rPr>
            <w:tag w:val="_PLD_5640b38554e340769223289d39b620da"/>
            <w:id w:val="-181747475"/>
          </w:sdtPr>
          <w:sdtContent>
            <w:tc>
              <w:tcPr>
                <w:tcW w:w="1200" w:type="dxa"/>
                <w:vAlign w:val="center"/>
              </w:tcPr>
              <w:p w14:paraId="4A786446" w14:textId="77777777" w:rsidR="005E000F" w:rsidRDefault="00000000">
                <w:pPr>
                  <w:autoSpaceDE w:val="0"/>
                  <w:autoSpaceDN w:val="0"/>
                  <w:adjustRightInd w:val="0"/>
                  <w:snapToGrid w:val="0"/>
                  <w:jc w:val="center"/>
                  <w:rPr>
                    <w:sz w:val="16"/>
                    <w:szCs w:val="16"/>
                  </w:rPr>
                </w:pPr>
                <w:r>
                  <w:rPr>
                    <w:sz w:val="16"/>
                    <w:szCs w:val="16"/>
                  </w:rPr>
                  <w:t>非现金变动</w:t>
                </w:r>
              </w:p>
            </w:tc>
          </w:sdtContent>
        </w:sdt>
        <w:tc>
          <w:tcPr>
            <w:tcW w:w="1256" w:type="dxa"/>
            <w:vMerge/>
            <w:vAlign w:val="center"/>
          </w:tcPr>
          <w:p w14:paraId="07ABB670" w14:textId="77777777" w:rsidR="005E000F" w:rsidRDefault="005E000F">
            <w:pPr>
              <w:autoSpaceDE w:val="0"/>
              <w:autoSpaceDN w:val="0"/>
              <w:adjustRightInd w:val="0"/>
              <w:snapToGrid w:val="0"/>
              <w:jc w:val="center"/>
              <w:rPr>
                <w:sz w:val="16"/>
                <w:szCs w:val="16"/>
              </w:rPr>
            </w:pPr>
          </w:p>
        </w:tc>
      </w:tr>
      <w:sdt>
        <w:sdtPr>
          <w:rPr>
            <w:sz w:val="16"/>
            <w:szCs w:val="16"/>
          </w:rPr>
          <w:alias w:val="筹资活动产生的各项负债变动情况明细"/>
          <w:tag w:val="_TUP_c2774a70d0ba4cdaaf42146c5e4d30c4"/>
          <w:id w:val="-1222432733"/>
          <w:placeholder>
            <w:docPart w:val="DA348C05F7074B8B81136D99CC7C0674"/>
          </w:placeholder>
        </w:sdtPr>
        <w:sdtContent>
          <w:tr w:rsidR="005E000F" w14:paraId="6646FBAA" w14:textId="77777777">
            <w:tc>
              <w:tcPr>
                <w:tcW w:w="1701" w:type="dxa"/>
                <w:vAlign w:val="center"/>
              </w:tcPr>
              <w:p w14:paraId="698698C2" w14:textId="77777777" w:rsidR="005E000F" w:rsidRDefault="00000000">
                <w:pPr>
                  <w:autoSpaceDE w:val="0"/>
                  <w:autoSpaceDN w:val="0"/>
                  <w:adjustRightInd w:val="0"/>
                  <w:snapToGrid w:val="0"/>
                  <w:rPr>
                    <w:sz w:val="16"/>
                    <w:szCs w:val="16"/>
                  </w:rPr>
                </w:pPr>
                <w:r>
                  <w:rPr>
                    <w:sz w:val="16"/>
                    <w:szCs w:val="16"/>
                  </w:rPr>
                  <w:t>短期借款</w:t>
                </w:r>
              </w:p>
            </w:tc>
            <w:tc>
              <w:tcPr>
                <w:tcW w:w="1300" w:type="dxa"/>
                <w:vAlign w:val="center"/>
              </w:tcPr>
              <w:p w14:paraId="6B9F2A28" w14:textId="77777777" w:rsidR="005E000F" w:rsidRDefault="00000000">
                <w:pPr>
                  <w:jc w:val="right"/>
                  <w:rPr>
                    <w:sz w:val="16"/>
                    <w:szCs w:val="16"/>
                  </w:rPr>
                </w:pPr>
                <w:r>
                  <w:rPr>
                    <w:sz w:val="16"/>
                    <w:szCs w:val="16"/>
                  </w:rPr>
                  <w:t>238,158,266</w:t>
                </w:r>
              </w:p>
            </w:tc>
            <w:tc>
              <w:tcPr>
                <w:tcW w:w="1223" w:type="dxa"/>
                <w:vAlign w:val="center"/>
              </w:tcPr>
              <w:p w14:paraId="54213F02" w14:textId="77777777" w:rsidR="005E000F" w:rsidRDefault="00000000">
                <w:pPr>
                  <w:jc w:val="right"/>
                  <w:rPr>
                    <w:sz w:val="16"/>
                    <w:szCs w:val="16"/>
                  </w:rPr>
                </w:pPr>
                <w:r>
                  <w:rPr>
                    <w:sz w:val="16"/>
                    <w:szCs w:val="16"/>
                  </w:rPr>
                  <w:t>288,980,000</w:t>
                </w:r>
              </w:p>
            </w:tc>
            <w:tc>
              <w:tcPr>
                <w:tcW w:w="1210" w:type="dxa"/>
                <w:vAlign w:val="center"/>
              </w:tcPr>
              <w:p w14:paraId="1A7B20F2" w14:textId="77777777" w:rsidR="005E000F" w:rsidRDefault="00000000">
                <w:pPr>
                  <w:jc w:val="right"/>
                  <w:rPr>
                    <w:sz w:val="16"/>
                    <w:szCs w:val="16"/>
                  </w:rPr>
                </w:pPr>
                <w:r>
                  <w:rPr>
                    <w:sz w:val="16"/>
                    <w:szCs w:val="16"/>
                  </w:rPr>
                  <w:t>5,686,256</w:t>
                </w:r>
              </w:p>
            </w:tc>
            <w:tc>
              <w:tcPr>
                <w:tcW w:w="1167" w:type="dxa"/>
                <w:vAlign w:val="center"/>
              </w:tcPr>
              <w:p w14:paraId="00ABA901" w14:textId="77777777" w:rsidR="005E000F" w:rsidRDefault="00000000">
                <w:pPr>
                  <w:jc w:val="right"/>
                  <w:rPr>
                    <w:sz w:val="16"/>
                    <w:szCs w:val="16"/>
                  </w:rPr>
                </w:pPr>
                <w:r>
                  <w:rPr>
                    <w:sz w:val="16"/>
                    <w:szCs w:val="16"/>
                  </w:rPr>
                  <w:t>243,677,164</w:t>
                </w:r>
              </w:p>
            </w:tc>
            <w:tc>
              <w:tcPr>
                <w:tcW w:w="1200" w:type="dxa"/>
                <w:vAlign w:val="center"/>
              </w:tcPr>
              <w:p w14:paraId="547F2A9C" w14:textId="77777777" w:rsidR="005E000F" w:rsidRDefault="00000000">
                <w:pPr>
                  <w:jc w:val="right"/>
                  <w:rPr>
                    <w:sz w:val="16"/>
                    <w:szCs w:val="16"/>
                  </w:rPr>
                </w:pPr>
                <w:r>
                  <w:rPr>
                    <w:sz w:val="16"/>
                    <w:szCs w:val="16"/>
                  </w:rPr>
                  <w:t>0</w:t>
                </w:r>
              </w:p>
            </w:tc>
            <w:tc>
              <w:tcPr>
                <w:tcW w:w="1256" w:type="dxa"/>
                <w:vAlign w:val="center"/>
              </w:tcPr>
              <w:p w14:paraId="2D9272B3" w14:textId="77777777" w:rsidR="005E000F" w:rsidRDefault="00000000">
                <w:pPr>
                  <w:jc w:val="right"/>
                  <w:rPr>
                    <w:sz w:val="16"/>
                    <w:szCs w:val="16"/>
                  </w:rPr>
                </w:pPr>
                <w:r>
                  <w:rPr>
                    <w:sz w:val="16"/>
                    <w:szCs w:val="16"/>
                  </w:rPr>
                  <w:t>289,147,358</w:t>
                </w:r>
              </w:p>
            </w:tc>
          </w:tr>
        </w:sdtContent>
      </w:sdt>
      <w:sdt>
        <w:sdtPr>
          <w:rPr>
            <w:sz w:val="16"/>
            <w:szCs w:val="16"/>
          </w:rPr>
          <w:alias w:val="筹资活动产生的各项负债变动情况明细"/>
          <w:tag w:val="_TUP_c2774a70d0ba4cdaaf42146c5e4d30c4"/>
          <w:id w:val="52744322"/>
          <w:placeholder>
            <w:docPart w:val="F9C25FE6491C4CB69A340DF54D47C1F2"/>
          </w:placeholder>
        </w:sdtPr>
        <w:sdtContent>
          <w:tr w:rsidR="005E000F" w14:paraId="73C61E52" w14:textId="77777777">
            <w:tc>
              <w:tcPr>
                <w:tcW w:w="1701" w:type="dxa"/>
                <w:vAlign w:val="center"/>
              </w:tcPr>
              <w:p w14:paraId="4C31A344" w14:textId="77777777" w:rsidR="005E000F" w:rsidRDefault="00000000">
                <w:pPr>
                  <w:autoSpaceDE w:val="0"/>
                  <w:autoSpaceDN w:val="0"/>
                  <w:adjustRightInd w:val="0"/>
                  <w:snapToGrid w:val="0"/>
                  <w:rPr>
                    <w:sz w:val="16"/>
                    <w:szCs w:val="16"/>
                  </w:rPr>
                </w:pPr>
                <w:r>
                  <w:rPr>
                    <w:sz w:val="16"/>
                    <w:szCs w:val="16"/>
                  </w:rPr>
                  <w:t>长期借款（含一年内到期）</w:t>
                </w:r>
              </w:p>
            </w:tc>
            <w:tc>
              <w:tcPr>
                <w:tcW w:w="1300" w:type="dxa"/>
                <w:vAlign w:val="center"/>
              </w:tcPr>
              <w:p w14:paraId="275140DF" w14:textId="77777777" w:rsidR="005E000F" w:rsidRDefault="00000000">
                <w:pPr>
                  <w:jc w:val="right"/>
                  <w:rPr>
                    <w:sz w:val="16"/>
                    <w:szCs w:val="16"/>
                  </w:rPr>
                </w:pPr>
                <w:r>
                  <w:rPr>
                    <w:sz w:val="16"/>
                    <w:szCs w:val="16"/>
                  </w:rPr>
                  <w:t>11,022,175,076</w:t>
                </w:r>
              </w:p>
            </w:tc>
            <w:tc>
              <w:tcPr>
                <w:tcW w:w="1223" w:type="dxa"/>
                <w:vAlign w:val="center"/>
              </w:tcPr>
              <w:p w14:paraId="73326454" w14:textId="77777777" w:rsidR="005E000F" w:rsidRDefault="00000000">
                <w:pPr>
                  <w:jc w:val="right"/>
                  <w:rPr>
                    <w:sz w:val="16"/>
                    <w:szCs w:val="16"/>
                  </w:rPr>
                </w:pPr>
                <w:r>
                  <w:rPr>
                    <w:sz w:val="16"/>
                    <w:szCs w:val="16"/>
                  </w:rPr>
                  <w:t>2,890,470,000</w:t>
                </w:r>
              </w:p>
            </w:tc>
            <w:tc>
              <w:tcPr>
                <w:tcW w:w="1210" w:type="dxa"/>
                <w:vAlign w:val="center"/>
              </w:tcPr>
              <w:p w14:paraId="6F3FE8FE" w14:textId="77777777" w:rsidR="005E000F" w:rsidRDefault="00000000">
                <w:pPr>
                  <w:jc w:val="right"/>
                  <w:rPr>
                    <w:sz w:val="16"/>
                    <w:szCs w:val="16"/>
                  </w:rPr>
                </w:pPr>
                <w:r>
                  <w:rPr>
                    <w:sz w:val="16"/>
                    <w:szCs w:val="16"/>
                  </w:rPr>
                  <w:t>290,810,661</w:t>
                </w:r>
              </w:p>
            </w:tc>
            <w:tc>
              <w:tcPr>
                <w:tcW w:w="1167" w:type="dxa"/>
                <w:vAlign w:val="center"/>
              </w:tcPr>
              <w:p w14:paraId="01DA497F" w14:textId="77777777" w:rsidR="005E000F" w:rsidRDefault="00000000">
                <w:pPr>
                  <w:jc w:val="right"/>
                  <w:rPr>
                    <w:sz w:val="16"/>
                    <w:szCs w:val="16"/>
                  </w:rPr>
                </w:pPr>
                <w:r>
                  <w:rPr>
                    <w:sz w:val="16"/>
                    <w:szCs w:val="16"/>
                  </w:rPr>
                  <w:t>3,276,177,103</w:t>
                </w:r>
              </w:p>
            </w:tc>
            <w:tc>
              <w:tcPr>
                <w:tcW w:w="1200" w:type="dxa"/>
                <w:vAlign w:val="center"/>
              </w:tcPr>
              <w:p w14:paraId="2E422BEF" w14:textId="77777777" w:rsidR="005E000F" w:rsidRDefault="00000000">
                <w:pPr>
                  <w:jc w:val="right"/>
                  <w:rPr>
                    <w:sz w:val="16"/>
                    <w:szCs w:val="16"/>
                  </w:rPr>
                </w:pPr>
                <w:r>
                  <w:rPr>
                    <w:sz w:val="16"/>
                    <w:szCs w:val="16"/>
                  </w:rPr>
                  <w:t>0</w:t>
                </w:r>
              </w:p>
            </w:tc>
            <w:tc>
              <w:tcPr>
                <w:tcW w:w="1256" w:type="dxa"/>
                <w:vAlign w:val="center"/>
              </w:tcPr>
              <w:p w14:paraId="3B9C3C67" w14:textId="77777777" w:rsidR="005E000F" w:rsidRDefault="00000000">
                <w:pPr>
                  <w:jc w:val="right"/>
                  <w:rPr>
                    <w:sz w:val="16"/>
                    <w:szCs w:val="16"/>
                  </w:rPr>
                </w:pPr>
                <w:r>
                  <w:rPr>
                    <w:sz w:val="16"/>
                    <w:szCs w:val="16"/>
                  </w:rPr>
                  <w:t>10,927,278,634</w:t>
                </w:r>
              </w:p>
            </w:tc>
          </w:tr>
        </w:sdtContent>
      </w:sdt>
      <w:sdt>
        <w:sdtPr>
          <w:rPr>
            <w:sz w:val="16"/>
            <w:szCs w:val="16"/>
          </w:rPr>
          <w:alias w:val="筹资活动产生的各项负债变动情况明细"/>
          <w:tag w:val="_TUP_c2774a70d0ba4cdaaf42146c5e4d30c4"/>
          <w:id w:val="1723396219"/>
          <w:placeholder>
            <w:docPart w:val="F9C25FE6491C4CB69A340DF54D47C1F2"/>
          </w:placeholder>
        </w:sdtPr>
        <w:sdtContent>
          <w:tr w:rsidR="005E000F" w14:paraId="4080107F" w14:textId="77777777">
            <w:tc>
              <w:tcPr>
                <w:tcW w:w="1701" w:type="dxa"/>
                <w:vAlign w:val="center"/>
              </w:tcPr>
              <w:p w14:paraId="12862701" w14:textId="77777777" w:rsidR="005E000F" w:rsidRDefault="00000000">
                <w:pPr>
                  <w:autoSpaceDE w:val="0"/>
                  <w:autoSpaceDN w:val="0"/>
                  <w:adjustRightInd w:val="0"/>
                  <w:snapToGrid w:val="0"/>
                  <w:rPr>
                    <w:sz w:val="16"/>
                    <w:szCs w:val="16"/>
                  </w:rPr>
                </w:pPr>
                <w:r>
                  <w:rPr>
                    <w:sz w:val="16"/>
                    <w:szCs w:val="16"/>
                  </w:rPr>
                  <w:t>租赁负债（含一年内</w:t>
                </w:r>
                <w:r>
                  <w:rPr>
                    <w:sz w:val="16"/>
                    <w:szCs w:val="16"/>
                  </w:rPr>
                  <w:lastRenderedPageBreak/>
                  <w:t>到期）</w:t>
                </w:r>
              </w:p>
            </w:tc>
            <w:tc>
              <w:tcPr>
                <w:tcW w:w="1300" w:type="dxa"/>
                <w:vAlign w:val="center"/>
              </w:tcPr>
              <w:p w14:paraId="3F93048A" w14:textId="77777777" w:rsidR="005E000F" w:rsidRDefault="00000000">
                <w:pPr>
                  <w:jc w:val="right"/>
                  <w:rPr>
                    <w:sz w:val="16"/>
                    <w:szCs w:val="16"/>
                  </w:rPr>
                </w:pPr>
                <w:r>
                  <w:rPr>
                    <w:sz w:val="16"/>
                    <w:szCs w:val="16"/>
                  </w:rPr>
                  <w:lastRenderedPageBreak/>
                  <w:t>1,038,039,902</w:t>
                </w:r>
              </w:p>
            </w:tc>
            <w:tc>
              <w:tcPr>
                <w:tcW w:w="1223" w:type="dxa"/>
                <w:vAlign w:val="center"/>
              </w:tcPr>
              <w:p w14:paraId="0621FE4C" w14:textId="77777777" w:rsidR="005E000F" w:rsidRDefault="00000000">
                <w:pPr>
                  <w:jc w:val="right"/>
                  <w:rPr>
                    <w:sz w:val="16"/>
                    <w:szCs w:val="16"/>
                  </w:rPr>
                </w:pPr>
                <w:r>
                  <w:rPr>
                    <w:sz w:val="16"/>
                    <w:szCs w:val="16"/>
                  </w:rPr>
                  <w:t>0</w:t>
                </w:r>
              </w:p>
            </w:tc>
            <w:tc>
              <w:tcPr>
                <w:tcW w:w="1210" w:type="dxa"/>
                <w:vAlign w:val="center"/>
              </w:tcPr>
              <w:p w14:paraId="61256D1E" w14:textId="77777777" w:rsidR="005E000F" w:rsidRDefault="00000000">
                <w:pPr>
                  <w:jc w:val="right"/>
                  <w:rPr>
                    <w:sz w:val="16"/>
                    <w:szCs w:val="16"/>
                  </w:rPr>
                </w:pPr>
                <w:r>
                  <w:rPr>
                    <w:sz w:val="16"/>
                    <w:szCs w:val="16"/>
                  </w:rPr>
                  <w:t>1,860,330,716</w:t>
                </w:r>
              </w:p>
            </w:tc>
            <w:tc>
              <w:tcPr>
                <w:tcW w:w="1167" w:type="dxa"/>
                <w:vAlign w:val="center"/>
              </w:tcPr>
              <w:p w14:paraId="73D80AFC" w14:textId="77777777" w:rsidR="005E000F" w:rsidRDefault="00000000">
                <w:pPr>
                  <w:jc w:val="right"/>
                  <w:rPr>
                    <w:sz w:val="16"/>
                    <w:szCs w:val="16"/>
                  </w:rPr>
                </w:pPr>
                <w:r>
                  <w:rPr>
                    <w:sz w:val="16"/>
                    <w:szCs w:val="16"/>
                  </w:rPr>
                  <w:t>202,320,404</w:t>
                </w:r>
              </w:p>
            </w:tc>
            <w:tc>
              <w:tcPr>
                <w:tcW w:w="1200" w:type="dxa"/>
                <w:vAlign w:val="center"/>
              </w:tcPr>
              <w:p w14:paraId="422A65C0" w14:textId="77777777" w:rsidR="005E000F" w:rsidRDefault="00000000">
                <w:pPr>
                  <w:jc w:val="right"/>
                  <w:rPr>
                    <w:sz w:val="16"/>
                    <w:szCs w:val="16"/>
                  </w:rPr>
                </w:pPr>
                <w:r>
                  <w:rPr>
                    <w:sz w:val="16"/>
                    <w:szCs w:val="16"/>
                  </w:rPr>
                  <w:t>278,973,752</w:t>
                </w:r>
              </w:p>
            </w:tc>
            <w:tc>
              <w:tcPr>
                <w:tcW w:w="1256" w:type="dxa"/>
                <w:vAlign w:val="center"/>
              </w:tcPr>
              <w:p w14:paraId="6F8E487F" w14:textId="77777777" w:rsidR="005E000F" w:rsidRDefault="00000000">
                <w:pPr>
                  <w:jc w:val="right"/>
                  <w:rPr>
                    <w:sz w:val="16"/>
                    <w:szCs w:val="16"/>
                  </w:rPr>
                </w:pPr>
                <w:r>
                  <w:rPr>
                    <w:sz w:val="16"/>
                    <w:szCs w:val="16"/>
                  </w:rPr>
                  <w:t>2,417,076,462</w:t>
                </w:r>
              </w:p>
            </w:tc>
          </w:tr>
        </w:sdtContent>
      </w:sdt>
      <w:sdt>
        <w:sdtPr>
          <w:rPr>
            <w:sz w:val="16"/>
            <w:szCs w:val="16"/>
          </w:rPr>
          <w:alias w:val="筹资活动产生的各项负债变动情况明细"/>
          <w:tag w:val="_TUP_c2774a70d0ba4cdaaf42146c5e4d30c4"/>
          <w:id w:val="522916586"/>
          <w:placeholder>
            <w:docPart w:val="F9C25FE6491C4CB69A340DF54D47C1F2"/>
          </w:placeholder>
        </w:sdtPr>
        <w:sdtContent>
          <w:tr w:rsidR="005E000F" w14:paraId="22976CE9" w14:textId="77777777">
            <w:tc>
              <w:tcPr>
                <w:tcW w:w="1701" w:type="dxa"/>
                <w:vAlign w:val="center"/>
              </w:tcPr>
              <w:p w14:paraId="0C05A265" w14:textId="77777777" w:rsidR="005E000F" w:rsidRDefault="00000000">
                <w:pPr>
                  <w:autoSpaceDE w:val="0"/>
                  <w:autoSpaceDN w:val="0"/>
                  <w:adjustRightInd w:val="0"/>
                  <w:snapToGrid w:val="0"/>
                  <w:rPr>
                    <w:sz w:val="16"/>
                    <w:szCs w:val="16"/>
                  </w:rPr>
                </w:pPr>
                <w:r>
                  <w:rPr>
                    <w:sz w:val="16"/>
                    <w:szCs w:val="16"/>
                  </w:rPr>
                  <w:t>应付债券（含一年内到期）</w:t>
                </w:r>
              </w:p>
            </w:tc>
            <w:tc>
              <w:tcPr>
                <w:tcW w:w="1300" w:type="dxa"/>
                <w:vAlign w:val="center"/>
              </w:tcPr>
              <w:p w14:paraId="4F33B064" w14:textId="77777777" w:rsidR="005E000F" w:rsidRDefault="00000000">
                <w:pPr>
                  <w:jc w:val="right"/>
                  <w:rPr>
                    <w:sz w:val="16"/>
                    <w:szCs w:val="16"/>
                  </w:rPr>
                </w:pPr>
                <w:r>
                  <w:rPr>
                    <w:sz w:val="16"/>
                    <w:szCs w:val="16"/>
                  </w:rPr>
                  <w:t>7,602,639,363</w:t>
                </w:r>
              </w:p>
            </w:tc>
            <w:tc>
              <w:tcPr>
                <w:tcW w:w="1223" w:type="dxa"/>
                <w:vAlign w:val="center"/>
              </w:tcPr>
              <w:p w14:paraId="0D02D2E9" w14:textId="77777777" w:rsidR="005E000F" w:rsidRDefault="00000000">
                <w:pPr>
                  <w:jc w:val="right"/>
                  <w:rPr>
                    <w:sz w:val="16"/>
                    <w:szCs w:val="16"/>
                  </w:rPr>
                </w:pPr>
                <w:r>
                  <w:rPr>
                    <w:sz w:val="16"/>
                    <w:szCs w:val="16"/>
                  </w:rPr>
                  <w:t>0</w:t>
                </w:r>
              </w:p>
            </w:tc>
            <w:tc>
              <w:tcPr>
                <w:tcW w:w="1210" w:type="dxa"/>
                <w:vAlign w:val="center"/>
              </w:tcPr>
              <w:p w14:paraId="4061DB4F" w14:textId="77777777" w:rsidR="005E000F" w:rsidRDefault="00000000">
                <w:pPr>
                  <w:jc w:val="right"/>
                  <w:rPr>
                    <w:sz w:val="16"/>
                    <w:szCs w:val="16"/>
                  </w:rPr>
                </w:pPr>
                <w:r>
                  <w:rPr>
                    <w:sz w:val="16"/>
                    <w:szCs w:val="16"/>
                  </w:rPr>
                  <w:t>31,558,366</w:t>
                </w:r>
              </w:p>
            </w:tc>
            <w:tc>
              <w:tcPr>
                <w:tcW w:w="1167" w:type="dxa"/>
                <w:vAlign w:val="center"/>
              </w:tcPr>
              <w:p w14:paraId="0527350D" w14:textId="77777777" w:rsidR="005E000F" w:rsidRDefault="00000000">
                <w:pPr>
                  <w:jc w:val="right"/>
                  <w:rPr>
                    <w:sz w:val="16"/>
                    <w:szCs w:val="16"/>
                  </w:rPr>
                </w:pPr>
                <w:r>
                  <w:rPr>
                    <w:sz w:val="16"/>
                    <w:szCs w:val="16"/>
                  </w:rPr>
                  <w:t>19,221,200</w:t>
                </w:r>
              </w:p>
            </w:tc>
            <w:tc>
              <w:tcPr>
                <w:tcW w:w="1200" w:type="dxa"/>
                <w:vAlign w:val="center"/>
              </w:tcPr>
              <w:p w14:paraId="4C2AF4E9" w14:textId="77777777" w:rsidR="005E000F" w:rsidRDefault="00000000">
                <w:pPr>
                  <w:jc w:val="right"/>
                  <w:rPr>
                    <w:sz w:val="16"/>
                    <w:szCs w:val="16"/>
                  </w:rPr>
                </w:pPr>
                <w:r>
                  <w:rPr>
                    <w:sz w:val="16"/>
                    <w:szCs w:val="16"/>
                  </w:rPr>
                  <w:t>7,614,976,529</w:t>
                </w:r>
              </w:p>
            </w:tc>
            <w:tc>
              <w:tcPr>
                <w:tcW w:w="1256" w:type="dxa"/>
                <w:vAlign w:val="center"/>
              </w:tcPr>
              <w:p w14:paraId="27026989" w14:textId="77777777" w:rsidR="005E000F" w:rsidRDefault="00000000">
                <w:pPr>
                  <w:jc w:val="right"/>
                  <w:rPr>
                    <w:sz w:val="16"/>
                    <w:szCs w:val="16"/>
                  </w:rPr>
                </w:pPr>
                <w:r>
                  <w:rPr>
                    <w:sz w:val="16"/>
                    <w:szCs w:val="16"/>
                  </w:rPr>
                  <w:t>0</w:t>
                </w:r>
              </w:p>
            </w:tc>
          </w:tr>
        </w:sdtContent>
      </w:sdt>
      <w:sdt>
        <w:sdtPr>
          <w:rPr>
            <w:sz w:val="16"/>
            <w:szCs w:val="16"/>
          </w:rPr>
          <w:alias w:val="筹资活动产生的各项负债变动情况明细"/>
          <w:tag w:val="_TUP_c2774a70d0ba4cdaaf42146c5e4d30c4"/>
          <w:id w:val="-615605289"/>
          <w:placeholder>
            <w:docPart w:val="F9C25FE6491C4CB69A340DF54D47C1F2"/>
          </w:placeholder>
        </w:sdtPr>
        <w:sdtContent>
          <w:tr w:rsidR="005E000F" w14:paraId="14AE27E2" w14:textId="77777777">
            <w:tc>
              <w:tcPr>
                <w:tcW w:w="1701" w:type="dxa"/>
                <w:vAlign w:val="center"/>
              </w:tcPr>
              <w:p w14:paraId="2639ECB4" w14:textId="77777777" w:rsidR="005E000F" w:rsidRDefault="00000000">
                <w:pPr>
                  <w:autoSpaceDE w:val="0"/>
                  <w:autoSpaceDN w:val="0"/>
                  <w:adjustRightInd w:val="0"/>
                  <w:snapToGrid w:val="0"/>
                  <w:rPr>
                    <w:sz w:val="16"/>
                    <w:szCs w:val="16"/>
                  </w:rPr>
                </w:pPr>
                <w:r>
                  <w:rPr>
                    <w:sz w:val="16"/>
                    <w:szCs w:val="16"/>
                  </w:rPr>
                  <w:t>其他应付款</w:t>
                </w:r>
                <w:r>
                  <w:rPr>
                    <w:sz w:val="16"/>
                    <w:szCs w:val="16"/>
                  </w:rPr>
                  <w:t>-</w:t>
                </w:r>
                <w:r>
                  <w:rPr>
                    <w:sz w:val="16"/>
                    <w:szCs w:val="16"/>
                  </w:rPr>
                  <w:t>代管资金</w:t>
                </w:r>
              </w:p>
            </w:tc>
            <w:tc>
              <w:tcPr>
                <w:tcW w:w="1300" w:type="dxa"/>
                <w:vAlign w:val="center"/>
              </w:tcPr>
              <w:p w14:paraId="173A88DD" w14:textId="77777777" w:rsidR="005E000F" w:rsidRDefault="00000000">
                <w:pPr>
                  <w:jc w:val="right"/>
                  <w:rPr>
                    <w:sz w:val="16"/>
                    <w:szCs w:val="16"/>
                  </w:rPr>
                </w:pPr>
                <w:r>
                  <w:rPr>
                    <w:sz w:val="16"/>
                    <w:szCs w:val="16"/>
                  </w:rPr>
                  <w:t>163,135,736</w:t>
                </w:r>
              </w:p>
            </w:tc>
            <w:tc>
              <w:tcPr>
                <w:tcW w:w="1223" w:type="dxa"/>
                <w:vAlign w:val="center"/>
              </w:tcPr>
              <w:p w14:paraId="3BA14719" w14:textId="77777777" w:rsidR="005E000F" w:rsidRDefault="00000000">
                <w:pPr>
                  <w:jc w:val="right"/>
                  <w:rPr>
                    <w:sz w:val="16"/>
                    <w:szCs w:val="16"/>
                  </w:rPr>
                </w:pPr>
                <w:r>
                  <w:rPr>
                    <w:sz w:val="16"/>
                    <w:szCs w:val="16"/>
                  </w:rPr>
                  <w:t>0</w:t>
                </w:r>
              </w:p>
            </w:tc>
            <w:tc>
              <w:tcPr>
                <w:tcW w:w="1210" w:type="dxa"/>
                <w:vAlign w:val="center"/>
              </w:tcPr>
              <w:p w14:paraId="3531687E" w14:textId="77777777" w:rsidR="005E000F" w:rsidRDefault="00000000">
                <w:pPr>
                  <w:jc w:val="right"/>
                  <w:rPr>
                    <w:sz w:val="16"/>
                    <w:szCs w:val="16"/>
                  </w:rPr>
                </w:pPr>
                <w:r>
                  <w:rPr>
                    <w:sz w:val="16"/>
                    <w:szCs w:val="16"/>
                  </w:rPr>
                  <w:t>3,734,855</w:t>
                </w:r>
              </w:p>
            </w:tc>
            <w:tc>
              <w:tcPr>
                <w:tcW w:w="1167" w:type="dxa"/>
                <w:vAlign w:val="center"/>
              </w:tcPr>
              <w:p w14:paraId="43827E84" w14:textId="77777777" w:rsidR="005E000F" w:rsidRDefault="00000000">
                <w:pPr>
                  <w:jc w:val="right"/>
                  <w:rPr>
                    <w:sz w:val="16"/>
                    <w:szCs w:val="16"/>
                  </w:rPr>
                </w:pPr>
                <w:r>
                  <w:rPr>
                    <w:sz w:val="16"/>
                    <w:szCs w:val="16"/>
                  </w:rPr>
                  <w:t>10,455,222</w:t>
                </w:r>
              </w:p>
            </w:tc>
            <w:tc>
              <w:tcPr>
                <w:tcW w:w="1200" w:type="dxa"/>
                <w:vAlign w:val="center"/>
              </w:tcPr>
              <w:p w14:paraId="003C7881" w14:textId="77777777" w:rsidR="005E000F" w:rsidRDefault="00000000">
                <w:pPr>
                  <w:jc w:val="right"/>
                  <w:rPr>
                    <w:sz w:val="16"/>
                    <w:szCs w:val="16"/>
                  </w:rPr>
                </w:pPr>
                <w:r>
                  <w:rPr>
                    <w:sz w:val="16"/>
                    <w:szCs w:val="16"/>
                  </w:rPr>
                  <w:t>0</w:t>
                </w:r>
              </w:p>
            </w:tc>
            <w:tc>
              <w:tcPr>
                <w:tcW w:w="1256" w:type="dxa"/>
                <w:vAlign w:val="center"/>
              </w:tcPr>
              <w:p w14:paraId="2AE7AB94" w14:textId="77777777" w:rsidR="005E000F" w:rsidRDefault="00000000">
                <w:pPr>
                  <w:jc w:val="right"/>
                  <w:rPr>
                    <w:sz w:val="16"/>
                    <w:szCs w:val="16"/>
                  </w:rPr>
                </w:pPr>
                <w:r>
                  <w:rPr>
                    <w:sz w:val="16"/>
                    <w:szCs w:val="16"/>
                  </w:rPr>
                  <w:t>156,415,369</w:t>
                </w:r>
              </w:p>
            </w:tc>
          </w:tr>
        </w:sdtContent>
      </w:sdt>
      <w:sdt>
        <w:sdtPr>
          <w:rPr>
            <w:sz w:val="16"/>
            <w:szCs w:val="16"/>
          </w:rPr>
          <w:alias w:val="筹资活动产生的各项负债变动情况明细"/>
          <w:tag w:val="_TUP_c2774a70d0ba4cdaaf42146c5e4d30c4"/>
          <w:id w:val="-541292438"/>
          <w:placeholder>
            <w:docPart w:val="F9C25FE6491C4CB69A340DF54D47C1F2"/>
          </w:placeholder>
        </w:sdtPr>
        <w:sdtContent>
          <w:tr w:rsidR="005E000F" w14:paraId="0BC04D85" w14:textId="77777777">
            <w:tc>
              <w:tcPr>
                <w:tcW w:w="1701" w:type="dxa"/>
                <w:vAlign w:val="center"/>
              </w:tcPr>
              <w:p w14:paraId="783CC62A" w14:textId="77777777" w:rsidR="005E000F" w:rsidRDefault="00000000">
                <w:pPr>
                  <w:autoSpaceDE w:val="0"/>
                  <w:autoSpaceDN w:val="0"/>
                  <w:adjustRightInd w:val="0"/>
                  <w:snapToGrid w:val="0"/>
                  <w:rPr>
                    <w:sz w:val="16"/>
                    <w:szCs w:val="16"/>
                  </w:rPr>
                </w:pPr>
                <w:r>
                  <w:rPr>
                    <w:sz w:val="16"/>
                    <w:szCs w:val="16"/>
                  </w:rPr>
                  <w:t>应付股利</w:t>
                </w:r>
              </w:p>
            </w:tc>
            <w:tc>
              <w:tcPr>
                <w:tcW w:w="1300" w:type="dxa"/>
                <w:vAlign w:val="center"/>
              </w:tcPr>
              <w:p w14:paraId="4E8B3AE2" w14:textId="77777777" w:rsidR="005E000F" w:rsidRDefault="00000000">
                <w:pPr>
                  <w:jc w:val="right"/>
                  <w:rPr>
                    <w:sz w:val="16"/>
                    <w:szCs w:val="16"/>
                  </w:rPr>
                </w:pPr>
                <w:r>
                  <w:rPr>
                    <w:sz w:val="16"/>
                    <w:szCs w:val="16"/>
                  </w:rPr>
                  <w:t>121,207,654</w:t>
                </w:r>
              </w:p>
            </w:tc>
            <w:tc>
              <w:tcPr>
                <w:tcW w:w="1223" w:type="dxa"/>
                <w:vAlign w:val="center"/>
              </w:tcPr>
              <w:p w14:paraId="4E5ED33B" w14:textId="77777777" w:rsidR="005E000F" w:rsidRDefault="00000000">
                <w:pPr>
                  <w:jc w:val="right"/>
                  <w:rPr>
                    <w:sz w:val="16"/>
                    <w:szCs w:val="16"/>
                  </w:rPr>
                </w:pPr>
                <w:r>
                  <w:rPr>
                    <w:sz w:val="16"/>
                    <w:szCs w:val="16"/>
                  </w:rPr>
                  <w:t>0</w:t>
                </w:r>
              </w:p>
            </w:tc>
            <w:tc>
              <w:tcPr>
                <w:tcW w:w="1210" w:type="dxa"/>
                <w:vAlign w:val="center"/>
              </w:tcPr>
              <w:p w14:paraId="26DA6430" w14:textId="77777777" w:rsidR="005E000F" w:rsidRDefault="00000000">
                <w:pPr>
                  <w:jc w:val="right"/>
                  <w:rPr>
                    <w:sz w:val="16"/>
                    <w:szCs w:val="16"/>
                  </w:rPr>
                </w:pPr>
                <w:r>
                  <w:rPr>
                    <w:sz w:val="16"/>
                    <w:szCs w:val="16"/>
                  </w:rPr>
                  <w:t>5,100,712,192</w:t>
                </w:r>
              </w:p>
            </w:tc>
            <w:tc>
              <w:tcPr>
                <w:tcW w:w="1167" w:type="dxa"/>
                <w:vAlign w:val="center"/>
              </w:tcPr>
              <w:p w14:paraId="2342528A" w14:textId="77777777" w:rsidR="005E000F" w:rsidRDefault="00000000">
                <w:pPr>
                  <w:jc w:val="right"/>
                  <w:rPr>
                    <w:sz w:val="16"/>
                    <w:szCs w:val="16"/>
                  </w:rPr>
                </w:pPr>
                <w:r>
                  <w:rPr>
                    <w:sz w:val="16"/>
                    <w:szCs w:val="16"/>
                  </w:rPr>
                  <w:t>5,126,043,285</w:t>
                </w:r>
              </w:p>
            </w:tc>
            <w:tc>
              <w:tcPr>
                <w:tcW w:w="1200" w:type="dxa"/>
                <w:vAlign w:val="center"/>
              </w:tcPr>
              <w:p w14:paraId="42654E73" w14:textId="77777777" w:rsidR="005E000F" w:rsidRDefault="00000000">
                <w:pPr>
                  <w:jc w:val="right"/>
                  <w:rPr>
                    <w:sz w:val="16"/>
                    <w:szCs w:val="16"/>
                  </w:rPr>
                </w:pPr>
                <w:r>
                  <w:rPr>
                    <w:sz w:val="16"/>
                    <w:szCs w:val="16"/>
                  </w:rPr>
                  <w:t>0</w:t>
                </w:r>
              </w:p>
            </w:tc>
            <w:tc>
              <w:tcPr>
                <w:tcW w:w="1256" w:type="dxa"/>
                <w:vAlign w:val="center"/>
              </w:tcPr>
              <w:p w14:paraId="437F7535" w14:textId="77777777" w:rsidR="005E000F" w:rsidRDefault="00000000">
                <w:pPr>
                  <w:jc w:val="right"/>
                  <w:rPr>
                    <w:sz w:val="16"/>
                    <w:szCs w:val="16"/>
                  </w:rPr>
                </w:pPr>
                <w:r>
                  <w:rPr>
                    <w:sz w:val="16"/>
                    <w:szCs w:val="16"/>
                  </w:rPr>
                  <w:t>95,876,561</w:t>
                </w:r>
              </w:p>
            </w:tc>
          </w:tr>
        </w:sdtContent>
      </w:sdt>
      <w:sdt>
        <w:sdtPr>
          <w:rPr>
            <w:sz w:val="16"/>
            <w:szCs w:val="16"/>
          </w:rPr>
          <w:alias w:val="筹资活动产生的各项负债变动情况明细"/>
          <w:tag w:val="_TUP_c2774a70d0ba4cdaaf42146c5e4d30c4"/>
          <w:id w:val="-1443753818"/>
          <w:placeholder>
            <w:docPart w:val="DA348C05F7074B8B81136D99CC7C0674"/>
          </w:placeholder>
        </w:sdtPr>
        <w:sdtContent>
          <w:tr w:rsidR="005E000F" w14:paraId="440CC50C" w14:textId="77777777">
            <w:tc>
              <w:tcPr>
                <w:tcW w:w="1701" w:type="dxa"/>
                <w:vAlign w:val="center"/>
              </w:tcPr>
              <w:p w14:paraId="6B6AA3EE" w14:textId="77777777" w:rsidR="005E000F" w:rsidRDefault="00000000">
                <w:pPr>
                  <w:autoSpaceDE w:val="0"/>
                  <w:autoSpaceDN w:val="0"/>
                  <w:adjustRightInd w:val="0"/>
                  <w:snapToGrid w:val="0"/>
                  <w:rPr>
                    <w:sz w:val="16"/>
                    <w:szCs w:val="16"/>
                  </w:rPr>
                </w:pPr>
                <w:r>
                  <w:rPr>
                    <w:sz w:val="16"/>
                    <w:szCs w:val="16"/>
                  </w:rPr>
                  <w:t>专项应付款</w:t>
                </w:r>
              </w:p>
            </w:tc>
            <w:tc>
              <w:tcPr>
                <w:tcW w:w="1300" w:type="dxa"/>
                <w:vAlign w:val="center"/>
              </w:tcPr>
              <w:p w14:paraId="751FDFA3" w14:textId="77777777" w:rsidR="005E000F" w:rsidRDefault="00000000">
                <w:pPr>
                  <w:jc w:val="right"/>
                  <w:rPr>
                    <w:sz w:val="16"/>
                    <w:szCs w:val="16"/>
                  </w:rPr>
                </w:pPr>
                <w:r>
                  <w:rPr>
                    <w:sz w:val="16"/>
                    <w:szCs w:val="16"/>
                  </w:rPr>
                  <w:t>62,082,342</w:t>
                </w:r>
              </w:p>
            </w:tc>
            <w:tc>
              <w:tcPr>
                <w:tcW w:w="1223" w:type="dxa"/>
                <w:vAlign w:val="center"/>
              </w:tcPr>
              <w:p w14:paraId="62D36BEB" w14:textId="77777777" w:rsidR="005E000F" w:rsidRDefault="00000000">
                <w:pPr>
                  <w:jc w:val="right"/>
                  <w:rPr>
                    <w:sz w:val="16"/>
                    <w:szCs w:val="16"/>
                  </w:rPr>
                </w:pPr>
                <w:r>
                  <w:rPr>
                    <w:sz w:val="16"/>
                    <w:szCs w:val="16"/>
                  </w:rPr>
                  <w:t>482,868,900</w:t>
                </w:r>
              </w:p>
            </w:tc>
            <w:tc>
              <w:tcPr>
                <w:tcW w:w="1210" w:type="dxa"/>
                <w:vAlign w:val="center"/>
              </w:tcPr>
              <w:p w14:paraId="63E01260" w14:textId="77777777" w:rsidR="005E000F" w:rsidRDefault="00000000">
                <w:pPr>
                  <w:jc w:val="right"/>
                  <w:rPr>
                    <w:sz w:val="16"/>
                    <w:szCs w:val="16"/>
                  </w:rPr>
                </w:pPr>
                <w:r>
                  <w:rPr>
                    <w:sz w:val="16"/>
                    <w:szCs w:val="16"/>
                  </w:rPr>
                  <w:t>0</w:t>
                </w:r>
              </w:p>
            </w:tc>
            <w:tc>
              <w:tcPr>
                <w:tcW w:w="1167" w:type="dxa"/>
                <w:vAlign w:val="center"/>
              </w:tcPr>
              <w:p w14:paraId="262DDE51" w14:textId="77777777" w:rsidR="005E000F" w:rsidRDefault="00000000">
                <w:pPr>
                  <w:jc w:val="right"/>
                  <w:rPr>
                    <w:sz w:val="16"/>
                    <w:szCs w:val="16"/>
                  </w:rPr>
                </w:pPr>
                <w:r>
                  <w:rPr>
                    <w:sz w:val="16"/>
                    <w:szCs w:val="16"/>
                  </w:rPr>
                  <w:t>0</w:t>
                </w:r>
              </w:p>
            </w:tc>
            <w:tc>
              <w:tcPr>
                <w:tcW w:w="1200" w:type="dxa"/>
                <w:vAlign w:val="center"/>
              </w:tcPr>
              <w:p w14:paraId="48B6A36A" w14:textId="77777777" w:rsidR="005E000F" w:rsidRDefault="00000000">
                <w:pPr>
                  <w:jc w:val="right"/>
                  <w:rPr>
                    <w:sz w:val="16"/>
                    <w:szCs w:val="16"/>
                  </w:rPr>
                </w:pPr>
                <w:r>
                  <w:rPr>
                    <w:sz w:val="16"/>
                    <w:szCs w:val="16"/>
                  </w:rPr>
                  <w:t>482,868,900</w:t>
                </w:r>
              </w:p>
            </w:tc>
            <w:tc>
              <w:tcPr>
                <w:tcW w:w="1256" w:type="dxa"/>
                <w:vAlign w:val="center"/>
              </w:tcPr>
              <w:p w14:paraId="21A7F91E" w14:textId="77777777" w:rsidR="005E000F" w:rsidRDefault="00000000">
                <w:pPr>
                  <w:jc w:val="right"/>
                  <w:rPr>
                    <w:sz w:val="16"/>
                    <w:szCs w:val="16"/>
                  </w:rPr>
                </w:pPr>
                <w:r>
                  <w:rPr>
                    <w:sz w:val="16"/>
                    <w:szCs w:val="16"/>
                  </w:rPr>
                  <w:t>62,082,342</w:t>
                </w:r>
              </w:p>
            </w:tc>
          </w:tr>
        </w:sdtContent>
      </w:sdt>
      <w:tr w:rsidR="005E000F" w14:paraId="674C7FBD" w14:textId="77777777">
        <w:tc>
          <w:tcPr>
            <w:tcW w:w="1701" w:type="dxa"/>
            <w:vAlign w:val="center"/>
          </w:tcPr>
          <w:sdt>
            <w:sdtPr>
              <w:rPr>
                <w:sz w:val="16"/>
                <w:szCs w:val="16"/>
              </w:rPr>
              <w:tag w:val="_PLD_2f45bdba850f4104994b960b71ef779d"/>
              <w:id w:val="-101037039"/>
            </w:sdtPr>
            <w:sdtContent>
              <w:p w14:paraId="38F02C56" w14:textId="77777777" w:rsidR="005E000F" w:rsidRDefault="00000000">
                <w:pPr>
                  <w:autoSpaceDE w:val="0"/>
                  <w:autoSpaceDN w:val="0"/>
                  <w:adjustRightInd w:val="0"/>
                  <w:snapToGrid w:val="0"/>
                  <w:jc w:val="center"/>
                  <w:rPr>
                    <w:sz w:val="16"/>
                    <w:szCs w:val="16"/>
                  </w:rPr>
                </w:pPr>
                <w:r>
                  <w:rPr>
                    <w:rFonts w:hint="eastAsia"/>
                    <w:sz w:val="16"/>
                    <w:szCs w:val="16"/>
                  </w:rPr>
                  <w:t>合计</w:t>
                </w:r>
              </w:p>
            </w:sdtContent>
          </w:sdt>
        </w:tc>
        <w:tc>
          <w:tcPr>
            <w:tcW w:w="1300" w:type="dxa"/>
            <w:vAlign w:val="center"/>
          </w:tcPr>
          <w:p w14:paraId="70E1A3F3" w14:textId="77777777" w:rsidR="005E000F" w:rsidRDefault="00000000">
            <w:pPr>
              <w:jc w:val="right"/>
              <w:rPr>
                <w:sz w:val="16"/>
                <w:szCs w:val="16"/>
              </w:rPr>
            </w:pPr>
            <w:r>
              <w:rPr>
                <w:sz w:val="16"/>
                <w:szCs w:val="16"/>
              </w:rPr>
              <w:t>20,247,438,339</w:t>
            </w:r>
          </w:p>
        </w:tc>
        <w:tc>
          <w:tcPr>
            <w:tcW w:w="1223" w:type="dxa"/>
            <w:vAlign w:val="center"/>
          </w:tcPr>
          <w:p w14:paraId="1B5B90C6" w14:textId="77777777" w:rsidR="005E000F" w:rsidRDefault="00000000">
            <w:pPr>
              <w:jc w:val="right"/>
              <w:rPr>
                <w:sz w:val="16"/>
                <w:szCs w:val="16"/>
              </w:rPr>
            </w:pPr>
            <w:r>
              <w:rPr>
                <w:sz w:val="16"/>
                <w:szCs w:val="16"/>
              </w:rPr>
              <w:t>3,662,318,900</w:t>
            </w:r>
          </w:p>
        </w:tc>
        <w:tc>
          <w:tcPr>
            <w:tcW w:w="1210" w:type="dxa"/>
            <w:vAlign w:val="center"/>
          </w:tcPr>
          <w:p w14:paraId="22CDBA32" w14:textId="77777777" w:rsidR="005E000F" w:rsidRDefault="00000000">
            <w:pPr>
              <w:jc w:val="right"/>
              <w:rPr>
                <w:sz w:val="16"/>
                <w:szCs w:val="16"/>
              </w:rPr>
            </w:pPr>
            <w:r>
              <w:rPr>
                <w:sz w:val="16"/>
                <w:szCs w:val="16"/>
              </w:rPr>
              <w:t>7,292,833,046</w:t>
            </w:r>
          </w:p>
        </w:tc>
        <w:tc>
          <w:tcPr>
            <w:tcW w:w="1167" w:type="dxa"/>
            <w:vAlign w:val="center"/>
          </w:tcPr>
          <w:p w14:paraId="496CE7D4" w14:textId="77777777" w:rsidR="005E000F" w:rsidRDefault="00000000">
            <w:pPr>
              <w:jc w:val="right"/>
              <w:rPr>
                <w:sz w:val="16"/>
                <w:szCs w:val="16"/>
              </w:rPr>
            </w:pPr>
            <w:r>
              <w:rPr>
                <w:sz w:val="16"/>
                <w:szCs w:val="16"/>
              </w:rPr>
              <w:t>8,877,894,378</w:t>
            </w:r>
          </w:p>
        </w:tc>
        <w:tc>
          <w:tcPr>
            <w:tcW w:w="1200" w:type="dxa"/>
            <w:vAlign w:val="center"/>
          </w:tcPr>
          <w:p w14:paraId="72069DC8" w14:textId="77777777" w:rsidR="005E000F" w:rsidRDefault="00000000">
            <w:pPr>
              <w:jc w:val="right"/>
              <w:rPr>
                <w:sz w:val="16"/>
                <w:szCs w:val="16"/>
              </w:rPr>
            </w:pPr>
            <w:r>
              <w:rPr>
                <w:sz w:val="16"/>
                <w:szCs w:val="16"/>
              </w:rPr>
              <w:t>8,376,819,181</w:t>
            </w:r>
          </w:p>
        </w:tc>
        <w:tc>
          <w:tcPr>
            <w:tcW w:w="1256" w:type="dxa"/>
            <w:vAlign w:val="center"/>
          </w:tcPr>
          <w:p w14:paraId="02E005D5" w14:textId="77777777" w:rsidR="005E000F" w:rsidRDefault="00000000">
            <w:pPr>
              <w:jc w:val="right"/>
              <w:rPr>
                <w:sz w:val="16"/>
                <w:szCs w:val="16"/>
              </w:rPr>
            </w:pPr>
            <w:r>
              <w:rPr>
                <w:sz w:val="16"/>
                <w:szCs w:val="16"/>
              </w:rPr>
              <w:t>13,947,876,726</w:t>
            </w:r>
          </w:p>
        </w:tc>
      </w:tr>
    </w:tbl>
    <w:p w14:paraId="7CCD5AD0" w14:textId="77777777" w:rsidR="005E000F" w:rsidRDefault="005E000F"/>
    <w:p w14:paraId="6D21D6A5" w14:textId="77777777" w:rsidR="005E000F" w:rsidRDefault="005E000F"/>
    <w:p w14:paraId="46346629" w14:textId="77777777" w:rsidR="005E000F" w:rsidRDefault="00000000">
      <w:pPr>
        <w:pStyle w:val="4"/>
        <w:numPr>
          <w:ilvl w:val="0"/>
          <w:numId w:val="105"/>
        </w:numPr>
        <w:ind w:left="426" w:hanging="426"/>
      </w:pPr>
      <w:r>
        <w:rPr>
          <w:rFonts w:hint="eastAsia"/>
        </w:rPr>
        <w:t>以净额列报现金流量的说明</w:t>
      </w:r>
    </w:p>
    <w:sdt>
      <w:sdtPr>
        <w:alias w:val="是否适用：以净额列报现金流量的说明[双击切换]"/>
        <w:tag w:val="_GBC_3444590230dd455c82f347bceb8bbf05"/>
        <w:id w:val="-1504353751"/>
        <w:placeholder>
          <w:docPart w:val="GBC22222222222222222222222222222"/>
        </w:placeholder>
      </w:sdtPr>
      <w:sdtContent>
        <w:p w14:paraId="6340143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C54CD0A" w14:textId="77777777" w:rsidR="005E000F" w:rsidRDefault="005E000F"/>
    <w:p w14:paraId="4C4AB58D" w14:textId="77777777" w:rsidR="005E000F" w:rsidRDefault="00000000">
      <w:pPr>
        <w:pStyle w:val="4"/>
        <w:numPr>
          <w:ilvl w:val="0"/>
          <w:numId w:val="105"/>
        </w:numPr>
      </w:pPr>
      <w:r>
        <w:rPr>
          <w:rFonts w:hint="eastAsia"/>
        </w:rPr>
        <w:t>不涉及当期现金收支、但影响企业财务状况或在未来可能影响企业现金流量的重大活动及财务影响</w:t>
      </w:r>
    </w:p>
    <w:sdt>
      <w:sdtPr>
        <w:alias w:val="是否适用：不涉及当期现金收支、但影响企业财务状况或在未来可能影响企业现金流量的重大活动及财务影响[双击切换]"/>
        <w:tag w:val="_GBC_e3d6d1f344c64af2ad0a827f24c95739"/>
        <w:id w:val="422153092"/>
        <w:placeholder>
          <w:docPart w:val="GBC22222222222222222222222222222"/>
        </w:placeholder>
      </w:sdtPr>
      <w:sdtContent>
        <w:p w14:paraId="6923AF8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9127916" w14:textId="77777777" w:rsidR="005E000F" w:rsidRDefault="005E000F">
      <w:pPr>
        <w:ind w:right="5"/>
        <w:rPr>
          <w:rFonts w:ascii="Calibri" w:hAnsi="Calibri"/>
          <w:kern w:val="2"/>
          <w:szCs w:val="22"/>
        </w:rPr>
      </w:pPr>
    </w:p>
    <w:p w14:paraId="74BBF1B1" w14:textId="77777777" w:rsidR="005E000F" w:rsidRDefault="00000000">
      <w:pPr>
        <w:pStyle w:val="3"/>
        <w:numPr>
          <w:ilvl w:val="0"/>
          <w:numId w:val="66"/>
        </w:numPr>
        <w:tabs>
          <w:tab w:val="left" w:pos="504"/>
        </w:tabs>
      </w:pPr>
      <w:r>
        <w:rPr>
          <w:rFonts w:hint="eastAsia"/>
        </w:rPr>
        <w:t>现金流量表</w:t>
      </w:r>
      <w:r>
        <w:rPr>
          <w:rFonts w:ascii="宋体" w:hAnsi="宋体" w:hint="eastAsia"/>
          <w:szCs w:val="21"/>
        </w:rPr>
        <w:t>补充</w:t>
      </w:r>
      <w:r>
        <w:rPr>
          <w:rFonts w:hint="eastAsia"/>
        </w:rPr>
        <w:t>资料</w:t>
      </w:r>
    </w:p>
    <w:p w14:paraId="6934160C" w14:textId="77777777" w:rsidR="005E000F" w:rsidRDefault="00000000">
      <w:pPr>
        <w:pStyle w:val="4"/>
        <w:numPr>
          <w:ilvl w:val="0"/>
          <w:numId w:val="106"/>
        </w:numPr>
        <w:ind w:left="426" w:hanging="426"/>
      </w:pPr>
      <w:r>
        <w:rPr>
          <w:rFonts w:hint="eastAsia"/>
        </w:rPr>
        <w:t>现金流量表补充资料</w:t>
      </w:r>
    </w:p>
    <w:sdt>
      <w:sdtPr>
        <w:rPr>
          <w:rFonts w:hint="eastAsia"/>
        </w:rPr>
        <w:alias w:val="是否适用：现金流量表补充资料[双击切换]"/>
        <w:tag w:val="_GBC_f77ea662869c431fa9c3cd98fccb529c"/>
        <w:id w:val="-1960562470"/>
        <w:placeholder>
          <w:docPart w:val="GBC22222222222222222222222222222"/>
        </w:placeholder>
      </w:sdtPr>
      <w:sdtContent>
        <w:p w14:paraId="0E3EC937"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9BA0A51" w14:textId="77777777" w:rsidR="005E000F" w:rsidRDefault="00000000">
      <w:pPr>
        <w:jc w:val="right"/>
      </w:pPr>
      <w:r>
        <w:rPr>
          <w:rFonts w:hint="eastAsia"/>
        </w:rPr>
        <w:t>单位：</w:t>
      </w:r>
      <w:sdt>
        <w:sdtPr>
          <w:rPr>
            <w:rFonts w:hint="eastAsia"/>
          </w:rPr>
          <w:alias w:val="单位：财务附注：现金流量表补充资料"/>
          <w:tag w:val="_GBC_816fc4f2c97b4b12911114202247ee82"/>
          <w:id w:val="198989573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现金流量表补充资料"/>
          <w:tag w:val="_GBC_d5067beb6bda4f61b5520807661734bf"/>
          <w:id w:val="100708968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482"/>
        <w:gridCol w:w="2799"/>
        <w:gridCol w:w="2768"/>
      </w:tblGrid>
      <w:tr w:rsidR="005E000F" w14:paraId="50EE8800" w14:textId="77777777">
        <w:sdt>
          <w:sdtPr>
            <w:tag w:val="_PLD_39bfd38318b44efe9fa609ad19a8685a"/>
            <w:id w:val="53980267"/>
          </w:sdtPr>
          <w:sdtContent>
            <w:tc>
              <w:tcPr>
                <w:tcW w:w="3482" w:type="dxa"/>
                <w:tcBorders>
                  <w:top w:val="single" w:sz="4" w:space="0" w:color="auto"/>
                  <w:left w:val="single" w:sz="4" w:space="0" w:color="auto"/>
                  <w:bottom w:val="single" w:sz="4" w:space="0" w:color="auto"/>
                  <w:right w:val="single" w:sz="4" w:space="0" w:color="auto"/>
                </w:tcBorders>
                <w:vAlign w:val="center"/>
              </w:tcPr>
              <w:p w14:paraId="112A75E8" w14:textId="77777777" w:rsidR="005E000F" w:rsidRDefault="00000000">
                <w:pPr>
                  <w:jc w:val="center"/>
                  <w:rPr>
                    <w:bCs/>
                  </w:rPr>
                </w:pPr>
                <w:r>
                  <w:rPr>
                    <w:rFonts w:hint="eastAsia"/>
                    <w:bCs/>
                  </w:rPr>
                  <w:t>补充资料</w:t>
                </w:r>
              </w:p>
            </w:tc>
          </w:sdtContent>
        </w:sdt>
        <w:sdt>
          <w:sdtPr>
            <w:tag w:val="_PLD_8ef3863737f6403496cc160c411b0b03"/>
            <w:id w:val="-214355937"/>
          </w:sdtPr>
          <w:sdtContent>
            <w:tc>
              <w:tcPr>
                <w:tcW w:w="2799" w:type="dxa"/>
                <w:tcBorders>
                  <w:top w:val="single" w:sz="4" w:space="0" w:color="auto"/>
                  <w:left w:val="single" w:sz="4" w:space="0" w:color="auto"/>
                  <w:bottom w:val="single" w:sz="4" w:space="0" w:color="auto"/>
                  <w:right w:val="single" w:sz="4" w:space="0" w:color="auto"/>
                </w:tcBorders>
                <w:vAlign w:val="center"/>
              </w:tcPr>
              <w:p w14:paraId="24FA0CC4" w14:textId="77777777" w:rsidR="005E000F" w:rsidRDefault="00000000">
                <w:pPr>
                  <w:jc w:val="center"/>
                </w:pPr>
                <w:r>
                  <w:rPr>
                    <w:rFonts w:hint="eastAsia"/>
                  </w:rPr>
                  <w:t>本期金额</w:t>
                </w:r>
              </w:p>
            </w:tc>
          </w:sdtContent>
        </w:sdt>
        <w:sdt>
          <w:sdtPr>
            <w:tag w:val="_PLD_73eb01f791e44a84b1edbc96aa42b3f3"/>
            <w:id w:val="1534074951"/>
          </w:sdtPr>
          <w:sdtContent>
            <w:tc>
              <w:tcPr>
                <w:tcW w:w="2768" w:type="dxa"/>
                <w:tcBorders>
                  <w:top w:val="single" w:sz="4" w:space="0" w:color="auto"/>
                  <w:left w:val="single" w:sz="4" w:space="0" w:color="auto"/>
                  <w:bottom w:val="single" w:sz="4" w:space="0" w:color="auto"/>
                  <w:right w:val="single" w:sz="4" w:space="0" w:color="auto"/>
                </w:tcBorders>
                <w:vAlign w:val="center"/>
              </w:tcPr>
              <w:p w14:paraId="27C8799F" w14:textId="77777777" w:rsidR="005E000F" w:rsidRDefault="00000000">
                <w:pPr>
                  <w:jc w:val="center"/>
                </w:pPr>
                <w:r>
                  <w:rPr>
                    <w:rFonts w:hint="eastAsia"/>
                  </w:rPr>
                  <w:t>上期金额</w:t>
                </w:r>
              </w:p>
            </w:tc>
          </w:sdtContent>
        </w:sdt>
      </w:tr>
      <w:tr w:rsidR="005E000F" w14:paraId="767F1299" w14:textId="77777777">
        <w:sdt>
          <w:sdtPr>
            <w:tag w:val="_PLD_c6db035658bd4a67bcf46ade47da315d"/>
            <w:id w:val="362256434"/>
          </w:sdt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69E44D87" w14:textId="77777777" w:rsidR="005E000F" w:rsidRDefault="00000000">
                <w:pPr>
                  <w:jc w:val="both"/>
                  <w:rPr>
                    <w:b/>
                  </w:rPr>
                </w:pPr>
                <w:r>
                  <w:rPr>
                    <w:b/>
                    <w:bCs/>
                  </w:rPr>
                  <w:t>1</w:t>
                </w:r>
                <w:r>
                  <w:rPr>
                    <w:rFonts w:hint="eastAsia"/>
                    <w:b/>
                    <w:bCs/>
                  </w:rPr>
                  <w:t>．将净利润调节为经营活动现金流量：</w:t>
                </w:r>
              </w:p>
            </w:tc>
          </w:sdtContent>
        </w:sdt>
      </w:tr>
      <w:tr w:rsidR="005E000F" w14:paraId="69BFFC57" w14:textId="77777777">
        <w:tc>
          <w:tcPr>
            <w:tcW w:w="3482" w:type="dxa"/>
            <w:tcBorders>
              <w:top w:val="single" w:sz="4" w:space="0" w:color="auto"/>
              <w:left w:val="single" w:sz="4" w:space="0" w:color="auto"/>
              <w:bottom w:val="single" w:sz="4" w:space="0" w:color="auto"/>
              <w:right w:val="single" w:sz="4" w:space="0" w:color="auto"/>
            </w:tcBorders>
            <w:vAlign w:val="center"/>
          </w:tcPr>
          <w:p w14:paraId="03F980A1" w14:textId="77777777" w:rsidR="005E000F" w:rsidRDefault="00000000">
            <w:r>
              <w:rPr>
                <w:rFonts w:hint="eastAsia"/>
              </w:rPr>
              <w:t>净利润</w:t>
            </w:r>
          </w:p>
        </w:tc>
        <w:tc>
          <w:tcPr>
            <w:tcW w:w="2799" w:type="dxa"/>
            <w:tcBorders>
              <w:top w:val="outset" w:sz="4" w:space="0" w:color="auto"/>
              <w:left w:val="single" w:sz="4" w:space="0" w:color="auto"/>
              <w:bottom w:val="outset" w:sz="4" w:space="0" w:color="auto"/>
              <w:right w:val="outset" w:sz="4" w:space="0" w:color="auto"/>
            </w:tcBorders>
            <w:vAlign w:val="center"/>
          </w:tcPr>
          <w:p w14:paraId="15C85C82" w14:textId="77777777" w:rsidR="005E000F" w:rsidRDefault="00000000">
            <w:pPr>
              <w:jc w:val="right"/>
            </w:pPr>
            <w:r>
              <w:t>6,849,036,319</w:t>
            </w:r>
          </w:p>
        </w:tc>
        <w:tc>
          <w:tcPr>
            <w:tcW w:w="2768" w:type="dxa"/>
            <w:tcBorders>
              <w:top w:val="outset" w:sz="4" w:space="0" w:color="auto"/>
              <w:left w:val="outset" w:sz="4" w:space="0" w:color="auto"/>
              <w:bottom w:val="outset" w:sz="4" w:space="0" w:color="auto"/>
              <w:right w:val="outset" w:sz="4" w:space="0" w:color="auto"/>
            </w:tcBorders>
            <w:vAlign w:val="center"/>
          </w:tcPr>
          <w:p w14:paraId="4291ADA9" w14:textId="77777777" w:rsidR="005E000F" w:rsidRDefault="00000000">
            <w:pPr>
              <w:jc w:val="right"/>
              <w:rPr>
                <w:lang w:eastAsia="en-US"/>
              </w:rPr>
            </w:pPr>
            <w:r>
              <w:t>10,274,289,933</w:t>
            </w:r>
          </w:p>
        </w:tc>
      </w:tr>
      <w:tr w:rsidR="005E000F" w14:paraId="532C7CF9" w14:textId="77777777">
        <w:tc>
          <w:tcPr>
            <w:tcW w:w="3482" w:type="dxa"/>
            <w:tcBorders>
              <w:top w:val="single" w:sz="4" w:space="0" w:color="auto"/>
              <w:left w:val="single" w:sz="4" w:space="0" w:color="auto"/>
              <w:bottom w:val="single" w:sz="4" w:space="0" w:color="auto"/>
              <w:right w:val="single" w:sz="4" w:space="0" w:color="auto"/>
            </w:tcBorders>
            <w:vAlign w:val="center"/>
          </w:tcPr>
          <w:p w14:paraId="05408E8B" w14:textId="77777777" w:rsidR="005E000F" w:rsidRDefault="00000000">
            <w:r>
              <w:rPr>
                <w:rFonts w:hint="eastAsia"/>
              </w:rPr>
              <w:t>加：资产减值准备</w:t>
            </w:r>
          </w:p>
        </w:tc>
        <w:tc>
          <w:tcPr>
            <w:tcW w:w="2799" w:type="dxa"/>
            <w:tcBorders>
              <w:top w:val="outset" w:sz="4" w:space="0" w:color="auto"/>
              <w:left w:val="single" w:sz="4" w:space="0" w:color="auto"/>
              <w:bottom w:val="outset" w:sz="4" w:space="0" w:color="auto"/>
              <w:right w:val="outset" w:sz="4" w:space="0" w:color="auto"/>
            </w:tcBorders>
            <w:vAlign w:val="center"/>
          </w:tcPr>
          <w:p w14:paraId="18A9246B" w14:textId="77777777" w:rsidR="005E000F" w:rsidRDefault="00000000">
            <w:pPr>
              <w:jc w:val="right"/>
            </w:pPr>
            <w:r>
              <w:t>6,568,260</w:t>
            </w:r>
          </w:p>
        </w:tc>
        <w:tc>
          <w:tcPr>
            <w:tcW w:w="2768" w:type="dxa"/>
            <w:tcBorders>
              <w:top w:val="outset" w:sz="4" w:space="0" w:color="auto"/>
              <w:left w:val="outset" w:sz="4" w:space="0" w:color="auto"/>
              <w:bottom w:val="outset" w:sz="4" w:space="0" w:color="auto"/>
              <w:right w:val="outset" w:sz="4" w:space="0" w:color="auto"/>
            </w:tcBorders>
            <w:vAlign w:val="center"/>
          </w:tcPr>
          <w:p w14:paraId="2BE6E002" w14:textId="77777777" w:rsidR="005E000F" w:rsidRDefault="00000000">
            <w:pPr>
              <w:jc w:val="right"/>
              <w:rPr>
                <w:lang w:eastAsia="en-US"/>
              </w:rPr>
            </w:pPr>
            <w:r>
              <w:t>0</w:t>
            </w:r>
          </w:p>
        </w:tc>
      </w:tr>
      <w:tr w:rsidR="005E000F" w14:paraId="5409B2B7" w14:textId="77777777">
        <w:tc>
          <w:tcPr>
            <w:tcW w:w="3482" w:type="dxa"/>
            <w:tcBorders>
              <w:top w:val="single" w:sz="4" w:space="0" w:color="auto"/>
              <w:left w:val="single" w:sz="4" w:space="0" w:color="auto"/>
              <w:bottom w:val="single" w:sz="4" w:space="0" w:color="auto"/>
              <w:right w:val="single" w:sz="4" w:space="0" w:color="auto"/>
            </w:tcBorders>
            <w:vAlign w:val="center"/>
          </w:tcPr>
          <w:p w14:paraId="6CC34AE6" w14:textId="77777777" w:rsidR="005E000F" w:rsidRDefault="00000000">
            <w:r>
              <w:rPr>
                <w:rFonts w:hint="eastAsia"/>
              </w:rPr>
              <w:t>信用减值损失</w:t>
            </w:r>
          </w:p>
        </w:tc>
        <w:tc>
          <w:tcPr>
            <w:tcW w:w="2799" w:type="dxa"/>
            <w:tcBorders>
              <w:top w:val="outset" w:sz="4" w:space="0" w:color="auto"/>
              <w:left w:val="single" w:sz="4" w:space="0" w:color="auto"/>
              <w:bottom w:val="outset" w:sz="4" w:space="0" w:color="auto"/>
              <w:right w:val="outset" w:sz="4" w:space="0" w:color="auto"/>
            </w:tcBorders>
            <w:vAlign w:val="center"/>
          </w:tcPr>
          <w:p w14:paraId="1B1D4FB8" w14:textId="77777777" w:rsidR="005E000F" w:rsidRDefault="00000000">
            <w:pPr>
              <w:jc w:val="right"/>
            </w:pPr>
            <w:r>
              <w:t>-53,249,803</w:t>
            </w:r>
          </w:p>
        </w:tc>
        <w:tc>
          <w:tcPr>
            <w:tcW w:w="2768" w:type="dxa"/>
            <w:tcBorders>
              <w:top w:val="outset" w:sz="4" w:space="0" w:color="auto"/>
              <w:left w:val="outset" w:sz="4" w:space="0" w:color="auto"/>
              <w:bottom w:val="outset" w:sz="4" w:space="0" w:color="auto"/>
              <w:right w:val="outset" w:sz="4" w:space="0" w:color="auto"/>
            </w:tcBorders>
            <w:vAlign w:val="center"/>
          </w:tcPr>
          <w:p w14:paraId="4E880A8D" w14:textId="77777777" w:rsidR="005E000F" w:rsidRDefault="00000000">
            <w:pPr>
              <w:jc w:val="right"/>
              <w:rPr>
                <w:lang w:eastAsia="en-US"/>
              </w:rPr>
            </w:pPr>
            <w:r>
              <w:t>-51,837,204</w:t>
            </w:r>
          </w:p>
        </w:tc>
      </w:tr>
      <w:tr w:rsidR="005E000F" w14:paraId="3FF21A67" w14:textId="77777777">
        <w:tc>
          <w:tcPr>
            <w:tcW w:w="3482" w:type="dxa"/>
            <w:tcBorders>
              <w:top w:val="single" w:sz="4" w:space="0" w:color="auto"/>
              <w:left w:val="single" w:sz="4" w:space="0" w:color="auto"/>
              <w:bottom w:val="single" w:sz="4" w:space="0" w:color="auto"/>
              <w:right w:val="single" w:sz="4" w:space="0" w:color="auto"/>
            </w:tcBorders>
            <w:vAlign w:val="center"/>
          </w:tcPr>
          <w:p w14:paraId="1319FB1D" w14:textId="77777777" w:rsidR="005E000F" w:rsidRDefault="00000000">
            <w:r>
              <w:rPr>
                <w:rFonts w:hint="eastAsia"/>
              </w:rPr>
              <w:t>固定资产折旧</w:t>
            </w:r>
          </w:p>
        </w:tc>
        <w:tc>
          <w:tcPr>
            <w:tcW w:w="2799" w:type="dxa"/>
            <w:tcBorders>
              <w:top w:val="outset" w:sz="4" w:space="0" w:color="auto"/>
              <w:left w:val="single" w:sz="4" w:space="0" w:color="auto"/>
              <w:bottom w:val="outset" w:sz="4" w:space="0" w:color="auto"/>
              <w:right w:val="outset" w:sz="4" w:space="0" w:color="auto"/>
            </w:tcBorders>
            <w:vAlign w:val="center"/>
          </w:tcPr>
          <w:p w14:paraId="66C338D6" w14:textId="77777777" w:rsidR="005E000F" w:rsidRDefault="00000000">
            <w:pPr>
              <w:jc w:val="right"/>
            </w:pPr>
            <w:r>
              <w:t>5,1</w:t>
            </w:r>
            <w:r>
              <w:rPr>
                <w:rFonts w:hint="eastAsia"/>
              </w:rPr>
              <w:t>51</w:t>
            </w:r>
            <w:r>
              <w:t>,</w:t>
            </w:r>
            <w:r>
              <w:rPr>
                <w:rFonts w:hint="eastAsia"/>
              </w:rPr>
              <w:t>09</w:t>
            </w:r>
            <w:r>
              <w:t>7,</w:t>
            </w:r>
            <w:r>
              <w:rPr>
                <w:rFonts w:hint="eastAsia"/>
              </w:rPr>
              <w:t>500</w:t>
            </w:r>
          </w:p>
        </w:tc>
        <w:tc>
          <w:tcPr>
            <w:tcW w:w="2768" w:type="dxa"/>
            <w:tcBorders>
              <w:top w:val="outset" w:sz="4" w:space="0" w:color="auto"/>
              <w:left w:val="outset" w:sz="4" w:space="0" w:color="auto"/>
              <w:bottom w:val="outset" w:sz="4" w:space="0" w:color="auto"/>
              <w:right w:val="outset" w:sz="4" w:space="0" w:color="auto"/>
            </w:tcBorders>
            <w:vAlign w:val="center"/>
          </w:tcPr>
          <w:p w14:paraId="6A685783" w14:textId="77777777" w:rsidR="005E000F" w:rsidRDefault="00000000">
            <w:pPr>
              <w:jc w:val="right"/>
              <w:rPr>
                <w:lang w:eastAsia="en-US"/>
              </w:rPr>
            </w:pPr>
            <w:r>
              <w:t>5,299,361,725</w:t>
            </w:r>
          </w:p>
        </w:tc>
      </w:tr>
      <w:tr w:rsidR="005E000F" w14:paraId="700B7722" w14:textId="77777777">
        <w:tc>
          <w:tcPr>
            <w:tcW w:w="3482" w:type="dxa"/>
            <w:tcBorders>
              <w:top w:val="single" w:sz="4" w:space="0" w:color="auto"/>
              <w:left w:val="single" w:sz="4" w:space="0" w:color="auto"/>
              <w:bottom w:val="single" w:sz="4" w:space="0" w:color="auto"/>
              <w:right w:val="single" w:sz="4" w:space="0" w:color="auto"/>
            </w:tcBorders>
            <w:vAlign w:val="center"/>
          </w:tcPr>
          <w:p w14:paraId="45EBA4C7" w14:textId="77777777" w:rsidR="005E000F" w:rsidRDefault="00000000">
            <w:r>
              <w:rPr>
                <w:rFonts w:hint="eastAsia"/>
              </w:rPr>
              <w:t>使用权资产摊销</w:t>
            </w:r>
          </w:p>
        </w:tc>
        <w:tc>
          <w:tcPr>
            <w:tcW w:w="2799" w:type="dxa"/>
            <w:tcBorders>
              <w:top w:val="outset" w:sz="4" w:space="0" w:color="auto"/>
              <w:left w:val="single" w:sz="4" w:space="0" w:color="auto"/>
              <w:bottom w:val="outset" w:sz="4" w:space="0" w:color="auto"/>
              <w:right w:val="outset" w:sz="4" w:space="0" w:color="auto"/>
            </w:tcBorders>
            <w:vAlign w:val="center"/>
          </w:tcPr>
          <w:p w14:paraId="7C1D4B71" w14:textId="77777777" w:rsidR="005E000F" w:rsidRDefault="00000000">
            <w:pPr>
              <w:jc w:val="right"/>
            </w:pPr>
            <w:r>
              <w:t>253,469,210</w:t>
            </w:r>
          </w:p>
        </w:tc>
        <w:tc>
          <w:tcPr>
            <w:tcW w:w="2768" w:type="dxa"/>
            <w:tcBorders>
              <w:top w:val="outset" w:sz="4" w:space="0" w:color="auto"/>
              <w:left w:val="outset" w:sz="4" w:space="0" w:color="auto"/>
              <w:bottom w:val="outset" w:sz="4" w:space="0" w:color="auto"/>
              <w:right w:val="outset" w:sz="4" w:space="0" w:color="auto"/>
            </w:tcBorders>
            <w:vAlign w:val="center"/>
          </w:tcPr>
          <w:p w14:paraId="0AE43680" w14:textId="77777777" w:rsidR="005E000F" w:rsidRDefault="00000000">
            <w:pPr>
              <w:jc w:val="right"/>
              <w:rPr>
                <w:lang w:eastAsia="en-US"/>
              </w:rPr>
            </w:pPr>
            <w:r>
              <w:t>252,779,092</w:t>
            </w:r>
          </w:p>
        </w:tc>
      </w:tr>
      <w:tr w:rsidR="005E000F" w14:paraId="18523143" w14:textId="77777777">
        <w:tc>
          <w:tcPr>
            <w:tcW w:w="3482" w:type="dxa"/>
            <w:tcBorders>
              <w:top w:val="single" w:sz="4" w:space="0" w:color="auto"/>
              <w:left w:val="single" w:sz="4" w:space="0" w:color="auto"/>
              <w:bottom w:val="single" w:sz="4" w:space="0" w:color="auto"/>
              <w:right w:val="single" w:sz="4" w:space="0" w:color="auto"/>
            </w:tcBorders>
            <w:vAlign w:val="center"/>
          </w:tcPr>
          <w:p w14:paraId="02E63AC2" w14:textId="77777777" w:rsidR="005E000F" w:rsidRDefault="00000000">
            <w:r>
              <w:rPr>
                <w:rFonts w:hint="eastAsia"/>
              </w:rPr>
              <w:t>无形资产摊销</w:t>
            </w:r>
          </w:p>
        </w:tc>
        <w:tc>
          <w:tcPr>
            <w:tcW w:w="2799" w:type="dxa"/>
            <w:tcBorders>
              <w:top w:val="outset" w:sz="4" w:space="0" w:color="auto"/>
              <w:left w:val="single" w:sz="4" w:space="0" w:color="auto"/>
              <w:bottom w:val="outset" w:sz="4" w:space="0" w:color="auto"/>
              <w:right w:val="outset" w:sz="4" w:space="0" w:color="auto"/>
            </w:tcBorders>
            <w:vAlign w:val="center"/>
          </w:tcPr>
          <w:p w14:paraId="5568CB10" w14:textId="77777777" w:rsidR="005E000F" w:rsidRDefault="00000000">
            <w:pPr>
              <w:jc w:val="right"/>
            </w:pPr>
            <w:r>
              <w:t>315,696,903</w:t>
            </w:r>
          </w:p>
        </w:tc>
        <w:tc>
          <w:tcPr>
            <w:tcW w:w="2768" w:type="dxa"/>
            <w:tcBorders>
              <w:top w:val="outset" w:sz="4" w:space="0" w:color="auto"/>
              <w:left w:val="outset" w:sz="4" w:space="0" w:color="auto"/>
              <w:bottom w:val="outset" w:sz="4" w:space="0" w:color="auto"/>
              <w:right w:val="outset" w:sz="4" w:space="0" w:color="auto"/>
            </w:tcBorders>
            <w:vAlign w:val="center"/>
          </w:tcPr>
          <w:p w14:paraId="3043138F" w14:textId="77777777" w:rsidR="005E000F" w:rsidRDefault="00000000">
            <w:pPr>
              <w:jc w:val="right"/>
              <w:rPr>
                <w:lang w:eastAsia="en-US"/>
              </w:rPr>
            </w:pPr>
            <w:r>
              <w:t>146,883,505</w:t>
            </w:r>
          </w:p>
        </w:tc>
      </w:tr>
      <w:tr w:rsidR="005E000F" w14:paraId="153B8ACB" w14:textId="77777777">
        <w:tc>
          <w:tcPr>
            <w:tcW w:w="3482" w:type="dxa"/>
            <w:tcBorders>
              <w:top w:val="single" w:sz="4" w:space="0" w:color="auto"/>
              <w:left w:val="single" w:sz="4" w:space="0" w:color="auto"/>
              <w:bottom w:val="single" w:sz="4" w:space="0" w:color="auto"/>
              <w:right w:val="single" w:sz="4" w:space="0" w:color="auto"/>
            </w:tcBorders>
            <w:vAlign w:val="center"/>
          </w:tcPr>
          <w:p w14:paraId="2438A8CA" w14:textId="77777777" w:rsidR="005E000F" w:rsidRDefault="00000000">
            <w:r>
              <w:rPr>
                <w:rFonts w:hint="eastAsia"/>
              </w:rPr>
              <w:t>长期待摊费用摊销</w:t>
            </w:r>
          </w:p>
        </w:tc>
        <w:tc>
          <w:tcPr>
            <w:tcW w:w="2799" w:type="dxa"/>
            <w:tcBorders>
              <w:top w:val="outset" w:sz="4" w:space="0" w:color="auto"/>
              <w:left w:val="single" w:sz="4" w:space="0" w:color="auto"/>
              <w:bottom w:val="outset" w:sz="4" w:space="0" w:color="auto"/>
              <w:right w:val="outset" w:sz="4" w:space="0" w:color="auto"/>
            </w:tcBorders>
            <w:vAlign w:val="center"/>
          </w:tcPr>
          <w:p w14:paraId="2CB011DE" w14:textId="77777777" w:rsidR="005E000F" w:rsidRDefault="00000000">
            <w:pPr>
              <w:jc w:val="right"/>
            </w:pPr>
            <w:r>
              <w:t>132,589,944</w:t>
            </w:r>
          </w:p>
        </w:tc>
        <w:tc>
          <w:tcPr>
            <w:tcW w:w="2768" w:type="dxa"/>
            <w:tcBorders>
              <w:top w:val="outset" w:sz="4" w:space="0" w:color="auto"/>
              <w:left w:val="outset" w:sz="4" w:space="0" w:color="auto"/>
              <w:bottom w:val="outset" w:sz="4" w:space="0" w:color="auto"/>
              <w:right w:val="outset" w:sz="4" w:space="0" w:color="auto"/>
            </w:tcBorders>
            <w:vAlign w:val="center"/>
          </w:tcPr>
          <w:p w14:paraId="79AA4C3C" w14:textId="77777777" w:rsidR="005E000F" w:rsidRDefault="00000000">
            <w:pPr>
              <w:jc w:val="right"/>
              <w:rPr>
                <w:lang w:eastAsia="en-US"/>
              </w:rPr>
            </w:pPr>
            <w:r>
              <w:t>44,734,399</w:t>
            </w:r>
          </w:p>
        </w:tc>
      </w:tr>
      <w:tr w:rsidR="005E000F" w14:paraId="6F6840DD" w14:textId="77777777">
        <w:tc>
          <w:tcPr>
            <w:tcW w:w="3482" w:type="dxa"/>
            <w:tcBorders>
              <w:top w:val="single" w:sz="4" w:space="0" w:color="auto"/>
              <w:left w:val="single" w:sz="4" w:space="0" w:color="auto"/>
              <w:bottom w:val="single" w:sz="4" w:space="0" w:color="auto"/>
              <w:right w:val="single" w:sz="4" w:space="0" w:color="auto"/>
            </w:tcBorders>
            <w:vAlign w:val="center"/>
          </w:tcPr>
          <w:p w14:paraId="28483DED" w14:textId="77777777" w:rsidR="005E000F" w:rsidRDefault="00000000">
            <w:r>
              <w:rPr>
                <w:rFonts w:hint="eastAsia"/>
              </w:rPr>
              <w:t>处置固定资产、无形资产和其他长期资产的损失（收益以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767C7F11" w14:textId="77777777" w:rsidR="005E000F" w:rsidRDefault="00000000">
            <w:pPr>
              <w:jc w:val="right"/>
            </w:pPr>
            <w:r>
              <w:t>-936,847</w:t>
            </w:r>
          </w:p>
        </w:tc>
        <w:tc>
          <w:tcPr>
            <w:tcW w:w="2768" w:type="dxa"/>
            <w:tcBorders>
              <w:top w:val="outset" w:sz="4" w:space="0" w:color="auto"/>
              <w:left w:val="outset" w:sz="4" w:space="0" w:color="auto"/>
              <w:bottom w:val="outset" w:sz="4" w:space="0" w:color="auto"/>
              <w:right w:val="outset" w:sz="4" w:space="0" w:color="auto"/>
            </w:tcBorders>
            <w:vAlign w:val="center"/>
          </w:tcPr>
          <w:p w14:paraId="2123A471" w14:textId="77777777" w:rsidR="005E000F" w:rsidRDefault="00000000">
            <w:pPr>
              <w:jc w:val="right"/>
              <w:rPr>
                <w:lang w:eastAsia="en-US"/>
              </w:rPr>
            </w:pPr>
            <w:r>
              <w:t>61,611,753</w:t>
            </w:r>
          </w:p>
        </w:tc>
      </w:tr>
      <w:tr w:rsidR="005E000F" w14:paraId="516D3CD6" w14:textId="77777777">
        <w:tc>
          <w:tcPr>
            <w:tcW w:w="3482" w:type="dxa"/>
            <w:tcBorders>
              <w:top w:val="single" w:sz="4" w:space="0" w:color="auto"/>
              <w:left w:val="single" w:sz="4" w:space="0" w:color="auto"/>
              <w:bottom w:val="single" w:sz="4" w:space="0" w:color="auto"/>
              <w:right w:val="single" w:sz="4" w:space="0" w:color="auto"/>
            </w:tcBorders>
            <w:vAlign w:val="center"/>
          </w:tcPr>
          <w:p w14:paraId="0D8D58DF" w14:textId="77777777" w:rsidR="005E000F" w:rsidRDefault="00000000">
            <w:r>
              <w:rPr>
                <w:rFonts w:hint="eastAsia"/>
              </w:rPr>
              <w:t>固定资产报废损失（收益以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02971CC9" w14:textId="77777777" w:rsidR="005E000F" w:rsidRDefault="00000000">
            <w:pPr>
              <w:jc w:val="right"/>
            </w:pPr>
            <w:r>
              <w:t>15,548,894</w:t>
            </w:r>
          </w:p>
        </w:tc>
        <w:tc>
          <w:tcPr>
            <w:tcW w:w="2768" w:type="dxa"/>
            <w:tcBorders>
              <w:top w:val="outset" w:sz="4" w:space="0" w:color="auto"/>
              <w:left w:val="outset" w:sz="4" w:space="0" w:color="auto"/>
              <w:bottom w:val="outset" w:sz="4" w:space="0" w:color="auto"/>
              <w:right w:val="outset" w:sz="4" w:space="0" w:color="auto"/>
            </w:tcBorders>
            <w:vAlign w:val="center"/>
          </w:tcPr>
          <w:p w14:paraId="7A380037" w14:textId="77777777" w:rsidR="005E000F" w:rsidRDefault="00000000">
            <w:pPr>
              <w:jc w:val="right"/>
              <w:rPr>
                <w:lang w:eastAsia="en-US"/>
              </w:rPr>
            </w:pPr>
            <w:r>
              <w:t>0</w:t>
            </w:r>
          </w:p>
        </w:tc>
      </w:tr>
      <w:tr w:rsidR="005E000F" w14:paraId="511E05C0" w14:textId="77777777">
        <w:tc>
          <w:tcPr>
            <w:tcW w:w="3482" w:type="dxa"/>
            <w:tcBorders>
              <w:top w:val="single" w:sz="4" w:space="0" w:color="auto"/>
              <w:left w:val="single" w:sz="4" w:space="0" w:color="auto"/>
              <w:bottom w:val="single" w:sz="4" w:space="0" w:color="auto"/>
              <w:right w:val="single" w:sz="4" w:space="0" w:color="auto"/>
            </w:tcBorders>
            <w:vAlign w:val="center"/>
          </w:tcPr>
          <w:p w14:paraId="66C3BC13" w14:textId="77777777" w:rsidR="005E000F" w:rsidRDefault="00000000">
            <w:r>
              <w:rPr>
                <w:rFonts w:hint="eastAsia"/>
              </w:rPr>
              <w:t>公允价值变动损失（收益以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7E13190A" w14:textId="77777777" w:rsidR="005E000F" w:rsidRDefault="00000000">
            <w:pPr>
              <w:jc w:val="right"/>
            </w:pPr>
            <w:r>
              <w:t>0</w:t>
            </w:r>
          </w:p>
        </w:tc>
        <w:tc>
          <w:tcPr>
            <w:tcW w:w="2768" w:type="dxa"/>
            <w:tcBorders>
              <w:top w:val="outset" w:sz="4" w:space="0" w:color="auto"/>
              <w:left w:val="outset" w:sz="4" w:space="0" w:color="auto"/>
              <w:bottom w:val="outset" w:sz="4" w:space="0" w:color="auto"/>
              <w:right w:val="outset" w:sz="4" w:space="0" w:color="auto"/>
            </w:tcBorders>
            <w:vAlign w:val="center"/>
          </w:tcPr>
          <w:p w14:paraId="3DB4834D" w14:textId="77777777" w:rsidR="005E000F" w:rsidRDefault="00000000">
            <w:pPr>
              <w:jc w:val="right"/>
              <w:rPr>
                <w:lang w:eastAsia="en-US"/>
              </w:rPr>
            </w:pPr>
            <w:r>
              <w:t>0</w:t>
            </w:r>
          </w:p>
        </w:tc>
      </w:tr>
      <w:tr w:rsidR="005E000F" w14:paraId="73729662" w14:textId="77777777">
        <w:tc>
          <w:tcPr>
            <w:tcW w:w="3482" w:type="dxa"/>
            <w:tcBorders>
              <w:top w:val="single" w:sz="4" w:space="0" w:color="auto"/>
              <w:left w:val="single" w:sz="4" w:space="0" w:color="auto"/>
              <w:bottom w:val="single" w:sz="4" w:space="0" w:color="auto"/>
              <w:right w:val="single" w:sz="4" w:space="0" w:color="auto"/>
            </w:tcBorders>
            <w:vAlign w:val="center"/>
          </w:tcPr>
          <w:p w14:paraId="07CF7C5B" w14:textId="77777777" w:rsidR="005E000F" w:rsidRDefault="00000000">
            <w:r>
              <w:rPr>
                <w:rFonts w:hint="eastAsia"/>
              </w:rPr>
              <w:t>财务费用（收益以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3DE26E39" w14:textId="77777777" w:rsidR="005E000F" w:rsidRDefault="00000000">
            <w:pPr>
              <w:jc w:val="right"/>
            </w:pPr>
            <w:r>
              <w:rPr>
                <w:rFonts w:hint="eastAsia"/>
              </w:rPr>
              <w:t>-366,431,328</w:t>
            </w:r>
          </w:p>
        </w:tc>
        <w:tc>
          <w:tcPr>
            <w:tcW w:w="2768" w:type="dxa"/>
            <w:tcBorders>
              <w:top w:val="outset" w:sz="4" w:space="0" w:color="auto"/>
              <w:left w:val="outset" w:sz="4" w:space="0" w:color="auto"/>
              <w:bottom w:val="outset" w:sz="4" w:space="0" w:color="auto"/>
              <w:right w:val="outset" w:sz="4" w:space="0" w:color="auto"/>
            </w:tcBorders>
            <w:vAlign w:val="center"/>
          </w:tcPr>
          <w:p w14:paraId="32AB5F45" w14:textId="77777777" w:rsidR="005E000F" w:rsidRDefault="00000000">
            <w:pPr>
              <w:jc w:val="right"/>
              <w:rPr>
                <w:lang w:eastAsia="en-US"/>
              </w:rPr>
            </w:pPr>
            <w:r>
              <w:rPr>
                <w:rFonts w:hint="eastAsia"/>
              </w:rPr>
              <w:t>-58,208,110</w:t>
            </w:r>
          </w:p>
        </w:tc>
      </w:tr>
      <w:tr w:rsidR="005E000F" w14:paraId="04D00FB9" w14:textId="77777777">
        <w:tc>
          <w:tcPr>
            <w:tcW w:w="3482" w:type="dxa"/>
            <w:tcBorders>
              <w:top w:val="single" w:sz="4" w:space="0" w:color="auto"/>
              <w:left w:val="single" w:sz="4" w:space="0" w:color="auto"/>
              <w:bottom w:val="single" w:sz="4" w:space="0" w:color="auto"/>
              <w:right w:val="single" w:sz="4" w:space="0" w:color="auto"/>
            </w:tcBorders>
            <w:vAlign w:val="center"/>
          </w:tcPr>
          <w:p w14:paraId="0E000FE9" w14:textId="77777777" w:rsidR="005E000F" w:rsidRDefault="00000000">
            <w:r>
              <w:rPr>
                <w:rFonts w:hint="eastAsia"/>
              </w:rPr>
              <w:t>投资损失（收益以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336F1D1C" w14:textId="77777777" w:rsidR="005E000F" w:rsidRDefault="00000000">
            <w:pPr>
              <w:jc w:val="right"/>
            </w:pPr>
            <w:r>
              <w:rPr>
                <w:rFonts w:hint="eastAsia"/>
              </w:rPr>
              <w:t>-2,741,531,845</w:t>
            </w:r>
          </w:p>
        </w:tc>
        <w:tc>
          <w:tcPr>
            <w:tcW w:w="2768" w:type="dxa"/>
            <w:tcBorders>
              <w:top w:val="outset" w:sz="4" w:space="0" w:color="auto"/>
              <w:left w:val="outset" w:sz="4" w:space="0" w:color="auto"/>
              <w:bottom w:val="outset" w:sz="4" w:space="0" w:color="auto"/>
              <w:right w:val="outset" w:sz="4" w:space="0" w:color="auto"/>
            </w:tcBorders>
            <w:vAlign w:val="center"/>
          </w:tcPr>
          <w:p w14:paraId="48BC8F3E" w14:textId="77777777" w:rsidR="005E000F" w:rsidRDefault="00000000">
            <w:pPr>
              <w:jc w:val="right"/>
              <w:rPr>
                <w:lang w:eastAsia="en-US"/>
              </w:rPr>
            </w:pPr>
            <w:r>
              <w:rPr>
                <w:rFonts w:hint="eastAsia"/>
              </w:rPr>
              <w:t>-2,781,563,723</w:t>
            </w:r>
          </w:p>
        </w:tc>
      </w:tr>
      <w:tr w:rsidR="005E000F" w14:paraId="75A7FCFC" w14:textId="77777777">
        <w:tc>
          <w:tcPr>
            <w:tcW w:w="3482" w:type="dxa"/>
            <w:tcBorders>
              <w:top w:val="single" w:sz="4" w:space="0" w:color="auto"/>
              <w:left w:val="single" w:sz="4" w:space="0" w:color="auto"/>
              <w:bottom w:val="single" w:sz="4" w:space="0" w:color="auto"/>
              <w:right w:val="single" w:sz="4" w:space="0" w:color="auto"/>
            </w:tcBorders>
            <w:vAlign w:val="center"/>
          </w:tcPr>
          <w:p w14:paraId="3CF7E9A6" w14:textId="77777777" w:rsidR="005E000F" w:rsidRDefault="00000000">
            <w:r>
              <w:rPr>
                <w:rFonts w:hint="eastAsia"/>
              </w:rPr>
              <w:t>递延所得税资产减少（增加以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0DCB5D0D" w14:textId="77777777" w:rsidR="005E000F" w:rsidRDefault="00000000">
            <w:pPr>
              <w:jc w:val="right"/>
            </w:pPr>
            <w:r>
              <w:rPr>
                <w:rFonts w:hint="eastAsia"/>
              </w:rPr>
              <w:t>-2,367,628</w:t>
            </w:r>
          </w:p>
        </w:tc>
        <w:tc>
          <w:tcPr>
            <w:tcW w:w="2768" w:type="dxa"/>
            <w:tcBorders>
              <w:top w:val="outset" w:sz="4" w:space="0" w:color="auto"/>
              <w:left w:val="outset" w:sz="4" w:space="0" w:color="auto"/>
              <w:bottom w:val="outset" w:sz="4" w:space="0" w:color="auto"/>
              <w:right w:val="outset" w:sz="4" w:space="0" w:color="auto"/>
            </w:tcBorders>
            <w:vAlign w:val="center"/>
          </w:tcPr>
          <w:p w14:paraId="4DBD63BC" w14:textId="77777777" w:rsidR="005E000F" w:rsidRDefault="00000000">
            <w:pPr>
              <w:jc w:val="right"/>
              <w:rPr>
                <w:lang w:eastAsia="en-US"/>
              </w:rPr>
            </w:pPr>
            <w:r>
              <w:rPr>
                <w:rFonts w:hint="eastAsia"/>
              </w:rPr>
              <w:t>39,784,611</w:t>
            </w:r>
          </w:p>
        </w:tc>
      </w:tr>
      <w:tr w:rsidR="005E000F" w14:paraId="35F15EAF" w14:textId="77777777">
        <w:tc>
          <w:tcPr>
            <w:tcW w:w="3482" w:type="dxa"/>
            <w:tcBorders>
              <w:top w:val="single" w:sz="4" w:space="0" w:color="auto"/>
              <w:left w:val="single" w:sz="4" w:space="0" w:color="auto"/>
              <w:bottom w:val="single" w:sz="4" w:space="0" w:color="auto"/>
              <w:right w:val="single" w:sz="4" w:space="0" w:color="auto"/>
            </w:tcBorders>
            <w:vAlign w:val="center"/>
          </w:tcPr>
          <w:p w14:paraId="48A139A5" w14:textId="77777777" w:rsidR="005E000F" w:rsidRDefault="00000000">
            <w:r>
              <w:rPr>
                <w:rFonts w:hint="eastAsia"/>
              </w:rPr>
              <w:t>递延所得税负债增加（减少以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6C2D5092" w14:textId="77777777" w:rsidR="005E000F" w:rsidRDefault="00000000">
            <w:pPr>
              <w:jc w:val="right"/>
            </w:pPr>
            <w:r>
              <w:rPr>
                <w:rFonts w:hint="eastAsia"/>
              </w:rPr>
              <w:t>0</w:t>
            </w:r>
          </w:p>
        </w:tc>
        <w:tc>
          <w:tcPr>
            <w:tcW w:w="2768" w:type="dxa"/>
            <w:tcBorders>
              <w:top w:val="outset" w:sz="4" w:space="0" w:color="auto"/>
              <w:left w:val="outset" w:sz="4" w:space="0" w:color="auto"/>
              <w:bottom w:val="outset" w:sz="4" w:space="0" w:color="auto"/>
              <w:right w:val="outset" w:sz="4" w:space="0" w:color="auto"/>
            </w:tcBorders>
            <w:vAlign w:val="center"/>
          </w:tcPr>
          <w:p w14:paraId="2178E4E1" w14:textId="77777777" w:rsidR="005E000F" w:rsidRDefault="00000000">
            <w:pPr>
              <w:jc w:val="right"/>
              <w:rPr>
                <w:lang w:eastAsia="en-US"/>
              </w:rPr>
            </w:pPr>
            <w:r>
              <w:rPr>
                <w:rFonts w:hint="eastAsia"/>
              </w:rPr>
              <w:t>0</w:t>
            </w:r>
          </w:p>
        </w:tc>
      </w:tr>
      <w:tr w:rsidR="005E000F" w14:paraId="44F96294" w14:textId="77777777">
        <w:tc>
          <w:tcPr>
            <w:tcW w:w="3482" w:type="dxa"/>
            <w:tcBorders>
              <w:top w:val="single" w:sz="4" w:space="0" w:color="auto"/>
              <w:left w:val="single" w:sz="4" w:space="0" w:color="auto"/>
              <w:bottom w:val="single" w:sz="4" w:space="0" w:color="auto"/>
              <w:right w:val="single" w:sz="4" w:space="0" w:color="auto"/>
            </w:tcBorders>
            <w:vAlign w:val="center"/>
          </w:tcPr>
          <w:p w14:paraId="07CA3C57" w14:textId="77777777" w:rsidR="005E000F" w:rsidRDefault="00000000">
            <w:r>
              <w:rPr>
                <w:rFonts w:hint="eastAsia"/>
              </w:rPr>
              <w:t>存货的减少（增加以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74798422" w14:textId="77777777" w:rsidR="005E000F" w:rsidRDefault="00000000">
            <w:pPr>
              <w:jc w:val="right"/>
            </w:pPr>
            <w:r>
              <w:rPr>
                <w:rFonts w:hint="eastAsia"/>
              </w:rPr>
              <w:t>11,248,769</w:t>
            </w:r>
          </w:p>
        </w:tc>
        <w:tc>
          <w:tcPr>
            <w:tcW w:w="2768" w:type="dxa"/>
            <w:tcBorders>
              <w:top w:val="outset" w:sz="4" w:space="0" w:color="auto"/>
              <w:left w:val="outset" w:sz="4" w:space="0" w:color="auto"/>
              <w:bottom w:val="outset" w:sz="4" w:space="0" w:color="auto"/>
              <w:right w:val="outset" w:sz="4" w:space="0" w:color="auto"/>
            </w:tcBorders>
            <w:vAlign w:val="center"/>
          </w:tcPr>
          <w:p w14:paraId="74CF04D5" w14:textId="77777777" w:rsidR="005E000F" w:rsidRDefault="00000000">
            <w:pPr>
              <w:jc w:val="right"/>
              <w:rPr>
                <w:lang w:eastAsia="en-US"/>
              </w:rPr>
            </w:pPr>
            <w:r>
              <w:rPr>
                <w:rFonts w:hint="eastAsia"/>
              </w:rPr>
              <w:t>218,103,705</w:t>
            </w:r>
          </w:p>
        </w:tc>
      </w:tr>
      <w:tr w:rsidR="005E000F" w14:paraId="06EE414F" w14:textId="77777777">
        <w:tc>
          <w:tcPr>
            <w:tcW w:w="3482" w:type="dxa"/>
            <w:tcBorders>
              <w:top w:val="single" w:sz="4" w:space="0" w:color="auto"/>
              <w:left w:val="single" w:sz="4" w:space="0" w:color="auto"/>
              <w:bottom w:val="single" w:sz="4" w:space="0" w:color="auto"/>
              <w:right w:val="single" w:sz="4" w:space="0" w:color="auto"/>
            </w:tcBorders>
            <w:vAlign w:val="center"/>
          </w:tcPr>
          <w:p w14:paraId="2E47A3B4" w14:textId="77777777" w:rsidR="005E000F" w:rsidRDefault="00000000">
            <w:r>
              <w:rPr>
                <w:rFonts w:hint="eastAsia"/>
              </w:rPr>
              <w:t>经营性应收项目的减少（增加以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0D60055D" w14:textId="77777777" w:rsidR="005E000F" w:rsidRDefault="00000000">
            <w:pPr>
              <w:jc w:val="right"/>
            </w:pPr>
            <w:r>
              <w:rPr>
                <w:rFonts w:hint="eastAsia"/>
              </w:rPr>
              <w:t>-1,218,244,534</w:t>
            </w:r>
          </w:p>
        </w:tc>
        <w:tc>
          <w:tcPr>
            <w:tcW w:w="2768" w:type="dxa"/>
            <w:tcBorders>
              <w:top w:val="outset" w:sz="4" w:space="0" w:color="auto"/>
              <w:left w:val="outset" w:sz="4" w:space="0" w:color="auto"/>
              <w:bottom w:val="outset" w:sz="4" w:space="0" w:color="auto"/>
              <w:right w:val="outset" w:sz="4" w:space="0" w:color="auto"/>
            </w:tcBorders>
            <w:vAlign w:val="center"/>
          </w:tcPr>
          <w:p w14:paraId="37BA7383" w14:textId="77777777" w:rsidR="005E000F" w:rsidRDefault="00000000">
            <w:pPr>
              <w:jc w:val="right"/>
              <w:rPr>
                <w:lang w:eastAsia="en-US"/>
              </w:rPr>
            </w:pPr>
            <w:r>
              <w:rPr>
                <w:rFonts w:hint="eastAsia"/>
              </w:rPr>
              <w:t>-3,441,880,320</w:t>
            </w:r>
          </w:p>
        </w:tc>
      </w:tr>
      <w:tr w:rsidR="005E000F" w14:paraId="16EBEDC9" w14:textId="77777777">
        <w:tc>
          <w:tcPr>
            <w:tcW w:w="3482" w:type="dxa"/>
            <w:tcBorders>
              <w:top w:val="single" w:sz="4" w:space="0" w:color="auto"/>
              <w:left w:val="single" w:sz="4" w:space="0" w:color="auto"/>
              <w:bottom w:val="single" w:sz="4" w:space="0" w:color="auto"/>
              <w:right w:val="single" w:sz="4" w:space="0" w:color="auto"/>
            </w:tcBorders>
            <w:vAlign w:val="center"/>
          </w:tcPr>
          <w:p w14:paraId="7D4C2992" w14:textId="77777777" w:rsidR="005E000F" w:rsidRDefault="00000000">
            <w:r>
              <w:rPr>
                <w:rFonts w:hint="eastAsia"/>
              </w:rPr>
              <w:t>经营性应付项目的增加（减少以</w:t>
            </w:r>
            <w:r>
              <w:t>“</w:t>
            </w:r>
            <w:r>
              <w:rPr>
                <w:rFonts w:hint="eastAsia"/>
              </w:rPr>
              <w:t>－</w:t>
            </w:r>
            <w:r>
              <w:t>”</w:t>
            </w:r>
            <w:r>
              <w:rPr>
                <w:rFonts w:hint="eastAsia"/>
              </w:rPr>
              <w:t>号填列）</w:t>
            </w:r>
          </w:p>
        </w:tc>
        <w:tc>
          <w:tcPr>
            <w:tcW w:w="2799" w:type="dxa"/>
            <w:tcBorders>
              <w:top w:val="outset" w:sz="4" w:space="0" w:color="auto"/>
              <w:left w:val="single" w:sz="4" w:space="0" w:color="auto"/>
              <w:bottom w:val="outset" w:sz="4" w:space="0" w:color="auto"/>
              <w:right w:val="outset" w:sz="4" w:space="0" w:color="auto"/>
            </w:tcBorders>
            <w:vAlign w:val="center"/>
          </w:tcPr>
          <w:p w14:paraId="6DE3B6E1" w14:textId="77777777" w:rsidR="005E000F" w:rsidRDefault="00000000">
            <w:pPr>
              <w:jc w:val="right"/>
            </w:pPr>
            <w:r>
              <w:rPr>
                <w:rFonts w:hint="eastAsia"/>
              </w:rPr>
              <w:t>-4,110,955,081</w:t>
            </w:r>
          </w:p>
        </w:tc>
        <w:tc>
          <w:tcPr>
            <w:tcW w:w="2768" w:type="dxa"/>
            <w:tcBorders>
              <w:top w:val="outset" w:sz="4" w:space="0" w:color="auto"/>
              <w:left w:val="outset" w:sz="4" w:space="0" w:color="auto"/>
              <w:bottom w:val="outset" w:sz="4" w:space="0" w:color="auto"/>
              <w:right w:val="outset" w:sz="4" w:space="0" w:color="auto"/>
            </w:tcBorders>
            <w:vAlign w:val="center"/>
          </w:tcPr>
          <w:p w14:paraId="53EBC4DB" w14:textId="77777777" w:rsidR="005E000F" w:rsidRDefault="00000000">
            <w:pPr>
              <w:jc w:val="right"/>
              <w:rPr>
                <w:lang w:eastAsia="en-US"/>
              </w:rPr>
            </w:pPr>
            <w:r>
              <w:rPr>
                <w:rFonts w:hint="eastAsia"/>
              </w:rPr>
              <w:t>-1,164,435,001</w:t>
            </w:r>
          </w:p>
        </w:tc>
      </w:tr>
      <w:tr w:rsidR="005E000F" w14:paraId="662C21B0" w14:textId="77777777">
        <w:tc>
          <w:tcPr>
            <w:tcW w:w="3482" w:type="dxa"/>
            <w:tcBorders>
              <w:top w:val="single" w:sz="4" w:space="0" w:color="auto"/>
              <w:left w:val="single" w:sz="4" w:space="0" w:color="auto"/>
              <w:bottom w:val="single" w:sz="4" w:space="0" w:color="auto"/>
              <w:right w:val="single" w:sz="4" w:space="0" w:color="auto"/>
            </w:tcBorders>
            <w:vAlign w:val="center"/>
          </w:tcPr>
          <w:p w14:paraId="740E04E5" w14:textId="77777777" w:rsidR="005E000F" w:rsidRDefault="00000000">
            <w:r>
              <w:rPr>
                <w:rFonts w:hint="eastAsia"/>
              </w:rPr>
              <w:t>其他</w:t>
            </w:r>
          </w:p>
        </w:tc>
        <w:tc>
          <w:tcPr>
            <w:tcW w:w="2799" w:type="dxa"/>
            <w:tcBorders>
              <w:top w:val="outset" w:sz="4" w:space="0" w:color="auto"/>
              <w:left w:val="single" w:sz="4" w:space="0" w:color="auto"/>
              <w:bottom w:val="outset" w:sz="4" w:space="0" w:color="auto"/>
              <w:right w:val="outset" w:sz="4" w:space="0" w:color="auto"/>
            </w:tcBorders>
            <w:vAlign w:val="center"/>
          </w:tcPr>
          <w:p w14:paraId="58DEACF7" w14:textId="77777777" w:rsidR="005E000F" w:rsidRDefault="00000000">
            <w:pPr>
              <w:jc w:val="right"/>
            </w:pPr>
            <w:r>
              <w:t>745,204,446</w:t>
            </w:r>
          </w:p>
        </w:tc>
        <w:tc>
          <w:tcPr>
            <w:tcW w:w="2768" w:type="dxa"/>
            <w:tcBorders>
              <w:top w:val="outset" w:sz="4" w:space="0" w:color="auto"/>
              <w:left w:val="outset" w:sz="4" w:space="0" w:color="auto"/>
              <w:bottom w:val="outset" w:sz="4" w:space="0" w:color="auto"/>
              <w:right w:val="outset" w:sz="4" w:space="0" w:color="auto"/>
            </w:tcBorders>
            <w:vAlign w:val="center"/>
          </w:tcPr>
          <w:p w14:paraId="719E6F99" w14:textId="77777777" w:rsidR="005E000F" w:rsidRDefault="00000000">
            <w:pPr>
              <w:jc w:val="right"/>
              <w:rPr>
                <w:lang w:eastAsia="en-US"/>
              </w:rPr>
            </w:pPr>
            <w:r>
              <w:rPr>
                <w:rFonts w:hint="eastAsia"/>
              </w:rPr>
              <w:t>477,007,732</w:t>
            </w:r>
          </w:p>
        </w:tc>
      </w:tr>
      <w:tr w:rsidR="005E000F" w14:paraId="6F68EFA9" w14:textId="77777777">
        <w:tc>
          <w:tcPr>
            <w:tcW w:w="3482" w:type="dxa"/>
            <w:tcBorders>
              <w:top w:val="single" w:sz="4" w:space="0" w:color="auto"/>
              <w:left w:val="single" w:sz="4" w:space="0" w:color="auto"/>
              <w:bottom w:val="single" w:sz="4" w:space="0" w:color="auto"/>
              <w:right w:val="single" w:sz="4" w:space="0" w:color="auto"/>
            </w:tcBorders>
            <w:vAlign w:val="center"/>
          </w:tcPr>
          <w:p w14:paraId="4615465D" w14:textId="77777777" w:rsidR="005E000F" w:rsidRDefault="00000000">
            <w:r>
              <w:rPr>
                <w:rFonts w:hint="eastAsia"/>
              </w:rPr>
              <w:lastRenderedPageBreak/>
              <w:t>经营活动产生的现金流量净额</w:t>
            </w:r>
          </w:p>
        </w:tc>
        <w:tc>
          <w:tcPr>
            <w:tcW w:w="2799" w:type="dxa"/>
            <w:tcBorders>
              <w:top w:val="outset" w:sz="4" w:space="0" w:color="auto"/>
              <w:left w:val="single" w:sz="4" w:space="0" w:color="auto"/>
              <w:bottom w:val="outset" w:sz="4" w:space="0" w:color="auto"/>
              <w:right w:val="outset" w:sz="4" w:space="0" w:color="auto"/>
            </w:tcBorders>
            <w:vAlign w:val="center"/>
          </w:tcPr>
          <w:p w14:paraId="39392711" w14:textId="77777777" w:rsidR="005E000F" w:rsidRDefault="00000000">
            <w:pPr>
              <w:jc w:val="right"/>
            </w:pPr>
            <w:r>
              <w:t>4,986,743,179</w:t>
            </w:r>
          </w:p>
        </w:tc>
        <w:tc>
          <w:tcPr>
            <w:tcW w:w="2768" w:type="dxa"/>
            <w:tcBorders>
              <w:top w:val="outset" w:sz="4" w:space="0" w:color="auto"/>
              <w:left w:val="outset" w:sz="4" w:space="0" w:color="auto"/>
              <w:bottom w:val="outset" w:sz="4" w:space="0" w:color="auto"/>
              <w:right w:val="outset" w:sz="4" w:space="0" w:color="auto"/>
            </w:tcBorders>
            <w:vAlign w:val="center"/>
          </w:tcPr>
          <w:p w14:paraId="609C8360" w14:textId="77777777" w:rsidR="005E000F" w:rsidRDefault="00000000">
            <w:pPr>
              <w:jc w:val="right"/>
              <w:rPr>
                <w:lang w:eastAsia="en-US"/>
              </w:rPr>
            </w:pPr>
            <w:r>
              <w:t>9,316,632,097</w:t>
            </w:r>
          </w:p>
        </w:tc>
      </w:tr>
      <w:tr w:rsidR="005E000F" w14:paraId="68922BD9" w14:textId="77777777">
        <w:sdt>
          <w:sdtPr>
            <w:tag w:val="_PLD_4b9bf22c7a64477db916821f6ee032d7"/>
            <w:id w:val="338131515"/>
          </w:sdt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27BF14EA" w14:textId="77777777" w:rsidR="005E000F" w:rsidRDefault="00000000">
                <w:r>
                  <w:rPr>
                    <w:b/>
                    <w:bCs/>
                  </w:rPr>
                  <w:t>2</w:t>
                </w:r>
                <w:r>
                  <w:rPr>
                    <w:rFonts w:hint="eastAsia"/>
                    <w:b/>
                    <w:bCs/>
                  </w:rPr>
                  <w:t>．不涉及现金收支的重大投资和筹资活动：</w:t>
                </w:r>
              </w:p>
            </w:tc>
          </w:sdtContent>
        </w:sdt>
      </w:tr>
      <w:tr w:rsidR="005E000F" w14:paraId="67043619" w14:textId="77777777">
        <w:tc>
          <w:tcPr>
            <w:tcW w:w="3482" w:type="dxa"/>
            <w:tcBorders>
              <w:top w:val="single" w:sz="4" w:space="0" w:color="auto"/>
              <w:left w:val="single" w:sz="4" w:space="0" w:color="auto"/>
              <w:bottom w:val="single" w:sz="4" w:space="0" w:color="auto"/>
              <w:right w:val="single" w:sz="4" w:space="0" w:color="auto"/>
            </w:tcBorders>
            <w:vAlign w:val="center"/>
          </w:tcPr>
          <w:p w14:paraId="4AA911AD" w14:textId="77777777" w:rsidR="005E000F" w:rsidRDefault="00000000">
            <w:r>
              <w:rPr>
                <w:rFonts w:hint="eastAsia"/>
              </w:rPr>
              <w:t>债务转为资本</w:t>
            </w:r>
          </w:p>
        </w:tc>
        <w:tc>
          <w:tcPr>
            <w:tcW w:w="2799" w:type="dxa"/>
            <w:tcBorders>
              <w:top w:val="outset" w:sz="4" w:space="0" w:color="auto"/>
              <w:left w:val="single" w:sz="4" w:space="0" w:color="auto"/>
              <w:bottom w:val="outset" w:sz="4" w:space="0" w:color="auto"/>
              <w:right w:val="outset" w:sz="4" w:space="0" w:color="auto"/>
            </w:tcBorders>
            <w:vAlign w:val="center"/>
          </w:tcPr>
          <w:p w14:paraId="5317FEA0" w14:textId="77777777" w:rsidR="005E000F" w:rsidRDefault="00000000">
            <w:pPr>
              <w:jc w:val="right"/>
            </w:pPr>
            <w:r>
              <w:rPr>
                <w:rFonts w:hint="eastAsia"/>
              </w:rPr>
              <w:t xml:space="preserve"> 7,614,976,529</w:t>
            </w:r>
          </w:p>
        </w:tc>
        <w:tc>
          <w:tcPr>
            <w:tcW w:w="2768" w:type="dxa"/>
            <w:tcBorders>
              <w:top w:val="outset" w:sz="4" w:space="0" w:color="auto"/>
              <w:left w:val="outset" w:sz="4" w:space="0" w:color="auto"/>
              <w:bottom w:val="outset" w:sz="4" w:space="0" w:color="auto"/>
              <w:right w:val="outset" w:sz="4" w:space="0" w:color="auto"/>
            </w:tcBorders>
            <w:vAlign w:val="center"/>
          </w:tcPr>
          <w:p w14:paraId="5A9025BA" w14:textId="77777777" w:rsidR="005E000F" w:rsidRDefault="00000000">
            <w:pPr>
              <w:jc w:val="right"/>
            </w:pPr>
            <w:r>
              <w:t>18,442,953,838</w:t>
            </w:r>
          </w:p>
        </w:tc>
      </w:tr>
      <w:tr w:rsidR="005E000F" w14:paraId="2FA8E543" w14:textId="77777777">
        <w:sdt>
          <w:sdtPr>
            <w:tag w:val="_PLD_b32f2ba3b4a94101978cc22144b58749"/>
            <w:id w:val="2111002591"/>
          </w:sdtPr>
          <w:sdtContent>
            <w:tc>
              <w:tcPr>
                <w:tcW w:w="9049" w:type="dxa"/>
                <w:gridSpan w:val="3"/>
                <w:tcBorders>
                  <w:top w:val="single" w:sz="4" w:space="0" w:color="auto"/>
                  <w:left w:val="single" w:sz="4" w:space="0" w:color="auto"/>
                  <w:bottom w:val="single" w:sz="4" w:space="0" w:color="auto"/>
                  <w:right w:val="outset" w:sz="4" w:space="0" w:color="auto"/>
                </w:tcBorders>
                <w:vAlign w:val="center"/>
              </w:tcPr>
              <w:p w14:paraId="279C3BA5" w14:textId="77777777" w:rsidR="005E000F" w:rsidRDefault="00000000">
                <w:r>
                  <w:rPr>
                    <w:b/>
                    <w:bCs/>
                  </w:rPr>
                  <w:t>3</w:t>
                </w:r>
                <w:r>
                  <w:rPr>
                    <w:rFonts w:hint="eastAsia"/>
                    <w:b/>
                    <w:bCs/>
                  </w:rPr>
                  <w:t>．现金及现金等价物净变动情况：</w:t>
                </w:r>
              </w:p>
            </w:tc>
          </w:sdtContent>
        </w:sdt>
      </w:tr>
      <w:tr w:rsidR="005E000F" w14:paraId="52E57477" w14:textId="77777777">
        <w:tc>
          <w:tcPr>
            <w:tcW w:w="3482" w:type="dxa"/>
            <w:tcBorders>
              <w:top w:val="single" w:sz="4" w:space="0" w:color="auto"/>
              <w:left w:val="single" w:sz="4" w:space="0" w:color="auto"/>
              <w:bottom w:val="single" w:sz="4" w:space="0" w:color="auto"/>
              <w:right w:val="single" w:sz="4" w:space="0" w:color="auto"/>
            </w:tcBorders>
            <w:vAlign w:val="center"/>
          </w:tcPr>
          <w:p w14:paraId="7D6FF747" w14:textId="77777777" w:rsidR="005E000F" w:rsidRDefault="00000000">
            <w:bookmarkStart w:id="399" w:name="_Hlk227750503"/>
            <w:r>
              <w:rPr>
                <w:rFonts w:hint="eastAsia"/>
              </w:rPr>
              <w:t>现金的期末余额</w:t>
            </w:r>
          </w:p>
        </w:tc>
        <w:tc>
          <w:tcPr>
            <w:tcW w:w="2799" w:type="dxa"/>
            <w:tcBorders>
              <w:top w:val="outset" w:sz="4" w:space="0" w:color="auto"/>
              <w:left w:val="single" w:sz="4" w:space="0" w:color="auto"/>
              <w:bottom w:val="outset" w:sz="4" w:space="0" w:color="auto"/>
              <w:right w:val="outset" w:sz="4" w:space="0" w:color="auto"/>
            </w:tcBorders>
            <w:vAlign w:val="center"/>
          </w:tcPr>
          <w:p w14:paraId="4B6E6AFC" w14:textId="77777777" w:rsidR="005E000F" w:rsidRDefault="00000000">
            <w:pPr>
              <w:jc w:val="right"/>
            </w:pPr>
            <w:r>
              <w:t>35,834,007,083</w:t>
            </w:r>
          </w:p>
        </w:tc>
        <w:tc>
          <w:tcPr>
            <w:tcW w:w="2768" w:type="dxa"/>
            <w:tcBorders>
              <w:top w:val="outset" w:sz="4" w:space="0" w:color="auto"/>
              <w:left w:val="outset" w:sz="4" w:space="0" w:color="auto"/>
              <w:bottom w:val="outset" w:sz="4" w:space="0" w:color="auto"/>
              <w:right w:val="outset" w:sz="4" w:space="0" w:color="auto"/>
            </w:tcBorders>
            <w:vAlign w:val="center"/>
          </w:tcPr>
          <w:p w14:paraId="660B19B0" w14:textId="77777777" w:rsidR="005E000F" w:rsidRDefault="00000000">
            <w:pPr>
              <w:jc w:val="right"/>
              <w:rPr>
                <w:lang w:eastAsia="en-US"/>
              </w:rPr>
            </w:pPr>
            <w:r>
              <w:t>61,341,834,375</w:t>
            </w:r>
          </w:p>
        </w:tc>
      </w:tr>
      <w:bookmarkEnd w:id="399"/>
      <w:tr w:rsidR="005E000F" w14:paraId="7AA2DAC4" w14:textId="77777777">
        <w:tc>
          <w:tcPr>
            <w:tcW w:w="3482" w:type="dxa"/>
            <w:tcBorders>
              <w:top w:val="single" w:sz="4" w:space="0" w:color="auto"/>
              <w:left w:val="single" w:sz="4" w:space="0" w:color="auto"/>
              <w:bottom w:val="single" w:sz="4" w:space="0" w:color="auto"/>
              <w:right w:val="single" w:sz="4" w:space="0" w:color="auto"/>
            </w:tcBorders>
            <w:vAlign w:val="center"/>
          </w:tcPr>
          <w:p w14:paraId="47B1D8EA" w14:textId="77777777" w:rsidR="005E000F" w:rsidRDefault="00000000">
            <w:r>
              <w:rPr>
                <w:rFonts w:hint="eastAsia"/>
              </w:rPr>
              <w:t>减：现金的期初余额</w:t>
            </w:r>
          </w:p>
        </w:tc>
        <w:tc>
          <w:tcPr>
            <w:tcW w:w="2799" w:type="dxa"/>
            <w:tcBorders>
              <w:top w:val="outset" w:sz="4" w:space="0" w:color="auto"/>
              <w:left w:val="single" w:sz="4" w:space="0" w:color="auto"/>
              <w:bottom w:val="outset" w:sz="4" w:space="0" w:color="auto"/>
              <w:right w:val="outset" w:sz="4" w:space="0" w:color="auto"/>
            </w:tcBorders>
            <w:vAlign w:val="center"/>
          </w:tcPr>
          <w:p w14:paraId="0CDB6120" w14:textId="77777777" w:rsidR="005E000F" w:rsidRDefault="00000000">
            <w:pPr>
              <w:jc w:val="right"/>
            </w:pPr>
            <w:r>
              <w:t>61,341,834,375</w:t>
            </w:r>
          </w:p>
        </w:tc>
        <w:tc>
          <w:tcPr>
            <w:tcW w:w="2768" w:type="dxa"/>
            <w:tcBorders>
              <w:top w:val="outset" w:sz="4" w:space="0" w:color="auto"/>
              <w:left w:val="outset" w:sz="4" w:space="0" w:color="auto"/>
              <w:bottom w:val="outset" w:sz="4" w:space="0" w:color="auto"/>
              <w:right w:val="outset" w:sz="4" w:space="0" w:color="auto"/>
            </w:tcBorders>
            <w:vAlign w:val="center"/>
          </w:tcPr>
          <w:p w14:paraId="5729D37A" w14:textId="77777777" w:rsidR="005E000F" w:rsidRDefault="00000000">
            <w:pPr>
              <w:jc w:val="right"/>
              <w:rPr>
                <w:lang w:eastAsia="en-US"/>
              </w:rPr>
            </w:pPr>
            <w:r>
              <w:t>67,315,601,878</w:t>
            </w:r>
          </w:p>
        </w:tc>
      </w:tr>
      <w:tr w:rsidR="005E000F" w14:paraId="53B625C6" w14:textId="77777777">
        <w:tc>
          <w:tcPr>
            <w:tcW w:w="3482" w:type="dxa"/>
            <w:tcBorders>
              <w:top w:val="single" w:sz="4" w:space="0" w:color="auto"/>
              <w:left w:val="single" w:sz="4" w:space="0" w:color="auto"/>
              <w:bottom w:val="single" w:sz="4" w:space="0" w:color="auto"/>
              <w:right w:val="single" w:sz="4" w:space="0" w:color="auto"/>
            </w:tcBorders>
            <w:vAlign w:val="center"/>
          </w:tcPr>
          <w:p w14:paraId="54AF7D2D" w14:textId="77777777" w:rsidR="005E000F" w:rsidRDefault="00000000">
            <w:r>
              <w:rPr>
                <w:rFonts w:hint="eastAsia"/>
              </w:rPr>
              <w:t>加：现金等价物的期末余额</w:t>
            </w:r>
          </w:p>
        </w:tc>
        <w:tc>
          <w:tcPr>
            <w:tcW w:w="2799" w:type="dxa"/>
            <w:tcBorders>
              <w:top w:val="outset" w:sz="4" w:space="0" w:color="auto"/>
              <w:left w:val="single" w:sz="4" w:space="0" w:color="auto"/>
              <w:bottom w:val="outset" w:sz="4" w:space="0" w:color="auto"/>
              <w:right w:val="outset" w:sz="4" w:space="0" w:color="auto"/>
            </w:tcBorders>
            <w:vAlign w:val="center"/>
          </w:tcPr>
          <w:p w14:paraId="6B61F772" w14:textId="77777777" w:rsidR="005E000F" w:rsidRDefault="00000000">
            <w:pPr>
              <w:jc w:val="right"/>
            </w:pPr>
            <w:r>
              <w:t>0</w:t>
            </w:r>
          </w:p>
        </w:tc>
        <w:tc>
          <w:tcPr>
            <w:tcW w:w="2768" w:type="dxa"/>
            <w:tcBorders>
              <w:top w:val="outset" w:sz="4" w:space="0" w:color="auto"/>
              <w:left w:val="outset" w:sz="4" w:space="0" w:color="auto"/>
              <w:bottom w:val="outset" w:sz="4" w:space="0" w:color="auto"/>
              <w:right w:val="outset" w:sz="4" w:space="0" w:color="auto"/>
            </w:tcBorders>
            <w:vAlign w:val="center"/>
          </w:tcPr>
          <w:p w14:paraId="285EB0EC" w14:textId="77777777" w:rsidR="005E000F" w:rsidRDefault="00000000">
            <w:pPr>
              <w:jc w:val="right"/>
              <w:rPr>
                <w:lang w:eastAsia="en-US"/>
              </w:rPr>
            </w:pPr>
            <w:r>
              <w:t>0</w:t>
            </w:r>
          </w:p>
        </w:tc>
      </w:tr>
      <w:tr w:rsidR="005E000F" w14:paraId="26C291DB" w14:textId="77777777">
        <w:tc>
          <w:tcPr>
            <w:tcW w:w="3482" w:type="dxa"/>
            <w:tcBorders>
              <w:top w:val="single" w:sz="4" w:space="0" w:color="auto"/>
              <w:left w:val="single" w:sz="4" w:space="0" w:color="auto"/>
              <w:bottom w:val="single" w:sz="4" w:space="0" w:color="auto"/>
              <w:right w:val="single" w:sz="4" w:space="0" w:color="auto"/>
            </w:tcBorders>
            <w:vAlign w:val="center"/>
          </w:tcPr>
          <w:p w14:paraId="0DD4072E" w14:textId="77777777" w:rsidR="005E000F" w:rsidRDefault="00000000">
            <w:r>
              <w:rPr>
                <w:rFonts w:hint="eastAsia"/>
              </w:rPr>
              <w:t>减：现金等价物的期初余额</w:t>
            </w:r>
          </w:p>
        </w:tc>
        <w:tc>
          <w:tcPr>
            <w:tcW w:w="2799" w:type="dxa"/>
            <w:tcBorders>
              <w:top w:val="outset" w:sz="4" w:space="0" w:color="auto"/>
              <w:left w:val="single" w:sz="4" w:space="0" w:color="auto"/>
              <w:bottom w:val="outset" w:sz="4" w:space="0" w:color="auto"/>
              <w:right w:val="outset" w:sz="4" w:space="0" w:color="auto"/>
            </w:tcBorders>
            <w:vAlign w:val="center"/>
          </w:tcPr>
          <w:p w14:paraId="1A2438EB" w14:textId="77777777" w:rsidR="005E000F" w:rsidRDefault="00000000">
            <w:pPr>
              <w:jc w:val="right"/>
            </w:pPr>
            <w:r>
              <w:t>0</w:t>
            </w:r>
          </w:p>
        </w:tc>
        <w:tc>
          <w:tcPr>
            <w:tcW w:w="2768" w:type="dxa"/>
            <w:tcBorders>
              <w:top w:val="outset" w:sz="4" w:space="0" w:color="auto"/>
              <w:left w:val="outset" w:sz="4" w:space="0" w:color="auto"/>
              <w:bottom w:val="outset" w:sz="4" w:space="0" w:color="auto"/>
              <w:right w:val="outset" w:sz="4" w:space="0" w:color="auto"/>
            </w:tcBorders>
            <w:vAlign w:val="center"/>
          </w:tcPr>
          <w:p w14:paraId="7AA8549A" w14:textId="77777777" w:rsidR="005E000F" w:rsidRDefault="00000000">
            <w:pPr>
              <w:jc w:val="right"/>
              <w:rPr>
                <w:lang w:eastAsia="en-US"/>
              </w:rPr>
            </w:pPr>
            <w:r>
              <w:t>0</w:t>
            </w:r>
          </w:p>
        </w:tc>
      </w:tr>
      <w:tr w:rsidR="005E000F" w14:paraId="0EAF74EF" w14:textId="77777777">
        <w:tc>
          <w:tcPr>
            <w:tcW w:w="3482" w:type="dxa"/>
            <w:tcBorders>
              <w:top w:val="single" w:sz="4" w:space="0" w:color="auto"/>
              <w:left w:val="single" w:sz="4" w:space="0" w:color="auto"/>
              <w:bottom w:val="single" w:sz="4" w:space="0" w:color="auto"/>
              <w:right w:val="single" w:sz="4" w:space="0" w:color="auto"/>
            </w:tcBorders>
            <w:vAlign w:val="center"/>
          </w:tcPr>
          <w:p w14:paraId="1162466B" w14:textId="77777777" w:rsidR="005E000F" w:rsidRDefault="00000000">
            <w:r>
              <w:rPr>
                <w:rFonts w:hint="eastAsia"/>
              </w:rPr>
              <w:t>现金及现金等价物净增加额</w:t>
            </w:r>
          </w:p>
        </w:tc>
        <w:tc>
          <w:tcPr>
            <w:tcW w:w="2799" w:type="dxa"/>
            <w:tcBorders>
              <w:top w:val="outset" w:sz="4" w:space="0" w:color="auto"/>
              <w:left w:val="single" w:sz="4" w:space="0" w:color="auto"/>
              <w:bottom w:val="outset" w:sz="4" w:space="0" w:color="auto"/>
              <w:right w:val="outset" w:sz="4" w:space="0" w:color="auto"/>
            </w:tcBorders>
            <w:vAlign w:val="center"/>
          </w:tcPr>
          <w:p w14:paraId="023431C5" w14:textId="77777777" w:rsidR="005E000F" w:rsidRDefault="00000000">
            <w:pPr>
              <w:jc w:val="right"/>
            </w:pPr>
            <w:r>
              <w:t>-25,507,827,292</w:t>
            </w:r>
          </w:p>
        </w:tc>
        <w:tc>
          <w:tcPr>
            <w:tcW w:w="2768" w:type="dxa"/>
            <w:tcBorders>
              <w:top w:val="outset" w:sz="4" w:space="0" w:color="auto"/>
              <w:left w:val="outset" w:sz="4" w:space="0" w:color="auto"/>
              <w:bottom w:val="outset" w:sz="4" w:space="0" w:color="auto"/>
              <w:right w:val="outset" w:sz="4" w:space="0" w:color="auto"/>
            </w:tcBorders>
            <w:vAlign w:val="center"/>
          </w:tcPr>
          <w:p w14:paraId="2765FD34" w14:textId="77777777" w:rsidR="005E000F" w:rsidRDefault="00000000">
            <w:pPr>
              <w:jc w:val="right"/>
              <w:rPr>
                <w:lang w:eastAsia="en-US"/>
              </w:rPr>
            </w:pPr>
            <w:r>
              <w:t>-5,973,767,503</w:t>
            </w:r>
          </w:p>
        </w:tc>
      </w:tr>
    </w:tbl>
    <w:p w14:paraId="7C25B269" w14:textId="77777777" w:rsidR="005E000F" w:rsidRDefault="005E000F"/>
    <w:p w14:paraId="4D3A722F" w14:textId="77777777" w:rsidR="005E000F" w:rsidRDefault="00000000">
      <w:pPr>
        <w:pStyle w:val="4"/>
        <w:numPr>
          <w:ilvl w:val="0"/>
          <w:numId w:val="106"/>
        </w:numPr>
        <w:ind w:left="426" w:hanging="426"/>
      </w:pPr>
      <w:r>
        <w:rPr>
          <w:rFonts w:hint="eastAsia"/>
        </w:rPr>
        <w:t>本期</w:t>
      </w:r>
      <w:r>
        <w:rPr>
          <w:rFonts w:ascii="宋体" w:hAnsi="宋体" w:cs="宋体" w:hint="eastAsia"/>
          <w:kern w:val="0"/>
        </w:rPr>
        <w:t>支付的</w:t>
      </w:r>
      <w:r>
        <w:rPr>
          <w:rFonts w:hint="eastAsia"/>
        </w:rPr>
        <w:t>取得子公司的现金净额</w:t>
      </w:r>
    </w:p>
    <w:p w14:paraId="563B61A5" w14:textId="77777777" w:rsidR="005E000F" w:rsidRDefault="00000000">
      <w:sdt>
        <w:sdtPr>
          <w:alias w:val="是否适用：本期支付的取得子公司的现金净额[双击切换]"/>
          <w:tag w:val="_GBC_e15d87c710624e119515f4697cba951d"/>
          <w:id w:val="1448049760"/>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3F1DD859" w14:textId="77777777" w:rsidR="005E000F" w:rsidRDefault="005E000F"/>
    <w:p w14:paraId="7701AD43" w14:textId="77777777" w:rsidR="005E000F" w:rsidRDefault="005E000F"/>
    <w:p w14:paraId="1660E8DD" w14:textId="77777777" w:rsidR="005E000F" w:rsidRDefault="00000000">
      <w:pPr>
        <w:pStyle w:val="4"/>
        <w:numPr>
          <w:ilvl w:val="0"/>
          <w:numId w:val="106"/>
        </w:numPr>
        <w:ind w:left="426" w:hanging="426"/>
      </w:pPr>
      <w:r>
        <w:rPr>
          <w:rFonts w:ascii="宋体" w:hAnsi="宋体" w:cs="宋体" w:hint="eastAsia"/>
          <w:kern w:val="0"/>
          <w:szCs w:val="24"/>
        </w:rPr>
        <w:t>本期收到的</w:t>
      </w:r>
      <w:r>
        <w:rPr>
          <w:rFonts w:hint="eastAsia"/>
        </w:rPr>
        <w:t>处置子公司的现金净额</w:t>
      </w:r>
    </w:p>
    <w:p w14:paraId="1ED23423" w14:textId="77777777" w:rsidR="005E000F" w:rsidRDefault="00000000">
      <w:sdt>
        <w:sdtPr>
          <w:alias w:val="是否适用：本期收到的处置子公司的现金净额[双击切换]"/>
          <w:tag w:val="_GBC_34f955c7fd1f404b9df6ccd09e080d38"/>
          <w:id w:val="-663238916"/>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0126F1FE" w14:textId="77777777" w:rsidR="005E000F" w:rsidRDefault="005E000F"/>
    <w:p w14:paraId="4E1E577E" w14:textId="77777777" w:rsidR="005E000F" w:rsidRDefault="005E000F"/>
    <w:p w14:paraId="7D0F5BC8" w14:textId="77777777" w:rsidR="005E000F" w:rsidRDefault="00000000">
      <w:pPr>
        <w:pStyle w:val="4"/>
        <w:numPr>
          <w:ilvl w:val="0"/>
          <w:numId w:val="106"/>
        </w:numPr>
        <w:ind w:left="426" w:hanging="426"/>
        <w:rPr>
          <w:szCs w:val="21"/>
        </w:rPr>
      </w:pPr>
      <w:bookmarkStart w:id="400" w:name="_Hlk152667287"/>
      <w:r>
        <w:rPr>
          <w:rFonts w:ascii="宋体" w:hAnsi="宋体" w:hint="eastAsia"/>
          <w:szCs w:val="21"/>
        </w:rPr>
        <w:t>现金和现金</w:t>
      </w:r>
      <w:r>
        <w:rPr>
          <w:rFonts w:hint="eastAsia"/>
        </w:rPr>
        <w:t>等价物</w:t>
      </w:r>
      <w:r>
        <w:rPr>
          <w:rFonts w:hint="eastAsia"/>
          <w:szCs w:val="21"/>
        </w:rPr>
        <w:t>的</w:t>
      </w:r>
      <w:r>
        <w:rPr>
          <w:rFonts w:ascii="宋体" w:eastAsia="宋体" w:hAnsi="宋体" w:cs="宋体" w:hint="eastAsia"/>
          <w:kern w:val="0"/>
          <w:szCs w:val="24"/>
        </w:rPr>
        <w:t>构成</w:t>
      </w:r>
    </w:p>
    <w:sdt>
      <w:sdtPr>
        <w:alias w:val="是否适用：现金和现金等价物的构成[双击切换]"/>
        <w:tag w:val="_GBC_e0555d7e87b94189b1eb8131088a70ab"/>
        <w:id w:val="-1277172173"/>
        <w:placeholder>
          <w:docPart w:val="GBC22222222222222222222222222222"/>
        </w:placeholder>
      </w:sdtPr>
      <w:sdtContent>
        <w:p w14:paraId="5140F93F"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4A6CDD0" w14:textId="77777777" w:rsidR="005E000F" w:rsidRDefault="00000000">
      <w:pPr>
        <w:jc w:val="right"/>
        <w:rPr>
          <w:b/>
        </w:rPr>
      </w:pPr>
      <w:r>
        <w:rPr>
          <w:rFonts w:hint="eastAsia"/>
        </w:rPr>
        <w:t>单位：</w:t>
      </w:r>
      <w:sdt>
        <w:sdtPr>
          <w:rPr>
            <w:rFonts w:hint="eastAsia"/>
          </w:rPr>
          <w:alias w:val="单位：财务附注：现金和现金等价物的构成"/>
          <w:tag w:val="_GBC_1e304caf56fc443fa3c4a1d772d34293"/>
          <w:id w:val="-154211625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现金和现金等价物的构成"/>
          <w:tag w:val="_GBC_d3515d75fc184b1e9585a67f7cb04faa"/>
          <w:id w:val="1992127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3"/>
        <w:gridCol w:w="2921"/>
        <w:gridCol w:w="2734"/>
      </w:tblGrid>
      <w:tr w:rsidR="005E000F" w14:paraId="65F8D4EC" w14:textId="77777777">
        <w:trPr>
          <w:trHeight w:val="285"/>
        </w:trPr>
        <w:sdt>
          <w:sdtPr>
            <w:tag w:val="_PLD_7ae145dd51fc48d4a76bb239061b0a6e"/>
            <w:id w:val="-417022727"/>
          </w:sdtPr>
          <w:sdtContent>
            <w:tc>
              <w:tcPr>
                <w:tcW w:w="3393" w:type="dxa"/>
                <w:tcBorders>
                  <w:bottom w:val="single" w:sz="4" w:space="0" w:color="auto"/>
                </w:tcBorders>
                <w:vAlign w:val="center"/>
              </w:tcPr>
              <w:p w14:paraId="4E327BEE" w14:textId="77777777" w:rsidR="005E000F" w:rsidRDefault="00000000">
                <w:pPr>
                  <w:ind w:leftChars="-51" w:left="-107"/>
                  <w:jc w:val="center"/>
                </w:pPr>
                <w:r>
                  <w:rPr>
                    <w:rFonts w:hint="eastAsia"/>
                  </w:rPr>
                  <w:t>项目</w:t>
                </w:r>
              </w:p>
            </w:tc>
          </w:sdtContent>
        </w:sdt>
        <w:sdt>
          <w:sdtPr>
            <w:tag w:val="_PLD_426ac24378064f8ab324e59db3ac5d98"/>
            <w:id w:val="-94787762"/>
          </w:sdtPr>
          <w:sdtContent>
            <w:tc>
              <w:tcPr>
                <w:tcW w:w="2921" w:type="dxa"/>
                <w:vAlign w:val="center"/>
              </w:tcPr>
              <w:p w14:paraId="01C92B5D" w14:textId="77777777" w:rsidR="005E000F" w:rsidRDefault="00000000">
                <w:pPr>
                  <w:jc w:val="center"/>
                </w:pPr>
                <w:r>
                  <w:rPr>
                    <w:rFonts w:hint="eastAsia"/>
                  </w:rPr>
                  <w:t>期末余额</w:t>
                </w:r>
              </w:p>
            </w:tc>
          </w:sdtContent>
        </w:sdt>
        <w:sdt>
          <w:sdtPr>
            <w:tag w:val="_PLD_d8d41db246514c0dbfacfe0f48eeceac"/>
            <w:id w:val="-1237858561"/>
          </w:sdtPr>
          <w:sdtContent>
            <w:tc>
              <w:tcPr>
                <w:tcW w:w="2734" w:type="dxa"/>
                <w:vAlign w:val="center"/>
              </w:tcPr>
              <w:p w14:paraId="1D91305B" w14:textId="77777777" w:rsidR="005E000F" w:rsidRDefault="00000000">
                <w:pPr>
                  <w:jc w:val="center"/>
                </w:pPr>
                <w:r>
                  <w:rPr>
                    <w:rFonts w:hint="eastAsia"/>
                  </w:rPr>
                  <w:t>期初余额</w:t>
                </w:r>
              </w:p>
            </w:tc>
          </w:sdtContent>
        </w:sdt>
      </w:tr>
      <w:tr w:rsidR="005E000F" w14:paraId="531538A4" w14:textId="77777777">
        <w:trPr>
          <w:trHeight w:val="285"/>
        </w:trPr>
        <w:tc>
          <w:tcPr>
            <w:tcW w:w="3393" w:type="dxa"/>
            <w:vAlign w:val="center"/>
          </w:tcPr>
          <w:p w14:paraId="160D459E" w14:textId="77777777" w:rsidR="005E000F" w:rsidRDefault="00000000">
            <w:r>
              <w:rPr>
                <w:rFonts w:hint="eastAsia"/>
              </w:rPr>
              <w:t>一、现金</w:t>
            </w:r>
          </w:p>
        </w:tc>
        <w:tc>
          <w:tcPr>
            <w:tcW w:w="2921" w:type="dxa"/>
            <w:vAlign w:val="center"/>
          </w:tcPr>
          <w:p w14:paraId="163476BF" w14:textId="77777777" w:rsidR="005E000F" w:rsidRDefault="00000000">
            <w:pPr>
              <w:jc w:val="right"/>
            </w:pPr>
            <w:r>
              <w:t>35,834,007,083</w:t>
            </w:r>
          </w:p>
        </w:tc>
        <w:tc>
          <w:tcPr>
            <w:tcW w:w="2734" w:type="dxa"/>
            <w:vAlign w:val="center"/>
          </w:tcPr>
          <w:p w14:paraId="75BC47A3" w14:textId="77777777" w:rsidR="005E000F" w:rsidRDefault="00000000">
            <w:pPr>
              <w:jc w:val="right"/>
              <w:rPr>
                <w:lang w:eastAsia="en-US"/>
              </w:rPr>
            </w:pPr>
            <w:r>
              <w:t>61,341,834,375</w:t>
            </w:r>
          </w:p>
        </w:tc>
      </w:tr>
      <w:tr w:rsidR="005E000F" w14:paraId="63BB514E" w14:textId="77777777">
        <w:trPr>
          <w:trHeight w:val="285"/>
        </w:trPr>
        <w:tc>
          <w:tcPr>
            <w:tcW w:w="3393" w:type="dxa"/>
            <w:vAlign w:val="center"/>
          </w:tcPr>
          <w:p w14:paraId="702AD24D" w14:textId="77777777" w:rsidR="005E000F" w:rsidRDefault="00000000">
            <w:r>
              <w:rPr>
                <w:rFonts w:hint="eastAsia"/>
              </w:rPr>
              <w:t>其中：库存现金</w:t>
            </w:r>
          </w:p>
        </w:tc>
        <w:tc>
          <w:tcPr>
            <w:tcW w:w="2921" w:type="dxa"/>
            <w:vAlign w:val="center"/>
          </w:tcPr>
          <w:p w14:paraId="35D2D54D" w14:textId="77777777" w:rsidR="005E000F" w:rsidRDefault="00000000">
            <w:pPr>
              <w:jc w:val="right"/>
            </w:pPr>
            <w:r>
              <w:t>0</w:t>
            </w:r>
          </w:p>
        </w:tc>
        <w:tc>
          <w:tcPr>
            <w:tcW w:w="2734" w:type="dxa"/>
            <w:vAlign w:val="center"/>
          </w:tcPr>
          <w:p w14:paraId="744DB23A" w14:textId="77777777" w:rsidR="005E000F" w:rsidRDefault="00000000">
            <w:pPr>
              <w:jc w:val="right"/>
              <w:rPr>
                <w:lang w:eastAsia="en-US"/>
              </w:rPr>
            </w:pPr>
            <w:r>
              <w:t>0</w:t>
            </w:r>
          </w:p>
        </w:tc>
      </w:tr>
      <w:tr w:rsidR="005E000F" w14:paraId="1ECBB92D" w14:textId="77777777">
        <w:trPr>
          <w:trHeight w:val="285"/>
        </w:trPr>
        <w:tc>
          <w:tcPr>
            <w:tcW w:w="3393" w:type="dxa"/>
            <w:vAlign w:val="center"/>
          </w:tcPr>
          <w:p w14:paraId="242B0F74" w14:textId="77777777" w:rsidR="005E000F" w:rsidRDefault="00000000">
            <w:r>
              <w:rPr>
                <w:rFonts w:hint="eastAsia"/>
              </w:rPr>
              <w:t xml:space="preserve">　　可随时用于支付的银行存款</w:t>
            </w:r>
          </w:p>
        </w:tc>
        <w:tc>
          <w:tcPr>
            <w:tcW w:w="2921" w:type="dxa"/>
            <w:vAlign w:val="center"/>
          </w:tcPr>
          <w:p w14:paraId="22FCA11F" w14:textId="77777777" w:rsidR="005E000F" w:rsidRDefault="00000000">
            <w:pPr>
              <w:jc w:val="right"/>
            </w:pPr>
            <w:r>
              <w:t>35,819,631,901</w:t>
            </w:r>
          </w:p>
        </w:tc>
        <w:tc>
          <w:tcPr>
            <w:tcW w:w="2734" w:type="dxa"/>
            <w:vAlign w:val="center"/>
          </w:tcPr>
          <w:p w14:paraId="50BDDCC8" w14:textId="77777777" w:rsidR="005E000F" w:rsidRDefault="00000000">
            <w:pPr>
              <w:jc w:val="right"/>
              <w:rPr>
                <w:lang w:eastAsia="en-US"/>
              </w:rPr>
            </w:pPr>
            <w:r>
              <w:t>61,332,823,188</w:t>
            </w:r>
          </w:p>
        </w:tc>
      </w:tr>
      <w:tr w:rsidR="005E000F" w14:paraId="5F143242" w14:textId="77777777">
        <w:trPr>
          <w:trHeight w:val="285"/>
        </w:trPr>
        <w:tc>
          <w:tcPr>
            <w:tcW w:w="3393" w:type="dxa"/>
            <w:vAlign w:val="center"/>
          </w:tcPr>
          <w:p w14:paraId="088BC8FF" w14:textId="77777777" w:rsidR="005E000F" w:rsidRDefault="00000000">
            <w:r>
              <w:rPr>
                <w:rFonts w:hint="eastAsia"/>
              </w:rPr>
              <w:t xml:space="preserve">　　可随时用于支付的其他货币资金</w:t>
            </w:r>
          </w:p>
        </w:tc>
        <w:tc>
          <w:tcPr>
            <w:tcW w:w="2921" w:type="dxa"/>
            <w:vAlign w:val="center"/>
          </w:tcPr>
          <w:p w14:paraId="75AA8359" w14:textId="77777777" w:rsidR="005E000F" w:rsidRDefault="00000000">
            <w:pPr>
              <w:jc w:val="right"/>
            </w:pPr>
            <w:r>
              <w:t>14,375,182</w:t>
            </w:r>
          </w:p>
        </w:tc>
        <w:tc>
          <w:tcPr>
            <w:tcW w:w="2734" w:type="dxa"/>
            <w:vAlign w:val="center"/>
          </w:tcPr>
          <w:p w14:paraId="297DEDB0" w14:textId="77777777" w:rsidR="005E000F" w:rsidRDefault="00000000">
            <w:pPr>
              <w:jc w:val="right"/>
              <w:rPr>
                <w:lang w:eastAsia="en-US"/>
              </w:rPr>
            </w:pPr>
            <w:r>
              <w:t>9,011,187</w:t>
            </w:r>
          </w:p>
        </w:tc>
      </w:tr>
      <w:tr w:rsidR="005E000F" w14:paraId="14ECD606" w14:textId="77777777">
        <w:trPr>
          <w:trHeight w:val="285"/>
        </w:trPr>
        <w:tc>
          <w:tcPr>
            <w:tcW w:w="3393" w:type="dxa"/>
            <w:vAlign w:val="center"/>
          </w:tcPr>
          <w:p w14:paraId="24D8E618" w14:textId="77777777" w:rsidR="005E000F" w:rsidRDefault="00000000">
            <w:r>
              <w:rPr>
                <w:rFonts w:hint="eastAsia"/>
              </w:rPr>
              <w:t xml:space="preserve">　　可用于支付的存放中央银行款项</w:t>
            </w:r>
          </w:p>
        </w:tc>
        <w:tc>
          <w:tcPr>
            <w:tcW w:w="2921" w:type="dxa"/>
            <w:vAlign w:val="center"/>
          </w:tcPr>
          <w:p w14:paraId="2FFFF193" w14:textId="77777777" w:rsidR="005E000F" w:rsidRDefault="00000000">
            <w:pPr>
              <w:jc w:val="right"/>
            </w:pPr>
            <w:r>
              <w:rPr>
                <w:rFonts w:hint="eastAsia"/>
              </w:rPr>
              <w:t>0</w:t>
            </w:r>
          </w:p>
        </w:tc>
        <w:tc>
          <w:tcPr>
            <w:tcW w:w="2734" w:type="dxa"/>
            <w:vAlign w:val="center"/>
          </w:tcPr>
          <w:p w14:paraId="08E3597D" w14:textId="77777777" w:rsidR="005E000F" w:rsidRDefault="00000000">
            <w:pPr>
              <w:jc w:val="right"/>
              <w:rPr>
                <w:lang w:eastAsia="en-US"/>
              </w:rPr>
            </w:pPr>
            <w:r>
              <w:t>0</w:t>
            </w:r>
          </w:p>
        </w:tc>
      </w:tr>
      <w:tr w:rsidR="005E000F" w14:paraId="725C2751" w14:textId="77777777">
        <w:trPr>
          <w:trHeight w:val="285"/>
        </w:trPr>
        <w:tc>
          <w:tcPr>
            <w:tcW w:w="3393" w:type="dxa"/>
            <w:vAlign w:val="center"/>
          </w:tcPr>
          <w:p w14:paraId="5CDB4DD7" w14:textId="77777777" w:rsidR="005E000F" w:rsidRDefault="00000000">
            <w:pPr>
              <w:ind w:firstLineChars="200" w:firstLine="420"/>
            </w:pPr>
            <w:r>
              <w:rPr>
                <w:rFonts w:hint="eastAsia"/>
              </w:rPr>
              <w:t>应收利息</w:t>
            </w:r>
          </w:p>
        </w:tc>
        <w:tc>
          <w:tcPr>
            <w:tcW w:w="2921" w:type="dxa"/>
            <w:vAlign w:val="center"/>
          </w:tcPr>
          <w:p w14:paraId="64460AA5" w14:textId="77777777" w:rsidR="005E000F" w:rsidRDefault="00000000">
            <w:pPr>
              <w:jc w:val="right"/>
            </w:pPr>
            <w:r>
              <w:t>16,001,672</w:t>
            </w:r>
          </w:p>
        </w:tc>
        <w:tc>
          <w:tcPr>
            <w:tcW w:w="2734" w:type="dxa"/>
            <w:vAlign w:val="center"/>
          </w:tcPr>
          <w:p w14:paraId="6E13381A" w14:textId="77777777" w:rsidR="005E000F" w:rsidRDefault="00000000">
            <w:pPr>
              <w:jc w:val="right"/>
              <w:rPr>
                <w:lang w:eastAsia="en-US"/>
              </w:rPr>
            </w:pPr>
            <w:r>
              <w:t>4,960,556</w:t>
            </w:r>
          </w:p>
        </w:tc>
      </w:tr>
      <w:tr w:rsidR="005E000F" w14:paraId="6C88735A" w14:textId="77777777">
        <w:trPr>
          <w:trHeight w:val="285"/>
        </w:trPr>
        <w:tc>
          <w:tcPr>
            <w:tcW w:w="3393" w:type="dxa"/>
            <w:vAlign w:val="center"/>
          </w:tcPr>
          <w:p w14:paraId="545D4197" w14:textId="77777777" w:rsidR="005E000F" w:rsidRDefault="00000000">
            <w:r>
              <w:rPr>
                <w:rFonts w:hint="eastAsia"/>
              </w:rPr>
              <w:t xml:space="preserve">　　存放同业款项</w:t>
            </w:r>
          </w:p>
        </w:tc>
        <w:tc>
          <w:tcPr>
            <w:tcW w:w="2921" w:type="dxa"/>
            <w:vAlign w:val="center"/>
          </w:tcPr>
          <w:p w14:paraId="18AA1EBE" w14:textId="77777777" w:rsidR="005E000F" w:rsidRDefault="00000000">
            <w:pPr>
              <w:jc w:val="right"/>
            </w:pPr>
            <w:r>
              <w:t>0</w:t>
            </w:r>
          </w:p>
        </w:tc>
        <w:tc>
          <w:tcPr>
            <w:tcW w:w="2734" w:type="dxa"/>
            <w:vAlign w:val="center"/>
          </w:tcPr>
          <w:p w14:paraId="516A0D2E" w14:textId="77777777" w:rsidR="005E000F" w:rsidRDefault="00000000">
            <w:pPr>
              <w:jc w:val="right"/>
              <w:rPr>
                <w:lang w:eastAsia="en-US"/>
              </w:rPr>
            </w:pPr>
            <w:r>
              <w:t>0</w:t>
            </w:r>
          </w:p>
        </w:tc>
      </w:tr>
      <w:tr w:rsidR="005E000F" w14:paraId="7D555AED" w14:textId="77777777">
        <w:trPr>
          <w:trHeight w:val="285"/>
        </w:trPr>
        <w:tc>
          <w:tcPr>
            <w:tcW w:w="3393" w:type="dxa"/>
            <w:vAlign w:val="center"/>
          </w:tcPr>
          <w:p w14:paraId="49BE3523" w14:textId="77777777" w:rsidR="005E000F" w:rsidRDefault="00000000">
            <w:r>
              <w:rPr>
                <w:rFonts w:hint="eastAsia"/>
              </w:rPr>
              <w:t xml:space="preserve">　　拆放同业款项</w:t>
            </w:r>
          </w:p>
        </w:tc>
        <w:tc>
          <w:tcPr>
            <w:tcW w:w="2921" w:type="dxa"/>
            <w:vAlign w:val="center"/>
          </w:tcPr>
          <w:p w14:paraId="210959DB" w14:textId="77777777" w:rsidR="005E000F" w:rsidRDefault="00000000">
            <w:pPr>
              <w:jc w:val="right"/>
            </w:pPr>
            <w:r>
              <w:t>0</w:t>
            </w:r>
          </w:p>
        </w:tc>
        <w:tc>
          <w:tcPr>
            <w:tcW w:w="2734" w:type="dxa"/>
            <w:vAlign w:val="center"/>
          </w:tcPr>
          <w:p w14:paraId="7EC8EDBD" w14:textId="77777777" w:rsidR="005E000F" w:rsidRDefault="00000000">
            <w:pPr>
              <w:jc w:val="right"/>
              <w:rPr>
                <w:lang w:eastAsia="en-US"/>
              </w:rPr>
            </w:pPr>
            <w:r>
              <w:t>0</w:t>
            </w:r>
          </w:p>
        </w:tc>
      </w:tr>
      <w:tr w:rsidR="005E000F" w14:paraId="0B2BE1D4" w14:textId="77777777">
        <w:trPr>
          <w:trHeight w:val="285"/>
        </w:trPr>
        <w:tc>
          <w:tcPr>
            <w:tcW w:w="3393" w:type="dxa"/>
            <w:vAlign w:val="center"/>
          </w:tcPr>
          <w:p w14:paraId="4E8E2C42" w14:textId="77777777" w:rsidR="005E000F" w:rsidRDefault="00000000">
            <w:r>
              <w:rPr>
                <w:rFonts w:hint="eastAsia"/>
              </w:rPr>
              <w:t>减：应收利息</w:t>
            </w:r>
          </w:p>
        </w:tc>
        <w:tc>
          <w:tcPr>
            <w:tcW w:w="2921" w:type="dxa"/>
            <w:vAlign w:val="center"/>
          </w:tcPr>
          <w:p w14:paraId="3F44CB0D" w14:textId="77777777" w:rsidR="005E000F" w:rsidRDefault="00000000">
            <w:pPr>
              <w:jc w:val="right"/>
            </w:pPr>
            <w:r>
              <w:t>16,001,672</w:t>
            </w:r>
          </w:p>
        </w:tc>
        <w:tc>
          <w:tcPr>
            <w:tcW w:w="2734" w:type="dxa"/>
            <w:vAlign w:val="center"/>
          </w:tcPr>
          <w:p w14:paraId="4D2E7ADA" w14:textId="77777777" w:rsidR="005E000F" w:rsidRDefault="00000000">
            <w:pPr>
              <w:jc w:val="right"/>
              <w:rPr>
                <w:lang w:eastAsia="en-US"/>
              </w:rPr>
            </w:pPr>
            <w:r>
              <w:t>4,960,556</w:t>
            </w:r>
          </w:p>
        </w:tc>
      </w:tr>
      <w:tr w:rsidR="005E000F" w14:paraId="5ABCA12E" w14:textId="77777777">
        <w:trPr>
          <w:trHeight w:val="285"/>
        </w:trPr>
        <w:tc>
          <w:tcPr>
            <w:tcW w:w="3393" w:type="dxa"/>
            <w:vAlign w:val="center"/>
          </w:tcPr>
          <w:p w14:paraId="2D833352" w14:textId="77777777" w:rsidR="005E000F" w:rsidRDefault="00000000">
            <w:r>
              <w:rPr>
                <w:rFonts w:hint="eastAsia"/>
              </w:rPr>
              <w:t>二、现金等价物</w:t>
            </w:r>
          </w:p>
        </w:tc>
        <w:tc>
          <w:tcPr>
            <w:tcW w:w="2921" w:type="dxa"/>
            <w:vAlign w:val="center"/>
          </w:tcPr>
          <w:p w14:paraId="1D549833" w14:textId="77777777" w:rsidR="005E000F" w:rsidRDefault="00000000">
            <w:pPr>
              <w:jc w:val="right"/>
            </w:pPr>
            <w:r>
              <w:t>0</w:t>
            </w:r>
          </w:p>
        </w:tc>
        <w:tc>
          <w:tcPr>
            <w:tcW w:w="2734" w:type="dxa"/>
            <w:vAlign w:val="center"/>
          </w:tcPr>
          <w:p w14:paraId="515F93F9" w14:textId="77777777" w:rsidR="005E000F" w:rsidRDefault="00000000">
            <w:pPr>
              <w:jc w:val="right"/>
              <w:rPr>
                <w:lang w:eastAsia="en-US"/>
              </w:rPr>
            </w:pPr>
            <w:r>
              <w:t>0</w:t>
            </w:r>
          </w:p>
        </w:tc>
      </w:tr>
      <w:tr w:rsidR="005E000F" w14:paraId="7F6EDBF8" w14:textId="77777777">
        <w:trPr>
          <w:trHeight w:val="285"/>
        </w:trPr>
        <w:tc>
          <w:tcPr>
            <w:tcW w:w="3393" w:type="dxa"/>
            <w:tcBorders>
              <w:bottom w:val="single" w:sz="4" w:space="0" w:color="auto"/>
            </w:tcBorders>
            <w:vAlign w:val="center"/>
          </w:tcPr>
          <w:p w14:paraId="118046DE" w14:textId="77777777" w:rsidR="005E000F" w:rsidRDefault="00000000">
            <w:r>
              <w:rPr>
                <w:rFonts w:hint="eastAsia"/>
              </w:rPr>
              <w:t>其中：三个月内到期的债券投资</w:t>
            </w:r>
          </w:p>
        </w:tc>
        <w:tc>
          <w:tcPr>
            <w:tcW w:w="2921" w:type="dxa"/>
            <w:tcBorders>
              <w:bottom w:val="single" w:sz="4" w:space="0" w:color="auto"/>
            </w:tcBorders>
            <w:vAlign w:val="center"/>
          </w:tcPr>
          <w:p w14:paraId="012B6E5F" w14:textId="77777777" w:rsidR="005E000F" w:rsidRDefault="00000000">
            <w:pPr>
              <w:jc w:val="right"/>
            </w:pPr>
            <w:r>
              <w:t>0</w:t>
            </w:r>
          </w:p>
        </w:tc>
        <w:tc>
          <w:tcPr>
            <w:tcW w:w="2734" w:type="dxa"/>
            <w:tcBorders>
              <w:bottom w:val="single" w:sz="4" w:space="0" w:color="auto"/>
            </w:tcBorders>
            <w:vAlign w:val="center"/>
          </w:tcPr>
          <w:p w14:paraId="7A35DD11" w14:textId="77777777" w:rsidR="005E000F" w:rsidRDefault="00000000">
            <w:pPr>
              <w:jc w:val="right"/>
              <w:rPr>
                <w:lang w:eastAsia="en-US"/>
              </w:rPr>
            </w:pPr>
            <w:r>
              <w:t>0</w:t>
            </w:r>
          </w:p>
        </w:tc>
      </w:tr>
      <w:tr w:rsidR="005E000F" w14:paraId="6B0F8BAE" w14:textId="77777777">
        <w:trPr>
          <w:trHeight w:val="285"/>
        </w:trPr>
        <w:tc>
          <w:tcPr>
            <w:tcW w:w="3393" w:type="dxa"/>
            <w:vAlign w:val="center"/>
          </w:tcPr>
          <w:p w14:paraId="5AF9BC24" w14:textId="77777777" w:rsidR="005E000F" w:rsidRDefault="00000000">
            <w:bookmarkStart w:id="401" w:name="_Hlk227766638"/>
            <w:r>
              <w:rPr>
                <w:rFonts w:hint="eastAsia"/>
              </w:rPr>
              <w:t>三、期末现金及现金等价物余额</w:t>
            </w:r>
          </w:p>
        </w:tc>
        <w:tc>
          <w:tcPr>
            <w:tcW w:w="2921" w:type="dxa"/>
            <w:vAlign w:val="center"/>
          </w:tcPr>
          <w:p w14:paraId="39B3A571" w14:textId="77777777" w:rsidR="005E000F" w:rsidRDefault="00000000">
            <w:pPr>
              <w:jc w:val="right"/>
            </w:pPr>
            <w:r>
              <w:t>35,834,007,083</w:t>
            </w:r>
          </w:p>
        </w:tc>
        <w:tc>
          <w:tcPr>
            <w:tcW w:w="2734" w:type="dxa"/>
            <w:vAlign w:val="center"/>
          </w:tcPr>
          <w:p w14:paraId="3BDEBD43" w14:textId="77777777" w:rsidR="005E000F" w:rsidRDefault="00000000">
            <w:pPr>
              <w:jc w:val="right"/>
              <w:rPr>
                <w:lang w:eastAsia="en-US"/>
              </w:rPr>
            </w:pPr>
            <w:r>
              <w:t>61,341,834,375</w:t>
            </w:r>
          </w:p>
        </w:tc>
      </w:tr>
      <w:bookmarkEnd w:id="401"/>
      <w:tr w:rsidR="005E000F" w14:paraId="2E9013CE" w14:textId="77777777">
        <w:trPr>
          <w:trHeight w:val="285"/>
        </w:trPr>
        <w:tc>
          <w:tcPr>
            <w:tcW w:w="3393" w:type="dxa"/>
            <w:vAlign w:val="center"/>
          </w:tcPr>
          <w:p w14:paraId="4E6E71F8" w14:textId="77777777" w:rsidR="005E000F" w:rsidRDefault="00000000">
            <w:r>
              <w:rPr>
                <w:rFonts w:hint="eastAsia"/>
              </w:rPr>
              <w:t>其中：母公司或集团内子公司使用受限制的现金和现金等价物</w:t>
            </w:r>
          </w:p>
        </w:tc>
        <w:tc>
          <w:tcPr>
            <w:tcW w:w="2921" w:type="dxa"/>
            <w:vAlign w:val="center"/>
          </w:tcPr>
          <w:p w14:paraId="7E171653" w14:textId="77777777" w:rsidR="005E000F" w:rsidRDefault="00000000">
            <w:pPr>
              <w:jc w:val="right"/>
            </w:pPr>
            <w:r>
              <w:t>0</w:t>
            </w:r>
          </w:p>
        </w:tc>
        <w:tc>
          <w:tcPr>
            <w:tcW w:w="2734" w:type="dxa"/>
            <w:vAlign w:val="center"/>
          </w:tcPr>
          <w:p w14:paraId="56C0692F" w14:textId="77777777" w:rsidR="005E000F" w:rsidRDefault="00000000">
            <w:pPr>
              <w:jc w:val="right"/>
              <w:rPr>
                <w:lang w:eastAsia="en-US"/>
              </w:rPr>
            </w:pPr>
            <w:r>
              <w:t>0</w:t>
            </w:r>
          </w:p>
        </w:tc>
      </w:tr>
    </w:tbl>
    <w:p w14:paraId="6854969B" w14:textId="77777777" w:rsidR="005E000F" w:rsidRDefault="005E000F">
      <w:pPr>
        <w:spacing w:before="60" w:after="60"/>
      </w:pPr>
    </w:p>
    <w:p w14:paraId="1022B12C" w14:textId="77777777" w:rsidR="005E000F" w:rsidRDefault="00000000">
      <w:pPr>
        <w:pStyle w:val="4"/>
        <w:numPr>
          <w:ilvl w:val="0"/>
          <w:numId w:val="106"/>
        </w:numPr>
        <w:ind w:left="426" w:hanging="426"/>
      </w:pPr>
      <w:r>
        <w:rPr>
          <w:rFonts w:hint="eastAsia"/>
        </w:rPr>
        <w:t>使用范围受限但仍作为现金和现金等价物列示的情况</w:t>
      </w:r>
    </w:p>
    <w:sdt>
      <w:sdtPr>
        <w:alias w:val="是否适用：使用范围受限但仍作为现金和现金等价物列示的情况[双击切换]"/>
        <w:tag w:val="_GBC_3f4f3ab69b8d40ad90e4e461178c0e10"/>
        <w:id w:val="-1743553517"/>
        <w:placeholder>
          <w:docPart w:val="GBC22222222222222222222222222222"/>
        </w:placeholder>
      </w:sdtPr>
      <w:sdtContent>
        <w:p w14:paraId="1DF397F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5189972" w14:textId="77777777" w:rsidR="005E000F" w:rsidRDefault="005E000F"/>
    <w:p w14:paraId="3BC37A4A" w14:textId="77777777" w:rsidR="005E000F" w:rsidRDefault="00000000">
      <w:pPr>
        <w:pStyle w:val="4"/>
        <w:numPr>
          <w:ilvl w:val="0"/>
          <w:numId w:val="106"/>
        </w:numPr>
        <w:ind w:left="426" w:hanging="426"/>
      </w:pPr>
      <w:r>
        <w:rPr>
          <w:rFonts w:hint="eastAsia"/>
        </w:rPr>
        <w:t>不属于现金及现金等价物的货币资金</w:t>
      </w:r>
    </w:p>
    <w:sdt>
      <w:sdtPr>
        <w:alias w:val="是否适用：不属于现金及现金等价物的货币资金[双击切换]"/>
        <w:tag w:val="_GBC_a99c932c933e4271bbb13783f71a0a6a"/>
        <w:id w:val="872887986"/>
        <w:placeholder>
          <w:docPart w:val="GBC22222222222222222222222222222"/>
        </w:placeholder>
      </w:sdtPr>
      <w:sdtContent>
        <w:p w14:paraId="5537347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1E55D73" w14:textId="77777777" w:rsidR="005E000F" w:rsidRDefault="005E000F"/>
    <w:p w14:paraId="173EEDE8" w14:textId="77777777" w:rsidR="005E000F" w:rsidRDefault="00000000">
      <w:pPr>
        <w:spacing w:before="60" w:after="60"/>
      </w:pPr>
      <w:r>
        <w:rPr>
          <w:rFonts w:hint="eastAsia"/>
        </w:rPr>
        <w:t>其他说明：</w:t>
      </w:r>
    </w:p>
    <w:sdt>
      <w:sdtPr>
        <w:alias w:val="是否适用：现金流量表补充资料的说明[双击切换]"/>
        <w:tag w:val="_GBC_73894bf4981b4beaae2551b205a2e7cc"/>
        <w:id w:val="715859025"/>
        <w:placeholder>
          <w:docPart w:val="GBC22222222222222222222222222222"/>
        </w:placeholder>
      </w:sdtPr>
      <w:sdtContent>
        <w:p w14:paraId="64398AB0" w14:textId="77777777" w:rsidR="005E000F" w:rsidRDefault="00000000">
          <w:pPr>
            <w:spacing w:before="60" w:after="60"/>
            <w:rPr>
              <w:szCs w:val="22"/>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E8A5EA1" w14:textId="77777777" w:rsidR="005E000F" w:rsidRDefault="005E000F"/>
    <w:bookmarkEnd w:id="400"/>
    <w:p w14:paraId="6D5CEE0C"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所有者权益变动</w:t>
      </w:r>
      <w:proofErr w:type="gramStart"/>
      <w:r>
        <w:rPr>
          <w:rFonts w:ascii="宋体" w:hAnsi="宋体" w:hint="eastAsia"/>
          <w:szCs w:val="21"/>
        </w:rPr>
        <w:t>表项目</w:t>
      </w:r>
      <w:proofErr w:type="gramEnd"/>
      <w:r>
        <w:rPr>
          <w:rFonts w:ascii="宋体" w:hAnsi="宋体" w:hint="eastAsia"/>
          <w:szCs w:val="21"/>
        </w:rPr>
        <w:t>注释</w:t>
      </w:r>
    </w:p>
    <w:p w14:paraId="21253EF8" w14:textId="77777777" w:rsidR="005E000F" w:rsidRDefault="00000000">
      <w:r>
        <w:rPr>
          <w:rFonts w:hint="eastAsia"/>
        </w:rPr>
        <w:t>说明</w:t>
      </w:r>
      <w:proofErr w:type="gramStart"/>
      <w:r>
        <w:rPr>
          <w:rFonts w:hint="eastAsia"/>
        </w:rPr>
        <w:t>对上年</w:t>
      </w:r>
      <w:proofErr w:type="gramEnd"/>
      <w:r>
        <w:rPr>
          <w:rFonts w:hint="eastAsia"/>
        </w:rPr>
        <w:t>期末余额进行调整的“其他”项目名称及调整金额等事项：</w:t>
      </w:r>
    </w:p>
    <w:sdt>
      <w:sdtPr>
        <w:alias w:val="是否适用：所有者权益变动表项目注释[双击切换]"/>
        <w:tag w:val="_GBC_fca039532a374a3e9daa81c75d491b1f"/>
        <w:id w:val="-1363751610"/>
        <w:placeholder>
          <w:docPart w:val="GBC22222222222222222222222222222"/>
        </w:placeholder>
      </w:sdtPr>
      <w:sdtContent>
        <w:p w14:paraId="2CED664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A79250F" w14:textId="77777777" w:rsidR="005E000F" w:rsidRDefault="005E000F"/>
    <w:p w14:paraId="048F6893" w14:textId="77777777" w:rsidR="005E000F" w:rsidRDefault="00000000">
      <w:pPr>
        <w:pStyle w:val="3"/>
        <w:numPr>
          <w:ilvl w:val="0"/>
          <w:numId w:val="66"/>
        </w:numPr>
        <w:tabs>
          <w:tab w:val="left" w:pos="504"/>
        </w:tabs>
        <w:rPr>
          <w:rFonts w:ascii="宋体" w:hAnsi="宋体"/>
          <w:szCs w:val="21"/>
        </w:rPr>
      </w:pPr>
      <w:r>
        <w:rPr>
          <w:rFonts w:ascii="宋体" w:hAnsi="宋体" w:hint="eastAsia"/>
          <w:szCs w:val="21"/>
        </w:rPr>
        <w:t>外币货币性项目</w:t>
      </w:r>
    </w:p>
    <w:p w14:paraId="0CAB84C1" w14:textId="77777777" w:rsidR="005E000F" w:rsidRDefault="00000000">
      <w:pPr>
        <w:pStyle w:val="4"/>
        <w:numPr>
          <w:ilvl w:val="0"/>
          <w:numId w:val="107"/>
        </w:numPr>
        <w:ind w:left="426" w:hanging="426"/>
        <w:rPr>
          <w:rFonts w:ascii="宋体" w:hAnsi="宋体"/>
          <w:b w:val="0"/>
          <w:szCs w:val="21"/>
        </w:rPr>
      </w:pPr>
      <w:r>
        <w:rPr>
          <w:rStyle w:val="40"/>
          <w:rFonts w:ascii="宋体" w:hAnsi="宋体" w:hint="eastAsia"/>
          <w:b/>
          <w:szCs w:val="21"/>
        </w:rPr>
        <w:t>外币货币性项目</w:t>
      </w:r>
    </w:p>
    <w:sdt>
      <w:sdtPr>
        <w:alias w:val="是否适用：外币货币性项目[双击切换]"/>
        <w:tag w:val="_GBC_6b0f646811a94c228ba6be3453047191"/>
        <w:id w:val="-762293509"/>
        <w:placeholder>
          <w:docPart w:val="GBC22222222222222222222222222222"/>
        </w:placeholder>
      </w:sdtPr>
      <w:sdtContent>
        <w:p w14:paraId="2B10A02E"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7DDC3CD" w14:textId="77777777" w:rsidR="005E000F" w:rsidRDefault="005E000F"/>
    <w:p w14:paraId="51AD6710" w14:textId="77777777" w:rsidR="005E000F" w:rsidRDefault="005E000F"/>
    <w:p w14:paraId="0457B79E" w14:textId="77777777" w:rsidR="005E000F" w:rsidRDefault="00000000">
      <w:pPr>
        <w:pStyle w:val="4"/>
        <w:numPr>
          <w:ilvl w:val="0"/>
          <w:numId w:val="107"/>
        </w:numPr>
        <w:ind w:left="0" w:firstLine="0"/>
        <w:rPr>
          <w:szCs w:val="21"/>
        </w:rPr>
      </w:pPr>
      <w:r>
        <w:rPr>
          <w:rStyle w:val="40"/>
          <w:rFonts w:ascii="宋体" w:hAnsi="宋体" w:hint="eastAsia"/>
          <w:b/>
          <w:szCs w:val="21"/>
        </w:rPr>
        <w:t>境外</w:t>
      </w:r>
      <w:r>
        <w:rPr>
          <w:rFonts w:hint="eastAsia"/>
          <w:szCs w:val="21"/>
        </w:rPr>
        <w:t>经营实体说明，包括对于重要的境外经营实体，应披露其境外主要经营地、记账本位币及选择依据，记账本位币发生变化的还应披露原因</w:t>
      </w:r>
    </w:p>
    <w:p w14:paraId="342BE3F8" w14:textId="77777777" w:rsidR="005E000F" w:rsidRDefault="00000000">
      <w:sdt>
        <w:sdtPr>
          <w:alias w:val="是否适用：境外经营实体主要报表项目的折算汇率[双击切换]"/>
          <w:tag w:val="_GBC_c433d39e245c4fb79cd5170717bb5b9c"/>
          <w:id w:val="1798020312"/>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12D56415" w14:textId="77777777" w:rsidR="005E000F" w:rsidRDefault="005E000F"/>
    <w:p w14:paraId="1F6D3BF1" w14:textId="77777777" w:rsidR="005E000F" w:rsidRDefault="00000000">
      <w:pPr>
        <w:pStyle w:val="3"/>
        <w:numPr>
          <w:ilvl w:val="0"/>
          <w:numId w:val="66"/>
        </w:numPr>
        <w:tabs>
          <w:tab w:val="left" w:pos="504"/>
        </w:tabs>
        <w:ind w:left="450" w:hanging="450"/>
        <w:rPr>
          <w:rFonts w:ascii="宋体" w:hAnsi="宋体"/>
          <w:szCs w:val="21"/>
        </w:rPr>
      </w:pPr>
      <w:r>
        <w:rPr>
          <w:rFonts w:ascii="宋体" w:hAnsi="宋体" w:hint="eastAsia"/>
          <w:szCs w:val="21"/>
        </w:rPr>
        <w:t>租赁</w:t>
      </w:r>
    </w:p>
    <w:p w14:paraId="3CA15CE0" w14:textId="77777777" w:rsidR="005E000F" w:rsidRDefault="00000000">
      <w:pPr>
        <w:pStyle w:val="4"/>
        <w:numPr>
          <w:ilvl w:val="0"/>
          <w:numId w:val="108"/>
        </w:numPr>
        <w:ind w:left="0" w:firstLine="0"/>
      </w:pPr>
      <w:r>
        <w:t>作为承租人</w:t>
      </w:r>
    </w:p>
    <w:sdt>
      <w:sdtPr>
        <w:alias w:val="是否适用：作为承租人[双击切换]"/>
        <w:tag w:val="_GBC_fe311ebf6010457c8817199183148161"/>
        <w:id w:val="-581754149"/>
        <w:lock w:val="contentLocked"/>
        <w:placeholder>
          <w:docPart w:val="GBC22222222222222222222222222222"/>
        </w:placeholder>
      </w:sdtPr>
      <w:sdtContent>
        <w:p w14:paraId="1574CC6D"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CD33D47" w14:textId="77777777" w:rsidR="005E000F" w:rsidRDefault="005E000F"/>
    <w:p w14:paraId="0EE291CE" w14:textId="77777777" w:rsidR="005E000F" w:rsidRDefault="00000000">
      <w:r>
        <w:rPr>
          <w:rFonts w:hint="eastAsia"/>
        </w:rPr>
        <w:t>未纳入租赁负债计量的可变租赁付款额</w:t>
      </w:r>
    </w:p>
    <w:sdt>
      <w:sdtPr>
        <w:alias w:val="是否适用：未纳入租赁负债计量的可变租赁付款额[双击切换]"/>
        <w:tag w:val="_GBC_80d6a089e2ee407391cb1582a957568e"/>
        <w:id w:val="-2026083703"/>
        <w:placeholder>
          <w:docPart w:val="GBC22222222222222222222222222222"/>
        </w:placeholder>
      </w:sdtPr>
      <w:sdtContent>
        <w:p w14:paraId="25004A7A"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未纳入租赁负债计量的可变租赁付款额"/>
        <w:tag w:val="_GBC_c67504feaf85475ea1db6d44d405fc44"/>
        <w:id w:val="1659492773"/>
        <w:placeholder>
          <w:docPart w:val="GBC22222222222222222222222222222"/>
        </w:placeholder>
      </w:sdtPr>
      <w:sdtContent>
        <w:p w14:paraId="1735FE78" w14:textId="77777777" w:rsidR="005E000F" w:rsidRDefault="00000000">
          <w:pPr>
            <w:jc w:val="right"/>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403"/>
            <w:gridCol w:w="2224"/>
            <w:gridCol w:w="2223"/>
          </w:tblGrid>
          <w:tr w:rsidR="005E000F" w14:paraId="48FA4320" w14:textId="77777777">
            <w:trPr>
              <w:trHeight w:val="270"/>
            </w:trPr>
            <w:tc>
              <w:tcPr>
                <w:tcW w:w="2487" w:type="pct"/>
              </w:tcPr>
              <w:p w14:paraId="0D6FF466" w14:textId="77777777" w:rsidR="005E000F" w:rsidRDefault="00000000">
                <w:r>
                  <w:t>项目</w:t>
                </w:r>
              </w:p>
            </w:tc>
            <w:tc>
              <w:tcPr>
                <w:tcW w:w="1256" w:type="pct"/>
              </w:tcPr>
              <w:p w14:paraId="1AFFA661" w14:textId="77777777" w:rsidR="005E000F" w:rsidRDefault="00000000">
                <w:r>
                  <w:t>期末余额</w:t>
                </w:r>
              </w:p>
            </w:tc>
            <w:tc>
              <w:tcPr>
                <w:tcW w:w="1255" w:type="pct"/>
              </w:tcPr>
              <w:p w14:paraId="5C9E88FD" w14:textId="77777777" w:rsidR="005E000F" w:rsidRDefault="00000000">
                <w:r>
                  <w:t>期初余额</w:t>
                </w:r>
              </w:p>
            </w:tc>
          </w:tr>
          <w:tr w:rsidR="005E000F" w14:paraId="4832C193" w14:textId="77777777">
            <w:trPr>
              <w:trHeight w:val="273"/>
            </w:trPr>
            <w:tc>
              <w:tcPr>
                <w:tcW w:w="2487" w:type="pct"/>
              </w:tcPr>
              <w:p w14:paraId="43EE0E12" w14:textId="77777777" w:rsidR="005E000F" w:rsidRDefault="00000000">
                <w:r>
                  <w:t>未纳入租赁负债计量的可变租赁付款额</w:t>
                </w:r>
              </w:p>
            </w:tc>
            <w:tc>
              <w:tcPr>
                <w:tcW w:w="1256" w:type="pct"/>
                <w:shd w:val="clear" w:color="auto" w:fill="auto"/>
                <w:vAlign w:val="center"/>
              </w:tcPr>
              <w:p w14:paraId="1E9EB483" w14:textId="77777777" w:rsidR="005E000F" w:rsidRDefault="00000000">
                <w:pPr>
                  <w:jc w:val="right"/>
                  <w:rPr>
                    <w:rFonts w:ascii="宋体" w:hAnsi="宋体" w:cs="宋体"/>
                    <w:sz w:val="22"/>
                    <w:szCs w:val="22"/>
                  </w:rPr>
                </w:pPr>
                <w:r>
                  <w:t>1,901,471,768</w:t>
                </w:r>
              </w:p>
            </w:tc>
            <w:tc>
              <w:tcPr>
                <w:tcW w:w="1255" w:type="pct"/>
                <w:vAlign w:val="center"/>
              </w:tcPr>
              <w:p w14:paraId="497FD59D" w14:textId="77777777" w:rsidR="005E000F" w:rsidRDefault="00000000">
                <w:pPr>
                  <w:jc w:val="right"/>
                </w:pPr>
                <w:r>
                  <w:t>1,764,945,516</w:t>
                </w:r>
              </w:p>
            </w:tc>
          </w:tr>
        </w:tbl>
        <w:p w14:paraId="5E390090" w14:textId="77777777" w:rsidR="005E000F" w:rsidRDefault="00000000"/>
      </w:sdtContent>
    </w:sdt>
    <w:p w14:paraId="4BD77E30" w14:textId="77777777" w:rsidR="005E000F" w:rsidRDefault="00000000">
      <w:r>
        <w:rPr>
          <w:rFonts w:hint="eastAsia"/>
        </w:rPr>
        <w:t>注：截至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日止，未纳入租赁负债计量的可变租赁付款</w:t>
      </w:r>
      <w:proofErr w:type="gramStart"/>
      <w:r>
        <w:rPr>
          <w:rFonts w:hint="eastAsia"/>
        </w:rPr>
        <w:t>额主要</w:t>
      </w:r>
      <w:proofErr w:type="gramEnd"/>
      <w:r>
        <w:rPr>
          <w:rFonts w:hint="eastAsia"/>
        </w:rPr>
        <w:t>包括租赁动车组而支付的相关款项，该等款项以使用量为基础进行计量，在实际发生时计入当期损益。</w:t>
      </w:r>
    </w:p>
    <w:p w14:paraId="2510C42B" w14:textId="77777777" w:rsidR="005E000F" w:rsidRDefault="005E000F"/>
    <w:p w14:paraId="0F42591A" w14:textId="77777777" w:rsidR="005E000F" w:rsidRDefault="00000000">
      <w:r>
        <w:rPr>
          <w:rFonts w:hint="eastAsia"/>
        </w:rPr>
        <w:t>简化处理的短期租赁或低价值资产的租赁费用</w:t>
      </w:r>
    </w:p>
    <w:sdt>
      <w:sdtPr>
        <w:alias w:val="是否适用：简化处理的短期租赁或低价值资产的租赁费用[双击切换]"/>
        <w:tag w:val="_GBC_9750a0f7bb7b4d4eb353b64f9aef7ed1"/>
        <w:id w:val="-244193758"/>
        <w:placeholder>
          <w:docPart w:val="GBC22222222222222222222222222222"/>
        </w:placeholder>
      </w:sdtPr>
      <w:sdtContent>
        <w:p w14:paraId="7F60E5C0"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简化处理的短期租赁或低价值资产的租赁费用"/>
        <w:tag w:val="_GBC_3b8234b2706245babde4cf12e0a046e4"/>
        <w:id w:val="191891717"/>
        <w:placeholder>
          <w:docPart w:val="GBC22222222222222222222222222222"/>
        </w:placeholder>
      </w:sdtPr>
      <w:sdtContent>
        <w:p w14:paraId="435AF681" w14:textId="77777777" w:rsidR="005E000F" w:rsidRDefault="00000000">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p>
        <w:tbl>
          <w:tblPr>
            <w:tblW w:w="499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398"/>
            <w:gridCol w:w="2222"/>
            <w:gridCol w:w="2221"/>
          </w:tblGrid>
          <w:tr w:rsidR="005E000F" w14:paraId="4AFB5BE4" w14:textId="77777777">
            <w:trPr>
              <w:trHeight w:val="273"/>
            </w:trPr>
            <w:tc>
              <w:tcPr>
                <w:tcW w:w="2487" w:type="pct"/>
              </w:tcPr>
              <w:p w14:paraId="13AF812B" w14:textId="77777777" w:rsidR="005E000F" w:rsidRDefault="00000000">
                <w:r>
                  <w:t>项目</w:t>
                </w:r>
              </w:p>
            </w:tc>
            <w:tc>
              <w:tcPr>
                <w:tcW w:w="1256" w:type="pct"/>
              </w:tcPr>
              <w:p w14:paraId="4EFAFAFA" w14:textId="77777777" w:rsidR="005E000F" w:rsidRDefault="00000000">
                <w:r>
                  <w:t>期末余额</w:t>
                </w:r>
              </w:p>
            </w:tc>
            <w:tc>
              <w:tcPr>
                <w:tcW w:w="1255" w:type="pct"/>
              </w:tcPr>
              <w:p w14:paraId="0D7B370B" w14:textId="77777777" w:rsidR="005E000F" w:rsidRDefault="00000000">
                <w:r>
                  <w:t>期初余额</w:t>
                </w:r>
              </w:p>
            </w:tc>
          </w:tr>
          <w:tr w:rsidR="005E000F" w14:paraId="2A543E04" w14:textId="77777777">
            <w:trPr>
              <w:trHeight w:val="273"/>
            </w:trPr>
            <w:tc>
              <w:tcPr>
                <w:tcW w:w="2487" w:type="pct"/>
              </w:tcPr>
              <w:p w14:paraId="28010AD4" w14:textId="77777777" w:rsidR="005E000F" w:rsidRDefault="00000000">
                <w:r>
                  <w:t>选择简化处理方法的短期租赁</w:t>
                </w:r>
              </w:p>
            </w:tc>
            <w:tc>
              <w:tcPr>
                <w:tcW w:w="1256" w:type="pct"/>
              </w:tcPr>
              <w:p w14:paraId="4B09280E" w14:textId="77777777" w:rsidR="005E000F" w:rsidRDefault="00000000">
                <w:pPr>
                  <w:jc w:val="right"/>
                </w:pPr>
                <w:r>
                  <w:t>567,954,527</w:t>
                </w:r>
              </w:p>
            </w:tc>
            <w:tc>
              <w:tcPr>
                <w:tcW w:w="1255" w:type="pct"/>
              </w:tcPr>
              <w:p w14:paraId="39526E0A" w14:textId="77777777" w:rsidR="005E000F" w:rsidRDefault="00000000">
                <w:pPr>
                  <w:jc w:val="right"/>
                </w:pPr>
                <w:r>
                  <w:t>737,148,953</w:t>
                </w:r>
              </w:p>
            </w:tc>
          </w:tr>
        </w:tbl>
        <w:p w14:paraId="7CDBE4C2" w14:textId="77777777" w:rsidR="005E000F" w:rsidRDefault="00000000"/>
      </w:sdtContent>
    </w:sdt>
    <w:p w14:paraId="1AE3E75B" w14:textId="77777777" w:rsidR="005E000F" w:rsidRDefault="005E000F"/>
    <w:p w14:paraId="342F51B8" w14:textId="77777777" w:rsidR="005E000F" w:rsidRDefault="00000000">
      <w:r>
        <w:rPr>
          <w:rFonts w:hint="eastAsia"/>
        </w:rPr>
        <w:t>售后租回交易及判断依据</w:t>
      </w:r>
    </w:p>
    <w:sdt>
      <w:sdtPr>
        <w:alias w:val="是否适用：售后租回交易及判断依据[双击切换]"/>
        <w:tag w:val="_GBC_a5dfb8e554434d8eb3f4c59e01e27ea4"/>
        <w:id w:val="1277679827"/>
        <w:placeholder>
          <w:docPart w:val="GBC22222222222222222222222222222"/>
        </w:placeholder>
      </w:sdtPr>
      <w:sdtContent>
        <w:p w14:paraId="165EDA8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FF17ED3" w14:textId="77777777" w:rsidR="005E000F" w:rsidRDefault="005E000F"/>
    <w:p w14:paraId="7E9B3712" w14:textId="77777777" w:rsidR="005E000F" w:rsidRDefault="00000000">
      <w:r>
        <w:rPr>
          <w:rFonts w:hint="eastAsia"/>
        </w:rPr>
        <w:t>与租赁相关的现金流出总额</w:t>
      </w:r>
      <w:sdt>
        <w:sdtPr>
          <w:rPr>
            <w:rFonts w:hint="eastAsia"/>
          </w:rPr>
          <w:alias w:val="与租赁相关的现金流出总额"/>
          <w:tag w:val="_GBC_c17023cf7ca74e9a8636a8f592034a57"/>
          <w:id w:val="1399323619"/>
          <w:placeholder>
            <w:docPart w:val="GBC22222222222222222222222222222"/>
          </w:placeholder>
        </w:sdtPr>
        <w:sdtContent>
          <w:r>
            <w:rPr>
              <w:rFonts w:ascii="宋体" w:hAnsi="宋体" w:cs="宋体" w:hint="eastAsia"/>
            </w:rPr>
            <w:t>2,649,393,290</w:t>
          </w:r>
        </w:sdtContent>
      </w:sdt>
      <w:r>
        <w:rPr>
          <w:rFonts w:hint="eastAsia"/>
        </w:rPr>
        <w:t>（单位：</w:t>
      </w:r>
      <w:sdt>
        <w:sdtPr>
          <w:rPr>
            <w:rFonts w:hint="eastAsia"/>
          </w:rPr>
          <w:alias w:val="单位：与租赁相关的现金流出总额"/>
          <w:tag w:val="_GBC_958c18bfb6e24086971643691eba660d"/>
          <w:id w:val="-1847702054"/>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与租赁相关的现金流出总额"/>
          <w:tag w:val="_GBC_fca975f845d34a26bdc9764887518796"/>
          <w:id w:val="-20209268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w:t>
      </w:r>
    </w:p>
    <w:p w14:paraId="239CA640" w14:textId="77777777" w:rsidR="005E000F" w:rsidRDefault="005E000F"/>
    <w:p w14:paraId="4BA2B0B4" w14:textId="77777777" w:rsidR="005E000F" w:rsidRDefault="00000000">
      <w:pPr>
        <w:pStyle w:val="4"/>
        <w:numPr>
          <w:ilvl w:val="0"/>
          <w:numId w:val="108"/>
        </w:numPr>
        <w:ind w:left="0" w:firstLine="0"/>
      </w:pPr>
      <w:r>
        <w:t>作为出租人</w:t>
      </w:r>
    </w:p>
    <w:p w14:paraId="3B61BFDC" w14:textId="77777777" w:rsidR="005E000F" w:rsidRDefault="00000000">
      <w:r>
        <w:t>作为出租人的经营</w:t>
      </w:r>
      <w:r>
        <w:rPr>
          <w:rFonts w:hint="eastAsia"/>
        </w:rPr>
        <w:t>租赁</w:t>
      </w:r>
    </w:p>
    <w:sdt>
      <w:sdtPr>
        <w:rPr>
          <w:rFonts w:hint="eastAsia"/>
        </w:rPr>
        <w:alias w:val="是否适用：作为出租人的经营租赁[双击切换]"/>
        <w:tag w:val="_GBC_d5cd3a4b291f4a089f0080385207b552"/>
        <w:id w:val="1379585214"/>
        <w:placeholder>
          <w:docPart w:val="GBC22222222222222222222222222222"/>
        </w:placeholder>
      </w:sdtPr>
      <w:sdtContent>
        <w:p w14:paraId="300A25ED"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05DC81F" w14:textId="77777777" w:rsidR="005E000F" w:rsidRDefault="00000000">
      <w:pPr>
        <w:jc w:val="right"/>
      </w:pPr>
      <w:r>
        <w:rPr>
          <w:rFonts w:hint="eastAsia"/>
        </w:rPr>
        <w:t>单位：</w:t>
      </w:r>
      <w:sdt>
        <w:sdtPr>
          <w:rPr>
            <w:rFonts w:hint="eastAsia"/>
          </w:rPr>
          <w:alias w:val="单位：作为出租人的经营租赁"/>
          <w:tag w:val="_GBC_33154e0a2b6b4de1ba1d9ac25d94b964"/>
          <w:id w:val="17517393"/>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作为出租人的经营租赁"/>
          <w:tag w:val="_GBC_74d27fbc036640eebacb9f62324bdfd2"/>
          <w:id w:val="-141893604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5"/>
        <w:gridCol w:w="3016"/>
        <w:gridCol w:w="3016"/>
      </w:tblGrid>
      <w:tr w:rsidR="005E000F" w14:paraId="360601CD" w14:textId="77777777">
        <w:sdt>
          <w:sdtPr>
            <w:tag w:val="_PLD_00ecb26a541b4476ae397f9dc938c006"/>
            <w:id w:val="1023749048"/>
          </w:sdtPr>
          <w:sdtContent>
            <w:tc>
              <w:tcPr>
                <w:tcW w:w="3015" w:type="dxa"/>
                <w:vAlign w:val="center"/>
              </w:tcPr>
              <w:p w14:paraId="78D30AA0" w14:textId="77777777" w:rsidR="005E000F" w:rsidRDefault="00000000">
                <w:pPr>
                  <w:jc w:val="center"/>
                </w:pPr>
                <w:r>
                  <w:rPr>
                    <w:rFonts w:hint="eastAsia"/>
                  </w:rPr>
                  <w:t>项目</w:t>
                </w:r>
              </w:p>
            </w:tc>
          </w:sdtContent>
        </w:sdt>
        <w:sdt>
          <w:sdtPr>
            <w:tag w:val="_PLD_96216f0f4e664412a0e5e854a957fa35"/>
            <w:id w:val="2042630399"/>
          </w:sdtPr>
          <w:sdtContent>
            <w:tc>
              <w:tcPr>
                <w:tcW w:w="3016" w:type="dxa"/>
                <w:vAlign w:val="center"/>
              </w:tcPr>
              <w:p w14:paraId="534B9343" w14:textId="77777777" w:rsidR="005E000F" w:rsidRDefault="00000000">
                <w:pPr>
                  <w:jc w:val="center"/>
                </w:pPr>
                <w:r>
                  <w:t>租赁收入</w:t>
                </w:r>
              </w:p>
            </w:tc>
          </w:sdtContent>
        </w:sdt>
        <w:sdt>
          <w:sdtPr>
            <w:tag w:val="_PLD_ad377951fc0c44299ea39a709c6a8089"/>
            <w:id w:val="1303975963"/>
          </w:sdtPr>
          <w:sdtContent>
            <w:tc>
              <w:tcPr>
                <w:tcW w:w="3016" w:type="dxa"/>
                <w:vAlign w:val="center"/>
              </w:tcPr>
              <w:p w14:paraId="155D43FD" w14:textId="77777777" w:rsidR="005E000F" w:rsidRDefault="00000000">
                <w:pPr>
                  <w:jc w:val="center"/>
                </w:pPr>
                <w:r>
                  <w:t>其中</w:t>
                </w:r>
                <w:r>
                  <w:rPr>
                    <w:rFonts w:hint="eastAsia"/>
                  </w:rPr>
                  <w:t>:</w:t>
                </w:r>
                <w:r>
                  <w:t>未计入</w:t>
                </w:r>
                <w:proofErr w:type="gramStart"/>
                <w:r>
                  <w:t>租赁收</w:t>
                </w:r>
                <w:proofErr w:type="gramEnd"/>
                <w:r>
                  <w:t>款额的可变租赁付款</w:t>
                </w:r>
                <w:proofErr w:type="gramStart"/>
                <w:r>
                  <w:t>额相关</w:t>
                </w:r>
                <w:proofErr w:type="gramEnd"/>
                <w:r>
                  <w:t>的收入</w:t>
                </w:r>
              </w:p>
            </w:tc>
          </w:sdtContent>
        </w:sdt>
      </w:tr>
      <w:tr w:rsidR="005E000F" w14:paraId="48DB3F92" w14:textId="77777777">
        <w:tc>
          <w:tcPr>
            <w:tcW w:w="3015" w:type="dxa"/>
            <w:vAlign w:val="center"/>
          </w:tcPr>
          <w:p w14:paraId="1F7FD47D" w14:textId="77777777" w:rsidR="005E000F" w:rsidRDefault="00000000">
            <w:pPr>
              <w:rPr>
                <w:rFonts w:cs="宋体"/>
                <w:bCs/>
              </w:rPr>
            </w:pPr>
            <w:r>
              <w:rPr>
                <w:rFonts w:cs="宋体" w:hint="eastAsia"/>
                <w:bCs/>
              </w:rPr>
              <w:lastRenderedPageBreak/>
              <w:t>机车车辆</w:t>
            </w:r>
          </w:p>
        </w:tc>
        <w:tc>
          <w:tcPr>
            <w:tcW w:w="3016" w:type="dxa"/>
            <w:vAlign w:val="center"/>
          </w:tcPr>
          <w:p w14:paraId="06079009" w14:textId="77777777" w:rsidR="005E000F" w:rsidRDefault="00000000">
            <w:pPr>
              <w:jc w:val="right"/>
            </w:pPr>
            <w:r>
              <w:t>58,211,810</w:t>
            </w:r>
          </w:p>
        </w:tc>
        <w:tc>
          <w:tcPr>
            <w:tcW w:w="3016" w:type="dxa"/>
            <w:vAlign w:val="center"/>
          </w:tcPr>
          <w:p w14:paraId="6B2D6DD4" w14:textId="77777777" w:rsidR="005E000F" w:rsidRDefault="00000000">
            <w:pPr>
              <w:jc w:val="right"/>
            </w:pPr>
            <w:r>
              <w:t xml:space="preserve"> / </w:t>
            </w:r>
          </w:p>
        </w:tc>
      </w:tr>
      <w:tr w:rsidR="005E000F" w14:paraId="70F54CE6" w14:textId="77777777">
        <w:tc>
          <w:tcPr>
            <w:tcW w:w="3015" w:type="dxa"/>
            <w:vAlign w:val="center"/>
          </w:tcPr>
          <w:p w14:paraId="1E22B110" w14:textId="77777777" w:rsidR="005E000F" w:rsidRDefault="00000000">
            <w:pPr>
              <w:rPr>
                <w:rFonts w:cs="宋体"/>
                <w:bCs/>
              </w:rPr>
            </w:pPr>
            <w:r>
              <w:rPr>
                <w:rFonts w:cs="宋体" w:hint="eastAsia"/>
                <w:bCs/>
              </w:rPr>
              <w:t>土地房屋使用租赁</w:t>
            </w:r>
          </w:p>
        </w:tc>
        <w:tc>
          <w:tcPr>
            <w:tcW w:w="3016" w:type="dxa"/>
            <w:vAlign w:val="center"/>
          </w:tcPr>
          <w:p w14:paraId="33EF714E" w14:textId="77777777" w:rsidR="005E000F" w:rsidRDefault="00000000">
            <w:pPr>
              <w:jc w:val="right"/>
            </w:pPr>
            <w:r>
              <w:t>93,541,754</w:t>
            </w:r>
          </w:p>
        </w:tc>
        <w:tc>
          <w:tcPr>
            <w:tcW w:w="3016" w:type="dxa"/>
            <w:vAlign w:val="center"/>
          </w:tcPr>
          <w:p w14:paraId="03DA838C" w14:textId="77777777" w:rsidR="005E000F" w:rsidRDefault="00000000">
            <w:pPr>
              <w:jc w:val="right"/>
            </w:pPr>
            <w:r>
              <w:t xml:space="preserve"> / </w:t>
            </w:r>
          </w:p>
        </w:tc>
      </w:tr>
      <w:tr w:rsidR="005E000F" w14:paraId="78F2E611" w14:textId="77777777">
        <w:tc>
          <w:tcPr>
            <w:tcW w:w="3015" w:type="dxa"/>
            <w:vAlign w:val="center"/>
          </w:tcPr>
          <w:p w14:paraId="0D9418DB" w14:textId="77777777" w:rsidR="005E000F" w:rsidRDefault="00000000">
            <w:pPr>
              <w:rPr>
                <w:rFonts w:cs="宋体"/>
                <w:bCs/>
              </w:rPr>
            </w:pPr>
            <w:r>
              <w:rPr>
                <w:rFonts w:cs="宋体" w:hint="eastAsia"/>
                <w:bCs/>
              </w:rPr>
              <w:t>其他设施设备租赁</w:t>
            </w:r>
          </w:p>
        </w:tc>
        <w:tc>
          <w:tcPr>
            <w:tcW w:w="3016" w:type="dxa"/>
            <w:vAlign w:val="center"/>
          </w:tcPr>
          <w:p w14:paraId="058A426F" w14:textId="77777777" w:rsidR="005E000F" w:rsidRDefault="00000000">
            <w:pPr>
              <w:jc w:val="right"/>
            </w:pPr>
            <w:r>
              <w:t>25,525,009</w:t>
            </w:r>
          </w:p>
        </w:tc>
        <w:tc>
          <w:tcPr>
            <w:tcW w:w="3016" w:type="dxa"/>
            <w:vAlign w:val="center"/>
          </w:tcPr>
          <w:p w14:paraId="24234AA2" w14:textId="77777777" w:rsidR="005E000F" w:rsidRDefault="00000000">
            <w:pPr>
              <w:jc w:val="right"/>
            </w:pPr>
            <w:r>
              <w:t xml:space="preserve"> / </w:t>
            </w:r>
          </w:p>
        </w:tc>
      </w:tr>
      <w:tr w:rsidR="005E000F" w14:paraId="076D5940" w14:textId="77777777">
        <w:tc>
          <w:tcPr>
            <w:tcW w:w="3015" w:type="dxa"/>
            <w:vAlign w:val="center"/>
          </w:tcPr>
          <w:p w14:paraId="19710361" w14:textId="77777777" w:rsidR="005E000F" w:rsidRDefault="00000000">
            <w:pPr>
              <w:jc w:val="center"/>
            </w:pPr>
            <w:r>
              <w:t>合计</w:t>
            </w:r>
          </w:p>
        </w:tc>
        <w:tc>
          <w:tcPr>
            <w:tcW w:w="3016" w:type="dxa"/>
            <w:vAlign w:val="center"/>
          </w:tcPr>
          <w:p w14:paraId="1F9B549E" w14:textId="77777777" w:rsidR="005E000F" w:rsidRDefault="00000000">
            <w:pPr>
              <w:jc w:val="right"/>
            </w:pPr>
            <w:r>
              <w:t>177,278,573.00</w:t>
            </w:r>
          </w:p>
        </w:tc>
        <w:tc>
          <w:tcPr>
            <w:tcW w:w="3016" w:type="dxa"/>
            <w:vAlign w:val="center"/>
          </w:tcPr>
          <w:p w14:paraId="2509E39A" w14:textId="77777777" w:rsidR="005E000F" w:rsidRDefault="00000000">
            <w:pPr>
              <w:jc w:val="right"/>
            </w:pPr>
            <w:r>
              <w:rPr>
                <w:rFonts w:hint="eastAsia"/>
              </w:rPr>
              <w:t>/</w:t>
            </w:r>
          </w:p>
        </w:tc>
      </w:tr>
    </w:tbl>
    <w:p w14:paraId="0905989C" w14:textId="77777777" w:rsidR="005E000F" w:rsidRDefault="005E000F">
      <w:pPr>
        <w:rPr>
          <w:b/>
        </w:rPr>
      </w:pPr>
    </w:p>
    <w:p w14:paraId="36BC6087" w14:textId="77777777" w:rsidR="005E000F" w:rsidRDefault="00000000">
      <w:r>
        <w:t>作为出租人的融资租赁</w:t>
      </w:r>
    </w:p>
    <w:sdt>
      <w:sdtPr>
        <w:alias w:val="是否适用：作为出租人的融资租赁[双击切换]"/>
        <w:tag w:val="_GBC_a96fee2f2d7c4192a3a8f10ae08d73cc"/>
        <w:id w:val="346835432"/>
        <w:placeholder>
          <w:docPart w:val="GBC22222222222222222222222222222"/>
        </w:placeholder>
      </w:sdtPr>
      <w:sdtContent>
        <w:p w14:paraId="73CFFC4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D0EE6F9" w14:textId="77777777" w:rsidR="005E000F" w:rsidRDefault="005E000F">
      <w:pPr>
        <w:rPr>
          <w:b/>
        </w:rPr>
      </w:pPr>
    </w:p>
    <w:p w14:paraId="0FBF9F93" w14:textId="77777777" w:rsidR="005E000F" w:rsidRDefault="00000000">
      <w:r>
        <w:t>未折现</w:t>
      </w:r>
      <w:proofErr w:type="gramStart"/>
      <w:r>
        <w:t>租赁收</w:t>
      </w:r>
      <w:proofErr w:type="gramEnd"/>
      <w:r>
        <w:t>款额与租赁投资净额的调节表</w:t>
      </w:r>
    </w:p>
    <w:sdt>
      <w:sdtPr>
        <w:alias w:val="是否适用：未折现租赁收款额与租赁投资净额的调节表?[双击切换]"/>
        <w:tag w:val="_GBC_4a108274280e49bd8dc1cba49cff5159"/>
        <w:id w:val="1900098537"/>
        <w:placeholder>
          <w:docPart w:val="GBC22222222222222222222222222222"/>
        </w:placeholder>
      </w:sdtPr>
      <w:sdtContent>
        <w:p w14:paraId="455977F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45BDCA1" w14:textId="77777777" w:rsidR="005E000F" w:rsidRDefault="005E000F">
      <w:pPr>
        <w:rPr>
          <w:b/>
        </w:rPr>
      </w:pPr>
    </w:p>
    <w:p w14:paraId="232BD22C" w14:textId="77777777" w:rsidR="005E000F" w:rsidRDefault="00000000">
      <w:r>
        <w:t>未来五年</w:t>
      </w:r>
      <w:r>
        <w:rPr>
          <w:rFonts w:hint="eastAsia"/>
        </w:rPr>
        <w:t>未</w:t>
      </w:r>
      <w:r>
        <w:t>折现</w:t>
      </w:r>
      <w:proofErr w:type="gramStart"/>
      <w:r>
        <w:t>租赁收</w:t>
      </w:r>
      <w:proofErr w:type="gramEnd"/>
      <w:r>
        <w:t>款额</w:t>
      </w:r>
    </w:p>
    <w:sdt>
      <w:sdtPr>
        <w:alias w:val="是否适用：未来五年未折现租赁收款额[双击切换]"/>
        <w:tag w:val="_GBC_60c95c043b424e188bd225c67d071e24"/>
        <w:id w:val="-983152586"/>
        <w:placeholder>
          <w:docPart w:val="GBC22222222222222222222222222222"/>
        </w:placeholder>
      </w:sdtPr>
      <w:sdtContent>
        <w:p w14:paraId="632AB8F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907243C" w14:textId="77777777" w:rsidR="005E000F" w:rsidRDefault="005E000F">
      <w:pPr>
        <w:rPr>
          <w:b/>
        </w:rPr>
      </w:pPr>
    </w:p>
    <w:p w14:paraId="220614B3" w14:textId="77777777" w:rsidR="005E000F" w:rsidRDefault="00000000">
      <w:pPr>
        <w:pStyle w:val="4"/>
        <w:numPr>
          <w:ilvl w:val="0"/>
          <w:numId w:val="108"/>
        </w:numPr>
        <w:ind w:left="0" w:firstLine="0"/>
      </w:pPr>
      <w:r>
        <w:t>作为生产商或经销商确认融资租赁销售损益</w:t>
      </w:r>
    </w:p>
    <w:sdt>
      <w:sdtPr>
        <w:alias w:val="是否适用：作为生产商或经销商确认融资租赁销售损益[双击切换]"/>
        <w:tag w:val="_GBC_595c7ca108a34d50bffdd3e765cca466"/>
        <w:id w:val="-340859980"/>
        <w:placeholder>
          <w:docPart w:val="GBC22222222222222222222222222222"/>
        </w:placeholder>
      </w:sdtPr>
      <w:sdtContent>
        <w:p w14:paraId="5E54D71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7CC72CE" w14:textId="77777777" w:rsidR="005E000F" w:rsidRDefault="005E000F"/>
    <w:p w14:paraId="795D46CA" w14:textId="77777777" w:rsidR="005E000F" w:rsidRDefault="00000000">
      <w:r>
        <w:rPr>
          <w:rFonts w:hint="eastAsia"/>
        </w:rPr>
        <w:t>其他说明：</w:t>
      </w:r>
    </w:p>
    <w:sdt>
      <w:sdtPr>
        <w:alias w:val="租赁其他说明"/>
        <w:tag w:val="_GBC_c4951ce943a04c5e965df092a40963b7"/>
        <w:id w:val="633139812"/>
        <w:placeholder>
          <w:docPart w:val="GBC22222222222222222222222222222"/>
        </w:placeholder>
      </w:sdtPr>
      <w:sdtContent>
        <w:p w14:paraId="0A719A43" w14:textId="77777777" w:rsidR="005E000F" w:rsidRDefault="00000000">
          <w:r>
            <w:rPr>
              <w:rFonts w:hint="eastAsia"/>
            </w:rPr>
            <w:t>无</w:t>
          </w:r>
        </w:p>
      </w:sdtContent>
    </w:sdt>
    <w:p w14:paraId="4337BEF4" w14:textId="77777777" w:rsidR="005E000F" w:rsidRDefault="005E000F"/>
    <w:p w14:paraId="4CA55C79" w14:textId="77777777" w:rsidR="005E000F" w:rsidRDefault="00000000">
      <w:pPr>
        <w:pStyle w:val="3"/>
        <w:numPr>
          <w:ilvl w:val="0"/>
          <w:numId w:val="66"/>
        </w:numPr>
        <w:tabs>
          <w:tab w:val="left" w:pos="504"/>
        </w:tabs>
        <w:rPr>
          <w:rFonts w:ascii="宋体" w:hAnsi="宋体"/>
          <w:color w:val="000000" w:themeColor="text1"/>
        </w:rPr>
      </w:pPr>
      <w:bookmarkStart w:id="402" w:name="_Hlk182485828"/>
      <w:r>
        <w:rPr>
          <w:rFonts w:ascii="宋体" w:hAnsi="宋体" w:hint="eastAsia"/>
          <w:color w:val="000000" w:themeColor="text1"/>
        </w:rPr>
        <w:t>数据资源</w:t>
      </w:r>
    </w:p>
    <w:sdt>
      <w:sdtPr>
        <w:rPr>
          <w:color w:val="000000" w:themeColor="text1"/>
        </w:rPr>
        <w:alias w:val="是否适用：附注数据资源需要说明的事项[双击切换]"/>
        <w:tag w:val="_GBC_a8e8280e20f44ceba7092d703f59659a"/>
        <w:id w:val="1293793060"/>
        <w:placeholder>
          <w:docPart w:val="GBC22222222222222222222222222222"/>
        </w:placeholder>
      </w:sdtPr>
      <w:sdtContent>
        <w:p w14:paraId="7ED972E2"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77193BA3" w14:textId="77777777" w:rsidR="005E000F" w:rsidRDefault="005E000F">
      <w:pPr>
        <w:rPr>
          <w:color w:val="000000" w:themeColor="text1"/>
        </w:rPr>
      </w:pPr>
    </w:p>
    <w:bookmarkEnd w:id="402"/>
    <w:p w14:paraId="1E11E004" w14:textId="77777777" w:rsidR="005E000F" w:rsidRDefault="00000000">
      <w:pPr>
        <w:pStyle w:val="3"/>
        <w:numPr>
          <w:ilvl w:val="0"/>
          <w:numId w:val="66"/>
        </w:numPr>
        <w:tabs>
          <w:tab w:val="left" w:pos="504"/>
        </w:tabs>
      </w:pPr>
      <w:r>
        <w:rPr>
          <w:rFonts w:hint="eastAsia"/>
        </w:rPr>
        <w:t>其他</w:t>
      </w:r>
    </w:p>
    <w:sdt>
      <w:sdtPr>
        <w:alias w:val="是否适用：合并财务报表项目注释其他需要说明的事项[双击切换]"/>
        <w:tag w:val="_GBC_67815da71293483fad0e823098235edb"/>
        <w:id w:val="-778950792"/>
        <w:placeholder>
          <w:docPart w:val="GBC22222222222222222222222222222"/>
        </w:placeholder>
      </w:sdtPr>
      <w:sdtContent>
        <w:p w14:paraId="2ECBC06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合并财务报表项目注释其他需要说明的事项"/>
        <w:tag w:val="_GBC_03ae82bfa95448a9a91a327b060305d9"/>
        <w:id w:val="1902479369"/>
        <w:placeholder>
          <w:docPart w:val="GBC22222222222222222222222222222"/>
        </w:placeholder>
      </w:sdtPr>
      <w:sdtContent>
        <w:p w14:paraId="59A15682" w14:textId="77777777" w:rsidR="005E000F" w:rsidRDefault="00000000">
          <w:pPr>
            <w:pStyle w:val="ad"/>
            <w:spacing w:before="1"/>
            <w:ind w:left="158"/>
          </w:pPr>
          <w:r>
            <w:t>利润表中的营业成本、销售费用、管理费用和研发费用按照性质分类，列示如下：</w:t>
          </w:r>
        </w:p>
      </w:sdtContent>
    </w:sdt>
    <w:p w14:paraId="1D809551" w14:textId="77777777" w:rsidR="005E000F" w:rsidRDefault="00000000">
      <w:pPr>
        <w:pStyle w:val="ad"/>
        <w:tabs>
          <w:tab w:val="left" w:pos="7731"/>
        </w:tabs>
        <w:spacing w:before="4"/>
        <w:jc w:val="right"/>
      </w:pPr>
      <w:r>
        <w:t>单位</w:t>
      </w:r>
      <w:r>
        <w:rPr>
          <w:spacing w:val="-3"/>
        </w:rPr>
        <w:t>：</w:t>
      </w:r>
      <w:r>
        <w:t>元</w:t>
      </w:r>
      <w:r>
        <w:rPr>
          <w:rFonts w:hint="eastAsia"/>
        </w:rPr>
        <w:t xml:space="preserve"> </w:t>
      </w:r>
      <w:r>
        <w:t>币</w:t>
      </w:r>
      <w:r>
        <w:rPr>
          <w:spacing w:val="-3"/>
        </w:rPr>
        <w:t>种</w:t>
      </w:r>
      <w:r>
        <w:t>：</w:t>
      </w:r>
      <w:r>
        <w:rPr>
          <w:spacing w:val="-3"/>
        </w:rPr>
        <w:t>人</w:t>
      </w:r>
      <w:r>
        <w:t>民币</w:t>
      </w:r>
    </w:p>
    <w:tbl>
      <w:tblPr>
        <w:tblW w:w="8823" w:type="dxa"/>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43"/>
        <w:gridCol w:w="2940"/>
        <w:gridCol w:w="2940"/>
      </w:tblGrid>
      <w:tr w:rsidR="005E000F" w14:paraId="3AF173A6" w14:textId="77777777">
        <w:trPr>
          <w:trHeight w:val="273"/>
        </w:trPr>
        <w:tc>
          <w:tcPr>
            <w:tcW w:w="2943" w:type="dxa"/>
          </w:tcPr>
          <w:p w14:paraId="68ED00F7" w14:textId="77777777" w:rsidR="005E000F" w:rsidRDefault="00000000">
            <w:pPr>
              <w:pStyle w:val="TableParagraph"/>
              <w:spacing w:line="252" w:lineRule="exact"/>
              <w:ind w:left="1029" w:right="1021"/>
              <w:jc w:val="center"/>
              <w:rPr>
                <w:sz w:val="21"/>
              </w:rPr>
            </w:pPr>
            <w:proofErr w:type="spellStart"/>
            <w:r>
              <w:rPr>
                <w:sz w:val="21"/>
              </w:rPr>
              <w:t>项目</w:t>
            </w:r>
            <w:proofErr w:type="spellEnd"/>
          </w:p>
        </w:tc>
        <w:tc>
          <w:tcPr>
            <w:tcW w:w="2940" w:type="dxa"/>
          </w:tcPr>
          <w:p w14:paraId="674AFAF0" w14:textId="77777777" w:rsidR="005E000F" w:rsidRDefault="00000000">
            <w:pPr>
              <w:pStyle w:val="TableParagraph"/>
              <w:spacing w:line="252" w:lineRule="exact"/>
              <w:ind w:left="940"/>
              <w:rPr>
                <w:sz w:val="21"/>
              </w:rPr>
            </w:pPr>
            <w:proofErr w:type="spellStart"/>
            <w:r>
              <w:rPr>
                <w:sz w:val="21"/>
              </w:rPr>
              <w:t>本期发生额</w:t>
            </w:r>
            <w:proofErr w:type="spellEnd"/>
          </w:p>
        </w:tc>
        <w:tc>
          <w:tcPr>
            <w:tcW w:w="2940" w:type="dxa"/>
          </w:tcPr>
          <w:p w14:paraId="4289C904" w14:textId="77777777" w:rsidR="005E000F" w:rsidRDefault="00000000">
            <w:pPr>
              <w:pStyle w:val="TableParagraph"/>
              <w:spacing w:line="252" w:lineRule="exact"/>
              <w:ind w:left="943"/>
              <w:rPr>
                <w:sz w:val="21"/>
              </w:rPr>
            </w:pPr>
            <w:proofErr w:type="spellStart"/>
            <w:r>
              <w:rPr>
                <w:sz w:val="21"/>
              </w:rPr>
              <w:t>上期发生额</w:t>
            </w:r>
            <w:proofErr w:type="spellEnd"/>
          </w:p>
        </w:tc>
      </w:tr>
      <w:tr w:rsidR="005E000F" w14:paraId="02C9880E" w14:textId="77777777">
        <w:trPr>
          <w:trHeight w:val="273"/>
        </w:trPr>
        <w:tc>
          <w:tcPr>
            <w:tcW w:w="2943" w:type="dxa"/>
            <w:vAlign w:val="center"/>
          </w:tcPr>
          <w:p w14:paraId="5BEE6EEF" w14:textId="77777777" w:rsidR="005E000F" w:rsidRDefault="00000000">
            <w:pPr>
              <w:rPr>
                <w:rFonts w:cs="宋体"/>
                <w:bCs/>
              </w:rPr>
            </w:pPr>
            <w:r>
              <w:rPr>
                <w:rFonts w:cs="宋体" w:hint="eastAsia"/>
                <w:bCs/>
              </w:rPr>
              <w:t>人员费用</w:t>
            </w:r>
          </w:p>
        </w:tc>
        <w:tc>
          <w:tcPr>
            <w:tcW w:w="2940" w:type="dxa"/>
            <w:vAlign w:val="center"/>
          </w:tcPr>
          <w:p w14:paraId="6522B98A" w14:textId="77777777" w:rsidR="005E000F" w:rsidRDefault="00000000">
            <w:pPr>
              <w:jc w:val="right"/>
            </w:pPr>
            <w:r>
              <w:t>23,550,935,193</w:t>
            </w:r>
          </w:p>
        </w:tc>
        <w:tc>
          <w:tcPr>
            <w:tcW w:w="2940" w:type="dxa"/>
            <w:vAlign w:val="center"/>
          </w:tcPr>
          <w:p w14:paraId="0034C07F" w14:textId="77777777" w:rsidR="005E000F" w:rsidRDefault="00000000">
            <w:pPr>
              <w:jc w:val="right"/>
            </w:pPr>
            <w:r>
              <w:t>23,138,577,862</w:t>
            </w:r>
          </w:p>
        </w:tc>
      </w:tr>
      <w:tr w:rsidR="005E000F" w14:paraId="618E8D95" w14:textId="77777777">
        <w:trPr>
          <w:trHeight w:val="270"/>
        </w:trPr>
        <w:tc>
          <w:tcPr>
            <w:tcW w:w="2943" w:type="dxa"/>
            <w:vAlign w:val="center"/>
          </w:tcPr>
          <w:p w14:paraId="0875323E" w14:textId="77777777" w:rsidR="005E000F" w:rsidRDefault="00000000">
            <w:pPr>
              <w:rPr>
                <w:rFonts w:cs="宋体"/>
                <w:bCs/>
              </w:rPr>
            </w:pPr>
            <w:r>
              <w:rPr>
                <w:rFonts w:cs="宋体" w:hint="eastAsia"/>
                <w:bCs/>
              </w:rPr>
              <w:t>折旧和摊销费用</w:t>
            </w:r>
          </w:p>
        </w:tc>
        <w:tc>
          <w:tcPr>
            <w:tcW w:w="2940" w:type="dxa"/>
            <w:vAlign w:val="center"/>
          </w:tcPr>
          <w:p w14:paraId="13153C5F" w14:textId="77777777" w:rsidR="005E000F" w:rsidRDefault="00000000">
            <w:pPr>
              <w:jc w:val="right"/>
            </w:pPr>
            <w:r>
              <w:t>5,667,700,550</w:t>
            </w:r>
          </w:p>
        </w:tc>
        <w:tc>
          <w:tcPr>
            <w:tcW w:w="2940" w:type="dxa"/>
            <w:vAlign w:val="center"/>
          </w:tcPr>
          <w:p w14:paraId="30B9C385" w14:textId="77777777" w:rsidR="005E000F" w:rsidRDefault="00000000">
            <w:pPr>
              <w:jc w:val="right"/>
            </w:pPr>
            <w:r>
              <w:t>5,741,343,888</w:t>
            </w:r>
          </w:p>
        </w:tc>
      </w:tr>
      <w:tr w:rsidR="005E000F" w14:paraId="1754D962" w14:textId="77777777">
        <w:trPr>
          <w:trHeight w:val="273"/>
        </w:trPr>
        <w:tc>
          <w:tcPr>
            <w:tcW w:w="2943" w:type="dxa"/>
            <w:vAlign w:val="center"/>
          </w:tcPr>
          <w:p w14:paraId="34DA8188" w14:textId="77777777" w:rsidR="005E000F" w:rsidRDefault="00000000">
            <w:pPr>
              <w:rPr>
                <w:rFonts w:cs="宋体"/>
                <w:bCs/>
              </w:rPr>
            </w:pPr>
            <w:r>
              <w:rPr>
                <w:rFonts w:cs="宋体" w:hint="eastAsia"/>
                <w:bCs/>
              </w:rPr>
              <w:t>货车使用费</w:t>
            </w:r>
          </w:p>
        </w:tc>
        <w:tc>
          <w:tcPr>
            <w:tcW w:w="2940" w:type="dxa"/>
            <w:vAlign w:val="center"/>
          </w:tcPr>
          <w:p w14:paraId="3DA80BE2" w14:textId="77777777" w:rsidR="005E000F" w:rsidRDefault="00000000">
            <w:pPr>
              <w:jc w:val="right"/>
            </w:pPr>
            <w:r>
              <w:t>3,251,613,829</w:t>
            </w:r>
          </w:p>
        </w:tc>
        <w:tc>
          <w:tcPr>
            <w:tcW w:w="2940" w:type="dxa"/>
            <w:vAlign w:val="center"/>
          </w:tcPr>
          <w:p w14:paraId="72DCAFE5" w14:textId="77777777" w:rsidR="005E000F" w:rsidRDefault="00000000">
            <w:pPr>
              <w:jc w:val="right"/>
            </w:pPr>
            <w:r>
              <w:t>3,093,272,351</w:t>
            </w:r>
          </w:p>
        </w:tc>
      </w:tr>
      <w:tr w:rsidR="005E000F" w14:paraId="3D4BBCEA" w14:textId="77777777">
        <w:trPr>
          <w:trHeight w:val="273"/>
        </w:trPr>
        <w:tc>
          <w:tcPr>
            <w:tcW w:w="2943" w:type="dxa"/>
            <w:vAlign w:val="center"/>
          </w:tcPr>
          <w:p w14:paraId="2D243B60" w14:textId="77777777" w:rsidR="005E000F" w:rsidRDefault="00000000">
            <w:pPr>
              <w:rPr>
                <w:rFonts w:cs="宋体"/>
                <w:bCs/>
              </w:rPr>
            </w:pPr>
            <w:r>
              <w:rPr>
                <w:rFonts w:cs="宋体" w:hint="eastAsia"/>
                <w:bCs/>
              </w:rPr>
              <w:t>机客车租赁费</w:t>
            </w:r>
          </w:p>
        </w:tc>
        <w:tc>
          <w:tcPr>
            <w:tcW w:w="2940" w:type="dxa"/>
            <w:vAlign w:val="center"/>
          </w:tcPr>
          <w:p w14:paraId="6206A33F" w14:textId="77777777" w:rsidR="005E000F" w:rsidRDefault="00000000">
            <w:pPr>
              <w:jc w:val="right"/>
            </w:pPr>
            <w:r>
              <w:t>1,901,471,768</w:t>
            </w:r>
          </w:p>
        </w:tc>
        <w:tc>
          <w:tcPr>
            <w:tcW w:w="2940" w:type="dxa"/>
            <w:vAlign w:val="center"/>
          </w:tcPr>
          <w:p w14:paraId="33B18BC4" w14:textId="77777777" w:rsidR="005E000F" w:rsidRDefault="00000000">
            <w:pPr>
              <w:jc w:val="right"/>
            </w:pPr>
            <w:r>
              <w:t>1,764,945,516</w:t>
            </w:r>
          </w:p>
        </w:tc>
      </w:tr>
      <w:tr w:rsidR="005E000F" w14:paraId="5FE8ABA9" w14:textId="77777777">
        <w:trPr>
          <w:trHeight w:val="270"/>
        </w:trPr>
        <w:tc>
          <w:tcPr>
            <w:tcW w:w="2943" w:type="dxa"/>
            <w:vAlign w:val="center"/>
          </w:tcPr>
          <w:p w14:paraId="1D9B2744" w14:textId="77777777" w:rsidR="005E000F" w:rsidRDefault="00000000">
            <w:pPr>
              <w:rPr>
                <w:rFonts w:cs="宋体"/>
                <w:bCs/>
              </w:rPr>
            </w:pPr>
            <w:r>
              <w:rPr>
                <w:rFonts w:cs="宋体" w:hint="eastAsia"/>
                <w:bCs/>
              </w:rPr>
              <w:t>材料、燃料和电力</w:t>
            </w:r>
          </w:p>
        </w:tc>
        <w:tc>
          <w:tcPr>
            <w:tcW w:w="2940" w:type="dxa"/>
            <w:vAlign w:val="center"/>
          </w:tcPr>
          <w:p w14:paraId="643E0F67" w14:textId="77777777" w:rsidR="005E000F" w:rsidRDefault="00000000">
            <w:pPr>
              <w:jc w:val="right"/>
            </w:pPr>
            <w:r>
              <w:t>4,258,258,331</w:t>
            </w:r>
          </w:p>
        </w:tc>
        <w:tc>
          <w:tcPr>
            <w:tcW w:w="2940" w:type="dxa"/>
            <w:vAlign w:val="center"/>
          </w:tcPr>
          <w:p w14:paraId="3BE1C8FF" w14:textId="77777777" w:rsidR="005E000F" w:rsidRDefault="00000000">
            <w:pPr>
              <w:jc w:val="right"/>
            </w:pPr>
            <w:r>
              <w:t>4,421,279,280</w:t>
            </w:r>
          </w:p>
        </w:tc>
      </w:tr>
      <w:tr w:rsidR="005E000F" w14:paraId="5E61E3F1" w14:textId="77777777">
        <w:trPr>
          <w:trHeight w:val="273"/>
        </w:trPr>
        <w:tc>
          <w:tcPr>
            <w:tcW w:w="2943" w:type="dxa"/>
            <w:vAlign w:val="center"/>
          </w:tcPr>
          <w:p w14:paraId="7C0E681B" w14:textId="77777777" w:rsidR="005E000F" w:rsidRDefault="00000000">
            <w:pPr>
              <w:rPr>
                <w:rFonts w:cs="宋体"/>
                <w:bCs/>
              </w:rPr>
            </w:pPr>
            <w:r>
              <w:rPr>
                <w:rFonts w:cs="宋体" w:hint="eastAsia"/>
                <w:bCs/>
              </w:rPr>
              <w:t>大修支出</w:t>
            </w:r>
          </w:p>
        </w:tc>
        <w:tc>
          <w:tcPr>
            <w:tcW w:w="2940" w:type="dxa"/>
            <w:vAlign w:val="center"/>
          </w:tcPr>
          <w:p w14:paraId="4FBCBB5C" w14:textId="77777777" w:rsidR="005E000F" w:rsidRDefault="00000000">
            <w:pPr>
              <w:jc w:val="right"/>
            </w:pPr>
            <w:r>
              <w:t>397,338,386</w:t>
            </w:r>
          </w:p>
        </w:tc>
        <w:tc>
          <w:tcPr>
            <w:tcW w:w="2940" w:type="dxa"/>
            <w:vAlign w:val="center"/>
          </w:tcPr>
          <w:p w14:paraId="166C9376" w14:textId="77777777" w:rsidR="005E000F" w:rsidRDefault="00000000">
            <w:pPr>
              <w:jc w:val="right"/>
            </w:pPr>
            <w:r>
              <w:t>247,099,516</w:t>
            </w:r>
          </w:p>
        </w:tc>
      </w:tr>
      <w:tr w:rsidR="005E000F" w14:paraId="4E36BF9C" w14:textId="77777777">
        <w:trPr>
          <w:trHeight w:val="270"/>
        </w:trPr>
        <w:tc>
          <w:tcPr>
            <w:tcW w:w="2943" w:type="dxa"/>
            <w:vAlign w:val="center"/>
          </w:tcPr>
          <w:p w14:paraId="6C7278BA" w14:textId="77777777" w:rsidR="005E000F" w:rsidRDefault="00000000">
            <w:pPr>
              <w:rPr>
                <w:rFonts w:cs="宋体"/>
                <w:bCs/>
              </w:rPr>
            </w:pPr>
            <w:r>
              <w:rPr>
                <w:rFonts w:cs="宋体" w:hint="eastAsia"/>
                <w:bCs/>
              </w:rPr>
              <w:t>土地房屋租赁费</w:t>
            </w:r>
          </w:p>
        </w:tc>
        <w:tc>
          <w:tcPr>
            <w:tcW w:w="2940" w:type="dxa"/>
            <w:vAlign w:val="center"/>
          </w:tcPr>
          <w:p w14:paraId="7E8E7226" w14:textId="77777777" w:rsidR="005E000F" w:rsidRDefault="00000000">
            <w:pPr>
              <w:jc w:val="right"/>
            </w:pPr>
            <w:r>
              <w:t>572,635,057</w:t>
            </w:r>
          </w:p>
        </w:tc>
        <w:tc>
          <w:tcPr>
            <w:tcW w:w="2940" w:type="dxa"/>
            <w:vAlign w:val="center"/>
          </w:tcPr>
          <w:p w14:paraId="39BE224D" w14:textId="77777777" w:rsidR="005E000F" w:rsidRDefault="00000000">
            <w:pPr>
              <w:jc w:val="right"/>
            </w:pPr>
            <w:r>
              <w:t>702,870,916</w:t>
            </w:r>
          </w:p>
        </w:tc>
      </w:tr>
      <w:tr w:rsidR="005E000F" w14:paraId="4278265E" w14:textId="77777777">
        <w:trPr>
          <w:trHeight w:val="273"/>
        </w:trPr>
        <w:tc>
          <w:tcPr>
            <w:tcW w:w="2943" w:type="dxa"/>
            <w:vAlign w:val="center"/>
          </w:tcPr>
          <w:p w14:paraId="2561A322" w14:textId="77777777" w:rsidR="005E000F" w:rsidRDefault="00000000">
            <w:pPr>
              <w:rPr>
                <w:rFonts w:cs="宋体"/>
                <w:bCs/>
              </w:rPr>
            </w:pPr>
            <w:r>
              <w:rPr>
                <w:rFonts w:cs="宋体" w:hint="eastAsia"/>
                <w:bCs/>
              </w:rPr>
              <w:t>供热、供暖费及房屋维修费</w:t>
            </w:r>
          </w:p>
        </w:tc>
        <w:tc>
          <w:tcPr>
            <w:tcW w:w="2940" w:type="dxa"/>
            <w:vAlign w:val="center"/>
          </w:tcPr>
          <w:p w14:paraId="2DBC1290" w14:textId="77777777" w:rsidR="005E000F" w:rsidRDefault="00000000">
            <w:pPr>
              <w:jc w:val="right"/>
            </w:pPr>
            <w:r>
              <w:t>368,065,926</w:t>
            </w:r>
          </w:p>
        </w:tc>
        <w:tc>
          <w:tcPr>
            <w:tcW w:w="2940" w:type="dxa"/>
            <w:vAlign w:val="center"/>
          </w:tcPr>
          <w:p w14:paraId="2320F588" w14:textId="77777777" w:rsidR="005E000F" w:rsidRDefault="00000000">
            <w:pPr>
              <w:jc w:val="right"/>
            </w:pPr>
            <w:r>
              <w:t>307,338,173</w:t>
            </w:r>
          </w:p>
        </w:tc>
      </w:tr>
      <w:tr w:rsidR="005E000F" w14:paraId="44A52F62" w14:textId="77777777">
        <w:trPr>
          <w:trHeight w:val="273"/>
        </w:trPr>
        <w:tc>
          <w:tcPr>
            <w:tcW w:w="2943" w:type="dxa"/>
            <w:vAlign w:val="center"/>
          </w:tcPr>
          <w:p w14:paraId="1664B453" w14:textId="77777777" w:rsidR="005E000F" w:rsidRDefault="00000000">
            <w:pPr>
              <w:rPr>
                <w:rFonts w:cs="宋体"/>
                <w:bCs/>
              </w:rPr>
            </w:pPr>
            <w:r>
              <w:rPr>
                <w:rFonts w:cs="宋体" w:hint="eastAsia"/>
                <w:bCs/>
              </w:rPr>
              <w:t>和谐机车检修</w:t>
            </w:r>
          </w:p>
        </w:tc>
        <w:tc>
          <w:tcPr>
            <w:tcW w:w="2940" w:type="dxa"/>
            <w:vAlign w:val="center"/>
          </w:tcPr>
          <w:p w14:paraId="30669544" w14:textId="77777777" w:rsidR="005E000F" w:rsidRDefault="00000000">
            <w:pPr>
              <w:jc w:val="right"/>
            </w:pPr>
            <w:r>
              <w:t>302,631,312</w:t>
            </w:r>
          </w:p>
        </w:tc>
        <w:tc>
          <w:tcPr>
            <w:tcW w:w="2940" w:type="dxa"/>
            <w:vAlign w:val="center"/>
          </w:tcPr>
          <w:p w14:paraId="6A79259F" w14:textId="77777777" w:rsidR="005E000F" w:rsidRDefault="00000000">
            <w:pPr>
              <w:jc w:val="right"/>
            </w:pPr>
            <w:r>
              <w:t>409,223,665</w:t>
            </w:r>
          </w:p>
        </w:tc>
      </w:tr>
      <w:tr w:rsidR="005E000F" w14:paraId="776EB314" w14:textId="77777777">
        <w:trPr>
          <w:trHeight w:val="270"/>
        </w:trPr>
        <w:tc>
          <w:tcPr>
            <w:tcW w:w="2943" w:type="dxa"/>
            <w:vAlign w:val="center"/>
          </w:tcPr>
          <w:p w14:paraId="1017AEA7" w14:textId="77777777" w:rsidR="005E000F" w:rsidRDefault="00000000">
            <w:pPr>
              <w:rPr>
                <w:rFonts w:cs="宋体"/>
                <w:bCs/>
              </w:rPr>
            </w:pPr>
            <w:r>
              <w:rPr>
                <w:rFonts w:cs="宋体" w:hint="eastAsia"/>
                <w:bCs/>
              </w:rPr>
              <w:t>客运服务费</w:t>
            </w:r>
          </w:p>
        </w:tc>
        <w:tc>
          <w:tcPr>
            <w:tcW w:w="2940" w:type="dxa"/>
            <w:vAlign w:val="center"/>
          </w:tcPr>
          <w:p w14:paraId="7793ED4B" w14:textId="77777777" w:rsidR="005E000F" w:rsidRDefault="00000000">
            <w:pPr>
              <w:jc w:val="right"/>
            </w:pPr>
            <w:r>
              <w:t>6,885,369,322</w:t>
            </w:r>
          </w:p>
        </w:tc>
        <w:tc>
          <w:tcPr>
            <w:tcW w:w="2940" w:type="dxa"/>
            <w:vAlign w:val="center"/>
          </w:tcPr>
          <w:p w14:paraId="01035208" w14:textId="77777777" w:rsidR="005E000F" w:rsidRDefault="00000000">
            <w:pPr>
              <w:jc w:val="right"/>
            </w:pPr>
            <w:r>
              <w:t>6,360,029,381</w:t>
            </w:r>
          </w:p>
        </w:tc>
      </w:tr>
      <w:tr w:rsidR="005E000F" w14:paraId="5CE69905" w14:textId="77777777">
        <w:trPr>
          <w:trHeight w:val="273"/>
        </w:trPr>
        <w:tc>
          <w:tcPr>
            <w:tcW w:w="2943" w:type="dxa"/>
            <w:vAlign w:val="center"/>
          </w:tcPr>
          <w:p w14:paraId="6CD8EC9E" w14:textId="77777777" w:rsidR="005E000F" w:rsidRDefault="00000000">
            <w:pPr>
              <w:rPr>
                <w:rFonts w:cs="宋体"/>
                <w:bCs/>
              </w:rPr>
            </w:pPr>
            <w:r>
              <w:rPr>
                <w:rFonts w:cs="宋体" w:hint="eastAsia"/>
                <w:bCs/>
              </w:rPr>
              <w:t>货运服务费</w:t>
            </w:r>
          </w:p>
        </w:tc>
        <w:tc>
          <w:tcPr>
            <w:tcW w:w="2940" w:type="dxa"/>
            <w:vAlign w:val="center"/>
          </w:tcPr>
          <w:p w14:paraId="58FA536C" w14:textId="77777777" w:rsidR="005E000F" w:rsidRDefault="00000000">
            <w:pPr>
              <w:jc w:val="right"/>
            </w:pPr>
            <w:r>
              <w:t>18,056,723,242</w:t>
            </w:r>
          </w:p>
        </w:tc>
        <w:tc>
          <w:tcPr>
            <w:tcW w:w="2940" w:type="dxa"/>
            <w:vAlign w:val="center"/>
          </w:tcPr>
          <w:p w14:paraId="165F30FA" w14:textId="77777777" w:rsidR="005E000F" w:rsidRDefault="00000000">
            <w:pPr>
              <w:jc w:val="right"/>
            </w:pPr>
            <w:r>
              <w:t>14,691,778,717</w:t>
            </w:r>
          </w:p>
        </w:tc>
      </w:tr>
      <w:tr w:rsidR="005E000F" w14:paraId="5F7E8D78" w14:textId="77777777">
        <w:trPr>
          <w:trHeight w:val="273"/>
        </w:trPr>
        <w:tc>
          <w:tcPr>
            <w:tcW w:w="2943" w:type="dxa"/>
            <w:vAlign w:val="center"/>
          </w:tcPr>
          <w:p w14:paraId="1589497C" w14:textId="77777777" w:rsidR="005E000F" w:rsidRDefault="00000000">
            <w:pPr>
              <w:rPr>
                <w:rFonts w:cs="宋体"/>
                <w:bCs/>
              </w:rPr>
            </w:pPr>
            <w:r>
              <w:rPr>
                <w:rFonts w:cs="宋体" w:hint="eastAsia"/>
                <w:bCs/>
              </w:rPr>
              <w:t>两端物流辅助</w:t>
            </w:r>
          </w:p>
        </w:tc>
        <w:tc>
          <w:tcPr>
            <w:tcW w:w="2940" w:type="dxa"/>
            <w:shd w:val="clear" w:color="auto" w:fill="auto"/>
            <w:vAlign w:val="center"/>
          </w:tcPr>
          <w:p w14:paraId="4ED4C667" w14:textId="77777777" w:rsidR="005E000F" w:rsidRDefault="00000000">
            <w:pPr>
              <w:jc w:val="right"/>
            </w:pPr>
            <w:r>
              <w:t>3,268,187,622</w:t>
            </w:r>
          </w:p>
        </w:tc>
        <w:tc>
          <w:tcPr>
            <w:tcW w:w="2940" w:type="dxa"/>
            <w:shd w:val="clear" w:color="auto" w:fill="auto"/>
            <w:vAlign w:val="center"/>
          </w:tcPr>
          <w:p w14:paraId="53CC4BA3" w14:textId="77777777" w:rsidR="005E000F" w:rsidRDefault="00000000">
            <w:pPr>
              <w:jc w:val="right"/>
            </w:pPr>
            <w:r>
              <w:t>87,989,072</w:t>
            </w:r>
          </w:p>
        </w:tc>
      </w:tr>
      <w:tr w:rsidR="005E000F" w14:paraId="2782ABA9" w14:textId="77777777">
        <w:trPr>
          <w:trHeight w:val="273"/>
        </w:trPr>
        <w:tc>
          <w:tcPr>
            <w:tcW w:w="2943" w:type="dxa"/>
            <w:vAlign w:val="center"/>
          </w:tcPr>
          <w:p w14:paraId="15062BF5" w14:textId="77777777" w:rsidR="005E000F" w:rsidRDefault="00000000">
            <w:pPr>
              <w:rPr>
                <w:rFonts w:cs="宋体"/>
                <w:bCs/>
              </w:rPr>
            </w:pPr>
            <w:r>
              <w:rPr>
                <w:rFonts w:cs="宋体" w:hint="eastAsia"/>
                <w:bCs/>
              </w:rPr>
              <w:t>其他</w:t>
            </w:r>
          </w:p>
        </w:tc>
        <w:tc>
          <w:tcPr>
            <w:tcW w:w="2940" w:type="dxa"/>
            <w:vAlign w:val="center"/>
          </w:tcPr>
          <w:p w14:paraId="28D1170B" w14:textId="77777777" w:rsidR="005E000F" w:rsidRDefault="00000000">
            <w:pPr>
              <w:jc w:val="right"/>
            </w:pPr>
            <w:r>
              <w:t>3,453,029,322</w:t>
            </w:r>
          </w:p>
        </w:tc>
        <w:tc>
          <w:tcPr>
            <w:tcW w:w="2940" w:type="dxa"/>
            <w:vAlign w:val="center"/>
          </w:tcPr>
          <w:p w14:paraId="786DCDF2" w14:textId="77777777" w:rsidR="005E000F" w:rsidRDefault="00000000">
            <w:pPr>
              <w:jc w:val="right"/>
            </w:pPr>
            <w:r>
              <w:t>2,895,801,014</w:t>
            </w:r>
          </w:p>
        </w:tc>
      </w:tr>
      <w:tr w:rsidR="005E000F" w14:paraId="7D1C619E" w14:textId="77777777">
        <w:trPr>
          <w:trHeight w:val="270"/>
        </w:trPr>
        <w:tc>
          <w:tcPr>
            <w:tcW w:w="2943" w:type="dxa"/>
            <w:vAlign w:val="center"/>
          </w:tcPr>
          <w:p w14:paraId="5B0037DA" w14:textId="77777777" w:rsidR="005E000F" w:rsidRDefault="00000000">
            <w:pPr>
              <w:jc w:val="center"/>
              <w:rPr>
                <w:rFonts w:cs="宋体"/>
                <w:bCs/>
              </w:rPr>
            </w:pPr>
            <w:r>
              <w:rPr>
                <w:rFonts w:cs="宋体" w:hint="eastAsia"/>
                <w:bCs/>
              </w:rPr>
              <w:t>合计</w:t>
            </w:r>
          </w:p>
        </w:tc>
        <w:tc>
          <w:tcPr>
            <w:tcW w:w="2940" w:type="dxa"/>
            <w:vAlign w:val="center"/>
          </w:tcPr>
          <w:p w14:paraId="326B8EA6" w14:textId="77777777" w:rsidR="005E000F" w:rsidRDefault="00000000">
            <w:pPr>
              <w:jc w:val="right"/>
            </w:pPr>
            <w:r>
              <w:t>71,933,959,860</w:t>
            </w:r>
          </w:p>
        </w:tc>
        <w:tc>
          <w:tcPr>
            <w:tcW w:w="2940" w:type="dxa"/>
            <w:vAlign w:val="center"/>
          </w:tcPr>
          <w:p w14:paraId="634C31B9" w14:textId="77777777" w:rsidR="005E000F" w:rsidRDefault="00000000">
            <w:pPr>
              <w:jc w:val="right"/>
            </w:pPr>
            <w:r>
              <w:t>63,861,549,351</w:t>
            </w:r>
          </w:p>
        </w:tc>
      </w:tr>
    </w:tbl>
    <w:p w14:paraId="44D9DB51" w14:textId="77777777" w:rsidR="005E000F" w:rsidRDefault="005E000F"/>
    <w:p w14:paraId="74BF8212" w14:textId="77777777" w:rsidR="005E000F" w:rsidRDefault="00000000">
      <w:pPr>
        <w:pStyle w:val="2"/>
        <w:numPr>
          <w:ilvl w:val="0"/>
          <w:numId w:val="56"/>
        </w:numPr>
      </w:pPr>
      <w:bookmarkStart w:id="403" w:name="_Hlk40108415"/>
      <w:r>
        <w:rPr>
          <w:rFonts w:hint="eastAsia"/>
        </w:rPr>
        <w:t>研发支出</w:t>
      </w:r>
    </w:p>
    <w:p w14:paraId="71EDEFF6" w14:textId="77777777" w:rsidR="005E000F" w:rsidRDefault="00000000">
      <w:pPr>
        <w:pStyle w:val="3"/>
        <w:numPr>
          <w:ilvl w:val="0"/>
          <w:numId w:val="109"/>
        </w:numPr>
      </w:pPr>
      <w:r>
        <w:rPr>
          <w:rFonts w:hint="eastAsia"/>
        </w:rPr>
        <w:t>按费用性质列示</w:t>
      </w:r>
    </w:p>
    <w:sdt>
      <w:sdtPr>
        <w:alias w:val="是否适用：研发费用[双击切换]"/>
        <w:tag w:val="_GBC_04b52b9f74d642ed996cff71b3380562"/>
        <w:id w:val="747155615"/>
        <w:placeholder>
          <w:docPart w:val="GBC22222222222222222222222222222"/>
        </w:placeholder>
      </w:sdtPr>
      <w:sdtContent>
        <w:p w14:paraId="501BA14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F073D2B" w14:textId="77777777" w:rsidR="005E000F" w:rsidRDefault="005E000F"/>
    <w:p w14:paraId="63C277AE" w14:textId="77777777" w:rsidR="005E000F" w:rsidRDefault="005E000F"/>
    <w:p w14:paraId="36763EFB" w14:textId="77777777" w:rsidR="005E000F" w:rsidRDefault="00000000">
      <w:pPr>
        <w:pStyle w:val="3"/>
        <w:numPr>
          <w:ilvl w:val="0"/>
          <w:numId w:val="109"/>
        </w:numPr>
      </w:pPr>
      <w:bookmarkStart w:id="404" w:name="_Hlk153266294"/>
      <w:bookmarkEnd w:id="403"/>
      <w:r>
        <w:t>符合资本化条件的研发项目</w:t>
      </w:r>
      <w:r>
        <w:rPr>
          <w:rFonts w:hint="eastAsia"/>
        </w:rPr>
        <w:t>开发支出</w:t>
      </w:r>
    </w:p>
    <w:sdt>
      <w:sdtPr>
        <w:alias w:val="是否适用：开发支出[双击切换]"/>
        <w:tag w:val="_GBC_173f2bb3b2db483e82638801b8b2955b"/>
        <w:id w:val="-278645615"/>
        <w:placeholder>
          <w:docPart w:val="GBC22222222222222222222222222222"/>
        </w:placeholder>
      </w:sdtPr>
      <w:sdtContent>
        <w:p w14:paraId="715AE4D1"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7092AA0" w14:textId="77777777" w:rsidR="005E000F" w:rsidRDefault="005E000F"/>
    <w:bookmarkEnd w:id="404"/>
    <w:p w14:paraId="45B509FA" w14:textId="77777777" w:rsidR="005E000F" w:rsidRDefault="00000000">
      <w:r>
        <w:t>重要的资本化研发项目</w:t>
      </w:r>
    </w:p>
    <w:sdt>
      <w:sdtPr>
        <w:alias w:val="是否适用：重要的资本化研发项目[双击切换]"/>
        <w:tag w:val="_GBC_d1b90c9364924f2791f75c6b9a12139f"/>
        <w:id w:val="-1837305724"/>
        <w:placeholder>
          <w:docPart w:val="GBC22222222222222222222222222222"/>
        </w:placeholder>
      </w:sdtPr>
      <w:sdtContent>
        <w:p w14:paraId="4D4C8B1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C80F84E" w14:textId="77777777" w:rsidR="005E000F" w:rsidRDefault="005E000F"/>
    <w:p w14:paraId="4AC280FB" w14:textId="77777777" w:rsidR="005E000F" w:rsidRDefault="00000000">
      <w:r>
        <w:t>开发支出减值准备</w:t>
      </w:r>
    </w:p>
    <w:sdt>
      <w:sdtPr>
        <w:alias w:val="是否适用：开发支出减值准备[双击切换]"/>
        <w:tag w:val="_GBC_54eb6a513e574cfa85e9b90a1588b10f"/>
        <w:id w:val="1230582973"/>
        <w:placeholder>
          <w:docPart w:val="GBC22222222222222222222222222222"/>
        </w:placeholder>
      </w:sdtPr>
      <w:sdtContent>
        <w:p w14:paraId="22DB035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71ADDA4" w14:textId="77777777" w:rsidR="005E000F" w:rsidRDefault="005E000F"/>
    <w:p w14:paraId="6CB5C4A7" w14:textId="77777777" w:rsidR="005E000F" w:rsidRDefault="00000000">
      <w:r>
        <w:rPr>
          <w:rFonts w:hint="eastAsia"/>
        </w:rPr>
        <w:t>其他说明：</w:t>
      </w:r>
    </w:p>
    <w:sdt>
      <w:sdtPr>
        <w:alias w:val="符合资本化条件的研发项目开发支出的其他说明"/>
        <w:tag w:val="_GBC_3c7da8ec7a3a443ba6a37565a5e99433"/>
        <w:id w:val="1111788053"/>
        <w:placeholder>
          <w:docPart w:val="GBC22222222222222222222222222222"/>
        </w:placeholder>
      </w:sdtPr>
      <w:sdtContent>
        <w:p w14:paraId="14461FF9" w14:textId="77777777" w:rsidR="005E000F" w:rsidRDefault="00000000">
          <w:r>
            <w:rPr>
              <w:rFonts w:hint="eastAsia"/>
            </w:rPr>
            <w:t>无</w:t>
          </w:r>
        </w:p>
      </w:sdtContent>
    </w:sdt>
    <w:p w14:paraId="61455D1C" w14:textId="77777777" w:rsidR="005E000F" w:rsidRDefault="005E000F"/>
    <w:p w14:paraId="3D11EA37" w14:textId="77777777" w:rsidR="005E000F" w:rsidRDefault="00000000">
      <w:pPr>
        <w:pStyle w:val="3"/>
        <w:numPr>
          <w:ilvl w:val="0"/>
          <w:numId w:val="109"/>
        </w:numPr>
      </w:pPr>
      <w:r>
        <w:t>重要的外购在</w:t>
      </w:r>
      <w:proofErr w:type="gramStart"/>
      <w:r>
        <w:t>研</w:t>
      </w:r>
      <w:proofErr w:type="gramEnd"/>
      <w:r>
        <w:t>项目</w:t>
      </w:r>
    </w:p>
    <w:sdt>
      <w:sdtPr>
        <w:alias w:val="是否适用：重要的外购在研项目[双击切换]"/>
        <w:tag w:val="_GBC_8385c2c52dfe44b6b2522468b8800584"/>
        <w:id w:val="-1246801437"/>
        <w:placeholder>
          <w:docPart w:val="GBC22222222222222222222222222222"/>
        </w:placeholder>
      </w:sdtPr>
      <w:sdtContent>
        <w:p w14:paraId="7353212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72C1249" w14:textId="77777777" w:rsidR="005E000F" w:rsidRDefault="005E000F"/>
    <w:p w14:paraId="50C6660A" w14:textId="77777777" w:rsidR="005E000F" w:rsidRDefault="005E000F"/>
    <w:p w14:paraId="66458092" w14:textId="77777777" w:rsidR="005E000F" w:rsidRDefault="00000000">
      <w:pPr>
        <w:pStyle w:val="2"/>
        <w:numPr>
          <w:ilvl w:val="0"/>
          <w:numId w:val="56"/>
        </w:numPr>
      </w:pPr>
      <w:r>
        <w:rPr>
          <w:rFonts w:hint="eastAsia"/>
        </w:rPr>
        <w:t>合并范围的变更</w:t>
      </w:r>
    </w:p>
    <w:p w14:paraId="1362534F" w14:textId="77777777" w:rsidR="005E000F" w:rsidRDefault="00000000">
      <w:pPr>
        <w:pStyle w:val="3"/>
        <w:numPr>
          <w:ilvl w:val="0"/>
          <w:numId w:val="110"/>
        </w:numPr>
        <w:rPr>
          <w:rFonts w:ascii="宋体" w:hAnsi="宋体" w:cs="Arial"/>
          <w:szCs w:val="21"/>
        </w:rPr>
      </w:pPr>
      <w:r>
        <w:rPr>
          <w:rFonts w:ascii="宋体" w:hAnsi="宋体" w:cs="Arial" w:hint="eastAsia"/>
          <w:szCs w:val="21"/>
        </w:rPr>
        <w:t>非同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非同一控制下企业合并[双击切换]"/>
        <w:tag w:val="_GBC_f305adddf4654659bd28ceedc072aa05"/>
        <w:id w:val="1932084025"/>
        <w:placeholder>
          <w:docPart w:val="GBC22222222222222222222222222222"/>
        </w:placeholder>
      </w:sdtPr>
      <w:sdtContent>
        <w:p w14:paraId="3E22B140" w14:textId="77777777" w:rsidR="005E000F" w:rsidRDefault="00000000">
          <w:pPr>
            <w:rPr>
              <w:rFonts w:cstheme="minorBidi"/>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3F6BCE4" w14:textId="77777777" w:rsidR="005E000F" w:rsidRDefault="005E000F">
      <w:pPr>
        <w:rPr>
          <w:rFonts w:cstheme="minorBidi"/>
        </w:rPr>
      </w:pPr>
    </w:p>
    <w:p w14:paraId="3BB94C19" w14:textId="77777777" w:rsidR="005E000F" w:rsidRDefault="005E000F"/>
    <w:p w14:paraId="4EA929AE" w14:textId="77777777" w:rsidR="005E000F" w:rsidRDefault="00000000">
      <w:pPr>
        <w:pStyle w:val="3"/>
        <w:numPr>
          <w:ilvl w:val="0"/>
          <w:numId w:val="110"/>
        </w:numPr>
        <w:rPr>
          <w:rFonts w:ascii="宋体" w:hAnsi="宋体" w:cs="Arial"/>
          <w:szCs w:val="21"/>
        </w:rPr>
      </w:pPr>
      <w:r>
        <w:rPr>
          <w:rFonts w:ascii="宋体" w:hAnsi="宋体" w:cs="Arial" w:hint="eastAsia"/>
          <w:szCs w:val="21"/>
        </w:rPr>
        <w:t>同</w:t>
      </w:r>
      <w:proofErr w:type="gramStart"/>
      <w:r>
        <w:rPr>
          <w:rFonts w:ascii="宋体" w:hAnsi="宋体" w:cs="Arial" w:hint="eastAsia"/>
          <w:szCs w:val="21"/>
        </w:rPr>
        <w:t>一控制</w:t>
      </w:r>
      <w:proofErr w:type="gramEnd"/>
      <w:r>
        <w:rPr>
          <w:rFonts w:ascii="宋体" w:hAnsi="宋体" w:cs="Arial" w:hint="eastAsia"/>
          <w:szCs w:val="21"/>
        </w:rPr>
        <w:t>下企业合并</w:t>
      </w:r>
    </w:p>
    <w:sdt>
      <w:sdtPr>
        <w:alias w:val="是否适用：同一控制下企业合并[双击切换]"/>
        <w:tag w:val="_GBC_698d1a451f094ec0bf9c3a278d26a0d3"/>
        <w:id w:val="1225802432"/>
        <w:placeholder>
          <w:docPart w:val="GBC22222222222222222222222222222"/>
        </w:placeholder>
      </w:sdtPr>
      <w:sdtContent>
        <w:p w14:paraId="4AB0E6CE" w14:textId="77777777" w:rsidR="005E000F" w:rsidRDefault="00000000">
          <w:pPr>
            <w:rPr>
              <w:rFonts w:cs="Arial"/>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F934A91" w14:textId="77777777" w:rsidR="005E000F" w:rsidRDefault="005E000F">
      <w:pPr>
        <w:rPr>
          <w:rFonts w:cs="Arial"/>
        </w:rPr>
      </w:pPr>
    </w:p>
    <w:p w14:paraId="50A0A5CB" w14:textId="77777777" w:rsidR="005E000F" w:rsidRDefault="00000000">
      <w:pPr>
        <w:pStyle w:val="3"/>
        <w:numPr>
          <w:ilvl w:val="0"/>
          <w:numId w:val="110"/>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1081986707"/>
        <w:placeholder>
          <w:docPart w:val="GBC22222222222222222222222222222"/>
        </w:placeholder>
      </w:sdtPr>
      <w:sdtContent>
        <w:p w14:paraId="3E05462C" w14:textId="77777777" w:rsidR="005E000F" w:rsidRDefault="00000000">
          <w:pPr>
            <w:rPr>
              <w:rFonts w:cs="Arial"/>
              <w:lang w:val="en-GB"/>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B61CF43" w14:textId="77777777" w:rsidR="005E000F" w:rsidRDefault="005E000F">
      <w:pPr>
        <w:rPr>
          <w:rFonts w:cs="Arial"/>
        </w:rPr>
        <w:sectPr w:rsidR="005E000F">
          <w:pgSz w:w="11906" w:h="16838"/>
          <w:pgMar w:top="1440" w:right="1797" w:bottom="1525" w:left="1276" w:header="856" w:footer="992" w:gutter="0"/>
          <w:cols w:space="425"/>
          <w:docGrid w:linePitch="312"/>
        </w:sectPr>
      </w:pPr>
    </w:p>
    <w:p w14:paraId="22592FE8" w14:textId="77777777" w:rsidR="005E000F" w:rsidRDefault="00000000">
      <w:pPr>
        <w:pStyle w:val="3"/>
        <w:numPr>
          <w:ilvl w:val="0"/>
          <w:numId w:val="110"/>
        </w:numPr>
        <w:rPr>
          <w:rFonts w:ascii="宋体" w:hAnsi="宋体" w:cs="Arial"/>
          <w:szCs w:val="21"/>
        </w:rPr>
      </w:pPr>
      <w:r>
        <w:rPr>
          <w:rFonts w:ascii="宋体" w:hAnsi="宋体" w:cs="Arial" w:hint="eastAsia"/>
          <w:szCs w:val="21"/>
        </w:rPr>
        <w:lastRenderedPageBreak/>
        <w:t>处置子公司</w:t>
      </w:r>
    </w:p>
    <w:p w14:paraId="528FA6C8" w14:textId="77777777" w:rsidR="005E000F" w:rsidRDefault="00000000">
      <w:r>
        <w:rPr>
          <w:rFonts w:hint="eastAsia"/>
        </w:rPr>
        <w:t>本期是否存在</w:t>
      </w:r>
      <w:r>
        <w:t>丧失</w:t>
      </w:r>
      <w:r>
        <w:rPr>
          <w:rFonts w:hint="eastAsia"/>
        </w:rPr>
        <w:t>子公司</w:t>
      </w:r>
      <w:r>
        <w:t>控制权</w:t>
      </w:r>
      <w:r>
        <w:rPr>
          <w:rFonts w:hint="eastAsia"/>
        </w:rPr>
        <w:t>的交易或事项</w:t>
      </w:r>
    </w:p>
    <w:sdt>
      <w:sdtPr>
        <w:rPr>
          <w:rFonts w:cs="Arial" w:hint="eastAsia"/>
        </w:rPr>
        <w:alias w:val="是否存在单次交易处置对子公司投资即丧失控制权的情形[双击切换]"/>
        <w:tag w:val="_GBC_34b271ee01844be4a0580269d95adcf3"/>
        <w:id w:val="1022283373"/>
        <w:placeholder>
          <w:docPart w:val="GBC22222222222222222222222222222"/>
        </w:placeholder>
      </w:sdtPr>
      <w:sdtContent>
        <w:p w14:paraId="6BFE15C7" w14:textId="77777777" w:rsidR="005E000F" w:rsidRDefault="00000000">
          <w:pPr>
            <w:rPr>
              <w:rFonts w:cs="Arial"/>
            </w:rPr>
          </w:pPr>
          <w:r>
            <w:rPr>
              <w:rFonts w:ascii="宋体" w:hAnsi="宋体" w:cs="Arial"/>
            </w:rPr>
            <w:fldChar w:fldCharType="begin"/>
          </w:r>
          <w:r>
            <w:rPr>
              <w:rFonts w:ascii="宋体" w:hAnsi="宋体" w:cs="Arial" w:hint="eastAsia"/>
            </w:rPr>
            <w:instrText xml:space="preserve">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0D966C4E" w14:textId="77777777" w:rsidR="005E000F" w:rsidRDefault="005E000F"/>
    <w:p w14:paraId="5EC5AD4C" w14:textId="77777777" w:rsidR="005E000F" w:rsidRDefault="00000000">
      <w:pPr>
        <w:rPr>
          <w:rFonts w:cs="Arial"/>
          <w:color w:val="000000"/>
        </w:rPr>
      </w:pPr>
      <w:r>
        <w:rPr>
          <w:rFonts w:cs="Arial" w:hint="eastAsia"/>
          <w:color w:val="000000"/>
        </w:rPr>
        <w:t>其他说明：</w:t>
      </w:r>
    </w:p>
    <w:sdt>
      <w:sdtPr>
        <w:rPr>
          <w:rFonts w:cs="Arial"/>
          <w:color w:val="000000"/>
        </w:rPr>
        <w:alias w:val="是否适用：单次交易处置对子公司投资即丧失控制权的情形的说明[双击切换]"/>
        <w:tag w:val="_GBC_e9745370c40b4780b36f3f18da05201e"/>
        <w:id w:val="-1208791274"/>
        <w:placeholder>
          <w:docPart w:val="GBC22222222222222222222222222222"/>
        </w:placeholder>
      </w:sdtPr>
      <w:sdtContent>
        <w:p w14:paraId="609628F4" w14:textId="77777777" w:rsidR="005E000F" w:rsidRDefault="00000000">
          <w:pPr>
            <w:rPr>
              <w:color w:val="000000"/>
            </w:rPr>
          </w:pPr>
          <w:r>
            <w:rPr>
              <w:rFonts w:ascii="宋体" w:hAnsi="宋体" w:cs="Arial"/>
              <w:color w:val="000000"/>
            </w:rPr>
            <w:fldChar w:fldCharType="begin"/>
          </w:r>
          <w:r>
            <w:rPr>
              <w:rFonts w:ascii="宋体" w:hAnsi="宋体" w:cs="Arial" w:hint="eastAsia"/>
              <w:color w:val="000000"/>
            </w:rPr>
            <w:instrText xml:space="preserve">MACROBUTTON  SnrToggleCheckbox □适用 </w:instrText>
          </w:r>
          <w:r>
            <w:rPr>
              <w:rFonts w:ascii="宋体" w:hAnsi="宋体" w:cs="Arial"/>
              <w:color w:val="000000"/>
            </w:rPr>
            <w:fldChar w:fldCharType="end"/>
          </w:r>
          <w:r>
            <w:rPr>
              <w:rFonts w:ascii="宋体" w:hAnsi="宋体" w:cs="Arial"/>
              <w:color w:val="000000"/>
            </w:rPr>
            <w:fldChar w:fldCharType="begin"/>
          </w:r>
          <w:r>
            <w:rPr>
              <w:rFonts w:ascii="宋体" w:hAnsi="宋体" w:cs="Arial" w:hint="eastAsia"/>
              <w:color w:val="000000"/>
            </w:rPr>
            <w:instrText xml:space="preserve"> MACROBUTTON  SnrToggleCheckbox √不适用 </w:instrText>
          </w:r>
          <w:r>
            <w:rPr>
              <w:rFonts w:ascii="宋体" w:hAnsi="宋体" w:cs="Arial"/>
              <w:color w:val="000000"/>
            </w:rPr>
            <w:fldChar w:fldCharType="end"/>
          </w:r>
        </w:p>
      </w:sdtContent>
    </w:sdt>
    <w:p w14:paraId="7BAE0B81" w14:textId="77777777" w:rsidR="005E000F" w:rsidRDefault="005E000F">
      <w:pPr>
        <w:pStyle w:val="ab"/>
        <w:rPr>
          <w:color w:val="000000"/>
        </w:rPr>
      </w:pPr>
    </w:p>
    <w:p w14:paraId="5EFC3F29" w14:textId="77777777" w:rsidR="005E000F" w:rsidRDefault="00000000">
      <w:pPr>
        <w:rPr>
          <w:rFonts w:cs="Arial"/>
        </w:rPr>
      </w:pPr>
      <w:bookmarkStart w:id="405" w:name="_Hlk153549147"/>
      <w:r>
        <w:rPr>
          <w:rFonts w:cs="Arial" w:hint="eastAsia"/>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4b70a49fc9804e569104ce532e1e0bd8"/>
        <w:id w:val="-483309097"/>
        <w:placeholder>
          <w:docPart w:val="GBC22222222222222222222222222222"/>
        </w:placeholder>
      </w:sdtPr>
      <w:sdtContent>
        <w:p w14:paraId="0E0FE5EF" w14:textId="77777777" w:rsidR="005E000F" w:rsidRDefault="00000000">
          <w:pPr>
            <w:pStyle w:val="ab"/>
          </w:pPr>
          <w:r>
            <w:rPr>
              <w:rFonts w:ascii="宋体" w:hAnsi="宋体"/>
              <w:color w:val="000000"/>
            </w:rPr>
            <w:fldChar w:fldCharType="begin"/>
          </w:r>
          <w:r>
            <w:rPr>
              <w:rFonts w:ascii="宋体" w:hAnsi="宋体" w:hint="eastAsia"/>
              <w:color w:val="000000"/>
            </w:rPr>
            <w:instrText xml:space="preserve">MACROBUTTON  SnrToggleCheckbox □适用 </w:instrText>
          </w:r>
          <w:r>
            <w:rPr>
              <w:rFonts w:ascii="宋体" w:hAnsi="宋体"/>
              <w:color w:val="000000"/>
            </w:rPr>
            <w:fldChar w:fldCharType="end"/>
          </w:r>
          <w:r>
            <w:rPr>
              <w:rFonts w:ascii="宋体" w:hAnsi="宋体"/>
              <w:color w:val="000000"/>
            </w:rPr>
            <w:fldChar w:fldCharType="begin"/>
          </w:r>
          <w:r>
            <w:rPr>
              <w:rFonts w:ascii="宋体" w:hAnsi="宋体" w:hint="eastAsia"/>
              <w:color w:val="000000"/>
            </w:rPr>
            <w:instrText xml:space="preserve"> MACROBUTTON  SnrToggleCheckbox √不适用 </w:instrText>
          </w:r>
          <w:r>
            <w:rPr>
              <w:rFonts w:ascii="宋体" w:hAnsi="宋体"/>
              <w:color w:val="000000"/>
            </w:rPr>
            <w:fldChar w:fldCharType="end"/>
          </w:r>
        </w:p>
      </w:sdtContent>
    </w:sdt>
    <w:p w14:paraId="12F4B3BB" w14:textId="77777777" w:rsidR="005E000F" w:rsidRDefault="005E000F"/>
    <w:bookmarkEnd w:id="405"/>
    <w:p w14:paraId="509FBF5C" w14:textId="77777777" w:rsidR="005E000F" w:rsidRDefault="00000000">
      <w:pPr>
        <w:rPr>
          <w:rFonts w:cs="Arial"/>
          <w:color w:val="000000"/>
        </w:rPr>
      </w:pPr>
      <w:r>
        <w:rPr>
          <w:rFonts w:cs="Arial" w:hint="eastAsia"/>
          <w:color w:val="000000"/>
        </w:rPr>
        <w:t>其他说明：</w:t>
      </w:r>
    </w:p>
    <w:sdt>
      <w:sdtPr>
        <w:rPr>
          <w:rFonts w:cs="Arial"/>
          <w:color w:val="000000"/>
        </w:rPr>
        <w:alias w:val="是否适用：是否存在通过多次交易分步处置对子公司投资且在本期丧失控制权的情形的说明[双击切换]"/>
        <w:tag w:val="_GBC_c934ae55b23744bba8048538d6771d0e"/>
        <w:id w:val="-1009137672"/>
        <w:placeholder>
          <w:docPart w:val="GBC22222222222222222222222222222"/>
        </w:placeholder>
      </w:sdtPr>
      <w:sdtContent>
        <w:p w14:paraId="1B7D0FA1" w14:textId="77777777" w:rsidR="005E000F" w:rsidRDefault="00000000">
          <w:pPr>
            <w:rPr>
              <w:rFonts w:ascii="Calibri" w:hAnsi="Calibri" w:cs="Arial"/>
              <w:color w:val="000000"/>
            </w:rPr>
          </w:pPr>
          <w:r>
            <w:rPr>
              <w:rFonts w:ascii="宋体" w:hAnsi="宋体" w:cs="Arial"/>
              <w:color w:val="000000"/>
            </w:rPr>
            <w:fldChar w:fldCharType="begin"/>
          </w:r>
          <w:r>
            <w:rPr>
              <w:rFonts w:ascii="宋体" w:hAnsi="宋体" w:cs="Arial" w:hint="eastAsia"/>
              <w:color w:val="000000"/>
            </w:rPr>
            <w:instrText xml:space="preserve"> MACROBUTTON  SnrToggleCheckbox □适用 </w:instrText>
          </w:r>
          <w:r>
            <w:rPr>
              <w:rFonts w:ascii="宋体" w:hAnsi="宋体" w:cs="Arial"/>
              <w:color w:val="000000"/>
            </w:rPr>
            <w:fldChar w:fldCharType="end"/>
          </w:r>
          <w:r>
            <w:rPr>
              <w:rFonts w:ascii="宋体" w:hAnsi="宋体" w:cs="Arial"/>
              <w:color w:val="000000"/>
            </w:rPr>
            <w:fldChar w:fldCharType="begin"/>
          </w:r>
          <w:r>
            <w:rPr>
              <w:rFonts w:ascii="宋体" w:hAnsi="宋体" w:cs="Arial" w:hint="eastAsia"/>
              <w:color w:val="000000"/>
            </w:rPr>
            <w:instrText xml:space="preserve"> MACROBUTTON  SnrToggleCheckbox √不适用 </w:instrText>
          </w:r>
          <w:r>
            <w:rPr>
              <w:rFonts w:ascii="宋体" w:hAnsi="宋体" w:cs="Arial"/>
              <w:color w:val="000000"/>
            </w:rPr>
            <w:fldChar w:fldCharType="end"/>
          </w:r>
        </w:p>
      </w:sdtContent>
    </w:sdt>
    <w:p w14:paraId="27CD59D9" w14:textId="77777777" w:rsidR="005E000F" w:rsidRDefault="005E000F">
      <w:pPr>
        <w:rPr>
          <w:rFonts w:ascii="Calibri" w:hAnsi="Calibri" w:cs="Arial"/>
          <w:color w:val="000000"/>
        </w:rPr>
      </w:pPr>
    </w:p>
    <w:p w14:paraId="0BFCA2D1" w14:textId="77777777" w:rsidR="005E000F" w:rsidRDefault="00000000">
      <w:pPr>
        <w:pStyle w:val="3"/>
        <w:numPr>
          <w:ilvl w:val="0"/>
          <w:numId w:val="110"/>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14:paraId="75FEDC40" w14:textId="77777777" w:rsidR="005E000F" w:rsidRDefault="00000000">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248884365"/>
        <w:placeholder>
          <w:docPart w:val="GBC22222222222222222222222222222"/>
        </w:placeholder>
      </w:sdtPr>
      <w:sdtContent>
        <w:p w14:paraId="4D54898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rPr>
          <w:rFonts w:cs="Arial"/>
          <w:color w:val="000000"/>
        </w:rPr>
        <w:alias w:val="其他原因的合并范围变动"/>
        <w:tag w:val="_GBC_3146fc6fdcf14cec8af7bcae81e1ef18"/>
        <w:id w:val="1763341806"/>
        <w:placeholder>
          <w:docPart w:val="1B5F99BDBDDE4DE8AC53649A055AF530"/>
        </w:placeholder>
      </w:sdtPr>
      <w:sdtContent>
        <w:p w14:paraId="3F2CA056" w14:textId="77777777" w:rsidR="005E000F" w:rsidRDefault="00000000">
          <w:pPr>
            <w:rPr>
              <w:rFonts w:asciiTheme="minorHAnsi" w:eastAsiaTheme="minorEastAsia" w:hAnsiTheme="minorHAnsi" w:cs="Arial"/>
              <w:color w:val="000000"/>
            </w:rPr>
          </w:pPr>
          <w:r>
            <w:rPr>
              <w:rFonts w:cs="Arial" w:hint="eastAsia"/>
              <w:color w:val="000000"/>
            </w:rPr>
            <w:t>本集团</w:t>
          </w:r>
          <w:r>
            <w:rPr>
              <w:rFonts w:asciiTheme="minorHAnsi" w:eastAsiaTheme="minorEastAsia" w:hAnsiTheme="minorHAnsi" w:cs="Arial" w:hint="eastAsia"/>
              <w:color w:val="000000"/>
            </w:rPr>
            <w:t>二级子公司山西云聚现代信息科技有限公司及唐山海港路通汽车维修有限公司已于</w:t>
          </w:r>
          <w:r>
            <w:rPr>
              <w:rFonts w:asciiTheme="minorHAnsi" w:eastAsiaTheme="minorEastAsia" w:hAnsiTheme="minorHAnsi" w:cs="Arial" w:hint="eastAsia"/>
              <w:color w:val="000000"/>
            </w:rPr>
            <w:t>2025</w:t>
          </w:r>
          <w:r>
            <w:rPr>
              <w:rFonts w:asciiTheme="minorHAnsi" w:eastAsiaTheme="minorEastAsia" w:hAnsiTheme="minorHAnsi" w:cs="Arial" w:hint="eastAsia"/>
              <w:color w:val="000000"/>
            </w:rPr>
            <w:t>年清算并注销。</w:t>
          </w:r>
        </w:p>
      </w:sdtContent>
    </w:sdt>
    <w:p w14:paraId="2E0FE819" w14:textId="77777777" w:rsidR="005E000F" w:rsidRDefault="00000000">
      <w:pPr>
        <w:pStyle w:val="3"/>
        <w:numPr>
          <w:ilvl w:val="0"/>
          <w:numId w:val="110"/>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884543188"/>
        <w:placeholder>
          <w:docPart w:val="GBC22222222222222222222222222222"/>
        </w:placeholder>
      </w:sdtPr>
      <w:sdtContent>
        <w:p w14:paraId="3347CD4A" w14:textId="77777777" w:rsidR="005E000F" w:rsidRDefault="00000000">
          <w:pPr>
            <w:rPr>
              <w:rFonts w:asciiTheme="minorHAnsi" w:eastAsiaTheme="minorEastAsia" w:hAnsiTheme="minorHAnsi" w:cs="Arial"/>
              <w:color w:val="000000"/>
            </w:rPr>
          </w:pPr>
          <w:r>
            <w:rPr>
              <w:rFonts w:ascii="宋体" w:hAnsi="宋体" w:cs="Arial"/>
              <w:color w:val="000000"/>
            </w:rPr>
            <w:fldChar w:fldCharType="begin"/>
          </w:r>
          <w:r>
            <w:rPr>
              <w:rFonts w:ascii="宋体" w:hAnsi="宋体" w:cs="Arial" w:hint="eastAsia"/>
              <w:color w:val="000000"/>
            </w:rPr>
            <w:instrText xml:space="preserve"> MACROBUTTON  SnrToggleCheckbox □适用  </w:instrText>
          </w:r>
          <w:r>
            <w:rPr>
              <w:rFonts w:ascii="宋体" w:hAnsi="宋体" w:cs="Arial"/>
              <w:color w:val="000000"/>
            </w:rPr>
            <w:fldChar w:fldCharType="end"/>
          </w:r>
          <w:r>
            <w:rPr>
              <w:rFonts w:ascii="宋体" w:hAnsi="宋体" w:cs="Arial"/>
              <w:color w:val="000000"/>
            </w:rPr>
            <w:fldChar w:fldCharType="begin"/>
          </w:r>
          <w:r>
            <w:rPr>
              <w:rFonts w:ascii="宋体" w:hAnsi="宋体" w:cs="Arial" w:hint="eastAsia"/>
              <w:color w:val="000000"/>
            </w:rPr>
            <w:instrText xml:space="preserve"> MACROBUTTON  SnrToggleCheckbox √不适用 </w:instrText>
          </w:r>
          <w:r>
            <w:rPr>
              <w:rFonts w:ascii="宋体" w:hAnsi="宋体" w:cs="Arial"/>
              <w:color w:val="000000"/>
            </w:rPr>
            <w:fldChar w:fldCharType="end"/>
          </w:r>
        </w:p>
      </w:sdtContent>
    </w:sdt>
    <w:p w14:paraId="649B714A" w14:textId="77777777" w:rsidR="005E000F" w:rsidRDefault="005E000F">
      <w:pPr>
        <w:rPr>
          <w:rFonts w:cs="Arial"/>
          <w:color w:val="000000"/>
        </w:rPr>
      </w:pPr>
    </w:p>
    <w:p w14:paraId="3A5602D1" w14:textId="77777777" w:rsidR="005E000F" w:rsidRDefault="005E000F">
      <w:pPr>
        <w:rPr>
          <w:rFonts w:cs="Arial"/>
          <w:color w:val="000000"/>
        </w:rPr>
        <w:sectPr w:rsidR="005E000F">
          <w:pgSz w:w="11906" w:h="16838"/>
          <w:pgMar w:top="1525" w:right="1276" w:bottom="1440" w:left="1797" w:header="856" w:footer="992" w:gutter="0"/>
          <w:cols w:space="425"/>
          <w:docGrid w:linePitch="312"/>
        </w:sectPr>
      </w:pPr>
    </w:p>
    <w:p w14:paraId="10B6EB17" w14:textId="77777777" w:rsidR="005E000F" w:rsidRDefault="00000000">
      <w:pPr>
        <w:pStyle w:val="2"/>
        <w:numPr>
          <w:ilvl w:val="0"/>
          <w:numId w:val="56"/>
        </w:numPr>
        <w:rPr>
          <w:rFonts w:ascii="宋体" w:hAnsi="宋体"/>
        </w:rPr>
      </w:pPr>
      <w:r>
        <w:rPr>
          <w:rFonts w:ascii="宋体" w:hAnsi="宋体" w:hint="eastAsia"/>
        </w:rPr>
        <w:lastRenderedPageBreak/>
        <w:t>在其他主体中的权益</w:t>
      </w:r>
    </w:p>
    <w:p w14:paraId="546578B1" w14:textId="77777777" w:rsidR="005E000F" w:rsidRDefault="00000000">
      <w:pPr>
        <w:pStyle w:val="3"/>
        <w:numPr>
          <w:ilvl w:val="2"/>
          <w:numId w:val="111"/>
        </w:numPr>
      </w:pPr>
      <w:r>
        <w:rPr>
          <w:rFonts w:hint="eastAsia"/>
        </w:rPr>
        <w:t>在子公司中的权益</w:t>
      </w:r>
    </w:p>
    <w:p w14:paraId="53D40600" w14:textId="77777777" w:rsidR="005E000F" w:rsidRDefault="00000000">
      <w:pPr>
        <w:pStyle w:val="4"/>
        <w:numPr>
          <w:ilvl w:val="3"/>
          <w:numId w:val="112"/>
        </w:numPr>
        <w:ind w:left="426" w:hangingChars="202" w:hanging="426"/>
      </w:pPr>
      <w:r>
        <w:rPr>
          <w:rFonts w:hint="eastAsia"/>
        </w:rPr>
        <w:t>企业集团的构成</w:t>
      </w:r>
    </w:p>
    <w:sdt>
      <w:sdtPr>
        <w:alias w:val="是否适用：企业集团的构成[双击切换]"/>
        <w:tag w:val="_GBC_f4dcd24cd0a6465f817fe278addb6568"/>
        <w:id w:val="1114557876"/>
        <w:placeholder>
          <w:docPart w:val="GBC22222222222222222222222222222"/>
        </w:placeholder>
      </w:sdtPr>
      <w:sdtContent>
        <w:p w14:paraId="07F716D4"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D337AEA" w14:textId="77777777" w:rsidR="005E000F" w:rsidRDefault="00000000">
      <w:pPr>
        <w:jc w:val="right"/>
      </w:pPr>
      <w:r>
        <w:rPr>
          <w:rFonts w:hint="eastAsia"/>
        </w:rPr>
        <w:t>单位：</w:t>
      </w:r>
      <w:sdt>
        <w:sdtPr>
          <w:rPr>
            <w:rFonts w:hint="eastAsia"/>
          </w:rPr>
          <w:alias w:val="单位：企业集团的构成"/>
          <w:tag w:val="_GBC_69130484488a4b33b14f19ef0f1abce9"/>
          <w:id w:val="-400985940"/>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企业集团的构成"/>
          <w:tag w:val="_GBC_3be075e5c9a5407c89e1aab348039bf5"/>
          <w:id w:val="-73824955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420"/>
        <w:gridCol w:w="1733"/>
        <w:gridCol w:w="1460"/>
        <w:gridCol w:w="3245"/>
        <w:gridCol w:w="1432"/>
        <w:gridCol w:w="1090"/>
        <w:gridCol w:w="1726"/>
      </w:tblGrid>
      <w:tr w:rsidR="005E000F" w14:paraId="35DE01E1" w14:textId="77777777">
        <w:trPr>
          <w:trHeight w:val="247"/>
        </w:trPr>
        <w:sdt>
          <w:sdtPr>
            <w:tag w:val="_PLD_d102f36c2e2645ad9579603ca28588c8"/>
            <w:id w:val="-1700000887"/>
          </w:sdtPr>
          <w:sdtContent>
            <w:tc>
              <w:tcPr>
                <w:tcW w:w="701" w:type="pct"/>
                <w:vMerge w:val="restart"/>
                <w:vAlign w:val="center"/>
              </w:tcPr>
              <w:p w14:paraId="2AFF29D1" w14:textId="77777777" w:rsidR="005E000F" w:rsidRDefault="00000000">
                <w:pPr>
                  <w:jc w:val="center"/>
                  <w:rPr>
                    <w:rFonts w:cs="Arial"/>
                    <w:lang w:val="en-GB"/>
                  </w:rPr>
                </w:pPr>
                <w:r>
                  <w:rPr>
                    <w:rFonts w:cs="Arial" w:hint="eastAsia"/>
                    <w:lang w:val="en-GB"/>
                  </w:rPr>
                  <w:t>子公司</w:t>
                </w:r>
              </w:p>
              <w:p w14:paraId="19F4035B" w14:textId="77777777" w:rsidR="005E000F" w:rsidRDefault="00000000">
                <w:pPr>
                  <w:jc w:val="center"/>
                  <w:rPr>
                    <w:rFonts w:cs="Arial"/>
                  </w:rPr>
                </w:pPr>
                <w:r>
                  <w:rPr>
                    <w:rFonts w:cs="Arial" w:hint="eastAsia"/>
                    <w:lang w:val="en-GB"/>
                  </w:rPr>
                  <w:t>名称</w:t>
                </w:r>
              </w:p>
            </w:tc>
          </w:sdtContent>
        </w:sdt>
        <w:sdt>
          <w:sdtPr>
            <w:tag w:val="_PLD_f2f68356b5494ce8941038ba206c0e79"/>
            <w:id w:val="-941228653"/>
          </w:sdtPr>
          <w:sdtContent>
            <w:tc>
              <w:tcPr>
                <w:tcW w:w="504" w:type="pct"/>
                <w:vMerge w:val="restart"/>
                <w:vAlign w:val="center"/>
              </w:tcPr>
              <w:p w14:paraId="41317806" w14:textId="77777777" w:rsidR="005E000F" w:rsidRDefault="00000000">
                <w:pPr>
                  <w:jc w:val="center"/>
                  <w:rPr>
                    <w:rFonts w:cs="Arial"/>
                  </w:rPr>
                </w:pPr>
                <w:r>
                  <w:rPr>
                    <w:rFonts w:cs="Arial" w:hint="eastAsia"/>
                    <w:lang w:val="en-GB"/>
                  </w:rPr>
                  <w:t>主要经营地</w:t>
                </w:r>
              </w:p>
            </w:tc>
          </w:sdtContent>
        </w:sdt>
        <w:tc>
          <w:tcPr>
            <w:tcW w:w="615" w:type="pct"/>
            <w:vMerge w:val="restart"/>
            <w:vAlign w:val="center"/>
          </w:tcPr>
          <w:sdt>
            <w:sdtPr>
              <w:tag w:val="_PLD_e8bcd6ecc6b44104942668e86b86bbbe"/>
              <w:id w:val="1623957887"/>
            </w:sdtPr>
            <w:sdtContent>
              <w:p w14:paraId="21D66057" w14:textId="77777777" w:rsidR="005E000F" w:rsidRDefault="00000000">
                <w:pPr>
                  <w:jc w:val="center"/>
                </w:pPr>
                <w:r>
                  <w:rPr>
                    <w:rFonts w:hint="eastAsia"/>
                  </w:rPr>
                  <w:t>注册资本</w:t>
                </w:r>
              </w:p>
            </w:sdtContent>
          </w:sdt>
        </w:tc>
        <w:sdt>
          <w:sdtPr>
            <w:tag w:val="_PLD_e9cbfd017bcc45b9be4599d5ee950f92"/>
            <w:id w:val="-509914314"/>
          </w:sdtPr>
          <w:sdtContent>
            <w:tc>
              <w:tcPr>
                <w:tcW w:w="518" w:type="pct"/>
                <w:vMerge w:val="restart"/>
                <w:vAlign w:val="center"/>
              </w:tcPr>
              <w:p w14:paraId="383A9B22" w14:textId="77777777" w:rsidR="005E000F" w:rsidRDefault="00000000">
                <w:pPr>
                  <w:jc w:val="center"/>
                  <w:rPr>
                    <w:rFonts w:cs="Arial"/>
                  </w:rPr>
                </w:pPr>
                <w:r>
                  <w:rPr>
                    <w:rFonts w:cs="Arial" w:hint="eastAsia"/>
                    <w:lang w:val="en-GB"/>
                  </w:rPr>
                  <w:t>注册地</w:t>
                </w:r>
              </w:p>
            </w:tc>
          </w:sdtContent>
        </w:sdt>
        <w:sdt>
          <w:sdtPr>
            <w:tag w:val="_PLD_da5558f3e8f24c30b756f825b0ebca03"/>
            <w:id w:val="-1983386386"/>
          </w:sdtPr>
          <w:sdtContent>
            <w:tc>
              <w:tcPr>
                <w:tcW w:w="1151" w:type="pct"/>
                <w:vMerge w:val="restart"/>
                <w:vAlign w:val="center"/>
              </w:tcPr>
              <w:p w14:paraId="3B5E43AA" w14:textId="77777777" w:rsidR="005E000F" w:rsidRDefault="00000000">
                <w:pPr>
                  <w:jc w:val="center"/>
                  <w:rPr>
                    <w:rFonts w:cs="Arial"/>
                  </w:rPr>
                </w:pPr>
                <w:r>
                  <w:rPr>
                    <w:rFonts w:cs="Arial" w:hint="eastAsia"/>
                    <w:lang w:val="en-GB"/>
                  </w:rPr>
                  <w:t>业务性质</w:t>
                </w:r>
              </w:p>
            </w:tc>
          </w:sdtContent>
        </w:sdt>
        <w:sdt>
          <w:sdtPr>
            <w:tag w:val="_PLD_817e427c8eff4fd1875d12860133e99e"/>
            <w:id w:val="-1046526106"/>
          </w:sdtPr>
          <w:sdtContent>
            <w:tc>
              <w:tcPr>
                <w:tcW w:w="895" w:type="pct"/>
                <w:gridSpan w:val="2"/>
                <w:vAlign w:val="center"/>
              </w:tcPr>
              <w:p w14:paraId="2A56A235" w14:textId="77777777" w:rsidR="005E000F" w:rsidRDefault="00000000">
                <w:pPr>
                  <w:jc w:val="center"/>
                  <w:rPr>
                    <w:rFonts w:cs="Arial"/>
                  </w:rPr>
                </w:pPr>
                <w:r>
                  <w:rPr>
                    <w:rFonts w:cs="Arial" w:hint="eastAsia"/>
                    <w:lang w:val="en-GB"/>
                  </w:rPr>
                  <w:t>持股比例</w:t>
                </w:r>
                <w:r>
                  <w:rPr>
                    <w:rFonts w:cs="Arial" w:hint="eastAsia"/>
                  </w:rPr>
                  <w:t>（</w:t>
                </w:r>
                <w:r>
                  <w:rPr>
                    <w:rFonts w:cs="Arial"/>
                  </w:rPr>
                  <w:t>%</w:t>
                </w:r>
                <w:r>
                  <w:rPr>
                    <w:rFonts w:cs="Arial" w:hint="eastAsia"/>
                  </w:rPr>
                  <w:t>）</w:t>
                </w:r>
              </w:p>
            </w:tc>
          </w:sdtContent>
        </w:sdt>
        <w:sdt>
          <w:sdtPr>
            <w:tag w:val="_PLD_0bb5e453efe4450ba0d853b98eb2c2b0"/>
            <w:id w:val="1723556355"/>
          </w:sdtPr>
          <w:sdtContent>
            <w:tc>
              <w:tcPr>
                <w:tcW w:w="613" w:type="pct"/>
                <w:vMerge w:val="restart"/>
                <w:vAlign w:val="center"/>
              </w:tcPr>
              <w:p w14:paraId="58998FBD" w14:textId="77777777" w:rsidR="005E000F" w:rsidRDefault="00000000">
                <w:pPr>
                  <w:jc w:val="center"/>
                  <w:rPr>
                    <w:rFonts w:cs="Arial"/>
                    <w:lang w:val="en-GB"/>
                  </w:rPr>
                </w:pPr>
                <w:r>
                  <w:rPr>
                    <w:rFonts w:cs="Arial" w:hint="eastAsia"/>
                    <w:lang w:val="en-GB"/>
                  </w:rPr>
                  <w:t>取得</w:t>
                </w:r>
              </w:p>
              <w:p w14:paraId="162C2040" w14:textId="77777777" w:rsidR="005E000F" w:rsidRDefault="00000000">
                <w:pPr>
                  <w:jc w:val="center"/>
                  <w:rPr>
                    <w:rFonts w:cs="Arial"/>
                    <w:lang w:val="en-GB"/>
                  </w:rPr>
                </w:pPr>
                <w:r>
                  <w:rPr>
                    <w:rFonts w:cs="Arial" w:hint="eastAsia"/>
                    <w:lang w:val="en-GB"/>
                  </w:rPr>
                  <w:t>方式</w:t>
                </w:r>
              </w:p>
            </w:tc>
          </w:sdtContent>
        </w:sdt>
      </w:tr>
      <w:tr w:rsidR="005E000F" w14:paraId="12A71046" w14:textId="77777777">
        <w:trPr>
          <w:trHeight w:val="278"/>
        </w:trPr>
        <w:tc>
          <w:tcPr>
            <w:tcW w:w="701" w:type="pct"/>
            <w:vMerge/>
            <w:vAlign w:val="center"/>
          </w:tcPr>
          <w:p w14:paraId="20FAEB48" w14:textId="77777777" w:rsidR="005E000F" w:rsidRDefault="005E000F">
            <w:pPr>
              <w:rPr>
                <w:rFonts w:cs="Arial"/>
              </w:rPr>
            </w:pPr>
          </w:p>
        </w:tc>
        <w:tc>
          <w:tcPr>
            <w:tcW w:w="504" w:type="pct"/>
            <w:vMerge/>
            <w:vAlign w:val="center"/>
          </w:tcPr>
          <w:p w14:paraId="5520FB20" w14:textId="77777777" w:rsidR="005E000F" w:rsidRDefault="005E000F">
            <w:pPr>
              <w:rPr>
                <w:rFonts w:cs="Arial"/>
              </w:rPr>
            </w:pPr>
          </w:p>
        </w:tc>
        <w:tc>
          <w:tcPr>
            <w:tcW w:w="615" w:type="pct"/>
            <w:vMerge/>
            <w:vAlign w:val="center"/>
          </w:tcPr>
          <w:p w14:paraId="6D4EEFE3" w14:textId="77777777" w:rsidR="005E000F" w:rsidRDefault="005E000F">
            <w:pPr>
              <w:rPr>
                <w:rFonts w:cs="Arial"/>
              </w:rPr>
            </w:pPr>
          </w:p>
        </w:tc>
        <w:tc>
          <w:tcPr>
            <w:tcW w:w="518" w:type="pct"/>
            <w:vMerge/>
            <w:vAlign w:val="center"/>
          </w:tcPr>
          <w:p w14:paraId="0855BB93" w14:textId="77777777" w:rsidR="005E000F" w:rsidRDefault="005E000F">
            <w:pPr>
              <w:rPr>
                <w:rFonts w:cs="Arial"/>
              </w:rPr>
            </w:pPr>
          </w:p>
        </w:tc>
        <w:tc>
          <w:tcPr>
            <w:tcW w:w="1151" w:type="pct"/>
            <w:vMerge/>
            <w:vAlign w:val="center"/>
          </w:tcPr>
          <w:p w14:paraId="5C099D4A" w14:textId="77777777" w:rsidR="005E000F" w:rsidRDefault="005E000F">
            <w:pPr>
              <w:rPr>
                <w:rFonts w:cs="Arial"/>
              </w:rPr>
            </w:pPr>
          </w:p>
        </w:tc>
        <w:sdt>
          <w:sdtPr>
            <w:tag w:val="_PLD_3f641d83162f4ae3a8840b93258d7ced"/>
            <w:id w:val="1926069256"/>
          </w:sdtPr>
          <w:sdtContent>
            <w:tc>
              <w:tcPr>
                <w:tcW w:w="508" w:type="pct"/>
                <w:vAlign w:val="center"/>
              </w:tcPr>
              <w:p w14:paraId="77E40422" w14:textId="77777777" w:rsidR="005E000F" w:rsidRDefault="00000000">
                <w:pPr>
                  <w:jc w:val="center"/>
                  <w:rPr>
                    <w:rFonts w:cs="Arial"/>
                  </w:rPr>
                </w:pPr>
                <w:r>
                  <w:rPr>
                    <w:rFonts w:cs="Arial" w:hint="eastAsia"/>
                    <w:lang w:val="en-GB"/>
                  </w:rPr>
                  <w:t>直接</w:t>
                </w:r>
              </w:p>
            </w:tc>
          </w:sdtContent>
        </w:sdt>
        <w:sdt>
          <w:sdtPr>
            <w:tag w:val="_PLD_ebc96648c2794ae08bfb57e63f0a34c5"/>
            <w:id w:val="-1399119677"/>
          </w:sdtPr>
          <w:sdtContent>
            <w:tc>
              <w:tcPr>
                <w:tcW w:w="387" w:type="pct"/>
                <w:vAlign w:val="center"/>
              </w:tcPr>
              <w:p w14:paraId="017F8DE8" w14:textId="77777777" w:rsidR="005E000F" w:rsidRDefault="00000000">
                <w:pPr>
                  <w:jc w:val="center"/>
                  <w:rPr>
                    <w:rFonts w:cs="Arial"/>
                  </w:rPr>
                </w:pPr>
                <w:r>
                  <w:rPr>
                    <w:rFonts w:cs="Arial" w:hint="eastAsia"/>
                    <w:lang w:val="en-GB"/>
                  </w:rPr>
                  <w:t>间接</w:t>
                </w:r>
              </w:p>
            </w:tc>
          </w:sdtContent>
        </w:sdt>
        <w:tc>
          <w:tcPr>
            <w:tcW w:w="613" w:type="pct"/>
            <w:vMerge/>
            <w:vAlign w:val="center"/>
          </w:tcPr>
          <w:p w14:paraId="1573B302" w14:textId="77777777" w:rsidR="005E000F" w:rsidRDefault="005E000F">
            <w:pPr>
              <w:rPr>
                <w:rFonts w:cs="Arial"/>
              </w:rPr>
            </w:pPr>
          </w:p>
        </w:tc>
      </w:tr>
      <w:tr w:rsidR="005E000F" w14:paraId="72FA4A02" w14:textId="77777777">
        <w:tc>
          <w:tcPr>
            <w:tcW w:w="701" w:type="pct"/>
            <w:vAlign w:val="center"/>
          </w:tcPr>
          <w:p w14:paraId="2E28036B" w14:textId="77777777" w:rsidR="005E000F" w:rsidRDefault="00000000">
            <w:pPr>
              <w:rPr>
                <w:rFonts w:cs="宋体"/>
                <w:bCs/>
              </w:rPr>
            </w:pPr>
            <w:r>
              <w:rPr>
                <w:rFonts w:cs="宋体" w:hint="eastAsia"/>
                <w:bCs/>
              </w:rPr>
              <w:t>唐港公司</w:t>
            </w:r>
            <w:r>
              <w:rPr>
                <w:rFonts w:cs="宋体" w:hint="eastAsia"/>
                <w:bCs/>
              </w:rPr>
              <w:t>(</w:t>
            </w:r>
            <w:r>
              <w:rPr>
                <w:rFonts w:cs="宋体" w:hint="eastAsia"/>
                <w:bCs/>
              </w:rPr>
              <w:t>注</w:t>
            </w:r>
            <w:r>
              <w:rPr>
                <w:rFonts w:cs="宋体" w:hint="eastAsia"/>
                <w:bCs/>
              </w:rPr>
              <w:t>1)</w:t>
            </w:r>
          </w:p>
        </w:tc>
        <w:tc>
          <w:tcPr>
            <w:tcW w:w="504" w:type="pct"/>
            <w:vAlign w:val="center"/>
          </w:tcPr>
          <w:p w14:paraId="5017E19F" w14:textId="77777777" w:rsidR="005E000F" w:rsidRDefault="00000000">
            <w:pPr>
              <w:rPr>
                <w:rFonts w:cs="宋体"/>
                <w:bCs/>
                <w:lang w:eastAsia="en-US"/>
              </w:rPr>
            </w:pPr>
            <w:r>
              <w:rPr>
                <w:rFonts w:cs="宋体" w:hint="eastAsia"/>
                <w:bCs/>
              </w:rPr>
              <w:t>河北唐山市</w:t>
            </w:r>
          </w:p>
        </w:tc>
        <w:tc>
          <w:tcPr>
            <w:tcW w:w="615" w:type="pct"/>
            <w:vAlign w:val="center"/>
          </w:tcPr>
          <w:p w14:paraId="3F37665E" w14:textId="77777777" w:rsidR="005E000F" w:rsidRDefault="00000000">
            <w:pPr>
              <w:rPr>
                <w:rFonts w:cs="宋体"/>
                <w:bCs/>
                <w:lang w:eastAsia="en-US"/>
              </w:rPr>
            </w:pPr>
            <w:r>
              <w:rPr>
                <w:rFonts w:cs="宋体" w:hint="eastAsia"/>
                <w:bCs/>
              </w:rPr>
              <w:t>2,342,260,000</w:t>
            </w:r>
          </w:p>
        </w:tc>
        <w:tc>
          <w:tcPr>
            <w:tcW w:w="518" w:type="pct"/>
            <w:vAlign w:val="center"/>
          </w:tcPr>
          <w:p w14:paraId="4B5EFEF6" w14:textId="77777777" w:rsidR="005E000F" w:rsidRDefault="00000000">
            <w:pPr>
              <w:rPr>
                <w:rFonts w:cs="宋体"/>
                <w:bCs/>
                <w:lang w:eastAsia="en-US"/>
              </w:rPr>
            </w:pPr>
            <w:r>
              <w:rPr>
                <w:rFonts w:cs="宋体" w:hint="eastAsia"/>
                <w:bCs/>
              </w:rPr>
              <w:t>河北唐山市</w:t>
            </w:r>
          </w:p>
        </w:tc>
        <w:tc>
          <w:tcPr>
            <w:tcW w:w="1151" w:type="pct"/>
            <w:vAlign w:val="center"/>
          </w:tcPr>
          <w:p w14:paraId="166802E7" w14:textId="77777777" w:rsidR="005E000F" w:rsidRDefault="00000000">
            <w:pPr>
              <w:rPr>
                <w:rFonts w:cs="宋体"/>
                <w:bCs/>
              </w:rPr>
            </w:pPr>
            <w:r>
              <w:rPr>
                <w:rFonts w:cs="宋体" w:hint="eastAsia"/>
                <w:bCs/>
              </w:rPr>
              <w:t>铁路运输及铁路运输服务</w:t>
            </w:r>
          </w:p>
        </w:tc>
        <w:tc>
          <w:tcPr>
            <w:tcW w:w="508" w:type="pct"/>
            <w:vAlign w:val="center"/>
          </w:tcPr>
          <w:p w14:paraId="2F442219" w14:textId="77777777" w:rsidR="005E000F" w:rsidRDefault="00000000">
            <w:pPr>
              <w:rPr>
                <w:rFonts w:cs="宋体"/>
                <w:bCs/>
                <w:lang w:eastAsia="en-US"/>
              </w:rPr>
            </w:pPr>
            <w:r>
              <w:rPr>
                <w:rFonts w:cs="宋体" w:hint="eastAsia"/>
                <w:bCs/>
              </w:rPr>
              <w:t>19.73</w:t>
            </w:r>
          </w:p>
        </w:tc>
        <w:tc>
          <w:tcPr>
            <w:tcW w:w="387" w:type="pct"/>
          </w:tcPr>
          <w:p w14:paraId="63DCEC2D" w14:textId="77777777" w:rsidR="005E000F" w:rsidRDefault="00000000">
            <w:pPr>
              <w:rPr>
                <w:rFonts w:cs="宋体"/>
                <w:bCs/>
                <w:lang w:eastAsia="en-US"/>
              </w:rPr>
            </w:pPr>
            <w:r>
              <w:rPr>
                <w:rFonts w:cs="宋体" w:hint="eastAsia"/>
                <w:bCs/>
              </w:rPr>
              <w:t>0</w:t>
            </w:r>
          </w:p>
        </w:tc>
        <w:tc>
          <w:tcPr>
            <w:tcW w:w="613" w:type="pct"/>
            <w:vAlign w:val="center"/>
          </w:tcPr>
          <w:p w14:paraId="2D5D650C" w14:textId="77777777" w:rsidR="005E000F" w:rsidRDefault="00000000">
            <w:pPr>
              <w:rPr>
                <w:rFonts w:cs="宋体"/>
                <w:bCs/>
              </w:rPr>
            </w:pPr>
            <w:r>
              <w:rPr>
                <w:rFonts w:cs="宋体" w:hint="eastAsia"/>
                <w:bCs/>
              </w:rPr>
              <w:t>同</w:t>
            </w:r>
            <w:proofErr w:type="gramStart"/>
            <w:r>
              <w:rPr>
                <w:rFonts w:cs="宋体" w:hint="eastAsia"/>
                <w:bCs/>
              </w:rPr>
              <w:t>一控制</w:t>
            </w:r>
            <w:proofErr w:type="gramEnd"/>
            <w:r>
              <w:rPr>
                <w:rFonts w:cs="宋体" w:hint="eastAsia"/>
                <w:bCs/>
              </w:rPr>
              <w:t>下企业合并取得</w:t>
            </w:r>
          </w:p>
        </w:tc>
      </w:tr>
      <w:tr w:rsidR="005E000F" w14:paraId="6594F6C0" w14:textId="77777777">
        <w:tc>
          <w:tcPr>
            <w:tcW w:w="701" w:type="pct"/>
            <w:vAlign w:val="center"/>
          </w:tcPr>
          <w:p w14:paraId="06F627F7" w14:textId="77777777" w:rsidR="005E000F" w:rsidRDefault="00000000">
            <w:pPr>
              <w:rPr>
                <w:rFonts w:cs="宋体"/>
                <w:bCs/>
              </w:rPr>
            </w:pPr>
            <w:proofErr w:type="gramStart"/>
            <w:r>
              <w:rPr>
                <w:rFonts w:cs="宋体" w:hint="eastAsia"/>
                <w:bCs/>
              </w:rPr>
              <w:t>侯禹公司</w:t>
            </w:r>
            <w:proofErr w:type="gramEnd"/>
            <w:r>
              <w:rPr>
                <w:rFonts w:cs="宋体" w:hint="eastAsia"/>
                <w:bCs/>
              </w:rPr>
              <w:t>(</w:t>
            </w:r>
            <w:r>
              <w:rPr>
                <w:rFonts w:cs="宋体" w:hint="eastAsia"/>
                <w:bCs/>
              </w:rPr>
              <w:t>注</w:t>
            </w:r>
            <w:r>
              <w:rPr>
                <w:rFonts w:cs="宋体" w:hint="eastAsia"/>
                <w:bCs/>
              </w:rPr>
              <w:t>2)</w:t>
            </w:r>
          </w:p>
        </w:tc>
        <w:tc>
          <w:tcPr>
            <w:tcW w:w="504" w:type="pct"/>
            <w:vAlign w:val="center"/>
          </w:tcPr>
          <w:p w14:paraId="2C67DE50" w14:textId="77777777" w:rsidR="005E000F" w:rsidRDefault="00000000">
            <w:pPr>
              <w:rPr>
                <w:rFonts w:cs="宋体"/>
                <w:bCs/>
                <w:lang w:eastAsia="en-US"/>
              </w:rPr>
            </w:pPr>
            <w:r>
              <w:rPr>
                <w:rFonts w:cs="宋体" w:hint="eastAsia"/>
                <w:bCs/>
              </w:rPr>
              <w:t>山西河津市</w:t>
            </w:r>
          </w:p>
        </w:tc>
        <w:tc>
          <w:tcPr>
            <w:tcW w:w="615" w:type="pct"/>
            <w:vAlign w:val="center"/>
          </w:tcPr>
          <w:p w14:paraId="27C863A7" w14:textId="77777777" w:rsidR="005E000F" w:rsidRDefault="00000000">
            <w:pPr>
              <w:rPr>
                <w:rFonts w:cs="宋体"/>
                <w:bCs/>
                <w:lang w:eastAsia="en-US"/>
              </w:rPr>
            </w:pPr>
            <w:r>
              <w:rPr>
                <w:rFonts w:cs="宋体" w:hint="eastAsia"/>
                <w:bCs/>
              </w:rPr>
              <w:t>2,000,000,000</w:t>
            </w:r>
          </w:p>
        </w:tc>
        <w:tc>
          <w:tcPr>
            <w:tcW w:w="518" w:type="pct"/>
            <w:vAlign w:val="center"/>
          </w:tcPr>
          <w:p w14:paraId="4DA3C72C" w14:textId="77777777" w:rsidR="005E000F" w:rsidRDefault="00000000">
            <w:pPr>
              <w:rPr>
                <w:rFonts w:cs="宋体"/>
                <w:bCs/>
                <w:lang w:eastAsia="en-US"/>
              </w:rPr>
            </w:pPr>
            <w:r>
              <w:rPr>
                <w:rFonts w:cs="宋体" w:hint="eastAsia"/>
                <w:bCs/>
              </w:rPr>
              <w:t>山西河津市</w:t>
            </w:r>
          </w:p>
        </w:tc>
        <w:tc>
          <w:tcPr>
            <w:tcW w:w="1151" w:type="pct"/>
            <w:vAlign w:val="center"/>
          </w:tcPr>
          <w:p w14:paraId="1F1CC418" w14:textId="77777777" w:rsidR="005E000F" w:rsidRDefault="00000000">
            <w:pPr>
              <w:rPr>
                <w:rFonts w:cs="宋体"/>
                <w:bCs/>
              </w:rPr>
            </w:pPr>
            <w:r>
              <w:rPr>
                <w:rFonts w:cs="宋体" w:hint="eastAsia"/>
                <w:bCs/>
              </w:rPr>
              <w:t>铁路客货运输服务、铁路货运装卸仓储等</w:t>
            </w:r>
          </w:p>
        </w:tc>
        <w:tc>
          <w:tcPr>
            <w:tcW w:w="508" w:type="pct"/>
            <w:vAlign w:val="center"/>
          </w:tcPr>
          <w:p w14:paraId="2D9B8FC8" w14:textId="77777777" w:rsidR="005E000F" w:rsidRDefault="00000000">
            <w:pPr>
              <w:rPr>
                <w:rFonts w:cs="宋体"/>
                <w:bCs/>
                <w:lang w:eastAsia="en-US"/>
              </w:rPr>
            </w:pPr>
            <w:r>
              <w:rPr>
                <w:rFonts w:cs="宋体" w:hint="eastAsia"/>
                <w:bCs/>
              </w:rPr>
              <w:t>92.50</w:t>
            </w:r>
          </w:p>
        </w:tc>
        <w:tc>
          <w:tcPr>
            <w:tcW w:w="387" w:type="pct"/>
          </w:tcPr>
          <w:p w14:paraId="43E7B4F0" w14:textId="77777777" w:rsidR="005E000F" w:rsidRDefault="00000000">
            <w:pPr>
              <w:rPr>
                <w:rFonts w:cs="宋体"/>
                <w:bCs/>
                <w:lang w:eastAsia="en-US"/>
              </w:rPr>
            </w:pPr>
            <w:r>
              <w:rPr>
                <w:rFonts w:cs="宋体" w:hint="eastAsia"/>
                <w:bCs/>
              </w:rPr>
              <w:t>0</w:t>
            </w:r>
          </w:p>
        </w:tc>
        <w:tc>
          <w:tcPr>
            <w:tcW w:w="613" w:type="pct"/>
            <w:vAlign w:val="center"/>
          </w:tcPr>
          <w:p w14:paraId="2B152764" w14:textId="77777777" w:rsidR="005E000F" w:rsidRDefault="00000000">
            <w:pPr>
              <w:rPr>
                <w:rFonts w:cs="宋体"/>
                <w:bCs/>
                <w:lang w:eastAsia="en-US"/>
              </w:rPr>
            </w:pPr>
            <w:r>
              <w:rPr>
                <w:rFonts w:cs="宋体" w:hint="eastAsia"/>
                <w:bCs/>
              </w:rPr>
              <w:t>投资设立</w:t>
            </w:r>
          </w:p>
        </w:tc>
      </w:tr>
      <w:tr w:rsidR="005E000F" w14:paraId="175982DE" w14:textId="77777777">
        <w:tc>
          <w:tcPr>
            <w:tcW w:w="701" w:type="pct"/>
            <w:vAlign w:val="center"/>
          </w:tcPr>
          <w:p w14:paraId="1ECB1246" w14:textId="77777777" w:rsidR="005E000F" w:rsidRDefault="00000000">
            <w:pPr>
              <w:rPr>
                <w:rFonts w:cs="宋体"/>
                <w:bCs/>
              </w:rPr>
            </w:pPr>
            <w:proofErr w:type="gramStart"/>
            <w:r>
              <w:rPr>
                <w:rFonts w:cs="宋体" w:hint="eastAsia"/>
                <w:bCs/>
              </w:rPr>
              <w:t>太兴</w:t>
            </w:r>
            <w:proofErr w:type="gramEnd"/>
            <w:r>
              <w:rPr>
                <w:rFonts w:cs="宋体" w:hint="eastAsia"/>
                <w:bCs/>
              </w:rPr>
              <w:t>公司</w:t>
            </w:r>
            <w:r>
              <w:rPr>
                <w:rFonts w:cs="宋体" w:hint="eastAsia"/>
                <w:bCs/>
              </w:rPr>
              <w:t>(</w:t>
            </w:r>
            <w:r>
              <w:rPr>
                <w:rFonts w:cs="宋体" w:hint="eastAsia"/>
                <w:bCs/>
              </w:rPr>
              <w:t>注</w:t>
            </w:r>
            <w:r>
              <w:rPr>
                <w:rFonts w:cs="宋体" w:hint="eastAsia"/>
                <w:bCs/>
              </w:rPr>
              <w:t>3)</w:t>
            </w:r>
          </w:p>
        </w:tc>
        <w:tc>
          <w:tcPr>
            <w:tcW w:w="504" w:type="pct"/>
            <w:vAlign w:val="center"/>
          </w:tcPr>
          <w:p w14:paraId="6F88B7D5" w14:textId="77777777" w:rsidR="005E000F" w:rsidRDefault="00000000">
            <w:pPr>
              <w:rPr>
                <w:rFonts w:cs="宋体"/>
                <w:bCs/>
                <w:lang w:eastAsia="en-US"/>
              </w:rPr>
            </w:pPr>
            <w:r>
              <w:rPr>
                <w:rFonts w:cs="宋体" w:hint="eastAsia"/>
                <w:bCs/>
              </w:rPr>
              <w:t>山西太原市</w:t>
            </w:r>
          </w:p>
        </w:tc>
        <w:tc>
          <w:tcPr>
            <w:tcW w:w="615" w:type="pct"/>
            <w:vAlign w:val="center"/>
          </w:tcPr>
          <w:p w14:paraId="6B014D41" w14:textId="77777777" w:rsidR="005E000F" w:rsidRDefault="00000000">
            <w:pPr>
              <w:rPr>
                <w:rFonts w:cs="宋体"/>
                <w:bCs/>
                <w:lang w:eastAsia="en-US"/>
              </w:rPr>
            </w:pPr>
            <w:r>
              <w:rPr>
                <w:rFonts w:cs="宋体" w:hint="eastAsia"/>
                <w:bCs/>
              </w:rPr>
              <w:t>5,042,654,500</w:t>
            </w:r>
          </w:p>
        </w:tc>
        <w:tc>
          <w:tcPr>
            <w:tcW w:w="518" w:type="pct"/>
            <w:vAlign w:val="center"/>
          </w:tcPr>
          <w:p w14:paraId="2BFD9F97" w14:textId="77777777" w:rsidR="005E000F" w:rsidRDefault="00000000">
            <w:pPr>
              <w:rPr>
                <w:rFonts w:cs="宋体"/>
                <w:bCs/>
                <w:lang w:eastAsia="en-US"/>
              </w:rPr>
            </w:pPr>
            <w:r>
              <w:rPr>
                <w:rFonts w:cs="宋体" w:hint="eastAsia"/>
                <w:bCs/>
              </w:rPr>
              <w:t>山西太原市</w:t>
            </w:r>
          </w:p>
        </w:tc>
        <w:tc>
          <w:tcPr>
            <w:tcW w:w="1151" w:type="pct"/>
            <w:vAlign w:val="center"/>
          </w:tcPr>
          <w:p w14:paraId="3BE029C4" w14:textId="77777777" w:rsidR="005E000F" w:rsidRDefault="00000000">
            <w:pPr>
              <w:rPr>
                <w:rFonts w:cs="宋体"/>
                <w:bCs/>
              </w:rPr>
            </w:pPr>
            <w:r>
              <w:rPr>
                <w:rFonts w:cs="宋体" w:hint="eastAsia"/>
                <w:bCs/>
              </w:rPr>
              <w:t>铁路客货运输服务、铁路货运装卸仓储等</w:t>
            </w:r>
          </w:p>
        </w:tc>
        <w:tc>
          <w:tcPr>
            <w:tcW w:w="508" w:type="pct"/>
            <w:vAlign w:val="center"/>
          </w:tcPr>
          <w:p w14:paraId="21AF09BD" w14:textId="77777777" w:rsidR="005E000F" w:rsidRDefault="00000000">
            <w:pPr>
              <w:rPr>
                <w:rFonts w:cs="宋体"/>
                <w:bCs/>
                <w:lang w:eastAsia="en-US"/>
              </w:rPr>
            </w:pPr>
            <w:r>
              <w:rPr>
                <w:rFonts w:cs="宋体" w:hint="eastAsia"/>
                <w:bCs/>
              </w:rPr>
              <w:t>74.44</w:t>
            </w:r>
          </w:p>
        </w:tc>
        <w:tc>
          <w:tcPr>
            <w:tcW w:w="387" w:type="pct"/>
          </w:tcPr>
          <w:p w14:paraId="531560B7" w14:textId="77777777" w:rsidR="005E000F" w:rsidRDefault="00000000">
            <w:pPr>
              <w:rPr>
                <w:rFonts w:cs="宋体"/>
                <w:bCs/>
                <w:lang w:eastAsia="en-US"/>
              </w:rPr>
            </w:pPr>
            <w:r>
              <w:rPr>
                <w:rFonts w:cs="宋体" w:hint="eastAsia"/>
                <w:bCs/>
              </w:rPr>
              <w:t>0</w:t>
            </w:r>
          </w:p>
        </w:tc>
        <w:tc>
          <w:tcPr>
            <w:tcW w:w="613" w:type="pct"/>
            <w:vAlign w:val="center"/>
          </w:tcPr>
          <w:p w14:paraId="762C2A23" w14:textId="77777777" w:rsidR="005E000F" w:rsidRDefault="00000000">
            <w:pPr>
              <w:rPr>
                <w:rFonts w:cs="宋体"/>
                <w:bCs/>
              </w:rPr>
            </w:pPr>
            <w:r>
              <w:rPr>
                <w:rFonts w:cs="宋体" w:hint="eastAsia"/>
                <w:bCs/>
              </w:rPr>
              <w:t>同</w:t>
            </w:r>
            <w:proofErr w:type="gramStart"/>
            <w:r>
              <w:rPr>
                <w:rFonts w:cs="宋体" w:hint="eastAsia"/>
                <w:bCs/>
              </w:rPr>
              <w:t>一控制</w:t>
            </w:r>
            <w:proofErr w:type="gramEnd"/>
            <w:r>
              <w:rPr>
                <w:rFonts w:cs="宋体" w:hint="eastAsia"/>
                <w:bCs/>
              </w:rPr>
              <w:t>下企业合并取得</w:t>
            </w:r>
          </w:p>
        </w:tc>
      </w:tr>
      <w:tr w:rsidR="005E000F" w14:paraId="06B2C9C9" w14:textId="77777777">
        <w:tc>
          <w:tcPr>
            <w:tcW w:w="701" w:type="pct"/>
            <w:vAlign w:val="center"/>
          </w:tcPr>
          <w:p w14:paraId="5FFE45C1" w14:textId="77777777" w:rsidR="005E000F" w:rsidRDefault="00000000">
            <w:pPr>
              <w:rPr>
                <w:rFonts w:cs="宋体"/>
                <w:bCs/>
              </w:rPr>
            </w:pPr>
            <w:r>
              <w:rPr>
                <w:rFonts w:cs="宋体" w:hint="eastAsia"/>
                <w:bCs/>
              </w:rPr>
              <w:t>中鼎公司</w:t>
            </w:r>
            <w:r>
              <w:rPr>
                <w:rFonts w:cs="宋体" w:hint="eastAsia"/>
                <w:bCs/>
              </w:rPr>
              <w:t>(</w:t>
            </w:r>
            <w:r>
              <w:rPr>
                <w:rFonts w:cs="宋体" w:hint="eastAsia"/>
                <w:bCs/>
              </w:rPr>
              <w:t>注</w:t>
            </w:r>
            <w:r>
              <w:rPr>
                <w:rFonts w:cs="宋体" w:hint="eastAsia"/>
                <w:bCs/>
              </w:rPr>
              <w:t>4)</w:t>
            </w:r>
          </w:p>
        </w:tc>
        <w:tc>
          <w:tcPr>
            <w:tcW w:w="504" w:type="pct"/>
            <w:vAlign w:val="center"/>
          </w:tcPr>
          <w:p w14:paraId="38C6E56A" w14:textId="77777777" w:rsidR="005E000F" w:rsidRDefault="00000000">
            <w:pPr>
              <w:rPr>
                <w:rFonts w:cs="宋体"/>
                <w:bCs/>
                <w:lang w:eastAsia="en-US"/>
              </w:rPr>
            </w:pPr>
            <w:r>
              <w:rPr>
                <w:rFonts w:cs="宋体" w:hint="eastAsia"/>
                <w:bCs/>
              </w:rPr>
              <w:t>山西</w:t>
            </w:r>
            <w:proofErr w:type="gramStart"/>
            <w:r>
              <w:rPr>
                <w:rFonts w:cs="宋体" w:hint="eastAsia"/>
                <w:bCs/>
              </w:rPr>
              <w:t>晋中市</w:t>
            </w:r>
            <w:proofErr w:type="gramEnd"/>
          </w:p>
        </w:tc>
        <w:tc>
          <w:tcPr>
            <w:tcW w:w="615" w:type="pct"/>
            <w:vAlign w:val="center"/>
          </w:tcPr>
          <w:p w14:paraId="415BE75A" w14:textId="77777777" w:rsidR="005E000F" w:rsidRDefault="00000000">
            <w:pPr>
              <w:rPr>
                <w:rFonts w:cs="宋体"/>
                <w:bCs/>
                <w:lang w:eastAsia="en-US"/>
              </w:rPr>
            </w:pPr>
            <w:r>
              <w:rPr>
                <w:rFonts w:cs="宋体" w:hint="eastAsia"/>
                <w:bCs/>
              </w:rPr>
              <w:t>2,092,500,000</w:t>
            </w:r>
          </w:p>
        </w:tc>
        <w:tc>
          <w:tcPr>
            <w:tcW w:w="518" w:type="pct"/>
            <w:vAlign w:val="center"/>
          </w:tcPr>
          <w:p w14:paraId="7DC74B59" w14:textId="77777777" w:rsidR="005E000F" w:rsidRDefault="00000000">
            <w:pPr>
              <w:rPr>
                <w:rFonts w:cs="宋体"/>
                <w:bCs/>
                <w:lang w:eastAsia="en-US"/>
              </w:rPr>
            </w:pPr>
            <w:r>
              <w:rPr>
                <w:rFonts w:cs="宋体" w:hint="eastAsia"/>
                <w:bCs/>
              </w:rPr>
              <w:t>山西</w:t>
            </w:r>
            <w:proofErr w:type="gramStart"/>
            <w:r>
              <w:rPr>
                <w:rFonts w:cs="宋体" w:hint="eastAsia"/>
                <w:bCs/>
              </w:rPr>
              <w:t>晋中市</w:t>
            </w:r>
            <w:proofErr w:type="gramEnd"/>
          </w:p>
        </w:tc>
        <w:tc>
          <w:tcPr>
            <w:tcW w:w="1151" w:type="pct"/>
            <w:vAlign w:val="center"/>
          </w:tcPr>
          <w:p w14:paraId="61A2857F" w14:textId="77777777" w:rsidR="005E000F" w:rsidRDefault="00000000">
            <w:pPr>
              <w:rPr>
                <w:rFonts w:cs="宋体"/>
                <w:bCs/>
              </w:rPr>
            </w:pPr>
            <w:r>
              <w:rPr>
                <w:rFonts w:cs="宋体" w:hint="eastAsia"/>
                <w:bCs/>
              </w:rPr>
              <w:t>铁路货运服务、货运装卸仓储等</w:t>
            </w:r>
          </w:p>
        </w:tc>
        <w:tc>
          <w:tcPr>
            <w:tcW w:w="508" w:type="pct"/>
            <w:vAlign w:val="center"/>
          </w:tcPr>
          <w:p w14:paraId="32E85631" w14:textId="77777777" w:rsidR="005E000F" w:rsidRDefault="00000000">
            <w:pPr>
              <w:rPr>
                <w:rFonts w:cs="宋体"/>
                <w:bCs/>
                <w:lang w:eastAsia="en-US"/>
              </w:rPr>
            </w:pPr>
            <w:r>
              <w:rPr>
                <w:rFonts w:cs="宋体" w:hint="eastAsia"/>
                <w:bCs/>
              </w:rPr>
              <w:t>83.64</w:t>
            </w:r>
          </w:p>
        </w:tc>
        <w:tc>
          <w:tcPr>
            <w:tcW w:w="387" w:type="pct"/>
          </w:tcPr>
          <w:p w14:paraId="163F75B6" w14:textId="77777777" w:rsidR="005E000F" w:rsidRDefault="00000000">
            <w:pPr>
              <w:rPr>
                <w:rFonts w:cs="宋体"/>
                <w:bCs/>
                <w:lang w:eastAsia="en-US"/>
              </w:rPr>
            </w:pPr>
            <w:r>
              <w:rPr>
                <w:rFonts w:cs="宋体" w:hint="eastAsia"/>
                <w:bCs/>
              </w:rPr>
              <w:t>0</w:t>
            </w:r>
          </w:p>
        </w:tc>
        <w:tc>
          <w:tcPr>
            <w:tcW w:w="613" w:type="pct"/>
            <w:vAlign w:val="center"/>
          </w:tcPr>
          <w:p w14:paraId="1B938DC7" w14:textId="77777777" w:rsidR="005E000F" w:rsidRDefault="00000000">
            <w:pPr>
              <w:rPr>
                <w:rFonts w:cs="宋体"/>
                <w:bCs/>
              </w:rPr>
            </w:pPr>
            <w:r>
              <w:rPr>
                <w:rFonts w:cs="宋体" w:hint="eastAsia"/>
                <w:bCs/>
              </w:rPr>
              <w:t>非同</w:t>
            </w:r>
            <w:proofErr w:type="gramStart"/>
            <w:r>
              <w:rPr>
                <w:rFonts w:cs="宋体" w:hint="eastAsia"/>
                <w:bCs/>
              </w:rPr>
              <w:t>一控制</w:t>
            </w:r>
            <w:proofErr w:type="gramEnd"/>
            <w:r>
              <w:rPr>
                <w:rFonts w:cs="宋体" w:hint="eastAsia"/>
                <w:bCs/>
              </w:rPr>
              <w:t>下企业合并取得</w:t>
            </w:r>
          </w:p>
        </w:tc>
      </w:tr>
      <w:tr w:rsidR="005E000F" w14:paraId="5C598B7D" w14:textId="77777777">
        <w:tc>
          <w:tcPr>
            <w:tcW w:w="701" w:type="pct"/>
            <w:vAlign w:val="center"/>
          </w:tcPr>
          <w:p w14:paraId="13F3EA3B" w14:textId="77777777" w:rsidR="005E000F" w:rsidRDefault="00000000">
            <w:pPr>
              <w:rPr>
                <w:rFonts w:cs="宋体"/>
                <w:bCs/>
              </w:rPr>
            </w:pPr>
            <w:r>
              <w:rPr>
                <w:rFonts w:cs="宋体" w:hint="eastAsia"/>
                <w:bCs/>
              </w:rPr>
              <w:t>西南环公司</w:t>
            </w:r>
            <w:r>
              <w:rPr>
                <w:rFonts w:cs="宋体" w:hint="eastAsia"/>
                <w:bCs/>
              </w:rPr>
              <w:t>(</w:t>
            </w:r>
            <w:r>
              <w:rPr>
                <w:rFonts w:cs="宋体" w:hint="eastAsia"/>
                <w:bCs/>
              </w:rPr>
              <w:t>注</w:t>
            </w:r>
            <w:r>
              <w:rPr>
                <w:rFonts w:cs="宋体" w:hint="eastAsia"/>
                <w:bCs/>
              </w:rPr>
              <w:t>5)</w:t>
            </w:r>
          </w:p>
        </w:tc>
        <w:tc>
          <w:tcPr>
            <w:tcW w:w="504" w:type="pct"/>
            <w:vAlign w:val="center"/>
          </w:tcPr>
          <w:p w14:paraId="0F6D947B" w14:textId="77777777" w:rsidR="005E000F" w:rsidRDefault="00000000">
            <w:pPr>
              <w:rPr>
                <w:rFonts w:cs="宋体"/>
                <w:bCs/>
                <w:lang w:eastAsia="en-US"/>
              </w:rPr>
            </w:pPr>
            <w:r>
              <w:rPr>
                <w:rFonts w:cs="宋体" w:hint="eastAsia"/>
                <w:bCs/>
              </w:rPr>
              <w:t>山西太原市</w:t>
            </w:r>
          </w:p>
        </w:tc>
        <w:tc>
          <w:tcPr>
            <w:tcW w:w="615" w:type="pct"/>
            <w:vAlign w:val="center"/>
          </w:tcPr>
          <w:p w14:paraId="79E5EB40" w14:textId="77777777" w:rsidR="005E000F" w:rsidRDefault="00000000">
            <w:pPr>
              <w:rPr>
                <w:rFonts w:cs="宋体"/>
                <w:bCs/>
                <w:lang w:eastAsia="en-US"/>
              </w:rPr>
            </w:pPr>
            <w:r>
              <w:rPr>
                <w:rFonts w:cs="宋体" w:hint="eastAsia"/>
                <w:bCs/>
              </w:rPr>
              <w:t>4,690,000,000</w:t>
            </w:r>
          </w:p>
        </w:tc>
        <w:tc>
          <w:tcPr>
            <w:tcW w:w="518" w:type="pct"/>
            <w:vAlign w:val="center"/>
          </w:tcPr>
          <w:p w14:paraId="047EFBC7" w14:textId="77777777" w:rsidR="005E000F" w:rsidRDefault="00000000">
            <w:pPr>
              <w:rPr>
                <w:rFonts w:cs="宋体"/>
                <w:bCs/>
                <w:lang w:eastAsia="en-US"/>
              </w:rPr>
            </w:pPr>
            <w:r>
              <w:rPr>
                <w:rFonts w:cs="宋体" w:hint="eastAsia"/>
                <w:bCs/>
              </w:rPr>
              <w:t>山西太原市</w:t>
            </w:r>
          </w:p>
        </w:tc>
        <w:tc>
          <w:tcPr>
            <w:tcW w:w="1151" w:type="pct"/>
            <w:vAlign w:val="center"/>
          </w:tcPr>
          <w:p w14:paraId="168DA8C8" w14:textId="77777777" w:rsidR="005E000F" w:rsidRDefault="00000000">
            <w:pPr>
              <w:rPr>
                <w:rFonts w:cs="宋体"/>
                <w:bCs/>
              </w:rPr>
            </w:pPr>
            <w:r>
              <w:rPr>
                <w:rFonts w:cs="宋体" w:hint="eastAsia"/>
                <w:bCs/>
              </w:rPr>
              <w:t>铁路运输及铁路相关服务</w:t>
            </w:r>
          </w:p>
        </w:tc>
        <w:tc>
          <w:tcPr>
            <w:tcW w:w="508" w:type="pct"/>
            <w:vAlign w:val="center"/>
          </w:tcPr>
          <w:p w14:paraId="5390CFEE" w14:textId="77777777" w:rsidR="005E000F" w:rsidRDefault="00000000">
            <w:pPr>
              <w:rPr>
                <w:rFonts w:cs="宋体"/>
                <w:bCs/>
                <w:lang w:eastAsia="en-US"/>
              </w:rPr>
            </w:pPr>
            <w:r>
              <w:rPr>
                <w:rFonts w:cs="宋体" w:hint="eastAsia"/>
                <w:bCs/>
              </w:rPr>
              <w:t>51.00</w:t>
            </w:r>
          </w:p>
        </w:tc>
        <w:tc>
          <w:tcPr>
            <w:tcW w:w="387" w:type="pct"/>
          </w:tcPr>
          <w:p w14:paraId="7585BE0A" w14:textId="77777777" w:rsidR="005E000F" w:rsidRDefault="00000000">
            <w:pPr>
              <w:rPr>
                <w:rFonts w:cs="宋体"/>
                <w:bCs/>
                <w:lang w:eastAsia="en-US"/>
              </w:rPr>
            </w:pPr>
            <w:r>
              <w:rPr>
                <w:rFonts w:cs="宋体" w:hint="eastAsia"/>
                <w:bCs/>
              </w:rPr>
              <w:t>0</w:t>
            </w:r>
          </w:p>
        </w:tc>
        <w:tc>
          <w:tcPr>
            <w:tcW w:w="613" w:type="pct"/>
            <w:vAlign w:val="center"/>
          </w:tcPr>
          <w:p w14:paraId="26D88B02" w14:textId="77777777" w:rsidR="005E000F" w:rsidRDefault="00000000">
            <w:pPr>
              <w:rPr>
                <w:rFonts w:cs="宋体"/>
                <w:bCs/>
              </w:rPr>
            </w:pPr>
            <w:r>
              <w:rPr>
                <w:rFonts w:cs="宋体" w:hint="eastAsia"/>
                <w:bCs/>
              </w:rPr>
              <w:t>同</w:t>
            </w:r>
            <w:proofErr w:type="gramStart"/>
            <w:r>
              <w:rPr>
                <w:rFonts w:cs="宋体" w:hint="eastAsia"/>
                <w:bCs/>
              </w:rPr>
              <w:t>一控制</w:t>
            </w:r>
            <w:proofErr w:type="gramEnd"/>
            <w:r>
              <w:rPr>
                <w:rFonts w:cs="宋体" w:hint="eastAsia"/>
                <w:bCs/>
              </w:rPr>
              <w:t>下企业合并取得</w:t>
            </w:r>
          </w:p>
        </w:tc>
      </w:tr>
      <w:tr w:rsidR="005E000F" w14:paraId="1E7F2977" w14:textId="77777777">
        <w:tc>
          <w:tcPr>
            <w:tcW w:w="701" w:type="pct"/>
            <w:shd w:val="clear" w:color="auto" w:fill="auto"/>
            <w:vAlign w:val="center"/>
          </w:tcPr>
          <w:p w14:paraId="72492A5A" w14:textId="77777777" w:rsidR="005E000F" w:rsidRDefault="00000000">
            <w:pPr>
              <w:rPr>
                <w:rFonts w:cs="宋体"/>
                <w:bCs/>
              </w:rPr>
            </w:pPr>
            <w:r>
              <w:rPr>
                <w:rFonts w:cs="宋体" w:hint="eastAsia"/>
                <w:bCs/>
              </w:rPr>
              <w:t>大</w:t>
            </w:r>
            <w:proofErr w:type="gramStart"/>
            <w:r>
              <w:rPr>
                <w:rFonts w:cs="宋体" w:hint="eastAsia"/>
                <w:bCs/>
              </w:rPr>
              <w:t>秦经贸</w:t>
            </w:r>
            <w:proofErr w:type="gramEnd"/>
            <w:r>
              <w:rPr>
                <w:rFonts w:cs="宋体" w:hint="eastAsia"/>
                <w:bCs/>
              </w:rPr>
              <w:t>公司</w:t>
            </w:r>
            <w:r>
              <w:rPr>
                <w:rFonts w:cs="宋体" w:hint="eastAsia"/>
                <w:bCs/>
              </w:rPr>
              <w:t>(</w:t>
            </w:r>
            <w:r>
              <w:rPr>
                <w:rFonts w:cs="宋体" w:hint="eastAsia"/>
                <w:bCs/>
              </w:rPr>
              <w:t>注</w:t>
            </w:r>
            <w:r>
              <w:rPr>
                <w:rFonts w:cs="宋体" w:hint="eastAsia"/>
                <w:bCs/>
              </w:rPr>
              <w:t>6)</w:t>
            </w:r>
          </w:p>
        </w:tc>
        <w:tc>
          <w:tcPr>
            <w:tcW w:w="504" w:type="pct"/>
            <w:shd w:val="clear" w:color="auto" w:fill="auto"/>
            <w:vAlign w:val="center"/>
          </w:tcPr>
          <w:p w14:paraId="7BEAA6C4" w14:textId="77777777" w:rsidR="005E000F" w:rsidRDefault="00000000">
            <w:pPr>
              <w:rPr>
                <w:rFonts w:cs="宋体"/>
                <w:bCs/>
                <w:lang w:eastAsia="en-US"/>
              </w:rPr>
            </w:pPr>
            <w:r>
              <w:rPr>
                <w:rFonts w:cs="宋体" w:hint="eastAsia"/>
                <w:bCs/>
              </w:rPr>
              <w:t>山西太原市</w:t>
            </w:r>
          </w:p>
        </w:tc>
        <w:tc>
          <w:tcPr>
            <w:tcW w:w="615" w:type="pct"/>
            <w:shd w:val="clear" w:color="auto" w:fill="auto"/>
            <w:vAlign w:val="center"/>
          </w:tcPr>
          <w:p w14:paraId="740CB8F1" w14:textId="77777777" w:rsidR="005E000F" w:rsidRDefault="00000000">
            <w:pPr>
              <w:rPr>
                <w:rFonts w:cs="宋体"/>
                <w:bCs/>
                <w:lang w:eastAsia="en-US"/>
              </w:rPr>
            </w:pPr>
            <w:r>
              <w:rPr>
                <w:rFonts w:cs="宋体" w:hint="eastAsia"/>
                <w:bCs/>
              </w:rPr>
              <w:t>130,000,000</w:t>
            </w:r>
          </w:p>
        </w:tc>
        <w:tc>
          <w:tcPr>
            <w:tcW w:w="518" w:type="pct"/>
            <w:shd w:val="clear" w:color="auto" w:fill="auto"/>
            <w:vAlign w:val="center"/>
          </w:tcPr>
          <w:p w14:paraId="271FEC9D" w14:textId="77777777" w:rsidR="005E000F" w:rsidRDefault="00000000">
            <w:pPr>
              <w:rPr>
                <w:rFonts w:cs="宋体"/>
                <w:bCs/>
                <w:lang w:eastAsia="en-US"/>
              </w:rPr>
            </w:pPr>
            <w:r>
              <w:rPr>
                <w:rFonts w:cs="宋体" w:hint="eastAsia"/>
                <w:bCs/>
              </w:rPr>
              <w:t>山西太原市</w:t>
            </w:r>
          </w:p>
        </w:tc>
        <w:tc>
          <w:tcPr>
            <w:tcW w:w="1151" w:type="pct"/>
            <w:shd w:val="clear" w:color="auto" w:fill="auto"/>
            <w:vAlign w:val="center"/>
          </w:tcPr>
          <w:p w14:paraId="0EC50EA4" w14:textId="77777777" w:rsidR="005E000F" w:rsidRDefault="00000000">
            <w:pPr>
              <w:rPr>
                <w:rFonts w:cs="宋体"/>
                <w:bCs/>
              </w:rPr>
            </w:pPr>
            <w:r>
              <w:rPr>
                <w:rFonts w:cs="宋体" w:hint="eastAsia"/>
                <w:bCs/>
              </w:rPr>
              <w:t>铁路运输设备设施及配件的制造、安装、维修、租赁、销售等</w:t>
            </w:r>
          </w:p>
        </w:tc>
        <w:tc>
          <w:tcPr>
            <w:tcW w:w="508" w:type="pct"/>
            <w:shd w:val="clear" w:color="auto" w:fill="auto"/>
            <w:vAlign w:val="center"/>
          </w:tcPr>
          <w:p w14:paraId="38CF679F" w14:textId="77777777" w:rsidR="005E000F" w:rsidRDefault="00000000">
            <w:pPr>
              <w:rPr>
                <w:rFonts w:cs="宋体"/>
                <w:bCs/>
                <w:lang w:eastAsia="en-US"/>
              </w:rPr>
            </w:pPr>
            <w:r>
              <w:rPr>
                <w:rFonts w:cs="宋体" w:hint="eastAsia"/>
                <w:bCs/>
              </w:rPr>
              <w:t>100.00</w:t>
            </w:r>
          </w:p>
        </w:tc>
        <w:tc>
          <w:tcPr>
            <w:tcW w:w="387" w:type="pct"/>
            <w:shd w:val="clear" w:color="auto" w:fill="auto"/>
          </w:tcPr>
          <w:p w14:paraId="07C70187" w14:textId="77777777" w:rsidR="005E000F" w:rsidRDefault="00000000">
            <w:pPr>
              <w:rPr>
                <w:rFonts w:cs="宋体"/>
                <w:bCs/>
                <w:lang w:eastAsia="en-US"/>
              </w:rPr>
            </w:pPr>
            <w:r>
              <w:rPr>
                <w:rFonts w:cs="宋体" w:hint="eastAsia"/>
                <w:bCs/>
              </w:rPr>
              <w:t>0</w:t>
            </w:r>
          </w:p>
        </w:tc>
        <w:tc>
          <w:tcPr>
            <w:tcW w:w="613" w:type="pct"/>
            <w:shd w:val="clear" w:color="auto" w:fill="auto"/>
            <w:vAlign w:val="center"/>
          </w:tcPr>
          <w:p w14:paraId="78924572" w14:textId="77777777" w:rsidR="005E000F" w:rsidRDefault="00000000">
            <w:pPr>
              <w:rPr>
                <w:rFonts w:cs="宋体"/>
                <w:bCs/>
                <w:lang w:eastAsia="en-US"/>
              </w:rPr>
            </w:pPr>
            <w:r>
              <w:rPr>
                <w:rFonts w:cs="宋体" w:hint="eastAsia"/>
                <w:bCs/>
              </w:rPr>
              <w:t>投资设立</w:t>
            </w:r>
          </w:p>
        </w:tc>
      </w:tr>
    </w:tbl>
    <w:p w14:paraId="0F66883C" w14:textId="77777777" w:rsidR="005E000F" w:rsidRDefault="00000000">
      <w:pPr>
        <w:rPr>
          <w:rFonts w:cs="Arial"/>
        </w:rPr>
      </w:pPr>
      <w:r>
        <w:rPr>
          <w:rFonts w:cs="Arial" w:hint="eastAsia"/>
        </w:rPr>
        <w:t>在子公司的持股比例不同于表决权比例的说明：</w:t>
      </w:r>
    </w:p>
    <w:p w14:paraId="6B851CA4" w14:textId="77777777" w:rsidR="005E000F" w:rsidRDefault="00000000">
      <w:pPr>
        <w:rPr>
          <w:rFonts w:cs="Arial"/>
        </w:rPr>
      </w:pPr>
      <w:sdt>
        <w:sdtPr>
          <w:rPr>
            <w:rFonts w:cs="Arial"/>
          </w:rPr>
          <w:alias w:val="在子公司的持股比例不同于表决权比例的说明"/>
          <w:tag w:val="_GBC_b7be591163dc47e4b00f98006e6fbb0b"/>
          <w:id w:val="591199994"/>
          <w:placeholder>
            <w:docPart w:val="GBC22222222222222222222222222222"/>
          </w:placeholder>
        </w:sdtPr>
        <w:sdtContent>
          <w:r>
            <w:rPr>
              <w:rFonts w:cs="Arial" w:hint="eastAsia"/>
            </w:rPr>
            <w:t>无</w:t>
          </w:r>
        </w:sdtContent>
      </w:sdt>
    </w:p>
    <w:p w14:paraId="6CA8BE48" w14:textId="77777777" w:rsidR="005E000F" w:rsidRDefault="005E000F">
      <w:pPr>
        <w:rPr>
          <w:rFonts w:cs="Arial"/>
        </w:rPr>
      </w:pPr>
    </w:p>
    <w:p w14:paraId="2098AFFE" w14:textId="77777777" w:rsidR="005E000F" w:rsidRDefault="00000000">
      <w:pPr>
        <w:rPr>
          <w:rFonts w:cs="Arial"/>
        </w:rPr>
      </w:pPr>
      <w:r>
        <w:rPr>
          <w:rFonts w:cs="Arial" w:hint="eastAsia"/>
        </w:rPr>
        <w:t>持有半数或以下表决权但仍控制被投资单位、以及持有半数以上表决权但不控制被投资单位的依据：</w:t>
      </w:r>
    </w:p>
    <w:sdt>
      <w:sdtPr>
        <w:rPr>
          <w:rFonts w:cs="Arial"/>
        </w:rPr>
        <w:alias w:val="持有半数或以下表决权但仍控制被投资单位、以及持有半数以上表决权但不控制被投资单位的依据"/>
        <w:tag w:val="_GBC_e9c6ba07b58c4f8e9e3004170d14542b"/>
        <w:id w:val="441345382"/>
        <w:placeholder>
          <w:docPart w:val="GBC22222222222222222222222222222"/>
        </w:placeholder>
      </w:sdtPr>
      <w:sdtContent>
        <w:sdt>
          <w:sdtPr>
            <w:rPr>
              <w:rFonts w:cs="Arial"/>
              <w:color w:val="000000" w:themeColor="text1"/>
            </w:rPr>
            <w:alias w:val="持有半数或以下表决权但仍控制被投资单位、以及持有半数以上表决权但不控制被投资单位的依据"/>
            <w:tag w:val="_GBC_140bd5da597c40feaa9310db1d6dc624"/>
            <w:id w:val="-459962227"/>
            <w:placeholder>
              <w:docPart w:val="{e89ce90a-ad3e-402c-98ad-2804493583d4}"/>
            </w:placeholder>
          </w:sdtPr>
          <w:sdtContent>
            <w:p w14:paraId="1CA4630A" w14:textId="77777777" w:rsidR="005E000F" w:rsidRDefault="00000000">
              <w:pPr>
                <w:rPr>
                  <w:rFonts w:cs="Arial"/>
                </w:rPr>
              </w:pPr>
              <w:r>
                <w:rPr>
                  <w:rFonts w:cs="Arial" w:hint="eastAsia"/>
                  <w:color w:val="000000" w:themeColor="text1"/>
                </w:rPr>
                <w:t>参见注</w:t>
              </w:r>
              <w:r>
                <w:rPr>
                  <w:rFonts w:cs="Arial" w:hint="eastAsia"/>
                  <w:color w:val="000000" w:themeColor="text1"/>
                </w:rPr>
                <w:t>1</w:t>
              </w:r>
            </w:p>
          </w:sdtContent>
        </w:sdt>
      </w:sdtContent>
    </w:sdt>
    <w:p w14:paraId="69784036" w14:textId="77777777" w:rsidR="005E000F" w:rsidRDefault="005E000F">
      <w:pPr>
        <w:rPr>
          <w:rFonts w:cs="Arial"/>
        </w:rPr>
      </w:pPr>
    </w:p>
    <w:p w14:paraId="45443FB1" w14:textId="77777777" w:rsidR="005E000F" w:rsidRDefault="00000000">
      <w:pPr>
        <w:rPr>
          <w:rFonts w:cs="Arial"/>
        </w:rPr>
      </w:pPr>
      <w:r>
        <w:rPr>
          <w:rFonts w:cs="Arial" w:hint="eastAsia"/>
        </w:rPr>
        <w:t>对于纳入合并范围的重要的结构化主体，控制的依据：</w:t>
      </w:r>
    </w:p>
    <w:sdt>
      <w:sdtPr>
        <w:rPr>
          <w:rFonts w:cs="Arial" w:hint="eastAsia"/>
        </w:rPr>
        <w:alias w:val="对于纳入合并范围的重要的结构化主体，控制的依据"/>
        <w:tag w:val="_GBC_254d83ec47cd4003902f2d0f6017d432"/>
        <w:id w:val="1392154076"/>
        <w:placeholder>
          <w:docPart w:val="GBC22222222222222222222222222222"/>
        </w:placeholder>
      </w:sdtPr>
      <w:sdtContent>
        <w:p w14:paraId="664C4E9A" w14:textId="77777777" w:rsidR="005E000F" w:rsidRDefault="00000000">
          <w:pPr>
            <w:rPr>
              <w:rFonts w:cs="Arial"/>
            </w:rPr>
          </w:pPr>
          <w:r>
            <w:rPr>
              <w:rFonts w:cs="Arial" w:hint="eastAsia"/>
            </w:rPr>
            <w:t>无</w:t>
          </w:r>
        </w:p>
      </w:sdtContent>
    </w:sdt>
    <w:p w14:paraId="187059F7" w14:textId="77777777" w:rsidR="005E000F" w:rsidRDefault="005E000F">
      <w:pPr>
        <w:rPr>
          <w:rFonts w:cs="Arial"/>
        </w:rPr>
      </w:pPr>
    </w:p>
    <w:p w14:paraId="2938216A" w14:textId="77777777" w:rsidR="005E000F" w:rsidRDefault="00000000">
      <w:pPr>
        <w:rPr>
          <w:rFonts w:cs="Arial"/>
        </w:rPr>
      </w:pPr>
      <w:r>
        <w:rPr>
          <w:rFonts w:cs="Arial" w:hint="eastAsia"/>
        </w:rPr>
        <w:t>确定公司是代理人还是委托人的依据：</w:t>
      </w:r>
    </w:p>
    <w:sdt>
      <w:sdtPr>
        <w:rPr>
          <w:rFonts w:cs="Arial" w:hint="eastAsia"/>
        </w:rPr>
        <w:alias w:val="确定公司是代理人还是委托人的依据"/>
        <w:tag w:val="_GBC_f515cb0c8a654271b5991b0accabe800"/>
        <w:id w:val="-1964262526"/>
        <w:placeholder>
          <w:docPart w:val="GBC22222222222222222222222222222"/>
        </w:placeholder>
      </w:sdtPr>
      <w:sdtContent>
        <w:p w14:paraId="69669A53" w14:textId="77777777" w:rsidR="005E000F" w:rsidRDefault="00000000">
          <w:pPr>
            <w:rPr>
              <w:rFonts w:cs="Arial"/>
            </w:rPr>
          </w:pPr>
          <w:r>
            <w:rPr>
              <w:rFonts w:cs="Arial" w:hint="eastAsia"/>
            </w:rPr>
            <w:t>无</w:t>
          </w:r>
        </w:p>
      </w:sdtContent>
    </w:sdt>
    <w:p w14:paraId="203B528C" w14:textId="77777777" w:rsidR="005E000F" w:rsidRDefault="005E000F">
      <w:pPr>
        <w:rPr>
          <w:rFonts w:cs="Arial"/>
        </w:rPr>
      </w:pPr>
    </w:p>
    <w:p w14:paraId="1EDA8A05" w14:textId="77777777" w:rsidR="005E000F" w:rsidRDefault="00000000">
      <w:pPr>
        <w:rPr>
          <w:rFonts w:cs="Arial"/>
        </w:rPr>
      </w:pPr>
      <w:r>
        <w:rPr>
          <w:rFonts w:cs="Arial" w:hint="eastAsia"/>
        </w:rPr>
        <w:t>其他说明：</w:t>
      </w:r>
    </w:p>
    <w:sdt>
      <w:sdtPr>
        <w:rPr>
          <w:rFonts w:cs="Arial"/>
        </w:rPr>
        <w:alias w:val="企业集团的构成的其他需要说明的事项"/>
        <w:tag w:val="_GBC_7dc3099f920f4546b2a983c0eb4c2ce0"/>
        <w:id w:val="-763150017"/>
        <w:placeholder>
          <w:docPart w:val="GBC22222222222222222222222222222"/>
        </w:placeholder>
      </w:sdtPr>
      <w:sdtContent>
        <w:sdt>
          <w:sdtPr>
            <w:rPr>
              <w:rFonts w:cs="Arial"/>
              <w:color w:val="000000" w:themeColor="text1"/>
            </w:rPr>
            <w:alias w:val="企业集团的构成的其他需要说明的事项"/>
            <w:tag w:val="_GBC_6b7d2d3a14224f7e90a4df3c02b8e3b3"/>
            <w:id w:val="-607271778"/>
            <w:placeholder>
              <w:docPart w:val="{864c3eca-c99c-42da-b93d-df4c0dd39a50}"/>
            </w:placeholder>
          </w:sdtPr>
          <w:sdtContent>
            <w:p w14:paraId="40EDAE65" w14:textId="77777777" w:rsidR="005E000F" w:rsidRDefault="00000000">
              <w:pPr>
                <w:rPr>
                  <w:rFonts w:cs="Arial"/>
                  <w:color w:val="000000" w:themeColor="text1"/>
                </w:rPr>
              </w:pPr>
              <w:r>
                <w:rPr>
                  <w:rFonts w:cs="Arial" w:hint="eastAsia"/>
                  <w:color w:val="000000" w:themeColor="text1"/>
                </w:rPr>
                <w:t>注</w:t>
              </w:r>
              <w:r>
                <w:rPr>
                  <w:rFonts w:cs="Arial" w:hint="eastAsia"/>
                  <w:color w:val="000000" w:themeColor="text1"/>
                </w:rPr>
                <w:t>1</w:t>
              </w:r>
              <w:r>
                <w:rPr>
                  <w:rFonts w:cs="Arial" w:hint="eastAsia"/>
                  <w:color w:val="000000" w:themeColor="text1"/>
                </w:rPr>
                <w:t>：于</w:t>
              </w:r>
              <w:r>
                <w:rPr>
                  <w:rFonts w:cs="Arial" w:hint="eastAsia"/>
                  <w:color w:val="000000" w:themeColor="text1"/>
                </w:rPr>
                <w:t>2018</w:t>
              </w:r>
              <w:r>
                <w:rPr>
                  <w:rFonts w:cs="Arial" w:hint="eastAsia"/>
                  <w:color w:val="000000" w:themeColor="text1"/>
                </w:rPr>
                <w:t>年</w:t>
              </w:r>
              <w:r>
                <w:rPr>
                  <w:rFonts w:cs="Arial" w:hint="eastAsia"/>
                  <w:color w:val="000000" w:themeColor="text1"/>
                </w:rPr>
                <w:t>12</w:t>
              </w:r>
              <w:r>
                <w:rPr>
                  <w:rFonts w:cs="Arial" w:hint="eastAsia"/>
                  <w:color w:val="000000" w:themeColor="text1"/>
                </w:rPr>
                <w:t>月，本公司收购太原局集团公司持有的唐港公司</w:t>
              </w:r>
              <w:r>
                <w:rPr>
                  <w:rFonts w:cs="Arial" w:hint="eastAsia"/>
                  <w:color w:val="000000" w:themeColor="text1"/>
                </w:rPr>
                <w:t>19.73%</w:t>
              </w:r>
              <w:r>
                <w:rPr>
                  <w:rFonts w:cs="Arial" w:hint="eastAsia"/>
                  <w:color w:val="000000" w:themeColor="text1"/>
                </w:rPr>
                <w:t>股权，合并成本为人民币</w:t>
              </w:r>
              <w:r>
                <w:rPr>
                  <w:rFonts w:cs="Arial" w:hint="eastAsia"/>
                  <w:color w:val="000000" w:themeColor="text1"/>
                </w:rPr>
                <w:t>15.76</w:t>
              </w:r>
              <w:r>
                <w:rPr>
                  <w:rFonts w:cs="Arial" w:hint="eastAsia"/>
                  <w:color w:val="000000" w:themeColor="text1"/>
                </w:rPr>
                <w:t>亿元。本公司收购唐港公司的股权后，由于唐港公司的实际经营依赖于本公司，而且其他</w:t>
              </w:r>
              <w:proofErr w:type="gramStart"/>
              <w:r>
                <w:rPr>
                  <w:rFonts w:cs="Arial" w:hint="eastAsia"/>
                  <w:color w:val="000000" w:themeColor="text1"/>
                </w:rPr>
                <w:t>股东国</w:t>
              </w:r>
              <w:proofErr w:type="gramEnd"/>
              <w:r>
                <w:rPr>
                  <w:rFonts w:cs="Arial" w:hint="eastAsia"/>
                  <w:color w:val="000000" w:themeColor="text1"/>
                </w:rPr>
                <w:t>投交通控股有限公司</w:t>
              </w:r>
              <w:r>
                <w:rPr>
                  <w:rFonts w:cs="Arial" w:hint="eastAsia"/>
                  <w:color w:val="000000" w:themeColor="text1"/>
                </w:rPr>
                <w:t>(</w:t>
              </w:r>
              <w:r>
                <w:rPr>
                  <w:rFonts w:cs="Arial" w:hint="eastAsia"/>
                  <w:color w:val="000000" w:themeColor="text1"/>
                </w:rPr>
                <w:t>持股比例</w:t>
              </w:r>
              <w:r>
                <w:rPr>
                  <w:rFonts w:cs="Arial" w:hint="eastAsia"/>
                  <w:color w:val="000000" w:themeColor="text1"/>
                </w:rPr>
                <w:t>15.13%)</w:t>
              </w:r>
              <w:r>
                <w:rPr>
                  <w:rFonts w:cs="Arial" w:hint="eastAsia"/>
                  <w:color w:val="000000" w:themeColor="text1"/>
                </w:rPr>
                <w:t>、唐山曹妃</w:t>
              </w:r>
              <w:proofErr w:type="gramStart"/>
              <w:r>
                <w:rPr>
                  <w:rFonts w:cs="Arial" w:hint="eastAsia"/>
                  <w:color w:val="000000" w:themeColor="text1"/>
                </w:rPr>
                <w:t>甸</w:t>
              </w:r>
              <w:proofErr w:type="gramEnd"/>
              <w:r>
                <w:rPr>
                  <w:rFonts w:cs="Arial" w:hint="eastAsia"/>
                  <w:color w:val="000000" w:themeColor="text1"/>
                </w:rPr>
                <w:t>实业港务有限公司</w:t>
              </w:r>
              <w:r>
                <w:rPr>
                  <w:rFonts w:cs="Arial" w:hint="eastAsia"/>
                  <w:color w:val="000000" w:themeColor="text1"/>
                </w:rPr>
                <w:t>(</w:t>
              </w:r>
              <w:r>
                <w:rPr>
                  <w:rFonts w:cs="Arial" w:hint="eastAsia"/>
                  <w:color w:val="000000" w:themeColor="text1"/>
                </w:rPr>
                <w:t>持股比例</w:t>
              </w:r>
              <w:r>
                <w:rPr>
                  <w:rFonts w:cs="Arial" w:hint="eastAsia"/>
                  <w:color w:val="000000" w:themeColor="text1"/>
                </w:rPr>
                <w:t>15.13%)</w:t>
              </w:r>
              <w:r>
                <w:rPr>
                  <w:rFonts w:cs="Arial" w:hint="eastAsia"/>
                  <w:color w:val="000000" w:themeColor="text1"/>
                </w:rPr>
                <w:t>和河北建投交通投资有限责任公司</w:t>
              </w:r>
              <w:r>
                <w:rPr>
                  <w:rFonts w:cs="Arial" w:hint="eastAsia"/>
                  <w:color w:val="000000" w:themeColor="text1"/>
                </w:rPr>
                <w:t>(</w:t>
              </w:r>
              <w:r>
                <w:rPr>
                  <w:rFonts w:cs="Arial" w:hint="eastAsia"/>
                  <w:color w:val="000000" w:themeColor="text1"/>
                </w:rPr>
                <w:t>持股比例</w:t>
              </w:r>
              <w:r>
                <w:rPr>
                  <w:rFonts w:cs="Arial" w:hint="eastAsia"/>
                  <w:color w:val="000000" w:themeColor="text1"/>
                </w:rPr>
                <w:t>11.64%)</w:t>
              </w:r>
              <w:r>
                <w:rPr>
                  <w:rFonts w:cs="Arial" w:hint="eastAsia"/>
                  <w:color w:val="000000" w:themeColor="text1"/>
                </w:rPr>
                <w:t>也同意与本公司在股东会和董事会上就相关事项行使表决权时与本公司保持一致，因此本公司管理层认为本公司能够主导唐港公司相关活动，对其具有控制权，并将其纳入合并范围。</w:t>
              </w:r>
            </w:p>
            <w:p w14:paraId="79482497" w14:textId="77777777" w:rsidR="005E000F" w:rsidRDefault="005E000F">
              <w:pPr>
                <w:rPr>
                  <w:rFonts w:cs="Arial"/>
                  <w:color w:val="000000" w:themeColor="text1"/>
                </w:rPr>
              </w:pPr>
            </w:p>
            <w:p w14:paraId="5FB0B522" w14:textId="77777777" w:rsidR="005E000F" w:rsidRDefault="00000000">
              <w:pPr>
                <w:rPr>
                  <w:rFonts w:cs="Arial"/>
                  <w:color w:val="000000" w:themeColor="text1"/>
                </w:rPr>
              </w:pPr>
              <w:r>
                <w:rPr>
                  <w:rFonts w:cs="Arial" w:hint="eastAsia"/>
                  <w:color w:val="000000" w:themeColor="text1"/>
                </w:rPr>
                <w:t>注</w:t>
              </w:r>
              <w:r>
                <w:rPr>
                  <w:rFonts w:cs="Arial" w:hint="eastAsia"/>
                  <w:color w:val="000000" w:themeColor="text1"/>
                </w:rPr>
                <w:t>2</w:t>
              </w:r>
              <w:r>
                <w:rPr>
                  <w:rFonts w:cs="Arial" w:hint="eastAsia"/>
                  <w:color w:val="000000" w:themeColor="text1"/>
                </w:rPr>
                <w:t>：于</w:t>
              </w:r>
              <w:r>
                <w:rPr>
                  <w:rFonts w:cs="Arial" w:hint="eastAsia"/>
                  <w:color w:val="000000" w:themeColor="text1"/>
                </w:rPr>
                <w:t>2012</w:t>
              </w:r>
              <w:r>
                <w:rPr>
                  <w:rFonts w:cs="Arial" w:hint="eastAsia"/>
                  <w:color w:val="000000" w:themeColor="text1"/>
                </w:rPr>
                <w:t>年</w:t>
              </w:r>
              <w:r>
                <w:rPr>
                  <w:rFonts w:cs="Arial" w:hint="eastAsia"/>
                  <w:color w:val="000000" w:themeColor="text1"/>
                </w:rPr>
                <w:t>8</w:t>
              </w:r>
              <w:r>
                <w:rPr>
                  <w:rFonts w:cs="Arial" w:hint="eastAsia"/>
                  <w:color w:val="000000" w:themeColor="text1"/>
                </w:rPr>
                <w:t>月，本公司与山西省交通能源有限公司共同出资设</w:t>
              </w:r>
              <w:proofErr w:type="gramStart"/>
              <w:r>
                <w:rPr>
                  <w:rFonts w:cs="Arial" w:hint="eastAsia"/>
                  <w:color w:val="000000" w:themeColor="text1"/>
                </w:rPr>
                <w:t>立侯</w:t>
              </w:r>
              <w:proofErr w:type="gramEnd"/>
              <w:r>
                <w:rPr>
                  <w:rFonts w:cs="Arial" w:hint="eastAsia"/>
                  <w:color w:val="000000" w:themeColor="text1"/>
                </w:rPr>
                <w:t>禹公司。截至</w:t>
              </w:r>
              <w:r>
                <w:rPr>
                  <w:rFonts w:cs="Arial" w:hint="eastAsia"/>
                  <w:color w:val="000000" w:themeColor="text1"/>
                </w:rPr>
                <w:t>2018</w:t>
              </w:r>
              <w:r>
                <w:rPr>
                  <w:rFonts w:cs="Arial" w:hint="eastAsia"/>
                  <w:color w:val="000000" w:themeColor="text1"/>
                </w:rPr>
                <w:t>年</w:t>
              </w:r>
              <w:r>
                <w:rPr>
                  <w:rFonts w:cs="Arial" w:hint="eastAsia"/>
                  <w:color w:val="000000" w:themeColor="text1"/>
                </w:rPr>
                <w:t>12</w:t>
              </w:r>
              <w:r>
                <w:rPr>
                  <w:rFonts w:cs="Arial" w:hint="eastAsia"/>
                  <w:color w:val="000000" w:themeColor="text1"/>
                </w:rPr>
                <w:t>月</w:t>
              </w:r>
              <w:r>
                <w:rPr>
                  <w:rFonts w:cs="Arial" w:hint="eastAsia"/>
                  <w:color w:val="000000" w:themeColor="text1"/>
                </w:rPr>
                <w:t>31</w:t>
              </w:r>
              <w:r>
                <w:rPr>
                  <w:rFonts w:cs="Arial" w:hint="eastAsia"/>
                  <w:color w:val="000000" w:themeColor="text1"/>
                </w:rPr>
                <w:t>日，本公司与山西省交通能源有限公司已分别出资人民币</w:t>
              </w:r>
              <w:r>
                <w:rPr>
                  <w:rFonts w:cs="Arial" w:hint="eastAsia"/>
                  <w:color w:val="000000" w:themeColor="text1"/>
                </w:rPr>
                <w:t>18.5</w:t>
              </w:r>
              <w:r>
                <w:rPr>
                  <w:rFonts w:cs="Arial" w:hint="eastAsia"/>
                  <w:color w:val="000000" w:themeColor="text1"/>
                </w:rPr>
                <w:t>亿元</w:t>
              </w:r>
              <w:r>
                <w:rPr>
                  <w:rFonts w:cs="Arial" w:hint="eastAsia"/>
                  <w:color w:val="000000" w:themeColor="text1"/>
                </w:rPr>
                <w:t>(</w:t>
              </w:r>
              <w:r>
                <w:rPr>
                  <w:rFonts w:cs="Arial" w:hint="eastAsia"/>
                  <w:color w:val="000000" w:themeColor="text1"/>
                </w:rPr>
                <w:t>其中现金出资人民币</w:t>
              </w:r>
              <w:r>
                <w:rPr>
                  <w:rFonts w:cs="Arial" w:hint="eastAsia"/>
                  <w:color w:val="000000" w:themeColor="text1"/>
                </w:rPr>
                <w:t>12.1</w:t>
              </w:r>
              <w:r>
                <w:rPr>
                  <w:rFonts w:cs="Arial" w:hint="eastAsia"/>
                  <w:color w:val="000000" w:themeColor="text1"/>
                </w:rPr>
                <w:t>亿元，以既有线路资产经评估后实物出资人民币</w:t>
              </w:r>
              <w:r>
                <w:rPr>
                  <w:rFonts w:cs="Arial" w:hint="eastAsia"/>
                  <w:color w:val="000000" w:themeColor="text1"/>
                </w:rPr>
                <w:t>6.4</w:t>
              </w:r>
              <w:r>
                <w:rPr>
                  <w:rFonts w:cs="Arial" w:hint="eastAsia"/>
                  <w:color w:val="000000" w:themeColor="text1"/>
                </w:rPr>
                <w:t>亿元</w:t>
              </w:r>
              <w:r>
                <w:rPr>
                  <w:rFonts w:cs="Arial" w:hint="eastAsia"/>
                  <w:color w:val="000000" w:themeColor="text1"/>
                </w:rPr>
                <w:t>)</w:t>
              </w:r>
              <w:r>
                <w:rPr>
                  <w:rFonts w:cs="Arial" w:hint="eastAsia"/>
                  <w:color w:val="000000" w:themeColor="text1"/>
                </w:rPr>
                <w:t>和人民币</w:t>
              </w:r>
              <w:r>
                <w:rPr>
                  <w:rFonts w:cs="Arial" w:hint="eastAsia"/>
                  <w:color w:val="000000" w:themeColor="text1"/>
                </w:rPr>
                <w:t>1.5</w:t>
              </w:r>
              <w:r>
                <w:rPr>
                  <w:rFonts w:cs="Arial" w:hint="eastAsia"/>
                  <w:color w:val="000000" w:themeColor="text1"/>
                </w:rPr>
                <w:t>亿元</w:t>
              </w:r>
              <w:proofErr w:type="gramStart"/>
              <w:r>
                <w:rPr>
                  <w:rFonts w:cs="Arial" w:hint="eastAsia"/>
                  <w:color w:val="000000" w:themeColor="text1"/>
                </w:rPr>
                <w:t>注入侯禹公司</w:t>
              </w:r>
              <w:proofErr w:type="gramEnd"/>
              <w:r>
                <w:rPr>
                  <w:rFonts w:cs="Arial" w:hint="eastAsia"/>
                  <w:color w:val="000000" w:themeColor="text1"/>
                </w:rPr>
                <w:t>，实际的持股比例分别为</w:t>
              </w:r>
              <w:r>
                <w:rPr>
                  <w:rFonts w:cs="Arial" w:hint="eastAsia"/>
                  <w:color w:val="000000" w:themeColor="text1"/>
                </w:rPr>
                <w:t>92.5%</w:t>
              </w:r>
              <w:r>
                <w:rPr>
                  <w:rFonts w:cs="Arial" w:hint="eastAsia"/>
                  <w:color w:val="000000" w:themeColor="text1"/>
                </w:rPr>
                <w:t>和</w:t>
              </w:r>
              <w:r>
                <w:rPr>
                  <w:rFonts w:cs="Arial" w:hint="eastAsia"/>
                  <w:color w:val="000000" w:themeColor="text1"/>
                </w:rPr>
                <w:t>7.5%</w:t>
              </w:r>
              <w:r>
                <w:rPr>
                  <w:rFonts w:cs="Arial" w:hint="eastAsia"/>
                  <w:color w:val="000000" w:themeColor="text1"/>
                </w:rPr>
                <w:t>。</w:t>
              </w:r>
            </w:p>
            <w:p w14:paraId="1921B1FF" w14:textId="77777777" w:rsidR="005E000F" w:rsidRDefault="005E000F">
              <w:pPr>
                <w:rPr>
                  <w:rFonts w:cs="Arial"/>
                  <w:color w:val="000000" w:themeColor="text1"/>
                </w:rPr>
              </w:pPr>
            </w:p>
            <w:p w14:paraId="3CB6328B" w14:textId="77777777" w:rsidR="005E000F" w:rsidRDefault="00000000">
              <w:pPr>
                <w:rPr>
                  <w:rFonts w:cs="Arial"/>
                  <w:color w:val="000000" w:themeColor="text1"/>
                </w:rPr>
              </w:pPr>
              <w:r>
                <w:rPr>
                  <w:rFonts w:cs="Arial" w:hint="eastAsia"/>
                  <w:color w:val="000000" w:themeColor="text1"/>
                </w:rPr>
                <w:t>注</w:t>
              </w:r>
              <w:r>
                <w:rPr>
                  <w:rFonts w:cs="Arial" w:hint="eastAsia"/>
                  <w:color w:val="000000" w:themeColor="text1"/>
                </w:rPr>
                <w:t>3</w:t>
              </w:r>
              <w:r>
                <w:rPr>
                  <w:rFonts w:cs="Arial" w:hint="eastAsia"/>
                  <w:color w:val="000000" w:themeColor="text1"/>
                </w:rPr>
                <w:t>：于</w:t>
              </w:r>
              <w:r>
                <w:rPr>
                  <w:rFonts w:cs="Arial" w:hint="eastAsia"/>
                  <w:color w:val="000000" w:themeColor="text1"/>
                </w:rPr>
                <w:t>2015</w:t>
              </w:r>
              <w:r>
                <w:rPr>
                  <w:rFonts w:cs="Arial" w:hint="eastAsia"/>
                  <w:color w:val="000000" w:themeColor="text1"/>
                </w:rPr>
                <w:t>年</w:t>
              </w:r>
              <w:r>
                <w:rPr>
                  <w:rFonts w:cs="Arial" w:hint="eastAsia"/>
                  <w:color w:val="000000" w:themeColor="text1"/>
                </w:rPr>
                <w:t>11</w:t>
              </w:r>
              <w:r>
                <w:rPr>
                  <w:rFonts w:cs="Arial" w:hint="eastAsia"/>
                  <w:color w:val="000000" w:themeColor="text1"/>
                </w:rPr>
                <w:t>月，本公司收购太原局集团公司持有的</w:t>
              </w:r>
              <w:proofErr w:type="gramStart"/>
              <w:r>
                <w:rPr>
                  <w:rFonts w:cs="Arial" w:hint="eastAsia"/>
                  <w:color w:val="000000" w:themeColor="text1"/>
                </w:rPr>
                <w:t>太兴</w:t>
              </w:r>
              <w:proofErr w:type="gramEnd"/>
              <w:r>
                <w:rPr>
                  <w:rFonts w:cs="Arial" w:hint="eastAsia"/>
                  <w:color w:val="000000" w:themeColor="text1"/>
                </w:rPr>
                <w:t>公司</w:t>
              </w:r>
              <w:r>
                <w:rPr>
                  <w:rFonts w:cs="Arial" w:hint="eastAsia"/>
                  <w:color w:val="000000" w:themeColor="text1"/>
                </w:rPr>
                <w:t>70%</w:t>
              </w:r>
              <w:r>
                <w:rPr>
                  <w:rFonts w:cs="Arial" w:hint="eastAsia"/>
                  <w:color w:val="000000" w:themeColor="text1"/>
                </w:rPr>
                <w:t>股权，收购对价人民币</w:t>
              </w:r>
              <w:r>
                <w:rPr>
                  <w:rFonts w:cs="Arial" w:hint="eastAsia"/>
                  <w:color w:val="000000" w:themeColor="text1"/>
                </w:rPr>
                <w:t>31.58</w:t>
              </w:r>
              <w:r>
                <w:rPr>
                  <w:rFonts w:cs="Arial" w:hint="eastAsia"/>
                  <w:color w:val="000000" w:themeColor="text1"/>
                </w:rPr>
                <w:t>亿元，形成同</w:t>
              </w:r>
              <w:proofErr w:type="gramStart"/>
              <w:r>
                <w:rPr>
                  <w:rFonts w:cs="Arial" w:hint="eastAsia"/>
                  <w:color w:val="000000" w:themeColor="text1"/>
                </w:rPr>
                <w:t>一控制</w:t>
              </w:r>
              <w:proofErr w:type="gramEnd"/>
              <w:r>
                <w:rPr>
                  <w:rFonts w:cs="Arial" w:hint="eastAsia"/>
                  <w:color w:val="000000" w:themeColor="text1"/>
                </w:rPr>
                <w:t>下的企业合并。随后本公司以太古</w:t>
              </w:r>
              <w:proofErr w:type="gramStart"/>
              <w:r>
                <w:rPr>
                  <w:rFonts w:cs="Arial" w:hint="eastAsia"/>
                  <w:color w:val="000000" w:themeColor="text1"/>
                </w:rPr>
                <w:t>岚</w:t>
              </w:r>
              <w:proofErr w:type="gramEnd"/>
              <w:r>
                <w:rPr>
                  <w:rFonts w:cs="Arial" w:hint="eastAsia"/>
                  <w:color w:val="000000" w:themeColor="text1"/>
                </w:rPr>
                <w:t>铁路既有线路资产向</w:t>
              </w:r>
              <w:proofErr w:type="gramStart"/>
              <w:r>
                <w:rPr>
                  <w:rFonts w:cs="Arial" w:hint="eastAsia"/>
                  <w:color w:val="000000" w:themeColor="text1"/>
                </w:rPr>
                <w:t>太兴</w:t>
              </w:r>
              <w:proofErr w:type="gramEnd"/>
              <w:r>
                <w:rPr>
                  <w:rFonts w:cs="Arial" w:hint="eastAsia"/>
                  <w:color w:val="000000" w:themeColor="text1"/>
                </w:rPr>
                <w:t>公司增资人民币</w:t>
              </w:r>
              <w:r>
                <w:rPr>
                  <w:rFonts w:cs="Arial" w:hint="eastAsia"/>
                  <w:color w:val="000000" w:themeColor="text1"/>
                </w:rPr>
                <w:t>7.46</w:t>
              </w:r>
              <w:r>
                <w:rPr>
                  <w:rFonts w:cs="Arial" w:hint="eastAsia"/>
                  <w:color w:val="000000" w:themeColor="text1"/>
                </w:rPr>
                <w:t>亿元，交易完成后，大</w:t>
              </w:r>
              <w:proofErr w:type="gramStart"/>
              <w:r>
                <w:rPr>
                  <w:rFonts w:cs="Arial" w:hint="eastAsia"/>
                  <w:color w:val="000000" w:themeColor="text1"/>
                </w:rPr>
                <w:t>秦公司</w:t>
              </w:r>
              <w:proofErr w:type="gramEnd"/>
              <w:r>
                <w:rPr>
                  <w:rFonts w:cs="Arial" w:hint="eastAsia"/>
                  <w:color w:val="000000" w:themeColor="text1"/>
                </w:rPr>
                <w:t>持有</w:t>
              </w:r>
              <w:proofErr w:type="gramStart"/>
              <w:r>
                <w:rPr>
                  <w:rFonts w:cs="Arial" w:hint="eastAsia"/>
                  <w:color w:val="000000" w:themeColor="text1"/>
                </w:rPr>
                <w:t>太兴</w:t>
              </w:r>
              <w:proofErr w:type="gramEnd"/>
              <w:r>
                <w:rPr>
                  <w:rFonts w:cs="Arial" w:hint="eastAsia"/>
                  <w:color w:val="000000" w:themeColor="text1"/>
                </w:rPr>
                <w:t>公司的股权比例为</w:t>
              </w:r>
              <w:r>
                <w:rPr>
                  <w:rFonts w:cs="Arial" w:hint="eastAsia"/>
                  <w:color w:val="000000" w:themeColor="text1"/>
                </w:rPr>
                <w:t>74.44%</w:t>
              </w:r>
              <w:r>
                <w:rPr>
                  <w:rFonts w:cs="Arial" w:hint="eastAsia"/>
                  <w:color w:val="000000" w:themeColor="text1"/>
                </w:rPr>
                <w:t>。</w:t>
              </w:r>
            </w:p>
            <w:p w14:paraId="34BDCD19" w14:textId="77777777" w:rsidR="005E000F" w:rsidRDefault="005E000F">
              <w:pPr>
                <w:rPr>
                  <w:rFonts w:cs="Arial"/>
                  <w:color w:val="000000" w:themeColor="text1"/>
                </w:rPr>
              </w:pPr>
            </w:p>
            <w:p w14:paraId="7072004F" w14:textId="77777777" w:rsidR="005E000F" w:rsidRDefault="00000000">
              <w:pPr>
                <w:rPr>
                  <w:rFonts w:cs="Arial"/>
                  <w:color w:val="000000" w:themeColor="text1"/>
                </w:rPr>
              </w:pPr>
              <w:r>
                <w:rPr>
                  <w:rFonts w:cs="Arial" w:hint="eastAsia"/>
                  <w:color w:val="000000" w:themeColor="text1"/>
                </w:rPr>
                <w:t>注</w:t>
              </w:r>
              <w:r>
                <w:rPr>
                  <w:rFonts w:cs="Arial" w:hint="eastAsia"/>
                  <w:color w:val="000000" w:themeColor="text1"/>
                </w:rPr>
                <w:t>4</w:t>
              </w:r>
              <w:r>
                <w:rPr>
                  <w:rFonts w:cs="Arial" w:hint="eastAsia"/>
                  <w:color w:val="000000" w:themeColor="text1"/>
                </w:rPr>
                <w:t>：本公司与山西煤炭运销集团晋中有限公司、山西方略保税物流中心有限公司等</w:t>
              </w:r>
              <w:r>
                <w:rPr>
                  <w:rFonts w:cs="Arial" w:hint="eastAsia"/>
                  <w:color w:val="000000" w:themeColor="text1"/>
                </w:rPr>
                <w:t>4</w:t>
              </w:r>
              <w:r>
                <w:rPr>
                  <w:rFonts w:cs="Arial" w:hint="eastAsia"/>
                  <w:color w:val="000000" w:themeColor="text1"/>
                </w:rPr>
                <w:t>方股东于</w:t>
              </w:r>
              <w:r>
                <w:rPr>
                  <w:rFonts w:cs="Arial" w:hint="eastAsia"/>
                  <w:color w:val="000000" w:themeColor="text1"/>
                </w:rPr>
                <w:t>2013</w:t>
              </w:r>
              <w:r>
                <w:rPr>
                  <w:rFonts w:cs="Arial" w:hint="eastAsia"/>
                  <w:color w:val="000000" w:themeColor="text1"/>
                </w:rPr>
                <w:t>年</w:t>
              </w:r>
              <w:r>
                <w:rPr>
                  <w:rFonts w:cs="Arial" w:hint="eastAsia"/>
                  <w:color w:val="000000" w:themeColor="text1"/>
                </w:rPr>
                <w:t>1</w:t>
              </w:r>
              <w:r>
                <w:rPr>
                  <w:rFonts w:cs="Arial" w:hint="eastAsia"/>
                  <w:color w:val="000000" w:themeColor="text1"/>
                </w:rPr>
                <w:t>月共同出资设立中鼎公司，本公司的初始投资成本为人民币</w:t>
              </w:r>
              <w:r>
                <w:rPr>
                  <w:rFonts w:cs="Arial" w:hint="eastAsia"/>
                  <w:color w:val="000000" w:themeColor="text1"/>
                </w:rPr>
                <w:t>0.70</w:t>
              </w:r>
              <w:r>
                <w:rPr>
                  <w:rFonts w:cs="Arial" w:hint="eastAsia"/>
                  <w:color w:val="000000" w:themeColor="text1"/>
                </w:rPr>
                <w:t>亿元，持股比例为</w:t>
              </w:r>
              <w:r>
                <w:rPr>
                  <w:rFonts w:cs="Arial" w:hint="eastAsia"/>
                  <w:color w:val="000000" w:themeColor="text1"/>
                </w:rPr>
                <w:t>35%</w:t>
              </w:r>
              <w:r>
                <w:rPr>
                  <w:rFonts w:cs="Arial" w:hint="eastAsia"/>
                  <w:color w:val="000000" w:themeColor="text1"/>
                </w:rPr>
                <w:t>。中鼎公司设立后，经本公司于</w:t>
              </w:r>
              <w:r>
                <w:rPr>
                  <w:rFonts w:cs="Arial" w:hint="eastAsia"/>
                  <w:color w:val="000000" w:themeColor="text1"/>
                </w:rPr>
                <w:t>2014</w:t>
              </w:r>
              <w:r>
                <w:rPr>
                  <w:rFonts w:cs="Arial" w:hint="eastAsia"/>
                  <w:color w:val="000000" w:themeColor="text1"/>
                </w:rPr>
                <w:t>至</w:t>
              </w:r>
              <w:r>
                <w:rPr>
                  <w:rFonts w:cs="Arial" w:hint="eastAsia"/>
                  <w:color w:val="000000" w:themeColor="text1"/>
                </w:rPr>
                <w:t>2016</w:t>
              </w:r>
              <w:r>
                <w:rPr>
                  <w:rFonts w:cs="Arial" w:hint="eastAsia"/>
                  <w:color w:val="000000" w:themeColor="text1"/>
                </w:rPr>
                <w:t>年度对其持续增资，于</w:t>
              </w:r>
              <w:r>
                <w:rPr>
                  <w:rFonts w:cs="Arial" w:hint="eastAsia"/>
                  <w:color w:val="000000" w:themeColor="text1"/>
                </w:rPr>
                <w:t>2016</w:t>
              </w:r>
              <w:r>
                <w:rPr>
                  <w:rFonts w:cs="Arial" w:hint="eastAsia"/>
                  <w:color w:val="000000" w:themeColor="text1"/>
                </w:rPr>
                <w:t>年</w:t>
              </w:r>
              <w:r>
                <w:rPr>
                  <w:rFonts w:cs="Arial" w:hint="eastAsia"/>
                  <w:color w:val="000000" w:themeColor="text1"/>
                </w:rPr>
                <w:t>9</w:t>
              </w:r>
              <w:r>
                <w:rPr>
                  <w:rFonts w:cs="Arial" w:hint="eastAsia"/>
                  <w:color w:val="000000" w:themeColor="text1"/>
                </w:rPr>
                <w:t>月</w:t>
              </w:r>
              <w:r>
                <w:rPr>
                  <w:rFonts w:cs="Arial" w:hint="eastAsia"/>
                  <w:color w:val="000000" w:themeColor="text1"/>
                </w:rPr>
                <w:t>30</w:t>
              </w:r>
              <w:r>
                <w:rPr>
                  <w:rFonts w:cs="Arial" w:hint="eastAsia"/>
                  <w:color w:val="000000" w:themeColor="text1"/>
                </w:rPr>
                <w:t>日，本公司对中鼎公司的累计出资达到人民币</w:t>
              </w:r>
              <w:r>
                <w:rPr>
                  <w:rFonts w:cs="Arial" w:hint="eastAsia"/>
                  <w:color w:val="000000" w:themeColor="text1"/>
                </w:rPr>
                <w:t>6.35</w:t>
              </w:r>
              <w:r>
                <w:rPr>
                  <w:rFonts w:cs="Arial" w:hint="eastAsia"/>
                  <w:color w:val="000000" w:themeColor="text1"/>
                </w:rPr>
                <w:t>亿元，持股比例为</w:t>
              </w:r>
              <w:r>
                <w:rPr>
                  <w:rFonts w:cs="Arial" w:hint="eastAsia"/>
                  <w:color w:val="000000" w:themeColor="text1"/>
                </w:rPr>
                <w:t>65.7%</w:t>
              </w:r>
              <w:r>
                <w:rPr>
                  <w:rFonts w:cs="Arial" w:hint="eastAsia"/>
                  <w:color w:val="000000" w:themeColor="text1"/>
                </w:rPr>
                <w:t>并取得了对其的实际控制权，因此本公司自</w:t>
              </w:r>
              <w:r>
                <w:rPr>
                  <w:rFonts w:cs="Arial" w:hint="eastAsia"/>
                  <w:color w:val="000000" w:themeColor="text1"/>
                </w:rPr>
                <w:t>2016</w:t>
              </w:r>
              <w:r>
                <w:rPr>
                  <w:rFonts w:cs="Arial" w:hint="eastAsia"/>
                  <w:color w:val="000000" w:themeColor="text1"/>
                </w:rPr>
                <w:t>年</w:t>
              </w:r>
              <w:r>
                <w:rPr>
                  <w:rFonts w:cs="Arial" w:hint="eastAsia"/>
                  <w:color w:val="000000" w:themeColor="text1"/>
                </w:rPr>
                <w:t>9</w:t>
              </w:r>
              <w:r>
                <w:rPr>
                  <w:rFonts w:cs="Arial" w:hint="eastAsia"/>
                  <w:color w:val="000000" w:themeColor="text1"/>
                </w:rPr>
                <w:t>月</w:t>
              </w:r>
              <w:r>
                <w:rPr>
                  <w:rFonts w:cs="Arial" w:hint="eastAsia"/>
                  <w:color w:val="000000" w:themeColor="text1"/>
                </w:rPr>
                <w:t>30</w:t>
              </w:r>
              <w:r>
                <w:rPr>
                  <w:rFonts w:cs="Arial" w:hint="eastAsia"/>
                  <w:color w:val="000000" w:themeColor="text1"/>
                </w:rPr>
                <w:t>日起将其纳入合并范围。于</w:t>
              </w:r>
              <w:r>
                <w:rPr>
                  <w:rFonts w:cs="Arial" w:hint="eastAsia"/>
                  <w:color w:val="000000" w:themeColor="text1"/>
                </w:rPr>
                <w:t>2017</w:t>
              </w:r>
              <w:r>
                <w:rPr>
                  <w:rFonts w:cs="Arial" w:hint="eastAsia"/>
                  <w:color w:val="000000" w:themeColor="text1"/>
                </w:rPr>
                <w:t>年</w:t>
              </w:r>
              <w:r>
                <w:rPr>
                  <w:rFonts w:cs="Arial" w:hint="eastAsia"/>
                  <w:color w:val="000000" w:themeColor="text1"/>
                </w:rPr>
                <w:t>3</w:t>
              </w:r>
              <w:r>
                <w:rPr>
                  <w:rFonts w:cs="Arial" w:hint="eastAsia"/>
                  <w:color w:val="000000" w:themeColor="text1"/>
                </w:rPr>
                <w:t>月，本公司向中鼎公司增资人民币</w:t>
              </w:r>
              <w:r>
                <w:rPr>
                  <w:rFonts w:cs="Arial" w:hint="eastAsia"/>
                  <w:color w:val="000000" w:themeColor="text1"/>
                </w:rPr>
                <w:t>136,600,000</w:t>
              </w:r>
              <w:r>
                <w:rPr>
                  <w:rFonts w:cs="Arial" w:hint="eastAsia"/>
                  <w:color w:val="000000" w:themeColor="text1"/>
                </w:rPr>
                <w:t>元，于</w:t>
              </w:r>
              <w:r>
                <w:rPr>
                  <w:rFonts w:cs="Arial" w:hint="eastAsia"/>
                  <w:color w:val="000000" w:themeColor="text1"/>
                </w:rPr>
                <w:t>2017</w:t>
              </w:r>
              <w:r>
                <w:rPr>
                  <w:rFonts w:cs="Arial" w:hint="eastAsia"/>
                  <w:color w:val="000000" w:themeColor="text1"/>
                </w:rPr>
                <w:t>年</w:t>
              </w:r>
              <w:r>
                <w:rPr>
                  <w:rFonts w:cs="Arial" w:hint="eastAsia"/>
                  <w:color w:val="000000" w:themeColor="text1"/>
                </w:rPr>
                <w:t>5</w:t>
              </w:r>
              <w:r>
                <w:rPr>
                  <w:rFonts w:cs="Arial" w:hint="eastAsia"/>
                  <w:color w:val="000000" w:themeColor="text1"/>
                </w:rPr>
                <w:t>月，中鼎公司的少数股东向公司增资人民币</w:t>
              </w:r>
              <w:r>
                <w:rPr>
                  <w:rFonts w:cs="Arial" w:hint="eastAsia"/>
                  <w:color w:val="000000" w:themeColor="text1"/>
                </w:rPr>
                <w:t>11,400,000</w:t>
              </w:r>
              <w:r>
                <w:rPr>
                  <w:rFonts w:cs="Arial" w:hint="eastAsia"/>
                  <w:color w:val="000000" w:themeColor="text1"/>
                </w:rPr>
                <w:t>元。于</w:t>
              </w:r>
              <w:r>
                <w:rPr>
                  <w:rFonts w:cs="Arial" w:hint="eastAsia"/>
                  <w:color w:val="000000" w:themeColor="text1"/>
                </w:rPr>
                <w:t>2018</w:t>
              </w:r>
              <w:r>
                <w:rPr>
                  <w:rFonts w:cs="Arial" w:hint="eastAsia"/>
                  <w:color w:val="000000" w:themeColor="text1"/>
                </w:rPr>
                <w:t>年</w:t>
              </w:r>
              <w:r>
                <w:rPr>
                  <w:rFonts w:cs="Arial" w:hint="eastAsia"/>
                  <w:color w:val="000000" w:themeColor="text1"/>
                </w:rPr>
                <w:t>1</w:t>
              </w:r>
              <w:r>
                <w:rPr>
                  <w:rFonts w:cs="Arial" w:hint="eastAsia"/>
                  <w:color w:val="000000" w:themeColor="text1"/>
                </w:rPr>
                <w:t>月及</w:t>
              </w:r>
              <w:r>
                <w:rPr>
                  <w:rFonts w:cs="Arial" w:hint="eastAsia"/>
                  <w:color w:val="000000" w:themeColor="text1"/>
                </w:rPr>
                <w:t>10</w:t>
              </w:r>
              <w:r>
                <w:rPr>
                  <w:rFonts w:cs="Arial" w:hint="eastAsia"/>
                  <w:color w:val="000000" w:themeColor="text1"/>
                </w:rPr>
                <w:t>月，本公司分别向中鼎公司增资人民币</w:t>
              </w:r>
              <w:r>
                <w:rPr>
                  <w:rFonts w:cs="Arial" w:hint="eastAsia"/>
                  <w:color w:val="000000" w:themeColor="text1"/>
                </w:rPr>
                <w:t>950,000,000</w:t>
              </w:r>
              <w:r>
                <w:rPr>
                  <w:rFonts w:cs="Arial" w:hint="eastAsia"/>
                  <w:color w:val="000000" w:themeColor="text1"/>
                </w:rPr>
                <w:t>元及人民币</w:t>
              </w:r>
              <w:r>
                <w:rPr>
                  <w:rFonts w:cs="Arial" w:hint="eastAsia"/>
                  <w:color w:val="000000" w:themeColor="text1"/>
                </w:rPr>
                <w:t>28,500,000</w:t>
              </w:r>
              <w:r>
                <w:rPr>
                  <w:rFonts w:cs="Arial" w:hint="eastAsia"/>
                  <w:color w:val="000000" w:themeColor="text1"/>
                </w:rPr>
                <w:t>元，增资后本公司在中鼎公司的持股比例为</w:t>
              </w:r>
              <w:r>
                <w:rPr>
                  <w:rFonts w:cs="Arial" w:hint="eastAsia"/>
                  <w:color w:val="000000" w:themeColor="text1"/>
                </w:rPr>
                <w:t>83.64%</w:t>
              </w:r>
              <w:r>
                <w:rPr>
                  <w:rFonts w:cs="Arial" w:hint="eastAsia"/>
                  <w:color w:val="000000" w:themeColor="text1"/>
                </w:rPr>
                <w:t>。</w:t>
              </w:r>
            </w:p>
            <w:p w14:paraId="6082DACC" w14:textId="77777777" w:rsidR="005E000F" w:rsidRDefault="005E000F">
              <w:pPr>
                <w:rPr>
                  <w:rFonts w:cs="Arial"/>
                  <w:color w:val="000000" w:themeColor="text1"/>
                </w:rPr>
              </w:pPr>
            </w:p>
            <w:p w14:paraId="1710A6F1" w14:textId="77777777" w:rsidR="005E000F" w:rsidRDefault="00000000">
              <w:pPr>
                <w:rPr>
                  <w:rFonts w:cs="Arial"/>
                  <w:color w:val="000000" w:themeColor="text1"/>
                </w:rPr>
              </w:pPr>
              <w:r>
                <w:rPr>
                  <w:rFonts w:cs="Arial" w:hint="eastAsia"/>
                  <w:color w:val="000000" w:themeColor="text1"/>
                </w:rPr>
                <w:t>注</w:t>
              </w:r>
              <w:r>
                <w:rPr>
                  <w:rFonts w:cs="Arial" w:hint="eastAsia"/>
                  <w:color w:val="000000" w:themeColor="text1"/>
                </w:rPr>
                <w:t>5</w:t>
              </w:r>
              <w:r>
                <w:rPr>
                  <w:rFonts w:cs="Arial" w:hint="eastAsia"/>
                  <w:color w:val="000000" w:themeColor="text1"/>
                </w:rPr>
                <w:t>：本公司于</w:t>
              </w:r>
              <w:r>
                <w:rPr>
                  <w:rFonts w:cs="Arial" w:hint="eastAsia"/>
                  <w:color w:val="000000" w:themeColor="text1"/>
                </w:rPr>
                <w:t>2020</w:t>
              </w:r>
              <w:r>
                <w:rPr>
                  <w:rFonts w:cs="Arial" w:hint="eastAsia"/>
                  <w:color w:val="000000" w:themeColor="text1"/>
                </w:rPr>
                <w:t>年</w:t>
              </w:r>
              <w:r>
                <w:rPr>
                  <w:rFonts w:cs="Arial" w:hint="eastAsia"/>
                  <w:color w:val="000000" w:themeColor="text1"/>
                </w:rPr>
                <w:t>4</w:t>
              </w:r>
              <w:r>
                <w:rPr>
                  <w:rFonts w:cs="Arial" w:hint="eastAsia"/>
                  <w:color w:val="000000" w:themeColor="text1"/>
                </w:rPr>
                <w:t>月</w:t>
              </w:r>
              <w:r>
                <w:rPr>
                  <w:rFonts w:cs="Arial" w:hint="eastAsia"/>
                  <w:color w:val="000000" w:themeColor="text1"/>
                </w:rPr>
                <w:t>27</w:t>
              </w:r>
              <w:r>
                <w:rPr>
                  <w:rFonts w:cs="Arial" w:hint="eastAsia"/>
                  <w:color w:val="000000" w:themeColor="text1"/>
                </w:rPr>
                <w:t>日与太原局集团公司就其所持有的西南环公司</w:t>
              </w:r>
              <w:r>
                <w:rPr>
                  <w:rFonts w:cs="Arial" w:hint="eastAsia"/>
                  <w:color w:val="000000" w:themeColor="text1"/>
                </w:rPr>
                <w:t>51%</w:t>
              </w:r>
              <w:r>
                <w:rPr>
                  <w:rFonts w:cs="Arial" w:hint="eastAsia"/>
                  <w:color w:val="000000" w:themeColor="text1"/>
                </w:rPr>
                <w:t>的权益签订了《中国铁路太原局集团有限公司与大秦铁路股份有限公司附生效条件的股权转让协议》</w:t>
              </w:r>
              <w:r>
                <w:rPr>
                  <w:rFonts w:cs="Arial" w:hint="eastAsia"/>
                  <w:color w:val="000000" w:themeColor="text1"/>
                </w:rPr>
                <w:t>(</w:t>
              </w:r>
              <w:r>
                <w:rPr>
                  <w:rFonts w:cs="Arial" w:hint="eastAsia"/>
                  <w:color w:val="000000" w:themeColor="text1"/>
                </w:rPr>
                <w:t>以下简称“股权转让协议”</w:t>
              </w:r>
              <w:r>
                <w:rPr>
                  <w:rFonts w:cs="Arial" w:hint="eastAsia"/>
                  <w:color w:val="000000" w:themeColor="text1"/>
                </w:rPr>
                <w:t>)</w:t>
              </w:r>
              <w:r>
                <w:rPr>
                  <w:rFonts w:cs="Arial" w:hint="eastAsia"/>
                  <w:color w:val="000000" w:themeColor="text1"/>
                </w:rPr>
                <w:t>。按照该股权转让协议规定，该协议在本次股权转让事项经本公司及太原局集团公司董事会审议通过，经西南环公司及本公司股东会审议通过，经国铁集团批准，并完成标的股权评估结果之国铁集团备案，且大</w:t>
              </w:r>
              <w:proofErr w:type="gramStart"/>
              <w:r>
                <w:rPr>
                  <w:rFonts w:cs="Arial" w:hint="eastAsia"/>
                  <w:color w:val="000000" w:themeColor="text1"/>
                </w:rPr>
                <w:t>秦公司</w:t>
              </w:r>
              <w:proofErr w:type="gramEnd"/>
              <w:r>
                <w:rPr>
                  <w:rFonts w:cs="Arial" w:hint="eastAsia"/>
                  <w:color w:val="000000" w:themeColor="text1"/>
                </w:rPr>
                <w:t>可转债事项经中国证监会核准、完成发行并收到扣除相关发行费用后的募集资金净额后等条件全部满足时予以生效，本标的股权对价为人民币</w:t>
              </w:r>
              <w:r>
                <w:rPr>
                  <w:rFonts w:cs="Arial" w:hint="eastAsia"/>
                  <w:color w:val="000000" w:themeColor="text1"/>
                </w:rPr>
                <w:t>3,980,250,900</w:t>
              </w:r>
              <w:r>
                <w:rPr>
                  <w:rFonts w:cs="Arial" w:hint="eastAsia"/>
                  <w:color w:val="000000" w:themeColor="text1"/>
                </w:rPr>
                <w:t>元。</w:t>
              </w:r>
              <w:r>
                <w:rPr>
                  <w:rFonts w:cs="Arial" w:hint="eastAsia"/>
                  <w:color w:val="000000" w:themeColor="text1"/>
                </w:rPr>
                <w:t>2020</w:t>
              </w:r>
              <w:r>
                <w:rPr>
                  <w:rFonts w:cs="Arial" w:hint="eastAsia"/>
                  <w:color w:val="000000" w:themeColor="text1"/>
                </w:rPr>
                <w:t>年</w:t>
              </w:r>
              <w:r>
                <w:rPr>
                  <w:rFonts w:cs="Arial" w:hint="eastAsia"/>
                  <w:color w:val="000000" w:themeColor="text1"/>
                </w:rPr>
                <w:t>12</w:t>
              </w:r>
              <w:r>
                <w:rPr>
                  <w:rFonts w:cs="Arial" w:hint="eastAsia"/>
                  <w:color w:val="000000" w:themeColor="text1"/>
                </w:rPr>
                <w:t>月</w:t>
              </w:r>
              <w:r>
                <w:rPr>
                  <w:rFonts w:cs="Arial" w:hint="eastAsia"/>
                  <w:color w:val="000000" w:themeColor="text1"/>
                </w:rPr>
                <w:t>18</w:t>
              </w:r>
              <w:r>
                <w:rPr>
                  <w:rFonts w:cs="Arial" w:hint="eastAsia"/>
                  <w:color w:val="000000" w:themeColor="text1"/>
                </w:rPr>
                <w:t>日上述条件全部达成，该转让协议即日生效。于</w:t>
              </w:r>
              <w:proofErr w:type="gramStart"/>
              <w:r>
                <w:rPr>
                  <w:rFonts w:cs="Arial" w:hint="eastAsia"/>
                  <w:color w:val="000000" w:themeColor="text1"/>
                </w:rPr>
                <w:t>合并日</w:t>
              </w:r>
              <w:proofErr w:type="gramEnd"/>
              <w:r>
                <w:rPr>
                  <w:rFonts w:cs="Arial" w:hint="eastAsia"/>
                  <w:color w:val="000000" w:themeColor="text1"/>
                </w:rPr>
                <w:t>2021</w:t>
              </w:r>
              <w:r>
                <w:rPr>
                  <w:rFonts w:cs="Arial" w:hint="eastAsia"/>
                  <w:color w:val="000000" w:themeColor="text1"/>
                </w:rPr>
                <w:t>年</w:t>
              </w:r>
              <w:r>
                <w:rPr>
                  <w:rFonts w:cs="Arial" w:hint="eastAsia"/>
                  <w:color w:val="000000" w:themeColor="text1"/>
                </w:rPr>
                <w:t>1</w:t>
              </w:r>
              <w:r>
                <w:rPr>
                  <w:rFonts w:cs="Arial" w:hint="eastAsia"/>
                  <w:color w:val="000000" w:themeColor="text1"/>
                </w:rPr>
                <w:t>月</w:t>
              </w:r>
              <w:r>
                <w:rPr>
                  <w:rFonts w:cs="Arial" w:hint="eastAsia"/>
                  <w:color w:val="000000" w:themeColor="text1"/>
                </w:rPr>
                <w:t>29</w:t>
              </w:r>
              <w:r>
                <w:rPr>
                  <w:rFonts w:cs="Arial" w:hint="eastAsia"/>
                  <w:color w:val="000000" w:themeColor="text1"/>
                </w:rPr>
                <w:t>日，西南环公司完成股东变更相关工商登记，西南环公司成为本公司之控股子公司。鉴于西南环公司在合并日前后与本公司均受太原局集团公司控制，且</w:t>
              </w:r>
              <w:proofErr w:type="gramStart"/>
              <w:r>
                <w:rPr>
                  <w:rFonts w:cs="Arial" w:hint="eastAsia"/>
                  <w:color w:val="000000" w:themeColor="text1"/>
                </w:rPr>
                <w:t>该控制</w:t>
              </w:r>
              <w:proofErr w:type="gramEnd"/>
              <w:r>
                <w:rPr>
                  <w:rFonts w:cs="Arial" w:hint="eastAsia"/>
                  <w:color w:val="000000" w:themeColor="text1"/>
                </w:rPr>
                <w:t>为非暂时性，因此本次合并为同</w:t>
              </w:r>
              <w:proofErr w:type="gramStart"/>
              <w:r>
                <w:rPr>
                  <w:rFonts w:cs="Arial" w:hint="eastAsia"/>
                  <w:color w:val="000000" w:themeColor="text1"/>
                </w:rPr>
                <w:t>一控制</w:t>
              </w:r>
              <w:proofErr w:type="gramEnd"/>
              <w:r>
                <w:rPr>
                  <w:rFonts w:cs="Arial" w:hint="eastAsia"/>
                  <w:color w:val="000000" w:themeColor="text1"/>
                </w:rPr>
                <w:t>下企业合并。</w:t>
              </w:r>
            </w:p>
            <w:p w14:paraId="74E1356D" w14:textId="77777777" w:rsidR="005E000F" w:rsidRDefault="005E000F">
              <w:pPr>
                <w:rPr>
                  <w:rFonts w:cs="Arial"/>
                  <w:color w:val="000000" w:themeColor="text1"/>
                </w:rPr>
              </w:pPr>
            </w:p>
            <w:p w14:paraId="7ECB9A8B" w14:textId="77777777" w:rsidR="005E000F" w:rsidRDefault="00000000">
              <w:pPr>
                <w:rPr>
                  <w:rFonts w:cs="Arial"/>
                  <w:color w:val="000000" w:themeColor="text1"/>
                </w:rPr>
              </w:pPr>
              <w:r>
                <w:rPr>
                  <w:rFonts w:cs="Arial" w:hint="eastAsia"/>
                  <w:color w:val="000000" w:themeColor="text1"/>
                </w:rPr>
                <w:t>于合并日，西南环公司注册资本为人民币</w:t>
              </w:r>
              <w:r>
                <w:rPr>
                  <w:rFonts w:cs="Arial" w:hint="eastAsia"/>
                  <w:color w:val="000000" w:themeColor="text1"/>
                </w:rPr>
                <w:t>132,783.26</w:t>
              </w:r>
              <w:r>
                <w:rPr>
                  <w:rFonts w:cs="Arial" w:hint="eastAsia"/>
                  <w:color w:val="000000" w:themeColor="text1"/>
                </w:rPr>
                <w:t>万元，其中太原局集团公司认缴人民币</w:t>
              </w:r>
              <w:r>
                <w:rPr>
                  <w:rFonts w:cs="Arial" w:hint="eastAsia"/>
                  <w:color w:val="000000" w:themeColor="text1"/>
                </w:rPr>
                <w:t>67,719.46</w:t>
              </w:r>
              <w:r>
                <w:rPr>
                  <w:rFonts w:cs="Arial" w:hint="eastAsia"/>
                  <w:color w:val="000000" w:themeColor="text1"/>
                </w:rPr>
                <w:t>万元，占比</w:t>
              </w:r>
              <w:r>
                <w:rPr>
                  <w:rFonts w:cs="Arial" w:hint="eastAsia"/>
                  <w:color w:val="000000" w:themeColor="text1"/>
                </w:rPr>
                <w:t>51.00%</w:t>
              </w:r>
              <w:r>
                <w:rPr>
                  <w:rFonts w:cs="Arial" w:hint="eastAsia"/>
                  <w:color w:val="000000" w:themeColor="text1"/>
                </w:rPr>
                <w:t>，另一股东太原市高速铁路投资集团有限公司认缴出资人民币</w:t>
              </w:r>
              <w:r>
                <w:rPr>
                  <w:rFonts w:cs="Arial" w:hint="eastAsia"/>
                  <w:color w:val="000000" w:themeColor="text1"/>
                </w:rPr>
                <w:t>65,063.80</w:t>
              </w:r>
              <w:r>
                <w:rPr>
                  <w:rFonts w:cs="Arial" w:hint="eastAsia"/>
                  <w:color w:val="000000" w:themeColor="text1"/>
                </w:rPr>
                <w:t>万元，占比</w:t>
              </w:r>
              <w:r>
                <w:rPr>
                  <w:rFonts w:cs="Arial" w:hint="eastAsia"/>
                  <w:color w:val="000000" w:themeColor="text1"/>
                </w:rPr>
                <w:t>49%</w:t>
              </w:r>
              <w:r>
                <w:rPr>
                  <w:rFonts w:cs="Arial" w:hint="eastAsia"/>
                  <w:color w:val="000000" w:themeColor="text1"/>
                </w:rPr>
                <w:t>；西南环公司实缴资本为人民币</w:t>
              </w:r>
              <w:r>
                <w:rPr>
                  <w:rFonts w:cs="Arial" w:hint="eastAsia"/>
                  <w:color w:val="000000" w:themeColor="text1"/>
                </w:rPr>
                <w:t>304,253.80</w:t>
              </w:r>
              <w:r>
                <w:rPr>
                  <w:rFonts w:cs="Arial" w:hint="eastAsia"/>
                  <w:color w:val="000000" w:themeColor="text1"/>
                </w:rPr>
                <w:t>万元，其中太原局集团公司实缴人民币</w:t>
              </w:r>
              <w:r>
                <w:rPr>
                  <w:rFonts w:cs="Arial" w:hint="eastAsia"/>
                  <w:color w:val="000000" w:themeColor="text1"/>
                </w:rPr>
                <w:t>239,190.00</w:t>
              </w:r>
              <w:r>
                <w:rPr>
                  <w:rFonts w:cs="Arial" w:hint="eastAsia"/>
                  <w:color w:val="000000" w:themeColor="text1"/>
                </w:rPr>
                <w:t>万元，实缴出资占比</w:t>
              </w:r>
              <w:r>
                <w:rPr>
                  <w:rFonts w:cs="Arial" w:hint="eastAsia"/>
                  <w:color w:val="000000" w:themeColor="text1"/>
                </w:rPr>
                <w:t>78.62%</w:t>
              </w:r>
              <w:r>
                <w:rPr>
                  <w:rFonts w:cs="Arial" w:hint="eastAsia"/>
                  <w:color w:val="000000" w:themeColor="text1"/>
                </w:rPr>
                <w:t>；太原市高速铁路投资集团有限公司以经第三方中介机构审核并计入股份的征地拆迁费用出资人民币</w:t>
              </w:r>
              <w:r>
                <w:rPr>
                  <w:rFonts w:cs="Arial" w:hint="eastAsia"/>
                  <w:color w:val="000000" w:themeColor="text1"/>
                </w:rPr>
                <w:t>65,063.80</w:t>
              </w:r>
              <w:r>
                <w:rPr>
                  <w:rFonts w:cs="Arial" w:hint="eastAsia"/>
                  <w:color w:val="000000" w:themeColor="text1"/>
                </w:rPr>
                <w:t>万元，实缴出资占比</w:t>
              </w:r>
              <w:r>
                <w:rPr>
                  <w:rFonts w:cs="Arial" w:hint="eastAsia"/>
                  <w:color w:val="000000" w:themeColor="text1"/>
                </w:rPr>
                <w:t>21.38%</w:t>
              </w:r>
              <w:r>
                <w:rPr>
                  <w:rFonts w:cs="Arial" w:hint="eastAsia"/>
                  <w:color w:val="000000" w:themeColor="text1"/>
                </w:rPr>
                <w:t>。按照</w:t>
              </w:r>
              <w:r>
                <w:rPr>
                  <w:rFonts w:cs="Arial" w:hint="eastAsia"/>
                  <w:color w:val="000000" w:themeColor="text1"/>
                </w:rPr>
                <w:t>2020</w:t>
              </w:r>
              <w:r>
                <w:rPr>
                  <w:rFonts w:cs="Arial" w:hint="eastAsia"/>
                  <w:color w:val="000000" w:themeColor="text1"/>
                </w:rPr>
                <w:t>年</w:t>
              </w:r>
              <w:r>
                <w:rPr>
                  <w:rFonts w:cs="Arial" w:hint="eastAsia"/>
                  <w:color w:val="000000" w:themeColor="text1"/>
                </w:rPr>
                <w:t>7</w:t>
              </w:r>
              <w:r>
                <w:rPr>
                  <w:rFonts w:cs="Arial" w:hint="eastAsia"/>
                  <w:color w:val="000000" w:themeColor="text1"/>
                </w:rPr>
                <w:t>月</w:t>
              </w:r>
              <w:r>
                <w:rPr>
                  <w:rFonts w:cs="Arial" w:hint="eastAsia"/>
                  <w:color w:val="000000" w:themeColor="text1"/>
                </w:rPr>
                <w:t>27</w:t>
              </w:r>
              <w:r>
                <w:rPr>
                  <w:rFonts w:cs="Arial" w:hint="eastAsia"/>
                  <w:color w:val="000000" w:themeColor="text1"/>
                </w:rPr>
                <w:t>日太原局集团公司、太原市高速铁路投资集团有限公司与本公司共同签订的《关于太原铁路枢纽西南环线有限责</w:t>
              </w:r>
              <w:r>
                <w:rPr>
                  <w:rFonts w:cs="Arial" w:hint="eastAsia"/>
                  <w:color w:val="000000" w:themeColor="text1"/>
                </w:rPr>
                <w:lastRenderedPageBreak/>
                <w:t>任公司股权转让事项备忘录》，在西南环公司完成股权交割后，本公司继承太原局集团公司在西南环公司全部股东权利，并按实缴出资比例享有西南环公司股东权益。因此于合并日，本公司按照实</w:t>
              </w:r>
              <w:proofErr w:type="gramStart"/>
              <w:r>
                <w:rPr>
                  <w:rFonts w:cs="Arial" w:hint="eastAsia"/>
                  <w:color w:val="000000" w:themeColor="text1"/>
                </w:rPr>
                <w:t>缴</w:t>
              </w:r>
              <w:proofErr w:type="gramEnd"/>
              <w:r>
                <w:rPr>
                  <w:rFonts w:cs="Arial" w:hint="eastAsia"/>
                  <w:color w:val="000000" w:themeColor="text1"/>
                </w:rPr>
                <w:t>出资比例享有西南环公司</w:t>
              </w:r>
              <w:r>
                <w:rPr>
                  <w:rFonts w:cs="Arial" w:hint="eastAsia"/>
                  <w:color w:val="000000" w:themeColor="text1"/>
                </w:rPr>
                <w:t>78.62%</w:t>
              </w:r>
              <w:r>
                <w:rPr>
                  <w:rFonts w:cs="Arial" w:hint="eastAsia"/>
                  <w:color w:val="000000" w:themeColor="text1"/>
                </w:rPr>
                <w:t>权益。</w:t>
              </w:r>
              <w:r>
                <w:rPr>
                  <w:rFonts w:cs="Arial" w:hint="eastAsia"/>
                  <w:color w:val="000000" w:themeColor="text1"/>
                </w:rPr>
                <w:t>2021</w:t>
              </w:r>
              <w:r>
                <w:rPr>
                  <w:rFonts w:cs="Arial" w:hint="eastAsia"/>
                  <w:color w:val="000000" w:themeColor="text1"/>
                </w:rPr>
                <w:t>年，太原市高速铁路投资集团有限公司以现金方式向西南环公司缴纳注册资本人民币</w:t>
              </w:r>
              <w:r>
                <w:rPr>
                  <w:rFonts w:cs="Arial" w:hint="eastAsia"/>
                  <w:color w:val="000000" w:themeColor="text1"/>
                </w:rPr>
                <w:t>2,564,985</w:t>
              </w:r>
              <w:r>
                <w:rPr>
                  <w:rFonts w:cs="Arial" w:hint="eastAsia"/>
                  <w:color w:val="000000" w:themeColor="text1"/>
                </w:rPr>
                <w:t>元，本公司对西南环公司实缴出资比例变更为</w:t>
              </w:r>
              <w:r>
                <w:rPr>
                  <w:rFonts w:cs="Arial" w:hint="eastAsia"/>
                  <w:color w:val="000000" w:themeColor="text1"/>
                </w:rPr>
                <w:t>78.55%</w:t>
              </w:r>
              <w:r>
                <w:rPr>
                  <w:rFonts w:cs="Arial" w:hint="eastAsia"/>
                  <w:color w:val="000000" w:themeColor="text1"/>
                </w:rPr>
                <w:t>。</w:t>
              </w:r>
              <w:r>
                <w:rPr>
                  <w:rFonts w:cs="Arial" w:hint="eastAsia"/>
                  <w:color w:val="000000" w:themeColor="text1"/>
                </w:rPr>
                <w:t>2023</w:t>
              </w:r>
              <w:r>
                <w:rPr>
                  <w:rFonts w:cs="Arial" w:hint="eastAsia"/>
                  <w:color w:val="000000" w:themeColor="text1"/>
                </w:rPr>
                <w:t>年，太原市高速铁路投资集团有限公司向西南环公司增资共计人民币</w:t>
              </w:r>
              <w:r>
                <w:rPr>
                  <w:rFonts w:cs="Arial" w:hint="eastAsia"/>
                  <w:color w:val="000000" w:themeColor="text1"/>
                </w:rPr>
                <w:t>1,644,897,057</w:t>
              </w:r>
              <w:r>
                <w:rPr>
                  <w:rFonts w:cs="Arial" w:hint="eastAsia"/>
                  <w:color w:val="000000" w:themeColor="text1"/>
                </w:rPr>
                <w:t>元，使得本公司对西南环公司持股比例由</w:t>
              </w:r>
              <w:r>
                <w:rPr>
                  <w:rFonts w:cs="Arial" w:hint="eastAsia"/>
                  <w:color w:val="000000" w:themeColor="text1"/>
                </w:rPr>
                <w:t>78.55%</w:t>
              </w:r>
              <w:r>
                <w:rPr>
                  <w:rFonts w:cs="Arial" w:hint="eastAsia"/>
                  <w:color w:val="000000" w:themeColor="text1"/>
                </w:rPr>
                <w:t>减少至</w:t>
              </w:r>
              <w:r>
                <w:rPr>
                  <w:rFonts w:cs="Arial" w:hint="eastAsia"/>
                  <w:color w:val="000000" w:themeColor="text1"/>
                </w:rPr>
                <w:t>51.00%</w:t>
              </w:r>
              <w:r>
                <w:rPr>
                  <w:rFonts w:cs="Arial" w:hint="eastAsia"/>
                  <w:color w:val="000000" w:themeColor="text1"/>
                </w:rPr>
                <w:t>。于</w:t>
              </w:r>
              <w:r>
                <w:rPr>
                  <w:rFonts w:cs="Arial" w:hint="eastAsia"/>
                  <w:color w:val="000000" w:themeColor="text1"/>
                </w:rPr>
                <w:t>2024</w:t>
              </w:r>
              <w:r>
                <w:rPr>
                  <w:rFonts w:cs="Arial" w:hint="eastAsia"/>
                  <w:color w:val="000000" w:themeColor="text1"/>
                </w:rPr>
                <w:t>年</w:t>
              </w:r>
              <w:r>
                <w:rPr>
                  <w:rFonts w:cs="Arial" w:hint="eastAsia"/>
                  <w:color w:val="000000" w:themeColor="text1"/>
                </w:rPr>
                <w:t>12</w:t>
              </w:r>
              <w:r>
                <w:rPr>
                  <w:rFonts w:cs="Arial" w:hint="eastAsia"/>
                  <w:color w:val="000000" w:themeColor="text1"/>
                </w:rPr>
                <w:t>月</w:t>
              </w:r>
              <w:r>
                <w:rPr>
                  <w:rFonts w:cs="Arial" w:hint="eastAsia"/>
                  <w:color w:val="000000" w:themeColor="text1"/>
                </w:rPr>
                <w:t>31</w:t>
              </w:r>
              <w:r>
                <w:rPr>
                  <w:rFonts w:cs="Arial" w:hint="eastAsia"/>
                  <w:color w:val="000000" w:themeColor="text1"/>
                </w:rPr>
                <w:t>日，本公司按实缴出资比例</w:t>
              </w:r>
              <w:r>
                <w:rPr>
                  <w:rFonts w:cs="Arial" w:hint="eastAsia"/>
                  <w:color w:val="000000" w:themeColor="text1"/>
                </w:rPr>
                <w:t>51.00%</w:t>
              </w:r>
              <w:r>
                <w:rPr>
                  <w:rFonts w:cs="Arial" w:hint="eastAsia"/>
                  <w:color w:val="000000" w:themeColor="text1"/>
                </w:rPr>
                <w:t>享有西南环公司股东权益。</w:t>
              </w:r>
              <w:r>
                <w:rPr>
                  <w:rFonts w:cs="Arial" w:hint="eastAsia"/>
                  <w:color w:val="000000" w:themeColor="text1"/>
                </w:rPr>
                <w:t>2025</w:t>
              </w:r>
              <w:r>
                <w:rPr>
                  <w:rFonts w:cs="Arial" w:hint="eastAsia"/>
                  <w:color w:val="000000" w:themeColor="text1"/>
                </w:rPr>
                <w:t>年</w:t>
              </w:r>
              <w:r>
                <w:rPr>
                  <w:rFonts w:cs="Arial" w:hint="eastAsia"/>
                  <w:color w:val="000000" w:themeColor="text1"/>
                </w:rPr>
                <w:t>12</w:t>
              </w:r>
              <w:r>
                <w:rPr>
                  <w:rFonts w:cs="Arial" w:hint="eastAsia"/>
                  <w:color w:val="000000" w:themeColor="text1"/>
                </w:rPr>
                <w:t>月</w:t>
              </w:r>
              <w:r>
                <w:rPr>
                  <w:rFonts w:cs="Arial" w:hint="eastAsia"/>
                  <w:color w:val="000000" w:themeColor="text1"/>
                </w:rPr>
                <w:t>16</w:t>
              </w:r>
              <w:r>
                <w:rPr>
                  <w:rFonts w:cs="Arial" w:hint="eastAsia"/>
                  <w:color w:val="000000" w:themeColor="text1"/>
                </w:rPr>
                <w:t>日，西南环公司就</w:t>
              </w:r>
              <w:r>
                <w:rPr>
                  <w:rFonts w:cs="Arial" w:hint="eastAsia"/>
                  <w:color w:val="000000" w:themeColor="text1"/>
                </w:rPr>
                <w:t>2023</w:t>
              </w:r>
              <w:r>
                <w:rPr>
                  <w:rFonts w:cs="Arial" w:hint="eastAsia"/>
                  <w:color w:val="000000" w:themeColor="text1"/>
                </w:rPr>
                <w:t>年增资事宜办理了相关工商登记手续。</w:t>
              </w:r>
            </w:p>
            <w:p w14:paraId="63F4C1C0" w14:textId="77777777" w:rsidR="005E000F" w:rsidRDefault="005E000F">
              <w:pPr>
                <w:rPr>
                  <w:rFonts w:cs="Arial"/>
                  <w:color w:val="000000" w:themeColor="text1"/>
                </w:rPr>
              </w:pPr>
            </w:p>
            <w:p w14:paraId="3FB9DB4F" w14:textId="77777777" w:rsidR="005E000F" w:rsidRDefault="00000000">
              <w:pPr>
                <w:rPr>
                  <w:rFonts w:cs="Arial"/>
                  <w:color w:val="000000" w:themeColor="text1"/>
                </w:rPr>
              </w:pPr>
              <w:r>
                <w:rPr>
                  <w:rFonts w:cs="Arial" w:hint="eastAsia"/>
                  <w:color w:val="000000" w:themeColor="text1"/>
                </w:rPr>
                <w:t>注</w:t>
              </w:r>
              <w:r>
                <w:rPr>
                  <w:rFonts w:cs="Arial" w:hint="eastAsia"/>
                  <w:color w:val="000000" w:themeColor="text1"/>
                </w:rPr>
                <w:t>6</w:t>
              </w:r>
              <w:r>
                <w:rPr>
                  <w:rFonts w:cs="Arial" w:hint="eastAsia"/>
                  <w:color w:val="000000" w:themeColor="text1"/>
                </w:rPr>
                <w:t>：于</w:t>
              </w:r>
              <w:r>
                <w:rPr>
                  <w:rFonts w:cs="Arial" w:hint="eastAsia"/>
                  <w:color w:val="000000" w:themeColor="text1"/>
                </w:rPr>
                <w:t>2013</w:t>
              </w:r>
              <w:r>
                <w:rPr>
                  <w:rFonts w:cs="Arial" w:hint="eastAsia"/>
                  <w:color w:val="000000" w:themeColor="text1"/>
                </w:rPr>
                <w:t>年</w:t>
              </w:r>
              <w:r>
                <w:rPr>
                  <w:rFonts w:cs="Arial" w:hint="eastAsia"/>
                  <w:color w:val="000000" w:themeColor="text1"/>
                </w:rPr>
                <w:t>12</w:t>
              </w:r>
              <w:r>
                <w:rPr>
                  <w:rFonts w:cs="Arial" w:hint="eastAsia"/>
                  <w:color w:val="000000" w:themeColor="text1"/>
                </w:rPr>
                <w:t>月，本公司出资人民币</w:t>
              </w:r>
              <w:r>
                <w:rPr>
                  <w:rFonts w:cs="Arial" w:hint="eastAsia"/>
                  <w:color w:val="000000" w:themeColor="text1"/>
                </w:rPr>
                <w:t>0.5</w:t>
              </w:r>
              <w:r>
                <w:rPr>
                  <w:rFonts w:cs="Arial" w:hint="eastAsia"/>
                  <w:color w:val="000000" w:themeColor="text1"/>
                </w:rPr>
                <w:t>亿元设立全资子公司大</w:t>
              </w:r>
              <w:proofErr w:type="gramStart"/>
              <w:r>
                <w:rPr>
                  <w:rFonts w:cs="Arial" w:hint="eastAsia"/>
                  <w:color w:val="000000" w:themeColor="text1"/>
                </w:rPr>
                <w:t>秦经贸</w:t>
              </w:r>
              <w:proofErr w:type="gramEnd"/>
              <w:r>
                <w:rPr>
                  <w:rFonts w:cs="Arial" w:hint="eastAsia"/>
                  <w:color w:val="000000" w:themeColor="text1"/>
                </w:rPr>
                <w:t>公司。于</w:t>
              </w:r>
              <w:r>
                <w:rPr>
                  <w:rFonts w:cs="Arial" w:hint="eastAsia"/>
                  <w:color w:val="000000" w:themeColor="text1"/>
                </w:rPr>
                <w:t>2013</w:t>
              </w:r>
              <w:r>
                <w:rPr>
                  <w:rFonts w:cs="Arial" w:hint="eastAsia"/>
                  <w:color w:val="000000" w:themeColor="text1"/>
                </w:rPr>
                <w:t>年</w:t>
              </w:r>
              <w:r>
                <w:rPr>
                  <w:rFonts w:cs="Arial" w:hint="eastAsia"/>
                  <w:color w:val="000000" w:themeColor="text1"/>
                </w:rPr>
                <w:t>12</w:t>
              </w:r>
              <w:r>
                <w:rPr>
                  <w:rFonts w:cs="Arial" w:hint="eastAsia"/>
                  <w:color w:val="000000" w:themeColor="text1"/>
                </w:rPr>
                <w:t>月</w:t>
              </w:r>
              <w:r>
                <w:rPr>
                  <w:rFonts w:cs="Arial" w:hint="eastAsia"/>
                  <w:color w:val="000000" w:themeColor="text1"/>
                </w:rPr>
                <w:t>31</w:t>
              </w:r>
              <w:r>
                <w:rPr>
                  <w:rFonts w:cs="Arial" w:hint="eastAsia"/>
                  <w:color w:val="000000" w:themeColor="text1"/>
                </w:rPr>
                <w:t>日，本公司之子公司大</w:t>
              </w:r>
              <w:proofErr w:type="gramStart"/>
              <w:r>
                <w:rPr>
                  <w:rFonts w:cs="Arial" w:hint="eastAsia"/>
                  <w:color w:val="000000" w:themeColor="text1"/>
                </w:rPr>
                <w:t>秦经贸</w:t>
              </w:r>
              <w:proofErr w:type="gramEnd"/>
              <w:r>
                <w:rPr>
                  <w:rFonts w:cs="Arial" w:hint="eastAsia"/>
                  <w:color w:val="000000" w:themeColor="text1"/>
                </w:rPr>
                <w:t>公司通过同</w:t>
              </w:r>
              <w:proofErr w:type="gramStart"/>
              <w:r>
                <w:rPr>
                  <w:rFonts w:cs="Arial" w:hint="eastAsia"/>
                  <w:color w:val="000000" w:themeColor="text1"/>
                </w:rPr>
                <w:t>一控制</w:t>
              </w:r>
              <w:proofErr w:type="gramEnd"/>
              <w:r>
                <w:rPr>
                  <w:rFonts w:cs="Arial" w:hint="eastAsia"/>
                  <w:color w:val="000000" w:themeColor="text1"/>
                </w:rPr>
                <w:t>下企业合并取得了大同云海汽车贸易有限责任公司、大同爱得实业有限责任公司、大同市昌盛有限责任公司、太原</w:t>
              </w:r>
              <w:proofErr w:type="gramStart"/>
              <w:r>
                <w:rPr>
                  <w:rFonts w:cs="Arial" w:hint="eastAsia"/>
                  <w:color w:val="000000" w:themeColor="text1"/>
                </w:rPr>
                <w:t>长龙北</w:t>
              </w:r>
              <w:proofErr w:type="gramEnd"/>
              <w:r>
                <w:rPr>
                  <w:rFonts w:cs="Arial" w:hint="eastAsia"/>
                  <w:color w:val="000000" w:themeColor="text1"/>
                </w:rPr>
                <w:t>车辆段车辆轮对修理有限公司、山西晋龙海川物资有限公司等</w:t>
              </w:r>
              <w:r>
                <w:rPr>
                  <w:rFonts w:cs="Arial" w:hint="eastAsia"/>
                  <w:color w:val="000000" w:themeColor="text1"/>
                </w:rPr>
                <w:t>5</w:t>
              </w:r>
              <w:r>
                <w:rPr>
                  <w:rFonts w:cs="Arial" w:hint="eastAsia"/>
                  <w:color w:val="000000" w:themeColor="text1"/>
                </w:rPr>
                <w:t>家公司</w:t>
              </w:r>
              <w:r>
                <w:rPr>
                  <w:rFonts w:cs="Arial" w:hint="eastAsia"/>
                  <w:color w:val="000000" w:themeColor="text1"/>
                </w:rPr>
                <w:t>(</w:t>
              </w:r>
              <w:r>
                <w:rPr>
                  <w:rFonts w:cs="Arial" w:hint="eastAsia"/>
                  <w:color w:val="000000" w:themeColor="text1"/>
                </w:rPr>
                <w:t>以下合称“云海汽贸等被收购公司”</w:t>
              </w:r>
              <w:r>
                <w:rPr>
                  <w:rFonts w:cs="Arial" w:hint="eastAsia"/>
                  <w:color w:val="000000" w:themeColor="text1"/>
                </w:rPr>
                <w:t>)51%</w:t>
              </w:r>
              <w:r>
                <w:rPr>
                  <w:rFonts w:cs="Arial" w:hint="eastAsia"/>
                  <w:color w:val="000000" w:themeColor="text1"/>
                </w:rPr>
                <w:t>的股权。云海汽贸等被收购公司成为本公司通过同</w:t>
              </w:r>
              <w:proofErr w:type="gramStart"/>
              <w:r>
                <w:rPr>
                  <w:rFonts w:cs="Arial" w:hint="eastAsia"/>
                  <w:color w:val="000000" w:themeColor="text1"/>
                </w:rPr>
                <w:t>一控制</w:t>
              </w:r>
              <w:proofErr w:type="gramEnd"/>
              <w:r>
                <w:rPr>
                  <w:rFonts w:cs="Arial" w:hint="eastAsia"/>
                  <w:color w:val="000000" w:themeColor="text1"/>
                </w:rPr>
                <w:t>企业合并取得的三级子公司。于</w:t>
              </w:r>
              <w:r>
                <w:rPr>
                  <w:rFonts w:cs="Arial" w:hint="eastAsia"/>
                  <w:color w:val="000000" w:themeColor="text1"/>
                </w:rPr>
                <w:t>2014</w:t>
              </w:r>
              <w:r>
                <w:rPr>
                  <w:rFonts w:cs="Arial" w:hint="eastAsia"/>
                  <w:color w:val="000000" w:themeColor="text1"/>
                </w:rPr>
                <w:t>年，本公司向大</w:t>
              </w:r>
              <w:proofErr w:type="gramStart"/>
              <w:r>
                <w:rPr>
                  <w:rFonts w:cs="Arial" w:hint="eastAsia"/>
                  <w:color w:val="000000" w:themeColor="text1"/>
                </w:rPr>
                <w:t>秦经贸</w:t>
              </w:r>
              <w:proofErr w:type="gramEnd"/>
              <w:r>
                <w:rPr>
                  <w:rFonts w:cs="Arial" w:hint="eastAsia"/>
                  <w:color w:val="000000" w:themeColor="text1"/>
                </w:rPr>
                <w:t>公司增资人民币</w:t>
              </w:r>
              <w:r>
                <w:rPr>
                  <w:rFonts w:cs="Arial" w:hint="eastAsia"/>
                  <w:color w:val="000000" w:themeColor="text1"/>
                </w:rPr>
                <w:t>0.8</w:t>
              </w:r>
              <w:r>
                <w:rPr>
                  <w:rFonts w:cs="Arial" w:hint="eastAsia"/>
                  <w:color w:val="000000" w:themeColor="text1"/>
                </w:rPr>
                <w:t>亿元。大同市昌盛有限责任公司及大同云海汽车贸易有限责任公司已于</w:t>
              </w:r>
              <w:r>
                <w:rPr>
                  <w:rFonts w:cs="Arial" w:hint="eastAsia"/>
                  <w:color w:val="000000" w:themeColor="text1"/>
                </w:rPr>
                <w:t>2020</w:t>
              </w:r>
              <w:r>
                <w:rPr>
                  <w:rFonts w:cs="Arial" w:hint="eastAsia"/>
                  <w:color w:val="000000" w:themeColor="text1"/>
                </w:rPr>
                <w:t>年注销。</w:t>
              </w:r>
            </w:p>
            <w:p w14:paraId="581F4981" w14:textId="77777777" w:rsidR="005E000F" w:rsidRDefault="00000000">
              <w:pPr>
                <w:rPr>
                  <w:rFonts w:cs="Arial"/>
                  <w:color w:val="000000" w:themeColor="text1"/>
                </w:rPr>
              </w:pPr>
            </w:p>
          </w:sdtContent>
        </w:sdt>
        <w:p w14:paraId="4353B19B" w14:textId="77777777" w:rsidR="005E000F" w:rsidRDefault="00000000">
          <w:pPr>
            <w:rPr>
              <w:rFonts w:cstheme="minorBidi"/>
            </w:rPr>
          </w:pPr>
        </w:p>
      </w:sdtContent>
    </w:sdt>
    <w:p w14:paraId="7CD155AE" w14:textId="77777777" w:rsidR="005E000F" w:rsidRDefault="005E000F">
      <w:pPr>
        <w:rPr>
          <w:rFonts w:cs="Arial"/>
        </w:rPr>
      </w:pPr>
    </w:p>
    <w:p w14:paraId="05D0F444" w14:textId="77777777" w:rsidR="005E000F" w:rsidRDefault="00000000">
      <w:pPr>
        <w:pStyle w:val="4"/>
        <w:numPr>
          <w:ilvl w:val="3"/>
          <w:numId w:val="112"/>
        </w:numPr>
        <w:ind w:left="426" w:hangingChars="202" w:hanging="426"/>
      </w:pPr>
      <w:r>
        <w:rPr>
          <w:rFonts w:hint="eastAsia"/>
        </w:rPr>
        <w:t>重要的非全资子公司</w:t>
      </w:r>
    </w:p>
    <w:sdt>
      <w:sdtPr>
        <w:alias w:val="是否适用：重要的非全资子公司[双击切换]"/>
        <w:tag w:val="_GBC_51a84bfe201248b8bd5edb53b6cd6283"/>
        <w:id w:val="1909184530"/>
        <w:placeholder>
          <w:docPart w:val="GBC22222222222222222222222222222"/>
        </w:placeholder>
      </w:sdtPr>
      <w:sdtContent>
        <w:p w14:paraId="3C379884"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BE2C231" w14:textId="77777777" w:rsidR="005E000F" w:rsidRDefault="00000000">
      <w:pPr>
        <w:jc w:val="right"/>
      </w:pPr>
      <w:r>
        <w:rPr>
          <w:rFonts w:hint="eastAsia"/>
        </w:rPr>
        <w:t>单位：</w:t>
      </w:r>
      <w:sdt>
        <w:sdtPr>
          <w:rPr>
            <w:rFonts w:hint="eastAsia"/>
          </w:rPr>
          <w:alias w:val="单位：财务附注：重要的非全资子公司"/>
          <w:tag w:val="_GBC_e5936e9952394755bacf71d437afcd44"/>
          <w:id w:val="-196572621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重要的非全资子公司"/>
          <w:tag w:val="_GBC_5ffac6aa0e464031b94de604fccc76c7"/>
          <w:id w:val="-7090388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82"/>
        <w:gridCol w:w="3490"/>
        <w:gridCol w:w="4027"/>
        <w:gridCol w:w="2932"/>
      </w:tblGrid>
      <w:tr w:rsidR="005E000F" w14:paraId="50F7E948" w14:textId="77777777">
        <w:trPr>
          <w:trHeight w:val="241"/>
        </w:trPr>
        <w:sdt>
          <w:sdtPr>
            <w:tag w:val="_PLD_5428bb469efb45b09d2152fb27b33f8a"/>
            <w:id w:val="-822654280"/>
          </w:sdtPr>
          <w:sdtContent>
            <w:tc>
              <w:tcPr>
                <w:tcW w:w="621" w:type="pct"/>
                <w:vAlign w:val="center"/>
              </w:tcPr>
              <w:p w14:paraId="05409B29" w14:textId="77777777" w:rsidR="005E000F" w:rsidRDefault="00000000">
                <w:pPr>
                  <w:jc w:val="center"/>
                  <w:rPr>
                    <w:rFonts w:cs="Arial"/>
                  </w:rPr>
                </w:pPr>
                <w:r>
                  <w:rPr>
                    <w:rFonts w:cs="Arial" w:hint="eastAsia"/>
                    <w:lang w:val="en-GB"/>
                  </w:rPr>
                  <w:t>子公司名称</w:t>
                </w:r>
              </w:p>
            </w:tc>
          </w:sdtContent>
        </w:sdt>
        <w:sdt>
          <w:sdtPr>
            <w:tag w:val="_PLD_6f42810edcef4f808238b34484325c1a"/>
            <w:id w:val="-830440039"/>
          </w:sdtPr>
          <w:sdtContent>
            <w:tc>
              <w:tcPr>
                <w:tcW w:w="668" w:type="pct"/>
                <w:vAlign w:val="center"/>
              </w:tcPr>
              <w:p w14:paraId="1A8D20B4" w14:textId="77777777" w:rsidR="005E000F" w:rsidRDefault="00000000">
                <w:pPr>
                  <w:jc w:val="center"/>
                  <w:rPr>
                    <w:rFonts w:cs="Arial"/>
                    <w:bCs/>
                    <w:lang w:val="en-GB"/>
                  </w:rPr>
                </w:pPr>
                <w:r>
                  <w:rPr>
                    <w:rFonts w:cs="Arial" w:hint="eastAsia"/>
                    <w:bCs/>
                    <w:lang w:val="en-GB"/>
                  </w:rPr>
                  <w:t>少数股东持股</w:t>
                </w:r>
              </w:p>
              <w:p w14:paraId="332C64B2" w14:textId="77777777" w:rsidR="005E000F" w:rsidRDefault="00000000">
                <w:pPr>
                  <w:jc w:val="center"/>
                  <w:rPr>
                    <w:rFonts w:cs="Arial"/>
                  </w:rPr>
                </w:pPr>
                <w:r>
                  <w:rPr>
                    <w:rFonts w:cs="Arial" w:hint="eastAsia"/>
                    <w:bCs/>
                    <w:lang w:val="en-GB"/>
                  </w:rPr>
                  <w:t>比例</w:t>
                </w:r>
              </w:p>
            </w:tc>
          </w:sdtContent>
        </w:sdt>
        <w:sdt>
          <w:sdtPr>
            <w:tag w:val="_PLD_5fe25832d2ec4782a2b0dd4183a7a18d"/>
            <w:id w:val="-1321962044"/>
          </w:sdtPr>
          <w:sdtContent>
            <w:tc>
              <w:tcPr>
                <w:tcW w:w="1239" w:type="pct"/>
                <w:vAlign w:val="center"/>
              </w:tcPr>
              <w:p w14:paraId="491FC932" w14:textId="77777777" w:rsidR="005E000F" w:rsidRDefault="00000000">
                <w:pPr>
                  <w:jc w:val="center"/>
                  <w:rPr>
                    <w:rFonts w:cs="Arial"/>
                  </w:rPr>
                </w:pPr>
                <w:r>
                  <w:rPr>
                    <w:rFonts w:cs="Arial" w:hint="eastAsia"/>
                    <w:bCs/>
                    <w:lang w:val="en-GB"/>
                  </w:rPr>
                  <w:t>本期归属于少数股东的损益</w:t>
                </w:r>
              </w:p>
            </w:tc>
          </w:sdtContent>
        </w:sdt>
        <w:sdt>
          <w:sdtPr>
            <w:tag w:val="_PLD_2a49e43dba264aa2a5a6a65baca97c74"/>
            <w:id w:val="1246915953"/>
          </w:sdtPr>
          <w:sdtContent>
            <w:tc>
              <w:tcPr>
                <w:tcW w:w="1429" w:type="pct"/>
                <w:vAlign w:val="center"/>
              </w:tcPr>
              <w:p w14:paraId="63765668" w14:textId="77777777" w:rsidR="005E000F" w:rsidRDefault="00000000">
                <w:pPr>
                  <w:jc w:val="center"/>
                  <w:rPr>
                    <w:rFonts w:cs="Arial"/>
                  </w:rPr>
                </w:pPr>
                <w:r>
                  <w:rPr>
                    <w:rFonts w:cs="Arial" w:hint="eastAsia"/>
                    <w:bCs/>
                    <w:lang w:val="en-GB"/>
                  </w:rPr>
                  <w:t>本期向少数股东宣告分派的股利</w:t>
                </w:r>
              </w:p>
            </w:tc>
          </w:sdtContent>
        </w:sdt>
        <w:sdt>
          <w:sdtPr>
            <w:tag w:val="_PLD_fb758b5ac95741fa930b476448e32371"/>
            <w:id w:val="-395355115"/>
          </w:sdtPr>
          <w:sdtContent>
            <w:tc>
              <w:tcPr>
                <w:tcW w:w="1041" w:type="pct"/>
                <w:vAlign w:val="center"/>
              </w:tcPr>
              <w:p w14:paraId="4DDDCC6A" w14:textId="77777777" w:rsidR="005E000F" w:rsidRDefault="00000000">
                <w:pPr>
                  <w:ind w:right="-16"/>
                  <w:jc w:val="center"/>
                  <w:rPr>
                    <w:rFonts w:cs="Arial"/>
                    <w:bCs/>
                  </w:rPr>
                </w:pPr>
                <w:r>
                  <w:rPr>
                    <w:rFonts w:cs="Arial" w:hint="eastAsia"/>
                    <w:bCs/>
                    <w:lang w:val="en-GB"/>
                  </w:rPr>
                  <w:t>期末少数股东权益余额</w:t>
                </w:r>
              </w:p>
            </w:tc>
          </w:sdtContent>
        </w:sdt>
      </w:tr>
      <w:tr w:rsidR="005E000F" w14:paraId="6E60FBB6" w14:textId="77777777">
        <w:tc>
          <w:tcPr>
            <w:tcW w:w="621" w:type="pct"/>
            <w:shd w:val="clear" w:color="auto" w:fill="auto"/>
          </w:tcPr>
          <w:p w14:paraId="51BD42C7" w14:textId="77777777" w:rsidR="005E000F" w:rsidRDefault="00000000">
            <w:pPr>
              <w:rPr>
                <w:lang w:eastAsia="en-US"/>
              </w:rPr>
            </w:pPr>
            <w:r>
              <w:t>唐港公司</w:t>
            </w:r>
          </w:p>
        </w:tc>
        <w:tc>
          <w:tcPr>
            <w:tcW w:w="668" w:type="pct"/>
            <w:shd w:val="clear" w:color="auto" w:fill="auto"/>
          </w:tcPr>
          <w:p w14:paraId="64B79B0A" w14:textId="77777777" w:rsidR="005E000F" w:rsidRDefault="00000000">
            <w:pPr>
              <w:jc w:val="right"/>
              <w:rPr>
                <w:lang w:eastAsia="en-US"/>
              </w:rPr>
            </w:pPr>
            <w:r>
              <w:t>80.27%</w:t>
            </w:r>
          </w:p>
        </w:tc>
        <w:tc>
          <w:tcPr>
            <w:tcW w:w="1239" w:type="pct"/>
            <w:shd w:val="clear" w:color="auto" w:fill="auto"/>
            <w:vAlign w:val="center"/>
          </w:tcPr>
          <w:p w14:paraId="72C3CB29" w14:textId="77777777" w:rsidR="005E000F" w:rsidRDefault="00000000">
            <w:pPr>
              <w:jc w:val="right"/>
            </w:pPr>
            <w:r>
              <w:t xml:space="preserve"> 1,075,009,420 </w:t>
            </w:r>
          </w:p>
        </w:tc>
        <w:tc>
          <w:tcPr>
            <w:tcW w:w="1429" w:type="pct"/>
            <w:shd w:val="clear" w:color="auto" w:fill="auto"/>
            <w:vAlign w:val="center"/>
          </w:tcPr>
          <w:p w14:paraId="5C55DFC0" w14:textId="77777777" w:rsidR="005E000F" w:rsidRDefault="00000000">
            <w:pPr>
              <w:jc w:val="right"/>
            </w:pPr>
            <w:r>
              <w:t xml:space="preserve"> 661,169,376 </w:t>
            </w:r>
          </w:p>
        </w:tc>
        <w:tc>
          <w:tcPr>
            <w:tcW w:w="1041" w:type="pct"/>
            <w:shd w:val="clear" w:color="auto" w:fill="auto"/>
            <w:vAlign w:val="center"/>
          </w:tcPr>
          <w:p w14:paraId="6575AC54" w14:textId="77777777" w:rsidR="005E000F" w:rsidRDefault="00000000">
            <w:pPr>
              <w:jc w:val="right"/>
            </w:pPr>
            <w:r>
              <w:t xml:space="preserve"> 11,422,088,511 </w:t>
            </w:r>
          </w:p>
        </w:tc>
      </w:tr>
      <w:tr w:rsidR="005E000F" w14:paraId="756977D0" w14:textId="77777777">
        <w:tc>
          <w:tcPr>
            <w:tcW w:w="621" w:type="pct"/>
          </w:tcPr>
          <w:p w14:paraId="19A57639" w14:textId="77777777" w:rsidR="005E000F" w:rsidRDefault="00000000">
            <w:pPr>
              <w:rPr>
                <w:lang w:eastAsia="en-US"/>
              </w:rPr>
            </w:pPr>
            <w:proofErr w:type="gramStart"/>
            <w:r>
              <w:t>侯禹公司</w:t>
            </w:r>
            <w:proofErr w:type="gramEnd"/>
          </w:p>
        </w:tc>
        <w:tc>
          <w:tcPr>
            <w:tcW w:w="668" w:type="pct"/>
          </w:tcPr>
          <w:p w14:paraId="7BB51AFB" w14:textId="77777777" w:rsidR="005E000F" w:rsidRDefault="00000000">
            <w:pPr>
              <w:jc w:val="right"/>
              <w:rPr>
                <w:lang w:eastAsia="en-US"/>
              </w:rPr>
            </w:pPr>
            <w:r>
              <w:t>7.50%</w:t>
            </w:r>
          </w:p>
        </w:tc>
        <w:tc>
          <w:tcPr>
            <w:tcW w:w="1239" w:type="pct"/>
            <w:vAlign w:val="center"/>
          </w:tcPr>
          <w:p w14:paraId="6DD90AD0" w14:textId="77777777" w:rsidR="005E000F" w:rsidRDefault="00000000">
            <w:pPr>
              <w:jc w:val="right"/>
            </w:pPr>
            <w:r>
              <w:t xml:space="preserve"> 5,589,058 </w:t>
            </w:r>
          </w:p>
        </w:tc>
        <w:tc>
          <w:tcPr>
            <w:tcW w:w="1429" w:type="pct"/>
            <w:vAlign w:val="center"/>
          </w:tcPr>
          <w:p w14:paraId="3A80C2AD" w14:textId="77777777" w:rsidR="005E000F" w:rsidRDefault="00000000">
            <w:pPr>
              <w:jc w:val="right"/>
            </w:pPr>
            <w:r>
              <w:t xml:space="preserve"> 7,163,718 </w:t>
            </w:r>
          </w:p>
        </w:tc>
        <w:tc>
          <w:tcPr>
            <w:tcW w:w="1041" w:type="pct"/>
            <w:vAlign w:val="center"/>
          </w:tcPr>
          <w:p w14:paraId="78B93D16" w14:textId="77777777" w:rsidR="005E000F" w:rsidRDefault="00000000">
            <w:pPr>
              <w:jc w:val="right"/>
            </w:pPr>
            <w:r>
              <w:t xml:space="preserve"> 207,932,305 </w:t>
            </w:r>
          </w:p>
        </w:tc>
      </w:tr>
      <w:tr w:rsidR="005E000F" w14:paraId="7895BCB7" w14:textId="77777777">
        <w:tc>
          <w:tcPr>
            <w:tcW w:w="621" w:type="pct"/>
          </w:tcPr>
          <w:p w14:paraId="6A266C75" w14:textId="77777777" w:rsidR="005E000F" w:rsidRDefault="00000000">
            <w:pPr>
              <w:rPr>
                <w:lang w:eastAsia="en-US"/>
              </w:rPr>
            </w:pPr>
            <w:proofErr w:type="gramStart"/>
            <w:r>
              <w:t>太兴</w:t>
            </w:r>
            <w:proofErr w:type="gramEnd"/>
            <w:r>
              <w:t>公司</w:t>
            </w:r>
          </w:p>
        </w:tc>
        <w:tc>
          <w:tcPr>
            <w:tcW w:w="668" w:type="pct"/>
          </w:tcPr>
          <w:p w14:paraId="5F1BB51F" w14:textId="77777777" w:rsidR="005E000F" w:rsidRDefault="00000000">
            <w:pPr>
              <w:jc w:val="right"/>
              <w:rPr>
                <w:lang w:eastAsia="en-US"/>
              </w:rPr>
            </w:pPr>
            <w:r>
              <w:t>25.56%</w:t>
            </w:r>
          </w:p>
        </w:tc>
        <w:tc>
          <w:tcPr>
            <w:tcW w:w="1239" w:type="pct"/>
            <w:vAlign w:val="center"/>
          </w:tcPr>
          <w:p w14:paraId="45004053" w14:textId="77777777" w:rsidR="005E000F" w:rsidRDefault="00000000">
            <w:pPr>
              <w:jc w:val="right"/>
            </w:pPr>
            <w:r>
              <w:t xml:space="preserve"> -66,983,369 </w:t>
            </w:r>
          </w:p>
        </w:tc>
        <w:tc>
          <w:tcPr>
            <w:tcW w:w="1429" w:type="pct"/>
            <w:vAlign w:val="center"/>
          </w:tcPr>
          <w:p w14:paraId="35B096BB" w14:textId="77777777" w:rsidR="005E000F" w:rsidRDefault="00000000">
            <w:pPr>
              <w:jc w:val="right"/>
            </w:pPr>
            <w:r>
              <w:rPr>
                <w:rFonts w:hint="eastAsia"/>
              </w:rPr>
              <w:t>0</w:t>
            </w:r>
            <w:r>
              <w:t xml:space="preserve">   </w:t>
            </w:r>
          </w:p>
        </w:tc>
        <w:tc>
          <w:tcPr>
            <w:tcW w:w="1041" w:type="pct"/>
            <w:vAlign w:val="center"/>
          </w:tcPr>
          <w:p w14:paraId="529350F6" w14:textId="77777777" w:rsidR="005E000F" w:rsidRDefault="00000000">
            <w:pPr>
              <w:jc w:val="right"/>
            </w:pPr>
            <w:r>
              <w:t xml:space="preserve"> 879,623,313 </w:t>
            </w:r>
          </w:p>
        </w:tc>
      </w:tr>
      <w:tr w:rsidR="005E000F" w14:paraId="794CF950" w14:textId="77777777">
        <w:tc>
          <w:tcPr>
            <w:tcW w:w="621" w:type="pct"/>
          </w:tcPr>
          <w:p w14:paraId="2375A009" w14:textId="77777777" w:rsidR="005E000F" w:rsidRDefault="00000000">
            <w:r>
              <w:t>中鼎</w:t>
            </w:r>
            <w:r>
              <w:rPr>
                <w:rFonts w:hint="eastAsia"/>
              </w:rPr>
              <w:t>公司</w:t>
            </w:r>
          </w:p>
        </w:tc>
        <w:tc>
          <w:tcPr>
            <w:tcW w:w="668" w:type="pct"/>
          </w:tcPr>
          <w:p w14:paraId="72892DF1" w14:textId="77777777" w:rsidR="005E000F" w:rsidRDefault="00000000">
            <w:pPr>
              <w:jc w:val="right"/>
              <w:rPr>
                <w:lang w:eastAsia="en-US"/>
              </w:rPr>
            </w:pPr>
            <w:r>
              <w:t>16.36%</w:t>
            </w:r>
          </w:p>
        </w:tc>
        <w:tc>
          <w:tcPr>
            <w:tcW w:w="1239" w:type="pct"/>
            <w:vAlign w:val="center"/>
          </w:tcPr>
          <w:p w14:paraId="13B46AFE" w14:textId="77777777" w:rsidR="005E000F" w:rsidRDefault="00000000">
            <w:pPr>
              <w:jc w:val="right"/>
            </w:pPr>
            <w:r>
              <w:t xml:space="preserve"> -20,115,847 </w:t>
            </w:r>
          </w:p>
        </w:tc>
        <w:tc>
          <w:tcPr>
            <w:tcW w:w="1429" w:type="pct"/>
            <w:vAlign w:val="center"/>
          </w:tcPr>
          <w:p w14:paraId="0B79503E" w14:textId="77777777" w:rsidR="005E000F" w:rsidRDefault="00000000">
            <w:pPr>
              <w:jc w:val="right"/>
            </w:pPr>
            <w:r>
              <w:rPr>
                <w:rFonts w:hint="eastAsia"/>
              </w:rPr>
              <w:t>0</w:t>
            </w:r>
            <w:r>
              <w:t xml:space="preserve">   </w:t>
            </w:r>
          </w:p>
        </w:tc>
        <w:tc>
          <w:tcPr>
            <w:tcW w:w="1041" w:type="pct"/>
            <w:vAlign w:val="center"/>
          </w:tcPr>
          <w:p w14:paraId="48081651" w14:textId="77777777" w:rsidR="005E000F" w:rsidRDefault="00000000">
            <w:pPr>
              <w:jc w:val="right"/>
            </w:pPr>
            <w:r>
              <w:t xml:space="preserve"> 109,503,533 </w:t>
            </w:r>
          </w:p>
        </w:tc>
      </w:tr>
      <w:tr w:rsidR="005E000F" w14:paraId="4C6F1A15" w14:textId="77777777">
        <w:tc>
          <w:tcPr>
            <w:tcW w:w="621" w:type="pct"/>
          </w:tcPr>
          <w:p w14:paraId="190574BD" w14:textId="77777777" w:rsidR="005E000F" w:rsidRDefault="00000000">
            <w:r>
              <w:t>西南环</w:t>
            </w:r>
            <w:r>
              <w:rPr>
                <w:rFonts w:hint="eastAsia"/>
              </w:rPr>
              <w:t>公司</w:t>
            </w:r>
          </w:p>
        </w:tc>
        <w:tc>
          <w:tcPr>
            <w:tcW w:w="668" w:type="pct"/>
          </w:tcPr>
          <w:p w14:paraId="015C481D" w14:textId="77777777" w:rsidR="005E000F" w:rsidRDefault="00000000">
            <w:pPr>
              <w:jc w:val="right"/>
              <w:rPr>
                <w:lang w:eastAsia="en-US"/>
              </w:rPr>
            </w:pPr>
            <w:r>
              <w:t>49.00%</w:t>
            </w:r>
          </w:p>
        </w:tc>
        <w:tc>
          <w:tcPr>
            <w:tcW w:w="1239" w:type="pct"/>
            <w:vAlign w:val="center"/>
          </w:tcPr>
          <w:p w14:paraId="4C471EA8" w14:textId="77777777" w:rsidR="005E000F" w:rsidRDefault="00000000">
            <w:pPr>
              <w:jc w:val="right"/>
            </w:pPr>
            <w:r>
              <w:t xml:space="preserve"> -41,958,948 </w:t>
            </w:r>
          </w:p>
        </w:tc>
        <w:tc>
          <w:tcPr>
            <w:tcW w:w="1429" w:type="pct"/>
            <w:vAlign w:val="center"/>
          </w:tcPr>
          <w:p w14:paraId="5F6FED9E" w14:textId="77777777" w:rsidR="005E000F" w:rsidRDefault="00000000">
            <w:pPr>
              <w:jc w:val="right"/>
            </w:pPr>
            <w:r>
              <w:rPr>
                <w:rFonts w:hint="eastAsia"/>
              </w:rPr>
              <w:t>0</w:t>
            </w:r>
            <w:r>
              <w:t xml:space="preserve">   </w:t>
            </w:r>
          </w:p>
        </w:tc>
        <w:tc>
          <w:tcPr>
            <w:tcW w:w="1041" w:type="pct"/>
            <w:vAlign w:val="center"/>
          </w:tcPr>
          <w:p w14:paraId="63FBC2DA" w14:textId="77777777" w:rsidR="005E000F" w:rsidRDefault="00000000">
            <w:pPr>
              <w:jc w:val="right"/>
            </w:pPr>
            <w:r>
              <w:t xml:space="preserve"> 2,557,723,809 </w:t>
            </w:r>
          </w:p>
        </w:tc>
      </w:tr>
    </w:tbl>
    <w:p w14:paraId="5D487F41" w14:textId="77777777" w:rsidR="005E000F" w:rsidRDefault="00000000">
      <w:pPr>
        <w:rPr>
          <w:rFonts w:cs="Arial"/>
        </w:rPr>
      </w:pPr>
      <w:r>
        <w:rPr>
          <w:rFonts w:cs="Arial" w:hint="eastAsia"/>
        </w:rPr>
        <w:t>子公司少数股东的持股比例不同于表决权比例的说明：</w:t>
      </w:r>
    </w:p>
    <w:sdt>
      <w:sdtPr>
        <w:rPr>
          <w:rFonts w:cs="Arial"/>
        </w:rPr>
        <w:alias w:val="是否适用：子公司少数股东的持股比例不同于表决权比例的说明[双击切换]"/>
        <w:tag w:val="_GBC_eb13eae90d024e1384cf2a06768aea73"/>
        <w:id w:val="-546069208"/>
        <w:placeholder>
          <w:docPart w:val="GBC22222222222222222222222222222"/>
        </w:placeholder>
      </w:sdtPr>
      <w:sdtContent>
        <w:p w14:paraId="4146C278" w14:textId="77777777" w:rsidR="005E000F" w:rsidRDefault="00000000">
          <w:pPr>
            <w:rPr>
              <w:rFonts w:cs="Arial"/>
            </w:rPr>
          </w:pPr>
          <w:r>
            <w:rPr>
              <w:rFonts w:ascii="宋体" w:hAnsi="宋体" w:cs="Arial"/>
            </w:rPr>
            <w:fldChar w:fldCharType="begin"/>
          </w:r>
          <w:r>
            <w:rPr>
              <w:rFonts w:ascii="宋体" w:hAnsi="宋体" w:cs="Arial" w:hint="eastAsia"/>
            </w:rPr>
            <w:instrText xml:space="preserve">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529F57F9" w14:textId="77777777" w:rsidR="005E000F" w:rsidRDefault="005E000F">
      <w:pPr>
        <w:rPr>
          <w:rFonts w:cs="Arial"/>
        </w:rPr>
      </w:pPr>
    </w:p>
    <w:p w14:paraId="45FED841" w14:textId="77777777" w:rsidR="005E000F" w:rsidRDefault="00000000">
      <w:pPr>
        <w:rPr>
          <w:rFonts w:cs="Arial"/>
        </w:rPr>
      </w:pPr>
      <w:r>
        <w:rPr>
          <w:rFonts w:cs="Arial" w:hint="eastAsia"/>
        </w:rPr>
        <w:t>其他说明：</w:t>
      </w:r>
    </w:p>
    <w:sdt>
      <w:sdtPr>
        <w:rPr>
          <w:rFonts w:cs="Arial"/>
        </w:rPr>
        <w:alias w:val="是否适用：重要的非全资子公司其他说明[双击切换]"/>
        <w:tag w:val="_GBC_eb65403cb5164cc9a0cf4afea08b150d"/>
        <w:id w:val="1857918135"/>
        <w:placeholder>
          <w:docPart w:val="GBC22222222222222222222222222222"/>
        </w:placeholder>
      </w:sdtPr>
      <w:sdtContent>
        <w:p w14:paraId="5CBB058F" w14:textId="77777777" w:rsidR="005E000F" w:rsidRDefault="00000000">
          <w:pPr>
            <w:rPr>
              <w:rFonts w:cs="Arial"/>
            </w:rPr>
          </w:pPr>
          <w:r>
            <w:rPr>
              <w:rFonts w:ascii="宋体" w:hAnsi="宋体" w:cs="Arial"/>
            </w:rPr>
            <w:fldChar w:fldCharType="begin"/>
          </w:r>
          <w:r>
            <w:rPr>
              <w:rFonts w:ascii="宋体" w:hAnsi="宋体" w:cs="Arial" w:hint="eastAsia"/>
            </w:rPr>
            <w:instrText xml:space="preserve">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0DD137E3" w14:textId="77777777" w:rsidR="005E000F" w:rsidRDefault="005E000F">
      <w:pPr>
        <w:rPr>
          <w:rFonts w:cs="Arial"/>
        </w:rPr>
      </w:pPr>
    </w:p>
    <w:p w14:paraId="2E59B963" w14:textId="77777777" w:rsidR="005E000F" w:rsidRDefault="00000000">
      <w:pPr>
        <w:pStyle w:val="4"/>
        <w:numPr>
          <w:ilvl w:val="3"/>
          <w:numId w:val="112"/>
        </w:numPr>
        <w:ind w:left="426" w:hangingChars="202" w:hanging="426"/>
      </w:pPr>
      <w:r>
        <w:rPr>
          <w:rFonts w:hint="eastAsia"/>
        </w:rPr>
        <w:lastRenderedPageBreak/>
        <w:t>重要非全资子公司的主要财务信息</w:t>
      </w:r>
    </w:p>
    <w:sdt>
      <w:sdtPr>
        <w:alias w:val="是否适用：重要非全资子公司的主要财务信息[双击切换]"/>
        <w:tag w:val="_GBC_04ab753eff3c46fda94161ee757bd1fa"/>
        <w:id w:val="1450662573"/>
        <w:placeholder>
          <w:docPart w:val="GBC22222222222222222222222222222"/>
        </w:placeholder>
      </w:sdtPr>
      <w:sdtContent>
        <w:p w14:paraId="4329CE1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5D48BB2" w14:textId="77777777" w:rsidR="005E000F" w:rsidRDefault="00000000">
      <w:pPr>
        <w:jc w:val="right"/>
      </w:pPr>
      <w:r>
        <w:rPr>
          <w:rFonts w:hint="eastAsia"/>
        </w:rPr>
        <w:t>单位：</w:t>
      </w:r>
      <w:sdt>
        <w:sdtPr>
          <w:rPr>
            <w:rFonts w:hint="eastAsia"/>
          </w:rPr>
          <w:alias w:val="单位：财务附注：重要非全资子公司的主要财务信息"/>
          <w:tag w:val="_GBC_ba918360b15748859fb63cacad1f617d"/>
          <w:id w:val="-41231500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重要非全资子公司的主要财务信息"/>
          <w:tag w:val="_GBC_af5cc4f1e7a74e3d8f9c9fea25fdf05f"/>
          <w:id w:val="78924483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079"/>
        <w:gridCol w:w="1079"/>
        <w:gridCol w:w="1154"/>
        <w:gridCol w:w="966"/>
        <w:gridCol w:w="1079"/>
        <w:gridCol w:w="1084"/>
        <w:gridCol w:w="1079"/>
        <w:gridCol w:w="1155"/>
        <w:gridCol w:w="1155"/>
        <w:gridCol w:w="1079"/>
        <w:gridCol w:w="1079"/>
        <w:gridCol w:w="1081"/>
      </w:tblGrid>
      <w:tr w:rsidR="005E000F" w14:paraId="7026DF10" w14:textId="77777777">
        <w:trPr>
          <w:trHeight w:val="241"/>
        </w:trPr>
        <w:sdt>
          <w:sdtPr>
            <w:rPr>
              <w:sz w:val="15"/>
              <w:szCs w:val="15"/>
            </w:rPr>
            <w:tag w:val="_PLD_d5dae06c1d0c4fdea02e2f6e645a1e09"/>
            <w:id w:val="-1539110153"/>
          </w:sdtPr>
          <w:sdtContent>
            <w:tc>
              <w:tcPr>
                <w:tcW w:w="359" w:type="pct"/>
                <w:vMerge w:val="restart"/>
                <w:vAlign w:val="center"/>
              </w:tcPr>
              <w:p w14:paraId="35FFF3BF" w14:textId="77777777" w:rsidR="005E000F" w:rsidRDefault="00000000">
                <w:pPr>
                  <w:ind w:right="-16"/>
                  <w:jc w:val="center"/>
                  <w:rPr>
                    <w:rFonts w:cs="Arial"/>
                    <w:bCs/>
                    <w:sz w:val="15"/>
                    <w:szCs w:val="15"/>
                  </w:rPr>
                </w:pPr>
                <w:r>
                  <w:rPr>
                    <w:rFonts w:cs="Arial" w:hint="eastAsia"/>
                    <w:bCs/>
                    <w:sz w:val="15"/>
                    <w:szCs w:val="15"/>
                    <w:lang w:val="en-GB"/>
                  </w:rPr>
                  <w:t>子公司名称</w:t>
                </w:r>
              </w:p>
            </w:tc>
          </w:sdtContent>
        </w:sdt>
        <w:sdt>
          <w:sdtPr>
            <w:rPr>
              <w:sz w:val="15"/>
              <w:szCs w:val="15"/>
            </w:rPr>
            <w:tag w:val="_PLD_6cc7af9079654f428ee1cf0edd2c70b1"/>
            <w:id w:val="10654980"/>
          </w:sdtPr>
          <w:sdtContent>
            <w:tc>
              <w:tcPr>
                <w:tcW w:w="2286" w:type="pct"/>
                <w:gridSpan w:val="6"/>
                <w:vAlign w:val="center"/>
              </w:tcPr>
              <w:p w14:paraId="3736B630" w14:textId="77777777" w:rsidR="005E000F" w:rsidRDefault="00000000">
                <w:pPr>
                  <w:ind w:right="-16"/>
                  <w:jc w:val="center"/>
                  <w:rPr>
                    <w:rFonts w:cs="Arial"/>
                    <w:bCs/>
                    <w:sz w:val="15"/>
                    <w:szCs w:val="15"/>
                  </w:rPr>
                </w:pPr>
                <w:r>
                  <w:rPr>
                    <w:rFonts w:cs="Arial" w:hint="eastAsia"/>
                    <w:bCs/>
                    <w:sz w:val="15"/>
                    <w:szCs w:val="15"/>
                    <w:lang w:val="en-GB"/>
                  </w:rPr>
                  <w:t>期末余额</w:t>
                </w:r>
              </w:p>
            </w:tc>
          </w:sdtContent>
        </w:sdt>
        <w:sdt>
          <w:sdtPr>
            <w:rPr>
              <w:sz w:val="15"/>
              <w:szCs w:val="15"/>
            </w:rPr>
            <w:tag w:val="_PLD_64749f66f68948bd92fb0a885f835f78"/>
            <w:id w:val="571856629"/>
          </w:sdtPr>
          <w:sdtContent>
            <w:tc>
              <w:tcPr>
                <w:tcW w:w="2353" w:type="pct"/>
                <w:gridSpan w:val="6"/>
                <w:vAlign w:val="center"/>
              </w:tcPr>
              <w:p w14:paraId="48F81412" w14:textId="77777777" w:rsidR="005E000F" w:rsidRDefault="00000000">
                <w:pPr>
                  <w:ind w:right="-16"/>
                  <w:jc w:val="center"/>
                  <w:rPr>
                    <w:rFonts w:cs="Arial"/>
                    <w:bCs/>
                    <w:sz w:val="15"/>
                    <w:szCs w:val="15"/>
                  </w:rPr>
                </w:pPr>
                <w:r>
                  <w:rPr>
                    <w:rFonts w:cs="Arial" w:hint="eastAsia"/>
                    <w:bCs/>
                    <w:sz w:val="15"/>
                    <w:szCs w:val="15"/>
                    <w:lang w:val="en-GB"/>
                  </w:rPr>
                  <w:t>期初余额</w:t>
                </w:r>
              </w:p>
            </w:tc>
          </w:sdtContent>
        </w:sdt>
      </w:tr>
      <w:tr w:rsidR="005E000F" w14:paraId="0BD188F1" w14:textId="77777777">
        <w:trPr>
          <w:trHeight w:val="241"/>
        </w:trPr>
        <w:tc>
          <w:tcPr>
            <w:tcW w:w="359" w:type="pct"/>
            <w:vMerge/>
            <w:vAlign w:val="center"/>
          </w:tcPr>
          <w:p w14:paraId="1E485191" w14:textId="77777777" w:rsidR="005E000F" w:rsidRDefault="005E000F">
            <w:pPr>
              <w:rPr>
                <w:rFonts w:cs="Arial"/>
                <w:bCs/>
                <w:sz w:val="15"/>
                <w:szCs w:val="15"/>
              </w:rPr>
            </w:pPr>
          </w:p>
        </w:tc>
        <w:sdt>
          <w:sdtPr>
            <w:rPr>
              <w:sz w:val="15"/>
              <w:szCs w:val="15"/>
            </w:rPr>
            <w:tag w:val="_PLD_bfcbeed8b46d4b8da13c03613130a3c9"/>
            <w:id w:val="-652984880"/>
          </w:sdtPr>
          <w:sdtContent>
            <w:tc>
              <w:tcPr>
                <w:tcW w:w="383" w:type="pct"/>
                <w:vAlign w:val="center"/>
              </w:tcPr>
              <w:p w14:paraId="576DD8C1" w14:textId="77777777" w:rsidR="005E000F" w:rsidRDefault="00000000">
                <w:pPr>
                  <w:jc w:val="center"/>
                  <w:rPr>
                    <w:rFonts w:cs="Arial"/>
                    <w:sz w:val="15"/>
                    <w:szCs w:val="15"/>
                  </w:rPr>
                </w:pPr>
                <w:r>
                  <w:rPr>
                    <w:rFonts w:cs="Arial" w:hint="eastAsia"/>
                    <w:sz w:val="15"/>
                    <w:szCs w:val="15"/>
                    <w:lang w:val="en-GB"/>
                  </w:rPr>
                  <w:t>流动资产</w:t>
                </w:r>
              </w:p>
            </w:tc>
          </w:sdtContent>
        </w:sdt>
        <w:sdt>
          <w:sdtPr>
            <w:rPr>
              <w:sz w:val="15"/>
              <w:szCs w:val="15"/>
            </w:rPr>
            <w:tag w:val="_PLD_22bcaa48c51f400d9b2d6a387002778f"/>
            <w:id w:val="-1696838727"/>
          </w:sdtPr>
          <w:sdtContent>
            <w:tc>
              <w:tcPr>
                <w:tcW w:w="383" w:type="pct"/>
                <w:vAlign w:val="center"/>
              </w:tcPr>
              <w:p w14:paraId="2C213CFB" w14:textId="77777777" w:rsidR="005E000F" w:rsidRDefault="00000000">
                <w:pPr>
                  <w:ind w:left="-40" w:right="-97"/>
                  <w:jc w:val="center"/>
                  <w:rPr>
                    <w:rFonts w:cs="Arial"/>
                    <w:sz w:val="15"/>
                    <w:szCs w:val="15"/>
                  </w:rPr>
                </w:pPr>
                <w:r>
                  <w:rPr>
                    <w:rFonts w:cs="Arial" w:hint="eastAsia"/>
                    <w:sz w:val="15"/>
                    <w:szCs w:val="15"/>
                    <w:lang w:val="en-GB"/>
                  </w:rPr>
                  <w:t>非流动资产</w:t>
                </w:r>
              </w:p>
            </w:tc>
          </w:sdtContent>
        </w:sdt>
        <w:sdt>
          <w:sdtPr>
            <w:rPr>
              <w:sz w:val="15"/>
              <w:szCs w:val="15"/>
            </w:rPr>
            <w:tag w:val="_PLD_a7790df686914e0f8cc8668009824e9e"/>
            <w:id w:val="1602675443"/>
          </w:sdtPr>
          <w:sdtContent>
            <w:tc>
              <w:tcPr>
                <w:tcW w:w="409" w:type="pct"/>
                <w:vAlign w:val="center"/>
              </w:tcPr>
              <w:p w14:paraId="122D2CFF" w14:textId="77777777" w:rsidR="005E000F" w:rsidRDefault="00000000">
                <w:pPr>
                  <w:jc w:val="center"/>
                  <w:rPr>
                    <w:rFonts w:cs="Arial"/>
                    <w:sz w:val="15"/>
                    <w:szCs w:val="15"/>
                  </w:rPr>
                </w:pPr>
                <w:r>
                  <w:rPr>
                    <w:rFonts w:cs="Arial" w:hint="eastAsia"/>
                    <w:sz w:val="15"/>
                    <w:szCs w:val="15"/>
                    <w:lang w:val="en-GB"/>
                  </w:rPr>
                  <w:t>资产合计</w:t>
                </w:r>
              </w:p>
            </w:tc>
          </w:sdtContent>
        </w:sdt>
        <w:sdt>
          <w:sdtPr>
            <w:rPr>
              <w:sz w:val="15"/>
              <w:szCs w:val="15"/>
            </w:rPr>
            <w:tag w:val="_PLD_a6a87cbf1eb046db9bbca57bcceaf08a"/>
            <w:id w:val="-551312371"/>
          </w:sdtPr>
          <w:sdtContent>
            <w:tc>
              <w:tcPr>
                <w:tcW w:w="343" w:type="pct"/>
                <w:vAlign w:val="center"/>
              </w:tcPr>
              <w:p w14:paraId="6A23F4DF" w14:textId="77777777" w:rsidR="005E000F" w:rsidRDefault="00000000">
                <w:pPr>
                  <w:jc w:val="center"/>
                  <w:rPr>
                    <w:rFonts w:cs="Arial"/>
                    <w:sz w:val="15"/>
                    <w:szCs w:val="15"/>
                  </w:rPr>
                </w:pPr>
                <w:r>
                  <w:rPr>
                    <w:rFonts w:cs="Arial" w:hint="eastAsia"/>
                    <w:sz w:val="15"/>
                    <w:szCs w:val="15"/>
                    <w:lang w:val="en-GB"/>
                  </w:rPr>
                  <w:t>流动负债</w:t>
                </w:r>
              </w:p>
            </w:tc>
          </w:sdtContent>
        </w:sdt>
        <w:sdt>
          <w:sdtPr>
            <w:rPr>
              <w:sz w:val="15"/>
              <w:szCs w:val="15"/>
            </w:rPr>
            <w:tag w:val="_PLD_bed2f2ec1880450a93ab1b045e836c87"/>
            <w:id w:val="-84385152"/>
          </w:sdtPr>
          <w:sdtContent>
            <w:tc>
              <w:tcPr>
                <w:tcW w:w="383" w:type="pct"/>
                <w:vAlign w:val="center"/>
              </w:tcPr>
              <w:p w14:paraId="0075FEBC" w14:textId="77777777" w:rsidR="005E000F" w:rsidRDefault="00000000">
                <w:pPr>
                  <w:ind w:left="-40" w:right="-97"/>
                  <w:jc w:val="center"/>
                  <w:rPr>
                    <w:rFonts w:cs="Arial"/>
                    <w:sz w:val="15"/>
                    <w:szCs w:val="15"/>
                  </w:rPr>
                </w:pPr>
                <w:r>
                  <w:rPr>
                    <w:rFonts w:cs="Arial" w:hint="eastAsia"/>
                    <w:sz w:val="15"/>
                    <w:szCs w:val="15"/>
                    <w:lang w:val="en-GB"/>
                  </w:rPr>
                  <w:t>非流动负债</w:t>
                </w:r>
              </w:p>
            </w:tc>
          </w:sdtContent>
        </w:sdt>
        <w:sdt>
          <w:sdtPr>
            <w:rPr>
              <w:sz w:val="15"/>
              <w:szCs w:val="15"/>
            </w:rPr>
            <w:tag w:val="_PLD_3609f15b31554b67a5a1ff617bd5582d"/>
            <w:id w:val="744233134"/>
          </w:sdtPr>
          <w:sdtContent>
            <w:tc>
              <w:tcPr>
                <w:tcW w:w="384" w:type="pct"/>
                <w:vAlign w:val="center"/>
              </w:tcPr>
              <w:p w14:paraId="49BA1F1B" w14:textId="77777777" w:rsidR="005E000F" w:rsidRDefault="00000000">
                <w:pPr>
                  <w:jc w:val="center"/>
                  <w:rPr>
                    <w:rFonts w:cs="Arial"/>
                    <w:sz w:val="15"/>
                    <w:szCs w:val="15"/>
                  </w:rPr>
                </w:pPr>
                <w:r>
                  <w:rPr>
                    <w:rFonts w:cs="Arial" w:hint="eastAsia"/>
                    <w:sz w:val="15"/>
                    <w:szCs w:val="15"/>
                    <w:lang w:val="en-GB"/>
                  </w:rPr>
                  <w:t>负债合计</w:t>
                </w:r>
              </w:p>
            </w:tc>
          </w:sdtContent>
        </w:sdt>
        <w:sdt>
          <w:sdtPr>
            <w:rPr>
              <w:sz w:val="15"/>
              <w:szCs w:val="15"/>
            </w:rPr>
            <w:tag w:val="_PLD_35c03e5c5e124d339d35180c4515f97a"/>
            <w:id w:val="411281105"/>
          </w:sdtPr>
          <w:sdtContent>
            <w:tc>
              <w:tcPr>
                <w:tcW w:w="383" w:type="pct"/>
                <w:vAlign w:val="center"/>
              </w:tcPr>
              <w:p w14:paraId="04481A1E" w14:textId="77777777" w:rsidR="005E000F" w:rsidRDefault="00000000">
                <w:pPr>
                  <w:jc w:val="center"/>
                  <w:rPr>
                    <w:rFonts w:cs="Arial"/>
                    <w:sz w:val="15"/>
                    <w:szCs w:val="15"/>
                  </w:rPr>
                </w:pPr>
                <w:r>
                  <w:rPr>
                    <w:rFonts w:cs="Arial" w:hint="eastAsia"/>
                    <w:sz w:val="15"/>
                    <w:szCs w:val="15"/>
                    <w:lang w:val="en-GB"/>
                  </w:rPr>
                  <w:t>流动资产</w:t>
                </w:r>
              </w:p>
            </w:tc>
          </w:sdtContent>
        </w:sdt>
        <w:sdt>
          <w:sdtPr>
            <w:rPr>
              <w:sz w:val="15"/>
              <w:szCs w:val="15"/>
            </w:rPr>
            <w:tag w:val="_PLD_c9852fe654ce474bb582d7b8dab46c0a"/>
            <w:id w:val="-61256557"/>
          </w:sdtPr>
          <w:sdtContent>
            <w:tc>
              <w:tcPr>
                <w:tcW w:w="410" w:type="pct"/>
                <w:vAlign w:val="center"/>
              </w:tcPr>
              <w:p w14:paraId="5D1E9E87" w14:textId="77777777" w:rsidR="005E000F" w:rsidRDefault="00000000">
                <w:pPr>
                  <w:ind w:left="-40" w:right="-97"/>
                  <w:jc w:val="center"/>
                  <w:rPr>
                    <w:rFonts w:cs="Arial"/>
                    <w:sz w:val="15"/>
                    <w:szCs w:val="15"/>
                  </w:rPr>
                </w:pPr>
                <w:r>
                  <w:rPr>
                    <w:rFonts w:cs="Arial" w:hint="eastAsia"/>
                    <w:sz w:val="15"/>
                    <w:szCs w:val="15"/>
                    <w:lang w:val="en-GB"/>
                  </w:rPr>
                  <w:t>非流动资产</w:t>
                </w:r>
              </w:p>
            </w:tc>
          </w:sdtContent>
        </w:sdt>
        <w:sdt>
          <w:sdtPr>
            <w:rPr>
              <w:sz w:val="15"/>
              <w:szCs w:val="15"/>
            </w:rPr>
            <w:tag w:val="_PLD_e7455f798f7740fdafaf89940e8195c3"/>
            <w:id w:val="-88701999"/>
          </w:sdtPr>
          <w:sdtContent>
            <w:tc>
              <w:tcPr>
                <w:tcW w:w="410" w:type="pct"/>
                <w:vAlign w:val="center"/>
              </w:tcPr>
              <w:p w14:paraId="7AB492A2" w14:textId="77777777" w:rsidR="005E000F" w:rsidRDefault="00000000">
                <w:pPr>
                  <w:jc w:val="center"/>
                  <w:rPr>
                    <w:rFonts w:cs="Arial"/>
                    <w:sz w:val="15"/>
                    <w:szCs w:val="15"/>
                  </w:rPr>
                </w:pPr>
                <w:r>
                  <w:rPr>
                    <w:rFonts w:cs="Arial" w:hint="eastAsia"/>
                    <w:sz w:val="15"/>
                    <w:szCs w:val="15"/>
                    <w:lang w:val="en-GB"/>
                  </w:rPr>
                  <w:t>资产合计</w:t>
                </w:r>
              </w:p>
            </w:tc>
          </w:sdtContent>
        </w:sdt>
        <w:sdt>
          <w:sdtPr>
            <w:rPr>
              <w:sz w:val="15"/>
              <w:szCs w:val="15"/>
            </w:rPr>
            <w:tag w:val="_PLD_b590bdfc5abd4f30a4b1c3cf13a2772b"/>
            <w:id w:val="1246537666"/>
          </w:sdtPr>
          <w:sdtContent>
            <w:tc>
              <w:tcPr>
                <w:tcW w:w="383" w:type="pct"/>
                <w:vAlign w:val="center"/>
              </w:tcPr>
              <w:p w14:paraId="7C6A38C6" w14:textId="77777777" w:rsidR="005E000F" w:rsidRDefault="00000000">
                <w:pPr>
                  <w:jc w:val="center"/>
                  <w:rPr>
                    <w:rFonts w:cs="Arial"/>
                    <w:sz w:val="15"/>
                    <w:szCs w:val="15"/>
                  </w:rPr>
                </w:pPr>
                <w:r>
                  <w:rPr>
                    <w:rFonts w:cs="Arial" w:hint="eastAsia"/>
                    <w:sz w:val="15"/>
                    <w:szCs w:val="15"/>
                    <w:lang w:val="en-GB"/>
                  </w:rPr>
                  <w:t>流动负债</w:t>
                </w:r>
              </w:p>
            </w:tc>
          </w:sdtContent>
        </w:sdt>
        <w:sdt>
          <w:sdtPr>
            <w:rPr>
              <w:sz w:val="15"/>
              <w:szCs w:val="15"/>
            </w:rPr>
            <w:tag w:val="_PLD_acc4c516f1954954b9ffdd4ee0900cfe"/>
            <w:id w:val="688643520"/>
          </w:sdtPr>
          <w:sdtContent>
            <w:tc>
              <w:tcPr>
                <w:tcW w:w="383" w:type="pct"/>
                <w:vAlign w:val="center"/>
              </w:tcPr>
              <w:p w14:paraId="121101BD" w14:textId="77777777" w:rsidR="005E000F" w:rsidRDefault="00000000">
                <w:pPr>
                  <w:ind w:left="-40" w:right="-97"/>
                  <w:jc w:val="center"/>
                  <w:rPr>
                    <w:rFonts w:cs="Arial"/>
                    <w:sz w:val="15"/>
                    <w:szCs w:val="15"/>
                  </w:rPr>
                </w:pPr>
                <w:r>
                  <w:rPr>
                    <w:rFonts w:cs="Arial" w:hint="eastAsia"/>
                    <w:sz w:val="15"/>
                    <w:szCs w:val="15"/>
                    <w:lang w:val="en-GB"/>
                  </w:rPr>
                  <w:t>非流动负债</w:t>
                </w:r>
              </w:p>
            </w:tc>
          </w:sdtContent>
        </w:sdt>
        <w:sdt>
          <w:sdtPr>
            <w:rPr>
              <w:sz w:val="15"/>
              <w:szCs w:val="15"/>
            </w:rPr>
            <w:tag w:val="_PLD_397eebedf0c14a0e8060aa378e6e579d"/>
            <w:id w:val="-2020920252"/>
          </w:sdtPr>
          <w:sdtContent>
            <w:tc>
              <w:tcPr>
                <w:tcW w:w="384" w:type="pct"/>
                <w:vAlign w:val="center"/>
              </w:tcPr>
              <w:p w14:paraId="317C623D" w14:textId="77777777" w:rsidR="005E000F" w:rsidRDefault="00000000">
                <w:pPr>
                  <w:jc w:val="center"/>
                  <w:rPr>
                    <w:rFonts w:cs="Arial"/>
                    <w:sz w:val="15"/>
                    <w:szCs w:val="15"/>
                  </w:rPr>
                </w:pPr>
                <w:r>
                  <w:rPr>
                    <w:rFonts w:cs="Arial" w:hint="eastAsia"/>
                    <w:sz w:val="15"/>
                    <w:szCs w:val="15"/>
                    <w:lang w:val="en-GB"/>
                  </w:rPr>
                  <w:t>负债合计</w:t>
                </w:r>
              </w:p>
            </w:tc>
          </w:sdtContent>
        </w:sdt>
      </w:tr>
      <w:tr w:rsidR="005E000F" w14:paraId="54A05DE9" w14:textId="77777777">
        <w:tc>
          <w:tcPr>
            <w:tcW w:w="359" w:type="pct"/>
            <w:shd w:val="clear" w:color="auto" w:fill="auto"/>
          </w:tcPr>
          <w:p w14:paraId="007F43AC" w14:textId="77777777" w:rsidR="005E000F" w:rsidRDefault="00000000">
            <w:pPr>
              <w:jc w:val="both"/>
              <w:rPr>
                <w:sz w:val="15"/>
                <w:szCs w:val="15"/>
                <w:lang w:eastAsia="en-US"/>
              </w:rPr>
            </w:pPr>
            <w:r>
              <w:rPr>
                <w:sz w:val="15"/>
                <w:szCs w:val="15"/>
              </w:rPr>
              <w:t>唐港公司</w:t>
            </w:r>
          </w:p>
        </w:tc>
        <w:tc>
          <w:tcPr>
            <w:tcW w:w="383" w:type="pct"/>
            <w:shd w:val="clear" w:color="auto" w:fill="auto"/>
            <w:vAlign w:val="center"/>
          </w:tcPr>
          <w:p w14:paraId="2D53C0DA" w14:textId="77777777" w:rsidR="005E000F" w:rsidRDefault="00000000">
            <w:pPr>
              <w:jc w:val="right"/>
              <w:rPr>
                <w:sz w:val="15"/>
                <w:szCs w:val="15"/>
              </w:rPr>
            </w:pPr>
            <w:r>
              <w:rPr>
                <w:sz w:val="15"/>
                <w:szCs w:val="15"/>
              </w:rPr>
              <w:t xml:space="preserve">5,649,794,044 </w:t>
            </w:r>
          </w:p>
        </w:tc>
        <w:tc>
          <w:tcPr>
            <w:tcW w:w="383" w:type="pct"/>
            <w:shd w:val="clear" w:color="auto" w:fill="auto"/>
            <w:vAlign w:val="center"/>
          </w:tcPr>
          <w:p w14:paraId="011A3AD9" w14:textId="77777777" w:rsidR="005E000F" w:rsidRDefault="00000000">
            <w:pPr>
              <w:jc w:val="right"/>
              <w:rPr>
                <w:sz w:val="15"/>
                <w:szCs w:val="15"/>
              </w:rPr>
            </w:pPr>
            <w:r>
              <w:rPr>
                <w:sz w:val="15"/>
                <w:szCs w:val="15"/>
              </w:rPr>
              <w:t xml:space="preserve">9,867,206,092 </w:t>
            </w:r>
          </w:p>
        </w:tc>
        <w:tc>
          <w:tcPr>
            <w:tcW w:w="409" w:type="pct"/>
            <w:shd w:val="clear" w:color="auto" w:fill="auto"/>
            <w:vAlign w:val="center"/>
          </w:tcPr>
          <w:p w14:paraId="66505907" w14:textId="77777777" w:rsidR="005E000F" w:rsidRDefault="00000000">
            <w:pPr>
              <w:jc w:val="right"/>
              <w:rPr>
                <w:sz w:val="15"/>
                <w:szCs w:val="15"/>
              </w:rPr>
            </w:pPr>
            <w:r>
              <w:rPr>
                <w:sz w:val="15"/>
                <w:szCs w:val="15"/>
              </w:rPr>
              <w:t xml:space="preserve">15,517,000,136 </w:t>
            </w:r>
          </w:p>
        </w:tc>
        <w:tc>
          <w:tcPr>
            <w:tcW w:w="343" w:type="pct"/>
            <w:shd w:val="clear" w:color="auto" w:fill="auto"/>
            <w:vAlign w:val="center"/>
          </w:tcPr>
          <w:p w14:paraId="337460F6" w14:textId="77777777" w:rsidR="005E000F" w:rsidRDefault="00000000">
            <w:pPr>
              <w:jc w:val="both"/>
              <w:rPr>
                <w:sz w:val="15"/>
                <w:szCs w:val="15"/>
              </w:rPr>
            </w:pPr>
            <w:r>
              <w:rPr>
                <w:sz w:val="15"/>
                <w:szCs w:val="15"/>
              </w:rPr>
              <w:t xml:space="preserve">786,971,220 </w:t>
            </w:r>
          </w:p>
        </w:tc>
        <w:tc>
          <w:tcPr>
            <w:tcW w:w="383" w:type="pct"/>
            <w:shd w:val="clear" w:color="auto" w:fill="auto"/>
            <w:vAlign w:val="center"/>
          </w:tcPr>
          <w:p w14:paraId="12B88AEC" w14:textId="77777777" w:rsidR="005E000F" w:rsidRDefault="00000000">
            <w:pPr>
              <w:jc w:val="right"/>
              <w:rPr>
                <w:sz w:val="15"/>
                <w:szCs w:val="15"/>
              </w:rPr>
            </w:pPr>
            <w:r>
              <w:rPr>
                <w:sz w:val="15"/>
                <w:szCs w:val="15"/>
              </w:rPr>
              <w:t xml:space="preserve"> 473,660,694 </w:t>
            </w:r>
          </w:p>
        </w:tc>
        <w:tc>
          <w:tcPr>
            <w:tcW w:w="384" w:type="pct"/>
            <w:shd w:val="clear" w:color="auto" w:fill="auto"/>
            <w:vAlign w:val="center"/>
          </w:tcPr>
          <w:p w14:paraId="4CB63322" w14:textId="77777777" w:rsidR="005E000F" w:rsidRDefault="00000000">
            <w:pPr>
              <w:jc w:val="right"/>
              <w:rPr>
                <w:sz w:val="15"/>
                <w:szCs w:val="15"/>
              </w:rPr>
            </w:pPr>
            <w:r>
              <w:rPr>
                <w:sz w:val="15"/>
                <w:szCs w:val="15"/>
              </w:rPr>
              <w:t xml:space="preserve">1,260,631,914 </w:t>
            </w:r>
          </w:p>
        </w:tc>
        <w:tc>
          <w:tcPr>
            <w:tcW w:w="383" w:type="pct"/>
            <w:shd w:val="clear" w:color="auto" w:fill="auto"/>
          </w:tcPr>
          <w:p w14:paraId="04D4906C" w14:textId="77777777" w:rsidR="005E000F" w:rsidRDefault="00000000">
            <w:pPr>
              <w:jc w:val="right"/>
              <w:rPr>
                <w:sz w:val="15"/>
                <w:szCs w:val="15"/>
                <w:lang w:eastAsia="en-US"/>
              </w:rPr>
            </w:pPr>
            <w:r>
              <w:rPr>
                <w:sz w:val="15"/>
                <w:szCs w:val="15"/>
              </w:rPr>
              <w:t>5,027,522,194</w:t>
            </w:r>
          </w:p>
        </w:tc>
        <w:tc>
          <w:tcPr>
            <w:tcW w:w="410" w:type="pct"/>
            <w:shd w:val="clear" w:color="auto" w:fill="auto"/>
          </w:tcPr>
          <w:p w14:paraId="69B53661" w14:textId="77777777" w:rsidR="005E000F" w:rsidRDefault="00000000">
            <w:pPr>
              <w:jc w:val="right"/>
              <w:rPr>
                <w:sz w:val="15"/>
                <w:szCs w:val="15"/>
                <w:lang w:eastAsia="en-US"/>
              </w:rPr>
            </w:pPr>
            <w:r>
              <w:rPr>
                <w:sz w:val="15"/>
                <w:szCs w:val="15"/>
              </w:rPr>
              <w:t>10,142,602,356</w:t>
            </w:r>
          </w:p>
        </w:tc>
        <w:tc>
          <w:tcPr>
            <w:tcW w:w="410" w:type="pct"/>
            <w:shd w:val="clear" w:color="auto" w:fill="auto"/>
          </w:tcPr>
          <w:p w14:paraId="67F41B73" w14:textId="77777777" w:rsidR="005E000F" w:rsidRDefault="00000000">
            <w:pPr>
              <w:jc w:val="right"/>
              <w:rPr>
                <w:sz w:val="15"/>
                <w:szCs w:val="15"/>
                <w:lang w:eastAsia="en-US"/>
              </w:rPr>
            </w:pPr>
            <w:r>
              <w:rPr>
                <w:sz w:val="15"/>
                <w:szCs w:val="15"/>
              </w:rPr>
              <w:t>15,170,124,550</w:t>
            </w:r>
          </w:p>
        </w:tc>
        <w:tc>
          <w:tcPr>
            <w:tcW w:w="383" w:type="pct"/>
            <w:shd w:val="clear" w:color="auto" w:fill="auto"/>
          </w:tcPr>
          <w:p w14:paraId="1ACE006B" w14:textId="77777777" w:rsidR="005E000F" w:rsidRDefault="00000000">
            <w:pPr>
              <w:jc w:val="right"/>
              <w:rPr>
                <w:sz w:val="15"/>
                <w:szCs w:val="15"/>
                <w:lang w:eastAsia="en-US"/>
              </w:rPr>
            </w:pPr>
            <w:r>
              <w:rPr>
                <w:sz w:val="15"/>
                <w:szCs w:val="15"/>
              </w:rPr>
              <w:t>789,871,569</w:t>
            </w:r>
          </w:p>
        </w:tc>
        <w:tc>
          <w:tcPr>
            <w:tcW w:w="383" w:type="pct"/>
            <w:shd w:val="clear" w:color="auto" w:fill="auto"/>
          </w:tcPr>
          <w:p w14:paraId="6BF2C317" w14:textId="77777777" w:rsidR="005E000F" w:rsidRDefault="00000000">
            <w:pPr>
              <w:jc w:val="right"/>
              <w:rPr>
                <w:sz w:val="15"/>
                <w:szCs w:val="15"/>
                <w:lang w:eastAsia="en-US"/>
              </w:rPr>
            </w:pPr>
            <w:r>
              <w:rPr>
                <w:sz w:val="15"/>
                <w:szCs w:val="15"/>
              </w:rPr>
              <w:t>504,876,233</w:t>
            </w:r>
          </w:p>
        </w:tc>
        <w:tc>
          <w:tcPr>
            <w:tcW w:w="384" w:type="pct"/>
            <w:shd w:val="clear" w:color="auto" w:fill="auto"/>
          </w:tcPr>
          <w:p w14:paraId="5B33285D" w14:textId="77777777" w:rsidR="005E000F" w:rsidRDefault="00000000">
            <w:pPr>
              <w:jc w:val="right"/>
              <w:rPr>
                <w:sz w:val="15"/>
                <w:szCs w:val="15"/>
                <w:lang w:eastAsia="en-US"/>
              </w:rPr>
            </w:pPr>
            <w:r>
              <w:rPr>
                <w:sz w:val="15"/>
                <w:szCs w:val="15"/>
              </w:rPr>
              <w:t>1,294,747,802</w:t>
            </w:r>
          </w:p>
        </w:tc>
      </w:tr>
      <w:tr w:rsidR="005E000F" w14:paraId="346EC1EC" w14:textId="77777777">
        <w:tc>
          <w:tcPr>
            <w:tcW w:w="359" w:type="pct"/>
          </w:tcPr>
          <w:p w14:paraId="273FA397" w14:textId="77777777" w:rsidR="005E000F" w:rsidRDefault="00000000">
            <w:pPr>
              <w:jc w:val="both"/>
              <w:rPr>
                <w:sz w:val="15"/>
                <w:szCs w:val="15"/>
                <w:lang w:eastAsia="en-US"/>
              </w:rPr>
            </w:pPr>
            <w:proofErr w:type="gramStart"/>
            <w:r>
              <w:rPr>
                <w:sz w:val="15"/>
                <w:szCs w:val="15"/>
              </w:rPr>
              <w:t>侯禹公司</w:t>
            </w:r>
            <w:proofErr w:type="gramEnd"/>
          </w:p>
        </w:tc>
        <w:tc>
          <w:tcPr>
            <w:tcW w:w="383" w:type="pct"/>
            <w:vAlign w:val="center"/>
          </w:tcPr>
          <w:p w14:paraId="4F739991" w14:textId="77777777" w:rsidR="005E000F" w:rsidRDefault="00000000">
            <w:pPr>
              <w:jc w:val="right"/>
              <w:rPr>
                <w:sz w:val="15"/>
                <w:szCs w:val="15"/>
              </w:rPr>
            </w:pPr>
            <w:r>
              <w:rPr>
                <w:sz w:val="15"/>
                <w:szCs w:val="15"/>
              </w:rPr>
              <w:t xml:space="preserve"> 677,175,139 </w:t>
            </w:r>
          </w:p>
        </w:tc>
        <w:tc>
          <w:tcPr>
            <w:tcW w:w="383" w:type="pct"/>
            <w:vAlign w:val="center"/>
          </w:tcPr>
          <w:p w14:paraId="20D734FB" w14:textId="77777777" w:rsidR="005E000F" w:rsidRDefault="00000000">
            <w:pPr>
              <w:jc w:val="right"/>
              <w:rPr>
                <w:sz w:val="15"/>
                <w:szCs w:val="15"/>
              </w:rPr>
            </w:pPr>
            <w:r>
              <w:rPr>
                <w:sz w:val="15"/>
                <w:szCs w:val="15"/>
              </w:rPr>
              <w:t xml:space="preserve">2,170,283,815 </w:t>
            </w:r>
          </w:p>
        </w:tc>
        <w:tc>
          <w:tcPr>
            <w:tcW w:w="409" w:type="pct"/>
            <w:vAlign w:val="center"/>
          </w:tcPr>
          <w:p w14:paraId="7B184AD6" w14:textId="77777777" w:rsidR="005E000F" w:rsidRDefault="00000000">
            <w:pPr>
              <w:jc w:val="right"/>
              <w:rPr>
                <w:sz w:val="15"/>
                <w:szCs w:val="15"/>
              </w:rPr>
            </w:pPr>
            <w:r>
              <w:rPr>
                <w:sz w:val="15"/>
                <w:szCs w:val="15"/>
              </w:rPr>
              <w:t xml:space="preserve"> 2,847,458,954 </w:t>
            </w:r>
          </w:p>
        </w:tc>
        <w:tc>
          <w:tcPr>
            <w:tcW w:w="343" w:type="pct"/>
            <w:vAlign w:val="center"/>
          </w:tcPr>
          <w:p w14:paraId="6DFBE2C9" w14:textId="77777777" w:rsidR="005E000F" w:rsidRDefault="00000000">
            <w:pPr>
              <w:jc w:val="right"/>
              <w:rPr>
                <w:sz w:val="15"/>
                <w:szCs w:val="15"/>
              </w:rPr>
            </w:pPr>
            <w:r>
              <w:rPr>
                <w:sz w:val="15"/>
                <w:szCs w:val="15"/>
              </w:rPr>
              <w:t xml:space="preserve"> 58,926,519 </w:t>
            </w:r>
          </w:p>
        </w:tc>
        <w:tc>
          <w:tcPr>
            <w:tcW w:w="383" w:type="pct"/>
            <w:vAlign w:val="center"/>
          </w:tcPr>
          <w:p w14:paraId="73381A59" w14:textId="77777777" w:rsidR="005E000F" w:rsidRDefault="00000000">
            <w:pPr>
              <w:jc w:val="right"/>
              <w:rPr>
                <w:sz w:val="15"/>
                <w:szCs w:val="15"/>
              </w:rPr>
            </w:pPr>
            <w:r>
              <w:rPr>
                <w:sz w:val="15"/>
                <w:szCs w:val="15"/>
              </w:rPr>
              <w:t xml:space="preserve"> 16,101,705 </w:t>
            </w:r>
          </w:p>
        </w:tc>
        <w:tc>
          <w:tcPr>
            <w:tcW w:w="384" w:type="pct"/>
            <w:vAlign w:val="center"/>
          </w:tcPr>
          <w:p w14:paraId="4A57C6BC" w14:textId="77777777" w:rsidR="005E000F" w:rsidRDefault="00000000">
            <w:pPr>
              <w:jc w:val="right"/>
              <w:rPr>
                <w:sz w:val="15"/>
                <w:szCs w:val="15"/>
              </w:rPr>
            </w:pPr>
            <w:r>
              <w:rPr>
                <w:sz w:val="15"/>
                <w:szCs w:val="15"/>
              </w:rPr>
              <w:t xml:space="preserve"> 75,028,224 </w:t>
            </w:r>
          </w:p>
        </w:tc>
        <w:tc>
          <w:tcPr>
            <w:tcW w:w="383" w:type="pct"/>
          </w:tcPr>
          <w:p w14:paraId="2470049F" w14:textId="77777777" w:rsidR="005E000F" w:rsidRDefault="00000000">
            <w:pPr>
              <w:jc w:val="right"/>
              <w:rPr>
                <w:sz w:val="15"/>
                <w:szCs w:val="15"/>
                <w:lang w:eastAsia="en-US"/>
              </w:rPr>
            </w:pPr>
            <w:r>
              <w:rPr>
                <w:sz w:val="15"/>
                <w:szCs w:val="15"/>
              </w:rPr>
              <w:t>641,337,219</w:t>
            </w:r>
          </w:p>
        </w:tc>
        <w:tc>
          <w:tcPr>
            <w:tcW w:w="410" w:type="pct"/>
          </w:tcPr>
          <w:p w14:paraId="786E17EF" w14:textId="77777777" w:rsidR="005E000F" w:rsidRDefault="00000000">
            <w:pPr>
              <w:jc w:val="right"/>
              <w:rPr>
                <w:sz w:val="15"/>
                <w:szCs w:val="15"/>
                <w:lang w:eastAsia="en-US"/>
              </w:rPr>
            </w:pPr>
            <w:r>
              <w:rPr>
                <w:sz w:val="15"/>
                <w:szCs w:val="15"/>
              </w:rPr>
              <w:t>2,236,083,814</w:t>
            </w:r>
          </w:p>
        </w:tc>
        <w:tc>
          <w:tcPr>
            <w:tcW w:w="410" w:type="pct"/>
          </w:tcPr>
          <w:p w14:paraId="3299134D" w14:textId="77777777" w:rsidR="005E000F" w:rsidRDefault="00000000">
            <w:pPr>
              <w:jc w:val="right"/>
              <w:rPr>
                <w:sz w:val="15"/>
                <w:szCs w:val="15"/>
                <w:lang w:eastAsia="en-US"/>
              </w:rPr>
            </w:pPr>
            <w:r>
              <w:rPr>
                <w:sz w:val="15"/>
                <w:szCs w:val="15"/>
              </w:rPr>
              <w:t>2,877,421,033</w:t>
            </w:r>
          </w:p>
        </w:tc>
        <w:tc>
          <w:tcPr>
            <w:tcW w:w="383" w:type="pct"/>
          </w:tcPr>
          <w:p w14:paraId="358644F8" w14:textId="77777777" w:rsidR="005E000F" w:rsidRDefault="00000000">
            <w:pPr>
              <w:jc w:val="right"/>
              <w:rPr>
                <w:sz w:val="15"/>
                <w:szCs w:val="15"/>
                <w:lang w:eastAsia="en-US"/>
              </w:rPr>
            </w:pPr>
            <w:r>
              <w:rPr>
                <w:sz w:val="15"/>
                <w:szCs w:val="15"/>
              </w:rPr>
              <w:t>68,358,804</w:t>
            </w:r>
          </w:p>
        </w:tc>
        <w:tc>
          <w:tcPr>
            <w:tcW w:w="383" w:type="pct"/>
          </w:tcPr>
          <w:p w14:paraId="7B10A952" w14:textId="77777777" w:rsidR="005E000F" w:rsidRDefault="00000000">
            <w:pPr>
              <w:jc w:val="right"/>
              <w:rPr>
                <w:sz w:val="15"/>
                <w:szCs w:val="15"/>
                <w:lang w:eastAsia="en-US"/>
              </w:rPr>
            </w:pPr>
            <w:r>
              <w:rPr>
                <w:sz w:val="15"/>
                <w:szCs w:val="15"/>
              </w:rPr>
              <w:t>16,391,434</w:t>
            </w:r>
          </w:p>
        </w:tc>
        <w:tc>
          <w:tcPr>
            <w:tcW w:w="384" w:type="pct"/>
          </w:tcPr>
          <w:p w14:paraId="493C96B7" w14:textId="77777777" w:rsidR="005E000F" w:rsidRDefault="00000000">
            <w:pPr>
              <w:jc w:val="right"/>
              <w:rPr>
                <w:sz w:val="15"/>
                <w:szCs w:val="15"/>
                <w:lang w:eastAsia="en-US"/>
              </w:rPr>
            </w:pPr>
            <w:r>
              <w:rPr>
                <w:sz w:val="15"/>
                <w:szCs w:val="15"/>
              </w:rPr>
              <w:t>84,750,238</w:t>
            </w:r>
          </w:p>
        </w:tc>
      </w:tr>
      <w:tr w:rsidR="005E000F" w14:paraId="364410F9" w14:textId="77777777">
        <w:tc>
          <w:tcPr>
            <w:tcW w:w="359" w:type="pct"/>
          </w:tcPr>
          <w:p w14:paraId="1812539A" w14:textId="77777777" w:rsidR="005E000F" w:rsidRDefault="00000000">
            <w:pPr>
              <w:jc w:val="both"/>
              <w:rPr>
                <w:sz w:val="15"/>
                <w:szCs w:val="15"/>
                <w:lang w:eastAsia="en-US"/>
              </w:rPr>
            </w:pPr>
            <w:proofErr w:type="gramStart"/>
            <w:r>
              <w:rPr>
                <w:sz w:val="15"/>
                <w:szCs w:val="15"/>
              </w:rPr>
              <w:t>太兴</w:t>
            </w:r>
            <w:proofErr w:type="gramEnd"/>
            <w:r>
              <w:rPr>
                <w:sz w:val="15"/>
                <w:szCs w:val="15"/>
              </w:rPr>
              <w:t>公司</w:t>
            </w:r>
          </w:p>
        </w:tc>
        <w:tc>
          <w:tcPr>
            <w:tcW w:w="383" w:type="pct"/>
            <w:vAlign w:val="center"/>
          </w:tcPr>
          <w:p w14:paraId="121DFEC2" w14:textId="77777777" w:rsidR="005E000F" w:rsidRDefault="00000000">
            <w:pPr>
              <w:jc w:val="right"/>
              <w:rPr>
                <w:sz w:val="15"/>
                <w:szCs w:val="15"/>
              </w:rPr>
            </w:pPr>
            <w:r>
              <w:rPr>
                <w:sz w:val="15"/>
                <w:szCs w:val="15"/>
              </w:rPr>
              <w:t xml:space="preserve"> 74,392,869 </w:t>
            </w:r>
          </w:p>
        </w:tc>
        <w:tc>
          <w:tcPr>
            <w:tcW w:w="383" w:type="pct"/>
            <w:vAlign w:val="center"/>
          </w:tcPr>
          <w:p w14:paraId="23C31AB7" w14:textId="77777777" w:rsidR="005E000F" w:rsidRDefault="00000000">
            <w:pPr>
              <w:jc w:val="right"/>
              <w:rPr>
                <w:sz w:val="15"/>
                <w:szCs w:val="15"/>
              </w:rPr>
            </w:pPr>
            <w:r>
              <w:rPr>
                <w:sz w:val="15"/>
                <w:szCs w:val="15"/>
              </w:rPr>
              <w:t xml:space="preserve">8,180,178,840 </w:t>
            </w:r>
          </w:p>
        </w:tc>
        <w:tc>
          <w:tcPr>
            <w:tcW w:w="409" w:type="pct"/>
            <w:vAlign w:val="center"/>
          </w:tcPr>
          <w:p w14:paraId="0EE4A7D7" w14:textId="77777777" w:rsidR="005E000F" w:rsidRDefault="00000000">
            <w:pPr>
              <w:jc w:val="right"/>
              <w:rPr>
                <w:sz w:val="15"/>
                <w:szCs w:val="15"/>
              </w:rPr>
            </w:pPr>
            <w:r>
              <w:rPr>
                <w:sz w:val="15"/>
                <w:szCs w:val="15"/>
              </w:rPr>
              <w:t xml:space="preserve"> 8,254,571,709 </w:t>
            </w:r>
          </w:p>
        </w:tc>
        <w:tc>
          <w:tcPr>
            <w:tcW w:w="343" w:type="pct"/>
            <w:vAlign w:val="center"/>
          </w:tcPr>
          <w:p w14:paraId="75078FE9" w14:textId="77777777" w:rsidR="005E000F" w:rsidRDefault="00000000">
            <w:pPr>
              <w:jc w:val="right"/>
              <w:rPr>
                <w:sz w:val="15"/>
                <w:szCs w:val="15"/>
              </w:rPr>
            </w:pPr>
            <w:r>
              <w:rPr>
                <w:sz w:val="15"/>
                <w:szCs w:val="15"/>
              </w:rPr>
              <w:t xml:space="preserve">489,008,277 </w:t>
            </w:r>
          </w:p>
        </w:tc>
        <w:tc>
          <w:tcPr>
            <w:tcW w:w="383" w:type="pct"/>
            <w:vAlign w:val="center"/>
          </w:tcPr>
          <w:p w14:paraId="3E28CF50" w14:textId="77777777" w:rsidR="005E000F" w:rsidRDefault="00000000">
            <w:pPr>
              <w:jc w:val="right"/>
              <w:rPr>
                <w:sz w:val="15"/>
                <w:szCs w:val="15"/>
              </w:rPr>
            </w:pPr>
            <w:r>
              <w:rPr>
                <w:sz w:val="15"/>
                <w:szCs w:val="15"/>
              </w:rPr>
              <w:t xml:space="preserve">4,324,418,006 </w:t>
            </w:r>
          </w:p>
        </w:tc>
        <w:tc>
          <w:tcPr>
            <w:tcW w:w="384" w:type="pct"/>
            <w:vAlign w:val="center"/>
          </w:tcPr>
          <w:p w14:paraId="3EA5F8AB" w14:textId="77777777" w:rsidR="005E000F" w:rsidRDefault="00000000">
            <w:pPr>
              <w:jc w:val="right"/>
              <w:rPr>
                <w:sz w:val="15"/>
                <w:szCs w:val="15"/>
              </w:rPr>
            </w:pPr>
            <w:r>
              <w:rPr>
                <w:sz w:val="15"/>
                <w:szCs w:val="15"/>
              </w:rPr>
              <w:t xml:space="preserve">4,813,426,283 </w:t>
            </w:r>
          </w:p>
        </w:tc>
        <w:tc>
          <w:tcPr>
            <w:tcW w:w="383" w:type="pct"/>
          </w:tcPr>
          <w:p w14:paraId="00419257" w14:textId="77777777" w:rsidR="005E000F" w:rsidRDefault="00000000">
            <w:pPr>
              <w:jc w:val="right"/>
              <w:rPr>
                <w:sz w:val="15"/>
                <w:szCs w:val="15"/>
                <w:lang w:eastAsia="en-US"/>
              </w:rPr>
            </w:pPr>
            <w:r>
              <w:rPr>
                <w:sz w:val="15"/>
                <w:szCs w:val="15"/>
              </w:rPr>
              <w:t>95,848,299</w:t>
            </w:r>
          </w:p>
        </w:tc>
        <w:tc>
          <w:tcPr>
            <w:tcW w:w="410" w:type="pct"/>
          </w:tcPr>
          <w:p w14:paraId="6E97BB64" w14:textId="77777777" w:rsidR="005E000F" w:rsidRDefault="00000000">
            <w:pPr>
              <w:jc w:val="right"/>
              <w:rPr>
                <w:sz w:val="15"/>
                <w:szCs w:val="15"/>
                <w:lang w:eastAsia="en-US"/>
              </w:rPr>
            </w:pPr>
            <w:r>
              <w:rPr>
                <w:sz w:val="15"/>
                <w:szCs w:val="15"/>
              </w:rPr>
              <w:t>8,323,679,302</w:t>
            </w:r>
          </w:p>
        </w:tc>
        <w:tc>
          <w:tcPr>
            <w:tcW w:w="410" w:type="pct"/>
          </w:tcPr>
          <w:p w14:paraId="4DFCD67A" w14:textId="77777777" w:rsidR="005E000F" w:rsidRDefault="00000000">
            <w:pPr>
              <w:jc w:val="right"/>
              <w:rPr>
                <w:sz w:val="15"/>
                <w:szCs w:val="15"/>
                <w:lang w:eastAsia="en-US"/>
              </w:rPr>
            </w:pPr>
            <w:r>
              <w:rPr>
                <w:sz w:val="15"/>
                <w:szCs w:val="15"/>
              </w:rPr>
              <w:t>8,419,527,601</w:t>
            </w:r>
          </w:p>
        </w:tc>
        <w:tc>
          <w:tcPr>
            <w:tcW w:w="383" w:type="pct"/>
          </w:tcPr>
          <w:p w14:paraId="77BCE4CD" w14:textId="77777777" w:rsidR="005E000F" w:rsidRDefault="00000000">
            <w:pPr>
              <w:jc w:val="right"/>
              <w:rPr>
                <w:sz w:val="15"/>
                <w:szCs w:val="15"/>
                <w:lang w:eastAsia="en-US"/>
              </w:rPr>
            </w:pPr>
            <w:r>
              <w:rPr>
                <w:sz w:val="15"/>
                <w:szCs w:val="15"/>
              </w:rPr>
              <w:t>583,522,393</w:t>
            </w:r>
          </w:p>
        </w:tc>
        <w:tc>
          <w:tcPr>
            <w:tcW w:w="383" w:type="pct"/>
          </w:tcPr>
          <w:p w14:paraId="24A28E8D" w14:textId="77777777" w:rsidR="005E000F" w:rsidRDefault="00000000">
            <w:pPr>
              <w:jc w:val="right"/>
              <w:rPr>
                <w:sz w:val="15"/>
                <w:szCs w:val="15"/>
                <w:lang w:eastAsia="en-US"/>
              </w:rPr>
            </w:pPr>
            <w:r>
              <w:rPr>
                <w:sz w:val="15"/>
                <w:szCs w:val="15"/>
              </w:rPr>
              <w:t>4,145,146,377</w:t>
            </w:r>
          </w:p>
        </w:tc>
        <w:tc>
          <w:tcPr>
            <w:tcW w:w="384" w:type="pct"/>
          </w:tcPr>
          <w:p w14:paraId="0B43774A" w14:textId="77777777" w:rsidR="005E000F" w:rsidRDefault="00000000">
            <w:pPr>
              <w:jc w:val="right"/>
              <w:rPr>
                <w:sz w:val="15"/>
                <w:szCs w:val="15"/>
                <w:lang w:eastAsia="en-US"/>
              </w:rPr>
            </w:pPr>
            <w:r>
              <w:rPr>
                <w:sz w:val="15"/>
                <w:szCs w:val="15"/>
              </w:rPr>
              <w:t>4,728,668,770</w:t>
            </w:r>
          </w:p>
        </w:tc>
      </w:tr>
      <w:tr w:rsidR="005E000F" w14:paraId="372EBE39" w14:textId="77777777">
        <w:tc>
          <w:tcPr>
            <w:tcW w:w="359" w:type="pct"/>
          </w:tcPr>
          <w:p w14:paraId="6C4BF80C" w14:textId="77777777" w:rsidR="005E000F" w:rsidRDefault="00000000">
            <w:pPr>
              <w:jc w:val="both"/>
              <w:rPr>
                <w:sz w:val="15"/>
                <w:szCs w:val="15"/>
              </w:rPr>
            </w:pPr>
            <w:r>
              <w:rPr>
                <w:sz w:val="15"/>
                <w:szCs w:val="15"/>
              </w:rPr>
              <w:t>中鼎</w:t>
            </w:r>
            <w:r>
              <w:rPr>
                <w:rFonts w:hint="eastAsia"/>
                <w:sz w:val="15"/>
                <w:szCs w:val="15"/>
              </w:rPr>
              <w:t>公司</w:t>
            </w:r>
          </w:p>
        </w:tc>
        <w:tc>
          <w:tcPr>
            <w:tcW w:w="383" w:type="pct"/>
            <w:vAlign w:val="center"/>
          </w:tcPr>
          <w:p w14:paraId="3977CB29" w14:textId="77777777" w:rsidR="005E000F" w:rsidRDefault="00000000">
            <w:pPr>
              <w:jc w:val="right"/>
              <w:rPr>
                <w:sz w:val="15"/>
                <w:szCs w:val="15"/>
              </w:rPr>
            </w:pPr>
            <w:r>
              <w:rPr>
                <w:sz w:val="15"/>
                <w:szCs w:val="15"/>
              </w:rPr>
              <w:t xml:space="preserve"> 140,384,138 </w:t>
            </w:r>
          </w:p>
        </w:tc>
        <w:tc>
          <w:tcPr>
            <w:tcW w:w="383" w:type="pct"/>
            <w:vAlign w:val="center"/>
          </w:tcPr>
          <w:p w14:paraId="43B9C5D3" w14:textId="77777777" w:rsidR="005E000F" w:rsidRDefault="00000000">
            <w:pPr>
              <w:jc w:val="right"/>
              <w:rPr>
                <w:sz w:val="15"/>
                <w:szCs w:val="15"/>
              </w:rPr>
            </w:pPr>
            <w:r>
              <w:rPr>
                <w:sz w:val="15"/>
                <w:szCs w:val="15"/>
              </w:rPr>
              <w:t xml:space="preserve">2,811,808,248 </w:t>
            </w:r>
          </w:p>
        </w:tc>
        <w:tc>
          <w:tcPr>
            <w:tcW w:w="409" w:type="pct"/>
            <w:vAlign w:val="center"/>
          </w:tcPr>
          <w:p w14:paraId="48E71900" w14:textId="77777777" w:rsidR="005E000F" w:rsidRDefault="00000000">
            <w:pPr>
              <w:jc w:val="right"/>
              <w:rPr>
                <w:sz w:val="15"/>
                <w:szCs w:val="15"/>
              </w:rPr>
            </w:pPr>
            <w:r>
              <w:rPr>
                <w:sz w:val="15"/>
                <w:szCs w:val="15"/>
              </w:rPr>
              <w:t xml:space="preserve"> 2,952,192,386 </w:t>
            </w:r>
          </w:p>
        </w:tc>
        <w:tc>
          <w:tcPr>
            <w:tcW w:w="343" w:type="pct"/>
            <w:vAlign w:val="center"/>
          </w:tcPr>
          <w:p w14:paraId="64B6FDAC" w14:textId="77777777" w:rsidR="005E000F" w:rsidRDefault="00000000">
            <w:pPr>
              <w:jc w:val="right"/>
              <w:rPr>
                <w:sz w:val="15"/>
                <w:szCs w:val="15"/>
              </w:rPr>
            </w:pPr>
            <w:r>
              <w:rPr>
                <w:sz w:val="15"/>
                <w:szCs w:val="15"/>
              </w:rPr>
              <w:t xml:space="preserve">517,936,414 </w:t>
            </w:r>
          </w:p>
        </w:tc>
        <w:tc>
          <w:tcPr>
            <w:tcW w:w="383" w:type="pct"/>
            <w:vAlign w:val="center"/>
          </w:tcPr>
          <w:p w14:paraId="5B2EA62B" w14:textId="77777777" w:rsidR="005E000F" w:rsidRDefault="00000000">
            <w:pPr>
              <w:jc w:val="right"/>
              <w:rPr>
                <w:sz w:val="15"/>
                <w:szCs w:val="15"/>
              </w:rPr>
            </w:pPr>
            <w:r>
              <w:rPr>
                <w:sz w:val="15"/>
                <w:szCs w:val="15"/>
              </w:rPr>
              <w:t xml:space="preserve">1,765,049,963 </w:t>
            </w:r>
          </w:p>
        </w:tc>
        <w:tc>
          <w:tcPr>
            <w:tcW w:w="384" w:type="pct"/>
            <w:vAlign w:val="center"/>
          </w:tcPr>
          <w:p w14:paraId="27A9B509" w14:textId="77777777" w:rsidR="005E000F" w:rsidRDefault="00000000">
            <w:pPr>
              <w:jc w:val="right"/>
              <w:rPr>
                <w:sz w:val="15"/>
                <w:szCs w:val="15"/>
              </w:rPr>
            </w:pPr>
            <w:r>
              <w:rPr>
                <w:sz w:val="15"/>
                <w:szCs w:val="15"/>
              </w:rPr>
              <w:t xml:space="preserve">2,282,986,377 </w:t>
            </w:r>
          </w:p>
        </w:tc>
        <w:tc>
          <w:tcPr>
            <w:tcW w:w="383" w:type="pct"/>
          </w:tcPr>
          <w:p w14:paraId="3492E5F3" w14:textId="77777777" w:rsidR="005E000F" w:rsidRDefault="00000000">
            <w:pPr>
              <w:jc w:val="right"/>
              <w:rPr>
                <w:sz w:val="15"/>
                <w:szCs w:val="15"/>
                <w:lang w:eastAsia="en-US"/>
              </w:rPr>
            </w:pPr>
            <w:r>
              <w:rPr>
                <w:sz w:val="15"/>
                <w:szCs w:val="15"/>
              </w:rPr>
              <w:t>97,163,494</w:t>
            </w:r>
          </w:p>
        </w:tc>
        <w:tc>
          <w:tcPr>
            <w:tcW w:w="410" w:type="pct"/>
          </w:tcPr>
          <w:p w14:paraId="028C604A" w14:textId="77777777" w:rsidR="005E000F" w:rsidRDefault="00000000">
            <w:pPr>
              <w:jc w:val="right"/>
              <w:rPr>
                <w:sz w:val="15"/>
                <w:szCs w:val="15"/>
                <w:lang w:eastAsia="en-US"/>
              </w:rPr>
            </w:pPr>
            <w:r>
              <w:rPr>
                <w:sz w:val="15"/>
                <w:szCs w:val="15"/>
              </w:rPr>
              <w:t>2,917,565,912</w:t>
            </w:r>
          </w:p>
        </w:tc>
        <w:tc>
          <w:tcPr>
            <w:tcW w:w="410" w:type="pct"/>
          </w:tcPr>
          <w:p w14:paraId="5E56B585" w14:textId="77777777" w:rsidR="005E000F" w:rsidRDefault="00000000">
            <w:pPr>
              <w:jc w:val="right"/>
              <w:rPr>
                <w:sz w:val="15"/>
                <w:szCs w:val="15"/>
                <w:lang w:eastAsia="en-US"/>
              </w:rPr>
            </w:pPr>
            <w:r>
              <w:rPr>
                <w:sz w:val="15"/>
                <w:szCs w:val="15"/>
              </w:rPr>
              <w:t>3,014,729,406</w:t>
            </w:r>
          </w:p>
        </w:tc>
        <w:tc>
          <w:tcPr>
            <w:tcW w:w="383" w:type="pct"/>
          </w:tcPr>
          <w:p w14:paraId="3F7EA9D4" w14:textId="77777777" w:rsidR="005E000F" w:rsidRDefault="00000000">
            <w:pPr>
              <w:jc w:val="right"/>
              <w:rPr>
                <w:sz w:val="15"/>
                <w:szCs w:val="15"/>
                <w:lang w:eastAsia="en-US"/>
              </w:rPr>
            </w:pPr>
            <w:r>
              <w:rPr>
                <w:sz w:val="15"/>
                <w:szCs w:val="15"/>
              </w:rPr>
              <w:t>1,241,362,315</w:t>
            </w:r>
          </w:p>
        </w:tc>
        <w:tc>
          <w:tcPr>
            <w:tcW w:w="383" w:type="pct"/>
          </w:tcPr>
          <w:p w14:paraId="7945F3D1" w14:textId="77777777" w:rsidR="005E000F" w:rsidRDefault="00000000">
            <w:pPr>
              <w:jc w:val="right"/>
              <w:rPr>
                <w:sz w:val="15"/>
                <w:szCs w:val="15"/>
                <w:lang w:eastAsia="en-US"/>
              </w:rPr>
            </w:pPr>
            <w:r>
              <w:rPr>
                <w:sz w:val="15"/>
                <w:szCs w:val="15"/>
              </w:rPr>
              <w:t>981,117,611</w:t>
            </w:r>
          </w:p>
        </w:tc>
        <w:tc>
          <w:tcPr>
            <w:tcW w:w="384" w:type="pct"/>
          </w:tcPr>
          <w:p w14:paraId="0BA795E9" w14:textId="77777777" w:rsidR="005E000F" w:rsidRDefault="00000000">
            <w:pPr>
              <w:jc w:val="right"/>
              <w:rPr>
                <w:sz w:val="15"/>
                <w:szCs w:val="15"/>
                <w:lang w:eastAsia="en-US"/>
              </w:rPr>
            </w:pPr>
            <w:r>
              <w:rPr>
                <w:sz w:val="15"/>
                <w:szCs w:val="15"/>
              </w:rPr>
              <w:t>2,222,479,926</w:t>
            </w:r>
          </w:p>
        </w:tc>
      </w:tr>
      <w:tr w:rsidR="005E000F" w14:paraId="1BF27ACE" w14:textId="77777777">
        <w:tc>
          <w:tcPr>
            <w:tcW w:w="359" w:type="pct"/>
          </w:tcPr>
          <w:p w14:paraId="17445B7D" w14:textId="77777777" w:rsidR="005E000F" w:rsidRDefault="00000000">
            <w:pPr>
              <w:jc w:val="both"/>
              <w:rPr>
                <w:sz w:val="15"/>
                <w:szCs w:val="15"/>
              </w:rPr>
            </w:pPr>
            <w:r>
              <w:rPr>
                <w:sz w:val="15"/>
                <w:szCs w:val="15"/>
              </w:rPr>
              <w:t>西南环</w:t>
            </w:r>
            <w:r>
              <w:rPr>
                <w:rFonts w:hint="eastAsia"/>
                <w:sz w:val="15"/>
                <w:szCs w:val="15"/>
              </w:rPr>
              <w:t>公司</w:t>
            </w:r>
          </w:p>
        </w:tc>
        <w:tc>
          <w:tcPr>
            <w:tcW w:w="383" w:type="pct"/>
            <w:vAlign w:val="center"/>
          </w:tcPr>
          <w:p w14:paraId="34768887" w14:textId="77777777" w:rsidR="005E000F" w:rsidRDefault="00000000">
            <w:pPr>
              <w:jc w:val="right"/>
              <w:rPr>
                <w:sz w:val="15"/>
                <w:szCs w:val="15"/>
              </w:rPr>
            </w:pPr>
            <w:r>
              <w:rPr>
                <w:sz w:val="15"/>
                <w:szCs w:val="15"/>
              </w:rPr>
              <w:t xml:space="preserve"> 125,397,113 </w:t>
            </w:r>
          </w:p>
        </w:tc>
        <w:tc>
          <w:tcPr>
            <w:tcW w:w="383" w:type="pct"/>
            <w:vAlign w:val="center"/>
          </w:tcPr>
          <w:p w14:paraId="42606CC6" w14:textId="77777777" w:rsidR="005E000F" w:rsidRDefault="00000000">
            <w:pPr>
              <w:jc w:val="right"/>
              <w:rPr>
                <w:sz w:val="15"/>
                <w:szCs w:val="15"/>
              </w:rPr>
            </w:pPr>
            <w:r>
              <w:rPr>
                <w:sz w:val="15"/>
                <w:szCs w:val="15"/>
              </w:rPr>
              <w:t xml:space="preserve">9,489,525,040 </w:t>
            </w:r>
          </w:p>
        </w:tc>
        <w:tc>
          <w:tcPr>
            <w:tcW w:w="409" w:type="pct"/>
            <w:vAlign w:val="center"/>
          </w:tcPr>
          <w:p w14:paraId="0839B795" w14:textId="77777777" w:rsidR="005E000F" w:rsidRDefault="00000000">
            <w:pPr>
              <w:jc w:val="right"/>
              <w:rPr>
                <w:sz w:val="15"/>
                <w:szCs w:val="15"/>
              </w:rPr>
            </w:pPr>
            <w:r>
              <w:rPr>
                <w:sz w:val="15"/>
                <w:szCs w:val="15"/>
              </w:rPr>
              <w:t xml:space="preserve"> 9,614,922,153 </w:t>
            </w:r>
          </w:p>
        </w:tc>
        <w:tc>
          <w:tcPr>
            <w:tcW w:w="343" w:type="pct"/>
            <w:vAlign w:val="center"/>
          </w:tcPr>
          <w:p w14:paraId="294485D4" w14:textId="77777777" w:rsidR="005E000F" w:rsidRDefault="00000000">
            <w:pPr>
              <w:jc w:val="both"/>
              <w:rPr>
                <w:sz w:val="15"/>
                <w:szCs w:val="15"/>
              </w:rPr>
            </w:pPr>
            <w:r>
              <w:rPr>
                <w:sz w:val="15"/>
                <w:szCs w:val="15"/>
              </w:rPr>
              <w:t xml:space="preserve">642,127,646 </w:t>
            </w:r>
          </w:p>
        </w:tc>
        <w:tc>
          <w:tcPr>
            <w:tcW w:w="383" w:type="pct"/>
            <w:vAlign w:val="center"/>
          </w:tcPr>
          <w:p w14:paraId="44CEE06B" w14:textId="77777777" w:rsidR="005E000F" w:rsidRDefault="00000000">
            <w:pPr>
              <w:jc w:val="right"/>
              <w:rPr>
                <w:sz w:val="15"/>
                <w:szCs w:val="15"/>
              </w:rPr>
            </w:pPr>
            <w:r>
              <w:rPr>
                <w:sz w:val="15"/>
                <w:szCs w:val="15"/>
              </w:rPr>
              <w:t xml:space="preserve">3,752,950,000 </w:t>
            </w:r>
          </w:p>
        </w:tc>
        <w:tc>
          <w:tcPr>
            <w:tcW w:w="384" w:type="pct"/>
            <w:vAlign w:val="center"/>
          </w:tcPr>
          <w:p w14:paraId="4F8450DF" w14:textId="77777777" w:rsidR="005E000F" w:rsidRDefault="00000000">
            <w:pPr>
              <w:jc w:val="right"/>
              <w:rPr>
                <w:sz w:val="15"/>
                <w:szCs w:val="15"/>
              </w:rPr>
            </w:pPr>
            <w:r>
              <w:rPr>
                <w:sz w:val="15"/>
                <w:szCs w:val="15"/>
              </w:rPr>
              <w:t xml:space="preserve">4,395,077,646 </w:t>
            </w:r>
          </w:p>
        </w:tc>
        <w:tc>
          <w:tcPr>
            <w:tcW w:w="383" w:type="pct"/>
          </w:tcPr>
          <w:p w14:paraId="221F5959" w14:textId="77777777" w:rsidR="005E000F" w:rsidRDefault="00000000">
            <w:pPr>
              <w:jc w:val="right"/>
              <w:rPr>
                <w:sz w:val="15"/>
                <w:szCs w:val="15"/>
                <w:lang w:eastAsia="en-US"/>
              </w:rPr>
            </w:pPr>
            <w:r>
              <w:rPr>
                <w:sz w:val="15"/>
                <w:szCs w:val="15"/>
              </w:rPr>
              <w:t>154,241,911</w:t>
            </w:r>
          </w:p>
        </w:tc>
        <w:tc>
          <w:tcPr>
            <w:tcW w:w="410" w:type="pct"/>
          </w:tcPr>
          <w:p w14:paraId="27B3791C" w14:textId="77777777" w:rsidR="005E000F" w:rsidRDefault="00000000">
            <w:pPr>
              <w:jc w:val="right"/>
              <w:rPr>
                <w:sz w:val="15"/>
                <w:szCs w:val="15"/>
                <w:lang w:eastAsia="en-US"/>
              </w:rPr>
            </w:pPr>
            <w:r>
              <w:rPr>
                <w:sz w:val="15"/>
                <w:szCs w:val="15"/>
              </w:rPr>
              <w:t>9,685,703,445</w:t>
            </w:r>
          </w:p>
        </w:tc>
        <w:tc>
          <w:tcPr>
            <w:tcW w:w="410" w:type="pct"/>
          </w:tcPr>
          <w:p w14:paraId="2B39EF7B" w14:textId="77777777" w:rsidR="005E000F" w:rsidRDefault="00000000">
            <w:pPr>
              <w:jc w:val="right"/>
              <w:rPr>
                <w:sz w:val="15"/>
                <w:szCs w:val="15"/>
                <w:lang w:eastAsia="en-US"/>
              </w:rPr>
            </w:pPr>
            <w:r>
              <w:rPr>
                <w:sz w:val="15"/>
                <w:szCs w:val="15"/>
              </w:rPr>
              <w:t>9,839,945,356</w:t>
            </w:r>
          </w:p>
        </w:tc>
        <w:tc>
          <w:tcPr>
            <w:tcW w:w="383" w:type="pct"/>
          </w:tcPr>
          <w:p w14:paraId="68A50006" w14:textId="77777777" w:rsidR="005E000F" w:rsidRDefault="00000000">
            <w:pPr>
              <w:jc w:val="right"/>
              <w:rPr>
                <w:sz w:val="15"/>
                <w:szCs w:val="15"/>
                <w:lang w:eastAsia="en-US"/>
              </w:rPr>
            </w:pPr>
            <w:r>
              <w:rPr>
                <w:sz w:val="15"/>
                <w:szCs w:val="15"/>
              </w:rPr>
              <w:t>178,134,943</w:t>
            </w:r>
          </w:p>
        </w:tc>
        <w:tc>
          <w:tcPr>
            <w:tcW w:w="383" w:type="pct"/>
          </w:tcPr>
          <w:p w14:paraId="1CFEC4D1" w14:textId="77777777" w:rsidR="005E000F" w:rsidRDefault="00000000">
            <w:pPr>
              <w:jc w:val="right"/>
              <w:rPr>
                <w:sz w:val="15"/>
                <w:szCs w:val="15"/>
                <w:lang w:eastAsia="en-US"/>
              </w:rPr>
            </w:pPr>
            <w:r>
              <w:rPr>
                <w:sz w:val="15"/>
                <w:szCs w:val="15"/>
              </w:rPr>
              <w:t>4,355,730,000</w:t>
            </w:r>
          </w:p>
        </w:tc>
        <w:tc>
          <w:tcPr>
            <w:tcW w:w="384" w:type="pct"/>
          </w:tcPr>
          <w:p w14:paraId="74D14935" w14:textId="77777777" w:rsidR="005E000F" w:rsidRDefault="00000000">
            <w:pPr>
              <w:jc w:val="right"/>
              <w:rPr>
                <w:sz w:val="15"/>
                <w:szCs w:val="15"/>
                <w:lang w:eastAsia="en-US"/>
              </w:rPr>
            </w:pPr>
            <w:r>
              <w:rPr>
                <w:sz w:val="15"/>
                <w:szCs w:val="15"/>
              </w:rPr>
              <w:t>4,533,864,943</w:t>
            </w:r>
          </w:p>
        </w:tc>
      </w:tr>
    </w:tbl>
    <w:p w14:paraId="405DF0C0" w14:textId="77777777" w:rsidR="005E000F" w:rsidRDefault="005E000F">
      <w:pPr>
        <w:rPr>
          <w:rFonts w:cs="Arial"/>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888"/>
        <w:gridCol w:w="1459"/>
        <w:gridCol w:w="1495"/>
        <w:gridCol w:w="1614"/>
        <w:gridCol w:w="1524"/>
        <w:gridCol w:w="1456"/>
        <w:gridCol w:w="1540"/>
        <w:gridCol w:w="1656"/>
      </w:tblGrid>
      <w:tr w:rsidR="005E000F" w14:paraId="72266B22" w14:textId="77777777">
        <w:trPr>
          <w:trHeight w:val="241"/>
        </w:trPr>
        <w:sdt>
          <w:sdtPr>
            <w:tag w:val="_PLD_f862f5520ccd48d7b0fd3b875414eb44"/>
            <w:id w:val="1852527864"/>
          </w:sdtPr>
          <w:sdtContent>
            <w:tc>
              <w:tcPr>
                <w:tcW w:w="514" w:type="pct"/>
                <w:vMerge w:val="restart"/>
                <w:vAlign w:val="center"/>
              </w:tcPr>
              <w:p w14:paraId="6EE9CD44" w14:textId="77777777" w:rsidR="005E000F" w:rsidRDefault="00000000">
                <w:pPr>
                  <w:spacing w:line="276" w:lineRule="auto"/>
                  <w:ind w:right="-16"/>
                  <w:jc w:val="center"/>
                  <w:rPr>
                    <w:rFonts w:cs="Arial"/>
                    <w:bCs/>
                  </w:rPr>
                </w:pPr>
                <w:r>
                  <w:rPr>
                    <w:rFonts w:cs="Arial" w:hint="eastAsia"/>
                    <w:bCs/>
                    <w:lang w:val="en-GB"/>
                  </w:rPr>
                  <w:t>子公司名称</w:t>
                </w:r>
              </w:p>
            </w:tc>
          </w:sdtContent>
        </w:sdt>
        <w:sdt>
          <w:sdtPr>
            <w:tag w:val="_PLD_5506f9b7657a4249a69db52c93f94b62"/>
            <w:id w:val="265194792"/>
          </w:sdtPr>
          <w:sdtContent>
            <w:tc>
              <w:tcPr>
                <w:tcW w:w="2292" w:type="pct"/>
                <w:gridSpan w:val="4"/>
                <w:vAlign w:val="center"/>
              </w:tcPr>
              <w:p w14:paraId="1A74898A" w14:textId="77777777" w:rsidR="005E000F" w:rsidRDefault="00000000">
                <w:pPr>
                  <w:spacing w:line="276" w:lineRule="auto"/>
                  <w:ind w:right="-16"/>
                  <w:jc w:val="center"/>
                  <w:rPr>
                    <w:rFonts w:cs="Arial"/>
                    <w:bCs/>
                  </w:rPr>
                </w:pPr>
                <w:r>
                  <w:rPr>
                    <w:rFonts w:cs="Arial" w:hint="eastAsia"/>
                    <w:bCs/>
                    <w:lang w:val="en-GB"/>
                  </w:rPr>
                  <w:t>本期发生额</w:t>
                </w:r>
              </w:p>
            </w:tc>
          </w:sdtContent>
        </w:sdt>
        <w:sdt>
          <w:sdtPr>
            <w:tag w:val="_PLD_063dddde33114bd0989718130d614207"/>
            <w:id w:val="-1986382119"/>
          </w:sdtPr>
          <w:sdtContent>
            <w:tc>
              <w:tcPr>
                <w:tcW w:w="2193" w:type="pct"/>
                <w:gridSpan w:val="4"/>
                <w:vAlign w:val="center"/>
              </w:tcPr>
              <w:p w14:paraId="03CD32E7" w14:textId="77777777" w:rsidR="005E000F" w:rsidRDefault="00000000">
                <w:pPr>
                  <w:spacing w:line="276" w:lineRule="auto"/>
                  <w:ind w:right="-16"/>
                  <w:jc w:val="center"/>
                  <w:rPr>
                    <w:rFonts w:cs="Arial"/>
                    <w:bCs/>
                  </w:rPr>
                </w:pPr>
                <w:r>
                  <w:rPr>
                    <w:rFonts w:cs="Arial" w:hint="eastAsia"/>
                    <w:bCs/>
                    <w:lang w:val="en-GB"/>
                  </w:rPr>
                  <w:t>上期发生额</w:t>
                </w:r>
              </w:p>
            </w:tc>
          </w:sdtContent>
        </w:sdt>
      </w:tr>
      <w:tr w:rsidR="005E000F" w14:paraId="0DA789EF" w14:textId="77777777">
        <w:trPr>
          <w:trHeight w:val="241"/>
        </w:trPr>
        <w:tc>
          <w:tcPr>
            <w:tcW w:w="514" w:type="pct"/>
            <w:vMerge/>
            <w:vAlign w:val="center"/>
          </w:tcPr>
          <w:p w14:paraId="46E8DF6D" w14:textId="77777777" w:rsidR="005E000F" w:rsidRDefault="005E000F">
            <w:pPr>
              <w:jc w:val="center"/>
              <w:rPr>
                <w:rFonts w:cs="Arial"/>
                <w:bCs/>
              </w:rPr>
            </w:pPr>
          </w:p>
        </w:tc>
        <w:sdt>
          <w:sdtPr>
            <w:tag w:val="_PLD_0ff6644b89fa49828839f84e0b320d2e"/>
            <w:id w:val="1851526237"/>
          </w:sdtPr>
          <w:sdtContent>
            <w:tc>
              <w:tcPr>
                <w:tcW w:w="670" w:type="pct"/>
                <w:vAlign w:val="center"/>
              </w:tcPr>
              <w:p w14:paraId="6ED03DF9" w14:textId="77777777" w:rsidR="005E000F" w:rsidRDefault="00000000">
                <w:pPr>
                  <w:spacing w:line="276" w:lineRule="auto"/>
                  <w:jc w:val="center"/>
                  <w:rPr>
                    <w:rFonts w:cs="Arial"/>
                  </w:rPr>
                </w:pPr>
                <w:r>
                  <w:rPr>
                    <w:rFonts w:cs="Arial" w:hint="eastAsia"/>
                    <w:lang w:val="en-GB"/>
                  </w:rPr>
                  <w:t>营业收入</w:t>
                </w:r>
              </w:p>
            </w:tc>
          </w:sdtContent>
        </w:sdt>
        <w:sdt>
          <w:sdtPr>
            <w:tag w:val="_PLD_3ed6f54533ae4b35b5749cded650328b"/>
            <w:id w:val="-1559933657"/>
          </w:sdtPr>
          <w:sdtContent>
            <w:tc>
              <w:tcPr>
                <w:tcW w:w="518" w:type="pct"/>
                <w:vAlign w:val="center"/>
              </w:tcPr>
              <w:p w14:paraId="45E67071" w14:textId="77777777" w:rsidR="005E000F" w:rsidRDefault="00000000">
                <w:pPr>
                  <w:spacing w:line="276" w:lineRule="auto"/>
                  <w:jc w:val="center"/>
                  <w:rPr>
                    <w:rFonts w:cs="Arial"/>
                  </w:rPr>
                </w:pPr>
                <w:r>
                  <w:rPr>
                    <w:rFonts w:cs="Arial" w:hint="eastAsia"/>
                    <w:lang w:val="en-GB"/>
                  </w:rPr>
                  <w:t>净利润</w:t>
                </w:r>
              </w:p>
            </w:tc>
          </w:sdtContent>
        </w:sdt>
        <w:sdt>
          <w:sdtPr>
            <w:tag w:val="_PLD_f277e496f88240b8a09027ca500f53c9"/>
            <w:id w:val="851225923"/>
          </w:sdtPr>
          <w:sdtContent>
            <w:tc>
              <w:tcPr>
                <w:tcW w:w="531" w:type="pct"/>
                <w:vAlign w:val="center"/>
              </w:tcPr>
              <w:p w14:paraId="347489F9" w14:textId="77777777" w:rsidR="005E000F" w:rsidRDefault="00000000">
                <w:pPr>
                  <w:spacing w:line="276" w:lineRule="auto"/>
                  <w:jc w:val="center"/>
                  <w:rPr>
                    <w:rFonts w:cs="Arial"/>
                  </w:rPr>
                </w:pPr>
                <w:r>
                  <w:rPr>
                    <w:rFonts w:cs="Arial" w:hint="eastAsia"/>
                    <w:lang w:val="en-GB"/>
                  </w:rPr>
                  <w:t>综合收益总额</w:t>
                </w:r>
              </w:p>
            </w:tc>
          </w:sdtContent>
        </w:sdt>
        <w:sdt>
          <w:sdtPr>
            <w:tag w:val="_PLD_b06ad8ebb20b4c158ab41b3105f22658"/>
            <w:id w:val="1293867078"/>
          </w:sdtPr>
          <w:sdtContent>
            <w:tc>
              <w:tcPr>
                <w:tcW w:w="573" w:type="pct"/>
                <w:vAlign w:val="center"/>
              </w:tcPr>
              <w:p w14:paraId="75DDF703" w14:textId="77777777" w:rsidR="005E000F" w:rsidRDefault="00000000">
                <w:pPr>
                  <w:spacing w:line="276" w:lineRule="auto"/>
                  <w:jc w:val="center"/>
                  <w:rPr>
                    <w:rFonts w:cs="Arial"/>
                  </w:rPr>
                </w:pPr>
                <w:r>
                  <w:rPr>
                    <w:rFonts w:cs="Arial" w:hint="eastAsia"/>
                    <w:lang w:val="en-GB"/>
                  </w:rPr>
                  <w:t>经营活动现金流量</w:t>
                </w:r>
              </w:p>
            </w:tc>
          </w:sdtContent>
        </w:sdt>
        <w:sdt>
          <w:sdtPr>
            <w:tag w:val="_PLD_4fc4163d4ea74839b6634e2ab30a43dd"/>
            <w:id w:val="1619562313"/>
          </w:sdtPr>
          <w:sdtContent>
            <w:tc>
              <w:tcPr>
                <w:tcW w:w="541" w:type="pct"/>
                <w:vAlign w:val="center"/>
              </w:tcPr>
              <w:p w14:paraId="5F5A1AF6" w14:textId="77777777" w:rsidR="005E000F" w:rsidRDefault="00000000">
                <w:pPr>
                  <w:spacing w:line="276" w:lineRule="auto"/>
                  <w:jc w:val="center"/>
                  <w:rPr>
                    <w:rFonts w:cs="Arial"/>
                  </w:rPr>
                </w:pPr>
                <w:r>
                  <w:rPr>
                    <w:rFonts w:cs="Arial" w:hint="eastAsia"/>
                    <w:lang w:val="en-GB"/>
                  </w:rPr>
                  <w:t>营业收入</w:t>
                </w:r>
              </w:p>
            </w:tc>
          </w:sdtContent>
        </w:sdt>
        <w:sdt>
          <w:sdtPr>
            <w:tag w:val="_PLD_afe353d057d34119880797ab0530197f"/>
            <w:id w:val="816927959"/>
          </w:sdtPr>
          <w:sdtContent>
            <w:tc>
              <w:tcPr>
                <w:tcW w:w="517" w:type="pct"/>
                <w:vAlign w:val="center"/>
              </w:tcPr>
              <w:p w14:paraId="1EC9265C" w14:textId="77777777" w:rsidR="005E000F" w:rsidRDefault="00000000">
                <w:pPr>
                  <w:spacing w:line="276" w:lineRule="auto"/>
                  <w:jc w:val="center"/>
                  <w:rPr>
                    <w:rFonts w:cs="Arial"/>
                  </w:rPr>
                </w:pPr>
                <w:r>
                  <w:rPr>
                    <w:rFonts w:cs="Arial" w:hint="eastAsia"/>
                    <w:lang w:val="en-GB"/>
                  </w:rPr>
                  <w:t>净利润</w:t>
                </w:r>
              </w:p>
            </w:tc>
          </w:sdtContent>
        </w:sdt>
        <w:sdt>
          <w:sdtPr>
            <w:tag w:val="_PLD_06c5ed8a09a8478bb7daf6526e9a9894"/>
            <w:id w:val="365874622"/>
          </w:sdtPr>
          <w:sdtContent>
            <w:tc>
              <w:tcPr>
                <w:tcW w:w="547" w:type="pct"/>
                <w:vAlign w:val="center"/>
              </w:tcPr>
              <w:p w14:paraId="25D16CD8" w14:textId="77777777" w:rsidR="005E000F" w:rsidRDefault="00000000">
                <w:pPr>
                  <w:spacing w:line="276" w:lineRule="auto"/>
                  <w:jc w:val="center"/>
                  <w:rPr>
                    <w:rFonts w:cs="Arial"/>
                  </w:rPr>
                </w:pPr>
                <w:r>
                  <w:rPr>
                    <w:rFonts w:cs="Arial" w:hint="eastAsia"/>
                    <w:lang w:val="en-GB"/>
                  </w:rPr>
                  <w:t>综合收益总额</w:t>
                </w:r>
              </w:p>
            </w:tc>
          </w:sdtContent>
        </w:sdt>
        <w:sdt>
          <w:sdtPr>
            <w:tag w:val="_PLD_4bb5318561af41709725de1d7e458dde"/>
            <w:id w:val="1258476220"/>
          </w:sdtPr>
          <w:sdtContent>
            <w:tc>
              <w:tcPr>
                <w:tcW w:w="588" w:type="pct"/>
                <w:vAlign w:val="center"/>
              </w:tcPr>
              <w:p w14:paraId="6E4950A4" w14:textId="77777777" w:rsidR="005E000F" w:rsidRDefault="00000000">
                <w:pPr>
                  <w:spacing w:line="276" w:lineRule="auto"/>
                  <w:jc w:val="center"/>
                  <w:rPr>
                    <w:rFonts w:cs="Arial"/>
                  </w:rPr>
                </w:pPr>
                <w:r>
                  <w:rPr>
                    <w:rFonts w:cs="Arial" w:hint="eastAsia"/>
                    <w:lang w:val="en-GB"/>
                  </w:rPr>
                  <w:t>经营活动现金流量</w:t>
                </w:r>
              </w:p>
            </w:tc>
          </w:sdtContent>
        </w:sdt>
      </w:tr>
      <w:tr w:rsidR="005E000F" w14:paraId="5DE406C9" w14:textId="77777777">
        <w:tc>
          <w:tcPr>
            <w:tcW w:w="514" w:type="pct"/>
            <w:shd w:val="clear" w:color="auto" w:fill="auto"/>
          </w:tcPr>
          <w:p w14:paraId="6F634E18" w14:textId="77777777" w:rsidR="005E000F" w:rsidRDefault="00000000">
            <w:pPr>
              <w:spacing w:line="276" w:lineRule="auto"/>
              <w:rPr>
                <w:lang w:eastAsia="en-US"/>
              </w:rPr>
            </w:pPr>
            <w:r>
              <w:t>唐港公司</w:t>
            </w:r>
          </w:p>
        </w:tc>
        <w:tc>
          <w:tcPr>
            <w:tcW w:w="670" w:type="pct"/>
            <w:shd w:val="clear" w:color="auto" w:fill="auto"/>
            <w:vAlign w:val="center"/>
          </w:tcPr>
          <w:p w14:paraId="4FB7D85E" w14:textId="77777777" w:rsidR="005E000F" w:rsidRDefault="00000000">
            <w:pPr>
              <w:spacing w:line="276" w:lineRule="auto"/>
              <w:jc w:val="right"/>
            </w:pPr>
            <w:r>
              <w:t xml:space="preserve"> 6,308,482,478 </w:t>
            </w:r>
          </w:p>
        </w:tc>
        <w:tc>
          <w:tcPr>
            <w:tcW w:w="518" w:type="pct"/>
            <w:shd w:val="clear" w:color="auto" w:fill="auto"/>
            <w:vAlign w:val="center"/>
          </w:tcPr>
          <w:p w14:paraId="5AF46C7B" w14:textId="77777777" w:rsidR="005E000F" w:rsidRDefault="00000000">
            <w:pPr>
              <w:spacing w:line="276" w:lineRule="auto"/>
              <w:jc w:val="right"/>
            </w:pPr>
            <w:r>
              <w:t xml:space="preserve">1,336,412,193 </w:t>
            </w:r>
          </w:p>
        </w:tc>
        <w:tc>
          <w:tcPr>
            <w:tcW w:w="531" w:type="pct"/>
            <w:shd w:val="clear" w:color="auto" w:fill="auto"/>
            <w:vAlign w:val="center"/>
          </w:tcPr>
          <w:p w14:paraId="6DF29ED2" w14:textId="77777777" w:rsidR="005E000F" w:rsidRDefault="00000000">
            <w:pPr>
              <w:spacing w:line="276" w:lineRule="auto"/>
              <w:jc w:val="right"/>
            </w:pPr>
            <w:r>
              <w:t xml:space="preserve">1,337,765,773 </w:t>
            </w:r>
          </w:p>
        </w:tc>
        <w:tc>
          <w:tcPr>
            <w:tcW w:w="573" w:type="pct"/>
            <w:shd w:val="clear" w:color="auto" w:fill="auto"/>
            <w:vAlign w:val="center"/>
          </w:tcPr>
          <w:p w14:paraId="0FC3CCF6" w14:textId="77777777" w:rsidR="005E000F" w:rsidRDefault="00000000">
            <w:pPr>
              <w:spacing w:line="276" w:lineRule="auto"/>
              <w:jc w:val="right"/>
            </w:pPr>
            <w:r>
              <w:t xml:space="preserve"> 1,371,757,184 </w:t>
            </w:r>
          </w:p>
        </w:tc>
        <w:tc>
          <w:tcPr>
            <w:tcW w:w="541" w:type="pct"/>
            <w:shd w:val="clear" w:color="auto" w:fill="auto"/>
          </w:tcPr>
          <w:p w14:paraId="659AB7C8" w14:textId="77777777" w:rsidR="005E000F" w:rsidRDefault="00000000">
            <w:pPr>
              <w:spacing w:line="276" w:lineRule="auto"/>
              <w:jc w:val="right"/>
              <w:rPr>
                <w:lang w:eastAsia="en-US"/>
              </w:rPr>
            </w:pPr>
            <w:r>
              <w:t>5,674,378,934</w:t>
            </w:r>
          </w:p>
        </w:tc>
        <w:tc>
          <w:tcPr>
            <w:tcW w:w="517" w:type="pct"/>
            <w:shd w:val="clear" w:color="auto" w:fill="auto"/>
          </w:tcPr>
          <w:p w14:paraId="7B895941" w14:textId="77777777" w:rsidR="005E000F" w:rsidRDefault="00000000">
            <w:pPr>
              <w:spacing w:line="276" w:lineRule="auto"/>
              <w:jc w:val="right"/>
              <w:rPr>
                <w:lang w:eastAsia="en-US"/>
              </w:rPr>
            </w:pPr>
            <w:r>
              <w:t>1,640,859,099</w:t>
            </w:r>
          </w:p>
        </w:tc>
        <w:tc>
          <w:tcPr>
            <w:tcW w:w="547" w:type="pct"/>
            <w:shd w:val="clear" w:color="auto" w:fill="auto"/>
          </w:tcPr>
          <w:p w14:paraId="5F321E81" w14:textId="77777777" w:rsidR="005E000F" w:rsidRDefault="00000000">
            <w:pPr>
              <w:spacing w:line="276" w:lineRule="auto"/>
              <w:jc w:val="right"/>
              <w:rPr>
                <w:lang w:eastAsia="en-US"/>
              </w:rPr>
            </w:pPr>
            <w:r>
              <w:t>1,637,821,559</w:t>
            </w:r>
          </w:p>
        </w:tc>
        <w:tc>
          <w:tcPr>
            <w:tcW w:w="588" w:type="pct"/>
            <w:shd w:val="clear" w:color="auto" w:fill="auto"/>
          </w:tcPr>
          <w:p w14:paraId="20C91980" w14:textId="77777777" w:rsidR="005E000F" w:rsidRDefault="00000000">
            <w:pPr>
              <w:spacing w:line="276" w:lineRule="auto"/>
              <w:jc w:val="right"/>
              <w:rPr>
                <w:lang w:eastAsia="en-US"/>
              </w:rPr>
            </w:pPr>
            <w:r>
              <w:t>1,799,489,811</w:t>
            </w:r>
          </w:p>
        </w:tc>
      </w:tr>
      <w:tr w:rsidR="005E000F" w14:paraId="6C5541AB" w14:textId="77777777">
        <w:tc>
          <w:tcPr>
            <w:tcW w:w="514" w:type="pct"/>
          </w:tcPr>
          <w:p w14:paraId="0FE52B35" w14:textId="77777777" w:rsidR="005E000F" w:rsidRDefault="00000000">
            <w:pPr>
              <w:spacing w:line="276" w:lineRule="auto"/>
              <w:rPr>
                <w:lang w:eastAsia="en-US"/>
              </w:rPr>
            </w:pPr>
            <w:proofErr w:type="gramStart"/>
            <w:r>
              <w:t>侯禹公司</w:t>
            </w:r>
            <w:proofErr w:type="gramEnd"/>
          </w:p>
        </w:tc>
        <w:tc>
          <w:tcPr>
            <w:tcW w:w="670" w:type="pct"/>
            <w:vAlign w:val="center"/>
          </w:tcPr>
          <w:p w14:paraId="65B75017" w14:textId="77777777" w:rsidR="005E000F" w:rsidRDefault="00000000">
            <w:pPr>
              <w:spacing w:line="276" w:lineRule="auto"/>
              <w:jc w:val="right"/>
            </w:pPr>
            <w:r>
              <w:t xml:space="preserve"> 1,827,440,228 </w:t>
            </w:r>
          </w:p>
        </w:tc>
        <w:tc>
          <w:tcPr>
            <w:tcW w:w="518" w:type="pct"/>
            <w:vAlign w:val="center"/>
          </w:tcPr>
          <w:p w14:paraId="44887944" w14:textId="77777777" w:rsidR="005E000F" w:rsidRDefault="00000000">
            <w:pPr>
              <w:spacing w:line="276" w:lineRule="auto"/>
              <w:jc w:val="right"/>
            </w:pPr>
            <w:r>
              <w:t xml:space="preserve"> 74,520,769 </w:t>
            </w:r>
          </w:p>
        </w:tc>
        <w:tc>
          <w:tcPr>
            <w:tcW w:w="531" w:type="pct"/>
            <w:vAlign w:val="center"/>
          </w:tcPr>
          <w:p w14:paraId="42A109A8" w14:textId="77777777" w:rsidR="005E000F" w:rsidRDefault="00000000">
            <w:pPr>
              <w:spacing w:line="276" w:lineRule="auto"/>
              <w:jc w:val="right"/>
            </w:pPr>
            <w:r>
              <w:t xml:space="preserve"> 74,521,382 </w:t>
            </w:r>
          </w:p>
        </w:tc>
        <w:tc>
          <w:tcPr>
            <w:tcW w:w="573" w:type="pct"/>
            <w:vAlign w:val="center"/>
          </w:tcPr>
          <w:p w14:paraId="36FC57B6" w14:textId="77777777" w:rsidR="005E000F" w:rsidRDefault="00000000">
            <w:pPr>
              <w:spacing w:line="276" w:lineRule="auto"/>
              <w:jc w:val="right"/>
            </w:pPr>
            <w:r>
              <w:t xml:space="preserve"> 127,971,853 </w:t>
            </w:r>
          </w:p>
        </w:tc>
        <w:tc>
          <w:tcPr>
            <w:tcW w:w="541" w:type="pct"/>
          </w:tcPr>
          <w:p w14:paraId="09BDA741" w14:textId="77777777" w:rsidR="005E000F" w:rsidRDefault="00000000">
            <w:pPr>
              <w:spacing w:line="276" w:lineRule="auto"/>
              <w:jc w:val="right"/>
              <w:rPr>
                <w:lang w:eastAsia="en-US"/>
              </w:rPr>
            </w:pPr>
            <w:r>
              <w:t>1,805,618,352</w:t>
            </w:r>
          </w:p>
        </w:tc>
        <w:tc>
          <w:tcPr>
            <w:tcW w:w="517" w:type="pct"/>
          </w:tcPr>
          <w:p w14:paraId="4BC61CB0" w14:textId="77777777" w:rsidR="005E000F" w:rsidRDefault="00000000">
            <w:pPr>
              <w:spacing w:line="276" w:lineRule="auto"/>
              <w:jc w:val="right"/>
              <w:rPr>
                <w:lang w:eastAsia="en-US"/>
              </w:rPr>
            </w:pPr>
            <w:r>
              <w:t>162,744,408</w:t>
            </w:r>
          </w:p>
        </w:tc>
        <w:tc>
          <w:tcPr>
            <w:tcW w:w="547" w:type="pct"/>
          </w:tcPr>
          <w:p w14:paraId="0A476EFF" w14:textId="77777777" w:rsidR="005E000F" w:rsidRDefault="00000000">
            <w:pPr>
              <w:spacing w:line="276" w:lineRule="auto"/>
              <w:jc w:val="right"/>
              <w:rPr>
                <w:lang w:eastAsia="en-US"/>
              </w:rPr>
            </w:pPr>
            <w:r>
              <w:t>162,744,408</w:t>
            </w:r>
          </w:p>
        </w:tc>
        <w:tc>
          <w:tcPr>
            <w:tcW w:w="588" w:type="pct"/>
          </w:tcPr>
          <w:p w14:paraId="7179E50E" w14:textId="77777777" w:rsidR="005E000F" w:rsidRDefault="00000000">
            <w:pPr>
              <w:spacing w:line="276" w:lineRule="auto"/>
              <w:jc w:val="right"/>
              <w:rPr>
                <w:lang w:eastAsia="en-US"/>
              </w:rPr>
            </w:pPr>
            <w:r>
              <w:t>254,978,929</w:t>
            </w:r>
          </w:p>
        </w:tc>
      </w:tr>
      <w:tr w:rsidR="005E000F" w14:paraId="3F5EEB48" w14:textId="77777777">
        <w:tc>
          <w:tcPr>
            <w:tcW w:w="514" w:type="pct"/>
          </w:tcPr>
          <w:p w14:paraId="1DC5396E" w14:textId="77777777" w:rsidR="005E000F" w:rsidRDefault="00000000">
            <w:pPr>
              <w:spacing w:line="276" w:lineRule="auto"/>
              <w:rPr>
                <w:lang w:eastAsia="en-US"/>
              </w:rPr>
            </w:pPr>
            <w:proofErr w:type="gramStart"/>
            <w:r>
              <w:t>太兴</w:t>
            </w:r>
            <w:proofErr w:type="gramEnd"/>
            <w:r>
              <w:t>公司</w:t>
            </w:r>
          </w:p>
        </w:tc>
        <w:tc>
          <w:tcPr>
            <w:tcW w:w="670" w:type="pct"/>
            <w:vAlign w:val="center"/>
          </w:tcPr>
          <w:p w14:paraId="3238F1A0" w14:textId="77777777" w:rsidR="005E000F" w:rsidRDefault="00000000">
            <w:pPr>
              <w:spacing w:line="276" w:lineRule="auto"/>
              <w:jc w:val="right"/>
            </w:pPr>
            <w:r>
              <w:t xml:space="preserve"> 1,589,630,625 </w:t>
            </w:r>
          </w:p>
        </w:tc>
        <w:tc>
          <w:tcPr>
            <w:tcW w:w="518" w:type="pct"/>
            <w:vAlign w:val="center"/>
          </w:tcPr>
          <w:p w14:paraId="4D9A5799" w14:textId="77777777" w:rsidR="005E000F" w:rsidRDefault="00000000">
            <w:pPr>
              <w:spacing w:line="276" w:lineRule="auto"/>
              <w:jc w:val="right"/>
            </w:pPr>
            <w:r>
              <w:t xml:space="preserve"> -262,043,434 </w:t>
            </w:r>
          </w:p>
        </w:tc>
        <w:tc>
          <w:tcPr>
            <w:tcW w:w="531" w:type="pct"/>
            <w:vAlign w:val="center"/>
          </w:tcPr>
          <w:p w14:paraId="351F6592" w14:textId="77777777" w:rsidR="005E000F" w:rsidRDefault="00000000">
            <w:pPr>
              <w:spacing w:line="276" w:lineRule="auto"/>
              <w:jc w:val="right"/>
            </w:pPr>
            <w:r>
              <w:t xml:space="preserve"> -262,043,408 </w:t>
            </w:r>
          </w:p>
        </w:tc>
        <w:tc>
          <w:tcPr>
            <w:tcW w:w="573" w:type="pct"/>
            <w:vAlign w:val="center"/>
          </w:tcPr>
          <w:p w14:paraId="1088557A" w14:textId="77777777" w:rsidR="005E000F" w:rsidRDefault="00000000">
            <w:pPr>
              <w:spacing w:line="276" w:lineRule="auto"/>
              <w:jc w:val="right"/>
            </w:pPr>
            <w:r>
              <w:t xml:space="preserve"> 76,152,157 </w:t>
            </w:r>
          </w:p>
        </w:tc>
        <w:tc>
          <w:tcPr>
            <w:tcW w:w="541" w:type="pct"/>
          </w:tcPr>
          <w:p w14:paraId="5943EF14" w14:textId="77777777" w:rsidR="005E000F" w:rsidRDefault="00000000">
            <w:pPr>
              <w:spacing w:line="276" w:lineRule="auto"/>
              <w:jc w:val="right"/>
              <w:rPr>
                <w:lang w:eastAsia="en-US"/>
              </w:rPr>
            </w:pPr>
            <w:r>
              <w:t>1,778,376,671</w:t>
            </w:r>
          </w:p>
        </w:tc>
        <w:tc>
          <w:tcPr>
            <w:tcW w:w="517" w:type="pct"/>
          </w:tcPr>
          <w:p w14:paraId="1E37B03A" w14:textId="77777777" w:rsidR="005E000F" w:rsidRDefault="00000000">
            <w:pPr>
              <w:spacing w:line="276" w:lineRule="auto"/>
              <w:jc w:val="right"/>
              <w:rPr>
                <w:lang w:eastAsia="en-US"/>
              </w:rPr>
            </w:pPr>
            <w:r>
              <w:t>3,990,430</w:t>
            </w:r>
          </w:p>
        </w:tc>
        <w:tc>
          <w:tcPr>
            <w:tcW w:w="547" w:type="pct"/>
          </w:tcPr>
          <w:p w14:paraId="5970725E" w14:textId="77777777" w:rsidR="005E000F" w:rsidRDefault="00000000">
            <w:pPr>
              <w:spacing w:line="276" w:lineRule="auto"/>
              <w:jc w:val="right"/>
              <w:rPr>
                <w:lang w:eastAsia="en-US"/>
              </w:rPr>
            </w:pPr>
            <w:r>
              <w:t>3,990,430</w:t>
            </w:r>
          </w:p>
        </w:tc>
        <w:tc>
          <w:tcPr>
            <w:tcW w:w="588" w:type="pct"/>
          </w:tcPr>
          <w:p w14:paraId="49E05D0F" w14:textId="77777777" w:rsidR="005E000F" w:rsidRDefault="00000000">
            <w:pPr>
              <w:spacing w:line="276" w:lineRule="auto"/>
              <w:jc w:val="right"/>
              <w:rPr>
                <w:lang w:eastAsia="en-US"/>
              </w:rPr>
            </w:pPr>
            <w:r>
              <w:t>328,479,445</w:t>
            </w:r>
          </w:p>
        </w:tc>
      </w:tr>
      <w:tr w:rsidR="005E000F" w14:paraId="0D5C28EE" w14:textId="77777777">
        <w:tc>
          <w:tcPr>
            <w:tcW w:w="514" w:type="pct"/>
          </w:tcPr>
          <w:p w14:paraId="3774F309" w14:textId="77777777" w:rsidR="005E000F" w:rsidRDefault="00000000">
            <w:pPr>
              <w:spacing w:line="276" w:lineRule="auto"/>
            </w:pPr>
            <w:r>
              <w:t>中鼎</w:t>
            </w:r>
            <w:r>
              <w:rPr>
                <w:rFonts w:hint="eastAsia"/>
              </w:rPr>
              <w:t>公司</w:t>
            </w:r>
          </w:p>
        </w:tc>
        <w:tc>
          <w:tcPr>
            <w:tcW w:w="670" w:type="pct"/>
            <w:vAlign w:val="center"/>
          </w:tcPr>
          <w:p w14:paraId="1C9C7DDC" w14:textId="77777777" w:rsidR="005E000F" w:rsidRDefault="00000000">
            <w:pPr>
              <w:spacing w:line="276" w:lineRule="auto"/>
              <w:jc w:val="right"/>
            </w:pPr>
            <w:r>
              <w:t xml:space="preserve"> 127,442,014 </w:t>
            </w:r>
          </w:p>
        </w:tc>
        <w:tc>
          <w:tcPr>
            <w:tcW w:w="518" w:type="pct"/>
            <w:vAlign w:val="center"/>
          </w:tcPr>
          <w:p w14:paraId="3A950F61" w14:textId="77777777" w:rsidR="005E000F" w:rsidRDefault="00000000">
            <w:pPr>
              <w:spacing w:line="276" w:lineRule="auto"/>
              <w:jc w:val="right"/>
            </w:pPr>
            <w:r>
              <w:t xml:space="preserve"> -122,933,440 </w:t>
            </w:r>
          </w:p>
        </w:tc>
        <w:tc>
          <w:tcPr>
            <w:tcW w:w="531" w:type="pct"/>
            <w:vAlign w:val="center"/>
          </w:tcPr>
          <w:p w14:paraId="037BC765" w14:textId="77777777" w:rsidR="005E000F" w:rsidRDefault="00000000">
            <w:pPr>
              <w:spacing w:line="276" w:lineRule="auto"/>
              <w:jc w:val="right"/>
            </w:pPr>
            <w:r>
              <w:t xml:space="preserve"> -122,940,287 </w:t>
            </w:r>
          </w:p>
        </w:tc>
        <w:tc>
          <w:tcPr>
            <w:tcW w:w="573" w:type="pct"/>
            <w:vAlign w:val="center"/>
          </w:tcPr>
          <w:p w14:paraId="3E9D2849" w14:textId="77777777" w:rsidR="005E000F" w:rsidRDefault="00000000">
            <w:pPr>
              <w:spacing w:line="276" w:lineRule="auto"/>
              <w:jc w:val="right"/>
            </w:pPr>
            <w:r>
              <w:t xml:space="preserve"> 35,635,855 </w:t>
            </w:r>
          </w:p>
        </w:tc>
        <w:tc>
          <w:tcPr>
            <w:tcW w:w="541" w:type="pct"/>
          </w:tcPr>
          <w:p w14:paraId="2E1F5402" w14:textId="77777777" w:rsidR="005E000F" w:rsidRDefault="00000000">
            <w:pPr>
              <w:spacing w:line="276" w:lineRule="auto"/>
              <w:jc w:val="right"/>
              <w:rPr>
                <w:lang w:eastAsia="en-US"/>
              </w:rPr>
            </w:pPr>
            <w:r>
              <w:t>98,598,816</w:t>
            </w:r>
          </w:p>
        </w:tc>
        <w:tc>
          <w:tcPr>
            <w:tcW w:w="517" w:type="pct"/>
          </w:tcPr>
          <w:p w14:paraId="02E6A241" w14:textId="77777777" w:rsidR="005E000F" w:rsidRDefault="00000000">
            <w:pPr>
              <w:spacing w:line="276" w:lineRule="auto"/>
              <w:jc w:val="right"/>
              <w:rPr>
                <w:lang w:eastAsia="en-US"/>
              </w:rPr>
            </w:pPr>
            <w:r>
              <w:t>-164,957,889</w:t>
            </w:r>
          </w:p>
        </w:tc>
        <w:tc>
          <w:tcPr>
            <w:tcW w:w="547" w:type="pct"/>
          </w:tcPr>
          <w:p w14:paraId="64EB3CB3" w14:textId="77777777" w:rsidR="005E000F" w:rsidRDefault="00000000">
            <w:pPr>
              <w:spacing w:line="276" w:lineRule="auto"/>
              <w:jc w:val="right"/>
              <w:rPr>
                <w:lang w:eastAsia="en-US"/>
              </w:rPr>
            </w:pPr>
            <w:r>
              <w:t>-164,963,705</w:t>
            </w:r>
          </w:p>
        </w:tc>
        <w:tc>
          <w:tcPr>
            <w:tcW w:w="588" w:type="pct"/>
          </w:tcPr>
          <w:p w14:paraId="2F849BDD" w14:textId="77777777" w:rsidR="005E000F" w:rsidRDefault="00000000">
            <w:pPr>
              <w:spacing w:line="276" w:lineRule="auto"/>
              <w:jc w:val="right"/>
              <w:rPr>
                <w:lang w:eastAsia="en-US"/>
              </w:rPr>
            </w:pPr>
            <w:r>
              <w:t>41,750,808</w:t>
            </w:r>
          </w:p>
        </w:tc>
      </w:tr>
      <w:tr w:rsidR="005E000F" w14:paraId="5AC919B5" w14:textId="77777777">
        <w:tc>
          <w:tcPr>
            <w:tcW w:w="514" w:type="pct"/>
          </w:tcPr>
          <w:p w14:paraId="239AFC6B" w14:textId="77777777" w:rsidR="005E000F" w:rsidRDefault="00000000">
            <w:pPr>
              <w:spacing w:line="276" w:lineRule="auto"/>
            </w:pPr>
            <w:r>
              <w:t>西南环</w:t>
            </w:r>
            <w:r>
              <w:rPr>
                <w:rFonts w:hint="eastAsia"/>
              </w:rPr>
              <w:t>公司</w:t>
            </w:r>
          </w:p>
        </w:tc>
        <w:tc>
          <w:tcPr>
            <w:tcW w:w="670" w:type="pct"/>
            <w:vAlign w:val="center"/>
          </w:tcPr>
          <w:p w14:paraId="0BD25311" w14:textId="77777777" w:rsidR="005E000F" w:rsidRDefault="00000000">
            <w:pPr>
              <w:spacing w:line="276" w:lineRule="auto"/>
              <w:jc w:val="right"/>
            </w:pPr>
            <w:r>
              <w:t xml:space="preserve"> 554,870,136 </w:t>
            </w:r>
          </w:p>
        </w:tc>
        <w:tc>
          <w:tcPr>
            <w:tcW w:w="518" w:type="pct"/>
            <w:vAlign w:val="center"/>
          </w:tcPr>
          <w:p w14:paraId="1EC95D83" w14:textId="77777777" w:rsidR="005E000F" w:rsidRDefault="00000000">
            <w:pPr>
              <w:spacing w:line="276" w:lineRule="auto"/>
              <w:jc w:val="right"/>
            </w:pPr>
            <w:r>
              <w:t xml:space="preserve"> -85,630,507 </w:t>
            </w:r>
          </w:p>
        </w:tc>
        <w:tc>
          <w:tcPr>
            <w:tcW w:w="531" w:type="pct"/>
            <w:vAlign w:val="center"/>
          </w:tcPr>
          <w:p w14:paraId="2E15361E" w14:textId="77777777" w:rsidR="005E000F" w:rsidRDefault="00000000">
            <w:pPr>
              <w:spacing w:line="276" w:lineRule="auto"/>
              <w:jc w:val="right"/>
            </w:pPr>
            <w:r>
              <w:t xml:space="preserve"> -85,630,507 </w:t>
            </w:r>
          </w:p>
        </w:tc>
        <w:tc>
          <w:tcPr>
            <w:tcW w:w="573" w:type="pct"/>
            <w:vAlign w:val="center"/>
          </w:tcPr>
          <w:p w14:paraId="7EC9FA55" w14:textId="77777777" w:rsidR="005E000F" w:rsidRDefault="00000000">
            <w:pPr>
              <w:spacing w:line="276" w:lineRule="auto"/>
              <w:jc w:val="right"/>
            </w:pPr>
            <w:r>
              <w:t xml:space="preserve"> 215,508,972 </w:t>
            </w:r>
          </w:p>
        </w:tc>
        <w:tc>
          <w:tcPr>
            <w:tcW w:w="541" w:type="pct"/>
          </w:tcPr>
          <w:p w14:paraId="25957C20" w14:textId="77777777" w:rsidR="005E000F" w:rsidRDefault="00000000">
            <w:pPr>
              <w:spacing w:line="276" w:lineRule="auto"/>
              <w:jc w:val="right"/>
              <w:rPr>
                <w:lang w:eastAsia="en-US"/>
              </w:rPr>
            </w:pPr>
            <w:r>
              <w:t>540,121,910</w:t>
            </w:r>
          </w:p>
        </w:tc>
        <w:tc>
          <w:tcPr>
            <w:tcW w:w="517" w:type="pct"/>
          </w:tcPr>
          <w:p w14:paraId="72C7AB2B" w14:textId="77777777" w:rsidR="005E000F" w:rsidRDefault="00000000">
            <w:pPr>
              <w:spacing w:line="276" w:lineRule="auto"/>
              <w:jc w:val="right"/>
              <w:rPr>
                <w:lang w:eastAsia="en-US"/>
              </w:rPr>
            </w:pPr>
            <w:r>
              <w:t>-137,364,096</w:t>
            </w:r>
          </w:p>
        </w:tc>
        <w:tc>
          <w:tcPr>
            <w:tcW w:w="547" w:type="pct"/>
          </w:tcPr>
          <w:p w14:paraId="70FE7EC3" w14:textId="77777777" w:rsidR="005E000F" w:rsidRDefault="00000000">
            <w:pPr>
              <w:spacing w:line="276" w:lineRule="auto"/>
              <w:jc w:val="right"/>
              <w:rPr>
                <w:lang w:eastAsia="en-US"/>
              </w:rPr>
            </w:pPr>
            <w:r>
              <w:t>-137,364,096</w:t>
            </w:r>
          </w:p>
        </w:tc>
        <w:tc>
          <w:tcPr>
            <w:tcW w:w="588" w:type="pct"/>
          </w:tcPr>
          <w:p w14:paraId="6E51FFA4" w14:textId="77777777" w:rsidR="005E000F" w:rsidRDefault="00000000">
            <w:pPr>
              <w:spacing w:line="276" w:lineRule="auto"/>
              <w:jc w:val="right"/>
              <w:rPr>
                <w:lang w:eastAsia="en-US"/>
              </w:rPr>
            </w:pPr>
            <w:r>
              <w:t>218,693,826</w:t>
            </w:r>
          </w:p>
        </w:tc>
      </w:tr>
    </w:tbl>
    <w:p w14:paraId="6FEC1A94" w14:textId="77777777" w:rsidR="005E000F" w:rsidRDefault="00000000">
      <w:pPr>
        <w:rPr>
          <w:rFonts w:cs="Arial"/>
        </w:rPr>
      </w:pPr>
      <w:r>
        <w:rPr>
          <w:rFonts w:cs="Arial" w:hint="eastAsia"/>
        </w:rPr>
        <w:t>其他说明：</w:t>
      </w:r>
    </w:p>
    <w:sdt>
      <w:sdtPr>
        <w:rPr>
          <w:rFonts w:cs="Arial"/>
        </w:rPr>
        <w:alias w:val="重要非全资子公司的主要财务信息的其他说明"/>
        <w:tag w:val="_GBC_c6413d961dad488aae6fcf0fda2bf33a"/>
        <w:id w:val="-387875175"/>
        <w:placeholder>
          <w:docPart w:val="GBC22222222222222222222222222222"/>
        </w:placeholder>
      </w:sdtPr>
      <w:sdtContent>
        <w:p w14:paraId="4FC49A33" w14:textId="77777777" w:rsidR="005E000F" w:rsidRDefault="00000000">
          <w:pPr>
            <w:rPr>
              <w:rFonts w:cs="Arial"/>
            </w:rPr>
          </w:pPr>
          <w:r>
            <w:rPr>
              <w:rFonts w:cs="Arial" w:hint="eastAsia"/>
            </w:rPr>
            <w:t>无</w:t>
          </w:r>
        </w:p>
      </w:sdtContent>
    </w:sdt>
    <w:p w14:paraId="445C68E0" w14:textId="77777777" w:rsidR="005E000F" w:rsidRDefault="005E000F">
      <w:pPr>
        <w:rPr>
          <w:rFonts w:cs="Arial"/>
        </w:rPr>
        <w:sectPr w:rsidR="005E000F">
          <w:pgSz w:w="16838" w:h="11906" w:orient="landscape"/>
          <w:pgMar w:top="1797" w:right="1525" w:bottom="1276" w:left="1440" w:header="856" w:footer="992" w:gutter="0"/>
          <w:cols w:space="425"/>
          <w:docGrid w:linePitch="312"/>
        </w:sectPr>
      </w:pPr>
    </w:p>
    <w:p w14:paraId="283024C1" w14:textId="77777777" w:rsidR="005E000F" w:rsidRDefault="005E000F">
      <w:pPr>
        <w:rPr>
          <w:rFonts w:cs="Arial"/>
        </w:rPr>
      </w:pPr>
    </w:p>
    <w:p w14:paraId="59FECF9C" w14:textId="77777777" w:rsidR="005E000F" w:rsidRDefault="00000000">
      <w:pPr>
        <w:pStyle w:val="4"/>
        <w:numPr>
          <w:ilvl w:val="3"/>
          <w:numId w:val="112"/>
        </w:numPr>
        <w:ind w:left="426" w:hangingChars="202" w:hanging="426"/>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344296277"/>
        <w:placeholder>
          <w:docPart w:val="GBC22222222222222222222222222222"/>
        </w:placeholder>
      </w:sdtPr>
      <w:sdtContent>
        <w:p w14:paraId="1F6F8929" w14:textId="77777777" w:rsidR="005E000F" w:rsidRDefault="00000000">
          <w:pPr>
            <w:rPr>
              <w:rFonts w:cs="Arial"/>
              <w:b/>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4EDBC8B" w14:textId="77777777" w:rsidR="005E000F" w:rsidRDefault="005E000F">
      <w:pPr>
        <w:rPr>
          <w:rFonts w:cs="Arial"/>
        </w:rPr>
      </w:pPr>
    </w:p>
    <w:p w14:paraId="7F66E161" w14:textId="77777777" w:rsidR="005E000F" w:rsidRDefault="00000000">
      <w:pPr>
        <w:pStyle w:val="4"/>
        <w:numPr>
          <w:ilvl w:val="3"/>
          <w:numId w:val="112"/>
        </w:numPr>
        <w:ind w:left="426" w:hangingChars="202" w:hanging="426"/>
      </w:pPr>
      <w:r>
        <w:rPr>
          <w:rFonts w:hint="eastAsia"/>
        </w:rPr>
        <w:t>向纳入合并财务报表范围的结构化主体提供的财务支持或其他支持</w:t>
      </w:r>
    </w:p>
    <w:sdt>
      <w:sdtPr>
        <w:rPr>
          <w:rFonts w:cs="Arial" w:hint="eastAsia"/>
        </w:rPr>
        <w:alias w:val="是否适用：向纳入合并财务报表范围的结构化主体提供的财务支持或其他支持[双击切换]"/>
        <w:tag w:val="_GBC_395393741a9c49d1bd1b845f818ade1e"/>
        <w:id w:val="1119643963"/>
        <w:placeholder>
          <w:docPart w:val="GBC22222222222222222222222222222"/>
        </w:placeholder>
      </w:sdtPr>
      <w:sdtContent>
        <w:p w14:paraId="28E151FB" w14:textId="77777777" w:rsidR="005E000F" w:rsidRDefault="00000000">
          <w:pPr>
            <w:rPr>
              <w:rFonts w:cs="Arial"/>
            </w:rPr>
          </w:pPr>
          <w:r>
            <w:rPr>
              <w:rFonts w:ascii="宋体" w:hAnsi="宋体" w:cs="Arial"/>
            </w:rPr>
            <w:fldChar w:fldCharType="begin"/>
          </w:r>
          <w:r>
            <w:rPr>
              <w:rFonts w:ascii="宋体" w:hAnsi="宋体" w:cs="Arial" w:hint="eastAsia"/>
            </w:rPr>
            <w:instrText xml:space="preserve"> 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6712DAE1" w14:textId="77777777" w:rsidR="005E000F" w:rsidRDefault="005E000F">
      <w:pPr>
        <w:rPr>
          <w:rFonts w:cs="Arial"/>
          <w:b/>
        </w:rPr>
      </w:pPr>
    </w:p>
    <w:p w14:paraId="5963DBA1" w14:textId="77777777" w:rsidR="005E000F" w:rsidRDefault="00000000">
      <w:r>
        <w:rPr>
          <w:rFonts w:hint="eastAsia"/>
        </w:rPr>
        <w:t>其他说明：</w:t>
      </w:r>
    </w:p>
    <w:sdt>
      <w:sdtPr>
        <w:alias w:val="是否适用：在子公司中的权益其他说明[双击切换]"/>
        <w:tag w:val="_GBC_b26ad9d381c8467f9c05b435b2cb6493"/>
        <w:id w:val="1100530715"/>
        <w:placeholder>
          <w:docPart w:val="GBC22222222222222222222222222222"/>
        </w:placeholder>
      </w:sdtPr>
      <w:sdtContent>
        <w:p w14:paraId="66ED8CE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24426FB" w14:textId="77777777" w:rsidR="005E000F" w:rsidRDefault="005E000F"/>
    <w:p w14:paraId="4B983E94" w14:textId="77777777" w:rsidR="005E000F" w:rsidRDefault="00000000">
      <w:pPr>
        <w:pStyle w:val="3"/>
        <w:numPr>
          <w:ilvl w:val="2"/>
          <w:numId w:val="111"/>
        </w:numPr>
        <w:rPr>
          <w:rFonts w:ascii="宋体" w:hAnsi="宋体" w:cs="Arial"/>
          <w:szCs w:val="21"/>
        </w:rPr>
      </w:pPr>
      <w:r>
        <w:rPr>
          <w:rFonts w:ascii="宋体" w:hAnsi="宋体" w:cs="Arial" w:hint="eastAsia"/>
          <w:szCs w:val="21"/>
          <w:shd w:val="solid" w:color="FFFFFF" w:fill="auto"/>
        </w:rPr>
        <w:t>在子公司的所有者权益份额发生变化且仍控制子公司的交易</w:t>
      </w:r>
    </w:p>
    <w:sdt>
      <w:sdtPr>
        <w:alias w:val="是否适用：在子公司的所有者权益份额发生变化且仍控制子公司的交易[双击切换]"/>
        <w:tag w:val="_GBC_4c0599836d204e25b4d5d4f8434a2c4c"/>
        <w:id w:val="-1246802757"/>
        <w:placeholder>
          <w:docPart w:val="GBC22222222222222222222222222222"/>
        </w:placeholder>
      </w:sdtPr>
      <w:sdtContent>
        <w:p w14:paraId="2AA593FA" w14:textId="77777777" w:rsidR="005E000F" w:rsidRDefault="00000000">
          <w:pPr>
            <w:rPr>
              <w:rFonts w:cs="Arial"/>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D2A99FD" w14:textId="77777777" w:rsidR="005E000F" w:rsidRDefault="005E000F">
      <w:pPr>
        <w:rPr>
          <w:rFonts w:cs="Arial"/>
        </w:rPr>
      </w:pPr>
    </w:p>
    <w:p w14:paraId="56625347" w14:textId="77777777" w:rsidR="005E000F" w:rsidRDefault="005E000F"/>
    <w:p w14:paraId="1521B8DE" w14:textId="77777777" w:rsidR="005E000F" w:rsidRDefault="00000000">
      <w:pPr>
        <w:pStyle w:val="3"/>
        <w:numPr>
          <w:ilvl w:val="2"/>
          <w:numId w:val="111"/>
        </w:numPr>
        <w:rPr>
          <w:rFonts w:ascii="宋体" w:hAnsi="宋体" w:cs="Arial"/>
          <w:szCs w:val="21"/>
        </w:rPr>
      </w:pPr>
      <w:r>
        <w:rPr>
          <w:rFonts w:ascii="宋体" w:hAnsi="宋体" w:cs="Arial" w:hint="eastAsia"/>
          <w:szCs w:val="21"/>
        </w:rPr>
        <w:t>在合营企业或联营企业中的权益</w:t>
      </w:r>
    </w:p>
    <w:p w14:paraId="49BDC99B" w14:textId="77777777" w:rsidR="005E000F" w:rsidRDefault="00000000">
      <w:pPr>
        <w:rPr>
          <w:rFonts w:ascii="宋体" w:hAnsi="宋体"/>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p w14:paraId="10EC188D" w14:textId="77777777" w:rsidR="005E000F" w:rsidRDefault="00000000">
      <w:pPr>
        <w:pStyle w:val="aff8"/>
        <w:ind w:left="420" w:firstLineChars="0" w:firstLine="0"/>
        <w:jc w:val="right"/>
        <w:rPr>
          <w:rFonts w:ascii="宋体" w:hAnsi="宋体"/>
        </w:rPr>
      </w:pPr>
      <w:r>
        <w:rPr>
          <w:rFonts w:hint="eastAsia"/>
          <w:color w:val="000000" w:themeColor="text1"/>
          <w:szCs w:val="21"/>
        </w:rPr>
        <w:t>单位：元</w:t>
      </w:r>
      <w:r>
        <w:rPr>
          <w:rFonts w:hint="eastAsia"/>
          <w:color w:val="000000" w:themeColor="text1"/>
          <w:szCs w:val="21"/>
        </w:rPr>
        <w:t xml:space="preserve">  </w:t>
      </w:r>
      <w:r>
        <w:rPr>
          <w:rFonts w:hint="eastAsia"/>
          <w:color w:val="000000" w:themeColor="text1"/>
          <w:szCs w:val="21"/>
        </w:rPr>
        <w:t>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2604"/>
        <w:gridCol w:w="2441"/>
      </w:tblGrid>
      <w:tr w:rsidR="005E000F" w14:paraId="01EC65C6" w14:textId="77777777">
        <w:tc>
          <w:tcPr>
            <w:tcW w:w="2212" w:type="pct"/>
            <w:tcBorders>
              <w:top w:val="single" w:sz="4" w:space="0" w:color="auto"/>
              <w:left w:val="single" w:sz="4" w:space="0" w:color="auto"/>
              <w:bottom w:val="single" w:sz="4" w:space="0" w:color="auto"/>
              <w:right w:val="single" w:sz="4" w:space="0" w:color="auto"/>
            </w:tcBorders>
          </w:tcPr>
          <w:p w14:paraId="4C769983" w14:textId="77777777" w:rsidR="005E000F" w:rsidRDefault="00000000">
            <w:pPr>
              <w:jc w:val="center"/>
              <w:rPr>
                <w:color w:val="000000" w:themeColor="text1"/>
              </w:rPr>
            </w:pPr>
            <w:r>
              <w:rPr>
                <w:rFonts w:hint="eastAsia"/>
                <w:color w:val="000000" w:themeColor="text1"/>
              </w:rPr>
              <w:t>项目</w:t>
            </w:r>
          </w:p>
        </w:tc>
        <w:tc>
          <w:tcPr>
            <w:tcW w:w="1438" w:type="pct"/>
            <w:tcBorders>
              <w:top w:val="single" w:sz="4" w:space="0" w:color="auto"/>
              <w:left w:val="single" w:sz="4" w:space="0" w:color="auto"/>
              <w:bottom w:val="single" w:sz="4" w:space="0" w:color="auto"/>
              <w:right w:val="single" w:sz="4" w:space="0" w:color="auto"/>
            </w:tcBorders>
          </w:tcPr>
          <w:p w14:paraId="7CEC0A95" w14:textId="77777777" w:rsidR="005E000F" w:rsidRDefault="00000000">
            <w:pPr>
              <w:jc w:val="center"/>
              <w:rPr>
                <w:color w:val="000000" w:themeColor="text1"/>
              </w:rP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tcPr>
          <w:p w14:paraId="065EE7B9" w14:textId="77777777" w:rsidR="005E000F" w:rsidRDefault="00000000">
            <w:pPr>
              <w:jc w:val="center"/>
              <w:rPr>
                <w:color w:val="000000" w:themeColor="text1"/>
              </w:rPr>
            </w:pPr>
            <w:r>
              <w:rPr>
                <w:rFonts w:hint="eastAsia"/>
              </w:rPr>
              <w:t>期初余额</w:t>
            </w:r>
          </w:p>
        </w:tc>
      </w:tr>
      <w:tr w:rsidR="005E000F" w14:paraId="607FEF3C" w14:textId="77777777">
        <w:tc>
          <w:tcPr>
            <w:tcW w:w="2212" w:type="pct"/>
            <w:tcBorders>
              <w:top w:val="single" w:sz="4" w:space="0" w:color="auto"/>
              <w:left w:val="single" w:sz="4" w:space="0" w:color="auto"/>
              <w:bottom w:val="single" w:sz="4" w:space="0" w:color="auto"/>
              <w:right w:val="single" w:sz="4" w:space="0" w:color="auto"/>
            </w:tcBorders>
            <w:vAlign w:val="center"/>
          </w:tcPr>
          <w:p w14:paraId="65090DEE" w14:textId="77777777" w:rsidR="005E000F" w:rsidRDefault="00000000">
            <w:r>
              <w:rPr>
                <w:rFonts w:hint="eastAsia"/>
              </w:rPr>
              <w:t>联营企业</w:t>
            </w:r>
          </w:p>
        </w:tc>
        <w:tc>
          <w:tcPr>
            <w:tcW w:w="1438" w:type="pct"/>
            <w:tcBorders>
              <w:top w:val="single" w:sz="4" w:space="0" w:color="auto"/>
              <w:left w:val="single" w:sz="4" w:space="0" w:color="auto"/>
              <w:bottom w:val="single" w:sz="4" w:space="0" w:color="auto"/>
              <w:right w:val="single" w:sz="4" w:space="0" w:color="auto"/>
            </w:tcBorders>
          </w:tcPr>
          <w:p w14:paraId="27685BBA" w14:textId="77777777" w:rsidR="005E000F" w:rsidRDefault="005E000F">
            <w:pPr>
              <w:jc w:val="right"/>
            </w:pPr>
          </w:p>
        </w:tc>
        <w:tc>
          <w:tcPr>
            <w:tcW w:w="1348" w:type="pct"/>
            <w:tcBorders>
              <w:top w:val="single" w:sz="4" w:space="0" w:color="auto"/>
              <w:left w:val="single" w:sz="4" w:space="0" w:color="auto"/>
              <w:bottom w:val="single" w:sz="4" w:space="0" w:color="auto"/>
              <w:right w:val="single" w:sz="4" w:space="0" w:color="auto"/>
            </w:tcBorders>
          </w:tcPr>
          <w:p w14:paraId="6993A724" w14:textId="77777777" w:rsidR="005E000F" w:rsidRDefault="005E000F">
            <w:pPr>
              <w:jc w:val="right"/>
            </w:pPr>
          </w:p>
        </w:tc>
      </w:tr>
      <w:tr w:rsidR="005E000F" w14:paraId="715B8FC0" w14:textId="77777777">
        <w:tc>
          <w:tcPr>
            <w:tcW w:w="2212" w:type="pct"/>
            <w:tcBorders>
              <w:top w:val="single" w:sz="4" w:space="0" w:color="auto"/>
              <w:left w:val="single" w:sz="4" w:space="0" w:color="auto"/>
              <w:bottom w:val="single" w:sz="4" w:space="0" w:color="auto"/>
              <w:right w:val="single" w:sz="4" w:space="0" w:color="auto"/>
            </w:tcBorders>
            <w:vAlign w:val="center"/>
          </w:tcPr>
          <w:p w14:paraId="2709C4DD" w14:textId="77777777" w:rsidR="005E000F" w:rsidRDefault="00000000">
            <w:r>
              <w:rPr>
                <w:rFonts w:hint="eastAsia"/>
              </w:rPr>
              <w:t>-</w:t>
            </w:r>
            <w:r>
              <w:rPr>
                <w:rFonts w:hint="eastAsia"/>
              </w:rPr>
              <w:t>重要的联营企业</w:t>
            </w:r>
          </w:p>
        </w:tc>
        <w:tc>
          <w:tcPr>
            <w:tcW w:w="2604" w:type="dxa"/>
            <w:tcBorders>
              <w:top w:val="single" w:sz="4" w:space="0" w:color="auto"/>
              <w:left w:val="single" w:sz="4" w:space="0" w:color="auto"/>
              <w:bottom w:val="single" w:sz="4" w:space="0" w:color="auto"/>
              <w:right w:val="single" w:sz="4" w:space="0" w:color="auto"/>
            </w:tcBorders>
            <w:vAlign w:val="center"/>
          </w:tcPr>
          <w:p w14:paraId="3CD213A0" w14:textId="77777777" w:rsidR="005E000F" w:rsidRDefault="00000000">
            <w:pPr>
              <w:jc w:val="right"/>
            </w:pPr>
            <w:r>
              <w:t xml:space="preserve"> 27,694,524,6</w:t>
            </w:r>
            <w:r>
              <w:rPr>
                <w:rFonts w:hint="eastAsia"/>
              </w:rPr>
              <w:t>59</w:t>
            </w:r>
            <w:r>
              <w:t xml:space="preserve"> </w:t>
            </w:r>
          </w:p>
        </w:tc>
        <w:tc>
          <w:tcPr>
            <w:tcW w:w="1348" w:type="pct"/>
            <w:tcBorders>
              <w:top w:val="single" w:sz="4" w:space="0" w:color="auto"/>
              <w:left w:val="single" w:sz="4" w:space="0" w:color="auto"/>
              <w:bottom w:val="single" w:sz="4" w:space="0" w:color="auto"/>
              <w:right w:val="single" w:sz="4" w:space="0" w:color="auto"/>
            </w:tcBorders>
            <w:vAlign w:val="center"/>
          </w:tcPr>
          <w:p w14:paraId="6247A396" w14:textId="77777777" w:rsidR="005E000F" w:rsidRDefault="00000000">
            <w:pPr>
              <w:jc w:val="right"/>
            </w:pPr>
            <w:r>
              <w:t>24,639,714,287</w:t>
            </w:r>
          </w:p>
        </w:tc>
      </w:tr>
      <w:tr w:rsidR="005E000F" w14:paraId="03984EC2" w14:textId="77777777">
        <w:tc>
          <w:tcPr>
            <w:tcW w:w="2212" w:type="pct"/>
            <w:tcBorders>
              <w:top w:val="single" w:sz="4" w:space="0" w:color="auto"/>
              <w:left w:val="single" w:sz="4" w:space="0" w:color="auto"/>
              <w:bottom w:val="single" w:sz="4" w:space="0" w:color="auto"/>
              <w:right w:val="single" w:sz="4" w:space="0" w:color="auto"/>
            </w:tcBorders>
            <w:vAlign w:val="center"/>
          </w:tcPr>
          <w:p w14:paraId="60A6A5EB" w14:textId="77777777" w:rsidR="005E000F" w:rsidRDefault="00000000">
            <w:pPr>
              <w:jc w:val="both"/>
              <w:rPr>
                <w:color w:val="000000" w:themeColor="text1"/>
              </w:rPr>
            </w:pPr>
            <w:r>
              <w:rPr>
                <w:rFonts w:hint="eastAsia"/>
                <w:color w:val="000000" w:themeColor="text1"/>
              </w:rPr>
              <w:t>-</w:t>
            </w:r>
            <w:r>
              <w:rPr>
                <w:rFonts w:hint="eastAsia"/>
                <w:color w:val="000000" w:themeColor="text1"/>
              </w:rPr>
              <w:t>不重要的联营企业</w:t>
            </w:r>
          </w:p>
        </w:tc>
        <w:tc>
          <w:tcPr>
            <w:tcW w:w="2604" w:type="dxa"/>
            <w:tcBorders>
              <w:top w:val="single" w:sz="4" w:space="0" w:color="auto"/>
              <w:left w:val="single" w:sz="4" w:space="0" w:color="auto"/>
              <w:bottom w:val="single" w:sz="4" w:space="0" w:color="auto"/>
              <w:right w:val="single" w:sz="4" w:space="0" w:color="auto"/>
            </w:tcBorders>
            <w:vAlign w:val="center"/>
          </w:tcPr>
          <w:p w14:paraId="74381B3C" w14:textId="77777777" w:rsidR="005E000F" w:rsidRDefault="00000000">
            <w:pPr>
              <w:jc w:val="right"/>
            </w:pPr>
            <w:r>
              <w:t xml:space="preserve"> 14,304,78</w:t>
            </w:r>
            <w:r>
              <w:rPr>
                <w:rFonts w:hint="eastAsia"/>
              </w:rPr>
              <w:t>6</w:t>
            </w:r>
            <w:r>
              <w:t xml:space="preserve"> </w:t>
            </w:r>
          </w:p>
        </w:tc>
        <w:tc>
          <w:tcPr>
            <w:tcW w:w="1348" w:type="pct"/>
            <w:tcBorders>
              <w:top w:val="single" w:sz="4" w:space="0" w:color="auto"/>
              <w:left w:val="single" w:sz="4" w:space="0" w:color="auto"/>
              <w:bottom w:val="single" w:sz="4" w:space="0" w:color="auto"/>
              <w:right w:val="single" w:sz="4" w:space="0" w:color="auto"/>
            </w:tcBorders>
            <w:vAlign w:val="center"/>
          </w:tcPr>
          <w:p w14:paraId="2779B819" w14:textId="77777777" w:rsidR="005E000F" w:rsidRDefault="00000000">
            <w:pPr>
              <w:jc w:val="right"/>
            </w:pPr>
            <w:r>
              <w:rPr>
                <w:rFonts w:hint="eastAsia"/>
              </w:rPr>
              <w:t>18,880,141</w:t>
            </w:r>
          </w:p>
        </w:tc>
      </w:tr>
      <w:tr w:rsidR="005E000F" w14:paraId="4A37D31B" w14:textId="77777777">
        <w:tc>
          <w:tcPr>
            <w:tcW w:w="2212" w:type="pct"/>
            <w:tcBorders>
              <w:top w:val="single" w:sz="4" w:space="0" w:color="auto"/>
              <w:left w:val="single" w:sz="4" w:space="0" w:color="auto"/>
              <w:bottom w:val="single" w:sz="4" w:space="0" w:color="auto"/>
              <w:right w:val="single" w:sz="4" w:space="0" w:color="auto"/>
            </w:tcBorders>
            <w:vAlign w:val="center"/>
          </w:tcPr>
          <w:p w14:paraId="05121A62" w14:textId="77777777" w:rsidR="005E000F" w:rsidRDefault="00000000">
            <w:pPr>
              <w:rPr>
                <w:color w:val="000000" w:themeColor="text1"/>
              </w:rPr>
            </w:pPr>
            <w:r>
              <w:rPr>
                <w:rFonts w:hint="eastAsia"/>
                <w:color w:val="000000" w:themeColor="text1"/>
              </w:rPr>
              <w:t>小计</w:t>
            </w:r>
          </w:p>
        </w:tc>
        <w:tc>
          <w:tcPr>
            <w:tcW w:w="2604" w:type="dxa"/>
            <w:tcBorders>
              <w:top w:val="single" w:sz="4" w:space="0" w:color="auto"/>
              <w:left w:val="single" w:sz="4" w:space="0" w:color="auto"/>
              <w:bottom w:val="single" w:sz="4" w:space="0" w:color="auto"/>
              <w:right w:val="single" w:sz="4" w:space="0" w:color="auto"/>
            </w:tcBorders>
            <w:vAlign w:val="center"/>
          </w:tcPr>
          <w:p w14:paraId="228AD408" w14:textId="77777777" w:rsidR="005E000F" w:rsidRDefault="00000000">
            <w:pPr>
              <w:jc w:val="right"/>
            </w:pPr>
            <w:r>
              <w:t xml:space="preserve"> 27,708,829,445 </w:t>
            </w:r>
          </w:p>
        </w:tc>
        <w:tc>
          <w:tcPr>
            <w:tcW w:w="1348" w:type="pct"/>
            <w:tcBorders>
              <w:top w:val="single" w:sz="4" w:space="0" w:color="auto"/>
              <w:left w:val="single" w:sz="4" w:space="0" w:color="auto"/>
              <w:bottom w:val="single" w:sz="4" w:space="0" w:color="auto"/>
              <w:right w:val="single" w:sz="4" w:space="0" w:color="auto"/>
            </w:tcBorders>
            <w:vAlign w:val="center"/>
          </w:tcPr>
          <w:p w14:paraId="42F4F3C0" w14:textId="77777777" w:rsidR="005E000F" w:rsidRDefault="00000000">
            <w:pPr>
              <w:jc w:val="right"/>
            </w:pPr>
            <w:r>
              <w:rPr>
                <w:rFonts w:hint="eastAsia"/>
              </w:rPr>
              <w:t>24,658,594,428</w:t>
            </w:r>
          </w:p>
        </w:tc>
      </w:tr>
      <w:tr w:rsidR="005E000F" w14:paraId="40C39509" w14:textId="77777777">
        <w:tc>
          <w:tcPr>
            <w:tcW w:w="2212" w:type="pct"/>
            <w:tcBorders>
              <w:top w:val="single" w:sz="4" w:space="0" w:color="auto"/>
              <w:left w:val="single" w:sz="4" w:space="0" w:color="auto"/>
              <w:bottom w:val="single" w:sz="4" w:space="0" w:color="auto"/>
              <w:right w:val="single" w:sz="4" w:space="0" w:color="auto"/>
            </w:tcBorders>
            <w:vAlign w:val="center"/>
          </w:tcPr>
          <w:p w14:paraId="5AAAA227" w14:textId="77777777" w:rsidR="005E000F" w:rsidRDefault="00000000">
            <w:pPr>
              <w:rPr>
                <w:color w:val="000000" w:themeColor="text1"/>
              </w:rPr>
            </w:pPr>
            <w:r>
              <w:rPr>
                <w:rFonts w:hint="eastAsia"/>
                <w:color w:val="000000" w:themeColor="text1"/>
              </w:rPr>
              <w:t>减：减值准备</w:t>
            </w:r>
          </w:p>
        </w:tc>
        <w:tc>
          <w:tcPr>
            <w:tcW w:w="2604" w:type="dxa"/>
            <w:tcBorders>
              <w:top w:val="single" w:sz="4" w:space="0" w:color="auto"/>
              <w:left w:val="single" w:sz="4" w:space="0" w:color="auto"/>
              <w:bottom w:val="single" w:sz="4" w:space="0" w:color="auto"/>
              <w:right w:val="single" w:sz="4" w:space="0" w:color="auto"/>
            </w:tcBorders>
            <w:vAlign w:val="center"/>
          </w:tcPr>
          <w:p w14:paraId="5F1B88DC" w14:textId="77777777" w:rsidR="005E000F" w:rsidRDefault="00000000">
            <w:pPr>
              <w:jc w:val="right"/>
            </w:pPr>
            <w:r>
              <w:rPr>
                <w:rFonts w:hint="eastAsia"/>
              </w:rPr>
              <w:t>0</w:t>
            </w:r>
            <w:r>
              <w:t xml:space="preserve">   </w:t>
            </w:r>
          </w:p>
        </w:tc>
        <w:tc>
          <w:tcPr>
            <w:tcW w:w="1348" w:type="pct"/>
            <w:tcBorders>
              <w:top w:val="single" w:sz="4" w:space="0" w:color="auto"/>
              <w:left w:val="single" w:sz="4" w:space="0" w:color="auto"/>
              <w:bottom w:val="single" w:sz="4" w:space="0" w:color="auto"/>
              <w:right w:val="single" w:sz="4" w:space="0" w:color="auto"/>
            </w:tcBorders>
            <w:vAlign w:val="center"/>
          </w:tcPr>
          <w:p w14:paraId="3E5E3FD5" w14:textId="77777777" w:rsidR="005E000F" w:rsidRDefault="00000000">
            <w:pPr>
              <w:jc w:val="right"/>
            </w:pPr>
            <w:r>
              <w:rPr>
                <w:rFonts w:hint="eastAsia"/>
              </w:rPr>
              <w:t>0</w:t>
            </w:r>
          </w:p>
        </w:tc>
      </w:tr>
      <w:tr w:rsidR="005E000F" w14:paraId="7AE7CDF3" w14:textId="77777777">
        <w:tc>
          <w:tcPr>
            <w:tcW w:w="2212" w:type="pct"/>
            <w:tcBorders>
              <w:top w:val="single" w:sz="4" w:space="0" w:color="auto"/>
              <w:left w:val="single" w:sz="4" w:space="0" w:color="auto"/>
              <w:bottom w:val="single" w:sz="4" w:space="0" w:color="auto"/>
              <w:right w:val="single" w:sz="4" w:space="0" w:color="auto"/>
            </w:tcBorders>
            <w:vAlign w:val="center"/>
          </w:tcPr>
          <w:p w14:paraId="2A395F20" w14:textId="77777777" w:rsidR="005E000F" w:rsidRDefault="00000000">
            <w:pPr>
              <w:jc w:val="center"/>
              <w:rPr>
                <w:color w:val="000000" w:themeColor="text1"/>
              </w:rPr>
            </w:pPr>
            <w:r>
              <w:rPr>
                <w:rFonts w:hint="eastAsia"/>
                <w:color w:val="000000" w:themeColor="text1"/>
              </w:rPr>
              <w:t>合计</w:t>
            </w:r>
          </w:p>
        </w:tc>
        <w:tc>
          <w:tcPr>
            <w:tcW w:w="2604" w:type="dxa"/>
            <w:tcBorders>
              <w:top w:val="single" w:sz="4" w:space="0" w:color="auto"/>
              <w:left w:val="single" w:sz="4" w:space="0" w:color="auto"/>
              <w:bottom w:val="single" w:sz="4" w:space="0" w:color="auto"/>
              <w:right w:val="single" w:sz="4" w:space="0" w:color="auto"/>
            </w:tcBorders>
            <w:vAlign w:val="center"/>
          </w:tcPr>
          <w:p w14:paraId="760314D4" w14:textId="77777777" w:rsidR="005E000F" w:rsidRDefault="00000000">
            <w:pPr>
              <w:jc w:val="right"/>
            </w:pPr>
            <w:r>
              <w:t xml:space="preserve"> 27,708,829,445 </w:t>
            </w:r>
          </w:p>
        </w:tc>
        <w:tc>
          <w:tcPr>
            <w:tcW w:w="1348" w:type="pct"/>
            <w:tcBorders>
              <w:top w:val="single" w:sz="4" w:space="0" w:color="auto"/>
              <w:left w:val="single" w:sz="4" w:space="0" w:color="auto"/>
              <w:bottom w:val="single" w:sz="4" w:space="0" w:color="auto"/>
              <w:right w:val="single" w:sz="4" w:space="0" w:color="auto"/>
            </w:tcBorders>
            <w:vAlign w:val="center"/>
          </w:tcPr>
          <w:p w14:paraId="6F4310C8" w14:textId="77777777" w:rsidR="005E000F" w:rsidRDefault="00000000">
            <w:pPr>
              <w:jc w:val="right"/>
            </w:pPr>
            <w:r>
              <w:rPr>
                <w:rFonts w:hint="eastAsia"/>
              </w:rPr>
              <w:t>24,658,594,428</w:t>
            </w:r>
          </w:p>
        </w:tc>
      </w:tr>
    </w:tbl>
    <w:p w14:paraId="29D4E8E0" w14:textId="77777777" w:rsidR="005E000F" w:rsidRDefault="005E000F"/>
    <w:p w14:paraId="67F6AE1E" w14:textId="77777777" w:rsidR="005E000F" w:rsidRDefault="00000000">
      <w:pPr>
        <w:pStyle w:val="4"/>
        <w:numPr>
          <w:ilvl w:val="3"/>
          <w:numId w:val="113"/>
        </w:numPr>
        <w:ind w:left="426" w:hangingChars="202" w:hanging="426"/>
        <w:rPr>
          <w:rFonts w:cs="Arial"/>
        </w:rPr>
      </w:pPr>
      <w:r>
        <w:rPr>
          <w:rFonts w:hint="eastAsia"/>
        </w:rPr>
        <w:t>重要的合营企业或联营企业</w:t>
      </w:r>
    </w:p>
    <w:p w14:paraId="7D829F71" w14:textId="77777777" w:rsidR="005E000F" w:rsidRDefault="00000000">
      <w:sdt>
        <w:sdtPr>
          <w:rPr>
            <w:rFonts w:hint="eastAsia"/>
          </w:rPr>
          <w:alias w:val="是否适用：重要的合营企业或联营企业[双击切换]"/>
          <w:tag w:val="_GBC_99df64ed4bb84c2da5fb54cda5ae039b"/>
          <w:id w:val="-1585916111"/>
          <w:placeholder>
            <w:docPart w:val="GBC22222222222222222222222222222"/>
          </w:placeholder>
        </w:sdtPr>
        <w:sdtContent>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172BBD7F" w14:textId="77777777" w:rsidR="005E000F" w:rsidRDefault="00000000">
      <w:pPr>
        <w:pStyle w:val="aff8"/>
        <w:ind w:left="420" w:firstLineChars="0" w:firstLine="0"/>
        <w:jc w:val="right"/>
      </w:pPr>
      <w:r>
        <w:rPr>
          <w:rFonts w:hint="eastAsia"/>
          <w:color w:val="000000" w:themeColor="text1"/>
          <w:szCs w:val="21"/>
        </w:rPr>
        <w:t>单位：万元</w:t>
      </w:r>
      <w:r>
        <w:rPr>
          <w:rFonts w:hint="eastAsia"/>
          <w:color w:val="000000" w:themeColor="text1"/>
          <w:szCs w:val="21"/>
        </w:rPr>
        <w:t xml:space="preserve">  </w:t>
      </w:r>
      <w:r>
        <w:rPr>
          <w:rFonts w:hint="eastAsia"/>
          <w:color w:val="000000" w:themeColor="text1"/>
          <w:szCs w:val="21"/>
        </w:rPr>
        <w:t>币种：人民币</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935"/>
        <w:gridCol w:w="877"/>
        <w:gridCol w:w="908"/>
        <w:gridCol w:w="864"/>
        <w:gridCol w:w="771"/>
        <w:gridCol w:w="1282"/>
        <w:gridCol w:w="1282"/>
        <w:gridCol w:w="1282"/>
      </w:tblGrid>
      <w:tr w:rsidR="005E000F" w14:paraId="5DFCAB86" w14:textId="77777777">
        <w:trPr>
          <w:trHeight w:val="451"/>
        </w:trPr>
        <w:sdt>
          <w:sdtPr>
            <w:tag w:val="_PLD_6004d65b7e3443dc82381484e3885a6b"/>
            <w:id w:val="-376637083"/>
          </w:sdtPr>
          <w:sdtContent>
            <w:tc>
              <w:tcPr>
                <w:tcW w:w="466" w:type="pct"/>
                <w:vMerge w:val="restart"/>
                <w:vAlign w:val="center"/>
              </w:tcPr>
              <w:p w14:paraId="041165F7" w14:textId="77777777" w:rsidR="005E000F" w:rsidRDefault="00000000">
                <w:pPr>
                  <w:jc w:val="center"/>
                  <w:rPr>
                    <w:rFonts w:cs="Arial"/>
                  </w:rPr>
                </w:pPr>
                <w:r>
                  <w:rPr>
                    <w:rFonts w:cs="Arial" w:hint="eastAsia"/>
                    <w:lang w:val="en-GB"/>
                  </w:rPr>
                  <w:t>合营企业或联营企业名称</w:t>
                </w:r>
              </w:p>
            </w:tc>
          </w:sdtContent>
        </w:sdt>
        <w:sdt>
          <w:sdtPr>
            <w:tag w:val="_PLD_2e148655e91e4b998bd7a7d0b10c96fd"/>
            <w:id w:val="49741955"/>
          </w:sdtPr>
          <w:sdtContent>
            <w:tc>
              <w:tcPr>
                <w:tcW w:w="516" w:type="pct"/>
                <w:vMerge w:val="restart"/>
                <w:vAlign w:val="center"/>
              </w:tcPr>
              <w:p w14:paraId="2A816A61" w14:textId="77777777" w:rsidR="005E000F" w:rsidRDefault="00000000">
                <w:pPr>
                  <w:jc w:val="center"/>
                  <w:rPr>
                    <w:rFonts w:cs="Arial"/>
                  </w:rPr>
                </w:pPr>
                <w:r>
                  <w:rPr>
                    <w:rFonts w:cs="Arial" w:hint="eastAsia"/>
                    <w:lang w:val="en-GB"/>
                  </w:rPr>
                  <w:t>主要经营地</w:t>
                </w:r>
              </w:p>
            </w:tc>
          </w:sdtContent>
        </w:sdt>
        <w:sdt>
          <w:sdtPr>
            <w:tag w:val="_PLD_32e2714eb7074350886ae0d40b5c34b1"/>
            <w:id w:val="-413944482"/>
          </w:sdtPr>
          <w:sdtContent>
            <w:tc>
              <w:tcPr>
                <w:tcW w:w="485" w:type="pct"/>
                <w:vMerge w:val="restart"/>
                <w:vAlign w:val="center"/>
              </w:tcPr>
              <w:p w14:paraId="41DAE72D" w14:textId="77777777" w:rsidR="005E000F" w:rsidRDefault="00000000">
                <w:pPr>
                  <w:jc w:val="center"/>
                  <w:rPr>
                    <w:rFonts w:cs="Arial"/>
                  </w:rPr>
                </w:pPr>
                <w:r>
                  <w:rPr>
                    <w:rFonts w:cs="Arial" w:hint="eastAsia"/>
                    <w:lang w:val="en-GB"/>
                  </w:rPr>
                  <w:t>注册地</w:t>
                </w:r>
              </w:p>
            </w:tc>
          </w:sdtContent>
        </w:sdt>
        <w:sdt>
          <w:sdtPr>
            <w:tag w:val="_PLD_d429c77b8bef473a98608606ebcd4d75"/>
            <w:id w:val="1192490843"/>
          </w:sdtPr>
          <w:sdtContent>
            <w:tc>
              <w:tcPr>
                <w:tcW w:w="501" w:type="pct"/>
                <w:vMerge w:val="restart"/>
                <w:vAlign w:val="center"/>
              </w:tcPr>
              <w:p w14:paraId="05E37E52" w14:textId="77777777" w:rsidR="005E000F" w:rsidRDefault="00000000">
                <w:pPr>
                  <w:jc w:val="center"/>
                  <w:rPr>
                    <w:rFonts w:cs="Arial"/>
                  </w:rPr>
                </w:pPr>
                <w:r>
                  <w:rPr>
                    <w:rFonts w:cs="Arial" w:hint="eastAsia"/>
                    <w:lang w:val="en-GB"/>
                  </w:rPr>
                  <w:t>业务性质</w:t>
                </w:r>
              </w:p>
            </w:tc>
          </w:sdtContent>
        </w:sdt>
        <w:sdt>
          <w:sdtPr>
            <w:tag w:val="_PLD_bc055f9d5073401a85de2316f2a2b7ce"/>
            <w:id w:val="-1168011325"/>
          </w:sdtPr>
          <w:sdtContent>
            <w:tc>
              <w:tcPr>
                <w:tcW w:w="903" w:type="pct"/>
                <w:gridSpan w:val="2"/>
                <w:vAlign w:val="center"/>
              </w:tcPr>
              <w:p w14:paraId="0371C285" w14:textId="77777777" w:rsidR="005E000F" w:rsidRDefault="00000000">
                <w:pPr>
                  <w:jc w:val="center"/>
                  <w:rPr>
                    <w:rFonts w:cs="Arial"/>
                  </w:rPr>
                </w:pPr>
                <w:r>
                  <w:rPr>
                    <w:rFonts w:cs="Arial" w:hint="eastAsia"/>
                    <w:lang w:val="en-GB"/>
                  </w:rPr>
                  <w:t>持股比例</w:t>
                </w:r>
                <w:r>
                  <w:rPr>
                    <w:rFonts w:cs="Arial" w:hint="eastAsia"/>
                  </w:rPr>
                  <w:t>（</w:t>
                </w:r>
                <w:r>
                  <w:rPr>
                    <w:rFonts w:cs="Arial"/>
                  </w:rPr>
                  <w:t>%</w:t>
                </w:r>
                <w:r>
                  <w:rPr>
                    <w:rFonts w:cs="Arial" w:hint="eastAsia"/>
                  </w:rPr>
                  <w:t>）</w:t>
                </w:r>
              </w:p>
            </w:tc>
          </w:sdtContent>
        </w:sdt>
        <w:sdt>
          <w:sdtPr>
            <w:tag w:val="_PLD_96c57a3220e8432f8deedb4873fcf29c"/>
            <w:id w:val="2144928598"/>
          </w:sdtPr>
          <w:sdtContent>
            <w:tc>
              <w:tcPr>
                <w:tcW w:w="708" w:type="pct"/>
                <w:vMerge w:val="restart"/>
                <w:vAlign w:val="center"/>
              </w:tcPr>
              <w:p w14:paraId="3E401AAB" w14:textId="77777777" w:rsidR="005E000F" w:rsidRDefault="00000000">
                <w:pPr>
                  <w:jc w:val="center"/>
                  <w:rPr>
                    <w:rFonts w:cs="Arial"/>
                  </w:rPr>
                </w:pPr>
                <w:r>
                  <w:rPr>
                    <w:rFonts w:cs="Arial" w:hint="eastAsia"/>
                    <w:lang w:val="en-GB"/>
                  </w:rPr>
                  <w:t>对合营企业或联营企业投资的会计处理方法</w:t>
                </w:r>
              </w:p>
            </w:tc>
          </w:sdtContent>
        </w:sdt>
        <w:tc>
          <w:tcPr>
            <w:tcW w:w="708" w:type="pct"/>
            <w:vMerge w:val="restart"/>
            <w:vAlign w:val="center"/>
          </w:tcPr>
          <w:p w14:paraId="3C4BEE5C" w14:textId="77777777" w:rsidR="005E000F" w:rsidRDefault="00000000">
            <w:pPr>
              <w:jc w:val="center"/>
            </w:pPr>
            <w:r>
              <w:rPr>
                <w:rFonts w:hint="eastAsia"/>
              </w:rPr>
              <w:t>注册资本</w:t>
            </w:r>
          </w:p>
        </w:tc>
        <w:tc>
          <w:tcPr>
            <w:tcW w:w="708" w:type="pct"/>
            <w:vMerge w:val="restart"/>
            <w:vAlign w:val="center"/>
          </w:tcPr>
          <w:p w14:paraId="480409E7" w14:textId="77777777" w:rsidR="005E000F" w:rsidRDefault="00000000">
            <w:pPr>
              <w:jc w:val="center"/>
            </w:pPr>
            <w:r>
              <w:rPr>
                <w:rFonts w:cs="Arial" w:hint="eastAsia"/>
                <w:lang w:val="en-GB"/>
              </w:rPr>
              <w:t>对本集团活动是否具有战略性</w:t>
            </w:r>
          </w:p>
        </w:tc>
      </w:tr>
      <w:tr w:rsidR="005E000F" w14:paraId="5CD33533" w14:textId="77777777">
        <w:trPr>
          <w:trHeight w:val="278"/>
        </w:trPr>
        <w:tc>
          <w:tcPr>
            <w:tcW w:w="466" w:type="pct"/>
            <w:vMerge/>
            <w:vAlign w:val="center"/>
          </w:tcPr>
          <w:p w14:paraId="414D0DE5" w14:textId="77777777" w:rsidR="005E000F" w:rsidRDefault="005E000F">
            <w:pPr>
              <w:rPr>
                <w:rFonts w:cs="Arial"/>
              </w:rPr>
            </w:pPr>
          </w:p>
        </w:tc>
        <w:tc>
          <w:tcPr>
            <w:tcW w:w="516" w:type="pct"/>
            <w:vMerge/>
            <w:vAlign w:val="center"/>
          </w:tcPr>
          <w:p w14:paraId="441AD857" w14:textId="77777777" w:rsidR="005E000F" w:rsidRDefault="005E000F">
            <w:pPr>
              <w:rPr>
                <w:rFonts w:cs="Arial"/>
              </w:rPr>
            </w:pPr>
          </w:p>
        </w:tc>
        <w:tc>
          <w:tcPr>
            <w:tcW w:w="485" w:type="pct"/>
            <w:vMerge/>
            <w:vAlign w:val="center"/>
          </w:tcPr>
          <w:p w14:paraId="54EA6CC1" w14:textId="77777777" w:rsidR="005E000F" w:rsidRDefault="005E000F">
            <w:pPr>
              <w:rPr>
                <w:rFonts w:cs="Arial"/>
              </w:rPr>
            </w:pPr>
          </w:p>
        </w:tc>
        <w:tc>
          <w:tcPr>
            <w:tcW w:w="501" w:type="pct"/>
            <w:vMerge/>
            <w:vAlign w:val="center"/>
          </w:tcPr>
          <w:p w14:paraId="405AF836" w14:textId="77777777" w:rsidR="005E000F" w:rsidRDefault="005E000F">
            <w:pPr>
              <w:rPr>
                <w:rFonts w:cs="Arial"/>
              </w:rPr>
            </w:pPr>
          </w:p>
        </w:tc>
        <w:sdt>
          <w:sdtPr>
            <w:tag w:val="_PLD_076e5c9e7ab64e6db098592664f75c64"/>
            <w:id w:val="857937529"/>
          </w:sdtPr>
          <w:sdtContent>
            <w:tc>
              <w:tcPr>
                <w:tcW w:w="477" w:type="pct"/>
                <w:vAlign w:val="center"/>
              </w:tcPr>
              <w:p w14:paraId="7CF1101F" w14:textId="77777777" w:rsidR="005E000F" w:rsidRDefault="00000000">
                <w:pPr>
                  <w:jc w:val="center"/>
                  <w:rPr>
                    <w:rFonts w:cs="Arial"/>
                  </w:rPr>
                </w:pPr>
                <w:r>
                  <w:rPr>
                    <w:rFonts w:cs="Arial" w:hint="eastAsia"/>
                    <w:lang w:val="en-GB"/>
                  </w:rPr>
                  <w:t>直接</w:t>
                </w:r>
              </w:p>
            </w:tc>
          </w:sdtContent>
        </w:sdt>
        <w:sdt>
          <w:sdtPr>
            <w:tag w:val="_PLD_49b77f1690ee4cc88f829d510135f0bf"/>
            <w:id w:val="1565988738"/>
          </w:sdtPr>
          <w:sdtContent>
            <w:tc>
              <w:tcPr>
                <w:tcW w:w="426" w:type="pct"/>
                <w:vAlign w:val="center"/>
              </w:tcPr>
              <w:p w14:paraId="470473AA" w14:textId="77777777" w:rsidR="005E000F" w:rsidRDefault="00000000">
                <w:pPr>
                  <w:jc w:val="center"/>
                  <w:rPr>
                    <w:rFonts w:cs="Arial"/>
                  </w:rPr>
                </w:pPr>
                <w:r>
                  <w:rPr>
                    <w:rFonts w:cs="Arial" w:hint="eastAsia"/>
                    <w:lang w:val="en-GB"/>
                  </w:rPr>
                  <w:t>间接</w:t>
                </w:r>
              </w:p>
            </w:tc>
          </w:sdtContent>
        </w:sdt>
        <w:tc>
          <w:tcPr>
            <w:tcW w:w="708" w:type="pct"/>
            <w:vMerge/>
            <w:vAlign w:val="center"/>
          </w:tcPr>
          <w:p w14:paraId="10D62B16" w14:textId="77777777" w:rsidR="005E000F" w:rsidRDefault="005E000F">
            <w:pPr>
              <w:rPr>
                <w:rFonts w:cs="Arial"/>
              </w:rPr>
            </w:pPr>
          </w:p>
        </w:tc>
        <w:tc>
          <w:tcPr>
            <w:tcW w:w="708" w:type="pct"/>
            <w:vMerge/>
            <w:vAlign w:val="center"/>
          </w:tcPr>
          <w:p w14:paraId="033F94CE" w14:textId="77777777" w:rsidR="005E000F" w:rsidRDefault="005E000F">
            <w:pPr>
              <w:rPr>
                <w:rFonts w:cs="Arial"/>
              </w:rPr>
            </w:pPr>
          </w:p>
        </w:tc>
        <w:tc>
          <w:tcPr>
            <w:tcW w:w="708" w:type="pct"/>
            <w:vMerge/>
            <w:vAlign w:val="center"/>
          </w:tcPr>
          <w:p w14:paraId="393C63F3" w14:textId="77777777" w:rsidR="005E000F" w:rsidRDefault="005E000F">
            <w:pPr>
              <w:rPr>
                <w:rFonts w:cs="Arial"/>
              </w:rPr>
            </w:pPr>
          </w:p>
        </w:tc>
      </w:tr>
      <w:tr w:rsidR="005E000F" w14:paraId="63F4A27A" w14:textId="77777777">
        <w:tc>
          <w:tcPr>
            <w:tcW w:w="466" w:type="pct"/>
            <w:vAlign w:val="center"/>
          </w:tcPr>
          <w:p w14:paraId="2DACC0CB" w14:textId="77777777" w:rsidR="005E000F" w:rsidRDefault="00000000">
            <w:pPr>
              <w:rPr>
                <w:rFonts w:cs="Arial"/>
                <w:color w:val="000000"/>
              </w:rPr>
            </w:pPr>
            <w:r>
              <w:rPr>
                <w:rFonts w:cs="Arial" w:hint="eastAsia"/>
                <w:color w:val="000000"/>
                <w:lang w:val="en-GB"/>
              </w:rPr>
              <w:t>朔黄铁路</w:t>
            </w:r>
          </w:p>
        </w:tc>
        <w:tc>
          <w:tcPr>
            <w:tcW w:w="516" w:type="pct"/>
            <w:vAlign w:val="center"/>
          </w:tcPr>
          <w:p w14:paraId="576CE85D" w14:textId="77777777" w:rsidR="005E000F" w:rsidRDefault="00000000">
            <w:pPr>
              <w:rPr>
                <w:rFonts w:cs="Arial"/>
                <w:color w:val="000000"/>
                <w:lang w:eastAsia="en-US"/>
              </w:rPr>
            </w:pPr>
            <w:r>
              <w:rPr>
                <w:rFonts w:cs="Arial" w:hint="eastAsia"/>
                <w:color w:val="000000"/>
                <w:lang w:val="en-GB"/>
              </w:rPr>
              <w:t>河北</w:t>
            </w:r>
          </w:p>
        </w:tc>
        <w:tc>
          <w:tcPr>
            <w:tcW w:w="485" w:type="pct"/>
            <w:vAlign w:val="center"/>
          </w:tcPr>
          <w:p w14:paraId="081B0F9B" w14:textId="77777777" w:rsidR="005E000F" w:rsidRDefault="00000000">
            <w:pPr>
              <w:rPr>
                <w:rFonts w:cs="Arial"/>
                <w:color w:val="000000"/>
                <w:lang w:eastAsia="en-US"/>
              </w:rPr>
            </w:pPr>
            <w:r>
              <w:rPr>
                <w:rFonts w:cs="Arial" w:hint="eastAsia"/>
                <w:color w:val="000000"/>
                <w:lang w:val="en-GB"/>
              </w:rPr>
              <w:t>北京</w:t>
            </w:r>
          </w:p>
        </w:tc>
        <w:tc>
          <w:tcPr>
            <w:tcW w:w="501" w:type="pct"/>
          </w:tcPr>
          <w:p w14:paraId="11325C4B" w14:textId="77777777" w:rsidR="005E000F" w:rsidRDefault="00000000">
            <w:pPr>
              <w:rPr>
                <w:rFonts w:cs="Arial"/>
                <w:color w:val="000000"/>
                <w:lang w:eastAsia="en-US"/>
              </w:rPr>
            </w:pPr>
            <w:r>
              <w:rPr>
                <w:rFonts w:cs="Arial" w:hint="eastAsia"/>
                <w:color w:val="000000"/>
                <w:lang w:val="en-GB"/>
              </w:rPr>
              <w:t>煤炭经营及铁路运输</w:t>
            </w:r>
          </w:p>
        </w:tc>
        <w:tc>
          <w:tcPr>
            <w:tcW w:w="477" w:type="pct"/>
            <w:vAlign w:val="center"/>
          </w:tcPr>
          <w:p w14:paraId="540B5873" w14:textId="77777777" w:rsidR="005E000F" w:rsidRDefault="00000000">
            <w:pPr>
              <w:jc w:val="center"/>
              <w:rPr>
                <w:rFonts w:cs="Arial"/>
                <w:color w:val="000000"/>
                <w:lang w:eastAsia="en-US"/>
              </w:rPr>
            </w:pPr>
            <w:r>
              <w:rPr>
                <w:rFonts w:cs="Arial" w:hint="eastAsia"/>
                <w:color w:val="000000"/>
                <w:lang w:val="en-GB"/>
              </w:rPr>
              <w:t>41.16%</w:t>
            </w:r>
          </w:p>
        </w:tc>
        <w:tc>
          <w:tcPr>
            <w:tcW w:w="426" w:type="pct"/>
            <w:vAlign w:val="center"/>
          </w:tcPr>
          <w:p w14:paraId="524D1E40" w14:textId="77777777" w:rsidR="005E000F" w:rsidRDefault="00000000">
            <w:pPr>
              <w:jc w:val="center"/>
              <w:rPr>
                <w:rFonts w:cs="Arial"/>
                <w:color w:val="000000"/>
                <w:lang w:eastAsia="en-US"/>
              </w:rPr>
            </w:pPr>
            <w:r>
              <w:rPr>
                <w:rFonts w:cs="Arial" w:hint="eastAsia"/>
                <w:color w:val="000000"/>
                <w:lang w:val="en-GB"/>
              </w:rPr>
              <w:t>0%</w:t>
            </w:r>
          </w:p>
        </w:tc>
        <w:tc>
          <w:tcPr>
            <w:tcW w:w="708" w:type="pct"/>
            <w:vAlign w:val="center"/>
          </w:tcPr>
          <w:p w14:paraId="738E5B5B" w14:textId="77777777" w:rsidR="005E000F" w:rsidRDefault="00000000">
            <w:pPr>
              <w:jc w:val="center"/>
              <w:rPr>
                <w:rFonts w:cs="Arial"/>
                <w:color w:val="000000"/>
                <w:lang w:eastAsia="en-US"/>
              </w:rPr>
            </w:pPr>
            <w:r>
              <w:rPr>
                <w:rFonts w:cs="Arial" w:hint="eastAsia"/>
                <w:color w:val="000000"/>
                <w:lang w:val="en-GB"/>
              </w:rPr>
              <w:t>权益法核算</w:t>
            </w:r>
          </w:p>
        </w:tc>
        <w:tc>
          <w:tcPr>
            <w:tcW w:w="708" w:type="pct"/>
            <w:shd w:val="clear" w:color="auto" w:fill="auto"/>
            <w:vAlign w:val="center"/>
          </w:tcPr>
          <w:p w14:paraId="3753B7A8" w14:textId="77777777" w:rsidR="005E000F" w:rsidRDefault="00000000">
            <w:pPr>
              <w:jc w:val="center"/>
              <w:rPr>
                <w:rFonts w:cs="Arial"/>
                <w:color w:val="000000"/>
                <w:lang w:val="en-GB"/>
              </w:rPr>
            </w:pPr>
            <w:r>
              <w:rPr>
                <w:rFonts w:cs="Arial" w:hint="eastAsia"/>
                <w:color w:val="000000"/>
              </w:rPr>
              <w:t>1,523,115</w:t>
            </w:r>
          </w:p>
        </w:tc>
        <w:tc>
          <w:tcPr>
            <w:tcW w:w="708" w:type="pct"/>
            <w:vAlign w:val="center"/>
          </w:tcPr>
          <w:p w14:paraId="21B97CC7" w14:textId="77777777" w:rsidR="005E000F" w:rsidRDefault="00000000">
            <w:pPr>
              <w:jc w:val="center"/>
              <w:rPr>
                <w:rFonts w:cs="Arial"/>
                <w:color w:val="000000"/>
              </w:rPr>
            </w:pPr>
            <w:r>
              <w:rPr>
                <w:rFonts w:cs="Arial" w:hint="eastAsia"/>
                <w:color w:val="000000"/>
              </w:rPr>
              <w:t>是</w:t>
            </w:r>
          </w:p>
        </w:tc>
      </w:tr>
      <w:tr w:rsidR="005E000F" w14:paraId="0EA47361" w14:textId="77777777">
        <w:tc>
          <w:tcPr>
            <w:tcW w:w="466" w:type="pct"/>
            <w:vAlign w:val="center"/>
          </w:tcPr>
          <w:p w14:paraId="3B0A0766" w14:textId="77777777" w:rsidR="005E000F" w:rsidRDefault="00000000">
            <w:pPr>
              <w:rPr>
                <w:rFonts w:cs="Arial"/>
                <w:color w:val="000000"/>
                <w:lang w:eastAsia="en-US"/>
              </w:rPr>
            </w:pPr>
            <w:proofErr w:type="gramStart"/>
            <w:r>
              <w:rPr>
                <w:rFonts w:cs="Arial" w:hint="eastAsia"/>
                <w:color w:val="000000"/>
                <w:lang w:val="en-GB"/>
              </w:rPr>
              <w:t>浩</w:t>
            </w:r>
            <w:proofErr w:type="gramEnd"/>
            <w:r>
              <w:rPr>
                <w:rFonts w:cs="Arial" w:hint="eastAsia"/>
                <w:color w:val="000000"/>
                <w:lang w:val="en-GB"/>
              </w:rPr>
              <w:t>吉铁路</w:t>
            </w:r>
          </w:p>
        </w:tc>
        <w:tc>
          <w:tcPr>
            <w:tcW w:w="516" w:type="pct"/>
            <w:vAlign w:val="center"/>
          </w:tcPr>
          <w:p w14:paraId="0ACAAF2C" w14:textId="77777777" w:rsidR="005E000F" w:rsidRDefault="00000000">
            <w:pPr>
              <w:rPr>
                <w:rFonts w:cs="Arial"/>
                <w:color w:val="000000"/>
                <w:lang w:eastAsia="en-US"/>
              </w:rPr>
            </w:pPr>
            <w:r>
              <w:rPr>
                <w:rFonts w:cs="Arial" w:hint="eastAsia"/>
                <w:color w:val="000000"/>
                <w:lang w:val="en-GB"/>
              </w:rPr>
              <w:t>内蒙古、江西等省</w:t>
            </w:r>
          </w:p>
        </w:tc>
        <w:tc>
          <w:tcPr>
            <w:tcW w:w="485" w:type="pct"/>
            <w:vAlign w:val="center"/>
          </w:tcPr>
          <w:p w14:paraId="1CAED9AB" w14:textId="77777777" w:rsidR="005E000F" w:rsidRDefault="00000000">
            <w:pPr>
              <w:rPr>
                <w:rFonts w:cs="Arial"/>
                <w:color w:val="000000"/>
                <w:lang w:eastAsia="en-US"/>
              </w:rPr>
            </w:pPr>
            <w:r>
              <w:rPr>
                <w:rFonts w:cs="Arial" w:hint="eastAsia"/>
                <w:color w:val="000000"/>
                <w:lang w:val="en-GB"/>
              </w:rPr>
              <w:t>北京</w:t>
            </w:r>
          </w:p>
        </w:tc>
        <w:tc>
          <w:tcPr>
            <w:tcW w:w="501" w:type="pct"/>
          </w:tcPr>
          <w:p w14:paraId="7AE12ED0" w14:textId="77777777" w:rsidR="005E000F" w:rsidRDefault="00000000">
            <w:pPr>
              <w:rPr>
                <w:rFonts w:cs="Arial"/>
                <w:color w:val="000000"/>
                <w:lang w:eastAsia="en-US"/>
              </w:rPr>
            </w:pPr>
            <w:r>
              <w:rPr>
                <w:rFonts w:cs="Arial" w:hint="eastAsia"/>
                <w:color w:val="000000"/>
                <w:lang w:val="en-GB"/>
              </w:rPr>
              <w:t>铁路运输</w:t>
            </w:r>
          </w:p>
        </w:tc>
        <w:tc>
          <w:tcPr>
            <w:tcW w:w="477" w:type="pct"/>
            <w:vAlign w:val="center"/>
          </w:tcPr>
          <w:p w14:paraId="2BCDDC85" w14:textId="77777777" w:rsidR="005E000F" w:rsidRDefault="00000000">
            <w:pPr>
              <w:jc w:val="center"/>
              <w:rPr>
                <w:rFonts w:cs="Arial"/>
                <w:color w:val="000000"/>
                <w:lang w:eastAsia="en-US"/>
              </w:rPr>
            </w:pPr>
            <w:r>
              <w:rPr>
                <w:rFonts w:cs="Arial" w:hint="eastAsia"/>
                <w:color w:val="000000"/>
                <w:lang w:val="en-GB"/>
              </w:rPr>
              <w:t>10.00%</w:t>
            </w:r>
          </w:p>
        </w:tc>
        <w:tc>
          <w:tcPr>
            <w:tcW w:w="426" w:type="pct"/>
            <w:vAlign w:val="center"/>
          </w:tcPr>
          <w:p w14:paraId="1391B701" w14:textId="77777777" w:rsidR="005E000F" w:rsidRDefault="00000000">
            <w:pPr>
              <w:jc w:val="center"/>
              <w:rPr>
                <w:rFonts w:cs="Arial"/>
                <w:color w:val="000000"/>
                <w:lang w:eastAsia="en-US"/>
              </w:rPr>
            </w:pPr>
            <w:r>
              <w:rPr>
                <w:rFonts w:cs="Arial" w:hint="eastAsia"/>
                <w:color w:val="000000"/>
                <w:lang w:val="en-GB"/>
              </w:rPr>
              <w:t>0%</w:t>
            </w:r>
          </w:p>
        </w:tc>
        <w:tc>
          <w:tcPr>
            <w:tcW w:w="708" w:type="pct"/>
            <w:vAlign w:val="center"/>
          </w:tcPr>
          <w:p w14:paraId="58266F4A" w14:textId="77777777" w:rsidR="005E000F" w:rsidRDefault="00000000">
            <w:pPr>
              <w:jc w:val="center"/>
              <w:rPr>
                <w:rFonts w:cs="Arial"/>
                <w:color w:val="000000"/>
                <w:lang w:eastAsia="en-US"/>
              </w:rPr>
            </w:pPr>
            <w:r>
              <w:rPr>
                <w:rFonts w:cs="Arial" w:hint="eastAsia"/>
                <w:color w:val="000000"/>
                <w:lang w:val="en-GB"/>
              </w:rPr>
              <w:t>权益法核算</w:t>
            </w:r>
          </w:p>
        </w:tc>
        <w:tc>
          <w:tcPr>
            <w:tcW w:w="708" w:type="pct"/>
            <w:shd w:val="clear" w:color="auto" w:fill="auto"/>
            <w:vAlign w:val="center"/>
          </w:tcPr>
          <w:p w14:paraId="55884020" w14:textId="77777777" w:rsidR="005E000F" w:rsidRDefault="00000000">
            <w:pPr>
              <w:jc w:val="center"/>
              <w:rPr>
                <w:rFonts w:cs="Arial"/>
                <w:color w:val="000000"/>
                <w:lang w:val="en-GB"/>
              </w:rPr>
            </w:pPr>
            <w:r>
              <w:rPr>
                <w:rFonts w:cs="Arial" w:hint="eastAsia"/>
                <w:color w:val="000000"/>
              </w:rPr>
              <w:t>5,985,000</w:t>
            </w:r>
          </w:p>
        </w:tc>
        <w:tc>
          <w:tcPr>
            <w:tcW w:w="708" w:type="pct"/>
            <w:vAlign w:val="center"/>
          </w:tcPr>
          <w:p w14:paraId="6710E816" w14:textId="77777777" w:rsidR="005E000F" w:rsidRDefault="00000000">
            <w:pPr>
              <w:jc w:val="center"/>
              <w:rPr>
                <w:rFonts w:cs="Arial"/>
                <w:color w:val="000000"/>
              </w:rPr>
            </w:pPr>
            <w:r>
              <w:rPr>
                <w:rFonts w:cs="Arial" w:hint="eastAsia"/>
                <w:color w:val="000000"/>
              </w:rPr>
              <w:t>是</w:t>
            </w:r>
          </w:p>
        </w:tc>
      </w:tr>
    </w:tbl>
    <w:p w14:paraId="55EB0C7B" w14:textId="77777777" w:rsidR="005E000F" w:rsidRDefault="00000000">
      <w:pPr>
        <w:rPr>
          <w:rFonts w:cs="Arial"/>
        </w:rPr>
      </w:pPr>
      <w:r>
        <w:rPr>
          <w:rFonts w:cs="Arial" w:hint="eastAsia"/>
        </w:rPr>
        <w:t>在合营企业或联营企业的持股比例不同于表决权比例的说明：</w:t>
      </w:r>
    </w:p>
    <w:p w14:paraId="354AA606" w14:textId="77777777" w:rsidR="005E000F" w:rsidRDefault="00000000">
      <w:pPr>
        <w:rPr>
          <w:rFonts w:cs="Arial"/>
        </w:rPr>
      </w:pPr>
      <w:sdt>
        <w:sdtPr>
          <w:rPr>
            <w:rFonts w:cs="Arial"/>
          </w:rPr>
          <w:alias w:val="在合营企业或联营企业的持股比例不同于表决权比例的说明"/>
          <w:tag w:val="_GBC_b18385c11aff4424b360bd0cb4f81376"/>
          <w:id w:val="402876183"/>
          <w:placeholder>
            <w:docPart w:val="55FE27945F114971B4B5E97C7F76E03E"/>
          </w:placeholder>
        </w:sdtPr>
        <w:sdtContent>
          <w:r>
            <w:rPr>
              <w:rFonts w:cs="Arial" w:hint="eastAsia"/>
            </w:rPr>
            <w:t>无</w:t>
          </w:r>
        </w:sdtContent>
      </w:sdt>
    </w:p>
    <w:p w14:paraId="0BCFF7C5" w14:textId="77777777" w:rsidR="005E000F" w:rsidRDefault="005E000F">
      <w:pPr>
        <w:rPr>
          <w:rFonts w:cs="Arial"/>
        </w:rPr>
      </w:pPr>
    </w:p>
    <w:p w14:paraId="4460EDE6" w14:textId="77777777" w:rsidR="005E000F" w:rsidRDefault="00000000">
      <w:pPr>
        <w:rPr>
          <w:rFonts w:cs="Arial"/>
        </w:rPr>
      </w:pPr>
      <w:r>
        <w:rPr>
          <w:rFonts w:cs="Arial" w:hint="eastAsia"/>
        </w:rPr>
        <w:t>持有</w:t>
      </w:r>
      <w:r>
        <w:rPr>
          <w:rFonts w:cs="Arial"/>
        </w:rPr>
        <w:t>20%</w:t>
      </w:r>
      <w:r>
        <w:rPr>
          <w:rFonts w:cs="Arial"/>
        </w:rPr>
        <w:t>以下表决权但具有重大影响，或者持有</w:t>
      </w:r>
      <w:r>
        <w:rPr>
          <w:rFonts w:cs="Arial"/>
        </w:rPr>
        <w:t>20%</w:t>
      </w:r>
      <w:r>
        <w:rPr>
          <w:rFonts w:cs="Arial"/>
        </w:rPr>
        <w:t>或以上表决权但不具有重大影响的依据：</w:t>
      </w:r>
    </w:p>
    <w:p w14:paraId="55936646" w14:textId="77777777" w:rsidR="005E000F" w:rsidRDefault="00000000">
      <w:sdt>
        <w:sdtPr>
          <w:rPr>
            <w:rFonts w:cs="Arial"/>
          </w:rPr>
          <w:alias w:val="持有20%以下表决权但具有重大影响，或者持有20%或以上表决权但不具有重大影响的依据"/>
          <w:tag w:val="_GBC_08a71a8c491f4c758da0748f7570fb28"/>
          <w:id w:val="975341093"/>
          <w:placeholder>
            <w:docPart w:val="55FE27945F114971B4B5E97C7F76E03E"/>
          </w:placeholder>
        </w:sdtPr>
        <w:sdtContent>
          <w:r>
            <w:rPr>
              <w:rFonts w:cs="Arial" w:hint="eastAsia"/>
            </w:rPr>
            <w:t>无</w:t>
          </w:r>
        </w:sdtContent>
      </w:sdt>
    </w:p>
    <w:p w14:paraId="12C75D7B" w14:textId="77777777" w:rsidR="005E000F" w:rsidRDefault="005E000F">
      <w:pPr>
        <w:rPr>
          <w:rFonts w:cs="Arial"/>
        </w:rPr>
      </w:pPr>
    </w:p>
    <w:p w14:paraId="0559E731" w14:textId="77777777" w:rsidR="005E000F" w:rsidRDefault="005E000F">
      <w:pPr>
        <w:rPr>
          <w:rFonts w:cstheme="minorBidi"/>
        </w:rPr>
      </w:pPr>
    </w:p>
    <w:p w14:paraId="6506FC6B" w14:textId="77777777" w:rsidR="005E000F" w:rsidRDefault="00000000">
      <w:pPr>
        <w:pStyle w:val="4"/>
        <w:numPr>
          <w:ilvl w:val="3"/>
          <w:numId w:val="113"/>
        </w:numPr>
        <w:ind w:left="424" w:hangingChars="201" w:hanging="424"/>
      </w:pPr>
      <w:r>
        <w:rPr>
          <w:rFonts w:hint="eastAsia"/>
        </w:rPr>
        <w:lastRenderedPageBreak/>
        <w:t>重要合营企业的主要财务信息</w:t>
      </w:r>
    </w:p>
    <w:sdt>
      <w:sdtPr>
        <w:rPr>
          <w:rFonts w:hint="eastAsia"/>
        </w:rPr>
        <w:alias w:val="是否适用：重要合营企业的主要财务信息[双击切换]"/>
        <w:tag w:val="_GBC_8218a872fcd045d290940ccf3b3bdfa5"/>
        <w:id w:val="-1490249354"/>
        <w:placeholder>
          <w:docPart w:val="GBC22222222222222222222222222222"/>
        </w:placeholder>
      </w:sdtPr>
      <w:sdtContent>
        <w:p w14:paraId="580E88DC" w14:textId="77777777" w:rsidR="005E000F" w:rsidRDefault="00000000">
          <w:pPr>
            <w:rPr>
              <w:rFonts w:cs="Arial"/>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0A540A8" w14:textId="77777777" w:rsidR="005E000F" w:rsidRDefault="005E000F">
      <w:pPr>
        <w:rPr>
          <w:rFonts w:cs="Arial"/>
        </w:rPr>
      </w:pPr>
    </w:p>
    <w:p w14:paraId="1EAE339E" w14:textId="77777777" w:rsidR="005E000F" w:rsidRDefault="005E000F">
      <w:pPr>
        <w:rPr>
          <w:rFonts w:cstheme="minorBidi"/>
        </w:rPr>
      </w:pPr>
    </w:p>
    <w:p w14:paraId="1BFEEBEC" w14:textId="77777777" w:rsidR="005E000F" w:rsidRDefault="00000000">
      <w:pPr>
        <w:pStyle w:val="4"/>
        <w:numPr>
          <w:ilvl w:val="3"/>
          <w:numId w:val="113"/>
        </w:numPr>
        <w:ind w:left="424" w:hangingChars="201" w:hanging="424"/>
      </w:pPr>
      <w:r>
        <w:rPr>
          <w:rFonts w:hint="eastAsia"/>
        </w:rPr>
        <w:t>重要联营企业的主要财务信息</w:t>
      </w:r>
    </w:p>
    <w:sdt>
      <w:sdtPr>
        <w:rPr>
          <w:rFonts w:hint="eastAsia"/>
        </w:rPr>
        <w:alias w:val="是否适用：重要联营企业的主要财务信息[双击切换]"/>
        <w:tag w:val="_GBC_e570958be6b64b7d8be73c12ea5135f1"/>
        <w:id w:val="-608512827"/>
        <w:placeholder>
          <w:docPart w:val="GBC22222222222222222222222222222"/>
        </w:placeholder>
      </w:sdtPr>
      <w:sdtContent>
        <w:p w14:paraId="1DAD8711"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52351D9" w14:textId="77777777" w:rsidR="005E000F" w:rsidRDefault="00000000">
      <w:pPr>
        <w:jc w:val="right"/>
      </w:pPr>
      <w:r>
        <w:rPr>
          <w:rFonts w:hint="eastAsia"/>
        </w:rPr>
        <w:t>单位：</w:t>
      </w:r>
      <w:sdt>
        <w:sdtPr>
          <w:rPr>
            <w:rFonts w:hint="eastAsia"/>
          </w:rPr>
          <w:alias w:val="单位：财务附注：重要联营企业的主要财务信息"/>
          <w:tag w:val="_GBC_0306b30be35040cd86d2b964142011d4"/>
          <w:id w:val="-48647819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重要联营企业的主要财务信息"/>
          <w:tag w:val="_GBC_a2e655bae21746219bfd958c6f5b8be9"/>
          <w:id w:val="-8635224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0"/>
        <w:gridCol w:w="1675"/>
        <w:gridCol w:w="1700"/>
        <w:gridCol w:w="1587"/>
        <w:gridCol w:w="1697"/>
      </w:tblGrid>
      <w:tr w:rsidR="005E000F" w14:paraId="71DE3575" w14:textId="77777777">
        <w:trPr>
          <w:trHeight w:val="120"/>
        </w:trPr>
        <w:tc>
          <w:tcPr>
            <w:tcW w:w="2390" w:type="dxa"/>
            <w:vMerge w:val="restart"/>
            <w:vAlign w:val="center"/>
          </w:tcPr>
          <w:p w14:paraId="5707ADEC" w14:textId="77777777" w:rsidR="005E000F" w:rsidRDefault="005E000F">
            <w:pPr>
              <w:jc w:val="center"/>
              <w:rPr>
                <w:rFonts w:cs="Arial"/>
              </w:rPr>
            </w:pPr>
          </w:p>
        </w:tc>
        <w:tc>
          <w:tcPr>
            <w:tcW w:w="3375" w:type="dxa"/>
            <w:gridSpan w:val="2"/>
            <w:vAlign w:val="center"/>
          </w:tcPr>
          <w:sdt>
            <w:sdtPr>
              <w:tag w:val="_PLD_3f5fa209abb242d7b7cbb1f0a249e5ed"/>
              <w:id w:val="-2016756941"/>
            </w:sdtPr>
            <w:sdtContent>
              <w:p w14:paraId="5CA82A7F" w14:textId="77777777" w:rsidR="005E000F" w:rsidRDefault="00000000">
                <w:pPr>
                  <w:jc w:val="center"/>
                  <w:rPr>
                    <w:rFonts w:cs="Arial"/>
                  </w:rPr>
                </w:pPr>
                <w:r>
                  <w:rPr>
                    <w:rFonts w:cs="Arial" w:hint="eastAsia"/>
                    <w:lang w:val="en-GB"/>
                  </w:rPr>
                  <w:t>期末余额</w:t>
                </w:r>
                <w:r>
                  <w:rPr>
                    <w:rFonts w:cs="Arial"/>
                  </w:rPr>
                  <w:t>/</w:t>
                </w:r>
                <w:r>
                  <w:rPr>
                    <w:rFonts w:cs="Arial" w:hint="eastAsia"/>
                    <w:lang w:val="en-GB"/>
                  </w:rPr>
                  <w:t>本期发生额</w:t>
                </w:r>
              </w:p>
            </w:sdtContent>
          </w:sdt>
        </w:tc>
        <w:tc>
          <w:tcPr>
            <w:tcW w:w="3284" w:type="dxa"/>
            <w:gridSpan w:val="2"/>
            <w:vAlign w:val="center"/>
          </w:tcPr>
          <w:sdt>
            <w:sdtPr>
              <w:tag w:val="_PLD_84be18983356408eb53d1d34932bd41a"/>
              <w:id w:val="-183672313"/>
            </w:sdtPr>
            <w:sdtContent>
              <w:p w14:paraId="3A733C54" w14:textId="77777777" w:rsidR="005E000F" w:rsidRDefault="00000000">
                <w:pPr>
                  <w:jc w:val="center"/>
                  <w:rPr>
                    <w:rFonts w:cs="Arial"/>
                    <w:lang w:val="en-GB"/>
                  </w:rPr>
                </w:pPr>
                <w:r>
                  <w:rPr>
                    <w:rFonts w:cs="Arial" w:hint="eastAsia"/>
                    <w:lang w:val="en-GB"/>
                  </w:rPr>
                  <w:t>期初余额</w:t>
                </w:r>
                <w:r>
                  <w:rPr>
                    <w:rFonts w:cs="Arial"/>
                  </w:rPr>
                  <w:t>/</w:t>
                </w:r>
                <w:r>
                  <w:rPr>
                    <w:rFonts w:cs="Arial" w:hint="eastAsia"/>
                    <w:lang w:val="en-GB"/>
                  </w:rPr>
                  <w:t>上期发生额</w:t>
                </w:r>
              </w:p>
            </w:sdtContent>
          </w:sdt>
        </w:tc>
      </w:tr>
      <w:tr w:rsidR="005E000F" w14:paraId="7E374EC1" w14:textId="77777777">
        <w:trPr>
          <w:trHeight w:val="120"/>
        </w:trPr>
        <w:tc>
          <w:tcPr>
            <w:tcW w:w="2390" w:type="dxa"/>
            <w:vMerge/>
            <w:vAlign w:val="center"/>
          </w:tcPr>
          <w:p w14:paraId="74B5CCA0" w14:textId="77777777" w:rsidR="005E000F" w:rsidRDefault="005E000F">
            <w:pPr>
              <w:rPr>
                <w:rFonts w:cs="Arial"/>
              </w:rPr>
            </w:pPr>
          </w:p>
        </w:tc>
        <w:tc>
          <w:tcPr>
            <w:tcW w:w="1675" w:type="dxa"/>
          </w:tcPr>
          <w:p w14:paraId="7D781187" w14:textId="77777777" w:rsidR="005E000F" w:rsidRDefault="00000000">
            <w:pPr>
              <w:rPr>
                <w:rFonts w:cs="Arial"/>
                <w:color w:val="000000"/>
              </w:rPr>
            </w:pPr>
            <w:r>
              <w:rPr>
                <w:rFonts w:cs="Arial" w:hint="eastAsia"/>
                <w:color w:val="000000"/>
              </w:rPr>
              <w:t>朔黄铁路</w:t>
            </w:r>
          </w:p>
        </w:tc>
        <w:tc>
          <w:tcPr>
            <w:tcW w:w="1700" w:type="dxa"/>
          </w:tcPr>
          <w:p w14:paraId="02456E8B" w14:textId="77777777" w:rsidR="005E000F" w:rsidRDefault="00000000">
            <w:pPr>
              <w:rPr>
                <w:rFonts w:cs="Arial"/>
                <w:color w:val="000000"/>
                <w:lang w:eastAsia="en-US"/>
              </w:rPr>
            </w:pPr>
            <w:proofErr w:type="gramStart"/>
            <w:r>
              <w:rPr>
                <w:rFonts w:cs="Arial"/>
                <w:color w:val="000000"/>
              </w:rPr>
              <w:t>浩</w:t>
            </w:r>
            <w:proofErr w:type="gramEnd"/>
            <w:r>
              <w:rPr>
                <w:rFonts w:cs="Arial"/>
                <w:color w:val="000000"/>
              </w:rPr>
              <w:t>吉铁路</w:t>
            </w:r>
          </w:p>
        </w:tc>
        <w:tc>
          <w:tcPr>
            <w:tcW w:w="1587" w:type="dxa"/>
          </w:tcPr>
          <w:p w14:paraId="3CAE7FC5" w14:textId="77777777" w:rsidR="005E000F" w:rsidRDefault="00000000">
            <w:pPr>
              <w:rPr>
                <w:rFonts w:cs="Arial"/>
                <w:color w:val="000000"/>
              </w:rPr>
            </w:pPr>
            <w:r>
              <w:rPr>
                <w:rFonts w:cs="Arial" w:hint="eastAsia"/>
                <w:color w:val="000000"/>
              </w:rPr>
              <w:t>朔黄铁路</w:t>
            </w:r>
          </w:p>
        </w:tc>
        <w:tc>
          <w:tcPr>
            <w:tcW w:w="1697" w:type="dxa"/>
          </w:tcPr>
          <w:p w14:paraId="0D688808" w14:textId="77777777" w:rsidR="005E000F" w:rsidRDefault="00000000">
            <w:pPr>
              <w:rPr>
                <w:rFonts w:cs="Arial"/>
                <w:color w:val="000000"/>
                <w:lang w:eastAsia="en-US"/>
              </w:rPr>
            </w:pPr>
            <w:proofErr w:type="gramStart"/>
            <w:r>
              <w:rPr>
                <w:rFonts w:cs="Arial"/>
                <w:color w:val="000000"/>
              </w:rPr>
              <w:t>浩</w:t>
            </w:r>
            <w:proofErr w:type="gramEnd"/>
            <w:r>
              <w:rPr>
                <w:rFonts w:cs="Arial"/>
                <w:color w:val="000000"/>
              </w:rPr>
              <w:t>吉铁路</w:t>
            </w:r>
          </w:p>
        </w:tc>
      </w:tr>
      <w:tr w:rsidR="005E000F" w14:paraId="2DDBE7F5" w14:textId="77777777">
        <w:tc>
          <w:tcPr>
            <w:tcW w:w="2390" w:type="dxa"/>
            <w:vAlign w:val="center"/>
          </w:tcPr>
          <w:p w14:paraId="2AD536A1" w14:textId="77777777" w:rsidR="005E000F" w:rsidRDefault="00000000">
            <w:pPr>
              <w:rPr>
                <w:rFonts w:cs="Arial"/>
                <w:color w:val="000000"/>
              </w:rPr>
            </w:pPr>
            <w:r>
              <w:rPr>
                <w:rFonts w:cs="Arial" w:hint="eastAsia"/>
                <w:color w:val="000000"/>
                <w:lang w:val="en-GB"/>
              </w:rPr>
              <w:t>流动资产</w:t>
            </w:r>
          </w:p>
        </w:tc>
        <w:tc>
          <w:tcPr>
            <w:tcW w:w="1675" w:type="dxa"/>
            <w:vAlign w:val="center"/>
          </w:tcPr>
          <w:p w14:paraId="509D8359" w14:textId="77777777" w:rsidR="005E000F" w:rsidRDefault="00000000">
            <w:pPr>
              <w:jc w:val="right"/>
            </w:pPr>
            <w:r>
              <w:t xml:space="preserve"> 12,925,728,929 </w:t>
            </w:r>
          </w:p>
        </w:tc>
        <w:tc>
          <w:tcPr>
            <w:tcW w:w="1700" w:type="dxa"/>
            <w:vAlign w:val="center"/>
          </w:tcPr>
          <w:p w14:paraId="45C4C466" w14:textId="77777777" w:rsidR="005E000F" w:rsidRDefault="00000000">
            <w:pPr>
              <w:jc w:val="right"/>
            </w:pPr>
            <w:r>
              <w:t xml:space="preserve"> 10,887,534,444 </w:t>
            </w:r>
          </w:p>
        </w:tc>
        <w:tc>
          <w:tcPr>
            <w:tcW w:w="1587" w:type="dxa"/>
          </w:tcPr>
          <w:p w14:paraId="28AF5971" w14:textId="77777777" w:rsidR="005E000F" w:rsidRDefault="00000000">
            <w:pPr>
              <w:jc w:val="right"/>
              <w:rPr>
                <w:lang w:eastAsia="en-US"/>
              </w:rPr>
            </w:pPr>
            <w:r>
              <w:t>8,564,178,754</w:t>
            </w:r>
          </w:p>
        </w:tc>
        <w:tc>
          <w:tcPr>
            <w:tcW w:w="1697" w:type="dxa"/>
          </w:tcPr>
          <w:p w14:paraId="6A071C77" w14:textId="77777777" w:rsidR="005E000F" w:rsidRDefault="00000000">
            <w:pPr>
              <w:jc w:val="right"/>
              <w:rPr>
                <w:lang w:eastAsia="en-US"/>
              </w:rPr>
            </w:pPr>
            <w:r>
              <w:t>9,360,253,539</w:t>
            </w:r>
          </w:p>
        </w:tc>
      </w:tr>
      <w:tr w:rsidR="005E000F" w14:paraId="22952792" w14:textId="77777777">
        <w:tc>
          <w:tcPr>
            <w:tcW w:w="2390" w:type="dxa"/>
            <w:vAlign w:val="center"/>
          </w:tcPr>
          <w:p w14:paraId="685E7CF7" w14:textId="77777777" w:rsidR="005E000F" w:rsidRDefault="00000000">
            <w:pPr>
              <w:rPr>
                <w:rFonts w:cs="Arial"/>
                <w:color w:val="000000"/>
              </w:rPr>
            </w:pPr>
            <w:r>
              <w:rPr>
                <w:rFonts w:cs="Arial" w:hint="eastAsia"/>
                <w:color w:val="000000"/>
                <w:lang w:val="en-GB"/>
              </w:rPr>
              <w:t>非流动资产</w:t>
            </w:r>
          </w:p>
        </w:tc>
        <w:tc>
          <w:tcPr>
            <w:tcW w:w="1675" w:type="dxa"/>
            <w:vAlign w:val="center"/>
          </w:tcPr>
          <w:p w14:paraId="0BECFD34" w14:textId="77777777" w:rsidR="005E000F" w:rsidRDefault="00000000">
            <w:pPr>
              <w:jc w:val="right"/>
            </w:pPr>
            <w:r>
              <w:t xml:space="preserve"> 34,878,743,415 </w:t>
            </w:r>
          </w:p>
        </w:tc>
        <w:tc>
          <w:tcPr>
            <w:tcW w:w="1700" w:type="dxa"/>
            <w:vAlign w:val="center"/>
          </w:tcPr>
          <w:p w14:paraId="1DBA75D4" w14:textId="77777777" w:rsidR="005E000F" w:rsidRDefault="00000000">
            <w:pPr>
              <w:jc w:val="right"/>
            </w:pPr>
            <w:r>
              <w:t xml:space="preserve">144,381,443,536 </w:t>
            </w:r>
          </w:p>
        </w:tc>
        <w:tc>
          <w:tcPr>
            <w:tcW w:w="1587" w:type="dxa"/>
          </w:tcPr>
          <w:p w14:paraId="154719DD" w14:textId="77777777" w:rsidR="005E000F" w:rsidRDefault="00000000">
            <w:pPr>
              <w:jc w:val="right"/>
              <w:rPr>
                <w:lang w:eastAsia="en-US"/>
              </w:rPr>
            </w:pPr>
            <w:r>
              <w:t>35,807,083,861</w:t>
            </w:r>
          </w:p>
        </w:tc>
        <w:tc>
          <w:tcPr>
            <w:tcW w:w="1697" w:type="dxa"/>
          </w:tcPr>
          <w:p w14:paraId="63B7F093" w14:textId="77777777" w:rsidR="005E000F" w:rsidRDefault="00000000">
            <w:pPr>
              <w:jc w:val="right"/>
              <w:rPr>
                <w:lang w:eastAsia="en-US"/>
              </w:rPr>
            </w:pPr>
            <w:r>
              <w:t>147,586,467,247</w:t>
            </w:r>
          </w:p>
        </w:tc>
      </w:tr>
      <w:tr w:rsidR="005E000F" w14:paraId="2A5178FB" w14:textId="77777777">
        <w:tc>
          <w:tcPr>
            <w:tcW w:w="2390" w:type="dxa"/>
            <w:vAlign w:val="center"/>
          </w:tcPr>
          <w:p w14:paraId="4F1BE2A8" w14:textId="77777777" w:rsidR="005E000F" w:rsidRDefault="00000000">
            <w:pPr>
              <w:rPr>
                <w:rFonts w:cs="Arial"/>
                <w:color w:val="000000"/>
              </w:rPr>
            </w:pPr>
            <w:r>
              <w:rPr>
                <w:rFonts w:cs="Arial" w:hint="eastAsia"/>
                <w:color w:val="000000"/>
                <w:lang w:val="en-GB"/>
              </w:rPr>
              <w:t>资产合计</w:t>
            </w:r>
          </w:p>
        </w:tc>
        <w:tc>
          <w:tcPr>
            <w:tcW w:w="1675" w:type="dxa"/>
            <w:vAlign w:val="center"/>
          </w:tcPr>
          <w:p w14:paraId="7BD31FF8" w14:textId="77777777" w:rsidR="005E000F" w:rsidRDefault="00000000">
            <w:pPr>
              <w:jc w:val="right"/>
            </w:pPr>
            <w:r>
              <w:t xml:space="preserve"> 47,804,472,344 </w:t>
            </w:r>
          </w:p>
        </w:tc>
        <w:tc>
          <w:tcPr>
            <w:tcW w:w="1700" w:type="dxa"/>
            <w:vAlign w:val="center"/>
          </w:tcPr>
          <w:p w14:paraId="6D7E5E3C" w14:textId="77777777" w:rsidR="005E000F" w:rsidRDefault="00000000">
            <w:pPr>
              <w:jc w:val="right"/>
            </w:pPr>
            <w:r>
              <w:t xml:space="preserve">155,268,977,980 </w:t>
            </w:r>
          </w:p>
        </w:tc>
        <w:tc>
          <w:tcPr>
            <w:tcW w:w="1587" w:type="dxa"/>
          </w:tcPr>
          <w:p w14:paraId="23F2086D" w14:textId="77777777" w:rsidR="005E000F" w:rsidRDefault="00000000">
            <w:pPr>
              <w:jc w:val="right"/>
              <w:rPr>
                <w:lang w:eastAsia="en-US"/>
              </w:rPr>
            </w:pPr>
            <w:r>
              <w:t>44,371,262,615</w:t>
            </w:r>
          </w:p>
        </w:tc>
        <w:tc>
          <w:tcPr>
            <w:tcW w:w="1697" w:type="dxa"/>
          </w:tcPr>
          <w:p w14:paraId="173A1557" w14:textId="77777777" w:rsidR="005E000F" w:rsidRDefault="00000000">
            <w:pPr>
              <w:jc w:val="right"/>
              <w:rPr>
                <w:lang w:eastAsia="en-US"/>
              </w:rPr>
            </w:pPr>
            <w:r>
              <w:t>156,946,720,786</w:t>
            </w:r>
          </w:p>
        </w:tc>
      </w:tr>
      <w:tr w:rsidR="005E000F" w14:paraId="61966B1C" w14:textId="77777777">
        <w:tc>
          <w:tcPr>
            <w:tcW w:w="9049" w:type="dxa"/>
            <w:gridSpan w:val="5"/>
            <w:vAlign w:val="center"/>
          </w:tcPr>
          <w:p w14:paraId="129B0EE0" w14:textId="77777777" w:rsidR="005E000F" w:rsidRDefault="005E000F">
            <w:pPr>
              <w:jc w:val="right"/>
            </w:pPr>
          </w:p>
        </w:tc>
      </w:tr>
      <w:tr w:rsidR="005E000F" w14:paraId="0B7252F2" w14:textId="77777777">
        <w:tc>
          <w:tcPr>
            <w:tcW w:w="2390" w:type="dxa"/>
            <w:vAlign w:val="center"/>
          </w:tcPr>
          <w:p w14:paraId="6297F2CD" w14:textId="77777777" w:rsidR="005E000F" w:rsidRDefault="00000000">
            <w:pPr>
              <w:rPr>
                <w:rFonts w:cs="Arial"/>
                <w:color w:val="000000"/>
              </w:rPr>
            </w:pPr>
            <w:r>
              <w:rPr>
                <w:rFonts w:cs="Arial" w:hint="eastAsia"/>
                <w:color w:val="000000"/>
                <w:lang w:val="en-GB"/>
              </w:rPr>
              <w:t>流动负债</w:t>
            </w:r>
          </w:p>
        </w:tc>
        <w:tc>
          <w:tcPr>
            <w:tcW w:w="1675" w:type="dxa"/>
            <w:vAlign w:val="center"/>
          </w:tcPr>
          <w:p w14:paraId="7A4A964F" w14:textId="77777777" w:rsidR="005E000F" w:rsidRDefault="00000000">
            <w:pPr>
              <w:jc w:val="right"/>
            </w:pPr>
            <w:r>
              <w:t xml:space="preserve"> 5,986,663,081 </w:t>
            </w:r>
          </w:p>
        </w:tc>
        <w:tc>
          <w:tcPr>
            <w:tcW w:w="1700" w:type="dxa"/>
            <w:vAlign w:val="center"/>
          </w:tcPr>
          <w:p w14:paraId="1A754DDC" w14:textId="77777777" w:rsidR="005E000F" w:rsidRDefault="00000000">
            <w:pPr>
              <w:jc w:val="right"/>
            </w:pPr>
            <w:r>
              <w:t xml:space="preserve"> 15,086,853,517 </w:t>
            </w:r>
          </w:p>
        </w:tc>
        <w:tc>
          <w:tcPr>
            <w:tcW w:w="1587" w:type="dxa"/>
          </w:tcPr>
          <w:p w14:paraId="2138BFD3" w14:textId="77777777" w:rsidR="005E000F" w:rsidRDefault="00000000">
            <w:pPr>
              <w:jc w:val="right"/>
              <w:rPr>
                <w:lang w:eastAsia="en-US"/>
              </w:rPr>
            </w:pPr>
            <w:r>
              <w:t>10,712,962,447</w:t>
            </w:r>
          </w:p>
        </w:tc>
        <w:tc>
          <w:tcPr>
            <w:tcW w:w="1697" w:type="dxa"/>
          </w:tcPr>
          <w:p w14:paraId="1923BF65" w14:textId="77777777" w:rsidR="005E000F" w:rsidRDefault="00000000">
            <w:pPr>
              <w:jc w:val="right"/>
              <w:rPr>
                <w:lang w:eastAsia="en-US"/>
              </w:rPr>
            </w:pPr>
            <w:r>
              <w:t>10,948,841,750</w:t>
            </w:r>
          </w:p>
        </w:tc>
      </w:tr>
      <w:tr w:rsidR="005E000F" w14:paraId="73A6C293" w14:textId="77777777">
        <w:tc>
          <w:tcPr>
            <w:tcW w:w="2390" w:type="dxa"/>
            <w:vAlign w:val="center"/>
          </w:tcPr>
          <w:p w14:paraId="3BE4CBCE" w14:textId="77777777" w:rsidR="005E000F" w:rsidRDefault="00000000">
            <w:pPr>
              <w:rPr>
                <w:rFonts w:cs="Arial"/>
                <w:color w:val="000000"/>
              </w:rPr>
            </w:pPr>
            <w:r>
              <w:rPr>
                <w:rFonts w:cs="Arial" w:hint="eastAsia"/>
                <w:color w:val="000000"/>
                <w:lang w:val="en-GB"/>
              </w:rPr>
              <w:t>非流动负债</w:t>
            </w:r>
          </w:p>
        </w:tc>
        <w:tc>
          <w:tcPr>
            <w:tcW w:w="1675" w:type="dxa"/>
            <w:vAlign w:val="center"/>
          </w:tcPr>
          <w:p w14:paraId="536B7906" w14:textId="77777777" w:rsidR="005E000F" w:rsidRDefault="00000000">
            <w:pPr>
              <w:jc w:val="right"/>
            </w:pPr>
            <w:r>
              <w:t xml:space="preserve"> 4,584,162,243 </w:t>
            </w:r>
          </w:p>
        </w:tc>
        <w:tc>
          <w:tcPr>
            <w:tcW w:w="1700" w:type="dxa"/>
            <w:vAlign w:val="center"/>
          </w:tcPr>
          <w:p w14:paraId="5D0EB731" w14:textId="77777777" w:rsidR="005E000F" w:rsidRDefault="00000000">
            <w:pPr>
              <w:jc w:val="right"/>
            </w:pPr>
            <w:r>
              <w:t xml:space="preserve"> 86,457,487,567 </w:t>
            </w:r>
          </w:p>
        </w:tc>
        <w:tc>
          <w:tcPr>
            <w:tcW w:w="1587" w:type="dxa"/>
          </w:tcPr>
          <w:p w14:paraId="1896AEBE" w14:textId="77777777" w:rsidR="005E000F" w:rsidRDefault="00000000">
            <w:pPr>
              <w:jc w:val="right"/>
              <w:rPr>
                <w:lang w:eastAsia="en-US"/>
              </w:rPr>
            </w:pPr>
            <w:r>
              <w:t>3,663,122,430</w:t>
            </w:r>
          </w:p>
        </w:tc>
        <w:tc>
          <w:tcPr>
            <w:tcW w:w="1697" w:type="dxa"/>
          </w:tcPr>
          <w:p w14:paraId="67BA5DA0" w14:textId="77777777" w:rsidR="005E000F" w:rsidRDefault="00000000">
            <w:pPr>
              <w:jc w:val="right"/>
              <w:rPr>
                <w:lang w:eastAsia="en-US"/>
              </w:rPr>
            </w:pPr>
            <w:r>
              <w:t>92,889,159,450</w:t>
            </w:r>
          </w:p>
        </w:tc>
      </w:tr>
      <w:tr w:rsidR="005E000F" w14:paraId="11A4D9E8" w14:textId="77777777">
        <w:tc>
          <w:tcPr>
            <w:tcW w:w="2390" w:type="dxa"/>
            <w:vAlign w:val="center"/>
          </w:tcPr>
          <w:p w14:paraId="5F83807B" w14:textId="77777777" w:rsidR="005E000F" w:rsidRDefault="00000000">
            <w:pPr>
              <w:rPr>
                <w:rFonts w:cs="Arial"/>
                <w:color w:val="000000"/>
              </w:rPr>
            </w:pPr>
            <w:r>
              <w:rPr>
                <w:rFonts w:cs="Arial" w:hint="eastAsia"/>
                <w:color w:val="000000"/>
                <w:lang w:val="en-GB"/>
              </w:rPr>
              <w:t>负债合计</w:t>
            </w:r>
          </w:p>
        </w:tc>
        <w:tc>
          <w:tcPr>
            <w:tcW w:w="1675" w:type="dxa"/>
            <w:vAlign w:val="center"/>
          </w:tcPr>
          <w:p w14:paraId="52E4CAEB" w14:textId="77777777" w:rsidR="005E000F" w:rsidRDefault="00000000">
            <w:pPr>
              <w:jc w:val="right"/>
            </w:pPr>
            <w:r>
              <w:t xml:space="preserve"> 10,570,825,324 </w:t>
            </w:r>
          </w:p>
        </w:tc>
        <w:tc>
          <w:tcPr>
            <w:tcW w:w="1700" w:type="dxa"/>
            <w:vAlign w:val="center"/>
          </w:tcPr>
          <w:p w14:paraId="2E498A37" w14:textId="77777777" w:rsidR="005E000F" w:rsidRDefault="00000000">
            <w:pPr>
              <w:jc w:val="right"/>
            </w:pPr>
            <w:r>
              <w:t xml:space="preserve">101,544,341,084 </w:t>
            </w:r>
          </w:p>
        </w:tc>
        <w:tc>
          <w:tcPr>
            <w:tcW w:w="1587" w:type="dxa"/>
          </w:tcPr>
          <w:p w14:paraId="56482896" w14:textId="77777777" w:rsidR="005E000F" w:rsidRDefault="00000000">
            <w:pPr>
              <w:jc w:val="right"/>
              <w:rPr>
                <w:lang w:eastAsia="en-US"/>
              </w:rPr>
            </w:pPr>
            <w:r>
              <w:t>14,376,084,877</w:t>
            </w:r>
          </w:p>
        </w:tc>
        <w:tc>
          <w:tcPr>
            <w:tcW w:w="1697" w:type="dxa"/>
          </w:tcPr>
          <w:p w14:paraId="2949DCB5" w14:textId="77777777" w:rsidR="005E000F" w:rsidRDefault="00000000">
            <w:pPr>
              <w:jc w:val="right"/>
              <w:rPr>
                <w:lang w:eastAsia="en-US"/>
              </w:rPr>
            </w:pPr>
            <w:r>
              <w:t>103,838,001,200</w:t>
            </w:r>
          </w:p>
        </w:tc>
      </w:tr>
      <w:tr w:rsidR="005E000F" w14:paraId="7F4D8245" w14:textId="77777777">
        <w:tc>
          <w:tcPr>
            <w:tcW w:w="9049" w:type="dxa"/>
            <w:gridSpan w:val="5"/>
            <w:vAlign w:val="center"/>
          </w:tcPr>
          <w:p w14:paraId="7C485E10" w14:textId="77777777" w:rsidR="005E000F" w:rsidRDefault="005E000F">
            <w:pPr>
              <w:jc w:val="right"/>
            </w:pPr>
          </w:p>
        </w:tc>
      </w:tr>
      <w:tr w:rsidR="005E000F" w14:paraId="58BA7AD5" w14:textId="77777777">
        <w:tc>
          <w:tcPr>
            <w:tcW w:w="2390" w:type="dxa"/>
            <w:vAlign w:val="center"/>
          </w:tcPr>
          <w:p w14:paraId="5B8B9803" w14:textId="77777777" w:rsidR="005E000F" w:rsidRDefault="00000000">
            <w:pPr>
              <w:rPr>
                <w:rFonts w:cs="Arial"/>
                <w:color w:val="000000"/>
              </w:rPr>
            </w:pPr>
            <w:r>
              <w:rPr>
                <w:rFonts w:cs="Arial" w:hint="eastAsia"/>
                <w:color w:val="000000"/>
                <w:lang w:val="en-GB"/>
              </w:rPr>
              <w:t>归属于母公司股东权益</w:t>
            </w:r>
          </w:p>
        </w:tc>
        <w:tc>
          <w:tcPr>
            <w:tcW w:w="1675" w:type="dxa"/>
            <w:vAlign w:val="center"/>
          </w:tcPr>
          <w:p w14:paraId="15538A2D" w14:textId="77777777" w:rsidR="005E000F" w:rsidRDefault="00000000">
            <w:pPr>
              <w:jc w:val="right"/>
            </w:pPr>
            <w:r>
              <w:t xml:space="preserve"> 35,821,633,725 </w:t>
            </w:r>
          </w:p>
        </w:tc>
        <w:tc>
          <w:tcPr>
            <w:tcW w:w="1700" w:type="dxa"/>
            <w:vAlign w:val="center"/>
          </w:tcPr>
          <w:p w14:paraId="40E8A715" w14:textId="77777777" w:rsidR="005E000F" w:rsidRDefault="00000000">
            <w:pPr>
              <w:jc w:val="right"/>
            </w:pPr>
            <w:r>
              <w:t xml:space="preserve"> 53,724,636,895 </w:t>
            </w:r>
          </w:p>
        </w:tc>
        <w:tc>
          <w:tcPr>
            <w:tcW w:w="1587" w:type="dxa"/>
          </w:tcPr>
          <w:p w14:paraId="385E9617" w14:textId="77777777" w:rsidR="005E000F" w:rsidRDefault="00000000">
            <w:pPr>
              <w:jc w:val="right"/>
              <w:rPr>
                <w:lang w:eastAsia="en-US"/>
              </w:rPr>
            </w:pPr>
            <w:r>
              <w:t>28,547,773,427</w:t>
            </w:r>
          </w:p>
        </w:tc>
        <w:tc>
          <w:tcPr>
            <w:tcW w:w="1697" w:type="dxa"/>
          </w:tcPr>
          <w:p w14:paraId="1FB0B272" w14:textId="77777777" w:rsidR="005E000F" w:rsidRDefault="00000000">
            <w:pPr>
              <w:jc w:val="right"/>
              <w:rPr>
                <w:lang w:eastAsia="en-US"/>
              </w:rPr>
            </w:pPr>
            <w:r>
              <w:t>53,108,719,586</w:t>
            </w:r>
          </w:p>
        </w:tc>
      </w:tr>
      <w:tr w:rsidR="005E000F" w14:paraId="06FCC48B" w14:textId="77777777">
        <w:tc>
          <w:tcPr>
            <w:tcW w:w="2390" w:type="dxa"/>
            <w:vAlign w:val="center"/>
          </w:tcPr>
          <w:p w14:paraId="050718CC" w14:textId="77777777" w:rsidR="005E000F" w:rsidRDefault="00000000">
            <w:pPr>
              <w:rPr>
                <w:rFonts w:cs="Arial"/>
                <w:color w:val="000000"/>
                <w:lang w:val="en-GB"/>
              </w:rPr>
            </w:pPr>
            <w:r>
              <w:rPr>
                <w:rFonts w:cs="Arial"/>
                <w:color w:val="000000"/>
              </w:rPr>
              <w:t>加：其他股东承诺出资</w:t>
            </w:r>
          </w:p>
        </w:tc>
        <w:tc>
          <w:tcPr>
            <w:tcW w:w="1675" w:type="dxa"/>
            <w:vAlign w:val="center"/>
          </w:tcPr>
          <w:p w14:paraId="7C4EEE4C" w14:textId="77777777" w:rsidR="005E000F" w:rsidRDefault="00000000">
            <w:pPr>
              <w:jc w:val="right"/>
            </w:pPr>
            <w:r>
              <w:rPr>
                <w:rFonts w:hint="eastAsia"/>
              </w:rPr>
              <w:t>0</w:t>
            </w:r>
            <w:r>
              <w:t xml:space="preserve">  </w:t>
            </w:r>
          </w:p>
        </w:tc>
        <w:tc>
          <w:tcPr>
            <w:tcW w:w="1700" w:type="dxa"/>
            <w:vAlign w:val="center"/>
          </w:tcPr>
          <w:p w14:paraId="7B18CF8B" w14:textId="77777777" w:rsidR="005E000F" w:rsidRDefault="00000000">
            <w:pPr>
              <w:jc w:val="right"/>
            </w:pPr>
            <w:r>
              <w:t xml:space="preserve"> 10</w:t>
            </w:r>
            <w:r>
              <w:rPr>
                <w:rFonts w:hint="eastAsia"/>
              </w:rPr>
              <w:t>0</w:t>
            </w:r>
            <w:r>
              <w:t xml:space="preserve">,000,000 </w:t>
            </w:r>
          </w:p>
        </w:tc>
        <w:tc>
          <w:tcPr>
            <w:tcW w:w="1587" w:type="dxa"/>
          </w:tcPr>
          <w:p w14:paraId="01DF041B" w14:textId="77777777" w:rsidR="005E000F" w:rsidRDefault="00000000">
            <w:pPr>
              <w:jc w:val="right"/>
              <w:rPr>
                <w:lang w:eastAsia="en-US"/>
              </w:rPr>
            </w:pPr>
            <w:r>
              <w:t>0</w:t>
            </w:r>
          </w:p>
        </w:tc>
        <w:tc>
          <w:tcPr>
            <w:tcW w:w="1697" w:type="dxa"/>
          </w:tcPr>
          <w:p w14:paraId="63AD35FB" w14:textId="77777777" w:rsidR="005E000F" w:rsidRDefault="00000000">
            <w:pPr>
              <w:jc w:val="right"/>
              <w:rPr>
                <w:lang w:eastAsia="en-US"/>
              </w:rPr>
            </w:pPr>
            <w:r>
              <w:t>1</w:t>
            </w:r>
            <w:r>
              <w:rPr>
                <w:rFonts w:hint="eastAsia"/>
              </w:rPr>
              <w:t>0</w:t>
            </w:r>
            <w:r>
              <w:t>0,000,000</w:t>
            </w:r>
          </w:p>
        </w:tc>
      </w:tr>
      <w:tr w:rsidR="005E000F" w14:paraId="43F9039F" w14:textId="77777777">
        <w:tc>
          <w:tcPr>
            <w:tcW w:w="9049" w:type="dxa"/>
            <w:gridSpan w:val="5"/>
            <w:vAlign w:val="center"/>
          </w:tcPr>
          <w:p w14:paraId="2A0CB142" w14:textId="77777777" w:rsidR="005E000F" w:rsidRDefault="005E000F">
            <w:pPr>
              <w:jc w:val="right"/>
            </w:pPr>
          </w:p>
        </w:tc>
      </w:tr>
      <w:tr w:rsidR="005E000F" w14:paraId="2ABBD7D4" w14:textId="77777777">
        <w:tc>
          <w:tcPr>
            <w:tcW w:w="2390" w:type="dxa"/>
            <w:vAlign w:val="center"/>
          </w:tcPr>
          <w:p w14:paraId="430CD203" w14:textId="77777777" w:rsidR="005E000F" w:rsidRDefault="00000000">
            <w:pPr>
              <w:rPr>
                <w:rFonts w:cs="Arial"/>
                <w:color w:val="000000"/>
              </w:rPr>
            </w:pPr>
            <w:r>
              <w:rPr>
                <w:rFonts w:cs="Arial" w:hint="eastAsia"/>
                <w:color w:val="000000"/>
                <w:lang w:val="en-GB"/>
              </w:rPr>
              <w:t>按持股比例计算的净资产份额</w:t>
            </w:r>
          </w:p>
        </w:tc>
        <w:tc>
          <w:tcPr>
            <w:tcW w:w="1675" w:type="dxa"/>
            <w:vAlign w:val="center"/>
          </w:tcPr>
          <w:p w14:paraId="5DE1A277" w14:textId="77777777" w:rsidR="005E000F" w:rsidRDefault="00000000">
            <w:pPr>
              <w:jc w:val="right"/>
            </w:pPr>
            <w:r>
              <w:t>14,745,883,188</w:t>
            </w:r>
          </w:p>
        </w:tc>
        <w:tc>
          <w:tcPr>
            <w:tcW w:w="1700" w:type="dxa"/>
            <w:vAlign w:val="center"/>
          </w:tcPr>
          <w:p w14:paraId="3422A638" w14:textId="77777777" w:rsidR="005E000F" w:rsidRDefault="00000000">
            <w:pPr>
              <w:jc w:val="right"/>
            </w:pPr>
            <w:r>
              <w:t>5,382,463,6</w:t>
            </w:r>
            <w:r>
              <w:rPr>
                <w:rFonts w:hint="eastAsia"/>
              </w:rPr>
              <w:t>89</w:t>
            </w:r>
          </w:p>
        </w:tc>
        <w:tc>
          <w:tcPr>
            <w:tcW w:w="1587" w:type="dxa"/>
            <w:vAlign w:val="center"/>
          </w:tcPr>
          <w:p w14:paraId="304F76E8" w14:textId="77777777" w:rsidR="005E000F" w:rsidRDefault="00000000">
            <w:pPr>
              <w:jc w:val="right"/>
              <w:rPr>
                <w:lang w:eastAsia="en-US"/>
              </w:rPr>
            </w:pPr>
            <w:r>
              <w:t>11,752,664,548</w:t>
            </w:r>
          </w:p>
        </w:tc>
        <w:tc>
          <w:tcPr>
            <w:tcW w:w="1697" w:type="dxa"/>
            <w:vAlign w:val="center"/>
          </w:tcPr>
          <w:p w14:paraId="73915D79" w14:textId="77777777" w:rsidR="005E000F" w:rsidRDefault="00000000">
            <w:pPr>
              <w:jc w:val="right"/>
              <w:rPr>
                <w:lang w:eastAsia="en-US"/>
              </w:rPr>
            </w:pPr>
            <w:r>
              <w:t>5,320,871,957</w:t>
            </w:r>
          </w:p>
        </w:tc>
      </w:tr>
      <w:tr w:rsidR="005E000F" w14:paraId="5B78E6BD" w14:textId="77777777">
        <w:tc>
          <w:tcPr>
            <w:tcW w:w="2390" w:type="dxa"/>
            <w:vAlign w:val="center"/>
          </w:tcPr>
          <w:p w14:paraId="0353B703" w14:textId="77777777" w:rsidR="005E000F" w:rsidRDefault="00000000">
            <w:pPr>
              <w:rPr>
                <w:rFonts w:cs="Arial"/>
                <w:color w:val="000000"/>
              </w:rPr>
            </w:pPr>
            <w:r>
              <w:rPr>
                <w:rFonts w:cs="Arial" w:hint="eastAsia"/>
                <w:color w:val="000000"/>
                <w:lang w:val="en-GB"/>
              </w:rPr>
              <w:t>调整事项</w:t>
            </w:r>
          </w:p>
        </w:tc>
        <w:tc>
          <w:tcPr>
            <w:tcW w:w="1675" w:type="dxa"/>
            <w:vAlign w:val="center"/>
          </w:tcPr>
          <w:p w14:paraId="3DA09D25" w14:textId="77777777" w:rsidR="005E000F" w:rsidRDefault="00000000">
            <w:pPr>
              <w:jc w:val="right"/>
            </w:pPr>
            <w:r>
              <w:t xml:space="preserve"> 7,566,177,782 </w:t>
            </w:r>
          </w:p>
        </w:tc>
        <w:tc>
          <w:tcPr>
            <w:tcW w:w="1700" w:type="dxa"/>
            <w:vAlign w:val="center"/>
          </w:tcPr>
          <w:p w14:paraId="55B970FB" w14:textId="77777777" w:rsidR="005E000F" w:rsidRDefault="00000000">
            <w:pPr>
              <w:jc w:val="right"/>
            </w:pPr>
            <w:r>
              <w:rPr>
                <w:rFonts w:hint="eastAsia"/>
              </w:rPr>
              <w:t>0</w:t>
            </w:r>
            <w:r>
              <w:t xml:space="preserve">   </w:t>
            </w:r>
          </w:p>
        </w:tc>
        <w:tc>
          <w:tcPr>
            <w:tcW w:w="1587" w:type="dxa"/>
            <w:vAlign w:val="center"/>
          </w:tcPr>
          <w:p w14:paraId="4630242D" w14:textId="77777777" w:rsidR="005E000F" w:rsidRDefault="00000000">
            <w:pPr>
              <w:jc w:val="right"/>
              <w:rPr>
                <w:lang w:eastAsia="en-US"/>
              </w:rPr>
            </w:pPr>
            <w:r>
              <w:t>7,566,177,782</w:t>
            </w:r>
          </w:p>
        </w:tc>
        <w:tc>
          <w:tcPr>
            <w:tcW w:w="1697" w:type="dxa"/>
            <w:vAlign w:val="center"/>
          </w:tcPr>
          <w:p w14:paraId="3FE8A7C4" w14:textId="77777777" w:rsidR="005E000F" w:rsidRDefault="00000000">
            <w:pPr>
              <w:jc w:val="right"/>
              <w:rPr>
                <w:lang w:eastAsia="en-US"/>
              </w:rPr>
            </w:pPr>
            <w:r>
              <w:t>0</w:t>
            </w:r>
          </w:p>
        </w:tc>
      </w:tr>
      <w:tr w:rsidR="005E000F" w14:paraId="608C4E6B" w14:textId="77777777">
        <w:tc>
          <w:tcPr>
            <w:tcW w:w="2390" w:type="dxa"/>
            <w:vAlign w:val="center"/>
          </w:tcPr>
          <w:p w14:paraId="4838C703" w14:textId="77777777" w:rsidR="005E000F" w:rsidRDefault="00000000">
            <w:pPr>
              <w:rPr>
                <w:rFonts w:cs="Arial"/>
                <w:color w:val="000000"/>
              </w:rPr>
            </w:pPr>
            <w:r>
              <w:rPr>
                <w:rFonts w:cs="Arial"/>
                <w:color w:val="000000"/>
              </w:rPr>
              <w:t>--</w:t>
            </w:r>
            <w:r>
              <w:rPr>
                <w:rFonts w:cs="Arial" w:hint="eastAsia"/>
                <w:color w:val="000000"/>
                <w:lang w:val="en-GB"/>
              </w:rPr>
              <w:t>商誉</w:t>
            </w:r>
          </w:p>
        </w:tc>
        <w:tc>
          <w:tcPr>
            <w:tcW w:w="1675" w:type="dxa"/>
            <w:vAlign w:val="center"/>
          </w:tcPr>
          <w:p w14:paraId="45379C93" w14:textId="77777777" w:rsidR="005E000F" w:rsidRDefault="00000000">
            <w:pPr>
              <w:jc w:val="right"/>
            </w:pPr>
            <w:r>
              <w:t>7,566,177,782</w:t>
            </w:r>
          </w:p>
        </w:tc>
        <w:tc>
          <w:tcPr>
            <w:tcW w:w="1700" w:type="dxa"/>
            <w:vAlign w:val="center"/>
          </w:tcPr>
          <w:p w14:paraId="017E8F1E" w14:textId="77777777" w:rsidR="005E000F" w:rsidRDefault="00000000">
            <w:pPr>
              <w:jc w:val="right"/>
            </w:pPr>
            <w:r>
              <w:rPr>
                <w:rFonts w:hint="eastAsia"/>
              </w:rPr>
              <w:t>0</w:t>
            </w:r>
            <w:r>
              <w:t xml:space="preserve">  </w:t>
            </w:r>
          </w:p>
        </w:tc>
        <w:tc>
          <w:tcPr>
            <w:tcW w:w="1587" w:type="dxa"/>
            <w:vAlign w:val="center"/>
          </w:tcPr>
          <w:p w14:paraId="6F4531F6" w14:textId="77777777" w:rsidR="005E000F" w:rsidRDefault="00000000">
            <w:pPr>
              <w:jc w:val="right"/>
              <w:rPr>
                <w:lang w:eastAsia="en-US"/>
              </w:rPr>
            </w:pPr>
            <w:r>
              <w:t>7,566,177,782</w:t>
            </w:r>
          </w:p>
        </w:tc>
        <w:tc>
          <w:tcPr>
            <w:tcW w:w="1697" w:type="dxa"/>
            <w:vAlign w:val="center"/>
          </w:tcPr>
          <w:p w14:paraId="4C9A8FD2" w14:textId="77777777" w:rsidR="005E000F" w:rsidRDefault="00000000">
            <w:pPr>
              <w:jc w:val="right"/>
              <w:rPr>
                <w:lang w:eastAsia="en-US"/>
              </w:rPr>
            </w:pPr>
            <w:r>
              <w:t>0</w:t>
            </w:r>
          </w:p>
        </w:tc>
      </w:tr>
      <w:tr w:rsidR="005E000F" w14:paraId="4DF7F4E4" w14:textId="77777777">
        <w:tc>
          <w:tcPr>
            <w:tcW w:w="2390" w:type="dxa"/>
            <w:vAlign w:val="center"/>
          </w:tcPr>
          <w:p w14:paraId="01A944A1" w14:textId="77777777" w:rsidR="005E000F" w:rsidRDefault="00000000">
            <w:pPr>
              <w:rPr>
                <w:rFonts w:cs="Arial"/>
                <w:color w:val="000000"/>
              </w:rPr>
            </w:pPr>
            <w:r>
              <w:rPr>
                <w:rFonts w:cs="Arial"/>
                <w:color w:val="000000"/>
              </w:rPr>
              <w:t>--</w:t>
            </w:r>
            <w:r>
              <w:rPr>
                <w:rFonts w:cs="Arial" w:hint="eastAsia"/>
                <w:color w:val="000000"/>
                <w:lang w:val="en-GB"/>
              </w:rPr>
              <w:t>内部交易未实现利润</w:t>
            </w:r>
          </w:p>
        </w:tc>
        <w:tc>
          <w:tcPr>
            <w:tcW w:w="1675" w:type="dxa"/>
          </w:tcPr>
          <w:p w14:paraId="55BA7B3A" w14:textId="77777777" w:rsidR="005E000F" w:rsidRDefault="00000000">
            <w:pPr>
              <w:jc w:val="right"/>
            </w:pPr>
            <w:r>
              <w:t>0</w:t>
            </w:r>
          </w:p>
        </w:tc>
        <w:tc>
          <w:tcPr>
            <w:tcW w:w="1700" w:type="dxa"/>
          </w:tcPr>
          <w:p w14:paraId="6E163663" w14:textId="77777777" w:rsidR="005E000F" w:rsidRDefault="00000000">
            <w:pPr>
              <w:jc w:val="right"/>
            </w:pPr>
            <w:r>
              <w:t>0</w:t>
            </w:r>
          </w:p>
        </w:tc>
        <w:tc>
          <w:tcPr>
            <w:tcW w:w="1587" w:type="dxa"/>
            <w:vAlign w:val="center"/>
          </w:tcPr>
          <w:p w14:paraId="653162DB" w14:textId="77777777" w:rsidR="005E000F" w:rsidRDefault="00000000">
            <w:pPr>
              <w:jc w:val="right"/>
              <w:rPr>
                <w:lang w:eastAsia="en-US"/>
              </w:rPr>
            </w:pPr>
            <w:r>
              <w:t>0</w:t>
            </w:r>
          </w:p>
        </w:tc>
        <w:tc>
          <w:tcPr>
            <w:tcW w:w="1697" w:type="dxa"/>
            <w:vAlign w:val="center"/>
          </w:tcPr>
          <w:p w14:paraId="32AA652B" w14:textId="77777777" w:rsidR="005E000F" w:rsidRDefault="00000000">
            <w:pPr>
              <w:jc w:val="right"/>
              <w:rPr>
                <w:lang w:eastAsia="en-US"/>
              </w:rPr>
            </w:pPr>
            <w:r>
              <w:t>0</w:t>
            </w:r>
          </w:p>
        </w:tc>
      </w:tr>
      <w:tr w:rsidR="005E000F" w14:paraId="6848C02B" w14:textId="77777777">
        <w:tc>
          <w:tcPr>
            <w:tcW w:w="2390" w:type="dxa"/>
            <w:vAlign w:val="center"/>
          </w:tcPr>
          <w:p w14:paraId="3C7AB99A" w14:textId="77777777" w:rsidR="005E000F" w:rsidRDefault="00000000">
            <w:pPr>
              <w:rPr>
                <w:rFonts w:cs="Arial"/>
                <w:color w:val="000000"/>
              </w:rPr>
            </w:pPr>
            <w:r>
              <w:rPr>
                <w:rFonts w:cs="Arial"/>
                <w:color w:val="000000"/>
              </w:rPr>
              <w:t>--</w:t>
            </w:r>
            <w:r>
              <w:rPr>
                <w:rFonts w:cs="Arial" w:hint="eastAsia"/>
                <w:color w:val="000000"/>
                <w:lang w:val="en-GB"/>
              </w:rPr>
              <w:t>其他</w:t>
            </w:r>
          </w:p>
        </w:tc>
        <w:tc>
          <w:tcPr>
            <w:tcW w:w="1675" w:type="dxa"/>
          </w:tcPr>
          <w:p w14:paraId="4B2F1C91" w14:textId="77777777" w:rsidR="005E000F" w:rsidRDefault="00000000">
            <w:pPr>
              <w:jc w:val="right"/>
            </w:pPr>
            <w:r>
              <w:t>0</w:t>
            </w:r>
          </w:p>
        </w:tc>
        <w:tc>
          <w:tcPr>
            <w:tcW w:w="1700" w:type="dxa"/>
          </w:tcPr>
          <w:p w14:paraId="6967B56C" w14:textId="77777777" w:rsidR="005E000F" w:rsidRDefault="00000000">
            <w:pPr>
              <w:jc w:val="right"/>
            </w:pPr>
            <w:r>
              <w:t>0</w:t>
            </w:r>
          </w:p>
        </w:tc>
        <w:tc>
          <w:tcPr>
            <w:tcW w:w="1587" w:type="dxa"/>
            <w:vAlign w:val="center"/>
          </w:tcPr>
          <w:p w14:paraId="4AA7ECC4" w14:textId="77777777" w:rsidR="005E000F" w:rsidRDefault="00000000">
            <w:pPr>
              <w:jc w:val="right"/>
              <w:rPr>
                <w:lang w:eastAsia="en-US"/>
              </w:rPr>
            </w:pPr>
            <w:r>
              <w:t>0</w:t>
            </w:r>
          </w:p>
        </w:tc>
        <w:tc>
          <w:tcPr>
            <w:tcW w:w="1697" w:type="dxa"/>
            <w:vAlign w:val="center"/>
          </w:tcPr>
          <w:p w14:paraId="2732F0B3" w14:textId="77777777" w:rsidR="005E000F" w:rsidRDefault="00000000">
            <w:pPr>
              <w:jc w:val="right"/>
              <w:rPr>
                <w:lang w:eastAsia="en-US"/>
              </w:rPr>
            </w:pPr>
            <w:r>
              <w:t>0</w:t>
            </w:r>
          </w:p>
        </w:tc>
      </w:tr>
      <w:tr w:rsidR="005E000F" w14:paraId="11AF7EC5" w14:textId="77777777">
        <w:tc>
          <w:tcPr>
            <w:tcW w:w="2390" w:type="dxa"/>
            <w:vAlign w:val="center"/>
          </w:tcPr>
          <w:p w14:paraId="4A0113DA" w14:textId="77777777" w:rsidR="005E000F" w:rsidRDefault="00000000">
            <w:pPr>
              <w:rPr>
                <w:rFonts w:cs="Arial"/>
                <w:color w:val="000000"/>
              </w:rPr>
            </w:pPr>
            <w:r>
              <w:rPr>
                <w:rFonts w:cs="Arial" w:hint="eastAsia"/>
                <w:color w:val="000000"/>
                <w:lang w:val="en-GB"/>
              </w:rPr>
              <w:t>对联营企业权益投资的账面价值</w:t>
            </w:r>
          </w:p>
        </w:tc>
        <w:tc>
          <w:tcPr>
            <w:tcW w:w="1675" w:type="dxa"/>
            <w:vAlign w:val="center"/>
          </w:tcPr>
          <w:p w14:paraId="2663710E" w14:textId="77777777" w:rsidR="005E000F" w:rsidRDefault="00000000">
            <w:pPr>
              <w:jc w:val="right"/>
            </w:pPr>
            <w:r>
              <w:t>22,312,060,970</w:t>
            </w:r>
          </w:p>
        </w:tc>
        <w:tc>
          <w:tcPr>
            <w:tcW w:w="1700" w:type="dxa"/>
            <w:vAlign w:val="center"/>
          </w:tcPr>
          <w:p w14:paraId="4FF4FE47" w14:textId="77777777" w:rsidR="005E000F" w:rsidRDefault="00000000">
            <w:pPr>
              <w:jc w:val="right"/>
            </w:pPr>
            <w:r>
              <w:t>5,382,463,689</w:t>
            </w:r>
          </w:p>
        </w:tc>
        <w:tc>
          <w:tcPr>
            <w:tcW w:w="1587" w:type="dxa"/>
            <w:vAlign w:val="center"/>
          </w:tcPr>
          <w:p w14:paraId="04CBBB9E" w14:textId="77777777" w:rsidR="005E000F" w:rsidRDefault="00000000">
            <w:pPr>
              <w:jc w:val="right"/>
              <w:rPr>
                <w:lang w:eastAsia="en-US"/>
              </w:rPr>
            </w:pPr>
            <w:r>
              <w:t>19,318,842,330</w:t>
            </w:r>
          </w:p>
        </w:tc>
        <w:tc>
          <w:tcPr>
            <w:tcW w:w="1697" w:type="dxa"/>
            <w:vAlign w:val="center"/>
          </w:tcPr>
          <w:p w14:paraId="16E95D5D" w14:textId="77777777" w:rsidR="005E000F" w:rsidRDefault="00000000">
            <w:pPr>
              <w:jc w:val="right"/>
              <w:rPr>
                <w:lang w:eastAsia="en-US"/>
              </w:rPr>
            </w:pPr>
            <w:r>
              <w:t>5,320,871,957</w:t>
            </w:r>
          </w:p>
        </w:tc>
      </w:tr>
      <w:tr w:rsidR="005E000F" w14:paraId="51BF7103" w14:textId="77777777">
        <w:tc>
          <w:tcPr>
            <w:tcW w:w="2390" w:type="dxa"/>
            <w:vAlign w:val="center"/>
          </w:tcPr>
          <w:p w14:paraId="149F1812" w14:textId="77777777" w:rsidR="005E000F" w:rsidRDefault="00000000">
            <w:pPr>
              <w:rPr>
                <w:rFonts w:cs="Arial"/>
                <w:color w:val="000000"/>
              </w:rPr>
            </w:pPr>
            <w:r>
              <w:rPr>
                <w:rFonts w:cs="Arial" w:hint="eastAsia"/>
                <w:color w:val="000000"/>
                <w:lang w:val="en-GB"/>
              </w:rPr>
              <w:t>存在公开报价的联营企业权益投资的公允价值</w:t>
            </w:r>
          </w:p>
        </w:tc>
        <w:tc>
          <w:tcPr>
            <w:tcW w:w="1675" w:type="dxa"/>
            <w:vAlign w:val="center"/>
          </w:tcPr>
          <w:p w14:paraId="366B2F79" w14:textId="77777777" w:rsidR="005E000F" w:rsidRDefault="00000000">
            <w:pPr>
              <w:jc w:val="right"/>
              <w:rPr>
                <w:lang w:eastAsia="en-US"/>
              </w:rPr>
            </w:pPr>
            <w:r>
              <w:t>不适用</w:t>
            </w:r>
          </w:p>
        </w:tc>
        <w:tc>
          <w:tcPr>
            <w:tcW w:w="1700" w:type="dxa"/>
            <w:vAlign w:val="center"/>
          </w:tcPr>
          <w:p w14:paraId="490912FE" w14:textId="77777777" w:rsidR="005E000F" w:rsidRDefault="00000000">
            <w:pPr>
              <w:jc w:val="right"/>
              <w:rPr>
                <w:lang w:eastAsia="en-US"/>
              </w:rPr>
            </w:pPr>
            <w:r>
              <w:t>不适用</w:t>
            </w:r>
          </w:p>
        </w:tc>
        <w:tc>
          <w:tcPr>
            <w:tcW w:w="1587" w:type="dxa"/>
            <w:vAlign w:val="center"/>
          </w:tcPr>
          <w:p w14:paraId="7C2A7289" w14:textId="77777777" w:rsidR="005E000F" w:rsidRDefault="00000000">
            <w:pPr>
              <w:jc w:val="right"/>
              <w:rPr>
                <w:lang w:eastAsia="en-US"/>
              </w:rPr>
            </w:pPr>
            <w:r>
              <w:t>不适用</w:t>
            </w:r>
          </w:p>
        </w:tc>
        <w:tc>
          <w:tcPr>
            <w:tcW w:w="1697" w:type="dxa"/>
            <w:vAlign w:val="center"/>
          </w:tcPr>
          <w:p w14:paraId="0378F0ED" w14:textId="77777777" w:rsidR="005E000F" w:rsidRDefault="00000000">
            <w:pPr>
              <w:jc w:val="right"/>
              <w:rPr>
                <w:lang w:eastAsia="en-US"/>
              </w:rPr>
            </w:pPr>
            <w:r>
              <w:t>不适用</w:t>
            </w:r>
          </w:p>
        </w:tc>
      </w:tr>
      <w:tr w:rsidR="005E000F" w14:paraId="40E98484" w14:textId="77777777">
        <w:tc>
          <w:tcPr>
            <w:tcW w:w="9049" w:type="dxa"/>
            <w:gridSpan w:val="5"/>
            <w:vAlign w:val="center"/>
          </w:tcPr>
          <w:p w14:paraId="385F73C8" w14:textId="77777777" w:rsidR="005E000F" w:rsidRDefault="005E000F">
            <w:pPr>
              <w:jc w:val="right"/>
            </w:pPr>
          </w:p>
        </w:tc>
      </w:tr>
      <w:tr w:rsidR="005E000F" w14:paraId="23A5EA46" w14:textId="77777777">
        <w:tc>
          <w:tcPr>
            <w:tcW w:w="2390" w:type="dxa"/>
            <w:vAlign w:val="center"/>
          </w:tcPr>
          <w:p w14:paraId="598D9305" w14:textId="77777777" w:rsidR="005E000F" w:rsidRDefault="00000000">
            <w:pPr>
              <w:rPr>
                <w:rFonts w:cs="Arial"/>
                <w:color w:val="000000"/>
              </w:rPr>
            </w:pPr>
            <w:r>
              <w:rPr>
                <w:rFonts w:cs="Arial" w:hint="eastAsia"/>
                <w:color w:val="000000"/>
                <w:lang w:val="en-GB"/>
              </w:rPr>
              <w:t>营业收入</w:t>
            </w:r>
          </w:p>
        </w:tc>
        <w:tc>
          <w:tcPr>
            <w:tcW w:w="1675" w:type="dxa"/>
            <w:vAlign w:val="center"/>
          </w:tcPr>
          <w:p w14:paraId="274E0334" w14:textId="77777777" w:rsidR="005E000F" w:rsidRDefault="00000000">
            <w:pPr>
              <w:jc w:val="right"/>
            </w:pPr>
            <w:r>
              <w:t xml:space="preserve"> 23,060,953,057 </w:t>
            </w:r>
          </w:p>
        </w:tc>
        <w:tc>
          <w:tcPr>
            <w:tcW w:w="1700" w:type="dxa"/>
            <w:vAlign w:val="center"/>
          </w:tcPr>
          <w:p w14:paraId="76DDBA4E" w14:textId="77777777" w:rsidR="005E000F" w:rsidRDefault="00000000">
            <w:pPr>
              <w:jc w:val="right"/>
            </w:pPr>
            <w:r>
              <w:t xml:space="preserve"> 15,096,190,589 </w:t>
            </w:r>
          </w:p>
        </w:tc>
        <w:tc>
          <w:tcPr>
            <w:tcW w:w="1587" w:type="dxa"/>
          </w:tcPr>
          <w:p w14:paraId="33412910" w14:textId="77777777" w:rsidR="005E000F" w:rsidRDefault="00000000">
            <w:pPr>
              <w:jc w:val="right"/>
              <w:rPr>
                <w:lang w:eastAsia="en-US"/>
              </w:rPr>
            </w:pPr>
            <w:r>
              <w:t>22,781,978,876</w:t>
            </w:r>
          </w:p>
        </w:tc>
        <w:tc>
          <w:tcPr>
            <w:tcW w:w="1697" w:type="dxa"/>
          </w:tcPr>
          <w:p w14:paraId="65D125D9" w14:textId="77777777" w:rsidR="005E000F" w:rsidRDefault="00000000">
            <w:pPr>
              <w:jc w:val="right"/>
              <w:rPr>
                <w:lang w:eastAsia="en-US"/>
              </w:rPr>
            </w:pPr>
            <w:r>
              <w:t>14,819,511,785</w:t>
            </w:r>
          </w:p>
        </w:tc>
      </w:tr>
      <w:tr w:rsidR="005E000F" w14:paraId="7028F0C3" w14:textId="77777777">
        <w:tc>
          <w:tcPr>
            <w:tcW w:w="2390" w:type="dxa"/>
            <w:vAlign w:val="center"/>
          </w:tcPr>
          <w:p w14:paraId="2F193D3F" w14:textId="77777777" w:rsidR="005E000F" w:rsidRDefault="00000000">
            <w:pPr>
              <w:rPr>
                <w:rFonts w:cs="Arial"/>
                <w:color w:val="000000"/>
              </w:rPr>
            </w:pPr>
            <w:r>
              <w:rPr>
                <w:rFonts w:cs="Arial" w:hint="eastAsia"/>
                <w:color w:val="000000"/>
                <w:lang w:val="en-GB"/>
              </w:rPr>
              <w:t>净利润</w:t>
            </w:r>
          </w:p>
        </w:tc>
        <w:tc>
          <w:tcPr>
            <w:tcW w:w="1675" w:type="dxa"/>
            <w:vAlign w:val="center"/>
          </w:tcPr>
          <w:p w14:paraId="764F6E1A" w14:textId="77777777" w:rsidR="005E000F" w:rsidRDefault="00000000">
            <w:pPr>
              <w:jc w:val="right"/>
            </w:pPr>
            <w:r>
              <w:t xml:space="preserve"> 6,526,818,345 </w:t>
            </w:r>
          </w:p>
        </w:tc>
        <w:tc>
          <w:tcPr>
            <w:tcW w:w="1700" w:type="dxa"/>
            <w:vAlign w:val="center"/>
          </w:tcPr>
          <w:p w14:paraId="603FE1F1" w14:textId="77777777" w:rsidR="005E000F" w:rsidRDefault="00000000">
            <w:pPr>
              <w:jc w:val="right"/>
            </w:pPr>
            <w:r>
              <w:t xml:space="preserve"> 583,133,319 </w:t>
            </w:r>
          </w:p>
        </w:tc>
        <w:tc>
          <w:tcPr>
            <w:tcW w:w="1587" w:type="dxa"/>
          </w:tcPr>
          <w:p w14:paraId="0DCBB631" w14:textId="77777777" w:rsidR="005E000F" w:rsidRDefault="00000000">
            <w:pPr>
              <w:jc w:val="right"/>
              <w:rPr>
                <w:lang w:eastAsia="en-US"/>
              </w:rPr>
            </w:pPr>
            <w:r>
              <w:t>6,596,915,973</w:t>
            </w:r>
          </w:p>
        </w:tc>
        <w:tc>
          <w:tcPr>
            <w:tcW w:w="1697" w:type="dxa"/>
          </w:tcPr>
          <w:p w14:paraId="5B192EE5" w14:textId="77777777" w:rsidR="005E000F" w:rsidRDefault="00000000">
            <w:pPr>
              <w:jc w:val="right"/>
              <w:rPr>
                <w:lang w:eastAsia="en-US"/>
              </w:rPr>
            </w:pPr>
            <w:r>
              <w:t>685,047,344</w:t>
            </w:r>
          </w:p>
        </w:tc>
      </w:tr>
      <w:tr w:rsidR="005E000F" w14:paraId="1A2172BE" w14:textId="77777777">
        <w:tc>
          <w:tcPr>
            <w:tcW w:w="2390" w:type="dxa"/>
            <w:vAlign w:val="center"/>
          </w:tcPr>
          <w:p w14:paraId="6DA9666B" w14:textId="77777777" w:rsidR="005E000F" w:rsidRDefault="00000000">
            <w:pPr>
              <w:rPr>
                <w:rFonts w:cs="Arial"/>
                <w:color w:val="000000"/>
                <w:lang w:val="en-GB"/>
              </w:rPr>
            </w:pPr>
            <w:r>
              <w:rPr>
                <w:rFonts w:cs="Arial" w:hint="eastAsia"/>
                <w:color w:val="000000"/>
                <w:lang w:val="en-GB"/>
              </w:rPr>
              <w:t>终止经营的净利润</w:t>
            </w:r>
          </w:p>
        </w:tc>
        <w:tc>
          <w:tcPr>
            <w:tcW w:w="1675" w:type="dxa"/>
          </w:tcPr>
          <w:p w14:paraId="16CB0132" w14:textId="77777777" w:rsidR="005E000F" w:rsidRDefault="00000000">
            <w:pPr>
              <w:jc w:val="right"/>
            </w:pPr>
            <w:r>
              <w:t>0</w:t>
            </w:r>
          </w:p>
        </w:tc>
        <w:tc>
          <w:tcPr>
            <w:tcW w:w="1700" w:type="dxa"/>
          </w:tcPr>
          <w:p w14:paraId="04F9AB6B" w14:textId="77777777" w:rsidR="005E000F" w:rsidRDefault="00000000">
            <w:pPr>
              <w:jc w:val="right"/>
            </w:pPr>
            <w:r>
              <w:t>0</w:t>
            </w:r>
          </w:p>
        </w:tc>
        <w:tc>
          <w:tcPr>
            <w:tcW w:w="1587" w:type="dxa"/>
            <w:vAlign w:val="center"/>
          </w:tcPr>
          <w:p w14:paraId="7931C996" w14:textId="77777777" w:rsidR="005E000F" w:rsidRDefault="00000000">
            <w:pPr>
              <w:jc w:val="right"/>
            </w:pPr>
            <w:r>
              <w:rPr>
                <w:rFonts w:hint="eastAsia"/>
              </w:rPr>
              <w:t>0</w:t>
            </w:r>
          </w:p>
        </w:tc>
        <w:tc>
          <w:tcPr>
            <w:tcW w:w="1697" w:type="dxa"/>
            <w:vAlign w:val="center"/>
          </w:tcPr>
          <w:p w14:paraId="060F75A8" w14:textId="77777777" w:rsidR="005E000F" w:rsidRDefault="00000000">
            <w:pPr>
              <w:jc w:val="right"/>
            </w:pPr>
            <w:r>
              <w:rPr>
                <w:rFonts w:hint="eastAsia"/>
              </w:rPr>
              <w:t>0</w:t>
            </w:r>
          </w:p>
        </w:tc>
      </w:tr>
      <w:tr w:rsidR="005E000F" w14:paraId="2D7DD178" w14:textId="77777777">
        <w:tc>
          <w:tcPr>
            <w:tcW w:w="2390" w:type="dxa"/>
            <w:vAlign w:val="center"/>
          </w:tcPr>
          <w:p w14:paraId="103BAC28" w14:textId="77777777" w:rsidR="005E000F" w:rsidRDefault="00000000">
            <w:pPr>
              <w:rPr>
                <w:rFonts w:cs="Arial"/>
                <w:color w:val="000000"/>
              </w:rPr>
            </w:pPr>
            <w:r>
              <w:rPr>
                <w:rFonts w:cs="Arial" w:hint="eastAsia"/>
                <w:color w:val="000000"/>
                <w:lang w:val="en-GB"/>
              </w:rPr>
              <w:t>其他综合收益</w:t>
            </w:r>
          </w:p>
        </w:tc>
        <w:tc>
          <w:tcPr>
            <w:tcW w:w="1675" w:type="dxa"/>
          </w:tcPr>
          <w:p w14:paraId="5C4838CC" w14:textId="77777777" w:rsidR="005E000F" w:rsidRDefault="00000000">
            <w:pPr>
              <w:jc w:val="right"/>
            </w:pPr>
            <w:r>
              <w:t>0</w:t>
            </w:r>
          </w:p>
        </w:tc>
        <w:tc>
          <w:tcPr>
            <w:tcW w:w="1700" w:type="dxa"/>
          </w:tcPr>
          <w:p w14:paraId="59B7C1C6" w14:textId="77777777" w:rsidR="005E000F" w:rsidRDefault="00000000">
            <w:pPr>
              <w:jc w:val="right"/>
            </w:pPr>
            <w:r>
              <w:t>0</w:t>
            </w:r>
          </w:p>
        </w:tc>
        <w:tc>
          <w:tcPr>
            <w:tcW w:w="1587" w:type="dxa"/>
            <w:vAlign w:val="center"/>
          </w:tcPr>
          <w:p w14:paraId="7991B6B2" w14:textId="77777777" w:rsidR="005E000F" w:rsidRDefault="00000000">
            <w:pPr>
              <w:jc w:val="right"/>
            </w:pPr>
            <w:r>
              <w:rPr>
                <w:rFonts w:hint="eastAsia"/>
              </w:rPr>
              <w:t>0</w:t>
            </w:r>
          </w:p>
        </w:tc>
        <w:tc>
          <w:tcPr>
            <w:tcW w:w="1697" w:type="dxa"/>
            <w:vAlign w:val="center"/>
          </w:tcPr>
          <w:p w14:paraId="661ACED6" w14:textId="77777777" w:rsidR="005E000F" w:rsidRDefault="00000000">
            <w:pPr>
              <w:jc w:val="right"/>
            </w:pPr>
            <w:r>
              <w:rPr>
                <w:rFonts w:hint="eastAsia"/>
              </w:rPr>
              <w:t>0</w:t>
            </w:r>
          </w:p>
        </w:tc>
      </w:tr>
      <w:tr w:rsidR="005E000F" w14:paraId="05FC208C" w14:textId="77777777">
        <w:tc>
          <w:tcPr>
            <w:tcW w:w="2390" w:type="dxa"/>
            <w:vAlign w:val="center"/>
          </w:tcPr>
          <w:p w14:paraId="4ED9A762" w14:textId="77777777" w:rsidR="005E000F" w:rsidRDefault="00000000">
            <w:pPr>
              <w:rPr>
                <w:rFonts w:cs="Arial"/>
                <w:color w:val="000000"/>
              </w:rPr>
            </w:pPr>
            <w:r>
              <w:rPr>
                <w:rFonts w:cs="Arial" w:hint="eastAsia"/>
                <w:color w:val="000000"/>
                <w:lang w:val="en-GB"/>
              </w:rPr>
              <w:t>综合收益总额</w:t>
            </w:r>
          </w:p>
        </w:tc>
        <w:tc>
          <w:tcPr>
            <w:tcW w:w="1675" w:type="dxa"/>
            <w:vAlign w:val="center"/>
          </w:tcPr>
          <w:p w14:paraId="0EF73CB0" w14:textId="77777777" w:rsidR="005E000F" w:rsidRDefault="00000000">
            <w:pPr>
              <w:jc w:val="right"/>
            </w:pPr>
            <w:r>
              <w:t>6,526,818,345</w:t>
            </w:r>
          </w:p>
        </w:tc>
        <w:tc>
          <w:tcPr>
            <w:tcW w:w="1700" w:type="dxa"/>
            <w:vAlign w:val="center"/>
          </w:tcPr>
          <w:p w14:paraId="3DDFD67F" w14:textId="77777777" w:rsidR="005E000F" w:rsidRDefault="00000000">
            <w:pPr>
              <w:jc w:val="right"/>
            </w:pPr>
            <w:r>
              <w:t xml:space="preserve"> 583,133,319 </w:t>
            </w:r>
          </w:p>
        </w:tc>
        <w:tc>
          <w:tcPr>
            <w:tcW w:w="1587" w:type="dxa"/>
          </w:tcPr>
          <w:p w14:paraId="4F34A692" w14:textId="77777777" w:rsidR="005E000F" w:rsidRDefault="00000000">
            <w:pPr>
              <w:jc w:val="right"/>
              <w:rPr>
                <w:lang w:eastAsia="en-US"/>
              </w:rPr>
            </w:pPr>
            <w:r>
              <w:t>6,596,915,973</w:t>
            </w:r>
          </w:p>
        </w:tc>
        <w:tc>
          <w:tcPr>
            <w:tcW w:w="1697" w:type="dxa"/>
          </w:tcPr>
          <w:p w14:paraId="31E7001D" w14:textId="77777777" w:rsidR="005E000F" w:rsidRDefault="00000000">
            <w:pPr>
              <w:jc w:val="right"/>
              <w:rPr>
                <w:lang w:eastAsia="en-US"/>
              </w:rPr>
            </w:pPr>
            <w:r>
              <w:t>685,047,344</w:t>
            </w:r>
          </w:p>
        </w:tc>
      </w:tr>
      <w:tr w:rsidR="005E000F" w14:paraId="2A328846" w14:textId="77777777">
        <w:tc>
          <w:tcPr>
            <w:tcW w:w="9049" w:type="dxa"/>
            <w:gridSpan w:val="5"/>
            <w:vAlign w:val="center"/>
          </w:tcPr>
          <w:p w14:paraId="34793D54" w14:textId="77777777" w:rsidR="005E000F" w:rsidRDefault="005E000F">
            <w:pPr>
              <w:jc w:val="right"/>
            </w:pPr>
          </w:p>
        </w:tc>
      </w:tr>
      <w:tr w:rsidR="005E000F" w14:paraId="7C761F1E" w14:textId="77777777">
        <w:tc>
          <w:tcPr>
            <w:tcW w:w="2390" w:type="dxa"/>
            <w:vAlign w:val="center"/>
          </w:tcPr>
          <w:p w14:paraId="6FA2A737" w14:textId="77777777" w:rsidR="005E000F" w:rsidRDefault="00000000">
            <w:pPr>
              <w:rPr>
                <w:rFonts w:cs="Arial"/>
                <w:color w:val="000000"/>
              </w:rPr>
            </w:pPr>
            <w:r>
              <w:rPr>
                <w:rFonts w:cs="Arial" w:hint="eastAsia"/>
                <w:color w:val="000000"/>
                <w:lang w:val="en-GB"/>
              </w:rPr>
              <w:t>本年度收到的来自联营企业的股利</w:t>
            </w:r>
          </w:p>
        </w:tc>
        <w:tc>
          <w:tcPr>
            <w:tcW w:w="1675" w:type="dxa"/>
            <w:vAlign w:val="center"/>
          </w:tcPr>
          <w:p w14:paraId="4DF5D540" w14:textId="77777777" w:rsidR="005E000F" w:rsidRDefault="00000000">
            <w:pPr>
              <w:jc w:val="right"/>
            </w:pPr>
            <w:r>
              <w:t xml:space="preserve"> 2,433,551,412 </w:t>
            </w:r>
          </w:p>
        </w:tc>
        <w:tc>
          <w:tcPr>
            <w:tcW w:w="1700" w:type="dxa"/>
            <w:vAlign w:val="center"/>
          </w:tcPr>
          <w:p w14:paraId="6B02E438" w14:textId="77777777" w:rsidR="005E000F" w:rsidRDefault="00000000">
            <w:pPr>
              <w:jc w:val="right"/>
            </w:pPr>
            <w:r>
              <w:rPr>
                <w:rFonts w:hint="eastAsia"/>
              </w:rPr>
              <w:t>0</w:t>
            </w:r>
          </w:p>
        </w:tc>
        <w:tc>
          <w:tcPr>
            <w:tcW w:w="1587" w:type="dxa"/>
            <w:vAlign w:val="center"/>
          </w:tcPr>
          <w:p w14:paraId="68FA2EBA" w14:textId="77777777" w:rsidR="005E000F" w:rsidRDefault="00000000">
            <w:pPr>
              <w:jc w:val="right"/>
              <w:rPr>
                <w:lang w:eastAsia="en-US"/>
              </w:rPr>
            </w:pPr>
            <w:r>
              <w:t>2,206,352,114</w:t>
            </w:r>
          </w:p>
        </w:tc>
        <w:tc>
          <w:tcPr>
            <w:tcW w:w="1697" w:type="dxa"/>
            <w:vAlign w:val="center"/>
          </w:tcPr>
          <w:p w14:paraId="60DF9579" w14:textId="77777777" w:rsidR="005E000F" w:rsidRDefault="00000000">
            <w:pPr>
              <w:jc w:val="right"/>
              <w:rPr>
                <w:lang w:eastAsia="en-US"/>
              </w:rPr>
            </w:pPr>
            <w:r>
              <w:t>0</w:t>
            </w:r>
          </w:p>
        </w:tc>
      </w:tr>
    </w:tbl>
    <w:p w14:paraId="5A94ABC5" w14:textId="77777777" w:rsidR="005E000F" w:rsidRDefault="00000000">
      <w:pPr>
        <w:rPr>
          <w:rFonts w:cs="Arial"/>
        </w:rPr>
      </w:pPr>
      <w:r>
        <w:rPr>
          <w:rFonts w:cs="Arial" w:hint="eastAsia"/>
        </w:rPr>
        <w:t>其他说明：</w:t>
      </w:r>
    </w:p>
    <w:sdt>
      <w:sdtPr>
        <w:rPr>
          <w:rFonts w:cs="Arial" w:hint="eastAsia"/>
        </w:rPr>
        <w:alias w:val="重要联营企业的主要财务信息其他说明的方法"/>
        <w:tag w:val="_GBC_49602fee37fb4c848eee594868d16caa"/>
        <w:id w:val="-433062634"/>
        <w:placeholder>
          <w:docPart w:val="GBC22222222222222222222222222222"/>
        </w:placeholder>
      </w:sdtPr>
      <w:sdtContent>
        <w:p w14:paraId="148E97BC" w14:textId="77777777" w:rsidR="005E000F" w:rsidRDefault="00000000">
          <w:pPr>
            <w:rPr>
              <w:rFonts w:cs="Arial"/>
            </w:rPr>
          </w:pPr>
          <w:r>
            <w:rPr>
              <w:rFonts w:cs="Arial" w:hint="eastAsia"/>
            </w:rPr>
            <w:t>无</w:t>
          </w:r>
        </w:p>
      </w:sdtContent>
    </w:sdt>
    <w:p w14:paraId="3D5FC1BE" w14:textId="77777777" w:rsidR="005E000F" w:rsidRDefault="005E000F">
      <w:pPr>
        <w:rPr>
          <w:rFonts w:cs="Arial"/>
        </w:rPr>
      </w:pPr>
    </w:p>
    <w:p w14:paraId="1D986394" w14:textId="77777777" w:rsidR="005E000F" w:rsidRDefault="00000000">
      <w:pPr>
        <w:pStyle w:val="4"/>
        <w:numPr>
          <w:ilvl w:val="3"/>
          <w:numId w:val="113"/>
        </w:numPr>
        <w:ind w:left="426" w:hangingChars="202" w:hanging="426"/>
      </w:pPr>
      <w:r>
        <w:rPr>
          <w:rFonts w:hint="eastAsia"/>
          <w:shd w:val="solid" w:color="FFFFFF" w:fill="auto"/>
        </w:rPr>
        <w:t>不重要的合营企业和联营企业的汇总财务信息</w:t>
      </w:r>
    </w:p>
    <w:sdt>
      <w:sdtPr>
        <w:rPr>
          <w:rFonts w:hint="eastAsia"/>
        </w:rPr>
        <w:alias w:val="是否适用：不重要的合营企业和联营企业的汇总财务信息[双击切换]"/>
        <w:tag w:val="_GBC_0aba65ffa2fc4a9db5812b38264da59a"/>
        <w:id w:val="-1542128934"/>
        <w:placeholder>
          <w:docPart w:val="GBC22222222222222222222222222222"/>
        </w:placeholder>
      </w:sdtPr>
      <w:sdtContent>
        <w:p w14:paraId="7A30D82A"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EE1B453" w14:textId="77777777" w:rsidR="005E000F" w:rsidRDefault="00000000">
      <w:pPr>
        <w:jc w:val="right"/>
      </w:pPr>
      <w:r>
        <w:rPr>
          <w:rFonts w:hint="eastAsia"/>
        </w:rPr>
        <w:t>单位：</w:t>
      </w:r>
      <w:sdt>
        <w:sdtPr>
          <w:rPr>
            <w:rFonts w:hint="eastAsia"/>
          </w:rPr>
          <w:alias w:val="单位：财务附注：不重要的合营企业和联营企业的汇总财务信息"/>
          <w:tag w:val="_GBC_d02efd9c85904b029b5a51b02d9519e8"/>
          <w:id w:val="-52733494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不重要的合营企业和联营企业的汇总财务信息"/>
          <w:tag w:val="_GBC_a6fa35df627e4d9584fb9c311eb6a4b5"/>
          <w:id w:val="8508386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2"/>
        <w:gridCol w:w="3071"/>
        <w:gridCol w:w="3076"/>
      </w:tblGrid>
      <w:tr w:rsidR="005E000F" w14:paraId="4E6BBBB4" w14:textId="77777777">
        <w:trPr>
          <w:trHeight w:val="241"/>
          <w:jc w:val="center"/>
        </w:trPr>
        <w:tc>
          <w:tcPr>
            <w:tcW w:w="2902" w:type="dxa"/>
            <w:vAlign w:val="center"/>
          </w:tcPr>
          <w:p w14:paraId="73CFB1BC" w14:textId="77777777" w:rsidR="005E000F" w:rsidRDefault="005E000F">
            <w:pPr>
              <w:jc w:val="center"/>
              <w:rPr>
                <w:rFonts w:cs="Arial"/>
              </w:rPr>
            </w:pPr>
          </w:p>
        </w:tc>
        <w:sdt>
          <w:sdtPr>
            <w:tag w:val="_PLD_0f94e995a1b3419692bd4d8e5c6d3e83"/>
            <w:id w:val="1418050972"/>
          </w:sdtPr>
          <w:sdtContent>
            <w:tc>
              <w:tcPr>
                <w:tcW w:w="3071" w:type="dxa"/>
                <w:vAlign w:val="center"/>
              </w:tcPr>
              <w:p w14:paraId="01E2747C" w14:textId="77777777" w:rsidR="005E000F" w:rsidRDefault="00000000">
                <w:pPr>
                  <w:jc w:val="center"/>
                  <w:rPr>
                    <w:rFonts w:cs="Arial"/>
                  </w:rPr>
                </w:pPr>
                <w:r>
                  <w:rPr>
                    <w:rFonts w:cs="Arial" w:hint="eastAsia"/>
                    <w:lang w:val="en-GB"/>
                  </w:rPr>
                  <w:t>期末余额</w:t>
                </w:r>
                <w:r>
                  <w:rPr>
                    <w:rFonts w:cs="Arial"/>
                  </w:rPr>
                  <w:t>/</w:t>
                </w:r>
                <w:r>
                  <w:rPr>
                    <w:rFonts w:cs="Arial" w:hint="eastAsia"/>
                    <w:lang w:val="en-GB"/>
                  </w:rPr>
                  <w:t>本期发生额</w:t>
                </w:r>
              </w:p>
            </w:tc>
          </w:sdtContent>
        </w:sdt>
        <w:sdt>
          <w:sdtPr>
            <w:tag w:val="_PLD_41f132b6b30d40258178a800b0285b01"/>
            <w:id w:val="1603076481"/>
          </w:sdtPr>
          <w:sdtContent>
            <w:tc>
              <w:tcPr>
                <w:tcW w:w="3076" w:type="dxa"/>
                <w:vAlign w:val="center"/>
              </w:tcPr>
              <w:p w14:paraId="679B5DD6" w14:textId="77777777" w:rsidR="005E000F" w:rsidRDefault="00000000">
                <w:pPr>
                  <w:jc w:val="center"/>
                  <w:rPr>
                    <w:rFonts w:cs="Arial"/>
                  </w:rPr>
                </w:pPr>
                <w:r>
                  <w:rPr>
                    <w:rFonts w:cs="Arial" w:hint="eastAsia"/>
                    <w:lang w:val="en-GB"/>
                  </w:rPr>
                  <w:t>期初余额</w:t>
                </w:r>
                <w:r>
                  <w:rPr>
                    <w:rFonts w:cs="Arial"/>
                  </w:rPr>
                  <w:t>/</w:t>
                </w:r>
                <w:r>
                  <w:rPr>
                    <w:rFonts w:cs="Arial" w:hint="eastAsia"/>
                    <w:lang w:val="en-GB"/>
                  </w:rPr>
                  <w:t>上期发生额</w:t>
                </w:r>
              </w:p>
            </w:tc>
          </w:sdtContent>
        </w:sdt>
      </w:tr>
      <w:tr w:rsidR="005E000F" w14:paraId="00761AC7" w14:textId="77777777">
        <w:trPr>
          <w:jc w:val="center"/>
        </w:trPr>
        <w:sdt>
          <w:sdtPr>
            <w:tag w:val="_PLD_b70e5ea8d7ec4c33925b6219dd7a8fb0"/>
            <w:id w:val="-87235863"/>
          </w:sdtPr>
          <w:sdtContent>
            <w:tc>
              <w:tcPr>
                <w:tcW w:w="9049" w:type="dxa"/>
                <w:gridSpan w:val="3"/>
                <w:vAlign w:val="center"/>
              </w:tcPr>
              <w:p w14:paraId="160CB485" w14:textId="77777777" w:rsidR="005E000F" w:rsidRDefault="00000000">
                <w:r>
                  <w:rPr>
                    <w:rFonts w:cs="Arial" w:hint="eastAsia"/>
                    <w:lang w:val="en-GB"/>
                  </w:rPr>
                  <w:t>合营企业：</w:t>
                </w:r>
              </w:p>
            </w:tc>
          </w:sdtContent>
        </w:sdt>
      </w:tr>
      <w:tr w:rsidR="005E000F" w14:paraId="658711F5" w14:textId="77777777">
        <w:trPr>
          <w:jc w:val="center"/>
        </w:trPr>
        <w:tc>
          <w:tcPr>
            <w:tcW w:w="2902" w:type="dxa"/>
            <w:vAlign w:val="center"/>
          </w:tcPr>
          <w:p w14:paraId="4DEDEA35" w14:textId="77777777" w:rsidR="005E000F" w:rsidRDefault="00000000">
            <w:pPr>
              <w:rPr>
                <w:rFonts w:cs="Arial"/>
                <w:color w:val="000000"/>
              </w:rPr>
            </w:pPr>
            <w:r>
              <w:rPr>
                <w:rFonts w:cs="Arial" w:hint="eastAsia"/>
                <w:color w:val="000000"/>
                <w:lang w:val="en-GB"/>
              </w:rPr>
              <w:t>投资账面价值合计</w:t>
            </w:r>
          </w:p>
        </w:tc>
        <w:tc>
          <w:tcPr>
            <w:tcW w:w="3071" w:type="dxa"/>
            <w:vAlign w:val="center"/>
          </w:tcPr>
          <w:p w14:paraId="3B3EC9A6" w14:textId="77777777" w:rsidR="005E000F" w:rsidRDefault="00000000">
            <w:pPr>
              <w:jc w:val="right"/>
            </w:pPr>
            <w:r>
              <w:rPr>
                <w:rFonts w:hint="eastAsia"/>
              </w:rPr>
              <w:t>0</w:t>
            </w:r>
          </w:p>
        </w:tc>
        <w:tc>
          <w:tcPr>
            <w:tcW w:w="3076" w:type="dxa"/>
            <w:vAlign w:val="center"/>
          </w:tcPr>
          <w:p w14:paraId="72CAB4CD" w14:textId="77777777" w:rsidR="005E000F" w:rsidRDefault="00000000">
            <w:pPr>
              <w:jc w:val="right"/>
            </w:pPr>
            <w:r>
              <w:rPr>
                <w:rFonts w:hint="eastAsia"/>
              </w:rPr>
              <w:t>0</w:t>
            </w:r>
          </w:p>
        </w:tc>
      </w:tr>
      <w:tr w:rsidR="005E000F" w14:paraId="79D3A356" w14:textId="77777777">
        <w:trPr>
          <w:jc w:val="center"/>
        </w:trPr>
        <w:sdt>
          <w:sdtPr>
            <w:tag w:val="_PLD_5535ac23a5e6449eacc8d9ee99f53e96"/>
            <w:id w:val="1906799574"/>
          </w:sdtPr>
          <w:sdtContent>
            <w:tc>
              <w:tcPr>
                <w:tcW w:w="9049" w:type="dxa"/>
                <w:gridSpan w:val="3"/>
                <w:vAlign w:val="center"/>
              </w:tcPr>
              <w:p w14:paraId="09C8DD04" w14:textId="77777777" w:rsidR="005E000F" w:rsidRDefault="00000000">
                <w:r>
                  <w:rPr>
                    <w:rFonts w:cs="Arial" w:hint="eastAsia"/>
                    <w:color w:val="000000"/>
                    <w:lang w:val="en-GB"/>
                  </w:rPr>
                  <w:t>下列各项按持股比例计算的合计数</w:t>
                </w:r>
              </w:p>
            </w:tc>
          </w:sdtContent>
        </w:sdt>
      </w:tr>
      <w:tr w:rsidR="005E000F" w14:paraId="4CE178F1" w14:textId="77777777">
        <w:trPr>
          <w:jc w:val="center"/>
        </w:trPr>
        <w:tc>
          <w:tcPr>
            <w:tcW w:w="2902" w:type="dxa"/>
            <w:vAlign w:val="center"/>
          </w:tcPr>
          <w:p w14:paraId="472E25FC" w14:textId="77777777" w:rsidR="005E000F" w:rsidRDefault="00000000">
            <w:pPr>
              <w:rPr>
                <w:rFonts w:cs="Arial"/>
                <w:color w:val="000000"/>
              </w:rPr>
            </w:pPr>
            <w:r>
              <w:rPr>
                <w:rFonts w:cs="Arial"/>
                <w:color w:val="000000"/>
              </w:rPr>
              <w:t>--</w:t>
            </w:r>
            <w:r>
              <w:rPr>
                <w:rFonts w:cs="Arial" w:hint="eastAsia"/>
                <w:color w:val="000000"/>
                <w:lang w:val="en-GB"/>
              </w:rPr>
              <w:t>净利润</w:t>
            </w:r>
          </w:p>
        </w:tc>
        <w:tc>
          <w:tcPr>
            <w:tcW w:w="3071" w:type="dxa"/>
            <w:shd w:val="clear" w:color="auto" w:fill="auto"/>
            <w:vAlign w:val="center"/>
          </w:tcPr>
          <w:p w14:paraId="5074053E" w14:textId="77777777" w:rsidR="005E000F" w:rsidRDefault="00000000">
            <w:pPr>
              <w:jc w:val="right"/>
            </w:pPr>
            <w:r>
              <w:rPr>
                <w:rFonts w:hint="eastAsia"/>
              </w:rPr>
              <w:t>0</w:t>
            </w:r>
          </w:p>
        </w:tc>
        <w:tc>
          <w:tcPr>
            <w:tcW w:w="3076" w:type="dxa"/>
            <w:vAlign w:val="center"/>
          </w:tcPr>
          <w:p w14:paraId="0DFA0D6B" w14:textId="77777777" w:rsidR="005E000F" w:rsidRDefault="00000000">
            <w:pPr>
              <w:jc w:val="right"/>
            </w:pPr>
            <w:r>
              <w:rPr>
                <w:rFonts w:hint="eastAsia"/>
              </w:rPr>
              <w:t>0</w:t>
            </w:r>
          </w:p>
        </w:tc>
      </w:tr>
      <w:tr w:rsidR="005E000F" w14:paraId="08645893" w14:textId="77777777">
        <w:trPr>
          <w:jc w:val="center"/>
        </w:trPr>
        <w:tc>
          <w:tcPr>
            <w:tcW w:w="2902" w:type="dxa"/>
            <w:vAlign w:val="center"/>
          </w:tcPr>
          <w:p w14:paraId="00E9A2CD" w14:textId="77777777" w:rsidR="005E000F" w:rsidRDefault="00000000">
            <w:pPr>
              <w:rPr>
                <w:rFonts w:cs="Arial"/>
                <w:color w:val="000000"/>
              </w:rPr>
            </w:pPr>
            <w:r>
              <w:rPr>
                <w:rFonts w:cs="Arial"/>
                <w:color w:val="000000"/>
              </w:rPr>
              <w:t>--</w:t>
            </w:r>
            <w:r>
              <w:rPr>
                <w:rFonts w:cs="Arial" w:hint="eastAsia"/>
                <w:color w:val="000000"/>
                <w:lang w:val="en-GB"/>
              </w:rPr>
              <w:t>其他综合收益</w:t>
            </w:r>
          </w:p>
        </w:tc>
        <w:tc>
          <w:tcPr>
            <w:tcW w:w="3071" w:type="dxa"/>
            <w:shd w:val="clear" w:color="auto" w:fill="auto"/>
            <w:vAlign w:val="center"/>
          </w:tcPr>
          <w:p w14:paraId="1E173F82" w14:textId="77777777" w:rsidR="005E000F" w:rsidRDefault="00000000">
            <w:pPr>
              <w:jc w:val="right"/>
            </w:pPr>
            <w:r>
              <w:rPr>
                <w:rFonts w:hint="eastAsia"/>
              </w:rPr>
              <w:t>0</w:t>
            </w:r>
          </w:p>
        </w:tc>
        <w:tc>
          <w:tcPr>
            <w:tcW w:w="3076" w:type="dxa"/>
            <w:vAlign w:val="center"/>
          </w:tcPr>
          <w:p w14:paraId="7CEC1812" w14:textId="77777777" w:rsidR="005E000F" w:rsidRDefault="00000000">
            <w:pPr>
              <w:jc w:val="right"/>
            </w:pPr>
            <w:r>
              <w:rPr>
                <w:rFonts w:hint="eastAsia"/>
              </w:rPr>
              <w:t>0</w:t>
            </w:r>
          </w:p>
        </w:tc>
      </w:tr>
      <w:tr w:rsidR="005E000F" w14:paraId="65985B36" w14:textId="77777777">
        <w:trPr>
          <w:jc w:val="center"/>
        </w:trPr>
        <w:tc>
          <w:tcPr>
            <w:tcW w:w="2902" w:type="dxa"/>
            <w:vAlign w:val="center"/>
          </w:tcPr>
          <w:p w14:paraId="0CA6BC2C" w14:textId="77777777" w:rsidR="005E000F" w:rsidRDefault="00000000">
            <w:pPr>
              <w:rPr>
                <w:rFonts w:cs="Arial"/>
                <w:color w:val="000000"/>
              </w:rPr>
            </w:pPr>
            <w:r>
              <w:rPr>
                <w:rFonts w:cs="Arial"/>
                <w:color w:val="000000"/>
              </w:rPr>
              <w:t>--</w:t>
            </w:r>
            <w:r>
              <w:rPr>
                <w:rFonts w:cs="Arial" w:hint="eastAsia"/>
                <w:color w:val="000000"/>
                <w:lang w:val="en-GB"/>
              </w:rPr>
              <w:t>综合收益总额</w:t>
            </w:r>
          </w:p>
        </w:tc>
        <w:tc>
          <w:tcPr>
            <w:tcW w:w="3071" w:type="dxa"/>
            <w:shd w:val="clear" w:color="auto" w:fill="auto"/>
            <w:vAlign w:val="center"/>
          </w:tcPr>
          <w:p w14:paraId="738DA35F" w14:textId="77777777" w:rsidR="005E000F" w:rsidRDefault="00000000">
            <w:pPr>
              <w:jc w:val="right"/>
            </w:pPr>
            <w:r>
              <w:rPr>
                <w:rFonts w:hint="eastAsia"/>
              </w:rPr>
              <w:t>0</w:t>
            </w:r>
          </w:p>
        </w:tc>
        <w:tc>
          <w:tcPr>
            <w:tcW w:w="3076" w:type="dxa"/>
            <w:vAlign w:val="center"/>
          </w:tcPr>
          <w:p w14:paraId="1BC166FB" w14:textId="77777777" w:rsidR="005E000F" w:rsidRDefault="00000000">
            <w:pPr>
              <w:jc w:val="right"/>
            </w:pPr>
            <w:r>
              <w:rPr>
                <w:rFonts w:hint="eastAsia"/>
              </w:rPr>
              <w:t>0</w:t>
            </w:r>
          </w:p>
        </w:tc>
      </w:tr>
      <w:tr w:rsidR="005E000F" w14:paraId="34C99D99" w14:textId="77777777">
        <w:trPr>
          <w:jc w:val="center"/>
        </w:trPr>
        <w:tc>
          <w:tcPr>
            <w:tcW w:w="9049" w:type="dxa"/>
            <w:gridSpan w:val="3"/>
            <w:vAlign w:val="center"/>
          </w:tcPr>
          <w:p w14:paraId="20F01105" w14:textId="77777777" w:rsidR="005E000F" w:rsidRDefault="005E000F">
            <w:pPr>
              <w:jc w:val="right"/>
            </w:pPr>
          </w:p>
        </w:tc>
      </w:tr>
      <w:tr w:rsidR="005E000F" w14:paraId="3088E2B3" w14:textId="77777777">
        <w:trPr>
          <w:jc w:val="center"/>
        </w:trPr>
        <w:sdt>
          <w:sdtPr>
            <w:tag w:val="_PLD_cbda7c3468d14ed7a076bd7c6a1d9c6f"/>
            <w:id w:val="1049337213"/>
          </w:sdtPr>
          <w:sdtContent>
            <w:tc>
              <w:tcPr>
                <w:tcW w:w="9049" w:type="dxa"/>
                <w:gridSpan w:val="3"/>
                <w:vAlign w:val="center"/>
              </w:tcPr>
              <w:p w14:paraId="35AFB393" w14:textId="77777777" w:rsidR="005E000F" w:rsidRDefault="00000000">
                <w:r>
                  <w:rPr>
                    <w:rFonts w:cs="Arial" w:hint="eastAsia"/>
                    <w:lang w:val="en-GB"/>
                  </w:rPr>
                  <w:t>联营企业：</w:t>
                </w:r>
              </w:p>
            </w:tc>
          </w:sdtContent>
        </w:sdt>
      </w:tr>
      <w:tr w:rsidR="005E000F" w14:paraId="61CC9A02" w14:textId="77777777">
        <w:trPr>
          <w:jc w:val="center"/>
        </w:trPr>
        <w:tc>
          <w:tcPr>
            <w:tcW w:w="2902" w:type="dxa"/>
            <w:vAlign w:val="center"/>
          </w:tcPr>
          <w:p w14:paraId="0E6DADC5" w14:textId="77777777" w:rsidR="005E000F" w:rsidRDefault="00000000">
            <w:pPr>
              <w:rPr>
                <w:rFonts w:cs="Arial"/>
                <w:color w:val="000000"/>
              </w:rPr>
            </w:pPr>
            <w:r>
              <w:rPr>
                <w:rFonts w:cs="Arial" w:hint="eastAsia"/>
                <w:color w:val="000000"/>
                <w:lang w:val="en-GB"/>
              </w:rPr>
              <w:t>投资账面价值合计</w:t>
            </w:r>
          </w:p>
        </w:tc>
        <w:tc>
          <w:tcPr>
            <w:tcW w:w="3071" w:type="dxa"/>
            <w:vAlign w:val="center"/>
          </w:tcPr>
          <w:p w14:paraId="20B00FA6" w14:textId="77777777" w:rsidR="005E000F" w:rsidRDefault="00000000">
            <w:pPr>
              <w:jc w:val="right"/>
              <w:textAlignment w:val="center"/>
              <w:rPr>
                <w:rFonts w:ascii="Arial Narrow" w:eastAsia="Arial Narrow" w:hAnsi="Arial Narrow" w:cs="Arial Narrow"/>
                <w:color w:val="000000"/>
                <w:sz w:val="22"/>
                <w:szCs w:val="22"/>
              </w:rPr>
            </w:pPr>
            <w:r>
              <w:t>14,304,78</w:t>
            </w:r>
            <w:r>
              <w:rPr>
                <w:rFonts w:hint="eastAsia"/>
              </w:rPr>
              <w:t>6</w:t>
            </w:r>
          </w:p>
        </w:tc>
        <w:tc>
          <w:tcPr>
            <w:tcW w:w="3076" w:type="dxa"/>
            <w:vAlign w:val="center"/>
          </w:tcPr>
          <w:p w14:paraId="1D5505CF" w14:textId="77777777" w:rsidR="005E000F" w:rsidRDefault="00000000">
            <w:pPr>
              <w:jc w:val="right"/>
            </w:pPr>
            <w:r>
              <w:t>18,880,141</w:t>
            </w:r>
          </w:p>
        </w:tc>
      </w:tr>
      <w:tr w:rsidR="005E000F" w14:paraId="221A8ADF" w14:textId="77777777">
        <w:trPr>
          <w:jc w:val="center"/>
        </w:trPr>
        <w:sdt>
          <w:sdtPr>
            <w:tag w:val="_PLD_83ce74083a4545808d6b87b66cb814b0"/>
            <w:id w:val="723259659"/>
          </w:sdtPr>
          <w:sdtContent>
            <w:tc>
              <w:tcPr>
                <w:tcW w:w="9049" w:type="dxa"/>
                <w:gridSpan w:val="3"/>
                <w:vAlign w:val="center"/>
              </w:tcPr>
              <w:p w14:paraId="013D2755" w14:textId="77777777" w:rsidR="005E000F" w:rsidRDefault="00000000">
                <w:r>
                  <w:rPr>
                    <w:rFonts w:cs="Arial" w:hint="eastAsia"/>
                    <w:color w:val="000000"/>
                    <w:lang w:val="en-GB"/>
                  </w:rPr>
                  <w:t>下列各项按持股比例计算的合计数</w:t>
                </w:r>
              </w:p>
            </w:tc>
          </w:sdtContent>
        </w:sdt>
      </w:tr>
      <w:tr w:rsidR="005E000F" w14:paraId="3A7279D6" w14:textId="77777777">
        <w:trPr>
          <w:jc w:val="center"/>
        </w:trPr>
        <w:tc>
          <w:tcPr>
            <w:tcW w:w="2902" w:type="dxa"/>
            <w:vAlign w:val="center"/>
          </w:tcPr>
          <w:p w14:paraId="6F4E602E" w14:textId="77777777" w:rsidR="005E000F" w:rsidRDefault="00000000">
            <w:pPr>
              <w:rPr>
                <w:rFonts w:cs="Arial"/>
                <w:color w:val="000000"/>
              </w:rPr>
            </w:pPr>
            <w:r>
              <w:rPr>
                <w:rFonts w:cs="Arial"/>
                <w:color w:val="000000"/>
              </w:rPr>
              <w:t>--</w:t>
            </w:r>
            <w:r>
              <w:rPr>
                <w:rFonts w:cs="Arial" w:hint="eastAsia"/>
                <w:color w:val="000000"/>
                <w:lang w:val="en-GB"/>
              </w:rPr>
              <w:t>净利润</w:t>
            </w:r>
          </w:p>
        </w:tc>
        <w:tc>
          <w:tcPr>
            <w:tcW w:w="3071" w:type="dxa"/>
            <w:vAlign w:val="center"/>
          </w:tcPr>
          <w:p w14:paraId="2CCCC1E1" w14:textId="77777777" w:rsidR="005E000F" w:rsidRDefault="00000000">
            <w:pPr>
              <w:jc w:val="right"/>
            </w:pPr>
            <w:r>
              <w:t>-1,517,155</w:t>
            </w:r>
          </w:p>
        </w:tc>
        <w:tc>
          <w:tcPr>
            <w:tcW w:w="3076" w:type="dxa"/>
            <w:vAlign w:val="center"/>
          </w:tcPr>
          <w:p w14:paraId="4636AC08" w14:textId="77777777" w:rsidR="005E000F" w:rsidRDefault="00000000">
            <w:pPr>
              <w:jc w:val="right"/>
            </w:pPr>
            <w:r>
              <w:t>-4,062,407</w:t>
            </w:r>
          </w:p>
        </w:tc>
      </w:tr>
      <w:tr w:rsidR="005E000F" w14:paraId="25336134" w14:textId="77777777">
        <w:trPr>
          <w:jc w:val="center"/>
        </w:trPr>
        <w:tc>
          <w:tcPr>
            <w:tcW w:w="2902" w:type="dxa"/>
            <w:vAlign w:val="center"/>
          </w:tcPr>
          <w:p w14:paraId="54B8D2CB" w14:textId="77777777" w:rsidR="005E000F" w:rsidRDefault="00000000">
            <w:pPr>
              <w:rPr>
                <w:rFonts w:cs="Arial"/>
                <w:color w:val="000000"/>
              </w:rPr>
            </w:pPr>
            <w:r>
              <w:rPr>
                <w:rFonts w:cs="Arial"/>
                <w:color w:val="000000"/>
              </w:rPr>
              <w:t>--</w:t>
            </w:r>
            <w:r>
              <w:rPr>
                <w:rFonts w:cs="Arial" w:hint="eastAsia"/>
                <w:color w:val="000000"/>
                <w:lang w:val="en-GB"/>
              </w:rPr>
              <w:t>其他综合收益</w:t>
            </w:r>
          </w:p>
        </w:tc>
        <w:tc>
          <w:tcPr>
            <w:tcW w:w="3071" w:type="dxa"/>
            <w:vAlign w:val="center"/>
          </w:tcPr>
          <w:p w14:paraId="517B9D99" w14:textId="77777777" w:rsidR="005E000F" w:rsidRDefault="00000000">
            <w:pPr>
              <w:jc w:val="right"/>
            </w:pPr>
            <w:r>
              <w:rPr>
                <w:rFonts w:hint="eastAsia"/>
              </w:rPr>
              <w:t>0</w:t>
            </w:r>
            <w:r>
              <w:t xml:space="preserve">  </w:t>
            </w:r>
          </w:p>
        </w:tc>
        <w:tc>
          <w:tcPr>
            <w:tcW w:w="3076" w:type="dxa"/>
            <w:vAlign w:val="center"/>
          </w:tcPr>
          <w:p w14:paraId="0E59C6FC" w14:textId="77777777" w:rsidR="005E000F" w:rsidRDefault="00000000">
            <w:pPr>
              <w:jc w:val="right"/>
            </w:pPr>
            <w:r>
              <w:rPr>
                <w:rFonts w:hint="eastAsia"/>
              </w:rPr>
              <w:t>0</w:t>
            </w:r>
          </w:p>
        </w:tc>
      </w:tr>
      <w:tr w:rsidR="005E000F" w14:paraId="0EA44AC8" w14:textId="77777777">
        <w:trPr>
          <w:jc w:val="center"/>
        </w:trPr>
        <w:tc>
          <w:tcPr>
            <w:tcW w:w="2902" w:type="dxa"/>
            <w:vAlign w:val="center"/>
          </w:tcPr>
          <w:p w14:paraId="3F24CF73" w14:textId="77777777" w:rsidR="005E000F" w:rsidRDefault="00000000">
            <w:pPr>
              <w:rPr>
                <w:rFonts w:cs="Arial"/>
                <w:color w:val="000000"/>
              </w:rPr>
            </w:pPr>
            <w:r>
              <w:rPr>
                <w:rFonts w:cs="Arial"/>
                <w:color w:val="000000"/>
              </w:rPr>
              <w:t>--</w:t>
            </w:r>
            <w:r>
              <w:rPr>
                <w:rFonts w:cs="Arial" w:hint="eastAsia"/>
                <w:color w:val="000000"/>
                <w:lang w:val="en-GB"/>
              </w:rPr>
              <w:t>综合收益总额</w:t>
            </w:r>
          </w:p>
        </w:tc>
        <w:tc>
          <w:tcPr>
            <w:tcW w:w="3071" w:type="dxa"/>
            <w:vAlign w:val="center"/>
          </w:tcPr>
          <w:p w14:paraId="0237342A" w14:textId="77777777" w:rsidR="005E000F" w:rsidRDefault="00000000">
            <w:pPr>
              <w:jc w:val="right"/>
            </w:pPr>
            <w:r>
              <w:t>-1,517,155</w:t>
            </w:r>
          </w:p>
        </w:tc>
        <w:tc>
          <w:tcPr>
            <w:tcW w:w="3076" w:type="dxa"/>
            <w:vAlign w:val="center"/>
          </w:tcPr>
          <w:p w14:paraId="1AD8EA61" w14:textId="77777777" w:rsidR="005E000F" w:rsidRDefault="00000000">
            <w:pPr>
              <w:jc w:val="right"/>
            </w:pPr>
            <w:r>
              <w:t>-4,062,407</w:t>
            </w:r>
          </w:p>
        </w:tc>
      </w:tr>
    </w:tbl>
    <w:p w14:paraId="4FD5A655" w14:textId="77777777" w:rsidR="005E000F" w:rsidRDefault="00000000">
      <w:pPr>
        <w:rPr>
          <w:rFonts w:cs="Arial"/>
        </w:rPr>
      </w:pPr>
      <w:r>
        <w:rPr>
          <w:rFonts w:cs="Arial" w:hint="eastAsia"/>
        </w:rPr>
        <w:t>其他说明：</w:t>
      </w:r>
    </w:p>
    <w:p w14:paraId="525AF640" w14:textId="77777777" w:rsidR="005E000F" w:rsidRDefault="00000000">
      <w:pPr>
        <w:rPr>
          <w:rFonts w:cs="Arial"/>
        </w:rPr>
      </w:pPr>
      <w:sdt>
        <w:sdtPr>
          <w:alias w:val="不重要的合营企业和联营企业的汇总财务信息其他说明"/>
          <w:tag w:val="_GBC_78096995ca9848409e6780ab5f1386f8"/>
          <w:id w:val="750159849"/>
          <w:placeholder>
            <w:docPart w:val="GBC22222222222222222222222222222"/>
          </w:placeholder>
        </w:sdtPr>
        <w:sdtContent>
          <w:r>
            <w:rPr>
              <w:rFonts w:hint="eastAsia"/>
            </w:rPr>
            <w:t>无</w:t>
          </w:r>
        </w:sdtContent>
      </w:sdt>
    </w:p>
    <w:p w14:paraId="06A5DA42" w14:textId="77777777" w:rsidR="005E000F" w:rsidRDefault="005E000F">
      <w:pPr>
        <w:rPr>
          <w:rFonts w:cs="Arial"/>
        </w:rPr>
      </w:pPr>
    </w:p>
    <w:p w14:paraId="23B2C3C3" w14:textId="77777777" w:rsidR="005E000F" w:rsidRDefault="00000000">
      <w:pPr>
        <w:pStyle w:val="4"/>
        <w:numPr>
          <w:ilvl w:val="3"/>
          <w:numId w:val="113"/>
        </w:numPr>
        <w:ind w:left="426" w:hangingChars="202" w:hanging="426"/>
      </w:pPr>
      <w:r>
        <w:rPr>
          <w:rFonts w:hint="eastAsia"/>
        </w:rPr>
        <w:t>合营企业或联营企业向公司转移资金的能力存在重大限制的说明</w:t>
      </w:r>
    </w:p>
    <w:sdt>
      <w:sdtPr>
        <w:rPr>
          <w:rFonts w:cs="Arial" w:hint="eastAsia"/>
        </w:rPr>
        <w:alias w:val="是否适用：合营企业或联营企业向本公司转移资金的能力存在重大限制的说明[双击切换]"/>
        <w:tag w:val="_GBC_6adf336cbf6141a59d29de2be4c5a55b"/>
        <w:id w:val="1615865800"/>
        <w:placeholder>
          <w:docPart w:val="GBC22222222222222222222222222222"/>
        </w:placeholder>
      </w:sdtPr>
      <w:sdtContent>
        <w:p w14:paraId="1C0CC2A5" w14:textId="77777777" w:rsidR="005E000F" w:rsidRDefault="00000000">
          <w:r>
            <w:rPr>
              <w:rFonts w:ascii="宋体" w:hAnsi="宋体" w:cs="Arial"/>
            </w:rPr>
            <w:fldChar w:fldCharType="begin"/>
          </w:r>
          <w:r>
            <w:rPr>
              <w:rFonts w:ascii="宋体" w:hAnsi="宋体" w:cs="Arial" w:hint="eastAsia"/>
            </w:rPr>
            <w:instrText xml:space="preserve"> 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3093ED43" w14:textId="77777777" w:rsidR="005E000F" w:rsidRDefault="005E000F">
      <w:pPr>
        <w:rPr>
          <w:rFonts w:cs="Arial"/>
        </w:rPr>
      </w:pPr>
    </w:p>
    <w:p w14:paraId="3601FB75" w14:textId="77777777" w:rsidR="005E000F" w:rsidRDefault="00000000">
      <w:pPr>
        <w:pStyle w:val="4"/>
        <w:numPr>
          <w:ilvl w:val="3"/>
          <w:numId w:val="113"/>
        </w:numPr>
        <w:ind w:left="426" w:hangingChars="202" w:hanging="426"/>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637792100"/>
        <w:placeholder>
          <w:docPart w:val="GBC22222222222222222222222222222"/>
        </w:placeholder>
      </w:sdtPr>
      <w:sdtContent>
        <w:p w14:paraId="0518825C" w14:textId="77777777" w:rsidR="005E000F" w:rsidRDefault="00000000">
          <w:pPr>
            <w:rPr>
              <w:rFonts w:cs="Arial"/>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84DC882" w14:textId="77777777" w:rsidR="005E000F" w:rsidRDefault="005E000F">
      <w:pPr>
        <w:rPr>
          <w:rFonts w:cs="Arial"/>
        </w:rPr>
      </w:pPr>
    </w:p>
    <w:p w14:paraId="7B11E8D5" w14:textId="77777777" w:rsidR="005E000F" w:rsidRDefault="005E000F">
      <w:pPr>
        <w:rPr>
          <w:rFonts w:cs="Arial"/>
        </w:rPr>
      </w:pPr>
    </w:p>
    <w:p w14:paraId="791E29C3" w14:textId="77777777" w:rsidR="005E000F" w:rsidRDefault="00000000">
      <w:pPr>
        <w:pStyle w:val="4"/>
        <w:numPr>
          <w:ilvl w:val="3"/>
          <w:numId w:val="113"/>
        </w:numPr>
        <w:ind w:left="426" w:hangingChars="202" w:hanging="426"/>
      </w:pPr>
      <w:r>
        <w:rPr>
          <w:rFonts w:hint="eastAsia"/>
        </w:rPr>
        <w:t>与合营企业投资相关的未确认承诺</w:t>
      </w:r>
    </w:p>
    <w:sdt>
      <w:sdtPr>
        <w:rPr>
          <w:rFonts w:cs="Arial" w:hint="eastAsia"/>
        </w:rPr>
        <w:alias w:val="是否适用：与合营企业投资相关的未确认承诺[双击切换]"/>
        <w:tag w:val="_GBC_31e45f9d52434cea9a9a27d328e562ec"/>
        <w:id w:val="-585673"/>
        <w:placeholder>
          <w:docPart w:val="GBC22222222222222222222222222222"/>
        </w:placeholder>
      </w:sdtPr>
      <w:sdtContent>
        <w:p w14:paraId="15351DBF" w14:textId="77777777" w:rsidR="005E000F" w:rsidRDefault="00000000">
          <w:pPr>
            <w:rPr>
              <w:rFonts w:cs="Arial"/>
            </w:rPr>
          </w:pPr>
          <w:r>
            <w:rPr>
              <w:rFonts w:ascii="宋体" w:hAnsi="宋体" w:cs="Arial"/>
            </w:rPr>
            <w:fldChar w:fldCharType="begin"/>
          </w:r>
          <w:r>
            <w:rPr>
              <w:rFonts w:ascii="宋体" w:hAnsi="宋体" w:cs="Arial" w:hint="eastAsia"/>
            </w:rPr>
            <w:instrText xml:space="preserve"> 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31C2DE43" w14:textId="77777777" w:rsidR="005E000F" w:rsidRDefault="005E000F">
      <w:pPr>
        <w:rPr>
          <w:rFonts w:cs="Arial"/>
        </w:rPr>
      </w:pPr>
    </w:p>
    <w:p w14:paraId="1BD57AD2" w14:textId="77777777" w:rsidR="005E000F" w:rsidRDefault="00000000">
      <w:pPr>
        <w:pStyle w:val="4"/>
        <w:numPr>
          <w:ilvl w:val="3"/>
          <w:numId w:val="113"/>
        </w:numPr>
        <w:ind w:left="426" w:hangingChars="202" w:hanging="426"/>
      </w:pPr>
      <w:r>
        <w:rPr>
          <w:rFonts w:hint="eastAsia"/>
        </w:rPr>
        <w:t>与合营企业或联营企业投资相关的或有负债</w:t>
      </w:r>
    </w:p>
    <w:sdt>
      <w:sdtPr>
        <w:rPr>
          <w:rFonts w:cs="Arial" w:hint="eastAsia"/>
        </w:rPr>
        <w:alias w:val="是否适用：与合营企业或联营企业投资相关的或有负债[双击切换]"/>
        <w:tag w:val="_GBC_d3c6dfcab3ab42afb854d4ea2e7c9b9f"/>
        <w:id w:val="1801732036"/>
        <w:placeholder>
          <w:docPart w:val="GBC22222222222222222222222222222"/>
        </w:placeholder>
      </w:sdtPr>
      <w:sdtContent>
        <w:p w14:paraId="67D592E4" w14:textId="77777777" w:rsidR="005E000F" w:rsidRDefault="00000000">
          <w:pPr>
            <w:rPr>
              <w:rFonts w:cs="Arial"/>
            </w:rPr>
          </w:pPr>
          <w:r>
            <w:rPr>
              <w:rFonts w:ascii="宋体" w:hAnsi="宋体" w:cs="Arial"/>
            </w:rPr>
            <w:fldChar w:fldCharType="begin"/>
          </w:r>
          <w:r>
            <w:rPr>
              <w:rFonts w:ascii="宋体" w:hAnsi="宋体" w:cs="Arial" w:hint="eastAsia"/>
            </w:rPr>
            <w:instrText xml:space="preserve"> 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07713569" w14:textId="77777777" w:rsidR="005E000F" w:rsidRDefault="005E000F">
      <w:pPr>
        <w:rPr>
          <w:rFonts w:cs="Arial"/>
        </w:rPr>
      </w:pPr>
    </w:p>
    <w:p w14:paraId="1D1AA4EF" w14:textId="77777777" w:rsidR="005E000F" w:rsidRDefault="00000000">
      <w:pPr>
        <w:pStyle w:val="3"/>
        <w:numPr>
          <w:ilvl w:val="2"/>
          <w:numId w:val="111"/>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245536441"/>
        <w:placeholder>
          <w:docPart w:val="GBC22222222222222222222222222222"/>
        </w:placeholder>
      </w:sdtPr>
      <w:sdtContent>
        <w:p w14:paraId="2236299C" w14:textId="77777777" w:rsidR="005E000F" w:rsidRDefault="00000000">
          <w:pPr>
            <w:rPr>
              <w:rFonts w:cs="Arial"/>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2E715C6" w14:textId="77777777" w:rsidR="005E000F" w:rsidRDefault="005E000F">
      <w:pPr>
        <w:rPr>
          <w:rFonts w:cs="Arial"/>
        </w:rPr>
      </w:pPr>
    </w:p>
    <w:p w14:paraId="463B0713" w14:textId="77777777" w:rsidR="005E000F" w:rsidRDefault="005E000F">
      <w:pPr>
        <w:rPr>
          <w:rFonts w:cs="Arial"/>
        </w:rPr>
      </w:pPr>
    </w:p>
    <w:p w14:paraId="618B3BF1" w14:textId="77777777" w:rsidR="005E000F" w:rsidRDefault="00000000">
      <w:pPr>
        <w:pStyle w:val="3"/>
        <w:numPr>
          <w:ilvl w:val="2"/>
          <w:numId w:val="111"/>
        </w:numPr>
        <w:rPr>
          <w:rFonts w:ascii="宋体" w:hAnsi="宋体" w:cs="Arial"/>
          <w:szCs w:val="21"/>
        </w:rPr>
      </w:pPr>
      <w:r>
        <w:rPr>
          <w:rFonts w:ascii="宋体" w:hAnsi="宋体" w:cs="Arial" w:hint="eastAsia"/>
          <w:szCs w:val="21"/>
        </w:rPr>
        <w:t>在未纳入合并财务报表范围的结构化主体中的权益</w:t>
      </w:r>
    </w:p>
    <w:p w14:paraId="358776CD" w14:textId="77777777" w:rsidR="005E000F" w:rsidRDefault="00000000">
      <w:pPr>
        <w:rPr>
          <w:rFonts w:cs="Arial"/>
        </w:rPr>
      </w:pPr>
      <w:r>
        <w:rPr>
          <w:rFonts w:cs="Arial" w:hint="eastAsia"/>
        </w:rPr>
        <w:t>未纳入合并财务报表范围的结构化主体的相关说明：</w:t>
      </w:r>
    </w:p>
    <w:sdt>
      <w:sdtPr>
        <w:rPr>
          <w:rFonts w:cs="Arial"/>
        </w:rPr>
        <w:alias w:val="是否适用：未纳入合并财务报表范围的结构化主体的相关说明[双击切换]"/>
        <w:tag w:val="_GBC_fec7f9a28e8b48edbad9948b50cb3cae"/>
        <w:id w:val="1605304298"/>
        <w:placeholder>
          <w:docPart w:val="GBC22222222222222222222222222222"/>
        </w:placeholder>
      </w:sdtPr>
      <w:sdtContent>
        <w:p w14:paraId="28E55FAE" w14:textId="77777777" w:rsidR="005E000F" w:rsidRDefault="00000000">
          <w:pPr>
            <w:rPr>
              <w:rFonts w:cs="Arial"/>
            </w:rPr>
          </w:pPr>
          <w:r>
            <w:rPr>
              <w:rFonts w:ascii="宋体" w:hAnsi="宋体" w:cs="Arial"/>
            </w:rPr>
            <w:fldChar w:fldCharType="begin"/>
          </w:r>
          <w:r>
            <w:rPr>
              <w:rFonts w:ascii="宋体" w:hAnsi="宋体" w:cs="Arial" w:hint="eastAsia"/>
            </w:rPr>
            <w:instrText xml:space="preserve">MACROBUTTON  SnrToggleCheckbox □适用 </w:instrText>
          </w:r>
          <w:r>
            <w:rPr>
              <w:rFonts w:ascii="宋体" w:hAnsi="宋体" w:cs="Arial"/>
            </w:rPr>
            <w:fldChar w:fldCharType="end"/>
          </w:r>
          <w:r>
            <w:rPr>
              <w:rFonts w:ascii="宋体" w:hAnsi="宋体" w:cs="Arial"/>
            </w:rPr>
            <w:fldChar w:fldCharType="begin"/>
          </w:r>
          <w:r>
            <w:rPr>
              <w:rFonts w:ascii="宋体" w:hAnsi="宋体" w:cs="Arial" w:hint="eastAsia"/>
            </w:rPr>
            <w:instrText xml:space="preserve"> MACROBUTTON  SnrToggleCheckbox √不适用 </w:instrText>
          </w:r>
          <w:r>
            <w:rPr>
              <w:rFonts w:ascii="宋体" w:hAnsi="宋体" w:cs="Arial"/>
            </w:rPr>
            <w:fldChar w:fldCharType="end"/>
          </w:r>
        </w:p>
      </w:sdtContent>
    </w:sdt>
    <w:p w14:paraId="02945B73" w14:textId="77777777" w:rsidR="005E000F" w:rsidRDefault="005E000F">
      <w:pPr>
        <w:rPr>
          <w:rFonts w:cs="Arial"/>
        </w:rPr>
      </w:pPr>
    </w:p>
    <w:p w14:paraId="1084F7F6" w14:textId="77777777" w:rsidR="005E000F" w:rsidRDefault="00000000">
      <w:pPr>
        <w:pStyle w:val="3"/>
        <w:numPr>
          <w:ilvl w:val="2"/>
          <w:numId w:val="111"/>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464889584"/>
        <w:placeholder>
          <w:docPart w:val="GBC22222222222222222222222222222"/>
        </w:placeholder>
      </w:sdtPr>
      <w:sdtContent>
        <w:p w14:paraId="5829602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65A8319" w14:textId="77777777" w:rsidR="005E000F" w:rsidRDefault="005E000F"/>
    <w:p w14:paraId="19642223" w14:textId="77777777" w:rsidR="005E000F" w:rsidRDefault="00000000">
      <w:pPr>
        <w:pStyle w:val="2"/>
        <w:numPr>
          <w:ilvl w:val="0"/>
          <w:numId w:val="56"/>
        </w:numPr>
        <w:ind w:left="450" w:hanging="450"/>
        <w:rPr>
          <w:rFonts w:ascii="宋体" w:hAnsi="宋体"/>
        </w:rPr>
      </w:pPr>
      <w:r>
        <w:rPr>
          <w:rFonts w:ascii="宋体" w:hAnsi="宋体" w:hint="eastAsia"/>
        </w:rPr>
        <w:t>政府补助</w:t>
      </w:r>
    </w:p>
    <w:p w14:paraId="317E5A34" w14:textId="77777777" w:rsidR="005E000F" w:rsidRDefault="00000000">
      <w:pPr>
        <w:pStyle w:val="3"/>
        <w:numPr>
          <w:ilvl w:val="0"/>
          <w:numId w:val="114"/>
        </w:numPr>
        <w:ind w:left="0" w:firstLine="0"/>
      </w:pPr>
      <w:r>
        <w:t>报告期末按应收金额确认的政府补助</w:t>
      </w:r>
    </w:p>
    <w:sdt>
      <w:sdtPr>
        <w:alias w:val="是否适用：按应收金额确认的政府补助[双击切换]"/>
        <w:tag w:val="_GBC_e1e20d7c43844cb8b0392ce8a915912f"/>
        <w:id w:val="-1917474131"/>
        <w:placeholder>
          <w:docPart w:val="GBC22222222222222222222222222222"/>
        </w:placeholder>
      </w:sdtPr>
      <w:sdtContent>
        <w:p w14:paraId="57574D4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B3CE5E6" w14:textId="77777777" w:rsidR="005E000F" w:rsidRDefault="005E000F"/>
    <w:p w14:paraId="7A4C9679" w14:textId="77777777" w:rsidR="005E000F" w:rsidRDefault="00000000">
      <w:r>
        <w:t>未能在预计时点收到预计金额的政府补助</w:t>
      </w:r>
      <w:r>
        <w:rPr>
          <w:rFonts w:hint="eastAsia"/>
        </w:rPr>
        <w:t>的</w:t>
      </w:r>
      <w:r>
        <w:t>原因</w:t>
      </w:r>
    </w:p>
    <w:sdt>
      <w:sdtPr>
        <w:alias w:val="是否适用：未能在预计时点收到预计金额的政府补助的原因[双击切换]"/>
        <w:tag w:val="_GBC_c472b4b5f35848de9076579016736dc0"/>
        <w:id w:val="-507674533"/>
        <w:placeholder>
          <w:docPart w:val="GBC22222222222222222222222222222"/>
        </w:placeholder>
      </w:sdtPr>
      <w:sdtContent>
        <w:p w14:paraId="67358BB4"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C3D5A07" w14:textId="77777777" w:rsidR="005E000F" w:rsidRDefault="005E000F"/>
    <w:p w14:paraId="28B365A8" w14:textId="77777777" w:rsidR="005E000F" w:rsidRDefault="00000000">
      <w:pPr>
        <w:pStyle w:val="3"/>
        <w:numPr>
          <w:ilvl w:val="0"/>
          <w:numId w:val="114"/>
        </w:numPr>
        <w:ind w:left="0" w:firstLine="0"/>
      </w:pPr>
      <w:r>
        <w:lastRenderedPageBreak/>
        <w:t>涉及政府补助的负债项目</w:t>
      </w:r>
    </w:p>
    <w:sdt>
      <w:sdtPr>
        <w:alias w:val="是否适用：涉及政府补助的负债项目[双击切换]"/>
        <w:tag w:val="_GBC_ed9e8fabcc8e4318b2ec33d01e83aec4"/>
        <w:id w:val="1461535984"/>
        <w:placeholder>
          <w:docPart w:val="GBC22222222222222222222222222222"/>
        </w:placeholder>
      </w:sdtPr>
      <w:sdtContent>
        <w:p w14:paraId="054FB0D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D3F83D7" w14:textId="77777777" w:rsidR="005E000F" w:rsidRDefault="005E000F"/>
    <w:p w14:paraId="68B1AC3D" w14:textId="77777777" w:rsidR="005E000F" w:rsidRDefault="00000000">
      <w:pPr>
        <w:pStyle w:val="3"/>
        <w:numPr>
          <w:ilvl w:val="0"/>
          <w:numId w:val="114"/>
        </w:numPr>
        <w:ind w:left="0" w:firstLine="0"/>
        <w:rPr>
          <w:rFonts w:cs="宋体"/>
          <w:kern w:val="0"/>
          <w:szCs w:val="24"/>
        </w:rPr>
      </w:pPr>
      <w:bookmarkStart w:id="406" w:name="_Hlk153267407"/>
      <w:r>
        <w:rPr>
          <w:rFonts w:cs="宋体" w:hint="eastAsia"/>
          <w:kern w:val="0"/>
          <w:szCs w:val="24"/>
        </w:rPr>
        <w:t>计入当期损益的政府补助</w:t>
      </w:r>
    </w:p>
    <w:sdt>
      <w:sdtPr>
        <w:rPr>
          <w:rStyle w:val="40"/>
          <w:rFonts w:ascii="宋体" w:hAnsi="宋体"/>
          <w:b w:val="0"/>
          <w:szCs w:val="21"/>
        </w:rPr>
        <w:alias w:val="是否适用：计入当期损益的政府补助[双击切换]"/>
        <w:tag w:val="_GBC_8ddf92f66bfa4f87b73074ebf5a7bd32"/>
        <w:id w:val="858848096"/>
        <w:placeholder>
          <w:docPart w:val="GBC22222222222222222222222222222"/>
        </w:placeholder>
      </w:sdtPr>
      <w:sdtContent>
        <w:p w14:paraId="032997E6" w14:textId="77777777" w:rsidR="005E000F" w:rsidRDefault="00000000">
          <w:pPr>
            <w:rPr>
              <w:rStyle w:val="40"/>
              <w:rFonts w:ascii="宋体" w:hAnsi="宋体"/>
              <w:b w:val="0"/>
              <w:szCs w:val="21"/>
            </w:rPr>
          </w:pPr>
          <w:r>
            <w:rPr>
              <w:rStyle w:val="40"/>
              <w:rFonts w:ascii="宋体" w:eastAsia="宋体" w:hAnsi="宋体"/>
              <w:b w:val="0"/>
              <w:szCs w:val="21"/>
            </w:rPr>
            <w:fldChar w:fldCharType="begin"/>
          </w:r>
          <w:r>
            <w:rPr>
              <w:rStyle w:val="40"/>
              <w:rFonts w:ascii="宋体" w:eastAsia="宋体" w:hAnsi="宋体" w:hint="eastAsia"/>
              <w:b w:val="0"/>
              <w:szCs w:val="21"/>
            </w:rPr>
            <w:instrText xml:space="preserve">MACROBUTTON  SnrToggleCheckbox □适用 </w:instrText>
          </w:r>
          <w:r>
            <w:rPr>
              <w:rStyle w:val="40"/>
              <w:rFonts w:ascii="宋体" w:eastAsia="宋体" w:hAnsi="宋体"/>
              <w:b w:val="0"/>
              <w:szCs w:val="21"/>
            </w:rPr>
            <w:fldChar w:fldCharType="end"/>
          </w:r>
          <w:r>
            <w:rPr>
              <w:rStyle w:val="40"/>
              <w:rFonts w:ascii="宋体" w:eastAsia="宋体" w:hAnsi="宋体"/>
              <w:b w:val="0"/>
              <w:szCs w:val="21"/>
            </w:rPr>
            <w:fldChar w:fldCharType="begin"/>
          </w:r>
          <w:r>
            <w:rPr>
              <w:rStyle w:val="40"/>
              <w:rFonts w:ascii="宋体" w:eastAsia="宋体" w:hAnsi="宋体" w:hint="eastAsia"/>
              <w:b w:val="0"/>
              <w:szCs w:val="21"/>
            </w:rPr>
            <w:instrText xml:space="preserve"> MACROBUTTON  SnrToggleCheckbox √不适用 </w:instrText>
          </w:r>
          <w:r>
            <w:rPr>
              <w:rStyle w:val="40"/>
              <w:rFonts w:ascii="宋体" w:eastAsia="宋体" w:hAnsi="宋体"/>
              <w:b w:val="0"/>
              <w:szCs w:val="21"/>
            </w:rPr>
            <w:fldChar w:fldCharType="end"/>
          </w:r>
        </w:p>
      </w:sdtContent>
    </w:sdt>
    <w:p w14:paraId="6DB51011" w14:textId="77777777" w:rsidR="005E000F" w:rsidRDefault="005E000F"/>
    <w:p w14:paraId="56366140" w14:textId="77777777" w:rsidR="005E000F" w:rsidRDefault="00000000">
      <w:bookmarkStart w:id="407" w:name="_Hlk153267868"/>
      <w:bookmarkEnd w:id="406"/>
      <w:r>
        <w:rPr>
          <w:rFonts w:hint="eastAsia"/>
        </w:rPr>
        <w:t>其他说明：</w:t>
      </w:r>
    </w:p>
    <w:p w14:paraId="7F3DB594" w14:textId="77777777" w:rsidR="005E000F" w:rsidRDefault="00000000">
      <w:sdt>
        <w:sdtPr>
          <w:alias w:val="政府补助说明"/>
          <w:tag w:val="_GBC_8011e9ada7d741aeb9f59a958e812614"/>
          <w:id w:val="745229642"/>
          <w:placeholder>
            <w:docPart w:val="GBC22222222222222222222222222222"/>
          </w:placeholder>
        </w:sdtPr>
        <w:sdtContent>
          <w:r>
            <w:rPr>
              <w:rFonts w:hint="eastAsia"/>
            </w:rPr>
            <w:t>无</w:t>
          </w:r>
        </w:sdtContent>
      </w:sdt>
    </w:p>
    <w:p w14:paraId="7D6BED17" w14:textId="77777777" w:rsidR="005E000F" w:rsidRDefault="005E000F"/>
    <w:bookmarkEnd w:id="407"/>
    <w:p w14:paraId="30739526" w14:textId="77777777" w:rsidR="005E000F" w:rsidRDefault="00000000">
      <w:pPr>
        <w:pStyle w:val="2"/>
        <w:numPr>
          <w:ilvl w:val="0"/>
          <w:numId w:val="56"/>
        </w:numPr>
        <w:rPr>
          <w:rFonts w:ascii="宋体" w:hAnsi="宋体"/>
        </w:rPr>
      </w:pPr>
      <w:r>
        <w:rPr>
          <w:rFonts w:ascii="宋体" w:hAnsi="宋体" w:hint="eastAsia"/>
        </w:rPr>
        <w:t>与金融工具相关的风险</w:t>
      </w:r>
    </w:p>
    <w:p w14:paraId="5D2DAE24" w14:textId="77777777" w:rsidR="005E000F" w:rsidRDefault="00000000">
      <w:pPr>
        <w:pStyle w:val="3"/>
        <w:numPr>
          <w:ilvl w:val="0"/>
          <w:numId w:val="115"/>
        </w:numPr>
      </w:pPr>
      <w:r>
        <w:rPr>
          <w:rFonts w:hint="eastAsia"/>
        </w:rPr>
        <w:t>金融工具的风险</w:t>
      </w:r>
    </w:p>
    <w:sdt>
      <w:sdtPr>
        <w:alias w:val="是否适用：与金融工具相关的风险[双击切换]"/>
        <w:tag w:val="_GBC_2be38aac6aaa4945a48be2cdc11eaaf6"/>
        <w:id w:val="1857999654"/>
        <w:placeholder>
          <w:docPart w:val="GBC22222222222222222222222222222"/>
        </w:placeholder>
      </w:sdtPr>
      <w:sdtContent>
        <w:p w14:paraId="3C7E850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与金融工具相关的风险"/>
        <w:tag w:val="_GBC_f6714dfdbb554edeb7e7fde71c65346d"/>
        <w:id w:val="-1015838334"/>
        <w:placeholder>
          <w:docPart w:val="GBC22222222222222222222222222222"/>
        </w:placeholder>
      </w:sdtPr>
      <w:sdtEndPr>
        <w:rPr>
          <w:b/>
        </w:rPr>
      </w:sdtEndPr>
      <w:sdtContent>
        <w:sdt>
          <w:sdtPr>
            <w:rPr>
              <w:color w:val="000000" w:themeColor="text1"/>
            </w:rPr>
            <w:alias w:val="与金融工具相关的风险"/>
            <w:tag w:val="_GBC_a654575471934b06b0c3b91a6a980434"/>
            <w:id w:val="379369670"/>
            <w:placeholder>
              <w:docPart w:val="{6ac31089-7645-4bd9-9917-82ecec89515d}"/>
            </w:placeholder>
          </w:sdtPr>
          <w:sdtContent>
            <w:p w14:paraId="5CC2313D" w14:textId="77777777" w:rsidR="005E000F" w:rsidRDefault="00000000">
              <w:pPr>
                <w:rPr>
                  <w:color w:val="000000" w:themeColor="text1"/>
                </w:rPr>
              </w:pPr>
              <w:r>
                <w:rPr>
                  <w:rFonts w:hint="eastAsia"/>
                  <w:color w:val="000000" w:themeColor="text1"/>
                </w:rPr>
                <w:t>本集团在日常活动中面临各种金融工具的风险，主要包括：信用风险、流动性风险、利率风险。</w:t>
              </w:r>
            </w:p>
            <w:p w14:paraId="20E7C6E1" w14:textId="77777777" w:rsidR="005E000F" w:rsidRDefault="005E000F">
              <w:pPr>
                <w:rPr>
                  <w:color w:val="000000" w:themeColor="text1"/>
                </w:rPr>
              </w:pPr>
            </w:p>
            <w:p w14:paraId="76C577C8" w14:textId="77777777" w:rsidR="005E000F" w:rsidRDefault="00000000">
              <w:pPr>
                <w:rPr>
                  <w:color w:val="000000" w:themeColor="text1"/>
                </w:rPr>
              </w:pPr>
              <w:r>
                <w:rPr>
                  <w:rFonts w:hint="eastAsia"/>
                  <w:color w:val="000000" w:themeColor="text1"/>
                </w:rPr>
                <w:t>下文主要论述上述风险敞口及其形成原因以及在本年发生的变化、风险管理目标、政策和程序以及计量风险的方法发生的变化等。</w:t>
              </w:r>
            </w:p>
            <w:p w14:paraId="10912FE4" w14:textId="77777777" w:rsidR="005E000F" w:rsidRDefault="005E000F">
              <w:pPr>
                <w:rPr>
                  <w:color w:val="000000" w:themeColor="text1"/>
                </w:rPr>
              </w:pPr>
            </w:p>
            <w:p w14:paraId="2CE6F799" w14:textId="77777777" w:rsidR="005E000F" w:rsidRDefault="00000000">
              <w:pPr>
                <w:rPr>
                  <w:color w:val="000000" w:themeColor="text1"/>
                </w:rPr>
              </w:pPr>
              <w:r>
                <w:rPr>
                  <w:rFonts w:hint="eastAsia"/>
                  <w:color w:val="000000" w:themeColor="text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本集团会定期审阅这些风险管理政策及有关内部控制系统，以适应市场情况或本集团经营活动的改变</w:t>
              </w:r>
              <w:r>
                <w:rPr>
                  <w:color w:val="000000" w:themeColor="text1"/>
                </w:rPr>
                <w:t>。</w:t>
              </w:r>
            </w:p>
            <w:p w14:paraId="33B58425" w14:textId="77777777" w:rsidR="005E000F" w:rsidRDefault="005E000F">
              <w:pPr>
                <w:rPr>
                  <w:color w:val="000000" w:themeColor="text1"/>
                </w:rPr>
              </w:pPr>
            </w:p>
            <w:p w14:paraId="559B57EE" w14:textId="77777777" w:rsidR="005E000F" w:rsidRDefault="00000000">
              <w:pPr>
                <w:rPr>
                  <w:color w:val="000000" w:themeColor="text1"/>
                </w:rPr>
              </w:pPr>
              <w:r>
                <w:rPr>
                  <w:color w:val="000000" w:themeColor="text1"/>
                </w:rPr>
                <w:t>1</w:t>
              </w:r>
              <w:r>
                <w:rPr>
                  <w:color w:val="000000" w:themeColor="text1"/>
                </w:rPr>
                <w:t>、信用风险</w:t>
              </w:r>
            </w:p>
            <w:p w14:paraId="43893328" w14:textId="77777777" w:rsidR="005E000F" w:rsidRDefault="005E000F">
              <w:pPr>
                <w:rPr>
                  <w:color w:val="000000" w:themeColor="text1"/>
                </w:rPr>
              </w:pPr>
            </w:p>
            <w:p w14:paraId="017C5C61" w14:textId="77777777" w:rsidR="005E000F" w:rsidRDefault="00000000">
              <w:pPr>
                <w:rPr>
                  <w:color w:val="000000" w:themeColor="text1"/>
                </w:rPr>
              </w:pPr>
              <w:r>
                <w:rPr>
                  <w:rFonts w:hint="eastAsia"/>
                  <w:color w:val="000000" w:themeColor="text1"/>
                </w:rPr>
                <w:t>信用风险，是指金融工具的一方不能履行义务，造成另一方发生财务损失的风险。本集团的信用风险主要来自货币资金、应收款项等。管理层会持续监控这些信用风险的敞口。</w:t>
              </w:r>
            </w:p>
            <w:p w14:paraId="1AF0965C" w14:textId="77777777" w:rsidR="005E000F" w:rsidRDefault="005E000F">
              <w:pPr>
                <w:rPr>
                  <w:color w:val="000000" w:themeColor="text1"/>
                </w:rPr>
              </w:pPr>
            </w:p>
            <w:p w14:paraId="1AC505D7" w14:textId="77777777" w:rsidR="005E000F" w:rsidRDefault="00000000">
              <w:pPr>
                <w:rPr>
                  <w:color w:val="000000" w:themeColor="text1"/>
                </w:rPr>
              </w:pPr>
              <w:r>
                <w:rPr>
                  <w:rFonts w:hint="eastAsia"/>
                  <w:color w:val="000000" w:themeColor="text1"/>
                </w:rPr>
                <w:t>本集团除现金以外的货币资金主要存放于信用良好的金融机构，管理层认为其不存在重大的信用风险，预期不会因为对方违约而给本集团造成损失。</w:t>
              </w:r>
            </w:p>
            <w:p w14:paraId="137DD3D9" w14:textId="77777777" w:rsidR="005E000F" w:rsidRDefault="005E000F">
              <w:pPr>
                <w:rPr>
                  <w:color w:val="000000" w:themeColor="text1"/>
                </w:rPr>
              </w:pPr>
            </w:p>
            <w:p w14:paraId="5D34F9A5" w14:textId="77777777" w:rsidR="005E000F" w:rsidRDefault="00000000">
              <w:pPr>
                <w:rPr>
                  <w:color w:val="000000" w:themeColor="text1"/>
                </w:rPr>
              </w:pPr>
              <w:r>
                <w:rPr>
                  <w:rFonts w:hint="eastAsia"/>
                  <w:color w:val="000000" w:themeColor="text1"/>
                </w:rPr>
                <w:t>对于应收款项，本集团已根据实际情况制定了信用政策，对客户进行信用评估以确定赊销额度与信用期限。信用评估主要根据客户的财务状况、外部评级及银行信用记录</w:t>
              </w:r>
              <w:r>
                <w:rPr>
                  <w:rFonts w:hint="eastAsia"/>
                  <w:color w:val="000000" w:themeColor="text1"/>
                </w:rPr>
                <w:t>(</w:t>
              </w:r>
              <w:r>
                <w:rPr>
                  <w:rFonts w:hint="eastAsia"/>
                  <w:color w:val="000000" w:themeColor="text1"/>
                </w:rPr>
                <w:t>如有可能</w:t>
              </w:r>
              <w:r>
                <w:rPr>
                  <w:rFonts w:hint="eastAsia"/>
                  <w:color w:val="000000" w:themeColor="text1"/>
                </w:rPr>
                <w:t>)</w:t>
              </w:r>
              <w:r>
                <w:rPr>
                  <w:rFonts w:hint="eastAsia"/>
                  <w:color w:val="000000" w:themeColor="text1"/>
                </w:rPr>
                <w:t>。本集团会定期对客户信用记录进行监控，对于信用记录不良的客户，本集团会采用催款、缩短信用期或取消信用期等方式，以确保本集团的整体信用风险在可控的范围内。</w:t>
              </w:r>
            </w:p>
            <w:p w14:paraId="545A0DE9" w14:textId="77777777" w:rsidR="005E000F" w:rsidRDefault="005E000F">
              <w:pPr>
                <w:rPr>
                  <w:color w:val="000000" w:themeColor="text1"/>
                </w:rPr>
              </w:pPr>
            </w:p>
            <w:p w14:paraId="1DD4996F" w14:textId="77777777" w:rsidR="005E000F" w:rsidRDefault="00000000">
              <w:pPr>
                <w:rPr>
                  <w:color w:val="000000" w:themeColor="text1"/>
                </w:rPr>
              </w:pPr>
              <w:r>
                <w:rPr>
                  <w:rFonts w:hint="eastAsia"/>
                  <w:color w:val="000000" w:themeColor="text1"/>
                </w:rPr>
                <w:t>为监控本集团的信用风险，本集团按照账龄、到期日等要素对本集团的客户资料进行分析。</w:t>
              </w:r>
            </w:p>
            <w:p w14:paraId="000EFF7C" w14:textId="77777777" w:rsidR="005E000F" w:rsidRDefault="005E000F">
              <w:pPr>
                <w:rPr>
                  <w:color w:val="000000" w:themeColor="text1"/>
                </w:rPr>
              </w:pPr>
            </w:p>
            <w:p w14:paraId="5A6BE873" w14:textId="77777777" w:rsidR="005E000F" w:rsidRDefault="00000000">
              <w:pPr>
                <w:rPr>
                  <w:color w:val="000000" w:themeColor="text1"/>
                </w:rPr>
              </w:pPr>
              <w:r>
                <w:rPr>
                  <w:rFonts w:hint="eastAsia"/>
                  <w:color w:val="000000" w:themeColor="text1"/>
                </w:rPr>
                <w:t>本集团信用风险主要是</w:t>
              </w:r>
              <w:proofErr w:type="gramStart"/>
              <w:r>
                <w:rPr>
                  <w:rFonts w:hint="eastAsia"/>
                  <w:color w:val="000000" w:themeColor="text1"/>
                </w:rPr>
                <w:t>受每个</w:t>
              </w:r>
              <w:proofErr w:type="gramEnd"/>
              <w:r>
                <w:rPr>
                  <w:rFonts w:hint="eastAsia"/>
                  <w:color w:val="000000" w:themeColor="text1"/>
                </w:rPr>
                <w:t>客户自身特性的影响，而不是客户所在的行业或国家和地区。因此重大信用风险集中的情况主要源自本集团存在对个别客户的重大应收款项。于</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日，本集团的前五大客户的应收款占本集团应收账款和其他应收款总额的</w:t>
              </w:r>
              <w:r>
                <w:rPr>
                  <w:rFonts w:hint="eastAsia"/>
                  <w:color w:val="000000" w:themeColor="text1"/>
                </w:rPr>
                <w:t>84%(2024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w:t>
              </w:r>
              <w:r>
                <w:rPr>
                  <w:rFonts w:hint="eastAsia"/>
                  <w:color w:val="000000" w:themeColor="text1"/>
                </w:rPr>
                <w:t>89%)</w:t>
              </w:r>
              <w:r>
                <w:rPr>
                  <w:rFonts w:hint="eastAsia"/>
                  <w:color w:val="000000" w:themeColor="text1"/>
                </w:rPr>
                <w:t>；此外，本集团未逾期也未减值的应收款项主要是与近期并无违约记录的众多客户有关</w:t>
              </w:r>
              <w:r>
                <w:rPr>
                  <w:color w:val="000000" w:themeColor="text1"/>
                </w:rPr>
                <w:t>。</w:t>
              </w:r>
            </w:p>
            <w:p w14:paraId="78C16AA7" w14:textId="77777777" w:rsidR="005E000F" w:rsidRDefault="005E000F">
              <w:pPr>
                <w:rPr>
                  <w:color w:val="000000" w:themeColor="text1"/>
                </w:rPr>
              </w:pPr>
            </w:p>
            <w:p w14:paraId="2F257F35" w14:textId="77777777" w:rsidR="005E000F" w:rsidRDefault="00000000">
              <w:pPr>
                <w:rPr>
                  <w:color w:val="000000" w:themeColor="text1"/>
                </w:rPr>
              </w:pPr>
              <w:r>
                <w:rPr>
                  <w:color w:val="000000" w:themeColor="text1"/>
                </w:rPr>
                <w:t>2</w:t>
              </w:r>
              <w:r>
                <w:rPr>
                  <w:color w:val="000000" w:themeColor="text1"/>
                </w:rPr>
                <w:t>、流动风险</w:t>
              </w:r>
            </w:p>
            <w:p w14:paraId="4C8DD584" w14:textId="77777777" w:rsidR="005E000F" w:rsidRDefault="00000000">
              <w:pPr>
                <w:rPr>
                  <w:color w:val="000000" w:themeColor="text1"/>
                </w:rPr>
              </w:pPr>
              <w:r>
                <w:rPr>
                  <w:rFonts w:hint="eastAsia"/>
                  <w:color w:val="000000" w:themeColor="text1"/>
                </w:rPr>
                <w:t>流动性风险，是指企业在履行以交付现金或其他金融资产的方式结算义务时发生资金短缺的风险。本公司及各子公司负责自身的现金管理工作，包括现金盈余的短期投资和筹措贷款以应付预计现金需求</w:t>
              </w:r>
              <w:r>
                <w:rPr>
                  <w:rFonts w:hint="eastAsia"/>
                  <w:color w:val="000000" w:themeColor="text1"/>
                </w:rPr>
                <w:t>(</w:t>
              </w:r>
              <w:r>
                <w:rPr>
                  <w:rFonts w:hint="eastAsia"/>
                  <w:color w:val="000000" w:themeColor="text1"/>
                </w:rPr>
                <w:t>如果借款额超过某些预设授权上限，便需获得本公司董事会的批准</w:t>
              </w:r>
              <w:r>
                <w:rPr>
                  <w:rFonts w:hint="eastAsia"/>
                  <w:color w:val="000000" w:themeColor="text1"/>
                </w:rPr>
                <w:t>)</w:t>
              </w:r>
              <w:r>
                <w:rPr>
                  <w:rFonts w:hint="eastAsia"/>
                  <w:color w:val="000000" w:themeColor="text1"/>
                </w:rPr>
                <w:t>。本集团的政策是定期监控短期和长期的流动资金需求，以及是否符合借款协议的规定，以确保维持充裕的现金储备</w:t>
              </w:r>
              <w:r>
                <w:rPr>
                  <w:rFonts w:hint="eastAsia"/>
                  <w:color w:val="000000" w:themeColor="text1"/>
                </w:rPr>
                <w:lastRenderedPageBreak/>
                <w:t>和可供随时变现的有价证券，同时获得主要金融机构承诺提供足够的备用资金，以满足短期和较长期的流动资金需求。</w:t>
              </w:r>
            </w:p>
            <w:p w14:paraId="78450ACE" w14:textId="77777777" w:rsidR="005E000F" w:rsidRDefault="005E000F">
              <w:pPr>
                <w:rPr>
                  <w:color w:val="000000" w:themeColor="text1"/>
                </w:rPr>
              </w:pPr>
            </w:p>
            <w:p w14:paraId="0BBC8995" w14:textId="77777777" w:rsidR="005E000F" w:rsidRDefault="00000000">
              <w:pPr>
                <w:rPr>
                  <w:color w:val="000000" w:themeColor="text1"/>
                </w:rPr>
              </w:pPr>
              <w:r>
                <w:rPr>
                  <w:rFonts w:hint="eastAsia"/>
                  <w:color w:val="000000" w:themeColor="text1"/>
                </w:rPr>
                <w:t>本集团于资产负债表日的金融负债按未折现的合同现金流量</w:t>
              </w:r>
              <w:r>
                <w:rPr>
                  <w:rFonts w:hint="eastAsia"/>
                  <w:color w:val="000000" w:themeColor="text1"/>
                </w:rPr>
                <w:t>(</w:t>
              </w:r>
              <w:r>
                <w:rPr>
                  <w:rFonts w:hint="eastAsia"/>
                  <w:color w:val="000000" w:themeColor="text1"/>
                </w:rPr>
                <w:t>包括按合同利率</w:t>
              </w:r>
              <w:r>
                <w:rPr>
                  <w:rFonts w:hint="eastAsia"/>
                  <w:color w:val="000000" w:themeColor="text1"/>
                </w:rPr>
                <w:t>(</w:t>
              </w:r>
              <w:r>
                <w:rPr>
                  <w:rFonts w:hint="eastAsia"/>
                  <w:color w:val="000000" w:themeColor="text1"/>
                </w:rPr>
                <w:t>如果是浮动利率则按</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日的现行利率</w:t>
              </w:r>
              <w:r>
                <w:rPr>
                  <w:rFonts w:hint="eastAsia"/>
                  <w:color w:val="000000" w:themeColor="text1"/>
                </w:rPr>
                <w:t>)</w:t>
              </w:r>
              <w:r>
                <w:rPr>
                  <w:rFonts w:hint="eastAsia"/>
                  <w:color w:val="000000" w:themeColor="text1"/>
                </w:rPr>
                <w:t>计算的利息</w:t>
              </w:r>
              <w:r>
                <w:rPr>
                  <w:rFonts w:hint="eastAsia"/>
                  <w:color w:val="000000" w:themeColor="text1"/>
                </w:rPr>
                <w:t>)</w:t>
              </w:r>
              <w:r>
                <w:rPr>
                  <w:rFonts w:hint="eastAsia"/>
                  <w:color w:val="000000" w:themeColor="text1"/>
                </w:rPr>
                <w:t>的剩余合约期限，以及被要求支付的最早日期如下</w:t>
              </w:r>
              <w:r>
                <w:rPr>
                  <w:color w:val="000000" w:themeColor="text1"/>
                </w:rPr>
                <w:t>：</w:t>
              </w:r>
            </w:p>
            <w:p w14:paraId="5AF6DFA3" w14:textId="77777777" w:rsidR="005E000F" w:rsidRDefault="005E000F">
              <w:pPr>
                <w:rPr>
                  <w:color w:val="000000" w:themeColor="text1"/>
                </w:rPr>
              </w:pPr>
            </w:p>
            <w:p w14:paraId="4BEE4722" w14:textId="77777777" w:rsidR="005E000F" w:rsidRDefault="00000000">
              <w:pPr>
                <w:jc w:val="right"/>
                <w:rPr>
                  <w:color w:val="000000" w:themeColor="text1"/>
                </w:rPr>
              </w:pPr>
              <w:r>
                <w:rPr>
                  <w:color w:val="000000" w:themeColor="text1"/>
                </w:rPr>
                <w:t>单位：</w:t>
              </w:r>
              <w:sdt>
                <w:sdtPr>
                  <w:rPr>
                    <w:color w:val="000000" w:themeColor="text1"/>
                  </w:rPr>
                  <w:alias w:val="单位：公司开展符合条件套期业务并应用套期会计情况"/>
                  <w:tag w:val="_GBC_bfd7b01a97204220b03ebac1772fb343"/>
                  <w:id w:val="147470703"/>
                  <w:placeholder>
                    <w:docPart w:val="{b89ddb78-3fac-48c8-95ea-2de0c32abf4b}"/>
                  </w:placeholder>
                  <w:comboBox>
                    <w:listItem w:displayText="元" w:value="元"/>
                    <w:listItem w:displayText="千元" w:value="千元"/>
                    <w:listItem w:displayText="万元" w:value="万元"/>
                    <w:listItem w:displayText="百万元" w:value="百万元"/>
                    <w:listItem w:displayText="亿元" w:value="亿元"/>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公司开展符合条件套期业务并应用套期会计情况"/>
                  <w:tag w:val="_GBC_6e7bea5508ea41c585a6d67d9c8aa35e"/>
                  <w:id w:val="147474511"/>
                  <w:placeholder>
                    <w:docPart w:val="{b89ddb78-3fac-48c8-95ea-2de0c32abf4b}"/>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488"/>
                <w:gridCol w:w="1264"/>
                <w:gridCol w:w="1251"/>
                <w:gridCol w:w="1251"/>
                <w:gridCol w:w="1341"/>
                <w:gridCol w:w="1341"/>
              </w:tblGrid>
              <w:tr w:rsidR="005E000F" w14:paraId="2C9965F8" w14:textId="77777777">
                <w:tc>
                  <w:tcPr>
                    <w:tcW w:w="1113" w:type="dxa"/>
                    <w:vMerge w:val="restart"/>
                    <w:vAlign w:val="center"/>
                  </w:tcPr>
                  <w:p w14:paraId="0F2BB1CE" w14:textId="77777777" w:rsidR="005E000F" w:rsidRDefault="00000000">
                    <w:pPr>
                      <w:widowControl w:val="0"/>
                      <w:jc w:val="center"/>
                      <w:rPr>
                        <w:color w:val="000000" w:themeColor="text1"/>
                        <w:sz w:val="18"/>
                        <w:szCs w:val="18"/>
                      </w:rPr>
                    </w:pPr>
                    <w:r>
                      <w:rPr>
                        <w:color w:val="000000" w:themeColor="text1"/>
                        <w:sz w:val="18"/>
                        <w:szCs w:val="18"/>
                      </w:rPr>
                      <w:t>项目</w:t>
                    </w:r>
                  </w:p>
                </w:tc>
                <w:tc>
                  <w:tcPr>
                    <w:tcW w:w="7936" w:type="dxa"/>
                    <w:gridSpan w:val="6"/>
                    <w:vAlign w:val="center"/>
                  </w:tcPr>
                  <w:p w14:paraId="1A50E622" w14:textId="77777777" w:rsidR="005E000F" w:rsidRDefault="00000000">
                    <w:pPr>
                      <w:widowControl w:val="0"/>
                      <w:jc w:val="center"/>
                      <w:rPr>
                        <w:sz w:val="18"/>
                        <w:szCs w:val="18"/>
                      </w:rPr>
                    </w:pPr>
                    <w:r>
                      <w:rPr>
                        <w:color w:val="000000" w:themeColor="text1"/>
                        <w:sz w:val="18"/>
                        <w:szCs w:val="18"/>
                      </w:rPr>
                      <w:t>2025</w:t>
                    </w:r>
                    <w:r>
                      <w:rPr>
                        <w:color w:val="000000" w:themeColor="text1"/>
                        <w:sz w:val="18"/>
                        <w:szCs w:val="18"/>
                      </w:rPr>
                      <w:t>年未折现的合同现金流量</w:t>
                    </w:r>
                  </w:p>
                </w:tc>
              </w:tr>
              <w:tr w:rsidR="005E000F" w14:paraId="12920604" w14:textId="77777777">
                <w:tc>
                  <w:tcPr>
                    <w:tcW w:w="1113" w:type="dxa"/>
                    <w:vMerge/>
                  </w:tcPr>
                  <w:p w14:paraId="13E996BD" w14:textId="77777777" w:rsidR="005E000F" w:rsidRDefault="005E000F">
                    <w:pPr>
                      <w:widowControl w:val="0"/>
                      <w:jc w:val="both"/>
                      <w:rPr>
                        <w:sz w:val="18"/>
                        <w:szCs w:val="18"/>
                      </w:rPr>
                    </w:pPr>
                  </w:p>
                </w:tc>
                <w:tc>
                  <w:tcPr>
                    <w:tcW w:w="1488" w:type="dxa"/>
                  </w:tcPr>
                  <w:p w14:paraId="03489A9E" w14:textId="77777777" w:rsidR="005E000F" w:rsidRDefault="00000000">
                    <w:pPr>
                      <w:widowControl w:val="0"/>
                      <w:jc w:val="both"/>
                      <w:rPr>
                        <w:sz w:val="18"/>
                        <w:szCs w:val="18"/>
                      </w:rPr>
                    </w:pPr>
                    <w:r>
                      <w:rPr>
                        <w:sz w:val="18"/>
                        <w:szCs w:val="18"/>
                      </w:rPr>
                      <w:t>1</w:t>
                    </w:r>
                    <w:r>
                      <w:rPr>
                        <w:sz w:val="18"/>
                        <w:szCs w:val="18"/>
                      </w:rPr>
                      <w:t>年内或实时偿还</w:t>
                    </w:r>
                  </w:p>
                </w:tc>
                <w:tc>
                  <w:tcPr>
                    <w:tcW w:w="1264" w:type="dxa"/>
                  </w:tcPr>
                  <w:p w14:paraId="13605D98" w14:textId="77777777" w:rsidR="005E000F" w:rsidRDefault="00000000">
                    <w:pPr>
                      <w:widowControl w:val="0"/>
                      <w:jc w:val="both"/>
                      <w:rPr>
                        <w:sz w:val="18"/>
                        <w:szCs w:val="18"/>
                      </w:rPr>
                    </w:pPr>
                    <w:r>
                      <w:rPr>
                        <w:sz w:val="18"/>
                        <w:szCs w:val="18"/>
                      </w:rPr>
                      <w:t>1</w:t>
                    </w:r>
                    <w:r>
                      <w:rPr>
                        <w:sz w:val="18"/>
                        <w:szCs w:val="18"/>
                      </w:rPr>
                      <w:t>年至</w:t>
                    </w:r>
                    <w:r>
                      <w:rPr>
                        <w:sz w:val="18"/>
                        <w:szCs w:val="18"/>
                      </w:rPr>
                      <w:t>2</w:t>
                    </w:r>
                    <w:r>
                      <w:rPr>
                        <w:sz w:val="18"/>
                        <w:szCs w:val="18"/>
                      </w:rPr>
                      <w:t>年</w:t>
                    </w:r>
                  </w:p>
                </w:tc>
                <w:tc>
                  <w:tcPr>
                    <w:tcW w:w="1251" w:type="dxa"/>
                  </w:tcPr>
                  <w:p w14:paraId="72F33A8E" w14:textId="77777777" w:rsidR="005E000F" w:rsidRDefault="00000000">
                    <w:pPr>
                      <w:widowControl w:val="0"/>
                      <w:jc w:val="both"/>
                      <w:rPr>
                        <w:sz w:val="18"/>
                        <w:szCs w:val="18"/>
                      </w:rPr>
                    </w:pPr>
                    <w:r>
                      <w:rPr>
                        <w:sz w:val="18"/>
                        <w:szCs w:val="18"/>
                      </w:rPr>
                      <w:t>2</w:t>
                    </w:r>
                    <w:r>
                      <w:rPr>
                        <w:sz w:val="18"/>
                        <w:szCs w:val="18"/>
                      </w:rPr>
                      <w:t>年至</w:t>
                    </w:r>
                    <w:r>
                      <w:rPr>
                        <w:sz w:val="18"/>
                        <w:szCs w:val="18"/>
                      </w:rPr>
                      <w:t>5</w:t>
                    </w:r>
                    <w:r>
                      <w:rPr>
                        <w:sz w:val="18"/>
                        <w:szCs w:val="18"/>
                      </w:rPr>
                      <w:t>年</w:t>
                    </w:r>
                  </w:p>
                </w:tc>
                <w:tc>
                  <w:tcPr>
                    <w:tcW w:w="1251" w:type="dxa"/>
                  </w:tcPr>
                  <w:p w14:paraId="781A3C1D" w14:textId="77777777" w:rsidR="005E000F" w:rsidRDefault="00000000">
                    <w:pPr>
                      <w:widowControl w:val="0"/>
                      <w:jc w:val="both"/>
                      <w:rPr>
                        <w:sz w:val="18"/>
                        <w:szCs w:val="18"/>
                      </w:rPr>
                    </w:pPr>
                    <w:r>
                      <w:rPr>
                        <w:sz w:val="18"/>
                        <w:szCs w:val="18"/>
                      </w:rPr>
                      <w:t>5</w:t>
                    </w:r>
                    <w:r>
                      <w:rPr>
                        <w:sz w:val="18"/>
                        <w:szCs w:val="18"/>
                      </w:rPr>
                      <w:t>年以上</w:t>
                    </w:r>
                  </w:p>
                </w:tc>
                <w:tc>
                  <w:tcPr>
                    <w:tcW w:w="1341" w:type="dxa"/>
                  </w:tcPr>
                  <w:p w14:paraId="21811F58" w14:textId="77777777" w:rsidR="005E000F" w:rsidRDefault="00000000">
                    <w:pPr>
                      <w:widowControl w:val="0"/>
                      <w:jc w:val="both"/>
                      <w:rPr>
                        <w:sz w:val="18"/>
                        <w:szCs w:val="18"/>
                      </w:rPr>
                    </w:pPr>
                    <w:r>
                      <w:rPr>
                        <w:sz w:val="18"/>
                        <w:szCs w:val="18"/>
                      </w:rPr>
                      <w:t>合计</w:t>
                    </w:r>
                  </w:p>
                </w:tc>
                <w:tc>
                  <w:tcPr>
                    <w:tcW w:w="1341" w:type="dxa"/>
                  </w:tcPr>
                  <w:p w14:paraId="719C41B7" w14:textId="77777777" w:rsidR="005E000F" w:rsidRDefault="00000000">
                    <w:pPr>
                      <w:widowControl w:val="0"/>
                      <w:jc w:val="both"/>
                      <w:rPr>
                        <w:sz w:val="18"/>
                        <w:szCs w:val="18"/>
                      </w:rPr>
                    </w:pPr>
                    <w:r>
                      <w:rPr>
                        <w:sz w:val="18"/>
                        <w:szCs w:val="18"/>
                      </w:rPr>
                      <w:t>账面价值</w:t>
                    </w:r>
                  </w:p>
                </w:tc>
              </w:tr>
              <w:tr w:rsidR="005E000F" w14:paraId="4F3CF83D" w14:textId="77777777">
                <w:tc>
                  <w:tcPr>
                    <w:tcW w:w="1113" w:type="dxa"/>
                    <w:vAlign w:val="center"/>
                  </w:tcPr>
                  <w:p w14:paraId="06FD76BD" w14:textId="77777777" w:rsidR="005E000F" w:rsidRDefault="00000000">
                    <w:pPr>
                      <w:widowControl w:val="0"/>
                      <w:jc w:val="both"/>
                      <w:rPr>
                        <w:sz w:val="18"/>
                        <w:szCs w:val="18"/>
                      </w:rPr>
                    </w:pPr>
                    <w:r>
                      <w:rPr>
                        <w:sz w:val="18"/>
                        <w:szCs w:val="18"/>
                      </w:rPr>
                      <w:t>短期借款</w:t>
                    </w:r>
                  </w:p>
                </w:tc>
                <w:tc>
                  <w:tcPr>
                    <w:tcW w:w="1488" w:type="dxa"/>
                    <w:vAlign w:val="center"/>
                  </w:tcPr>
                  <w:p w14:paraId="44C0D560" w14:textId="77777777" w:rsidR="005E000F" w:rsidRDefault="00000000">
                    <w:pPr>
                      <w:widowControl w:val="0"/>
                      <w:jc w:val="right"/>
                      <w:rPr>
                        <w:sz w:val="18"/>
                        <w:szCs w:val="18"/>
                      </w:rPr>
                    </w:pPr>
                    <w:r>
                      <w:rPr>
                        <w:sz w:val="18"/>
                        <w:szCs w:val="18"/>
                      </w:rPr>
                      <w:t>291,321,647</w:t>
                    </w:r>
                  </w:p>
                </w:tc>
                <w:tc>
                  <w:tcPr>
                    <w:tcW w:w="1264" w:type="dxa"/>
                    <w:vAlign w:val="center"/>
                  </w:tcPr>
                  <w:p w14:paraId="34C69DDD" w14:textId="77777777" w:rsidR="005E000F" w:rsidRDefault="00000000">
                    <w:pPr>
                      <w:widowControl w:val="0"/>
                      <w:jc w:val="right"/>
                      <w:rPr>
                        <w:sz w:val="18"/>
                        <w:szCs w:val="18"/>
                      </w:rPr>
                    </w:pPr>
                    <w:r>
                      <w:rPr>
                        <w:sz w:val="18"/>
                        <w:szCs w:val="18"/>
                      </w:rPr>
                      <w:t>0</w:t>
                    </w:r>
                  </w:p>
                </w:tc>
                <w:tc>
                  <w:tcPr>
                    <w:tcW w:w="1251" w:type="dxa"/>
                    <w:vAlign w:val="center"/>
                  </w:tcPr>
                  <w:p w14:paraId="42A306E5" w14:textId="77777777" w:rsidR="005E000F" w:rsidRDefault="00000000">
                    <w:pPr>
                      <w:widowControl w:val="0"/>
                      <w:jc w:val="right"/>
                      <w:rPr>
                        <w:sz w:val="18"/>
                        <w:szCs w:val="18"/>
                      </w:rPr>
                    </w:pPr>
                    <w:r>
                      <w:rPr>
                        <w:sz w:val="18"/>
                        <w:szCs w:val="18"/>
                      </w:rPr>
                      <w:t>0</w:t>
                    </w:r>
                  </w:p>
                </w:tc>
                <w:tc>
                  <w:tcPr>
                    <w:tcW w:w="1251" w:type="dxa"/>
                    <w:vAlign w:val="center"/>
                  </w:tcPr>
                  <w:p w14:paraId="034C5058" w14:textId="77777777" w:rsidR="005E000F" w:rsidRDefault="00000000">
                    <w:pPr>
                      <w:widowControl w:val="0"/>
                      <w:jc w:val="right"/>
                      <w:rPr>
                        <w:sz w:val="18"/>
                        <w:szCs w:val="18"/>
                      </w:rPr>
                    </w:pPr>
                    <w:r>
                      <w:rPr>
                        <w:sz w:val="18"/>
                        <w:szCs w:val="18"/>
                      </w:rPr>
                      <w:t>0</w:t>
                    </w:r>
                  </w:p>
                </w:tc>
                <w:tc>
                  <w:tcPr>
                    <w:tcW w:w="1341" w:type="dxa"/>
                    <w:vAlign w:val="center"/>
                  </w:tcPr>
                  <w:p w14:paraId="21B2E895" w14:textId="77777777" w:rsidR="005E000F" w:rsidRDefault="00000000">
                    <w:pPr>
                      <w:widowControl w:val="0"/>
                      <w:jc w:val="right"/>
                      <w:rPr>
                        <w:sz w:val="18"/>
                        <w:szCs w:val="18"/>
                      </w:rPr>
                    </w:pPr>
                    <w:r>
                      <w:rPr>
                        <w:sz w:val="18"/>
                        <w:szCs w:val="18"/>
                      </w:rPr>
                      <w:t>291,321,647</w:t>
                    </w:r>
                  </w:p>
                </w:tc>
                <w:tc>
                  <w:tcPr>
                    <w:tcW w:w="1341" w:type="dxa"/>
                    <w:vAlign w:val="center"/>
                  </w:tcPr>
                  <w:p w14:paraId="679160D7" w14:textId="77777777" w:rsidR="005E000F" w:rsidRDefault="00000000">
                    <w:pPr>
                      <w:widowControl w:val="0"/>
                      <w:jc w:val="right"/>
                      <w:rPr>
                        <w:sz w:val="18"/>
                        <w:szCs w:val="18"/>
                      </w:rPr>
                    </w:pPr>
                    <w:r>
                      <w:rPr>
                        <w:sz w:val="18"/>
                        <w:szCs w:val="18"/>
                      </w:rPr>
                      <w:t>289,147,358</w:t>
                    </w:r>
                  </w:p>
                </w:tc>
              </w:tr>
              <w:tr w:rsidR="005E000F" w14:paraId="68279EE9" w14:textId="77777777">
                <w:tc>
                  <w:tcPr>
                    <w:tcW w:w="1113" w:type="dxa"/>
                  </w:tcPr>
                  <w:p w14:paraId="710C17B8" w14:textId="77777777" w:rsidR="005E000F" w:rsidRDefault="00000000">
                    <w:pPr>
                      <w:widowControl w:val="0"/>
                      <w:jc w:val="both"/>
                      <w:rPr>
                        <w:sz w:val="18"/>
                        <w:szCs w:val="18"/>
                      </w:rPr>
                    </w:pPr>
                    <w:r>
                      <w:rPr>
                        <w:sz w:val="18"/>
                        <w:szCs w:val="18"/>
                      </w:rPr>
                      <w:t>应付票据</w:t>
                    </w:r>
                  </w:p>
                </w:tc>
                <w:tc>
                  <w:tcPr>
                    <w:tcW w:w="1488" w:type="dxa"/>
                    <w:vAlign w:val="center"/>
                  </w:tcPr>
                  <w:p w14:paraId="77F6ECB2" w14:textId="77777777" w:rsidR="005E000F" w:rsidRDefault="00000000">
                    <w:pPr>
                      <w:widowControl w:val="0"/>
                      <w:jc w:val="right"/>
                      <w:rPr>
                        <w:sz w:val="18"/>
                        <w:szCs w:val="18"/>
                      </w:rPr>
                    </w:pPr>
                    <w:r>
                      <w:rPr>
                        <w:sz w:val="18"/>
                        <w:szCs w:val="18"/>
                      </w:rPr>
                      <w:t>131,262,922</w:t>
                    </w:r>
                  </w:p>
                </w:tc>
                <w:tc>
                  <w:tcPr>
                    <w:tcW w:w="1264" w:type="dxa"/>
                    <w:vAlign w:val="center"/>
                  </w:tcPr>
                  <w:p w14:paraId="56E3566F" w14:textId="77777777" w:rsidR="005E000F" w:rsidRDefault="00000000">
                    <w:pPr>
                      <w:widowControl w:val="0"/>
                      <w:jc w:val="right"/>
                      <w:rPr>
                        <w:sz w:val="18"/>
                        <w:szCs w:val="18"/>
                      </w:rPr>
                    </w:pPr>
                    <w:r>
                      <w:rPr>
                        <w:sz w:val="18"/>
                        <w:szCs w:val="18"/>
                      </w:rPr>
                      <w:t>0</w:t>
                    </w:r>
                  </w:p>
                </w:tc>
                <w:tc>
                  <w:tcPr>
                    <w:tcW w:w="1251" w:type="dxa"/>
                    <w:vAlign w:val="center"/>
                  </w:tcPr>
                  <w:p w14:paraId="6A77BE35" w14:textId="77777777" w:rsidR="005E000F" w:rsidRDefault="00000000">
                    <w:pPr>
                      <w:widowControl w:val="0"/>
                      <w:jc w:val="right"/>
                      <w:rPr>
                        <w:sz w:val="18"/>
                        <w:szCs w:val="18"/>
                      </w:rPr>
                    </w:pPr>
                    <w:r>
                      <w:rPr>
                        <w:sz w:val="18"/>
                        <w:szCs w:val="18"/>
                      </w:rPr>
                      <w:t>0</w:t>
                    </w:r>
                  </w:p>
                </w:tc>
                <w:tc>
                  <w:tcPr>
                    <w:tcW w:w="1251" w:type="dxa"/>
                    <w:vAlign w:val="center"/>
                  </w:tcPr>
                  <w:p w14:paraId="0EC8E7F3" w14:textId="77777777" w:rsidR="005E000F" w:rsidRDefault="00000000">
                    <w:pPr>
                      <w:widowControl w:val="0"/>
                      <w:jc w:val="right"/>
                      <w:rPr>
                        <w:sz w:val="18"/>
                        <w:szCs w:val="18"/>
                      </w:rPr>
                    </w:pPr>
                    <w:r>
                      <w:rPr>
                        <w:sz w:val="18"/>
                        <w:szCs w:val="18"/>
                      </w:rPr>
                      <w:t>0</w:t>
                    </w:r>
                  </w:p>
                </w:tc>
                <w:tc>
                  <w:tcPr>
                    <w:tcW w:w="1341" w:type="dxa"/>
                    <w:vAlign w:val="center"/>
                  </w:tcPr>
                  <w:p w14:paraId="4C770FF2" w14:textId="77777777" w:rsidR="005E000F" w:rsidRDefault="00000000">
                    <w:pPr>
                      <w:widowControl w:val="0"/>
                      <w:jc w:val="right"/>
                      <w:rPr>
                        <w:sz w:val="18"/>
                        <w:szCs w:val="18"/>
                      </w:rPr>
                    </w:pPr>
                    <w:r>
                      <w:rPr>
                        <w:sz w:val="18"/>
                        <w:szCs w:val="18"/>
                      </w:rPr>
                      <w:t>131,262,922</w:t>
                    </w:r>
                  </w:p>
                </w:tc>
                <w:tc>
                  <w:tcPr>
                    <w:tcW w:w="1341" w:type="dxa"/>
                    <w:vAlign w:val="center"/>
                  </w:tcPr>
                  <w:p w14:paraId="0EAB9960" w14:textId="77777777" w:rsidR="005E000F" w:rsidRDefault="00000000">
                    <w:pPr>
                      <w:widowControl w:val="0"/>
                      <w:jc w:val="right"/>
                      <w:rPr>
                        <w:sz w:val="18"/>
                        <w:szCs w:val="18"/>
                      </w:rPr>
                    </w:pPr>
                    <w:r>
                      <w:rPr>
                        <w:sz w:val="18"/>
                        <w:szCs w:val="18"/>
                      </w:rPr>
                      <w:t>131,262,922</w:t>
                    </w:r>
                  </w:p>
                </w:tc>
              </w:tr>
              <w:tr w:rsidR="005E000F" w14:paraId="20E02454" w14:textId="77777777">
                <w:tc>
                  <w:tcPr>
                    <w:tcW w:w="1113" w:type="dxa"/>
                  </w:tcPr>
                  <w:p w14:paraId="530842D6" w14:textId="77777777" w:rsidR="005E000F" w:rsidRDefault="00000000">
                    <w:pPr>
                      <w:widowControl w:val="0"/>
                      <w:jc w:val="both"/>
                      <w:rPr>
                        <w:sz w:val="18"/>
                        <w:szCs w:val="18"/>
                      </w:rPr>
                    </w:pPr>
                    <w:r>
                      <w:rPr>
                        <w:sz w:val="18"/>
                        <w:szCs w:val="18"/>
                      </w:rPr>
                      <w:t>应付账款</w:t>
                    </w:r>
                  </w:p>
                </w:tc>
                <w:tc>
                  <w:tcPr>
                    <w:tcW w:w="1488" w:type="dxa"/>
                    <w:vAlign w:val="center"/>
                  </w:tcPr>
                  <w:p w14:paraId="7EF8DEAF" w14:textId="77777777" w:rsidR="005E000F" w:rsidRDefault="00000000">
                    <w:pPr>
                      <w:widowControl w:val="0"/>
                      <w:jc w:val="right"/>
                      <w:rPr>
                        <w:sz w:val="18"/>
                        <w:szCs w:val="18"/>
                      </w:rPr>
                    </w:pPr>
                    <w:r>
                      <w:rPr>
                        <w:sz w:val="18"/>
                        <w:szCs w:val="18"/>
                      </w:rPr>
                      <w:t>5,138,916,834</w:t>
                    </w:r>
                  </w:p>
                </w:tc>
                <w:tc>
                  <w:tcPr>
                    <w:tcW w:w="1264" w:type="dxa"/>
                    <w:vAlign w:val="center"/>
                  </w:tcPr>
                  <w:p w14:paraId="2C83E2B3" w14:textId="77777777" w:rsidR="005E000F" w:rsidRDefault="00000000">
                    <w:pPr>
                      <w:widowControl w:val="0"/>
                      <w:jc w:val="right"/>
                      <w:rPr>
                        <w:sz w:val="18"/>
                        <w:szCs w:val="18"/>
                      </w:rPr>
                    </w:pPr>
                    <w:r>
                      <w:rPr>
                        <w:sz w:val="18"/>
                        <w:szCs w:val="18"/>
                      </w:rPr>
                      <w:t>0</w:t>
                    </w:r>
                  </w:p>
                </w:tc>
                <w:tc>
                  <w:tcPr>
                    <w:tcW w:w="1251" w:type="dxa"/>
                    <w:vAlign w:val="center"/>
                  </w:tcPr>
                  <w:p w14:paraId="5A9CC212" w14:textId="77777777" w:rsidR="005E000F" w:rsidRDefault="00000000">
                    <w:pPr>
                      <w:widowControl w:val="0"/>
                      <w:jc w:val="right"/>
                      <w:rPr>
                        <w:sz w:val="18"/>
                        <w:szCs w:val="18"/>
                      </w:rPr>
                    </w:pPr>
                    <w:r>
                      <w:rPr>
                        <w:sz w:val="18"/>
                        <w:szCs w:val="18"/>
                      </w:rPr>
                      <w:t>0</w:t>
                    </w:r>
                  </w:p>
                </w:tc>
                <w:tc>
                  <w:tcPr>
                    <w:tcW w:w="1251" w:type="dxa"/>
                    <w:vAlign w:val="center"/>
                  </w:tcPr>
                  <w:p w14:paraId="4ACE0C99" w14:textId="77777777" w:rsidR="005E000F" w:rsidRDefault="00000000">
                    <w:pPr>
                      <w:widowControl w:val="0"/>
                      <w:jc w:val="right"/>
                      <w:rPr>
                        <w:sz w:val="18"/>
                        <w:szCs w:val="18"/>
                      </w:rPr>
                    </w:pPr>
                    <w:r>
                      <w:rPr>
                        <w:sz w:val="18"/>
                        <w:szCs w:val="18"/>
                      </w:rPr>
                      <w:t>0</w:t>
                    </w:r>
                  </w:p>
                </w:tc>
                <w:tc>
                  <w:tcPr>
                    <w:tcW w:w="1341" w:type="dxa"/>
                    <w:vAlign w:val="center"/>
                  </w:tcPr>
                  <w:p w14:paraId="5DC61E2D" w14:textId="77777777" w:rsidR="005E000F" w:rsidRDefault="00000000">
                    <w:pPr>
                      <w:widowControl w:val="0"/>
                      <w:jc w:val="right"/>
                      <w:rPr>
                        <w:sz w:val="18"/>
                        <w:szCs w:val="18"/>
                      </w:rPr>
                    </w:pPr>
                    <w:r>
                      <w:rPr>
                        <w:sz w:val="18"/>
                        <w:szCs w:val="18"/>
                      </w:rPr>
                      <w:t>5,138,916,834</w:t>
                    </w:r>
                  </w:p>
                </w:tc>
                <w:tc>
                  <w:tcPr>
                    <w:tcW w:w="1341" w:type="dxa"/>
                    <w:vAlign w:val="center"/>
                  </w:tcPr>
                  <w:p w14:paraId="148080F6" w14:textId="77777777" w:rsidR="005E000F" w:rsidRDefault="00000000">
                    <w:pPr>
                      <w:widowControl w:val="0"/>
                      <w:jc w:val="right"/>
                      <w:rPr>
                        <w:sz w:val="18"/>
                        <w:szCs w:val="18"/>
                      </w:rPr>
                    </w:pPr>
                    <w:r>
                      <w:rPr>
                        <w:sz w:val="18"/>
                        <w:szCs w:val="18"/>
                      </w:rPr>
                      <w:t>5,138,916,834</w:t>
                    </w:r>
                  </w:p>
                </w:tc>
              </w:tr>
              <w:tr w:rsidR="005E000F" w14:paraId="6A9CFFB4" w14:textId="77777777">
                <w:tc>
                  <w:tcPr>
                    <w:tcW w:w="1113" w:type="dxa"/>
                  </w:tcPr>
                  <w:p w14:paraId="51DE5E84" w14:textId="77777777" w:rsidR="005E000F" w:rsidRDefault="00000000">
                    <w:pPr>
                      <w:widowControl w:val="0"/>
                      <w:jc w:val="both"/>
                      <w:rPr>
                        <w:sz w:val="18"/>
                        <w:szCs w:val="18"/>
                      </w:rPr>
                    </w:pPr>
                    <w:r>
                      <w:rPr>
                        <w:sz w:val="18"/>
                        <w:szCs w:val="18"/>
                      </w:rPr>
                      <w:t>其他应付款</w:t>
                    </w:r>
                  </w:p>
                </w:tc>
                <w:tc>
                  <w:tcPr>
                    <w:tcW w:w="1488" w:type="dxa"/>
                    <w:vAlign w:val="center"/>
                  </w:tcPr>
                  <w:p w14:paraId="5ADCCA0A" w14:textId="77777777" w:rsidR="005E000F" w:rsidRDefault="00000000">
                    <w:pPr>
                      <w:widowControl w:val="0"/>
                      <w:jc w:val="right"/>
                      <w:rPr>
                        <w:sz w:val="18"/>
                        <w:szCs w:val="18"/>
                      </w:rPr>
                    </w:pPr>
                    <w:r>
                      <w:rPr>
                        <w:sz w:val="18"/>
                        <w:szCs w:val="18"/>
                      </w:rPr>
                      <w:t>4,461,623,443</w:t>
                    </w:r>
                  </w:p>
                </w:tc>
                <w:tc>
                  <w:tcPr>
                    <w:tcW w:w="1264" w:type="dxa"/>
                    <w:vAlign w:val="center"/>
                  </w:tcPr>
                  <w:p w14:paraId="633FC489" w14:textId="77777777" w:rsidR="005E000F" w:rsidRDefault="00000000">
                    <w:pPr>
                      <w:widowControl w:val="0"/>
                      <w:jc w:val="right"/>
                      <w:rPr>
                        <w:sz w:val="18"/>
                        <w:szCs w:val="18"/>
                      </w:rPr>
                    </w:pPr>
                    <w:r>
                      <w:rPr>
                        <w:sz w:val="18"/>
                        <w:szCs w:val="18"/>
                      </w:rPr>
                      <w:t>0</w:t>
                    </w:r>
                  </w:p>
                </w:tc>
                <w:tc>
                  <w:tcPr>
                    <w:tcW w:w="1251" w:type="dxa"/>
                    <w:vAlign w:val="center"/>
                  </w:tcPr>
                  <w:p w14:paraId="2063B2FC" w14:textId="77777777" w:rsidR="005E000F" w:rsidRDefault="00000000">
                    <w:pPr>
                      <w:widowControl w:val="0"/>
                      <w:jc w:val="right"/>
                      <w:rPr>
                        <w:sz w:val="18"/>
                        <w:szCs w:val="18"/>
                      </w:rPr>
                    </w:pPr>
                    <w:r>
                      <w:rPr>
                        <w:sz w:val="18"/>
                        <w:szCs w:val="18"/>
                      </w:rPr>
                      <w:t>0</w:t>
                    </w:r>
                  </w:p>
                </w:tc>
                <w:tc>
                  <w:tcPr>
                    <w:tcW w:w="1251" w:type="dxa"/>
                    <w:vAlign w:val="center"/>
                  </w:tcPr>
                  <w:p w14:paraId="2BD620A6" w14:textId="77777777" w:rsidR="005E000F" w:rsidRDefault="00000000">
                    <w:pPr>
                      <w:widowControl w:val="0"/>
                      <w:jc w:val="right"/>
                      <w:rPr>
                        <w:sz w:val="18"/>
                        <w:szCs w:val="18"/>
                      </w:rPr>
                    </w:pPr>
                    <w:r>
                      <w:rPr>
                        <w:sz w:val="18"/>
                        <w:szCs w:val="18"/>
                      </w:rPr>
                      <w:t>0</w:t>
                    </w:r>
                  </w:p>
                </w:tc>
                <w:tc>
                  <w:tcPr>
                    <w:tcW w:w="1341" w:type="dxa"/>
                    <w:vAlign w:val="center"/>
                  </w:tcPr>
                  <w:p w14:paraId="50AF557F" w14:textId="77777777" w:rsidR="005E000F" w:rsidRDefault="00000000">
                    <w:pPr>
                      <w:widowControl w:val="0"/>
                      <w:jc w:val="right"/>
                      <w:rPr>
                        <w:sz w:val="18"/>
                        <w:szCs w:val="18"/>
                      </w:rPr>
                    </w:pPr>
                    <w:r>
                      <w:rPr>
                        <w:sz w:val="18"/>
                        <w:szCs w:val="18"/>
                      </w:rPr>
                      <w:t>4,461,623,443</w:t>
                    </w:r>
                  </w:p>
                </w:tc>
                <w:tc>
                  <w:tcPr>
                    <w:tcW w:w="1341" w:type="dxa"/>
                    <w:vAlign w:val="center"/>
                  </w:tcPr>
                  <w:p w14:paraId="716FD721" w14:textId="77777777" w:rsidR="005E000F" w:rsidRDefault="00000000">
                    <w:pPr>
                      <w:widowControl w:val="0"/>
                      <w:jc w:val="right"/>
                      <w:rPr>
                        <w:sz w:val="18"/>
                        <w:szCs w:val="18"/>
                      </w:rPr>
                    </w:pPr>
                    <w:r>
                      <w:rPr>
                        <w:sz w:val="18"/>
                        <w:szCs w:val="18"/>
                      </w:rPr>
                      <w:t>4,461,623,443</w:t>
                    </w:r>
                  </w:p>
                </w:tc>
              </w:tr>
              <w:tr w:rsidR="005E000F" w14:paraId="2CBE414C" w14:textId="77777777">
                <w:tc>
                  <w:tcPr>
                    <w:tcW w:w="1113" w:type="dxa"/>
                  </w:tcPr>
                  <w:p w14:paraId="240A79D4" w14:textId="77777777" w:rsidR="005E000F" w:rsidRDefault="00000000">
                    <w:pPr>
                      <w:widowControl w:val="0"/>
                      <w:jc w:val="both"/>
                      <w:rPr>
                        <w:sz w:val="18"/>
                        <w:szCs w:val="18"/>
                      </w:rPr>
                    </w:pPr>
                    <w:r>
                      <w:rPr>
                        <w:sz w:val="18"/>
                        <w:szCs w:val="18"/>
                      </w:rPr>
                      <w:t>长期借款</w:t>
                    </w:r>
                  </w:p>
                </w:tc>
                <w:tc>
                  <w:tcPr>
                    <w:tcW w:w="1488" w:type="dxa"/>
                    <w:vAlign w:val="center"/>
                  </w:tcPr>
                  <w:p w14:paraId="40F080E6" w14:textId="77777777" w:rsidR="005E000F" w:rsidRDefault="00000000">
                    <w:pPr>
                      <w:widowControl w:val="0"/>
                      <w:jc w:val="right"/>
                      <w:rPr>
                        <w:sz w:val="18"/>
                        <w:szCs w:val="18"/>
                      </w:rPr>
                    </w:pPr>
                    <w:r>
                      <w:rPr>
                        <w:sz w:val="18"/>
                        <w:szCs w:val="18"/>
                      </w:rPr>
                      <w:t>1,341,464,579</w:t>
                    </w:r>
                  </w:p>
                </w:tc>
                <w:tc>
                  <w:tcPr>
                    <w:tcW w:w="1264" w:type="dxa"/>
                    <w:vAlign w:val="center"/>
                  </w:tcPr>
                  <w:p w14:paraId="658DCAF3" w14:textId="77777777" w:rsidR="005E000F" w:rsidRDefault="00000000">
                    <w:pPr>
                      <w:widowControl w:val="0"/>
                      <w:jc w:val="right"/>
                      <w:rPr>
                        <w:sz w:val="18"/>
                        <w:szCs w:val="18"/>
                      </w:rPr>
                    </w:pPr>
                    <w:r>
                      <w:rPr>
                        <w:sz w:val="18"/>
                        <w:szCs w:val="18"/>
                      </w:rPr>
                      <w:t>2,025,726,897</w:t>
                    </w:r>
                  </w:p>
                </w:tc>
                <w:tc>
                  <w:tcPr>
                    <w:tcW w:w="1251" w:type="dxa"/>
                    <w:vAlign w:val="center"/>
                  </w:tcPr>
                  <w:p w14:paraId="0BAFAC7D" w14:textId="77777777" w:rsidR="005E000F" w:rsidRDefault="00000000">
                    <w:pPr>
                      <w:widowControl w:val="0"/>
                      <w:jc w:val="right"/>
                      <w:rPr>
                        <w:sz w:val="18"/>
                        <w:szCs w:val="18"/>
                      </w:rPr>
                    </w:pPr>
                    <w:r>
                      <w:rPr>
                        <w:sz w:val="18"/>
                        <w:szCs w:val="18"/>
                      </w:rPr>
                      <w:t>4,014,149,433</w:t>
                    </w:r>
                  </w:p>
                </w:tc>
                <w:tc>
                  <w:tcPr>
                    <w:tcW w:w="1251" w:type="dxa"/>
                    <w:vAlign w:val="center"/>
                  </w:tcPr>
                  <w:p w14:paraId="6D78F393" w14:textId="77777777" w:rsidR="005E000F" w:rsidRDefault="00000000">
                    <w:pPr>
                      <w:widowControl w:val="0"/>
                      <w:jc w:val="right"/>
                      <w:rPr>
                        <w:sz w:val="18"/>
                        <w:szCs w:val="18"/>
                      </w:rPr>
                    </w:pPr>
                    <w:r>
                      <w:rPr>
                        <w:sz w:val="18"/>
                        <w:szCs w:val="18"/>
                      </w:rPr>
                      <w:t>5,316,540,806</w:t>
                    </w:r>
                  </w:p>
                </w:tc>
                <w:tc>
                  <w:tcPr>
                    <w:tcW w:w="1341" w:type="dxa"/>
                    <w:vAlign w:val="center"/>
                  </w:tcPr>
                  <w:p w14:paraId="54254922" w14:textId="77777777" w:rsidR="005E000F" w:rsidRDefault="00000000">
                    <w:pPr>
                      <w:widowControl w:val="0"/>
                      <w:jc w:val="right"/>
                      <w:rPr>
                        <w:sz w:val="18"/>
                        <w:szCs w:val="18"/>
                      </w:rPr>
                    </w:pPr>
                    <w:r>
                      <w:rPr>
                        <w:sz w:val="18"/>
                        <w:szCs w:val="18"/>
                      </w:rPr>
                      <w:t>12,697,881,715</w:t>
                    </w:r>
                  </w:p>
                </w:tc>
                <w:tc>
                  <w:tcPr>
                    <w:tcW w:w="1341" w:type="dxa"/>
                    <w:vAlign w:val="center"/>
                  </w:tcPr>
                  <w:p w14:paraId="35738B92" w14:textId="77777777" w:rsidR="005E000F" w:rsidRDefault="00000000">
                    <w:pPr>
                      <w:widowControl w:val="0"/>
                      <w:jc w:val="right"/>
                      <w:rPr>
                        <w:sz w:val="18"/>
                        <w:szCs w:val="18"/>
                      </w:rPr>
                    </w:pPr>
                    <w:r>
                      <w:rPr>
                        <w:sz w:val="18"/>
                        <w:szCs w:val="18"/>
                      </w:rPr>
                      <w:t>10,927,278,634</w:t>
                    </w:r>
                  </w:p>
                </w:tc>
              </w:tr>
              <w:tr w:rsidR="005E000F" w14:paraId="5CA8E0E9" w14:textId="77777777">
                <w:tc>
                  <w:tcPr>
                    <w:tcW w:w="1113" w:type="dxa"/>
                  </w:tcPr>
                  <w:p w14:paraId="19DBD19C" w14:textId="77777777" w:rsidR="005E000F" w:rsidRDefault="00000000">
                    <w:pPr>
                      <w:widowControl w:val="0"/>
                      <w:jc w:val="both"/>
                      <w:rPr>
                        <w:sz w:val="18"/>
                        <w:szCs w:val="18"/>
                      </w:rPr>
                    </w:pPr>
                    <w:r>
                      <w:rPr>
                        <w:sz w:val="18"/>
                        <w:szCs w:val="18"/>
                      </w:rPr>
                      <w:t>应付债券</w:t>
                    </w:r>
                  </w:p>
                </w:tc>
                <w:tc>
                  <w:tcPr>
                    <w:tcW w:w="1488" w:type="dxa"/>
                    <w:vAlign w:val="center"/>
                  </w:tcPr>
                  <w:p w14:paraId="21050EB6" w14:textId="77777777" w:rsidR="005E000F" w:rsidRDefault="00000000">
                    <w:pPr>
                      <w:widowControl w:val="0"/>
                      <w:jc w:val="right"/>
                      <w:rPr>
                        <w:sz w:val="18"/>
                        <w:szCs w:val="18"/>
                      </w:rPr>
                    </w:pPr>
                    <w:r>
                      <w:rPr>
                        <w:sz w:val="18"/>
                        <w:szCs w:val="18"/>
                      </w:rPr>
                      <w:t>0</w:t>
                    </w:r>
                  </w:p>
                </w:tc>
                <w:tc>
                  <w:tcPr>
                    <w:tcW w:w="1264" w:type="dxa"/>
                    <w:vAlign w:val="center"/>
                  </w:tcPr>
                  <w:p w14:paraId="5A122911" w14:textId="77777777" w:rsidR="005E000F" w:rsidRDefault="00000000">
                    <w:pPr>
                      <w:widowControl w:val="0"/>
                      <w:jc w:val="right"/>
                      <w:rPr>
                        <w:sz w:val="18"/>
                        <w:szCs w:val="18"/>
                      </w:rPr>
                    </w:pPr>
                    <w:r>
                      <w:rPr>
                        <w:sz w:val="18"/>
                        <w:szCs w:val="18"/>
                      </w:rPr>
                      <w:t>0</w:t>
                    </w:r>
                  </w:p>
                </w:tc>
                <w:tc>
                  <w:tcPr>
                    <w:tcW w:w="1251" w:type="dxa"/>
                    <w:vAlign w:val="center"/>
                  </w:tcPr>
                  <w:p w14:paraId="05BE5FEC" w14:textId="77777777" w:rsidR="005E000F" w:rsidRDefault="00000000">
                    <w:pPr>
                      <w:widowControl w:val="0"/>
                      <w:jc w:val="right"/>
                      <w:rPr>
                        <w:sz w:val="18"/>
                        <w:szCs w:val="18"/>
                      </w:rPr>
                    </w:pPr>
                    <w:r>
                      <w:rPr>
                        <w:sz w:val="18"/>
                        <w:szCs w:val="18"/>
                      </w:rPr>
                      <w:t>0</w:t>
                    </w:r>
                  </w:p>
                </w:tc>
                <w:tc>
                  <w:tcPr>
                    <w:tcW w:w="1251" w:type="dxa"/>
                    <w:vAlign w:val="center"/>
                  </w:tcPr>
                  <w:p w14:paraId="7372A60A" w14:textId="77777777" w:rsidR="005E000F" w:rsidRDefault="00000000">
                    <w:pPr>
                      <w:widowControl w:val="0"/>
                      <w:jc w:val="right"/>
                      <w:rPr>
                        <w:sz w:val="18"/>
                        <w:szCs w:val="18"/>
                      </w:rPr>
                    </w:pPr>
                    <w:r>
                      <w:rPr>
                        <w:sz w:val="18"/>
                        <w:szCs w:val="18"/>
                      </w:rPr>
                      <w:t>0</w:t>
                    </w:r>
                  </w:p>
                </w:tc>
                <w:tc>
                  <w:tcPr>
                    <w:tcW w:w="1341" w:type="dxa"/>
                    <w:vAlign w:val="center"/>
                  </w:tcPr>
                  <w:p w14:paraId="1058CE83" w14:textId="77777777" w:rsidR="005E000F" w:rsidRDefault="00000000">
                    <w:pPr>
                      <w:widowControl w:val="0"/>
                      <w:jc w:val="right"/>
                      <w:rPr>
                        <w:sz w:val="18"/>
                        <w:szCs w:val="18"/>
                      </w:rPr>
                    </w:pPr>
                    <w:r>
                      <w:rPr>
                        <w:sz w:val="18"/>
                        <w:szCs w:val="18"/>
                      </w:rPr>
                      <w:t>0</w:t>
                    </w:r>
                  </w:p>
                </w:tc>
                <w:tc>
                  <w:tcPr>
                    <w:tcW w:w="1341" w:type="dxa"/>
                    <w:vAlign w:val="center"/>
                  </w:tcPr>
                  <w:p w14:paraId="39F73B40" w14:textId="77777777" w:rsidR="005E000F" w:rsidRDefault="00000000">
                    <w:pPr>
                      <w:widowControl w:val="0"/>
                      <w:jc w:val="right"/>
                      <w:rPr>
                        <w:sz w:val="18"/>
                        <w:szCs w:val="18"/>
                      </w:rPr>
                    </w:pPr>
                    <w:r>
                      <w:rPr>
                        <w:sz w:val="18"/>
                        <w:szCs w:val="18"/>
                      </w:rPr>
                      <w:t>0</w:t>
                    </w:r>
                  </w:p>
                </w:tc>
              </w:tr>
              <w:tr w:rsidR="005E000F" w14:paraId="74EE5AE2" w14:textId="77777777">
                <w:tc>
                  <w:tcPr>
                    <w:tcW w:w="1113" w:type="dxa"/>
                    <w:shd w:val="clear" w:color="auto" w:fill="auto"/>
                  </w:tcPr>
                  <w:p w14:paraId="55C9429B" w14:textId="77777777" w:rsidR="005E000F" w:rsidRDefault="00000000">
                    <w:pPr>
                      <w:widowControl w:val="0"/>
                      <w:jc w:val="both"/>
                      <w:rPr>
                        <w:sz w:val="18"/>
                        <w:szCs w:val="18"/>
                      </w:rPr>
                    </w:pPr>
                    <w:r>
                      <w:rPr>
                        <w:sz w:val="18"/>
                        <w:szCs w:val="18"/>
                      </w:rPr>
                      <w:t>租赁负债</w:t>
                    </w:r>
                  </w:p>
                </w:tc>
                <w:tc>
                  <w:tcPr>
                    <w:tcW w:w="1488" w:type="dxa"/>
                    <w:shd w:val="clear" w:color="auto" w:fill="auto"/>
                    <w:vAlign w:val="center"/>
                  </w:tcPr>
                  <w:p w14:paraId="250D06BB" w14:textId="77777777" w:rsidR="005E000F" w:rsidRDefault="00000000">
                    <w:pPr>
                      <w:widowControl w:val="0"/>
                      <w:jc w:val="right"/>
                      <w:rPr>
                        <w:sz w:val="18"/>
                        <w:szCs w:val="18"/>
                      </w:rPr>
                    </w:pPr>
                    <w:r>
                      <w:rPr>
                        <w:sz w:val="18"/>
                        <w:szCs w:val="18"/>
                      </w:rPr>
                      <w:t>333,379,026</w:t>
                    </w:r>
                  </w:p>
                </w:tc>
                <w:tc>
                  <w:tcPr>
                    <w:tcW w:w="1264" w:type="dxa"/>
                    <w:shd w:val="clear" w:color="auto" w:fill="auto"/>
                    <w:vAlign w:val="center"/>
                  </w:tcPr>
                  <w:p w14:paraId="7FC80647" w14:textId="77777777" w:rsidR="005E000F" w:rsidRDefault="00000000">
                    <w:pPr>
                      <w:widowControl w:val="0"/>
                      <w:jc w:val="right"/>
                      <w:rPr>
                        <w:sz w:val="18"/>
                        <w:szCs w:val="18"/>
                      </w:rPr>
                    </w:pPr>
                    <w:r>
                      <w:rPr>
                        <w:sz w:val="18"/>
                        <w:szCs w:val="18"/>
                      </w:rPr>
                      <w:t>115,495,457</w:t>
                    </w:r>
                  </w:p>
                </w:tc>
                <w:tc>
                  <w:tcPr>
                    <w:tcW w:w="1251" w:type="dxa"/>
                    <w:shd w:val="clear" w:color="auto" w:fill="auto"/>
                    <w:vAlign w:val="center"/>
                  </w:tcPr>
                  <w:p w14:paraId="37A5C389" w14:textId="77777777" w:rsidR="005E000F" w:rsidRDefault="00000000">
                    <w:pPr>
                      <w:widowControl w:val="0"/>
                      <w:jc w:val="right"/>
                      <w:rPr>
                        <w:sz w:val="18"/>
                        <w:szCs w:val="18"/>
                      </w:rPr>
                    </w:pPr>
                    <w:r>
                      <w:rPr>
                        <w:sz w:val="18"/>
                        <w:szCs w:val="18"/>
                      </w:rPr>
                      <w:t>296,374,037</w:t>
                    </w:r>
                  </w:p>
                </w:tc>
                <w:tc>
                  <w:tcPr>
                    <w:tcW w:w="1251" w:type="dxa"/>
                    <w:shd w:val="clear" w:color="auto" w:fill="auto"/>
                    <w:vAlign w:val="center"/>
                  </w:tcPr>
                  <w:p w14:paraId="6D4B2E6A" w14:textId="77777777" w:rsidR="005E000F" w:rsidRDefault="00000000">
                    <w:pPr>
                      <w:widowControl w:val="0"/>
                      <w:jc w:val="right"/>
                      <w:rPr>
                        <w:sz w:val="18"/>
                        <w:szCs w:val="18"/>
                      </w:rPr>
                    </w:pPr>
                    <w:r>
                      <w:rPr>
                        <w:sz w:val="18"/>
                        <w:szCs w:val="18"/>
                      </w:rPr>
                      <w:t>3,010,069,622</w:t>
                    </w:r>
                  </w:p>
                </w:tc>
                <w:tc>
                  <w:tcPr>
                    <w:tcW w:w="1341" w:type="dxa"/>
                    <w:shd w:val="clear" w:color="auto" w:fill="auto"/>
                    <w:vAlign w:val="center"/>
                  </w:tcPr>
                  <w:p w14:paraId="78409BEE" w14:textId="77777777" w:rsidR="005E000F" w:rsidRDefault="00000000">
                    <w:pPr>
                      <w:widowControl w:val="0"/>
                      <w:jc w:val="right"/>
                      <w:rPr>
                        <w:sz w:val="18"/>
                        <w:szCs w:val="18"/>
                      </w:rPr>
                    </w:pPr>
                    <w:r>
                      <w:rPr>
                        <w:sz w:val="18"/>
                        <w:szCs w:val="18"/>
                      </w:rPr>
                      <w:t>3,755,318,142</w:t>
                    </w:r>
                  </w:p>
                </w:tc>
                <w:tc>
                  <w:tcPr>
                    <w:tcW w:w="1341" w:type="dxa"/>
                    <w:shd w:val="clear" w:color="auto" w:fill="auto"/>
                    <w:vAlign w:val="center"/>
                  </w:tcPr>
                  <w:p w14:paraId="61AAEA60" w14:textId="77777777" w:rsidR="005E000F" w:rsidRDefault="00000000">
                    <w:pPr>
                      <w:widowControl w:val="0"/>
                      <w:jc w:val="right"/>
                      <w:rPr>
                        <w:sz w:val="18"/>
                        <w:szCs w:val="18"/>
                      </w:rPr>
                    </w:pPr>
                    <w:r>
                      <w:rPr>
                        <w:sz w:val="18"/>
                        <w:szCs w:val="18"/>
                      </w:rPr>
                      <w:t>2,417,076,462</w:t>
                    </w:r>
                  </w:p>
                </w:tc>
              </w:tr>
              <w:tr w:rsidR="005E000F" w14:paraId="7A6AE4B6" w14:textId="77777777">
                <w:tc>
                  <w:tcPr>
                    <w:tcW w:w="1113" w:type="dxa"/>
                  </w:tcPr>
                  <w:p w14:paraId="77219386" w14:textId="77777777" w:rsidR="005E000F" w:rsidRDefault="00000000">
                    <w:pPr>
                      <w:widowControl w:val="0"/>
                      <w:jc w:val="both"/>
                      <w:rPr>
                        <w:sz w:val="18"/>
                        <w:szCs w:val="18"/>
                      </w:rPr>
                    </w:pPr>
                    <w:r>
                      <w:rPr>
                        <w:sz w:val="18"/>
                        <w:szCs w:val="18"/>
                      </w:rPr>
                      <w:t>长期应付款（不含专项应付款）</w:t>
                    </w:r>
                  </w:p>
                </w:tc>
                <w:tc>
                  <w:tcPr>
                    <w:tcW w:w="1488" w:type="dxa"/>
                    <w:vAlign w:val="center"/>
                  </w:tcPr>
                  <w:p w14:paraId="5E256C98" w14:textId="77777777" w:rsidR="005E000F" w:rsidRDefault="00000000">
                    <w:pPr>
                      <w:widowControl w:val="0"/>
                      <w:jc w:val="right"/>
                      <w:rPr>
                        <w:sz w:val="18"/>
                        <w:szCs w:val="18"/>
                      </w:rPr>
                    </w:pPr>
                    <w:r>
                      <w:rPr>
                        <w:sz w:val="18"/>
                        <w:szCs w:val="18"/>
                      </w:rPr>
                      <w:t>0</w:t>
                    </w:r>
                  </w:p>
                </w:tc>
                <w:tc>
                  <w:tcPr>
                    <w:tcW w:w="1264" w:type="dxa"/>
                    <w:vAlign w:val="center"/>
                  </w:tcPr>
                  <w:p w14:paraId="5CC3F93B" w14:textId="77777777" w:rsidR="005E000F" w:rsidRDefault="00000000">
                    <w:pPr>
                      <w:widowControl w:val="0"/>
                      <w:jc w:val="right"/>
                      <w:rPr>
                        <w:sz w:val="18"/>
                        <w:szCs w:val="18"/>
                      </w:rPr>
                    </w:pPr>
                    <w:r>
                      <w:rPr>
                        <w:sz w:val="18"/>
                        <w:szCs w:val="18"/>
                      </w:rPr>
                      <w:t>0</w:t>
                    </w:r>
                  </w:p>
                </w:tc>
                <w:tc>
                  <w:tcPr>
                    <w:tcW w:w="1251" w:type="dxa"/>
                    <w:vAlign w:val="center"/>
                  </w:tcPr>
                  <w:p w14:paraId="653D297E" w14:textId="77777777" w:rsidR="005E000F" w:rsidRDefault="00000000">
                    <w:pPr>
                      <w:widowControl w:val="0"/>
                      <w:jc w:val="right"/>
                      <w:rPr>
                        <w:sz w:val="18"/>
                        <w:szCs w:val="18"/>
                      </w:rPr>
                    </w:pPr>
                    <w:r>
                      <w:rPr>
                        <w:sz w:val="18"/>
                        <w:szCs w:val="18"/>
                      </w:rPr>
                      <w:t>0</w:t>
                    </w:r>
                  </w:p>
                </w:tc>
                <w:tc>
                  <w:tcPr>
                    <w:tcW w:w="1251" w:type="dxa"/>
                    <w:vAlign w:val="center"/>
                  </w:tcPr>
                  <w:p w14:paraId="766DB78A" w14:textId="77777777" w:rsidR="005E000F" w:rsidRDefault="00000000">
                    <w:pPr>
                      <w:widowControl w:val="0"/>
                      <w:jc w:val="right"/>
                      <w:rPr>
                        <w:sz w:val="18"/>
                        <w:szCs w:val="18"/>
                      </w:rPr>
                    </w:pPr>
                    <w:r>
                      <w:rPr>
                        <w:sz w:val="18"/>
                        <w:szCs w:val="18"/>
                      </w:rPr>
                      <w:t>223,325</w:t>
                    </w:r>
                  </w:p>
                </w:tc>
                <w:tc>
                  <w:tcPr>
                    <w:tcW w:w="1341" w:type="dxa"/>
                    <w:vAlign w:val="center"/>
                  </w:tcPr>
                  <w:p w14:paraId="6A271122" w14:textId="77777777" w:rsidR="005E000F" w:rsidRDefault="00000000">
                    <w:pPr>
                      <w:widowControl w:val="0"/>
                      <w:jc w:val="right"/>
                      <w:rPr>
                        <w:sz w:val="18"/>
                        <w:szCs w:val="18"/>
                      </w:rPr>
                    </w:pPr>
                    <w:r>
                      <w:rPr>
                        <w:sz w:val="18"/>
                        <w:szCs w:val="18"/>
                      </w:rPr>
                      <w:t>223,325</w:t>
                    </w:r>
                  </w:p>
                </w:tc>
                <w:tc>
                  <w:tcPr>
                    <w:tcW w:w="1341" w:type="dxa"/>
                    <w:vAlign w:val="center"/>
                  </w:tcPr>
                  <w:p w14:paraId="77C923AF" w14:textId="77777777" w:rsidR="005E000F" w:rsidRDefault="00000000">
                    <w:pPr>
                      <w:widowControl w:val="0"/>
                      <w:jc w:val="right"/>
                      <w:rPr>
                        <w:sz w:val="18"/>
                        <w:szCs w:val="18"/>
                      </w:rPr>
                    </w:pPr>
                    <w:r>
                      <w:rPr>
                        <w:sz w:val="18"/>
                        <w:szCs w:val="18"/>
                      </w:rPr>
                      <w:t>223,325</w:t>
                    </w:r>
                  </w:p>
                </w:tc>
              </w:tr>
              <w:tr w:rsidR="005E000F" w14:paraId="7BD0F108" w14:textId="77777777">
                <w:tc>
                  <w:tcPr>
                    <w:tcW w:w="1113" w:type="dxa"/>
                  </w:tcPr>
                  <w:p w14:paraId="71D508EF" w14:textId="77777777" w:rsidR="005E000F" w:rsidRDefault="00000000">
                    <w:pPr>
                      <w:widowControl w:val="0"/>
                      <w:jc w:val="both"/>
                      <w:rPr>
                        <w:sz w:val="18"/>
                        <w:szCs w:val="18"/>
                      </w:rPr>
                    </w:pPr>
                    <w:r>
                      <w:rPr>
                        <w:sz w:val="18"/>
                        <w:szCs w:val="18"/>
                      </w:rPr>
                      <w:t>合计</w:t>
                    </w:r>
                  </w:p>
                </w:tc>
                <w:tc>
                  <w:tcPr>
                    <w:tcW w:w="1488" w:type="dxa"/>
                    <w:vAlign w:val="center"/>
                  </w:tcPr>
                  <w:p w14:paraId="14C4AB8B" w14:textId="77777777" w:rsidR="005E000F" w:rsidRDefault="00000000">
                    <w:pPr>
                      <w:widowControl w:val="0"/>
                      <w:jc w:val="right"/>
                      <w:rPr>
                        <w:sz w:val="18"/>
                        <w:szCs w:val="18"/>
                      </w:rPr>
                    </w:pPr>
                    <w:r>
                      <w:rPr>
                        <w:sz w:val="18"/>
                        <w:szCs w:val="18"/>
                      </w:rPr>
                      <w:t>11,697,968,451</w:t>
                    </w:r>
                  </w:p>
                </w:tc>
                <w:tc>
                  <w:tcPr>
                    <w:tcW w:w="1264" w:type="dxa"/>
                    <w:vAlign w:val="center"/>
                  </w:tcPr>
                  <w:p w14:paraId="57F5AA91" w14:textId="77777777" w:rsidR="005E000F" w:rsidRDefault="00000000">
                    <w:pPr>
                      <w:widowControl w:val="0"/>
                      <w:jc w:val="right"/>
                      <w:rPr>
                        <w:sz w:val="18"/>
                        <w:szCs w:val="18"/>
                      </w:rPr>
                    </w:pPr>
                    <w:r>
                      <w:rPr>
                        <w:sz w:val="18"/>
                        <w:szCs w:val="18"/>
                      </w:rPr>
                      <w:t>2,141,222,354</w:t>
                    </w:r>
                  </w:p>
                </w:tc>
                <w:tc>
                  <w:tcPr>
                    <w:tcW w:w="1251" w:type="dxa"/>
                    <w:vAlign w:val="center"/>
                  </w:tcPr>
                  <w:p w14:paraId="069D69ED" w14:textId="77777777" w:rsidR="005E000F" w:rsidRDefault="00000000">
                    <w:pPr>
                      <w:widowControl w:val="0"/>
                      <w:jc w:val="right"/>
                      <w:rPr>
                        <w:sz w:val="18"/>
                        <w:szCs w:val="18"/>
                      </w:rPr>
                    </w:pPr>
                    <w:r>
                      <w:rPr>
                        <w:sz w:val="18"/>
                        <w:szCs w:val="18"/>
                      </w:rPr>
                      <w:t>4,310,523,470</w:t>
                    </w:r>
                  </w:p>
                </w:tc>
                <w:tc>
                  <w:tcPr>
                    <w:tcW w:w="1251" w:type="dxa"/>
                    <w:vAlign w:val="center"/>
                  </w:tcPr>
                  <w:p w14:paraId="5FF55621" w14:textId="77777777" w:rsidR="005E000F" w:rsidRDefault="00000000">
                    <w:pPr>
                      <w:widowControl w:val="0"/>
                      <w:jc w:val="right"/>
                      <w:rPr>
                        <w:sz w:val="18"/>
                        <w:szCs w:val="18"/>
                      </w:rPr>
                    </w:pPr>
                    <w:r>
                      <w:rPr>
                        <w:sz w:val="18"/>
                        <w:szCs w:val="18"/>
                      </w:rPr>
                      <w:t>8,326,833,753</w:t>
                    </w:r>
                  </w:p>
                </w:tc>
                <w:tc>
                  <w:tcPr>
                    <w:tcW w:w="1341" w:type="dxa"/>
                    <w:vAlign w:val="center"/>
                  </w:tcPr>
                  <w:p w14:paraId="61F61032" w14:textId="77777777" w:rsidR="005E000F" w:rsidRDefault="00000000">
                    <w:pPr>
                      <w:widowControl w:val="0"/>
                      <w:jc w:val="right"/>
                      <w:rPr>
                        <w:sz w:val="18"/>
                        <w:szCs w:val="18"/>
                      </w:rPr>
                    </w:pPr>
                    <w:r>
                      <w:rPr>
                        <w:sz w:val="18"/>
                        <w:szCs w:val="18"/>
                      </w:rPr>
                      <w:t>26,476,548,028</w:t>
                    </w:r>
                  </w:p>
                </w:tc>
                <w:tc>
                  <w:tcPr>
                    <w:tcW w:w="1341" w:type="dxa"/>
                    <w:vAlign w:val="center"/>
                  </w:tcPr>
                  <w:p w14:paraId="37D830B2" w14:textId="77777777" w:rsidR="005E000F" w:rsidRDefault="00000000">
                    <w:pPr>
                      <w:widowControl w:val="0"/>
                      <w:jc w:val="right"/>
                      <w:rPr>
                        <w:sz w:val="18"/>
                        <w:szCs w:val="18"/>
                      </w:rPr>
                    </w:pPr>
                    <w:r>
                      <w:rPr>
                        <w:sz w:val="18"/>
                        <w:szCs w:val="18"/>
                      </w:rPr>
                      <w:t>23,365,528,978</w:t>
                    </w:r>
                  </w:p>
                </w:tc>
              </w:tr>
            </w:tbl>
            <w:p w14:paraId="19BBADFB" w14:textId="77777777" w:rsidR="005E000F" w:rsidRDefault="005E000F">
              <w:pPr>
                <w:rPr>
                  <w:color w:val="000000" w:themeColor="text1"/>
                </w:rPr>
              </w:pPr>
            </w:p>
            <w:p w14:paraId="500E2337" w14:textId="77777777" w:rsidR="005E000F" w:rsidRDefault="00000000">
              <w:pPr>
                <w:jc w:val="right"/>
                <w:rPr>
                  <w:color w:val="000000" w:themeColor="text1"/>
                </w:rPr>
              </w:pPr>
              <w:r>
                <w:rPr>
                  <w:color w:val="000000" w:themeColor="text1"/>
                </w:rPr>
                <w:t>单位：</w:t>
              </w:r>
              <w:sdt>
                <w:sdtPr>
                  <w:rPr>
                    <w:color w:val="000000" w:themeColor="text1"/>
                  </w:rPr>
                  <w:alias w:val="单位：公司开展符合条件套期业务并应用套期会计情况"/>
                  <w:tag w:val="_GBC_bfd7b01a97204220b03ebac1772fb343"/>
                  <w:id w:val="147474077"/>
                  <w:placeholder>
                    <w:docPart w:val="{07f80d40-9953-4c2e-a2d1-568b9216c98c}"/>
                  </w:placeholder>
                  <w:comboBox>
                    <w:listItem w:displayText="元" w:value="元"/>
                    <w:listItem w:displayText="千元" w:value="千元"/>
                    <w:listItem w:displayText="万元" w:value="万元"/>
                    <w:listItem w:displayText="百万元" w:value="百万元"/>
                    <w:listItem w:displayText="亿元" w:value="亿元"/>
                  </w:comboBox>
                </w:sdtPr>
                <w:sdtContent>
                  <w:r>
                    <w:rPr>
                      <w:color w:val="000000" w:themeColor="text1"/>
                    </w:rPr>
                    <w:t>元</w:t>
                  </w:r>
                </w:sdtContent>
              </w:sdt>
              <w:r>
                <w:rPr>
                  <w:color w:val="000000" w:themeColor="text1"/>
                </w:rPr>
                <w:t xml:space="preserve">  </w:t>
              </w:r>
              <w:r>
                <w:rPr>
                  <w:color w:val="000000" w:themeColor="text1"/>
                </w:rPr>
                <w:t>币种：</w:t>
              </w:r>
              <w:sdt>
                <w:sdtPr>
                  <w:rPr>
                    <w:color w:val="000000" w:themeColor="text1"/>
                  </w:rPr>
                  <w:alias w:val="币种：公司开展符合条件套期业务并应用套期会计情况"/>
                  <w:tag w:val="_GBC_6e7bea5508ea41c585a6d67d9c8aa35e"/>
                  <w:id w:val="147462871"/>
                  <w:placeholder>
                    <w:docPart w:val="{07f80d40-9953-4c2e-a2d1-568b9216c98c}"/>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color w:val="000000" w:themeColor="text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504"/>
                <w:gridCol w:w="1341"/>
                <w:gridCol w:w="1251"/>
                <w:gridCol w:w="1251"/>
                <w:gridCol w:w="1341"/>
                <w:gridCol w:w="1341"/>
              </w:tblGrid>
              <w:tr w:rsidR="005E000F" w14:paraId="1DA82277" w14:textId="77777777">
                <w:tc>
                  <w:tcPr>
                    <w:tcW w:w="1020" w:type="dxa"/>
                    <w:vMerge w:val="restart"/>
                    <w:vAlign w:val="center"/>
                  </w:tcPr>
                  <w:p w14:paraId="4969D530" w14:textId="77777777" w:rsidR="005E000F" w:rsidRDefault="00000000">
                    <w:pPr>
                      <w:widowControl w:val="0"/>
                      <w:jc w:val="center"/>
                      <w:rPr>
                        <w:color w:val="000000" w:themeColor="text1"/>
                        <w:sz w:val="18"/>
                        <w:szCs w:val="18"/>
                      </w:rPr>
                    </w:pPr>
                    <w:r>
                      <w:rPr>
                        <w:color w:val="000000" w:themeColor="text1"/>
                        <w:sz w:val="18"/>
                        <w:szCs w:val="18"/>
                      </w:rPr>
                      <w:t>项目</w:t>
                    </w:r>
                  </w:p>
                </w:tc>
                <w:tc>
                  <w:tcPr>
                    <w:tcW w:w="8029" w:type="dxa"/>
                    <w:gridSpan w:val="6"/>
                    <w:vAlign w:val="center"/>
                  </w:tcPr>
                  <w:p w14:paraId="7C2474F7" w14:textId="77777777" w:rsidR="005E000F" w:rsidRDefault="00000000">
                    <w:pPr>
                      <w:widowControl w:val="0"/>
                      <w:jc w:val="center"/>
                      <w:rPr>
                        <w:sz w:val="18"/>
                        <w:szCs w:val="18"/>
                      </w:rPr>
                    </w:pPr>
                    <w:r>
                      <w:rPr>
                        <w:color w:val="000000" w:themeColor="text1"/>
                        <w:sz w:val="18"/>
                        <w:szCs w:val="18"/>
                      </w:rPr>
                      <w:t>2024</w:t>
                    </w:r>
                    <w:r>
                      <w:rPr>
                        <w:color w:val="000000" w:themeColor="text1"/>
                        <w:sz w:val="18"/>
                        <w:szCs w:val="18"/>
                      </w:rPr>
                      <w:t>年未折现的合同现金流量</w:t>
                    </w:r>
                  </w:p>
                </w:tc>
              </w:tr>
              <w:tr w:rsidR="005E000F" w14:paraId="5B7CC63A" w14:textId="77777777">
                <w:tc>
                  <w:tcPr>
                    <w:tcW w:w="1020" w:type="dxa"/>
                    <w:vMerge/>
                  </w:tcPr>
                  <w:p w14:paraId="563EF716" w14:textId="77777777" w:rsidR="005E000F" w:rsidRDefault="005E000F">
                    <w:pPr>
                      <w:widowControl w:val="0"/>
                      <w:jc w:val="both"/>
                      <w:rPr>
                        <w:sz w:val="18"/>
                        <w:szCs w:val="18"/>
                      </w:rPr>
                    </w:pPr>
                  </w:p>
                </w:tc>
                <w:tc>
                  <w:tcPr>
                    <w:tcW w:w="1504" w:type="dxa"/>
                  </w:tcPr>
                  <w:p w14:paraId="4899E840" w14:textId="77777777" w:rsidR="005E000F" w:rsidRDefault="00000000">
                    <w:pPr>
                      <w:widowControl w:val="0"/>
                      <w:jc w:val="both"/>
                      <w:rPr>
                        <w:sz w:val="18"/>
                        <w:szCs w:val="18"/>
                      </w:rPr>
                    </w:pPr>
                    <w:r>
                      <w:rPr>
                        <w:sz w:val="18"/>
                        <w:szCs w:val="18"/>
                      </w:rPr>
                      <w:t>1</w:t>
                    </w:r>
                    <w:r>
                      <w:rPr>
                        <w:sz w:val="18"/>
                        <w:szCs w:val="18"/>
                      </w:rPr>
                      <w:t>年内或实时偿还</w:t>
                    </w:r>
                  </w:p>
                </w:tc>
                <w:tc>
                  <w:tcPr>
                    <w:tcW w:w="1341" w:type="dxa"/>
                  </w:tcPr>
                  <w:p w14:paraId="536FB03F" w14:textId="77777777" w:rsidR="005E000F" w:rsidRDefault="00000000">
                    <w:pPr>
                      <w:widowControl w:val="0"/>
                      <w:jc w:val="both"/>
                      <w:rPr>
                        <w:sz w:val="18"/>
                        <w:szCs w:val="18"/>
                      </w:rPr>
                    </w:pPr>
                    <w:r>
                      <w:rPr>
                        <w:sz w:val="18"/>
                        <w:szCs w:val="18"/>
                      </w:rPr>
                      <w:t>1</w:t>
                    </w:r>
                    <w:r>
                      <w:rPr>
                        <w:sz w:val="18"/>
                        <w:szCs w:val="18"/>
                      </w:rPr>
                      <w:t>年至</w:t>
                    </w:r>
                    <w:r>
                      <w:rPr>
                        <w:sz w:val="18"/>
                        <w:szCs w:val="18"/>
                      </w:rPr>
                      <w:t>2</w:t>
                    </w:r>
                    <w:r>
                      <w:rPr>
                        <w:sz w:val="18"/>
                        <w:szCs w:val="18"/>
                      </w:rPr>
                      <w:t>年</w:t>
                    </w:r>
                  </w:p>
                </w:tc>
                <w:tc>
                  <w:tcPr>
                    <w:tcW w:w="1251" w:type="dxa"/>
                  </w:tcPr>
                  <w:p w14:paraId="7EC94849" w14:textId="77777777" w:rsidR="005E000F" w:rsidRDefault="00000000">
                    <w:pPr>
                      <w:widowControl w:val="0"/>
                      <w:jc w:val="both"/>
                      <w:rPr>
                        <w:sz w:val="18"/>
                        <w:szCs w:val="18"/>
                      </w:rPr>
                    </w:pPr>
                    <w:r>
                      <w:rPr>
                        <w:sz w:val="18"/>
                        <w:szCs w:val="18"/>
                      </w:rPr>
                      <w:t>2</w:t>
                    </w:r>
                    <w:r>
                      <w:rPr>
                        <w:sz w:val="18"/>
                        <w:szCs w:val="18"/>
                      </w:rPr>
                      <w:t>年至</w:t>
                    </w:r>
                    <w:r>
                      <w:rPr>
                        <w:sz w:val="18"/>
                        <w:szCs w:val="18"/>
                      </w:rPr>
                      <w:t>5</w:t>
                    </w:r>
                    <w:r>
                      <w:rPr>
                        <w:sz w:val="18"/>
                        <w:szCs w:val="18"/>
                      </w:rPr>
                      <w:t>年</w:t>
                    </w:r>
                  </w:p>
                </w:tc>
                <w:tc>
                  <w:tcPr>
                    <w:tcW w:w="1251" w:type="dxa"/>
                  </w:tcPr>
                  <w:p w14:paraId="0AE70BD6" w14:textId="77777777" w:rsidR="005E000F" w:rsidRDefault="00000000">
                    <w:pPr>
                      <w:widowControl w:val="0"/>
                      <w:jc w:val="both"/>
                      <w:rPr>
                        <w:sz w:val="18"/>
                        <w:szCs w:val="18"/>
                      </w:rPr>
                    </w:pPr>
                    <w:r>
                      <w:rPr>
                        <w:sz w:val="18"/>
                        <w:szCs w:val="18"/>
                      </w:rPr>
                      <w:t>5</w:t>
                    </w:r>
                    <w:r>
                      <w:rPr>
                        <w:sz w:val="18"/>
                        <w:szCs w:val="18"/>
                      </w:rPr>
                      <w:t>年以上</w:t>
                    </w:r>
                  </w:p>
                </w:tc>
                <w:tc>
                  <w:tcPr>
                    <w:tcW w:w="1341" w:type="dxa"/>
                  </w:tcPr>
                  <w:p w14:paraId="5CBDD932" w14:textId="77777777" w:rsidR="005E000F" w:rsidRDefault="00000000">
                    <w:pPr>
                      <w:widowControl w:val="0"/>
                      <w:jc w:val="both"/>
                      <w:rPr>
                        <w:sz w:val="18"/>
                        <w:szCs w:val="18"/>
                      </w:rPr>
                    </w:pPr>
                    <w:r>
                      <w:rPr>
                        <w:sz w:val="18"/>
                        <w:szCs w:val="18"/>
                      </w:rPr>
                      <w:t>合计</w:t>
                    </w:r>
                  </w:p>
                </w:tc>
                <w:tc>
                  <w:tcPr>
                    <w:tcW w:w="1341" w:type="dxa"/>
                  </w:tcPr>
                  <w:p w14:paraId="7A4245CD" w14:textId="77777777" w:rsidR="005E000F" w:rsidRDefault="00000000">
                    <w:pPr>
                      <w:widowControl w:val="0"/>
                      <w:jc w:val="both"/>
                      <w:rPr>
                        <w:sz w:val="18"/>
                        <w:szCs w:val="18"/>
                      </w:rPr>
                    </w:pPr>
                    <w:r>
                      <w:rPr>
                        <w:sz w:val="18"/>
                        <w:szCs w:val="18"/>
                      </w:rPr>
                      <w:t>账面价值</w:t>
                    </w:r>
                  </w:p>
                </w:tc>
              </w:tr>
              <w:tr w:rsidR="005E000F" w14:paraId="3C32F473" w14:textId="77777777">
                <w:tc>
                  <w:tcPr>
                    <w:tcW w:w="1020" w:type="dxa"/>
                    <w:shd w:val="clear" w:color="auto" w:fill="auto"/>
                  </w:tcPr>
                  <w:p w14:paraId="5CCD898B" w14:textId="77777777" w:rsidR="005E000F" w:rsidRDefault="00000000">
                    <w:pPr>
                      <w:widowControl w:val="0"/>
                      <w:jc w:val="both"/>
                      <w:rPr>
                        <w:sz w:val="18"/>
                        <w:szCs w:val="18"/>
                      </w:rPr>
                    </w:pPr>
                    <w:r>
                      <w:rPr>
                        <w:sz w:val="18"/>
                        <w:szCs w:val="18"/>
                      </w:rPr>
                      <w:t>短期借款</w:t>
                    </w:r>
                  </w:p>
                </w:tc>
                <w:tc>
                  <w:tcPr>
                    <w:tcW w:w="1504" w:type="dxa"/>
                    <w:shd w:val="clear" w:color="auto" w:fill="auto"/>
                    <w:vAlign w:val="center"/>
                  </w:tcPr>
                  <w:p w14:paraId="5422779B" w14:textId="77777777" w:rsidR="005E000F" w:rsidRDefault="00000000">
                    <w:pPr>
                      <w:widowControl w:val="0"/>
                      <w:jc w:val="right"/>
                      <w:rPr>
                        <w:sz w:val="18"/>
                        <w:szCs w:val="18"/>
                      </w:rPr>
                    </w:pPr>
                    <w:r>
                      <w:rPr>
                        <w:sz w:val="18"/>
                        <w:szCs w:val="18"/>
                      </w:rPr>
                      <w:t>241,755,691</w:t>
                    </w:r>
                  </w:p>
                </w:tc>
                <w:tc>
                  <w:tcPr>
                    <w:tcW w:w="1341" w:type="dxa"/>
                    <w:shd w:val="clear" w:color="auto" w:fill="auto"/>
                    <w:vAlign w:val="center"/>
                  </w:tcPr>
                  <w:p w14:paraId="4953548B" w14:textId="77777777" w:rsidR="005E000F" w:rsidRDefault="00000000">
                    <w:pPr>
                      <w:widowControl w:val="0"/>
                      <w:jc w:val="right"/>
                      <w:rPr>
                        <w:sz w:val="18"/>
                        <w:szCs w:val="18"/>
                      </w:rPr>
                    </w:pPr>
                    <w:r>
                      <w:rPr>
                        <w:sz w:val="18"/>
                        <w:szCs w:val="18"/>
                      </w:rPr>
                      <w:t>0</w:t>
                    </w:r>
                  </w:p>
                </w:tc>
                <w:tc>
                  <w:tcPr>
                    <w:tcW w:w="1251" w:type="dxa"/>
                    <w:shd w:val="clear" w:color="auto" w:fill="auto"/>
                    <w:vAlign w:val="center"/>
                  </w:tcPr>
                  <w:p w14:paraId="1CDF2D2B" w14:textId="77777777" w:rsidR="005E000F" w:rsidRDefault="00000000">
                    <w:pPr>
                      <w:widowControl w:val="0"/>
                      <w:jc w:val="right"/>
                      <w:rPr>
                        <w:sz w:val="18"/>
                        <w:szCs w:val="18"/>
                      </w:rPr>
                    </w:pPr>
                    <w:r>
                      <w:rPr>
                        <w:sz w:val="18"/>
                        <w:szCs w:val="18"/>
                      </w:rPr>
                      <w:t>0</w:t>
                    </w:r>
                  </w:p>
                </w:tc>
                <w:tc>
                  <w:tcPr>
                    <w:tcW w:w="1251" w:type="dxa"/>
                    <w:shd w:val="clear" w:color="auto" w:fill="auto"/>
                    <w:vAlign w:val="center"/>
                  </w:tcPr>
                  <w:p w14:paraId="38D487D7" w14:textId="77777777" w:rsidR="005E000F" w:rsidRDefault="00000000">
                    <w:pPr>
                      <w:widowControl w:val="0"/>
                      <w:jc w:val="right"/>
                      <w:rPr>
                        <w:sz w:val="18"/>
                        <w:szCs w:val="18"/>
                      </w:rPr>
                    </w:pPr>
                    <w:r>
                      <w:rPr>
                        <w:sz w:val="18"/>
                        <w:szCs w:val="18"/>
                      </w:rPr>
                      <w:t>0</w:t>
                    </w:r>
                  </w:p>
                </w:tc>
                <w:tc>
                  <w:tcPr>
                    <w:tcW w:w="1341" w:type="dxa"/>
                    <w:shd w:val="clear" w:color="auto" w:fill="auto"/>
                    <w:vAlign w:val="center"/>
                  </w:tcPr>
                  <w:p w14:paraId="4C6C05F1" w14:textId="77777777" w:rsidR="005E000F" w:rsidRDefault="00000000">
                    <w:pPr>
                      <w:widowControl w:val="0"/>
                      <w:jc w:val="right"/>
                      <w:rPr>
                        <w:sz w:val="18"/>
                        <w:szCs w:val="18"/>
                      </w:rPr>
                    </w:pPr>
                    <w:r>
                      <w:rPr>
                        <w:sz w:val="18"/>
                        <w:szCs w:val="18"/>
                      </w:rPr>
                      <w:t>241,755,691</w:t>
                    </w:r>
                  </w:p>
                </w:tc>
                <w:tc>
                  <w:tcPr>
                    <w:tcW w:w="1341" w:type="dxa"/>
                    <w:shd w:val="clear" w:color="auto" w:fill="auto"/>
                    <w:vAlign w:val="center"/>
                  </w:tcPr>
                  <w:p w14:paraId="672CC949" w14:textId="77777777" w:rsidR="005E000F" w:rsidRDefault="00000000">
                    <w:pPr>
                      <w:widowControl w:val="0"/>
                      <w:jc w:val="right"/>
                      <w:rPr>
                        <w:sz w:val="18"/>
                        <w:szCs w:val="18"/>
                      </w:rPr>
                    </w:pPr>
                    <w:r>
                      <w:rPr>
                        <w:sz w:val="18"/>
                        <w:szCs w:val="18"/>
                      </w:rPr>
                      <w:t>238,158,266</w:t>
                    </w:r>
                  </w:p>
                </w:tc>
              </w:tr>
              <w:tr w:rsidR="005E000F" w14:paraId="7F912335" w14:textId="77777777">
                <w:tc>
                  <w:tcPr>
                    <w:tcW w:w="1020" w:type="dxa"/>
                  </w:tcPr>
                  <w:p w14:paraId="09D8AE15" w14:textId="77777777" w:rsidR="005E000F" w:rsidRDefault="00000000">
                    <w:pPr>
                      <w:widowControl w:val="0"/>
                      <w:jc w:val="both"/>
                      <w:rPr>
                        <w:sz w:val="18"/>
                        <w:szCs w:val="18"/>
                      </w:rPr>
                    </w:pPr>
                    <w:r>
                      <w:rPr>
                        <w:sz w:val="18"/>
                        <w:szCs w:val="18"/>
                      </w:rPr>
                      <w:t>应付票据</w:t>
                    </w:r>
                  </w:p>
                </w:tc>
                <w:tc>
                  <w:tcPr>
                    <w:tcW w:w="1504" w:type="dxa"/>
                    <w:vAlign w:val="center"/>
                  </w:tcPr>
                  <w:p w14:paraId="589B07FC" w14:textId="77777777" w:rsidR="005E000F" w:rsidRDefault="00000000">
                    <w:pPr>
                      <w:widowControl w:val="0"/>
                      <w:jc w:val="right"/>
                      <w:rPr>
                        <w:sz w:val="18"/>
                        <w:szCs w:val="18"/>
                      </w:rPr>
                    </w:pPr>
                    <w:r>
                      <w:rPr>
                        <w:sz w:val="18"/>
                        <w:szCs w:val="18"/>
                      </w:rPr>
                      <w:t>128,225,073</w:t>
                    </w:r>
                  </w:p>
                </w:tc>
                <w:tc>
                  <w:tcPr>
                    <w:tcW w:w="1341" w:type="dxa"/>
                    <w:vAlign w:val="center"/>
                  </w:tcPr>
                  <w:p w14:paraId="4E8E3CC4" w14:textId="77777777" w:rsidR="005E000F" w:rsidRDefault="00000000">
                    <w:pPr>
                      <w:widowControl w:val="0"/>
                      <w:jc w:val="right"/>
                      <w:rPr>
                        <w:sz w:val="18"/>
                        <w:szCs w:val="18"/>
                      </w:rPr>
                    </w:pPr>
                    <w:r>
                      <w:rPr>
                        <w:sz w:val="18"/>
                        <w:szCs w:val="18"/>
                      </w:rPr>
                      <w:t>0</w:t>
                    </w:r>
                  </w:p>
                </w:tc>
                <w:tc>
                  <w:tcPr>
                    <w:tcW w:w="1251" w:type="dxa"/>
                    <w:vAlign w:val="center"/>
                  </w:tcPr>
                  <w:p w14:paraId="41BE0C76" w14:textId="77777777" w:rsidR="005E000F" w:rsidRDefault="00000000">
                    <w:pPr>
                      <w:widowControl w:val="0"/>
                      <w:jc w:val="right"/>
                      <w:rPr>
                        <w:sz w:val="18"/>
                        <w:szCs w:val="18"/>
                      </w:rPr>
                    </w:pPr>
                    <w:r>
                      <w:rPr>
                        <w:sz w:val="18"/>
                        <w:szCs w:val="18"/>
                      </w:rPr>
                      <w:t>0</w:t>
                    </w:r>
                  </w:p>
                </w:tc>
                <w:tc>
                  <w:tcPr>
                    <w:tcW w:w="1251" w:type="dxa"/>
                    <w:vAlign w:val="center"/>
                  </w:tcPr>
                  <w:p w14:paraId="32F0DBDE" w14:textId="77777777" w:rsidR="005E000F" w:rsidRDefault="00000000">
                    <w:pPr>
                      <w:widowControl w:val="0"/>
                      <w:jc w:val="right"/>
                      <w:rPr>
                        <w:sz w:val="18"/>
                        <w:szCs w:val="18"/>
                      </w:rPr>
                    </w:pPr>
                    <w:r>
                      <w:rPr>
                        <w:sz w:val="18"/>
                        <w:szCs w:val="18"/>
                      </w:rPr>
                      <w:t>0</w:t>
                    </w:r>
                  </w:p>
                </w:tc>
                <w:tc>
                  <w:tcPr>
                    <w:tcW w:w="1341" w:type="dxa"/>
                    <w:vAlign w:val="center"/>
                  </w:tcPr>
                  <w:p w14:paraId="5D2F94AF" w14:textId="77777777" w:rsidR="005E000F" w:rsidRDefault="00000000">
                    <w:pPr>
                      <w:widowControl w:val="0"/>
                      <w:jc w:val="right"/>
                      <w:rPr>
                        <w:sz w:val="18"/>
                        <w:szCs w:val="18"/>
                      </w:rPr>
                    </w:pPr>
                    <w:r>
                      <w:rPr>
                        <w:sz w:val="18"/>
                        <w:szCs w:val="18"/>
                      </w:rPr>
                      <w:t>128,225,073</w:t>
                    </w:r>
                  </w:p>
                </w:tc>
                <w:tc>
                  <w:tcPr>
                    <w:tcW w:w="1341" w:type="dxa"/>
                    <w:vAlign w:val="center"/>
                  </w:tcPr>
                  <w:p w14:paraId="0567F0E5" w14:textId="77777777" w:rsidR="005E000F" w:rsidRDefault="00000000">
                    <w:pPr>
                      <w:widowControl w:val="0"/>
                      <w:jc w:val="right"/>
                      <w:rPr>
                        <w:sz w:val="18"/>
                        <w:szCs w:val="18"/>
                      </w:rPr>
                    </w:pPr>
                    <w:r>
                      <w:rPr>
                        <w:sz w:val="18"/>
                        <w:szCs w:val="18"/>
                      </w:rPr>
                      <w:t>128,225,073</w:t>
                    </w:r>
                  </w:p>
                </w:tc>
              </w:tr>
              <w:tr w:rsidR="005E000F" w14:paraId="4ECEDF81" w14:textId="77777777">
                <w:tc>
                  <w:tcPr>
                    <w:tcW w:w="1020" w:type="dxa"/>
                  </w:tcPr>
                  <w:p w14:paraId="7E0093EC" w14:textId="77777777" w:rsidR="005E000F" w:rsidRDefault="00000000">
                    <w:pPr>
                      <w:widowControl w:val="0"/>
                      <w:jc w:val="both"/>
                      <w:rPr>
                        <w:sz w:val="18"/>
                        <w:szCs w:val="18"/>
                      </w:rPr>
                    </w:pPr>
                    <w:r>
                      <w:rPr>
                        <w:sz w:val="18"/>
                        <w:szCs w:val="18"/>
                      </w:rPr>
                      <w:t>应付账款</w:t>
                    </w:r>
                  </w:p>
                </w:tc>
                <w:tc>
                  <w:tcPr>
                    <w:tcW w:w="1504" w:type="dxa"/>
                    <w:vAlign w:val="center"/>
                  </w:tcPr>
                  <w:p w14:paraId="7737C5AF" w14:textId="77777777" w:rsidR="005E000F" w:rsidRDefault="00000000">
                    <w:pPr>
                      <w:widowControl w:val="0"/>
                      <w:jc w:val="right"/>
                      <w:rPr>
                        <w:sz w:val="18"/>
                        <w:szCs w:val="18"/>
                      </w:rPr>
                    </w:pPr>
                    <w:r>
                      <w:rPr>
                        <w:sz w:val="18"/>
                        <w:szCs w:val="18"/>
                      </w:rPr>
                      <w:t>5,001,757,702</w:t>
                    </w:r>
                  </w:p>
                </w:tc>
                <w:tc>
                  <w:tcPr>
                    <w:tcW w:w="1341" w:type="dxa"/>
                    <w:vAlign w:val="center"/>
                  </w:tcPr>
                  <w:p w14:paraId="31A7BBA4" w14:textId="77777777" w:rsidR="005E000F" w:rsidRDefault="00000000">
                    <w:pPr>
                      <w:widowControl w:val="0"/>
                      <w:jc w:val="right"/>
                      <w:rPr>
                        <w:sz w:val="18"/>
                        <w:szCs w:val="18"/>
                      </w:rPr>
                    </w:pPr>
                    <w:r>
                      <w:rPr>
                        <w:sz w:val="18"/>
                        <w:szCs w:val="18"/>
                      </w:rPr>
                      <w:t>0</w:t>
                    </w:r>
                  </w:p>
                </w:tc>
                <w:tc>
                  <w:tcPr>
                    <w:tcW w:w="1251" w:type="dxa"/>
                    <w:vAlign w:val="center"/>
                  </w:tcPr>
                  <w:p w14:paraId="0AD6602B" w14:textId="77777777" w:rsidR="005E000F" w:rsidRDefault="00000000">
                    <w:pPr>
                      <w:widowControl w:val="0"/>
                      <w:jc w:val="right"/>
                      <w:rPr>
                        <w:sz w:val="18"/>
                        <w:szCs w:val="18"/>
                      </w:rPr>
                    </w:pPr>
                    <w:r>
                      <w:rPr>
                        <w:sz w:val="18"/>
                        <w:szCs w:val="18"/>
                      </w:rPr>
                      <w:t>0</w:t>
                    </w:r>
                  </w:p>
                </w:tc>
                <w:tc>
                  <w:tcPr>
                    <w:tcW w:w="1251" w:type="dxa"/>
                    <w:vAlign w:val="center"/>
                  </w:tcPr>
                  <w:p w14:paraId="5D340013" w14:textId="77777777" w:rsidR="005E000F" w:rsidRDefault="00000000">
                    <w:pPr>
                      <w:widowControl w:val="0"/>
                      <w:jc w:val="right"/>
                      <w:rPr>
                        <w:sz w:val="18"/>
                        <w:szCs w:val="18"/>
                      </w:rPr>
                    </w:pPr>
                    <w:r>
                      <w:rPr>
                        <w:sz w:val="18"/>
                        <w:szCs w:val="18"/>
                      </w:rPr>
                      <w:t>0</w:t>
                    </w:r>
                  </w:p>
                </w:tc>
                <w:tc>
                  <w:tcPr>
                    <w:tcW w:w="1341" w:type="dxa"/>
                    <w:vAlign w:val="center"/>
                  </w:tcPr>
                  <w:p w14:paraId="2EF3CA6C" w14:textId="77777777" w:rsidR="005E000F" w:rsidRDefault="00000000">
                    <w:pPr>
                      <w:widowControl w:val="0"/>
                      <w:jc w:val="right"/>
                      <w:rPr>
                        <w:sz w:val="18"/>
                        <w:szCs w:val="18"/>
                      </w:rPr>
                    </w:pPr>
                    <w:r>
                      <w:rPr>
                        <w:sz w:val="18"/>
                        <w:szCs w:val="18"/>
                      </w:rPr>
                      <w:t>5,001,757,702</w:t>
                    </w:r>
                  </w:p>
                </w:tc>
                <w:tc>
                  <w:tcPr>
                    <w:tcW w:w="1341" w:type="dxa"/>
                    <w:vAlign w:val="center"/>
                  </w:tcPr>
                  <w:p w14:paraId="59A94BD4" w14:textId="77777777" w:rsidR="005E000F" w:rsidRDefault="00000000">
                    <w:pPr>
                      <w:widowControl w:val="0"/>
                      <w:jc w:val="right"/>
                      <w:rPr>
                        <w:sz w:val="18"/>
                        <w:szCs w:val="18"/>
                      </w:rPr>
                    </w:pPr>
                    <w:r>
                      <w:rPr>
                        <w:sz w:val="18"/>
                        <w:szCs w:val="18"/>
                      </w:rPr>
                      <w:t>5,001,757,702</w:t>
                    </w:r>
                  </w:p>
                </w:tc>
              </w:tr>
              <w:tr w:rsidR="005E000F" w14:paraId="7E207F80" w14:textId="77777777">
                <w:tc>
                  <w:tcPr>
                    <w:tcW w:w="1020" w:type="dxa"/>
                  </w:tcPr>
                  <w:p w14:paraId="71612962" w14:textId="77777777" w:rsidR="005E000F" w:rsidRDefault="00000000">
                    <w:pPr>
                      <w:widowControl w:val="0"/>
                      <w:jc w:val="both"/>
                      <w:rPr>
                        <w:sz w:val="18"/>
                        <w:szCs w:val="18"/>
                      </w:rPr>
                    </w:pPr>
                    <w:r>
                      <w:rPr>
                        <w:sz w:val="18"/>
                        <w:szCs w:val="18"/>
                      </w:rPr>
                      <w:t>其他应付款</w:t>
                    </w:r>
                  </w:p>
                </w:tc>
                <w:tc>
                  <w:tcPr>
                    <w:tcW w:w="1504" w:type="dxa"/>
                    <w:vAlign w:val="center"/>
                  </w:tcPr>
                  <w:p w14:paraId="377D866B" w14:textId="77777777" w:rsidR="005E000F" w:rsidRDefault="00000000">
                    <w:pPr>
                      <w:widowControl w:val="0"/>
                      <w:jc w:val="right"/>
                      <w:rPr>
                        <w:sz w:val="18"/>
                        <w:szCs w:val="18"/>
                      </w:rPr>
                    </w:pPr>
                    <w:r>
                      <w:rPr>
                        <w:sz w:val="18"/>
                        <w:szCs w:val="18"/>
                      </w:rPr>
                      <w:t>4,138,750,892</w:t>
                    </w:r>
                  </w:p>
                </w:tc>
                <w:tc>
                  <w:tcPr>
                    <w:tcW w:w="1341" w:type="dxa"/>
                    <w:vAlign w:val="center"/>
                  </w:tcPr>
                  <w:p w14:paraId="659A8D69" w14:textId="77777777" w:rsidR="005E000F" w:rsidRDefault="00000000">
                    <w:pPr>
                      <w:widowControl w:val="0"/>
                      <w:jc w:val="right"/>
                      <w:rPr>
                        <w:sz w:val="18"/>
                        <w:szCs w:val="18"/>
                      </w:rPr>
                    </w:pPr>
                    <w:r>
                      <w:rPr>
                        <w:sz w:val="18"/>
                        <w:szCs w:val="18"/>
                      </w:rPr>
                      <w:t>0</w:t>
                    </w:r>
                  </w:p>
                </w:tc>
                <w:tc>
                  <w:tcPr>
                    <w:tcW w:w="1251" w:type="dxa"/>
                    <w:vAlign w:val="center"/>
                  </w:tcPr>
                  <w:p w14:paraId="752FED7A" w14:textId="77777777" w:rsidR="005E000F" w:rsidRDefault="00000000">
                    <w:pPr>
                      <w:widowControl w:val="0"/>
                      <w:jc w:val="right"/>
                      <w:rPr>
                        <w:sz w:val="18"/>
                        <w:szCs w:val="18"/>
                      </w:rPr>
                    </w:pPr>
                    <w:r>
                      <w:rPr>
                        <w:sz w:val="18"/>
                        <w:szCs w:val="18"/>
                      </w:rPr>
                      <w:t>0</w:t>
                    </w:r>
                  </w:p>
                </w:tc>
                <w:tc>
                  <w:tcPr>
                    <w:tcW w:w="1251" w:type="dxa"/>
                    <w:vAlign w:val="center"/>
                  </w:tcPr>
                  <w:p w14:paraId="4AB65695" w14:textId="77777777" w:rsidR="005E000F" w:rsidRDefault="00000000">
                    <w:pPr>
                      <w:widowControl w:val="0"/>
                      <w:jc w:val="right"/>
                      <w:rPr>
                        <w:sz w:val="18"/>
                        <w:szCs w:val="18"/>
                      </w:rPr>
                    </w:pPr>
                    <w:r>
                      <w:rPr>
                        <w:sz w:val="18"/>
                        <w:szCs w:val="18"/>
                      </w:rPr>
                      <w:t>0</w:t>
                    </w:r>
                  </w:p>
                </w:tc>
                <w:tc>
                  <w:tcPr>
                    <w:tcW w:w="1341" w:type="dxa"/>
                    <w:vAlign w:val="center"/>
                  </w:tcPr>
                  <w:p w14:paraId="5024764F" w14:textId="77777777" w:rsidR="005E000F" w:rsidRDefault="00000000">
                    <w:pPr>
                      <w:widowControl w:val="0"/>
                      <w:jc w:val="right"/>
                      <w:rPr>
                        <w:sz w:val="18"/>
                        <w:szCs w:val="18"/>
                      </w:rPr>
                    </w:pPr>
                    <w:r>
                      <w:rPr>
                        <w:sz w:val="18"/>
                        <w:szCs w:val="18"/>
                      </w:rPr>
                      <w:t>4,138,750,892</w:t>
                    </w:r>
                  </w:p>
                </w:tc>
                <w:tc>
                  <w:tcPr>
                    <w:tcW w:w="1341" w:type="dxa"/>
                    <w:vAlign w:val="center"/>
                  </w:tcPr>
                  <w:p w14:paraId="21DB88EC" w14:textId="77777777" w:rsidR="005E000F" w:rsidRDefault="00000000">
                    <w:pPr>
                      <w:widowControl w:val="0"/>
                      <w:jc w:val="right"/>
                      <w:rPr>
                        <w:sz w:val="18"/>
                        <w:szCs w:val="18"/>
                      </w:rPr>
                    </w:pPr>
                    <w:r>
                      <w:rPr>
                        <w:sz w:val="18"/>
                        <w:szCs w:val="18"/>
                      </w:rPr>
                      <w:t>4,138,750,892</w:t>
                    </w:r>
                  </w:p>
                </w:tc>
              </w:tr>
              <w:tr w:rsidR="005E000F" w14:paraId="3DABA4F6" w14:textId="77777777">
                <w:tc>
                  <w:tcPr>
                    <w:tcW w:w="1020" w:type="dxa"/>
                  </w:tcPr>
                  <w:p w14:paraId="3FC8536D" w14:textId="77777777" w:rsidR="005E000F" w:rsidRDefault="00000000">
                    <w:pPr>
                      <w:widowControl w:val="0"/>
                      <w:jc w:val="both"/>
                      <w:rPr>
                        <w:sz w:val="18"/>
                        <w:szCs w:val="18"/>
                      </w:rPr>
                    </w:pPr>
                    <w:r>
                      <w:rPr>
                        <w:sz w:val="18"/>
                        <w:szCs w:val="18"/>
                      </w:rPr>
                      <w:t>长期借款</w:t>
                    </w:r>
                  </w:p>
                </w:tc>
                <w:tc>
                  <w:tcPr>
                    <w:tcW w:w="1504" w:type="dxa"/>
                    <w:vAlign w:val="center"/>
                  </w:tcPr>
                  <w:p w14:paraId="0335553E" w14:textId="77777777" w:rsidR="005E000F" w:rsidRDefault="00000000">
                    <w:pPr>
                      <w:widowControl w:val="0"/>
                      <w:jc w:val="right"/>
                      <w:rPr>
                        <w:sz w:val="18"/>
                        <w:szCs w:val="18"/>
                      </w:rPr>
                    </w:pPr>
                    <w:r>
                      <w:rPr>
                        <w:sz w:val="18"/>
                        <w:szCs w:val="18"/>
                      </w:rPr>
                      <w:t>1,917,523,362</w:t>
                    </w:r>
                  </w:p>
                </w:tc>
                <w:tc>
                  <w:tcPr>
                    <w:tcW w:w="1341" w:type="dxa"/>
                    <w:vAlign w:val="center"/>
                  </w:tcPr>
                  <w:p w14:paraId="3013DA6E" w14:textId="77777777" w:rsidR="005E000F" w:rsidRDefault="00000000">
                    <w:pPr>
                      <w:widowControl w:val="0"/>
                      <w:jc w:val="right"/>
                      <w:rPr>
                        <w:sz w:val="18"/>
                        <w:szCs w:val="18"/>
                      </w:rPr>
                    </w:pPr>
                    <w:r>
                      <w:rPr>
                        <w:sz w:val="18"/>
                        <w:szCs w:val="18"/>
                      </w:rPr>
                      <w:t>2,374,326,814</w:t>
                    </w:r>
                  </w:p>
                </w:tc>
                <w:tc>
                  <w:tcPr>
                    <w:tcW w:w="1251" w:type="dxa"/>
                    <w:vAlign w:val="center"/>
                  </w:tcPr>
                  <w:p w14:paraId="04AF7C91" w14:textId="77777777" w:rsidR="005E000F" w:rsidRDefault="00000000">
                    <w:pPr>
                      <w:widowControl w:val="0"/>
                      <w:jc w:val="right"/>
                      <w:rPr>
                        <w:sz w:val="18"/>
                        <w:szCs w:val="18"/>
                      </w:rPr>
                    </w:pPr>
                    <w:r>
                      <w:rPr>
                        <w:sz w:val="18"/>
                        <w:szCs w:val="18"/>
                      </w:rPr>
                      <w:t>4,033,569,146</w:t>
                    </w:r>
                  </w:p>
                </w:tc>
                <w:tc>
                  <w:tcPr>
                    <w:tcW w:w="1251" w:type="dxa"/>
                    <w:vAlign w:val="center"/>
                  </w:tcPr>
                  <w:p w14:paraId="5B4A7F8C" w14:textId="77777777" w:rsidR="005E000F" w:rsidRDefault="00000000">
                    <w:pPr>
                      <w:widowControl w:val="0"/>
                      <w:jc w:val="right"/>
                      <w:rPr>
                        <w:sz w:val="18"/>
                        <w:szCs w:val="18"/>
                      </w:rPr>
                    </w:pPr>
                    <w:r>
                      <w:rPr>
                        <w:sz w:val="18"/>
                        <w:szCs w:val="18"/>
                      </w:rPr>
                      <w:t>3,986,860,762</w:t>
                    </w:r>
                  </w:p>
                </w:tc>
                <w:tc>
                  <w:tcPr>
                    <w:tcW w:w="1341" w:type="dxa"/>
                    <w:vAlign w:val="center"/>
                  </w:tcPr>
                  <w:p w14:paraId="540BF287" w14:textId="77777777" w:rsidR="005E000F" w:rsidRDefault="00000000">
                    <w:pPr>
                      <w:widowControl w:val="0"/>
                      <w:jc w:val="right"/>
                      <w:rPr>
                        <w:sz w:val="18"/>
                        <w:szCs w:val="18"/>
                      </w:rPr>
                    </w:pPr>
                    <w:r>
                      <w:rPr>
                        <w:sz w:val="18"/>
                        <w:szCs w:val="18"/>
                      </w:rPr>
                      <w:t>12,312,280,084</w:t>
                    </w:r>
                  </w:p>
                </w:tc>
                <w:tc>
                  <w:tcPr>
                    <w:tcW w:w="1341" w:type="dxa"/>
                    <w:vAlign w:val="center"/>
                  </w:tcPr>
                  <w:p w14:paraId="6964089F" w14:textId="77777777" w:rsidR="005E000F" w:rsidRDefault="00000000">
                    <w:pPr>
                      <w:widowControl w:val="0"/>
                      <w:jc w:val="right"/>
                      <w:rPr>
                        <w:sz w:val="18"/>
                        <w:szCs w:val="18"/>
                      </w:rPr>
                    </w:pPr>
                    <w:r>
                      <w:rPr>
                        <w:sz w:val="18"/>
                        <w:szCs w:val="18"/>
                      </w:rPr>
                      <w:t>11,022,175,076</w:t>
                    </w:r>
                  </w:p>
                </w:tc>
              </w:tr>
              <w:tr w:rsidR="005E000F" w14:paraId="38E854A5" w14:textId="77777777">
                <w:tc>
                  <w:tcPr>
                    <w:tcW w:w="1020" w:type="dxa"/>
                  </w:tcPr>
                  <w:p w14:paraId="7CE44C1A" w14:textId="77777777" w:rsidR="005E000F" w:rsidRDefault="00000000">
                    <w:pPr>
                      <w:widowControl w:val="0"/>
                      <w:jc w:val="both"/>
                      <w:rPr>
                        <w:sz w:val="18"/>
                        <w:szCs w:val="18"/>
                      </w:rPr>
                    </w:pPr>
                    <w:r>
                      <w:rPr>
                        <w:sz w:val="18"/>
                        <w:szCs w:val="18"/>
                      </w:rPr>
                      <w:t>应付债券</w:t>
                    </w:r>
                  </w:p>
                </w:tc>
                <w:tc>
                  <w:tcPr>
                    <w:tcW w:w="1504" w:type="dxa"/>
                    <w:vAlign w:val="center"/>
                  </w:tcPr>
                  <w:p w14:paraId="5D48805F" w14:textId="77777777" w:rsidR="005E000F" w:rsidRDefault="00000000">
                    <w:pPr>
                      <w:widowControl w:val="0"/>
                      <w:jc w:val="right"/>
                      <w:rPr>
                        <w:sz w:val="18"/>
                        <w:szCs w:val="18"/>
                      </w:rPr>
                    </w:pPr>
                    <w:r>
                      <w:rPr>
                        <w:sz w:val="18"/>
                        <w:szCs w:val="18"/>
                      </w:rPr>
                      <w:t>199,427,670</w:t>
                    </w:r>
                  </w:p>
                </w:tc>
                <w:tc>
                  <w:tcPr>
                    <w:tcW w:w="1341" w:type="dxa"/>
                    <w:vAlign w:val="center"/>
                  </w:tcPr>
                  <w:p w14:paraId="4171B153" w14:textId="77777777" w:rsidR="005E000F" w:rsidRDefault="00000000">
                    <w:pPr>
                      <w:widowControl w:val="0"/>
                      <w:jc w:val="right"/>
                      <w:rPr>
                        <w:sz w:val="18"/>
                        <w:szCs w:val="18"/>
                      </w:rPr>
                    </w:pPr>
                    <w:r>
                      <w:rPr>
                        <w:sz w:val="18"/>
                        <w:szCs w:val="18"/>
                      </w:rPr>
                      <w:t>8,283,918,600</w:t>
                    </w:r>
                  </w:p>
                </w:tc>
                <w:tc>
                  <w:tcPr>
                    <w:tcW w:w="1251" w:type="dxa"/>
                    <w:vAlign w:val="center"/>
                  </w:tcPr>
                  <w:p w14:paraId="41AC9DCF" w14:textId="77777777" w:rsidR="005E000F" w:rsidRDefault="00000000">
                    <w:pPr>
                      <w:widowControl w:val="0"/>
                      <w:jc w:val="right"/>
                      <w:rPr>
                        <w:sz w:val="18"/>
                        <w:szCs w:val="18"/>
                      </w:rPr>
                    </w:pPr>
                    <w:r>
                      <w:rPr>
                        <w:sz w:val="18"/>
                        <w:szCs w:val="18"/>
                      </w:rPr>
                      <w:t>0</w:t>
                    </w:r>
                  </w:p>
                </w:tc>
                <w:tc>
                  <w:tcPr>
                    <w:tcW w:w="1251" w:type="dxa"/>
                    <w:vAlign w:val="center"/>
                  </w:tcPr>
                  <w:p w14:paraId="162EF42E" w14:textId="77777777" w:rsidR="005E000F" w:rsidRDefault="00000000">
                    <w:pPr>
                      <w:widowControl w:val="0"/>
                      <w:jc w:val="right"/>
                      <w:rPr>
                        <w:sz w:val="18"/>
                        <w:szCs w:val="18"/>
                      </w:rPr>
                    </w:pPr>
                    <w:r>
                      <w:rPr>
                        <w:sz w:val="18"/>
                        <w:szCs w:val="18"/>
                      </w:rPr>
                      <w:t>0</w:t>
                    </w:r>
                  </w:p>
                </w:tc>
                <w:tc>
                  <w:tcPr>
                    <w:tcW w:w="1341" w:type="dxa"/>
                    <w:vAlign w:val="center"/>
                  </w:tcPr>
                  <w:p w14:paraId="225A445B" w14:textId="77777777" w:rsidR="005E000F" w:rsidRDefault="00000000">
                    <w:pPr>
                      <w:widowControl w:val="0"/>
                      <w:jc w:val="right"/>
                      <w:rPr>
                        <w:sz w:val="18"/>
                        <w:szCs w:val="18"/>
                      </w:rPr>
                    </w:pPr>
                    <w:r>
                      <w:rPr>
                        <w:sz w:val="18"/>
                        <w:szCs w:val="18"/>
                      </w:rPr>
                      <w:t>8,483,346,270</w:t>
                    </w:r>
                  </w:p>
                </w:tc>
                <w:tc>
                  <w:tcPr>
                    <w:tcW w:w="1341" w:type="dxa"/>
                    <w:vAlign w:val="center"/>
                  </w:tcPr>
                  <w:p w14:paraId="7BFD2102" w14:textId="77777777" w:rsidR="005E000F" w:rsidRDefault="00000000">
                    <w:pPr>
                      <w:widowControl w:val="0"/>
                      <w:jc w:val="right"/>
                      <w:rPr>
                        <w:sz w:val="18"/>
                        <w:szCs w:val="18"/>
                      </w:rPr>
                    </w:pPr>
                    <w:r>
                      <w:rPr>
                        <w:sz w:val="18"/>
                        <w:szCs w:val="18"/>
                      </w:rPr>
                      <w:t>7,602,639,363</w:t>
                    </w:r>
                  </w:p>
                </w:tc>
              </w:tr>
              <w:tr w:rsidR="005E000F" w14:paraId="6E43CA0A" w14:textId="77777777">
                <w:tc>
                  <w:tcPr>
                    <w:tcW w:w="1020" w:type="dxa"/>
                    <w:shd w:val="clear" w:color="auto" w:fill="auto"/>
                  </w:tcPr>
                  <w:p w14:paraId="44040ECA" w14:textId="77777777" w:rsidR="005E000F" w:rsidRDefault="00000000">
                    <w:pPr>
                      <w:widowControl w:val="0"/>
                      <w:jc w:val="both"/>
                      <w:rPr>
                        <w:sz w:val="18"/>
                        <w:szCs w:val="18"/>
                      </w:rPr>
                    </w:pPr>
                    <w:r>
                      <w:rPr>
                        <w:sz w:val="18"/>
                        <w:szCs w:val="18"/>
                      </w:rPr>
                      <w:t>租赁负债</w:t>
                    </w:r>
                  </w:p>
                </w:tc>
                <w:tc>
                  <w:tcPr>
                    <w:tcW w:w="1504" w:type="dxa"/>
                    <w:shd w:val="clear" w:color="auto" w:fill="auto"/>
                    <w:vAlign w:val="center"/>
                  </w:tcPr>
                  <w:p w14:paraId="6AB834D8" w14:textId="77777777" w:rsidR="005E000F" w:rsidRDefault="00000000">
                    <w:pPr>
                      <w:widowControl w:val="0"/>
                      <w:jc w:val="right"/>
                      <w:rPr>
                        <w:sz w:val="18"/>
                        <w:szCs w:val="18"/>
                      </w:rPr>
                    </w:pPr>
                    <w:r>
                      <w:rPr>
                        <w:sz w:val="18"/>
                        <w:szCs w:val="18"/>
                      </w:rPr>
                      <w:t>267,579,621</w:t>
                    </w:r>
                  </w:p>
                </w:tc>
                <w:tc>
                  <w:tcPr>
                    <w:tcW w:w="1341" w:type="dxa"/>
                    <w:shd w:val="clear" w:color="auto" w:fill="auto"/>
                    <w:vAlign w:val="center"/>
                  </w:tcPr>
                  <w:p w14:paraId="37D03E07" w14:textId="77777777" w:rsidR="005E000F" w:rsidRDefault="00000000">
                    <w:pPr>
                      <w:widowControl w:val="0"/>
                      <w:jc w:val="right"/>
                      <w:rPr>
                        <w:sz w:val="18"/>
                        <w:szCs w:val="18"/>
                      </w:rPr>
                    </w:pPr>
                    <w:r>
                      <w:rPr>
                        <w:sz w:val="18"/>
                        <w:szCs w:val="18"/>
                      </w:rPr>
                      <w:t>261,930,785</w:t>
                    </w:r>
                  </w:p>
                </w:tc>
                <w:tc>
                  <w:tcPr>
                    <w:tcW w:w="1251" w:type="dxa"/>
                    <w:shd w:val="clear" w:color="auto" w:fill="auto"/>
                    <w:vAlign w:val="center"/>
                  </w:tcPr>
                  <w:p w14:paraId="4AE85A2D" w14:textId="77777777" w:rsidR="005E000F" w:rsidRDefault="00000000">
                    <w:pPr>
                      <w:widowControl w:val="0"/>
                      <w:jc w:val="right"/>
                      <w:rPr>
                        <w:sz w:val="18"/>
                        <w:szCs w:val="18"/>
                      </w:rPr>
                    </w:pPr>
                    <w:r>
                      <w:rPr>
                        <w:sz w:val="18"/>
                        <w:szCs w:val="18"/>
                      </w:rPr>
                      <w:t>191,587,199</w:t>
                    </w:r>
                  </w:p>
                </w:tc>
                <w:tc>
                  <w:tcPr>
                    <w:tcW w:w="1251" w:type="dxa"/>
                    <w:shd w:val="clear" w:color="auto" w:fill="auto"/>
                    <w:vAlign w:val="center"/>
                  </w:tcPr>
                  <w:p w14:paraId="4ED83CB3" w14:textId="77777777" w:rsidR="005E000F" w:rsidRDefault="00000000">
                    <w:pPr>
                      <w:widowControl w:val="0"/>
                      <w:jc w:val="right"/>
                      <w:rPr>
                        <w:sz w:val="18"/>
                        <w:szCs w:val="18"/>
                      </w:rPr>
                    </w:pPr>
                    <w:r>
                      <w:rPr>
                        <w:sz w:val="18"/>
                        <w:szCs w:val="18"/>
                      </w:rPr>
                      <w:t>841,622,189</w:t>
                    </w:r>
                  </w:p>
                </w:tc>
                <w:tc>
                  <w:tcPr>
                    <w:tcW w:w="1341" w:type="dxa"/>
                    <w:shd w:val="clear" w:color="auto" w:fill="auto"/>
                    <w:vAlign w:val="center"/>
                  </w:tcPr>
                  <w:p w14:paraId="589D7C63" w14:textId="77777777" w:rsidR="005E000F" w:rsidRDefault="00000000">
                    <w:pPr>
                      <w:widowControl w:val="0"/>
                      <w:jc w:val="right"/>
                      <w:rPr>
                        <w:sz w:val="18"/>
                        <w:szCs w:val="18"/>
                      </w:rPr>
                    </w:pPr>
                    <w:r>
                      <w:rPr>
                        <w:sz w:val="18"/>
                        <w:szCs w:val="18"/>
                      </w:rPr>
                      <w:t>1,562,719,794</w:t>
                    </w:r>
                  </w:p>
                </w:tc>
                <w:tc>
                  <w:tcPr>
                    <w:tcW w:w="1341" w:type="dxa"/>
                    <w:shd w:val="clear" w:color="auto" w:fill="auto"/>
                    <w:vAlign w:val="center"/>
                  </w:tcPr>
                  <w:p w14:paraId="2CB9C83E" w14:textId="77777777" w:rsidR="005E000F" w:rsidRDefault="00000000">
                    <w:pPr>
                      <w:widowControl w:val="0"/>
                      <w:jc w:val="right"/>
                      <w:rPr>
                        <w:sz w:val="18"/>
                        <w:szCs w:val="18"/>
                      </w:rPr>
                    </w:pPr>
                    <w:r>
                      <w:rPr>
                        <w:sz w:val="18"/>
                        <w:szCs w:val="18"/>
                      </w:rPr>
                      <w:t>1,038,039,902</w:t>
                    </w:r>
                  </w:p>
                </w:tc>
              </w:tr>
              <w:tr w:rsidR="005E000F" w14:paraId="52498F47" w14:textId="77777777">
                <w:tc>
                  <w:tcPr>
                    <w:tcW w:w="1020" w:type="dxa"/>
                  </w:tcPr>
                  <w:p w14:paraId="39AAC178" w14:textId="77777777" w:rsidR="005E000F" w:rsidRDefault="00000000">
                    <w:pPr>
                      <w:widowControl w:val="0"/>
                      <w:jc w:val="both"/>
                      <w:rPr>
                        <w:sz w:val="18"/>
                        <w:szCs w:val="18"/>
                      </w:rPr>
                    </w:pPr>
                    <w:r>
                      <w:rPr>
                        <w:sz w:val="18"/>
                        <w:szCs w:val="18"/>
                      </w:rPr>
                      <w:t>长期应付款（不含专项应付款）</w:t>
                    </w:r>
                  </w:p>
                </w:tc>
                <w:tc>
                  <w:tcPr>
                    <w:tcW w:w="1504" w:type="dxa"/>
                    <w:vAlign w:val="center"/>
                  </w:tcPr>
                  <w:p w14:paraId="66CCD85B" w14:textId="77777777" w:rsidR="005E000F" w:rsidRDefault="00000000">
                    <w:pPr>
                      <w:widowControl w:val="0"/>
                      <w:jc w:val="right"/>
                      <w:rPr>
                        <w:sz w:val="18"/>
                        <w:szCs w:val="18"/>
                      </w:rPr>
                    </w:pPr>
                    <w:r>
                      <w:rPr>
                        <w:sz w:val="18"/>
                        <w:szCs w:val="18"/>
                      </w:rPr>
                      <w:t>0</w:t>
                    </w:r>
                  </w:p>
                </w:tc>
                <w:tc>
                  <w:tcPr>
                    <w:tcW w:w="1341" w:type="dxa"/>
                    <w:vAlign w:val="center"/>
                  </w:tcPr>
                  <w:p w14:paraId="5B950B00" w14:textId="77777777" w:rsidR="005E000F" w:rsidRDefault="00000000">
                    <w:pPr>
                      <w:widowControl w:val="0"/>
                      <w:jc w:val="right"/>
                      <w:rPr>
                        <w:sz w:val="18"/>
                        <w:szCs w:val="18"/>
                      </w:rPr>
                    </w:pPr>
                    <w:r>
                      <w:rPr>
                        <w:sz w:val="18"/>
                        <w:szCs w:val="18"/>
                      </w:rPr>
                      <w:t>0</w:t>
                    </w:r>
                  </w:p>
                </w:tc>
                <w:tc>
                  <w:tcPr>
                    <w:tcW w:w="1251" w:type="dxa"/>
                    <w:vAlign w:val="center"/>
                  </w:tcPr>
                  <w:p w14:paraId="7FD3E712" w14:textId="77777777" w:rsidR="005E000F" w:rsidRDefault="00000000">
                    <w:pPr>
                      <w:widowControl w:val="0"/>
                      <w:jc w:val="right"/>
                      <w:rPr>
                        <w:sz w:val="18"/>
                        <w:szCs w:val="18"/>
                      </w:rPr>
                    </w:pPr>
                    <w:r>
                      <w:rPr>
                        <w:sz w:val="18"/>
                        <w:szCs w:val="18"/>
                      </w:rPr>
                      <w:t>0</w:t>
                    </w:r>
                  </w:p>
                </w:tc>
                <w:tc>
                  <w:tcPr>
                    <w:tcW w:w="1251" w:type="dxa"/>
                    <w:vAlign w:val="center"/>
                  </w:tcPr>
                  <w:p w14:paraId="7F54A934" w14:textId="77777777" w:rsidR="005E000F" w:rsidRDefault="00000000">
                    <w:pPr>
                      <w:widowControl w:val="0"/>
                      <w:jc w:val="right"/>
                      <w:rPr>
                        <w:sz w:val="18"/>
                        <w:szCs w:val="18"/>
                      </w:rPr>
                    </w:pPr>
                    <w:r>
                      <w:rPr>
                        <w:sz w:val="18"/>
                        <w:szCs w:val="18"/>
                      </w:rPr>
                      <w:t>224,186</w:t>
                    </w:r>
                  </w:p>
                </w:tc>
                <w:tc>
                  <w:tcPr>
                    <w:tcW w:w="1341" w:type="dxa"/>
                    <w:vAlign w:val="center"/>
                  </w:tcPr>
                  <w:p w14:paraId="6DEC1FE8" w14:textId="77777777" w:rsidR="005E000F" w:rsidRDefault="00000000">
                    <w:pPr>
                      <w:widowControl w:val="0"/>
                      <w:jc w:val="right"/>
                      <w:rPr>
                        <w:sz w:val="18"/>
                        <w:szCs w:val="18"/>
                      </w:rPr>
                    </w:pPr>
                    <w:r>
                      <w:rPr>
                        <w:sz w:val="18"/>
                        <w:szCs w:val="18"/>
                      </w:rPr>
                      <w:t>224,186</w:t>
                    </w:r>
                  </w:p>
                </w:tc>
                <w:tc>
                  <w:tcPr>
                    <w:tcW w:w="1341" w:type="dxa"/>
                    <w:vAlign w:val="center"/>
                  </w:tcPr>
                  <w:p w14:paraId="1690F667" w14:textId="77777777" w:rsidR="005E000F" w:rsidRDefault="00000000">
                    <w:pPr>
                      <w:widowControl w:val="0"/>
                      <w:jc w:val="right"/>
                      <w:rPr>
                        <w:sz w:val="18"/>
                        <w:szCs w:val="18"/>
                      </w:rPr>
                    </w:pPr>
                    <w:r>
                      <w:rPr>
                        <w:sz w:val="18"/>
                        <w:szCs w:val="18"/>
                      </w:rPr>
                      <w:t>224,186</w:t>
                    </w:r>
                  </w:p>
                </w:tc>
              </w:tr>
              <w:tr w:rsidR="005E000F" w14:paraId="4BB5BF89" w14:textId="77777777">
                <w:tc>
                  <w:tcPr>
                    <w:tcW w:w="1020" w:type="dxa"/>
                  </w:tcPr>
                  <w:p w14:paraId="6B0A8A08" w14:textId="77777777" w:rsidR="005E000F" w:rsidRDefault="00000000">
                    <w:pPr>
                      <w:widowControl w:val="0"/>
                      <w:jc w:val="both"/>
                      <w:rPr>
                        <w:sz w:val="18"/>
                        <w:szCs w:val="18"/>
                      </w:rPr>
                    </w:pPr>
                    <w:r>
                      <w:rPr>
                        <w:sz w:val="18"/>
                        <w:szCs w:val="18"/>
                      </w:rPr>
                      <w:t>合计</w:t>
                    </w:r>
                  </w:p>
                </w:tc>
                <w:tc>
                  <w:tcPr>
                    <w:tcW w:w="1504" w:type="dxa"/>
                    <w:vAlign w:val="center"/>
                  </w:tcPr>
                  <w:p w14:paraId="0E5E3CAF" w14:textId="77777777" w:rsidR="005E000F" w:rsidRDefault="00000000">
                    <w:pPr>
                      <w:widowControl w:val="0"/>
                      <w:jc w:val="right"/>
                      <w:rPr>
                        <w:sz w:val="18"/>
                        <w:szCs w:val="18"/>
                      </w:rPr>
                    </w:pPr>
                    <w:r>
                      <w:rPr>
                        <w:sz w:val="18"/>
                        <w:szCs w:val="18"/>
                      </w:rPr>
                      <w:t>11,895,020,011</w:t>
                    </w:r>
                  </w:p>
                </w:tc>
                <w:tc>
                  <w:tcPr>
                    <w:tcW w:w="1341" w:type="dxa"/>
                    <w:vAlign w:val="center"/>
                  </w:tcPr>
                  <w:p w14:paraId="504ACF14" w14:textId="77777777" w:rsidR="005E000F" w:rsidRDefault="00000000">
                    <w:pPr>
                      <w:widowControl w:val="0"/>
                      <w:jc w:val="right"/>
                      <w:rPr>
                        <w:sz w:val="18"/>
                        <w:szCs w:val="18"/>
                      </w:rPr>
                    </w:pPr>
                    <w:r>
                      <w:rPr>
                        <w:sz w:val="18"/>
                        <w:szCs w:val="18"/>
                      </w:rPr>
                      <w:t>10,920,176,199</w:t>
                    </w:r>
                  </w:p>
                </w:tc>
                <w:tc>
                  <w:tcPr>
                    <w:tcW w:w="1251" w:type="dxa"/>
                    <w:vAlign w:val="center"/>
                  </w:tcPr>
                  <w:p w14:paraId="60F7135F" w14:textId="77777777" w:rsidR="005E000F" w:rsidRDefault="00000000">
                    <w:pPr>
                      <w:widowControl w:val="0"/>
                      <w:jc w:val="right"/>
                      <w:rPr>
                        <w:sz w:val="18"/>
                        <w:szCs w:val="18"/>
                      </w:rPr>
                    </w:pPr>
                    <w:r>
                      <w:rPr>
                        <w:sz w:val="18"/>
                        <w:szCs w:val="18"/>
                      </w:rPr>
                      <w:t>4,225,156,345</w:t>
                    </w:r>
                  </w:p>
                </w:tc>
                <w:tc>
                  <w:tcPr>
                    <w:tcW w:w="1251" w:type="dxa"/>
                    <w:vAlign w:val="center"/>
                  </w:tcPr>
                  <w:p w14:paraId="01AF0CF1" w14:textId="77777777" w:rsidR="005E000F" w:rsidRDefault="00000000">
                    <w:pPr>
                      <w:widowControl w:val="0"/>
                      <w:jc w:val="right"/>
                      <w:rPr>
                        <w:sz w:val="18"/>
                        <w:szCs w:val="18"/>
                      </w:rPr>
                    </w:pPr>
                    <w:r>
                      <w:rPr>
                        <w:sz w:val="18"/>
                        <w:szCs w:val="18"/>
                      </w:rPr>
                      <w:t>4,828,707,137</w:t>
                    </w:r>
                  </w:p>
                </w:tc>
                <w:tc>
                  <w:tcPr>
                    <w:tcW w:w="1341" w:type="dxa"/>
                    <w:vAlign w:val="center"/>
                  </w:tcPr>
                  <w:p w14:paraId="33901C78" w14:textId="77777777" w:rsidR="005E000F" w:rsidRDefault="00000000">
                    <w:pPr>
                      <w:widowControl w:val="0"/>
                      <w:jc w:val="right"/>
                      <w:rPr>
                        <w:sz w:val="18"/>
                        <w:szCs w:val="18"/>
                      </w:rPr>
                    </w:pPr>
                    <w:r>
                      <w:rPr>
                        <w:sz w:val="18"/>
                        <w:szCs w:val="18"/>
                      </w:rPr>
                      <w:t>31,869,059,692</w:t>
                    </w:r>
                  </w:p>
                </w:tc>
                <w:tc>
                  <w:tcPr>
                    <w:tcW w:w="1341" w:type="dxa"/>
                    <w:vAlign w:val="center"/>
                  </w:tcPr>
                  <w:p w14:paraId="3AA0F3CC" w14:textId="77777777" w:rsidR="005E000F" w:rsidRDefault="00000000">
                    <w:pPr>
                      <w:widowControl w:val="0"/>
                      <w:jc w:val="right"/>
                      <w:rPr>
                        <w:sz w:val="18"/>
                        <w:szCs w:val="18"/>
                      </w:rPr>
                    </w:pPr>
                    <w:r>
                      <w:rPr>
                        <w:sz w:val="18"/>
                        <w:szCs w:val="18"/>
                      </w:rPr>
                      <w:t>29,169,970,460</w:t>
                    </w:r>
                  </w:p>
                </w:tc>
              </w:tr>
            </w:tbl>
            <w:p w14:paraId="1681D03A" w14:textId="77777777" w:rsidR="005E000F" w:rsidRDefault="005E000F">
              <w:pPr>
                <w:rPr>
                  <w:color w:val="000000" w:themeColor="text1"/>
                </w:rPr>
              </w:pPr>
            </w:p>
            <w:p w14:paraId="0D1DF24D" w14:textId="77777777" w:rsidR="005E000F" w:rsidRDefault="00000000">
              <w:pPr>
                <w:rPr>
                  <w:color w:val="000000" w:themeColor="text1"/>
                </w:rPr>
              </w:pPr>
              <w:r>
                <w:rPr>
                  <w:color w:val="000000" w:themeColor="text1"/>
                </w:rPr>
                <w:t>3</w:t>
              </w:r>
              <w:r>
                <w:rPr>
                  <w:color w:val="000000" w:themeColor="text1"/>
                </w:rPr>
                <w:t>、利率风险</w:t>
              </w:r>
            </w:p>
            <w:p w14:paraId="50E53469" w14:textId="77777777" w:rsidR="005E000F" w:rsidRDefault="005E000F">
              <w:pPr>
                <w:rPr>
                  <w:color w:val="000000" w:themeColor="text1"/>
                </w:rPr>
              </w:pPr>
            </w:p>
            <w:p w14:paraId="04188214" w14:textId="77777777" w:rsidR="005E000F" w:rsidRDefault="00000000">
              <w:pPr>
                <w:rPr>
                  <w:color w:val="000000" w:themeColor="text1"/>
                </w:rPr>
              </w:pPr>
              <w:r>
                <w:rPr>
                  <w:color w:val="000000" w:themeColor="text1"/>
                </w:rPr>
                <w:t>固定利率和浮动利率的带息金融工具分别使公司面临公允价值利率风险及现金流量利率风险。</w:t>
              </w:r>
              <w:r>
                <w:rPr>
                  <w:rFonts w:hint="eastAsia"/>
                  <w:color w:val="000000" w:themeColor="text1"/>
                </w:rPr>
                <w:t>本集团</w:t>
              </w:r>
              <w:r>
                <w:rPr>
                  <w:color w:val="000000" w:themeColor="text1"/>
                </w:rPr>
                <w:t>根据市场环境来决定固定利率与浮动利率工具的比例，并通过定期审阅与监察维持适当的固定和浮动利率工具组合。</w:t>
              </w:r>
            </w:p>
            <w:p w14:paraId="3B42FC41" w14:textId="77777777" w:rsidR="005E000F" w:rsidRDefault="005E000F">
              <w:pPr>
                <w:rPr>
                  <w:color w:val="000000" w:themeColor="text1"/>
                </w:rPr>
              </w:pPr>
            </w:p>
            <w:p w14:paraId="13D40BEE" w14:textId="77777777" w:rsidR="005E000F" w:rsidRDefault="00000000">
              <w:pPr>
                <w:rPr>
                  <w:color w:val="000000" w:themeColor="text1"/>
                </w:rPr>
              </w:pPr>
              <w:r>
                <w:rPr>
                  <w:color w:val="000000" w:themeColor="text1"/>
                </w:rPr>
                <w:t>（</w:t>
              </w:r>
              <w:r>
                <w:rPr>
                  <w:color w:val="000000" w:themeColor="text1"/>
                </w:rPr>
                <w:t>a</w:t>
              </w:r>
              <w:r>
                <w:rPr>
                  <w:color w:val="000000" w:themeColor="text1"/>
                </w:rPr>
                <w:t>）</w:t>
              </w:r>
              <w:r>
                <w:rPr>
                  <w:rFonts w:hint="eastAsia"/>
                  <w:color w:val="000000" w:themeColor="text1"/>
                </w:rPr>
                <w:t>本集团</w:t>
              </w:r>
              <w:r>
                <w:rPr>
                  <w:color w:val="000000" w:themeColor="text1"/>
                </w:rPr>
                <w:t>于</w:t>
              </w:r>
              <w:r>
                <w:rPr>
                  <w:color w:val="000000" w:themeColor="text1"/>
                </w:rPr>
                <w:t>12</w:t>
              </w:r>
              <w:r>
                <w:rPr>
                  <w:color w:val="000000" w:themeColor="text1"/>
                </w:rPr>
                <w:t>月</w:t>
              </w:r>
              <w:r>
                <w:rPr>
                  <w:color w:val="000000" w:themeColor="text1"/>
                </w:rPr>
                <w:t>31</w:t>
              </w:r>
              <w:r>
                <w:rPr>
                  <w:color w:val="000000" w:themeColor="text1"/>
                </w:rPr>
                <w:t>日持有的计息金融工具如下：</w:t>
              </w:r>
            </w:p>
            <w:p w14:paraId="48DA536C" w14:textId="77777777" w:rsidR="005E000F" w:rsidRDefault="005E000F">
              <w:pPr>
                <w:rPr>
                  <w:color w:val="000000" w:themeColor="text1"/>
                </w:rPr>
              </w:pPr>
            </w:p>
            <w:p w14:paraId="7ABF2548" w14:textId="77777777" w:rsidR="005E000F" w:rsidRDefault="00000000">
              <w:pPr>
                <w:rPr>
                  <w:color w:val="000000" w:themeColor="text1"/>
                </w:rPr>
              </w:pPr>
              <w:r>
                <w:rPr>
                  <w:color w:val="000000" w:themeColor="text1"/>
                </w:rPr>
                <w:t>固定利率金融工具：</w:t>
              </w:r>
            </w:p>
            <w:p w14:paraId="12062D33" w14:textId="77777777" w:rsidR="005E000F" w:rsidRDefault="00000000">
              <w:pPr>
                <w:jc w:val="right"/>
                <w:rPr>
                  <w:color w:val="000000" w:themeColor="text1"/>
                </w:rPr>
              </w:pPr>
              <w:r>
                <w:rPr>
                  <w:color w:val="000000" w:themeColor="text1"/>
                </w:rPr>
                <w:t>单位：元</w:t>
              </w:r>
              <w:r>
                <w:rPr>
                  <w:color w:val="000000" w:themeColor="text1"/>
                </w:rPr>
                <w:t xml:space="preserve">  </w:t>
              </w:r>
              <w:r>
                <w:rPr>
                  <w:color w:val="000000" w:themeColor="text1"/>
                </w:rPr>
                <w:t>币种：人民币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6"/>
                <w:gridCol w:w="3017"/>
              </w:tblGrid>
              <w:tr w:rsidR="005E000F" w14:paraId="34A66879" w14:textId="77777777">
                <w:tc>
                  <w:tcPr>
                    <w:tcW w:w="3016" w:type="dxa"/>
                    <w:vMerge w:val="restart"/>
                    <w:vAlign w:val="center"/>
                  </w:tcPr>
                  <w:p w14:paraId="1200C2B0" w14:textId="77777777" w:rsidR="005E000F" w:rsidRDefault="00000000">
                    <w:pPr>
                      <w:widowControl w:val="0"/>
                      <w:jc w:val="center"/>
                      <w:rPr>
                        <w:color w:val="000000" w:themeColor="text1"/>
                      </w:rPr>
                    </w:pPr>
                    <w:r>
                      <w:rPr>
                        <w:color w:val="000000" w:themeColor="text1"/>
                      </w:rPr>
                      <w:t>项目</w:t>
                    </w:r>
                  </w:p>
                </w:tc>
                <w:tc>
                  <w:tcPr>
                    <w:tcW w:w="3016" w:type="dxa"/>
                  </w:tcPr>
                  <w:p w14:paraId="4239A684" w14:textId="77777777" w:rsidR="005E000F" w:rsidRDefault="00000000">
                    <w:pPr>
                      <w:widowControl w:val="0"/>
                      <w:jc w:val="center"/>
                      <w:rPr>
                        <w:color w:val="000000" w:themeColor="text1"/>
                      </w:rPr>
                    </w:pPr>
                    <w:r>
                      <w:t>2025</w:t>
                    </w:r>
                    <w:r>
                      <w:t>年</w:t>
                    </w:r>
                    <w:r>
                      <w:t>12</w:t>
                    </w:r>
                    <w:r>
                      <w:t>月</w:t>
                    </w:r>
                    <w:r>
                      <w:t>31</w:t>
                    </w:r>
                    <w:r>
                      <w:t>日</w:t>
                    </w:r>
                  </w:p>
                </w:tc>
                <w:tc>
                  <w:tcPr>
                    <w:tcW w:w="3017" w:type="dxa"/>
                  </w:tcPr>
                  <w:p w14:paraId="38B5E1DB" w14:textId="77777777" w:rsidR="005E000F" w:rsidRDefault="00000000">
                    <w:pPr>
                      <w:widowControl w:val="0"/>
                      <w:jc w:val="center"/>
                      <w:rPr>
                        <w:color w:val="000000" w:themeColor="text1"/>
                      </w:rPr>
                    </w:pPr>
                    <w:r>
                      <w:t>2024</w:t>
                    </w:r>
                    <w:r>
                      <w:t>年</w:t>
                    </w:r>
                    <w:r>
                      <w:t>12</w:t>
                    </w:r>
                    <w:r>
                      <w:t>月</w:t>
                    </w:r>
                    <w:r>
                      <w:t>31</w:t>
                    </w:r>
                    <w:r>
                      <w:t>日</w:t>
                    </w:r>
                  </w:p>
                </w:tc>
              </w:tr>
              <w:tr w:rsidR="005E000F" w14:paraId="66972B14" w14:textId="77777777">
                <w:tc>
                  <w:tcPr>
                    <w:tcW w:w="3016" w:type="dxa"/>
                    <w:vMerge/>
                  </w:tcPr>
                  <w:p w14:paraId="6F02C298" w14:textId="77777777" w:rsidR="005E000F" w:rsidRDefault="005E000F">
                    <w:pPr>
                      <w:widowControl w:val="0"/>
                      <w:jc w:val="both"/>
                    </w:pPr>
                  </w:p>
                </w:tc>
                <w:tc>
                  <w:tcPr>
                    <w:tcW w:w="3016" w:type="dxa"/>
                  </w:tcPr>
                  <w:p w14:paraId="57F03CD9" w14:textId="77777777" w:rsidR="005E000F" w:rsidRDefault="00000000">
                    <w:pPr>
                      <w:widowControl w:val="0"/>
                      <w:jc w:val="center"/>
                    </w:pPr>
                    <w:r>
                      <w:t>金额</w:t>
                    </w:r>
                  </w:p>
                </w:tc>
                <w:tc>
                  <w:tcPr>
                    <w:tcW w:w="3017" w:type="dxa"/>
                  </w:tcPr>
                  <w:p w14:paraId="365B45F2" w14:textId="77777777" w:rsidR="005E000F" w:rsidRDefault="00000000">
                    <w:pPr>
                      <w:widowControl w:val="0"/>
                      <w:jc w:val="center"/>
                    </w:pPr>
                    <w:r>
                      <w:t>金额</w:t>
                    </w:r>
                  </w:p>
                </w:tc>
              </w:tr>
              <w:tr w:rsidR="005E000F" w14:paraId="4167E82F" w14:textId="77777777">
                <w:tc>
                  <w:tcPr>
                    <w:tcW w:w="3016" w:type="dxa"/>
                  </w:tcPr>
                  <w:p w14:paraId="505C9A1F" w14:textId="77777777" w:rsidR="005E000F" w:rsidRDefault="00000000">
                    <w:pPr>
                      <w:widowControl w:val="0"/>
                      <w:jc w:val="both"/>
                    </w:pPr>
                    <w:r>
                      <w:t>金融资产</w:t>
                    </w:r>
                  </w:p>
                </w:tc>
                <w:tc>
                  <w:tcPr>
                    <w:tcW w:w="3016" w:type="dxa"/>
                  </w:tcPr>
                  <w:p w14:paraId="0B917AC5" w14:textId="77777777" w:rsidR="005E000F" w:rsidRDefault="005E000F">
                    <w:pPr>
                      <w:widowControl w:val="0"/>
                      <w:jc w:val="both"/>
                    </w:pPr>
                  </w:p>
                </w:tc>
                <w:tc>
                  <w:tcPr>
                    <w:tcW w:w="3017" w:type="dxa"/>
                  </w:tcPr>
                  <w:p w14:paraId="671F936F" w14:textId="77777777" w:rsidR="005E000F" w:rsidRDefault="005E000F">
                    <w:pPr>
                      <w:widowControl w:val="0"/>
                      <w:jc w:val="both"/>
                    </w:pPr>
                  </w:p>
                </w:tc>
              </w:tr>
              <w:tr w:rsidR="005E000F" w14:paraId="78E307B5" w14:textId="77777777">
                <w:tc>
                  <w:tcPr>
                    <w:tcW w:w="3016" w:type="dxa"/>
                  </w:tcPr>
                  <w:p w14:paraId="4A432B44" w14:textId="77777777" w:rsidR="005E000F" w:rsidRDefault="00000000">
                    <w:pPr>
                      <w:widowControl w:val="0"/>
                      <w:jc w:val="both"/>
                    </w:pPr>
                    <w:r>
                      <w:t>-</w:t>
                    </w:r>
                    <w:r>
                      <w:t>其他流动资产</w:t>
                    </w:r>
                  </w:p>
                </w:tc>
                <w:tc>
                  <w:tcPr>
                    <w:tcW w:w="3016" w:type="dxa"/>
                    <w:vAlign w:val="center"/>
                  </w:tcPr>
                  <w:p w14:paraId="0DDFA187" w14:textId="77777777" w:rsidR="005E000F" w:rsidRDefault="00000000">
                    <w:pPr>
                      <w:widowControl w:val="0"/>
                      <w:jc w:val="right"/>
                    </w:pPr>
                    <w:r>
                      <w:t>502,938,889</w:t>
                    </w:r>
                  </w:p>
                </w:tc>
                <w:tc>
                  <w:tcPr>
                    <w:tcW w:w="3017" w:type="dxa"/>
                    <w:vAlign w:val="center"/>
                  </w:tcPr>
                  <w:p w14:paraId="57447901" w14:textId="77777777" w:rsidR="005E000F" w:rsidRDefault="00000000">
                    <w:pPr>
                      <w:widowControl w:val="0"/>
                      <w:jc w:val="right"/>
                    </w:pPr>
                    <w:r>
                      <w:t>0</w:t>
                    </w:r>
                  </w:p>
                </w:tc>
              </w:tr>
              <w:tr w:rsidR="005E000F" w14:paraId="163CA030" w14:textId="77777777">
                <w:tc>
                  <w:tcPr>
                    <w:tcW w:w="3016" w:type="dxa"/>
                  </w:tcPr>
                  <w:p w14:paraId="38AB9D9F" w14:textId="77777777" w:rsidR="005E000F" w:rsidRDefault="00000000">
                    <w:pPr>
                      <w:widowControl w:val="0"/>
                      <w:jc w:val="both"/>
                    </w:pPr>
                    <w:r>
                      <w:lastRenderedPageBreak/>
                      <w:t>-</w:t>
                    </w:r>
                    <w:r>
                      <w:t>其他非流动资产</w:t>
                    </w:r>
                  </w:p>
                </w:tc>
                <w:tc>
                  <w:tcPr>
                    <w:tcW w:w="3016" w:type="dxa"/>
                    <w:vAlign w:val="center"/>
                  </w:tcPr>
                  <w:p w14:paraId="2ACAA1C6" w14:textId="77777777" w:rsidR="005E000F" w:rsidRDefault="00000000">
                    <w:pPr>
                      <w:widowControl w:val="0"/>
                      <w:jc w:val="right"/>
                    </w:pPr>
                    <w:r>
                      <w:t>4,095,766,666</w:t>
                    </w:r>
                  </w:p>
                </w:tc>
                <w:tc>
                  <w:tcPr>
                    <w:tcW w:w="3017" w:type="dxa"/>
                    <w:vAlign w:val="center"/>
                  </w:tcPr>
                  <w:p w14:paraId="3AACE792" w14:textId="77777777" w:rsidR="005E000F" w:rsidRDefault="00000000">
                    <w:pPr>
                      <w:widowControl w:val="0"/>
                      <w:jc w:val="right"/>
                    </w:pPr>
                    <w:r>
                      <w:t>3,507,166,667</w:t>
                    </w:r>
                  </w:p>
                </w:tc>
              </w:tr>
              <w:tr w:rsidR="005E000F" w14:paraId="7B755258" w14:textId="77777777">
                <w:tc>
                  <w:tcPr>
                    <w:tcW w:w="3016" w:type="dxa"/>
                  </w:tcPr>
                  <w:p w14:paraId="2EDA043E" w14:textId="77777777" w:rsidR="005E000F" w:rsidRDefault="00000000">
                    <w:pPr>
                      <w:widowControl w:val="0"/>
                      <w:jc w:val="both"/>
                    </w:pPr>
                    <w:r>
                      <w:t>金融负债</w:t>
                    </w:r>
                  </w:p>
                </w:tc>
                <w:tc>
                  <w:tcPr>
                    <w:tcW w:w="3016" w:type="dxa"/>
                    <w:vAlign w:val="center"/>
                  </w:tcPr>
                  <w:p w14:paraId="7CE177D7" w14:textId="77777777" w:rsidR="005E000F" w:rsidRDefault="005E000F">
                    <w:pPr>
                      <w:widowControl w:val="0"/>
                      <w:jc w:val="right"/>
                    </w:pPr>
                  </w:p>
                </w:tc>
                <w:tc>
                  <w:tcPr>
                    <w:tcW w:w="3017" w:type="dxa"/>
                    <w:vAlign w:val="center"/>
                  </w:tcPr>
                  <w:p w14:paraId="70BF7195" w14:textId="77777777" w:rsidR="005E000F" w:rsidRDefault="005E000F">
                    <w:pPr>
                      <w:widowControl w:val="0"/>
                      <w:jc w:val="right"/>
                    </w:pPr>
                  </w:p>
                </w:tc>
              </w:tr>
              <w:tr w:rsidR="005E000F" w14:paraId="365C7063" w14:textId="77777777">
                <w:tc>
                  <w:tcPr>
                    <w:tcW w:w="3016" w:type="dxa"/>
                  </w:tcPr>
                  <w:p w14:paraId="5EE4E57D" w14:textId="77777777" w:rsidR="005E000F" w:rsidRDefault="00000000">
                    <w:pPr>
                      <w:widowControl w:val="0"/>
                      <w:jc w:val="both"/>
                    </w:pPr>
                    <w:r>
                      <w:t>-</w:t>
                    </w:r>
                    <w:r>
                      <w:t>短期借款</w:t>
                    </w:r>
                  </w:p>
                </w:tc>
                <w:tc>
                  <w:tcPr>
                    <w:tcW w:w="3016" w:type="dxa"/>
                    <w:vAlign w:val="center"/>
                  </w:tcPr>
                  <w:p w14:paraId="0E44DF6E" w14:textId="77777777" w:rsidR="005E000F" w:rsidRDefault="00000000">
                    <w:pPr>
                      <w:widowControl w:val="0"/>
                      <w:jc w:val="right"/>
                    </w:pPr>
                    <w:r>
                      <w:t xml:space="preserve">0 </w:t>
                    </w:r>
                  </w:p>
                </w:tc>
                <w:tc>
                  <w:tcPr>
                    <w:tcW w:w="3017" w:type="dxa"/>
                    <w:vAlign w:val="center"/>
                  </w:tcPr>
                  <w:p w14:paraId="033C2B79" w14:textId="77777777" w:rsidR="005E000F" w:rsidRDefault="00000000">
                    <w:pPr>
                      <w:widowControl w:val="0"/>
                      <w:jc w:val="right"/>
                    </w:pPr>
                    <w:r>
                      <w:t>0</w:t>
                    </w:r>
                  </w:p>
                </w:tc>
              </w:tr>
              <w:tr w:rsidR="005E000F" w14:paraId="3A8B94D4" w14:textId="77777777">
                <w:tc>
                  <w:tcPr>
                    <w:tcW w:w="3016" w:type="dxa"/>
                  </w:tcPr>
                  <w:p w14:paraId="13505EFC" w14:textId="77777777" w:rsidR="005E000F" w:rsidRDefault="00000000">
                    <w:pPr>
                      <w:widowControl w:val="0"/>
                      <w:jc w:val="both"/>
                    </w:pPr>
                    <w:r>
                      <w:t>-</w:t>
                    </w:r>
                    <w:r>
                      <w:t>长期借款</w:t>
                    </w:r>
                  </w:p>
                </w:tc>
                <w:tc>
                  <w:tcPr>
                    <w:tcW w:w="3016" w:type="dxa"/>
                    <w:vAlign w:val="center"/>
                  </w:tcPr>
                  <w:p w14:paraId="0D58ABF0" w14:textId="77777777" w:rsidR="005E000F" w:rsidRDefault="00000000">
                    <w:pPr>
                      <w:widowControl w:val="0"/>
                      <w:jc w:val="right"/>
                    </w:pPr>
                    <w:r>
                      <w:t>0</w:t>
                    </w:r>
                  </w:p>
                </w:tc>
                <w:tc>
                  <w:tcPr>
                    <w:tcW w:w="3017" w:type="dxa"/>
                    <w:vAlign w:val="center"/>
                  </w:tcPr>
                  <w:p w14:paraId="1DC8C71E" w14:textId="77777777" w:rsidR="005E000F" w:rsidRDefault="00000000">
                    <w:pPr>
                      <w:widowControl w:val="0"/>
                      <w:jc w:val="right"/>
                    </w:pPr>
                    <w:r>
                      <w:t>790,000,000</w:t>
                    </w:r>
                  </w:p>
                </w:tc>
              </w:tr>
              <w:tr w:rsidR="005E000F" w14:paraId="024E9C93" w14:textId="77777777">
                <w:tc>
                  <w:tcPr>
                    <w:tcW w:w="3016" w:type="dxa"/>
                  </w:tcPr>
                  <w:p w14:paraId="17D95512" w14:textId="77777777" w:rsidR="005E000F" w:rsidRDefault="00000000">
                    <w:pPr>
                      <w:widowControl w:val="0"/>
                      <w:jc w:val="both"/>
                    </w:pPr>
                    <w:r>
                      <w:t>-</w:t>
                    </w:r>
                    <w:r>
                      <w:t>应付债券</w:t>
                    </w:r>
                  </w:p>
                </w:tc>
                <w:tc>
                  <w:tcPr>
                    <w:tcW w:w="3016" w:type="dxa"/>
                    <w:vAlign w:val="center"/>
                  </w:tcPr>
                  <w:p w14:paraId="07A15508" w14:textId="77777777" w:rsidR="005E000F" w:rsidRDefault="00000000">
                    <w:pPr>
                      <w:widowControl w:val="0"/>
                      <w:jc w:val="right"/>
                    </w:pPr>
                    <w:r>
                      <w:t>0</w:t>
                    </w:r>
                  </w:p>
                </w:tc>
                <w:tc>
                  <w:tcPr>
                    <w:tcW w:w="3017" w:type="dxa"/>
                    <w:vAlign w:val="center"/>
                  </w:tcPr>
                  <w:p w14:paraId="5347BDF1" w14:textId="77777777" w:rsidR="005E000F" w:rsidRDefault="00000000">
                    <w:pPr>
                      <w:widowControl w:val="0"/>
                      <w:jc w:val="right"/>
                    </w:pPr>
                    <w:r>
                      <w:t>7,593,350,951</w:t>
                    </w:r>
                  </w:p>
                </w:tc>
              </w:tr>
              <w:tr w:rsidR="005E000F" w14:paraId="74F50CD0" w14:textId="77777777">
                <w:tc>
                  <w:tcPr>
                    <w:tcW w:w="3016" w:type="dxa"/>
                  </w:tcPr>
                  <w:p w14:paraId="1CD95499" w14:textId="77777777" w:rsidR="005E000F" w:rsidRDefault="00000000">
                    <w:pPr>
                      <w:widowControl w:val="0"/>
                      <w:jc w:val="both"/>
                    </w:pPr>
                    <w:r>
                      <w:t>-</w:t>
                    </w:r>
                    <w:r>
                      <w:t>租赁负债</w:t>
                    </w:r>
                  </w:p>
                </w:tc>
                <w:tc>
                  <w:tcPr>
                    <w:tcW w:w="3016" w:type="dxa"/>
                    <w:vAlign w:val="center"/>
                  </w:tcPr>
                  <w:p w14:paraId="588F36F8" w14:textId="77777777" w:rsidR="005E000F" w:rsidRDefault="00000000">
                    <w:pPr>
                      <w:widowControl w:val="0"/>
                      <w:jc w:val="right"/>
                    </w:pPr>
                    <w:r>
                      <w:t>2,151,433,413</w:t>
                    </w:r>
                  </w:p>
                </w:tc>
                <w:tc>
                  <w:tcPr>
                    <w:tcW w:w="3017" w:type="dxa"/>
                    <w:vAlign w:val="center"/>
                  </w:tcPr>
                  <w:p w14:paraId="093C9A38" w14:textId="77777777" w:rsidR="005E000F" w:rsidRDefault="00000000">
                    <w:pPr>
                      <w:widowControl w:val="0"/>
                      <w:jc w:val="right"/>
                    </w:pPr>
                    <w:r>
                      <w:t>805,447,713</w:t>
                    </w:r>
                  </w:p>
                </w:tc>
              </w:tr>
              <w:tr w:rsidR="005E000F" w14:paraId="6C462B8D" w14:textId="77777777">
                <w:tc>
                  <w:tcPr>
                    <w:tcW w:w="3016" w:type="dxa"/>
                  </w:tcPr>
                  <w:p w14:paraId="77F989C9" w14:textId="77777777" w:rsidR="005E000F" w:rsidRDefault="00000000">
                    <w:pPr>
                      <w:widowControl w:val="0"/>
                      <w:jc w:val="both"/>
                    </w:pPr>
                    <w:r>
                      <w:t>-</w:t>
                    </w:r>
                    <w:r>
                      <w:t>一年内到期的非流动负债</w:t>
                    </w:r>
                  </w:p>
                </w:tc>
                <w:tc>
                  <w:tcPr>
                    <w:tcW w:w="3016" w:type="dxa"/>
                    <w:vAlign w:val="center"/>
                  </w:tcPr>
                  <w:p w14:paraId="3B27D889" w14:textId="77777777" w:rsidR="005E000F" w:rsidRDefault="00000000">
                    <w:pPr>
                      <w:widowControl w:val="0"/>
                      <w:jc w:val="right"/>
                    </w:pPr>
                    <w:r>
                      <w:t>265,643,049</w:t>
                    </w:r>
                  </w:p>
                </w:tc>
                <w:tc>
                  <w:tcPr>
                    <w:tcW w:w="3017" w:type="dxa"/>
                    <w:vAlign w:val="center"/>
                  </w:tcPr>
                  <w:p w14:paraId="02AAC4A2" w14:textId="77777777" w:rsidR="005E000F" w:rsidRDefault="00000000">
                    <w:pPr>
                      <w:widowControl w:val="0"/>
                      <w:jc w:val="right"/>
                    </w:pPr>
                    <w:r>
                      <w:t>241,880,601</w:t>
                    </w:r>
                  </w:p>
                </w:tc>
              </w:tr>
              <w:tr w:rsidR="005E000F" w14:paraId="5FF5C934" w14:textId="77777777">
                <w:tc>
                  <w:tcPr>
                    <w:tcW w:w="3016" w:type="dxa"/>
                  </w:tcPr>
                  <w:p w14:paraId="5B01C2F9" w14:textId="77777777" w:rsidR="005E000F" w:rsidRDefault="00000000">
                    <w:pPr>
                      <w:widowControl w:val="0"/>
                      <w:jc w:val="center"/>
                    </w:pPr>
                    <w:r>
                      <w:t>合计</w:t>
                    </w:r>
                  </w:p>
                </w:tc>
                <w:tc>
                  <w:tcPr>
                    <w:tcW w:w="3016" w:type="dxa"/>
                    <w:vAlign w:val="center"/>
                  </w:tcPr>
                  <w:p w14:paraId="6DA1B9DF" w14:textId="77777777" w:rsidR="005E000F" w:rsidRDefault="00000000">
                    <w:pPr>
                      <w:widowControl w:val="0"/>
                      <w:jc w:val="right"/>
                    </w:pPr>
                    <w:r>
                      <w:t>2,181,629,093</w:t>
                    </w:r>
                  </w:p>
                </w:tc>
                <w:tc>
                  <w:tcPr>
                    <w:tcW w:w="3017" w:type="dxa"/>
                    <w:vAlign w:val="center"/>
                  </w:tcPr>
                  <w:p w14:paraId="7064A408" w14:textId="77777777" w:rsidR="005E000F" w:rsidRDefault="00000000">
                    <w:pPr>
                      <w:widowControl w:val="0"/>
                      <w:jc w:val="right"/>
                    </w:pPr>
                    <w:r>
                      <w:t>-5,923,512,598</w:t>
                    </w:r>
                  </w:p>
                </w:tc>
              </w:tr>
            </w:tbl>
            <w:p w14:paraId="7334CB4B" w14:textId="77777777" w:rsidR="005E000F" w:rsidRDefault="005E000F">
              <w:pPr>
                <w:rPr>
                  <w:color w:val="000000" w:themeColor="text1"/>
                </w:rPr>
              </w:pPr>
            </w:p>
            <w:p w14:paraId="4B6802AB" w14:textId="77777777" w:rsidR="005E000F" w:rsidRDefault="00000000">
              <w:pPr>
                <w:rPr>
                  <w:color w:val="000000" w:themeColor="text1"/>
                </w:rPr>
              </w:pPr>
              <w:r>
                <w:rPr>
                  <w:color w:val="000000" w:themeColor="text1"/>
                </w:rPr>
                <w:t>浮动利率金融工具：</w:t>
              </w:r>
            </w:p>
            <w:p w14:paraId="703B2EDD" w14:textId="77777777" w:rsidR="005E000F" w:rsidRDefault="00000000">
              <w:pPr>
                <w:jc w:val="right"/>
                <w:rPr>
                  <w:color w:val="000000" w:themeColor="text1"/>
                </w:rPr>
              </w:pPr>
              <w:r>
                <w:rPr>
                  <w:color w:val="000000" w:themeColor="text1"/>
                </w:rPr>
                <w:t>单位：元</w:t>
              </w:r>
              <w:r>
                <w:rPr>
                  <w:color w:val="000000" w:themeColor="text1"/>
                </w:rPr>
                <w:t xml:space="preserve">  </w:t>
              </w:r>
              <w:r>
                <w:rPr>
                  <w:color w:val="000000" w:themeColor="text1"/>
                </w:rPr>
                <w:t>币种：人民币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6"/>
                <w:gridCol w:w="3017"/>
              </w:tblGrid>
              <w:tr w:rsidR="005E000F" w14:paraId="36255360" w14:textId="77777777">
                <w:tc>
                  <w:tcPr>
                    <w:tcW w:w="3016" w:type="dxa"/>
                    <w:vMerge w:val="restart"/>
                    <w:vAlign w:val="center"/>
                  </w:tcPr>
                  <w:p w14:paraId="2981BED6" w14:textId="77777777" w:rsidR="005E000F" w:rsidRDefault="00000000">
                    <w:pPr>
                      <w:widowControl w:val="0"/>
                      <w:jc w:val="center"/>
                      <w:rPr>
                        <w:color w:val="000000" w:themeColor="text1"/>
                      </w:rPr>
                    </w:pPr>
                    <w:r>
                      <w:rPr>
                        <w:color w:val="000000" w:themeColor="text1"/>
                      </w:rPr>
                      <w:t>项目</w:t>
                    </w:r>
                  </w:p>
                </w:tc>
                <w:tc>
                  <w:tcPr>
                    <w:tcW w:w="3016" w:type="dxa"/>
                  </w:tcPr>
                  <w:p w14:paraId="7182D69B" w14:textId="77777777" w:rsidR="005E000F" w:rsidRDefault="00000000">
                    <w:pPr>
                      <w:widowControl w:val="0"/>
                      <w:jc w:val="center"/>
                      <w:rPr>
                        <w:color w:val="000000" w:themeColor="text1"/>
                      </w:rPr>
                    </w:pPr>
                    <w:r>
                      <w:t>2025</w:t>
                    </w:r>
                    <w:r>
                      <w:t>年</w:t>
                    </w:r>
                    <w:r>
                      <w:t>12</w:t>
                    </w:r>
                    <w:r>
                      <w:t>月</w:t>
                    </w:r>
                    <w:r>
                      <w:t>31</w:t>
                    </w:r>
                    <w:r>
                      <w:t>日</w:t>
                    </w:r>
                  </w:p>
                </w:tc>
                <w:tc>
                  <w:tcPr>
                    <w:tcW w:w="3017" w:type="dxa"/>
                  </w:tcPr>
                  <w:p w14:paraId="436FE15C" w14:textId="77777777" w:rsidR="005E000F" w:rsidRDefault="00000000">
                    <w:pPr>
                      <w:widowControl w:val="0"/>
                      <w:jc w:val="center"/>
                      <w:rPr>
                        <w:color w:val="000000" w:themeColor="text1"/>
                      </w:rPr>
                    </w:pPr>
                    <w:r>
                      <w:t>2024</w:t>
                    </w:r>
                    <w:r>
                      <w:t>年</w:t>
                    </w:r>
                    <w:r>
                      <w:t>12</w:t>
                    </w:r>
                    <w:r>
                      <w:t>月</w:t>
                    </w:r>
                    <w:r>
                      <w:t>31</w:t>
                    </w:r>
                    <w:r>
                      <w:t>日</w:t>
                    </w:r>
                  </w:p>
                </w:tc>
              </w:tr>
              <w:tr w:rsidR="005E000F" w14:paraId="5C6226EE" w14:textId="77777777">
                <w:tc>
                  <w:tcPr>
                    <w:tcW w:w="3016" w:type="dxa"/>
                    <w:vMerge/>
                  </w:tcPr>
                  <w:p w14:paraId="50FC5241" w14:textId="77777777" w:rsidR="005E000F" w:rsidRDefault="005E000F">
                    <w:pPr>
                      <w:widowControl w:val="0"/>
                      <w:jc w:val="both"/>
                    </w:pPr>
                  </w:p>
                </w:tc>
                <w:tc>
                  <w:tcPr>
                    <w:tcW w:w="3016" w:type="dxa"/>
                  </w:tcPr>
                  <w:p w14:paraId="7AEC7348" w14:textId="77777777" w:rsidR="005E000F" w:rsidRDefault="00000000">
                    <w:pPr>
                      <w:widowControl w:val="0"/>
                      <w:jc w:val="center"/>
                    </w:pPr>
                    <w:r>
                      <w:t>金额</w:t>
                    </w:r>
                  </w:p>
                </w:tc>
                <w:tc>
                  <w:tcPr>
                    <w:tcW w:w="3017" w:type="dxa"/>
                  </w:tcPr>
                  <w:p w14:paraId="5C0F9208" w14:textId="77777777" w:rsidR="005E000F" w:rsidRDefault="00000000">
                    <w:pPr>
                      <w:widowControl w:val="0"/>
                      <w:jc w:val="center"/>
                    </w:pPr>
                    <w:r>
                      <w:t>金额</w:t>
                    </w:r>
                  </w:p>
                </w:tc>
              </w:tr>
              <w:tr w:rsidR="005E000F" w14:paraId="3AA57156" w14:textId="77777777">
                <w:tc>
                  <w:tcPr>
                    <w:tcW w:w="3016" w:type="dxa"/>
                  </w:tcPr>
                  <w:p w14:paraId="3C7C5320" w14:textId="77777777" w:rsidR="005E000F" w:rsidRDefault="00000000">
                    <w:pPr>
                      <w:widowControl w:val="0"/>
                      <w:jc w:val="both"/>
                    </w:pPr>
                    <w:r>
                      <w:t>金融资产</w:t>
                    </w:r>
                  </w:p>
                </w:tc>
                <w:tc>
                  <w:tcPr>
                    <w:tcW w:w="3016" w:type="dxa"/>
                  </w:tcPr>
                  <w:p w14:paraId="088DC43A" w14:textId="77777777" w:rsidR="005E000F" w:rsidRDefault="005E000F">
                    <w:pPr>
                      <w:widowControl w:val="0"/>
                      <w:jc w:val="right"/>
                    </w:pPr>
                  </w:p>
                </w:tc>
                <w:tc>
                  <w:tcPr>
                    <w:tcW w:w="3017" w:type="dxa"/>
                  </w:tcPr>
                  <w:p w14:paraId="41AD9121" w14:textId="77777777" w:rsidR="005E000F" w:rsidRDefault="005E000F">
                    <w:pPr>
                      <w:widowControl w:val="0"/>
                      <w:jc w:val="right"/>
                    </w:pPr>
                  </w:p>
                </w:tc>
              </w:tr>
              <w:tr w:rsidR="005E000F" w14:paraId="62B7FEBF" w14:textId="77777777">
                <w:tc>
                  <w:tcPr>
                    <w:tcW w:w="3016" w:type="dxa"/>
                  </w:tcPr>
                  <w:p w14:paraId="77F9BB9E" w14:textId="77777777" w:rsidR="005E000F" w:rsidRDefault="00000000">
                    <w:pPr>
                      <w:widowControl w:val="0"/>
                      <w:jc w:val="both"/>
                    </w:pPr>
                    <w:r>
                      <w:t>-</w:t>
                    </w:r>
                    <w:r>
                      <w:t>货币资金</w:t>
                    </w:r>
                  </w:p>
                </w:tc>
                <w:tc>
                  <w:tcPr>
                    <w:tcW w:w="3016" w:type="dxa"/>
                    <w:vAlign w:val="center"/>
                  </w:tcPr>
                  <w:p w14:paraId="429F9243" w14:textId="77777777" w:rsidR="005E000F" w:rsidRDefault="00000000">
                    <w:pPr>
                      <w:widowControl w:val="0"/>
                      <w:jc w:val="right"/>
                    </w:pPr>
                    <w:r>
                      <w:t>35,834,007,083</w:t>
                    </w:r>
                  </w:p>
                </w:tc>
                <w:tc>
                  <w:tcPr>
                    <w:tcW w:w="3017" w:type="dxa"/>
                    <w:vAlign w:val="center"/>
                  </w:tcPr>
                  <w:p w14:paraId="7EBAE389" w14:textId="77777777" w:rsidR="005E000F" w:rsidRDefault="00000000">
                    <w:pPr>
                      <w:widowControl w:val="0"/>
                      <w:jc w:val="right"/>
                    </w:pPr>
                    <w:r>
                      <w:t>61,346,794,931</w:t>
                    </w:r>
                  </w:p>
                </w:tc>
              </w:tr>
              <w:tr w:rsidR="005E000F" w14:paraId="5FDF20F3" w14:textId="77777777">
                <w:tc>
                  <w:tcPr>
                    <w:tcW w:w="3016" w:type="dxa"/>
                  </w:tcPr>
                  <w:p w14:paraId="47B4C884" w14:textId="77777777" w:rsidR="005E000F" w:rsidRDefault="00000000">
                    <w:pPr>
                      <w:widowControl w:val="0"/>
                      <w:jc w:val="both"/>
                    </w:pPr>
                    <w:r>
                      <w:t>金融负债</w:t>
                    </w:r>
                  </w:p>
                </w:tc>
                <w:tc>
                  <w:tcPr>
                    <w:tcW w:w="3016" w:type="dxa"/>
                    <w:vAlign w:val="center"/>
                  </w:tcPr>
                  <w:p w14:paraId="7D7D55B4" w14:textId="77777777" w:rsidR="005E000F" w:rsidRDefault="005E000F">
                    <w:pPr>
                      <w:widowControl w:val="0"/>
                      <w:jc w:val="right"/>
                    </w:pPr>
                  </w:p>
                </w:tc>
                <w:tc>
                  <w:tcPr>
                    <w:tcW w:w="3017" w:type="dxa"/>
                    <w:vAlign w:val="center"/>
                  </w:tcPr>
                  <w:p w14:paraId="4C4DCDDB" w14:textId="77777777" w:rsidR="005E000F" w:rsidRDefault="005E000F">
                    <w:pPr>
                      <w:widowControl w:val="0"/>
                      <w:jc w:val="right"/>
                    </w:pPr>
                  </w:p>
                </w:tc>
              </w:tr>
              <w:tr w:rsidR="005E000F" w14:paraId="4BFF5CFF" w14:textId="77777777">
                <w:tc>
                  <w:tcPr>
                    <w:tcW w:w="3016" w:type="dxa"/>
                  </w:tcPr>
                  <w:p w14:paraId="0DFFF4AE" w14:textId="77777777" w:rsidR="005E000F" w:rsidRDefault="00000000">
                    <w:pPr>
                      <w:widowControl w:val="0"/>
                      <w:jc w:val="both"/>
                    </w:pPr>
                    <w:r>
                      <w:t>-</w:t>
                    </w:r>
                    <w:r>
                      <w:t>短期借款</w:t>
                    </w:r>
                  </w:p>
                </w:tc>
                <w:tc>
                  <w:tcPr>
                    <w:tcW w:w="3016" w:type="dxa"/>
                    <w:vAlign w:val="center"/>
                  </w:tcPr>
                  <w:p w14:paraId="2F5A67FE" w14:textId="77777777" w:rsidR="005E000F" w:rsidRDefault="00000000">
                    <w:pPr>
                      <w:widowControl w:val="0"/>
                      <w:jc w:val="right"/>
                    </w:pPr>
                    <w:r>
                      <w:t>289,147,358</w:t>
                    </w:r>
                  </w:p>
                </w:tc>
                <w:tc>
                  <w:tcPr>
                    <w:tcW w:w="3017" w:type="dxa"/>
                    <w:vAlign w:val="center"/>
                  </w:tcPr>
                  <w:p w14:paraId="3A543844" w14:textId="77777777" w:rsidR="005E000F" w:rsidRDefault="00000000">
                    <w:pPr>
                      <w:widowControl w:val="0"/>
                      <w:jc w:val="right"/>
                    </w:pPr>
                    <w:r>
                      <w:t>238,000,000</w:t>
                    </w:r>
                  </w:p>
                </w:tc>
              </w:tr>
              <w:tr w:rsidR="005E000F" w14:paraId="20DB6DE0" w14:textId="77777777">
                <w:tc>
                  <w:tcPr>
                    <w:tcW w:w="3016" w:type="dxa"/>
                  </w:tcPr>
                  <w:p w14:paraId="1E9F89BE" w14:textId="77777777" w:rsidR="005E000F" w:rsidRDefault="00000000">
                    <w:pPr>
                      <w:widowControl w:val="0"/>
                      <w:jc w:val="both"/>
                    </w:pPr>
                    <w:r>
                      <w:t>-</w:t>
                    </w:r>
                    <w:r>
                      <w:t>一年内到期的非流动负债</w:t>
                    </w:r>
                  </w:p>
                </w:tc>
                <w:tc>
                  <w:tcPr>
                    <w:tcW w:w="3016" w:type="dxa"/>
                    <w:vAlign w:val="center"/>
                  </w:tcPr>
                  <w:p w14:paraId="6973EF19" w14:textId="77777777" w:rsidR="005E000F" w:rsidRDefault="00000000">
                    <w:pPr>
                      <w:widowControl w:val="0"/>
                      <w:jc w:val="right"/>
                    </w:pPr>
                    <w:r>
                      <w:t>1,090,759,835</w:t>
                    </w:r>
                  </w:p>
                </w:tc>
                <w:tc>
                  <w:tcPr>
                    <w:tcW w:w="3017" w:type="dxa"/>
                    <w:vAlign w:val="center"/>
                  </w:tcPr>
                  <w:p w14:paraId="1FA89150" w14:textId="77777777" w:rsidR="005E000F" w:rsidRDefault="00000000">
                    <w:pPr>
                      <w:widowControl w:val="0"/>
                      <w:jc w:val="right"/>
                    </w:pPr>
                    <w:r>
                      <w:t>1,538,886,121</w:t>
                    </w:r>
                  </w:p>
                </w:tc>
              </w:tr>
              <w:tr w:rsidR="005E000F" w14:paraId="414598F4" w14:textId="77777777">
                <w:tc>
                  <w:tcPr>
                    <w:tcW w:w="3016" w:type="dxa"/>
                  </w:tcPr>
                  <w:p w14:paraId="1D12EC9D" w14:textId="77777777" w:rsidR="005E000F" w:rsidRDefault="00000000">
                    <w:pPr>
                      <w:widowControl w:val="0"/>
                      <w:jc w:val="both"/>
                    </w:pPr>
                    <w:r>
                      <w:t>-</w:t>
                    </w:r>
                    <w:r>
                      <w:t>长期借款</w:t>
                    </w:r>
                  </w:p>
                </w:tc>
                <w:tc>
                  <w:tcPr>
                    <w:tcW w:w="3016" w:type="dxa"/>
                    <w:vAlign w:val="center"/>
                  </w:tcPr>
                  <w:p w14:paraId="7A0C0C63" w14:textId="77777777" w:rsidR="005E000F" w:rsidRDefault="00000000">
                    <w:pPr>
                      <w:widowControl w:val="0"/>
                      <w:jc w:val="right"/>
                    </w:pPr>
                    <w:r>
                      <w:t>9,836,518,799</w:t>
                    </w:r>
                  </w:p>
                </w:tc>
                <w:tc>
                  <w:tcPr>
                    <w:tcW w:w="3017" w:type="dxa"/>
                    <w:vAlign w:val="center"/>
                  </w:tcPr>
                  <w:p w14:paraId="3B442B80" w14:textId="77777777" w:rsidR="005E000F" w:rsidRDefault="00000000">
                    <w:pPr>
                      <w:widowControl w:val="0"/>
                      <w:jc w:val="right"/>
                    </w:pPr>
                    <w:r>
                      <w:t>8,693,288,955</w:t>
                    </w:r>
                  </w:p>
                </w:tc>
              </w:tr>
              <w:tr w:rsidR="005E000F" w14:paraId="364466E1" w14:textId="77777777">
                <w:tc>
                  <w:tcPr>
                    <w:tcW w:w="3016" w:type="dxa"/>
                  </w:tcPr>
                  <w:p w14:paraId="26099F1C" w14:textId="77777777" w:rsidR="005E000F" w:rsidRDefault="00000000">
                    <w:pPr>
                      <w:widowControl w:val="0"/>
                      <w:jc w:val="center"/>
                    </w:pPr>
                    <w:r>
                      <w:t>合计</w:t>
                    </w:r>
                  </w:p>
                </w:tc>
                <w:tc>
                  <w:tcPr>
                    <w:tcW w:w="3016" w:type="dxa"/>
                    <w:vAlign w:val="center"/>
                  </w:tcPr>
                  <w:p w14:paraId="5A29C02C" w14:textId="77777777" w:rsidR="005E000F" w:rsidRDefault="00000000">
                    <w:pPr>
                      <w:widowControl w:val="0"/>
                      <w:jc w:val="right"/>
                    </w:pPr>
                    <w:r>
                      <w:t>24,617,581,091</w:t>
                    </w:r>
                  </w:p>
                </w:tc>
                <w:tc>
                  <w:tcPr>
                    <w:tcW w:w="3017" w:type="dxa"/>
                    <w:vAlign w:val="center"/>
                  </w:tcPr>
                  <w:p w14:paraId="0EBE515F" w14:textId="77777777" w:rsidR="005E000F" w:rsidRDefault="00000000">
                    <w:pPr>
                      <w:widowControl w:val="0"/>
                      <w:jc w:val="right"/>
                    </w:pPr>
                    <w:r>
                      <w:t>50,876,619,855</w:t>
                    </w:r>
                  </w:p>
                </w:tc>
              </w:tr>
            </w:tbl>
            <w:p w14:paraId="792B9682" w14:textId="77777777" w:rsidR="005E000F" w:rsidRDefault="005E000F">
              <w:pPr>
                <w:rPr>
                  <w:color w:val="000000" w:themeColor="text1"/>
                </w:rPr>
              </w:pPr>
            </w:p>
            <w:p w14:paraId="1839F217" w14:textId="77777777" w:rsidR="005E000F" w:rsidRDefault="00000000">
              <w:pPr>
                <w:rPr>
                  <w:color w:val="000000" w:themeColor="text1"/>
                </w:rPr>
              </w:pPr>
              <w:r>
                <w:rPr>
                  <w:color w:val="000000" w:themeColor="text1"/>
                </w:rPr>
                <w:t>（</w:t>
              </w:r>
              <w:r>
                <w:rPr>
                  <w:color w:val="000000" w:themeColor="text1"/>
                </w:rPr>
                <w:t>b</w:t>
              </w:r>
              <w:r>
                <w:rPr>
                  <w:color w:val="000000" w:themeColor="text1"/>
                </w:rPr>
                <w:t>）敏感性分析</w:t>
              </w:r>
            </w:p>
            <w:p w14:paraId="02090F63" w14:textId="77777777" w:rsidR="005E000F" w:rsidRDefault="00000000">
              <w:pPr>
                <w:jc w:val="right"/>
                <w:rPr>
                  <w:color w:val="000000" w:themeColor="text1"/>
                </w:rPr>
              </w:pPr>
              <w:r>
                <w:rPr>
                  <w:color w:val="000000" w:themeColor="text1"/>
                </w:rPr>
                <w:t>单位：元</w:t>
              </w:r>
              <w:r>
                <w:rPr>
                  <w:color w:val="000000" w:themeColor="text1"/>
                </w:rPr>
                <w:t xml:space="preserve">  </w:t>
              </w:r>
              <w:r>
                <w:rPr>
                  <w:color w:val="000000" w:themeColor="text1"/>
                </w:rPr>
                <w:t>币种：人民币</w:t>
              </w:r>
            </w:p>
            <w:tbl>
              <w:tblPr>
                <w:tblW w:w="4997" w:type="pct"/>
                <w:tblLook w:val="04A0" w:firstRow="1" w:lastRow="0" w:firstColumn="1" w:lastColumn="0" w:noHBand="0" w:noVBand="1"/>
              </w:tblPr>
              <w:tblGrid>
                <w:gridCol w:w="2001"/>
                <w:gridCol w:w="1908"/>
                <w:gridCol w:w="1231"/>
                <w:gridCol w:w="1231"/>
                <w:gridCol w:w="1336"/>
                <w:gridCol w:w="1337"/>
              </w:tblGrid>
              <w:tr w:rsidR="005E000F" w14:paraId="4B318B32" w14:textId="77777777">
                <w:trPr>
                  <w:trHeight w:val="280"/>
                </w:trPr>
                <w:tc>
                  <w:tcPr>
                    <w:tcW w:w="110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9FF0D4" w14:textId="77777777" w:rsidR="005E000F" w:rsidRDefault="00000000">
                    <w:pPr>
                      <w:textAlignment w:val="center"/>
                      <w:rPr>
                        <w:rFonts w:eastAsia="Arial Narrow"/>
                        <w:color w:val="000000"/>
                      </w:rPr>
                    </w:pPr>
                    <w:r>
                      <w:rPr>
                        <w:rStyle w:val="font41"/>
                        <w:rFonts w:ascii="Times New Roman" w:hAnsi="Times New Roman" w:cs="Times New Roman" w:hint="default"/>
                        <w:b w:val="0"/>
                        <w:bCs w:val="0"/>
                        <w:sz w:val="21"/>
                        <w:szCs w:val="21"/>
                        <w:lang w:bidi="ar"/>
                      </w:rPr>
                      <w:t>项目</w:t>
                    </w:r>
                  </w:p>
                </w:tc>
                <w:tc>
                  <w:tcPr>
                    <w:tcW w:w="105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E6C0C6" w14:textId="77777777" w:rsidR="005E000F" w:rsidRDefault="00000000">
                    <w:pPr>
                      <w:jc w:val="center"/>
                      <w:textAlignment w:val="center"/>
                      <w:rPr>
                        <w:rFonts w:eastAsia="Arial Narrow"/>
                        <w:color w:val="000000"/>
                      </w:rPr>
                    </w:pPr>
                    <w:r>
                      <w:rPr>
                        <w:rStyle w:val="font41"/>
                        <w:rFonts w:ascii="Times New Roman" w:hAnsi="Times New Roman" w:cs="Times New Roman" w:hint="default"/>
                        <w:b w:val="0"/>
                        <w:bCs w:val="0"/>
                        <w:sz w:val="21"/>
                        <w:szCs w:val="21"/>
                        <w:lang w:bidi="ar"/>
                      </w:rPr>
                      <w:t>利率变动</w:t>
                    </w:r>
                  </w:p>
                </w:tc>
                <w:tc>
                  <w:tcPr>
                    <w:tcW w:w="136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7E288B" w14:textId="77777777" w:rsidR="005E000F" w:rsidRDefault="00000000">
                    <w:pPr>
                      <w:jc w:val="center"/>
                      <w:textAlignment w:val="center"/>
                      <w:rPr>
                        <w:rFonts w:eastAsia="Arial Narrow"/>
                        <w:color w:val="000000"/>
                      </w:rPr>
                    </w:pPr>
                    <w:r>
                      <w:rPr>
                        <w:rFonts w:eastAsia="Arial Narrow"/>
                        <w:color w:val="000000"/>
                        <w:lang w:bidi="ar"/>
                      </w:rPr>
                      <w:t>2025</w:t>
                    </w:r>
                    <w:r>
                      <w:rPr>
                        <w:rFonts w:ascii="宋体" w:hAnsi="宋体" w:cs="宋体" w:hint="eastAsia"/>
                        <w:color w:val="000000"/>
                        <w:lang w:bidi="ar"/>
                      </w:rPr>
                      <w:t>年度</w:t>
                    </w:r>
                  </w:p>
                </w:tc>
                <w:tc>
                  <w:tcPr>
                    <w:tcW w:w="14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E65AAE" w14:textId="77777777" w:rsidR="005E000F" w:rsidRDefault="00000000">
                    <w:pPr>
                      <w:jc w:val="center"/>
                      <w:textAlignment w:val="center"/>
                      <w:rPr>
                        <w:rFonts w:eastAsia="Arial Narrow"/>
                        <w:color w:val="000000"/>
                      </w:rPr>
                    </w:pPr>
                    <w:r>
                      <w:rPr>
                        <w:rFonts w:eastAsia="Arial Narrow"/>
                        <w:color w:val="000000"/>
                        <w:lang w:bidi="ar"/>
                      </w:rPr>
                      <w:t>2024</w:t>
                    </w:r>
                    <w:r>
                      <w:rPr>
                        <w:rFonts w:ascii="宋体" w:hAnsi="宋体" w:cs="宋体" w:hint="eastAsia"/>
                        <w:color w:val="000000"/>
                        <w:lang w:bidi="ar"/>
                      </w:rPr>
                      <w:t>年度</w:t>
                    </w:r>
                  </w:p>
                </w:tc>
              </w:tr>
              <w:tr w:rsidR="005E000F" w14:paraId="3D5D3BDA" w14:textId="77777777">
                <w:trPr>
                  <w:trHeight w:val="560"/>
                </w:trPr>
                <w:tc>
                  <w:tcPr>
                    <w:tcW w:w="110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B5C9AA" w14:textId="77777777" w:rsidR="005E000F" w:rsidRDefault="005E000F">
                    <w:pPr>
                      <w:rPr>
                        <w:rFonts w:eastAsia="Arial Narrow"/>
                        <w:color w:val="000000"/>
                      </w:rPr>
                    </w:pPr>
                  </w:p>
                </w:tc>
                <w:tc>
                  <w:tcPr>
                    <w:tcW w:w="105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066A0E" w14:textId="77777777" w:rsidR="005E000F" w:rsidRDefault="005E000F">
                    <w:pPr>
                      <w:jc w:val="center"/>
                      <w:rPr>
                        <w:rFonts w:eastAsia="Arial Narrow"/>
                        <w:color w:val="000000"/>
                      </w:rPr>
                    </w:pPr>
                  </w:p>
                </w:tc>
                <w:tc>
                  <w:tcPr>
                    <w:tcW w:w="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F791F" w14:textId="77777777" w:rsidR="005E000F" w:rsidRDefault="00000000">
                    <w:pPr>
                      <w:jc w:val="center"/>
                      <w:textAlignment w:val="center"/>
                      <w:rPr>
                        <w:rFonts w:eastAsia="Arial Narrow"/>
                        <w:color w:val="000000"/>
                      </w:rPr>
                    </w:pPr>
                    <w:r>
                      <w:rPr>
                        <w:rStyle w:val="font41"/>
                        <w:rFonts w:ascii="Times New Roman" w:hAnsi="Times New Roman" w:cs="Times New Roman" w:hint="default"/>
                        <w:b w:val="0"/>
                        <w:bCs w:val="0"/>
                        <w:sz w:val="21"/>
                        <w:szCs w:val="21"/>
                        <w:lang w:bidi="ar"/>
                      </w:rPr>
                      <w:t>对净利润的影响</w:t>
                    </w:r>
                  </w:p>
                </w:tc>
                <w:tc>
                  <w:tcPr>
                    <w:tcW w:w="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767287" w14:textId="77777777" w:rsidR="005E000F" w:rsidRDefault="00000000">
                    <w:pPr>
                      <w:jc w:val="center"/>
                      <w:textAlignment w:val="center"/>
                      <w:rPr>
                        <w:rFonts w:eastAsia="Arial Narrow"/>
                        <w:color w:val="000000"/>
                      </w:rPr>
                    </w:pPr>
                    <w:r>
                      <w:rPr>
                        <w:rStyle w:val="font41"/>
                        <w:rFonts w:ascii="Times New Roman" w:hAnsi="Times New Roman" w:cs="Times New Roman" w:hint="default"/>
                        <w:b w:val="0"/>
                        <w:bCs w:val="0"/>
                        <w:sz w:val="21"/>
                        <w:szCs w:val="21"/>
                        <w:lang w:bidi="ar"/>
                      </w:rPr>
                      <w:t>对股东权益的影响</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147DD5" w14:textId="77777777" w:rsidR="005E000F" w:rsidRDefault="00000000">
                    <w:pPr>
                      <w:jc w:val="center"/>
                      <w:textAlignment w:val="center"/>
                      <w:rPr>
                        <w:rFonts w:eastAsia="Arial Narrow"/>
                        <w:color w:val="000000"/>
                      </w:rPr>
                    </w:pPr>
                    <w:r>
                      <w:rPr>
                        <w:rStyle w:val="font41"/>
                        <w:rFonts w:ascii="Times New Roman" w:hAnsi="Times New Roman" w:cs="Times New Roman" w:hint="default"/>
                        <w:b w:val="0"/>
                        <w:bCs w:val="0"/>
                        <w:sz w:val="21"/>
                        <w:szCs w:val="21"/>
                        <w:lang w:bidi="ar"/>
                      </w:rPr>
                      <w:t>对净利润的影响</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2C3795" w14:textId="77777777" w:rsidR="005E000F" w:rsidRDefault="00000000">
                    <w:pPr>
                      <w:jc w:val="center"/>
                      <w:textAlignment w:val="center"/>
                      <w:rPr>
                        <w:rFonts w:eastAsia="Arial Narrow"/>
                        <w:color w:val="000000"/>
                      </w:rPr>
                    </w:pPr>
                    <w:r>
                      <w:rPr>
                        <w:rStyle w:val="font41"/>
                        <w:rFonts w:ascii="Times New Roman" w:hAnsi="Times New Roman" w:cs="Times New Roman" w:hint="default"/>
                        <w:b w:val="0"/>
                        <w:bCs w:val="0"/>
                        <w:sz w:val="21"/>
                        <w:szCs w:val="21"/>
                        <w:lang w:bidi="ar"/>
                      </w:rPr>
                      <w:t>对股东权益的影响</w:t>
                    </w:r>
                  </w:p>
                </w:tc>
              </w:tr>
              <w:tr w:rsidR="005E000F" w14:paraId="27EDB444" w14:textId="77777777">
                <w:trPr>
                  <w:trHeight w:val="280"/>
                </w:trPr>
                <w:tc>
                  <w:tcPr>
                    <w:tcW w:w="11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CDE32D" w14:textId="77777777" w:rsidR="005E000F" w:rsidRDefault="00000000">
                    <w:pPr>
                      <w:widowControl w:val="0"/>
                      <w:jc w:val="both"/>
                    </w:pPr>
                    <w:r>
                      <w:t>浮动利率借款</w:t>
                    </w:r>
                  </w:p>
                </w:tc>
                <w:tc>
                  <w:tcPr>
                    <w:tcW w:w="10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910C0A" w14:textId="77777777" w:rsidR="005E000F" w:rsidRDefault="00000000">
                    <w:pPr>
                      <w:widowControl w:val="0"/>
                      <w:jc w:val="right"/>
                    </w:pPr>
                    <w:r>
                      <w:t>增加</w:t>
                    </w:r>
                    <w:r>
                      <w:t>0.5%</w:t>
                    </w:r>
                  </w:p>
                </w:tc>
                <w:tc>
                  <w:tcPr>
                    <w:tcW w:w="6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7BB8A" w14:textId="77777777" w:rsidR="005E000F" w:rsidRDefault="00000000">
                    <w:pPr>
                      <w:widowControl w:val="0"/>
                      <w:jc w:val="right"/>
                    </w:pPr>
                    <w:r>
                      <w:t>54,498,831</w:t>
                    </w:r>
                  </w:p>
                </w:tc>
                <w:tc>
                  <w:tcPr>
                    <w:tcW w:w="6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28A28" w14:textId="77777777" w:rsidR="005E000F" w:rsidRDefault="00000000">
                    <w:pPr>
                      <w:widowControl w:val="0"/>
                      <w:jc w:val="right"/>
                    </w:pPr>
                    <w:r>
                      <w:t>54,498,831</w:t>
                    </w:r>
                  </w:p>
                </w:tc>
                <w:tc>
                  <w:tcPr>
                    <w:tcW w:w="7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ADF19" w14:textId="77777777" w:rsidR="005E000F" w:rsidRDefault="00000000">
                    <w:pPr>
                      <w:widowControl w:val="0"/>
                      <w:jc w:val="right"/>
                    </w:pPr>
                    <w:r>
                      <w:t>177,770,850</w:t>
                    </w:r>
                  </w:p>
                </w:tc>
                <w:tc>
                  <w:tcPr>
                    <w:tcW w:w="7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7D8F41" w14:textId="77777777" w:rsidR="005E000F" w:rsidRDefault="00000000">
                    <w:pPr>
                      <w:widowControl w:val="0"/>
                      <w:jc w:val="right"/>
                    </w:pPr>
                    <w:r>
                      <w:t>177,770,850</w:t>
                    </w:r>
                  </w:p>
                </w:tc>
              </w:tr>
              <w:tr w:rsidR="005E000F" w14:paraId="56B2505F" w14:textId="77777777">
                <w:trPr>
                  <w:trHeight w:val="280"/>
                </w:trPr>
                <w:tc>
                  <w:tcPr>
                    <w:tcW w:w="110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294DB9" w14:textId="77777777" w:rsidR="005E000F" w:rsidRDefault="00000000">
                    <w:pPr>
                      <w:widowControl w:val="0"/>
                      <w:jc w:val="both"/>
                    </w:pPr>
                    <w:r>
                      <w:t>浮动利率借款</w:t>
                    </w:r>
                  </w:p>
                </w:tc>
                <w:tc>
                  <w:tcPr>
                    <w:tcW w:w="10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9794CF" w14:textId="77777777" w:rsidR="005E000F" w:rsidRDefault="00000000">
                    <w:pPr>
                      <w:widowControl w:val="0"/>
                      <w:jc w:val="right"/>
                    </w:pPr>
                    <w:r>
                      <w:t>减少</w:t>
                    </w:r>
                    <w:r>
                      <w:t>0.5%</w:t>
                    </w:r>
                  </w:p>
                </w:tc>
                <w:tc>
                  <w:tcPr>
                    <w:tcW w:w="6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34CAE6" w14:textId="77777777" w:rsidR="005E000F" w:rsidRDefault="00000000">
                    <w:pPr>
                      <w:widowControl w:val="0"/>
                      <w:jc w:val="right"/>
                    </w:pPr>
                    <w:r>
                      <w:t>-54,498,831</w:t>
                    </w:r>
                  </w:p>
                </w:tc>
                <w:tc>
                  <w:tcPr>
                    <w:tcW w:w="68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58C394" w14:textId="77777777" w:rsidR="005E000F" w:rsidRDefault="00000000">
                    <w:pPr>
                      <w:widowControl w:val="0"/>
                      <w:jc w:val="right"/>
                    </w:pPr>
                    <w:r>
                      <w:t>-54,498,831</w:t>
                    </w:r>
                  </w:p>
                </w:tc>
                <w:tc>
                  <w:tcPr>
                    <w:tcW w:w="7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53DF6E" w14:textId="77777777" w:rsidR="005E000F" w:rsidRDefault="00000000">
                    <w:pPr>
                      <w:widowControl w:val="0"/>
                      <w:jc w:val="right"/>
                    </w:pPr>
                    <w:r>
                      <w:t>-177,770,850</w:t>
                    </w:r>
                  </w:p>
                </w:tc>
                <w:tc>
                  <w:tcPr>
                    <w:tcW w:w="73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AF508E" w14:textId="77777777" w:rsidR="005E000F" w:rsidRDefault="00000000">
                    <w:pPr>
                      <w:widowControl w:val="0"/>
                      <w:jc w:val="right"/>
                    </w:pPr>
                    <w:r>
                      <w:t>-177,770,850</w:t>
                    </w:r>
                  </w:p>
                </w:tc>
              </w:tr>
            </w:tbl>
            <w:p w14:paraId="11C21EDC" w14:textId="77777777" w:rsidR="005E000F" w:rsidRDefault="005E000F">
              <w:pPr>
                <w:rPr>
                  <w:color w:val="000000" w:themeColor="text1"/>
                </w:rPr>
              </w:pPr>
            </w:p>
            <w:p w14:paraId="5F26A94C" w14:textId="77777777" w:rsidR="005E000F" w:rsidRDefault="00000000">
              <w:pPr>
                <w:rPr>
                  <w:color w:val="000000" w:themeColor="text1"/>
                </w:rPr>
              </w:pPr>
              <w:r>
                <w:rPr>
                  <w:color w:val="000000" w:themeColor="text1"/>
                </w:rPr>
                <w:t>对于资产负债表日持有的、使公司面临现金流量利率风险的浮动利率非衍生工具，上述敏感性分析中的净利润及股东权益的影响是上述利率变动对按年度估算的利息费用或收入的影响。上一年度的分析基于同样的假设和方法。</w:t>
              </w:r>
            </w:p>
          </w:sdtContent>
        </w:sdt>
        <w:p w14:paraId="6939BE78" w14:textId="77777777" w:rsidR="005E000F" w:rsidRDefault="00000000">
          <w:pPr>
            <w:rPr>
              <w:b/>
            </w:rPr>
          </w:pPr>
        </w:p>
      </w:sdtContent>
    </w:sdt>
    <w:p w14:paraId="674CF714" w14:textId="77777777" w:rsidR="005E000F" w:rsidRDefault="005E000F"/>
    <w:p w14:paraId="0EAFB347" w14:textId="77777777" w:rsidR="005E000F" w:rsidRDefault="00000000">
      <w:pPr>
        <w:pStyle w:val="3"/>
        <w:numPr>
          <w:ilvl w:val="0"/>
          <w:numId w:val="115"/>
        </w:numPr>
      </w:pPr>
      <w:r>
        <w:rPr>
          <w:rFonts w:hint="eastAsia"/>
        </w:rPr>
        <w:t>套期</w:t>
      </w:r>
    </w:p>
    <w:p w14:paraId="057D6BAF" w14:textId="77777777" w:rsidR="005E000F" w:rsidRDefault="00000000">
      <w:pPr>
        <w:pStyle w:val="4"/>
        <w:numPr>
          <w:ilvl w:val="0"/>
          <w:numId w:val="116"/>
        </w:numPr>
        <w:ind w:left="0" w:firstLine="0"/>
      </w:pPr>
      <w:r>
        <w:rPr>
          <w:rFonts w:hint="eastAsia"/>
        </w:rPr>
        <w:t>公司开展套期业务进行风险管理</w:t>
      </w:r>
    </w:p>
    <w:sdt>
      <w:sdtPr>
        <w:alias w:val="是否适用：公司开展套期业务进行风险管理情况[双击切换]"/>
        <w:tag w:val="_GBC_71d11701ff3e412981460bc27e88a1b5"/>
        <w:id w:val="-1856098409"/>
        <w:placeholder>
          <w:docPart w:val="GBC22222222222222222222222222222"/>
        </w:placeholder>
      </w:sdtPr>
      <w:sdtContent>
        <w:p w14:paraId="3798D79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D938C7A" w14:textId="77777777" w:rsidR="005E000F" w:rsidRDefault="005E000F"/>
    <w:p w14:paraId="20810F3F" w14:textId="77777777" w:rsidR="005E000F" w:rsidRDefault="00000000">
      <w:r>
        <w:rPr>
          <w:rFonts w:hint="eastAsia"/>
        </w:rPr>
        <w:t>其他说明：</w:t>
      </w:r>
    </w:p>
    <w:sdt>
      <w:sdtPr>
        <w:alias w:val="是否适用：公司开展套期业务进行风险管理的其他说明[双击切换]"/>
        <w:tag w:val="_GBC_bc39ee99cbfc4e469ac321509f461420"/>
        <w:id w:val="1131127711"/>
        <w:placeholder>
          <w:docPart w:val="GBC22222222222222222222222222222"/>
        </w:placeholder>
      </w:sdtPr>
      <w:sdtContent>
        <w:p w14:paraId="12329F28"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108F02" w14:textId="77777777" w:rsidR="005E000F" w:rsidRDefault="005E000F">
      <w:pPr>
        <w:rPr>
          <w:color w:val="808080"/>
        </w:rPr>
      </w:pPr>
    </w:p>
    <w:p w14:paraId="054B1287" w14:textId="77777777" w:rsidR="005E000F" w:rsidRDefault="00000000">
      <w:pPr>
        <w:pStyle w:val="4"/>
        <w:numPr>
          <w:ilvl w:val="0"/>
          <w:numId w:val="116"/>
        </w:numPr>
        <w:ind w:left="0" w:firstLine="0"/>
      </w:pPr>
      <w:r>
        <w:rPr>
          <w:rFonts w:hint="eastAsia"/>
        </w:rPr>
        <w:t>公司开展符合条件套期业务并应用套期会计</w:t>
      </w:r>
    </w:p>
    <w:sdt>
      <w:sdtPr>
        <w:alias w:val="是否适用：公司开展符合条件套期业务并应用套期会计情况[双击切换]"/>
        <w:tag w:val="_GBC_346f997d46464bdda5750bdd43495d02"/>
        <w:id w:val="147261586"/>
        <w:placeholder>
          <w:docPart w:val="GBC22222222222222222222222222222"/>
        </w:placeholder>
      </w:sdtPr>
      <w:sdtContent>
        <w:p w14:paraId="2C126D8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9FFCAFF" w14:textId="77777777" w:rsidR="005E000F" w:rsidRDefault="005E000F">
      <w:pPr>
        <w:rPr>
          <w:color w:val="808080"/>
        </w:rPr>
      </w:pPr>
    </w:p>
    <w:p w14:paraId="451B905F" w14:textId="77777777" w:rsidR="005E000F" w:rsidRDefault="00000000">
      <w:r>
        <w:rPr>
          <w:rFonts w:hint="eastAsia"/>
        </w:rPr>
        <w:t>其他说明：</w:t>
      </w:r>
    </w:p>
    <w:sdt>
      <w:sdtPr>
        <w:alias w:val="是否适用：公司开展符合条件套期业务并应用套期会计情况的其他说明[双击切换]"/>
        <w:tag w:val="_GBC_7f3675a931be4fe0b3ba0ed19f75108a"/>
        <w:id w:val="1819766895"/>
        <w:placeholder>
          <w:docPart w:val="GBC22222222222222222222222222222"/>
        </w:placeholder>
      </w:sdtPr>
      <w:sdtContent>
        <w:p w14:paraId="4D7E7064"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6AA8B0B" w14:textId="77777777" w:rsidR="005E000F" w:rsidRDefault="005E000F">
      <w:pPr>
        <w:rPr>
          <w:color w:val="808080"/>
        </w:rPr>
      </w:pPr>
    </w:p>
    <w:p w14:paraId="57A4C8E3" w14:textId="77777777" w:rsidR="005E000F" w:rsidRDefault="00000000">
      <w:pPr>
        <w:pStyle w:val="4"/>
        <w:numPr>
          <w:ilvl w:val="0"/>
          <w:numId w:val="116"/>
        </w:numPr>
        <w:ind w:left="0" w:firstLine="0"/>
      </w:pPr>
      <w:r>
        <w:rPr>
          <w:rFonts w:hint="eastAsia"/>
        </w:rPr>
        <w:lastRenderedPageBreak/>
        <w:t>公司开展套期业务进行风险管理、预期能实现风险管理目标但未应用套期会计</w:t>
      </w:r>
    </w:p>
    <w:sdt>
      <w:sdtPr>
        <w:alias w:val="是否适用：公司开展套期业务进行风险管理、预期能实现风险管理目标但未应用套期会计[双击切换]"/>
        <w:tag w:val="_GBC_a8e3b34e51d64b48bca9359ee5d1c683"/>
        <w:id w:val="-1486007712"/>
        <w:placeholder>
          <w:docPart w:val="GBC22222222222222222222222222222"/>
        </w:placeholder>
      </w:sdtPr>
      <w:sdtContent>
        <w:p w14:paraId="67BB868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024CF9F" w14:textId="77777777" w:rsidR="005E000F" w:rsidRDefault="005E000F"/>
    <w:p w14:paraId="3F3DD3CA" w14:textId="77777777" w:rsidR="005E000F" w:rsidRDefault="00000000">
      <w:r>
        <w:rPr>
          <w:rFonts w:hint="eastAsia"/>
        </w:rPr>
        <w:t>其他说明：</w:t>
      </w:r>
    </w:p>
    <w:sdt>
      <w:sdtPr>
        <w:alias w:val="是否适用：公司开展套期业务进行风险管理、预期能实现风险管理目标但未应用套期会计的其他说明[双击切换]"/>
        <w:tag w:val="_GBC_7e60464ee1bf40b8b1d2fa0c0e7df1e4"/>
        <w:id w:val="1995216742"/>
        <w:placeholder>
          <w:docPart w:val="GBC22222222222222222222222222222"/>
        </w:placeholder>
      </w:sdtPr>
      <w:sdtContent>
        <w:p w14:paraId="41F2BBB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818DC7D" w14:textId="77777777" w:rsidR="005E000F" w:rsidRDefault="005E000F">
      <w:pPr>
        <w:rPr>
          <w:color w:val="808080"/>
        </w:rPr>
      </w:pPr>
    </w:p>
    <w:p w14:paraId="0CCF5BF0" w14:textId="77777777" w:rsidR="005E000F" w:rsidRDefault="00000000">
      <w:pPr>
        <w:pStyle w:val="3"/>
        <w:numPr>
          <w:ilvl w:val="0"/>
          <w:numId w:val="115"/>
        </w:numPr>
      </w:pPr>
      <w:r>
        <w:rPr>
          <w:rFonts w:hint="eastAsia"/>
        </w:rPr>
        <w:t>金融资产转移</w:t>
      </w:r>
    </w:p>
    <w:p w14:paraId="0A06C654" w14:textId="77777777" w:rsidR="005E000F" w:rsidRDefault="00000000">
      <w:pPr>
        <w:pStyle w:val="4"/>
        <w:numPr>
          <w:ilvl w:val="0"/>
          <w:numId w:val="117"/>
        </w:numPr>
        <w:rPr>
          <w:rFonts w:ascii="宋体" w:eastAsia="宋体" w:hAnsi="宋体" w:cs="宋体"/>
          <w:kern w:val="0"/>
          <w:szCs w:val="24"/>
        </w:rPr>
      </w:pPr>
      <w:bookmarkStart w:id="408" w:name="_Hlk153550670"/>
      <w:r>
        <w:rPr>
          <w:rFonts w:ascii="宋体" w:eastAsia="宋体" w:hAnsi="宋体" w:cs="宋体" w:hint="eastAsia"/>
          <w:kern w:val="0"/>
          <w:szCs w:val="24"/>
        </w:rPr>
        <w:t>转移方式分类</w:t>
      </w:r>
    </w:p>
    <w:sdt>
      <w:sdtPr>
        <w:alias w:val="是否适用：转移方式分类[双击切换]"/>
        <w:tag w:val="_GBC_ff6f967e629c4a6b934da2a3f33a107d"/>
        <w:id w:val="-1208107816"/>
        <w:placeholder>
          <w:docPart w:val="GBC22222222222222222222222222222"/>
        </w:placeholder>
      </w:sdtPr>
      <w:sdtContent>
        <w:p w14:paraId="40F34A9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080BCDF" w14:textId="77777777" w:rsidR="005E000F" w:rsidRDefault="005E000F">
      <w:pPr>
        <w:rPr>
          <w:color w:val="808080"/>
        </w:rPr>
      </w:pPr>
    </w:p>
    <w:bookmarkEnd w:id="408"/>
    <w:p w14:paraId="75DA9E2F" w14:textId="77777777" w:rsidR="005E000F" w:rsidRDefault="00000000">
      <w:pPr>
        <w:pStyle w:val="4"/>
        <w:numPr>
          <w:ilvl w:val="0"/>
          <w:numId w:val="117"/>
        </w:numPr>
        <w:rPr>
          <w:rFonts w:ascii="宋体" w:eastAsia="宋体" w:hAnsi="宋体" w:cs="宋体"/>
          <w:kern w:val="0"/>
          <w:szCs w:val="24"/>
        </w:rPr>
      </w:pPr>
      <w:r>
        <w:rPr>
          <w:rFonts w:ascii="宋体" w:eastAsia="宋体" w:hAnsi="宋体" w:cs="宋体" w:hint="eastAsia"/>
          <w:kern w:val="0"/>
          <w:szCs w:val="24"/>
        </w:rPr>
        <w:t>因转移而终止确认的金融资产</w:t>
      </w:r>
    </w:p>
    <w:sdt>
      <w:sdtPr>
        <w:rPr>
          <w:rFonts w:hint="eastAsia"/>
        </w:rPr>
        <w:alias w:val="是否适用：因转移而终止确认的金融资产[双击切换]"/>
        <w:tag w:val="_GBC_9fb1347e32aa4376959cf58d1383255a"/>
        <w:id w:val="924613200"/>
        <w:placeholder>
          <w:docPart w:val="GBC22222222222222222222222222222"/>
        </w:placeholder>
      </w:sdtPr>
      <w:sdtContent>
        <w:p w14:paraId="5EF375D8"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MACROBUTTON  SnrToggleCheckbox √适用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CFCDA94" w14:textId="77777777" w:rsidR="005E000F" w:rsidRDefault="005E000F">
      <w:pPr>
        <w:rPr>
          <w:color w:val="000000" w:themeColor="text1"/>
        </w:rPr>
      </w:pPr>
    </w:p>
    <w:p w14:paraId="4B5A23F3" w14:textId="77777777" w:rsidR="005E000F" w:rsidRDefault="00000000">
      <w:pPr>
        <w:rPr>
          <w:color w:val="000000" w:themeColor="text1"/>
        </w:rPr>
      </w:pP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日，本集团将金额为人民币</w:t>
      </w:r>
      <w:r>
        <w:rPr>
          <w:rFonts w:hint="eastAsia"/>
          <w:color w:val="000000" w:themeColor="text1"/>
        </w:rPr>
        <w:t>2,032,298,586</w:t>
      </w:r>
      <w:r>
        <w:rPr>
          <w:rFonts w:hint="eastAsia"/>
          <w:color w:val="000000" w:themeColor="text1"/>
        </w:rPr>
        <w:t>元</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日：人民币</w:t>
      </w:r>
      <w:r>
        <w:rPr>
          <w:rFonts w:hint="eastAsia"/>
          <w:color w:val="000000" w:themeColor="text1"/>
        </w:rPr>
        <w:t>1,284,587,489</w:t>
      </w:r>
      <w:r>
        <w:rPr>
          <w:rFonts w:hint="eastAsia"/>
          <w:color w:val="000000" w:themeColor="text1"/>
        </w:rPr>
        <w:t>元</w:t>
      </w:r>
      <w:r>
        <w:rPr>
          <w:rFonts w:hint="eastAsia"/>
          <w:color w:val="000000" w:themeColor="text1"/>
        </w:rPr>
        <w:t>)</w:t>
      </w:r>
      <w:r>
        <w:rPr>
          <w:rFonts w:hint="eastAsia"/>
          <w:color w:val="000000" w:themeColor="text1"/>
        </w:rPr>
        <w:t>的应收票据背书给其供货商以支付应付账款及金额为人民币</w:t>
      </w:r>
      <w:r>
        <w:rPr>
          <w:rFonts w:hint="eastAsia"/>
          <w:color w:val="000000" w:themeColor="text1"/>
        </w:rPr>
        <w:t>850,201,583</w:t>
      </w:r>
      <w:r>
        <w:rPr>
          <w:rFonts w:hint="eastAsia"/>
          <w:color w:val="000000" w:themeColor="text1"/>
        </w:rPr>
        <w:t>元</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日：人民币</w:t>
      </w:r>
      <w:r>
        <w:rPr>
          <w:rFonts w:hint="eastAsia"/>
          <w:color w:val="000000" w:themeColor="text1"/>
        </w:rPr>
        <w:t>2,977,502,378</w:t>
      </w:r>
      <w:r>
        <w:rPr>
          <w:rFonts w:hint="eastAsia"/>
          <w:color w:val="000000" w:themeColor="text1"/>
        </w:rPr>
        <w:t>元</w:t>
      </w:r>
      <w:r>
        <w:rPr>
          <w:rFonts w:hint="eastAsia"/>
          <w:color w:val="000000" w:themeColor="text1"/>
        </w:rPr>
        <w:t>)</w:t>
      </w:r>
      <w:r>
        <w:rPr>
          <w:rFonts w:hint="eastAsia"/>
          <w:color w:val="000000" w:themeColor="text1"/>
        </w:rPr>
        <w:t>的应收票据向银行贴现以换取货币资金。本集团认为该等背书或贴现应收票据所有权上几乎所有的风险和报酬已经转移予供货商或贴现银行，因此终止确认该等背书或贴现应收票据。若承兑人到期无法兑付该等票据，根据中国相关法律法规，本集团就该等应收票据承担连带责任。本集团认为，因承兑人信誉良好，到期日发生承兑人不能兑付的风险极低。</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如若承兑人未能于到期日兑付该等票据，即本集团所可能承受的最大损失相当于本集团就该等背书或贴现票据应付供货商或贴现银行的同等金额。所有背书或者贴现给供应商或银行的应收票据，到期日均在报告期末一年内。</w:t>
      </w:r>
    </w:p>
    <w:p w14:paraId="5C22065B" w14:textId="77777777" w:rsidR="005E000F" w:rsidRDefault="005E000F">
      <w:pPr>
        <w:rPr>
          <w:color w:val="808080"/>
        </w:rPr>
      </w:pPr>
    </w:p>
    <w:p w14:paraId="205AAC2C" w14:textId="77777777" w:rsidR="005E000F" w:rsidRDefault="005E000F">
      <w:pPr>
        <w:rPr>
          <w:color w:val="808080"/>
        </w:rPr>
      </w:pPr>
    </w:p>
    <w:p w14:paraId="518BE907" w14:textId="77777777" w:rsidR="005E000F" w:rsidRDefault="00000000">
      <w:pPr>
        <w:pStyle w:val="4"/>
        <w:numPr>
          <w:ilvl w:val="0"/>
          <w:numId w:val="117"/>
        </w:numPr>
        <w:rPr>
          <w:rFonts w:ascii="宋体" w:eastAsia="宋体" w:hAnsi="宋体" w:cs="宋体"/>
          <w:kern w:val="0"/>
          <w:szCs w:val="24"/>
        </w:rPr>
      </w:pPr>
      <w:r>
        <w:rPr>
          <w:rFonts w:ascii="宋体" w:eastAsia="宋体" w:hAnsi="宋体" w:cs="宋体" w:hint="eastAsia"/>
          <w:kern w:val="0"/>
          <w:szCs w:val="24"/>
        </w:rPr>
        <w:t>继续涉入的转移金融资产</w:t>
      </w:r>
    </w:p>
    <w:sdt>
      <w:sdtPr>
        <w:alias w:val="是否适用：继续涉入的转移金融资产[双击切换]"/>
        <w:tag w:val="_GBC_b604f7fddde64fe6935f4995b9a88a21"/>
        <w:id w:val="171231714"/>
        <w:placeholder>
          <w:docPart w:val="GBC22222222222222222222222222222"/>
        </w:placeholder>
      </w:sdtPr>
      <w:sdtContent>
        <w:p w14:paraId="7F77919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919958B" w14:textId="77777777" w:rsidR="005E000F" w:rsidRDefault="005E000F">
      <w:pPr>
        <w:rPr>
          <w:color w:val="808080"/>
        </w:rPr>
      </w:pPr>
    </w:p>
    <w:p w14:paraId="558AABD1" w14:textId="77777777" w:rsidR="005E000F" w:rsidRDefault="00000000">
      <w:r>
        <w:rPr>
          <w:rFonts w:hint="eastAsia"/>
        </w:rPr>
        <w:t>其他说明：</w:t>
      </w:r>
    </w:p>
    <w:sdt>
      <w:sdtPr>
        <w:alias w:val="是否适用：金融资产转移其他说明[双击切换]"/>
        <w:tag w:val="_GBC_205480d73c8a413b9678dd4798b26763"/>
        <w:id w:val="873424209"/>
        <w:placeholder>
          <w:docPart w:val="GBC22222222222222222222222222222"/>
        </w:placeholder>
      </w:sdtPr>
      <w:sdtContent>
        <w:p w14:paraId="43EE653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BADC539" w14:textId="77777777" w:rsidR="005E000F" w:rsidRDefault="005E000F">
      <w:pPr>
        <w:rPr>
          <w:color w:val="808080"/>
        </w:rPr>
      </w:pPr>
    </w:p>
    <w:p w14:paraId="4473F82B" w14:textId="77777777" w:rsidR="005E000F" w:rsidRDefault="00000000">
      <w:pPr>
        <w:pStyle w:val="2"/>
        <w:numPr>
          <w:ilvl w:val="0"/>
          <w:numId w:val="56"/>
        </w:numPr>
        <w:rPr>
          <w:rFonts w:ascii="宋体" w:hAnsi="宋体"/>
        </w:rPr>
      </w:pPr>
      <w:r>
        <w:rPr>
          <w:rFonts w:ascii="宋体" w:hAnsi="宋体" w:hint="eastAsia"/>
        </w:rPr>
        <w:t>公允价值的披露</w:t>
      </w:r>
    </w:p>
    <w:p w14:paraId="30046902" w14:textId="77777777" w:rsidR="005E000F" w:rsidRDefault="00000000">
      <w:pPr>
        <w:pStyle w:val="3"/>
        <w:numPr>
          <w:ilvl w:val="0"/>
          <w:numId w:val="118"/>
        </w:numPr>
      </w:pPr>
      <w:bookmarkStart w:id="409" w:name="_Hlk24030209"/>
      <w:bookmarkStart w:id="410" w:name="_Hlk10539195"/>
      <w:r>
        <w:rPr>
          <w:rFonts w:hint="eastAsia"/>
        </w:rPr>
        <w:t>以公允价值计量的资产和负债的期末公允价值</w:t>
      </w:r>
    </w:p>
    <w:sdt>
      <w:sdtPr>
        <w:alias w:val="是否适用：以公允价值计量的资产和负债的期末公允价值[双击切换]"/>
        <w:tag w:val="_GBC_6fbb4bafbfc548fdbb4a25b91f07bd6a"/>
        <w:id w:val="-1111738798"/>
        <w:placeholder>
          <w:docPart w:val="GBC22222222222222222222222222222"/>
        </w:placeholder>
      </w:sdtPr>
      <w:sdtContent>
        <w:p w14:paraId="343D2DF8"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A195E6F" w14:textId="77777777" w:rsidR="005E000F" w:rsidRDefault="00000000">
      <w:pPr>
        <w:jc w:val="right"/>
      </w:pPr>
      <w:r>
        <w:rPr>
          <w:rFonts w:hint="eastAsia"/>
        </w:rPr>
        <w:t>单位：</w:t>
      </w:r>
      <w:sdt>
        <w:sdtPr>
          <w:rPr>
            <w:rFonts w:hint="eastAsia"/>
          </w:rPr>
          <w:alias w:val="单位：财务附注：以公允价值计量的资产和负债的期末公允价值"/>
          <w:tag w:val="_GBC_2c45ed0b719e4292b6389023b9ce1031"/>
          <w:id w:val="98273707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以公允价值计量的资产和负债的期末公允价值"/>
          <w:tag w:val="_GBC_4c0658ced5d64a5f80dc11bb84ac9dbd"/>
          <w:id w:val="31037381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3"/>
        <w:gridCol w:w="1708"/>
        <w:gridCol w:w="1668"/>
        <w:gridCol w:w="1735"/>
        <w:gridCol w:w="1514"/>
      </w:tblGrid>
      <w:tr w:rsidR="005E000F" w14:paraId="083A0854" w14:textId="77777777">
        <w:trPr>
          <w:trHeight w:val="145"/>
        </w:trPr>
        <w:sdt>
          <w:sdtPr>
            <w:tag w:val="_PLD_163e93b7c897498dae37bc5c38a11afe"/>
            <w:id w:val="-1207555228"/>
          </w:sdtPr>
          <w:sdtContent>
            <w:tc>
              <w:tcPr>
                <w:tcW w:w="2423" w:type="dxa"/>
                <w:vMerge w:val="restart"/>
                <w:tcBorders>
                  <w:top w:val="single" w:sz="4" w:space="0" w:color="auto"/>
                  <w:left w:val="single" w:sz="4" w:space="0" w:color="auto"/>
                  <w:right w:val="single" w:sz="4" w:space="0" w:color="auto"/>
                </w:tcBorders>
                <w:vAlign w:val="center"/>
              </w:tcPr>
              <w:p w14:paraId="2A488BE9" w14:textId="77777777" w:rsidR="005E000F" w:rsidRDefault="00000000">
                <w:pPr>
                  <w:jc w:val="center"/>
                  <w:outlineLvl w:val="2"/>
                  <w:rPr>
                    <w:rFonts w:cs="Cambria"/>
                  </w:rPr>
                </w:pPr>
                <w:r>
                  <w:rPr>
                    <w:rFonts w:cs="Cambria" w:hint="eastAsia"/>
                  </w:rPr>
                  <w:t>项目</w:t>
                </w:r>
              </w:p>
            </w:tc>
          </w:sdtContent>
        </w:sdt>
        <w:sdt>
          <w:sdtPr>
            <w:tag w:val="_PLD_b8bd62f651414617bea8612c55db30ce"/>
            <w:id w:val="-376784112"/>
          </w:sdtPr>
          <w:sdtContent>
            <w:tc>
              <w:tcPr>
                <w:tcW w:w="6625" w:type="dxa"/>
                <w:gridSpan w:val="4"/>
                <w:tcBorders>
                  <w:top w:val="single" w:sz="4" w:space="0" w:color="auto"/>
                  <w:left w:val="single" w:sz="4" w:space="0" w:color="auto"/>
                  <w:bottom w:val="single" w:sz="4" w:space="0" w:color="auto"/>
                  <w:right w:val="single" w:sz="4" w:space="0" w:color="auto"/>
                </w:tcBorders>
                <w:vAlign w:val="center"/>
              </w:tcPr>
              <w:p w14:paraId="3C2C3D57" w14:textId="77777777" w:rsidR="005E000F" w:rsidRDefault="00000000">
                <w:pPr>
                  <w:jc w:val="center"/>
                  <w:outlineLvl w:val="2"/>
                  <w:rPr>
                    <w:rFonts w:cs="Cambria"/>
                  </w:rPr>
                </w:pPr>
                <w:r>
                  <w:rPr>
                    <w:rFonts w:cs="Cambria" w:hint="eastAsia"/>
                  </w:rPr>
                  <w:t>期末公允价值</w:t>
                </w:r>
              </w:p>
            </w:tc>
          </w:sdtContent>
        </w:sdt>
      </w:tr>
      <w:tr w:rsidR="005E000F" w14:paraId="6FA600C5" w14:textId="77777777">
        <w:trPr>
          <w:trHeight w:val="145"/>
        </w:trPr>
        <w:tc>
          <w:tcPr>
            <w:tcW w:w="2423" w:type="dxa"/>
            <w:vMerge/>
            <w:tcBorders>
              <w:left w:val="single" w:sz="4" w:space="0" w:color="auto"/>
              <w:bottom w:val="single" w:sz="4" w:space="0" w:color="auto"/>
              <w:right w:val="single" w:sz="4" w:space="0" w:color="auto"/>
            </w:tcBorders>
            <w:vAlign w:val="center"/>
          </w:tcPr>
          <w:p w14:paraId="355E2A33" w14:textId="77777777" w:rsidR="005E000F" w:rsidRDefault="005E000F">
            <w:pPr>
              <w:jc w:val="center"/>
              <w:outlineLvl w:val="2"/>
              <w:rPr>
                <w:rFonts w:cs="Cambria"/>
              </w:rPr>
            </w:pPr>
          </w:p>
        </w:tc>
        <w:sdt>
          <w:sdtPr>
            <w:tag w:val="_PLD_8b204b4b1832494b8312fec08990548b"/>
            <w:id w:val="-1391110406"/>
          </w:sdtPr>
          <w:sdtContent>
            <w:tc>
              <w:tcPr>
                <w:tcW w:w="1708" w:type="dxa"/>
                <w:tcBorders>
                  <w:top w:val="single" w:sz="4" w:space="0" w:color="auto"/>
                  <w:left w:val="single" w:sz="4" w:space="0" w:color="auto"/>
                  <w:bottom w:val="single" w:sz="4" w:space="0" w:color="auto"/>
                  <w:right w:val="single" w:sz="4" w:space="0" w:color="auto"/>
                </w:tcBorders>
                <w:vAlign w:val="center"/>
              </w:tcPr>
              <w:p w14:paraId="7885BC64" w14:textId="77777777" w:rsidR="005E000F" w:rsidRDefault="00000000">
                <w:pPr>
                  <w:jc w:val="center"/>
                  <w:outlineLvl w:val="2"/>
                  <w:rPr>
                    <w:rFonts w:cs="Cambria"/>
                  </w:rPr>
                </w:pPr>
                <w:r>
                  <w:rPr>
                    <w:rFonts w:cs="Cambria" w:hint="eastAsia"/>
                  </w:rPr>
                  <w:t>第一层次公允价值计量</w:t>
                </w:r>
              </w:p>
            </w:tc>
          </w:sdtContent>
        </w:sdt>
        <w:sdt>
          <w:sdtPr>
            <w:tag w:val="_PLD_de23a118a4e8435d9b0e1e2e2e494f30"/>
            <w:id w:val="-93777891"/>
          </w:sdtPr>
          <w:sdtContent>
            <w:tc>
              <w:tcPr>
                <w:tcW w:w="1668" w:type="dxa"/>
                <w:tcBorders>
                  <w:top w:val="single" w:sz="4" w:space="0" w:color="auto"/>
                  <w:left w:val="single" w:sz="4" w:space="0" w:color="auto"/>
                  <w:bottom w:val="single" w:sz="4" w:space="0" w:color="auto"/>
                  <w:right w:val="single" w:sz="4" w:space="0" w:color="auto"/>
                </w:tcBorders>
                <w:vAlign w:val="center"/>
              </w:tcPr>
              <w:p w14:paraId="3D994EAD" w14:textId="77777777" w:rsidR="005E000F" w:rsidRDefault="00000000">
                <w:pPr>
                  <w:jc w:val="center"/>
                  <w:outlineLvl w:val="2"/>
                  <w:rPr>
                    <w:rFonts w:cs="Cambria"/>
                  </w:rPr>
                </w:pPr>
                <w:r>
                  <w:rPr>
                    <w:rFonts w:cs="Cambria" w:hint="eastAsia"/>
                  </w:rPr>
                  <w:t>第二层次公允价值计量</w:t>
                </w:r>
              </w:p>
            </w:tc>
          </w:sdtContent>
        </w:sdt>
        <w:sdt>
          <w:sdtPr>
            <w:tag w:val="_PLD_4cb787262d4b4096b0d321ac48721dd2"/>
            <w:id w:val="2064528513"/>
          </w:sdtPr>
          <w:sdtContent>
            <w:tc>
              <w:tcPr>
                <w:tcW w:w="1735" w:type="dxa"/>
                <w:tcBorders>
                  <w:top w:val="single" w:sz="4" w:space="0" w:color="auto"/>
                  <w:left w:val="single" w:sz="4" w:space="0" w:color="auto"/>
                  <w:bottom w:val="single" w:sz="4" w:space="0" w:color="auto"/>
                  <w:right w:val="single" w:sz="4" w:space="0" w:color="auto"/>
                </w:tcBorders>
                <w:vAlign w:val="center"/>
              </w:tcPr>
              <w:p w14:paraId="3D6C108C" w14:textId="77777777" w:rsidR="005E000F" w:rsidRDefault="00000000">
                <w:pPr>
                  <w:jc w:val="center"/>
                  <w:outlineLvl w:val="2"/>
                  <w:rPr>
                    <w:rFonts w:cs="Cambria"/>
                  </w:rPr>
                </w:pPr>
                <w:r>
                  <w:rPr>
                    <w:rFonts w:cs="Cambria" w:hint="eastAsia"/>
                  </w:rPr>
                  <w:t>第三层次公允价值计量</w:t>
                </w:r>
              </w:p>
            </w:tc>
          </w:sdtContent>
        </w:sdt>
        <w:sdt>
          <w:sdtPr>
            <w:tag w:val="_PLD_fb89c54d0c8e4fe2990587a96b78b5ca"/>
            <w:id w:val="-1682956665"/>
          </w:sdtPr>
          <w:sdtContent>
            <w:tc>
              <w:tcPr>
                <w:tcW w:w="1514" w:type="dxa"/>
                <w:tcBorders>
                  <w:top w:val="single" w:sz="4" w:space="0" w:color="auto"/>
                  <w:left w:val="single" w:sz="4" w:space="0" w:color="auto"/>
                  <w:bottom w:val="single" w:sz="4" w:space="0" w:color="auto"/>
                  <w:right w:val="single" w:sz="4" w:space="0" w:color="auto"/>
                </w:tcBorders>
                <w:vAlign w:val="center"/>
              </w:tcPr>
              <w:p w14:paraId="75C3B28F" w14:textId="77777777" w:rsidR="005E000F" w:rsidRDefault="00000000">
                <w:pPr>
                  <w:jc w:val="center"/>
                  <w:outlineLvl w:val="2"/>
                  <w:rPr>
                    <w:rFonts w:cs="Cambria"/>
                  </w:rPr>
                </w:pPr>
                <w:r>
                  <w:rPr>
                    <w:rFonts w:cs="Cambria" w:hint="eastAsia"/>
                  </w:rPr>
                  <w:t>合计</w:t>
                </w:r>
              </w:p>
            </w:tc>
          </w:sdtContent>
        </w:sdt>
      </w:tr>
      <w:tr w:rsidR="005E000F" w14:paraId="76688A17" w14:textId="77777777">
        <w:trPr>
          <w:trHeight w:val="227"/>
        </w:trPr>
        <w:tc>
          <w:tcPr>
            <w:tcW w:w="2423" w:type="dxa"/>
            <w:tcBorders>
              <w:top w:val="single" w:sz="4" w:space="0" w:color="auto"/>
              <w:left w:val="single" w:sz="4" w:space="0" w:color="auto"/>
              <w:bottom w:val="single" w:sz="4" w:space="0" w:color="auto"/>
              <w:right w:val="single" w:sz="4" w:space="0" w:color="auto"/>
            </w:tcBorders>
            <w:vAlign w:val="center"/>
          </w:tcPr>
          <w:p w14:paraId="4E788A44" w14:textId="77777777" w:rsidR="005E000F" w:rsidRDefault="00000000">
            <w:pPr>
              <w:outlineLvl w:val="2"/>
              <w:rPr>
                <w:rFonts w:cs="Cambria"/>
                <w:b/>
              </w:rPr>
            </w:pPr>
            <w:r>
              <w:rPr>
                <w:rFonts w:cs="Cambria" w:hint="eastAsia"/>
                <w:b/>
              </w:rPr>
              <w:t>一、持续的公允价值计量</w:t>
            </w:r>
          </w:p>
        </w:tc>
        <w:tc>
          <w:tcPr>
            <w:tcW w:w="1708" w:type="dxa"/>
            <w:tcBorders>
              <w:top w:val="single" w:sz="4" w:space="0" w:color="auto"/>
              <w:left w:val="single" w:sz="4" w:space="0" w:color="auto"/>
              <w:bottom w:val="single" w:sz="4" w:space="0" w:color="auto"/>
              <w:right w:val="single" w:sz="4" w:space="0" w:color="auto"/>
            </w:tcBorders>
            <w:vAlign w:val="center"/>
          </w:tcPr>
          <w:p w14:paraId="015D208F" w14:textId="77777777" w:rsidR="005E000F" w:rsidRDefault="005E000F">
            <w:pPr>
              <w:jc w:val="right"/>
              <w:outlineLvl w:val="2"/>
              <w:rPr>
                <w:rFonts w:cs="Cambria"/>
              </w:rPr>
            </w:pPr>
          </w:p>
        </w:tc>
        <w:tc>
          <w:tcPr>
            <w:tcW w:w="1668" w:type="dxa"/>
            <w:tcBorders>
              <w:top w:val="single" w:sz="4" w:space="0" w:color="auto"/>
              <w:left w:val="single" w:sz="4" w:space="0" w:color="auto"/>
              <w:bottom w:val="single" w:sz="4" w:space="0" w:color="auto"/>
              <w:right w:val="single" w:sz="4" w:space="0" w:color="auto"/>
            </w:tcBorders>
            <w:vAlign w:val="center"/>
          </w:tcPr>
          <w:p w14:paraId="6CB6B6DC" w14:textId="77777777" w:rsidR="005E000F" w:rsidRDefault="005E000F">
            <w:pPr>
              <w:jc w:val="right"/>
              <w:outlineLvl w:val="2"/>
              <w:rPr>
                <w:rFonts w:cs="Cambria"/>
              </w:rPr>
            </w:pPr>
          </w:p>
        </w:tc>
        <w:tc>
          <w:tcPr>
            <w:tcW w:w="1735" w:type="dxa"/>
            <w:tcBorders>
              <w:top w:val="single" w:sz="4" w:space="0" w:color="auto"/>
              <w:left w:val="single" w:sz="4" w:space="0" w:color="auto"/>
              <w:bottom w:val="single" w:sz="4" w:space="0" w:color="auto"/>
              <w:right w:val="single" w:sz="4" w:space="0" w:color="auto"/>
            </w:tcBorders>
            <w:vAlign w:val="center"/>
          </w:tcPr>
          <w:p w14:paraId="3891F682" w14:textId="77777777" w:rsidR="005E000F" w:rsidRDefault="005E000F">
            <w:pPr>
              <w:jc w:val="right"/>
              <w:outlineLvl w:val="2"/>
              <w:rPr>
                <w:rFonts w:cs="Cambria"/>
              </w:rPr>
            </w:pPr>
          </w:p>
        </w:tc>
        <w:tc>
          <w:tcPr>
            <w:tcW w:w="1514" w:type="dxa"/>
            <w:tcBorders>
              <w:top w:val="single" w:sz="4" w:space="0" w:color="auto"/>
              <w:left w:val="single" w:sz="4" w:space="0" w:color="auto"/>
              <w:bottom w:val="single" w:sz="4" w:space="0" w:color="auto"/>
              <w:right w:val="single" w:sz="4" w:space="0" w:color="auto"/>
            </w:tcBorders>
            <w:vAlign w:val="center"/>
          </w:tcPr>
          <w:p w14:paraId="52AA9D7C" w14:textId="77777777" w:rsidR="005E000F" w:rsidRDefault="005E000F">
            <w:pPr>
              <w:jc w:val="right"/>
              <w:outlineLvl w:val="2"/>
              <w:rPr>
                <w:rFonts w:cs="Cambria"/>
              </w:rPr>
            </w:pPr>
          </w:p>
        </w:tc>
      </w:tr>
      <w:tr w:rsidR="005E000F" w14:paraId="25B16A51"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38691B6" w14:textId="77777777" w:rsidR="005E000F" w:rsidRDefault="00000000">
            <w:pPr>
              <w:outlineLvl w:val="2"/>
            </w:pPr>
            <w:r>
              <w:rPr>
                <w:rFonts w:hint="eastAsia"/>
              </w:rPr>
              <w:t>（一）其他权益工具投资</w:t>
            </w:r>
          </w:p>
        </w:tc>
        <w:tc>
          <w:tcPr>
            <w:tcW w:w="1708" w:type="dxa"/>
            <w:tcBorders>
              <w:top w:val="single" w:sz="4" w:space="0" w:color="auto"/>
              <w:left w:val="single" w:sz="4" w:space="0" w:color="auto"/>
              <w:bottom w:val="single" w:sz="4" w:space="0" w:color="auto"/>
              <w:right w:val="single" w:sz="4" w:space="0" w:color="auto"/>
            </w:tcBorders>
            <w:vAlign w:val="center"/>
          </w:tcPr>
          <w:p w14:paraId="7C90C89B" w14:textId="77777777" w:rsidR="005E000F" w:rsidRDefault="00000000">
            <w:pPr>
              <w:jc w:val="right"/>
              <w:outlineLvl w:val="2"/>
              <w:rPr>
                <w:rFonts w:cs="Cambria"/>
              </w:rPr>
            </w:pPr>
            <w:r>
              <w:rPr>
                <w:rFonts w:cs="Cambria"/>
              </w:rPr>
              <w:t>149,197,500</w:t>
            </w:r>
          </w:p>
        </w:tc>
        <w:tc>
          <w:tcPr>
            <w:tcW w:w="1668" w:type="dxa"/>
            <w:tcBorders>
              <w:top w:val="single" w:sz="4" w:space="0" w:color="auto"/>
              <w:left w:val="single" w:sz="4" w:space="0" w:color="auto"/>
              <w:bottom w:val="single" w:sz="4" w:space="0" w:color="auto"/>
              <w:right w:val="single" w:sz="4" w:space="0" w:color="auto"/>
            </w:tcBorders>
            <w:vAlign w:val="center"/>
          </w:tcPr>
          <w:p w14:paraId="596CEC2D" w14:textId="77777777" w:rsidR="005E000F" w:rsidRDefault="00000000">
            <w:pPr>
              <w:jc w:val="right"/>
              <w:outlineLvl w:val="2"/>
              <w:rPr>
                <w:rFonts w:cs="Cambria"/>
              </w:rPr>
            </w:pPr>
            <w:r>
              <w:rPr>
                <w:rFonts w:cs="Cambria" w:hint="eastAsia"/>
              </w:rPr>
              <w:t>0</w:t>
            </w:r>
          </w:p>
        </w:tc>
        <w:tc>
          <w:tcPr>
            <w:tcW w:w="1735" w:type="dxa"/>
            <w:tcBorders>
              <w:top w:val="single" w:sz="4" w:space="0" w:color="auto"/>
              <w:left w:val="single" w:sz="4" w:space="0" w:color="auto"/>
              <w:bottom w:val="single" w:sz="4" w:space="0" w:color="auto"/>
              <w:right w:val="single" w:sz="4" w:space="0" w:color="auto"/>
            </w:tcBorders>
            <w:vAlign w:val="center"/>
          </w:tcPr>
          <w:p w14:paraId="42AD5C94" w14:textId="77777777" w:rsidR="005E000F" w:rsidRDefault="00000000">
            <w:pPr>
              <w:jc w:val="right"/>
              <w:outlineLvl w:val="2"/>
              <w:rPr>
                <w:rFonts w:cs="Cambria"/>
              </w:rPr>
            </w:pPr>
            <w:r>
              <w:rPr>
                <w:rFonts w:cs="Cambria"/>
              </w:rPr>
              <w:t>91,551,000</w:t>
            </w:r>
          </w:p>
        </w:tc>
        <w:tc>
          <w:tcPr>
            <w:tcW w:w="1514" w:type="dxa"/>
            <w:tcBorders>
              <w:top w:val="single" w:sz="4" w:space="0" w:color="auto"/>
              <w:left w:val="single" w:sz="4" w:space="0" w:color="auto"/>
              <w:bottom w:val="single" w:sz="4" w:space="0" w:color="auto"/>
              <w:right w:val="single" w:sz="4" w:space="0" w:color="auto"/>
            </w:tcBorders>
            <w:vAlign w:val="center"/>
          </w:tcPr>
          <w:p w14:paraId="0FC578A1" w14:textId="77777777" w:rsidR="005E000F" w:rsidRDefault="00000000">
            <w:pPr>
              <w:jc w:val="right"/>
              <w:outlineLvl w:val="2"/>
              <w:rPr>
                <w:rFonts w:cs="Cambria"/>
              </w:rPr>
            </w:pPr>
            <w:r>
              <w:rPr>
                <w:rFonts w:cs="Cambria"/>
              </w:rPr>
              <w:t>240,748,500</w:t>
            </w:r>
          </w:p>
        </w:tc>
      </w:tr>
      <w:tr w:rsidR="005E000F" w14:paraId="596C9FD7" w14:textId="77777777">
        <w:trPr>
          <w:trHeight w:val="240"/>
        </w:trPr>
        <w:tc>
          <w:tcPr>
            <w:tcW w:w="2423" w:type="dxa"/>
            <w:tcBorders>
              <w:top w:val="single" w:sz="4" w:space="0" w:color="auto"/>
              <w:left w:val="single" w:sz="4" w:space="0" w:color="auto"/>
              <w:bottom w:val="single" w:sz="4" w:space="0" w:color="auto"/>
              <w:right w:val="single" w:sz="4" w:space="0" w:color="auto"/>
            </w:tcBorders>
            <w:vAlign w:val="center"/>
          </w:tcPr>
          <w:p w14:paraId="22487740" w14:textId="77777777" w:rsidR="005E000F" w:rsidRDefault="00000000">
            <w:pPr>
              <w:outlineLvl w:val="2"/>
              <w:rPr>
                <w:rFonts w:cs="Cambria"/>
              </w:rPr>
            </w:pPr>
            <w:r>
              <w:rPr>
                <w:rFonts w:cs="Cambria" w:hint="eastAsia"/>
              </w:rPr>
              <w:t>（二）应收款项融资</w:t>
            </w:r>
          </w:p>
        </w:tc>
        <w:tc>
          <w:tcPr>
            <w:tcW w:w="1708" w:type="dxa"/>
            <w:tcBorders>
              <w:top w:val="single" w:sz="4" w:space="0" w:color="auto"/>
              <w:left w:val="single" w:sz="4" w:space="0" w:color="auto"/>
              <w:bottom w:val="single" w:sz="4" w:space="0" w:color="auto"/>
              <w:right w:val="single" w:sz="4" w:space="0" w:color="auto"/>
            </w:tcBorders>
            <w:vAlign w:val="center"/>
          </w:tcPr>
          <w:p w14:paraId="51139336" w14:textId="77777777" w:rsidR="005E000F" w:rsidRDefault="00000000">
            <w:pPr>
              <w:jc w:val="right"/>
              <w:outlineLvl w:val="2"/>
              <w:rPr>
                <w:rFonts w:cs="Cambria"/>
              </w:rPr>
            </w:pPr>
            <w:r>
              <w:rPr>
                <w:rFonts w:cs="Cambria" w:hint="eastAsia"/>
              </w:rPr>
              <w:t>0</w:t>
            </w:r>
          </w:p>
        </w:tc>
        <w:tc>
          <w:tcPr>
            <w:tcW w:w="1668" w:type="dxa"/>
            <w:tcBorders>
              <w:top w:val="single" w:sz="4" w:space="0" w:color="auto"/>
              <w:left w:val="single" w:sz="4" w:space="0" w:color="auto"/>
              <w:bottom w:val="single" w:sz="4" w:space="0" w:color="auto"/>
              <w:right w:val="single" w:sz="4" w:space="0" w:color="auto"/>
            </w:tcBorders>
            <w:vAlign w:val="center"/>
          </w:tcPr>
          <w:p w14:paraId="77036AF6" w14:textId="77777777" w:rsidR="005E000F" w:rsidRDefault="00000000">
            <w:pPr>
              <w:jc w:val="right"/>
              <w:outlineLvl w:val="2"/>
              <w:rPr>
                <w:rFonts w:cs="Cambria"/>
              </w:rPr>
            </w:pPr>
            <w:r>
              <w:rPr>
                <w:rFonts w:cs="Cambria"/>
              </w:rPr>
              <w:t>3,110,596,621</w:t>
            </w:r>
          </w:p>
        </w:tc>
        <w:tc>
          <w:tcPr>
            <w:tcW w:w="1735" w:type="dxa"/>
            <w:tcBorders>
              <w:top w:val="single" w:sz="4" w:space="0" w:color="auto"/>
              <w:left w:val="single" w:sz="4" w:space="0" w:color="auto"/>
              <w:bottom w:val="single" w:sz="4" w:space="0" w:color="auto"/>
              <w:right w:val="single" w:sz="4" w:space="0" w:color="auto"/>
            </w:tcBorders>
            <w:vAlign w:val="center"/>
          </w:tcPr>
          <w:p w14:paraId="592B523B" w14:textId="77777777" w:rsidR="005E000F" w:rsidRDefault="00000000">
            <w:pPr>
              <w:jc w:val="right"/>
              <w:outlineLvl w:val="2"/>
              <w:rPr>
                <w:rFonts w:cs="Cambria"/>
              </w:rPr>
            </w:pPr>
            <w:r>
              <w:rPr>
                <w:rFonts w:cs="Cambria" w:hint="eastAsia"/>
              </w:rPr>
              <w:t>0</w:t>
            </w:r>
          </w:p>
        </w:tc>
        <w:tc>
          <w:tcPr>
            <w:tcW w:w="1514" w:type="dxa"/>
            <w:tcBorders>
              <w:top w:val="single" w:sz="4" w:space="0" w:color="auto"/>
              <w:left w:val="single" w:sz="4" w:space="0" w:color="auto"/>
              <w:bottom w:val="single" w:sz="4" w:space="0" w:color="auto"/>
              <w:right w:val="single" w:sz="4" w:space="0" w:color="auto"/>
            </w:tcBorders>
            <w:vAlign w:val="center"/>
          </w:tcPr>
          <w:p w14:paraId="6DFE8CCE" w14:textId="77777777" w:rsidR="005E000F" w:rsidRDefault="00000000">
            <w:pPr>
              <w:jc w:val="right"/>
              <w:outlineLvl w:val="2"/>
              <w:rPr>
                <w:rFonts w:cs="Cambria"/>
              </w:rPr>
            </w:pPr>
            <w:r>
              <w:rPr>
                <w:rFonts w:cs="Cambria"/>
              </w:rPr>
              <w:t>3,110,596,621</w:t>
            </w:r>
          </w:p>
        </w:tc>
      </w:tr>
      <w:tr w:rsidR="005E000F" w14:paraId="5D2EF427" w14:textId="77777777">
        <w:trPr>
          <w:trHeight w:val="468"/>
        </w:trPr>
        <w:tc>
          <w:tcPr>
            <w:tcW w:w="2423" w:type="dxa"/>
            <w:tcBorders>
              <w:top w:val="single" w:sz="4" w:space="0" w:color="auto"/>
              <w:left w:val="single" w:sz="4" w:space="0" w:color="auto"/>
              <w:bottom w:val="single" w:sz="4" w:space="0" w:color="auto"/>
              <w:right w:val="single" w:sz="4" w:space="0" w:color="auto"/>
            </w:tcBorders>
            <w:vAlign w:val="center"/>
          </w:tcPr>
          <w:p w14:paraId="373CCF40" w14:textId="77777777" w:rsidR="005E000F" w:rsidRDefault="00000000">
            <w:pPr>
              <w:outlineLvl w:val="2"/>
              <w:rPr>
                <w:rFonts w:cs="Cambria"/>
                <w:b/>
              </w:rPr>
            </w:pPr>
            <w:r>
              <w:rPr>
                <w:rFonts w:cs="Cambria" w:hint="eastAsia"/>
                <w:b/>
              </w:rPr>
              <w:t>持续以公允价值计量的资产总额</w:t>
            </w:r>
          </w:p>
        </w:tc>
        <w:tc>
          <w:tcPr>
            <w:tcW w:w="1708" w:type="dxa"/>
            <w:tcBorders>
              <w:top w:val="single" w:sz="4" w:space="0" w:color="auto"/>
              <w:left w:val="single" w:sz="4" w:space="0" w:color="auto"/>
              <w:bottom w:val="single" w:sz="4" w:space="0" w:color="auto"/>
              <w:right w:val="single" w:sz="4" w:space="0" w:color="auto"/>
            </w:tcBorders>
            <w:vAlign w:val="center"/>
          </w:tcPr>
          <w:p w14:paraId="32E7A36A" w14:textId="77777777" w:rsidR="005E000F" w:rsidRDefault="00000000">
            <w:pPr>
              <w:jc w:val="right"/>
              <w:outlineLvl w:val="2"/>
              <w:rPr>
                <w:rFonts w:cs="Cambria"/>
              </w:rPr>
            </w:pPr>
            <w:r>
              <w:rPr>
                <w:rFonts w:cs="Cambria"/>
              </w:rPr>
              <w:t>149,197,500</w:t>
            </w:r>
          </w:p>
        </w:tc>
        <w:tc>
          <w:tcPr>
            <w:tcW w:w="1668" w:type="dxa"/>
            <w:tcBorders>
              <w:top w:val="single" w:sz="4" w:space="0" w:color="auto"/>
              <w:left w:val="single" w:sz="4" w:space="0" w:color="auto"/>
              <w:bottom w:val="single" w:sz="4" w:space="0" w:color="auto"/>
              <w:right w:val="single" w:sz="4" w:space="0" w:color="auto"/>
            </w:tcBorders>
            <w:vAlign w:val="center"/>
          </w:tcPr>
          <w:p w14:paraId="7B74F930" w14:textId="77777777" w:rsidR="005E000F" w:rsidRDefault="00000000">
            <w:pPr>
              <w:jc w:val="right"/>
              <w:outlineLvl w:val="2"/>
              <w:rPr>
                <w:rFonts w:cs="Cambria"/>
              </w:rPr>
            </w:pPr>
            <w:r>
              <w:rPr>
                <w:rFonts w:cs="Cambria"/>
              </w:rPr>
              <w:t>3,110,596,621</w:t>
            </w:r>
          </w:p>
        </w:tc>
        <w:tc>
          <w:tcPr>
            <w:tcW w:w="1735" w:type="dxa"/>
            <w:tcBorders>
              <w:top w:val="single" w:sz="4" w:space="0" w:color="auto"/>
              <w:left w:val="single" w:sz="4" w:space="0" w:color="auto"/>
              <w:bottom w:val="single" w:sz="4" w:space="0" w:color="auto"/>
              <w:right w:val="single" w:sz="4" w:space="0" w:color="auto"/>
            </w:tcBorders>
            <w:vAlign w:val="center"/>
          </w:tcPr>
          <w:p w14:paraId="5188A4EA" w14:textId="77777777" w:rsidR="005E000F" w:rsidRDefault="00000000">
            <w:pPr>
              <w:jc w:val="right"/>
              <w:outlineLvl w:val="2"/>
              <w:rPr>
                <w:rFonts w:cs="Cambria"/>
              </w:rPr>
            </w:pPr>
            <w:r>
              <w:rPr>
                <w:rFonts w:cs="Cambria"/>
              </w:rPr>
              <w:t>91,551,000</w:t>
            </w:r>
          </w:p>
        </w:tc>
        <w:tc>
          <w:tcPr>
            <w:tcW w:w="1514" w:type="dxa"/>
            <w:tcBorders>
              <w:top w:val="single" w:sz="4" w:space="0" w:color="auto"/>
              <w:left w:val="single" w:sz="4" w:space="0" w:color="auto"/>
              <w:bottom w:val="single" w:sz="4" w:space="0" w:color="auto"/>
              <w:right w:val="single" w:sz="4" w:space="0" w:color="auto"/>
            </w:tcBorders>
            <w:vAlign w:val="center"/>
          </w:tcPr>
          <w:p w14:paraId="022B963B" w14:textId="77777777" w:rsidR="005E000F" w:rsidRDefault="00000000">
            <w:pPr>
              <w:jc w:val="right"/>
              <w:outlineLvl w:val="2"/>
              <w:rPr>
                <w:rFonts w:cs="Cambria"/>
              </w:rPr>
            </w:pPr>
            <w:r>
              <w:rPr>
                <w:rFonts w:cs="Cambria"/>
              </w:rPr>
              <w:t>3,351,345,121</w:t>
            </w:r>
          </w:p>
        </w:tc>
      </w:tr>
    </w:tbl>
    <w:p w14:paraId="6D596824" w14:textId="77777777" w:rsidR="005E000F" w:rsidRDefault="005E000F"/>
    <w:bookmarkEnd w:id="409"/>
    <w:bookmarkEnd w:id="410"/>
    <w:p w14:paraId="19FD141B" w14:textId="77777777" w:rsidR="005E000F" w:rsidRDefault="00000000">
      <w:pPr>
        <w:pStyle w:val="3"/>
        <w:numPr>
          <w:ilvl w:val="0"/>
          <w:numId w:val="118"/>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rPr>
        <w:alias w:val="是否适用：持续和非持续第一层次公允价值计量项目市价的确定依据[双击切换]"/>
        <w:tag w:val="_GBC_fc42dd94906341819da0f825b0c88571"/>
        <w:id w:val="1602916962"/>
        <w:placeholder>
          <w:docPart w:val="GBC22222222222222222222222222222"/>
        </w:placeholder>
      </w:sdtPr>
      <w:sdtContent>
        <w:p w14:paraId="1CF9205C" w14:textId="77777777" w:rsidR="005E000F" w:rsidRDefault="00000000">
          <w:pPr>
            <w:rPr>
              <w:rFonts w:cs="Arial"/>
            </w:rPr>
          </w:pPr>
          <w:r>
            <w:rPr>
              <w:rFonts w:ascii="宋体" w:hAnsi="宋体" w:cs="Arial"/>
            </w:rPr>
            <w:fldChar w:fldCharType="begin"/>
          </w:r>
          <w:r>
            <w:rPr>
              <w:rFonts w:ascii="宋体" w:hAnsi="宋体" w:cs="Arial"/>
            </w:rPr>
            <w:instrText xml:space="preserve"> </w:instrText>
          </w:r>
          <w:r>
            <w:rPr>
              <w:rFonts w:ascii="宋体" w:hAnsi="宋体" w:cs="Arial" w:hint="eastAsia"/>
            </w:rPr>
            <w:instrText xml:space="preserve">MACROBUTTON  SnrToggleCheckbox √适用 </w:instrText>
          </w:r>
          <w:r>
            <w:rPr>
              <w:rFonts w:ascii="宋体" w:hAnsi="宋体" w:cs="Arial"/>
            </w:rPr>
            <w:instrText xml:space="preserve"> </w:instrText>
          </w:r>
          <w:r>
            <w:rPr>
              <w:rFonts w:ascii="宋体" w:hAnsi="宋体" w:cs="Arial"/>
            </w:rPr>
            <w:fldChar w:fldCharType="end"/>
          </w:r>
          <w:r>
            <w:rPr>
              <w:rFonts w:ascii="宋体" w:hAnsi="宋体" w:cs="Arial"/>
            </w:rPr>
            <w:fldChar w:fldCharType="begin"/>
          </w:r>
          <w:r>
            <w:rPr>
              <w:rFonts w:ascii="宋体" w:hAnsi="宋体" w:cs="Arial"/>
            </w:rPr>
            <w:instrText xml:space="preserve"> MACROBUTTON  SnrToggleCheckbox □不适用 </w:instrText>
          </w:r>
          <w:r>
            <w:rPr>
              <w:rFonts w:ascii="宋体" w:hAnsi="宋体" w:cs="Arial"/>
            </w:rPr>
            <w:fldChar w:fldCharType="end"/>
          </w:r>
        </w:p>
      </w:sdtContent>
    </w:sdt>
    <w:p w14:paraId="1C5B2704" w14:textId="77777777" w:rsidR="005E000F" w:rsidRDefault="00000000">
      <w:pPr>
        <w:rPr>
          <w:rFonts w:cs="Arial"/>
        </w:rPr>
      </w:pPr>
      <w:sdt>
        <w:sdtPr>
          <w:rPr>
            <w:rFonts w:cs="Arial" w:hint="eastAsia"/>
          </w:rPr>
          <w:alias w:val="持续和非持续第一层次公允价值计量项目市价的确定依据"/>
          <w:tag w:val="_GBC_8db65a2ca59047da919942f97cfc594e"/>
          <w:id w:val="447736130"/>
          <w:placeholder>
            <w:docPart w:val="GBC22222222222222222222222222222"/>
          </w:placeholder>
        </w:sdtPr>
        <w:sdtContent>
          <w:sdt>
            <w:sdtPr>
              <w:rPr>
                <w:rFonts w:cs="Arial" w:hint="eastAsia"/>
                <w:color w:val="000000" w:themeColor="text1"/>
              </w:rPr>
              <w:alias w:val="持续和非持续第一层次公允价值计量项目市价的确定依据"/>
              <w:tag w:val="_GBC_8db65a2ca59047da919942f97cfc594e"/>
              <w:id w:val="-29500686"/>
              <w:placeholder>
                <w:docPart w:val="{45080165-f451-4f5b-bd23-c8d41ab1af77}"/>
              </w:placeholder>
            </w:sdtPr>
            <w:sdtContent>
              <w:r>
                <w:rPr>
                  <w:rFonts w:cs="Arial" w:hint="eastAsia"/>
                  <w:color w:val="000000" w:themeColor="text1"/>
                </w:rPr>
                <w:t>本公司所持秦皇岛港股份有限公司的股票以每个期末的最后一个交易日该公司</w:t>
              </w:r>
              <w:r>
                <w:rPr>
                  <w:rFonts w:cs="Arial" w:hint="eastAsia"/>
                  <w:color w:val="000000" w:themeColor="text1"/>
                </w:rPr>
                <w:t>A</w:t>
              </w:r>
              <w:r>
                <w:rPr>
                  <w:rFonts w:cs="Arial" w:hint="eastAsia"/>
                  <w:color w:val="000000" w:themeColor="text1"/>
                </w:rPr>
                <w:t>股收盘价格为依据进行公允价值计量。</w:t>
              </w:r>
            </w:sdtContent>
          </w:sdt>
        </w:sdtContent>
      </w:sdt>
    </w:p>
    <w:p w14:paraId="6FF483C4" w14:textId="77777777" w:rsidR="005E000F" w:rsidRDefault="005E000F">
      <w:pPr>
        <w:tabs>
          <w:tab w:val="left" w:pos="1134"/>
        </w:tabs>
        <w:rPr>
          <w:rFonts w:cs="Cambria"/>
          <w:b/>
        </w:rPr>
      </w:pPr>
    </w:p>
    <w:p w14:paraId="126FE2B4" w14:textId="77777777" w:rsidR="005E000F" w:rsidRDefault="00000000">
      <w:pPr>
        <w:pStyle w:val="3"/>
        <w:numPr>
          <w:ilvl w:val="0"/>
          <w:numId w:val="118"/>
        </w:numPr>
      </w:pPr>
      <w:r>
        <w:rPr>
          <w:rFonts w:ascii="宋体" w:hAnsi="宋体" w:cs="Arial" w:hint="eastAsia"/>
          <w:szCs w:val="21"/>
        </w:rPr>
        <w:t>持续和非持续第二层次公允价值计量项目，采用的估值技术和重要参数的定性及定量信息</w:t>
      </w:r>
    </w:p>
    <w:sdt>
      <w:sdtPr>
        <w:rPr>
          <w:rFonts w:cs="Cambria" w:hint="eastAsia"/>
        </w:rPr>
        <w:alias w:val="是否适用：持续和非持续第二层次公允价值计量项目，采用的估值技术和重要参数的定性及定量信息[双击切换]"/>
        <w:tag w:val="_GBC_524db4de656b4bccac2fc473643fe7a6"/>
        <w:id w:val="-279640784"/>
        <w:placeholder>
          <w:docPart w:val="GBC22222222222222222222222222222"/>
        </w:placeholder>
      </w:sdtPr>
      <w:sdtContent>
        <w:p w14:paraId="6958C777" w14:textId="77777777" w:rsidR="005E000F" w:rsidRDefault="00000000">
          <w:pPr>
            <w:tabs>
              <w:tab w:val="left" w:pos="1134"/>
            </w:tabs>
            <w:rPr>
              <w:rFonts w:cs="Cambria"/>
            </w:rPr>
          </w:pPr>
          <w:r>
            <w:rPr>
              <w:rFonts w:ascii="宋体" w:hAnsi="宋体" w:cs="Cambria"/>
            </w:rPr>
            <w:fldChar w:fldCharType="begin"/>
          </w:r>
          <w:r>
            <w:rPr>
              <w:rFonts w:ascii="宋体" w:hAnsi="宋体" w:cs="Cambria"/>
            </w:rPr>
            <w:instrText xml:space="preserve"> </w:instrText>
          </w:r>
          <w:r>
            <w:rPr>
              <w:rFonts w:ascii="宋体" w:hAnsi="宋体" w:cs="Cambria" w:hint="eastAsia"/>
            </w:rPr>
            <w:instrText xml:space="preserve">MACROBUTTON  SnrToggleCheckbox √适用 </w:instrText>
          </w:r>
          <w:r>
            <w:rPr>
              <w:rFonts w:ascii="宋体" w:hAnsi="宋体" w:cs="Cambria"/>
            </w:rPr>
            <w:instrText xml:space="preserve"> </w:instrText>
          </w:r>
          <w:r>
            <w:rPr>
              <w:rFonts w:ascii="宋体" w:hAnsi="宋体" w:cs="Cambria"/>
            </w:rPr>
            <w:fldChar w:fldCharType="end"/>
          </w:r>
          <w:r>
            <w:rPr>
              <w:rFonts w:ascii="宋体" w:hAnsi="宋体" w:cs="Cambria"/>
            </w:rPr>
            <w:fldChar w:fldCharType="begin"/>
          </w:r>
          <w:r>
            <w:rPr>
              <w:rFonts w:ascii="宋体" w:hAnsi="宋体" w:cs="Cambria"/>
            </w:rPr>
            <w:instrText xml:space="preserve"> MACROBUTTON  SnrToggleCheckbox □不适用 </w:instrText>
          </w:r>
          <w:r>
            <w:rPr>
              <w:rFonts w:ascii="宋体" w:hAnsi="宋体" w:cs="Cambria"/>
            </w:rPr>
            <w:fldChar w:fldCharType="end"/>
          </w:r>
        </w:p>
      </w:sdtContent>
    </w:sdt>
    <w:sdt>
      <w:sdtPr>
        <w:rPr>
          <w:rFonts w:cs="Cambria"/>
        </w:rPr>
        <w:alias w:val="持续和非持续第二层次公允价值计量项目，采用的估值技术和重要参数的定性及定量信息"/>
        <w:tag w:val="_GBC_406ac04d46a9411bb4890572e539e6ca"/>
        <w:id w:val="1053120841"/>
        <w:placeholder>
          <w:docPart w:val="GBC22222222222222222222222222222"/>
        </w:placeholder>
      </w:sdtPr>
      <w:sdtContent>
        <w:sdt>
          <w:sdtPr>
            <w:rPr>
              <w:rFonts w:cs="Cambria"/>
              <w:color w:val="000000" w:themeColor="text1"/>
            </w:rPr>
            <w:alias w:val="持续和非持续第二层次公允价值计量项目，采用的估值技术和重要参数的定性及定量信息"/>
            <w:tag w:val="_GBC_406ac04d46a9411bb4890572e539e6ca"/>
            <w:id w:val="-998420082"/>
            <w:placeholder>
              <w:docPart w:val="{3acbab29-76fd-4d8c-84fb-0e076de099b7}"/>
            </w:placeholder>
          </w:sdtPr>
          <w:sdtContent>
            <w:p w14:paraId="0DE9034A" w14:textId="77777777" w:rsidR="005E000F" w:rsidRDefault="00000000">
              <w:pPr>
                <w:tabs>
                  <w:tab w:val="left" w:pos="1134"/>
                </w:tabs>
                <w:rPr>
                  <w:rFonts w:cs="Cambria"/>
                  <w:color w:val="000000" w:themeColor="text1"/>
                </w:rPr>
              </w:pPr>
              <w:r>
                <w:rPr>
                  <w:rFonts w:cs="Cambria"/>
                  <w:color w:val="000000" w:themeColor="text1"/>
                </w:rPr>
                <w:t>本公司持有的银行承兑汇票，由于不存在活跃市场的金融工具，本集团采用估值技术确定其公允价值。在估值时，本集团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r>
                <w:rPr>
                  <w:rFonts w:cs="Cambria" w:hint="eastAsia"/>
                  <w:color w:val="000000" w:themeColor="text1"/>
                </w:rPr>
                <w:t>。</w:t>
              </w:r>
            </w:p>
          </w:sdtContent>
        </w:sdt>
        <w:p w14:paraId="3F2FE64E" w14:textId="77777777" w:rsidR="005E000F" w:rsidRDefault="00000000">
          <w:pPr>
            <w:tabs>
              <w:tab w:val="left" w:pos="1134"/>
            </w:tabs>
            <w:rPr>
              <w:rFonts w:cs="Cambria"/>
            </w:rPr>
          </w:pPr>
        </w:p>
      </w:sdtContent>
    </w:sdt>
    <w:p w14:paraId="2BA30F8F" w14:textId="77777777" w:rsidR="005E000F" w:rsidRDefault="005E000F"/>
    <w:p w14:paraId="2998B6E5" w14:textId="77777777" w:rsidR="005E000F" w:rsidRDefault="00000000">
      <w:pPr>
        <w:pStyle w:val="3"/>
        <w:numPr>
          <w:ilvl w:val="0"/>
          <w:numId w:val="118"/>
        </w:numPr>
      </w:pPr>
      <w:r>
        <w:rPr>
          <w:rFonts w:ascii="宋体" w:hAnsi="宋体" w:cs="Arial" w:hint="eastAsia"/>
          <w:szCs w:val="21"/>
        </w:rPr>
        <w:t>持续和非持续第三层次公允价值计量项目，采用的估值技术和重要参数的定性及定量信息</w:t>
      </w:r>
    </w:p>
    <w:sdt>
      <w:sdtPr>
        <w:rPr>
          <w:rFonts w:hint="eastAsia"/>
        </w:rPr>
        <w:alias w:val="是否适用：持续和非持续第三层次公允价值计量项目，采用的估值技术和重要参数的定性及定量信息[双击切换]"/>
        <w:tag w:val="_GBC_2fc8e5a18cee4309a229e736040a7cfd"/>
        <w:id w:val="-1448308679"/>
        <w:placeholder>
          <w:docPart w:val="GBC22222222222222222222222222222"/>
        </w:placeholder>
      </w:sdtPr>
      <w:sdtContent>
        <w:p w14:paraId="62AD2FC7"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持续和非持续第三层次公允价值计量项目，采用的估值技术和重要参数的定性及定量信息"/>
        <w:tag w:val="_GBC_db2fdcfb26ce4ca9ac1e8da23b16aaaa"/>
        <w:id w:val="1001934946"/>
        <w:placeholder>
          <w:docPart w:val="GBC22222222222222222222222222222"/>
        </w:placeholder>
      </w:sdtPr>
      <w:sdtContent>
        <w:sdt>
          <w:sdtPr>
            <w:rPr>
              <w:rFonts w:hint="eastAsia"/>
              <w:color w:val="000000" w:themeColor="text1"/>
            </w:rPr>
            <w:alias w:val="持续和非持续第三层次公允价值计量项目，采用的估值技术和重要参数的定性及定量信息"/>
            <w:tag w:val="_GBC_db2fdcfb26ce4ca9ac1e8da23b16aaaa"/>
            <w:id w:val="-1836452990"/>
            <w:placeholder>
              <w:docPart w:val="{28a2a1d2-f89d-4345-87e2-a8498a8aa8f7}"/>
            </w:placeholder>
          </w:sdtPr>
          <w:sdtContent>
            <w:p w14:paraId="290ED52A" w14:textId="77777777" w:rsidR="005E000F" w:rsidRDefault="00000000">
              <w:pPr>
                <w:rPr>
                  <w:color w:val="000000" w:themeColor="text1"/>
                </w:rPr>
              </w:pPr>
              <w:r>
                <w:rPr>
                  <w:rFonts w:hint="eastAsia"/>
                  <w:color w:val="000000" w:themeColor="text1"/>
                </w:rPr>
                <w:t>本公司所持太原国铁京丰装备技术股份有限公司的股权，由于未上市不存在活跃市场，本集团采用估值技术确定其公允价值。在估值时，本集团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观察输入值。</w:t>
              </w:r>
            </w:p>
          </w:sdtContent>
        </w:sdt>
        <w:p w14:paraId="39146701" w14:textId="77777777" w:rsidR="005E000F" w:rsidRDefault="00000000"/>
      </w:sdtContent>
    </w:sdt>
    <w:p w14:paraId="5EC0546C" w14:textId="77777777" w:rsidR="005E000F" w:rsidRDefault="005E000F">
      <w:pPr>
        <w:tabs>
          <w:tab w:val="left" w:pos="1134"/>
        </w:tabs>
        <w:rPr>
          <w:rFonts w:cs="Cambria"/>
          <w:b/>
        </w:rPr>
      </w:pPr>
    </w:p>
    <w:p w14:paraId="1373A2E1" w14:textId="77777777" w:rsidR="005E000F" w:rsidRDefault="00000000">
      <w:pPr>
        <w:pStyle w:val="3"/>
        <w:numPr>
          <w:ilvl w:val="0"/>
          <w:numId w:val="118"/>
        </w:numPr>
        <w:ind w:left="0" w:firstLine="0"/>
      </w:pPr>
      <w:r>
        <w:rPr>
          <w:rFonts w:hint="eastAsia"/>
        </w:rPr>
        <w:t>持续的第三层次公允价值计量项目，期初与期末账面价值间的调节信息及不可观察参数敏感性分析</w:t>
      </w:r>
    </w:p>
    <w:sdt>
      <w:sdtPr>
        <w:rPr>
          <w:rFonts w:hint="eastAsia"/>
        </w:rPr>
        <w:alias w:val="是否适用：持续的第三层次公允价值计量项目，期初与期末账面价值间的调节信息及不可观察参数敏感性分析[双击切换]"/>
        <w:tag w:val="_GBC_71e79e015e97438a812cfd612b604172"/>
        <w:id w:val="31771489"/>
        <w:placeholder>
          <w:docPart w:val="GBC22222222222222222222222222222"/>
        </w:placeholder>
      </w:sdtPr>
      <w:sdtContent>
        <w:p w14:paraId="563C5DF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4ECB5F9" w14:textId="77777777" w:rsidR="005E000F" w:rsidRDefault="005E000F">
      <w:pPr>
        <w:tabs>
          <w:tab w:val="left" w:pos="1134"/>
        </w:tabs>
        <w:rPr>
          <w:rFonts w:cs="Cambria"/>
          <w:b/>
        </w:rPr>
      </w:pPr>
    </w:p>
    <w:p w14:paraId="680DFFF9" w14:textId="77777777" w:rsidR="005E000F" w:rsidRDefault="00000000">
      <w:pPr>
        <w:pStyle w:val="3"/>
        <w:numPr>
          <w:ilvl w:val="0"/>
          <w:numId w:val="118"/>
        </w:numPr>
        <w:ind w:left="0" w:firstLine="0"/>
      </w:pPr>
      <w:r>
        <w:rPr>
          <w:rFonts w:hint="eastAsia"/>
        </w:rPr>
        <w:t>持续的公允价值计量项目，本期内发生各层级之间转换的，转换的原因及确定转换时点的政策</w:t>
      </w:r>
    </w:p>
    <w:sdt>
      <w:sdtPr>
        <w:rPr>
          <w:rFonts w:hint="eastAsia"/>
        </w:rPr>
        <w:alias w:val="是否适用：持续的公允价值计量项目，本期内发生各层级之间转换的，转换的原因及确定转换时点的政策[双击切换]"/>
        <w:tag w:val="_GBC_eebf98ea60f047d9917b79bbe8e1b6a3"/>
        <w:id w:val="-866750966"/>
        <w:placeholder>
          <w:docPart w:val="GBC22222222222222222222222222222"/>
        </w:placeholder>
      </w:sdtPr>
      <w:sdtContent>
        <w:p w14:paraId="7C21F09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D17915F" w14:textId="77777777" w:rsidR="005E000F" w:rsidRDefault="005E000F">
      <w:pPr>
        <w:tabs>
          <w:tab w:val="left" w:pos="1134"/>
        </w:tabs>
        <w:rPr>
          <w:rFonts w:cs="Cambria"/>
          <w:b/>
        </w:rPr>
      </w:pPr>
    </w:p>
    <w:p w14:paraId="4C30AC1F" w14:textId="77777777" w:rsidR="005E000F" w:rsidRDefault="00000000">
      <w:pPr>
        <w:pStyle w:val="3"/>
        <w:numPr>
          <w:ilvl w:val="0"/>
          <w:numId w:val="118"/>
        </w:numPr>
      </w:pPr>
      <w:r>
        <w:rPr>
          <w:rFonts w:hint="eastAsia"/>
        </w:rPr>
        <w:t>本期内发生的估值技术变更及变更原因</w:t>
      </w:r>
    </w:p>
    <w:sdt>
      <w:sdtPr>
        <w:rPr>
          <w:rFonts w:hint="eastAsia"/>
        </w:rPr>
        <w:alias w:val="是否适用：本期内发生的估值技术变更及变更原因[双击切换]"/>
        <w:tag w:val="_GBC_c8355b64faff425ebd05215313c85419"/>
        <w:id w:val="25691403"/>
        <w:placeholder>
          <w:docPart w:val="GBC22222222222222222222222222222"/>
        </w:placeholder>
      </w:sdtPr>
      <w:sdtContent>
        <w:p w14:paraId="02480D7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139266F" w14:textId="77777777" w:rsidR="005E000F" w:rsidRDefault="005E000F">
      <w:pPr>
        <w:rPr>
          <w:rFonts w:cstheme="minorBidi"/>
        </w:rPr>
      </w:pPr>
    </w:p>
    <w:p w14:paraId="28843D81" w14:textId="77777777" w:rsidR="005E000F" w:rsidRDefault="00000000">
      <w:pPr>
        <w:pStyle w:val="3"/>
        <w:numPr>
          <w:ilvl w:val="0"/>
          <w:numId w:val="118"/>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rPr>
        <w:alias w:val="是否适用：不以公允价值计量的金融资产和金融负债的公允价值情况[双击切换]"/>
        <w:tag w:val="_GBC_734377ec924449c3ae79732fec24b52d"/>
        <w:id w:val="1389072701"/>
        <w:placeholder>
          <w:docPart w:val="GBC22222222222222222222222222222"/>
        </w:placeholder>
      </w:sdtPr>
      <w:sdtContent>
        <w:p w14:paraId="74384BC9" w14:textId="77777777" w:rsidR="005E000F" w:rsidRDefault="00000000">
          <w:pPr>
            <w:rPr>
              <w:rFonts w:cstheme="minorBidi"/>
            </w:rPr>
          </w:pPr>
          <w:r>
            <w:rPr>
              <w:rFonts w:ascii="宋体" w:hAnsi="宋体" w:cstheme="minorBidi"/>
            </w:rPr>
            <w:fldChar w:fldCharType="begin"/>
          </w:r>
          <w:r>
            <w:rPr>
              <w:rFonts w:ascii="宋体" w:hAnsi="宋体" w:cstheme="minorBidi"/>
            </w:rPr>
            <w:instrText xml:space="preserve"> </w:instrText>
          </w:r>
          <w:r>
            <w:rPr>
              <w:rFonts w:ascii="宋体" w:hAnsi="宋体" w:cstheme="minorBidi" w:hint="eastAsia"/>
            </w:rPr>
            <w:instrText xml:space="preserve">MACROBUTTON  SnrToggleCheckbox √适用 </w:instrText>
          </w:r>
          <w:r>
            <w:rPr>
              <w:rFonts w:ascii="宋体" w:hAnsi="宋体" w:cstheme="minorBidi"/>
            </w:rPr>
            <w:instrText xml:space="preserve"> </w:instrText>
          </w:r>
          <w:r>
            <w:rPr>
              <w:rFonts w:ascii="宋体" w:hAnsi="宋体" w:cstheme="minorBidi"/>
            </w:rPr>
            <w:fldChar w:fldCharType="end"/>
          </w:r>
          <w:r>
            <w:rPr>
              <w:rFonts w:ascii="宋体" w:hAnsi="宋体" w:cstheme="minorBidi"/>
            </w:rPr>
            <w:fldChar w:fldCharType="begin"/>
          </w:r>
          <w:r>
            <w:rPr>
              <w:rFonts w:ascii="宋体" w:hAnsi="宋体" w:cstheme="minorBidi"/>
            </w:rPr>
            <w:instrText xml:space="preserve"> MACROBUTTON  SnrToggleCheckbox □不适用 </w:instrText>
          </w:r>
          <w:r>
            <w:rPr>
              <w:rFonts w:ascii="宋体" w:hAnsi="宋体" w:cstheme="minorBidi"/>
            </w:rPr>
            <w:fldChar w:fldCharType="end"/>
          </w:r>
        </w:p>
      </w:sdtContent>
    </w:sdt>
    <w:sdt>
      <w:sdtPr>
        <w:rPr>
          <w:rFonts w:cstheme="minorBidi" w:hint="eastAsia"/>
        </w:rPr>
        <w:alias w:val="不以公允价值计量的金融资产和金融负债的公允价值情况"/>
        <w:tag w:val="_GBC_b98a8914aa7341d8811e287268440b08"/>
        <w:id w:val="1008103306"/>
        <w:placeholder>
          <w:docPart w:val="GBC22222222222222222222222222222"/>
        </w:placeholder>
      </w:sdtPr>
      <w:sdtContent>
        <w:p w14:paraId="2EC05AA0" w14:textId="77777777" w:rsidR="005E000F" w:rsidRDefault="00000000">
          <w:pPr>
            <w:rPr>
              <w:rFonts w:cstheme="minorBidi"/>
            </w:rPr>
          </w:pPr>
          <w:sdt>
            <w:sdtPr>
              <w:rPr>
                <w:rFonts w:cstheme="minorBidi"/>
                <w:bCs/>
              </w:rPr>
              <w:alias w:val="不以公允价值计量的金融资产和金融负债的公允价值情况"/>
              <w:tag w:val="_GBC_b98a8914aa7341d8811e287268440b08"/>
              <w:id w:val="-36813343"/>
            </w:sdtPr>
            <w:sdtContent>
              <w:r>
                <w:rPr>
                  <w:rFonts w:cstheme="minorBidi" w:hint="eastAsia"/>
                </w:rPr>
                <w:t>本集团</w:t>
              </w:r>
              <w:r>
                <w:rPr>
                  <w:rFonts w:cstheme="minorBidi" w:hint="eastAsia"/>
                </w:rPr>
                <w:t>12</w:t>
              </w:r>
              <w:r>
                <w:rPr>
                  <w:rFonts w:cstheme="minorBidi" w:hint="eastAsia"/>
                </w:rPr>
                <w:t>月</w:t>
              </w:r>
              <w:r>
                <w:rPr>
                  <w:rFonts w:cstheme="minorBidi" w:hint="eastAsia"/>
                </w:rPr>
                <w:t>31</w:t>
              </w:r>
              <w:r>
                <w:rPr>
                  <w:rFonts w:cstheme="minorBidi" w:hint="eastAsia"/>
                </w:rPr>
                <w:t>日各项金融资产和金融负债的账面价值与公允价值之间无重大差异。</w:t>
              </w:r>
            </w:sdtContent>
          </w:sdt>
        </w:p>
      </w:sdtContent>
    </w:sdt>
    <w:p w14:paraId="246188AA" w14:textId="77777777" w:rsidR="005E000F" w:rsidRDefault="005E000F">
      <w:pPr>
        <w:rPr>
          <w:rFonts w:cstheme="minorBidi"/>
        </w:rPr>
      </w:pPr>
    </w:p>
    <w:p w14:paraId="4CC4A1BF" w14:textId="77777777" w:rsidR="005E000F" w:rsidRDefault="00000000">
      <w:pPr>
        <w:pStyle w:val="3"/>
        <w:numPr>
          <w:ilvl w:val="0"/>
          <w:numId w:val="118"/>
        </w:numPr>
        <w:rPr>
          <w:szCs w:val="21"/>
        </w:rPr>
      </w:pPr>
      <w:r>
        <w:rPr>
          <w:rFonts w:hint="eastAsia"/>
          <w:szCs w:val="21"/>
        </w:rPr>
        <w:t>其他</w:t>
      </w:r>
    </w:p>
    <w:sdt>
      <w:sdtPr>
        <w:rPr>
          <w:rFonts w:hint="eastAsia"/>
        </w:rPr>
        <w:alias w:val="是否适用：公允价值其他需要披露的事项[双击切换]"/>
        <w:tag w:val="_GBC_face0919374341aba02b14f2247ac908"/>
        <w:id w:val="1303973468"/>
        <w:placeholder>
          <w:docPart w:val="GBC22222222222222222222222222222"/>
        </w:placeholder>
      </w:sdtPr>
      <w:sdtContent>
        <w:p w14:paraId="2E7DFAD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20E18BA" w14:textId="77777777" w:rsidR="005E000F" w:rsidRDefault="005E000F"/>
    <w:p w14:paraId="61D757A2" w14:textId="77777777" w:rsidR="005E000F" w:rsidRDefault="00000000">
      <w:pPr>
        <w:pStyle w:val="2"/>
        <w:numPr>
          <w:ilvl w:val="0"/>
          <w:numId w:val="56"/>
        </w:numPr>
        <w:rPr>
          <w:rFonts w:ascii="宋体" w:hAnsi="宋体"/>
        </w:rPr>
      </w:pPr>
      <w:r>
        <w:rPr>
          <w:rFonts w:ascii="宋体" w:hAnsi="宋体" w:hint="eastAsia"/>
        </w:rPr>
        <w:t>关联方及关联交易</w:t>
      </w:r>
    </w:p>
    <w:p w14:paraId="1D49C74F" w14:textId="77777777" w:rsidR="005E000F" w:rsidRDefault="00000000">
      <w:pPr>
        <w:pStyle w:val="3"/>
        <w:numPr>
          <w:ilvl w:val="0"/>
          <w:numId w:val="119"/>
        </w:numPr>
      </w:pPr>
      <w:r>
        <w:rPr>
          <w:rFonts w:hint="eastAsia"/>
        </w:rPr>
        <w:t>本企业的母公司情况</w:t>
      </w:r>
    </w:p>
    <w:sdt>
      <w:sdtPr>
        <w:rPr>
          <w:rFonts w:hint="eastAsia"/>
        </w:rPr>
        <w:alias w:val="是否适用：本企业的母公司情况[双击切换]"/>
        <w:tag w:val="_GBC_fe5dd4a2c9ad405db72189e05b735e0c"/>
        <w:id w:val="1926304646"/>
        <w:placeholder>
          <w:docPart w:val="EA5167862BF64CA497448CC31281D32D"/>
        </w:placeholder>
      </w:sdtPr>
      <w:sdtContent>
        <w:p w14:paraId="326FD2EE"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sdtContent>
    </w:sdt>
    <w:p w14:paraId="06FBB4E7" w14:textId="77777777" w:rsidR="005E000F" w:rsidRDefault="00000000">
      <w:pPr>
        <w:jc w:val="right"/>
      </w:pPr>
      <w:r>
        <w:rPr>
          <w:rFonts w:hint="eastAsia"/>
        </w:rPr>
        <w:t>单位：</w:t>
      </w:r>
      <w:sdt>
        <w:sdtPr>
          <w:rPr>
            <w:rFonts w:hint="eastAsia"/>
          </w:rPr>
          <w:alias w:val="单位：财务附注：本企业的母公司情况"/>
          <w:tag w:val="_GBC_4bdd8b08e4ce41af93512866e6012a92"/>
          <w:id w:val="1305975092"/>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亿元</w:t>
          </w:r>
        </w:sdtContent>
      </w:sdt>
      <w:r>
        <w:rPr>
          <w:rFonts w:hint="eastAsia"/>
        </w:rPr>
        <w:t xml:space="preserve"> </w:t>
      </w:r>
      <w:r>
        <w:rPr>
          <w:rFonts w:hint="eastAsia"/>
        </w:rPr>
        <w:t>币种：</w:t>
      </w:r>
      <w:sdt>
        <w:sdtPr>
          <w:rPr>
            <w:rFonts w:hint="eastAsia"/>
          </w:rPr>
          <w:alias w:val="币种：财务附注：本企业的母公司情况"/>
          <w:tag w:val="_GBC_8b4816800b024cd884a92208e149b0bf"/>
          <w:id w:val="-103719552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32"/>
        <w:gridCol w:w="1462"/>
        <w:gridCol w:w="1462"/>
        <w:gridCol w:w="1681"/>
        <w:gridCol w:w="1815"/>
      </w:tblGrid>
      <w:tr w:rsidR="005E000F" w14:paraId="28652BDD" w14:textId="77777777">
        <w:trPr>
          <w:trHeight w:val="842"/>
        </w:trPr>
        <w:sdt>
          <w:sdtPr>
            <w:tag w:val="_PLD_78501cc34b694302b18c1ea75399510e"/>
            <w:id w:val="847603016"/>
          </w:sdtPr>
          <w:sdtContent>
            <w:tc>
              <w:tcPr>
                <w:tcW w:w="1384" w:type="dxa"/>
                <w:tcBorders>
                  <w:top w:val="single" w:sz="4" w:space="0" w:color="auto"/>
                  <w:left w:val="single" w:sz="4" w:space="0" w:color="auto"/>
                  <w:bottom w:val="single" w:sz="4" w:space="0" w:color="auto"/>
                  <w:right w:val="single" w:sz="4" w:space="0" w:color="auto"/>
                </w:tcBorders>
                <w:vAlign w:val="center"/>
              </w:tcPr>
              <w:p w14:paraId="0157BD7D" w14:textId="77777777" w:rsidR="005E000F" w:rsidRDefault="00000000">
                <w:pPr>
                  <w:jc w:val="center"/>
                  <w:rPr>
                    <w:rFonts w:cs="Cambria"/>
                  </w:rPr>
                </w:pPr>
                <w:r>
                  <w:rPr>
                    <w:rFonts w:cs="Cambria" w:hint="eastAsia"/>
                  </w:rPr>
                  <w:t>母公司名称</w:t>
                </w:r>
              </w:p>
            </w:tc>
          </w:sdtContent>
        </w:sdt>
        <w:sdt>
          <w:sdtPr>
            <w:tag w:val="_PLD_9cf29fdb6dc54a2ca1191c007bb19ceb"/>
            <w:id w:val="-609511491"/>
          </w:sdtPr>
          <w:sdtContent>
            <w:tc>
              <w:tcPr>
                <w:tcW w:w="1232" w:type="dxa"/>
                <w:tcBorders>
                  <w:top w:val="single" w:sz="4" w:space="0" w:color="auto"/>
                  <w:left w:val="single" w:sz="4" w:space="0" w:color="auto"/>
                  <w:bottom w:val="single" w:sz="4" w:space="0" w:color="auto"/>
                  <w:right w:val="single" w:sz="4" w:space="0" w:color="auto"/>
                </w:tcBorders>
                <w:vAlign w:val="center"/>
              </w:tcPr>
              <w:p w14:paraId="1E0D2766" w14:textId="77777777" w:rsidR="005E000F" w:rsidRDefault="00000000">
                <w:pPr>
                  <w:jc w:val="center"/>
                  <w:rPr>
                    <w:rFonts w:cs="Cambria"/>
                  </w:rPr>
                </w:pPr>
                <w:r>
                  <w:rPr>
                    <w:rFonts w:cs="Cambria" w:hint="eastAsia"/>
                  </w:rPr>
                  <w:t>注册地</w:t>
                </w:r>
              </w:p>
            </w:tc>
          </w:sdtContent>
        </w:sdt>
        <w:sdt>
          <w:sdtPr>
            <w:tag w:val="_PLD_738e924675434f8ea1a19e9f01f12c6a"/>
            <w:id w:val="-1770615282"/>
          </w:sdtPr>
          <w:sdtContent>
            <w:tc>
              <w:tcPr>
                <w:tcW w:w="1462" w:type="dxa"/>
                <w:tcBorders>
                  <w:top w:val="single" w:sz="4" w:space="0" w:color="auto"/>
                  <w:left w:val="single" w:sz="4" w:space="0" w:color="auto"/>
                  <w:bottom w:val="single" w:sz="4" w:space="0" w:color="auto"/>
                  <w:right w:val="single" w:sz="4" w:space="0" w:color="auto"/>
                </w:tcBorders>
                <w:vAlign w:val="center"/>
              </w:tcPr>
              <w:p w14:paraId="79AD365D" w14:textId="77777777" w:rsidR="005E000F" w:rsidRDefault="00000000">
                <w:pPr>
                  <w:jc w:val="center"/>
                  <w:rPr>
                    <w:rFonts w:cs="Cambria"/>
                  </w:rPr>
                </w:pPr>
                <w:r>
                  <w:rPr>
                    <w:rFonts w:cs="Cambria" w:hint="eastAsia"/>
                  </w:rPr>
                  <w:t>业务性质</w:t>
                </w:r>
              </w:p>
            </w:tc>
          </w:sdtContent>
        </w:sdt>
        <w:sdt>
          <w:sdtPr>
            <w:tag w:val="_PLD_8f8ae05947724183906b020ada85e914"/>
            <w:id w:val="-67579582"/>
          </w:sdtPr>
          <w:sdtContent>
            <w:tc>
              <w:tcPr>
                <w:tcW w:w="1462" w:type="dxa"/>
                <w:tcBorders>
                  <w:top w:val="single" w:sz="4" w:space="0" w:color="auto"/>
                  <w:left w:val="single" w:sz="4" w:space="0" w:color="auto"/>
                  <w:bottom w:val="single" w:sz="4" w:space="0" w:color="auto"/>
                  <w:right w:val="single" w:sz="4" w:space="0" w:color="auto"/>
                </w:tcBorders>
                <w:vAlign w:val="center"/>
              </w:tcPr>
              <w:p w14:paraId="050B8FFA" w14:textId="77777777" w:rsidR="005E000F" w:rsidRDefault="00000000">
                <w:pPr>
                  <w:jc w:val="center"/>
                  <w:rPr>
                    <w:rFonts w:cs="Cambria"/>
                  </w:rPr>
                </w:pPr>
                <w:r>
                  <w:rPr>
                    <w:rFonts w:cs="Cambria" w:hint="eastAsia"/>
                  </w:rPr>
                  <w:t>注册资本</w:t>
                </w:r>
              </w:p>
            </w:tc>
          </w:sdtContent>
        </w:sdt>
        <w:sdt>
          <w:sdtPr>
            <w:tag w:val="_PLD_41f7f469dbcc4ee39514954cb008b0a4"/>
            <w:id w:val="1244150301"/>
          </w:sdtPr>
          <w:sdtContent>
            <w:tc>
              <w:tcPr>
                <w:tcW w:w="1681" w:type="dxa"/>
                <w:tcBorders>
                  <w:top w:val="single" w:sz="4" w:space="0" w:color="auto"/>
                  <w:left w:val="single" w:sz="4" w:space="0" w:color="auto"/>
                  <w:bottom w:val="single" w:sz="4" w:space="0" w:color="auto"/>
                  <w:right w:val="single" w:sz="4" w:space="0" w:color="auto"/>
                </w:tcBorders>
                <w:vAlign w:val="center"/>
              </w:tcPr>
              <w:p w14:paraId="279F2132" w14:textId="77777777" w:rsidR="005E000F" w:rsidRDefault="00000000">
                <w:pPr>
                  <w:jc w:val="center"/>
                  <w:rPr>
                    <w:rFonts w:cs="Cambria"/>
                  </w:rPr>
                </w:pPr>
                <w:r>
                  <w:rPr>
                    <w:rFonts w:cs="Cambria" w:hint="eastAsia"/>
                  </w:rPr>
                  <w:t>母公司对本企业的持股比例</w:t>
                </w:r>
                <w:r>
                  <w:rPr>
                    <w:rFonts w:cs="Cambria"/>
                  </w:rPr>
                  <w:t>(%)</w:t>
                </w:r>
              </w:p>
            </w:tc>
          </w:sdtContent>
        </w:sdt>
        <w:sdt>
          <w:sdtPr>
            <w:tag w:val="_PLD_dab7bc4321ca44eb9d8565239cbf42f7"/>
            <w:id w:val="-1060716220"/>
          </w:sdtPr>
          <w:sdtContent>
            <w:tc>
              <w:tcPr>
                <w:tcW w:w="1815" w:type="dxa"/>
                <w:tcBorders>
                  <w:top w:val="single" w:sz="4" w:space="0" w:color="auto"/>
                  <w:left w:val="single" w:sz="4" w:space="0" w:color="auto"/>
                  <w:bottom w:val="single" w:sz="4" w:space="0" w:color="auto"/>
                  <w:right w:val="single" w:sz="4" w:space="0" w:color="auto"/>
                </w:tcBorders>
                <w:vAlign w:val="center"/>
              </w:tcPr>
              <w:p w14:paraId="1EC9378F" w14:textId="77777777" w:rsidR="005E000F" w:rsidRDefault="00000000">
                <w:pPr>
                  <w:jc w:val="center"/>
                  <w:rPr>
                    <w:rFonts w:cs="Cambria"/>
                  </w:rPr>
                </w:pPr>
                <w:r>
                  <w:rPr>
                    <w:rFonts w:cs="Cambria" w:hint="eastAsia"/>
                  </w:rPr>
                  <w:t>母公司对本企业的表决权比例</w:t>
                </w:r>
                <w:r>
                  <w:rPr>
                    <w:rFonts w:cs="Cambria"/>
                  </w:rPr>
                  <w:t>(%)</w:t>
                </w:r>
              </w:p>
            </w:tc>
          </w:sdtContent>
        </w:sdt>
      </w:tr>
      <w:sdt>
        <w:sdtPr>
          <w:rPr>
            <w:rFonts w:cs="Cambria"/>
          </w:rPr>
          <w:alias w:val="本企业的母公司情况明细"/>
          <w:tag w:val="_GBC_e3a0ec4880544cc4ad472a056e28a2a2"/>
          <w:id w:val="-1081680647"/>
          <w:placeholder>
            <w:docPart w:val="3205DB7989DA4955B3426D6379F14CF0"/>
          </w:placeholder>
        </w:sdtPr>
        <w:sdtContent>
          <w:tr w:rsidR="005E000F" w14:paraId="701E4B81" w14:textId="77777777">
            <w:trPr>
              <w:trHeight w:val="255"/>
            </w:trPr>
            <w:tc>
              <w:tcPr>
                <w:tcW w:w="1384" w:type="dxa"/>
                <w:tcBorders>
                  <w:top w:val="single" w:sz="4" w:space="0" w:color="auto"/>
                  <w:left w:val="single" w:sz="4" w:space="0" w:color="auto"/>
                  <w:bottom w:val="single" w:sz="4" w:space="0" w:color="auto"/>
                  <w:right w:val="single" w:sz="4" w:space="0" w:color="auto"/>
                </w:tcBorders>
                <w:vAlign w:val="center"/>
              </w:tcPr>
              <w:p w14:paraId="4C5078A1" w14:textId="77777777" w:rsidR="005E000F" w:rsidRDefault="00000000">
                <w:pPr>
                  <w:rPr>
                    <w:rFonts w:cs="Cambria"/>
                  </w:rPr>
                </w:pPr>
                <w:r>
                  <w:rPr>
                    <w:rFonts w:hint="eastAsia"/>
                  </w:rPr>
                  <w:t>中国铁路太原</w:t>
                </w:r>
                <w:proofErr w:type="gramStart"/>
                <w:r>
                  <w:rPr>
                    <w:rFonts w:hint="eastAsia"/>
                  </w:rPr>
                  <w:t>局集团</w:t>
                </w:r>
                <w:proofErr w:type="gramEnd"/>
                <w:r>
                  <w:rPr>
                    <w:rFonts w:hint="eastAsia"/>
                  </w:rPr>
                  <w:t>有限公司</w:t>
                </w:r>
              </w:p>
            </w:tc>
            <w:tc>
              <w:tcPr>
                <w:tcW w:w="1232" w:type="dxa"/>
                <w:tcBorders>
                  <w:top w:val="single" w:sz="4" w:space="0" w:color="auto"/>
                  <w:left w:val="single" w:sz="4" w:space="0" w:color="auto"/>
                  <w:bottom w:val="single" w:sz="4" w:space="0" w:color="auto"/>
                  <w:right w:val="single" w:sz="4" w:space="0" w:color="auto"/>
                </w:tcBorders>
                <w:vAlign w:val="center"/>
              </w:tcPr>
              <w:p w14:paraId="46308CEF" w14:textId="77777777" w:rsidR="005E000F" w:rsidRDefault="00000000">
                <w:pPr>
                  <w:rPr>
                    <w:rFonts w:cs="Cambria"/>
                  </w:rPr>
                </w:pPr>
                <w:r>
                  <w:rPr>
                    <w:rFonts w:hint="eastAsia"/>
                  </w:rPr>
                  <w:t>山西省太原市建设北路</w:t>
                </w:r>
                <w:r>
                  <w:rPr>
                    <w:rFonts w:hint="eastAsia"/>
                  </w:rPr>
                  <w:t>202</w:t>
                </w:r>
                <w:r>
                  <w:rPr>
                    <w:rFonts w:hint="eastAsia"/>
                  </w:rPr>
                  <w:t>号</w:t>
                </w:r>
              </w:p>
            </w:tc>
            <w:tc>
              <w:tcPr>
                <w:tcW w:w="1462" w:type="dxa"/>
                <w:tcBorders>
                  <w:top w:val="single" w:sz="4" w:space="0" w:color="auto"/>
                  <w:left w:val="single" w:sz="4" w:space="0" w:color="auto"/>
                  <w:bottom w:val="single" w:sz="4" w:space="0" w:color="auto"/>
                  <w:right w:val="single" w:sz="4" w:space="0" w:color="auto"/>
                </w:tcBorders>
                <w:vAlign w:val="center"/>
              </w:tcPr>
              <w:p w14:paraId="4F9B7B80" w14:textId="77777777" w:rsidR="005E000F" w:rsidRDefault="00000000">
                <w:pPr>
                  <w:rPr>
                    <w:rFonts w:cs="Cambria"/>
                  </w:rPr>
                </w:pPr>
                <w:r>
                  <w:rPr>
                    <w:rFonts w:hint="eastAsia"/>
                  </w:rPr>
                  <w:t>铁路客货运输等</w:t>
                </w:r>
              </w:p>
            </w:tc>
            <w:tc>
              <w:tcPr>
                <w:tcW w:w="1462" w:type="dxa"/>
                <w:tcBorders>
                  <w:top w:val="single" w:sz="4" w:space="0" w:color="auto"/>
                  <w:left w:val="single" w:sz="4" w:space="0" w:color="auto"/>
                  <w:bottom w:val="single" w:sz="4" w:space="0" w:color="auto"/>
                  <w:right w:val="single" w:sz="4" w:space="0" w:color="auto"/>
                </w:tcBorders>
                <w:vAlign w:val="center"/>
              </w:tcPr>
              <w:p w14:paraId="1ADDACB4" w14:textId="77777777" w:rsidR="005E000F" w:rsidRDefault="00000000">
                <w:pPr>
                  <w:jc w:val="right"/>
                  <w:rPr>
                    <w:rFonts w:cs="Cambria"/>
                  </w:rPr>
                </w:pPr>
                <w:r>
                  <w:rPr>
                    <w:rFonts w:hint="eastAsia"/>
                  </w:rPr>
                  <w:t>920.11</w:t>
                </w:r>
              </w:p>
            </w:tc>
            <w:tc>
              <w:tcPr>
                <w:tcW w:w="1681" w:type="dxa"/>
                <w:tcBorders>
                  <w:top w:val="single" w:sz="4" w:space="0" w:color="auto"/>
                  <w:left w:val="single" w:sz="4" w:space="0" w:color="auto"/>
                  <w:bottom w:val="single" w:sz="4" w:space="0" w:color="auto"/>
                  <w:right w:val="single" w:sz="4" w:space="0" w:color="auto"/>
                </w:tcBorders>
                <w:vAlign w:val="center"/>
              </w:tcPr>
              <w:p w14:paraId="453728A4" w14:textId="77777777" w:rsidR="005E000F" w:rsidRDefault="00000000">
                <w:pPr>
                  <w:jc w:val="right"/>
                  <w:rPr>
                    <w:rFonts w:cs="Cambria"/>
                  </w:rPr>
                </w:pPr>
                <w:r>
                  <w:rPr>
                    <w:rFonts w:hint="eastAsia"/>
                  </w:rPr>
                  <w:t>48.96</w:t>
                </w:r>
              </w:p>
            </w:tc>
            <w:tc>
              <w:tcPr>
                <w:tcW w:w="1815" w:type="dxa"/>
                <w:tcBorders>
                  <w:top w:val="single" w:sz="4" w:space="0" w:color="auto"/>
                  <w:left w:val="single" w:sz="4" w:space="0" w:color="auto"/>
                  <w:bottom w:val="single" w:sz="4" w:space="0" w:color="auto"/>
                  <w:right w:val="single" w:sz="4" w:space="0" w:color="auto"/>
                </w:tcBorders>
                <w:vAlign w:val="center"/>
              </w:tcPr>
              <w:p w14:paraId="701EFEB5" w14:textId="77777777" w:rsidR="005E000F" w:rsidRDefault="00000000">
                <w:pPr>
                  <w:jc w:val="right"/>
                  <w:rPr>
                    <w:rFonts w:cs="Cambria"/>
                  </w:rPr>
                </w:pPr>
                <w:r>
                  <w:rPr>
                    <w:rFonts w:hint="eastAsia"/>
                  </w:rPr>
                  <w:t>48.96</w:t>
                </w:r>
              </w:p>
            </w:tc>
          </w:tr>
        </w:sdtContent>
      </w:sdt>
    </w:tbl>
    <w:p w14:paraId="5543877A" w14:textId="77777777" w:rsidR="005E000F" w:rsidRDefault="00000000">
      <w:pPr>
        <w:tabs>
          <w:tab w:val="left" w:pos="1134"/>
        </w:tabs>
        <w:rPr>
          <w:rFonts w:cs="Cambria"/>
        </w:rPr>
      </w:pPr>
      <w:r>
        <w:rPr>
          <w:rFonts w:cs="Cambria" w:hint="eastAsia"/>
        </w:rPr>
        <w:t>本企业的母公司情况的说明</w:t>
      </w:r>
    </w:p>
    <w:sdt>
      <w:sdtPr>
        <w:rPr>
          <w:rFonts w:cs="Cambria"/>
        </w:rPr>
        <w:alias w:val="本企业的母公司情况的说明"/>
        <w:tag w:val="_GBC_23f67537c1df4d9d9ede9fbc78ad06a4"/>
        <w:id w:val="-2138789250"/>
      </w:sdtPr>
      <w:sdtContent>
        <w:p w14:paraId="1AB137A7" w14:textId="77777777" w:rsidR="005E000F" w:rsidRDefault="00000000">
          <w:pPr>
            <w:tabs>
              <w:tab w:val="left" w:pos="1134"/>
            </w:tabs>
            <w:rPr>
              <w:rFonts w:cs="Cambria"/>
            </w:rPr>
          </w:pPr>
          <w:r>
            <w:rPr>
              <w:rFonts w:cs="Cambria"/>
            </w:rPr>
            <w:t>公司的控股股东为中国铁路太原</w:t>
          </w:r>
          <w:proofErr w:type="gramStart"/>
          <w:r>
            <w:rPr>
              <w:rFonts w:cs="Cambria"/>
            </w:rPr>
            <w:t>局集团</w:t>
          </w:r>
          <w:proofErr w:type="gramEnd"/>
          <w:r>
            <w:rPr>
              <w:rFonts w:cs="Cambria"/>
            </w:rPr>
            <w:t>有限公司。</w:t>
          </w:r>
        </w:p>
      </w:sdtContent>
    </w:sdt>
    <w:p w14:paraId="1BB0BD77" w14:textId="77777777" w:rsidR="005E000F" w:rsidRDefault="00000000">
      <w:r>
        <w:rPr>
          <w:rFonts w:hint="eastAsia"/>
        </w:rPr>
        <w:t>本企业最终控制方是</w:t>
      </w:r>
      <w:sdt>
        <w:sdtPr>
          <w:rPr>
            <w:rFonts w:hint="eastAsia"/>
          </w:rPr>
          <w:alias w:val="本企业最终控制方"/>
          <w:tag w:val="_GBC_951a676520994ab7a3822c5f58c20b7d"/>
          <w:id w:val="58068106"/>
        </w:sdtPr>
        <w:sdtContent>
          <w:r>
            <w:rPr>
              <w:rFonts w:hint="eastAsia"/>
            </w:rPr>
            <w:t>中国国家铁路集团有限公司。</w:t>
          </w:r>
        </w:sdtContent>
      </w:sdt>
    </w:p>
    <w:p w14:paraId="66612FC2" w14:textId="77777777" w:rsidR="005E000F" w:rsidRDefault="00000000">
      <w:r>
        <w:rPr>
          <w:rFonts w:hint="eastAsia"/>
        </w:rPr>
        <w:t>其他说明：</w:t>
      </w:r>
    </w:p>
    <w:sdt>
      <w:sdtPr>
        <w:alias w:val="本企业的母公司情况的其他说明"/>
        <w:tag w:val="_GBC_72b4ca7a02944263a74be4174baff4cf"/>
        <w:id w:val="-67493538"/>
        <w:placeholder>
          <w:docPart w:val="GBC22222222222222222222222222222"/>
        </w:placeholder>
      </w:sdtPr>
      <w:sdtContent>
        <w:sdt>
          <w:sdtPr>
            <w:alias w:val="本企业的母公司情况的其他说明"/>
            <w:tag w:val="_GBC_72b4ca7a02944263a74be4174baff4cf"/>
            <w:id w:val="409656537"/>
          </w:sdtPr>
          <w:sdtContent>
            <w:p w14:paraId="397201CA" w14:textId="77777777" w:rsidR="005E000F" w:rsidRDefault="00000000">
              <w:r>
                <w:t>根据《国务院关于组建中国铁路总公司有关问题的批复》（</w:t>
              </w:r>
              <w:proofErr w:type="gramStart"/>
              <w:r>
                <w:t>国函【</w:t>
              </w:r>
              <w:r>
                <w:t>2013</w:t>
              </w:r>
              <w:r>
                <w:t>】</w:t>
              </w:r>
              <w:proofErr w:type="gramEnd"/>
              <w:r>
                <w:t>47</w:t>
              </w:r>
              <w:r>
                <w:t>号），公司实际控制人原铁道部实施</w:t>
              </w:r>
              <w:r>
                <w:t>“</w:t>
              </w:r>
              <w:r>
                <w:t>政企分开</w:t>
              </w:r>
              <w:r>
                <w:t>”</w:t>
              </w:r>
              <w:r>
                <w:t>，其所属的</w:t>
              </w:r>
              <w:r>
                <w:t>18</w:t>
              </w:r>
              <w:r>
                <w:t>个铁路局（含太原局集团公司、广州铁路集团公司）、</w:t>
              </w:r>
              <w:r>
                <w:t>3</w:t>
              </w:r>
              <w:r>
                <w:t>个专业运输公司及其他企业的权益划入新组建成立的中国铁路总公司。</w:t>
              </w:r>
              <w:r>
                <w:t>2019</w:t>
              </w:r>
              <w:r>
                <w:t>年</w:t>
              </w:r>
              <w:r>
                <w:t>6</w:t>
              </w:r>
              <w:r>
                <w:t>月</w:t>
              </w:r>
              <w:r>
                <w:t>18</w:t>
              </w:r>
              <w:r>
                <w:t>日，中国铁路总公司改制为中国国家铁路集团有限公司。因国铁集团不具有原铁道部的政府属性，在所有与改革有关的一切必要手续及程序正式完成之后，根据上交所《股票上市规则》的规定，国铁集团及其附属公司（包括实体）作为公司关联方，公司与国铁集团及其下属单位因铁路运输业务持续发生的相关交易构成关联交易。</w:t>
              </w:r>
            </w:p>
          </w:sdtContent>
        </w:sdt>
      </w:sdtContent>
    </w:sdt>
    <w:p w14:paraId="65BB73D4" w14:textId="77777777" w:rsidR="005E000F" w:rsidRDefault="00000000">
      <w:pPr>
        <w:pStyle w:val="3"/>
        <w:numPr>
          <w:ilvl w:val="0"/>
          <w:numId w:val="119"/>
        </w:numPr>
        <w:rPr>
          <w:rFonts w:ascii="宋体" w:hAnsi="宋体" w:cs="Arial"/>
          <w:szCs w:val="21"/>
        </w:rPr>
      </w:pPr>
      <w:r>
        <w:rPr>
          <w:rFonts w:ascii="宋体" w:hAnsi="宋体" w:cs="Arial" w:hint="eastAsia"/>
          <w:szCs w:val="21"/>
        </w:rPr>
        <w:t>公司的子公司情况</w:t>
      </w:r>
    </w:p>
    <w:sdt>
      <w:sdtPr>
        <w:tag w:val="_PLD_00c8de6cd52c482b84acaf1117812c2c"/>
        <w:id w:val="1401490419"/>
      </w:sdtPr>
      <w:sdtContent>
        <w:p w14:paraId="635776DD" w14:textId="77777777" w:rsidR="005E000F" w:rsidRDefault="00000000">
          <w:r>
            <w:rPr>
              <w:rFonts w:hint="eastAsia"/>
            </w:rPr>
            <w:t>公司子公司的情况详见附注</w:t>
          </w:r>
        </w:p>
      </w:sdtContent>
    </w:sdt>
    <w:sdt>
      <w:sdtPr>
        <w:rPr>
          <w:rFonts w:hint="eastAsia"/>
        </w:rPr>
        <w:alias w:val="是否适用：本公司的子公司情况详见附注[双击切换]"/>
        <w:tag w:val="_GBC_b3fd954877e04ee589f6c4ce95e1384a"/>
        <w:id w:val="-1027790289"/>
        <w:placeholder>
          <w:docPart w:val="GBC22222222222222222222222222222"/>
        </w:placeholder>
      </w:sdtPr>
      <w:sdtContent>
        <w:p w14:paraId="2D77D6E0"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本公司的子公司情况详见附注"/>
        <w:tag w:val="_GBC_bb3e2669c3cc45d0a6637b1809087708"/>
        <w:id w:val="-1938130538"/>
        <w:placeholder>
          <w:docPart w:val="GBC22222222222222222222222222222"/>
        </w:placeholder>
      </w:sdtPr>
      <w:sdtContent>
        <w:sdt>
          <w:sdtPr>
            <w:rPr>
              <w:rFonts w:hint="eastAsia"/>
              <w:color w:val="000000" w:themeColor="text1"/>
            </w:rPr>
            <w:alias w:val="本公司的子公司情况详见附注"/>
            <w:tag w:val="_GBC_bb3e2669c3cc45d0a6637b1809087708"/>
            <w:id w:val="-1628764053"/>
            <w:placeholder>
              <w:docPart w:val="{73fbe910-c2b0-4d9b-aba1-a4a9f50ed1ef}"/>
            </w:placeholder>
          </w:sdtPr>
          <w:sdtContent>
            <w:p w14:paraId="697B1A00" w14:textId="77777777" w:rsidR="005E000F" w:rsidRDefault="00000000">
              <w:pPr>
                <w:rPr>
                  <w:color w:val="000000" w:themeColor="text1"/>
                </w:rPr>
              </w:pPr>
              <w:r>
                <w:rPr>
                  <w:rFonts w:hint="eastAsia"/>
                  <w:color w:val="000000" w:themeColor="text1"/>
                </w:rPr>
                <w:t>子公司的情况详见附注十、</w:t>
              </w:r>
              <w:r>
                <w:rPr>
                  <w:rFonts w:hint="eastAsia"/>
                  <w:color w:val="000000" w:themeColor="text1"/>
                </w:rPr>
                <w:t>1</w:t>
              </w:r>
              <w:r>
                <w:rPr>
                  <w:rFonts w:hint="eastAsia"/>
                  <w:color w:val="000000" w:themeColor="text1"/>
                </w:rPr>
                <w:t>。</w:t>
              </w:r>
            </w:p>
          </w:sdtContent>
        </w:sdt>
        <w:p w14:paraId="32A16EE8" w14:textId="77777777" w:rsidR="005E000F" w:rsidRDefault="00000000"/>
      </w:sdtContent>
    </w:sdt>
    <w:p w14:paraId="76288C40" w14:textId="77777777" w:rsidR="005E000F" w:rsidRDefault="005E000F">
      <w:pPr>
        <w:tabs>
          <w:tab w:val="left" w:pos="1134"/>
        </w:tabs>
        <w:rPr>
          <w:rFonts w:cs="Cambria"/>
        </w:rPr>
      </w:pPr>
    </w:p>
    <w:p w14:paraId="0C996884" w14:textId="77777777" w:rsidR="005E000F" w:rsidRDefault="00000000">
      <w:pPr>
        <w:pStyle w:val="3"/>
        <w:numPr>
          <w:ilvl w:val="0"/>
          <w:numId w:val="119"/>
        </w:numPr>
      </w:pPr>
      <w:r>
        <w:rPr>
          <w:rFonts w:hint="eastAsia"/>
        </w:rPr>
        <w:t>公司合营和联营企业情况</w:t>
      </w:r>
    </w:p>
    <w:sdt>
      <w:sdtPr>
        <w:tag w:val="_PLD_9a4ffa8cb6674ac4a0ddd525351b6abd"/>
        <w:id w:val="-726063192"/>
      </w:sdtPr>
      <w:sdtContent>
        <w:p w14:paraId="744B4DC4" w14:textId="77777777" w:rsidR="005E000F" w:rsidRDefault="00000000">
          <w:r>
            <w:rPr>
              <w:rFonts w:hint="eastAsia"/>
            </w:rPr>
            <w:t>公司重要的合营或联营企业详见附注</w:t>
          </w:r>
        </w:p>
      </w:sdtContent>
    </w:sdt>
    <w:sdt>
      <w:sdtPr>
        <w:alias w:val="是否适用：本企业重要的合营或联营企业详见附注[双击切换]"/>
        <w:tag w:val="_GBC_a44d5ddc347344bcaadf8652bc7a927c"/>
        <w:id w:val="-1757817478"/>
        <w:placeholder>
          <w:docPart w:val="GBC22222222222222222222222222222"/>
        </w:placeholder>
      </w:sdtPr>
      <w:sdtContent>
        <w:p w14:paraId="07F352CA"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本企业重要的合营或联营企业详见附注"/>
        <w:tag w:val="_GBC_3c58c586b3d3412d9989e9dff0b9f4cf"/>
        <w:id w:val="251480043"/>
        <w:placeholder>
          <w:docPart w:val="GBC22222222222222222222222222222"/>
        </w:placeholder>
      </w:sdtPr>
      <w:sdtContent>
        <w:sdt>
          <w:sdtPr>
            <w:rPr>
              <w:rFonts w:hint="eastAsia"/>
              <w:color w:val="000000" w:themeColor="text1"/>
            </w:rPr>
            <w:alias w:val="本企业重要的合营或联营企业详见附注"/>
            <w:tag w:val="_GBC_3c58c586b3d3412d9989e9dff0b9f4cf"/>
            <w:id w:val="-950464521"/>
            <w:placeholder>
              <w:docPart w:val="{5d08a68c-5cd6-447e-bac2-b58122b8ea15}"/>
            </w:placeholder>
          </w:sdtPr>
          <w:sdtContent>
            <w:p w14:paraId="1CBBC928" w14:textId="77777777" w:rsidR="005E000F" w:rsidRDefault="00000000">
              <w:pPr>
                <w:rPr>
                  <w:color w:val="000000" w:themeColor="text1"/>
                </w:rPr>
              </w:pPr>
              <w:r>
                <w:rPr>
                  <w:rFonts w:hint="eastAsia"/>
                  <w:color w:val="000000" w:themeColor="text1"/>
                </w:rPr>
                <w:t>本公司重要的合营或联营企业详见附注十、</w:t>
              </w:r>
              <w:r>
                <w:rPr>
                  <w:rFonts w:hint="eastAsia"/>
                  <w:color w:val="000000" w:themeColor="text1"/>
                </w:rPr>
                <w:t>3</w:t>
              </w:r>
              <w:r>
                <w:rPr>
                  <w:rFonts w:hint="eastAsia"/>
                  <w:color w:val="000000" w:themeColor="text1"/>
                </w:rPr>
                <w:t>。</w:t>
              </w:r>
            </w:p>
          </w:sdtContent>
        </w:sdt>
        <w:p w14:paraId="6B20B8BA" w14:textId="77777777" w:rsidR="005E000F" w:rsidRDefault="00000000"/>
      </w:sdtContent>
    </w:sdt>
    <w:p w14:paraId="615BB66C" w14:textId="77777777" w:rsidR="005E000F" w:rsidRDefault="00000000">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253241481"/>
        <w:placeholder>
          <w:docPart w:val="GBC22222222222222222222222222222"/>
        </w:placeholder>
      </w:sdtPr>
      <w:sdtContent>
        <w:p w14:paraId="16723B0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5"/>
        <w:gridCol w:w="5063"/>
      </w:tblGrid>
      <w:tr w:rsidR="005E000F" w14:paraId="7AE32CE7" w14:textId="77777777">
        <w:trPr>
          <w:trHeight w:val="284"/>
        </w:trPr>
        <w:sdt>
          <w:sdtPr>
            <w:tag w:val="_PLD_0e6d2a60380d424fbe39edbe16e876ad"/>
            <w:id w:val="-578744217"/>
          </w:sdtPr>
          <w:sdtContent>
            <w:tc>
              <w:tcPr>
                <w:tcW w:w="3985" w:type="dxa"/>
                <w:tcBorders>
                  <w:top w:val="single" w:sz="4" w:space="0" w:color="auto"/>
                  <w:left w:val="single" w:sz="4" w:space="0" w:color="auto"/>
                  <w:bottom w:val="single" w:sz="4" w:space="0" w:color="auto"/>
                  <w:right w:val="single" w:sz="4" w:space="0" w:color="auto"/>
                </w:tcBorders>
                <w:vAlign w:val="center"/>
              </w:tcPr>
              <w:p w14:paraId="374E732D" w14:textId="77777777" w:rsidR="005E000F" w:rsidRDefault="00000000">
                <w:pPr>
                  <w:jc w:val="center"/>
                  <w:rPr>
                    <w:rFonts w:cs="Cambria"/>
                  </w:rPr>
                </w:pPr>
                <w:r>
                  <w:rPr>
                    <w:rFonts w:cs="Cambria" w:hint="eastAsia"/>
                  </w:rPr>
                  <w:t>合营或联营企业名称</w:t>
                </w:r>
              </w:p>
            </w:tc>
          </w:sdtContent>
        </w:sdt>
        <w:sdt>
          <w:sdtPr>
            <w:tag w:val="_PLD_7a4c0374bc514021b6a270655cb81e9e"/>
            <w:id w:val="2030525647"/>
          </w:sdtPr>
          <w:sdtContent>
            <w:tc>
              <w:tcPr>
                <w:tcW w:w="5063" w:type="dxa"/>
                <w:tcBorders>
                  <w:top w:val="single" w:sz="4" w:space="0" w:color="auto"/>
                  <w:left w:val="single" w:sz="4" w:space="0" w:color="auto"/>
                  <w:bottom w:val="single" w:sz="4" w:space="0" w:color="auto"/>
                  <w:right w:val="single" w:sz="4" w:space="0" w:color="auto"/>
                </w:tcBorders>
                <w:vAlign w:val="center"/>
              </w:tcPr>
              <w:p w14:paraId="57A548B5" w14:textId="77777777" w:rsidR="005E000F" w:rsidRDefault="00000000">
                <w:pPr>
                  <w:jc w:val="center"/>
                  <w:rPr>
                    <w:rFonts w:cs="Cambria"/>
                  </w:rPr>
                </w:pPr>
                <w:r>
                  <w:rPr>
                    <w:rFonts w:cs="Cambria" w:hint="eastAsia"/>
                  </w:rPr>
                  <w:t>与本企业关系</w:t>
                </w:r>
              </w:p>
            </w:tc>
          </w:sdtContent>
        </w:sdt>
      </w:tr>
      <w:tr w:rsidR="005E000F" w14:paraId="7129D221" w14:textId="77777777">
        <w:trPr>
          <w:trHeight w:val="250"/>
        </w:trPr>
        <w:tc>
          <w:tcPr>
            <w:tcW w:w="3985" w:type="dxa"/>
            <w:tcBorders>
              <w:top w:val="single" w:sz="4" w:space="0" w:color="auto"/>
              <w:left w:val="single" w:sz="4" w:space="0" w:color="auto"/>
              <w:bottom w:val="single" w:sz="4" w:space="0" w:color="auto"/>
              <w:right w:val="single" w:sz="4" w:space="0" w:color="auto"/>
            </w:tcBorders>
          </w:tcPr>
          <w:p w14:paraId="783EA25C" w14:textId="77777777" w:rsidR="005E000F" w:rsidRDefault="00000000">
            <w:r>
              <w:rPr>
                <w:rFonts w:hint="eastAsia"/>
              </w:rPr>
              <w:t>山西国基海川能源有限公司</w:t>
            </w:r>
          </w:p>
        </w:tc>
        <w:tc>
          <w:tcPr>
            <w:tcW w:w="5063" w:type="dxa"/>
            <w:tcBorders>
              <w:top w:val="single" w:sz="4" w:space="0" w:color="auto"/>
              <w:left w:val="single" w:sz="4" w:space="0" w:color="auto"/>
              <w:bottom w:val="single" w:sz="4" w:space="0" w:color="auto"/>
              <w:right w:val="single" w:sz="4" w:space="0" w:color="auto"/>
            </w:tcBorders>
          </w:tcPr>
          <w:p w14:paraId="15E79AC9" w14:textId="77777777" w:rsidR="005E000F" w:rsidRDefault="00000000">
            <w:r>
              <w:rPr>
                <w:rFonts w:hint="eastAsia"/>
              </w:rPr>
              <w:t>公司的联营企业</w:t>
            </w:r>
          </w:p>
        </w:tc>
      </w:tr>
    </w:tbl>
    <w:p w14:paraId="6C6F3645" w14:textId="77777777" w:rsidR="005E000F" w:rsidRDefault="005E000F">
      <w:pPr>
        <w:tabs>
          <w:tab w:val="left" w:pos="1134"/>
        </w:tabs>
        <w:rPr>
          <w:rFonts w:cs="Cambria"/>
        </w:rPr>
      </w:pPr>
    </w:p>
    <w:p w14:paraId="0181DFB2" w14:textId="77777777" w:rsidR="005E000F" w:rsidRDefault="00000000">
      <w:pPr>
        <w:tabs>
          <w:tab w:val="left" w:pos="1134"/>
        </w:tabs>
        <w:rPr>
          <w:rFonts w:cs="Cambria"/>
        </w:rPr>
      </w:pPr>
      <w:r>
        <w:rPr>
          <w:rFonts w:cs="Cambria" w:hint="eastAsia"/>
        </w:rPr>
        <w:t>其他说明：</w:t>
      </w:r>
    </w:p>
    <w:sdt>
      <w:sdtPr>
        <w:rPr>
          <w:rFonts w:cs="Cambria"/>
        </w:rPr>
        <w:alias w:val="是否适用：存在关联方交易或余额的合营和联营企业情况说明[双击切换]"/>
        <w:tag w:val="_GBC_491f62bb76ba49c482a64272865cc4a1"/>
        <w:id w:val="-773869003"/>
        <w:placeholder>
          <w:docPart w:val="GBC22222222222222222222222222222"/>
        </w:placeholder>
      </w:sdtPr>
      <w:sdtContent>
        <w:p w14:paraId="6E6F4F0E" w14:textId="77777777" w:rsidR="005E000F" w:rsidRDefault="00000000">
          <w:pPr>
            <w:tabs>
              <w:tab w:val="left" w:pos="1134"/>
            </w:tabs>
            <w:rPr>
              <w:rFonts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3F38D069" w14:textId="77777777" w:rsidR="005E000F" w:rsidRDefault="005E000F">
      <w:pPr>
        <w:tabs>
          <w:tab w:val="left" w:pos="1134"/>
        </w:tabs>
        <w:rPr>
          <w:rFonts w:cs="Cambria"/>
        </w:rPr>
      </w:pPr>
    </w:p>
    <w:p w14:paraId="01A028FC" w14:textId="77777777" w:rsidR="005E000F" w:rsidRDefault="00000000">
      <w:pPr>
        <w:pStyle w:val="3"/>
        <w:numPr>
          <w:ilvl w:val="0"/>
          <w:numId w:val="119"/>
        </w:numPr>
      </w:pPr>
      <w:r>
        <w:rPr>
          <w:rFonts w:hint="eastAsia"/>
        </w:rPr>
        <w:t>其他关联方情况</w:t>
      </w:r>
    </w:p>
    <w:sdt>
      <w:sdtPr>
        <w:alias w:val="是否适用：其他关联方情况[双击切换]"/>
        <w:tag w:val="_GBC_42246b4c04fc4462b5fb05a5db67f4d0"/>
        <w:id w:val="-208494420"/>
        <w:placeholder>
          <w:docPart w:val="GBC22222222222222222222222222222"/>
        </w:placeholder>
      </w:sdtPr>
      <w:sdtContent>
        <w:p w14:paraId="7851010B"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90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77"/>
        <w:gridCol w:w="5071"/>
      </w:tblGrid>
      <w:tr w:rsidR="005E000F" w14:paraId="4BBAE825" w14:textId="77777777">
        <w:trPr>
          <w:trHeight w:val="273"/>
        </w:trPr>
        <w:tc>
          <w:tcPr>
            <w:tcW w:w="3977" w:type="dxa"/>
            <w:vAlign w:val="center"/>
          </w:tcPr>
          <w:sdt>
            <w:sdtPr>
              <w:rPr>
                <w:rFonts w:hint="eastAsia"/>
              </w:rPr>
              <w:tag w:val="_PLD_36db3e8c12e04d279b0c2956ad69d8a6"/>
              <w:id w:val="147466436"/>
            </w:sdtPr>
            <w:sdtContent>
              <w:p w14:paraId="56A1F75C" w14:textId="77777777" w:rsidR="005E000F" w:rsidRDefault="00000000">
                <w:pPr>
                  <w:jc w:val="center"/>
                </w:pPr>
                <w:r>
                  <w:rPr>
                    <w:rFonts w:hint="eastAsia"/>
                  </w:rPr>
                  <w:t>其他关联方名称</w:t>
                </w:r>
              </w:p>
            </w:sdtContent>
          </w:sdt>
        </w:tc>
        <w:tc>
          <w:tcPr>
            <w:tcW w:w="5071" w:type="dxa"/>
            <w:vAlign w:val="center"/>
          </w:tcPr>
          <w:sdt>
            <w:sdtPr>
              <w:rPr>
                <w:rFonts w:hint="eastAsia"/>
              </w:rPr>
              <w:tag w:val="_PLD_b851a2cc9280416290b9ebf815c49236"/>
              <w:id w:val="147469125"/>
            </w:sdtPr>
            <w:sdtContent>
              <w:p w14:paraId="1E9B6D40" w14:textId="77777777" w:rsidR="005E000F" w:rsidRDefault="00000000">
                <w:pPr>
                  <w:jc w:val="center"/>
                </w:pPr>
                <w:r>
                  <w:rPr>
                    <w:rFonts w:hint="eastAsia"/>
                  </w:rPr>
                  <w:t>其他关联方与本企业关系</w:t>
                </w:r>
              </w:p>
            </w:sdtContent>
          </w:sdt>
        </w:tc>
      </w:tr>
      <w:tr w:rsidR="005E000F" w14:paraId="7FA17A31" w14:textId="77777777">
        <w:trPr>
          <w:trHeight w:val="273"/>
        </w:trPr>
        <w:tc>
          <w:tcPr>
            <w:tcW w:w="3977" w:type="dxa"/>
            <w:vAlign w:val="center"/>
          </w:tcPr>
          <w:p w14:paraId="5C68C09C" w14:textId="77777777" w:rsidR="005E000F" w:rsidRDefault="00000000">
            <w:r>
              <w:rPr>
                <w:rFonts w:hint="eastAsia"/>
              </w:rPr>
              <w:t>中国国家铁路集团有限公司</w:t>
            </w:r>
          </w:p>
        </w:tc>
        <w:tc>
          <w:tcPr>
            <w:tcW w:w="5071" w:type="dxa"/>
            <w:vAlign w:val="center"/>
          </w:tcPr>
          <w:p w14:paraId="39B21376" w14:textId="77777777" w:rsidR="005E000F" w:rsidRDefault="00000000">
            <w:r>
              <w:rPr>
                <w:rFonts w:hint="eastAsia"/>
              </w:rPr>
              <w:t>最终控股公司</w:t>
            </w:r>
          </w:p>
        </w:tc>
      </w:tr>
      <w:tr w:rsidR="005E000F" w14:paraId="4F8A6E57" w14:textId="77777777">
        <w:trPr>
          <w:trHeight w:val="270"/>
        </w:trPr>
        <w:tc>
          <w:tcPr>
            <w:tcW w:w="3977" w:type="dxa"/>
            <w:vAlign w:val="center"/>
          </w:tcPr>
          <w:p w14:paraId="70D9B251" w14:textId="77777777" w:rsidR="005E000F" w:rsidRDefault="00000000">
            <w:r>
              <w:rPr>
                <w:rFonts w:hint="eastAsia"/>
              </w:rPr>
              <w:t>太原</w:t>
            </w:r>
            <w:proofErr w:type="gramStart"/>
            <w:r>
              <w:rPr>
                <w:rFonts w:hint="eastAsia"/>
              </w:rPr>
              <w:t>振北实业</w:t>
            </w:r>
            <w:proofErr w:type="gramEnd"/>
            <w:r>
              <w:rPr>
                <w:rFonts w:hint="eastAsia"/>
              </w:rPr>
              <w:t>开发有限公司</w:t>
            </w:r>
          </w:p>
        </w:tc>
        <w:tc>
          <w:tcPr>
            <w:tcW w:w="5071" w:type="dxa"/>
            <w:vAlign w:val="center"/>
          </w:tcPr>
          <w:p w14:paraId="6A9ACBD4" w14:textId="77777777" w:rsidR="005E000F" w:rsidRDefault="00000000">
            <w:r>
              <w:rPr>
                <w:rFonts w:hint="eastAsia"/>
              </w:rPr>
              <w:t>母公司的全资子公司</w:t>
            </w:r>
          </w:p>
        </w:tc>
      </w:tr>
      <w:tr w:rsidR="005E000F" w14:paraId="724A157C" w14:textId="77777777">
        <w:trPr>
          <w:trHeight w:val="273"/>
        </w:trPr>
        <w:tc>
          <w:tcPr>
            <w:tcW w:w="3977" w:type="dxa"/>
            <w:vAlign w:val="center"/>
          </w:tcPr>
          <w:p w14:paraId="0CB7CFC8" w14:textId="77777777" w:rsidR="005E000F" w:rsidRDefault="00000000">
            <w:r>
              <w:rPr>
                <w:rFonts w:hint="eastAsia"/>
              </w:rPr>
              <w:t>山西铁路装备制造集团有限公司</w:t>
            </w:r>
          </w:p>
        </w:tc>
        <w:tc>
          <w:tcPr>
            <w:tcW w:w="5071" w:type="dxa"/>
            <w:vAlign w:val="center"/>
          </w:tcPr>
          <w:p w14:paraId="02AAECC6" w14:textId="77777777" w:rsidR="005E000F" w:rsidRDefault="00000000">
            <w:r>
              <w:rPr>
                <w:rFonts w:hint="eastAsia"/>
              </w:rPr>
              <w:t>母公司的全资子公司</w:t>
            </w:r>
          </w:p>
        </w:tc>
      </w:tr>
      <w:tr w:rsidR="005E000F" w14:paraId="6CA6BCE8" w14:textId="77777777">
        <w:trPr>
          <w:trHeight w:val="270"/>
        </w:trPr>
        <w:tc>
          <w:tcPr>
            <w:tcW w:w="3977" w:type="dxa"/>
            <w:vAlign w:val="center"/>
          </w:tcPr>
          <w:p w14:paraId="1F2720AD" w14:textId="77777777" w:rsidR="005E000F" w:rsidRDefault="00000000">
            <w:r>
              <w:rPr>
                <w:rFonts w:hint="eastAsia"/>
              </w:rPr>
              <w:t>朔州市宏达铁路工贸有限责任公司</w:t>
            </w:r>
          </w:p>
        </w:tc>
        <w:tc>
          <w:tcPr>
            <w:tcW w:w="5071" w:type="dxa"/>
            <w:vAlign w:val="center"/>
          </w:tcPr>
          <w:p w14:paraId="3B1D432C" w14:textId="77777777" w:rsidR="005E000F" w:rsidRDefault="00000000">
            <w:r>
              <w:rPr>
                <w:rFonts w:hint="eastAsia"/>
              </w:rPr>
              <w:t>母公司的全资子公司</w:t>
            </w:r>
          </w:p>
        </w:tc>
      </w:tr>
      <w:tr w:rsidR="005E000F" w14:paraId="1FDA0F5B" w14:textId="77777777">
        <w:trPr>
          <w:trHeight w:val="273"/>
        </w:trPr>
        <w:tc>
          <w:tcPr>
            <w:tcW w:w="3977" w:type="dxa"/>
            <w:vAlign w:val="center"/>
          </w:tcPr>
          <w:p w14:paraId="53AA0CE3" w14:textId="77777777" w:rsidR="005E000F" w:rsidRDefault="00000000">
            <w:r>
              <w:rPr>
                <w:rFonts w:hint="eastAsia"/>
              </w:rPr>
              <w:t>山西铁路建设工程有限公司</w:t>
            </w:r>
          </w:p>
        </w:tc>
        <w:tc>
          <w:tcPr>
            <w:tcW w:w="5071" w:type="dxa"/>
            <w:vAlign w:val="center"/>
          </w:tcPr>
          <w:p w14:paraId="3DBD3D00" w14:textId="77777777" w:rsidR="005E000F" w:rsidRDefault="00000000">
            <w:r>
              <w:rPr>
                <w:rFonts w:hint="eastAsia"/>
              </w:rPr>
              <w:t>母公司的全资子公司</w:t>
            </w:r>
          </w:p>
        </w:tc>
      </w:tr>
      <w:tr w:rsidR="005E000F" w14:paraId="59A493A9" w14:textId="77777777">
        <w:trPr>
          <w:trHeight w:val="273"/>
        </w:trPr>
        <w:tc>
          <w:tcPr>
            <w:tcW w:w="3977" w:type="dxa"/>
            <w:vAlign w:val="center"/>
          </w:tcPr>
          <w:p w14:paraId="0B8BCE2F" w14:textId="77777777" w:rsidR="005E000F" w:rsidRDefault="00000000">
            <w:r>
              <w:rPr>
                <w:rFonts w:hint="eastAsia"/>
              </w:rPr>
              <w:t>太原市华威通水电工程有限公司</w:t>
            </w:r>
          </w:p>
        </w:tc>
        <w:tc>
          <w:tcPr>
            <w:tcW w:w="5071" w:type="dxa"/>
            <w:vAlign w:val="center"/>
          </w:tcPr>
          <w:p w14:paraId="0D71966D" w14:textId="77777777" w:rsidR="005E000F" w:rsidRDefault="00000000">
            <w:r>
              <w:rPr>
                <w:rFonts w:hint="eastAsia"/>
              </w:rPr>
              <w:t>母公司的全资子公司</w:t>
            </w:r>
          </w:p>
        </w:tc>
      </w:tr>
      <w:tr w:rsidR="005E000F" w14:paraId="02A8590A" w14:textId="77777777">
        <w:trPr>
          <w:trHeight w:val="270"/>
        </w:trPr>
        <w:tc>
          <w:tcPr>
            <w:tcW w:w="3977" w:type="dxa"/>
            <w:vAlign w:val="center"/>
          </w:tcPr>
          <w:p w14:paraId="19C19FDA" w14:textId="77777777" w:rsidR="005E000F" w:rsidRDefault="00000000">
            <w:r>
              <w:rPr>
                <w:rFonts w:hint="eastAsia"/>
              </w:rPr>
              <w:t>太原晋</w:t>
            </w:r>
            <w:proofErr w:type="gramStart"/>
            <w:r>
              <w:rPr>
                <w:rFonts w:hint="eastAsia"/>
              </w:rPr>
              <w:t>太</w:t>
            </w:r>
            <w:proofErr w:type="gramEnd"/>
            <w:r>
              <w:rPr>
                <w:rFonts w:hint="eastAsia"/>
              </w:rPr>
              <w:t>实业</w:t>
            </w:r>
            <w:r>
              <w:rPr>
                <w:rFonts w:hint="eastAsia"/>
              </w:rPr>
              <w:t>(</w:t>
            </w:r>
            <w:r>
              <w:rPr>
                <w:rFonts w:hint="eastAsia"/>
              </w:rPr>
              <w:t>集团</w:t>
            </w:r>
            <w:r>
              <w:rPr>
                <w:rFonts w:hint="eastAsia"/>
              </w:rPr>
              <w:t>)</w:t>
            </w:r>
            <w:r>
              <w:rPr>
                <w:rFonts w:hint="eastAsia"/>
              </w:rPr>
              <w:t>有限公司</w:t>
            </w:r>
          </w:p>
        </w:tc>
        <w:tc>
          <w:tcPr>
            <w:tcW w:w="5071" w:type="dxa"/>
            <w:vAlign w:val="center"/>
          </w:tcPr>
          <w:p w14:paraId="341E1F6D" w14:textId="77777777" w:rsidR="005E000F" w:rsidRDefault="00000000">
            <w:r>
              <w:rPr>
                <w:rFonts w:hint="eastAsia"/>
              </w:rPr>
              <w:t>母公司的全资子公司</w:t>
            </w:r>
          </w:p>
        </w:tc>
      </w:tr>
      <w:tr w:rsidR="005E000F" w14:paraId="3120DA0E" w14:textId="77777777">
        <w:trPr>
          <w:trHeight w:val="273"/>
        </w:trPr>
        <w:tc>
          <w:tcPr>
            <w:tcW w:w="3977" w:type="dxa"/>
            <w:vAlign w:val="center"/>
          </w:tcPr>
          <w:p w14:paraId="0F6C9034" w14:textId="77777777" w:rsidR="005E000F" w:rsidRDefault="00000000">
            <w:r>
              <w:rPr>
                <w:rFonts w:hint="eastAsia"/>
              </w:rPr>
              <w:t>山西铁路文化旅游有限公司</w:t>
            </w:r>
          </w:p>
        </w:tc>
        <w:tc>
          <w:tcPr>
            <w:tcW w:w="5071" w:type="dxa"/>
            <w:vAlign w:val="center"/>
          </w:tcPr>
          <w:p w14:paraId="52E4DDE1" w14:textId="77777777" w:rsidR="005E000F" w:rsidRDefault="00000000">
            <w:r>
              <w:rPr>
                <w:rFonts w:hint="eastAsia"/>
              </w:rPr>
              <w:t>母公司的全资子公司</w:t>
            </w:r>
          </w:p>
        </w:tc>
      </w:tr>
      <w:tr w:rsidR="005E000F" w14:paraId="777AEF11" w14:textId="77777777">
        <w:trPr>
          <w:trHeight w:val="273"/>
        </w:trPr>
        <w:tc>
          <w:tcPr>
            <w:tcW w:w="3977" w:type="dxa"/>
            <w:vAlign w:val="center"/>
          </w:tcPr>
          <w:p w14:paraId="545A1258" w14:textId="77777777" w:rsidR="005E000F" w:rsidRDefault="00000000">
            <w:r>
              <w:rPr>
                <w:rFonts w:hint="eastAsia"/>
              </w:rPr>
              <w:lastRenderedPageBreak/>
              <w:t>大同铁联实业有限责任公司</w:t>
            </w:r>
          </w:p>
        </w:tc>
        <w:tc>
          <w:tcPr>
            <w:tcW w:w="5071" w:type="dxa"/>
            <w:vAlign w:val="center"/>
          </w:tcPr>
          <w:p w14:paraId="1E7E89D8" w14:textId="77777777" w:rsidR="005E000F" w:rsidRDefault="00000000">
            <w:r>
              <w:rPr>
                <w:rFonts w:hint="eastAsia"/>
              </w:rPr>
              <w:t>母公司的全资子公司</w:t>
            </w:r>
          </w:p>
        </w:tc>
      </w:tr>
      <w:tr w:rsidR="005E000F" w14:paraId="4AF35F9E" w14:textId="77777777">
        <w:trPr>
          <w:trHeight w:val="270"/>
        </w:trPr>
        <w:tc>
          <w:tcPr>
            <w:tcW w:w="3977" w:type="dxa"/>
            <w:vAlign w:val="center"/>
          </w:tcPr>
          <w:p w14:paraId="423269F1" w14:textId="77777777" w:rsidR="005E000F" w:rsidRDefault="00000000">
            <w:r>
              <w:rPr>
                <w:rFonts w:hint="eastAsia"/>
              </w:rPr>
              <w:t>山西大秦物流有限公司</w:t>
            </w:r>
          </w:p>
        </w:tc>
        <w:tc>
          <w:tcPr>
            <w:tcW w:w="5071" w:type="dxa"/>
            <w:vAlign w:val="center"/>
          </w:tcPr>
          <w:p w14:paraId="23172BAD" w14:textId="77777777" w:rsidR="005E000F" w:rsidRDefault="00000000">
            <w:r>
              <w:rPr>
                <w:rFonts w:hint="eastAsia"/>
              </w:rPr>
              <w:t>母公司的全资子公司</w:t>
            </w:r>
          </w:p>
        </w:tc>
      </w:tr>
      <w:tr w:rsidR="005E000F" w14:paraId="794A579C" w14:textId="77777777">
        <w:trPr>
          <w:trHeight w:val="273"/>
        </w:trPr>
        <w:tc>
          <w:tcPr>
            <w:tcW w:w="3977" w:type="dxa"/>
            <w:vAlign w:val="center"/>
          </w:tcPr>
          <w:p w14:paraId="75A80D15" w14:textId="77777777" w:rsidR="005E000F" w:rsidRDefault="00000000">
            <w:r>
              <w:rPr>
                <w:rFonts w:hint="eastAsia"/>
              </w:rPr>
              <w:t>朔州市</w:t>
            </w:r>
            <w:proofErr w:type="gramStart"/>
            <w:r>
              <w:rPr>
                <w:rFonts w:hint="eastAsia"/>
              </w:rPr>
              <w:t>平朔路达铁路运输</w:t>
            </w:r>
            <w:proofErr w:type="gramEnd"/>
            <w:r>
              <w:rPr>
                <w:rFonts w:hint="eastAsia"/>
              </w:rPr>
              <w:t>有限公司</w:t>
            </w:r>
          </w:p>
        </w:tc>
        <w:tc>
          <w:tcPr>
            <w:tcW w:w="5071" w:type="dxa"/>
            <w:vAlign w:val="center"/>
          </w:tcPr>
          <w:p w14:paraId="4B0AD2EB" w14:textId="77777777" w:rsidR="005E000F" w:rsidRDefault="00000000">
            <w:r>
              <w:rPr>
                <w:rFonts w:hint="eastAsia"/>
              </w:rPr>
              <w:t>母公司的控股子公司</w:t>
            </w:r>
          </w:p>
        </w:tc>
      </w:tr>
      <w:tr w:rsidR="005E000F" w14:paraId="631BE9A9" w14:textId="77777777">
        <w:trPr>
          <w:trHeight w:val="273"/>
        </w:trPr>
        <w:tc>
          <w:tcPr>
            <w:tcW w:w="3977" w:type="dxa"/>
            <w:vAlign w:val="center"/>
          </w:tcPr>
          <w:p w14:paraId="340FFE7F" w14:textId="77777777" w:rsidR="005E000F" w:rsidRDefault="00000000">
            <w:r>
              <w:rPr>
                <w:rFonts w:hint="eastAsia"/>
              </w:rPr>
              <w:t>大西铁路客运专线有限责任公司</w:t>
            </w:r>
          </w:p>
        </w:tc>
        <w:tc>
          <w:tcPr>
            <w:tcW w:w="5071" w:type="dxa"/>
            <w:vAlign w:val="center"/>
          </w:tcPr>
          <w:p w14:paraId="64A32DAB" w14:textId="77777777" w:rsidR="005E000F" w:rsidRDefault="00000000">
            <w:r>
              <w:rPr>
                <w:rFonts w:hint="eastAsia"/>
              </w:rPr>
              <w:t>母公司的控股子公司</w:t>
            </w:r>
          </w:p>
        </w:tc>
      </w:tr>
      <w:tr w:rsidR="005E000F" w14:paraId="529D77D8" w14:textId="77777777">
        <w:trPr>
          <w:trHeight w:val="271"/>
        </w:trPr>
        <w:tc>
          <w:tcPr>
            <w:tcW w:w="3977" w:type="dxa"/>
            <w:vAlign w:val="center"/>
          </w:tcPr>
          <w:p w14:paraId="40DFF1DB" w14:textId="77777777" w:rsidR="005E000F" w:rsidRDefault="00000000">
            <w:r>
              <w:rPr>
                <w:rFonts w:hint="eastAsia"/>
              </w:rPr>
              <w:t>晋豫</w:t>
            </w:r>
            <w:proofErr w:type="gramStart"/>
            <w:r>
              <w:rPr>
                <w:rFonts w:hint="eastAsia"/>
              </w:rPr>
              <w:t>鲁铁路</w:t>
            </w:r>
            <w:proofErr w:type="gramEnd"/>
            <w:r>
              <w:rPr>
                <w:rFonts w:hint="eastAsia"/>
              </w:rPr>
              <w:t>通道股份有限公司</w:t>
            </w:r>
          </w:p>
        </w:tc>
        <w:tc>
          <w:tcPr>
            <w:tcW w:w="5071" w:type="dxa"/>
            <w:vAlign w:val="center"/>
          </w:tcPr>
          <w:p w14:paraId="6A4E22E4" w14:textId="77777777" w:rsidR="005E000F" w:rsidRDefault="00000000">
            <w:r>
              <w:rPr>
                <w:rFonts w:hint="eastAsia"/>
              </w:rPr>
              <w:t>母公司的控股子公司</w:t>
            </w:r>
          </w:p>
        </w:tc>
      </w:tr>
      <w:tr w:rsidR="005E000F" w14:paraId="444FF125" w14:textId="77777777">
        <w:trPr>
          <w:trHeight w:val="273"/>
        </w:trPr>
        <w:tc>
          <w:tcPr>
            <w:tcW w:w="3977" w:type="dxa"/>
            <w:vAlign w:val="center"/>
          </w:tcPr>
          <w:p w14:paraId="7E0B6C56" w14:textId="77777777" w:rsidR="005E000F" w:rsidRDefault="00000000">
            <w:r>
              <w:rPr>
                <w:rFonts w:hint="eastAsia"/>
              </w:rPr>
              <w:t>吕临铁路有限责任公司</w:t>
            </w:r>
          </w:p>
        </w:tc>
        <w:tc>
          <w:tcPr>
            <w:tcW w:w="5071" w:type="dxa"/>
            <w:vAlign w:val="center"/>
          </w:tcPr>
          <w:p w14:paraId="17481B67" w14:textId="77777777" w:rsidR="005E000F" w:rsidRDefault="00000000">
            <w:r>
              <w:rPr>
                <w:rFonts w:hint="eastAsia"/>
              </w:rPr>
              <w:t>母公司的控股子公司</w:t>
            </w:r>
          </w:p>
        </w:tc>
      </w:tr>
      <w:tr w:rsidR="005E000F" w14:paraId="1B7BBB0C" w14:textId="77777777">
        <w:trPr>
          <w:trHeight w:val="273"/>
        </w:trPr>
        <w:tc>
          <w:tcPr>
            <w:tcW w:w="3977" w:type="dxa"/>
            <w:vAlign w:val="center"/>
          </w:tcPr>
          <w:p w14:paraId="49E2F128" w14:textId="77777777" w:rsidR="005E000F" w:rsidRDefault="00000000">
            <w:proofErr w:type="gramStart"/>
            <w:r>
              <w:rPr>
                <w:rFonts w:hint="eastAsia"/>
              </w:rPr>
              <w:t>准朔铁路</w:t>
            </w:r>
            <w:proofErr w:type="gramEnd"/>
            <w:r>
              <w:rPr>
                <w:rFonts w:hint="eastAsia"/>
              </w:rPr>
              <w:t>有限责任公司</w:t>
            </w:r>
          </w:p>
        </w:tc>
        <w:tc>
          <w:tcPr>
            <w:tcW w:w="5071" w:type="dxa"/>
            <w:vAlign w:val="center"/>
          </w:tcPr>
          <w:p w14:paraId="224A67C5" w14:textId="77777777" w:rsidR="005E000F" w:rsidRDefault="00000000">
            <w:r>
              <w:rPr>
                <w:rFonts w:hint="eastAsia"/>
              </w:rPr>
              <w:t>母公司的控股子公司</w:t>
            </w:r>
          </w:p>
        </w:tc>
      </w:tr>
      <w:tr w:rsidR="005E000F" w14:paraId="25553611" w14:textId="77777777">
        <w:trPr>
          <w:trHeight w:val="270"/>
        </w:trPr>
        <w:tc>
          <w:tcPr>
            <w:tcW w:w="3977" w:type="dxa"/>
            <w:vAlign w:val="center"/>
          </w:tcPr>
          <w:p w14:paraId="74C383F6" w14:textId="77777777" w:rsidR="005E000F" w:rsidRDefault="00000000">
            <w:r>
              <w:rPr>
                <w:rFonts w:hint="eastAsia"/>
              </w:rPr>
              <w:t>太原国铁京丰装备技术股份有限公司</w:t>
            </w:r>
          </w:p>
        </w:tc>
        <w:tc>
          <w:tcPr>
            <w:tcW w:w="5071" w:type="dxa"/>
            <w:vAlign w:val="center"/>
          </w:tcPr>
          <w:p w14:paraId="0BAA74F3" w14:textId="77777777" w:rsidR="005E000F" w:rsidRDefault="00000000">
            <w:r>
              <w:rPr>
                <w:rFonts w:hint="eastAsia"/>
              </w:rPr>
              <w:t>母公司的控股子公司</w:t>
            </w:r>
          </w:p>
        </w:tc>
      </w:tr>
      <w:tr w:rsidR="005E000F" w14:paraId="67C86CBC" w14:textId="77777777">
        <w:trPr>
          <w:trHeight w:val="273"/>
        </w:trPr>
        <w:tc>
          <w:tcPr>
            <w:tcW w:w="3977" w:type="dxa"/>
            <w:vAlign w:val="center"/>
          </w:tcPr>
          <w:p w14:paraId="5107EEF6" w14:textId="77777777" w:rsidR="005E000F" w:rsidRDefault="00000000">
            <w:r>
              <w:rPr>
                <w:rFonts w:hint="eastAsia"/>
              </w:rPr>
              <w:t>中国铁路北京局集团有限公司</w:t>
            </w:r>
          </w:p>
        </w:tc>
        <w:tc>
          <w:tcPr>
            <w:tcW w:w="5071" w:type="dxa"/>
            <w:vAlign w:val="center"/>
          </w:tcPr>
          <w:p w14:paraId="38672377" w14:textId="77777777" w:rsidR="005E000F" w:rsidRDefault="00000000">
            <w:r>
              <w:rPr>
                <w:rFonts w:hint="eastAsia"/>
              </w:rPr>
              <w:t>最终控股公司之子公司</w:t>
            </w:r>
          </w:p>
        </w:tc>
      </w:tr>
      <w:tr w:rsidR="005E000F" w14:paraId="0B332C00" w14:textId="77777777">
        <w:trPr>
          <w:trHeight w:val="270"/>
        </w:trPr>
        <w:tc>
          <w:tcPr>
            <w:tcW w:w="3977" w:type="dxa"/>
            <w:vAlign w:val="center"/>
          </w:tcPr>
          <w:p w14:paraId="0F0066B4" w14:textId="77777777" w:rsidR="005E000F" w:rsidRDefault="00000000">
            <w:r>
              <w:rPr>
                <w:rFonts w:hint="eastAsia"/>
              </w:rPr>
              <w:t>中国铁路西安局集团有限公司</w:t>
            </w:r>
          </w:p>
        </w:tc>
        <w:tc>
          <w:tcPr>
            <w:tcW w:w="5071" w:type="dxa"/>
            <w:vAlign w:val="center"/>
          </w:tcPr>
          <w:p w14:paraId="1D70CB47" w14:textId="77777777" w:rsidR="005E000F" w:rsidRDefault="00000000">
            <w:r>
              <w:rPr>
                <w:rFonts w:hint="eastAsia"/>
              </w:rPr>
              <w:t>最终控股公司之子公司</w:t>
            </w:r>
          </w:p>
        </w:tc>
      </w:tr>
      <w:tr w:rsidR="005E000F" w14:paraId="4AE46DC0" w14:textId="77777777">
        <w:trPr>
          <w:trHeight w:val="273"/>
        </w:trPr>
        <w:tc>
          <w:tcPr>
            <w:tcW w:w="3977" w:type="dxa"/>
            <w:vAlign w:val="center"/>
          </w:tcPr>
          <w:p w14:paraId="452BC13C" w14:textId="77777777" w:rsidR="005E000F" w:rsidRDefault="00000000">
            <w:r>
              <w:rPr>
                <w:rFonts w:hint="eastAsia"/>
              </w:rPr>
              <w:t>中国铁路上海局集团有限公司</w:t>
            </w:r>
          </w:p>
        </w:tc>
        <w:tc>
          <w:tcPr>
            <w:tcW w:w="5071" w:type="dxa"/>
            <w:vAlign w:val="center"/>
          </w:tcPr>
          <w:p w14:paraId="3AA0EE58" w14:textId="77777777" w:rsidR="005E000F" w:rsidRDefault="00000000">
            <w:r>
              <w:rPr>
                <w:rFonts w:hint="eastAsia"/>
              </w:rPr>
              <w:t>最终控股公司之子公司</w:t>
            </w:r>
          </w:p>
        </w:tc>
      </w:tr>
      <w:tr w:rsidR="005E000F" w14:paraId="4142F1C7" w14:textId="77777777">
        <w:trPr>
          <w:trHeight w:val="273"/>
        </w:trPr>
        <w:tc>
          <w:tcPr>
            <w:tcW w:w="3977" w:type="dxa"/>
            <w:vAlign w:val="center"/>
          </w:tcPr>
          <w:p w14:paraId="3853390A" w14:textId="77777777" w:rsidR="005E000F" w:rsidRDefault="00000000">
            <w:r>
              <w:rPr>
                <w:rFonts w:hint="eastAsia"/>
              </w:rPr>
              <w:t>中国铁路兰州局集团有限公司</w:t>
            </w:r>
          </w:p>
        </w:tc>
        <w:tc>
          <w:tcPr>
            <w:tcW w:w="5071" w:type="dxa"/>
            <w:vAlign w:val="center"/>
          </w:tcPr>
          <w:p w14:paraId="6BC009C0" w14:textId="77777777" w:rsidR="005E000F" w:rsidRDefault="00000000">
            <w:r>
              <w:rPr>
                <w:rFonts w:hint="eastAsia"/>
              </w:rPr>
              <w:t>最终控股公司之子公司</w:t>
            </w:r>
          </w:p>
        </w:tc>
      </w:tr>
      <w:tr w:rsidR="005E000F" w14:paraId="0E443821" w14:textId="77777777">
        <w:trPr>
          <w:trHeight w:val="270"/>
        </w:trPr>
        <w:tc>
          <w:tcPr>
            <w:tcW w:w="3977" w:type="dxa"/>
            <w:vAlign w:val="center"/>
          </w:tcPr>
          <w:p w14:paraId="40422FD7" w14:textId="77777777" w:rsidR="005E000F" w:rsidRDefault="00000000">
            <w:r>
              <w:rPr>
                <w:rFonts w:hint="eastAsia"/>
              </w:rPr>
              <w:t>中国铁路呼和浩特局集团有限公司</w:t>
            </w:r>
          </w:p>
        </w:tc>
        <w:tc>
          <w:tcPr>
            <w:tcW w:w="5071" w:type="dxa"/>
            <w:vAlign w:val="center"/>
          </w:tcPr>
          <w:p w14:paraId="46322F0F" w14:textId="77777777" w:rsidR="005E000F" w:rsidRDefault="00000000">
            <w:r>
              <w:rPr>
                <w:rFonts w:hint="eastAsia"/>
              </w:rPr>
              <w:t>最终控股公司之子公司</w:t>
            </w:r>
          </w:p>
        </w:tc>
      </w:tr>
      <w:tr w:rsidR="005E000F" w14:paraId="62336915" w14:textId="77777777">
        <w:trPr>
          <w:trHeight w:val="273"/>
        </w:trPr>
        <w:tc>
          <w:tcPr>
            <w:tcW w:w="3977" w:type="dxa"/>
            <w:vAlign w:val="center"/>
          </w:tcPr>
          <w:p w14:paraId="6A2A101E" w14:textId="77777777" w:rsidR="005E000F" w:rsidRDefault="00000000">
            <w:r>
              <w:rPr>
                <w:rFonts w:hint="eastAsia"/>
              </w:rPr>
              <w:t>中国铁路郑州</w:t>
            </w:r>
            <w:proofErr w:type="gramStart"/>
            <w:r>
              <w:rPr>
                <w:rFonts w:hint="eastAsia"/>
              </w:rPr>
              <w:t>局集团</w:t>
            </w:r>
            <w:proofErr w:type="gramEnd"/>
            <w:r>
              <w:rPr>
                <w:rFonts w:hint="eastAsia"/>
              </w:rPr>
              <w:t>有限公司</w:t>
            </w:r>
          </w:p>
        </w:tc>
        <w:tc>
          <w:tcPr>
            <w:tcW w:w="5071" w:type="dxa"/>
            <w:vAlign w:val="center"/>
          </w:tcPr>
          <w:p w14:paraId="6AB94FB3" w14:textId="77777777" w:rsidR="005E000F" w:rsidRDefault="00000000">
            <w:r>
              <w:rPr>
                <w:rFonts w:hint="eastAsia"/>
              </w:rPr>
              <w:t>最终控股公司之子公司</w:t>
            </w:r>
          </w:p>
        </w:tc>
      </w:tr>
      <w:tr w:rsidR="005E000F" w14:paraId="65B813E0" w14:textId="77777777">
        <w:trPr>
          <w:trHeight w:val="273"/>
        </w:trPr>
        <w:tc>
          <w:tcPr>
            <w:tcW w:w="3977" w:type="dxa"/>
            <w:vAlign w:val="center"/>
          </w:tcPr>
          <w:p w14:paraId="69532969" w14:textId="77777777" w:rsidR="005E000F" w:rsidRDefault="00000000">
            <w:r>
              <w:rPr>
                <w:rFonts w:hint="eastAsia"/>
              </w:rPr>
              <w:t>中国铁路武汉</w:t>
            </w:r>
            <w:proofErr w:type="gramStart"/>
            <w:r>
              <w:rPr>
                <w:rFonts w:hint="eastAsia"/>
              </w:rPr>
              <w:t>局集团</w:t>
            </w:r>
            <w:proofErr w:type="gramEnd"/>
            <w:r>
              <w:rPr>
                <w:rFonts w:hint="eastAsia"/>
              </w:rPr>
              <w:t>有限公司</w:t>
            </w:r>
          </w:p>
        </w:tc>
        <w:tc>
          <w:tcPr>
            <w:tcW w:w="5071" w:type="dxa"/>
            <w:vAlign w:val="center"/>
          </w:tcPr>
          <w:p w14:paraId="366898BB" w14:textId="77777777" w:rsidR="005E000F" w:rsidRDefault="00000000">
            <w:r>
              <w:rPr>
                <w:rFonts w:hint="eastAsia"/>
              </w:rPr>
              <w:t>最终控股公司之子公司</w:t>
            </w:r>
          </w:p>
        </w:tc>
      </w:tr>
      <w:tr w:rsidR="005E000F" w14:paraId="5A0A17EC" w14:textId="77777777">
        <w:trPr>
          <w:trHeight w:val="271"/>
        </w:trPr>
        <w:tc>
          <w:tcPr>
            <w:tcW w:w="3977" w:type="dxa"/>
            <w:vAlign w:val="center"/>
          </w:tcPr>
          <w:p w14:paraId="61DF5F53" w14:textId="77777777" w:rsidR="005E000F" w:rsidRDefault="00000000">
            <w:r>
              <w:rPr>
                <w:rFonts w:hint="eastAsia"/>
              </w:rPr>
              <w:t>中国铁路成都局集团有限公司</w:t>
            </w:r>
          </w:p>
        </w:tc>
        <w:tc>
          <w:tcPr>
            <w:tcW w:w="5071" w:type="dxa"/>
            <w:vAlign w:val="center"/>
          </w:tcPr>
          <w:p w14:paraId="5158E305" w14:textId="77777777" w:rsidR="005E000F" w:rsidRDefault="00000000">
            <w:r>
              <w:rPr>
                <w:rFonts w:hint="eastAsia"/>
              </w:rPr>
              <w:t>最终控股公司之子公司</w:t>
            </w:r>
          </w:p>
        </w:tc>
      </w:tr>
      <w:tr w:rsidR="005E000F" w14:paraId="4FC5328D" w14:textId="77777777">
        <w:trPr>
          <w:trHeight w:val="273"/>
        </w:trPr>
        <w:tc>
          <w:tcPr>
            <w:tcW w:w="3977" w:type="dxa"/>
            <w:vAlign w:val="center"/>
          </w:tcPr>
          <w:p w14:paraId="5044A228" w14:textId="77777777" w:rsidR="005E000F" w:rsidRDefault="00000000">
            <w:r>
              <w:rPr>
                <w:rFonts w:hint="eastAsia"/>
              </w:rPr>
              <w:t>中国铁路哈尔滨局集团有限公司</w:t>
            </w:r>
          </w:p>
        </w:tc>
        <w:tc>
          <w:tcPr>
            <w:tcW w:w="5071" w:type="dxa"/>
            <w:vAlign w:val="center"/>
          </w:tcPr>
          <w:p w14:paraId="740DC82C" w14:textId="77777777" w:rsidR="005E000F" w:rsidRDefault="00000000">
            <w:r>
              <w:rPr>
                <w:rFonts w:hint="eastAsia"/>
              </w:rPr>
              <w:t>最终控股公司之子公司</w:t>
            </w:r>
          </w:p>
        </w:tc>
      </w:tr>
      <w:tr w:rsidR="005E000F" w14:paraId="3CC26186" w14:textId="77777777">
        <w:trPr>
          <w:trHeight w:val="273"/>
        </w:trPr>
        <w:tc>
          <w:tcPr>
            <w:tcW w:w="3977" w:type="dxa"/>
            <w:vAlign w:val="center"/>
          </w:tcPr>
          <w:p w14:paraId="5B311AB8" w14:textId="77777777" w:rsidR="005E000F" w:rsidRDefault="00000000">
            <w:r>
              <w:rPr>
                <w:rFonts w:hint="eastAsia"/>
              </w:rPr>
              <w:t>中国铁路广州局集团有限公司</w:t>
            </w:r>
          </w:p>
        </w:tc>
        <w:tc>
          <w:tcPr>
            <w:tcW w:w="5071" w:type="dxa"/>
            <w:vAlign w:val="center"/>
          </w:tcPr>
          <w:p w14:paraId="05DAFA56" w14:textId="77777777" w:rsidR="005E000F" w:rsidRDefault="00000000">
            <w:r>
              <w:rPr>
                <w:rFonts w:hint="eastAsia"/>
              </w:rPr>
              <w:t>最终控股公司之子公司</w:t>
            </w:r>
          </w:p>
        </w:tc>
      </w:tr>
      <w:tr w:rsidR="005E000F" w14:paraId="1AD2F3BB" w14:textId="77777777">
        <w:trPr>
          <w:trHeight w:val="270"/>
        </w:trPr>
        <w:tc>
          <w:tcPr>
            <w:tcW w:w="3977" w:type="dxa"/>
            <w:vAlign w:val="center"/>
          </w:tcPr>
          <w:p w14:paraId="082438EF" w14:textId="77777777" w:rsidR="005E000F" w:rsidRDefault="00000000">
            <w:r>
              <w:rPr>
                <w:rFonts w:hint="eastAsia"/>
              </w:rPr>
              <w:t>中国铁路济南</w:t>
            </w:r>
            <w:proofErr w:type="gramStart"/>
            <w:r>
              <w:rPr>
                <w:rFonts w:hint="eastAsia"/>
              </w:rPr>
              <w:t>局集团</w:t>
            </w:r>
            <w:proofErr w:type="gramEnd"/>
            <w:r>
              <w:rPr>
                <w:rFonts w:hint="eastAsia"/>
              </w:rPr>
              <w:t>有限公司</w:t>
            </w:r>
          </w:p>
        </w:tc>
        <w:tc>
          <w:tcPr>
            <w:tcW w:w="5071" w:type="dxa"/>
            <w:vAlign w:val="center"/>
          </w:tcPr>
          <w:p w14:paraId="70A8E7D6" w14:textId="77777777" w:rsidR="005E000F" w:rsidRDefault="00000000">
            <w:r>
              <w:rPr>
                <w:rFonts w:hint="eastAsia"/>
              </w:rPr>
              <w:t>最终控股公司之子公司</w:t>
            </w:r>
          </w:p>
        </w:tc>
      </w:tr>
      <w:tr w:rsidR="005E000F" w14:paraId="6FB4B362" w14:textId="77777777">
        <w:trPr>
          <w:trHeight w:val="273"/>
        </w:trPr>
        <w:tc>
          <w:tcPr>
            <w:tcW w:w="3977" w:type="dxa"/>
            <w:vAlign w:val="center"/>
          </w:tcPr>
          <w:p w14:paraId="29DD117F" w14:textId="77777777" w:rsidR="005E000F" w:rsidRDefault="00000000">
            <w:r>
              <w:rPr>
                <w:rFonts w:hint="eastAsia"/>
              </w:rPr>
              <w:t>中国铁路昆明局集团有限公司</w:t>
            </w:r>
          </w:p>
        </w:tc>
        <w:tc>
          <w:tcPr>
            <w:tcW w:w="5071" w:type="dxa"/>
            <w:vAlign w:val="center"/>
          </w:tcPr>
          <w:p w14:paraId="20F4F055" w14:textId="77777777" w:rsidR="005E000F" w:rsidRDefault="00000000">
            <w:r>
              <w:rPr>
                <w:rFonts w:hint="eastAsia"/>
              </w:rPr>
              <w:t>最终控股公司之子公司</w:t>
            </w:r>
          </w:p>
        </w:tc>
      </w:tr>
      <w:tr w:rsidR="005E000F" w14:paraId="56B408E2" w14:textId="77777777">
        <w:trPr>
          <w:trHeight w:val="273"/>
        </w:trPr>
        <w:tc>
          <w:tcPr>
            <w:tcW w:w="3977" w:type="dxa"/>
            <w:vAlign w:val="center"/>
          </w:tcPr>
          <w:p w14:paraId="0252B3E3" w14:textId="77777777" w:rsidR="005E000F" w:rsidRDefault="00000000">
            <w:r>
              <w:rPr>
                <w:rFonts w:hint="eastAsia"/>
              </w:rPr>
              <w:t>中国铁路南昌</w:t>
            </w:r>
            <w:proofErr w:type="gramStart"/>
            <w:r>
              <w:rPr>
                <w:rFonts w:hint="eastAsia"/>
              </w:rPr>
              <w:t>局集团</w:t>
            </w:r>
            <w:proofErr w:type="gramEnd"/>
            <w:r>
              <w:rPr>
                <w:rFonts w:hint="eastAsia"/>
              </w:rPr>
              <w:t>有限公司</w:t>
            </w:r>
          </w:p>
        </w:tc>
        <w:tc>
          <w:tcPr>
            <w:tcW w:w="5071" w:type="dxa"/>
            <w:vAlign w:val="center"/>
          </w:tcPr>
          <w:p w14:paraId="39CBB38D" w14:textId="77777777" w:rsidR="005E000F" w:rsidRDefault="00000000">
            <w:r>
              <w:rPr>
                <w:rFonts w:hint="eastAsia"/>
              </w:rPr>
              <w:t>最终控股公司之子公司</w:t>
            </w:r>
          </w:p>
        </w:tc>
      </w:tr>
      <w:tr w:rsidR="005E000F" w14:paraId="070F44CD" w14:textId="77777777">
        <w:trPr>
          <w:trHeight w:val="270"/>
        </w:trPr>
        <w:tc>
          <w:tcPr>
            <w:tcW w:w="3977" w:type="dxa"/>
            <w:vAlign w:val="center"/>
          </w:tcPr>
          <w:p w14:paraId="53C59CB8" w14:textId="77777777" w:rsidR="005E000F" w:rsidRDefault="00000000">
            <w:r>
              <w:rPr>
                <w:rFonts w:hint="eastAsia"/>
              </w:rPr>
              <w:t>中国铁路南宁局集团有限公司</w:t>
            </w:r>
          </w:p>
        </w:tc>
        <w:tc>
          <w:tcPr>
            <w:tcW w:w="5071" w:type="dxa"/>
            <w:vAlign w:val="center"/>
          </w:tcPr>
          <w:p w14:paraId="5F1A17C8" w14:textId="77777777" w:rsidR="005E000F" w:rsidRDefault="00000000">
            <w:r>
              <w:rPr>
                <w:rFonts w:hint="eastAsia"/>
              </w:rPr>
              <w:t>最终控股公司之子公司</w:t>
            </w:r>
          </w:p>
        </w:tc>
      </w:tr>
      <w:tr w:rsidR="005E000F" w14:paraId="4A66C624" w14:textId="77777777">
        <w:trPr>
          <w:trHeight w:val="273"/>
        </w:trPr>
        <w:tc>
          <w:tcPr>
            <w:tcW w:w="3977" w:type="dxa"/>
            <w:vAlign w:val="center"/>
          </w:tcPr>
          <w:p w14:paraId="6FCF2A96" w14:textId="77777777" w:rsidR="005E000F" w:rsidRDefault="00000000">
            <w:r>
              <w:rPr>
                <w:rFonts w:hint="eastAsia"/>
              </w:rPr>
              <w:t>中国铁路沈阳局集团有限公司</w:t>
            </w:r>
          </w:p>
        </w:tc>
        <w:tc>
          <w:tcPr>
            <w:tcW w:w="5071" w:type="dxa"/>
            <w:vAlign w:val="center"/>
          </w:tcPr>
          <w:p w14:paraId="79A1AC95" w14:textId="77777777" w:rsidR="005E000F" w:rsidRDefault="00000000">
            <w:r>
              <w:rPr>
                <w:rFonts w:hint="eastAsia"/>
              </w:rPr>
              <w:t>最终控股公司之子公司</w:t>
            </w:r>
          </w:p>
        </w:tc>
      </w:tr>
      <w:tr w:rsidR="005E000F" w14:paraId="7CBC8392" w14:textId="77777777">
        <w:trPr>
          <w:trHeight w:val="273"/>
        </w:trPr>
        <w:tc>
          <w:tcPr>
            <w:tcW w:w="3977" w:type="dxa"/>
            <w:vAlign w:val="center"/>
          </w:tcPr>
          <w:p w14:paraId="63CC3036" w14:textId="77777777" w:rsidR="005E000F" w:rsidRDefault="00000000">
            <w:r>
              <w:rPr>
                <w:rFonts w:hint="eastAsia"/>
              </w:rPr>
              <w:t>中国铁路乌鲁木齐局集团有限公司</w:t>
            </w:r>
          </w:p>
        </w:tc>
        <w:tc>
          <w:tcPr>
            <w:tcW w:w="5071" w:type="dxa"/>
            <w:vAlign w:val="center"/>
          </w:tcPr>
          <w:p w14:paraId="2B627F5B" w14:textId="77777777" w:rsidR="005E000F" w:rsidRDefault="00000000">
            <w:r>
              <w:rPr>
                <w:rFonts w:hint="eastAsia"/>
              </w:rPr>
              <w:t>最终控股公司之子公司</w:t>
            </w:r>
          </w:p>
        </w:tc>
      </w:tr>
      <w:tr w:rsidR="005E000F" w14:paraId="56AB9E72" w14:textId="77777777">
        <w:trPr>
          <w:trHeight w:val="270"/>
        </w:trPr>
        <w:tc>
          <w:tcPr>
            <w:tcW w:w="3977" w:type="dxa"/>
            <w:vAlign w:val="center"/>
          </w:tcPr>
          <w:p w14:paraId="67107D1C" w14:textId="77777777" w:rsidR="005E000F" w:rsidRDefault="00000000">
            <w:r>
              <w:rPr>
                <w:rFonts w:hint="eastAsia"/>
              </w:rPr>
              <w:t>中铁快运股份有限公司</w:t>
            </w:r>
          </w:p>
        </w:tc>
        <w:tc>
          <w:tcPr>
            <w:tcW w:w="5071" w:type="dxa"/>
            <w:vAlign w:val="center"/>
          </w:tcPr>
          <w:p w14:paraId="7E9C8BC9" w14:textId="77777777" w:rsidR="005E000F" w:rsidRDefault="00000000">
            <w:r>
              <w:rPr>
                <w:rFonts w:hint="eastAsia"/>
              </w:rPr>
              <w:t>最终控股公司之子公司</w:t>
            </w:r>
          </w:p>
        </w:tc>
      </w:tr>
      <w:tr w:rsidR="005E000F" w14:paraId="16909F1B" w14:textId="77777777">
        <w:trPr>
          <w:trHeight w:val="273"/>
        </w:trPr>
        <w:tc>
          <w:tcPr>
            <w:tcW w:w="3977" w:type="dxa"/>
            <w:vAlign w:val="center"/>
          </w:tcPr>
          <w:p w14:paraId="10EA6225" w14:textId="77777777" w:rsidR="005E000F" w:rsidRDefault="00000000">
            <w:r>
              <w:rPr>
                <w:rFonts w:hint="eastAsia"/>
              </w:rPr>
              <w:t>广深铁路股份有限公司</w:t>
            </w:r>
          </w:p>
        </w:tc>
        <w:tc>
          <w:tcPr>
            <w:tcW w:w="5071" w:type="dxa"/>
            <w:vAlign w:val="center"/>
          </w:tcPr>
          <w:p w14:paraId="0AC3DA0B" w14:textId="77777777" w:rsidR="005E000F" w:rsidRDefault="00000000">
            <w:r>
              <w:rPr>
                <w:rFonts w:hint="eastAsia"/>
              </w:rPr>
              <w:t>最终控股公司之子公司</w:t>
            </w:r>
          </w:p>
        </w:tc>
      </w:tr>
      <w:tr w:rsidR="005E000F" w14:paraId="34CB9217" w14:textId="77777777">
        <w:trPr>
          <w:trHeight w:val="270"/>
        </w:trPr>
        <w:tc>
          <w:tcPr>
            <w:tcW w:w="3977" w:type="dxa"/>
            <w:vAlign w:val="center"/>
          </w:tcPr>
          <w:p w14:paraId="453490BF" w14:textId="77777777" w:rsidR="005E000F" w:rsidRDefault="00000000">
            <w:r>
              <w:rPr>
                <w:rFonts w:hint="eastAsia"/>
              </w:rPr>
              <w:t>石太铁路客运专线有限责任公司</w:t>
            </w:r>
          </w:p>
        </w:tc>
        <w:tc>
          <w:tcPr>
            <w:tcW w:w="5071" w:type="dxa"/>
            <w:vAlign w:val="center"/>
          </w:tcPr>
          <w:p w14:paraId="0CA1C33C" w14:textId="77777777" w:rsidR="005E000F" w:rsidRDefault="00000000">
            <w:r>
              <w:rPr>
                <w:rFonts w:hint="eastAsia"/>
              </w:rPr>
              <w:t>最终控股公司之子公司</w:t>
            </w:r>
          </w:p>
        </w:tc>
      </w:tr>
      <w:tr w:rsidR="005E000F" w14:paraId="2A5C9F88" w14:textId="77777777">
        <w:trPr>
          <w:trHeight w:val="273"/>
        </w:trPr>
        <w:tc>
          <w:tcPr>
            <w:tcW w:w="3977" w:type="dxa"/>
            <w:vAlign w:val="center"/>
          </w:tcPr>
          <w:p w14:paraId="00B0462A" w14:textId="77777777" w:rsidR="005E000F" w:rsidRDefault="00000000">
            <w:r>
              <w:rPr>
                <w:rFonts w:hint="eastAsia"/>
              </w:rPr>
              <w:t>太中</w:t>
            </w:r>
            <w:proofErr w:type="gramStart"/>
            <w:r>
              <w:rPr>
                <w:rFonts w:hint="eastAsia"/>
              </w:rPr>
              <w:t>银铁路</w:t>
            </w:r>
            <w:proofErr w:type="gramEnd"/>
            <w:r>
              <w:rPr>
                <w:rFonts w:hint="eastAsia"/>
              </w:rPr>
              <w:t>有限责任公司</w:t>
            </w:r>
          </w:p>
        </w:tc>
        <w:tc>
          <w:tcPr>
            <w:tcW w:w="5071" w:type="dxa"/>
            <w:vAlign w:val="center"/>
          </w:tcPr>
          <w:p w14:paraId="05806984" w14:textId="77777777" w:rsidR="005E000F" w:rsidRDefault="00000000">
            <w:r>
              <w:rPr>
                <w:rFonts w:hint="eastAsia"/>
              </w:rPr>
              <w:t>最终控股公司之子公司</w:t>
            </w:r>
          </w:p>
        </w:tc>
      </w:tr>
      <w:tr w:rsidR="005E000F" w14:paraId="5ABC18F9" w14:textId="77777777">
        <w:trPr>
          <w:trHeight w:val="273"/>
        </w:trPr>
        <w:tc>
          <w:tcPr>
            <w:tcW w:w="3977" w:type="dxa"/>
            <w:vAlign w:val="center"/>
          </w:tcPr>
          <w:p w14:paraId="3E60FAAF" w14:textId="77777777" w:rsidR="005E000F" w:rsidRDefault="00000000">
            <w:r>
              <w:rPr>
                <w:rFonts w:hint="eastAsia"/>
              </w:rPr>
              <w:t>中国铁路财务有限责任公司</w:t>
            </w:r>
          </w:p>
        </w:tc>
        <w:tc>
          <w:tcPr>
            <w:tcW w:w="5071" w:type="dxa"/>
            <w:vAlign w:val="center"/>
          </w:tcPr>
          <w:p w14:paraId="297DD0B3" w14:textId="77777777" w:rsidR="005E000F" w:rsidRDefault="00000000">
            <w:r>
              <w:rPr>
                <w:rFonts w:hint="eastAsia"/>
              </w:rPr>
              <w:t>最终控股公司之子公司</w:t>
            </w:r>
          </w:p>
        </w:tc>
      </w:tr>
      <w:tr w:rsidR="005E000F" w14:paraId="1297CAF7" w14:textId="77777777">
        <w:trPr>
          <w:trHeight w:val="273"/>
        </w:trPr>
        <w:tc>
          <w:tcPr>
            <w:tcW w:w="3977" w:type="dxa"/>
            <w:vAlign w:val="center"/>
          </w:tcPr>
          <w:p w14:paraId="7D170044" w14:textId="77777777" w:rsidR="005E000F" w:rsidRDefault="00000000">
            <w:r>
              <w:rPr>
                <w:rFonts w:hint="eastAsia"/>
              </w:rPr>
              <w:t>太焦城际铁路山西有限责任公司</w:t>
            </w:r>
          </w:p>
        </w:tc>
        <w:tc>
          <w:tcPr>
            <w:tcW w:w="5071" w:type="dxa"/>
            <w:vAlign w:val="center"/>
          </w:tcPr>
          <w:p w14:paraId="76721B8C" w14:textId="77777777" w:rsidR="005E000F" w:rsidRDefault="00000000">
            <w:r>
              <w:rPr>
                <w:rFonts w:hint="eastAsia"/>
              </w:rPr>
              <w:t>最终控股公司的联营企业</w:t>
            </w:r>
          </w:p>
        </w:tc>
      </w:tr>
      <w:tr w:rsidR="005E000F" w14:paraId="2A0ADA3D" w14:textId="77777777">
        <w:trPr>
          <w:trHeight w:val="273"/>
        </w:trPr>
        <w:tc>
          <w:tcPr>
            <w:tcW w:w="3977" w:type="dxa"/>
            <w:vAlign w:val="center"/>
          </w:tcPr>
          <w:p w14:paraId="64521801" w14:textId="77777777" w:rsidR="005E000F" w:rsidRDefault="00000000">
            <w:r>
              <w:rPr>
                <w:rFonts w:hint="eastAsia"/>
              </w:rPr>
              <w:t>大同地方铁路有限责任公司</w:t>
            </w:r>
          </w:p>
        </w:tc>
        <w:tc>
          <w:tcPr>
            <w:tcW w:w="5071" w:type="dxa"/>
            <w:vAlign w:val="center"/>
          </w:tcPr>
          <w:p w14:paraId="3C6FD9FF" w14:textId="77777777" w:rsidR="005E000F" w:rsidRDefault="00000000">
            <w:r>
              <w:rPr>
                <w:rFonts w:hint="eastAsia"/>
              </w:rPr>
              <w:t>母公司的合营企业</w:t>
            </w:r>
          </w:p>
        </w:tc>
      </w:tr>
    </w:tbl>
    <w:p w14:paraId="7D631E63" w14:textId="77777777" w:rsidR="005E000F" w:rsidRDefault="005E000F">
      <w:pPr>
        <w:tabs>
          <w:tab w:val="left" w:pos="1134"/>
        </w:tabs>
        <w:rPr>
          <w:rFonts w:cs="Cambria"/>
        </w:rPr>
      </w:pPr>
    </w:p>
    <w:p w14:paraId="5E91C010" w14:textId="77777777" w:rsidR="005E000F" w:rsidRDefault="00000000">
      <w:pPr>
        <w:tabs>
          <w:tab w:val="left" w:pos="1134"/>
        </w:tabs>
        <w:rPr>
          <w:rFonts w:cs="Cambria"/>
        </w:rPr>
      </w:pPr>
      <w:r>
        <w:rPr>
          <w:rFonts w:cs="Cambria" w:hint="eastAsia"/>
        </w:rPr>
        <w:t>其他说明：</w:t>
      </w:r>
    </w:p>
    <w:sdt>
      <w:sdtPr>
        <w:rPr>
          <w:rFonts w:cs="Cambria"/>
        </w:rPr>
        <w:alias w:val="本企业的其他关联方情况的说明"/>
        <w:tag w:val="_GBC_117952daaba845fa964eb3e2e22e8fc5"/>
        <w:id w:val="-1968031207"/>
        <w:placeholder>
          <w:docPart w:val="GBC22222222222222222222222222222"/>
        </w:placeholder>
      </w:sdtPr>
      <w:sdtContent>
        <w:p w14:paraId="188208A5" w14:textId="77777777" w:rsidR="005E000F" w:rsidRDefault="00000000">
          <w:pPr>
            <w:tabs>
              <w:tab w:val="left" w:pos="1134"/>
            </w:tabs>
            <w:rPr>
              <w:rFonts w:cs="Cambria"/>
            </w:rPr>
          </w:pPr>
          <w:r>
            <w:rPr>
              <w:rFonts w:cs="Cambria" w:hint="eastAsia"/>
            </w:rPr>
            <w:t>上述所列关联方为本集团本期发生交易的主要关联方。</w:t>
          </w:r>
        </w:p>
      </w:sdtContent>
    </w:sdt>
    <w:p w14:paraId="4F926BD2" w14:textId="77777777" w:rsidR="005E000F" w:rsidRDefault="005E000F">
      <w:pPr>
        <w:tabs>
          <w:tab w:val="left" w:pos="1134"/>
        </w:tabs>
        <w:rPr>
          <w:rFonts w:cs="Cambria"/>
          <w:b/>
        </w:rPr>
      </w:pPr>
    </w:p>
    <w:p w14:paraId="3F3F34E0" w14:textId="77777777" w:rsidR="005E000F" w:rsidRDefault="00000000">
      <w:pPr>
        <w:pStyle w:val="3"/>
        <w:numPr>
          <w:ilvl w:val="0"/>
          <w:numId w:val="119"/>
        </w:numPr>
      </w:pPr>
      <w:r>
        <w:rPr>
          <w:rFonts w:hint="eastAsia"/>
        </w:rPr>
        <w:t>关联交易情况</w:t>
      </w:r>
    </w:p>
    <w:p w14:paraId="76DC4A31" w14:textId="77777777" w:rsidR="005E000F" w:rsidRDefault="00000000">
      <w:pPr>
        <w:pStyle w:val="4"/>
        <w:numPr>
          <w:ilvl w:val="3"/>
          <w:numId w:val="120"/>
        </w:numPr>
        <w:ind w:left="424" w:hangingChars="201" w:hanging="424"/>
      </w:pPr>
      <w:r>
        <w:rPr>
          <w:rFonts w:hint="eastAsia"/>
        </w:rPr>
        <w:t>购销商品、提供和接受劳务的关联交易</w:t>
      </w:r>
    </w:p>
    <w:p w14:paraId="7C172B50" w14:textId="77777777" w:rsidR="005E000F" w:rsidRDefault="00000000">
      <w:r>
        <w:rPr>
          <w:rFonts w:hint="eastAsia"/>
        </w:rPr>
        <w:t>采购商品</w:t>
      </w:r>
      <w:r>
        <w:rPr>
          <w:rFonts w:hint="eastAsia"/>
        </w:rPr>
        <w:t>/</w:t>
      </w:r>
      <w:r>
        <w:rPr>
          <w:rFonts w:hint="eastAsia"/>
        </w:rPr>
        <w:t>接受劳务情况表</w:t>
      </w:r>
    </w:p>
    <w:sdt>
      <w:sdtPr>
        <w:alias w:val="是否适用：采购商品或接受劳务情况表[双击切换]"/>
        <w:tag w:val="_GBC_c080653feddc4cf2a468adfbb755dff3"/>
        <w:id w:val="848598992"/>
        <w:placeholder>
          <w:docPart w:val="GBC22222222222222222222222222222"/>
        </w:placeholder>
      </w:sdtPr>
      <w:sdtContent>
        <w:p w14:paraId="1FE5A37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7BCA209" w14:textId="77777777" w:rsidR="005E000F" w:rsidRDefault="00000000">
      <w:pPr>
        <w:pStyle w:val="aff8"/>
        <w:tabs>
          <w:tab w:val="left" w:pos="1178"/>
        </w:tabs>
        <w:spacing w:before="4"/>
        <w:ind w:firstLineChars="0" w:firstLine="0"/>
        <w:jc w:val="left"/>
        <w:rPr>
          <w:rFonts w:ascii="宋体"/>
        </w:rPr>
      </w:pPr>
      <w:r>
        <w:rPr>
          <w:rFonts w:ascii="宋体" w:hint="eastAsia"/>
          <w:spacing w:val="-2"/>
        </w:rPr>
        <w:t>（a）铁路运输服务</w:t>
      </w:r>
    </w:p>
    <w:p w14:paraId="2AA107A4" w14:textId="77777777" w:rsidR="005E000F" w:rsidRDefault="00000000">
      <w:pPr>
        <w:pStyle w:val="ad"/>
        <w:spacing w:before="3"/>
      </w:pPr>
      <w:r>
        <w:t>-</w:t>
      </w:r>
      <w:r>
        <w:t>路网服务支出</w:t>
      </w:r>
    </w:p>
    <w:p w14:paraId="7EAEE648" w14:textId="77777777" w:rsidR="005E000F" w:rsidRDefault="00000000">
      <w:pPr>
        <w:jc w:val="right"/>
        <w:rPr>
          <w:rFonts w:cs="Cambria"/>
          <w:b/>
          <w:bCs/>
        </w:rPr>
      </w:pPr>
      <w:r>
        <w:rPr>
          <w:rFonts w:cs="Cambria" w:hint="eastAsia"/>
        </w:rPr>
        <w:t>单位：</w:t>
      </w:r>
      <w:sdt>
        <w:sdtPr>
          <w:rPr>
            <w:rFonts w:cs="Cambria" w:hint="eastAsia"/>
          </w:rPr>
          <w:alias w:val="单位：采购商品接受劳务情况表"/>
          <w:tag w:val="_GBC_60c7e55aaf24447a8a860810d4064a69"/>
          <w:id w:val="162673834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rPr>
            <w:t>元</w:t>
          </w:r>
        </w:sdtContent>
      </w:sdt>
      <w:r>
        <w:rPr>
          <w:rFonts w:cs="Cambria" w:hint="eastAsia"/>
        </w:rPr>
        <w:t xml:space="preserve">  </w:t>
      </w:r>
      <w:r>
        <w:rPr>
          <w:rFonts w:cs="Cambria" w:hint="eastAsia"/>
        </w:rPr>
        <w:t>币种：</w:t>
      </w:r>
      <w:sdt>
        <w:sdtPr>
          <w:rPr>
            <w:rFonts w:cs="Cambria" w:hint="eastAsia"/>
          </w:rPr>
          <w:alias w:val="币种：采购商品接受劳务情况表"/>
          <w:tag w:val="_GBC_18feeecfa5c34459a62da7de5d6b5a90"/>
          <w:id w:val="126271829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rPr>
            <w:t>人民币</w:t>
          </w:r>
        </w:sdtContent>
      </w:sdt>
    </w:p>
    <w:tbl>
      <w:tblPr>
        <w:tblW w:w="4997"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87"/>
        <w:gridCol w:w="2289"/>
        <w:gridCol w:w="1984"/>
        <w:gridCol w:w="2384"/>
      </w:tblGrid>
      <w:tr w:rsidR="005E000F" w14:paraId="36D544B5" w14:textId="77777777">
        <w:trPr>
          <w:cantSplit/>
          <w:trHeight w:val="295"/>
        </w:trPr>
        <w:sdt>
          <w:sdtPr>
            <w:tag w:val="_PLD_ed4fd195f176464f83eb8db1dbcbc443"/>
            <w:id w:val="875436629"/>
          </w:sdtPr>
          <w:sdtContent>
            <w:tc>
              <w:tcPr>
                <w:tcW w:w="1319" w:type="pct"/>
                <w:tcBorders>
                  <w:top w:val="single" w:sz="4" w:space="0" w:color="auto"/>
                  <w:left w:val="single" w:sz="4" w:space="0" w:color="auto"/>
                  <w:bottom w:val="single" w:sz="4" w:space="0" w:color="auto"/>
                  <w:right w:val="single" w:sz="4" w:space="0" w:color="auto"/>
                </w:tcBorders>
                <w:vAlign w:val="center"/>
              </w:tcPr>
              <w:p w14:paraId="16C551D8" w14:textId="77777777" w:rsidR="005E000F" w:rsidRDefault="00000000">
                <w:pPr>
                  <w:jc w:val="center"/>
                  <w:rPr>
                    <w:rFonts w:cs="Cambria"/>
                  </w:rPr>
                </w:pPr>
                <w:r>
                  <w:rPr>
                    <w:rFonts w:cs="Cambria" w:hint="eastAsia"/>
                  </w:rPr>
                  <w:t>关联方</w:t>
                </w:r>
              </w:p>
            </w:tc>
          </w:sdtContent>
        </w:sdt>
        <w:sdt>
          <w:sdtPr>
            <w:tag w:val="_PLD_013e7578c973447da6bccdb1a3924d96"/>
            <w:id w:val="-2038727612"/>
          </w:sdtPr>
          <w:sdtContent>
            <w:tc>
              <w:tcPr>
                <w:tcW w:w="1265" w:type="pct"/>
                <w:tcBorders>
                  <w:top w:val="single" w:sz="4" w:space="0" w:color="auto"/>
                  <w:left w:val="single" w:sz="4" w:space="0" w:color="auto"/>
                  <w:bottom w:val="single" w:sz="4" w:space="0" w:color="auto"/>
                  <w:right w:val="single" w:sz="4" w:space="0" w:color="auto"/>
                </w:tcBorders>
                <w:vAlign w:val="center"/>
              </w:tcPr>
              <w:p w14:paraId="2AE17E59" w14:textId="77777777" w:rsidR="005E000F" w:rsidRDefault="00000000">
                <w:pPr>
                  <w:jc w:val="center"/>
                  <w:rPr>
                    <w:rFonts w:cs="Cambria"/>
                  </w:rPr>
                </w:pPr>
                <w:r>
                  <w:rPr>
                    <w:rFonts w:cs="Cambria" w:hint="eastAsia"/>
                  </w:rPr>
                  <w:t>关联交易内容</w:t>
                </w:r>
              </w:p>
            </w:tc>
          </w:sdtContent>
        </w:sdt>
        <w:sdt>
          <w:sdtPr>
            <w:tag w:val="_PLD_6b54e09a146a4c34bba286909831c05b"/>
            <w:id w:val="-1420555321"/>
          </w:sdtPr>
          <w:sdtContent>
            <w:tc>
              <w:tcPr>
                <w:tcW w:w="1097" w:type="pct"/>
                <w:tcBorders>
                  <w:top w:val="single" w:sz="4" w:space="0" w:color="auto"/>
                  <w:left w:val="single" w:sz="4" w:space="0" w:color="auto"/>
                  <w:right w:val="single" w:sz="4" w:space="0" w:color="auto"/>
                </w:tcBorders>
                <w:vAlign w:val="center"/>
              </w:tcPr>
              <w:p w14:paraId="27B8DC9F" w14:textId="77777777" w:rsidR="005E000F" w:rsidRDefault="00000000">
                <w:pPr>
                  <w:jc w:val="center"/>
                  <w:rPr>
                    <w:rFonts w:cs="Cambria"/>
                  </w:rPr>
                </w:pPr>
                <w:r>
                  <w:rPr>
                    <w:rFonts w:cs="Cambria" w:hint="eastAsia"/>
                  </w:rPr>
                  <w:t>本期发生额</w:t>
                </w:r>
              </w:p>
            </w:tc>
          </w:sdtContent>
        </w:sdt>
        <w:sdt>
          <w:sdtPr>
            <w:tag w:val="_PLD_9f856a67de3d45acbef7ccb12b35985d"/>
            <w:id w:val="-1395811478"/>
          </w:sdtPr>
          <w:sdtContent>
            <w:tc>
              <w:tcPr>
                <w:tcW w:w="1317" w:type="pct"/>
                <w:tcBorders>
                  <w:top w:val="single" w:sz="4" w:space="0" w:color="auto"/>
                  <w:left w:val="single" w:sz="4" w:space="0" w:color="auto"/>
                  <w:right w:val="single" w:sz="4" w:space="0" w:color="auto"/>
                </w:tcBorders>
                <w:vAlign w:val="center"/>
              </w:tcPr>
              <w:p w14:paraId="79F493C1" w14:textId="77777777" w:rsidR="005E000F" w:rsidRDefault="00000000">
                <w:pPr>
                  <w:jc w:val="center"/>
                  <w:rPr>
                    <w:rFonts w:cs="Cambria"/>
                  </w:rPr>
                </w:pPr>
                <w:r>
                  <w:rPr>
                    <w:rFonts w:cs="Cambria" w:hint="eastAsia"/>
                  </w:rPr>
                  <w:t>上期发生额</w:t>
                </w:r>
              </w:p>
            </w:tc>
          </w:sdtContent>
        </w:sdt>
      </w:tr>
      <w:tr w:rsidR="005E000F" w14:paraId="56329C3C" w14:textId="77777777">
        <w:trPr>
          <w:cantSplit/>
        </w:trPr>
        <w:tc>
          <w:tcPr>
            <w:tcW w:w="1319" w:type="pct"/>
            <w:tcBorders>
              <w:top w:val="single" w:sz="4" w:space="0" w:color="auto"/>
              <w:left w:val="single" w:sz="4" w:space="0" w:color="auto"/>
              <w:bottom w:val="single" w:sz="4" w:space="0" w:color="auto"/>
              <w:right w:val="single" w:sz="4" w:space="0" w:color="auto"/>
            </w:tcBorders>
          </w:tcPr>
          <w:p w14:paraId="2EB99551" w14:textId="77777777" w:rsidR="005E000F" w:rsidRDefault="00000000">
            <w:pPr>
              <w:rPr>
                <w:rFonts w:cs="宋体"/>
                <w:bCs/>
              </w:rPr>
            </w:pPr>
            <w:bookmarkStart w:id="411" w:name="_Hlk40536931"/>
            <w:r>
              <w:rPr>
                <w:rFonts w:cs="宋体" w:hint="eastAsia"/>
                <w:bCs/>
              </w:rPr>
              <w:t>国铁集团及其下属单位</w:t>
            </w:r>
          </w:p>
        </w:tc>
        <w:tc>
          <w:tcPr>
            <w:tcW w:w="1265" w:type="pct"/>
            <w:tcBorders>
              <w:top w:val="single" w:sz="4" w:space="0" w:color="auto"/>
              <w:left w:val="single" w:sz="4" w:space="0" w:color="auto"/>
              <w:bottom w:val="single" w:sz="4" w:space="0" w:color="auto"/>
              <w:right w:val="single" w:sz="4" w:space="0" w:color="auto"/>
            </w:tcBorders>
          </w:tcPr>
          <w:p w14:paraId="20A21BCB" w14:textId="77777777" w:rsidR="005E000F" w:rsidRDefault="00000000">
            <w:pPr>
              <w:rPr>
                <w:rFonts w:cs="宋体"/>
                <w:bCs/>
                <w:lang w:eastAsia="en-US"/>
              </w:rPr>
            </w:pPr>
            <w:r>
              <w:rPr>
                <w:rFonts w:cs="宋体" w:hint="eastAsia"/>
                <w:bCs/>
              </w:rPr>
              <w:t>线路使用费</w:t>
            </w:r>
          </w:p>
        </w:tc>
        <w:tc>
          <w:tcPr>
            <w:tcW w:w="1097" w:type="pct"/>
            <w:tcBorders>
              <w:top w:val="single" w:sz="4" w:space="0" w:color="auto"/>
              <w:left w:val="single" w:sz="4" w:space="0" w:color="auto"/>
              <w:bottom w:val="single" w:sz="4" w:space="0" w:color="auto"/>
              <w:right w:val="single" w:sz="4" w:space="0" w:color="auto"/>
            </w:tcBorders>
            <w:vAlign w:val="center"/>
          </w:tcPr>
          <w:p w14:paraId="06110CA6" w14:textId="77777777" w:rsidR="005E000F" w:rsidRDefault="00000000">
            <w:pPr>
              <w:jc w:val="right"/>
              <w:rPr>
                <w:rFonts w:cs="宋体"/>
                <w:bCs/>
              </w:rPr>
            </w:pPr>
            <w:r>
              <w:rPr>
                <w:rFonts w:cs="宋体"/>
                <w:bCs/>
              </w:rPr>
              <w:t>9,432,313,323</w:t>
            </w:r>
          </w:p>
        </w:tc>
        <w:tc>
          <w:tcPr>
            <w:tcW w:w="1317" w:type="pct"/>
            <w:tcBorders>
              <w:top w:val="single" w:sz="4" w:space="0" w:color="auto"/>
              <w:left w:val="single" w:sz="4" w:space="0" w:color="auto"/>
              <w:bottom w:val="single" w:sz="4" w:space="0" w:color="auto"/>
              <w:right w:val="single" w:sz="4" w:space="0" w:color="auto"/>
            </w:tcBorders>
          </w:tcPr>
          <w:p w14:paraId="571EDDDF" w14:textId="77777777" w:rsidR="005E000F" w:rsidRDefault="00000000">
            <w:pPr>
              <w:jc w:val="right"/>
              <w:rPr>
                <w:rFonts w:cs="宋体"/>
                <w:bCs/>
                <w:lang w:eastAsia="en-US"/>
              </w:rPr>
            </w:pPr>
            <w:r>
              <w:rPr>
                <w:rFonts w:cs="宋体"/>
                <w:bCs/>
              </w:rPr>
              <w:t>7,804,565,216</w:t>
            </w:r>
          </w:p>
        </w:tc>
      </w:tr>
      <w:tr w:rsidR="005E000F" w14:paraId="4979F7C1" w14:textId="77777777">
        <w:trPr>
          <w:cantSplit/>
        </w:trPr>
        <w:tc>
          <w:tcPr>
            <w:tcW w:w="1319" w:type="pct"/>
            <w:tcBorders>
              <w:top w:val="single" w:sz="4" w:space="0" w:color="auto"/>
              <w:left w:val="single" w:sz="4" w:space="0" w:color="auto"/>
              <w:bottom w:val="single" w:sz="4" w:space="0" w:color="auto"/>
              <w:right w:val="single" w:sz="4" w:space="0" w:color="auto"/>
            </w:tcBorders>
          </w:tcPr>
          <w:p w14:paraId="6EA09D09" w14:textId="77777777" w:rsidR="005E000F" w:rsidRDefault="00000000">
            <w:pPr>
              <w:rPr>
                <w:rFonts w:cs="宋体"/>
                <w:bCs/>
              </w:rPr>
            </w:pPr>
            <w:r>
              <w:rPr>
                <w:rFonts w:cs="宋体" w:hint="eastAsia"/>
                <w:bCs/>
              </w:rPr>
              <w:t>国铁集团及其下属单位</w:t>
            </w:r>
          </w:p>
        </w:tc>
        <w:tc>
          <w:tcPr>
            <w:tcW w:w="1265" w:type="pct"/>
            <w:tcBorders>
              <w:top w:val="single" w:sz="4" w:space="0" w:color="auto"/>
              <w:left w:val="single" w:sz="4" w:space="0" w:color="auto"/>
              <w:bottom w:val="single" w:sz="4" w:space="0" w:color="auto"/>
              <w:right w:val="single" w:sz="4" w:space="0" w:color="auto"/>
            </w:tcBorders>
          </w:tcPr>
          <w:p w14:paraId="22B54A0C" w14:textId="77777777" w:rsidR="005E000F" w:rsidRDefault="00000000">
            <w:pPr>
              <w:rPr>
                <w:rFonts w:cs="宋体"/>
                <w:bCs/>
                <w:lang w:eastAsia="en-US"/>
              </w:rPr>
            </w:pPr>
            <w:r>
              <w:rPr>
                <w:rFonts w:cs="宋体" w:hint="eastAsia"/>
                <w:bCs/>
              </w:rPr>
              <w:t>机车牵引费</w:t>
            </w:r>
          </w:p>
        </w:tc>
        <w:tc>
          <w:tcPr>
            <w:tcW w:w="1097" w:type="pct"/>
            <w:tcBorders>
              <w:top w:val="single" w:sz="4" w:space="0" w:color="auto"/>
              <w:left w:val="single" w:sz="4" w:space="0" w:color="auto"/>
              <w:bottom w:val="single" w:sz="4" w:space="0" w:color="auto"/>
              <w:right w:val="single" w:sz="4" w:space="0" w:color="auto"/>
            </w:tcBorders>
            <w:vAlign w:val="center"/>
          </w:tcPr>
          <w:p w14:paraId="1FE677DE" w14:textId="77777777" w:rsidR="005E000F" w:rsidRDefault="00000000">
            <w:pPr>
              <w:jc w:val="right"/>
              <w:rPr>
                <w:rFonts w:cs="宋体"/>
                <w:bCs/>
              </w:rPr>
            </w:pPr>
            <w:r>
              <w:rPr>
                <w:rFonts w:cs="宋体"/>
                <w:bCs/>
              </w:rPr>
              <w:t>5,415,698,911</w:t>
            </w:r>
          </w:p>
        </w:tc>
        <w:tc>
          <w:tcPr>
            <w:tcW w:w="1317" w:type="pct"/>
            <w:tcBorders>
              <w:top w:val="single" w:sz="4" w:space="0" w:color="auto"/>
              <w:left w:val="single" w:sz="4" w:space="0" w:color="auto"/>
              <w:bottom w:val="single" w:sz="4" w:space="0" w:color="auto"/>
              <w:right w:val="single" w:sz="4" w:space="0" w:color="auto"/>
            </w:tcBorders>
          </w:tcPr>
          <w:p w14:paraId="67913A64" w14:textId="77777777" w:rsidR="005E000F" w:rsidRDefault="00000000">
            <w:pPr>
              <w:jc w:val="right"/>
              <w:rPr>
                <w:rFonts w:cs="宋体"/>
                <w:bCs/>
                <w:lang w:eastAsia="en-US"/>
              </w:rPr>
            </w:pPr>
            <w:r>
              <w:rPr>
                <w:rFonts w:cs="宋体"/>
                <w:bCs/>
              </w:rPr>
              <w:t>4,369,740,383</w:t>
            </w:r>
          </w:p>
        </w:tc>
      </w:tr>
      <w:tr w:rsidR="005E000F" w14:paraId="7507D55A" w14:textId="77777777">
        <w:trPr>
          <w:cantSplit/>
        </w:trPr>
        <w:tc>
          <w:tcPr>
            <w:tcW w:w="1319" w:type="pct"/>
            <w:tcBorders>
              <w:top w:val="single" w:sz="4" w:space="0" w:color="auto"/>
              <w:left w:val="single" w:sz="4" w:space="0" w:color="auto"/>
              <w:bottom w:val="single" w:sz="4" w:space="0" w:color="auto"/>
              <w:right w:val="single" w:sz="4" w:space="0" w:color="auto"/>
            </w:tcBorders>
          </w:tcPr>
          <w:p w14:paraId="67227064" w14:textId="77777777" w:rsidR="005E000F" w:rsidRDefault="00000000">
            <w:pPr>
              <w:rPr>
                <w:rFonts w:cs="宋体"/>
                <w:bCs/>
              </w:rPr>
            </w:pPr>
            <w:r>
              <w:rPr>
                <w:rFonts w:cs="宋体" w:hint="eastAsia"/>
                <w:bCs/>
              </w:rPr>
              <w:t>国铁集团及其下属单位</w:t>
            </w:r>
          </w:p>
        </w:tc>
        <w:tc>
          <w:tcPr>
            <w:tcW w:w="1265" w:type="pct"/>
            <w:tcBorders>
              <w:top w:val="single" w:sz="4" w:space="0" w:color="auto"/>
              <w:left w:val="single" w:sz="4" w:space="0" w:color="auto"/>
              <w:bottom w:val="single" w:sz="4" w:space="0" w:color="auto"/>
              <w:right w:val="single" w:sz="4" w:space="0" w:color="auto"/>
            </w:tcBorders>
          </w:tcPr>
          <w:p w14:paraId="2F3E9EE5" w14:textId="77777777" w:rsidR="005E000F" w:rsidRDefault="00000000">
            <w:pPr>
              <w:rPr>
                <w:rFonts w:cs="宋体"/>
                <w:bCs/>
                <w:lang w:eastAsia="en-US"/>
              </w:rPr>
            </w:pPr>
            <w:r>
              <w:rPr>
                <w:rFonts w:cs="宋体" w:hint="eastAsia"/>
                <w:bCs/>
              </w:rPr>
              <w:t>接触网使用费</w:t>
            </w:r>
          </w:p>
        </w:tc>
        <w:tc>
          <w:tcPr>
            <w:tcW w:w="1097" w:type="pct"/>
            <w:tcBorders>
              <w:top w:val="single" w:sz="4" w:space="0" w:color="auto"/>
              <w:left w:val="single" w:sz="4" w:space="0" w:color="auto"/>
              <w:bottom w:val="single" w:sz="4" w:space="0" w:color="auto"/>
              <w:right w:val="single" w:sz="4" w:space="0" w:color="auto"/>
            </w:tcBorders>
            <w:vAlign w:val="center"/>
          </w:tcPr>
          <w:p w14:paraId="1062869E" w14:textId="77777777" w:rsidR="005E000F" w:rsidRDefault="00000000">
            <w:pPr>
              <w:jc w:val="right"/>
              <w:rPr>
                <w:rFonts w:cs="宋体"/>
                <w:bCs/>
              </w:rPr>
            </w:pPr>
            <w:r>
              <w:rPr>
                <w:rFonts w:cs="宋体"/>
                <w:bCs/>
              </w:rPr>
              <w:t>1,955,914,397</w:t>
            </w:r>
          </w:p>
        </w:tc>
        <w:tc>
          <w:tcPr>
            <w:tcW w:w="1317" w:type="pct"/>
            <w:tcBorders>
              <w:top w:val="single" w:sz="4" w:space="0" w:color="auto"/>
              <w:left w:val="single" w:sz="4" w:space="0" w:color="auto"/>
              <w:bottom w:val="single" w:sz="4" w:space="0" w:color="auto"/>
              <w:right w:val="single" w:sz="4" w:space="0" w:color="auto"/>
            </w:tcBorders>
          </w:tcPr>
          <w:p w14:paraId="2ED3238E" w14:textId="77777777" w:rsidR="005E000F" w:rsidRDefault="00000000">
            <w:pPr>
              <w:jc w:val="right"/>
              <w:rPr>
                <w:rFonts w:cs="宋体"/>
                <w:bCs/>
                <w:lang w:eastAsia="en-US"/>
              </w:rPr>
            </w:pPr>
            <w:r>
              <w:rPr>
                <w:rFonts w:cs="宋体"/>
                <w:bCs/>
              </w:rPr>
              <w:t>1,945,540,554</w:t>
            </w:r>
          </w:p>
        </w:tc>
      </w:tr>
      <w:tr w:rsidR="005E000F" w14:paraId="2A90F6F5" w14:textId="77777777">
        <w:trPr>
          <w:cantSplit/>
        </w:trPr>
        <w:tc>
          <w:tcPr>
            <w:tcW w:w="1319" w:type="pct"/>
            <w:tcBorders>
              <w:top w:val="single" w:sz="4" w:space="0" w:color="auto"/>
              <w:left w:val="single" w:sz="4" w:space="0" w:color="auto"/>
              <w:bottom w:val="single" w:sz="4" w:space="0" w:color="auto"/>
              <w:right w:val="single" w:sz="4" w:space="0" w:color="auto"/>
            </w:tcBorders>
          </w:tcPr>
          <w:p w14:paraId="4890C492" w14:textId="77777777" w:rsidR="005E000F" w:rsidRDefault="00000000">
            <w:pPr>
              <w:rPr>
                <w:rFonts w:cs="宋体"/>
                <w:bCs/>
              </w:rPr>
            </w:pPr>
            <w:r>
              <w:rPr>
                <w:rFonts w:cs="宋体" w:hint="eastAsia"/>
                <w:bCs/>
              </w:rPr>
              <w:t>国铁集团及其下属单位</w:t>
            </w:r>
          </w:p>
        </w:tc>
        <w:tc>
          <w:tcPr>
            <w:tcW w:w="1265" w:type="pct"/>
            <w:tcBorders>
              <w:top w:val="single" w:sz="4" w:space="0" w:color="auto"/>
              <w:left w:val="single" w:sz="4" w:space="0" w:color="auto"/>
              <w:bottom w:val="single" w:sz="4" w:space="0" w:color="auto"/>
              <w:right w:val="single" w:sz="4" w:space="0" w:color="auto"/>
            </w:tcBorders>
          </w:tcPr>
          <w:p w14:paraId="74D1FE03" w14:textId="77777777" w:rsidR="005E000F" w:rsidRDefault="00000000">
            <w:pPr>
              <w:rPr>
                <w:rFonts w:cs="宋体"/>
                <w:bCs/>
                <w:lang w:eastAsia="en-US"/>
              </w:rPr>
            </w:pPr>
            <w:r>
              <w:rPr>
                <w:rFonts w:cs="宋体" w:hint="eastAsia"/>
                <w:bCs/>
              </w:rPr>
              <w:t>到达作业服务费</w:t>
            </w:r>
          </w:p>
        </w:tc>
        <w:tc>
          <w:tcPr>
            <w:tcW w:w="1097" w:type="pct"/>
            <w:tcBorders>
              <w:top w:val="single" w:sz="4" w:space="0" w:color="auto"/>
              <w:left w:val="single" w:sz="4" w:space="0" w:color="auto"/>
              <w:bottom w:val="single" w:sz="4" w:space="0" w:color="auto"/>
              <w:right w:val="single" w:sz="4" w:space="0" w:color="auto"/>
            </w:tcBorders>
            <w:vAlign w:val="center"/>
          </w:tcPr>
          <w:p w14:paraId="370AA54A" w14:textId="77777777" w:rsidR="005E000F" w:rsidRDefault="00000000">
            <w:pPr>
              <w:jc w:val="right"/>
              <w:rPr>
                <w:rFonts w:cs="宋体"/>
                <w:bCs/>
              </w:rPr>
            </w:pPr>
            <w:r>
              <w:rPr>
                <w:rFonts w:cs="宋体"/>
                <w:bCs/>
              </w:rPr>
              <w:t>1,163,742,264</w:t>
            </w:r>
          </w:p>
        </w:tc>
        <w:tc>
          <w:tcPr>
            <w:tcW w:w="1317" w:type="pct"/>
            <w:tcBorders>
              <w:top w:val="single" w:sz="4" w:space="0" w:color="auto"/>
              <w:left w:val="single" w:sz="4" w:space="0" w:color="auto"/>
              <w:bottom w:val="single" w:sz="4" w:space="0" w:color="auto"/>
              <w:right w:val="single" w:sz="4" w:space="0" w:color="auto"/>
            </w:tcBorders>
          </w:tcPr>
          <w:p w14:paraId="2E73C673" w14:textId="77777777" w:rsidR="005E000F" w:rsidRDefault="00000000">
            <w:pPr>
              <w:jc w:val="right"/>
              <w:rPr>
                <w:rFonts w:cs="宋体"/>
                <w:bCs/>
                <w:lang w:eastAsia="en-US"/>
              </w:rPr>
            </w:pPr>
            <w:r>
              <w:rPr>
                <w:rFonts w:cs="宋体"/>
                <w:bCs/>
              </w:rPr>
              <w:t>1,156,813,244</w:t>
            </w:r>
          </w:p>
        </w:tc>
      </w:tr>
      <w:tr w:rsidR="005E000F" w14:paraId="0C262B18" w14:textId="77777777">
        <w:trPr>
          <w:cantSplit/>
        </w:trPr>
        <w:tc>
          <w:tcPr>
            <w:tcW w:w="1319" w:type="pct"/>
            <w:tcBorders>
              <w:top w:val="single" w:sz="4" w:space="0" w:color="auto"/>
              <w:left w:val="single" w:sz="4" w:space="0" w:color="auto"/>
              <w:bottom w:val="single" w:sz="4" w:space="0" w:color="auto"/>
              <w:right w:val="single" w:sz="4" w:space="0" w:color="auto"/>
            </w:tcBorders>
          </w:tcPr>
          <w:p w14:paraId="165ECBEE" w14:textId="77777777" w:rsidR="005E000F" w:rsidRDefault="00000000">
            <w:pPr>
              <w:rPr>
                <w:rFonts w:cs="宋体"/>
                <w:bCs/>
              </w:rPr>
            </w:pPr>
            <w:r>
              <w:rPr>
                <w:rFonts w:cs="宋体" w:hint="eastAsia"/>
                <w:bCs/>
              </w:rPr>
              <w:lastRenderedPageBreak/>
              <w:t>国铁集团及其下属单位</w:t>
            </w:r>
          </w:p>
        </w:tc>
        <w:tc>
          <w:tcPr>
            <w:tcW w:w="1265" w:type="pct"/>
            <w:tcBorders>
              <w:top w:val="single" w:sz="4" w:space="0" w:color="auto"/>
              <w:left w:val="single" w:sz="4" w:space="0" w:color="auto"/>
              <w:bottom w:val="single" w:sz="4" w:space="0" w:color="auto"/>
              <w:right w:val="single" w:sz="4" w:space="0" w:color="auto"/>
            </w:tcBorders>
          </w:tcPr>
          <w:p w14:paraId="4DC22268" w14:textId="77777777" w:rsidR="005E000F" w:rsidRDefault="00000000">
            <w:pPr>
              <w:rPr>
                <w:rFonts w:cs="宋体"/>
                <w:bCs/>
                <w:lang w:eastAsia="en-US"/>
              </w:rPr>
            </w:pPr>
            <w:r>
              <w:rPr>
                <w:rFonts w:cs="宋体" w:hint="eastAsia"/>
                <w:bCs/>
              </w:rPr>
              <w:t>车辆服务费</w:t>
            </w:r>
          </w:p>
        </w:tc>
        <w:tc>
          <w:tcPr>
            <w:tcW w:w="1097" w:type="pct"/>
            <w:tcBorders>
              <w:top w:val="single" w:sz="4" w:space="0" w:color="auto"/>
              <w:left w:val="single" w:sz="4" w:space="0" w:color="auto"/>
              <w:bottom w:val="single" w:sz="4" w:space="0" w:color="auto"/>
              <w:right w:val="single" w:sz="4" w:space="0" w:color="auto"/>
            </w:tcBorders>
            <w:vAlign w:val="center"/>
          </w:tcPr>
          <w:p w14:paraId="2BAECB6C" w14:textId="77777777" w:rsidR="005E000F" w:rsidRDefault="00000000">
            <w:pPr>
              <w:jc w:val="right"/>
              <w:rPr>
                <w:rFonts w:cs="宋体"/>
                <w:bCs/>
              </w:rPr>
            </w:pPr>
            <w:r>
              <w:rPr>
                <w:rFonts w:cs="宋体"/>
                <w:bCs/>
              </w:rPr>
              <w:t>2,005,475,304</w:t>
            </w:r>
          </w:p>
        </w:tc>
        <w:tc>
          <w:tcPr>
            <w:tcW w:w="1317" w:type="pct"/>
            <w:tcBorders>
              <w:top w:val="single" w:sz="4" w:space="0" w:color="auto"/>
              <w:left w:val="single" w:sz="4" w:space="0" w:color="auto"/>
              <w:bottom w:val="single" w:sz="4" w:space="0" w:color="auto"/>
              <w:right w:val="single" w:sz="4" w:space="0" w:color="auto"/>
            </w:tcBorders>
          </w:tcPr>
          <w:p w14:paraId="6BBEA754" w14:textId="77777777" w:rsidR="005E000F" w:rsidRDefault="00000000">
            <w:pPr>
              <w:jc w:val="right"/>
              <w:rPr>
                <w:rFonts w:cs="宋体"/>
                <w:bCs/>
                <w:lang w:eastAsia="en-US"/>
              </w:rPr>
            </w:pPr>
            <w:r>
              <w:rPr>
                <w:rFonts w:cs="宋体"/>
                <w:bCs/>
              </w:rPr>
              <w:t>1,805,950,642</w:t>
            </w:r>
          </w:p>
        </w:tc>
      </w:tr>
      <w:tr w:rsidR="005E000F" w14:paraId="3617D5F9" w14:textId="77777777">
        <w:trPr>
          <w:cantSplit/>
        </w:trPr>
        <w:tc>
          <w:tcPr>
            <w:tcW w:w="1319" w:type="pct"/>
            <w:tcBorders>
              <w:top w:val="single" w:sz="4" w:space="0" w:color="auto"/>
              <w:left w:val="single" w:sz="4" w:space="0" w:color="auto"/>
              <w:bottom w:val="single" w:sz="4" w:space="0" w:color="auto"/>
              <w:right w:val="single" w:sz="4" w:space="0" w:color="auto"/>
            </w:tcBorders>
          </w:tcPr>
          <w:p w14:paraId="2F4FE8A6" w14:textId="77777777" w:rsidR="005E000F" w:rsidRDefault="00000000">
            <w:pPr>
              <w:rPr>
                <w:rFonts w:cs="宋体"/>
                <w:bCs/>
              </w:rPr>
            </w:pPr>
            <w:r>
              <w:rPr>
                <w:rFonts w:cs="宋体" w:hint="eastAsia"/>
                <w:bCs/>
              </w:rPr>
              <w:t>国铁集团及其下属单位</w:t>
            </w:r>
          </w:p>
        </w:tc>
        <w:tc>
          <w:tcPr>
            <w:tcW w:w="1265" w:type="pct"/>
            <w:tcBorders>
              <w:top w:val="single" w:sz="4" w:space="0" w:color="auto"/>
              <w:left w:val="single" w:sz="4" w:space="0" w:color="auto"/>
              <w:bottom w:val="single" w:sz="4" w:space="0" w:color="auto"/>
              <w:right w:val="single" w:sz="4" w:space="0" w:color="auto"/>
            </w:tcBorders>
          </w:tcPr>
          <w:p w14:paraId="279CF33C" w14:textId="77777777" w:rsidR="005E000F" w:rsidRDefault="00000000">
            <w:pPr>
              <w:rPr>
                <w:rFonts w:cs="宋体"/>
                <w:bCs/>
                <w:lang w:eastAsia="en-US"/>
              </w:rPr>
            </w:pPr>
            <w:r>
              <w:rPr>
                <w:rFonts w:cs="宋体" w:hint="eastAsia"/>
                <w:bCs/>
              </w:rPr>
              <w:t>综合服务费</w:t>
            </w:r>
          </w:p>
        </w:tc>
        <w:tc>
          <w:tcPr>
            <w:tcW w:w="1097" w:type="pct"/>
            <w:tcBorders>
              <w:top w:val="single" w:sz="4" w:space="0" w:color="auto"/>
              <w:left w:val="single" w:sz="4" w:space="0" w:color="auto"/>
              <w:bottom w:val="single" w:sz="4" w:space="0" w:color="auto"/>
              <w:right w:val="single" w:sz="4" w:space="0" w:color="auto"/>
            </w:tcBorders>
            <w:vAlign w:val="center"/>
          </w:tcPr>
          <w:p w14:paraId="4B2C10D9" w14:textId="77777777" w:rsidR="005E000F" w:rsidRDefault="00000000">
            <w:pPr>
              <w:jc w:val="right"/>
              <w:rPr>
                <w:rFonts w:cs="宋体"/>
                <w:bCs/>
              </w:rPr>
            </w:pPr>
            <w:r>
              <w:rPr>
                <w:rFonts w:cs="宋体"/>
                <w:bCs/>
              </w:rPr>
              <w:t>3,509,544,483</w:t>
            </w:r>
          </w:p>
        </w:tc>
        <w:tc>
          <w:tcPr>
            <w:tcW w:w="1317" w:type="pct"/>
            <w:tcBorders>
              <w:top w:val="single" w:sz="4" w:space="0" w:color="auto"/>
              <w:left w:val="single" w:sz="4" w:space="0" w:color="auto"/>
              <w:bottom w:val="single" w:sz="4" w:space="0" w:color="auto"/>
              <w:right w:val="single" w:sz="4" w:space="0" w:color="auto"/>
            </w:tcBorders>
          </w:tcPr>
          <w:p w14:paraId="748F3CAE" w14:textId="77777777" w:rsidR="005E000F" w:rsidRDefault="00000000">
            <w:pPr>
              <w:jc w:val="right"/>
              <w:rPr>
                <w:rFonts w:cs="宋体"/>
                <w:bCs/>
                <w:lang w:eastAsia="en-US"/>
              </w:rPr>
            </w:pPr>
            <w:r>
              <w:rPr>
                <w:rFonts w:cs="宋体"/>
                <w:bCs/>
              </w:rPr>
              <w:t>3,467,533,004</w:t>
            </w:r>
          </w:p>
        </w:tc>
      </w:tr>
      <w:tr w:rsidR="005E000F" w14:paraId="21DF8B72" w14:textId="77777777">
        <w:trPr>
          <w:cantSplit/>
        </w:trPr>
        <w:tc>
          <w:tcPr>
            <w:tcW w:w="1319" w:type="pct"/>
            <w:tcBorders>
              <w:top w:val="single" w:sz="4" w:space="0" w:color="auto"/>
              <w:left w:val="single" w:sz="4" w:space="0" w:color="auto"/>
              <w:bottom w:val="single" w:sz="4" w:space="0" w:color="auto"/>
              <w:right w:val="single" w:sz="4" w:space="0" w:color="auto"/>
            </w:tcBorders>
          </w:tcPr>
          <w:p w14:paraId="4B78878D" w14:textId="77777777" w:rsidR="005E000F" w:rsidRDefault="00000000">
            <w:pPr>
              <w:rPr>
                <w:rFonts w:cs="宋体"/>
                <w:bCs/>
              </w:rPr>
            </w:pPr>
            <w:r>
              <w:rPr>
                <w:rFonts w:cs="宋体" w:hint="eastAsia"/>
                <w:bCs/>
              </w:rPr>
              <w:t>国铁集团及其下属单位</w:t>
            </w:r>
          </w:p>
        </w:tc>
        <w:tc>
          <w:tcPr>
            <w:tcW w:w="1265" w:type="pct"/>
            <w:tcBorders>
              <w:top w:val="single" w:sz="4" w:space="0" w:color="auto"/>
              <w:left w:val="single" w:sz="4" w:space="0" w:color="auto"/>
              <w:bottom w:val="single" w:sz="4" w:space="0" w:color="auto"/>
              <w:right w:val="single" w:sz="4" w:space="0" w:color="auto"/>
            </w:tcBorders>
          </w:tcPr>
          <w:p w14:paraId="69F4FABF" w14:textId="77777777" w:rsidR="005E000F" w:rsidRDefault="00000000">
            <w:pPr>
              <w:rPr>
                <w:rFonts w:cs="宋体"/>
                <w:bCs/>
                <w:lang w:eastAsia="en-US"/>
              </w:rPr>
            </w:pPr>
            <w:r>
              <w:rPr>
                <w:rFonts w:cs="宋体" w:hint="eastAsia"/>
                <w:bCs/>
              </w:rPr>
              <w:t>其他服务费支出</w:t>
            </w:r>
          </w:p>
        </w:tc>
        <w:tc>
          <w:tcPr>
            <w:tcW w:w="1097" w:type="pct"/>
            <w:tcBorders>
              <w:top w:val="single" w:sz="4" w:space="0" w:color="auto"/>
              <w:left w:val="single" w:sz="4" w:space="0" w:color="auto"/>
              <w:bottom w:val="single" w:sz="4" w:space="0" w:color="auto"/>
              <w:right w:val="single" w:sz="4" w:space="0" w:color="auto"/>
            </w:tcBorders>
            <w:vAlign w:val="center"/>
          </w:tcPr>
          <w:p w14:paraId="76445902" w14:textId="77777777" w:rsidR="005E000F" w:rsidRDefault="00000000">
            <w:pPr>
              <w:jc w:val="right"/>
              <w:rPr>
                <w:rFonts w:cs="宋体"/>
                <w:bCs/>
              </w:rPr>
            </w:pPr>
            <w:r>
              <w:rPr>
                <w:rFonts w:cs="宋体"/>
                <w:bCs/>
              </w:rPr>
              <w:t>1,508,328,984</w:t>
            </w:r>
          </w:p>
        </w:tc>
        <w:tc>
          <w:tcPr>
            <w:tcW w:w="1317" w:type="pct"/>
            <w:tcBorders>
              <w:top w:val="single" w:sz="4" w:space="0" w:color="auto"/>
              <w:left w:val="single" w:sz="4" w:space="0" w:color="auto"/>
              <w:bottom w:val="single" w:sz="4" w:space="0" w:color="auto"/>
              <w:right w:val="single" w:sz="4" w:space="0" w:color="auto"/>
            </w:tcBorders>
          </w:tcPr>
          <w:p w14:paraId="3717A9F2" w14:textId="77777777" w:rsidR="005E000F" w:rsidRDefault="00000000">
            <w:pPr>
              <w:jc w:val="right"/>
              <w:rPr>
                <w:rFonts w:cs="宋体"/>
                <w:bCs/>
                <w:lang w:eastAsia="en-US"/>
              </w:rPr>
            </w:pPr>
            <w:r>
              <w:rPr>
                <w:rFonts w:cs="宋体"/>
                <w:bCs/>
              </w:rPr>
              <w:t>501,665,055</w:t>
            </w:r>
          </w:p>
        </w:tc>
      </w:tr>
    </w:tbl>
    <w:p w14:paraId="17F568C9" w14:textId="77777777" w:rsidR="005E000F" w:rsidRDefault="005E000F">
      <w:pPr>
        <w:pStyle w:val="ad"/>
        <w:spacing w:before="71"/>
      </w:pPr>
    </w:p>
    <w:p w14:paraId="3CC1AEBA" w14:textId="77777777" w:rsidR="005E000F" w:rsidRDefault="00000000">
      <w:pPr>
        <w:pStyle w:val="ad"/>
        <w:spacing w:before="71"/>
      </w:pPr>
      <w:r>
        <w:t>-</w:t>
      </w:r>
      <w:r>
        <w:t>铁路基础设施及运输设备租赁、使用</w:t>
      </w:r>
    </w:p>
    <w:p w14:paraId="6D58E8E3" w14:textId="77777777" w:rsidR="005E000F" w:rsidRDefault="00000000">
      <w:pPr>
        <w:pStyle w:val="ad"/>
        <w:spacing w:before="71"/>
        <w:jc w:val="right"/>
      </w:pPr>
      <w:r>
        <w:rPr>
          <w:rFonts w:cs="Cambria" w:hint="eastAsia"/>
        </w:rPr>
        <w:t>单位：</w:t>
      </w:r>
      <w:sdt>
        <w:sdtPr>
          <w:rPr>
            <w:rFonts w:cs="Cambria" w:hint="eastAsia"/>
          </w:rPr>
          <w:alias w:val="单位：采购商品接受劳务情况表"/>
          <w:tag w:val="_GBC_60c7e55aaf24447a8a860810d4064a69"/>
          <w:id w:val="147453032"/>
          <w:placeholder>
            <w:docPart w:val="{a0007de6-8164-4d54-9b1f-db6b9daffca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rPr>
            <w:t>元</w:t>
          </w:r>
        </w:sdtContent>
      </w:sdt>
      <w:r>
        <w:rPr>
          <w:rFonts w:cs="Cambria" w:hint="eastAsia"/>
        </w:rPr>
        <w:t xml:space="preserve">  </w:t>
      </w:r>
      <w:r>
        <w:rPr>
          <w:rFonts w:cs="Cambria" w:hint="eastAsia"/>
        </w:rPr>
        <w:t>币种：</w:t>
      </w:r>
      <w:sdt>
        <w:sdtPr>
          <w:rPr>
            <w:rFonts w:cs="Cambria" w:hint="eastAsia"/>
          </w:rPr>
          <w:alias w:val="币种：采购商品接受劳务情况表"/>
          <w:tag w:val="_GBC_18feeecfa5c34459a62da7de5d6b5a90"/>
          <w:id w:val="147473366"/>
          <w:placeholder>
            <w:docPart w:val="{a0007de6-8164-4d54-9b1f-db6b9daffca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rPr>
            <w:t>人民币</w:t>
          </w:r>
        </w:sdtContent>
      </w:sdt>
    </w:p>
    <w:tbl>
      <w:tblPr>
        <w:tblW w:w="4998"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22"/>
        <w:gridCol w:w="2441"/>
        <w:gridCol w:w="2093"/>
        <w:gridCol w:w="2189"/>
      </w:tblGrid>
      <w:tr w:rsidR="005E000F" w14:paraId="336C488E" w14:textId="77777777">
        <w:trPr>
          <w:cantSplit/>
          <w:trHeight w:val="295"/>
        </w:trPr>
        <w:sdt>
          <w:sdtPr>
            <w:tag w:val="_PLD_ed4fd195f176464f83eb8db1dbcbc443"/>
            <w:id w:val="147452691"/>
          </w:sdtPr>
          <w:sdtContent>
            <w:tc>
              <w:tcPr>
                <w:tcW w:w="1283" w:type="pct"/>
                <w:tcBorders>
                  <w:top w:val="single" w:sz="4" w:space="0" w:color="auto"/>
                  <w:left w:val="single" w:sz="4" w:space="0" w:color="auto"/>
                  <w:bottom w:val="single" w:sz="4" w:space="0" w:color="auto"/>
                  <w:right w:val="single" w:sz="4" w:space="0" w:color="auto"/>
                </w:tcBorders>
                <w:vAlign w:val="center"/>
              </w:tcPr>
              <w:p w14:paraId="06EB4C12" w14:textId="77777777" w:rsidR="005E000F" w:rsidRDefault="00000000">
                <w:pPr>
                  <w:jc w:val="center"/>
                  <w:rPr>
                    <w:rFonts w:cs="Cambria"/>
                  </w:rPr>
                </w:pPr>
                <w:r>
                  <w:rPr>
                    <w:rFonts w:cs="Cambria" w:hint="eastAsia"/>
                  </w:rPr>
                  <w:t>关联方</w:t>
                </w:r>
              </w:p>
            </w:tc>
          </w:sdtContent>
        </w:sdt>
        <w:sdt>
          <w:sdtPr>
            <w:tag w:val="_PLD_013e7578c973447da6bccdb1a3924d96"/>
            <w:id w:val="147453406"/>
          </w:sdtPr>
          <w:sdtContent>
            <w:tc>
              <w:tcPr>
                <w:tcW w:w="1349" w:type="pct"/>
                <w:tcBorders>
                  <w:top w:val="single" w:sz="4" w:space="0" w:color="auto"/>
                  <w:left w:val="single" w:sz="4" w:space="0" w:color="auto"/>
                  <w:bottom w:val="single" w:sz="4" w:space="0" w:color="auto"/>
                  <w:right w:val="single" w:sz="4" w:space="0" w:color="auto"/>
                </w:tcBorders>
                <w:vAlign w:val="center"/>
              </w:tcPr>
              <w:p w14:paraId="0BD20EE8" w14:textId="77777777" w:rsidR="005E000F" w:rsidRDefault="00000000">
                <w:pPr>
                  <w:jc w:val="center"/>
                  <w:rPr>
                    <w:rFonts w:cs="Cambria"/>
                  </w:rPr>
                </w:pPr>
                <w:r>
                  <w:rPr>
                    <w:rFonts w:cs="Cambria" w:hint="eastAsia"/>
                  </w:rPr>
                  <w:t>关联交易内容</w:t>
                </w:r>
              </w:p>
            </w:tc>
          </w:sdtContent>
        </w:sdt>
        <w:sdt>
          <w:sdtPr>
            <w:tag w:val="_PLD_6b54e09a146a4c34bba286909831c05b"/>
            <w:id w:val="147458279"/>
          </w:sdtPr>
          <w:sdtContent>
            <w:tc>
              <w:tcPr>
                <w:tcW w:w="1156" w:type="pct"/>
                <w:tcBorders>
                  <w:top w:val="single" w:sz="4" w:space="0" w:color="auto"/>
                  <w:left w:val="single" w:sz="4" w:space="0" w:color="auto"/>
                  <w:right w:val="single" w:sz="4" w:space="0" w:color="auto"/>
                </w:tcBorders>
                <w:vAlign w:val="center"/>
              </w:tcPr>
              <w:p w14:paraId="14928EE2" w14:textId="77777777" w:rsidR="005E000F" w:rsidRDefault="00000000">
                <w:pPr>
                  <w:jc w:val="center"/>
                  <w:rPr>
                    <w:rFonts w:cs="Cambria"/>
                  </w:rPr>
                </w:pPr>
                <w:r>
                  <w:rPr>
                    <w:rFonts w:cs="Cambria" w:hint="eastAsia"/>
                  </w:rPr>
                  <w:t>本期发生额</w:t>
                </w:r>
              </w:p>
            </w:tc>
          </w:sdtContent>
        </w:sdt>
        <w:sdt>
          <w:sdtPr>
            <w:tag w:val="_PLD_9f856a67de3d45acbef7ccb12b35985d"/>
            <w:id w:val="147464733"/>
          </w:sdtPr>
          <w:sdtContent>
            <w:tc>
              <w:tcPr>
                <w:tcW w:w="1209" w:type="pct"/>
                <w:tcBorders>
                  <w:top w:val="single" w:sz="4" w:space="0" w:color="auto"/>
                  <w:left w:val="single" w:sz="4" w:space="0" w:color="auto"/>
                  <w:right w:val="single" w:sz="4" w:space="0" w:color="auto"/>
                </w:tcBorders>
                <w:vAlign w:val="center"/>
              </w:tcPr>
              <w:p w14:paraId="55803B35" w14:textId="77777777" w:rsidR="005E000F" w:rsidRDefault="00000000">
                <w:pPr>
                  <w:jc w:val="center"/>
                  <w:rPr>
                    <w:rFonts w:cs="Cambria"/>
                  </w:rPr>
                </w:pPr>
                <w:r>
                  <w:rPr>
                    <w:rFonts w:cs="Cambria" w:hint="eastAsia"/>
                  </w:rPr>
                  <w:t>上期发生额</w:t>
                </w:r>
              </w:p>
            </w:tc>
          </w:sdtContent>
        </w:sdt>
      </w:tr>
      <w:tr w:rsidR="005E000F" w14:paraId="1C9FCE2B" w14:textId="77777777">
        <w:trPr>
          <w:cantSplit/>
        </w:trPr>
        <w:tc>
          <w:tcPr>
            <w:tcW w:w="1283" w:type="pct"/>
            <w:tcBorders>
              <w:top w:val="single" w:sz="4" w:space="0" w:color="auto"/>
              <w:left w:val="single" w:sz="4" w:space="0" w:color="auto"/>
              <w:bottom w:val="single" w:sz="4" w:space="0" w:color="auto"/>
              <w:right w:val="single" w:sz="4" w:space="0" w:color="auto"/>
            </w:tcBorders>
          </w:tcPr>
          <w:p w14:paraId="5C28436E" w14:textId="77777777" w:rsidR="005E000F" w:rsidRDefault="00000000">
            <w:pPr>
              <w:rPr>
                <w:rFonts w:cs="宋体"/>
                <w:bCs/>
              </w:rPr>
            </w:pPr>
            <w:r>
              <w:rPr>
                <w:rFonts w:cs="宋体" w:hint="eastAsia"/>
                <w:bCs/>
              </w:rPr>
              <w:t>国铁集团及其下属单位</w:t>
            </w:r>
          </w:p>
        </w:tc>
        <w:tc>
          <w:tcPr>
            <w:tcW w:w="1349" w:type="pct"/>
            <w:tcBorders>
              <w:top w:val="single" w:sz="4" w:space="0" w:color="auto"/>
              <w:left w:val="single" w:sz="4" w:space="0" w:color="auto"/>
              <w:bottom w:val="single" w:sz="4" w:space="0" w:color="auto"/>
              <w:right w:val="single" w:sz="4" w:space="0" w:color="auto"/>
            </w:tcBorders>
          </w:tcPr>
          <w:p w14:paraId="0FAFB69E" w14:textId="77777777" w:rsidR="005E000F" w:rsidRDefault="00000000">
            <w:pPr>
              <w:rPr>
                <w:rFonts w:cs="宋体"/>
                <w:bCs/>
                <w:lang w:eastAsia="en-US"/>
              </w:rPr>
            </w:pPr>
            <w:r>
              <w:rPr>
                <w:rFonts w:cs="宋体" w:hint="eastAsia"/>
                <w:bCs/>
              </w:rPr>
              <w:t>货车使用费支出</w:t>
            </w:r>
          </w:p>
        </w:tc>
        <w:tc>
          <w:tcPr>
            <w:tcW w:w="2092" w:type="dxa"/>
            <w:tcBorders>
              <w:top w:val="single" w:sz="4" w:space="0" w:color="auto"/>
              <w:left w:val="single" w:sz="4" w:space="0" w:color="auto"/>
              <w:bottom w:val="single" w:sz="4" w:space="0" w:color="auto"/>
              <w:right w:val="single" w:sz="4" w:space="0" w:color="auto"/>
            </w:tcBorders>
            <w:vAlign w:val="center"/>
          </w:tcPr>
          <w:p w14:paraId="62FD9533" w14:textId="77777777" w:rsidR="005E000F" w:rsidRDefault="00000000">
            <w:pPr>
              <w:jc w:val="right"/>
              <w:rPr>
                <w:rFonts w:cs="宋体"/>
                <w:bCs/>
              </w:rPr>
            </w:pPr>
            <w:r>
              <w:rPr>
                <w:rFonts w:cs="宋体"/>
                <w:bCs/>
              </w:rPr>
              <w:t>3,251,613,829</w:t>
            </w:r>
          </w:p>
        </w:tc>
        <w:tc>
          <w:tcPr>
            <w:tcW w:w="1209" w:type="pct"/>
            <w:tcBorders>
              <w:top w:val="single" w:sz="4" w:space="0" w:color="auto"/>
              <w:left w:val="single" w:sz="4" w:space="0" w:color="auto"/>
              <w:bottom w:val="single" w:sz="4" w:space="0" w:color="auto"/>
              <w:right w:val="single" w:sz="4" w:space="0" w:color="auto"/>
            </w:tcBorders>
            <w:vAlign w:val="center"/>
          </w:tcPr>
          <w:p w14:paraId="3551C282" w14:textId="77777777" w:rsidR="005E000F" w:rsidRDefault="00000000">
            <w:pPr>
              <w:jc w:val="right"/>
              <w:rPr>
                <w:rFonts w:cs="宋体"/>
                <w:bCs/>
                <w:lang w:eastAsia="en-US"/>
              </w:rPr>
            </w:pPr>
            <w:r>
              <w:rPr>
                <w:rFonts w:cs="宋体"/>
                <w:bCs/>
              </w:rPr>
              <w:t>3,093,272,351</w:t>
            </w:r>
          </w:p>
        </w:tc>
      </w:tr>
      <w:tr w:rsidR="005E000F" w14:paraId="632200DD" w14:textId="77777777">
        <w:trPr>
          <w:cantSplit/>
        </w:trPr>
        <w:tc>
          <w:tcPr>
            <w:tcW w:w="1283" w:type="pct"/>
            <w:tcBorders>
              <w:top w:val="single" w:sz="4" w:space="0" w:color="auto"/>
              <w:left w:val="single" w:sz="4" w:space="0" w:color="auto"/>
              <w:bottom w:val="single" w:sz="4" w:space="0" w:color="auto"/>
              <w:right w:val="single" w:sz="4" w:space="0" w:color="auto"/>
            </w:tcBorders>
          </w:tcPr>
          <w:p w14:paraId="39B51266" w14:textId="77777777" w:rsidR="005E000F" w:rsidRDefault="00000000">
            <w:pPr>
              <w:rPr>
                <w:rFonts w:cs="宋体"/>
                <w:bCs/>
              </w:rPr>
            </w:pPr>
            <w:r>
              <w:rPr>
                <w:rFonts w:cs="宋体" w:hint="eastAsia"/>
                <w:bCs/>
              </w:rPr>
              <w:t>国铁集团及其下属单位</w:t>
            </w:r>
          </w:p>
        </w:tc>
        <w:tc>
          <w:tcPr>
            <w:tcW w:w="1349" w:type="pct"/>
            <w:tcBorders>
              <w:top w:val="single" w:sz="4" w:space="0" w:color="auto"/>
              <w:left w:val="single" w:sz="4" w:space="0" w:color="auto"/>
              <w:bottom w:val="single" w:sz="4" w:space="0" w:color="auto"/>
              <w:right w:val="single" w:sz="4" w:space="0" w:color="auto"/>
            </w:tcBorders>
          </w:tcPr>
          <w:p w14:paraId="728FB788" w14:textId="77777777" w:rsidR="005E000F" w:rsidRDefault="00000000">
            <w:pPr>
              <w:rPr>
                <w:rFonts w:cs="宋体"/>
                <w:bCs/>
                <w:lang w:eastAsia="en-US"/>
              </w:rPr>
            </w:pPr>
            <w:r>
              <w:rPr>
                <w:rFonts w:cs="宋体" w:hint="eastAsia"/>
                <w:bCs/>
              </w:rPr>
              <w:t>机客车租赁费</w:t>
            </w:r>
          </w:p>
        </w:tc>
        <w:tc>
          <w:tcPr>
            <w:tcW w:w="2092" w:type="dxa"/>
            <w:tcBorders>
              <w:top w:val="single" w:sz="4" w:space="0" w:color="auto"/>
              <w:left w:val="single" w:sz="4" w:space="0" w:color="auto"/>
              <w:bottom w:val="single" w:sz="4" w:space="0" w:color="auto"/>
              <w:right w:val="single" w:sz="4" w:space="0" w:color="auto"/>
            </w:tcBorders>
            <w:vAlign w:val="center"/>
          </w:tcPr>
          <w:p w14:paraId="0E80CC81" w14:textId="77777777" w:rsidR="005E000F" w:rsidRDefault="00000000">
            <w:pPr>
              <w:jc w:val="right"/>
              <w:rPr>
                <w:rFonts w:cs="宋体"/>
                <w:bCs/>
              </w:rPr>
            </w:pPr>
            <w:r>
              <w:rPr>
                <w:rFonts w:cs="宋体"/>
                <w:bCs/>
              </w:rPr>
              <w:t>1,901,471,768</w:t>
            </w:r>
          </w:p>
        </w:tc>
        <w:tc>
          <w:tcPr>
            <w:tcW w:w="1209" w:type="pct"/>
            <w:tcBorders>
              <w:top w:val="single" w:sz="4" w:space="0" w:color="auto"/>
              <w:left w:val="single" w:sz="4" w:space="0" w:color="auto"/>
              <w:bottom w:val="single" w:sz="4" w:space="0" w:color="auto"/>
              <w:right w:val="single" w:sz="4" w:space="0" w:color="auto"/>
            </w:tcBorders>
            <w:vAlign w:val="center"/>
          </w:tcPr>
          <w:p w14:paraId="7E321A25" w14:textId="77777777" w:rsidR="005E000F" w:rsidRDefault="00000000">
            <w:pPr>
              <w:jc w:val="right"/>
              <w:rPr>
                <w:rFonts w:cs="宋体"/>
                <w:bCs/>
                <w:lang w:eastAsia="en-US"/>
              </w:rPr>
            </w:pPr>
            <w:r>
              <w:rPr>
                <w:rFonts w:cs="宋体"/>
                <w:bCs/>
              </w:rPr>
              <w:t>1,764,945,516</w:t>
            </w:r>
          </w:p>
        </w:tc>
      </w:tr>
      <w:tr w:rsidR="005E000F" w14:paraId="1BADDE7A" w14:textId="77777777">
        <w:trPr>
          <w:cantSplit/>
        </w:trPr>
        <w:tc>
          <w:tcPr>
            <w:tcW w:w="1283" w:type="pct"/>
            <w:tcBorders>
              <w:top w:val="single" w:sz="4" w:space="0" w:color="auto"/>
              <w:left w:val="single" w:sz="4" w:space="0" w:color="auto"/>
              <w:bottom w:val="single" w:sz="4" w:space="0" w:color="auto"/>
              <w:right w:val="single" w:sz="4" w:space="0" w:color="auto"/>
            </w:tcBorders>
          </w:tcPr>
          <w:p w14:paraId="2A880F34" w14:textId="77777777" w:rsidR="005E000F" w:rsidRDefault="00000000">
            <w:pPr>
              <w:rPr>
                <w:rFonts w:cs="宋体"/>
                <w:bCs/>
              </w:rPr>
            </w:pPr>
            <w:r>
              <w:rPr>
                <w:rFonts w:cs="宋体" w:hint="eastAsia"/>
                <w:bCs/>
              </w:rPr>
              <w:t>其中：太原局集团公司及其下属单位</w:t>
            </w:r>
          </w:p>
        </w:tc>
        <w:tc>
          <w:tcPr>
            <w:tcW w:w="1349" w:type="pct"/>
            <w:tcBorders>
              <w:top w:val="single" w:sz="4" w:space="0" w:color="auto"/>
              <w:left w:val="single" w:sz="4" w:space="0" w:color="auto"/>
              <w:bottom w:val="single" w:sz="4" w:space="0" w:color="auto"/>
              <w:right w:val="single" w:sz="4" w:space="0" w:color="auto"/>
            </w:tcBorders>
          </w:tcPr>
          <w:p w14:paraId="40BC0D77" w14:textId="77777777" w:rsidR="005E000F" w:rsidRDefault="00000000">
            <w:pPr>
              <w:rPr>
                <w:rFonts w:cs="宋体"/>
                <w:bCs/>
                <w:lang w:eastAsia="en-US"/>
              </w:rPr>
            </w:pPr>
            <w:r>
              <w:rPr>
                <w:rFonts w:cs="宋体" w:hint="eastAsia"/>
                <w:bCs/>
              </w:rPr>
              <w:t>机客车租赁费</w:t>
            </w:r>
          </w:p>
        </w:tc>
        <w:tc>
          <w:tcPr>
            <w:tcW w:w="2092" w:type="dxa"/>
            <w:tcBorders>
              <w:top w:val="single" w:sz="4" w:space="0" w:color="auto"/>
              <w:left w:val="single" w:sz="4" w:space="0" w:color="auto"/>
              <w:bottom w:val="single" w:sz="4" w:space="0" w:color="auto"/>
              <w:right w:val="single" w:sz="4" w:space="0" w:color="auto"/>
            </w:tcBorders>
            <w:vAlign w:val="center"/>
          </w:tcPr>
          <w:p w14:paraId="095D6454" w14:textId="77777777" w:rsidR="005E000F" w:rsidRDefault="00000000">
            <w:pPr>
              <w:jc w:val="right"/>
              <w:rPr>
                <w:rFonts w:cs="宋体"/>
                <w:bCs/>
              </w:rPr>
            </w:pPr>
            <w:r>
              <w:rPr>
                <w:rFonts w:cs="宋体"/>
                <w:bCs/>
              </w:rPr>
              <w:t>1,900,174,898</w:t>
            </w:r>
          </w:p>
        </w:tc>
        <w:tc>
          <w:tcPr>
            <w:tcW w:w="1209" w:type="pct"/>
            <w:tcBorders>
              <w:top w:val="single" w:sz="4" w:space="0" w:color="auto"/>
              <w:left w:val="single" w:sz="4" w:space="0" w:color="auto"/>
              <w:bottom w:val="single" w:sz="4" w:space="0" w:color="auto"/>
              <w:right w:val="single" w:sz="4" w:space="0" w:color="auto"/>
            </w:tcBorders>
            <w:vAlign w:val="center"/>
          </w:tcPr>
          <w:p w14:paraId="5EDE92AD" w14:textId="77777777" w:rsidR="005E000F" w:rsidRDefault="00000000">
            <w:pPr>
              <w:jc w:val="right"/>
              <w:rPr>
                <w:rFonts w:cs="宋体"/>
                <w:bCs/>
                <w:lang w:eastAsia="en-US"/>
              </w:rPr>
            </w:pPr>
            <w:r>
              <w:rPr>
                <w:rFonts w:cs="宋体"/>
                <w:bCs/>
              </w:rPr>
              <w:t>1,764,120,376</w:t>
            </w:r>
          </w:p>
        </w:tc>
      </w:tr>
      <w:tr w:rsidR="005E000F" w14:paraId="21EDE89F" w14:textId="77777777">
        <w:trPr>
          <w:cantSplit/>
        </w:trPr>
        <w:tc>
          <w:tcPr>
            <w:tcW w:w="1283" w:type="pct"/>
            <w:tcBorders>
              <w:top w:val="single" w:sz="4" w:space="0" w:color="auto"/>
              <w:left w:val="single" w:sz="4" w:space="0" w:color="auto"/>
              <w:bottom w:val="single" w:sz="4" w:space="0" w:color="auto"/>
              <w:right w:val="single" w:sz="4" w:space="0" w:color="auto"/>
            </w:tcBorders>
          </w:tcPr>
          <w:p w14:paraId="783CA9CF" w14:textId="77777777" w:rsidR="005E000F" w:rsidRDefault="00000000">
            <w:pPr>
              <w:rPr>
                <w:rFonts w:cs="宋体"/>
                <w:bCs/>
              </w:rPr>
            </w:pPr>
            <w:r>
              <w:rPr>
                <w:rFonts w:cs="宋体" w:hint="eastAsia"/>
                <w:bCs/>
              </w:rPr>
              <w:t>太原局集团公司及其下属单位</w:t>
            </w:r>
          </w:p>
        </w:tc>
        <w:tc>
          <w:tcPr>
            <w:tcW w:w="1349" w:type="pct"/>
            <w:tcBorders>
              <w:top w:val="single" w:sz="4" w:space="0" w:color="auto"/>
              <w:left w:val="single" w:sz="4" w:space="0" w:color="auto"/>
              <w:bottom w:val="single" w:sz="4" w:space="0" w:color="auto"/>
              <w:right w:val="single" w:sz="4" w:space="0" w:color="auto"/>
            </w:tcBorders>
          </w:tcPr>
          <w:p w14:paraId="4A4B72F1" w14:textId="77777777" w:rsidR="005E000F" w:rsidRDefault="00000000">
            <w:pPr>
              <w:rPr>
                <w:rFonts w:cs="宋体"/>
                <w:bCs/>
                <w:lang w:eastAsia="en-US"/>
              </w:rPr>
            </w:pPr>
            <w:r>
              <w:rPr>
                <w:rFonts w:cs="宋体" w:hint="eastAsia"/>
                <w:bCs/>
              </w:rPr>
              <w:t>土地房屋使用租赁</w:t>
            </w:r>
          </w:p>
        </w:tc>
        <w:tc>
          <w:tcPr>
            <w:tcW w:w="2092" w:type="dxa"/>
            <w:tcBorders>
              <w:top w:val="single" w:sz="4" w:space="0" w:color="auto"/>
              <w:left w:val="single" w:sz="4" w:space="0" w:color="auto"/>
              <w:bottom w:val="single" w:sz="4" w:space="0" w:color="auto"/>
              <w:right w:val="single" w:sz="4" w:space="0" w:color="auto"/>
            </w:tcBorders>
            <w:vAlign w:val="center"/>
          </w:tcPr>
          <w:p w14:paraId="4B85746C" w14:textId="77777777" w:rsidR="005E000F" w:rsidRDefault="00000000">
            <w:pPr>
              <w:jc w:val="right"/>
              <w:rPr>
                <w:rFonts w:cs="宋体"/>
                <w:bCs/>
              </w:rPr>
            </w:pPr>
            <w:r>
              <w:rPr>
                <w:rFonts w:cs="宋体"/>
                <w:bCs/>
              </w:rPr>
              <w:t>541,349,359</w:t>
            </w:r>
          </w:p>
        </w:tc>
        <w:tc>
          <w:tcPr>
            <w:tcW w:w="1209" w:type="pct"/>
            <w:tcBorders>
              <w:top w:val="single" w:sz="4" w:space="0" w:color="auto"/>
              <w:left w:val="single" w:sz="4" w:space="0" w:color="auto"/>
              <w:bottom w:val="single" w:sz="4" w:space="0" w:color="auto"/>
              <w:right w:val="single" w:sz="4" w:space="0" w:color="auto"/>
            </w:tcBorders>
            <w:vAlign w:val="center"/>
          </w:tcPr>
          <w:p w14:paraId="59D02A26" w14:textId="77777777" w:rsidR="005E000F" w:rsidRDefault="00000000">
            <w:pPr>
              <w:jc w:val="right"/>
              <w:rPr>
                <w:rFonts w:cs="宋体"/>
                <w:bCs/>
                <w:lang w:eastAsia="en-US"/>
              </w:rPr>
            </w:pPr>
            <w:r>
              <w:rPr>
                <w:rFonts w:cs="宋体"/>
                <w:bCs/>
              </w:rPr>
              <w:t>702,870,916</w:t>
            </w:r>
          </w:p>
        </w:tc>
      </w:tr>
      <w:tr w:rsidR="005E000F" w14:paraId="647C9913" w14:textId="77777777">
        <w:trPr>
          <w:cantSplit/>
        </w:trPr>
        <w:tc>
          <w:tcPr>
            <w:tcW w:w="1283" w:type="pct"/>
            <w:tcBorders>
              <w:top w:val="single" w:sz="4" w:space="0" w:color="auto"/>
              <w:left w:val="single" w:sz="4" w:space="0" w:color="auto"/>
              <w:bottom w:val="single" w:sz="4" w:space="0" w:color="auto"/>
              <w:right w:val="single" w:sz="4" w:space="0" w:color="auto"/>
            </w:tcBorders>
          </w:tcPr>
          <w:p w14:paraId="3F01D60E" w14:textId="77777777" w:rsidR="005E000F" w:rsidRDefault="00000000">
            <w:pPr>
              <w:rPr>
                <w:rFonts w:cs="宋体"/>
                <w:bCs/>
              </w:rPr>
            </w:pPr>
            <w:r>
              <w:rPr>
                <w:rFonts w:cs="宋体" w:hint="eastAsia"/>
                <w:bCs/>
              </w:rPr>
              <w:t>太原局集团公司及其下属单位</w:t>
            </w:r>
          </w:p>
        </w:tc>
        <w:tc>
          <w:tcPr>
            <w:tcW w:w="1349" w:type="pct"/>
            <w:tcBorders>
              <w:top w:val="single" w:sz="4" w:space="0" w:color="auto"/>
              <w:left w:val="single" w:sz="4" w:space="0" w:color="auto"/>
              <w:bottom w:val="single" w:sz="4" w:space="0" w:color="auto"/>
              <w:right w:val="single" w:sz="4" w:space="0" w:color="auto"/>
            </w:tcBorders>
          </w:tcPr>
          <w:p w14:paraId="447DBD10" w14:textId="77777777" w:rsidR="005E000F" w:rsidRDefault="00000000">
            <w:pPr>
              <w:rPr>
                <w:rFonts w:cs="宋体"/>
                <w:bCs/>
                <w:lang w:eastAsia="en-US"/>
              </w:rPr>
            </w:pPr>
            <w:r>
              <w:rPr>
                <w:rFonts w:cs="宋体" w:hint="eastAsia"/>
                <w:bCs/>
              </w:rPr>
              <w:t>其他设施设备租赁费</w:t>
            </w:r>
          </w:p>
        </w:tc>
        <w:tc>
          <w:tcPr>
            <w:tcW w:w="2092" w:type="dxa"/>
            <w:tcBorders>
              <w:top w:val="single" w:sz="4" w:space="0" w:color="auto"/>
              <w:left w:val="single" w:sz="4" w:space="0" w:color="auto"/>
              <w:bottom w:val="single" w:sz="4" w:space="0" w:color="auto"/>
              <w:right w:val="single" w:sz="4" w:space="0" w:color="auto"/>
            </w:tcBorders>
            <w:vAlign w:val="center"/>
          </w:tcPr>
          <w:p w14:paraId="26CAF0D2" w14:textId="77777777" w:rsidR="005E000F" w:rsidRDefault="00000000">
            <w:pPr>
              <w:jc w:val="right"/>
              <w:rPr>
                <w:rFonts w:cs="宋体"/>
                <w:bCs/>
              </w:rPr>
            </w:pPr>
            <w:r>
              <w:rPr>
                <w:rFonts w:cs="宋体"/>
                <w:bCs/>
              </w:rPr>
              <w:t>115,277,563</w:t>
            </w:r>
          </w:p>
        </w:tc>
        <w:tc>
          <w:tcPr>
            <w:tcW w:w="1209" w:type="pct"/>
            <w:tcBorders>
              <w:top w:val="single" w:sz="4" w:space="0" w:color="auto"/>
              <w:left w:val="single" w:sz="4" w:space="0" w:color="auto"/>
              <w:bottom w:val="single" w:sz="4" w:space="0" w:color="auto"/>
              <w:right w:val="single" w:sz="4" w:space="0" w:color="auto"/>
            </w:tcBorders>
            <w:vAlign w:val="center"/>
          </w:tcPr>
          <w:p w14:paraId="5285723E" w14:textId="77777777" w:rsidR="005E000F" w:rsidRDefault="00000000">
            <w:pPr>
              <w:jc w:val="right"/>
              <w:rPr>
                <w:rFonts w:cs="宋体"/>
                <w:bCs/>
                <w:lang w:eastAsia="en-US"/>
              </w:rPr>
            </w:pPr>
            <w:r>
              <w:rPr>
                <w:rFonts w:cs="宋体"/>
                <w:bCs/>
              </w:rPr>
              <w:t>111,808,733</w:t>
            </w:r>
          </w:p>
        </w:tc>
      </w:tr>
    </w:tbl>
    <w:p w14:paraId="1B0964F7" w14:textId="77777777" w:rsidR="005E000F" w:rsidRDefault="005E000F"/>
    <w:p w14:paraId="52732342" w14:textId="77777777" w:rsidR="005E000F" w:rsidRDefault="00000000">
      <w:pPr>
        <w:pStyle w:val="aff8"/>
        <w:tabs>
          <w:tab w:val="left" w:pos="1238"/>
        </w:tabs>
        <w:ind w:firstLineChars="0" w:firstLine="0"/>
        <w:jc w:val="left"/>
        <w:rPr>
          <w:rFonts w:ascii="宋体"/>
          <w:spacing w:val="-2"/>
        </w:rPr>
      </w:pPr>
      <w:r>
        <w:rPr>
          <w:rFonts w:ascii="宋体" w:hint="eastAsia"/>
          <w:spacing w:val="-2"/>
        </w:rPr>
        <w:t>（b）铁路相关服务</w:t>
      </w:r>
    </w:p>
    <w:tbl>
      <w:tblPr>
        <w:tblpPr w:leftFromText="180" w:rightFromText="180" w:vertAnchor="text" w:horzAnchor="page" w:tblpX="1798" w:tblpY="645"/>
        <w:tblOverlap w:val="never"/>
        <w:tblW w:w="4998"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87"/>
        <w:gridCol w:w="2507"/>
        <w:gridCol w:w="2145"/>
        <w:gridCol w:w="2006"/>
      </w:tblGrid>
      <w:tr w:rsidR="005E000F" w14:paraId="0958260B" w14:textId="77777777">
        <w:trPr>
          <w:cantSplit/>
          <w:trHeight w:val="295"/>
        </w:trPr>
        <w:sdt>
          <w:sdtPr>
            <w:tag w:val="_PLD_ed4fd195f176464f83eb8db1dbcbc443"/>
            <w:id w:val="147478427"/>
          </w:sdtPr>
          <w:sdtContent>
            <w:tc>
              <w:tcPr>
                <w:tcW w:w="1318" w:type="pct"/>
                <w:tcBorders>
                  <w:top w:val="single" w:sz="4" w:space="0" w:color="auto"/>
                  <w:left w:val="single" w:sz="4" w:space="0" w:color="auto"/>
                  <w:bottom w:val="single" w:sz="4" w:space="0" w:color="auto"/>
                  <w:right w:val="single" w:sz="4" w:space="0" w:color="auto"/>
                </w:tcBorders>
                <w:vAlign w:val="center"/>
              </w:tcPr>
              <w:p w14:paraId="261C786A" w14:textId="77777777" w:rsidR="005E000F" w:rsidRDefault="00000000">
                <w:pPr>
                  <w:jc w:val="center"/>
                  <w:rPr>
                    <w:rFonts w:cs="Cambria"/>
                  </w:rPr>
                </w:pPr>
                <w:r>
                  <w:rPr>
                    <w:rFonts w:cs="Cambria" w:hint="eastAsia"/>
                  </w:rPr>
                  <w:t>关联方</w:t>
                </w:r>
              </w:p>
            </w:tc>
          </w:sdtContent>
        </w:sdt>
        <w:sdt>
          <w:sdtPr>
            <w:tag w:val="_PLD_013e7578c973447da6bccdb1a3924d96"/>
            <w:id w:val="147451886"/>
          </w:sdtPr>
          <w:sdtContent>
            <w:tc>
              <w:tcPr>
                <w:tcW w:w="1385" w:type="pct"/>
                <w:tcBorders>
                  <w:top w:val="single" w:sz="4" w:space="0" w:color="auto"/>
                  <w:left w:val="single" w:sz="4" w:space="0" w:color="auto"/>
                  <w:bottom w:val="single" w:sz="4" w:space="0" w:color="auto"/>
                  <w:right w:val="single" w:sz="4" w:space="0" w:color="auto"/>
                </w:tcBorders>
                <w:vAlign w:val="center"/>
              </w:tcPr>
              <w:p w14:paraId="2D444164" w14:textId="77777777" w:rsidR="005E000F" w:rsidRDefault="00000000">
                <w:pPr>
                  <w:jc w:val="center"/>
                  <w:rPr>
                    <w:rFonts w:cs="Cambria"/>
                  </w:rPr>
                </w:pPr>
                <w:r>
                  <w:rPr>
                    <w:rFonts w:cs="Cambria" w:hint="eastAsia"/>
                  </w:rPr>
                  <w:t>关联交易内容</w:t>
                </w:r>
              </w:p>
            </w:tc>
          </w:sdtContent>
        </w:sdt>
        <w:sdt>
          <w:sdtPr>
            <w:tag w:val="_PLD_6b54e09a146a4c34bba286909831c05b"/>
            <w:id w:val="147468683"/>
          </w:sdtPr>
          <w:sdtContent>
            <w:tc>
              <w:tcPr>
                <w:tcW w:w="1186" w:type="pct"/>
                <w:tcBorders>
                  <w:top w:val="single" w:sz="4" w:space="0" w:color="auto"/>
                  <w:left w:val="single" w:sz="4" w:space="0" w:color="auto"/>
                  <w:right w:val="single" w:sz="4" w:space="0" w:color="auto"/>
                </w:tcBorders>
                <w:vAlign w:val="center"/>
              </w:tcPr>
              <w:p w14:paraId="2E8D6CBA" w14:textId="77777777" w:rsidR="005E000F" w:rsidRDefault="00000000">
                <w:pPr>
                  <w:jc w:val="center"/>
                  <w:rPr>
                    <w:rFonts w:cs="Cambria"/>
                  </w:rPr>
                </w:pPr>
                <w:r>
                  <w:rPr>
                    <w:rFonts w:cs="Cambria" w:hint="eastAsia"/>
                  </w:rPr>
                  <w:t>本期发生额</w:t>
                </w:r>
              </w:p>
            </w:tc>
          </w:sdtContent>
        </w:sdt>
        <w:sdt>
          <w:sdtPr>
            <w:tag w:val="_PLD_9f856a67de3d45acbef7ccb12b35985d"/>
            <w:id w:val="147481096"/>
          </w:sdtPr>
          <w:sdtContent>
            <w:tc>
              <w:tcPr>
                <w:tcW w:w="1109" w:type="pct"/>
                <w:tcBorders>
                  <w:top w:val="single" w:sz="4" w:space="0" w:color="auto"/>
                  <w:left w:val="single" w:sz="4" w:space="0" w:color="auto"/>
                  <w:right w:val="single" w:sz="4" w:space="0" w:color="auto"/>
                </w:tcBorders>
                <w:vAlign w:val="center"/>
              </w:tcPr>
              <w:p w14:paraId="0290D56B" w14:textId="77777777" w:rsidR="005E000F" w:rsidRDefault="00000000">
                <w:pPr>
                  <w:jc w:val="center"/>
                  <w:rPr>
                    <w:rFonts w:cs="Cambria"/>
                  </w:rPr>
                </w:pPr>
                <w:r>
                  <w:rPr>
                    <w:rFonts w:cs="Cambria" w:hint="eastAsia"/>
                  </w:rPr>
                  <w:t>上期发生额</w:t>
                </w:r>
              </w:p>
            </w:tc>
          </w:sdtContent>
        </w:sdt>
      </w:tr>
      <w:tr w:rsidR="005E000F" w14:paraId="4532CF12" w14:textId="77777777">
        <w:trPr>
          <w:cantSplit/>
        </w:trPr>
        <w:tc>
          <w:tcPr>
            <w:tcW w:w="1318" w:type="pct"/>
            <w:tcBorders>
              <w:top w:val="single" w:sz="4" w:space="0" w:color="auto"/>
              <w:left w:val="single" w:sz="4" w:space="0" w:color="auto"/>
              <w:bottom w:val="single" w:sz="4" w:space="0" w:color="auto"/>
              <w:right w:val="single" w:sz="4" w:space="0" w:color="auto"/>
            </w:tcBorders>
          </w:tcPr>
          <w:p w14:paraId="15B82202" w14:textId="77777777" w:rsidR="005E000F" w:rsidRDefault="00000000">
            <w:pPr>
              <w:rPr>
                <w:rFonts w:cs="宋体"/>
                <w:bCs/>
              </w:rPr>
            </w:pPr>
            <w:r>
              <w:rPr>
                <w:rFonts w:cs="宋体" w:hint="eastAsia"/>
                <w:bCs/>
              </w:rPr>
              <w:t>国铁集团及其下属单位</w:t>
            </w:r>
          </w:p>
        </w:tc>
        <w:tc>
          <w:tcPr>
            <w:tcW w:w="1385" w:type="pct"/>
            <w:tcBorders>
              <w:top w:val="single" w:sz="4" w:space="0" w:color="auto"/>
              <w:left w:val="single" w:sz="4" w:space="0" w:color="auto"/>
              <w:bottom w:val="single" w:sz="4" w:space="0" w:color="auto"/>
              <w:right w:val="single" w:sz="4" w:space="0" w:color="auto"/>
            </w:tcBorders>
          </w:tcPr>
          <w:p w14:paraId="53FD5F10" w14:textId="77777777" w:rsidR="005E000F" w:rsidRDefault="00000000">
            <w:pPr>
              <w:rPr>
                <w:rFonts w:cs="宋体"/>
                <w:bCs/>
              </w:rPr>
            </w:pPr>
            <w:r>
              <w:rPr>
                <w:rFonts w:cs="宋体" w:hint="eastAsia"/>
                <w:bCs/>
              </w:rPr>
              <w:t>铁路基础设施及设备维修服务支出</w:t>
            </w:r>
          </w:p>
        </w:tc>
        <w:tc>
          <w:tcPr>
            <w:tcW w:w="2146" w:type="dxa"/>
            <w:tcBorders>
              <w:top w:val="single" w:sz="4" w:space="0" w:color="auto"/>
              <w:left w:val="single" w:sz="4" w:space="0" w:color="auto"/>
              <w:bottom w:val="single" w:sz="4" w:space="0" w:color="auto"/>
              <w:right w:val="single" w:sz="4" w:space="0" w:color="auto"/>
            </w:tcBorders>
            <w:vAlign w:val="center"/>
          </w:tcPr>
          <w:p w14:paraId="3A34CA2F" w14:textId="77777777" w:rsidR="005E000F" w:rsidRDefault="00000000">
            <w:pPr>
              <w:jc w:val="right"/>
              <w:rPr>
                <w:rFonts w:cs="宋体"/>
                <w:bCs/>
              </w:rPr>
            </w:pPr>
            <w:r>
              <w:rPr>
                <w:rFonts w:cs="宋体"/>
                <w:bCs/>
              </w:rPr>
              <w:t>114,471,732</w:t>
            </w:r>
          </w:p>
        </w:tc>
        <w:tc>
          <w:tcPr>
            <w:tcW w:w="1109" w:type="pct"/>
            <w:tcBorders>
              <w:top w:val="single" w:sz="4" w:space="0" w:color="auto"/>
              <w:left w:val="single" w:sz="4" w:space="0" w:color="auto"/>
              <w:bottom w:val="single" w:sz="4" w:space="0" w:color="auto"/>
              <w:right w:val="single" w:sz="4" w:space="0" w:color="auto"/>
            </w:tcBorders>
            <w:vAlign w:val="center"/>
          </w:tcPr>
          <w:p w14:paraId="163D354F" w14:textId="77777777" w:rsidR="005E000F" w:rsidRDefault="00000000">
            <w:pPr>
              <w:jc w:val="right"/>
              <w:rPr>
                <w:rFonts w:cs="宋体"/>
                <w:bCs/>
                <w:lang w:eastAsia="en-US"/>
              </w:rPr>
            </w:pPr>
            <w:r>
              <w:rPr>
                <w:rFonts w:cs="宋体"/>
                <w:bCs/>
              </w:rPr>
              <w:t>77,565,706</w:t>
            </w:r>
          </w:p>
        </w:tc>
      </w:tr>
      <w:tr w:rsidR="005E000F" w14:paraId="74F2B0CC" w14:textId="77777777">
        <w:trPr>
          <w:cantSplit/>
        </w:trPr>
        <w:tc>
          <w:tcPr>
            <w:tcW w:w="1318" w:type="pct"/>
            <w:tcBorders>
              <w:top w:val="single" w:sz="4" w:space="0" w:color="auto"/>
              <w:left w:val="single" w:sz="4" w:space="0" w:color="auto"/>
              <w:bottom w:val="single" w:sz="4" w:space="0" w:color="auto"/>
              <w:right w:val="single" w:sz="4" w:space="0" w:color="auto"/>
            </w:tcBorders>
          </w:tcPr>
          <w:p w14:paraId="493EC84B" w14:textId="77777777" w:rsidR="005E000F" w:rsidRDefault="00000000">
            <w:pPr>
              <w:rPr>
                <w:rFonts w:cs="宋体"/>
                <w:bCs/>
              </w:rPr>
            </w:pPr>
            <w:r>
              <w:rPr>
                <w:rFonts w:cs="宋体" w:hint="eastAsia"/>
                <w:bCs/>
              </w:rPr>
              <w:t>其中：太原局集团公司及其下属单位</w:t>
            </w:r>
          </w:p>
        </w:tc>
        <w:tc>
          <w:tcPr>
            <w:tcW w:w="1385" w:type="pct"/>
            <w:tcBorders>
              <w:top w:val="single" w:sz="4" w:space="0" w:color="auto"/>
              <w:left w:val="single" w:sz="4" w:space="0" w:color="auto"/>
              <w:bottom w:val="single" w:sz="4" w:space="0" w:color="auto"/>
              <w:right w:val="single" w:sz="4" w:space="0" w:color="auto"/>
            </w:tcBorders>
          </w:tcPr>
          <w:p w14:paraId="0896CE86" w14:textId="77777777" w:rsidR="005E000F" w:rsidRDefault="00000000">
            <w:pPr>
              <w:rPr>
                <w:rFonts w:cs="宋体"/>
                <w:bCs/>
              </w:rPr>
            </w:pPr>
            <w:r>
              <w:rPr>
                <w:rFonts w:cs="宋体" w:hint="eastAsia"/>
                <w:bCs/>
              </w:rPr>
              <w:t>铁路基础设施及设备维修服务支出</w:t>
            </w:r>
          </w:p>
        </w:tc>
        <w:tc>
          <w:tcPr>
            <w:tcW w:w="2146" w:type="dxa"/>
            <w:tcBorders>
              <w:top w:val="single" w:sz="4" w:space="0" w:color="auto"/>
              <w:left w:val="single" w:sz="4" w:space="0" w:color="auto"/>
              <w:bottom w:val="single" w:sz="4" w:space="0" w:color="auto"/>
              <w:right w:val="single" w:sz="4" w:space="0" w:color="auto"/>
            </w:tcBorders>
            <w:vAlign w:val="center"/>
          </w:tcPr>
          <w:p w14:paraId="1C7DA607" w14:textId="77777777" w:rsidR="005E000F" w:rsidRDefault="00000000">
            <w:pPr>
              <w:jc w:val="right"/>
              <w:rPr>
                <w:rFonts w:cs="宋体"/>
                <w:bCs/>
              </w:rPr>
            </w:pPr>
            <w:r>
              <w:rPr>
                <w:rFonts w:cs="宋体"/>
                <w:bCs/>
              </w:rPr>
              <w:t>54,240,674</w:t>
            </w:r>
          </w:p>
        </w:tc>
        <w:tc>
          <w:tcPr>
            <w:tcW w:w="1109" w:type="pct"/>
            <w:tcBorders>
              <w:top w:val="single" w:sz="4" w:space="0" w:color="auto"/>
              <w:left w:val="single" w:sz="4" w:space="0" w:color="auto"/>
              <w:bottom w:val="single" w:sz="4" w:space="0" w:color="auto"/>
              <w:right w:val="single" w:sz="4" w:space="0" w:color="auto"/>
            </w:tcBorders>
            <w:vAlign w:val="center"/>
          </w:tcPr>
          <w:p w14:paraId="1B5708A0" w14:textId="77777777" w:rsidR="005E000F" w:rsidRDefault="00000000">
            <w:pPr>
              <w:jc w:val="right"/>
              <w:rPr>
                <w:rFonts w:cs="宋体"/>
                <w:bCs/>
                <w:lang w:eastAsia="en-US"/>
              </w:rPr>
            </w:pPr>
            <w:r>
              <w:rPr>
                <w:rFonts w:cs="宋体"/>
                <w:bCs/>
              </w:rPr>
              <w:t>50,601,672</w:t>
            </w:r>
          </w:p>
        </w:tc>
      </w:tr>
      <w:tr w:rsidR="005E000F" w14:paraId="3CC6BBD1" w14:textId="77777777">
        <w:trPr>
          <w:cantSplit/>
        </w:trPr>
        <w:tc>
          <w:tcPr>
            <w:tcW w:w="1318" w:type="pct"/>
            <w:tcBorders>
              <w:top w:val="single" w:sz="4" w:space="0" w:color="auto"/>
              <w:left w:val="single" w:sz="4" w:space="0" w:color="auto"/>
              <w:bottom w:val="single" w:sz="4" w:space="0" w:color="auto"/>
              <w:right w:val="single" w:sz="4" w:space="0" w:color="auto"/>
            </w:tcBorders>
          </w:tcPr>
          <w:p w14:paraId="1D7577AD" w14:textId="77777777" w:rsidR="005E000F" w:rsidRDefault="00000000">
            <w:pPr>
              <w:rPr>
                <w:rFonts w:cs="宋体"/>
                <w:bCs/>
              </w:rPr>
            </w:pPr>
            <w:r>
              <w:rPr>
                <w:rFonts w:cs="宋体" w:hint="eastAsia"/>
                <w:bCs/>
              </w:rPr>
              <w:t>国铁集团及其下属单位</w:t>
            </w:r>
          </w:p>
        </w:tc>
        <w:tc>
          <w:tcPr>
            <w:tcW w:w="1385" w:type="pct"/>
            <w:tcBorders>
              <w:top w:val="single" w:sz="4" w:space="0" w:color="auto"/>
              <w:left w:val="single" w:sz="4" w:space="0" w:color="auto"/>
              <w:bottom w:val="single" w:sz="4" w:space="0" w:color="auto"/>
              <w:right w:val="single" w:sz="4" w:space="0" w:color="auto"/>
            </w:tcBorders>
          </w:tcPr>
          <w:p w14:paraId="3E7CDB2D" w14:textId="77777777" w:rsidR="005E000F" w:rsidRDefault="00000000">
            <w:pPr>
              <w:rPr>
                <w:rFonts w:cs="宋体"/>
                <w:bCs/>
              </w:rPr>
            </w:pPr>
            <w:r>
              <w:rPr>
                <w:rFonts w:cs="宋体" w:hint="eastAsia"/>
                <w:bCs/>
              </w:rPr>
              <w:t>机客货车维修服务支出</w:t>
            </w:r>
          </w:p>
        </w:tc>
        <w:tc>
          <w:tcPr>
            <w:tcW w:w="2146" w:type="dxa"/>
            <w:tcBorders>
              <w:top w:val="single" w:sz="4" w:space="0" w:color="auto"/>
              <w:left w:val="single" w:sz="4" w:space="0" w:color="auto"/>
              <w:bottom w:val="single" w:sz="4" w:space="0" w:color="auto"/>
              <w:right w:val="single" w:sz="4" w:space="0" w:color="auto"/>
            </w:tcBorders>
            <w:vAlign w:val="center"/>
          </w:tcPr>
          <w:p w14:paraId="56F11115" w14:textId="77777777" w:rsidR="005E000F" w:rsidRDefault="00000000">
            <w:pPr>
              <w:jc w:val="right"/>
              <w:rPr>
                <w:rFonts w:cs="宋体"/>
                <w:bCs/>
              </w:rPr>
            </w:pPr>
            <w:r>
              <w:rPr>
                <w:rFonts w:cs="宋体"/>
                <w:bCs/>
              </w:rPr>
              <w:t>50,333,815</w:t>
            </w:r>
          </w:p>
        </w:tc>
        <w:tc>
          <w:tcPr>
            <w:tcW w:w="1109" w:type="pct"/>
            <w:tcBorders>
              <w:top w:val="single" w:sz="4" w:space="0" w:color="auto"/>
              <w:left w:val="single" w:sz="4" w:space="0" w:color="auto"/>
              <w:bottom w:val="single" w:sz="4" w:space="0" w:color="auto"/>
              <w:right w:val="single" w:sz="4" w:space="0" w:color="auto"/>
            </w:tcBorders>
            <w:vAlign w:val="center"/>
          </w:tcPr>
          <w:p w14:paraId="79293442" w14:textId="77777777" w:rsidR="005E000F" w:rsidRDefault="00000000">
            <w:pPr>
              <w:jc w:val="right"/>
              <w:rPr>
                <w:rFonts w:cs="宋体"/>
                <w:bCs/>
                <w:lang w:eastAsia="en-US"/>
              </w:rPr>
            </w:pPr>
            <w:r>
              <w:rPr>
                <w:rFonts w:cs="宋体"/>
                <w:bCs/>
              </w:rPr>
              <w:t>45,035,243</w:t>
            </w:r>
          </w:p>
        </w:tc>
      </w:tr>
      <w:tr w:rsidR="005E000F" w14:paraId="3D047EA3" w14:textId="77777777">
        <w:trPr>
          <w:cantSplit/>
        </w:trPr>
        <w:tc>
          <w:tcPr>
            <w:tcW w:w="1318" w:type="pct"/>
            <w:tcBorders>
              <w:top w:val="single" w:sz="4" w:space="0" w:color="auto"/>
              <w:left w:val="single" w:sz="4" w:space="0" w:color="auto"/>
              <w:bottom w:val="single" w:sz="4" w:space="0" w:color="auto"/>
              <w:right w:val="single" w:sz="4" w:space="0" w:color="auto"/>
            </w:tcBorders>
          </w:tcPr>
          <w:p w14:paraId="2F2013DF" w14:textId="77777777" w:rsidR="005E000F" w:rsidRDefault="00000000">
            <w:pPr>
              <w:rPr>
                <w:rFonts w:cs="宋体"/>
                <w:bCs/>
              </w:rPr>
            </w:pPr>
            <w:r>
              <w:rPr>
                <w:rFonts w:cs="宋体" w:hint="eastAsia"/>
                <w:bCs/>
              </w:rPr>
              <w:t>其中：太原局集团公司及其下属单位</w:t>
            </w:r>
          </w:p>
        </w:tc>
        <w:tc>
          <w:tcPr>
            <w:tcW w:w="1385" w:type="pct"/>
            <w:tcBorders>
              <w:top w:val="single" w:sz="4" w:space="0" w:color="auto"/>
              <w:left w:val="single" w:sz="4" w:space="0" w:color="auto"/>
              <w:bottom w:val="single" w:sz="4" w:space="0" w:color="auto"/>
              <w:right w:val="single" w:sz="4" w:space="0" w:color="auto"/>
            </w:tcBorders>
          </w:tcPr>
          <w:p w14:paraId="7CA72EC5" w14:textId="77777777" w:rsidR="005E000F" w:rsidRDefault="00000000">
            <w:pPr>
              <w:rPr>
                <w:rFonts w:cs="宋体"/>
                <w:bCs/>
              </w:rPr>
            </w:pPr>
            <w:r>
              <w:rPr>
                <w:rFonts w:cs="宋体" w:hint="eastAsia"/>
                <w:bCs/>
              </w:rPr>
              <w:t>机客货车维修服务支出</w:t>
            </w:r>
          </w:p>
        </w:tc>
        <w:tc>
          <w:tcPr>
            <w:tcW w:w="2146" w:type="dxa"/>
            <w:tcBorders>
              <w:top w:val="single" w:sz="4" w:space="0" w:color="auto"/>
              <w:left w:val="single" w:sz="4" w:space="0" w:color="auto"/>
              <w:bottom w:val="single" w:sz="4" w:space="0" w:color="auto"/>
              <w:right w:val="single" w:sz="4" w:space="0" w:color="auto"/>
            </w:tcBorders>
            <w:vAlign w:val="center"/>
          </w:tcPr>
          <w:p w14:paraId="34BA36D3" w14:textId="77777777" w:rsidR="005E000F" w:rsidRDefault="00000000">
            <w:pPr>
              <w:jc w:val="right"/>
              <w:rPr>
                <w:rFonts w:cs="宋体"/>
                <w:bCs/>
              </w:rPr>
            </w:pPr>
            <w:r>
              <w:rPr>
                <w:rFonts w:cs="宋体"/>
                <w:bCs/>
              </w:rPr>
              <w:t>46,490,591</w:t>
            </w:r>
          </w:p>
        </w:tc>
        <w:tc>
          <w:tcPr>
            <w:tcW w:w="1109" w:type="pct"/>
            <w:tcBorders>
              <w:top w:val="single" w:sz="4" w:space="0" w:color="auto"/>
              <w:left w:val="single" w:sz="4" w:space="0" w:color="auto"/>
              <w:bottom w:val="single" w:sz="4" w:space="0" w:color="auto"/>
              <w:right w:val="single" w:sz="4" w:space="0" w:color="auto"/>
            </w:tcBorders>
            <w:vAlign w:val="center"/>
          </w:tcPr>
          <w:p w14:paraId="66D60ED9" w14:textId="77777777" w:rsidR="005E000F" w:rsidRDefault="00000000">
            <w:pPr>
              <w:jc w:val="right"/>
              <w:rPr>
                <w:rFonts w:cs="宋体"/>
                <w:bCs/>
                <w:lang w:eastAsia="en-US"/>
              </w:rPr>
            </w:pPr>
            <w:r>
              <w:rPr>
                <w:rFonts w:cs="宋体"/>
                <w:bCs/>
              </w:rPr>
              <w:t>41,800,971</w:t>
            </w:r>
          </w:p>
        </w:tc>
      </w:tr>
      <w:tr w:rsidR="005E000F" w14:paraId="12BFDEBB" w14:textId="77777777">
        <w:trPr>
          <w:cantSplit/>
        </w:trPr>
        <w:tc>
          <w:tcPr>
            <w:tcW w:w="1318" w:type="pct"/>
            <w:tcBorders>
              <w:top w:val="single" w:sz="4" w:space="0" w:color="auto"/>
              <w:left w:val="single" w:sz="4" w:space="0" w:color="auto"/>
              <w:bottom w:val="single" w:sz="4" w:space="0" w:color="auto"/>
              <w:right w:val="single" w:sz="4" w:space="0" w:color="auto"/>
            </w:tcBorders>
          </w:tcPr>
          <w:p w14:paraId="707B0AF4" w14:textId="77777777" w:rsidR="005E000F" w:rsidRDefault="00000000">
            <w:pPr>
              <w:rPr>
                <w:rFonts w:cs="宋体"/>
                <w:bCs/>
              </w:rPr>
            </w:pPr>
            <w:r>
              <w:rPr>
                <w:rFonts w:cs="宋体" w:hint="eastAsia"/>
                <w:bCs/>
              </w:rPr>
              <w:t>国铁集团及其下属单位</w:t>
            </w:r>
          </w:p>
        </w:tc>
        <w:tc>
          <w:tcPr>
            <w:tcW w:w="1385" w:type="pct"/>
            <w:tcBorders>
              <w:top w:val="single" w:sz="4" w:space="0" w:color="auto"/>
              <w:left w:val="single" w:sz="4" w:space="0" w:color="auto"/>
              <w:bottom w:val="single" w:sz="4" w:space="0" w:color="auto"/>
              <w:right w:val="single" w:sz="4" w:space="0" w:color="auto"/>
            </w:tcBorders>
          </w:tcPr>
          <w:p w14:paraId="3B602761" w14:textId="77777777" w:rsidR="005E000F" w:rsidRDefault="00000000">
            <w:pPr>
              <w:rPr>
                <w:rFonts w:cs="宋体"/>
                <w:bCs/>
                <w:lang w:eastAsia="en-US"/>
              </w:rPr>
            </w:pPr>
            <w:r>
              <w:rPr>
                <w:rFonts w:cs="宋体" w:hint="eastAsia"/>
                <w:bCs/>
              </w:rPr>
              <w:t>物资采购</w:t>
            </w:r>
          </w:p>
        </w:tc>
        <w:tc>
          <w:tcPr>
            <w:tcW w:w="2146" w:type="dxa"/>
            <w:tcBorders>
              <w:top w:val="single" w:sz="4" w:space="0" w:color="auto"/>
              <w:left w:val="single" w:sz="4" w:space="0" w:color="auto"/>
              <w:bottom w:val="single" w:sz="4" w:space="0" w:color="auto"/>
              <w:right w:val="single" w:sz="4" w:space="0" w:color="auto"/>
            </w:tcBorders>
            <w:vAlign w:val="center"/>
          </w:tcPr>
          <w:p w14:paraId="72D38E13" w14:textId="77777777" w:rsidR="005E000F" w:rsidRDefault="00000000">
            <w:pPr>
              <w:jc w:val="right"/>
              <w:rPr>
                <w:rFonts w:cs="宋体"/>
                <w:bCs/>
              </w:rPr>
            </w:pPr>
            <w:r>
              <w:rPr>
                <w:rFonts w:cs="宋体"/>
                <w:bCs/>
              </w:rPr>
              <w:t>695,182,183</w:t>
            </w:r>
          </w:p>
        </w:tc>
        <w:tc>
          <w:tcPr>
            <w:tcW w:w="1109" w:type="pct"/>
            <w:tcBorders>
              <w:top w:val="single" w:sz="4" w:space="0" w:color="auto"/>
              <w:left w:val="single" w:sz="4" w:space="0" w:color="auto"/>
              <w:bottom w:val="single" w:sz="4" w:space="0" w:color="auto"/>
              <w:right w:val="single" w:sz="4" w:space="0" w:color="auto"/>
            </w:tcBorders>
            <w:vAlign w:val="center"/>
          </w:tcPr>
          <w:p w14:paraId="38FE66F0" w14:textId="77777777" w:rsidR="005E000F" w:rsidRDefault="00000000">
            <w:pPr>
              <w:jc w:val="right"/>
              <w:rPr>
                <w:rFonts w:cs="宋体"/>
                <w:bCs/>
                <w:lang w:eastAsia="en-US"/>
              </w:rPr>
            </w:pPr>
            <w:r>
              <w:rPr>
                <w:rFonts w:cs="宋体"/>
                <w:bCs/>
              </w:rPr>
              <w:t>547,538,319</w:t>
            </w:r>
          </w:p>
        </w:tc>
      </w:tr>
      <w:tr w:rsidR="005E000F" w14:paraId="5CEF86DC" w14:textId="77777777">
        <w:trPr>
          <w:cantSplit/>
        </w:trPr>
        <w:tc>
          <w:tcPr>
            <w:tcW w:w="1318" w:type="pct"/>
            <w:tcBorders>
              <w:top w:val="single" w:sz="4" w:space="0" w:color="auto"/>
              <w:left w:val="single" w:sz="4" w:space="0" w:color="auto"/>
              <w:bottom w:val="single" w:sz="4" w:space="0" w:color="auto"/>
              <w:right w:val="single" w:sz="4" w:space="0" w:color="auto"/>
            </w:tcBorders>
          </w:tcPr>
          <w:p w14:paraId="65D061BB" w14:textId="77777777" w:rsidR="005E000F" w:rsidRDefault="00000000">
            <w:pPr>
              <w:rPr>
                <w:rFonts w:cs="宋体"/>
                <w:bCs/>
              </w:rPr>
            </w:pPr>
            <w:r>
              <w:rPr>
                <w:rFonts w:cs="宋体" w:hint="eastAsia"/>
                <w:bCs/>
              </w:rPr>
              <w:t>其中：太原局集团公司及其下属单位</w:t>
            </w:r>
          </w:p>
        </w:tc>
        <w:tc>
          <w:tcPr>
            <w:tcW w:w="1385" w:type="pct"/>
            <w:tcBorders>
              <w:top w:val="single" w:sz="4" w:space="0" w:color="auto"/>
              <w:left w:val="single" w:sz="4" w:space="0" w:color="auto"/>
              <w:bottom w:val="single" w:sz="4" w:space="0" w:color="auto"/>
              <w:right w:val="single" w:sz="4" w:space="0" w:color="auto"/>
            </w:tcBorders>
          </w:tcPr>
          <w:p w14:paraId="06422CD0" w14:textId="77777777" w:rsidR="005E000F" w:rsidRDefault="00000000">
            <w:pPr>
              <w:rPr>
                <w:rFonts w:cs="宋体"/>
                <w:bCs/>
                <w:lang w:eastAsia="en-US"/>
              </w:rPr>
            </w:pPr>
            <w:r>
              <w:rPr>
                <w:rFonts w:cs="宋体" w:hint="eastAsia"/>
                <w:bCs/>
              </w:rPr>
              <w:t>物资采购</w:t>
            </w:r>
          </w:p>
        </w:tc>
        <w:tc>
          <w:tcPr>
            <w:tcW w:w="2146" w:type="dxa"/>
            <w:tcBorders>
              <w:top w:val="single" w:sz="4" w:space="0" w:color="auto"/>
              <w:left w:val="single" w:sz="4" w:space="0" w:color="auto"/>
              <w:bottom w:val="single" w:sz="4" w:space="0" w:color="auto"/>
              <w:right w:val="single" w:sz="4" w:space="0" w:color="auto"/>
            </w:tcBorders>
            <w:vAlign w:val="center"/>
          </w:tcPr>
          <w:p w14:paraId="33BDCDED" w14:textId="77777777" w:rsidR="005E000F" w:rsidRDefault="00000000">
            <w:pPr>
              <w:jc w:val="right"/>
              <w:rPr>
                <w:rFonts w:cs="宋体"/>
                <w:bCs/>
              </w:rPr>
            </w:pPr>
            <w:r>
              <w:rPr>
                <w:rFonts w:cs="宋体"/>
                <w:bCs/>
              </w:rPr>
              <w:t>609,423,126</w:t>
            </w:r>
          </w:p>
        </w:tc>
        <w:tc>
          <w:tcPr>
            <w:tcW w:w="1109" w:type="pct"/>
            <w:tcBorders>
              <w:top w:val="single" w:sz="4" w:space="0" w:color="auto"/>
              <w:left w:val="single" w:sz="4" w:space="0" w:color="auto"/>
              <w:bottom w:val="single" w:sz="4" w:space="0" w:color="auto"/>
              <w:right w:val="single" w:sz="4" w:space="0" w:color="auto"/>
            </w:tcBorders>
            <w:vAlign w:val="center"/>
          </w:tcPr>
          <w:p w14:paraId="1391D6F1" w14:textId="77777777" w:rsidR="005E000F" w:rsidRDefault="00000000">
            <w:pPr>
              <w:jc w:val="right"/>
              <w:rPr>
                <w:rFonts w:cs="宋体"/>
                <w:bCs/>
                <w:lang w:eastAsia="en-US"/>
              </w:rPr>
            </w:pPr>
            <w:r>
              <w:rPr>
                <w:rFonts w:cs="宋体"/>
                <w:bCs/>
              </w:rPr>
              <w:t>534,507,561</w:t>
            </w:r>
          </w:p>
        </w:tc>
      </w:tr>
      <w:tr w:rsidR="005E000F" w14:paraId="7E6405AE" w14:textId="77777777">
        <w:trPr>
          <w:cantSplit/>
        </w:trPr>
        <w:tc>
          <w:tcPr>
            <w:tcW w:w="1318" w:type="pct"/>
            <w:tcBorders>
              <w:top w:val="single" w:sz="4" w:space="0" w:color="auto"/>
              <w:left w:val="single" w:sz="4" w:space="0" w:color="auto"/>
              <w:bottom w:val="single" w:sz="4" w:space="0" w:color="auto"/>
              <w:right w:val="single" w:sz="4" w:space="0" w:color="auto"/>
            </w:tcBorders>
          </w:tcPr>
          <w:p w14:paraId="6C157F4F" w14:textId="77777777" w:rsidR="005E000F" w:rsidRDefault="00000000">
            <w:pPr>
              <w:rPr>
                <w:rFonts w:cs="宋体"/>
                <w:bCs/>
              </w:rPr>
            </w:pPr>
            <w:r>
              <w:rPr>
                <w:rFonts w:cs="宋体" w:hint="eastAsia"/>
                <w:bCs/>
              </w:rPr>
              <w:t>国铁集团及其下属单位</w:t>
            </w:r>
          </w:p>
        </w:tc>
        <w:tc>
          <w:tcPr>
            <w:tcW w:w="1385" w:type="pct"/>
            <w:tcBorders>
              <w:top w:val="single" w:sz="4" w:space="0" w:color="auto"/>
              <w:left w:val="single" w:sz="4" w:space="0" w:color="auto"/>
              <w:bottom w:val="single" w:sz="4" w:space="0" w:color="auto"/>
              <w:right w:val="single" w:sz="4" w:space="0" w:color="auto"/>
            </w:tcBorders>
          </w:tcPr>
          <w:p w14:paraId="0FC1EE4A" w14:textId="77777777" w:rsidR="005E000F" w:rsidRDefault="00000000">
            <w:pPr>
              <w:rPr>
                <w:rFonts w:cs="宋体"/>
                <w:bCs/>
                <w:lang w:eastAsia="en-US"/>
              </w:rPr>
            </w:pPr>
            <w:r>
              <w:rPr>
                <w:rFonts w:cs="宋体" w:hint="eastAsia"/>
                <w:bCs/>
              </w:rPr>
              <w:t>铁路后勤服务支出</w:t>
            </w:r>
          </w:p>
        </w:tc>
        <w:tc>
          <w:tcPr>
            <w:tcW w:w="2146" w:type="dxa"/>
            <w:tcBorders>
              <w:top w:val="single" w:sz="4" w:space="0" w:color="auto"/>
              <w:left w:val="single" w:sz="4" w:space="0" w:color="auto"/>
              <w:bottom w:val="single" w:sz="4" w:space="0" w:color="auto"/>
              <w:right w:val="single" w:sz="4" w:space="0" w:color="auto"/>
            </w:tcBorders>
            <w:vAlign w:val="center"/>
          </w:tcPr>
          <w:p w14:paraId="1DDF58A3" w14:textId="77777777" w:rsidR="005E000F" w:rsidRDefault="00000000">
            <w:pPr>
              <w:jc w:val="right"/>
              <w:rPr>
                <w:rFonts w:cs="宋体"/>
                <w:bCs/>
              </w:rPr>
            </w:pPr>
            <w:r>
              <w:rPr>
                <w:rFonts w:cs="宋体"/>
                <w:bCs/>
              </w:rPr>
              <w:t>217,147,841</w:t>
            </w:r>
          </w:p>
        </w:tc>
        <w:tc>
          <w:tcPr>
            <w:tcW w:w="1109" w:type="pct"/>
            <w:tcBorders>
              <w:top w:val="single" w:sz="4" w:space="0" w:color="auto"/>
              <w:left w:val="single" w:sz="4" w:space="0" w:color="auto"/>
              <w:bottom w:val="single" w:sz="4" w:space="0" w:color="auto"/>
              <w:right w:val="single" w:sz="4" w:space="0" w:color="auto"/>
            </w:tcBorders>
            <w:vAlign w:val="center"/>
          </w:tcPr>
          <w:p w14:paraId="1C583132" w14:textId="77777777" w:rsidR="005E000F" w:rsidRDefault="00000000">
            <w:pPr>
              <w:jc w:val="right"/>
              <w:rPr>
                <w:rFonts w:cs="宋体"/>
                <w:bCs/>
                <w:lang w:eastAsia="en-US"/>
              </w:rPr>
            </w:pPr>
            <w:r>
              <w:rPr>
                <w:rFonts w:cs="宋体"/>
                <w:bCs/>
              </w:rPr>
              <w:t>141,762,837</w:t>
            </w:r>
          </w:p>
        </w:tc>
      </w:tr>
      <w:tr w:rsidR="005E000F" w14:paraId="1BF3B40A" w14:textId="77777777">
        <w:trPr>
          <w:cantSplit/>
        </w:trPr>
        <w:tc>
          <w:tcPr>
            <w:tcW w:w="1318" w:type="pct"/>
            <w:tcBorders>
              <w:top w:val="single" w:sz="4" w:space="0" w:color="auto"/>
              <w:left w:val="single" w:sz="4" w:space="0" w:color="auto"/>
              <w:bottom w:val="single" w:sz="4" w:space="0" w:color="auto"/>
              <w:right w:val="single" w:sz="4" w:space="0" w:color="auto"/>
            </w:tcBorders>
          </w:tcPr>
          <w:p w14:paraId="5E3ADF18" w14:textId="77777777" w:rsidR="005E000F" w:rsidRDefault="00000000">
            <w:pPr>
              <w:rPr>
                <w:rFonts w:cs="宋体"/>
                <w:bCs/>
              </w:rPr>
            </w:pPr>
            <w:r>
              <w:rPr>
                <w:rFonts w:cs="宋体" w:hint="eastAsia"/>
                <w:bCs/>
              </w:rPr>
              <w:t>其中：太原局集团公司及其下属单位</w:t>
            </w:r>
          </w:p>
        </w:tc>
        <w:tc>
          <w:tcPr>
            <w:tcW w:w="1385" w:type="pct"/>
            <w:tcBorders>
              <w:top w:val="single" w:sz="4" w:space="0" w:color="auto"/>
              <w:left w:val="single" w:sz="4" w:space="0" w:color="auto"/>
              <w:bottom w:val="single" w:sz="4" w:space="0" w:color="auto"/>
              <w:right w:val="single" w:sz="4" w:space="0" w:color="auto"/>
            </w:tcBorders>
          </w:tcPr>
          <w:p w14:paraId="138D715D" w14:textId="77777777" w:rsidR="005E000F" w:rsidRDefault="00000000">
            <w:pPr>
              <w:rPr>
                <w:rFonts w:cs="宋体"/>
                <w:bCs/>
                <w:lang w:eastAsia="en-US"/>
              </w:rPr>
            </w:pPr>
            <w:r>
              <w:rPr>
                <w:rFonts w:cs="宋体" w:hint="eastAsia"/>
                <w:bCs/>
              </w:rPr>
              <w:t>铁路后勤服务支出</w:t>
            </w:r>
          </w:p>
        </w:tc>
        <w:tc>
          <w:tcPr>
            <w:tcW w:w="2146" w:type="dxa"/>
            <w:tcBorders>
              <w:top w:val="single" w:sz="4" w:space="0" w:color="auto"/>
              <w:left w:val="single" w:sz="4" w:space="0" w:color="auto"/>
              <w:bottom w:val="single" w:sz="4" w:space="0" w:color="auto"/>
              <w:right w:val="single" w:sz="4" w:space="0" w:color="auto"/>
            </w:tcBorders>
            <w:vAlign w:val="center"/>
          </w:tcPr>
          <w:p w14:paraId="3442C7DD" w14:textId="77777777" w:rsidR="005E000F" w:rsidRDefault="00000000">
            <w:pPr>
              <w:jc w:val="right"/>
              <w:rPr>
                <w:rFonts w:cs="宋体"/>
                <w:bCs/>
              </w:rPr>
            </w:pPr>
            <w:r>
              <w:rPr>
                <w:rFonts w:cs="宋体"/>
                <w:bCs/>
              </w:rPr>
              <w:t>161,158,069</w:t>
            </w:r>
          </w:p>
        </w:tc>
        <w:tc>
          <w:tcPr>
            <w:tcW w:w="1109" w:type="pct"/>
            <w:tcBorders>
              <w:top w:val="single" w:sz="4" w:space="0" w:color="auto"/>
              <w:left w:val="single" w:sz="4" w:space="0" w:color="auto"/>
              <w:bottom w:val="single" w:sz="4" w:space="0" w:color="auto"/>
              <w:right w:val="single" w:sz="4" w:space="0" w:color="auto"/>
            </w:tcBorders>
            <w:vAlign w:val="center"/>
          </w:tcPr>
          <w:p w14:paraId="00FA4347" w14:textId="77777777" w:rsidR="005E000F" w:rsidRDefault="00000000">
            <w:pPr>
              <w:jc w:val="right"/>
              <w:rPr>
                <w:rFonts w:cs="宋体"/>
                <w:bCs/>
                <w:lang w:eastAsia="en-US"/>
              </w:rPr>
            </w:pPr>
            <w:r>
              <w:rPr>
                <w:rFonts w:cs="宋体"/>
                <w:bCs/>
              </w:rPr>
              <w:t>95,705,146</w:t>
            </w:r>
          </w:p>
        </w:tc>
      </w:tr>
    </w:tbl>
    <w:p w14:paraId="6F4EB4C7" w14:textId="77777777" w:rsidR="005E000F" w:rsidRDefault="00000000">
      <w:pPr>
        <w:pStyle w:val="ad"/>
        <w:tabs>
          <w:tab w:val="left" w:pos="7971"/>
        </w:tabs>
        <w:spacing w:before="4"/>
        <w:jc w:val="right"/>
      </w:pPr>
      <w:r>
        <w:t>单位</w:t>
      </w:r>
      <w:r>
        <w:rPr>
          <w:spacing w:val="-3"/>
        </w:rPr>
        <w:t>：</w:t>
      </w:r>
      <w:r>
        <w:t>元</w:t>
      </w:r>
      <w:r>
        <w:rPr>
          <w:rFonts w:hint="eastAsia"/>
        </w:rPr>
        <w:t xml:space="preserve"> </w:t>
      </w:r>
      <w:r>
        <w:t>币</w:t>
      </w:r>
      <w:r>
        <w:rPr>
          <w:spacing w:val="-3"/>
        </w:rPr>
        <w:t>种</w:t>
      </w:r>
      <w:r>
        <w:t>：</w:t>
      </w:r>
      <w:r>
        <w:rPr>
          <w:spacing w:val="-3"/>
        </w:rPr>
        <w:t>人</w:t>
      </w:r>
      <w:r>
        <w:t>民币</w:t>
      </w:r>
      <w:bookmarkEnd w:id="411"/>
    </w:p>
    <w:p w14:paraId="397A3722" w14:textId="77777777" w:rsidR="005E000F" w:rsidRDefault="005E000F">
      <w:pPr>
        <w:rPr>
          <w:rFonts w:cs="Cambria"/>
        </w:rPr>
      </w:pPr>
    </w:p>
    <w:p w14:paraId="20A1E6C0" w14:textId="77777777" w:rsidR="005E000F" w:rsidRDefault="00000000">
      <w:pPr>
        <w:rPr>
          <w:rFonts w:cs="Cambria"/>
          <w:color w:val="000000" w:themeColor="text1"/>
        </w:rPr>
      </w:pPr>
      <w:r>
        <w:rPr>
          <w:rFonts w:cs="Cambria" w:hint="eastAsia"/>
          <w:color w:val="000000" w:themeColor="text1"/>
        </w:rPr>
        <w:t>（</w:t>
      </w:r>
      <w:r>
        <w:rPr>
          <w:rFonts w:cs="Cambria" w:hint="eastAsia"/>
          <w:color w:val="000000" w:themeColor="text1"/>
        </w:rPr>
        <w:t>c</w:t>
      </w:r>
      <w:r>
        <w:rPr>
          <w:rFonts w:cs="Cambria" w:hint="eastAsia"/>
          <w:color w:val="000000" w:themeColor="text1"/>
        </w:rPr>
        <w:t>）铁路专项委托运输服务</w:t>
      </w:r>
    </w:p>
    <w:p w14:paraId="7E1E0D97" w14:textId="77777777" w:rsidR="005E000F" w:rsidRDefault="00000000">
      <w:pPr>
        <w:jc w:val="right"/>
        <w:rPr>
          <w:rFonts w:cs="Cambria"/>
          <w:color w:val="000000" w:themeColor="text1"/>
        </w:rPr>
      </w:pPr>
      <w:r>
        <w:rPr>
          <w:color w:val="000000" w:themeColor="text1"/>
        </w:rPr>
        <w:t>单位</w:t>
      </w:r>
      <w:r>
        <w:rPr>
          <w:rFonts w:hint="eastAsia"/>
          <w:color w:val="000000" w:themeColor="text1"/>
        </w:rPr>
        <w:t>：</w:t>
      </w:r>
      <w:r>
        <w:rPr>
          <w:color w:val="000000" w:themeColor="text1"/>
        </w:rPr>
        <w:t>元</w:t>
      </w:r>
      <w:r>
        <w:rPr>
          <w:color w:val="000000" w:themeColor="text1"/>
        </w:rPr>
        <w:t xml:space="preserve">  </w:t>
      </w:r>
      <w:r>
        <w:rPr>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415"/>
        <w:gridCol w:w="2122"/>
        <w:gridCol w:w="2177"/>
        <w:gridCol w:w="2179"/>
      </w:tblGrid>
      <w:tr w:rsidR="005E000F" w14:paraId="5D23C4F3" w14:textId="77777777">
        <w:trPr>
          <w:cantSplit/>
          <w:trHeight w:val="273"/>
        </w:trPr>
        <w:tc>
          <w:tcPr>
            <w:tcW w:w="1358" w:type="pct"/>
            <w:tcBorders>
              <w:top w:val="single" w:sz="4" w:space="0" w:color="auto"/>
              <w:left w:val="single" w:sz="4" w:space="0" w:color="auto"/>
              <w:bottom w:val="single" w:sz="4" w:space="0" w:color="auto"/>
              <w:right w:val="single" w:sz="4" w:space="0" w:color="auto"/>
            </w:tcBorders>
            <w:vAlign w:val="center"/>
          </w:tcPr>
          <w:p w14:paraId="61FC62BF" w14:textId="77777777" w:rsidR="005E000F" w:rsidRDefault="00000000">
            <w:pPr>
              <w:jc w:val="center"/>
              <w:rPr>
                <w:rFonts w:cs="Cambria"/>
                <w:color w:val="000000" w:themeColor="text1"/>
              </w:rPr>
            </w:pPr>
            <w:r>
              <w:rPr>
                <w:rFonts w:cs="Cambria" w:hint="eastAsia"/>
                <w:color w:val="000000" w:themeColor="text1"/>
              </w:rPr>
              <w:t>关联方</w:t>
            </w:r>
          </w:p>
        </w:tc>
        <w:tc>
          <w:tcPr>
            <w:tcW w:w="1193" w:type="pct"/>
            <w:tcBorders>
              <w:top w:val="single" w:sz="4" w:space="0" w:color="auto"/>
              <w:left w:val="single" w:sz="4" w:space="0" w:color="auto"/>
              <w:bottom w:val="single" w:sz="4" w:space="0" w:color="auto"/>
              <w:right w:val="single" w:sz="4" w:space="0" w:color="auto"/>
            </w:tcBorders>
            <w:vAlign w:val="center"/>
          </w:tcPr>
          <w:p w14:paraId="2A653432" w14:textId="77777777" w:rsidR="005E000F" w:rsidRDefault="00000000">
            <w:pPr>
              <w:jc w:val="center"/>
              <w:rPr>
                <w:rFonts w:cs="Cambria"/>
                <w:color w:val="000000" w:themeColor="text1"/>
              </w:rPr>
            </w:pPr>
            <w:r>
              <w:rPr>
                <w:rFonts w:cs="Cambria" w:hint="eastAsia"/>
                <w:color w:val="000000" w:themeColor="text1"/>
              </w:rPr>
              <w:t>关联交易内容</w:t>
            </w:r>
          </w:p>
        </w:tc>
        <w:tc>
          <w:tcPr>
            <w:tcW w:w="1224" w:type="pct"/>
            <w:tcBorders>
              <w:top w:val="single" w:sz="4" w:space="0" w:color="auto"/>
              <w:left w:val="single" w:sz="4" w:space="0" w:color="auto"/>
              <w:right w:val="single" w:sz="4" w:space="0" w:color="auto"/>
            </w:tcBorders>
            <w:vAlign w:val="center"/>
          </w:tcPr>
          <w:p w14:paraId="079030D8" w14:textId="77777777" w:rsidR="005E000F" w:rsidRDefault="00000000">
            <w:pPr>
              <w:jc w:val="center"/>
              <w:rPr>
                <w:rFonts w:cs="Cambria"/>
                <w:color w:val="000000" w:themeColor="text1"/>
              </w:rPr>
            </w:pPr>
            <w:r>
              <w:rPr>
                <w:rFonts w:cs="Cambria" w:hint="eastAsia"/>
                <w:color w:val="000000" w:themeColor="text1"/>
              </w:rPr>
              <w:t>本期发生额</w:t>
            </w:r>
          </w:p>
        </w:tc>
        <w:tc>
          <w:tcPr>
            <w:tcW w:w="1225" w:type="pct"/>
            <w:tcBorders>
              <w:top w:val="single" w:sz="4" w:space="0" w:color="auto"/>
              <w:left w:val="single" w:sz="4" w:space="0" w:color="auto"/>
              <w:right w:val="single" w:sz="4" w:space="0" w:color="auto"/>
            </w:tcBorders>
            <w:vAlign w:val="center"/>
          </w:tcPr>
          <w:p w14:paraId="41AE774E" w14:textId="77777777" w:rsidR="005E000F" w:rsidRDefault="00000000">
            <w:pPr>
              <w:jc w:val="center"/>
              <w:rPr>
                <w:rFonts w:cs="Cambria"/>
                <w:color w:val="000000" w:themeColor="text1"/>
              </w:rPr>
            </w:pPr>
            <w:r>
              <w:rPr>
                <w:rFonts w:cs="Cambria" w:hint="eastAsia"/>
                <w:color w:val="000000" w:themeColor="text1"/>
              </w:rPr>
              <w:t>上期发生额</w:t>
            </w:r>
          </w:p>
        </w:tc>
      </w:tr>
      <w:tr w:rsidR="005E000F" w14:paraId="74A9C2F1" w14:textId="77777777">
        <w:trPr>
          <w:cantSplit/>
        </w:trPr>
        <w:tc>
          <w:tcPr>
            <w:tcW w:w="1358" w:type="pct"/>
            <w:tcBorders>
              <w:top w:val="single" w:sz="4" w:space="0" w:color="auto"/>
              <w:left w:val="single" w:sz="4" w:space="0" w:color="auto"/>
              <w:bottom w:val="single" w:sz="4" w:space="0" w:color="auto"/>
              <w:right w:val="single" w:sz="4" w:space="0" w:color="auto"/>
            </w:tcBorders>
          </w:tcPr>
          <w:p w14:paraId="40478168" w14:textId="77777777" w:rsidR="005E000F" w:rsidRDefault="00000000">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tcPr>
          <w:p w14:paraId="123C5889" w14:textId="77777777" w:rsidR="005E000F" w:rsidRDefault="00000000">
            <w:r>
              <w:rPr>
                <w:rFonts w:hint="eastAsia"/>
              </w:rPr>
              <w:t>运输设施及其他辅助服务支出</w:t>
            </w:r>
          </w:p>
        </w:tc>
        <w:tc>
          <w:tcPr>
            <w:tcW w:w="2177" w:type="dxa"/>
            <w:tcBorders>
              <w:top w:val="single" w:sz="4" w:space="0" w:color="auto"/>
              <w:left w:val="single" w:sz="4" w:space="0" w:color="auto"/>
              <w:bottom w:val="single" w:sz="4" w:space="0" w:color="auto"/>
              <w:right w:val="single" w:sz="4" w:space="0" w:color="auto"/>
            </w:tcBorders>
            <w:vAlign w:val="center"/>
          </w:tcPr>
          <w:p w14:paraId="301D4CDF" w14:textId="77777777" w:rsidR="005E000F" w:rsidRDefault="00000000">
            <w:pPr>
              <w:jc w:val="right"/>
            </w:pPr>
            <w:r>
              <w:t>104,017,496</w:t>
            </w:r>
          </w:p>
        </w:tc>
        <w:tc>
          <w:tcPr>
            <w:tcW w:w="2179" w:type="dxa"/>
            <w:tcBorders>
              <w:top w:val="single" w:sz="4" w:space="0" w:color="auto"/>
              <w:left w:val="single" w:sz="4" w:space="0" w:color="auto"/>
              <w:bottom w:val="single" w:sz="4" w:space="0" w:color="auto"/>
              <w:right w:val="single" w:sz="4" w:space="0" w:color="auto"/>
            </w:tcBorders>
            <w:vAlign w:val="center"/>
          </w:tcPr>
          <w:p w14:paraId="6F1ADD54" w14:textId="77777777" w:rsidR="005E000F" w:rsidRDefault="00000000">
            <w:pPr>
              <w:jc w:val="right"/>
            </w:pPr>
            <w:r>
              <w:t>101,948,959</w:t>
            </w:r>
          </w:p>
        </w:tc>
      </w:tr>
      <w:tr w:rsidR="005E000F" w14:paraId="5689BD96" w14:textId="77777777">
        <w:trPr>
          <w:cantSplit/>
        </w:trPr>
        <w:tc>
          <w:tcPr>
            <w:tcW w:w="1358" w:type="pct"/>
            <w:tcBorders>
              <w:top w:val="single" w:sz="4" w:space="0" w:color="auto"/>
              <w:left w:val="single" w:sz="4" w:space="0" w:color="auto"/>
              <w:bottom w:val="single" w:sz="4" w:space="0" w:color="auto"/>
              <w:right w:val="single" w:sz="4" w:space="0" w:color="auto"/>
            </w:tcBorders>
          </w:tcPr>
          <w:p w14:paraId="2FA89941" w14:textId="77777777" w:rsidR="005E000F" w:rsidRDefault="00000000">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tcPr>
          <w:p w14:paraId="720C1645" w14:textId="77777777" w:rsidR="005E000F" w:rsidRDefault="00000000">
            <w:r>
              <w:rPr>
                <w:rFonts w:hint="eastAsia"/>
              </w:rPr>
              <w:t>运输设施及其他辅助服务支出</w:t>
            </w:r>
          </w:p>
        </w:tc>
        <w:tc>
          <w:tcPr>
            <w:tcW w:w="2177" w:type="dxa"/>
            <w:tcBorders>
              <w:top w:val="single" w:sz="4" w:space="0" w:color="auto"/>
              <w:left w:val="single" w:sz="4" w:space="0" w:color="auto"/>
              <w:bottom w:val="single" w:sz="4" w:space="0" w:color="auto"/>
              <w:right w:val="single" w:sz="4" w:space="0" w:color="auto"/>
            </w:tcBorders>
            <w:vAlign w:val="center"/>
          </w:tcPr>
          <w:p w14:paraId="54BF5618" w14:textId="77777777" w:rsidR="005E000F" w:rsidRDefault="00000000">
            <w:pPr>
              <w:jc w:val="right"/>
            </w:pPr>
            <w:r>
              <w:t>38,047,496</w:t>
            </w:r>
          </w:p>
        </w:tc>
        <w:tc>
          <w:tcPr>
            <w:tcW w:w="2179" w:type="dxa"/>
            <w:tcBorders>
              <w:top w:val="single" w:sz="4" w:space="0" w:color="auto"/>
              <w:left w:val="single" w:sz="4" w:space="0" w:color="auto"/>
              <w:bottom w:val="single" w:sz="4" w:space="0" w:color="auto"/>
              <w:right w:val="single" w:sz="4" w:space="0" w:color="auto"/>
            </w:tcBorders>
            <w:vAlign w:val="center"/>
          </w:tcPr>
          <w:p w14:paraId="4B56A877" w14:textId="77777777" w:rsidR="005E000F" w:rsidRDefault="00000000">
            <w:pPr>
              <w:jc w:val="right"/>
            </w:pPr>
            <w:r>
              <w:rPr>
                <w:rFonts w:hint="eastAsia"/>
              </w:rPr>
              <w:t>38</w:t>
            </w:r>
            <w:r>
              <w:t>,</w:t>
            </w:r>
            <w:r>
              <w:rPr>
                <w:rFonts w:hint="eastAsia"/>
              </w:rPr>
              <w:t>69</w:t>
            </w:r>
            <w:r>
              <w:t>8,959</w:t>
            </w:r>
          </w:p>
        </w:tc>
      </w:tr>
    </w:tbl>
    <w:p w14:paraId="7D3B13F5" w14:textId="77777777" w:rsidR="005E000F" w:rsidRDefault="005E000F">
      <w:pPr>
        <w:rPr>
          <w:rFonts w:cs="Cambria"/>
          <w:color w:val="000000" w:themeColor="text1"/>
        </w:rPr>
      </w:pPr>
    </w:p>
    <w:p w14:paraId="5E79907E" w14:textId="77777777" w:rsidR="005E000F" w:rsidRDefault="00000000">
      <w:pPr>
        <w:rPr>
          <w:rFonts w:cs="Cambria"/>
          <w:color w:val="000000" w:themeColor="text1"/>
        </w:rPr>
      </w:pPr>
      <w:r>
        <w:rPr>
          <w:rFonts w:cs="Cambria" w:hint="eastAsia"/>
          <w:color w:val="000000" w:themeColor="text1"/>
        </w:rPr>
        <w:t>（</w:t>
      </w:r>
      <w:r>
        <w:rPr>
          <w:rFonts w:cs="Cambria" w:hint="eastAsia"/>
          <w:color w:val="000000" w:themeColor="text1"/>
        </w:rPr>
        <w:t>d</w:t>
      </w:r>
      <w:r>
        <w:rPr>
          <w:rFonts w:cs="Cambria" w:hint="eastAsia"/>
          <w:color w:val="000000" w:themeColor="text1"/>
        </w:rPr>
        <w:t>）铁路其他服务</w:t>
      </w:r>
    </w:p>
    <w:p w14:paraId="78A92097" w14:textId="77777777" w:rsidR="005E000F" w:rsidRDefault="00000000">
      <w:pPr>
        <w:jc w:val="right"/>
        <w:rPr>
          <w:rFonts w:cs="Cambria"/>
          <w:color w:val="000000" w:themeColor="text1"/>
        </w:rPr>
      </w:pPr>
      <w:r>
        <w:rPr>
          <w:color w:val="000000" w:themeColor="text1"/>
        </w:rPr>
        <w:t>单位</w:t>
      </w:r>
      <w:r>
        <w:rPr>
          <w:rFonts w:hint="eastAsia"/>
          <w:color w:val="000000" w:themeColor="text1"/>
        </w:rPr>
        <w:t>：</w:t>
      </w:r>
      <w:r>
        <w:rPr>
          <w:color w:val="000000" w:themeColor="text1"/>
        </w:rPr>
        <w:t>元</w:t>
      </w:r>
      <w:r>
        <w:rPr>
          <w:color w:val="000000" w:themeColor="text1"/>
        </w:rPr>
        <w:t xml:space="preserve">  </w:t>
      </w:r>
      <w:r>
        <w:rPr>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651"/>
        <w:gridCol w:w="1888"/>
        <w:gridCol w:w="2175"/>
        <w:gridCol w:w="2179"/>
      </w:tblGrid>
      <w:tr w:rsidR="005E000F" w14:paraId="2E8ACF90" w14:textId="77777777">
        <w:trPr>
          <w:cantSplit/>
          <w:trHeight w:val="273"/>
        </w:trPr>
        <w:tc>
          <w:tcPr>
            <w:tcW w:w="1489" w:type="pct"/>
            <w:tcBorders>
              <w:top w:val="single" w:sz="4" w:space="0" w:color="auto"/>
              <w:left w:val="single" w:sz="4" w:space="0" w:color="auto"/>
              <w:bottom w:val="single" w:sz="4" w:space="0" w:color="auto"/>
              <w:right w:val="single" w:sz="4" w:space="0" w:color="auto"/>
            </w:tcBorders>
            <w:vAlign w:val="center"/>
          </w:tcPr>
          <w:p w14:paraId="0B543380" w14:textId="77777777" w:rsidR="005E000F" w:rsidRDefault="00000000">
            <w:pPr>
              <w:jc w:val="center"/>
              <w:rPr>
                <w:rFonts w:cs="Cambria"/>
                <w:color w:val="000000" w:themeColor="text1"/>
              </w:rPr>
            </w:pPr>
            <w:r>
              <w:rPr>
                <w:rFonts w:cs="Cambria" w:hint="eastAsia"/>
                <w:color w:val="000000" w:themeColor="text1"/>
              </w:rPr>
              <w:t>关联方</w:t>
            </w:r>
          </w:p>
        </w:tc>
        <w:tc>
          <w:tcPr>
            <w:tcW w:w="1061" w:type="pct"/>
            <w:tcBorders>
              <w:top w:val="single" w:sz="4" w:space="0" w:color="auto"/>
              <w:left w:val="single" w:sz="4" w:space="0" w:color="auto"/>
              <w:bottom w:val="single" w:sz="4" w:space="0" w:color="auto"/>
              <w:right w:val="single" w:sz="4" w:space="0" w:color="auto"/>
            </w:tcBorders>
            <w:vAlign w:val="center"/>
          </w:tcPr>
          <w:p w14:paraId="384865AE" w14:textId="77777777" w:rsidR="005E000F" w:rsidRDefault="00000000">
            <w:pPr>
              <w:jc w:val="center"/>
              <w:rPr>
                <w:rFonts w:cs="Cambria"/>
                <w:color w:val="000000" w:themeColor="text1"/>
              </w:rPr>
            </w:pPr>
            <w:r>
              <w:rPr>
                <w:rFonts w:cs="Cambria" w:hint="eastAsia"/>
                <w:color w:val="000000" w:themeColor="text1"/>
              </w:rPr>
              <w:t>关联交易内容</w:t>
            </w:r>
          </w:p>
        </w:tc>
        <w:tc>
          <w:tcPr>
            <w:tcW w:w="1223" w:type="pct"/>
            <w:tcBorders>
              <w:top w:val="single" w:sz="4" w:space="0" w:color="auto"/>
              <w:left w:val="single" w:sz="4" w:space="0" w:color="auto"/>
              <w:right w:val="single" w:sz="4" w:space="0" w:color="auto"/>
            </w:tcBorders>
            <w:vAlign w:val="center"/>
          </w:tcPr>
          <w:p w14:paraId="4C71962F" w14:textId="77777777" w:rsidR="005E000F" w:rsidRDefault="00000000">
            <w:pPr>
              <w:jc w:val="center"/>
              <w:rPr>
                <w:rFonts w:cs="Cambria"/>
                <w:color w:val="000000" w:themeColor="text1"/>
              </w:rPr>
            </w:pPr>
            <w:r>
              <w:rPr>
                <w:rFonts w:cs="Cambria" w:hint="eastAsia"/>
                <w:color w:val="000000" w:themeColor="text1"/>
              </w:rPr>
              <w:t>本期发生额</w:t>
            </w:r>
          </w:p>
        </w:tc>
        <w:tc>
          <w:tcPr>
            <w:tcW w:w="1225" w:type="pct"/>
            <w:tcBorders>
              <w:top w:val="single" w:sz="4" w:space="0" w:color="auto"/>
              <w:left w:val="single" w:sz="4" w:space="0" w:color="auto"/>
              <w:right w:val="single" w:sz="4" w:space="0" w:color="auto"/>
            </w:tcBorders>
            <w:vAlign w:val="center"/>
          </w:tcPr>
          <w:p w14:paraId="3C9B57F9" w14:textId="77777777" w:rsidR="005E000F" w:rsidRDefault="00000000">
            <w:pPr>
              <w:jc w:val="center"/>
              <w:rPr>
                <w:rFonts w:cs="Cambria"/>
                <w:color w:val="000000" w:themeColor="text1"/>
              </w:rPr>
            </w:pPr>
            <w:r>
              <w:rPr>
                <w:rFonts w:cs="Cambria" w:hint="eastAsia"/>
                <w:color w:val="000000" w:themeColor="text1"/>
              </w:rPr>
              <w:t>上期发生额</w:t>
            </w:r>
          </w:p>
        </w:tc>
      </w:tr>
      <w:tr w:rsidR="005E000F" w14:paraId="011A3A8D" w14:textId="77777777">
        <w:trPr>
          <w:cantSplit/>
        </w:trPr>
        <w:tc>
          <w:tcPr>
            <w:tcW w:w="1489" w:type="pct"/>
            <w:tcBorders>
              <w:top w:val="single" w:sz="4" w:space="0" w:color="auto"/>
              <w:left w:val="single" w:sz="4" w:space="0" w:color="auto"/>
              <w:bottom w:val="single" w:sz="4" w:space="0" w:color="auto"/>
              <w:right w:val="single" w:sz="4" w:space="0" w:color="auto"/>
            </w:tcBorders>
          </w:tcPr>
          <w:p w14:paraId="1E499491" w14:textId="77777777" w:rsidR="005E000F" w:rsidRDefault="00000000">
            <w:r>
              <w:rPr>
                <w:rFonts w:hint="eastAsia"/>
              </w:rPr>
              <w:t>中国铁路财务有限责任公司（注）</w:t>
            </w:r>
          </w:p>
        </w:tc>
        <w:tc>
          <w:tcPr>
            <w:tcW w:w="1061" w:type="pct"/>
            <w:tcBorders>
              <w:top w:val="single" w:sz="4" w:space="0" w:color="auto"/>
              <w:left w:val="single" w:sz="4" w:space="0" w:color="auto"/>
              <w:bottom w:val="single" w:sz="4" w:space="0" w:color="auto"/>
              <w:right w:val="single" w:sz="4" w:space="0" w:color="auto"/>
            </w:tcBorders>
          </w:tcPr>
          <w:p w14:paraId="07D53C92" w14:textId="77777777" w:rsidR="005E000F" w:rsidRDefault="00000000">
            <w:r>
              <w:rPr>
                <w:rFonts w:hint="eastAsia"/>
              </w:rPr>
              <w:t>资金存管变动净额</w:t>
            </w:r>
          </w:p>
        </w:tc>
        <w:tc>
          <w:tcPr>
            <w:tcW w:w="2176" w:type="dxa"/>
            <w:tcBorders>
              <w:top w:val="single" w:sz="4" w:space="0" w:color="auto"/>
              <w:left w:val="single" w:sz="4" w:space="0" w:color="auto"/>
              <w:bottom w:val="single" w:sz="4" w:space="0" w:color="auto"/>
              <w:right w:val="single" w:sz="4" w:space="0" w:color="auto"/>
            </w:tcBorders>
            <w:vAlign w:val="center"/>
          </w:tcPr>
          <w:p w14:paraId="1A8161DE" w14:textId="77777777" w:rsidR="005E000F" w:rsidRDefault="00000000">
            <w:pPr>
              <w:jc w:val="right"/>
            </w:pPr>
            <w:r>
              <w:t>805,230,684</w:t>
            </w:r>
          </w:p>
        </w:tc>
        <w:tc>
          <w:tcPr>
            <w:tcW w:w="1225" w:type="pct"/>
            <w:tcBorders>
              <w:top w:val="single" w:sz="4" w:space="0" w:color="auto"/>
              <w:left w:val="single" w:sz="4" w:space="0" w:color="auto"/>
              <w:bottom w:val="single" w:sz="4" w:space="0" w:color="auto"/>
              <w:right w:val="single" w:sz="4" w:space="0" w:color="auto"/>
            </w:tcBorders>
            <w:vAlign w:val="center"/>
          </w:tcPr>
          <w:p w14:paraId="7094374B" w14:textId="77777777" w:rsidR="005E000F" w:rsidRDefault="00000000">
            <w:pPr>
              <w:jc w:val="right"/>
            </w:pPr>
            <w:r>
              <w:t>3,312,131,320</w:t>
            </w:r>
            <w:r>
              <w:rPr>
                <w:rFonts w:hint="eastAsia"/>
              </w:rPr>
              <w:tab/>
            </w:r>
          </w:p>
        </w:tc>
      </w:tr>
      <w:tr w:rsidR="005E000F" w14:paraId="0F2BDD3C" w14:textId="77777777">
        <w:trPr>
          <w:cantSplit/>
        </w:trPr>
        <w:tc>
          <w:tcPr>
            <w:tcW w:w="2649" w:type="dxa"/>
            <w:tcBorders>
              <w:top w:val="single" w:sz="4" w:space="0" w:color="auto"/>
              <w:left w:val="single" w:sz="4" w:space="0" w:color="auto"/>
              <w:bottom w:val="single" w:sz="4" w:space="0" w:color="auto"/>
              <w:right w:val="single" w:sz="4" w:space="0" w:color="auto"/>
            </w:tcBorders>
            <w:vAlign w:val="center"/>
          </w:tcPr>
          <w:p w14:paraId="6644E1E7" w14:textId="77777777" w:rsidR="005E000F" w:rsidRDefault="00000000">
            <w:r>
              <w:rPr>
                <w:rFonts w:hint="eastAsia"/>
              </w:rPr>
              <w:t>中国铁路太原</w:t>
            </w:r>
            <w:proofErr w:type="gramStart"/>
            <w:r>
              <w:rPr>
                <w:rFonts w:hint="eastAsia"/>
              </w:rPr>
              <w:t>局集团</w:t>
            </w:r>
            <w:proofErr w:type="gramEnd"/>
            <w:r>
              <w:rPr>
                <w:rFonts w:hint="eastAsia"/>
              </w:rPr>
              <w:t>有限公司</w:t>
            </w:r>
          </w:p>
        </w:tc>
        <w:tc>
          <w:tcPr>
            <w:tcW w:w="1888" w:type="dxa"/>
            <w:tcBorders>
              <w:top w:val="single" w:sz="4" w:space="0" w:color="auto"/>
              <w:left w:val="single" w:sz="4" w:space="0" w:color="auto"/>
              <w:bottom w:val="single" w:sz="4" w:space="0" w:color="auto"/>
              <w:right w:val="single" w:sz="4" w:space="0" w:color="auto"/>
            </w:tcBorders>
            <w:vAlign w:val="center"/>
          </w:tcPr>
          <w:p w14:paraId="7B9B3AF9" w14:textId="77777777" w:rsidR="005E000F" w:rsidRDefault="00000000">
            <w:r>
              <w:rPr>
                <w:rFonts w:hint="eastAsia"/>
              </w:rPr>
              <w:t>委托贷款利息支出</w:t>
            </w:r>
          </w:p>
        </w:tc>
        <w:tc>
          <w:tcPr>
            <w:tcW w:w="2176" w:type="dxa"/>
            <w:tcBorders>
              <w:top w:val="single" w:sz="4" w:space="0" w:color="auto"/>
              <w:left w:val="single" w:sz="4" w:space="0" w:color="auto"/>
              <w:bottom w:val="single" w:sz="4" w:space="0" w:color="auto"/>
              <w:right w:val="single" w:sz="4" w:space="0" w:color="auto"/>
            </w:tcBorders>
            <w:vAlign w:val="center"/>
          </w:tcPr>
          <w:p w14:paraId="0D3268E2" w14:textId="77777777" w:rsidR="005E000F" w:rsidRDefault="00000000">
            <w:pPr>
              <w:jc w:val="right"/>
            </w:pPr>
            <w:r>
              <w:t>11,159,111</w:t>
            </w:r>
          </w:p>
        </w:tc>
        <w:tc>
          <w:tcPr>
            <w:tcW w:w="2179" w:type="dxa"/>
            <w:tcBorders>
              <w:top w:val="single" w:sz="4" w:space="0" w:color="auto"/>
              <w:left w:val="single" w:sz="4" w:space="0" w:color="auto"/>
              <w:bottom w:val="single" w:sz="4" w:space="0" w:color="auto"/>
              <w:right w:val="single" w:sz="4" w:space="0" w:color="auto"/>
            </w:tcBorders>
            <w:vAlign w:val="center"/>
          </w:tcPr>
          <w:p w14:paraId="61EE547B" w14:textId="77777777" w:rsidR="005E000F" w:rsidRDefault="00000000">
            <w:pPr>
              <w:jc w:val="right"/>
            </w:pPr>
            <w:r>
              <w:t xml:space="preserve"> 11,825,55</w:t>
            </w:r>
            <w:r>
              <w:rPr>
                <w:rFonts w:hint="eastAsia"/>
              </w:rPr>
              <w:t>6</w:t>
            </w:r>
            <w:r>
              <w:t xml:space="preserve"> </w:t>
            </w:r>
          </w:p>
        </w:tc>
      </w:tr>
    </w:tbl>
    <w:p w14:paraId="20D30584" w14:textId="77777777" w:rsidR="005E000F" w:rsidRDefault="005E000F">
      <w:pPr>
        <w:rPr>
          <w:color w:val="000000" w:themeColor="text1"/>
        </w:rPr>
      </w:pPr>
    </w:p>
    <w:p w14:paraId="5A874DB4" w14:textId="77777777" w:rsidR="005E000F" w:rsidRDefault="00000000">
      <w:pPr>
        <w:rPr>
          <w:color w:val="000000" w:themeColor="text1"/>
        </w:rPr>
      </w:pPr>
      <w:r>
        <w:rPr>
          <w:rFonts w:hint="eastAsia"/>
          <w:color w:val="000000" w:themeColor="text1"/>
        </w:rPr>
        <w:t>注：详见七、</w:t>
      </w:r>
      <w:r>
        <w:rPr>
          <w:rFonts w:hint="eastAsia"/>
          <w:color w:val="000000" w:themeColor="text1"/>
        </w:rPr>
        <w:t>13</w:t>
      </w:r>
      <w:r>
        <w:rPr>
          <w:rFonts w:hint="eastAsia"/>
          <w:color w:val="000000" w:themeColor="text1"/>
        </w:rPr>
        <w:t>、其他流动资产</w:t>
      </w:r>
      <w:r>
        <w:rPr>
          <w:rFonts w:hint="eastAsia"/>
          <w:color w:val="000000" w:themeColor="text1"/>
        </w:rPr>
        <w:t>30</w:t>
      </w:r>
      <w:r>
        <w:rPr>
          <w:rFonts w:hint="eastAsia"/>
          <w:color w:val="000000" w:themeColor="text1"/>
        </w:rPr>
        <w:t>、其他非流动资产其他说明。</w:t>
      </w:r>
    </w:p>
    <w:p w14:paraId="13BCC770" w14:textId="77777777" w:rsidR="005E000F" w:rsidRDefault="005E000F">
      <w:pPr>
        <w:ind w:rightChars="-369" w:right="-775"/>
        <w:rPr>
          <w:color w:val="000000" w:themeColor="text1"/>
        </w:rPr>
      </w:pPr>
    </w:p>
    <w:p w14:paraId="4C3BCD62" w14:textId="77777777" w:rsidR="005E000F" w:rsidRDefault="00000000">
      <w:pPr>
        <w:ind w:rightChars="-369" w:right="-775"/>
        <w:rPr>
          <w:color w:val="000000" w:themeColor="text1"/>
        </w:rPr>
      </w:pPr>
      <w:r>
        <w:rPr>
          <w:rFonts w:hint="eastAsia"/>
          <w:color w:val="000000" w:themeColor="text1"/>
        </w:rPr>
        <w:t>出售商品</w:t>
      </w:r>
      <w:r>
        <w:rPr>
          <w:rFonts w:hint="eastAsia"/>
          <w:color w:val="000000" w:themeColor="text1"/>
        </w:rPr>
        <w:t>/</w:t>
      </w:r>
      <w:r>
        <w:rPr>
          <w:rFonts w:hint="eastAsia"/>
          <w:color w:val="000000" w:themeColor="text1"/>
        </w:rPr>
        <w:t>提供劳务情况表</w:t>
      </w:r>
    </w:p>
    <w:sdt>
      <w:sdtPr>
        <w:rPr>
          <w:color w:val="000000" w:themeColor="text1"/>
        </w:rPr>
        <w:alias w:val="是否适用：出售商品或提供劳务情况表[双击切换]"/>
        <w:tag w:val="_GBC_18ae630e2f3641959d3a9fc1a3f3ccf3"/>
        <w:id w:val="-1955551582"/>
        <w:placeholder>
          <w:docPart w:val="{003fa489-df87-4104-9063-ce18adc91282}"/>
        </w:placeholder>
      </w:sdtPr>
      <w:sdtContent>
        <w:p w14:paraId="2D42FD32" w14:textId="77777777" w:rsidR="005E000F" w:rsidRDefault="00000000">
          <w:pPr>
            <w:ind w:rightChars="-369" w:right="-775"/>
            <w:rPr>
              <w:color w:val="000000" w:themeColor="text1"/>
            </w:rPr>
          </w:pPr>
          <w:r>
            <w:rPr>
              <w:rFonts w:ascii="宋体" w:hAnsi="宋体"/>
              <w:color w:val="000000" w:themeColor="text1"/>
            </w:rPr>
            <w:fldChar w:fldCharType="begin"/>
          </w:r>
          <w:r>
            <w:rPr>
              <w:rFonts w:ascii="宋体" w:hAnsi="宋体"/>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color w:val="000000" w:themeColor="text1"/>
            </w:rPr>
            <w:instrText xml:space="preserve"> MACROBUTTON  SnrToggleCheckbox □不适用 </w:instrText>
          </w:r>
          <w:r>
            <w:rPr>
              <w:rFonts w:ascii="宋体" w:hAnsi="宋体"/>
              <w:color w:val="000000" w:themeColor="text1"/>
            </w:rPr>
            <w:fldChar w:fldCharType="end"/>
          </w:r>
        </w:p>
      </w:sdtContent>
    </w:sdt>
    <w:p w14:paraId="7DF843C6" w14:textId="77777777" w:rsidR="005E000F" w:rsidRDefault="00000000">
      <w:pPr>
        <w:rPr>
          <w:rFonts w:cs="Cambria"/>
          <w:color w:val="000000" w:themeColor="text1"/>
        </w:rPr>
      </w:pPr>
      <w:r>
        <w:rPr>
          <w:rFonts w:cs="Cambria" w:hint="eastAsia"/>
          <w:color w:val="000000" w:themeColor="text1"/>
        </w:rPr>
        <w:t>（</w:t>
      </w:r>
      <w:r>
        <w:rPr>
          <w:rFonts w:cs="Cambria" w:hint="eastAsia"/>
          <w:color w:val="000000" w:themeColor="text1"/>
        </w:rPr>
        <w:t>a</w:t>
      </w:r>
      <w:r>
        <w:rPr>
          <w:rFonts w:cs="Cambria" w:hint="eastAsia"/>
          <w:color w:val="000000" w:themeColor="text1"/>
        </w:rPr>
        <w:t>）铁路运输服务</w:t>
      </w:r>
    </w:p>
    <w:p w14:paraId="384CF040" w14:textId="77777777" w:rsidR="005E000F" w:rsidRDefault="00000000">
      <w:pPr>
        <w:tabs>
          <w:tab w:val="left" w:pos="3870"/>
        </w:tabs>
        <w:rPr>
          <w:rFonts w:cs="Cambria"/>
          <w:color w:val="000000" w:themeColor="text1"/>
        </w:rPr>
      </w:pPr>
      <w:r>
        <w:rPr>
          <w:rFonts w:cs="Cambria" w:hint="eastAsia"/>
          <w:color w:val="000000" w:themeColor="text1"/>
        </w:rPr>
        <w:t>-</w:t>
      </w:r>
      <w:r>
        <w:rPr>
          <w:rFonts w:cs="Cambria" w:hint="eastAsia"/>
          <w:color w:val="000000" w:themeColor="text1"/>
        </w:rPr>
        <w:t>路网服务收入</w:t>
      </w:r>
    </w:p>
    <w:p w14:paraId="7AA9A1AF" w14:textId="77777777" w:rsidR="005E000F" w:rsidRDefault="00000000">
      <w:pPr>
        <w:tabs>
          <w:tab w:val="left" w:pos="3870"/>
        </w:tabs>
        <w:jc w:val="right"/>
        <w:rPr>
          <w:rFonts w:cs="Cambria"/>
          <w:color w:val="000000" w:themeColor="text1"/>
        </w:rPr>
      </w:pPr>
      <w:r>
        <w:rPr>
          <w:color w:val="000000" w:themeColor="text1"/>
        </w:rPr>
        <w:t>单位</w:t>
      </w:r>
      <w:r>
        <w:rPr>
          <w:rFonts w:hint="eastAsia"/>
          <w:color w:val="000000" w:themeColor="text1"/>
        </w:rPr>
        <w:t>：</w:t>
      </w:r>
      <w:r>
        <w:rPr>
          <w:color w:val="000000" w:themeColor="text1"/>
        </w:rPr>
        <w:t>元</w:t>
      </w:r>
      <w:r>
        <w:rPr>
          <w:color w:val="000000" w:themeColor="text1"/>
        </w:rPr>
        <w:t xml:space="preserve">  </w:t>
      </w:r>
      <w:r>
        <w:rPr>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415"/>
        <w:gridCol w:w="2248"/>
        <w:gridCol w:w="2051"/>
        <w:gridCol w:w="2179"/>
      </w:tblGrid>
      <w:tr w:rsidR="005E000F" w14:paraId="1D2572B3" w14:textId="77777777">
        <w:trPr>
          <w:cantSplit/>
          <w:trHeight w:val="273"/>
        </w:trPr>
        <w:tc>
          <w:tcPr>
            <w:tcW w:w="1357" w:type="pct"/>
            <w:tcBorders>
              <w:top w:val="single" w:sz="4" w:space="0" w:color="auto"/>
              <w:left w:val="single" w:sz="4" w:space="0" w:color="auto"/>
              <w:bottom w:val="single" w:sz="4" w:space="0" w:color="auto"/>
              <w:right w:val="single" w:sz="4" w:space="0" w:color="auto"/>
            </w:tcBorders>
            <w:vAlign w:val="center"/>
          </w:tcPr>
          <w:p w14:paraId="58ACBFFE" w14:textId="77777777" w:rsidR="005E000F" w:rsidRDefault="00000000">
            <w:pPr>
              <w:jc w:val="center"/>
              <w:rPr>
                <w:rFonts w:cs="Cambria"/>
                <w:color w:val="000000" w:themeColor="text1"/>
              </w:rPr>
            </w:pPr>
            <w:r>
              <w:rPr>
                <w:rFonts w:cs="Cambria" w:hint="eastAsia"/>
                <w:color w:val="000000" w:themeColor="text1"/>
              </w:rPr>
              <w:t>关联方</w:t>
            </w:r>
          </w:p>
        </w:tc>
        <w:tc>
          <w:tcPr>
            <w:tcW w:w="1263" w:type="pct"/>
            <w:tcBorders>
              <w:top w:val="single" w:sz="4" w:space="0" w:color="auto"/>
              <w:left w:val="single" w:sz="4" w:space="0" w:color="auto"/>
              <w:bottom w:val="single" w:sz="4" w:space="0" w:color="auto"/>
              <w:right w:val="single" w:sz="4" w:space="0" w:color="auto"/>
            </w:tcBorders>
            <w:vAlign w:val="center"/>
          </w:tcPr>
          <w:p w14:paraId="764E5234" w14:textId="77777777" w:rsidR="005E000F" w:rsidRDefault="00000000">
            <w:pPr>
              <w:jc w:val="center"/>
              <w:rPr>
                <w:rFonts w:cs="Cambria"/>
                <w:color w:val="000000" w:themeColor="text1"/>
              </w:rPr>
            </w:pPr>
            <w:r>
              <w:rPr>
                <w:rFonts w:cs="Cambria" w:hint="eastAsia"/>
                <w:color w:val="000000" w:themeColor="text1"/>
              </w:rPr>
              <w:t>关联交易内容</w:t>
            </w:r>
          </w:p>
        </w:tc>
        <w:tc>
          <w:tcPr>
            <w:tcW w:w="1153" w:type="pct"/>
            <w:tcBorders>
              <w:top w:val="single" w:sz="4" w:space="0" w:color="auto"/>
              <w:left w:val="single" w:sz="4" w:space="0" w:color="auto"/>
              <w:right w:val="single" w:sz="4" w:space="0" w:color="auto"/>
            </w:tcBorders>
            <w:vAlign w:val="center"/>
          </w:tcPr>
          <w:p w14:paraId="35B49A6A" w14:textId="77777777" w:rsidR="005E000F" w:rsidRDefault="00000000">
            <w:pPr>
              <w:jc w:val="center"/>
              <w:rPr>
                <w:rFonts w:cs="Cambria"/>
                <w:color w:val="000000" w:themeColor="text1"/>
              </w:rPr>
            </w:pPr>
            <w:r>
              <w:rPr>
                <w:rFonts w:cs="Cambria" w:hint="eastAsia"/>
                <w:color w:val="000000" w:themeColor="text1"/>
              </w:rPr>
              <w:t>本期发生额</w:t>
            </w:r>
          </w:p>
        </w:tc>
        <w:tc>
          <w:tcPr>
            <w:tcW w:w="1225" w:type="pct"/>
            <w:tcBorders>
              <w:top w:val="single" w:sz="4" w:space="0" w:color="auto"/>
              <w:left w:val="single" w:sz="4" w:space="0" w:color="auto"/>
              <w:right w:val="single" w:sz="4" w:space="0" w:color="auto"/>
            </w:tcBorders>
            <w:vAlign w:val="center"/>
          </w:tcPr>
          <w:p w14:paraId="6C94A25B" w14:textId="77777777" w:rsidR="005E000F" w:rsidRDefault="00000000">
            <w:pPr>
              <w:jc w:val="center"/>
              <w:rPr>
                <w:rFonts w:cs="Cambria"/>
                <w:color w:val="000000" w:themeColor="text1"/>
              </w:rPr>
            </w:pPr>
            <w:r>
              <w:rPr>
                <w:rFonts w:cs="Cambria" w:hint="eastAsia"/>
                <w:color w:val="000000" w:themeColor="text1"/>
              </w:rPr>
              <w:t>上期发生额</w:t>
            </w:r>
          </w:p>
        </w:tc>
      </w:tr>
      <w:tr w:rsidR="005E000F" w14:paraId="3489D4D5" w14:textId="77777777">
        <w:trPr>
          <w:cantSplit/>
        </w:trPr>
        <w:tc>
          <w:tcPr>
            <w:tcW w:w="1357" w:type="pct"/>
            <w:tcBorders>
              <w:top w:val="single" w:sz="4" w:space="0" w:color="auto"/>
              <w:left w:val="single" w:sz="4" w:space="0" w:color="auto"/>
              <w:bottom w:val="single" w:sz="4" w:space="0" w:color="auto"/>
              <w:right w:val="single" w:sz="4" w:space="0" w:color="auto"/>
            </w:tcBorders>
          </w:tcPr>
          <w:p w14:paraId="40ADF766" w14:textId="77777777" w:rsidR="005E000F" w:rsidRDefault="00000000">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tcPr>
          <w:p w14:paraId="6CF8CAA2" w14:textId="77777777" w:rsidR="005E000F" w:rsidRDefault="00000000">
            <w:r>
              <w:rPr>
                <w:rFonts w:hint="eastAsia"/>
              </w:rPr>
              <w:t>线路使用费</w:t>
            </w:r>
          </w:p>
        </w:tc>
        <w:tc>
          <w:tcPr>
            <w:tcW w:w="2052" w:type="dxa"/>
            <w:tcBorders>
              <w:top w:val="single" w:sz="4" w:space="0" w:color="auto"/>
              <w:left w:val="single" w:sz="4" w:space="0" w:color="auto"/>
              <w:bottom w:val="single" w:sz="4" w:space="0" w:color="auto"/>
              <w:right w:val="single" w:sz="4" w:space="0" w:color="auto"/>
            </w:tcBorders>
            <w:vAlign w:val="center"/>
          </w:tcPr>
          <w:p w14:paraId="1F82AD1A" w14:textId="77777777" w:rsidR="005E000F" w:rsidRDefault="00000000">
            <w:pPr>
              <w:jc w:val="right"/>
            </w:pPr>
            <w:r>
              <w:t>1,470,250,837</w:t>
            </w:r>
          </w:p>
        </w:tc>
        <w:tc>
          <w:tcPr>
            <w:tcW w:w="2180" w:type="dxa"/>
            <w:tcBorders>
              <w:top w:val="single" w:sz="4" w:space="0" w:color="auto"/>
              <w:left w:val="single" w:sz="4" w:space="0" w:color="auto"/>
              <w:bottom w:val="single" w:sz="4" w:space="0" w:color="auto"/>
              <w:right w:val="single" w:sz="4" w:space="0" w:color="auto"/>
            </w:tcBorders>
          </w:tcPr>
          <w:p w14:paraId="733788D9" w14:textId="77777777" w:rsidR="005E000F" w:rsidRDefault="00000000">
            <w:pPr>
              <w:jc w:val="right"/>
            </w:pPr>
            <w:r>
              <w:t>1,055,931,505</w:t>
            </w:r>
          </w:p>
        </w:tc>
      </w:tr>
      <w:tr w:rsidR="005E000F" w14:paraId="5736978E" w14:textId="77777777">
        <w:trPr>
          <w:cantSplit/>
        </w:trPr>
        <w:tc>
          <w:tcPr>
            <w:tcW w:w="1357" w:type="pct"/>
            <w:tcBorders>
              <w:top w:val="single" w:sz="4" w:space="0" w:color="auto"/>
              <w:left w:val="single" w:sz="4" w:space="0" w:color="auto"/>
              <w:bottom w:val="single" w:sz="4" w:space="0" w:color="auto"/>
              <w:right w:val="single" w:sz="4" w:space="0" w:color="auto"/>
            </w:tcBorders>
          </w:tcPr>
          <w:p w14:paraId="26B6CDB7" w14:textId="77777777" w:rsidR="005E000F" w:rsidRDefault="00000000">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tcPr>
          <w:p w14:paraId="4DFEB341" w14:textId="77777777" w:rsidR="005E000F" w:rsidRDefault="00000000">
            <w:r>
              <w:rPr>
                <w:rFonts w:hint="eastAsia"/>
              </w:rPr>
              <w:t>机车牵引费</w:t>
            </w:r>
          </w:p>
        </w:tc>
        <w:tc>
          <w:tcPr>
            <w:tcW w:w="2052" w:type="dxa"/>
            <w:tcBorders>
              <w:top w:val="single" w:sz="4" w:space="0" w:color="auto"/>
              <w:left w:val="single" w:sz="4" w:space="0" w:color="auto"/>
              <w:bottom w:val="single" w:sz="4" w:space="0" w:color="auto"/>
              <w:right w:val="single" w:sz="4" w:space="0" w:color="auto"/>
            </w:tcBorders>
            <w:vAlign w:val="center"/>
          </w:tcPr>
          <w:p w14:paraId="3F2FB348" w14:textId="77777777" w:rsidR="005E000F" w:rsidRDefault="00000000">
            <w:pPr>
              <w:jc w:val="right"/>
            </w:pPr>
            <w:r>
              <w:t>1,732,524,113</w:t>
            </w:r>
          </w:p>
        </w:tc>
        <w:tc>
          <w:tcPr>
            <w:tcW w:w="2180" w:type="dxa"/>
            <w:tcBorders>
              <w:top w:val="single" w:sz="4" w:space="0" w:color="auto"/>
              <w:left w:val="single" w:sz="4" w:space="0" w:color="auto"/>
              <w:bottom w:val="single" w:sz="4" w:space="0" w:color="auto"/>
              <w:right w:val="single" w:sz="4" w:space="0" w:color="auto"/>
            </w:tcBorders>
          </w:tcPr>
          <w:p w14:paraId="23FDB5DD" w14:textId="77777777" w:rsidR="005E000F" w:rsidRDefault="00000000">
            <w:pPr>
              <w:jc w:val="right"/>
            </w:pPr>
            <w:r>
              <w:t>1,782,413,003</w:t>
            </w:r>
          </w:p>
        </w:tc>
      </w:tr>
      <w:tr w:rsidR="005E000F" w14:paraId="0BC3C18C" w14:textId="77777777">
        <w:trPr>
          <w:cantSplit/>
        </w:trPr>
        <w:tc>
          <w:tcPr>
            <w:tcW w:w="1357" w:type="pct"/>
            <w:tcBorders>
              <w:top w:val="single" w:sz="4" w:space="0" w:color="auto"/>
              <w:left w:val="single" w:sz="4" w:space="0" w:color="auto"/>
              <w:bottom w:val="single" w:sz="4" w:space="0" w:color="auto"/>
              <w:right w:val="single" w:sz="4" w:space="0" w:color="auto"/>
            </w:tcBorders>
          </w:tcPr>
          <w:p w14:paraId="64610C3C" w14:textId="77777777" w:rsidR="005E000F" w:rsidRDefault="00000000">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tcPr>
          <w:p w14:paraId="7A1F37FB" w14:textId="77777777" w:rsidR="005E000F" w:rsidRDefault="00000000">
            <w:r>
              <w:rPr>
                <w:rFonts w:hint="eastAsia"/>
              </w:rPr>
              <w:t>接触网使用费</w:t>
            </w:r>
          </w:p>
        </w:tc>
        <w:tc>
          <w:tcPr>
            <w:tcW w:w="2052" w:type="dxa"/>
            <w:tcBorders>
              <w:top w:val="single" w:sz="4" w:space="0" w:color="auto"/>
              <w:left w:val="single" w:sz="4" w:space="0" w:color="auto"/>
              <w:bottom w:val="single" w:sz="4" w:space="0" w:color="auto"/>
              <w:right w:val="single" w:sz="4" w:space="0" w:color="auto"/>
            </w:tcBorders>
            <w:vAlign w:val="center"/>
          </w:tcPr>
          <w:p w14:paraId="1AB37E63" w14:textId="77777777" w:rsidR="005E000F" w:rsidRDefault="00000000">
            <w:pPr>
              <w:jc w:val="right"/>
            </w:pPr>
            <w:r>
              <w:t xml:space="preserve"> 503,437,356 </w:t>
            </w:r>
          </w:p>
        </w:tc>
        <w:tc>
          <w:tcPr>
            <w:tcW w:w="2180" w:type="dxa"/>
            <w:tcBorders>
              <w:top w:val="single" w:sz="4" w:space="0" w:color="auto"/>
              <w:left w:val="single" w:sz="4" w:space="0" w:color="auto"/>
              <w:bottom w:val="single" w:sz="4" w:space="0" w:color="auto"/>
              <w:right w:val="single" w:sz="4" w:space="0" w:color="auto"/>
            </w:tcBorders>
          </w:tcPr>
          <w:p w14:paraId="73046C83" w14:textId="77777777" w:rsidR="005E000F" w:rsidRDefault="00000000">
            <w:pPr>
              <w:jc w:val="right"/>
            </w:pPr>
            <w:r>
              <w:t>384,200,507</w:t>
            </w:r>
          </w:p>
        </w:tc>
      </w:tr>
      <w:tr w:rsidR="005E000F" w14:paraId="2EC158BB" w14:textId="77777777">
        <w:trPr>
          <w:cantSplit/>
        </w:trPr>
        <w:tc>
          <w:tcPr>
            <w:tcW w:w="1357" w:type="pct"/>
            <w:tcBorders>
              <w:top w:val="single" w:sz="4" w:space="0" w:color="auto"/>
              <w:left w:val="single" w:sz="4" w:space="0" w:color="auto"/>
              <w:bottom w:val="single" w:sz="4" w:space="0" w:color="auto"/>
              <w:right w:val="single" w:sz="4" w:space="0" w:color="auto"/>
            </w:tcBorders>
          </w:tcPr>
          <w:p w14:paraId="6FE4D752" w14:textId="77777777" w:rsidR="005E000F" w:rsidRDefault="00000000">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tcPr>
          <w:p w14:paraId="39255F39" w14:textId="77777777" w:rsidR="005E000F" w:rsidRDefault="00000000">
            <w:r>
              <w:rPr>
                <w:rFonts w:hint="eastAsia"/>
              </w:rPr>
              <w:t>到达作业服务收入</w:t>
            </w:r>
          </w:p>
        </w:tc>
        <w:tc>
          <w:tcPr>
            <w:tcW w:w="2052" w:type="dxa"/>
            <w:tcBorders>
              <w:top w:val="single" w:sz="4" w:space="0" w:color="auto"/>
              <w:left w:val="single" w:sz="4" w:space="0" w:color="auto"/>
              <w:bottom w:val="single" w:sz="4" w:space="0" w:color="auto"/>
              <w:right w:val="single" w:sz="4" w:space="0" w:color="auto"/>
            </w:tcBorders>
            <w:vAlign w:val="center"/>
          </w:tcPr>
          <w:p w14:paraId="69C2E00D" w14:textId="77777777" w:rsidR="005E000F" w:rsidRDefault="00000000">
            <w:pPr>
              <w:jc w:val="right"/>
            </w:pPr>
            <w:r>
              <w:t xml:space="preserve"> 1,078,668,340 </w:t>
            </w:r>
          </w:p>
        </w:tc>
        <w:tc>
          <w:tcPr>
            <w:tcW w:w="2180" w:type="dxa"/>
            <w:tcBorders>
              <w:top w:val="single" w:sz="4" w:space="0" w:color="auto"/>
              <w:left w:val="single" w:sz="4" w:space="0" w:color="auto"/>
              <w:bottom w:val="single" w:sz="4" w:space="0" w:color="auto"/>
              <w:right w:val="single" w:sz="4" w:space="0" w:color="auto"/>
            </w:tcBorders>
          </w:tcPr>
          <w:p w14:paraId="741A4476" w14:textId="77777777" w:rsidR="005E000F" w:rsidRDefault="00000000">
            <w:pPr>
              <w:jc w:val="right"/>
            </w:pPr>
            <w:r>
              <w:t>911,031,940</w:t>
            </w:r>
          </w:p>
        </w:tc>
      </w:tr>
      <w:tr w:rsidR="005E000F" w14:paraId="12E2AB1A" w14:textId="77777777">
        <w:trPr>
          <w:cantSplit/>
        </w:trPr>
        <w:tc>
          <w:tcPr>
            <w:tcW w:w="1357" w:type="pct"/>
            <w:tcBorders>
              <w:top w:val="single" w:sz="4" w:space="0" w:color="auto"/>
              <w:left w:val="single" w:sz="4" w:space="0" w:color="auto"/>
              <w:bottom w:val="single" w:sz="4" w:space="0" w:color="auto"/>
              <w:right w:val="single" w:sz="4" w:space="0" w:color="auto"/>
            </w:tcBorders>
          </w:tcPr>
          <w:p w14:paraId="4A75CD22" w14:textId="77777777" w:rsidR="005E000F" w:rsidRDefault="00000000">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tcPr>
          <w:p w14:paraId="244B6AF8" w14:textId="77777777" w:rsidR="005E000F" w:rsidRDefault="00000000">
            <w:r>
              <w:rPr>
                <w:rFonts w:hint="eastAsia"/>
              </w:rPr>
              <w:t>车辆服务收入</w:t>
            </w:r>
          </w:p>
        </w:tc>
        <w:tc>
          <w:tcPr>
            <w:tcW w:w="2052" w:type="dxa"/>
            <w:tcBorders>
              <w:top w:val="single" w:sz="4" w:space="0" w:color="auto"/>
              <w:left w:val="single" w:sz="4" w:space="0" w:color="auto"/>
              <w:bottom w:val="single" w:sz="4" w:space="0" w:color="auto"/>
              <w:right w:val="single" w:sz="4" w:space="0" w:color="auto"/>
            </w:tcBorders>
            <w:vAlign w:val="center"/>
          </w:tcPr>
          <w:p w14:paraId="7C5368DB" w14:textId="77777777" w:rsidR="005E000F" w:rsidRDefault="00000000">
            <w:pPr>
              <w:jc w:val="right"/>
            </w:pPr>
            <w:r>
              <w:t xml:space="preserve"> 505,936,101 </w:t>
            </w:r>
          </w:p>
        </w:tc>
        <w:tc>
          <w:tcPr>
            <w:tcW w:w="2180" w:type="dxa"/>
            <w:tcBorders>
              <w:top w:val="single" w:sz="4" w:space="0" w:color="auto"/>
              <w:left w:val="single" w:sz="4" w:space="0" w:color="auto"/>
              <w:bottom w:val="single" w:sz="4" w:space="0" w:color="auto"/>
              <w:right w:val="single" w:sz="4" w:space="0" w:color="auto"/>
            </w:tcBorders>
          </w:tcPr>
          <w:p w14:paraId="26EAA5AD" w14:textId="77777777" w:rsidR="005E000F" w:rsidRDefault="00000000">
            <w:pPr>
              <w:jc w:val="right"/>
            </w:pPr>
            <w:r>
              <w:t>571,964,420</w:t>
            </w:r>
          </w:p>
        </w:tc>
      </w:tr>
      <w:tr w:rsidR="005E000F" w14:paraId="5EA95AA9" w14:textId="77777777">
        <w:trPr>
          <w:cantSplit/>
        </w:trPr>
        <w:tc>
          <w:tcPr>
            <w:tcW w:w="1357" w:type="pct"/>
            <w:tcBorders>
              <w:top w:val="single" w:sz="4" w:space="0" w:color="auto"/>
              <w:left w:val="single" w:sz="4" w:space="0" w:color="auto"/>
              <w:bottom w:val="single" w:sz="4" w:space="0" w:color="auto"/>
              <w:right w:val="single" w:sz="4" w:space="0" w:color="auto"/>
            </w:tcBorders>
          </w:tcPr>
          <w:p w14:paraId="1CCAC257" w14:textId="77777777" w:rsidR="005E000F" w:rsidRDefault="00000000">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tcPr>
          <w:p w14:paraId="298E386E" w14:textId="77777777" w:rsidR="005E000F" w:rsidRDefault="00000000">
            <w:r>
              <w:rPr>
                <w:rFonts w:hint="eastAsia"/>
              </w:rPr>
              <w:t>中转服务收入</w:t>
            </w:r>
          </w:p>
        </w:tc>
        <w:tc>
          <w:tcPr>
            <w:tcW w:w="2052" w:type="dxa"/>
            <w:tcBorders>
              <w:top w:val="single" w:sz="4" w:space="0" w:color="auto"/>
              <w:left w:val="single" w:sz="4" w:space="0" w:color="auto"/>
              <w:bottom w:val="single" w:sz="4" w:space="0" w:color="auto"/>
              <w:right w:val="single" w:sz="4" w:space="0" w:color="auto"/>
            </w:tcBorders>
            <w:vAlign w:val="center"/>
          </w:tcPr>
          <w:p w14:paraId="5017AFF9" w14:textId="77777777" w:rsidR="005E000F" w:rsidRDefault="00000000">
            <w:pPr>
              <w:jc w:val="right"/>
            </w:pPr>
            <w:r>
              <w:t xml:space="preserve"> 270,852,983 </w:t>
            </w:r>
          </w:p>
        </w:tc>
        <w:tc>
          <w:tcPr>
            <w:tcW w:w="2180" w:type="dxa"/>
            <w:tcBorders>
              <w:top w:val="single" w:sz="4" w:space="0" w:color="auto"/>
              <w:left w:val="single" w:sz="4" w:space="0" w:color="auto"/>
              <w:bottom w:val="single" w:sz="4" w:space="0" w:color="auto"/>
              <w:right w:val="single" w:sz="4" w:space="0" w:color="auto"/>
            </w:tcBorders>
          </w:tcPr>
          <w:p w14:paraId="37C6BF65" w14:textId="77777777" w:rsidR="005E000F" w:rsidRDefault="00000000">
            <w:pPr>
              <w:jc w:val="right"/>
            </w:pPr>
            <w:r>
              <w:t>257,659,862</w:t>
            </w:r>
          </w:p>
        </w:tc>
      </w:tr>
      <w:tr w:rsidR="005E000F" w14:paraId="76CA48FD" w14:textId="77777777">
        <w:trPr>
          <w:cantSplit/>
        </w:trPr>
        <w:tc>
          <w:tcPr>
            <w:tcW w:w="1357" w:type="pct"/>
            <w:tcBorders>
              <w:top w:val="single" w:sz="4" w:space="0" w:color="auto"/>
              <w:left w:val="single" w:sz="4" w:space="0" w:color="auto"/>
              <w:bottom w:val="single" w:sz="4" w:space="0" w:color="auto"/>
              <w:right w:val="single" w:sz="4" w:space="0" w:color="auto"/>
            </w:tcBorders>
          </w:tcPr>
          <w:p w14:paraId="2207DE7D" w14:textId="77777777" w:rsidR="005E000F" w:rsidRDefault="00000000">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tcPr>
          <w:p w14:paraId="22EF13C4" w14:textId="77777777" w:rsidR="005E000F" w:rsidRDefault="00000000">
            <w:r>
              <w:rPr>
                <w:rFonts w:hint="eastAsia"/>
              </w:rPr>
              <w:t>货运空车走行服务收入</w:t>
            </w:r>
          </w:p>
        </w:tc>
        <w:tc>
          <w:tcPr>
            <w:tcW w:w="2052" w:type="dxa"/>
            <w:tcBorders>
              <w:top w:val="single" w:sz="4" w:space="0" w:color="auto"/>
              <w:left w:val="single" w:sz="4" w:space="0" w:color="auto"/>
              <w:bottom w:val="single" w:sz="4" w:space="0" w:color="auto"/>
              <w:right w:val="single" w:sz="4" w:space="0" w:color="auto"/>
            </w:tcBorders>
            <w:vAlign w:val="center"/>
          </w:tcPr>
          <w:p w14:paraId="48D5FC14" w14:textId="77777777" w:rsidR="005E000F" w:rsidRDefault="00000000">
            <w:pPr>
              <w:jc w:val="right"/>
            </w:pPr>
            <w:r>
              <w:t xml:space="preserve"> 703,653,890 </w:t>
            </w:r>
          </w:p>
        </w:tc>
        <w:tc>
          <w:tcPr>
            <w:tcW w:w="2180" w:type="dxa"/>
            <w:tcBorders>
              <w:top w:val="single" w:sz="4" w:space="0" w:color="auto"/>
              <w:left w:val="single" w:sz="4" w:space="0" w:color="auto"/>
              <w:bottom w:val="single" w:sz="4" w:space="0" w:color="auto"/>
              <w:right w:val="single" w:sz="4" w:space="0" w:color="auto"/>
            </w:tcBorders>
          </w:tcPr>
          <w:p w14:paraId="543455BE" w14:textId="77777777" w:rsidR="005E000F" w:rsidRDefault="00000000">
            <w:pPr>
              <w:jc w:val="right"/>
            </w:pPr>
            <w:r>
              <w:t>737,722,409</w:t>
            </w:r>
          </w:p>
        </w:tc>
      </w:tr>
      <w:tr w:rsidR="005E000F" w14:paraId="727FF837" w14:textId="77777777">
        <w:trPr>
          <w:cantSplit/>
        </w:trPr>
        <w:tc>
          <w:tcPr>
            <w:tcW w:w="1357" w:type="pct"/>
            <w:tcBorders>
              <w:top w:val="single" w:sz="4" w:space="0" w:color="auto"/>
              <w:left w:val="single" w:sz="4" w:space="0" w:color="auto"/>
              <w:bottom w:val="single" w:sz="4" w:space="0" w:color="auto"/>
              <w:right w:val="single" w:sz="4" w:space="0" w:color="auto"/>
            </w:tcBorders>
          </w:tcPr>
          <w:p w14:paraId="495F127D" w14:textId="77777777" w:rsidR="005E000F" w:rsidRDefault="00000000">
            <w:r>
              <w:rPr>
                <w:rFonts w:hint="eastAsia"/>
              </w:rPr>
              <w:t>国铁集团及其下属单位</w:t>
            </w:r>
          </w:p>
        </w:tc>
        <w:tc>
          <w:tcPr>
            <w:tcW w:w="1263" w:type="pct"/>
            <w:tcBorders>
              <w:top w:val="single" w:sz="4" w:space="0" w:color="auto"/>
              <w:left w:val="single" w:sz="4" w:space="0" w:color="auto"/>
              <w:bottom w:val="single" w:sz="4" w:space="0" w:color="auto"/>
              <w:right w:val="single" w:sz="4" w:space="0" w:color="auto"/>
            </w:tcBorders>
          </w:tcPr>
          <w:p w14:paraId="5F55138F" w14:textId="77777777" w:rsidR="005E000F" w:rsidRDefault="00000000">
            <w:r>
              <w:rPr>
                <w:rFonts w:hint="eastAsia"/>
              </w:rPr>
              <w:t>其他服务收入</w:t>
            </w:r>
          </w:p>
        </w:tc>
        <w:tc>
          <w:tcPr>
            <w:tcW w:w="2052" w:type="dxa"/>
            <w:tcBorders>
              <w:top w:val="single" w:sz="4" w:space="0" w:color="auto"/>
              <w:left w:val="single" w:sz="4" w:space="0" w:color="auto"/>
              <w:bottom w:val="single" w:sz="4" w:space="0" w:color="auto"/>
              <w:right w:val="single" w:sz="4" w:space="0" w:color="auto"/>
            </w:tcBorders>
            <w:vAlign w:val="center"/>
          </w:tcPr>
          <w:p w14:paraId="5DDC4018" w14:textId="77777777" w:rsidR="005E000F" w:rsidRDefault="00000000">
            <w:pPr>
              <w:jc w:val="right"/>
            </w:pPr>
            <w:r>
              <w:t xml:space="preserve"> 710,446,522 </w:t>
            </w:r>
          </w:p>
        </w:tc>
        <w:tc>
          <w:tcPr>
            <w:tcW w:w="2180" w:type="dxa"/>
            <w:tcBorders>
              <w:top w:val="single" w:sz="4" w:space="0" w:color="auto"/>
              <w:left w:val="single" w:sz="4" w:space="0" w:color="auto"/>
              <w:bottom w:val="single" w:sz="4" w:space="0" w:color="auto"/>
              <w:right w:val="single" w:sz="4" w:space="0" w:color="auto"/>
            </w:tcBorders>
          </w:tcPr>
          <w:p w14:paraId="6593CF2E" w14:textId="77777777" w:rsidR="005E000F" w:rsidRDefault="00000000">
            <w:pPr>
              <w:jc w:val="right"/>
            </w:pPr>
            <w:r>
              <w:t>143,838,036</w:t>
            </w:r>
          </w:p>
        </w:tc>
      </w:tr>
    </w:tbl>
    <w:p w14:paraId="32625463" w14:textId="77777777" w:rsidR="005E000F" w:rsidRDefault="005E000F">
      <w:pPr>
        <w:rPr>
          <w:color w:val="000000" w:themeColor="text1"/>
        </w:rPr>
      </w:pPr>
    </w:p>
    <w:p w14:paraId="014C1DEE" w14:textId="77777777" w:rsidR="005E000F" w:rsidRDefault="00000000">
      <w:pPr>
        <w:rPr>
          <w:rFonts w:cs="Cambria"/>
        </w:rPr>
      </w:pPr>
      <w:r>
        <w:rPr>
          <w:rFonts w:cs="Cambria" w:hint="eastAsia"/>
        </w:rPr>
        <w:t>购销商品、提供和接受劳务的关联交易说明</w:t>
      </w:r>
    </w:p>
    <w:sdt>
      <w:sdtPr>
        <w:rPr>
          <w:rFonts w:cs="Cambria"/>
        </w:rPr>
        <w:alias w:val="是否适用：购销商品、提供和接受劳务的关联交易说明[双击切换]"/>
        <w:tag w:val="_GBC_bfac708300bd4f9886d4b6bc97c99022"/>
        <w:id w:val="1342432900"/>
        <w:placeholder>
          <w:docPart w:val="GBC22222222222222222222222222222"/>
        </w:placeholder>
      </w:sdtPr>
      <w:sdtContent>
        <w:p w14:paraId="6024DD45" w14:textId="77777777" w:rsidR="005E000F" w:rsidRDefault="00000000">
          <w:pPr>
            <w:rPr>
              <w:rFonts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rPr>
            <w:instrText xml:space="preserve"> MACROBUTTON  SnrToggleCheckbox □不适用 </w:instrText>
          </w:r>
          <w:r>
            <w:rPr>
              <w:rFonts w:ascii="宋体" w:hAnsi="宋体" w:cs="Cambria"/>
            </w:rPr>
            <w:fldChar w:fldCharType="end"/>
          </w:r>
        </w:p>
      </w:sdtContent>
    </w:sdt>
    <w:sdt>
      <w:sdtPr>
        <w:rPr>
          <w:rFonts w:cs="Cambria"/>
        </w:rPr>
        <w:alias w:val="购销商品、提供和接受劳务的关联交易说明"/>
        <w:tag w:val="_GBC_2e3d658b1c454acb945f621162cfd0e7"/>
        <w:id w:val="-1229531409"/>
        <w:placeholder>
          <w:docPart w:val="GBC22222222222222222222222222222"/>
        </w:placeholder>
      </w:sdtPr>
      <w:sdtContent>
        <w:p w14:paraId="0149878C" w14:textId="77777777" w:rsidR="005E000F" w:rsidRDefault="005E000F">
          <w:pPr>
            <w:rPr>
              <w:rFonts w:cs="Cambria"/>
              <w:color w:val="000000" w:themeColor="text1"/>
            </w:rPr>
          </w:pPr>
        </w:p>
        <w:p w14:paraId="7CE1BEE0" w14:textId="77777777" w:rsidR="005E000F" w:rsidRDefault="00000000">
          <w:pPr>
            <w:rPr>
              <w:rFonts w:cs="Cambria"/>
              <w:color w:val="000000" w:themeColor="text1"/>
            </w:rPr>
          </w:pPr>
          <w:r>
            <w:rPr>
              <w:rFonts w:cs="Cambria" w:hint="eastAsia"/>
              <w:color w:val="000000" w:themeColor="text1"/>
            </w:rPr>
            <w:t>-</w:t>
          </w:r>
          <w:r>
            <w:rPr>
              <w:rFonts w:cs="Cambria" w:hint="eastAsia"/>
              <w:color w:val="000000" w:themeColor="text1"/>
            </w:rPr>
            <w:t>铁路基础设施及运输设备租赁、使用</w:t>
          </w:r>
        </w:p>
        <w:p w14:paraId="7B64A057" w14:textId="77777777" w:rsidR="005E000F" w:rsidRDefault="00000000">
          <w:pPr>
            <w:jc w:val="right"/>
            <w:rPr>
              <w:rFonts w:cs="Cambria"/>
              <w:color w:val="000000" w:themeColor="text1"/>
            </w:rPr>
          </w:pPr>
          <w:r>
            <w:rPr>
              <w:color w:val="000000" w:themeColor="text1"/>
            </w:rPr>
            <w:t>单位</w:t>
          </w:r>
          <w:r>
            <w:rPr>
              <w:rFonts w:hint="eastAsia"/>
              <w:color w:val="000000" w:themeColor="text1"/>
            </w:rPr>
            <w:t>：</w:t>
          </w:r>
          <w:r>
            <w:rPr>
              <w:color w:val="000000" w:themeColor="text1"/>
            </w:rPr>
            <w:t>元</w:t>
          </w:r>
          <w:r>
            <w:rPr>
              <w:color w:val="000000" w:themeColor="text1"/>
            </w:rPr>
            <w:t xml:space="preserve">  </w:t>
          </w:r>
          <w:r>
            <w:rPr>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651"/>
            <w:gridCol w:w="1888"/>
            <w:gridCol w:w="2175"/>
            <w:gridCol w:w="2179"/>
          </w:tblGrid>
          <w:tr w:rsidR="005E000F" w14:paraId="2A2F6C1B" w14:textId="77777777">
            <w:trPr>
              <w:cantSplit/>
              <w:trHeight w:val="273"/>
            </w:trPr>
            <w:tc>
              <w:tcPr>
                <w:tcW w:w="1489" w:type="pct"/>
                <w:tcBorders>
                  <w:top w:val="single" w:sz="4" w:space="0" w:color="auto"/>
                  <w:left w:val="single" w:sz="4" w:space="0" w:color="auto"/>
                  <w:bottom w:val="single" w:sz="4" w:space="0" w:color="auto"/>
                  <w:right w:val="single" w:sz="4" w:space="0" w:color="auto"/>
                </w:tcBorders>
                <w:vAlign w:val="center"/>
              </w:tcPr>
              <w:p w14:paraId="5E6836D8" w14:textId="77777777" w:rsidR="005E000F" w:rsidRDefault="00000000">
                <w:pPr>
                  <w:jc w:val="center"/>
                  <w:rPr>
                    <w:rFonts w:cs="Cambria"/>
                    <w:color w:val="000000" w:themeColor="text1"/>
                  </w:rPr>
                </w:pPr>
                <w:r>
                  <w:rPr>
                    <w:rFonts w:cs="Cambria" w:hint="eastAsia"/>
                    <w:color w:val="000000" w:themeColor="text1"/>
                  </w:rPr>
                  <w:t>关联方</w:t>
                </w:r>
              </w:p>
            </w:tc>
            <w:tc>
              <w:tcPr>
                <w:tcW w:w="1061" w:type="pct"/>
                <w:tcBorders>
                  <w:top w:val="single" w:sz="4" w:space="0" w:color="auto"/>
                  <w:left w:val="single" w:sz="4" w:space="0" w:color="auto"/>
                  <w:bottom w:val="single" w:sz="4" w:space="0" w:color="auto"/>
                  <w:right w:val="single" w:sz="4" w:space="0" w:color="auto"/>
                </w:tcBorders>
                <w:vAlign w:val="center"/>
              </w:tcPr>
              <w:p w14:paraId="5F0CE571" w14:textId="77777777" w:rsidR="005E000F" w:rsidRDefault="00000000">
                <w:pPr>
                  <w:jc w:val="center"/>
                  <w:rPr>
                    <w:rFonts w:cs="Cambria"/>
                    <w:color w:val="000000" w:themeColor="text1"/>
                  </w:rPr>
                </w:pPr>
                <w:r>
                  <w:rPr>
                    <w:rFonts w:cs="Cambria" w:hint="eastAsia"/>
                    <w:color w:val="000000" w:themeColor="text1"/>
                  </w:rPr>
                  <w:t>关联交易内容</w:t>
                </w:r>
              </w:p>
            </w:tc>
            <w:tc>
              <w:tcPr>
                <w:tcW w:w="1223" w:type="pct"/>
                <w:tcBorders>
                  <w:top w:val="single" w:sz="4" w:space="0" w:color="auto"/>
                  <w:left w:val="single" w:sz="4" w:space="0" w:color="auto"/>
                  <w:right w:val="single" w:sz="4" w:space="0" w:color="auto"/>
                </w:tcBorders>
                <w:vAlign w:val="center"/>
              </w:tcPr>
              <w:p w14:paraId="0CCB0C40" w14:textId="77777777" w:rsidR="005E000F" w:rsidRDefault="00000000">
                <w:pPr>
                  <w:jc w:val="center"/>
                  <w:rPr>
                    <w:rFonts w:cs="Cambria"/>
                    <w:color w:val="000000" w:themeColor="text1"/>
                  </w:rPr>
                </w:pPr>
                <w:r>
                  <w:rPr>
                    <w:rFonts w:cs="Cambria" w:hint="eastAsia"/>
                    <w:color w:val="000000" w:themeColor="text1"/>
                  </w:rPr>
                  <w:t>本期发生额</w:t>
                </w:r>
              </w:p>
            </w:tc>
            <w:tc>
              <w:tcPr>
                <w:tcW w:w="1225" w:type="pct"/>
                <w:tcBorders>
                  <w:top w:val="single" w:sz="4" w:space="0" w:color="auto"/>
                  <w:left w:val="single" w:sz="4" w:space="0" w:color="auto"/>
                  <w:right w:val="single" w:sz="4" w:space="0" w:color="auto"/>
                </w:tcBorders>
                <w:vAlign w:val="center"/>
              </w:tcPr>
              <w:p w14:paraId="64A1B1D0" w14:textId="77777777" w:rsidR="005E000F" w:rsidRDefault="00000000">
                <w:pPr>
                  <w:jc w:val="center"/>
                  <w:rPr>
                    <w:rFonts w:cs="Cambria"/>
                    <w:color w:val="000000" w:themeColor="text1"/>
                  </w:rPr>
                </w:pPr>
                <w:r>
                  <w:rPr>
                    <w:rFonts w:cs="Cambria" w:hint="eastAsia"/>
                    <w:color w:val="000000" w:themeColor="text1"/>
                  </w:rPr>
                  <w:t>上期发生额</w:t>
                </w:r>
              </w:p>
            </w:tc>
          </w:tr>
          <w:tr w:rsidR="005E000F" w14:paraId="55B48745" w14:textId="77777777">
            <w:trPr>
              <w:cantSplit/>
            </w:trPr>
            <w:tc>
              <w:tcPr>
                <w:tcW w:w="1489" w:type="pct"/>
                <w:tcBorders>
                  <w:top w:val="single" w:sz="4" w:space="0" w:color="auto"/>
                  <w:left w:val="single" w:sz="4" w:space="0" w:color="auto"/>
                  <w:bottom w:val="single" w:sz="4" w:space="0" w:color="auto"/>
                  <w:right w:val="single" w:sz="4" w:space="0" w:color="auto"/>
                </w:tcBorders>
              </w:tcPr>
              <w:p w14:paraId="7852FEBA" w14:textId="77777777" w:rsidR="005E000F" w:rsidRDefault="00000000">
                <w:r>
                  <w:rPr>
                    <w:rFonts w:hint="eastAsia"/>
                  </w:rPr>
                  <w:t>国铁集团及其下属单位</w:t>
                </w:r>
              </w:p>
            </w:tc>
            <w:tc>
              <w:tcPr>
                <w:tcW w:w="1061" w:type="pct"/>
                <w:tcBorders>
                  <w:top w:val="single" w:sz="4" w:space="0" w:color="auto"/>
                  <w:left w:val="single" w:sz="4" w:space="0" w:color="auto"/>
                  <w:bottom w:val="single" w:sz="4" w:space="0" w:color="auto"/>
                  <w:right w:val="single" w:sz="4" w:space="0" w:color="auto"/>
                </w:tcBorders>
              </w:tcPr>
              <w:p w14:paraId="23032B3F" w14:textId="77777777" w:rsidR="005E000F" w:rsidRDefault="00000000">
                <w:r>
                  <w:rPr>
                    <w:rFonts w:hint="eastAsia"/>
                  </w:rPr>
                  <w:t>货车使用费收入</w:t>
                </w:r>
              </w:p>
            </w:tc>
            <w:tc>
              <w:tcPr>
                <w:tcW w:w="1223" w:type="pct"/>
                <w:tcBorders>
                  <w:top w:val="single" w:sz="4" w:space="0" w:color="auto"/>
                  <w:left w:val="single" w:sz="4" w:space="0" w:color="auto"/>
                  <w:bottom w:val="single" w:sz="4" w:space="0" w:color="auto"/>
                  <w:right w:val="single" w:sz="4" w:space="0" w:color="auto"/>
                </w:tcBorders>
                <w:vAlign w:val="center"/>
              </w:tcPr>
              <w:p w14:paraId="4B9EC529" w14:textId="77777777" w:rsidR="005E000F" w:rsidRDefault="00000000">
                <w:pPr>
                  <w:jc w:val="right"/>
                  <w:textAlignment w:val="center"/>
                  <w:rPr>
                    <w:rFonts w:ascii="Arial Narrow" w:eastAsia="Arial Narrow" w:hAnsi="Arial Narrow" w:cs="Arial Narrow"/>
                    <w:color w:val="000000"/>
                    <w:sz w:val="20"/>
                    <w:szCs w:val="20"/>
                  </w:rPr>
                </w:pPr>
                <w:r>
                  <w:t xml:space="preserve"> 347,919,055</w:t>
                </w:r>
                <w:r>
                  <w:rPr>
                    <w:rFonts w:ascii="Arial Narrow" w:eastAsia="Arial Narrow" w:hAnsi="Arial Narrow" w:cs="Arial Narrow"/>
                    <w:color w:val="000000"/>
                    <w:sz w:val="20"/>
                    <w:szCs w:val="20"/>
                    <w:lang w:bidi="ar"/>
                  </w:rPr>
                  <w:t xml:space="preserve"> </w:t>
                </w:r>
              </w:p>
            </w:tc>
            <w:tc>
              <w:tcPr>
                <w:tcW w:w="1225" w:type="pct"/>
                <w:tcBorders>
                  <w:top w:val="single" w:sz="4" w:space="0" w:color="auto"/>
                  <w:left w:val="single" w:sz="4" w:space="0" w:color="auto"/>
                  <w:bottom w:val="single" w:sz="4" w:space="0" w:color="auto"/>
                  <w:right w:val="single" w:sz="4" w:space="0" w:color="auto"/>
                </w:tcBorders>
                <w:vAlign w:val="center"/>
              </w:tcPr>
              <w:p w14:paraId="24FE955B" w14:textId="77777777" w:rsidR="005E000F" w:rsidRDefault="00000000">
                <w:pPr>
                  <w:jc w:val="right"/>
                </w:pPr>
                <w:r>
                  <w:t>290,590,435</w:t>
                </w:r>
              </w:p>
            </w:tc>
          </w:tr>
        </w:tbl>
        <w:p w14:paraId="09B63949" w14:textId="77777777" w:rsidR="005E000F" w:rsidRDefault="005E000F">
          <w:pPr>
            <w:rPr>
              <w:rFonts w:cs="Cambria"/>
              <w:color w:val="000000" w:themeColor="text1"/>
            </w:rPr>
          </w:pPr>
        </w:p>
        <w:p w14:paraId="2EC0697B" w14:textId="77777777" w:rsidR="005E000F" w:rsidRDefault="00000000">
          <w:pPr>
            <w:rPr>
              <w:rFonts w:cs="Cambria"/>
              <w:color w:val="000000" w:themeColor="text1"/>
            </w:rPr>
          </w:pPr>
          <w:r>
            <w:rPr>
              <w:rFonts w:cs="Cambria" w:hint="eastAsia"/>
              <w:color w:val="000000" w:themeColor="text1"/>
            </w:rPr>
            <w:t>（</w:t>
          </w:r>
          <w:r>
            <w:rPr>
              <w:rFonts w:cs="Cambria" w:hint="eastAsia"/>
              <w:color w:val="000000" w:themeColor="text1"/>
            </w:rPr>
            <w:t>b</w:t>
          </w:r>
          <w:r>
            <w:rPr>
              <w:rFonts w:cs="Cambria" w:hint="eastAsia"/>
              <w:color w:val="000000" w:themeColor="text1"/>
            </w:rPr>
            <w:t>）铁路相关服务</w:t>
          </w:r>
        </w:p>
        <w:p w14:paraId="269B63DC" w14:textId="77777777" w:rsidR="005E000F" w:rsidRDefault="00000000">
          <w:pPr>
            <w:tabs>
              <w:tab w:val="left" w:pos="3870"/>
            </w:tabs>
            <w:jc w:val="right"/>
            <w:rPr>
              <w:rFonts w:cs="Cambria"/>
              <w:color w:val="000000" w:themeColor="text1"/>
            </w:rPr>
          </w:pPr>
          <w:r>
            <w:rPr>
              <w:color w:val="000000" w:themeColor="text1"/>
            </w:rPr>
            <w:t>单位</w:t>
          </w:r>
          <w:r>
            <w:rPr>
              <w:rFonts w:hint="eastAsia"/>
              <w:color w:val="000000" w:themeColor="text1"/>
            </w:rPr>
            <w:t>：</w:t>
          </w:r>
          <w:r>
            <w:rPr>
              <w:color w:val="000000" w:themeColor="text1"/>
            </w:rPr>
            <w:t>元</w:t>
          </w:r>
          <w:r>
            <w:rPr>
              <w:color w:val="000000" w:themeColor="text1"/>
            </w:rPr>
            <w:t xml:space="preserve">  </w:t>
          </w:r>
          <w:r>
            <w:rPr>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416"/>
            <w:gridCol w:w="2123"/>
            <w:gridCol w:w="2175"/>
            <w:gridCol w:w="2179"/>
          </w:tblGrid>
          <w:tr w:rsidR="005E000F" w14:paraId="3B3B0B21" w14:textId="77777777">
            <w:trPr>
              <w:cantSplit/>
              <w:trHeight w:val="273"/>
            </w:trPr>
            <w:tc>
              <w:tcPr>
                <w:tcW w:w="1357" w:type="pct"/>
                <w:tcBorders>
                  <w:top w:val="single" w:sz="4" w:space="0" w:color="auto"/>
                  <w:left w:val="single" w:sz="4" w:space="0" w:color="auto"/>
                  <w:bottom w:val="single" w:sz="4" w:space="0" w:color="auto"/>
                  <w:right w:val="single" w:sz="4" w:space="0" w:color="auto"/>
                </w:tcBorders>
                <w:vAlign w:val="center"/>
              </w:tcPr>
              <w:p w14:paraId="3252B009" w14:textId="77777777" w:rsidR="005E000F" w:rsidRDefault="00000000">
                <w:pPr>
                  <w:jc w:val="center"/>
                  <w:rPr>
                    <w:rFonts w:cs="Cambria"/>
                    <w:color w:val="000000" w:themeColor="text1"/>
                  </w:rPr>
                </w:pPr>
                <w:r>
                  <w:rPr>
                    <w:rFonts w:cs="Cambria" w:hint="eastAsia"/>
                    <w:color w:val="000000" w:themeColor="text1"/>
                  </w:rPr>
                  <w:t>关联方</w:t>
                </w:r>
              </w:p>
            </w:tc>
            <w:tc>
              <w:tcPr>
                <w:tcW w:w="1193" w:type="pct"/>
                <w:tcBorders>
                  <w:top w:val="single" w:sz="4" w:space="0" w:color="auto"/>
                  <w:left w:val="single" w:sz="4" w:space="0" w:color="auto"/>
                  <w:bottom w:val="single" w:sz="4" w:space="0" w:color="auto"/>
                  <w:right w:val="single" w:sz="4" w:space="0" w:color="auto"/>
                </w:tcBorders>
                <w:vAlign w:val="center"/>
              </w:tcPr>
              <w:p w14:paraId="29381D31" w14:textId="77777777" w:rsidR="005E000F" w:rsidRDefault="00000000">
                <w:pPr>
                  <w:jc w:val="center"/>
                  <w:rPr>
                    <w:rFonts w:cs="Cambria"/>
                    <w:color w:val="000000" w:themeColor="text1"/>
                  </w:rPr>
                </w:pPr>
                <w:r>
                  <w:rPr>
                    <w:rFonts w:cs="Cambria" w:hint="eastAsia"/>
                    <w:color w:val="000000" w:themeColor="text1"/>
                  </w:rPr>
                  <w:t>关联交易内容</w:t>
                </w:r>
              </w:p>
            </w:tc>
            <w:tc>
              <w:tcPr>
                <w:tcW w:w="1223" w:type="pct"/>
                <w:tcBorders>
                  <w:top w:val="single" w:sz="4" w:space="0" w:color="auto"/>
                  <w:left w:val="single" w:sz="4" w:space="0" w:color="auto"/>
                  <w:right w:val="single" w:sz="4" w:space="0" w:color="auto"/>
                </w:tcBorders>
                <w:vAlign w:val="center"/>
              </w:tcPr>
              <w:p w14:paraId="68C4A50F" w14:textId="77777777" w:rsidR="005E000F" w:rsidRDefault="00000000">
                <w:pPr>
                  <w:jc w:val="center"/>
                  <w:rPr>
                    <w:rFonts w:cs="Cambria"/>
                    <w:color w:val="000000" w:themeColor="text1"/>
                  </w:rPr>
                </w:pPr>
                <w:r>
                  <w:rPr>
                    <w:rFonts w:cs="Cambria" w:hint="eastAsia"/>
                    <w:color w:val="000000" w:themeColor="text1"/>
                  </w:rPr>
                  <w:t>本期发生额</w:t>
                </w:r>
              </w:p>
            </w:tc>
            <w:tc>
              <w:tcPr>
                <w:tcW w:w="1225" w:type="pct"/>
                <w:tcBorders>
                  <w:top w:val="single" w:sz="4" w:space="0" w:color="auto"/>
                  <w:left w:val="single" w:sz="4" w:space="0" w:color="auto"/>
                  <w:right w:val="single" w:sz="4" w:space="0" w:color="auto"/>
                </w:tcBorders>
                <w:vAlign w:val="center"/>
              </w:tcPr>
              <w:p w14:paraId="5AFD1C7F" w14:textId="77777777" w:rsidR="005E000F" w:rsidRDefault="00000000">
                <w:pPr>
                  <w:jc w:val="center"/>
                  <w:rPr>
                    <w:rFonts w:cs="Cambria"/>
                    <w:color w:val="000000" w:themeColor="text1"/>
                  </w:rPr>
                </w:pPr>
                <w:r>
                  <w:rPr>
                    <w:rFonts w:cs="Cambria" w:hint="eastAsia"/>
                    <w:color w:val="000000" w:themeColor="text1"/>
                  </w:rPr>
                  <w:t>上期发生额</w:t>
                </w:r>
              </w:p>
            </w:tc>
          </w:tr>
          <w:tr w:rsidR="005E000F" w14:paraId="4C098F01" w14:textId="77777777">
            <w:trPr>
              <w:cantSplit/>
            </w:trPr>
            <w:tc>
              <w:tcPr>
                <w:tcW w:w="1357" w:type="pct"/>
                <w:tcBorders>
                  <w:top w:val="single" w:sz="4" w:space="0" w:color="auto"/>
                  <w:left w:val="single" w:sz="4" w:space="0" w:color="auto"/>
                  <w:bottom w:val="single" w:sz="4" w:space="0" w:color="auto"/>
                  <w:right w:val="single" w:sz="4" w:space="0" w:color="auto"/>
                </w:tcBorders>
              </w:tcPr>
              <w:p w14:paraId="6326C668" w14:textId="77777777" w:rsidR="005E000F" w:rsidRDefault="00000000">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tcPr>
              <w:p w14:paraId="61966051" w14:textId="77777777" w:rsidR="005E000F" w:rsidRDefault="00000000">
                <w:r>
                  <w:rPr>
                    <w:rFonts w:hint="eastAsia"/>
                  </w:rPr>
                  <w:t>铁路基础设施及设备维修服务收入</w:t>
                </w:r>
              </w:p>
            </w:tc>
            <w:tc>
              <w:tcPr>
                <w:tcW w:w="2176" w:type="dxa"/>
                <w:tcBorders>
                  <w:top w:val="single" w:sz="4" w:space="0" w:color="auto"/>
                  <w:left w:val="single" w:sz="4" w:space="0" w:color="auto"/>
                  <w:bottom w:val="single" w:sz="4" w:space="0" w:color="auto"/>
                  <w:right w:val="single" w:sz="4" w:space="0" w:color="auto"/>
                </w:tcBorders>
                <w:vAlign w:val="center"/>
              </w:tcPr>
              <w:p w14:paraId="60F9E9C7" w14:textId="77777777" w:rsidR="005E000F" w:rsidRDefault="00000000">
                <w:pPr>
                  <w:jc w:val="right"/>
                </w:pPr>
                <w:r>
                  <w:t xml:space="preserve"> 69,992,201 </w:t>
                </w:r>
              </w:p>
            </w:tc>
            <w:tc>
              <w:tcPr>
                <w:tcW w:w="2180" w:type="dxa"/>
                <w:tcBorders>
                  <w:top w:val="single" w:sz="4" w:space="0" w:color="auto"/>
                  <w:left w:val="single" w:sz="4" w:space="0" w:color="auto"/>
                  <w:bottom w:val="single" w:sz="4" w:space="0" w:color="auto"/>
                  <w:right w:val="single" w:sz="4" w:space="0" w:color="auto"/>
                </w:tcBorders>
                <w:vAlign w:val="center"/>
              </w:tcPr>
              <w:p w14:paraId="6E8A55C6" w14:textId="77777777" w:rsidR="005E000F" w:rsidRDefault="00000000">
                <w:pPr>
                  <w:jc w:val="right"/>
                </w:pPr>
                <w:r>
                  <w:t>45,706,692</w:t>
                </w:r>
              </w:p>
            </w:tc>
          </w:tr>
          <w:tr w:rsidR="005E000F" w14:paraId="66F11E24" w14:textId="77777777">
            <w:trPr>
              <w:cantSplit/>
            </w:trPr>
            <w:tc>
              <w:tcPr>
                <w:tcW w:w="1357" w:type="pct"/>
                <w:tcBorders>
                  <w:top w:val="single" w:sz="4" w:space="0" w:color="auto"/>
                  <w:left w:val="single" w:sz="4" w:space="0" w:color="auto"/>
                  <w:bottom w:val="single" w:sz="4" w:space="0" w:color="auto"/>
                  <w:right w:val="single" w:sz="4" w:space="0" w:color="auto"/>
                </w:tcBorders>
              </w:tcPr>
              <w:p w14:paraId="25BFFFCB" w14:textId="77777777" w:rsidR="005E000F" w:rsidRDefault="00000000">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tcPr>
              <w:p w14:paraId="51C4CDD6" w14:textId="77777777" w:rsidR="005E000F" w:rsidRDefault="00000000">
                <w:r>
                  <w:rPr>
                    <w:rFonts w:hint="eastAsia"/>
                  </w:rPr>
                  <w:t>铁路基础设施及设备维修服务收入</w:t>
                </w:r>
              </w:p>
            </w:tc>
            <w:tc>
              <w:tcPr>
                <w:tcW w:w="2176" w:type="dxa"/>
                <w:tcBorders>
                  <w:top w:val="single" w:sz="4" w:space="0" w:color="auto"/>
                  <w:left w:val="single" w:sz="4" w:space="0" w:color="auto"/>
                  <w:bottom w:val="single" w:sz="4" w:space="0" w:color="auto"/>
                  <w:right w:val="single" w:sz="4" w:space="0" w:color="auto"/>
                </w:tcBorders>
                <w:vAlign w:val="center"/>
              </w:tcPr>
              <w:p w14:paraId="06196256" w14:textId="77777777" w:rsidR="005E000F" w:rsidRDefault="00000000">
                <w:pPr>
                  <w:jc w:val="right"/>
                </w:pPr>
                <w:r>
                  <w:t xml:space="preserve"> 56,376,154 </w:t>
                </w:r>
              </w:p>
            </w:tc>
            <w:tc>
              <w:tcPr>
                <w:tcW w:w="2180" w:type="dxa"/>
                <w:tcBorders>
                  <w:top w:val="single" w:sz="4" w:space="0" w:color="auto"/>
                  <w:left w:val="single" w:sz="4" w:space="0" w:color="auto"/>
                  <w:bottom w:val="single" w:sz="4" w:space="0" w:color="auto"/>
                  <w:right w:val="single" w:sz="4" w:space="0" w:color="auto"/>
                </w:tcBorders>
                <w:vAlign w:val="center"/>
              </w:tcPr>
              <w:p w14:paraId="16DE3DAF" w14:textId="77777777" w:rsidR="005E000F" w:rsidRDefault="00000000">
                <w:pPr>
                  <w:jc w:val="right"/>
                </w:pPr>
                <w:r>
                  <w:t>41,841,779</w:t>
                </w:r>
              </w:p>
            </w:tc>
          </w:tr>
          <w:tr w:rsidR="005E000F" w14:paraId="0BB924F0" w14:textId="77777777">
            <w:trPr>
              <w:cantSplit/>
            </w:trPr>
            <w:tc>
              <w:tcPr>
                <w:tcW w:w="1357" w:type="pct"/>
                <w:tcBorders>
                  <w:top w:val="single" w:sz="4" w:space="0" w:color="auto"/>
                  <w:left w:val="single" w:sz="4" w:space="0" w:color="auto"/>
                  <w:bottom w:val="single" w:sz="4" w:space="0" w:color="auto"/>
                  <w:right w:val="single" w:sz="4" w:space="0" w:color="auto"/>
                </w:tcBorders>
              </w:tcPr>
              <w:p w14:paraId="4B1E346D" w14:textId="77777777" w:rsidR="005E000F" w:rsidRDefault="00000000">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tcPr>
              <w:p w14:paraId="60CE2245" w14:textId="77777777" w:rsidR="005E000F" w:rsidRDefault="00000000">
                <w:r>
                  <w:rPr>
                    <w:rFonts w:hint="eastAsia"/>
                  </w:rPr>
                  <w:t>货车维修服务收入</w:t>
                </w:r>
              </w:p>
            </w:tc>
            <w:tc>
              <w:tcPr>
                <w:tcW w:w="2176" w:type="dxa"/>
                <w:tcBorders>
                  <w:top w:val="single" w:sz="4" w:space="0" w:color="auto"/>
                  <w:left w:val="single" w:sz="4" w:space="0" w:color="auto"/>
                  <w:bottom w:val="single" w:sz="4" w:space="0" w:color="auto"/>
                  <w:right w:val="single" w:sz="4" w:space="0" w:color="auto"/>
                </w:tcBorders>
                <w:vAlign w:val="center"/>
              </w:tcPr>
              <w:p w14:paraId="5F05A7C0" w14:textId="77777777" w:rsidR="005E000F" w:rsidRDefault="00000000">
                <w:pPr>
                  <w:jc w:val="right"/>
                </w:pPr>
                <w:r>
                  <w:t xml:space="preserve"> 1,109,514,316 </w:t>
                </w:r>
              </w:p>
            </w:tc>
            <w:tc>
              <w:tcPr>
                <w:tcW w:w="2180" w:type="dxa"/>
                <w:tcBorders>
                  <w:top w:val="single" w:sz="4" w:space="0" w:color="auto"/>
                  <w:left w:val="single" w:sz="4" w:space="0" w:color="auto"/>
                  <w:bottom w:val="single" w:sz="4" w:space="0" w:color="auto"/>
                  <w:right w:val="single" w:sz="4" w:space="0" w:color="auto"/>
                </w:tcBorders>
                <w:vAlign w:val="center"/>
              </w:tcPr>
              <w:p w14:paraId="77016629" w14:textId="77777777" w:rsidR="005E000F" w:rsidRDefault="00000000">
                <w:pPr>
                  <w:jc w:val="right"/>
                </w:pPr>
                <w:r>
                  <w:t>1,191,254,991</w:t>
                </w:r>
              </w:p>
            </w:tc>
          </w:tr>
          <w:tr w:rsidR="005E000F" w14:paraId="6719C883" w14:textId="77777777">
            <w:trPr>
              <w:cantSplit/>
            </w:trPr>
            <w:tc>
              <w:tcPr>
                <w:tcW w:w="1357" w:type="pct"/>
                <w:tcBorders>
                  <w:top w:val="single" w:sz="4" w:space="0" w:color="auto"/>
                  <w:left w:val="single" w:sz="4" w:space="0" w:color="auto"/>
                  <w:bottom w:val="single" w:sz="4" w:space="0" w:color="auto"/>
                  <w:right w:val="single" w:sz="4" w:space="0" w:color="auto"/>
                </w:tcBorders>
              </w:tcPr>
              <w:p w14:paraId="58CAD058" w14:textId="77777777" w:rsidR="005E000F" w:rsidRDefault="00000000">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tcPr>
              <w:p w14:paraId="77A7B2E8" w14:textId="77777777" w:rsidR="005E000F" w:rsidRDefault="00000000">
                <w:r>
                  <w:rPr>
                    <w:rFonts w:hint="eastAsia"/>
                  </w:rPr>
                  <w:t>铁路物资销售收入</w:t>
                </w:r>
              </w:p>
            </w:tc>
            <w:tc>
              <w:tcPr>
                <w:tcW w:w="2176" w:type="dxa"/>
                <w:tcBorders>
                  <w:top w:val="single" w:sz="4" w:space="0" w:color="auto"/>
                  <w:left w:val="single" w:sz="4" w:space="0" w:color="auto"/>
                  <w:bottom w:val="single" w:sz="4" w:space="0" w:color="auto"/>
                  <w:right w:val="single" w:sz="4" w:space="0" w:color="auto"/>
                </w:tcBorders>
                <w:vAlign w:val="center"/>
              </w:tcPr>
              <w:p w14:paraId="7787608B" w14:textId="77777777" w:rsidR="005E000F" w:rsidRDefault="00000000">
                <w:pPr>
                  <w:jc w:val="right"/>
                </w:pPr>
                <w:r>
                  <w:t xml:space="preserve"> 37,671,102 </w:t>
                </w:r>
              </w:p>
            </w:tc>
            <w:tc>
              <w:tcPr>
                <w:tcW w:w="2180" w:type="dxa"/>
                <w:tcBorders>
                  <w:top w:val="single" w:sz="4" w:space="0" w:color="auto"/>
                  <w:left w:val="single" w:sz="4" w:space="0" w:color="auto"/>
                  <w:bottom w:val="single" w:sz="4" w:space="0" w:color="auto"/>
                  <w:right w:val="single" w:sz="4" w:space="0" w:color="auto"/>
                </w:tcBorders>
                <w:vAlign w:val="center"/>
              </w:tcPr>
              <w:p w14:paraId="1F8FB4DA" w14:textId="77777777" w:rsidR="005E000F" w:rsidRDefault="00000000">
                <w:pPr>
                  <w:jc w:val="right"/>
                </w:pPr>
                <w:r>
                  <w:t>28,959,227</w:t>
                </w:r>
              </w:p>
            </w:tc>
          </w:tr>
          <w:tr w:rsidR="005E000F" w14:paraId="473BEC8E" w14:textId="77777777">
            <w:trPr>
              <w:cantSplit/>
            </w:trPr>
            <w:tc>
              <w:tcPr>
                <w:tcW w:w="1357" w:type="pct"/>
                <w:tcBorders>
                  <w:top w:val="single" w:sz="4" w:space="0" w:color="auto"/>
                  <w:left w:val="single" w:sz="4" w:space="0" w:color="auto"/>
                  <w:bottom w:val="single" w:sz="4" w:space="0" w:color="auto"/>
                  <w:right w:val="single" w:sz="4" w:space="0" w:color="auto"/>
                </w:tcBorders>
              </w:tcPr>
              <w:p w14:paraId="632E4811" w14:textId="77777777" w:rsidR="005E000F" w:rsidRDefault="00000000">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tcPr>
              <w:p w14:paraId="018FA566" w14:textId="77777777" w:rsidR="005E000F" w:rsidRDefault="00000000">
                <w:r>
                  <w:rPr>
                    <w:rFonts w:hint="eastAsia"/>
                  </w:rPr>
                  <w:t>铁路物资销售收入</w:t>
                </w:r>
              </w:p>
            </w:tc>
            <w:tc>
              <w:tcPr>
                <w:tcW w:w="2176" w:type="dxa"/>
                <w:tcBorders>
                  <w:top w:val="single" w:sz="4" w:space="0" w:color="auto"/>
                  <w:left w:val="single" w:sz="4" w:space="0" w:color="auto"/>
                  <w:bottom w:val="single" w:sz="4" w:space="0" w:color="auto"/>
                  <w:right w:val="single" w:sz="4" w:space="0" w:color="auto"/>
                </w:tcBorders>
                <w:vAlign w:val="center"/>
              </w:tcPr>
              <w:p w14:paraId="7EC8D8C6" w14:textId="77777777" w:rsidR="005E000F" w:rsidRDefault="00000000">
                <w:pPr>
                  <w:jc w:val="right"/>
                </w:pPr>
                <w:r>
                  <w:t xml:space="preserve"> 36,762,422 </w:t>
                </w:r>
              </w:p>
            </w:tc>
            <w:tc>
              <w:tcPr>
                <w:tcW w:w="2180" w:type="dxa"/>
                <w:tcBorders>
                  <w:top w:val="single" w:sz="4" w:space="0" w:color="auto"/>
                  <w:left w:val="single" w:sz="4" w:space="0" w:color="auto"/>
                  <w:bottom w:val="single" w:sz="4" w:space="0" w:color="auto"/>
                  <w:right w:val="single" w:sz="4" w:space="0" w:color="auto"/>
                </w:tcBorders>
                <w:vAlign w:val="center"/>
              </w:tcPr>
              <w:p w14:paraId="7A310FE6" w14:textId="77777777" w:rsidR="005E000F" w:rsidRDefault="00000000">
                <w:pPr>
                  <w:jc w:val="right"/>
                </w:pPr>
                <w:r>
                  <w:t>28,761,993</w:t>
                </w:r>
              </w:p>
            </w:tc>
          </w:tr>
          <w:tr w:rsidR="005E000F" w14:paraId="724DDFBA" w14:textId="77777777">
            <w:trPr>
              <w:cantSplit/>
            </w:trPr>
            <w:tc>
              <w:tcPr>
                <w:tcW w:w="1357" w:type="pct"/>
                <w:tcBorders>
                  <w:top w:val="single" w:sz="4" w:space="0" w:color="auto"/>
                  <w:left w:val="single" w:sz="4" w:space="0" w:color="auto"/>
                  <w:bottom w:val="single" w:sz="4" w:space="0" w:color="auto"/>
                  <w:right w:val="single" w:sz="4" w:space="0" w:color="auto"/>
                </w:tcBorders>
              </w:tcPr>
              <w:p w14:paraId="60EEE31E" w14:textId="77777777" w:rsidR="005E000F" w:rsidRDefault="00000000">
                <w:r>
                  <w:rPr>
                    <w:rFonts w:hint="eastAsia"/>
                  </w:rPr>
                  <w:t>国铁集团及其下属单位</w:t>
                </w:r>
              </w:p>
            </w:tc>
            <w:tc>
              <w:tcPr>
                <w:tcW w:w="1193" w:type="pct"/>
                <w:tcBorders>
                  <w:top w:val="single" w:sz="4" w:space="0" w:color="auto"/>
                  <w:left w:val="single" w:sz="4" w:space="0" w:color="auto"/>
                  <w:bottom w:val="single" w:sz="4" w:space="0" w:color="auto"/>
                  <w:right w:val="single" w:sz="4" w:space="0" w:color="auto"/>
                </w:tcBorders>
              </w:tcPr>
              <w:p w14:paraId="478BE671" w14:textId="77777777" w:rsidR="005E000F" w:rsidRDefault="00000000">
                <w:r>
                  <w:rPr>
                    <w:rFonts w:hint="eastAsia"/>
                  </w:rPr>
                  <w:t>铁路后勤服务收入等</w:t>
                </w:r>
              </w:p>
            </w:tc>
            <w:tc>
              <w:tcPr>
                <w:tcW w:w="2176" w:type="dxa"/>
                <w:tcBorders>
                  <w:top w:val="single" w:sz="4" w:space="0" w:color="auto"/>
                  <w:left w:val="single" w:sz="4" w:space="0" w:color="auto"/>
                  <w:bottom w:val="single" w:sz="4" w:space="0" w:color="auto"/>
                  <w:right w:val="single" w:sz="4" w:space="0" w:color="auto"/>
                </w:tcBorders>
                <w:vAlign w:val="center"/>
              </w:tcPr>
              <w:p w14:paraId="5D145025" w14:textId="77777777" w:rsidR="005E000F" w:rsidRDefault="00000000">
                <w:pPr>
                  <w:jc w:val="right"/>
                </w:pPr>
                <w:r>
                  <w:t xml:space="preserve"> 147,852,705 </w:t>
                </w:r>
              </w:p>
            </w:tc>
            <w:tc>
              <w:tcPr>
                <w:tcW w:w="2180" w:type="dxa"/>
                <w:tcBorders>
                  <w:top w:val="single" w:sz="4" w:space="0" w:color="auto"/>
                  <w:left w:val="single" w:sz="4" w:space="0" w:color="auto"/>
                  <w:bottom w:val="single" w:sz="4" w:space="0" w:color="auto"/>
                  <w:right w:val="single" w:sz="4" w:space="0" w:color="auto"/>
                </w:tcBorders>
                <w:vAlign w:val="center"/>
              </w:tcPr>
              <w:p w14:paraId="6F538623" w14:textId="77777777" w:rsidR="005E000F" w:rsidRDefault="00000000">
                <w:pPr>
                  <w:jc w:val="right"/>
                </w:pPr>
                <w:r>
                  <w:t>140,594,650</w:t>
                </w:r>
              </w:p>
            </w:tc>
          </w:tr>
          <w:tr w:rsidR="005E000F" w14:paraId="5FD6069A" w14:textId="77777777">
            <w:trPr>
              <w:cantSplit/>
            </w:trPr>
            <w:tc>
              <w:tcPr>
                <w:tcW w:w="1357" w:type="pct"/>
                <w:tcBorders>
                  <w:top w:val="single" w:sz="4" w:space="0" w:color="auto"/>
                  <w:left w:val="single" w:sz="4" w:space="0" w:color="auto"/>
                  <w:bottom w:val="single" w:sz="4" w:space="0" w:color="auto"/>
                  <w:right w:val="single" w:sz="4" w:space="0" w:color="auto"/>
                </w:tcBorders>
              </w:tcPr>
              <w:p w14:paraId="308CDBE1" w14:textId="77777777" w:rsidR="005E000F" w:rsidRDefault="00000000">
                <w:r>
                  <w:rPr>
                    <w:rFonts w:hint="eastAsia"/>
                  </w:rPr>
                  <w:t>其中：太原局集团公司及其下属单位</w:t>
                </w:r>
              </w:p>
            </w:tc>
            <w:tc>
              <w:tcPr>
                <w:tcW w:w="1193" w:type="pct"/>
                <w:tcBorders>
                  <w:top w:val="single" w:sz="4" w:space="0" w:color="auto"/>
                  <w:left w:val="single" w:sz="4" w:space="0" w:color="auto"/>
                  <w:bottom w:val="single" w:sz="4" w:space="0" w:color="auto"/>
                  <w:right w:val="single" w:sz="4" w:space="0" w:color="auto"/>
                </w:tcBorders>
              </w:tcPr>
              <w:p w14:paraId="26DC2394" w14:textId="77777777" w:rsidR="005E000F" w:rsidRDefault="00000000">
                <w:r>
                  <w:rPr>
                    <w:rFonts w:hint="eastAsia"/>
                  </w:rPr>
                  <w:t>铁路后勤服务收入等</w:t>
                </w:r>
              </w:p>
            </w:tc>
            <w:tc>
              <w:tcPr>
                <w:tcW w:w="2176" w:type="dxa"/>
                <w:tcBorders>
                  <w:top w:val="single" w:sz="4" w:space="0" w:color="auto"/>
                  <w:left w:val="single" w:sz="4" w:space="0" w:color="auto"/>
                  <w:bottom w:val="single" w:sz="4" w:space="0" w:color="auto"/>
                  <w:right w:val="single" w:sz="4" w:space="0" w:color="auto"/>
                </w:tcBorders>
                <w:vAlign w:val="center"/>
              </w:tcPr>
              <w:p w14:paraId="664D9A43" w14:textId="77777777" w:rsidR="005E000F" w:rsidRDefault="00000000">
                <w:pPr>
                  <w:jc w:val="right"/>
                </w:pPr>
                <w:r>
                  <w:t xml:space="preserve"> 82,920,715 </w:t>
                </w:r>
              </w:p>
            </w:tc>
            <w:tc>
              <w:tcPr>
                <w:tcW w:w="2180" w:type="dxa"/>
                <w:tcBorders>
                  <w:top w:val="single" w:sz="4" w:space="0" w:color="auto"/>
                  <w:left w:val="single" w:sz="4" w:space="0" w:color="auto"/>
                  <w:bottom w:val="single" w:sz="4" w:space="0" w:color="auto"/>
                  <w:right w:val="single" w:sz="4" w:space="0" w:color="auto"/>
                </w:tcBorders>
                <w:vAlign w:val="center"/>
              </w:tcPr>
              <w:p w14:paraId="4A23F0B4" w14:textId="77777777" w:rsidR="005E000F" w:rsidRDefault="00000000">
                <w:pPr>
                  <w:jc w:val="right"/>
                </w:pPr>
                <w:r>
                  <w:t>135,264,098</w:t>
                </w:r>
              </w:p>
            </w:tc>
          </w:tr>
        </w:tbl>
        <w:p w14:paraId="30C81A49" w14:textId="77777777" w:rsidR="005E000F" w:rsidRDefault="005E000F">
          <w:pPr>
            <w:rPr>
              <w:rFonts w:cs="Cambria"/>
              <w:color w:val="000000" w:themeColor="text1"/>
            </w:rPr>
          </w:pPr>
        </w:p>
        <w:p w14:paraId="07A54248" w14:textId="77777777" w:rsidR="005E000F" w:rsidRDefault="00000000">
          <w:pPr>
            <w:rPr>
              <w:rFonts w:cs="Cambria"/>
              <w:color w:val="000000" w:themeColor="text1"/>
            </w:rPr>
          </w:pPr>
          <w:r>
            <w:rPr>
              <w:rFonts w:cs="Cambria" w:hint="eastAsia"/>
              <w:color w:val="000000" w:themeColor="text1"/>
            </w:rPr>
            <w:t>（</w:t>
          </w:r>
          <w:r>
            <w:rPr>
              <w:rFonts w:cs="Cambria" w:hint="eastAsia"/>
              <w:color w:val="000000" w:themeColor="text1"/>
            </w:rPr>
            <w:t>c</w:t>
          </w:r>
          <w:r>
            <w:rPr>
              <w:rFonts w:cs="Cambria" w:hint="eastAsia"/>
              <w:color w:val="000000" w:themeColor="text1"/>
            </w:rPr>
            <w:t>）铁路专项委托运输服务</w:t>
          </w:r>
        </w:p>
        <w:p w14:paraId="69EC7CE0" w14:textId="77777777" w:rsidR="005E000F" w:rsidRDefault="00000000">
          <w:pPr>
            <w:jc w:val="right"/>
            <w:rPr>
              <w:rFonts w:cs="Cambria"/>
              <w:color w:val="000000" w:themeColor="text1"/>
            </w:rPr>
          </w:pPr>
          <w:r>
            <w:rPr>
              <w:color w:val="000000" w:themeColor="text1"/>
            </w:rPr>
            <w:t>单位</w:t>
          </w:r>
          <w:r>
            <w:rPr>
              <w:rFonts w:hint="eastAsia"/>
              <w:color w:val="000000" w:themeColor="text1"/>
            </w:rPr>
            <w:t>：</w:t>
          </w:r>
          <w:r>
            <w:rPr>
              <w:color w:val="000000" w:themeColor="text1"/>
            </w:rPr>
            <w:t>元</w:t>
          </w:r>
          <w:r>
            <w:rPr>
              <w:color w:val="000000" w:themeColor="text1"/>
            </w:rPr>
            <w:t xml:space="preserve">  </w:t>
          </w:r>
          <w:r>
            <w:rPr>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416"/>
            <w:gridCol w:w="2123"/>
            <w:gridCol w:w="2175"/>
            <w:gridCol w:w="2179"/>
          </w:tblGrid>
          <w:tr w:rsidR="005E000F" w14:paraId="5333F96E" w14:textId="77777777">
            <w:trPr>
              <w:cantSplit/>
              <w:trHeight w:val="273"/>
            </w:trPr>
            <w:tc>
              <w:tcPr>
                <w:tcW w:w="1357" w:type="pct"/>
                <w:tcBorders>
                  <w:top w:val="single" w:sz="4" w:space="0" w:color="auto"/>
                  <w:left w:val="single" w:sz="4" w:space="0" w:color="auto"/>
                  <w:bottom w:val="single" w:sz="4" w:space="0" w:color="auto"/>
                  <w:right w:val="single" w:sz="4" w:space="0" w:color="auto"/>
                </w:tcBorders>
                <w:vAlign w:val="center"/>
              </w:tcPr>
              <w:p w14:paraId="307F8A79" w14:textId="77777777" w:rsidR="005E000F" w:rsidRDefault="00000000">
                <w:pPr>
                  <w:jc w:val="center"/>
                  <w:rPr>
                    <w:rFonts w:cs="Cambria"/>
                    <w:color w:val="000000" w:themeColor="text1"/>
                  </w:rPr>
                </w:pPr>
                <w:r>
                  <w:rPr>
                    <w:rFonts w:cs="Cambria" w:hint="eastAsia"/>
                    <w:color w:val="000000" w:themeColor="text1"/>
                  </w:rPr>
                  <w:t>关联方</w:t>
                </w:r>
              </w:p>
            </w:tc>
            <w:tc>
              <w:tcPr>
                <w:tcW w:w="1193" w:type="pct"/>
                <w:tcBorders>
                  <w:top w:val="single" w:sz="4" w:space="0" w:color="auto"/>
                  <w:left w:val="single" w:sz="4" w:space="0" w:color="auto"/>
                  <w:bottom w:val="single" w:sz="4" w:space="0" w:color="auto"/>
                  <w:right w:val="single" w:sz="4" w:space="0" w:color="auto"/>
                </w:tcBorders>
                <w:vAlign w:val="center"/>
              </w:tcPr>
              <w:p w14:paraId="27F0096B" w14:textId="77777777" w:rsidR="005E000F" w:rsidRDefault="00000000">
                <w:pPr>
                  <w:jc w:val="center"/>
                  <w:rPr>
                    <w:rFonts w:cs="Cambria"/>
                    <w:color w:val="000000" w:themeColor="text1"/>
                  </w:rPr>
                </w:pPr>
                <w:r>
                  <w:rPr>
                    <w:rFonts w:cs="Cambria" w:hint="eastAsia"/>
                    <w:color w:val="000000" w:themeColor="text1"/>
                  </w:rPr>
                  <w:t>关联交易内容</w:t>
                </w:r>
              </w:p>
            </w:tc>
            <w:tc>
              <w:tcPr>
                <w:tcW w:w="1223" w:type="pct"/>
                <w:tcBorders>
                  <w:top w:val="single" w:sz="4" w:space="0" w:color="auto"/>
                  <w:left w:val="single" w:sz="4" w:space="0" w:color="auto"/>
                  <w:right w:val="single" w:sz="4" w:space="0" w:color="auto"/>
                </w:tcBorders>
                <w:vAlign w:val="center"/>
              </w:tcPr>
              <w:p w14:paraId="3EA60FF5" w14:textId="77777777" w:rsidR="005E000F" w:rsidRDefault="00000000">
                <w:pPr>
                  <w:jc w:val="center"/>
                  <w:rPr>
                    <w:rFonts w:cs="Cambria"/>
                    <w:color w:val="000000" w:themeColor="text1"/>
                  </w:rPr>
                </w:pPr>
                <w:r>
                  <w:rPr>
                    <w:rFonts w:cs="Cambria" w:hint="eastAsia"/>
                    <w:color w:val="000000" w:themeColor="text1"/>
                  </w:rPr>
                  <w:t>本期发生额</w:t>
                </w:r>
              </w:p>
            </w:tc>
            <w:tc>
              <w:tcPr>
                <w:tcW w:w="1225" w:type="pct"/>
                <w:tcBorders>
                  <w:top w:val="single" w:sz="4" w:space="0" w:color="auto"/>
                  <w:left w:val="single" w:sz="4" w:space="0" w:color="auto"/>
                  <w:right w:val="single" w:sz="4" w:space="0" w:color="auto"/>
                </w:tcBorders>
                <w:vAlign w:val="center"/>
              </w:tcPr>
              <w:p w14:paraId="03BF0BCA" w14:textId="77777777" w:rsidR="005E000F" w:rsidRDefault="00000000">
                <w:pPr>
                  <w:jc w:val="center"/>
                  <w:rPr>
                    <w:rFonts w:cs="Cambria"/>
                    <w:color w:val="000000" w:themeColor="text1"/>
                  </w:rPr>
                </w:pPr>
                <w:r>
                  <w:rPr>
                    <w:rFonts w:cs="Cambria" w:hint="eastAsia"/>
                    <w:color w:val="000000" w:themeColor="text1"/>
                  </w:rPr>
                  <w:t>上期发生额</w:t>
                </w:r>
              </w:p>
            </w:tc>
          </w:tr>
          <w:tr w:rsidR="005E000F" w14:paraId="526978B6" w14:textId="77777777">
            <w:trPr>
              <w:cantSplit/>
            </w:trPr>
            <w:tc>
              <w:tcPr>
                <w:tcW w:w="1357" w:type="pct"/>
                <w:tcBorders>
                  <w:top w:val="single" w:sz="4" w:space="0" w:color="auto"/>
                  <w:left w:val="single" w:sz="4" w:space="0" w:color="auto"/>
                  <w:bottom w:val="single" w:sz="4" w:space="0" w:color="auto"/>
                  <w:right w:val="single" w:sz="4" w:space="0" w:color="auto"/>
                </w:tcBorders>
              </w:tcPr>
              <w:p w14:paraId="0BF4E1E2" w14:textId="77777777" w:rsidR="005E000F" w:rsidRDefault="00000000">
                <w:r>
                  <w:rPr>
                    <w:rFonts w:hint="eastAsia"/>
                  </w:rPr>
                  <w:t>大西铁路、太中银等</w:t>
                </w:r>
              </w:p>
            </w:tc>
            <w:tc>
              <w:tcPr>
                <w:tcW w:w="1193" w:type="pct"/>
                <w:tcBorders>
                  <w:top w:val="single" w:sz="4" w:space="0" w:color="auto"/>
                  <w:left w:val="single" w:sz="4" w:space="0" w:color="auto"/>
                  <w:bottom w:val="single" w:sz="4" w:space="0" w:color="auto"/>
                  <w:right w:val="single" w:sz="4" w:space="0" w:color="auto"/>
                </w:tcBorders>
              </w:tcPr>
              <w:p w14:paraId="4C8A4450" w14:textId="77777777" w:rsidR="005E000F" w:rsidRDefault="00000000">
                <w:r>
                  <w:rPr>
                    <w:rFonts w:hint="eastAsia"/>
                  </w:rPr>
                  <w:t>委托运输服务收入</w:t>
                </w:r>
              </w:p>
            </w:tc>
            <w:tc>
              <w:tcPr>
                <w:tcW w:w="1223" w:type="pct"/>
                <w:tcBorders>
                  <w:top w:val="single" w:sz="4" w:space="0" w:color="auto"/>
                  <w:left w:val="single" w:sz="4" w:space="0" w:color="auto"/>
                  <w:bottom w:val="single" w:sz="4" w:space="0" w:color="auto"/>
                  <w:right w:val="single" w:sz="4" w:space="0" w:color="auto"/>
                </w:tcBorders>
                <w:vAlign w:val="center"/>
              </w:tcPr>
              <w:p w14:paraId="6F6B8727" w14:textId="77777777" w:rsidR="005E000F" w:rsidRDefault="00000000">
                <w:pPr>
                  <w:jc w:val="right"/>
                  <w:textAlignment w:val="center"/>
                  <w:rPr>
                    <w:rFonts w:ascii="Arial Narrow" w:eastAsia="Arial Narrow" w:hAnsi="Arial Narrow" w:cs="Arial Narrow"/>
                    <w:color w:val="000000"/>
                    <w:sz w:val="20"/>
                    <w:szCs w:val="20"/>
                  </w:rPr>
                </w:pPr>
                <w:r>
                  <w:t xml:space="preserve"> 2,898,740,000</w:t>
                </w:r>
                <w:r>
                  <w:rPr>
                    <w:rFonts w:ascii="Arial Narrow" w:eastAsia="Arial Narrow" w:hAnsi="Arial Narrow" w:cs="Arial Narrow"/>
                    <w:color w:val="000000"/>
                    <w:sz w:val="20"/>
                    <w:szCs w:val="20"/>
                    <w:lang w:bidi="ar"/>
                  </w:rPr>
                  <w:t xml:space="preserve"> </w:t>
                </w:r>
              </w:p>
            </w:tc>
            <w:tc>
              <w:tcPr>
                <w:tcW w:w="1225" w:type="pct"/>
                <w:tcBorders>
                  <w:top w:val="single" w:sz="4" w:space="0" w:color="auto"/>
                  <w:left w:val="single" w:sz="4" w:space="0" w:color="auto"/>
                  <w:bottom w:val="single" w:sz="4" w:space="0" w:color="auto"/>
                  <w:right w:val="single" w:sz="4" w:space="0" w:color="auto"/>
                </w:tcBorders>
                <w:vAlign w:val="center"/>
              </w:tcPr>
              <w:p w14:paraId="0B2CD80F" w14:textId="77777777" w:rsidR="005E000F" w:rsidRDefault="00000000">
                <w:pPr>
                  <w:jc w:val="right"/>
                </w:pPr>
                <w:r>
                  <w:rPr>
                    <w:rFonts w:hint="eastAsia"/>
                  </w:rPr>
                  <w:t>2,553,605,000</w:t>
                </w:r>
              </w:p>
            </w:tc>
          </w:tr>
        </w:tbl>
        <w:p w14:paraId="3348BFFA" w14:textId="77777777" w:rsidR="005E000F" w:rsidRDefault="005E000F">
          <w:pPr>
            <w:rPr>
              <w:rFonts w:cs="Cambria"/>
              <w:color w:val="000000" w:themeColor="text1"/>
            </w:rPr>
          </w:pPr>
        </w:p>
        <w:p w14:paraId="08F995D7" w14:textId="77777777" w:rsidR="005E000F" w:rsidRDefault="00000000">
          <w:pPr>
            <w:rPr>
              <w:rFonts w:cs="Cambria"/>
              <w:color w:val="000000" w:themeColor="text1"/>
            </w:rPr>
          </w:pPr>
          <w:r>
            <w:rPr>
              <w:rFonts w:cs="Cambria" w:hint="eastAsia"/>
              <w:color w:val="000000" w:themeColor="text1"/>
            </w:rPr>
            <w:t>（</w:t>
          </w:r>
          <w:r>
            <w:rPr>
              <w:rFonts w:cs="Cambria" w:hint="eastAsia"/>
              <w:color w:val="000000" w:themeColor="text1"/>
            </w:rPr>
            <w:t>d</w:t>
          </w:r>
          <w:r>
            <w:rPr>
              <w:rFonts w:cs="Cambria" w:hint="eastAsia"/>
              <w:color w:val="000000" w:themeColor="text1"/>
            </w:rPr>
            <w:t>）铁路其他服务</w:t>
          </w:r>
        </w:p>
        <w:p w14:paraId="69F61F89" w14:textId="77777777" w:rsidR="005E000F" w:rsidRDefault="00000000">
          <w:pPr>
            <w:jc w:val="right"/>
            <w:rPr>
              <w:rFonts w:cs="Cambria"/>
              <w:color w:val="000000" w:themeColor="text1"/>
            </w:rPr>
          </w:pPr>
          <w:r>
            <w:rPr>
              <w:color w:val="000000" w:themeColor="text1"/>
            </w:rPr>
            <w:t>单位</w:t>
          </w:r>
          <w:r>
            <w:rPr>
              <w:rFonts w:hint="eastAsia"/>
              <w:color w:val="000000" w:themeColor="text1"/>
            </w:rPr>
            <w:t>：</w:t>
          </w:r>
          <w:r>
            <w:rPr>
              <w:color w:val="000000" w:themeColor="text1"/>
            </w:rPr>
            <w:t>元</w:t>
          </w:r>
          <w:r>
            <w:rPr>
              <w:color w:val="000000" w:themeColor="text1"/>
            </w:rPr>
            <w:t xml:space="preserve">  </w:t>
          </w:r>
          <w:r>
            <w:rPr>
              <w:color w:val="000000" w:themeColor="text1"/>
            </w:rPr>
            <w:t>币种：人民币</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4A0" w:firstRow="1" w:lastRow="0" w:firstColumn="1" w:lastColumn="0" w:noHBand="0" w:noVBand="1"/>
          </w:tblPr>
          <w:tblGrid>
            <w:gridCol w:w="2651"/>
            <w:gridCol w:w="1888"/>
            <w:gridCol w:w="2175"/>
            <w:gridCol w:w="2179"/>
          </w:tblGrid>
          <w:tr w:rsidR="005E000F" w14:paraId="16BC0626" w14:textId="77777777">
            <w:trPr>
              <w:cantSplit/>
              <w:trHeight w:val="273"/>
            </w:trPr>
            <w:tc>
              <w:tcPr>
                <w:tcW w:w="1489" w:type="pct"/>
                <w:tcBorders>
                  <w:top w:val="single" w:sz="4" w:space="0" w:color="auto"/>
                  <w:left w:val="single" w:sz="4" w:space="0" w:color="auto"/>
                  <w:bottom w:val="single" w:sz="4" w:space="0" w:color="auto"/>
                  <w:right w:val="single" w:sz="4" w:space="0" w:color="auto"/>
                </w:tcBorders>
                <w:vAlign w:val="center"/>
              </w:tcPr>
              <w:p w14:paraId="2224C115" w14:textId="77777777" w:rsidR="005E000F" w:rsidRDefault="00000000">
                <w:pPr>
                  <w:jc w:val="center"/>
                  <w:rPr>
                    <w:rFonts w:cs="Cambria"/>
                    <w:color w:val="000000" w:themeColor="text1"/>
                  </w:rPr>
                </w:pPr>
                <w:r>
                  <w:rPr>
                    <w:rFonts w:cs="Cambria" w:hint="eastAsia"/>
                    <w:color w:val="000000" w:themeColor="text1"/>
                  </w:rPr>
                  <w:t>关联方</w:t>
                </w:r>
              </w:p>
            </w:tc>
            <w:tc>
              <w:tcPr>
                <w:tcW w:w="1061" w:type="pct"/>
                <w:tcBorders>
                  <w:top w:val="single" w:sz="4" w:space="0" w:color="auto"/>
                  <w:left w:val="single" w:sz="4" w:space="0" w:color="auto"/>
                  <w:bottom w:val="single" w:sz="4" w:space="0" w:color="auto"/>
                  <w:right w:val="single" w:sz="4" w:space="0" w:color="auto"/>
                </w:tcBorders>
                <w:vAlign w:val="center"/>
              </w:tcPr>
              <w:p w14:paraId="77101532" w14:textId="77777777" w:rsidR="005E000F" w:rsidRDefault="00000000">
                <w:pPr>
                  <w:jc w:val="center"/>
                  <w:rPr>
                    <w:rFonts w:cs="Cambria"/>
                    <w:color w:val="000000" w:themeColor="text1"/>
                  </w:rPr>
                </w:pPr>
                <w:r>
                  <w:rPr>
                    <w:rFonts w:cs="Cambria" w:hint="eastAsia"/>
                    <w:color w:val="000000" w:themeColor="text1"/>
                  </w:rPr>
                  <w:t>关联交易内容</w:t>
                </w:r>
              </w:p>
            </w:tc>
            <w:tc>
              <w:tcPr>
                <w:tcW w:w="1223" w:type="pct"/>
                <w:tcBorders>
                  <w:top w:val="single" w:sz="4" w:space="0" w:color="auto"/>
                  <w:left w:val="single" w:sz="4" w:space="0" w:color="auto"/>
                  <w:right w:val="single" w:sz="4" w:space="0" w:color="auto"/>
                </w:tcBorders>
                <w:vAlign w:val="center"/>
              </w:tcPr>
              <w:p w14:paraId="3F0A25D0" w14:textId="77777777" w:rsidR="005E000F" w:rsidRDefault="00000000">
                <w:pPr>
                  <w:jc w:val="center"/>
                  <w:rPr>
                    <w:rFonts w:cs="Cambria"/>
                    <w:color w:val="000000" w:themeColor="text1"/>
                  </w:rPr>
                </w:pPr>
                <w:r>
                  <w:rPr>
                    <w:rFonts w:cs="Cambria" w:hint="eastAsia"/>
                    <w:color w:val="000000" w:themeColor="text1"/>
                  </w:rPr>
                  <w:t>本期发生额</w:t>
                </w:r>
              </w:p>
            </w:tc>
            <w:tc>
              <w:tcPr>
                <w:tcW w:w="1225" w:type="pct"/>
                <w:tcBorders>
                  <w:top w:val="single" w:sz="4" w:space="0" w:color="auto"/>
                  <w:left w:val="single" w:sz="4" w:space="0" w:color="auto"/>
                  <w:right w:val="single" w:sz="4" w:space="0" w:color="auto"/>
                </w:tcBorders>
                <w:vAlign w:val="center"/>
              </w:tcPr>
              <w:p w14:paraId="03595FC7" w14:textId="77777777" w:rsidR="005E000F" w:rsidRDefault="00000000">
                <w:pPr>
                  <w:jc w:val="center"/>
                  <w:rPr>
                    <w:rFonts w:cs="Cambria"/>
                    <w:color w:val="000000" w:themeColor="text1"/>
                  </w:rPr>
                </w:pPr>
                <w:r>
                  <w:rPr>
                    <w:rFonts w:cs="Cambria" w:hint="eastAsia"/>
                    <w:color w:val="000000" w:themeColor="text1"/>
                  </w:rPr>
                  <w:t>上期发生额</w:t>
                </w:r>
              </w:p>
            </w:tc>
          </w:tr>
          <w:tr w:rsidR="005E000F" w14:paraId="14CB99A9" w14:textId="77777777">
            <w:trPr>
              <w:cantSplit/>
            </w:trPr>
            <w:tc>
              <w:tcPr>
                <w:tcW w:w="1489" w:type="pct"/>
                <w:tcBorders>
                  <w:top w:val="single" w:sz="4" w:space="0" w:color="auto"/>
                  <w:left w:val="single" w:sz="4" w:space="0" w:color="auto"/>
                  <w:bottom w:val="single" w:sz="4" w:space="0" w:color="auto"/>
                  <w:right w:val="single" w:sz="4" w:space="0" w:color="auto"/>
                </w:tcBorders>
              </w:tcPr>
              <w:p w14:paraId="4644A3C4" w14:textId="77777777" w:rsidR="005E000F" w:rsidRDefault="00000000">
                <w:r>
                  <w:rPr>
                    <w:rFonts w:hint="eastAsia"/>
                  </w:rPr>
                  <w:t>中国铁路财务有限责任公司</w:t>
                </w:r>
              </w:p>
            </w:tc>
            <w:tc>
              <w:tcPr>
                <w:tcW w:w="1061" w:type="pct"/>
                <w:tcBorders>
                  <w:top w:val="single" w:sz="4" w:space="0" w:color="auto"/>
                  <w:left w:val="single" w:sz="4" w:space="0" w:color="auto"/>
                  <w:bottom w:val="single" w:sz="4" w:space="0" w:color="auto"/>
                  <w:right w:val="single" w:sz="4" w:space="0" w:color="auto"/>
                </w:tcBorders>
              </w:tcPr>
              <w:p w14:paraId="524B6660" w14:textId="77777777" w:rsidR="005E000F" w:rsidRDefault="00000000">
                <w:r>
                  <w:rPr>
                    <w:rFonts w:hint="eastAsia"/>
                  </w:rPr>
                  <w:t>利息收入</w:t>
                </w:r>
              </w:p>
            </w:tc>
            <w:tc>
              <w:tcPr>
                <w:tcW w:w="1223" w:type="pct"/>
                <w:tcBorders>
                  <w:top w:val="single" w:sz="4" w:space="0" w:color="auto"/>
                  <w:left w:val="single" w:sz="4" w:space="0" w:color="auto"/>
                  <w:bottom w:val="single" w:sz="4" w:space="0" w:color="auto"/>
                  <w:right w:val="single" w:sz="4" w:space="0" w:color="auto"/>
                </w:tcBorders>
                <w:vAlign w:val="center"/>
              </w:tcPr>
              <w:p w14:paraId="31A3585A" w14:textId="77777777" w:rsidR="005E000F" w:rsidRDefault="00000000">
                <w:pPr>
                  <w:jc w:val="right"/>
                  <w:textAlignment w:val="center"/>
                  <w:rPr>
                    <w:rFonts w:ascii="Arial Narrow" w:eastAsia="Arial Narrow" w:hAnsi="Arial Narrow" w:cs="Arial Narrow"/>
                    <w:color w:val="000000"/>
                    <w:sz w:val="20"/>
                    <w:szCs w:val="20"/>
                  </w:rPr>
                </w:pPr>
                <w:r>
                  <w:t xml:space="preserve"> 92,427,583</w:t>
                </w:r>
                <w:r>
                  <w:rPr>
                    <w:rFonts w:ascii="Arial Narrow" w:eastAsia="Arial Narrow" w:hAnsi="Arial Narrow" w:cs="Arial Narrow"/>
                    <w:color w:val="000000"/>
                    <w:sz w:val="20"/>
                    <w:szCs w:val="20"/>
                    <w:lang w:bidi="ar"/>
                  </w:rPr>
                  <w:t xml:space="preserve"> </w:t>
                </w:r>
              </w:p>
            </w:tc>
            <w:tc>
              <w:tcPr>
                <w:tcW w:w="1225" w:type="pct"/>
                <w:tcBorders>
                  <w:top w:val="single" w:sz="4" w:space="0" w:color="auto"/>
                  <w:left w:val="single" w:sz="4" w:space="0" w:color="auto"/>
                  <w:bottom w:val="single" w:sz="4" w:space="0" w:color="auto"/>
                  <w:right w:val="single" w:sz="4" w:space="0" w:color="auto"/>
                </w:tcBorders>
                <w:vAlign w:val="center"/>
              </w:tcPr>
              <w:p w14:paraId="6281489D" w14:textId="77777777" w:rsidR="005E000F" w:rsidRDefault="00000000">
                <w:pPr>
                  <w:jc w:val="right"/>
                </w:pPr>
                <w:r>
                  <w:t>9,038,851</w:t>
                </w:r>
              </w:p>
            </w:tc>
          </w:tr>
        </w:tbl>
        <w:p w14:paraId="61D2AE13" w14:textId="77777777" w:rsidR="005E000F" w:rsidRDefault="00000000">
          <w:pPr>
            <w:rPr>
              <w:rFonts w:cs="Cambria"/>
            </w:rPr>
          </w:pPr>
        </w:p>
      </w:sdtContent>
    </w:sdt>
    <w:p w14:paraId="6A6D0C41" w14:textId="77777777" w:rsidR="005E000F" w:rsidRDefault="005E000F">
      <w:pPr>
        <w:rPr>
          <w:rFonts w:cs="Cambria"/>
        </w:rPr>
      </w:pPr>
    </w:p>
    <w:p w14:paraId="747C1564" w14:textId="77777777" w:rsidR="005E000F" w:rsidRDefault="00000000">
      <w:pPr>
        <w:pStyle w:val="4"/>
        <w:numPr>
          <w:ilvl w:val="3"/>
          <w:numId w:val="120"/>
        </w:numPr>
        <w:ind w:left="426" w:hangingChars="202" w:hanging="426"/>
      </w:pPr>
      <w:r>
        <w:rPr>
          <w:rFonts w:hint="eastAsia"/>
        </w:rPr>
        <w:t>关联受托管理/承包及委托管理/出包情况</w:t>
      </w:r>
    </w:p>
    <w:p w14:paraId="574DA03A" w14:textId="77777777" w:rsidR="005E000F" w:rsidRDefault="00000000">
      <w:r>
        <w:rPr>
          <w:rFonts w:hint="eastAsia"/>
        </w:rPr>
        <w:t>公司受托管理</w:t>
      </w:r>
      <w:r>
        <w:rPr>
          <w:rFonts w:hint="eastAsia"/>
        </w:rPr>
        <w:t>/</w:t>
      </w:r>
      <w:r>
        <w:rPr>
          <w:rFonts w:hint="eastAsia"/>
        </w:rPr>
        <w:t>承包情况表：</w:t>
      </w:r>
    </w:p>
    <w:sdt>
      <w:sdtPr>
        <w:rPr>
          <w:rFonts w:cs="Cambria"/>
        </w:rPr>
        <w:alias w:val="是否适用：本公司受托管理或承包情况表[双击切换]"/>
        <w:tag w:val="_GBC_30440fae2d7246f59be82c31d907217a"/>
        <w:id w:val="-427119006"/>
        <w:placeholder>
          <w:docPart w:val="GBC22222222222222222222222222222"/>
        </w:placeholder>
      </w:sdtPr>
      <w:sdtContent>
        <w:p w14:paraId="5808B77F" w14:textId="77777777" w:rsidR="005E000F" w:rsidRDefault="00000000">
          <w:pPr>
            <w:rPr>
              <w:rFonts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61746897" w14:textId="77777777" w:rsidR="005E000F" w:rsidRDefault="005E000F">
      <w:pPr>
        <w:rPr>
          <w:rFonts w:cs="Cambria"/>
        </w:rPr>
      </w:pPr>
    </w:p>
    <w:p w14:paraId="49DD4072" w14:textId="77777777" w:rsidR="005E000F" w:rsidRDefault="00000000">
      <w:pPr>
        <w:rPr>
          <w:rFonts w:cs="Cambria"/>
        </w:rPr>
      </w:pPr>
      <w:r>
        <w:rPr>
          <w:rFonts w:cs="Cambria" w:hint="eastAsia"/>
        </w:rPr>
        <w:t>关联托管</w:t>
      </w:r>
      <w:r>
        <w:rPr>
          <w:rFonts w:cs="Cambria" w:hint="eastAsia"/>
        </w:rPr>
        <w:t>/</w:t>
      </w:r>
      <w:r>
        <w:rPr>
          <w:rFonts w:cs="Cambria" w:hint="eastAsia"/>
        </w:rPr>
        <w:t>承包情况说明</w:t>
      </w:r>
    </w:p>
    <w:sdt>
      <w:sdtPr>
        <w:rPr>
          <w:rFonts w:cs="Cambria"/>
        </w:rPr>
        <w:alias w:val="是否适用：关联托管或承包情况说明[双击切换]"/>
        <w:tag w:val="_GBC_60aca51a92e545e9bbad9ba5228083c8"/>
        <w:id w:val="1034699916"/>
        <w:placeholder>
          <w:docPart w:val="GBC22222222222222222222222222222"/>
        </w:placeholder>
      </w:sdtPr>
      <w:sdtContent>
        <w:p w14:paraId="47FE3C37" w14:textId="77777777" w:rsidR="005E000F" w:rsidRDefault="00000000">
          <w:pPr>
            <w:rPr>
              <w:rFonts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7F58EBE9" w14:textId="77777777" w:rsidR="005E000F" w:rsidRDefault="005E000F">
      <w:pPr>
        <w:rPr>
          <w:rFonts w:cs="Cambria"/>
        </w:rPr>
      </w:pPr>
    </w:p>
    <w:p w14:paraId="115F32FF" w14:textId="77777777" w:rsidR="005E000F" w:rsidRDefault="00000000">
      <w:pPr>
        <w:rPr>
          <w:rFonts w:cs="Cambria"/>
          <w:bCs/>
        </w:rPr>
      </w:pPr>
      <w:r>
        <w:rPr>
          <w:rFonts w:hint="eastAsia"/>
        </w:rPr>
        <w:t>公司</w:t>
      </w:r>
      <w:r>
        <w:rPr>
          <w:rFonts w:cs="Cambria" w:hint="eastAsia"/>
          <w:bCs/>
        </w:rPr>
        <w:t>委托管理</w:t>
      </w:r>
      <w:r>
        <w:rPr>
          <w:rFonts w:cs="Cambria" w:hint="eastAsia"/>
          <w:bCs/>
        </w:rPr>
        <w:t>/</w:t>
      </w:r>
      <w:r>
        <w:rPr>
          <w:rFonts w:cs="Cambria" w:hint="eastAsia"/>
          <w:bCs/>
        </w:rPr>
        <w:t>出</w:t>
      </w:r>
      <w:proofErr w:type="gramStart"/>
      <w:r>
        <w:rPr>
          <w:rFonts w:cs="Cambria" w:hint="eastAsia"/>
          <w:bCs/>
        </w:rPr>
        <w:t>包情况</w:t>
      </w:r>
      <w:proofErr w:type="gramEnd"/>
      <w:r>
        <w:rPr>
          <w:rFonts w:cs="Cambria" w:hint="eastAsia"/>
          <w:bCs/>
        </w:rPr>
        <w:t>表</w:t>
      </w:r>
    </w:p>
    <w:sdt>
      <w:sdtPr>
        <w:rPr>
          <w:rFonts w:cs="Cambria"/>
          <w:bCs/>
        </w:rPr>
        <w:alias w:val="是否适用：本公司委托管理或出包情况表[双击切换]"/>
        <w:tag w:val="_GBC_4655dfffa9a7464b8715035e819d5968"/>
        <w:id w:val="2030910728"/>
        <w:placeholder>
          <w:docPart w:val="GBC22222222222222222222222222222"/>
        </w:placeholder>
      </w:sdtPr>
      <w:sdtContent>
        <w:p w14:paraId="0C34231A" w14:textId="77777777" w:rsidR="005E000F" w:rsidRDefault="00000000">
          <w:pPr>
            <w:rPr>
              <w:rFonts w:cs="Cambria"/>
              <w:bCs/>
            </w:rPr>
          </w:pPr>
          <w:r>
            <w:rPr>
              <w:rFonts w:ascii="宋体" w:hAnsi="宋体" w:cs="Cambria"/>
              <w:bCs/>
            </w:rPr>
            <w:fldChar w:fldCharType="begin"/>
          </w:r>
          <w:r>
            <w:rPr>
              <w:rFonts w:ascii="宋体" w:hAnsi="宋体" w:cs="Cambria" w:hint="eastAsia"/>
              <w:bCs/>
            </w:rPr>
            <w:instrText xml:space="preserve">MACROBUTTON  SnrToggleCheckbox □适用 </w:instrText>
          </w:r>
          <w:r>
            <w:rPr>
              <w:rFonts w:ascii="宋体" w:hAnsi="宋体" w:cs="Cambria"/>
              <w:bCs/>
            </w:rPr>
            <w:fldChar w:fldCharType="end"/>
          </w:r>
          <w:r>
            <w:rPr>
              <w:rFonts w:ascii="宋体" w:hAnsi="宋体" w:cs="Cambria"/>
              <w:bCs/>
            </w:rPr>
            <w:fldChar w:fldCharType="begin"/>
          </w:r>
          <w:r>
            <w:rPr>
              <w:rFonts w:ascii="宋体" w:hAnsi="宋体" w:cs="Cambria" w:hint="eastAsia"/>
              <w:bCs/>
            </w:rPr>
            <w:instrText xml:space="preserve"> MACROBUTTON  SnrToggleCheckbox √不适用 </w:instrText>
          </w:r>
          <w:r>
            <w:rPr>
              <w:rFonts w:ascii="宋体" w:hAnsi="宋体" w:cs="Cambria"/>
              <w:bCs/>
            </w:rPr>
            <w:fldChar w:fldCharType="end"/>
          </w:r>
        </w:p>
      </w:sdtContent>
    </w:sdt>
    <w:p w14:paraId="47335457" w14:textId="77777777" w:rsidR="005E000F" w:rsidRDefault="005E000F">
      <w:pPr>
        <w:rPr>
          <w:rFonts w:cs="Cambria"/>
          <w:bCs/>
        </w:rPr>
      </w:pPr>
    </w:p>
    <w:p w14:paraId="17377AC7" w14:textId="77777777" w:rsidR="005E000F" w:rsidRDefault="00000000">
      <w:pPr>
        <w:rPr>
          <w:rFonts w:cs="Cambria"/>
          <w:bCs/>
        </w:rPr>
      </w:pPr>
      <w:r>
        <w:rPr>
          <w:rFonts w:cs="Cambria" w:hint="eastAsia"/>
          <w:bCs/>
        </w:rPr>
        <w:t>关联管理</w:t>
      </w:r>
      <w:r>
        <w:rPr>
          <w:rFonts w:cs="Cambria" w:hint="eastAsia"/>
          <w:bCs/>
        </w:rPr>
        <w:t>/</w:t>
      </w:r>
      <w:r>
        <w:rPr>
          <w:rFonts w:cs="Cambria" w:hint="eastAsia"/>
          <w:bCs/>
        </w:rPr>
        <w:t>出</w:t>
      </w:r>
      <w:proofErr w:type="gramStart"/>
      <w:r>
        <w:rPr>
          <w:rFonts w:cs="Cambria" w:hint="eastAsia"/>
          <w:bCs/>
        </w:rPr>
        <w:t>包情况</w:t>
      </w:r>
      <w:proofErr w:type="gramEnd"/>
      <w:r>
        <w:rPr>
          <w:rFonts w:cs="Cambria" w:hint="eastAsia"/>
          <w:bCs/>
        </w:rPr>
        <w:t>说明</w:t>
      </w:r>
    </w:p>
    <w:sdt>
      <w:sdtPr>
        <w:rPr>
          <w:rFonts w:cs="Cambria"/>
          <w:bCs/>
        </w:rPr>
        <w:alias w:val="是否适用：关联管理或出包情况说明[双击切换]"/>
        <w:tag w:val="_GBC_a21df8e7013c4b70bab4125cabda8c46"/>
        <w:id w:val="-758211959"/>
        <w:placeholder>
          <w:docPart w:val="GBC22222222222222222222222222222"/>
        </w:placeholder>
      </w:sdtPr>
      <w:sdtContent>
        <w:p w14:paraId="466DF0B8" w14:textId="77777777" w:rsidR="005E000F" w:rsidRDefault="00000000">
          <w:pPr>
            <w:rPr>
              <w:rFonts w:cs="Cambria"/>
              <w:bCs/>
            </w:rPr>
          </w:pPr>
          <w:r>
            <w:rPr>
              <w:rFonts w:ascii="宋体" w:hAnsi="宋体" w:cs="Cambria"/>
              <w:bCs/>
            </w:rPr>
            <w:fldChar w:fldCharType="begin"/>
          </w:r>
          <w:r>
            <w:rPr>
              <w:rFonts w:ascii="宋体" w:hAnsi="宋体" w:cs="Cambria" w:hint="eastAsia"/>
              <w:bCs/>
            </w:rPr>
            <w:instrText xml:space="preserve">MACROBUTTON  SnrToggleCheckbox □适用 </w:instrText>
          </w:r>
          <w:r>
            <w:rPr>
              <w:rFonts w:ascii="宋体" w:hAnsi="宋体" w:cs="Cambria"/>
              <w:bCs/>
            </w:rPr>
            <w:fldChar w:fldCharType="end"/>
          </w:r>
          <w:r>
            <w:rPr>
              <w:rFonts w:ascii="宋体" w:hAnsi="宋体" w:cs="Cambria"/>
              <w:bCs/>
            </w:rPr>
            <w:fldChar w:fldCharType="begin"/>
          </w:r>
          <w:r>
            <w:rPr>
              <w:rFonts w:ascii="宋体" w:hAnsi="宋体" w:cs="Cambria" w:hint="eastAsia"/>
              <w:bCs/>
            </w:rPr>
            <w:instrText xml:space="preserve"> MACROBUTTON  SnrToggleCheckbox √不适用 </w:instrText>
          </w:r>
          <w:r>
            <w:rPr>
              <w:rFonts w:ascii="宋体" w:hAnsi="宋体" w:cs="Cambria"/>
              <w:bCs/>
            </w:rPr>
            <w:fldChar w:fldCharType="end"/>
          </w:r>
        </w:p>
      </w:sdtContent>
    </w:sdt>
    <w:p w14:paraId="02B8A72D" w14:textId="77777777" w:rsidR="005E000F" w:rsidRDefault="005E000F">
      <w:pPr>
        <w:rPr>
          <w:rFonts w:cs="Cambria"/>
        </w:rPr>
      </w:pPr>
    </w:p>
    <w:bookmarkStart w:id="412" w:name="_Hlk213680039" w:displacedByCustomXml="next"/>
    <w:sdt>
      <w:sdtPr>
        <w:tag w:val="_PLD_577259088e7c4490b8642884af14cb50"/>
        <w:id w:val="88897795"/>
      </w:sdtPr>
      <w:sdtContent>
        <w:p w14:paraId="00F22525" w14:textId="77777777" w:rsidR="005E000F" w:rsidRDefault="00000000">
          <w:pPr>
            <w:pStyle w:val="4"/>
            <w:numPr>
              <w:ilvl w:val="3"/>
              <w:numId w:val="120"/>
            </w:numPr>
            <w:ind w:left="426" w:hangingChars="202" w:hanging="426"/>
          </w:pPr>
          <w:r>
            <w:rPr>
              <w:rFonts w:hint="eastAsia"/>
            </w:rPr>
            <w:t>关联租赁情况</w:t>
          </w:r>
        </w:p>
      </w:sdtContent>
    </w:sdt>
    <w:p w14:paraId="6487ADF8" w14:textId="77777777" w:rsidR="005E000F" w:rsidRDefault="00000000">
      <w:r>
        <w:rPr>
          <w:rFonts w:hint="eastAsia"/>
        </w:rPr>
        <w:t>本公司作为出租方：</w:t>
      </w:r>
    </w:p>
    <w:sdt>
      <w:sdtPr>
        <w:alias w:val="是否适用：本公司作为出租方的租赁情况表[双击切换]"/>
        <w:tag w:val="_GBC_b67e8ccf7ec147d698f9f192968e98bf"/>
        <w:id w:val="-1256819204"/>
      </w:sdtPr>
      <w:sdtContent>
        <w:p w14:paraId="4429F66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sdtContent>
    </w:sdt>
    <w:p w14:paraId="18DEA90F" w14:textId="77777777" w:rsidR="005E000F" w:rsidRDefault="00000000">
      <w:pPr>
        <w:jc w:val="right"/>
      </w:pPr>
      <w:r>
        <w:rPr>
          <w:rFonts w:hint="eastAsia"/>
        </w:rPr>
        <w:t>单位：</w:t>
      </w:r>
      <w:sdt>
        <w:sdtPr>
          <w:rPr>
            <w:rFonts w:hint="eastAsia"/>
          </w:rPr>
          <w:alias w:val="单位：关联租赁情况"/>
          <w:tag w:val="_GBC_d95d648c603a49478a4e0e7a1274bc6b"/>
          <w:id w:val="-1396035786"/>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rPr>
          <w:rFonts w:hint="eastAsia"/>
        </w:rPr>
        <w:t>币种：</w:t>
      </w:r>
      <w:sdt>
        <w:sdtPr>
          <w:rPr>
            <w:rFonts w:hint="eastAsia"/>
          </w:rPr>
          <w:alias w:val="币种：关联租赁情况"/>
          <w:tag w:val="_GBC_4316ddfce7034d00b4f5fe941a884b0c"/>
          <w:id w:val="-213000396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6"/>
        <w:gridCol w:w="2017"/>
        <w:gridCol w:w="2504"/>
        <w:gridCol w:w="2720"/>
      </w:tblGrid>
      <w:tr w:rsidR="005E000F" w14:paraId="20C38ADD" w14:textId="77777777">
        <w:trPr>
          <w:trHeight w:val="338"/>
        </w:trPr>
        <w:sdt>
          <w:sdtPr>
            <w:tag w:val="_PLD_cc1d9e6700c8464abef135c18dae1347"/>
            <w:id w:val="1838727951"/>
          </w:sdtPr>
          <w:sdtContent>
            <w:tc>
              <w:tcPr>
                <w:tcW w:w="1806" w:type="dxa"/>
                <w:tcBorders>
                  <w:top w:val="single" w:sz="4" w:space="0" w:color="auto"/>
                  <w:left w:val="single" w:sz="4" w:space="0" w:color="auto"/>
                  <w:right w:val="single" w:sz="4" w:space="0" w:color="auto"/>
                </w:tcBorders>
                <w:vAlign w:val="center"/>
              </w:tcPr>
              <w:p w14:paraId="31085D8C" w14:textId="77777777" w:rsidR="005E000F" w:rsidRDefault="00000000">
                <w:pPr>
                  <w:jc w:val="center"/>
                </w:pPr>
                <w:r>
                  <w:rPr>
                    <w:rFonts w:hint="eastAsia"/>
                  </w:rPr>
                  <w:t>承租方名称</w:t>
                </w:r>
              </w:p>
            </w:tc>
          </w:sdtContent>
        </w:sdt>
        <w:sdt>
          <w:sdtPr>
            <w:tag w:val="_PLD_7c70ec7c258c47ab93562d23df95ba25"/>
            <w:id w:val="-1915154610"/>
          </w:sdtPr>
          <w:sdtContent>
            <w:tc>
              <w:tcPr>
                <w:tcW w:w="2017" w:type="dxa"/>
                <w:tcBorders>
                  <w:top w:val="single" w:sz="4" w:space="0" w:color="auto"/>
                  <w:left w:val="single" w:sz="4" w:space="0" w:color="auto"/>
                  <w:right w:val="single" w:sz="4" w:space="0" w:color="auto"/>
                </w:tcBorders>
                <w:vAlign w:val="center"/>
              </w:tcPr>
              <w:p w14:paraId="28F98712" w14:textId="77777777" w:rsidR="005E000F" w:rsidRDefault="00000000">
                <w:pPr>
                  <w:jc w:val="center"/>
                </w:pPr>
                <w:r>
                  <w:rPr>
                    <w:rFonts w:hint="eastAsia"/>
                  </w:rPr>
                  <w:t>租赁资产种类</w:t>
                </w:r>
              </w:p>
            </w:tc>
          </w:sdtContent>
        </w:sdt>
        <w:sdt>
          <w:sdtPr>
            <w:tag w:val="_PLD_b73b5bf2ad5b438bac8401815956bbdb"/>
            <w:id w:val="1987425388"/>
          </w:sdtPr>
          <w:sdtContent>
            <w:tc>
              <w:tcPr>
                <w:tcW w:w="2504" w:type="dxa"/>
                <w:tcBorders>
                  <w:top w:val="single" w:sz="4" w:space="0" w:color="auto"/>
                  <w:left w:val="single" w:sz="4" w:space="0" w:color="auto"/>
                  <w:right w:val="single" w:sz="4" w:space="0" w:color="auto"/>
                </w:tcBorders>
                <w:vAlign w:val="center"/>
              </w:tcPr>
              <w:p w14:paraId="07BF94C2" w14:textId="77777777" w:rsidR="005E000F" w:rsidRDefault="00000000">
                <w:pPr>
                  <w:jc w:val="center"/>
                </w:pPr>
                <w:r>
                  <w:rPr>
                    <w:rFonts w:hint="eastAsia"/>
                  </w:rPr>
                  <w:t>本期确认的租赁收入</w:t>
                </w:r>
              </w:p>
            </w:tc>
          </w:sdtContent>
        </w:sdt>
        <w:sdt>
          <w:sdtPr>
            <w:tag w:val="_PLD_08d45094bbb64f479287ecd678beea52"/>
            <w:id w:val="-444153507"/>
          </w:sdtPr>
          <w:sdtContent>
            <w:tc>
              <w:tcPr>
                <w:tcW w:w="2720" w:type="dxa"/>
                <w:tcBorders>
                  <w:top w:val="single" w:sz="4" w:space="0" w:color="auto"/>
                  <w:left w:val="single" w:sz="4" w:space="0" w:color="auto"/>
                  <w:right w:val="single" w:sz="4" w:space="0" w:color="auto"/>
                </w:tcBorders>
                <w:vAlign w:val="center"/>
              </w:tcPr>
              <w:p w14:paraId="5BBA9A6F" w14:textId="77777777" w:rsidR="005E000F" w:rsidRDefault="00000000">
                <w:pPr>
                  <w:jc w:val="center"/>
                </w:pPr>
                <w:r>
                  <w:rPr>
                    <w:rFonts w:hint="eastAsia"/>
                  </w:rPr>
                  <w:t>上期确认的租赁收入</w:t>
                </w:r>
              </w:p>
            </w:tc>
          </w:sdtContent>
        </w:sdt>
      </w:tr>
      <w:sdt>
        <w:sdtPr>
          <w:alias w:val="关联租赁情况"/>
          <w:tag w:val="_TUP_0737c0b729354e1aa40e6636ee6d6f9b"/>
          <w:id w:val="1645384366"/>
          <w:placeholder>
            <w:docPart w:val="5395F45571C34086BE5956881E3717DF"/>
          </w:placeholder>
        </w:sdtPr>
        <w:sdtContent>
          <w:tr w:rsidR="005E000F" w14:paraId="12B9E30F" w14:textId="77777777">
            <w:tc>
              <w:tcPr>
                <w:tcW w:w="1806" w:type="dxa"/>
                <w:tcBorders>
                  <w:top w:val="single" w:sz="4" w:space="0" w:color="auto"/>
                  <w:left w:val="single" w:sz="4" w:space="0" w:color="auto"/>
                  <w:bottom w:val="single" w:sz="4" w:space="0" w:color="auto"/>
                  <w:right w:val="single" w:sz="4" w:space="0" w:color="auto"/>
                </w:tcBorders>
                <w:vAlign w:val="center"/>
              </w:tcPr>
              <w:p w14:paraId="08B30167" w14:textId="77777777" w:rsidR="005E000F" w:rsidRDefault="00000000">
                <w:r>
                  <w:rPr>
                    <w:rFonts w:hint="eastAsia"/>
                  </w:rPr>
                  <w:t>国铁集团及其下属单位</w:t>
                </w:r>
              </w:p>
            </w:tc>
            <w:tc>
              <w:tcPr>
                <w:tcW w:w="2017" w:type="dxa"/>
                <w:tcBorders>
                  <w:top w:val="single" w:sz="4" w:space="0" w:color="auto"/>
                  <w:left w:val="single" w:sz="4" w:space="0" w:color="auto"/>
                  <w:bottom w:val="single" w:sz="4" w:space="0" w:color="auto"/>
                  <w:right w:val="single" w:sz="4" w:space="0" w:color="auto"/>
                </w:tcBorders>
                <w:vAlign w:val="center"/>
              </w:tcPr>
              <w:p w14:paraId="564979F9" w14:textId="77777777" w:rsidR="005E000F" w:rsidRDefault="00000000">
                <w:r>
                  <w:rPr>
                    <w:rFonts w:hint="eastAsia"/>
                  </w:rPr>
                  <w:t>机车车辆</w:t>
                </w:r>
              </w:p>
            </w:tc>
            <w:tc>
              <w:tcPr>
                <w:tcW w:w="2504" w:type="dxa"/>
                <w:tcBorders>
                  <w:top w:val="single" w:sz="4" w:space="0" w:color="auto"/>
                  <w:left w:val="single" w:sz="4" w:space="0" w:color="auto"/>
                  <w:bottom w:val="single" w:sz="4" w:space="0" w:color="auto"/>
                  <w:right w:val="single" w:sz="4" w:space="0" w:color="auto"/>
                </w:tcBorders>
                <w:vAlign w:val="center"/>
              </w:tcPr>
              <w:p w14:paraId="5BD93014" w14:textId="77777777" w:rsidR="005E000F" w:rsidRDefault="00000000">
                <w:pPr>
                  <w:jc w:val="right"/>
                </w:pPr>
                <w:r>
                  <w:rPr>
                    <w:rFonts w:hint="eastAsia"/>
                  </w:rPr>
                  <w:t>14,624,554</w:t>
                </w:r>
              </w:p>
            </w:tc>
            <w:tc>
              <w:tcPr>
                <w:tcW w:w="2720" w:type="dxa"/>
                <w:tcBorders>
                  <w:top w:val="single" w:sz="4" w:space="0" w:color="auto"/>
                  <w:left w:val="single" w:sz="4" w:space="0" w:color="auto"/>
                  <w:bottom w:val="single" w:sz="4" w:space="0" w:color="auto"/>
                  <w:right w:val="single" w:sz="4" w:space="0" w:color="auto"/>
                </w:tcBorders>
                <w:vAlign w:val="center"/>
              </w:tcPr>
              <w:p w14:paraId="36165B50" w14:textId="77777777" w:rsidR="005E000F" w:rsidRDefault="00000000">
                <w:pPr>
                  <w:jc w:val="right"/>
                </w:pPr>
                <w:r>
                  <w:rPr>
                    <w:rFonts w:hint="eastAsia"/>
                  </w:rPr>
                  <w:t>2,129,602</w:t>
                </w:r>
              </w:p>
            </w:tc>
          </w:tr>
        </w:sdtContent>
      </w:sdt>
      <w:sdt>
        <w:sdtPr>
          <w:alias w:val="关联租赁情况"/>
          <w:tag w:val="_TUP_0737c0b729354e1aa40e6636ee6d6f9b"/>
          <w:id w:val="1966310025"/>
          <w:placeholder>
            <w:docPart w:val="5395F45571C34086BE5956881E3717DF"/>
          </w:placeholder>
        </w:sdtPr>
        <w:sdtContent>
          <w:tr w:rsidR="005E000F" w14:paraId="65476895" w14:textId="77777777">
            <w:tc>
              <w:tcPr>
                <w:tcW w:w="1806" w:type="dxa"/>
                <w:tcBorders>
                  <w:top w:val="single" w:sz="4" w:space="0" w:color="auto"/>
                  <w:left w:val="single" w:sz="4" w:space="0" w:color="auto"/>
                  <w:bottom w:val="single" w:sz="4" w:space="0" w:color="auto"/>
                  <w:right w:val="single" w:sz="4" w:space="0" w:color="auto"/>
                </w:tcBorders>
                <w:vAlign w:val="center"/>
              </w:tcPr>
              <w:p w14:paraId="00486582" w14:textId="77777777" w:rsidR="005E000F" w:rsidRDefault="00000000">
                <w:r>
                  <w:rPr>
                    <w:rFonts w:hint="eastAsia"/>
                  </w:rPr>
                  <w:t>其中：太原局集团公司及其下属单位</w:t>
                </w:r>
              </w:p>
            </w:tc>
            <w:tc>
              <w:tcPr>
                <w:tcW w:w="2017" w:type="dxa"/>
                <w:tcBorders>
                  <w:top w:val="single" w:sz="4" w:space="0" w:color="auto"/>
                  <w:left w:val="single" w:sz="4" w:space="0" w:color="auto"/>
                  <w:bottom w:val="single" w:sz="4" w:space="0" w:color="auto"/>
                  <w:right w:val="single" w:sz="4" w:space="0" w:color="auto"/>
                </w:tcBorders>
                <w:vAlign w:val="center"/>
              </w:tcPr>
              <w:p w14:paraId="746AE266" w14:textId="77777777" w:rsidR="005E000F" w:rsidRDefault="00000000">
                <w:r>
                  <w:rPr>
                    <w:rFonts w:hint="eastAsia"/>
                  </w:rPr>
                  <w:t>机车车辆</w:t>
                </w:r>
              </w:p>
            </w:tc>
            <w:tc>
              <w:tcPr>
                <w:tcW w:w="2504" w:type="dxa"/>
                <w:tcBorders>
                  <w:top w:val="single" w:sz="4" w:space="0" w:color="auto"/>
                  <w:left w:val="single" w:sz="4" w:space="0" w:color="auto"/>
                  <w:bottom w:val="single" w:sz="4" w:space="0" w:color="auto"/>
                  <w:right w:val="single" w:sz="4" w:space="0" w:color="auto"/>
                </w:tcBorders>
                <w:vAlign w:val="center"/>
              </w:tcPr>
              <w:p w14:paraId="437C4969" w14:textId="77777777" w:rsidR="005E000F" w:rsidRDefault="00000000">
                <w:pPr>
                  <w:jc w:val="right"/>
                </w:pPr>
                <w:r>
                  <w:rPr>
                    <w:rFonts w:hint="eastAsia"/>
                  </w:rPr>
                  <w:t>14,624,554</w:t>
                </w:r>
              </w:p>
            </w:tc>
            <w:tc>
              <w:tcPr>
                <w:tcW w:w="2720" w:type="dxa"/>
                <w:tcBorders>
                  <w:top w:val="single" w:sz="4" w:space="0" w:color="auto"/>
                  <w:left w:val="single" w:sz="4" w:space="0" w:color="auto"/>
                  <w:bottom w:val="single" w:sz="4" w:space="0" w:color="auto"/>
                  <w:right w:val="single" w:sz="4" w:space="0" w:color="auto"/>
                </w:tcBorders>
                <w:vAlign w:val="center"/>
              </w:tcPr>
              <w:p w14:paraId="121907A8" w14:textId="77777777" w:rsidR="005E000F" w:rsidRDefault="00000000">
                <w:pPr>
                  <w:jc w:val="right"/>
                </w:pPr>
                <w:r>
                  <w:rPr>
                    <w:rFonts w:hint="eastAsia"/>
                  </w:rPr>
                  <w:t>2,129,602</w:t>
                </w:r>
              </w:p>
            </w:tc>
          </w:tr>
        </w:sdtContent>
      </w:sdt>
      <w:sdt>
        <w:sdtPr>
          <w:alias w:val="关联租赁情况"/>
          <w:tag w:val="_TUP_0737c0b729354e1aa40e6636ee6d6f9b"/>
          <w:id w:val="485281536"/>
          <w:placeholder>
            <w:docPart w:val="5395F45571C34086BE5956881E3717DF"/>
          </w:placeholder>
        </w:sdtPr>
        <w:sdtContent>
          <w:tr w:rsidR="005E000F" w14:paraId="7CC296C8" w14:textId="77777777">
            <w:tc>
              <w:tcPr>
                <w:tcW w:w="1806" w:type="dxa"/>
                <w:tcBorders>
                  <w:top w:val="single" w:sz="4" w:space="0" w:color="auto"/>
                  <w:left w:val="single" w:sz="4" w:space="0" w:color="auto"/>
                  <w:bottom w:val="single" w:sz="4" w:space="0" w:color="auto"/>
                  <w:right w:val="single" w:sz="4" w:space="0" w:color="auto"/>
                </w:tcBorders>
                <w:vAlign w:val="center"/>
              </w:tcPr>
              <w:p w14:paraId="7F8410F0" w14:textId="77777777" w:rsidR="005E000F" w:rsidRDefault="00000000">
                <w:r>
                  <w:rPr>
                    <w:rFonts w:hint="eastAsia"/>
                  </w:rPr>
                  <w:t>国铁集团及其下属单位</w:t>
                </w:r>
              </w:p>
            </w:tc>
            <w:tc>
              <w:tcPr>
                <w:tcW w:w="2017" w:type="dxa"/>
                <w:tcBorders>
                  <w:top w:val="single" w:sz="4" w:space="0" w:color="auto"/>
                  <w:left w:val="single" w:sz="4" w:space="0" w:color="auto"/>
                  <w:bottom w:val="single" w:sz="4" w:space="0" w:color="auto"/>
                  <w:right w:val="single" w:sz="4" w:space="0" w:color="auto"/>
                </w:tcBorders>
                <w:vAlign w:val="center"/>
              </w:tcPr>
              <w:p w14:paraId="088ACE36" w14:textId="77777777" w:rsidR="005E000F" w:rsidRDefault="00000000">
                <w:r>
                  <w:rPr>
                    <w:rFonts w:hint="eastAsia"/>
                  </w:rPr>
                  <w:t>房屋及其他</w:t>
                </w:r>
              </w:p>
            </w:tc>
            <w:tc>
              <w:tcPr>
                <w:tcW w:w="2504" w:type="dxa"/>
                <w:tcBorders>
                  <w:top w:val="single" w:sz="4" w:space="0" w:color="auto"/>
                  <w:left w:val="single" w:sz="4" w:space="0" w:color="auto"/>
                  <w:bottom w:val="single" w:sz="4" w:space="0" w:color="auto"/>
                  <w:right w:val="single" w:sz="4" w:space="0" w:color="auto"/>
                </w:tcBorders>
                <w:vAlign w:val="center"/>
              </w:tcPr>
              <w:p w14:paraId="5015AD61" w14:textId="77777777" w:rsidR="005E000F" w:rsidRDefault="00000000">
                <w:pPr>
                  <w:jc w:val="right"/>
                </w:pPr>
                <w:r>
                  <w:rPr>
                    <w:rFonts w:hint="eastAsia"/>
                  </w:rPr>
                  <w:t>0</w:t>
                </w:r>
              </w:p>
            </w:tc>
            <w:tc>
              <w:tcPr>
                <w:tcW w:w="2720" w:type="dxa"/>
                <w:tcBorders>
                  <w:top w:val="single" w:sz="4" w:space="0" w:color="auto"/>
                  <w:left w:val="single" w:sz="4" w:space="0" w:color="auto"/>
                  <w:bottom w:val="single" w:sz="4" w:space="0" w:color="auto"/>
                  <w:right w:val="single" w:sz="4" w:space="0" w:color="auto"/>
                </w:tcBorders>
                <w:vAlign w:val="center"/>
              </w:tcPr>
              <w:p w14:paraId="6AA9522E" w14:textId="77777777" w:rsidR="005E000F" w:rsidRDefault="00000000">
                <w:pPr>
                  <w:jc w:val="right"/>
                </w:pPr>
                <w:r>
                  <w:rPr>
                    <w:rFonts w:hint="eastAsia"/>
                  </w:rPr>
                  <w:t>5,238,608</w:t>
                </w:r>
              </w:p>
            </w:tc>
          </w:tr>
        </w:sdtContent>
      </w:sdt>
      <w:sdt>
        <w:sdtPr>
          <w:alias w:val="关联租赁情况"/>
          <w:tag w:val="_TUP_0737c0b729354e1aa40e6636ee6d6f9b"/>
          <w:id w:val="-1580658704"/>
          <w:placeholder>
            <w:docPart w:val="5395F45571C34086BE5956881E3717DF"/>
          </w:placeholder>
        </w:sdtPr>
        <w:sdtContent>
          <w:tr w:rsidR="005E000F" w14:paraId="127793C4" w14:textId="77777777">
            <w:tc>
              <w:tcPr>
                <w:tcW w:w="1806" w:type="dxa"/>
                <w:tcBorders>
                  <w:top w:val="single" w:sz="4" w:space="0" w:color="auto"/>
                  <w:left w:val="single" w:sz="4" w:space="0" w:color="auto"/>
                  <w:bottom w:val="single" w:sz="4" w:space="0" w:color="auto"/>
                  <w:right w:val="single" w:sz="4" w:space="0" w:color="auto"/>
                </w:tcBorders>
                <w:vAlign w:val="center"/>
              </w:tcPr>
              <w:p w14:paraId="501F8252" w14:textId="77777777" w:rsidR="005E000F" w:rsidRDefault="00000000">
                <w:r>
                  <w:rPr>
                    <w:rFonts w:hint="eastAsia"/>
                  </w:rPr>
                  <w:t>其中：太原局集团公司及其下属单位</w:t>
                </w:r>
              </w:p>
            </w:tc>
            <w:tc>
              <w:tcPr>
                <w:tcW w:w="2017" w:type="dxa"/>
                <w:tcBorders>
                  <w:top w:val="single" w:sz="4" w:space="0" w:color="auto"/>
                  <w:left w:val="single" w:sz="4" w:space="0" w:color="auto"/>
                  <w:bottom w:val="single" w:sz="4" w:space="0" w:color="auto"/>
                  <w:right w:val="single" w:sz="4" w:space="0" w:color="auto"/>
                </w:tcBorders>
                <w:vAlign w:val="center"/>
              </w:tcPr>
              <w:p w14:paraId="63D773CE" w14:textId="77777777" w:rsidR="005E000F" w:rsidRDefault="00000000">
                <w:r>
                  <w:rPr>
                    <w:rFonts w:hint="eastAsia"/>
                  </w:rPr>
                  <w:t>房屋及其他</w:t>
                </w:r>
              </w:p>
            </w:tc>
            <w:tc>
              <w:tcPr>
                <w:tcW w:w="2504" w:type="dxa"/>
                <w:tcBorders>
                  <w:top w:val="single" w:sz="4" w:space="0" w:color="auto"/>
                  <w:left w:val="single" w:sz="4" w:space="0" w:color="auto"/>
                  <w:bottom w:val="single" w:sz="4" w:space="0" w:color="auto"/>
                  <w:right w:val="single" w:sz="4" w:space="0" w:color="auto"/>
                </w:tcBorders>
                <w:vAlign w:val="center"/>
              </w:tcPr>
              <w:p w14:paraId="5B8294E1" w14:textId="77777777" w:rsidR="005E000F" w:rsidRDefault="00000000">
                <w:pPr>
                  <w:jc w:val="right"/>
                </w:pPr>
                <w:r>
                  <w:rPr>
                    <w:rFonts w:hint="eastAsia"/>
                  </w:rPr>
                  <w:t>0</w:t>
                </w:r>
              </w:p>
            </w:tc>
            <w:tc>
              <w:tcPr>
                <w:tcW w:w="2720" w:type="dxa"/>
                <w:tcBorders>
                  <w:top w:val="single" w:sz="4" w:space="0" w:color="auto"/>
                  <w:left w:val="single" w:sz="4" w:space="0" w:color="auto"/>
                  <w:bottom w:val="single" w:sz="4" w:space="0" w:color="auto"/>
                  <w:right w:val="single" w:sz="4" w:space="0" w:color="auto"/>
                </w:tcBorders>
                <w:vAlign w:val="center"/>
              </w:tcPr>
              <w:p w14:paraId="3B965CEC" w14:textId="77777777" w:rsidR="005E000F" w:rsidRDefault="00000000">
                <w:pPr>
                  <w:jc w:val="right"/>
                </w:pPr>
                <w:r>
                  <w:rPr>
                    <w:rFonts w:hint="eastAsia"/>
                  </w:rPr>
                  <w:t>5,238,608</w:t>
                </w:r>
              </w:p>
            </w:tc>
          </w:tr>
        </w:sdtContent>
      </w:sdt>
    </w:tbl>
    <w:p w14:paraId="106C8B5D" w14:textId="77777777" w:rsidR="005E000F" w:rsidRDefault="005E000F">
      <w:pPr>
        <w:sectPr w:rsidR="005E000F">
          <w:pgSz w:w="11906" w:h="16838"/>
          <w:pgMar w:top="1525" w:right="1276" w:bottom="1440" w:left="1797" w:header="856" w:footer="992" w:gutter="0"/>
          <w:cols w:space="425"/>
          <w:docGrid w:linePitch="312"/>
        </w:sectPr>
      </w:pPr>
    </w:p>
    <w:p w14:paraId="2F2B3B5D" w14:textId="77777777" w:rsidR="005E000F" w:rsidRDefault="005E000F"/>
    <w:p w14:paraId="28912AB0" w14:textId="77777777" w:rsidR="005E000F" w:rsidRDefault="00000000">
      <w:r>
        <w:rPr>
          <w:rFonts w:hint="eastAsia"/>
        </w:rPr>
        <w:t>本公司作为承租方：</w:t>
      </w:r>
    </w:p>
    <w:sdt>
      <w:sdtPr>
        <w:alias w:val="是否适用：本公司作为承租方的租赁情况表[双击切换]"/>
        <w:tag w:val="_GBC_f8542afd84e2430aad299d7024543330"/>
        <w:id w:val="-945223820"/>
      </w:sdtPr>
      <w:sdtContent>
        <w:p w14:paraId="641F7BD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sdtContent>
    </w:sdt>
    <w:p w14:paraId="26DF32D6" w14:textId="77777777" w:rsidR="005E000F" w:rsidRDefault="00000000">
      <w:pPr>
        <w:jc w:val="right"/>
      </w:pPr>
      <w:r>
        <w:rPr>
          <w:rFonts w:hint="eastAsia"/>
        </w:rPr>
        <w:t>单位：</w:t>
      </w:r>
      <w:sdt>
        <w:sdtPr>
          <w:rPr>
            <w:rFonts w:hint="eastAsia"/>
          </w:rPr>
          <w:alias w:val="单位：公司承租情况表"/>
          <w:tag w:val="_GBC_8ac97dab93ef410a9d23b3aefc024986"/>
          <w:id w:val="994374643"/>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rPr>
          <w:rFonts w:hint="eastAsia"/>
        </w:rPr>
        <w:t>币种：</w:t>
      </w:r>
      <w:sdt>
        <w:sdtPr>
          <w:rPr>
            <w:rFonts w:hint="eastAsia"/>
          </w:rPr>
          <w:alias w:val="币种：公司承租情况表"/>
          <w:tag w:val="_GBC_634ba3e46c2f477ca3c544a6d05a7b33"/>
          <w:id w:val="551124186"/>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438"/>
        <w:gridCol w:w="2145"/>
        <w:gridCol w:w="2143"/>
      </w:tblGrid>
      <w:tr w:rsidR="005E000F" w14:paraId="64EF8ED5" w14:textId="77777777">
        <w:sdt>
          <w:sdtPr>
            <w:tag w:val="_PLD_715e805317bd4bada351c82c66d90cf7"/>
            <w:id w:val="237841942"/>
          </w:sdtPr>
          <w:sdtContent>
            <w:tc>
              <w:tcPr>
                <w:tcW w:w="1284" w:type="pct"/>
                <w:vMerge w:val="restart"/>
                <w:vAlign w:val="center"/>
              </w:tcPr>
              <w:p w14:paraId="5BAE1102" w14:textId="77777777" w:rsidR="005E000F" w:rsidRDefault="00000000">
                <w:r>
                  <w:t>出租方名称</w:t>
                </w:r>
              </w:p>
            </w:tc>
          </w:sdtContent>
        </w:sdt>
        <w:sdt>
          <w:sdtPr>
            <w:tag w:val="_PLD_bd9f10ecf73c4e64bfcdb0c76ca7de07"/>
            <w:id w:val="1693949736"/>
          </w:sdtPr>
          <w:sdtContent>
            <w:tc>
              <w:tcPr>
                <w:tcW w:w="1347" w:type="pct"/>
                <w:vMerge w:val="restart"/>
                <w:vAlign w:val="center"/>
              </w:tcPr>
              <w:p w14:paraId="3FCF6EB1" w14:textId="77777777" w:rsidR="005E000F" w:rsidRDefault="00000000">
                <w:r>
                  <w:t>租赁资产种类</w:t>
                </w:r>
              </w:p>
            </w:tc>
          </w:sdtContent>
        </w:sdt>
        <w:sdt>
          <w:sdtPr>
            <w:tag w:val="_PLD_f408ee738e134164b8505074f206f65c"/>
            <w:id w:val="302503473"/>
          </w:sdtPr>
          <w:sdtContent>
            <w:tc>
              <w:tcPr>
                <w:tcW w:w="1185" w:type="pct"/>
                <w:vAlign w:val="center"/>
              </w:tcPr>
              <w:p w14:paraId="13D64489" w14:textId="77777777" w:rsidR="005E000F" w:rsidRDefault="00000000">
                <w:pPr>
                  <w:jc w:val="center"/>
                  <w:rPr>
                    <w:color w:val="000000"/>
                  </w:rPr>
                </w:pPr>
                <w:r>
                  <w:rPr>
                    <w:rFonts w:hint="eastAsia"/>
                    <w:color w:val="000000"/>
                  </w:rPr>
                  <w:t>本期发生额</w:t>
                </w:r>
              </w:p>
            </w:tc>
          </w:sdtContent>
        </w:sdt>
        <w:sdt>
          <w:sdtPr>
            <w:tag w:val="_PLD_9dba17eeee8845939295111413880968"/>
            <w:id w:val="-2058925560"/>
          </w:sdtPr>
          <w:sdtContent>
            <w:tc>
              <w:tcPr>
                <w:tcW w:w="1184" w:type="pct"/>
                <w:vAlign w:val="center"/>
              </w:tcPr>
              <w:p w14:paraId="1E0FF325" w14:textId="77777777" w:rsidR="005E000F" w:rsidRDefault="00000000">
                <w:pPr>
                  <w:jc w:val="center"/>
                  <w:rPr>
                    <w:color w:val="000000"/>
                  </w:rPr>
                </w:pPr>
                <w:r>
                  <w:rPr>
                    <w:rFonts w:hint="eastAsia"/>
                    <w:color w:val="000000"/>
                  </w:rPr>
                  <w:t>上期发生额</w:t>
                </w:r>
              </w:p>
            </w:tc>
          </w:sdtContent>
        </w:sdt>
      </w:tr>
      <w:tr w:rsidR="005E000F" w14:paraId="0DB69D6F" w14:textId="77777777">
        <w:tc>
          <w:tcPr>
            <w:tcW w:w="1284" w:type="pct"/>
            <w:vMerge/>
            <w:tcBorders>
              <w:bottom w:val="single" w:sz="4" w:space="0" w:color="auto"/>
            </w:tcBorders>
            <w:vAlign w:val="center"/>
          </w:tcPr>
          <w:p w14:paraId="55476AA7" w14:textId="77777777" w:rsidR="005E000F" w:rsidRDefault="005E000F">
            <w:pPr>
              <w:rPr>
                <w:color w:val="000000"/>
              </w:rPr>
            </w:pPr>
          </w:p>
        </w:tc>
        <w:tc>
          <w:tcPr>
            <w:tcW w:w="1347" w:type="pct"/>
            <w:vMerge/>
            <w:tcBorders>
              <w:bottom w:val="single" w:sz="4" w:space="0" w:color="auto"/>
            </w:tcBorders>
            <w:vAlign w:val="center"/>
          </w:tcPr>
          <w:p w14:paraId="2FD36A60" w14:textId="77777777" w:rsidR="005E000F" w:rsidRDefault="005E000F">
            <w:pPr>
              <w:rPr>
                <w:color w:val="000000"/>
              </w:rPr>
            </w:pPr>
          </w:p>
        </w:tc>
        <w:tc>
          <w:tcPr>
            <w:tcW w:w="1185" w:type="pct"/>
            <w:tcBorders>
              <w:top w:val="single" w:sz="4" w:space="0" w:color="auto"/>
              <w:left w:val="single" w:sz="4" w:space="0" w:color="auto"/>
              <w:bottom w:val="single" w:sz="4" w:space="0" w:color="auto"/>
              <w:right w:val="single" w:sz="4" w:space="0" w:color="auto"/>
            </w:tcBorders>
            <w:vAlign w:val="center"/>
          </w:tcPr>
          <w:p w14:paraId="5CA4B951" w14:textId="77777777" w:rsidR="005E000F" w:rsidRDefault="00000000">
            <w:pPr>
              <w:jc w:val="center"/>
            </w:pPr>
            <w:r>
              <w:rPr>
                <w:rFonts w:hint="eastAsia"/>
              </w:rPr>
              <w:t>本期</w:t>
            </w:r>
            <w:r>
              <w:t>确认的租赁费</w:t>
            </w:r>
          </w:p>
        </w:tc>
        <w:tc>
          <w:tcPr>
            <w:tcW w:w="1184" w:type="pct"/>
            <w:tcBorders>
              <w:top w:val="single" w:sz="4" w:space="0" w:color="auto"/>
              <w:left w:val="single" w:sz="4" w:space="0" w:color="auto"/>
              <w:bottom w:val="single" w:sz="4" w:space="0" w:color="auto"/>
              <w:right w:val="single" w:sz="4" w:space="0" w:color="auto"/>
            </w:tcBorders>
            <w:vAlign w:val="center"/>
          </w:tcPr>
          <w:p w14:paraId="36664D77" w14:textId="77777777" w:rsidR="005E000F" w:rsidRDefault="00000000">
            <w:pPr>
              <w:jc w:val="center"/>
            </w:pPr>
            <w:r>
              <w:rPr>
                <w:rFonts w:hint="eastAsia"/>
              </w:rPr>
              <w:t>上期确认</w:t>
            </w:r>
            <w:r>
              <w:t>的租赁费</w:t>
            </w:r>
          </w:p>
        </w:tc>
      </w:tr>
      <w:sdt>
        <w:sdtPr>
          <w:rPr>
            <w:rFonts w:hint="eastAsia"/>
            <w:color w:val="000000"/>
          </w:rPr>
          <w:alias w:val="公司承租情况明细"/>
          <w:tag w:val="_TUP_9ac03106fafd46459788074ca19800ec"/>
          <w:id w:val="-1348321848"/>
          <w:placeholder>
            <w:docPart w:val="95F8FE9A6A604289A988D5FBDB97AF8D"/>
          </w:placeholder>
        </w:sdtPr>
        <w:sdtContent>
          <w:tr w:rsidR="005E000F" w14:paraId="5865A8F4" w14:textId="77777777">
            <w:tc>
              <w:tcPr>
                <w:tcW w:w="1284" w:type="pct"/>
                <w:tcBorders>
                  <w:top w:val="single" w:sz="4" w:space="0" w:color="auto"/>
                  <w:left w:val="single" w:sz="4" w:space="0" w:color="auto"/>
                  <w:bottom w:val="single" w:sz="4" w:space="0" w:color="auto"/>
                  <w:right w:val="single" w:sz="4" w:space="0" w:color="auto"/>
                </w:tcBorders>
                <w:vAlign w:val="bottom"/>
              </w:tcPr>
              <w:p w14:paraId="31C25E94" w14:textId="77777777" w:rsidR="005E000F" w:rsidRDefault="00000000">
                <w:r>
                  <w:rPr>
                    <w:rFonts w:hint="eastAsia"/>
                  </w:rPr>
                  <w:t>太原局集团公司</w:t>
                </w:r>
              </w:p>
            </w:tc>
            <w:tc>
              <w:tcPr>
                <w:tcW w:w="1347" w:type="pct"/>
                <w:tcBorders>
                  <w:top w:val="single" w:sz="4" w:space="0" w:color="auto"/>
                  <w:left w:val="single" w:sz="4" w:space="0" w:color="auto"/>
                  <w:bottom w:val="single" w:sz="4" w:space="0" w:color="auto"/>
                  <w:right w:val="single" w:sz="4" w:space="0" w:color="auto"/>
                </w:tcBorders>
                <w:vAlign w:val="bottom"/>
              </w:tcPr>
              <w:p w14:paraId="08B31089" w14:textId="77777777" w:rsidR="005E000F" w:rsidRDefault="00000000">
                <w:r>
                  <w:rPr>
                    <w:rFonts w:hint="eastAsia"/>
                  </w:rPr>
                  <w:t>土地及房屋</w:t>
                </w:r>
              </w:p>
            </w:tc>
            <w:tc>
              <w:tcPr>
                <w:tcW w:w="1185" w:type="pct"/>
                <w:tcBorders>
                  <w:top w:val="single" w:sz="4" w:space="0" w:color="auto"/>
                  <w:left w:val="single" w:sz="4" w:space="0" w:color="auto"/>
                  <w:bottom w:val="single" w:sz="4" w:space="0" w:color="auto"/>
                  <w:right w:val="single" w:sz="4" w:space="0" w:color="auto"/>
                </w:tcBorders>
                <w:vAlign w:val="center"/>
              </w:tcPr>
              <w:p w14:paraId="588E1728" w14:textId="77777777" w:rsidR="005E000F" w:rsidRDefault="00000000">
                <w:pPr>
                  <w:jc w:val="right"/>
                </w:pPr>
                <w:r>
                  <w:t>541,349,359</w:t>
                </w:r>
              </w:p>
            </w:tc>
            <w:tc>
              <w:tcPr>
                <w:tcW w:w="1184" w:type="pct"/>
                <w:tcBorders>
                  <w:top w:val="single" w:sz="4" w:space="0" w:color="auto"/>
                  <w:left w:val="single" w:sz="4" w:space="0" w:color="auto"/>
                  <w:bottom w:val="single" w:sz="4" w:space="0" w:color="auto"/>
                  <w:right w:val="single" w:sz="4" w:space="0" w:color="auto"/>
                </w:tcBorders>
                <w:vAlign w:val="center"/>
              </w:tcPr>
              <w:p w14:paraId="5E1B4CFF" w14:textId="77777777" w:rsidR="005E000F" w:rsidRDefault="00000000">
                <w:pPr>
                  <w:jc w:val="right"/>
                </w:pPr>
                <w:r>
                  <w:t>702,870,916</w:t>
                </w:r>
              </w:p>
            </w:tc>
          </w:tr>
        </w:sdtContent>
      </w:sdt>
    </w:tbl>
    <w:p w14:paraId="4F0F7C12" w14:textId="77777777" w:rsidR="005E000F" w:rsidRDefault="005E000F"/>
    <w:p w14:paraId="201799CE" w14:textId="77777777" w:rsidR="005E000F" w:rsidRDefault="00000000">
      <w:r>
        <w:rPr>
          <w:rFonts w:hint="eastAsia"/>
        </w:rPr>
        <w:t>关联租赁情况说明</w:t>
      </w:r>
    </w:p>
    <w:sdt>
      <w:sdtPr>
        <w:alias w:val="是否适用：关联租赁情况说明[双击切换]"/>
        <w:tag w:val="_GBC_f11304240a9e46d8b340976a035205d3"/>
        <w:id w:val="-889196630"/>
      </w:sdtPr>
      <w:sdtContent>
        <w:p w14:paraId="44743074"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MACROBUTTON  SnrToggleCheckbox □不适用 </w:instrText>
          </w:r>
          <w:r>
            <w:rPr>
              <w:rFonts w:ascii="宋体" w:hAnsi="宋体"/>
            </w:rPr>
            <w:fldChar w:fldCharType="end"/>
          </w:r>
        </w:p>
      </w:sdtContent>
    </w:sdt>
    <w:sdt>
      <w:sdtPr>
        <w:alias w:val="关联租赁说明"/>
        <w:tag w:val="_GBC_89ebec674343463ebe41b603dd06f3ce"/>
        <w:id w:val="-1394426599"/>
      </w:sdtPr>
      <w:sdtContent>
        <w:p w14:paraId="3873A9F5" w14:textId="77777777" w:rsidR="005E000F" w:rsidRDefault="00000000">
          <w:r>
            <w:rPr>
              <w:rFonts w:hint="eastAsia"/>
            </w:rPr>
            <w:t>本</w:t>
          </w:r>
          <w:r>
            <w:t>公司对符合条件的租赁资产在资产负债表确认使用权资产及相关租赁负债，相关折旧费用以及</w:t>
          </w:r>
        </w:p>
        <w:p w14:paraId="484BF159" w14:textId="77777777" w:rsidR="005E000F" w:rsidRDefault="00000000">
          <w:r>
            <w:t>利息费用计入当期利润表。</w:t>
          </w:r>
        </w:p>
        <w:p w14:paraId="2476B8E7" w14:textId="77777777" w:rsidR="005E000F" w:rsidRDefault="00000000">
          <w:pPr>
            <w:jc w:val="right"/>
          </w:pPr>
          <w:r>
            <w:t>单位：元</w:t>
          </w:r>
          <w:r>
            <w:t xml:space="preserve">  </w:t>
          </w:r>
          <w:r>
            <w:t>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2849"/>
            <w:gridCol w:w="1574"/>
            <w:gridCol w:w="2213"/>
            <w:gridCol w:w="2257"/>
          </w:tblGrid>
          <w:tr w:rsidR="005E000F" w14:paraId="73588112" w14:textId="77777777">
            <w:trPr>
              <w:trHeight w:val="338"/>
            </w:trPr>
            <w:tc>
              <w:tcPr>
                <w:tcW w:w="1601" w:type="pct"/>
                <w:tcBorders>
                  <w:top w:val="single" w:sz="4" w:space="0" w:color="auto"/>
                  <w:left w:val="single" w:sz="4" w:space="0" w:color="auto"/>
                  <w:bottom w:val="single" w:sz="4" w:space="0" w:color="auto"/>
                  <w:right w:val="single" w:sz="4" w:space="0" w:color="auto"/>
                </w:tcBorders>
                <w:vAlign w:val="center"/>
              </w:tcPr>
              <w:p w14:paraId="79A03A06" w14:textId="77777777" w:rsidR="005E000F" w:rsidRDefault="00000000">
                <w:r>
                  <w:t>出租方名称</w:t>
                </w:r>
              </w:p>
            </w:tc>
            <w:tc>
              <w:tcPr>
                <w:tcW w:w="885" w:type="pct"/>
                <w:tcBorders>
                  <w:top w:val="single" w:sz="4" w:space="0" w:color="auto"/>
                  <w:left w:val="nil"/>
                  <w:bottom w:val="single" w:sz="4" w:space="0" w:color="auto"/>
                  <w:right w:val="single" w:sz="4" w:space="0" w:color="auto"/>
                </w:tcBorders>
                <w:vAlign w:val="center"/>
              </w:tcPr>
              <w:p w14:paraId="12DEFCA8" w14:textId="77777777" w:rsidR="005E000F" w:rsidRDefault="00000000">
                <w:r>
                  <w:t>租赁资产种类</w:t>
                </w:r>
              </w:p>
            </w:tc>
            <w:tc>
              <w:tcPr>
                <w:tcW w:w="1244" w:type="pct"/>
                <w:tcBorders>
                  <w:top w:val="single" w:sz="4" w:space="0" w:color="auto"/>
                  <w:left w:val="nil"/>
                  <w:bottom w:val="single" w:sz="4" w:space="0" w:color="auto"/>
                  <w:right w:val="single" w:sz="4" w:space="0" w:color="auto"/>
                </w:tcBorders>
                <w:vAlign w:val="center"/>
              </w:tcPr>
              <w:p w14:paraId="0F8F71E8" w14:textId="77777777" w:rsidR="005E000F" w:rsidRDefault="00000000">
                <w:r>
                  <w:t>本期确认的折旧费用</w:t>
                </w:r>
              </w:p>
            </w:tc>
            <w:tc>
              <w:tcPr>
                <w:tcW w:w="1268" w:type="pct"/>
                <w:tcBorders>
                  <w:top w:val="single" w:sz="4" w:space="0" w:color="auto"/>
                  <w:left w:val="nil"/>
                  <w:bottom w:val="single" w:sz="4" w:space="0" w:color="auto"/>
                  <w:right w:val="single" w:sz="4" w:space="0" w:color="auto"/>
                </w:tcBorders>
                <w:vAlign w:val="center"/>
              </w:tcPr>
              <w:p w14:paraId="0D117F97" w14:textId="77777777" w:rsidR="005E000F" w:rsidRDefault="00000000">
                <w:r>
                  <w:t>本期确认的财务费用</w:t>
                </w:r>
              </w:p>
            </w:tc>
          </w:tr>
          <w:tr w:rsidR="005E000F" w14:paraId="1298D489" w14:textId="77777777">
            <w:tc>
              <w:tcPr>
                <w:tcW w:w="1601" w:type="pct"/>
                <w:tcBorders>
                  <w:top w:val="single" w:sz="4" w:space="0" w:color="auto"/>
                  <w:left w:val="single" w:sz="4" w:space="0" w:color="auto"/>
                  <w:bottom w:val="single" w:sz="4" w:space="0" w:color="auto"/>
                  <w:right w:val="single" w:sz="4" w:space="0" w:color="auto"/>
                </w:tcBorders>
                <w:vAlign w:val="bottom"/>
              </w:tcPr>
              <w:p w14:paraId="255C78BE" w14:textId="77777777" w:rsidR="005E000F" w:rsidRDefault="00000000">
                <w:r>
                  <w:t>太原局集团公司之合营公司</w:t>
                </w:r>
                <w:r>
                  <w:t> </w:t>
                </w:r>
              </w:p>
            </w:tc>
            <w:tc>
              <w:tcPr>
                <w:tcW w:w="885" w:type="pct"/>
                <w:tcBorders>
                  <w:top w:val="single" w:sz="4" w:space="0" w:color="auto"/>
                  <w:left w:val="nil"/>
                  <w:bottom w:val="single" w:sz="4" w:space="0" w:color="auto"/>
                  <w:right w:val="single" w:sz="4" w:space="0" w:color="auto"/>
                </w:tcBorders>
                <w:vAlign w:val="center"/>
              </w:tcPr>
              <w:p w14:paraId="6790C565" w14:textId="77777777" w:rsidR="005E000F" w:rsidRDefault="00000000">
                <w:r>
                  <w:t>机车车辆</w:t>
                </w:r>
              </w:p>
            </w:tc>
            <w:tc>
              <w:tcPr>
                <w:tcW w:w="1244" w:type="pct"/>
                <w:tcBorders>
                  <w:top w:val="single" w:sz="4" w:space="0" w:color="auto"/>
                  <w:left w:val="nil"/>
                  <w:bottom w:val="single" w:sz="4" w:space="0" w:color="auto"/>
                  <w:right w:val="single" w:sz="4" w:space="0" w:color="auto"/>
                </w:tcBorders>
                <w:vAlign w:val="center"/>
              </w:tcPr>
              <w:p w14:paraId="37F1B29F" w14:textId="77777777" w:rsidR="005E000F" w:rsidRDefault="00000000">
                <w:r>
                  <w:t>221,909,244 </w:t>
                </w:r>
              </w:p>
            </w:tc>
            <w:tc>
              <w:tcPr>
                <w:tcW w:w="1268" w:type="pct"/>
                <w:tcBorders>
                  <w:top w:val="single" w:sz="4" w:space="0" w:color="auto"/>
                  <w:left w:val="nil"/>
                  <w:bottom w:val="single" w:sz="4" w:space="0" w:color="auto"/>
                  <w:right w:val="single" w:sz="4" w:space="0" w:color="auto"/>
                </w:tcBorders>
                <w:vAlign w:val="center"/>
              </w:tcPr>
              <w:p w14:paraId="4E5E4C10" w14:textId="77777777" w:rsidR="005E000F" w:rsidRDefault="00000000">
                <w:r>
                  <w:t>13,043,981 </w:t>
                </w:r>
              </w:p>
            </w:tc>
          </w:tr>
          <w:tr w:rsidR="005E000F" w14:paraId="2ABD3581" w14:textId="77777777">
            <w:tc>
              <w:tcPr>
                <w:tcW w:w="1601" w:type="pct"/>
                <w:tcBorders>
                  <w:top w:val="single" w:sz="4" w:space="0" w:color="auto"/>
                  <w:left w:val="single" w:sz="4" w:space="0" w:color="auto"/>
                  <w:bottom w:val="single" w:sz="4" w:space="0" w:color="auto"/>
                  <w:right w:val="single" w:sz="4" w:space="0" w:color="auto"/>
                </w:tcBorders>
                <w:vAlign w:val="bottom"/>
              </w:tcPr>
              <w:p w14:paraId="0C1E53A1" w14:textId="77777777" w:rsidR="005E000F" w:rsidRDefault="00000000">
                <w:r>
                  <w:t>太原局集团公司及其下属单位</w:t>
                </w:r>
                <w:r>
                  <w:t> </w:t>
                </w:r>
              </w:p>
            </w:tc>
            <w:tc>
              <w:tcPr>
                <w:tcW w:w="885" w:type="pct"/>
                <w:tcBorders>
                  <w:top w:val="single" w:sz="4" w:space="0" w:color="auto"/>
                  <w:left w:val="nil"/>
                  <w:bottom w:val="single" w:sz="4" w:space="0" w:color="auto"/>
                  <w:right w:val="single" w:sz="4" w:space="0" w:color="auto"/>
                </w:tcBorders>
                <w:vAlign w:val="center"/>
              </w:tcPr>
              <w:p w14:paraId="027B0263" w14:textId="77777777" w:rsidR="005E000F" w:rsidRDefault="00000000">
                <w:r>
                  <w:t>房屋及建筑物</w:t>
                </w:r>
              </w:p>
            </w:tc>
            <w:tc>
              <w:tcPr>
                <w:tcW w:w="1244" w:type="pct"/>
                <w:tcBorders>
                  <w:top w:val="single" w:sz="4" w:space="0" w:color="auto"/>
                  <w:left w:val="nil"/>
                  <w:bottom w:val="single" w:sz="4" w:space="0" w:color="auto"/>
                  <w:right w:val="single" w:sz="4" w:space="0" w:color="auto"/>
                </w:tcBorders>
                <w:vAlign w:val="center"/>
              </w:tcPr>
              <w:p w14:paraId="44173A99" w14:textId="77777777" w:rsidR="005E000F" w:rsidRDefault="00000000">
                <w:r>
                  <w:t>30,489,231 </w:t>
                </w:r>
              </w:p>
            </w:tc>
            <w:tc>
              <w:tcPr>
                <w:tcW w:w="1268" w:type="pct"/>
                <w:tcBorders>
                  <w:top w:val="single" w:sz="4" w:space="0" w:color="auto"/>
                  <w:left w:val="nil"/>
                  <w:bottom w:val="single" w:sz="4" w:space="0" w:color="auto"/>
                  <w:right w:val="single" w:sz="4" w:space="0" w:color="auto"/>
                </w:tcBorders>
                <w:vAlign w:val="center"/>
              </w:tcPr>
              <w:p w14:paraId="4A2FE6FC" w14:textId="77777777" w:rsidR="005E000F" w:rsidRDefault="00000000">
                <w:r>
                  <w:t>33,648,509 </w:t>
                </w:r>
              </w:p>
            </w:tc>
          </w:tr>
          <w:tr w:rsidR="005E000F" w14:paraId="28913308" w14:textId="77777777">
            <w:tc>
              <w:tcPr>
                <w:tcW w:w="1601" w:type="pct"/>
                <w:tcBorders>
                  <w:top w:val="single" w:sz="4" w:space="0" w:color="auto"/>
                  <w:left w:val="single" w:sz="4" w:space="0" w:color="auto"/>
                  <w:bottom w:val="single" w:sz="4" w:space="0" w:color="auto"/>
                  <w:right w:val="single" w:sz="4" w:space="0" w:color="auto"/>
                </w:tcBorders>
                <w:vAlign w:val="bottom"/>
              </w:tcPr>
              <w:p w14:paraId="37BA552E" w14:textId="77777777" w:rsidR="005E000F" w:rsidRDefault="00000000">
                <w:r>
                  <w:t>太原局集团公司及其下属单位</w:t>
                </w:r>
              </w:p>
            </w:tc>
            <w:tc>
              <w:tcPr>
                <w:tcW w:w="885" w:type="pct"/>
                <w:tcBorders>
                  <w:top w:val="single" w:sz="4" w:space="0" w:color="auto"/>
                  <w:left w:val="nil"/>
                  <w:bottom w:val="single" w:sz="4" w:space="0" w:color="auto"/>
                  <w:right w:val="single" w:sz="4" w:space="0" w:color="auto"/>
                </w:tcBorders>
                <w:vAlign w:val="center"/>
              </w:tcPr>
              <w:p w14:paraId="02628BD9" w14:textId="77777777" w:rsidR="005E000F" w:rsidRDefault="00000000">
                <w:r>
                  <w:t>线路设备</w:t>
                </w:r>
              </w:p>
            </w:tc>
            <w:tc>
              <w:tcPr>
                <w:tcW w:w="1244" w:type="pct"/>
                <w:tcBorders>
                  <w:top w:val="single" w:sz="4" w:space="0" w:color="auto"/>
                  <w:left w:val="nil"/>
                  <w:bottom w:val="single" w:sz="4" w:space="0" w:color="auto"/>
                  <w:right w:val="single" w:sz="4" w:space="0" w:color="auto"/>
                </w:tcBorders>
                <w:vAlign w:val="center"/>
              </w:tcPr>
              <w:p w14:paraId="199BB7E9" w14:textId="77777777" w:rsidR="005E000F" w:rsidRDefault="00000000">
                <w:r>
                  <w:t>505,648 </w:t>
                </w:r>
              </w:p>
            </w:tc>
            <w:tc>
              <w:tcPr>
                <w:tcW w:w="1268" w:type="pct"/>
                <w:tcBorders>
                  <w:top w:val="single" w:sz="4" w:space="0" w:color="auto"/>
                  <w:left w:val="nil"/>
                  <w:bottom w:val="single" w:sz="4" w:space="0" w:color="auto"/>
                  <w:right w:val="single" w:sz="4" w:space="0" w:color="auto"/>
                </w:tcBorders>
                <w:vAlign w:val="center"/>
              </w:tcPr>
              <w:p w14:paraId="05EB2258" w14:textId="77777777" w:rsidR="005E000F" w:rsidRDefault="00000000">
                <w:r>
                  <w:t>23,871 </w:t>
                </w:r>
              </w:p>
            </w:tc>
          </w:tr>
        </w:tbl>
        <w:p w14:paraId="655F820F" w14:textId="77777777" w:rsidR="005E000F" w:rsidRDefault="00000000">
          <w:r>
            <w:t>本年支付的以上租赁的相关租金为人民币</w:t>
          </w:r>
          <w:r>
            <w:t>366,982,968</w:t>
          </w:r>
          <w:r>
            <w:t>元</w:t>
          </w:r>
        </w:p>
      </w:sdtContent>
    </w:sdt>
    <w:p w14:paraId="1C0D7695" w14:textId="77777777" w:rsidR="005E000F" w:rsidRDefault="005E000F"/>
    <w:p w14:paraId="4B8AF2A4" w14:textId="77777777" w:rsidR="005E000F" w:rsidRDefault="005E000F"/>
    <w:bookmarkEnd w:id="412"/>
    <w:p w14:paraId="2C8B667B" w14:textId="77777777" w:rsidR="005E000F" w:rsidRDefault="00000000">
      <w:pPr>
        <w:pStyle w:val="4"/>
        <w:numPr>
          <w:ilvl w:val="3"/>
          <w:numId w:val="120"/>
        </w:numPr>
        <w:ind w:left="426" w:hangingChars="202" w:hanging="426"/>
      </w:pPr>
      <w:r>
        <w:rPr>
          <w:rFonts w:hint="eastAsia"/>
        </w:rPr>
        <w:t>关联担保情况</w:t>
      </w:r>
    </w:p>
    <w:p w14:paraId="7AE73B8C" w14:textId="77777777" w:rsidR="005E000F" w:rsidRDefault="00000000">
      <w:r>
        <w:rPr>
          <w:rFonts w:hint="eastAsia"/>
        </w:rPr>
        <w:t>公司作为担保方</w:t>
      </w:r>
    </w:p>
    <w:sdt>
      <w:sdtPr>
        <w:alias w:val="是否适用：本公司作为担保方的担保情况表[双击切换]"/>
        <w:tag w:val="_GBC_4ba390d56c0645788c7893af84ca2773"/>
        <w:id w:val="-1559542490"/>
        <w:placeholder>
          <w:docPart w:val="GBC22222222222222222222222222222"/>
        </w:placeholder>
      </w:sdtPr>
      <w:sdtContent>
        <w:p w14:paraId="13E452E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94D8199" w14:textId="77777777" w:rsidR="005E000F" w:rsidRDefault="005E000F"/>
    <w:p w14:paraId="6D7192F6" w14:textId="77777777" w:rsidR="005E000F" w:rsidRDefault="00000000">
      <w:pPr>
        <w:rPr>
          <w:rFonts w:ascii="Cambria" w:hAnsi="Cambria" w:cs="Cambria"/>
        </w:rPr>
      </w:pPr>
      <w:r>
        <w:rPr>
          <w:rFonts w:ascii="Cambria" w:hAnsi="Cambria" w:cs="Cambria" w:hint="eastAsia"/>
        </w:rPr>
        <w:t>公司作为被担保方</w:t>
      </w:r>
    </w:p>
    <w:sdt>
      <w:sdtPr>
        <w:rPr>
          <w:rFonts w:ascii="Cambria" w:hAnsi="Cambria" w:cs="Cambria"/>
        </w:rPr>
        <w:alias w:val="是否适用：本公司作为被担保方的担保情况表[双击切换]"/>
        <w:tag w:val="_GBC_24ee28d66e214f089c669dca4a51a3a4"/>
        <w:id w:val="-947001725"/>
        <w:placeholder>
          <w:docPart w:val="GBC22222222222222222222222222222"/>
        </w:placeholder>
      </w:sdtPr>
      <w:sdtContent>
        <w:p w14:paraId="391FD30A" w14:textId="77777777" w:rsidR="005E000F" w:rsidRDefault="00000000">
          <w:pPr>
            <w:rPr>
              <w:rFonts w:ascii="Cambria" w:hAnsi="Cambria"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14F00139" w14:textId="77777777" w:rsidR="005E000F" w:rsidRDefault="005E000F"/>
    <w:p w14:paraId="566BB256" w14:textId="77777777" w:rsidR="005E000F" w:rsidRDefault="00000000">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2015796880"/>
        <w:placeholder>
          <w:docPart w:val="GBC22222222222222222222222222222"/>
        </w:placeholder>
      </w:sdtPr>
      <w:sdtContent>
        <w:p w14:paraId="7CA563C8" w14:textId="77777777" w:rsidR="005E000F" w:rsidRDefault="00000000">
          <w:pPr>
            <w:rPr>
              <w:rFonts w:ascii="Cambria" w:hAnsi="Cambria" w:cs="Cambria"/>
            </w:rPr>
          </w:pPr>
          <w:r>
            <w:rPr>
              <w:rFonts w:ascii="宋体" w:hAnsi="宋体" w:cs="Cambria"/>
            </w:rPr>
            <w:fldChar w:fldCharType="begin"/>
          </w:r>
          <w:r>
            <w:rPr>
              <w:rFonts w:ascii="宋体" w:hAnsi="宋体" w:cs="Cambria" w:hint="eastAsia"/>
            </w:rPr>
            <w:instrText xml:space="preserve">MACROBUTTON  SnrToggleCheckbox □适用 </w:instrText>
          </w:r>
          <w:r>
            <w:rPr>
              <w:rFonts w:ascii="宋体" w:hAnsi="宋体" w:cs="Cambria"/>
            </w:rPr>
            <w:fldChar w:fldCharType="end"/>
          </w:r>
          <w:r>
            <w:rPr>
              <w:rFonts w:ascii="宋体" w:hAnsi="宋体" w:cs="Cambria"/>
            </w:rPr>
            <w:fldChar w:fldCharType="begin"/>
          </w:r>
          <w:r>
            <w:rPr>
              <w:rFonts w:ascii="宋体" w:hAnsi="宋体" w:cs="Cambria" w:hint="eastAsia"/>
            </w:rPr>
            <w:instrText xml:space="preserve"> MACROBUTTON  SnrToggleCheckbox √不适用 </w:instrText>
          </w:r>
          <w:r>
            <w:rPr>
              <w:rFonts w:ascii="宋体" w:hAnsi="宋体" w:cs="Cambria"/>
            </w:rPr>
            <w:fldChar w:fldCharType="end"/>
          </w:r>
        </w:p>
      </w:sdtContent>
    </w:sdt>
    <w:p w14:paraId="6FF1E7FD" w14:textId="77777777" w:rsidR="005E000F" w:rsidRDefault="005E000F">
      <w:pPr>
        <w:rPr>
          <w:rFonts w:ascii="Cambria" w:hAnsi="Cambria" w:cs="Cambria"/>
          <w:sz w:val="20"/>
        </w:rPr>
      </w:pPr>
    </w:p>
    <w:p w14:paraId="2E5DCA53" w14:textId="77777777" w:rsidR="005E000F" w:rsidRDefault="00000000">
      <w:pPr>
        <w:pStyle w:val="4"/>
        <w:numPr>
          <w:ilvl w:val="3"/>
          <w:numId w:val="120"/>
        </w:numPr>
        <w:ind w:left="426" w:hangingChars="202" w:hanging="426"/>
      </w:pPr>
      <w:r>
        <w:rPr>
          <w:rFonts w:hint="eastAsia"/>
        </w:rPr>
        <w:t>关联方资金拆借</w:t>
      </w:r>
    </w:p>
    <w:sdt>
      <w:sdtPr>
        <w:alias w:val="是否适用：关联方资金拆借[双击切换]"/>
        <w:tag w:val="_GBC_9b5630a86e1e452494249106e2600b15"/>
        <w:id w:val="-1522626431"/>
        <w:placeholder>
          <w:docPart w:val="GBC22222222222222222222222222222"/>
        </w:placeholder>
      </w:sdtPr>
      <w:sdtContent>
        <w:p w14:paraId="5F279DE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DE19943" w14:textId="77777777" w:rsidR="005E000F" w:rsidRDefault="005E000F"/>
    <w:p w14:paraId="22C159DC" w14:textId="77777777" w:rsidR="005E000F" w:rsidRDefault="00000000">
      <w:pPr>
        <w:pStyle w:val="4"/>
        <w:numPr>
          <w:ilvl w:val="3"/>
          <w:numId w:val="120"/>
        </w:numPr>
        <w:ind w:left="426" w:hangingChars="202" w:hanging="426"/>
      </w:pPr>
      <w:r>
        <w:rPr>
          <w:rFonts w:hint="eastAsia"/>
        </w:rPr>
        <w:t>关联方资产转让、债务重组情况</w:t>
      </w:r>
    </w:p>
    <w:sdt>
      <w:sdtPr>
        <w:alias w:val="是否适用：关联方资产转让、债务重组情况[双击切换]"/>
        <w:tag w:val="_GBC_6f8fce72ce784c23aba8af28c51de336"/>
        <w:id w:val="1550725214"/>
        <w:placeholder>
          <w:docPart w:val="GBC22222222222222222222222222222"/>
        </w:placeholder>
      </w:sdtPr>
      <w:sdtContent>
        <w:p w14:paraId="6EA12170"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68CC1B2" w14:textId="77777777" w:rsidR="005E000F" w:rsidRDefault="00000000">
      <w:pPr>
        <w:jc w:val="right"/>
      </w:pPr>
      <w:r>
        <w:rPr>
          <w:rFonts w:hint="eastAsia"/>
        </w:rPr>
        <w:t>单位：</w:t>
      </w:r>
      <w:sdt>
        <w:sdtPr>
          <w:rPr>
            <w:rFonts w:hint="eastAsia"/>
          </w:rPr>
          <w:alias w:val="单位：关联方资产转让、债务重组情况"/>
          <w:tag w:val="_GBC_11798a48ec2f45e49b07d6c9abc571a5"/>
          <w:id w:val="-84924999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关联方资产转让、债务重组情况"/>
          <w:tag w:val="_GBC_ae7ae62d8d5c4a7f82a3664f4e9abebf"/>
          <w:id w:val="3678680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Layout w:type="fixed"/>
        <w:tblLook w:val="04A0" w:firstRow="1" w:lastRow="0" w:firstColumn="1" w:lastColumn="0" w:noHBand="0" w:noVBand="1"/>
      </w:tblPr>
      <w:tblGrid>
        <w:gridCol w:w="2224"/>
        <w:gridCol w:w="2260"/>
        <w:gridCol w:w="2283"/>
        <w:gridCol w:w="2280"/>
      </w:tblGrid>
      <w:tr w:rsidR="005E000F" w14:paraId="543CCDB1" w14:textId="77777777">
        <w:trPr>
          <w:trHeight w:val="324"/>
        </w:trPr>
        <w:sdt>
          <w:sdtPr>
            <w:tag w:val="_PLD_22ce680888944f14b3e7264684be604e"/>
            <w:id w:val="-624923275"/>
          </w:sdtPr>
          <w:sdtContent>
            <w:tc>
              <w:tcPr>
                <w:tcW w:w="2224" w:type="dxa"/>
                <w:tcBorders>
                  <w:top w:val="single" w:sz="4" w:space="0" w:color="auto"/>
                  <w:left w:val="single" w:sz="4" w:space="0" w:color="auto"/>
                  <w:bottom w:val="single" w:sz="4" w:space="0" w:color="auto"/>
                  <w:right w:val="single" w:sz="4" w:space="0" w:color="auto"/>
                </w:tcBorders>
                <w:vAlign w:val="center"/>
              </w:tcPr>
              <w:p w14:paraId="50EF94D1" w14:textId="77777777" w:rsidR="005E000F" w:rsidRDefault="00000000">
                <w:pPr>
                  <w:jc w:val="center"/>
                </w:pPr>
                <w:r>
                  <w:rPr>
                    <w:rFonts w:hint="eastAsia"/>
                  </w:rPr>
                  <w:t>关联方</w:t>
                </w:r>
              </w:p>
            </w:tc>
          </w:sdtContent>
        </w:sdt>
        <w:sdt>
          <w:sdtPr>
            <w:tag w:val="_PLD_7ddb67ea8a4948d4a2436ccd4c3a53a7"/>
            <w:id w:val="2002304876"/>
          </w:sdtPr>
          <w:sdtContent>
            <w:tc>
              <w:tcPr>
                <w:tcW w:w="2260" w:type="dxa"/>
                <w:tcBorders>
                  <w:top w:val="single" w:sz="4" w:space="0" w:color="auto"/>
                  <w:left w:val="single" w:sz="4" w:space="0" w:color="auto"/>
                  <w:bottom w:val="single" w:sz="4" w:space="0" w:color="auto"/>
                  <w:right w:val="single" w:sz="4" w:space="0" w:color="auto"/>
                </w:tcBorders>
                <w:vAlign w:val="center"/>
              </w:tcPr>
              <w:p w14:paraId="122CF6E3" w14:textId="77777777" w:rsidR="005E000F" w:rsidRDefault="00000000">
                <w:pPr>
                  <w:jc w:val="center"/>
                </w:pPr>
                <w:r>
                  <w:rPr>
                    <w:rFonts w:hint="eastAsia"/>
                  </w:rPr>
                  <w:t>关联交易内容</w:t>
                </w:r>
              </w:p>
            </w:tc>
          </w:sdtContent>
        </w:sdt>
        <w:sdt>
          <w:sdtPr>
            <w:tag w:val="_PLD_d6af393840d741f1884a5e969b07e0e0"/>
            <w:id w:val="-195004692"/>
          </w:sdtPr>
          <w:sdtContent>
            <w:tc>
              <w:tcPr>
                <w:tcW w:w="2283" w:type="dxa"/>
                <w:tcBorders>
                  <w:top w:val="single" w:sz="4" w:space="0" w:color="auto"/>
                  <w:left w:val="single" w:sz="4" w:space="0" w:color="auto"/>
                  <w:right w:val="single" w:sz="4" w:space="0" w:color="auto"/>
                </w:tcBorders>
                <w:vAlign w:val="center"/>
              </w:tcPr>
              <w:p w14:paraId="62081796" w14:textId="77777777" w:rsidR="005E000F" w:rsidRDefault="00000000">
                <w:pPr>
                  <w:jc w:val="center"/>
                </w:pPr>
                <w:r>
                  <w:rPr>
                    <w:rFonts w:hint="eastAsia"/>
                  </w:rPr>
                  <w:t>本期发生额</w:t>
                </w:r>
              </w:p>
            </w:tc>
          </w:sdtContent>
        </w:sdt>
        <w:sdt>
          <w:sdtPr>
            <w:tag w:val="_PLD_b93cea02524a421badcc18b1374e1edb"/>
            <w:id w:val="-1582357837"/>
          </w:sdtPr>
          <w:sdtContent>
            <w:tc>
              <w:tcPr>
                <w:tcW w:w="2280" w:type="dxa"/>
                <w:tcBorders>
                  <w:top w:val="single" w:sz="4" w:space="0" w:color="auto"/>
                  <w:left w:val="single" w:sz="4" w:space="0" w:color="auto"/>
                  <w:right w:val="single" w:sz="4" w:space="0" w:color="auto"/>
                </w:tcBorders>
                <w:vAlign w:val="center"/>
              </w:tcPr>
              <w:p w14:paraId="6B7DCD60" w14:textId="77777777" w:rsidR="005E000F" w:rsidRDefault="00000000">
                <w:pPr>
                  <w:jc w:val="center"/>
                </w:pPr>
                <w:r>
                  <w:rPr>
                    <w:rFonts w:hint="eastAsia"/>
                  </w:rPr>
                  <w:t>上期发生额</w:t>
                </w:r>
              </w:p>
            </w:tc>
          </w:sdtContent>
        </w:sdt>
      </w:tr>
      <w:tr w:rsidR="005E000F" w14:paraId="6ED90CDA" w14:textId="77777777">
        <w:tc>
          <w:tcPr>
            <w:tcW w:w="2224" w:type="dxa"/>
            <w:tcBorders>
              <w:top w:val="single" w:sz="4" w:space="0" w:color="auto"/>
              <w:left w:val="single" w:sz="4" w:space="0" w:color="auto"/>
              <w:bottom w:val="single" w:sz="4" w:space="0" w:color="auto"/>
              <w:right w:val="single" w:sz="4" w:space="0" w:color="auto"/>
            </w:tcBorders>
          </w:tcPr>
          <w:p w14:paraId="3BABD5D8" w14:textId="77777777" w:rsidR="005E000F" w:rsidRDefault="00000000">
            <w:pPr>
              <w:rPr>
                <w:rFonts w:cs="宋体"/>
                <w:bCs/>
              </w:rPr>
            </w:pPr>
            <w:r>
              <w:rPr>
                <w:rFonts w:cs="宋体" w:hint="eastAsia"/>
                <w:bCs/>
              </w:rPr>
              <w:t>国铁集团及其下属单位</w:t>
            </w:r>
          </w:p>
        </w:tc>
        <w:tc>
          <w:tcPr>
            <w:tcW w:w="2260" w:type="dxa"/>
            <w:tcBorders>
              <w:top w:val="single" w:sz="4" w:space="0" w:color="auto"/>
              <w:left w:val="single" w:sz="4" w:space="0" w:color="auto"/>
              <w:bottom w:val="single" w:sz="4" w:space="0" w:color="auto"/>
              <w:right w:val="single" w:sz="4" w:space="0" w:color="auto"/>
            </w:tcBorders>
          </w:tcPr>
          <w:p w14:paraId="4A379171" w14:textId="77777777" w:rsidR="005E000F" w:rsidRDefault="00000000">
            <w:pPr>
              <w:rPr>
                <w:rFonts w:cs="宋体"/>
                <w:bCs/>
                <w:lang w:eastAsia="en-US"/>
              </w:rPr>
            </w:pPr>
            <w:r>
              <w:rPr>
                <w:rFonts w:cs="宋体" w:hint="eastAsia"/>
                <w:bCs/>
              </w:rPr>
              <w:t>采购固定资产</w:t>
            </w:r>
          </w:p>
        </w:tc>
        <w:tc>
          <w:tcPr>
            <w:tcW w:w="2283" w:type="dxa"/>
            <w:tcBorders>
              <w:top w:val="single" w:sz="4" w:space="0" w:color="auto"/>
              <w:left w:val="single" w:sz="4" w:space="0" w:color="auto"/>
              <w:bottom w:val="single" w:sz="4" w:space="0" w:color="auto"/>
              <w:right w:val="single" w:sz="4" w:space="0" w:color="auto"/>
            </w:tcBorders>
            <w:vAlign w:val="center"/>
          </w:tcPr>
          <w:p w14:paraId="50D36AF3" w14:textId="77777777" w:rsidR="005E000F" w:rsidRDefault="00000000">
            <w:pPr>
              <w:jc w:val="right"/>
              <w:rPr>
                <w:rFonts w:cs="宋体"/>
                <w:bCs/>
              </w:rPr>
            </w:pPr>
            <w:r>
              <w:rPr>
                <w:rFonts w:cs="宋体"/>
                <w:bCs/>
              </w:rPr>
              <w:t>24,088,157,141</w:t>
            </w:r>
          </w:p>
        </w:tc>
        <w:tc>
          <w:tcPr>
            <w:tcW w:w="2280" w:type="dxa"/>
            <w:tcBorders>
              <w:top w:val="single" w:sz="4" w:space="0" w:color="auto"/>
              <w:left w:val="single" w:sz="4" w:space="0" w:color="auto"/>
              <w:bottom w:val="single" w:sz="4" w:space="0" w:color="auto"/>
              <w:right w:val="single" w:sz="4" w:space="0" w:color="auto"/>
            </w:tcBorders>
            <w:vAlign w:val="center"/>
          </w:tcPr>
          <w:p w14:paraId="59BAD061" w14:textId="77777777" w:rsidR="005E000F" w:rsidRDefault="00000000">
            <w:pPr>
              <w:jc w:val="right"/>
              <w:rPr>
                <w:rFonts w:cs="宋体"/>
                <w:bCs/>
              </w:rPr>
            </w:pPr>
            <w:r>
              <w:rPr>
                <w:rFonts w:cs="宋体" w:hint="eastAsia"/>
                <w:bCs/>
              </w:rPr>
              <w:t>186,142,091</w:t>
            </w:r>
          </w:p>
        </w:tc>
      </w:tr>
      <w:tr w:rsidR="005E000F" w14:paraId="6A57F67B" w14:textId="77777777">
        <w:tc>
          <w:tcPr>
            <w:tcW w:w="2224" w:type="dxa"/>
            <w:tcBorders>
              <w:top w:val="single" w:sz="4" w:space="0" w:color="auto"/>
              <w:left w:val="single" w:sz="4" w:space="0" w:color="auto"/>
              <w:bottom w:val="single" w:sz="4" w:space="0" w:color="auto"/>
              <w:right w:val="single" w:sz="4" w:space="0" w:color="auto"/>
            </w:tcBorders>
          </w:tcPr>
          <w:p w14:paraId="17CEEB74" w14:textId="77777777" w:rsidR="005E000F" w:rsidRDefault="00000000">
            <w:pPr>
              <w:rPr>
                <w:rFonts w:cs="宋体"/>
                <w:bCs/>
              </w:rPr>
            </w:pPr>
            <w:r>
              <w:rPr>
                <w:rFonts w:cs="宋体" w:hint="eastAsia"/>
                <w:bCs/>
              </w:rPr>
              <w:t>其中：太原局集团公司及其下属单位</w:t>
            </w:r>
          </w:p>
        </w:tc>
        <w:tc>
          <w:tcPr>
            <w:tcW w:w="2260" w:type="dxa"/>
            <w:tcBorders>
              <w:top w:val="single" w:sz="4" w:space="0" w:color="auto"/>
              <w:left w:val="single" w:sz="4" w:space="0" w:color="auto"/>
              <w:bottom w:val="single" w:sz="4" w:space="0" w:color="auto"/>
              <w:right w:val="single" w:sz="4" w:space="0" w:color="auto"/>
            </w:tcBorders>
          </w:tcPr>
          <w:p w14:paraId="782B761D" w14:textId="77777777" w:rsidR="005E000F" w:rsidRDefault="00000000">
            <w:pPr>
              <w:rPr>
                <w:rFonts w:cs="宋体"/>
                <w:bCs/>
                <w:lang w:eastAsia="en-US"/>
              </w:rPr>
            </w:pPr>
            <w:r>
              <w:rPr>
                <w:rFonts w:cs="宋体" w:hint="eastAsia"/>
                <w:bCs/>
              </w:rPr>
              <w:t>采购固定资产</w:t>
            </w:r>
          </w:p>
        </w:tc>
        <w:tc>
          <w:tcPr>
            <w:tcW w:w="2283" w:type="dxa"/>
            <w:tcBorders>
              <w:top w:val="single" w:sz="4" w:space="0" w:color="auto"/>
              <w:left w:val="single" w:sz="4" w:space="0" w:color="auto"/>
              <w:bottom w:val="single" w:sz="4" w:space="0" w:color="auto"/>
              <w:right w:val="single" w:sz="4" w:space="0" w:color="auto"/>
            </w:tcBorders>
            <w:vAlign w:val="center"/>
          </w:tcPr>
          <w:p w14:paraId="365F207C" w14:textId="77777777" w:rsidR="005E000F" w:rsidRDefault="00000000">
            <w:pPr>
              <w:jc w:val="right"/>
              <w:rPr>
                <w:rFonts w:cs="宋体"/>
                <w:bCs/>
              </w:rPr>
            </w:pPr>
            <w:r>
              <w:rPr>
                <w:rFonts w:cs="宋体"/>
                <w:bCs/>
              </w:rPr>
              <w:t>23,727,655,509</w:t>
            </w:r>
          </w:p>
        </w:tc>
        <w:tc>
          <w:tcPr>
            <w:tcW w:w="2280" w:type="dxa"/>
            <w:tcBorders>
              <w:top w:val="single" w:sz="4" w:space="0" w:color="auto"/>
              <w:left w:val="single" w:sz="4" w:space="0" w:color="auto"/>
              <w:bottom w:val="single" w:sz="4" w:space="0" w:color="auto"/>
              <w:right w:val="single" w:sz="4" w:space="0" w:color="auto"/>
            </w:tcBorders>
            <w:vAlign w:val="center"/>
          </w:tcPr>
          <w:p w14:paraId="7A6E08E3" w14:textId="77777777" w:rsidR="005E000F" w:rsidRDefault="00000000">
            <w:pPr>
              <w:jc w:val="right"/>
              <w:rPr>
                <w:rFonts w:cs="宋体"/>
                <w:bCs/>
                <w:lang w:eastAsia="en-US"/>
              </w:rPr>
            </w:pPr>
            <w:r>
              <w:rPr>
                <w:rFonts w:cs="宋体" w:hint="eastAsia"/>
                <w:bCs/>
              </w:rPr>
              <w:t>165,042,231</w:t>
            </w:r>
          </w:p>
        </w:tc>
      </w:tr>
    </w:tbl>
    <w:p w14:paraId="4B97BD00" w14:textId="77777777" w:rsidR="005E000F" w:rsidRDefault="005E000F"/>
    <w:p w14:paraId="173A8D8E" w14:textId="77777777" w:rsidR="005E000F" w:rsidRDefault="00000000">
      <w:pPr>
        <w:pStyle w:val="4"/>
        <w:numPr>
          <w:ilvl w:val="3"/>
          <w:numId w:val="120"/>
        </w:numPr>
        <w:ind w:left="426" w:hangingChars="202" w:hanging="426"/>
      </w:pPr>
      <w:r>
        <w:rPr>
          <w:rFonts w:hint="eastAsia"/>
        </w:rPr>
        <w:t>关键管理人员报酬</w:t>
      </w:r>
    </w:p>
    <w:sdt>
      <w:sdtPr>
        <w:alias w:val="是否适用：关键管理人员报酬[双击切换]"/>
        <w:tag w:val="_GBC_4768ccd806f845f4b6f5f0ec038ec747"/>
        <w:id w:val="-1937816472"/>
        <w:placeholder>
          <w:docPart w:val="GBC22222222222222222222222222222"/>
        </w:placeholder>
      </w:sdtPr>
      <w:sdtContent>
        <w:p w14:paraId="3C55514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01C290C" w14:textId="77777777" w:rsidR="005E000F" w:rsidRDefault="00000000">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180314461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万元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16399177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3"/>
        <w:gridCol w:w="3273"/>
        <w:gridCol w:w="2501"/>
      </w:tblGrid>
      <w:tr w:rsidR="005E000F" w14:paraId="0922D555" w14:textId="77777777">
        <w:sdt>
          <w:sdtPr>
            <w:tag w:val="_PLD_3d38745be5c64397b1dab92289838da1"/>
            <w:id w:val="1439486654"/>
          </w:sdtPr>
          <w:sdtContent>
            <w:tc>
              <w:tcPr>
                <w:tcW w:w="3273" w:type="dxa"/>
                <w:tcBorders>
                  <w:top w:val="single" w:sz="4" w:space="0" w:color="auto"/>
                  <w:left w:val="single" w:sz="4" w:space="0" w:color="auto"/>
                  <w:bottom w:val="single" w:sz="4" w:space="0" w:color="auto"/>
                  <w:right w:val="single" w:sz="4" w:space="0" w:color="auto"/>
                </w:tcBorders>
                <w:vAlign w:val="center"/>
              </w:tcPr>
              <w:p w14:paraId="435F8ECC" w14:textId="77777777" w:rsidR="005E000F" w:rsidRDefault="00000000">
                <w:pPr>
                  <w:jc w:val="center"/>
                  <w:rPr>
                    <w:rFonts w:cs="Cambria"/>
                  </w:rPr>
                </w:pPr>
                <w:r>
                  <w:rPr>
                    <w:rFonts w:cs="Cambria" w:hint="eastAsia"/>
                  </w:rPr>
                  <w:t>项目</w:t>
                </w:r>
              </w:p>
            </w:tc>
          </w:sdtContent>
        </w:sdt>
        <w:sdt>
          <w:sdtPr>
            <w:tag w:val="_PLD_31133ff59dcf4a7b93a7991d1f435b05"/>
            <w:id w:val="536482865"/>
          </w:sdtPr>
          <w:sdtContent>
            <w:tc>
              <w:tcPr>
                <w:tcW w:w="3273" w:type="dxa"/>
                <w:tcBorders>
                  <w:top w:val="single" w:sz="4" w:space="0" w:color="auto"/>
                  <w:left w:val="single" w:sz="4" w:space="0" w:color="auto"/>
                  <w:bottom w:val="single" w:sz="4" w:space="0" w:color="auto"/>
                  <w:right w:val="single" w:sz="4" w:space="0" w:color="auto"/>
                </w:tcBorders>
                <w:vAlign w:val="center"/>
              </w:tcPr>
              <w:p w14:paraId="43F5EEFE" w14:textId="77777777" w:rsidR="005E000F" w:rsidRDefault="00000000">
                <w:pPr>
                  <w:jc w:val="center"/>
                  <w:rPr>
                    <w:rFonts w:cs="Cambria"/>
                  </w:rPr>
                </w:pPr>
                <w:r>
                  <w:rPr>
                    <w:rFonts w:cs="Cambria" w:hint="eastAsia"/>
                  </w:rPr>
                  <w:t>本期发生额</w:t>
                </w:r>
              </w:p>
            </w:tc>
          </w:sdtContent>
        </w:sdt>
        <w:sdt>
          <w:sdtPr>
            <w:tag w:val="_PLD_e08658a238f7419ca0d4ce3386ff565e"/>
            <w:id w:val="-551695427"/>
          </w:sdtPr>
          <w:sdtContent>
            <w:tc>
              <w:tcPr>
                <w:tcW w:w="2501" w:type="dxa"/>
                <w:tcBorders>
                  <w:top w:val="single" w:sz="4" w:space="0" w:color="auto"/>
                  <w:left w:val="single" w:sz="4" w:space="0" w:color="auto"/>
                  <w:bottom w:val="single" w:sz="4" w:space="0" w:color="auto"/>
                  <w:right w:val="single" w:sz="4" w:space="0" w:color="auto"/>
                </w:tcBorders>
                <w:vAlign w:val="center"/>
              </w:tcPr>
              <w:p w14:paraId="4CDE59AB" w14:textId="77777777" w:rsidR="005E000F" w:rsidRDefault="00000000">
                <w:pPr>
                  <w:jc w:val="center"/>
                  <w:rPr>
                    <w:rFonts w:cs="Cambria"/>
                  </w:rPr>
                </w:pPr>
                <w:r>
                  <w:rPr>
                    <w:rFonts w:cs="Cambria" w:hint="eastAsia"/>
                  </w:rPr>
                  <w:t>上期发生额</w:t>
                </w:r>
              </w:p>
            </w:tc>
          </w:sdtContent>
        </w:sdt>
      </w:tr>
      <w:tr w:rsidR="005E000F" w14:paraId="342BC1E6" w14:textId="77777777">
        <w:tc>
          <w:tcPr>
            <w:tcW w:w="3273" w:type="dxa"/>
            <w:tcBorders>
              <w:top w:val="single" w:sz="4" w:space="0" w:color="auto"/>
              <w:left w:val="single" w:sz="4" w:space="0" w:color="auto"/>
              <w:bottom w:val="single" w:sz="4" w:space="0" w:color="auto"/>
              <w:right w:val="single" w:sz="4" w:space="0" w:color="auto"/>
            </w:tcBorders>
            <w:vAlign w:val="center"/>
          </w:tcPr>
          <w:p w14:paraId="185EDA0D" w14:textId="77777777" w:rsidR="005E000F" w:rsidRDefault="00000000">
            <w:pPr>
              <w:rPr>
                <w:rFonts w:cs="Cambria"/>
              </w:rPr>
            </w:pPr>
            <w:r>
              <w:rPr>
                <w:rFonts w:cs="Cambria" w:hint="eastAsia"/>
              </w:rPr>
              <w:t>关键管理人员报酬</w:t>
            </w:r>
          </w:p>
        </w:tc>
        <w:tc>
          <w:tcPr>
            <w:tcW w:w="3273" w:type="dxa"/>
            <w:tcBorders>
              <w:top w:val="single" w:sz="4" w:space="0" w:color="auto"/>
              <w:left w:val="single" w:sz="4" w:space="0" w:color="auto"/>
              <w:bottom w:val="single" w:sz="4" w:space="0" w:color="auto"/>
              <w:right w:val="single" w:sz="4" w:space="0" w:color="auto"/>
            </w:tcBorders>
            <w:vAlign w:val="center"/>
          </w:tcPr>
          <w:p w14:paraId="09DFD2BB" w14:textId="77777777" w:rsidR="005E000F" w:rsidRDefault="00000000">
            <w:pPr>
              <w:jc w:val="right"/>
              <w:rPr>
                <w:rFonts w:cs="Cambria"/>
              </w:rPr>
            </w:pPr>
            <w:r>
              <w:rPr>
                <w:rFonts w:cs="Cambria" w:hint="eastAsia"/>
              </w:rPr>
              <w:t>245.23</w:t>
            </w:r>
          </w:p>
        </w:tc>
        <w:tc>
          <w:tcPr>
            <w:tcW w:w="2501" w:type="dxa"/>
            <w:tcBorders>
              <w:top w:val="single" w:sz="4" w:space="0" w:color="auto"/>
              <w:left w:val="single" w:sz="4" w:space="0" w:color="auto"/>
              <w:bottom w:val="single" w:sz="4" w:space="0" w:color="auto"/>
              <w:right w:val="single" w:sz="4" w:space="0" w:color="auto"/>
            </w:tcBorders>
            <w:vAlign w:val="center"/>
          </w:tcPr>
          <w:p w14:paraId="6AA417A3" w14:textId="77777777" w:rsidR="005E000F" w:rsidRDefault="00000000">
            <w:pPr>
              <w:jc w:val="right"/>
              <w:rPr>
                <w:rFonts w:cs="Cambria"/>
              </w:rPr>
            </w:pPr>
            <w:r>
              <w:rPr>
                <w:rFonts w:cs="Cambria" w:hint="eastAsia"/>
              </w:rPr>
              <w:t>345.09</w:t>
            </w:r>
          </w:p>
        </w:tc>
      </w:tr>
    </w:tbl>
    <w:p w14:paraId="0DBA6DCC" w14:textId="77777777" w:rsidR="005E000F" w:rsidRDefault="005E000F"/>
    <w:p w14:paraId="4412EB66" w14:textId="77777777" w:rsidR="005E000F" w:rsidRDefault="00000000">
      <w:pPr>
        <w:pStyle w:val="4"/>
        <w:numPr>
          <w:ilvl w:val="3"/>
          <w:numId w:val="120"/>
        </w:numPr>
        <w:ind w:left="426" w:hangingChars="202" w:hanging="426"/>
      </w:pPr>
      <w:r>
        <w:rPr>
          <w:rFonts w:hint="eastAsia"/>
        </w:rPr>
        <w:lastRenderedPageBreak/>
        <w:t>其他关联交易</w:t>
      </w:r>
    </w:p>
    <w:sdt>
      <w:sdtPr>
        <w:rPr>
          <w:rFonts w:hint="eastAsia"/>
        </w:rPr>
        <w:alias w:val="是否适用：其他关联交易[双击切换]"/>
        <w:tag w:val="_GBC_a1203a07d7684e08bdc2f1959f1cb9ae"/>
        <w:id w:val="2037689196"/>
        <w:placeholder>
          <w:docPart w:val="GBC22222222222222222222222222222"/>
        </w:placeholder>
      </w:sdtPr>
      <w:sdtContent>
        <w:p w14:paraId="24DD7C0D"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关联交易的情况"/>
        <w:tag w:val="_GBC_568a4950b7f046d3a08a3d8b97923495"/>
        <w:id w:val="-1121376838"/>
        <w:placeholder>
          <w:docPart w:val="GBC22222222222222222222222222222"/>
        </w:placeholder>
      </w:sdtPr>
      <w:sdtContent>
        <w:sdt>
          <w:sdtPr>
            <w:rPr>
              <w:color w:val="000000" w:themeColor="text1"/>
            </w:rPr>
            <w:alias w:val="其他关联交易的情况"/>
            <w:tag w:val="_GBC_6032ff15164341538a97d5ac05a80e23"/>
            <w:id w:val="1280141940"/>
            <w:placeholder>
              <w:docPart w:val="{ea9c7daa-fb5f-4aae-8388-368bcc0cd4e8}"/>
            </w:placeholder>
          </w:sdtPr>
          <w:sdtContent>
            <w:p w14:paraId="5FECC9F3" w14:textId="77777777" w:rsidR="005E000F" w:rsidRDefault="00000000">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）资金代管服务</w:t>
              </w:r>
            </w:p>
            <w:p w14:paraId="1A0C5735" w14:textId="77777777" w:rsidR="005E000F" w:rsidRDefault="005E000F">
              <w:pPr>
                <w:rPr>
                  <w:color w:val="000000" w:themeColor="text1"/>
                </w:rPr>
              </w:pPr>
            </w:p>
            <w:p w14:paraId="667A3D41" w14:textId="77777777" w:rsidR="005E000F" w:rsidRDefault="00000000">
              <w:pPr>
                <w:rPr>
                  <w:color w:val="000000" w:themeColor="text1"/>
                </w:rPr>
              </w:pPr>
              <w:r>
                <w:rPr>
                  <w:rFonts w:hint="eastAsia"/>
                  <w:color w:val="000000" w:themeColor="text1"/>
                </w:rPr>
                <w:t>本集团于</w:t>
              </w:r>
              <w:r>
                <w:rPr>
                  <w:rFonts w:hint="eastAsia"/>
                  <w:color w:val="000000" w:themeColor="text1"/>
                </w:rPr>
                <w:t>2005</w:t>
              </w:r>
              <w:r>
                <w:rPr>
                  <w:rFonts w:hint="eastAsia"/>
                  <w:color w:val="000000" w:themeColor="text1"/>
                </w:rPr>
                <w:t>年</w:t>
              </w:r>
              <w:r>
                <w:rPr>
                  <w:rFonts w:hint="eastAsia"/>
                  <w:color w:val="000000" w:themeColor="text1"/>
                </w:rPr>
                <w:t>9</w:t>
              </w:r>
              <w:r>
                <w:rPr>
                  <w:rFonts w:hint="eastAsia"/>
                  <w:color w:val="000000" w:themeColor="text1"/>
                </w:rPr>
                <w:t>月成立结算所。根据本集团与太原局集团公司签署的代管资金协议，本集团向太原局集团公司及太原局集团公司下属其他单位提供资金代管业务（</w:t>
              </w:r>
              <w:proofErr w:type="gramStart"/>
              <w:r>
                <w:rPr>
                  <w:rFonts w:hint="eastAsia"/>
                  <w:color w:val="000000" w:themeColor="text1"/>
                </w:rPr>
                <w:t>含尚未</w:t>
              </w:r>
              <w:proofErr w:type="gramEnd"/>
              <w:r>
                <w:rPr>
                  <w:rFonts w:hint="eastAsia"/>
                  <w:color w:val="000000" w:themeColor="text1"/>
                </w:rPr>
                <w:t>拨付至企业年金专门账户的资金）。本集团的主要职责为将代管资金存入银行并代收代付相应的利息。根据协议规定，此种资金代管服务为无偿服务，不收取任何费用。</w:t>
              </w:r>
            </w:p>
            <w:p w14:paraId="7A8CDEDF" w14:textId="77777777" w:rsidR="005E000F" w:rsidRDefault="005E000F">
              <w:pPr>
                <w:rPr>
                  <w:color w:val="000000" w:themeColor="text1"/>
                </w:rPr>
              </w:pPr>
            </w:p>
            <w:p w14:paraId="094EFF4F" w14:textId="77777777" w:rsidR="005E000F" w:rsidRDefault="00000000">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）代收代付</w:t>
              </w:r>
            </w:p>
            <w:p w14:paraId="36A53B90" w14:textId="77777777" w:rsidR="005E000F" w:rsidRDefault="005E000F">
              <w:pPr>
                <w:rPr>
                  <w:color w:val="000000" w:themeColor="text1"/>
                </w:rPr>
              </w:pPr>
            </w:p>
            <w:p w14:paraId="7BEAD030" w14:textId="77777777" w:rsidR="005E000F" w:rsidRDefault="00000000">
              <w:pPr>
                <w:rPr>
                  <w:color w:val="000000" w:themeColor="text1"/>
                </w:rPr>
              </w:pPr>
              <w:r>
                <w:rPr>
                  <w:rFonts w:hint="eastAsia"/>
                  <w:color w:val="000000" w:themeColor="text1"/>
                </w:rPr>
                <w:t>太原局集团公司及其下属单位</w:t>
              </w:r>
            </w:p>
          </w:sdtContent>
        </w:sdt>
        <w:p w14:paraId="7A41A936" w14:textId="77777777" w:rsidR="005E000F" w:rsidRDefault="00000000">
          <w:pPr>
            <w:jc w:val="right"/>
            <w:rPr>
              <w:color w:val="000000" w:themeColor="text1"/>
            </w:rPr>
          </w:pPr>
          <w:r>
            <w:rPr>
              <w:rFonts w:hint="eastAsia"/>
              <w:color w:val="000000" w:themeColor="text1"/>
            </w:rPr>
            <w:t>单位：</w:t>
          </w:r>
          <w:sdt>
            <w:sdtPr>
              <w:rPr>
                <w:rFonts w:hint="eastAsia"/>
                <w:color w:val="000000" w:themeColor="text1"/>
              </w:rPr>
              <w:alias w:val="单位：关联方其他未结算项目情况"/>
              <w:tag w:val="_GBC_b360707c811347dbbb331a46f9387419"/>
              <w:id w:val="147474808"/>
              <w:placeholder>
                <w:docPart w:val="{019a90a0-080a-4c7e-806b-deb5a596a45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关联方其他未结算项目情况"/>
              <w:tag w:val="_GBC_4db6df967fca4da6a77a07ac06837668"/>
              <w:id w:val="147461991"/>
              <w:placeholder>
                <w:docPart w:val="{019a90a0-080a-4c7e-806b-deb5a596a45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r>
            <w:rPr>
              <w:color w:val="000000" w:themeColor="text1"/>
            </w:rPr>
            <w:t xml:space="preserve">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2961"/>
            <w:gridCol w:w="2961"/>
          </w:tblGrid>
          <w:tr w:rsidR="005E000F" w14:paraId="4C2CD964" w14:textId="77777777">
            <w:tc>
              <w:tcPr>
                <w:tcW w:w="1726" w:type="pct"/>
                <w:tcBorders>
                  <w:top w:val="single" w:sz="4" w:space="0" w:color="auto"/>
                  <w:left w:val="single" w:sz="4" w:space="0" w:color="auto"/>
                  <w:bottom w:val="single" w:sz="4" w:space="0" w:color="auto"/>
                  <w:right w:val="single" w:sz="4" w:space="0" w:color="auto"/>
                </w:tcBorders>
              </w:tcPr>
              <w:p w14:paraId="44056C7C" w14:textId="77777777" w:rsidR="005E000F" w:rsidRDefault="00000000">
                <w:pPr>
                  <w:jc w:val="center"/>
                  <w:rPr>
                    <w:color w:val="000000" w:themeColor="text1"/>
                  </w:rPr>
                </w:pPr>
                <w:r>
                  <w:rPr>
                    <w:rFonts w:hint="eastAsia"/>
                    <w:color w:val="000000" w:themeColor="text1"/>
                  </w:rPr>
                  <w:t>项目</w:t>
                </w:r>
              </w:p>
            </w:tc>
            <w:tc>
              <w:tcPr>
                <w:tcW w:w="1636" w:type="pct"/>
                <w:tcBorders>
                  <w:top w:val="single" w:sz="4" w:space="0" w:color="auto"/>
                  <w:left w:val="single" w:sz="4" w:space="0" w:color="auto"/>
                  <w:bottom w:val="single" w:sz="4" w:space="0" w:color="auto"/>
                  <w:right w:val="single" w:sz="4" w:space="0" w:color="auto"/>
                </w:tcBorders>
              </w:tcPr>
              <w:p w14:paraId="1F1FB23B" w14:textId="77777777" w:rsidR="005E000F" w:rsidRDefault="00000000">
                <w:pPr>
                  <w:jc w:val="center"/>
                  <w:rPr>
                    <w:color w:val="000000" w:themeColor="text1"/>
                  </w:rPr>
                </w:pPr>
                <w:r>
                  <w:rPr>
                    <w:rFonts w:hint="eastAsia"/>
                    <w:color w:val="000000" w:themeColor="text1"/>
                  </w:rPr>
                  <w:t>本期发生额</w:t>
                </w:r>
              </w:p>
            </w:tc>
            <w:tc>
              <w:tcPr>
                <w:tcW w:w="1637" w:type="pct"/>
                <w:tcBorders>
                  <w:top w:val="single" w:sz="4" w:space="0" w:color="auto"/>
                  <w:left w:val="single" w:sz="4" w:space="0" w:color="auto"/>
                  <w:bottom w:val="single" w:sz="4" w:space="0" w:color="auto"/>
                  <w:right w:val="single" w:sz="4" w:space="0" w:color="auto"/>
                </w:tcBorders>
              </w:tcPr>
              <w:p w14:paraId="1E054B77" w14:textId="77777777" w:rsidR="005E000F" w:rsidRDefault="00000000">
                <w:pPr>
                  <w:jc w:val="center"/>
                  <w:rPr>
                    <w:color w:val="000000" w:themeColor="text1"/>
                  </w:rPr>
                </w:pPr>
                <w:r>
                  <w:rPr>
                    <w:rFonts w:hint="eastAsia"/>
                    <w:color w:val="000000" w:themeColor="text1"/>
                  </w:rPr>
                  <w:t>上期发生额</w:t>
                </w:r>
              </w:p>
            </w:tc>
          </w:tr>
          <w:tr w:rsidR="005E000F" w14:paraId="3AA6976C" w14:textId="77777777">
            <w:tc>
              <w:tcPr>
                <w:tcW w:w="1726" w:type="pct"/>
                <w:tcBorders>
                  <w:top w:val="single" w:sz="4" w:space="0" w:color="auto"/>
                  <w:left w:val="single" w:sz="4" w:space="0" w:color="auto"/>
                  <w:bottom w:val="single" w:sz="4" w:space="0" w:color="auto"/>
                  <w:right w:val="single" w:sz="4" w:space="0" w:color="auto"/>
                </w:tcBorders>
              </w:tcPr>
              <w:p w14:paraId="6F9C9DE7" w14:textId="77777777" w:rsidR="005E000F" w:rsidRDefault="00000000">
                <w:pPr>
                  <w:rPr>
                    <w:color w:val="000000" w:themeColor="text1"/>
                  </w:rPr>
                </w:pPr>
                <w:r>
                  <w:rPr>
                    <w:rFonts w:hint="eastAsia"/>
                    <w:color w:val="000000" w:themeColor="text1"/>
                  </w:rPr>
                  <w:t>代公司支付其他铁路企业</w:t>
                </w:r>
                <w:proofErr w:type="gramStart"/>
                <w:r>
                  <w:rPr>
                    <w:rFonts w:hint="eastAsia"/>
                    <w:color w:val="000000" w:themeColor="text1"/>
                  </w:rPr>
                  <w:t>运输款</w:t>
                </w:r>
                <w:proofErr w:type="gramEnd"/>
                <w:r>
                  <w:rPr>
                    <w:rFonts w:hint="eastAsia"/>
                    <w:color w:val="000000" w:themeColor="text1"/>
                  </w:rPr>
                  <w:t>及铁路建设基金等</w:t>
                </w:r>
              </w:p>
            </w:tc>
            <w:tc>
              <w:tcPr>
                <w:tcW w:w="2960" w:type="dxa"/>
                <w:tcBorders>
                  <w:top w:val="single" w:sz="4" w:space="0" w:color="auto"/>
                  <w:left w:val="single" w:sz="4" w:space="0" w:color="auto"/>
                  <w:bottom w:val="single" w:sz="4" w:space="0" w:color="auto"/>
                  <w:right w:val="single" w:sz="4" w:space="0" w:color="auto"/>
                </w:tcBorders>
                <w:vAlign w:val="center"/>
              </w:tcPr>
              <w:p w14:paraId="6662992E" w14:textId="77777777" w:rsidR="005E000F" w:rsidRDefault="00000000">
                <w:pPr>
                  <w:jc w:val="right"/>
                </w:pPr>
                <w:r>
                  <w:t>49,774,701,334</w:t>
                </w:r>
              </w:p>
            </w:tc>
            <w:tc>
              <w:tcPr>
                <w:tcW w:w="1637" w:type="pct"/>
                <w:tcBorders>
                  <w:top w:val="single" w:sz="4" w:space="0" w:color="auto"/>
                  <w:left w:val="single" w:sz="4" w:space="0" w:color="auto"/>
                  <w:bottom w:val="single" w:sz="4" w:space="0" w:color="auto"/>
                  <w:right w:val="single" w:sz="4" w:space="0" w:color="auto"/>
                </w:tcBorders>
                <w:vAlign w:val="center"/>
              </w:tcPr>
              <w:p w14:paraId="6F9B7A0F" w14:textId="77777777" w:rsidR="005E000F" w:rsidRDefault="00000000">
                <w:pPr>
                  <w:jc w:val="right"/>
                </w:pPr>
                <w:r>
                  <w:rPr>
                    <w:rFonts w:hint="eastAsia"/>
                  </w:rPr>
                  <w:t>49,412,831,744</w:t>
                </w:r>
              </w:p>
            </w:tc>
          </w:tr>
          <w:tr w:rsidR="005E000F" w14:paraId="35AC3087" w14:textId="77777777">
            <w:tc>
              <w:tcPr>
                <w:tcW w:w="1726" w:type="pct"/>
                <w:tcBorders>
                  <w:top w:val="single" w:sz="4" w:space="0" w:color="auto"/>
                  <w:left w:val="single" w:sz="4" w:space="0" w:color="auto"/>
                  <w:bottom w:val="single" w:sz="4" w:space="0" w:color="auto"/>
                  <w:right w:val="single" w:sz="4" w:space="0" w:color="auto"/>
                </w:tcBorders>
              </w:tcPr>
              <w:p w14:paraId="240BDB62" w14:textId="77777777" w:rsidR="005E000F" w:rsidRDefault="00000000">
                <w:pPr>
                  <w:rPr>
                    <w:color w:val="000000" w:themeColor="text1"/>
                  </w:rPr>
                </w:pPr>
                <w:r>
                  <w:rPr>
                    <w:rFonts w:hint="eastAsia"/>
                    <w:color w:val="000000" w:themeColor="text1"/>
                  </w:rPr>
                  <w:t>代公司支付货车使用费</w:t>
                </w:r>
              </w:p>
            </w:tc>
            <w:tc>
              <w:tcPr>
                <w:tcW w:w="2960" w:type="dxa"/>
                <w:tcBorders>
                  <w:top w:val="single" w:sz="4" w:space="0" w:color="auto"/>
                  <w:left w:val="single" w:sz="4" w:space="0" w:color="auto"/>
                  <w:bottom w:val="single" w:sz="4" w:space="0" w:color="auto"/>
                  <w:right w:val="single" w:sz="4" w:space="0" w:color="auto"/>
                </w:tcBorders>
                <w:vAlign w:val="center"/>
              </w:tcPr>
              <w:p w14:paraId="75EC0D93" w14:textId="77777777" w:rsidR="005E000F" w:rsidRDefault="00000000">
                <w:pPr>
                  <w:jc w:val="right"/>
                </w:pPr>
                <w:r>
                  <w:t>3,251,613,829</w:t>
                </w:r>
              </w:p>
            </w:tc>
            <w:tc>
              <w:tcPr>
                <w:tcW w:w="1637" w:type="pct"/>
                <w:tcBorders>
                  <w:top w:val="single" w:sz="4" w:space="0" w:color="auto"/>
                  <w:left w:val="single" w:sz="4" w:space="0" w:color="auto"/>
                  <w:bottom w:val="single" w:sz="4" w:space="0" w:color="auto"/>
                  <w:right w:val="single" w:sz="4" w:space="0" w:color="auto"/>
                </w:tcBorders>
                <w:vAlign w:val="center"/>
              </w:tcPr>
              <w:p w14:paraId="7BD1AB79" w14:textId="77777777" w:rsidR="005E000F" w:rsidRDefault="00000000">
                <w:pPr>
                  <w:jc w:val="right"/>
                </w:pPr>
                <w:r>
                  <w:rPr>
                    <w:rFonts w:hint="eastAsia"/>
                  </w:rPr>
                  <w:t>3,093,272,351</w:t>
                </w:r>
              </w:p>
            </w:tc>
          </w:tr>
          <w:tr w:rsidR="005E000F" w14:paraId="159E8C89" w14:textId="77777777">
            <w:tc>
              <w:tcPr>
                <w:tcW w:w="1726" w:type="pct"/>
                <w:tcBorders>
                  <w:top w:val="single" w:sz="4" w:space="0" w:color="auto"/>
                  <w:left w:val="single" w:sz="4" w:space="0" w:color="auto"/>
                  <w:bottom w:val="single" w:sz="4" w:space="0" w:color="auto"/>
                  <w:right w:val="single" w:sz="4" w:space="0" w:color="auto"/>
                </w:tcBorders>
              </w:tcPr>
              <w:p w14:paraId="29CE705A" w14:textId="77777777" w:rsidR="005E000F" w:rsidRDefault="00000000">
                <w:pPr>
                  <w:rPr>
                    <w:color w:val="000000" w:themeColor="text1"/>
                  </w:rPr>
                </w:pPr>
                <w:r>
                  <w:rPr>
                    <w:rFonts w:hint="eastAsia"/>
                    <w:color w:val="000000" w:themeColor="text1"/>
                  </w:rPr>
                  <w:t>其他代付</w:t>
                </w:r>
              </w:p>
            </w:tc>
            <w:tc>
              <w:tcPr>
                <w:tcW w:w="2960" w:type="dxa"/>
                <w:tcBorders>
                  <w:top w:val="single" w:sz="4" w:space="0" w:color="auto"/>
                  <w:left w:val="single" w:sz="4" w:space="0" w:color="auto"/>
                  <w:bottom w:val="single" w:sz="4" w:space="0" w:color="auto"/>
                  <w:right w:val="single" w:sz="4" w:space="0" w:color="auto"/>
                </w:tcBorders>
                <w:vAlign w:val="center"/>
              </w:tcPr>
              <w:p w14:paraId="6FB90735" w14:textId="77777777" w:rsidR="005E000F" w:rsidRDefault="00000000">
                <w:pPr>
                  <w:jc w:val="right"/>
                </w:pPr>
                <w:r>
                  <w:rPr>
                    <w:rFonts w:hint="eastAsia"/>
                  </w:rPr>
                  <w:t>0</w:t>
                </w:r>
                <w:r>
                  <w:t xml:space="preserve">   </w:t>
                </w:r>
              </w:p>
            </w:tc>
            <w:tc>
              <w:tcPr>
                <w:tcW w:w="1637" w:type="pct"/>
                <w:tcBorders>
                  <w:top w:val="single" w:sz="4" w:space="0" w:color="auto"/>
                  <w:left w:val="single" w:sz="4" w:space="0" w:color="auto"/>
                  <w:bottom w:val="single" w:sz="4" w:space="0" w:color="auto"/>
                  <w:right w:val="single" w:sz="4" w:space="0" w:color="auto"/>
                </w:tcBorders>
                <w:vAlign w:val="center"/>
              </w:tcPr>
              <w:p w14:paraId="28566647" w14:textId="77777777" w:rsidR="005E000F" w:rsidRDefault="00000000">
                <w:pPr>
                  <w:jc w:val="right"/>
                </w:pPr>
                <w:r>
                  <w:rPr>
                    <w:rFonts w:hint="eastAsia"/>
                  </w:rPr>
                  <w:t>72,582,706</w:t>
                </w:r>
              </w:p>
            </w:tc>
          </w:tr>
          <w:tr w:rsidR="005E000F" w14:paraId="55BF7441" w14:textId="77777777">
            <w:tc>
              <w:tcPr>
                <w:tcW w:w="1726" w:type="pct"/>
                <w:tcBorders>
                  <w:top w:val="single" w:sz="4" w:space="0" w:color="auto"/>
                  <w:left w:val="single" w:sz="4" w:space="0" w:color="auto"/>
                  <w:bottom w:val="single" w:sz="4" w:space="0" w:color="auto"/>
                  <w:right w:val="single" w:sz="4" w:space="0" w:color="auto"/>
                </w:tcBorders>
              </w:tcPr>
              <w:p w14:paraId="7E8215F8" w14:textId="77777777" w:rsidR="005E000F" w:rsidRDefault="00000000">
                <w:pPr>
                  <w:jc w:val="center"/>
                  <w:rPr>
                    <w:color w:val="000000" w:themeColor="text1"/>
                  </w:rPr>
                </w:pPr>
                <w:r>
                  <w:rPr>
                    <w:rFonts w:hint="eastAsia"/>
                    <w:color w:val="000000" w:themeColor="text1"/>
                  </w:rPr>
                  <w:t>合计</w:t>
                </w:r>
              </w:p>
            </w:tc>
            <w:tc>
              <w:tcPr>
                <w:tcW w:w="2960" w:type="dxa"/>
                <w:tcBorders>
                  <w:top w:val="single" w:sz="4" w:space="0" w:color="auto"/>
                  <w:left w:val="single" w:sz="4" w:space="0" w:color="auto"/>
                  <w:bottom w:val="single" w:sz="4" w:space="0" w:color="auto"/>
                  <w:right w:val="single" w:sz="4" w:space="0" w:color="auto"/>
                </w:tcBorders>
                <w:vAlign w:val="center"/>
              </w:tcPr>
              <w:p w14:paraId="5F91BFC1" w14:textId="77777777" w:rsidR="005E000F" w:rsidRDefault="00000000">
                <w:pPr>
                  <w:jc w:val="right"/>
                </w:pPr>
                <w:r>
                  <w:t>53,026,315,162</w:t>
                </w:r>
              </w:p>
            </w:tc>
            <w:tc>
              <w:tcPr>
                <w:tcW w:w="1637" w:type="pct"/>
                <w:tcBorders>
                  <w:top w:val="single" w:sz="4" w:space="0" w:color="auto"/>
                  <w:left w:val="single" w:sz="4" w:space="0" w:color="auto"/>
                  <w:bottom w:val="single" w:sz="4" w:space="0" w:color="auto"/>
                  <w:right w:val="single" w:sz="4" w:space="0" w:color="auto"/>
                </w:tcBorders>
                <w:vAlign w:val="center"/>
              </w:tcPr>
              <w:p w14:paraId="75764845" w14:textId="77777777" w:rsidR="005E000F" w:rsidRDefault="00000000">
                <w:pPr>
                  <w:jc w:val="right"/>
                </w:pPr>
                <w:r>
                  <w:rPr>
                    <w:rFonts w:hint="eastAsia"/>
                  </w:rPr>
                  <w:t>52,578,686,801</w:t>
                </w:r>
              </w:p>
            </w:tc>
          </w:tr>
        </w:tbl>
        <w:p w14:paraId="2CDBBEC0" w14:textId="77777777" w:rsidR="005E000F" w:rsidRDefault="00000000"/>
      </w:sdtContent>
    </w:sdt>
    <w:p w14:paraId="05319D20" w14:textId="77777777" w:rsidR="005E000F" w:rsidRDefault="005E000F"/>
    <w:p w14:paraId="5B659224" w14:textId="77777777" w:rsidR="005E000F" w:rsidRDefault="00000000">
      <w:pPr>
        <w:pStyle w:val="3"/>
        <w:numPr>
          <w:ilvl w:val="0"/>
          <w:numId w:val="119"/>
        </w:numPr>
        <w:ind w:left="450" w:hanging="450"/>
        <w:rPr>
          <w:rFonts w:ascii="宋体" w:hAnsi="宋体" w:cs="Arial"/>
          <w:szCs w:val="21"/>
        </w:rPr>
      </w:pPr>
      <w:r>
        <w:rPr>
          <w:rFonts w:ascii="宋体" w:hAnsi="宋体" w:cs="Arial" w:hint="eastAsia"/>
          <w:szCs w:val="21"/>
        </w:rPr>
        <w:t>应收、应付关联方等未结算项目情况</w:t>
      </w:r>
    </w:p>
    <w:p w14:paraId="62A44DC9" w14:textId="77777777" w:rsidR="005E000F" w:rsidRDefault="00000000">
      <w:pPr>
        <w:pStyle w:val="4"/>
        <w:numPr>
          <w:ilvl w:val="3"/>
          <w:numId w:val="121"/>
        </w:numPr>
        <w:ind w:left="426" w:hangingChars="202" w:hanging="426"/>
        <w:rPr>
          <w:rFonts w:ascii="宋体" w:hAnsi="宋体" w:cs="Arial"/>
          <w:szCs w:val="21"/>
        </w:rPr>
      </w:pPr>
      <w:r>
        <w:rPr>
          <w:rFonts w:hint="eastAsia"/>
        </w:rPr>
        <w:t>应收项目</w:t>
      </w:r>
    </w:p>
    <w:sdt>
      <w:sdtPr>
        <w:rPr>
          <w:rFonts w:hint="eastAsia"/>
        </w:rPr>
        <w:alias w:val="是否适用：应收项目[双击切换]"/>
        <w:tag w:val="_GBC_4ae94d538d2e44ae839d59a1751a6d01"/>
        <w:id w:val="-1936208042"/>
        <w:placeholder>
          <w:docPart w:val="GBC22222222222222222222222222222"/>
        </w:placeholder>
      </w:sdtPr>
      <w:sdtContent>
        <w:p w14:paraId="544908A3"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0DD2F48" w14:textId="77777777" w:rsidR="005E000F" w:rsidRDefault="00000000">
      <w:pPr>
        <w:jc w:val="right"/>
      </w:pPr>
      <w:r>
        <w:rPr>
          <w:rFonts w:hint="eastAsia"/>
        </w:rPr>
        <w:t>单位：</w:t>
      </w:r>
      <w:sdt>
        <w:sdtPr>
          <w:rPr>
            <w:rFonts w:hint="eastAsia"/>
          </w:rPr>
          <w:alias w:val="单位：上市公司应收关联方款项"/>
          <w:tag w:val="_GBC_83968b233566404db428b085bcb695b8"/>
          <w:id w:val="196684995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上市公司应收关联方款项"/>
          <w:tag w:val="_GBC_546206ef37784e9ca5284158e64b95dc"/>
          <w:id w:val="10864965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1956"/>
        <w:gridCol w:w="1489"/>
        <w:gridCol w:w="1165"/>
        <w:gridCol w:w="1511"/>
        <w:gridCol w:w="1540"/>
      </w:tblGrid>
      <w:tr w:rsidR="005E000F" w14:paraId="4B6595D6" w14:textId="77777777">
        <w:sdt>
          <w:sdtPr>
            <w:tag w:val="_PLD_c0c6dc2d23f94f929199b42c584f57ca"/>
            <w:id w:val="480734809"/>
          </w:sdtPr>
          <w:sdtContent>
            <w:tc>
              <w:tcPr>
                <w:tcW w:w="1387" w:type="dxa"/>
                <w:vMerge w:val="restart"/>
                <w:tcBorders>
                  <w:top w:val="single" w:sz="4" w:space="0" w:color="auto"/>
                  <w:left w:val="single" w:sz="4" w:space="0" w:color="auto"/>
                  <w:right w:val="single" w:sz="4" w:space="0" w:color="auto"/>
                </w:tcBorders>
                <w:vAlign w:val="center"/>
              </w:tcPr>
              <w:p w14:paraId="106B9D5F" w14:textId="77777777" w:rsidR="005E000F" w:rsidRDefault="00000000">
                <w:pPr>
                  <w:jc w:val="center"/>
                </w:pPr>
                <w:r>
                  <w:rPr>
                    <w:rFonts w:hint="eastAsia"/>
                  </w:rPr>
                  <w:t>项目名称</w:t>
                </w:r>
              </w:p>
            </w:tc>
          </w:sdtContent>
        </w:sdt>
        <w:sdt>
          <w:sdtPr>
            <w:tag w:val="_PLD_56aedf077d5c4d3b814d04d193f71af7"/>
            <w:id w:val="-1229924687"/>
          </w:sdtPr>
          <w:sdtContent>
            <w:tc>
              <w:tcPr>
                <w:tcW w:w="1956" w:type="dxa"/>
                <w:vMerge w:val="restart"/>
                <w:tcBorders>
                  <w:top w:val="single" w:sz="4" w:space="0" w:color="auto"/>
                  <w:left w:val="single" w:sz="4" w:space="0" w:color="auto"/>
                  <w:right w:val="single" w:sz="4" w:space="0" w:color="auto"/>
                </w:tcBorders>
                <w:vAlign w:val="center"/>
              </w:tcPr>
              <w:p w14:paraId="0B81128B" w14:textId="77777777" w:rsidR="005E000F" w:rsidRDefault="00000000">
                <w:pPr>
                  <w:jc w:val="center"/>
                </w:pPr>
                <w:r>
                  <w:rPr>
                    <w:rFonts w:hint="eastAsia"/>
                  </w:rPr>
                  <w:t>关联方</w:t>
                </w:r>
              </w:p>
            </w:tc>
          </w:sdtContent>
        </w:sdt>
        <w:sdt>
          <w:sdtPr>
            <w:tag w:val="_PLD_e8867e7b52fb42f4b447e445a20beebc"/>
            <w:id w:val="-1580284012"/>
          </w:sdtPr>
          <w:sdtContent>
            <w:tc>
              <w:tcPr>
                <w:tcW w:w="2654" w:type="dxa"/>
                <w:gridSpan w:val="2"/>
                <w:tcBorders>
                  <w:top w:val="single" w:sz="4" w:space="0" w:color="auto"/>
                  <w:left w:val="single" w:sz="4" w:space="0" w:color="auto"/>
                  <w:bottom w:val="single" w:sz="4" w:space="0" w:color="auto"/>
                  <w:right w:val="single" w:sz="4" w:space="0" w:color="auto"/>
                </w:tcBorders>
                <w:vAlign w:val="center"/>
              </w:tcPr>
              <w:p w14:paraId="71B1077B" w14:textId="77777777" w:rsidR="005E000F" w:rsidRDefault="00000000">
                <w:pPr>
                  <w:jc w:val="center"/>
                </w:pPr>
                <w:r>
                  <w:rPr>
                    <w:rFonts w:hint="eastAsia"/>
                  </w:rPr>
                  <w:t>期末余额</w:t>
                </w:r>
              </w:p>
            </w:tc>
          </w:sdtContent>
        </w:sdt>
        <w:sdt>
          <w:sdtPr>
            <w:tag w:val="_PLD_6a4888e558004037a5faac678bea523c"/>
            <w:id w:val="-590089665"/>
          </w:sdtPr>
          <w:sdtContent>
            <w:tc>
              <w:tcPr>
                <w:tcW w:w="3051" w:type="dxa"/>
                <w:gridSpan w:val="2"/>
                <w:tcBorders>
                  <w:top w:val="single" w:sz="4" w:space="0" w:color="auto"/>
                  <w:left w:val="single" w:sz="4" w:space="0" w:color="auto"/>
                  <w:bottom w:val="single" w:sz="4" w:space="0" w:color="auto"/>
                  <w:right w:val="single" w:sz="4" w:space="0" w:color="auto"/>
                </w:tcBorders>
                <w:vAlign w:val="center"/>
              </w:tcPr>
              <w:p w14:paraId="2F78E13C" w14:textId="77777777" w:rsidR="005E000F" w:rsidRDefault="00000000">
                <w:pPr>
                  <w:jc w:val="center"/>
                </w:pPr>
                <w:r>
                  <w:rPr>
                    <w:rFonts w:hint="eastAsia"/>
                  </w:rPr>
                  <w:t>期初余额</w:t>
                </w:r>
              </w:p>
            </w:tc>
          </w:sdtContent>
        </w:sdt>
      </w:tr>
      <w:tr w:rsidR="005E000F" w14:paraId="1FC083B6" w14:textId="77777777">
        <w:tc>
          <w:tcPr>
            <w:tcW w:w="1387" w:type="dxa"/>
            <w:vMerge/>
            <w:tcBorders>
              <w:left w:val="single" w:sz="4" w:space="0" w:color="auto"/>
              <w:bottom w:val="single" w:sz="4" w:space="0" w:color="auto"/>
              <w:right w:val="single" w:sz="4" w:space="0" w:color="auto"/>
            </w:tcBorders>
            <w:vAlign w:val="center"/>
          </w:tcPr>
          <w:p w14:paraId="133200D2" w14:textId="77777777" w:rsidR="005E000F" w:rsidRDefault="005E000F">
            <w:pPr>
              <w:jc w:val="center"/>
            </w:pPr>
          </w:p>
        </w:tc>
        <w:tc>
          <w:tcPr>
            <w:tcW w:w="1956" w:type="dxa"/>
            <w:vMerge/>
            <w:tcBorders>
              <w:left w:val="single" w:sz="4" w:space="0" w:color="auto"/>
              <w:bottom w:val="single" w:sz="4" w:space="0" w:color="auto"/>
              <w:right w:val="single" w:sz="4" w:space="0" w:color="auto"/>
            </w:tcBorders>
            <w:vAlign w:val="center"/>
          </w:tcPr>
          <w:p w14:paraId="0056361C" w14:textId="77777777" w:rsidR="005E000F" w:rsidRDefault="005E000F">
            <w:pPr>
              <w:jc w:val="center"/>
            </w:pPr>
          </w:p>
        </w:tc>
        <w:sdt>
          <w:sdtPr>
            <w:tag w:val="_PLD_0545f54235344f978e1e8356e1b05042"/>
            <w:id w:val="-952473384"/>
          </w:sdtPr>
          <w:sdtContent>
            <w:tc>
              <w:tcPr>
                <w:tcW w:w="1489" w:type="dxa"/>
                <w:tcBorders>
                  <w:top w:val="single" w:sz="4" w:space="0" w:color="auto"/>
                  <w:left w:val="single" w:sz="4" w:space="0" w:color="auto"/>
                  <w:bottom w:val="single" w:sz="4" w:space="0" w:color="auto"/>
                  <w:right w:val="single" w:sz="4" w:space="0" w:color="auto"/>
                </w:tcBorders>
                <w:vAlign w:val="center"/>
              </w:tcPr>
              <w:p w14:paraId="06667E08" w14:textId="77777777" w:rsidR="005E000F" w:rsidRDefault="00000000">
                <w:pPr>
                  <w:jc w:val="center"/>
                </w:pPr>
                <w:r>
                  <w:rPr>
                    <w:rFonts w:hint="eastAsia"/>
                  </w:rPr>
                  <w:t>账面余额</w:t>
                </w:r>
              </w:p>
            </w:tc>
          </w:sdtContent>
        </w:sdt>
        <w:sdt>
          <w:sdtPr>
            <w:tag w:val="_PLD_9e6982f3b5cd46e9b3be23eda364cd7a"/>
            <w:id w:val="-1891412346"/>
          </w:sdtPr>
          <w:sdtContent>
            <w:tc>
              <w:tcPr>
                <w:tcW w:w="1165" w:type="dxa"/>
                <w:tcBorders>
                  <w:top w:val="single" w:sz="4" w:space="0" w:color="auto"/>
                  <w:left w:val="single" w:sz="4" w:space="0" w:color="auto"/>
                  <w:bottom w:val="single" w:sz="4" w:space="0" w:color="auto"/>
                  <w:right w:val="single" w:sz="4" w:space="0" w:color="auto"/>
                </w:tcBorders>
                <w:vAlign w:val="center"/>
              </w:tcPr>
              <w:p w14:paraId="24FDB2AE" w14:textId="77777777" w:rsidR="005E000F" w:rsidRDefault="00000000">
                <w:pPr>
                  <w:jc w:val="center"/>
                </w:pPr>
                <w:r>
                  <w:rPr>
                    <w:rFonts w:hint="eastAsia"/>
                  </w:rPr>
                  <w:t>坏账准备</w:t>
                </w:r>
              </w:p>
            </w:tc>
          </w:sdtContent>
        </w:sdt>
        <w:sdt>
          <w:sdtPr>
            <w:tag w:val="_PLD_5c8e0a4ac99e4539bea932f77317d8de"/>
            <w:id w:val="-1577964070"/>
          </w:sdtPr>
          <w:sdtContent>
            <w:tc>
              <w:tcPr>
                <w:tcW w:w="1511" w:type="dxa"/>
                <w:tcBorders>
                  <w:top w:val="single" w:sz="4" w:space="0" w:color="auto"/>
                  <w:left w:val="single" w:sz="4" w:space="0" w:color="auto"/>
                  <w:bottom w:val="single" w:sz="4" w:space="0" w:color="auto"/>
                  <w:right w:val="single" w:sz="4" w:space="0" w:color="auto"/>
                </w:tcBorders>
                <w:vAlign w:val="center"/>
              </w:tcPr>
              <w:p w14:paraId="33BC80C9" w14:textId="77777777" w:rsidR="005E000F" w:rsidRDefault="00000000">
                <w:pPr>
                  <w:jc w:val="center"/>
                </w:pPr>
                <w:r>
                  <w:rPr>
                    <w:rFonts w:hint="eastAsia"/>
                  </w:rPr>
                  <w:t>账面余额</w:t>
                </w:r>
              </w:p>
            </w:tc>
          </w:sdtContent>
        </w:sdt>
        <w:sdt>
          <w:sdtPr>
            <w:tag w:val="_PLD_c5afa9908d794831a4bc715802a1061d"/>
            <w:id w:val="1394311024"/>
          </w:sdtPr>
          <w:sdtContent>
            <w:tc>
              <w:tcPr>
                <w:tcW w:w="1540" w:type="dxa"/>
                <w:tcBorders>
                  <w:top w:val="single" w:sz="4" w:space="0" w:color="auto"/>
                  <w:left w:val="single" w:sz="4" w:space="0" w:color="auto"/>
                  <w:bottom w:val="single" w:sz="4" w:space="0" w:color="auto"/>
                  <w:right w:val="single" w:sz="4" w:space="0" w:color="auto"/>
                </w:tcBorders>
                <w:vAlign w:val="center"/>
              </w:tcPr>
              <w:p w14:paraId="61A55BD2" w14:textId="77777777" w:rsidR="005E000F" w:rsidRDefault="00000000">
                <w:pPr>
                  <w:jc w:val="center"/>
                </w:pPr>
                <w:r>
                  <w:rPr>
                    <w:rFonts w:hint="eastAsia"/>
                  </w:rPr>
                  <w:t>坏账准备</w:t>
                </w:r>
              </w:p>
            </w:tc>
          </w:sdtContent>
        </w:sdt>
      </w:tr>
      <w:tr w:rsidR="005E000F" w14:paraId="7A83B004" w14:textId="77777777">
        <w:tc>
          <w:tcPr>
            <w:tcW w:w="1387" w:type="dxa"/>
            <w:tcBorders>
              <w:top w:val="single" w:sz="4" w:space="0" w:color="auto"/>
              <w:left w:val="single" w:sz="4" w:space="0" w:color="auto"/>
              <w:bottom w:val="single" w:sz="4" w:space="0" w:color="auto"/>
              <w:right w:val="single" w:sz="4" w:space="0" w:color="auto"/>
            </w:tcBorders>
          </w:tcPr>
          <w:p w14:paraId="37899504" w14:textId="77777777" w:rsidR="005E000F" w:rsidRDefault="00000000">
            <w:pPr>
              <w:autoSpaceDE w:val="0"/>
              <w:autoSpaceDN w:val="0"/>
              <w:adjustRightInd w:val="0"/>
              <w:rPr>
                <w:rFonts w:cs="宋体"/>
                <w:bCs/>
                <w:lang w:eastAsia="en-US"/>
              </w:rPr>
            </w:pPr>
            <w:r>
              <w:rPr>
                <w:rFonts w:cs="宋体" w:hint="eastAsia"/>
                <w:bCs/>
              </w:rPr>
              <w:t>应收账款</w:t>
            </w:r>
          </w:p>
        </w:tc>
        <w:tc>
          <w:tcPr>
            <w:tcW w:w="1956" w:type="dxa"/>
            <w:tcBorders>
              <w:top w:val="single" w:sz="4" w:space="0" w:color="auto"/>
              <w:left w:val="single" w:sz="4" w:space="0" w:color="auto"/>
              <w:bottom w:val="single" w:sz="4" w:space="0" w:color="auto"/>
              <w:right w:val="single" w:sz="4" w:space="0" w:color="auto"/>
            </w:tcBorders>
          </w:tcPr>
          <w:p w14:paraId="34268143" w14:textId="77777777" w:rsidR="005E000F" w:rsidRDefault="00000000">
            <w:pPr>
              <w:autoSpaceDE w:val="0"/>
              <w:autoSpaceDN w:val="0"/>
              <w:adjustRightInd w:val="0"/>
              <w:rPr>
                <w:rFonts w:cs="宋体"/>
                <w:bCs/>
              </w:rPr>
            </w:pPr>
            <w:r>
              <w:rPr>
                <w:rFonts w:cs="宋体" w:hint="eastAsia"/>
                <w:bCs/>
              </w:rPr>
              <w:t>国铁集团及其下属单位</w:t>
            </w:r>
          </w:p>
        </w:tc>
        <w:tc>
          <w:tcPr>
            <w:tcW w:w="1489" w:type="dxa"/>
            <w:tcBorders>
              <w:top w:val="single" w:sz="4" w:space="0" w:color="auto"/>
              <w:left w:val="single" w:sz="4" w:space="0" w:color="auto"/>
              <w:bottom w:val="single" w:sz="4" w:space="0" w:color="auto"/>
              <w:right w:val="single" w:sz="4" w:space="0" w:color="auto"/>
            </w:tcBorders>
            <w:vAlign w:val="center"/>
          </w:tcPr>
          <w:p w14:paraId="4439B3C4" w14:textId="77777777" w:rsidR="005E000F" w:rsidRDefault="00000000">
            <w:pPr>
              <w:autoSpaceDE w:val="0"/>
              <w:autoSpaceDN w:val="0"/>
              <w:adjustRightInd w:val="0"/>
              <w:jc w:val="right"/>
              <w:rPr>
                <w:rFonts w:cs="宋体"/>
                <w:bCs/>
              </w:rPr>
            </w:pPr>
            <w:r>
              <w:rPr>
                <w:rFonts w:cs="宋体"/>
                <w:bCs/>
              </w:rPr>
              <w:t>3,540,425,213</w:t>
            </w:r>
          </w:p>
        </w:tc>
        <w:tc>
          <w:tcPr>
            <w:tcW w:w="1165" w:type="dxa"/>
            <w:tcBorders>
              <w:top w:val="single" w:sz="4" w:space="0" w:color="auto"/>
              <w:left w:val="single" w:sz="4" w:space="0" w:color="auto"/>
              <w:bottom w:val="single" w:sz="4" w:space="0" w:color="auto"/>
              <w:right w:val="single" w:sz="4" w:space="0" w:color="auto"/>
            </w:tcBorders>
            <w:vAlign w:val="center"/>
          </w:tcPr>
          <w:p w14:paraId="74B24A87" w14:textId="77777777" w:rsidR="005E000F" w:rsidRDefault="00000000">
            <w:pPr>
              <w:autoSpaceDE w:val="0"/>
              <w:autoSpaceDN w:val="0"/>
              <w:adjustRightInd w:val="0"/>
              <w:jc w:val="right"/>
              <w:rPr>
                <w:rFonts w:cs="宋体"/>
                <w:bCs/>
              </w:rPr>
            </w:pPr>
            <w:r>
              <w:rPr>
                <w:rFonts w:cs="宋体"/>
                <w:bCs/>
              </w:rPr>
              <w:t>68,828,254</w:t>
            </w:r>
          </w:p>
        </w:tc>
        <w:tc>
          <w:tcPr>
            <w:tcW w:w="1511" w:type="dxa"/>
            <w:tcBorders>
              <w:top w:val="single" w:sz="4" w:space="0" w:color="auto"/>
              <w:left w:val="single" w:sz="4" w:space="0" w:color="auto"/>
              <w:bottom w:val="single" w:sz="4" w:space="0" w:color="auto"/>
              <w:right w:val="single" w:sz="4" w:space="0" w:color="auto"/>
            </w:tcBorders>
            <w:vAlign w:val="center"/>
          </w:tcPr>
          <w:p w14:paraId="76E2258F" w14:textId="77777777" w:rsidR="005E000F" w:rsidRDefault="00000000">
            <w:pPr>
              <w:autoSpaceDE w:val="0"/>
              <w:autoSpaceDN w:val="0"/>
              <w:adjustRightInd w:val="0"/>
              <w:jc w:val="right"/>
              <w:rPr>
                <w:rFonts w:cs="宋体"/>
                <w:bCs/>
                <w:lang w:eastAsia="en-US"/>
              </w:rPr>
            </w:pPr>
            <w:r>
              <w:rPr>
                <w:rFonts w:cs="宋体" w:hint="eastAsia"/>
                <w:bCs/>
              </w:rPr>
              <w:t>4,548,884,334</w:t>
            </w:r>
          </w:p>
        </w:tc>
        <w:tc>
          <w:tcPr>
            <w:tcW w:w="1540" w:type="dxa"/>
            <w:tcBorders>
              <w:top w:val="single" w:sz="4" w:space="0" w:color="auto"/>
              <w:left w:val="single" w:sz="4" w:space="0" w:color="auto"/>
              <w:bottom w:val="single" w:sz="4" w:space="0" w:color="auto"/>
              <w:right w:val="single" w:sz="4" w:space="0" w:color="auto"/>
            </w:tcBorders>
            <w:vAlign w:val="center"/>
          </w:tcPr>
          <w:p w14:paraId="5CC7DD5A" w14:textId="77777777" w:rsidR="005E000F" w:rsidRDefault="00000000">
            <w:pPr>
              <w:autoSpaceDE w:val="0"/>
              <w:autoSpaceDN w:val="0"/>
              <w:adjustRightInd w:val="0"/>
              <w:jc w:val="right"/>
              <w:rPr>
                <w:rFonts w:cs="宋体"/>
                <w:bCs/>
                <w:lang w:eastAsia="en-US"/>
              </w:rPr>
            </w:pPr>
            <w:r>
              <w:rPr>
                <w:rFonts w:cs="宋体" w:hint="eastAsia"/>
                <w:bCs/>
              </w:rPr>
              <w:t>123,286,053</w:t>
            </w:r>
          </w:p>
        </w:tc>
      </w:tr>
      <w:tr w:rsidR="005E000F" w14:paraId="4CBCAB8A" w14:textId="77777777">
        <w:tc>
          <w:tcPr>
            <w:tcW w:w="1387" w:type="dxa"/>
            <w:tcBorders>
              <w:top w:val="single" w:sz="4" w:space="0" w:color="auto"/>
              <w:left w:val="single" w:sz="4" w:space="0" w:color="auto"/>
              <w:bottom w:val="single" w:sz="4" w:space="0" w:color="auto"/>
              <w:right w:val="single" w:sz="4" w:space="0" w:color="auto"/>
            </w:tcBorders>
          </w:tcPr>
          <w:p w14:paraId="29047FFE" w14:textId="77777777" w:rsidR="005E000F" w:rsidRDefault="00000000">
            <w:pPr>
              <w:autoSpaceDE w:val="0"/>
              <w:autoSpaceDN w:val="0"/>
              <w:adjustRightInd w:val="0"/>
              <w:rPr>
                <w:rFonts w:cs="宋体"/>
                <w:bCs/>
                <w:lang w:eastAsia="en-US"/>
              </w:rPr>
            </w:pPr>
            <w:r>
              <w:rPr>
                <w:rFonts w:cs="宋体" w:hint="eastAsia"/>
                <w:bCs/>
              </w:rPr>
              <w:t>应收账款</w:t>
            </w:r>
          </w:p>
        </w:tc>
        <w:tc>
          <w:tcPr>
            <w:tcW w:w="1956" w:type="dxa"/>
            <w:tcBorders>
              <w:top w:val="single" w:sz="4" w:space="0" w:color="auto"/>
              <w:left w:val="single" w:sz="4" w:space="0" w:color="auto"/>
              <w:bottom w:val="single" w:sz="4" w:space="0" w:color="auto"/>
              <w:right w:val="single" w:sz="4" w:space="0" w:color="auto"/>
            </w:tcBorders>
          </w:tcPr>
          <w:p w14:paraId="2CAEF48A" w14:textId="77777777" w:rsidR="005E000F" w:rsidRDefault="00000000">
            <w:pPr>
              <w:autoSpaceDE w:val="0"/>
              <w:autoSpaceDN w:val="0"/>
              <w:adjustRightInd w:val="0"/>
              <w:rPr>
                <w:rFonts w:cs="宋体"/>
                <w:bCs/>
              </w:rPr>
            </w:pPr>
            <w:r>
              <w:rPr>
                <w:rFonts w:cs="宋体" w:hint="eastAsia"/>
                <w:bCs/>
              </w:rPr>
              <w:t>其中：太原局集团公司及其下属单位</w:t>
            </w:r>
          </w:p>
        </w:tc>
        <w:tc>
          <w:tcPr>
            <w:tcW w:w="1489" w:type="dxa"/>
            <w:tcBorders>
              <w:top w:val="single" w:sz="4" w:space="0" w:color="auto"/>
              <w:left w:val="single" w:sz="4" w:space="0" w:color="auto"/>
              <w:bottom w:val="single" w:sz="4" w:space="0" w:color="auto"/>
              <w:right w:val="single" w:sz="4" w:space="0" w:color="auto"/>
            </w:tcBorders>
            <w:vAlign w:val="center"/>
          </w:tcPr>
          <w:p w14:paraId="4EE80DA0" w14:textId="77777777" w:rsidR="005E000F" w:rsidRDefault="00000000">
            <w:pPr>
              <w:autoSpaceDE w:val="0"/>
              <w:autoSpaceDN w:val="0"/>
              <w:adjustRightInd w:val="0"/>
              <w:jc w:val="right"/>
              <w:rPr>
                <w:rFonts w:cs="宋体"/>
                <w:bCs/>
              </w:rPr>
            </w:pPr>
            <w:r>
              <w:rPr>
                <w:rFonts w:cs="宋体"/>
                <w:bCs/>
              </w:rPr>
              <w:t>2,528,822,036</w:t>
            </w:r>
          </w:p>
        </w:tc>
        <w:tc>
          <w:tcPr>
            <w:tcW w:w="1165" w:type="dxa"/>
            <w:tcBorders>
              <w:top w:val="single" w:sz="4" w:space="0" w:color="auto"/>
              <w:left w:val="single" w:sz="4" w:space="0" w:color="auto"/>
              <w:bottom w:val="single" w:sz="4" w:space="0" w:color="auto"/>
              <w:right w:val="single" w:sz="4" w:space="0" w:color="auto"/>
            </w:tcBorders>
            <w:vAlign w:val="center"/>
          </w:tcPr>
          <w:p w14:paraId="375F9582" w14:textId="77777777" w:rsidR="005E000F" w:rsidRDefault="00000000">
            <w:pPr>
              <w:autoSpaceDE w:val="0"/>
              <w:autoSpaceDN w:val="0"/>
              <w:adjustRightInd w:val="0"/>
              <w:jc w:val="right"/>
              <w:rPr>
                <w:rFonts w:cs="宋体"/>
                <w:bCs/>
              </w:rPr>
            </w:pPr>
            <w:r>
              <w:rPr>
                <w:rFonts w:cs="宋体"/>
                <w:bCs/>
              </w:rPr>
              <w:t>57,928,375</w:t>
            </w:r>
          </w:p>
        </w:tc>
        <w:tc>
          <w:tcPr>
            <w:tcW w:w="1511" w:type="dxa"/>
            <w:tcBorders>
              <w:top w:val="single" w:sz="4" w:space="0" w:color="auto"/>
              <w:left w:val="single" w:sz="4" w:space="0" w:color="auto"/>
              <w:bottom w:val="single" w:sz="4" w:space="0" w:color="auto"/>
              <w:right w:val="single" w:sz="4" w:space="0" w:color="auto"/>
            </w:tcBorders>
            <w:vAlign w:val="center"/>
          </w:tcPr>
          <w:p w14:paraId="68F762A8" w14:textId="77777777" w:rsidR="005E000F" w:rsidRDefault="00000000">
            <w:pPr>
              <w:autoSpaceDE w:val="0"/>
              <w:autoSpaceDN w:val="0"/>
              <w:adjustRightInd w:val="0"/>
              <w:jc w:val="right"/>
              <w:rPr>
                <w:rFonts w:cs="宋体"/>
                <w:bCs/>
                <w:lang w:eastAsia="en-US"/>
              </w:rPr>
            </w:pPr>
            <w:r>
              <w:rPr>
                <w:rFonts w:cs="宋体" w:hint="eastAsia"/>
                <w:bCs/>
              </w:rPr>
              <w:t>2,820,965,261</w:t>
            </w:r>
          </w:p>
        </w:tc>
        <w:tc>
          <w:tcPr>
            <w:tcW w:w="1540" w:type="dxa"/>
            <w:tcBorders>
              <w:top w:val="single" w:sz="4" w:space="0" w:color="auto"/>
              <w:left w:val="single" w:sz="4" w:space="0" w:color="auto"/>
              <w:bottom w:val="single" w:sz="4" w:space="0" w:color="auto"/>
              <w:right w:val="single" w:sz="4" w:space="0" w:color="auto"/>
            </w:tcBorders>
            <w:vAlign w:val="center"/>
          </w:tcPr>
          <w:p w14:paraId="7590BD57" w14:textId="77777777" w:rsidR="005E000F" w:rsidRDefault="00000000">
            <w:pPr>
              <w:autoSpaceDE w:val="0"/>
              <w:autoSpaceDN w:val="0"/>
              <w:adjustRightInd w:val="0"/>
              <w:jc w:val="right"/>
              <w:rPr>
                <w:rFonts w:cs="宋体"/>
                <w:bCs/>
                <w:lang w:eastAsia="en-US"/>
              </w:rPr>
            </w:pPr>
            <w:r>
              <w:rPr>
                <w:rFonts w:cs="宋体" w:hint="eastAsia"/>
                <w:bCs/>
              </w:rPr>
              <w:t>112,979,209</w:t>
            </w:r>
          </w:p>
        </w:tc>
      </w:tr>
      <w:tr w:rsidR="005E000F" w14:paraId="5E2036AC" w14:textId="77777777">
        <w:tc>
          <w:tcPr>
            <w:tcW w:w="1387" w:type="dxa"/>
            <w:tcBorders>
              <w:top w:val="single" w:sz="4" w:space="0" w:color="auto"/>
              <w:left w:val="single" w:sz="4" w:space="0" w:color="auto"/>
              <w:bottom w:val="single" w:sz="4" w:space="0" w:color="auto"/>
              <w:right w:val="single" w:sz="4" w:space="0" w:color="auto"/>
            </w:tcBorders>
          </w:tcPr>
          <w:p w14:paraId="7D0DAD90" w14:textId="77777777" w:rsidR="005E000F" w:rsidRDefault="00000000">
            <w:pPr>
              <w:autoSpaceDE w:val="0"/>
              <w:autoSpaceDN w:val="0"/>
              <w:adjustRightInd w:val="0"/>
              <w:rPr>
                <w:rFonts w:cs="宋体"/>
                <w:bCs/>
                <w:lang w:eastAsia="en-US"/>
              </w:rPr>
            </w:pPr>
            <w:r>
              <w:rPr>
                <w:rFonts w:cs="宋体" w:hint="eastAsia"/>
                <w:bCs/>
              </w:rPr>
              <w:t>其他应收款</w:t>
            </w:r>
          </w:p>
        </w:tc>
        <w:tc>
          <w:tcPr>
            <w:tcW w:w="1956" w:type="dxa"/>
            <w:tcBorders>
              <w:top w:val="single" w:sz="4" w:space="0" w:color="auto"/>
              <w:left w:val="single" w:sz="4" w:space="0" w:color="auto"/>
              <w:bottom w:val="single" w:sz="4" w:space="0" w:color="auto"/>
              <w:right w:val="single" w:sz="4" w:space="0" w:color="auto"/>
            </w:tcBorders>
          </w:tcPr>
          <w:p w14:paraId="10C864C0" w14:textId="77777777" w:rsidR="005E000F" w:rsidRDefault="00000000">
            <w:pPr>
              <w:autoSpaceDE w:val="0"/>
              <w:autoSpaceDN w:val="0"/>
              <w:adjustRightInd w:val="0"/>
              <w:rPr>
                <w:rFonts w:cs="宋体"/>
                <w:bCs/>
              </w:rPr>
            </w:pPr>
            <w:r>
              <w:rPr>
                <w:rFonts w:cs="宋体" w:hint="eastAsia"/>
                <w:bCs/>
              </w:rPr>
              <w:t>国铁集团及其下属单位</w:t>
            </w:r>
          </w:p>
        </w:tc>
        <w:tc>
          <w:tcPr>
            <w:tcW w:w="1489" w:type="dxa"/>
            <w:tcBorders>
              <w:top w:val="single" w:sz="4" w:space="0" w:color="auto"/>
              <w:left w:val="single" w:sz="4" w:space="0" w:color="auto"/>
              <w:bottom w:val="single" w:sz="4" w:space="0" w:color="auto"/>
              <w:right w:val="single" w:sz="4" w:space="0" w:color="auto"/>
            </w:tcBorders>
            <w:vAlign w:val="center"/>
          </w:tcPr>
          <w:p w14:paraId="72CDE1E7" w14:textId="77777777" w:rsidR="005E000F" w:rsidRDefault="00000000">
            <w:pPr>
              <w:autoSpaceDE w:val="0"/>
              <w:autoSpaceDN w:val="0"/>
              <w:adjustRightInd w:val="0"/>
              <w:jc w:val="right"/>
              <w:rPr>
                <w:rFonts w:cs="宋体"/>
                <w:bCs/>
              </w:rPr>
            </w:pPr>
            <w:r>
              <w:rPr>
                <w:rFonts w:cs="宋体"/>
                <w:bCs/>
              </w:rPr>
              <w:t>3,692,177,7</w:t>
            </w:r>
            <w:r>
              <w:rPr>
                <w:rFonts w:cs="宋体" w:hint="eastAsia"/>
                <w:bCs/>
              </w:rPr>
              <w:t>70</w:t>
            </w:r>
          </w:p>
        </w:tc>
        <w:tc>
          <w:tcPr>
            <w:tcW w:w="1165" w:type="dxa"/>
            <w:tcBorders>
              <w:top w:val="single" w:sz="4" w:space="0" w:color="auto"/>
              <w:left w:val="single" w:sz="4" w:space="0" w:color="auto"/>
              <w:bottom w:val="single" w:sz="4" w:space="0" w:color="auto"/>
              <w:right w:val="single" w:sz="4" w:space="0" w:color="auto"/>
            </w:tcBorders>
            <w:vAlign w:val="center"/>
          </w:tcPr>
          <w:p w14:paraId="5F60580C" w14:textId="77777777" w:rsidR="005E000F" w:rsidRDefault="00000000">
            <w:pPr>
              <w:autoSpaceDE w:val="0"/>
              <w:autoSpaceDN w:val="0"/>
              <w:adjustRightInd w:val="0"/>
              <w:jc w:val="right"/>
              <w:rPr>
                <w:rFonts w:cs="宋体"/>
                <w:bCs/>
              </w:rPr>
            </w:pPr>
            <w:r>
              <w:rPr>
                <w:rFonts w:cs="宋体" w:hint="eastAsia"/>
                <w:bCs/>
              </w:rPr>
              <w:t>0</w:t>
            </w:r>
          </w:p>
        </w:tc>
        <w:tc>
          <w:tcPr>
            <w:tcW w:w="1511" w:type="dxa"/>
            <w:tcBorders>
              <w:top w:val="single" w:sz="4" w:space="0" w:color="auto"/>
              <w:left w:val="single" w:sz="4" w:space="0" w:color="auto"/>
              <w:bottom w:val="single" w:sz="4" w:space="0" w:color="auto"/>
              <w:right w:val="single" w:sz="4" w:space="0" w:color="auto"/>
            </w:tcBorders>
            <w:vAlign w:val="center"/>
          </w:tcPr>
          <w:p w14:paraId="0E1EAB64" w14:textId="77777777" w:rsidR="005E000F" w:rsidRDefault="00000000">
            <w:pPr>
              <w:autoSpaceDE w:val="0"/>
              <w:autoSpaceDN w:val="0"/>
              <w:adjustRightInd w:val="0"/>
              <w:jc w:val="right"/>
              <w:rPr>
                <w:rFonts w:cs="宋体"/>
                <w:bCs/>
                <w:lang w:eastAsia="en-US"/>
              </w:rPr>
            </w:pPr>
            <w:r>
              <w:rPr>
                <w:rFonts w:cs="宋体" w:hint="eastAsia"/>
                <w:bCs/>
              </w:rPr>
              <w:t>1,775,925,709</w:t>
            </w:r>
          </w:p>
        </w:tc>
        <w:tc>
          <w:tcPr>
            <w:tcW w:w="1540" w:type="dxa"/>
            <w:tcBorders>
              <w:top w:val="single" w:sz="4" w:space="0" w:color="auto"/>
              <w:left w:val="single" w:sz="4" w:space="0" w:color="auto"/>
              <w:bottom w:val="single" w:sz="4" w:space="0" w:color="auto"/>
              <w:right w:val="single" w:sz="4" w:space="0" w:color="auto"/>
            </w:tcBorders>
            <w:vAlign w:val="center"/>
          </w:tcPr>
          <w:p w14:paraId="49A1C570" w14:textId="77777777" w:rsidR="005E000F" w:rsidRDefault="00000000">
            <w:pPr>
              <w:autoSpaceDE w:val="0"/>
              <w:autoSpaceDN w:val="0"/>
              <w:adjustRightInd w:val="0"/>
              <w:jc w:val="right"/>
              <w:rPr>
                <w:rFonts w:cs="宋体"/>
                <w:bCs/>
                <w:lang w:eastAsia="en-US"/>
              </w:rPr>
            </w:pPr>
            <w:r>
              <w:rPr>
                <w:rFonts w:cs="宋体" w:hint="eastAsia"/>
                <w:bCs/>
              </w:rPr>
              <w:t>0</w:t>
            </w:r>
          </w:p>
        </w:tc>
      </w:tr>
      <w:tr w:rsidR="005E000F" w14:paraId="358D6F40" w14:textId="77777777">
        <w:tc>
          <w:tcPr>
            <w:tcW w:w="1387" w:type="dxa"/>
            <w:tcBorders>
              <w:top w:val="single" w:sz="4" w:space="0" w:color="auto"/>
              <w:left w:val="single" w:sz="4" w:space="0" w:color="auto"/>
              <w:bottom w:val="single" w:sz="4" w:space="0" w:color="auto"/>
              <w:right w:val="single" w:sz="4" w:space="0" w:color="auto"/>
            </w:tcBorders>
          </w:tcPr>
          <w:p w14:paraId="14DE4E49" w14:textId="77777777" w:rsidR="005E000F" w:rsidRDefault="00000000">
            <w:pPr>
              <w:autoSpaceDE w:val="0"/>
              <w:autoSpaceDN w:val="0"/>
              <w:adjustRightInd w:val="0"/>
              <w:rPr>
                <w:rFonts w:cs="宋体"/>
                <w:bCs/>
                <w:lang w:eastAsia="en-US"/>
              </w:rPr>
            </w:pPr>
            <w:r>
              <w:rPr>
                <w:rFonts w:cs="宋体" w:hint="eastAsia"/>
                <w:bCs/>
              </w:rPr>
              <w:t>其他应收款</w:t>
            </w:r>
          </w:p>
        </w:tc>
        <w:tc>
          <w:tcPr>
            <w:tcW w:w="1956" w:type="dxa"/>
            <w:tcBorders>
              <w:top w:val="single" w:sz="4" w:space="0" w:color="auto"/>
              <w:left w:val="single" w:sz="4" w:space="0" w:color="auto"/>
              <w:bottom w:val="single" w:sz="4" w:space="0" w:color="auto"/>
              <w:right w:val="single" w:sz="4" w:space="0" w:color="auto"/>
            </w:tcBorders>
          </w:tcPr>
          <w:p w14:paraId="2F6E0C47" w14:textId="77777777" w:rsidR="005E000F" w:rsidRDefault="00000000">
            <w:pPr>
              <w:autoSpaceDE w:val="0"/>
              <w:autoSpaceDN w:val="0"/>
              <w:adjustRightInd w:val="0"/>
              <w:rPr>
                <w:rFonts w:cs="宋体"/>
                <w:bCs/>
              </w:rPr>
            </w:pPr>
            <w:r>
              <w:rPr>
                <w:rFonts w:cs="宋体" w:hint="eastAsia"/>
                <w:bCs/>
              </w:rPr>
              <w:t>其中：太原局集团公司及其下属单位</w:t>
            </w:r>
          </w:p>
        </w:tc>
        <w:tc>
          <w:tcPr>
            <w:tcW w:w="1489" w:type="dxa"/>
            <w:tcBorders>
              <w:top w:val="single" w:sz="4" w:space="0" w:color="auto"/>
              <w:left w:val="single" w:sz="4" w:space="0" w:color="auto"/>
              <w:bottom w:val="single" w:sz="4" w:space="0" w:color="auto"/>
              <w:right w:val="single" w:sz="4" w:space="0" w:color="auto"/>
            </w:tcBorders>
            <w:vAlign w:val="center"/>
          </w:tcPr>
          <w:p w14:paraId="2BD9DDC1" w14:textId="77777777" w:rsidR="005E000F" w:rsidRDefault="00000000">
            <w:pPr>
              <w:autoSpaceDE w:val="0"/>
              <w:autoSpaceDN w:val="0"/>
              <w:adjustRightInd w:val="0"/>
              <w:jc w:val="right"/>
              <w:rPr>
                <w:rFonts w:cs="宋体"/>
                <w:bCs/>
              </w:rPr>
            </w:pPr>
            <w:r>
              <w:rPr>
                <w:rFonts w:cs="宋体"/>
                <w:bCs/>
              </w:rPr>
              <w:t>3,692,177,7</w:t>
            </w:r>
            <w:r>
              <w:rPr>
                <w:rFonts w:cs="宋体" w:hint="eastAsia"/>
                <w:bCs/>
              </w:rPr>
              <w:t>70</w:t>
            </w:r>
          </w:p>
        </w:tc>
        <w:tc>
          <w:tcPr>
            <w:tcW w:w="1165" w:type="dxa"/>
            <w:tcBorders>
              <w:top w:val="single" w:sz="4" w:space="0" w:color="auto"/>
              <w:left w:val="single" w:sz="4" w:space="0" w:color="auto"/>
              <w:bottom w:val="single" w:sz="4" w:space="0" w:color="auto"/>
              <w:right w:val="single" w:sz="4" w:space="0" w:color="auto"/>
            </w:tcBorders>
            <w:vAlign w:val="center"/>
          </w:tcPr>
          <w:p w14:paraId="601D0669" w14:textId="77777777" w:rsidR="005E000F" w:rsidRDefault="00000000">
            <w:pPr>
              <w:autoSpaceDE w:val="0"/>
              <w:autoSpaceDN w:val="0"/>
              <w:adjustRightInd w:val="0"/>
              <w:jc w:val="right"/>
              <w:rPr>
                <w:rFonts w:cs="宋体"/>
                <w:bCs/>
              </w:rPr>
            </w:pPr>
            <w:r>
              <w:rPr>
                <w:rFonts w:cs="宋体" w:hint="eastAsia"/>
                <w:bCs/>
              </w:rPr>
              <w:t>0</w:t>
            </w:r>
          </w:p>
        </w:tc>
        <w:tc>
          <w:tcPr>
            <w:tcW w:w="1511" w:type="dxa"/>
            <w:tcBorders>
              <w:top w:val="single" w:sz="4" w:space="0" w:color="auto"/>
              <w:left w:val="single" w:sz="4" w:space="0" w:color="auto"/>
              <w:bottom w:val="single" w:sz="4" w:space="0" w:color="auto"/>
              <w:right w:val="single" w:sz="4" w:space="0" w:color="auto"/>
            </w:tcBorders>
            <w:vAlign w:val="center"/>
          </w:tcPr>
          <w:p w14:paraId="548BC70E" w14:textId="77777777" w:rsidR="005E000F" w:rsidRDefault="00000000">
            <w:pPr>
              <w:autoSpaceDE w:val="0"/>
              <w:autoSpaceDN w:val="0"/>
              <w:adjustRightInd w:val="0"/>
              <w:jc w:val="right"/>
              <w:rPr>
                <w:rFonts w:cs="宋体"/>
                <w:bCs/>
                <w:lang w:eastAsia="en-US"/>
              </w:rPr>
            </w:pPr>
            <w:r>
              <w:rPr>
                <w:rFonts w:cs="宋体" w:hint="eastAsia"/>
                <w:bCs/>
              </w:rPr>
              <w:t>1,775,925,709</w:t>
            </w:r>
          </w:p>
        </w:tc>
        <w:tc>
          <w:tcPr>
            <w:tcW w:w="1540" w:type="dxa"/>
            <w:tcBorders>
              <w:top w:val="single" w:sz="4" w:space="0" w:color="auto"/>
              <w:left w:val="single" w:sz="4" w:space="0" w:color="auto"/>
              <w:bottom w:val="single" w:sz="4" w:space="0" w:color="auto"/>
              <w:right w:val="single" w:sz="4" w:space="0" w:color="auto"/>
            </w:tcBorders>
            <w:vAlign w:val="center"/>
          </w:tcPr>
          <w:p w14:paraId="116046EB" w14:textId="77777777" w:rsidR="005E000F" w:rsidRDefault="00000000">
            <w:pPr>
              <w:autoSpaceDE w:val="0"/>
              <w:autoSpaceDN w:val="0"/>
              <w:adjustRightInd w:val="0"/>
              <w:jc w:val="right"/>
              <w:rPr>
                <w:rFonts w:cs="宋体"/>
                <w:bCs/>
                <w:lang w:eastAsia="en-US"/>
              </w:rPr>
            </w:pPr>
            <w:r>
              <w:rPr>
                <w:rFonts w:cs="宋体" w:hint="eastAsia"/>
                <w:bCs/>
              </w:rPr>
              <w:t>0</w:t>
            </w:r>
          </w:p>
        </w:tc>
      </w:tr>
      <w:tr w:rsidR="005E000F" w14:paraId="35C26637" w14:textId="77777777">
        <w:tc>
          <w:tcPr>
            <w:tcW w:w="1387" w:type="dxa"/>
            <w:tcBorders>
              <w:top w:val="single" w:sz="4" w:space="0" w:color="auto"/>
              <w:left w:val="single" w:sz="4" w:space="0" w:color="auto"/>
              <w:bottom w:val="single" w:sz="4" w:space="0" w:color="auto"/>
              <w:right w:val="single" w:sz="4" w:space="0" w:color="auto"/>
            </w:tcBorders>
          </w:tcPr>
          <w:p w14:paraId="0DF1C7D7" w14:textId="77777777" w:rsidR="005E000F" w:rsidRDefault="00000000">
            <w:pPr>
              <w:autoSpaceDE w:val="0"/>
              <w:autoSpaceDN w:val="0"/>
              <w:adjustRightInd w:val="0"/>
              <w:rPr>
                <w:rFonts w:cs="宋体"/>
                <w:bCs/>
                <w:lang w:eastAsia="en-US"/>
              </w:rPr>
            </w:pPr>
            <w:r>
              <w:rPr>
                <w:rFonts w:cs="宋体" w:hint="eastAsia"/>
                <w:bCs/>
              </w:rPr>
              <w:t>其他应收款</w:t>
            </w:r>
          </w:p>
        </w:tc>
        <w:tc>
          <w:tcPr>
            <w:tcW w:w="1956" w:type="dxa"/>
            <w:tcBorders>
              <w:top w:val="single" w:sz="4" w:space="0" w:color="auto"/>
              <w:left w:val="single" w:sz="4" w:space="0" w:color="auto"/>
              <w:bottom w:val="single" w:sz="4" w:space="0" w:color="auto"/>
              <w:right w:val="single" w:sz="4" w:space="0" w:color="auto"/>
            </w:tcBorders>
          </w:tcPr>
          <w:p w14:paraId="0F8C3190" w14:textId="77777777" w:rsidR="005E000F" w:rsidRDefault="00000000">
            <w:pPr>
              <w:autoSpaceDE w:val="0"/>
              <w:autoSpaceDN w:val="0"/>
              <w:adjustRightInd w:val="0"/>
              <w:rPr>
                <w:rFonts w:cs="宋体"/>
                <w:bCs/>
                <w:lang w:eastAsia="en-US"/>
              </w:rPr>
            </w:pPr>
            <w:r>
              <w:rPr>
                <w:rFonts w:cs="宋体" w:hint="eastAsia"/>
                <w:bCs/>
              </w:rPr>
              <w:t>公司之联营企业</w:t>
            </w:r>
          </w:p>
        </w:tc>
        <w:tc>
          <w:tcPr>
            <w:tcW w:w="1489" w:type="dxa"/>
            <w:tcBorders>
              <w:top w:val="single" w:sz="4" w:space="0" w:color="auto"/>
              <w:left w:val="single" w:sz="4" w:space="0" w:color="auto"/>
              <w:bottom w:val="single" w:sz="4" w:space="0" w:color="auto"/>
              <w:right w:val="single" w:sz="4" w:space="0" w:color="auto"/>
            </w:tcBorders>
            <w:vAlign w:val="center"/>
          </w:tcPr>
          <w:p w14:paraId="10562C78" w14:textId="77777777" w:rsidR="005E000F" w:rsidRDefault="00000000">
            <w:pPr>
              <w:autoSpaceDE w:val="0"/>
              <w:autoSpaceDN w:val="0"/>
              <w:adjustRightInd w:val="0"/>
              <w:jc w:val="right"/>
              <w:rPr>
                <w:rFonts w:cs="宋体"/>
                <w:bCs/>
              </w:rPr>
            </w:pPr>
            <w:r>
              <w:rPr>
                <w:rFonts w:cs="宋体" w:hint="eastAsia"/>
                <w:bCs/>
              </w:rPr>
              <w:t>0</w:t>
            </w:r>
          </w:p>
        </w:tc>
        <w:tc>
          <w:tcPr>
            <w:tcW w:w="1165" w:type="dxa"/>
            <w:tcBorders>
              <w:top w:val="single" w:sz="4" w:space="0" w:color="auto"/>
              <w:left w:val="single" w:sz="4" w:space="0" w:color="auto"/>
              <w:bottom w:val="single" w:sz="4" w:space="0" w:color="auto"/>
              <w:right w:val="single" w:sz="4" w:space="0" w:color="auto"/>
            </w:tcBorders>
            <w:vAlign w:val="center"/>
          </w:tcPr>
          <w:p w14:paraId="54F4B230" w14:textId="77777777" w:rsidR="005E000F" w:rsidRDefault="00000000">
            <w:pPr>
              <w:autoSpaceDE w:val="0"/>
              <w:autoSpaceDN w:val="0"/>
              <w:adjustRightInd w:val="0"/>
              <w:jc w:val="right"/>
              <w:rPr>
                <w:rFonts w:cs="宋体"/>
                <w:bCs/>
              </w:rPr>
            </w:pPr>
            <w:r>
              <w:rPr>
                <w:rFonts w:cs="宋体" w:hint="eastAsia"/>
                <w:bCs/>
              </w:rPr>
              <w:t>0</w:t>
            </w:r>
          </w:p>
        </w:tc>
        <w:tc>
          <w:tcPr>
            <w:tcW w:w="1511" w:type="dxa"/>
            <w:tcBorders>
              <w:top w:val="single" w:sz="4" w:space="0" w:color="auto"/>
              <w:left w:val="single" w:sz="4" w:space="0" w:color="auto"/>
              <w:bottom w:val="single" w:sz="4" w:space="0" w:color="auto"/>
              <w:right w:val="single" w:sz="4" w:space="0" w:color="auto"/>
            </w:tcBorders>
            <w:vAlign w:val="center"/>
          </w:tcPr>
          <w:p w14:paraId="4A64B6ED" w14:textId="77777777" w:rsidR="005E000F" w:rsidRDefault="00000000">
            <w:pPr>
              <w:autoSpaceDE w:val="0"/>
              <w:autoSpaceDN w:val="0"/>
              <w:adjustRightInd w:val="0"/>
              <w:jc w:val="right"/>
              <w:rPr>
                <w:rFonts w:cs="宋体"/>
                <w:bCs/>
                <w:lang w:eastAsia="en-US"/>
              </w:rPr>
            </w:pPr>
            <w:r>
              <w:rPr>
                <w:rFonts w:cs="宋体" w:hint="eastAsia"/>
                <w:bCs/>
              </w:rPr>
              <w:t>2,433,551,412</w:t>
            </w:r>
          </w:p>
        </w:tc>
        <w:tc>
          <w:tcPr>
            <w:tcW w:w="1540" w:type="dxa"/>
            <w:tcBorders>
              <w:top w:val="single" w:sz="4" w:space="0" w:color="auto"/>
              <w:left w:val="single" w:sz="4" w:space="0" w:color="auto"/>
              <w:bottom w:val="single" w:sz="4" w:space="0" w:color="auto"/>
              <w:right w:val="single" w:sz="4" w:space="0" w:color="auto"/>
            </w:tcBorders>
            <w:vAlign w:val="center"/>
          </w:tcPr>
          <w:p w14:paraId="14CA739F" w14:textId="77777777" w:rsidR="005E000F" w:rsidRDefault="00000000">
            <w:pPr>
              <w:autoSpaceDE w:val="0"/>
              <w:autoSpaceDN w:val="0"/>
              <w:adjustRightInd w:val="0"/>
              <w:jc w:val="right"/>
              <w:rPr>
                <w:rFonts w:cs="宋体"/>
                <w:bCs/>
                <w:lang w:eastAsia="en-US"/>
              </w:rPr>
            </w:pPr>
            <w:r>
              <w:rPr>
                <w:rFonts w:cs="宋体" w:hint="eastAsia"/>
                <w:bCs/>
              </w:rPr>
              <w:t>0</w:t>
            </w:r>
          </w:p>
        </w:tc>
      </w:tr>
      <w:tr w:rsidR="005E000F" w14:paraId="76BE6A52" w14:textId="77777777">
        <w:tc>
          <w:tcPr>
            <w:tcW w:w="1387" w:type="dxa"/>
            <w:tcBorders>
              <w:top w:val="single" w:sz="4" w:space="0" w:color="auto"/>
              <w:left w:val="single" w:sz="4" w:space="0" w:color="auto"/>
              <w:bottom w:val="single" w:sz="4" w:space="0" w:color="auto"/>
              <w:right w:val="single" w:sz="4" w:space="0" w:color="auto"/>
            </w:tcBorders>
          </w:tcPr>
          <w:p w14:paraId="7DD82272" w14:textId="77777777" w:rsidR="005E000F" w:rsidRDefault="00000000">
            <w:pPr>
              <w:autoSpaceDE w:val="0"/>
              <w:autoSpaceDN w:val="0"/>
              <w:adjustRightInd w:val="0"/>
              <w:rPr>
                <w:rFonts w:cs="宋体"/>
                <w:bCs/>
                <w:lang w:eastAsia="en-US"/>
              </w:rPr>
            </w:pPr>
            <w:r>
              <w:rPr>
                <w:rFonts w:cs="宋体" w:hint="eastAsia"/>
                <w:bCs/>
              </w:rPr>
              <w:t>其他应收款</w:t>
            </w:r>
          </w:p>
        </w:tc>
        <w:tc>
          <w:tcPr>
            <w:tcW w:w="1956" w:type="dxa"/>
            <w:tcBorders>
              <w:top w:val="single" w:sz="4" w:space="0" w:color="auto"/>
              <w:left w:val="single" w:sz="4" w:space="0" w:color="auto"/>
              <w:bottom w:val="single" w:sz="4" w:space="0" w:color="auto"/>
              <w:right w:val="single" w:sz="4" w:space="0" w:color="auto"/>
            </w:tcBorders>
          </w:tcPr>
          <w:p w14:paraId="67AE60C7" w14:textId="77777777" w:rsidR="005E000F" w:rsidRDefault="00000000">
            <w:pPr>
              <w:autoSpaceDE w:val="0"/>
              <w:autoSpaceDN w:val="0"/>
              <w:adjustRightInd w:val="0"/>
              <w:rPr>
                <w:rFonts w:cs="宋体"/>
                <w:bCs/>
                <w:lang w:eastAsia="en-US"/>
              </w:rPr>
            </w:pPr>
            <w:r>
              <w:rPr>
                <w:rFonts w:cs="宋体" w:hint="eastAsia"/>
                <w:bCs/>
              </w:rPr>
              <w:t>公司之合营企业</w:t>
            </w:r>
          </w:p>
        </w:tc>
        <w:tc>
          <w:tcPr>
            <w:tcW w:w="1489" w:type="dxa"/>
            <w:tcBorders>
              <w:top w:val="single" w:sz="4" w:space="0" w:color="auto"/>
              <w:left w:val="single" w:sz="4" w:space="0" w:color="auto"/>
              <w:bottom w:val="single" w:sz="4" w:space="0" w:color="auto"/>
              <w:right w:val="single" w:sz="4" w:space="0" w:color="auto"/>
            </w:tcBorders>
            <w:vAlign w:val="center"/>
          </w:tcPr>
          <w:p w14:paraId="27C3ABC1" w14:textId="77777777" w:rsidR="005E000F" w:rsidRDefault="00000000">
            <w:pPr>
              <w:autoSpaceDE w:val="0"/>
              <w:autoSpaceDN w:val="0"/>
              <w:adjustRightInd w:val="0"/>
              <w:jc w:val="right"/>
              <w:rPr>
                <w:rFonts w:cs="宋体"/>
                <w:bCs/>
              </w:rPr>
            </w:pPr>
            <w:r>
              <w:rPr>
                <w:rFonts w:cs="宋体" w:hint="eastAsia"/>
                <w:bCs/>
              </w:rPr>
              <w:t>0</w:t>
            </w:r>
          </w:p>
        </w:tc>
        <w:tc>
          <w:tcPr>
            <w:tcW w:w="1165" w:type="dxa"/>
            <w:tcBorders>
              <w:top w:val="single" w:sz="4" w:space="0" w:color="auto"/>
              <w:left w:val="single" w:sz="4" w:space="0" w:color="auto"/>
              <w:bottom w:val="single" w:sz="4" w:space="0" w:color="auto"/>
              <w:right w:val="single" w:sz="4" w:space="0" w:color="auto"/>
            </w:tcBorders>
            <w:vAlign w:val="center"/>
          </w:tcPr>
          <w:p w14:paraId="18A0CF73" w14:textId="77777777" w:rsidR="005E000F" w:rsidRDefault="00000000">
            <w:pPr>
              <w:autoSpaceDE w:val="0"/>
              <w:autoSpaceDN w:val="0"/>
              <w:adjustRightInd w:val="0"/>
              <w:jc w:val="right"/>
              <w:rPr>
                <w:rFonts w:cs="宋体"/>
                <w:bCs/>
              </w:rPr>
            </w:pPr>
            <w:r>
              <w:rPr>
                <w:rFonts w:cs="宋体" w:hint="eastAsia"/>
                <w:bCs/>
              </w:rPr>
              <w:t>0</w:t>
            </w:r>
          </w:p>
        </w:tc>
        <w:tc>
          <w:tcPr>
            <w:tcW w:w="1511" w:type="dxa"/>
            <w:tcBorders>
              <w:top w:val="single" w:sz="4" w:space="0" w:color="auto"/>
              <w:left w:val="single" w:sz="4" w:space="0" w:color="auto"/>
              <w:bottom w:val="single" w:sz="4" w:space="0" w:color="auto"/>
              <w:right w:val="single" w:sz="4" w:space="0" w:color="auto"/>
            </w:tcBorders>
            <w:vAlign w:val="center"/>
          </w:tcPr>
          <w:p w14:paraId="6C433B6D" w14:textId="77777777" w:rsidR="005E000F" w:rsidRDefault="00000000">
            <w:pPr>
              <w:autoSpaceDE w:val="0"/>
              <w:autoSpaceDN w:val="0"/>
              <w:adjustRightInd w:val="0"/>
              <w:jc w:val="right"/>
              <w:rPr>
                <w:rFonts w:cs="宋体"/>
                <w:bCs/>
                <w:lang w:eastAsia="en-US"/>
              </w:rPr>
            </w:pPr>
            <w:r>
              <w:rPr>
                <w:rFonts w:cs="宋体" w:hint="eastAsia"/>
                <w:bCs/>
              </w:rPr>
              <w:t>0</w:t>
            </w:r>
          </w:p>
        </w:tc>
        <w:tc>
          <w:tcPr>
            <w:tcW w:w="1540" w:type="dxa"/>
            <w:tcBorders>
              <w:top w:val="single" w:sz="4" w:space="0" w:color="auto"/>
              <w:left w:val="single" w:sz="4" w:space="0" w:color="auto"/>
              <w:bottom w:val="single" w:sz="4" w:space="0" w:color="auto"/>
              <w:right w:val="single" w:sz="4" w:space="0" w:color="auto"/>
            </w:tcBorders>
            <w:vAlign w:val="center"/>
          </w:tcPr>
          <w:p w14:paraId="6A4BBDD4" w14:textId="77777777" w:rsidR="005E000F" w:rsidRDefault="00000000">
            <w:pPr>
              <w:autoSpaceDE w:val="0"/>
              <w:autoSpaceDN w:val="0"/>
              <w:adjustRightInd w:val="0"/>
              <w:jc w:val="right"/>
              <w:rPr>
                <w:rFonts w:cs="宋体"/>
                <w:bCs/>
                <w:lang w:eastAsia="en-US"/>
              </w:rPr>
            </w:pPr>
            <w:r>
              <w:rPr>
                <w:rFonts w:cs="宋体" w:hint="eastAsia"/>
                <w:bCs/>
              </w:rPr>
              <w:t>0</w:t>
            </w:r>
          </w:p>
        </w:tc>
      </w:tr>
      <w:tr w:rsidR="005E000F" w14:paraId="35B41410" w14:textId="77777777">
        <w:tc>
          <w:tcPr>
            <w:tcW w:w="1387" w:type="dxa"/>
            <w:tcBorders>
              <w:top w:val="single" w:sz="4" w:space="0" w:color="auto"/>
              <w:left w:val="single" w:sz="4" w:space="0" w:color="auto"/>
              <w:bottom w:val="single" w:sz="4" w:space="0" w:color="auto"/>
              <w:right w:val="single" w:sz="4" w:space="0" w:color="auto"/>
            </w:tcBorders>
          </w:tcPr>
          <w:p w14:paraId="0201B2BF" w14:textId="77777777" w:rsidR="005E000F" w:rsidRDefault="00000000">
            <w:pPr>
              <w:autoSpaceDE w:val="0"/>
              <w:autoSpaceDN w:val="0"/>
              <w:adjustRightInd w:val="0"/>
              <w:rPr>
                <w:rFonts w:cs="宋体"/>
                <w:bCs/>
                <w:lang w:eastAsia="en-US"/>
              </w:rPr>
            </w:pPr>
            <w:r>
              <w:rPr>
                <w:rFonts w:cs="宋体" w:hint="eastAsia"/>
                <w:bCs/>
              </w:rPr>
              <w:t>预付账款</w:t>
            </w:r>
          </w:p>
        </w:tc>
        <w:tc>
          <w:tcPr>
            <w:tcW w:w="1956" w:type="dxa"/>
            <w:tcBorders>
              <w:top w:val="single" w:sz="4" w:space="0" w:color="auto"/>
              <w:left w:val="single" w:sz="4" w:space="0" w:color="auto"/>
              <w:bottom w:val="single" w:sz="4" w:space="0" w:color="auto"/>
              <w:right w:val="single" w:sz="4" w:space="0" w:color="auto"/>
            </w:tcBorders>
          </w:tcPr>
          <w:p w14:paraId="1632ECAE" w14:textId="77777777" w:rsidR="005E000F" w:rsidRDefault="00000000">
            <w:pPr>
              <w:autoSpaceDE w:val="0"/>
              <w:autoSpaceDN w:val="0"/>
              <w:adjustRightInd w:val="0"/>
              <w:rPr>
                <w:rFonts w:cs="宋体"/>
                <w:bCs/>
              </w:rPr>
            </w:pPr>
            <w:r>
              <w:rPr>
                <w:rFonts w:cs="宋体" w:hint="eastAsia"/>
                <w:bCs/>
              </w:rPr>
              <w:t>国铁集团及其下属单位</w:t>
            </w:r>
          </w:p>
        </w:tc>
        <w:tc>
          <w:tcPr>
            <w:tcW w:w="1489" w:type="dxa"/>
            <w:tcBorders>
              <w:top w:val="single" w:sz="4" w:space="0" w:color="auto"/>
              <w:left w:val="single" w:sz="4" w:space="0" w:color="auto"/>
              <w:bottom w:val="single" w:sz="4" w:space="0" w:color="auto"/>
              <w:right w:val="single" w:sz="4" w:space="0" w:color="auto"/>
            </w:tcBorders>
            <w:vAlign w:val="center"/>
          </w:tcPr>
          <w:p w14:paraId="3AAE97E5" w14:textId="77777777" w:rsidR="005E000F" w:rsidRDefault="00000000">
            <w:pPr>
              <w:autoSpaceDE w:val="0"/>
              <w:autoSpaceDN w:val="0"/>
              <w:adjustRightInd w:val="0"/>
              <w:jc w:val="right"/>
              <w:rPr>
                <w:rFonts w:cs="宋体"/>
                <w:bCs/>
              </w:rPr>
            </w:pPr>
            <w:r>
              <w:rPr>
                <w:rFonts w:cs="宋体"/>
                <w:bCs/>
              </w:rPr>
              <w:t>1,238,388</w:t>
            </w:r>
          </w:p>
        </w:tc>
        <w:tc>
          <w:tcPr>
            <w:tcW w:w="1165" w:type="dxa"/>
            <w:tcBorders>
              <w:top w:val="single" w:sz="4" w:space="0" w:color="auto"/>
              <w:left w:val="single" w:sz="4" w:space="0" w:color="auto"/>
              <w:bottom w:val="single" w:sz="4" w:space="0" w:color="auto"/>
              <w:right w:val="single" w:sz="4" w:space="0" w:color="auto"/>
            </w:tcBorders>
            <w:vAlign w:val="center"/>
          </w:tcPr>
          <w:p w14:paraId="5705FE03" w14:textId="77777777" w:rsidR="005E000F" w:rsidRDefault="00000000">
            <w:pPr>
              <w:autoSpaceDE w:val="0"/>
              <w:autoSpaceDN w:val="0"/>
              <w:adjustRightInd w:val="0"/>
              <w:jc w:val="right"/>
              <w:rPr>
                <w:rFonts w:cs="宋体"/>
                <w:bCs/>
              </w:rPr>
            </w:pPr>
            <w:r>
              <w:rPr>
                <w:rFonts w:cs="宋体" w:hint="eastAsia"/>
                <w:bCs/>
              </w:rPr>
              <w:t>0</w:t>
            </w:r>
          </w:p>
        </w:tc>
        <w:tc>
          <w:tcPr>
            <w:tcW w:w="1511" w:type="dxa"/>
            <w:tcBorders>
              <w:top w:val="single" w:sz="4" w:space="0" w:color="auto"/>
              <w:left w:val="single" w:sz="4" w:space="0" w:color="auto"/>
              <w:bottom w:val="single" w:sz="4" w:space="0" w:color="auto"/>
              <w:right w:val="single" w:sz="4" w:space="0" w:color="auto"/>
            </w:tcBorders>
            <w:vAlign w:val="center"/>
          </w:tcPr>
          <w:p w14:paraId="1BEEA06B" w14:textId="77777777" w:rsidR="005E000F" w:rsidRDefault="00000000">
            <w:pPr>
              <w:autoSpaceDE w:val="0"/>
              <w:autoSpaceDN w:val="0"/>
              <w:adjustRightInd w:val="0"/>
              <w:jc w:val="right"/>
              <w:rPr>
                <w:rFonts w:cs="宋体"/>
                <w:bCs/>
                <w:lang w:eastAsia="en-US"/>
              </w:rPr>
            </w:pPr>
            <w:r>
              <w:rPr>
                <w:rFonts w:cs="宋体" w:hint="eastAsia"/>
                <w:bCs/>
              </w:rPr>
              <w:t>500,660</w:t>
            </w:r>
          </w:p>
        </w:tc>
        <w:tc>
          <w:tcPr>
            <w:tcW w:w="1540" w:type="dxa"/>
            <w:tcBorders>
              <w:top w:val="single" w:sz="4" w:space="0" w:color="auto"/>
              <w:left w:val="single" w:sz="4" w:space="0" w:color="auto"/>
              <w:bottom w:val="single" w:sz="4" w:space="0" w:color="auto"/>
              <w:right w:val="single" w:sz="4" w:space="0" w:color="auto"/>
            </w:tcBorders>
            <w:vAlign w:val="center"/>
          </w:tcPr>
          <w:p w14:paraId="2C8CEEDB" w14:textId="77777777" w:rsidR="005E000F" w:rsidRDefault="00000000">
            <w:pPr>
              <w:autoSpaceDE w:val="0"/>
              <w:autoSpaceDN w:val="0"/>
              <w:adjustRightInd w:val="0"/>
              <w:jc w:val="right"/>
              <w:rPr>
                <w:rFonts w:cs="宋体"/>
                <w:bCs/>
                <w:lang w:eastAsia="en-US"/>
              </w:rPr>
            </w:pPr>
            <w:r>
              <w:rPr>
                <w:rFonts w:cs="宋体" w:hint="eastAsia"/>
                <w:bCs/>
              </w:rPr>
              <w:t>0</w:t>
            </w:r>
          </w:p>
        </w:tc>
      </w:tr>
      <w:tr w:rsidR="005E000F" w14:paraId="301F2876" w14:textId="77777777">
        <w:tc>
          <w:tcPr>
            <w:tcW w:w="1387" w:type="dxa"/>
            <w:tcBorders>
              <w:top w:val="single" w:sz="4" w:space="0" w:color="auto"/>
              <w:left w:val="single" w:sz="4" w:space="0" w:color="auto"/>
              <w:bottom w:val="single" w:sz="4" w:space="0" w:color="auto"/>
              <w:right w:val="single" w:sz="4" w:space="0" w:color="auto"/>
            </w:tcBorders>
          </w:tcPr>
          <w:p w14:paraId="58726EBF" w14:textId="77777777" w:rsidR="005E000F" w:rsidRDefault="00000000">
            <w:pPr>
              <w:autoSpaceDE w:val="0"/>
              <w:autoSpaceDN w:val="0"/>
              <w:adjustRightInd w:val="0"/>
              <w:rPr>
                <w:rFonts w:cs="宋体"/>
                <w:bCs/>
                <w:lang w:eastAsia="en-US"/>
              </w:rPr>
            </w:pPr>
            <w:r>
              <w:rPr>
                <w:rFonts w:cs="宋体" w:hint="eastAsia"/>
                <w:bCs/>
              </w:rPr>
              <w:t>预付账款</w:t>
            </w:r>
          </w:p>
        </w:tc>
        <w:tc>
          <w:tcPr>
            <w:tcW w:w="1956" w:type="dxa"/>
            <w:tcBorders>
              <w:top w:val="single" w:sz="4" w:space="0" w:color="auto"/>
              <w:left w:val="single" w:sz="4" w:space="0" w:color="auto"/>
              <w:bottom w:val="single" w:sz="4" w:space="0" w:color="auto"/>
              <w:right w:val="single" w:sz="4" w:space="0" w:color="auto"/>
            </w:tcBorders>
          </w:tcPr>
          <w:p w14:paraId="390F736C" w14:textId="77777777" w:rsidR="005E000F" w:rsidRDefault="00000000">
            <w:pPr>
              <w:autoSpaceDE w:val="0"/>
              <w:autoSpaceDN w:val="0"/>
              <w:adjustRightInd w:val="0"/>
              <w:rPr>
                <w:rFonts w:cs="宋体"/>
                <w:bCs/>
              </w:rPr>
            </w:pPr>
            <w:r>
              <w:rPr>
                <w:rFonts w:cs="宋体" w:hint="eastAsia"/>
                <w:bCs/>
              </w:rPr>
              <w:t>其中：太原局集团公司及其下属单位</w:t>
            </w:r>
          </w:p>
        </w:tc>
        <w:tc>
          <w:tcPr>
            <w:tcW w:w="1489" w:type="dxa"/>
            <w:tcBorders>
              <w:top w:val="single" w:sz="4" w:space="0" w:color="auto"/>
              <w:left w:val="single" w:sz="4" w:space="0" w:color="auto"/>
              <w:bottom w:val="single" w:sz="4" w:space="0" w:color="auto"/>
              <w:right w:val="single" w:sz="4" w:space="0" w:color="auto"/>
            </w:tcBorders>
            <w:vAlign w:val="center"/>
          </w:tcPr>
          <w:p w14:paraId="20CBCE81" w14:textId="77777777" w:rsidR="005E000F" w:rsidRDefault="00000000">
            <w:pPr>
              <w:autoSpaceDE w:val="0"/>
              <w:autoSpaceDN w:val="0"/>
              <w:adjustRightInd w:val="0"/>
              <w:jc w:val="right"/>
              <w:rPr>
                <w:rFonts w:cs="宋体"/>
                <w:bCs/>
              </w:rPr>
            </w:pPr>
            <w:r>
              <w:rPr>
                <w:rFonts w:cs="宋体" w:hint="eastAsia"/>
                <w:bCs/>
              </w:rPr>
              <w:t>0</w:t>
            </w:r>
          </w:p>
        </w:tc>
        <w:tc>
          <w:tcPr>
            <w:tcW w:w="1165" w:type="dxa"/>
            <w:tcBorders>
              <w:top w:val="single" w:sz="4" w:space="0" w:color="auto"/>
              <w:left w:val="single" w:sz="4" w:space="0" w:color="auto"/>
              <w:bottom w:val="single" w:sz="4" w:space="0" w:color="auto"/>
              <w:right w:val="single" w:sz="4" w:space="0" w:color="auto"/>
            </w:tcBorders>
            <w:vAlign w:val="center"/>
          </w:tcPr>
          <w:p w14:paraId="45BDDD4A" w14:textId="77777777" w:rsidR="005E000F" w:rsidRDefault="00000000">
            <w:pPr>
              <w:autoSpaceDE w:val="0"/>
              <w:autoSpaceDN w:val="0"/>
              <w:adjustRightInd w:val="0"/>
              <w:jc w:val="right"/>
              <w:rPr>
                <w:rFonts w:cs="宋体"/>
                <w:bCs/>
              </w:rPr>
            </w:pPr>
            <w:r>
              <w:rPr>
                <w:rFonts w:cs="宋体" w:hint="eastAsia"/>
                <w:bCs/>
              </w:rPr>
              <w:t>0</w:t>
            </w:r>
          </w:p>
        </w:tc>
        <w:tc>
          <w:tcPr>
            <w:tcW w:w="1511" w:type="dxa"/>
            <w:tcBorders>
              <w:top w:val="single" w:sz="4" w:space="0" w:color="auto"/>
              <w:left w:val="single" w:sz="4" w:space="0" w:color="auto"/>
              <w:bottom w:val="single" w:sz="4" w:space="0" w:color="auto"/>
              <w:right w:val="single" w:sz="4" w:space="0" w:color="auto"/>
            </w:tcBorders>
            <w:vAlign w:val="center"/>
          </w:tcPr>
          <w:p w14:paraId="1FDF4317" w14:textId="77777777" w:rsidR="005E000F" w:rsidRDefault="00000000">
            <w:pPr>
              <w:autoSpaceDE w:val="0"/>
              <w:autoSpaceDN w:val="0"/>
              <w:adjustRightInd w:val="0"/>
              <w:jc w:val="right"/>
              <w:rPr>
                <w:rFonts w:cs="宋体"/>
                <w:bCs/>
                <w:lang w:eastAsia="en-US"/>
              </w:rPr>
            </w:pPr>
            <w:r>
              <w:rPr>
                <w:rFonts w:cs="宋体" w:hint="eastAsia"/>
                <w:bCs/>
              </w:rPr>
              <w:t>500,660</w:t>
            </w:r>
          </w:p>
        </w:tc>
        <w:tc>
          <w:tcPr>
            <w:tcW w:w="1540" w:type="dxa"/>
            <w:tcBorders>
              <w:top w:val="single" w:sz="4" w:space="0" w:color="auto"/>
              <w:left w:val="single" w:sz="4" w:space="0" w:color="auto"/>
              <w:bottom w:val="single" w:sz="4" w:space="0" w:color="auto"/>
              <w:right w:val="single" w:sz="4" w:space="0" w:color="auto"/>
            </w:tcBorders>
            <w:vAlign w:val="center"/>
          </w:tcPr>
          <w:p w14:paraId="531D8FB6" w14:textId="77777777" w:rsidR="005E000F" w:rsidRDefault="00000000">
            <w:pPr>
              <w:autoSpaceDE w:val="0"/>
              <w:autoSpaceDN w:val="0"/>
              <w:adjustRightInd w:val="0"/>
              <w:jc w:val="right"/>
              <w:rPr>
                <w:rFonts w:cs="宋体"/>
                <w:bCs/>
                <w:lang w:eastAsia="en-US"/>
              </w:rPr>
            </w:pPr>
            <w:r>
              <w:rPr>
                <w:rFonts w:cs="宋体" w:hint="eastAsia"/>
                <w:bCs/>
              </w:rPr>
              <w:t>0</w:t>
            </w:r>
          </w:p>
        </w:tc>
      </w:tr>
      <w:tr w:rsidR="005E000F" w14:paraId="4169336F" w14:textId="77777777">
        <w:tc>
          <w:tcPr>
            <w:tcW w:w="1387" w:type="dxa"/>
            <w:tcBorders>
              <w:top w:val="single" w:sz="4" w:space="0" w:color="auto"/>
              <w:left w:val="single" w:sz="4" w:space="0" w:color="auto"/>
              <w:bottom w:val="single" w:sz="4" w:space="0" w:color="auto"/>
              <w:right w:val="single" w:sz="4" w:space="0" w:color="auto"/>
            </w:tcBorders>
          </w:tcPr>
          <w:p w14:paraId="36600D8F" w14:textId="77777777" w:rsidR="005E000F" w:rsidRDefault="00000000">
            <w:pPr>
              <w:autoSpaceDE w:val="0"/>
              <w:autoSpaceDN w:val="0"/>
              <w:adjustRightInd w:val="0"/>
              <w:rPr>
                <w:rFonts w:cs="宋体"/>
                <w:bCs/>
                <w:lang w:eastAsia="en-US"/>
              </w:rPr>
            </w:pPr>
            <w:r>
              <w:rPr>
                <w:rFonts w:cs="宋体" w:hint="eastAsia"/>
                <w:bCs/>
              </w:rPr>
              <w:t>应收款项融资</w:t>
            </w:r>
          </w:p>
        </w:tc>
        <w:tc>
          <w:tcPr>
            <w:tcW w:w="1956" w:type="dxa"/>
            <w:tcBorders>
              <w:top w:val="single" w:sz="4" w:space="0" w:color="auto"/>
              <w:left w:val="single" w:sz="4" w:space="0" w:color="auto"/>
              <w:bottom w:val="single" w:sz="4" w:space="0" w:color="auto"/>
              <w:right w:val="single" w:sz="4" w:space="0" w:color="auto"/>
            </w:tcBorders>
          </w:tcPr>
          <w:p w14:paraId="1DF506DC" w14:textId="77777777" w:rsidR="005E000F" w:rsidRDefault="00000000">
            <w:pPr>
              <w:autoSpaceDE w:val="0"/>
              <w:autoSpaceDN w:val="0"/>
              <w:adjustRightInd w:val="0"/>
              <w:rPr>
                <w:rFonts w:cs="宋体"/>
                <w:bCs/>
              </w:rPr>
            </w:pPr>
            <w:r>
              <w:rPr>
                <w:rFonts w:cs="宋体" w:hint="eastAsia"/>
                <w:bCs/>
              </w:rPr>
              <w:t>国铁集团及其下属单位</w:t>
            </w:r>
          </w:p>
        </w:tc>
        <w:tc>
          <w:tcPr>
            <w:tcW w:w="1489" w:type="dxa"/>
            <w:tcBorders>
              <w:top w:val="single" w:sz="4" w:space="0" w:color="auto"/>
              <w:left w:val="single" w:sz="4" w:space="0" w:color="auto"/>
              <w:bottom w:val="single" w:sz="4" w:space="0" w:color="auto"/>
              <w:right w:val="single" w:sz="4" w:space="0" w:color="auto"/>
            </w:tcBorders>
            <w:vAlign w:val="center"/>
          </w:tcPr>
          <w:p w14:paraId="5C14EC94" w14:textId="77777777" w:rsidR="005E000F" w:rsidRDefault="00000000">
            <w:pPr>
              <w:autoSpaceDE w:val="0"/>
              <w:autoSpaceDN w:val="0"/>
              <w:adjustRightInd w:val="0"/>
              <w:jc w:val="right"/>
              <w:rPr>
                <w:rFonts w:cs="宋体"/>
                <w:bCs/>
              </w:rPr>
            </w:pPr>
            <w:r>
              <w:rPr>
                <w:rFonts w:cs="宋体"/>
                <w:bCs/>
              </w:rPr>
              <w:t>19,791,416</w:t>
            </w:r>
          </w:p>
        </w:tc>
        <w:tc>
          <w:tcPr>
            <w:tcW w:w="1165" w:type="dxa"/>
            <w:tcBorders>
              <w:top w:val="single" w:sz="4" w:space="0" w:color="auto"/>
              <w:left w:val="single" w:sz="4" w:space="0" w:color="auto"/>
              <w:bottom w:val="single" w:sz="4" w:space="0" w:color="auto"/>
              <w:right w:val="single" w:sz="4" w:space="0" w:color="auto"/>
            </w:tcBorders>
            <w:vAlign w:val="center"/>
          </w:tcPr>
          <w:p w14:paraId="29C4CE9F" w14:textId="77777777" w:rsidR="005E000F" w:rsidRDefault="00000000">
            <w:pPr>
              <w:autoSpaceDE w:val="0"/>
              <w:autoSpaceDN w:val="0"/>
              <w:adjustRightInd w:val="0"/>
              <w:jc w:val="right"/>
              <w:rPr>
                <w:rFonts w:cs="宋体"/>
                <w:bCs/>
              </w:rPr>
            </w:pPr>
            <w:r>
              <w:rPr>
                <w:rFonts w:cs="宋体" w:hint="eastAsia"/>
                <w:bCs/>
              </w:rPr>
              <w:t>0</w:t>
            </w:r>
          </w:p>
        </w:tc>
        <w:tc>
          <w:tcPr>
            <w:tcW w:w="1511" w:type="dxa"/>
            <w:tcBorders>
              <w:top w:val="single" w:sz="4" w:space="0" w:color="auto"/>
              <w:left w:val="single" w:sz="4" w:space="0" w:color="auto"/>
              <w:bottom w:val="single" w:sz="4" w:space="0" w:color="auto"/>
              <w:right w:val="single" w:sz="4" w:space="0" w:color="auto"/>
            </w:tcBorders>
            <w:vAlign w:val="center"/>
          </w:tcPr>
          <w:p w14:paraId="7E376FF7" w14:textId="77777777" w:rsidR="005E000F" w:rsidRDefault="00000000">
            <w:pPr>
              <w:autoSpaceDE w:val="0"/>
              <w:autoSpaceDN w:val="0"/>
              <w:adjustRightInd w:val="0"/>
              <w:jc w:val="right"/>
              <w:rPr>
                <w:rFonts w:cs="宋体"/>
                <w:bCs/>
                <w:lang w:eastAsia="en-US"/>
              </w:rPr>
            </w:pPr>
            <w:r>
              <w:rPr>
                <w:rFonts w:cs="宋体" w:hint="eastAsia"/>
                <w:bCs/>
              </w:rPr>
              <w:t>3,459,275</w:t>
            </w:r>
          </w:p>
        </w:tc>
        <w:tc>
          <w:tcPr>
            <w:tcW w:w="1540" w:type="dxa"/>
            <w:tcBorders>
              <w:top w:val="single" w:sz="4" w:space="0" w:color="auto"/>
              <w:left w:val="single" w:sz="4" w:space="0" w:color="auto"/>
              <w:bottom w:val="single" w:sz="4" w:space="0" w:color="auto"/>
              <w:right w:val="single" w:sz="4" w:space="0" w:color="auto"/>
            </w:tcBorders>
            <w:vAlign w:val="center"/>
          </w:tcPr>
          <w:p w14:paraId="2FCF5E80" w14:textId="77777777" w:rsidR="005E000F" w:rsidRDefault="00000000">
            <w:pPr>
              <w:autoSpaceDE w:val="0"/>
              <w:autoSpaceDN w:val="0"/>
              <w:adjustRightInd w:val="0"/>
              <w:jc w:val="right"/>
              <w:rPr>
                <w:rFonts w:cs="宋体"/>
                <w:bCs/>
                <w:lang w:eastAsia="en-US"/>
              </w:rPr>
            </w:pPr>
            <w:r>
              <w:rPr>
                <w:rFonts w:cs="宋体" w:hint="eastAsia"/>
                <w:bCs/>
              </w:rPr>
              <w:t>0</w:t>
            </w:r>
          </w:p>
        </w:tc>
      </w:tr>
      <w:tr w:rsidR="005E000F" w14:paraId="3E2899AF" w14:textId="77777777">
        <w:tc>
          <w:tcPr>
            <w:tcW w:w="1387" w:type="dxa"/>
            <w:tcBorders>
              <w:top w:val="single" w:sz="4" w:space="0" w:color="auto"/>
              <w:left w:val="single" w:sz="4" w:space="0" w:color="auto"/>
              <w:bottom w:val="single" w:sz="4" w:space="0" w:color="auto"/>
              <w:right w:val="single" w:sz="4" w:space="0" w:color="auto"/>
            </w:tcBorders>
          </w:tcPr>
          <w:p w14:paraId="7BE7087B" w14:textId="77777777" w:rsidR="005E000F" w:rsidRDefault="00000000">
            <w:pPr>
              <w:autoSpaceDE w:val="0"/>
              <w:autoSpaceDN w:val="0"/>
              <w:adjustRightInd w:val="0"/>
              <w:rPr>
                <w:rFonts w:cs="宋体"/>
                <w:bCs/>
                <w:lang w:eastAsia="en-US"/>
              </w:rPr>
            </w:pPr>
            <w:r>
              <w:rPr>
                <w:rFonts w:cs="宋体" w:hint="eastAsia"/>
                <w:bCs/>
              </w:rPr>
              <w:t>应收款项融资</w:t>
            </w:r>
          </w:p>
        </w:tc>
        <w:tc>
          <w:tcPr>
            <w:tcW w:w="1956" w:type="dxa"/>
            <w:tcBorders>
              <w:top w:val="single" w:sz="4" w:space="0" w:color="auto"/>
              <w:left w:val="single" w:sz="4" w:space="0" w:color="auto"/>
              <w:bottom w:val="single" w:sz="4" w:space="0" w:color="auto"/>
              <w:right w:val="single" w:sz="4" w:space="0" w:color="auto"/>
            </w:tcBorders>
          </w:tcPr>
          <w:p w14:paraId="693D4ABF" w14:textId="77777777" w:rsidR="005E000F" w:rsidRDefault="00000000">
            <w:pPr>
              <w:autoSpaceDE w:val="0"/>
              <w:autoSpaceDN w:val="0"/>
              <w:adjustRightInd w:val="0"/>
              <w:rPr>
                <w:rFonts w:cs="宋体"/>
                <w:bCs/>
              </w:rPr>
            </w:pPr>
            <w:r>
              <w:rPr>
                <w:rFonts w:cs="宋体" w:hint="eastAsia"/>
                <w:bCs/>
              </w:rPr>
              <w:t>其中：太原局集团公司及其下属单位</w:t>
            </w:r>
          </w:p>
        </w:tc>
        <w:tc>
          <w:tcPr>
            <w:tcW w:w="1489" w:type="dxa"/>
            <w:tcBorders>
              <w:top w:val="single" w:sz="4" w:space="0" w:color="auto"/>
              <w:left w:val="single" w:sz="4" w:space="0" w:color="auto"/>
              <w:bottom w:val="single" w:sz="4" w:space="0" w:color="auto"/>
              <w:right w:val="single" w:sz="4" w:space="0" w:color="auto"/>
            </w:tcBorders>
            <w:vAlign w:val="center"/>
          </w:tcPr>
          <w:p w14:paraId="6F696929" w14:textId="77777777" w:rsidR="005E000F" w:rsidRDefault="00000000">
            <w:pPr>
              <w:autoSpaceDE w:val="0"/>
              <w:autoSpaceDN w:val="0"/>
              <w:adjustRightInd w:val="0"/>
              <w:jc w:val="right"/>
              <w:rPr>
                <w:rFonts w:cs="宋体"/>
                <w:bCs/>
              </w:rPr>
            </w:pPr>
            <w:r>
              <w:rPr>
                <w:rFonts w:cs="宋体"/>
                <w:bCs/>
              </w:rPr>
              <w:t>19,791,416</w:t>
            </w:r>
          </w:p>
        </w:tc>
        <w:tc>
          <w:tcPr>
            <w:tcW w:w="1165" w:type="dxa"/>
            <w:tcBorders>
              <w:top w:val="single" w:sz="4" w:space="0" w:color="auto"/>
              <w:left w:val="single" w:sz="4" w:space="0" w:color="auto"/>
              <w:bottom w:val="single" w:sz="4" w:space="0" w:color="auto"/>
              <w:right w:val="single" w:sz="4" w:space="0" w:color="auto"/>
            </w:tcBorders>
            <w:vAlign w:val="center"/>
          </w:tcPr>
          <w:p w14:paraId="39F439B0" w14:textId="77777777" w:rsidR="005E000F" w:rsidRDefault="00000000">
            <w:pPr>
              <w:autoSpaceDE w:val="0"/>
              <w:autoSpaceDN w:val="0"/>
              <w:adjustRightInd w:val="0"/>
              <w:jc w:val="right"/>
              <w:rPr>
                <w:rFonts w:cs="宋体"/>
                <w:bCs/>
              </w:rPr>
            </w:pPr>
            <w:r>
              <w:rPr>
                <w:rFonts w:cs="宋体" w:hint="eastAsia"/>
                <w:bCs/>
              </w:rPr>
              <w:t>0</w:t>
            </w:r>
          </w:p>
        </w:tc>
        <w:tc>
          <w:tcPr>
            <w:tcW w:w="1511" w:type="dxa"/>
            <w:tcBorders>
              <w:top w:val="single" w:sz="4" w:space="0" w:color="auto"/>
              <w:left w:val="single" w:sz="4" w:space="0" w:color="auto"/>
              <w:bottom w:val="single" w:sz="4" w:space="0" w:color="auto"/>
              <w:right w:val="single" w:sz="4" w:space="0" w:color="auto"/>
            </w:tcBorders>
            <w:vAlign w:val="center"/>
          </w:tcPr>
          <w:p w14:paraId="6955EF13" w14:textId="77777777" w:rsidR="005E000F" w:rsidRDefault="00000000">
            <w:pPr>
              <w:autoSpaceDE w:val="0"/>
              <w:autoSpaceDN w:val="0"/>
              <w:adjustRightInd w:val="0"/>
              <w:jc w:val="right"/>
              <w:rPr>
                <w:rFonts w:cs="宋体"/>
                <w:bCs/>
              </w:rPr>
            </w:pPr>
            <w:r>
              <w:rPr>
                <w:rFonts w:cs="宋体" w:hint="eastAsia"/>
                <w:bCs/>
              </w:rPr>
              <w:t>0</w:t>
            </w:r>
          </w:p>
        </w:tc>
        <w:tc>
          <w:tcPr>
            <w:tcW w:w="1540" w:type="dxa"/>
            <w:tcBorders>
              <w:top w:val="single" w:sz="4" w:space="0" w:color="auto"/>
              <w:left w:val="single" w:sz="4" w:space="0" w:color="auto"/>
              <w:bottom w:val="single" w:sz="4" w:space="0" w:color="auto"/>
              <w:right w:val="single" w:sz="4" w:space="0" w:color="auto"/>
            </w:tcBorders>
            <w:vAlign w:val="center"/>
          </w:tcPr>
          <w:p w14:paraId="20C19973" w14:textId="77777777" w:rsidR="005E000F" w:rsidRDefault="00000000">
            <w:pPr>
              <w:autoSpaceDE w:val="0"/>
              <w:autoSpaceDN w:val="0"/>
              <w:adjustRightInd w:val="0"/>
              <w:jc w:val="right"/>
              <w:rPr>
                <w:rFonts w:cs="宋体"/>
                <w:bCs/>
              </w:rPr>
            </w:pPr>
            <w:r>
              <w:rPr>
                <w:rFonts w:cs="宋体" w:hint="eastAsia"/>
                <w:bCs/>
              </w:rPr>
              <w:t>0</w:t>
            </w:r>
          </w:p>
        </w:tc>
      </w:tr>
    </w:tbl>
    <w:p w14:paraId="369C9E4C" w14:textId="77777777" w:rsidR="005E000F" w:rsidRDefault="00000000">
      <w:pPr>
        <w:rPr>
          <w:color w:val="000000" w:themeColor="text1"/>
        </w:rPr>
      </w:pPr>
      <w:r>
        <w:rPr>
          <w:rFonts w:hint="eastAsia"/>
          <w:color w:val="000000" w:themeColor="text1"/>
        </w:rPr>
        <w:t>于</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日，本集团的货币资金、其他流动资产和其他非流动资产中共有人民币</w:t>
      </w:r>
      <w:r>
        <w:rPr>
          <w:rFonts w:hint="eastAsia"/>
          <w:color w:val="000000" w:themeColor="text1"/>
        </w:rPr>
        <w:t>4,606,264,461</w:t>
      </w:r>
      <w:r>
        <w:rPr>
          <w:rFonts w:hint="eastAsia"/>
          <w:color w:val="000000" w:themeColor="text1"/>
        </w:rPr>
        <w:t>元（</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日：人民币</w:t>
      </w:r>
      <w:r>
        <w:rPr>
          <w:rFonts w:hint="eastAsia"/>
          <w:color w:val="000000" w:themeColor="text1"/>
        </w:rPr>
        <w:t>3,801,033,777</w:t>
      </w:r>
      <w:r>
        <w:rPr>
          <w:rFonts w:hint="eastAsia"/>
          <w:color w:val="000000" w:themeColor="text1"/>
        </w:rPr>
        <w:t>元）存放在中国铁路财务有限责任公司。</w:t>
      </w:r>
    </w:p>
    <w:p w14:paraId="3171ADA4" w14:textId="77777777" w:rsidR="005E000F" w:rsidRDefault="005E000F">
      <w:pPr>
        <w:rPr>
          <w:rFonts w:ascii="仿宋_GB2312" w:eastAsia="仿宋_GB2312"/>
        </w:rPr>
      </w:pPr>
    </w:p>
    <w:p w14:paraId="711F32DC" w14:textId="77777777" w:rsidR="005E000F" w:rsidRDefault="005E000F">
      <w:pPr>
        <w:rPr>
          <w:rFonts w:ascii="仿宋_GB2312" w:eastAsia="仿宋_GB2312"/>
        </w:rPr>
      </w:pPr>
    </w:p>
    <w:p w14:paraId="54EF0A4C" w14:textId="77777777" w:rsidR="005E000F" w:rsidRDefault="00000000">
      <w:pPr>
        <w:pStyle w:val="4"/>
        <w:numPr>
          <w:ilvl w:val="3"/>
          <w:numId w:val="121"/>
        </w:numPr>
        <w:ind w:left="426" w:hangingChars="202" w:hanging="426"/>
      </w:pPr>
      <w:r>
        <w:rPr>
          <w:rFonts w:hint="eastAsia"/>
        </w:rPr>
        <w:t>应付项目</w:t>
      </w:r>
    </w:p>
    <w:sdt>
      <w:sdtPr>
        <w:rPr>
          <w:rFonts w:hint="eastAsia"/>
        </w:rPr>
        <w:alias w:val="是否适用：应付项目[双击切换]"/>
        <w:tag w:val="_GBC_41bc31a1fefb4e25918c1ece7c27be62"/>
        <w:id w:val="995458864"/>
        <w:placeholder>
          <w:docPart w:val="GBC22222222222222222222222222222"/>
        </w:placeholder>
      </w:sdtPr>
      <w:sdtContent>
        <w:p w14:paraId="716AE07F"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C334EA4" w14:textId="77777777" w:rsidR="005E000F" w:rsidRDefault="00000000">
      <w:pPr>
        <w:jc w:val="right"/>
      </w:pPr>
      <w:r>
        <w:rPr>
          <w:rFonts w:hint="eastAsia"/>
        </w:rPr>
        <w:t>单位：</w:t>
      </w:r>
      <w:sdt>
        <w:sdtPr>
          <w:rPr>
            <w:rFonts w:hint="eastAsia"/>
          </w:rPr>
          <w:alias w:val="单位：上市公司应付关联方款项"/>
          <w:tag w:val="_GBC_dda5edeadff34e4f829b49a813d869a1"/>
          <w:id w:val="-108375113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上市公司应付关联方款项"/>
          <w:tag w:val="_GBC_5830ef25ff41407f8d8b3fde33e4bdf1"/>
          <w:id w:val="-150041830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2378"/>
        <w:gridCol w:w="1845"/>
        <w:gridCol w:w="2105"/>
      </w:tblGrid>
      <w:tr w:rsidR="005E000F" w14:paraId="0AB1CCA4" w14:textId="77777777">
        <w:sdt>
          <w:sdtPr>
            <w:tag w:val="_PLD_e606617d378f48ec942565c9488249ee"/>
            <w:id w:val="1052664213"/>
          </w:sdtPr>
          <w:sdtContent>
            <w:tc>
              <w:tcPr>
                <w:tcW w:w="2719" w:type="dxa"/>
                <w:tcBorders>
                  <w:top w:val="single" w:sz="4" w:space="0" w:color="auto"/>
                  <w:left w:val="single" w:sz="4" w:space="0" w:color="auto"/>
                  <w:right w:val="single" w:sz="4" w:space="0" w:color="auto"/>
                </w:tcBorders>
                <w:vAlign w:val="center"/>
              </w:tcPr>
              <w:p w14:paraId="475CAFA3" w14:textId="77777777" w:rsidR="005E000F" w:rsidRDefault="00000000">
                <w:pPr>
                  <w:jc w:val="center"/>
                </w:pPr>
                <w:r>
                  <w:rPr>
                    <w:rFonts w:hint="eastAsia"/>
                  </w:rPr>
                  <w:t>项目名称</w:t>
                </w:r>
              </w:p>
            </w:tc>
          </w:sdtContent>
        </w:sdt>
        <w:sdt>
          <w:sdtPr>
            <w:tag w:val="_PLD_8c0f65fb9987497db9d8cb750665f14a"/>
            <w:id w:val="-616290667"/>
          </w:sdtPr>
          <w:sdtContent>
            <w:tc>
              <w:tcPr>
                <w:tcW w:w="2378" w:type="dxa"/>
                <w:tcBorders>
                  <w:top w:val="single" w:sz="4" w:space="0" w:color="auto"/>
                  <w:left w:val="single" w:sz="4" w:space="0" w:color="auto"/>
                  <w:right w:val="single" w:sz="4" w:space="0" w:color="auto"/>
                </w:tcBorders>
                <w:vAlign w:val="center"/>
              </w:tcPr>
              <w:p w14:paraId="49CAD3AF" w14:textId="77777777" w:rsidR="005E000F" w:rsidRDefault="00000000">
                <w:pPr>
                  <w:jc w:val="center"/>
                </w:pPr>
                <w:r>
                  <w:rPr>
                    <w:rFonts w:hint="eastAsia"/>
                  </w:rPr>
                  <w:t>关联方</w:t>
                </w:r>
              </w:p>
            </w:tc>
          </w:sdtContent>
        </w:sdt>
        <w:sdt>
          <w:sdtPr>
            <w:tag w:val="_PLD_6abb3a201708442494b9fede0eddf518"/>
            <w:id w:val="1577623736"/>
          </w:sdtPr>
          <w:sdtContent>
            <w:tc>
              <w:tcPr>
                <w:tcW w:w="1845" w:type="dxa"/>
                <w:tcBorders>
                  <w:top w:val="single" w:sz="4" w:space="0" w:color="auto"/>
                  <w:left w:val="single" w:sz="4" w:space="0" w:color="auto"/>
                  <w:bottom w:val="single" w:sz="4" w:space="0" w:color="auto"/>
                  <w:right w:val="single" w:sz="4" w:space="0" w:color="auto"/>
                </w:tcBorders>
                <w:vAlign w:val="center"/>
              </w:tcPr>
              <w:p w14:paraId="0527C7C1" w14:textId="77777777" w:rsidR="005E000F" w:rsidRDefault="00000000">
                <w:pPr>
                  <w:jc w:val="center"/>
                </w:pPr>
                <w:r>
                  <w:rPr>
                    <w:rFonts w:hint="eastAsia"/>
                  </w:rPr>
                  <w:t>期末账面余额</w:t>
                </w:r>
              </w:p>
            </w:tc>
          </w:sdtContent>
        </w:sdt>
        <w:sdt>
          <w:sdtPr>
            <w:tag w:val="_PLD_55efe2bab54445818fecaf16ed9366f9"/>
            <w:id w:val="466473397"/>
          </w:sdtPr>
          <w:sdtContent>
            <w:tc>
              <w:tcPr>
                <w:tcW w:w="2105" w:type="dxa"/>
                <w:tcBorders>
                  <w:top w:val="single" w:sz="4" w:space="0" w:color="auto"/>
                  <w:left w:val="single" w:sz="4" w:space="0" w:color="auto"/>
                  <w:bottom w:val="single" w:sz="4" w:space="0" w:color="auto"/>
                  <w:right w:val="single" w:sz="4" w:space="0" w:color="auto"/>
                </w:tcBorders>
                <w:vAlign w:val="center"/>
              </w:tcPr>
              <w:p w14:paraId="6226EF28" w14:textId="77777777" w:rsidR="005E000F" w:rsidRDefault="00000000">
                <w:pPr>
                  <w:jc w:val="center"/>
                </w:pPr>
                <w:r>
                  <w:rPr>
                    <w:rFonts w:hint="eastAsia"/>
                  </w:rPr>
                  <w:t>期初账面余额</w:t>
                </w:r>
              </w:p>
            </w:tc>
          </w:sdtContent>
        </w:sdt>
      </w:tr>
      <w:tr w:rsidR="005E000F" w14:paraId="689F6A69" w14:textId="77777777">
        <w:tc>
          <w:tcPr>
            <w:tcW w:w="2719" w:type="dxa"/>
            <w:tcBorders>
              <w:top w:val="single" w:sz="4" w:space="0" w:color="auto"/>
              <w:left w:val="single" w:sz="4" w:space="0" w:color="auto"/>
              <w:bottom w:val="single" w:sz="4" w:space="0" w:color="auto"/>
              <w:right w:val="single" w:sz="4" w:space="0" w:color="auto"/>
            </w:tcBorders>
          </w:tcPr>
          <w:p w14:paraId="620473C3" w14:textId="77777777" w:rsidR="005E000F" w:rsidRDefault="00000000">
            <w:pPr>
              <w:autoSpaceDE w:val="0"/>
              <w:autoSpaceDN w:val="0"/>
              <w:adjustRightInd w:val="0"/>
              <w:rPr>
                <w:rFonts w:cs="宋体"/>
                <w:bCs/>
              </w:rPr>
            </w:pPr>
            <w:r>
              <w:rPr>
                <w:rFonts w:cs="宋体" w:hint="eastAsia"/>
                <w:bCs/>
              </w:rPr>
              <w:t>应付账款（注</w:t>
            </w:r>
            <w:r>
              <w:rPr>
                <w:rFonts w:cs="宋体" w:hint="eastAsia"/>
                <w:bCs/>
              </w:rPr>
              <w:t>1</w:t>
            </w:r>
            <w:r>
              <w:rPr>
                <w:rFonts w:cs="宋体" w:hint="eastAsia"/>
                <w:bCs/>
              </w:rPr>
              <w:t>）</w:t>
            </w:r>
          </w:p>
        </w:tc>
        <w:tc>
          <w:tcPr>
            <w:tcW w:w="2378" w:type="dxa"/>
            <w:tcBorders>
              <w:top w:val="single" w:sz="4" w:space="0" w:color="auto"/>
              <w:left w:val="single" w:sz="4" w:space="0" w:color="auto"/>
              <w:bottom w:val="single" w:sz="4" w:space="0" w:color="auto"/>
              <w:right w:val="single" w:sz="4" w:space="0" w:color="auto"/>
            </w:tcBorders>
          </w:tcPr>
          <w:p w14:paraId="5FD9E4EB" w14:textId="77777777" w:rsidR="005E000F" w:rsidRDefault="00000000">
            <w:pPr>
              <w:autoSpaceDE w:val="0"/>
              <w:autoSpaceDN w:val="0"/>
              <w:adjustRightInd w:val="0"/>
              <w:rPr>
                <w:rFonts w:cs="宋体"/>
                <w:bCs/>
              </w:rPr>
            </w:pPr>
            <w:r>
              <w:rPr>
                <w:rFonts w:cs="宋体" w:hint="eastAsia"/>
                <w:bCs/>
              </w:rPr>
              <w:t>国铁集团及其下属单位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452FE67C" w14:textId="77777777" w:rsidR="005E000F" w:rsidRDefault="00000000">
            <w:pPr>
              <w:autoSpaceDE w:val="0"/>
              <w:autoSpaceDN w:val="0"/>
              <w:adjustRightInd w:val="0"/>
              <w:jc w:val="right"/>
              <w:rPr>
                <w:rFonts w:cs="宋体"/>
                <w:bCs/>
              </w:rPr>
            </w:pPr>
            <w:r>
              <w:rPr>
                <w:rFonts w:cs="宋体"/>
                <w:bCs/>
              </w:rPr>
              <w:t>1,752,103,788</w:t>
            </w:r>
          </w:p>
        </w:tc>
        <w:tc>
          <w:tcPr>
            <w:tcW w:w="2105" w:type="dxa"/>
            <w:tcBorders>
              <w:top w:val="single" w:sz="4" w:space="0" w:color="auto"/>
              <w:left w:val="single" w:sz="4" w:space="0" w:color="auto"/>
              <w:bottom w:val="single" w:sz="4" w:space="0" w:color="auto"/>
              <w:right w:val="single" w:sz="4" w:space="0" w:color="auto"/>
            </w:tcBorders>
            <w:vAlign w:val="center"/>
          </w:tcPr>
          <w:p w14:paraId="59A9F817" w14:textId="77777777" w:rsidR="005E000F" w:rsidRDefault="00000000">
            <w:pPr>
              <w:autoSpaceDE w:val="0"/>
              <w:autoSpaceDN w:val="0"/>
              <w:adjustRightInd w:val="0"/>
              <w:jc w:val="right"/>
              <w:rPr>
                <w:rFonts w:cs="宋体"/>
                <w:bCs/>
                <w:lang w:eastAsia="en-US"/>
              </w:rPr>
            </w:pPr>
            <w:r>
              <w:rPr>
                <w:rFonts w:cs="宋体" w:hint="eastAsia"/>
                <w:bCs/>
              </w:rPr>
              <w:t>996,765,931</w:t>
            </w:r>
          </w:p>
        </w:tc>
      </w:tr>
      <w:tr w:rsidR="005E000F" w14:paraId="0BA42088" w14:textId="77777777">
        <w:tc>
          <w:tcPr>
            <w:tcW w:w="2719" w:type="dxa"/>
            <w:tcBorders>
              <w:top w:val="single" w:sz="4" w:space="0" w:color="auto"/>
              <w:left w:val="single" w:sz="4" w:space="0" w:color="auto"/>
              <w:bottom w:val="single" w:sz="4" w:space="0" w:color="auto"/>
              <w:right w:val="single" w:sz="4" w:space="0" w:color="auto"/>
            </w:tcBorders>
          </w:tcPr>
          <w:p w14:paraId="46C2391A" w14:textId="77777777" w:rsidR="005E000F" w:rsidRDefault="00000000">
            <w:pPr>
              <w:autoSpaceDE w:val="0"/>
              <w:autoSpaceDN w:val="0"/>
              <w:adjustRightInd w:val="0"/>
              <w:rPr>
                <w:rFonts w:cs="宋体"/>
                <w:bCs/>
              </w:rPr>
            </w:pPr>
            <w:r>
              <w:rPr>
                <w:rFonts w:cs="宋体" w:hint="eastAsia"/>
                <w:bCs/>
              </w:rPr>
              <w:t>应付账款（注</w:t>
            </w:r>
            <w:r>
              <w:rPr>
                <w:rFonts w:cs="宋体" w:hint="eastAsia"/>
                <w:bCs/>
              </w:rPr>
              <w:t>1</w:t>
            </w:r>
            <w:r>
              <w:rPr>
                <w:rFonts w:cs="宋体" w:hint="eastAsia"/>
                <w:bCs/>
              </w:rPr>
              <w:t>）</w:t>
            </w:r>
          </w:p>
        </w:tc>
        <w:tc>
          <w:tcPr>
            <w:tcW w:w="2378" w:type="dxa"/>
            <w:tcBorders>
              <w:top w:val="single" w:sz="4" w:space="0" w:color="auto"/>
              <w:left w:val="single" w:sz="4" w:space="0" w:color="auto"/>
              <w:bottom w:val="single" w:sz="4" w:space="0" w:color="auto"/>
              <w:right w:val="single" w:sz="4" w:space="0" w:color="auto"/>
            </w:tcBorders>
          </w:tcPr>
          <w:p w14:paraId="2415770F" w14:textId="77777777" w:rsidR="005E000F" w:rsidRDefault="00000000">
            <w:pPr>
              <w:autoSpaceDE w:val="0"/>
              <w:autoSpaceDN w:val="0"/>
              <w:adjustRightInd w:val="0"/>
              <w:rPr>
                <w:rFonts w:cs="宋体"/>
                <w:bCs/>
              </w:rPr>
            </w:pPr>
            <w:r>
              <w:rPr>
                <w:rFonts w:cs="宋体" w:hint="eastAsia"/>
                <w:bCs/>
              </w:rPr>
              <w:t>其中：太原局集团公司及其下属单位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66854167" w14:textId="77777777" w:rsidR="005E000F" w:rsidRDefault="00000000">
            <w:pPr>
              <w:autoSpaceDE w:val="0"/>
              <w:autoSpaceDN w:val="0"/>
              <w:adjustRightInd w:val="0"/>
              <w:jc w:val="right"/>
              <w:rPr>
                <w:rFonts w:cs="宋体"/>
                <w:bCs/>
              </w:rPr>
            </w:pPr>
            <w:r>
              <w:rPr>
                <w:rFonts w:cs="宋体"/>
                <w:bCs/>
              </w:rPr>
              <w:t>1,516,698,875</w:t>
            </w:r>
          </w:p>
        </w:tc>
        <w:tc>
          <w:tcPr>
            <w:tcW w:w="2105" w:type="dxa"/>
            <w:tcBorders>
              <w:top w:val="single" w:sz="4" w:space="0" w:color="auto"/>
              <w:left w:val="single" w:sz="4" w:space="0" w:color="auto"/>
              <w:bottom w:val="single" w:sz="4" w:space="0" w:color="auto"/>
              <w:right w:val="single" w:sz="4" w:space="0" w:color="auto"/>
            </w:tcBorders>
            <w:vAlign w:val="center"/>
          </w:tcPr>
          <w:p w14:paraId="212B0D26" w14:textId="77777777" w:rsidR="005E000F" w:rsidRDefault="00000000">
            <w:pPr>
              <w:autoSpaceDE w:val="0"/>
              <w:autoSpaceDN w:val="0"/>
              <w:adjustRightInd w:val="0"/>
              <w:jc w:val="right"/>
              <w:rPr>
                <w:rFonts w:cs="宋体"/>
                <w:bCs/>
                <w:lang w:eastAsia="en-US"/>
              </w:rPr>
            </w:pPr>
            <w:r>
              <w:rPr>
                <w:rFonts w:cs="宋体" w:hint="eastAsia"/>
                <w:bCs/>
              </w:rPr>
              <w:t>871,109,347</w:t>
            </w:r>
          </w:p>
        </w:tc>
      </w:tr>
      <w:tr w:rsidR="005E000F" w14:paraId="0374B4DC" w14:textId="77777777">
        <w:tc>
          <w:tcPr>
            <w:tcW w:w="2719" w:type="dxa"/>
            <w:tcBorders>
              <w:top w:val="single" w:sz="4" w:space="0" w:color="auto"/>
              <w:left w:val="single" w:sz="4" w:space="0" w:color="auto"/>
              <w:bottom w:val="single" w:sz="4" w:space="0" w:color="auto"/>
              <w:right w:val="single" w:sz="4" w:space="0" w:color="auto"/>
            </w:tcBorders>
          </w:tcPr>
          <w:p w14:paraId="3280BDF3" w14:textId="77777777" w:rsidR="005E000F" w:rsidRDefault="00000000">
            <w:pPr>
              <w:autoSpaceDE w:val="0"/>
              <w:autoSpaceDN w:val="0"/>
              <w:adjustRightInd w:val="0"/>
              <w:rPr>
                <w:rFonts w:cs="宋体"/>
                <w:bCs/>
              </w:rPr>
            </w:pPr>
            <w:r>
              <w:rPr>
                <w:rFonts w:cs="宋体" w:hint="eastAsia"/>
                <w:bCs/>
              </w:rPr>
              <w:t>其他应付款（注</w:t>
            </w:r>
            <w:r>
              <w:rPr>
                <w:rFonts w:cs="宋体" w:hint="eastAsia"/>
                <w:bCs/>
              </w:rPr>
              <w:t>2</w:t>
            </w:r>
            <w:r>
              <w:rPr>
                <w:rFonts w:cs="宋体" w:hint="eastAsia"/>
                <w:bCs/>
              </w:rPr>
              <w:t>）</w:t>
            </w:r>
          </w:p>
        </w:tc>
        <w:tc>
          <w:tcPr>
            <w:tcW w:w="2378" w:type="dxa"/>
            <w:tcBorders>
              <w:top w:val="single" w:sz="4" w:space="0" w:color="auto"/>
              <w:left w:val="single" w:sz="4" w:space="0" w:color="auto"/>
              <w:bottom w:val="single" w:sz="4" w:space="0" w:color="auto"/>
              <w:right w:val="single" w:sz="4" w:space="0" w:color="auto"/>
            </w:tcBorders>
          </w:tcPr>
          <w:p w14:paraId="1003E421" w14:textId="77777777" w:rsidR="005E000F" w:rsidRDefault="00000000">
            <w:pPr>
              <w:autoSpaceDE w:val="0"/>
              <w:autoSpaceDN w:val="0"/>
              <w:adjustRightInd w:val="0"/>
              <w:rPr>
                <w:rFonts w:cs="宋体"/>
                <w:bCs/>
              </w:rPr>
            </w:pPr>
            <w:r>
              <w:rPr>
                <w:rFonts w:cs="宋体" w:hint="eastAsia"/>
                <w:bCs/>
              </w:rPr>
              <w:t>国铁集团及其下属单位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00537918" w14:textId="77777777" w:rsidR="005E000F" w:rsidRDefault="00000000">
            <w:pPr>
              <w:autoSpaceDE w:val="0"/>
              <w:autoSpaceDN w:val="0"/>
              <w:adjustRightInd w:val="0"/>
              <w:jc w:val="right"/>
              <w:rPr>
                <w:rFonts w:cs="宋体"/>
                <w:bCs/>
              </w:rPr>
            </w:pPr>
            <w:r>
              <w:rPr>
                <w:rFonts w:cs="宋体"/>
                <w:bCs/>
              </w:rPr>
              <w:t>441,009,103</w:t>
            </w:r>
          </w:p>
        </w:tc>
        <w:tc>
          <w:tcPr>
            <w:tcW w:w="2105" w:type="dxa"/>
            <w:tcBorders>
              <w:top w:val="single" w:sz="4" w:space="0" w:color="auto"/>
              <w:left w:val="single" w:sz="4" w:space="0" w:color="auto"/>
              <w:bottom w:val="single" w:sz="4" w:space="0" w:color="auto"/>
              <w:right w:val="single" w:sz="4" w:space="0" w:color="auto"/>
            </w:tcBorders>
            <w:vAlign w:val="center"/>
          </w:tcPr>
          <w:p w14:paraId="1D593C8D" w14:textId="77777777" w:rsidR="005E000F" w:rsidRDefault="00000000">
            <w:pPr>
              <w:autoSpaceDE w:val="0"/>
              <w:autoSpaceDN w:val="0"/>
              <w:adjustRightInd w:val="0"/>
              <w:jc w:val="right"/>
              <w:rPr>
                <w:rFonts w:cs="宋体"/>
                <w:bCs/>
                <w:lang w:eastAsia="en-US"/>
              </w:rPr>
            </w:pPr>
            <w:r>
              <w:rPr>
                <w:rFonts w:cs="宋体" w:hint="eastAsia"/>
                <w:bCs/>
              </w:rPr>
              <w:t>533,427,880</w:t>
            </w:r>
          </w:p>
        </w:tc>
      </w:tr>
      <w:tr w:rsidR="005E000F" w14:paraId="6F1AE344" w14:textId="77777777">
        <w:tc>
          <w:tcPr>
            <w:tcW w:w="2719" w:type="dxa"/>
            <w:tcBorders>
              <w:top w:val="single" w:sz="4" w:space="0" w:color="auto"/>
              <w:left w:val="single" w:sz="4" w:space="0" w:color="auto"/>
              <w:bottom w:val="single" w:sz="4" w:space="0" w:color="auto"/>
              <w:right w:val="single" w:sz="4" w:space="0" w:color="auto"/>
            </w:tcBorders>
          </w:tcPr>
          <w:p w14:paraId="2F4B104C" w14:textId="77777777" w:rsidR="005E000F" w:rsidRDefault="00000000">
            <w:pPr>
              <w:autoSpaceDE w:val="0"/>
              <w:autoSpaceDN w:val="0"/>
              <w:adjustRightInd w:val="0"/>
              <w:rPr>
                <w:rFonts w:cs="宋体"/>
                <w:bCs/>
              </w:rPr>
            </w:pPr>
            <w:r>
              <w:rPr>
                <w:rFonts w:cs="宋体" w:hint="eastAsia"/>
                <w:bCs/>
              </w:rPr>
              <w:t>其他应付款（注</w:t>
            </w:r>
            <w:r>
              <w:rPr>
                <w:rFonts w:cs="宋体" w:hint="eastAsia"/>
                <w:bCs/>
              </w:rPr>
              <w:t>2</w:t>
            </w:r>
            <w:r>
              <w:rPr>
                <w:rFonts w:cs="宋体" w:hint="eastAsia"/>
                <w:bCs/>
              </w:rPr>
              <w:t>）</w:t>
            </w:r>
          </w:p>
        </w:tc>
        <w:tc>
          <w:tcPr>
            <w:tcW w:w="2378" w:type="dxa"/>
            <w:tcBorders>
              <w:top w:val="single" w:sz="4" w:space="0" w:color="auto"/>
              <w:left w:val="single" w:sz="4" w:space="0" w:color="auto"/>
              <w:bottom w:val="single" w:sz="4" w:space="0" w:color="auto"/>
              <w:right w:val="single" w:sz="4" w:space="0" w:color="auto"/>
            </w:tcBorders>
          </w:tcPr>
          <w:p w14:paraId="6DBD0C2C" w14:textId="77777777" w:rsidR="005E000F" w:rsidRDefault="00000000">
            <w:pPr>
              <w:autoSpaceDE w:val="0"/>
              <w:autoSpaceDN w:val="0"/>
              <w:adjustRightInd w:val="0"/>
              <w:rPr>
                <w:rFonts w:cs="宋体"/>
                <w:bCs/>
              </w:rPr>
            </w:pPr>
            <w:r>
              <w:rPr>
                <w:rFonts w:cs="宋体" w:hint="eastAsia"/>
                <w:bCs/>
              </w:rPr>
              <w:t>其中：太原局集团公司及其下属单位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0888E8A7" w14:textId="77777777" w:rsidR="005E000F" w:rsidRDefault="00000000">
            <w:pPr>
              <w:autoSpaceDE w:val="0"/>
              <w:autoSpaceDN w:val="0"/>
              <w:adjustRightInd w:val="0"/>
              <w:jc w:val="right"/>
              <w:rPr>
                <w:rFonts w:cs="宋体"/>
                <w:bCs/>
              </w:rPr>
            </w:pPr>
            <w:r>
              <w:rPr>
                <w:rFonts w:cs="宋体"/>
                <w:bCs/>
              </w:rPr>
              <w:t>222,240,275</w:t>
            </w:r>
          </w:p>
        </w:tc>
        <w:tc>
          <w:tcPr>
            <w:tcW w:w="2105" w:type="dxa"/>
            <w:tcBorders>
              <w:top w:val="single" w:sz="4" w:space="0" w:color="auto"/>
              <w:left w:val="single" w:sz="4" w:space="0" w:color="auto"/>
              <w:bottom w:val="single" w:sz="4" w:space="0" w:color="auto"/>
              <w:right w:val="single" w:sz="4" w:space="0" w:color="auto"/>
            </w:tcBorders>
            <w:vAlign w:val="center"/>
          </w:tcPr>
          <w:p w14:paraId="0751FB1B" w14:textId="77777777" w:rsidR="005E000F" w:rsidRDefault="00000000">
            <w:pPr>
              <w:autoSpaceDE w:val="0"/>
              <w:autoSpaceDN w:val="0"/>
              <w:adjustRightInd w:val="0"/>
              <w:jc w:val="right"/>
              <w:rPr>
                <w:rFonts w:cs="宋体"/>
                <w:bCs/>
                <w:lang w:eastAsia="en-US"/>
              </w:rPr>
            </w:pPr>
            <w:r>
              <w:rPr>
                <w:rFonts w:cs="宋体" w:hint="eastAsia"/>
                <w:bCs/>
              </w:rPr>
              <w:t>382,727,308</w:t>
            </w:r>
          </w:p>
        </w:tc>
      </w:tr>
      <w:tr w:rsidR="005E000F" w14:paraId="5DC07995" w14:textId="77777777">
        <w:tc>
          <w:tcPr>
            <w:tcW w:w="2719" w:type="dxa"/>
            <w:tcBorders>
              <w:top w:val="single" w:sz="4" w:space="0" w:color="auto"/>
              <w:left w:val="single" w:sz="4" w:space="0" w:color="auto"/>
              <w:bottom w:val="single" w:sz="4" w:space="0" w:color="auto"/>
              <w:right w:val="single" w:sz="4" w:space="0" w:color="auto"/>
            </w:tcBorders>
          </w:tcPr>
          <w:p w14:paraId="758DAB33" w14:textId="77777777" w:rsidR="005E000F" w:rsidRDefault="00000000">
            <w:pPr>
              <w:autoSpaceDE w:val="0"/>
              <w:autoSpaceDN w:val="0"/>
              <w:adjustRightInd w:val="0"/>
              <w:rPr>
                <w:rFonts w:cs="宋体"/>
                <w:bCs/>
                <w:lang w:eastAsia="en-US"/>
              </w:rPr>
            </w:pPr>
            <w:r>
              <w:rPr>
                <w:rFonts w:cs="宋体" w:hint="eastAsia"/>
                <w:bCs/>
              </w:rPr>
              <w:t>合同负债</w:t>
            </w:r>
          </w:p>
        </w:tc>
        <w:tc>
          <w:tcPr>
            <w:tcW w:w="2378" w:type="dxa"/>
            <w:tcBorders>
              <w:top w:val="single" w:sz="4" w:space="0" w:color="auto"/>
              <w:left w:val="single" w:sz="4" w:space="0" w:color="auto"/>
              <w:bottom w:val="single" w:sz="4" w:space="0" w:color="auto"/>
              <w:right w:val="single" w:sz="4" w:space="0" w:color="auto"/>
            </w:tcBorders>
          </w:tcPr>
          <w:p w14:paraId="56EDBB56" w14:textId="77777777" w:rsidR="005E000F" w:rsidRDefault="00000000">
            <w:pPr>
              <w:autoSpaceDE w:val="0"/>
              <w:autoSpaceDN w:val="0"/>
              <w:adjustRightInd w:val="0"/>
              <w:rPr>
                <w:rFonts w:cs="宋体"/>
                <w:bCs/>
              </w:rPr>
            </w:pPr>
            <w:r>
              <w:rPr>
                <w:rFonts w:cs="宋体" w:hint="eastAsia"/>
                <w:bCs/>
              </w:rPr>
              <w:t>国铁集团及其下属单位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7938BD29" w14:textId="77777777" w:rsidR="005E000F" w:rsidRDefault="00000000">
            <w:pPr>
              <w:autoSpaceDE w:val="0"/>
              <w:autoSpaceDN w:val="0"/>
              <w:adjustRightInd w:val="0"/>
              <w:jc w:val="right"/>
              <w:rPr>
                <w:rFonts w:cs="宋体"/>
                <w:bCs/>
              </w:rPr>
            </w:pPr>
            <w:r>
              <w:rPr>
                <w:rFonts w:cs="宋体"/>
                <w:bCs/>
              </w:rPr>
              <w:t>12,645,391</w:t>
            </w:r>
          </w:p>
        </w:tc>
        <w:tc>
          <w:tcPr>
            <w:tcW w:w="2105" w:type="dxa"/>
            <w:tcBorders>
              <w:top w:val="single" w:sz="4" w:space="0" w:color="auto"/>
              <w:left w:val="single" w:sz="4" w:space="0" w:color="auto"/>
              <w:bottom w:val="single" w:sz="4" w:space="0" w:color="auto"/>
              <w:right w:val="single" w:sz="4" w:space="0" w:color="auto"/>
            </w:tcBorders>
            <w:vAlign w:val="center"/>
          </w:tcPr>
          <w:p w14:paraId="10BDD5D1" w14:textId="77777777" w:rsidR="005E000F" w:rsidRDefault="00000000">
            <w:pPr>
              <w:autoSpaceDE w:val="0"/>
              <w:autoSpaceDN w:val="0"/>
              <w:adjustRightInd w:val="0"/>
              <w:jc w:val="right"/>
              <w:rPr>
                <w:rFonts w:cs="宋体"/>
                <w:bCs/>
                <w:lang w:eastAsia="en-US"/>
              </w:rPr>
            </w:pPr>
            <w:r>
              <w:rPr>
                <w:rFonts w:cs="宋体" w:hint="eastAsia"/>
                <w:bCs/>
              </w:rPr>
              <w:t>2,550,680</w:t>
            </w:r>
          </w:p>
        </w:tc>
      </w:tr>
      <w:tr w:rsidR="005E000F" w14:paraId="1AF34E6A" w14:textId="77777777">
        <w:tc>
          <w:tcPr>
            <w:tcW w:w="2719" w:type="dxa"/>
            <w:tcBorders>
              <w:top w:val="single" w:sz="4" w:space="0" w:color="auto"/>
              <w:left w:val="single" w:sz="4" w:space="0" w:color="auto"/>
              <w:bottom w:val="single" w:sz="4" w:space="0" w:color="auto"/>
              <w:right w:val="single" w:sz="4" w:space="0" w:color="auto"/>
            </w:tcBorders>
          </w:tcPr>
          <w:p w14:paraId="3C052DFC" w14:textId="77777777" w:rsidR="005E000F" w:rsidRDefault="00000000">
            <w:pPr>
              <w:autoSpaceDE w:val="0"/>
              <w:autoSpaceDN w:val="0"/>
              <w:adjustRightInd w:val="0"/>
              <w:rPr>
                <w:rFonts w:cs="宋体"/>
                <w:bCs/>
                <w:lang w:eastAsia="en-US"/>
              </w:rPr>
            </w:pPr>
            <w:r>
              <w:rPr>
                <w:rFonts w:cs="宋体" w:hint="eastAsia"/>
                <w:bCs/>
              </w:rPr>
              <w:t>合同负债</w:t>
            </w:r>
          </w:p>
        </w:tc>
        <w:tc>
          <w:tcPr>
            <w:tcW w:w="2378" w:type="dxa"/>
            <w:tcBorders>
              <w:top w:val="single" w:sz="4" w:space="0" w:color="auto"/>
              <w:left w:val="single" w:sz="4" w:space="0" w:color="auto"/>
              <w:bottom w:val="single" w:sz="4" w:space="0" w:color="auto"/>
              <w:right w:val="single" w:sz="4" w:space="0" w:color="auto"/>
            </w:tcBorders>
          </w:tcPr>
          <w:p w14:paraId="2DC1E2C2" w14:textId="77777777" w:rsidR="005E000F" w:rsidRDefault="00000000">
            <w:pPr>
              <w:autoSpaceDE w:val="0"/>
              <w:autoSpaceDN w:val="0"/>
              <w:adjustRightInd w:val="0"/>
              <w:rPr>
                <w:rFonts w:cs="宋体"/>
                <w:bCs/>
              </w:rPr>
            </w:pPr>
            <w:r>
              <w:rPr>
                <w:rFonts w:cs="宋体" w:hint="eastAsia"/>
                <w:bCs/>
              </w:rPr>
              <w:t>其中：太原局集团公司及其下属单位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0224E786" w14:textId="77777777" w:rsidR="005E000F" w:rsidRDefault="00000000">
            <w:pPr>
              <w:autoSpaceDE w:val="0"/>
              <w:autoSpaceDN w:val="0"/>
              <w:adjustRightInd w:val="0"/>
              <w:jc w:val="right"/>
              <w:rPr>
                <w:rFonts w:cs="宋体"/>
                <w:bCs/>
              </w:rPr>
            </w:pPr>
            <w:r>
              <w:rPr>
                <w:rFonts w:cs="宋体" w:hint="eastAsia"/>
                <w:bCs/>
              </w:rPr>
              <w:t>11,141,830</w:t>
            </w:r>
          </w:p>
        </w:tc>
        <w:tc>
          <w:tcPr>
            <w:tcW w:w="2105" w:type="dxa"/>
            <w:tcBorders>
              <w:top w:val="single" w:sz="4" w:space="0" w:color="auto"/>
              <w:left w:val="single" w:sz="4" w:space="0" w:color="auto"/>
              <w:bottom w:val="single" w:sz="4" w:space="0" w:color="auto"/>
              <w:right w:val="single" w:sz="4" w:space="0" w:color="auto"/>
            </w:tcBorders>
            <w:vAlign w:val="center"/>
          </w:tcPr>
          <w:p w14:paraId="5CD2B840" w14:textId="77777777" w:rsidR="005E000F" w:rsidRDefault="00000000">
            <w:pPr>
              <w:autoSpaceDE w:val="0"/>
              <w:autoSpaceDN w:val="0"/>
              <w:adjustRightInd w:val="0"/>
              <w:jc w:val="right"/>
              <w:rPr>
                <w:rFonts w:cs="宋体"/>
                <w:bCs/>
                <w:lang w:eastAsia="en-US"/>
              </w:rPr>
            </w:pPr>
            <w:r>
              <w:rPr>
                <w:rFonts w:cs="宋体" w:hint="eastAsia"/>
                <w:bCs/>
              </w:rPr>
              <w:t>1,477,378</w:t>
            </w:r>
          </w:p>
        </w:tc>
      </w:tr>
      <w:tr w:rsidR="005E000F" w14:paraId="0996D03D" w14:textId="77777777">
        <w:tc>
          <w:tcPr>
            <w:tcW w:w="2719" w:type="dxa"/>
            <w:tcBorders>
              <w:top w:val="single" w:sz="4" w:space="0" w:color="auto"/>
              <w:left w:val="single" w:sz="4" w:space="0" w:color="auto"/>
              <w:bottom w:val="single" w:sz="4" w:space="0" w:color="auto"/>
              <w:right w:val="single" w:sz="4" w:space="0" w:color="auto"/>
            </w:tcBorders>
          </w:tcPr>
          <w:p w14:paraId="0313F6DA" w14:textId="77777777" w:rsidR="005E000F" w:rsidRDefault="00000000">
            <w:pPr>
              <w:autoSpaceDE w:val="0"/>
              <w:autoSpaceDN w:val="0"/>
              <w:adjustRightInd w:val="0"/>
              <w:rPr>
                <w:rFonts w:cs="宋体"/>
                <w:bCs/>
                <w:lang w:eastAsia="en-US"/>
              </w:rPr>
            </w:pPr>
            <w:r>
              <w:rPr>
                <w:rFonts w:cs="宋体" w:hint="eastAsia"/>
                <w:bCs/>
              </w:rPr>
              <w:t>租赁负债</w:t>
            </w:r>
          </w:p>
        </w:tc>
        <w:tc>
          <w:tcPr>
            <w:tcW w:w="2378" w:type="dxa"/>
            <w:tcBorders>
              <w:top w:val="single" w:sz="4" w:space="0" w:color="auto"/>
              <w:left w:val="single" w:sz="4" w:space="0" w:color="auto"/>
              <w:bottom w:val="single" w:sz="4" w:space="0" w:color="auto"/>
              <w:right w:val="single" w:sz="4" w:space="0" w:color="auto"/>
            </w:tcBorders>
          </w:tcPr>
          <w:p w14:paraId="2FF1C178" w14:textId="77777777" w:rsidR="005E000F" w:rsidRDefault="00000000">
            <w:pPr>
              <w:autoSpaceDE w:val="0"/>
              <w:autoSpaceDN w:val="0"/>
              <w:adjustRightInd w:val="0"/>
              <w:rPr>
                <w:rFonts w:cs="宋体"/>
                <w:bCs/>
              </w:rPr>
            </w:pPr>
            <w:r>
              <w:rPr>
                <w:rFonts w:cs="宋体" w:hint="eastAsia"/>
                <w:bCs/>
              </w:rPr>
              <w:t>国铁集团及其下属单位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6897DBE1" w14:textId="77777777" w:rsidR="005E000F" w:rsidRDefault="00000000">
            <w:pPr>
              <w:autoSpaceDE w:val="0"/>
              <w:autoSpaceDN w:val="0"/>
              <w:adjustRightInd w:val="0"/>
              <w:jc w:val="right"/>
              <w:rPr>
                <w:rFonts w:cs="宋体"/>
                <w:bCs/>
              </w:rPr>
            </w:pPr>
            <w:r>
              <w:rPr>
                <w:rFonts w:cs="宋体"/>
                <w:bCs/>
              </w:rPr>
              <w:t>2,151,433,413</w:t>
            </w:r>
          </w:p>
        </w:tc>
        <w:tc>
          <w:tcPr>
            <w:tcW w:w="2105" w:type="dxa"/>
            <w:tcBorders>
              <w:top w:val="single" w:sz="4" w:space="0" w:color="auto"/>
              <w:left w:val="single" w:sz="4" w:space="0" w:color="auto"/>
              <w:bottom w:val="single" w:sz="4" w:space="0" w:color="auto"/>
              <w:right w:val="single" w:sz="4" w:space="0" w:color="auto"/>
            </w:tcBorders>
            <w:vAlign w:val="center"/>
          </w:tcPr>
          <w:p w14:paraId="24DB3BEE" w14:textId="77777777" w:rsidR="005E000F" w:rsidRDefault="00000000">
            <w:pPr>
              <w:autoSpaceDE w:val="0"/>
              <w:autoSpaceDN w:val="0"/>
              <w:adjustRightInd w:val="0"/>
              <w:jc w:val="right"/>
              <w:rPr>
                <w:rFonts w:cs="宋体"/>
                <w:bCs/>
                <w:lang w:eastAsia="en-US"/>
              </w:rPr>
            </w:pPr>
            <w:r>
              <w:rPr>
                <w:rFonts w:cs="宋体" w:hint="eastAsia"/>
                <w:bCs/>
              </w:rPr>
              <w:t>803,993,672</w:t>
            </w:r>
          </w:p>
        </w:tc>
      </w:tr>
      <w:tr w:rsidR="005E000F" w14:paraId="1771D8F8" w14:textId="77777777">
        <w:tc>
          <w:tcPr>
            <w:tcW w:w="2719" w:type="dxa"/>
            <w:tcBorders>
              <w:top w:val="single" w:sz="4" w:space="0" w:color="auto"/>
              <w:left w:val="single" w:sz="4" w:space="0" w:color="auto"/>
              <w:bottom w:val="single" w:sz="4" w:space="0" w:color="auto"/>
              <w:right w:val="single" w:sz="4" w:space="0" w:color="auto"/>
            </w:tcBorders>
          </w:tcPr>
          <w:p w14:paraId="79BF5F2A" w14:textId="77777777" w:rsidR="005E000F" w:rsidRDefault="00000000">
            <w:pPr>
              <w:autoSpaceDE w:val="0"/>
              <w:autoSpaceDN w:val="0"/>
              <w:adjustRightInd w:val="0"/>
              <w:rPr>
                <w:rFonts w:cs="宋体"/>
                <w:bCs/>
                <w:lang w:eastAsia="en-US"/>
              </w:rPr>
            </w:pPr>
            <w:r>
              <w:rPr>
                <w:rFonts w:cs="宋体" w:hint="eastAsia"/>
                <w:bCs/>
              </w:rPr>
              <w:t>租赁负债</w:t>
            </w:r>
          </w:p>
        </w:tc>
        <w:tc>
          <w:tcPr>
            <w:tcW w:w="2378" w:type="dxa"/>
            <w:tcBorders>
              <w:top w:val="single" w:sz="4" w:space="0" w:color="auto"/>
              <w:left w:val="single" w:sz="4" w:space="0" w:color="auto"/>
              <w:bottom w:val="single" w:sz="4" w:space="0" w:color="auto"/>
              <w:right w:val="single" w:sz="4" w:space="0" w:color="auto"/>
            </w:tcBorders>
          </w:tcPr>
          <w:p w14:paraId="3DB2D880" w14:textId="77777777" w:rsidR="005E000F" w:rsidRDefault="00000000">
            <w:pPr>
              <w:autoSpaceDE w:val="0"/>
              <w:autoSpaceDN w:val="0"/>
              <w:adjustRightInd w:val="0"/>
              <w:rPr>
                <w:rFonts w:cs="宋体"/>
                <w:bCs/>
              </w:rPr>
            </w:pPr>
            <w:r>
              <w:rPr>
                <w:rFonts w:cs="宋体" w:hint="eastAsia"/>
                <w:bCs/>
              </w:rPr>
              <w:t>其中：太原局集团公司及其下属单位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1128854A" w14:textId="77777777" w:rsidR="005E000F" w:rsidRDefault="00000000">
            <w:pPr>
              <w:autoSpaceDE w:val="0"/>
              <w:autoSpaceDN w:val="0"/>
              <w:adjustRightInd w:val="0"/>
              <w:jc w:val="right"/>
              <w:rPr>
                <w:rFonts w:cs="宋体"/>
                <w:bCs/>
              </w:rPr>
            </w:pPr>
            <w:r>
              <w:rPr>
                <w:rFonts w:cs="宋体"/>
                <w:bCs/>
              </w:rPr>
              <w:t>2,151,433,413</w:t>
            </w:r>
          </w:p>
        </w:tc>
        <w:tc>
          <w:tcPr>
            <w:tcW w:w="2105" w:type="dxa"/>
            <w:tcBorders>
              <w:top w:val="single" w:sz="4" w:space="0" w:color="auto"/>
              <w:left w:val="single" w:sz="4" w:space="0" w:color="auto"/>
              <w:bottom w:val="single" w:sz="4" w:space="0" w:color="auto"/>
              <w:right w:val="single" w:sz="4" w:space="0" w:color="auto"/>
            </w:tcBorders>
            <w:vAlign w:val="center"/>
          </w:tcPr>
          <w:p w14:paraId="5A8E12BE" w14:textId="77777777" w:rsidR="005E000F" w:rsidRDefault="00000000">
            <w:pPr>
              <w:autoSpaceDE w:val="0"/>
              <w:autoSpaceDN w:val="0"/>
              <w:adjustRightInd w:val="0"/>
              <w:jc w:val="right"/>
              <w:rPr>
                <w:rFonts w:cs="宋体"/>
                <w:bCs/>
                <w:lang w:eastAsia="en-US"/>
              </w:rPr>
            </w:pPr>
            <w:r>
              <w:rPr>
                <w:rFonts w:cs="宋体" w:hint="eastAsia"/>
                <w:bCs/>
              </w:rPr>
              <w:t>803,993,672</w:t>
            </w:r>
          </w:p>
        </w:tc>
      </w:tr>
      <w:tr w:rsidR="005E000F" w14:paraId="36683979" w14:textId="77777777">
        <w:tc>
          <w:tcPr>
            <w:tcW w:w="2719" w:type="dxa"/>
            <w:tcBorders>
              <w:top w:val="single" w:sz="4" w:space="0" w:color="auto"/>
              <w:left w:val="single" w:sz="4" w:space="0" w:color="auto"/>
              <w:bottom w:val="single" w:sz="4" w:space="0" w:color="auto"/>
              <w:right w:val="single" w:sz="4" w:space="0" w:color="auto"/>
            </w:tcBorders>
          </w:tcPr>
          <w:p w14:paraId="059D62B0" w14:textId="77777777" w:rsidR="005E000F" w:rsidRDefault="00000000">
            <w:pPr>
              <w:autoSpaceDE w:val="0"/>
              <w:autoSpaceDN w:val="0"/>
              <w:adjustRightInd w:val="0"/>
              <w:rPr>
                <w:rFonts w:cs="宋体"/>
                <w:bCs/>
              </w:rPr>
            </w:pPr>
            <w:r>
              <w:rPr>
                <w:rFonts w:cs="宋体" w:hint="eastAsia"/>
                <w:bCs/>
              </w:rPr>
              <w:t>一年内到期的非流动负债</w:t>
            </w:r>
          </w:p>
        </w:tc>
        <w:tc>
          <w:tcPr>
            <w:tcW w:w="2378" w:type="dxa"/>
            <w:tcBorders>
              <w:top w:val="single" w:sz="4" w:space="0" w:color="auto"/>
              <w:left w:val="single" w:sz="4" w:space="0" w:color="auto"/>
              <w:bottom w:val="single" w:sz="4" w:space="0" w:color="auto"/>
              <w:right w:val="single" w:sz="4" w:space="0" w:color="auto"/>
            </w:tcBorders>
          </w:tcPr>
          <w:p w14:paraId="01DF9D15" w14:textId="77777777" w:rsidR="005E000F" w:rsidRDefault="00000000">
            <w:pPr>
              <w:autoSpaceDE w:val="0"/>
              <w:autoSpaceDN w:val="0"/>
              <w:adjustRightInd w:val="0"/>
              <w:rPr>
                <w:rFonts w:cs="宋体"/>
                <w:bCs/>
              </w:rPr>
            </w:pPr>
            <w:r>
              <w:rPr>
                <w:rFonts w:cs="宋体" w:hint="eastAsia"/>
                <w:bCs/>
              </w:rPr>
              <w:t>国铁集团及其下属单位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7A99E95F" w14:textId="77777777" w:rsidR="005E000F" w:rsidRDefault="00000000">
            <w:pPr>
              <w:autoSpaceDE w:val="0"/>
              <w:autoSpaceDN w:val="0"/>
              <w:adjustRightInd w:val="0"/>
              <w:jc w:val="right"/>
              <w:rPr>
                <w:rFonts w:cs="宋体"/>
                <w:bCs/>
              </w:rPr>
            </w:pPr>
            <w:r>
              <w:rPr>
                <w:rFonts w:cs="宋体"/>
                <w:bCs/>
              </w:rPr>
              <w:t>265,643,049</w:t>
            </w:r>
          </w:p>
        </w:tc>
        <w:tc>
          <w:tcPr>
            <w:tcW w:w="2105" w:type="dxa"/>
            <w:tcBorders>
              <w:top w:val="single" w:sz="4" w:space="0" w:color="auto"/>
              <w:left w:val="single" w:sz="4" w:space="0" w:color="auto"/>
              <w:bottom w:val="single" w:sz="4" w:space="0" w:color="auto"/>
              <w:right w:val="single" w:sz="4" w:space="0" w:color="auto"/>
            </w:tcBorders>
            <w:vAlign w:val="center"/>
          </w:tcPr>
          <w:p w14:paraId="7D9ACAEF" w14:textId="77777777" w:rsidR="005E000F" w:rsidRDefault="00000000">
            <w:pPr>
              <w:autoSpaceDE w:val="0"/>
              <w:autoSpaceDN w:val="0"/>
              <w:adjustRightInd w:val="0"/>
              <w:jc w:val="right"/>
              <w:rPr>
                <w:rFonts w:cs="宋体"/>
                <w:bCs/>
                <w:lang w:eastAsia="en-US"/>
              </w:rPr>
            </w:pPr>
            <w:r>
              <w:rPr>
                <w:rFonts w:cs="宋体" w:hint="eastAsia"/>
                <w:bCs/>
              </w:rPr>
              <w:t>227,174,585</w:t>
            </w:r>
          </w:p>
        </w:tc>
      </w:tr>
      <w:tr w:rsidR="005E000F" w14:paraId="1009A7D0" w14:textId="77777777">
        <w:tc>
          <w:tcPr>
            <w:tcW w:w="2719" w:type="dxa"/>
            <w:tcBorders>
              <w:top w:val="single" w:sz="4" w:space="0" w:color="auto"/>
              <w:left w:val="single" w:sz="4" w:space="0" w:color="auto"/>
              <w:bottom w:val="single" w:sz="4" w:space="0" w:color="auto"/>
              <w:right w:val="single" w:sz="4" w:space="0" w:color="auto"/>
            </w:tcBorders>
          </w:tcPr>
          <w:p w14:paraId="57719A2B" w14:textId="77777777" w:rsidR="005E000F" w:rsidRDefault="00000000">
            <w:pPr>
              <w:autoSpaceDE w:val="0"/>
              <w:autoSpaceDN w:val="0"/>
              <w:adjustRightInd w:val="0"/>
              <w:rPr>
                <w:rFonts w:cs="宋体"/>
                <w:bCs/>
              </w:rPr>
            </w:pPr>
            <w:r>
              <w:rPr>
                <w:rFonts w:cs="宋体" w:hint="eastAsia"/>
                <w:bCs/>
              </w:rPr>
              <w:t>一年内到期的非流动负债</w:t>
            </w:r>
          </w:p>
        </w:tc>
        <w:tc>
          <w:tcPr>
            <w:tcW w:w="2378" w:type="dxa"/>
            <w:tcBorders>
              <w:top w:val="single" w:sz="4" w:space="0" w:color="auto"/>
              <w:left w:val="single" w:sz="4" w:space="0" w:color="auto"/>
              <w:bottom w:val="single" w:sz="4" w:space="0" w:color="auto"/>
              <w:right w:val="single" w:sz="4" w:space="0" w:color="auto"/>
            </w:tcBorders>
          </w:tcPr>
          <w:p w14:paraId="3C343AD7" w14:textId="77777777" w:rsidR="005E000F" w:rsidRDefault="00000000">
            <w:pPr>
              <w:autoSpaceDE w:val="0"/>
              <w:autoSpaceDN w:val="0"/>
              <w:adjustRightInd w:val="0"/>
              <w:rPr>
                <w:rFonts w:cs="宋体"/>
                <w:bCs/>
              </w:rPr>
            </w:pPr>
            <w:r>
              <w:rPr>
                <w:rFonts w:cs="宋体" w:hint="eastAsia"/>
                <w:bCs/>
              </w:rPr>
              <w:t>其中：太原局集团公司及其下属单位</w:t>
            </w:r>
          </w:p>
        </w:tc>
        <w:tc>
          <w:tcPr>
            <w:tcW w:w="1845" w:type="dxa"/>
            <w:tcBorders>
              <w:top w:val="single" w:sz="4" w:space="0" w:color="auto"/>
              <w:left w:val="single" w:sz="4" w:space="0" w:color="auto"/>
              <w:bottom w:val="single" w:sz="4" w:space="0" w:color="auto"/>
              <w:right w:val="single" w:sz="4" w:space="0" w:color="auto"/>
            </w:tcBorders>
            <w:vAlign w:val="center"/>
          </w:tcPr>
          <w:p w14:paraId="3AC20E11" w14:textId="77777777" w:rsidR="005E000F" w:rsidRDefault="00000000">
            <w:pPr>
              <w:autoSpaceDE w:val="0"/>
              <w:autoSpaceDN w:val="0"/>
              <w:adjustRightInd w:val="0"/>
              <w:jc w:val="right"/>
              <w:rPr>
                <w:rFonts w:cs="宋体"/>
                <w:bCs/>
              </w:rPr>
            </w:pPr>
            <w:r>
              <w:rPr>
                <w:rFonts w:cs="宋体"/>
                <w:bCs/>
              </w:rPr>
              <w:t>265,643,049</w:t>
            </w:r>
          </w:p>
        </w:tc>
        <w:tc>
          <w:tcPr>
            <w:tcW w:w="2105" w:type="dxa"/>
            <w:tcBorders>
              <w:top w:val="single" w:sz="4" w:space="0" w:color="auto"/>
              <w:left w:val="single" w:sz="4" w:space="0" w:color="auto"/>
              <w:bottom w:val="single" w:sz="4" w:space="0" w:color="auto"/>
              <w:right w:val="single" w:sz="4" w:space="0" w:color="auto"/>
            </w:tcBorders>
            <w:vAlign w:val="center"/>
          </w:tcPr>
          <w:p w14:paraId="41A27259" w14:textId="77777777" w:rsidR="005E000F" w:rsidRDefault="00000000">
            <w:pPr>
              <w:autoSpaceDE w:val="0"/>
              <w:autoSpaceDN w:val="0"/>
              <w:adjustRightInd w:val="0"/>
              <w:jc w:val="right"/>
              <w:rPr>
                <w:rFonts w:cs="宋体"/>
                <w:bCs/>
                <w:lang w:eastAsia="en-US"/>
              </w:rPr>
            </w:pPr>
            <w:r>
              <w:rPr>
                <w:rFonts w:cs="宋体" w:hint="eastAsia"/>
                <w:bCs/>
              </w:rPr>
              <w:t>227,174,585</w:t>
            </w:r>
          </w:p>
        </w:tc>
      </w:tr>
      <w:tr w:rsidR="005E000F" w14:paraId="321390B6" w14:textId="77777777">
        <w:tc>
          <w:tcPr>
            <w:tcW w:w="2719" w:type="dxa"/>
            <w:tcBorders>
              <w:top w:val="single" w:sz="4" w:space="0" w:color="auto"/>
              <w:left w:val="single" w:sz="4" w:space="0" w:color="auto"/>
              <w:bottom w:val="single" w:sz="4" w:space="0" w:color="auto"/>
              <w:right w:val="single" w:sz="4" w:space="0" w:color="auto"/>
            </w:tcBorders>
          </w:tcPr>
          <w:p w14:paraId="5D77841E" w14:textId="77777777" w:rsidR="005E000F" w:rsidRDefault="00000000">
            <w:pPr>
              <w:autoSpaceDE w:val="0"/>
              <w:autoSpaceDN w:val="0"/>
              <w:adjustRightInd w:val="0"/>
              <w:rPr>
                <w:rFonts w:cs="宋体"/>
                <w:bCs/>
                <w:lang w:eastAsia="en-US"/>
              </w:rPr>
            </w:pPr>
            <w:r>
              <w:rPr>
                <w:rFonts w:cs="宋体" w:hint="eastAsia"/>
                <w:bCs/>
              </w:rPr>
              <w:t>长期借款</w:t>
            </w:r>
          </w:p>
        </w:tc>
        <w:tc>
          <w:tcPr>
            <w:tcW w:w="2378" w:type="dxa"/>
            <w:tcBorders>
              <w:top w:val="single" w:sz="4" w:space="0" w:color="auto"/>
              <w:left w:val="single" w:sz="4" w:space="0" w:color="auto"/>
              <w:bottom w:val="single" w:sz="4" w:space="0" w:color="auto"/>
              <w:right w:val="single" w:sz="4" w:space="0" w:color="auto"/>
            </w:tcBorders>
          </w:tcPr>
          <w:p w14:paraId="4D145D85" w14:textId="77777777" w:rsidR="005E000F" w:rsidRDefault="00000000">
            <w:pPr>
              <w:autoSpaceDE w:val="0"/>
              <w:autoSpaceDN w:val="0"/>
              <w:adjustRightInd w:val="0"/>
              <w:rPr>
                <w:rFonts w:cs="宋体"/>
                <w:bCs/>
                <w:lang w:eastAsia="en-US"/>
              </w:rPr>
            </w:pPr>
            <w:r>
              <w:rPr>
                <w:rFonts w:cs="宋体" w:hint="eastAsia"/>
                <w:bCs/>
              </w:rPr>
              <w:t>太原局集团公司</w:t>
            </w:r>
          </w:p>
        </w:tc>
        <w:tc>
          <w:tcPr>
            <w:tcW w:w="1845" w:type="dxa"/>
            <w:tcBorders>
              <w:top w:val="single" w:sz="4" w:space="0" w:color="auto"/>
              <w:left w:val="single" w:sz="4" w:space="0" w:color="auto"/>
              <w:bottom w:val="single" w:sz="4" w:space="0" w:color="auto"/>
              <w:right w:val="single" w:sz="4" w:space="0" w:color="auto"/>
            </w:tcBorders>
            <w:vAlign w:val="center"/>
          </w:tcPr>
          <w:p w14:paraId="2154A35D" w14:textId="77777777" w:rsidR="005E000F" w:rsidRDefault="00000000">
            <w:pPr>
              <w:autoSpaceDE w:val="0"/>
              <w:autoSpaceDN w:val="0"/>
              <w:adjustRightInd w:val="0"/>
              <w:jc w:val="right"/>
              <w:rPr>
                <w:rFonts w:cs="宋体"/>
                <w:bCs/>
              </w:rPr>
            </w:pPr>
            <w:r>
              <w:rPr>
                <w:rFonts w:cs="宋体"/>
                <w:bCs/>
              </w:rPr>
              <w:t>400,286,000</w:t>
            </w:r>
          </w:p>
        </w:tc>
        <w:tc>
          <w:tcPr>
            <w:tcW w:w="2105" w:type="dxa"/>
            <w:tcBorders>
              <w:top w:val="single" w:sz="4" w:space="0" w:color="auto"/>
              <w:left w:val="single" w:sz="4" w:space="0" w:color="auto"/>
              <w:bottom w:val="single" w:sz="4" w:space="0" w:color="auto"/>
              <w:right w:val="single" w:sz="4" w:space="0" w:color="auto"/>
            </w:tcBorders>
            <w:vAlign w:val="center"/>
          </w:tcPr>
          <w:p w14:paraId="470BFDC7" w14:textId="77777777" w:rsidR="005E000F" w:rsidRDefault="00000000">
            <w:pPr>
              <w:autoSpaceDE w:val="0"/>
              <w:autoSpaceDN w:val="0"/>
              <w:adjustRightInd w:val="0"/>
              <w:jc w:val="right"/>
              <w:rPr>
                <w:rFonts w:cs="宋体"/>
                <w:bCs/>
                <w:lang w:eastAsia="en-US"/>
              </w:rPr>
            </w:pPr>
            <w:r>
              <w:rPr>
                <w:rFonts w:cs="宋体"/>
                <w:bCs/>
              </w:rPr>
              <w:t>400,354,444</w:t>
            </w:r>
          </w:p>
        </w:tc>
      </w:tr>
    </w:tbl>
    <w:p w14:paraId="33A372A8" w14:textId="77777777" w:rsidR="005E000F" w:rsidRDefault="00000000">
      <w:pPr>
        <w:rPr>
          <w:rFonts w:cstheme="minorBidi"/>
          <w:color w:val="000000" w:themeColor="text1"/>
        </w:rPr>
      </w:pPr>
      <w:r>
        <w:rPr>
          <w:rFonts w:cstheme="minorBidi" w:hint="eastAsia"/>
          <w:color w:val="000000" w:themeColor="text1"/>
        </w:rPr>
        <w:t>注</w:t>
      </w:r>
      <w:r>
        <w:rPr>
          <w:rFonts w:cstheme="minorBidi" w:hint="eastAsia"/>
          <w:color w:val="000000" w:themeColor="text1"/>
        </w:rPr>
        <w:t>1</w:t>
      </w:r>
      <w:r>
        <w:rPr>
          <w:rFonts w:cstheme="minorBidi" w:hint="eastAsia"/>
          <w:color w:val="000000" w:themeColor="text1"/>
        </w:rPr>
        <w:t>：应付账款主要包括接受服务支出以及尚未支付的劳务费及材料</w:t>
      </w:r>
      <w:proofErr w:type="gramStart"/>
      <w:r>
        <w:rPr>
          <w:rFonts w:cstheme="minorBidi" w:hint="eastAsia"/>
          <w:color w:val="000000" w:themeColor="text1"/>
        </w:rPr>
        <w:t>采购款</w:t>
      </w:r>
      <w:proofErr w:type="gramEnd"/>
      <w:r>
        <w:rPr>
          <w:rFonts w:cstheme="minorBidi" w:hint="eastAsia"/>
          <w:color w:val="000000" w:themeColor="text1"/>
        </w:rPr>
        <w:t>等。</w:t>
      </w:r>
    </w:p>
    <w:p w14:paraId="20725706" w14:textId="77777777" w:rsidR="005E000F" w:rsidRDefault="005E000F">
      <w:pPr>
        <w:rPr>
          <w:rFonts w:cstheme="minorBidi"/>
          <w:color w:val="000000" w:themeColor="text1"/>
        </w:rPr>
      </w:pPr>
    </w:p>
    <w:p w14:paraId="5D81394D" w14:textId="77777777" w:rsidR="005E000F" w:rsidRDefault="00000000">
      <w:pPr>
        <w:rPr>
          <w:rFonts w:cstheme="minorBidi"/>
          <w:color w:val="000000" w:themeColor="text1"/>
        </w:rPr>
      </w:pPr>
      <w:r>
        <w:rPr>
          <w:rFonts w:cstheme="minorBidi" w:hint="eastAsia"/>
          <w:color w:val="000000" w:themeColor="text1"/>
        </w:rPr>
        <w:t>注</w:t>
      </w:r>
      <w:r>
        <w:rPr>
          <w:rFonts w:cstheme="minorBidi" w:hint="eastAsia"/>
          <w:color w:val="000000" w:themeColor="text1"/>
        </w:rPr>
        <w:t>2</w:t>
      </w:r>
      <w:r>
        <w:rPr>
          <w:rFonts w:cstheme="minorBidi" w:hint="eastAsia"/>
          <w:color w:val="000000" w:themeColor="text1"/>
        </w:rPr>
        <w:t>：其他应付款主要包括应付太原局集团公司及其下属单位代管资金及尚未结算的工程款等。</w:t>
      </w:r>
    </w:p>
    <w:p w14:paraId="41801AAF" w14:textId="77777777" w:rsidR="005E000F" w:rsidRDefault="005E000F">
      <w:pPr>
        <w:rPr>
          <w:rFonts w:ascii="仿宋_GB2312" w:eastAsia="仿宋_GB2312" w:hAnsiTheme="minorHAnsi" w:cstheme="minorBidi"/>
        </w:rPr>
      </w:pPr>
    </w:p>
    <w:p w14:paraId="6A8C9200" w14:textId="77777777" w:rsidR="005E000F" w:rsidRDefault="005E000F">
      <w:pPr>
        <w:rPr>
          <w:rFonts w:ascii="仿宋_GB2312" w:eastAsia="仿宋_GB2312" w:hAnsiTheme="minorHAnsi" w:cstheme="minorBidi"/>
        </w:rPr>
      </w:pPr>
    </w:p>
    <w:p w14:paraId="2DC9EF74" w14:textId="77777777" w:rsidR="005E000F" w:rsidRDefault="00000000">
      <w:pPr>
        <w:pStyle w:val="4"/>
        <w:numPr>
          <w:ilvl w:val="3"/>
          <w:numId w:val="121"/>
        </w:numPr>
        <w:ind w:left="426" w:hangingChars="202" w:hanging="426"/>
      </w:pPr>
      <w:r>
        <w:rPr>
          <w:rFonts w:hint="eastAsia"/>
        </w:rPr>
        <w:t>其他项目</w:t>
      </w:r>
    </w:p>
    <w:sdt>
      <w:sdtPr>
        <w:alias w:val="是否适用：关联方其他未结算项目情况[双击切换]"/>
        <w:tag w:val="_GBC_61142f5ee3c54a58901e03781b59f5db"/>
        <w:id w:val="1821079869"/>
        <w:placeholder>
          <w:docPart w:val="GBC22222222222222222222222222222"/>
        </w:placeholder>
      </w:sdtPr>
      <w:sdtContent>
        <w:p w14:paraId="36F40CBC"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B9948BC" w14:textId="77777777" w:rsidR="005E000F" w:rsidRDefault="005E000F">
      <w:pPr>
        <w:rPr>
          <w:rFonts w:ascii="仿宋_GB2312" w:eastAsia="仿宋_GB2312"/>
        </w:rPr>
      </w:pPr>
    </w:p>
    <w:p w14:paraId="5288363A" w14:textId="77777777" w:rsidR="005E000F" w:rsidRDefault="00000000">
      <w:pPr>
        <w:pStyle w:val="3"/>
        <w:numPr>
          <w:ilvl w:val="0"/>
          <w:numId w:val="119"/>
        </w:numPr>
      </w:pPr>
      <w:r>
        <w:rPr>
          <w:rFonts w:hint="eastAsia"/>
        </w:rPr>
        <w:t>关联方</w:t>
      </w:r>
      <w:r>
        <w:rPr>
          <w:rFonts w:ascii="宋体" w:hAnsi="宋体" w:cs="Arial" w:hint="eastAsia"/>
          <w:szCs w:val="21"/>
        </w:rPr>
        <w:t>承诺</w:t>
      </w:r>
    </w:p>
    <w:sdt>
      <w:sdtPr>
        <w:rPr>
          <w:rFonts w:hint="eastAsia"/>
        </w:rPr>
        <w:alias w:val="是否适用：关联方承诺[双击切换]"/>
        <w:tag w:val="_GBC_cf52a7b0760b4670b5fc5ea8d7363a6c"/>
        <w:id w:val="-235466986"/>
        <w:placeholder>
          <w:docPart w:val="GBC22222222222222222222222222222"/>
        </w:placeholder>
      </w:sdtPr>
      <w:sdtContent>
        <w:p w14:paraId="4E95386B"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关联方相关承诺"/>
        <w:tag w:val="_GBC_df70b8e1996646148a5cf3439a4f4327"/>
        <w:id w:val="-44995194"/>
        <w:placeholder>
          <w:docPart w:val="GBC22222222222222222222222222222"/>
        </w:placeholder>
      </w:sdtPr>
      <w:sdtContent>
        <w:sdt>
          <w:sdtPr>
            <w:rPr>
              <w:color w:val="000000" w:themeColor="text1"/>
            </w:rPr>
            <w:alias w:val="关联方相关承诺"/>
            <w:tag w:val="_GBC_07be2fbf22ab46319cf1aeac8c65a417"/>
            <w:id w:val="466016191"/>
            <w:placeholder>
              <w:docPart w:val="{67c4d2a6-1a7a-4200-9c8d-a27e7e2e2eae}"/>
            </w:placeholder>
          </w:sdtPr>
          <w:sdtContent>
            <w:p w14:paraId="4DA2498C" w14:textId="77777777" w:rsidR="005E000F" w:rsidRDefault="00000000">
              <w:pPr>
                <w:rPr>
                  <w:color w:val="000000" w:themeColor="text1"/>
                </w:rPr>
              </w:pPr>
              <w:r>
                <w:rPr>
                  <w:rFonts w:hint="eastAsia"/>
                  <w:color w:val="000000" w:themeColor="text1"/>
                </w:rPr>
                <w:t>以下为本集团于资产负债表日，已签约而尚不必在资产负债表上列示的与关联方有关的承诺事项：</w:t>
              </w:r>
            </w:p>
          </w:sdtContent>
        </w:sdt>
        <w:p w14:paraId="65EC502E" w14:textId="77777777" w:rsidR="005E000F" w:rsidRDefault="00000000">
          <w:pPr>
            <w:jc w:val="right"/>
            <w:rPr>
              <w:color w:val="000000" w:themeColor="text1"/>
            </w:rPr>
          </w:pPr>
          <w:r>
            <w:rPr>
              <w:rFonts w:hint="eastAsia"/>
              <w:color w:val="000000" w:themeColor="text1"/>
            </w:rPr>
            <w:t>单位：元</w:t>
          </w:r>
          <w:r>
            <w:rPr>
              <w:rFonts w:hint="eastAsia"/>
              <w:color w:val="000000" w:themeColor="text1"/>
            </w:rPr>
            <w:t xml:space="preserve">  </w:t>
          </w:r>
          <w:r>
            <w:rPr>
              <w:rFonts w:hint="eastAsia"/>
              <w:color w:val="000000" w:themeColor="text1"/>
            </w:rPr>
            <w:t>币种：人民币</w:t>
          </w:r>
          <w:r>
            <w:rPr>
              <w:color w:val="000000" w:themeColor="text1"/>
            </w:rPr>
            <w:t xml:space="preserv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2960"/>
            <w:gridCol w:w="2961"/>
          </w:tblGrid>
          <w:tr w:rsidR="005E000F" w14:paraId="7C75B6F8" w14:textId="77777777">
            <w:tc>
              <w:tcPr>
                <w:tcW w:w="1726" w:type="pct"/>
                <w:tcBorders>
                  <w:top w:val="single" w:sz="4" w:space="0" w:color="auto"/>
                  <w:left w:val="single" w:sz="4" w:space="0" w:color="auto"/>
                  <w:bottom w:val="single" w:sz="4" w:space="0" w:color="auto"/>
                  <w:right w:val="single" w:sz="4" w:space="0" w:color="auto"/>
                </w:tcBorders>
              </w:tcPr>
              <w:p w14:paraId="35CCEA20" w14:textId="77777777" w:rsidR="005E000F" w:rsidRDefault="00000000">
                <w:pPr>
                  <w:jc w:val="center"/>
                  <w:rPr>
                    <w:color w:val="000000" w:themeColor="text1"/>
                  </w:rPr>
                </w:pPr>
                <w:r>
                  <w:rPr>
                    <w:color w:val="000000" w:themeColor="text1"/>
                  </w:rPr>
                  <w:t>接受劳务</w:t>
                </w:r>
              </w:p>
            </w:tc>
            <w:tc>
              <w:tcPr>
                <w:tcW w:w="1636" w:type="pct"/>
                <w:tcBorders>
                  <w:top w:val="single" w:sz="4" w:space="0" w:color="auto"/>
                  <w:left w:val="single" w:sz="4" w:space="0" w:color="auto"/>
                  <w:bottom w:val="single" w:sz="4" w:space="0" w:color="auto"/>
                  <w:right w:val="single" w:sz="4" w:space="0" w:color="auto"/>
                </w:tcBorders>
              </w:tcPr>
              <w:p w14:paraId="113E994E" w14:textId="77777777" w:rsidR="005E000F" w:rsidRDefault="00000000">
                <w:pPr>
                  <w:jc w:val="center"/>
                  <w:rPr>
                    <w:color w:val="000000" w:themeColor="text1"/>
                  </w:rPr>
                </w:pPr>
                <w:r>
                  <w:rPr>
                    <w:rFonts w:hint="eastAsia"/>
                    <w:color w:val="000000" w:themeColor="text1"/>
                  </w:rPr>
                  <w:t>2025</w:t>
                </w:r>
                <w:r>
                  <w:rPr>
                    <w:rFonts w:hint="eastAsia"/>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c>
              <w:tcPr>
                <w:tcW w:w="1637" w:type="pct"/>
                <w:tcBorders>
                  <w:top w:val="single" w:sz="4" w:space="0" w:color="auto"/>
                  <w:left w:val="single" w:sz="4" w:space="0" w:color="auto"/>
                  <w:bottom w:val="single" w:sz="4" w:space="0" w:color="auto"/>
                  <w:right w:val="single" w:sz="4" w:space="0" w:color="auto"/>
                </w:tcBorders>
              </w:tcPr>
              <w:p w14:paraId="298C0A59" w14:textId="77777777" w:rsidR="005E000F" w:rsidRDefault="00000000">
                <w:pPr>
                  <w:jc w:val="center"/>
                  <w:rPr>
                    <w:color w:val="000000" w:themeColor="text1"/>
                  </w:rPr>
                </w:pPr>
                <w:r>
                  <w:rPr>
                    <w:color w:val="000000" w:themeColor="text1"/>
                  </w:rPr>
                  <w:t>2024</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r>
          <w:tr w:rsidR="005E000F" w14:paraId="27C99F91" w14:textId="77777777">
            <w:tc>
              <w:tcPr>
                <w:tcW w:w="1726" w:type="pct"/>
                <w:tcBorders>
                  <w:top w:val="single" w:sz="4" w:space="0" w:color="auto"/>
                  <w:left w:val="single" w:sz="4" w:space="0" w:color="auto"/>
                  <w:bottom w:val="single" w:sz="4" w:space="0" w:color="auto"/>
                  <w:right w:val="single" w:sz="4" w:space="0" w:color="auto"/>
                </w:tcBorders>
              </w:tcPr>
              <w:p w14:paraId="4AF9429A" w14:textId="77777777" w:rsidR="005E000F" w:rsidRDefault="00000000">
                <w:pPr>
                  <w:rPr>
                    <w:color w:val="000000" w:themeColor="text1"/>
                  </w:rPr>
                </w:pPr>
                <w:r>
                  <w:rPr>
                    <w:rFonts w:hint="eastAsia"/>
                    <w:color w:val="000000" w:themeColor="text1"/>
                  </w:rPr>
                  <w:t>国铁集团及其下属单位</w:t>
                </w:r>
              </w:p>
            </w:tc>
            <w:tc>
              <w:tcPr>
                <w:tcW w:w="2960" w:type="dxa"/>
                <w:tcBorders>
                  <w:top w:val="single" w:sz="4" w:space="0" w:color="auto"/>
                  <w:left w:val="single" w:sz="4" w:space="0" w:color="auto"/>
                  <w:bottom w:val="single" w:sz="4" w:space="0" w:color="auto"/>
                  <w:right w:val="single" w:sz="4" w:space="0" w:color="auto"/>
                </w:tcBorders>
                <w:vAlign w:val="center"/>
              </w:tcPr>
              <w:p w14:paraId="577CE72F" w14:textId="77777777" w:rsidR="005E000F" w:rsidRDefault="00000000">
                <w:pPr>
                  <w:jc w:val="right"/>
                </w:pPr>
                <w:r>
                  <w:rPr>
                    <w:rFonts w:hint="eastAsia"/>
                  </w:rPr>
                  <w:t>720,434,688</w:t>
                </w:r>
              </w:p>
            </w:tc>
            <w:tc>
              <w:tcPr>
                <w:tcW w:w="1637" w:type="pct"/>
                <w:tcBorders>
                  <w:top w:val="single" w:sz="4" w:space="0" w:color="auto"/>
                  <w:left w:val="single" w:sz="4" w:space="0" w:color="auto"/>
                  <w:bottom w:val="single" w:sz="4" w:space="0" w:color="auto"/>
                  <w:right w:val="single" w:sz="4" w:space="0" w:color="auto"/>
                </w:tcBorders>
                <w:vAlign w:val="center"/>
              </w:tcPr>
              <w:p w14:paraId="6DBDDCB9" w14:textId="77777777" w:rsidR="005E000F" w:rsidRDefault="00000000">
                <w:pPr>
                  <w:jc w:val="right"/>
                </w:pPr>
                <w:r>
                  <w:rPr>
                    <w:rFonts w:hint="eastAsia"/>
                  </w:rPr>
                  <w:t>62,767,473</w:t>
                </w:r>
              </w:p>
            </w:tc>
          </w:tr>
          <w:tr w:rsidR="005E000F" w14:paraId="756C49D7" w14:textId="77777777">
            <w:tc>
              <w:tcPr>
                <w:tcW w:w="1726" w:type="pct"/>
                <w:tcBorders>
                  <w:top w:val="single" w:sz="4" w:space="0" w:color="auto"/>
                  <w:left w:val="single" w:sz="4" w:space="0" w:color="auto"/>
                  <w:bottom w:val="single" w:sz="4" w:space="0" w:color="auto"/>
                  <w:right w:val="single" w:sz="4" w:space="0" w:color="auto"/>
                </w:tcBorders>
              </w:tcPr>
              <w:p w14:paraId="7CFB48FA" w14:textId="77777777" w:rsidR="005E000F" w:rsidRDefault="00000000">
                <w:pPr>
                  <w:rPr>
                    <w:color w:val="000000" w:themeColor="text1"/>
                  </w:rPr>
                </w:pPr>
                <w:r>
                  <w:rPr>
                    <w:rFonts w:hint="eastAsia"/>
                    <w:color w:val="000000" w:themeColor="text1"/>
                  </w:rPr>
                  <w:t>其中：太原局集团公司及其下属单位</w:t>
                </w:r>
              </w:p>
            </w:tc>
            <w:tc>
              <w:tcPr>
                <w:tcW w:w="2960" w:type="dxa"/>
                <w:tcBorders>
                  <w:top w:val="single" w:sz="4" w:space="0" w:color="auto"/>
                  <w:left w:val="single" w:sz="4" w:space="0" w:color="auto"/>
                  <w:bottom w:val="single" w:sz="4" w:space="0" w:color="auto"/>
                  <w:right w:val="single" w:sz="4" w:space="0" w:color="auto"/>
                </w:tcBorders>
                <w:vAlign w:val="center"/>
              </w:tcPr>
              <w:p w14:paraId="4F2B8DB7" w14:textId="77777777" w:rsidR="005E000F" w:rsidRDefault="00000000">
                <w:pPr>
                  <w:jc w:val="right"/>
                </w:pPr>
                <w:r>
                  <w:rPr>
                    <w:rFonts w:hint="eastAsia"/>
                  </w:rPr>
                  <w:t>119,708,684</w:t>
                </w:r>
              </w:p>
            </w:tc>
            <w:tc>
              <w:tcPr>
                <w:tcW w:w="1637" w:type="pct"/>
                <w:tcBorders>
                  <w:top w:val="single" w:sz="4" w:space="0" w:color="auto"/>
                  <w:left w:val="single" w:sz="4" w:space="0" w:color="auto"/>
                  <w:bottom w:val="single" w:sz="4" w:space="0" w:color="auto"/>
                  <w:right w:val="single" w:sz="4" w:space="0" w:color="auto"/>
                </w:tcBorders>
                <w:vAlign w:val="center"/>
              </w:tcPr>
              <w:p w14:paraId="54E878BA" w14:textId="77777777" w:rsidR="005E000F" w:rsidRDefault="00000000">
                <w:pPr>
                  <w:jc w:val="right"/>
                </w:pPr>
                <w:r>
                  <w:rPr>
                    <w:rFonts w:hint="eastAsia"/>
                  </w:rPr>
                  <w:t>62,049,495</w:t>
                </w:r>
              </w:p>
            </w:tc>
          </w:tr>
        </w:tbl>
        <w:p w14:paraId="5659A7E1" w14:textId="77777777" w:rsidR="005E000F" w:rsidRDefault="005E000F">
          <w:pPr>
            <w:tabs>
              <w:tab w:val="left" w:pos="1134"/>
            </w:tabs>
            <w:rPr>
              <w:rFonts w:cs="Cambria"/>
              <w:color w:val="000000" w:themeColor="text1"/>
              <w:sz w:val="20"/>
              <w:szCs w:val="20"/>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2960"/>
            <w:gridCol w:w="2961"/>
          </w:tblGrid>
          <w:tr w:rsidR="005E000F" w14:paraId="0FBE59F1" w14:textId="77777777">
            <w:tc>
              <w:tcPr>
                <w:tcW w:w="1726" w:type="pct"/>
                <w:tcBorders>
                  <w:top w:val="single" w:sz="4" w:space="0" w:color="auto"/>
                  <w:left w:val="single" w:sz="4" w:space="0" w:color="auto"/>
                  <w:bottom w:val="single" w:sz="4" w:space="0" w:color="auto"/>
                  <w:right w:val="single" w:sz="4" w:space="0" w:color="auto"/>
                </w:tcBorders>
              </w:tcPr>
              <w:p w14:paraId="488A366F" w14:textId="77777777" w:rsidR="005E000F" w:rsidRDefault="00000000">
                <w:pPr>
                  <w:jc w:val="center"/>
                  <w:rPr>
                    <w:color w:val="000000" w:themeColor="text1"/>
                  </w:rPr>
                </w:pPr>
                <w:r>
                  <w:rPr>
                    <w:color w:val="000000" w:themeColor="text1"/>
                  </w:rPr>
                  <w:t>采购商品</w:t>
                </w:r>
              </w:p>
            </w:tc>
            <w:tc>
              <w:tcPr>
                <w:tcW w:w="1636" w:type="pct"/>
                <w:tcBorders>
                  <w:top w:val="single" w:sz="4" w:space="0" w:color="auto"/>
                  <w:left w:val="single" w:sz="4" w:space="0" w:color="auto"/>
                  <w:bottom w:val="single" w:sz="4" w:space="0" w:color="auto"/>
                  <w:right w:val="single" w:sz="4" w:space="0" w:color="auto"/>
                </w:tcBorders>
              </w:tcPr>
              <w:p w14:paraId="7957160A" w14:textId="77777777" w:rsidR="005E000F" w:rsidRDefault="00000000">
                <w:pPr>
                  <w:jc w:val="center"/>
                  <w:rPr>
                    <w:color w:val="000000" w:themeColor="text1"/>
                  </w:rPr>
                </w:pPr>
                <w:r>
                  <w:rPr>
                    <w:rFonts w:hint="eastAsia"/>
                    <w:color w:val="000000" w:themeColor="text1"/>
                  </w:rPr>
                  <w:t>2025</w:t>
                </w:r>
                <w:r>
                  <w:rPr>
                    <w:rFonts w:hint="eastAsia"/>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c>
              <w:tcPr>
                <w:tcW w:w="1637" w:type="pct"/>
                <w:tcBorders>
                  <w:top w:val="single" w:sz="4" w:space="0" w:color="auto"/>
                  <w:left w:val="single" w:sz="4" w:space="0" w:color="auto"/>
                  <w:bottom w:val="single" w:sz="4" w:space="0" w:color="auto"/>
                  <w:right w:val="single" w:sz="4" w:space="0" w:color="auto"/>
                </w:tcBorders>
              </w:tcPr>
              <w:p w14:paraId="1CF5760C" w14:textId="77777777" w:rsidR="005E000F" w:rsidRDefault="00000000">
                <w:pPr>
                  <w:jc w:val="center"/>
                  <w:rPr>
                    <w:color w:val="000000" w:themeColor="text1"/>
                  </w:rPr>
                </w:pPr>
                <w:r>
                  <w:rPr>
                    <w:color w:val="000000" w:themeColor="text1"/>
                  </w:rPr>
                  <w:t>2024</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r>
          <w:tr w:rsidR="005E000F" w14:paraId="6F944538" w14:textId="77777777">
            <w:tc>
              <w:tcPr>
                <w:tcW w:w="1726" w:type="pct"/>
                <w:tcBorders>
                  <w:top w:val="single" w:sz="4" w:space="0" w:color="auto"/>
                  <w:left w:val="single" w:sz="4" w:space="0" w:color="auto"/>
                  <w:bottom w:val="single" w:sz="4" w:space="0" w:color="auto"/>
                  <w:right w:val="single" w:sz="4" w:space="0" w:color="auto"/>
                </w:tcBorders>
              </w:tcPr>
              <w:p w14:paraId="148D3324" w14:textId="77777777" w:rsidR="005E000F" w:rsidRDefault="00000000">
                <w:pPr>
                  <w:rPr>
                    <w:color w:val="000000" w:themeColor="text1"/>
                  </w:rPr>
                </w:pPr>
                <w:r>
                  <w:rPr>
                    <w:rFonts w:hint="eastAsia"/>
                    <w:color w:val="000000" w:themeColor="text1"/>
                  </w:rPr>
                  <w:t>国铁集团及其下属单位</w:t>
                </w:r>
              </w:p>
            </w:tc>
            <w:tc>
              <w:tcPr>
                <w:tcW w:w="2960" w:type="dxa"/>
                <w:tcBorders>
                  <w:top w:val="single" w:sz="4" w:space="0" w:color="auto"/>
                  <w:left w:val="single" w:sz="4" w:space="0" w:color="auto"/>
                  <w:bottom w:val="single" w:sz="4" w:space="0" w:color="auto"/>
                  <w:right w:val="single" w:sz="4" w:space="0" w:color="auto"/>
                </w:tcBorders>
                <w:vAlign w:val="center"/>
              </w:tcPr>
              <w:p w14:paraId="07EFB596" w14:textId="77777777" w:rsidR="005E000F" w:rsidRDefault="00000000">
                <w:pPr>
                  <w:jc w:val="right"/>
                </w:pPr>
                <w:r>
                  <w:rPr>
                    <w:rFonts w:hint="eastAsia"/>
                  </w:rPr>
                  <w:t>166,375,500</w:t>
                </w:r>
              </w:p>
            </w:tc>
            <w:tc>
              <w:tcPr>
                <w:tcW w:w="1637" w:type="pct"/>
                <w:tcBorders>
                  <w:top w:val="single" w:sz="4" w:space="0" w:color="auto"/>
                  <w:left w:val="single" w:sz="4" w:space="0" w:color="auto"/>
                  <w:bottom w:val="single" w:sz="4" w:space="0" w:color="auto"/>
                  <w:right w:val="single" w:sz="4" w:space="0" w:color="auto"/>
                </w:tcBorders>
                <w:vAlign w:val="center"/>
              </w:tcPr>
              <w:p w14:paraId="1215F63D" w14:textId="77777777" w:rsidR="005E000F" w:rsidRDefault="00000000">
                <w:pPr>
                  <w:jc w:val="right"/>
                </w:pPr>
                <w:r>
                  <w:rPr>
                    <w:rFonts w:hint="eastAsia"/>
                  </w:rPr>
                  <w:t>286,769,497</w:t>
                </w:r>
              </w:p>
            </w:tc>
          </w:tr>
          <w:tr w:rsidR="005E000F" w14:paraId="67047E4D" w14:textId="77777777">
            <w:tc>
              <w:tcPr>
                <w:tcW w:w="1726" w:type="pct"/>
                <w:tcBorders>
                  <w:top w:val="single" w:sz="4" w:space="0" w:color="auto"/>
                  <w:left w:val="single" w:sz="4" w:space="0" w:color="auto"/>
                  <w:bottom w:val="single" w:sz="4" w:space="0" w:color="auto"/>
                  <w:right w:val="single" w:sz="4" w:space="0" w:color="auto"/>
                </w:tcBorders>
              </w:tcPr>
              <w:p w14:paraId="263064FD" w14:textId="77777777" w:rsidR="005E000F" w:rsidRDefault="00000000">
                <w:pPr>
                  <w:rPr>
                    <w:color w:val="000000" w:themeColor="text1"/>
                  </w:rPr>
                </w:pPr>
                <w:r>
                  <w:rPr>
                    <w:rFonts w:hint="eastAsia"/>
                    <w:color w:val="000000" w:themeColor="text1"/>
                  </w:rPr>
                  <w:t>其中：太原局集团公司及其下属单位</w:t>
                </w:r>
              </w:p>
            </w:tc>
            <w:tc>
              <w:tcPr>
                <w:tcW w:w="2960" w:type="dxa"/>
                <w:tcBorders>
                  <w:top w:val="single" w:sz="4" w:space="0" w:color="auto"/>
                  <w:left w:val="single" w:sz="4" w:space="0" w:color="auto"/>
                  <w:bottom w:val="single" w:sz="4" w:space="0" w:color="auto"/>
                  <w:right w:val="single" w:sz="4" w:space="0" w:color="auto"/>
                </w:tcBorders>
                <w:vAlign w:val="center"/>
              </w:tcPr>
              <w:p w14:paraId="299F0A44" w14:textId="77777777" w:rsidR="005E000F" w:rsidRDefault="00000000">
                <w:pPr>
                  <w:jc w:val="right"/>
                </w:pPr>
                <w:r>
                  <w:rPr>
                    <w:rFonts w:hint="eastAsia"/>
                  </w:rPr>
                  <w:t>126,693,765</w:t>
                </w:r>
              </w:p>
            </w:tc>
            <w:tc>
              <w:tcPr>
                <w:tcW w:w="1637" w:type="pct"/>
                <w:tcBorders>
                  <w:top w:val="single" w:sz="4" w:space="0" w:color="auto"/>
                  <w:left w:val="single" w:sz="4" w:space="0" w:color="auto"/>
                  <w:bottom w:val="single" w:sz="4" w:space="0" w:color="auto"/>
                  <w:right w:val="single" w:sz="4" w:space="0" w:color="auto"/>
                </w:tcBorders>
                <w:vAlign w:val="center"/>
              </w:tcPr>
              <w:p w14:paraId="555989B3" w14:textId="77777777" w:rsidR="005E000F" w:rsidRDefault="00000000">
                <w:pPr>
                  <w:jc w:val="right"/>
                </w:pPr>
                <w:r>
                  <w:rPr>
                    <w:rFonts w:hint="eastAsia"/>
                  </w:rPr>
                  <w:t>241,474,382</w:t>
                </w:r>
              </w:p>
            </w:tc>
          </w:tr>
        </w:tbl>
        <w:p w14:paraId="326E4DDA" w14:textId="77777777" w:rsidR="005E000F" w:rsidRDefault="005E000F">
          <w:pPr>
            <w:tabs>
              <w:tab w:val="left" w:pos="1134"/>
            </w:tabs>
            <w:rPr>
              <w:rFonts w:cs="Cambria"/>
              <w:color w:val="000000" w:themeColor="text1"/>
              <w:sz w:val="20"/>
              <w:szCs w:val="20"/>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2959"/>
            <w:gridCol w:w="2961"/>
          </w:tblGrid>
          <w:tr w:rsidR="005E000F" w14:paraId="354BCA00" w14:textId="77777777">
            <w:tc>
              <w:tcPr>
                <w:tcW w:w="1727" w:type="pct"/>
                <w:tcBorders>
                  <w:top w:val="single" w:sz="4" w:space="0" w:color="auto"/>
                  <w:left w:val="single" w:sz="4" w:space="0" w:color="auto"/>
                  <w:bottom w:val="single" w:sz="4" w:space="0" w:color="auto"/>
                  <w:right w:val="single" w:sz="4" w:space="0" w:color="auto"/>
                </w:tcBorders>
              </w:tcPr>
              <w:p w14:paraId="4CAD8407" w14:textId="77777777" w:rsidR="005E000F" w:rsidRDefault="00000000">
                <w:pPr>
                  <w:jc w:val="center"/>
                  <w:rPr>
                    <w:color w:val="000000" w:themeColor="text1"/>
                  </w:rPr>
                </w:pPr>
                <w:r>
                  <w:rPr>
                    <w:color w:val="000000" w:themeColor="text1"/>
                  </w:rPr>
                  <w:t>资产收购</w:t>
                </w:r>
              </w:p>
            </w:tc>
            <w:tc>
              <w:tcPr>
                <w:tcW w:w="1636" w:type="pct"/>
                <w:tcBorders>
                  <w:top w:val="single" w:sz="4" w:space="0" w:color="auto"/>
                  <w:left w:val="single" w:sz="4" w:space="0" w:color="auto"/>
                  <w:bottom w:val="single" w:sz="4" w:space="0" w:color="auto"/>
                  <w:right w:val="single" w:sz="4" w:space="0" w:color="auto"/>
                </w:tcBorders>
              </w:tcPr>
              <w:p w14:paraId="37AEE699" w14:textId="77777777" w:rsidR="005E000F" w:rsidRDefault="00000000">
                <w:pPr>
                  <w:jc w:val="center"/>
                  <w:rPr>
                    <w:color w:val="000000" w:themeColor="text1"/>
                  </w:rPr>
                </w:pPr>
                <w:r>
                  <w:rPr>
                    <w:rFonts w:hint="eastAsia"/>
                    <w:color w:val="000000" w:themeColor="text1"/>
                  </w:rPr>
                  <w:t>2025</w:t>
                </w:r>
                <w:r>
                  <w:rPr>
                    <w:rFonts w:hint="eastAsia"/>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c>
              <w:tcPr>
                <w:tcW w:w="1637" w:type="pct"/>
                <w:tcBorders>
                  <w:top w:val="single" w:sz="4" w:space="0" w:color="auto"/>
                  <w:left w:val="single" w:sz="4" w:space="0" w:color="auto"/>
                  <w:bottom w:val="single" w:sz="4" w:space="0" w:color="auto"/>
                  <w:right w:val="single" w:sz="4" w:space="0" w:color="auto"/>
                </w:tcBorders>
              </w:tcPr>
              <w:p w14:paraId="4BD13E31" w14:textId="77777777" w:rsidR="005E000F" w:rsidRDefault="00000000">
                <w:pPr>
                  <w:jc w:val="center"/>
                  <w:rPr>
                    <w:color w:val="000000" w:themeColor="text1"/>
                  </w:rPr>
                </w:pPr>
                <w:r>
                  <w:rPr>
                    <w:color w:val="000000" w:themeColor="text1"/>
                  </w:rPr>
                  <w:t>2024</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r>
          <w:tr w:rsidR="005E000F" w14:paraId="187654FF" w14:textId="77777777">
            <w:tc>
              <w:tcPr>
                <w:tcW w:w="1727" w:type="pct"/>
                <w:tcBorders>
                  <w:top w:val="single" w:sz="4" w:space="0" w:color="auto"/>
                  <w:left w:val="single" w:sz="4" w:space="0" w:color="auto"/>
                  <w:bottom w:val="single" w:sz="4" w:space="0" w:color="auto"/>
                  <w:right w:val="single" w:sz="4" w:space="0" w:color="auto"/>
                </w:tcBorders>
              </w:tcPr>
              <w:p w14:paraId="37912091" w14:textId="77777777" w:rsidR="005E000F" w:rsidRDefault="00000000">
                <w:pPr>
                  <w:rPr>
                    <w:color w:val="000000" w:themeColor="text1"/>
                  </w:rPr>
                </w:pPr>
                <w:r>
                  <w:rPr>
                    <w:rFonts w:hint="eastAsia"/>
                    <w:color w:val="000000" w:themeColor="text1"/>
                  </w:rPr>
                  <w:t>国铁集团及其下属单位</w:t>
                </w:r>
              </w:p>
            </w:tc>
            <w:tc>
              <w:tcPr>
                <w:tcW w:w="1636" w:type="pct"/>
                <w:tcBorders>
                  <w:top w:val="single" w:sz="4" w:space="0" w:color="auto"/>
                  <w:left w:val="single" w:sz="4" w:space="0" w:color="auto"/>
                  <w:bottom w:val="single" w:sz="4" w:space="0" w:color="auto"/>
                  <w:right w:val="single" w:sz="4" w:space="0" w:color="auto"/>
                </w:tcBorders>
                <w:vAlign w:val="center"/>
              </w:tcPr>
              <w:p w14:paraId="559B27DA" w14:textId="77777777" w:rsidR="005E000F" w:rsidRDefault="00000000">
                <w:pPr>
                  <w:jc w:val="right"/>
                </w:pPr>
                <w:r>
                  <w:rPr>
                    <w:rFonts w:hint="eastAsia"/>
                  </w:rPr>
                  <w:t>0</w:t>
                </w:r>
              </w:p>
            </w:tc>
            <w:tc>
              <w:tcPr>
                <w:tcW w:w="1637" w:type="pct"/>
                <w:tcBorders>
                  <w:top w:val="single" w:sz="4" w:space="0" w:color="auto"/>
                  <w:left w:val="single" w:sz="4" w:space="0" w:color="auto"/>
                  <w:bottom w:val="single" w:sz="4" w:space="0" w:color="auto"/>
                  <w:right w:val="single" w:sz="4" w:space="0" w:color="auto"/>
                </w:tcBorders>
                <w:vAlign w:val="center"/>
              </w:tcPr>
              <w:p w14:paraId="3C54B37B" w14:textId="77777777" w:rsidR="005E000F" w:rsidRDefault="00000000">
                <w:pPr>
                  <w:jc w:val="right"/>
                </w:pPr>
                <w:r>
                  <w:rPr>
                    <w:rFonts w:hint="eastAsia"/>
                  </w:rPr>
                  <w:t>28,309,015,300</w:t>
                </w:r>
              </w:p>
            </w:tc>
          </w:tr>
          <w:tr w:rsidR="005E000F" w14:paraId="5A878F08" w14:textId="77777777">
            <w:tc>
              <w:tcPr>
                <w:tcW w:w="1727" w:type="pct"/>
                <w:tcBorders>
                  <w:top w:val="single" w:sz="4" w:space="0" w:color="auto"/>
                  <w:left w:val="single" w:sz="4" w:space="0" w:color="auto"/>
                  <w:bottom w:val="single" w:sz="4" w:space="0" w:color="auto"/>
                  <w:right w:val="single" w:sz="4" w:space="0" w:color="auto"/>
                </w:tcBorders>
              </w:tcPr>
              <w:p w14:paraId="0EA76FEA" w14:textId="77777777" w:rsidR="005E000F" w:rsidRDefault="00000000">
                <w:pPr>
                  <w:rPr>
                    <w:color w:val="000000" w:themeColor="text1"/>
                  </w:rPr>
                </w:pPr>
                <w:r>
                  <w:rPr>
                    <w:rFonts w:hint="eastAsia"/>
                    <w:color w:val="000000" w:themeColor="text1"/>
                  </w:rPr>
                  <w:t>其中：太原局集团公司及其下属单位</w:t>
                </w:r>
              </w:p>
            </w:tc>
            <w:tc>
              <w:tcPr>
                <w:tcW w:w="1636" w:type="pct"/>
                <w:tcBorders>
                  <w:top w:val="single" w:sz="4" w:space="0" w:color="auto"/>
                  <w:left w:val="single" w:sz="4" w:space="0" w:color="auto"/>
                  <w:bottom w:val="single" w:sz="4" w:space="0" w:color="auto"/>
                  <w:right w:val="single" w:sz="4" w:space="0" w:color="auto"/>
                </w:tcBorders>
                <w:vAlign w:val="center"/>
              </w:tcPr>
              <w:p w14:paraId="487D1D1A" w14:textId="77777777" w:rsidR="005E000F" w:rsidRDefault="00000000">
                <w:pPr>
                  <w:jc w:val="right"/>
                </w:pPr>
                <w:r>
                  <w:rPr>
                    <w:rFonts w:hint="eastAsia"/>
                  </w:rPr>
                  <w:t>0</w:t>
                </w:r>
              </w:p>
            </w:tc>
            <w:tc>
              <w:tcPr>
                <w:tcW w:w="1637" w:type="pct"/>
                <w:tcBorders>
                  <w:top w:val="single" w:sz="4" w:space="0" w:color="auto"/>
                  <w:left w:val="single" w:sz="4" w:space="0" w:color="auto"/>
                  <w:bottom w:val="single" w:sz="4" w:space="0" w:color="auto"/>
                  <w:right w:val="single" w:sz="4" w:space="0" w:color="auto"/>
                </w:tcBorders>
                <w:vAlign w:val="center"/>
              </w:tcPr>
              <w:p w14:paraId="02D25806" w14:textId="77777777" w:rsidR="005E000F" w:rsidRDefault="00000000">
                <w:pPr>
                  <w:jc w:val="right"/>
                </w:pPr>
                <w:r>
                  <w:rPr>
                    <w:rFonts w:hint="eastAsia"/>
                  </w:rPr>
                  <w:t>28,309,015,300</w:t>
                </w:r>
              </w:p>
            </w:tc>
          </w:tr>
        </w:tbl>
        <w:p w14:paraId="1D87103C" w14:textId="77777777" w:rsidR="005E000F" w:rsidRDefault="005E000F">
          <w:pPr>
            <w:tabs>
              <w:tab w:val="left" w:pos="1134"/>
            </w:tabs>
            <w:rPr>
              <w:rFonts w:cs="Cambria"/>
              <w:color w:val="000000" w:themeColor="text1"/>
              <w:sz w:val="20"/>
              <w:szCs w:val="20"/>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2958"/>
            <w:gridCol w:w="2961"/>
          </w:tblGrid>
          <w:tr w:rsidR="005E000F" w14:paraId="728E360F" w14:textId="77777777">
            <w:tc>
              <w:tcPr>
                <w:tcW w:w="1727" w:type="pct"/>
                <w:tcBorders>
                  <w:top w:val="single" w:sz="4" w:space="0" w:color="auto"/>
                  <w:left w:val="single" w:sz="4" w:space="0" w:color="auto"/>
                  <w:bottom w:val="single" w:sz="4" w:space="0" w:color="auto"/>
                  <w:right w:val="single" w:sz="4" w:space="0" w:color="auto"/>
                </w:tcBorders>
              </w:tcPr>
              <w:p w14:paraId="61868E9C" w14:textId="77777777" w:rsidR="005E000F" w:rsidRDefault="00000000">
                <w:pPr>
                  <w:jc w:val="center"/>
                  <w:rPr>
                    <w:color w:val="000000" w:themeColor="text1"/>
                  </w:rPr>
                </w:pPr>
                <w:r>
                  <w:rPr>
                    <w:color w:val="000000" w:themeColor="text1"/>
                  </w:rPr>
                  <w:t>租赁</w:t>
                </w:r>
              </w:p>
            </w:tc>
            <w:tc>
              <w:tcPr>
                <w:tcW w:w="1635" w:type="pct"/>
                <w:tcBorders>
                  <w:top w:val="single" w:sz="4" w:space="0" w:color="auto"/>
                  <w:left w:val="single" w:sz="4" w:space="0" w:color="auto"/>
                  <w:bottom w:val="single" w:sz="4" w:space="0" w:color="auto"/>
                  <w:right w:val="single" w:sz="4" w:space="0" w:color="auto"/>
                </w:tcBorders>
              </w:tcPr>
              <w:p w14:paraId="0219D516" w14:textId="77777777" w:rsidR="005E000F" w:rsidRDefault="00000000">
                <w:pPr>
                  <w:jc w:val="center"/>
                  <w:rPr>
                    <w:color w:val="000000" w:themeColor="text1"/>
                  </w:rPr>
                </w:pPr>
                <w:r>
                  <w:rPr>
                    <w:rFonts w:hint="eastAsia"/>
                    <w:color w:val="000000" w:themeColor="text1"/>
                  </w:rPr>
                  <w:t>2025</w:t>
                </w:r>
                <w:r>
                  <w:rPr>
                    <w:rFonts w:hint="eastAsia"/>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c>
              <w:tcPr>
                <w:tcW w:w="1636" w:type="pct"/>
                <w:tcBorders>
                  <w:top w:val="single" w:sz="4" w:space="0" w:color="auto"/>
                  <w:left w:val="single" w:sz="4" w:space="0" w:color="auto"/>
                  <w:bottom w:val="single" w:sz="4" w:space="0" w:color="auto"/>
                  <w:right w:val="single" w:sz="4" w:space="0" w:color="auto"/>
                </w:tcBorders>
              </w:tcPr>
              <w:p w14:paraId="34105B60" w14:textId="77777777" w:rsidR="005E000F" w:rsidRDefault="00000000">
                <w:pPr>
                  <w:jc w:val="center"/>
                  <w:rPr>
                    <w:color w:val="000000" w:themeColor="text1"/>
                  </w:rPr>
                </w:pPr>
                <w:r>
                  <w:rPr>
                    <w:color w:val="000000" w:themeColor="text1"/>
                  </w:rPr>
                  <w:t>2024</w:t>
                </w:r>
                <w:r>
                  <w:rPr>
                    <w:color w:val="000000" w:themeColor="text1"/>
                  </w:rPr>
                  <w:t>年</w:t>
                </w:r>
                <w:r>
                  <w:rPr>
                    <w:color w:val="000000" w:themeColor="text1"/>
                  </w:rPr>
                  <w:t>12</w:t>
                </w:r>
                <w:r>
                  <w:rPr>
                    <w:color w:val="000000" w:themeColor="text1"/>
                  </w:rPr>
                  <w:t>月</w:t>
                </w:r>
                <w:r>
                  <w:rPr>
                    <w:color w:val="000000" w:themeColor="text1"/>
                  </w:rPr>
                  <w:t>31</w:t>
                </w:r>
                <w:r>
                  <w:rPr>
                    <w:color w:val="000000" w:themeColor="text1"/>
                  </w:rPr>
                  <w:t>日</w:t>
                </w:r>
              </w:p>
            </w:tc>
          </w:tr>
          <w:tr w:rsidR="005E000F" w14:paraId="5A47CCDC" w14:textId="77777777">
            <w:tc>
              <w:tcPr>
                <w:tcW w:w="1727" w:type="pct"/>
                <w:tcBorders>
                  <w:top w:val="single" w:sz="4" w:space="0" w:color="auto"/>
                  <w:left w:val="single" w:sz="4" w:space="0" w:color="auto"/>
                  <w:bottom w:val="single" w:sz="4" w:space="0" w:color="auto"/>
                  <w:right w:val="single" w:sz="4" w:space="0" w:color="auto"/>
                </w:tcBorders>
              </w:tcPr>
              <w:p w14:paraId="54BCD988" w14:textId="77777777" w:rsidR="005E000F" w:rsidRDefault="00000000">
                <w:pPr>
                  <w:rPr>
                    <w:color w:val="000000" w:themeColor="text1"/>
                  </w:rPr>
                </w:pPr>
                <w:r>
                  <w:rPr>
                    <w:rFonts w:hint="eastAsia"/>
                    <w:color w:val="000000" w:themeColor="text1"/>
                  </w:rPr>
                  <w:t>租入土地、房屋及设备</w:t>
                </w:r>
              </w:p>
            </w:tc>
            <w:tc>
              <w:tcPr>
                <w:tcW w:w="1635" w:type="pct"/>
                <w:tcBorders>
                  <w:top w:val="single" w:sz="4" w:space="0" w:color="auto"/>
                  <w:left w:val="single" w:sz="4" w:space="0" w:color="auto"/>
                  <w:bottom w:val="single" w:sz="4" w:space="0" w:color="auto"/>
                  <w:right w:val="single" w:sz="4" w:space="0" w:color="auto"/>
                </w:tcBorders>
                <w:vAlign w:val="center"/>
              </w:tcPr>
              <w:p w14:paraId="6BF20873" w14:textId="77777777" w:rsidR="005E000F" w:rsidRDefault="005E000F">
                <w:pPr>
                  <w:jc w:val="right"/>
                </w:pPr>
              </w:p>
            </w:tc>
            <w:tc>
              <w:tcPr>
                <w:tcW w:w="1636" w:type="pct"/>
                <w:tcBorders>
                  <w:top w:val="single" w:sz="4" w:space="0" w:color="auto"/>
                  <w:left w:val="single" w:sz="4" w:space="0" w:color="auto"/>
                  <w:bottom w:val="single" w:sz="4" w:space="0" w:color="auto"/>
                  <w:right w:val="single" w:sz="4" w:space="0" w:color="auto"/>
                </w:tcBorders>
                <w:vAlign w:val="center"/>
              </w:tcPr>
              <w:p w14:paraId="3F3B2002" w14:textId="77777777" w:rsidR="005E000F" w:rsidRDefault="005E000F">
                <w:pPr>
                  <w:jc w:val="right"/>
                </w:pPr>
              </w:p>
            </w:tc>
          </w:tr>
          <w:tr w:rsidR="005E000F" w14:paraId="15386D13" w14:textId="77777777">
            <w:tc>
              <w:tcPr>
                <w:tcW w:w="1727" w:type="pct"/>
                <w:tcBorders>
                  <w:top w:val="single" w:sz="4" w:space="0" w:color="auto"/>
                  <w:left w:val="single" w:sz="4" w:space="0" w:color="auto"/>
                  <w:bottom w:val="single" w:sz="4" w:space="0" w:color="auto"/>
                  <w:right w:val="single" w:sz="4" w:space="0" w:color="auto"/>
                </w:tcBorders>
              </w:tcPr>
              <w:p w14:paraId="0F8AEF7D" w14:textId="77777777" w:rsidR="005E000F" w:rsidRDefault="00000000">
                <w:pPr>
                  <w:rPr>
                    <w:color w:val="000000" w:themeColor="text1"/>
                  </w:rPr>
                </w:pPr>
                <w:r>
                  <w:rPr>
                    <w:rFonts w:hint="eastAsia"/>
                    <w:color w:val="000000" w:themeColor="text1"/>
                  </w:rPr>
                  <w:t>一年以内</w:t>
                </w:r>
              </w:p>
            </w:tc>
            <w:tc>
              <w:tcPr>
                <w:tcW w:w="1635" w:type="pct"/>
                <w:tcBorders>
                  <w:top w:val="single" w:sz="4" w:space="0" w:color="auto"/>
                  <w:left w:val="single" w:sz="4" w:space="0" w:color="auto"/>
                  <w:bottom w:val="single" w:sz="4" w:space="0" w:color="auto"/>
                  <w:right w:val="single" w:sz="4" w:space="0" w:color="auto"/>
                </w:tcBorders>
                <w:vAlign w:val="center"/>
              </w:tcPr>
              <w:p w14:paraId="60124089" w14:textId="77777777" w:rsidR="005E000F" w:rsidRDefault="00000000">
                <w:pPr>
                  <w:jc w:val="right"/>
                </w:pPr>
                <w:r>
                  <w:t>3,434,132</w:t>
                </w:r>
              </w:p>
            </w:tc>
            <w:tc>
              <w:tcPr>
                <w:tcW w:w="1636" w:type="pct"/>
                <w:tcBorders>
                  <w:top w:val="single" w:sz="4" w:space="0" w:color="auto"/>
                  <w:left w:val="single" w:sz="4" w:space="0" w:color="auto"/>
                  <w:bottom w:val="single" w:sz="4" w:space="0" w:color="auto"/>
                  <w:right w:val="single" w:sz="4" w:space="0" w:color="auto"/>
                </w:tcBorders>
                <w:vAlign w:val="center"/>
              </w:tcPr>
              <w:p w14:paraId="3742B577" w14:textId="77777777" w:rsidR="005E000F" w:rsidRDefault="00000000">
                <w:pPr>
                  <w:jc w:val="right"/>
                </w:pPr>
                <w:r>
                  <w:rPr>
                    <w:rFonts w:hint="eastAsia"/>
                  </w:rPr>
                  <w:t>3,860,063</w:t>
                </w:r>
              </w:p>
            </w:tc>
          </w:tr>
          <w:tr w:rsidR="005E000F" w14:paraId="5A9D64A2" w14:textId="77777777">
            <w:tc>
              <w:tcPr>
                <w:tcW w:w="1727" w:type="pct"/>
                <w:tcBorders>
                  <w:top w:val="single" w:sz="4" w:space="0" w:color="auto"/>
                  <w:left w:val="single" w:sz="4" w:space="0" w:color="auto"/>
                  <w:bottom w:val="single" w:sz="4" w:space="0" w:color="auto"/>
                  <w:right w:val="single" w:sz="4" w:space="0" w:color="auto"/>
                </w:tcBorders>
              </w:tcPr>
              <w:p w14:paraId="30BD3963" w14:textId="77777777" w:rsidR="005E000F" w:rsidRDefault="00000000">
                <w:pPr>
                  <w:rPr>
                    <w:color w:val="000000" w:themeColor="text1"/>
                  </w:rPr>
                </w:pPr>
                <w:r>
                  <w:rPr>
                    <w:rFonts w:hint="eastAsia"/>
                    <w:color w:val="000000" w:themeColor="text1"/>
                  </w:rPr>
                  <w:t>合计</w:t>
                </w:r>
              </w:p>
            </w:tc>
            <w:tc>
              <w:tcPr>
                <w:tcW w:w="1635" w:type="pct"/>
                <w:tcBorders>
                  <w:top w:val="single" w:sz="4" w:space="0" w:color="auto"/>
                  <w:left w:val="single" w:sz="4" w:space="0" w:color="auto"/>
                  <w:bottom w:val="single" w:sz="4" w:space="0" w:color="auto"/>
                  <w:right w:val="single" w:sz="4" w:space="0" w:color="auto"/>
                </w:tcBorders>
                <w:shd w:val="clear" w:color="auto" w:fill="auto"/>
                <w:vAlign w:val="center"/>
              </w:tcPr>
              <w:p w14:paraId="664F4961" w14:textId="77777777" w:rsidR="005E000F" w:rsidRDefault="00000000">
                <w:pPr>
                  <w:jc w:val="right"/>
                </w:pPr>
                <w:r>
                  <w:t>3,434,132</w:t>
                </w:r>
              </w:p>
            </w:tc>
            <w:tc>
              <w:tcPr>
                <w:tcW w:w="1636" w:type="pct"/>
                <w:tcBorders>
                  <w:top w:val="single" w:sz="4" w:space="0" w:color="auto"/>
                  <w:left w:val="single" w:sz="4" w:space="0" w:color="auto"/>
                  <w:bottom w:val="single" w:sz="4" w:space="0" w:color="auto"/>
                  <w:right w:val="single" w:sz="4" w:space="0" w:color="auto"/>
                </w:tcBorders>
                <w:shd w:val="clear" w:color="auto" w:fill="auto"/>
                <w:vAlign w:val="center"/>
              </w:tcPr>
              <w:p w14:paraId="0ABEF3D8" w14:textId="77777777" w:rsidR="005E000F" w:rsidRDefault="00000000">
                <w:pPr>
                  <w:jc w:val="right"/>
                </w:pPr>
                <w:r>
                  <w:rPr>
                    <w:rFonts w:hint="eastAsia"/>
                  </w:rPr>
                  <w:t>3,860,063</w:t>
                </w:r>
              </w:p>
            </w:tc>
          </w:tr>
        </w:tbl>
        <w:p w14:paraId="632A7969" w14:textId="77777777" w:rsidR="005E000F" w:rsidRDefault="00000000">
          <w:r>
            <w:rPr>
              <w:rFonts w:hint="eastAsia"/>
            </w:rPr>
            <w:t>注：本公司与关联公司的以上交易事项以合同为准，定价政策遵循政府定价、指导价或参考与市场</w:t>
          </w:r>
          <w:proofErr w:type="gramStart"/>
          <w:r>
            <w:rPr>
              <w:rFonts w:hint="eastAsia"/>
            </w:rPr>
            <w:t>独立第三</w:t>
          </w:r>
          <w:proofErr w:type="gramEnd"/>
          <w:r>
            <w:rPr>
              <w:rFonts w:hint="eastAsia"/>
            </w:rPr>
            <w:t>方的非关联交易价格，并以协议方式协商确定。</w:t>
          </w:r>
        </w:p>
      </w:sdtContent>
    </w:sdt>
    <w:p w14:paraId="6F8093D3" w14:textId="77777777" w:rsidR="005E000F" w:rsidRDefault="005E000F">
      <w:pPr>
        <w:tabs>
          <w:tab w:val="left" w:pos="1134"/>
        </w:tabs>
        <w:rPr>
          <w:rFonts w:ascii="Cambria" w:eastAsiaTheme="minorEastAsia" w:hAnsi="Cambria" w:cs="Cambria"/>
          <w:sz w:val="20"/>
        </w:rPr>
      </w:pPr>
    </w:p>
    <w:p w14:paraId="32B3E7F6" w14:textId="77777777" w:rsidR="005E000F" w:rsidRDefault="005E000F">
      <w:pPr>
        <w:tabs>
          <w:tab w:val="left" w:pos="1134"/>
        </w:tabs>
        <w:rPr>
          <w:rFonts w:ascii="Cambria" w:eastAsiaTheme="minorEastAsia" w:hAnsi="Cambria" w:cs="Cambria"/>
          <w:sz w:val="20"/>
        </w:rPr>
      </w:pPr>
    </w:p>
    <w:p w14:paraId="3AD687D5" w14:textId="77777777" w:rsidR="005E000F" w:rsidRDefault="00000000">
      <w:pPr>
        <w:pStyle w:val="3"/>
        <w:numPr>
          <w:ilvl w:val="0"/>
          <w:numId w:val="119"/>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215936431"/>
        <w:placeholder>
          <w:docPart w:val="GBC22222222222222222222222222222"/>
        </w:placeholder>
      </w:sdtPr>
      <w:sdtContent>
        <w:p w14:paraId="5325CA73" w14:textId="77777777" w:rsidR="005E000F" w:rsidRDefault="00000000">
          <w:pPr>
            <w:tabs>
              <w:tab w:val="left" w:pos="1134"/>
            </w:tabs>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asciiTheme="minorEastAsia" w:eastAsiaTheme="minorEastAsia" w:hAnsiTheme="minorEastAsia" w:cs="Cambria"/>
          <w:bCs/>
          <w:sz w:val="20"/>
        </w:rPr>
        <w:alias w:val="关联方及关联情况的其他说明"/>
        <w:tag w:val="_GBC_50cd215b09e740e1922a5ca84bb00a96"/>
        <w:id w:val="-1245648854"/>
        <w:placeholder>
          <w:docPart w:val="GBC22222222222222222222222222222"/>
        </w:placeholder>
      </w:sdtPr>
      <w:sdtContent>
        <w:sdt>
          <w:sdtPr>
            <w:rPr>
              <w:rFonts w:ascii="宋体" w:hAnsi="宋体" w:hint="eastAsia"/>
              <w:color w:val="000000" w:themeColor="text1"/>
            </w:rPr>
            <w:alias w:val="关联方及关联情况的其他说明"/>
            <w:tag w:val="_GBC_6845e44cf1734e368534cfc0fc2ba9a1"/>
            <w:id w:val="983514521"/>
            <w:placeholder>
              <w:docPart w:val="{461f3512-70b6-4900-b954-67d7377c19b5}"/>
            </w:placeholder>
          </w:sdtPr>
          <w:sdtContent>
            <w:p w14:paraId="6BD46FF9" w14:textId="77777777" w:rsidR="005E000F" w:rsidRDefault="00000000">
              <w:pPr>
                <w:tabs>
                  <w:tab w:val="left" w:pos="1134"/>
                </w:tabs>
                <w:rPr>
                  <w:rFonts w:ascii="宋体" w:hAnsi="宋体"/>
                  <w:color w:val="000000" w:themeColor="text1"/>
                </w:rPr>
              </w:pPr>
              <w:r>
                <w:rPr>
                  <w:rFonts w:ascii="宋体" w:hAnsi="宋体" w:hint="eastAsia"/>
                  <w:color w:val="000000" w:themeColor="text1"/>
                </w:rPr>
                <w:t>国铁集团及其下属单位代公司结算款项</w:t>
              </w:r>
            </w:p>
          </w:sdtContent>
        </w:sdt>
        <w:p w14:paraId="4FD88743" w14:textId="77777777" w:rsidR="005E000F" w:rsidRDefault="00000000">
          <w:pPr>
            <w:spacing w:before="5"/>
            <w:ind w:left="398"/>
            <w:rPr>
              <w:sz w:val="20"/>
            </w:rPr>
          </w:pPr>
        </w:p>
      </w:sdtContent>
    </w:sdt>
    <w:p w14:paraId="40C9ED15" w14:textId="77777777" w:rsidR="005E000F" w:rsidRDefault="00000000">
      <w:pPr>
        <w:tabs>
          <w:tab w:val="left" w:pos="8132"/>
        </w:tabs>
        <w:spacing w:before="3"/>
        <w:jc w:val="right"/>
        <w:rPr>
          <w:sz w:val="20"/>
        </w:rPr>
      </w:pPr>
      <w:r>
        <w:rPr>
          <w:sz w:val="20"/>
        </w:rPr>
        <w:t>单位</w:t>
      </w:r>
      <w:r>
        <w:rPr>
          <w:sz w:val="20"/>
        </w:rPr>
        <w:t>:</w:t>
      </w:r>
      <w:r>
        <w:rPr>
          <w:sz w:val="20"/>
        </w:rPr>
        <w:t>元</w:t>
      </w:r>
      <w:r>
        <w:rPr>
          <w:rFonts w:hint="eastAsia"/>
          <w:sz w:val="20"/>
        </w:rPr>
        <w:t xml:space="preserve">  </w:t>
      </w:r>
      <w:r>
        <w:rPr>
          <w:sz w:val="20"/>
        </w:rPr>
        <w:t>币种</w:t>
      </w:r>
      <w:r>
        <w:rPr>
          <w:sz w:val="20"/>
        </w:rPr>
        <w:t>:</w:t>
      </w:r>
      <w:r>
        <w:rPr>
          <w:sz w:val="20"/>
        </w:rPr>
        <w:t>人民币</w:t>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51"/>
        <w:gridCol w:w="3016"/>
        <w:gridCol w:w="2881"/>
      </w:tblGrid>
      <w:tr w:rsidR="005E000F" w14:paraId="579486EB" w14:textId="77777777">
        <w:trPr>
          <w:trHeight w:val="259"/>
        </w:trPr>
        <w:tc>
          <w:tcPr>
            <w:tcW w:w="1667" w:type="pct"/>
          </w:tcPr>
          <w:p w14:paraId="1D990D02" w14:textId="77777777" w:rsidR="005E000F" w:rsidRDefault="00000000">
            <w:pPr>
              <w:jc w:val="center"/>
              <w:rPr>
                <w:rFonts w:cs="宋体"/>
                <w:bCs/>
                <w:color w:val="000000" w:themeColor="text1"/>
              </w:rPr>
            </w:pPr>
            <w:r>
              <w:rPr>
                <w:rFonts w:cs="宋体"/>
                <w:bCs/>
                <w:color w:val="000000" w:themeColor="text1"/>
              </w:rPr>
              <w:t>项目</w:t>
            </w:r>
          </w:p>
        </w:tc>
        <w:tc>
          <w:tcPr>
            <w:tcW w:w="1704" w:type="pct"/>
          </w:tcPr>
          <w:p w14:paraId="1394B90E" w14:textId="77777777" w:rsidR="005E000F" w:rsidRDefault="00000000">
            <w:pPr>
              <w:jc w:val="center"/>
              <w:rPr>
                <w:rFonts w:cs="宋体"/>
                <w:bCs/>
                <w:color w:val="000000" w:themeColor="text1"/>
              </w:rPr>
            </w:pPr>
            <w:r>
              <w:rPr>
                <w:rFonts w:cs="宋体"/>
                <w:bCs/>
                <w:color w:val="000000" w:themeColor="text1"/>
              </w:rPr>
              <w:t>本期发生额</w:t>
            </w:r>
          </w:p>
        </w:tc>
        <w:tc>
          <w:tcPr>
            <w:tcW w:w="1628" w:type="pct"/>
          </w:tcPr>
          <w:p w14:paraId="4B8C11D2" w14:textId="77777777" w:rsidR="005E000F" w:rsidRDefault="00000000">
            <w:pPr>
              <w:jc w:val="center"/>
              <w:rPr>
                <w:rFonts w:cs="宋体"/>
                <w:bCs/>
                <w:color w:val="000000" w:themeColor="text1"/>
              </w:rPr>
            </w:pPr>
            <w:r>
              <w:rPr>
                <w:rFonts w:cs="宋体"/>
                <w:bCs/>
                <w:color w:val="000000" w:themeColor="text1"/>
              </w:rPr>
              <w:t>上期发生额</w:t>
            </w:r>
          </w:p>
        </w:tc>
      </w:tr>
      <w:tr w:rsidR="005E000F" w14:paraId="1DB0BDE3" w14:textId="77777777">
        <w:trPr>
          <w:trHeight w:val="258"/>
        </w:trPr>
        <w:tc>
          <w:tcPr>
            <w:tcW w:w="1667" w:type="pct"/>
          </w:tcPr>
          <w:p w14:paraId="7808D935" w14:textId="77777777" w:rsidR="005E000F" w:rsidRDefault="00000000">
            <w:pPr>
              <w:rPr>
                <w:rFonts w:cs="宋体"/>
                <w:bCs/>
                <w:color w:val="000000" w:themeColor="text1"/>
              </w:rPr>
            </w:pPr>
            <w:r>
              <w:rPr>
                <w:rFonts w:cs="宋体"/>
                <w:bCs/>
                <w:color w:val="000000" w:themeColor="text1"/>
              </w:rPr>
              <w:t>代</w:t>
            </w:r>
            <w:r>
              <w:rPr>
                <w:rFonts w:cs="宋体" w:hint="eastAsia"/>
                <w:bCs/>
                <w:color w:val="000000" w:themeColor="text1"/>
              </w:rPr>
              <w:t>公司</w:t>
            </w:r>
            <w:r>
              <w:rPr>
                <w:rFonts w:cs="宋体"/>
                <w:bCs/>
                <w:color w:val="000000" w:themeColor="text1"/>
              </w:rPr>
              <w:t>结算收入</w:t>
            </w:r>
          </w:p>
        </w:tc>
        <w:tc>
          <w:tcPr>
            <w:tcW w:w="1704" w:type="pct"/>
            <w:vAlign w:val="center"/>
          </w:tcPr>
          <w:p w14:paraId="0681BF6B" w14:textId="77777777" w:rsidR="005E000F" w:rsidRDefault="00000000">
            <w:pPr>
              <w:jc w:val="right"/>
              <w:textAlignment w:val="center"/>
              <w:rPr>
                <w:rFonts w:ascii="Arial Narrow" w:eastAsia="Arial Narrow" w:hAnsi="Arial Narrow" w:cs="Arial Narrow"/>
                <w:color w:val="000000"/>
                <w:sz w:val="20"/>
                <w:szCs w:val="20"/>
              </w:rPr>
            </w:pPr>
            <w:r>
              <w:t>26,410,034,848</w:t>
            </w:r>
          </w:p>
        </w:tc>
        <w:tc>
          <w:tcPr>
            <w:tcW w:w="1628" w:type="pct"/>
          </w:tcPr>
          <w:p w14:paraId="3A991468" w14:textId="77777777" w:rsidR="005E000F" w:rsidRDefault="00000000">
            <w:pPr>
              <w:jc w:val="right"/>
              <w:rPr>
                <w:rFonts w:cs="宋体"/>
                <w:bCs/>
                <w:color w:val="000000" w:themeColor="text1"/>
              </w:rPr>
            </w:pPr>
            <w:r>
              <w:rPr>
                <w:rFonts w:cs="宋体"/>
                <w:bCs/>
                <w:color w:val="000000" w:themeColor="text1"/>
              </w:rPr>
              <w:t>15,368,068,387</w:t>
            </w:r>
          </w:p>
        </w:tc>
      </w:tr>
    </w:tbl>
    <w:p w14:paraId="20717AB8" w14:textId="77777777" w:rsidR="005E000F" w:rsidRDefault="005E000F">
      <w:pPr>
        <w:tabs>
          <w:tab w:val="left" w:pos="1134"/>
        </w:tabs>
        <w:rPr>
          <w:rFonts w:cs="Cambria"/>
        </w:rPr>
      </w:pPr>
    </w:p>
    <w:p w14:paraId="3C7DA2BC" w14:textId="77777777" w:rsidR="005E000F" w:rsidRDefault="00000000">
      <w:pPr>
        <w:pStyle w:val="2"/>
        <w:numPr>
          <w:ilvl w:val="0"/>
          <w:numId w:val="56"/>
        </w:numPr>
      </w:pPr>
      <w:r>
        <w:rPr>
          <w:rFonts w:hint="eastAsia"/>
        </w:rPr>
        <w:t>股份支付</w:t>
      </w:r>
    </w:p>
    <w:p w14:paraId="3AD8E17C" w14:textId="77777777" w:rsidR="005E000F" w:rsidRDefault="00000000">
      <w:pPr>
        <w:pStyle w:val="3"/>
        <w:numPr>
          <w:ilvl w:val="0"/>
          <w:numId w:val="122"/>
        </w:numPr>
        <w:ind w:left="450" w:hanging="450"/>
        <w:rPr>
          <w:color w:val="000000" w:themeColor="text1"/>
        </w:rPr>
      </w:pPr>
      <w:bookmarkStart w:id="413" w:name="_Hlk182486041"/>
      <w:bookmarkStart w:id="414" w:name="_Hlk40787153"/>
      <w:bookmarkStart w:id="415" w:name="_Hlk151135509"/>
      <w:r>
        <w:rPr>
          <w:rFonts w:hint="eastAsia"/>
          <w:color w:val="000000" w:themeColor="text1"/>
        </w:rPr>
        <w:t>各项权益工具</w:t>
      </w:r>
    </w:p>
    <w:p w14:paraId="2D4F2E0F" w14:textId="77777777" w:rsidR="005E000F" w:rsidRDefault="00000000">
      <w:pPr>
        <w:pStyle w:val="aff8"/>
        <w:numPr>
          <w:ilvl w:val="0"/>
          <w:numId w:val="123"/>
        </w:numPr>
        <w:ind w:firstLineChars="0"/>
        <w:rPr>
          <w:b/>
          <w:bCs/>
        </w:rPr>
      </w:pPr>
      <w:r>
        <w:rPr>
          <w:rFonts w:hint="eastAsia"/>
          <w:b/>
          <w:bCs/>
        </w:rPr>
        <w:t>明细情况</w:t>
      </w:r>
    </w:p>
    <w:bookmarkStart w:id="416" w:name="_Hlk168492989" w:displacedByCustomXml="next"/>
    <w:sdt>
      <w:sdtPr>
        <w:rPr>
          <w:color w:val="000000" w:themeColor="text1"/>
        </w:rPr>
        <w:alias w:val="是否适用：各项权益工具[双击切换]"/>
        <w:tag w:val="_GBC_591f7158994b46b7adfcd7566ff3a5b8"/>
        <w:id w:val="59989729"/>
        <w:placeholder>
          <w:docPart w:val="GBC22222222222222222222222222222"/>
        </w:placeholder>
      </w:sdtPr>
      <w:sdtContent>
        <w:p w14:paraId="51A6D163"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07BB97F0" w14:textId="77777777" w:rsidR="005E000F" w:rsidRDefault="005E000F">
      <w:pPr>
        <w:rPr>
          <w:color w:val="000000" w:themeColor="text1"/>
        </w:rPr>
      </w:pPr>
      <w:bookmarkStart w:id="417" w:name="_Hlk168478628"/>
      <w:bookmarkEnd w:id="416"/>
    </w:p>
    <w:p w14:paraId="42C084EA" w14:textId="77777777" w:rsidR="005E000F" w:rsidRDefault="00000000">
      <w:pPr>
        <w:pStyle w:val="aff8"/>
        <w:numPr>
          <w:ilvl w:val="0"/>
          <w:numId w:val="123"/>
        </w:numPr>
        <w:ind w:firstLineChars="0"/>
        <w:rPr>
          <w:b/>
          <w:bCs/>
        </w:rPr>
      </w:pPr>
      <w:r>
        <w:rPr>
          <w:rFonts w:hint="eastAsia"/>
          <w:b/>
          <w:bCs/>
        </w:rPr>
        <w:t>期末发行在外的股票期权或其他权益工具</w:t>
      </w:r>
    </w:p>
    <w:bookmarkStart w:id="418" w:name="_Hlk168493896" w:displacedByCustomXml="next"/>
    <w:bookmarkStart w:id="419" w:name="_Hlk168493917" w:displacedByCustomXml="next"/>
    <w:sdt>
      <w:sdtPr>
        <w:rPr>
          <w:color w:val="000000" w:themeColor="text1"/>
        </w:rPr>
        <w:alias w:val="是否适用：期末发行在外的股票期权或其他权益工具[双击切换]"/>
        <w:tag w:val="_GBC_8f850d6c945b493292d68c3127f1182d"/>
        <w:id w:val="2089416257"/>
        <w:placeholder>
          <w:docPart w:val="GBC22222222222222222222222222222"/>
        </w:placeholder>
      </w:sdtPr>
      <w:sdtContent>
        <w:p w14:paraId="6EB7DDB8"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bookmarkEnd w:id="417"/>
    <w:bookmarkEnd w:id="419"/>
    <w:bookmarkEnd w:id="418"/>
    <w:p w14:paraId="1EC1DE72" w14:textId="77777777" w:rsidR="005E000F" w:rsidRDefault="005E000F">
      <w:pPr>
        <w:rPr>
          <w:color w:val="000000" w:themeColor="text1"/>
        </w:rPr>
      </w:pPr>
    </w:p>
    <w:p w14:paraId="0E7F85F9" w14:textId="77777777" w:rsidR="005E000F" w:rsidRDefault="005E000F"/>
    <w:p w14:paraId="4D434AAB" w14:textId="77777777" w:rsidR="005E000F" w:rsidRDefault="00000000">
      <w:pPr>
        <w:pStyle w:val="3"/>
        <w:numPr>
          <w:ilvl w:val="0"/>
          <w:numId w:val="122"/>
        </w:numPr>
        <w:ind w:left="420" w:hanging="420"/>
        <w:rPr>
          <w:rFonts w:ascii="宋体" w:hAnsi="宋体"/>
        </w:rPr>
      </w:pPr>
      <w:bookmarkStart w:id="420" w:name="_Hlk40787299"/>
      <w:bookmarkEnd w:id="413"/>
      <w:bookmarkEnd w:id="414"/>
      <w:r>
        <w:rPr>
          <w:rFonts w:ascii="宋体" w:hAnsi="宋体" w:hint="eastAsia"/>
        </w:rPr>
        <w:t>以权益结算的股份支付情况</w:t>
      </w:r>
    </w:p>
    <w:sdt>
      <w:sdtPr>
        <w:alias w:val="是否适用：以权益结算的股份支付情况[双击切换]"/>
        <w:tag w:val="_GBC_8723814961d6478ca2db4f04f2667fcd"/>
        <w:id w:val="803891466"/>
        <w:placeholder>
          <w:docPart w:val="GBC22222222222222222222222222222"/>
        </w:placeholder>
      </w:sdtPr>
      <w:sdtContent>
        <w:p w14:paraId="29945837" w14:textId="77777777" w:rsidR="005E000F" w:rsidRDefault="00000000">
          <w:pPr>
            <w:rPr>
              <w:rFonts w:cstheme="minorBidi"/>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B090482" w14:textId="77777777" w:rsidR="005E000F" w:rsidRDefault="005E000F">
      <w:pPr>
        <w:rPr>
          <w:rFonts w:cstheme="minorBidi"/>
        </w:rPr>
      </w:pPr>
    </w:p>
    <w:bookmarkEnd w:id="415"/>
    <w:bookmarkEnd w:id="420"/>
    <w:p w14:paraId="63FEB07D" w14:textId="77777777" w:rsidR="005E000F" w:rsidRDefault="005E000F"/>
    <w:p w14:paraId="3CC58D44" w14:textId="77777777" w:rsidR="005E000F" w:rsidRDefault="00000000">
      <w:pPr>
        <w:pStyle w:val="3"/>
        <w:numPr>
          <w:ilvl w:val="0"/>
          <w:numId w:val="122"/>
        </w:numPr>
      </w:pPr>
      <w:r>
        <w:rPr>
          <w:rFonts w:hint="eastAsia"/>
        </w:rPr>
        <w:t>以现金结算的股份支付情况</w:t>
      </w:r>
    </w:p>
    <w:sdt>
      <w:sdtPr>
        <w:alias w:val="是否适用：以现金结算的股份支付情况[双击切换]"/>
        <w:tag w:val="_GBC_aa134f611909486bb3a2d6258058f88d"/>
        <w:id w:val="124581041"/>
        <w:placeholder>
          <w:docPart w:val="GBC22222222222222222222222222222"/>
        </w:placeholder>
      </w:sdtPr>
      <w:sdtContent>
        <w:p w14:paraId="01C94C17"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278AE6D" w14:textId="77777777" w:rsidR="005E000F" w:rsidRDefault="005E000F"/>
    <w:p w14:paraId="0AC85B8D" w14:textId="77777777" w:rsidR="005E000F" w:rsidRDefault="00000000">
      <w:pPr>
        <w:pStyle w:val="3"/>
        <w:numPr>
          <w:ilvl w:val="0"/>
          <w:numId w:val="122"/>
        </w:numPr>
        <w:ind w:left="420" w:hanging="420"/>
        <w:rPr>
          <w:color w:val="000000" w:themeColor="text1"/>
        </w:rPr>
      </w:pPr>
      <w:bookmarkStart w:id="421" w:name="_Hlk182486377"/>
      <w:r>
        <w:rPr>
          <w:color w:val="000000" w:themeColor="text1"/>
        </w:rPr>
        <w:t>本期</w:t>
      </w:r>
      <w:r>
        <w:rPr>
          <w:rFonts w:hint="eastAsia"/>
          <w:color w:val="000000" w:themeColor="text1"/>
        </w:rPr>
        <w:t>股份支付费用</w:t>
      </w:r>
    </w:p>
    <w:bookmarkStart w:id="422" w:name="_Hlk168494235" w:displacedByCustomXml="next"/>
    <w:sdt>
      <w:sdtPr>
        <w:rPr>
          <w:color w:val="000000" w:themeColor="text1"/>
        </w:rPr>
        <w:alias w:val="是否适用：股份支付费用[双击切换]"/>
        <w:tag w:val="_GBC_1ce28477cfda4be8ba3dd9f6b49b5010"/>
        <w:id w:val="-1542040785"/>
        <w:placeholder>
          <w:docPart w:val="GBC22222222222222222222222222222"/>
        </w:placeholder>
      </w:sdtPr>
      <w:sdtContent>
        <w:p w14:paraId="436CF36F"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 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sdtContent>
    </w:sdt>
    <w:p w14:paraId="45C3C08A" w14:textId="77777777" w:rsidR="005E000F" w:rsidRDefault="005E000F">
      <w:pPr>
        <w:rPr>
          <w:color w:val="000000" w:themeColor="text1"/>
        </w:rPr>
      </w:pPr>
      <w:bookmarkStart w:id="423" w:name="_Hlk168494436"/>
      <w:bookmarkEnd w:id="422"/>
    </w:p>
    <w:p w14:paraId="01BE5876" w14:textId="77777777" w:rsidR="005E000F" w:rsidRDefault="005E000F">
      <w:pPr>
        <w:rPr>
          <w:color w:val="000000" w:themeColor="text1"/>
        </w:rPr>
      </w:pPr>
    </w:p>
    <w:bookmarkEnd w:id="421"/>
    <w:bookmarkEnd w:id="423"/>
    <w:p w14:paraId="7E5450AC" w14:textId="77777777" w:rsidR="005E000F" w:rsidRDefault="00000000">
      <w:pPr>
        <w:pStyle w:val="3"/>
        <w:numPr>
          <w:ilvl w:val="0"/>
          <w:numId w:val="122"/>
        </w:numPr>
      </w:pPr>
      <w:r>
        <w:rPr>
          <w:rFonts w:hint="eastAsia"/>
        </w:rPr>
        <w:t>股份支付的修改、终止情况</w:t>
      </w:r>
    </w:p>
    <w:sdt>
      <w:sdtPr>
        <w:rPr>
          <w:rFonts w:hint="eastAsia"/>
        </w:rPr>
        <w:alias w:val="是否适用：股份支付的修改、终止情况[双击切换]"/>
        <w:tag w:val="_GBC_6da986e9834d42b9bb7548673f325962"/>
        <w:id w:val="1681397935"/>
        <w:placeholder>
          <w:docPart w:val="GBC22222222222222222222222222222"/>
        </w:placeholder>
      </w:sdtPr>
      <w:sdtContent>
        <w:p w14:paraId="03A7E454" w14:textId="77777777" w:rsidR="005E000F" w:rsidRDefault="00000000">
          <w:pPr>
            <w:rPr>
              <w:rFonts w:asciiTheme="minorHAnsi" w:eastAsiaTheme="minorEastAsia" w:hAnsiTheme="minorHAnsi" w:cstheme="minorBidi"/>
            </w:rPr>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AEF2F13" w14:textId="77777777" w:rsidR="005E000F" w:rsidRDefault="005E000F">
      <w:pPr>
        <w:ind w:firstLineChars="100" w:firstLine="210"/>
      </w:pPr>
    </w:p>
    <w:p w14:paraId="24EDCD76" w14:textId="77777777" w:rsidR="005E000F" w:rsidRDefault="00000000">
      <w:pPr>
        <w:pStyle w:val="3"/>
        <w:numPr>
          <w:ilvl w:val="0"/>
          <w:numId w:val="122"/>
        </w:numPr>
        <w:rPr>
          <w:szCs w:val="21"/>
        </w:rPr>
      </w:pPr>
      <w:r>
        <w:rPr>
          <w:rFonts w:hint="eastAsia"/>
          <w:szCs w:val="21"/>
        </w:rPr>
        <w:t>其他</w:t>
      </w:r>
    </w:p>
    <w:sdt>
      <w:sdtPr>
        <w:rPr>
          <w:rFonts w:hint="eastAsia"/>
        </w:rPr>
        <w:alias w:val="是否适用：股份支付的其他情况说明[双击切换]"/>
        <w:tag w:val="_GBC_d03d26e0d4844b798c3d4b87d2578ece"/>
        <w:id w:val="1097993184"/>
        <w:placeholder>
          <w:docPart w:val="GBC22222222222222222222222222222"/>
        </w:placeholder>
      </w:sdtPr>
      <w:sdtContent>
        <w:p w14:paraId="51EFEE6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C98AFCA" w14:textId="77777777" w:rsidR="005E000F" w:rsidRDefault="005E000F"/>
    <w:p w14:paraId="089CCD33" w14:textId="77777777" w:rsidR="005E000F" w:rsidRDefault="00000000">
      <w:pPr>
        <w:pStyle w:val="2"/>
        <w:numPr>
          <w:ilvl w:val="0"/>
          <w:numId w:val="56"/>
        </w:numPr>
      </w:pPr>
      <w:r>
        <w:rPr>
          <w:rFonts w:hint="eastAsia"/>
        </w:rPr>
        <w:lastRenderedPageBreak/>
        <w:t>承诺及或有事项</w:t>
      </w:r>
    </w:p>
    <w:p w14:paraId="0278D7E7" w14:textId="77777777" w:rsidR="005E000F" w:rsidRDefault="00000000">
      <w:pPr>
        <w:pStyle w:val="3"/>
        <w:numPr>
          <w:ilvl w:val="0"/>
          <w:numId w:val="124"/>
        </w:numPr>
        <w:rPr>
          <w:rFonts w:ascii="宋体" w:hAnsi="宋体"/>
        </w:rPr>
      </w:pPr>
      <w:r>
        <w:rPr>
          <w:rFonts w:ascii="宋体" w:hAnsi="宋体" w:hint="eastAsia"/>
        </w:rPr>
        <w:t>重要承诺事项</w:t>
      </w:r>
    </w:p>
    <w:sdt>
      <w:sdtPr>
        <w:alias w:val="是否适用：重要承诺事项[双击切换]"/>
        <w:tag w:val="_GBC_568be9a6805040a8b9fbd5c5d07b45dd"/>
        <w:id w:val="1210224194"/>
        <w:placeholder>
          <w:docPart w:val="GBC22222222222222222222222222222"/>
        </w:placeholder>
      </w:sdtPr>
      <w:sdtContent>
        <w:p w14:paraId="70FF5922"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cs="Cambria"/>
          <w:bCs/>
        </w:rPr>
        <w:alias w:val="资产负债表日存在的重要承诺"/>
        <w:tag w:val="_GBC_d8961aa2bd524a56bb4914de9e5d2dc3"/>
        <w:id w:val="-593632532"/>
        <w:placeholder>
          <w:docPart w:val="GBC22222222222222222222222222222"/>
        </w:placeholder>
      </w:sdtPr>
      <w:sdtContent>
        <w:p w14:paraId="0F0B719B" w14:textId="77777777" w:rsidR="005E000F" w:rsidRDefault="00000000">
          <w:pPr>
            <w:rPr>
              <w:rFonts w:cs="Cambria"/>
              <w:bCs/>
            </w:rPr>
          </w:pPr>
          <w:r>
            <w:rPr>
              <w:rFonts w:cs="Cambria" w:hint="eastAsia"/>
              <w:color w:val="000000" w:themeColor="text1"/>
            </w:rPr>
            <w:t>于</w:t>
          </w:r>
          <w:r>
            <w:rPr>
              <w:rFonts w:cs="Cambria" w:hint="eastAsia"/>
              <w:color w:val="000000" w:themeColor="text1"/>
            </w:rPr>
            <w:t>2025</w:t>
          </w:r>
          <w:r>
            <w:rPr>
              <w:rFonts w:cs="Cambria" w:hint="eastAsia"/>
              <w:color w:val="000000" w:themeColor="text1"/>
            </w:rPr>
            <w:t>年</w:t>
          </w:r>
          <w:r>
            <w:rPr>
              <w:rFonts w:cs="Cambria" w:hint="eastAsia"/>
              <w:color w:val="000000" w:themeColor="text1"/>
            </w:rPr>
            <w:t>12</w:t>
          </w:r>
          <w:r>
            <w:rPr>
              <w:rFonts w:cs="Cambria" w:hint="eastAsia"/>
              <w:color w:val="000000" w:themeColor="text1"/>
            </w:rPr>
            <w:t>月</w:t>
          </w:r>
          <w:r>
            <w:rPr>
              <w:rFonts w:cs="Cambria" w:hint="eastAsia"/>
              <w:color w:val="000000" w:themeColor="text1"/>
            </w:rPr>
            <w:t>31</w:t>
          </w:r>
          <w:r>
            <w:rPr>
              <w:rFonts w:cs="Cambria" w:hint="eastAsia"/>
              <w:color w:val="000000" w:themeColor="text1"/>
            </w:rPr>
            <w:t>日本集团已签约的短期租赁的未来潜在现金流出汇总如下：</w:t>
          </w:r>
        </w:p>
      </w:sdtContent>
    </w:sdt>
    <w:p w14:paraId="45120247" w14:textId="77777777" w:rsidR="005E000F" w:rsidRDefault="00000000">
      <w:pPr>
        <w:jc w:val="right"/>
        <w:rPr>
          <w:color w:val="000000" w:themeColor="text1"/>
        </w:rPr>
      </w:pPr>
      <w:r>
        <w:rPr>
          <w:rFonts w:hint="eastAsia"/>
          <w:color w:val="000000" w:themeColor="text1"/>
        </w:rPr>
        <w:t>单位：</w:t>
      </w:r>
      <w:sdt>
        <w:sdtPr>
          <w:rPr>
            <w:rFonts w:hint="eastAsia"/>
            <w:color w:val="000000" w:themeColor="text1"/>
          </w:rPr>
          <w:alias w:val="单位：关联方其他未结算项目情况"/>
          <w:tag w:val="_GBC_b360707c811347dbbb331a46f9387419"/>
          <w:id w:val="147469804"/>
          <w:placeholder>
            <w:docPart w:val="{2030983b-6078-45fe-8282-6534f2206fc9}"/>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关联方其他未结算项目情况"/>
          <w:tag w:val="_GBC_4db6df967fca4da6a77a07ac06837668"/>
          <w:id w:val="147459652"/>
          <w:placeholder>
            <w:docPart w:val="{2030983b-6078-45fe-8282-6534f2206fc9}"/>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r>
        <w:rPr>
          <w:color w:val="000000" w:themeColor="text1"/>
        </w:rPr>
        <w:t xml:space="preserv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2960"/>
        <w:gridCol w:w="2961"/>
      </w:tblGrid>
      <w:tr w:rsidR="005E000F" w14:paraId="6C5D0CB1" w14:textId="77777777">
        <w:tc>
          <w:tcPr>
            <w:tcW w:w="1726" w:type="pct"/>
            <w:tcBorders>
              <w:top w:val="single" w:sz="4" w:space="0" w:color="auto"/>
              <w:left w:val="single" w:sz="4" w:space="0" w:color="auto"/>
              <w:bottom w:val="single" w:sz="4" w:space="0" w:color="auto"/>
              <w:right w:val="single" w:sz="4" w:space="0" w:color="auto"/>
            </w:tcBorders>
          </w:tcPr>
          <w:p w14:paraId="5EEE35C2" w14:textId="77777777" w:rsidR="005E000F" w:rsidRDefault="00000000">
            <w:pPr>
              <w:jc w:val="center"/>
              <w:rPr>
                <w:color w:val="000000" w:themeColor="text1"/>
              </w:rPr>
            </w:pPr>
            <w:r>
              <w:rPr>
                <w:color w:val="000000" w:themeColor="text1"/>
              </w:rPr>
              <w:t>项目</w:t>
            </w:r>
          </w:p>
        </w:tc>
        <w:tc>
          <w:tcPr>
            <w:tcW w:w="1636" w:type="pct"/>
            <w:tcBorders>
              <w:top w:val="single" w:sz="4" w:space="0" w:color="auto"/>
              <w:left w:val="single" w:sz="4" w:space="0" w:color="auto"/>
              <w:bottom w:val="single" w:sz="4" w:space="0" w:color="auto"/>
              <w:right w:val="single" w:sz="4" w:space="0" w:color="auto"/>
            </w:tcBorders>
          </w:tcPr>
          <w:p w14:paraId="739136C1" w14:textId="77777777" w:rsidR="005E000F" w:rsidRDefault="00000000">
            <w:pPr>
              <w:jc w:val="center"/>
              <w:rPr>
                <w:color w:val="000000" w:themeColor="text1"/>
              </w:rPr>
            </w:pPr>
            <w:r>
              <w:rPr>
                <w:rFonts w:hint="eastAsia"/>
                <w:color w:val="000000" w:themeColor="text1"/>
              </w:rPr>
              <w:t>本期发生额</w:t>
            </w:r>
          </w:p>
        </w:tc>
        <w:tc>
          <w:tcPr>
            <w:tcW w:w="1637" w:type="pct"/>
            <w:tcBorders>
              <w:top w:val="single" w:sz="4" w:space="0" w:color="auto"/>
              <w:left w:val="single" w:sz="4" w:space="0" w:color="auto"/>
              <w:bottom w:val="single" w:sz="4" w:space="0" w:color="auto"/>
              <w:right w:val="single" w:sz="4" w:space="0" w:color="auto"/>
            </w:tcBorders>
          </w:tcPr>
          <w:p w14:paraId="24EE7DCE" w14:textId="77777777" w:rsidR="005E000F" w:rsidRDefault="00000000">
            <w:pPr>
              <w:jc w:val="center"/>
              <w:rPr>
                <w:color w:val="000000" w:themeColor="text1"/>
              </w:rPr>
            </w:pPr>
            <w:r>
              <w:rPr>
                <w:rFonts w:hint="eastAsia"/>
                <w:color w:val="000000" w:themeColor="text1"/>
              </w:rPr>
              <w:t>上期发生额</w:t>
            </w:r>
          </w:p>
        </w:tc>
      </w:tr>
      <w:tr w:rsidR="005E000F" w14:paraId="71AAAC65" w14:textId="77777777">
        <w:tc>
          <w:tcPr>
            <w:tcW w:w="1726" w:type="pct"/>
            <w:tcBorders>
              <w:top w:val="single" w:sz="4" w:space="0" w:color="auto"/>
              <w:left w:val="single" w:sz="4" w:space="0" w:color="auto"/>
              <w:bottom w:val="single" w:sz="4" w:space="0" w:color="auto"/>
              <w:right w:val="single" w:sz="4" w:space="0" w:color="auto"/>
            </w:tcBorders>
          </w:tcPr>
          <w:p w14:paraId="48BCDFBB" w14:textId="77777777" w:rsidR="005E000F" w:rsidRDefault="00000000">
            <w:pPr>
              <w:rPr>
                <w:color w:val="000000" w:themeColor="text1"/>
              </w:rPr>
            </w:pPr>
            <w:r>
              <w:rPr>
                <w:rFonts w:hint="eastAsia"/>
                <w:color w:val="000000" w:themeColor="text1"/>
              </w:rPr>
              <w:t>一年以内</w:t>
            </w:r>
          </w:p>
        </w:tc>
        <w:tc>
          <w:tcPr>
            <w:tcW w:w="2960" w:type="dxa"/>
            <w:tcBorders>
              <w:top w:val="single" w:sz="4" w:space="0" w:color="auto"/>
              <w:left w:val="single" w:sz="4" w:space="0" w:color="auto"/>
              <w:bottom w:val="single" w:sz="4" w:space="0" w:color="auto"/>
              <w:right w:val="single" w:sz="4" w:space="0" w:color="auto"/>
            </w:tcBorders>
            <w:vAlign w:val="center"/>
          </w:tcPr>
          <w:p w14:paraId="10DFE579" w14:textId="77777777" w:rsidR="005E000F" w:rsidRDefault="00000000">
            <w:pPr>
              <w:jc w:val="right"/>
              <w:rPr>
                <w:bCs/>
                <w:kern w:val="44"/>
              </w:rPr>
            </w:pPr>
            <w:r>
              <w:rPr>
                <w:rFonts w:hint="eastAsia"/>
                <w:bCs/>
                <w:kern w:val="44"/>
              </w:rPr>
              <w:t>3,434,132</w:t>
            </w:r>
          </w:p>
        </w:tc>
        <w:tc>
          <w:tcPr>
            <w:tcW w:w="2962" w:type="dxa"/>
            <w:tcBorders>
              <w:top w:val="single" w:sz="4" w:space="0" w:color="auto"/>
              <w:left w:val="single" w:sz="4" w:space="0" w:color="auto"/>
              <w:bottom w:val="single" w:sz="4" w:space="0" w:color="auto"/>
              <w:right w:val="single" w:sz="4" w:space="0" w:color="auto"/>
            </w:tcBorders>
            <w:vAlign w:val="center"/>
          </w:tcPr>
          <w:p w14:paraId="787312F1" w14:textId="77777777" w:rsidR="005E000F" w:rsidRDefault="00000000">
            <w:pPr>
              <w:jc w:val="right"/>
              <w:rPr>
                <w:bCs/>
                <w:kern w:val="44"/>
              </w:rPr>
            </w:pPr>
            <w:r>
              <w:rPr>
                <w:bCs/>
                <w:kern w:val="44"/>
              </w:rPr>
              <w:t>3,860,063</w:t>
            </w:r>
          </w:p>
        </w:tc>
      </w:tr>
    </w:tbl>
    <w:p w14:paraId="3BA4A0D8" w14:textId="77777777" w:rsidR="005E000F" w:rsidRDefault="005E000F"/>
    <w:p w14:paraId="35BB4594" w14:textId="77777777" w:rsidR="005E000F" w:rsidRDefault="00000000">
      <w:pPr>
        <w:pStyle w:val="3"/>
        <w:numPr>
          <w:ilvl w:val="0"/>
          <w:numId w:val="124"/>
        </w:numPr>
      </w:pPr>
      <w:r>
        <w:rPr>
          <w:rFonts w:hint="eastAsia"/>
        </w:rPr>
        <w:t>或有事项</w:t>
      </w:r>
    </w:p>
    <w:p w14:paraId="6C6900B3" w14:textId="77777777" w:rsidR="005E000F" w:rsidRDefault="00000000">
      <w:pPr>
        <w:pStyle w:val="4"/>
        <w:numPr>
          <w:ilvl w:val="3"/>
          <w:numId w:val="125"/>
        </w:numPr>
        <w:ind w:left="426" w:hangingChars="202" w:hanging="426"/>
      </w:pPr>
      <w:r>
        <w:rPr>
          <w:rFonts w:hint="eastAsia"/>
        </w:rPr>
        <w:t>资产负债表</w:t>
      </w:r>
      <w:proofErr w:type="gramStart"/>
      <w:r>
        <w:rPr>
          <w:rFonts w:hint="eastAsia"/>
        </w:rPr>
        <w:t>日存在</w:t>
      </w:r>
      <w:proofErr w:type="gramEnd"/>
      <w:r>
        <w:rPr>
          <w:rFonts w:hint="eastAsia"/>
        </w:rPr>
        <w:t>的重要或有事项</w:t>
      </w:r>
    </w:p>
    <w:sdt>
      <w:sdtPr>
        <w:rPr>
          <w:rFonts w:hint="eastAsia"/>
        </w:rPr>
        <w:alias w:val="是否适用：资产负债表日存在的重要或有事项[双击切换]"/>
        <w:tag w:val="_GBC_d987504ad98e408986b4fc6f62089ffe"/>
        <w:id w:val="-539817289"/>
        <w:placeholder>
          <w:docPart w:val="GBC22222222222222222222222222222"/>
        </w:placeholder>
      </w:sdtPr>
      <w:sdtContent>
        <w:p w14:paraId="134CCD3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rPr>
          <w:rFonts w:hint="eastAsia"/>
        </w:rPr>
        <w:alias w:val="资产负债表日存在的重要或有事项"/>
        <w:tag w:val="_GBC_44fe1af4de6e4875a4861efb466efdca"/>
        <w:id w:val="1389688084"/>
        <w:placeholder>
          <w:docPart w:val="4F1E31F4D04742D78B26C3799B5BF3F2"/>
        </w:placeholder>
      </w:sdtPr>
      <w:sdtContent>
        <w:p w14:paraId="046A5A88" w14:textId="77777777" w:rsidR="005E000F" w:rsidRDefault="00000000">
          <w:r>
            <w:rPr>
              <w:rFonts w:hint="eastAsia"/>
            </w:rPr>
            <w:t>1</w:t>
          </w:r>
          <w:r>
            <w:rPr>
              <w:rFonts w:hint="eastAsia"/>
            </w:rPr>
            <w:t>）源通宏业（北京）建筑工程有限公司</w:t>
          </w:r>
        </w:p>
        <w:p w14:paraId="7F1FBDD0" w14:textId="77777777" w:rsidR="005E000F" w:rsidRDefault="005E000F"/>
        <w:p w14:paraId="7FC1CD6B" w14:textId="77777777" w:rsidR="005E000F" w:rsidRDefault="00000000">
          <w:r>
            <w:rPr>
              <w:rFonts w:hint="eastAsia"/>
            </w:rPr>
            <w:t>2025</w:t>
          </w:r>
          <w:r>
            <w:rPr>
              <w:rFonts w:hint="eastAsia"/>
            </w:rPr>
            <w:t>年</w:t>
          </w:r>
          <w:r>
            <w:rPr>
              <w:rFonts w:hint="eastAsia"/>
            </w:rPr>
            <w:t>1</w:t>
          </w:r>
          <w:r>
            <w:rPr>
              <w:rFonts w:hint="eastAsia"/>
            </w:rPr>
            <w:t>月</w:t>
          </w:r>
          <w:r>
            <w:rPr>
              <w:rFonts w:hint="eastAsia"/>
            </w:rPr>
            <w:t>10</w:t>
          </w:r>
          <w:r>
            <w:rPr>
              <w:rFonts w:hint="eastAsia"/>
            </w:rPr>
            <w:t>日，源通宏业（北京）建筑工程有限公司因建设工程施工合同纠纷，将中铁十五局集团有限公司以及本公司的子公司西南环公司起诉到太原铁路运输法院，主张被告中铁十五局集团有限公司立即支付工程款及利息共计金额为</w:t>
          </w:r>
          <w:r>
            <w:rPr>
              <w:rFonts w:hint="eastAsia"/>
            </w:rPr>
            <w:t>210,466,606</w:t>
          </w:r>
          <w:r>
            <w:rPr>
              <w:rFonts w:hint="eastAsia"/>
            </w:rPr>
            <w:t>元，同时主张西南环公司在欠中铁十五局集团有限公司的范围内向其支付工程款。根据</w:t>
          </w:r>
          <w:r>
            <w:rPr>
              <w:rFonts w:hint="eastAsia"/>
            </w:rPr>
            <w:t>2026</w:t>
          </w:r>
          <w:r>
            <w:rPr>
              <w:rFonts w:hint="eastAsia"/>
            </w:rPr>
            <w:t>年</w:t>
          </w:r>
          <w:r>
            <w:rPr>
              <w:rFonts w:hint="eastAsia"/>
            </w:rPr>
            <w:t>1</w:t>
          </w:r>
          <w:r>
            <w:rPr>
              <w:rFonts w:hint="eastAsia"/>
            </w:rPr>
            <w:t>月</w:t>
          </w:r>
          <w:r>
            <w:rPr>
              <w:rFonts w:hint="eastAsia"/>
            </w:rPr>
            <w:t>9</w:t>
          </w:r>
          <w:r>
            <w:rPr>
              <w:rFonts w:hint="eastAsia"/>
            </w:rPr>
            <w:t>日太原铁路运输法院民事判决书（</w:t>
          </w:r>
          <w:r>
            <w:rPr>
              <w:rFonts w:hint="eastAsia"/>
            </w:rPr>
            <w:t>2025</w:t>
          </w:r>
          <w:r>
            <w:rPr>
              <w:rFonts w:hint="eastAsia"/>
            </w:rPr>
            <w:t>）晋</w:t>
          </w:r>
          <w:r>
            <w:rPr>
              <w:rFonts w:hint="eastAsia"/>
            </w:rPr>
            <w:t>7102</w:t>
          </w:r>
          <w:r>
            <w:rPr>
              <w:rFonts w:hint="eastAsia"/>
            </w:rPr>
            <w:t>民初</w:t>
          </w:r>
          <w:r>
            <w:rPr>
              <w:rFonts w:hint="eastAsia"/>
            </w:rPr>
            <w:t>27</w:t>
          </w:r>
          <w:r>
            <w:rPr>
              <w:rFonts w:hint="eastAsia"/>
            </w:rPr>
            <w:t>号判决：本案原告与被告中铁十五局集团有限公司签订的《工程施工合同》合法有效，并不存在违法分包情形，因此原告不能突破合同相对性，向发包人主张权利。原告主张被告西南环公司支付工程款无事实和法律依据，本院不予支持。被告中铁十五局集团有限公司于本判决生效之日十日内向原告源通宏业（北京）建筑工程有限公司支付</w:t>
          </w:r>
          <w:r>
            <w:rPr>
              <w:rFonts w:hint="eastAsia"/>
            </w:rPr>
            <w:t>91,361,839.51</w:t>
          </w:r>
          <w:r>
            <w:rPr>
              <w:rFonts w:hint="eastAsia"/>
            </w:rPr>
            <w:t>元及逾期利息。</w:t>
          </w:r>
        </w:p>
        <w:p w14:paraId="48F281A0" w14:textId="77777777" w:rsidR="005E000F" w:rsidRDefault="005E000F"/>
        <w:p w14:paraId="1A63A56D" w14:textId="77777777" w:rsidR="005E000F" w:rsidRDefault="00000000">
          <w:r>
            <w:rPr>
              <w:rFonts w:hint="eastAsia"/>
            </w:rPr>
            <w:t>原告源通宏业（北京）建筑工程有限公司已于</w:t>
          </w:r>
          <w:r>
            <w:rPr>
              <w:rFonts w:hint="eastAsia"/>
            </w:rPr>
            <w:t>2026</w:t>
          </w:r>
          <w:r>
            <w:rPr>
              <w:rFonts w:hint="eastAsia"/>
            </w:rPr>
            <w:t>年</w:t>
          </w:r>
          <w:r>
            <w:rPr>
              <w:rFonts w:hint="eastAsia"/>
            </w:rPr>
            <w:t>2</w:t>
          </w:r>
          <w:r>
            <w:rPr>
              <w:rFonts w:hint="eastAsia"/>
            </w:rPr>
            <w:t>月</w:t>
          </w:r>
          <w:r>
            <w:rPr>
              <w:rFonts w:hint="eastAsia"/>
            </w:rPr>
            <w:t>11</w:t>
          </w:r>
          <w:r>
            <w:rPr>
              <w:rFonts w:hint="eastAsia"/>
            </w:rPr>
            <w:t>日提出上诉，截至本财务报表披露日，尚未开庭审理。</w:t>
          </w:r>
        </w:p>
        <w:p w14:paraId="7BCE1951" w14:textId="77777777" w:rsidR="005E000F" w:rsidRDefault="005E000F"/>
        <w:p w14:paraId="2CAE26A6" w14:textId="77777777" w:rsidR="005E000F" w:rsidRDefault="00000000">
          <w:r>
            <w:rPr>
              <w:rFonts w:hint="eastAsia"/>
            </w:rPr>
            <w:t>2</w:t>
          </w:r>
          <w:r>
            <w:rPr>
              <w:rFonts w:hint="eastAsia"/>
            </w:rPr>
            <w:t>）秦皇岛昌德木业有限公司</w:t>
          </w:r>
        </w:p>
        <w:p w14:paraId="300D6946" w14:textId="77777777" w:rsidR="005E000F" w:rsidRDefault="005E000F"/>
        <w:p w14:paraId="0D8C7A66" w14:textId="77777777" w:rsidR="005E000F" w:rsidRDefault="00000000">
          <w:r>
            <w:rPr>
              <w:rFonts w:hint="eastAsia"/>
            </w:rPr>
            <w:t>2025</w:t>
          </w:r>
          <w:r>
            <w:rPr>
              <w:rFonts w:hint="eastAsia"/>
            </w:rPr>
            <w:t>年</w:t>
          </w:r>
          <w:r>
            <w:rPr>
              <w:rFonts w:hint="eastAsia"/>
            </w:rPr>
            <w:t>5</w:t>
          </w:r>
          <w:r>
            <w:rPr>
              <w:rFonts w:hint="eastAsia"/>
            </w:rPr>
            <w:t>月，本公司收到秦皇岛市海港区人民法院传票，秦皇岛昌德木业有限公司因房屋拆迁补偿合同纠纷，将秦皇岛市海港区自然资源和规划局、中国铁路北京局集团有限公司、太原局集团公司及本公司诉至秦皇岛市海港区人民法院，请求：依法判令被告向秦皇岛昌德木业有限公司立即支付其停产停业损失，</w:t>
          </w:r>
          <w:proofErr w:type="gramStart"/>
          <w:r>
            <w:rPr>
              <w:rFonts w:hint="eastAsia"/>
            </w:rPr>
            <w:t>暂计算</w:t>
          </w:r>
          <w:proofErr w:type="gramEnd"/>
          <w:r>
            <w:rPr>
              <w:rFonts w:hint="eastAsia"/>
            </w:rPr>
            <w:t>为</w:t>
          </w:r>
          <w:r>
            <w:rPr>
              <w:rFonts w:hint="eastAsia"/>
            </w:rPr>
            <w:t>82,600,581</w:t>
          </w:r>
          <w:r>
            <w:rPr>
              <w:rFonts w:hint="eastAsia"/>
            </w:rPr>
            <w:t>元，在建工程损失</w:t>
          </w:r>
          <w:r>
            <w:rPr>
              <w:rFonts w:hint="eastAsia"/>
            </w:rPr>
            <w:t>15,000,000</w:t>
          </w:r>
          <w:r>
            <w:rPr>
              <w:rFonts w:hint="eastAsia"/>
            </w:rPr>
            <w:t>元，维护合法权益的必要支出</w:t>
          </w:r>
          <w:r>
            <w:rPr>
              <w:rFonts w:hint="eastAsia"/>
            </w:rPr>
            <w:t>2,000,000</w:t>
          </w:r>
          <w:r>
            <w:rPr>
              <w:rFonts w:hint="eastAsia"/>
            </w:rPr>
            <w:t>元，共计</w:t>
          </w:r>
          <w:r>
            <w:rPr>
              <w:rFonts w:hint="eastAsia"/>
            </w:rPr>
            <w:t>99,600,581</w:t>
          </w:r>
          <w:r>
            <w:rPr>
              <w:rFonts w:hint="eastAsia"/>
            </w:rPr>
            <w:t>元；被告承担本案诉讼费。</w:t>
          </w:r>
        </w:p>
        <w:p w14:paraId="614057F8" w14:textId="77777777" w:rsidR="005E000F" w:rsidRDefault="005E000F"/>
        <w:p w14:paraId="7C7BB8C8" w14:textId="77777777" w:rsidR="005E000F" w:rsidRDefault="00000000">
          <w:r>
            <w:rPr>
              <w:rFonts w:hint="eastAsia"/>
            </w:rPr>
            <w:t>截至本财务报表披露日，已开庭尚未判决。</w:t>
          </w:r>
        </w:p>
        <w:p w14:paraId="316CBBE1" w14:textId="77777777" w:rsidR="005E000F" w:rsidRDefault="005E000F"/>
        <w:p w14:paraId="33707DE2" w14:textId="77777777" w:rsidR="005E000F" w:rsidRDefault="00000000">
          <w:r>
            <w:rPr>
              <w:rFonts w:hint="eastAsia"/>
            </w:rPr>
            <w:t>截至</w:t>
          </w:r>
          <w:r>
            <w:rPr>
              <w:rFonts w:hint="eastAsia"/>
            </w:rPr>
            <w:t>2025</w:t>
          </w:r>
          <w:r>
            <w:rPr>
              <w:rFonts w:hint="eastAsia"/>
            </w:rPr>
            <w:t>年</w:t>
          </w:r>
          <w:r>
            <w:rPr>
              <w:rFonts w:hint="eastAsia"/>
            </w:rPr>
            <w:t>12</w:t>
          </w:r>
          <w:r>
            <w:rPr>
              <w:rFonts w:hint="eastAsia"/>
            </w:rPr>
            <w:t>月</w:t>
          </w:r>
          <w:r>
            <w:rPr>
              <w:rFonts w:hint="eastAsia"/>
            </w:rPr>
            <w:t>31</w:t>
          </w:r>
          <w:r>
            <w:rPr>
              <w:rFonts w:hint="eastAsia"/>
            </w:rPr>
            <w:t>日，本集团不存在其他应披露的或有事项。</w:t>
          </w:r>
        </w:p>
        <w:p w14:paraId="7D9A0417" w14:textId="77777777" w:rsidR="005E000F" w:rsidRDefault="00000000"/>
      </w:sdtContent>
    </w:sdt>
    <w:p w14:paraId="189BE104" w14:textId="77777777" w:rsidR="005E000F" w:rsidRDefault="005E000F"/>
    <w:p w14:paraId="2F141744" w14:textId="77777777" w:rsidR="005E000F" w:rsidRDefault="00000000">
      <w:pPr>
        <w:pStyle w:val="4"/>
        <w:numPr>
          <w:ilvl w:val="3"/>
          <w:numId w:val="125"/>
        </w:numPr>
        <w:ind w:left="426" w:hangingChars="202" w:hanging="426"/>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789240818"/>
        <w:placeholder>
          <w:docPart w:val="GBC22222222222222222222222222222"/>
        </w:placeholder>
      </w:sdtPr>
      <w:sdtContent>
        <w:p w14:paraId="30CD6A1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36CAF47" w14:textId="77777777" w:rsidR="005E000F" w:rsidRDefault="005E000F">
      <w:pPr>
        <w:rPr>
          <w:rFonts w:asciiTheme="minorHAnsi" w:hAnsiTheme="minorHAnsi" w:cstheme="minorBidi"/>
        </w:rPr>
      </w:pPr>
    </w:p>
    <w:p w14:paraId="0B8D2158" w14:textId="77777777" w:rsidR="005E000F" w:rsidRDefault="00000000">
      <w:pPr>
        <w:pStyle w:val="3"/>
        <w:numPr>
          <w:ilvl w:val="0"/>
          <w:numId w:val="124"/>
        </w:numPr>
      </w:pPr>
      <w:r>
        <w:rPr>
          <w:rFonts w:hint="eastAsia"/>
        </w:rPr>
        <w:t>其他</w:t>
      </w:r>
    </w:p>
    <w:sdt>
      <w:sdtPr>
        <w:rPr>
          <w:rFonts w:hint="eastAsia"/>
        </w:rPr>
        <w:alias w:val="是否适用：承诺及或有事项的其他情况说明[双击切换]"/>
        <w:tag w:val="_GBC_cf5b3c02da904b4ea27843983d9a6248"/>
        <w:id w:val="2138062255"/>
        <w:placeholder>
          <w:docPart w:val="GBC22222222222222222222222222222"/>
        </w:placeholder>
      </w:sdtPr>
      <w:sdtContent>
        <w:p w14:paraId="4044EBA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F1273B0" w14:textId="77777777" w:rsidR="005E000F" w:rsidRDefault="005E000F"/>
    <w:p w14:paraId="71ECFBFA" w14:textId="77777777" w:rsidR="005E000F" w:rsidRDefault="00000000">
      <w:pPr>
        <w:pStyle w:val="2"/>
        <w:numPr>
          <w:ilvl w:val="0"/>
          <w:numId w:val="56"/>
        </w:numPr>
      </w:pPr>
      <w:r>
        <w:rPr>
          <w:rFonts w:hint="eastAsia"/>
        </w:rPr>
        <w:lastRenderedPageBreak/>
        <w:t>资产负债表日后事项</w:t>
      </w:r>
    </w:p>
    <w:p w14:paraId="2B8BAC3E" w14:textId="77777777" w:rsidR="005E000F" w:rsidRDefault="00000000">
      <w:pPr>
        <w:pStyle w:val="3"/>
        <w:numPr>
          <w:ilvl w:val="0"/>
          <w:numId w:val="126"/>
        </w:numPr>
      </w:pPr>
      <w:r>
        <w:rPr>
          <w:rFonts w:hint="eastAsia"/>
        </w:rPr>
        <w:t>重要的非调整事项</w:t>
      </w:r>
    </w:p>
    <w:sdt>
      <w:sdtPr>
        <w:alias w:val="是否适用：重要的非调整事项[双击切换]"/>
        <w:tag w:val="_GBC_5d94a9ce52454687be716014c1894fef"/>
        <w:id w:val="-1513679487"/>
        <w:placeholder>
          <w:docPart w:val="GBC22222222222222222222222222222"/>
        </w:placeholder>
      </w:sdtPr>
      <w:sdtContent>
        <w:p w14:paraId="285B9B4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D606A40" w14:textId="77777777" w:rsidR="005E000F" w:rsidRDefault="005E000F"/>
    <w:p w14:paraId="56D8FE54" w14:textId="77777777" w:rsidR="005E000F" w:rsidRDefault="00000000">
      <w:pPr>
        <w:pStyle w:val="3"/>
        <w:numPr>
          <w:ilvl w:val="0"/>
          <w:numId w:val="126"/>
        </w:numPr>
      </w:pPr>
      <w:r>
        <w:rPr>
          <w:rFonts w:hint="eastAsia"/>
        </w:rPr>
        <w:t>利润分配情况</w:t>
      </w:r>
    </w:p>
    <w:sdt>
      <w:sdtPr>
        <w:alias w:val="是否适用：利润分配情况[双击切换]"/>
        <w:tag w:val="_GBC_9a91fb54a6c146e5b9ee1ecff3141237"/>
        <w:id w:val="-635795705"/>
        <w:placeholder>
          <w:docPart w:val="GBC22222222222222222222222222222"/>
        </w:placeholder>
      </w:sdtPr>
      <w:sdtContent>
        <w:p w14:paraId="5DA1B7A0"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00E7089" w14:textId="77777777" w:rsidR="005E000F" w:rsidRDefault="00000000">
      <w:pPr>
        <w:jc w:val="right"/>
      </w:pPr>
      <w:r>
        <w:rPr>
          <w:rFonts w:hint="eastAsia"/>
        </w:rPr>
        <w:t>单位：</w:t>
      </w:r>
      <w:sdt>
        <w:sdtPr>
          <w:rPr>
            <w:rFonts w:hint="eastAsia"/>
          </w:rPr>
          <w:alias w:val="单位：财务附注：资产负债表日后利润分配情况说明"/>
          <w:tag w:val="_GBC_6424df7632ca4cf5ab9e9760e3119d62"/>
          <w:id w:val="172710322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资产负债表日后利润分配情况说明"/>
          <w:tag w:val="_GBC_e75fd1607c614d249844c767ceffa84e"/>
          <w:id w:val="28439907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2"/>
        <w:gridCol w:w="5326"/>
      </w:tblGrid>
      <w:tr w:rsidR="005E000F" w14:paraId="13471944" w14:textId="77777777">
        <w:tc>
          <w:tcPr>
            <w:tcW w:w="3722" w:type="dxa"/>
            <w:tcBorders>
              <w:top w:val="single" w:sz="4" w:space="0" w:color="auto"/>
              <w:left w:val="single" w:sz="4" w:space="0" w:color="auto"/>
              <w:bottom w:val="single" w:sz="4" w:space="0" w:color="auto"/>
              <w:right w:val="single" w:sz="4" w:space="0" w:color="auto"/>
            </w:tcBorders>
            <w:vAlign w:val="center"/>
          </w:tcPr>
          <w:p w14:paraId="64FFF176" w14:textId="77777777" w:rsidR="005E000F" w:rsidRDefault="00000000">
            <w:r>
              <w:rPr>
                <w:rFonts w:hint="eastAsia"/>
              </w:rPr>
              <w:t>拟分配的利润或股利</w:t>
            </w:r>
          </w:p>
        </w:tc>
        <w:tc>
          <w:tcPr>
            <w:tcW w:w="5326" w:type="dxa"/>
            <w:tcBorders>
              <w:top w:val="single" w:sz="4" w:space="0" w:color="auto"/>
              <w:left w:val="single" w:sz="4" w:space="0" w:color="auto"/>
              <w:bottom w:val="single" w:sz="4" w:space="0" w:color="auto"/>
              <w:right w:val="single" w:sz="4" w:space="0" w:color="auto"/>
            </w:tcBorders>
            <w:shd w:val="clear" w:color="auto" w:fill="auto"/>
            <w:vAlign w:val="center"/>
          </w:tcPr>
          <w:p w14:paraId="49DF36D3" w14:textId="77777777" w:rsidR="005E000F" w:rsidRDefault="00000000">
            <w:pPr>
              <w:jc w:val="right"/>
              <w:rPr>
                <w:bCs/>
                <w:kern w:val="44"/>
              </w:rPr>
            </w:pPr>
            <w:r>
              <w:rPr>
                <w:bCs/>
                <w:kern w:val="44"/>
              </w:rPr>
              <w:t>2,814,431,062</w:t>
            </w:r>
            <w:r>
              <w:rPr>
                <w:rFonts w:hint="eastAsia"/>
                <w:bCs/>
                <w:kern w:val="44"/>
              </w:rPr>
              <w:t>.24</w:t>
            </w:r>
          </w:p>
        </w:tc>
      </w:tr>
      <w:tr w:rsidR="005E000F" w14:paraId="2C04B391" w14:textId="77777777">
        <w:tc>
          <w:tcPr>
            <w:tcW w:w="3722" w:type="dxa"/>
            <w:tcBorders>
              <w:top w:val="single" w:sz="4" w:space="0" w:color="auto"/>
              <w:left w:val="single" w:sz="4" w:space="0" w:color="auto"/>
              <w:bottom w:val="single" w:sz="4" w:space="0" w:color="auto"/>
              <w:right w:val="single" w:sz="4" w:space="0" w:color="auto"/>
            </w:tcBorders>
            <w:vAlign w:val="center"/>
          </w:tcPr>
          <w:p w14:paraId="29A10CA9" w14:textId="77777777" w:rsidR="005E000F" w:rsidRDefault="00000000">
            <w:r>
              <w:rPr>
                <w:rFonts w:hint="eastAsia"/>
              </w:rPr>
              <w:t>经审议批准宣告发放的利润或股利</w:t>
            </w:r>
          </w:p>
        </w:tc>
        <w:tc>
          <w:tcPr>
            <w:tcW w:w="5326" w:type="dxa"/>
            <w:tcBorders>
              <w:top w:val="single" w:sz="4" w:space="0" w:color="auto"/>
              <w:left w:val="single" w:sz="4" w:space="0" w:color="auto"/>
              <w:bottom w:val="single" w:sz="4" w:space="0" w:color="auto"/>
              <w:right w:val="single" w:sz="4" w:space="0" w:color="auto"/>
            </w:tcBorders>
            <w:shd w:val="clear" w:color="auto" w:fill="auto"/>
            <w:vAlign w:val="center"/>
          </w:tcPr>
          <w:p w14:paraId="226F89C3" w14:textId="77777777" w:rsidR="005E000F" w:rsidRDefault="00000000">
            <w:pPr>
              <w:jc w:val="right"/>
              <w:rPr>
                <w:bCs/>
                <w:kern w:val="44"/>
              </w:rPr>
            </w:pPr>
            <w:r>
              <w:rPr>
                <w:bCs/>
                <w:kern w:val="44"/>
              </w:rPr>
              <w:t>2,814,431,062</w:t>
            </w:r>
            <w:r>
              <w:rPr>
                <w:rFonts w:hint="eastAsia"/>
                <w:bCs/>
                <w:kern w:val="44"/>
              </w:rPr>
              <w:t>.24</w:t>
            </w:r>
          </w:p>
        </w:tc>
      </w:tr>
    </w:tbl>
    <w:p w14:paraId="4B697E38" w14:textId="77777777" w:rsidR="005E000F" w:rsidRDefault="00000000">
      <w:r>
        <w:rPr>
          <w:rFonts w:hint="eastAsia"/>
        </w:rPr>
        <w:t>根据</w:t>
      </w:r>
      <w:r>
        <w:rPr>
          <w:rFonts w:hint="eastAsia"/>
        </w:rPr>
        <w:t>2026</w:t>
      </w:r>
      <w:r>
        <w:rPr>
          <w:rFonts w:hint="eastAsia"/>
        </w:rPr>
        <w:t>年</w:t>
      </w:r>
      <w:r>
        <w:rPr>
          <w:rFonts w:hint="eastAsia"/>
        </w:rPr>
        <w:t>4</w:t>
      </w:r>
      <w:r>
        <w:rPr>
          <w:rFonts w:hint="eastAsia"/>
        </w:rPr>
        <w:t>月</w:t>
      </w:r>
      <w:r>
        <w:rPr>
          <w:rFonts w:hint="eastAsia"/>
        </w:rPr>
        <w:t>28</w:t>
      </w:r>
      <w:r>
        <w:rPr>
          <w:rFonts w:hint="eastAsia"/>
        </w:rPr>
        <w:t>日董事会决议，董事会提议本公司以</w:t>
      </w:r>
      <w:r>
        <w:rPr>
          <w:rFonts w:hint="eastAsia"/>
        </w:rPr>
        <w:t>2025</w:t>
      </w:r>
      <w:r>
        <w:rPr>
          <w:rFonts w:hint="eastAsia"/>
        </w:rPr>
        <w:t>年末总股本扣减回购专户的股份余额</w:t>
      </w:r>
      <w:r>
        <w:rPr>
          <w:rFonts w:hint="eastAsia"/>
        </w:rPr>
        <w:t>20,103,079,016</w:t>
      </w:r>
      <w:r>
        <w:rPr>
          <w:rFonts w:hint="eastAsia"/>
        </w:rPr>
        <w:t>股为基数，每股派现金股利</w:t>
      </w:r>
      <w:r>
        <w:rPr>
          <w:rFonts w:hint="eastAsia"/>
        </w:rPr>
        <w:t>0.14</w:t>
      </w:r>
      <w:r>
        <w:rPr>
          <w:rFonts w:hint="eastAsia"/>
        </w:rPr>
        <w:t>元（含税），</w:t>
      </w:r>
      <w:r>
        <w:rPr>
          <w:rFonts w:hint="eastAsia"/>
        </w:rPr>
        <w:t>2025</w:t>
      </w:r>
      <w:r>
        <w:rPr>
          <w:rFonts w:hint="eastAsia"/>
        </w:rPr>
        <w:t>年末期共分配现金股利</w:t>
      </w:r>
      <w:r>
        <w:rPr>
          <w:rFonts w:hint="eastAsia"/>
        </w:rPr>
        <w:t>2,814,431,062.24</w:t>
      </w:r>
      <w:r>
        <w:rPr>
          <w:rFonts w:hint="eastAsia"/>
        </w:rPr>
        <w:t>元。该利润分配决议尚待股东大会批准，未在本财务报表中确认为负债。</w:t>
      </w:r>
    </w:p>
    <w:p w14:paraId="291BFB31" w14:textId="77777777" w:rsidR="005E000F" w:rsidRDefault="005E000F"/>
    <w:p w14:paraId="31806044" w14:textId="77777777" w:rsidR="005E000F" w:rsidRDefault="00000000">
      <w:pPr>
        <w:pStyle w:val="3"/>
        <w:numPr>
          <w:ilvl w:val="0"/>
          <w:numId w:val="126"/>
        </w:numPr>
      </w:pPr>
      <w:r>
        <w:rPr>
          <w:rFonts w:hint="eastAsia"/>
          <w:szCs w:val="21"/>
        </w:rPr>
        <w:t>销售</w:t>
      </w:r>
      <w:r>
        <w:rPr>
          <w:rFonts w:hint="eastAsia"/>
        </w:rPr>
        <w:t>退回</w:t>
      </w:r>
    </w:p>
    <w:sdt>
      <w:sdtPr>
        <w:alias w:val="是否适用：销售退回[双击切换]"/>
        <w:tag w:val="_GBC_7fb2ecaa1ffb494486f4a8b2e94240d2"/>
        <w:id w:val="-1351492577"/>
        <w:placeholder>
          <w:docPart w:val="GBC22222222222222222222222222222"/>
        </w:placeholder>
      </w:sdtPr>
      <w:sdtContent>
        <w:p w14:paraId="24F9E5E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1F57030" w14:textId="77777777" w:rsidR="005E000F" w:rsidRDefault="005E000F"/>
    <w:p w14:paraId="5FDDADCA" w14:textId="77777777" w:rsidR="005E000F" w:rsidRDefault="00000000">
      <w:pPr>
        <w:pStyle w:val="3"/>
        <w:numPr>
          <w:ilvl w:val="0"/>
          <w:numId w:val="126"/>
        </w:numPr>
      </w:pPr>
      <w:r>
        <w:rPr>
          <w:rFonts w:hint="eastAsia"/>
        </w:rPr>
        <w:t>其他资产负债表日后事项说明</w:t>
      </w:r>
    </w:p>
    <w:sdt>
      <w:sdtPr>
        <w:rPr>
          <w:rFonts w:hint="eastAsia"/>
        </w:rPr>
        <w:alias w:val="是否适用：其他资产负债表日后事项说明[双击切换]"/>
        <w:tag w:val="_GBC_4fc0f824aaea4ed096cae3b9f97ff314"/>
        <w:id w:val="-154988784"/>
        <w:placeholder>
          <w:docPart w:val="GBC22222222222222222222222222222"/>
        </w:placeholder>
      </w:sdtPr>
      <w:sdtContent>
        <w:p w14:paraId="5660FBB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sdt>
      <w:sdtPr>
        <w:alias w:val="资产负债表日后事项的说明"/>
        <w:tag w:val="_GBC_b4faff3f61de47eebe30bc0094d05a2f"/>
        <w:id w:val="418072118"/>
        <w:placeholder>
          <w:docPart w:val="236B19BC5FF74EA2A0005B83E79A1215"/>
        </w:placeholder>
      </w:sdtPr>
      <w:sdtContent>
        <w:p w14:paraId="61A68E4C" w14:textId="77777777" w:rsidR="005E000F" w:rsidRDefault="00000000">
          <w:r>
            <w:rPr>
              <w:rFonts w:hint="eastAsia"/>
            </w:rPr>
            <w:t>本公司分别于</w:t>
          </w:r>
          <w:r>
            <w:rPr>
              <w:rFonts w:hint="eastAsia"/>
            </w:rPr>
            <w:t>2025</w:t>
          </w:r>
          <w:r>
            <w:rPr>
              <w:rFonts w:hint="eastAsia"/>
            </w:rPr>
            <w:t>年</w:t>
          </w:r>
          <w:r>
            <w:rPr>
              <w:rFonts w:hint="eastAsia"/>
            </w:rPr>
            <w:t>8</w:t>
          </w:r>
          <w:r>
            <w:rPr>
              <w:rFonts w:hint="eastAsia"/>
            </w:rPr>
            <w:t>月</w:t>
          </w:r>
          <w:r>
            <w:rPr>
              <w:rFonts w:hint="eastAsia"/>
            </w:rPr>
            <w:t>27</w:t>
          </w:r>
          <w:r>
            <w:rPr>
              <w:rFonts w:hint="eastAsia"/>
            </w:rPr>
            <w:t>日、</w:t>
          </w:r>
          <w:r>
            <w:rPr>
              <w:rFonts w:hint="eastAsia"/>
            </w:rPr>
            <w:t>2025</w:t>
          </w:r>
          <w:r>
            <w:rPr>
              <w:rFonts w:hint="eastAsia"/>
            </w:rPr>
            <w:t>年</w:t>
          </w:r>
          <w:r>
            <w:rPr>
              <w:rFonts w:hint="eastAsia"/>
            </w:rPr>
            <w:t>9</w:t>
          </w:r>
          <w:r>
            <w:rPr>
              <w:rFonts w:hint="eastAsia"/>
            </w:rPr>
            <w:t>月</w:t>
          </w:r>
          <w:r>
            <w:rPr>
              <w:rFonts w:hint="eastAsia"/>
            </w:rPr>
            <w:t>23</w:t>
          </w:r>
          <w:r>
            <w:rPr>
              <w:rFonts w:hint="eastAsia"/>
            </w:rPr>
            <w:t>日召开第七届董事会第十三次会议、</w:t>
          </w:r>
          <w:r>
            <w:rPr>
              <w:rFonts w:hint="eastAsia"/>
            </w:rPr>
            <w:t>2025</w:t>
          </w:r>
          <w:r>
            <w:rPr>
              <w:rFonts w:hint="eastAsia"/>
            </w:rPr>
            <w:t>年第一次临时股东会审议通过了《关于以集中竞价方式回购公司股份的议案》，同意使用自有资金，通过上海证券交易所交易系统以集中竞价交易方式回购本公司发行的人民币普通股</w:t>
          </w:r>
          <w:r>
            <w:rPr>
              <w:rFonts w:hint="eastAsia"/>
            </w:rPr>
            <w:t>A</w:t>
          </w:r>
          <w:r>
            <w:rPr>
              <w:rFonts w:hint="eastAsia"/>
            </w:rPr>
            <w:t>股股份。截至</w:t>
          </w:r>
          <w:r>
            <w:rPr>
              <w:rFonts w:hint="eastAsia"/>
            </w:rPr>
            <w:t>2026</w:t>
          </w:r>
          <w:r>
            <w:rPr>
              <w:rFonts w:hint="eastAsia"/>
            </w:rPr>
            <w:t>年</w:t>
          </w:r>
          <w:r>
            <w:rPr>
              <w:rFonts w:hint="eastAsia"/>
            </w:rPr>
            <w:t>3</w:t>
          </w:r>
          <w:r>
            <w:rPr>
              <w:rFonts w:hint="eastAsia"/>
            </w:rPr>
            <w:t>月</w:t>
          </w:r>
          <w:r>
            <w:rPr>
              <w:rFonts w:hint="eastAsia"/>
            </w:rPr>
            <w:t>31</w:t>
          </w:r>
          <w:r>
            <w:rPr>
              <w:rFonts w:hint="eastAsia"/>
            </w:rPr>
            <w:t>日，公司通过上海证券交易所交易系统以集中竞价交易方式已累计回购公司股份</w:t>
          </w:r>
          <w:r>
            <w:rPr>
              <w:rFonts w:hint="eastAsia"/>
            </w:rPr>
            <w:t>1.61549</w:t>
          </w:r>
          <w:r>
            <w:rPr>
              <w:rFonts w:hint="eastAsia"/>
            </w:rPr>
            <w:t>亿股，占公司总股本</w:t>
          </w:r>
          <w:r>
            <w:rPr>
              <w:rFonts w:hint="eastAsia"/>
            </w:rPr>
            <w:t>201.47177716</w:t>
          </w:r>
          <w:r>
            <w:rPr>
              <w:rFonts w:hint="eastAsia"/>
            </w:rPr>
            <w:t>亿股的比例为</w:t>
          </w:r>
          <w:r>
            <w:rPr>
              <w:rFonts w:hint="eastAsia"/>
            </w:rPr>
            <w:t>0.8018%</w:t>
          </w:r>
          <w:r>
            <w:rPr>
              <w:rFonts w:hint="eastAsia"/>
            </w:rPr>
            <w:t>，回购成交的</w:t>
          </w:r>
          <w:proofErr w:type="gramStart"/>
          <w:r>
            <w:rPr>
              <w:rFonts w:hint="eastAsia"/>
            </w:rPr>
            <w:t>最</w:t>
          </w:r>
          <w:proofErr w:type="gramEnd"/>
          <w:r>
            <w:rPr>
              <w:rFonts w:hint="eastAsia"/>
            </w:rPr>
            <w:t>高价为人民币</w:t>
          </w:r>
          <w:r>
            <w:rPr>
              <w:rFonts w:hint="eastAsia"/>
            </w:rPr>
            <w:t>5.78</w:t>
          </w:r>
          <w:r>
            <w:rPr>
              <w:rFonts w:hint="eastAsia"/>
            </w:rPr>
            <w:t>元</w:t>
          </w:r>
          <w:r>
            <w:rPr>
              <w:rFonts w:hint="eastAsia"/>
            </w:rPr>
            <w:t>/</w:t>
          </w:r>
          <w:r>
            <w:rPr>
              <w:rFonts w:hint="eastAsia"/>
            </w:rPr>
            <w:t>股，最低价为人民币</w:t>
          </w:r>
          <w:r>
            <w:rPr>
              <w:rFonts w:hint="eastAsia"/>
            </w:rPr>
            <w:t>4.96</w:t>
          </w:r>
          <w:r>
            <w:rPr>
              <w:rFonts w:hint="eastAsia"/>
            </w:rPr>
            <w:t>元</w:t>
          </w:r>
          <w:r>
            <w:rPr>
              <w:rFonts w:hint="eastAsia"/>
            </w:rPr>
            <w:t>/</w:t>
          </w:r>
          <w:r>
            <w:rPr>
              <w:rFonts w:hint="eastAsia"/>
            </w:rPr>
            <w:t>股，支付的资金总额为人民币</w:t>
          </w:r>
          <w:r>
            <w:rPr>
              <w:rFonts w:hint="eastAsia"/>
            </w:rPr>
            <w:t>846,245,965</w:t>
          </w:r>
          <w:r>
            <w:rPr>
              <w:rFonts w:hint="eastAsia"/>
            </w:rPr>
            <w:t>元（不含交易费用）。上述回购符合相关法律法规的规定及公司的回购股份方案</w:t>
          </w:r>
          <w:r>
            <w:t>。</w:t>
          </w:r>
        </w:p>
      </w:sdtContent>
    </w:sdt>
    <w:p w14:paraId="4DADF77D" w14:textId="77777777" w:rsidR="005E000F" w:rsidRDefault="005E000F"/>
    <w:p w14:paraId="25FC563F" w14:textId="77777777" w:rsidR="005E000F" w:rsidRDefault="00000000">
      <w:pPr>
        <w:pStyle w:val="2"/>
        <w:numPr>
          <w:ilvl w:val="0"/>
          <w:numId w:val="56"/>
        </w:numPr>
      </w:pPr>
      <w:r>
        <w:rPr>
          <w:rFonts w:hint="eastAsia"/>
        </w:rPr>
        <w:t>其他重要事项</w:t>
      </w:r>
    </w:p>
    <w:p w14:paraId="5C856E93" w14:textId="77777777" w:rsidR="005E000F" w:rsidRDefault="00000000">
      <w:pPr>
        <w:pStyle w:val="3"/>
        <w:numPr>
          <w:ilvl w:val="0"/>
          <w:numId w:val="127"/>
        </w:numPr>
      </w:pPr>
      <w:r>
        <w:rPr>
          <w:rFonts w:hint="eastAsia"/>
        </w:rPr>
        <w:t>前期会计差错更正</w:t>
      </w:r>
    </w:p>
    <w:p w14:paraId="05EFE661" w14:textId="77777777" w:rsidR="005E000F" w:rsidRDefault="00000000">
      <w:r>
        <w:rPr>
          <w:rFonts w:hint="eastAsia"/>
        </w:rPr>
        <w:t>详见“重要事项”的“公司对会计政策、会计估计变更或重大会计差错更正原因和影响的分析说明”</w:t>
      </w:r>
    </w:p>
    <w:p w14:paraId="5F65DD12" w14:textId="77777777" w:rsidR="005E000F" w:rsidRDefault="005E000F"/>
    <w:p w14:paraId="61DEE077" w14:textId="77777777" w:rsidR="005E000F" w:rsidRDefault="00000000">
      <w:pPr>
        <w:pStyle w:val="3"/>
        <w:numPr>
          <w:ilvl w:val="0"/>
          <w:numId w:val="127"/>
        </w:numPr>
      </w:pPr>
      <w:r>
        <w:rPr>
          <w:rFonts w:ascii="宋体" w:hAnsi="宋体" w:cs="宋体" w:hint="eastAsia"/>
          <w:kern w:val="0"/>
          <w:szCs w:val="24"/>
        </w:rPr>
        <w:t>重要</w:t>
      </w:r>
      <w:r>
        <w:rPr>
          <w:rFonts w:hint="eastAsia"/>
        </w:rPr>
        <w:t>债务重组</w:t>
      </w:r>
    </w:p>
    <w:sdt>
      <w:sdtPr>
        <w:alias w:val="是否适用：重要债务重组[双击切换]"/>
        <w:tag w:val="_GBC_6b3631222f074ee0b23297cdcd94685f"/>
        <w:id w:val="-837461181"/>
        <w:placeholder>
          <w:docPart w:val="GBC22222222222222222222222222222"/>
        </w:placeholder>
      </w:sdtPr>
      <w:sdtContent>
        <w:p w14:paraId="3E5628C5"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A66EADB" w14:textId="77777777" w:rsidR="005E000F" w:rsidRDefault="005E000F"/>
    <w:p w14:paraId="294C8C81" w14:textId="77777777" w:rsidR="005E000F" w:rsidRDefault="00000000">
      <w:pPr>
        <w:pStyle w:val="3"/>
        <w:numPr>
          <w:ilvl w:val="0"/>
          <w:numId w:val="127"/>
        </w:numPr>
      </w:pPr>
      <w:r>
        <w:rPr>
          <w:rFonts w:hint="eastAsia"/>
        </w:rPr>
        <w:t>资产置换</w:t>
      </w:r>
    </w:p>
    <w:p w14:paraId="78B70C7F" w14:textId="77777777" w:rsidR="005E000F" w:rsidRDefault="00000000">
      <w:pPr>
        <w:pStyle w:val="4"/>
        <w:numPr>
          <w:ilvl w:val="3"/>
          <w:numId w:val="128"/>
        </w:numPr>
        <w:ind w:left="426" w:hangingChars="202" w:hanging="426"/>
      </w:pPr>
      <w:r>
        <w:rPr>
          <w:rFonts w:hint="eastAsia"/>
        </w:rPr>
        <w:t>非货币性资产交换</w:t>
      </w:r>
    </w:p>
    <w:sdt>
      <w:sdtPr>
        <w:rPr>
          <w:rFonts w:hint="eastAsia"/>
        </w:rPr>
        <w:alias w:val="是否适用：非货币性资产交换[双击切换]"/>
        <w:tag w:val="_GBC_480975ada702478dae8a1468d6e0c3cd"/>
        <w:id w:val="340974032"/>
        <w:placeholder>
          <w:docPart w:val="GBC22222222222222222222222222222"/>
        </w:placeholder>
      </w:sdtPr>
      <w:sdtContent>
        <w:p w14:paraId="216769F6" w14:textId="77777777" w:rsidR="005E000F" w:rsidRDefault="00000000">
          <w:pPr>
            <w:spacing w:line="360" w:lineRule="exact"/>
            <w:ind w:right="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758C5BB" w14:textId="77777777" w:rsidR="005E000F" w:rsidRDefault="005E000F"/>
    <w:p w14:paraId="43A655B9" w14:textId="77777777" w:rsidR="005E000F" w:rsidRDefault="00000000">
      <w:pPr>
        <w:pStyle w:val="4"/>
        <w:numPr>
          <w:ilvl w:val="3"/>
          <w:numId w:val="128"/>
        </w:numPr>
        <w:ind w:left="426" w:hangingChars="202" w:hanging="426"/>
      </w:pPr>
      <w:r>
        <w:rPr>
          <w:rFonts w:hint="eastAsia"/>
        </w:rPr>
        <w:t>其他资产置换</w:t>
      </w:r>
    </w:p>
    <w:sdt>
      <w:sdtPr>
        <w:rPr>
          <w:rFonts w:hint="eastAsia"/>
        </w:rPr>
        <w:alias w:val="是否适用：其他资产置换[双击切换]"/>
        <w:tag w:val="_GBC_d4d75cf02549483681739e6eb10910ff"/>
        <w:id w:val="2097285901"/>
        <w:placeholder>
          <w:docPart w:val="GBC22222222222222222222222222222"/>
        </w:placeholder>
      </w:sdtPr>
      <w:sdtContent>
        <w:p w14:paraId="5F337C4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533F3CE" w14:textId="77777777" w:rsidR="005E000F" w:rsidRDefault="005E000F"/>
    <w:p w14:paraId="451D0645" w14:textId="77777777" w:rsidR="005E000F" w:rsidRDefault="00000000">
      <w:pPr>
        <w:pStyle w:val="3"/>
        <w:numPr>
          <w:ilvl w:val="0"/>
          <w:numId w:val="127"/>
        </w:numPr>
      </w:pPr>
      <w:r>
        <w:rPr>
          <w:rFonts w:hint="eastAsia"/>
        </w:rPr>
        <w:lastRenderedPageBreak/>
        <w:t>年金计划</w:t>
      </w:r>
    </w:p>
    <w:sdt>
      <w:sdtPr>
        <w:alias w:val="是否适用：年金计划[双击切换]"/>
        <w:tag w:val="_GBC_7abcd6901bc848d8b58391e0ddd63034"/>
        <w:id w:val="1244453196"/>
        <w:placeholder>
          <w:docPart w:val="GBC22222222222222222222222222222"/>
        </w:placeholder>
      </w:sdtPr>
      <w:sdtContent>
        <w:p w14:paraId="05865625" w14:textId="77777777" w:rsidR="005E000F" w:rsidRDefault="00000000">
          <w:pPr>
            <w:rPr>
              <w:rFonts w:asciiTheme="minorHAnsi" w:eastAsiaTheme="minorEastAsia" w:hAnsiTheme="minorHAnsi" w:cstheme="minorBidi"/>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DA36B16" w14:textId="77777777" w:rsidR="005E000F" w:rsidRDefault="005E000F"/>
    <w:p w14:paraId="514FF3D2" w14:textId="77777777" w:rsidR="005E000F" w:rsidRDefault="00000000">
      <w:pPr>
        <w:pStyle w:val="3"/>
        <w:numPr>
          <w:ilvl w:val="0"/>
          <w:numId w:val="127"/>
        </w:numPr>
        <w:rPr>
          <w:rFonts w:ascii="宋体" w:hAnsi="宋体"/>
          <w:szCs w:val="21"/>
        </w:rPr>
      </w:pPr>
      <w:r>
        <w:rPr>
          <w:rFonts w:ascii="宋体" w:hAnsi="宋体" w:hint="eastAsia"/>
          <w:szCs w:val="21"/>
        </w:rPr>
        <w:t>终止经营</w:t>
      </w:r>
    </w:p>
    <w:p w14:paraId="0349AE69" w14:textId="77777777" w:rsidR="005E000F" w:rsidRDefault="00000000">
      <w:pPr>
        <w:rPr>
          <w:rFonts w:cstheme="minorBidi"/>
          <w:kern w:val="2"/>
        </w:rPr>
      </w:pPr>
      <w:sdt>
        <w:sdtPr>
          <w:alias w:val="是否适用：终止经营[双击切换]"/>
          <w:tag w:val="_GBC_667e81a5639a48488e957a55e45c7763"/>
          <w:id w:val="-1480300988"/>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3CB4B3EF" w14:textId="77777777" w:rsidR="005E000F" w:rsidRDefault="005E000F">
      <w:pPr>
        <w:rPr>
          <w:rFonts w:cstheme="minorBidi"/>
          <w:kern w:val="2"/>
        </w:rPr>
      </w:pPr>
    </w:p>
    <w:p w14:paraId="7B679DBB" w14:textId="77777777" w:rsidR="005E000F" w:rsidRDefault="005E000F"/>
    <w:p w14:paraId="511B11D5" w14:textId="77777777" w:rsidR="005E000F" w:rsidRDefault="00000000">
      <w:pPr>
        <w:pStyle w:val="3"/>
        <w:numPr>
          <w:ilvl w:val="0"/>
          <w:numId w:val="127"/>
        </w:numPr>
        <w:rPr>
          <w:rFonts w:ascii="宋体" w:hAnsi="宋体"/>
          <w:szCs w:val="21"/>
        </w:rPr>
      </w:pPr>
      <w:r>
        <w:rPr>
          <w:rFonts w:ascii="宋体" w:hAnsi="宋体" w:hint="eastAsia"/>
          <w:szCs w:val="21"/>
        </w:rPr>
        <w:t>分部信息</w:t>
      </w:r>
    </w:p>
    <w:p w14:paraId="1687FECF" w14:textId="77777777" w:rsidR="005E000F" w:rsidRDefault="00000000">
      <w:pPr>
        <w:pStyle w:val="4"/>
        <w:numPr>
          <w:ilvl w:val="3"/>
          <w:numId w:val="129"/>
        </w:numPr>
        <w:ind w:left="426" w:hangingChars="202" w:hanging="426"/>
      </w:pPr>
      <w:r>
        <w:rPr>
          <w:rFonts w:hint="eastAsia"/>
        </w:rPr>
        <w:t>报告分部的确定依据与会计政策</w:t>
      </w:r>
    </w:p>
    <w:sdt>
      <w:sdtPr>
        <w:rPr>
          <w:rFonts w:hint="eastAsia"/>
        </w:rPr>
        <w:alias w:val="是否适用：报告分部的确定依据与会计政策[双击切换]"/>
        <w:tag w:val="_GBC_b3cac5485321452cadb6e7ec2be5d907"/>
        <w:id w:val="-811714411"/>
        <w:placeholder>
          <w:docPart w:val="GBC22222222222222222222222222222"/>
        </w:placeholder>
      </w:sdtPr>
      <w:sdtContent>
        <w:p w14:paraId="7A470A49"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报告分部的确定依据与会计政策"/>
        <w:tag w:val="_GBC_93ce2d8a1bb34f5498420754de576c4b"/>
        <w:id w:val="-312408825"/>
        <w:placeholder>
          <w:docPart w:val="GBC22222222222222222222222222222"/>
        </w:placeholder>
      </w:sdtPr>
      <w:sdtContent>
        <w:sdt>
          <w:sdtPr>
            <w:rPr>
              <w:color w:val="000000" w:themeColor="text1"/>
            </w:rPr>
            <w:alias w:val="报告分部的确定依据与会计政策"/>
            <w:tag w:val="_GBC_025e15951a494fa2845d296cf8db1fdb"/>
            <w:id w:val="2025207401"/>
            <w:placeholder>
              <w:docPart w:val="{8b6f6b89-35b0-49de-a179-482d7be9842b}"/>
            </w:placeholder>
          </w:sdtPr>
          <w:sdtContent>
            <w:p w14:paraId="1262907A" w14:textId="77777777" w:rsidR="005E000F" w:rsidRDefault="00000000">
              <w:pPr>
                <w:rPr>
                  <w:color w:val="000000" w:themeColor="text1"/>
                </w:rPr>
              </w:pPr>
              <w:r>
                <w:rPr>
                  <w:rFonts w:hint="eastAsia"/>
                  <w:color w:val="000000" w:themeColor="text1"/>
                </w:rPr>
                <w:t>本集团以内部组织结构、管理要求、内部报告制度为依据确定经营分部，以经营分部为基础确定报告分部并披露分部信息。</w:t>
              </w:r>
            </w:p>
            <w:p w14:paraId="6A4D58D5" w14:textId="77777777" w:rsidR="005E000F" w:rsidRDefault="005E000F">
              <w:pPr>
                <w:rPr>
                  <w:color w:val="000000" w:themeColor="text1"/>
                </w:rPr>
              </w:pPr>
            </w:p>
            <w:p w14:paraId="3455CC48" w14:textId="77777777" w:rsidR="005E000F" w:rsidRDefault="00000000">
              <w:pPr>
                <w:rPr>
                  <w:color w:val="000000" w:themeColor="text1"/>
                </w:rPr>
              </w:pPr>
              <w:r>
                <w:rPr>
                  <w:rFonts w:hint="eastAsia"/>
                  <w:color w:val="000000" w:themeColor="text1"/>
                </w:rPr>
                <w:t>经营分部是指本集团内同时满足下列条件的组成部分：</w:t>
              </w:r>
              <w:r>
                <w:rPr>
                  <w:rFonts w:hint="eastAsia"/>
                  <w:color w:val="000000" w:themeColor="text1"/>
                </w:rPr>
                <w:t>1)</w:t>
              </w:r>
              <w:r>
                <w:rPr>
                  <w:rFonts w:hint="eastAsia"/>
                  <w:color w:val="000000" w:themeColor="text1"/>
                </w:rPr>
                <w:t>、该组成部分能够在日常活动中产生收入、发生费用；</w:t>
              </w:r>
              <w:r>
                <w:rPr>
                  <w:rFonts w:hint="eastAsia"/>
                  <w:color w:val="000000" w:themeColor="text1"/>
                </w:rPr>
                <w:t>2)</w:t>
              </w:r>
              <w:r>
                <w:rPr>
                  <w:rFonts w:hint="eastAsia"/>
                  <w:color w:val="000000" w:themeColor="text1"/>
                </w:rPr>
                <w:t>、本集团管理层能够定期评价该组成部分的经营成果，以决定向其配置资源、评价其业绩；</w:t>
              </w:r>
              <w:r>
                <w:rPr>
                  <w:rFonts w:hint="eastAsia"/>
                  <w:color w:val="000000" w:themeColor="text1"/>
                </w:rPr>
                <w:t>3)</w:t>
              </w:r>
              <w:r>
                <w:rPr>
                  <w:rFonts w:hint="eastAsia"/>
                  <w:color w:val="000000" w:themeColor="text1"/>
                </w:rPr>
                <w:t>、本集团能够取得该组成部分的财务状况、经营成果和现金流量等有关会计信息。两个或多个经营分部具有相似的经济特征，并且满足一定条件的，则合并为一个经营分部。</w:t>
              </w:r>
            </w:p>
          </w:sdtContent>
        </w:sdt>
      </w:sdtContent>
    </w:sdt>
    <w:p w14:paraId="5A8AA505" w14:textId="77777777" w:rsidR="005E000F" w:rsidRDefault="005E000F"/>
    <w:p w14:paraId="13E999DE" w14:textId="77777777" w:rsidR="005E000F" w:rsidRDefault="00000000">
      <w:pPr>
        <w:pStyle w:val="4"/>
        <w:numPr>
          <w:ilvl w:val="3"/>
          <w:numId w:val="129"/>
        </w:numPr>
        <w:ind w:left="426" w:hangingChars="202" w:hanging="426"/>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474112266"/>
        <w:placeholder>
          <w:docPart w:val="GBC22222222222222222222222222222"/>
        </w:placeholder>
      </w:sdtPr>
      <w:sdtContent>
        <w:p w14:paraId="03C0A674" w14:textId="77777777" w:rsidR="005E000F" w:rsidRDefault="00000000">
          <w:pPr>
            <w:pStyle w:val="aff8"/>
            <w:ind w:firstLineChars="0" w:firstLine="0"/>
            <w:jc w:val="left"/>
            <w:rPr>
              <w:rFonts w:ascii="宋体" w:hAnsi="宋体"/>
              <w:szCs w:val="21"/>
            </w:rPr>
          </w:pPr>
          <w:r>
            <w:rPr>
              <w:rFonts w:ascii="宋体" w:hAnsi="宋体"/>
              <w:szCs w:val="21"/>
            </w:rPr>
            <w:fldChar w:fldCharType="begin"/>
          </w:r>
          <w:r>
            <w:rPr>
              <w:rFonts w:ascii="宋体" w:hAnsi="宋体" w:hint="eastAsia"/>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hint="eastAsia"/>
              <w:szCs w:val="21"/>
            </w:rPr>
            <w:instrText xml:space="preserve"> MACROBUTTON  SnrToggleCheckbox √不适用 </w:instrText>
          </w:r>
          <w:r>
            <w:rPr>
              <w:rFonts w:ascii="宋体" w:hAnsi="宋体"/>
              <w:szCs w:val="21"/>
            </w:rPr>
            <w:fldChar w:fldCharType="end"/>
          </w:r>
        </w:p>
      </w:sdtContent>
    </w:sdt>
    <w:p w14:paraId="10BE6A97" w14:textId="77777777" w:rsidR="005E000F" w:rsidRDefault="005E000F">
      <w:pPr>
        <w:pStyle w:val="aff8"/>
        <w:ind w:firstLineChars="0" w:firstLine="0"/>
        <w:jc w:val="left"/>
      </w:pPr>
    </w:p>
    <w:p w14:paraId="740BCA0A" w14:textId="77777777" w:rsidR="005E000F" w:rsidRDefault="00000000">
      <w:pPr>
        <w:pStyle w:val="4"/>
        <w:numPr>
          <w:ilvl w:val="3"/>
          <w:numId w:val="129"/>
        </w:numPr>
        <w:ind w:left="426" w:hangingChars="202" w:hanging="426"/>
      </w:pPr>
      <w:r>
        <w:t>公司</w:t>
      </w:r>
      <w:proofErr w:type="gramStart"/>
      <w:r>
        <w:t>无报告</w:t>
      </w:r>
      <w:proofErr w:type="gramEnd"/>
      <w:r>
        <w:t>分部的，或者不能披露各报告分部的资产总额和负债总额的，应说明原因</w:t>
      </w:r>
    </w:p>
    <w:sdt>
      <w:sdtPr>
        <w:rPr>
          <w:rFonts w:hint="eastAsia"/>
        </w:rPr>
        <w:alias w:val="是否适用：公司无报告分部的，或者不能披露各报告分部的资产总额和负债总额的，应说明原因[双击切换]"/>
        <w:tag w:val="_GBC_bcab2070d3744848a3b9d7010db71172"/>
        <w:id w:val="1683851868"/>
        <w:placeholder>
          <w:docPart w:val="GBC22222222222222222222222222222"/>
        </w:placeholder>
      </w:sdtPr>
      <w:sdtContent>
        <w:p w14:paraId="0352E1C4" w14:textId="77777777" w:rsidR="005E000F" w:rsidRDefault="00000000">
          <w:pPr>
            <w:jc w:val="both"/>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rPr>
          <w:rFonts w:hint="eastAsia"/>
        </w:rPr>
        <w:alias w:val="公司无报告分部的，或者不能披露各报告分部的资产总额和负债总额的，应说明原因"/>
        <w:tag w:val="_GBC_24d3747d9ce0483b8c7ef78297d80fb7"/>
        <w:id w:val="1251081531"/>
        <w:placeholder>
          <w:docPart w:val="GBC22222222222222222222222222222"/>
        </w:placeholder>
      </w:sdtPr>
      <w:sdtContent>
        <w:sdt>
          <w:sdtPr>
            <w:rPr>
              <w:rFonts w:hint="eastAsia"/>
              <w:color w:val="000000" w:themeColor="text1"/>
            </w:rPr>
            <w:alias w:val="公司无报告分部的，或者不能披露各报告分部的资产总额和负债总额的，应说明原因"/>
            <w:tag w:val="_GBC_f34372121b174f8f80682bee16e070e9"/>
            <w:id w:val="13126212"/>
            <w:placeholder>
              <w:docPart w:val="{0226010c-e59b-423e-9bcb-498560ffad31}"/>
            </w:placeholder>
          </w:sdtPr>
          <w:sdtContent>
            <w:p w14:paraId="1DABC0B2" w14:textId="77777777" w:rsidR="005E000F" w:rsidRDefault="00000000">
              <w:pPr>
                <w:rPr>
                  <w:color w:val="000000" w:themeColor="text1"/>
                </w:rPr>
              </w:pPr>
              <w:r>
                <w:rPr>
                  <w:rFonts w:hint="eastAsia"/>
                  <w:color w:val="000000" w:themeColor="text1"/>
                </w:rPr>
                <w:t>本集团主要从事铁路客</w:t>
              </w:r>
              <w:r>
                <w:rPr>
                  <w:rFonts w:hint="eastAsia"/>
                  <w:color w:val="000000" w:themeColor="text1"/>
                </w:rPr>
                <w:t>/</w:t>
              </w:r>
              <w:proofErr w:type="gramStart"/>
              <w:r>
                <w:rPr>
                  <w:rFonts w:hint="eastAsia"/>
                  <w:color w:val="000000" w:themeColor="text1"/>
                </w:rPr>
                <w:t>货运输</w:t>
              </w:r>
              <w:proofErr w:type="gramEnd"/>
              <w:r>
                <w:rPr>
                  <w:rFonts w:hint="eastAsia"/>
                  <w:color w:val="000000" w:themeColor="text1"/>
                </w:rPr>
                <w:t>业务，全部服务均在中华人民共和国境内提供。本集团管理</w:t>
              </w:r>
              <w:proofErr w:type="gramStart"/>
              <w:r>
                <w:rPr>
                  <w:rFonts w:hint="eastAsia"/>
                  <w:color w:val="000000" w:themeColor="text1"/>
                </w:rPr>
                <w:t>层并不</w:t>
              </w:r>
              <w:proofErr w:type="gramEnd"/>
              <w:r>
                <w:rPr>
                  <w:rFonts w:hint="eastAsia"/>
                  <w:color w:val="000000" w:themeColor="text1"/>
                </w:rPr>
                <w:t>单独核算客</w:t>
              </w:r>
              <w:r>
                <w:rPr>
                  <w:rFonts w:hint="eastAsia"/>
                  <w:color w:val="000000" w:themeColor="text1"/>
                </w:rPr>
                <w:t>/</w:t>
              </w:r>
              <w:r>
                <w:rPr>
                  <w:rFonts w:hint="eastAsia"/>
                  <w:color w:val="000000" w:themeColor="text1"/>
                </w:rPr>
                <w:t>货运业务在日常经营活动中发生的成本、费用，也未单独评价客</w:t>
              </w:r>
              <w:r>
                <w:rPr>
                  <w:rFonts w:hint="eastAsia"/>
                  <w:color w:val="000000" w:themeColor="text1"/>
                </w:rPr>
                <w:t>/</w:t>
              </w:r>
              <w:r>
                <w:rPr>
                  <w:rFonts w:hint="eastAsia"/>
                  <w:color w:val="000000" w:themeColor="text1"/>
                </w:rPr>
                <w:t>货运业务的经营成果，因此不需提供分部报告。</w:t>
              </w:r>
            </w:p>
          </w:sdtContent>
        </w:sdt>
      </w:sdtContent>
    </w:sdt>
    <w:p w14:paraId="610C31C0" w14:textId="77777777" w:rsidR="005E000F" w:rsidRDefault="005E000F"/>
    <w:p w14:paraId="2BDD6F5D" w14:textId="77777777" w:rsidR="005E000F" w:rsidRDefault="00000000">
      <w:pPr>
        <w:pStyle w:val="4"/>
        <w:numPr>
          <w:ilvl w:val="3"/>
          <w:numId w:val="129"/>
        </w:numPr>
        <w:ind w:left="426" w:hangingChars="202" w:hanging="426"/>
      </w:pPr>
      <w:r>
        <w:rPr>
          <w:rFonts w:hint="eastAsia"/>
        </w:rPr>
        <w:t>其他说明</w:t>
      </w:r>
    </w:p>
    <w:sdt>
      <w:sdtPr>
        <w:rPr>
          <w:rFonts w:hint="eastAsia"/>
        </w:rPr>
        <w:alias w:val="是否适用：分部信息的其他说明[双击切换]"/>
        <w:tag w:val="_GBC_a7173613038248df8d31b8ffe91e1e27"/>
        <w:id w:val="988595155"/>
        <w:placeholder>
          <w:docPart w:val="GBC22222222222222222222222222222"/>
        </w:placeholder>
      </w:sdtPr>
      <w:sdtContent>
        <w:p w14:paraId="690609B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7B09864" w14:textId="77777777" w:rsidR="005E000F" w:rsidRDefault="005E000F"/>
    <w:p w14:paraId="3CD2EA0D" w14:textId="77777777" w:rsidR="005E000F" w:rsidRDefault="00000000">
      <w:pPr>
        <w:pStyle w:val="3"/>
        <w:numPr>
          <w:ilvl w:val="0"/>
          <w:numId w:val="127"/>
        </w:numPr>
      </w:pPr>
      <w:r>
        <w:rPr>
          <w:rFonts w:ascii="宋体" w:hAnsi="宋体" w:cs="宋体" w:hint="eastAsia"/>
          <w:bCs w:val="0"/>
          <w:kern w:val="0"/>
          <w:szCs w:val="21"/>
        </w:rPr>
        <w:t>其他对投资者决策有影响的重要交易和事项</w:t>
      </w:r>
    </w:p>
    <w:sdt>
      <w:sdtPr>
        <w:rPr>
          <w:rFonts w:hint="eastAsia"/>
        </w:rPr>
        <w:alias w:val="是否适用：其他对投资者决策有影响的重要交易和事项[双击切换]"/>
        <w:tag w:val="_GBC_fb50fde0c1774b5b8ae2688488649ea7"/>
        <w:id w:val="1549792954"/>
        <w:placeholder>
          <w:docPart w:val="GBC22222222222222222222222222222"/>
        </w:placeholder>
      </w:sdtPr>
      <w:sdtContent>
        <w:p w14:paraId="0269D7A2" w14:textId="77777777" w:rsidR="005E000F" w:rsidRDefault="00000000">
          <w:pPr>
            <w:spacing w:line="360" w:lineRule="exac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1820C56" w14:textId="77777777" w:rsidR="005E000F" w:rsidRDefault="005E000F"/>
    <w:p w14:paraId="652018B5" w14:textId="77777777" w:rsidR="005E000F" w:rsidRDefault="00000000">
      <w:pPr>
        <w:pStyle w:val="3"/>
        <w:numPr>
          <w:ilvl w:val="0"/>
          <w:numId w:val="127"/>
        </w:numPr>
        <w:rPr>
          <w:szCs w:val="21"/>
        </w:rPr>
      </w:pPr>
      <w:r>
        <w:rPr>
          <w:rFonts w:ascii="宋体" w:hAnsi="宋体" w:hint="eastAsia"/>
          <w:szCs w:val="21"/>
        </w:rPr>
        <w:t>其他</w:t>
      </w:r>
    </w:p>
    <w:sdt>
      <w:sdtPr>
        <w:rPr>
          <w:rFonts w:hint="eastAsia"/>
        </w:rPr>
        <w:alias w:val="是否适用：其他重要事项的说明[双击切换]"/>
        <w:tag w:val="_GBC_fb43f52ac5bc49a4b33e34d6b1758f09"/>
        <w:id w:val="539323646"/>
        <w:placeholder>
          <w:docPart w:val="GBC22222222222222222222222222222"/>
        </w:placeholder>
      </w:sdtPr>
      <w:sdtContent>
        <w:p w14:paraId="1B60C3F4" w14:textId="77777777" w:rsidR="005E000F" w:rsidRDefault="00000000">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其他重要事项的说明"/>
        <w:tag w:val="_GBC_9e15ecd4789249ed82657888c33292a4"/>
        <w:id w:val="-1692142954"/>
        <w:placeholder>
          <w:docPart w:val="GBC22222222222222222222222222222"/>
        </w:placeholder>
      </w:sdtPr>
      <w:sdtContent>
        <w:sdt>
          <w:sdtPr>
            <w:rPr>
              <w:color w:val="000000" w:themeColor="text1"/>
            </w:rPr>
            <w:alias w:val="其他重要事项的说明"/>
            <w:tag w:val="_GBC_3a09ecc703144c23b6afd2a11890c0c6"/>
            <w:id w:val="2054654239"/>
            <w:placeholder>
              <w:docPart w:val="{0b5e74aa-de34-461f-9c8f-9f8a5271cd4e}"/>
            </w:placeholder>
          </w:sdtPr>
          <w:sdtContent>
            <w:p w14:paraId="6A4A2634" w14:textId="77777777" w:rsidR="005E000F" w:rsidRDefault="00000000">
              <w:pPr>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）资产负债率</w:t>
              </w:r>
            </w:p>
            <w:p w14:paraId="39A88C6E" w14:textId="77777777" w:rsidR="005E000F" w:rsidRDefault="005E000F">
              <w:pPr>
                <w:rPr>
                  <w:color w:val="000000" w:themeColor="text1"/>
                </w:rPr>
              </w:pPr>
            </w:p>
            <w:p w14:paraId="12203540" w14:textId="77777777" w:rsidR="005E000F" w:rsidRDefault="00000000">
              <w:pPr>
                <w:rPr>
                  <w:color w:val="000000" w:themeColor="text1"/>
                </w:rPr>
              </w:pPr>
              <w:r>
                <w:rPr>
                  <w:rFonts w:hint="eastAsia"/>
                  <w:color w:val="000000" w:themeColor="text1"/>
                </w:rPr>
                <w:t>本集团资本管理政策的目标是为了保障本集团能够持续经营，从而为股东提供回报，并使其他利益相关者获益，同时维持最佳的资本结构以降低资本成本。为了维持或调整资本结构，本集团可能会调整支付给股东的股利金额、向股东返还资本、发行新股或出售资产以减低债务。</w:t>
              </w:r>
            </w:p>
            <w:p w14:paraId="78A79131" w14:textId="77777777" w:rsidR="005E000F" w:rsidRDefault="005E000F">
              <w:pPr>
                <w:rPr>
                  <w:color w:val="000000" w:themeColor="text1"/>
                </w:rPr>
              </w:pPr>
            </w:p>
            <w:p w14:paraId="4F7A06CD" w14:textId="77777777" w:rsidR="005E000F" w:rsidRDefault="00000000">
              <w:pPr>
                <w:rPr>
                  <w:color w:val="000000" w:themeColor="text1"/>
                </w:rPr>
              </w:pPr>
              <w:r>
                <w:rPr>
                  <w:rFonts w:hint="eastAsia"/>
                  <w:color w:val="000000" w:themeColor="text1"/>
                </w:rPr>
                <w:t>本集团的总资本为合并资产负债表中所列示的股东权益。本集团不受制于外部强制性资本要求，利用资产负债率监控资本。</w:t>
              </w:r>
            </w:p>
            <w:p w14:paraId="1763C602" w14:textId="77777777" w:rsidR="005E000F" w:rsidRDefault="005E000F">
              <w:pPr>
                <w:rPr>
                  <w:color w:val="000000" w:themeColor="text1"/>
                </w:rPr>
              </w:pPr>
            </w:p>
            <w:p w14:paraId="69B004E7" w14:textId="77777777" w:rsidR="005E000F" w:rsidRDefault="00000000">
              <w:pPr>
                <w:rPr>
                  <w:color w:val="000000" w:themeColor="text1"/>
                </w:rPr>
              </w:pPr>
              <w:r>
                <w:rPr>
                  <w:rFonts w:hint="eastAsia"/>
                  <w:color w:val="000000" w:themeColor="text1"/>
                </w:rPr>
                <w:t>于</w:t>
              </w:r>
              <w:r>
                <w:rPr>
                  <w:rFonts w:hint="eastAsia"/>
                  <w:color w:val="000000" w:themeColor="text1"/>
                </w:rPr>
                <w:t>2025</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日及</w:t>
              </w:r>
              <w:r>
                <w:rPr>
                  <w:rFonts w:hint="eastAsia"/>
                  <w:color w:val="000000" w:themeColor="text1"/>
                </w:rPr>
                <w:t>2024</w:t>
              </w:r>
              <w:r>
                <w:rPr>
                  <w:rFonts w:hint="eastAsia"/>
                  <w:color w:val="000000" w:themeColor="text1"/>
                </w:rPr>
                <w:t>年</w:t>
              </w:r>
              <w:r>
                <w:rPr>
                  <w:rFonts w:hint="eastAsia"/>
                  <w:color w:val="000000" w:themeColor="text1"/>
                </w:rPr>
                <w:t>12</w:t>
              </w:r>
              <w:r>
                <w:rPr>
                  <w:rFonts w:hint="eastAsia"/>
                  <w:color w:val="000000" w:themeColor="text1"/>
                </w:rPr>
                <w:t>月</w:t>
              </w:r>
              <w:r>
                <w:rPr>
                  <w:rFonts w:hint="eastAsia"/>
                  <w:color w:val="000000" w:themeColor="text1"/>
                </w:rPr>
                <w:t>31</w:t>
              </w:r>
              <w:r>
                <w:rPr>
                  <w:rFonts w:hint="eastAsia"/>
                  <w:color w:val="000000" w:themeColor="text1"/>
                </w:rPr>
                <w:t>日，本集团的资产负债率列示如下</w:t>
              </w:r>
              <w:r>
                <w:rPr>
                  <w:rFonts w:hint="eastAsia"/>
                  <w:color w:val="000000" w:themeColor="text1"/>
                </w:rPr>
                <w:t>:</w:t>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3051"/>
            <w:gridCol w:w="3053"/>
          </w:tblGrid>
          <w:tr w:rsidR="005E000F" w14:paraId="4AAB9C08" w14:textId="77777777">
            <w:trPr>
              <w:cantSplit/>
            </w:trPr>
            <w:tc>
              <w:tcPr>
                <w:tcW w:w="1627" w:type="pct"/>
                <w:tcBorders>
                  <w:top w:val="single" w:sz="4" w:space="0" w:color="auto"/>
                  <w:left w:val="single" w:sz="4" w:space="0" w:color="auto"/>
                  <w:bottom w:val="single" w:sz="4" w:space="0" w:color="auto"/>
                  <w:right w:val="single" w:sz="4" w:space="0" w:color="auto"/>
                </w:tcBorders>
              </w:tcPr>
              <w:p w14:paraId="20B90B61" w14:textId="77777777" w:rsidR="005E000F" w:rsidRDefault="005E000F"/>
            </w:tc>
            <w:tc>
              <w:tcPr>
                <w:tcW w:w="1685" w:type="pct"/>
                <w:tcBorders>
                  <w:top w:val="single" w:sz="4" w:space="0" w:color="auto"/>
                  <w:left w:val="single" w:sz="4" w:space="0" w:color="auto"/>
                  <w:bottom w:val="single" w:sz="4" w:space="0" w:color="auto"/>
                  <w:right w:val="single" w:sz="4" w:space="0" w:color="auto"/>
                </w:tcBorders>
              </w:tcPr>
              <w:p w14:paraId="75F64C92" w14:textId="77777777" w:rsidR="005E000F" w:rsidRDefault="00000000">
                <w:pPr>
                  <w:jc w:val="center"/>
                </w:pP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686" w:type="pct"/>
                <w:tcBorders>
                  <w:top w:val="single" w:sz="4" w:space="0" w:color="auto"/>
                  <w:left w:val="single" w:sz="4" w:space="0" w:color="auto"/>
                  <w:bottom w:val="single" w:sz="4" w:space="0" w:color="auto"/>
                  <w:right w:val="single" w:sz="4" w:space="0" w:color="auto"/>
                </w:tcBorders>
              </w:tcPr>
              <w:p w14:paraId="04E4700F" w14:textId="77777777" w:rsidR="005E000F" w:rsidRDefault="00000000">
                <w:pPr>
                  <w:jc w:val="center"/>
                </w:pP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5E000F" w14:paraId="4F54473D" w14:textId="77777777">
            <w:trPr>
              <w:cantSplit/>
            </w:trPr>
            <w:tc>
              <w:tcPr>
                <w:tcW w:w="1627" w:type="pct"/>
                <w:tcBorders>
                  <w:top w:val="single" w:sz="4" w:space="0" w:color="auto"/>
                  <w:left w:val="single" w:sz="4" w:space="0" w:color="auto"/>
                  <w:bottom w:val="single" w:sz="4" w:space="0" w:color="auto"/>
                  <w:right w:val="single" w:sz="4" w:space="0" w:color="auto"/>
                </w:tcBorders>
              </w:tcPr>
              <w:p w14:paraId="348DBBAB" w14:textId="77777777" w:rsidR="005E000F" w:rsidRDefault="00000000">
                <w:r>
                  <w:rPr>
                    <w:rFonts w:hint="eastAsia"/>
                  </w:rPr>
                  <w:t>资产负债率</w:t>
                </w:r>
              </w:p>
            </w:tc>
            <w:tc>
              <w:tcPr>
                <w:tcW w:w="1685" w:type="pct"/>
                <w:tcBorders>
                  <w:top w:val="single" w:sz="4" w:space="0" w:color="auto"/>
                  <w:left w:val="single" w:sz="4" w:space="0" w:color="auto"/>
                  <w:bottom w:val="single" w:sz="4" w:space="0" w:color="auto"/>
                  <w:right w:val="single" w:sz="4" w:space="0" w:color="auto"/>
                </w:tcBorders>
                <w:vAlign w:val="center"/>
              </w:tcPr>
              <w:p w14:paraId="3C656404" w14:textId="77777777" w:rsidR="005E000F" w:rsidRDefault="00000000">
                <w:pPr>
                  <w:jc w:val="right"/>
                </w:pPr>
                <w:r>
                  <w:rPr>
                    <w:rFonts w:hint="eastAsia"/>
                  </w:rPr>
                  <w:t>15%</w:t>
                </w:r>
              </w:p>
            </w:tc>
            <w:tc>
              <w:tcPr>
                <w:tcW w:w="1686" w:type="pct"/>
                <w:tcBorders>
                  <w:top w:val="single" w:sz="4" w:space="0" w:color="auto"/>
                  <w:left w:val="single" w:sz="4" w:space="0" w:color="auto"/>
                  <w:bottom w:val="single" w:sz="4" w:space="0" w:color="auto"/>
                  <w:right w:val="single" w:sz="4" w:space="0" w:color="auto"/>
                </w:tcBorders>
                <w:vAlign w:val="center"/>
              </w:tcPr>
              <w:p w14:paraId="18BABF94" w14:textId="77777777" w:rsidR="005E000F" w:rsidRDefault="00000000">
                <w:pPr>
                  <w:jc w:val="right"/>
                </w:pPr>
                <w:r>
                  <w:rPr>
                    <w:rFonts w:hint="eastAsia"/>
                  </w:rPr>
                  <w:t>18%</w:t>
                </w:r>
              </w:p>
            </w:tc>
          </w:tr>
        </w:tbl>
        <w:p w14:paraId="6F3DCB05" w14:textId="77777777" w:rsidR="005E000F" w:rsidRDefault="005E000F">
          <w:pPr>
            <w:rPr>
              <w:color w:val="000000" w:themeColor="text1"/>
            </w:rPr>
          </w:pPr>
        </w:p>
        <w:p w14:paraId="30A2732E" w14:textId="77777777" w:rsidR="005E000F" w:rsidRDefault="00000000">
          <w:pPr>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）基本每股收益和稀释每股收益的计算过程</w:t>
          </w:r>
        </w:p>
        <w:p w14:paraId="632988FF" w14:textId="77777777" w:rsidR="005E000F" w:rsidRDefault="00000000">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）基本每股收益</w:t>
          </w:r>
        </w:p>
        <w:p w14:paraId="4B797DF2" w14:textId="77777777" w:rsidR="005E000F" w:rsidRDefault="00000000">
          <w:pPr>
            <w:rPr>
              <w:color w:val="000000" w:themeColor="text1"/>
            </w:rPr>
          </w:pPr>
          <w:r>
            <w:rPr>
              <w:rFonts w:hint="eastAsia"/>
              <w:color w:val="000000" w:themeColor="text1"/>
            </w:rPr>
            <w:t>基本每股收益以归属于本公司普通股股东的合并净利润除以本公司发行在外普通股的加权平均数计算：</w:t>
          </w:r>
        </w:p>
        <w:p w14:paraId="0EE1888E" w14:textId="77777777" w:rsidR="005E00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47461827"/>
              <w:placeholder>
                <w:docPart w:val="{5cc837be-4f16-4dad-906b-ca4bf2541dea}"/>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47456299"/>
              <w:placeholder>
                <w:docPart w:val="{5cc837be-4f16-4dad-906b-ca4bf2541dea}"/>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2148"/>
            <w:gridCol w:w="2298"/>
          </w:tblGrid>
          <w:tr w:rsidR="005E000F" w14:paraId="736209FD" w14:textId="77777777">
            <w:trPr>
              <w:cantSplit/>
            </w:trPr>
            <w:tc>
              <w:tcPr>
                <w:tcW w:w="2542" w:type="pct"/>
                <w:tcBorders>
                  <w:top w:val="single" w:sz="4" w:space="0" w:color="auto"/>
                  <w:left w:val="single" w:sz="4" w:space="0" w:color="auto"/>
                  <w:bottom w:val="single" w:sz="4" w:space="0" w:color="auto"/>
                  <w:right w:val="single" w:sz="4" w:space="0" w:color="auto"/>
                </w:tcBorders>
                <w:vAlign w:val="center"/>
              </w:tcPr>
              <w:p w14:paraId="7D4068AE" w14:textId="77777777" w:rsidR="005E000F" w:rsidRDefault="005E000F">
                <w:pPr>
                  <w:jc w:val="center"/>
                  <w:rPr>
                    <w:color w:val="000000" w:themeColor="text1"/>
                  </w:rPr>
                </w:pPr>
              </w:p>
            </w:tc>
            <w:tc>
              <w:tcPr>
                <w:tcW w:w="1187" w:type="pct"/>
                <w:tcBorders>
                  <w:top w:val="single" w:sz="4" w:space="0" w:color="auto"/>
                  <w:left w:val="single" w:sz="4" w:space="0" w:color="auto"/>
                  <w:bottom w:val="single" w:sz="4" w:space="0" w:color="auto"/>
                  <w:right w:val="single" w:sz="4" w:space="0" w:color="auto"/>
                </w:tcBorders>
                <w:vAlign w:val="center"/>
              </w:tcPr>
              <w:p w14:paraId="2AFCC4C9" w14:textId="77777777" w:rsidR="005E000F" w:rsidRDefault="00000000">
                <w:pPr>
                  <w:jc w:val="center"/>
                  <w:rPr>
                    <w:color w:val="000000" w:themeColor="text1"/>
                  </w:rPr>
                </w:pPr>
                <w:r>
                  <w:rPr>
                    <w:rFonts w:hint="eastAsia"/>
                    <w:color w:val="000000" w:themeColor="text1"/>
                  </w:rPr>
                  <w:t>2025</w:t>
                </w:r>
                <w:r>
                  <w:rPr>
                    <w:rFonts w:hint="eastAsia"/>
                    <w:color w:val="000000" w:themeColor="text1"/>
                  </w:rPr>
                  <w:t>年</w:t>
                </w:r>
              </w:p>
            </w:tc>
            <w:tc>
              <w:tcPr>
                <w:tcW w:w="1269" w:type="pct"/>
                <w:tcBorders>
                  <w:top w:val="single" w:sz="4" w:space="0" w:color="auto"/>
                  <w:left w:val="single" w:sz="4" w:space="0" w:color="auto"/>
                  <w:bottom w:val="single" w:sz="4" w:space="0" w:color="auto"/>
                  <w:right w:val="single" w:sz="4" w:space="0" w:color="auto"/>
                </w:tcBorders>
              </w:tcPr>
              <w:p w14:paraId="3E162A50" w14:textId="77777777" w:rsidR="005E000F" w:rsidRDefault="00000000">
                <w:pPr>
                  <w:jc w:val="center"/>
                  <w:rPr>
                    <w:color w:val="000000" w:themeColor="text1"/>
                  </w:rPr>
                </w:pPr>
                <w:r>
                  <w:rPr>
                    <w:rFonts w:hint="eastAsia"/>
                    <w:color w:val="000000" w:themeColor="text1"/>
                  </w:rPr>
                  <w:t>2024</w:t>
                </w:r>
                <w:r>
                  <w:rPr>
                    <w:rFonts w:hint="eastAsia"/>
                    <w:color w:val="000000" w:themeColor="text1"/>
                  </w:rPr>
                  <w:t>年</w:t>
                </w:r>
              </w:p>
            </w:tc>
          </w:tr>
          <w:tr w:rsidR="005E000F" w14:paraId="4B0E93BF" w14:textId="77777777">
            <w:trPr>
              <w:cantSplit/>
            </w:trPr>
            <w:tc>
              <w:tcPr>
                <w:tcW w:w="2542" w:type="pct"/>
                <w:tcBorders>
                  <w:top w:val="single" w:sz="4" w:space="0" w:color="auto"/>
                  <w:left w:val="single" w:sz="4" w:space="0" w:color="auto"/>
                  <w:bottom w:val="single" w:sz="4" w:space="0" w:color="auto"/>
                  <w:right w:val="single" w:sz="4" w:space="0" w:color="auto"/>
                </w:tcBorders>
              </w:tcPr>
              <w:p w14:paraId="13262154" w14:textId="77777777" w:rsidR="005E000F" w:rsidRDefault="00000000">
                <w:pPr>
                  <w:rPr>
                    <w:color w:val="000000" w:themeColor="text1"/>
                  </w:rPr>
                </w:pPr>
                <w:r>
                  <w:rPr>
                    <w:rFonts w:hint="eastAsia"/>
                    <w:color w:val="000000" w:themeColor="text1"/>
                  </w:rPr>
                  <w:t>归属于本公司普通股股东的合并净利润</w:t>
                </w:r>
              </w:p>
            </w:tc>
            <w:tc>
              <w:tcPr>
                <w:tcW w:w="2149" w:type="dxa"/>
                <w:tcBorders>
                  <w:top w:val="single" w:sz="4" w:space="0" w:color="auto"/>
                  <w:left w:val="single" w:sz="4" w:space="0" w:color="auto"/>
                  <w:bottom w:val="single" w:sz="4" w:space="0" w:color="auto"/>
                  <w:right w:val="single" w:sz="4" w:space="0" w:color="auto"/>
                </w:tcBorders>
                <w:vAlign w:val="center"/>
              </w:tcPr>
              <w:p w14:paraId="38D95514" w14:textId="77777777" w:rsidR="005E000F" w:rsidRDefault="00000000">
                <w:pPr>
                  <w:jc w:val="right"/>
                </w:pPr>
                <w:r>
                  <w:t>5,900,148,479</w:t>
                </w:r>
              </w:p>
            </w:tc>
            <w:tc>
              <w:tcPr>
                <w:tcW w:w="1269" w:type="pct"/>
                <w:tcBorders>
                  <w:top w:val="single" w:sz="4" w:space="0" w:color="auto"/>
                  <w:left w:val="single" w:sz="4" w:space="0" w:color="auto"/>
                  <w:bottom w:val="single" w:sz="4" w:space="0" w:color="auto"/>
                  <w:right w:val="single" w:sz="4" w:space="0" w:color="auto"/>
                </w:tcBorders>
                <w:vAlign w:val="center"/>
              </w:tcPr>
              <w:p w14:paraId="04A1B7A3" w14:textId="77777777" w:rsidR="005E000F" w:rsidRDefault="00000000">
                <w:pPr>
                  <w:jc w:val="right"/>
                </w:pPr>
                <w:r>
                  <w:rPr>
                    <w:rFonts w:hint="eastAsia"/>
                  </w:rPr>
                  <w:t>9,039,359,180</w:t>
                </w:r>
              </w:p>
            </w:tc>
          </w:tr>
          <w:tr w:rsidR="005E000F" w14:paraId="6FEC7417" w14:textId="77777777">
            <w:trPr>
              <w:cantSplit/>
            </w:trPr>
            <w:tc>
              <w:tcPr>
                <w:tcW w:w="2542" w:type="pct"/>
                <w:tcBorders>
                  <w:top w:val="single" w:sz="4" w:space="0" w:color="auto"/>
                  <w:left w:val="single" w:sz="4" w:space="0" w:color="auto"/>
                  <w:bottom w:val="single" w:sz="4" w:space="0" w:color="auto"/>
                  <w:right w:val="single" w:sz="4" w:space="0" w:color="auto"/>
                </w:tcBorders>
              </w:tcPr>
              <w:p w14:paraId="0946F4AF" w14:textId="77777777" w:rsidR="005E000F" w:rsidRDefault="00000000">
                <w:r>
                  <w:rPr>
                    <w:rFonts w:hint="eastAsia"/>
                  </w:rPr>
                  <w:t>本公司发行在外普通股的加权平均数</w:t>
                </w:r>
              </w:p>
            </w:tc>
            <w:tc>
              <w:tcPr>
                <w:tcW w:w="2149" w:type="dxa"/>
                <w:tcBorders>
                  <w:top w:val="single" w:sz="4" w:space="0" w:color="auto"/>
                  <w:left w:val="single" w:sz="4" w:space="0" w:color="auto"/>
                  <w:bottom w:val="single" w:sz="4" w:space="0" w:color="auto"/>
                  <w:right w:val="single" w:sz="4" w:space="0" w:color="auto"/>
                </w:tcBorders>
                <w:vAlign w:val="center"/>
              </w:tcPr>
              <w:p w14:paraId="02259F71" w14:textId="77777777" w:rsidR="005E000F" w:rsidRDefault="00000000">
                <w:pPr>
                  <w:jc w:val="right"/>
                </w:pPr>
                <w:r>
                  <w:t>19,920,767,950</w:t>
                </w:r>
              </w:p>
            </w:tc>
            <w:tc>
              <w:tcPr>
                <w:tcW w:w="1269" w:type="pct"/>
                <w:tcBorders>
                  <w:top w:val="single" w:sz="4" w:space="0" w:color="auto"/>
                  <w:left w:val="single" w:sz="4" w:space="0" w:color="auto"/>
                  <w:bottom w:val="single" w:sz="4" w:space="0" w:color="auto"/>
                  <w:right w:val="single" w:sz="4" w:space="0" w:color="auto"/>
                </w:tcBorders>
                <w:vAlign w:val="center"/>
              </w:tcPr>
              <w:p w14:paraId="78625890" w14:textId="77777777" w:rsidR="005E000F" w:rsidRDefault="00000000">
                <w:pPr>
                  <w:jc w:val="right"/>
                </w:pPr>
                <w:r>
                  <w:rPr>
                    <w:rFonts w:hint="eastAsia"/>
                  </w:rPr>
                  <w:t>17,631,475,477</w:t>
                </w:r>
              </w:p>
            </w:tc>
          </w:tr>
          <w:tr w:rsidR="005E000F" w14:paraId="5174784F" w14:textId="77777777">
            <w:trPr>
              <w:cantSplit/>
            </w:trPr>
            <w:tc>
              <w:tcPr>
                <w:tcW w:w="2542" w:type="pct"/>
                <w:tcBorders>
                  <w:top w:val="single" w:sz="4" w:space="0" w:color="auto"/>
                  <w:left w:val="single" w:sz="4" w:space="0" w:color="auto"/>
                  <w:bottom w:val="single" w:sz="4" w:space="0" w:color="auto"/>
                  <w:right w:val="single" w:sz="4" w:space="0" w:color="auto"/>
                </w:tcBorders>
              </w:tcPr>
              <w:p w14:paraId="5D2E76C9" w14:textId="77777777" w:rsidR="005E000F" w:rsidRDefault="00000000">
                <w:r>
                  <w:rPr>
                    <w:rFonts w:hint="eastAsia"/>
                  </w:rPr>
                  <w:t>基本每股收益（元</w:t>
                </w:r>
                <w:r>
                  <w:rPr>
                    <w:rFonts w:hint="eastAsia"/>
                  </w:rPr>
                  <w:t>/</w:t>
                </w:r>
                <w:r>
                  <w:rPr>
                    <w:rFonts w:hint="eastAsia"/>
                  </w:rPr>
                  <w:t>股）</w:t>
                </w:r>
              </w:p>
            </w:tc>
            <w:tc>
              <w:tcPr>
                <w:tcW w:w="2149" w:type="dxa"/>
                <w:tcBorders>
                  <w:top w:val="single" w:sz="4" w:space="0" w:color="auto"/>
                  <w:left w:val="single" w:sz="4" w:space="0" w:color="auto"/>
                  <w:bottom w:val="single" w:sz="4" w:space="0" w:color="auto"/>
                  <w:right w:val="single" w:sz="4" w:space="0" w:color="auto"/>
                </w:tcBorders>
                <w:vAlign w:val="center"/>
              </w:tcPr>
              <w:p w14:paraId="5A8FF487" w14:textId="77777777" w:rsidR="005E000F" w:rsidRDefault="00000000">
                <w:pPr>
                  <w:jc w:val="right"/>
                </w:pPr>
                <w:r>
                  <w:t>0.30</w:t>
                </w:r>
              </w:p>
            </w:tc>
            <w:tc>
              <w:tcPr>
                <w:tcW w:w="1269" w:type="pct"/>
                <w:tcBorders>
                  <w:top w:val="single" w:sz="4" w:space="0" w:color="auto"/>
                  <w:left w:val="single" w:sz="4" w:space="0" w:color="auto"/>
                  <w:bottom w:val="single" w:sz="4" w:space="0" w:color="auto"/>
                  <w:right w:val="single" w:sz="4" w:space="0" w:color="auto"/>
                </w:tcBorders>
                <w:vAlign w:val="center"/>
              </w:tcPr>
              <w:p w14:paraId="5FA4D461" w14:textId="77777777" w:rsidR="005E000F" w:rsidRDefault="00000000">
                <w:pPr>
                  <w:jc w:val="right"/>
                </w:pPr>
                <w:r>
                  <w:rPr>
                    <w:rFonts w:hint="eastAsia"/>
                  </w:rPr>
                  <w:t>0.51</w:t>
                </w:r>
              </w:p>
            </w:tc>
          </w:tr>
        </w:tbl>
        <w:p w14:paraId="7C385E30" w14:textId="77777777" w:rsidR="005E000F" w:rsidRDefault="005E000F">
          <w:pPr>
            <w:rPr>
              <w:color w:val="000000" w:themeColor="text1"/>
            </w:rPr>
          </w:pPr>
        </w:p>
        <w:p w14:paraId="1982626F" w14:textId="77777777" w:rsidR="005E000F" w:rsidRDefault="00000000">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）稀释每股收益</w:t>
          </w:r>
        </w:p>
        <w:p w14:paraId="3A06EDB4" w14:textId="77777777" w:rsidR="005E000F" w:rsidRDefault="00000000">
          <w:pPr>
            <w:rPr>
              <w:color w:val="000000" w:themeColor="text1"/>
            </w:rPr>
          </w:pPr>
          <w:r>
            <w:rPr>
              <w:rFonts w:hint="eastAsia"/>
              <w:color w:val="000000" w:themeColor="text1"/>
            </w:rPr>
            <w:t>稀释每股收益以归属于本公司普通股股东的合并净利润（稀释）除以本公司发行在外普通股的加权平均数（稀释）计算：</w:t>
          </w:r>
        </w:p>
        <w:p w14:paraId="36D9E0C4" w14:textId="77777777" w:rsidR="005E00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47475274"/>
              <w:placeholder>
                <w:docPart w:val="{38ecc328-73bc-41b4-b996-1a9aca71eb5a}"/>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47466679"/>
              <w:placeholder>
                <w:docPart w:val="{38ecc328-73bc-41b4-b996-1a9aca71eb5a}"/>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2022"/>
            <w:gridCol w:w="1973"/>
          </w:tblGrid>
          <w:tr w:rsidR="005E000F" w14:paraId="4D093069" w14:textId="77777777">
            <w:trPr>
              <w:cantSplit/>
            </w:trPr>
            <w:tc>
              <w:tcPr>
                <w:tcW w:w="2792" w:type="pct"/>
                <w:tcBorders>
                  <w:top w:val="single" w:sz="4" w:space="0" w:color="auto"/>
                  <w:left w:val="single" w:sz="4" w:space="0" w:color="auto"/>
                  <w:bottom w:val="single" w:sz="4" w:space="0" w:color="auto"/>
                  <w:right w:val="single" w:sz="4" w:space="0" w:color="auto"/>
                </w:tcBorders>
                <w:vAlign w:val="center"/>
              </w:tcPr>
              <w:p w14:paraId="5F9098E4" w14:textId="77777777" w:rsidR="005E000F" w:rsidRDefault="005E000F">
                <w:pPr>
                  <w:jc w:val="center"/>
                  <w:rPr>
                    <w:color w:val="000000" w:themeColor="text1"/>
                  </w:rPr>
                </w:pPr>
              </w:p>
            </w:tc>
            <w:tc>
              <w:tcPr>
                <w:tcW w:w="1117" w:type="pct"/>
                <w:tcBorders>
                  <w:top w:val="single" w:sz="4" w:space="0" w:color="auto"/>
                  <w:left w:val="single" w:sz="4" w:space="0" w:color="auto"/>
                  <w:bottom w:val="single" w:sz="4" w:space="0" w:color="auto"/>
                  <w:right w:val="single" w:sz="4" w:space="0" w:color="auto"/>
                </w:tcBorders>
                <w:vAlign w:val="center"/>
              </w:tcPr>
              <w:p w14:paraId="49464CED" w14:textId="77777777" w:rsidR="005E000F" w:rsidRDefault="00000000">
                <w:pPr>
                  <w:jc w:val="center"/>
                  <w:rPr>
                    <w:color w:val="000000" w:themeColor="text1"/>
                  </w:rPr>
                </w:pPr>
                <w:r>
                  <w:rPr>
                    <w:rFonts w:hint="eastAsia"/>
                    <w:color w:val="000000" w:themeColor="text1"/>
                  </w:rPr>
                  <w:t>2025</w:t>
                </w:r>
                <w:r>
                  <w:rPr>
                    <w:rFonts w:hint="eastAsia"/>
                    <w:color w:val="000000" w:themeColor="text1"/>
                  </w:rPr>
                  <w:t>年</w:t>
                </w:r>
              </w:p>
            </w:tc>
            <w:tc>
              <w:tcPr>
                <w:tcW w:w="1090" w:type="pct"/>
                <w:tcBorders>
                  <w:top w:val="single" w:sz="4" w:space="0" w:color="auto"/>
                  <w:left w:val="single" w:sz="4" w:space="0" w:color="auto"/>
                  <w:bottom w:val="single" w:sz="4" w:space="0" w:color="auto"/>
                  <w:right w:val="single" w:sz="4" w:space="0" w:color="auto"/>
                </w:tcBorders>
              </w:tcPr>
              <w:p w14:paraId="290201BB" w14:textId="77777777" w:rsidR="005E000F" w:rsidRDefault="00000000">
                <w:pPr>
                  <w:jc w:val="center"/>
                  <w:rPr>
                    <w:color w:val="000000" w:themeColor="text1"/>
                  </w:rPr>
                </w:pPr>
                <w:r>
                  <w:rPr>
                    <w:rFonts w:hint="eastAsia"/>
                    <w:color w:val="000000" w:themeColor="text1"/>
                  </w:rPr>
                  <w:t>2024</w:t>
                </w:r>
                <w:r>
                  <w:rPr>
                    <w:rFonts w:hint="eastAsia"/>
                    <w:color w:val="000000" w:themeColor="text1"/>
                  </w:rPr>
                  <w:t>年</w:t>
                </w:r>
              </w:p>
            </w:tc>
          </w:tr>
          <w:tr w:rsidR="005E000F" w14:paraId="0267C677" w14:textId="77777777">
            <w:trPr>
              <w:cantSplit/>
            </w:trPr>
            <w:tc>
              <w:tcPr>
                <w:tcW w:w="2792" w:type="pct"/>
                <w:tcBorders>
                  <w:top w:val="single" w:sz="4" w:space="0" w:color="auto"/>
                  <w:left w:val="single" w:sz="4" w:space="0" w:color="auto"/>
                  <w:bottom w:val="single" w:sz="4" w:space="0" w:color="auto"/>
                  <w:right w:val="single" w:sz="4" w:space="0" w:color="auto"/>
                </w:tcBorders>
              </w:tcPr>
              <w:p w14:paraId="7492FEF0" w14:textId="77777777" w:rsidR="005E000F" w:rsidRDefault="00000000">
                <w:pPr>
                  <w:rPr>
                    <w:color w:val="000000" w:themeColor="text1"/>
                  </w:rPr>
                </w:pPr>
                <w:r>
                  <w:rPr>
                    <w:rFonts w:hint="eastAsia"/>
                    <w:color w:val="000000" w:themeColor="text1"/>
                  </w:rPr>
                  <w:t>归属于本公司普通股东的合并净利润（稀释）（注</w:t>
                </w:r>
                <w:r>
                  <w:rPr>
                    <w:rFonts w:hint="eastAsia"/>
                    <w:color w:val="000000" w:themeColor="text1"/>
                  </w:rPr>
                  <w:t>1</w:t>
                </w:r>
                <w:r>
                  <w:rPr>
                    <w:rFonts w:hint="eastAsia"/>
                    <w:color w:val="000000" w:themeColor="text1"/>
                  </w:rPr>
                  <w:t>）</w:t>
                </w:r>
              </w:p>
            </w:tc>
            <w:tc>
              <w:tcPr>
                <w:tcW w:w="2022" w:type="dxa"/>
                <w:tcBorders>
                  <w:top w:val="single" w:sz="4" w:space="0" w:color="auto"/>
                  <w:left w:val="single" w:sz="4" w:space="0" w:color="auto"/>
                  <w:bottom w:val="single" w:sz="4" w:space="0" w:color="auto"/>
                  <w:right w:val="single" w:sz="4" w:space="0" w:color="auto"/>
                </w:tcBorders>
                <w:vAlign w:val="center"/>
              </w:tcPr>
              <w:p w14:paraId="464B3260" w14:textId="77777777" w:rsidR="005E000F" w:rsidRDefault="00000000">
                <w:pPr>
                  <w:jc w:val="right"/>
                </w:pPr>
                <w:r>
                  <w:t>5,900,148,479</w:t>
                </w:r>
              </w:p>
            </w:tc>
            <w:tc>
              <w:tcPr>
                <w:tcW w:w="1090" w:type="pct"/>
                <w:tcBorders>
                  <w:top w:val="single" w:sz="4" w:space="0" w:color="auto"/>
                  <w:left w:val="single" w:sz="4" w:space="0" w:color="auto"/>
                  <w:bottom w:val="single" w:sz="4" w:space="0" w:color="auto"/>
                  <w:right w:val="single" w:sz="4" w:space="0" w:color="auto"/>
                </w:tcBorders>
                <w:vAlign w:val="center"/>
              </w:tcPr>
              <w:p w14:paraId="4DD86A03" w14:textId="77777777" w:rsidR="005E000F" w:rsidRDefault="00000000">
                <w:pPr>
                  <w:jc w:val="right"/>
                </w:pPr>
                <w:r>
                  <w:rPr>
                    <w:rFonts w:hint="eastAsia"/>
                  </w:rPr>
                  <w:t>9,478,811,101</w:t>
                </w:r>
              </w:p>
            </w:tc>
          </w:tr>
          <w:tr w:rsidR="005E000F" w14:paraId="1689689B" w14:textId="77777777">
            <w:trPr>
              <w:cantSplit/>
            </w:trPr>
            <w:tc>
              <w:tcPr>
                <w:tcW w:w="2792" w:type="pct"/>
                <w:tcBorders>
                  <w:top w:val="single" w:sz="4" w:space="0" w:color="auto"/>
                  <w:left w:val="single" w:sz="4" w:space="0" w:color="auto"/>
                  <w:bottom w:val="single" w:sz="4" w:space="0" w:color="auto"/>
                  <w:right w:val="single" w:sz="4" w:space="0" w:color="auto"/>
                </w:tcBorders>
              </w:tcPr>
              <w:p w14:paraId="623580BF" w14:textId="77777777" w:rsidR="005E000F" w:rsidRDefault="00000000">
                <w:r>
                  <w:rPr>
                    <w:rFonts w:hint="eastAsia"/>
                    <w:color w:val="000000" w:themeColor="text1"/>
                  </w:rPr>
                  <w:t>本公司</w:t>
                </w:r>
                <w:r>
                  <w:rPr>
                    <w:rFonts w:hint="eastAsia"/>
                  </w:rPr>
                  <w:t>发行在外普通股的加权平均数（稀释）（注</w:t>
                </w:r>
                <w:r>
                  <w:rPr>
                    <w:rFonts w:hint="eastAsia"/>
                  </w:rPr>
                  <w:t>2</w:t>
                </w:r>
                <w:r>
                  <w:rPr>
                    <w:rFonts w:hint="eastAsia"/>
                  </w:rPr>
                  <w:t>）</w:t>
                </w:r>
              </w:p>
            </w:tc>
            <w:tc>
              <w:tcPr>
                <w:tcW w:w="2022" w:type="dxa"/>
                <w:tcBorders>
                  <w:top w:val="single" w:sz="4" w:space="0" w:color="auto"/>
                  <w:left w:val="single" w:sz="4" w:space="0" w:color="auto"/>
                  <w:bottom w:val="single" w:sz="4" w:space="0" w:color="auto"/>
                  <w:right w:val="single" w:sz="4" w:space="0" w:color="auto"/>
                </w:tcBorders>
                <w:vAlign w:val="center"/>
              </w:tcPr>
              <w:p w14:paraId="3998FE19" w14:textId="77777777" w:rsidR="005E000F" w:rsidRDefault="00000000">
                <w:pPr>
                  <w:jc w:val="right"/>
                </w:pPr>
                <w:r>
                  <w:t>19,920,767,950</w:t>
                </w:r>
              </w:p>
            </w:tc>
            <w:tc>
              <w:tcPr>
                <w:tcW w:w="1090" w:type="pct"/>
                <w:tcBorders>
                  <w:top w:val="single" w:sz="4" w:space="0" w:color="auto"/>
                  <w:left w:val="single" w:sz="4" w:space="0" w:color="auto"/>
                  <w:bottom w:val="single" w:sz="4" w:space="0" w:color="auto"/>
                  <w:right w:val="single" w:sz="4" w:space="0" w:color="auto"/>
                </w:tcBorders>
                <w:vAlign w:val="center"/>
              </w:tcPr>
              <w:p w14:paraId="3D58E657" w14:textId="77777777" w:rsidR="005E000F" w:rsidRDefault="00000000">
                <w:pPr>
                  <w:jc w:val="right"/>
                </w:pPr>
                <w:r>
                  <w:rPr>
                    <w:rFonts w:hint="eastAsia"/>
                  </w:rPr>
                  <w:t>18,912,237,623</w:t>
                </w:r>
              </w:p>
            </w:tc>
          </w:tr>
          <w:tr w:rsidR="005E000F" w14:paraId="5C4B853A" w14:textId="77777777">
            <w:trPr>
              <w:cantSplit/>
            </w:trPr>
            <w:tc>
              <w:tcPr>
                <w:tcW w:w="2792" w:type="pct"/>
                <w:tcBorders>
                  <w:top w:val="single" w:sz="4" w:space="0" w:color="auto"/>
                  <w:left w:val="single" w:sz="4" w:space="0" w:color="auto"/>
                  <w:bottom w:val="single" w:sz="4" w:space="0" w:color="auto"/>
                  <w:right w:val="single" w:sz="4" w:space="0" w:color="auto"/>
                </w:tcBorders>
              </w:tcPr>
              <w:p w14:paraId="307EC359" w14:textId="77777777" w:rsidR="005E000F" w:rsidRDefault="00000000">
                <w:r>
                  <w:rPr>
                    <w:rFonts w:hint="eastAsia"/>
                  </w:rPr>
                  <w:t>稀释每股收益（元</w:t>
                </w:r>
                <w:r>
                  <w:rPr>
                    <w:rFonts w:hint="eastAsia"/>
                  </w:rPr>
                  <w:t>/</w:t>
                </w:r>
                <w:r>
                  <w:rPr>
                    <w:rFonts w:hint="eastAsia"/>
                  </w:rPr>
                  <w:t>股）</w:t>
                </w:r>
              </w:p>
            </w:tc>
            <w:tc>
              <w:tcPr>
                <w:tcW w:w="2022" w:type="dxa"/>
                <w:tcBorders>
                  <w:top w:val="single" w:sz="4" w:space="0" w:color="auto"/>
                  <w:left w:val="single" w:sz="4" w:space="0" w:color="auto"/>
                  <w:bottom w:val="single" w:sz="4" w:space="0" w:color="auto"/>
                  <w:right w:val="single" w:sz="4" w:space="0" w:color="auto"/>
                </w:tcBorders>
                <w:vAlign w:val="center"/>
              </w:tcPr>
              <w:p w14:paraId="0A18FA49" w14:textId="77777777" w:rsidR="005E000F" w:rsidRDefault="00000000">
                <w:pPr>
                  <w:jc w:val="right"/>
                </w:pPr>
                <w:r>
                  <w:t>0.30</w:t>
                </w:r>
              </w:p>
            </w:tc>
            <w:tc>
              <w:tcPr>
                <w:tcW w:w="1090" w:type="pct"/>
                <w:tcBorders>
                  <w:top w:val="single" w:sz="4" w:space="0" w:color="auto"/>
                  <w:left w:val="single" w:sz="4" w:space="0" w:color="auto"/>
                  <w:bottom w:val="single" w:sz="4" w:space="0" w:color="auto"/>
                  <w:right w:val="single" w:sz="4" w:space="0" w:color="auto"/>
                </w:tcBorders>
                <w:vAlign w:val="center"/>
              </w:tcPr>
              <w:p w14:paraId="7B468AE6" w14:textId="77777777" w:rsidR="005E000F" w:rsidRDefault="00000000">
                <w:pPr>
                  <w:jc w:val="right"/>
                </w:pPr>
                <w:r>
                  <w:rPr>
                    <w:rFonts w:hint="eastAsia"/>
                  </w:rPr>
                  <w:t>0.50</w:t>
                </w:r>
              </w:p>
            </w:tc>
          </w:tr>
        </w:tbl>
        <w:p w14:paraId="5842DCA8" w14:textId="77777777" w:rsidR="005E000F" w:rsidRDefault="005E000F">
          <w:pPr>
            <w:rPr>
              <w:color w:val="000000" w:themeColor="text1"/>
            </w:rPr>
          </w:pPr>
        </w:p>
        <w:p w14:paraId="18180A07" w14:textId="77777777" w:rsidR="005E000F" w:rsidRDefault="00000000">
          <w:pPr>
            <w:rPr>
              <w:color w:val="000000" w:themeColor="text1"/>
            </w:rPr>
          </w:pPr>
          <w:r>
            <w:rPr>
              <w:rFonts w:hint="eastAsia"/>
              <w:color w:val="000000" w:themeColor="text1"/>
            </w:rPr>
            <w:t>注</w:t>
          </w:r>
          <w:r>
            <w:rPr>
              <w:rFonts w:hint="eastAsia"/>
              <w:color w:val="000000" w:themeColor="text1"/>
            </w:rPr>
            <w:t>1</w:t>
          </w:r>
          <w:r>
            <w:rPr>
              <w:rFonts w:hint="eastAsia"/>
              <w:color w:val="000000" w:themeColor="text1"/>
            </w:rPr>
            <w:t>：归属于本公司普通股股东的合并净利润（稀释）计算过程</w:t>
          </w:r>
        </w:p>
        <w:p w14:paraId="6D455EB8" w14:textId="77777777" w:rsidR="005E00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47465247"/>
              <w:placeholder>
                <w:docPart w:val="{305db126-8ae0-4916-9b02-96522ac460c5}"/>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47471203"/>
              <w:placeholder>
                <w:docPart w:val="{305db126-8ae0-4916-9b02-96522ac460c5}"/>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2148"/>
            <w:gridCol w:w="2298"/>
          </w:tblGrid>
          <w:tr w:rsidR="005E000F" w14:paraId="34712754" w14:textId="77777777">
            <w:trPr>
              <w:cantSplit/>
            </w:trPr>
            <w:tc>
              <w:tcPr>
                <w:tcW w:w="2542" w:type="pct"/>
                <w:tcBorders>
                  <w:top w:val="single" w:sz="4" w:space="0" w:color="auto"/>
                  <w:left w:val="single" w:sz="4" w:space="0" w:color="auto"/>
                  <w:bottom w:val="single" w:sz="4" w:space="0" w:color="auto"/>
                  <w:right w:val="single" w:sz="4" w:space="0" w:color="auto"/>
                </w:tcBorders>
                <w:vAlign w:val="center"/>
              </w:tcPr>
              <w:p w14:paraId="194FB12E" w14:textId="77777777" w:rsidR="005E000F" w:rsidRDefault="005E000F">
                <w:pPr>
                  <w:jc w:val="center"/>
                  <w:rPr>
                    <w:color w:val="000000" w:themeColor="text1"/>
                  </w:rPr>
                </w:pPr>
              </w:p>
            </w:tc>
            <w:tc>
              <w:tcPr>
                <w:tcW w:w="1187" w:type="pct"/>
                <w:tcBorders>
                  <w:top w:val="single" w:sz="4" w:space="0" w:color="auto"/>
                  <w:left w:val="single" w:sz="4" w:space="0" w:color="auto"/>
                  <w:bottom w:val="single" w:sz="4" w:space="0" w:color="auto"/>
                  <w:right w:val="single" w:sz="4" w:space="0" w:color="auto"/>
                </w:tcBorders>
                <w:vAlign w:val="center"/>
              </w:tcPr>
              <w:p w14:paraId="214D00C3" w14:textId="77777777" w:rsidR="005E000F" w:rsidRDefault="00000000">
                <w:pPr>
                  <w:jc w:val="center"/>
                  <w:rPr>
                    <w:color w:val="000000" w:themeColor="text1"/>
                  </w:rPr>
                </w:pPr>
                <w:r>
                  <w:rPr>
                    <w:rFonts w:hint="eastAsia"/>
                    <w:color w:val="000000" w:themeColor="text1"/>
                  </w:rPr>
                  <w:t>2025</w:t>
                </w:r>
                <w:r>
                  <w:rPr>
                    <w:rFonts w:hint="eastAsia"/>
                    <w:color w:val="000000" w:themeColor="text1"/>
                  </w:rPr>
                  <w:t>年</w:t>
                </w:r>
              </w:p>
            </w:tc>
            <w:tc>
              <w:tcPr>
                <w:tcW w:w="1269" w:type="pct"/>
                <w:tcBorders>
                  <w:top w:val="single" w:sz="4" w:space="0" w:color="auto"/>
                  <w:left w:val="single" w:sz="4" w:space="0" w:color="auto"/>
                  <w:bottom w:val="single" w:sz="4" w:space="0" w:color="auto"/>
                  <w:right w:val="single" w:sz="4" w:space="0" w:color="auto"/>
                </w:tcBorders>
              </w:tcPr>
              <w:p w14:paraId="22230485" w14:textId="77777777" w:rsidR="005E000F" w:rsidRDefault="00000000">
                <w:pPr>
                  <w:jc w:val="center"/>
                  <w:rPr>
                    <w:color w:val="000000" w:themeColor="text1"/>
                  </w:rPr>
                </w:pPr>
                <w:r>
                  <w:rPr>
                    <w:rFonts w:hint="eastAsia"/>
                    <w:color w:val="000000" w:themeColor="text1"/>
                  </w:rPr>
                  <w:t>2024</w:t>
                </w:r>
                <w:r>
                  <w:rPr>
                    <w:rFonts w:hint="eastAsia"/>
                    <w:color w:val="000000" w:themeColor="text1"/>
                  </w:rPr>
                  <w:t>年</w:t>
                </w:r>
              </w:p>
            </w:tc>
          </w:tr>
          <w:tr w:rsidR="005E000F" w14:paraId="265382A5" w14:textId="77777777">
            <w:trPr>
              <w:cantSplit/>
            </w:trPr>
            <w:tc>
              <w:tcPr>
                <w:tcW w:w="2542" w:type="pct"/>
                <w:tcBorders>
                  <w:top w:val="single" w:sz="4" w:space="0" w:color="auto"/>
                  <w:left w:val="single" w:sz="4" w:space="0" w:color="auto"/>
                  <w:bottom w:val="single" w:sz="4" w:space="0" w:color="auto"/>
                  <w:right w:val="single" w:sz="4" w:space="0" w:color="auto"/>
                </w:tcBorders>
              </w:tcPr>
              <w:p w14:paraId="73FE8027" w14:textId="77777777" w:rsidR="005E000F" w:rsidRDefault="00000000">
                <w:pPr>
                  <w:rPr>
                    <w:color w:val="000000" w:themeColor="text1"/>
                  </w:rPr>
                </w:pPr>
                <w:r>
                  <w:rPr>
                    <w:rFonts w:hint="eastAsia"/>
                    <w:color w:val="000000" w:themeColor="text1"/>
                  </w:rPr>
                  <w:t>归属于本公司普通股股东的合并净利润</w:t>
                </w:r>
              </w:p>
            </w:tc>
            <w:tc>
              <w:tcPr>
                <w:tcW w:w="2149" w:type="dxa"/>
                <w:tcBorders>
                  <w:top w:val="single" w:sz="4" w:space="0" w:color="auto"/>
                  <w:left w:val="single" w:sz="4" w:space="0" w:color="auto"/>
                  <w:bottom w:val="single" w:sz="4" w:space="0" w:color="auto"/>
                  <w:right w:val="single" w:sz="4" w:space="0" w:color="auto"/>
                </w:tcBorders>
                <w:vAlign w:val="center"/>
              </w:tcPr>
              <w:p w14:paraId="058752AE" w14:textId="77777777" w:rsidR="005E000F" w:rsidRDefault="00000000">
                <w:pPr>
                  <w:jc w:val="right"/>
                </w:pPr>
                <w:r>
                  <w:t>5,900,148,479</w:t>
                </w:r>
              </w:p>
            </w:tc>
            <w:tc>
              <w:tcPr>
                <w:tcW w:w="1269" w:type="pct"/>
                <w:tcBorders>
                  <w:top w:val="single" w:sz="4" w:space="0" w:color="auto"/>
                  <w:left w:val="single" w:sz="4" w:space="0" w:color="auto"/>
                  <w:bottom w:val="single" w:sz="4" w:space="0" w:color="auto"/>
                  <w:right w:val="single" w:sz="4" w:space="0" w:color="auto"/>
                </w:tcBorders>
                <w:vAlign w:val="center"/>
              </w:tcPr>
              <w:p w14:paraId="337B9017" w14:textId="77777777" w:rsidR="005E000F" w:rsidRDefault="00000000">
                <w:pPr>
                  <w:jc w:val="right"/>
                </w:pPr>
                <w:r>
                  <w:rPr>
                    <w:rFonts w:hint="eastAsia"/>
                  </w:rPr>
                  <w:t>9,039,359,180</w:t>
                </w:r>
              </w:p>
            </w:tc>
          </w:tr>
          <w:tr w:rsidR="005E000F" w14:paraId="097010B2" w14:textId="77777777">
            <w:trPr>
              <w:cantSplit/>
            </w:trPr>
            <w:tc>
              <w:tcPr>
                <w:tcW w:w="2542" w:type="pct"/>
                <w:tcBorders>
                  <w:top w:val="single" w:sz="4" w:space="0" w:color="auto"/>
                  <w:left w:val="single" w:sz="4" w:space="0" w:color="auto"/>
                  <w:bottom w:val="single" w:sz="4" w:space="0" w:color="auto"/>
                  <w:right w:val="single" w:sz="4" w:space="0" w:color="auto"/>
                </w:tcBorders>
              </w:tcPr>
              <w:p w14:paraId="6CC7C7EF" w14:textId="77777777" w:rsidR="005E000F" w:rsidRDefault="00000000">
                <w:r>
                  <w:rPr>
                    <w:rFonts w:hint="eastAsia"/>
                  </w:rPr>
                  <w:t>稀释调整：</w:t>
                </w:r>
              </w:p>
            </w:tc>
            <w:tc>
              <w:tcPr>
                <w:tcW w:w="2149" w:type="dxa"/>
                <w:tcBorders>
                  <w:top w:val="single" w:sz="4" w:space="0" w:color="auto"/>
                  <w:left w:val="single" w:sz="4" w:space="0" w:color="auto"/>
                  <w:bottom w:val="single" w:sz="4" w:space="0" w:color="auto"/>
                  <w:right w:val="single" w:sz="4" w:space="0" w:color="auto"/>
                </w:tcBorders>
                <w:vAlign w:val="center"/>
              </w:tcPr>
              <w:p w14:paraId="474E0D6A" w14:textId="77777777" w:rsidR="005E000F" w:rsidRDefault="005E000F">
                <w:pPr>
                  <w:jc w:val="right"/>
                </w:pPr>
              </w:p>
            </w:tc>
            <w:tc>
              <w:tcPr>
                <w:tcW w:w="1269" w:type="pct"/>
                <w:tcBorders>
                  <w:top w:val="single" w:sz="4" w:space="0" w:color="auto"/>
                  <w:left w:val="single" w:sz="4" w:space="0" w:color="auto"/>
                  <w:bottom w:val="single" w:sz="4" w:space="0" w:color="auto"/>
                  <w:right w:val="single" w:sz="4" w:space="0" w:color="auto"/>
                </w:tcBorders>
                <w:vAlign w:val="center"/>
              </w:tcPr>
              <w:p w14:paraId="18658370" w14:textId="77777777" w:rsidR="005E000F" w:rsidRDefault="005E000F">
                <w:pPr>
                  <w:jc w:val="right"/>
                </w:pPr>
              </w:p>
            </w:tc>
          </w:tr>
          <w:tr w:rsidR="005E000F" w14:paraId="7C0E16CF" w14:textId="77777777">
            <w:trPr>
              <w:cantSplit/>
            </w:trPr>
            <w:tc>
              <w:tcPr>
                <w:tcW w:w="2542" w:type="pct"/>
                <w:tcBorders>
                  <w:top w:val="single" w:sz="4" w:space="0" w:color="auto"/>
                  <w:left w:val="single" w:sz="4" w:space="0" w:color="auto"/>
                  <w:bottom w:val="single" w:sz="4" w:space="0" w:color="auto"/>
                  <w:right w:val="single" w:sz="4" w:space="0" w:color="auto"/>
                </w:tcBorders>
              </w:tcPr>
              <w:p w14:paraId="2B3D2833" w14:textId="77777777" w:rsidR="005E000F" w:rsidRDefault="00000000">
                <w:r>
                  <w:rPr>
                    <w:rFonts w:hint="eastAsia"/>
                  </w:rPr>
                  <w:t>可转换债券负债部分确认的利息（税后）</w:t>
                </w:r>
              </w:p>
            </w:tc>
            <w:tc>
              <w:tcPr>
                <w:tcW w:w="2149" w:type="dxa"/>
                <w:tcBorders>
                  <w:top w:val="single" w:sz="4" w:space="0" w:color="auto"/>
                  <w:left w:val="single" w:sz="4" w:space="0" w:color="auto"/>
                  <w:bottom w:val="single" w:sz="4" w:space="0" w:color="auto"/>
                  <w:right w:val="single" w:sz="4" w:space="0" w:color="auto"/>
                </w:tcBorders>
                <w:vAlign w:val="center"/>
              </w:tcPr>
              <w:p w14:paraId="643BF475" w14:textId="77777777" w:rsidR="005E000F" w:rsidRDefault="00000000">
                <w:pPr>
                  <w:jc w:val="right"/>
                </w:pPr>
                <w:r>
                  <w:rPr>
                    <w:rFonts w:hint="eastAsia"/>
                  </w:rPr>
                  <w:t>0</w:t>
                </w:r>
              </w:p>
            </w:tc>
            <w:tc>
              <w:tcPr>
                <w:tcW w:w="1269" w:type="pct"/>
                <w:tcBorders>
                  <w:top w:val="single" w:sz="4" w:space="0" w:color="auto"/>
                  <w:left w:val="single" w:sz="4" w:space="0" w:color="auto"/>
                  <w:bottom w:val="single" w:sz="4" w:space="0" w:color="auto"/>
                  <w:right w:val="single" w:sz="4" w:space="0" w:color="auto"/>
                </w:tcBorders>
                <w:vAlign w:val="center"/>
              </w:tcPr>
              <w:p w14:paraId="6B1E14BA" w14:textId="77777777" w:rsidR="005E000F" w:rsidRDefault="00000000">
                <w:pPr>
                  <w:jc w:val="right"/>
                </w:pPr>
                <w:r>
                  <w:rPr>
                    <w:rFonts w:hint="eastAsia"/>
                  </w:rPr>
                  <w:t>439,451,921</w:t>
                </w:r>
              </w:p>
            </w:tc>
          </w:tr>
          <w:tr w:rsidR="005E000F" w14:paraId="7E31ACCD" w14:textId="77777777">
            <w:trPr>
              <w:cantSplit/>
            </w:trPr>
            <w:tc>
              <w:tcPr>
                <w:tcW w:w="2542" w:type="pct"/>
                <w:tcBorders>
                  <w:top w:val="single" w:sz="4" w:space="0" w:color="auto"/>
                  <w:left w:val="single" w:sz="4" w:space="0" w:color="auto"/>
                  <w:bottom w:val="single" w:sz="4" w:space="0" w:color="auto"/>
                  <w:right w:val="single" w:sz="4" w:space="0" w:color="auto"/>
                </w:tcBorders>
              </w:tcPr>
              <w:p w14:paraId="438DEB20" w14:textId="77777777" w:rsidR="005E000F" w:rsidRDefault="00000000">
                <w:r>
                  <w:rPr>
                    <w:rFonts w:hint="eastAsia"/>
                  </w:rPr>
                  <w:t>归属于</w:t>
                </w:r>
                <w:r>
                  <w:rPr>
                    <w:rFonts w:hint="eastAsia"/>
                    <w:color w:val="000000" w:themeColor="text1"/>
                  </w:rPr>
                  <w:t>本公司</w:t>
                </w:r>
                <w:r>
                  <w:rPr>
                    <w:rFonts w:hint="eastAsia"/>
                  </w:rPr>
                  <w:t>普通股东的合并净利润（稀释）</w:t>
                </w:r>
              </w:p>
            </w:tc>
            <w:tc>
              <w:tcPr>
                <w:tcW w:w="2149" w:type="dxa"/>
                <w:tcBorders>
                  <w:top w:val="single" w:sz="4" w:space="0" w:color="auto"/>
                  <w:left w:val="single" w:sz="4" w:space="0" w:color="auto"/>
                  <w:bottom w:val="single" w:sz="4" w:space="0" w:color="auto"/>
                  <w:right w:val="single" w:sz="4" w:space="0" w:color="auto"/>
                </w:tcBorders>
                <w:vAlign w:val="center"/>
              </w:tcPr>
              <w:p w14:paraId="36820211" w14:textId="77777777" w:rsidR="005E000F" w:rsidRDefault="00000000">
                <w:pPr>
                  <w:jc w:val="right"/>
                </w:pPr>
                <w:r>
                  <w:t>5,900,148,479</w:t>
                </w:r>
              </w:p>
            </w:tc>
            <w:tc>
              <w:tcPr>
                <w:tcW w:w="1269" w:type="pct"/>
                <w:tcBorders>
                  <w:top w:val="single" w:sz="4" w:space="0" w:color="auto"/>
                  <w:left w:val="single" w:sz="4" w:space="0" w:color="auto"/>
                  <w:bottom w:val="single" w:sz="4" w:space="0" w:color="auto"/>
                  <w:right w:val="single" w:sz="4" w:space="0" w:color="auto"/>
                </w:tcBorders>
                <w:vAlign w:val="center"/>
              </w:tcPr>
              <w:p w14:paraId="34961F0B" w14:textId="77777777" w:rsidR="005E000F" w:rsidRDefault="00000000">
                <w:pPr>
                  <w:jc w:val="right"/>
                </w:pPr>
                <w:r>
                  <w:rPr>
                    <w:rFonts w:hint="eastAsia"/>
                  </w:rPr>
                  <w:t>9,478,811,101</w:t>
                </w:r>
              </w:p>
            </w:tc>
          </w:tr>
        </w:tbl>
        <w:p w14:paraId="52BF436F" w14:textId="77777777" w:rsidR="005E000F" w:rsidRDefault="005E000F">
          <w:pPr>
            <w:rPr>
              <w:color w:val="000000" w:themeColor="text1"/>
            </w:rPr>
          </w:pPr>
        </w:p>
        <w:p w14:paraId="0E8AE90C" w14:textId="77777777" w:rsidR="005E000F" w:rsidRDefault="00000000">
          <w:pPr>
            <w:rPr>
              <w:color w:val="000000" w:themeColor="text1"/>
            </w:rPr>
          </w:pPr>
          <w:r>
            <w:rPr>
              <w:rFonts w:hint="eastAsia"/>
              <w:color w:val="000000" w:themeColor="text1"/>
            </w:rPr>
            <w:t>注</w:t>
          </w:r>
          <w:r>
            <w:rPr>
              <w:rFonts w:hint="eastAsia"/>
              <w:color w:val="000000" w:themeColor="text1"/>
            </w:rPr>
            <w:t>2</w:t>
          </w:r>
          <w:r>
            <w:rPr>
              <w:rFonts w:hint="eastAsia"/>
              <w:color w:val="000000" w:themeColor="text1"/>
            </w:rPr>
            <w:t>：普通股的加权平均数（稀释）计算过程</w:t>
          </w:r>
        </w:p>
        <w:p w14:paraId="021B1E2C" w14:textId="77777777" w:rsidR="005E000F" w:rsidRDefault="00000000">
          <w:pPr>
            <w:jc w:val="right"/>
            <w:rPr>
              <w:color w:val="000000" w:themeColor="text1"/>
            </w:rPr>
          </w:pPr>
          <w:r>
            <w:rPr>
              <w:rFonts w:hint="eastAsia"/>
              <w:color w:val="000000" w:themeColor="text1"/>
            </w:rPr>
            <w:t>单位：</w:t>
          </w:r>
          <w:sdt>
            <w:sdtPr>
              <w:rPr>
                <w:rFonts w:hint="eastAsia"/>
                <w:color w:val="000000" w:themeColor="text1"/>
              </w:rPr>
              <w:alias w:val="单位：母公司应收账款按账龄披露"/>
              <w:tag w:val="_GBC_308a90728c1f4859ad3f446cb4ef9717"/>
              <w:id w:val="147453989"/>
              <w:placeholder>
                <w:docPart w:val="{87b83ba8-d972-4586-9e47-b9e53f8846e3}"/>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000000" w:themeColor="text1"/>
                </w:rPr>
                <w:t>元</w:t>
              </w:r>
            </w:sdtContent>
          </w:sdt>
          <w:r>
            <w:rPr>
              <w:rFonts w:hint="eastAsia"/>
              <w:color w:val="000000" w:themeColor="text1"/>
            </w:rPr>
            <w:t xml:space="preserve">  </w:t>
          </w:r>
          <w:r>
            <w:rPr>
              <w:rFonts w:hint="eastAsia"/>
              <w:color w:val="000000" w:themeColor="text1"/>
            </w:rPr>
            <w:t>币种：</w:t>
          </w:r>
          <w:sdt>
            <w:sdtPr>
              <w:rPr>
                <w:rFonts w:hint="eastAsia"/>
                <w:color w:val="000000" w:themeColor="text1"/>
              </w:rPr>
              <w:alias w:val="币种：母公司应收账款按账龄披露"/>
              <w:tag w:val="_GBC_777a884d0a3b4955b2e9309a1049a937"/>
              <w:id w:val="147481902"/>
              <w:placeholder>
                <w:docPart w:val="{87b83ba8-d972-4586-9e47-b9e53f8846e3}"/>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000000" w:themeColor="text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2148"/>
            <w:gridCol w:w="2298"/>
          </w:tblGrid>
          <w:tr w:rsidR="005E000F" w14:paraId="0F9713DE" w14:textId="77777777">
            <w:trPr>
              <w:cantSplit/>
            </w:trPr>
            <w:tc>
              <w:tcPr>
                <w:tcW w:w="2542" w:type="pct"/>
                <w:tcBorders>
                  <w:top w:val="single" w:sz="4" w:space="0" w:color="auto"/>
                  <w:left w:val="single" w:sz="4" w:space="0" w:color="auto"/>
                  <w:bottom w:val="single" w:sz="4" w:space="0" w:color="auto"/>
                  <w:right w:val="single" w:sz="4" w:space="0" w:color="auto"/>
                </w:tcBorders>
                <w:vAlign w:val="center"/>
              </w:tcPr>
              <w:p w14:paraId="656122EC" w14:textId="77777777" w:rsidR="005E000F" w:rsidRDefault="005E000F">
                <w:pPr>
                  <w:jc w:val="center"/>
                  <w:rPr>
                    <w:color w:val="000000" w:themeColor="text1"/>
                  </w:rPr>
                </w:pPr>
              </w:p>
            </w:tc>
            <w:tc>
              <w:tcPr>
                <w:tcW w:w="1187" w:type="pct"/>
                <w:tcBorders>
                  <w:top w:val="single" w:sz="4" w:space="0" w:color="auto"/>
                  <w:left w:val="single" w:sz="4" w:space="0" w:color="auto"/>
                  <w:bottom w:val="single" w:sz="4" w:space="0" w:color="auto"/>
                  <w:right w:val="single" w:sz="4" w:space="0" w:color="auto"/>
                </w:tcBorders>
                <w:vAlign w:val="center"/>
              </w:tcPr>
              <w:p w14:paraId="5A85A6A1" w14:textId="77777777" w:rsidR="005E000F" w:rsidRDefault="00000000">
                <w:pPr>
                  <w:jc w:val="center"/>
                  <w:rPr>
                    <w:color w:val="000000" w:themeColor="text1"/>
                  </w:rPr>
                </w:pPr>
                <w:r>
                  <w:rPr>
                    <w:rFonts w:hint="eastAsia"/>
                    <w:color w:val="000000" w:themeColor="text1"/>
                  </w:rPr>
                  <w:t>2025</w:t>
                </w:r>
                <w:r>
                  <w:rPr>
                    <w:rFonts w:hint="eastAsia"/>
                    <w:color w:val="000000" w:themeColor="text1"/>
                  </w:rPr>
                  <w:t>年</w:t>
                </w:r>
              </w:p>
            </w:tc>
            <w:tc>
              <w:tcPr>
                <w:tcW w:w="1269" w:type="pct"/>
                <w:tcBorders>
                  <w:top w:val="single" w:sz="4" w:space="0" w:color="auto"/>
                  <w:left w:val="single" w:sz="4" w:space="0" w:color="auto"/>
                  <w:bottom w:val="single" w:sz="4" w:space="0" w:color="auto"/>
                  <w:right w:val="single" w:sz="4" w:space="0" w:color="auto"/>
                </w:tcBorders>
              </w:tcPr>
              <w:p w14:paraId="545658BC" w14:textId="77777777" w:rsidR="005E000F" w:rsidRDefault="00000000">
                <w:pPr>
                  <w:jc w:val="center"/>
                  <w:rPr>
                    <w:color w:val="000000" w:themeColor="text1"/>
                  </w:rPr>
                </w:pPr>
                <w:r>
                  <w:rPr>
                    <w:rFonts w:hint="eastAsia"/>
                    <w:color w:val="000000" w:themeColor="text1"/>
                  </w:rPr>
                  <w:t>2024</w:t>
                </w:r>
                <w:r>
                  <w:rPr>
                    <w:rFonts w:hint="eastAsia"/>
                    <w:color w:val="000000" w:themeColor="text1"/>
                  </w:rPr>
                  <w:t>年</w:t>
                </w:r>
              </w:p>
            </w:tc>
          </w:tr>
          <w:tr w:rsidR="005E000F" w14:paraId="3AEDD748" w14:textId="77777777">
            <w:trPr>
              <w:cantSplit/>
            </w:trPr>
            <w:tc>
              <w:tcPr>
                <w:tcW w:w="2542" w:type="pct"/>
                <w:tcBorders>
                  <w:top w:val="single" w:sz="4" w:space="0" w:color="auto"/>
                  <w:left w:val="single" w:sz="4" w:space="0" w:color="auto"/>
                  <w:bottom w:val="single" w:sz="4" w:space="0" w:color="auto"/>
                  <w:right w:val="single" w:sz="4" w:space="0" w:color="auto"/>
                </w:tcBorders>
              </w:tcPr>
              <w:p w14:paraId="31E1F0E2" w14:textId="77777777" w:rsidR="005E000F" w:rsidRDefault="00000000">
                <w:pPr>
                  <w:rPr>
                    <w:color w:val="000000" w:themeColor="text1"/>
                  </w:rPr>
                </w:pPr>
                <w:r>
                  <w:rPr>
                    <w:rFonts w:hint="eastAsia"/>
                    <w:color w:val="000000" w:themeColor="text1"/>
                  </w:rPr>
                  <w:t>年末普通股的加权平均数</w:t>
                </w:r>
              </w:p>
            </w:tc>
            <w:tc>
              <w:tcPr>
                <w:tcW w:w="2149" w:type="dxa"/>
                <w:tcBorders>
                  <w:top w:val="single" w:sz="4" w:space="0" w:color="auto"/>
                  <w:left w:val="single" w:sz="4" w:space="0" w:color="auto"/>
                  <w:bottom w:val="single" w:sz="4" w:space="0" w:color="auto"/>
                  <w:right w:val="single" w:sz="4" w:space="0" w:color="auto"/>
                </w:tcBorders>
                <w:vAlign w:val="center"/>
              </w:tcPr>
              <w:p w14:paraId="43E2E1A6" w14:textId="77777777" w:rsidR="005E000F" w:rsidRDefault="00000000">
                <w:pPr>
                  <w:jc w:val="right"/>
                </w:pPr>
                <w:r>
                  <w:t>19,920,767,950</w:t>
                </w:r>
              </w:p>
            </w:tc>
            <w:tc>
              <w:tcPr>
                <w:tcW w:w="1269" w:type="pct"/>
                <w:tcBorders>
                  <w:top w:val="single" w:sz="4" w:space="0" w:color="auto"/>
                  <w:left w:val="single" w:sz="4" w:space="0" w:color="auto"/>
                  <w:bottom w:val="single" w:sz="4" w:space="0" w:color="auto"/>
                  <w:right w:val="single" w:sz="4" w:space="0" w:color="auto"/>
                </w:tcBorders>
                <w:vAlign w:val="center"/>
              </w:tcPr>
              <w:p w14:paraId="71F76515" w14:textId="77777777" w:rsidR="005E000F" w:rsidRDefault="00000000">
                <w:pPr>
                  <w:jc w:val="right"/>
                </w:pPr>
                <w:r>
                  <w:rPr>
                    <w:rFonts w:hint="eastAsia"/>
                  </w:rPr>
                  <w:t>17,631,475,477</w:t>
                </w:r>
              </w:p>
            </w:tc>
          </w:tr>
          <w:tr w:rsidR="005E000F" w14:paraId="5621C202" w14:textId="77777777">
            <w:trPr>
              <w:cantSplit/>
            </w:trPr>
            <w:tc>
              <w:tcPr>
                <w:tcW w:w="2542" w:type="pct"/>
                <w:tcBorders>
                  <w:top w:val="single" w:sz="4" w:space="0" w:color="auto"/>
                  <w:left w:val="single" w:sz="4" w:space="0" w:color="auto"/>
                  <w:bottom w:val="single" w:sz="4" w:space="0" w:color="auto"/>
                  <w:right w:val="single" w:sz="4" w:space="0" w:color="auto"/>
                </w:tcBorders>
              </w:tcPr>
              <w:p w14:paraId="5168BA59" w14:textId="77777777" w:rsidR="005E000F" w:rsidRDefault="00000000">
                <w:r>
                  <w:rPr>
                    <w:rFonts w:hint="eastAsia"/>
                  </w:rPr>
                  <w:t>稀释调整：</w:t>
                </w:r>
              </w:p>
            </w:tc>
            <w:tc>
              <w:tcPr>
                <w:tcW w:w="2149" w:type="dxa"/>
                <w:tcBorders>
                  <w:top w:val="single" w:sz="4" w:space="0" w:color="auto"/>
                  <w:left w:val="single" w:sz="4" w:space="0" w:color="auto"/>
                  <w:bottom w:val="single" w:sz="4" w:space="0" w:color="auto"/>
                  <w:right w:val="single" w:sz="4" w:space="0" w:color="auto"/>
                </w:tcBorders>
                <w:vAlign w:val="center"/>
              </w:tcPr>
              <w:p w14:paraId="39C1D654" w14:textId="77777777" w:rsidR="005E000F" w:rsidRDefault="005E000F">
                <w:pPr>
                  <w:jc w:val="right"/>
                </w:pPr>
              </w:p>
            </w:tc>
            <w:tc>
              <w:tcPr>
                <w:tcW w:w="1269" w:type="pct"/>
                <w:tcBorders>
                  <w:top w:val="single" w:sz="4" w:space="0" w:color="auto"/>
                  <w:left w:val="single" w:sz="4" w:space="0" w:color="auto"/>
                  <w:bottom w:val="single" w:sz="4" w:space="0" w:color="auto"/>
                  <w:right w:val="single" w:sz="4" w:space="0" w:color="auto"/>
                </w:tcBorders>
                <w:vAlign w:val="center"/>
              </w:tcPr>
              <w:p w14:paraId="5C4820DE" w14:textId="77777777" w:rsidR="005E000F" w:rsidRDefault="005E000F">
                <w:pPr>
                  <w:jc w:val="right"/>
                </w:pPr>
              </w:p>
            </w:tc>
          </w:tr>
          <w:tr w:rsidR="005E000F" w14:paraId="032CA818" w14:textId="77777777">
            <w:trPr>
              <w:cantSplit/>
            </w:trPr>
            <w:tc>
              <w:tcPr>
                <w:tcW w:w="2542" w:type="pct"/>
                <w:tcBorders>
                  <w:top w:val="single" w:sz="4" w:space="0" w:color="auto"/>
                  <w:left w:val="single" w:sz="4" w:space="0" w:color="auto"/>
                  <w:bottom w:val="single" w:sz="4" w:space="0" w:color="auto"/>
                  <w:right w:val="single" w:sz="4" w:space="0" w:color="auto"/>
                </w:tcBorders>
              </w:tcPr>
              <w:p w14:paraId="681CAD00" w14:textId="77777777" w:rsidR="005E000F" w:rsidRDefault="00000000">
                <w:r>
                  <w:rPr>
                    <w:rFonts w:hint="eastAsia"/>
                  </w:rPr>
                  <w:t>可转换债券的影响</w:t>
                </w:r>
              </w:p>
            </w:tc>
            <w:tc>
              <w:tcPr>
                <w:tcW w:w="2149" w:type="dxa"/>
                <w:tcBorders>
                  <w:top w:val="single" w:sz="4" w:space="0" w:color="auto"/>
                  <w:left w:val="single" w:sz="4" w:space="0" w:color="auto"/>
                  <w:bottom w:val="single" w:sz="4" w:space="0" w:color="auto"/>
                  <w:right w:val="single" w:sz="4" w:space="0" w:color="auto"/>
                </w:tcBorders>
                <w:vAlign w:val="center"/>
              </w:tcPr>
              <w:p w14:paraId="2F25D6E2" w14:textId="77777777" w:rsidR="005E000F" w:rsidRDefault="00000000">
                <w:pPr>
                  <w:jc w:val="right"/>
                </w:pPr>
                <w:r>
                  <w:rPr>
                    <w:rFonts w:hint="eastAsia"/>
                  </w:rPr>
                  <w:t>0</w:t>
                </w:r>
              </w:p>
            </w:tc>
            <w:tc>
              <w:tcPr>
                <w:tcW w:w="1269" w:type="pct"/>
                <w:tcBorders>
                  <w:top w:val="single" w:sz="4" w:space="0" w:color="auto"/>
                  <w:left w:val="single" w:sz="4" w:space="0" w:color="auto"/>
                  <w:bottom w:val="single" w:sz="4" w:space="0" w:color="auto"/>
                  <w:right w:val="single" w:sz="4" w:space="0" w:color="auto"/>
                </w:tcBorders>
                <w:vAlign w:val="center"/>
              </w:tcPr>
              <w:p w14:paraId="59B15592" w14:textId="77777777" w:rsidR="005E000F" w:rsidRDefault="00000000">
                <w:pPr>
                  <w:jc w:val="right"/>
                </w:pPr>
                <w:r>
                  <w:rPr>
                    <w:rFonts w:hint="eastAsia"/>
                  </w:rPr>
                  <w:t>1,280,762,146</w:t>
                </w:r>
              </w:p>
            </w:tc>
          </w:tr>
          <w:tr w:rsidR="005E000F" w14:paraId="6AF2B1D5" w14:textId="77777777">
            <w:trPr>
              <w:cantSplit/>
            </w:trPr>
            <w:tc>
              <w:tcPr>
                <w:tcW w:w="2542" w:type="pct"/>
                <w:tcBorders>
                  <w:top w:val="single" w:sz="4" w:space="0" w:color="auto"/>
                  <w:left w:val="single" w:sz="4" w:space="0" w:color="auto"/>
                  <w:bottom w:val="single" w:sz="4" w:space="0" w:color="auto"/>
                  <w:right w:val="single" w:sz="4" w:space="0" w:color="auto"/>
                </w:tcBorders>
              </w:tcPr>
              <w:p w14:paraId="63396354" w14:textId="77777777" w:rsidR="005E000F" w:rsidRDefault="00000000">
                <w:r>
                  <w:rPr>
                    <w:rFonts w:hint="eastAsia"/>
                  </w:rPr>
                  <w:t>年末普通股的加权平均数（稀释）</w:t>
                </w:r>
              </w:p>
            </w:tc>
            <w:tc>
              <w:tcPr>
                <w:tcW w:w="2149" w:type="dxa"/>
                <w:tcBorders>
                  <w:top w:val="single" w:sz="4" w:space="0" w:color="auto"/>
                  <w:left w:val="single" w:sz="4" w:space="0" w:color="auto"/>
                  <w:bottom w:val="single" w:sz="4" w:space="0" w:color="auto"/>
                  <w:right w:val="single" w:sz="4" w:space="0" w:color="auto"/>
                </w:tcBorders>
                <w:vAlign w:val="center"/>
              </w:tcPr>
              <w:p w14:paraId="2BA479B7" w14:textId="77777777" w:rsidR="005E000F" w:rsidRDefault="00000000">
                <w:pPr>
                  <w:jc w:val="right"/>
                </w:pPr>
                <w:r>
                  <w:t>19,920,767,950</w:t>
                </w:r>
              </w:p>
            </w:tc>
            <w:tc>
              <w:tcPr>
                <w:tcW w:w="1269" w:type="pct"/>
                <w:tcBorders>
                  <w:top w:val="single" w:sz="4" w:space="0" w:color="auto"/>
                  <w:left w:val="single" w:sz="4" w:space="0" w:color="auto"/>
                  <w:bottom w:val="single" w:sz="4" w:space="0" w:color="auto"/>
                  <w:right w:val="single" w:sz="4" w:space="0" w:color="auto"/>
                </w:tcBorders>
                <w:vAlign w:val="center"/>
              </w:tcPr>
              <w:p w14:paraId="5FDE370C" w14:textId="77777777" w:rsidR="005E000F" w:rsidRDefault="00000000">
                <w:pPr>
                  <w:jc w:val="right"/>
                </w:pPr>
                <w:r>
                  <w:rPr>
                    <w:rFonts w:hint="eastAsia"/>
                  </w:rPr>
                  <w:t>18,912,237,623</w:t>
                </w:r>
              </w:p>
            </w:tc>
          </w:tr>
        </w:tbl>
        <w:p w14:paraId="7B9D167C" w14:textId="77777777" w:rsidR="005E000F" w:rsidRDefault="00000000"/>
      </w:sdtContent>
    </w:sdt>
    <w:p w14:paraId="547498A5" w14:textId="77777777" w:rsidR="005E000F" w:rsidRDefault="00000000">
      <w:pPr>
        <w:pStyle w:val="2"/>
        <w:numPr>
          <w:ilvl w:val="0"/>
          <w:numId w:val="56"/>
        </w:numPr>
        <w:rPr>
          <w:rFonts w:ascii="宋体" w:hAnsi="宋体"/>
        </w:rPr>
      </w:pPr>
      <w:r>
        <w:rPr>
          <w:rFonts w:ascii="宋体" w:hAnsi="宋体" w:hint="eastAsia"/>
        </w:rPr>
        <w:t>母公司财务报表主要项目注释</w:t>
      </w:r>
    </w:p>
    <w:p w14:paraId="1810C6B0" w14:textId="77777777" w:rsidR="005E000F" w:rsidRDefault="00000000">
      <w:pPr>
        <w:pStyle w:val="3"/>
        <w:numPr>
          <w:ilvl w:val="0"/>
          <w:numId w:val="130"/>
        </w:numPr>
      </w:pPr>
      <w:r>
        <w:rPr>
          <w:rFonts w:ascii="宋体" w:hAnsi="宋体" w:hint="eastAsia"/>
          <w:szCs w:val="21"/>
        </w:rPr>
        <w:t>应收账款</w:t>
      </w:r>
    </w:p>
    <w:p w14:paraId="56A3121F" w14:textId="77777777" w:rsidR="005E000F" w:rsidRDefault="00000000">
      <w:pPr>
        <w:pStyle w:val="4"/>
        <w:numPr>
          <w:ilvl w:val="3"/>
          <w:numId w:val="131"/>
        </w:numPr>
        <w:ind w:left="426" w:hangingChars="202" w:hanging="426"/>
      </w:pPr>
      <w:bookmarkStart w:id="424" w:name="_Hlk533796665"/>
      <w:proofErr w:type="gramStart"/>
      <w:r>
        <w:rPr>
          <w:rFonts w:hint="eastAsia"/>
        </w:rPr>
        <w:t>按账龄</w:t>
      </w:r>
      <w:proofErr w:type="gramEnd"/>
      <w:r>
        <w:rPr>
          <w:rFonts w:hint="eastAsia"/>
        </w:rPr>
        <w:t>披露</w:t>
      </w:r>
    </w:p>
    <w:sdt>
      <w:sdtPr>
        <w:alias w:val="是否适用：母公司应收账款按账龄披露[双击切换]"/>
        <w:tag w:val="_GBC_dafcd7d733014c4a8aaa9a9a4b6c92f1"/>
        <w:id w:val="-872995476"/>
        <w:placeholder>
          <w:docPart w:val="GBC22222222222222222222222222222"/>
        </w:placeholder>
      </w:sdtPr>
      <w:sdtContent>
        <w:p w14:paraId="48FB1457"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34828B7" w14:textId="77777777" w:rsidR="005E000F" w:rsidRDefault="00000000">
      <w:pPr>
        <w:jc w:val="right"/>
      </w:pPr>
      <w:r>
        <w:rPr>
          <w:rFonts w:hint="eastAsia"/>
        </w:rPr>
        <w:t>单位：</w:t>
      </w:r>
      <w:sdt>
        <w:sdtPr>
          <w:rPr>
            <w:rFonts w:hint="eastAsia"/>
          </w:rPr>
          <w:alias w:val="单位：母公司应收账款按账龄披露"/>
          <w:tag w:val="_GBC_6f3238355b1f4a02b89a4d1aa10b0026"/>
          <w:id w:val="1843729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应收账款按账龄披露"/>
          <w:tag w:val="_GBC_c255ef872ced4f4ba9701062491ddd60"/>
          <w:id w:val="101111049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6"/>
        <w:gridCol w:w="3051"/>
        <w:gridCol w:w="3051"/>
      </w:tblGrid>
      <w:tr w:rsidR="005E000F" w14:paraId="7E09AE0A" w14:textId="77777777">
        <w:trPr>
          <w:cantSplit/>
        </w:trPr>
        <w:sdt>
          <w:sdtPr>
            <w:tag w:val="_PLD_91f1d8bffa9649c89e109fe838d32207"/>
            <w:id w:val="678708787"/>
          </w:sdtPr>
          <w:sdtContent>
            <w:tc>
              <w:tcPr>
                <w:tcW w:w="2946" w:type="dxa"/>
                <w:tcBorders>
                  <w:top w:val="single" w:sz="4" w:space="0" w:color="auto"/>
                  <w:left w:val="single" w:sz="4" w:space="0" w:color="auto"/>
                  <w:bottom w:val="single" w:sz="4" w:space="0" w:color="auto"/>
                  <w:right w:val="single" w:sz="4" w:space="0" w:color="auto"/>
                </w:tcBorders>
                <w:vAlign w:val="center"/>
              </w:tcPr>
              <w:p w14:paraId="624EEFE3" w14:textId="77777777" w:rsidR="005E000F" w:rsidRDefault="00000000">
                <w:pPr>
                  <w:jc w:val="center"/>
                </w:pPr>
                <w:r>
                  <w:rPr>
                    <w:rFonts w:hint="eastAsia"/>
                  </w:rPr>
                  <w:t>账龄</w:t>
                </w:r>
              </w:p>
            </w:tc>
          </w:sdtContent>
        </w:sdt>
        <w:sdt>
          <w:sdtPr>
            <w:tag w:val="_PLD_6b7aa27e99b34e1eb61af3bd12c578d2"/>
            <w:id w:val="1704284259"/>
          </w:sdtPr>
          <w:sdtContent>
            <w:tc>
              <w:tcPr>
                <w:tcW w:w="3051" w:type="dxa"/>
                <w:tcBorders>
                  <w:top w:val="single" w:sz="4" w:space="0" w:color="auto"/>
                  <w:left w:val="single" w:sz="4" w:space="0" w:color="auto"/>
                  <w:bottom w:val="single" w:sz="4" w:space="0" w:color="auto"/>
                  <w:right w:val="single" w:sz="4" w:space="0" w:color="auto"/>
                </w:tcBorders>
                <w:vAlign w:val="center"/>
              </w:tcPr>
              <w:p w14:paraId="0955B787" w14:textId="77777777" w:rsidR="005E000F" w:rsidRDefault="00000000">
                <w:pPr>
                  <w:jc w:val="center"/>
                </w:pPr>
                <w:r>
                  <w:rPr>
                    <w:rFonts w:hint="eastAsia"/>
                  </w:rPr>
                  <w:t>期末账面余额</w:t>
                </w:r>
              </w:p>
            </w:tc>
          </w:sdtContent>
        </w:sdt>
        <w:sdt>
          <w:sdtPr>
            <w:tag w:val="_PLD_0e2d3c046f184578857e4606189d40ef"/>
            <w:id w:val="1160503167"/>
          </w:sdtPr>
          <w:sdtContent>
            <w:tc>
              <w:tcPr>
                <w:tcW w:w="3051" w:type="dxa"/>
                <w:tcBorders>
                  <w:top w:val="single" w:sz="4" w:space="0" w:color="auto"/>
                  <w:left w:val="single" w:sz="4" w:space="0" w:color="auto"/>
                  <w:bottom w:val="single" w:sz="4" w:space="0" w:color="auto"/>
                  <w:right w:val="single" w:sz="4" w:space="0" w:color="auto"/>
                </w:tcBorders>
                <w:vAlign w:val="center"/>
              </w:tcPr>
              <w:p w14:paraId="386E6446" w14:textId="77777777" w:rsidR="005E000F" w:rsidRDefault="00000000">
                <w:pPr>
                  <w:jc w:val="center"/>
                </w:pPr>
                <w:r>
                  <w:rPr>
                    <w:rFonts w:hint="eastAsia"/>
                  </w:rPr>
                  <w:t>期初账面余额</w:t>
                </w:r>
              </w:p>
            </w:tc>
          </w:sdtContent>
        </w:sdt>
      </w:tr>
      <w:tr w:rsidR="005E000F" w14:paraId="50C76F93"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5466A2F4" w14:textId="77777777" w:rsidR="005E000F" w:rsidRDefault="00000000">
            <w:r>
              <w:rPr>
                <w:rFonts w:hint="eastAsia"/>
              </w:rPr>
              <w:t>1</w:t>
            </w:r>
            <w:r>
              <w:rPr>
                <w:rFonts w:hint="eastAsia"/>
              </w:rPr>
              <w:t>年以内（含</w:t>
            </w:r>
            <w:r>
              <w:rPr>
                <w:rFonts w:hint="eastAsia"/>
              </w:rPr>
              <w:t>1</w:t>
            </w:r>
            <w:r>
              <w:rPr>
                <w:rFonts w:hint="eastAsia"/>
              </w:rPr>
              <w:t>年）</w:t>
            </w:r>
          </w:p>
        </w:tc>
        <w:tc>
          <w:tcPr>
            <w:tcW w:w="3051" w:type="dxa"/>
            <w:tcBorders>
              <w:top w:val="single" w:sz="4" w:space="0" w:color="auto"/>
              <w:left w:val="single" w:sz="4" w:space="0" w:color="auto"/>
              <w:bottom w:val="single" w:sz="4" w:space="0" w:color="auto"/>
              <w:right w:val="single" w:sz="4" w:space="0" w:color="auto"/>
            </w:tcBorders>
            <w:shd w:val="clear" w:color="auto" w:fill="auto"/>
            <w:vAlign w:val="center"/>
          </w:tcPr>
          <w:p w14:paraId="00864515" w14:textId="77777777" w:rsidR="005E000F" w:rsidRDefault="00000000">
            <w:pPr>
              <w:jc w:val="right"/>
              <w:rPr>
                <w:rFonts w:cs="宋体"/>
                <w:bCs/>
              </w:rPr>
            </w:pPr>
            <w:r>
              <w:rPr>
                <w:rFonts w:cs="宋体"/>
                <w:bCs/>
              </w:rPr>
              <w:t>3,869,654,133</w:t>
            </w:r>
          </w:p>
        </w:tc>
        <w:tc>
          <w:tcPr>
            <w:tcW w:w="3051" w:type="dxa"/>
            <w:tcBorders>
              <w:top w:val="single" w:sz="4" w:space="0" w:color="auto"/>
              <w:left w:val="single" w:sz="4" w:space="0" w:color="auto"/>
              <w:bottom w:val="single" w:sz="4" w:space="0" w:color="auto"/>
              <w:right w:val="single" w:sz="4" w:space="0" w:color="auto"/>
            </w:tcBorders>
            <w:shd w:val="clear" w:color="auto" w:fill="auto"/>
          </w:tcPr>
          <w:p w14:paraId="3A14F352" w14:textId="77777777" w:rsidR="005E000F" w:rsidRDefault="00000000">
            <w:pPr>
              <w:jc w:val="right"/>
              <w:rPr>
                <w:rFonts w:cs="宋体"/>
                <w:bCs/>
                <w:lang w:eastAsia="en-US"/>
              </w:rPr>
            </w:pPr>
            <w:r>
              <w:rPr>
                <w:rFonts w:cs="宋体" w:hint="eastAsia"/>
                <w:bCs/>
              </w:rPr>
              <w:t>3,638,720,458</w:t>
            </w:r>
          </w:p>
        </w:tc>
      </w:tr>
      <w:tr w:rsidR="005E000F" w14:paraId="39BC9884"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0E103718" w14:textId="77777777" w:rsidR="005E000F" w:rsidRDefault="00000000">
            <w:r>
              <w:rPr>
                <w:rFonts w:hint="eastAsia"/>
              </w:rPr>
              <w:t>1</w:t>
            </w:r>
            <w:r>
              <w:rPr>
                <w:rFonts w:hint="eastAsia"/>
              </w:rPr>
              <w:t>年以内小计</w:t>
            </w:r>
          </w:p>
        </w:tc>
        <w:tc>
          <w:tcPr>
            <w:tcW w:w="3051" w:type="dxa"/>
            <w:tcBorders>
              <w:top w:val="single" w:sz="4" w:space="0" w:color="auto"/>
              <w:left w:val="single" w:sz="4" w:space="0" w:color="auto"/>
              <w:bottom w:val="single" w:sz="4" w:space="0" w:color="auto"/>
              <w:right w:val="single" w:sz="4" w:space="0" w:color="auto"/>
            </w:tcBorders>
            <w:vAlign w:val="center"/>
          </w:tcPr>
          <w:p w14:paraId="1F1E3B49" w14:textId="77777777" w:rsidR="005E000F" w:rsidRDefault="00000000">
            <w:pPr>
              <w:jc w:val="right"/>
              <w:rPr>
                <w:rFonts w:cs="宋体"/>
                <w:bCs/>
              </w:rPr>
            </w:pPr>
            <w:r>
              <w:rPr>
                <w:rFonts w:cs="宋体"/>
                <w:bCs/>
              </w:rPr>
              <w:t>3,869,654,133</w:t>
            </w:r>
          </w:p>
        </w:tc>
        <w:tc>
          <w:tcPr>
            <w:tcW w:w="3051" w:type="dxa"/>
            <w:tcBorders>
              <w:top w:val="single" w:sz="4" w:space="0" w:color="auto"/>
              <w:left w:val="single" w:sz="4" w:space="0" w:color="auto"/>
              <w:bottom w:val="single" w:sz="4" w:space="0" w:color="auto"/>
              <w:right w:val="single" w:sz="4" w:space="0" w:color="auto"/>
            </w:tcBorders>
          </w:tcPr>
          <w:p w14:paraId="65D50F66" w14:textId="77777777" w:rsidR="005E000F" w:rsidRDefault="00000000">
            <w:pPr>
              <w:jc w:val="right"/>
              <w:rPr>
                <w:rFonts w:cs="宋体"/>
                <w:bCs/>
                <w:lang w:eastAsia="en-US"/>
              </w:rPr>
            </w:pPr>
            <w:r>
              <w:rPr>
                <w:rFonts w:cs="宋体" w:hint="eastAsia"/>
                <w:bCs/>
              </w:rPr>
              <w:t>3,638,720,458</w:t>
            </w:r>
          </w:p>
        </w:tc>
      </w:tr>
      <w:tr w:rsidR="005E000F" w14:paraId="32B74392"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1333DF57" w14:textId="77777777" w:rsidR="005E000F" w:rsidRDefault="00000000">
            <w:r>
              <w:rPr>
                <w:rFonts w:hint="eastAsia"/>
              </w:rPr>
              <w:t>1</w:t>
            </w:r>
            <w:r>
              <w:rPr>
                <w:rFonts w:hint="eastAsia"/>
              </w:rPr>
              <w:t>至</w:t>
            </w:r>
            <w:r>
              <w:rPr>
                <w:rFonts w:hint="eastAsia"/>
              </w:rPr>
              <w:t>2</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480BC8D9" w14:textId="77777777" w:rsidR="005E000F" w:rsidRDefault="00000000">
            <w:pPr>
              <w:jc w:val="right"/>
              <w:rPr>
                <w:rFonts w:cs="宋体"/>
                <w:bCs/>
              </w:rPr>
            </w:pPr>
            <w:r>
              <w:rPr>
                <w:rFonts w:cs="宋体"/>
                <w:bCs/>
              </w:rPr>
              <w:t>198,091,119</w:t>
            </w:r>
          </w:p>
        </w:tc>
        <w:tc>
          <w:tcPr>
            <w:tcW w:w="3051" w:type="dxa"/>
            <w:tcBorders>
              <w:top w:val="single" w:sz="4" w:space="0" w:color="auto"/>
              <w:left w:val="single" w:sz="4" w:space="0" w:color="auto"/>
              <w:bottom w:val="single" w:sz="4" w:space="0" w:color="auto"/>
              <w:right w:val="single" w:sz="4" w:space="0" w:color="auto"/>
            </w:tcBorders>
          </w:tcPr>
          <w:p w14:paraId="0725082C" w14:textId="77777777" w:rsidR="005E000F" w:rsidRDefault="00000000">
            <w:pPr>
              <w:jc w:val="right"/>
              <w:rPr>
                <w:rFonts w:cs="宋体"/>
                <w:bCs/>
                <w:lang w:eastAsia="en-US"/>
              </w:rPr>
            </w:pPr>
            <w:r>
              <w:rPr>
                <w:rFonts w:cs="宋体" w:hint="eastAsia"/>
                <w:bCs/>
              </w:rPr>
              <w:t>1,064,425,979</w:t>
            </w:r>
          </w:p>
        </w:tc>
      </w:tr>
      <w:tr w:rsidR="005E000F" w14:paraId="086EAC5F"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3BA80BBC" w14:textId="77777777" w:rsidR="005E000F" w:rsidRDefault="00000000">
            <w:r>
              <w:rPr>
                <w:rFonts w:hint="eastAsia"/>
              </w:rPr>
              <w:t>2</w:t>
            </w:r>
            <w:r>
              <w:rPr>
                <w:rFonts w:hint="eastAsia"/>
              </w:rPr>
              <w:t>至</w:t>
            </w:r>
            <w:r>
              <w:rPr>
                <w:rFonts w:hint="eastAsia"/>
              </w:rPr>
              <w:t>3</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38D70104" w14:textId="77777777" w:rsidR="005E000F" w:rsidRDefault="00000000">
            <w:pPr>
              <w:jc w:val="right"/>
              <w:rPr>
                <w:rFonts w:cs="宋体"/>
                <w:bCs/>
              </w:rPr>
            </w:pPr>
            <w:r>
              <w:rPr>
                <w:rFonts w:cs="宋体"/>
                <w:bCs/>
              </w:rPr>
              <w:t>65,935,109</w:t>
            </w:r>
          </w:p>
        </w:tc>
        <w:tc>
          <w:tcPr>
            <w:tcW w:w="3051" w:type="dxa"/>
            <w:tcBorders>
              <w:top w:val="single" w:sz="4" w:space="0" w:color="auto"/>
              <w:left w:val="single" w:sz="4" w:space="0" w:color="auto"/>
              <w:bottom w:val="single" w:sz="4" w:space="0" w:color="auto"/>
              <w:right w:val="single" w:sz="4" w:space="0" w:color="auto"/>
            </w:tcBorders>
          </w:tcPr>
          <w:p w14:paraId="2B4EC880" w14:textId="77777777" w:rsidR="005E000F" w:rsidRDefault="00000000">
            <w:pPr>
              <w:jc w:val="right"/>
              <w:rPr>
                <w:rFonts w:cs="宋体"/>
                <w:bCs/>
                <w:lang w:eastAsia="en-US"/>
              </w:rPr>
            </w:pPr>
            <w:r>
              <w:rPr>
                <w:rFonts w:cs="宋体" w:hint="eastAsia"/>
                <w:bCs/>
              </w:rPr>
              <w:t>40,877,504</w:t>
            </w:r>
          </w:p>
        </w:tc>
      </w:tr>
      <w:tr w:rsidR="005E000F" w14:paraId="37030A8E"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18D77222" w14:textId="77777777" w:rsidR="005E000F" w:rsidRDefault="00000000">
            <w:r>
              <w:rPr>
                <w:rFonts w:hint="eastAsia"/>
              </w:rPr>
              <w:lastRenderedPageBreak/>
              <w:t>3</w:t>
            </w:r>
            <w:r>
              <w:rPr>
                <w:rFonts w:hint="eastAsia"/>
              </w:rPr>
              <w:t>年以上</w:t>
            </w:r>
          </w:p>
        </w:tc>
        <w:tc>
          <w:tcPr>
            <w:tcW w:w="6102" w:type="dxa"/>
            <w:gridSpan w:val="2"/>
            <w:tcBorders>
              <w:top w:val="single" w:sz="4" w:space="0" w:color="auto"/>
              <w:left w:val="single" w:sz="4" w:space="0" w:color="auto"/>
              <w:bottom w:val="single" w:sz="4" w:space="0" w:color="auto"/>
              <w:right w:val="single" w:sz="4" w:space="0" w:color="auto"/>
            </w:tcBorders>
            <w:vAlign w:val="center"/>
          </w:tcPr>
          <w:p w14:paraId="1C424FFB" w14:textId="77777777" w:rsidR="005E000F" w:rsidRDefault="005E000F">
            <w:pPr>
              <w:jc w:val="right"/>
              <w:rPr>
                <w:rFonts w:cs="宋体"/>
                <w:bCs/>
              </w:rPr>
            </w:pPr>
          </w:p>
        </w:tc>
      </w:tr>
      <w:tr w:rsidR="005E000F" w14:paraId="43B0B09E"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0AB8B02C" w14:textId="77777777" w:rsidR="005E000F" w:rsidRDefault="00000000">
            <w:r>
              <w:rPr>
                <w:rFonts w:hint="eastAsia"/>
              </w:rPr>
              <w:t>3</w:t>
            </w:r>
            <w:r>
              <w:rPr>
                <w:rFonts w:hint="eastAsia"/>
              </w:rPr>
              <w:t>至</w:t>
            </w:r>
            <w:r>
              <w:rPr>
                <w:rFonts w:hint="eastAsia"/>
              </w:rPr>
              <w:t>4</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6A4B3F81" w14:textId="77777777" w:rsidR="005E000F" w:rsidRDefault="00000000">
            <w:pPr>
              <w:jc w:val="right"/>
              <w:rPr>
                <w:rFonts w:cs="宋体"/>
                <w:bCs/>
              </w:rPr>
            </w:pPr>
            <w:r>
              <w:rPr>
                <w:rFonts w:cs="宋体"/>
                <w:bCs/>
              </w:rPr>
              <w:t>9,830,526</w:t>
            </w:r>
          </w:p>
        </w:tc>
        <w:tc>
          <w:tcPr>
            <w:tcW w:w="3051" w:type="dxa"/>
            <w:tcBorders>
              <w:top w:val="single" w:sz="4" w:space="0" w:color="auto"/>
              <w:left w:val="single" w:sz="4" w:space="0" w:color="auto"/>
              <w:bottom w:val="single" w:sz="4" w:space="0" w:color="auto"/>
              <w:right w:val="single" w:sz="4" w:space="0" w:color="auto"/>
            </w:tcBorders>
          </w:tcPr>
          <w:p w14:paraId="63D0288E" w14:textId="77777777" w:rsidR="005E000F" w:rsidRDefault="00000000">
            <w:pPr>
              <w:jc w:val="right"/>
              <w:rPr>
                <w:rFonts w:cs="宋体"/>
                <w:bCs/>
                <w:lang w:eastAsia="en-US"/>
              </w:rPr>
            </w:pPr>
            <w:r>
              <w:rPr>
                <w:rFonts w:cs="宋体" w:hint="eastAsia"/>
                <w:bCs/>
              </w:rPr>
              <w:t>36,880,000</w:t>
            </w:r>
          </w:p>
        </w:tc>
      </w:tr>
      <w:tr w:rsidR="005E000F" w14:paraId="102D1EFC"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6C747FDA" w14:textId="77777777" w:rsidR="005E000F" w:rsidRDefault="00000000">
            <w:r>
              <w:rPr>
                <w:rFonts w:hint="eastAsia"/>
              </w:rPr>
              <w:t>4</w:t>
            </w:r>
            <w:r>
              <w:rPr>
                <w:rFonts w:hint="eastAsia"/>
              </w:rPr>
              <w:t>至</w:t>
            </w:r>
            <w:r>
              <w:rPr>
                <w:rFonts w:hint="eastAsia"/>
              </w:rPr>
              <w:t>5</w:t>
            </w:r>
            <w:r>
              <w:rPr>
                <w:rFonts w:hint="eastAsia"/>
              </w:rPr>
              <w:t>年</w:t>
            </w:r>
          </w:p>
        </w:tc>
        <w:tc>
          <w:tcPr>
            <w:tcW w:w="3051" w:type="dxa"/>
            <w:tcBorders>
              <w:top w:val="single" w:sz="4" w:space="0" w:color="auto"/>
              <w:left w:val="single" w:sz="4" w:space="0" w:color="auto"/>
              <w:bottom w:val="single" w:sz="4" w:space="0" w:color="auto"/>
              <w:right w:val="single" w:sz="4" w:space="0" w:color="auto"/>
            </w:tcBorders>
            <w:vAlign w:val="center"/>
          </w:tcPr>
          <w:p w14:paraId="4C59C1F6" w14:textId="77777777" w:rsidR="005E000F" w:rsidRDefault="00000000">
            <w:pPr>
              <w:jc w:val="right"/>
              <w:rPr>
                <w:rFonts w:cs="宋体"/>
                <w:bCs/>
              </w:rPr>
            </w:pPr>
            <w:r>
              <w:rPr>
                <w:rFonts w:cs="宋体" w:hint="eastAsia"/>
                <w:bCs/>
              </w:rPr>
              <w:t>0</w:t>
            </w:r>
          </w:p>
        </w:tc>
        <w:tc>
          <w:tcPr>
            <w:tcW w:w="3051" w:type="dxa"/>
            <w:tcBorders>
              <w:top w:val="single" w:sz="4" w:space="0" w:color="auto"/>
              <w:left w:val="single" w:sz="4" w:space="0" w:color="auto"/>
              <w:bottom w:val="single" w:sz="4" w:space="0" w:color="auto"/>
              <w:right w:val="single" w:sz="4" w:space="0" w:color="auto"/>
            </w:tcBorders>
          </w:tcPr>
          <w:p w14:paraId="2A72C645" w14:textId="77777777" w:rsidR="005E000F" w:rsidRDefault="00000000">
            <w:pPr>
              <w:jc w:val="right"/>
              <w:rPr>
                <w:rFonts w:cs="宋体"/>
                <w:bCs/>
                <w:lang w:eastAsia="en-US"/>
              </w:rPr>
            </w:pPr>
            <w:r>
              <w:rPr>
                <w:rFonts w:cs="宋体" w:hint="eastAsia"/>
                <w:bCs/>
              </w:rPr>
              <w:t>11,220,000</w:t>
            </w:r>
          </w:p>
        </w:tc>
      </w:tr>
      <w:tr w:rsidR="005E000F" w14:paraId="143AB97A"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2E0A5BD3" w14:textId="77777777" w:rsidR="005E000F" w:rsidRDefault="00000000">
            <w:r>
              <w:rPr>
                <w:rFonts w:hint="eastAsia"/>
              </w:rPr>
              <w:t>5</w:t>
            </w:r>
            <w:r>
              <w:rPr>
                <w:rFonts w:hint="eastAsia"/>
              </w:rPr>
              <w:t>年以上</w:t>
            </w:r>
          </w:p>
        </w:tc>
        <w:tc>
          <w:tcPr>
            <w:tcW w:w="3051" w:type="dxa"/>
            <w:tcBorders>
              <w:top w:val="single" w:sz="4" w:space="0" w:color="auto"/>
              <w:left w:val="single" w:sz="4" w:space="0" w:color="auto"/>
              <w:bottom w:val="single" w:sz="4" w:space="0" w:color="auto"/>
              <w:right w:val="single" w:sz="4" w:space="0" w:color="auto"/>
            </w:tcBorders>
            <w:vAlign w:val="center"/>
          </w:tcPr>
          <w:p w14:paraId="5E7182EB" w14:textId="77777777" w:rsidR="005E000F" w:rsidRDefault="00000000">
            <w:pPr>
              <w:jc w:val="right"/>
              <w:rPr>
                <w:rFonts w:cs="宋体"/>
                <w:bCs/>
              </w:rPr>
            </w:pPr>
            <w:r>
              <w:rPr>
                <w:rFonts w:cs="宋体"/>
                <w:bCs/>
              </w:rPr>
              <w:t>490,412</w:t>
            </w:r>
          </w:p>
        </w:tc>
        <w:tc>
          <w:tcPr>
            <w:tcW w:w="3051" w:type="dxa"/>
            <w:tcBorders>
              <w:top w:val="single" w:sz="4" w:space="0" w:color="auto"/>
              <w:left w:val="single" w:sz="4" w:space="0" w:color="auto"/>
              <w:bottom w:val="single" w:sz="4" w:space="0" w:color="auto"/>
              <w:right w:val="single" w:sz="4" w:space="0" w:color="auto"/>
            </w:tcBorders>
          </w:tcPr>
          <w:p w14:paraId="43B86656" w14:textId="77777777" w:rsidR="005E000F" w:rsidRDefault="00000000">
            <w:pPr>
              <w:jc w:val="right"/>
              <w:rPr>
                <w:rFonts w:cs="宋体"/>
                <w:bCs/>
                <w:lang w:eastAsia="en-US"/>
              </w:rPr>
            </w:pPr>
            <w:r>
              <w:rPr>
                <w:rFonts w:cs="宋体" w:hint="eastAsia"/>
                <w:bCs/>
              </w:rPr>
              <w:t>33,824,377</w:t>
            </w:r>
          </w:p>
        </w:tc>
      </w:tr>
      <w:tr w:rsidR="005E000F" w14:paraId="1B83DA22" w14:textId="77777777">
        <w:trPr>
          <w:cantSplit/>
        </w:trPr>
        <w:tc>
          <w:tcPr>
            <w:tcW w:w="2946" w:type="dxa"/>
            <w:tcBorders>
              <w:top w:val="single" w:sz="4" w:space="0" w:color="auto"/>
              <w:left w:val="single" w:sz="4" w:space="0" w:color="auto"/>
              <w:bottom w:val="single" w:sz="4" w:space="0" w:color="auto"/>
              <w:right w:val="single" w:sz="4" w:space="0" w:color="auto"/>
            </w:tcBorders>
            <w:vAlign w:val="center"/>
          </w:tcPr>
          <w:p w14:paraId="2BEA34B2" w14:textId="77777777" w:rsidR="005E000F" w:rsidRDefault="00000000">
            <w:pPr>
              <w:jc w:val="center"/>
            </w:pPr>
            <w:r>
              <w:rPr>
                <w:rFonts w:hint="eastAsia"/>
              </w:rPr>
              <w:t>合计</w:t>
            </w:r>
          </w:p>
        </w:tc>
        <w:tc>
          <w:tcPr>
            <w:tcW w:w="3051" w:type="dxa"/>
            <w:tcBorders>
              <w:top w:val="single" w:sz="4" w:space="0" w:color="auto"/>
              <w:left w:val="single" w:sz="4" w:space="0" w:color="auto"/>
              <w:bottom w:val="single" w:sz="4" w:space="0" w:color="auto"/>
              <w:right w:val="single" w:sz="4" w:space="0" w:color="auto"/>
            </w:tcBorders>
            <w:vAlign w:val="center"/>
          </w:tcPr>
          <w:p w14:paraId="52F44D0E" w14:textId="77777777" w:rsidR="005E000F" w:rsidRDefault="00000000">
            <w:pPr>
              <w:jc w:val="right"/>
              <w:rPr>
                <w:rFonts w:cs="宋体"/>
                <w:bCs/>
              </w:rPr>
            </w:pPr>
            <w:r>
              <w:rPr>
                <w:rFonts w:cs="宋体"/>
                <w:bCs/>
              </w:rPr>
              <w:t>4,144,001,299</w:t>
            </w:r>
          </w:p>
        </w:tc>
        <w:tc>
          <w:tcPr>
            <w:tcW w:w="3051" w:type="dxa"/>
            <w:tcBorders>
              <w:top w:val="single" w:sz="4" w:space="0" w:color="auto"/>
              <w:left w:val="single" w:sz="4" w:space="0" w:color="auto"/>
              <w:bottom w:val="single" w:sz="4" w:space="0" w:color="auto"/>
              <w:right w:val="single" w:sz="4" w:space="0" w:color="auto"/>
            </w:tcBorders>
            <w:vAlign w:val="center"/>
          </w:tcPr>
          <w:p w14:paraId="013CFB5D" w14:textId="77777777" w:rsidR="005E000F" w:rsidRDefault="00000000">
            <w:pPr>
              <w:jc w:val="right"/>
              <w:rPr>
                <w:rFonts w:cs="宋体"/>
                <w:bCs/>
              </w:rPr>
            </w:pPr>
            <w:r>
              <w:rPr>
                <w:rFonts w:cs="宋体" w:hint="eastAsia"/>
                <w:bCs/>
              </w:rPr>
              <w:t>4,825,948,318</w:t>
            </w:r>
          </w:p>
        </w:tc>
      </w:tr>
    </w:tbl>
    <w:p w14:paraId="2C53F86F" w14:textId="77777777" w:rsidR="005E000F" w:rsidRDefault="00000000">
      <w:pPr>
        <w:sectPr w:rsidR="005E000F">
          <w:pgSz w:w="11906" w:h="16838"/>
          <w:pgMar w:top="1525" w:right="1276" w:bottom="1440" w:left="1797" w:header="856" w:footer="992" w:gutter="0"/>
          <w:cols w:space="425"/>
          <w:docGrid w:linePitch="312"/>
        </w:sectPr>
      </w:pPr>
      <w:proofErr w:type="gramStart"/>
      <w:r>
        <w:rPr>
          <w:rFonts w:hint="eastAsia"/>
        </w:rPr>
        <w:t>账龄自应收</w:t>
      </w:r>
      <w:proofErr w:type="gramEnd"/>
      <w:r>
        <w:rPr>
          <w:rFonts w:hint="eastAsia"/>
        </w:rPr>
        <w:t>账款确认日起开始计算。</w:t>
      </w:r>
    </w:p>
    <w:p w14:paraId="2C6E9480" w14:textId="77777777" w:rsidR="005E000F" w:rsidRDefault="005E000F"/>
    <w:p w14:paraId="2943D059" w14:textId="77777777" w:rsidR="005E000F" w:rsidRDefault="00000000">
      <w:pPr>
        <w:pStyle w:val="4"/>
        <w:numPr>
          <w:ilvl w:val="3"/>
          <w:numId w:val="131"/>
        </w:numPr>
        <w:ind w:left="426" w:hangingChars="202" w:hanging="426"/>
      </w:pPr>
      <w:bookmarkStart w:id="425" w:name="_Hlk533796703"/>
      <w:bookmarkEnd w:id="424"/>
      <w:r>
        <w:rPr>
          <w:rFonts w:hint="eastAsia"/>
        </w:rPr>
        <w:t>按坏账计提方法分类披露</w:t>
      </w:r>
    </w:p>
    <w:sdt>
      <w:sdtPr>
        <w:alias w:val="是否适用：母公司应收账款按坏账计提方法分类披露[双击切换]"/>
        <w:tag w:val="_GBC_7881b37ba62844928bb3a0f84fa1312c"/>
        <w:id w:val="1695336199"/>
        <w:placeholder>
          <w:docPart w:val="GBC22222222222222222222222222222"/>
        </w:placeholder>
      </w:sdtPr>
      <w:sdtContent>
        <w:p w14:paraId="299CC05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D8C5954" w14:textId="77777777" w:rsidR="005E000F" w:rsidRDefault="00000000">
      <w:pPr>
        <w:pStyle w:val="aff8"/>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12611361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按坏账计提方法分类披露"/>
          <w:tag w:val="_GBC_b8d2fec8e15e43c8b9a141c04cb5fea0"/>
          <w:id w:val="139508621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424"/>
        <w:gridCol w:w="968"/>
        <w:gridCol w:w="1161"/>
        <w:gridCol w:w="993"/>
        <w:gridCol w:w="1430"/>
        <w:gridCol w:w="1424"/>
        <w:gridCol w:w="993"/>
        <w:gridCol w:w="1266"/>
        <w:gridCol w:w="1018"/>
        <w:gridCol w:w="1431"/>
      </w:tblGrid>
      <w:tr w:rsidR="005E000F" w14:paraId="36A509F4" w14:textId="77777777">
        <w:trPr>
          <w:cantSplit/>
          <w:trHeight w:val="259"/>
        </w:trPr>
        <w:sdt>
          <w:sdtPr>
            <w:tag w:val="_PLD_0b6f94bf734a49f28ff9eb2211eccc4e"/>
            <w:id w:val="1306042646"/>
          </w:sdtPr>
          <w:sdtContent>
            <w:tc>
              <w:tcPr>
                <w:tcW w:w="701" w:type="pct"/>
                <w:vMerge w:val="restart"/>
                <w:tcBorders>
                  <w:top w:val="single" w:sz="4" w:space="0" w:color="auto"/>
                  <w:left w:val="single" w:sz="4" w:space="0" w:color="auto"/>
                  <w:right w:val="single" w:sz="4" w:space="0" w:color="auto"/>
                </w:tcBorders>
                <w:vAlign w:val="center"/>
              </w:tcPr>
              <w:p w14:paraId="0C4BF427" w14:textId="77777777" w:rsidR="005E000F" w:rsidRDefault="00000000">
                <w:pPr>
                  <w:jc w:val="center"/>
                </w:pPr>
                <w:r>
                  <w:rPr>
                    <w:rFonts w:hint="eastAsia"/>
                  </w:rPr>
                  <w:t>类别</w:t>
                </w:r>
              </w:p>
            </w:tc>
          </w:sdtContent>
        </w:sdt>
        <w:sdt>
          <w:sdtPr>
            <w:tag w:val="_PLD_cadda055920649559b4578dc73b6f05e"/>
            <w:id w:val="792177915"/>
          </w:sdtPr>
          <w:sdtContent>
            <w:tc>
              <w:tcPr>
                <w:tcW w:w="2122" w:type="pct"/>
                <w:gridSpan w:val="5"/>
                <w:tcBorders>
                  <w:top w:val="single" w:sz="4" w:space="0" w:color="auto"/>
                  <w:left w:val="single" w:sz="4" w:space="0" w:color="auto"/>
                  <w:right w:val="single" w:sz="4" w:space="0" w:color="auto"/>
                </w:tcBorders>
                <w:vAlign w:val="center"/>
              </w:tcPr>
              <w:p w14:paraId="58E22501" w14:textId="77777777" w:rsidR="005E000F" w:rsidRDefault="00000000">
                <w:pPr>
                  <w:autoSpaceDE w:val="0"/>
                  <w:autoSpaceDN w:val="0"/>
                  <w:adjustRightInd w:val="0"/>
                  <w:snapToGrid w:val="0"/>
                  <w:spacing w:line="240" w:lineRule="atLeast"/>
                  <w:jc w:val="center"/>
                </w:pPr>
                <w:r>
                  <w:rPr>
                    <w:rFonts w:hint="eastAsia"/>
                  </w:rPr>
                  <w:t>期末余额</w:t>
                </w:r>
              </w:p>
            </w:tc>
          </w:sdtContent>
        </w:sdt>
        <w:sdt>
          <w:sdtPr>
            <w:tag w:val="_PLD_28a8aaa48276458aa987282704951cc5"/>
            <w:id w:val="2124497543"/>
          </w:sdtPr>
          <w:sdtContent>
            <w:tc>
              <w:tcPr>
                <w:tcW w:w="2176" w:type="pct"/>
                <w:gridSpan w:val="5"/>
                <w:tcBorders>
                  <w:top w:val="single" w:sz="4" w:space="0" w:color="auto"/>
                  <w:left w:val="single" w:sz="4" w:space="0" w:color="auto"/>
                  <w:right w:val="single" w:sz="4" w:space="0" w:color="auto"/>
                </w:tcBorders>
                <w:vAlign w:val="center"/>
              </w:tcPr>
              <w:p w14:paraId="76B270F9" w14:textId="77777777" w:rsidR="005E000F" w:rsidRDefault="00000000">
                <w:pPr>
                  <w:autoSpaceDE w:val="0"/>
                  <w:autoSpaceDN w:val="0"/>
                  <w:adjustRightInd w:val="0"/>
                  <w:snapToGrid w:val="0"/>
                  <w:spacing w:line="240" w:lineRule="atLeast"/>
                  <w:jc w:val="center"/>
                </w:pPr>
                <w:r>
                  <w:rPr>
                    <w:rFonts w:hint="eastAsia"/>
                  </w:rPr>
                  <w:t>期初余额</w:t>
                </w:r>
              </w:p>
            </w:tc>
          </w:sdtContent>
        </w:sdt>
      </w:tr>
      <w:tr w:rsidR="005E000F" w14:paraId="53955A85" w14:textId="77777777">
        <w:trPr>
          <w:cantSplit/>
          <w:trHeight w:val="227"/>
        </w:trPr>
        <w:tc>
          <w:tcPr>
            <w:tcW w:w="701" w:type="pct"/>
            <w:vMerge/>
            <w:tcBorders>
              <w:left w:val="single" w:sz="4" w:space="0" w:color="auto"/>
              <w:right w:val="single" w:sz="4" w:space="0" w:color="auto"/>
            </w:tcBorders>
            <w:vAlign w:val="center"/>
          </w:tcPr>
          <w:p w14:paraId="747B951A" w14:textId="77777777" w:rsidR="005E000F" w:rsidRDefault="005E000F"/>
        </w:tc>
        <w:sdt>
          <w:sdtPr>
            <w:tag w:val="_PLD_b6e4cad360f948d68bd5af2c3f52e83a"/>
            <w:id w:val="-1721511395"/>
          </w:sdtPr>
          <w:sdtContent>
            <w:tc>
              <w:tcPr>
                <w:tcW w:w="849" w:type="pct"/>
                <w:gridSpan w:val="2"/>
                <w:tcBorders>
                  <w:top w:val="single" w:sz="4" w:space="0" w:color="auto"/>
                  <w:left w:val="single" w:sz="4" w:space="0" w:color="auto"/>
                  <w:bottom w:val="single" w:sz="4" w:space="0" w:color="auto"/>
                  <w:right w:val="single" w:sz="4" w:space="0" w:color="auto"/>
                </w:tcBorders>
                <w:vAlign w:val="center"/>
              </w:tcPr>
              <w:p w14:paraId="441400E1" w14:textId="77777777" w:rsidR="005E000F" w:rsidRDefault="00000000">
                <w:pPr>
                  <w:jc w:val="center"/>
                </w:pPr>
                <w:r>
                  <w:rPr>
                    <w:rFonts w:hint="eastAsia"/>
                  </w:rPr>
                  <w:t>账面余额</w:t>
                </w:r>
              </w:p>
            </w:tc>
          </w:sdtContent>
        </w:sdt>
        <w:sdt>
          <w:sdtPr>
            <w:tag w:val="_PLD_1812a70770914fa4b8145f493ad4c468"/>
            <w:id w:val="-57785420"/>
          </w:sdtPr>
          <w:sdtContent>
            <w:tc>
              <w:tcPr>
                <w:tcW w:w="765" w:type="pct"/>
                <w:gridSpan w:val="2"/>
                <w:tcBorders>
                  <w:top w:val="single" w:sz="4" w:space="0" w:color="auto"/>
                  <w:left w:val="single" w:sz="4" w:space="0" w:color="auto"/>
                  <w:bottom w:val="single" w:sz="4" w:space="0" w:color="auto"/>
                  <w:right w:val="single" w:sz="4" w:space="0" w:color="auto"/>
                </w:tcBorders>
                <w:vAlign w:val="center"/>
              </w:tcPr>
              <w:p w14:paraId="4E728A15" w14:textId="77777777" w:rsidR="005E000F" w:rsidRDefault="00000000">
                <w:pPr>
                  <w:jc w:val="center"/>
                </w:pPr>
                <w:r>
                  <w:rPr>
                    <w:rFonts w:hint="eastAsia"/>
                  </w:rPr>
                  <w:t>坏账准备</w:t>
                </w:r>
              </w:p>
            </w:tc>
          </w:sdtContent>
        </w:sdt>
        <w:sdt>
          <w:sdtPr>
            <w:tag w:val="_PLD_970be2ae3a84456bb0feb4eb360d2b2f"/>
            <w:id w:val="-1498881313"/>
          </w:sdtPr>
          <w:sdtContent>
            <w:tc>
              <w:tcPr>
                <w:tcW w:w="506" w:type="pct"/>
                <w:vMerge w:val="restart"/>
                <w:tcBorders>
                  <w:top w:val="single" w:sz="4" w:space="0" w:color="auto"/>
                  <w:left w:val="single" w:sz="4" w:space="0" w:color="auto"/>
                  <w:right w:val="single" w:sz="4" w:space="0" w:color="auto"/>
                </w:tcBorders>
                <w:vAlign w:val="center"/>
              </w:tcPr>
              <w:p w14:paraId="1B28395F" w14:textId="77777777" w:rsidR="005E000F" w:rsidRDefault="00000000">
                <w:pPr>
                  <w:jc w:val="center"/>
                </w:pPr>
                <w:r>
                  <w:rPr>
                    <w:rFonts w:hint="eastAsia"/>
                  </w:rPr>
                  <w:t>账面</w:t>
                </w:r>
              </w:p>
              <w:p w14:paraId="712DC102" w14:textId="77777777" w:rsidR="005E000F" w:rsidRDefault="00000000">
                <w:pPr>
                  <w:jc w:val="center"/>
                </w:pPr>
                <w:r>
                  <w:rPr>
                    <w:rFonts w:hint="eastAsia"/>
                  </w:rPr>
                  <w:t>价值</w:t>
                </w:r>
              </w:p>
            </w:tc>
          </w:sdtContent>
        </w:sdt>
        <w:sdt>
          <w:sdtPr>
            <w:tag w:val="_PLD_be04f05fbfa341e1a7546ee304164c92"/>
            <w:id w:val="-420492583"/>
          </w:sdtPr>
          <w:sdtContent>
            <w:tc>
              <w:tcPr>
                <w:tcW w:w="858" w:type="pct"/>
                <w:gridSpan w:val="2"/>
                <w:tcBorders>
                  <w:top w:val="single" w:sz="4" w:space="0" w:color="auto"/>
                  <w:left w:val="single" w:sz="4" w:space="0" w:color="auto"/>
                  <w:right w:val="single" w:sz="4" w:space="0" w:color="auto"/>
                </w:tcBorders>
                <w:vAlign w:val="center"/>
              </w:tcPr>
              <w:p w14:paraId="03525F38" w14:textId="77777777" w:rsidR="005E000F" w:rsidRDefault="00000000">
                <w:pPr>
                  <w:jc w:val="center"/>
                </w:pPr>
                <w:r>
                  <w:rPr>
                    <w:rFonts w:hint="eastAsia"/>
                  </w:rPr>
                  <w:t>账面余额</w:t>
                </w:r>
              </w:p>
            </w:tc>
          </w:sdtContent>
        </w:sdt>
        <w:sdt>
          <w:sdtPr>
            <w:tag w:val="_PLD_708baf88b6ab4f6ca208582ef2033d3e"/>
            <w:id w:val="1183557426"/>
          </w:sdtPr>
          <w:sdtContent>
            <w:tc>
              <w:tcPr>
                <w:tcW w:w="811" w:type="pct"/>
                <w:gridSpan w:val="2"/>
                <w:tcBorders>
                  <w:top w:val="single" w:sz="4" w:space="0" w:color="auto"/>
                  <w:left w:val="single" w:sz="4" w:space="0" w:color="auto"/>
                  <w:right w:val="single" w:sz="4" w:space="0" w:color="auto"/>
                </w:tcBorders>
                <w:vAlign w:val="center"/>
              </w:tcPr>
              <w:p w14:paraId="0A1B93A1" w14:textId="77777777" w:rsidR="005E000F" w:rsidRDefault="00000000">
                <w:pPr>
                  <w:jc w:val="center"/>
                </w:pPr>
                <w:r>
                  <w:rPr>
                    <w:rFonts w:hint="eastAsia"/>
                  </w:rPr>
                  <w:t>坏账准备</w:t>
                </w:r>
              </w:p>
            </w:tc>
          </w:sdtContent>
        </w:sdt>
        <w:sdt>
          <w:sdtPr>
            <w:tag w:val="_PLD_7c2453d3d43547428eaaafae8df8b7d0"/>
            <w:id w:val="-1842617574"/>
          </w:sdtPr>
          <w:sdtContent>
            <w:tc>
              <w:tcPr>
                <w:tcW w:w="507" w:type="pct"/>
                <w:vMerge w:val="restart"/>
                <w:tcBorders>
                  <w:top w:val="single" w:sz="4" w:space="0" w:color="auto"/>
                  <w:left w:val="single" w:sz="4" w:space="0" w:color="auto"/>
                  <w:right w:val="single" w:sz="4" w:space="0" w:color="auto"/>
                </w:tcBorders>
                <w:vAlign w:val="center"/>
              </w:tcPr>
              <w:p w14:paraId="5EFB4861" w14:textId="77777777" w:rsidR="005E000F" w:rsidRDefault="00000000">
                <w:pPr>
                  <w:jc w:val="center"/>
                </w:pPr>
                <w:r>
                  <w:rPr>
                    <w:rFonts w:hint="eastAsia"/>
                  </w:rPr>
                  <w:t>账面</w:t>
                </w:r>
              </w:p>
              <w:p w14:paraId="6914873F" w14:textId="77777777" w:rsidR="005E000F" w:rsidRDefault="00000000">
                <w:pPr>
                  <w:jc w:val="center"/>
                </w:pPr>
                <w:r>
                  <w:rPr>
                    <w:rFonts w:hint="eastAsia"/>
                  </w:rPr>
                  <w:t>价值</w:t>
                </w:r>
              </w:p>
            </w:tc>
          </w:sdtContent>
        </w:sdt>
      </w:tr>
      <w:tr w:rsidR="005E000F" w14:paraId="0AF70452" w14:textId="77777777">
        <w:trPr>
          <w:cantSplit/>
          <w:trHeight w:val="375"/>
        </w:trPr>
        <w:tc>
          <w:tcPr>
            <w:tcW w:w="701" w:type="pct"/>
            <w:vMerge/>
            <w:tcBorders>
              <w:left w:val="single" w:sz="4" w:space="0" w:color="auto"/>
              <w:bottom w:val="single" w:sz="4" w:space="0" w:color="auto"/>
              <w:right w:val="single" w:sz="4" w:space="0" w:color="auto"/>
            </w:tcBorders>
            <w:vAlign w:val="center"/>
          </w:tcPr>
          <w:p w14:paraId="23BE89F8" w14:textId="77777777" w:rsidR="005E000F" w:rsidRDefault="005E000F"/>
        </w:tc>
        <w:sdt>
          <w:sdtPr>
            <w:tag w:val="_PLD_c5c981ae53b144af90139d228c5285af"/>
            <w:id w:val="-832988380"/>
          </w:sdtPr>
          <w:sdtContent>
            <w:tc>
              <w:tcPr>
                <w:tcW w:w="505" w:type="pct"/>
                <w:tcBorders>
                  <w:left w:val="single" w:sz="4" w:space="0" w:color="auto"/>
                  <w:bottom w:val="single" w:sz="4" w:space="0" w:color="auto"/>
                  <w:right w:val="single" w:sz="4" w:space="0" w:color="auto"/>
                </w:tcBorders>
                <w:vAlign w:val="center"/>
              </w:tcPr>
              <w:p w14:paraId="5FBFA6EA" w14:textId="77777777" w:rsidR="005E000F" w:rsidRDefault="00000000">
                <w:pPr>
                  <w:jc w:val="center"/>
                </w:pPr>
                <w:r>
                  <w:rPr>
                    <w:rFonts w:hint="eastAsia"/>
                  </w:rPr>
                  <w:t>金额</w:t>
                </w:r>
              </w:p>
            </w:tc>
          </w:sdtContent>
        </w:sdt>
        <w:sdt>
          <w:sdtPr>
            <w:tag w:val="_PLD_c62cdb22fba648808acfebda9f29289b"/>
            <w:id w:val="221266474"/>
          </w:sdtPr>
          <w:sdtContent>
            <w:tc>
              <w:tcPr>
                <w:tcW w:w="343" w:type="pct"/>
                <w:tcBorders>
                  <w:left w:val="single" w:sz="4" w:space="0" w:color="auto"/>
                  <w:bottom w:val="single" w:sz="4" w:space="0" w:color="auto"/>
                  <w:right w:val="single" w:sz="4" w:space="0" w:color="auto"/>
                </w:tcBorders>
                <w:vAlign w:val="center"/>
              </w:tcPr>
              <w:p w14:paraId="56734535" w14:textId="77777777" w:rsidR="005E000F" w:rsidRDefault="00000000">
                <w:pPr>
                  <w:jc w:val="center"/>
                </w:pPr>
                <w:r>
                  <w:rPr>
                    <w:rFonts w:hint="eastAsia"/>
                  </w:rPr>
                  <w:t>比例（</w:t>
                </w:r>
                <w:r>
                  <w:t>%</w:t>
                </w:r>
                <w:r>
                  <w:rPr>
                    <w:rFonts w:hint="eastAsia"/>
                  </w:rPr>
                  <w:t>）</w:t>
                </w:r>
              </w:p>
            </w:tc>
          </w:sdtContent>
        </w:sdt>
        <w:sdt>
          <w:sdtPr>
            <w:tag w:val="_PLD_d259a31756a946a6a441328cc78413fc"/>
            <w:id w:val="-1522012114"/>
          </w:sdtPr>
          <w:sdtContent>
            <w:tc>
              <w:tcPr>
                <w:tcW w:w="412" w:type="pct"/>
                <w:tcBorders>
                  <w:left w:val="single" w:sz="4" w:space="0" w:color="auto"/>
                  <w:bottom w:val="single" w:sz="4" w:space="0" w:color="auto"/>
                  <w:right w:val="single" w:sz="4" w:space="0" w:color="auto"/>
                </w:tcBorders>
                <w:vAlign w:val="center"/>
              </w:tcPr>
              <w:p w14:paraId="1F32F92B" w14:textId="77777777" w:rsidR="005E000F" w:rsidRDefault="00000000">
                <w:pPr>
                  <w:jc w:val="center"/>
                </w:pPr>
                <w:r>
                  <w:rPr>
                    <w:rFonts w:hint="eastAsia"/>
                  </w:rPr>
                  <w:t>金额</w:t>
                </w:r>
              </w:p>
            </w:tc>
          </w:sdtContent>
        </w:sdt>
        <w:sdt>
          <w:sdtPr>
            <w:tag w:val="_PLD_f74078100e7348efb6fa93b2ac934809"/>
            <w:id w:val="1990362689"/>
          </w:sdtPr>
          <w:sdtContent>
            <w:tc>
              <w:tcPr>
                <w:tcW w:w="353" w:type="pct"/>
                <w:tcBorders>
                  <w:left w:val="single" w:sz="4" w:space="0" w:color="auto"/>
                  <w:bottom w:val="single" w:sz="4" w:space="0" w:color="auto"/>
                  <w:right w:val="single" w:sz="4" w:space="0" w:color="auto"/>
                </w:tcBorders>
                <w:vAlign w:val="center"/>
              </w:tcPr>
              <w:p w14:paraId="018DA437" w14:textId="77777777" w:rsidR="005E000F" w:rsidRDefault="00000000">
                <w:pPr>
                  <w:jc w:val="center"/>
                </w:pPr>
                <w:r>
                  <w:rPr>
                    <w:rFonts w:hint="eastAsia"/>
                  </w:rPr>
                  <w:t>计提比例（</w:t>
                </w:r>
                <w:r>
                  <w:t>%</w:t>
                </w:r>
                <w:r>
                  <w:rPr>
                    <w:rFonts w:hint="eastAsia"/>
                  </w:rPr>
                  <w:t>）</w:t>
                </w:r>
              </w:p>
            </w:tc>
          </w:sdtContent>
        </w:sdt>
        <w:tc>
          <w:tcPr>
            <w:tcW w:w="506" w:type="pct"/>
            <w:vMerge/>
            <w:tcBorders>
              <w:left w:val="single" w:sz="4" w:space="0" w:color="auto"/>
              <w:bottom w:val="single" w:sz="4" w:space="0" w:color="auto"/>
              <w:right w:val="single" w:sz="4" w:space="0" w:color="auto"/>
            </w:tcBorders>
            <w:vAlign w:val="center"/>
          </w:tcPr>
          <w:p w14:paraId="31E1914C" w14:textId="77777777" w:rsidR="005E000F" w:rsidRDefault="005E000F">
            <w:pPr>
              <w:jc w:val="center"/>
            </w:pPr>
          </w:p>
        </w:tc>
        <w:sdt>
          <w:sdtPr>
            <w:tag w:val="_PLD_4b188b463cd04b5f935c04bb97091ad7"/>
            <w:id w:val="-1059241697"/>
          </w:sdtPr>
          <w:sdtContent>
            <w:tc>
              <w:tcPr>
                <w:tcW w:w="505" w:type="pct"/>
                <w:tcBorders>
                  <w:left w:val="single" w:sz="4" w:space="0" w:color="auto"/>
                  <w:bottom w:val="single" w:sz="4" w:space="0" w:color="auto"/>
                  <w:right w:val="single" w:sz="4" w:space="0" w:color="auto"/>
                </w:tcBorders>
                <w:vAlign w:val="center"/>
              </w:tcPr>
              <w:p w14:paraId="358FD6BF" w14:textId="77777777" w:rsidR="005E000F" w:rsidRDefault="00000000">
                <w:pPr>
                  <w:jc w:val="center"/>
                </w:pPr>
                <w:r>
                  <w:rPr>
                    <w:rFonts w:hint="eastAsia"/>
                  </w:rPr>
                  <w:t>金额</w:t>
                </w:r>
              </w:p>
            </w:tc>
          </w:sdtContent>
        </w:sdt>
        <w:sdt>
          <w:sdtPr>
            <w:tag w:val="_PLD_0eb49b8077f24050b883fe1c83156c6a"/>
            <w:id w:val="-2033335788"/>
          </w:sdtPr>
          <w:sdtContent>
            <w:tc>
              <w:tcPr>
                <w:tcW w:w="352" w:type="pct"/>
                <w:tcBorders>
                  <w:left w:val="single" w:sz="4" w:space="0" w:color="auto"/>
                  <w:bottom w:val="single" w:sz="4" w:space="0" w:color="auto"/>
                  <w:right w:val="single" w:sz="4" w:space="0" w:color="auto"/>
                </w:tcBorders>
                <w:vAlign w:val="center"/>
              </w:tcPr>
              <w:p w14:paraId="6A2E1CF6" w14:textId="77777777" w:rsidR="005E000F" w:rsidRDefault="00000000">
                <w:pPr>
                  <w:jc w:val="center"/>
                </w:pPr>
                <w:r>
                  <w:rPr>
                    <w:rFonts w:hint="eastAsia"/>
                  </w:rPr>
                  <w:t>比例（</w:t>
                </w:r>
                <w:r>
                  <w:t>%</w:t>
                </w:r>
                <w:r>
                  <w:rPr>
                    <w:rFonts w:hint="eastAsia"/>
                  </w:rPr>
                  <w:t>）</w:t>
                </w:r>
              </w:p>
            </w:tc>
          </w:sdtContent>
        </w:sdt>
        <w:sdt>
          <w:sdtPr>
            <w:tag w:val="_PLD_97b959dafb2649fe9097ba91d4d77a2f"/>
            <w:id w:val="-703022352"/>
          </w:sdtPr>
          <w:sdtContent>
            <w:tc>
              <w:tcPr>
                <w:tcW w:w="449" w:type="pct"/>
                <w:tcBorders>
                  <w:left w:val="single" w:sz="4" w:space="0" w:color="auto"/>
                  <w:bottom w:val="single" w:sz="4" w:space="0" w:color="auto"/>
                  <w:right w:val="single" w:sz="4" w:space="0" w:color="auto"/>
                </w:tcBorders>
                <w:vAlign w:val="center"/>
              </w:tcPr>
              <w:p w14:paraId="0619FB1D" w14:textId="77777777" w:rsidR="005E000F" w:rsidRDefault="00000000">
                <w:pPr>
                  <w:jc w:val="center"/>
                </w:pPr>
                <w:r>
                  <w:rPr>
                    <w:rFonts w:hint="eastAsia"/>
                  </w:rPr>
                  <w:t>金额</w:t>
                </w:r>
              </w:p>
            </w:tc>
          </w:sdtContent>
        </w:sdt>
        <w:sdt>
          <w:sdtPr>
            <w:tag w:val="_PLD_99dda048c2a04725a5d8bfac8b356378"/>
            <w:id w:val="-517239049"/>
          </w:sdtPr>
          <w:sdtContent>
            <w:tc>
              <w:tcPr>
                <w:tcW w:w="361" w:type="pct"/>
                <w:tcBorders>
                  <w:left w:val="single" w:sz="4" w:space="0" w:color="auto"/>
                  <w:bottom w:val="single" w:sz="4" w:space="0" w:color="auto"/>
                  <w:right w:val="single" w:sz="4" w:space="0" w:color="auto"/>
                </w:tcBorders>
                <w:vAlign w:val="center"/>
              </w:tcPr>
              <w:p w14:paraId="2DC330AC" w14:textId="77777777" w:rsidR="005E000F" w:rsidRDefault="00000000">
                <w:pPr>
                  <w:jc w:val="center"/>
                </w:pPr>
                <w:r>
                  <w:rPr>
                    <w:rFonts w:hint="eastAsia"/>
                  </w:rPr>
                  <w:t>计提比例（</w:t>
                </w:r>
                <w:r>
                  <w:t>%</w:t>
                </w:r>
                <w:r>
                  <w:rPr>
                    <w:rFonts w:hint="eastAsia"/>
                  </w:rPr>
                  <w:t>）</w:t>
                </w:r>
              </w:p>
            </w:tc>
          </w:sdtContent>
        </w:sdt>
        <w:tc>
          <w:tcPr>
            <w:tcW w:w="507" w:type="pct"/>
            <w:vMerge/>
            <w:tcBorders>
              <w:left w:val="single" w:sz="4" w:space="0" w:color="auto"/>
              <w:bottom w:val="single" w:sz="4" w:space="0" w:color="auto"/>
              <w:right w:val="single" w:sz="4" w:space="0" w:color="auto"/>
            </w:tcBorders>
            <w:vAlign w:val="center"/>
          </w:tcPr>
          <w:p w14:paraId="342F059C" w14:textId="77777777" w:rsidR="005E000F" w:rsidRDefault="005E000F">
            <w:pPr>
              <w:jc w:val="center"/>
            </w:pPr>
          </w:p>
        </w:tc>
      </w:tr>
      <w:tr w:rsidR="005E000F" w14:paraId="2154BA36" w14:textId="77777777">
        <w:trPr>
          <w:cantSplit/>
        </w:trPr>
        <w:tc>
          <w:tcPr>
            <w:tcW w:w="701" w:type="pct"/>
            <w:tcBorders>
              <w:top w:val="single" w:sz="4" w:space="0" w:color="auto"/>
              <w:left w:val="single" w:sz="4" w:space="0" w:color="auto"/>
              <w:bottom w:val="single" w:sz="4" w:space="0" w:color="auto"/>
              <w:right w:val="single" w:sz="4" w:space="0" w:color="auto"/>
            </w:tcBorders>
            <w:vAlign w:val="center"/>
          </w:tcPr>
          <w:p w14:paraId="416D7EAD" w14:textId="77777777" w:rsidR="005E000F" w:rsidRDefault="00000000">
            <w:r>
              <w:rPr>
                <w:rFonts w:hint="eastAsia"/>
              </w:rPr>
              <w:t>按组合计提坏账准备</w:t>
            </w:r>
          </w:p>
        </w:tc>
        <w:tc>
          <w:tcPr>
            <w:tcW w:w="505" w:type="pct"/>
            <w:tcBorders>
              <w:top w:val="single" w:sz="4" w:space="0" w:color="auto"/>
              <w:left w:val="single" w:sz="4" w:space="0" w:color="auto"/>
              <w:bottom w:val="single" w:sz="4" w:space="0" w:color="auto"/>
              <w:right w:val="single" w:sz="4" w:space="0" w:color="auto"/>
            </w:tcBorders>
            <w:vAlign w:val="center"/>
          </w:tcPr>
          <w:p w14:paraId="20A1983A" w14:textId="77777777" w:rsidR="005E000F" w:rsidRDefault="00000000">
            <w:pPr>
              <w:jc w:val="right"/>
              <w:rPr>
                <w:rFonts w:cs="宋体"/>
                <w:bCs/>
              </w:rPr>
            </w:pPr>
            <w:r>
              <w:rPr>
                <w:rFonts w:cs="宋体"/>
                <w:bCs/>
              </w:rPr>
              <w:t>4,144,001,299</w:t>
            </w:r>
          </w:p>
        </w:tc>
        <w:tc>
          <w:tcPr>
            <w:tcW w:w="343" w:type="pct"/>
            <w:tcBorders>
              <w:top w:val="single" w:sz="4" w:space="0" w:color="auto"/>
              <w:left w:val="single" w:sz="4" w:space="0" w:color="auto"/>
              <w:bottom w:val="single" w:sz="4" w:space="0" w:color="auto"/>
              <w:right w:val="single" w:sz="4" w:space="0" w:color="auto"/>
            </w:tcBorders>
            <w:vAlign w:val="center"/>
          </w:tcPr>
          <w:p w14:paraId="7259B9B1" w14:textId="77777777" w:rsidR="005E000F" w:rsidRDefault="00000000">
            <w:pPr>
              <w:jc w:val="right"/>
              <w:rPr>
                <w:rFonts w:cs="宋体"/>
                <w:bCs/>
              </w:rPr>
            </w:pPr>
            <w:r>
              <w:rPr>
                <w:rFonts w:cs="宋体"/>
                <w:bCs/>
              </w:rPr>
              <w:t>100</w:t>
            </w:r>
          </w:p>
        </w:tc>
        <w:tc>
          <w:tcPr>
            <w:tcW w:w="412" w:type="pct"/>
            <w:tcBorders>
              <w:top w:val="single" w:sz="4" w:space="0" w:color="auto"/>
              <w:left w:val="single" w:sz="4" w:space="0" w:color="auto"/>
              <w:bottom w:val="single" w:sz="4" w:space="0" w:color="auto"/>
              <w:right w:val="single" w:sz="4" w:space="0" w:color="auto"/>
            </w:tcBorders>
            <w:vAlign w:val="center"/>
          </w:tcPr>
          <w:p w14:paraId="7735A638" w14:textId="77777777" w:rsidR="005E000F" w:rsidRDefault="00000000">
            <w:pPr>
              <w:jc w:val="right"/>
              <w:rPr>
                <w:rFonts w:cs="宋体"/>
                <w:bCs/>
              </w:rPr>
            </w:pPr>
            <w:r>
              <w:rPr>
                <w:rFonts w:cs="宋体"/>
                <w:bCs/>
              </w:rPr>
              <w:t>70,780,90</w:t>
            </w:r>
            <w:r>
              <w:rPr>
                <w:rFonts w:cs="宋体" w:hint="eastAsia"/>
                <w:bCs/>
              </w:rPr>
              <w:t>8</w:t>
            </w:r>
          </w:p>
        </w:tc>
        <w:tc>
          <w:tcPr>
            <w:tcW w:w="353" w:type="pct"/>
            <w:tcBorders>
              <w:top w:val="single" w:sz="4" w:space="0" w:color="auto"/>
              <w:left w:val="single" w:sz="4" w:space="0" w:color="auto"/>
              <w:bottom w:val="single" w:sz="4" w:space="0" w:color="auto"/>
              <w:right w:val="single" w:sz="4" w:space="0" w:color="auto"/>
            </w:tcBorders>
            <w:vAlign w:val="center"/>
          </w:tcPr>
          <w:p w14:paraId="6036BA56" w14:textId="77777777" w:rsidR="005E000F" w:rsidRDefault="00000000">
            <w:pPr>
              <w:jc w:val="right"/>
              <w:rPr>
                <w:rFonts w:cs="宋体"/>
                <w:bCs/>
              </w:rPr>
            </w:pPr>
            <w:r>
              <w:rPr>
                <w:rFonts w:cs="宋体" w:hint="eastAsia"/>
                <w:bCs/>
              </w:rPr>
              <w:t>1.71</w:t>
            </w:r>
          </w:p>
        </w:tc>
        <w:tc>
          <w:tcPr>
            <w:tcW w:w="506" w:type="pct"/>
            <w:tcBorders>
              <w:top w:val="single" w:sz="4" w:space="0" w:color="auto"/>
              <w:left w:val="single" w:sz="4" w:space="0" w:color="auto"/>
              <w:bottom w:val="single" w:sz="4" w:space="0" w:color="auto"/>
              <w:right w:val="single" w:sz="4" w:space="0" w:color="auto"/>
            </w:tcBorders>
            <w:vAlign w:val="center"/>
          </w:tcPr>
          <w:p w14:paraId="2E976928" w14:textId="77777777" w:rsidR="005E000F" w:rsidRDefault="00000000">
            <w:pPr>
              <w:jc w:val="right"/>
              <w:rPr>
                <w:rFonts w:cs="宋体"/>
                <w:bCs/>
              </w:rPr>
            </w:pPr>
            <w:r>
              <w:rPr>
                <w:rFonts w:cs="宋体"/>
                <w:bCs/>
              </w:rPr>
              <w:t>4,073,220,39</w:t>
            </w:r>
            <w:r>
              <w:rPr>
                <w:rFonts w:cs="宋体" w:hint="eastAsia"/>
                <w:bCs/>
              </w:rPr>
              <w:t>1</w:t>
            </w:r>
          </w:p>
        </w:tc>
        <w:tc>
          <w:tcPr>
            <w:tcW w:w="505" w:type="pct"/>
            <w:tcBorders>
              <w:top w:val="single" w:sz="4" w:space="0" w:color="auto"/>
              <w:left w:val="single" w:sz="4" w:space="0" w:color="auto"/>
              <w:bottom w:val="single" w:sz="4" w:space="0" w:color="auto"/>
              <w:right w:val="single" w:sz="4" w:space="0" w:color="auto"/>
            </w:tcBorders>
          </w:tcPr>
          <w:p w14:paraId="01A9FD4D" w14:textId="77777777" w:rsidR="005E000F" w:rsidRDefault="00000000">
            <w:pPr>
              <w:jc w:val="right"/>
              <w:rPr>
                <w:rFonts w:cs="宋体"/>
                <w:bCs/>
                <w:lang w:eastAsia="en-US"/>
              </w:rPr>
            </w:pPr>
            <w:r>
              <w:rPr>
                <w:rFonts w:cs="宋体"/>
                <w:bCs/>
              </w:rPr>
              <w:t>4,825,948,318</w:t>
            </w:r>
          </w:p>
        </w:tc>
        <w:tc>
          <w:tcPr>
            <w:tcW w:w="352" w:type="pct"/>
            <w:tcBorders>
              <w:top w:val="single" w:sz="4" w:space="0" w:color="auto"/>
              <w:left w:val="single" w:sz="4" w:space="0" w:color="auto"/>
              <w:bottom w:val="single" w:sz="4" w:space="0" w:color="auto"/>
              <w:right w:val="single" w:sz="4" w:space="0" w:color="auto"/>
            </w:tcBorders>
          </w:tcPr>
          <w:p w14:paraId="7167174F" w14:textId="77777777" w:rsidR="005E000F" w:rsidRDefault="00000000">
            <w:pPr>
              <w:jc w:val="right"/>
              <w:rPr>
                <w:rFonts w:cs="宋体"/>
                <w:bCs/>
                <w:lang w:eastAsia="en-US"/>
              </w:rPr>
            </w:pPr>
            <w:r>
              <w:rPr>
                <w:rFonts w:cs="宋体"/>
                <w:bCs/>
              </w:rPr>
              <w:t>100</w:t>
            </w:r>
          </w:p>
        </w:tc>
        <w:tc>
          <w:tcPr>
            <w:tcW w:w="449" w:type="pct"/>
            <w:tcBorders>
              <w:top w:val="single" w:sz="4" w:space="0" w:color="auto"/>
              <w:left w:val="single" w:sz="4" w:space="0" w:color="auto"/>
              <w:bottom w:val="single" w:sz="4" w:space="0" w:color="auto"/>
              <w:right w:val="single" w:sz="4" w:space="0" w:color="auto"/>
            </w:tcBorders>
          </w:tcPr>
          <w:p w14:paraId="1AF63594" w14:textId="77777777" w:rsidR="005E000F" w:rsidRDefault="00000000">
            <w:pPr>
              <w:jc w:val="right"/>
              <w:rPr>
                <w:rFonts w:cs="宋体"/>
                <w:bCs/>
                <w:lang w:eastAsia="en-US"/>
              </w:rPr>
            </w:pPr>
            <w:r>
              <w:rPr>
                <w:rFonts w:cs="宋体"/>
                <w:bCs/>
              </w:rPr>
              <w:t>124,281,927</w:t>
            </w:r>
          </w:p>
        </w:tc>
        <w:tc>
          <w:tcPr>
            <w:tcW w:w="361" w:type="pct"/>
            <w:tcBorders>
              <w:top w:val="single" w:sz="4" w:space="0" w:color="auto"/>
              <w:left w:val="single" w:sz="4" w:space="0" w:color="auto"/>
              <w:bottom w:val="single" w:sz="4" w:space="0" w:color="auto"/>
              <w:right w:val="single" w:sz="4" w:space="0" w:color="auto"/>
            </w:tcBorders>
          </w:tcPr>
          <w:p w14:paraId="727221CA" w14:textId="77777777" w:rsidR="005E000F" w:rsidRDefault="00000000">
            <w:pPr>
              <w:jc w:val="right"/>
              <w:rPr>
                <w:rFonts w:cs="宋体"/>
                <w:bCs/>
                <w:lang w:eastAsia="en-US"/>
              </w:rPr>
            </w:pPr>
            <w:r>
              <w:rPr>
                <w:rFonts w:cs="宋体"/>
                <w:bCs/>
              </w:rPr>
              <w:t>2.58</w:t>
            </w:r>
          </w:p>
        </w:tc>
        <w:tc>
          <w:tcPr>
            <w:tcW w:w="507" w:type="pct"/>
            <w:tcBorders>
              <w:top w:val="single" w:sz="4" w:space="0" w:color="auto"/>
              <w:left w:val="single" w:sz="4" w:space="0" w:color="auto"/>
              <w:bottom w:val="single" w:sz="4" w:space="0" w:color="auto"/>
              <w:right w:val="single" w:sz="4" w:space="0" w:color="auto"/>
            </w:tcBorders>
          </w:tcPr>
          <w:p w14:paraId="1F8736F9" w14:textId="77777777" w:rsidR="005E000F" w:rsidRDefault="00000000">
            <w:pPr>
              <w:jc w:val="right"/>
              <w:rPr>
                <w:rFonts w:cs="宋体"/>
                <w:bCs/>
                <w:lang w:eastAsia="en-US"/>
              </w:rPr>
            </w:pPr>
            <w:r>
              <w:rPr>
                <w:rFonts w:cs="宋体"/>
                <w:bCs/>
              </w:rPr>
              <w:t>4,701,666,391</w:t>
            </w:r>
          </w:p>
        </w:tc>
      </w:tr>
      <w:tr w:rsidR="005E000F" w14:paraId="0A44291B" w14:textId="77777777">
        <w:trPr>
          <w:cantSplit/>
        </w:trPr>
        <w:sdt>
          <w:sdtPr>
            <w:tag w:val="_PLD_3e90aa50b20c494dafda2d9726e46570"/>
            <w:id w:val="557231"/>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14:paraId="4A787598" w14:textId="77777777" w:rsidR="005E000F" w:rsidRDefault="00000000">
                <w:r>
                  <w:rPr>
                    <w:rFonts w:hint="eastAsia"/>
                  </w:rPr>
                  <w:t>其中：</w:t>
                </w:r>
              </w:p>
            </w:tc>
          </w:sdtContent>
        </w:sdt>
      </w:tr>
      <w:tr w:rsidR="005E000F" w14:paraId="3056EBDA" w14:textId="77777777">
        <w:trPr>
          <w:cantSplit/>
        </w:trPr>
        <w:sdt>
          <w:sdtPr>
            <w:alias w:val="按组合计提坏账准备的应收账款明细-组合名称"/>
            <w:tag w:val="_GBC_bb95ca191c6548418732405aecc5c303"/>
            <w:id w:val="77727002"/>
          </w:sdtPr>
          <w:sdtContent>
            <w:tc>
              <w:tcPr>
                <w:tcW w:w="701" w:type="pct"/>
                <w:tcBorders>
                  <w:top w:val="single" w:sz="4" w:space="0" w:color="auto"/>
                  <w:left w:val="single" w:sz="4" w:space="0" w:color="auto"/>
                  <w:bottom w:val="single" w:sz="4" w:space="0" w:color="auto"/>
                  <w:right w:val="single" w:sz="4" w:space="0" w:color="auto"/>
                </w:tcBorders>
                <w:vAlign w:val="center"/>
              </w:tcPr>
              <w:p w14:paraId="73E99EF6" w14:textId="77777777" w:rsidR="005E000F" w:rsidRDefault="00000000">
                <w:pPr>
                  <w:jc w:val="both"/>
                  <w:rPr>
                    <w:color w:val="808080"/>
                  </w:rPr>
                </w:pPr>
                <w:r>
                  <w:rPr>
                    <w:rFonts w:hint="eastAsia"/>
                  </w:rPr>
                  <w:t>组合</w:t>
                </w:r>
                <w:proofErr w:type="gramStart"/>
                <w:r>
                  <w:rPr>
                    <w:rFonts w:hint="eastAsia"/>
                  </w:rPr>
                  <w:t>一</w:t>
                </w:r>
                <w:proofErr w:type="gramEnd"/>
              </w:p>
            </w:tc>
          </w:sdtContent>
        </w:sdt>
        <w:tc>
          <w:tcPr>
            <w:tcW w:w="505" w:type="pct"/>
            <w:tcBorders>
              <w:top w:val="single" w:sz="4" w:space="0" w:color="auto"/>
              <w:left w:val="single" w:sz="4" w:space="0" w:color="auto"/>
              <w:bottom w:val="single" w:sz="4" w:space="0" w:color="auto"/>
              <w:right w:val="single" w:sz="4" w:space="0" w:color="auto"/>
            </w:tcBorders>
            <w:vAlign w:val="center"/>
          </w:tcPr>
          <w:p w14:paraId="64843F5F" w14:textId="77777777" w:rsidR="005E000F" w:rsidRDefault="00000000">
            <w:pPr>
              <w:jc w:val="right"/>
              <w:rPr>
                <w:rFonts w:cs="宋体"/>
                <w:bCs/>
              </w:rPr>
            </w:pPr>
            <w:r>
              <w:rPr>
                <w:rFonts w:cs="宋体"/>
                <w:bCs/>
              </w:rPr>
              <w:t>3,546,865,207</w:t>
            </w:r>
          </w:p>
        </w:tc>
        <w:tc>
          <w:tcPr>
            <w:tcW w:w="343" w:type="pct"/>
            <w:tcBorders>
              <w:top w:val="single" w:sz="4" w:space="0" w:color="auto"/>
              <w:left w:val="single" w:sz="4" w:space="0" w:color="auto"/>
              <w:bottom w:val="single" w:sz="4" w:space="0" w:color="auto"/>
              <w:right w:val="single" w:sz="4" w:space="0" w:color="auto"/>
            </w:tcBorders>
            <w:vAlign w:val="center"/>
          </w:tcPr>
          <w:p w14:paraId="40801107" w14:textId="77777777" w:rsidR="005E000F" w:rsidRDefault="00000000">
            <w:pPr>
              <w:jc w:val="right"/>
              <w:rPr>
                <w:rFonts w:cs="宋体"/>
                <w:bCs/>
              </w:rPr>
            </w:pPr>
            <w:r>
              <w:rPr>
                <w:rFonts w:cs="宋体"/>
                <w:bCs/>
              </w:rPr>
              <w:t>86</w:t>
            </w:r>
          </w:p>
        </w:tc>
        <w:tc>
          <w:tcPr>
            <w:tcW w:w="412" w:type="pct"/>
            <w:tcBorders>
              <w:top w:val="single" w:sz="4" w:space="0" w:color="auto"/>
              <w:left w:val="single" w:sz="4" w:space="0" w:color="auto"/>
              <w:bottom w:val="single" w:sz="4" w:space="0" w:color="auto"/>
              <w:right w:val="single" w:sz="4" w:space="0" w:color="auto"/>
            </w:tcBorders>
            <w:vAlign w:val="center"/>
          </w:tcPr>
          <w:p w14:paraId="0C1A1A81" w14:textId="77777777" w:rsidR="005E000F" w:rsidRDefault="00000000">
            <w:pPr>
              <w:jc w:val="right"/>
              <w:rPr>
                <w:rFonts w:cs="宋体"/>
                <w:bCs/>
              </w:rPr>
            </w:pPr>
            <w:r>
              <w:rPr>
                <w:rFonts w:cs="宋体"/>
                <w:bCs/>
              </w:rPr>
              <w:t>68,828,254</w:t>
            </w:r>
          </w:p>
        </w:tc>
        <w:tc>
          <w:tcPr>
            <w:tcW w:w="996" w:type="dxa"/>
            <w:tcBorders>
              <w:top w:val="single" w:sz="4" w:space="0" w:color="auto"/>
              <w:left w:val="single" w:sz="4" w:space="0" w:color="auto"/>
              <w:bottom w:val="single" w:sz="4" w:space="0" w:color="auto"/>
              <w:right w:val="single" w:sz="4" w:space="0" w:color="auto"/>
            </w:tcBorders>
            <w:vAlign w:val="center"/>
          </w:tcPr>
          <w:p w14:paraId="60777BFC" w14:textId="77777777" w:rsidR="005E000F" w:rsidRDefault="00000000">
            <w:pPr>
              <w:jc w:val="right"/>
              <w:rPr>
                <w:rFonts w:cs="宋体"/>
                <w:bCs/>
              </w:rPr>
            </w:pPr>
            <w:r>
              <w:rPr>
                <w:rFonts w:cs="宋体"/>
                <w:bCs/>
              </w:rPr>
              <w:t>1.94</w:t>
            </w:r>
          </w:p>
        </w:tc>
        <w:tc>
          <w:tcPr>
            <w:tcW w:w="506" w:type="pct"/>
            <w:tcBorders>
              <w:top w:val="single" w:sz="4" w:space="0" w:color="auto"/>
              <w:left w:val="single" w:sz="4" w:space="0" w:color="auto"/>
              <w:bottom w:val="single" w:sz="4" w:space="0" w:color="auto"/>
              <w:right w:val="single" w:sz="4" w:space="0" w:color="auto"/>
            </w:tcBorders>
            <w:vAlign w:val="center"/>
          </w:tcPr>
          <w:p w14:paraId="62DC6A6E" w14:textId="77777777" w:rsidR="005E000F" w:rsidRDefault="00000000">
            <w:pPr>
              <w:jc w:val="right"/>
              <w:rPr>
                <w:rFonts w:cs="宋体"/>
                <w:bCs/>
              </w:rPr>
            </w:pPr>
            <w:r>
              <w:rPr>
                <w:rFonts w:cs="宋体"/>
                <w:bCs/>
              </w:rPr>
              <w:t>3,478,036,953</w:t>
            </w:r>
          </w:p>
        </w:tc>
        <w:tc>
          <w:tcPr>
            <w:tcW w:w="505" w:type="pct"/>
            <w:tcBorders>
              <w:top w:val="single" w:sz="4" w:space="0" w:color="auto"/>
              <w:left w:val="single" w:sz="4" w:space="0" w:color="auto"/>
              <w:bottom w:val="single" w:sz="4" w:space="0" w:color="auto"/>
              <w:right w:val="single" w:sz="4" w:space="0" w:color="auto"/>
            </w:tcBorders>
          </w:tcPr>
          <w:p w14:paraId="3CEBEFC7" w14:textId="77777777" w:rsidR="005E000F" w:rsidRDefault="00000000">
            <w:pPr>
              <w:jc w:val="right"/>
              <w:rPr>
                <w:rFonts w:cs="宋体"/>
                <w:bCs/>
                <w:lang w:eastAsia="en-US"/>
              </w:rPr>
            </w:pPr>
            <w:r>
              <w:rPr>
                <w:rFonts w:cs="宋体"/>
                <w:bCs/>
              </w:rPr>
              <w:t>4,510,836,224</w:t>
            </w:r>
          </w:p>
        </w:tc>
        <w:tc>
          <w:tcPr>
            <w:tcW w:w="352" w:type="pct"/>
            <w:tcBorders>
              <w:top w:val="single" w:sz="4" w:space="0" w:color="auto"/>
              <w:left w:val="single" w:sz="4" w:space="0" w:color="auto"/>
              <w:bottom w:val="single" w:sz="4" w:space="0" w:color="auto"/>
              <w:right w:val="single" w:sz="4" w:space="0" w:color="auto"/>
            </w:tcBorders>
          </w:tcPr>
          <w:p w14:paraId="425A7BC3" w14:textId="77777777" w:rsidR="005E000F" w:rsidRDefault="00000000">
            <w:pPr>
              <w:jc w:val="right"/>
              <w:rPr>
                <w:rFonts w:cs="宋体"/>
                <w:bCs/>
                <w:lang w:eastAsia="en-US"/>
              </w:rPr>
            </w:pPr>
            <w:r>
              <w:rPr>
                <w:rFonts w:cs="宋体"/>
                <w:bCs/>
              </w:rPr>
              <w:t>93</w:t>
            </w:r>
          </w:p>
        </w:tc>
        <w:tc>
          <w:tcPr>
            <w:tcW w:w="449" w:type="pct"/>
            <w:tcBorders>
              <w:top w:val="single" w:sz="4" w:space="0" w:color="auto"/>
              <w:left w:val="single" w:sz="4" w:space="0" w:color="auto"/>
              <w:bottom w:val="single" w:sz="4" w:space="0" w:color="auto"/>
              <w:right w:val="single" w:sz="4" w:space="0" w:color="auto"/>
            </w:tcBorders>
          </w:tcPr>
          <w:p w14:paraId="244AB2D8" w14:textId="77777777" w:rsidR="005E000F" w:rsidRDefault="00000000">
            <w:pPr>
              <w:jc w:val="right"/>
              <w:rPr>
                <w:rFonts w:cs="宋体"/>
                <w:bCs/>
                <w:lang w:eastAsia="en-US"/>
              </w:rPr>
            </w:pPr>
            <w:r>
              <w:rPr>
                <w:rFonts w:cs="宋体"/>
                <w:bCs/>
              </w:rPr>
              <w:t>123,286,053</w:t>
            </w:r>
          </w:p>
        </w:tc>
        <w:tc>
          <w:tcPr>
            <w:tcW w:w="361" w:type="pct"/>
            <w:tcBorders>
              <w:top w:val="single" w:sz="4" w:space="0" w:color="auto"/>
              <w:left w:val="single" w:sz="4" w:space="0" w:color="auto"/>
              <w:bottom w:val="single" w:sz="4" w:space="0" w:color="auto"/>
              <w:right w:val="single" w:sz="4" w:space="0" w:color="auto"/>
            </w:tcBorders>
          </w:tcPr>
          <w:p w14:paraId="60BBDB7D" w14:textId="77777777" w:rsidR="005E000F" w:rsidRDefault="00000000">
            <w:pPr>
              <w:jc w:val="right"/>
              <w:rPr>
                <w:rFonts w:cs="宋体"/>
                <w:bCs/>
                <w:lang w:eastAsia="en-US"/>
              </w:rPr>
            </w:pPr>
            <w:r>
              <w:rPr>
                <w:rFonts w:cs="宋体"/>
                <w:bCs/>
              </w:rPr>
              <w:t>2.73</w:t>
            </w:r>
          </w:p>
        </w:tc>
        <w:tc>
          <w:tcPr>
            <w:tcW w:w="507" w:type="pct"/>
            <w:tcBorders>
              <w:top w:val="single" w:sz="4" w:space="0" w:color="auto"/>
              <w:left w:val="single" w:sz="4" w:space="0" w:color="auto"/>
              <w:bottom w:val="single" w:sz="4" w:space="0" w:color="auto"/>
              <w:right w:val="single" w:sz="4" w:space="0" w:color="auto"/>
            </w:tcBorders>
          </w:tcPr>
          <w:p w14:paraId="21E02E24" w14:textId="77777777" w:rsidR="005E000F" w:rsidRDefault="00000000">
            <w:pPr>
              <w:jc w:val="right"/>
              <w:rPr>
                <w:rFonts w:cs="宋体"/>
                <w:bCs/>
                <w:lang w:eastAsia="en-US"/>
              </w:rPr>
            </w:pPr>
            <w:r>
              <w:rPr>
                <w:rFonts w:cs="宋体"/>
                <w:bCs/>
              </w:rPr>
              <w:t>4,387,550,171</w:t>
            </w:r>
          </w:p>
        </w:tc>
      </w:tr>
      <w:tr w:rsidR="005E000F" w14:paraId="0C224E10" w14:textId="77777777">
        <w:trPr>
          <w:cantSplit/>
        </w:trPr>
        <w:sdt>
          <w:sdtPr>
            <w:alias w:val="按组合计提坏账准备的应收账款明细-组合名称"/>
            <w:tag w:val="_GBC_bb95ca191c6548418732405aecc5c303"/>
            <w:id w:val="-189532425"/>
          </w:sdtPr>
          <w:sdtContent>
            <w:tc>
              <w:tcPr>
                <w:tcW w:w="701" w:type="pct"/>
                <w:tcBorders>
                  <w:top w:val="single" w:sz="4" w:space="0" w:color="auto"/>
                  <w:left w:val="single" w:sz="4" w:space="0" w:color="auto"/>
                  <w:bottom w:val="single" w:sz="4" w:space="0" w:color="auto"/>
                  <w:right w:val="single" w:sz="4" w:space="0" w:color="auto"/>
                </w:tcBorders>
                <w:vAlign w:val="center"/>
              </w:tcPr>
              <w:p w14:paraId="11A2DCB2" w14:textId="77777777" w:rsidR="005E000F" w:rsidRDefault="00000000">
                <w:pPr>
                  <w:jc w:val="both"/>
                  <w:rPr>
                    <w:color w:val="808080"/>
                  </w:rPr>
                </w:pPr>
                <w:r>
                  <w:rPr>
                    <w:rFonts w:hint="eastAsia"/>
                  </w:rPr>
                  <w:t>组合二</w:t>
                </w:r>
              </w:p>
            </w:tc>
          </w:sdtContent>
        </w:sdt>
        <w:tc>
          <w:tcPr>
            <w:tcW w:w="505" w:type="pct"/>
            <w:tcBorders>
              <w:top w:val="single" w:sz="4" w:space="0" w:color="auto"/>
              <w:left w:val="single" w:sz="4" w:space="0" w:color="auto"/>
              <w:bottom w:val="single" w:sz="4" w:space="0" w:color="auto"/>
              <w:right w:val="single" w:sz="4" w:space="0" w:color="auto"/>
            </w:tcBorders>
            <w:vAlign w:val="center"/>
          </w:tcPr>
          <w:p w14:paraId="2FF94B9E" w14:textId="77777777" w:rsidR="005E000F" w:rsidRDefault="00000000">
            <w:pPr>
              <w:jc w:val="right"/>
              <w:rPr>
                <w:rFonts w:cs="宋体"/>
                <w:bCs/>
              </w:rPr>
            </w:pPr>
            <w:r>
              <w:rPr>
                <w:rFonts w:cs="宋体"/>
                <w:bCs/>
              </w:rPr>
              <w:t>597,136,092</w:t>
            </w:r>
          </w:p>
        </w:tc>
        <w:tc>
          <w:tcPr>
            <w:tcW w:w="343" w:type="pct"/>
            <w:tcBorders>
              <w:top w:val="single" w:sz="4" w:space="0" w:color="auto"/>
              <w:left w:val="single" w:sz="4" w:space="0" w:color="auto"/>
              <w:bottom w:val="single" w:sz="4" w:space="0" w:color="auto"/>
              <w:right w:val="single" w:sz="4" w:space="0" w:color="auto"/>
            </w:tcBorders>
            <w:vAlign w:val="center"/>
          </w:tcPr>
          <w:p w14:paraId="09D6B3A9" w14:textId="77777777" w:rsidR="005E000F" w:rsidRDefault="00000000">
            <w:pPr>
              <w:jc w:val="right"/>
              <w:rPr>
                <w:rFonts w:cs="宋体"/>
                <w:bCs/>
              </w:rPr>
            </w:pPr>
            <w:r>
              <w:rPr>
                <w:rFonts w:cs="宋体"/>
                <w:bCs/>
              </w:rPr>
              <w:t>14</w:t>
            </w:r>
          </w:p>
        </w:tc>
        <w:tc>
          <w:tcPr>
            <w:tcW w:w="412" w:type="pct"/>
            <w:tcBorders>
              <w:top w:val="single" w:sz="4" w:space="0" w:color="auto"/>
              <w:left w:val="single" w:sz="4" w:space="0" w:color="auto"/>
              <w:bottom w:val="single" w:sz="4" w:space="0" w:color="auto"/>
              <w:right w:val="single" w:sz="4" w:space="0" w:color="auto"/>
            </w:tcBorders>
            <w:vAlign w:val="center"/>
          </w:tcPr>
          <w:p w14:paraId="0CB703E9" w14:textId="77777777" w:rsidR="005E000F" w:rsidRDefault="00000000">
            <w:pPr>
              <w:jc w:val="right"/>
              <w:rPr>
                <w:rFonts w:cs="宋体"/>
                <w:bCs/>
              </w:rPr>
            </w:pPr>
            <w:r>
              <w:rPr>
                <w:rFonts w:cs="宋体"/>
                <w:bCs/>
              </w:rPr>
              <w:t>1,952,65</w:t>
            </w:r>
            <w:r>
              <w:rPr>
                <w:rFonts w:cs="宋体" w:hint="eastAsia"/>
                <w:bCs/>
              </w:rPr>
              <w:t>4</w:t>
            </w:r>
          </w:p>
        </w:tc>
        <w:tc>
          <w:tcPr>
            <w:tcW w:w="996" w:type="dxa"/>
            <w:tcBorders>
              <w:top w:val="single" w:sz="4" w:space="0" w:color="auto"/>
              <w:left w:val="single" w:sz="4" w:space="0" w:color="auto"/>
              <w:bottom w:val="single" w:sz="4" w:space="0" w:color="auto"/>
              <w:right w:val="single" w:sz="4" w:space="0" w:color="auto"/>
            </w:tcBorders>
            <w:vAlign w:val="center"/>
          </w:tcPr>
          <w:p w14:paraId="641DA6E2" w14:textId="77777777" w:rsidR="005E000F" w:rsidRDefault="00000000">
            <w:pPr>
              <w:jc w:val="right"/>
              <w:rPr>
                <w:rFonts w:cs="宋体"/>
                <w:bCs/>
              </w:rPr>
            </w:pPr>
            <w:r>
              <w:rPr>
                <w:rFonts w:cs="宋体"/>
                <w:bCs/>
              </w:rPr>
              <w:t>0.33</w:t>
            </w:r>
          </w:p>
        </w:tc>
        <w:tc>
          <w:tcPr>
            <w:tcW w:w="506" w:type="pct"/>
            <w:tcBorders>
              <w:top w:val="single" w:sz="4" w:space="0" w:color="auto"/>
              <w:left w:val="single" w:sz="4" w:space="0" w:color="auto"/>
              <w:bottom w:val="single" w:sz="4" w:space="0" w:color="auto"/>
              <w:right w:val="single" w:sz="4" w:space="0" w:color="auto"/>
            </w:tcBorders>
            <w:vAlign w:val="center"/>
          </w:tcPr>
          <w:p w14:paraId="60981081" w14:textId="77777777" w:rsidR="005E000F" w:rsidRDefault="00000000">
            <w:pPr>
              <w:jc w:val="right"/>
              <w:rPr>
                <w:rFonts w:cs="宋体"/>
                <w:bCs/>
              </w:rPr>
            </w:pPr>
            <w:r>
              <w:rPr>
                <w:rFonts w:cs="宋体"/>
                <w:bCs/>
              </w:rPr>
              <w:t>595,183,43</w:t>
            </w:r>
            <w:r>
              <w:rPr>
                <w:rFonts w:cs="宋体" w:hint="eastAsia"/>
                <w:bCs/>
              </w:rPr>
              <w:t>8</w:t>
            </w:r>
          </w:p>
        </w:tc>
        <w:tc>
          <w:tcPr>
            <w:tcW w:w="505" w:type="pct"/>
            <w:tcBorders>
              <w:top w:val="single" w:sz="4" w:space="0" w:color="auto"/>
              <w:left w:val="single" w:sz="4" w:space="0" w:color="auto"/>
              <w:bottom w:val="single" w:sz="4" w:space="0" w:color="auto"/>
              <w:right w:val="single" w:sz="4" w:space="0" w:color="auto"/>
            </w:tcBorders>
          </w:tcPr>
          <w:p w14:paraId="44BE0DFD" w14:textId="77777777" w:rsidR="005E000F" w:rsidRDefault="00000000">
            <w:pPr>
              <w:jc w:val="right"/>
              <w:rPr>
                <w:rFonts w:cs="宋体"/>
                <w:bCs/>
                <w:lang w:eastAsia="en-US"/>
              </w:rPr>
            </w:pPr>
            <w:r>
              <w:rPr>
                <w:rFonts w:cs="宋体"/>
                <w:bCs/>
              </w:rPr>
              <w:t>315,112,094</w:t>
            </w:r>
          </w:p>
        </w:tc>
        <w:tc>
          <w:tcPr>
            <w:tcW w:w="352" w:type="pct"/>
            <w:tcBorders>
              <w:top w:val="single" w:sz="4" w:space="0" w:color="auto"/>
              <w:left w:val="single" w:sz="4" w:space="0" w:color="auto"/>
              <w:bottom w:val="single" w:sz="4" w:space="0" w:color="auto"/>
              <w:right w:val="single" w:sz="4" w:space="0" w:color="auto"/>
            </w:tcBorders>
          </w:tcPr>
          <w:p w14:paraId="4A2B76AE" w14:textId="77777777" w:rsidR="005E000F" w:rsidRDefault="00000000">
            <w:pPr>
              <w:jc w:val="right"/>
              <w:rPr>
                <w:rFonts w:cs="宋体"/>
                <w:bCs/>
                <w:lang w:eastAsia="en-US"/>
              </w:rPr>
            </w:pPr>
            <w:r>
              <w:rPr>
                <w:rFonts w:cs="宋体"/>
                <w:bCs/>
              </w:rPr>
              <w:t>7</w:t>
            </w:r>
          </w:p>
        </w:tc>
        <w:tc>
          <w:tcPr>
            <w:tcW w:w="449" w:type="pct"/>
            <w:tcBorders>
              <w:top w:val="single" w:sz="4" w:space="0" w:color="auto"/>
              <w:left w:val="single" w:sz="4" w:space="0" w:color="auto"/>
              <w:bottom w:val="single" w:sz="4" w:space="0" w:color="auto"/>
              <w:right w:val="single" w:sz="4" w:space="0" w:color="auto"/>
            </w:tcBorders>
          </w:tcPr>
          <w:p w14:paraId="0074CDE7" w14:textId="77777777" w:rsidR="005E000F" w:rsidRDefault="00000000">
            <w:pPr>
              <w:jc w:val="right"/>
              <w:rPr>
                <w:rFonts w:cs="宋体"/>
                <w:bCs/>
                <w:lang w:eastAsia="en-US"/>
              </w:rPr>
            </w:pPr>
            <w:r>
              <w:rPr>
                <w:rFonts w:cs="宋体"/>
                <w:bCs/>
              </w:rPr>
              <w:t>995,874</w:t>
            </w:r>
          </w:p>
        </w:tc>
        <w:tc>
          <w:tcPr>
            <w:tcW w:w="361" w:type="pct"/>
            <w:tcBorders>
              <w:top w:val="single" w:sz="4" w:space="0" w:color="auto"/>
              <w:left w:val="single" w:sz="4" w:space="0" w:color="auto"/>
              <w:bottom w:val="single" w:sz="4" w:space="0" w:color="auto"/>
              <w:right w:val="single" w:sz="4" w:space="0" w:color="auto"/>
            </w:tcBorders>
          </w:tcPr>
          <w:p w14:paraId="1C0BBE7C" w14:textId="77777777" w:rsidR="005E000F" w:rsidRDefault="00000000">
            <w:pPr>
              <w:jc w:val="right"/>
              <w:rPr>
                <w:rFonts w:cs="宋体"/>
                <w:bCs/>
                <w:lang w:eastAsia="en-US"/>
              </w:rPr>
            </w:pPr>
            <w:r>
              <w:rPr>
                <w:rFonts w:cs="宋体"/>
                <w:bCs/>
              </w:rPr>
              <w:t>0.32</w:t>
            </w:r>
          </w:p>
        </w:tc>
        <w:tc>
          <w:tcPr>
            <w:tcW w:w="507" w:type="pct"/>
            <w:tcBorders>
              <w:top w:val="single" w:sz="4" w:space="0" w:color="auto"/>
              <w:left w:val="single" w:sz="4" w:space="0" w:color="auto"/>
              <w:bottom w:val="single" w:sz="4" w:space="0" w:color="auto"/>
              <w:right w:val="single" w:sz="4" w:space="0" w:color="auto"/>
            </w:tcBorders>
          </w:tcPr>
          <w:p w14:paraId="09974AEE" w14:textId="77777777" w:rsidR="005E000F" w:rsidRDefault="00000000">
            <w:pPr>
              <w:jc w:val="right"/>
              <w:rPr>
                <w:rFonts w:cs="宋体"/>
                <w:bCs/>
                <w:lang w:eastAsia="en-US"/>
              </w:rPr>
            </w:pPr>
            <w:r>
              <w:rPr>
                <w:rFonts w:cs="宋体"/>
                <w:bCs/>
              </w:rPr>
              <w:t>314,116,220</w:t>
            </w:r>
          </w:p>
        </w:tc>
      </w:tr>
      <w:tr w:rsidR="005E000F" w14:paraId="3AC61222" w14:textId="77777777">
        <w:trPr>
          <w:cantSplit/>
        </w:trPr>
        <w:tc>
          <w:tcPr>
            <w:tcW w:w="701" w:type="pct"/>
            <w:tcBorders>
              <w:top w:val="single" w:sz="4" w:space="0" w:color="auto"/>
              <w:left w:val="single" w:sz="4" w:space="0" w:color="auto"/>
              <w:bottom w:val="single" w:sz="4" w:space="0" w:color="auto"/>
              <w:right w:val="single" w:sz="4" w:space="0" w:color="auto"/>
            </w:tcBorders>
            <w:vAlign w:val="center"/>
          </w:tcPr>
          <w:p w14:paraId="1B19837C" w14:textId="77777777" w:rsidR="005E000F" w:rsidRDefault="00000000">
            <w:pPr>
              <w:autoSpaceDE w:val="0"/>
              <w:autoSpaceDN w:val="0"/>
              <w:adjustRightInd w:val="0"/>
              <w:jc w:val="center"/>
            </w:pPr>
            <w:r>
              <w:rPr>
                <w:rFonts w:hint="eastAsia"/>
              </w:rPr>
              <w:t>合计</w:t>
            </w:r>
          </w:p>
        </w:tc>
        <w:tc>
          <w:tcPr>
            <w:tcW w:w="505" w:type="pct"/>
            <w:tcBorders>
              <w:top w:val="single" w:sz="4" w:space="0" w:color="auto"/>
              <w:left w:val="single" w:sz="4" w:space="0" w:color="auto"/>
              <w:bottom w:val="single" w:sz="4" w:space="0" w:color="auto"/>
              <w:right w:val="single" w:sz="4" w:space="0" w:color="auto"/>
            </w:tcBorders>
            <w:vAlign w:val="center"/>
          </w:tcPr>
          <w:p w14:paraId="3CD5E8B4" w14:textId="77777777" w:rsidR="005E000F" w:rsidRDefault="00000000">
            <w:pPr>
              <w:jc w:val="right"/>
              <w:rPr>
                <w:rFonts w:cs="宋体"/>
                <w:bCs/>
              </w:rPr>
            </w:pPr>
            <w:r>
              <w:rPr>
                <w:rFonts w:cs="宋体"/>
                <w:bCs/>
              </w:rPr>
              <w:t>4,144,001,299</w:t>
            </w:r>
          </w:p>
        </w:tc>
        <w:tc>
          <w:tcPr>
            <w:tcW w:w="343" w:type="pct"/>
            <w:tcBorders>
              <w:top w:val="single" w:sz="4" w:space="0" w:color="auto"/>
              <w:left w:val="single" w:sz="4" w:space="0" w:color="auto"/>
              <w:bottom w:val="single" w:sz="4" w:space="0" w:color="auto"/>
              <w:right w:val="single" w:sz="4" w:space="0" w:color="auto"/>
            </w:tcBorders>
            <w:vAlign w:val="center"/>
          </w:tcPr>
          <w:p w14:paraId="754D0982" w14:textId="77777777" w:rsidR="005E000F" w:rsidRDefault="00000000">
            <w:pPr>
              <w:jc w:val="right"/>
            </w:pPr>
            <w:r>
              <w:rPr>
                <w:rFonts w:hint="eastAsia"/>
              </w:rPr>
              <w:t>/</w:t>
            </w:r>
          </w:p>
        </w:tc>
        <w:tc>
          <w:tcPr>
            <w:tcW w:w="412" w:type="pct"/>
            <w:tcBorders>
              <w:top w:val="single" w:sz="4" w:space="0" w:color="auto"/>
              <w:left w:val="single" w:sz="4" w:space="0" w:color="auto"/>
              <w:bottom w:val="single" w:sz="4" w:space="0" w:color="auto"/>
              <w:right w:val="single" w:sz="4" w:space="0" w:color="auto"/>
            </w:tcBorders>
            <w:vAlign w:val="center"/>
          </w:tcPr>
          <w:p w14:paraId="2772A6BB" w14:textId="77777777" w:rsidR="005E000F" w:rsidRDefault="00000000">
            <w:pPr>
              <w:jc w:val="right"/>
            </w:pPr>
            <w:r>
              <w:rPr>
                <w:rFonts w:cs="宋体"/>
                <w:bCs/>
              </w:rPr>
              <w:t>70,780,90</w:t>
            </w:r>
            <w:r>
              <w:rPr>
                <w:rFonts w:cs="宋体" w:hint="eastAsia"/>
                <w:bCs/>
              </w:rPr>
              <w:t>8</w:t>
            </w:r>
          </w:p>
        </w:tc>
        <w:tc>
          <w:tcPr>
            <w:tcW w:w="353" w:type="pct"/>
            <w:tcBorders>
              <w:top w:val="single" w:sz="4" w:space="0" w:color="auto"/>
              <w:left w:val="single" w:sz="4" w:space="0" w:color="auto"/>
              <w:bottom w:val="single" w:sz="4" w:space="0" w:color="auto"/>
              <w:right w:val="single" w:sz="4" w:space="0" w:color="auto"/>
            </w:tcBorders>
            <w:vAlign w:val="center"/>
          </w:tcPr>
          <w:p w14:paraId="747319FD" w14:textId="77777777" w:rsidR="005E000F" w:rsidRDefault="00000000">
            <w:pPr>
              <w:jc w:val="right"/>
            </w:pPr>
            <w:r>
              <w:rPr>
                <w:rFonts w:hint="eastAsia"/>
              </w:rPr>
              <w:t>/</w:t>
            </w:r>
          </w:p>
        </w:tc>
        <w:tc>
          <w:tcPr>
            <w:tcW w:w="506" w:type="pct"/>
            <w:tcBorders>
              <w:top w:val="single" w:sz="4" w:space="0" w:color="auto"/>
              <w:left w:val="single" w:sz="4" w:space="0" w:color="auto"/>
              <w:bottom w:val="single" w:sz="4" w:space="0" w:color="auto"/>
              <w:right w:val="single" w:sz="4" w:space="0" w:color="auto"/>
            </w:tcBorders>
            <w:vAlign w:val="center"/>
          </w:tcPr>
          <w:p w14:paraId="7EB8F8BD" w14:textId="77777777" w:rsidR="005E000F" w:rsidRDefault="00000000">
            <w:pPr>
              <w:jc w:val="right"/>
              <w:rPr>
                <w:rFonts w:cs="宋体"/>
                <w:bCs/>
              </w:rPr>
            </w:pPr>
            <w:r>
              <w:rPr>
                <w:rFonts w:cs="宋体"/>
                <w:bCs/>
              </w:rPr>
              <w:t>4,073,220,39</w:t>
            </w:r>
            <w:r>
              <w:rPr>
                <w:rFonts w:cs="宋体" w:hint="eastAsia"/>
                <w:bCs/>
              </w:rPr>
              <w:t>1</w:t>
            </w:r>
          </w:p>
        </w:tc>
        <w:tc>
          <w:tcPr>
            <w:tcW w:w="505" w:type="pct"/>
            <w:tcBorders>
              <w:top w:val="single" w:sz="4" w:space="0" w:color="auto"/>
              <w:left w:val="single" w:sz="4" w:space="0" w:color="auto"/>
              <w:bottom w:val="single" w:sz="4" w:space="0" w:color="auto"/>
              <w:right w:val="single" w:sz="4" w:space="0" w:color="auto"/>
            </w:tcBorders>
          </w:tcPr>
          <w:p w14:paraId="192B785A" w14:textId="77777777" w:rsidR="005E000F" w:rsidRDefault="00000000">
            <w:pPr>
              <w:jc w:val="right"/>
              <w:rPr>
                <w:rFonts w:cs="宋体"/>
                <w:bCs/>
                <w:lang w:eastAsia="en-US"/>
              </w:rPr>
            </w:pPr>
            <w:r>
              <w:rPr>
                <w:rFonts w:cs="宋体"/>
                <w:bCs/>
              </w:rPr>
              <w:t>4,825,948,318</w:t>
            </w:r>
          </w:p>
        </w:tc>
        <w:tc>
          <w:tcPr>
            <w:tcW w:w="352" w:type="pct"/>
            <w:tcBorders>
              <w:top w:val="single" w:sz="4" w:space="0" w:color="auto"/>
              <w:left w:val="single" w:sz="4" w:space="0" w:color="auto"/>
              <w:bottom w:val="single" w:sz="4" w:space="0" w:color="auto"/>
              <w:right w:val="single" w:sz="4" w:space="0" w:color="auto"/>
            </w:tcBorders>
          </w:tcPr>
          <w:p w14:paraId="33B4DAC1" w14:textId="77777777" w:rsidR="005E000F" w:rsidRDefault="00000000">
            <w:pPr>
              <w:jc w:val="right"/>
              <w:rPr>
                <w:rFonts w:cs="宋体"/>
                <w:bCs/>
                <w:lang w:eastAsia="en-US"/>
              </w:rPr>
            </w:pPr>
            <w:r>
              <w:rPr>
                <w:rFonts w:cs="宋体"/>
                <w:bCs/>
              </w:rPr>
              <w:t>/</w:t>
            </w:r>
          </w:p>
        </w:tc>
        <w:tc>
          <w:tcPr>
            <w:tcW w:w="449" w:type="pct"/>
            <w:tcBorders>
              <w:top w:val="single" w:sz="4" w:space="0" w:color="auto"/>
              <w:left w:val="single" w:sz="4" w:space="0" w:color="auto"/>
              <w:bottom w:val="single" w:sz="4" w:space="0" w:color="auto"/>
              <w:right w:val="single" w:sz="4" w:space="0" w:color="auto"/>
            </w:tcBorders>
          </w:tcPr>
          <w:p w14:paraId="3C38F195" w14:textId="77777777" w:rsidR="005E000F" w:rsidRDefault="00000000">
            <w:pPr>
              <w:jc w:val="right"/>
              <w:rPr>
                <w:rFonts w:cs="宋体"/>
                <w:bCs/>
                <w:lang w:eastAsia="en-US"/>
              </w:rPr>
            </w:pPr>
            <w:r>
              <w:rPr>
                <w:rFonts w:cs="宋体"/>
                <w:bCs/>
              </w:rPr>
              <w:t>124,281,927</w:t>
            </w:r>
          </w:p>
        </w:tc>
        <w:tc>
          <w:tcPr>
            <w:tcW w:w="361" w:type="pct"/>
            <w:tcBorders>
              <w:top w:val="single" w:sz="4" w:space="0" w:color="auto"/>
              <w:left w:val="single" w:sz="4" w:space="0" w:color="auto"/>
              <w:bottom w:val="single" w:sz="4" w:space="0" w:color="auto"/>
              <w:right w:val="single" w:sz="4" w:space="0" w:color="auto"/>
            </w:tcBorders>
          </w:tcPr>
          <w:p w14:paraId="6F98C84D" w14:textId="77777777" w:rsidR="005E000F" w:rsidRDefault="00000000">
            <w:pPr>
              <w:jc w:val="right"/>
              <w:rPr>
                <w:rFonts w:cs="宋体"/>
                <w:bCs/>
                <w:lang w:eastAsia="en-US"/>
              </w:rPr>
            </w:pPr>
            <w:r>
              <w:rPr>
                <w:rFonts w:cs="宋体"/>
                <w:bCs/>
              </w:rPr>
              <w:t>/</w:t>
            </w:r>
          </w:p>
        </w:tc>
        <w:tc>
          <w:tcPr>
            <w:tcW w:w="507" w:type="pct"/>
            <w:tcBorders>
              <w:top w:val="single" w:sz="4" w:space="0" w:color="auto"/>
              <w:left w:val="single" w:sz="4" w:space="0" w:color="auto"/>
              <w:bottom w:val="single" w:sz="4" w:space="0" w:color="auto"/>
              <w:right w:val="single" w:sz="4" w:space="0" w:color="auto"/>
            </w:tcBorders>
          </w:tcPr>
          <w:p w14:paraId="534936BF" w14:textId="77777777" w:rsidR="005E000F" w:rsidRDefault="00000000">
            <w:pPr>
              <w:jc w:val="right"/>
              <w:rPr>
                <w:rFonts w:cs="宋体"/>
                <w:bCs/>
                <w:lang w:eastAsia="en-US"/>
              </w:rPr>
            </w:pPr>
            <w:r>
              <w:rPr>
                <w:rFonts w:cs="宋体"/>
                <w:bCs/>
              </w:rPr>
              <w:t>4,701,666,391</w:t>
            </w:r>
          </w:p>
        </w:tc>
      </w:tr>
    </w:tbl>
    <w:p w14:paraId="5BB26689" w14:textId="77777777" w:rsidR="005E000F" w:rsidRDefault="005E000F">
      <w:pPr>
        <w:sectPr w:rsidR="005E000F">
          <w:pgSz w:w="16838" w:h="11906" w:orient="landscape"/>
          <w:pgMar w:top="1797" w:right="1525" w:bottom="1276" w:left="1440" w:header="856" w:footer="992" w:gutter="0"/>
          <w:cols w:space="425"/>
          <w:docGrid w:linePitch="312"/>
        </w:sectPr>
      </w:pPr>
    </w:p>
    <w:p w14:paraId="66147AD9" w14:textId="77777777" w:rsidR="005E000F" w:rsidRDefault="005E000F"/>
    <w:bookmarkEnd w:id="425"/>
    <w:p w14:paraId="3AB9B1F2" w14:textId="77777777" w:rsidR="005E000F" w:rsidRDefault="00000000">
      <w:r>
        <w:rPr>
          <w:rFonts w:hint="eastAsia"/>
        </w:rPr>
        <w:t>按单项计提坏账准备：</w:t>
      </w:r>
    </w:p>
    <w:sdt>
      <w:sdtPr>
        <w:alias w:val="是否适用：母公司应收账款按单项计提坏账准备[双击切换]"/>
        <w:tag w:val="_GBC_1cd34dae0bf14ebba3d99534844e7d95"/>
        <w:id w:val="-504829921"/>
        <w:placeholder>
          <w:docPart w:val="GBC22222222222222222222222222222"/>
        </w:placeholder>
      </w:sdtPr>
      <w:sdtContent>
        <w:p w14:paraId="00EC65F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8104811" w14:textId="77777777" w:rsidR="005E000F" w:rsidRDefault="005E000F">
      <w:bookmarkStart w:id="426" w:name="_Hlk533796752"/>
    </w:p>
    <w:p w14:paraId="73A96268" w14:textId="77777777" w:rsidR="005E000F" w:rsidRDefault="005E000F"/>
    <w:bookmarkEnd w:id="426" w:displacedByCustomXml="next"/>
    <w:sdt>
      <w:sdtPr>
        <w:tag w:val="_PLD_23aec57fe4b34ac2aa7d42cb52467101"/>
        <w:id w:val="229902521"/>
      </w:sdtPr>
      <w:sdtContent>
        <w:p w14:paraId="443117E5" w14:textId="77777777" w:rsidR="005E000F" w:rsidRDefault="00000000">
          <w:r>
            <w:rPr>
              <w:rFonts w:hint="eastAsia"/>
            </w:rPr>
            <w:t>按组合计提坏账准备：</w:t>
          </w:r>
        </w:p>
      </w:sdtContent>
    </w:sdt>
    <w:sdt>
      <w:sdtPr>
        <w:alias w:val="是否适用：母公司应收账款按组合计提坏账准备[双击切换]"/>
        <w:tag w:val="_GBC_70ac43d24876403083fb1d281c12cd7e"/>
        <w:id w:val="-144427982"/>
        <w:placeholder>
          <w:docPart w:val="GBC22222222222222222222222222222"/>
        </w:placeholder>
      </w:sdtPr>
      <w:sdtContent>
        <w:p w14:paraId="2A6E81D6"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C77B9D1" w14:textId="77777777" w:rsidR="005E000F" w:rsidRDefault="00000000">
      <w:bookmarkStart w:id="427" w:name="_Hlk533796778"/>
      <w:r>
        <w:rPr>
          <w:rFonts w:hint="eastAsia"/>
        </w:rPr>
        <w:t>组合计提项目：</w:t>
      </w:r>
      <w:sdt>
        <w:sdtPr>
          <w:rPr>
            <w:rFonts w:hint="eastAsia"/>
          </w:rPr>
          <w:alias w:val="按组合计提坏账准备的应收账款明细-组合名称"/>
          <w:tag w:val="_GBC_f2cd2e7d8a6f493ebfd1838be7b87223"/>
          <w:id w:val="-1133941509"/>
          <w:placeholder>
            <w:docPart w:val="GBC22222222222222222222222222222"/>
          </w:placeholder>
          <w:comboBox/>
        </w:sdtPr>
        <w:sdtContent>
          <w:r>
            <w:rPr>
              <w:rFonts w:hint="eastAsia"/>
            </w:rPr>
            <w:t>组合</w:t>
          </w:r>
          <w:proofErr w:type="gramStart"/>
          <w:r>
            <w:rPr>
              <w:rFonts w:hint="eastAsia"/>
            </w:rPr>
            <w:t>一</w:t>
          </w:r>
          <w:proofErr w:type="gramEnd"/>
        </w:sdtContent>
      </w:sdt>
    </w:p>
    <w:p w14:paraId="48208747" w14:textId="77777777" w:rsidR="005E000F" w:rsidRDefault="00000000">
      <w:pPr>
        <w:autoSpaceDE w:val="0"/>
        <w:autoSpaceDN w:val="0"/>
        <w:adjustRightInd w:val="0"/>
        <w:ind w:left="5880" w:right="105"/>
        <w:jc w:val="right"/>
      </w:pPr>
      <w:r>
        <w:rPr>
          <w:rFonts w:hint="eastAsia"/>
        </w:rPr>
        <w:t>单位：</w:t>
      </w:r>
      <w:sdt>
        <w:sdtPr>
          <w:rPr>
            <w:rFonts w:hint="eastAsia"/>
          </w:rPr>
          <w:alias w:val="单位：母公司应收账款按组合计提坏账准备"/>
          <w:tag w:val="_GBC_2da079c1515b4a8f95770937142fdccb"/>
          <w:id w:val="5707815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应收账款按组合计提坏账准备"/>
          <w:tag w:val="_GBC_f64b56aa027540f0b7ab78abc6fef514"/>
          <w:id w:val="12574636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2309"/>
        <w:gridCol w:w="2350"/>
        <w:gridCol w:w="2294"/>
      </w:tblGrid>
      <w:tr w:rsidR="005E000F" w14:paraId="0973B18B" w14:textId="77777777">
        <w:sdt>
          <w:sdtPr>
            <w:tag w:val="_PLD_685d7e84e47740668b70cce04f42de5b"/>
            <w:id w:val="1862855546"/>
          </w:sdtPr>
          <w:sdtContent>
            <w:tc>
              <w:tcPr>
                <w:tcW w:w="2095" w:type="dxa"/>
                <w:vMerge w:val="restart"/>
                <w:vAlign w:val="center"/>
              </w:tcPr>
              <w:p w14:paraId="22F28E7A" w14:textId="77777777" w:rsidR="005E000F" w:rsidRDefault="00000000">
                <w:pPr>
                  <w:jc w:val="center"/>
                </w:pPr>
                <w:r>
                  <w:rPr>
                    <w:rFonts w:hint="eastAsia"/>
                  </w:rPr>
                  <w:t>名称</w:t>
                </w:r>
              </w:p>
            </w:tc>
          </w:sdtContent>
        </w:sdt>
        <w:sdt>
          <w:sdtPr>
            <w:tag w:val="_PLD_80bd7906b1fa41658076794e93d74585"/>
            <w:id w:val="504943204"/>
          </w:sdtPr>
          <w:sdtContent>
            <w:tc>
              <w:tcPr>
                <w:tcW w:w="6953" w:type="dxa"/>
                <w:gridSpan w:val="3"/>
                <w:vAlign w:val="center"/>
              </w:tcPr>
              <w:p w14:paraId="4E50B66F" w14:textId="77777777" w:rsidR="005E000F" w:rsidRDefault="00000000">
                <w:pPr>
                  <w:jc w:val="center"/>
                </w:pPr>
                <w:r>
                  <w:rPr>
                    <w:rFonts w:hint="eastAsia"/>
                  </w:rPr>
                  <w:t>期末余额</w:t>
                </w:r>
              </w:p>
            </w:tc>
          </w:sdtContent>
        </w:sdt>
      </w:tr>
      <w:tr w:rsidR="005E000F" w14:paraId="31C610B3" w14:textId="77777777">
        <w:tc>
          <w:tcPr>
            <w:tcW w:w="2095" w:type="dxa"/>
            <w:vMerge/>
            <w:vAlign w:val="center"/>
          </w:tcPr>
          <w:p w14:paraId="366EE695" w14:textId="77777777" w:rsidR="005E000F" w:rsidRDefault="005E000F">
            <w:pPr>
              <w:jc w:val="center"/>
            </w:pPr>
          </w:p>
        </w:tc>
        <w:sdt>
          <w:sdtPr>
            <w:tag w:val="_PLD_696cb3bb4809472f88c41396728262f5"/>
            <w:id w:val="-1359579582"/>
          </w:sdtPr>
          <w:sdtContent>
            <w:tc>
              <w:tcPr>
                <w:tcW w:w="2309" w:type="dxa"/>
                <w:vAlign w:val="center"/>
              </w:tcPr>
              <w:p w14:paraId="5790A7BC" w14:textId="77777777" w:rsidR="005E000F" w:rsidRDefault="00000000">
                <w:pPr>
                  <w:jc w:val="center"/>
                </w:pPr>
                <w:r>
                  <w:rPr>
                    <w:rFonts w:hint="eastAsia"/>
                  </w:rPr>
                  <w:t>账面余额</w:t>
                </w:r>
              </w:p>
            </w:tc>
          </w:sdtContent>
        </w:sdt>
        <w:sdt>
          <w:sdtPr>
            <w:tag w:val="_PLD_70e2c6a60e9b4f08bbbb1a23cd403ade"/>
            <w:id w:val="501096711"/>
          </w:sdtPr>
          <w:sdtContent>
            <w:tc>
              <w:tcPr>
                <w:tcW w:w="2350" w:type="dxa"/>
                <w:vAlign w:val="center"/>
              </w:tcPr>
              <w:p w14:paraId="637FCDAF" w14:textId="77777777" w:rsidR="005E000F" w:rsidRDefault="00000000">
                <w:pPr>
                  <w:jc w:val="center"/>
                </w:pPr>
                <w:r>
                  <w:rPr>
                    <w:rFonts w:hint="eastAsia"/>
                  </w:rPr>
                  <w:t>坏账准备</w:t>
                </w:r>
              </w:p>
            </w:tc>
          </w:sdtContent>
        </w:sdt>
        <w:sdt>
          <w:sdtPr>
            <w:tag w:val="_PLD_1fd76d95bed54fc5b0c669cf7b1d5e18"/>
            <w:id w:val="1312215835"/>
          </w:sdtPr>
          <w:sdtContent>
            <w:tc>
              <w:tcPr>
                <w:tcW w:w="2294" w:type="dxa"/>
                <w:vAlign w:val="center"/>
              </w:tcPr>
              <w:p w14:paraId="39028C1D" w14:textId="77777777" w:rsidR="005E000F" w:rsidRDefault="00000000">
                <w:pPr>
                  <w:jc w:val="center"/>
                </w:pPr>
                <w:r>
                  <w:t>计提比例</w:t>
                </w:r>
                <w:r>
                  <w:rPr>
                    <w:rFonts w:hint="eastAsia"/>
                  </w:rPr>
                  <w:t>（</w:t>
                </w:r>
                <w:r>
                  <w:rPr>
                    <w:rFonts w:hint="eastAsia"/>
                  </w:rPr>
                  <w:t>%</w:t>
                </w:r>
                <w:r>
                  <w:rPr>
                    <w:rFonts w:hint="eastAsia"/>
                  </w:rPr>
                  <w:t>）</w:t>
                </w:r>
              </w:p>
            </w:tc>
          </w:sdtContent>
        </w:sdt>
      </w:tr>
      <w:tr w:rsidR="005E000F" w14:paraId="4DE7DDFB" w14:textId="77777777">
        <w:tc>
          <w:tcPr>
            <w:tcW w:w="2095" w:type="dxa"/>
            <w:vAlign w:val="center"/>
          </w:tcPr>
          <w:p w14:paraId="167B668A" w14:textId="77777777" w:rsidR="005E000F" w:rsidRDefault="00000000">
            <w:r>
              <w:rPr>
                <w:rFonts w:hint="eastAsia"/>
              </w:rPr>
              <w:t>组合</w:t>
            </w:r>
            <w:proofErr w:type="gramStart"/>
            <w:r>
              <w:rPr>
                <w:rFonts w:hint="eastAsia"/>
              </w:rPr>
              <w:t>一</w:t>
            </w:r>
            <w:proofErr w:type="gramEnd"/>
          </w:p>
        </w:tc>
        <w:tc>
          <w:tcPr>
            <w:tcW w:w="2309" w:type="dxa"/>
            <w:vAlign w:val="center"/>
          </w:tcPr>
          <w:p w14:paraId="171988DD" w14:textId="77777777" w:rsidR="005E000F" w:rsidRDefault="00000000">
            <w:pPr>
              <w:jc w:val="right"/>
            </w:pPr>
            <w:r>
              <w:t>3,546,865,207</w:t>
            </w:r>
          </w:p>
        </w:tc>
        <w:tc>
          <w:tcPr>
            <w:tcW w:w="2350" w:type="dxa"/>
            <w:vAlign w:val="center"/>
          </w:tcPr>
          <w:p w14:paraId="49A439C3" w14:textId="77777777" w:rsidR="005E000F" w:rsidRDefault="00000000">
            <w:pPr>
              <w:jc w:val="right"/>
            </w:pPr>
            <w:r>
              <w:t>68,828,254</w:t>
            </w:r>
          </w:p>
        </w:tc>
        <w:tc>
          <w:tcPr>
            <w:tcW w:w="2294" w:type="dxa"/>
            <w:vAlign w:val="center"/>
          </w:tcPr>
          <w:p w14:paraId="3C48BF83" w14:textId="77777777" w:rsidR="005E000F" w:rsidRDefault="00000000">
            <w:pPr>
              <w:jc w:val="right"/>
            </w:pPr>
            <w:r>
              <w:t>1.94</w:t>
            </w:r>
          </w:p>
        </w:tc>
      </w:tr>
      <w:tr w:rsidR="005E000F" w14:paraId="2EBC1767" w14:textId="77777777">
        <w:tc>
          <w:tcPr>
            <w:tcW w:w="2095" w:type="dxa"/>
            <w:vAlign w:val="center"/>
          </w:tcPr>
          <w:p w14:paraId="533BB468" w14:textId="77777777" w:rsidR="005E000F" w:rsidRDefault="00000000">
            <w:pPr>
              <w:jc w:val="center"/>
            </w:pPr>
            <w:r>
              <w:rPr>
                <w:rFonts w:hint="eastAsia"/>
              </w:rPr>
              <w:t>合计</w:t>
            </w:r>
          </w:p>
        </w:tc>
        <w:tc>
          <w:tcPr>
            <w:tcW w:w="2309" w:type="dxa"/>
            <w:vAlign w:val="center"/>
          </w:tcPr>
          <w:p w14:paraId="3484EBE6" w14:textId="77777777" w:rsidR="005E000F" w:rsidRDefault="00000000">
            <w:pPr>
              <w:jc w:val="right"/>
            </w:pPr>
            <w:r>
              <w:t>3,546,865,207</w:t>
            </w:r>
          </w:p>
        </w:tc>
        <w:tc>
          <w:tcPr>
            <w:tcW w:w="2350" w:type="dxa"/>
            <w:vAlign w:val="center"/>
          </w:tcPr>
          <w:p w14:paraId="6A5AA288" w14:textId="77777777" w:rsidR="005E000F" w:rsidRDefault="00000000">
            <w:pPr>
              <w:jc w:val="right"/>
            </w:pPr>
            <w:r>
              <w:t>68,828,254</w:t>
            </w:r>
          </w:p>
        </w:tc>
        <w:tc>
          <w:tcPr>
            <w:tcW w:w="2294" w:type="dxa"/>
            <w:vAlign w:val="center"/>
          </w:tcPr>
          <w:p w14:paraId="321A1C4A" w14:textId="77777777" w:rsidR="005E000F" w:rsidRDefault="00000000">
            <w:pPr>
              <w:jc w:val="right"/>
            </w:pPr>
            <w:r>
              <w:t>1.94</w:t>
            </w:r>
          </w:p>
        </w:tc>
      </w:tr>
    </w:tbl>
    <w:p w14:paraId="00DAA011" w14:textId="77777777" w:rsidR="005E000F" w:rsidRDefault="005E000F"/>
    <w:p w14:paraId="5E3B50E4" w14:textId="77777777" w:rsidR="005E000F" w:rsidRDefault="00000000">
      <w:r>
        <w:rPr>
          <w:rFonts w:hint="eastAsia"/>
        </w:rPr>
        <w:t>组合计提项目：</w:t>
      </w:r>
      <w:sdt>
        <w:sdtPr>
          <w:rPr>
            <w:rFonts w:hint="eastAsia"/>
          </w:rPr>
          <w:alias w:val="按组合计提坏账准备的应收账款明细-组合名称"/>
          <w:tag w:val="_GBC_f2cd2e7d8a6f493ebfd1838be7b87223"/>
          <w:id w:val="147464611"/>
          <w:placeholder>
            <w:docPart w:val="{44c6a9d6-0fd1-4c6c-a1e1-4a844a3a7582}"/>
          </w:placeholder>
          <w:comboBox/>
        </w:sdtPr>
        <w:sdtContent>
          <w:r>
            <w:rPr>
              <w:rFonts w:hint="eastAsia"/>
            </w:rPr>
            <w:t>组合二</w:t>
          </w:r>
        </w:sdtContent>
      </w:sdt>
    </w:p>
    <w:p w14:paraId="249B14D2" w14:textId="77777777" w:rsidR="005E000F" w:rsidRDefault="00000000">
      <w:pPr>
        <w:autoSpaceDE w:val="0"/>
        <w:autoSpaceDN w:val="0"/>
        <w:adjustRightInd w:val="0"/>
        <w:ind w:left="5880" w:right="105"/>
        <w:jc w:val="right"/>
      </w:pPr>
      <w:r>
        <w:rPr>
          <w:rFonts w:hint="eastAsia"/>
        </w:rPr>
        <w:t>单位：</w:t>
      </w:r>
      <w:sdt>
        <w:sdtPr>
          <w:rPr>
            <w:rFonts w:hint="eastAsia"/>
          </w:rPr>
          <w:alias w:val="单位：母公司应收账款按组合计提坏账准备"/>
          <w:tag w:val="_GBC_2da079c1515b4a8f95770937142fdccb"/>
          <w:id w:val="147466121"/>
          <w:placeholder>
            <w:docPart w:val="{44c6a9d6-0fd1-4c6c-a1e1-4a844a3a758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应收账款按组合计提坏账准备"/>
          <w:tag w:val="_GBC_f64b56aa027540f0b7ab78abc6fef514"/>
          <w:id w:val="147480581"/>
          <w:placeholder>
            <w:docPart w:val="{44c6a9d6-0fd1-4c6c-a1e1-4a844a3a758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5"/>
        <w:gridCol w:w="2309"/>
        <w:gridCol w:w="2350"/>
        <w:gridCol w:w="2294"/>
      </w:tblGrid>
      <w:tr w:rsidR="005E000F" w14:paraId="30F9249E" w14:textId="77777777">
        <w:sdt>
          <w:sdtPr>
            <w:tag w:val="_PLD_685d7e84e47740668b70cce04f42de5b"/>
            <w:id w:val="147472794"/>
          </w:sdtPr>
          <w:sdtContent>
            <w:tc>
              <w:tcPr>
                <w:tcW w:w="2095" w:type="dxa"/>
                <w:vMerge w:val="restart"/>
                <w:vAlign w:val="center"/>
              </w:tcPr>
              <w:p w14:paraId="6C7A80FF" w14:textId="77777777" w:rsidR="005E000F" w:rsidRDefault="00000000">
                <w:pPr>
                  <w:jc w:val="center"/>
                </w:pPr>
                <w:r>
                  <w:rPr>
                    <w:rFonts w:hint="eastAsia"/>
                  </w:rPr>
                  <w:t>名称</w:t>
                </w:r>
              </w:p>
            </w:tc>
          </w:sdtContent>
        </w:sdt>
        <w:sdt>
          <w:sdtPr>
            <w:tag w:val="_PLD_80bd7906b1fa41658076794e93d74585"/>
            <w:id w:val="147455761"/>
          </w:sdtPr>
          <w:sdtContent>
            <w:tc>
              <w:tcPr>
                <w:tcW w:w="6953" w:type="dxa"/>
                <w:gridSpan w:val="3"/>
                <w:vAlign w:val="center"/>
              </w:tcPr>
              <w:p w14:paraId="32B3A622" w14:textId="77777777" w:rsidR="005E000F" w:rsidRDefault="00000000">
                <w:pPr>
                  <w:jc w:val="center"/>
                </w:pPr>
                <w:r>
                  <w:rPr>
                    <w:rFonts w:hint="eastAsia"/>
                  </w:rPr>
                  <w:t>期末余额</w:t>
                </w:r>
              </w:p>
            </w:tc>
          </w:sdtContent>
        </w:sdt>
      </w:tr>
      <w:tr w:rsidR="005E000F" w14:paraId="3E8E30E0" w14:textId="77777777">
        <w:tc>
          <w:tcPr>
            <w:tcW w:w="2095" w:type="dxa"/>
            <w:vMerge/>
            <w:vAlign w:val="center"/>
          </w:tcPr>
          <w:p w14:paraId="60FE9910" w14:textId="77777777" w:rsidR="005E000F" w:rsidRDefault="005E000F">
            <w:pPr>
              <w:jc w:val="center"/>
            </w:pPr>
          </w:p>
        </w:tc>
        <w:sdt>
          <w:sdtPr>
            <w:tag w:val="_PLD_696cb3bb4809472f88c41396728262f5"/>
            <w:id w:val="147478040"/>
          </w:sdtPr>
          <w:sdtContent>
            <w:tc>
              <w:tcPr>
                <w:tcW w:w="2309" w:type="dxa"/>
                <w:vAlign w:val="center"/>
              </w:tcPr>
              <w:p w14:paraId="2242E896" w14:textId="77777777" w:rsidR="005E000F" w:rsidRDefault="00000000">
                <w:pPr>
                  <w:jc w:val="center"/>
                </w:pPr>
                <w:r>
                  <w:rPr>
                    <w:rFonts w:hint="eastAsia"/>
                  </w:rPr>
                  <w:t>账面余额</w:t>
                </w:r>
              </w:p>
            </w:tc>
          </w:sdtContent>
        </w:sdt>
        <w:sdt>
          <w:sdtPr>
            <w:tag w:val="_PLD_70e2c6a60e9b4f08bbbb1a23cd403ade"/>
            <w:id w:val="147472524"/>
          </w:sdtPr>
          <w:sdtContent>
            <w:tc>
              <w:tcPr>
                <w:tcW w:w="2350" w:type="dxa"/>
                <w:vAlign w:val="center"/>
              </w:tcPr>
              <w:p w14:paraId="7BE179F0" w14:textId="77777777" w:rsidR="005E000F" w:rsidRDefault="00000000">
                <w:pPr>
                  <w:jc w:val="center"/>
                </w:pPr>
                <w:r>
                  <w:rPr>
                    <w:rFonts w:hint="eastAsia"/>
                  </w:rPr>
                  <w:t>坏账准备</w:t>
                </w:r>
              </w:p>
            </w:tc>
          </w:sdtContent>
        </w:sdt>
        <w:sdt>
          <w:sdtPr>
            <w:tag w:val="_PLD_1fd76d95bed54fc5b0c669cf7b1d5e18"/>
            <w:id w:val="147462439"/>
          </w:sdtPr>
          <w:sdtContent>
            <w:tc>
              <w:tcPr>
                <w:tcW w:w="2294" w:type="dxa"/>
                <w:vAlign w:val="center"/>
              </w:tcPr>
              <w:p w14:paraId="140FD5EA" w14:textId="77777777" w:rsidR="005E000F" w:rsidRDefault="00000000">
                <w:pPr>
                  <w:jc w:val="center"/>
                </w:pPr>
                <w:r>
                  <w:t>计提比例</w:t>
                </w:r>
                <w:r>
                  <w:rPr>
                    <w:rFonts w:hint="eastAsia"/>
                  </w:rPr>
                  <w:t>（</w:t>
                </w:r>
                <w:r>
                  <w:rPr>
                    <w:rFonts w:hint="eastAsia"/>
                  </w:rPr>
                  <w:t>%</w:t>
                </w:r>
                <w:r>
                  <w:rPr>
                    <w:rFonts w:hint="eastAsia"/>
                  </w:rPr>
                  <w:t>）</w:t>
                </w:r>
              </w:p>
            </w:tc>
          </w:sdtContent>
        </w:sdt>
      </w:tr>
      <w:tr w:rsidR="005E000F" w14:paraId="0BC1DC7A" w14:textId="77777777">
        <w:tc>
          <w:tcPr>
            <w:tcW w:w="2095" w:type="dxa"/>
            <w:vAlign w:val="center"/>
          </w:tcPr>
          <w:p w14:paraId="6FF5C40F" w14:textId="77777777" w:rsidR="005E000F" w:rsidRDefault="00000000">
            <w:r>
              <w:rPr>
                <w:rFonts w:hint="eastAsia"/>
              </w:rPr>
              <w:t>组合二</w:t>
            </w:r>
          </w:p>
        </w:tc>
        <w:tc>
          <w:tcPr>
            <w:tcW w:w="2309" w:type="dxa"/>
            <w:vAlign w:val="center"/>
          </w:tcPr>
          <w:p w14:paraId="426F669D" w14:textId="77777777" w:rsidR="005E000F" w:rsidRDefault="00000000">
            <w:pPr>
              <w:jc w:val="right"/>
            </w:pPr>
            <w:r>
              <w:t>597,136,092</w:t>
            </w:r>
          </w:p>
        </w:tc>
        <w:tc>
          <w:tcPr>
            <w:tcW w:w="2350" w:type="dxa"/>
            <w:vAlign w:val="center"/>
          </w:tcPr>
          <w:p w14:paraId="46C075EB" w14:textId="77777777" w:rsidR="005E000F" w:rsidRDefault="00000000">
            <w:pPr>
              <w:jc w:val="right"/>
            </w:pPr>
            <w:r>
              <w:t>1,952,65</w:t>
            </w:r>
            <w:r>
              <w:rPr>
                <w:rFonts w:hint="eastAsia"/>
              </w:rPr>
              <w:t>4</w:t>
            </w:r>
          </w:p>
        </w:tc>
        <w:tc>
          <w:tcPr>
            <w:tcW w:w="2294" w:type="dxa"/>
            <w:vAlign w:val="center"/>
          </w:tcPr>
          <w:p w14:paraId="60788CE3" w14:textId="77777777" w:rsidR="005E000F" w:rsidRDefault="00000000">
            <w:pPr>
              <w:jc w:val="right"/>
            </w:pPr>
            <w:r>
              <w:t>0.33</w:t>
            </w:r>
          </w:p>
        </w:tc>
      </w:tr>
      <w:tr w:rsidR="005E000F" w14:paraId="69B1E48D" w14:textId="77777777">
        <w:tc>
          <w:tcPr>
            <w:tcW w:w="2095" w:type="dxa"/>
            <w:vAlign w:val="center"/>
          </w:tcPr>
          <w:p w14:paraId="2733D909" w14:textId="77777777" w:rsidR="005E000F" w:rsidRDefault="00000000">
            <w:pPr>
              <w:jc w:val="center"/>
            </w:pPr>
            <w:r>
              <w:rPr>
                <w:rFonts w:hint="eastAsia"/>
              </w:rPr>
              <w:t>合计</w:t>
            </w:r>
          </w:p>
        </w:tc>
        <w:tc>
          <w:tcPr>
            <w:tcW w:w="2309" w:type="dxa"/>
            <w:vAlign w:val="center"/>
          </w:tcPr>
          <w:p w14:paraId="0B1A0843" w14:textId="77777777" w:rsidR="005E000F" w:rsidRDefault="00000000">
            <w:pPr>
              <w:jc w:val="right"/>
            </w:pPr>
            <w:r>
              <w:t>597,136,092</w:t>
            </w:r>
          </w:p>
        </w:tc>
        <w:tc>
          <w:tcPr>
            <w:tcW w:w="2350" w:type="dxa"/>
            <w:vAlign w:val="center"/>
          </w:tcPr>
          <w:p w14:paraId="00BBAB97" w14:textId="77777777" w:rsidR="005E000F" w:rsidRDefault="00000000">
            <w:pPr>
              <w:jc w:val="right"/>
            </w:pPr>
            <w:r>
              <w:t>1,952,65</w:t>
            </w:r>
            <w:r>
              <w:rPr>
                <w:rFonts w:hint="eastAsia"/>
              </w:rPr>
              <w:t>4</w:t>
            </w:r>
          </w:p>
        </w:tc>
        <w:tc>
          <w:tcPr>
            <w:tcW w:w="2294" w:type="dxa"/>
            <w:vAlign w:val="center"/>
          </w:tcPr>
          <w:p w14:paraId="3AB26AA4" w14:textId="77777777" w:rsidR="005E000F" w:rsidRDefault="00000000">
            <w:pPr>
              <w:jc w:val="right"/>
            </w:pPr>
            <w:r>
              <w:t>0.33</w:t>
            </w:r>
          </w:p>
        </w:tc>
      </w:tr>
    </w:tbl>
    <w:p w14:paraId="6899EBC2" w14:textId="77777777" w:rsidR="005E000F" w:rsidRDefault="005E000F"/>
    <w:p w14:paraId="73F658F3" w14:textId="77777777" w:rsidR="005E000F" w:rsidRDefault="005E000F"/>
    <w:p w14:paraId="4CBF5C8F" w14:textId="77777777" w:rsidR="005E000F" w:rsidRDefault="00000000">
      <w:r>
        <w:rPr>
          <w:rFonts w:hint="eastAsia"/>
        </w:rPr>
        <w:t>按组合计提坏账准备的说明：</w:t>
      </w:r>
    </w:p>
    <w:sdt>
      <w:sdtPr>
        <w:alias w:val="是否适用：母公司应收账款按组合计提坏账的确认标准及说明[双击切换]"/>
        <w:tag w:val="_GBC_63044b38e77844689beec86348cdea93"/>
        <w:id w:val="325174198"/>
        <w:placeholder>
          <w:docPart w:val="GBC22222222222222222222222222222"/>
        </w:placeholder>
      </w:sdtPr>
      <w:sdtContent>
        <w:p w14:paraId="644EC492"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dt>
      <w:sdtPr>
        <w:alias w:val="按组合计提坏账准备的应收账款确认标准"/>
        <w:tag w:val="_GBC_805eac1ee4394c0cb635112a70e241dd"/>
        <w:id w:val="-1847780797"/>
        <w:placeholder>
          <w:docPart w:val="GBC22222222222222222222222222222"/>
        </w:placeholder>
      </w:sdtPr>
      <w:sdtContent>
        <w:sdt>
          <w:sdtPr>
            <w:rPr>
              <w:color w:val="000000" w:themeColor="text1"/>
            </w:rPr>
            <w:alias w:val="按组合计提坏账准备的应收账款确认标准"/>
            <w:tag w:val="_GBC_44764ec9190a45788b0ca783ff9fb361"/>
            <w:id w:val="-1911770827"/>
            <w:placeholder>
              <w:docPart w:val="{52b5b017-bc2f-444c-936b-478b0195a532}"/>
            </w:placeholder>
          </w:sdtPr>
          <w:sdtContent>
            <w:p w14:paraId="3CD80116" w14:textId="77777777" w:rsidR="005E000F" w:rsidRDefault="00000000">
              <w:pPr>
                <w:rPr>
                  <w:color w:val="000000" w:themeColor="text1"/>
                </w:rPr>
              </w:pPr>
              <w:r>
                <w:rPr>
                  <w:rFonts w:hint="eastAsia"/>
                  <w:color w:val="000000" w:themeColor="text1"/>
                </w:rPr>
                <w:t>本集团依据信用风险特征将应收账款划分为若干组合，在组合基础上计算预期信用损失，确定组合的标准如下：</w:t>
              </w:r>
            </w:p>
            <w:p w14:paraId="45AE7FFC" w14:textId="77777777" w:rsidR="005E000F" w:rsidRDefault="005E000F">
              <w:pPr>
                <w:rPr>
                  <w:color w:val="000000" w:themeColor="text1"/>
                </w:rPr>
              </w:pPr>
            </w:p>
            <w:p w14:paraId="5270BBF7" w14:textId="77777777" w:rsidR="005E000F" w:rsidRDefault="00000000">
              <w:pPr>
                <w:rPr>
                  <w:color w:val="000000" w:themeColor="text1"/>
                </w:rPr>
              </w:pPr>
              <w:r>
                <w:rPr>
                  <w:rFonts w:hint="eastAsia"/>
                  <w:color w:val="000000" w:themeColor="text1"/>
                </w:rPr>
                <w:t>组合</w:t>
              </w:r>
              <w:proofErr w:type="gramStart"/>
              <w:r>
                <w:rPr>
                  <w:rFonts w:hint="eastAsia"/>
                  <w:color w:val="000000" w:themeColor="text1"/>
                </w:rPr>
                <w:t>一</w:t>
              </w:r>
              <w:proofErr w:type="gramEnd"/>
              <w:r>
                <w:rPr>
                  <w:rFonts w:hint="eastAsia"/>
                  <w:color w:val="000000" w:themeColor="text1"/>
                </w:rPr>
                <w:t>：国铁集团及其下属单位</w:t>
              </w:r>
            </w:p>
            <w:p w14:paraId="49E7CF44" w14:textId="77777777" w:rsidR="005E000F" w:rsidRDefault="005E000F">
              <w:pPr>
                <w:rPr>
                  <w:color w:val="000000" w:themeColor="text1"/>
                </w:rPr>
              </w:pPr>
            </w:p>
            <w:p w14:paraId="5D074A0E" w14:textId="77777777" w:rsidR="005E000F" w:rsidRDefault="00000000">
              <w:pPr>
                <w:rPr>
                  <w:color w:val="000000" w:themeColor="text1"/>
                </w:rPr>
              </w:pPr>
              <w:r>
                <w:rPr>
                  <w:rFonts w:hint="eastAsia"/>
                  <w:color w:val="000000" w:themeColor="text1"/>
                </w:rPr>
                <w:t>组合二：</w:t>
              </w:r>
              <w:proofErr w:type="gramStart"/>
              <w:r>
                <w:rPr>
                  <w:rFonts w:hint="eastAsia"/>
                  <w:color w:val="000000" w:themeColor="text1"/>
                </w:rPr>
                <w:t>应收非</w:t>
              </w:r>
              <w:proofErr w:type="gramEnd"/>
              <w:r>
                <w:rPr>
                  <w:rFonts w:hint="eastAsia"/>
                  <w:color w:val="000000" w:themeColor="text1"/>
                </w:rPr>
                <w:t>关联方</w:t>
              </w:r>
            </w:p>
            <w:p w14:paraId="7BB0D991" w14:textId="77777777" w:rsidR="005E000F" w:rsidRDefault="005E000F">
              <w:pPr>
                <w:rPr>
                  <w:color w:val="000000" w:themeColor="text1"/>
                </w:rPr>
              </w:pPr>
            </w:p>
            <w:p w14:paraId="4A9791C0" w14:textId="77777777" w:rsidR="005E000F" w:rsidRDefault="00000000">
              <w:pPr>
                <w:rPr>
                  <w:color w:val="000000" w:themeColor="text1"/>
                </w:rPr>
              </w:pPr>
              <w:r>
                <w:rPr>
                  <w:rFonts w:hint="eastAsia"/>
                  <w:color w:val="000000" w:themeColor="text1"/>
                </w:rPr>
                <w:t>本集团始终按照相当于整个存续期内预期信用损失的金额计量应收账款的减值准备。按照本集团应收账款坏账准备的会计政策，管理层基于历史信用损失经验计算应收账款的预期信用损失，相关历史经验根据资产负债表日借款人的特定因素、以及对当前状况和未来经济状况预测的评估进行调整。</w:t>
              </w:r>
            </w:p>
          </w:sdtContent>
        </w:sdt>
        <w:p w14:paraId="33BF592E" w14:textId="77777777" w:rsidR="005E000F" w:rsidRDefault="00000000"/>
      </w:sdtContent>
    </w:sdt>
    <w:p w14:paraId="4ECCF8CD" w14:textId="77777777" w:rsidR="005E000F" w:rsidRDefault="005E000F"/>
    <w:p w14:paraId="2871A811" w14:textId="77777777" w:rsidR="005E000F" w:rsidRDefault="00000000">
      <w:bookmarkStart w:id="428" w:name="_Hlk534616017"/>
      <w:bookmarkEnd w:id="427"/>
      <w:r>
        <w:rPr>
          <w:rFonts w:hint="eastAsia"/>
        </w:rPr>
        <w:t>按预期信用损失一般模型计提坏账准备</w:t>
      </w:r>
    </w:p>
    <w:sdt>
      <w:sdtPr>
        <w:alias w:val="是否适用：母公司应收账款按一般预计信用损失模型计提坏账[双击切换]"/>
        <w:tag w:val="_GBC_681a6428f5004327ac9c72b5eb632f13"/>
        <w:id w:val="-934661496"/>
        <w:placeholder>
          <w:docPart w:val="GBC22222222222222222222222222222"/>
        </w:placeholder>
      </w:sdtPr>
      <w:sdtContent>
        <w:p w14:paraId="2B49549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73FECF8" w14:textId="77777777" w:rsidR="005E000F" w:rsidRDefault="005E000F"/>
    <w:p w14:paraId="2A72A915"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各阶段划分依据和坏账准备计提比例"/>
        <w:tag w:val="_GBC_715f45f6066e4ba295d3973a2eed903b"/>
        <w:id w:val="1915350403"/>
        <w:placeholder>
          <w:docPart w:val="GBC22222222222222222222222222222"/>
        </w:placeholder>
      </w:sdtPr>
      <w:sdtContent>
        <w:p w14:paraId="0BCD4CF2" w14:textId="77777777" w:rsidR="005E000F" w:rsidRDefault="00000000">
          <w:pPr>
            <w:rPr>
              <w:bCs/>
              <w:szCs w:val="22"/>
            </w:rPr>
          </w:pPr>
          <w:r>
            <w:rPr>
              <w:rFonts w:hint="eastAsia"/>
              <w:bCs/>
              <w:szCs w:val="22"/>
            </w:rPr>
            <w:t>无</w:t>
          </w:r>
        </w:p>
      </w:sdtContent>
    </w:sdt>
    <w:p w14:paraId="5E0D89DF" w14:textId="77777777" w:rsidR="005E000F" w:rsidRDefault="005E000F"/>
    <w:p w14:paraId="486F256D" w14:textId="77777777" w:rsidR="005E000F" w:rsidRDefault="00000000">
      <w:pPr>
        <w:pStyle w:val="affb"/>
      </w:pPr>
      <w:r>
        <w:rPr>
          <w:rFonts w:hint="eastAsia"/>
        </w:rPr>
        <w:t>对本期发生损失准备变动的应收账款账面余额显著变动的情况说明：</w:t>
      </w:r>
    </w:p>
    <w:sdt>
      <w:sdtPr>
        <w:alias w:val="是否适用：母公司对本期发生损失准备变动的账面余额显著变动的情况说明[双击切换]"/>
        <w:tag w:val="_GBC_2624b4d5ae5d4288ad7c6f9bcbcff810"/>
        <w:id w:val="464778639"/>
        <w:placeholder>
          <w:docPart w:val="GBC22222222222222222222222222222"/>
        </w:placeholder>
      </w:sdtPr>
      <w:sdtContent>
        <w:p w14:paraId="6AFB9246"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02772CD" w14:textId="77777777" w:rsidR="005E000F" w:rsidRDefault="005E000F"/>
    <w:p w14:paraId="146C078E" w14:textId="77777777" w:rsidR="005E000F" w:rsidRDefault="00000000">
      <w:pPr>
        <w:pStyle w:val="4"/>
        <w:numPr>
          <w:ilvl w:val="3"/>
          <w:numId w:val="131"/>
        </w:numPr>
        <w:ind w:left="426" w:hangingChars="202" w:hanging="426"/>
      </w:pPr>
      <w:bookmarkStart w:id="429" w:name="_Hlk534890665"/>
      <w:bookmarkEnd w:id="428"/>
      <w:r>
        <w:rPr>
          <w:rFonts w:hint="eastAsia"/>
        </w:rPr>
        <w:t>坏账准备的情况</w:t>
      </w:r>
    </w:p>
    <w:sdt>
      <w:sdtPr>
        <w:alias w:val="是否适用：母公司应收账款坏账准备情况[双击切换]"/>
        <w:tag w:val="_GBC_c4b273c4d86b423ea0abe5794b3a9a07"/>
        <w:id w:val="1964373722"/>
        <w:placeholder>
          <w:docPart w:val="GBC22222222222222222222222222222"/>
        </w:placeholder>
      </w:sdtPr>
      <w:sdtContent>
        <w:p w14:paraId="0F6A8757"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4D6C34A" w14:textId="77777777" w:rsidR="005E000F" w:rsidRDefault="00000000">
      <w:pPr>
        <w:pStyle w:val="aff8"/>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297876b5a195460cabc3796e317c400c"/>
          <w:id w:val="180017881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账款坏账准备情况"/>
          <w:tag w:val="_GBC_e88786d88c2b4853820fef447c6f542a"/>
          <w:id w:val="-15061221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1390"/>
        <w:gridCol w:w="1336"/>
        <w:gridCol w:w="1351"/>
        <w:gridCol w:w="1244"/>
        <w:gridCol w:w="1248"/>
        <w:gridCol w:w="1246"/>
        <w:gridCol w:w="1241"/>
      </w:tblGrid>
      <w:tr w:rsidR="005E000F" w14:paraId="4CD7E26F" w14:textId="77777777">
        <w:trPr>
          <w:jc w:val="center"/>
        </w:trPr>
        <w:sdt>
          <w:sdtPr>
            <w:tag w:val="_PLD_98300d230c0347eb87a2635ad51c1d00"/>
            <w:id w:val="206772891"/>
          </w:sdtPr>
          <w:sdtContent>
            <w:tc>
              <w:tcPr>
                <w:tcW w:w="1390" w:type="dxa"/>
                <w:vMerge w:val="restart"/>
                <w:shd w:val="clear" w:color="auto" w:fill="FFFFFF"/>
                <w:vAlign w:val="center"/>
              </w:tcPr>
              <w:p w14:paraId="3E0EA794" w14:textId="77777777" w:rsidR="005E000F" w:rsidRDefault="00000000">
                <w:pPr>
                  <w:widowControl w:val="0"/>
                  <w:jc w:val="center"/>
                </w:pPr>
                <w:r>
                  <w:t>类别</w:t>
                </w:r>
              </w:p>
            </w:tc>
          </w:sdtContent>
        </w:sdt>
        <w:sdt>
          <w:sdtPr>
            <w:tag w:val="_PLD_7769f2b383ef45cea01b90026bb353c2"/>
            <w:id w:val="86516893"/>
          </w:sdtPr>
          <w:sdtContent>
            <w:tc>
              <w:tcPr>
                <w:tcW w:w="1336" w:type="dxa"/>
                <w:vMerge w:val="restart"/>
                <w:shd w:val="clear" w:color="auto" w:fill="FFFFFF"/>
                <w:vAlign w:val="center"/>
              </w:tcPr>
              <w:p w14:paraId="533FAD5C" w14:textId="77777777" w:rsidR="005E000F" w:rsidRDefault="00000000">
                <w:pPr>
                  <w:widowControl w:val="0"/>
                  <w:jc w:val="center"/>
                </w:pPr>
                <w:r>
                  <w:t>期初余额</w:t>
                </w:r>
              </w:p>
            </w:tc>
          </w:sdtContent>
        </w:sdt>
        <w:sdt>
          <w:sdtPr>
            <w:tag w:val="_PLD_cd024d723ca84c77aded9d7b7313563b"/>
            <w:id w:val="2065289558"/>
          </w:sdtPr>
          <w:sdtContent>
            <w:tc>
              <w:tcPr>
                <w:tcW w:w="5089" w:type="dxa"/>
                <w:gridSpan w:val="4"/>
                <w:shd w:val="clear" w:color="auto" w:fill="FFFFFF"/>
                <w:vAlign w:val="center"/>
              </w:tcPr>
              <w:p w14:paraId="4CEA7F08" w14:textId="77777777" w:rsidR="005E000F" w:rsidRDefault="00000000">
                <w:pPr>
                  <w:widowControl w:val="0"/>
                  <w:jc w:val="center"/>
                </w:pPr>
                <w:r>
                  <w:rPr>
                    <w:rFonts w:hint="eastAsia"/>
                  </w:rPr>
                  <w:t>本期变动</w:t>
                </w:r>
                <w:r>
                  <w:t>金额</w:t>
                </w:r>
              </w:p>
            </w:tc>
          </w:sdtContent>
        </w:sdt>
        <w:sdt>
          <w:sdtPr>
            <w:tag w:val="_PLD_1225558b3fd34599bc2c3f9eb23fba1e"/>
            <w:id w:val="959767141"/>
          </w:sdtPr>
          <w:sdtContent>
            <w:tc>
              <w:tcPr>
                <w:tcW w:w="1241" w:type="dxa"/>
                <w:vMerge w:val="restart"/>
                <w:shd w:val="clear" w:color="auto" w:fill="FFFFFF"/>
                <w:vAlign w:val="center"/>
              </w:tcPr>
              <w:p w14:paraId="5B18433A" w14:textId="77777777" w:rsidR="005E000F" w:rsidRDefault="00000000">
                <w:pPr>
                  <w:widowControl w:val="0"/>
                  <w:jc w:val="center"/>
                </w:pPr>
                <w:r>
                  <w:t>期末余额</w:t>
                </w:r>
              </w:p>
            </w:tc>
          </w:sdtContent>
        </w:sdt>
      </w:tr>
      <w:tr w:rsidR="005E000F" w14:paraId="423E226F" w14:textId="77777777">
        <w:trPr>
          <w:jc w:val="center"/>
        </w:trPr>
        <w:tc>
          <w:tcPr>
            <w:tcW w:w="1390" w:type="dxa"/>
            <w:vMerge/>
            <w:shd w:val="clear" w:color="auto" w:fill="FFFFFF"/>
            <w:vAlign w:val="center"/>
          </w:tcPr>
          <w:p w14:paraId="1116986A" w14:textId="77777777" w:rsidR="005E000F" w:rsidRDefault="005E000F">
            <w:pPr>
              <w:widowControl w:val="0"/>
              <w:jc w:val="center"/>
            </w:pPr>
          </w:p>
        </w:tc>
        <w:tc>
          <w:tcPr>
            <w:tcW w:w="1336" w:type="dxa"/>
            <w:vMerge/>
            <w:shd w:val="clear" w:color="auto" w:fill="FFFFFF"/>
            <w:vAlign w:val="center"/>
          </w:tcPr>
          <w:p w14:paraId="2AE1D70D" w14:textId="77777777" w:rsidR="005E000F" w:rsidRDefault="005E000F">
            <w:pPr>
              <w:widowControl w:val="0"/>
              <w:jc w:val="center"/>
            </w:pPr>
          </w:p>
        </w:tc>
        <w:sdt>
          <w:sdtPr>
            <w:tag w:val="_PLD_3e1ba6e4785f430c89e70b3081ee1f0a"/>
            <w:id w:val="-1713334009"/>
          </w:sdtPr>
          <w:sdtContent>
            <w:tc>
              <w:tcPr>
                <w:tcW w:w="1351" w:type="dxa"/>
                <w:shd w:val="clear" w:color="auto" w:fill="FFFFFF"/>
                <w:vAlign w:val="center"/>
              </w:tcPr>
              <w:p w14:paraId="3503DE92" w14:textId="77777777" w:rsidR="005E000F" w:rsidRDefault="00000000">
                <w:pPr>
                  <w:widowControl w:val="0"/>
                  <w:jc w:val="center"/>
                </w:pPr>
                <w:r>
                  <w:t>计提</w:t>
                </w:r>
              </w:p>
            </w:tc>
          </w:sdtContent>
        </w:sdt>
        <w:sdt>
          <w:sdtPr>
            <w:tag w:val="_PLD_e1238ab8ec634edb975aa51e169f4488"/>
            <w:id w:val="-246964909"/>
          </w:sdtPr>
          <w:sdtContent>
            <w:tc>
              <w:tcPr>
                <w:tcW w:w="1244" w:type="dxa"/>
                <w:shd w:val="clear" w:color="auto" w:fill="FFFFFF"/>
                <w:vAlign w:val="center"/>
              </w:tcPr>
              <w:p w14:paraId="707E6080" w14:textId="77777777" w:rsidR="005E000F" w:rsidRDefault="00000000">
                <w:pPr>
                  <w:widowControl w:val="0"/>
                  <w:jc w:val="center"/>
                </w:pPr>
                <w:r>
                  <w:rPr>
                    <w:rFonts w:hint="eastAsia"/>
                  </w:rPr>
                  <w:t>收回或转</w:t>
                </w:r>
                <w:r>
                  <w:rPr>
                    <w:rFonts w:hint="eastAsia"/>
                  </w:rPr>
                  <w:lastRenderedPageBreak/>
                  <w:t>回</w:t>
                </w:r>
              </w:p>
            </w:tc>
          </w:sdtContent>
        </w:sdt>
        <w:tc>
          <w:tcPr>
            <w:tcW w:w="1248" w:type="dxa"/>
            <w:shd w:val="clear" w:color="auto" w:fill="FFFFFF"/>
            <w:vAlign w:val="center"/>
          </w:tcPr>
          <w:sdt>
            <w:sdtPr>
              <w:tag w:val="_PLD_4909ee6a3062412caf5e93a150ca2e23"/>
              <w:id w:val="-681820885"/>
            </w:sdtPr>
            <w:sdtContent>
              <w:p w14:paraId="3B490A0F" w14:textId="77777777" w:rsidR="005E000F" w:rsidRDefault="00000000">
                <w:pPr>
                  <w:widowControl w:val="0"/>
                  <w:jc w:val="center"/>
                </w:pPr>
                <w:r>
                  <w:rPr>
                    <w:rFonts w:hint="eastAsia"/>
                  </w:rPr>
                  <w:t>转销或核</w:t>
                </w:r>
                <w:r>
                  <w:rPr>
                    <w:rFonts w:hint="eastAsia"/>
                  </w:rPr>
                  <w:lastRenderedPageBreak/>
                  <w:t>销</w:t>
                </w:r>
              </w:p>
            </w:sdtContent>
          </w:sdt>
        </w:tc>
        <w:tc>
          <w:tcPr>
            <w:tcW w:w="1246" w:type="dxa"/>
            <w:shd w:val="clear" w:color="auto" w:fill="FFFFFF"/>
            <w:vAlign w:val="center"/>
          </w:tcPr>
          <w:sdt>
            <w:sdtPr>
              <w:tag w:val="_PLD_b95e9591908443ef8eef29a18814ebfa"/>
              <w:id w:val="-553081663"/>
            </w:sdtPr>
            <w:sdtContent>
              <w:p w14:paraId="7C13A927" w14:textId="77777777" w:rsidR="005E000F" w:rsidRDefault="00000000">
                <w:pPr>
                  <w:widowControl w:val="0"/>
                  <w:jc w:val="center"/>
                </w:pPr>
                <w:r>
                  <w:rPr>
                    <w:rFonts w:hint="eastAsia"/>
                  </w:rPr>
                  <w:t>其他变动</w:t>
                </w:r>
              </w:p>
            </w:sdtContent>
          </w:sdt>
        </w:tc>
        <w:tc>
          <w:tcPr>
            <w:tcW w:w="1241" w:type="dxa"/>
            <w:vMerge/>
            <w:shd w:val="clear" w:color="auto" w:fill="FFFFFF"/>
            <w:vAlign w:val="center"/>
          </w:tcPr>
          <w:p w14:paraId="194D36DB" w14:textId="77777777" w:rsidR="005E000F" w:rsidRDefault="005E000F">
            <w:pPr>
              <w:widowControl w:val="0"/>
              <w:jc w:val="right"/>
            </w:pPr>
          </w:p>
        </w:tc>
      </w:tr>
      <w:tr w:rsidR="005E000F" w14:paraId="06E836B5" w14:textId="77777777">
        <w:trPr>
          <w:jc w:val="center"/>
        </w:trPr>
        <w:tc>
          <w:tcPr>
            <w:tcW w:w="1390" w:type="dxa"/>
            <w:vAlign w:val="center"/>
          </w:tcPr>
          <w:p w14:paraId="64BBE2F9" w14:textId="77777777" w:rsidR="005E000F" w:rsidRDefault="00000000">
            <w:pPr>
              <w:widowControl w:val="0"/>
            </w:pPr>
            <w:r>
              <w:t>坏账准备</w:t>
            </w:r>
          </w:p>
        </w:tc>
        <w:tc>
          <w:tcPr>
            <w:tcW w:w="1336" w:type="dxa"/>
          </w:tcPr>
          <w:p w14:paraId="16FF64D1" w14:textId="77777777" w:rsidR="005E000F" w:rsidRDefault="00000000">
            <w:pPr>
              <w:widowControl w:val="0"/>
              <w:jc w:val="right"/>
              <w:rPr>
                <w:rFonts w:cs="宋体"/>
                <w:bCs/>
                <w:lang w:eastAsia="en-US"/>
              </w:rPr>
            </w:pPr>
            <w:r>
              <w:rPr>
                <w:rFonts w:cs="宋体" w:hint="eastAsia"/>
                <w:bCs/>
              </w:rPr>
              <w:t>124,281,927</w:t>
            </w:r>
          </w:p>
        </w:tc>
        <w:tc>
          <w:tcPr>
            <w:tcW w:w="1351" w:type="dxa"/>
            <w:vAlign w:val="center"/>
          </w:tcPr>
          <w:p w14:paraId="5ECB7127" w14:textId="77777777" w:rsidR="005E000F" w:rsidRDefault="00000000">
            <w:pPr>
              <w:widowControl w:val="0"/>
              <w:jc w:val="right"/>
            </w:pPr>
            <w:r>
              <w:t>8,344,16</w:t>
            </w:r>
            <w:r>
              <w:rPr>
                <w:rFonts w:hint="eastAsia"/>
              </w:rPr>
              <w:t>6</w:t>
            </w:r>
          </w:p>
        </w:tc>
        <w:tc>
          <w:tcPr>
            <w:tcW w:w="1244" w:type="dxa"/>
            <w:vAlign w:val="center"/>
          </w:tcPr>
          <w:p w14:paraId="3DC0CD18" w14:textId="77777777" w:rsidR="005E000F" w:rsidRDefault="00000000">
            <w:pPr>
              <w:widowControl w:val="0"/>
              <w:jc w:val="right"/>
            </w:pPr>
            <w:r>
              <w:t>61,845,185</w:t>
            </w:r>
          </w:p>
        </w:tc>
        <w:tc>
          <w:tcPr>
            <w:tcW w:w="1248" w:type="dxa"/>
            <w:vAlign w:val="center"/>
          </w:tcPr>
          <w:p w14:paraId="2888E916" w14:textId="77777777" w:rsidR="005E000F" w:rsidRDefault="00000000">
            <w:pPr>
              <w:widowControl w:val="0"/>
              <w:jc w:val="right"/>
            </w:pPr>
            <w:r>
              <w:rPr>
                <w:rFonts w:hint="eastAsia"/>
              </w:rPr>
              <w:t>0</w:t>
            </w:r>
          </w:p>
        </w:tc>
        <w:tc>
          <w:tcPr>
            <w:tcW w:w="1246" w:type="dxa"/>
            <w:vAlign w:val="center"/>
          </w:tcPr>
          <w:p w14:paraId="2762C2E4" w14:textId="77777777" w:rsidR="005E000F" w:rsidRDefault="00000000">
            <w:pPr>
              <w:widowControl w:val="0"/>
              <w:jc w:val="right"/>
            </w:pPr>
            <w:r>
              <w:rPr>
                <w:rFonts w:hint="eastAsia"/>
              </w:rPr>
              <w:t>0</w:t>
            </w:r>
          </w:p>
        </w:tc>
        <w:tc>
          <w:tcPr>
            <w:tcW w:w="1241" w:type="dxa"/>
          </w:tcPr>
          <w:p w14:paraId="12DB6CC3" w14:textId="77777777" w:rsidR="005E000F" w:rsidRDefault="00000000">
            <w:pPr>
              <w:widowControl w:val="0"/>
              <w:jc w:val="right"/>
            </w:pPr>
            <w:r>
              <w:t>70,780,90</w:t>
            </w:r>
            <w:r>
              <w:rPr>
                <w:rFonts w:hint="eastAsia"/>
              </w:rPr>
              <w:t>8</w:t>
            </w:r>
          </w:p>
        </w:tc>
      </w:tr>
      <w:tr w:rsidR="005E000F" w14:paraId="1D72A455" w14:textId="77777777">
        <w:trPr>
          <w:jc w:val="center"/>
        </w:trPr>
        <w:tc>
          <w:tcPr>
            <w:tcW w:w="1390" w:type="dxa"/>
            <w:vAlign w:val="center"/>
          </w:tcPr>
          <w:p w14:paraId="15876445" w14:textId="77777777" w:rsidR="005E000F" w:rsidRDefault="00000000">
            <w:pPr>
              <w:widowControl w:val="0"/>
              <w:jc w:val="center"/>
            </w:pPr>
            <w:r>
              <w:rPr>
                <w:rFonts w:hint="eastAsia"/>
              </w:rPr>
              <w:t>合计</w:t>
            </w:r>
          </w:p>
        </w:tc>
        <w:tc>
          <w:tcPr>
            <w:tcW w:w="1336" w:type="dxa"/>
          </w:tcPr>
          <w:p w14:paraId="061E6C7C" w14:textId="77777777" w:rsidR="005E000F" w:rsidRDefault="00000000">
            <w:pPr>
              <w:widowControl w:val="0"/>
              <w:jc w:val="right"/>
              <w:rPr>
                <w:rFonts w:cs="宋体"/>
                <w:bCs/>
                <w:lang w:eastAsia="en-US"/>
              </w:rPr>
            </w:pPr>
            <w:r>
              <w:rPr>
                <w:rFonts w:cs="宋体" w:hint="eastAsia"/>
                <w:bCs/>
              </w:rPr>
              <w:t>124,281,927</w:t>
            </w:r>
          </w:p>
        </w:tc>
        <w:tc>
          <w:tcPr>
            <w:tcW w:w="1351" w:type="dxa"/>
            <w:vAlign w:val="center"/>
          </w:tcPr>
          <w:p w14:paraId="5834741D" w14:textId="77777777" w:rsidR="005E000F" w:rsidRDefault="00000000">
            <w:pPr>
              <w:widowControl w:val="0"/>
              <w:jc w:val="right"/>
            </w:pPr>
            <w:r>
              <w:t>8,344,16</w:t>
            </w:r>
            <w:r>
              <w:rPr>
                <w:rFonts w:hint="eastAsia"/>
              </w:rPr>
              <w:t>6</w:t>
            </w:r>
          </w:p>
        </w:tc>
        <w:tc>
          <w:tcPr>
            <w:tcW w:w="1244" w:type="dxa"/>
            <w:vAlign w:val="center"/>
          </w:tcPr>
          <w:p w14:paraId="6F5756AC" w14:textId="77777777" w:rsidR="005E000F" w:rsidRDefault="00000000">
            <w:pPr>
              <w:widowControl w:val="0"/>
              <w:jc w:val="right"/>
            </w:pPr>
            <w:r>
              <w:t>61,845,185</w:t>
            </w:r>
          </w:p>
        </w:tc>
        <w:tc>
          <w:tcPr>
            <w:tcW w:w="1248" w:type="dxa"/>
            <w:vAlign w:val="center"/>
          </w:tcPr>
          <w:p w14:paraId="04A4F209" w14:textId="77777777" w:rsidR="005E000F" w:rsidRDefault="00000000">
            <w:pPr>
              <w:widowControl w:val="0"/>
              <w:jc w:val="right"/>
            </w:pPr>
            <w:r>
              <w:rPr>
                <w:rFonts w:hint="eastAsia"/>
              </w:rPr>
              <w:t>0</w:t>
            </w:r>
          </w:p>
        </w:tc>
        <w:tc>
          <w:tcPr>
            <w:tcW w:w="1246" w:type="dxa"/>
            <w:vAlign w:val="center"/>
          </w:tcPr>
          <w:p w14:paraId="46E5E5F6" w14:textId="77777777" w:rsidR="005E000F" w:rsidRDefault="00000000">
            <w:pPr>
              <w:widowControl w:val="0"/>
              <w:jc w:val="right"/>
            </w:pPr>
            <w:r>
              <w:rPr>
                <w:rFonts w:hint="eastAsia"/>
              </w:rPr>
              <w:t>0</w:t>
            </w:r>
          </w:p>
        </w:tc>
        <w:tc>
          <w:tcPr>
            <w:tcW w:w="1241" w:type="dxa"/>
          </w:tcPr>
          <w:p w14:paraId="7CB3EC06" w14:textId="77777777" w:rsidR="005E000F" w:rsidRDefault="00000000">
            <w:pPr>
              <w:widowControl w:val="0"/>
              <w:jc w:val="right"/>
            </w:pPr>
            <w:r>
              <w:t>70,780,90</w:t>
            </w:r>
            <w:r>
              <w:rPr>
                <w:rFonts w:hint="eastAsia"/>
              </w:rPr>
              <w:t>8</w:t>
            </w:r>
          </w:p>
        </w:tc>
      </w:tr>
    </w:tbl>
    <w:p w14:paraId="521717FC" w14:textId="77777777" w:rsidR="005E000F" w:rsidRDefault="005E000F">
      <w:pPr>
        <w:pStyle w:val="affb"/>
      </w:pPr>
    </w:p>
    <w:p w14:paraId="5B0006D9" w14:textId="77777777" w:rsidR="005E000F" w:rsidRDefault="00000000">
      <w:bookmarkStart w:id="430" w:name="_Hlk153789356"/>
      <w:bookmarkEnd w:id="429"/>
      <w:r>
        <w:rPr>
          <w:rFonts w:hint="eastAsia"/>
        </w:rPr>
        <w:t>其中本期坏账准备收回或转回金额重要的：</w:t>
      </w:r>
    </w:p>
    <w:sdt>
      <w:sdtPr>
        <w:alias w:val="是否适用：母公司其中本期坏账准备收回或转回金额重要的[双击切换]"/>
        <w:tag w:val="_GBC_5f9ff028d97f4757bc779516f257bedd"/>
        <w:id w:val="-367993939"/>
        <w:placeholder>
          <w:docPart w:val="GBC22222222222222222222222222222"/>
        </w:placeholder>
      </w:sdtPr>
      <w:sdtContent>
        <w:p w14:paraId="2B1386AE"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7227E81" w14:textId="77777777" w:rsidR="005E000F" w:rsidRDefault="005E000F"/>
    <w:p w14:paraId="715BE4AA" w14:textId="77777777" w:rsidR="005E000F" w:rsidRDefault="00000000">
      <w:r>
        <w:rPr>
          <w:rFonts w:hint="eastAsia"/>
        </w:rPr>
        <w:t>其他说明：</w:t>
      </w:r>
    </w:p>
    <w:sdt>
      <w:sdtPr>
        <w:alias w:val="应收账款坏账准备情况的说明"/>
        <w:tag w:val="_GBC_cff8cbc4c64e413fadcc7d21dcb34fc7"/>
        <w:id w:val="-99496090"/>
        <w:placeholder>
          <w:docPart w:val="GBC22222222222222222222222222222"/>
        </w:placeholder>
      </w:sdtPr>
      <w:sdtContent>
        <w:p w14:paraId="6D604ABC" w14:textId="77777777" w:rsidR="005E000F" w:rsidRDefault="00000000">
          <w:pPr>
            <w:ind w:rightChars="-759" w:right="-1594"/>
          </w:pPr>
          <w:r>
            <w:rPr>
              <w:rFonts w:hint="eastAsia"/>
            </w:rPr>
            <w:t>无</w:t>
          </w:r>
        </w:p>
      </w:sdtContent>
    </w:sdt>
    <w:p w14:paraId="22200D9A" w14:textId="77777777" w:rsidR="005E000F" w:rsidRDefault="005E000F">
      <w:pPr>
        <w:ind w:rightChars="-759" w:right="-1594"/>
      </w:pPr>
    </w:p>
    <w:bookmarkEnd w:id="430"/>
    <w:p w14:paraId="42B697CD" w14:textId="77777777" w:rsidR="005E000F" w:rsidRDefault="00000000">
      <w:pPr>
        <w:pStyle w:val="4"/>
        <w:numPr>
          <w:ilvl w:val="3"/>
          <w:numId w:val="131"/>
        </w:numPr>
        <w:ind w:left="426" w:hangingChars="202" w:hanging="426"/>
      </w:pPr>
      <w:r>
        <w:t>本期实际核销的应收</w:t>
      </w:r>
      <w:r>
        <w:rPr>
          <w:rFonts w:hint="eastAsia"/>
        </w:rPr>
        <w:t>账款</w:t>
      </w:r>
      <w:r>
        <w:t>情况</w:t>
      </w:r>
    </w:p>
    <w:sdt>
      <w:sdtPr>
        <w:alias w:val="是否适用：母公司本期实际核销的应收账款情况[双击切换]"/>
        <w:tag w:val="_GBC_a30d476ac6184bc98f9b334fa55067ac"/>
        <w:id w:val="-143581131"/>
        <w:placeholder>
          <w:docPart w:val="GBC22222222222222222222222222222"/>
        </w:placeholder>
      </w:sdtPr>
      <w:sdtContent>
        <w:p w14:paraId="71EA588E"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6542B8F" w14:textId="77777777" w:rsidR="005E000F" w:rsidRDefault="005E000F"/>
    <w:p w14:paraId="2617DD0D" w14:textId="77777777" w:rsidR="005E000F" w:rsidRDefault="00000000">
      <w:r>
        <w:rPr>
          <w:rFonts w:hint="eastAsia"/>
        </w:rPr>
        <w:t>其中重要的应收账款核销情况</w:t>
      </w:r>
    </w:p>
    <w:sdt>
      <w:sdtPr>
        <w:alias w:val="是否适用：母公司其中重要的应收账款核销情况[双击切换]"/>
        <w:tag w:val="_GBC_7110dba4b9b14a6ea7177cba57fd2d03"/>
        <w:id w:val="-490031172"/>
        <w:placeholder>
          <w:docPart w:val="GBC22222222222222222222222222222"/>
        </w:placeholder>
      </w:sdtPr>
      <w:sdtContent>
        <w:p w14:paraId="7C87F5DD"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6F01DB1" w14:textId="77777777" w:rsidR="005E000F" w:rsidRDefault="005E000F"/>
    <w:p w14:paraId="44AFD343" w14:textId="77777777" w:rsidR="005E000F" w:rsidRDefault="00000000">
      <w:pPr>
        <w:snapToGrid w:val="0"/>
        <w:spacing w:line="240" w:lineRule="atLeast"/>
      </w:pPr>
      <w:r>
        <w:rPr>
          <w:rFonts w:hint="eastAsia"/>
        </w:rPr>
        <w:t>应收账款核销说明：</w:t>
      </w:r>
    </w:p>
    <w:sdt>
      <w:sdtPr>
        <w:rPr>
          <w:rFonts w:hint="eastAsia"/>
        </w:rPr>
        <w:alias w:val="是否适用：母公司应收账款核销说明[双击切换]"/>
        <w:tag w:val="_GBC_2ba809c9e31c411795d7353d4b11a774"/>
        <w:id w:val="-1938124333"/>
        <w:placeholder>
          <w:docPart w:val="GBC22222222222222222222222222222"/>
        </w:placeholder>
      </w:sdtPr>
      <w:sdtContent>
        <w:p w14:paraId="28488184"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09D6612" w14:textId="77777777" w:rsidR="005E000F" w:rsidRDefault="005E000F"/>
    <w:p w14:paraId="31616E19" w14:textId="77777777" w:rsidR="005E000F" w:rsidRDefault="00000000">
      <w:pPr>
        <w:pStyle w:val="4"/>
        <w:numPr>
          <w:ilvl w:val="3"/>
          <w:numId w:val="131"/>
        </w:numPr>
        <w:ind w:left="426" w:hangingChars="202" w:hanging="426"/>
      </w:pPr>
      <w:bookmarkStart w:id="431" w:name="_Hlk90023019"/>
      <w:bookmarkStart w:id="432" w:name="_Hlk153789714"/>
      <w:r>
        <w:rPr>
          <w:rFonts w:hint="eastAsia"/>
        </w:rPr>
        <w:t>按欠款方归集的期末余额前五名的应收账款和合同资产情况</w:t>
      </w:r>
    </w:p>
    <w:sdt>
      <w:sdtPr>
        <w:rPr>
          <w:rFonts w:hint="eastAsia"/>
        </w:rPr>
        <w:alias w:val="是否适用：按欠款方归集的期末余额前五名的应收账款情况[双击切换]"/>
        <w:tag w:val="_GBC_7fffc10e897f45d19e0dc3f8ffc2224f"/>
        <w:id w:val="41029461"/>
        <w:placeholder>
          <w:docPart w:val="GBC22222222222222222222222222222"/>
        </w:placeholder>
      </w:sdtPr>
      <w:sdtContent>
        <w:p w14:paraId="01C97959" w14:textId="77777777" w:rsidR="005E000F" w:rsidRDefault="00000000">
          <w:pPr>
            <w:snapToGrid w:val="0"/>
            <w:spacing w:line="240" w:lineRule="atLeast"/>
          </w:pPr>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√适用 </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940F628" w14:textId="77777777" w:rsidR="005E000F" w:rsidRDefault="00000000">
      <w:pPr>
        <w:snapToGrid w:val="0"/>
        <w:spacing w:line="240" w:lineRule="atLeast"/>
        <w:jc w:val="right"/>
      </w:pPr>
      <w:r>
        <w:rPr>
          <w:rFonts w:hint="eastAsia"/>
        </w:rPr>
        <w:t>单位：</w:t>
      </w:r>
      <w:sdt>
        <w:sdtPr>
          <w:alias w:val="单位：财务附注：应收账款前五名欠款情况"/>
          <w:tag w:val="_GBC_e41caaf031c645a09f9ff82e1bde3008"/>
          <w:id w:val="1951428678"/>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rPr>
          <w:rFonts w:hint="eastAsia"/>
        </w:rPr>
        <w:t xml:space="preserve">  </w:t>
      </w:r>
      <w:r>
        <w:rPr>
          <w:rFonts w:hint="eastAsia"/>
        </w:rPr>
        <w:t>币种：</w:t>
      </w:r>
      <w:sdt>
        <w:sdtPr>
          <w:rPr>
            <w:rFonts w:hint="eastAsia"/>
          </w:rPr>
          <w:alias w:val="币种：财务附注：应收账款前五名欠款情况"/>
          <w:tag w:val="_GBC_03b6faf9055245869ad37558d10f0525"/>
          <w:id w:val="-181486352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7"/>
      </w:tblGrid>
      <w:tr w:rsidR="005E000F" w14:paraId="11C718BC" w14:textId="77777777">
        <w:trPr>
          <w:cantSplit/>
        </w:trPr>
        <w:sdt>
          <w:sdtPr>
            <w:tag w:val="_PLD_68ef52d85e9b4f23a72393cc4b01b204"/>
            <w:id w:val="1210850857"/>
          </w:sdtPr>
          <w:sdtContent>
            <w:tc>
              <w:tcPr>
                <w:tcW w:w="1507" w:type="dxa"/>
                <w:vAlign w:val="center"/>
              </w:tcPr>
              <w:p w14:paraId="3C301BD0" w14:textId="77777777" w:rsidR="005E000F" w:rsidRDefault="00000000">
                <w:pPr>
                  <w:ind w:right="105"/>
                  <w:jc w:val="center"/>
                </w:pPr>
                <w:r>
                  <w:rPr>
                    <w:rFonts w:hint="eastAsia"/>
                  </w:rPr>
                  <w:t>单位名称</w:t>
                </w:r>
              </w:p>
            </w:tc>
          </w:sdtContent>
        </w:sdt>
        <w:sdt>
          <w:sdtPr>
            <w:tag w:val="_PLD_a62fd4b0ddfb407795d57ea0471df65a"/>
            <w:id w:val="1254397439"/>
          </w:sdtPr>
          <w:sdtContent>
            <w:tc>
              <w:tcPr>
                <w:tcW w:w="1507" w:type="dxa"/>
                <w:vAlign w:val="center"/>
              </w:tcPr>
              <w:p w14:paraId="1CA7C109" w14:textId="77777777" w:rsidR="005E000F" w:rsidRDefault="00000000">
                <w:pPr>
                  <w:ind w:right="73"/>
                  <w:jc w:val="center"/>
                </w:pPr>
                <w:r>
                  <w:rPr>
                    <w:rFonts w:hint="eastAsia"/>
                  </w:rPr>
                  <w:t>应收账款期末余额</w:t>
                </w:r>
              </w:p>
            </w:tc>
          </w:sdtContent>
        </w:sdt>
        <w:sdt>
          <w:sdtPr>
            <w:tag w:val="_PLD_7e753de74ef54c5da4e5c10a41366274"/>
            <w:id w:val="-1028561829"/>
          </w:sdtPr>
          <w:sdtContent>
            <w:tc>
              <w:tcPr>
                <w:tcW w:w="1507" w:type="dxa"/>
                <w:vAlign w:val="center"/>
              </w:tcPr>
              <w:p w14:paraId="6AA5368E" w14:textId="77777777" w:rsidR="005E000F" w:rsidRDefault="00000000">
                <w:pPr>
                  <w:jc w:val="center"/>
                </w:pPr>
                <w:r>
                  <w:rPr>
                    <w:rFonts w:hint="eastAsia"/>
                  </w:rPr>
                  <w:t>合同资产期末余额</w:t>
                </w:r>
              </w:p>
            </w:tc>
          </w:sdtContent>
        </w:sdt>
        <w:sdt>
          <w:sdtPr>
            <w:tag w:val="_PLD_1589be2aa7134b3f9de4e223e83a7a61"/>
            <w:id w:val="1604380382"/>
          </w:sdtPr>
          <w:sdtContent>
            <w:tc>
              <w:tcPr>
                <w:tcW w:w="1507" w:type="dxa"/>
                <w:vAlign w:val="center"/>
              </w:tcPr>
              <w:p w14:paraId="5F2ADFF1" w14:textId="77777777" w:rsidR="005E000F" w:rsidRDefault="00000000">
                <w:pPr>
                  <w:jc w:val="center"/>
                </w:pPr>
                <w:r>
                  <w:rPr>
                    <w:rFonts w:hint="eastAsia"/>
                  </w:rPr>
                  <w:t>应收账款和合同资产期末余额</w:t>
                </w:r>
              </w:p>
            </w:tc>
          </w:sdtContent>
        </w:sdt>
        <w:sdt>
          <w:sdtPr>
            <w:tag w:val="_PLD_e84ecb8c9e5146e8b4ede4a709c5ef5f"/>
            <w:id w:val="802504792"/>
          </w:sdtPr>
          <w:sdtContent>
            <w:tc>
              <w:tcPr>
                <w:tcW w:w="1507" w:type="dxa"/>
                <w:vAlign w:val="center"/>
              </w:tcPr>
              <w:p w14:paraId="0ADE1225" w14:textId="77777777" w:rsidR="005E000F" w:rsidRDefault="00000000">
                <w:pPr>
                  <w:jc w:val="center"/>
                </w:pPr>
                <w:r>
                  <w:rPr>
                    <w:rFonts w:hint="eastAsia"/>
                  </w:rPr>
                  <w:t>占应收账款和合同资产期末余额合计数的比例（</w:t>
                </w:r>
                <w:r>
                  <w:rPr>
                    <w:rFonts w:hint="eastAsia"/>
                  </w:rPr>
                  <w:t>%</w:t>
                </w:r>
                <w:r>
                  <w:rPr>
                    <w:rFonts w:hint="eastAsia"/>
                  </w:rPr>
                  <w:t>）</w:t>
                </w:r>
              </w:p>
            </w:tc>
          </w:sdtContent>
        </w:sdt>
        <w:sdt>
          <w:sdtPr>
            <w:tag w:val="_PLD_da58e99405a342aa95b8ffb814c33752"/>
            <w:id w:val="-956098930"/>
          </w:sdtPr>
          <w:sdtContent>
            <w:tc>
              <w:tcPr>
                <w:tcW w:w="1507" w:type="dxa"/>
                <w:vAlign w:val="center"/>
              </w:tcPr>
              <w:p w14:paraId="046AD702" w14:textId="77777777" w:rsidR="005E000F" w:rsidRDefault="00000000">
                <w:pPr>
                  <w:jc w:val="center"/>
                </w:pPr>
                <w:r>
                  <w:rPr>
                    <w:rFonts w:hint="eastAsia"/>
                  </w:rPr>
                  <w:t>坏账准备期末余额</w:t>
                </w:r>
              </w:p>
            </w:tc>
          </w:sdtContent>
        </w:sdt>
      </w:tr>
      <w:tr w:rsidR="005E000F" w14:paraId="01A52A37" w14:textId="77777777">
        <w:trPr>
          <w:cantSplit/>
        </w:trPr>
        <w:tc>
          <w:tcPr>
            <w:tcW w:w="1507" w:type="dxa"/>
            <w:vAlign w:val="center"/>
          </w:tcPr>
          <w:p w14:paraId="1E0C8FD5" w14:textId="77777777" w:rsidR="005E000F" w:rsidRDefault="00000000">
            <w:pPr>
              <w:ind w:right="105"/>
            </w:pPr>
            <w:r>
              <w:rPr>
                <w:rFonts w:hint="eastAsia"/>
              </w:rPr>
              <w:t>余额前五名的应收账款总和</w:t>
            </w:r>
          </w:p>
        </w:tc>
        <w:tc>
          <w:tcPr>
            <w:tcW w:w="1507" w:type="dxa"/>
            <w:vAlign w:val="center"/>
          </w:tcPr>
          <w:p w14:paraId="62F6A64F" w14:textId="77777777" w:rsidR="005E000F" w:rsidRDefault="00000000">
            <w:pPr>
              <w:ind w:right="73"/>
              <w:jc w:val="right"/>
            </w:pPr>
            <w:r>
              <w:t>2,778,704,518</w:t>
            </w:r>
          </w:p>
        </w:tc>
        <w:tc>
          <w:tcPr>
            <w:tcW w:w="1507" w:type="dxa"/>
            <w:vAlign w:val="center"/>
          </w:tcPr>
          <w:p w14:paraId="2B570CED" w14:textId="77777777" w:rsidR="005E000F" w:rsidRDefault="00000000">
            <w:pPr>
              <w:ind w:right="73"/>
              <w:jc w:val="right"/>
            </w:pPr>
            <w:r>
              <w:rPr>
                <w:rFonts w:hint="eastAsia"/>
              </w:rPr>
              <w:t>0</w:t>
            </w:r>
          </w:p>
        </w:tc>
        <w:tc>
          <w:tcPr>
            <w:tcW w:w="1507" w:type="dxa"/>
            <w:vAlign w:val="center"/>
          </w:tcPr>
          <w:p w14:paraId="4597ACF9" w14:textId="77777777" w:rsidR="005E000F" w:rsidRDefault="00000000">
            <w:pPr>
              <w:ind w:right="73"/>
              <w:jc w:val="right"/>
            </w:pPr>
            <w:r>
              <w:t>2,778,704,518</w:t>
            </w:r>
          </w:p>
        </w:tc>
        <w:tc>
          <w:tcPr>
            <w:tcW w:w="1507" w:type="dxa"/>
            <w:vAlign w:val="center"/>
          </w:tcPr>
          <w:p w14:paraId="66D3B43B" w14:textId="77777777" w:rsidR="005E000F" w:rsidRDefault="00000000">
            <w:pPr>
              <w:ind w:right="73"/>
              <w:jc w:val="right"/>
            </w:pPr>
            <w:r>
              <w:t>6</w:t>
            </w:r>
            <w:r>
              <w:rPr>
                <w:rFonts w:hint="eastAsia"/>
              </w:rPr>
              <w:t>6</w:t>
            </w:r>
          </w:p>
        </w:tc>
        <w:tc>
          <w:tcPr>
            <w:tcW w:w="1507" w:type="dxa"/>
            <w:vAlign w:val="center"/>
          </w:tcPr>
          <w:p w14:paraId="62B62B3A" w14:textId="77777777" w:rsidR="005E000F" w:rsidRDefault="00000000">
            <w:pPr>
              <w:ind w:right="73"/>
              <w:jc w:val="right"/>
            </w:pPr>
            <w:r>
              <w:t>55,567,218</w:t>
            </w:r>
          </w:p>
        </w:tc>
      </w:tr>
      <w:tr w:rsidR="005E000F" w14:paraId="5C4AEFAB" w14:textId="77777777">
        <w:trPr>
          <w:cantSplit/>
        </w:trPr>
        <w:tc>
          <w:tcPr>
            <w:tcW w:w="1507" w:type="dxa"/>
            <w:vAlign w:val="center"/>
          </w:tcPr>
          <w:p w14:paraId="385120CD" w14:textId="77777777" w:rsidR="005E000F" w:rsidRDefault="00000000">
            <w:pPr>
              <w:ind w:right="105"/>
              <w:jc w:val="center"/>
            </w:pPr>
            <w:r>
              <w:rPr>
                <w:rFonts w:hint="eastAsia"/>
              </w:rPr>
              <w:t>合计</w:t>
            </w:r>
          </w:p>
        </w:tc>
        <w:tc>
          <w:tcPr>
            <w:tcW w:w="1507" w:type="dxa"/>
            <w:vAlign w:val="center"/>
          </w:tcPr>
          <w:p w14:paraId="1B642162" w14:textId="77777777" w:rsidR="005E000F" w:rsidRDefault="00000000">
            <w:pPr>
              <w:ind w:right="73"/>
              <w:jc w:val="right"/>
            </w:pPr>
            <w:r>
              <w:t>2,778,704,518</w:t>
            </w:r>
          </w:p>
        </w:tc>
        <w:tc>
          <w:tcPr>
            <w:tcW w:w="1507" w:type="dxa"/>
            <w:vAlign w:val="center"/>
          </w:tcPr>
          <w:p w14:paraId="6B61616C" w14:textId="77777777" w:rsidR="005E000F" w:rsidRDefault="00000000">
            <w:pPr>
              <w:ind w:right="73"/>
              <w:jc w:val="right"/>
            </w:pPr>
            <w:r>
              <w:rPr>
                <w:rFonts w:hint="eastAsia"/>
              </w:rPr>
              <w:t>0</w:t>
            </w:r>
          </w:p>
        </w:tc>
        <w:tc>
          <w:tcPr>
            <w:tcW w:w="1507" w:type="dxa"/>
            <w:vAlign w:val="center"/>
          </w:tcPr>
          <w:p w14:paraId="11E36E9D" w14:textId="77777777" w:rsidR="005E000F" w:rsidRDefault="00000000">
            <w:pPr>
              <w:ind w:right="73"/>
              <w:jc w:val="right"/>
            </w:pPr>
            <w:r>
              <w:t>2,778,704,518</w:t>
            </w:r>
          </w:p>
        </w:tc>
        <w:tc>
          <w:tcPr>
            <w:tcW w:w="1507" w:type="dxa"/>
            <w:vAlign w:val="center"/>
          </w:tcPr>
          <w:p w14:paraId="5D17329C" w14:textId="77777777" w:rsidR="005E000F" w:rsidRDefault="00000000">
            <w:pPr>
              <w:ind w:right="73"/>
              <w:jc w:val="right"/>
            </w:pPr>
            <w:r>
              <w:t>6</w:t>
            </w:r>
            <w:r>
              <w:rPr>
                <w:rFonts w:hint="eastAsia"/>
              </w:rPr>
              <w:t>6</w:t>
            </w:r>
          </w:p>
        </w:tc>
        <w:tc>
          <w:tcPr>
            <w:tcW w:w="1507" w:type="dxa"/>
            <w:vAlign w:val="center"/>
          </w:tcPr>
          <w:p w14:paraId="5DFD5FA4" w14:textId="77777777" w:rsidR="005E000F" w:rsidRDefault="00000000">
            <w:pPr>
              <w:ind w:right="73"/>
              <w:jc w:val="right"/>
            </w:pPr>
            <w:r>
              <w:t>55,567,218</w:t>
            </w:r>
          </w:p>
        </w:tc>
      </w:tr>
    </w:tbl>
    <w:p w14:paraId="41D94BD6" w14:textId="77777777" w:rsidR="005E000F" w:rsidRDefault="00000000">
      <w:pPr>
        <w:snapToGrid w:val="0"/>
        <w:spacing w:line="240" w:lineRule="atLeast"/>
      </w:pPr>
      <w:r>
        <w:rPr>
          <w:rFonts w:hint="eastAsia"/>
        </w:rPr>
        <w:t>其他说明：</w:t>
      </w:r>
    </w:p>
    <w:sdt>
      <w:sdtPr>
        <w:alias w:val="按欠款方归集的期末余额前五名的应收账款情况的说明"/>
        <w:tag w:val="_GBC_4233d26567cb46b2a0053fbc4949e5ad"/>
        <w:id w:val="-1826506520"/>
        <w:placeholder>
          <w:docPart w:val="GBC22222222222222222222222222222"/>
        </w:placeholder>
      </w:sdtPr>
      <w:sdtContent>
        <w:p w14:paraId="483F2CFB" w14:textId="77777777" w:rsidR="005E000F" w:rsidRDefault="00000000">
          <w:pPr>
            <w:snapToGrid w:val="0"/>
            <w:spacing w:line="240" w:lineRule="atLeast"/>
          </w:pPr>
          <w:r>
            <w:rPr>
              <w:rFonts w:hint="eastAsia"/>
            </w:rPr>
            <w:t>无</w:t>
          </w:r>
        </w:p>
      </w:sdtContent>
    </w:sdt>
    <w:p w14:paraId="3AAD63AA" w14:textId="77777777" w:rsidR="005E000F" w:rsidRDefault="005E000F">
      <w:pPr>
        <w:snapToGrid w:val="0"/>
        <w:spacing w:line="240" w:lineRule="atLeast"/>
      </w:pPr>
    </w:p>
    <w:bookmarkEnd w:id="431"/>
    <w:bookmarkEnd w:id="432"/>
    <w:p w14:paraId="28D5395D" w14:textId="77777777" w:rsidR="005E000F" w:rsidRDefault="00000000">
      <w:r>
        <w:rPr>
          <w:rFonts w:hint="eastAsia"/>
        </w:rPr>
        <w:t>其他</w:t>
      </w:r>
      <w:r>
        <w:t>说明：</w:t>
      </w:r>
    </w:p>
    <w:sdt>
      <w:sdtPr>
        <w:alias w:val="是否适用：母公司应收账款其他说明[双击切换]"/>
        <w:tag w:val="_GBC_4765684a53b9474f898fa6c2bd313427"/>
        <w:id w:val="133377217"/>
        <w:placeholder>
          <w:docPart w:val="GBC22222222222222222222222222222"/>
        </w:placeholder>
      </w:sdtPr>
      <w:sdtContent>
        <w:p w14:paraId="17067F00"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F42F126" w14:textId="77777777" w:rsidR="005E000F" w:rsidRDefault="005E000F">
      <w:pPr>
        <w:snapToGrid w:val="0"/>
        <w:spacing w:line="240" w:lineRule="atLeast"/>
      </w:pPr>
    </w:p>
    <w:p w14:paraId="762A29F3" w14:textId="77777777" w:rsidR="005E000F" w:rsidRDefault="00000000">
      <w:pPr>
        <w:pStyle w:val="3"/>
        <w:numPr>
          <w:ilvl w:val="0"/>
          <w:numId w:val="130"/>
        </w:numPr>
        <w:rPr>
          <w:rFonts w:ascii="宋体" w:hAnsi="宋体"/>
          <w:szCs w:val="21"/>
        </w:rPr>
      </w:pPr>
      <w:r>
        <w:rPr>
          <w:rFonts w:ascii="宋体" w:hAnsi="宋体" w:hint="eastAsia"/>
          <w:szCs w:val="21"/>
        </w:rPr>
        <w:t>其他应收款</w:t>
      </w:r>
    </w:p>
    <w:p w14:paraId="4A9845E3" w14:textId="77777777" w:rsidR="005E000F" w:rsidRDefault="00000000">
      <w:pPr>
        <w:pStyle w:val="4"/>
      </w:pPr>
      <w:bookmarkStart w:id="433" w:name="_Hlk153789873"/>
      <w:bookmarkStart w:id="434" w:name="_Hlk533796954"/>
      <w:r>
        <w:rPr>
          <w:rFonts w:hint="eastAsia"/>
        </w:rPr>
        <w:t>项目列示</w:t>
      </w:r>
    </w:p>
    <w:sdt>
      <w:sdtPr>
        <w:alias w:val="是否适用：母公司其他应收款分类列示[双击切换]"/>
        <w:tag w:val="_GBC_eca97260629e4985b01404cfe0f9630b"/>
        <w:id w:val="1338271523"/>
        <w:placeholder>
          <w:docPart w:val="GBC22222222222222222222222222222"/>
        </w:placeholder>
      </w:sdtPr>
      <w:sdtContent>
        <w:p w14:paraId="4EBE03FC"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AABB150" w14:textId="77777777" w:rsidR="005E000F" w:rsidRDefault="00000000">
      <w:pPr>
        <w:jc w:val="right"/>
      </w:pPr>
      <w:r>
        <w:rPr>
          <w:rFonts w:hint="eastAsia"/>
        </w:rPr>
        <w:t>单位：</w:t>
      </w:r>
      <w:sdt>
        <w:sdtPr>
          <w:rPr>
            <w:rFonts w:hint="eastAsia"/>
          </w:rPr>
          <w:alias w:val="单位：母公司其他应收款分类列示"/>
          <w:tag w:val="_GBC_3e648241a63447daac5dd00971efb146"/>
          <w:id w:val="-5347087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其他应收款分类列示"/>
          <w:tag w:val="_GBC_c7b8206dd7dd44fcb02f4cced206c1b8"/>
          <w:id w:val="-184477873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196"/>
        <w:gridCol w:w="2938"/>
        <w:gridCol w:w="2924"/>
      </w:tblGrid>
      <w:tr w:rsidR="005E000F" w14:paraId="4233EA65" w14:textId="77777777">
        <w:trPr>
          <w:cantSplit/>
        </w:trPr>
        <w:sdt>
          <w:sdtPr>
            <w:tag w:val="_PLD_3fbe550dc0704e7ebed42463d474129d"/>
            <w:id w:val="562451666"/>
          </w:sdtPr>
          <w:sdtContent>
            <w:tc>
              <w:tcPr>
                <w:tcW w:w="3196" w:type="dxa"/>
                <w:vAlign w:val="center"/>
              </w:tcPr>
              <w:p w14:paraId="57BE30F0" w14:textId="77777777" w:rsidR="005E000F" w:rsidRDefault="00000000">
                <w:pPr>
                  <w:jc w:val="center"/>
                </w:pPr>
                <w:r>
                  <w:rPr>
                    <w:rFonts w:hint="eastAsia"/>
                  </w:rPr>
                  <w:t>项目</w:t>
                </w:r>
              </w:p>
            </w:tc>
          </w:sdtContent>
        </w:sdt>
        <w:sdt>
          <w:sdtPr>
            <w:tag w:val="_PLD_5161bba6c7a3460784316b0695f47487"/>
            <w:id w:val="1108625460"/>
          </w:sdtPr>
          <w:sdtContent>
            <w:tc>
              <w:tcPr>
                <w:tcW w:w="2938" w:type="dxa"/>
                <w:vAlign w:val="center"/>
              </w:tcPr>
              <w:p w14:paraId="36685017" w14:textId="77777777" w:rsidR="005E000F" w:rsidRDefault="00000000">
                <w:pPr>
                  <w:jc w:val="center"/>
                </w:pPr>
                <w:r>
                  <w:rPr>
                    <w:rFonts w:hint="eastAsia"/>
                  </w:rPr>
                  <w:t>期末余额</w:t>
                </w:r>
              </w:p>
            </w:tc>
          </w:sdtContent>
        </w:sdt>
        <w:sdt>
          <w:sdtPr>
            <w:tag w:val="_PLD_54007dfc9bc24ec0b86bc4694efe4938"/>
            <w:id w:val="1499310031"/>
          </w:sdtPr>
          <w:sdtContent>
            <w:tc>
              <w:tcPr>
                <w:tcW w:w="2924" w:type="dxa"/>
                <w:vAlign w:val="center"/>
              </w:tcPr>
              <w:p w14:paraId="5AD54138" w14:textId="77777777" w:rsidR="005E000F" w:rsidRDefault="00000000">
                <w:pPr>
                  <w:jc w:val="center"/>
                </w:pPr>
                <w:r>
                  <w:rPr>
                    <w:rFonts w:hint="eastAsia"/>
                  </w:rPr>
                  <w:t>期初余额</w:t>
                </w:r>
              </w:p>
            </w:tc>
          </w:sdtContent>
        </w:sdt>
      </w:tr>
      <w:tr w:rsidR="005E000F" w14:paraId="30C4F10D" w14:textId="77777777">
        <w:trPr>
          <w:cantSplit/>
        </w:trPr>
        <w:tc>
          <w:tcPr>
            <w:tcW w:w="3196" w:type="dxa"/>
            <w:vAlign w:val="center"/>
          </w:tcPr>
          <w:p w14:paraId="5CB3F17E" w14:textId="77777777" w:rsidR="005E000F" w:rsidRDefault="00000000">
            <w:pPr>
              <w:ind w:right="5"/>
            </w:pPr>
            <w:r>
              <w:rPr>
                <w:rFonts w:hint="eastAsia"/>
              </w:rPr>
              <w:t>应收股利</w:t>
            </w:r>
          </w:p>
        </w:tc>
        <w:tc>
          <w:tcPr>
            <w:tcW w:w="2938" w:type="dxa"/>
            <w:vAlign w:val="center"/>
          </w:tcPr>
          <w:p w14:paraId="7E444F94" w14:textId="77777777" w:rsidR="005E000F" w:rsidRDefault="00000000">
            <w:pPr>
              <w:jc w:val="right"/>
              <w:rPr>
                <w:rFonts w:cs="宋体"/>
                <w:bCs/>
              </w:rPr>
            </w:pPr>
            <w:r>
              <w:rPr>
                <w:rFonts w:cs="宋体" w:hint="eastAsia"/>
                <w:bCs/>
              </w:rPr>
              <w:t>0</w:t>
            </w:r>
          </w:p>
        </w:tc>
        <w:tc>
          <w:tcPr>
            <w:tcW w:w="2924" w:type="dxa"/>
          </w:tcPr>
          <w:p w14:paraId="1DADD4AF" w14:textId="77777777" w:rsidR="005E000F" w:rsidRDefault="00000000">
            <w:pPr>
              <w:jc w:val="right"/>
              <w:rPr>
                <w:rFonts w:cs="宋体"/>
                <w:bCs/>
                <w:lang w:eastAsia="en-US"/>
              </w:rPr>
            </w:pPr>
            <w:r>
              <w:rPr>
                <w:rFonts w:cs="宋体" w:hint="eastAsia"/>
                <w:bCs/>
              </w:rPr>
              <w:t>2,433,551,412</w:t>
            </w:r>
          </w:p>
        </w:tc>
      </w:tr>
      <w:tr w:rsidR="005E000F" w14:paraId="0E395551" w14:textId="77777777">
        <w:trPr>
          <w:cantSplit/>
        </w:trPr>
        <w:tc>
          <w:tcPr>
            <w:tcW w:w="3196" w:type="dxa"/>
            <w:vAlign w:val="center"/>
          </w:tcPr>
          <w:p w14:paraId="0E605166" w14:textId="77777777" w:rsidR="005E000F" w:rsidRDefault="00000000">
            <w:pPr>
              <w:ind w:right="5"/>
            </w:pPr>
            <w:r>
              <w:rPr>
                <w:rFonts w:hint="eastAsia"/>
              </w:rPr>
              <w:t>其他应收款</w:t>
            </w:r>
          </w:p>
        </w:tc>
        <w:tc>
          <w:tcPr>
            <w:tcW w:w="2938" w:type="dxa"/>
            <w:vAlign w:val="center"/>
          </w:tcPr>
          <w:p w14:paraId="201F6915" w14:textId="77777777" w:rsidR="005E000F" w:rsidRDefault="00000000">
            <w:pPr>
              <w:jc w:val="right"/>
              <w:rPr>
                <w:rFonts w:cs="宋体"/>
                <w:bCs/>
              </w:rPr>
            </w:pPr>
            <w:r>
              <w:rPr>
                <w:rFonts w:cs="宋体"/>
                <w:bCs/>
              </w:rPr>
              <w:t>3,347,724,56</w:t>
            </w:r>
            <w:r>
              <w:rPr>
                <w:rFonts w:cs="宋体" w:hint="eastAsia"/>
                <w:bCs/>
              </w:rPr>
              <w:t>6</w:t>
            </w:r>
          </w:p>
        </w:tc>
        <w:tc>
          <w:tcPr>
            <w:tcW w:w="2924" w:type="dxa"/>
          </w:tcPr>
          <w:p w14:paraId="700F18DA" w14:textId="77777777" w:rsidR="005E000F" w:rsidRDefault="00000000">
            <w:pPr>
              <w:jc w:val="right"/>
              <w:rPr>
                <w:rFonts w:cs="宋体"/>
                <w:bCs/>
                <w:lang w:eastAsia="en-US"/>
              </w:rPr>
            </w:pPr>
            <w:r>
              <w:rPr>
                <w:rFonts w:cs="宋体" w:hint="eastAsia"/>
                <w:bCs/>
              </w:rPr>
              <w:t>1,522,988,234</w:t>
            </w:r>
          </w:p>
        </w:tc>
      </w:tr>
      <w:tr w:rsidR="005E000F" w14:paraId="291AA5CE" w14:textId="77777777">
        <w:trPr>
          <w:cantSplit/>
        </w:trPr>
        <w:tc>
          <w:tcPr>
            <w:tcW w:w="3196" w:type="dxa"/>
            <w:vAlign w:val="center"/>
          </w:tcPr>
          <w:p w14:paraId="488AAA1D" w14:textId="77777777" w:rsidR="005E000F" w:rsidRDefault="00000000">
            <w:pPr>
              <w:autoSpaceDE w:val="0"/>
              <w:autoSpaceDN w:val="0"/>
              <w:adjustRightInd w:val="0"/>
            </w:pPr>
            <w:r>
              <w:rPr>
                <w:rFonts w:hint="eastAsia"/>
              </w:rPr>
              <w:t>合计</w:t>
            </w:r>
          </w:p>
        </w:tc>
        <w:tc>
          <w:tcPr>
            <w:tcW w:w="2938" w:type="dxa"/>
            <w:vAlign w:val="center"/>
          </w:tcPr>
          <w:p w14:paraId="0AAD0264" w14:textId="77777777" w:rsidR="005E000F" w:rsidRDefault="00000000">
            <w:pPr>
              <w:jc w:val="right"/>
              <w:rPr>
                <w:rFonts w:cs="宋体"/>
                <w:bCs/>
              </w:rPr>
            </w:pPr>
            <w:r>
              <w:rPr>
                <w:rFonts w:cs="宋体"/>
                <w:bCs/>
              </w:rPr>
              <w:t>3,347,724,56</w:t>
            </w:r>
            <w:r>
              <w:rPr>
                <w:rFonts w:cs="宋体" w:hint="eastAsia"/>
                <w:bCs/>
              </w:rPr>
              <w:t>6</w:t>
            </w:r>
          </w:p>
        </w:tc>
        <w:tc>
          <w:tcPr>
            <w:tcW w:w="2924" w:type="dxa"/>
          </w:tcPr>
          <w:p w14:paraId="2A41605D" w14:textId="77777777" w:rsidR="005E000F" w:rsidRDefault="00000000">
            <w:pPr>
              <w:jc w:val="right"/>
              <w:rPr>
                <w:rFonts w:cs="宋体"/>
                <w:bCs/>
                <w:lang w:eastAsia="en-US"/>
              </w:rPr>
            </w:pPr>
            <w:r>
              <w:rPr>
                <w:rFonts w:cs="宋体" w:hint="eastAsia"/>
                <w:bCs/>
              </w:rPr>
              <w:t>3,956,539,646</w:t>
            </w:r>
          </w:p>
        </w:tc>
      </w:tr>
    </w:tbl>
    <w:p w14:paraId="7E579764" w14:textId="77777777" w:rsidR="005E000F" w:rsidRDefault="005E000F"/>
    <w:p w14:paraId="0157C314" w14:textId="77777777" w:rsidR="005E000F" w:rsidRDefault="00000000">
      <w:bookmarkStart w:id="435" w:name="_Hlk533797002"/>
      <w:bookmarkEnd w:id="433"/>
      <w:bookmarkEnd w:id="434"/>
      <w:r>
        <w:rPr>
          <w:rFonts w:hint="eastAsia"/>
        </w:rPr>
        <w:t>其他说明：</w:t>
      </w:r>
    </w:p>
    <w:sdt>
      <w:sdtPr>
        <w:alias w:val="是否适用：母公司其他应收款分类列示其他说明[双击切换]"/>
        <w:tag w:val="_GBC_17d0b67d20cb486dbc08e07c11e1224a"/>
        <w:id w:val="505013634"/>
        <w:placeholder>
          <w:docPart w:val="GBC22222222222222222222222222222"/>
        </w:placeholder>
      </w:sdtPr>
      <w:sdtContent>
        <w:p w14:paraId="1EE3918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35"/>
    <w:p w14:paraId="1B530240" w14:textId="77777777" w:rsidR="005E000F" w:rsidRDefault="005E000F"/>
    <w:p w14:paraId="5A8A092F" w14:textId="77777777" w:rsidR="005E000F" w:rsidRDefault="00000000">
      <w:pPr>
        <w:pStyle w:val="4"/>
        <w:ind w:left="360" w:hanging="360"/>
      </w:pPr>
      <w:r>
        <w:rPr>
          <w:rFonts w:hint="eastAsia"/>
        </w:rPr>
        <w:lastRenderedPageBreak/>
        <w:t>应收利息</w:t>
      </w:r>
    </w:p>
    <w:p w14:paraId="7C8F2D8B" w14:textId="77777777" w:rsidR="005E000F" w:rsidRDefault="00000000">
      <w:pPr>
        <w:pStyle w:val="5"/>
        <w:numPr>
          <w:ilvl w:val="0"/>
          <w:numId w:val="132"/>
        </w:numPr>
        <w:ind w:leftChars="0"/>
      </w:pPr>
      <w:bookmarkStart w:id="436" w:name="_Hlk533797042"/>
      <w:r>
        <w:rPr>
          <w:rFonts w:hint="eastAsia"/>
        </w:rPr>
        <w:t>应收利息分类</w:t>
      </w:r>
    </w:p>
    <w:sdt>
      <w:sdtPr>
        <w:alias w:val="是否适用：母公司应收利息分类[双击切换]"/>
        <w:tag w:val="_GBC_5e0cba78d09b4764ada25ce89de1c4fd"/>
        <w:id w:val="1793483312"/>
        <w:placeholder>
          <w:docPart w:val="GBC22222222222222222222222222222"/>
        </w:placeholder>
      </w:sdtPr>
      <w:sdtContent>
        <w:p w14:paraId="1BD3315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019D75E" w14:textId="77777777" w:rsidR="005E000F" w:rsidRDefault="005E000F"/>
    <w:p w14:paraId="4A67DA0F" w14:textId="77777777" w:rsidR="005E000F" w:rsidRDefault="00000000">
      <w:pPr>
        <w:pStyle w:val="5"/>
        <w:numPr>
          <w:ilvl w:val="0"/>
          <w:numId w:val="132"/>
        </w:numPr>
        <w:ind w:leftChars="0"/>
        <w:rPr>
          <w:rFonts w:asciiTheme="minorHAnsi" w:hAnsiTheme="minorHAnsi" w:cs="宋体"/>
          <w:kern w:val="0"/>
          <w:szCs w:val="22"/>
        </w:rPr>
      </w:pPr>
      <w:bookmarkStart w:id="437" w:name="_Hlk533797114"/>
      <w:bookmarkEnd w:id="436"/>
      <w:r>
        <w:rPr>
          <w:rFonts w:asciiTheme="minorHAnsi" w:hAnsiTheme="minorHAnsi" w:cs="宋体" w:hint="eastAsia"/>
          <w:kern w:val="0"/>
          <w:szCs w:val="22"/>
        </w:rPr>
        <w:t>重要逾期利息</w:t>
      </w:r>
    </w:p>
    <w:sdt>
      <w:sdtPr>
        <w:alias w:val="是否适用：母公司重要逾期利息[双击切换]"/>
        <w:tag w:val="_GBC_2d954f5af6a64a34941652eeb166dce8"/>
        <w:id w:val="-1250192756"/>
        <w:placeholder>
          <w:docPart w:val="GBC22222222222222222222222222222"/>
        </w:placeholder>
      </w:sdtPr>
      <w:sdtContent>
        <w:p w14:paraId="0D25520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BC8DBEA" w14:textId="77777777" w:rsidR="005E000F" w:rsidRDefault="005E000F"/>
    <w:p w14:paraId="13A98623" w14:textId="77777777" w:rsidR="005E000F" w:rsidRDefault="00000000">
      <w:pPr>
        <w:pStyle w:val="5"/>
        <w:numPr>
          <w:ilvl w:val="0"/>
          <w:numId w:val="132"/>
        </w:numPr>
        <w:ind w:leftChars="0"/>
        <w:rPr>
          <w:rFonts w:asciiTheme="minorHAnsi" w:hAnsiTheme="minorHAnsi" w:cs="宋体"/>
          <w:kern w:val="0"/>
          <w:szCs w:val="22"/>
        </w:rPr>
      </w:pPr>
      <w:bookmarkStart w:id="438" w:name="_Hlk154149455"/>
      <w:bookmarkStart w:id="439" w:name="_Hlk153789950"/>
      <w:r>
        <w:rPr>
          <w:rFonts w:asciiTheme="minorHAnsi" w:hAnsiTheme="minorHAnsi" w:cs="宋体" w:hint="eastAsia"/>
          <w:kern w:val="0"/>
          <w:szCs w:val="22"/>
        </w:rPr>
        <w:t>按</w:t>
      </w:r>
      <w:r>
        <w:rPr>
          <w:rFonts w:asciiTheme="minorHAnsi" w:hAnsiTheme="minorHAnsi" w:cs="宋体"/>
          <w:kern w:val="0"/>
          <w:szCs w:val="22"/>
        </w:rPr>
        <w:t>坏账计提方法分类披露</w:t>
      </w:r>
    </w:p>
    <w:sdt>
      <w:sdtPr>
        <w:alias w:val="是否适用：按坏账计提方法分类披露[双击切换]"/>
        <w:tag w:val="_GBC_fe4d472a766545fe91e93448a26e5403"/>
        <w:id w:val="-1714649710"/>
        <w:placeholder>
          <w:docPart w:val="GBC22222222222222222222222222222"/>
        </w:placeholder>
      </w:sdtPr>
      <w:sdtContent>
        <w:p w14:paraId="698BB65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FE02332" w14:textId="77777777" w:rsidR="005E000F" w:rsidRDefault="005E000F"/>
    <w:p w14:paraId="44B2EFFC" w14:textId="77777777" w:rsidR="005E000F" w:rsidRDefault="00000000">
      <w:r>
        <w:rPr>
          <w:rFonts w:hint="eastAsia"/>
        </w:rPr>
        <w:t>按单项计提坏账准备：</w:t>
      </w:r>
    </w:p>
    <w:sdt>
      <w:sdtPr>
        <w:alias w:val="是否适用：母公司按单项计提坏账准备的详细情况[双击切换]"/>
        <w:tag w:val="_GBC_d06b9654dbc04fa7af49f1a5ad28f657"/>
        <w:id w:val="-78752635"/>
        <w:placeholder>
          <w:docPart w:val="GBC22222222222222222222222222222"/>
        </w:placeholder>
      </w:sdtPr>
      <w:sdtContent>
        <w:p w14:paraId="1FAD6094"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95ED2EC" w14:textId="77777777" w:rsidR="005E000F" w:rsidRDefault="005E000F"/>
    <w:p w14:paraId="25CE9AAD" w14:textId="77777777" w:rsidR="005E000F" w:rsidRDefault="00000000">
      <w:r>
        <w:rPr>
          <w:rFonts w:hint="eastAsia"/>
        </w:rPr>
        <w:t>按单项计提坏账准备的说明：</w:t>
      </w:r>
    </w:p>
    <w:sdt>
      <w:sdtPr>
        <w:alias w:val="是否适用：母公司按单项计提坏账准备的说明[双击切换]"/>
        <w:tag w:val="_GBC_7a6fa6b7c7de4c12942ac6477ec9ffb8"/>
        <w:id w:val="1642543674"/>
        <w:placeholder>
          <w:docPart w:val="GBC22222222222222222222222222222"/>
        </w:placeholder>
      </w:sdtPr>
      <w:sdtContent>
        <w:p w14:paraId="0210AAC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7361AA" w14:textId="77777777" w:rsidR="005E000F" w:rsidRDefault="005E000F"/>
    <w:p w14:paraId="69768F66" w14:textId="77777777" w:rsidR="005E000F" w:rsidRDefault="0000000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母公司按组合计提坏账准备的详细情况[双击切换]"/>
        <w:tag w:val="_GBC_ce999ec0925c4191a03a5c3b162652e0"/>
        <w:id w:val="65081732"/>
        <w:placeholder>
          <w:docPart w:val="GBC22222222222222222222222222222"/>
        </w:placeholder>
      </w:sdtPr>
      <w:sdtContent>
        <w:p w14:paraId="04682854" w14:textId="77777777" w:rsidR="005E000F" w:rsidRDefault="0000000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2ADFE40D" w14:textId="77777777" w:rsidR="005E000F" w:rsidRDefault="005E000F"/>
    <w:p w14:paraId="6A3C8FC7" w14:textId="77777777" w:rsidR="005E000F" w:rsidRDefault="005E000F">
      <w:pPr>
        <w:rPr>
          <w:rFonts w:ascii="Calibri" w:hAnsi="Calibri"/>
          <w:b/>
          <w:bCs/>
          <w:szCs w:val="22"/>
        </w:rPr>
      </w:pPr>
    </w:p>
    <w:p w14:paraId="3064A2F4" w14:textId="77777777" w:rsidR="005E000F" w:rsidRDefault="00000000">
      <w:pPr>
        <w:pStyle w:val="5"/>
        <w:numPr>
          <w:ilvl w:val="0"/>
          <w:numId w:val="132"/>
        </w:numPr>
        <w:ind w:leftChars="0"/>
        <w:rPr>
          <w:rFonts w:asciiTheme="minorHAnsi" w:hAnsiTheme="minorHAnsi" w:cs="宋体"/>
          <w:kern w:val="0"/>
          <w:szCs w:val="22"/>
        </w:rPr>
      </w:pPr>
      <w:bookmarkStart w:id="440" w:name="_Hlk533868784"/>
      <w:bookmarkEnd w:id="437"/>
      <w:bookmarkEnd w:id="438"/>
      <w:bookmarkEnd w:id="439"/>
      <w:r>
        <w:rPr>
          <w:rFonts w:asciiTheme="minorHAnsi" w:hAnsiTheme="minorHAnsi" w:cs="宋体" w:hint="eastAsia"/>
          <w:kern w:val="0"/>
          <w:szCs w:val="22"/>
        </w:rPr>
        <w:t>按</w:t>
      </w:r>
      <w:r>
        <w:rPr>
          <w:rFonts w:hint="eastAsia"/>
          <w:szCs w:val="22"/>
        </w:rPr>
        <w:t>预期信用损失一般模型计提坏账准备</w:t>
      </w:r>
    </w:p>
    <w:sdt>
      <w:sdtPr>
        <w:alias w:val="是否适用：母公司应收利息坏账准备调节表[双击切换]"/>
        <w:tag w:val="_GBC_f31c9323c5434941917fd7e42ea1fd1b"/>
        <w:id w:val="1769264608"/>
        <w:placeholder>
          <w:docPart w:val="GBC22222222222222222222222222222"/>
        </w:placeholder>
      </w:sdtPr>
      <w:sdtContent>
        <w:p w14:paraId="1FCC466E"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AB6B0FD" w14:textId="77777777" w:rsidR="005E000F" w:rsidRDefault="005E000F"/>
    <w:p w14:paraId="4DB0E19B" w14:textId="77777777" w:rsidR="005E000F" w:rsidRDefault="00000000">
      <w:pPr>
        <w:autoSpaceDE w:val="0"/>
        <w:autoSpaceDN w:val="0"/>
        <w:adjustRightInd w:val="0"/>
        <w:ind w:rightChars="50" w:right="105"/>
      </w:pPr>
      <w:bookmarkStart w:id="441" w:name="OLE_LINK5"/>
      <w:r>
        <w:rPr>
          <w:rFonts w:hint="eastAsia"/>
        </w:rPr>
        <w:t>各阶段划分依据和坏账准备计提比例</w:t>
      </w:r>
    </w:p>
    <w:bookmarkEnd w:id="441" w:displacedByCustomXml="next"/>
    <w:sdt>
      <w:sdtPr>
        <w:rPr>
          <w:bCs/>
          <w:szCs w:val="22"/>
        </w:rPr>
        <w:alias w:val="应收利息各阶段划分依据和坏账准备计提比例"/>
        <w:tag w:val="_GBC_b77aa29618704a4d96dead6a87509661"/>
        <w:id w:val="1822236803"/>
        <w:placeholder>
          <w:docPart w:val="GBC22222222222222222222222222222"/>
        </w:placeholder>
      </w:sdtPr>
      <w:sdtContent>
        <w:p w14:paraId="15CBCF5A" w14:textId="77777777" w:rsidR="005E000F" w:rsidRDefault="00000000">
          <w:pPr>
            <w:rPr>
              <w:bCs/>
              <w:szCs w:val="22"/>
            </w:rPr>
          </w:pPr>
          <w:r>
            <w:rPr>
              <w:rFonts w:hint="eastAsia"/>
              <w:bCs/>
              <w:szCs w:val="22"/>
            </w:rPr>
            <w:t>无</w:t>
          </w:r>
        </w:p>
      </w:sdtContent>
    </w:sdt>
    <w:p w14:paraId="46DE7395" w14:textId="77777777" w:rsidR="005E000F" w:rsidRDefault="005E000F">
      <w:pPr>
        <w:rPr>
          <w:bCs/>
          <w:szCs w:val="22"/>
        </w:rPr>
      </w:pPr>
    </w:p>
    <w:p w14:paraId="5F04E455" w14:textId="77777777" w:rsidR="005E000F" w:rsidRDefault="00000000">
      <w:pPr>
        <w:pStyle w:val="affb"/>
      </w:pPr>
      <w:r>
        <w:rPr>
          <w:rFonts w:hint="eastAsia"/>
        </w:rPr>
        <w:t>对本期发生损失准备变动的应收利息账面余额显著变动的情况说明：</w:t>
      </w:r>
    </w:p>
    <w:sdt>
      <w:sdtPr>
        <w:alias w:val="是否适用：母公司应收利息本期发生损失准备变动且账面余额显著变动的情况说明[双击切换]"/>
        <w:tag w:val="_GBC_2798f4ad45d644a484ca2567cd62ed60"/>
        <w:id w:val="-1725208002"/>
        <w:placeholder>
          <w:docPart w:val="GBC22222222222222222222222222222"/>
        </w:placeholder>
      </w:sdtPr>
      <w:sdtContent>
        <w:p w14:paraId="59B87C7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58C27DE" w14:textId="77777777" w:rsidR="005E000F" w:rsidRDefault="005E000F"/>
    <w:p w14:paraId="3CE2376E" w14:textId="77777777" w:rsidR="005E000F" w:rsidRDefault="00000000">
      <w:pPr>
        <w:pStyle w:val="5"/>
        <w:numPr>
          <w:ilvl w:val="0"/>
          <w:numId w:val="132"/>
        </w:numPr>
        <w:ind w:leftChars="0"/>
        <w:rPr>
          <w:rFonts w:asciiTheme="minorHAnsi" w:hAnsiTheme="minorHAnsi" w:cs="宋体"/>
          <w:kern w:val="0"/>
          <w:szCs w:val="22"/>
        </w:rPr>
      </w:pPr>
      <w:bookmarkStart w:id="442" w:name="_Hlk533797211"/>
      <w:bookmarkStart w:id="443" w:name="_Hlk154149866"/>
      <w:bookmarkStart w:id="444" w:name="_Hlk153790581"/>
      <w:bookmarkEnd w:id="440"/>
      <w:bookmarkEnd w:id="442"/>
      <w:r>
        <w:rPr>
          <w:rFonts w:asciiTheme="minorHAnsi" w:hAnsiTheme="minorHAnsi" w:cs="宋体" w:hint="eastAsia"/>
          <w:kern w:val="0"/>
          <w:szCs w:val="22"/>
        </w:rPr>
        <w:t>坏账准备的情况</w:t>
      </w:r>
    </w:p>
    <w:sdt>
      <w:sdtPr>
        <w:alias w:val="是否适用：母公司坏账准备情况[双击切换]"/>
        <w:tag w:val="_GBC_44a257b47fa748eca2cab9dd0877e841"/>
        <w:id w:val="549277212"/>
        <w:placeholder>
          <w:docPart w:val="GBC22222222222222222222222222222"/>
        </w:placeholder>
      </w:sdtPr>
      <w:sdtContent>
        <w:p w14:paraId="4D75514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8BAD95F" w14:textId="77777777" w:rsidR="005E000F" w:rsidRDefault="005E000F"/>
    <w:p w14:paraId="2331D22D" w14:textId="77777777" w:rsidR="005E000F" w:rsidRDefault="00000000">
      <w:r>
        <w:rPr>
          <w:rFonts w:hint="eastAsia"/>
        </w:rPr>
        <w:t>其中本期坏账准备收回或转回金额重要的：</w:t>
      </w:r>
    </w:p>
    <w:sdt>
      <w:sdtPr>
        <w:alias w:val="是否适用：本期坏账准备收回或转回金额重要的[双击切换]"/>
        <w:tag w:val="_GBC_dda1c249e9da4520abee515b8b42f5f4"/>
        <w:id w:val="11267889"/>
        <w:placeholder>
          <w:docPart w:val="GBC22222222222222222222222222222"/>
        </w:placeholder>
      </w:sdtPr>
      <w:sdtContent>
        <w:p w14:paraId="4958D8D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082CD46" w14:textId="77777777" w:rsidR="005E000F" w:rsidRDefault="005E000F"/>
    <w:p w14:paraId="6509E03A" w14:textId="77777777" w:rsidR="005E000F" w:rsidRDefault="00000000">
      <w:r>
        <w:rPr>
          <w:rFonts w:hint="eastAsia"/>
        </w:rPr>
        <w:t>其他说明：</w:t>
      </w:r>
    </w:p>
    <w:sdt>
      <w:sdtPr>
        <w:alias w:val="母公司坏账准备情况的说明"/>
        <w:tag w:val="_GBC_31b65196a31b451f9f81b4cd487599d5"/>
        <w:id w:val="-292836972"/>
        <w:placeholder>
          <w:docPart w:val="GBC22222222222222222222222222222"/>
        </w:placeholder>
      </w:sdtPr>
      <w:sdtContent>
        <w:p w14:paraId="46EBFD31" w14:textId="77777777" w:rsidR="005E000F" w:rsidRDefault="00000000">
          <w:pPr>
            <w:ind w:rightChars="20" w:right="42"/>
          </w:pPr>
          <w:r>
            <w:rPr>
              <w:rFonts w:hint="eastAsia"/>
            </w:rPr>
            <w:t>无</w:t>
          </w:r>
        </w:p>
      </w:sdtContent>
    </w:sdt>
    <w:p w14:paraId="665D1EC2" w14:textId="77777777" w:rsidR="005E000F" w:rsidRDefault="005E000F">
      <w:pPr>
        <w:ind w:rightChars="-759" w:right="-1594"/>
      </w:pPr>
    </w:p>
    <w:p w14:paraId="1D71F024" w14:textId="77777777" w:rsidR="005E000F" w:rsidRDefault="00000000">
      <w:pPr>
        <w:pStyle w:val="5"/>
        <w:numPr>
          <w:ilvl w:val="0"/>
          <w:numId w:val="132"/>
        </w:numPr>
        <w:ind w:leftChars="0"/>
        <w:rPr>
          <w:rFonts w:asciiTheme="minorHAnsi" w:hAnsiTheme="minorHAnsi" w:cs="宋体"/>
          <w:kern w:val="0"/>
          <w:szCs w:val="22"/>
        </w:rPr>
      </w:pPr>
      <w:r>
        <w:rPr>
          <w:rFonts w:asciiTheme="minorHAnsi" w:hAnsiTheme="minorHAnsi" w:cs="宋体"/>
          <w:kern w:val="0"/>
          <w:szCs w:val="22"/>
        </w:rPr>
        <w:t>本期实际核销的应收</w:t>
      </w:r>
      <w:r>
        <w:rPr>
          <w:rFonts w:asciiTheme="minorHAnsi" w:hAnsiTheme="minorHAnsi" w:cs="宋体" w:hint="eastAsia"/>
          <w:kern w:val="0"/>
          <w:szCs w:val="22"/>
        </w:rPr>
        <w:t>利息</w:t>
      </w:r>
      <w:r>
        <w:rPr>
          <w:rFonts w:asciiTheme="minorHAnsi" w:hAnsiTheme="minorHAnsi" w:cs="宋体"/>
          <w:kern w:val="0"/>
          <w:szCs w:val="22"/>
        </w:rPr>
        <w:t>情况</w:t>
      </w:r>
    </w:p>
    <w:sdt>
      <w:sdtPr>
        <w:alias w:val="是否适用：实际核销的情况[双击切换]"/>
        <w:tag w:val="_GBC_078b310c81244c1d880a4059768019f1"/>
        <w:id w:val="-410545410"/>
        <w:placeholder>
          <w:docPart w:val="GBC22222222222222222222222222222"/>
        </w:placeholder>
      </w:sdtPr>
      <w:sdtContent>
        <w:p w14:paraId="37164BA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D601BF4" w14:textId="77777777" w:rsidR="005E000F" w:rsidRDefault="005E000F"/>
    <w:p w14:paraId="1B1D4FE3" w14:textId="77777777" w:rsidR="005E000F" w:rsidRDefault="00000000">
      <w:r>
        <w:rPr>
          <w:rFonts w:hint="eastAsia"/>
        </w:rPr>
        <w:t>其中重要的应收利息核销情况</w:t>
      </w:r>
    </w:p>
    <w:sdt>
      <w:sdtPr>
        <w:rPr>
          <w:rFonts w:hint="eastAsia"/>
        </w:rPr>
        <w:alias w:val="是否适用：母公司重要的核销情况[双击切换]"/>
        <w:tag w:val="_GBC_d68df6b80a1a45bcb388baf56df1b958"/>
        <w:id w:val="-1309463862"/>
        <w:placeholder>
          <w:docPart w:val="GBC22222222222222222222222222222"/>
        </w:placeholder>
      </w:sdtPr>
      <w:sdtContent>
        <w:p w14:paraId="4E8E6ED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93EEA7F" w14:textId="77777777" w:rsidR="005E000F" w:rsidRDefault="005E000F"/>
    <w:p w14:paraId="0DB6F36A" w14:textId="77777777" w:rsidR="005E000F" w:rsidRDefault="00000000">
      <w:pPr>
        <w:snapToGrid w:val="0"/>
        <w:spacing w:line="240" w:lineRule="atLeast"/>
      </w:pPr>
      <w:r>
        <w:rPr>
          <w:rFonts w:hint="eastAsia"/>
        </w:rPr>
        <w:t>核销说明：</w:t>
      </w:r>
    </w:p>
    <w:sdt>
      <w:sdtPr>
        <w:alias w:val="是否适用：母公司核销说明[双击切换]"/>
        <w:tag w:val="_GBC_dd0453ff96014cb191f4b96cd3787f15"/>
        <w:id w:val="1634979466"/>
        <w:placeholder>
          <w:docPart w:val="GBC22222222222222222222222222222"/>
        </w:placeholder>
      </w:sdtPr>
      <w:sdtContent>
        <w:p w14:paraId="3EA4E4DA"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6EC53A3" w14:textId="77777777" w:rsidR="005E000F" w:rsidRDefault="005E000F"/>
    <w:bookmarkEnd w:id="443"/>
    <w:p w14:paraId="43518941" w14:textId="77777777" w:rsidR="005E000F" w:rsidRDefault="00000000">
      <w:r>
        <w:rPr>
          <w:rFonts w:hint="eastAsia"/>
        </w:rPr>
        <w:lastRenderedPageBreak/>
        <w:t>其他说明：</w:t>
      </w:r>
    </w:p>
    <w:sdt>
      <w:sdtPr>
        <w:rPr>
          <w:rFonts w:hint="eastAsia"/>
        </w:rPr>
        <w:alias w:val="是否适用：应收利息的说明[双击切换]"/>
        <w:tag w:val="_GBC_9a3e6e5b075544d3b90be42ae9d883ef"/>
        <w:id w:val="-465437795"/>
        <w:placeholder>
          <w:docPart w:val="GBC22222222222222222222222222222"/>
        </w:placeholder>
      </w:sdtPr>
      <w:sdtContent>
        <w:p w14:paraId="2A0B51D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F4E722E" w14:textId="77777777" w:rsidR="005E000F" w:rsidRDefault="005E000F"/>
    <w:bookmarkEnd w:id="444"/>
    <w:p w14:paraId="4F7F0B7A" w14:textId="77777777" w:rsidR="005E000F" w:rsidRDefault="00000000">
      <w:pPr>
        <w:pStyle w:val="4"/>
        <w:ind w:left="360" w:hanging="360"/>
      </w:pPr>
      <w:r>
        <w:rPr>
          <w:rFonts w:hint="eastAsia"/>
        </w:rPr>
        <w:t>应收股利</w:t>
      </w:r>
    </w:p>
    <w:p w14:paraId="57E82D12" w14:textId="77777777" w:rsidR="005E000F" w:rsidRDefault="00000000">
      <w:pPr>
        <w:pStyle w:val="5"/>
        <w:numPr>
          <w:ilvl w:val="0"/>
          <w:numId w:val="133"/>
        </w:numPr>
        <w:ind w:leftChars="0"/>
        <w:rPr>
          <w:rFonts w:asciiTheme="minorHAnsi" w:hAnsiTheme="minorHAnsi" w:cs="宋体"/>
          <w:kern w:val="0"/>
          <w:szCs w:val="22"/>
        </w:rPr>
      </w:pPr>
      <w:bookmarkStart w:id="445" w:name="_Hlk533797257"/>
      <w:r>
        <w:rPr>
          <w:rFonts w:asciiTheme="minorHAnsi" w:hAnsiTheme="minorHAnsi" w:cs="宋体" w:hint="eastAsia"/>
          <w:kern w:val="0"/>
          <w:szCs w:val="22"/>
        </w:rPr>
        <w:t>应收股利</w:t>
      </w:r>
    </w:p>
    <w:sdt>
      <w:sdtPr>
        <w:alias w:val="是否适用：母公司应收股利[双击切换]"/>
        <w:tag w:val="_GBC_a52dcf5153694fbe9527781c61a5006e"/>
        <w:id w:val="1247071769"/>
        <w:placeholder>
          <w:docPart w:val="GBC22222222222222222222222222222"/>
        </w:placeholder>
      </w:sdtPr>
      <w:sdtContent>
        <w:p w14:paraId="0115FF02"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3E49FAE" w14:textId="77777777" w:rsidR="005E000F" w:rsidRDefault="00000000">
      <w:pPr>
        <w:jc w:val="right"/>
      </w:pPr>
      <w:r>
        <w:rPr>
          <w:rFonts w:hint="eastAsia"/>
        </w:rPr>
        <w:t>单位：</w:t>
      </w:r>
      <w:sdt>
        <w:sdtPr>
          <w:rPr>
            <w:rFonts w:hint="eastAsia"/>
          </w:rPr>
          <w:alias w:val="单位：母公司应收股利"/>
          <w:tag w:val="_GBC_6ca836a3bcad480a9c85951f0ab366a6"/>
          <w:id w:val="-23077407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应收股利"/>
          <w:tag w:val="_GBC_f127bcdbe1e14dfb9de9ff2ea28f8849"/>
          <w:id w:val="169820049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3"/>
        <w:gridCol w:w="2810"/>
        <w:gridCol w:w="2825"/>
      </w:tblGrid>
      <w:tr w:rsidR="005E000F" w14:paraId="1CB5373B" w14:textId="77777777">
        <w:sdt>
          <w:sdtPr>
            <w:tag w:val="_PLD_2f33eddb4e264906aec2f02b43b353c9"/>
            <w:id w:val="-1698993345"/>
          </w:sdtPr>
          <w:sdtContent>
            <w:tc>
              <w:tcPr>
                <w:tcW w:w="3413" w:type="dxa"/>
                <w:vAlign w:val="center"/>
              </w:tcPr>
              <w:p w14:paraId="34CEB9A5" w14:textId="77777777" w:rsidR="005E000F" w:rsidRDefault="00000000">
                <w:pPr>
                  <w:jc w:val="center"/>
                </w:pPr>
                <w:r>
                  <w:rPr>
                    <w:rFonts w:hint="eastAsia"/>
                  </w:rPr>
                  <w:t>项目（或被投资单位）</w:t>
                </w:r>
              </w:p>
            </w:tc>
          </w:sdtContent>
        </w:sdt>
        <w:sdt>
          <w:sdtPr>
            <w:tag w:val="_PLD_d5c6465a5d04498caa02c0445ea9f2a6"/>
            <w:id w:val="-1312400514"/>
          </w:sdtPr>
          <w:sdtContent>
            <w:tc>
              <w:tcPr>
                <w:tcW w:w="2810" w:type="dxa"/>
                <w:vAlign w:val="center"/>
              </w:tcPr>
              <w:p w14:paraId="79B4AF4D" w14:textId="77777777" w:rsidR="005E000F" w:rsidRDefault="00000000">
                <w:pPr>
                  <w:jc w:val="center"/>
                </w:pPr>
                <w:r>
                  <w:rPr>
                    <w:rFonts w:hint="eastAsia"/>
                  </w:rPr>
                  <w:t>期末余额</w:t>
                </w:r>
              </w:p>
            </w:tc>
          </w:sdtContent>
        </w:sdt>
        <w:sdt>
          <w:sdtPr>
            <w:tag w:val="_PLD_c14a5a3826574e7ebd8083db63a7a818"/>
            <w:id w:val="1324007286"/>
          </w:sdtPr>
          <w:sdtContent>
            <w:tc>
              <w:tcPr>
                <w:tcW w:w="2825" w:type="dxa"/>
                <w:vAlign w:val="center"/>
              </w:tcPr>
              <w:p w14:paraId="23B61E4D" w14:textId="77777777" w:rsidR="005E000F" w:rsidRDefault="00000000">
                <w:pPr>
                  <w:jc w:val="center"/>
                </w:pPr>
                <w:r>
                  <w:rPr>
                    <w:rFonts w:hint="eastAsia"/>
                  </w:rPr>
                  <w:t>期初余额</w:t>
                </w:r>
              </w:p>
            </w:tc>
          </w:sdtContent>
        </w:sdt>
      </w:tr>
      <w:tr w:rsidR="005E000F" w14:paraId="373A7DDF" w14:textId="77777777">
        <w:tc>
          <w:tcPr>
            <w:tcW w:w="3413" w:type="dxa"/>
            <w:vAlign w:val="center"/>
          </w:tcPr>
          <w:p w14:paraId="6F14A24E" w14:textId="77777777" w:rsidR="005E000F" w:rsidRDefault="00000000">
            <w:r>
              <w:t>应收联营公司股利</w:t>
            </w:r>
          </w:p>
        </w:tc>
        <w:tc>
          <w:tcPr>
            <w:tcW w:w="2810" w:type="dxa"/>
            <w:vAlign w:val="center"/>
          </w:tcPr>
          <w:p w14:paraId="05A37C4E" w14:textId="77777777" w:rsidR="005E000F" w:rsidRDefault="00000000">
            <w:pPr>
              <w:jc w:val="right"/>
            </w:pPr>
            <w:r>
              <w:rPr>
                <w:rFonts w:hint="eastAsia"/>
              </w:rPr>
              <w:t>0</w:t>
            </w:r>
          </w:p>
        </w:tc>
        <w:tc>
          <w:tcPr>
            <w:tcW w:w="2825" w:type="dxa"/>
            <w:vAlign w:val="center"/>
          </w:tcPr>
          <w:p w14:paraId="6BE47A73" w14:textId="77777777" w:rsidR="005E000F" w:rsidRDefault="00000000">
            <w:pPr>
              <w:jc w:val="right"/>
              <w:rPr>
                <w:rFonts w:cs="宋体"/>
                <w:bCs/>
              </w:rPr>
            </w:pPr>
            <w:r>
              <w:rPr>
                <w:rFonts w:cs="宋体" w:hint="eastAsia"/>
                <w:bCs/>
              </w:rPr>
              <w:t>2,433,551,412</w:t>
            </w:r>
          </w:p>
        </w:tc>
      </w:tr>
      <w:tr w:rsidR="005E000F" w14:paraId="7A0D5547" w14:textId="77777777">
        <w:tc>
          <w:tcPr>
            <w:tcW w:w="3413" w:type="dxa"/>
            <w:vAlign w:val="center"/>
          </w:tcPr>
          <w:p w14:paraId="59FBA3A9" w14:textId="77777777" w:rsidR="005E000F" w:rsidRDefault="00000000">
            <w:pPr>
              <w:jc w:val="center"/>
            </w:pPr>
            <w:r>
              <w:rPr>
                <w:rFonts w:hint="eastAsia"/>
              </w:rPr>
              <w:t>合计</w:t>
            </w:r>
          </w:p>
        </w:tc>
        <w:tc>
          <w:tcPr>
            <w:tcW w:w="2810" w:type="dxa"/>
            <w:vAlign w:val="center"/>
          </w:tcPr>
          <w:p w14:paraId="25C26775" w14:textId="77777777" w:rsidR="005E000F" w:rsidRDefault="00000000">
            <w:pPr>
              <w:jc w:val="right"/>
            </w:pPr>
            <w:r>
              <w:rPr>
                <w:rFonts w:hint="eastAsia"/>
              </w:rPr>
              <w:t>0</w:t>
            </w:r>
          </w:p>
        </w:tc>
        <w:tc>
          <w:tcPr>
            <w:tcW w:w="2825" w:type="dxa"/>
            <w:vAlign w:val="center"/>
          </w:tcPr>
          <w:p w14:paraId="2E07BDE9" w14:textId="77777777" w:rsidR="005E000F" w:rsidRDefault="00000000">
            <w:pPr>
              <w:jc w:val="right"/>
              <w:rPr>
                <w:rFonts w:cs="宋体"/>
                <w:bCs/>
              </w:rPr>
            </w:pPr>
            <w:r>
              <w:rPr>
                <w:rFonts w:cs="宋体" w:hint="eastAsia"/>
                <w:bCs/>
              </w:rPr>
              <w:t>2,433,551,412</w:t>
            </w:r>
          </w:p>
        </w:tc>
      </w:tr>
    </w:tbl>
    <w:p w14:paraId="6C8D897D" w14:textId="77777777" w:rsidR="005E000F" w:rsidRDefault="005E000F"/>
    <w:p w14:paraId="0CE074A1" w14:textId="77777777" w:rsidR="005E000F" w:rsidRDefault="00000000">
      <w:pPr>
        <w:pStyle w:val="5"/>
        <w:numPr>
          <w:ilvl w:val="0"/>
          <w:numId w:val="133"/>
        </w:numPr>
        <w:ind w:leftChars="0"/>
        <w:rPr>
          <w:rFonts w:asciiTheme="minorHAnsi" w:hAnsiTheme="minorHAnsi" w:cs="宋体"/>
          <w:kern w:val="0"/>
          <w:szCs w:val="22"/>
        </w:rPr>
      </w:pPr>
      <w:bookmarkStart w:id="446" w:name="_Hlk533797316"/>
      <w:bookmarkEnd w:id="445"/>
      <w:r>
        <w:rPr>
          <w:rFonts w:asciiTheme="minorHAnsi" w:hAnsiTheme="minorHAnsi" w:cs="宋体" w:hint="eastAsia"/>
          <w:kern w:val="0"/>
          <w:szCs w:val="22"/>
        </w:rPr>
        <w:t>重要的账龄超过</w:t>
      </w:r>
      <w:r>
        <w:rPr>
          <w:rFonts w:asciiTheme="minorHAnsi" w:hAnsiTheme="minorHAnsi" w:cs="宋体" w:hint="eastAsia"/>
          <w:kern w:val="0"/>
          <w:szCs w:val="22"/>
        </w:rPr>
        <w:t>1</w:t>
      </w:r>
      <w:r>
        <w:rPr>
          <w:rFonts w:asciiTheme="minorHAnsi" w:hAnsiTheme="minorHAnsi" w:cs="宋体" w:hint="eastAsia"/>
          <w:kern w:val="0"/>
          <w:szCs w:val="22"/>
        </w:rPr>
        <w:t>年的应收股利</w:t>
      </w:r>
    </w:p>
    <w:sdt>
      <w:sdtPr>
        <w:alias w:val="是否适用：母公司重要的账龄超过1年的应收股利[双击切换]"/>
        <w:tag w:val="_GBC_70eb463d08894908bb104ae0b258e76e"/>
        <w:id w:val="1997837551"/>
        <w:placeholder>
          <w:docPart w:val="GBC22222222222222222222222222222"/>
        </w:placeholder>
      </w:sdtPr>
      <w:sdtContent>
        <w:p w14:paraId="19E6ED7A"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B312282" w14:textId="77777777" w:rsidR="005E000F" w:rsidRDefault="005E000F"/>
    <w:p w14:paraId="3705B01E" w14:textId="77777777" w:rsidR="005E000F" w:rsidRDefault="00000000">
      <w:pPr>
        <w:pStyle w:val="5"/>
        <w:numPr>
          <w:ilvl w:val="0"/>
          <w:numId w:val="133"/>
        </w:numPr>
        <w:ind w:leftChars="0"/>
        <w:rPr>
          <w:rFonts w:asciiTheme="minorHAnsi" w:hAnsiTheme="minorHAnsi" w:cs="宋体"/>
          <w:kern w:val="0"/>
          <w:szCs w:val="22"/>
        </w:rPr>
      </w:pPr>
      <w:bookmarkStart w:id="447" w:name="_Hlk153790907"/>
      <w:bookmarkStart w:id="448" w:name="_Hlk154150045"/>
      <w:r>
        <w:rPr>
          <w:rFonts w:asciiTheme="minorHAnsi" w:hAnsiTheme="minorHAnsi" w:cs="宋体" w:hint="eastAsia"/>
          <w:kern w:val="0"/>
          <w:szCs w:val="22"/>
        </w:rPr>
        <w:t>按</w:t>
      </w:r>
      <w:r>
        <w:rPr>
          <w:rFonts w:asciiTheme="minorHAnsi" w:hAnsiTheme="minorHAnsi" w:cs="宋体"/>
          <w:kern w:val="0"/>
          <w:szCs w:val="22"/>
        </w:rPr>
        <w:t>坏账计提方法分类披露</w:t>
      </w:r>
    </w:p>
    <w:sdt>
      <w:sdtPr>
        <w:alias w:val="是否适用：母公司按坏账计提方法分类披露[双击切换]"/>
        <w:tag w:val="_GBC_3e6131bf64764260959e58957d1a923e"/>
        <w:id w:val="2025893349"/>
        <w:placeholder>
          <w:docPart w:val="GBC22222222222222222222222222222"/>
        </w:placeholder>
      </w:sdtPr>
      <w:sdtContent>
        <w:p w14:paraId="70422F0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61358B1" w14:textId="77777777" w:rsidR="005E000F" w:rsidRDefault="005E000F"/>
    <w:p w14:paraId="1F3E51D9" w14:textId="77777777" w:rsidR="005E000F" w:rsidRDefault="00000000">
      <w:r>
        <w:rPr>
          <w:rFonts w:hint="eastAsia"/>
        </w:rPr>
        <w:t>按单项计提坏账准备：</w:t>
      </w:r>
    </w:p>
    <w:sdt>
      <w:sdtPr>
        <w:alias w:val="是否适用：母公司按单项计提坏账准备的详细情况[双击切换]"/>
        <w:tag w:val="_GBC_0bffd65beafa48e6aca929c5c2140787"/>
        <w:id w:val="-1267149597"/>
        <w:placeholder>
          <w:docPart w:val="GBC22222222222222222222222222222"/>
        </w:placeholder>
      </w:sdtPr>
      <w:sdtContent>
        <w:p w14:paraId="34D6B99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C9B9653" w14:textId="77777777" w:rsidR="005E000F" w:rsidRDefault="005E000F"/>
    <w:p w14:paraId="67E2C345" w14:textId="77777777" w:rsidR="005E000F" w:rsidRDefault="00000000">
      <w:r>
        <w:rPr>
          <w:rFonts w:hint="eastAsia"/>
        </w:rPr>
        <w:t>按单项计提坏账准备的说明：</w:t>
      </w:r>
    </w:p>
    <w:sdt>
      <w:sdtPr>
        <w:alias w:val="是否适用：母公司按单项计提坏账准备的说明[双击切换]"/>
        <w:tag w:val="_GBC_3ff3367dda784192860c78e5be49cae0"/>
        <w:id w:val="21753461"/>
        <w:placeholder>
          <w:docPart w:val="GBC22222222222222222222222222222"/>
        </w:placeholder>
      </w:sdtPr>
      <w:sdtContent>
        <w:p w14:paraId="016A1519"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DB80A31" w14:textId="77777777" w:rsidR="005E000F" w:rsidRDefault="005E000F"/>
    <w:p w14:paraId="786BD6C9" w14:textId="77777777" w:rsidR="005E000F" w:rsidRDefault="00000000">
      <w:pPr>
        <w:rPr>
          <w:rFonts w:ascii="Calibri" w:hAnsi="Calibri"/>
          <w:bCs/>
          <w:szCs w:val="22"/>
        </w:rPr>
      </w:pPr>
      <w:r>
        <w:rPr>
          <w:rFonts w:ascii="Calibri" w:hAnsi="Calibri" w:hint="eastAsia"/>
          <w:bCs/>
          <w:szCs w:val="22"/>
        </w:rPr>
        <w:t>按组合计提坏账准备：</w:t>
      </w:r>
    </w:p>
    <w:sdt>
      <w:sdtPr>
        <w:rPr>
          <w:rFonts w:ascii="Calibri" w:hAnsi="Calibri"/>
          <w:bCs/>
          <w:szCs w:val="22"/>
        </w:rPr>
        <w:alias w:val="是否适用：母公司按组合计提坏账准备的详细情况[双击切换]"/>
        <w:tag w:val="_GBC_5b769fae73d0491bae227d3968699870"/>
        <w:id w:val="-526022522"/>
        <w:placeholder>
          <w:docPart w:val="GBC22222222222222222222222222222"/>
        </w:placeholder>
      </w:sdtPr>
      <w:sdtContent>
        <w:p w14:paraId="5C1BD248" w14:textId="77777777" w:rsidR="005E000F" w:rsidRDefault="00000000">
          <w:r>
            <w:rPr>
              <w:rFonts w:ascii="宋体" w:hAnsi="宋体"/>
              <w:bCs/>
              <w:szCs w:val="22"/>
            </w:rPr>
            <w:fldChar w:fldCharType="begin"/>
          </w:r>
          <w:r>
            <w:rPr>
              <w:rFonts w:ascii="宋体" w:hAnsi="宋体" w:hint="eastAsia"/>
              <w:bCs/>
              <w:szCs w:val="22"/>
            </w:rPr>
            <w:instrText xml:space="preserve"> MACROBUTTON  SnrToggleCheckbox □适用 </w:instrText>
          </w:r>
          <w:r>
            <w:rPr>
              <w:rFonts w:ascii="宋体" w:hAnsi="宋体"/>
              <w:bCs/>
              <w:szCs w:val="22"/>
            </w:rPr>
            <w:fldChar w:fldCharType="end"/>
          </w:r>
          <w:r>
            <w:rPr>
              <w:rFonts w:ascii="宋体" w:hAnsi="宋体"/>
              <w:bCs/>
              <w:szCs w:val="22"/>
            </w:rPr>
            <w:fldChar w:fldCharType="begin"/>
          </w:r>
          <w:r>
            <w:rPr>
              <w:rFonts w:ascii="宋体" w:hAnsi="宋体" w:hint="eastAsia"/>
              <w:bCs/>
              <w:szCs w:val="22"/>
            </w:rPr>
            <w:instrText xml:space="preserve"> MACROBUTTON  SnrToggleCheckbox √不适用 </w:instrText>
          </w:r>
          <w:r>
            <w:rPr>
              <w:rFonts w:ascii="宋体" w:hAnsi="宋体"/>
              <w:bCs/>
              <w:szCs w:val="22"/>
            </w:rPr>
            <w:fldChar w:fldCharType="end"/>
          </w:r>
        </w:p>
      </w:sdtContent>
    </w:sdt>
    <w:p w14:paraId="325EF856" w14:textId="77777777" w:rsidR="005E000F" w:rsidRDefault="005E000F"/>
    <w:p w14:paraId="0069CF77" w14:textId="77777777" w:rsidR="005E000F" w:rsidRDefault="005E000F">
      <w:pPr>
        <w:rPr>
          <w:rFonts w:ascii="Calibri" w:hAnsi="Calibri"/>
          <w:b/>
          <w:bCs/>
          <w:szCs w:val="22"/>
        </w:rPr>
      </w:pPr>
    </w:p>
    <w:p w14:paraId="7648C1FF" w14:textId="77777777" w:rsidR="005E000F" w:rsidRDefault="00000000">
      <w:pPr>
        <w:pStyle w:val="5"/>
        <w:numPr>
          <w:ilvl w:val="0"/>
          <w:numId w:val="133"/>
        </w:numPr>
        <w:ind w:leftChars="0"/>
        <w:rPr>
          <w:rFonts w:asciiTheme="minorHAnsi" w:hAnsiTheme="minorHAnsi" w:cs="宋体"/>
          <w:kern w:val="0"/>
          <w:szCs w:val="22"/>
        </w:rPr>
      </w:pPr>
      <w:bookmarkStart w:id="449" w:name="_Hlk533868874"/>
      <w:bookmarkEnd w:id="446"/>
      <w:bookmarkEnd w:id="447"/>
      <w:bookmarkEnd w:id="448"/>
      <w:r>
        <w:rPr>
          <w:rFonts w:asciiTheme="minorHAnsi" w:hAnsiTheme="minorHAnsi" w:cs="宋体" w:hint="eastAsia"/>
          <w:kern w:val="0"/>
          <w:szCs w:val="22"/>
        </w:rPr>
        <w:t>按</w:t>
      </w:r>
      <w:r>
        <w:rPr>
          <w:rFonts w:hint="eastAsia"/>
          <w:szCs w:val="22"/>
        </w:rPr>
        <w:t>预期信用损失一般模型计提坏账准备</w:t>
      </w:r>
    </w:p>
    <w:sdt>
      <w:sdtPr>
        <w:alias w:val="是否适用：母公司应收股利坏账准备调节表[双击切换]"/>
        <w:tag w:val="_GBC_5cbd8c1c52fa42d19db26aadad6a74b8"/>
        <w:id w:val="-1522071688"/>
        <w:placeholder>
          <w:docPart w:val="GBC22222222222222222222222222222"/>
        </w:placeholder>
      </w:sdtPr>
      <w:sdtContent>
        <w:p w14:paraId="60475590"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BAA5C31" w14:textId="77777777" w:rsidR="005E000F" w:rsidRDefault="005E000F"/>
    <w:p w14:paraId="419F8656"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应收股利各阶段划分依据和坏账准备计提比例"/>
        <w:tag w:val="_GBC_add0117a614f4e33bfb451894481c309"/>
        <w:id w:val="1803959043"/>
        <w:placeholder>
          <w:docPart w:val="GBC22222222222222222222222222222"/>
        </w:placeholder>
      </w:sdtPr>
      <w:sdtContent>
        <w:p w14:paraId="1FF17679" w14:textId="77777777" w:rsidR="005E000F" w:rsidRDefault="00000000">
          <w:pPr>
            <w:rPr>
              <w:bCs/>
              <w:szCs w:val="22"/>
            </w:rPr>
          </w:pPr>
          <w:r>
            <w:rPr>
              <w:rFonts w:hint="eastAsia"/>
              <w:bCs/>
              <w:szCs w:val="22"/>
            </w:rPr>
            <w:t>无</w:t>
          </w:r>
        </w:p>
      </w:sdtContent>
    </w:sdt>
    <w:p w14:paraId="0D5AC2A6" w14:textId="77777777" w:rsidR="005E000F" w:rsidRDefault="005E000F">
      <w:pPr>
        <w:autoSpaceDE w:val="0"/>
        <w:autoSpaceDN w:val="0"/>
        <w:adjustRightInd w:val="0"/>
        <w:ind w:rightChars="50" w:right="105"/>
      </w:pPr>
    </w:p>
    <w:p w14:paraId="6DEA00BE" w14:textId="77777777" w:rsidR="005E000F" w:rsidRDefault="00000000">
      <w:pPr>
        <w:pStyle w:val="affb"/>
      </w:pPr>
      <w:r>
        <w:rPr>
          <w:rFonts w:hint="eastAsia"/>
        </w:rPr>
        <w:t>对本期发生损失准备变动的应收股利账面余额显著变动的情况说明：</w:t>
      </w:r>
    </w:p>
    <w:sdt>
      <w:sdtPr>
        <w:rPr>
          <w:rFonts w:hint="eastAsia"/>
        </w:rPr>
        <w:alias w:val="是否适用：母公司应收股利本期发生损失准备变动且账面余额显著变动的情况说明[双击切换]"/>
        <w:tag w:val="_GBC_97e9fe7a49b947f79ce9d174eeaf0f5f"/>
        <w:id w:val="816380380"/>
        <w:placeholder>
          <w:docPart w:val="GBC22222222222222222222222222222"/>
        </w:placeholder>
      </w:sdtPr>
      <w:sdtContent>
        <w:p w14:paraId="452B59D5" w14:textId="77777777" w:rsidR="005E000F" w:rsidRDefault="00000000">
          <w:pPr>
            <w:autoSpaceDE w:val="0"/>
            <w:autoSpaceDN w:val="0"/>
            <w:adjustRightInd w:val="0"/>
            <w:ind w:rightChars="50" w:right="105"/>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B220DEE" w14:textId="77777777" w:rsidR="005E000F" w:rsidRDefault="005E000F"/>
    <w:p w14:paraId="547D3D39" w14:textId="77777777" w:rsidR="005E000F" w:rsidRDefault="00000000">
      <w:pPr>
        <w:pStyle w:val="5"/>
        <w:numPr>
          <w:ilvl w:val="0"/>
          <w:numId w:val="133"/>
        </w:numPr>
        <w:ind w:leftChars="0"/>
        <w:rPr>
          <w:rFonts w:asciiTheme="minorHAnsi" w:hAnsiTheme="minorHAnsi" w:cs="宋体"/>
          <w:kern w:val="0"/>
          <w:szCs w:val="22"/>
        </w:rPr>
      </w:pPr>
      <w:bookmarkStart w:id="450" w:name="_Hlk153792018"/>
      <w:bookmarkStart w:id="451" w:name="_Hlk154150256"/>
      <w:bookmarkEnd w:id="449"/>
      <w:r>
        <w:rPr>
          <w:rFonts w:asciiTheme="minorHAnsi" w:hAnsiTheme="minorHAnsi" w:cs="宋体" w:hint="eastAsia"/>
          <w:kern w:val="0"/>
          <w:szCs w:val="22"/>
        </w:rPr>
        <w:t>坏账准备的情况</w:t>
      </w:r>
    </w:p>
    <w:sdt>
      <w:sdtPr>
        <w:alias w:val="是否适用：母公司坏账准备情况[双击切换]"/>
        <w:tag w:val="_GBC_821565a30d3745e0bc44de118b7dee6f"/>
        <w:id w:val="-1009597045"/>
        <w:placeholder>
          <w:docPart w:val="GBC22222222222222222222222222222"/>
        </w:placeholder>
      </w:sdtPr>
      <w:sdtContent>
        <w:p w14:paraId="63A2A4C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1981D70" w14:textId="77777777" w:rsidR="005E000F" w:rsidRDefault="005E000F"/>
    <w:p w14:paraId="73AE45E6" w14:textId="77777777" w:rsidR="005E000F" w:rsidRDefault="00000000">
      <w:r>
        <w:rPr>
          <w:rFonts w:hint="eastAsia"/>
        </w:rPr>
        <w:t>其中本期坏账准备收回或转回金额重要的：</w:t>
      </w:r>
    </w:p>
    <w:sdt>
      <w:sdtPr>
        <w:alias w:val="是否适用：母公司本期坏账准备收回或转回金额重要的[双击切换]"/>
        <w:tag w:val="_GBC_0d1ed1559d1344db8b219f59e8d21024"/>
        <w:id w:val="746546931"/>
        <w:placeholder>
          <w:docPart w:val="GBC22222222222222222222222222222"/>
        </w:placeholder>
      </w:sdtPr>
      <w:sdtContent>
        <w:p w14:paraId="7FBC7E4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D44DE53" w14:textId="77777777" w:rsidR="005E000F" w:rsidRDefault="005E000F"/>
    <w:p w14:paraId="56121E72" w14:textId="77777777" w:rsidR="005E000F" w:rsidRDefault="00000000">
      <w:r>
        <w:rPr>
          <w:rFonts w:hint="eastAsia"/>
        </w:rPr>
        <w:t>其他说明：</w:t>
      </w:r>
    </w:p>
    <w:sdt>
      <w:sdtPr>
        <w:alias w:val="母公司坏账准备情况的说明"/>
        <w:tag w:val="_GBC_1ed1f4303f9641fba538e08ef13fe5e7"/>
        <w:id w:val="-28108361"/>
        <w:placeholder>
          <w:docPart w:val="GBC22222222222222222222222222222"/>
        </w:placeholder>
      </w:sdtPr>
      <w:sdtContent>
        <w:p w14:paraId="1026E4D7" w14:textId="77777777" w:rsidR="005E000F" w:rsidRDefault="00000000">
          <w:pPr>
            <w:ind w:rightChars="20" w:right="42"/>
          </w:pPr>
          <w:r>
            <w:rPr>
              <w:rFonts w:hint="eastAsia"/>
            </w:rPr>
            <w:t>无</w:t>
          </w:r>
        </w:p>
      </w:sdtContent>
    </w:sdt>
    <w:p w14:paraId="3F25D563" w14:textId="77777777" w:rsidR="005E000F" w:rsidRDefault="005E000F">
      <w:pPr>
        <w:ind w:rightChars="-759" w:right="-1594"/>
      </w:pPr>
    </w:p>
    <w:p w14:paraId="2978032B" w14:textId="77777777" w:rsidR="005E000F" w:rsidRDefault="00000000">
      <w:pPr>
        <w:pStyle w:val="5"/>
        <w:numPr>
          <w:ilvl w:val="0"/>
          <w:numId w:val="133"/>
        </w:numPr>
        <w:ind w:leftChars="0"/>
        <w:rPr>
          <w:rFonts w:asciiTheme="minorHAnsi" w:hAnsiTheme="minorHAnsi" w:cs="宋体"/>
          <w:kern w:val="0"/>
          <w:szCs w:val="22"/>
        </w:rPr>
      </w:pPr>
      <w:bookmarkStart w:id="452" w:name="_Hlk155883151"/>
      <w:r>
        <w:rPr>
          <w:rFonts w:asciiTheme="minorHAnsi" w:hAnsiTheme="minorHAnsi" w:cs="宋体"/>
          <w:kern w:val="0"/>
          <w:szCs w:val="22"/>
        </w:rPr>
        <w:t>本期实际核销的应收</w:t>
      </w:r>
      <w:r>
        <w:rPr>
          <w:rFonts w:asciiTheme="minorHAnsi" w:hAnsiTheme="minorHAnsi" w:cs="宋体" w:hint="eastAsia"/>
          <w:kern w:val="0"/>
          <w:szCs w:val="22"/>
        </w:rPr>
        <w:t>股利</w:t>
      </w:r>
      <w:r>
        <w:rPr>
          <w:rFonts w:asciiTheme="minorHAnsi" w:hAnsiTheme="minorHAnsi" w:cs="宋体"/>
          <w:kern w:val="0"/>
          <w:szCs w:val="22"/>
        </w:rPr>
        <w:t>情况</w:t>
      </w:r>
    </w:p>
    <w:sdt>
      <w:sdtPr>
        <w:alias w:val="是否适用：母公司实际核销的情况[双击切换]"/>
        <w:tag w:val="_GBC_1b5ee2d7fd5a4b549b2a2bd673f1698a"/>
        <w:id w:val="-979072748"/>
        <w:placeholder>
          <w:docPart w:val="GBC22222222222222222222222222222"/>
        </w:placeholder>
      </w:sdtPr>
      <w:sdtContent>
        <w:p w14:paraId="7C1E580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3248C84" w14:textId="77777777" w:rsidR="005E000F" w:rsidRDefault="005E000F"/>
    <w:bookmarkEnd w:id="452"/>
    <w:p w14:paraId="1C2F7ACC" w14:textId="77777777" w:rsidR="005E000F" w:rsidRDefault="00000000">
      <w:r>
        <w:rPr>
          <w:rFonts w:hint="eastAsia"/>
        </w:rPr>
        <w:t>其中重要的应收股利核销情况</w:t>
      </w:r>
    </w:p>
    <w:sdt>
      <w:sdtPr>
        <w:rPr>
          <w:rFonts w:hint="eastAsia"/>
        </w:rPr>
        <w:alias w:val="是否适用：母公司重要的核销情况[双击切换]"/>
        <w:tag w:val="_GBC_2151c3ad65384379897352f370874db1"/>
        <w:id w:val="1492068740"/>
        <w:placeholder>
          <w:docPart w:val="GBC22222222222222222222222222222"/>
        </w:placeholder>
      </w:sdtPr>
      <w:sdtContent>
        <w:p w14:paraId="6486AB9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D71A4A3" w14:textId="77777777" w:rsidR="005E000F" w:rsidRDefault="005E000F"/>
    <w:p w14:paraId="2BC5C075" w14:textId="77777777" w:rsidR="005E000F" w:rsidRDefault="00000000">
      <w:pPr>
        <w:snapToGrid w:val="0"/>
        <w:spacing w:line="240" w:lineRule="atLeast"/>
      </w:pPr>
      <w:r>
        <w:rPr>
          <w:rFonts w:hint="eastAsia"/>
        </w:rPr>
        <w:t>核销说明：</w:t>
      </w:r>
    </w:p>
    <w:sdt>
      <w:sdtPr>
        <w:alias w:val="是否适用：母公司核销说明[双击切换]"/>
        <w:tag w:val="_GBC_f8d1d851a8a641b3b3733ca0037885d1"/>
        <w:id w:val="-1889248693"/>
        <w:placeholder>
          <w:docPart w:val="GBC22222222222222222222222222222"/>
        </w:placeholder>
      </w:sdtPr>
      <w:sdtContent>
        <w:p w14:paraId="5C7507AB"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0B409AF" w14:textId="77777777" w:rsidR="005E000F" w:rsidRDefault="005E000F"/>
    <w:p w14:paraId="65E43AE4" w14:textId="77777777" w:rsidR="005E000F" w:rsidRDefault="00000000">
      <w:bookmarkStart w:id="453" w:name="_Hlk533797406"/>
      <w:bookmarkEnd w:id="450"/>
      <w:bookmarkEnd w:id="451"/>
      <w:r>
        <w:rPr>
          <w:rFonts w:hint="eastAsia"/>
        </w:rPr>
        <w:t>其他说明：</w:t>
      </w:r>
    </w:p>
    <w:sdt>
      <w:sdtPr>
        <w:alias w:val="是否适用：母公司应收股利其他说明[双击切换]"/>
        <w:tag w:val="_GBC_75450c3c0332439986937f5dec59f65c"/>
        <w:id w:val="-166411391"/>
        <w:placeholder>
          <w:docPart w:val="GBC22222222222222222222222222222"/>
        </w:placeholder>
      </w:sdtPr>
      <w:sdtContent>
        <w:p w14:paraId="7FB41F21"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53"/>
    <w:p w14:paraId="3C1B412E" w14:textId="77777777" w:rsidR="005E000F" w:rsidRDefault="005E000F"/>
    <w:p w14:paraId="7CA055DA" w14:textId="77777777" w:rsidR="005E000F" w:rsidRDefault="00000000">
      <w:pPr>
        <w:pStyle w:val="4"/>
        <w:ind w:left="360" w:hanging="360"/>
      </w:pPr>
      <w:r>
        <w:rPr>
          <w:rFonts w:hint="eastAsia"/>
        </w:rPr>
        <w:t>其他应收款</w:t>
      </w:r>
    </w:p>
    <w:p w14:paraId="2E0A8BBA" w14:textId="77777777" w:rsidR="005E000F" w:rsidRDefault="00000000">
      <w:pPr>
        <w:pStyle w:val="5"/>
        <w:numPr>
          <w:ilvl w:val="0"/>
          <w:numId w:val="134"/>
        </w:numPr>
        <w:ind w:left="530" w:hanging="425"/>
        <w:rPr>
          <w:rFonts w:asciiTheme="minorHAnsi" w:hAnsiTheme="minorHAnsi" w:cs="宋体"/>
          <w:color w:val="000000" w:themeColor="text1"/>
          <w:kern w:val="0"/>
          <w:szCs w:val="22"/>
        </w:rPr>
      </w:pPr>
      <w:bookmarkStart w:id="454" w:name="_Hlk153797719"/>
      <w:bookmarkStart w:id="455" w:name="_Hlk533797447"/>
      <w:r>
        <w:rPr>
          <w:rFonts w:asciiTheme="minorHAnsi" w:hAnsiTheme="minorHAnsi" w:cs="宋体" w:hint="eastAsia"/>
          <w:color w:val="000000" w:themeColor="text1"/>
          <w:kern w:val="0"/>
          <w:szCs w:val="22"/>
        </w:rPr>
        <w:t>按客户类别披露</w:t>
      </w:r>
    </w:p>
    <w:p w14:paraId="659F180A"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p w14:paraId="236A1DB0" w14:textId="77777777" w:rsidR="005E000F" w:rsidRDefault="005E000F"/>
    <w:p w14:paraId="3901AB8D" w14:textId="77777777" w:rsidR="005E000F" w:rsidRDefault="00000000">
      <w:pPr>
        <w:jc w:val="right"/>
      </w:pPr>
      <w:r>
        <w:rPr>
          <w:rFonts w:hint="eastAsia"/>
        </w:rPr>
        <w:t>单位：元</w:t>
      </w:r>
      <w:r>
        <w:rPr>
          <w:rFonts w:hint="eastAsia"/>
        </w:rPr>
        <w:t xml:space="preserve">  </w:t>
      </w:r>
      <w:r>
        <w:rPr>
          <w:rFonts w:hint="eastAsia"/>
        </w:rPr>
        <w:t>币种：人民币</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074"/>
        <w:gridCol w:w="2992"/>
        <w:gridCol w:w="2993"/>
      </w:tblGrid>
      <w:tr w:rsidR="005E000F" w14:paraId="3DBD97C6" w14:textId="77777777">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101F060F" w14:textId="77777777" w:rsidR="005E000F" w:rsidRDefault="00000000">
            <w:pPr>
              <w:jc w:val="center"/>
            </w:pPr>
            <w:r>
              <w:rPr>
                <w:rFonts w:hint="eastAsia"/>
              </w:rPr>
              <w:t>客户类别</w:t>
            </w:r>
          </w:p>
        </w:tc>
        <w:tc>
          <w:tcPr>
            <w:tcW w:w="1651" w:type="pct"/>
            <w:tcBorders>
              <w:top w:val="single" w:sz="4" w:space="0" w:color="auto"/>
              <w:left w:val="nil"/>
              <w:bottom w:val="single" w:sz="4" w:space="0" w:color="auto"/>
              <w:right w:val="single" w:sz="4" w:space="0" w:color="auto"/>
            </w:tcBorders>
            <w:vAlign w:val="center"/>
          </w:tcPr>
          <w:p w14:paraId="11382C04" w14:textId="77777777" w:rsidR="005E000F" w:rsidRDefault="00000000">
            <w:pPr>
              <w:jc w:val="center"/>
            </w:pPr>
            <w:r>
              <w:rPr>
                <w:rFonts w:hint="eastAsia"/>
              </w:rPr>
              <w:t>期末账面余额</w:t>
            </w:r>
          </w:p>
        </w:tc>
        <w:tc>
          <w:tcPr>
            <w:tcW w:w="1651" w:type="pct"/>
            <w:tcBorders>
              <w:top w:val="single" w:sz="4" w:space="0" w:color="auto"/>
              <w:left w:val="nil"/>
              <w:bottom w:val="single" w:sz="4" w:space="0" w:color="auto"/>
              <w:right w:val="single" w:sz="4" w:space="0" w:color="auto"/>
            </w:tcBorders>
          </w:tcPr>
          <w:p w14:paraId="32FD62A1" w14:textId="77777777" w:rsidR="005E000F" w:rsidRDefault="00000000">
            <w:pPr>
              <w:jc w:val="center"/>
            </w:pPr>
            <w:r>
              <w:rPr>
                <w:rFonts w:hint="eastAsia"/>
              </w:rPr>
              <w:t>期初账面余额</w:t>
            </w:r>
          </w:p>
        </w:tc>
      </w:tr>
      <w:tr w:rsidR="005E000F" w14:paraId="142EE641" w14:textId="77777777">
        <w:trPr>
          <w:cantSplit/>
        </w:trPr>
        <w:tc>
          <w:tcPr>
            <w:tcW w:w="1696" w:type="pct"/>
            <w:tcBorders>
              <w:top w:val="single" w:sz="4" w:space="0" w:color="auto"/>
              <w:left w:val="single" w:sz="4" w:space="0" w:color="auto"/>
              <w:bottom w:val="single" w:sz="4" w:space="0" w:color="auto"/>
              <w:right w:val="single" w:sz="4" w:space="0" w:color="auto"/>
            </w:tcBorders>
          </w:tcPr>
          <w:p w14:paraId="2D74663D" w14:textId="77777777" w:rsidR="005E000F" w:rsidRDefault="00000000">
            <w:r>
              <w:rPr>
                <w:rFonts w:hint="eastAsia"/>
              </w:rPr>
              <w:t>应收国铁集团及其下属单位</w:t>
            </w:r>
          </w:p>
        </w:tc>
        <w:tc>
          <w:tcPr>
            <w:tcW w:w="2993" w:type="dxa"/>
            <w:tcBorders>
              <w:top w:val="single" w:sz="4" w:space="0" w:color="auto"/>
              <w:left w:val="nil"/>
              <w:bottom w:val="single" w:sz="4" w:space="0" w:color="auto"/>
              <w:right w:val="single" w:sz="4" w:space="0" w:color="auto"/>
            </w:tcBorders>
            <w:vAlign w:val="center"/>
          </w:tcPr>
          <w:p w14:paraId="65830DCC" w14:textId="77777777" w:rsidR="005E000F" w:rsidRDefault="00000000">
            <w:pPr>
              <w:jc w:val="right"/>
            </w:pPr>
            <w:r>
              <w:t>3,325,282,005</w:t>
            </w:r>
          </w:p>
        </w:tc>
        <w:tc>
          <w:tcPr>
            <w:tcW w:w="1651" w:type="pct"/>
            <w:tcBorders>
              <w:top w:val="single" w:sz="4" w:space="0" w:color="auto"/>
              <w:left w:val="nil"/>
              <w:bottom w:val="single" w:sz="4" w:space="0" w:color="auto"/>
              <w:right w:val="single" w:sz="4" w:space="0" w:color="auto"/>
            </w:tcBorders>
            <w:vAlign w:val="center"/>
          </w:tcPr>
          <w:p w14:paraId="6FB52A91" w14:textId="77777777" w:rsidR="005E000F" w:rsidRDefault="00000000">
            <w:pPr>
              <w:jc w:val="right"/>
            </w:pPr>
            <w:r>
              <w:rPr>
                <w:rFonts w:hint="eastAsia"/>
              </w:rPr>
              <w:t>1,510,082,284</w:t>
            </w:r>
          </w:p>
        </w:tc>
      </w:tr>
      <w:tr w:rsidR="005E000F" w14:paraId="589D8827" w14:textId="77777777">
        <w:trPr>
          <w:cantSplit/>
        </w:trPr>
        <w:tc>
          <w:tcPr>
            <w:tcW w:w="1696" w:type="pct"/>
            <w:tcBorders>
              <w:top w:val="single" w:sz="4" w:space="0" w:color="auto"/>
              <w:left w:val="single" w:sz="4" w:space="0" w:color="auto"/>
              <w:bottom w:val="single" w:sz="4" w:space="0" w:color="auto"/>
              <w:right w:val="single" w:sz="4" w:space="0" w:color="auto"/>
            </w:tcBorders>
          </w:tcPr>
          <w:p w14:paraId="6643FC8A" w14:textId="77777777" w:rsidR="005E000F" w:rsidRDefault="00000000">
            <w:r>
              <w:rPr>
                <w:rFonts w:hint="eastAsia"/>
              </w:rPr>
              <w:t>应收其他</w:t>
            </w:r>
          </w:p>
        </w:tc>
        <w:tc>
          <w:tcPr>
            <w:tcW w:w="2993" w:type="dxa"/>
            <w:tcBorders>
              <w:top w:val="single" w:sz="4" w:space="0" w:color="auto"/>
              <w:left w:val="nil"/>
              <w:bottom w:val="single" w:sz="4" w:space="0" w:color="auto"/>
              <w:right w:val="single" w:sz="4" w:space="0" w:color="auto"/>
            </w:tcBorders>
            <w:vAlign w:val="center"/>
          </w:tcPr>
          <w:p w14:paraId="593C2B6C" w14:textId="77777777" w:rsidR="005E000F" w:rsidRDefault="00000000">
            <w:pPr>
              <w:jc w:val="right"/>
            </w:pPr>
            <w:r>
              <w:t>22,694,97</w:t>
            </w:r>
            <w:r>
              <w:rPr>
                <w:rFonts w:hint="eastAsia"/>
              </w:rPr>
              <w:t>5</w:t>
            </w:r>
          </w:p>
        </w:tc>
        <w:tc>
          <w:tcPr>
            <w:tcW w:w="1651" w:type="pct"/>
            <w:tcBorders>
              <w:top w:val="single" w:sz="4" w:space="0" w:color="auto"/>
              <w:left w:val="nil"/>
              <w:bottom w:val="single" w:sz="4" w:space="0" w:color="auto"/>
              <w:right w:val="single" w:sz="4" w:space="0" w:color="auto"/>
            </w:tcBorders>
            <w:vAlign w:val="center"/>
          </w:tcPr>
          <w:p w14:paraId="745AC0A6" w14:textId="77777777" w:rsidR="005E000F" w:rsidRDefault="00000000">
            <w:pPr>
              <w:jc w:val="right"/>
            </w:pPr>
            <w:r>
              <w:rPr>
                <w:rFonts w:hint="eastAsia"/>
              </w:rPr>
              <w:t>13,262,964</w:t>
            </w:r>
          </w:p>
        </w:tc>
      </w:tr>
      <w:tr w:rsidR="005E000F" w14:paraId="023FDC51" w14:textId="77777777">
        <w:trPr>
          <w:cantSplit/>
        </w:trPr>
        <w:tc>
          <w:tcPr>
            <w:tcW w:w="1696" w:type="pct"/>
            <w:tcBorders>
              <w:top w:val="single" w:sz="4" w:space="0" w:color="auto"/>
              <w:left w:val="single" w:sz="4" w:space="0" w:color="auto"/>
              <w:bottom w:val="single" w:sz="4" w:space="0" w:color="auto"/>
              <w:right w:val="single" w:sz="4" w:space="0" w:color="auto"/>
            </w:tcBorders>
          </w:tcPr>
          <w:p w14:paraId="2E7D3715" w14:textId="77777777" w:rsidR="005E000F" w:rsidRDefault="00000000">
            <w:r>
              <w:rPr>
                <w:rFonts w:hint="eastAsia"/>
              </w:rPr>
              <w:t>减：坏账准备</w:t>
            </w:r>
          </w:p>
        </w:tc>
        <w:tc>
          <w:tcPr>
            <w:tcW w:w="2993" w:type="dxa"/>
            <w:tcBorders>
              <w:top w:val="single" w:sz="4" w:space="0" w:color="auto"/>
              <w:left w:val="nil"/>
              <w:bottom w:val="single" w:sz="4" w:space="0" w:color="auto"/>
              <w:right w:val="single" w:sz="4" w:space="0" w:color="auto"/>
            </w:tcBorders>
            <w:vAlign w:val="center"/>
          </w:tcPr>
          <w:p w14:paraId="14B6DE39" w14:textId="77777777" w:rsidR="005E000F" w:rsidRDefault="00000000">
            <w:pPr>
              <w:jc w:val="right"/>
            </w:pPr>
            <w:r>
              <w:t>252,414</w:t>
            </w:r>
          </w:p>
        </w:tc>
        <w:tc>
          <w:tcPr>
            <w:tcW w:w="1651" w:type="pct"/>
            <w:tcBorders>
              <w:top w:val="single" w:sz="4" w:space="0" w:color="auto"/>
              <w:left w:val="nil"/>
              <w:bottom w:val="single" w:sz="4" w:space="0" w:color="auto"/>
              <w:right w:val="single" w:sz="4" w:space="0" w:color="auto"/>
            </w:tcBorders>
            <w:vAlign w:val="center"/>
          </w:tcPr>
          <w:p w14:paraId="4677F005" w14:textId="77777777" w:rsidR="005E000F" w:rsidRDefault="00000000">
            <w:pPr>
              <w:jc w:val="right"/>
            </w:pPr>
            <w:r>
              <w:rPr>
                <w:rFonts w:hint="eastAsia"/>
              </w:rPr>
              <w:t>357,014</w:t>
            </w:r>
          </w:p>
        </w:tc>
      </w:tr>
      <w:tr w:rsidR="005E000F" w14:paraId="5F6E7C08" w14:textId="77777777">
        <w:trPr>
          <w:cantSplit/>
        </w:trPr>
        <w:tc>
          <w:tcPr>
            <w:tcW w:w="1696" w:type="pct"/>
            <w:tcBorders>
              <w:top w:val="single" w:sz="4" w:space="0" w:color="auto"/>
              <w:left w:val="single" w:sz="4" w:space="0" w:color="auto"/>
              <w:bottom w:val="single" w:sz="4" w:space="0" w:color="auto"/>
              <w:right w:val="single" w:sz="4" w:space="0" w:color="auto"/>
            </w:tcBorders>
            <w:vAlign w:val="center"/>
          </w:tcPr>
          <w:p w14:paraId="66F3C380" w14:textId="77777777" w:rsidR="005E000F" w:rsidRDefault="00000000">
            <w:r>
              <w:rPr>
                <w:rFonts w:hint="eastAsia"/>
              </w:rPr>
              <w:t>合计</w:t>
            </w:r>
          </w:p>
        </w:tc>
        <w:tc>
          <w:tcPr>
            <w:tcW w:w="2993" w:type="dxa"/>
            <w:tcBorders>
              <w:top w:val="single" w:sz="4" w:space="0" w:color="auto"/>
              <w:left w:val="nil"/>
              <w:bottom w:val="single" w:sz="4" w:space="0" w:color="auto"/>
              <w:right w:val="single" w:sz="4" w:space="0" w:color="auto"/>
            </w:tcBorders>
            <w:vAlign w:val="center"/>
          </w:tcPr>
          <w:p w14:paraId="309FE88F" w14:textId="77777777" w:rsidR="005E000F" w:rsidRDefault="00000000">
            <w:pPr>
              <w:jc w:val="right"/>
            </w:pPr>
            <w:r>
              <w:t>3,347,724,56</w:t>
            </w:r>
            <w:r>
              <w:rPr>
                <w:rFonts w:hint="eastAsia"/>
              </w:rPr>
              <w:t>6</w:t>
            </w:r>
          </w:p>
        </w:tc>
        <w:tc>
          <w:tcPr>
            <w:tcW w:w="1651" w:type="pct"/>
            <w:tcBorders>
              <w:top w:val="single" w:sz="4" w:space="0" w:color="auto"/>
              <w:left w:val="nil"/>
              <w:bottom w:val="single" w:sz="4" w:space="0" w:color="auto"/>
              <w:right w:val="single" w:sz="4" w:space="0" w:color="auto"/>
            </w:tcBorders>
            <w:vAlign w:val="center"/>
          </w:tcPr>
          <w:p w14:paraId="01A98561" w14:textId="77777777" w:rsidR="005E000F" w:rsidRDefault="00000000">
            <w:pPr>
              <w:jc w:val="right"/>
            </w:pPr>
            <w:r>
              <w:rPr>
                <w:rFonts w:hint="eastAsia"/>
              </w:rPr>
              <w:t>1,522,988,234</w:t>
            </w:r>
          </w:p>
        </w:tc>
      </w:tr>
    </w:tbl>
    <w:p w14:paraId="2C9915AD" w14:textId="77777777" w:rsidR="005E000F" w:rsidRDefault="005E000F">
      <w:pPr>
        <w:pStyle w:val="5"/>
        <w:ind w:leftChars="0" w:left="0"/>
        <w:rPr>
          <w:rFonts w:asciiTheme="minorHAnsi" w:hAnsiTheme="minorHAnsi" w:cs="宋体"/>
          <w:kern w:val="0"/>
          <w:szCs w:val="22"/>
        </w:rPr>
      </w:pPr>
    </w:p>
    <w:p w14:paraId="07E159D4" w14:textId="77777777" w:rsidR="005E000F" w:rsidRDefault="00000000">
      <w:pPr>
        <w:pStyle w:val="5"/>
        <w:numPr>
          <w:ilvl w:val="0"/>
          <w:numId w:val="134"/>
        </w:numPr>
        <w:ind w:leftChars="0"/>
        <w:rPr>
          <w:rFonts w:asciiTheme="minorHAnsi" w:hAnsiTheme="minorHAnsi" w:cs="宋体"/>
          <w:kern w:val="0"/>
          <w:szCs w:val="22"/>
        </w:rPr>
      </w:pPr>
      <w:proofErr w:type="gramStart"/>
      <w:r>
        <w:rPr>
          <w:rFonts w:asciiTheme="minorHAnsi" w:hAnsiTheme="minorHAnsi" w:cs="宋体" w:hint="eastAsia"/>
          <w:kern w:val="0"/>
          <w:szCs w:val="22"/>
        </w:rPr>
        <w:t>按账龄</w:t>
      </w:r>
      <w:proofErr w:type="gramEnd"/>
      <w:r>
        <w:rPr>
          <w:rFonts w:asciiTheme="minorHAnsi" w:hAnsiTheme="minorHAnsi" w:cs="宋体" w:hint="eastAsia"/>
          <w:kern w:val="0"/>
          <w:szCs w:val="22"/>
        </w:rPr>
        <w:t>披露</w:t>
      </w:r>
    </w:p>
    <w:sdt>
      <w:sdtPr>
        <w:alias w:val="是否适用：母公司其他应收款按账龄披露[双击切换]"/>
        <w:tag w:val="_GBC_5c11b96990fa439da812b87b47ed4c80"/>
        <w:id w:val="1182855500"/>
        <w:placeholder>
          <w:docPart w:val="GBC22222222222222222222222222222"/>
        </w:placeholder>
      </w:sdtPr>
      <w:sdtContent>
        <w:p w14:paraId="6B3FD488"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AC9604B" w14:textId="77777777" w:rsidR="005E000F" w:rsidRDefault="00000000">
      <w:pPr>
        <w:jc w:val="right"/>
      </w:pPr>
      <w:r>
        <w:rPr>
          <w:rFonts w:hint="eastAsia"/>
        </w:rPr>
        <w:t>单位：</w:t>
      </w:r>
      <w:sdt>
        <w:sdtPr>
          <w:rPr>
            <w:rFonts w:hint="eastAsia"/>
          </w:rPr>
          <w:alias w:val="单位：母公司其他应收款按账龄披露"/>
          <w:tag w:val="_GBC_41616ef98f834aa2b100f687773d3969"/>
          <w:id w:val="17129979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其他应收款按账龄披露"/>
          <w:tag w:val="_GBC_5e3917487f6647c3bad62a8fb87ea91e"/>
          <w:id w:val="-205229900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firstRow="1" w:lastRow="0" w:firstColumn="1" w:lastColumn="0" w:noHBand="0" w:noVBand="1"/>
      </w:tblPr>
      <w:tblGrid>
        <w:gridCol w:w="3072"/>
        <w:gridCol w:w="2993"/>
        <w:gridCol w:w="2993"/>
      </w:tblGrid>
      <w:tr w:rsidR="005E000F" w14:paraId="41864BDC" w14:textId="77777777">
        <w:trPr>
          <w:cantSplit/>
        </w:trPr>
        <w:sdt>
          <w:sdtPr>
            <w:tag w:val="_PLD_e6b4d3ce2efb49849027845f309f652a"/>
            <w:id w:val="-1546291636"/>
          </w:sdtPr>
          <w:sdtContent>
            <w:tc>
              <w:tcPr>
                <w:tcW w:w="3072" w:type="dxa"/>
                <w:tcBorders>
                  <w:top w:val="single" w:sz="4" w:space="0" w:color="auto"/>
                  <w:left w:val="single" w:sz="4" w:space="0" w:color="auto"/>
                  <w:bottom w:val="single" w:sz="4" w:space="0" w:color="auto"/>
                  <w:right w:val="single" w:sz="4" w:space="0" w:color="auto"/>
                </w:tcBorders>
                <w:vAlign w:val="center"/>
              </w:tcPr>
              <w:p w14:paraId="6A7FCC86" w14:textId="77777777" w:rsidR="005E000F" w:rsidRDefault="00000000">
                <w:pPr>
                  <w:jc w:val="center"/>
                </w:pPr>
                <w:r>
                  <w:rPr>
                    <w:rFonts w:hint="eastAsia"/>
                  </w:rPr>
                  <w:t>账龄</w:t>
                </w:r>
              </w:p>
            </w:tc>
          </w:sdtContent>
        </w:sdt>
        <w:sdt>
          <w:sdtPr>
            <w:tag w:val="_PLD_2a2524c4aa88497fa0bf73f43366d799"/>
            <w:id w:val="-1859571559"/>
          </w:sdtPr>
          <w:sdtContent>
            <w:tc>
              <w:tcPr>
                <w:tcW w:w="2993" w:type="dxa"/>
                <w:tcBorders>
                  <w:top w:val="single" w:sz="4" w:space="0" w:color="auto"/>
                  <w:left w:val="single" w:sz="4" w:space="0" w:color="auto"/>
                  <w:bottom w:val="single" w:sz="4" w:space="0" w:color="auto"/>
                  <w:right w:val="single" w:sz="4" w:space="0" w:color="auto"/>
                </w:tcBorders>
                <w:vAlign w:val="center"/>
              </w:tcPr>
              <w:p w14:paraId="43D6221F" w14:textId="77777777" w:rsidR="005E000F" w:rsidRDefault="00000000">
                <w:pPr>
                  <w:jc w:val="center"/>
                </w:pPr>
                <w:r>
                  <w:rPr>
                    <w:rFonts w:hint="eastAsia"/>
                  </w:rPr>
                  <w:t>期末账面余额</w:t>
                </w:r>
              </w:p>
            </w:tc>
          </w:sdtContent>
        </w:sdt>
        <w:tc>
          <w:tcPr>
            <w:tcW w:w="2993" w:type="dxa"/>
            <w:tcBorders>
              <w:top w:val="single" w:sz="4" w:space="0" w:color="auto"/>
              <w:left w:val="single" w:sz="4" w:space="0" w:color="auto"/>
              <w:bottom w:val="single" w:sz="4" w:space="0" w:color="auto"/>
              <w:right w:val="single" w:sz="4" w:space="0" w:color="auto"/>
            </w:tcBorders>
            <w:vAlign w:val="center"/>
          </w:tcPr>
          <w:sdt>
            <w:sdtPr>
              <w:tag w:val="_PLD_63769de747ae44d5b345aed18107390b"/>
              <w:id w:val="-1630863997"/>
            </w:sdtPr>
            <w:sdtContent>
              <w:p w14:paraId="08E7D941" w14:textId="77777777" w:rsidR="005E000F" w:rsidRDefault="00000000">
                <w:pPr>
                  <w:jc w:val="center"/>
                </w:pPr>
                <w:r>
                  <w:rPr>
                    <w:rFonts w:hint="eastAsia"/>
                  </w:rPr>
                  <w:t>期初账面余额</w:t>
                </w:r>
              </w:p>
            </w:sdtContent>
          </w:sdt>
        </w:tc>
      </w:tr>
      <w:tr w:rsidR="005E000F" w14:paraId="53576983" w14:textId="77777777">
        <w:trPr>
          <w:cantSplit/>
        </w:trPr>
        <w:tc>
          <w:tcPr>
            <w:tcW w:w="9058" w:type="dxa"/>
            <w:gridSpan w:val="3"/>
            <w:tcBorders>
              <w:top w:val="single" w:sz="4" w:space="0" w:color="auto"/>
              <w:left w:val="single" w:sz="4" w:space="0" w:color="auto"/>
              <w:bottom w:val="single" w:sz="4" w:space="0" w:color="auto"/>
              <w:right w:val="single" w:sz="4" w:space="0" w:color="auto"/>
            </w:tcBorders>
            <w:vAlign w:val="center"/>
          </w:tcPr>
          <w:p w14:paraId="58190811" w14:textId="77777777" w:rsidR="005E000F" w:rsidRDefault="00000000">
            <w:pPr>
              <w:jc w:val="both"/>
              <w:rPr>
                <w:bCs/>
              </w:rPr>
            </w:pPr>
            <w:r>
              <w:rPr>
                <w:rFonts w:hint="eastAsia"/>
              </w:rPr>
              <w:t>1</w:t>
            </w:r>
            <w:r>
              <w:rPr>
                <w:rFonts w:hint="eastAsia"/>
              </w:rPr>
              <w:t>年以内（含</w:t>
            </w:r>
            <w:r>
              <w:rPr>
                <w:rFonts w:hint="eastAsia"/>
              </w:rPr>
              <w:t>1</w:t>
            </w:r>
            <w:r>
              <w:rPr>
                <w:rFonts w:hint="eastAsia"/>
              </w:rPr>
              <w:t>年）</w:t>
            </w:r>
          </w:p>
        </w:tc>
      </w:tr>
      <w:tr w:rsidR="005E000F" w14:paraId="19E78FE4" w14:textId="77777777">
        <w:trPr>
          <w:cantSplit/>
        </w:trPr>
        <w:tc>
          <w:tcPr>
            <w:tcW w:w="9058" w:type="dxa"/>
            <w:gridSpan w:val="3"/>
            <w:tcBorders>
              <w:top w:val="single" w:sz="4" w:space="0" w:color="auto"/>
              <w:left w:val="single" w:sz="4" w:space="0" w:color="auto"/>
              <w:bottom w:val="single" w:sz="4" w:space="0" w:color="auto"/>
              <w:right w:val="single" w:sz="4" w:space="0" w:color="auto"/>
            </w:tcBorders>
            <w:vAlign w:val="center"/>
          </w:tcPr>
          <w:p w14:paraId="5B77B1A9" w14:textId="77777777" w:rsidR="005E000F" w:rsidRDefault="00000000">
            <w:pPr>
              <w:jc w:val="both"/>
              <w:rPr>
                <w:bCs/>
              </w:rPr>
            </w:pPr>
            <w:r>
              <w:rPr>
                <w:rFonts w:hint="eastAsia"/>
              </w:rPr>
              <w:t>其中：</w:t>
            </w:r>
            <w:r>
              <w:rPr>
                <w:rFonts w:hint="eastAsia"/>
              </w:rPr>
              <w:t>1</w:t>
            </w:r>
            <w:r>
              <w:rPr>
                <w:rFonts w:hint="eastAsia"/>
              </w:rPr>
              <w:t>年以内分项</w:t>
            </w:r>
          </w:p>
        </w:tc>
      </w:tr>
      <w:tr w:rsidR="005E000F" w14:paraId="69905F65"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387DC17" w14:textId="77777777" w:rsidR="005E000F" w:rsidRDefault="00000000">
            <w:r>
              <w:rPr>
                <w:rFonts w:hint="eastAsia"/>
              </w:rPr>
              <w:t>1</w:t>
            </w:r>
            <w:r>
              <w:rPr>
                <w:rFonts w:hint="eastAsia"/>
              </w:rPr>
              <w:t>年以内（含</w:t>
            </w:r>
            <w:r>
              <w:rPr>
                <w:rFonts w:hint="eastAsia"/>
              </w:rPr>
              <w:t>1</w:t>
            </w:r>
            <w:r>
              <w:rPr>
                <w:rFonts w:hint="eastAsia"/>
              </w:rPr>
              <w:t>年）</w:t>
            </w:r>
          </w:p>
        </w:tc>
        <w:tc>
          <w:tcPr>
            <w:tcW w:w="2993" w:type="dxa"/>
            <w:tcBorders>
              <w:top w:val="single" w:sz="4" w:space="0" w:color="auto"/>
              <w:left w:val="single" w:sz="4" w:space="0" w:color="auto"/>
              <w:bottom w:val="single" w:sz="4" w:space="0" w:color="auto"/>
              <w:right w:val="single" w:sz="4" w:space="0" w:color="auto"/>
            </w:tcBorders>
            <w:shd w:val="clear" w:color="auto" w:fill="auto"/>
            <w:vAlign w:val="center"/>
          </w:tcPr>
          <w:p w14:paraId="6E135C62" w14:textId="77777777" w:rsidR="005E000F" w:rsidRDefault="00000000">
            <w:pPr>
              <w:jc w:val="right"/>
              <w:rPr>
                <w:bCs/>
              </w:rPr>
            </w:pPr>
            <w:r>
              <w:rPr>
                <w:bCs/>
              </w:rPr>
              <w:t>3,345,450,386</w:t>
            </w:r>
          </w:p>
        </w:tc>
        <w:tc>
          <w:tcPr>
            <w:tcW w:w="2993" w:type="dxa"/>
            <w:tcBorders>
              <w:top w:val="single" w:sz="4" w:space="0" w:color="auto"/>
              <w:left w:val="single" w:sz="4" w:space="0" w:color="auto"/>
              <w:bottom w:val="single" w:sz="4" w:space="0" w:color="auto"/>
              <w:right w:val="single" w:sz="4" w:space="0" w:color="auto"/>
            </w:tcBorders>
            <w:shd w:val="clear" w:color="auto" w:fill="auto"/>
            <w:vAlign w:val="center"/>
          </w:tcPr>
          <w:p w14:paraId="77CC095E" w14:textId="77777777" w:rsidR="005E000F" w:rsidRDefault="00000000">
            <w:pPr>
              <w:jc w:val="right"/>
              <w:rPr>
                <w:bCs/>
              </w:rPr>
            </w:pPr>
            <w:r>
              <w:rPr>
                <w:rFonts w:hint="eastAsia"/>
                <w:bCs/>
              </w:rPr>
              <w:t>1,514,531,658</w:t>
            </w:r>
          </w:p>
        </w:tc>
      </w:tr>
      <w:tr w:rsidR="005E000F" w14:paraId="5569D760"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2A89675" w14:textId="77777777" w:rsidR="005E000F" w:rsidRDefault="00000000">
            <w:r>
              <w:rPr>
                <w:rFonts w:hint="eastAsia"/>
              </w:rPr>
              <w:t>1</w:t>
            </w:r>
            <w:r>
              <w:rPr>
                <w:rFonts w:hint="eastAsia"/>
              </w:rPr>
              <w:t>年以内小计</w:t>
            </w:r>
          </w:p>
        </w:tc>
        <w:tc>
          <w:tcPr>
            <w:tcW w:w="2993" w:type="dxa"/>
            <w:tcBorders>
              <w:top w:val="single" w:sz="4" w:space="0" w:color="auto"/>
              <w:left w:val="single" w:sz="4" w:space="0" w:color="auto"/>
              <w:bottom w:val="single" w:sz="4" w:space="0" w:color="auto"/>
              <w:right w:val="single" w:sz="4" w:space="0" w:color="auto"/>
            </w:tcBorders>
            <w:vAlign w:val="center"/>
          </w:tcPr>
          <w:p w14:paraId="78A0EE80" w14:textId="77777777" w:rsidR="005E000F" w:rsidRDefault="00000000">
            <w:pPr>
              <w:jc w:val="right"/>
              <w:rPr>
                <w:bCs/>
              </w:rPr>
            </w:pPr>
            <w:r>
              <w:rPr>
                <w:bCs/>
              </w:rPr>
              <w:t>3,345,450,386</w:t>
            </w:r>
          </w:p>
        </w:tc>
        <w:tc>
          <w:tcPr>
            <w:tcW w:w="2993" w:type="dxa"/>
            <w:tcBorders>
              <w:top w:val="single" w:sz="4" w:space="0" w:color="auto"/>
              <w:left w:val="single" w:sz="4" w:space="0" w:color="auto"/>
              <w:bottom w:val="single" w:sz="4" w:space="0" w:color="auto"/>
              <w:right w:val="single" w:sz="4" w:space="0" w:color="auto"/>
            </w:tcBorders>
            <w:vAlign w:val="center"/>
          </w:tcPr>
          <w:p w14:paraId="50EAA933" w14:textId="77777777" w:rsidR="005E000F" w:rsidRDefault="00000000">
            <w:pPr>
              <w:jc w:val="right"/>
              <w:rPr>
                <w:bCs/>
              </w:rPr>
            </w:pPr>
            <w:r>
              <w:rPr>
                <w:rFonts w:hint="eastAsia"/>
                <w:bCs/>
              </w:rPr>
              <w:t>1,514,531,658</w:t>
            </w:r>
          </w:p>
        </w:tc>
      </w:tr>
      <w:tr w:rsidR="005E000F" w14:paraId="3C7B2567"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58787383" w14:textId="77777777" w:rsidR="005E000F" w:rsidRDefault="00000000">
            <w:r>
              <w:rPr>
                <w:rFonts w:hint="eastAsia"/>
              </w:rPr>
              <w:t>1</w:t>
            </w:r>
            <w:r>
              <w:rPr>
                <w:rFonts w:hint="eastAsia"/>
              </w:rPr>
              <w:t>至</w:t>
            </w:r>
            <w:r>
              <w:rPr>
                <w:rFonts w:hint="eastAsia"/>
              </w:rPr>
              <w:t>2</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1FF4492D" w14:textId="77777777" w:rsidR="005E000F" w:rsidRDefault="00000000">
            <w:pPr>
              <w:jc w:val="right"/>
              <w:rPr>
                <w:bCs/>
              </w:rPr>
            </w:pPr>
            <w:r>
              <w:rPr>
                <w:bCs/>
              </w:rPr>
              <w:t>1,021,605</w:t>
            </w:r>
          </w:p>
        </w:tc>
        <w:tc>
          <w:tcPr>
            <w:tcW w:w="2993" w:type="dxa"/>
            <w:tcBorders>
              <w:top w:val="single" w:sz="4" w:space="0" w:color="auto"/>
              <w:left w:val="single" w:sz="4" w:space="0" w:color="auto"/>
              <w:bottom w:val="single" w:sz="4" w:space="0" w:color="auto"/>
              <w:right w:val="single" w:sz="4" w:space="0" w:color="auto"/>
            </w:tcBorders>
            <w:vAlign w:val="center"/>
          </w:tcPr>
          <w:p w14:paraId="79A7FBFE" w14:textId="77777777" w:rsidR="005E000F" w:rsidRDefault="00000000">
            <w:pPr>
              <w:jc w:val="right"/>
              <w:rPr>
                <w:bCs/>
              </w:rPr>
            </w:pPr>
            <w:r>
              <w:rPr>
                <w:rFonts w:hint="eastAsia"/>
                <w:bCs/>
              </w:rPr>
              <w:t>8,468,122</w:t>
            </w:r>
          </w:p>
        </w:tc>
      </w:tr>
      <w:tr w:rsidR="005E000F" w14:paraId="3464C318"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5B56AA12" w14:textId="77777777" w:rsidR="005E000F" w:rsidRDefault="00000000">
            <w:r>
              <w:rPr>
                <w:rFonts w:hint="eastAsia"/>
              </w:rPr>
              <w:t>2</w:t>
            </w:r>
            <w:r>
              <w:rPr>
                <w:rFonts w:hint="eastAsia"/>
              </w:rPr>
              <w:t>至</w:t>
            </w:r>
            <w:r>
              <w:rPr>
                <w:rFonts w:hint="eastAsia"/>
              </w:rPr>
              <w:t>3</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26C76396" w14:textId="77777777" w:rsidR="005E000F" w:rsidRDefault="00000000">
            <w:pPr>
              <w:jc w:val="right"/>
              <w:rPr>
                <w:bCs/>
              </w:rPr>
            </w:pPr>
            <w:r>
              <w:rPr>
                <w:bCs/>
              </w:rPr>
              <w:t>1,425,251</w:t>
            </w:r>
          </w:p>
        </w:tc>
        <w:tc>
          <w:tcPr>
            <w:tcW w:w="2993" w:type="dxa"/>
            <w:tcBorders>
              <w:top w:val="single" w:sz="4" w:space="0" w:color="auto"/>
              <w:left w:val="single" w:sz="4" w:space="0" w:color="auto"/>
              <w:bottom w:val="single" w:sz="4" w:space="0" w:color="auto"/>
              <w:right w:val="single" w:sz="4" w:space="0" w:color="auto"/>
            </w:tcBorders>
            <w:vAlign w:val="center"/>
          </w:tcPr>
          <w:p w14:paraId="4A442C50" w14:textId="77777777" w:rsidR="005E000F" w:rsidRDefault="00000000">
            <w:pPr>
              <w:jc w:val="right"/>
              <w:rPr>
                <w:bCs/>
              </w:rPr>
            </w:pPr>
            <w:r>
              <w:rPr>
                <w:rFonts w:hint="eastAsia"/>
                <w:bCs/>
              </w:rPr>
              <w:t>77,738</w:t>
            </w:r>
          </w:p>
        </w:tc>
      </w:tr>
      <w:tr w:rsidR="005E000F" w14:paraId="1168B755"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89D34E1" w14:textId="77777777" w:rsidR="005E000F" w:rsidRDefault="00000000">
            <w:r>
              <w:rPr>
                <w:rFonts w:hint="eastAsia"/>
              </w:rPr>
              <w:t>3</w:t>
            </w:r>
            <w:r>
              <w:rPr>
                <w:rFonts w:hint="eastAsia"/>
              </w:rPr>
              <w:t>年以上</w:t>
            </w:r>
          </w:p>
        </w:tc>
        <w:tc>
          <w:tcPr>
            <w:tcW w:w="5986" w:type="dxa"/>
            <w:gridSpan w:val="2"/>
            <w:tcBorders>
              <w:top w:val="single" w:sz="4" w:space="0" w:color="auto"/>
              <w:left w:val="single" w:sz="4" w:space="0" w:color="auto"/>
              <w:bottom w:val="single" w:sz="4" w:space="0" w:color="auto"/>
              <w:right w:val="single" w:sz="4" w:space="0" w:color="auto"/>
            </w:tcBorders>
            <w:vAlign w:val="center"/>
          </w:tcPr>
          <w:p w14:paraId="62026850" w14:textId="77777777" w:rsidR="005E000F" w:rsidRDefault="005E000F">
            <w:pPr>
              <w:jc w:val="right"/>
              <w:rPr>
                <w:bCs/>
              </w:rPr>
            </w:pPr>
          </w:p>
        </w:tc>
      </w:tr>
      <w:tr w:rsidR="005E000F" w14:paraId="57E21C73"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794DEB6D" w14:textId="77777777" w:rsidR="005E000F" w:rsidRDefault="00000000">
            <w:r>
              <w:rPr>
                <w:rFonts w:hint="eastAsia"/>
              </w:rPr>
              <w:t>3</w:t>
            </w:r>
            <w:r>
              <w:rPr>
                <w:rFonts w:hint="eastAsia"/>
              </w:rPr>
              <w:t>至</w:t>
            </w:r>
            <w:r>
              <w:rPr>
                <w:rFonts w:hint="eastAsia"/>
              </w:rPr>
              <w:t>4</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3D4DB39A" w14:textId="77777777" w:rsidR="005E000F" w:rsidRDefault="00000000">
            <w:pPr>
              <w:jc w:val="right"/>
              <w:rPr>
                <w:bCs/>
              </w:rPr>
            </w:pPr>
            <w:r>
              <w:rPr>
                <w:bCs/>
              </w:rPr>
              <w:t>77,738</w:t>
            </w:r>
          </w:p>
        </w:tc>
        <w:tc>
          <w:tcPr>
            <w:tcW w:w="2993" w:type="dxa"/>
            <w:tcBorders>
              <w:top w:val="single" w:sz="4" w:space="0" w:color="auto"/>
              <w:left w:val="single" w:sz="4" w:space="0" w:color="auto"/>
              <w:bottom w:val="single" w:sz="4" w:space="0" w:color="auto"/>
              <w:right w:val="single" w:sz="4" w:space="0" w:color="auto"/>
            </w:tcBorders>
          </w:tcPr>
          <w:p w14:paraId="68EFF049" w14:textId="77777777" w:rsidR="005E000F" w:rsidRDefault="00000000">
            <w:pPr>
              <w:jc w:val="right"/>
              <w:rPr>
                <w:bCs/>
                <w:lang w:eastAsia="en-US"/>
              </w:rPr>
            </w:pPr>
            <w:r>
              <w:rPr>
                <w:rFonts w:hint="eastAsia"/>
                <w:bCs/>
              </w:rPr>
              <w:t>1,316</w:t>
            </w:r>
          </w:p>
        </w:tc>
      </w:tr>
      <w:tr w:rsidR="005E000F" w14:paraId="2CEB80B4"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186A5241" w14:textId="77777777" w:rsidR="005E000F" w:rsidRDefault="00000000">
            <w:r>
              <w:rPr>
                <w:rFonts w:hint="eastAsia"/>
              </w:rPr>
              <w:t>4</w:t>
            </w:r>
            <w:r>
              <w:rPr>
                <w:rFonts w:hint="eastAsia"/>
              </w:rPr>
              <w:t>至</w:t>
            </w:r>
            <w:r>
              <w:rPr>
                <w:rFonts w:hint="eastAsia"/>
              </w:rPr>
              <w:t>5</w:t>
            </w:r>
            <w:r>
              <w:rPr>
                <w:rFonts w:hint="eastAsia"/>
              </w:rPr>
              <w:t>年</w:t>
            </w:r>
          </w:p>
        </w:tc>
        <w:tc>
          <w:tcPr>
            <w:tcW w:w="2993" w:type="dxa"/>
            <w:tcBorders>
              <w:top w:val="single" w:sz="4" w:space="0" w:color="auto"/>
              <w:left w:val="single" w:sz="4" w:space="0" w:color="auto"/>
              <w:bottom w:val="single" w:sz="4" w:space="0" w:color="auto"/>
              <w:right w:val="single" w:sz="4" w:space="0" w:color="auto"/>
            </w:tcBorders>
            <w:vAlign w:val="center"/>
          </w:tcPr>
          <w:p w14:paraId="41E23F5C" w14:textId="77777777" w:rsidR="005E000F" w:rsidRDefault="00000000">
            <w:pPr>
              <w:jc w:val="right"/>
              <w:rPr>
                <w:bCs/>
              </w:rPr>
            </w:pPr>
            <w:r>
              <w:rPr>
                <w:rFonts w:hint="eastAsia"/>
                <w:bCs/>
              </w:rPr>
              <w:t>0</w:t>
            </w:r>
          </w:p>
        </w:tc>
        <w:tc>
          <w:tcPr>
            <w:tcW w:w="2993" w:type="dxa"/>
            <w:tcBorders>
              <w:top w:val="single" w:sz="4" w:space="0" w:color="auto"/>
              <w:left w:val="single" w:sz="4" w:space="0" w:color="auto"/>
              <w:bottom w:val="single" w:sz="4" w:space="0" w:color="auto"/>
              <w:right w:val="single" w:sz="4" w:space="0" w:color="auto"/>
            </w:tcBorders>
          </w:tcPr>
          <w:p w14:paraId="1FA58BA8" w14:textId="77777777" w:rsidR="005E000F" w:rsidRDefault="00000000">
            <w:pPr>
              <w:jc w:val="right"/>
              <w:rPr>
                <w:bCs/>
                <w:lang w:eastAsia="en-US"/>
              </w:rPr>
            </w:pPr>
            <w:r>
              <w:rPr>
                <w:rFonts w:hint="eastAsia"/>
                <w:bCs/>
              </w:rPr>
              <w:t>0</w:t>
            </w:r>
          </w:p>
        </w:tc>
      </w:tr>
      <w:tr w:rsidR="005E000F" w14:paraId="597F465F"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1B5369B" w14:textId="77777777" w:rsidR="005E000F" w:rsidRDefault="00000000">
            <w:r>
              <w:rPr>
                <w:rFonts w:hint="eastAsia"/>
              </w:rPr>
              <w:t>5</w:t>
            </w:r>
            <w:r>
              <w:rPr>
                <w:rFonts w:hint="eastAsia"/>
              </w:rPr>
              <w:t>年以上</w:t>
            </w:r>
          </w:p>
        </w:tc>
        <w:tc>
          <w:tcPr>
            <w:tcW w:w="2993" w:type="dxa"/>
            <w:tcBorders>
              <w:top w:val="single" w:sz="4" w:space="0" w:color="auto"/>
              <w:left w:val="single" w:sz="4" w:space="0" w:color="auto"/>
              <w:bottom w:val="single" w:sz="4" w:space="0" w:color="auto"/>
              <w:right w:val="single" w:sz="4" w:space="0" w:color="auto"/>
            </w:tcBorders>
            <w:vAlign w:val="center"/>
          </w:tcPr>
          <w:p w14:paraId="7FFCC181" w14:textId="77777777" w:rsidR="005E000F" w:rsidRDefault="00000000">
            <w:pPr>
              <w:jc w:val="right"/>
              <w:rPr>
                <w:bCs/>
              </w:rPr>
            </w:pPr>
            <w:r>
              <w:rPr>
                <w:bCs/>
              </w:rPr>
              <w:t>2,000</w:t>
            </w:r>
          </w:p>
        </w:tc>
        <w:tc>
          <w:tcPr>
            <w:tcW w:w="2993" w:type="dxa"/>
            <w:tcBorders>
              <w:top w:val="single" w:sz="4" w:space="0" w:color="auto"/>
              <w:left w:val="single" w:sz="4" w:space="0" w:color="auto"/>
              <w:bottom w:val="single" w:sz="4" w:space="0" w:color="auto"/>
              <w:right w:val="single" w:sz="4" w:space="0" w:color="auto"/>
            </w:tcBorders>
          </w:tcPr>
          <w:p w14:paraId="1E9872F8" w14:textId="77777777" w:rsidR="005E000F" w:rsidRDefault="00000000">
            <w:pPr>
              <w:jc w:val="right"/>
              <w:rPr>
                <w:bCs/>
                <w:lang w:eastAsia="en-US"/>
              </w:rPr>
            </w:pPr>
            <w:r>
              <w:rPr>
                <w:rFonts w:hint="eastAsia"/>
                <w:bCs/>
              </w:rPr>
              <w:t>266,414</w:t>
            </w:r>
          </w:p>
        </w:tc>
      </w:tr>
      <w:tr w:rsidR="005E000F" w14:paraId="683C1C11"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02BB7FC9" w14:textId="77777777" w:rsidR="005E000F" w:rsidRDefault="00000000">
            <w:r>
              <w:rPr>
                <w:rFonts w:hint="eastAsia"/>
              </w:rPr>
              <w:t>减：坏账准备</w:t>
            </w:r>
          </w:p>
        </w:tc>
        <w:tc>
          <w:tcPr>
            <w:tcW w:w="2993" w:type="dxa"/>
            <w:tcBorders>
              <w:top w:val="single" w:sz="4" w:space="0" w:color="auto"/>
              <w:left w:val="single" w:sz="4" w:space="0" w:color="auto"/>
              <w:bottom w:val="single" w:sz="4" w:space="0" w:color="auto"/>
              <w:right w:val="single" w:sz="4" w:space="0" w:color="auto"/>
            </w:tcBorders>
            <w:vAlign w:val="center"/>
          </w:tcPr>
          <w:p w14:paraId="6E21EA41" w14:textId="77777777" w:rsidR="005E000F" w:rsidRDefault="00000000">
            <w:pPr>
              <w:jc w:val="right"/>
              <w:rPr>
                <w:bCs/>
              </w:rPr>
            </w:pPr>
            <w:r>
              <w:rPr>
                <w:bCs/>
              </w:rPr>
              <w:t>252,414</w:t>
            </w:r>
          </w:p>
        </w:tc>
        <w:tc>
          <w:tcPr>
            <w:tcW w:w="2993" w:type="dxa"/>
            <w:tcBorders>
              <w:top w:val="single" w:sz="4" w:space="0" w:color="auto"/>
              <w:left w:val="single" w:sz="4" w:space="0" w:color="auto"/>
              <w:bottom w:val="single" w:sz="4" w:space="0" w:color="auto"/>
              <w:right w:val="single" w:sz="4" w:space="0" w:color="auto"/>
            </w:tcBorders>
          </w:tcPr>
          <w:p w14:paraId="2624AE36" w14:textId="77777777" w:rsidR="005E000F" w:rsidRDefault="00000000">
            <w:pPr>
              <w:jc w:val="right"/>
              <w:rPr>
                <w:bCs/>
                <w:lang w:eastAsia="en-US"/>
              </w:rPr>
            </w:pPr>
            <w:r>
              <w:rPr>
                <w:rFonts w:hint="eastAsia"/>
                <w:bCs/>
              </w:rPr>
              <w:t>357,014</w:t>
            </w:r>
          </w:p>
        </w:tc>
      </w:tr>
      <w:tr w:rsidR="005E000F" w14:paraId="1EF0B822" w14:textId="77777777">
        <w:trPr>
          <w:cantSplit/>
        </w:trPr>
        <w:tc>
          <w:tcPr>
            <w:tcW w:w="3072" w:type="dxa"/>
            <w:tcBorders>
              <w:top w:val="single" w:sz="4" w:space="0" w:color="auto"/>
              <w:left w:val="single" w:sz="4" w:space="0" w:color="auto"/>
              <w:bottom w:val="single" w:sz="4" w:space="0" w:color="auto"/>
              <w:right w:val="single" w:sz="4" w:space="0" w:color="auto"/>
            </w:tcBorders>
            <w:vAlign w:val="center"/>
          </w:tcPr>
          <w:p w14:paraId="650D98D5" w14:textId="77777777" w:rsidR="005E000F" w:rsidRDefault="00000000">
            <w:pPr>
              <w:jc w:val="center"/>
            </w:pPr>
            <w:r>
              <w:rPr>
                <w:rFonts w:hint="eastAsia"/>
              </w:rPr>
              <w:t>合计</w:t>
            </w:r>
          </w:p>
        </w:tc>
        <w:tc>
          <w:tcPr>
            <w:tcW w:w="2993" w:type="dxa"/>
            <w:tcBorders>
              <w:top w:val="single" w:sz="4" w:space="0" w:color="auto"/>
              <w:left w:val="single" w:sz="4" w:space="0" w:color="auto"/>
              <w:bottom w:val="single" w:sz="4" w:space="0" w:color="auto"/>
              <w:right w:val="single" w:sz="4" w:space="0" w:color="auto"/>
            </w:tcBorders>
            <w:vAlign w:val="center"/>
          </w:tcPr>
          <w:p w14:paraId="55AD095B" w14:textId="77777777" w:rsidR="005E000F" w:rsidRDefault="00000000">
            <w:pPr>
              <w:jc w:val="right"/>
              <w:rPr>
                <w:bCs/>
              </w:rPr>
            </w:pPr>
            <w:r>
              <w:rPr>
                <w:bCs/>
              </w:rPr>
              <w:t>3,347,724,566</w:t>
            </w:r>
          </w:p>
        </w:tc>
        <w:tc>
          <w:tcPr>
            <w:tcW w:w="2993" w:type="dxa"/>
            <w:tcBorders>
              <w:top w:val="single" w:sz="4" w:space="0" w:color="auto"/>
              <w:left w:val="single" w:sz="4" w:space="0" w:color="auto"/>
              <w:bottom w:val="single" w:sz="4" w:space="0" w:color="auto"/>
              <w:right w:val="single" w:sz="4" w:space="0" w:color="auto"/>
            </w:tcBorders>
            <w:vAlign w:val="center"/>
          </w:tcPr>
          <w:p w14:paraId="6A4CCA10" w14:textId="77777777" w:rsidR="005E000F" w:rsidRDefault="00000000">
            <w:pPr>
              <w:jc w:val="right"/>
              <w:rPr>
                <w:bCs/>
              </w:rPr>
            </w:pPr>
            <w:r>
              <w:rPr>
                <w:rFonts w:hint="eastAsia"/>
                <w:bCs/>
              </w:rPr>
              <w:t>1,522,988,234</w:t>
            </w:r>
          </w:p>
        </w:tc>
      </w:tr>
    </w:tbl>
    <w:p w14:paraId="13D4AE8C" w14:textId="77777777" w:rsidR="005E000F" w:rsidRDefault="00000000">
      <w:pPr>
        <w:sectPr w:rsidR="005E000F">
          <w:pgSz w:w="11906" w:h="16838"/>
          <w:pgMar w:top="1525" w:right="1276" w:bottom="1440" w:left="1797" w:header="856" w:footer="992" w:gutter="0"/>
          <w:cols w:space="425"/>
          <w:docGrid w:linePitch="312"/>
        </w:sectPr>
      </w:pPr>
      <w:proofErr w:type="gramStart"/>
      <w:r>
        <w:rPr>
          <w:rFonts w:hint="eastAsia"/>
        </w:rPr>
        <w:t>账龄自其他</w:t>
      </w:r>
      <w:proofErr w:type="gramEnd"/>
      <w:r>
        <w:rPr>
          <w:rFonts w:hint="eastAsia"/>
        </w:rPr>
        <w:t>应收款确认日起开始计算。</w:t>
      </w:r>
    </w:p>
    <w:p w14:paraId="6138DB31" w14:textId="77777777" w:rsidR="005E000F" w:rsidRDefault="005E000F"/>
    <w:bookmarkEnd w:id="454"/>
    <w:p w14:paraId="5D3DD8B1" w14:textId="77777777" w:rsidR="005E000F" w:rsidRDefault="00000000">
      <w:pPr>
        <w:pStyle w:val="5"/>
        <w:numPr>
          <w:ilvl w:val="0"/>
          <w:numId w:val="134"/>
        </w:numPr>
        <w:ind w:left="530" w:hanging="425"/>
        <w:rPr>
          <w:rFonts w:asciiTheme="minorHAnsi" w:hAnsiTheme="minorHAnsi" w:cs="宋体"/>
          <w:color w:val="000000" w:themeColor="text1"/>
          <w:kern w:val="0"/>
          <w:szCs w:val="22"/>
        </w:rPr>
      </w:pPr>
      <w:r>
        <w:rPr>
          <w:rFonts w:asciiTheme="minorHAnsi" w:hAnsiTheme="minorHAnsi" w:cs="宋体" w:hint="eastAsia"/>
          <w:color w:val="000000" w:themeColor="text1"/>
          <w:kern w:val="0"/>
          <w:szCs w:val="22"/>
        </w:rPr>
        <w:t>按坏账准备计提方法分类情况</w:t>
      </w:r>
    </w:p>
    <w:p w14:paraId="28AEDBBD" w14:textId="77777777" w:rsidR="005E000F" w:rsidRDefault="00000000">
      <w:pPr>
        <w:rPr>
          <w:color w:val="000000" w:themeColor="text1"/>
        </w:rPr>
      </w:pPr>
      <w:r>
        <w:rPr>
          <w:rFonts w:ascii="宋体" w:hAnsi="宋体"/>
          <w:color w:val="000000" w:themeColor="text1"/>
        </w:rPr>
        <w:fldChar w:fldCharType="begin"/>
      </w:r>
      <w:r>
        <w:rPr>
          <w:rFonts w:ascii="宋体" w:hAnsi="宋体" w:hint="eastAsia"/>
          <w:color w:val="000000" w:themeColor="text1"/>
        </w:rPr>
        <w:instrText xml:space="preserve">MACROBUTTON  SnrToggleCheckbox √适用 </w:instrText>
      </w:r>
      <w:r>
        <w:rPr>
          <w:rFonts w:ascii="宋体" w:hAnsi="宋体"/>
          <w:color w:val="000000" w:themeColor="text1"/>
        </w:rPr>
        <w:fldChar w:fldCharType="end"/>
      </w:r>
      <w:r>
        <w:rPr>
          <w:rFonts w:ascii="宋体" w:hAnsi="宋体"/>
          <w:color w:val="000000" w:themeColor="text1"/>
        </w:rPr>
        <w:fldChar w:fldCharType="begin"/>
      </w:r>
      <w:r>
        <w:rPr>
          <w:rFonts w:ascii="宋体" w:hAnsi="宋体" w:hint="eastAsia"/>
          <w:color w:val="000000" w:themeColor="text1"/>
        </w:rPr>
        <w:instrText xml:space="preserve"> MACROBUTTON  SnrToggleCheckbox □不适用 </w:instrText>
      </w:r>
      <w:r>
        <w:rPr>
          <w:rFonts w:ascii="宋体" w:hAnsi="宋体"/>
          <w:color w:val="000000" w:themeColor="text1"/>
        </w:rPr>
        <w:fldChar w:fldCharType="end"/>
      </w:r>
    </w:p>
    <w:p w14:paraId="5730A88B" w14:textId="77777777" w:rsidR="005E000F" w:rsidRDefault="005E000F"/>
    <w:p w14:paraId="00BEAFE5" w14:textId="77777777" w:rsidR="005E000F" w:rsidRDefault="005E000F">
      <w:pPr>
        <w:ind w:rightChars="-759" w:right="-1594"/>
      </w:pPr>
    </w:p>
    <w:p w14:paraId="2E6E9E0A" w14:textId="77777777" w:rsidR="005E000F" w:rsidRDefault="005E000F"/>
    <w:p w14:paraId="64B1A1CD" w14:textId="77777777" w:rsidR="005E000F" w:rsidRDefault="00000000">
      <w:pPr>
        <w:jc w:val="right"/>
        <w:rPr>
          <w:rFonts w:asciiTheme="minorHAnsi" w:hAnsiTheme="minorHAnsi" w:cs="宋体"/>
          <w:szCs w:val="22"/>
        </w:rPr>
      </w:pPr>
      <w:r>
        <w:rPr>
          <w:rFonts w:hint="eastAsia"/>
        </w:rPr>
        <w:t>单位：元</w:t>
      </w:r>
      <w:r>
        <w:rPr>
          <w:rFonts w:hint="eastAsia"/>
        </w:rPr>
        <w:t xml:space="preserve">  </w:t>
      </w:r>
      <w:r>
        <w:rPr>
          <w:rFonts w:hint="eastAsia"/>
        </w:rPr>
        <w:t>币种：人民币</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1424"/>
        <w:gridCol w:w="1028"/>
        <w:gridCol w:w="1020"/>
        <w:gridCol w:w="1065"/>
        <w:gridCol w:w="1429"/>
        <w:gridCol w:w="1424"/>
        <w:gridCol w:w="1062"/>
        <w:gridCol w:w="1079"/>
        <w:gridCol w:w="1085"/>
        <w:gridCol w:w="1434"/>
      </w:tblGrid>
      <w:tr w:rsidR="005E000F" w14:paraId="1F6D0B8B" w14:textId="77777777">
        <w:trPr>
          <w:cantSplit/>
          <w:trHeight w:val="259"/>
        </w:trPr>
        <w:tc>
          <w:tcPr>
            <w:tcW w:w="724" w:type="pct"/>
            <w:vMerge w:val="restart"/>
            <w:tcBorders>
              <w:top w:val="single" w:sz="4" w:space="0" w:color="auto"/>
              <w:left w:val="single" w:sz="4" w:space="0" w:color="auto"/>
              <w:right w:val="single" w:sz="4" w:space="0" w:color="auto"/>
            </w:tcBorders>
            <w:vAlign w:val="center"/>
          </w:tcPr>
          <w:p w14:paraId="0D991559" w14:textId="77777777" w:rsidR="005E000F" w:rsidRDefault="00000000">
            <w:pPr>
              <w:jc w:val="center"/>
              <w:rPr>
                <w:color w:val="000000" w:themeColor="text1"/>
              </w:rPr>
            </w:pPr>
            <w:r>
              <w:rPr>
                <w:rFonts w:hint="eastAsia"/>
                <w:color w:val="000000" w:themeColor="text1"/>
              </w:rPr>
              <w:t>类别</w:t>
            </w:r>
          </w:p>
        </w:tc>
        <w:tc>
          <w:tcPr>
            <w:tcW w:w="2117" w:type="pct"/>
            <w:gridSpan w:val="5"/>
            <w:tcBorders>
              <w:top w:val="single" w:sz="4" w:space="0" w:color="auto"/>
              <w:left w:val="single" w:sz="4" w:space="0" w:color="auto"/>
              <w:right w:val="single" w:sz="4" w:space="0" w:color="auto"/>
            </w:tcBorders>
            <w:vAlign w:val="center"/>
          </w:tcPr>
          <w:p w14:paraId="44D4A749" w14:textId="77777777" w:rsidR="005E000F" w:rsidRDefault="00000000">
            <w:pPr>
              <w:autoSpaceDE w:val="0"/>
              <w:autoSpaceDN w:val="0"/>
              <w:adjustRightInd w:val="0"/>
              <w:snapToGrid w:val="0"/>
              <w:spacing w:line="240" w:lineRule="atLeast"/>
              <w:jc w:val="center"/>
              <w:rPr>
                <w:color w:val="000000" w:themeColor="text1"/>
              </w:rPr>
            </w:pPr>
            <w:r>
              <w:rPr>
                <w:rFonts w:hint="eastAsia"/>
                <w:color w:val="000000" w:themeColor="text1"/>
              </w:rPr>
              <w:t>期末余额</w:t>
            </w:r>
          </w:p>
        </w:tc>
        <w:tc>
          <w:tcPr>
            <w:tcW w:w="2158" w:type="pct"/>
            <w:gridSpan w:val="5"/>
            <w:tcBorders>
              <w:top w:val="single" w:sz="4" w:space="0" w:color="auto"/>
              <w:left w:val="single" w:sz="4" w:space="0" w:color="auto"/>
              <w:right w:val="single" w:sz="4" w:space="0" w:color="auto"/>
            </w:tcBorders>
            <w:vAlign w:val="center"/>
          </w:tcPr>
          <w:p w14:paraId="2D227EF3" w14:textId="77777777" w:rsidR="005E000F" w:rsidRDefault="00000000">
            <w:pPr>
              <w:autoSpaceDE w:val="0"/>
              <w:autoSpaceDN w:val="0"/>
              <w:adjustRightInd w:val="0"/>
              <w:snapToGrid w:val="0"/>
              <w:spacing w:line="240" w:lineRule="atLeast"/>
              <w:jc w:val="center"/>
              <w:rPr>
                <w:color w:val="000000" w:themeColor="text1"/>
              </w:rPr>
            </w:pPr>
            <w:r>
              <w:rPr>
                <w:rFonts w:hint="eastAsia"/>
                <w:color w:val="000000" w:themeColor="text1"/>
              </w:rPr>
              <w:t>期初余额</w:t>
            </w:r>
          </w:p>
        </w:tc>
      </w:tr>
      <w:tr w:rsidR="005E000F" w14:paraId="1D969D43" w14:textId="77777777">
        <w:trPr>
          <w:cantSplit/>
          <w:trHeight w:val="227"/>
        </w:trPr>
        <w:tc>
          <w:tcPr>
            <w:tcW w:w="724" w:type="pct"/>
            <w:vMerge/>
            <w:tcBorders>
              <w:left w:val="single" w:sz="4" w:space="0" w:color="auto"/>
              <w:right w:val="single" w:sz="4" w:space="0" w:color="auto"/>
            </w:tcBorders>
            <w:vAlign w:val="center"/>
          </w:tcPr>
          <w:p w14:paraId="3560901D" w14:textId="77777777" w:rsidR="005E000F" w:rsidRDefault="005E000F">
            <w:pPr>
              <w:rPr>
                <w:color w:val="000000" w:themeColor="text1"/>
              </w:rPr>
            </w:pPr>
          </w:p>
        </w:tc>
        <w:tc>
          <w:tcPr>
            <w:tcW w:w="870" w:type="pct"/>
            <w:gridSpan w:val="2"/>
            <w:tcBorders>
              <w:top w:val="single" w:sz="4" w:space="0" w:color="auto"/>
              <w:left w:val="single" w:sz="4" w:space="0" w:color="auto"/>
              <w:bottom w:val="single" w:sz="4" w:space="0" w:color="auto"/>
              <w:right w:val="single" w:sz="4" w:space="0" w:color="auto"/>
            </w:tcBorders>
            <w:vAlign w:val="center"/>
          </w:tcPr>
          <w:p w14:paraId="5485805A" w14:textId="77777777" w:rsidR="005E000F" w:rsidRDefault="00000000">
            <w:pPr>
              <w:jc w:val="center"/>
              <w:rPr>
                <w:color w:val="000000" w:themeColor="text1"/>
              </w:rPr>
            </w:pPr>
            <w:r>
              <w:rPr>
                <w:rFonts w:hint="eastAsia"/>
                <w:color w:val="000000" w:themeColor="text1"/>
              </w:rPr>
              <w:t>账面余额</w:t>
            </w:r>
          </w:p>
        </w:tc>
        <w:tc>
          <w:tcPr>
            <w:tcW w:w="740" w:type="pct"/>
            <w:gridSpan w:val="2"/>
            <w:tcBorders>
              <w:top w:val="single" w:sz="4" w:space="0" w:color="auto"/>
              <w:left w:val="single" w:sz="4" w:space="0" w:color="auto"/>
              <w:bottom w:val="single" w:sz="4" w:space="0" w:color="auto"/>
              <w:right w:val="single" w:sz="4" w:space="0" w:color="auto"/>
            </w:tcBorders>
            <w:vAlign w:val="center"/>
          </w:tcPr>
          <w:p w14:paraId="2099D20A" w14:textId="77777777" w:rsidR="005E000F" w:rsidRDefault="00000000">
            <w:pPr>
              <w:jc w:val="center"/>
              <w:rPr>
                <w:color w:val="000000" w:themeColor="text1"/>
              </w:rPr>
            </w:pPr>
            <w:r>
              <w:rPr>
                <w:rFonts w:hint="eastAsia"/>
                <w:color w:val="000000" w:themeColor="text1"/>
              </w:rPr>
              <w:t>坏账准备</w:t>
            </w:r>
          </w:p>
        </w:tc>
        <w:tc>
          <w:tcPr>
            <w:tcW w:w="506" w:type="pct"/>
            <w:vMerge w:val="restart"/>
            <w:tcBorders>
              <w:top w:val="single" w:sz="4" w:space="0" w:color="auto"/>
              <w:left w:val="single" w:sz="4" w:space="0" w:color="auto"/>
              <w:right w:val="single" w:sz="4" w:space="0" w:color="auto"/>
            </w:tcBorders>
            <w:vAlign w:val="center"/>
          </w:tcPr>
          <w:p w14:paraId="481B9F33" w14:textId="77777777" w:rsidR="005E000F" w:rsidRDefault="00000000">
            <w:pPr>
              <w:jc w:val="center"/>
              <w:rPr>
                <w:color w:val="000000" w:themeColor="text1"/>
              </w:rPr>
            </w:pPr>
            <w:r>
              <w:rPr>
                <w:rFonts w:hint="eastAsia"/>
                <w:color w:val="000000" w:themeColor="text1"/>
              </w:rPr>
              <w:t>账面</w:t>
            </w:r>
          </w:p>
          <w:p w14:paraId="66B75200" w14:textId="77777777" w:rsidR="005E000F" w:rsidRDefault="00000000">
            <w:pPr>
              <w:jc w:val="center"/>
              <w:rPr>
                <w:color w:val="000000" w:themeColor="text1"/>
              </w:rPr>
            </w:pPr>
            <w:r>
              <w:rPr>
                <w:rFonts w:hint="eastAsia"/>
                <w:color w:val="000000" w:themeColor="text1"/>
              </w:rPr>
              <w:t>价值</w:t>
            </w:r>
          </w:p>
        </w:tc>
        <w:tc>
          <w:tcPr>
            <w:tcW w:w="882" w:type="pct"/>
            <w:gridSpan w:val="2"/>
            <w:tcBorders>
              <w:top w:val="single" w:sz="4" w:space="0" w:color="auto"/>
              <w:left w:val="single" w:sz="4" w:space="0" w:color="auto"/>
              <w:right w:val="single" w:sz="4" w:space="0" w:color="auto"/>
            </w:tcBorders>
            <w:vAlign w:val="center"/>
          </w:tcPr>
          <w:p w14:paraId="21D1A81D" w14:textId="77777777" w:rsidR="005E000F" w:rsidRDefault="00000000">
            <w:pPr>
              <w:jc w:val="center"/>
              <w:rPr>
                <w:color w:val="000000" w:themeColor="text1"/>
              </w:rPr>
            </w:pPr>
            <w:r>
              <w:rPr>
                <w:rFonts w:hint="eastAsia"/>
                <w:color w:val="000000" w:themeColor="text1"/>
              </w:rPr>
              <w:t>账面余额</w:t>
            </w:r>
          </w:p>
        </w:tc>
        <w:tc>
          <w:tcPr>
            <w:tcW w:w="768" w:type="pct"/>
            <w:gridSpan w:val="2"/>
            <w:tcBorders>
              <w:top w:val="single" w:sz="4" w:space="0" w:color="auto"/>
              <w:left w:val="single" w:sz="4" w:space="0" w:color="auto"/>
              <w:right w:val="single" w:sz="4" w:space="0" w:color="auto"/>
            </w:tcBorders>
            <w:vAlign w:val="center"/>
          </w:tcPr>
          <w:p w14:paraId="032B1969" w14:textId="77777777" w:rsidR="005E000F" w:rsidRDefault="00000000">
            <w:pPr>
              <w:jc w:val="center"/>
              <w:rPr>
                <w:color w:val="000000" w:themeColor="text1"/>
              </w:rPr>
            </w:pPr>
            <w:r>
              <w:rPr>
                <w:rFonts w:hint="eastAsia"/>
                <w:color w:val="000000" w:themeColor="text1"/>
              </w:rPr>
              <w:t>坏账准备</w:t>
            </w:r>
          </w:p>
        </w:tc>
        <w:tc>
          <w:tcPr>
            <w:tcW w:w="507" w:type="pct"/>
            <w:vMerge w:val="restart"/>
            <w:tcBorders>
              <w:top w:val="single" w:sz="4" w:space="0" w:color="auto"/>
              <w:left w:val="single" w:sz="4" w:space="0" w:color="auto"/>
              <w:right w:val="single" w:sz="4" w:space="0" w:color="auto"/>
            </w:tcBorders>
            <w:vAlign w:val="center"/>
          </w:tcPr>
          <w:p w14:paraId="277A7F74" w14:textId="77777777" w:rsidR="005E000F" w:rsidRDefault="00000000">
            <w:pPr>
              <w:jc w:val="center"/>
              <w:rPr>
                <w:color w:val="000000" w:themeColor="text1"/>
              </w:rPr>
            </w:pPr>
            <w:r>
              <w:rPr>
                <w:rFonts w:hint="eastAsia"/>
                <w:color w:val="000000" w:themeColor="text1"/>
              </w:rPr>
              <w:t>账面</w:t>
            </w:r>
          </w:p>
          <w:p w14:paraId="2178425D" w14:textId="77777777" w:rsidR="005E000F" w:rsidRDefault="00000000">
            <w:pPr>
              <w:jc w:val="center"/>
              <w:rPr>
                <w:color w:val="000000" w:themeColor="text1"/>
              </w:rPr>
            </w:pPr>
            <w:r>
              <w:rPr>
                <w:rFonts w:hint="eastAsia"/>
                <w:color w:val="000000" w:themeColor="text1"/>
              </w:rPr>
              <w:t>价值</w:t>
            </w:r>
          </w:p>
        </w:tc>
      </w:tr>
      <w:tr w:rsidR="005E000F" w14:paraId="4F1A45BA" w14:textId="77777777">
        <w:trPr>
          <w:cantSplit/>
          <w:trHeight w:val="375"/>
        </w:trPr>
        <w:tc>
          <w:tcPr>
            <w:tcW w:w="724" w:type="pct"/>
            <w:vMerge/>
            <w:tcBorders>
              <w:left w:val="single" w:sz="4" w:space="0" w:color="auto"/>
              <w:bottom w:val="single" w:sz="4" w:space="0" w:color="auto"/>
              <w:right w:val="single" w:sz="4" w:space="0" w:color="auto"/>
            </w:tcBorders>
            <w:vAlign w:val="center"/>
          </w:tcPr>
          <w:p w14:paraId="361BE503" w14:textId="77777777" w:rsidR="005E000F" w:rsidRDefault="005E000F">
            <w:pPr>
              <w:rPr>
                <w:color w:val="000000" w:themeColor="text1"/>
              </w:rPr>
            </w:pPr>
          </w:p>
        </w:tc>
        <w:tc>
          <w:tcPr>
            <w:tcW w:w="505" w:type="pct"/>
            <w:tcBorders>
              <w:left w:val="single" w:sz="4" w:space="0" w:color="auto"/>
              <w:bottom w:val="single" w:sz="4" w:space="0" w:color="auto"/>
              <w:right w:val="single" w:sz="4" w:space="0" w:color="auto"/>
            </w:tcBorders>
            <w:vAlign w:val="center"/>
          </w:tcPr>
          <w:p w14:paraId="672D7D7A" w14:textId="77777777" w:rsidR="005E000F" w:rsidRDefault="00000000">
            <w:pPr>
              <w:jc w:val="center"/>
              <w:rPr>
                <w:color w:val="000000" w:themeColor="text1"/>
              </w:rPr>
            </w:pPr>
            <w:r>
              <w:rPr>
                <w:rFonts w:hint="eastAsia"/>
                <w:color w:val="000000" w:themeColor="text1"/>
              </w:rPr>
              <w:t>金额</w:t>
            </w:r>
          </w:p>
        </w:tc>
        <w:tc>
          <w:tcPr>
            <w:tcW w:w="365" w:type="pct"/>
            <w:tcBorders>
              <w:left w:val="single" w:sz="4" w:space="0" w:color="auto"/>
              <w:bottom w:val="single" w:sz="4" w:space="0" w:color="auto"/>
              <w:right w:val="single" w:sz="4" w:space="0" w:color="auto"/>
            </w:tcBorders>
            <w:vAlign w:val="center"/>
          </w:tcPr>
          <w:p w14:paraId="5733A5E8" w14:textId="77777777" w:rsidR="005E000F" w:rsidRDefault="00000000">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tc>
          <w:tcPr>
            <w:tcW w:w="362" w:type="pct"/>
            <w:tcBorders>
              <w:left w:val="single" w:sz="4" w:space="0" w:color="auto"/>
              <w:bottom w:val="single" w:sz="4" w:space="0" w:color="auto"/>
              <w:right w:val="single" w:sz="4" w:space="0" w:color="auto"/>
            </w:tcBorders>
            <w:vAlign w:val="center"/>
          </w:tcPr>
          <w:p w14:paraId="7370A765" w14:textId="77777777" w:rsidR="005E000F" w:rsidRDefault="00000000">
            <w:pPr>
              <w:jc w:val="center"/>
              <w:rPr>
                <w:color w:val="000000" w:themeColor="text1"/>
              </w:rPr>
            </w:pPr>
            <w:r>
              <w:rPr>
                <w:rFonts w:hint="eastAsia"/>
                <w:color w:val="000000" w:themeColor="text1"/>
              </w:rPr>
              <w:t>金额</w:t>
            </w:r>
          </w:p>
        </w:tc>
        <w:tc>
          <w:tcPr>
            <w:tcW w:w="378" w:type="pct"/>
            <w:tcBorders>
              <w:left w:val="single" w:sz="4" w:space="0" w:color="auto"/>
              <w:bottom w:val="single" w:sz="4" w:space="0" w:color="auto"/>
              <w:right w:val="single" w:sz="4" w:space="0" w:color="auto"/>
            </w:tcBorders>
            <w:vAlign w:val="center"/>
          </w:tcPr>
          <w:p w14:paraId="43D2C008" w14:textId="77777777" w:rsidR="005E000F" w:rsidRDefault="00000000">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tc>
          <w:tcPr>
            <w:tcW w:w="506" w:type="pct"/>
            <w:vMerge/>
            <w:tcBorders>
              <w:left w:val="single" w:sz="4" w:space="0" w:color="auto"/>
              <w:bottom w:val="single" w:sz="4" w:space="0" w:color="auto"/>
              <w:right w:val="single" w:sz="4" w:space="0" w:color="auto"/>
            </w:tcBorders>
            <w:vAlign w:val="center"/>
          </w:tcPr>
          <w:p w14:paraId="071DD3F1" w14:textId="77777777" w:rsidR="005E000F" w:rsidRDefault="005E000F">
            <w:pPr>
              <w:jc w:val="center"/>
              <w:rPr>
                <w:color w:val="000000" w:themeColor="text1"/>
              </w:rPr>
            </w:pPr>
          </w:p>
        </w:tc>
        <w:tc>
          <w:tcPr>
            <w:tcW w:w="505" w:type="pct"/>
            <w:tcBorders>
              <w:left w:val="single" w:sz="4" w:space="0" w:color="auto"/>
              <w:bottom w:val="single" w:sz="4" w:space="0" w:color="auto"/>
              <w:right w:val="single" w:sz="4" w:space="0" w:color="auto"/>
            </w:tcBorders>
            <w:vAlign w:val="center"/>
          </w:tcPr>
          <w:p w14:paraId="1E5880A5" w14:textId="77777777" w:rsidR="005E000F" w:rsidRDefault="00000000">
            <w:pPr>
              <w:jc w:val="center"/>
              <w:rPr>
                <w:color w:val="000000" w:themeColor="text1"/>
              </w:rPr>
            </w:pPr>
            <w:r>
              <w:rPr>
                <w:rFonts w:hint="eastAsia"/>
                <w:color w:val="000000" w:themeColor="text1"/>
              </w:rPr>
              <w:t>金额</w:t>
            </w:r>
          </w:p>
        </w:tc>
        <w:tc>
          <w:tcPr>
            <w:tcW w:w="377" w:type="pct"/>
            <w:tcBorders>
              <w:left w:val="single" w:sz="4" w:space="0" w:color="auto"/>
              <w:bottom w:val="single" w:sz="4" w:space="0" w:color="auto"/>
              <w:right w:val="single" w:sz="4" w:space="0" w:color="auto"/>
            </w:tcBorders>
            <w:vAlign w:val="center"/>
          </w:tcPr>
          <w:p w14:paraId="444C0758" w14:textId="77777777" w:rsidR="005E000F" w:rsidRDefault="00000000">
            <w:pPr>
              <w:jc w:val="center"/>
              <w:rPr>
                <w:color w:val="000000" w:themeColor="text1"/>
              </w:rPr>
            </w:pPr>
            <w:r>
              <w:rPr>
                <w:rFonts w:hint="eastAsia"/>
                <w:color w:val="000000" w:themeColor="text1"/>
              </w:rPr>
              <w:t>比例（</w:t>
            </w:r>
            <w:r>
              <w:rPr>
                <w:color w:val="000000" w:themeColor="text1"/>
              </w:rPr>
              <w:t>%</w:t>
            </w:r>
            <w:r>
              <w:rPr>
                <w:rFonts w:hint="eastAsia"/>
                <w:color w:val="000000" w:themeColor="text1"/>
              </w:rPr>
              <w:t>）</w:t>
            </w:r>
          </w:p>
        </w:tc>
        <w:tc>
          <w:tcPr>
            <w:tcW w:w="383" w:type="pct"/>
            <w:tcBorders>
              <w:left w:val="single" w:sz="4" w:space="0" w:color="auto"/>
              <w:bottom w:val="single" w:sz="4" w:space="0" w:color="auto"/>
              <w:right w:val="single" w:sz="4" w:space="0" w:color="auto"/>
            </w:tcBorders>
            <w:vAlign w:val="center"/>
          </w:tcPr>
          <w:p w14:paraId="33C286CC" w14:textId="77777777" w:rsidR="005E000F" w:rsidRDefault="00000000">
            <w:pPr>
              <w:jc w:val="center"/>
              <w:rPr>
                <w:color w:val="000000" w:themeColor="text1"/>
              </w:rPr>
            </w:pPr>
            <w:r>
              <w:rPr>
                <w:rFonts w:hint="eastAsia"/>
                <w:color w:val="000000" w:themeColor="text1"/>
              </w:rPr>
              <w:t>金额</w:t>
            </w:r>
          </w:p>
        </w:tc>
        <w:tc>
          <w:tcPr>
            <w:tcW w:w="385" w:type="pct"/>
            <w:tcBorders>
              <w:left w:val="single" w:sz="4" w:space="0" w:color="auto"/>
              <w:bottom w:val="single" w:sz="4" w:space="0" w:color="auto"/>
              <w:right w:val="single" w:sz="4" w:space="0" w:color="auto"/>
            </w:tcBorders>
            <w:vAlign w:val="center"/>
          </w:tcPr>
          <w:p w14:paraId="48BA130E" w14:textId="77777777" w:rsidR="005E000F" w:rsidRDefault="00000000">
            <w:pPr>
              <w:jc w:val="center"/>
              <w:rPr>
                <w:color w:val="000000" w:themeColor="text1"/>
              </w:rPr>
            </w:pPr>
            <w:r>
              <w:rPr>
                <w:rFonts w:hint="eastAsia"/>
                <w:color w:val="000000" w:themeColor="text1"/>
              </w:rPr>
              <w:t>计提比例（</w:t>
            </w:r>
            <w:r>
              <w:rPr>
                <w:color w:val="000000" w:themeColor="text1"/>
              </w:rPr>
              <w:t>%</w:t>
            </w:r>
            <w:r>
              <w:rPr>
                <w:rFonts w:hint="eastAsia"/>
                <w:color w:val="000000" w:themeColor="text1"/>
              </w:rPr>
              <w:t>）</w:t>
            </w:r>
          </w:p>
        </w:tc>
        <w:tc>
          <w:tcPr>
            <w:tcW w:w="507" w:type="pct"/>
            <w:vMerge/>
            <w:tcBorders>
              <w:left w:val="single" w:sz="4" w:space="0" w:color="auto"/>
              <w:bottom w:val="single" w:sz="4" w:space="0" w:color="auto"/>
              <w:right w:val="single" w:sz="4" w:space="0" w:color="auto"/>
            </w:tcBorders>
          </w:tcPr>
          <w:p w14:paraId="2579DCD9" w14:textId="77777777" w:rsidR="005E000F" w:rsidRDefault="005E000F">
            <w:pPr>
              <w:jc w:val="center"/>
              <w:rPr>
                <w:color w:val="000000" w:themeColor="text1"/>
              </w:rPr>
            </w:pPr>
          </w:p>
        </w:tc>
      </w:tr>
      <w:tr w:rsidR="005E000F" w14:paraId="5C1A09C4" w14:textId="77777777">
        <w:trPr>
          <w:cantSplit/>
        </w:trPr>
        <w:tc>
          <w:tcPr>
            <w:tcW w:w="724" w:type="pct"/>
            <w:tcBorders>
              <w:top w:val="single" w:sz="4" w:space="0" w:color="auto"/>
              <w:left w:val="single" w:sz="4" w:space="0" w:color="auto"/>
              <w:bottom w:val="single" w:sz="4" w:space="0" w:color="auto"/>
              <w:right w:val="single" w:sz="4" w:space="0" w:color="auto"/>
            </w:tcBorders>
          </w:tcPr>
          <w:p w14:paraId="3DF1C2B1" w14:textId="77777777" w:rsidR="005E000F" w:rsidRDefault="00000000">
            <w:pPr>
              <w:rPr>
                <w:color w:val="000000" w:themeColor="text1"/>
              </w:rPr>
            </w:pPr>
            <w:r>
              <w:rPr>
                <w:rFonts w:hint="eastAsia"/>
                <w:color w:val="000000" w:themeColor="text1"/>
              </w:rPr>
              <w:t>按单项计提坏账准备</w:t>
            </w:r>
          </w:p>
        </w:tc>
        <w:tc>
          <w:tcPr>
            <w:tcW w:w="505" w:type="pct"/>
            <w:tcBorders>
              <w:top w:val="single" w:sz="4" w:space="0" w:color="auto"/>
              <w:left w:val="single" w:sz="4" w:space="0" w:color="auto"/>
              <w:bottom w:val="single" w:sz="4" w:space="0" w:color="auto"/>
              <w:right w:val="single" w:sz="4" w:space="0" w:color="auto"/>
            </w:tcBorders>
            <w:vAlign w:val="center"/>
          </w:tcPr>
          <w:p w14:paraId="7EC6DD22" w14:textId="77777777" w:rsidR="005E000F" w:rsidRDefault="00000000">
            <w:pPr>
              <w:jc w:val="right"/>
            </w:pPr>
            <w:r>
              <w:t>0</w:t>
            </w:r>
          </w:p>
        </w:tc>
        <w:tc>
          <w:tcPr>
            <w:tcW w:w="365" w:type="pct"/>
            <w:tcBorders>
              <w:top w:val="single" w:sz="4" w:space="0" w:color="auto"/>
              <w:left w:val="single" w:sz="4" w:space="0" w:color="auto"/>
              <w:bottom w:val="single" w:sz="4" w:space="0" w:color="auto"/>
              <w:right w:val="single" w:sz="4" w:space="0" w:color="auto"/>
            </w:tcBorders>
            <w:vAlign w:val="center"/>
          </w:tcPr>
          <w:p w14:paraId="2E1E6394" w14:textId="77777777" w:rsidR="005E000F" w:rsidRDefault="00000000">
            <w:pPr>
              <w:jc w:val="right"/>
            </w:pPr>
            <w:r>
              <w:t>0</w:t>
            </w:r>
          </w:p>
        </w:tc>
        <w:tc>
          <w:tcPr>
            <w:tcW w:w="362" w:type="pct"/>
            <w:tcBorders>
              <w:top w:val="single" w:sz="4" w:space="0" w:color="auto"/>
              <w:left w:val="single" w:sz="4" w:space="0" w:color="auto"/>
              <w:bottom w:val="single" w:sz="4" w:space="0" w:color="auto"/>
              <w:right w:val="single" w:sz="4" w:space="0" w:color="auto"/>
            </w:tcBorders>
            <w:vAlign w:val="center"/>
          </w:tcPr>
          <w:p w14:paraId="5EDEF2EA" w14:textId="77777777" w:rsidR="005E000F" w:rsidRDefault="00000000">
            <w:pPr>
              <w:jc w:val="right"/>
            </w:pPr>
            <w:r>
              <w:t>0</w:t>
            </w:r>
          </w:p>
        </w:tc>
        <w:tc>
          <w:tcPr>
            <w:tcW w:w="378" w:type="pct"/>
            <w:tcBorders>
              <w:top w:val="single" w:sz="4" w:space="0" w:color="auto"/>
              <w:left w:val="single" w:sz="4" w:space="0" w:color="auto"/>
              <w:bottom w:val="single" w:sz="4" w:space="0" w:color="auto"/>
              <w:right w:val="single" w:sz="4" w:space="0" w:color="auto"/>
            </w:tcBorders>
            <w:vAlign w:val="center"/>
          </w:tcPr>
          <w:p w14:paraId="2A19E628" w14:textId="77777777" w:rsidR="005E000F" w:rsidRDefault="00000000">
            <w:pPr>
              <w:jc w:val="right"/>
            </w:pPr>
            <w:r>
              <w:t>0</w:t>
            </w:r>
          </w:p>
        </w:tc>
        <w:tc>
          <w:tcPr>
            <w:tcW w:w="506" w:type="pct"/>
            <w:tcBorders>
              <w:top w:val="single" w:sz="4" w:space="0" w:color="auto"/>
              <w:left w:val="single" w:sz="4" w:space="0" w:color="auto"/>
              <w:bottom w:val="single" w:sz="4" w:space="0" w:color="auto"/>
              <w:right w:val="single" w:sz="4" w:space="0" w:color="auto"/>
            </w:tcBorders>
            <w:vAlign w:val="center"/>
          </w:tcPr>
          <w:p w14:paraId="3E9F5CA1" w14:textId="77777777" w:rsidR="005E000F" w:rsidRDefault="00000000">
            <w:pPr>
              <w:jc w:val="right"/>
            </w:pPr>
            <w:r>
              <w:t>0</w:t>
            </w:r>
          </w:p>
        </w:tc>
        <w:tc>
          <w:tcPr>
            <w:tcW w:w="505" w:type="pct"/>
            <w:tcBorders>
              <w:top w:val="single" w:sz="4" w:space="0" w:color="auto"/>
              <w:left w:val="single" w:sz="4" w:space="0" w:color="auto"/>
              <w:bottom w:val="single" w:sz="4" w:space="0" w:color="auto"/>
              <w:right w:val="single" w:sz="4" w:space="0" w:color="auto"/>
            </w:tcBorders>
            <w:vAlign w:val="center"/>
          </w:tcPr>
          <w:p w14:paraId="02B16D00" w14:textId="77777777" w:rsidR="005E000F" w:rsidRDefault="00000000">
            <w:pPr>
              <w:jc w:val="right"/>
            </w:pPr>
            <w:r>
              <w:rPr>
                <w:rFonts w:hint="eastAsia"/>
              </w:rPr>
              <w:t>226,314</w:t>
            </w:r>
          </w:p>
        </w:tc>
        <w:tc>
          <w:tcPr>
            <w:tcW w:w="377" w:type="pct"/>
            <w:tcBorders>
              <w:top w:val="single" w:sz="4" w:space="0" w:color="auto"/>
              <w:left w:val="single" w:sz="4" w:space="0" w:color="auto"/>
              <w:bottom w:val="single" w:sz="4" w:space="0" w:color="auto"/>
              <w:right w:val="single" w:sz="4" w:space="0" w:color="auto"/>
            </w:tcBorders>
            <w:vAlign w:val="center"/>
          </w:tcPr>
          <w:p w14:paraId="6BAF4AAD" w14:textId="77777777" w:rsidR="005E000F" w:rsidRDefault="00000000">
            <w:pPr>
              <w:jc w:val="right"/>
            </w:pPr>
            <w:r>
              <w:rPr>
                <w:rFonts w:hint="eastAsia"/>
              </w:rPr>
              <w:t>0</w:t>
            </w:r>
          </w:p>
        </w:tc>
        <w:tc>
          <w:tcPr>
            <w:tcW w:w="383" w:type="pct"/>
            <w:tcBorders>
              <w:top w:val="single" w:sz="4" w:space="0" w:color="auto"/>
              <w:left w:val="single" w:sz="4" w:space="0" w:color="auto"/>
              <w:bottom w:val="single" w:sz="4" w:space="0" w:color="auto"/>
              <w:right w:val="single" w:sz="4" w:space="0" w:color="auto"/>
            </w:tcBorders>
            <w:vAlign w:val="center"/>
          </w:tcPr>
          <w:p w14:paraId="3ED0B919" w14:textId="77777777" w:rsidR="005E000F" w:rsidRDefault="00000000">
            <w:pPr>
              <w:jc w:val="right"/>
            </w:pPr>
            <w:r>
              <w:rPr>
                <w:rFonts w:hint="eastAsia"/>
              </w:rPr>
              <w:t>226,314</w:t>
            </w:r>
          </w:p>
        </w:tc>
        <w:tc>
          <w:tcPr>
            <w:tcW w:w="385" w:type="pct"/>
            <w:tcBorders>
              <w:top w:val="single" w:sz="4" w:space="0" w:color="auto"/>
              <w:left w:val="single" w:sz="4" w:space="0" w:color="auto"/>
              <w:bottom w:val="single" w:sz="4" w:space="0" w:color="auto"/>
              <w:right w:val="single" w:sz="4" w:space="0" w:color="auto"/>
            </w:tcBorders>
            <w:vAlign w:val="center"/>
          </w:tcPr>
          <w:p w14:paraId="6859D45D" w14:textId="77777777" w:rsidR="005E000F" w:rsidRDefault="00000000">
            <w:pPr>
              <w:jc w:val="right"/>
            </w:pPr>
            <w:r>
              <w:rPr>
                <w:rFonts w:hint="eastAsia"/>
              </w:rPr>
              <w:t>100</w:t>
            </w:r>
          </w:p>
        </w:tc>
        <w:tc>
          <w:tcPr>
            <w:tcW w:w="507" w:type="pct"/>
            <w:tcBorders>
              <w:top w:val="single" w:sz="4" w:space="0" w:color="auto"/>
              <w:left w:val="single" w:sz="4" w:space="0" w:color="auto"/>
              <w:bottom w:val="single" w:sz="4" w:space="0" w:color="auto"/>
              <w:right w:val="single" w:sz="4" w:space="0" w:color="auto"/>
            </w:tcBorders>
            <w:vAlign w:val="center"/>
          </w:tcPr>
          <w:p w14:paraId="5934DD48" w14:textId="77777777" w:rsidR="005E000F" w:rsidRDefault="00000000">
            <w:pPr>
              <w:jc w:val="right"/>
            </w:pPr>
            <w:r>
              <w:rPr>
                <w:rFonts w:hint="eastAsia"/>
              </w:rPr>
              <w:t>0</w:t>
            </w:r>
          </w:p>
        </w:tc>
      </w:tr>
      <w:tr w:rsidR="005E000F" w14:paraId="2F65A271" w14:textId="77777777">
        <w:trPr>
          <w:cantSplit/>
        </w:trPr>
        <w:tc>
          <w:tcPr>
            <w:tcW w:w="724" w:type="pct"/>
            <w:tcBorders>
              <w:top w:val="single" w:sz="4" w:space="0" w:color="auto"/>
              <w:left w:val="single" w:sz="4" w:space="0" w:color="auto"/>
              <w:bottom w:val="single" w:sz="4" w:space="0" w:color="auto"/>
              <w:right w:val="single" w:sz="4" w:space="0" w:color="auto"/>
            </w:tcBorders>
          </w:tcPr>
          <w:p w14:paraId="6DF592A5" w14:textId="77777777" w:rsidR="005E000F" w:rsidRDefault="00000000">
            <w:pPr>
              <w:rPr>
                <w:color w:val="000000" w:themeColor="text1"/>
              </w:rPr>
            </w:pPr>
            <w:r>
              <w:rPr>
                <w:rFonts w:hint="eastAsia"/>
                <w:color w:val="000000" w:themeColor="text1"/>
              </w:rPr>
              <w:t>按组合计提坏账准备</w:t>
            </w:r>
          </w:p>
        </w:tc>
        <w:tc>
          <w:tcPr>
            <w:tcW w:w="1423" w:type="dxa"/>
            <w:tcBorders>
              <w:top w:val="single" w:sz="4" w:space="0" w:color="auto"/>
              <w:left w:val="single" w:sz="4" w:space="0" w:color="auto"/>
              <w:bottom w:val="single" w:sz="4" w:space="0" w:color="auto"/>
              <w:right w:val="single" w:sz="4" w:space="0" w:color="auto"/>
            </w:tcBorders>
            <w:vAlign w:val="center"/>
          </w:tcPr>
          <w:p w14:paraId="0107BA1C" w14:textId="77777777" w:rsidR="005E000F" w:rsidRDefault="00000000">
            <w:pPr>
              <w:jc w:val="right"/>
            </w:pPr>
            <w:r>
              <w:t>3,347,976,98</w:t>
            </w:r>
            <w:r>
              <w:rPr>
                <w:rFonts w:hint="eastAsia"/>
              </w:rPr>
              <w:t>0</w:t>
            </w:r>
          </w:p>
        </w:tc>
        <w:tc>
          <w:tcPr>
            <w:tcW w:w="1028" w:type="dxa"/>
            <w:tcBorders>
              <w:top w:val="single" w:sz="4" w:space="0" w:color="auto"/>
              <w:left w:val="single" w:sz="4" w:space="0" w:color="auto"/>
              <w:bottom w:val="single" w:sz="4" w:space="0" w:color="auto"/>
              <w:right w:val="single" w:sz="4" w:space="0" w:color="auto"/>
            </w:tcBorders>
            <w:vAlign w:val="center"/>
          </w:tcPr>
          <w:p w14:paraId="207B6285" w14:textId="77777777" w:rsidR="005E000F" w:rsidRDefault="00000000">
            <w:pPr>
              <w:jc w:val="right"/>
            </w:pPr>
            <w:r>
              <w:t>100.00</w:t>
            </w:r>
          </w:p>
        </w:tc>
        <w:tc>
          <w:tcPr>
            <w:tcW w:w="1020" w:type="dxa"/>
            <w:tcBorders>
              <w:top w:val="single" w:sz="4" w:space="0" w:color="auto"/>
              <w:left w:val="single" w:sz="4" w:space="0" w:color="auto"/>
              <w:bottom w:val="single" w:sz="4" w:space="0" w:color="auto"/>
              <w:right w:val="single" w:sz="4" w:space="0" w:color="auto"/>
            </w:tcBorders>
            <w:vAlign w:val="center"/>
          </w:tcPr>
          <w:p w14:paraId="387F5173" w14:textId="77777777" w:rsidR="005E000F" w:rsidRDefault="00000000">
            <w:pPr>
              <w:jc w:val="right"/>
            </w:pPr>
            <w:r>
              <w:t>252,414</w:t>
            </w:r>
          </w:p>
        </w:tc>
        <w:tc>
          <w:tcPr>
            <w:tcW w:w="1065" w:type="dxa"/>
            <w:tcBorders>
              <w:top w:val="single" w:sz="4" w:space="0" w:color="auto"/>
              <w:left w:val="single" w:sz="4" w:space="0" w:color="auto"/>
              <w:bottom w:val="single" w:sz="4" w:space="0" w:color="auto"/>
              <w:right w:val="single" w:sz="4" w:space="0" w:color="auto"/>
            </w:tcBorders>
            <w:vAlign w:val="center"/>
          </w:tcPr>
          <w:p w14:paraId="0764728C" w14:textId="77777777" w:rsidR="005E000F" w:rsidRDefault="00000000">
            <w:pPr>
              <w:jc w:val="right"/>
            </w:pPr>
            <w:r>
              <w:t>0.01</w:t>
            </w:r>
          </w:p>
        </w:tc>
        <w:tc>
          <w:tcPr>
            <w:tcW w:w="1429" w:type="dxa"/>
            <w:tcBorders>
              <w:top w:val="single" w:sz="4" w:space="0" w:color="auto"/>
              <w:left w:val="single" w:sz="4" w:space="0" w:color="auto"/>
              <w:bottom w:val="single" w:sz="4" w:space="0" w:color="auto"/>
              <w:right w:val="single" w:sz="4" w:space="0" w:color="auto"/>
            </w:tcBorders>
            <w:vAlign w:val="center"/>
          </w:tcPr>
          <w:p w14:paraId="338B24D9" w14:textId="77777777" w:rsidR="005E000F" w:rsidRDefault="00000000">
            <w:pPr>
              <w:jc w:val="right"/>
            </w:pPr>
            <w:r>
              <w:t>3,347,724,56</w:t>
            </w:r>
            <w:r>
              <w:rPr>
                <w:rFonts w:hint="eastAsia"/>
              </w:rPr>
              <w:t>6</w:t>
            </w:r>
          </w:p>
        </w:tc>
        <w:tc>
          <w:tcPr>
            <w:tcW w:w="505" w:type="pct"/>
            <w:tcBorders>
              <w:top w:val="single" w:sz="4" w:space="0" w:color="auto"/>
              <w:left w:val="single" w:sz="4" w:space="0" w:color="auto"/>
              <w:bottom w:val="single" w:sz="4" w:space="0" w:color="auto"/>
              <w:right w:val="single" w:sz="4" w:space="0" w:color="auto"/>
            </w:tcBorders>
            <w:vAlign w:val="center"/>
          </w:tcPr>
          <w:p w14:paraId="7C117750" w14:textId="77777777" w:rsidR="005E000F" w:rsidRDefault="00000000">
            <w:pPr>
              <w:jc w:val="right"/>
            </w:pPr>
            <w:r>
              <w:rPr>
                <w:rFonts w:hint="eastAsia"/>
              </w:rPr>
              <w:t>1,523,118,934</w:t>
            </w:r>
          </w:p>
        </w:tc>
        <w:tc>
          <w:tcPr>
            <w:tcW w:w="377" w:type="pct"/>
            <w:tcBorders>
              <w:top w:val="single" w:sz="4" w:space="0" w:color="auto"/>
              <w:left w:val="single" w:sz="4" w:space="0" w:color="auto"/>
              <w:bottom w:val="single" w:sz="4" w:space="0" w:color="auto"/>
              <w:right w:val="single" w:sz="4" w:space="0" w:color="auto"/>
            </w:tcBorders>
            <w:vAlign w:val="center"/>
          </w:tcPr>
          <w:p w14:paraId="451B3A23" w14:textId="77777777" w:rsidR="005E000F" w:rsidRDefault="00000000">
            <w:pPr>
              <w:jc w:val="right"/>
            </w:pPr>
            <w:r>
              <w:rPr>
                <w:rFonts w:hint="eastAsia"/>
              </w:rPr>
              <w:t>100</w:t>
            </w:r>
          </w:p>
        </w:tc>
        <w:tc>
          <w:tcPr>
            <w:tcW w:w="383" w:type="pct"/>
            <w:tcBorders>
              <w:top w:val="single" w:sz="4" w:space="0" w:color="auto"/>
              <w:left w:val="single" w:sz="4" w:space="0" w:color="auto"/>
              <w:bottom w:val="single" w:sz="4" w:space="0" w:color="auto"/>
              <w:right w:val="single" w:sz="4" w:space="0" w:color="auto"/>
            </w:tcBorders>
            <w:vAlign w:val="center"/>
          </w:tcPr>
          <w:p w14:paraId="40923724" w14:textId="77777777" w:rsidR="005E000F" w:rsidRDefault="00000000">
            <w:pPr>
              <w:jc w:val="right"/>
            </w:pPr>
            <w:r>
              <w:rPr>
                <w:rFonts w:hint="eastAsia"/>
              </w:rPr>
              <w:t>130,700</w:t>
            </w:r>
          </w:p>
        </w:tc>
        <w:tc>
          <w:tcPr>
            <w:tcW w:w="385" w:type="pct"/>
            <w:tcBorders>
              <w:top w:val="single" w:sz="4" w:space="0" w:color="auto"/>
              <w:left w:val="single" w:sz="4" w:space="0" w:color="auto"/>
              <w:bottom w:val="single" w:sz="4" w:space="0" w:color="auto"/>
              <w:right w:val="single" w:sz="4" w:space="0" w:color="auto"/>
            </w:tcBorders>
            <w:vAlign w:val="center"/>
          </w:tcPr>
          <w:p w14:paraId="445A4588" w14:textId="77777777" w:rsidR="005E000F" w:rsidRDefault="00000000">
            <w:pPr>
              <w:jc w:val="right"/>
            </w:pPr>
            <w:r>
              <w:rPr>
                <w:rFonts w:hint="eastAsia"/>
              </w:rPr>
              <w:t>0.01</w:t>
            </w:r>
          </w:p>
        </w:tc>
        <w:tc>
          <w:tcPr>
            <w:tcW w:w="507" w:type="pct"/>
            <w:tcBorders>
              <w:top w:val="single" w:sz="4" w:space="0" w:color="auto"/>
              <w:left w:val="single" w:sz="4" w:space="0" w:color="auto"/>
              <w:bottom w:val="single" w:sz="4" w:space="0" w:color="auto"/>
              <w:right w:val="single" w:sz="4" w:space="0" w:color="auto"/>
            </w:tcBorders>
            <w:vAlign w:val="center"/>
          </w:tcPr>
          <w:p w14:paraId="562A49FF" w14:textId="77777777" w:rsidR="005E000F" w:rsidRDefault="00000000">
            <w:pPr>
              <w:jc w:val="right"/>
            </w:pPr>
            <w:r>
              <w:rPr>
                <w:rFonts w:hint="eastAsia"/>
              </w:rPr>
              <w:t>1,522,988,234</w:t>
            </w:r>
          </w:p>
        </w:tc>
      </w:tr>
      <w:tr w:rsidR="005E000F" w14:paraId="798D8ABF" w14:textId="77777777">
        <w:trPr>
          <w:cantSplit/>
        </w:trPr>
        <w:tc>
          <w:tcPr>
            <w:tcW w:w="5000" w:type="pct"/>
            <w:gridSpan w:val="11"/>
            <w:tcBorders>
              <w:top w:val="single" w:sz="4" w:space="0" w:color="auto"/>
              <w:left w:val="single" w:sz="4" w:space="0" w:color="auto"/>
              <w:bottom w:val="single" w:sz="4" w:space="0" w:color="auto"/>
              <w:right w:val="single" w:sz="4" w:space="0" w:color="auto"/>
            </w:tcBorders>
          </w:tcPr>
          <w:p w14:paraId="6915849E" w14:textId="77777777" w:rsidR="005E000F" w:rsidRDefault="00000000">
            <w:r>
              <w:rPr>
                <w:rFonts w:hint="eastAsia"/>
              </w:rPr>
              <w:t>其中：</w:t>
            </w:r>
          </w:p>
        </w:tc>
      </w:tr>
      <w:tr w:rsidR="005E000F" w14:paraId="5698AE8F" w14:textId="77777777">
        <w:trPr>
          <w:cantSplit/>
        </w:trPr>
        <w:tc>
          <w:tcPr>
            <w:tcW w:w="724" w:type="pct"/>
            <w:tcBorders>
              <w:top w:val="single" w:sz="4" w:space="0" w:color="auto"/>
              <w:left w:val="single" w:sz="4" w:space="0" w:color="auto"/>
              <w:bottom w:val="single" w:sz="4" w:space="0" w:color="auto"/>
              <w:right w:val="single" w:sz="4" w:space="0" w:color="auto"/>
            </w:tcBorders>
          </w:tcPr>
          <w:p w14:paraId="4610AA10" w14:textId="77777777" w:rsidR="005E000F" w:rsidRDefault="00000000">
            <w:pPr>
              <w:jc w:val="both"/>
              <w:rPr>
                <w:color w:val="000000" w:themeColor="text1"/>
              </w:rPr>
            </w:pPr>
            <w:r>
              <w:rPr>
                <w:rFonts w:hint="eastAsia"/>
                <w:color w:val="000000" w:themeColor="text1"/>
              </w:rPr>
              <w:t>组合</w:t>
            </w:r>
            <w:proofErr w:type="gramStart"/>
            <w:r>
              <w:rPr>
                <w:rFonts w:hint="eastAsia"/>
                <w:color w:val="000000" w:themeColor="text1"/>
              </w:rPr>
              <w:t>一</w:t>
            </w:r>
            <w:proofErr w:type="gramEnd"/>
          </w:p>
        </w:tc>
        <w:tc>
          <w:tcPr>
            <w:tcW w:w="1423" w:type="dxa"/>
            <w:tcBorders>
              <w:top w:val="single" w:sz="4" w:space="0" w:color="auto"/>
              <w:left w:val="single" w:sz="4" w:space="0" w:color="auto"/>
              <w:bottom w:val="single" w:sz="4" w:space="0" w:color="auto"/>
              <w:right w:val="single" w:sz="4" w:space="0" w:color="auto"/>
            </w:tcBorders>
            <w:vAlign w:val="center"/>
          </w:tcPr>
          <w:p w14:paraId="0858F837" w14:textId="77777777" w:rsidR="005E000F" w:rsidRDefault="00000000">
            <w:pPr>
              <w:jc w:val="right"/>
            </w:pPr>
            <w:r>
              <w:t>3,325,282,005</w:t>
            </w:r>
          </w:p>
        </w:tc>
        <w:tc>
          <w:tcPr>
            <w:tcW w:w="1028" w:type="dxa"/>
            <w:tcBorders>
              <w:top w:val="single" w:sz="4" w:space="0" w:color="auto"/>
              <w:left w:val="single" w:sz="4" w:space="0" w:color="auto"/>
              <w:bottom w:val="single" w:sz="4" w:space="0" w:color="auto"/>
              <w:right w:val="single" w:sz="4" w:space="0" w:color="auto"/>
            </w:tcBorders>
            <w:vAlign w:val="center"/>
          </w:tcPr>
          <w:p w14:paraId="583705A2" w14:textId="77777777" w:rsidR="005E000F" w:rsidRDefault="00000000">
            <w:pPr>
              <w:jc w:val="right"/>
            </w:pPr>
            <w:r>
              <w:t>99.32</w:t>
            </w:r>
          </w:p>
        </w:tc>
        <w:tc>
          <w:tcPr>
            <w:tcW w:w="1020" w:type="dxa"/>
            <w:tcBorders>
              <w:top w:val="single" w:sz="4" w:space="0" w:color="auto"/>
              <w:left w:val="single" w:sz="4" w:space="0" w:color="auto"/>
              <w:bottom w:val="single" w:sz="4" w:space="0" w:color="auto"/>
              <w:right w:val="single" w:sz="4" w:space="0" w:color="auto"/>
            </w:tcBorders>
            <w:vAlign w:val="center"/>
          </w:tcPr>
          <w:p w14:paraId="51E005C5" w14:textId="77777777" w:rsidR="005E000F" w:rsidRDefault="00000000">
            <w:pPr>
              <w:jc w:val="right"/>
            </w:pPr>
            <w:r>
              <w:rPr>
                <w:rFonts w:hint="eastAsia"/>
              </w:rPr>
              <w:t>0</w:t>
            </w:r>
          </w:p>
        </w:tc>
        <w:tc>
          <w:tcPr>
            <w:tcW w:w="1065" w:type="dxa"/>
            <w:tcBorders>
              <w:top w:val="single" w:sz="4" w:space="0" w:color="auto"/>
              <w:left w:val="single" w:sz="4" w:space="0" w:color="auto"/>
              <w:bottom w:val="single" w:sz="4" w:space="0" w:color="auto"/>
              <w:right w:val="single" w:sz="4" w:space="0" w:color="auto"/>
            </w:tcBorders>
            <w:vAlign w:val="center"/>
          </w:tcPr>
          <w:p w14:paraId="1A4A4251" w14:textId="77777777" w:rsidR="005E000F" w:rsidRDefault="00000000">
            <w:pPr>
              <w:jc w:val="right"/>
            </w:pPr>
            <w:r>
              <w:rPr>
                <w:rFonts w:hint="eastAsia"/>
              </w:rPr>
              <w:t>0</w:t>
            </w:r>
          </w:p>
        </w:tc>
        <w:tc>
          <w:tcPr>
            <w:tcW w:w="1429" w:type="dxa"/>
            <w:tcBorders>
              <w:top w:val="single" w:sz="4" w:space="0" w:color="auto"/>
              <w:left w:val="single" w:sz="4" w:space="0" w:color="auto"/>
              <w:bottom w:val="single" w:sz="4" w:space="0" w:color="auto"/>
              <w:right w:val="single" w:sz="4" w:space="0" w:color="auto"/>
            </w:tcBorders>
            <w:vAlign w:val="center"/>
          </w:tcPr>
          <w:p w14:paraId="2DDED88C" w14:textId="77777777" w:rsidR="005E000F" w:rsidRDefault="00000000">
            <w:pPr>
              <w:jc w:val="right"/>
            </w:pPr>
            <w:r>
              <w:t>3,325,282,005</w:t>
            </w:r>
          </w:p>
        </w:tc>
        <w:tc>
          <w:tcPr>
            <w:tcW w:w="505" w:type="pct"/>
            <w:tcBorders>
              <w:top w:val="single" w:sz="4" w:space="0" w:color="auto"/>
              <w:left w:val="single" w:sz="4" w:space="0" w:color="auto"/>
              <w:bottom w:val="single" w:sz="4" w:space="0" w:color="auto"/>
              <w:right w:val="single" w:sz="4" w:space="0" w:color="auto"/>
            </w:tcBorders>
            <w:vAlign w:val="center"/>
          </w:tcPr>
          <w:p w14:paraId="59263266" w14:textId="77777777" w:rsidR="005E000F" w:rsidRDefault="00000000">
            <w:pPr>
              <w:jc w:val="right"/>
            </w:pPr>
            <w:r>
              <w:rPr>
                <w:rFonts w:hint="eastAsia"/>
              </w:rPr>
              <w:t>1,510,082,284</w:t>
            </w:r>
          </w:p>
        </w:tc>
        <w:tc>
          <w:tcPr>
            <w:tcW w:w="377" w:type="pct"/>
            <w:tcBorders>
              <w:top w:val="single" w:sz="4" w:space="0" w:color="auto"/>
              <w:left w:val="single" w:sz="4" w:space="0" w:color="auto"/>
              <w:bottom w:val="single" w:sz="4" w:space="0" w:color="auto"/>
              <w:right w:val="single" w:sz="4" w:space="0" w:color="auto"/>
            </w:tcBorders>
            <w:vAlign w:val="center"/>
          </w:tcPr>
          <w:p w14:paraId="29684E18" w14:textId="77777777" w:rsidR="005E000F" w:rsidRDefault="00000000">
            <w:pPr>
              <w:jc w:val="right"/>
            </w:pPr>
            <w:r>
              <w:rPr>
                <w:rFonts w:hint="eastAsia"/>
              </w:rPr>
              <w:t>99</w:t>
            </w:r>
          </w:p>
        </w:tc>
        <w:tc>
          <w:tcPr>
            <w:tcW w:w="383" w:type="pct"/>
            <w:tcBorders>
              <w:top w:val="single" w:sz="4" w:space="0" w:color="auto"/>
              <w:left w:val="single" w:sz="4" w:space="0" w:color="auto"/>
              <w:bottom w:val="single" w:sz="4" w:space="0" w:color="auto"/>
              <w:right w:val="single" w:sz="4" w:space="0" w:color="auto"/>
            </w:tcBorders>
            <w:vAlign w:val="center"/>
          </w:tcPr>
          <w:p w14:paraId="2188BCCC" w14:textId="77777777" w:rsidR="005E000F" w:rsidRDefault="00000000">
            <w:pPr>
              <w:jc w:val="right"/>
            </w:pPr>
            <w:r>
              <w:rPr>
                <w:rFonts w:hint="eastAsia"/>
              </w:rPr>
              <w:t>0</w:t>
            </w:r>
          </w:p>
        </w:tc>
        <w:tc>
          <w:tcPr>
            <w:tcW w:w="385" w:type="pct"/>
            <w:tcBorders>
              <w:top w:val="single" w:sz="4" w:space="0" w:color="auto"/>
              <w:left w:val="single" w:sz="4" w:space="0" w:color="auto"/>
              <w:bottom w:val="single" w:sz="4" w:space="0" w:color="auto"/>
              <w:right w:val="single" w:sz="4" w:space="0" w:color="auto"/>
            </w:tcBorders>
            <w:vAlign w:val="center"/>
          </w:tcPr>
          <w:p w14:paraId="15BF9BEE" w14:textId="77777777" w:rsidR="005E000F" w:rsidRDefault="00000000">
            <w:pPr>
              <w:jc w:val="right"/>
            </w:pPr>
            <w:r>
              <w:rPr>
                <w:rFonts w:hint="eastAsia"/>
              </w:rPr>
              <w:t>0</w:t>
            </w:r>
          </w:p>
        </w:tc>
        <w:tc>
          <w:tcPr>
            <w:tcW w:w="507" w:type="pct"/>
            <w:tcBorders>
              <w:top w:val="single" w:sz="4" w:space="0" w:color="auto"/>
              <w:left w:val="single" w:sz="4" w:space="0" w:color="auto"/>
              <w:bottom w:val="single" w:sz="4" w:space="0" w:color="auto"/>
              <w:right w:val="single" w:sz="4" w:space="0" w:color="auto"/>
            </w:tcBorders>
            <w:vAlign w:val="center"/>
          </w:tcPr>
          <w:p w14:paraId="72CDA750" w14:textId="77777777" w:rsidR="005E000F" w:rsidRDefault="00000000">
            <w:pPr>
              <w:jc w:val="right"/>
            </w:pPr>
            <w:r>
              <w:rPr>
                <w:rFonts w:hint="eastAsia"/>
              </w:rPr>
              <w:t>1,510,082,284</w:t>
            </w:r>
          </w:p>
        </w:tc>
      </w:tr>
      <w:tr w:rsidR="005E000F" w14:paraId="69576E0D" w14:textId="77777777">
        <w:trPr>
          <w:cantSplit/>
        </w:trPr>
        <w:tc>
          <w:tcPr>
            <w:tcW w:w="724" w:type="pct"/>
            <w:tcBorders>
              <w:top w:val="single" w:sz="4" w:space="0" w:color="auto"/>
              <w:left w:val="single" w:sz="4" w:space="0" w:color="auto"/>
              <w:bottom w:val="single" w:sz="4" w:space="0" w:color="auto"/>
              <w:right w:val="single" w:sz="4" w:space="0" w:color="auto"/>
            </w:tcBorders>
          </w:tcPr>
          <w:p w14:paraId="3A6D7F96" w14:textId="77777777" w:rsidR="005E000F" w:rsidRDefault="00000000">
            <w:pPr>
              <w:jc w:val="both"/>
              <w:rPr>
                <w:color w:val="000000" w:themeColor="text1"/>
              </w:rPr>
            </w:pPr>
            <w:r>
              <w:rPr>
                <w:rFonts w:hint="eastAsia"/>
                <w:color w:val="000000" w:themeColor="text1"/>
              </w:rPr>
              <w:t>组合二</w:t>
            </w:r>
          </w:p>
        </w:tc>
        <w:tc>
          <w:tcPr>
            <w:tcW w:w="1423" w:type="dxa"/>
            <w:tcBorders>
              <w:top w:val="single" w:sz="4" w:space="0" w:color="auto"/>
              <w:left w:val="single" w:sz="4" w:space="0" w:color="auto"/>
              <w:bottom w:val="single" w:sz="4" w:space="0" w:color="auto"/>
              <w:right w:val="single" w:sz="4" w:space="0" w:color="auto"/>
            </w:tcBorders>
            <w:vAlign w:val="center"/>
          </w:tcPr>
          <w:p w14:paraId="15C47CF4" w14:textId="77777777" w:rsidR="005E000F" w:rsidRDefault="00000000">
            <w:pPr>
              <w:jc w:val="right"/>
            </w:pPr>
            <w:r>
              <w:t>22,694,97</w:t>
            </w:r>
            <w:r>
              <w:rPr>
                <w:rFonts w:hint="eastAsia"/>
              </w:rPr>
              <w:t>5</w:t>
            </w:r>
          </w:p>
        </w:tc>
        <w:tc>
          <w:tcPr>
            <w:tcW w:w="1028" w:type="dxa"/>
            <w:tcBorders>
              <w:top w:val="single" w:sz="4" w:space="0" w:color="auto"/>
              <w:left w:val="single" w:sz="4" w:space="0" w:color="auto"/>
              <w:bottom w:val="single" w:sz="4" w:space="0" w:color="auto"/>
              <w:right w:val="single" w:sz="4" w:space="0" w:color="auto"/>
            </w:tcBorders>
            <w:vAlign w:val="center"/>
          </w:tcPr>
          <w:p w14:paraId="2DFA5FDA" w14:textId="77777777" w:rsidR="005E000F" w:rsidRDefault="00000000">
            <w:pPr>
              <w:jc w:val="right"/>
            </w:pPr>
            <w:r>
              <w:t>0.68</w:t>
            </w:r>
          </w:p>
        </w:tc>
        <w:tc>
          <w:tcPr>
            <w:tcW w:w="1020" w:type="dxa"/>
            <w:tcBorders>
              <w:top w:val="single" w:sz="4" w:space="0" w:color="auto"/>
              <w:left w:val="single" w:sz="4" w:space="0" w:color="auto"/>
              <w:bottom w:val="single" w:sz="4" w:space="0" w:color="auto"/>
              <w:right w:val="single" w:sz="4" w:space="0" w:color="auto"/>
            </w:tcBorders>
            <w:vAlign w:val="center"/>
          </w:tcPr>
          <w:p w14:paraId="793C0569" w14:textId="77777777" w:rsidR="005E000F" w:rsidRDefault="00000000">
            <w:pPr>
              <w:jc w:val="right"/>
            </w:pPr>
            <w:r>
              <w:t>252,414</w:t>
            </w:r>
          </w:p>
        </w:tc>
        <w:tc>
          <w:tcPr>
            <w:tcW w:w="1065" w:type="dxa"/>
            <w:tcBorders>
              <w:top w:val="single" w:sz="4" w:space="0" w:color="auto"/>
              <w:left w:val="single" w:sz="4" w:space="0" w:color="auto"/>
              <w:bottom w:val="single" w:sz="4" w:space="0" w:color="auto"/>
              <w:right w:val="single" w:sz="4" w:space="0" w:color="auto"/>
            </w:tcBorders>
            <w:vAlign w:val="center"/>
          </w:tcPr>
          <w:p w14:paraId="0EA87779" w14:textId="77777777" w:rsidR="005E000F" w:rsidRDefault="00000000">
            <w:pPr>
              <w:jc w:val="right"/>
            </w:pPr>
            <w:r>
              <w:t>1.11</w:t>
            </w:r>
          </w:p>
        </w:tc>
        <w:tc>
          <w:tcPr>
            <w:tcW w:w="1429" w:type="dxa"/>
            <w:tcBorders>
              <w:top w:val="single" w:sz="4" w:space="0" w:color="auto"/>
              <w:left w:val="single" w:sz="4" w:space="0" w:color="auto"/>
              <w:bottom w:val="single" w:sz="4" w:space="0" w:color="auto"/>
              <w:right w:val="single" w:sz="4" w:space="0" w:color="auto"/>
            </w:tcBorders>
            <w:vAlign w:val="center"/>
          </w:tcPr>
          <w:p w14:paraId="6FFC06D7" w14:textId="77777777" w:rsidR="005E000F" w:rsidRDefault="00000000">
            <w:pPr>
              <w:jc w:val="right"/>
            </w:pPr>
            <w:r>
              <w:t>22,442,56</w:t>
            </w:r>
            <w:r>
              <w:rPr>
                <w:rFonts w:hint="eastAsia"/>
              </w:rPr>
              <w:t>1</w:t>
            </w:r>
          </w:p>
        </w:tc>
        <w:tc>
          <w:tcPr>
            <w:tcW w:w="505" w:type="pct"/>
            <w:tcBorders>
              <w:top w:val="single" w:sz="4" w:space="0" w:color="auto"/>
              <w:left w:val="single" w:sz="4" w:space="0" w:color="auto"/>
              <w:bottom w:val="single" w:sz="4" w:space="0" w:color="auto"/>
              <w:right w:val="single" w:sz="4" w:space="0" w:color="auto"/>
            </w:tcBorders>
            <w:vAlign w:val="center"/>
          </w:tcPr>
          <w:p w14:paraId="329F548D" w14:textId="77777777" w:rsidR="005E000F" w:rsidRDefault="00000000">
            <w:pPr>
              <w:jc w:val="right"/>
            </w:pPr>
            <w:r>
              <w:t>13,036,650</w:t>
            </w:r>
          </w:p>
        </w:tc>
        <w:tc>
          <w:tcPr>
            <w:tcW w:w="377" w:type="pct"/>
            <w:tcBorders>
              <w:top w:val="single" w:sz="4" w:space="0" w:color="auto"/>
              <w:left w:val="single" w:sz="4" w:space="0" w:color="auto"/>
              <w:bottom w:val="single" w:sz="4" w:space="0" w:color="auto"/>
              <w:right w:val="single" w:sz="4" w:space="0" w:color="auto"/>
            </w:tcBorders>
            <w:vAlign w:val="center"/>
          </w:tcPr>
          <w:p w14:paraId="257B752C" w14:textId="77777777" w:rsidR="005E000F" w:rsidRDefault="00000000">
            <w:pPr>
              <w:jc w:val="right"/>
            </w:pPr>
            <w:r>
              <w:rPr>
                <w:rFonts w:hint="eastAsia"/>
              </w:rPr>
              <w:t>1</w:t>
            </w:r>
          </w:p>
        </w:tc>
        <w:tc>
          <w:tcPr>
            <w:tcW w:w="383" w:type="pct"/>
            <w:tcBorders>
              <w:top w:val="single" w:sz="4" w:space="0" w:color="auto"/>
              <w:left w:val="single" w:sz="4" w:space="0" w:color="auto"/>
              <w:bottom w:val="single" w:sz="4" w:space="0" w:color="auto"/>
              <w:right w:val="single" w:sz="4" w:space="0" w:color="auto"/>
            </w:tcBorders>
            <w:vAlign w:val="center"/>
          </w:tcPr>
          <w:p w14:paraId="0C4AEB8F" w14:textId="77777777" w:rsidR="005E000F" w:rsidRDefault="00000000">
            <w:pPr>
              <w:jc w:val="right"/>
            </w:pPr>
            <w:r>
              <w:rPr>
                <w:rFonts w:hint="eastAsia"/>
              </w:rPr>
              <w:t>130,700</w:t>
            </w:r>
          </w:p>
        </w:tc>
        <w:tc>
          <w:tcPr>
            <w:tcW w:w="385" w:type="pct"/>
            <w:tcBorders>
              <w:top w:val="single" w:sz="4" w:space="0" w:color="auto"/>
              <w:left w:val="single" w:sz="4" w:space="0" w:color="auto"/>
              <w:bottom w:val="single" w:sz="4" w:space="0" w:color="auto"/>
              <w:right w:val="single" w:sz="4" w:space="0" w:color="auto"/>
            </w:tcBorders>
            <w:vAlign w:val="center"/>
          </w:tcPr>
          <w:p w14:paraId="313B86DF" w14:textId="77777777" w:rsidR="005E000F" w:rsidRDefault="00000000">
            <w:pPr>
              <w:jc w:val="right"/>
            </w:pPr>
            <w:r>
              <w:rPr>
                <w:rFonts w:hint="eastAsia"/>
              </w:rPr>
              <w:t>1.00</w:t>
            </w:r>
          </w:p>
        </w:tc>
        <w:tc>
          <w:tcPr>
            <w:tcW w:w="507" w:type="pct"/>
            <w:tcBorders>
              <w:top w:val="single" w:sz="4" w:space="0" w:color="auto"/>
              <w:left w:val="single" w:sz="4" w:space="0" w:color="auto"/>
              <w:bottom w:val="single" w:sz="4" w:space="0" w:color="auto"/>
              <w:right w:val="single" w:sz="4" w:space="0" w:color="auto"/>
            </w:tcBorders>
            <w:vAlign w:val="center"/>
          </w:tcPr>
          <w:p w14:paraId="53B1DC26" w14:textId="77777777" w:rsidR="005E000F" w:rsidRDefault="00000000">
            <w:pPr>
              <w:jc w:val="right"/>
            </w:pPr>
            <w:r>
              <w:rPr>
                <w:rFonts w:hint="eastAsia"/>
              </w:rPr>
              <w:t>12,905,950</w:t>
            </w:r>
          </w:p>
        </w:tc>
      </w:tr>
      <w:tr w:rsidR="005E000F" w14:paraId="2D6A6956" w14:textId="77777777">
        <w:trPr>
          <w:cantSplit/>
        </w:trPr>
        <w:tc>
          <w:tcPr>
            <w:tcW w:w="724" w:type="pct"/>
            <w:tcBorders>
              <w:top w:val="single" w:sz="4" w:space="0" w:color="auto"/>
              <w:left w:val="single" w:sz="4" w:space="0" w:color="auto"/>
              <w:bottom w:val="single" w:sz="4" w:space="0" w:color="auto"/>
              <w:right w:val="single" w:sz="4" w:space="0" w:color="auto"/>
            </w:tcBorders>
            <w:vAlign w:val="center"/>
          </w:tcPr>
          <w:p w14:paraId="5A25D72A" w14:textId="77777777" w:rsidR="005E000F" w:rsidRDefault="00000000">
            <w:pPr>
              <w:autoSpaceDE w:val="0"/>
              <w:autoSpaceDN w:val="0"/>
              <w:adjustRightInd w:val="0"/>
              <w:jc w:val="center"/>
              <w:rPr>
                <w:color w:val="000000" w:themeColor="text1"/>
              </w:rPr>
            </w:pPr>
            <w:r>
              <w:rPr>
                <w:rFonts w:hint="eastAsia"/>
                <w:color w:val="000000" w:themeColor="text1"/>
              </w:rPr>
              <w:t>合计</w:t>
            </w:r>
          </w:p>
        </w:tc>
        <w:tc>
          <w:tcPr>
            <w:tcW w:w="505" w:type="pct"/>
            <w:tcBorders>
              <w:top w:val="single" w:sz="4" w:space="0" w:color="auto"/>
              <w:left w:val="single" w:sz="4" w:space="0" w:color="auto"/>
              <w:bottom w:val="single" w:sz="4" w:space="0" w:color="auto"/>
              <w:right w:val="single" w:sz="4" w:space="0" w:color="auto"/>
            </w:tcBorders>
            <w:vAlign w:val="center"/>
          </w:tcPr>
          <w:p w14:paraId="78BC5C6B" w14:textId="77777777" w:rsidR="005E000F" w:rsidRDefault="00000000">
            <w:pPr>
              <w:jc w:val="right"/>
            </w:pPr>
            <w:r>
              <w:t>3,347,976,98</w:t>
            </w:r>
            <w:r>
              <w:rPr>
                <w:rFonts w:hint="eastAsia"/>
              </w:rPr>
              <w:t>0</w:t>
            </w:r>
          </w:p>
        </w:tc>
        <w:tc>
          <w:tcPr>
            <w:tcW w:w="365" w:type="pct"/>
            <w:tcBorders>
              <w:top w:val="single" w:sz="4" w:space="0" w:color="auto"/>
              <w:left w:val="single" w:sz="4" w:space="0" w:color="auto"/>
              <w:bottom w:val="single" w:sz="4" w:space="0" w:color="auto"/>
              <w:right w:val="single" w:sz="4" w:space="0" w:color="auto"/>
            </w:tcBorders>
            <w:vAlign w:val="center"/>
          </w:tcPr>
          <w:p w14:paraId="6D325FDE" w14:textId="77777777" w:rsidR="005E000F" w:rsidRDefault="00000000">
            <w:pPr>
              <w:jc w:val="right"/>
            </w:pPr>
            <w:r>
              <w:rPr>
                <w:rFonts w:hint="eastAsia"/>
              </w:rPr>
              <w:t>/</w:t>
            </w:r>
          </w:p>
        </w:tc>
        <w:tc>
          <w:tcPr>
            <w:tcW w:w="362" w:type="pct"/>
            <w:tcBorders>
              <w:top w:val="single" w:sz="4" w:space="0" w:color="auto"/>
              <w:left w:val="single" w:sz="4" w:space="0" w:color="auto"/>
              <w:bottom w:val="single" w:sz="4" w:space="0" w:color="auto"/>
              <w:right w:val="single" w:sz="4" w:space="0" w:color="auto"/>
            </w:tcBorders>
            <w:vAlign w:val="center"/>
          </w:tcPr>
          <w:p w14:paraId="4094B02C" w14:textId="77777777" w:rsidR="005E000F" w:rsidRDefault="00000000">
            <w:pPr>
              <w:jc w:val="right"/>
            </w:pPr>
            <w:r>
              <w:t>252,414</w:t>
            </w:r>
          </w:p>
        </w:tc>
        <w:tc>
          <w:tcPr>
            <w:tcW w:w="378" w:type="pct"/>
            <w:tcBorders>
              <w:top w:val="single" w:sz="4" w:space="0" w:color="auto"/>
              <w:left w:val="single" w:sz="4" w:space="0" w:color="auto"/>
              <w:bottom w:val="single" w:sz="4" w:space="0" w:color="auto"/>
              <w:right w:val="single" w:sz="4" w:space="0" w:color="auto"/>
            </w:tcBorders>
            <w:vAlign w:val="center"/>
          </w:tcPr>
          <w:p w14:paraId="233770D0" w14:textId="77777777" w:rsidR="005E000F" w:rsidRDefault="00000000">
            <w:pPr>
              <w:jc w:val="right"/>
            </w:pPr>
            <w:r>
              <w:rPr>
                <w:rFonts w:hint="eastAsia"/>
              </w:rPr>
              <w:t>/</w:t>
            </w:r>
          </w:p>
        </w:tc>
        <w:tc>
          <w:tcPr>
            <w:tcW w:w="506" w:type="pct"/>
            <w:tcBorders>
              <w:top w:val="single" w:sz="4" w:space="0" w:color="auto"/>
              <w:left w:val="single" w:sz="4" w:space="0" w:color="auto"/>
              <w:bottom w:val="single" w:sz="4" w:space="0" w:color="auto"/>
              <w:right w:val="single" w:sz="4" w:space="0" w:color="auto"/>
            </w:tcBorders>
            <w:vAlign w:val="center"/>
          </w:tcPr>
          <w:p w14:paraId="20EF9376" w14:textId="77777777" w:rsidR="005E000F" w:rsidRDefault="00000000">
            <w:pPr>
              <w:jc w:val="right"/>
            </w:pPr>
            <w:r>
              <w:t>3,347,724,56</w:t>
            </w:r>
            <w:r>
              <w:rPr>
                <w:rFonts w:hint="eastAsia"/>
              </w:rPr>
              <w:t>6</w:t>
            </w:r>
          </w:p>
        </w:tc>
        <w:tc>
          <w:tcPr>
            <w:tcW w:w="505" w:type="pct"/>
            <w:tcBorders>
              <w:top w:val="single" w:sz="4" w:space="0" w:color="auto"/>
              <w:left w:val="single" w:sz="4" w:space="0" w:color="auto"/>
              <w:bottom w:val="single" w:sz="4" w:space="0" w:color="auto"/>
              <w:right w:val="single" w:sz="4" w:space="0" w:color="auto"/>
            </w:tcBorders>
            <w:vAlign w:val="center"/>
          </w:tcPr>
          <w:p w14:paraId="21F8DCAD" w14:textId="77777777" w:rsidR="005E000F" w:rsidRDefault="00000000">
            <w:pPr>
              <w:jc w:val="right"/>
            </w:pPr>
            <w:r>
              <w:rPr>
                <w:rFonts w:hint="eastAsia"/>
              </w:rPr>
              <w:t>1,523,345,248</w:t>
            </w:r>
          </w:p>
        </w:tc>
        <w:tc>
          <w:tcPr>
            <w:tcW w:w="377" w:type="pct"/>
            <w:tcBorders>
              <w:top w:val="single" w:sz="4" w:space="0" w:color="auto"/>
              <w:left w:val="single" w:sz="4" w:space="0" w:color="auto"/>
              <w:bottom w:val="single" w:sz="4" w:space="0" w:color="auto"/>
              <w:right w:val="single" w:sz="4" w:space="0" w:color="auto"/>
            </w:tcBorders>
            <w:vAlign w:val="center"/>
          </w:tcPr>
          <w:p w14:paraId="6336A546" w14:textId="77777777" w:rsidR="005E000F" w:rsidRDefault="00000000">
            <w:pPr>
              <w:jc w:val="right"/>
              <w:rPr>
                <w:color w:val="000000" w:themeColor="text1"/>
              </w:rPr>
            </w:pPr>
            <w:r>
              <w:rPr>
                <w:rFonts w:hint="eastAsia"/>
                <w:color w:val="000000" w:themeColor="text1"/>
              </w:rPr>
              <w:t>/</w:t>
            </w:r>
          </w:p>
        </w:tc>
        <w:tc>
          <w:tcPr>
            <w:tcW w:w="383" w:type="pct"/>
            <w:tcBorders>
              <w:top w:val="single" w:sz="4" w:space="0" w:color="auto"/>
              <w:left w:val="single" w:sz="4" w:space="0" w:color="auto"/>
              <w:bottom w:val="single" w:sz="4" w:space="0" w:color="auto"/>
              <w:right w:val="single" w:sz="4" w:space="0" w:color="auto"/>
            </w:tcBorders>
            <w:vAlign w:val="center"/>
          </w:tcPr>
          <w:p w14:paraId="426F52C2" w14:textId="77777777" w:rsidR="005E000F" w:rsidRDefault="00000000">
            <w:pPr>
              <w:jc w:val="right"/>
            </w:pPr>
            <w:r>
              <w:rPr>
                <w:rFonts w:hint="eastAsia"/>
              </w:rPr>
              <w:t>357,014</w:t>
            </w:r>
          </w:p>
        </w:tc>
        <w:tc>
          <w:tcPr>
            <w:tcW w:w="385" w:type="pct"/>
            <w:tcBorders>
              <w:top w:val="single" w:sz="4" w:space="0" w:color="auto"/>
              <w:left w:val="single" w:sz="4" w:space="0" w:color="auto"/>
              <w:bottom w:val="single" w:sz="4" w:space="0" w:color="auto"/>
              <w:right w:val="single" w:sz="4" w:space="0" w:color="auto"/>
            </w:tcBorders>
            <w:vAlign w:val="center"/>
          </w:tcPr>
          <w:p w14:paraId="43C6BEA2" w14:textId="77777777" w:rsidR="005E000F" w:rsidRDefault="00000000">
            <w:pPr>
              <w:jc w:val="right"/>
              <w:rPr>
                <w:color w:val="000000" w:themeColor="text1"/>
              </w:rPr>
            </w:pPr>
            <w:r>
              <w:rPr>
                <w:rFonts w:hint="eastAsia"/>
                <w:color w:val="000000" w:themeColor="text1"/>
              </w:rPr>
              <w:t>/</w:t>
            </w:r>
          </w:p>
        </w:tc>
        <w:tc>
          <w:tcPr>
            <w:tcW w:w="507" w:type="pct"/>
            <w:tcBorders>
              <w:top w:val="single" w:sz="4" w:space="0" w:color="auto"/>
              <w:left w:val="single" w:sz="4" w:space="0" w:color="auto"/>
              <w:bottom w:val="single" w:sz="4" w:space="0" w:color="auto"/>
              <w:right w:val="single" w:sz="4" w:space="0" w:color="auto"/>
            </w:tcBorders>
            <w:vAlign w:val="center"/>
          </w:tcPr>
          <w:p w14:paraId="3A8C24BE" w14:textId="77777777" w:rsidR="005E000F" w:rsidRDefault="00000000">
            <w:pPr>
              <w:jc w:val="right"/>
            </w:pPr>
            <w:r>
              <w:rPr>
                <w:rFonts w:hint="eastAsia"/>
              </w:rPr>
              <w:t>1,522,988,234</w:t>
            </w:r>
          </w:p>
        </w:tc>
      </w:tr>
    </w:tbl>
    <w:p w14:paraId="6657D9B0" w14:textId="77777777" w:rsidR="005E000F" w:rsidRDefault="005E000F">
      <w:pPr>
        <w:sectPr w:rsidR="005E000F">
          <w:pgSz w:w="16838" w:h="11906" w:orient="landscape"/>
          <w:pgMar w:top="1797" w:right="1525" w:bottom="1276" w:left="1440" w:header="856" w:footer="992" w:gutter="0"/>
          <w:cols w:space="425"/>
          <w:docGrid w:linePitch="312"/>
        </w:sectPr>
      </w:pPr>
    </w:p>
    <w:p w14:paraId="53471FC9" w14:textId="77777777" w:rsidR="005E000F" w:rsidRDefault="00000000">
      <w:pPr>
        <w:pStyle w:val="5"/>
        <w:numPr>
          <w:ilvl w:val="0"/>
          <w:numId w:val="134"/>
        </w:numPr>
        <w:ind w:leftChars="0"/>
        <w:rPr>
          <w:rFonts w:asciiTheme="minorHAnsi" w:hAnsiTheme="minorHAnsi" w:cs="宋体"/>
          <w:kern w:val="0"/>
          <w:szCs w:val="22"/>
        </w:rPr>
      </w:pPr>
      <w:r>
        <w:rPr>
          <w:rFonts w:asciiTheme="minorHAnsi" w:hAnsiTheme="minorHAnsi" w:cs="宋体" w:hint="eastAsia"/>
          <w:kern w:val="0"/>
          <w:szCs w:val="22"/>
        </w:rPr>
        <w:lastRenderedPageBreak/>
        <w:t>按款项性质分类情况</w:t>
      </w:r>
    </w:p>
    <w:p w14:paraId="6A9B3C9B" w14:textId="77777777" w:rsidR="005E000F" w:rsidRDefault="00000000">
      <w:sdt>
        <w:sdtPr>
          <w:alias w:val="是否适用：母公司其他应收款按款项性质分类情况[双击切换]"/>
          <w:tag w:val="_GBC_a5e5418d19394a1c8f8093184d9b360a"/>
          <w:id w:val="-283497284"/>
          <w:placeholder>
            <w:docPart w:val="GBC22222222222222222222222222222"/>
          </w:placeholder>
        </w:sdtPr>
        <w:sdtContent>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sdtContent>
      </w:sdt>
    </w:p>
    <w:p w14:paraId="6070F74C" w14:textId="77777777" w:rsidR="005E000F" w:rsidRDefault="00000000">
      <w:pPr>
        <w:jc w:val="right"/>
      </w:pPr>
      <w:r>
        <w:rPr>
          <w:rFonts w:hint="eastAsia"/>
        </w:rPr>
        <w:t>单位：</w:t>
      </w:r>
      <w:sdt>
        <w:sdtPr>
          <w:rPr>
            <w:rFonts w:hint="eastAsia"/>
          </w:rPr>
          <w:alias w:val="单位：财务附注：母公司其他应收款按款项性质分类情况"/>
          <w:tag w:val="_GBC_451485fc33dc4b2c9be5a44730242ca7"/>
          <w:id w:val="198751721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母公司其他应收款按款项性质分类情况"/>
          <w:tag w:val="_GBC_f3e8ad411fc545a19718a43203281efd"/>
          <w:id w:val="-71050100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3076"/>
        <w:gridCol w:w="2980"/>
        <w:gridCol w:w="2991"/>
      </w:tblGrid>
      <w:tr w:rsidR="005E000F" w14:paraId="6E8E8CD0" w14:textId="77777777">
        <w:sdt>
          <w:sdtPr>
            <w:tag w:val="_PLD_fa2a2127303b4deebb2bcaea193eb6d9"/>
            <w:id w:val="-779029232"/>
          </w:sdtPr>
          <w:sdtContent>
            <w:tc>
              <w:tcPr>
                <w:tcW w:w="3076" w:type="dxa"/>
                <w:vAlign w:val="center"/>
              </w:tcPr>
              <w:p w14:paraId="68CC1B83" w14:textId="77777777" w:rsidR="005E000F" w:rsidRDefault="00000000">
                <w:pPr>
                  <w:jc w:val="center"/>
                </w:pPr>
                <w:r>
                  <w:rPr>
                    <w:rFonts w:hint="eastAsia"/>
                  </w:rPr>
                  <w:t>款项性质</w:t>
                </w:r>
              </w:p>
            </w:tc>
          </w:sdtContent>
        </w:sdt>
        <w:sdt>
          <w:sdtPr>
            <w:tag w:val="_PLD_aa55d719329144e5a0eafd36222d0851"/>
            <w:id w:val="-446154606"/>
          </w:sdtPr>
          <w:sdtContent>
            <w:tc>
              <w:tcPr>
                <w:tcW w:w="2980" w:type="dxa"/>
                <w:vAlign w:val="center"/>
              </w:tcPr>
              <w:p w14:paraId="794868EC" w14:textId="77777777" w:rsidR="005E000F" w:rsidRDefault="00000000">
                <w:pPr>
                  <w:jc w:val="center"/>
                </w:pPr>
                <w:r>
                  <w:rPr>
                    <w:rFonts w:hint="eastAsia"/>
                  </w:rPr>
                  <w:t>期末账面余额</w:t>
                </w:r>
              </w:p>
            </w:tc>
          </w:sdtContent>
        </w:sdt>
        <w:sdt>
          <w:sdtPr>
            <w:tag w:val="_PLD_146282129b6a4b52a6963dad9647679a"/>
            <w:id w:val="-1774013146"/>
          </w:sdtPr>
          <w:sdtContent>
            <w:tc>
              <w:tcPr>
                <w:tcW w:w="2991" w:type="dxa"/>
                <w:vAlign w:val="center"/>
              </w:tcPr>
              <w:p w14:paraId="69EE1AFF" w14:textId="77777777" w:rsidR="005E000F" w:rsidRDefault="00000000">
                <w:pPr>
                  <w:jc w:val="center"/>
                </w:pPr>
                <w:r>
                  <w:rPr>
                    <w:rFonts w:hint="eastAsia"/>
                  </w:rPr>
                  <w:t>期初账面余额</w:t>
                </w:r>
              </w:p>
            </w:tc>
          </w:sdtContent>
        </w:sdt>
      </w:tr>
      <w:tr w:rsidR="005E000F" w14:paraId="4822E317" w14:textId="77777777">
        <w:tc>
          <w:tcPr>
            <w:tcW w:w="3076" w:type="dxa"/>
          </w:tcPr>
          <w:p w14:paraId="6DBD0225" w14:textId="77777777" w:rsidR="005E000F" w:rsidRDefault="00000000">
            <w:r>
              <w:rPr>
                <w:rFonts w:hint="eastAsia"/>
              </w:rPr>
              <w:t>增值税流转</w:t>
            </w:r>
          </w:p>
        </w:tc>
        <w:tc>
          <w:tcPr>
            <w:tcW w:w="2980" w:type="dxa"/>
            <w:vAlign w:val="center"/>
          </w:tcPr>
          <w:p w14:paraId="07082594" w14:textId="77777777" w:rsidR="005E000F" w:rsidRDefault="00000000">
            <w:pPr>
              <w:jc w:val="right"/>
            </w:pPr>
            <w:r>
              <w:t>2,976,223,732</w:t>
            </w:r>
          </w:p>
        </w:tc>
        <w:tc>
          <w:tcPr>
            <w:tcW w:w="2991" w:type="dxa"/>
            <w:vAlign w:val="center"/>
          </w:tcPr>
          <w:p w14:paraId="5E96540A" w14:textId="77777777" w:rsidR="005E000F" w:rsidRDefault="00000000">
            <w:pPr>
              <w:jc w:val="right"/>
            </w:pPr>
            <w:r>
              <w:rPr>
                <w:rFonts w:hint="eastAsia"/>
              </w:rPr>
              <w:t>1,400,882,555</w:t>
            </w:r>
          </w:p>
        </w:tc>
      </w:tr>
      <w:tr w:rsidR="005E000F" w14:paraId="40A5E628" w14:textId="77777777">
        <w:tc>
          <w:tcPr>
            <w:tcW w:w="3076" w:type="dxa"/>
          </w:tcPr>
          <w:p w14:paraId="7D6ED2ED" w14:textId="77777777" w:rsidR="005E000F" w:rsidRDefault="00000000">
            <w:r>
              <w:rPr>
                <w:rFonts w:hint="eastAsia"/>
              </w:rPr>
              <w:t>应收三供</w:t>
            </w:r>
            <w:proofErr w:type="gramStart"/>
            <w:r>
              <w:rPr>
                <w:rFonts w:hint="eastAsia"/>
              </w:rPr>
              <w:t>一</w:t>
            </w:r>
            <w:proofErr w:type="gramEnd"/>
            <w:r>
              <w:rPr>
                <w:rFonts w:hint="eastAsia"/>
              </w:rPr>
              <w:t>业补助资金（注）</w:t>
            </w:r>
          </w:p>
        </w:tc>
        <w:tc>
          <w:tcPr>
            <w:tcW w:w="2980" w:type="dxa"/>
            <w:vAlign w:val="center"/>
          </w:tcPr>
          <w:p w14:paraId="1F9ECBAE" w14:textId="77777777" w:rsidR="005E000F" w:rsidRDefault="00000000">
            <w:pPr>
              <w:jc w:val="right"/>
            </w:pPr>
            <w:r>
              <w:t>45,564,400</w:t>
            </w:r>
          </w:p>
        </w:tc>
        <w:tc>
          <w:tcPr>
            <w:tcW w:w="2991" w:type="dxa"/>
            <w:vAlign w:val="center"/>
          </w:tcPr>
          <w:p w14:paraId="29F8962C" w14:textId="77777777" w:rsidR="005E000F" w:rsidRDefault="00000000">
            <w:pPr>
              <w:jc w:val="right"/>
            </w:pPr>
            <w:r>
              <w:rPr>
                <w:rFonts w:hint="eastAsia"/>
              </w:rPr>
              <w:t>7,345,600</w:t>
            </w:r>
          </w:p>
        </w:tc>
      </w:tr>
      <w:tr w:rsidR="005E000F" w14:paraId="001E785D" w14:textId="77777777">
        <w:tc>
          <w:tcPr>
            <w:tcW w:w="3076" w:type="dxa"/>
          </w:tcPr>
          <w:p w14:paraId="377B7402" w14:textId="77777777" w:rsidR="005E000F" w:rsidRDefault="00000000">
            <w:r>
              <w:rPr>
                <w:rFonts w:hint="eastAsia"/>
              </w:rPr>
              <w:t>其他</w:t>
            </w:r>
          </w:p>
        </w:tc>
        <w:tc>
          <w:tcPr>
            <w:tcW w:w="2980" w:type="dxa"/>
            <w:vAlign w:val="center"/>
          </w:tcPr>
          <w:p w14:paraId="161E44A6" w14:textId="77777777" w:rsidR="005E000F" w:rsidRDefault="00000000">
            <w:pPr>
              <w:jc w:val="right"/>
            </w:pPr>
            <w:r>
              <w:t>326,188,84</w:t>
            </w:r>
            <w:r>
              <w:rPr>
                <w:rFonts w:hint="eastAsia"/>
              </w:rPr>
              <w:t>8</w:t>
            </w:r>
          </w:p>
        </w:tc>
        <w:tc>
          <w:tcPr>
            <w:tcW w:w="2991" w:type="dxa"/>
            <w:vAlign w:val="center"/>
          </w:tcPr>
          <w:p w14:paraId="223C5891" w14:textId="77777777" w:rsidR="005E000F" w:rsidRDefault="00000000">
            <w:pPr>
              <w:jc w:val="right"/>
            </w:pPr>
            <w:r>
              <w:rPr>
                <w:rFonts w:hint="eastAsia"/>
              </w:rPr>
              <w:t>115,117,093</w:t>
            </w:r>
          </w:p>
        </w:tc>
      </w:tr>
      <w:tr w:rsidR="005E000F" w14:paraId="4173BB60" w14:textId="77777777">
        <w:tc>
          <w:tcPr>
            <w:tcW w:w="3076" w:type="dxa"/>
          </w:tcPr>
          <w:p w14:paraId="2BFC386A" w14:textId="77777777" w:rsidR="005E000F" w:rsidRDefault="00000000">
            <w:r>
              <w:rPr>
                <w:rFonts w:hint="eastAsia"/>
              </w:rPr>
              <w:t>减：坏账准备</w:t>
            </w:r>
          </w:p>
        </w:tc>
        <w:tc>
          <w:tcPr>
            <w:tcW w:w="2980" w:type="dxa"/>
            <w:vAlign w:val="center"/>
          </w:tcPr>
          <w:p w14:paraId="060D0FEE" w14:textId="77777777" w:rsidR="005E000F" w:rsidRDefault="00000000">
            <w:pPr>
              <w:jc w:val="right"/>
            </w:pPr>
            <w:r>
              <w:t>252,414</w:t>
            </w:r>
          </w:p>
        </w:tc>
        <w:tc>
          <w:tcPr>
            <w:tcW w:w="2991" w:type="dxa"/>
            <w:vAlign w:val="center"/>
          </w:tcPr>
          <w:p w14:paraId="3E28E205" w14:textId="77777777" w:rsidR="005E000F" w:rsidRDefault="00000000">
            <w:pPr>
              <w:jc w:val="right"/>
            </w:pPr>
            <w:r>
              <w:rPr>
                <w:rFonts w:hint="eastAsia"/>
              </w:rPr>
              <w:t>357,014</w:t>
            </w:r>
          </w:p>
        </w:tc>
      </w:tr>
      <w:tr w:rsidR="005E000F" w14:paraId="50C939DC" w14:textId="77777777">
        <w:tc>
          <w:tcPr>
            <w:tcW w:w="3076" w:type="dxa"/>
            <w:vAlign w:val="center"/>
          </w:tcPr>
          <w:p w14:paraId="0FE81863" w14:textId="77777777" w:rsidR="005E000F" w:rsidRDefault="00000000">
            <w:pPr>
              <w:jc w:val="center"/>
            </w:pPr>
            <w:r>
              <w:t>合计</w:t>
            </w:r>
          </w:p>
        </w:tc>
        <w:tc>
          <w:tcPr>
            <w:tcW w:w="2980" w:type="dxa"/>
            <w:vAlign w:val="center"/>
          </w:tcPr>
          <w:p w14:paraId="55FC3E84" w14:textId="77777777" w:rsidR="005E000F" w:rsidRDefault="00000000">
            <w:pPr>
              <w:jc w:val="right"/>
            </w:pPr>
            <w:r>
              <w:t>3,347,724,56</w:t>
            </w:r>
            <w:r>
              <w:rPr>
                <w:rFonts w:hint="eastAsia"/>
              </w:rPr>
              <w:t>6</w:t>
            </w:r>
          </w:p>
        </w:tc>
        <w:tc>
          <w:tcPr>
            <w:tcW w:w="2991" w:type="dxa"/>
            <w:vAlign w:val="center"/>
          </w:tcPr>
          <w:p w14:paraId="48F742C4" w14:textId="77777777" w:rsidR="005E000F" w:rsidRDefault="00000000">
            <w:pPr>
              <w:jc w:val="right"/>
            </w:pPr>
            <w:r>
              <w:rPr>
                <w:rFonts w:hint="eastAsia"/>
              </w:rPr>
              <w:t>1,522,988,234</w:t>
            </w:r>
          </w:p>
        </w:tc>
      </w:tr>
    </w:tbl>
    <w:p w14:paraId="52BD92E6" w14:textId="77777777" w:rsidR="005E000F" w:rsidRDefault="00000000">
      <w:pPr>
        <w:rPr>
          <w:bCs/>
        </w:rPr>
      </w:pPr>
      <w:r>
        <w:rPr>
          <w:rFonts w:hint="eastAsia"/>
          <w:bCs/>
        </w:rPr>
        <w:t>注：如附注七、</w:t>
      </w:r>
      <w:r>
        <w:rPr>
          <w:rFonts w:hint="eastAsia"/>
          <w:bCs/>
        </w:rPr>
        <w:t>13</w:t>
      </w:r>
      <w:r>
        <w:rPr>
          <w:rFonts w:hint="eastAsia"/>
          <w:bCs/>
        </w:rPr>
        <w:t>所述，于</w:t>
      </w:r>
      <w:r>
        <w:rPr>
          <w:rFonts w:hint="eastAsia"/>
          <w:bCs/>
        </w:rPr>
        <w:t>2025</w:t>
      </w:r>
      <w:r>
        <w:rPr>
          <w:rFonts w:hint="eastAsia"/>
          <w:bCs/>
        </w:rPr>
        <w:t>年</w:t>
      </w:r>
      <w:r>
        <w:rPr>
          <w:rFonts w:hint="eastAsia"/>
          <w:bCs/>
        </w:rPr>
        <w:t>12</w:t>
      </w:r>
      <w:r>
        <w:rPr>
          <w:rFonts w:hint="eastAsia"/>
          <w:bCs/>
        </w:rPr>
        <w:t>月</w:t>
      </w:r>
      <w:r>
        <w:rPr>
          <w:rFonts w:hint="eastAsia"/>
          <w:bCs/>
        </w:rPr>
        <w:t>31</w:t>
      </w:r>
      <w:r>
        <w:rPr>
          <w:rFonts w:hint="eastAsia"/>
          <w:bCs/>
        </w:rPr>
        <w:t>日，本公司应收与“三供</w:t>
      </w:r>
      <w:proofErr w:type="gramStart"/>
      <w:r>
        <w:rPr>
          <w:rFonts w:hint="eastAsia"/>
          <w:bCs/>
        </w:rPr>
        <w:t>一</w:t>
      </w:r>
      <w:proofErr w:type="gramEnd"/>
      <w:r>
        <w:rPr>
          <w:rFonts w:hint="eastAsia"/>
          <w:bCs/>
        </w:rPr>
        <w:t>业”分离移交相关的中央财政补助资金人民币</w:t>
      </w:r>
      <w:r>
        <w:t>45,564,400</w:t>
      </w:r>
      <w:r>
        <w:rPr>
          <w:rFonts w:hint="eastAsia"/>
          <w:bCs/>
        </w:rPr>
        <w:t>元（</w:t>
      </w:r>
      <w:r>
        <w:rPr>
          <w:rFonts w:hint="eastAsia"/>
          <w:bCs/>
        </w:rPr>
        <w:t>2024</w:t>
      </w:r>
      <w:r>
        <w:rPr>
          <w:rFonts w:hint="eastAsia"/>
          <w:bCs/>
        </w:rPr>
        <w:t>年：人民币</w:t>
      </w:r>
      <w:r>
        <w:rPr>
          <w:rFonts w:hint="eastAsia"/>
          <w:bCs/>
        </w:rPr>
        <w:t>7,345,600</w:t>
      </w:r>
      <w:r>
        <w:rPr>
          <w:rFonts w:hint="eastAsia"/>
          <w:bCs/>
        </w:rPr>
        <w:t>元）。</w:t>
      </w:r>
    </w:p>
    <w:p w14:paraId="4DB9638F" w14:textId="77777777" w:rsidR="005E000F" w:rsidRDefault="005E000F"/>
    <w:p w14:paraId="5C2D5544" w14:textId="77777777" w:rsidR="005E000F" w:rsidRDefault="00000000">
      <w:pPr>
        <w:pStyle w:val="5"/>
        <w:numPr>
          <w:ilvl w:val="0"/>
          <w:numId w:val="134"/>
        </w:numPr>
        <w:ind w:leftChars="0"/>
        <w:rPr>
          <w:rFonts w:asciiTheme="minorHAnsi" w:hAnsiTheme="minorHAnsi" w:cs="宋体"/>
          <w:kern w:val="0"/>
          <w:szCs w:val="22"/>
        </w:rPr>
      </w:pPr>
      <w:bookmarkStart w:id="456" w:name="_Hlk533870927"/>
      <w:bookmarkEnd w:id="455"/>
      <w:r>
        <w:rPr>
          <w:rFonts w:asciiTheme="minorHAnsi" w:hAnsiTheme="minorHAnsi" w:cs="宋体" w:hint="eastAsia"/>
          <w:kern w:val="0"/>
          <w:szCs w:val="22"/>
        </w:rPr>
        <w:t>坏账准备计提情况</w:t>
      </w:r>
    </w:p>
    <w:sdt>
      <w:sdtPr>
        <w:alias w:val="是否适用：母公司其他应收款坏账准备调节表[双击切换]"/>
        <w:tag w:val="_GBC_34d55fda2adc4508bb77a03583cd3d2d"/>
        <w:id w:val="-624157764"/>
        <w:placeholder>
          <w:docPart w:val="GBC22222222222222222222222222222"/>
        </w:placeholder>
      </w:sdtPr>
      <w:sdtContent>
        <w:p w14:paraId="522CF642"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21F012AD" w14:textId="77777777" w:rsidR="005E000F" w:rsidRDefault="00000000">
      <w:pPr>
        <w:autoSpaceDE w:val="0"/>
        <w:autoSpaceDN w:val="0"/>
        <w:adjustRightInd w:val="0"/>
        <w:ind w:rightChars="50" w:right="105"/>
        <w:jc w:val="right"/>
      </w:pPr>
      <w:r>
        <w:rPr>
          <w:rFonts w:hint="eastAsia"/>
        </w:rPr>
        <w:t>单位：</w:t>
      </w:r>
      <w:sdt>
        <w:sdtPr>
          <w:rPr>
            <w:rFonts w:hint="eastAsia"/>
          </w:rPr>
          <w:alias w:val="单位：母公司其他应收款坏账准备调节表"/>
          <w:tag w:val="_GBC_b494dbb0c2794f39b9fb29a12fc478f8"/>
          <w:id w:val="102528687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其他应收款坏账准备调节表"/>
          <w:tag w:val="_GBC_a5fe64b13e1448e3b1446e3cf0428cfc"/>
          <w:id w:val="-121642525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560"/>
        <w:gridCol w:w="1985"/>
        <w:gridCol w:w="1985"/>
        <w:gridCol w:w="1706"/>
      </w:tblGrid>
      <w:tr w:rsidR="005E000F" w14:paraId="6A90FCCF" w14:textId="77777777">
        <w:sdt>
          <w:sdtPr>
            <w:tag w:val="_PLD_21b2d66f9e3e44f9a3867e2f9fa483ea"/>
            <w:id w:val="791473278"/>
          </w:sdtPr>
          <w:sdtContent>
            <w:tc>
              <w:tcPr>
                <w:tcW w:w="1811" w:type="dxa"/>
                <w:vMerge w:val="restart"/>
                <w:vAlign w:val="center"/>
              </w:tcPr>
              <w:p w14:paraId="12094261"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34b0b4bcbee6472f945ee1ca26e45970"/>
            <w:id w:val="446201393"/>
          </w:sdtPr>
          <w:sdtContent>
            <w:tc>
              <w:tcPr>
                <w:tcW w:w="1560" w:type="dxa"/>
                <w:vAlign w:val="center"/>
              </w:tcPr>
              <w:p w14:paraId="08443A50"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aa89fd65169d424f824fd7e383c25916"/>
            <w:id w:val="1818292773"/>
          </w:sdtPr>
          <w:sdtContent>
            <w:tc>
              <w:tcPr>
                <w:tcW w:w="1985" w:type="dxa"/>
                <w:vAlign w:val="center"/>
              </w:tcPr>
              <w:p w14:paraId="3C7DD5F2"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12639a93161546c79f54a930c0ece668"/>
            <w:id w:val="-578599445"/>
          </w:sdtPr>
          <w:sdtContent>
            <w:tc>
              <w:tcPr>
                <w:tcW w:w="1985" w:type="dxa"/>
                <w:vAlign w:val="center"/>
              </w:tcPr>
              <w:p w14:paraId="4285784F"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5a93d463a9c749a7a3988972a030308e"/>
            <w:id w:val="-1613277397"/>
          </w:sdtPr>
          <w:sdtContent>
            <w:tc>
              <w:tcPr>
                <w:tcW w:w="1706" w:type="dxa"/>
                <w:vMerge w:val="restart"/>
                <w:vAlign w:val="center"/>
              </w:tcPr>
              <w:p w14:paraId="15654EE9"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5E000F" w14:paraId="27D62157" w14:textId="77777777">
        <w:tc>
          <w:tcPr>
            <w:tcW w:w="1811" w:type="dxa"/>
            <w:vMerge/>
            <w:vAlign w:val="center"/>
          </w:tcPr>
          <w:p w14:paraId="573F8BEE" w14:textId="77777777" w:rsidR="005E000F" w:rsidRDefault="005E000F">
            <w:pPr>
              <w:jc w:val="center"/>
              <w:rPr>
                <w:color w:val="008000"/>
              </w:rPr>
            </w:pPr>
          </w:p>
        </w:tc>
        <w:sdt>
          <w:sdtPr>
            <w:tag w:val="_PLD_6c31319b241149a587899b0690e3641d"/>
            <w:id w:val="1805279049"/>
          </w:sdtPr>
          <w:sdtContent>
            <w:tc>
              <w:tcPr>
                <w:tcW w:w="1560" w:type="dxa"/>
                <w:vAlign w:val="center"/>
              </w:tcPr>
              <w:p w14:paraId="3BE81788"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4c23d250a4214769af939ed6c6506e15"/>
            <w:id w:val="-970124738"/>
          </w:sdtPr>
          <w:sdtContent>
            <w:tc>
              <w:tcPr>
                <w:tcW w:w="1985" w:type="dxa"/>
                <w:vAlign w:val="center"/>
              </w:tcPr>
              <w:p w14:paraId="51DB8FBA"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96f4d1ff5d1541a5bcedcc9d7d297735"/>
            <w:id w:val="853774132"/>
          </w:sdtPr>
          <w:sdtContent>
            <w:tc>
              <w:tcPr>
                <w:tcW w:w="1985" w:type="dxa"/>
                <w:vAlign w:val="center"/>
              </w:tcPr>
              <w:p w14:paraId="6F25ABCF" w14:textId="77777777" w:rsidR="005E000F" w:rsidRDefault="00000000">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1706" w:type="dxa"/>
            <w:vMerge/>
            <w:vAlign w:val="center"/>
          </w:tcPr>
          <w:p w14:paraId="133D0ADB" w14:textId="77777777" w:rsidR="005E000F" w:rsidRDefault="005E000F">
            <w:pPr>
              <w:jc w:val="center"/>
              <w:rPr>
                <w:color w:val="008000"/>
              </w:rPr>
            </w:pPr>
          </w:p>
        </w:tc>
      </w:tr>
      <w:tr w:rsidR="005E000F" w14:paraId="78F81C62" w14:textId="77777777">
        <w:tc>
          <w:tcPr>
            <w:tcW w:w="1811" w:type="dxa"/>
            <w:vAlign w:val="center"/>
          </w:tcPr>
          <w:p w14:paraId="5CC9DFC5"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2025年</w:t>
            </w:r>
            <w:r>
              <w:rPr>
                <w:rFonts w:ascii="宋体" w:eastAsia="宋体" w:hAnsi="宋体" w:cs="宋体" w:hint="eastAsia"/>
                <w:sz w:val="21"/>
                <w:szCs w:val="21"/>
                <w:lang w:eastAsia="zh-CN"/>
              </w:rPr>
              <w:t>1月1日余额</w:t>
            </w:r>
          </w:p>
        </w:tc>
        <w:tc>
          <w:tcPr>
            <w:tcW w:w="1560" w:type="dxa"/>
            <w:vAlign w:val="center"/>
          </w:tcPr>
          <w:p w14:paraId="479A6840" w14:textId="77777777" w:rsidR="005E000F" w:rsidRDefault="00000000">
            <w:pPr>
              <w:jc w:val="right"/>
            </w:pPr>
            <w:r>
              <w:rPr>
                <w:rFonts w:hint="eastAsia"/>
              </w:rPr>
              <w:t>130,700</w:t>
            </w:r>
          </w:p>
        </w:tc>
        <w:tc>
          <w:tcPr>
            <w:tcW w:w="1985" w:type="dxa"/>
            <w:vAlign w:val="center"/>
          </w:tcPr>
          <w:p w14:paraId="099E375F" w14:textId="77777777" w:rsidR="005E000F" w:rsidRDefault="00000000">
            <w:pPr>
              <w:jc w:val="right"/>
            </w:pPr>
            <w:r>
              <w:rPr>
                <w:rFonts w:hint="eastAsia"/>
              </w:rPr>
              <w:t>0</w:t>
            </w:r>
          </w:p>
        </w:tc>
        <w:tc>
          <w:tcPr>
            <w:tcW w:w="1985" w:type="dxa"/>
            <w:vAlign w:val="center"/>
          </w:tcPr>
          <w:p w14:paraId="15BEDC01" w14:textId="77777777" w:rsidR="005E000F" w:rsidRDefault="00000000">
            <w:pPr>
              <w:jc w:val="right"/>
            </w:pPr>
            <w:r>
              <w:rPr>
                <w:rFonts w:hint="eastAsia"/>
              </w:rPr>
              <w:t>226,314</w:t>
            </w:r>
          </w:p>
        </w:tc>
        <w:tc>
          <w:tcPr>
            <w:tcW w:w="1706" w:type="dxa"/>
            <w:vAlign w:val="center"/>
          </w:tcPr>
          <w:p w14:paraId="560AD772" w14:textId="77777777" w:rsidR="005E000F" w:rsidRDefault="00000000">
            <w:pPr>
              <w:jc w:val="right"/>
            </w:pPr>
            <w:r>
              <w:rPr>
                <w:rFonts w:hint="eastAsia"/>
              </w:rPr>
              <w:t>357,014</w:t>
            </w:r>
          </w:p>
        </w:tc>
      </w:tr>
      <w:tr w:rsidR="005E000F" w14:paraId="7DC37DF8" w14:textId="77777777">
        <w:tc>
          <w:tcPr>
            <w:tcW w:w="1811" w:type="dxa"/>
            <w:vAlign w:val="center"/>
          </w:tcPr>
          <w:p w14:paraId="6165D1FD"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2025年1月1日余额在本期</w:t>
            </w:r>
          </w:p>
        </w:tc>
        <w:tc>
          <w:tcPr>
            <w:tcW w:w="1560" w:type="dxa"/>
            <w:vAlign w:val="center"/>
          </w:tcPr>
          <w:p w14:paraId="1A35B074" w14:textId="77777777" w:rsidR="005E000F" w:rsidRDefault="00000000">
            <w:pPr>
              <w:jc w:val="right"/>
            </w:pPr>
            <w:r>
              <w:rPr>
                <w:rFonts w:hint="eastAsia"/>
              </w:rPr>
              <w:t>0</w:t>
            </w:r>
          </w:p>
        </w:tc>
        <w:tc>
          <w:tcPr>
            <w:tcW w:w="1985" w:type="dxa"/>
            <w:vAlign w:val="center"/>
          </w:tcPr>
          <w:p w14:paraId="18BF07F1" w14:textId="77777777" w:rsidR="005E000F" w:rsidRDefault="00000000">
            <w:pPr>
              <w:jc w:val="right"/>
            </w:pPr>
            <w:r>
              <w:rPr>
                <w:rFonts w:hint="eastAsia"/>
              </w:rPr>
              <w:t>0</w:t>
            </w:r>
          </w:p>
        </w:tc>
        <w:tc>
          <w:tcPr>
            <w:tcW w:w="1985" w:type="dxa"/>
            <w:vAlign w:val="center"/>
          </w:tcPr>
          <w:p w14:paraId="73A06C0F" w14:textId="77777777" w:rsidR="005E000F" w:rsidRDefault="00000000">
            <w:pPr>
              <w:jc w:val="right"/>
            </w:pPr>
            <w:r>
              <w:rPr>
                <w:rFonts w:hint="eastAsia"/>
              </w:rPr>
              <w:t>0</w:t>
            </w:r>
          </w:p>
        </w:tc>
        <w:tc>
          <w:tcPr>
            <w:tcW w:w="1706" w:type="dxa"/>
            <w:vAlign w:val="center"/>
          </w:tcPr>
          <w:p w14:paraId="6C5E6E89" w14:textId="77777777" w:rsidR="005E000F" w:rsidRDefault="00000000">
            <w:pPr>
              <w:jc w:val="right"/>
            </w:pPr>
            <w:r>
              <w:rPr>
                <w:rFonts w:hint="eastAsia"/>
              </w:rPr>
              <w:t>0</w:t>
            </w:r>
          </w:p>
        </w:tc>
      </w:tr>
      <w:tr w:rsidR="005E000F" w14:paraId="77AB9FC8" w14:textId="77777777">
        <w:tc>
          <w:tcPr>
            <w:tcW w:w="1811" w:type="dxa"/>
            <w:vAlign w:val="center"/>
          </w:tcPr>
          <w:p w14:paraId="4FC48B34"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tc>
          <w:tcPr>
            <w:tcW w:w="1560" w:type="dxa"/>
            <w:vAlign w:val="center"/>
          </w:tcPr>
          <w:p w14:paraId="421D2A53" w14:textId="77777777" w:rsidR="005E000F" w:rsidRDefault="00000000">
            <w:pPr>
              <w:jc w:val="right"/>
            </w:pPr>
            <w:r>
              <w:rPr>
                <w:rFonts w:hint="eastAsia"/>
              </w:rPr>
              <w:t>0</w:t>
            </w:r>
          </w:p>
        </w:tc>
        <w:tc>
          <w:tcPr>
            <w:tcW w:w="1985" w:type="dxa"/>
            <w:vAlign w:val="center"/>
          </w:tcPr>
          <w:p w14:paraId="73ED8339" w14:textId="77777777" w:rsidR="005E000F" w:rsidRDefault="00000000">
            <w:pPr>
              <w:jc w:val="right"/>
            </w:pPr>
            <w:r>
              <w:rPr>
                <w:rFonts w:hint="eastAsia"/>
              </w:rPr>
              <w:t>0</w:t>
            </w:r>
          </w:p>
        </w:tc>
        <w:tc>
          <w:tcPr>
            <w:tcW w:w="1985" w:type="dxa"/>
            <w:vAlign w:val="center"/>
          </w:tcPr>
          <w:p w14:paraId="79D01013" w14:textId="77777777" w:rsidR="005E000F" w:rsidRDefault="00000000">
            <w:pPr>
              <w:jc w:val="right"/>
            </w:pPr>
            <w:r>
              <w:rPr>
                <w:rFonts w:hint="eastAsia"/>
              </w:rPr>
              <w:t>0</w:t>
            </w:r>
          </w:p>
        </w:tc>
        <w:tc>
          <w:tcPr>
            <w:tcW w:w="1706" w:type="dxa"/>
            <w:vAlign w:val="center"/>
          </w:tcPr>
          <w:p w14:paraId="3E05982C" w14:textId="77777777" w:rsidR="005E000F" w:rsidRDefault="00000000">
            <w:pPr>
              <w:jc w:val="right"/>
            </w:pPr>
            <w:r>
              <w:rPr>
                <w:rFonts w:hint="eastAsia"/>
              </w:rPr>
              <w:t>0</w:t>
            </w:r>
          </w:p>
        </w:tc>
      </w:tr>
      <w:tr w:rsidR="005E000F" w14:paraId="47575906" w14:textId="77777777">
        <w:tc>
          <w:tcPr>
            <w:tcW w:w="1811" w:type="dxa"/>
            <w:vAlign w:val="center"/>
          </w:tcPr>
          <w:p w14:paraId="0E1DA6A8"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tc>
          <w:tcPr>
            <w:tcW w:w="1560" w:type="dxa"/>
            <w:vAlign w:val="center"/>
          </w:tcPr>
          <w:p w14:paraId="228F3D32" w14:textId="77777777" w:rsidR="005E000F" w:rsidRDefault="00000000">
            <w:pPr>
              <w:jc w:val="right"/>
            </w:pPr>
            <w:r>
              <w:rPr>
                <w:rFonts w:hint="eastAsia"/>
              </w:rPr>
              <w:t>0</w:t>
            </w:r>
          </w:p>
        </w:tc>
        <w:tc>
          <w:tcPr>
            <w:tcW w:w="1985" w:type="dxa"/>
            <w:vAlign w:val="center"/>
          </w:tcPr>
          <w:p w14:paraId="6C2B698C" w14:textId="77777777" w:rsidR="005E000F" w:rsidRDefault="00000000">
            <w:pPr>
              <w:jc w:val="right"/>
            </w:pPr>
            <w:r>
              <w:rPr>
                <w:rFonts w:hint="eastAsia"/>
              </w:rPr>
              <w:t>0</w:t>
            </w:r>
          </w:p>
        </w:tc>
        <w:tc>
          <w:tcPr>
            <w:tcW w:w="1985" w:type="dxa"/>
            <w:vAlign w:val="center"/>
          </w:tcPr>
          <w:p w14:paraId="587D1D83" w14:textId="77777777" w:rsidR="005E000F" w:rsidRDefault="00000000">
            <w:pPr>
              <w:jc w:val="right"/>
            </w:pPr>
            <w:r>
              <w:rPr>
                <w:rFonts w:hint="eastAsia"/>
              </w:rPr>
              <w:t>0</w:t>
            </w:r>
          </w:p>
        </w:tc>
        <w:tc>
          <w:tcPr>
            <w:tcW w:w="1706" w:type="dxa"/>
            <w:vAlign w:val="center"/>
          </w:tcPr>
          <w:p w14:paraId="52E21BF5" w14:textId="77777777" w:rsidR="005E000F" w:rsidRDefault="00000000">
            <w:pPr>
              <w:jc w:val="right"/>
            </w:pPr>
            <w:r>
              <w:rPr>
                <w:rFonts w:hint="eastAsia"/>
              </w:rPr>
              <w:t>0</w:t>
            </w:r>
          </w:p>
        </w:tc>
      </w:tr>
      <w:tr w:rsidR="005E000F" w14:paraId="52B0F66E" w14:textId="77777777">
        <w:tc>
          <w:tcPr>
            <w:tcW w:w="1811" w:type="dxa"/>
            <w:vAlign w:val="center"/>
          </w:tcPr>
          <w:p w14:paraId="7CFF1EE8"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tc>
          <w:tcPr>
            <w:tcW w:w="1560" w:type="dxa"/>
            <w:vAlign w:val="center"/>
          </w:tcPr>
          <w:p w14:paraId="6251A16A" w14:textId="77777777" w:rsidR="005E000F" w:rsidRDefault="00000000">
            <w:pPr>
              <w:jc w:val="right"/>
            </w:pPr>
            <w:r>
              <w:rPr>
                <w:rFonts w:hint="eastAsia"/>
              </w:rPr>
              <w:t>0</w:t>
            </w:r>
          </w:p>
        </w:tc>
        <w:tc>
          <w:tcPr>
            <w:tcW w:w="1985" w:type="dxa"/>
            <w:vAlign w:val="center"/>
          </w:tcPr>
          <w:p w14:paraId="70AA5884" w14:textId="77777777" w:rsidR="005E000F" w:rsidRDefault="00000000">
            <w:pPr>
              <w:jc w:val="right"/>
            </w:pPr>
            <w:r>
              <w:rPr>
                <w:rFonts w:hint="eastAsia"/>
              </w:rPr>
              <w:t>0</w:t>
            </w:r>
          </w:p>
        </w:tc>
        <w:tc>
          <w:tcPr>
            <w:tcW w:w="1985" w:type="dxa"/>
            <w:vAlign w:val="center"/>
          </w:tcPr>
          <w:p w14:paraId="5212A734" w14:textId="77777777" w:rsidR="005E000F" w:rsidRDefault="00000000">
            <w:pPr>
              <w:jc w:val="right"/>
            </w:pPr>
            <w:r>
              <w:rPr>
                <w:rFonts w:hint="eastAsia"/>
              </w:rPr>
              <w:t>0</w:t>
            </w:r>
          </w:p>
        </w:tc>
        <w:tc>
          <w:tcPr>
            <w:tcW w:w="1706" w:type="dxa"/>
            <w:vAlign w:val="center"/>
          </w:tcPr>
          <w:p w14:paraId="30A55B6B" w14:textId="77777777" w:rsidR="005E000F" w:rsidRDefault="00000000">
            <w:pPr>
              <w:jc w:val="right"/>
            </w:pPr>
            <w:r>
              <w:rPr>
                <w:rFonts w:hint="eastAsia"/>
              </w:rPr>
              <w:t>0</w:t>
            </w:r>
          </w:p>
        </w:tc>
      </w:tr>
      <w:tr w:rsidR="005E000F" w14:paraId="576E36A4" w14:textId="77777777">
        <w:tc>
          <w:tcPr>
            <w:tcW w:w="1811" w:type="dxa"/>
            <w:vAlign w:val="center"/>
          </w:tcPr>
          <w:p w14:paraId="69EABCA4"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tc>
          <w:tcPr>
            <w:tcW w:w="1560" w:type="dxa"/>
            <w:vAlign w:val="center"/>
          </w:tcPr>
          <w:p w14:paraId="6D53C1E2" w14:textId="77777777" w:rsidR="005E000F" w:rsidRDefault="00000000">
            <w:pPr>
              <w:jc w:val="right"/>
            </w:pPr>
            <w:r>
              <w:rPr>
                <w:rFonts w:hint="eastAsia"/>
              </w:rPr>
              <w:t>0</w:t>
            </w:r>
          </w:p>
        </w:tc>
        <w:tc>
          <w:tcPr>
            <w:tcW w:w="1985" w:type="dxa"/>
            <w:vAlign w:val="center"/>
          </w:tcPr>
          <w:p w14:paraId="4141E0EE" w14:textId="77777777" w:rsidR="005E000F" w:rsidRDefault="00000000">
            <w:pPr>
              <w:jc w:val="right"/>
            </w:pPr>
            <w:r>
              <w:rPr>
                <w:rFonts w:hint="eastAsia"/>
              </w:rPr>
              <w:t>0</w:t>
            </w:r>
          </w:p>
        </w:tc>
        <w:tc>
          <w:tcPr>
            <w:tcW w:w="1985" w:type="dxa"/>
            <w:vAlign w:val="center"/>
          </w:tcPr>
          <w:p w14:paraId="175EDE9C" w14:textId="77777777" w:rsidR="005E000F" w:rsidRDefault="00000000">
            <w:pPr>
              <w:jc w:val="right"/>
            </w:pPr>
            <w:r>
              <w:rPr>
                <w:rFonts w:hint="eastAsia"/>
              </w:rPr>
              <w:t>0</w:t>
            </w:r>
          </w:p>
        </w:tc>
        <w:tc>
          <w:tcPr>
            <w:tcW w:w="1706" w:type="dxa"/>
            <w:vAlign w:val="center"/>
          </w:tcPr>
          <w:p w14:paraId="2D8EB97A" w14:textId="77777777" w:rsidR="005E000F" w:rsidRDefault="00000000">
            <w:pPr>
              <w:jc w:val="right"/>
            </w:pPr>
            <w:r>
              <w:rPr>
                <w:rFonts w:hint="eastAsia"/>
              </w:rPr>
              <w:t>0</w:t>
            </w:r>
          </w:p>
        </w:tc>
      </w:tr>
      <w:tr w:rsidR="005E000F" w14:paraId="278CF82A" w14:textId="77777777">
        <w:tc>
          <w:tcPr>
            <w:tcW w:w="1811" w:type="dxa"/>
            <w:vAlign w:val="center"/>
          </w:tcPr>
          <w:p w14:paraId="3A3309B2"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tc>
          <w:tcPr>
            <w:tcW w:w="1560" w:type="dxa"/>
            <w:vAlign w:val="center"/>
          </w:tcPr>
          <w:p w14:paraId="5307BC84" w14:textId="77777777" w:rsidR="005E000F" w:rsidRDefault="00000000">
            <w:pPr>
              <w:jc w:val="right"/>
            </w:pPr>
            <w:r>
              <w:t>464,885</w:t>
            </w:r>
          </w:p>
        </w:tc>
        <w:tc>
          <w:tcPr>
            <w:tcW w:w="1985" w:type="dxa"/>
            <w:vAlign w:val="center"/>
          </w:tcPr>
          <w:p w14:paraId="6AD7FF66" w14:textId="77777777" w:rsidR="005E000F" w:rsidRDefault="00000000">
            <w:pPr>
              <w:jc w:val="right"/>
            </w:pPr>
            <w:r>
              <w:rPr>
                <w:rFonts w:hint="eastAsia"/>
              </w:rPr>
              <w:t>0</w:t>
            </w:r>
          </w:p>
        </w:tc>
        <w:tc>
          <w:tcPr>
            <w:tcW w:w="1985" w:type="dxa"/>
            <w:vAlign w:val="center"/>
          </w:tcPr>
          <w:p w14:paraId="7B6DD806" w14:textId="77777777" w:rsidR="005E000F" w:rsidRDefault="00000000">
            <w:pPr>
              <w:jc w:val="right"/>
            </w:pPr>
            <w:r>
              <w:rPr>
                <w:rFonts w:hint="eastAsia"/>
              </w:rPr>
              <w:t>0</w:t>
            </w:r>
          </w:p>
        </w:tc>
        <w:tc>
          <w:tcPr>
            <w:tcW w:w="1706" w:type="dxa"/>
            <w:vAlign w:val="center"/>
          </w:tcPr>
          <w:p w14:paraId="400554A4" w14:textId="77777777" w:rsidR="005E000F" w:rsidRDefault="00000000">
            <w:pPr>
              <w:jc w:val="right"/>
            </w:pPr>
            <w:r>
              <w:t>464,885</w:t>
            </w:r>
          </w:p>
        </w:tc>
      </w:tr>
      <w:tr w:rsidR="005E000F" w14:paraId="5F2CED60" w14:textId="77777777">
        <w:tc>
          <w:tcPr>
            <w:tcW w:w="1811" w:type="dxa"/>
            <w:vAlign w:val="center"/>
          </w:tcPr>
          <w:p w14:paraId="66191BE7" w14:textId="77777777" w:rsidR="005E000F" w:rsidRDefault="00000000">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tc>
        <w:tc>
          <w:tcPr>
            <w:tcW w:w="1560" w:type="dxa"/>
            <w:vAlign w:val="center"/>
          </w:tcPr>
          <w:p w14:paraId="6C50530B" w14:textId="77777777" w:rsidR="005E000F" w:rsidRDefault="00000000">
            <w:pPr>
              <w:jc w:val="right"/>
            </w:pPr>
            <w:r>
              <w:t>242,169</w:t>
            </w:r>
          </w:p>
        </w:tc>
        <w:tc>
          <w:tcPr>
            <w:tcW w:w="1985" w:type="dxa"/>
            <w:vAlign w:val="center"/>
          </w:tcPr>
          <w:p w14:paraId="608EBCF0" w14:textId="77777777" w:rsidR="005E000F" w:rsidRDefault="00000000">
            <w:pPr>
              <w:jc w:val="right"/>
            </w:pPr>
            <w:r>
              <w:rPr>
                <w:rFonts w:hint="eastAsia"/>
              </w:rPr>
              <w:t>0</w:t>
            </w:r>
          </w:p>
        </w:tc>
        <w:tc>
          <w:tcPr>
            <w:tcW w:w="1985" w:type="dxa"/>
            <w:vAlign w:val="center"/>
          </w:tcPr>
          <w:p w14:paraId="5EF32B69" w14:textId="77777777" w:rsidR="005E000F" w:rsidRDefault="00000000">
            <w:pPr>
              <w:jc w:val="right"/>
            </w:pPr>
            <w:r>
              <w:rPr>
                <w:rFonts w:hint="eastAsia"/>
              </w:rPr>
              <w:t>0</w:t>
            </w:r>
          </w:p>
        </w:tc>
        <w:tc>
          <w:tcPr>
            <w:tcW w:w="1706" w:type="dxa"/>
            <w:vAlign w:val="center"/>
          </w:tcPr>
          <w:p w14:paraId="31D54E63" w14:textId="77777777" w:rsidR="005E000F" w:rsidRDefault="00000000">
            <w:pPr>
              <w:jc w:val="right"/>
            </w:pPr>
            <w:r>
              <w:t>242,169</w:t>
            </w:r>
          </w:p>
        </w:tc>
      </w:tr>
      <w:tr w:rsidR="005E000F" w14:paraId="7B894702" w14:textId="77777777">
        <w:tc>
          <w:tcPr>
            <w:tcW w:w="1811" w:type="dxa"/>
            <w:vAlign w:val="center"/>
          </w:tcPr>
          <w:p w14:paraId="599B6BAB"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tc>
          <w:tcPr>
            <w:tcW w:w="1560" w:type="dxa"/>
            <w:vAlign w:val="center"/>
          </w:tcPr>
          <w:p w14:paraId="3A7E5943" w14:textId="77777777" w:rsidR="005E000F" w:rsidRDefault="00000000">
            <w:pPr>
              <w:jc w:val="right"/>
            </w:pPr>
            <w:r>
              <w:rPr>
                <w:rFonts w:hint="eastAsia"/>
              </w:rPr>
              <w:t>0</w:t>
            </w:r>
          </w:p>
        </w:tc>
        <w:tc>
          <w:tcPr>
            <w:tcW w:w="1985" w:type="dxa"/>
            <w:vAlign w:val="center"/>
          </w:tcPr>
          <w:p w14:paraId="1C332686" w14:textId="77777777" w:rsidR="005E000F" w:rsidRDefault="00000000">
            <w:pPr>
              <w:jc w:val="right"/>
            </w:pPr>
            <w:r>
              <w:rPr>
                <w:rFonts w:hint="eastAsia"/>
              </w:rPr>
              <w:t>0</w:t>
            </w:r>
          </w:p>
        </w:tc>
        <w:tc>
          <w:tcPr>
            <w:tcW w:w="1985" w:type="dxa"/>
            <w:vAlign w:val="center"/>
          </w:tcPr>
          <w:p w14:paraId="7159AB95" w14:textId="77777777" w:rsidR="005E000F" w:rsidRDefault="00000000">
            <w:pPr>
              <w:jc w:val="right"/>
            </w:pPr>
            <w:r>
              <w:rPr>
                <w:rFonts w:hint="eastAsia"/>
              </w:rPr>
              <w:t>0</w:t>
            </w:r>
          </w:p>
        </w:tc>
        <w:tc>
          <w:tcPr>
            <w:tcW w:w="1706" w:type="dxa"/>
            <w:vAlign w:val="center"/>
          </w:tcPr>
          <w:p w14:paraId="18186938" w14:textId="77777777" w:rsidR="005E000F" w:rsidRDefault="00000000">
            <w:pPr>
              <w:jc w:val="right"/>
            </w:pPr>
            <w:r>
              <w:rPr>
                <w:rFonts w:hint="eastAsia"/>
              </w:rPr>
              <w:t>0</w:t>
            </w:r>
          </w:p>
        </w:tc>
      </w:tr>
      <w:tr w:rsidR="005E000F" w14:paraId="1F065C80" w14:textId="77777777">
        <w:tc>
          <w:tcPr>
            <w:tcW w:w="1811" w:type="dxa"/>
            <w:vAlign w:val="center"/>
          </w:tcPr>
          <w:p w14:paraId="5C76045F" w14:textId="77777777" w:rsidR="005E000F" w:rsidRDefault="00000000">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tc>
        <w:tc>
          <w:tcPr>
            <w:tcW w:w="1560" w:type="dxa"/>
            <w:vAlign w:val="center"/>
          </w:tcPr>
          <w:p w14:paraId="3692990A" w14:textId="77777777" w:rsidR="005E000F" w:rsidRDefault="00000000">
            <w:pPr>
              <w:jc w:val="right"/>
            </w:pPr>
            <w:r>
              <w:t>101,00</w:t>
            </w:r>
            <w:r>
              <w:rPr>
                <w:rFonts w:hint="eastAsia"/>
              </w:rPr>
              <w:t>2</w:t>
            </w:r>
          </w:p>
        </w:tc>
        <w:tc>
          <w:tcPr>
            <w:tcW w:w="1985" w:type="dxa"/>
            <w:vAlign w:val="center"/>
          </w:tcPr>
          <w:p w14:paraId="3105D705" w14:textId="77777777" w:rsidR="005E000F" w:rsidRDefault="00000000">
            <w:pPr>
              <w:jc w:val="right"/>
            </w:pPr>
            <w:r>
              <w:rPr>
                <w:rFonts w:hint="eastAsia"/>
              </w:rPr>
              <w:t>0</w:t>
            </w:r>
          </w:p>
        </w:tc>
        <w:tc>
          <w:tcPr>
            <w:tcW w:w="1985" w:type="dxa"/>
            <w:vAlign w:val="center"/>
          </w:tcPr>
          <w:p w14:paraId="4816B21C" w14:textId="77777777" w:rsidR="005E000F" w:rsidRDefault="00000000">
            <w:pPr>
              <w:jc w:val="right"/>
            </w:pPr>
            <w:r>
              <w:t>226,314</w:t>
            </w:r>
          </w:p>
        </w:tc>
        <w:tc>
          <w:tcPr>
            <w:tcW w:w="1706" w:type="dxa"/>
            <w:vAlign w:val="center"/>
          </w:tcPr>
          <w:p w14:paraId="29BBA71A" w14:textId="77777777" w:rsidR="005E000F" w:rsidRDefault="00000000">
            <w:pPr>
              <w:jc w:val="right"/>
            </w:pPr>
            <w:r>
              <w:t>327,31</w:t>
            </w:r>
            <w:r>
              <w:rPr>
                <w:rFonts w:hint="eastAsia"/>
              </w:rPr>
              <w:t>6</w:t>
            </w:r>
          </w:p>
        </w:tc>
      </w:tr>
      <w:tr w:rsidR="005E000F" w14:paraId="56D19CF4" w14:textId="77777777">
        <w:tc>
          <w:tcPr>
            <w:tcW w:w="1811" w:type="dxa"/>
            <w:vAlign w:val="center"/>
          </w:tcPr>
          <w:p w14:paraId="52175BFD" w14:textId="77777777" w:rsidR="005E000F" w:rsidRDefault="00000000">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tc>
          <w:tcPr>
            <w:tcW w:w="1560" w:type="dxa"/>
            <w:vAlign w:val="center"/>
          </w:tcPr>
          <w:p w14:paraId="6530C94E" w14:textId="77777777" w:rsidR="005E000F" w:rsidRDefault="00000000">
            <w:pPr>
              <w:jc w:val="right"/>
            </w:pPr>
            <w:r>
              <w:rPr>
                <w:rFonts w:hint="eastAsia"/>
              </w:rPr>
              <w:t>0</w:t>
            </w:r>
          </w:p>
        </w:tc>
        <w:tc>
          <w:tcPr>
            <w:tcW w:w="1985" w:type="dxa"/>
            <w:vAlign w:val="center"/>
          </w:tcPr>
          <w:p w14:paraId="1BA7B1B8" w14:textId="77777777" w:rsidR="005E000F" w:rsidRDefault="00000000">
            <w:pPr>
              <w:jc w:val="right"/>
            </w:pPr>
            <w:r>
              <w:rPr>
                <w:rFonts w:hint="eastAsia"/>
              </w:rPr>
              <w:t>0</w:t>
            </w:r>
          </w:p>
        </w:tc>
        <w:tc>
          <w:tcPr>
            <w:tcW w:w="1985" w:type="dxa"/>
            <w:vAlign w:val="center"/>
          </w:tcPr>
          <w:p w14:paraId="0B59A767" w14:textId="77777777" w:rsidR="005E000F" w:rsidRDefault="00000000">
            <w:pPr>
              <w:jc w:val="right"/>
            </w:pPr>
            <w:r>
              <w:rPr>
                <w:rFonts w:hint="eastAsia"/>
              </w:rPr>
              <w:t>0</w:t>
            </w:r>
          </w:p>
        </w:tc>
        <w:tc>
          <w:tcPr>
            <w:tcW w:w="1706" w:type="dxa"/>
            <w:vAlign w:val="center"/>
          </w:tcPr>
          <w:p w14:paraId="0977DFCE" w14:textId="77777777" w:rsidR="005E000F" w:rsidRDefault="00000000">
            <w:pPr>
              <w:jc w:val="right"/>
            </w:pPr>
            <w:r>
              <w:rPr>
                <w:rFonts w:hint="eastAsia"/>
              </w:rPr>
              <w:t>0</w:t>
            </w:r>
          </w:p>
        </w:tc>
      </w:tr>
      <w:tr w:rsidR="005E000F" w14:paraId="4C702CD0" w14:textId="77777777">
        <w:tc>
          <w:tcPr>
            <w:tcW w:w="1811" w:type="dxa"/>
            <w:vAlign w:val="center"/>
          </w:tcPr>
          <w:p w14:paraId="427F228B" w14:textId="77777777" w:rsidR="005E000F" w:rsidRDefault="00000000">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2025年12月31日</w:t>
            </w:r>
            <w:r>
              <w:rPr>
                <w:rFonts w:ascii="宋体" w:eastAsia="宋体" w:hAnsi="宋体" w:cs="宋体" w:hint="eastAsia"/>
                <w:sz w:val="21"/>
                <w:szCs w:val="21"/>
                <w:lang w:eastAsia="zh-CN"/>
              </w:rPr>
              <w:t>余额</w:t>
            </w:r>
          </w:p>
        </w:tc>
        <w:tc>
          <w:tcPr>
            <w:tcW w:w="1560" w:type="dxa"/>
            <w:vAlign w:val="center"/>
          </w:tcPr>
          <w:p w14:paraId="225D0989" w14:textId="77777777" w:rsidR="005E000F" w:rsidRDefault="00000000">
            <w:pPr>
              <w:jc w:val="right"/>
            </w:pPr>
            <w:r>
              <w:t>252,41</w:t>
            </w:r>
            <w:r>
              <w:rPr>
                <w:rFonts w:hint="eastAsia"/>
              </w:rPr>
              <w:t>4</w:t>
            </w:r>
          </w:p>
        </w:tc>
        <w:tc>
          <w:tcPr>
            <w:tcW w:w="1985" w:type="dxa"/>
            <w:vAlign w:val="center"/>
          </w:tcPr>
          <w:p w14:paraId="66439AD8" w14:textId="77777777" w:rsidR="005E000F" w:rsidRDefault="00000000">
            <w:pPr>
              <w:jc w:val="right"/>
            </w:pPr>
            <w:r>
              <w:rPr>
                <w:rFonts w:hint="eastAsia"/>
              </w:rPr>
              <w:t>0</w:t>
            </w:r>
          </w:p>
        </w:tc>
        <w:tc>
          <w:tcPr>
            <w:tcW w:w="1985" w:type="dxa"/>
            <w:vAlign w:val="center"/>
          </w:tcPr>
          <w:p w14:paraId="4A9834A6" w14:textId="77777777" w:rsidR="005E000F" w:rsidRDefault="00000000">
            <w:pPr>
              <w:jc w:val="right"/>
            </w:pPr>
            <w:r>
              <w:rPr>
                <w:rFonts w:hint="eastAsia"/>
              </w:rPr>
              <w:t>0</w:t>
            </w:r>
          </w:p>
        </w:tc>
        <w:tc>
          <w:tcPr>
            <w:tcW w:w="1706" w:type="dxa"/>
            <w:vAlign w:val="center"/>
          </w:tcPr>
          <w:p w14:paraId="4C289886" w14:textId="77777777" w:rsidR="005E000F" w:rsidRDefault="00000000">
            <w:pPr>
              <w:jc w:val="right"/>
            </w:pPr>
            <w:r>
              <w:t>252,41</w:t>
            </w:r>
            <w:r>
              <w:rPr>
                <w:rFonts w:hint="eastAsia"/>
              </w:rPr>
              <w:t>4</w:t>
            </w:r>
          </w:p>
        </w:tc>
      </w:tr>
    </w:tbl>
    <w:p w14:paraId="06740321" w14:textId="77777777" w:rsidR="005E000F" w:rsidRDefault="005E000F"/>
    <w:p w14:paraId="2BA8BB1E" w14:textId="77777777" w:rsidR="005E000F" w:rsidRDefault="00000000">
      <w:pPr>
        <w:autoSpaceDE w:val="0"/>
        <w:autoSpaceDN w:val="0"/>
        <w:adjustRightInd w:val="0"/>
        <w:ind w:rightChars="50" w:right="105"/>
      </w:pPr>
      <w:r>
        <w:rPr>
          <w:rFonts w:hint="eastAsia"/>
        </w:rPr>
        <w:t>各阶段划分依据和坏账准备计提比例</w:t>
      </w:r>
    </w:p>
    <w:sdt>
      <w:sdtPr>
        <w:rPr>
          <w:bCs/>
          <w:szCs w:val="22"/>
        </w:rPr>
        <w:alias w:val="其他应收款各阶段划分依据和坏账准备计提比例"/>
        <w:tag w:val="_GBC_3c3eb8d29e064b68909ad636fcd177ff"/>
        <w:id w:val="425164091"/>
        <w:placeholder>
          <w:docPart w:val="GBC22222222222222222222222222222"/>
        </w:placeholder>
      </w:sdtPr>
      <w:sdtContent>
        <w:p w14:paraId="031F353C" w14:textId="77777777" w:rsidR="005E000F" w:rsidRDefault="00000000">
          <w:pPr>
            <w:rPr>
              <w:bCs/>
              <w:szCs w:val="22"/>
            </w:rPr>
          </w:pPr>
          <w:r>
            <w:rPr>
              <w:rFonts w:hint="eastAsia"/>
              <w:bCs/>
              <w:szCs w:val="22"/>
            </w:rPr>
            <w:t>无</w:t>
          </w:r>
        </w:p>
      </w:sdtContent>
    </w:sdt>
    <w:p w14:paraId="5F49EF46" w14:textId="77777777" w:rsidR="005E000F" w:rsidRDefault="005E000F">
      <w:pPr>
        <w:rPr>
          <w:bCs/>
          <w:szCs w:val="22"/>
        </w:rPr>
      </w:pPr>
    </w:p>
    <w:p w14:paraId="326D3E47" w14:textId="77777777" w:rsidR="005E000F" w:rsidRDefault="00000000">
      <w:pPr>
        <w:pStyle w:val="affb"/>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ef54a1b6105d438ab26e495100db4163"/>
        <w:id w:val="-1558932844"/>
        <w:placeholder>
          <w:docPart w:val="GBC22222222222222222222222222222"/>
        </w:placeholder>
      </w:sdtPr>
      <w:sdtContent>
        <w:p w14:paraId="23FAFF37"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F1D9727" w14:textId="77777777" w:rsidR="005E000F" w:rsidRDefault="005E000F"/>
    <w:p w14:paraId="5D3C9985" w14:textId="77777777" w:rsidR="005E000F" w:rsidRDefault="00000000">
      <w:bookmarkStart w:id="457" w:name="_Hlk534806894"/>
      <w:bookmarkEnd w:id="456"/>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1489058169"/>
        <w:placeholder>
          <w:docPart w:val="GBC22222222222222222222222222222"/>
        </w:placeholder>
      </w:sdtPr>
      <w:sdtContent>
        <w:p w14:paraId="78DA61F3"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CEC90ED" w14:textId="77777777" w:rsidR="005E000F" w:rsidRDefault="005E000F"/>
    <w:p w14:paraId="4A80B26F" w14:textId="77777777" w:rsidR="005E000F" w:rsidRDefault="00000000">
      <w:pPr>
        <w:pStyle w:val="5"/>
        <w:numPr>
          <w:ilvl w:val="0"/>
          <w:numId w:val="134"/>
        </w:numPr>
        <w:ind w:leftChars="0"/>
        <w:rPr>
          <w:rFonts w:asciiTheme="minorHAnsi" w:hAnsiTheme="minorHAnsi" w:cs="宋体"/>
          <w:kern w:val="0"/>
          <w:szCs w:val="22"/>
        </w:rPr>
      </w:pPr>
      <w:bookmarkStart w:id="458" w:name="_Hlk533797618"/>
      <w:bookmarkStart w:id="459" w:name="_Hlk153797908"/>
      <w:bookmarkEnd w:id="457"/>
      <w:r>
        <w:rPr>
          <w:rFonts w:asciiTheme="minorHAnsi" w:hAnsiTheme="minorHAnsi" w:cs="宋体" w:hint="eastAsia"/>
          <w:kern w:val="0"/>
          <w:szCs w:val="22"/>
        </w:rPr>
        <w:t>坏账准备的情况</w:t>
      </w:r>
    </w:p>
    <w:sdt>
      <w:sdtPr>
        <w:alias w:val="是否适用：母公司其他应收款坏账准备情况[双击切换]"/>
        <w:tag w:val="_GBC_fe964b2b8e824335995eaad4df852022"/>
        <w:id w:val="26226604"/>
        <w:placeholder>
          <w:docPart w:val="GBC22222222222222222222222222222"/>
        </w:placeholder>
      </w:sdtPr>
      <w:sdtContent>
        <w:p w14:paraId="464A1A2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3DAFFA0" w14:textId="77777777" w:rsidR="005E000F" w:rsidRDefault="005E000F"/>
    <w:p w14:paraId="238D5759" w14:textId="77777777" w:rsidR="005E000F" w:rsidRDefault="00000000">
      <w:r>
        <w:rPr>
          <w:rFonts w:hint="eastAsia"/>
        </w:rPr>
        <w:t>其中本期坏账准备转回或收回金额重要的：</w:t>
      </w:r>
    </w:p>
    <w:sdt>
      <w:sdtPr>
        <w:alias w:val="是否适用：母公司其他应收款坏账准备转回或收回金额重要的[双击切换]"/>
        <w:tag w:val="_GBC_f8ce6c07169e42188641fc1bc1ab86d4"/>
        <w:id w:val="-631868112"/>
        <w:placeholder>
          <w:docPart w:val="GBC22222222222222222222222222222"/>
        </w:placeholder>
      </w:sdtPr>
      <w:sdtContent>
        <w:p w14:paraId="005CA9FB"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bookmarkEnd w:id="458"/>
    <w:p w14:paraId="7DF1C1F2" w14:textId="77777777" w:rsidR="005E000F" w:rsidRDefault="005E000F"/>
    <w:p w14:paraId="3EAA50DC" w14:textId="77777777" w:rsidR="005E000F" w:rsidRDefault="00000000">
      <w:pPr>
        <w:ind w:rightChars="-759" w:right="-1594"/>
      </w:pPr>
      <w:r>
        <w:rPr>
          <w:rFonts w:hint="eastAsia"/>
        </w:rPr>
        <w:t>其他说明：</w:t>
      </w:r>
    </w:p>
    <w:sdt>
      <w:sdtPr>
        <w:alias w:val="其他应收款坏账准备情况的说明"/>
        <w:tag w:val="_GBC_66f33e1d4ef94cf78a5265ef0130e24d"/>
        <w:id w:val="-1987304689"/>
        <w:placeholder>
          <w:docPart w:val="GBC22222222222222222222222222222"/>
        </w:placeholder>
      </w:sdtPr>
      <w:sdtContent>
        <w:p w14:paraId="26ECD806" w14:textId="77777777" w:rsidR="005E000F" w:rsidRDefault="00000000">
          <w:pPr>
            <w:ind w:rightChars="-759" w:right="-1594"/>
          </w:pPr>
          <w:r>
            <w:rPr>
              <w:rFonts w:hint="eastAsia"/>
            </w:rPr>
            <w:t>无</w:t>
          </w:r>
        </w:p>
      </w:sdtContent>
    </w:sdt>
    <w:p w14:paraId="67281852" w14:textId="77777777" w:rsidR="005E000F" w:rsidRDefault="005E000F">
      <w:pPr>
        <w:ind w:rightChars="-759" w:right="-1594"/>
      </w:pPr>
    </w:p>
    <w:bookmarkEnd w:id="459"/>
    <w:p w14:paraId="083A0032" w14:textId="77777777" w:rsidR="005E000F" w:rsidRDefault="00000000">
      <w:pPr>
        <w:pStyle w:val="5"/>
        <w:numPr>
          <w:ilvl w:val="0"/>
          <w:numId w:val="134"/>
        </w:numPr>
        <w:ind w:leftChars="0"/>
        <w:rPr>
          <w:rFonts w:asciiTheme="minorHAnsi" w:hAnsiTheme="minorHAnsi" w:cs="宋体"/>
          <w:kern w:val="0"/>
          <w:szCs w:val="22"/>
        </w:rPr>
      </w:pPr>
      <w:r>
        <w:rPr>
          <w:rFonts w:asciiTheme="minorHAnsi" w:hAnsiTheme="minorHAnsi" w:cs="宋体" w:hint="eastAsia"/>
          <w:kern w:val="0"/>
          <w:szCs w:val="22"/>
        </w:rPr>
        <w:t>本期实际核销的其他应收款情况</w:t>
      </w:r>
    </w:p>
    <w:sdt>
      <w:sdtPr>
        <w:alias w:val="是否适用：母公司本期实际核销的其他应收款情况[双击切换]"/>
        <w:tag w:val="_GBC_1513ed448adb4dda8e855e090428591f"/>
        <w:id w:val="978105591"/>
        <w:placeholder>
          <w:docPart w:val="GBC22222222222222222222222222222"/>
        </w:placeholder>
      </w:sdtPr>
      <w:sdtContent>
        <w:p w14:paraId="3426420D"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AC0B5EE" w14:textId="77777777" w:rsidR="005E000F" w:rsidRDefault="00000000">
      <w:pPr>
        <w:jc w:val="right"/>
      </w:pPr>
      <w:r>
        <w:rPr>
          <w:rFonts w:hint="eastAsia"/>
        </w:rPr>
        <w:t>单位：</w:t>
      </w:r>
      <w:sdt>
        <w:sdtPr>
          <w:rPr>
            <w:rFonts w:hint="eastAsia"/>
          </w:rPr>
          <w:alias w:val="单位：母公司财务附注：本报告期实际核销的其他应收款项情况"/>
          <w:tag w:val="_GBC_3d8e5ecc26a9400b96b75cceaa3f6c62"/>
          <w:id w:val="-210047693"/>
          <w:placeholder>
            <w:docPart w:val="CF307DB39E41456B94B27902B3BBCBE6"/>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rPr>
          <w:rFonts w:hint="eastAsia"/>
        </w:rPr>
        <w:t>币种：</w:t>
      </w:r>
      <w:sdt>
        <w:sdtPr>
          <w:rPr>
            <w:rFonts w:hint="eastAsia"/>
          </w:rPr>
          <w:alias w:val="币种：母公司财务附注：本报告期实际核销的其他应收款项情况"/>
          <w:tag w:val="_GBC_46282372a95c444484464ed92e63107c"/>
          <w:id w:val="649948777"/>
          <w:placeholder>
            <w:docPart w:val="CF307DB39E41456B94B27902B3BBCBE6"/>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4A0" w:firstRow="1" w:lastRow="0" w:firstColumn="1" w:lastColumn="0" w:noHBand="0" w:noVBand="1"/>
      </w:tblPr>
      <w:tblGrid>
        <w:gridCol w:w="4429"/>
        <w:gridCol w:w="4465"/>
      </w:tblGrid>
      <w:tr w:rsidR="005E000F" w14:paraId="23940F67" w14:textId="77777777">
        <w:trPr>
          <w:cantSplit/>
        </w:trPr>
        <w:sdt>
          <w:sdtPr>
            <w:tag w:val="_PLD_2da1a75d27154fdf9aaa546f0880b2e0"/>
            <w:id w:val="77488639"/>
          </w:sdtPr>
          <w:sdtContent>
            <w:tc>
              <w:tcPr>
                <w:tcW w:w="4429" w:type="dxa"/>
                <w:vAlign w:val="center"/>
              </w:tcPr>
              <w:p w14:paraId="0E1030B3" w14:textId="77777777" w:rsidR="005E000F" w:rsidRDefault="00000000">
                <w:pPr>
                  <w:ind w:right="73"/>
                  <w:jc w:val="center"/>
                </w:pPr>
                <w:r>
                  <w:rPr>
                    <w:rFonts w:hint="eastAsia"/>
                  </w:rPr>
                  <w:t>项目</w:t>
                </w:r>
              </w:p>
            </w:tc>
          </w:sdtContent>
        </w:sdt>
        <w:sdt>
          <w:sdtPr>
            <w:tag w:val="_PLD_171d3bd6afe748869c9f4ecd891202d7"/>
            <w:id w:val="-1061473449"/>
          </w:sdtPr>
          <w:sdtContent>
            <w:tc>
              <w:tcPr>
                <w:tcW w:w="4465" w:type="dxa"/>
                <w:vAlign w:val="center"/>
              </w:tcPr>
              <w:p w14:paraId="1E28F036" w14:textId="77777777" w:rsidR="005E000F" w:rsidRDefault="00000000">
                <w:pPr>
                  <w:ind w:right="73"/>
                  <w:jc w:val="center"/>
                </w:pPr>
                <w:r>
                  <w:rPr>
                    <w:rFonts w:hint="eastAsia"/>
                  </w:rPr>
                  <w:t>核销金额</w:t>
                </w:r>
              </w:p>
            </w:tc>
          </w:sdtContent>
        </w:sdt>
      </w:tr>
      <w:tr w:rsidR="005E000F" w14:paraId="36CCCA06" w14:textId="77777777">
        <w:trPr>
          <w:cantSplit/>
        </w:trPr>
        <w:tc>
          <w:tcPr>
            <w:tcW w:w="4429" w:type="dxa"/>
            <w:vAlign w:val="center"/>
          </w:tcPr>
          <w:p w14:paraId="021F9659" w14:textId="77777777" w:rsidR="005E000F" w:rsidRDefault="00000000">
            <w:pPr>
              <w:ind w:right="73"/>
            </w:pPr>
            <w:r>
              <w:rPr>
                <w:rFonts w:hint="eastAsia"/>
              </w:rPr>
              <w:t>实际核销的其他应收款</w:t>
            </w:r>
          </w:p>
        </w:tc>
        <w:tc>
          <w:tcPr>
            <w:tcW w:w="4465" w:type="dxa"/>
            <w:vAlign w:val="center"/>
          </w:tcPr>
          <w:p w14:paraId="10D78317" w14:textId="77777777" w:rsidR="005E000F" w:rsidRDefault="00000000">
            <w:pPr>
              <w:jc w:val="right"/>
            </w:pPr>
            <w:r>
              <w:t>327,316</w:t>
            </w:r>
          </w:p>
        </w:tc>
      </w:tr>
    </w:tbl>
    <w:p w14:paraId="696F094A" w14:textId="77777777" w:rsidR="005E000F" w:rsidRDefault="005E000F"/>
    <w:p w14:paraId="63C4562A" w14:textId="77777777" w:rsidR="005E000F" w:rsidRDefault="005E000F"/>
    <w:p w14:paraId="7E2A73E1" w14:textId="77777777" w:rsidR="005E000F" w:rsidRDefault="00000000">
      <w:r>
        <w:rPr>
          <w:rFonts w:hint="eastAsia"/>
        </w:rPr>
        <w:t>其中重要的其他应收款核销情况：</w:t>
      </w:r>
    </w:p>
    <w:sdt>
      <w:sdtPr>
        <w:alias w:val="是否适用：母公司其中重要的其他应收款核销情况[双击切换]"/>
        <w:tag w:val="_GBC_9c869030965c44c2962f562c051ed47e"/>
        <w:id w:val="1520430480"/>
        <w:placeholder>
          <w:docPart w:val="GBC22222222222222222222222222222"/>
        </w:placeholder>
      </w:sdtPr>
      <w:sdtContent>
        <w:p w14:paraId="3DAC6AC9"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1A89782A" w14:textId="77777777" w:rsidR="005E000F" w:rsidRDefault="005E000F"/>
    <w:p w14:paraId="26D3A040" w14:textId="77777777" w:rsidR="005E000F" w:rsidRDefault="00000000">
      <w:pPr>
        <w:snapToGrid w:val="0"/>
        <w:spacing w:line="240" w:lineRule="atLeast"/>
      </w:pPr>
      <w:r>
        <w:rPr>
          <w:rFonts w:hint="eastAsia"/>
        </w:rPr>
        <w:t>其他应收款核销说明：</w:t>
      </w:r>
    </w:p>
    <w:sdt>
      <w:sdtPr>
        <w:rPr>
          <w:rFonts w:hint="eastAsia"/>
        </w:rPr>
        <w:alias w:val="是否适用：母公司其他应收款核销说明[双击切换]"/>
        <w:tag w:val="_GBC_a3327d4637ec4274aa83caff4b6e71fd"/>
        <w:id w:val="711471437"/>
        <w:placeholder>
          <w:docPart w:val="GBC22222222222222222222222222222"/>
        </w:placeholder>
      </w:sdtPr>
      <w:sdtContent>
        <w:p w14:paraId="1FB78B8C"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F713A99" w14:textId="77777777" w:rsidR="005E000F" w:rsidRDefault="005E000F"/>
    <w:p w14:paraId="15E1D707" w14:textId="77777777" w:rsidR="005E000F" w:rsidRDefault="00000000">
      <w:pPr>
        <w:pStyle w:val="5"/>
        <w:numPr>
          <w:ilvl w:val="0"/>
          <w:numId w:val="134"/>
        </w:numPr>
        <w:ind w:leftChars="0"/>
        <w:rPr>
          <w:rFonts w:asciiTheme="minorHAnsi" w:hAnsiTheme="minorHAnsi" w:cs="宋体"/>
          <w:kern w:val="0"/>
          <w:szCs w:val="22"/>
        </w:rPr>
      </w:pPr>
      <w:bookmarkStart w:id="460" w:name="_Hlk153798048"/>
      <w:r>
        <w:rPr>
          <w:rFonts w:asciiTheme="minorHAnsi" w:hAnsiTheme="minorHAnsi" w:cs="宋体" w:hint="eastAsia"/>
          <w:kern w:val="0"/>
          <w:szCs w:val="22"/>
        </w:rPr>
        <w:t>按欠款方归集的期末余额前五名的其他应收款情况</w:t>
      </w:r>
    </w:p>
    <w:sdt>
      <w:sdtPr>
        <w:alias w:val="是否适用：母公司按欠款方归集的期末余额前五名的其他应收款情况[双击切换]"/>
        <w:tag w:val="_GBC_40b667221c1442478b0cdaa57feca3d8"/>
        <w:id w:val="-1795590449"/>
        <w:placeholder>
          <w:docPart w:val="GBC22222222222222222222222222222"/>
        </w:placeholder>
      </w:sdtPr>
      <w:sdtContent>
        <w:p w14:paraId="1402DA0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4C73C22B" w14:textId="77777777" w:rsidR="005E000F" w:rsidRDefault="00000000">
      <w:pPr>
        <w:jc w:val="right"/>
      </w:pPr>
      <w:r>
        <w:rPr>
          <w:rFonts w:hint="eastAsia"/>
        </w:rPr>
        <w:t>单位：</w:t>
      </w:r>
      <w:sdt>
        <w:sdtPr>
          <w:rPr>
            <w:rFonts w:hint="eastAsia"/>
          </w:rPr>
          <w:alias w:val="单位：母公司财务附注：其他应收账款前五名欠款情况"/>
          <w:tag w:val="_GBC_a5049697dafb47839070e9dec68636fd"/>
          <w:id w:val="132879069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财务附注：其他应收账款前五名欠款情况"/>
          <w:tag w:val="_GBC_6c4661b2d22f41aeb2f5a016fbe1a3ac"/>
          <w:id w:val="20222049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1578"/>
        <w:gridCol w:w="1643"/>
        <w:gridCol w:w="1379"/>
        <w:gridCol w:w="1353"/>
        <w:gridCol w:w="1706"/>
      </w:tblGrid>
      <w:tr w:rsidR="005E000F" w14:paraId="1D5EBBCF" w14:textId="77777777">
        <w:trPr>
          <w:cantSplit/>
        </w:trPr>
        <w:sdt>
          <w:sdtPr>
            <w:tag w:val="_PLD_97ae589741524eeaa277e2e3a81b13c6"/>
            <w:id w:val="1104773532"/>
          </w:sdtPr>
          <w:sdtContent>
            <w:tc>
              <w:tcPr>
                <w:tcW w:w="1387" w:type="dxa"/>
                <w:vAlign w:val="center"/>
              </w:tcPr>
              <w:p w14:paraId="0FECD439" w14:textId="77777777" w:rsidR="005E000F" w:rsidRDefault="00000000">
                <w:pPr>
                  <w:ind w:right="105"/>
                  <w:jc w:val="center"/>
                </w:pPr>
                <w:r>
                  <w:rPr>
                    <w:rFonts w:hint="eastAsia"/>
                  </w:rPr>
                  <w:t>单位名称</w:t>
                </w:r>
              </w:p>
            </w:tc>
          </w:sdtContent>
        </w:sdt>
        <w:sdt>
          <w:sdtPr>
            <w:tag w:val="_PLD_c22b4ec5955348c988f93a834a184c51"/>
            <w:id w:val="-1692523743"/>
          </w:sdtPr>
          <w:sdtContent>
            <w:tc>
              <w:tcPr>
                <w:tcW w:w="1578" w:type="dxa"/>
                <w:vAlign w:val="center"/>
              </w:tcPr>
              <w:p w14:paraId="0B965811" w14:textId="77777777" w:rsidR="005E000F" w:rsidRDefault="00000000">
                <w:pPr>
                  <w:ind w:right="73"/>
                  <w:jc w:val="center"/>
                </w:pPr>
                <w:r>
                  <w:rPr>
                    <w:rFonts w:hint="eastAsia"/>
                  </w:rPr>
                  <w:t>期末余额</w:t>
                </w:r>
              </w:p>
            </w:tc>
          </w:sdtContent>
        </w:sdt>
        <w:sdt>
          <w:sdtPr>
            <w:tag w:val="_PLD_a49ad92f72864a62b0f46c5d7fa4a110"/>
            <w:id w:val="-4974694"/>
          </w:sdtPr>
          <w:sdtContent>
            <w:tc>
              <w:tcPr>
                <w:tcW w:w="1643" w:type="dxa"/>
                <w:vAlign w:val="center"/>
              </w:tcPr>
              <w:p w14:paraId="21BD30FC" w14:textId="77777777" w:rsidR="005E000F" w:rsidRDefault="00000000">
                <w:pPr>
                  <w:jc w:val="center"/>
                </w:pPr>
                <w:r>
                  <w:rPr>
                    <w:rFonts w:hint="eastAsia"/>
                  </w:rPr>
                  <w:t>占其他应收款期末余额合计数的比例（</w:t>
                </w:r>
                <w:r>
                  <w:t>%</w:t>
                </w:r>
                <w:r>
                  <w:rPr>
                    <w:rFonts w:hint="eastAsia"/>
                  </w:rPr>
                  <w:t>）</w:t>
                </w:r>
              </w:p>
            </w:tc>
          </w:sdtContent>
        </w:sdt>
        <w:sdt>
          <w:sdtPr>
            <w:tag w:val="_PLD_c8433b11194a41288fcd24feb3e7d527"/>
            <w:id w:val="-1183894584"/>
          </w:sdtPr>
          <w:sdtContent>
            <w:tc>
              <w:tcPr>
                <w:tcW w:w="1379" w:type="dxa"/>
                <w:vAlign w:val="center"/>
              </w:tcPr>
              <w:p w14:paraId="720CFED9" w14:textId="77777777" w:rsidR="005E000F" w:rsidRDefault="00000000">
                <w:pPr>
                  <w:ind w:right="73"/>
                  <w:jc w:val="center"/>
                </w:pPr>
                <w:r>
                  <w:rPr>
                    <w:rFonts w:hint="eastAsia"/>
                  </w:rPr>
                  <w:t>款项的性质</w:t>
                </w:r>
              </w:p>
            </w:tc>
          </w:sdtContent>
        </w:sdt>
        <w:sdt>
          <w:sdtPr>
            <w:tag w:val="_PLD_003c0f3b03b34c10880da6ddba3d0f8c"/>
            <w:id w:val="-904148292"/>
          </w:sdtPr>
          <w:sdtContent>
            <w:tc>
              <w:tcPr>
                <w:tcW w:w="1353" w:type="dxa"/>
                <w:vAlign w:val="center"/>
              </w:tcPr>
              <w:p w14:paraId="7799B9B9" w14:textId="77777777" w:rsidR="005E000F" w:rsidRDefault="00000000">
                <w:pPr>
                  <w:ind w:right="73"/>
                  <w:jc w:val="center"/>
                </w:pPr>
                <w:r>
                  <w:rPr>
                    <w:rFonts w:hint="eastAsia"/>
                  </w:rPr>
                  <w:t>账龄</w:t>
                </w:r>
              </w:p>
            </w:tc>
          </w:sdtContent>
        </w:sdt>
        <w:sdt>
          <w:sdtPr>
            <w:tag w:val="_PLD_de96d0c3523e4231935073b8b7dd47be"/>
            <w:id w:val="-183063049"/>
          </w:sdtPr>
          <w:sdtContent>
            <w:tc>
              <w:tcPr>
                <w:tcW w:w="1706" w:type="dxa"/>
                <w:vAlign w:val="center"/>
              </w:tcPr>
              <w:p w14:paraId="5F76E7D0" w14:textId="77777777" w:rsidR="005E000F" w:rsidRDefault="00000000">
                <w:pPr>
                  <w:jc w:val="center"/>
                </w:pPr>
                <w:r>
                  <w:rPr>
                    <w:rFonts w:hint="eastAsia"/>
                  </w:rPr>
                  <w:t>坏账准备</w:t>
                </w:r>
              </w:p>
              <w:p w14:paraId="6FA80F45" w14:textId="77777777" w:rsidR="005E000F" w:rsidRDefault="00000000">
                <w:pPr>
                  <w:jc w:val="center"/>
                </w:pPr>
                <w:r>
                  <w:rPr>
                    <w:rFonts w:hint="eastAsia"/>
                  </w:rPr>
                  <w:t>期末余额</w:t>
                </w:r>
              </w:p>
            </w:tc>
          </w:sdtContent>
        </w:sdt>
      </w:tr>
      <w:tr w:rsidR="005E000F" w14:paraId="42DCB7FD" w14:textId="77777777">
        <w:trPr>
          <w:cantSplit/>
        </w:trPr>
        <w:tc>
          <w:tcPr>
            <w:tcW w:w="1387" w:type="dxa"/>
            <w:vAlign w:val="center"/>
          </w:tcPr>
          <w:p w14:paraId="5657C3D9" w14:textId="77777777" w:rsidR="005E000F" w:rsidRDefault="00000000">
            <w:r>
              <w:t>中国铁路太原</w:t>
            </w:r>
            <w:proofErr w:type="gramStart"/>
            <w:r>
              <w:t>局集团</w:t>
            </w:r>
            <w:proofErr w:type="gramEnd"/>
            <w:r>
              <w:t>有限公司</w:t>
            </w:r>
          </w:p>
        </w:tc>
        <w:tc>
          <w:tcPr>
            <w:tcW w:w="1578" w:type="dxa"/>
            <w:vAlign w:val="center"/>
          </w:tcPr>
          <w:p w14:paraId="000138E6" w14:textId="77777777" w:rsidR="005E000F" w:rsidRDefault="00000000">
            <w:pPr>
              <w:jc w:val="right"/>
            </w:pPr>
            <w:r>
              <w:t>3,325,282,005</w:t>
            </w:r>
          </w:p>
        </w:tc>
        <w:tc>
          <w:tcPr>
            <w:tcW w:w="1643" w:type="dxa"/>
            <w:vAlign w:val="center"/>
          </w:tcPr>
          <w:p w14:paraId="49F07398" w14:textId="77777777" w:rsidR="005E000F" w:rsidRDefault="00000000">
            <w:pPr>
              <w:jc w:val="right"/>
            </w:pPr>
            <w:r>
              <w:t>99.32</w:t>
            </w:r>
          </w:p>
        </w:tc>
        <w:tc>
          <w:tcPr>
            <w:tcW w:w="1379" w:type="dxa"/>
            <w:vAlign w:val="center"/>
          </w:tcPr>
          <w:p w14:paraId="288F7639" w14:textId="77777777" w:rsidR="005E000F" w:rsidRDefault="00000000">
            <w:r>
              <w:rPr>
                <w:rFonts w:hint="eastAsia"/>
              </w:rPr>
              <w:t>增值税流传、“三供</w:t>
            </w:r>
            <w:proofErr w:type="gramStart"/>
            <w:r>
              <w:rPr>
                <w:rFonts w:hint="eastAsia"/>
              </w:rPr>
              <w:t>一</w:t>
            </w:r>
            <w:proofErr w:type="gramEnd"/>
            <w:r>
              <w:rPr>
                <w:rFonts w:hint="eastAsia"/>
              </w:rPr>
              <w:t>业”中央财政补助资金等</w:t>
            </w:r>
          </w:p>
        </w:tc>
        <w:tc>
          <w:tcPr>
            <w:tcW w:w="1353" w:type="dxa"/>
            <w:vAlign w:val="center"/>
          </w:tcPr>
          <w:p w14:paraId="22B72E8B" w14:textId="77777777" w:rsidR="005E000F" w:rsidRDefault="00000000">
            <w:r>
              <w:t>1</w:t>
            </w:r>
            <w:r>
              <w:t>年以内</w:t>
            </w:r>
          </w:p>
        </w:tc>
        <w:tc>
          <w:tcPr>
            <w:tcW w:w="1706" w:type="dxa"/>
            <w:vAlign w:val="center"/>
          </w:tcPr>
          <w:p w14:paraId="6881490F" w14:textId="77777777" w:rsidR="005E000F" w:rsidRDefault="00000000">
            <w:pPr>
              <w:jc w:val="right"/>
            </w:pPr>
            <w:r>
              <w:rPr>
                <w:rFonts w:hint="eastAsia"/>
              </w:rPr>
              <w:t>0</w:t>
            </w:r>
          </w:p>
        </w:tc>
      </w:tr>
      <w:tr w:rsidR="005E000F" w14:paraId="63F7F95F" w14:textId="77777777">
        <w:trPr>
          <w:cantSplit/>
        </w:trPr>
        <w:tc>
          <w:tcPr>
            <w:tcW w:w="1387" w:type="dxa"/>
            <w:vAlign w:val="center"/>
          </w:tcPr>
          <w:p w14:paraId="288B4233" w14:textId="77777777" w:rsidR="005E000F" w:rsidRDefault="00000000">
            <w:r>
              <w:t>中铁物轨道科技服务集团有限公司</w:t>
            </w:r>
          </w:p>
        </w:tc>
        <w:tc>
          <w:tcPr>
            <w:tcW w:w="1578" w:type="dxa"/>
            <w:vAlign w:val="center"/>
          </w:tcPr>
          <w:p w14:paraId="0177577A" w14:textId="77777777" w:rsidR="005E000F" w:rsidRDefault="00000000">
            <w:pPr>
              <w:jc w:val="right"/>
            </w:pPr>
            <w:r>
              <w:t>17,014,261</w:t>
            </w:r>
          </w:p>
        </w:tc>
        <w:tc>
          <w:tcPr>
            <w:tcW w:w="1643" w:type="dxa"/>
            <w:vAlign w:val="center"/>
          </w:tcPr>
          <w:p w14:paraId="5A639898" w14:textId="77777777" w:rsidR="005E000F" w:rsidRDefault="00000000">
            <w:pPr>
              <w:jc w:val="right"/>
            </w:pPr>
            <w:r>
              <w:t>0.51</w:t>
            </w:r>
          </w:p>
        </w:tc>
        <w:tc>
          <w:tcPr>
            <w:tcW w:w="1379" w:type="dxa"/>
            <w:vAlign w:val="center"/>
          </w:tcPr>
          <w:p w14:paraId="39E1DEAE" w14:textId="77777777" w:rsidR="005E000F" w:rsidRDefault="00000000">
            <w:r>
              <w:t>赔偿款</w:t>
            </w:r>
          </w:p>
        </w:tc>
        <w:tc>
          <w:tcPr>
            <w:tcW w:w="1353" w:type="dxa"/>
            <w:vAlign w:val="center"/>
          </w:tcPr>
          <w:p w14:paraId="292887E3" w14:textId="77777777" w:rsidR="005E000F" w:rsidRDefault="00000000">
            <w:r>
              <w:t>1</w:t>
            </w:r>
            <w:r>
              <w:t>年以内</w:t>
            </w:r>
          </w:p>
        </w:tc>
        <w:tc>
          <w:tcPr>
            <w:tcW w:w="1706" w:type="dxa"/>
            <w:vAlign w:val="center"/>
          </w:tcPr>
          <w:p w14:paraId="12F1DEAB" w14:textId="77777777" w:rsidR="005E000F" w:rsidRDefault="00000000">
            <w:pPr>
              <w:jc w:val="right"/>
            </w:pPr>
            <w:r>
              <w:t>79,448</w:t>
            </w:r>
          </w:p>
        </w:tc>
      </w:tr>
      <w:tr w:rsidR="005E000F" w14:paraId="7F9ED72F" w14:textId="77777777">
        <w:trPr>
          <w:cantSplit/>
        </w:trPr>
        <w:tc>
          <w:tcPr>
            <w:tcW w:w="1387" w:type="dxa"/>
            <w:vAlign w:val="center"/>
          </w:tcPr>
          <w:p w14:paraId="3B2694A4" w14:textId="77777777" w:rsidR="005E000F" w:rsidRDefault="00000000">
            <w:r>
              <w:t>代扣代缴款</w:t>
            </w:r>
          </w:p>
        </w:tc>
        <w:tc>
          <w:tcPr>
            <w:tcW w:w="1578" w:type="dxa"/>
            <w:vAlign w:val="center"/>
          </w:tcPr>
          <w:p w14:paraId="52213D54" w14:textId="77777777" w:rsidR="005E000F" w:rsidRDefault="00000000">
            <w:pPr>
              <w:jc w:val="right"/>
            </w:pPr>
            <w:r>
              <w:t>1,881,111</w:t>
            </w:r>
          </w:p>
        </w:tc>
        <w:tc>
          <w:tcPr>
            <w:tcW w:w="1643" w:type="dxa"/>
            <w:vAlign w:val="center"/>
          </w:tcPr>
          <w:p w14:paraId="603AB2FA" w14:textId="77777777" w:rsidR="005E000F" w:rsidRDefault="00000000">
            <w:pPr>
              <w:jc w:val="right"/>
            </w:pPr>
            <w:r>
              <w:t>0.0</w:t>
            </w:r>
            <w:r>
              <w:rPr>
                <w:rFonts w:hint="eastAsia"/>
              </w:rPr>
              <w:t>6</w:t>
            </w:r>
          </w:p>
        </w:tc>
        <w:tc>
          <w:tcPr>
            <w:tcW w:w="1379" w:type="dxa"/>
            <w:vAlign w:val="center"/>
          </w:tcPr>
          <w:p w14:paraId="46F11D80" w14:textId="77777777" w:rsidR="005E000F" w:rsidRDefault="00000000">
            <w:r>
              <w:t>代垫款</w:t>
            </w:r>
          </w:p>
        </w:tc>
        <w:tc>
          <w:tcPr>
            <w:tcW w:w="1353" w:type="dxa"/>
            <w:vAlign w:val="center"/>
          </w:tcPr>
          <w:p w14:paraId="2B059AEE" w14:textId="77777777" w:rsidR="005E000F" w:rsidRDefault="00000000">
            <w:r>
              <w:rPr>
                <w:rFonts w:hint="eastAsia"/>
              </w:rPr>
              <w:t>1</w:t>
            </w:r>
            <w:r>
              <w:t>年以内</w:t>
            </w:r>
          </w:p>
        </w:tc>
        <w:tc>
          <w:tcPr>
            <w:tcW w:w="1706" w:type="dxa"/>
            <w:vAlign w:val="center"/>
          </w:tcPr>
          <w:p w14:paraId="111577BA" w14:textId="77777777" w:rsidR="005E000F" w:rsidRDefault="00000000">
            <w:pPr>
              <w:jc w:val="right"/>
            </w:pPr>
            <w:r>
              <w:rPr>
                <w:rFonts w:hint="eastAsia"/>
              </w:rPr>
              <w:t>0</w:t>
            </w:r>
          </w:p>
        </w:tc>
      </w:tr>
      <w:tr w:rsidR="005E000F" w14:paraId="0B053103" w14:textId="77777777">
        <w:trPr>
          <w:cantSplit/>
        </w:trPr>
        <w:tc>
          <w:tcPr>
            <w:tcW w:w="1387" w:type="dxa"/>
            <w:vAlign w:val="center"/>
          </w:tcPr>
          <w:p w14:paraId="0BB22442" w14:textId="77777777" w:rsidR="005E000F" w:rsidRDefault="00000000">
            <w:r>
              <w:t>太原市社会保险管理服务中心</w:t>
            </w:r>
          </w:p>
        </w:tc>
        <w:tc>
          <w:tcPr>
            <w:tcW w:w="1578" w:type="dxa"/>
            <w:vAlign w:val="center"/>
          </w:tcPr>
          <w:p w14:paraId="4C25A6F5" w14:textId="77777777" w:rsidR="005E000F" w:rsidRDefault="00000000">
            <w:pPr>
              <w:jc w:val="right"/>
            </w:pPr>
            <w:r>
              <w:rPr>
                <w:rFonts w:hint="eastAsia"/>
              </w:rPr>
              <w:t>136,073</w:t>
            </w:r>
          </w:p>
        </w:tc>
        <w:tc>
          <w:tcPr>
            <w:tcW w:w="1643" w:type="dxa"/>
            <w:vAlign w:val="center"/>
          </w:tcPr>
          <w:p w14:paraId="5B82DA92" w14:textId="77777777" w:rsidR="005E000F" w:rsidRDefault="00000000">
            <w:pPr>
              <w:jc w:val="right"/>
            </w:pPr>
            <w:r>
              <w:rPr>
                <w:rFonts w:hint="eastAsia"/>
              </w:rPr>
              <w:t>0</w:t>
            </w:r>
          </w:p>
        </w:tc>
        <w:tc>
          <w:tcPr>
            <w:tcW w:w="1379" w:type="dxa"/>
            <w:vAlign w:val="center"/>
          </w:tcPr>
          <w:p w14:paraId="4607FD83" w14:textId="77777777" w:rsidR="005E000F" w:rsidRDefault="00000000">
            <w:r>
              <w:t>代垫款</w:t>
            </w:r>
          </w:p>
        </w:tc>
        <w:tc>
          <w:tcPr>
            <w:tcW w:w="1353" w:type="dxa"/>
            <w:vAlign w:val="center"/>
          </w:tcPr>
          <w:p w14:paraId="3B9568B3" w14:textId="77777777" w:rsidR="005E000F" w:rsidRDefault="00000000">
            <w:r>
              <w:t>1</w:t>
            </w:r>
            <w:r>
              <w:t>年以内</w:t>
            </w:r>
          </w:p>
        </w:tc>
        <w:tc>
          <w:tcPr>
            <w:tcW w:w="1706" w:type="dxa"/>
            <w:vAlign w:val="center"/>
          </w:tcPr>
          <w:p w14:paraId="6DDE7A42" w14:textId="77777777" w:rsidR="005E000F" w:rsidRDefault="00000000">
            <w:pPr>
              <w:jc w:val="right"/>
            </w:pPr>
            <w:r>
              <w:rPr>
                <w:rFonts w:hint="eastAsia"/>
              </w:rPr>
              <w:t>0</w:t>
            </w:r>
          </w:p>
        </w:tc>
      </w:tr>
      <w:tr w:rsidR="005E000F" w14:paraId="10520613" w14:textId="77777777">
        <w:trPr>
          <w:cantSplit/>
        </w:trPr>
        <w:tc>
          <w:tcPr>
            <w:tcW w:w="1387" w:type="dxa"/>
            <w:shd w:val="clear" w:color="auto" w:fill="auto"/>
            <w:vAlign w:val="center"/>
          </w:tcPr>
          <w:p w14:paraId="6135FD74" w14:textId="77777777" w:rsidR="005E000F" w:rsidRDefault="00000000">
            <w:r>
              <w:t>山西优耐尔电子技术有限公司</w:t>
            </w:r>
          </w:p>
        </w:tc>
        <w:tc>
          <w:tcPr>
            <w:tcW w:w="1578" w:type="dxa"/>
            <w:vAlign w:val="center"/>
          </w:tcPr>
          <w:p w14:paraId="6F494246" w14:textId="77777777" w:rsidR="005E000F" w:rsidRDefault="00000000">
            <w:pPr>
              <w:jc w:val="right"/>
            </w:pPr>
            <w:r>
              <w:t>29,250</w:t>
            </w:r>
          </w:p>
        </w:tc>
        <w:tc>
          <w:tcPr>
            <w:tcW w:w="1643" w:type="dxa"/>
            <w:vAlign w:val="center"/>
          </w:tcPr>
          <w:p w14:paraId="68807049" w14:textId="77777777" w:rsidR="005E000F" w:rsidRDefault="00000000">
            <w:pPr>
              <w:jc w:val="right"/>
            </w:pPr>
            <w:r>
              <w:rPr>
                <w:rFonts w:hint="eastAsia"/>
              </w:rPr>
              <w:t>0</w:t>
            </w:r>
          </w:p>
        </w:tc>
        <w:tc>
          <w:tcPr>
            <w:tcW w:w="1379" w:type="dxa"/>
            <w:vAlign w:val="center"/>
          </w:tcPr>
          <w:p w14:paraId="2260A046" w14:textId="77777777" w:rsidR="005E000F" w:rsidRDefault="00000000">
            <w:r>
              <w:t>往来款</w:t>
            </w:r>
          </w:p>
        </w:tc>
        <w:tc>
          <w:tcPr>
            <w:tcW w:w="1353" w:type="dxa"/>
            <w:vAlign w:val="center"/>
          </w:tcPr>
          <w:p w14:paraId="6FF16BA7" w14:textId="77777777" w:rsidR="005E000F" w:rsidRDefault="00000000">
            <w:r>
              <w:t>1</w:t>
            </w:r>
            <w:r>
              <w:t>年以内</w:t>
            </w:r>
          </w:p>
        </w:tc>
        <w:tc>
          <w:tcPr>
            <w:tcW w:w="1706" w:type="dxa"/>
            <w:vAlign w:val="center"/>
          </w:tcPr>
          <w:p w14:paraId="1BBBD7C9" w14:textId="77777777" w:rsidR="005E000F" w:rsidRDefault="00000000">
            <w:pPr>
              <w:jc w:val="right"/>
            </w:pPr>
            <w:r>
              <w:rPr>
                <w:rFonts w:hint="eastAsia"/>
              </w:rPr>
              <w:t>0</w:t>
            </w:r>
          </w:p>
        </w:tc>
      </w:tr>
      <w:tr w:rsidR="005E000F" w14:paraId="3B88689A" w14:textId="77777777">
        <w:trPr>
          <w:cantSplit/>
        </w:trPr>
        <w:tc>
          <w:tcPr>
            <w:tcW w:w="1387" w:type="dxa"/>
            <w:vAlign w:val="center"/>
          </w:tcPr>
          <w:p w14:paraId="35BFC864" w14:textId="77777777" w:rsidR="005E000F" w:rsidRDefault="00000000">
            <w:pPr>
              <w:ind w:right="105"/>
              <w:jc w:val="center"/>
            </w:pPr>
            <w:r>
              <w:rPr>
                <w:rFonts w:hint="eastAsia"/>
              </w:rPr>
              <w:t>合计</w:t>
            </w:r>
          </w:p>
        </w:tc>
        <w:tc>
          <w:tcPr>
            <w:tcW w:w="1578" w:type="dxa"/>
            <w:vAlign w:val="center"/>
          </w:tcPr>
          <w:p w14:paraId="197774BB" w14:textId="77777777" w:rsidR="005E000F" w:rsidRDefault="00000000">
            <w:pPr>
              <w:jc w:val="right"/>
            </w:pPr>
            <w:r>
              <w:rPr>
                <w:rFonts w:hint="eastAsia"/>
              </w:rPr>
              <w:t>3,344,342,700</w:t>
            </w:r>
          </w:p>
        </w:tc>
        <w:tc>
          <w:tcPr>
            <w:tcW w:w="1643" w:type="dxa"/>
            <w:vAlign w:val="center"/>
          </w:tcPr>
          <w:p w14:paraId="16C5D997" w14:textId="77777777" w:rsidR="005E000F" w:rsidRDefault="00000000">
            <w:pPr>
              <w:jc w:val="right"/>
            </w:pPr>
            <w:r>
              <w:t>99.8</w:t>
            </w:r>
            <w:r>
              <w:rPr>
                <w:rFonts w:hint="eastAsia"/>
              </w:rPr>
              <w:t>9</w:t>
            </w:r>
          </w:p>
        </w:tc>
        <w:tc>
          <w:tcPr>
            <w:tcW w:w="1379" w:type="dxa"/>
            <w:vAlign w:val="center"/>
          </w:tcPr>
          <w:p w14:paraId="3F393D6A" w14:textId="77777777" w:rsidR="005E000F" w:rsidRDefault="00000000">
            <w:pPr>
              <w:ind w:right="73"/>
              <w:jc w:val="center"/>
            </w:pPr>
            <w:r>
              <w:t>/</w:t>
            </w:r>
          </w:p>
        </w:tc>
        <w:tc>
          <w:tcPr>
            <w:tcW w:w="1353" w:type="dxa"/>
            <w:vAlign w:val="center"/>
          </w:tcPr>
          <w:p w14:paraId="11F5D0E5" w14:textId="77777777" w:rsidR="005E000F" w:rsidRDefault="00000000">
            <w:pPr>
              <w:ind w:right="73"/>
              <w:jc w:val="center"/>
            </w:pPr>
            <w:r>
              <w:t>/</w:t>
            </w:r>
          </w:p>
        </w:tc>
        <w:tc>
          <w:tcPr>
            <w:tcW w:w="1706" w:type="dxa"/>
            <w:vAlign w:val="center"/>
          </w:tcPr>
          <w:p w14:paraId="1E5B9C50" w14:textId="77777777" w:rsidR="005E000F" w:rsidRDefault="00000000">
            <w:pPr>
              <w:jc w:val="right"/>
            </w:pPr>
            <w:r>
              <w:t>79,448</w:t>
            </w:r>
          </w:p>
        </w:tc>
      </w:tr>
    </w:tbl>
    <w:p w14:paraId="7B21B6FB" w14:textId="77777777" w:rsidR="005E000F" w:rsidRDefault="005E000F"/>
    <w:p w14:paraId="5775AF9F" w14:textId="77777777" w:rsidR="005E000F" w:rsidRDefault="00000000">
      <w:pPr>
        <w:pStyle w:val="5"/>
        <w:numPr>
          <w:ilvl w:val="0"/>
          <w:numId w:val="134"/>
        </w:numPr>
        <w:ind w:leftChars="0"/>
        <w:rPr>
          <w:rFonts w:asciiTheme="minorHAnsi" w:hAnsiTheme="minorHAnsi" w:cs="宋体"/>
          <w:kern w:val="0"/>
          <w:szCs w:val="22"/>
        </w:rPr>
      </w:pPr>
      <w:bookmarkStart w:id="461" w:name="_Hlk153798113"/>
      <w:bookmarkEnd w:id="460"/>
      <w:r>
        <w:rPr>
          <w:rFonts w:asciiTheme="minorHAnsi" w:hAnsiTheme="minorHAnsi" w:cs="宋体"/>
          <w:kern w:val="0"/>
          <w:szCs w:val="22"/>
        </w:rPr>
        <w:t>因资金集中管理而列报于其他应收款</w:t>
      </w:r>
    </w:p>
    <w:sdt>
      <w:sdtPr>
        <w:alias w:val="是否适用：母公司因资金集中管理而列报于其他应收款[双击切换]"/>
        <w:tag w:val="_GBC_618dc514c72c4f30836fe51ef5fc4589"/>
        <w:id w:val="1275604835"/>
        <w:placeholder>
          <w:docPart w:val="GBC22222222222222222222222222222"/>
        </w:placeholder>
      </w:sdtPr>
      <w:sdtContent>
        <w:p w14:paraId="58DF4B17" w14:textId="77777777" w:rsidR="005E000F" w:rsidRDefault="00000000">
          <w:pPr>
            <w:snapToGrid w:val="0"/>
            <w:spacing w:line="240" w:lineRule="atLeast"/>
          </w:pPr>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9509384" w14:textId="77777777" w:rsidR="005E000F" w:rsidRDefault="005E000F">
      <w:pPr>
        <w:snapToGrid w:val="0"/>
        <w:spacing w:line="240" w:lineRule="atLeast"/>
      </w:pPr>
    </w:p>
    <w:bookmarkEnd w:id="461"/>
    <w:p w14:paraId="7337E07A" w14:textId="77777777" w:rsidR="005E000F" w:rsidRDefault="00000000">
      <w:r>
        <w:rPr>
          <w:rFonts w:hint="eastAsia"/>
        </w:rPr>
        <w:t>其他</w:t>
      </w:r>
      <w:r>
        <w:t>说明：</w:t>
      </w:r>
    </w:p>
    <w:sdt>
      <w:sdtPr>
        <w:rPr>
          <w:rFonts w:hint="eastAsia"/>
        </w:rPr>
        <w:alias w:val="是否适用：母公司其他应收款的其他说明[双击切换]"/>
        <w:tag w:val="_GBC_479bc9ed241548c695a3905f38eb23fd"/>
        <w:id w:val="1883045077"/>
        <w:placeholder>
          <w:docPart w:val="GBC22222222222222222222222222222"/>
        </w:placeholder>
      </w:sdtPr>
      <w:sdtContent>
        <w:p w14:paraId="41ABAAF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1CBCA15" w14:textId="77777777" w:rsidR="005E000F" w:rsidRDefault="005E000F">
      <w:pPr>
        <w:sectPr w:rsidR="005E000F">
          <w:pgSz w:w="11906" w:h="16838"/>
          <w:pgMar w:top="1525" w:right="1276" w:bottom="1440" w:left="1797" w:header="856" w:footer="992" w:gutter="0"/>
          <w:cols w:space="425"/>
          <w:docGrid w:linePitch="312"/>
        </w:sectPr>
      </w:pPr>
    </w:p>
    <w:p w14:paraId="3214727A" w14:textId="77777777" w:rsidR="005E000F" w:rsidRDefault="005E000F"/>
    <w:p w14:paraId="55788D0F" w14:textId="77777777" w:rsidR="005E000F" w:rsidRDefault="00000000">
      <w:pPr>
        <w:pStyle w:val="3"/>
        <w:numPr>
          <w:ilvl w:val="0"/>
          <w:numId w:val="130"/>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35316295"/>
        <w:placeholder>
          <w:docPart w:val="GBC22222222222222222222222222222"/>
        </w:placeholder>
      </w:sdtPr>
      <w:sdtContent>
        <w:p w14:paraId="0CC85105"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7BD8D4C0" w14:textId="77777777" w:rsidR="005E000F" w:rsidRDefault="00000000">
      <w:pPr>
        <w:jc w:val="right"/>
      </w:pPr>
      <w:r>
        <w:rPr>
          <w:rFonts w:hint="eastAsia"/>
        </w:rPr>
        <w:t>单位：</w:t>
      </w:r>
      <w:sdt>
        <w:sdtPr>
          <w:rPr>
            <w:rFonts w:hint="eastAsia"/>
          </w:rPr>
          <w:alias w:val="单位：母公司财务附注：长期股权投资"/>
          <w:tag w:val="_GBC_9d11e81055cb4017a0055a75ae95ae64"/>
          <w:id w:val="57432212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财务附注：长期股权投资"/>
          <w:tag w:val="_GBC_fbeeb4a7e8254b6dbbd1030f26dad505"/>
          <w:id w:val="42021563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764"/>
        <w:gridCol w:w="1730"/>
        <w:gridCol w:w="1732"/>
        <w:gridCol w:w="1769"/>
        <w:gridCol w:w="1746"/>
        <w:gridCol w:w="1740"/>
      </w:tblGrid>
      <w:tr w:rsidR="005E000F" w14:paraId="38C00A1B" w14:textId="77777777">
        <w:trPr>
          <w:cantSplit/>
        </w:trPr>
        <w:sdt>
          <w:sdtPr>
            <w:tag w:val="_PLD_0747ffd7336145fcb6d5e622fab54966"/>
            <w:id w:val="1927139695"/>
          </w:sdtPr>
          <w:sdtContent>
            <w:tc>
              <w:tcPr>
                <w:tcW w:w="1278" w:type="pct"/>
                <w:vMerge w:val="restart"/>
                <w:vAlign w:val="center"/>
              </w:tcPr>
              <w:p w14:paraId="4866C2D5" w14:textId="77777777" w:rsidR="005E000F" w:rsidRDefault="00000000">
                <w:pPr>
                  <w:jc w:val="center"/>
                </w:pPr>
                <w:r>
                  <w:rPr>
                    <w:rFonts w:hint="eastAsia"/>
                  </w:rPr>
                  <w:t>项目</w:t>
                </w:r>
              </w:p>
            </w:tc>
          </w:sdtContent>
        </w:sdt>
        <w:sdt>
          <w:sdtPr>
            <w:tag w:val="_PLD_0b9f6f6d89c44029bf1de3ed5f6a4aa0"/>
            <w:id w:val="-24643461"/>
          </w:sdtPr>
          <w:sdtContent>
            <w:tc>
              <w:tcPr>
                <w:tcW w:w="1855" w:type="pct"/>
                <w:gridSpan w:val="3"/>
                <w:vAlign w:val="center"/>
              </w:tcPr>
              <w:p w14:paraId="294D539A" w14:textId="77777777" w:rsidR="005E000F" w:rsidRDefault="00000000">
                <w:pPr>
                  <w:jc w:val="center"/>
                </w:pPr>
                <w:r>
                  <w:rPr>
                    <w:rFonts w:hint="eastAsia"/>
                  </w:rPr>
                  <w:t>期末余额</w:t>
                </w:r>
              </w:p>
            </w:tc>
          </w:sdtContent>
        </w:sdt>
        <w:sdt>
          <w:sdtPr>
            <w:tag w:val="_PLD_d1ebeae29ff34029a10a8e0c447a171b"/>
            <w:id w:val="118653559"/>
          </w:sdtPr>
          <w:sdtContent>
            <w:tc>
              <w:tcPr>
                <w:tcW w:w="1866" w:type="pct"/>
                <w:gridSpan w:val="3"/>
                <w:vAlign w:val="center"/>
              </w:tcPr>
              <w:p w14:paraId="168CF5D8" w14:textId="77777777" w:rsidR="005E000F" w:rsidRDefault="00000000">
                <w:pPr>
                  <w:jc w:val="center"/>
                </w:pPr>
                <w:r>
                  <w:rPr>
                    <w:rFonts w:hint="eastAsia"/>
                  </w:rPr>
                  <w:t>期初余额</w:t>
                </w:r>
              </w:p>
            </w:tc>
          </w:sdtContent>
        </w:sdt>
      </w:tr>
      <w:tr w:rsidR="005E000F" w14:paraId="5B6F42AD" w14:textId="77777777">
        <w:trPr>
          <w:cantSplit/>
        </w:trPr>
        <w:tc>
          <w:tcPr>
            <w:tcW w:w="1278" w:type="pct"/>
            <w:vMerge/>
            <w:vAlign w:val="center"/>
          </w:tcPr>
          <w:p w14:paraId="3A506ED9" w14:textId="77777777" w:rsidR="005E000F" w:rsidRDefault="005E000F">
            <w:pPr>
              <w:jc w:val="center"/>
            </w:pPr>
          </w:p>
        </w:tc>
        <w:sdt>
          <w:sdtPr>
            <w:tag w:val="_PLD_dd00c7deeb1e4ede9c3e40d64760a230"/>
            <w:id w:val="1682162118"/>
          </w:sdtPr>
          <w:sdtContent>
            <w:tc>
              <w:tcPr>
                <w:tcW w:w="626" w:type="pct"/>
                <w:vAlign w:val="center"/>
              </w:tcPr>
              <w:p w14:paraId="3AB947C9" w14:textId="77777777" w:rsidR="005E000F" w:rsidRDefault="00000000">
                <w:pPr>
                  <w:jc w:val="center"/>
                </w:pPr>
                <w:r>
                  <w:rPr>
                    <w:rFonts w:hint="eastAsia"/>
                  </w:rPr>
                  <w:t>账面余额</w:t>
                </w:r>
              </w:p>
            </w:tc>
          </w:sdtContent>
        </w:sdt>
        <w:sdt>
          <w:sdtPr>
            <w:tag w:val="_PLD_dc4e6ed6511949b7a546924cafae2546"/>
            <w:id w:val="952444165"/>
          </w:sdtPr>
          <w:sdtContent>
            <w:tc>
              <w:tcPr>
                <w:tcW w:w="614" w:type="pct"/>
                <w:vAlign w:val="center"/>
              </w:tcPr>
              <w:p w14:paraId="7103B266" w14:textId="77777777" w:rsidR="005E000F" w:rsidRDefault="00000000">
                <w:pPr>
                  <w:jc w:val="center"/>
                </w:pPr>
                <w:r>
                  <w:rPr>
                    <w:rFonts w:hint="eastAsia"/>
                  </w:rPr>
                  <w:t>减值准备</w:t>
                </w:r>
              </w:p>
            </w:tc>
          </w:sdtContent>
        </w:sdt>
        <w:sdt>
          <w:sdtPr>
            <w:tag w:val="_PLD_1d7bbdc4e6144c95a3fcb7369904bea6"/>
            <w:id w:val="-2080283289"/>
          </w:sdtPr>
          <w:sdtContent>
            <w:tc>
              <w:tcPr>
                <w:tcW w:w="614" w:type="pct"/>
                <w:vAlign w:val="center"/>
              </w:tcPr>
              <w:p w14:paraId="35DFDEBA" w14:textId="77777777" w:rsidR="005E000F" w:rsidRDefault="00000000">
                <w:pPr>
                  <w:jc w:val="center"/>
                </w:pPr>
                <w:r>
                  <w:rPr>
                    <w:rFonts w:hint="eastAsia"/>
                  </w:rPr>
                  <w:t>账面价值</w:t>
                </w:r>
              </w:p>
            </w:tc>
          </w:sdtContent>
        </w:sdt>
        <w:sdt>
          <w:sdtPr>
            <w:tag w:val="_PLD_bd8a9c944702423e9ff20ddba1c4b3aa"/>
            <w:id w:val="-2024466271"/>
          </w:sdtPr>
          <w:sdtContent>
            <w:tc>
              <w:tcPr>
                <w:tcW w:w="628" w:type="pct"/>
                <w:vAlign w:val="center"/>
              </w:tcPr>
              <w:p w14:paraId="68706028" w14:textId="77777777" w:rsidR="005E000F" w:rsidRDefault="00000000">
                <w:pPr>
                  <w:jc w:val="center"/>
                </w:pPr>
                <w:r>
                  <w:rPr>
                    <w:rFonts w:hint="eastAsia"/>
                  </w:rPr>
                  <w:t>账面余额</w:t>
                </w:r>
              </w:p>
            </w:tc>
          </w:sdtContent>
        </w:sdt>
        <w:sdt>
          <w:sdtPr>
            <w:tag w:val="_PLD_708c7153bc9a48c792e109da0ba5f2f8"/>
            <w:id w:val="398797986"/>
          </w:sdtPr>
          <w:sdtContent>
            <w:tc>
              <w:tcPr>
                <w:tcW w:w="620" w:type="pct"/>
                <w:vAlign w:val="center"/>
              </w:tcPr>
              <w:p w14:paraId="3A25CF86" w14:textId="77777777" w:rsidR="005E000F" w:rsidRDefault="00000000">
                <w:pPr>
                  <w:jc w:val="center"/>
                </w:pPr>
                <w:r>
                  <w:rPr>
                    <w:rFonts w:hint="eastAsia"/>
                  </w:rPr>
                  <w:t>减值准备</w:t>
                </w:r>
              </w:p>
            </w:tc>
          </w:sdtContent>
        </w:sdt>
        <w:sdt>
          <w:sdtPr>
            <w:tag w:val="_PLD_1516e7000a9747a28074e3f321fa96a7"/>
            <w:id w:val="-1687511694"/>
          </w:sdtPr>
          <w:sdtContent>
            <w:tc>
              <w:tcPr>
                <w:tcW w:w="618" w:type="pct"/>
                <w:vAlign w:val="center"/>
              </w:tcPr>
              <w:p w14:paraId="57971E39" w14:textId="77777777" w:rsidR="005E000F" w:rsidRDefault="00000000">
                <w:pPr>
                  <w:jc w:val="center"/>
                </w:pPr>
                <w:r>
                  <w:rPr>
                    <w:rFonts w:hint="eastAsia"/>
                  </w:rPr>
                  <w:t>账面价值</w:t>
                </w:r>
              </w:p>
            </w:tc>
          </w:sdtContent>
        </w:sdt>
      </w:tr>
      <w:tr w:rsidR="005E000F" w14:paraId="368085B3" w14:textId="77777777">
        <w:trPr>
          <w:cantSplit/>
        </w:trPr>
        <w:tc>
          <w:tcPr>
            <w:tcW w:w="1278" w:type="pct"/>
            <w:vAlign w:val="center"/>
          </w:tcPr>
          <w:p w14:paraId="565DDC1C" w14:textId="77777777" w:rsidR="005E000F" w:rsidRDefault="00000000">
            <w:pPr>
              <w:jc w:val="center"/>
              <w:rPr>
                <w:rFonts w:cs="宋体"/>
                <w:bCs/>
                <w:color w:val="000000" w:themeColor="text1"/>
              </w:rPr>
            </w:pPr>
            <w:r>
              <w:rPr>
                <w:rFonts w:cs="宋体" w:hint="eastAsia"/>
                <w:bCs/>
                <w:color w:val="000000" w:themeColor="text1"/>
              </w:rPr>
              <w:t>对子公司投资</w:t>
            </w:r>
          </w:p>
        </w:tc>
        <w:tc>
          <w:tcPr>
            <w:tcW w:w="626" w:type="pct"/>
            <w:vAlign w:val="center"/>
          </w:tcPr>
          <w:p w14:paraId="69D20246" w14:textId="77777777" w:rsidR="005E000F" w:rsidRDefault="00000000">
            <w:pPr>
              <w:jc w:val="right"/>
              <w:rPr>
                <w:rFonts w:cs="宋体"/>
                <w:bCs/>
                <w:color w:val="000000" w:themeColor="text1"/>
              </w:rPr>
            </w:pPr>
            <w:r>
              <w:rPr>
                <w:rFonts w:cs="宋体"/>
                <w:bCs/>
                <w:color w:val="000000" w:themeColor="text1"/>
              </w:rPr>
              <w:t>12,312,255,45</w:t>
            </w:r>
            <w:r>
              <w:rPr>
                <w:rFonts w:cs="宋体" w:hint="eastAsia"/>
                <w:bCs/>
                <w:color w:val="000000" w:themeColor="text1"/>
              </w:rPr>
              <w:t>1</w:t>
            </w:r>
          </w:p>
        </w:tc>
        <w:tc>
          <w:tcPr>
            <w:tcW w:w="614" w:type="pct"/>
          </w:tcPr>
          <w:p w14:paraId="38AE2B0B" w14:textId="77777777" w:rsidR="005E000F" w:rsidRDefault="00000000">
            <w:pPr>
              <w:jc w:val="right"/>
              <w:rPr>
                <w:rFonts w:cs="宋体"/>
                <w:bCs/>
                <w:color w:val="000000" w:themeColor="text1"/>
                <w:lang w:eastAsia="en-US"/>
              </w:rPr>
            </w:pPr>
            <w:r>
              <w:rPr>
                <w:rFonts w:cs="宋体" w:hint="eastAsia"/>
                <w:bCs/>
                <w:color w:val="000000" w:themeColor="text1"/>
              </w:rPr>
              <w:t>0</w:t>
            </w:r>
          </w:p>
        </w:tc>
        <w:tc>
          <w:tcPr>
            <w:tcW w:w="614" w:type="pct"/>
            <w:vAlign w:val="center"/>
          </w:tcPr>
          <w:p w14:paraId="0CB62941" w14:textId="77777777" w:rsidR="005E000F" w:rsidRDefault="00000000">
            <w:pPr>
              <w:jc w:val="right"/>
              <w:rPr>
                <w:rFonts w:cs="宋体"/>
                <w:bCs/>
                <w:color w:val="000000" w:themeColor="text1"/>
              </w:rPr>
            </w:pPr>
            <w:r>
              <w:rPr>
                <w:rFonts w:cs="宋体"/>
                <w:bCs/>
                <w:color w:val="000000" w:themeColor="text1"/>
              </w:rPr>
              <w:t>12,312,255,45</w:t>
            </w:r>
            <w:r>
              <w:rPr>
                <w:rFonts w:cs="宋体" w:hint="eastAsia"/>
                <w:bCs/>
                <w:color w:val="000000" w:themeColor="text1"/>
              </w:rPr>
              <w:t>1</w:t>
            </w:r>
          </w:p>
        </w:tc>
        <w:tc>
          <w:tcPr>
            <w:tcW w:w="628" w:type="pct"/>
          </w:tcPr>
          <w:p w14:paraId="43595770" w14:textId="77777777" w:rsidR="005E000F" w:rsidRDefault="00000000">
            <w:pPr>
              <w:jc w:val="right"/>
              <w:rPr>
                <w:rFonts w:cs="宋体"/>
                <w:bCs/>
                <w:color w:val="000000" w:themeColor="text1"/>
                <w:lang w:eastAsia="en-US"/>
              </w:rPr>
            </w:pPr>
            <w:r>
              <w:rPr>
                <w:rFonts w:cs="宋体" w:hint="eastAsia"/>
                <w:bCs/>
                <w:color w:val="000000" w:themeColor="text1"/>
              </w:rPr>
              <w:t>12,312,255,451</w:t>
            </w:r>
          </w:p>
        </w:tc>
        <w:tc>
          <w:tcPr>
            <w:tcW w:w="620" w:type="pct"/>
          </w:tcPr>
          <w:p w14:paraId="557C3FB3" w14:textId="77777777" w:rsidR="005E000F" w:rsidRDefault="00000000">
            <w:pPr>
              <w:jc w:val="right"/>
              <w:rPr>
                <w:rFonts w:cs="宋体"/>
                <w:bCs/>
                <w:color w:val="000000" w:themeColor="text1"/>
                <w:lang w:eastAsia="en-US"/>
              </w:rPr>
            </w:pPr>
            <w:r>
              <w:rPr>
                <w:rFonts w:cs="宋体" w:hint="eastAsia"/>
                <w:bCs/>
                <w:color w:val="000000" w:themeColor="text1"/>
              </w:rPr>
              <w:t>0</w:t>
            </w:r>
          </w:p>
        </w:tc>
        <w:tc>
          <w:tcPr>
            <w:tcW w:w="618" w:type="pct"/>
          </w:tcPr>
          <w:p w14:paraId="1AA491F8" w14:textId="77777777" w:rsidR="005E000F" w:rsidRDefault="00000000">
            <w:pPr>
              <w:jc w:val="right"/>
              <w:rPr>
                <w:rFonts w:cs="宋体"/>
                <w:bCs/>
                <w:color w:val="000000" w:themeColor="text1"/>
                <w:lang w:eastAsia="en-US"/>
              </w:rPr>
            </w:pPr>
            <w:r>
              <w:rPr>
                <w:rFonts w:cs="宋体" w:hint="eastAsia"/>
                <w:bCs/>
                <w:color w:val="000000" w:themeColor="text1"/>
              </w:rPr>
              <w:t>12,312,255,451</w:t>
            </w:r>
          </w:p>
        </w:tc>
      </w:tr>
      <w:tr w:rsidR="005E000F" w14:paraId="433F2B47" w14:textId="77777777">
        <w:trPr>
          <w:cantSplit/>
        </w:trPr>
        <w:tc>
          <w:tcPr>
            <w:tcW w:w="1278" w:type="pct"/>
            <w:vAlign w:val="center"/>
          </w:tcPr>
          <w:p w14:paraId="7B95FD1D" w14:textId="77777777" w:rsidR="005E000F" w:rsidRDefault="00000000">
            <w:pPr>
              <w:jc w:val="center"/>
              <w:rPr>
                <w:rFonts w:cs="宋体"/>
                <w:bCs/>
                <w:color w:val="000000" w:themeColor="text1"/>
              </w:rPr>
            </w:pPr>
            <w:r>
              <w:rPr>
                <w:rFonts w:cs="宋体" w:hint="eastAsia"/>
                <w:bCs/>
                <w:color w:val="000000" w:themeColor="text1"/>
              </w:rPr>
              <w:t>对联营、合营企业投资</w:t>
            </w:r>
          </w:p>
        </w:tc>
        <w:tc>
          <w:tcPr>
            <w:tcW w:w="626" w:type="pct"/>
            <w:vAlign w:val="center"/>
          </w:tcPr>
          <w:p w14:paraId="441C409D" w14:textId="77777777" w:rsidR="005E000F" w:rsidRDefault="00000000">
            <w:pPr>
              <w:jc w:val="right"/>
              <w:rPr>
                <w:rFonts w:cs="宋体"/>
                <w:bCs/>
                <w:color w:val="000000" w:themeColor="text1"/>
              </w:rPr>
            </w:pPr>
            <w:r>
              <w:rPr>
                <w:rFonts w:cs="宋体"/>
                <w:bCs/>
                <w:color w:val="000000" w:themeColor="text1"/>
              </w:rPr>
              <w:t>27,694,524,6</w:t>
            </w:r>
            <w:r>
              <w:rPr>
                <w:rFonts w:cs="宋体" w:hint="eastAsia"/>
                <w:bCs/>
                <w:color w:val="000000" w:themeColor="text1"/>
              </w:rPr>
              <w:t>59</w:t>
            </w:r>
          </w:p>
        </w:tc>
        <w:tc>
          <w:tcPr>
            <w:tcW w:w="614" w:type="pct"/>
          </w:tcPr>
          <w:p w14:paraId="0AE7A347" w14:textId="77777777" w:rsidR="005E000F" w:rsidRDefault="00000000">
            <w:pPr>
              <w:jc w:val="right"/>
              <w:rPr>
                <w:rFonts w:cs="宋体"/>
                <w:bCs/>
                <w:color w:val="000000" w:themeColor="text1"/>
                <w:lang w:eastAsia="en-US"/>
              </w:rPr>
            </w:pPr>
            <w:r>
              <w:rPr>
                <w:rFonts w:cs="宋体" w:hint="eastAsia"/>
                <w:bCs/>
                <w:color w:val="000000" w:themeColor="text1"/>
              </w:rPr>
              <w:t>0</w:t>
            </w:r>
          </w:p>
        </w:tc>
        <w:tc>
          <w:tcPr>
            <w:tcW w:w="614" w:type="pct"/>
            <w:vAlign w:val="center"/>
          </w:tcPr>
          <w:p w14:paraId="736F7EE8" w14:textId="77777777" w:rsidR="005E000F" w:rsidRDefault="00000000">
            <w:pPr>
              <w:jc w:val="right"/>
              <w:rPr>
                <w:rFonts w:cs="宋体"/>
                <w:bCs/>
                <w:color w:val="000000" w:themeColor="text1"/>
              </w:rPr>
            </w:pPr>
            <w:r>
              <w:rPr>
                <w:rFonts w:cs="宋体"/>
                <w:bCs/>
                <w:color w:val="000000" w:themeColor="text1"/>
              </w:rPr>
              <w:t>27,694,524,6</w:t>
            </w:r>
            <w:r>
              <w:rPr>
                <w:rFonts w:cs="宋体" w:hint="eastAsia"/>
                <w:bCs/>
                <w:color w:val="000000" w:themeColor="text1"/>
              </w:rPr>
              <w:t>59</w:t>
            </w:r>
          </w:p>
        </w:tc>
        <w:tc>
          <w:tcPr>
            <w:tcW w:w="628" w:type="pct"/>
          </w:tcPr>
          <w:p w14:paraId="17647941" w14:textId="77777777" w:rsidR="005E000F" w:rsidRDefault="00000000">
            <w:pPr>
              <w:jc w:val="right"/>
              <w:rPr>
                <w:rFonts w:cs="宋体"/>
                <w:bCs/>
                <w:color w:val="000000" w:themeColor="text1"/>
                <w:lang w:eastAsia="en-US"/>
              </w:rPr>
            </w:pPr>
            <w:r>
              <w:rPr>
                <w:rFonts w:cs="宋体" w:hint="eastAsia"/>
                <w:bCs/>
                <w:color w:val="000000" w:themeColor="text1"/>
              </w:rPr>
              <w:t>24,639,714,287</w:t>
            </w:r>
          </w:p>
        </w:tc>
        <w:tc>
          <w:tcPr>
            <w:tcW w:w="620" w:type="pct"/>
          </w:tcPr>
          <w:p w14:paraId="048C668B" w14:textId="77777777" w:rsidR="005E000F" w:rsidRDefault="00000000">
            <w:pPr>
              <w:jc w:val="right"/>
              <w:rPr>
                <w:rFonts w:cs="宋体"/>
                <w:bCs/>
                <w:color w:val="000000" w:themeColor="text1"/>
                <w:lang w:eastAsia="en-US"/>
              </w:rPr>
            </w:pPr>
            <w:r>
              <w:rPr>
                <w:rFonts w:cs="宋体" w:hint="eastAsia"/>
                <w:bCs/>
                <w:color w:val="000000" w:themeColor="text1"/>
              </w:rPr>
              <w:t>0</w:t>
            </w:r>
          </w:p>
        </w:tc>
        <w:tc>
          <w:tcPr>
            <w:tcW w:w="618" w:type="pct"/>
          </w:tcPr>
          <w:p w14:paraId="19469141" w14:textId="77777777" w:rsidR="005E000F" w:rsidRDefault="00000000">
            <w:pPr>
              <w:jc w:val="right"/>
              <w:rPr>
                <w:rFonts w:cs="宋体"/>
                <w:bCs/>
                <w:color w:val="000000" w:themeColor="text1"/>
                <w:lang w:eastAsia="en-US"/>
              </w:rPr>
            </w:pPr>
            <w:r>
              <w:rPr>
                <w:rFonts w:cs="宋体" w:hint="eastAsia"/>
                <w:bCs/>
                <w:color w:val="000000" w:themeColor="text1"/>
              </w:rPr>
              <w:t>24,639,714,287</w:t>
            </w:r>
          </w:p>
        </w:tc>
      </w:tr>
      <w:tr w:rsidR="005E000F" w14:paraId="5589E916" w14:textId="77777777">
        <w:trPr>
          <w:cantSplit/>
        </w:trPr>
        <w:tc>
          <w:tcPr>
            <w:tcW w:w="1278" w:type="pct"/>
            <w:vAlign w:val="center"/>
          </w:tcPr>
          <w:p w14:paraId="696C1344" w14:textId="77777777" w:rsidR="005E000F" w:rsidRDefault="00000000">
            <w:pPr>
              <w:jc w:val="center"/>
              <w:rPr>
                <w:rFonts w:cs="宋体"/>
                <w:bCs/>
                <w:color w:val="000000" w:themeColor="text1"/>
              </w:rPr>
            </w:pPr>
            <w:r>
              <w:rPr>
                <w:rFonts w:cs="宋体" w:hint="eastAsia"/>
                <w:bCs/>
                <w:color w:val="000000" w:themeColor="text1"/>
              </w:rPr>
              <w:t>合计</w:t>
            </w:r>
          </w:p>
        </w:tc>
        <w:tc>
          <w:tcPr>
            <w:tcW w:w="626" w:type="pct"/>
            <w:vAlign w:val="center"/>
          </w:tcPr>
          <w:p w14:paraId="722BF4B0" w14:textId="77777777" w:rsidR="005E000F" w:rsidRDefault="00000000">
            <w:pPr>
              <w:jc w:val="right"/>
              <w:rPr>
                <w:rFonts w:cs="宋体"/>
                <w:bCs/>
                <w:color w:val="000000" w:themeColor="text1"/>
              </w:rPr>
            </w:pPr>
            <w:r>
              <w:rPr>
                <w:rFonts w:cs="宋体"/>
                <w:bCs/>
                <w:color w:val="000000" w:themeColor="text1"/>
              </w:rPr>
              <w:t>40,006,780,110</w:t>
            </w:r>
          </w:p>
        </w:tc>
        <w:tc>
          <w:tcPr>
            <w:tcW w:w="614" w:type="pct"/>
          </w:tcPr>
          <w:p w14:paraId="1B56EDBD" w14:textId="77777777" w:rsidR="005E000F" w:rsidRDefault="00000000">
            <w:pPr>
              <w:jc w:val="right"/>
              <w:rPr>
                <w:rFonts w:cs="宋体"/>
                <w:bCs/>
                <w:color w:val="000000" w:themeColor="text1"/>
                <w:lang w:eastAsia="en-US"/>
              </w:rPr>
            </w:pPr>
            <w:r>
              <w:rPr>
                <w:rFonts w:cs="宋体" w:hint="eastAsia"/>
                <w:bCs/>
                <w:color w:val="000000" w:themeColor="text1"/>
              </w:rPr>
              <w:t>0</w:t>
            </w:r>
          </w:p>
        </w:tc>
        <w:tc>
          <w:tcPr>
            <w:tcW w:w="614" w:type="pct"/>
            <w:vAlign w:val="center"/>
          </w:tcPr>
          <w:p w14:paraId="70EB316A" w14:textId="77777777" w:rsidR="005E000F" w:rsidRDefault="00000000">
            <w:pPr>
              <w:jc w:val="right"/>
              <w:rPr>
                <w:rFonts w:cs="宋体"/>
                <w:bCs/>
                <w:color w:val="000000" w:themeColor="text1"/>
              </w:rPr>
            </w:pPr>
            <w:r>
              <w:rPr>
                <w:rFonts w:cs="宋体"/>
                <w:bCs/>
                <w:color w:val="000000" w:themeColor="text1"/>
              </w:rPr>
              <w:t>40,006,780,110</w:t>
            </w:r>
          </w:p>
        </w:tc>
        <w:tc>
          <w:tcPr>
            <w:tcW w:w="628" w:type="pct"/>
          </w:tcPr>
          <w:p w14:paraId="09D3B3D6" w14:textId="77777777" w:rsidR="005E000F" w:rsidRDefault="00000000">
            <w:pPr>
              <w:jc w:val="right"/>
              <w:rPr>
                <w:rFonts w:cs="宋体"/>
                <w:bCs/>
                <w:color w:val="000000" w:themeColor="text1"/>
                <w:lang w:eastAsia="en-US"/>
              </w:rPr>
            </w:pPr>
            <w:r>
              <w:rPr>
                <w:rFonts w:cs="宋体" w:hint="eastAsia"/>
                <w:bCs/>
                <w:color w:val="000000" w:themeColor="text1"/>
              </w:rPr>
              <w:t>36,951,969,738</w:t>
            </w:r>
          </w:p>
        </w:tc>
        <w:tc>
          <w:tcPr>
            <w:tcW w:w="620" w:type="pct"/>
          </w:tcPr>
          <w:p w14:paraId="19A6C3D4" w14:textId="77777777" w:rsidR="005E000F" w:rsidRDefault="00000000">
            <w:pPr>
              <w:jc w:val="right"/>
              <w:rPr>
                <w:rFonts w:cs="宋体"/>
                <w:bCs/>
                <w:color w:val="000000" w:themeColor="text1"/>
                <w:lang w:eastAsia="en-US"/>
              </w:rPr>
            </w:pPr>
            <w:r>
              <w:rPr>
                <w:rFonts w:cs="宋体" w:hint="eastAsia"/>
                <w:bCs/>
                <w:color w:val="000000" w:themeColor="text1"/>
              </w:rPr>
              <w:t>0</w:t>
            </w:r>
          </w:p>
        </w:tc>
        <w:tc>
          <w:tcPr>
            <w:tcW w:w="618" w:type="pct"/>
          </w:tcPr>
          <w:p w14:paraId="2DB36080" w14:textId="77777777" w:rsidR="005E000F" w:rsidRDefault="00000000">
            <w:pPr>
              <w:jc w:val="right"/>
              <w:rPr>
                <w:rFonts w:cs="宋体"/>
                <w:bCs/>
                <w:color w:val="000000" w:themeColor="text1"/>
                <w:lang w:eastAsia="en-US"/>
              </w:rPr>
            </w:pPr>
            <w:r>
              <w:rPr>
                <w:rFonts w:cs="宋体" w:hint="eastAsia"/>
                <w:bCs/>
                <w:color w:val="000000" w:themeColor="text1"/>
              </w:rPr>
              <w:t>36,951,969,738</w:t>
            </w:r>
          </w:p>
        </w:tc>
      </w:tr>
    </w:tbl>
    <w:p w14:paraId="26BFE1FC" w14:textId="77777777" w:rsidR="005E000F" w:rsidRDefault="005E000F"/>
    <w:p w14:paraId="2A4D5717" w14:textId="77777777" w:rsidR="005E000F" w:rsidRDefault="00000000">
      <w:pPr>
        <w:pStyle w:val="4"/>
        <w:numPr>
          <w:ilvl w:val="0"/>
          <w:numId w:val="135"/>
        </w:numPr>
      </w:pPr>
      <w:bookmarkStart w:id="462" w:name="_Hlk183097113"/>
      <w:r>
        <w:rPr>
          <w:rFonts w:hint="eastAsia"/>
        </w:rPr>
        <w:t>对子公司投资</w:t>
      </w:r>
    </w:p>
    <w:sdt>
      <w:sdtPr>
        <w:alias w:val="是否适用：母公司对子公司投资[双击切换]"/>
        <w:tag w:val="_GBC_db6ca6099b0a42bca0cbba7ead69557f"/>
        <w:id w:val="-2025700655"/>
        <w:placeholder>
          <w:docPart w:val="GBC22222222222222222222222222222"/>
        </w:placeholder>
      </w:sdtPr>
      <w:sdtContent>
        <w:p w14:paraId="7412DF53"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130E686B" w14:textId="77777777" w:rsidR="005E000F" w:rsidRDefault="00000000">
      <w:pPr>
        <w:jc w:val="right"/>
      </w:pPr>
      <w:r>
        <w:rPr>
          <w:rFonts w:hint="eastAsia"/>
        </w:rPr>
        <w:t>单位：</w:t>
      </w:r>
      <w:sdt>
        <w:sdtPr>
          <w:rPr>
            <w:rFonts w:hint="eastAsia"/>
          </w:rPr>
          <w:alias w:val="单位：母公司财务附注：对子公司投资"/>
          <w:tag w:val="_GBC_744810ff600d4176af7d45c0bf0b7978"/>
          <w:id w:val="-149663435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财务附注：对子公司投资"/>
          <w:tag w:val="_GBC_d2f8249dd813484db8850cd3e6e60609"/>
          <w:id w:val="-86281761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1541"/>
        <w:gridCol w:w="1544"/>
        <w:gridCol w:w="1544"/>
        <w:gridCol w:w="1536"/>
        <w:gridCol w:w="1499"/>
        <w:gridCol w:w="1581"/>
        <w:gridCol w:w="1577"/>
        <w:gridCol w:w="1546"/>
      </w:tblGrid>
      <w:tr w:rsidR="005E000F" w14:paraId="4FA92A74" w14:textId="77777777">
        <w:trPr>
          <w:trHeight w:val="226"/>
        </w:trPr>
        <w:sdt>
          <w:sdtPr>
            <w:tag w:val="_PLD_d6bd1b977853473e95bd45b9709f33ad"/>
            <w:id w:val="-946072937"/>
          </w:sdtPr>
          <w:sdtContent>
            <w:tc>
              <w:tcPr>
                <w:tcW w:w="608" w:type="pct"/>
                <w:vMerge w:val="restart"/>
                <w:tcBorders>
                  <w:top w:val="single" w:sz="4" w:space="0" w:color="auto"/>
                  <w:left w:val="single" w:sz="4" w:space="0" w:color="auto"/>
                  <w:right w:val="single" w:sz="4" w:space="0" w:color="auto"/>
                </w:tcBorders>
                <w:vAlign w:val="center"/>
              </w:tcPr>
              <w:p w14:paraId="2AC88EB0" w14:textId="77777777" w:rsidR="005E000F" w:rsidRDefault="00000000">
                <w:pPr>
                  <w:jc w:val="center"/>
                </w:pPr>
                <w:r>
                  <w:rPr>
                    <w:rFonts w:hint="eastAsia"/>
                  </w:rPr>
                  <w:t>被投资单位</w:t>
                </w:r>
              </w:p>
            </w:tc>
          </w:sdtContent>
        </w:sdt>
        <w:sdt>
          <w:sdtPr>
            <w:tag w:val="_PLD_dfca273db8c94621ae808db0b8393c3e"/>
            <w:id w:val="-2019766095"/>
          </w:sdtPr>
          <w:sdtContent>
            <w:tc>
              <w:tcPr>
                <w:tcW w:w="547" w:type="pct"/>
                <w:vMerge w:val="restart"/>
                <w:tcBorders>
                  <w:top w:val="single" w:sz="4" w:space="0" w:color="auto"/>
                  <w:left w:val="single" w:sz="4" w:space="0" w:color="auto"/>
                  <w:right w:val="single" w:sz="4" w:space="0" w:color="auto"/>
                </w:tcBorders>
                <w:vAlign w:val="center"/>
              </w:tcPr>
              <w:p w14:paraId="6B16CA28" w14:textId="77777777" w:rsidR="005E000F" w:rsidRDefault="00000000">
                <w:pPr>
                  <w:jc w:val="center"/>
                </w:pPr>
                <w:r>
                  <w:rPr>
                    <w:rFonts w:hint="eastAsia"/>
                  </w:rPr>
                  <w:t>期初余额（账面价值）</w:t>
                </w:r>
              </w:p>
            </w:tc>
          </w:sdtContent>
        </w:sdt>
        <w:sdt>
          <w:sdtPr>
            <w:tag w:val="_PLD_207fa0db16cd408da51641aebf065076"/>
            <w:id w:val="2016188665"/>
          </w:sdtPr>
          <w:sdtContent>
            <w:tc>
              <w:tcPr>
                <w:tcW w:w="548" w:type="pct"/>
                <w:vMerge w:val="restart"/>
                <w:tcBorders>
                  <w:top w:val="single" w:sz="4" w:space="0" w:color="auto"/>
                  <w:left w:val="single" w:sz="4" w:space="0" w:color="auto"/>
                  <w:right w:val="single" w:sz="4" w:space="0" w:color="auto"/>
                </w:tcBorders>
                <w:vAlign w:val="center"/>
              </w:tcPr>
              <w:p w14:paraId="645640AA" w14:textId="77777777" w:rsidR="005E000F" w:rsidRDefault="00000000">
                <w:pPr>
                  <w:jc w:val="center"/>
                </w:pPr>
                <w:r>
                  <w:rPr>
                    <w:rFonts w:hint="eastAsia"/>
                  </w:rPr>
                  <w:t>减值准备期初余额</w:t>
                </w:r>
              </w:p>
            </w:tc>
          </w:sdtContent>
        </w:sdt>
        <w:sdt>
          <w:sdtPr>
            <w:tag w:val="_PLD_102d3532a197425b9668f17eda325ed9"/>
            <w:id w:val="-191381958"/>
          </w:sdtPr>
          <w:sdtContent>
            <w:tc>
              <w:tcPr>
                <w:tcW w:w="2186" w:type="pct"/>
                <w:gridSpan w:val="4"/>
                <w:tcBorders>
                  <w:top w:val="single" w:sz="4" w:space="0" w:color="auto"/>
                  <w:left w:val="single" w:sz="4" w:space="0" w:color="auto"/>
                  <w:bottom w:val="single" w:sz="4" w:space="0" w:color="auto"/>
                  <w:right w:val="single" w:sz="4" w:space="0" w:color="auto"/>
                </w:tcBorders>
                <w:vAlign w:val="center"/>
              </w:tcPr>
              <w:p w14:paraId="5BFB9565" w14:textId="77777777" w:rsidR="005E000F" w:rsidRDefault="00000000">
                <w:pPr>
                  <w:jc w:val="center"/>
                </w:pPr>
                <w:r>
                  <w:rPr>
                    <w:rFonts w:hint="eastAsia"/>
                  </w:rPr>
                  <w:t>本期增减变动</w:t>
                </w:r>
              </w:p>
            </w:tc>
          </w:sdtContent>
        </w:sdt>
        <w:sdt>
          <w:sdtPr>
            <w:tag w:val="_PLD_2554c67582634570800484fc9e2a0422"/>
            <w:id w:val="316145301"/>
          </w:sdtPr>
          <w:sdtContent>
            <w:tc>
              <w:tcPr>
                <w:tcW w:w="560" w:type="pct"/>
                <w:vMerge w:val="restart"/>
                <w:tcBorders>
                  <w:top w:val="single" w:sz="4" w:space="0" w:color="auto"/>
                  <w:left w:val="single" w:sz="4" w:space="0" w:color="auto"/>
                  <w:right w:val="single" w:sz="4" w:space="0" w:color="auto"/>
                </w:tcBorders>
                <w:vAlign w:val="center"/>
              </w:tcPr>
              <w:p w14:paraId="5D9F2326" w14:textId="77777777" w:rsidR="005E000F" w:rsidRDefault="00000000">
                <w:pPr>
                  <w:jc w:val="center"/>
                </w:pPr>
                <w:r>
                  <w:rPr>
                    <w:rFonts w:hint="eastAsia"/>
                  </w:rPr>
                  <w:t>期末余额（账面价值）</w:t>
                </w:r>
              </w:p>
            </w:tc>
          </w:sdtContent>
        </w:sdt>
        <w:sdt>
          <w:sdtPr>
            <w:tag w:val="_PLD_506ae787a0d747fd8b850b3b13cc1e28"/>
            <w:id w:val="-51080802"/>
          </w:sdtPr>
          <w:sdtContent>
            <w:tc>
              <w:tcPr>
                <w:tcW w:w="549" w:type="pct"/>
                <w:vMerge w:val="restart"/>
                <w:tcBorders>
                  <w:top w:val="single" w:sz="4" w:space="0" w:color="auto"/>
                  <w:left w:val="single" w:sz="4" w:space="0" w:color="auto"/>
                  <w:right w:val="single" w:sz="4" w:space="0" w:color="auto"/>
                </w:tcBorders>
                <w:vAlign w:val="center"/>
              </w:tcPr>
              <w:p w14:paraId="3D145261" w14:textId="77777777" w:rsidR="005E000F" w:rsidRDefault="00000000">
                <w:pPr>
                  <w:jc w:val="center"/>
                </w:pPr>
                <w:r>
                  <w:rPr>
                    <w:rFonts w:hint="eastAsia"/>
                  </w:rPr>
                  <w:t>减值准备期末余额</w:t>
                </w:r>
              </w:p>
            </w:tc>
          </w:sdtContent>
        </w:sdt>
      </w:tr>
      <w:tr w:rsidR="005E000F" w14:paraId="40F202B7" w14:textId="77777777">
        <w:trPr>
          <w:trHeight w:val="405"/>
        </w:trPr>
        <w:tc>
          <w:tcPr>
            <w:tcW w:w="608" w:type="pct"/>
            <w:vMerge/>
            <w:tcBorders>
              <w:left w:val="single" w:sz="4" w:space="0" w:color="auto"/>
              <w:bottom w:val="single" w:sz="4" w:space="0" w:color="auto"/>
              <w:right w:val="single" w:sz="4" w:space="0" w:color="auto"/>
            </w:tcBorders>
            <w:vAlign w:val="center"/>
          </w:tcPr>
          <w:p w14:paraId="27CE8E77" w14:textId="77777777" w:rsidR="005E000F" w:rsidRDefault="005E000F">
            <w:pPr>
              <w:jc w:val="center"/>
            </w:pPr>
          </w:p>
        </w:tc>
        <w:tc>
          <w:tcPr>
            <w:tcW w:w="547" w:type="pct"/>
            <w:vMerge/>
            <w:tcBorders>
              <w:left w:val="single" w:sz="4" w:space="0" w:color="auto"/>
              <w:bottom w:val="single" w:sz="4" w:space="0" w:color="auto"/>
              <w:right w:val="single" w:sz="4" w:space="0" w:color="auto"/>
            </w:tcBorders>
            <w:vAlign w:val="center"/>
          </w:tcPr>
          <w:p w14:paraId="3A3C3B68" w14:textId="77777777" w:rsidR="005E000F" w:rsidRDefault="005E000F">
            <w:pPr>
              <w:jc w:val="center"/>
            </w:pPr>
          </w:p>
        </w:tc>
        <w:tc>
          <w:tcPr>
            <w:tcW w:w="548" w:type="pct"/>
            <w:vMerge/>
            <w:tcBorders>
              <w:left w:val="single" w:sz="4" w:space="0" w:color="auto"/>
              <w:bottom w:val="single" w:sz="4" w:space="0" w:color="auto"/>
              <w:right w:val="single" w:sz="4" w:space="0" w:color="auto"/>
            </w:tcBorders>
            <w:vAlign w:val="center"/>
          </w:tcPr>
          <w:p w14:paraId="33BFC5E5" w14:textId="77777777" w:rsidR="005E000F" w:rsidRDefault="005E000F">
            <w:pPr>
              <w:jc w:val="center"/>
            </w:pPr>
          </w:p>
        </w:tc>
        <w:sdt>
          <w:sdtPr>
            <w:tag w:val="_PLD_82e1276ea16049878dd86dc7f97ce1b8"/>
            <w:id w:val="-1241865121"/>
          </w:sdtPr>
          <w:sdtContent>
            <w:tc>
              <w:tcPr>
                <w:tcW w:w="548" w:type="pct"/>
                <w:tcBorders>
                  <w:top w:val="single" w:sz="4" w:space="0" w:color="auto"/>
                  <w:left w:val="single" w:sz="4" w:space="0" w:color="auto"/>
                  <w:bottom w:val="single" w:sz="4" w:space="0" w:color="auto"/>
                  <w:right w:val="single" w:sz="4" w:space="0" w:color="auto"/>
                </w:tcBorders>
                <w:vAlign w:val="center"/>
              </w:tcPr>
              <w:p w14:paraId="5F17B61C" w14:textId="77777777" w:rsidR="005E000F" w:rsidRDefault="00000000">
                <w:pPr>
                  <w:jc w:val="center"/>
                </w:pPr>
                <w:r>
                  <w:rPr>
                    <w:rFonts w:hint="eastAsia"/>
                  </w:rPr>
                  <w:t>追加投资</w:t>
                </w:r>
              </w:p>
            </w:tc>
          </w:sdtContent>
        </w:sdt>
        <w:sdt>
          <w:sdtPr>
            <w:tag w:val="_PLD_38bb9dba87bb42bfaf6b04b85c4cc3d4"/>
            <w:id w:val="804042958"/>
          </w:sdtPr>
          <w:sdtContent>
            <w:tc>
              <w:tcPr>
                <w:tcW w:w="545" w:type="pct"/>
                <w:tcBorders>
                  <w:left w:val="single" w:sz="4" w:space="0" w:color="auto"/>
                  <w:bottom w:val="single" w:sz="4" w:space="0" w:color="auto"/>
                  <w:right w:val="single" w:sz="4" w:space="0" w:color="auto"/>
                </w:tcBorders>
                <w:vAlign w:val="center"/>
              </w:tcPr>
              <w:p w14:paraId="2BB23ACC" w14:textId="77777777" w:rsidR="005E000F" w:rsidRDefault="00000000">
                <w:pPr>
                  <w:jc w:val="center"/>
                </w:pPr>
                <w:r>
                  <w:rPr>
                    <w:rFonts w:hint="eastAsia"/>
                  </w:rPr>
                  <w:t>减少投资</w:t>
                </w:r>
              </w:p>
            </w:tc>
          </w:sdtContent>
        </w:sdt>
        <w:sdt>
          <w:sdtPr>
            <w:tag w:val="_PLD_c8ba4c1973d24083b160e5d4377dba54"/>
            <w:id w:val="334577694"/>
          </w:sdtPr>
          <w:sdtContent>
            <w:tc>
              <w:tcPr>
                <w:tcW w:w="532" w:type="pct"/>
                <w:tcBorders>
                  <w:left w:val="single" w:sz="4" w:space="0" w:color="auto"/>
                  <w:bottom w:val="single" w:sz="4" w:space="0" w:color="auto"/>
                  <w:right w:val="single" w:sz="4" w:space="0" w:color="auto"/>
                </w:tcBorders>
                <w:vAlign w:val="center"/>
              </w:tcPr>
              <w:p w14:paraId="6F8669CA" w14:textId="77777777" w:rsidR="005E000F" w:rsidRDefault="00000000">
                <w:pPr>
                  <w:jc w:val="center"/>
                </w:pPr>
                <w:r>
                  <w:rPr>
                    <w:rFonts w:hint="eastAsia"/>
                  </w:rPr>
                  <w:t>计提减值准备</w:t>
                </w:r>
              </w:p>
            </w:tc>
          </w:sdtContent>
        </w:sdt>
        <w:sdt>
          <w:sdtPr>
            <w:tag w:val="_PLD_1fc11db026f7483585537cdf471d9062"/>
            <w:id w:val="83582435"/>
          </w:sdtPr>
          <w:sdtContent>
            <w:tc>
              <w:tcPr>
                <w:tcW w:w="560" w:type="pct"/>
                <w:tcBorders>
                  <w:left w:val="single" w:sz="4" w:space="0" w:color="auto"/>
                  <w:bottom w:val="single" w:sz="4" w:space="0" w:color="auto"/>
                  <w:right w:val="single" w:sz="4" w:space="0" w:color="auto"/>
                </w:tcBorders>
                <w:vAlign w:val="center"/>
              </w:tcPr>
              <w:p w14:paraId="129567BE" w14:textId="77777777" w:rsidR="005E000F" w:rsidRDefault="00000000">
                <w:pPr>
                  <w:jc w:val="center"/>
                </w:pPr>
                <w:r>
                  <w:rPr>
                    <w:rFonts w:hint="eastAsia"/>
                  </w:rPr>
                  <w:t>其他</w:t>
                </w:r>
              </w:p>
            </w:tc>
          </w:sdtContent>
        </w:sdt>
        <w:tc>
          <w:tcPr>
            <w:tcW w:w="560" w:type="pct"/>
            <w:vMerge/>
            <w:tcBorders>
              <w:left w:val="single" w:sz="4" w:space="0" w:color="auto"/>
              <w:bottom w:val="single" w:sz="4" w:space="0" w:color="auto"/>
              <w:right w:val="single" w:sz="4" w:space="0" w:color="auto"/>
            </w:tcBorders>
            <w:vAlign w:val="center"/>
          </w:tcPr>
          <w:p w14:paraId="08B99328" w14:textId="77777777" w:rsidR="005E000F" w:rsidRDefault="005E000F">
            <w:pPr>
              <w:jc w:val="center"/>
            </w:pPr>
          </w:p>
        </w:tc>
        <w:tc>
          <w:tcPr>
            <w:tcW w:w="549" w:type="pct"/>
            <w:vMerge/>
            <w:tcBorders>
              <w:left w:val="single" w:sz="4" w:space="0" w:color="auto"/>
              <w:bottom w:val="single" w:sz="4" w:space="0" w:color="auto"/>
              <w:right w:val="single" w:sz="4" w:space="0" w:color="auto"/>
            </w:tcBorders>
            <w:vAlign w:val="center"/>
          </w:tcPr>
          <w:p w14:paraId="524F22AC" w14:textId="77777777" w:rsidR="005E000F" w:rsidRDefault="005E000F">
            <w:pPr>
              <w:jc w:val="center"/>
            </w:pPr>
          </w:p>
        </w:tc>
      </w:tr>
      <w:tr w:rsidR="005E000F" w14:paraId="4D3EB091" w14:textId="77777777">
        <w:tc>
          <w:tcPr>
            <w:tcW w:w="1713" w:type="dxa"/>
            <w:tcBorders>
              <w:top w:val="single" w:sz="4" w:space="0" w:color="auto"/>
              <w:left w:val="single" w:sz="4" w:space="0" w:color="auto"/>
              <w:bottom w:val="single" w:sz="4" w:space="0" w:color="auto"/>
              <w:right w:val="single" w:sz="4" w:space="0" w:color="auto"/>
            </w:tcBorders>
            <w:vAlign w:val="center"/>
          </w:tcPr>
          <w:p w14:paraId="1F5F0558" w14:textId="77777777" w:rsidR="005E000F" w:rsidRDefault="00000000">
            <w:pPr>
              <w:rPr>
                <w:rFonts w:cs="宋体"/>
                <w:bCs/>
                <w:lang w:eastAsia="en-US"/>
              </w:rPr>
            </w:pPr>
            <w:r>
              <w:rPr>
                <w:rFonts w:cs="宋体" w:hint="eastAsia"/>
                <w:bCs/>
              </w:rPr>
              <w:t>唐港公司</w:t>
            </w:r>
          </w:p>
        </w:tc>
        <w:tc>
          <w:tcPr>
            <w:tcW w:w="1541" w:type="dxa"/>
            <w:tcBorders>
              <w:top w:val="single" w:sz="4" w:space="0" w:color="auto"/>
              <w:left w:val="single" w:sz="4" w:space="0" w:color="auto"/>
              <w:bottom w:val="single" w:sz="4" w:space="0" w:color="auto"/>
              <w:right w:val="single" w:sz="4" w:space="0" w:color="auto"/>
            </w:tcBorders>
            <w:vAlign w:val="center"/>
          </w:tcPr>
          <w:p w14:paraId="1B5CB2CC" w14:textId="77777777" w:rsidR="005E000F" w:rsidRDefault="00000000">
            <w:pPr>
              <w:jc w:val="right"/>
              <w:rPr>
                <w:rFonts w:cs="宋体"/>
                <w:bCs/>
                <w:lang w:eastAsia="en-US"/>
              </w:rPr>
            </w:pPr>
            <w:r>
              <w:rPr>
                <w:rFonts w:cs="宋体" w:hint="eastAsia"/>
                <w:bCs/>
              </w:rPr>
              <w:t>1,558,427,644</w:t>
            </w:r>
          </w:p>
        </w:tc>
        <w:tc>
          <w:tcPr>
            <w:tcW w:w="1544" w:type="dxa"/>
            <w:tcBorders>
              <w:top w:val="single" w:sz="4" w:space="0" w:color="auto"/>
              <w:left w:val="single" w:sz="4" w:space="0" w:color="auto"/>
              <w:bottom w:val="single" w:sz="4" w:space="0" w:color="auto"/>
              <w:right w:val="single" w:sz="4" w:space="0" w:color="auto"/>
            </w:tcBorders>
          </w:tcPr>
          <w:p w14:paraId="4E440DEE" w14:textId="77777777" w:rsidR="005E000F" w:rsidRDefault="00000000">
            <w:pPr>
              <w:jc w:val="right"/>
              <w:rPr>
                <w:rFonts w:cs="宋体"/>
                <w:bCs/>
              </w:rPr>
            </w:pPr>
            <w:r>
              <w:rPr>
                <w:rFonts w:cs="宋体" w:hint="eastAsia"/>
                <w:bCs/>
                <w:color w:val="000000" w:themeColor="text1"/>
              </w:rPr>
              <w:t>0</w:t>
            </w:r>
          </w:p>
        </w:tc>
        <w:tc>
          <w:tcPr>
            <w:tcW w:w="1544" w:type="dxa"/>
            <w:tcBorders>
              <w:top w:val="single" w:sz="4" w:space="0" w:color="auto"/>
              <w:left w:val="single" w:sz="4" w:space="0" w:color="auto"/>
              <w:bottom w:val="single" w:sz="4" w:space="0" w:color="auto"/>
              <w:right w:val="single" w:sz="4" w:space="0" w:color="auto"/>
            </w:tcBorders>
          </w:tcPr>
          <w:p w14:paraId="23D74ACA" w14:textId="77777777" w:rsidR="005E000F" w:rsidRDefault="00000000">
            <w:pPr>
              <w:jc w:val="right"/>
              <w:rPr>
                <w:rFonts w:cs="宋体"/>
                <w:bCs/>
              </w:rPr>
            </w:pPr>
            <w:r>
              <w:rPr>
                <w:rFonts w:cs="宋体" w:hint="eastAsia"/>
                <w:bCs/>
                <w:color w:val="000000" w:themeColor="text1"/>
              </w:rPr>
              <w:t>0</w:t>
            </w:r>
          </w:p>
        </w:tc>
        <w:tc>
          <w:tcPr>
            <w:tcW w:w="1536" w:type="dxa"/>
            <w:tcBorders>
              <w:top w:val="single" w:sz="4" w:space="0" w:color="auto"/>
              <w:left w:val="single" w:sz="4" w:space="0" w:color="auto"/>
              <w:bottom w:val="single" w:sz="4" w:space="0" w:color="auto"/>
              <w:right w:val="single" w:sz="4" w:space="0" w:color="auto"/>
            </w:tcBorders>
          </w:tcPr>
          <w:p w14:paraId="155CED5E" w14:textId="77777777" w:rsidR="005E000F" w:rsidRDefault="00000000">
            <w:pPr>
              <w:jc w:val="right"/>
              <w:rPr>
                <w:rFonts w:cs="宋体"/>
                <w:bCs/>
              </w:rPr>
            </w:pPr>
            <w:r>
              <w:rPr>
                <w:rFonts w:cs="宋体" w:hint="eastAsia"/>
                <w:bCs/>
                <w:color w:val="000000" w:themeColor="text1"/>
              </w:rPr>
              <w:t>0</w:t>
            </w:r>
          </w:p>
        </w:tc>
        <w:tc>
          <w:tcPr>
            <w:tcW w:w="1499" w:type="dxa"/>
            <w:tcBorders>
              <w:top w:val="single" w:sz="4" w:space="0" w:color="auto"/>
              <w:left w:val="single" w:sz="4" w:space="0" w:color="auto"/>
              <w:bottom w:val="single" w:sz="4" w:space="0" w:color="auto"/>
              <w:right w:val="single" w:sz="4" w:space="0" w:color="auto"/>
            </w:tcBorders>
          </w:tcPr>
          <w:p w14:paraId="290AFBA7"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tcPr>
          <w:p w14:paraId="2564FA9B"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vAlign w:val="center"/>
          </w:tcPr>
          <w:p w14:paraId="2DEEC3FB" w14:textId="77777777" w:rsidR="005E000F" w:rsidRDefault="00000000">
            <w:pPr>
              <w:jc w:val="right"/>
              <w:rPr>
                <w:rFonts w:cs="宋体"/>
                <w:bCs/>
                <w:lang w:eastAsia="en-US"/>
              </w:rPr>
            </w:pPr>
            <w:r>
              <w:rPr>
                <w:rFonts w:cs="宋体" w:hint="eastAsia"/>
                <w:bCs/>
              </w:rPr>
              <w:t>1,558,427,644</w:t>
            </w:r>
          </w:p>
        </w:tc>
        <w:tc>
          <w:tcPr>
            <w:tcW w:w="1548" w:type="dxa"/>
            <w:tcBorders>
              <w:top w:val="single" w:sz="4" w:space="0" w:color="auto"/>
              <w:left w:val="single" w:sz="4" w:space="0" w:color="auto"/>
              <w:bottom w:val="single" w:sz="4" w:space="0" w:color="auto"/>
              <w:right w:val="single" w:sz="4" w:space="0" w:color="auto"/>
            </w:tcBorders>
          </w:tcPr>
          <w:p w14:paraId="3BE14C73" w14:textId="77777777" w:rsidR="005E000F" w:rsidRDefault="00000000">
            <w:pPr>
              <w:jc w:val="right"/>
              <w:rPr>
                <w:rFonts w:cs="宋体"/>
                <w:bCs/>
              </w:rPr>
            </w:pPr>
            <w:r>
              <w:rPr>
                <w:rFonts w:cs="宋体" w:hint="eastAsia"/>
                <w:bCs/>
                <w:color w:val="000000" w:themeColor="text1"/>
              </w:rPr>
              <w:t>0</w:t>
            </w:r>
          </w:p>
        </w:tc>
      </w:tr>
      <w:tr w:rsidR="005E000F" w14:paraId="2CD0734B" w14:textId="77777777">
        <w:tc>
          <w:tcPr>
            <w:tcW w:w="1713" w:type="dxa"/>
            <w:tcBorders>
              <w:top w:val="single" w:sz="4" w:space="0" w:color="auto"/>
              <w:left w:val="single" w:sz="4" w:space="0" w:color="auto"/>
              <w:bottom w:val="single" w:sz="4" w:space="0" w:color="auto"/>
              <w:right w:val="single" w:sz="4" w:space="0" w:color="auto"/>
            </w:tcBorders>
            <w:vAlign w:val="center"/>
          </w:tcPr>
          <w:p w14:paraId="79088DE1" w14:textId="77777777" w:rsidR="005E000F" w:rsidRDefault="00000000">
            <w:pPr>
              <w:rPr>
                <w:rFonts w:cs="宋体"/>
                <w:bCs/>
              </w:rPr>
            </w:pPr>
            <w:proofErr w:type="gramStart"/>
            <w:r>
              <w:rPr>
                <w:rFonts w:cs="宋体" w:hint="eastAsia"/>
                <w:bCs/>
              </w:rPr>
              <w:t>侯禹公司</w:t>
            </w:r>
            <w:proofErr w:type="gramEnd"/>
          </w:p>
        </w:tc>
        <w:tc>
          <w:tcPr>
            <w:tcW w:w="1541" w:type="dxa"/>
            <w:tcBorders>
              <w:top w:val="single" w:sz="4" w:space="0" w:color="auto"/>
              <w:left w:val="single" w:sz="4" w:space="0" w:color="auto"/>
              <w:bottom w:val="single" w:sz="4" w:space="0" w:color="auto"/>
              <w:right w:val="single" w:sz="4" w:space="0" w:color="auto"/>
            </w:tcBorders>
            <w:vAlign w:val="center"/>
          </w:tcPr>
          <w:p w14:paraId="5837DD75" w14:textId="77777777" w:rsidR="005E000F" w:rsidRDefault="00000000">
            <w:pPr>
              <w:jc w:val="right"/>
              <w:rPr>
                <w:rFonts w:cs="宋体"/>
                <w:bCs/>
                <w:lang w:eastAsia="en-US"/>
              </w:rPr>
            </w:pPr>
            <w:r>
              <w:rPr>
                <w:rFonts w:cs="宋体" w:hint="eastAsia"/>
                <w:bCs/>
              </w:rPr>
              <w:t>1,850,000,000</w:t>
            </w:r>
          </w:p>
        </w:tc>
        <w:tc>
          <w:tcPr>
            <w:tcW w:w="1544" w:type="dxa"/>
            <w:tcBorders>
              <w:top w:val="single" w:sz="4" w:space="0" w:color="auto"/>
              <w:left w:val="single" w:sz="4" w:space="0" w:color="auto"/>
              <w:bottom w:val="single" w:sz="4" w:space="0" w:color="auto"/>
              <w:right w:val="single" w:sz="4" w:space="0" w:color="auto"/>
            </w:tcBorders>
          </w:tcPr>
          <w:p w14:paraId="7237C0EB" w14:textId="77777777" w:rsidR="005E000F" w:rsidRDefault="00000000">
            <w:pPr>
              <w:jc w:val="right"/>
              <w:rPr>
                <w:rFonts w:cs="宋体"/>
                <w:bCs/>
              </w:rPr>
            </w:pPr>
            <w:r>
              <w:rPr>
                <w:rFonts w:cs="宋体" w:hint="eastAsia"/>
                <w:bCs/>
                <w:color w:val="000000" w:themeColor="text1"/>
              </w:rPr>
              <w:t>0</w:t>
            </w:r>
          </w:p>
        </w:tc>
        <w:tc>
          <w:tcPr>
            <w:tcW w:w="1544" w:type="dxa"/>
            <w:tcBorders>
              <w:top w:val="single" w:sz="4" w:space="0" w:color="auto"/>
              <w:left w:val="single" w:sz="4" w:space="0" w:color="auto"/>
              <w:bottom w:val="single" w:sz="4" w:space="0" w:color="auto"/>
              <w:right w:val="single" w:sz="4" w:space="0" w:color="auto"/>
            </w:tcBorders>
          </w:tcPr>
          <w:p w14:paraId="5FF0FB65" w14:textId="77777777" w:rsidR="005E000F" w:rsidRDefault="00000000">
            <w:pPr>
              <w:jc w:val="right"/>
              <w:rPr>
                <w:rFonts w:cs="宋体"/>
                <w:bCs/>
              </w:rPr>
            </w:pPr>
            <w:r>
              <w:rPr>
                <w:rFonts w:cs="宋体" w:hint="eastAsia"/>
                <w:bCs/>
                <w:color w:val="000000" w:themeColor="text1"/>
              </w:rPr>
              <w:t>0</w:t>
            </w:r>
          </w:p>
        </w:tc>
        <w:tc>
          <w:tcPr>
            <w:tcW w:w="1536" w:type="dxa"/>
            <w:tcBorders>
              <w:top w:val="single" w:sz="4" w:space="0" w:color="auto"/>
              <w:left w:val="single" w:sz="4" w:space="0" w:color="auto"/>
              <w:bottom w:val="single" w:sz="4" w:space="0" w:color="auto"/>
              <w:right w:val="single" w:sz="4" w:space="0" w:color="auto"/>
            </w:tcBorders>
          </w:tcPr>
          <w:p w14:paraId="3AE92DA1" w14:textId="77777777" w:rsidR="005E000F" w:rsidRDefault="00000000">
            <w:pPr>
              <w:jc w:val="right"/>
              <w:rPr>
                <w:rFonts w:cs="宋体"/>
                <w:bCs/>
              </w:rPr>
            </w:pPr>
            <w:r>
              <w:rPr>
                <w:rFonts w:cs="宋体" w:hint="eastAsia"/>
                <w:bCs/>
                <w:color w:val="000000" w:themeColor="text1"/>
              </w:rPr>
              <w:t>0</w:t>
            </w:r>
          </w:p>
        </w:tc>
        <w:tc>
          <w:tcPr>
            <w:tcW w:w="1499" w:type="dxa"/>
            <w:tcBorders>
              <w:top w:val="single" w:sz="4" w:space="0" w:color="auto"/>
              <w:left w:val="single" w:sz="4" w:space="0" w:color="auto"/>
              <w:bottom w:val="single" w:sz="4" w:space="0" w:color="auto"/>
              <w:right w:val="single" w:sz="4" w:space="0" w:color="auto"/>
            </w:tcBorders>
          </w:tcPr>
          <w:p w14:paraId="1E884E76"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tcPr>
          <w:p w14:paraId="6E36B797"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vAlign w:val="center"/>
          </w:tcPr>
          <w:p w14:paraId="442E1AEF" w14:textId="77777777" w:rsidR="005E000F" w:rsidRDefault="00000000">
            <w:pPr>
              <w:jc w:val="right"/>
              <w:rPr>
                <w:rFonts w:cs="宋体"/>
                <w:bCs/>
                <w:lang w:eastAsia="en-US"/>
              </w:rPr>
            </w:pPr>
            <w:r>
              <w:rPr>
                <w:rFonts w:cs="宋体" w:hint="eastAsia"/>
                <w:bCs/>
              </w:rPr>
              <w:t>1,850,000,000</w:t>
            </w:r>
          </w:p>
        </w:tc>
        <w:tc>
          <w:tcPr>
            <w:tcW w:w="1548" w:type="dxa"/>
            <w:tcBorders>
              <w:top w:val="single" w:sz="4" w:space="0" w:color="auto"/>
              <w:left w:val="single" w:sz="4" w:space="0" w:color="auto"/>
              <w:bottom w:val="single" w:sz="4" w:space="0" w:color="auto"/>
              <w:right w:val="single" w:sz="4" w:space="0" w:color="auto"/>
            </w:tcBorders>
          </w:tcPr>
          <w:p w14:paraId="37CC1F10" w14:textId="77777777" w:rsidR="005E000F" w:rsidRDefault="00000000">
            <w:pPr>
              <w:jc w:val="right"/>
              <w:rPr>
                <w:rFonts w:cs="宋体"/>
                <w:bCs/>
              </w:rPr>
            </w:pPr>
            <w:r>
              <w:rPr>
                <w:rFonts w:cs="宋体" w:hint="eastAsia"/>
                <w:bCs/>
                <w:color w:val="000000" w:themeColor="text1"/>
              </w:rPr>
              <w:t>0</w:t>
            </w:r>
          </w:p>
        </w:tc>
      </w:tr>
      <w:tr w:rsidR="005E000F" w14:paraId="4B03A5E3" w14:textId="77777777">
        <w:tc>
          <w:tcPr>
            <w:tcW w:w="1713" w:type="dxa"/>
            <w:tcBorders>
              <w:top w:val="single" w:sz="4" w:space="0" w:color="auto"/>
              <w:left w:val="single" w:sz="4" w:space="0" w:color="auto"/>
              <w:bottom w:val="single" w:sz="4" w:space="0" w:color="auto"/>
              <w:right w:val="single" w:sz="4" w:space="0" w:color="auto"/>
            </w:tcBorders>
            <w:vAlign w:val="center"/>
          </w:tcPr>
          <w:p w14:paraId="53E3CCDA" w14:textId="77777777" w:rsidR="005E000F" w:rsidRDefault="00000000">
            <w:pPr>
              <w:rPr>
                <w:rFonts w:cs="宋体"/>
                <w:bCs/>
                <w:lang w:eastAsia="en-US"/>
              </w:rPr>
            </w:pPr>
            <w:proofErr w:type="gramStart"/>
            <w:r>
              <w:rPr>
                <w:rFonts w:cs="宋体" w:hint="eastAsia"/>
                <w:bCs/>
              </w:rPr>
              <w:t>太兴</w:t>
            </w:r>
            <w:proofErr w:type="gramEnd"/>
            <w:r>
              <w:rPr>
                <w:rFonts w:cs="宋体" w:hint="eastAsia"/>
                <w:bCs/>
              </w:rPr>
              <w:t>公司</w:t>
            </w:r>
          </w:p>
        </w:tc>
        <w:tc>
          <w:tcPr>
            <w:tcW w:w="1541" w:type="dxa"/>
            <w:tcBorders>
              <w:top w:val="single" w:sz="4" w:space="0" w:color="auto"/>
              <w:left w:val="single" w:sz="4" w:space="0" w:color="auto"/>
              <w:bottom w:val="single" w:sz="4" w:space="0" w:color="auto"/>
              <w:right w:val="single" w:sz="4" w:space="0" w:color="auto"/>
            </w:tcBorders>
            <w:vAlign w:val="center"/>
          </w:tcPr>
          <w:p w14:paraId="6536A168" w14:textId="77777777" w:rsidR="005E000F" w:rsidRDefault="00000000">
            <w:pPr>
              <w:jc w:val="right"/>
              <w:rPr>
                <w:rFonts w:cs="宋体"/>
                <w:bCs/>
                <w:lang w:eastAsia="en-US"/>
              </w:rPr>
            </w:pPr>
            <w:r>
              <w:rPr>
                <w:rFonts w:cs="宋体" w:hint="eastAsia"/>
                <w:bCs/>
              </w:rPr>
              <w:t>3,753,654,496</w:t>
            </w:r>
          </w:p>
        </w:tc>
        <w:tc>
          <w:tcPr>
            <w:tcW w:w="1544" w:type="dxa"/>
            <w:tcBorders>
              <w:top w:val="single" w:sz="4" w:space="0" w:color="auto"/>
              <w:left w:val="single" w:sz="4" w:space="0" w:color="auto"/>
              <w:bottom w:val="single" w:sz="4" w:space="0" w:color="auto"/>
              <w:right w:val="single" w:sz="4" w:space="0" w:color="auto"/>
            </w:tcBorders>
          </w:tcPr>
          <w:p w14:paraId="7BDB074B" w14:textId="77777777" w:rsidR="005E000F" w:rsidRDefault="00000000">
            <w:pPr>
              <w:jc w:val="right"/>
              <w:rPr>
                <w:rFonts w:cs="宋体"/>
                <w:bCs/>
              </w:rPr>
            </w:pPr>
            <w:r>
              <w:rPr>
                <w:rFonts w:cs="宋体" w:hint="eastAsia"/>
                <w:bCs/>
                <w:color w:val="000000" w:themeColor="text1"/>
              </w:rPr>
              <w:t>0</w:t>
            </w:r>
          </w:p>
        </w:tc>
        <w:tc>
          <w:tcPr>
            <w:tcW w:w="1544" w:type="dxa"/>
            <w:tcBorders>
              <w:top w:val="single" w:sz="4" w:space="0" w:color="auto"/>
              <w:left w:val="single" w:sz="4" w:space="0" w:color="auto"/>
              <w:bottom w:val="single" w:sz="4" w:space="0" w:color="auto"/>
              <w:right w:val="single" w:sz="4" w:space="0" w:color="auto"/>
            </w:tcBorders>
          </w:tcPr>
          <w:p w14:paraId="1CB3B365" w14:textId="77777777" w:rsidR="005E000F" w:rsidRDefault="00000000">
            <w:pPr>
              <w:jc w:val="right"/>
              <w:rPr>
                <w:rFonts w:cs="宋体"/>
                <w:bCs/>
              </w:rPr>
            </w:pPr>
            <w:r>
              <w:rPr>
                <w:rFonts w:cs="宋体" w:hint="eastAsia"/>
                <w:bCs/>
                <w:color w:val="000000" w:themeColor="text1"/>
              </w:rPr>
              <w:t>0</w:t>
            </w:r>
          </w:p>
        </w:tc>
        <w:tc>
          <w:tcPr>
            <w:tcW w:w="1536" w:type="dxa"/>
            <w:tcBorders>
              <w:top w:val="single" w:sz="4" w:space="0" w:color="auto"/>
              <w:left w:val="single" w:sz="4" w:space="0" w:color="auto"/>
              <w:bottom w:val="single" w:sz="4" w:space="0" w:color="auto"/>
              <w:right w:val="single" w:sz="4" w:space="0" w:color="auto"/>
            </w:tcBorders>
          </w:tcPr>
          <w:p w14:paraId="34F5F9F1" w14:textId="77777777" w:rsidR="005E000F" w:rsidRDefault="00000000">
            <w:pPr>
              <w:jc w:val="right"/>
              <w:rPr>
                <w:rFonts w:cs="宋体"/>
                <w:bCs/>
              </w:rPr>
            </w:pPr>
            <w:r>
              <w:rPr>
                <w:rFonts w:cs="宋体" w:hint="eastAsia"/>
                <w:bCs/>
                <w:color w:val="000000" w:themeColor="text1"/>
              </w:rPr>
              <w:t>0</w:t>
            </w:r>
          </w:p>
        </w:tc>
        <w:tc>
          <w:tcPr>
            <w:tcW w:w="1499" w:type="dxa"/>
            <w:tcBorders>
              <w:top w:val="single" w:sz="4" w:space="0" w:color="auto"/>
              <w:left w:val="single" w:sz="4" w:space="0" w:color="auto"/>
              <w:bottom w:val="single" w:sz="4" w:space="0" w:color="auto"/>
              <w:right w:val="single" w:sz="4" w:space="0" w:color="auto"/>
            </w:tcBorders>
          </w:tcPr>
          <w:p w14:paraId="5B825AA1"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tcPr>
          <w:p w14:paraId="32DBC8A7"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vAlign w:val="center"/>
          </w:tcPr>
          <w:p w14:paraId="34AD734E" w14:textId="77777777" w:rsidR="005E000F" w:rsidRDefault="00000000">
            <w:pPr>
              <w:jc w:val="right"/>
              <w:rPr>
                <w:rFonts w:cs="宋体"/>
                <w:bCs/>
                <w:lang w:eastAsia="en-US"/>
              </w:rPr>
            </w:pPr>
            <w:r>
              <w:rPr>
                <w:rFonts w:cs="宋体" w:hint="eastAsia"/>
                <w:bCs/>
              </w:rPr>
              <w:t>3,753,654,496</w:t>
            </w:r>
          </w:p>
        </w:tc>
        <w:tc>
          <w:tcPr>
            <w:tcW w:w="1548" w:type="dxa"/>
            <w:tcBorders>
              <w:top w:val="single" w:sz="4" w:space="0" w:color="auto"/>
              <w:left w:val="single" w:sz="4" w:space="0" w:color="auto"/>
              <w:bottom w:val="single" w:sz="4" w:space="0" w:color="auto"/>
              <w:right w:val="single" w:sz="4" w:space="0" w:color="auto"/>
            </w:tcBorders>
          </w:tcPr>
          <w:p w14:paraId="7D2D397F" w14:textId="77777777" w:rsidR="005E000F" w:rsidRDefault="00000000">
            <w:pPr>
              <w:jc w:val="right"/>
              <w:rPr>
                <w:rFonts w:cs="宋体"/>
                <w:bCs/>
              </w:rPr>
            </w:pPr>
            <w:r>
              <w:rPr>
                <w:rFonts w:cs="宋体" w:hint="eastAsia"/>
                <w:bCs/>
                <w:color w:val="000000" w:themeColor="text1"/>
              </w:rPr>
              <w:t>0</w:t>
            </w:r>
          </w:p>
        </w:tc>
      </w:tr>
      <w:tr w:rsidR="005E000F" w14:paraId="247D4EA0" w14:textId="77777777">
        <w:tc>
          <w:tcPr>
            <w:tcW w:w="1713" w:type="dxa"/>
            <w:tcBorders>
              <w:top w:val="single" w:sz="4" w:space="0" w:color="auto"/>
              <w:left w:val="single" w:sz="4" w:space="0" w:color="auto"/>
              <w:bottom w:val="single" w:sz="4" w:space="0" w:color="auto"/>
              <w:right w:val="single" w:sz="4" w:space="0" w:color="auto"/>
            </w:tcBorders>
            <w:vAlign w:val="center"/>
          </w:tcPr>
          <w:p w14:paraId="65FFCCE7" w14:textId="77777777" w:rsidR="005E000F" w:rsidRDefault="00000000">
            <w:pPr>
              <w:rPr>
                <w:rFonts w:cs="宋体"/>
                <w:bCs/>
                <w:lang w:eastAsia="en-US"/>
              </w:rPr>
            </w:pPr>
            <w:r>
              <w:rPr>
                <w:rFonts w:cs="宋体" w:hint="eastAsia"/>
                <w:bCs/>
              </w:rPr>
              <w:t>中鼎公司</w:t>
            </w:r>
          </w:p>
        </w:tc>
        <w:tc>
          <w:tcPr>
            <w:tcW w:w="1541" w:type="dxa"/>
            <w:tcBorders>
              <w:top w:val="single" w:sz="4" w:space="0" w:color="auto"/>
              <w:left w:val="single" w:sz="4" w:space="0" w:color="auto"/>
              <w:bottom w:val="single" w:sz="4" w:space="0" w:color="auto"/>
              <w:right w:val="single" w:sz="4" w:space="0" w:color="auto"/>
            </w:tcBorders>
            <w:vAlign w:val="center"/>
          </w:tcPr>
          <w:p w14:paraId="2164B926" w14:textId="77777777" w:rsidR="005E000F" w:rsidRDefault="00000000">
            <w:pPr>
              <w:jc w:val="right"/>
              <w:rPr>
                <w:rFonts w:cs="宋体"/>
                <w:bCs/>
                <w:lang w:eastAsia="en-US"/>
              </w:rPr>
            </w:pPr>
            <w:r>
              <w:rPr>
                <w:rFonts w:cs="宋体" w:hint="eastAsia"/>
                <w:bCs/>
              </w:rPr>
              <w:t>1,750,100,000</w:t>
            </w:r>
          </w:p>
        </w:tc>
        <w:tc>
          <w:tcPr>
            <w:tcW w:w="1544" w:type="dxa"/>
            <w:tcBorders>
              <w:top w:val="single" w:sz="4" w:space="0" w:color="auto"/>
              <w:left w:val="single" w:sz="4" w:space="0" w:color="auto"/>
              <w:bottom w:val="single" w:sz="4" w:space="0" w:color="auto"/>
              <w:right w:val="single" w:sz="4" w:space="0" w:color="auto"/>
            </w:tcBorders>
          </w:tcPr>
          <w:p w14:paraId="301FAA9E" w14:textId="77777777" w:rsidR="005E000F" w:rsidRDefault="00000000">
            <w:pPr>
              <w:jc w:val="right"/>
              <w:rPr>
                <w:rFonts w:cs="宋体"/>
                <w:bCs/>
              </w:rPr>
            </w:pPr>
            <w:r>
              <w:rPr>
                <w:rFonts w:cs="宋体" w:hint="eastAsia"/>
                <w:bCs/>
                <w:color w:val="000000" w:themeColor="text1"/>
              </w:rPr>
              <w:t>0</w:t>
            </w:r>
          </w:p>
        </w:tc>
        <w:tc>
          <w:tcPr>
            <w:tcW w:w="1544" w:type="dxa"/>
            <w:tcBorders>
              <w:top w:val="single" w:sz="4" w:space="0" w:color="auto"/>
              <w:left w:val="single" w:sz="4" w:space="0" w:color="auto"/>
              <w:bottom w:val="single" w:sz="4" w:space="0" w:color="auto"/>
              <w:right w:val="single" w:sz="4" w:space="0" w:color="auto"/>
            </w:tcBorders>
          </w:tcPr>
          <w:p w14:paraId="49E131A3" w14:textId="77777777" w:rsidR="005E000F" w:rsidRDefault="00000000">
            <w:pPr>
              <w:jc w:val="right"/>
              <w:rPr>
                <w:rFonts w:cs="宋体"/>
                <w:bCs/>
              </w:rPr>
            </w:pPr>
            <w:r>
              <w:rPr>
                <w:rFonts w:cs="宋体" w:hint="eastAsia"/>
                <w:bCs/>
                <w:color w:val="000000" w:themeColor="text1"/>
              </w:rPr>
              <w:t>0</w:t>
            </w:r>
          </w:p>
        </w:tc>
        <w:tc>
          <w:tcPr>
            <w:tcW w:w="1536" w:type="dxa"/>
            <w:tcBorders>
              <w:top w:val="single" w:sz="4" w:space="0" w:color="auto"/>
              <w:left w:val="single" w:sz="4" w:space="0" w:color="auto"/>
              <w:bottom w:val="single" w:sz="4" w:space="0" w:color="auto"/>
              <w:right w:val="single" w:sz="4" w:space="0" w:color="auto"/>
            </w:tcBorders>
          </w:tcPr>
          <w:p w14:paraId="5F3A0391" w14:textId="77777777" w:rsidR="005E000F" w:rsidRDefault="00000000">
            <w:pPr>
              <w:jc w:val="right"/>
              <w:rPr>
                <w:rFonts w:cs="宋体"/>
                <w:bCs/>
              </w:rPr>
            </w:pPr>
            <w:r>
              <w:rPr>
                <w:rFonts w:cs="宋体" w:hint="eastAsia"/>
                <w:bCs/>
                <w:color w:val="000000" w:themeColor="text1"/>
              </w:rPr>
              <w:t>0</w:t>
            </w:r>
          </w:p>
        </w:tc>
        <w:tc>
          <w:tcPr>
            <w:tcW w:w="1499" w:type="dxa"/>
            <w:tcBorders>
              <w:top w:val="single" w:sz="4" w:space="0" w:color="auto"/>
              <w:left w:val="single" w:sz="4" w:space="0" w:color="auto"/>
              <w:bottom w:val="single" w:sz="4" w:space="0" w:color="auto"/>
              <w:right w:val="single" w:sz="4" w:space="0" w:color="auto"/>
            </w:tcBorders>
          </w:tcPr>
          <w:p w14:paraId="4FA7CB35"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tcPr>
          <w:p w14:paraId="732BA1EB"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vAlign w:val="center"/>
          </w:tcPr>
          <w:p w14:paraId="6BEFA343" w14:textId="77777777" w:rsidR="005E000F" w:rsidRDefault="00000000">
            <w:pPr>
              <w:jc w:val="right"/>
              <w:rPr>
                <w:rFonts w:cs="宋体"/>
                <w:bCs/>
                <w:lang w:eastAsia="en-US"/>
              </w:rPr>
            </w:pPr>
            <w:r>
              <w:rPr>
                <w:rFonts w:cs="宋体" w:hint="eastAsia"/>
                <w:bCs/>
              </w:rPr>
              <w:t>1,750,100,000</w:t>
            </w:r>
          </w:p>
        </w:tc>
        <w:tc>
          <w:tcPr>
            <w:tcW w:w="1548" w:type="dxa"/>
            <w:tcBorders>
              <w:top w:val="single" w:sz="4" w:space="0" w:color="auto"/>
              <w:left w:val="single" w:sz="4" w:space="0" w:color="auto"/>
              <w:bottom w:val="single" w:sz="4" w:space="0" w:color="auto"/>
              <w:right w:val="single" w:sz="4" w:space="0" w:color="auto"/>
            </w:tcBorders>
          </w:tcPr>
          <w:p w14:paraId="63573AF2" w14:textId="77777777" w:rsidR="005E000F" w:rsidRDefault="00000000">
            <w:pPr>
              <w:jc w:val="right"/>
              <w:rPr>
                <w:rFonts w:cs="宋体"/>
                <w:bCs/>
              </w:rPr>
            </w:pPr>
            <w:r>
              <w:rPr>
                <w:rFonts w:cs="宋体" w:hint="eastAsia"/>
                <w:bCs/>
                <w:color w:val="000000" w:themeColor="text1"/>
              </w:rPr>
              <w:t>0</w:t>
            </w:r>
          </w:p>
        </w:tc>
      </w:tr>
      <w:tr w:rsidR="005E000F" w14:paraId="62339FEE" w14:textId="77777777">
        <w:tc>
          <w:tcPr>
            <w:tcW w:w="1713" w:type="dxa"/>
            <w:tcBorders>
              <w:top w:val="single" w:sz="4" w:space="0" w:color="auto"/>
              <w:left w:val="single" w:sz="4" w:space="0" w:color="auto"/>
              <w:bottom w:val="single" w:sz="4" w:space="0" w:color="auto"/>
              <w:right w:val="single" w:sz="4" w:space="0" w:color="auto"/>
            </w:tcBorders>
            <w:vAlign w:val="center"/>
          </w:tcPr>
          <w:p w14:paraId="763E1B80" w14:textId="77777777" w:rsidR="005E000F" w:rsidRDefault="00000000">
            <w:pPr>
              <w:rPr>
                <w:rFonts w:cs="宋体"/>
                <w:bCs/>
              </w:rPr>
            </w:pPr>
            <w:r>
              <w:rPr>
                <w:rFonts w:cs="宋体" w:hint="eastAsia"/>
                <w:bCs/>
              </w:rPr>
              <w:t>西南环公司</w:t>
            </w:r>
          </w:p>
        </w:tc>
        <w:tc>
          <w:tcPr>
            <w:tcW w:w="1541" w:type="dxa"/>
            <w:tcBorders>
              <w:top w:val="single" w:sz="4" w:space="0" w:color="auto"/>
              <w:left w:val="single" w:sz="4" w:space="0" w:color="auto"/>
              <w:bottom w:val="single" w:sz="4" w:space="0" w:color="auto"/>
              <w:right w:val="single" w:sz="4" w:space="0" w:color="auto"/>
            </w:tcBorders>
            <w:vAlign w:val="center"/>
          </w:tcPr>
          <w:p w14:paraId="47B1F35D" w14:textId="77777777" w:rsidR="005E000F" w:rsidRDefault="00000000">
            <w:pPr>
              <w:jc w:val="right"/>
              <w:rPr>
                <w:rFonts w:cs="宋体"/>
                <w:bCs/>
                <w:lang w:eastAsia="en-US"/>
              </w:rPr>
            </w:pPr>
            <w:r>
              <w:rPr>
                <w:rFonts w:cs="宋体" w:hint="eastAsia"/>
                <w:bCs/>
              </w:rPr>
              <w:t>3,271,833,516</w:t>
            </w:r>
          </w:p>
        </w:tc>
        <w:tc>
          <w:tcPr>
            <w:tcW w:w="1544" w:type="dxa"/>
            <w:tcBorders>
              <w:top w:val="single" w:sz="4" w:space="0" w:color="auto"/>
              <w:left w:val="single" w:sz="4" w:space="0" w:color="auto"/>
              <w:bottom w:val="single" w:sz="4" w:space="0" w:color="auto"/>
              <w:right w:val="single" w:sz="4" w:space="0" w:color="auto"/>
            </w:tcBorders>
          </w:tcPr>
          <w:p w14:paraId="10D205FD" w14:textId="77777777" w:rsidR="005E000F" w:rsidRDefault="00000000">
            <w:pPr>
              <w:jc w:val="right"/>
              <w:rPr>
                <w:rFonts w:cs="宋体"/>
                <w:bCs/>
              </w:rPr>
            </w:pPr>
            <w:r>
              <w:rPr>
                <w:rFonts w:cs="宋体" w:hint="eastAsia"/>
                <w:bCs/>
                <w:color w:val="000000" w:themeColor="text1"/>
              </w:rPr>
              <w:t>0</w:t>
            </w:r>
          </w:p>
        </w:tc>
        <w:tc>
          <w:tcPr>
            <w:tcW w:w="1544" w:type="dxa"/>
            <w:tcBorders>
              <w:top w:val="single" w:sz="4" w:space="0" w:color="auto"/>
              <w:left w:val="single" w:sz="4" w:space="0" w:color="auto"/>
              <w:bottom w:val="single" w:sz="4" w:space="0" w:color="auto"/>
              <w:right w:val="single" w:sz="4" w:space="0" w:color="auto"/>
            </w:tcBorders>
          </w:tcPr>
          <w:p w14:paraId="643C6E29" w14:textId="77777777" w:rsidR="005E000F" w:rsidRDefault="00000000">
            <w:pPr>
              <w:jc w:val="right"/>
              <w:rPr>
                <w:rFonts w:cs="宋体"/>
                <w:bCs/>
              </w:rPr>
            </w:pPr>
            <w:r>
              <w:rPr>
                <w:rFonts w:cs="宋体" w:hint="eastAsia"/>
                <w:bCs/>
                <w:color w:val="000000" w:themeColor="text1"/>
              </w:rPr>
              <w:t>0</w:t>
            </w:r>
          </w:p>
        </w:tc>
        <w:tc>
          <w:tcPr>
            <w:tcW w:w="1536" w:type="dxa"/>
            <w:tcBorders>
              <w:top w:val="single" w:sz="4" w:space="0" w:color="auto"/>
              <w:left w:val="single" w:sz="4" w:space="0" w:color="auto"/>
              <w:bottom w:val="single" w:sz="4" w:space="0" w:color="auto"/>
              <w:right w:val="single" w:sz="4" w:space="0" w:color="auto"/>
            </w:tcBorders>
          </w:tcPr>
          <w:p w14:paraId="7D5AFE05" w14:textId="77777777" w:rsidR="005E000F" w:rsidRDefault="00000000">
            <w:pPr>
              <w:jc w:val="right"/>
              <w:rPr>
                <w:rFonts w:cs="宋体"/>
                <w:bCs/>
              </w:rPr>
            </w:pPr>
            <w:r>
              <w:rPr>
                <w:rFonts w:cs="宋体" w:hint="eastAsia"/>
                <w:bCs/>
                <w:color w:val="000000" w:themeColor="text1"/>
              </w:rPr>
              <w:t>0</w:t>
            </w:r>
          </w:p>
        </w:tc>
        <w:tc>
          <w:tcPr>
            <w:tcW w:w="1499" w:type="dxa"/>
            <w:tcBorders>
              <w:top w:val="single" w:sz="4" w:space="0" w:color="auto"/>
              <w:left w:val="single" w:sz="4" w:space="0" w:color="auto"/>
              <w:bottom w:val="single" w:sz="4" w:space="0" w:color="auto"/>
              <w:right w:val="single" w:sz="4" w:space="0" w:color="auto"/>
            </w:tcBorders>
          </w:tcPr>
          <w:p w14:paraId="26D011EF"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tcPr>
          <w:p w14:paraId="174CCB14"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vAlign w:val="center"/>
          </w:tcPr>
          <w:p w14:paraId="78177C27" w14:textId="77777777" w:rsidR="005E000F" w:rsidRDefault="00000000">
            <w:pPr>
              <w:jc w:val="right"/>
              <w:rPr>
                <w:rFonts w:cs="宋体"/>
                <w:bCs/>
                <w:lang w:eastAsia="en-US"/>
              </w:rPr>
            </w:pPr>
            <w:r>
              <w:rPr>
                <w:rFonts w:cs="宋体" w:hint="eastAsia"/>
                <w:bCs/>
              </w:rPr>
              <w:t>3,271,833,516</w:t>
            </w:r>
          </w:p>
        </w:tc>
        <w:tc>
          <w:tcPr>
            <w:tcW w:w="1548" w:type="dxa"/>
            <w:tcBorders>
              <w:top w:val="single" w:sz="4" w:space="0" w:color="auto"/>
              <w:left w:val="single" w:sz="4" w:space="0" w:color="auto"/>
              <w:bottom w:val="single" w:sz="4" w:space="0" w:color="auto"/>
              <w:right w:val="single" w:sz="4" w:space="0" w:color="auto"/>
            </w:tcBorders>
          </w:tcPr>
          <w:p w14:paraId="3802E5B8" w14:textId="77777777" w:rsidR="005E000F" w:rsidRDefault="00000000">
            <w:pPr>
              <w:jc w:val="right"/>
              <w:rPr>
                <w:rFonts w:cs="宋体"/>
                <w:bCs/>
              </w:rPr>
            </w:pPr>
            <w:r>
              <w:rPr>
                <w:rFonts w:cs="宋体" w:hint="eastAsia"/>
                <w:bCs/>
                <w:color w:val="000000" w:themeColor="text1"/>
              </w:rPr>
              <w:t>0</w:t>
            </w:r>
          </w:p>
        </w:tc>
      </w:tr>
      <w:tr w:rsidR="005E000F" w14:paraId="41EA4C02" w14:textId="77777777">
        <w:tc>
          <w:tcPr>
            <w:tcW w:w="1713" w:type="dxa"/>
            <w:tcBorders>
              <w:top w:val="single" w:sz="4" w:space="0" w:color="auto"/>
              <w:left w:val="single" w:sz="4" w:space="0" w:color="auto"/>
              <w:bottom w:val="single" w:sz="4" w:space="0" w:color="auto"/>
              <w:right w:val="single" w:sz="4" w:space="0" w:color="auto"/>
            </w:tcBorders>
            <w:vAlign w:val="center"/>
          </w:tcPr>
          <w:p w14:paraId="718B505D" w14:textId="77777777" w:rsidR="005E000F" w:rsidRDefault="00000000">
            <w:pPr>
              <w:rPr>
                <w:rFonts w:cs="宋体"/>
                <w:bCs/>
              </w:rPr>
            </w:pPr>
            <w:r>
              <w:rPr>
                <w:rFonts w:cs="宋体" w:hint="eastAsia"/>
                <w:bCs/>
              </w:rPr>
              <w:t>大</w:t>
            </w:r>
            <w:proofErr w:type="gramStart"/>
            <w:r>
              <w:rPr>
                <w:rFonts w:cs="宋体" w:hint="eastAsia"/>
                <w:bCs/>
              </w:rPr>
              <w:t>秦经贸</w:t>
            </w:r>
            <w:proofErr w:type="gramEnd"/>
            <w:r>
              <w:rPr>
                <w:rFonts w:cs="宋体" w:hint="eastAsia"/>
                <w:bCs/>
              </w:rPr>
              <w:t>公司</w:t>
            </w:r>
          </w:p>
        </w:tc>
        <w:tc>
          <w:tcPr>
            <w:tcW w:w="1541" w:type="dxa"/>
            <w:tcBorders>
              <w:top w:val="single" w:sz="4" w:space="0" w:color="auto"/>
              <w:left w:val="single" w:sz="4" w:space="0" w:color="auto"/>
              <w:bottom w:val="single" w:sz="4" w:space="0" w:color="auto"/>
              <w:right w:val="single" w:sz="4" w:space="0" w:color="auto"/>
            </w:tcBorders>
            <w:vAlign w:val="center"/>
          </w:tcPr>
          <w:p w14:paraId="0896F700" w14:textId="77777777" w:rsidR="005E000F" w:rsidRDefault="00000000">
            <w:pPr>
              <w:jc w:val="right"/>
              <w:rPr>
                <w:rFonts w:cs="宋体"/>
                <w:bCs/>
                <w:lang w:eastAsia="en-US"/>
              </w:rPr>
            </w:pPr>
            <w:r>
              <w:rPr>
                <w:rFonts w:cs="宋体" w:hint="eastAsia"/>
                <w:bCs/>
              </w:rPr>
              <w:t>128,239,795</w:t>
            </w:r>
          </w:p>
        </w:tc>
        <w:tc>
          <w:tcPr>
            <w:tcW w:w="1544" w:type="dxa"/>
            <w:tcBorders>
              <w:top w:val="single" w:sz="4" w:space="0" w:color="auto"/>
              <w:left w:val="single" w:sz="4" w:space="0" w:color="auto"/>
              <w:bottom w:val="single" w:sz="4" w:space="0" w:color="auto"/>
              <w:right w:val="single" w:sz="4" w:space="0" w:color="auto"/>
            </w:tcBorders>
          </w:tcPr>
          <w:p w14:paraId="228E6E2E" w14:textId="77777777" w:rsidR="005E000F" w:rsidRDefault="00000000">
            <w:pPr>
              <w:jc w:val="right"/>
              <w:rPr>
                <w:rFonts w:cs="宋体"/>
                <w:bCs/>
              </w:rPr>
            </w:pPr>
            <w:r>
              <w:rPr>
                <w:rFonts w:cs="宋体" w:hint="eastAsia"/>
                <w:bCs/>
                <w:color w:val="000000" w:themeColor="text1"/>
              </w:rPr>
              <w:t>0</w:t>
            </w:r>
          </w:p>
        </w:tc>
        <w:tc>
          <w:tcPr>
            <w:tcW w:w="1544" w:type="dxa"/>
            <w:tcBorders>
              <w:top w:val="single" w:sz="4" w:space="0" w:color="auto"/>
              <w:left w:val="single" w:sz="4" w:space="0" w:color="auto"/>
              <w:bottom w:val="single" w:sz="4" w:space="0" w:color="auto"/>
              <w:right w:val="single" w:sz="4" w:space="0" w:color="auto"/>
            </w:tcBorders>
          </w:tcPr>
          <w:p w14:paraId="4D259082" w14:textId="77777777" w:rsidR="005E000F" w:rsidRDefault="00000000">
            <w:pPr>
              <w:jc w:val="right"/>
              <w:rPr>
                <w:rFonts w:cs="宋体"/>
                <w:bCs/>
              </w:rPr>
            </w:pPr>
            <w:r>
              <w:rPr>
                <w:rFonts w:cs="宋体" w:hint="eastAsia"/>
                <w:bCs/>
                <w:color w:val="000000" w:themeColor="text1"/>
              </w:rPr>
              <w:t>0</w:t>
            </w:r>
          </w:p>
        </w:tc>
        <w:tc>
          <w:tcPr>
            <w:tcW w:w="1536" w:type="dxa"/>
            <w:tcBorders>
              <w:top w:val="single" w:sz="4" w:space="0" w:color="auto"/>
              <w:left w:val="single" w:sz="4" w:space="0" w:color="auto"/>
              <w:bottom w:val="single" w:sz="4" w:space="0" w:color="auto"/>
              <w:right w:val="single" w:sz="4" w:space="0" w:color="auto"/>
            </w:tcBorders>
          </w:tcPr>
          <w:p w14:paraId="3525B51A" w14:textId="77777777" w:rsidR="005E000F" w:rsidRDefault="00000000">
            <w:pPr>
              <w:jc w:val="right"/>
              <w:rPr>
                <w:rFonts w:cs="宋体"/>
                <w:bCs/>
              </w:rPr>
            </w:pPr>
            <w:r>
              <w:rPr>
                <w:rFonts w:cs="宋体" w:hint="eastAsia"/>
                <w:bCs/>
                <w:color w:val="000000" w:themeColor="text1"/>
              </w:rPr>
              <w:t>0</w:t>
            </w:r>
          </w:p>
        </w:tc>
        <w:tc>
          <w:tcPr>
            <w:tcW w:w="1499" w:type="dxa"/>
            <w:tcBorders>
              <w:top w:val="single" w:sz="4" w:space="0" w:color="auto"/>
              <w:left w:val="single" w:sz="4" w:space="0" w:color="auto"/>
              <w:bottom w:val="single" w:sz="4" w:space="0" w:color="auto"/>
              <w:right w:val="single" w:sz="4" w:space="0" w:color="auto"/>
            </w:tcBorders>
          </w:tcPr>
          <w:p w14:paraId="02A1732D"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tcPr>
          <w:p w14:paraId="06CC38D4"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vAlign w:val="center"/>
          </w:tcPr>
          <w:p w14:paraId="63ACC853" w14:textId="77777777" w:rsidR="005E000F" w:rsidRDefault="00000000">
            <w:pPr>
              <w:jc w:val="right"/>
              <w:rPr>
                <w:rFonts w:cs="宋体"/>
                <w:bCs/>
                <w:lang w:eastAsia="en-US"/>
              </w:rPr>
            </w:pPr>
            <w:r>
              <w:rPr>
                <w:rFonts w:cs="宋体" w:hint="eastAsia"/>
                <w:bCs/>
              </w:rPr>
              <w:t>128,239,795</w:t>
            </w:r>
          </w:p>
        </w:tc>
        <w:tc>
          <w:tcPr>
            <w:tcW w:w="1548" w:type="dxa"/>
            <w:tcBorders>
              <w:top w:val="single" w:sz="4" w:space="0" w:color="auto"/>
              <w:left w:val="single" w:sz="4" w:space="0" w:color="auto"/>
              <w:bottom w:val="single" w:sz="4" w:space="0" w:color="auto"/>
              <w:right w:val="single" w:sz="4" w:space="0" w:color="auto"/>
            </w:tcBorders>
          </w:tcPr>
          <w:p w14:paraId="768E0888" w14:textId="77777777" w:rsidR="005E000F" w:rsidRDefault="00000000">
            <w:pPr>
              <w:jc w:val="right"/>
              <w:rPr>
                <w:rFonts w:cs="宋体"/>
                <w:bCs/>
              </w:rPr>
            </w:pPr>
            <w:r>
              <w:rPr>
                <w:rFonts w:cs="宋体" w:hint="eastAsia"/>
                <w:bCs/>
                <w:color w:val="000000" w:themeColor="text1"/>
              </w:rPr>
              <w:t>0</w:t>
            </w:r>
          </w:p>
        </w:tc>
      </w:tr>
      <w:tr w:rsidR="005E000F" w14:paraId="0C817C7F" w14:textId="77777777">
        <w:tc>
          <w:tcPr>
            <w:tcW w:w="608" w:type="pct"/>
            <w:tcBorders>
              <w:top w:val="single" w:sz="4" w:space="0" w:color="auto"/>
              <w:left w:val="single" w:sz="4" w:space="0" w:color="auto"/>
              <w:bottom w:val="single" w:sz="4" w:space="0" w:color="auto"/>
              <w:right w:val="single" w:sz="4" w:space="0" w:color="auto"/>
            </w:tcBorders>
            <w:vAlign w:val="center"/>
          </w:tcPr>
          <w:p w14:paraId="5472B347" w14:textId="77777777" w:rsidR="005E000F" w:rsidRDefault="00000000">
            <w:pPr>
              <w:jc w:val="center"/>
              <w:rPr>
                <w:rFonts w:cs="宋体"/>
                <w:bCs/>
              </w:rPr>
            </w:pPr>
            <w:r>
              <w:rPr>
                <w:rFonts w:cs="宋体" w:hint="eastAsia"/>
                <w:bCs/>
              </w:rPr>
              <w:t>合计</w:t>
            </w:r>
          </w:p>
        </w:tc>
        <w:tc>
          <w:tcPr>
            <w:tcW w:w="547" w:type="pct"/>
            <w:tcBorders>
              <w:top w:val="single" w:sz="4" w:space="0" w:color="auto"/>
              <w:left w:val="single" w:sz="4" w:space="0" w:color="auto"/>
              <w:bottom w:val="single" w:sz="4" w:space="0" w:color="auto"/>
              <w:right w:val="single" w:sz="4" w:space="0" w:color="auto"/>
            </w:tcBorders>
          </w:tcPr>
          <w:p w14:paraId="4F54A0BB" w14:textId="77777777" w:rsidR="005E000F" w:rsidRDefault="00000000">
            <w:pPr>
              <w:jc w:val="right"/>
              <w:rPr>
                <w:rFonts w:cs="宋体"/>
                <w:bCs/>
                <w:lang w:eastAsia="en-US"/>
              </w:rPr>
            </w:pPr>
            <w:r>
              <w:rPr>
                <w:rFonts w:cs="宋体" w:hint="eastAsia"/>
                <w:bCs/>
              </w:rPr>
              <w:t>12,312,255,451</w:t>
            </w:r>
          </w:p>
        </w:tc>
        <w:tc>
          <w:tcPr>
            <w:tcW w:w="1544" w:type="dxa"/>
            <w:tcBorders>
              <w:top w:val="single" w:sz="4" w:space="0" w:color="auto"/>
              <w:left w:val="single" w:sz="4" w:space="0" w:color="auto"/>
              <w:bottom w:val="single" w:sz="4" w:space="0" w:color="auto"/>
              <w:right w:val="single" w:sz="4" w:space="0" w:color="auto"/>
            </w:tcBorders>
          </w:tcPr>
          <w:p w14:paraId="7CA6FC06" w14:textId="77777777" w:rsidR="005E000F" w:rsidRDefault="00000000">
            <w:pPr>
              <w:jc w:val="right"/>
              <w:rPr>
                <w:rFonts w:cs="宋体"/>
                <w:bCs/>
              </w:rPr>
            </w:pPr>
            <w:r>
              <w:rPr>
                <w:rFonts w:cs="宋体" w:hint="eastAsia"/>
                <w:bCs/>
                <w:color w:val="000000" w:themeColor="text1"/>
              </w:rPr>
              <w:t>0</w:t>
            </w:r>
          </w:p>
        </w:tc>
        <w:tc>
          <w:tcPr>
            <w:tcW w:w="1544" w:type="dxa"/>
            <w:tcBorders>
              <w:top w:val="single" w:sz="4" w:space="0" w:color="auto"/>
              <w:left w:val="single" w:sz="4" w:space="0" w:color="auto"/>
              <w:bottom w:val="single" w:sz="4" w:space="0" w:color="auto"/>
              <w:right w:val="single" w:sz="4" w:space="0" w:color="auto"/>
            </w:tcBorders>
          </w:tcPr>
          <w:p w14:paraId="2D1F6712" w14:textId="77777777" w:rsidR="005E000F" w:rsidRDefault="00000000">
            <w:pPr>
              <w:jc w:val="right"/>
              <w:rPr>
                <w:rFonts w:cs="宋体"/>
                <w:bCs/>
              </w:rPr>
            </w:pPr>
            <w:r>
              <w:rPr>
                <w:rFonts w:cs="宋体" w:hint="eastAsia"/>
                <w:bCs/>
                <w:color w:val="000000" w:themeColor="text1"/>
              </w:rPr>
              <w:t>0</w:t>
            </w:r>
          </w:p>
        </w:tc>
        <w:tc>
          <w:tcPr>
            <w:tcW w:w="1536" w:type="dxa"/>
            <w:tcBorders>
              <w:top w:val="single" w:sz="4" w:space="0" w:color="auto"/>
              <w:left w:val="single" w:sz="4" w:space="0" w:color="auto"/>
              <w:bottom w:val="single" w:sz="4" w:space="0" w:color="auto"/>
              <w:right w:val="single" w:sz="4" w:space="0" w:color="auto"/>
            </w:tcBorders>
          </w:tcPr>
          <w:p w14:paraId="28C1DECE" w14:textId="77777777" w:rsidR="005E000F" w:rsidRDefault="00000000">
            <w:pPr>
              <w:jc w:val="right"/>
              <w:rPr>
                <w:rFonts w:cs="宋体"/>
                <w:bCs/>
              </w:rPr>
            </w:pPr>
            <w:r>
              <w:rPr>
                <w:rFonts w:cs="宋体" w:hint="eastAsia"/>
                <w:bCs/>
                <w:color w:val="000000" w:themeColor="text1"/>
              </w:rPr>
              <w:t>0</w:t>
            </w:r>
          </w:p>
        </w:tc>
        <w:tc>
          <w:tcPr>
            <w:tcW w:w="1499" w:type="dxa"/>
            <w:tcBorders>
              <w:top w:val="single" w:sz="4" w:space="0" w:color="auto"/>
              <w:left w:val="single" w:sz="4" w:space="0" w:color="auto"/>
              <w:bottom w:val="single" w:sz="4" w:space="0" w:color="auto"/>
              <w:right w:val="single" w:sz="4" w:space="0" w:color="auto"/>
            </w:tcBorders>
          </w:tcPr>
          <w:p w14:paraId="308D4055" w14:textId="77777777" w:rsidR="005E000F" w:rsidRDefault="00000000">
            <w:pPr>
              <w:jc w:val="right"/>
              <w:rPr>
                <w:rFonts w:cs="宋体"/>
                <w:bCs/>
              </w:rPr>
            </w:pPr>
            <w:r>
              <w:rPr>
                <w:rFonts w:cs="宋体" w:hint="eastAsia"/>
                <w:bCs/>
                <w:color w:val="000000" w:themeColor="text1"/>
              </w:rPr>
              <w:t>0</w:t>
            </w:r>
          </w:p>
        </w:tc>
        <w:tc>
          <w:tcPr>
            <w:tcW w:w="1578" w:type="dxa"/>
            <w:tcBorders>
              <w:top w:val="single" w:sz="4" w:space="0" w:color="auto"/>
              <w:left w:val="single" w:sz="4" w:space="0" w:color="auto"/>
              <w:bottom w:val="single" w:sz="4" w:space="0" w:color="auto"/>
              <w:right w:val="single" w:sz="4" w:space="0" w:color="auto"/>
            </w:tcBorders>
          </w:tcPr>
          <w:p w14:paraId="35E9B8E6" w14:textId="77777777" w:rsidR="005E000F" w:rsidRDefault="00000000">
            <w:pPr>
              <w:jc w:val="right"/>
              <w:rPr>
                <w:rFonts w:cs="宋体"/>
                <w:bCs/>
              </w:rPr>
            </w:pPr>
            <w:r>
              <w:rPr>
                <w:rFonts w:cs="宋体" w:hint="eastAsia"/>
                <w:bCs/>
                <w:color w:val="000000" w:themeColor="text1"/>
              </w:rPr>
              <w:t>0</w:t>
            </w:r>
          </w:p>
        </w:tc>
        <w:tc>
          <w:tcPr>
            <w:tcW w:w="560" w:type="pct"/>
            <w:tcBorders>
              <w:top w:val="single" w:sz="4" w:space="0" w:color="auto"/>
              <w:left w:val="single" w:sz="4" w:space="0" w:color="auto"/>
              <w:bottom w:val="single" w:sz="4" w:space="0" w:color="auto"/>
              <w:right w:val="single" w:sz="4" w:space="0" w:color="auto"/>
            </w:tcBorders>
          </w:tcPr>
          <w:p w14:paraId="626715FC" w14:textId="77777777" w:rsidR="005E000F" w:rsidRDefault="00000000">
            <w:pPr>
              <w:jc w:val="right"/>
              <w:rPr>
                <w:rFonts w:cs="宋体"/>
                <w:bCs/>
                <w:lang w:eastAsia="en-US"/>
              </w:rPr>
            </w:pPr>
            <w:r>
              <w:rPr>
                <w:rFonts w:cs="宋体" w:hint="eastAsia"/>
                <w:bCs/>
              </w:rPr>
              <w:t>12,312,255,451</w:t>
            </w:r>
          </w:p>
        </w:tc>
        <w:tc>
          <w:tcPr>
            <w:tcW w:w="1548" w:type="dxa"/>
            <w:tcBorders>
              <w:top w:val="single" w:sz="4" w:space="0" w:color="auto"/>
              <w:left w:val="single" w:sz="4" w:space="0" w:color="auto"/>
              <w:bottom w:val="single" w:sz="4" w:space="0" w:color="auto"/>
              <w:right w:val="single" w:sz="4" w:space="0" w:color="auto"/>
            </w:tcBorders>
          </w:tcPr>
          <w:p w14:paraId="27C35ADC" w14:textId="77777777" w:rsidR="005E000F" w:rsidRDefault="00000000">
            <w:pPr>
              <w:jc w:val="right"/>
              <w:rPr>
                <w:rFonts w:cs="宋体"/>
                <w:bCs/>
              </w:rPr>
            </w:pPr>
            <w:r>
              <w:rPr>
                <w:rFonts w:cs="宋体" w:hint="eastAsia"/>
                <w:bCs/>
                <w:color w:val="000000" w:themeColor="text1"/>
              </w:rPr>
              <w:t>0</w:t>
            </w:r>
          </w:p>
        </w:tc>
      </w:tr>
    </w:tbl>
    <w:p w14:paraId="5E91CE0E" w14:textId="77777777" w:rsidR="005E000F" w:rsidRDefault="005E000F"/>
    <w:bookmarkEnd w:id="462"/>
    <w:p w14:paraId="1A9AD896" w14:textId="77777777" w:rsidR="005E000F" w:rsidRDefault="005E000F"/>
    <w:p w14:paraId="4173C2BE" w14:textId="77777777" w:rsidR="005E000F" w:rsidRDefault="00000000">
      <w:pPr>
        <w:pStyle w:val="4"/>
        <w:numPr>
          <w:ilvl w:val="0"/>
          <w:numId w:val="135"/>
        </w:numPr>
      </w:pPr>
      <w:r>
        <w:rPr>
          <w:rFonts w:hint="eastAsia"/>
        </w:rPr>
        <w:t>对联营、合营企业投资</w:t>
      </w:r>
    </w:p>
    <w:sdt>
      <w:sdtPr>
        <w:alias w:val="是否适用：母公司对联营、合营企业投资[双击切换]"/>
        <w:tag w:val="_GBC_2e4760cb979247e69579530b3868e897"/>
        <w:id w:val="807601629"/>
        <w:placeholder>
          <w:docPart w:val="GBC22222222222222222222222222222"/>
        </w:placeholder>
      </w:sdtPr>
      <w:sdtContent>
        <w:p w14:paraId="1102BB1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30D0CA9C" w14:textId="77777777" w:rsidR="005E000F" w:rsidRDefault="00000000">
      <w:pPr>
        <w:jc w:val="right"/>
      </w:pPr>
      <w:r>
        <w:rPr>
          <w:rFonts w:hint="eastAsia"/>
        </w:rPr>
        <w:t>单位：</w:t>
      </w:r>
      <w:sdt>
        <w:sdtPr>
          <w:rPr>
            <w:rFonts w:hint="eastAsia"/>
          </w:rPr>
          <w:alias w:val="单位：母公司财务附注：对联营、合营企业投资"/>
          <w:tag w:val="_GBC_ccad125c53784121bdbf82967e585280"/>
          <w:id w:val="114986714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财务附注：对联营、合营企业投资"/>
          <w:tag w:val="_GBC_f572fc517d504bef8d5942b395a68d39"/>
          <w:id w:val="-29529286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529"/>
        <w:gridCol w:w="1046"/>
        <w:gridCol w:w="908"/>
        <w:gridCol w:w="1424"/>
        <w:gridCol w:w="965"/>
        <w:gridCol w:w="1266"/>
        <w:gridCol w:w="1086"/>
        <w:gridCol w:w="1072"/>
        <w:gridCol w:w="1072"/>
        <w:gridCol w:w="1529"/>
        <w:gridCol w:w="1038"/>
      </w:tblGrid>
      <w:tr w:rsidR="005E000F" w14:paraId="52F371D7" w14:textId="77777777">
        <w:sdt>
          <w:sdtPr>
            <w:tag w:val="_PLD_cddf860d624b41069bef0850b92b7db2"/>
            <w:id w:val="-747342762"/>
          </w:sdtPr>
          <w:sdtContent>
            <w:tc>
              <w:tcPr>
                <w:tcW w:w="443" w:type="pct"/>
                <w:vMerge w:val="restart"/>
                <w:tcBorders>
                  <w:top w:val="single" w:sz="4" w:space="0" w:color="auto"/>
                  <w:left w:val="single" w:sz="4" w:space="0" w:color="auto"/>
                  <w:right w:val="single" w:sz="4" w:space="0" w:color="auto"/>
                </w:tcBorders>
                <w:vAlign w:val="center"/>
              </w:tcPr>
              <w:p w14:paraId="54F9874E" w14:textId="77777777" w:rsidR="005E000F" w:rsidRDefault="00000000">
                <w:pPr>
                  <w:jc w:val="center"/>
                </w:pPr>
                <w:r>
                  <w:rPr>
                    <w:rFonts w:hint="eastAsia"/>
                  </w:rPr>
                  <w:t>投资</w:t>
                </w:r>
              </w:p>
              <w:p w14:paraId="03C8A3DD" w14:textId="77777777" w:rsidR="005E000F" w:rsidRDefault="00000000">
                <w:pPr>
                  <w:jc w:val="center"/>
                </w:pPr>
                <w:r>
                  <w:rPr>
                    <w:rFonts w:hint="eastAsia"/>
                  </w:rPr>
                  <w:lastRenderedPageBreak/>
                  <w:t>单位</w:t>
                </w:r>
              </w:p>
            </w:tc>
          </w:sdtContent>
        </w:sdt>
        <w:sdt>
          <w:sdtPr>
            <w:tag w:val="_PLD_1e9893e3e3854470a87271f1c7db6cdb"/>
            <w:id w:val="1396009894"/>
          </w:sdtPr>
          <w:sdtContent>
            <w:tc>
              <w:tcPr>
                <w:tcW w:w="542" w:type="pct"/>
                <w:vMerge w:val="restart"/>
                <w:tcBorders>
                  <w:top w:val="single" w:sz="4" w:space="0" w:color="auto"/>
                  <w:left w:val="single" w:sz="4" w:space="0" w:color="auto"/>
                  <w:right w:val="single" w:sz="4" w:space="0" w:color="auto"/>
                </w:tcBorders>
                <w:vAlign w:val="center"/>
              </w:tcPr>
              <w:p w14:paraId="434317AC" w14:textId="77777777" w:rsidR="005E000F" w:rsidRDefault="00000000">
                <w:pPr>
                  <w:jc w:val="center"/>
                </w:pPr>
                <w:r>
                  <w:rPr>
                    <w:rFonts w:hint="eastAsia"/>
                  </w:rPr>
                  <w:t>期初</w:t>
                </w:r>
              </w:p>
              <w:p w14:paraId="7FEFF8C6" w14:textId="77777777" w:rsidR="005E000F" w:rsidRDefault="00000000">
                <w:pPr>
                  <w:jc w:val="center"/>
                </w:pPr>
                <w:r>
                  <w:rPr>
                    <w:rFonts w:hint="eastAsia"/>
                  </w:rPr>
                  <w:lastRenderedPageBreak/>
                  <w:t>余额（账面价值）</w:t>
                </w:r>
              </w:p>
            </w:tc>
          </w:sdtContent>
        </w:sdt>
        <w:sdt>
          <w:sdtPr>
            <w:tag w:val="_PLD_51e202fa7d4541e8b1073ad1aab00e23"/>
            <w:id w:val="473502413"/>
          </w:sdtPr>
          <w:sdtContent>
            <w:tc>
              <w:tcPr>
                <w:tcW w:w="3198" w:type="pct"/>
                <w:gridSpan w:val="8"/>
                <w:tcBorders>
                  <w:top w:val="single" w:sz="4" w:space="0" w:color="auto"/>
                  <w:left w:val="single" w:sz="4" w:space="0" w:color="auto"/>
                  <w:bottom w:val="single" w:sz="4" w:space="0" w:color="auto"/>
                  <w:right w:val="single" w:sz="4" w:space="0" w:color="auto"/>
                </w:tcBorders>
                <w:vAlign w:val="center"/>
              </w:tcPr>
              <w:p w14:paraId="3427B539" w14:textId="77777777" w:rsidR="005E000F" w:rsidRDefault="00000000">
                <w:pPr>
                  <w:jc w:val="center"/>
                </w:pPr>
                <w:r>
                  <w:rPr>
                    <w:rFonts w:hint="eastAsia"/>
                  </w:rPr>
                  <w:t>本期增减变动</w:t>
                </w:r>
              </w:p>
            </w:tc>
          </w:sdtContent>
        </w:sdt>
        <w:sdt>
          <w:sdtPr>
            <w:tag w:val="_PLD_fb68ab3bfe254cb4ac4728b9c324a1ea"/>
            <w:id w:val="-2078356348"/>
          </w:sdtPr>
          <w:sdtContent>
            <w:tc>
              <w:tcPr>
                <w:tcW w:w="413" w:type="pct"/>
                <w:vMerge w:val="restart"/>
                <w:tcBorders>
                  <w:top w:val="single" w:sz="4" w:space="0" w:color="auto"/>
                  <w:left w:val="single" w:sz="4" w:space="0" w:color="auto"/>
                  <w:right w:val="single" w:sz="4" w:space="0" w:color="auto"/>
                </w:tcBorders>
                <w:vAlign w:val="center"/>
              </w:tcPr>
              <w:p w14:paraId="726017C2" w14:textId="77777777" w:rsidR="005E000F" w:rsidRDefault="00000000">
                <w:pPr>
                  <w:jc w:val="center"/>
                </w:pPr>
                <w:r>
                  <w:rPr>
                    <w:rFonts w:hint="eastAsia"/>
                  </w:rPr>
                  <w:t>期末</w:t>
                </w:r>
              </w:p>
              <w:p w14:paraId="6B7C5553" w14:textId="77777777" w:rsidR="005E000F" w:rsidRDefault="00000000">
                <w:pPr>
                  <w:jc w:val="center"/>
                </w:pPr>
                <w:r>
                  <w:rPr>
                    <w:rFonts w:hint="eastAsia"/>
                  </w:rPr>
                  <w:lastRenderedPageBreak/>
                  <w:t>余额（账面价值）</w:t>
                </w:r>
              </w:p>
            </w:tc>
          </w:sdtContent>
        </w:sdt>
        <w:sdt>
          <w:sdtPr>
            <w:tag w:val="_PLD_79ea6426597c4707b961bbd96c8cf19f"/>
            <w:id w:val="959462453"/>
          </w:sdtPr>
          <w:sdtContent>
            <w:tc>
              <w:tcPr>
                <w:tcW w:w="401" w:type="pct"/>
                <w:vMerge w:val="restart"/>
                <w:tcBorders>
                  <w:top w:val="single" w:sz="4" w:space="0" w:color="auto"/>
                  <w:left w:val="single" w:sz="4" w:space="0" w:color="auto"/>
                  <w:right w:val="single" w:sz="4" w:space="0" w:color="auto"/>
                </w:tcBorders>
                <w:vAlign w:val="center"/>
              </w:tcPr>
              <w:p w14:paraId="1BE24811" w14:textId="77777777" w:rsidR="005E000F" w:rsidRDefault="00000000">
                <w:pPr>
                  <w:jc w:val="center"/>
                </w:pPr>
                <w:r>
                  <w:rPr>
                    <w:rFonts w:hint="eastAsia"/>
                  </w:rPr>
                  <w:t>减值准</w:t>
                </w:r>
                <w:r>
                  <w:rPr>
                    <w:rFonts w:hint="eastAsia"/>
                  </w:rPr>
                  <w:lastRenderedPageBreak/>
                  <w:t>备期末余额</w:t>
                </w:r>
              </w:p>
            </w:tc>
          </w:sdtContent>
        </w:sdt>
      </w:tr>
      <w:tr w:rsidR="005E000F" w14:paraId="3D0E69BA" w14:textId="77777777">
        <w:tc>
          <w:tcPr>
            <w:tcW w:w="443" w:type="pct"/>
            <w:vMerge/>
            <w:tcBorders>
              <w:left w:val="single" w:sz="4" w:space="0" w:color="auto"/>
              <w:bottom w:val="single" w:sz="4" w:space="0" w:color="auto"/>
              <w:right w:val="single" w:sz="4" w:space="0" w:color="auto"/>
            </w:tcBorders>
            <w:vAlign w:val="center"/>
          </w:tcPr>
          <w:p w14:paraId="606331C0" w14:textId="77777777" w:rsidR="005E000F" w:rsidRDefault="005E000F">
            <w:pPr>
              <w:jc w:val="center"/>
            </w:pPr>
          </w:p>
        </w:tc>
        <w:tc>
          <w:tcPr>
            <w:tcW w:w="542" w:type="pct"/>
            <w:vMerge/>
            <w:tcBorders>
              <w:left w:val="single" w:sz="4" w:space="0" w:color="auto"/>
              <w:bottom w:val="single" w:sz="4" w:space="0" w:color="auto"/>
              <w:right w:val="single" w:sz="4" w:space="0" w:color="auto"/>
            </w:tcBorders>
            <w:vAlign w:val="center"/>
          </w:tcPr>
          <w:p w14:paraId="58787B20" w14:textId="77777777" w:rsidR="005E000F" w:rsidRDefault="005E000F">
            <w:pPr>
              <w:jc w:val="center"/>
            </w:pPr>
          </w:p>
        </w:tc>
        <w:sdt>
          <w:sdtPr>
            <w:tag w:val="_PLD_759fe0f59b6046308988b932a5f90e06"/>
            <w:id w:val="1287165086"/>
          </w:sdtPr>
          <w:sdtContent>
            <w:tc>
              <w:tcPr>
                <w:tcW w:w="407" w:type="pct"/>
                <w:tcBorders>
                  <w:top w:val="single" w:sz="4" w:space="0" w:color="auto"/>
                  <w:left w:val="single" w:sz="4" w:space="0" w:color="auto"/>
                  <w:bottom w:val="single" w:sz="4" w:space="0" w:color="auto"/>
                  <w:right w:val="single" w:sz="4" w:space="0" w:color="auto"/>
                </w:tcBorders>
                <w:vAlign w:val="center"/>
              </w:tcPr>
              <w:p w14:paraId="21185571" w14:textId="77777777" w:rsidR="005E000F" w:rsidRDefault="00000000">
                <w:pPr>
                  <w:jc w:val="center"/>
                </w:pPr>
                <w:r>
                  <w:rPr>
                    <w:rFonts w:hint="eastAsia"/>
                  </w:rPr>
                  <w:t>追加投资</w:t>
                </w:r>
              </w:p>
            </w:tc>
          </w:sdtContent>
        </w:sdt>
        <w:sdt>
          <w:sdtPr>
            <w:tag w:val="_PLD_6f033bedb79a4bd7bc36dc52845a5ea0"/>
            <w:id w:val="-546534566"/>
          </w:sdtPr>
          <w:sdtContent>
            <w:tc>
              <w:tcPr>
                <w:tcW w:w="358" w:type="pct"/>
                <w:tcBorders>
                  <w:top w:val="single" w:sz="4" w:space="0" w:color="auto"/>
                  <w:left w:val="single" w:sz="4" w:space="0" w:color="auto"/>
                  <w:bottom w:val="single" w:sz="4" w:space="0" w:color="auto"/>
                  <w:right w:val="single" w:sz="4" w:space="0" w:color="auto"/>
                </w:tcBorders>
                <w:vAlign w:val="center"/>
              </w:tcPr>
              <w:p w14:paraId="3D928939" w14:textId="77777777" w:rsidR="005E000F" w:rsidRDefault="00000000">
                <w:pPr>
                  <w:jc w:val="center"/>
                </w:pPr>
                <w:r>
                  <w:rPr>
                    <w:rFonts w:hint="eastAsia"/>
                  </w:rPr>
                  <w:t>减少投资</w:t>
                </w:r>
              </w:p>
            </w:tc>
          </w:sdtContent>
        </w:sdt>
        <w:sdt>
          <w:sdtPr>
            <w:tag w:val="_PLD_67e4baac3d05451d940d328c18f19014"/>
            <w:id w:val="1351215983"/>
          </w:sdtPr>
          <w:sdtContent>
            <w:tc>
              <w:tcPr>
                <w:tcW w:w="422" w:type="pct"/>
                <w:tcBorders>
                  <w:top w:val="single" w:sz="4" w:space="0" w:color="auto"/>
                  <w:left w:val="single" w:sz="4" w:space="0" w:color="auto"/>
                  <w:bottom w:val="single" w:sz="4" w:space="0" w:color="auto"/>
                  <w:right w:val="single" w:sz="4" w:space="0" w:color="auto"/>
                </w:tcBorders>
                <w:vAlign w:val="center"/>
              </w:tcPr>
              <w:p w14:paraId="39A719E3" w14:textId="77777777" w:rsidR="005E000F" w:rsidRDefault="00000000">
                <w:pPr>
                  <w:jc w:val="center"/>
                </w:pPr>
                <w:r>
                  <w:rPr>
                    <w:rFonts w:hint="eastAsia"/>
                  </w:rPr>
                  <w:t>权益法下确认的投资损益</w:t>
                </w:r>
              </w:p>
            </w:tc>
          </w:sdtContent>
        </w:sdt>
        <w:sdt>
          <w:sdtPr>
            <w:tag w:val="_PLD_700419003e5b4596b973710043374374"/>
            <w:id w:val="1598214374"/>
          </w:sdtPr>
          <w:sdtContent>
            <w:tc>
              <w:tcPr>
                <w:tcW w:w="378" w:type="pct"/>
                <w:tcBorders>
                  <w:top w:val="single" w:sz="4" w:space="0" w:color="auto"/>
                  <w:left w:val="single" w:sz="4" w:space="0" w:color="auto"/>
                  <w:bottom w:val="single" w:sz="4" w:space="0" w:color="auto"/>
                  <w:right w:val="single" w:sz="4" w:space="0" w:color="auto"/>
                </w:tcBorders>
                <w:vAlign w:val="center"/>
              </w:tcPr>
              <w:p w14:paraId="5A98EC8F" w14:textId="77777777" w:rsidR="005E000F" w:rsidRDefault="00000000">
                <w:pPr>
                  <w:jc w:val="center"/>
                </w:pPr>
                <w:r>
                  <w:rPr>
                    <w:rFonts w:hint="eastAsia"/>
                  </w:rPr>
                  <w:t>其他综合收益调整</w:t>
                </w:r>
              </w:p>
            </w:tc>
          </w:sdtContent>
        </w:sdt>
        <w:sdt>
          <w:sdtPr>
            <w:tag w:val="_PLD_9318c7f257d249e0a0b9bf70263601d5"/>
            <w:id w:val="1948587098"/>
          </w:sdtPr>
          <w:sdtContent>
            <w:tc>
              <w:tcPr>
                <w:tcW w:w="380" w:type="pct"/>
                <w:tcBorders>
                  <w:top w:val="single" w:sz="4" w:space="0" w:color="auto"/>
                  <w:left w:val="single" w:sz="4" w:space="0" w:color="auto"/>
                  <w:bottom w:val="single" w:sz="4" w:space="0" w:color="auto"/>
                  <w:right w:val="single" w:sz="4" w:space="0" w:color="auto"/>
                </w:tcBorders>
                <w:vAlign w:val="center"/>
              </w:tcPr>
              <w:p w14:paraId="37B814A6" w14:textId="77777777" w:rsidR="005E000F" w:rsidRDefault="00000000">
                <w:pPr>
                  <w:jc w:val="center"/>
                </w:pPr>
                <w:r>
                  <w:rPr>
                    <w:rFonts w:hint="eastAsia"/>
                  </w:rPr>
                  <w:t>其他权益变动</w:t>
                </w:r>
              </w:p>
            </w:tc>
          </w:sdtContent>
        </w:sdt>
        <w:sdt>
          <w:sdtPr>
            <w:tag w:val="_PLD_efb3a8c8f6b64ad1a5fbb4cf67eb4c96"/>
            <w:id w:val="464092550"/>
          </w:sdtPr>
          <w:sdtContent>
            <w:tc>
              <w:tcPr>
                <w:tcW w:w="421" w:type="pct"/>
                <w:tcBorders>
                  <w:top w:val="single" w:sz="4" w:space="0" w:color="auto"/>
                  <w:left w:val="single" w:sz="4" w:space="0" w:color="auto"/>
                  <w:bottom w:val="single" w:sz="4" w:space="0" w:color="auto"/>
                  <w:right w:val="single" w:sz="4" w:space="0" w:color="auto"/>
                </w:tcBorders>
                <w:vAlign w:val="center"/>
              </w:tcPr>
              <w:p w14:paraId="2BFCF0F5" w14:textId="77777777" w:rsidR="005E000F" w:rsidRDefault="00000000">
                <w:pPr>
                  <w:jc w:val="center"/>
                </w:pPr>
                <w:r>
                  <w:rPr>
                    <w:rFonts w:hint="eastAsia"/>
                  </w:rPr>
                  <w:t>宣告发放现金股利或利润</w:t>
                </w:r>
              </w:p>
            </w:tc>
          </w:sdtContent>
        </w:sdt>
        <w:sdt>
          <w:sdtPr>
            <w:tag w:val="_PLD_2cc45ca82119420bb4d261a3eb788ba0"/>
            <w:id w:val="-897746520"/>
          </w:sdtPr>
          <w:sdtContent>
            <w:tc>
              <w:tcPr>
                <w:tcW w:w="416" w:type="pct"/>
                <w:tcBorders>
                  <w:top w:val="single" w:sz="4" w:space="0" w:color="auto"/>
                  <w:left w:val="single" w:sz="4" w:space="0" w:color="auto"/>
                  <w:bottom w:val="single" w:sz="4" w:space="0" w:color="auto"/>
                  <w:right w:val="single" w:sz="4" w:space="0" w:color="auto"/>
                </w:tcBorders>
                <w:vAlign w:val="center"/>
              </w:tcPr>
              <w:p w14:paraId="21B4B9E0" w14:textId="77777777" w:rsidR="005E000F" w:rsidRDefault="00000000">
                <w:pPr>
                  <w:jc w:val="center"/>
                </w:pPr>
                <w:r>
                  <w:rPr>
                    <w:rFonts w:hint="eastAsia"/>
                  </w:rPr>
                  <w:t>计提减值准备</w:t>
                </w:r>
              </w:p>
            </w:tc>
          </w:sdtContent>
        </w:sdt>
        <w:sdt>
          <w:sdtPr>
            <w:tag w:val="_PLD_85d3aa0f514447b38d92097f7a30e385"/>
            <w:id w:val="-2141411168"/>
          </w:sdtPr>
          <w:sdtContent>
            <w:tc>
              <w:tcPr>
                <w:tcW w:w="412" w:type="pct"/>
                <w:tcBorders>
                  <w:top w:val="single" w:sz="4" w:space="0" w:color="auto"/>
                  <w:left w:val="single" w:sz="4" w:space="0" w:color="auto"/>
                  <w:bottom w:val="single" w:sz="4" w:space="0" w:color="auto"/>
                  <w:right w:val="single" w:sz="4" w:space="0" w:color="auto"/>
                </w:tcBorders>
                <w:vAlign w:val="center"/>
              </w:tcPr>
              <w:p w14:paraId="2D4B9C2B" w14:textId="77777777" w:rsidR="005E000F" w:rsidRDefault="00000000">
                <w:pPr>
                  <w:jc w:val="center"/>
                </w:pPr>
                <w:r>
                  <w:rPr>
                    <w:rFonts w:hint="eastAsia"/>
                  </w:rPr>
                  <w:t>其他</w:t>
                </w:r>
              </w:p>
            </w:tc>
          </w:sdtContent>
        </w:sdt>
        <w:tc>
          <w:tcPr>
            <w:tcW w:w="413" w:type="pct"/>
            <w:vMerge/>
            <w:tcBorders>
              <w:left w:val="single" w:sz="4" w:space="0" w:color="auto"/>
              <w:bottom w:val="single" w:sz="4" w:space="0" w:color="auto"/>
              <w:right w:val="single" w:sz="4" w:space="0" w:color="auto"/>
            </w:tcBorders>
            <w:vAlign w:val="center"/>
          </w:tcPr>
          <w:p w14:paraId="48B2F6A3" w14:textId="77777777" w:rsidR="005E000F" w:rsidRDefault="005E000F">
            <w:pPr>
              <w:jc w:val="center"/>
            </w:pPr>
          </w:p>
        </w:tc>
        <w:tc>
          <w:tcPr>
            <w:tcW w:w="401" w:type="pct"/>
            <w:vMerge/>
            <w:tcBorders>
              <w:left w:val="single" w:sz="4" w:space="0" w:color="auto"/>
              <w:bottom w:val="single" w:sz="4" w:space="0" w:color="auto"/>
              <w:right w:val="single" w:sz="4" w:space="0" w:color="auto"/>
            </w:tcBorders>
            <w:vAlign w:val="center"/>
          </w:tcPr>
          <w:p w14:paraId="14AC9CF7" w14:textId="77777777" w:rsidR="005E000F" w:rsidRDefault="005E000F">
            <w:pPr>
              <w:jc w:val="center"/>
            </w:pPr>
          </w:p>
        </w:tc>
      </w:tr>
      <w:tr w:rsidR="005E000F" w14:paraId="6CD78EF9" w14:textId="77777777">
        <w:sdt>
          <w:sdtPr>
            <w:tag w:val="_PLD_473021cffa734643a0c35649ee4b5043"/>
            <w:id w:val="-2030638526"/>
          </w:sdtPr>
          <w:sdtContent>
            <w:tc>
              <w:tcPr>
                <w:tcW w:w="5000" w:type="pct"/>
                <w:gridSpan w:val="12"/>
                <w:tcBorders>
                  <w:top w:val="single" w:sz="4" w:space="0" w:color="auto"/>
                  <w:left w:val="single" w:sz="4" w:space="0" w:color="auto"/>
                  <w:bottom w:val="single" w:sz="4" w:space="0" w:color="auto"/>
                  <w:right w:val="single" w:sz="4" w:space="0" w:color="auto"/>
                </w:tcBorders>
                <w:vAlign w:val="center"/>
              </w:tcPr>
              <w:p w14:paraId="6CFACEAC" w14:textId="77777777" w:rsidR="005E000F" w:rsidRDefault="00000000">
                <w:pPr>
                  <w:jc w:val="both"/>
                </w:pPr>
                <w:r>
                  <w:rPr>
                    <w:rFonts w:hint="eastAsia"/>
                  </w:rPr>
                  <w:t>一、联营企业</w:t>
                </w:r>
              </w:p>
            </w:tc>
          </w:sdtContent>
        </w:sdt>
      </w:tr>
      <w:tr w:rsidR="005E000F" w14:paraId="49C33868" w14:textId="77777777">
        <w:tc>
          <w:tcPr>
            <w:tcW w:w="443" w:type="pct"/>
            <w:tcBorders>
              <w:top w:val="single" w:sz="4" w:space="0" w:color="auto"/>
              <w:left w:val="single" w:sz="4" w:space="0" w:color="auto"/>
              <w:bottom w:val="single" w:sz="4" w:space="0" w:color="auto"/>
              <w:right w:val="single" w:sz="4" w:space="0" w:color="auto"/>
            </w:tcBorders>
          </w:tcPr>
          <w:p w14:paraId="2494D547" w14:textId="77777777" w:rsidR="005E000F" w:rsidRDefault="00000000">
            <w:pPr>
              <w:jc w:val="center"/>
              <w:rPr>
                <w:rFonts w:cs="宋体"/>
                <w:bCs/>
                <w:color w:val="000000" w:themeColor="text1"/>
              </w:rPr>
            </w:pPr>
            <w:r>
              <w:rPr>
                <w:rFonts w:cs="宋体" w:hint="eastAsia"/>
                <w:bCs/>
                <w:color w:val="000000" w:themeColor="text1"/>
              </w:rPr>
              <w:t>朔黄铁路</w:t>
            </w:r>
          </w:p>
        </w:tc>
        <w:tc>
          <w:tcPr>
            <w:tcW w:w="542" w:type="pct"/>
            <w:tcBorders>
              <w:top w:val="single" w:sz="4" w:space="0" w:color="auto"/>
              <w:left w:val="single" w:sz="4" w:space="0" w:color="auto"/>
              <w:bottom w:val="single" w:sz="4" w:space="0" w:color="auto"/>
              <w:right w:val="single" w:sz="4" w:space="0" w:color="auto"/>
            </w:tcBorders>
          </w:tcPr>
          <w:p w14:paraId="7CC6D124" w14:textId="77777777" w:rsidR="005E000F" w:rsidRDefault="00000000">
            <w:pPr>
              <w:jc w:val="right"/>
              <w:rPr>
                <w:rFonts w:cs="宋体"/>
                <w:bCs/>
                <w:color w:val="000000" w:themeColor="text1"/>
                <w:lang w:eastAsia="en-US"/>
              </w:rPr>
            </w:pPr>
            <w:r>
              <w:rPr>
                <w:rFonts w:cs="宋体" w:hint="eastAsia"/>
                <w:bCs/>
                <w:color w:val="000000" w:themeColor="text1"/>
              </w:rPr>
              <w:t>19,318,842,330</w:t>
            </w:r>
          </w:p>
        </w:tc>
        <w:tc>
          <w:tcPr>
            <w:tcW w:w="1145" w:type="dxa"/>
            <w:tcBorders>
              <w:top w:val="single" w:sz="4" w:space="0" w:color="auto"/>
              <w:left w:val="single" w:sz="4" w:space="0" w:color="auto"/>
              <w:bottom w:val="single" w:sz="4" w:space="0" w:color="auto"/>
              <w:right w:val="single" w:sz="4" w:space="0" w:color="auto"/>
            </w:tcBorders>
          </w:tcPr>
          <w:p w14:paraId="725255CD" w14:textId="77777777" w:rsidR="005E000F" w:rsidRDefault="00000000">
            <w:pPr>
              <w:jc w:val="right"/>
              <w:rPr>
                <w:rFonts w:cs="宋体"/>
                <w:bCs/>
                <w:color w:val="000000" w:themeColor="text1"/>
              </w:rPr>
            </w:pPr>
            <w:r>
              <w:rPr>
                <w:rFonts w:cs="宋体" w:hint="eastAsia"/>
                <w:bCs/>
                <w:color w:val="000000" w:themeColor="text1"/>
              </w:rPr>
              <w:t>0</w:t>
            </w:r>
          </w:p>
        </w:tc>
        <w:tc>
          <w:tcPr>
            <w:tcW w:w="1007" w:type="dxa"/>
            <w:tcBorders>
              <w:top w:val="single" w:sz="4" w:space="0" w:color="auto"/>
              <w:left w:val="single" w:sz="4" w:space="0" w:color="auto"/>
              <w:bottom w:val="single" w:sz="4" w:space="0" w:color="auto"/>
              <w:right w:val="single" w:sz="4" w:space="0" w:color="auto"/>
            </w:tcBorders>
          </w:tcPr>
          <w:p w14:paraId="5BB27FE6" w14:textId="77777777" w:rsidR="005E000F" w:rsidRDefault="00000000">
            <w:pPr>
              <w:jc w:val="right"/>
              <w:rPr>
                <w:rFonts w:cs="宋体"/>
                <w:bCs/>
                <w:color w:val="000000" w:themeColor="text1"/>
              </w:rPr>
            </w:pPr>
            <w:r>
              <w:rPr>
                <w:rFonts w:cs="宋体" w:hint="eastAsia"/>
                <w:bCs/>
                <w:color w:val="000000" w:themeColor="text1"/>
              </w:rPr>
              <w:t>0</w:t>
            </w:r>
          </w:p>
        </w:tc>
        <w:tc>
          <w:tcPr>
            <w:tcW w:w="1189" w:type="dxa"/>
            <w:tcBorders>
              <w:top w:val="single" w:sz="4" w:space="0" w:color="auto"/>
              <w:left w:val="single" w:sz="4" w:space="0" w:color="auto"/>
              <w:bottom w:val="single" w:sz="4" w:space="0" w:color="auto"/>
              <w:right w:val="single" w:sz="4" w:space="0" w:color="auto"/>
            </w:tcBorders>
            <w:vAlign w:val="center"/>
          </w:tcPr>
          <w:p w14:paraId="69E18015" w14:textId="77777777" w:rsidR="005E000F" w:rsidRDefault="00000000">
            <w:pPr>
              <w:jc w:val="right"/>
              <w:rPr>
                <w:rFonts w:cs="宋体"/>
                <w:bCs/>
                <w:color w:val="000000" w:themeColor="text1"/>
              </w:rPr>
            </w:pPr>
            <w:r>
              <w:rPr>
                <w:rFonts w:cs="宋体"/>
                <w:bCs/>
                <w:color w:val="000000" w:themeColor="text1"/>
              </w:rPr>
              <w:t>2,681,101,91</w:t>
            </w:r>
            <w:r>
              <w:rPr>
                <w:rFonts w:cs="宋体" w:hint="eastAsia"/>
                <w:bCs/>
                <w:color w:val="000000" w:themeColor="text1"/>
              </w:rPr>
              <w:t>7</w:t>
            </w:r>
          </w:p>
        </w:tc>
        <w:tc>
          <w:tcPr>
            <w:tcW w:w="1065" w:type="dxa"/>
            <w:tcBorders>
              <w:top w:val="single" w:sz="4" w:space="0" w:color="auto"/>
              <w:left w:val="single" w:sz="4" w:space="0" w:color="auto"/>
              <w:bottom w:val="single" w:sz="4" w:space="0" w:color="auto"/>
              <w:right w:val="single" w:sz="4" w:space="0" w:color="auto"/>
            </w:tcBorders>
          </w:tcPr>
          <w:p w14:paraId="0AFB8431" w14:textId="77777777" w:rsidR="005E000F" w:rsidRDefault="00000000">
            <w:pPr>
              <w:jc w:val="right"/>
              <w:rPr>
                <w:rFonts w:cs="宋体"/>
                <w:bCs/>
                <w:color w:val="000000" w:themeColor="text1"/>
              </w:rPr>
            </w:pPr>
            <w:r>
              <w:rPr>
                <w:rFonts w:cs="宋体" w:hint="eastAsia"/>
                <w:bCs/>
                <w:color w:val="000000" w:themeColor="text1"/>
              </w:rPr>
              <w:t>0</w:t>
            </w:r>
          </w:p>
        </w:tc>
        <w:tc>
          <w:tcPr>
            <w:tcW w:w="1070" w:type="dxa"/>
            <w:tcBorders>
              <w:top w:val="single" w:sz="4" w:space="0" w:color="auto"/>
              <w:left w:val="single" w:sz="4" w:space="0" w:color="auto"/>
              <w:bottom w:val="single" w:sz="4" w:space="0" w:color="auto"/>
              <w:right w:val="single" w:sz="4" w:space="0" w:color="auto"/>
            </w:tcBorders>
            <w:vAlign w:val="center"/>
          </w:tcPr>
          <w:p w14:paraId="6E0B081E" w14:textId="77777777" w:rsidR="005E000F" w:rsidRDefault="00000000">
            <w:pPr>
              <w:jc w:val="right"/>
              <w:rPr>
                <w:rFonts w:cs="宋体"/>
                <w:bCs/>
                <w:color w:val="000000" w:themeColor="text1"/>
              </w:rPr>
            </w:pPr>
            <w:r>
              <w:rPr>
                <w:rFonts w:cs="宋体"/>
                <w:bCs/>
                <w:color w:val="000000" w:themeColor="text1"/>
              </w:rPr>
              <w:t>312,116,723</w:t>
            </w:r>
          </w:p>
        </w:tc>
        <w:tc>
          <w:tcPr>
            <w:tcW w:w="1186" w:type="dxa"/>
            <w:tcBorders>
              <w:top w:val="single" w:sz="4" w:space="0" w:color="auto"/>
              <w:left w:val="single" w:sz="4" w:space="0" w:color="auto"/>
              <w:bottom w:val="single" w:sz="4" w:space="0" w:color="auto"/>
              <w:right w:val="single" w:sz="4" w:space="0" w:color="auto"/>
            </w:tcBorders>
          </w:tcPr>
          <w:p w14:paraId="38434935" w14:textId="77777777" w:rsidR="005E000F" w:rsidRDefault="00000000">
            <w:pPr>
              <w:jc w:val="right"/>
              <w:rPr>
                <w:rFonts w:cs="宋体"/>
                <w:bCs/>
                <w:color w:val="000000" w:themeColor="text1"/>
              </w:rPr>
            </w:pPr>
            <w:r>
              <w:rPr>
                <w:rFonts w:cs="宋体" w:hint="eastAsia"/>
                <w:bCs/>
                <w:color w:val="000000" w:themeColor="text1"/>
              </w:rPr>
              <w:t>0</w:t>
            </w:r>
          </w:p>
        </w:tc>
        <w:tc>
          <w:tcPr>
            <w:tcW w:w="1172" w:type="dxa"/>
            <w:tcBorders>
              <w:top w:val="single" w:sz="4" w:space="0" w:color="auto"/>
              <w:left w:val="single" w:sz="4" w:space="0" w:color="auto"/>
              <w:bottom w:val="single" w:sz="4" w:space="0" w:color="auto"/>
              <w:right w:val="single" w:sz="4" w:space="0" w:color="auto"/>
            </w:tcBorders>
          </w:tcPr>
          <w:p w14:paraId="085C35B9" w14:textId="77777777" w:rsidR="005E000F" w:rsidRDefault="00000000">
            <w:pPr>
              <w:jc w:val="right"/>
              <w:rPr>
                <w:rFonts w:cs="宋体"/>
                <w:bCs/>
                <w:color w:val="000000" w:themeColor="text1"/>
              </w:rPr>
            </w:pPr>
            <w:r>
              <w:rPr>
                <w:rFonts w:cs="宋体" w:hint="eastAsia"/>
                <w:bCs/>
                <w:color w:val="000000" w:themeColor="text1"/>
              </w:rPr>
              <w:t>0</w:t>
            </w:r>
          </w:p>
        </w:tc>
        <w:tc>
          <w:tcPr>
            <w:tcW w:w="1172" w:type="dxa"/>
            <w:tcBorders>
              <w:top w:val="single" w:sz="4" w:space="0" w:color="auto"/>
              <w:left w:val="single" w:sz="4" w:space="0" w:color="auto"/>
              <w:bottom w:val="single" w:sz="4" w:space="0" w:color="auto"/>
              <w:right w:val="single" w:sz="4" w:space="0" w:color="auto"/>
            </w:tcBorders>
          </w:tcPr>
          <w:p w14:paraId="5485A7EA" w14:textId="77777777" w:rsidR="005E000F" w:rsidRDefault="00000000">
            <w:pPr>
              <w:jc w:val="right"/>
              <w:rPr>
                <w:rFonts w:cs="宋体"/>
                <w:bCs/>
                <w:color w:val="000000" w:themeColor="text1"/>
              </w:rPr>
            </w:pPr>
            <w:r>
              <w:rPr>
                <w:rFonts w:cs="宋体" w:hint="eastAsia"/>
                <w:bCs/>
                <w:color w:val="000000" w:themeColor="text1"/>
              </w:rPr>
              <w:t>0</w:t>
            </w:r>
          </w:p>
        </w:tc>
        <w:tc>
          <w:tcPr>
            <w:tcW w:w="1163" w:type="dxa"/>
            <w:tcBorders>
              <w:top w:val="single" w:sz="4" w:space="0" w:color="auto"/>
              <w:left w:val="single" w:sz="4" w:space="0" w:color="auto"/>
              <w:bottom w:val="single" w:sz="4" w:space="0" w:color="auto"/>
              <w:right w:val="single" w:sz="4" w:space="0" w:color="auto"/>
            </w:tcBorders>
            <w:vAlign w:val="center"/>
          </w:tcPr>
          <w:p w14:paraId="26878E35" w14:textId="77777777" w:rsidR="005E000F" w:rsidRDefault="00000000">
            <w:pPr>
              <w:jc w:val="right"/>
              <w:rPr>
                <w:rFonts w:cs="宋体"/>
                <w:bCs/>
                <w:color w:val="000000" w:themeColor="text1"/>
              </w:rPr>
            </w:pPr>
            <w:r>
              <w:rPr>
                <w:rFonts w:cs="宋体"/>
                <w:bCs/>
                <w:color w:val="000000" w:themeColor="text1"/>
              </w:rPr>
              <w:t>22,312,060,97</w:t>
            </w:r>
            <w:r>
              <w:rPr>
                <w:rFonts w:cs="宋体" w:hint="eastAsia"/>
                <w:bCs/>
                <w:color w:val="000000" w:themeColor="text1"/>
              </w:rPr>
              <w:t>0</w:t>
            </w:r>
          </w:p>
        </w:tc>
        <w:tc>
          <w:tcPr>
            <w:tcW w:w="1138" w:type="dxa"/>
            <w:tcBorders>
              <w:top w:val="single" w:sz="4" w:space="0" w:color="auto"/>
              <w:left w:val="single" w:sz="4" w:space="0" w:color="auto"/>
              <w:bottom w:val="single" w:sz="4" w:space="0" w:color="auto"/>
              <w:right w:val="single" w:sz="4" w:space="0" w:color="auto"/>
            </w:tcBorders>
          </w:tcPr>
          <w:p w14:paraId="396744B2" w14:textId="77777777" w:rsidR="005E000F" w:rsidRDefault="00000000">
            <w:pPr>
              <w:jc w:val="right"/>
              <w:rPr>
                <w:rFonts w:cs="宋体"/>
                <w:bCs/>
                <w:color w:val="000000" w:themeColor="text1"/>
              </w:rPr>
            </w:pPr>
            <w:r>
              <w:rPr>
                <w:rFonts w:cs="宋体" w:hint="eastAsia"/>
                <w:bCs/>
                <w:color w:val="000000" w:themeColor="text1"/>
              </w:rPr>
              <w:t>0</w:t>
            </w:r>
          </w:p>
        </w:tc>
      </w:tr>
      <w:tr w:rsidR="005E000F" w14:paraId="28C20F73" w14:textId="77777777">
        <w:tc>
          <w:tcPr>
            <w:tcW w:w="443" w:type="pct"/>
            <w:tcBorders>
              <w:top w:val="single" w:sz="4" w:space="0" w:color="auto"/>
              <w:left w:val="single" w:sz="4" w:space="0" w:color="auto"/>
              <w:bottom w:val="single" w:sz="4" w:space="0" w:color="auto"/>
              <w:right w:val="single" w:sz="4" w:space="0" w:color="auto"/>
            </w:tcBorders>
          </w:tcPr>
          <w:p w14:paraId="6157BC28" w14:textId="77777777" w:rsidR="005E000F" w:rsidRDefault="00000000">
            <w:pPr>
              <w:jc w:val="center"/>
              <w:rPr>
                <w:rFonts w:cs="宋体"/>
                <w:bCs/>
                <w:color w:val="000000" w:themeColor="text1"/>
                <w:lang w:eastAsia="en-US"/>
              </w:rPr>
            </w:pPr>
            <w:proofErr w:type="gramStart"/>
            <w:r>
              <w:rPr>
                <w:rFonts w:cs="宋体" w:hint="eastAsia"/>
                <w:bCs/>
                <w:color w:val="000000" w:themeColor="text1"/>
              </w:rPr>
              <w:t>浩</w:t>
            </w:r>
            <w:proofErr w:type="gramEnd"/>
            <w:r>
              <w:rPr>
                <w:rFonts w:cs="宋体" w:hint="eastAsia"/>
                <w:bCs/>
                <w:color w:val="000000" w:themeColor="text1"/>
              </w:rPr>
              <w:t>吉铁路</w:t>
            </w:r>
          </w:p>
        </w:tc>
        <w:tc>
          <w:tcPr>
            <w:tcW w:w="542" w:type="pct"/>
            <w:tcBorders>
              <w:top w:val="single" w:sz="4" w:space="0" w:color="auto"/>
              <w:left w:val="single" w:sz="4" w:space="0" w:color="auto"/>
              <w:bottom w:val="single" w:sz="4" w:space="0" w:color="auto"/>
              <w:right w:val="single" w:sz="4" w:space="0" w:color="auto"/>
            </w:tcBorders>
          </w:tcPr>
          <w:p w14:paraId="7DDA2438" w14:textId="77777777" w:rsidR="005E000F" w:rsidRDefault="00000000">
            <w:pPr>
              <w:jc w:val="right"/>
              <w:rPr>
                <w:rFonts w:cs="宋体"/>
                <w:bCs/>
                <w:color w:val="000000" w:themeColor="text1"/>
                <w:lang w:eastAsia="en-US"/>
              </w:rPr>
            </w:pPr>
            <w:r>
              <w:rPr>
                <w:rFonts w:cs="宋体" w:hint="eastAsia"/>
                <w:bCs/>
                <w:color w:val="000000" w:themeColor="text1"/>
              </w:rPr>
              <w:t>5,320,871,957</w:t>
            </w:r>
          </w:p>
        </w:tc>
        <w:tc>
          <w:tcPr>
            <w:tcW w:w="1145" w:type="dxa"/>
            <w:tcBorders>
              <w:top w:val="single" w:sz="4" w:space="0" w:color="auto"/>
              <w:left w:val="single" w:sz="4" w:space="0" w:color="auto"/>
              <w:bottom w:val="single" w:sz="4" w:space="0" w:color="auto"/>
              <w:right w:val="single" w:sz="4" w:space="0" w:color="auto"/>
            </w:tcBorders>
          </w:tcPr>
          <w:p w14:paraId="34AC6271" w14:textId="77777777" w:rsidR="005E000F" w:rsidRDefault="00000000">
            <w:pPr>
              <w:jc w:val="right"/>
              <w:rPr>
                <w:rFonts w:cs="宋体"/>
                <w:bCs/>
                <w:color w:val="000000" w:themeColor="text1"/>
              </w:rPr>
            </w:pPr>
            <w:r>
              <w:rPr>
                <w:rFonts w:cs="宋体" w:hint="eastAsia"/>
                <w:bCs/>
                <w:color w:val="000000" w:themeColor="text1"/>
              </w:rPr>
              <w:t>0</w:t>
            </w:r>
          </w:p>
        </w:tc>
        <w:tc>
          <w:tcPr>
            <w:tcW w:w="1007" w:type="dxa"/>
            <w:tcBorders>
              <w:top w:val="single" w:sz="4" w:space="0" w:color="auto"/>
              <w:left w:val="single" w:sz="4" w:space="0" w:color="auto"/>
              <w:bottom w:val="single" w:sz="4" w:space="0" w:color="auto"/>
              <w:right w:val="single" w:sz="4" w:space="0" w:color="auto"/>
            </w:tcBorders>
          </w:tcPr>
          <w:p w14:paraId="54496AAE" w14:textId="77777777" w:rsidR="005E000F" w:rsidRDefault="00000000">
            <w:pPr>
              <w:jc w:val="right"/>
              <w:rPr>
                <w:rFonts w:cs="宋体"/>
                <w:bCs/>
                <w:color w:val="000000" w:themeColor="text1"/>
              </w:rPr>
            </w:pPr>
            <w:r>
              <w:rPr>
                <w:rFonts w:cs="宋体" w:hint="eastAsia"/>
                <w:bCs/>
                <w:color w:val="000000" w:themeColor="text1"/>
              </w:rPr>
              <w:t>0</w:t>
            </w:r>
          </w:p>
        </w:tc>
        <w:tc>
          <w:tcPr>
            <w:tcW w:w="1189" w:type="dxa"/>
            <w:tcBorders>
              <w:top w:val="single" w:sz="4" w:space="0" w:color="auto"/>
              <w:left w:val="single" w:sz="4" w:space="0" w:color="auto"/>
              <w:bottom w:val="single" w:sz="4" w:space="0" w:color="auto"/>
              <w:right w:val="single" w:sz="4" w:space="0" w:color="auto"/>
            </w:tcBorders>
            <w:vAlign w:val="center"/>
          </w:tcPr>
          <w:p w14:paraId="1F8E890D" w14:textId="77777777" w:rsidR="005E000F" w:rsidRDefault="00000000">
            <w:pPr>
              <w:jc w:val="right"/>
              <w:rPr>
                <w:rFonts w:cs="宋体"/>
                <w:bCs/>
                <w:color w:val="000000" w:themeColor="text1"/>
              </w:rPr>
            </w:pPr>
            <w:r>
              <w:rPr>
                <w:rFonts w:cs="宋体"/>
                <w:bCs/>
                <w:color w:val="000000" w:themeColor="text1"/>
              </w:rPr>
              <w:t>58,313,33</w:t>
            </w:r>
            <w:r>
              <w:rPr>
                <w:rFonts w:cs="宋体" w:hint="eastAsia"/>
                <w:bCs/>
                <w:color w:val="000000" w:themeColor="text1"/>
              </w:rPr>
              <w:t>3</w:t>
            </w:r>
          </w:p>
        </w:tc>
        <w:tc>
          <w:tcPr>
            <w:tcW w:w="1065" w:type="dxa"/>
            <w:tcBorders>
              <w:top w:val="single" w:sz="4" w:space="0" w:color="auto"/>
              <w:left w:val="single" w:sz="4" w:space="0" w:color="auto"/>
              <w:bottom w:val="single" w:sz="4" w:space="0" w:color="auto"/>
              <w:right w:val="single" w:sz="4" w:space="0" w:color="auto"/>
            </w:tcBorders>
          </w:tcPr>
          <w:p w14:paraId="3A2C8A85" w14:textId="77777777" w:rsidR="005E000F" w:rsidRDefault="00000000">
            <w:pPr>
              <w:jc w:val="right"/>
              <w:rPr>
                <w:rFonts w:cs="宋体"/>
                <w:bCs/>
                <w:color w:val="000000" w:themeColor="text1"/>
              </w:rPr>
            </w:pPr>
            <w:r>
              <w:rPr>
                <w:rFonts w:cs="宋体" w:hint="eastAsia"/>
                <w:bCs/>
                <w:color w:val="000000" w:themeColor="text1"/>
              </w:rPr>
              <w:t>0</w:t>
            </w:r>
          </w:p>
        </w:tc>
        <w:tc>
          <w:tcPr>
            <w:tcW w:w="1070" w:type="dxa"/>
            <w:tcBorders>
              <w:top w:val="single" w:sz="4" w:space="0" w:color="auto"/>
              <w:left w:val="single" w:sz="4" w:space="0" w:color="auto"/>
              <w:bottom w:val="single" w:sz="4" w:space="0" w:color="auto"/>
              <w:right w:val="single" w:sz="4" w:space="0" w:color="auto"/>
            </w:tcBorders>
            <w:vAlign w:val="center"/>
          </w:tcPr>
          <w:p w14:paraId="59CADF24" w14:textId="77777777" w:rsidR="005E000F" w:rsidRDefault="00000000">
            <w:pPr>
              <w:jc w:val="right"/>
              <w:rPr>
                <w:rFonts w:cs="宋体"/>
                <w:bCs/>
                <w:color w:val="000000" w:themeColor="text1"/>
              </w:rPr>
            </w:pPr>
            <w:r>
              <w:rPr>
                <w:rFonts w:cs="宋体"/>
                <w:bCs/>
                <w:color w:val="000000" w:themeColor="text1"/>
              </w:rPr>
              <w:t>3,278,399</w:t>
            </w:r>
          </w:p>
        </w:tc>
        <w:tc>
          <w:tcPr>
            <w:tcW w:w="1186" w:type="dxa"/>
            <w:tcBorders>
              <w:top w:val="single" w:sz="4" w:space="0" w:color="auto"/>
              <w:left w:val="single" w:sz="4" w:space="0" w:color="auto"/>
              <w:bottom w:val="single" w:sz="4" w:space="0" w:color="auto"/>
              <w:right w:val="single" w:sz="4" w:space="0" w:color="auto"/>
            </w:tcBorders>
          </w:tcPr>
          <w:p w14:paraId="56DF4537" w14:textId="77777777" w:rsidR="005E000F" w:rsidRDefault="00000000">
            <w:pPr>
              <w:jc w:val="right"/>
              <w:rPr>
                <w:rFonts w:cs="宋体"/>
                <w:bCs/>
                <w:color w:val="000000" w:themeColor="text1"/>
              </w:rPr>
            </w:pPr>
            <w:r>
              <w:rPr>
                <w:rFonts w:cs="宋体" w:hint="eastAsia"/>
                <w:bCs/>
                <w:color w:val="000000" w:themeColor="text1"/>
              </w:rPr>
              <w:t>0</w:t>
            </w:r>
          </w:p>
        </w:tc>
        <w:tc>
          <w:tcPr>
            <w:tcW w:w="1172" w:type="dxa"/>
            <w:tcBorders>
              <w:top w:val="single" w:sz="4" w:space="0" w:color="auto"/>
              <w:left w:val="single" w:sz="4" w:space="0" w:color="auto"/>
              <w:bottom w:val="single" w:sz="4" w:space="0" w:color="auto"/>
              <w:right w:val="single" w:sz="4" w:space="0" w:color="auto"/>
            </w:tcBorders>
          </w:tcPr>
          <w:p w14:paraId="4E6F205A" w14:textId="77777777" w:rsidR="005E000F" w:rsidRDefault="00000000">
            <w:pPr>
              <w:jc w:val="right"/>
              <w:rPr>
                <w:rFonts w:cs="宋体"/>
                <w:bCs/>
                <w:color w:val="000000" w:themeColor="text1"/>
              </w:rPr>
            </w:pPr>
            <w:r>
              <w:rPr>
                <w:rFonts w:cs="宋体" w:hint="eastAsia"/>
                <w:bCs/>
                <w:color w:val="000000" w:themeColor="text1"/>
              </w:rPr>
              <w:t>0</w:t>
            </w:r>
          </w:p>
        </w:tc>
        <w:tc>
          <w:tcPr>
            <w:tcW w:w="1172" w:type="dxa"/>
            <w:tcBorders>
              <w:top w:val="single" w:sz="4" w:space="0" w:color="auto"/>
              <w:left w:val="single" w:sz="4" w:space="0" w:color="auto"/>
              <w:bottom w:val="single" w:sz="4" w:space="0" w:color="auto"/>
              <w:right w:val="single" w:sz="4" w:space="0" w:color="auto"/>
            </w:tcBorders>
          </w:tcPr>
          <w:p w14:paraId="18390094" w14:textId="77777777" w:rsidR="005E000F" w:rsidRDefault="00000000">
            <w:pPr>
              <w:jc w:val="right"/>
              <w:rPr>
                <w:rFonts w:cs="宋体"/>
                <w:bCs/>
                <w:color w:val="000000" w:themeColor="text1"/>
              </w:rPr>
            </w:pPr>
            <w:r>
              <w:rPr>
                <w:rFonts w:cs="宋体" w:hint="eastAsia"/>
                <w:bCs/>
                <w:color w:val="000000" w:themeColor="text1"/>
              </w:rPr>
              <w:t>0</w:t>
            </w:r>
          </w:p>
        </w:tc>
        <w:tc>
          <w:tcPr>
            <w:tcW w:w="1163" w:type="dxa"/>
            <w:tcBorders>
              <w:top w:val="single" w:sz="4" w:space="0" w:color="auto"/>
              <w:left w:val="single" w:sz="4" w:space="0" w:color="auto"/>
              <w:bottom w:val="single" w:sz="4" w:space="0" w:color="auto"/>
              <w:right w:val="single" w:sz="4" w:space="0" w:color="auto"/>
            </w:tcBorders>
            <w:vAlign w:val="center"/>
          </w:tcPr>
          <w:p w14:paraId="5DD7E61C" w14:textId="77777777" w:rsidR="005E000F" w:rsidRDefault="00000000">
            <w:pPr>
              <w:jc w:val="right"/>
              <w:rPr>
                <w:rFonts w:cs="宋体"/>
                <w:bCs/>
                <w:color w:val="000000" w:themeColor="text1"/>
              </w:rPr>
            </w:pPr>
            <w:r>
              <w:rPr>
                <w:rFonts w:cs="宋体"/>
                <w:bCs/>
                <w:color w:val="000000" w:themeColor="text1"/>
              </w:rPr>
              <w:t>5,382,463,68</w:t>
            </w:r>
            <w:r>
              <w:rPr>
                <w:rFonts w:cs="宋体" w:hint="eastAsia"/>
                <w:bCs/>
                <w:color w:val="000000" w:themeColor="text1"/>
              </w:rPr>
              <w:t>9</w:t>
            </w:r>
          </w:p>
        </w:tc>
        <w:tc>
          <w:tcPr>
            <w:tcW w:w="1138" w:type="dxa"/>
            <w:tcBorders>
              <w:top w:val="single" w:sz="4" w:space="0" w:color="auto"/>
              <w:left w:val="single" w:sz="4" w:space="0" w:color="auto"/>
              <w:bottom w:val="single" w:sz="4" w:space="0" w:color="auto"/>
              <w:right w:val="single" w:sz="4" w:space="0" w:color="auto"/>
            </w:tcBorders>
          </w:tcPr>
          <w:p w14:paraId="3EA3B0CA" w14:textId="77777777" w:rsidR="005E000F" w:rsidRDefault="00000000">
            <w:pPr>
              <w:jc w:val="right"/>
              <w:rPr>
                <w:rFonts w:cs="宋体"/>
                <w:bCs/>
                <w:color w:val="000000" w:themeColor="text1"/>
              </w:rPr>
            </w:pPr>
            <w:r>
              <w:rPr>
                <w:rFonts w:cs="宋体" w:hint="eastAsia"/>
                <w:bCs/>
                <w:color w:val="000000" w:themeColor="text1"/>
              </w:rPr>
              <w:t>0</w:t>
            </w:r>
          </w:p>
        </w:tc>
      </w:tr>
      <w:tr w:rsidR="005E000F" w14:paraId="1B2C48E4" w14:textId="77777777">
        <w:tc>
          <w:tcPr>
            <w:tcW w:w="443" w:type="pct"/>
            <w:tcBorders>
              <w:top w:val="single" w:sz="4" w:space="0" w:color="auto"/>
              <w:left w:val="single" w:sz="4" w:space="0" w:color="auto"/>
              <w:bottom w:val="single" w:sz="4" w:space="0" w:color="auto"/>
              <w:right w:val="single" w:sz="4" w:space="0" w:color="auto"/>
            </w:tcBorders>
            <w:vAlign w:val="center"/>
          </w:tcPr>
          <w:p w14:paraId="37D76EFE" w14:textId="77777777" w:rsidR="005E000F" w:rsidRDefault="00000000">
            <w:pPr>
              <w:jc w:val="center"/>
            </w:pPr>
            <w:r>
              <w:rPr>
                <w:rFonts w:hint="eastAsia"/>
              </w:rPr>
              <w:t>合计</w:t>
            </w:r>
          </w:p>
        </w:tc>
        <w:tc>
          <w:tcPr>
            <w:tcW w:w="542" w:type="pct"/>
            <w:tcBorders>
              <w:top w:val="single" w:sz="4" w:space="0" w:color="auto"/>
              <w:left w:val="single" w:sz="4" w:space="0" w:color="auto"/>
              <w:bottom w:val="single" w:sz="4" w:space="0" w:color="auto"/>
              <w:right w:val="single" w:sz="4" w:space="0" w:color="auto"/>
            </w:tcBorders>
            <w:vAlign w:val="center"/>
          </w:tcPr>
          <w:p w14:paraId="5EC9D34C" w14:textId="77777777" w:rsidR="005E000F" w:rsidRDefault="00000000">
            <w:pPr>
              <w:jc w:val="right"/>
            </w:pPr>
            <w:r>
              <w:rPr>
                <w:rFonts w:cs="宋体" w:hint="eastAsia"/>
                <w:bCs/>
                <w:color w:val="000000" w:themeColor="text1"/>
              </w:rPr>
              <w:t>24,639,714,287</w:t>
            </w:r>
          </w:p>
        </w:tc>
        <w:tc>
          <w:tcPr>
            <w:tcW w:w="1145" w:type="dxa"/>
            <w:tcBorders>
              <w:top w:val="single" w:sz="4" w:space="0" w:color="auto"/>
              <w:left w:val="single" w:sz="4" w:space="0" w:color="auto"/>
              <w:bottom w:val="single" w:sz="4" w:space="0" w:color="auto"/>
              <w:right w:val="single" w:sz="4" w:space="0" w:color="auto"/>
            </w:tcBorders>
          </w:tcPr>
          <w:p w14:paraId="7FBC0051" w14:textId="77777777" w:rsidR="005E000F" w:rsidRDefault="00000000">
            <w:pPr>
              <w:jc w:val="right"/>
            </w:pPr>
            <w:r>
              <w:rPr>
                <w:rFonts w:cs="宋体" w:hint="eastAsia"/>
                <w:bCs/>
                <w:color w:val="000000" w:themeColor="text1"/>
              </w:rPr>
              <w:t>0</w:t>
            </w:r>
          </w:p>
        </w:tc>
        <w:tc>
          <w:tcPr>
            <w:tcW w:w="1007" w:type="dxa"/>
            <w:tcBorders>
              <w:top w:val="single" w:sz="4" w:space="0" w:color="auto"/>
              <w:left w:val="single" w:sz="4" w:space="0" w:color="auto"/>
              <w:bottom w:val="single" w:sz="4" w:space="0" w:color="auto"/>
              <w:right w:val="single" w:sz="4" w:space="0" w:color="auto"/>
            </w:tcBorders>
          </w:tcPr>
          <w:p w14:paraId="6A653156" w14:textId="77777777" w:rsidR="005E000F" w:rsidRDefault="00000000">
            <w:pPr>
              <w:jc w:val="right"/>
            </w:pPr>
            <w:r>
              <w:rPr>
                <w:rFonts w:cs="宋体" w:hint="eastAsia"/>
                <w:bCs/>
                <w:color w:val="000000" w:themeColor="text1"/>
              </w:rPr>
              <w:t>0</w:t>
            </w:r>
          </w:p>
        </w:tc>
        <w:tc>
          <w:tcPr>
            <w:tcW w:w="1189" w:type="dxa"/>
            <w:tcBorders>
              <w:top w:val="single" w:sz="4" w:space="0" w:color="auto"/>
              <w:left w:val="single" w:sz="4" w:space="0" w:color="auto"/>
              <w:bottom w:val="single" w:sz="4" w:space="0" w:color="auto"/>
              <w:right w:val="single" w:sz="4" w:space="0" w:color="auto"/>
            </w:tcBorders>
            <w:vAlign w:val="center"/>
          </w:tcPr>
          <w:p w14:paraId="4722B1A5" w14:textId="77777777" w:rsidR="005E000F" w:rsidRDefault="00000000">
            <w:pPr>
              <w:jc w:val="right"/>
              <w:rPr>
                <w:rFonts w:cs="宋体"/>
                <w:bCs/>
                <w:color w:val="000000" w:themeColor="text1"/>
              </w:rPr>
            </w:pPr>
            <w:r>
              <w:rPr>
                <w:rFonts w:cs="宋体"/>
                <w:bCs/>
                <w:color w:val="000000" w:themeColor="text1"/>
              </w:rPr>
              <w:t>2,739,415,25</w:t>
            </w:r>
            <w:r>
              <w:rPr>
                <w:rFonts w:cs="宋体" w:hint="eastAsia"/>
                <w:bCs/>
                <w:color w:val="000000" w:themeColor="text1"/>
              </w:rPr>
              <w:t>0</w:t>
            </w:r>
          </w:p>
        </w:tc>
        <w:tc>
          <w:tcPr>
            <w:tcW w:w="1065" w:type="dxa"/>
            <w:tcBorders>
              <w:top w:val="single" w:sz="4" w:space="0" w:color="auto"/>
              <w:left w:val="single" w:sz="4" w:space="0" w:color="auto"/>
              <w:bottom w:val="single" w:sz="4" w:space="0" w:color="auto"/>
              <w:right w:val="single" w:sz="4" w:space="0" w:color="auto"/>
            </w:tcBorders>
          </w:tcPr>
          <w:p w14:paraId="1905D505" w14:textId="77777777" w:rsidR="005E000F" w:rsidRDefault="00000000">
            <w:pPr>
              <w:jc w:val="right"/>
              <w:rPr>
                <w:rFonts w:cs="宋体"/>
                <w:bCs/>
                <w:color w:val="000000" w:themeColor="text1"/>
              </w:rPr>
            </w:pPr>
            <w:r>
              <w:rPr>
                <w:rFonts w:cs="宋体" w:hint="eastAsia"/>
                <w:bCs/>
                <w:color w:val="000000" w:themeColor="text1"/>
              </w:rPr>
              <w:t>0</w:t>
            </w:r>
          </w:p>
        </w:tc>
        <w:tc>
          <w:tcPr>
            <w:tcW w:w="1070" w:type="dxa"/>
            <w:tcBorders>
              <w:top w:val="single" w:sz="4" w:space="0" w:color="auto"/>
              <w:left w:val="single" w:sz="4" w:space="0" w:color="auto"/>
              <w:bottom w:val="single" w:sz="4" w:space="0" w:color="auto"/>
              <w:right w:val="single" w:sz="4" w:space="0" w:color="auto"/>
            </w:tcBorders>
            <w:vAlign w:val="center"/>
          </w:tcPr>
          <w:p w14:paraId="0FC9DEA3" w14:textId="77777777" w:rsidR="005E000F" w:rsidRDefault="00000000">
            <w:pPr>
              <w:jc w:val="right"/>
              <w:rPr>
                <w:rFonts w:cs="宋体"/>
                <w:bCs/>
                <w:color w:val="000000" w:themeColor="text1"/>
              </w:rPr>
            </w:pPr>
            <w:r>
              <w:rPr>
                <w:rFonts w:cs="宋体"/>
                <w:bCs/>
                <w:color w:val="000000" w:themeColor="text1"/>
              </w:rPr>
              <w:t>315,395,122</w:t>
            </w:r>
          </w:p>
        </w:tc>
        <w:tc>
          <w:tcPr>
            <w:tcW w:w="1186" w:type="dxa"/>
            <w:tcBorders>
              <w:top w:val="single" w:sz="4" w:space="0" w:color="auto"/>
              <w:left w:val="single" w:sz="4" w:space="0" w:color="auto"/>
              <w:bottom w:val="single" w:sz="4" w:space="0" w:color="auto"/>
              <w:right w:val="single" w:sz="4" w:space="0" w:color="auto"/>
            </w:tcBorders>
          </w:tcPr>
          <w:p w14:paraId="4E6EC112" w14:textId="77777777" w:rsidR="005E000F" w:rsidRDefault="00000000">
            <w:pPr>
              <w:jc w:val="right"/>
              <w:rPr>
                <w:rFonts w:cs="宋体"/>
                <w:bCs/>
                <w:color w:val="000000" w:themeColor="text1"/>
              </w:rPr>
            </w:pPr>
            <w:r>
              <w:rPr>
                <w:rFonts w:cs="宋体" w:hint="eastAsia"/>
                <w:bCs/>
                <w:color w:val="000000" w:themeColor="text1"/>
              </w:rPr>
              <w:t>0</w:t>
            </w:r>
          </w:p>
        </w:tc>
        <w:tc>
          <w:tcPr>
            <w:tcW w:w="1172" w:type="dxa"/>
            <w:tcBorders>
              <w:top w:val="single" w:sz="4" w:space="0" w:color="auto"/>
              <w:left w:val="single" w:sz="4" w:space="0" w:color="auto"/>
              <w:bottom w:val="single" w:sz="4" w:space="0" w:color="auto"/>
              <w:right w:val="single" w:sz="4" w:space="0" w:color="auto"/>
            </w:tcBorders>
          </w:tcPr>
          <w:p w14:paraId="09F1AFAD" w14:textId="77777777" w:rsidR="005E000F" w:rsidRDefault="00000000">
            <w:pPr>
              <w:jc w:val="right"/>
              <w:rPr>
                <w:rFonts w:cs="宋体"/>
                <w:bCs/>
                <w:color w:val="000000" w:themeColor="text1"/>
              </w:rPr>
            </w:pPr>
            <w:r>
              <w:rPr>
                <w:rFonts w:cs="宋体" w:hint="eastAsia"/>
                <w:bCs/>
                <w:color w:val="000000" w:themeColor="text1"/>
              </w:rPr>
              <w:t>0</w:t>
            </w:r>
          </w:p>
        </w:tc>
        <w:tc>
          <w:tcPr>
            <w:tcW w:w="1172" w:type="dxa"/>
            <w:tcBorders>
              <w:top w:val="single" w:sz="4" w:space="0" w:color="auto"/>
              <w:left w:val="single" w:sz="4" w:space="0" w:color="auto"/>
              <w:bottom w:val="single" w:sz="4" w:space="0" w:color="auto"/>
              <w:right w:val="single" w:sz="4" w:space="0" w:color="auto"/>
            </w:tcBorders>
          </w:tcPr>
          <w:p w14:paraId="17ED350D" w14:textId="77777777" w:rsidR="005E000F" w:rsidRDefault="00000000">
            <w:pPr>
              <w:jc w:val="right"/>
              <w:rPr>
                <w:rFonts w:cs="宋体"/>
                <w:bCs/>
                <w:color w:val="000000" w:themeColor="text1"/>
              </w:rPr>
            </w:pPr>
            <w:r>
              <w:rPr>
                <w:rFonts w:cs="宋体" w:hint="eastAsia"/>
                <w:bCs/>
                <w:color w:val="000000" w:themeColor="text1"/>
              </w:rPr>
              <w:t>0</w:t>
            </w:r>
          </w:p>
        </w:tc>
        <w:tc>
          <w:tcPr>
            <w:tcW w:w="1163" w:type="dxa"/>
            <w:tcBorders>
              <w:top w:val="single" w:sz="4" w:space="0" w:color="auto"/>
              <w:left w:val="single" w:sz="4" w:space="0" w:color="auto"/>
              <w:bottom w:val="single" w:sz="4" w:space="0" w:color="auto"/>
              <w:right w:val="single" w:sz="4" w:space="0" w:color="auto"/>
            </w:tcBorders>
            <w:vAlign w:val="center"/>
          </w:tcPr>
          <w:p w14:paraId="0218E5DB" w14:textId="77777777" w:rsidR="005E000F" w:rsidRDefault="00000000">
            <w:pPr>
              <w:jc w:val="right"/>
              <w:rPr>
                <w:rFonts w:cs="宋体"/>
                <w:bCs/>
                <w:color w:val="000000" w:themeColor="text1"/>
              </w:rPr>
            </w:pPr>
            <w:r>
              <w:rPr>
                <w:rFonts w:cs="宋体"/>
                <w:bCs/>
                <w:color w:val="000000" w:themeColor="text1"/>
              </w:rPr>
              <w:t>27,694,524,6</w:t>
            </w:r>
            <w:r>
              <w:rPr>
                <w:rFonts w:cs="宋体" w:hint="eastAsia"/>
                <w:bCs/>
                <w:color w:val="000000" w:themeColor="text1"/>
              </w:rPr>
              <w:t>59</w:t>
            </w:r>
          </w:p>
        </w:tc>
        <w:tc>
          <w:tcPr>
            <w:tcW w:w="1138" w:type="dxa"/>
            <w:tcBorders>
              <w:top w:val="single" w:sz="4" w:space="0" w:color="auto"/>
              <w:left w:val="single" w:sz="4" w:space="0" w:color="auto"/>
              <w:bottom w:val="single" w:sz="4" w:space="0" w:color="auto"/>
              <w:right w:val="single" w:sz="4" w:space="0" w:color="auto"/>
            </w:tcBorders>
          </w:tcPr>
          <w:p w14:paraId="1036A388" w14:textId="77777777" w:rsidR="005E000F" w:rsidRDefault="00000000">
            <w:pPr>
              <w:jc w:val="right"/>
              <w:rPr>
                <w:rFonts w:cs="宋体"/>
                <w:bCs/>
                <w:color w:val="000000" w:themeColor="text1"/>
              </w:rPr>
            </w:pPr>
            <w:r>
              <w:rPr>
                <w:rFonts w:cs="宋体" w:hint="eastAsia"/>
                <w:bCs/>
                <w:color w:val="000000" w:themeColor="text1"/>
              </w:rPr>
              <w:t>0</w:t>
            </w:r>
          </w:p>
        </w:tc>
      </w:tr>
    </w:tbl>
    <w:p w14:paraId="0CF50AF4" w14:textId="77777777" w:rsidR="005E000F" w:rsidRDefault="005E000F"/>
    <w:p w14:paraId="2FB1E7FE" w14:textId="77777777" w:rsidR="005E000F" w:rsidRDefault="00000000">
      <w:pPr>
        <w:pStyle w:val="4"/>
        <w:numPr>
          <w:ilvl w:val="0"/>
          <w:numId w:val="79"/>
        </w:numPr>
      </w:pPr>
      <w:bookmarkStart w:id="463" w:name="_Hlk155165896"/>
      <w:r>
        <w:rPr>
          <w:rFonts w:hint="eastAsia"/>
        </w:rPr>
        <w:t>长期股权投资的减值测试情况</w:t>
      </w:r>
    </w:p>
    <w:sdt>
      <w:sdtPr>
        <w:alias w:val="是否适用：减值测试情况[双击切换]"/>
        <w:tag w:val="_GBC_99f575f7d43c4e27846e49ee35c9e10f"/>
        <w:id w:val="1323391678"/>
        <w:placeholder>
          <w:docPart w:val="GBC22222222222222222222222222222"/>
        </w:placeholder>
      </w:sdtPr>
      <w:sdtContent>
        <w:p w14:paraId="571DBB56"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2AA8B7B2" w14:textId="77777777" w:rsidR="005E000F" w:rsidRDefault="005E000F"/>
    <w:bookmarkEnd w:id="463"/>
    <w:p w14:paraId="259BFF42" w14:textId="77777777" w:rsidR="005E000F" w:rsidRDefault="005E000F"/>
    <w:p w14:paraId="6C9C476A" w14:textId="77777777" w:rsidR="005E000F" w:rsidRDefault="00000000">
      <w:r>
        <w:rPr>
          <w:rFonts w:hint="eastAsia"/>
        </w:rPr>
        <w:t>其他说明：</w:t>
      </w:r>
    </w:p>
    <w:sdt>
      <w:sdtPr>
        <w:rPr>
          <w:rFonts w:hint="eastAsia"/>
        </w:rPr>
        <w:alias w:val="长期股权投资的说明"/>
        <w:tag w:val="_GBC_938f2ac679ca480c83553ff73f8b80b6"/>
        <w:id w:val="714473729"/>
        <w:placeholder>
          <w:docPart w:val="GBC22222222222222222222222222222"/>
        </w:placeholder>
      </w:sdtPr>
      <w:sdtContent>
        <w:p w14:paraId="426C8F70" w14:textId="77777777" w:rsidR="005E000F" w:rsidRDefault="00000000">
          <w:r>
            <w:rPr>
              <w:rFonts w:hint="eastAsia"/>
            </w:rPr>
            <w:t>无</w:t>
          </w:r>
        </w:p>
      </w:sdtContent>
    </w:sdt>
    <w:p w14:paraId="59C7A51C" w14:textId="77777777" w:rsidR="005E000F" w:rsidRDefault="005E000F">
      <w:pPr>
        <w:sectPr w:rsidR="005E000F">
          <w:pgSz w:w="16838" w:h="11906" w:orient="landscape"/>
          <w:pgMar w:top="1797" w:right="1525" w:bottom="1276" w:left="1440" w:header="856" w:footer="992" w:gutter="0"/>
          <w:cols w:space="425"/>
          <w:docGrid w:linePitch="312"/>
        </w:sectPr>
      </w:pPr>
    </w:p>
    <w:p w14:paraId="5B1612D0" w14:textId="77777777" w:rsidR="005E000F" w:rsidRDefault="005E000F"/>
    <w:p w14:paraId="78DCA820" w14:textId="77777777" w:rsidR="005E000F" w:rsidRDefault="00000000">
      <w:pPr>
        <w:pStyle w:val="3"/>
        <w:numPr>
          <w:ilvl w:val="0"/>
          <w:numId w:val="130"/>
        </w:numPr>
      </w:pPr>
      <w:r>
        <w:rPr>
          <w:rFonts w:hint="eastAsia"/>
        </w:rPr>
        <w:t>营业收入和营业成本</w:t>
      </w:r>
    </w:p>
    <w:p w14:paraId="442AC96A" w14:textId="77777777" w:rsidR="005E000F" w:rsidRDefault="00000000">
      <w:pPr>
        <w:pStyle w:val="4"/>
        <w:numPr>
          <w:ilvl w:val="0"/>
          <w:numId w:val="136"/>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852496497"/>
        <w:placeholder>
          <w:docPart w:val="GBC22222222222222222222222222222"/>
        </w:placeholder>
      </w:sdtPr>
      <w:sdtContent>
        <w:p w14:paraId="387DAFAA" w14:textId="77777777" w:rsidR="005E000F" w:rsidRDefault="00000000">
          <w:pPr>
            <w:pStyle w:val="aff8"/>
            <w:ind w:firstLineChars="0" w:firstLine="0"/>
            <w:jc w:val="left"/>
            <w:rPr>
              <w:rFonts w:ascii="宋体" w:hAnsi="宋体"/>
              <w:bCs/>
              <w:szCs w:val="21"/>
            </w:rPr>
          </w:pPr>
          <w:r>
            <w:rPr>
              <w:rFonts w:ascii="宋体" w:hAnsi="宋体"/>
              <w:bCs/>
              <w:szCs w:val="21"/>
            </w:rPr>
            <w:fldChar w:fldCharType="begin"/>
          </w:r>
          <w:r>
            <w:rPr>
              <w:rFonts w:ascii="宋体" w:hAnsi="宋体"/>
              <w:bCs/>
              <w:szCs w:val="21"/>
            </w:rPr>
            <w:instrText xml:space="preserve"> </w:instrText>
          </w:r>
          <w:r>
            <w:rPr>
              <w:rFonts w:ascii="宋体" w:hAnsi="宋体" w:hint="eastAsia"/>
              <w:bCs/>
              <w:szCs w:val="21"/>
            </w:rPr>
            <w:instrText xml:space="preserve">MACROBUTTON  SnrToggleCheckbox √适用 </w:instrText>
          </w:r>
          <w:r>
            <w:rPr>
              <w:rFonts w:ascii="宋体" w:hAnsi="宋体"/>
              <w:bCs/>
              <w:szCs w:val="21"/>
            </w:rPr>
            <w:instrText xml:space="preserve"> </w:instrText>
          </w:r>
          <w:r>
            <w:rPr>
              <w:rFonts w:ascii="宋体" w:hAnsi="宋体"/>
              <w:bCs/>
              <w:szCs w:val="21"/>
            </w:rPr>
            <w:fldChar w:fldCharType="end"/>
          </w:r>
          <w:r>
            <w:rPr>
              <w:rFonts w:ascii="宋体" w:hAnsi="宋体"/>
              <w:bCs/>
              <w:szCs w:val="21"/>
            </w:rPr>
            <w:fldChar w:fldCharType="begin"/>
          </w:r>
          <w:r>
            <w:rPr>
              <w:rFonts w:ascii="宋体" w:hAnsi="宋体"/>
              <w:bCs/>
              <w:szCs w:val="21"/>
            </w:rPr>
            <w:instrText xml:space="preserve"> MACROBUTTON  SnrToggleCheckbox □不适用 </w:instrText>
          </w:r>
          <w:r>
            <w:rPr>
              <w:rFonts w:ascii="宋体" w:hAnsi="宋体"/>
              <w:bCs/>
              <w:szCs w:val="21"/>
            </w:rPr>
            <w:fldChar w:fldCharType="end"/>
          </w:r>
        </w:p>
      </w:sdtContent>
    </w:sdt>
    <w:p w14:paraId="48C8E386" w14:textId="77777777" w:rsidR="005E000F" w:rsidRDefault="00000000">
      <w:pPr>
        <w:pStyle w:val="aff8"/>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33259712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831253999"/>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6"/>
        <w:gridCol w:w="1700"/>
        <w:gridCol w:w="1645"/>
        <w:gridCol w:w="1655"/>
        <w:gridCol w:w="1562"/>
      </w:tblGrid>
      <w:tr w:rsidR="005E000F" w14:paraId="48FDA27B" w14:textId="77777777">
        <w:sdt>
          <w:sdtPr>
            <w:tag w:val="_PLD_03d52d676cf8435a8f7a530f92cd7617"/>
            <w:id w:val="1519813380"/>
          </w:sdtPr>
          <w:sdtContent>
            <w:tc>
              <w:tcPr>
                <w:tcW w:w="2486" w:type="dxa"/>
                <w:vMerge w:val="restart"/>
                <w:tcBorders>
                  <w:top w:val="single" w:sz="4" w:space="0" w:color="auto"/>
                  <w:left w:val="single" w:sz="4" w:space="0" w:color="auto"/>
                  <w:right w:val="single" w:sz="4" w:space="0" w:color="auto"/>
                </w:tcBorders>
                <w:vAlign w:val="center"/>
              </w:tcPr>
              <w:p w14:paraId="5DCD728E" w14:textId="77777777" w:rsidR="005E000F" w:rsidRDefault="00000000">
                <w:pPr>
                  <w:jc w:val="center"/>
                </w:pPr>
                <w:r>
                  <w:rPr>
                    <w:rFonts w:hint="eastAsia"/>
                  </w:rPr>
                  <w:t>项目</w:t>
                </w:r>
              </w:p>
            </w:tc>
          </w:sdtContent>
        </w:sdt>
        <w:sdt>
          <w:sdtPr>
            <w:tag w:val="_PLD_32b5faadfe0b45d19044be5526af3c2d"/>
            <w:id w:val="-1772998566"/>
          </w:sdtPr>
          <w:sdtContent>
            <w:tc>
              <w:tcPr>
                <w:tcW w:w="3345" w:type="dxa"/>
                <w:gridSpan w:val="2"/>
                <w:tcBorders>
                  <w:top w:val="single" w:sz="4" w:space="0" w:color="auto"/>
                  <w:left w:val="single" w:sz="4" w:space="0" w:color="auto"/>
                  <w:bottom w:val="single" w:sz="4" w:space="0" w:color="auto"/>
                  <w:right w:val="single" w:sz="4" w:space="0" w:color="auto"/>
                </w:tcBorders>
                <w:vAlign w:val="center"/>
              </w:tcPr>
              <w:p w14:paraId="2DB09A7D" w14:textId="77777777" w:rsidR="005E000F" w:rsidRDefault="00000000">
                <w:pPr>
                  <w:jc w:val="center"/>
                </w:pPr>
                <w:r>
                  <w:rPr>
                    <w:rFonts w:hint="eastAsia"/>
                  </w:rPr>
                  <w:t>本期发生额</w:t>
                </w:r>
              </w:p>
            </w:tc>
          </w:sdtContent>
        </w:sdt>
        <w:sdt>
          <w:sdtPr>
            <w:tag w:val="_PLD_5e3b95dc7e564cbabd77bf88c8a43781"/>
            <w:id w:val="1056594742"/>
          </w:sdtPr>
          <w:sdtContent>
            <w:tc>
              <w:tcPr>
                <w:tcW w:w="3217" w:type="dxa"/>
                <w:gridSpan w:val="2"/>
                <w:tcBorders>
                  <w:top w:val="single" w:sz="4" w:space="0" w:color="auto"/>
                  <w:left w:val="single" w:sz="4" w:space="0" w:color="auto"/>
                  <w:bottom w:val="single" w:sz="4" w:space="0" w:color="auto"/>
                  <w:right w:val="single" w:sz="4" w:space="0" w:color="auto"/>
                </w:tcBorders>
                <w:vAlign w:val="center"/>
              </w:tcPr>
              <w:p w14:paraId="6B236C46" w14:textId="77777777" w:rsidR="005E000F" w:rsidRDefault="00000000">
                <w:pPr>
                  <w:jc w:val="center"/>
                </w:pPr>
                <w:r>
                  <w:rPr>
                    <w:rFonts w:hint="eastAsia"/>
                  </w:rPr>
                  <w:t>上期发生额</w:t>
                </w:r>
              </w:p>
            </w:tc>
          </w:sdtContent>
        </w:sdt>
      </w:tr>
      <w:tr w:rsidR="005E000F" w14:paraId="7D585F26" w14:textId="77777777">
        <w:tc>
          <w:tcPr>
            <w:tcW w:w="2486" w:type="dxa"/>
            <w:vMerge/>
            <w:tcBorders>
              <w:left w:val="single" w:sz="4" w:space="0" w:color="auto"/>
              <w:bottom w:val="single" w:sz="4" w:space="0" w:color="auto"/>
              <w:right w:val="single" w:sz="4" w:space="0" w:color="auto"/>
            </w:tcBorders>
            <w:vAlign w:val="center"/>
          </w:tcPr>
          <w:p w14:paraId="454F15A3" w14:textId="77777777" w:rsidR="005E000F" w:rsidRDefault="005E000F">
            <w:pPr>
              <w:jc w:val="center"/>
            </w:pPr>
          </w:p>
        </w:tc>
        <w:sdt>
          <w:sdtPr>
            <w:tag w:val="_PLD_35d68e9def174e9fb111f9c26dc6e586"/>
            <w:id w:val="2091572565"/>
          </w:sdtPr>
          <w:sdtContent>
            <w:tc>
              <w:tcPr>
                <w:tcW w:w="1700" w:type="dxa"/>
                <w:tcBorders>
                  <w:top w:val="single" w:sz="4" w:space="0" w:color="auto"/>
                  <w:left w:val="single" w:sz="4" w:space="0" w:color="auto"/>
                  <w:bottom w:val="single" w:sz="4" w:space="0" w:color="auto"/>
                  <w:right w:val="single" w:sz="4" w:space="0" w:color="auto"/>
                </w:tcBorders>
                <w:vAlign w:val="center"/>
              </w:tcPr>
              <w:p w14:paraId="05FDD699" w14:textId="77777777" w:rsidR="005E000F" w:rsidRDefault="00000000">
                <w:pPr>
                  <w:jc w:val="center"/>
                </w:pPr>
                <w:r>
                  <w:rPr>
                    <w:rFonts w:hint="eastAsia"/>
                  </w:rPr>
                  <w:t>收入</w:t>
                </w:r>
              </w:p>
            </w:tc>
          </w:sdtContent>
        </w:sdt>
        <w:sdt>
          <w:sdtPr>
            <w:tag w:val="_PLD_bca4c40811a6455bb6f684093a6c0c7d"/>
            <w:id w:val="-2143112937"/>
          </w:sdtPr>
          <w:sdtContent>
            <w:tc>
              <w:tcPr>
                <w:tcW w:w="1645" w:type="dxa"/>
                <w:tcBorders>
                  <w:top w:val="single" w:sz="4" w:space="0" w:color="auto"/>
                  <w:left w:val="single" w:sz="4" w:space="0" w:color="auto"/>
                  <w:bottom w:val="single" w:sz="4" w:space="0" w:color="auto"/>
                  <w:right w:val="single" w:sz="4" w:space="0" w:color="auto"/>
                </w:tcBorders>
                <w:vAlign w:val="center"/>
              </w:tcPr>
              <w:p w14:paraId="761E70E3" w14:textId="77777777" w:rsidR="005E000F" w:rsidRDefault="00000000">
                <w:pPr>
                  <w:jc w:val="center"/>
                </w:pPr>
                <w:r>
                  <w:rPr>
                    <w:rFonts w:hint="eastAsia"/>
                  </w:rPr>
                  <w:t>成本</w:t>
                </w:r>
              </w:p>
            </w:tc>
          </w:sdtContent>
        </w:sdt>
        <w:sdt>
          <w:sdtPr>
            <w:tag w:val="_PLD_913bf231029842ff9aedaf2297b238c1"/>
            <w:id w:val="639309703"/>
          </w:sdtPr>
          <w:sdtContent>
            <w:tc>
              <w:tcPr>
                <w:tcW w:w="1655" w:type="dxa"/>
                <w:tcBorders>
                  <w:top w:val="single" w:sz="4" w:space="0" w:color="auto"/>
                  <w:left w:val="single" w:sz="4" w:space="0" w:color="auto"/>
                  <w:bottom w:val="single" w:sz="4" w:space="0" w:color="auto"/>
                  <w:right w:val="single" w:sz="4" w:space="0" w:color="auto"/>
                </w:tcBorders>
                <w:vAlign w:val="center"/>
              </w:tcPr>
              <w:p w14:paraId="08DDB558" w14:textId="77777777" w:rsidR="005E000F" w:rsidRDefault="00000000">
                <w:pPr>
                  <w:jc w:val="center"/>
                </w:pPr>
                <w:r>
                  <w:rPr>
                    <w:rFonts w:hint="eastAsia"/>
                  </w:rPr>
                  <w:t>收入</w:t>
                </w:r>
              </w:p>
            </w:tc>
          </w:sdtContent>
        </w:sdt>
        <w:sdt>
          <w:sdtPr>
            <w:tag w:val="_PLD_f626f406150145439510a3b7f1a71e39"/>
            <w:id w:val="-492028477"/>
          </w:sdtPr>
          <w:sdtContent>
            <w:tc>
              <w:tcPr>
                <w:tcW w:w="1562" w:type="dxa"/>
                <w:tcBorders>
                  <w:top w:val="single" w:sz="4" w:space="0" w:color="auto"/>
                  <w:left w:val="single" w:sz="4" w:space="0" w:color="auto"/>
                  <w:bottom w:val="single" w:sz="4" w:space="0" w:color="auto"/>
                  <w:right w:val="single" w:sz="4" w:space="0" w:color="auto"/>
                </w:tcBorders>
                <w:vAlign w:val="center"/>
              </w:tcPr>
              <w:p w14:paraId="3C82B4A1" w14:textId="77777777" w:rsidR="005E000F" w:rsidRDefault="00000000">
                <w:pPr>
                  <w:jc w:val="center"/>
                </w:pPr>
                <w:r>
                  <w:rPr>
                    <w:rFonts w:hint="eastAsia"/>
                  </w:rPr>
                  <w:t>成本</w:t>
                </w:r>
              </w:p>
            </w:tc>
          </w:sdtContent>
        </w:sdt>
      </w:tr>
      <w:tr w:rsidR="005E000F" w14:paraId="78419783" w14:textId="77777777">
        <w:tc>
          <w:tcPr>
            <w:tcW w:w="2486" w:type="dxa"/>
            <w:tcBorders>
              <w:top w:val="single" w:sz="4" w:space="0" w:color="auto"/>
              <w:left w:val="single" w:sz="4" w:space="0" w:color="auto"/>
              <w:bottom w:val="single" w:sz="4" w:space="0" w:color="auto"/>
              <w:right w:val="single" w:sz="4" w:space="0" w:color="auto"/>
            </w:tcBorders>
            <w:vAlign w:val="center"/>
          </w:tcPr>
          <w:p w14:paraId="42472CC4" w14:textId="77777777" w:rsidR="005E000F" w:rsidRDefault="00000000">
            <w:r>
              <w:rPr>
                <w:rFonts w:hint="eastAsia"/>
              </w:rPr>
              <w:t>主营业务</w:t>
            </w:r>
          </w:p>
        </w:tc>
        <w:tc>
          <w:tcPr>
            <w:tcW w:w="1700" w:type="dxa"/>
            <w:tcBorders>
              <w:top w:val="single" w:sz="4" w:space="0" w:color="auto"/>
              <w:left w:val="single" w:sz="4" w:space="0" w:color="auto"/>
              <w:bottom w:val="single" w:sz="4" w:space="0" w:color="auto"/>
              <w:right w:val="single" w:sz="4" w:space="0" w:color="auto"/>
            </w:tcBorders>
            <w:vAlign w:val="center"/>
          </w:tcPr>
          <w:p w14:paraId="3F8D2DB3" w14:textId="77777777" w:rsidR="005E000F" w:rsidRDefault="00000000">
            <w:pPr>
              <w:jc w:val="right"/>
              <w:rPr>
                <w:rFonts w:cs="宋体"/>
                <w:bCs/>
              </w:rPr>
            </w:pPr>
            <w:r>
              <w:rPr>
                <w:rFonts w:cs="宋体"/>
                <w:bCs/>
              </w:rPr>
              <w:t>72,381,447,403</w:t>
            </w:r>
          </w:p>
        </w:tc>
        <w:tc>
          <w:tcPr>
            <w:tcW w:w="1645" w:type="dxa"/>
            <w:tcBorders>
              <w:top w:val="single" w:sz="4" w:space="0" w:color="auto"/>
              <w:left w:val="single" w:sz="4" w:space="0" w:color="auto"/>
              <w:bottom w:val="single" w:sz="4" w:space="0" w:color="auto"/>
              <w:right w:val="single" w:sz="4" w:space="0" w:color="auto"/>
            </w:tcBorders>
            <w:vAlign w:val="center"/>
          </w:tcPr>
          <w:p w14:paraId="261F0558" w14:textId="77777777" w:rsidR="005E000F" w:rsidRDefault="00000000">
            <w:pPr>
              <w:jc w:val="right"/>
              <w:rPr>
                <w:rFonts w:cs="宋体"/>
                <w:bCs/>
              </w:rPr>
            </w:pPr>
            <w:r>
              <w:rPr>
                <w:rFonts w:cs="宋体"/>
                <w:bCs/>
              </w:rPr>
              <w:t>67,975,992,842</w:t>
            </w:r>
          </w:p>
        </w:tc>
        <w:tc>
          <w:tcPr>
            <w:tcW w:w="1655" w:type="dxa"/>
            <w:tcBorders>
              <w:top w:val="single" w:sz="4" w:space="0" w:color="auto"/>
              <w:left w:val="single" w:sz="4" w:space="0" w:color="auto"/>
              <w:bottom w:val="single" w:sz="4" w:space="0" w:color="auto"/>
              <w:right w:val="single" w:sz="4" w:space="0" w:color="auto"/>
            </w:tcBorders>
          </w:tcPr>
          <w:p w14:paraId="0F1CC83B" w14:textId="77777777" w:rsidR="005E000F" w:rsidRDefault="00000000">
            <w:pPr>
              <w:jc w:val="right"/>
              <w:rPr>
                <w:rFonts w:cs="宋体"/>
                <w:bCs/>
                <w:lang w:eastAsia="en-US"/>
              </w:rPr>
            </w:pPr>
            <w:r>
              <w:rPr>
                <w:rFonts w:cs="宋体" w:hint="eastAsia"/>
                <w:bCs/>
              </w:rPr>
              <w:t>68,850,687,576</w:t>
            </w:r>
          </w:p>
        </w:tc>
        <w:tc>
          <w:tcPr>
            <w:tcW w:w="1562" w:type="dxa"/>
            <w:tcBorders>
              <w:top w:val="single" w:sz="4" w:space="0" w:color="auto"/>
              <w:left w:val="single" w:sz="4" w:space="0" w:color="auto"/>
              <w:bottom w:val="single" w:sz="4" w:space="0" w:color="auto"/>
              <w:right w:val="single" w:sz="4" w:space="0" w:color="auto"/>
            </w:tcBorders>
          </w:tcPr>
          <w:p w14:paraId="5E3A28F1" w14:textId="77777777" w:rsidR="005E000F" w:rsidRDefault="00000000">
            <w:pPr>
              <w:jc w:val="right"/>
              <w:rPr>
                <w:rFonts w:cs="宋体"/>
                <w:bCs/>
                <w:lang w:eastAsia="en-US"/>
              </w:rPr>
            </w:pPr>
            <w:r>
              <w:rPr>
                <w:rFonts w:cs="宋体" w:hint="eastAsia"/>
                <w:bCs/>
              </w:rPr>
              <w:t>60,400,038,688</w:t>
            </w:r>
          </w:p>
        </w:tc>
      </w:tr>
      <w:tr w:rsidR="005E000F" w14:paraId="50C76ABF" w14:textId="77777777">
        <w:tc>
          <w:tcPr>
            <w:tcW w:w="2486" w:type="dxa"/>
            <w:tcBorders>
              <w:top w:val="single" w:sz="4" w:space="0" w:color="auto"/>
              <w:left w:val="single" w:sz="4" w:space="0" w:color="auto"/>
              <w:bottom w:val="single" w:sz="4" w:space="0" w:color="auto"/>
              <w:right w:val="single" w:sz="4" w:space="0" w:color="auto"/>
            </w:tcBorders>
            <w:vAlign w:val="center"/>
          </w:tcPr>
          <w:p w14:paraId="075E875C" w14:textId="77777777" w:rsidR="005E000F" w:rsidRDefault="00000000">
            <w:r>
              <w:rPr>
                <w:rFonts w:hint="eastAsia"/>
              </w:rPr>
              <w:t>其他业务</w:t>
            </w:r>
          </w:p>
        </w:tc>
        <w:tc>
          <w:tcPr>
            <w:tcW w:w="1700" w:type="dxa"/>
            <w:tcBorders>
              <w:top w:val="single" w:sz="4" w:space="0" w:color="auto"/>
              <w:left w:val="single" w:sz="4" w:space="0" w:color="auto"/>
              <w:bottom w:val="single" w:sz="4" w:space="0" w:color="auto"/>
              <w:right w:val="single" w:sz="4" w:space="0" w:color="auto"/>
            </w:tcBorders>
            <w:vAlign w:val="center"/>
          </w:tcPr>
          <w:p w14:paraId="507B972F" w14:textId="77777777" w:rsidR="005E000F" w:rsidRDefault="00000000">
            <w:pPr>
              <w:jc w:val="right"/>
              <w:rPr>
                <w:rFonts w:cs="宋体"/>
                <w:bCs/>
              </w:rPr>
            </w:pPr>
            <w:r>
              <w:rPr>
                <w:rFonts w:cs="宋体"/>
                <w:bCs/>
              </w:rPr>
              <w:t>1,143,227,250</w:t>
            </w:r>
          </w:p>
        </w:tc>
        <w:tc>
          <w:tcPr>
            <w:tcW w:w="1645" w:type="dxa"/>
            <w:tcBorders>
              <w:top w:val="single" w:sz="4" w:space="0" w:color="auto"/>
              <w:left w:val="single" w:sz="4" w:space="0" w:color="auto"/>
              <w:bottom w:val="single" w:sz="4" w:space="0" w:color="auto"/>
              <w:right w:val="single" w:sz="4" w:space="0" w:color="auto"/>
            </w:tcBorders>
            <w:vAlign w:val="center"/>
          </w:tcPr>
          <w:p w14:paraId="3063B9D8" w14:textId="77777777" w:rsidR="005E000F" w:rsidRDefault="00000000">
            <w:pPr>
              <w:jc w:val="right"/>
              <w:rPr>
                <w:rFonts w:cs="宋体"/>
                <w:bCs/>
              </w:rPr>
            </w:pPr>
            <w:r>
              <w:rPr>
                <w:rFonts w:cs="宋体"/>
                <w:bCs/>
              </w:rPr>
              <w:t>773,797,245</w:t>
            </w:r>
          </w:p>
        </w:tc>
        <w:tc>
          <w:tcPr>
            <w:tcW w:w="1655" w:type="dxa"/>
            <w:tcBorders>
              <w:top w:val="single" w:sz="4" w:space="0" w:color="auto"/>
              <w:left w:val="single" w:sz="4" w:space="0" w:color="auto"/>
              <w:bottom w:val="single" w:sz="4" w:space="0" w:color="auto"/>
              <w:right w:val="single" w:sz="4" w:space="0" w:color="auto"/>
            </w:tcBorders>
          </w:tcPr>
          <w:p w14:paraId="7CDD7027" w14:textId="77777777" w:rsidR="005E000F" w:rsidRDefault="00000000">
            <w:pPr>
              <w:jc w:val="right"/>
              <w:rPr>
                <w:rFonts w:cs="宋体"/>
                <w:bCs/>
                <w:lang w:eastAsia="en-US"/>
              </w:rPr>
            </w:pPr>
            <w:r>
              <w:rPr>
                <w:rFonts w:cs="宋体" w:hint="eastAsia"/>
                <w:bCs/>
              </w:rPr>
              <w:t>1,172,207,709</w:t>
            </w:r>
          </w:p>
        </w:tc>
        <w:tc>
          <w:tcPr>
            <w:tcW w:w="1562" w:type="dxa"/>
            <w:tcBorders>
              <w:top w:val="single" w:sz="4" w:space="0" w:color="auto"/>
              <w:left w:val="single" w:sz="4" w:space="0" w:color="auto"/>
              <w:bottom w:val="single" w:sz="4" w:space="0" w:color="auto"/>
              <w:right w:val="single" w:sz="4" w:space="0" w:color="auto"/>
            </w:tcBorders>
          </w:tcPr>
          <w:p w14:paraId="56247C75" w14:textId="77777777" w:rsidR="005E000F" w:rsidRDefault="00000000">
            <w:pPr>
              <w:jc w:val="right"/>
              <w:rPr>
                <w:rFonts w:cs="宋体"/>
                <w:bCs/>
                <w:lang w:eastAsia="en-US"/>
              </w:rPr>
            </w:pPr>
            <w:r>
              <w:rPr>
                <w:rFonts w:cs="宋体" w:hint="eastAsia"/>
                <w:bCs/>
              </w:rPr>
              <w:t>856,753,996</w:t>
            </w:r>
          </w:p>
        </w:tc>
      </w:tr>
      <w:tr w:rsidR="005E000F" w14:paraId="78C8476C" w14:textId="77777777">
        <w:tc>
          <w:tcPr>
            <w:tcW w:w="2486" w:type="dxa"/>
            <w:tcBorders>
              <w:top w:val="single" w:sz="4" w:space="0" w:color="auto"/>
              <w:left w:val="single" w:sz="4" w:space="0" w:color="auto"/>
              <w:bottom w:val="single" w:sz="4" w:space="0" w:color="auto"/>
              <w:right w:val="single" w:sz="4" w:space="0" w:color="auto"/>
            </w:tcBorders>
            <w:vAlign w:val="center"/>
          </w:tcPr>
          <w:p w14:paraId="0D56FDDA" w14:textId="77777777" w:rsidR="005E000F" w:rsidRDefault="00000000">
            <w:pPr>
              <w:jc w:val="center"/>
            </w:pPr>
            <w:r>
              <w:rPr>
                <w:rFonts w:hint="eastAsia"/>
              </w:rPr>
              <w:t>合计</w:t>
            </w:r>
          </w:p>
        </w:tc>
        <w:tc>
          <w:tcPr>
            <w:tcW w:w="1700" w:type="dxa"/>
            <w:tcBorders>
              <w:top w:val="single" w:sz="4" w:space="0" w:color="auto"/>
              <w:left w:val="single" w:sz="4" w:space="0" w:color="auto"/>
              <w:bottom w:val="single" w:sz="4" w:space="0" w:color="auto"/>
              <w:right w:val="single" w:sz="4" w:space="0" w:color="auto"/>
            </w:tcBorders>
            <w:vAlign w:val="center"/>
          </w:tcPr>
          <w:p w14:paraId="5D554D37" w14:textId="77777777" w:rsidR="005E000F" w:rsidRDefault="00000000">
            <w:pPr>
              <w:jc w:val="right"/>
              <w:rPr>
                <w:rFonts w:cs="宋体"/>
                <w:bCs/>
              </w:rPr>
            </w:pPr>
            <w:r>
              <w:rPr>
                <w:rFonts w:cs="宋体"/>
                <w:bCs/>
              </w:rPr>
              <w:t>73,524,674,653</w:t>
            </w:r>
          </w:p>
        </w:tc>
        <w:tc>
          <w:tcPr>
            <w:tcW w:w="1645" w:type="dxa"/>
            <w:tcBorders>
              <w:top w:val="single" w:sz="4" w:space="0" w:color="auto"/>
              <w:left w:val="single" w:sz="4" w:space="0" w:color="auto"/>
              <w:bottom w:val="single" w:sz="4" w:space="0" w:color="auto"/>
              <w:right w:val="single" w:sz="4" w:space="0" w:color="auto"/>
            </w:tcBorders>
            <w:vAlign w:val="center"/>
          </w:tcPr>
          <w:p w14:paraId="2C801996" w14:textId="77777777" w:rsidR="005E000F" w:rsidRDefault="00000000">
            <w:pPr>
              <w:jc w:val="right"/>
              <w:rPr>
                <w:rFonts w:cs="宋体"/>
                <w:bCs/>
              </w:rPr>
            </w:pPr>
            <w:r>
              <w:rPr>
                <w:rFonts w:cs="宋体"/>
                <w:bCs/>
              </w:rPr>
              <w:t>68,749,790,087</w:t>
            </w:r>
          </w:p>
        </w:tc>
        <w:tc>
          <w:tcPr>
            <w:tcW w:w="1655" w:type="dxa"/>
            <w:tcBorders>
              <w:top w:val="single" w:sz="4" w:space="0" w:color="auto"/>
              <w:left w:val="single" w:sz="4" w:space="0" w:color="auto"/>
              <w:bottom w:val="single" w:sz="4" w:space="0" w:color="auto"/>
              <w:right w:val="single" w:sz="4" w:space="0" w:color="auto"/>
            </w:tcBorders>
          </w:tcPr>
          <w:p w14:paraId="49626AD4" w14:textId="77777777" w:rsidR="005E000F" w:rsidRDefault="00000000">
            <w:pPr>
              <w:jc w:val="right"/>
              <w:rPr>
                <w:rFonts w:cs="宋体"/>
                <w:bCs/>
                <w:lang w:eastAsia="en-US"/>
              </w:rPr>
            </w:pPr>
            <w:r>
              <w:rPr>
                <w:rFonts w:cs="宋体" w:hint="eastAsia"/>
                <w:bCs/>
              </w:rPr>
              <w:t>70,022,895,285</w:t>
            </w:r>
          </w:p>
        </w:tc>
        <w:tc>
          <w:tcPr>
            <w:tcW w:w="1562" w:type="dxa"/>
            <w:tcBorders>
              <w:top w:val="single" w:sz="4" w:space="0" w:color="auto"/>
              <w:left w:val="single" w:sz="4" w:space="0" w:color="auto"/>
              <w:bottom w:val="single" w:sz="4" w:space="0" w:color="auto"/>
              <w:right w:val="single" w:sz="4" w:space="0" w:color="auto"/>
            </w:tcBorders>
          </w:tcPr>
          <w:p w14:paraId="5FA930F6" w14:textId="77777777" w:rsidR="005E000F" w:rsidRDefault="00000000">
            <w:pPr>
              <w:jc w:val="right"/>
              <w:rPr>
                <w:rFonts w:cs="宋体"/>
                <w:bCs/>
                <w:lang w:eastAsia="en-US"/>
              </w:rPr>
            </w:pPr>
            <w:r>
              <w:rPr>
                <w:rFonts w:cs="宋体" w:hint="eastAsia"/>
                <w:bCs/>
              </w:rPr>
              <w:t>61,256,792,684</w:t>
            </w:r>
          </w:p>
        </w:tc>
      </w:tr>
      <w:tr w:rsidR="005E000F" w14:paraId="4B2A829E" w14:textId="77777777">
        <w:tc>
          <w:tcPr>
            <w:tcW w:w="2486" w:type="dxa"/>
            <w:tcBorders>
              <w:top w:val="single" w:sz="4" w:space="0" w:color="auto"/>
              <w:left w:val="single" w:sz="4" w:space="0" w:color="auto"/>
              <w:bottom w:val="single" w:sz="4" w:space="0" w:color="auto"/>
              <w:right w:val="single" w:sz="4" w:space="0" w:color="auto"/>
            </w:tcBorders>
            <w:vAlign w:val="center"/>
          </w:tcPr>
          <w:p w14:paraId="3668F651" w14:textId="77777777" w:rsidR="005E000F" w:rsidRDefault="00000000">
            <w:pPr>
              <w:rPr>
                <w:color w:val="000000" w:themeColor="text1"/>
              </w:rPr>
            </w:pPr>
            <w:r>
              <w:rPr>
                <w:rFonts w:hint="eastAsia"/>
                <w:color w:val="000000" w:themeColor="text1"/>
              </w:rPr>
              <w:t>其中：合同产生的收入</w:t>
            </w:r>
          </w:p>
        </w:tc>
        <w:tc>
          <w:tcPr>
            <w:tcW w:w="1700" w:type="dxa"/>
            <w:tcBorders>
              <w:top w:val="single" w:sz="4" w:space="0" w:color="auto"/>
              <w:left w:val="single" w:sz="4" w:space="0" w:color="auto"/>
              <w:bottom w:val="single" w:sz="4" w:space="0" w:color="auto"/>
              <w:right w:val="single" w:sz="4" w:space="0" w:color="auto"/>
            </w:tcBorders>
            <w:vAlign w:val="center"/>
          </w:tcPr>
          <w:p w14:paraId="73BE5378" w14:textId="77777777" w:rsidR="005E000F" w:rsidRDefault="00000000">
            <w:pPr>
              <w:jc w:val="right"/>
              <w:rPr>
                <w:rFonts w:cs="宋体"/>
                <w:bCs/>
              </w:rPr>
            </w:pPr>
            <w:r>
              <w:rPr>
                <w:rFonts w:cs="宋体"/>
                <w:bCs/>
              </w:rPr>
              <w:t>73,450,728,431</w:t>
            </w:r>
          </w:p>
        </w:tc>
        <w:tc>
          <w:tcPr>
            <w:tcW w:w="1645" w:type="dxa"/>
            <w:tcBorders>
              <w:top w:val="single" w:sz="4" w:space="0" w:color="auto"/>
              <w:left w:val="single" w:sz="4" w:space="0" w:color="auto"/>
              <w:bottom w:val="single" w:sz="4" w:space="0" w:color="auto"/>
              <w:right w:val="single" w:sz="4" w:space="0" w:color="auto"/>
            </w:tcBorders>
          </w:tcPr>
          <w:p w14:paraId="67951ED3" w14:textId="77777777" w:rsidR="005E000F" w:rsidRDefault="00000000">
            <w:pPr>
              <w:jc w:val="right"/>
              <w:rPr>
                <w:rFonts w:cs="宋体"/>
                <w:bCs/>
              </w:rPr>
            </w:pPr>
            <w:r>
              <w:rPr>
                <w:rFonts w:cs="宋体" w:hint="eastAsia"/>
                <w:bCs/>
              </w:rPr>
              <w:t>/</w:t>
            </w:r>
          </w:p>
        </w:tc>
        <w:tc>
          <w:tcPr>
            <w:tcW w:w="1655" w:type="dxa"/>
            <w:tcBorders>
              <w:top w:val="single" w:sz="4" w:space="0" w:color="auto"/>
              <w:left w:val="single" w:sz="4" w:space="0" w:color="auto"/>
              <w:bottom w:val="single" w:sz="4" w:space="0" w:color="auto"/>
              <w:right w:val="single" w:sz="4" w:space="0" w:color="auto"/>
            </w:tcBorders>
          </w:tcPr>
          <w:p w14:paraId="5ECC64C9" w14:textId="77777777" w:rsidR="005E000F" w:rsidRDefault="00000000">
            <w:pPr>
              <w:jc w:val="right"/>
              <w:rPr>
                <w:rFonts w:cs="宋体"/>
                <w:bCs/>
              </w:rPr>
            </w:pPr>
            <w:r>
              <w:rPr>
                <w:rFonts w:cs="宋体" w:hint="eastAsia"/>
                <w:bCs/>
              </w:rPr>
              <w:t>69,944,326,157</w:t>
            </w:r>
          </w:p>
        </w:tc>
        <w:tc>
          <w:tcPr>
            <w:tcW w:w="1562" w:type="dxa"/>
            <w:tcBorders>
              <w:top w:val="single" w:sz="4" w:space="0" w:color="auto"/>
              <w:left w:val="single" w:sz="4" w:space="0" w:color="auto"/>
              <w:bottom w:val="single" w:sz="4" w:space="0" w:color="auto"/>
              <w:right w:val="single" w:sz="4" w:space="0" w:color="auto"/>
            </w:tcBorders>
          </w:tcPr>
          <w:p w14:paraId="62434E95" w14:textId="77777777" w:rsidR="005E000F" w:rsidRDefault="00000000">
            <w:pPr>
              <w:jc w:val="right"/>
              <w:rPr>
                <w:rFonts w:cs="宋体"/>
                <w:bCs/>
              </w:rPr>
            </w:pPr>
            <w:r>
              <w:rPr>
                <w:rFonts w:cs="宋体" w:hint="eastAsia"/>
                <w:bCs/>
              </w:rPr>
              <w:t>/</w:t>
            </w:r>
          </w:p>
        </w:tc>
      </w:tr>
      <w:tr w:rsidR="005E000F" w14:paraId="1695E8B0" w14:textId="77777777">
        <w:tc>
          <w:tcPr>
            <w:tcW w:w="2486" w:type="dxa"/>
            <w:tcBorders>
              <w:top w:val="single" w:sz="4" w:space="0" w:color="auto"/>
              <w:left w:val="single" w:sz="4" w:space="0" w:color="auto"/>
              <w:bottom w:val="single" w:sz="4" w:space="0" w:color="auto"/>
              <w:right w:val="single" w:sz="4" w:space="0" w:color="auto"/>
            </w:tcBorders>
            <w:vAlign w:val="center"/>
          </w:tcPr>
          <w:p w14:paraId="38E1D518" w14:textId="77777777" w:rsidR="005E000F" w:rsidRDefault="00000000">
            <w:pPr>
              <w:rPr>
                <w:color w:val="000000" w:themeColor="text1"/>
              </w:rPr>
            </w:pPr>
            <w:r>
              <w:rPr>
                <w:rFonts w:hint="eastAsia"/>
                <w:color w:val="000000" w:themeColor="text1"/>
              </w:rPr>
              <w:t>其他收入</w:t>
            </w:r>
          </w:p>
        </w:tc>
        <w:tc>
          <w:tcPr>
            <w:tcW w:w="1700" w:type="dxa"/>
            <w:tcBorders>
              <w:top w:val="single" w:sz="4" w:space="0" w:color="auto"/>
              <w:left w:val="single" w:sz="4" w:space="0" w:color="auto"/>
              <w:bottom w:val="single" w:sz="4" w:space="0" w:color="auto"/>
              <w:right w:val="single" w:sz="4" w:space="0" w:color="auto"/>
            </w:tcBorders>
            <w:vAlign w:val="center"/>
          </w:tcPr>
          <w:p w14:paraId="4AB8D08F" w14:textId="77777777" w:rsidR="005E000F" w:rsidRDefault="00000000">
            <w:pPr>
              <w:jc w:val="right"/>
              <w:rPr>
                <w:rFonts w:cs="宋体"/>
                <w:bCs/>
              </w:rPr>
            </w:pPr>
            <w:r>
              <w:rPr>
                <w:rFonts w:cs="宋体"/>
                <w:bCs/>
              </w:rPr>
              <w:t>73,946,222</w:t>
            </w:r>
          </w:p>
        </w:tc>
        <w:tc>
          <w:tcPr>
            <w:tcW w:w="1645" w:type="dxa"/>
            <w:tcBorders>
              <w:top w:val="single" w:sz="4" w:space="0" w:color="auto"/>
              <w:left w:val="single" w:sz="4" w:space="0" w:color="auto"/>
              <w:bottom w:val="single" w:sz="4" w:space="0" w:color="auto"/>
              <w:right w:val="single" w:sz="4" w:space="0" w:color="auto"/>
            </w:tcBorders>
          </w:tcPr>
          <w:p w14:paraId="2F25EBCC" w14:textId="77777777" w:rsidR="005E000F" w:rsidRDefault="00000000">
            <w:pPr>
              <w:jc w:val="right"/>
              <w:rPr>
                <w:rFonts w:cs="宋体"/>
                <w:bCs/>
              </w:rPr>
            </w:pPr>
            <w:r>
              <w:rPr>
                <w:rFonts w:cs="宋体" w:hint="eastAsia"/>
                <w:bCs/>
              </w:rPr>
              <w:t>/</w:t>
            </w:r>
          </w:p>
        </w:tc>
        <w:tc>
          <w:tcPr>
            <w:tcW w:w="1655" w:type="dxa"/>
            <w:tcBorders>
              <w:top w:val="single" w:sz="4" w:space="0" w:color="auto"/>
              <w:left w:val="single" w:sz="4" w:space="0" w:color="auto"/>
              <w:bottom w:val="single" w:sz="4" w:space="0" w:color="auto"/>
              <w:right w:val="single" w:sz="4" w:space="0" w:color="auto"/>
            </w:tcBorders>
          </w:tcPr>
          <w:p w14:paraId="5CD3AF86" w14:textId="77777777" w:rsidR="005E000F" w:rsidRDefault="00000000">
            <w:pPr>
              <w:jc w:val="right"/>
              <w:rPr>
                <w:rFonts w:cs="宋体"/>
                <w:bCs/>
              </w:rPr>
            </w:pPr>
            <w:r>
              <w:rPr>
                <w:rFonts w:cs="宋体" w:hint="eastAsia"/>
                <w:bCs/>
              </w:rPr>
              <w:t>78,569,128</w:t>
            </w:r>
          </w:p>
        </w:tc>
        <w:tc>
          <w:tcPr>
            <w:tcW w:w="1562" w:type="dxa"/>
            <w:tcBorders>
              <w:top w:val="single" w:sz="4" w:space="0" w:color="auto"/>
              <w:left w:val="single" w:sz="4" w:space="0" w:color="auto"/>
              <w:bottom w:val="single" w:sz="4" w:space="0" w:color="auto"/>
              <w:right w:val="single" w:sz="4" w:space="0" w:color="auto"/>
            </w:tcBorders>
          </w:tcPr>
          <w:p w14:paraId="40018D48" w14:textId="77777777" w:rsidR="005E000F" w:rsidRDefault="00000000">
            <w:pPr>
              <w:jc w:val="right"/>
              <w:rPr>
                <w:rFonts w:cs="宋体"/>
                <w:bCs/>
              </w:rPr>
            </w:pPr>
            <w:r>
              <w:rPr>
                <w:rFonts w:cs="宋体" w:hint="eastAsia"/>
                <w:bCs/>
              </w:rPr>
              <w:t>/</w:t>
            </w:r>
          </w:p>
        </w:tc>
      </w:tr>
    </w:tbl>
    <w:p w14:paraId="100C6023" w14:textId="77777777" w:rsidR="005E000F" w:rsidRDefault="005E000F"/>
    <w:p w14:paraId="45D0DB08" w14:textId="77777777" w:rsidR="005E000F" w:rsidRDefault="00000000">
      <w:pPr>
        <w:rPr>
          <w:color w:val="000000" w:themeColor="text1"/>
        </w:rPr>
      </w:pPr>
      <w:r>
        <w:rPr>
          <w:rFonts w:hint="eastAsia"/>
          <w:color w:val="000000" w:themeColor="text1"/>
        </w:rPr>
        <w:t>（</w:t>
      </w:r>
      <w:r>
        <w:rPr>
          <w:rFonts w:hint="eastAsia"/>
          <w:color w:val="000000" w:themeColor="text1"/>
        </w:rPr>
        <w:t>a</w:t>
      </w:r>
      <w:r>
        <w:rPr>
          <w:rFonts w:hint="eastAsia"/>
          <w:color w:val="000000" w:themeColor="text1"/>
        </w:rPr>
        <w:t>）主营业务收入和成本</w:t>
      </w:r>
    </w:p>
    <w:p w14:paraId="786FA436" w14:textId="77777777" w:rsidR="005E000F" w:rsidRDefault="00000000">
      <w:pPr>
        <w:rPr>
          <w:color w:val="000000" w:themeColor="text1"/>
        </w:rPr>
      </w:pPr>
      <w:r>
        <w:rPr>
          <w:rFonts w:hint="eastAsia"/>
          <w:color w:val="000000" w:themeColor="text1"/>
        </w:rPr>
        <w:t>按行业分析如下：</w:t>
      </w:r>
    </w:p>
    <w:p w14:paraId="6DFB9171" w14:textId="77777777" w:rsidR="005E000F" w:rsidRDefault="00000000">
      <w:pPr>
        <w:pStyle w:val="aff8"/>
        <w:ind w:firstLineChars="0" w:firstLine="0"/>
        <w:jc w:val="right"/>
        <w:rPr>
          <w:rFonts w:ascii="宋体" w:hAnsi="宋体"/>
          <w:color w:val="000000" w:themeColor="text1"/>
          <w:kern w:val="0"/>
          <w:szCs w:val="21"/>
        </w:rPr>
      </w:pPr>
      <w:r>
        <w:rPr>
          <w:rFonts w:ascii="宋体" w:hAnsi="宋体" w:hint="eastAsia"/>
          <w:color w:val="000000" w:themeColor="text1"/>
          <w:szCs w:val="21"/>
        </w:rPr>
        <w:t>单位：元  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1605"/>
        <w:gridCol w:w="1605"/>
        <w:gridCol w:w="1529"/>
        <w:gridCol w:w="1529"/>
      </w:tblGrid>
      <w:tr w:rsidR="005E000F" w14:paraId="1497AB5A" w14:textId="77777777">
        <w:tc>
          <w:tcPr>
            <w:tcW w:w="1570" w:type="pct"/>
            <w:vMerge w:val="restart"/>
            <w:tcBorders>
              <w:top w:val="single" w:sz="4" w:space="0" w:color="auto"/>
              <w:left w:val="single" w:sz="4" w:space="0" w:color="auto"/>
              <w:right w:val="single" w:sz="4" w:space="0" w:color="auto"/>
            </w:tcBorders>
            <w:vAlign w:val="center"/>
          </w:tcPr>
          <w:p w14:paraId="6707968E" w14:textId="77777777" w:rsidR="005E000F" w:rsidRDefault="00000000">
            <w:pPr>
              <w:jc w:val="center"/>
              <w:rPr>
                <w:color w:val="000000" w:themeColor="text1"/>
              </w:rPr>
            </w:pPr>
            <w:r>
              <w:rPr>
                <w:rFonts w:hint="eastAsia"/>
                <w:color w:val="000000" w:themeColor="text1"/>
              </w:rPr>
              <w:t>项目</w:t>
            </w:r>
          </w:p>
        </w:tc>
        <w:tc>
          <w:tcPr>
            <w:tcW w:w="1840" w:type="pct"/>
            <w:gridSpan w:val="2"/>
            <w:tcBorders>
              <w:top w:val="single" w:sz="4" w:space="0" w:color="auto"/>
              <w:left w:val="single" w:sz="4" w:space="0" w:color="auto"/>
              <w:bottom w:val="single" w:sz="4" w:space="0" w:color="auto"/>
              <w:right w:val="single" w:sz="4" w:space="0" w:color="auto"/>
            </w:tcBorders>
            <w:vAlign w:val="center"/>
          </w:tcPr>
          <w:p w14:paraId="2927C531" w14:textId="77777777" w:rsidR="005E000F" w:rsidRDefault="00000000">
            <w:pPr>
              <w:jc w:val="center"/>
              <w:rPr>
                <w:color w:val="000000" w:themeColor="text1"/>
              </w:rPr>
            </w:pPr>
            <w:r>
              <w:rPr>
                <w:rFonts w:hint="eastAsia"/>
                <w:color w:val="000000" w:themeColor="text1"/>
              </w:rPr>
              <w:t>本期发生额</w:t>
            </w:r>
          </w:p>
        </w:tc>
        <w:tc>
          <w:tcPr>
            <w:tcW w:w="1590" w:type="pct"/>
            <w:gridSpan w:val="2"/>
            <w:tcBorders>
              <w:top w:val="single" w:sz="4" w:space="0" w:color="auto"/>
              <w:left w:val="single" w:sz="4" w:space="0" w:color="auto"/>
              <w:bottom w:val="single" w:sz="4" w:space="0" w:color="auto"/>
              <w:right w:val="single" w:sz="4" w:space="0" w:color="auto"/>
            </w:tcBorders>
            <w:vAlign w:val="center"/>
          </w:tcPr>
          <w:p w14:paraId="75C4A916" w14:textId="77777777" w:rsidR="005E000F" w:rsidRDefault="00000000">
            <w:pPr>
              <w:jc w:val="center"/>
              <w:rPr>
                <w:color w:val="000000" w:themeColor="text1"/>
              </w:rPr>
            </w:pPr>
            <w:r>
              <w:rPr>
                <w:rFonts w:hint="eastAsia"/>
                <w:color w:val="000000" w:themeColor="text1"/>
              </w:rPr>
              <w:t>上期发生额</w:t>
            </w:r>
          </w:p>
        </w:tc>
      </w:tr>
      <w:tr w:rsidR="005E000F" w14:paraId="1DA9ACFD" w14:textId="77777777">
        <w:tc>
          <w:tcPr>
            <w:tcW w:w="1570" w:type="pct"/>
            <w:vMerge/>
            <w:tcBorders>
              <w:left w:val="single" w:sz="4" w:space="0" w:color="auto"/>
              <w:bottom w:val="single" w:sz="4" w:space="0" w:color="auto"/>
              <w:right w:val="single" w:sz="4" w:space="0" w:color="auto"/>
            </w:tcBorders>
            <w:vAlign w:val="center"/>
          </w:tcPr>
          <w:p w14:paraId="19956700" w14:textId="77777777" w:rsidR="005E000F" w:rsidRDefault="005E000F">
            <w:pPr>
              <w:jc w:val="center"/>
              <w:rPr>
                <w:color w:val="000000" w:themeColor="text1"/>
              </w:rPr>
            </w:pPr>
          </w:p>
        </w:tc>
        <w:tc>
          <w:tcPr>
            <w:tcW w:w="920" w:type="pct"/>
            <w:tcBorders>
              <w:top w:val="single" w:sz="4" w:space="0" w:color="auto"/>
              <w:left w:val="single" w:sz="4" w:space="0" w:color="auto"/>
              <w:bottom w:val="single" w:sz="4" w:space="0" w:color="auto"/>
              <w:right w:val="single" w:sz="4" w:space="0" w:color="auto"/>
            </w:tcBorders>
            <w:vAlign w:val="center"/>
          </w:tcPr>
          <w:p w14:paraId="139D3389" w14:textId="77777777" w:rsidR="005E000F" w:rsidRDefault="00000000">
            <w:pPr>
              <w:jc w:val="center"/>
              <w:rPr>
                <w:color w:val="000000" w:themeColor="text1"/>
              </w:rPr>
            </w:pPr>
            <w:r>
              <w:rPr>
                <w:rFonts w:hint="eastAsia"/>
                <w:color w:val="000000" w:themeColor="text1"/>
              </w:rPr>
              <w:t>主营业务收入</w:t>
            </w:r>
          </w:p>
        </w:tc>
        <w:tc>
          <w:tcPr>
            <w:tcW w:w="920" w:type="pct"/>
            <w:tcBorders>
              <w:top w:val="single" w:sz="4" w:space="0" w:color="auto"/>
              <w:left w:val="single" w:sz="4" w:space="0" w:color="auto"/>
              <w:bottom w:val="single" w:sz="4" w:space="0" w:color="auto"/>
              <w:right w:val="single" w:sz="4" w:space="0" w:color="auto"/>
            </w:tcBorders>
            <w:vAlign w:val="center"/>
          </w:tcPr>
          <w:p w14:paraId="10CEBBA8" w14:textId="77777777" w:rsidR="005E000F" w:rsidRDefault="00000000">
            <w:pPr>
              <w:jc w:val="center"/>
              <w:rPr>
                <w:color w:val="000000" w:themeColor="text1"/>
              </w:rPr>
            </w:pPr>
            <w:r>
              <w:rPr>
                <w:rFonts w:hint="eastAsia"/>
                <w:color w:val="000000" w:themeColor="text1"/>
              </w:rPr>
              <w:t>主营业务成本</w:t>
            </w:r>
          </w:p>
        </w:tc>
        <w:tc>
          <w:tcPr>
            <w:tcW w:w="837" w:type="pct"/>
            <w:tcBorders>
              <w:top w:val="single" w:sz="4" w:space="0" w:color="auto"/>
              <w:left w:val="single" w:sz="4" w:space="0" w:color="auto"/>
              <w:bottom w:val="single" w:sz="4" w:space="0" w:color="auto"/>
              <w:right w:val="single" w:sz="4" w:space="0" w:color="auto"/>
            </w:tcBorders>
            <w:vAlign w:val="center"/>
          </w:tcPr>
          <w:p w14:paraId="6601C7F0" w14:textId="77777777" w:rsidR="005E000F" w:rsidRDefault="00000000">
            <w:pPr>
              <w:jc w:val="center"/>
              <w:rPr>
                <w:color w:val="000000" w:themeColor="text1"/>
              </w:rPr>
            </w:pPr>
            <w:r>
              <w:rPr>
                <w:rFonts w:hint="eastAsia"/>
                <w:color w:val="000000" w:themeColor="text1"/>
              </w:rPr>
              <w:t>主营业务收入</w:t>
            </w:r>
          </w:p>
        </w:tc>
        <w:tc>
          <w:tcPr>
            <w:tcW w:w="753" w:type="pct"/>
            <w:tcBorders>
              <w:top w:val="single" w:sz="4" w:space="0" w:color="auto"/>
              <w:left w:val="single" w:sz="4" w:space="0" w:color="auto"/>
              <w:bottom w:val="single" w:sz="4" w:space="0" w:color="auto"/>
              <w:right w:val="single" w:sz="4" w:space="0" w:color="auto"/>
            </w:tcBorders>
            <w:vAlign w:val="center"/>
          </w:tcPr>
          <w:p w14:paraId="6D602CF5" w14:textId="77777777" w:rsidR="005E000F" w:rsidRDefault="00000000">
            <w:pPr>
              <w:jc w:val="center"/>
              <w:rPr>
                <w:color w:val="000000" w:themeColor="text1"/>
              </w:rPr>
            </w:pPr>
            <w:r>
              <w:rPr>
                <w:rFonts w:hint="eastAsia"/>
                <w:color w:val="000000" w:themeColor="text1"/>
              </w:rPr>
              <w:t>主营业务成本</w:t>
            </w:r>
          </w:p>
        </w:tc>
      </w:tr>
      <w:tr w:rsidR="005E000F" w14:paraId="61CF4BAD" w14:textId="77777777">
        <w:tc>
          <w:tcPr>
            <w:tcW w:w="1570" w:type="pct"/>
            <w:tcBorders>
              <w:top w:val="single" w:sz="4" w:space="0" w:color="auto"/>
              <w:left w:val="single" w:sz="4" w:space="0" w:color="auto"/>
              <w:bottom w:val="single" w:sz="4" w:space="0" w:color="auto"/>
              <w:right w:val="single" w:sz="4" w:space="0" w:color="auto"/>
            </w:tcBorders>
          </w:tcPr>
          <w:p w14:paraId="115E34AA" w14:textId="77777777" w:rsidR="005E000F" w:rsidRDefault="00000000">
            <w:pPr>
              <w:rPr>
                <w:color w:val="000000" w:themeColor="text1"/>
              </w:rPr>
            </w:pPr>
            <w:r>
              <w:rPr>
                <w:rFonts w:hint="eastAsia"/>
                <w:color w:val="000000" w:themeColor="text1"/>
              </w:rPr>
              <w:t>铁路运输业</w:t>
            </w:r>
          </w:p>
        </w:tc>
        <w:tc>
          <w:tcPr>
            <w:tcW w:w="1605" w:type="dxa"/>
            <w:tcBorders>
              <w:top w:val="single" w:sz="4" w:space="0" w:color="auto"/>
              <w:left w:val="single" w:sz="4" w:space="0" w:color="auto"/>
              <w:bottom w:val="single" w:sz="4" w:space="0" w:color="auto"/>
              <w:right w:val="single" w:sz="4" w:space="0" w:color="auto"/>
            </w:tcBorders>
            <w:vAlign w:val="center"/>
          </w:tcPr>
          <w:p w14:paraId="66170D8F" w14:textId="77777777" w:rsidR="005E000F" w:rsidRDefault="00000000">
            <w:pPr>
              <w:jc w:val="right"/>
            </w:pPr>
            <w:r>
              <w:t>72,381,447,403</w:t>
            </w:r>
          </w:p>
        </w:tc>
        <w:tc>
          <w:tcPr>
            <w:tcW w:w="1605" w:type="dxa"/>
            <w:tcBorders>
              <w:top w:val="single" w:sz="4" w:space="0" w:color="auto"/>
              <w:left w:val="single" w:sz="4" w:space="0" w:color="auto"/>
              <w:bottom w:val="single" w:sz="4" w:space="0" w:color="auto"/>
              <w:right w:val="single" w:sz="4" w:space="0" w:color="auto"/>
            </w:tcBorders>
            <w:vAlign w:val="center"/>
          </w:tcPr>
          <w:p w14:paraId="1D7022CF" w14:textId="77777777" w:rsidR="005E000F" w:rsidRDefault="00000000">
            <w:pPr>
              <w:jc w:val="right"/>
            </w:pPr>
            <w:r>
              <w:t>67,975,992,842</w:t>
            </w:r>
          </w:p>
        </w:tc>
        <w:tc>
          <w:tcPr>
            <w:tcW w:w="837" w:type="pct"/>
            <w:tcBorders>
              <w:top w:val="single" w:sz="4" w:space="0" w:color="auto"/>
              <w:left w:val="single" w:sz="4" w:space="0" w:color="auto"/>
              <w:bottom w:val="single" w:sz="4" w:space="0" w:color="auto"/>
              <w:right w:val="single" w:sz="4" w:space="0" w:color="auto"/>
            </w:tcBorders>
            <w:vAlign w:val="center"/>
          </w:tcPr>
          <w:p w14:paraId="71F41C57" w14:textId="77777777" w:rsidR="005E000F" w:rsidRDefault="00000000">
            <w:pPr>
              <w:jc w:val="right"/>
            </w:pPr>
            <w:r>
              <w:rPr>
                <w:rFonts w:hint="eastAsia"/>
              </w:rPr>
              <w:t>68,850,687,576</w:t>
            </w:r>
          </w:p>
        </w:tc>
        <w:tc>
          <w:tcPr>
            <w:tcW w:w="753" w:type="pct"/>
            <w:tcBorders>
              <w:top w:val="single" w:sz="4" w:space="0" w:color="auto"/>
              <w:left w:val="single" w:sz="4" w:space="0" w:color="auto"/>
              <w:bottom w:val="single" w:sz="4" w:space="0" w:color="auto"/>
              <w:right w:val="single" w:sz="4" w:space="0" w:color="auto"/>
            </w:tcBorders>
            <w:vAlign w:val="center"/>
          </w:tcPr>
          <w:p w14:paraId="3CF017D6" w14:textId="77777777" w:rsidR="005E000F" w:rsidRDefault="00000000">
            <w:pPr>
              <w:jc w:val="right"/>
            </w:pPr>
            <w:r>
              <w:rPr>
                <w:rFonts w:hint="eastAsia"/>
              </w:rPr>
              <w:t>60,400,038,688</w:t>
            </w:r>
          </w:p>
        </w:tc>
      </w:tr>
    </w:tbl>
    <w:p w14:paraId="68970B01" w14:textId="77777777" w:rsidR="005E000F" w:rsidRDefault="005E000F">
      <w:pPr>
        <w:rPr>
          <w:color w:val="000000" w:themeColor="text1"/>
        </w:rPr>
      </w:pPr>
    </w:p>
    <w:p w14:paraId="058E196E" w14:textId="77777777" w:rsidR="005E000F" w:rsidRDefault="00000000">
      <w:pPr>
        <w:rPr>
          <w:color w:val="000000" w:themeColor="text1"/>
        </w:rPr>
      </w:pPr>
      <w:r>
        <w:rPr>
          <w:rFonts w:hint="eastAsia"/>
          <w:color w:val="000000" w:themeColor="text1"/>
        </w:rPr>
        <w:t>（</w:t>
      </w:r>
      <w:r>
        <w:rPr>
          <w:rFonts w:hint="eastAsia"/>
          <w:color w:val="000000" w:themeColor="text1"/>
        </w:rPr>
        <w:t>b</w:t>
      </w:r>
      <w:r>
        <w:rPr>
          <w:rFonts w:hint="eastAsia"/>
          <w:color w:val="000000" w:themeColor="text1"/>
        </w:rPr>
        <w:t>）其他业务收入和成本</w:t>
      </w:r>
    </w:p>
    <w:p w14:paraId="3772524D" w14:textId="77777777" w:rsidR="005E000F" w:rsidRDefault="00000000">
      <w:pPr>
        <w:pStyle w:val="aff8"/>
        <w:ind w:firstLineChars="0" w:firstLine="0"/>
        <w:jc w:val="right"/>
        <w:rPr>
          <w:rFonts w:ascii="宋体" w:hAnsi="宋体"/>
          <w:color w:val="000000" w:themeColor="text1"/>
          <w:kern w:val="0"/>
          <w:szCs w:val="21"/>
        </w:rPr>
      </w:pPr>
      <w:r>
        <w:rPr>
          <w:rFonts w:ascii="宋体" w:hAnsi="宋体" w:hint="eastAsia"/>
          <w:color w:val="000000" w:themeColor="text1"/>
          <w:szCs w:val="21"/>
        </w:rPr>
        <w:t>单位：元  币种：人民币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77"/>
        <w:gridCol w:w="1587"/>
        <w:gridCol w:w="1699"/>
        <w:gridCol w:w="1571"/>
      </w:tblGrid>
      <w:tr w:rsidR="005E000F" w14:paraId="6E62E166" w14:textId="77777777">
        <w:tc>
          <w:tcPr>
            <w:tcW w:w="1389" w:type="pct"/>
            <w:vMerge w:val="restart"/>
            <w:tcBorders>
              <w:top w:val="single" w:sz="4" w:space="0" w:color="auto"/>
              <w:left w:val="single" w:sz="4" w:space="0" w:color="auto"/>
              <w:right w:val="single" w:sz="4" w:space="0" w:color="auto"/>
            </w:tcBorders>
            <w:vAlign w:val="center"/>
          </w:tcPr>
          <w:p w14:paraId="37CC166F" w14:textId="77777777" w:rsidR="005E000F" w:rsidRDefault="00000000">
            <w:pPr>
              <w:jc w:val="center"/>
              <w:rPr>
                <w:color w:val="000000" w:themeColor="text1"/>
              </w:rPr>
            </w:pPr>
            <w:r>
              <w:rPr>
                <w:rFonts w:hint="eastAsia"/>
                <w:color w:val="000000" w:themeColor="text1"/>
              </w:rPr>
              <w:t>项目</w:t>
            </w:r>
          </w:p>
        </w:tc>
        <w:tc>
          <w:tcPr>
            <w:tcW w:w="1803" w:type="pct"/>
            <w:gridSpan w:val="2"/>
            <w:tcBorders>
              <w:top w:val="single" w:sz="4" w:space="0" w:color="auto"/>
              <w:left w:val="single" w:sz="4" w:space="0" w:color="auto"/>
              <w:bottom w:val="single" w:sz="4" w:space="0" w:color="auto"/>
              <w:right w:val="single" w:sz="4" w:space="0" w:color="auto"/>
            </w:tcBorders>
            <w:vAlign w:val="center"/>
          </w:tcPr>
          <w:p w14:paraId="2B857E96" w14:textId="77777777" w:rsidR="005E000F" w:rsidRDefault="00000000">
            <w:pPr>
              <w:jc w:val="center"/>
              <w:rPr>
                <w:color w:val="000000" w:themeColor="text1"/>
              </w:rPr>
            </w:pPr>
            <w:r>
              <w:rPr>
                <w:rFonts w:hint="eastAsia"/>
                <w:color w:val="000000" w:themeColor="text1"/>
              </w:rPr>
              <w:t>本期发生额</w:t>
            </w:r>
          </w:p>
        </w:tc>
        <w:tc>
          <w:tcPr>
            <w:tcW w:w="1807" w:type="pct"/>
            <w:gridSpan w:val="2"/>
            <w:tcBorders>
              <w:top w:val="single" w:sz="4" w:space="0" w:color="auto"/>
              <w:left w:val="single" w:sz="4" w:space="0" w:color="auto"/>
              <w:bottom w:val="single" w:sz="4" w:space="0" w:color="auto"/>
              <w:right w:val="single" w:sz="4" w:space="0" w:color="auto"/>
            </w:tcBorders>
            <w:vAlign w:val="center"/>
          </w:tcPr>
          <w:p w14:paraId="3B56074D" w14:textId="77777777" w:rsidR="005E000F" w:rsidRDefault="00000000">
            <w:pPr>
              <w:jc w:val="center"/>
              <w:rPr>
                <w:color w:val="000000" w:themeColor="text1"/>
              </w:rPr>
            </w:pPr>
            <w:r>
              <w:rPr>
                <w:rFonts w:hint="eastAsia"/>
                <w:color w:val="000000" w:themeColor="text1"/>
              </w:rPr>
              <w:t>上期发生额</w:t>
            </w:r>
          </w:p>
        </w:tc>
      </w:tr>
      <w:tr w:rsidR="005E000F" w14:paraId="1EB3D648" w14:textId="77777777">
        <w:tc>
          <w:tcPr>
            <w:tcW w:w="1389" w:type="pct"/>
            <w:vMerge/>
            <w:tcBorders>
              <w:left w:val="single" w:sz="4" w:space="0" w:color="auto"/>
              <w:bottom w:val="single" w:sz="4" w:space="0" w:color="auto"/>
              <w:right w:val="single" w:sz="4" w:space="0" w:color="auto"/>
            </w:tcBorders>
            <w:vAlign w:val="center"/>
          </w:tcPr>
          <w:p w14:paraId="626DEA62" w14:textId="77777777" w:rsidR="005E000F" w:rsidRDefault="005E000F">
            <w:pPr>
              <w:jc w:val="center"/>
              <w:rPr>
                <w:color w:val="000000" w:themeColor="text1"/>
              </w:rPr>
            </w:pPr>
          </w:p>
        </w:tc>
        <w:tc>
          <w:tcPr>
            <w:tcW w:w="926" w:type="pct"/>
            <w:tcBorders>
              <w:top w:val="single" w:sz="4" w:space="0" w:color="auto"/>
              <w:left w:val="single" w:sz="4" w:space="0" w:color="auto"/>
              <w:bottom w:val="single" w:sz="4" w:space="0" w:color="auto"/>
              <w:right w:val="single" w:sz="4" w:space="0" w:color="auto"/>
            </w:tcBorders>
            <w:vAlign w:val="center"/>
          </w:tcPr>
          <w:p w14:paraId="2DC593D6" w14:textId="77777777" w:rsidR="005E000F" w:rsidRDefault="00000000">
            <w:pPr>
              <w:jc w:val="center"/>
              <w:rPr>
                <w:color w:val="000000" w:themeColor="text1"/>
              </w:rPr>
            </w:pPr>
            <w:r>
              <w:rPr>
                <w:rFonts w:hint="eastAsia"/>
              </w:rPr>
              <w:t>其他业务收入</w:t>
            </w:r>
          </w:p>
        </w:tc>
        <w:tc>
          <w:tcPr>
            <w:tcW w:w="877" w:type="pct"/>
            <w:tcBorders>
              <w:top w:val="single" w:sz="4" w:space="0" w:color="auto"/>
              <w:left w:val="single" w:sz="4" w:space="0" w:color="auto"/>
              <w:bottom w:val="single" w:sz="4" w:space="0" w:color="auto"/>
              <w:right w:val="single" w:sz="4" w:space="0" w:color="auto"/>
            </w:tcBorders>
            <w:vAlign w:val="center"/>
          </w:tcPr>
          <w:p w14:paraId="0FC5313E" w14:textId="77777777" w:rsidR="005E000F" w:rsidRDefault="00000000">
            <w:pPr>
              <w:jc w:val="center"/>
              <w:rPr>
                <w:color w:val="000000" w:themeColor="text1"/>
              </w:rPr>
            </w:pPr>
            <w:r>
              <w:rPr>
                <w:rFonts w:hint="eastAsia"/>
              </w:rPr>
              <w:t>其他业务成本</w:t>
            </w:r>
          </w:p>
        </w:tc>
        <w:tc>
          <w:tcPr>
            <w:tcW w:w="939" w:type="pct"/>
            <w:tcBorders>
              <w:top w:val="single" w:sz="4" w:space="0" w:color="auto"/>
              <w:left w:val="single" w:sz="4" w:space="0" w:color="auto"/>
              <w:bottom w:val="single" w:sz="4" w:space="0" w:color="auto"/>
              <w:right w:val="single" w:sz="4" w:space="0" w:color="auto"/>
            </w:tcBorders>
            <w:vAlign w:val="center"/>
          </w:tcPr>
          <w:p w14:paraId="1AFEC95A" w14:textId="77777777" w:rsidR="005E000F" w:rsidRDefault="00000000">
            <w:pPr>
              <w:jc w:val="center"/>
              <w:rPr>
                <w:color w:val="000000" w:themeColor="text1"/>
              </w:rPr>
            </w:pPr>
            <w:r>
              <w:rPr>
                <w:rFonts w:hint="eastAsia"/>
              </w:rPr>
              <w:t>其他业务收入</w:t>
            </w:r>
          </w:p>
        </w:tc>
        <w:tc>
          <w:tcPr>
            <w:tcW w:w="868" w:type="pct"/>
            <w:tcBorders>
              <w:top w:val="single" w:sz="4" w:space="0" w:color="auto"/>
              <w:left w:val="single" w:sz="4" w:space="0" w:color="auto"/>
              <w:bottom w:val="single" w:sz="4" w:space="0" w:color="auto"/>
              <w:right w:val="single" w:sz="4" w:space="0" w:color="auto"/>
            </w:tcBorders>
            <w:vAlign w:val="center"/>
          </w:tcPr>
          <w:p w14:paraId="3B7F5385" w14:textId="77777777" w:rsidR="005E000F" w:rsidRDefault="00000000">
            <w:pPr>
              <w:jc w:val="center"/>
              <w:rPr>
                <w:color w:val="000000" w:themeColor="text1"/>
              </w:rPr>
            </w:pPr>
            <w:r>
              <w:rPr>
                <w:rFonts w:hint="eastAsia"/>
              </w:rPr>
              <w:t>其他业务成本</w:t>
            </w:r>
          </w:p>
        </w:tc>
      </w:tr>
      <w:tr w:rsidR="005E000F" w14:paraId="502769F7" w14:textId="77777777">
        <w:tc>
          <w:tcPr>
            <w:tcW w:w="1389" w:type="pct"/>
            <w:tcBorders>
              <w:top w:val="single" w:sz="4" w:space="0" w:color="auto"/>
              <w:left w:val="single" w:sz="4" w:space="0" w:color="auto"/>
              <w:bottom w:val="single" w:sz="4" w:space="0" w:color="auto"/>
              <w:right w:val="single" w:sz="4" w:space="0" w:color="auto"/>
            </w:tcBorders>
          </w:tcPr>
          <w:p w14:paraId="74304E23" w14:textId="77777777" w:rsidR="005E000F" w:rsidRDefault="00000000">
            <w:pPr>
              <w:rPr>
                <w:color w:val="000000" w:themeColor="text1"/>
              </w:rPr>
            </w:pPr>
            <w:r>
              <w:rPr>
                <w:rFonts w:hint="eastAsia"/>
                <w:color w:val="000000" w:themeColor="text1"/>
              </w:rPr>
              <w:t>材料物品销售</w:t>
            </w:r>
          </w:p>
        </w:tc>
        <w:tc>
          <w:tcPr>
            <w:tcW w:w="1676" w:type="dxa"/>
            <w:tcBorders>
              <w:top w:val="single" w:sz="4" w:space="0" w:color="auto"/>
              <w:left w:val="single" w:sz="4" w:space="0" w:color="auto"/>
              <w:bottom w:val="single" w:sz="4" w:space="0" w:color="auto"/>
              <w:right w:val="single" w:sz="4" w:space="0" w:color="auto"/>
            </w:tcBorders>
            <w:vAlign w:val="center"/>
          </w:tcPr>
          <w:p w14:paraId="7C328794" w14:textId="77777777" w:rsidR="005E000F" w:rsidRDefault="00000000">
            <w:pPr>
              <w:jc w:val="right"/>
            </w:pPr>
            <w:r>
              <w:t>381,307,378</w:t>
            </w:r>
          </w:p>
        </w:tc>
        <w:tc>
          <w:tcPr>
            <w:tcW w:w="1588" w:type="dxa"/>
            <w:tcBorders>
              <w:top w:val="single" w:sz="4" w:space="0" w:color="auto"/>
              <w:left w:val="single" w:sz="4" w:space="0" w:color="auto"/>
              <w:bottom w:val="single" w:sz="4" w:space="0" w:color="auto"/>
              <w:right w:val="single" w:sz="4" w:space="0" w:color="auto"/>
            </w:tcBorders>
            <w:vAlign w:val="center"/>
          </w:tcPr>
          <w:p w14:paraId="39882423" w14:textId="77777777" w:rsidR="005E000F" w:rsidRDefault="00000000">
            <w:pPr>
              <w:jc w:val="right"/>
            </w:pPr>
            <w:r>
              <w:t>292,279,723</w:t>
            </w:r>
          </w:p>
        </w:tc>
        <w:tc>
          <w:tcPr>
            <w:tcW w:w="939" w:type="pct"/>
            <w:tcBorders>
              <w:top w:val="single" w:sz="4" w:space="0" w:color="auto"/>
              <w:left w:val="single" w:sz="4" w:space="0" w:color="auto"/>
              <w:bottom w:val="single" w:sz="4" w:space="0" w:color="auto"/>
              <w:right w:val="single" w:sz="4" w:space="0" w:color="auto"/>
            </w:tcBorders>
            <w:vAlign w:val="center"/>
          </w:tcPr>
          <w:p w14:paraId="36DF37CB" w14:textId="77777777" w:rsidR="005E000F" w:rsidRDefault="00000000">
            <w:pPr>
              <w:jc w:val="right"/>
            </w:pPr>
            <w:r>
              <w:rPr>
                <w:rFonts w:hint="eastAsia"/>
              </w:rPr>
              <w:t>380,700,673</w:t>
            </w:r>
          </w:p>
        </w:tc>
        <w:tc>
          <w:tcPr>
            <w:tcW w:w="868" w:type="pct"/>
            <w:tcBorders>
              <w:top w:val="single" w:sz="4" w:space="0" w:color="auto"/>
              <w:left w:val="single" w:sz="4" w:space="0" w:color="auto"/>
              <w:bottom w:val="single" w:sz="4" w:space="0" w:color="auto"/>
              <w:right w:val="single" w:sz="4" w:space="0" w:color="auto"/>
            </w:tcBorders>
            <w:vAlign w:val="center"/>
          </w:tcPr>
          <w:p w14:paraId="2C6C41DC" w14:textId="77777777" w:rsidR="005E000F" w:rsidRDefault="00000000">
            <w:pPr>
              <w:jc w:val="right"/>
            </w:pPr>
            <w:r>
              <w:rPr>
                <w:rFonts w:hint="eastAsia"/>
              </w:rPr>
              <w:t>308,128,831</w:t>
            </w:r>
          </w:p>
        </w:tc>
      </w:tr>
      <w:tr w:rsidR="005E000F" w14:paraId="33CA3F68" w14:textId="77777777">
        <w:tc>
          <w:tcPr>
            <w:tcW w:w="1389" w:type="pct"/>
            <w:tcBorders>
              <w:top w:val="single" w:sz="4" w:space="0" w:color="auto"/>
              <w:left w:val="single" w:sz="4" w:space="0" w:color="auto"/>
              <w:bottom w:val="single" w:sz="4" w:space="0" w:color="auto"/>
              <w:right w:val="single" w:sz="4" w:space="0" w:color="auto"/>
            </w:tcBorders>
          </w:tcPr>
          <w:p w14:paraId="131908CB" w14:textId="77777777" w:rsidR="005E000F" w:rsidRDefault="00000000">
            <w:pPr>
              <w:rPr>
                <w:color w:val="000000" w:themeColor="text1"/>
              </w:rPr>
            </w:pPr>
            <w:r>
              <w:rPr>
                <w:rFonts w:hint="eastAsia"/>
                <w:color w:val="000000" w:themeColor="text1"/>
              </w:rPr>
              <w:t>维修</w:t>
            </w:r>
          </w:p>
        </w:tc>
        <w:tc>
          <w:tcPr>
            <w:tcW w:w="1676" w:type="dxa"/>
            <w:tcBorders>
              <w:top w:val="single" w:sz="4" w:space="0" w:color="auto"/>
              <w:left w:val="single" w:sz="4" w:space="0" w:color="auto"/>
              <w:bottom w:val="single" w:sz="4" w:space="0" w:color="auto"/>
              <w:right w:val="single" w:sz="4" w:space="0" w:color="auto"/>
            </w:tcBorders>
            <w:vAlign w:val="center"/>
          </w:tcPr>
          <w:p w14:paraId="427301FA" w14:textId="77777777" w:rsidR="005E000F" w:rsidRDefault="00000000">
            <w:pPr>
              <w:jc w:val="right"/>
            </w:pPr>
            <w:r>
              <w:t>431,512,867</w:t>
            </w:r>
          </w:p>
        </w:tc>
        <w:tc>
          <w:tcPr>
            <w:tcW w:w="1588" w:type="dxa"/>
            <w:tcBorders>
              <w:top w:val="single" w:sz="4" w:space="0" w:color="auto"/>
              <w:left w:val="single" w:sz="4" w:space="0" w:color="auto"/>
              <w:bottom w:val="single" w:sz="4" w:space="0" w:color="auto"/>
              <w:right w:val="single" w:sz="4" w:space="0" w:color="auto"/>
            </w:tcBorders>
            <w:vAlign w:val="center"/>
          </w:tcPr>
          <w:p w14:paraId="511FB06E" w14:textId="77777777" w:rsidR="005E000F" w:rsidRDefault="00000000">
            <w:pPr>
              <w:jc w:val="right"/>
            </w:pPr>
            <w:r>
              <w:t>281,605,641</w:t>
            </w:r>
          </w:p>
        </w:tc>
        <w:tc>
          <w:tcPr>
            <w:tcW w:w="939" w:type="pct"/>
            <w:tcBorders>
              <w:top w:val="single" w:sz="4" w:space="0" w:color="auto"/>
              <w:left w:val="single" w:sz="4" w:space="0" w:color="auto"/>
              <w:bottom w:val="single" w:sz="4" w:space="0" w:color="auto"/>
              <w:right w:val="single" w:sz="4" w:space="0" w:color="auto"/>
            </w:tcBorders>
            <w:vAlign w:val="center"/>
          </w:tcPr>
          <w:p w14:paraId="47C05948" w14:textId="77777777" w:rsidR="005E000F" w:rsidRDefault="00000000">
            <w:pPr>
              <w:jc w:val="right"/>
            </w:pPr>
            <w:r>
              <w:rPr>
                <w:rFonts w:hint="eastAsia"/>
              </w:rPr>
              <w:t>444,279,634</w:t>
            </w:r>
          </w:p>
        </w:tc>
        <w:tc>
          <w:tcPr>
            <w:tcW w:w="868" w:type="pct"/>
            <w:tcBorders>
              <w:top w:val="single" w:sz="4" w:space="0" w:color="auto"/>
              <w:left w:val="single" w:sz="4" w:space="0" w:color="auto"/>
              <w:bottom w:val="single" w:sz="4" w:space="0" w:color="auto"/>
              <w:right w:val="single" w:sz="4" w:space="0" w:color="auto"/>
            </w:tcBorders>
            <w:vAlign w:val="center"/>
          </w:tcPr>
          <w:p w14:paraId="392DF985" w14:textId="77777777" w:rsidR="005E000F" w:rsidRDefault="00000000">
            <w:pPr>
              <w:jc w:val="right"/>
            </w:pPr>
            <w:r>
              <w:rPr>
                <w:rFonts w:hint="eastAsia"/>
              </w:rPr>
              <w:t>271,306,482</w:t>
            </w:r>
          </w:p>
        </w:tc>
      </w:tr>
      <w:tr w:rsidR="005E000F" w14:paraId="21C655FE" w14:textId="77777777">
        <w:tc>
          <w:tcPr>
            <w:tcW w:w="1389" w:type="pct"/>
            <w:tcBorders>
              <w:top w:val="single" w:sz="4" w:space="0" w:color="auto"/>
              <w:left w:val="single" w:sz="4" w:space="0" w:color="auto"/>
              <w:bottom w:val="single" w:sz="4" w:space="0" w:color="auto"/>
              <w:right w:val="single" w:sz="4" w:space="0" w:color="auto"/>
            </w:tcBorders>
            <w:vAlign w:val="center"/>
          </w:tcPr>
          <w:p w14:paraId="70EF3552" w14:textId="77777777" w:rsidR="005E000F" w:rsidRDefault="00000000">
            <w:pPr>
              <w:rPr>
                <w:color w:val="000000" w:themeColor="text1"/>
              </w:rPr>
            </w:pPr>
            <w:r>
              <w:rPr>
                <w:rFonts w:hint="eastAsia"/>
                <w:color w:val="000000" w:themeColor="text1"/>
              </w:rPr>
              <w:t>劳务</w:t>
            </w:r>
          </w:p>
        </w:tc>
        <w:tc>
          <w:tcPr>
            <w:tcW w:w="1676" w:type="dxa"/>
            <w:tcBorders>
              <w:top w:val="single" w:sz="4" w:space="0" w:color="auto"/>
              <w:left w:val="single" w:sz="4" w:space="0" w:color="auto"/>
              <w:bottom w:val="single" w:sz="4" w:space="0" w:color="auto"/>
              <w:right w:val="single" w:sz="4" w:space="0" w:color="auto"/>
            </w:tcBorders>
            <w:vAlign w:val="center"/>
          </w:tcPr>
          <w:p w14:paraId="23DD8201" w14:textId="77777777" w:rsidR="005E000F" w:rsidRDefault="00000000">
            <w:pPr>
              <w:jc w:val="right"/>
            </w:pPr>
            <w:r>
              <w:t>158,983,303</w:t>
            </w:r>
          </w:p>
        </w:tc>
        <w:tc>
          <w:tcPr>
            <w:tcW w:w="1588" w:type="dxa"/>
            <w:tcBorders>
              <w:top w:val="single" w:sz="4" w:space="0" w:color="auto"/>
              <w:left w:val="single" w:sz="4" w:space="0" w:color="auto"/>
              <w:bottom w:val="single" w:sz="4" w:space="0" w:color="auto"/>
              <w:right w:val="single" w:sz="4" w:space="0" w:color="auto"/>
            </w:tcBorders>
            <w:vAlign w:val="center"/>
          </w:tcPr>
          <w:p w14:paraId="03D1138B" w14:textId="77777777" w:rsidR="005E000F" w:rsidRDefault="00000000">
            <w:pPr>
              <w:jc w:val="right"/>
            </w:pPr>
            <w:r>
              <w:t>94,716,211</w:t>
            </w:r>
          </w:p>
        </w:tc>
        <w:tc>
          <w:tcPr>
            <w:tcW w:w="939" w:type="pct"/>
            <w:tcBorders>
              <w:top w:val="single" w:sz="4" w:space="0" w:color="auto"/>
              <w:left w:val="single" w:sz="4" w:space="0" w:color="auto"/>
              <w:bottom w:val="single" w:sz="4" w:space="0" w:color="auto"/>
              <w:right w:val="single" w:sz="4" w:space="0" w:color="auto"/>
            </w:tcBorders>
            <w:vAlign w:val="center"/>
          </w:tcPr>
          <w:p w14:paraId="06E7714C" w14:textId="77777777" w:rsidR="005E000F" w:rsidRDefault="00000000">
            <w:pPr>
              <w:jc w:val="right"/>
            </w:pPr>
            <w:r>
              <w:rPr>
                <w:rFonts w:hint="eastAsia"/>
              </w:rPr>
              <w:t>197,538,895</w:t>
            </w:r>
          </w:p>
        </w:tc>
        <w:tc>
          <w:tcPr>
            <w:tcW w:w="868" w:type="pct"/>
            <w:tcBorders>
              <w:top w:val="single" w:sz="4" w:space="0" w:color="auto"/>
              <w:left w:val="single" w:sz="4" w:space="0" w:color="auto"/>
              <w:bottom w:val="single" w:sz="4" w:space="0" w:color="auto"/>
              <w:right w:val="single" w:sz="4" w:space="0" w:color="auto"/>
            </w:tcBorders>
            <w:vAlign w:val="center"/>
          </w:tcPr>
          <w:p w14:paraId="77F2341E" w14:textId="77777777" w:rsidR="005E000F" w:rsidRDefault="00000000">
            <w:pPr>
              <w:jc w:val="right"/>
            </w:pPr>
            <w:r>
              <w:rPr>
                <w:rFonts w:hint="eastAsia"/>
              </w:rPr>
              <w:t>143,504,236</w:t>
            </w:r>
          </w:p>
        </w:tc>
      </w:tr>
      <w:tr w:rsidR="005E000F" w14:paraId="3A0A7AC1" w14:textId="77777777">
        <w:tc>
          <w:tcPr>
            <w:tcW w:w="1389" w:type="pct"/>
            <w:tcBorders>
              <w:top w:val="single" w:sz="4" w:space="0" w:color="auto"/>
              <w:left w:val="single" w:sz="4" w:space="0" w:color="auto"/>
              <w:bottom w:val="single" w:sz="4" w:space="0" w:color="auto"/>
              <w:right w:val="single" w:sz="4" w:space="0" w:color="auto"/>
            </w:tcBorders>
            <w:vAlign w:val="center"/>
          </w:tcPr>
          <w:p w14:paraId="50DDA4C0" w14:textId="77777777" w:rsidR="005E000F" w:rsidRDefault="00000000">
            <w:pPr>
              <w:rPr>
                <w:color w:val="000000" w:themeColor="text1"/>
              </w:rPr>
            </w:pPr>
            <w:r>
              <w:rPr>
                <w:rFonts w:hint="eastAsia"/>
                <w:color w:val="000000" w:themeColor="text1"/>
              </w:rPr>
              <w:t>其他</w:t>
            </w:r>
          </w:p>
        </w:tc>
        <w:tc>
          <w:tcPr>
            <w:tcW w:w="1676" w:type="dxa"/>
            <w:tcBorders>
              <w:top w:val="single" w:sz="4" w:space="0" w:color="auto"/>
              <w:left w:val="single" w:sz="4" w:space="0" w:color="auto"/>
              <w:bottom w:val="single" w:sz="4" w:space="0" w:color="auto"/>
              <w:right w:val="single" w:sz="4" w:space="0" w:color="auto"/>
            </w:tcBorders>
            <w:vAlign w:val="center"/>
          </w:tcPr>
          <w:p w14:paraId="62062B6C" w14:textId="77777777" w:rsidR="005E000F" w:rsidRDefault="00000000">
            <w:pPr>
              <w:jc w:val="right"/>
            </w:pPr>
            <w:r>
              <w:t>171,423,702</w:t>
            </w:r>
          </w:p>
        </w:tc>
        <w:tc>
          <w:tcPr>
            <w:tcW w:w="1588" w:type="dxa"/>
            <w:tcBorders>
              <w:top w:val="single" w:sz="4" w:space="0" w:color="auto"/>
              <w:left w:val="single" w:sz="4" w:space="0" w:color="auto"/>
              <w:bottom w:val="single" w:sz="4" w:space="0" w:color="auto"/>
              <w:right w:val="single" w:sz="4" w:space="0" w:color="auto"/>
            </w:tcBorders>
            <w:vAlign w:val="center"/>
          </w:tcPr>
          <w:p w14:paraId="21BCA7A0" w14:textId="77777777" w:rsidR="005E000F" w:rsidRDefault="00000000">
            <w:pPr>
              <w:jc w:val="right"/>
            </w:pPr>
            <w:r>
              <w:t>105,195,670</w:t>
            </w:r>
          </w:p>
        </w:tc>
        <w:tc>
          <w:tcPr>
            <w:tcW w:w="939" w:type="pct"/>
            <w:tcBorders>
              <w:top w:val="single" w:sz="4" w:space="0" w:color="auto"/>
              <w:left w:val="single" w:sz="4" w:space="0" w:color="auto"/>
              <w:bottom w:val="single" w:sz="4" w:space="0" w:color="auto"/>
              <w:right w:val="single" w:sz="4" w:space="0" w:color="auto"/>
            </w:tcBorders>
            <w:vAlign w:val="center"/>
          </w:tcPr>
          <w:p w14:paraId="5D777359" w14:textId="77777777" w:rsidR="005E000F" w:rsidRDefault="00000000">
            <w:pPr>
              <w:jc w:val="right"/>
            </w:pPr>
            <w:r>
              <w:rPr>
                <w:rFonts w:hint="eastAsia"/>
              </w:rPr>
              <w:t>149,688,507</w:t>
            </w:r>
          </w:p>
        </w:tc>
        <w:tc>
          <w:tcPr>
            <w:tcW w:w="868" w:type="pct"/>
            <w:tcBorders>
              <w:top w:val="single" w:sz="4" w:space="0" w:color="auto"/>
              <w:left w:val="single" w:sz="4" w:space="0" w:color="auto"/>
              <w:bottom w:val="single" w:sz="4" w:space="0" w:color="auto"/>
              <w:right w:val="single" w:sz="4" w:space="0" w:color="auto"/>
            </w:tcBorders>
            <w:vAlign w:val="center"/>
          </w:tcPr>
          <w:p w14:paraId="4A910F73" w14:textId="77777777" w:rsidR="005E000F" w:rsidRDefault="00000000">
            <w:pPr>
              <w:jc w:val="right"/>
            </w:pPr>
            <w:r>
              <w:rPr>
                <w:rFonts w:hint="eastAsia"/>
              </w:rPr>
              <w:t>133,814,447</w:t>
            </w:r>
          </w:p>
        </w:tc>
      </w:tr>
      <w:tr w:rsidR="005E000F" w14:paraId="59645B65" w14:textId="77777777">
        <w:tc>
          <w:tcPr>
            <w:tcW w:w="1389" w:type="pct"/>
            <w:tcBorders>
              <w:top w:val="single" w:sz="4" w:space="0" w:color="auto"/>
              <w:left w:val="single" w:sz="4" w:space="0" w:color="auto"/>
              <w:bottom w:val="single" w:sz="4" w:space="0" w:color="auto"/>
              <w:right w:val="single" w:sz="4" w:space="0" w:color="auto"/>
            </w:tcBorders>
            <w:vAlign w:val="center"/>
          </w:tcPr>
          <w:p w14:paraId="3F141EFF" w14:textId="77777777" w:rsidR="005E000F" w:rsidRDefault="00000000">
            <w:pPr>
              <w:jc w:val="center"/>
              <w:rPr>
                <w:color w:val="000000" w:themeColor="text1"/>
              </w:rPr>
            </w:pPr>
            <w:r>
              <w:rPr>
                <w:rFonts w:hint="eastAsia"/>
                <w:color w:val="000000" w:themeColor="text1"/>
              </w:rPr>
              <w:t>合计</w:t>
            </w:r>
          </w:p>
        </w:tc>
        <w:tc>
          <w:tcPr>
            <w:tcW w:w="1676" w:type="dxa"/>
            <w:tcBorders>
              <w:top w:val="single" w:sz="4" w:space="0" w:color="auto"/>
              <w:left w:val="single" w:sz="4" w:space="0" w:color="auto"/>
              <w:bottom w:val="single" w:sz="4" w:space="0" w:color="auto"/>
              <w:right w:val="single" w:sz="4" w:space="0" w:color="auto"/>
            </w:tcBorders>
            <w:vAlign w:val="center"/>
          </w:tcPr>
          <w:p w14:paraId="01F5F129" w14:textId="77777777" w:rsidR="005E000F" w:rsidRDefault="00000000">
            <w:pPr>
              <w:jc w:val="right"/>
            </w:pPr>
            <w:r>
              <w:t>1,143,227,250</w:t>
            </w:r>
          </w:p>
        </w:tc>
        <w:tc>
          <w:tcPr>
            <w:tcW w:w="1588" w:type="dxa"/>
            <w:tcBorders>
              <w:top w:val="single" w:sz="4" w:space="0" w:color="auto"/>
              <w:left w:val="single" w:sz="4" w:space="0" w:color="auto"/>
              <w:bottom w:val="single" w:sz="4" w:space="0" w:color="auto"/>
              <w:right w:val="single" w:sz="4" w:space="0" w:color="auto"/>
            </w:tcBorders>
            <w:vAlign w:val="center"/>
          </w:tcPr>
          <w:p w14:paraId="5331612C" w14:textId="77777777" w:rsidR="005E000F" w:rsidRDefault="00000000">
            <w:pPr>
              <w:jc w:val="right"/>
            </w:pPr>
            <w:r>
              <w:t>773,797,245</w:t>
            </w:r>
          </w:p>
        </w:tc>
        <w:tc>
          <w:tcPr>
            <w:tcW w:w="939" w:type="pct"/>
            <w:tcBorders>
              <w:top w:val="single" w:sz="4" w:space="0" w:color="auto"/>
              <w:left w:val="single" w:sz="4" w:space="0" w:color="auto"/>
              <w:bottom w:val="single" w:sz="4" w:space="0" w:color="auto"/>
              <w:right w:val="single" w:sz="4" w:space="0" w:color="auto"/>
            </w:tcBorders>
            <w:vAlign w:val="center"/>
          </w:tcPr>
          <w:p w14:paraId="2869C66E" w14:textId="77777777" w:rsidR="005E000F" w:rsidRDefault="00000000">
            <w:pPr>
              <w:jc w:val="right"/>
            </w:pPr>
            <w:r>
              <w:rPr>
                <w:rFonts w:hint="eastAsia"/>
              </w:rPr>
              <w:t>1,172,207,709</w:t>
            </w:r>
          </w:p>
        </w:tc>
        <w:tc>
          <w:tcPr>
            <w:tcW w:w="868" w:type="pct"/>
            <w:tcBorders>
              <w:top w:val="single" w:sz="4" w:space="0" w:color="auto"/>
              <w:left w:val="single" w:sz="4" w:space="0" w:color="auto"/>
              <w:bottom w:val="single" w:sz="4" w:space="0" w:color="auto"/>
              <w:right w:val="single" w:sz="4" w:space="0" w:color="auto"/>
            </w:tcBorders>
            <w:vAlign w:val="center"/>
          </w:tcPr>
          <w:p w14:paraId="7CEE3496" w14:textId="77777777" w:rsidR="005E000F" w:rsidRDefault="00000000">
            <w:pPr>
              <w:jc w:val="right"/>
            </w:pPr>
            <w:r>
              <w:rPr>
                <w:rFonts w:hint="eastAsia"/>
              </w:rPr>
              <w:t>856,753,996</w:t>
            </w:r>
          </w:p>
        </w:tc>
      </w:tr>
    </w:tbl>
    <w:p w14:paraId="7A132A19" w14:textId="77777777" w:rsidR="005E000F" w:rsidRDefault="005E000F"/>
    <w:p w14:paraId="4C42FD50" w14:textId="77777777" w:rsidR="005E000F" w:rsidRDefault="005E000F"/>
    <w:bookmarkStart w:id="464" w:name="_Hlk153798384" w:displacedByCustomXml="next"/>
    <w:bookmarkStart w:id="465" w:name="_Hlk533798810" w:displacedByCustomXml="next"/>
    <w:sdt>
      <w:sdtPr>
        <w:rPr>
          <w:rFonts w:ascii="宋体" w:eastAsia="宋体" w:hAnsi="宋体" w:cs="宋体" w:hint="eastAsia"/>
          <w:b w:val="0"/>
          <w:bCs w:val="0"/>
          <w:kern w:val="0"/>
          <w:szCs w:val="24"/>
        </w:rPr>
        <w:alias w:val="模块:母公司营业收入、营业成本的分解信息"/>
        <w:tag w:val="_SEC_37411609543c494ea4ff0d898d351419"/>
        <w:id w:val="1833941568"/>
        <w:placeholder>
          <w:docPart w:val="GBC22222222222222222222222222222"/>
        </w:placeholder>
      </w:sdtPr>
      <w:sdtEndPr>
        <w:rPr>
          <w:rFonts w:ascii="Times New Roman" w:hAnsi="Times New Roman" w:cs="Times New Roman" w:hint="default"/>
          <w:color w:val="000000" w:themeColor="text1"/>
          <w:szCs w:val="20"/>
        </w:rPr>
      </w:sdtEndPr>
      <w:sdtContent>
        <w:p w14:paraId="40FCC632" w14:textId="77777777" w:rsidR="005E000F" w:rsidRDefault="00000000">
          <w:pPr>
            <w:pStyle w:val="4"/>
            <w:numPr>
              <w:ilvl w:val="0"/>
              <w:numId w:val="136"/>
            </w:numPr>
          </w:pPr>
          <w:r>
            <w:rPr>
              <w:rFonts w:eastAsia="宋体" w:hint="eastAsia"/>
            </w:rPr>
            <w:t>合同产生的收入的情况</w:t>
          </w:r>
          <w:r>
            <w:t xml:space="preserve"> </w:t>
          </w:r>
        </w:p>
        <w:sdt>
          <w:sdtPr>
            <w:rPr>
              <w:rFonts w:ascii="宋体" w:hAnsi="宋体"/>
              <w:szCs w:val="21"/>
            </w:rPr>
            <w:alias w:val="是否适用：母公司营业收入、营业成本的分解信息 [双击切换]"/>
            <w:tag w:val="_GBC_ebb0bd28b90c4b2b9a1a99758f2ade01"/>
            <w:id w:val="-1041125896"/>
            <w:placeholder>
              <w:docPart w:val="F37AD505C2CD4DD9B44509D55EF68DFF"/>
            </w:placeholder>
          </w:sdtPr>
          <w:sdtContent>
            <w:p w14:paraId="3C4C47BA" w14:textId="77777777" w:rsidR="005E000F" w:rsidRDefault="00000000">
              <w:pPr>
                <w:pStyle w:val="aff8"/>
                <w:ind w:firstLineChars="0" w:firstLine="0"/>
                <w:jc w:val="left"/>
                <w:rPr>
                  <w:rFonts w:ascii="宋体" w:hAnsi="宋体"/>
                  <w:szCs w:val="21"/>
                </w:rPr>
              </w:pPr>
              <w:r>
                <w:rPr>
                  <w:rFonts w:ascii="宋体" w:hAnsi="宋体"/>
                  <w:szCs w:val="21"/>
                </w:rPr>
                <w:fldChar w:fldCharType="begin"/>
              </w:r>
              <w:r>
                <w:rPr>
                  <w:rFonts w:ascii="宋体" w:hAnsi="宋体" w:hint="eastAsia"/>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hint="eastAsia"/>
                  <w:szCs w:val="21"/>
                </w:rPr>
                <w:instrText xml:space="preserve"> MACROBUTTON  SnrToggleCheckbox □不适用 </w:instrText>
              </w:r>
              <w:r>
                <w:rPr>
                  <w:rFonts w:ascii="宋体" w:hAnsi="宋体"/>
                  <w:szCs w:val="21"/>
                </w:rPr>
                <w:fldChar w:fldCharType="end"/>
              </w:r>
            </w:p>
          </w:sdtContent>
        </w:sdt>
        <w:p w14:paraId="5568830F" w14:textId="77777777" w:rsidR="005E000F" w:rsidRDefault="00000000">
          <w:pPr>
            <w:pStyle w:val="aff8"/>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母公司营业收入、营业成本的分解信息 "/>
              <w:tag w:val="_GBC_3db418a3b87d48a88125df45d69873a5"/>
              <w:id w:val="1665197645"/>
              <w:placeholder>
                <w:docPart w:val="F37AD505C2CD4DD9B44509D55EF68DFF"/>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母公司营业收入、营业成本的分解信息 "/>
              <w:tag w:val="_GBC_4b099cda1a9e49e6b317322bdc1e1e9a"/>
              <w:id w:val="-2095305254"/>
              <w:placeholder>
                <w:docPart w:val="F37AD505C2CD4DD9B44509D55EF68DFF"/>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7"/>
            <w:gridCol w:w="4228"/>
          </w:tblGrid>
          <w:tr w:rsidR="005E000F" w14:paraId="7BD735FF" w14:textId="77777777">
            <w:sdt>
              <w:sdtPr>
                <w:tag w:val="_PLD_4744d45860a74eb7b15a1f53d0ba8f57"/>
                <w:id w:val="1327473237"/>
              </w:sdtPr>
              <w:sdtContent>
                <w:tc>
                  <w:tcPr>
                    <w:tcW w:w="4817" w:type="dxa"/>
                    <w:vMerge w:val="restart"/>
                    <w:tcBorders>
                      <w:top w:val="single" w:sz="4" w:space="0" w:color="auto"/>
                      <w:left w:val="single" w:sz="4" w:space="0" w:color="auto"/>
                      <w:right w:val="single" w:sz="4" w:space="0" w:color="auto"/>
                    </w:tcBorders>
                    <w:vAlign w:val="center"/>
                  </w:tcPr>
                  <w:p w14:paraId="2578C425" w14:textId="77777777" w:rsidR="005E000F" w:rsidRDefault="00000000">
                    <w:pPr>
                      <w:jc w:val="center"/>
                    </w:pPr>
                    <w:r>
                      <w:rPr>
                        <w:rFonts w:hint="eastAsia"/>
                      </w:rPr>
                      <w:t>合同分类</w:t>
                    </w:r>
                  </w:p>
                </w:tc>
              </w:sdtContent>
            </w:sdt>
            <w:sdt>
              <w:sdtPr>
                <w:tag w:val="_PLD_3ace98fa65b74494a468291f479f75b5"/>
                <w:id w:val="-516238162"/>
              </w:sdtPr>
              <w:sdtContent>
                <w:tc>
                  <w:tcPr>
                    <w:tcW w:w="4228" w:type="dxa"/>
                    <w:tcBorders>
                      <w:top w:val="single" w:sz="4" w:space="0" w:color="auto"/>
                      <w:left w:val="single" w:sz="4" w:space="0" w:color="auto"/>
                      <w:bottom w:val="single" w:sz="4" w:space="0" w:color="auto"/>
                      <w:right w:val="single" w:sz="4" w:space="0" w:color="auto"/>
                    </w:tcBorders>
                    <w:vAlign w:val="center"/>
                  </w:tcPr>
                  <w:p w14:paraId="25099649" w14:textId="77777777" w:rsidR="005E000F" w:rsidRDefault="00000000">
                    <w:pPr>
                      <w:jc w:val="center"/>
                    </w:pPr>
                    <w:r>
                      <w:rPr>
                        <w:rFonts w:hint="eastAsia"/>
                      </w:rPr>
                      <w:t>合计</w:t>
                    </w:r>
                  </w:p>
                </w:tc>
              </w:sdtContent>
            </w:sdt>
          </w:tr>
          <w:tr w:rsidR="005E000F" w14:paraId="3DB7A397" w14:textId="77777777">
            <w:tc>
              <w:tcPr>
                <w:tcW w:w="4817" w:type="dxa"/>
                <w:vMerge/>
                <w:tcBorders>
                  <w:left w:val="single" w:sz="4" w:space="0" w:color="auto"/>
                  <w:bottom w:val="single" w:sz="4" w:space="0" w:color="auto"/>
                  <w:right w:val="single" w:sz="4" w:space="0" w:color="auto"/>
                </w:tcBorders>
                <w:vAlign w:val="center"/>
              </w:tcPr>
              <w:p w14:paraId="0A3F82C8" w14:textId="77777777" w:rsidR="005E000F" w:rsidRDefault="005E000F">
                <w:pPr>
                  <w:jc w:val="center"/>
                </w:pPr>
              </w:p>
            </w:tc>
            <w:tc>
              <w:tcPr>
                <w:tcW w:w="4227" w:type="dxa"/>
                <w:tcBorders>
                  <w:top w:val="single" w:sz="4" w:space="0" w:color="auto"/>
                  <w:left w:val="single" w:sz="4" w:space="0" w:color="auto"/>
                  <w:bottom w:val="single" w:sz="4" w:space="0" w:color="auto"/>
                  <w:right w:val="single" w:sz="4" w:space="0" w:color="auto"/>
                </w:tcBorders>
                <w:vAlign w:val="center"/>
              </w:tcPr>
              <w:p w14:paraId="4188F1F9" w14:textId="77777777" w:rsidR="005E000F" w:rsidRDefault="00000000">
                <w:pPr>
                  <w:jc w:val="center"/>
                </w:pPr>
                <w:r>
                  <w:rPr>
                    <w:rFonts w:hint="eastAsia"/>
                  </w:rPr>
                  <w:t>本期发生额</w:t>
                </w:r>
              </w:p>
            </w:tc>
          </w:tr>
          <w:tr w:rsidR="005E000F" w14:paraId="5234CAC2" w14:textId="77777777">
            <w:tc>
              <w:tcPr>
                <w:tcW w:w="4817" w:type="dxa"/>
                <w:tcBorders>
                  <w:top w:val="single" w:sz="4" w:space="0" w:color="auto"/>
                  <w:left w:val="single" w:sz="4" w:space="0" w:color="auto"/>
                  <w:bottom w:val="single" w:sz="4" w:space="0" w:color="auto"/>
                  <w:right w:val="single" w:sz="4" w:space="0" w:color="auto"/>
                </w:tcBorders>
                <w:vAlign w:val="center"/>
              </w:tcPr>
              <w:sdt>
                <w:sdtPr>
                  <w:tag w:val="_PLD_d58e5cbdff1c4eedb2a46e26782b4e4d"/>
                  <w:id w:val="-1153360767"/>
                </w:sdtPr>
                <w:sdtContent>
                  <w:p w14:paraId="490BB24B" w14:textId="77777777" w:rsidR="005E000F" w:rsidRDefault="00000000">
                    <w:r>
                      <w:rPr>
                        <w:rFonts w:hint="eastAsia"/>
                      </w:rPr>
                      <w:t>按商品转让的时间分类</w:t>
                    </w:r>
                  </w:p>
                </w:sdtContent>
              </w:sdt>
            </w:tc>
            <w:tc>
              <w:tcPr>
                <w:tcW w:w="4227" w:type="dxa"/>
                <w:tcBorders>
                  <w:top w:val="single" w:sz="4" w:space="0" w:color="auto"/>
                  <w:left w:val="single" w:sz="4" w:space="0" w:color="auto"/>
                  <w:bottom w:val="single" w:sz="4" w:space="0" w:color="auto"/>
                  <w:right w:val="single" w:sz="4" w:space="0" w:color="auto"/>
                </w:tcBorders>
                <w:vAlign w:val="center"/>
              </w:tcPr>
              <w:p w14:paraId="60C3CA4D" w14:textId="77777777" w:rsidR="005E000F" w:rsidRDefault="005E000F">
                <w:pPr>
                  <w:jc w:val="right"/>
                </w:pPr>
              </w:p>
            </w:tc>
          </w:tr>
          <w:tr w:rsidR="005E000F" w14:paraId="4FDC460B" w14:textId="77777777">
            <w:sdt>
              <w:sdtPr>
                <w:rPr>
                  <w:rFonts w:hint="eastAsia"/>
                </w:rPr>
                <w:alias w:val="分部按商品转让的时间分类明细名称"/>
                <w:tag w:val="_GBC_52fb349693bc44e7a25efc6aef415062"/>
                <w:id w:val="1505007273"/>
              </w:sdtPr>
              <w:sdtContent>
                <w:tc>
                  <w:tcPr>
                    <w:tcW w:w="4817" w:type="dxa"/>
                    <w:tcBorders>
                      <w:top w:val="single" w:sz="4" w:space="0" w:color="auto"/>
                      <w:left w:val="single" w:sz="4" w:space="0" w:color="auto"/>
                      <w:bottom w:val="single" w:sz="4" w:space="0" w:color="auto"/>
                      <w:right w:val="single" w:sz="4" w:space="0" w:color="auto"/>
                    </w:tcBorders>
                    <w:vAlign w:val="center"/>
                  </w:tcPr>
                  <w:p w14:paraId="4E5345B3" w14:textId="77777777" w:rsidR="005E000F" w:rsidRDefault="00000000">
                    <w:pPr>
                      <w:ind w:firstLineChars="200" w:firstLine="420"/>
                    </w:pPr>
                    <w:r>
                      <w:rPr>
                        <w:rFonts w:hint="eastAsia"/>
                      </w:rPr>
                      <w:t>在某一时点</w:t>
                    </w:r>
                    <w:r>
                      <w:t>确认收入</w:t>
                    </w:r>
                  </w:p>
                </w:tc>
              </w:sdtContent>
            </w:sdt>
            <w:sdt>
              <w:sdtPr>
                <w:alias w:val="按商品转让的时间分类明细合同产生的成本"/>
                <w:tag w:val="_GBC_ad500915f8484c2a80f9453d0495bcf3"/>
                <w:id w:val="1744374374"/>
              </w:sdtPr>
              <w:sdtContent>
                <w:tc>
                  <w:tcPr>
                    <w:tcW w:w="4227" w:type="dxa"/>
                    <w:tcBorders>
                      <w:top w:val="single" w:sz="4" w:space="0" w:color="auto"/>
                      <w:left w:val="single" w:sz="4" w:space="0" w:color="auto"/>
                      <w:bottom w:val="single" w:sz="4" w:space="0" w:color="auto"/>
                      <w:right w:val="single" w:sz="4" w:space="0" w:color="auto"/>
                    </w:tcBorders>
                    <w:vAlign w:val="center"/>
                  </w:tcPr>
                  <w:p w14:paraId="6BA5B9F8" w14:textId="77777777" w:rsidR="005E000F" w:rsidRDefault="00000000">
                    <w:pPr>
                      <w:jc w:val="right"/>
                    </w:pPr>
                    <w:r>
                      <w:t>381,307,378</w:t>
                    </w:r>
                  </w:p>
                </w:tc>
              </w:sdtContent>
            </w:sdt>
          </w:tr>
          <w:tr w:rsidR="005E000F" w14:paraId="30A9B789" w14:textId="77777777">
            <w:sdt>
              <w:sdtPr>
                <w:rPr>
                  <w:rFonts w:hint="eastAsia"/>
                </w:rPr>
                <w:alias w:val="分部按商品转让的时间分类明细名称"/>
                <w:tag w:val="_GBC_52fb349693bc44e7a25efc6aef415062"/>
                <w:id w:val="1194809438"/>
              </w:sdtPr>
              <w:sdtContent>
                <w:tc>
                  <w:tcPr>
                    <w:tcW w:w="4817" w:type="dxa"/>
                    <w:tcBorders>
                      <w:top w:val="single" w:sz="4" w:space="0" w:color="auto"/>
                      <w:left w:val="single" w:sz="4" w:space="0" w:color="auto"/>
                      <w:bottom w:val="single" w:sz="4" w:space="0" w:color="auto"/>
                      <w:right w:val="single" w:sz="4" w:space="0" w:color="auto"/>
                    </w:tcBorders>
                    <w:vAlign w:val="center"/>
                  </w:tcPr>
                  <w:p w14:paraId="50780403" w14:textId="77777777" w:rsidR="005E000F" w:rsidRDefault="00000000">
                    <w:pPr>
                      <w:ind w:firstLineChars="200" w:firstLine="420"/>
                    </w:pPr>
                    <w:r>
                      <w:rPr>
                        <w:rFonts w:hint="eastAsia"/>
                      </w:rPr>
                      <w:t>在某一时段内</w:t>
                    </w:r>
                    <w:r>
                      <w:t>确认收入</w:t>
                    </w:r>
                  </w:p>
                </w:tc>
              </w:sdtContent>
            </w:sdt>
            <w:sdt>
              <w:sdtPr>
                <w:alias w:val="按商品转让的时间分类明细合同产生的成本"/>
                <w:tag w:val="_GBC_ad500915f8484c2a80f9453d0495bcf3"/>
                <w:id w:val="-125316477"/>
              </w:sdtPr>
              <w:sdtContent>
                <w:tc>
                  <w:tcPr>
                    <w:tcW w:w="4227" w:type="dxa"/>
                    <w:tcBorders>
                      <w:top w:val="single" w:sz="4" w:space="0" w:color="auto"/>
                      <w:left w:val="single" w:sz="4" w:space="0" w:color="auto"/>
                      <w:bottom w:val="single" w:sz="4" w:space="0" w:color="auto"/>
                      <w:right w:val="single" w:sz="4" w:space="0" w:color="auto"/>
                    </w:tcBorders>
                    <w:vAlign w:val="center"/>
                  </w:tcPr>
                  <w:p w14:paraId="273ED623" w14:textId="77777777" w:rsidR="005E000F" w:rsidRDefault="00000000">
                    <w:pPr>
                      <w:jc w:val="right"/>
                    </w:pPr>
                    <w:r>
                      <w:t>73,069,421,053</w:t>
                    </w:r>
                  </w:p>
                </w:tc>
              </w:sdtContent>
            </w:sdt>
          </w:tr>
          <w:tr w:rsidR="005E000F" w14:paraId="22BDA881" w14:textId="77777777">
            <w:tc>
              <w:tcPr>
                <w:tcW w:w="4817" w:type="dxa"/>
                <w:tcBorders>
                  <w:top w:val="single" w:sz="4" w:space="0" w:color="auto"/>
                  <w:left w:val="single" w:sz="4" w:space="0" w:color="auto"/>
                  <w:bottom w:val="single" w:sz="4" w:space="0" w:color="auto"/>
                  <w:right w:val="single" w:sz="4" w:space="0" w:color="auto"/>
                </w:tcBorders>
                <w:vAlign w:val="center"/>
              </w:tcPr>
              <w:sdt>
                <w:sdtPr>
                  <w:tag w:val="_PLD_62d7bd68a5834771b6ed8e947f7c8761"/>
                  <w:id w:val="1438799369"/>
                </w:sdtPr>
                <w:sdtContent>
                  <w:p w14:paraId="79F2CCCC" w14:textId="77777777" w:rsidR="005E000F" w:rsidRDefault="00000000">
                    <w:pPr>
                      <w:jc w:val="center"/>
                    </w:pPr>
                    <w:r>
                      <w:rPr>
                        <w:rFonts w:hint="eastAsia"/>
                      </w:rPr>
                      <w:t>合计</w:t>
                    </w:r>
                  </w:p>
                </w:sdtContent>
              </w:sdt>
            </w:tc>
            <w:sdt>
              <w:sdtPr>
                <w:alias w:val="合同产生的成本"/>
                <w:tag w:val="_GBC_177f88b406294740b9de9710660ee809"/>
                <w:id w:val="1211310523"/>
              </w:sdtPr>
              <w:sdtContent>
                <w:tc>
                  <w:tcPr>
                    <w:tcW w:w="4227" w:type="dxa"/>
                    <w:tcBorders>
                      <w:top w:val="single" w:sz="4" w:space="0" w:color="auto"/>
                      <w:left w:val="single" w:sz="4" w:space="0" w:color="auto"/>
                      <w:bottom w:val="single" w:sz="4" w:space="0" w:color="auto"/>
                      <w:right w:val="single" w:sz="4" w:space="0" w:color="auto"/>
                    </w:tcBorders>
                    <w:vAlign w:val="center"/>
                  </w:tcPr>
                  <w:p w14:paraId="72A799A1" w14:textId="77777777" w:rsidR="005E000F" w:rsidRDefault="00000000">
                    <w:pPr>
                      <w:jc w:val="right"/>
                    </w:pPr>
                    <w:r>
                      <w:t>73,450,728,431</w:t>
                    </w:r>
                  </w:p>
                </w:tc>
              </w:sdtContent>
            </w:sdt>
          </w:tr>
        </w:tbl>
        <w:p w14:paraId="60F62FCF" w14:textId="77777777" w:rsidR="005E000F" w:rsidRDefault="005E000F"/>
        <w:p w14:paraId="5F94F4F5" w14:textId="77777777" w:rsidR="005E000F" w:rsidRDefault="00000000">
          <w:r>
            <w:rPr>
              <w:rFonts w:hint="eastAsia"/>
            </w:rPr>
            <w:t>其他说明：</w:t>
          </w:r>
        </w:p>
        <w:sdt>
          <w:sdtPr>
            <w:alias w:val="是否适用：母公司营业收入、营业成本的分解信息说明 [双击切换]"/>
            <w:tag w:val="_GBC_579e9b003cbd4b94a5da57be65a206f7"/>
            <w:id w:val="1136839291"/>
            <w:placeholder>
              <w:docPart w:val="F37AD505C2CD4DD9B44509D55EF68DFF"/>
            </w:placeholder>
          </w:sdtPr>
          <w:sdtContent>
            <w:p w14:paraId="70865642" w14:textId="77777777" w:rsidR="005E000F" w:rsidRDefault="00000000">
              <w:pPr>
                <w:rPr>
                  <w:color w:val="000000" w:themeColor="text1"/>
                </w:rPr>
              </w:pPr>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6CA81A75" w14:textId="77777777" w:rsidR="005E000F" w:rsidRDefault="005E000F">
          <w:pPr>
            <w:rPr>
              <w:color w:val="000000" w:themeColor="text1"/>
            </w:rPr>
          </w:pPr>
        </w:p>
        <w:p w14:paraId="080BFDB5" w14:textId="77777777" w:rsidR="005E000F" w:rsidRDefault="005E000F"/>
        <w:p w14:paraId="4F10BE54" w14:textId="77777777" w:rsidR="005E000F" w:rsidRDefault="00000000"/>
      </w:sdtContent>
    </w:sdt>
    <w:p w14:paraId="5062717C" w14:textId="77777777" w:rsidR="005E000F" w:rsidRDefault="00000000">
      <w:pPr>
        <w:pStyle w:val="4"/>
        <w:numPr>
          <w:ilvl w:val="0"/>
          <w:numId w:val="136"/>
        </w:numPr>
        <w:rPr>
          <w:rFonts w:ascii="宋体" w:eastAsia="宋体" w:hAnsi="宋体" w:cs="宋体"/>
          <w:kern w:val="0"/>
          <w:szCs w:val="24"/>
        </w:rPr>
      </w:pPr>
      <w:bookmarkStart w:id="466" w:name="_Hlk155961563"/>
      <w:bookmarkEnd w:id="464"/>
      <w:r>
        <w:rPr>
          <w:rFonts w:ascii="宋体" w:eastAsia="宋体" w:hAnsi="宋体" w:cs="宋体" w:hint="eastAsia"/>
          <w:kern w:val="0"/>
          <w:szCs w:val="24"/>
        </w:rPr>
        <w:t>履约义务的说明</w:t>
      </w:r>
    </w:p>
    <w:sdt>
      <w:sdtPr>
        <w:alias w:val="是否适用：履约义务的说明[双击切换]"/>
        <w:tag w:val="_GBC_0b818a1fe50c41248e0bae7b16db682e"/>
        <w:id w:val="-1949924549"/>
        <w:placeholder>
          <w:docPart w:val="GBC22222222222222222222222222222"/>
        </w:placeholder>
      </w:sdtPr>
      <w:sdtContent>
        <w:p w14:paraId="6BA87B2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3988C66E" w14:textId="77777777" w:rsidR="005E000F" w:rsidRDefault="005E000F"/>
    <w:p w14:paraId="4F314632" w14:textId="77777777" w:rsidR="005E000F" w:rsidRDefault="00000000">
      <w:pPr>
        <w:pStyle w:val="4"/>
        <w:numPr>
          <w:ilvl w:val="0"/>
          <w:numId w:val="136"/>
        </w:numPr>
      </w:pPr>
      <w:bookmarkStart w:id="467" w:name="_Hlk533798958"/>
      <w:bookmarkEnd w:id="465"/>
      <w:bookmarkEnd w:id="466"/>
      <w:r>
        <w:rPr>
          <w:rFonts w:hint="eastAsia"/>
        </w:rPr>
        <w:t>分摊至剩余履约义务的说明</w:t>
      </w:r>
    </w:p>
    <w:sdt>
      <w:sdtPr>
        <w:alias w:val="是否适用：母公司分摊至剩余履约义务的说明[双击切换]"/>
        <w:tag w:val="_GBC_7f0a9adae5ea4624a849a396f1ce90b1"/>
        <w:id w:val="-2005811531"/>
        <w:placeholder>
          <w:docPart w:val="GBC22222222222222222222222222222"/>
        </w:placeholder>
      </w:sdtPr>
      <w:sdtContent>
        <w:p w14:paraId="305EDD02"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42515E55" w14:textId="77777777" w:rsidR="005E000F" w:rsidRDefault="005E000F"/>
    <w:p w14:paraId="469CBD18" w14:textId="77777777" w:rsidR="005E000F" w:rsidRDefault="005E000F">
      <w:pPr>
        <w:rPr>
          <w:rFonts w:ascii="Arial" w:hAnsi="Arial"/>
        </w:rPr>
      </w:pPr>
    </w:p>
    <w:p w14:paraId="060F0FDF" w14:textId="77777777" w:rsidR="005E000F" w:rsidRDefault="00000000">
      <w:pPr>
        <w:pStyle w:val="4"/>
        <w:numPr>
          <w:ilvl w:val="0"/>
          <w:numId w:val="136"/>
        </w:numPr>
        <w:rPr>
          <w:rFonts w:ascii="宋体" w:eastAsia="宋体" w:hAnsi="宋体" w:cs="宋体"/>
          <w:kern w:val="0"/>
          <w:szCs w:val="24"/>
        </w:rPr>
      </w:pPr>
      <w:bookmarkStart w:id="468" w:name="_Hlk153798573"/>
      <w:bookmarkEnd w:id="467"/>
      <w:r>
        <w:rPr>
          <w:rFonts w:ascii="宋体" w:eastAsia="宋体" w:hAnsi="宋体" w:cs="宋体" w:hint="eastAsia"/>
          <w:kern w:val="0"/>
          <w:szCs w:val="24"/>
        </w:rPr>
        <w:t>重大合同变更或重大交易价格调整</w:t>
      </w:r>
    </w:p>
    <w:sdt>
      <w:sdtPr>
        <w:alias w:val="是否适用：母公司重大合同变更或重大交易价格调整[双击切换]"/>
        <w:tag w:val="_GBC_df0026b6a6ff4f0a99c85462586d2446"/>
        <w:id w:val="-1059783105"/>
        <w:placeholder>
          <w:docPart w:val="GBC22222222222222222222222222222"/>
        </w:placeholder>
      </w:sdtPr>
      <w:sdtContent>
        <w:p w14:paraId="0AE0A2C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6D23C35" w14:textId="77777777" w:rsidR="005E000F" w:rsidRDefault="005E000F">
      <w:pPr>
        <w:rPr>
          <w:rFonts w:ascii="Arial" w:hAnsi="Arial"/>
        </w:rPr>
      </w:pPr>
    </w:p>
    <w:p w14:paraId="2A5C9DC3" w14:textId="77777777" w:rsidR="005E000F" w:rsidRDefault="00000000">
      <w:pPr>
        <w:spacing w:before="60" w:after="60"/>
      </w:pPr>
      <w:bookmarkStart w:id="469" w:name="_Hlk533798751"/>
      <w:bookmarkEnd w:id="468"/>
      <w:r>
        <w:rPr>
          <w:rFonts w:hint="eastAsia"/>
        </w:rPr>
        <w:t>其他说明：</w:t>
      </w:r>
    </w:p>
    <w:p w14:paraId="3E1D19E2" w14:textId="77777777" w:rsidR="005E000F" w:rsidRDefault="00000000">
      <w:sdt>
        <w:sdtPr>
          <w:alias w:val="主营业务说明"/>
          <w:tag w:val="_GBC_fd583c7468404a3e83de872adae134a2"/>
          <w:id w:val="-479385728"/>
          <w:placeholder>
            <w:docPart w:val="GBC22222222222222222222222222222"/>
          </w:placeholder>
        </w:sdtPr>
        <w:sdtContent>
          <w:r>
            <w:rPr>
              <w:rFonts w:hint="eastAsia"/>
            </w:rPr>
            <w:t>无</w:t>
          </w:r>
        </w:sdtContent>
      </w:sdt>
    </w:p>
    <w:p w14:paraId="7D76B6FC" w14:textId="77777777" w:rsidR="005E000F" w:rsidRDefault="005E000F"/>
    <w:p w14:paraId="4E56D11D" w14:textId="77777777" w:rsidR="005E000F" w:rsidRDefault="00000000">
      <w:pPr>
        <w:pStyle w:val="3"/>
        <w:numPr>
          <w:ilvl w:val="0"/>
          <w:numId w:val="130"/>
        </w:numPr>
        <w:rPr>
          <w:rFonts w:ascii="宋体" w:hAnsi="宋体"/>
          <w:szCs w:val="21"/>
        </w:rPr>
      </w:pPr>
      <w:bookmarkStart w:id="470" w:name="OLE_LINK6"/>
      <w:bookmarkStart w:id="471" w:name="_Hlk24031063"/>
      <w:bookmarkStart w:id="472" w:name="_Hlk10548739"/>
      <w:bookmarkEnd w:id="469"/>
      <w:r>
        <w:rPr>
          <w:rFonts w:ascii="宋体" w:hAnsi="宋体" w:hint="eastAsia"/>
          <w:szCs w:val="21"/>
        </w:rPr>
        <w:t>投资收益</w:t>
      </w:r>
      <w:bookmarkEnd w:id="470"/>
    </w:p>
    <w:sdt>
      <w:sdtPr>
        <w:alias w:val="是否适用：母公司投资收益[双击切换]"/>
        <w:tag w:val="_GBC_c2bb46ec06e343088b38ac6340f45fb2"/>
        <w:id w:val="-1574658789"/>
        <w:placeholder>
          <w:docPart w:val="GBC22222222222222222222222222222"/>
        </w:placeholder>
      </w:sdtPr>
      <w:sdtContent>
        <w:p w14:paraId="73A13134" w14:textId="77777777" w:rsidR="005E000F" w:rsidRDefault="00000000">
          <w:r>
            <w:rPr>
              <w:rFonts w:ascii="宋体" w:hAnsi="宋体"/>
            </w:rPr>
            <w:fldChar w:fldCharType="begin"/>
          </w:r>
          <w:r>
            <w:rPr>
              <w:rFonts w:ascii="宋体" w:hAnsi="宋体"/>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09E998C5" w14:textId="77777777" w:rsidR="005E000F" w:rsidRDefault="00000000">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180743016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w:t>
      </w:r>
      <w:r>
        <w:t>币种</w:t>
      </w:r>
      <w:r>
        <w:rPr>
          <w:rFonts w:hint="eastAsia"/>
        </w:rPr>
        <w:t>：</w:t>
      </w:r>
      <w:sdt>
        <w:sdtPr>
          <w:rPr>
            <w:rFonts w:hint="eastAsia"/>
          </w:rPr>
          <w:alias w:val="币种：财务附注：会计报表中的投资收益项目增加"/>
          <w:tag w:val="_GBC_4090bf40cd1647838a8c5908dbc544c5"/>
          <w:id w:val="-84401106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pPr w:leftFromText="180" w:rightFromText="180" w:vertAnchor="text" w:horzAnchor="page" w:tblpX="1789" w:tblpY="3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692"/>
        <w:gridCol w:w="2703"/>
      </w:tblGrid>
      <w:tr w:rsidR="005E000F" w14:paraId="3EE2B49D" w14:textId="77777777">
        <w:bookmarkEnd w:id="472" w:displacedByCustomXml="next"/>
        <w:bookmarkStart w:id="473" w:name="_Hlk24031106" w:displacedByCustomXml="next"/>
        <w:bookmarkStart w:id="474" w:name="_Hlk10720480" w:displacedByCustomXml="next"/>
        <w:sdt>
          <w:sdtPr>
            <w:tag w:val="_PLD_507ed5c985ab48c59a18c2d57dd68c9c"/>
            <w:id w:val="147469523"/>
          </w:sdtPr>
          <w:sdtContent>
            <w:tc>
              <w:tcPr>
                <w:tcW w:w="3652" w:type="dxa"/>
                <w:vAlign w:val="center"/>
              </w:tcPr>
              <w:p w14:paraId="6196813A" w14:textId="77777777" w:rsidR="005E000F" w:rsidRDefault="00000000">
                <w:pPr>
                  <w:ind w:left="420" w:hanging="420"/>
                  <w:jc w:val="center"/>
                </w:pPr>
                <w:r>
                  <w:rPr>
                    <w:rFonts w:hint="eastAsia"/>
                  </w:rPr>
                  <w:t>项目</w:t>
                </w:r>
              </w:p>
            </w:tc>
          </w:sdtContent>
        </w:sdt>
        <w:sdt>
          <w:sdtPr>
            <w:tag w:val="_PLD_47187d04b5814de2ac4d8e7ab7f3dcf5"/>
            <w:id w:val="147479171"/>
          </w:sdtPr>
          <w:sdtContent>
            <w:tc>
              <w:tcPr>
                <w:tcW w:w="2692" w:type="dxa"/>
                <w:vAlign w:val="center"/>
              </w:tcPr>
              <w:p w14:paraId="65E868BB" w14:textId="77777777" w:rsidR="005E000F" w:rsidRDefault="00000000">
                <w:pPr>
                  <w:jc w:val="center"/>
                </w:pPr>
                <w:r>
                  <w:rPr>
                    <w:rFonts w:hint="eastAsia"/>
                  </w:rPr>
                  <w:t>本期发生额</w:t>
                </w:r>
              </w:p>
            </w:tc>
          </w:sdtContent>
        </w:sdt>
        <w:sdt>
          <w:sdtPr>
            <w:tag w:val="_PLD_9b38c11702ff453c93beb78507ab4be2"/>
            <w:id w:val="147483350"/>
          </w:sdtPr>
          <w:sdtContent>
            <w:tc>
              <w:tcPr>
                <w:tcW w:w="2703" w:type="dxa"/>
                <w:vAlign w:val="center"/>
              </w:tcPr>
              <w:p w14:paraId="2006C5E5" w14:textId="77777777" w:rsidR="005E000F" w:rsidRDefault="00000000">
                <w:pPr>
                  <w:jc w:val="center"/>
                </w:pPr>
                <w:r>
                  <w:rPr>
                    <w:rFonts w:hint="eastAsia"/>
                  </w:rPr>
                  <w:t>上期发生额</w:t>
                </w:r>
              </w:p>
            </w:tc>
          </w:sdtContent>
        </w:sdt>
      </w:tr>
      <w:tr w:rsidR="005E000F" w14:paraId="65E3BFB2" w14:textId="77777777">
        <w:tc>
          <w:tcPr>
            <w:tcW w:w="3652" w:type="dxa"/>
            <w:vAlign w:val="center"/>
          </w:tcPr>
          <w:p w14:paraId="1A37BD62" w14:textId="77777777" w:rsidR="005E000F" w:rsidRDefault="00000000">
            <w:r>
              <w:t>成本法核算的长期股权投资收益</w:t>
            </w:r>
          </w:p>
        </w:tc>
        <w:tc>
          <w:tcPr>
            <w:tcW w:w="2692" w:type="dxa"/>
            <w:vAlign w:val="center"/>
          </w:tcPr>
          <w:p w14:paraId="676923FA" w14:textId="77777777" w:rsidR="005E000F" w:rsidRDefault="00000000">
            <w:pPr>
              <w:jc w:val="right"/>
              <w:rPr>
                <w:rFonts w:cs="宋体"/>
                <w:bCs/>
              </w:rPr>
            </w:pPr>
            <w:r>
              <w:rPr>
                <w:rFonts w:cs="宋体"/>
                <w:bCs/>
              </w:rPr>
              <w:t>250,864,936</w:t>
            </w:r>
          </w:p>
        </w:tc>
        <w:tc>
          <w:tcPr>
            <w:tcW w:w="2703" w:type="dxa"/>
            <w:vAlign w:val="center"/>
          </w:tcPr>
          <w:p w14:paraId="479623AF" w14:textId="77777777" w:rsidR="005E000F" w:rsidRDefault="00000000">
            <w:pPr>
              <w:jc w:val="right"/>
              <w:rPr>
                <w:rFonts w:cs="宋体"/>
                <w:bCs/>
                <w:lang w:eastAsia="en-US"/>
              </w:rPr>
            </w:pPr>
            <w:r>
              <w:rPr>
                <w:rFonts w:cs="宋体" w:hint="eastAsia"/>
                <w:bCs/>
              </w:rPr>
              <w:t>299,055,424</w:t>
            </w:r>
          </w:p>
        </w:tc>
      </w:tr>
      <w:tr w:rsidR="005E000F" w14:paraId="342AA74A" w14:textId="77777777">
        <w:tc>
          <w:tcPr>
            <w:tcW w:w="3652" w:type="dxa"/>
            <w:vAlign w:val="center"/>
          </w:tcPr>
          <w:p w14:paraId="6D3E08AC" w14:textId="77777777" w:rsidR="005E000F" w:rsidRDefault="00000000">
            <w:r>
              <w:rPr>
                <w:rFonts w:hint="eastAsia"/>
              </w:rPr>
              <w:t>权益法核算的长期股权投资收益</w:t>
            </w:r>
          </w:p>
        </w:tc>
        <w:tc>
          <w:tcPr>
            <w:tcW w:w="2692" w:type="dxa"/>
            <w:vAlign w:val="center"/>
          </w:tcPr>
          <w:p w14:paraId="7FDF95BB" w14:textId="77777777" w:rsidR="005E000F" w:rsidRDefault="00000000">
            <w:pPr>
              <w:jc w:val="right"/>
              <w:rPr>
                <w:rFonts w:cs="宋体"/>
                <w:bCs/>
              </w:rPr>
            </w:pPr>
            <w:r>
              <w:rPr>
                <w:rFonts w:cs="宋体"/>
                <w:bCs/>
              </w:rPr>
              <w:t>2,739,415,250</w:t>
            </w:r>
          </w:p>
        </w:tc>
        <w:tc>
          <w:tcPr>
            <w:tcW w:w="2703" w:type="dxa"/>
            <w:vAlign w:val="center"/>
          </w:tcPr>
          <w:p w14:paraId="3F8032D3" w14:textId="77777777" w:rsidR="005E000F" w:rsidRDefault="00000000">
            <w:pPr>
              <w:jc w:val="right"/>
              <w:rPr>
                <w:rFonts w:cs="宋体"/>
                <w:bCs/>
                <w:lang w:eastAsia="en-US"/>
              </w:rPr>
            </w:pPr>
            <w:r>
              <w:rPr>
                <w:rFonts w:cs="宋体" w:hint="eastAsia"/>
                <w:bCs/>
              </w:rPr>
              <w:t>2,782,076,642</w:t>
            </w:r>
          </w:p>
        </w:tc>
      </w:tr>
      <w:tr w:rsidR="005E000F" w14:paraId="6579812E" w14:textId="77777777">
        <w:tc>
          <w:tcPr>
            <w:tcW w:w="3652" w:type="dxa"/>
            <w:vAlign w:val="center"/>
          </w:tcPr>
          <w:p w14:paraId="6360852B" w14:textId="77777777" w:rsidR="005E000F" w:rsidRDefault="00000000">
            <w:r>
              <w:rPr>
                <w:rFonts w:hint="eastAsia"/>
              </w:rPr>
              <w:t>处置长期股权投资产生的投资收益</w:t>
            </w:r>
          </w:p>
        </w:tc>
        <w:tc>
          <w:tcPr>
            <w:tcW w:w="2692" w:type="dxa"/>
            <w:vAlign w:val="center"/>
          </w:tcPr>
          <w:p w14:paraId="08E1A0CF" w14:textId="77777777" w:rsidR="005E000F" w:rsidRDefault="00000000">
            <w:pPr>
              <w:jc w:val="right"/>
              <w:rPr>
                <w:rFonts w:cs="宋体"/>
                <w:bCs/>
              </w:rPr>
            </w:pPr>
            <w:r>
              <w:rPr>
                <w:rFonts w:cs="宋体" w:hint="eastAsia"/>
                <w:bCs/>
              </w:rPr>
              <w:t>0</w:t>
            </w:r>
          </w:p>
        </w:tc>
        <w:tc>
          <w:tcPr>
            <w:tcW w:w="2703" w:type="dxa"/>
            <w:vAlign w:val="center"/>
          </w:tcPr>
          <w:p w14:paraId="52E2E50A" w14:textId="77777777" w:rsidR="005E000F" w:rsidRDefault="00000000">
            <w:pPr>
              <w:jc w:val="right"/>
              <w:rPr>
                <w:rFonts w:cs="宋体"/>
                <w:bCs/>
                <w:lang w:eastAsia="en-US"/>
              </w:rPr>
            </w:pPr>
            <w:r>
              <w:rPr>
                <w:rFonts w:cs="宋体" w:hint="eastAsia"/>
                <w:bCs/>
              </w:rPr>
              <w:t>-39,011,624</w:t>
            </w:r>
          </w:p>
        </w:tc>
      </w:tr>
      <w:tr w:rsidR="005E000F" w14:paraId="0CFCC43B" w14:textId="77777777">
        <w:tc>
          <w:tcPr>
            <w:tcW w:w="3652" w:type="dxa"/>
            <w:vAlign w:val="center"/>
          </w:tcPr>
          <w:p w14:paraId="015DA5AB" w14:textId="77777777" w:rsidR="005E000F" w:rsidRDefault="00000000">
            <w:r>
              <w:rPr>
                <w:rFonts w:hint="eastAsia"/>
              </w:rPr>
              <w:t>交易性金融资产在持有期间的投资收益</w:t>
            </w:r>
          </w:p>
        </w:tc>
        <w:tc>
          <w:tcPr>
            <w:tcW w:w="2692" w:type="dxa"/>
            <w:vAlign w:val="center"/>
          </w:tcPr>
          <w:p w14:paraId="00A95071" w14:textId="77777777" w:rsidR="005E000F" w:rsidRDefault="00000000">
            <w:pPr>
              <w:jc w:val="right"/>
              <w:rPr>
                <w:rFonts w:cs="宋体"/>
                <w:bCs/>
              </w:rPr>
            </w:pPr>
            <w:r>
              <w:rPr>
                <w:rFonts w:cs="宋体" w:hint="eastAsia"/>
                <w:bCs/>
              </w:rPr>
              <w:t>0</w:t>
            </w:r>
          </w:p>
        </w:tc>
        <w:tc>
          <w:tcPr>
            <w:tcW w:w="2703" w:type="dxa"/>
            <w:vAlign w:val="center"/>
          </w:tcPr>
          <w:p w14:paraId="7A7F9ED1" w14:textId="77777777" w:rsidR="005E000F" w:rsidRDefault="00000000">
            <w:pPr>
              <w:jc w:val="right"/>
              <w:rPr>
                <w:rFonts w:cs="宋体"/>
                <w:bCs/>
                <w:lang w:eastAsia="en-US"/>
              </w:rPr>
            </w:pPr>
            <w:r>
              <w:rPr>
                <w:rFonts w:cs="宋体" w:hint="eastAsia"/>
                <w:bCs/>
              </w:rPr>
              <w:t>0</w:t>
            </w:r>
          </w:p>
        </w:tc>
      </w:tr>
      <w:tr w:rsidR="005E000F" w14:paraId="10F5C096" w14:textId="77777777">
        <w:tc>
          <w:tcPr>
            <w:tcW w:w="3652" w:type="dxa"/>
            <w:vAlign w:val="center"/>
          </w:tcPr>
          <w:p w14:paraId="5800BFCF" w14:textId="77777777" w:rsidR="005E000F" w:rsidRDefault="00000000">
            <w:r>
              <w:rPr>
                <w:rFonts w:hint="eastAsia"/>
              </w:rPr>
              <w:t>其他权益工具投资在持有期间取得的股利收入</w:t>
            </w:r>
          </w:p>
        </w:tc>
        <w:tc>
          <w:tcPr>
            <w:tcW w:w="2692" w:type="dxa"/>
            <w:vAlign w:val="center"/>
          </w:tcPr>
          <w:p w14:paraId="2FCB40C4" w14:textId="77777777" w:rsidR="005E000F" w:rsidRDefault="00000000">
            <w:pPr>
              <w:jc w:val="right"/>
              <w:rPr>
                <w:rFonts w:cs="宋体"/>
                <w:bCs/>
              </w:rPr>
            </w:pPr>
            <w:r>
              <w:rPr>
                <w:rFonts w:cs="宋体"/>
                <w:bCs/>
              </w:rPr>
              <w:t>3,633,750</w:t>
            </w:r>
          </w:p>
        </w:tc>
        <w:tc>
          <w:tcPr>
            <w:tcW w:w="2703" w:type="dxa"/>
            <w:vAlign w:val="center"/>
          </w:tcPr>
          <w:p w14:paraId="23806D81" w14:textId="77777777" w:rsidR="005E000F" w:rsidRDefault="00000000">
            <w:pPr>
              <w:jc w:val="right"/>
              <w:rPr>
                <w:rFonts w:cs="宋体"/>
                <w:bCs/>
                <w:lang w:eastAsia="en-US"/>
              </w:rPr>
            </w:pPr>
            <w:r>
              <w:rPr>
                <w:rFonts w:cs="宋体" w:hint="eastAsia"/>
                <w:bCs/>
              </w:rPr>
              <w:t>3,548,250</w:t>
            </w:r>
          </w:p>
        </w:tc>
      </w:tr>
      <w:tr w:rsidR="005E000F" w14:paraId="1725D899" w14:textId="77777777">
        <w:tc>
          <w:tcPr>
            <w:tcW w:w="3652" w:type="dxa"/>
            <w:vAlign w:val="center"/>
          </w:tcPr>
          <w:p w14:paraId="3EEA0259" w14:textId="77777777" w:rsidR="005E000F" w:rsidRDefault="00000000">
            <w:r>
              <w:rPr>
                <w:rFonts w:hint="eastAsia"/>
              </w:rPr>
              <w:t>债权投资在持有期间取得的利息收入</w:t>
            </w:r>
          </w:p>
        </w:tc>
        <w:tc>
          <w:tcPr>
            <w:tcW w:w="2692" w:type="dxa"/>
          </w:tcPr>
          <w:p w14:paraId="3268F197" w14:textId="77777777" w:rsidR="005E000F" w:rsidRDefault="00000000">
            <w:pPr>
              <w:jc w:val="right"/>
              <w:rPr>
                <w:rFonts w:cs="宋体"/>
                <w:bCs/>
                <w:lang w:eastAsia="en-US"/>
              </w:rPr>
            </w:pPr>
            <w:r>
              <w:rPr>
                <w:rFonts w:cs="宋体" w:hint="eastAsia"/>
                <w:bCs/>
              </w:rPr>
              <w:t>0</w:t>
            </w:r>
          </w:p>
        </w:tc>
        <w:tc>
          <w:tcPr>
            <w:tcW w:w="2703" w:type="dxa"/>
            <w:vAlign w:val="center"/>
          </w:tcPr>
          <w:p w14:paraId="7F08FED9" w14:textId="77777777" w:rsidR="005E000F" w:rsidRDefault="00000000">
            <w:pPr>
              <w:jc w:val="right"/>
              <w:rPr>
                <w:rFonts w:cs="宋体"/>
                <w:bCs/>
                <w:lang w:eastAsia="en-US"/>
              </w:rPr>
            </w:pPr>
            <w:r>
              <w:rPr>
                <w:rFonts w:cs="宋体" w:hint="eastAsia"/>
                <w:bCs/>
              </w:rPr>
              <w:t>0</w:t>
            </w:r>
          </w:p>
        </w:tc>
      </w:tr>
      <w:tr w:rsidR="005E000F" w14:paraId="2837F5D6" w14:textId="77777777">
        <w:tc>
          <w:tcPr>
            <w:tcW w:w="3652" w:type="dxa"/>
            <w:vAlign w:val="center"/>
          </w:tcPr>
          <w:p w14:paraId="21F33289" w14:textId="77777777" w:rsidR="005E000F" w:rsidRDefault="00000000">
            <w:r>
              <w:rPr>
                <w:rFonts w:hint="eastAsia"/>
              </w:rPr>
              <w:t>其他债权投资在持有期间取得的利息收入</w:t>
            </w:r>
          </w:p>
        </w:tc>
        <w:tc>
          <w:tcPr>
            <w:tcW w:w="2692" w:type="dxa"/>
          </w:tcPr>
          <w:p w14:paraId="09E67A27" w14:textId="77777777" w:rsidR="005E000F" w:rsidRDefault="00000000">
            <w:pPr>
              <w:jc w:val="right"/>
              <w:rPr>
                <w:rFonts w:cs="宋体"/>
                <w:bCs/>
                <w:lang w:eastAsia="en-US"/>
              </w:rPr>
            </w:pPr>
            <w:r>
              <w:rPr>
                <w:rFonts w:cs="宋体" w:hint="eastAsia"/>
                <w:bCs/>
              </w:rPr>
              <w:t>0</w:t>
            </w:r>
          </w:p>
        </w:tc>
        <w:tc>
          <w:tcPr>
            <w:tcW w:w="2703" w:type="dxa"/>
            <w:vAlign w:val="center"/>
          </w:tcPr>
          <w:p w14:paraId="69E8EF79" w14:textId="77777777" w:rsidR="005E000F" w:rsidRDefault="00000000">
            <w:pPr>
              <w:jc w:val="right"/>
              <w:rPr>
                <w:rFonts w:cs="宋体"/>
                <w:bCs/>
                <w:lang w:eastAsia="en-US"/>
              </w:rPr>
            </w:pPr>
            <w:r>
              <w:rPr>
                <w:rFonts w:cs="宋体" w:hint="eastAsia"/>
                <w:bCs/>
              </w:rPr>
              <w:t>0</w:t>
            </w:r>
          </w:p>
        </w:tc>
      </w:tr>
      <w:tr w:rsidR="005E000F" w14:paraId="46EE867E" w14:textId="77777777">
        <w:tc>
          <w:tcPr>
            <w:tcW w:w="3652" w:type="dxa"/>
            <w:vAlign w:val="center"/>
          </w:tcPr>
          <w:p w14:paraId="05DED668" w14:textId="77777777" w:rsidR="005E000F" w:rsidRDefault="00000000">
            <w:r>
              <w:rPr>
                <w:rFonts w:hint="eastAsia"/>
              </w:rPr>
              <w:t>处置交易性金融资产取得的投资收益</w:t>
            </w:r>
          </w:p>
        </w:tc>
        <w:tc>
          <w:tcPr>
            <w:tcW w:w="2692" w:type="dxa"/>
          </w:tcPr>
          <w:p w14:paraId="50D40815" w14:textId="77777777" w:rsidR="005E000F" w:rsidRDefault="00000000">
            <w:pPr>
              <w:jc w:val="right"/>
              <w:rPr>
                <w:rFonts w:cs="宋体"/>
                <w:bCs/>
                <w:lang w:eastAsia="en-US"/>
              </w:rPr>
            </w:pPr>
            <w:r>
              <w:rPr>
                <w:rFonts w:cs="宋体" w:hint="eastAsia"/>
                <w:bCs/>
              </w:rPr>
              <w:t>0</w:t>
            </w:r>
          </w:p>
        </w:tc>
        <w:tc>
          <w:tcPr>
            <w:tcW w:w="2703" w:type="dxa"/>
            <w:vAlign w:val="center"/>
          </w:tcPr>
          <w:p w14:paraId="7146DF39" w14:textId="77777777" w:rsidR="005E000F" w:rsidRDefault="00000000">
            <w:pPr>
              <w:jc w:val="right"/>
              <w:rPr>
                <w:rFonts w:cs="宋体"/>
                <w:bCs/>
                <w:lang w:eastAsia="en-US"/>
              </w:rPr>
            </w:pPr>
            <w:r>
              <w:rPr>
                <w:rFonts w:cs="宋体" w:hint="eastAsia"/>
                <w:bCs/>
              </w:rPr>
              <w:t>0</w:t>
            </w:r>
          </w:p>
        </w:tc>
      </w:tr>
      <w:tr w:rsidR="005E000F" w14:paraId="7D9B9F76" w14:textId="77777777">
        <w:tc>
          <w:tcPr>
            <w:tcW w:w="3652" w:type="dxa"/>
            <w:vAlign w:val="center"/>
          </w:tcPr>
          <w:p w14:paraId="47AA621F" w14:textId="77777777" w:rsidR="005E000F" w:rsidRDefault="00000000">
            <w:r>
              <w:rPr>
                <w:rFonts w:hint="eastAsia"/>
              </w:rPr>
              <w:t>处置其他权益工具投资取得的投资收益</w:t>
            </w:r>
          </w:p>
        </w:tc>
        <w:tc>
          <w:tcPr>
            <w:tcW w:w="2692" w:type="dxa"/>
          </w:tcPr>
          <w:p w14:paraId="6E830AA3" w14:textId="77777777" w:rsidR="005E000F" w:rsidRDefault="00000000">
            <w:pPr>
              <w:jc w:val="right"/>
              <w:rPr>
                <w:rFonts w:cs="宋体"/>
                <w:bCs/>
                <w:lang w:eastAsia="en-US"/>
              </w:rPr>
            </w:pPr>
            <w:r>
              <w:rPr>
                <w:rFonts w:cs="宋体" w:hint="eastAsia"/>
                <w:bCs/>
              </w:rPr>
              <w:t>0</w:t>
            </w:r>
          </w:p>
        </w:tc>
        <w:tc>
          <w:tcPr>
            <w:tcW w:w="2703" w:type="dxa"/>
            <w:vAlign w:val="center"/>
          </w:tcPr>
          <w:p w14:paraId="343C0514" w14:textId="77777777" w:rsidR="005E000F" w:rsidRDefault="00000000">
            <w:pPr>
              <w:jc w:val="right"/>
              <w:rPr>
                <w:rFonts w:cs="宋体"/>
                <w:bCs/>
                <w:lang w:eastAsia="en-US"/>
              </w:rPr>
            </w:pPr>
            <w:r>
              <w:rPr>
                <w:rFonts w:cs="宋体" w:hint="eastAsia"/>
                <w:bCs/>
              </w:rPr>
              <w:t>0</w:t>
            </w:r>
          </w:p>
        </w:tc>
      </w:tr>
      <w:tr w:rsidR="005E000F" w14:paraId="79839557" w14:textId="77777777">
        <w:tc>
          <w:tcPr>
            <w:tcW w:w="3652" w:type="dxa"/>
            <w:vAlign w:val="center"/>
          </w:tcPr>
          <w:p w14:paraId="564171D8" w14:textId="77777777" w:rsidR="005E000F" w:rsidRDefault="00000000">
            <w:r>
              <w:rPr>
                <w:rFonts w:hint="eastAsia"/>
              </w:rPr>
              <w:t>处置债权投资取得的投资收益</w:t>
            </w:r>
          </w:p>
        </w:tc>
        <w:tc>
          <w:tcPr>
            <w:tcW w:w="2692" w:type="dxa"/>
          </w:tcPr>
          <w:p w14:paraId="27B94E9A" w14:textId="77777777" w:rsidR="005E000F" w:rsidRDefault="00000000">
            <w:pPr>
              <w:jc w:val="right"/>
              <w:rPr>
                <w:rFonts w:cs="宋体"/>
                <w:bCs/>
                <w:lang w:eastAsia="en-US"/>
              </w:rPr>
            </w:pPr>
            <w:r>
              <w:rPr>
                <w:rFonts w:cs="宋体" w:hint="eastAsia"/>
                <w:bCs/>
              </w:rPr>
              <w:t>0</w:t>
            </w:r>
          </w:p>
        </w:tc>
        <w:tc>
          <w:tcPr>
            <w:tcW w:w="2703" w:type="dxa"/>
            <w:vAlign w:val="center"/>
          </w:tcPr>
          <w:p w14:paraId="0B092957" w14:textId="77777777" w:rsidR="005E000F" w:rsidRDefault="00000000">
            <w:pPr>
              <w:jc w:val="right"/>
              <w:rPr>
                <w:rFonts w:cs="宋体"/>
                <w:bCs/>
                <w:lang w:eastAsia="en-US"/>
              </w:rPr>
            </w:pPr>
            <w:r>
              <w:rPr>
                <w:rFonts w:cs="宋体" w:hint="eastAsia"/>
                <w:bCs/>
              </w:rPr>
              <w:t>0</w:t>
            </w:r>
          </w:p>
        </w:tc>
      </w:tr>
      <w:tr w:rsidR="005E000F" w14:paraId="2953101D" w14:textId="77777777">
        <w:tc>
          <w:tcPr>
            <w:tcW w:w="3652" w:type="dxa"/>
            <w:vAlign w:val="center"/>
          </w:tcPr>
          <w:p w14:paraId="48052749" w14:textId="77777777" w:rsidR="005E000F" w:rsidRDefault="00000000">
            <w:r>
              <w:rPr>
                <w:rFonts w:hint="eastAsia"/>
              </w:rPr>
              <w:t>处置其他债权投资取得的投资收益</w:t>
            </w:r>
          </w:p>
        </w:tc>
        <w:tc>
          <w:tcPr>
            <w:tcW w:w="2692" w:type="dxa"/>
          </w:tcPr>
          <w:p w14:paraId="08C0FEF4" w14:textId="77777777" w:rsidR="005E000F" w:rsidRDefault="00000000">
            <w:pPr>
              <w:jc w:val="right"/>
              <w:rPr>
                <w:rFonts w:cs="宋体"/>
                <w:bCs/>
                <w:lang w:eastAsia="en-US"/>
              </w:rPr>
            </w:pPr>
            <w:r>
              <w:rPr>
                <w:rFonts w:cs="宋体" w:hint="eastAsia"/>
                <w:bCs/>
              </w:rPr>
              <w:t>0</w:t>
            </w:r>
          </w:p>
        </w:tc>
        <w:tc>
          <w:tcPr>
            <w:tcW w:w="2703" w:type="dxa"/>
            <w:vAlign w:val="center"/>
          </w:tcPr>
          <w:p w14:paraId="6F018B8A" w14:textId="77777777" w:rsidR="005E000F" w:rsidRDefault="00000000">
            <w:pPr>
              <w:jc w:val="right"/>
              <w:rPr>
                <w:rFonts w:cs="宋体"/>
                <w:bCs/>
                <w:lang w:eastAsia="en-US"/>
              </w:rPr>
            </w:pPr>
            <w:r>
              <w:rPr>
                <w:rFonts w:cs="宋体" w:hint="eastAsia"/>
                <w:bCs/>
              </w:rPr>
              <w:t>0</w:t>
            </w:r>
          </w:p>
        </w:tc>
      </w:tr>
      <w:tr w:rsidR="005E000F" w14:paraId="247E2235" w14:textId="77777777">
        <w:tc>
          <w:tcPr>
            <w:tcW w:w="3652" w:type="dxa"/>
            <w:vAlign w:val="center"/>
          </w:tcPr>
          <w:p w14:paraId="729E006C" w14:textId="77777777" w:rsidR="005E000F" w:rsidRDefault="00000000">
            <w:r>
              <w:rPr>
                <w:rFonts w:hint="eastAsia"/>
              </w:rPr>
              <w:t>债务重组收益</w:t>
            </w:r>
          </w:p>
        </w:tc>
        <w:tc>
          <w:tcPr>
            <w:tcW w:w="2692" w:type="dxa"/>
          </w:tcPr>
          <w:p w14:paraId="328331E9" w14:textId="77777777" w:rsidR="005E000F" w:rsidRDefault="00000000">
            <w:pPr>
              <w:jc w:val="right"/>
              <w:rPr>
                <w:rFonts w:cs="宋体"/>
                <w:bCs/>
                <w:lang w:eastAsia="en-US"/>
              </w:rPr>
            </w:pPr>
            <w:r>
              <w:rPr>
                <w:rFonts w:cs="宋体" w:hint="eastAsia"/>
                <w:bCs/>
              </w:rPr>
              <w:t>0</w:t>
            </w:r>
          </w:p>
        </w:tc>
        <w:tc>
          <w:tcPr>
            <w:tcW w:w="2703" w:type="dxa"/>
            <w:vAlign w:val="center"/>
          </w:tcPr>
          <w:p w14:paraId="6E1E8917" w14:textId="77777777" w:rsidR="005E000F" w:rsidRDefault="00000000">
            <w:pPr>
              <w:jc w:val="right"/>
              <w:rPr>
                <w:rFonts w:cs="宋体"/>
                <w:bCs/>
                <w:lang w:eastAsia="en-US"/>
              </w:rPr>
            </w:pPr>
            <w:r>
              <w:rPr>
                <w:rFonts w:cs="宋体" w:hint="eastAsia"/>
                <w:bCs/>
              </w:rPr>
              <w:t>0</w:t>
            </w:r>
          </w:p>
        </w:tc>
      </w:tr>
      <w:tr w:rsidR="005E000F" w14:paraId="7AA30FAF" w14:textId="77777777">
        <w:tc>
          <w:tcPr>
            <w:tcW w:w="3652" w:type="dxa"/>
            <w:vAlign w:val="center"/>
          </w:tcPr>
          <w:p w14:paraId="15F2FFA2" w14:textId="77777777" w:rsidR="005E000F" w:rsidRDefault="00000000">
            <w:pPr>
              <w:jc w:val="center"/>
            </w:pPr>
            <w:r>
              <w:rPr>
                <w:rFonts w:hint="eastAsia"/>
              </w:rPr>
              <w:t>合计</w:t>
            </w:r>
          </w:p>
        </w:tc>
        <w:tc>
          <w:tcPr>
            <w:tcW w:w="2692" w:type="dxa"/>
            <w:vAlign w:val="center"/>
          </w:tcPr>
          <w:p w14:paraId="26459C0E" w14:textId="77777777" w:rsidR="005E000F" w:rsidRDefault="00000000">
            <w:pPr>
              <w:jc w:val="right"/>
              <w:rPr>
                <w:rFonts w:cs="宋体"/>
                <w:bCs/>
              </w:rPr>
            </w:pPr>
            <w:r>
              <w:rPr>
                <w:rFonts w:cs="宋体"/>
                <w:bCs/>
              </w:rPr>
              <w:t>2,993,913,936</w:t>
            </w:r>
          </w:p>
        </w:tc>
        <w:tc>
          <w:tcPr>
            <w:tcW w:w="2703" w:type="dxa"/>
            <w:vAlign w:val="center"/>
          </w:tcPr>
          <w:p w14:paraId="57809363" w14:textId="77777777" w:rsidR="005E000F" w:rsidRDefault="00000000">
            <w:pPr>
              <w:jc w:val="right"/>
              <w:rPr>
                <w:rFonts w:cs="宋体"/>
                <w:bCs/>
                <w:lang w:eastAsia="en-US"/>
              </w:rPr>
            </w:pPr>
            <w:r>
              <w:rPr>
                <w:rFonts w:cs="宋体" w:hint="eastAsia"/>
                <w:bCs/>
              </w:rPr>
              <w:t>3,045,668,692</w:t>
            </w:r>
          </w:p>
        </w:tc>
      </w:tr>
    </w:tbl>
    <w:bookmarkEnd w:id="473"/>
    <w:p w14:paraId="5C9D9ACB" w14:textId="77777777" w:rsidR="005E000F" w:rsidRDefault="00000000">
      <w:pPr>
        <w:spacing w:line="360" w:lineRule="exact"/>
      </w:pPr>
      <w:r>
        <w:rPr>
          <w:rFonts w:hint="eastAsia"/>
        </w:rPr>
        <w:t>其他说明：</w:t>
      </w:r>
      <w:bookmarkEnd w:id="474"/>
    </w:p>
    <w:sdt>
      <w:sdtPr>
        <w:alias w:val="投资收益说明"/>
        <w:tag w:val="_GBC_003661b91b5144cfbf329a4aeb060fe6"/>
        <w:id w:val="2127349166"/>
        <w:placeholder>
          <w:docPart w:val="GBC22222222222222222222222222222"/>
        </w:placeholder>
      </w:sdtPr>
      <w:sdtContent>
        <w:p w14:paraId="25483F14" w14:textId="77777777" w:rsidR="005E000F" w:rsidRDefault="00000000">
          <w:r>
            <w:rPr>
              <w:rFonts w:hint="eastAsia"/>
            </w:rPr>
            <w:t>无</w:t>
          </w:r>
        </w:p>
      </w:sdtContent>
    </w:sdt>
    <w:p w14:paraId="5FA8BA3B" w14:textId="77777777" w:rsidR="005E000F" w:rsidRDefault="005E000F"/>
    <w:bookmarkEnd w:id="471"/>
    <w:p w14:paraId="66FD4CB6" w14:textId="77777777" w:rsidR="005E000F" w:rsidRDefault="00000000">
      <w:pPr>
        <w:pStyle w:val="3"/>
        <w:numPr>
          <w:ilvl w:val="0"/>
          <w:numId w:val="130"/>
        </w:numPr>
        <w:rPr>
          <w:szCs w:val="21"/>
        </w:rPr>
      </w:pPr>
      <w:r>
        <w:rPr>
          <w:rFonts w:hint="eastAsia"/>
          <w:szCs w:val="21"/>
        </w:rPr>
        <w:t>其他</w:t>
      </w:r>
    </w:p>
    <w:sdt>
      <w:sdtPr>
        <w:rPr>
          <w:rFonts w:hint="eastAsia"/>
        </w:rPr>
        <w:alias w:val="是否适用：母公司会计报表附注的其他说明事项[双击切换]"/>
        <w:tag w:val="_GBC_da1bbbf487cd4e98b945920735517f12"/>
        <w:id w:val="2032993315"/>
        <w:placeholder>
          <w:docPart w:val="GBC22222222222222222222222222222"/>
        </w:placeholder>
      </w:sdtPr>
      <w:sdtContent>
        <w:p w14:paraId="1E74D5CF"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033B2B10" w14:textId="77777777" w:rsidR="005E000F" w:rsidRDefault="005E000F">
      <w:pPr>
        <w:ind w:rightChars="-759" w:right="-1594"/>
      </w:pPr>
    </w:p>
    <w:p w14:paraId="0FEFB585" w14:textId="77777777" w:rsidR="005E000F" w:rsidRDefault="00000000">
      <w:pPr>
        <w:pStyle w:val="2"/>
        <w:numPr>
          <w:ilvl w:val="0"/>
          <w:numId w:val="56"/>
        </w:numPr>
        <w:rPr>
          <w:rFonts w:ascii="宋体" w:hAnsi="宋体"/>
        </w:rPr>
      </w:pPr>
      <w:r>
        <w:rPr>
          <w:rFonts w:ascii="宋体" w:hAnsi="宋体" w:hint="eastAsia"/>
        </w:rPr>
        <w:t>补充资料</w:t>
      </w:r>
    </w:p>
    <w:p w14:paraId="7A136557" w14:textId="77777777" w:rsidR="005E000F" w:rsidRDefault="00000000">
      <w:pPr>
        <w:pStyle w:val="3"/>
        <w:numPr>
          <w:ilvl w:val="0"/>
          <w:numId w:val="137"/>
        </w:numPr>
        <w:rPr>
          <w:rFonts w:ascii="宋体" w:hAnsi="宋体"/>
          <w:szCs w:val="21"/>
        </w:rPr>
      </w:pPr>
      <w:bookmarkStart w:id="475" w:name="_Hlk152579827"/>
      <w:bookmarkStart w:id="476" w:name="_Hlk535584690"/>
      <w:r>
        <w:rPr>
          <w:rFonts w:ascii="宋体" w:hAnsi="宋体" w:hint="eastAsia"/>
          <w:szCs w:val="21"/>
        </w:rPr>
        <w:t>当期非经常性损益明细表</w:t>
      </w:r>
    </w:p>
    <w:sdt>
      <w:sdtPr>
        <w:alias w:val="是否适用：当期非经常性损益明细表[双击切换]"/>
        <w:tag w:val="_GBC_b3c7aec730db408a9d46da725d5662b4"/>
        <w:id w:val="1734583504"/>
        <w:placeholder>
          <w:docPart w:val="GBC22222222222222222222222222222"/>
        </w:placeholder>
      </w:sdtPr>
      <w:sdtContent>
        <w:p w14:paraId="5523AA0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p w14:paraId="543E85EA" w14:textId="77777777" w:rsidR="005E000F" w:rsidRDefault="00000000">
      <w:pPr>
        <w:jc w:val="right"/>
      </w:pPr>
      <w:r>
        <w:rPr>
          <w:rFonts w:hint="eastAsia"/>
        </w:rPr>
        <w:t>单位：</w:t>
      </w:r>
      <w:sdt>
        <w:sdtPr>
          <w:rPr>
            <w:rFonts w:hint="eastAsia"/>
          </w:rPr>
          <w:alias w:val="单位：扣除非经常性损益项目和金额"/>
          <w:tag w:val="_GBC_63d386bc1f1d45a9803caa6346ef271f"/>
          <w:id w:val="813452375"/>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扣除非经常性损益项目和金额"/>
          <w:tag w:val="_GBC_fb530451edb743d2bcc0dacb892d672d"/>
          <w:id w:val="-181126528"/>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ff2"/>
        <w:tblW w:w="0" w:type="auto"/>
        <w:tblLayout w:type="fixed"/>
        <w:tblLook w:val="04A0" w:firstRow="1" w:lastRow="0" w:firstColumn="1" w:lastColumn="0" w:noHBand="0" w:noVBand="1"/>
      </w:tblPr>
      <w:tblGrid>
        <w:gridCol w:w="4477"/>
        <w:gridCol w:w="2188"/>
        <w:gridCol w:w="2376"/>
      </w:tblGrid>
      <w:tr w:rsidR="005E000F" w14:paraId="217B16D7" w14:textId="77777777">
        <w:sdt>
          <w:sdtPr>
            <w:tag w:val="_PLD_f2882777d10a4346880b6d11ab006214"/>
            <w:id w:val="-1750491732"/>
          </w:sdtPr>
          <w:sdtContent>
            <w:tc>
              <w:tcPr>
                <w:tcW w:w="4477" w:type="dxa"/>
                <w:vAlign w:val="center"/>
              </w:tcPr>
              <w:p w14:paraId="7DA444C3" w14:textId="77777777" w:rsidR="005E000F" w:rsidRDefault="00000000">
                <w:pPr>
                  <w:pStyle w:val="aff8"/>
                  <w:ind w:firstLineChars="0" w:firstLine="0"/>
                  <w:jc w:val="center"/>
                  <w:rPr>
                    <w:rFonts w:ascii="宋体" w:hAnsi="宋体"/>
                    <w:szCs w:val="21"/>
                  </w:rPr>
                </w:pPr>
                <w:r>
                  <w:rPr>
                    <w:rFonts w:ascii="宋体" w:hAnsi="宋体" w:hint="eastAsia"/>
                    <w:szCs w:val="21"/>
                  </w:rPr>
                  <w:t>项目</w:t>
                </w:r>
              </w:p>
            </w:tc>
          </w:sdtContent>
        </w:sdt>
        <w:sdt>
          <w:sdtPr>
            <w:tag w:val="_PLD_1f5c769dc7ea434a90d739329712e1ed"/>
            <w:id w:val="1094433237"/>
          </w:sdtPr>
          <w:sdtContent>
            <w:tc>
              <w:tcPr>
                <w:tcW w:w="2188" w:type="dxa"/>
                <w:vAlign w:val="center"/>
              </w:tcPr>
              <w:p w14:paraId="21EED61E" w14:textId="77777777" w:rsidR="005E000F" w:rsidRDefault="00000000">
                <w:pPr>
                  <w:pStyle w:val="aff8"/>
                  <w:ind w:firstLineChars="0" w:firstLine="0"/>
                  <w:jc w:val="center"/>
                  <w:rPr>
                    <w:rFonts w:ascii="宋体" w:hAnsi="宋体"/>
                    <w:szCs w:val="21"/>
                  </w:rPr>
                </w:pPr>
                <w:r>
                  <w:rPr>
                    <w:rFonts w:ascii="宋体" w:hAnsi="宋体" w:hint="eastAsia"/>
                    <w:szCs w:val="21"/>
                  </w:rPr>
                  <w:t>金额</w:t>
                </w:r>
              </w:p>
            </w:tc>
          </w:sdtContent>
        </w:sdt>
        <w:sdt>
          <w:sdtPr>
            <w:tag w:val="_PLD_e78492b22a7c4b8aa4989eb26eb4c98c"/>
            <w:id w:val="1975404044"/>
          </w:sdtPr>
          <w:sdtContent>
            <w:tc>
              <w:tcPr>
                <w:tcW w:w="2376" w:type="dxa"/>
                <w:vAlign w:val="center"/>
              </w:tcPr>
              <w:p w14:paraId="6298F851" w14:textId="77777777" w:rsidR="005E000F" w:rsidRDefault="00000000">
                <w:pPr>
                  <w:pStyle w:val="aff8"/>
                  <w:ind w:firstLineChars="0" w:firstLine="0"/>
                  <w:jc w:val="center"/>
                  <w:rPr>
                    <w:rFonts w:ascii="宋体" w:hAnsi="宋体"/>
                    <w:szCs w:val="21"/>
                  </w:rPr>
                </w:pPr>
                <w:r>
                  <w:rPr>
                    <w:rFonts w:ascii="宋体" w:hAnsi="宋体" w:hint="eastAsia"/>
                    <w:szCs w:val="21"/>
                  </w:rPr>
                  <w:t>说明</w:t>
                </w:r>
              </w:p>
            </w:tc>
          </w:sdtContent>
        </w:sdt>
      </w:tr>
      <w:tr w:rsidR="005E000F" w14:paraId="3110B1F7" w14:textId="77777777">
        <w:tc>
          <w:tcPr>
            <w:tcW w:w="4477" w:type="dxa"/>
            <w:vAlign w:val="center"/>
          </w:tcPr>
          <w:p w14:paraId="0A2800AA" w14:textId="77777777" w:rsidR="005E000F" w:rsidRDefault="00000000">
            <w:pPr>
              <w:pStyle w:val="aff8"/>
              <w:ind w:firstLineChars="0" w:firstLine="0"/>
              <w:jc w:val="left"/>
              <w:rPr>
                <w:szCs w:val="21"/>
              </w:rPr>
            </w:pPr>
            <w:r>
              <w:rPr>
                <w:szCs w:val="21"/>
              </w:rPr>
              <w:t>非流动</w:t>
            </w:r>
            <w:r>
              <w:rPr>
                <w:rFonts w:hint="eastAsia"/>
                <w:szCs w:val="21"/>
              </w:rPr>
              <w:t>性</w:t>
            </w:r>
            <w:r>
              <w:rPr>
                <w:szCs w:val="21"/>
              </w:rPr>
              <w:t>资产处置损益</w:t>
            </w:r>
            <w:r>
              <w:rPr>
                <w:rFonts w:hint="eastAsia"/>
                <w:szCs w:val="21"/>
              </w:rPr>
              <w:t>，包括已计提资产减值</w:t>
            </w:r>
            <w:r>
              <w:rPr>
                <w:rFonts w:hint="eastAsia"/>
                <w:szCs w:val="21"/>
              </w:rPr>
              <w:lastRenderedPageBreak/>
              <w:t>准备的冲销部分</w:t>
            </w:r>
          </w:p>
        </w:tc>
        <w:tc>
          <w:tcPr>
            <w:tcW w:w="2188" w:type="dxa"/>
            <w:vAlign w:val="center"/>
          </w:tcPr>
          <w:p w14:paraId="3BAE22F8" w14:textId="77777777" w:rsidR="005E000F" w:rsidRDefault="00000000">
            <w:pPr>
              <w:jc w:val="right"/>
            </w:pPr>
            <w:r>
              <w:lastRenderedPageBreak/>
              <w:t>-14,612,047</w:t>
            </w:r>
          </w:p>
        </w:tc>
        <w:tc>
          <w:tcPr>
            <w:tcW w:w="2376" w:type="dxa"/>
            <w:vAlign w:val="center"/>
          </w:tcPr>
          <w:p w14:paraId="22805A30" w14:textId="77777777" w:rsidR="005E000F" w:rsidRDefault="00000000">
            <w:r>
              <w:rPr>
                <w:rFonts w:hint="eastAsia"/>
              </w:rPr>
              <w:t xml:space="preserve">　</w:t>
            </w:r>
          </w:p>
        </w:tc>
      </w:tr>
      <w:tr w:rsidR="005E000F" w14:paraId="76A75DF1" w14:textId="77777777">
        <w:tc>
          <w:tcPr>
            <w:tcW w:w="4477" w:type="dxa"/>
            <w:vAlign w:val="center"/>
          </w:tcPr>
          <w:p w14:paraId="688811FE" w14:textId="77777777" w:rsidR="005E000F" w:rsidRDefault="00000000">
            <w:pPr>
              <w:pStyle w:val="aff8"/>
              <w:ind w:firstLineChars="0" w:firstLine="0"/>
              <w:jc w:val="left"/>
              <w:rPr>
                <w:szCs w:val="21"/>
              </w:rPr>
            </w:pPr>
            <w:r>
              <w:rPr>
                <w:szCs w:val="21"/>
              </w:rPr>
              <w:t>计入当期损益的政府补助</w:t>
            </w:r>
            <w:r>
              <w:rPr>
                <w:rFonts w:hint="eastAsia"/>
                <w:szCs w:val="21"/>
              </w:rPr>
              <w:t>，但与公司正常经营业务密切相关、符合国家政策规定、按照确定的标准享有、对公司损益产生持续影响的政府补助除外</w:t>
            </w:r>
          </w:p>
        </w:tc>
        <w:tc>
          <w:tcPr>
            <w:tcW w:w="2188" w:type="dxa"/>
            <w:vAlign w:val="center"/>
          </w:tcPr>
          <w:p w14:paraId="47271F21" w14:textId="77777777" w:rsidR="005E000F" w:rsidRDefault="00000000">
            <w:pPr>
              <w:jc w:val="right"/>
            </w:pPr>
            <w:r>
              <w:t>119,015,290</w:t>
            </w:r>
          </w:p>
        </w:tc>
        <w:tc>
          <w:tcPr>
            <w:tcW w:w="2376" w:type="dxa"/>
            <w:vAlign w:val="center"/>
          </w:tcPr>
          <w:p w14:paraId="42E2175F" w14:textId="77777777" w:rsidR="005E000F" w:rsidRDefault="00000000">
            <w:r>
              <w:rPr>
                <w:rFonts w:hint="eastAsia"/>
              </w:rPr>
              <w:t xml:space="preserve">　</w:t>
            </w:r>
          </w:p>
        </w:tc>
      </w:tr>
      <w:tr w:rsidR="005E000F" w14:paraId="5F6F947E" w14:textId="77777777">
        <w:tc>
          <w:tcPr>
            <w:tcW w:w="4477" w:type="dxa"/>
            <w:vAlign w:val="center"/>
          </w:tcPr>
          <w:p w14:paraId="0DCBDCDE" w14:textId="77777777" w:rsidR="005E000F" w:rsidRDefault="00000000">
            <w:pPr>
              <w:pStyle w:val="aff8"/>
              <w:ind w:firstLineChars="0" w:firstLine="0"/>
              <w:jc w:val="left"/>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2188" w:type="dxa"/>
            <w:vAlign w:val="center"/>
          </w:tcPr>
          <w:p w14:paraId="60E4DCEE" w14:textId="77777777" w:rsidR="005E000F" w:rsidRDefault="00000000">
            <w:pPr>
              <w:jc w:val="right"/>
            </w:pPr>
            <w:r>
              <w:rPr>
                <w:rFonts w:hint="eastAsia"/>
              </w:rPr>
              <w:t>0</w:t>
            </w:r>
            <w:r>
              <w:rPr>
                <w:rFonts w:hint="eastAsia"/>
              </w:rPr>
              <w:t xml:space="preserve">　</w:t>
            </w:r>
          </w:p>
        </w:tc>
        <w:tc>
          <w:tcPr>
            <w:tcW w:w="2376" w:type="dxa"/>
            <w:vAlign w:val="center"/>
          </w:tcPr>
          <w:p w14:paraId="46FC7DB6" w14:textId="77777777" w:rsidR="005E000F" w:rsidRDefault="00000000">
            <w:r>
              <w:rPr>
                <w:rFonts w:hint="eastAsia"/>
              </w:rPr>
              <w:t xml:space="preserve">　</w:t>
            </w:r>
          </w:p>
        </w:tc>
      </w:tr>
      <w:tr w:rsidR="005E000F" w14:paraId="785F408A" w14:textId="77777777">
        <w:tc>
          <w:tcPr>
            <w:tcW w:w="4477" w:type="dxa"/>
            <w:vAlign w:val="center"/>
          </w:tcPr>
          <w:p w14:paraId="56A09CC2" w14:textId="77777777" w:rsidR="005E000F" w:rsidRDefault="00000000">
            <w:pPr>
              <w:pStyle w:val="aff8"/>
              <w:ind w:firstLineChars="0" w:firstLine="0"/>
              <w:jc w:val="left"/>
              <w:rPr>
                <w:szCs w:val="21"/>
              </w:rPr>
            </w:pPr>
            <w:r>
              <w:rPr>
                <w:szCs w:val="21"/>
              </w:rPr>
              <w:t>计入当期损益的对非金融企业收取的资金占用费</w:t>
            </w:r>
          </w:p>
        </w:tc>
        <w:tc>
          <w:tcPr>
            <w:tcW w:w="2188" w:type="dxa"/>
            <w:vAlign w:val="center"/>
          </w:tcPr>
          <w:p w14:paraId="6AAAA966" w14:textId="77777777" w:rsidR="005E000F" w:rsidRDefault="00000000">
            <w:pPr>
              <w:jc w:val="right"/>
            </w:pPr>
            <w:r>
              <w:rPr>
                <w:rFonts w:hint="eastAsia"/>
              </w:rPr>
              <w:t>0</w:t>
            </w:r>
            <w:r>
              <w:rPr>
                <w:rFonts w:hint="eastAsia"/>
              </w:rPr>
              <w:t xml:space="preserve">　</w:t>
            </w:r>
          </w:p>
        </w:tc>
        <w:tc>
          <w:tcPr>
            <w:tcW w:w="2376" w:type="dxa"/>
            <w:vAlign w:val="center"/>
          </w:tcPr>
          <w:p w14:paraId="30318F9D" w14:textId="77777777" w:rsidR="005E000F" w:rsidRDefault="00000000">
            <w:r>
              <w:rPr>
                <w:rFonts w:hint="eastAsia"/>
              </w:rPr>
              <w:t xml:space="preserve">　</w:t>
            </w:r>
          </w:p>
        </w:tc>
      </w:tr>
      <w:tr w:rsidR="005E000F" w14:paraId="7ED0BB3D" w14:textId="77777777">
        <w:tc>
          <w:tcPr>
            <w:tcW w:w="4477" w:type="dxa"/>
            <w:vAlign w:val="center"/>
          </w:tcPr>
          <w:p w14:paraId="793BEB69" w14:textId="77777777" w:rsidR="005E000F" w:rsidRDefault="00000000">
            <w:pPr>
              <w:pStyle w:val="aff8"/>
              <w:ind w:firstLineChars="0" w:firstLine="0"/>
              <w:jc w:val="left"/>
              <w:rPr>
                <w:szCs w:val="21"/>
              </w:rPr>
            </w:pPr>
            <w:r>
              <w:rPr>
                <w:szCs w:val="21"/>
              </w:rPr>
              <w:t>委托他人投资或管理资产的损益</w:t>
            </w:r>
          </w:p>
        </w:tc>
        <w:tc>
          <w:tcPr>
            <w:tcW w:w="2188" w:type="dxa"/>
            <w:vAlign w:val="center"/>
          </w:tcPr>
          <w:p w14:paraId="0AC30FF6" w14:textId="77777777" w:rsidR="005E000F" w:rsidRDefault="00000000">
            <w:pPr>
              <w:jc w:val="right"/>
            </w:pPr>
            <w:r>
              <w:rPr>
                <w:rFonts w:hint="eastAsia"/>
              </w:rPr>
              <w:t>0</w:t>
            </w:r>
            <w:r>
              <w:rPr>
                <w:rFonts w:hint="eastAsia"/>
              </w:rPr>
              <w:t xml:space="preserve">　</w:t>
            </w:r>
          </w:p>
        </w:tc>
        <w:tc>
          <w:tcPr>
            <w:tcW w:w="2376" w:type="dxa"/>
            <w:vAlign w:val="center"/>
          </w:tcPr>
          <w:p w14:paraId="78480ABC" w14:textId="77777777" w:rsidR="005E000F" w:rsidRDefault="00000000">
            <w:r>
              <w:rPr>
                <w:rFonts w:hint="eastAsia"/>
              </w:rPr>
              <w:t xml:space="preserve">　</w:t>
            </w:r>
          </w:p>
        </w:tc>
      </w:tr>
      <w:tr w:rsidR="005E000F" w14:paraId="094939D1" w14:textId="77777777">
        <w:tc>
          <w:tcPr>
            <w:tcW w:w="4477" w:type="dxa"/>
            <w:vAlign w:val="center"/>
          </w:tcPr>
          <w:p w14:paraId="28AC178F" w14:textId="77777777" w:rsidR="005E000F" w:rsidRDefault="00000000">
            <w:pPr>
              <w:pStyle w:val="aff8"/>
              <w:ind w:firstLineChars="0" w:firstLine="0"/>
              <w:jc w:val="left"/>
              <w:rPr>
                <w:szCs w:val="21"/>
              </w:rPr>
            </w:pPr>
            <w:r>
              <w:rPr>
                <w:szCs w:val="21"/>
              </w:rPr>
              <w:t>对外委托贷款取得的损益</w:t>
            </w:r>
          </w:p>
        </w:tc>
        <w:tc>
          <w:tcPr>
            <w:tcW w:w="2188" w:type="dxa"/>
            <w:vAlign w:val="center"/>
          </w:tcPr>
          <w:p w14:paraId="6D10A14A" w14:textId="77777777" w:rsidR="005E000F" w:rsidRDefault="00000000">
            <w:pPr>
              <w:jc w:val="right"/>
            </w:pPr>
            <w:r>
              <w:rPr>
                <w:rFonts w:hint="eastAsia"/>
              </w:rPr>
              <w:t>0</w:t>
            </w:r>
            <w:r>
              <w:rPr>
                <w:rFonts w:hint="eastAsia"/>
              </w:rPr>
              <w:t xml:space="preserve">　</w:t>
            </w:r>
          </w:p>
        </w:tc>
        <w:tc>
          <w:tcPr>
            <w:tcW w:w="2376" w:type="dxa"/>
            <w:vAlign w:val="center"/>
          </w:tcPr>
          <w:p w14:paraId="320873A4" w14:textId="77777777" w:rsidR="005E000F" w:rsidRDefault="00000000">
            <w:r>
              <w:rPr>
                <w:rFonts w:hint="eastAsia"/>
              </w:rPr>
              <w:t xml:space="preserve">　</w:t>
            </w:r>
          </w:p>
        </w:tc>
      </w:tr>
      <w:tr w:rsidR="005E000F" w14:paraId="514BB99F" w14:textId="77777777">
        <w:tc>
          <w:tcPr>
            <w:tcW w:w="4477" w:type="dxa"/>
            <w:vAlign w:val="center"/>
          </w:tcPr>
          <w:p w14:paraId="593BB53B" w14:textId="77777777" w:rsidR="005E000F" w:rsidRDefault="00000000">
            <w:pPr>
              <w:pStyle w:val="aff8"/>
              <w:ind w:firstLineChars="0" w:firstLine="0"/>
              <w:jc w:val="left"/>
              <w:rPr>
                <w:szCs w:val="21"/>
              </w:rPr>
            </w:pPr>
            <w:r>
              <w:rPr>
                <w:szCs w:val="21"/>
              </w:rPr>
              <w:t>因不可抗力因</w:t>
            </w:r>
            <w:r>
              <w:rPr>
                <w:rFonts w:hint="eastAsia"/>
                <w:szCs w:val="21"/>
              </w:rPr>
              <w:t>素，如遭受自然灾害而产生的各项资产损失</w:t>
            </w:r>
          </w:p>
        </w:tc>
        <w:tc>
          <w:tcPr>
            <w:tcW w:w="2188" w:type="dxa"/>
            <w:vAlign w:val="center"/>
          </w:tcPr>
          <w:p w14:paraId="62A47C03" w14:textId="77777777" w:rsidR="005E000F" w:rsidRDefault="00000000">
            <w:pPr>
              <w:jc w:val="right"/>
            </w:pPr>
            <w:r>
              <w:rPr>
                <w:rFonts w:hint="eastAsia"/>
              </w:rPr>
              <w:t>0</w:t>
            </w:r>
            <w:r>
              <w:rPr>
                <w:rFonts w:hint="eastAsia"/>
              </w:rPr>
              <w:t xml:space="preserve">　</w:t>
            </w:r>
          </w:p>
        </w:tc>
        <w:tc>
          <w:tcPr>
            <w:tcW w:w="2376" w:type="dxa"/>
            <w:vAlign w:val="center"/>
          </w:tcPr>
          <w:p w14:paraId="5B36684A" w14:textId="77777777" w:rsidR="005E000F" w:rsidRDefault="00000000">
            <w:r>
              <w:rPr>
                <w:rFonts w:hint="eastAsia"/>
              </w:rPr>
              <w:t xml:space="preserve">　</w:t>
            </w:r>
          </w:p>
        </w:tc>
      </w:tr>
      <w:tr w:rsidR="005E000F" w14:paraId="11A2A52A" w14:textId="77777777">
        <w:tc>
          <w:tcPr>
            <w:tcW w:w="4477" w:type="dxa"/>
            <w:vAlign w:val="center"/>
          </w:tcPr>
          <w:p w14:paraId="611CE153" w14:textId="77777777" w:rsidR="005E000F" w:rsidRDefault="00000000">
            <w:pPr>
              <w:pStyle w:val="aff8"/>
              <w:ind w:firstLineChars="0" w:firstLine="0"/>
              <w:jc w:val="left"/>
            </w:pPr>
            <w:r>
              <w:rPr>
                <w:rFonts w:hint="eastAsia"/>
              </w:rPr>
              <w:t>单独进行减值测试的应收款项减值准备转回</w:t>
            </w:r>
          </w:p>
        </w:tc>
        <w:tc>
          <w:tcPr>
            <w:tcW w:w="2188" w:type="dxa"/>
            <w:vAlign w:val="center"/>
          </w:tcPr>
          <w:p w14:paraId="2BFD21D1" w14:textId="77777777" w:rsidR="005E000F" w:rsidRDefault="00000000">
            <w:pPr>
              <w:jc w:val="right"/>
            </w:pPr>
            <w:r>
              <w:rPr>
                <w:rFonts w:hint="eastAsia"/>
              </w:rPr>
              <w:t>0</w:t>
            </w:r>
            <w:r>
              <w:rPr>
                <w:rFonts w:hint="eastAsia"/>
              </w:rPr>
              <w:t xml:space="preserve">　</w:t>
            </w:r>
          </w:p>
        </w:tc>
        <w:tc>
          <w:tcPr>
            <w:tcW w:w="2376" w:type="dxa"/>
            <w:vAlign w:val="center"/>
          </w:tcPr>
          <w:p w14:paraId="290721A6" w14:textId="77777777" w:rsidR="005E000F" w:rsidRDefault="00000000">
            <w:r>
              <w:rPr>
                <w:rFonts w:hint="eastAsia"/>
              </w:rPr>
              <w:t xml:space="preserve">　</w:t>
            </w:r>
          </w:p>
        </w:tc>
      </w:tr>
      <w:tr w:rsidR="005E000F" w14:paraId="3631CE59" w14:textId="77777777">
        <w:tc>
          <w:tcPr>
            <w:tcW w:w="4477" w:type="dxa"/>
            <w:vAlign w:val="center"/>
          </w:tcPr>
          <w:p w14:paraId="27A6F727" w14:textId="77777777" w:rsidR="005E000F" w:rsidRDefault="00000000">
            <w:pPr>
              <w:pStyle w:val="aff8"/>
              <w:ind w:firstLineChars="0" w:firstLine="0"/>
              <w:jc w:val="left"/>
              <w:rPr>
                <w:szCs w:val="21"/>
              </w:rPr>
            </w:pPr>
            <w:r>
              <w:rPr>
                <w:szCs w:val="21"/>
              </w:rPr>
              <w:t>企业取得子公司、联营企业及合营企业的投资成本小于取得投资时应享有被投资单位可辨认净资产公允价值产生的收益</w:t>
            </w:r>
          </w:p>
        </w:tc>
        <w:tc>
          <w:tcPr>
            <w:tcW w:w="2188" w:type="dxa"/>
            <w:vAlign w:val="center"/>
          </w:tcPr>
          <w:p w14:paraId="4B64642A" w14:textId="77777777" w:rsidR="005E000F" w:rsidRDefault="00000000">
            <w:pPr>
              <w:jc w:val="right"/>
            </w:pPr>
            <w:r>
              <w:rPr>
                <w:rFonts w:hint="eastAsia"/>
              </w:rPr>
              <w:t>0</w:t>
            </w:r>
            <w:r>
              <w:rPr>
                <w:rFonts w:hint="eastAsia"/>
              </w:rPr>
              <w:t xml:space="preserve">　</w:t>
            </w:r>
          </w:p>
        </w:tc>
        <w:tc>
          <w:tcPr>
            <w:tcW w:w="2376" w:type="dxa"/>
            <w:vAlign w:val="center"/>
          </w:tcPr>
          <w:p w14:paraId="656386A8" w14:textId="77777777" w:rsidR="005E000F" w:rsidRDefault="00000000">
            <w:r>
              <w:rPr>
                <w:rFonts w:hint="eastAsia"/>
              </w:rPr>
              <w:t xml:space="preserve">　</w:t>
            </w:r>
          </w:p>
        </w:tc>
      </w:tr>
      <w:tr w:rsidR="005E000F" w14:paraId="1FACBB38" w14:textId="77777777">
        <w:tc>
          <w:tcPr>
            <w:tcW w:w="4477" w:type="dxa"/>
            <w:vAlign w:val="center"/>
          </w:tcPr>
          <w:p w14:paraId="2FC5F4B7" w14:textId="77777777" w:rsidR="005E000F" w:rsidRDefault="00000000">
            <w:pPr>
              <w:pStyle w:val="aff8"/>
              <w:ind w:firstLineChars="0" w:firstLine="0"/>
              <w:jc w:val="left"/>
              <w:rPr>
                <w:szCs w:val="21"/>
              </w:rPr>
            </w:pPr>
            <w:r>
              <w:rPr>
                <w:szCs w:val="21"/>
              </w:rPr>
              <w:t>同</w:t>
            </w:r>
            <w:proofErr w:type="gramStart"/>
            <w:r>
              <w:rPr>
                <w:szCs w:val="21"/>
              </w:rPr>
              <w:t>一控制</w:t>
            </w:r>
            <w:proofErr w:type="gramEnd"/>
            <w:r>
              <w:rPr>
                <w:szCs w:val="21"/>
              </w:rPr>
              <w:t>下企业合并产生的子公司期初至</w:t>
            </w:r>
            <w:proofErr w:type="gramStart"/>
            <w:r>
              <w:rPr>
                <w:szCs w:val="21"/>
              </w:rPr>
              <w:t>合并日</w:t>
            </w:r>
            <w:proofErr w:type="gramEnd"/>
            <w:r>
              <w:rPr>
                <w:szCs w:val="21"/>
              </w:rPr>
              <w:t>的当期净损益</w:t>
            </w:r>
          </w:p>
        </w:tc>
        <w:tc>
          <w:tcPr>
            <w:tcW w:w="2188" w:type="dxa"/>
            <w:vAlign w:val="center"/>
          </w:tcPr>
          <w:p w14:paraId="5849D5CA" w14:textId="77777777" w:rsidR="005E000F" w:rsidRDefault="00000000">
            <w:pPr>
              <w:jc w:val="right"/>
            </w:pPr>
            <w:r>
              <w:rPr>
                <w:rFonts w:hint="eastAsia"/>
              </w:rPr>
              <w:t>0</w:t>
            </w:r>
            <w:r>
              <w:rPr>
                <w:rFonts w:hint="eastAsia"/>
              </w:rPr>
              <w:t xml:space="preserve">　</w:t>
            </w:r>
          </w:p>
        </w:tc>
        <w:tc>
          <w:tcPr>
            <w:tcW w:w="2376" w:type="dxa"/>
            <w:vAlign w:val="center"/>
          </w:tcPr>
          <w:p w14:paraId="239B80E6" w14:textId="77777777" w:rsidR="005E000F" w:rsidRDefault="00000000">
            <w:r>
              <w:rPr>
                <w:rFonts w:hint="eastAsia"/>
              </w:rPr>
              <w:t xml:space="preserve">　</w:t>
            </w:r>
          </w:p>
        </w:tc>
      </w:tr>
      <w:tr w:rsidR="005E000F" w14:paraId="31D1DFEF" w14:textId="77777777">
        <w:tc>
          <w:tcPr>
            <w:tcW w:w="4477" w:type="dxa"/>
            <w:vAlign w:val="center"/>
          </w:tcPr>
          <w:p w14:paraId="409707A5" w14:textId="77777777" w:rsidR="005E000F" w:rsidRDefault="00000000">
            <w:pPr>
              <w:pStyle w:val="aff8"/>
              <w:ind w:firstLineChars="0" w:firstLine="0"/>
              <w:jc w:val="left"/>
              <w:rPr>
                <w:szCs w:val="21"/>
              </w:rPr>
            </w:pPr>
            <w:r>
              <w:rPr>
                <w:szCs w:val="21"/>
              </w:rPr>
              <w:t>非货币性资产交换损益</w:t>
            </w:r>
          </w:p>
        </w:tc>
        <w:tc>
          <w:tcPr>
            <w:tcW w:w="2188" w:type="dxa"/>
            <w:vAlign w:val="center"/>
          </w:tcPr>
          <w:p w14:paraId="7D0D1689" w14:textId="77777777" w:rsidR="005E000F" w:rsidRDefault="00000000">
            <w:pPr>
              <w:jc w:val="right"/>
            </w:pPr>
            <w:r>
              <w:rPr>
                <w:rFonts w:hint="eastAsia"/>
              </w:rPr>
              <w:t>0</w:t>
            </w:r>
            <w:r>
              <w:rPr>
                <w:rFonts w:hint="eastAsia"/>
              </w:rPr>
              <w:t xml:space="preserve">　</w:t>
            </w:r>
          </w:p>
        </w:tc>
        <w:tc>
          <w:tcPr>
            <w:tcW w:w="2376" w:type="dxa"/>
            <w:vAlign w:val="center"/>
          </w:tcPr>
          <w:p w14:paraId="7A267E8D" w14:textId="77777777" w:rsidR="005E000F" w:rsidRDefault="00000000">
            <w:r>
              <w:rPr>
                <w:rFonts w:hint="eastAsia"/>
              </w:rPr>
              <w:t xml:space="preserve">　</w:t>
            </w:r>
          </w:p>
        </w:tc>
      </w:tr>
      <w:tr w:rsidR="005E000F" w14:paraId="096748FE" w14:textId="77777777">
        <w:tc>
          <w:tcPr>
            <w:tcW w:w="4477" w:type="dxa"/>
            <w:vAlign w:val="center"/>
          </w:tcPr>
          <w:p w14:paraId="5B889F47" w14:textId="77777777" w:rsidR="005E000F" w:rsidRDefault="00000000">
            <w:pPr>
              <w:pStyle w:val="aff8"/>
              <w:ind w:firstLineChars="0" w:firstLine="0"/>
              <w:jc w:val="left"/>
              <w:rPr>
                <w:szCs w:val="21"/>
              </w:rPr>
            </w:pPr>
            <w:r>
              <w:rPr>
                <w:szCs w:val="21"/>
              </w:rPr>
              <w:t>债务重组损益</w:t>
            </w:r>
          </w:p>
        </w:tc>
        <w:tc>
          <w:tcPr>
            <w:tcW w:w="2188" w:type="dxa"/>
            <w:vAlign w:val="center"/>
          </w:tcPr>
          <w:p w14:paraId="23533D43" w14:textId="77777777" w:rsidR="005E000F" w:rsidRDefault="00000000">
            <w:pPr>
              <w:jc w:val="right"/>
            </w:pPr>
            <w:r>
              <w:rPr>
                <w:rFonts w:hint="eastAsia"/>
              </w:rPr>
              <w:t>0</w:t>
            </w:r>
            <w:r>
              <w:rPr>
                <w:rFonts w:hint="eastAsia"/>
              </w:rPr>
              <w:t xml:space="preserve">　</w:t>
            </w:r>
          </w:p>
        </w:tc>
        <w:tc>
          <w:tcPr>
            <w:tcW w:w="2376" w:type="dxa"/>
            <w:vAlign w:val="center"/>
          </w:tcPr>
          <w:p w14:paraId="4B61FE58" w14:textId="77777777" w:rsidR="005E000F" w:rsidRDefault="00000000">
            <w:r>
              <w:rPr>
                <w:rFonts w:hint="eastAsia"/>
              </w:rPr>
              <w:t xml:space="preserve">　</w:t>
            </w:r>
          </w:p>
        </w:tc>
      </w:tr>
      <w:tr w:rsidR="005E000F" w14:paraId="4CFC311D" w14:textId="77777777">
        <w:tc>
          <w:tcPr>
            <w:tcW w:w="4477" w:type="dxa"/>
            <w:vAlign w:val="center"/>
          </w:tcPr>
          <w:p w14:paraId="5A67F5A3" w14:textId="77777777" w:rsidR="005E000F" w:rsidRDefault="00000000">
            <w:pPr>
              <w:pStyle w:val="aff8"/>
              <w:ind w:firstLineChars="0" w:firstLine="0"/>
              <w:jc w:val="left"/>
              <w:rPr>
                <w:szCs w:val="21"/>
              </w:rPr>
            </w:pPr>
            <w:r>
              <w:rPr>
                <w:szCs w:val="21"/>
              </w:rPr>
              <w:t>企业</w:t>
            </w:r>
            <w:r>
              <w:rPr>
                <w:rFonts w:hint="eastAsia"/>
                <w:szCs w:val="21"/>
              </w:rPr>
              <w:t>因相关经营活动不再持续而发生的一次性费用，如安置职工的支出等</w:t>
            </w:r>
          </w:p>
        </w:tc>
        <w:tc>
          <w:tcPr>
            <w:tcW w:w="2188" w:type="dxa"/>
            <w:vAlign w:val="center"/>
          </w:tcPr>
          <w:p w14:paraId="61476559" w14:textId="77777777" w:rsidR="005E000F" w:rsidRDefault="00000000">
            <w:pPr>
              <w:jc w:val="right"/>
            </w:pPr>
            <w:r>
              <w:rPr>
                <w:rFonts w:hint="eastAsia"/>
              </w:rPr>
              <w:t>0</w:t>
            </w:r>
            <w:r>
              <w:rPr>
                <w:rFonts w:hint="eastAsia"/>
              </w:rPr>
              <w:t xml:space="preserve">　</w:t>
            </w:r>
          </w:p>
        </w:tc>
        <w:tc>
          <w:tcPr>
            <w:tcW w:w="2376" w:type="dxa"/>
            <w:vAlign w:val="center"/>
          </w:tcPr>
          <w:p w14:paraId="0B080032" w14:textId="77777777" w:rsidR="005E000F" w:rsidRDefault="00000000">
            <w:r>
              <w:rPr>
                <w:rFonts w:hint="eastAsia"/>
              </w:rPr>
              <w:t xml:space="preserve">　</w:t>
            </w:r>
          </w:p>
        </w:tc>
      </w:tr>
      <w:tr w:rsidR="005E000F" w14:paraId="2A4C0503" w14:textId="77777777">
        <w:tc>
          <w:tcPr>
            <w:tcW w:w="4477" w:type="dxa"/>
            <w:vAlign w:val="center"/>
          </w:tcPr>
          <w:p w14:paraId="01F51329" w14:textId="77777777" w:rsidR="005E000F" w:rsidRDefault="00000000">
            <w:pPr>
              <w:pStyle w:val="aff8"/>
              <w:ind w:firstLineChars="0" w:firstLine="0"/>
              <w:jc w:val="left"/>
              <w:rPr>
                <w:szCs w:val="21"/>
              </w:rPr>
            </w:pPr>
            <w:r>
              <w:rPr>
                <w:szCs w:val="21"/>
              </w:rPr>
              <w:t>因税收、会计等法律、法规</w:t>
            </w:r>
            <w:r>
              <w:rPr>
                <w:rFonts w:hint="eastAsia"/>
                <w:szCs w:val="21"/>
              </w:rPr>
              <w:t>的调整对当期损益产生的一次性影响</w:t>
            </w:r>
          </w:p>
        </w:tc>
        <w:tc>
          <w:tcPr>
            <w:tcW w:w="2188" w:type="dxa"/>
            <w:vAlign w:val="center"/>
          </w:tcPr>
          <w:p w14:paraId="31ECB568" w14:textId="77777777" w:rsidR="005E000F" w:rsidRDefault="00000000">
            <w:pPr>
              <w:jc w:val="right"/>
            </w:pPr>
            <w:r>
              <w:rPr>
                <w:rFonts w:hint="eastAsia"/>
              </w:rPr>
              <w:t>0</w:t>
            </w:r>
            <w:r>
              <w:rPr>
                <w:rFonts w:hint="eastAsia"/>
              </w:rPr>
              <w:t xml:space="preserve">　</w:t>
            </w:r>
          </w:p>
        </w:tc>
        <w:tc>
          <w:tcPr>
            <w:tcW w:w="2376" w:type="dxa"/>
            <w:vAlign w:val="center"/>
          </w:tcPr>
          <w:p w14:paraId="60F82262" w14:textId="77777777" w:rsidR="005E000F" w:rsidRDefault="00000000">
            <w:r>
              <w:rPr>
                <w:rFonts w:hint="eastAsia"/>
              </w:rPr>
              <w:t xml:space="preserve">　</w:t>
            </w:r>
          </w:p>
        </w:tc>
      </w:tr>
      <w:tr w:rsidR="005E000F" w14:paraId="08E45A44" w14:textId="77777777">
        <w:tc>
          <w:tcPr>
            <w:tcW w:w="4477" w:type="dxa"/>
            <w:vAlign w:val="center"/>
          </w:tcPr>
          <w:p w14:paraId="4168FDC9" w14:textId="77777777" w:rsidR="005E000F" w:rsidRDefault="00000000">
            <w:pPr>
              <w:pStyle w:val="aff8"/>
              <w:ind w:firstLineChars="0" w:firstLine="0"/>
              <w:jc w:val="left"/>
            </w:pPr>
            <w:r>
              <w:t>因取消、修改股权激励计划一次性确认的股份支付费用</w:t>
            </w:r>
          </w:p>
        </w:tc>
        <w:tc>
          <w:tcPr>
            <w:tcW w:w="2188" w:type="dxa"/>
            <w:vAlign w:val="center"/>
          </w:tcPr>
          <w:p w14:paraId="73DCDC9C" w14:textId="77777777" w:rsidR="005E000F" w:rsidRDefault="00000000">
            <w:pPr>
              <w:jc w:val="right"/>
            </w:pPr>
            <w:r>
              <w:rPr>
                <w:rFonts w:hint="eastAsia"/>
              </w:rPr>
              <w:t>0</w:t>
            </w:r>
            <w:r>
              <w:rPr>
                <w:rFonts w:hint="eastAsia"/>
              </w:rPr>
              <w:t xml:space="preserve">　</w:t>
            </w:r>
          </w:p>
        </w:tc>
        <w:tc>
          <w:tcPr>
            <w:tcW w:w="2376" w:type="dxa"/>
            <w:vAlign w:val="center"/>
          </w:tcPr>
          <w:p w14:paraId="7B084FA5" w14:textId="77777777" w:rsidR="005E000F" w:rsidRDefault="005E000F"/>
        </w:tc>
      </w:tr>
      <w:tr w:rsidR="005E000F" w14:paraId="76D39C1E" w14:textId="77777777">
        <w:tc>
          <w:tcPr>
            <w:tcW w:w="4477" w:type="dxa"/>
            <w:vAlign w:val="center"/>
          </w:tcPr>
          <w:p w14:paraId="3B6796C7" w14:textId="77777777" w:rsidR="005E000F" w:rsidRDefault="00000000">
            <w:pPr>
              <w:pStyle w:val="aff8"/>
              <w:ind w:firstLineChars="0" w:firstLine="0"/>
              <w:jc w:val="left"/>
            </w:pPr>
            <w:r>
              <w:t>对于现金结算的股份支付，在可行权日之后，应付职工薪酬的公允价值变动产生的损益</w:t>
            </w:r>
          </w:p>
        </w:tc>
        <w:tc>
          <w:tcPr>
            <w:tcW w:w="2188" w:type="dxa"/>
            <w:vAlign w:val="center"/>
          </w:tcPr>
          <w:p w14:paraId="1010335A" w14:textId="77777777" w:rsidR="005E000F" w:rsidRDefault="00000000">
            <w:pPr>
              <w:jc w:val="right"/>
            </w:pPr>
            <w:r>
              <w:rPr>
                <w:rFonts w:hint="eastAsia"/>
              </w:rPr>
              <w:t>0</w:t>
            </w:r>
            <w:r>
              <w:rPr>
                <w:rFonts w:hint="eastAsia"/>
              </w:rPr>
              <w:t xml:space="preserve">　</w:t>
            </w:r>
          </w:p>
        </w:tc>
        <w:tc>
          <w:tcPr>
            <w:tcW w:w="2376" w:type="dxa"/>
            <w:vAlign w:val="center"/>
          </w:tcPr>
          <w:p w14:paraId="588EBC1D" w14:textId="77777777" w:rsidR="005E000F" w:rsidRDefault="005E000F"/>
        </w:tc>
      </w:tr>
      <w:tr w:rsidR="005E000F" w14:paraId="6C8B829A" w14:textId="77777777">
        <w:tc>
          <w:tcPr>
            <w:tcW w:w="4477" w:type="dxa"/>
            <w:vAlign w:val="center"/>
          </w:tcPr>
          <w:p w14:paraId="2F192735" w14:textId="77777777" w:rsidR="005E000F" w:rsidRDefault="00000000">
            <w:pPr>
              <w:pStyle w:val="aff8"/>
              <w:ind w:firstLineChars="0" w:firstLine="0"/>
              <w:jc w:val="left"/>
              <w:rPr>
                <w:szCs w:val="21"/>
              </w:rPr>
            </w:pPr>
            <w:r>
              <w:rPr>
                <w:szCs w:val="21"/>
              </w:rPr>
              <w:t>采用公允价值模式进行后续计量的投资性房地产公允价值变动产生的损益</w:t>
            </w:r>
          </w:p>
        </w:tc>
        <w:tc>
          <w:tcPr>
            <w:tcW w:w="2188" w:type="dxa"/>
            <w:vAlign w:val="center"/>
          </w:tcPr>
          <w:p w14:paraId="7301DCEA" w14:textId="77777777" w:rsidR="005E000F" w:rsidRDefault="00000000">
            <w:pPr>
              <w:jc w:val="right"/>
            </w:pPr>
            <w:r>
              <w:rPr>
                <w:rFonts w:hint="eastAsia"/>
              </w:rPr>
              <w:t>0</w:t>
            </w:r>
            <w:r>
              <w:rPr>
                <w:rFonts w:hint="eastAsia"/>
              </w:rPr>
              <w:t xml:space="preserve">　</w:t>
            </w:r>
          </w:p>
        </w:tc>
        <w:tc>
          <w:tcPr>
            <w:tcW w:w="2376" w:type="dxa"/>
            <w:vAlign w:val="center"/>
          </w:tcPr>
          <w:p w14:paraId="2984F3D9" w14:textId="77777777" w:rsidR="005E000F" w:rsidRDefault="00000000">
            <w:r>
              <w:rPr>
                <w:rFonts w:hint="eastAsia"/>
              </w:rPr>
              <w:t xml:space="preserve">　</w:t>
            </w:r>
          </w:p>
        </w:tc>
      </w:tr>
      <w:tr w:rsidR="005E000F" w14:paraId="5801DF36" w14:textId="77777777">
        <w:tc>
          <w:tcPr>
            <w:tcW w:w="4477" w:type="dxa"/>
            <w:vAlign w:val="center"/>
          </w:tcPr>
          <w:p w14:paraId="3F1E45AE" w14:textId="77777777" w:rsidR="005E000F" w:rsidRDefault="00000000">
            <w:pPr>
              <w:pStyle w:val="aff8"/>
              <w:ind w:firstLineChars="0" w:firstLine="0"/>
              <w:jc w:val="left"/>
              <w:rPr>
                <w:szCs w:val="21"/>
              </w:rPr>
            </w:pPr>
            <w:r>
              <w:rPr>
                <w:rFonts w:hint="eastAsia"/>
                <w:szCs w:val="21"/>
              </w:rPr>
              <w:t>交易价格显失公允的交易产生的收益</w:t>
            </w:r>
          </w:p>
        </w:tc>
        <w:tc>
          <w:tcPr>
            <w:tcW w:w="2188" w:type="dxa"/>
            <w:vAlign w:val="center"/>
          </w:tcPr>
          <w:p w14:paraId="0764083E" w14:textId="77777777" w:rsidR="005E000F" w:rsidRDefault="00000000">
            <w:pPr>
              <w:jc w:val="right"/>
            </w:pPr>
            <w:r>
              <w:rPr>
                <w:rFonts w:hint="eastAsia"/>
              </w:rPr>
              <w:t>0</w:t>
            </w:r>
            <w:r>
              <w:rPr>
                <w:rFonts w:hint="eastAsia"/>
              </w:rPr>
              <w:t xml:space="preserve">　</w:t>
            </w:r>
          </w:p>
        </w:tc>
        <w:tc>
          <w:tcPr>
            <w:tcW w:w="2376" w:type="dxa"/>
            <w:vAlign w:val="center"/>
          </w:tcPr>
          <w:p w14:paraId="239CF8CF" w14:textId="77777777" w:rsidR="005E000F" w:rsidRDefault="00000000">
            <w:r>
              <w:rPr>
                <w:rFonts w:hint="eastAsia"/>
              </w:rPr>
              <w:t xml:space="preserve">　</w:t>
            </w:r>
          </w:p>
        </w:tc>
      </w:tr>
      <w:tr w:rsidR="005E000F" w14:paraId="5EC87C85" w14:textId="77777777">
        <w:tc>
          <w:tcPr>
            <w:tcW w:w="4477" w:type="dxa"/>
            <w:vAlign w:val="center"/>
          </w:tcPr>
          <w:p w14:paraId="5ADCF56E" w14:textId="77777777" w:rsidR="005E000F" w:rsidRDefault="00000000">
            <w:pPr>
              <w:pStyle w:val="aff8"/>
              <w:ind w:firstLineChars="0" w:firstLine="0"/>
              <w:jc w:val="left"/>
              <w:rPr>
                <w:szCs w:val="21"/>
              </w:rPr>
            </w:pPr>
            <w:r>
              <w:rPr>
                <w:szCs w:val="21"/>
              </w:rPr>
              <w:t>与公司正常经营业务无关的或有事项产生的损益</w:t>
            </w:r>
          </w:p>
        </w:tc>
        <w:tc>
          <w:tcPr>
            <w:tcW w:w="2188" w:type="dxa"/>
            <w:vAlign w:val="center"/>
          </w:tcPr>
          <w:p w14:paraId="69C05C7E" w14:textId="77777777" w:rsidR="005E000F" w:rsidRDefault="00000000">
            <w:pPr>
              <w:jc w:val="right"/>
            </w:pPr>
            <w:r>
              <w:rPr>
                <w:rFonts w:hint="eastAsia"/>
              </w:rPr>
              <w:t>0</w:t>
            </w:r>
            <w:r>
              <w:rPr>
                <w:rFonts w:hint="eastAsia"/>
              </w:rPr>
              <w:t xml:space="preserve">　</w:t>
            </w:r>
          </w:p>
        </w:tc>
        <w:tc>
          <w:tcPr>
            <w:tcW w:w="2376" w:type="dxa"/>
            <w:vAlign w:val="center"/>
          </w:tcPr>
          <w:p w14:paraId="13A93E52" w14:textId="77777777" w:rsidR="005E000F" w:rsidRDefault="00000000">
            <w:r>
              <w:rPr>
                <w:rFonts w:hint="eastAsia"/>
              </w:rPr>
              <w:t xml:space="preserve">　</w:t>
            </w:r>
          </w:p>
        </w:tc>
      </w:tr>
      <w:tr w:rsidR="005E000F" w14:paraId="44CC1E01" w14:textId="77777777">
        <w:tc>
          <w:tcPr>
            <w:tcW w:w="4477" w:type="dxa"/>
            <w:vAlign w:val="center"/>
          </w:tcPr>
          <w:p w14:paraId="4C5DE504" w14:textId="77777777" w:rsidR="005E000F" w:rsidRDefault="00000000">
            <w:pPr>
              <w:pStyle w:val="aff8"/>
              <w:ind w:firstLineChars="0" w:firstLine="0"/>
              <w:jc w:val="left"/>
              <w:rPr>
                <w:szCs w:val="21"/>
              </w:rPr>
            </w:pPr>
            <w:r>
              <w:rPr>
                <w:szCs w:val="21"/>
              </w:rPr>
              <w:t>受托经营取得的托管费收入</w:t>
            </w:r>
          </w:p>
        </w:tc>
        <w:tc>
          <w:tcPr>
            <w:tcW w:w="2188" w:type="dxa"/>
            <w:vAlign w:val="center"/>
          </w:tcPr>
          <w:p w14:paraId="4927971B" w14:textId="77777777" w:rsidR="005E000F" w:rsidRDefault="00000000">
            <w:pPr>
              <w:jc w:val="right"/>
            </w:pPr>
            <w:r>
              <w:rPr>
                <w:rFonts w:hint="eastAsia"/>
              </w:rPr>
              <w:t>0</w:t>
            </w:r>
            <w:r>
              <w:rPr>
                <w:rFonts w:hint="eastAsia"/>
              </w:rPr>
              <w:t xml:space="preserve">　</w:t>
            </w:r>
          </w:p>
        </w:tc>
        <w:tc>
          <w:tcPr>
            <w:tcW w:w="2376" w:type="dxa"/>
            <w:vAlign w:val="center"/>
          </w:tcPr>
          <w:p w14:paraId="0EDCB9AF" w14:textId="77777777" w:rsidR="005E000F" w:rsidRDefault="00000000">
            <w:r>
              <w:rPr>
                <w:rFonts w:hint="eastAsia"/>
              </w:rPr>
              <w:t xml:space="preserve">　</w:t>
            </w:r>
          </w:p>
        </w:tc>
      </w:tr>
      <w:tr w:rsidR="005E000F" w14:paraId="06E1E88A" w14:textId="77777777">
        <w:tc>
          <w:tcPr>
            <w:tcW w:w="4477" w:type="dxa"/>
            <w:vAlign w:val="center"/>
          </w:tcPr>
          <w:p w14:paraId="65A7E560" w14:textId="77777777" w:rsidR="005E000F" w:rsidRDefault="00000000">
            <w:pPr>
              <w:pStyle w:val="aff8"/>
              <w:ind w:firstLineChars="0" w:firstLine="0"/>
              <w:jc w:val="left"/>
              <w:rPr>
                <w:szCs w:val="21"/>
              </w:rPr>
            </w:pPr>
            <w:r>
              <w:rPr>
                <w:szCs w:val="21"/>
              </w:rPr>
              <w:t>除上述各项之外的其他营业外收入和支出</w:t>
            </w:r>
          </w:p>
        </w:tc>
        <w:tc>
          <w:tcPr>
            <w:tcW w:w="2188" w:type="dxa"/>
            <w:vAlign w:val="center"/>
          </w:tcPr>
          <w:p w14:paraId="75178BFB" w14:textId="77777777" w:rsidR="005E000F" w:rsidRDefault="00000000">
            <w:pPr>
              <w:jc w:val="right"/>
            </w:pPr>
            <w:r>
              <w:t>-58,406,330</w:t>
            </w:r>
          </w:p>
        </w:tc>
        <w:tc>
          <w:tcPr>
            <w:tcW w:w="2376" w:type="dxa"/>
            <w:vAlign w:val="center"/>
          </w:tcPr>
          <w:p w14:paraId="236222E8" w14:textId="77777777" w:rsidR="005E000F" w:rsidRDefault="00000000">
            <w:r>
              <w:rPr>
                <w:rFonts w:hint="eastAsia"/>
              </w:rPr>
              <w:t xml:space="preserve">　</w:t>
            </w:r>
          </w:p>
        </w:tc>
      </w:tr>
      <w:tr w:rsidR="005E000F" w14:paraId="42555C41" w14:textId="77777777">
        <w:tc>
          <w:tcPr>
            <w:tcW w:w="4477" w:type="dxa"/>
            <w:vAlign w:val="center"/>
          </w:tcPr>
          <w:p w14:paraId="23A2A9D6" w14:textId="77777777" w:rsidR="005E000F" w:rsidRDefault="00000000">
            <w:pPr>
              <w:pStyle w:val="aff8"/>
              <w:ind w:firstLineChars="0" w:firstLine="0"/>
              <w:jc w:val="left"/>
              <w:rPr>
                <w:szCs w:val="21"/>
              </w:rPr>
            </w:pPr>
            <w:r>
              <w:rPr>
                <w:szCs w:val="21"/>
              </w:rPr>
              <w:t>其他符合非经常性损益定义的损益项目</w:t>
            </w:r>
          </w:p>
        </w:tc>
        <w:tc>
          <w:tcPr>
            <w:tcW w:w="2188" w:type="dxa"/>
            <w:vAlign w:val="center"/>
          </w:tcPr>
          <w:p w14:paraId="325A36F5" w14:textId="77777777" w:rsidR="005E000F" w:rsidRDefault="00000000">
            <w:pPr>
              <w:jc w:val="right"/>
            </w:pPr>
            <w:r>
              <w:rPr>
                <w:rFonts w:hint="eastAsia"/>
              </w:rPr>
              <w:t>0</w:t>
            </w:r>
            <w:r>
              <w:rPr>
                <w:rFonts w:hint="eastAsia"/>
              </w:rPr>
              <w:t xml:space="preserve">　</w:t>
            </w:r>
          </w:p>
        </w:tc>
        <w:tc>
          <w:tcPr>
            <w:tcW w:w="2376" w:type="dxa"/>
            <w:vAlign w:val="center"/>
          </w:tcPr>
          <w:p w14:paraId="49FB2208" w14:textId="77777777" w:rsidR="005E000F" w:rsidRDefault="00000000">
            <w:r>
              <w:rPr>
                <w:rFonts w:hint="eastAsia"/>
              </w:rPr>
              <w:t xml:space="preserve">　</w:t>
            </w:r>
          </w:p>
        </w:tc>
      </w:tr>
      <w:tr w:rsidR="005E000F" w14:paraId="23CE41F9" w14:textId="77777777">
        <w:tc>
          <w:tcPr>
            <w:tcW w:w="4477" w:type="dxa"/>
            <w:vAlign w:val="center"/>
          </w:tcPr>
          <w:p w14:paraId="5FC1112A" w14:textId="77777777" w:rsidR="005E000F" w:rsidRDefault="00000000">
            <w:pPr>
              <w:pStyle w:val="aff8"/>
              <w:ind w:firstLineChars="0" w:firstLine="0"/>
              <w:jc w:val="left"/>
              <w:rPr>
                <w:szCs w:val="21"/>
              </w:rPr>
            </w:pPr>
            <w:r>
              <w:rPr>
                <w:rFonts w:hint="eastAsia"/>
              </w:rPr>
              <w:t>减：</w:t>
            </w:r>
            <w:r>
              <w:rPr>
                <w:szCs w:val="21"/>
              </w:rPr>
              <w:t>所得税影响额</w:t>
            </w:r>
          </w:p>
        </w:tc>
        <w:tc>
          <w:tcPr>
            <w:tcW w:w="2188" w:type="dxa"/>
            <w:vAlign w:val="center"/>
          </w:tcPr>
          <w:p w14:paraId="0CBC5326" w14:textId="77777777" w:rsidR="005E000F" w:rsidRDefault="00000000">
            <w:pPr>
              <w:jc w:val="right"/>
            </w:pPr>
            <w:r>
              <w:t>6,634,333</w:t>
            </w:r>
          </w:p>
        </w:tc>
        <w:tc>
          <w:tcPr>
            <w:tcW w:w="2376" w:type="dxa"/>
            <w:vAlign w:val="center"/>
          </w:tcPr>
          <w:p w14:paraId="2FCE98F2" w14:textId="77777777" w:rsidR="005E000F" w:rsidRDefault="00000000">
            <w:r>
              <w:rPr>
                <w:rFonts w:hint="eastAsia"/>
              </w:rPr>
              <w:t xml:space="preserve">　</w:t>
            </w:r>
          </w:p>
        </w:tc>
      </w:tr>
      <w:tr w:rsidR="005E000F" w14:paraId="3B0ADEDA" w14:textId="77777777">
        <w:tc>
          <w:tcPr>
            <w:tcW w:w="4477" w:type="dxa"/>
            <w:vAlign w:val="center"/>
          </w:tcPr>
          <w:p w14:paraId="3AC5C0EE" w14:textId="77777777" w:rsidR="005E000F" w:rsidRDefault="00000000">
            <w:pPr>
              <w:pStyle w:val="aff8"/>
              <w:jc w:val="left"/>
              <w:rPr>
                <w:szCs w:val="21"/>
              </w:rPr>
            </w:pPr>
            <w:r>
              <w:rPr>
                <w:szCs w:val="21"/>
              </w:rPr>
              <w:t>少数股东权益影响额</w:t>
            </w:r>
            <w:r>
              <w:rPr>
                <w:rFonts w:hint="eastAsia"/>
                <w:szCs w:val="21"/>
              </w:rPr>
              <w:t>（税后）</w:t>
            </w:r>
          </w:p>
        </w:tc>
        <w:tc>
          <w:tcPr>
            <w:tcW w:w="2188" w:type="dxa"/>
            <w:vAlign w:val="center"/>
          </w:tcPr>
          <w:p w14:paraId="4F872B46" w14:textId="77777777" w:rsidR="005E000F" w:rsidRDefault="00000000">
            <w:pPr>
              <w:jc w:val="right"/>
            </w:pPr>
            <w:r>
              <w:t>139,722</w:t>
            </w:r>
          </w:p>
        </w:tc>
        <w:tc>
          <w:tcPr>
            <w:tcW w:w="2376" w:type="dxa"/>
            <w:vAlign w:val="center"/>
          </w:tcPr>
          <w:p w14:paraId="0F93FAD8" w14:textId="77777777" w:rsidR="005E000F" w:rsidRDefault="00000000">
            <w:r>
              <w:rPr>
                <w:rFonts w:hint="eastAsia"/>
              </w:rPr>
              <w:t xml:space="preserve">　</w:t>
            </w:r>
          </w:p>
        </w:tc>
      </w:tr>
      <w:tr w:rsidR="005E000F" w14:paraId="1A75902E" w14:textId="77777777">
        <w:tc>
          <w:tcPr>
            <w:tcW w:w="4477" w:type="dxa"/>
            <w:vAlign w:val="center"/>
          </w:tcPr>
          <w:p w14:paraId="2B141562" w14:textId="77777777" w:rsidR="005E000F" w:rsidRDefault="00000000">
            <w:pPr>
              <w:pStyle w:val="aff8"/>
              <w:ind w:firstLineChars="0" w:firstLine="0"/>
              <w:jc w:val="center"/>
              <w:rPr>
                <w:szCs w:val="21"/>
              </w:rPr>
            </w:pPr>
            <w:r>
              <w:rPr>
                <w:szCs w:val="21"/>
              </w:rPr>
              <w:t>合计</w:t>
            </w:r>
          </w:p>
        </w:tc>
        <w:tc>
          <w:tcPr>
            <w:tcW w:w="2188" w:type="dxa"/>
            <w:vAlign w:val="center"/>
          </w:tcPr>
          <w:p w14:paraId="3C850F51" w14:textId="77777777" w:rsidR="005E000F" w:rsidRDefault="00000000">
            <w:pPr>
              <w:jc w:val="right"/>
            </w:pPr>
            <w:r>
              <w:t>39,222,858</w:t>
            </w:r>
          </w:p>
        </w:tc>
        <w:tc>
          <w:tcPr>
            <w:tcW w:w="2376" w:type="dxa"/>
            <w:vAlign w:val="center"/>
          </w:tcPr>
          <w:p w14:paraId="57A9718A" w14:textId="77777777" w:rsidR="005E000F" w:rsidRDefault="00000000">
            <w:r>
              <w:rPr>
                <w:rFonts w:hint="eastAsia"/>
              </w:rPr>
              <w:t xml:space="preserve">　</w:t>
            </w:r>
          </w:p>
        </w:tc>
      </w:tr>
    </w:tbl>
    <w:p w14:paraId="2B28EE68" w14:textId="77777777" w:rsidR="005E000F" w:rsidRDefault="005E000F"/>
    <w:p w14:paraId="5C4EE060" w14:textId="77777777" w:rsidR="005E000F" w:rsidRDefault="00000000">
      <w:bookmarkStart w:id="477" w:name="_Hlk154752626"/>
      <w:bookmarkEnd w:id="475"/>
      <w:bookmarkEnd w:id="476"/>
      <w:r>
        <w:rPr>
          <w:rFonts w:hint="eastAsia"/>
        </w:rPr>
        <w:t>对公司将《公开发行证券的公司信息披露解释性公告第</w:t>
      </w:r>
      <w:r>
        <w:t>1</w:t>
      </w:r>
      <w:r>
        <w:t>号</w:t>
      </w:r>
      <w:r>
        <w:t>——</w:t>
      </w:r>
      <w:r>
        <w:t>非经常性损益》未列举的项目认定为非经常性损益项目且金额重大的，以及将《公开发行证券的公司信息披露解释性公告第</w:t>
      </w:r>
      <w:r>
        <w:t>1</w:t>
      </w:r>
      <w:r>
        <w:t>号</w:t>
      </w:r>
      <w:r>
        <w:t>——</w:t>
      </w:r>
      <w:r>
        <w:t>非经常性损益》中列举的非经常性损益项目界定为经常性损益的项目，应说明原因。</w:t>
      </w:r>
    </w:p>
    <w:sdt>
      <w:sdtPr>
        <w:alias w:val="是否适用：将非经常性损益项目界定为经常性损益项目[双击切换]"/>
        <w:tag w:val="_GBC_a967cba183d54f83a4f652d6d31302c3"/>
        <w:id w:val="-1701004699"/>
        <w:placeholder>
          <w:docPart w:val="GBC22222222222222222222222222222"/>
        </w:placeholder>
      </w:sdtPr>
      <w:sdtContent>
        <w:p w14:paraId="59029F7C"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54AD455E" w14:textId="77777777" w:rsidR="005E000F" w:rsidRDefault="005E000F"/>
    <w:p w14:paraId="164B0184" w14:textId="77777777" w:rsidR="005E000F" w:rsidRDefault="00000000">
      <w:pPr>
        <w:spacing w:line="360" w:lineRule="exact"/>
      </w:pPr>
      <w:r>
        <w:rPr>
          <w:rFonts w:hint="eastAsia"/>
        </w:rPr>
        <w:t>其他说明：</w:t>
      </w:r>
    </w:p>
    <w:sdt>
      <w:sdtPr>
        <w:alias w:val="是否适用：非经常性损益的其他说明[双击切换]"/>
        <w:tag w:val="_GBC_02aa469151f448ef8b478dba20a7d811"/>
        <w:id w:val="353303730"/>
        <w:placeholder>
          <w:docPart w:val="GBC22222222222222222222222222222"/>
        </w:placeholder>
      </w:sdtPr>
      <w:sdtContent>
        <w:p w14:paraId="5685DAAD" w14:textId="77777777" w:rsidR="005E000F" w:rsidRDefault="00000000">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682301C0" w14:textId="77777777" w:rsidR="005E000F" w:rsidRDefault="005E000F"/>
    <w:bookmarkEnd w:id="477"/>
    <w:p w14:paraId="220719F7" w14:textId="77777777" w:rsidR="005E000F" w:rsidRDefault="00000000">
      <w:pPr>
        <w:pStyle w:val="3"/>
        <w:numPr>
          <w:ilvl w:val="0"/>
          <w:numId w:val="137"/>
        </w:numPr>
        <w:rPr>
          <w:szCs w:val="21"/>
        </w:rPr>
      </w:pPr>
      <w:r>
        <w:rPr>
          <w:rFonts w:hint="eastAsia"/>
          <w:szCs w:val="21"/>
        </w:rPr>
        <w:t>净资产收益率及每股收益</w:t>
      </w:r>
    </w:p>
    <w:sdt>
      <w:sdtPr>
        <w:alias w:val="是否适用：净资产收益率及每股收益[双击切换]"/>
        <w:tag w:val="_GBC_c0f530bdf9ee48239f470eda08b303d7"/>
        <w:id w:val="-993948471"/>
        <w:placeholder>
          <w:docPart w:val="GBC22222222222222222222222222222"/>
        </w:placeholder>
      </w:sdtPr>
      <w:sdtContent>
        <w:p w14:paraId="057BCBD6" w14:textId="77777777" w:rsidR="005E000F" w:rsidRDefault="00000000">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13"/>
        <w:gridCol w:w="1840"/>
        <w:gridCol w:w="2146"/>
        <w:gridCol w:w="2148"/>
      </w:tblGrid>
      <w:tr w:rsidR="005E000F" w14:paraId="618B241F" w14:textId="77777777">
        <w:trPr>
          <w:trHeight w:val="270"/>
        </w:trPr>
        <w:sdt>
          <w:sdtPr>
            <w:tag w:val="_PLD_85d9a7abc9cd45768b2b5f99afa4a4ef"/>
            <w:id w:val="1278981892"/>
          </w:sdtPr>
          <w:sdtContent>
            <w:tc>
              <w:tcPr>
                <w:tcW w:w="2913" w:type="dxa"/>
                <w:vMerge w:val="restart"/>
                <w:tcBorders>
                  <w:top w:val="single" w:sz="4" w:space="0" w:color="auto"/>
                  <w:left w:val="single" w:sz="4" w:space="0" w:color="auto"/>
                  <w:bottom w:val="single" w:sz="4" w:space="0" w:color="auto"/>
                  <w:right w:val="single" w:sz="4" w:space="0" w:color="auto"/>
                </w:tcBorders>
                <w:vAlign w:val="center"/>
              </w:tcPr>
              <w:p w14:paraId="79477F92" w14:textId="77777777" w:rsidR="005E000F" w:rsidRDefault="00000000">
                <w:pPr>
                  <w:jc w:val="center"/>
                </w:pPr>
                <w:r>
                  <w:t>报告期利润</w:t>
                </w:r>
              </w:p>
            </w:tc>
          </w:sdtContent>
        </w:sdt>
        <w:sdt>
          <w:sdtPr>
            <w:tag w:val="_PLD_7f5ad103cbb04f7d904001b07266bf41"/>
            <w:id w:val="1869718657"/>
          </w:sdtPr>
          <w:sdtContent>
            <w:tc>
              <w:tcPr>
                <w:tcW w:w="1840" w:type="dxa"/>
                <w:vMerge w:val="restart"/>
                <w:tcBorders>
                  <w:top w:val="single" w:sz="4" w:space="0" w:color="auto"/>
                  <w:left w:val="single" w:sz="4" w:space="0" w:color="auto"/>
                  <w:right w:val="single" w:sz="4" w:space="0" w:color="auto"/>
                </w:tcBorders>
                <w:vAlign w:val="center"/>
              </w:tcPr>
              <w:p w14:paraId="46F5F209" w14:textId="77777777" w:rsidR="005E000F" w:rsidRDefault="00000000">
                <w:pPr>
                  <w:jc w:val="center"/>
                </w:pPr>
                <w:r>
                  <w:t>加权平均净资产收益率（</w:t>
                </w:r>
                <w:r>
                  <w:t>%</w:t>
                </w:r>
                <w:r>
                  <w:t>）</w:t>
                </w:r>
              </w:p>
            </w:tc>
          </w:sdtContent>
        </w:sdt>
        <w:sdt>
          <w:sdtPr>
            <w:tag w:val="_PLD_adaa515ff68f455d8bcd75e516da3040"/>
            <w:id w:val="1102851541"/>
          </w:sdtPr>
          <w:sdtContent>
            <w:tc>
              <w:tcPr>
                <w:tcW w:w="4294" w:type="dxa"/>
                <w:gridSpan w:val="2"/>
                <w:tcBorders>
                  <w:top w:val="single" w:sz="4" w:space="0" w:color="auto"/>
                  <w:left w:val="single" w:sz="4" w:space="0" w:color="auto"/>
                  <w:bottom w:val="single" w:sz="4" w:space="0" w:color="auto"/>
                  <w:right w:val="single" w:sz="4" w:space="0" w:color="auto"/>
                </w:tcBorders>
                <w:vAlign w:val="center"/>
              </w:tcPr>
              <w:p w14:paraId="64530F9F" w14:textId="77777777" w:rsidR="005E000F" w:rsidRDefault="00000000">
                <w:pPr>
                  <w:jc w:val="center"/>
                </w:pPr>
                <w:r>
                  <w:t>每股收益</w:t>
                </w:r>
              </w:p>
            </w:tc>
          </w:sdtContent>
        </w:sdt>
      </w:tr>
      <w:tr w:rsidR="005E000F" w14:paraId="648C842D" w14:textId="77777777">
        <w:trPr>
          <w:trHeight w:val="360"/>
        </w:trPr>
        <w:tc>
          <w:tcPr>
            <w:tcW w:w="2913" w:type="dxa"/>
            <w:vMerge/>
            <w:tcBorders>
              <w:top w:val="single" w:sz="4" w:space="0" w:color="auto"/>
              <w:left w:val="single" w:sz="4" w:space="0" w:color="auto"/>
              <w:bottom w:val="single" w:sz="4" w:space="0" w:color="auto"/>
              <w:right w:val="single" w:sz="4" w:space="0" w:color="auto"/>
            </w:tcBorders>
            <w:vAlign w:val="center"/>
          </w:tcPr>
          <w:p w14:paraId="31F59F8A" w14:textId="77777777" w:rsidR="005E000F" w:rsidRDefault="005E000F">
            <w:pPr>
              <w:jc w:val="center"/>
            </w:pPr>
          </w:p>
        </w:tc>
        <w:tc>
          <w:tcPr>
            <w:tcW w:w="1840" w:type="dxa"/>
            <w:vMerge/>
            <w:tcBorders>
              <w:left w:val="single" w:sz="4" w:space="0" w:color="auto"/>
              <w:bottom w:val="single" w:sz="4" w:space="0" w:color="auto"/>
              <w:right w:val="single" w:sz="4" w:space="0" w:color="auto"/>
            </w:tcBorders>
            <w:vAlign w:val="center"/>
          </w:tcPr>
          <w:p w14:paraId="36F648A6" w14:textId="77777777" w:rsidR="005E000F" w:rsidRDefault="005E000F">
            <w:pPr>
              <w:jc w:val="center"/>
            </w:pPr>
          </w:p>
        </w:tc>
        <w:sdt>
          <w:sdtPr>
            <w:tag w:val="_PLD_503a9e353572491fb64751c75881b5ac"/>
            <w:id w:val="-1723749230"/>
          </w:sdtPr>
          <w:sdtContent>
            <w:tc>
              <w:tcPr>
                <w:tcW w:w="2146" w:type="dxa"/>
                <w:tcBorders>
                  <w:top w:val="single" w:sz="4" w:space="0" w:color="auto"/>
                  <w:left w:val="single" w:sz="4" w:space="0" w:color="auto"/>
                  <w:bottom w:val="single" w:sz="4" w:space="0" w:color="auto"/>
                  <w:right w:val="single" w:sz="4" w:space="0" w:color="auto"/>
                </w:tcBorders>
                <w:vAlign w:val="center"/>
              </w:tcPr>
              <w:p w14:paraId="214DE824" w14:textId="77777777" w:rsidR="005E000F" w:rsidRDefault="00000000">
                <w:pPr>
                  <w:jc w:val="center"/>
                </w:pPr>
                <w:r>
                  <w:t>基本每股收益</w:t>
                </w:r>
              </w:p>
            </w:tc>
          </w:sdtContent>
        </w:sdt>
        <w:sdt>
          <w:sdtPr>
            <w:tag w:val="_PLD_b57959d0e3714f2590eb4529892e5c18"/>
            <w:id w:val="-879471669"/>
          </w:sdtPr>
          <w:sdtContent>
            <w:tc>
              <w:tcPr>
                <w:tcW w:w="2148" w:type="dxa"/>
                <w:tcBorders>
                  <w:top w:val="single" w:sz="4" w:space="0" w:color="auto"/>
                  <w:left w:val="single" w:sz="4" w:space="0" w:color="auto"/>
                  <w:bottom w:val="single" w:sz="4" w:space="0" w:color="auto"/>
                  <w:right w:val="single" w:sz="4" w:space="0" w:color="auto"/>
                </w:tcBorders>
                <w:vAlign w:val="center"/>
              </w:tcPr>
              <w:p w14:paraId="44CF6CC4" w14:textId="77777777" w:rsidR="005E000F" w:rsidRDefault="00000000">
                <w:pPr>
                  <w:jc w:val="center"/>
                </w:pPr>
                <w:r>
                  <w:t>稀释每股收益</w:t>
                </w:r>
              </w:p>
            </w:tc>
          </w:sdtContent>
        </w:sdt>
      </w:tr>
      <w:tr w:rsidR="005E000F" w14:paraId="00C9992F" w14:textId="77777777">
        <w:trPr>
          <w:trHeight w:val="360"/>
        </w:trPr>
        <w:tc>
          <w:tcPr>
            <w:tcW w:w="2913" w:type="dxa"/>
            <w:tcBorders>
              <w:top w:val="single" w:sz="4" w:space="0" w:color="auto"/>
              <w:left w:val="single" w:sz="4" w:space="0" w:color="auto"/>
              <w:bottom w:val="single" w:sz="4" w:space="0" w:color="auto"/>
              <w:right w:val="single" w:sz="4" w:space="0" w:color="auto"/>
            </w:tcBorders>
            <w:vAlign w:val="center"/>
          </w:tcPr>
          <w:p w14:paraId="7DB79E8A" w14:textId="77777777" w:rsidR="005E000F" w:rsidRDefault="00000000">
            <w:r>
              <w:t>归属于公司普通股股东的净利润</w:t>
            </w:r>
          </w:p>
        </w:tc>
        <w:tc>
          <w:tcPr>
            <w:tcW w:w="1840" w:type="dxa"/>
            <w:tcBorders>
              <w:top w:val="single" w:sz="4" w:space="0" w:color="auto"/>
              <w:left w:val="single" w:sz="4" w:space="0" w:color="auto"/>
              <w:bottom w:val="single" w:sz="4" w:space="0" w:color="auto"/>
              <w:right w:val="single" w:sz="4" w:space="0" w:color="auto"/>
            </w:tcBorders>
            <w:vAlign w:val="center"/>
          </w:tcPr>
          <w:p w14:paraId="084A1F6E" w14:textId="77777777" w:rsidR="005E000F" w:rsidRDefault="00000000">
            <w:pPr>
              <w:widowControl w:val="0"/>
              <w:jc w:val="right"/>
            </w:pPr>
            <w:r>
              <w:t>3.64</w:t>
            </w:r>
          </w:p>
        </w:tc>
        <w:tc>
          <w:tcPr>
            <w:tcW w:w="2146" w:type="dxa"/>
            <w:tcBorders>
              <w:top w:val="single" w:sz="4" w:space="0" w:color="auto"/>
              <w:left w:val="single" w:sz="4" w:space="0" w:color="auto"/>
              <w:bottom w:val="single" w:sz="4" w:space="0" w:color="auto"/>
              <w:right w:val="single" w:sz="4" w:space="0" w:color="auto"/>
            </w:tcBorders>
            <w:vAlign w:val="center"/>
          </w:tcPr>
          <w:p w14:paraId="1EA465DA" w14:textId="77777777" w:rsidR="005E000F" w:rsidRDefault="00000000">
            <w:pPr>
              <w:widowControl w:val="0"/>
              <w:jc w:val="right"/>
            </w:pPr>
            <w:r>
              <w:t>0.30</w:t>
            </w:r>
          </w:p>
        </w:tc>
        <w:tc>
          <w:tcPr>
            <w:tcW w:w="2148" w:type="dxa"/>
            <w:tcBorders>
              <w:top w:val="single" w:sz="4" w:space="0" w:color="auto"/>
              <w:left w:val="single" w:sz="4" w:space="0" w:color="auto"/>
              <w:bottom w:val="single" w:sz="4" w:space="0" w:color="auto"/>
              <w:right w:val="single" w:sz="4" w:space="0" w:color="auto"/>
            </w:tcBorders>
            <w:vAlign w:val="center"/>
          </w:tcPr>
          <w:p w14:paraId="23E41A17" w14:textId="77777777" w:rsidR="005E000F" w:rsidRDefault="00000000">
            <w:pPr>
              <w:widowControl w:val="0"/>
              <w:jc w:val="right"/>
            </w:pPr>
            <w:r>
              <w:t>0.30</w:t>
            </w:r>
          </w:p>
        </w:tc>
      </w:tr>
      <w:tr w:rsidR="005E000F" w14:paraId="6A8CCEA7" w14:textId="77777777">
        <w:trPr>
          <w:trHeight w:val="360"/>
        </w:trPr>
        <w:tc>
          <w:tcPr>
            <w:tcW w:w="2913" w:type="dxa"/>
            <w:tcBorders>
              <w:top w:val="single" w:sz="4" w:space="0" w:color="auto"/>
              <w:left w:val="single" w:sz="4" w:space="0" w:color="auto"/>
              <w:bottom w:val="single" w:sz="4" w:space="0" w:color="auto"/>
              <w:right w:val="single" w:sz="4" w:space="0" w:color="auto"/>
            </w:tcBorders>
            <w:vAlign w:val="center"/>
          </w:tcPr>
          <w:p w14:paraId="510655B9" w14:textId="77777777" w:rsidR="005E000F" w:rsidRDefault="00000000">
            <w:r>
              <w:t>扣除非经常性损益后归属于公司普通股股东的净利润</w:t>
            </w:r>
          </w:p>
        </w:tc>
        <w:tc>
          <w:tcPr>
            <w:tcW w:w="1840" w:type="dxa"/>
            <w:tcBorders>
              <w:top w:val="single" w:sz="4" w:space="0" w:color="auto"/>
              <w:left w:val="single" w:sz="4" w:space="0" w:color="auto"/>
              <w:bottom w:val="single" w:sz="4" w:space="0" w:color="auto"/>
              <w:right w:val="single" w:sz="4" w:space="0" w:color="auto"/>
            </w:tcBorders>
            <w:vAlign w:val="center"/>
          </w:tcPr>
          <w:p w14:paraId="7B137624" w14:textId="77777777" w:rsidR="005E000F" w:rsidRDefault="00000000">
            <w:pPr>
              <w:widowControl w:val="0"/>
              <w:jc w:val="right"/>
            </w:pPr>
            <w:r>
              <w:t>3.62</w:t>
            </w:r>
          </w:p>
        </w:tc>
        <w:tc>
          <w:tcPr>
            <w:tcW w:w="2146" w:type="dxa"/>
            <w:tcBorders>
              <w:top w:val="single" w:sz="4" w:space="0" w:color="auto"/>
              <w:left w:val="single" w:sz="4" w:space="0" w:color="auto"/>
              <w:bottom w:val="single" w:sz="4" w:space="0" w:color="auto"/>
              <w:right w:val="single" w:sz="4" w:space="0" w:color="auto"/>
            </w:tcBorders>
            <w:vAlign w:val="center"/>
          </w:tcPr>
          <w:p w14:paraId="34A849E0" w14:textId="77777777" w:rsidR="005E000F" w:rsidRDefault="00000000">
            <w:pPr>
              <w:widowControl w:val="0"/>
              <w:jc w:val="right"/>
            </w:pPr>
            <w:r>
              <w:t>0.29</w:t>
            </w:r>
          </w:p>
        </w:tc>
        <w:tc>
          <w:tcPr>
            <w:tcW w:w="2148" w:type="dxa"/>
            <w:tcBorders>
              <w:top w:val="single" w:sz="4" w:space="0" w:color="auto"/>
              <w:left w:val="single" w:sz="4" w:space="0" w:color="auto"/>
              <w:bottom w:val="single" w:sz="4" w:space="0" w:color="auto"/>
              <w:right w:val="single" w:sz="4" w:space="0" w:color="auto"/>
            </w:tcBorders>
            <w:vAlign w:val="center"/>
          </w:tcPr>
          <w:p w14:paraId="3726E786" w14:textId="77777777" w:rsidR="005E000F" w:rsidRDefault="00000000">
            <w:pPr>
              <w:widowControl w:val="0"/>
              <w:jc w:val="right"/>
            </w:pPr>
            <w:r>
              <w:t>0.29</w:t>
            </w:r>
          </w:p>
        </w:tc>
      </w:tr>
    </w:tbl>
    <w:p w14:paraId="36E0C7BE" w14:textId="77777777" w:rsidR="005E000F" w:rsidRDefault="005E000F"/>
    <w:p w14:paraId="685B8D27" w14:textId="77777777" w:rsidR="005E000F" w:rsidRDefault="00000000">
      <w:pPr>
        <w:pStyle w:val="3"/>
        <w:numPr>
          <w:ilvl w:val="0"/>
          <w:numId w:val="137"/>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542912293"/>
        <w:placeholder>
          <w:docPart w:val="GBC22222222222222222222222222222"/>
        </w:placeholder>
      </w:sdtPr>
      <w:sdtContent>
        <w:p w14:paraId="1B42F5CD" w14:textId="77777777" w:rsidR="005E000F" w:rsidRDefault="00000000">
          <w:pPr>
            <w:rPr>
              <w:rFonts w:cstheme="minorBidi"/>
              <w:kern w:val="2"/>
            </w:rPr>
          </w:pPr>
          <w:r>
            <w:rPr>
              <w:rFonts w:ascii="宋体" w:hAnsi="宋体"/>
            </w:rPr>
            <w:fldChar w:fldCharType="begin"/>
          </w:r>
          <w:r>
            <w:rPr>
              <w:rFonts w:ascii="宋体" w:hAnsi="宋体" w:hint="eastAsia"/>
            </w:rPr>
            <w:instrText xml:space="preserve">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p>
      </w:sdtContent>
    </w:sdt>
    <w:p w14:paraId="72DC6AC6" w14:textId="77777777" w:rsidR="005E000F" w:rsidRDefault="005E000F">
      <w:pPr>
        <w:rPr>
          <w:rFonts w:cstheme="minorBidi"/>
          <w:kern w:val="2"/>
        </w:rPr>
      </w:pPr>
    </w:p>
    <w:p w14:paraId="0CF91BB4" w14:textId="77777777" w:rsidR="005E000F" w:rsidRDefault="005E000F"/>
    <w:p w14:paraId="4BA87FE9" w14:textId="77777777" w:rsidR="005E000F" w:rsidRDefault="00000000">
      <w:pPr>
        <w:pStyle w:val="3"/>
        <w:numPr>
          <w:ilvl w:val="0"/>
          <w:numId w:val="137"/>
        </w:numPr>
        <w:rPr>
          <w:szCs w:val="21"/>
        </w:rPr>
      </w:pPr>
      <w:r>
        <w:rPr>
          <w:rFonts w:hint="eastAsia"/>
          <w:szCs w:val="21"/>
        </w:rPr>
        <w:t>其他</w:t>
      </w:r>
    </w:p>
    <w:p w14:paraId="1A3FFE57" w14:textId="77777777" w:rsidR="005E000F" w:rsidRDefault="00000000">
      <w:pPr>
        <w:tabs>
          <w:tab w:val="left" w:pos="2905"/>
        </w:tabs>
      </w:pPr>
      <w:sdt>
        <w:sdtPr>
          <w:rPr>
            <w:rFonts w:hint="eastAsia"/>
          </w:rPr>
          <w:alias w:val="是否适用：补充资料其他说明事项[双击切换]"/>
          <w:tag w:val="_GBC_96c49cb17ab64891ac1d396be649be3c"/>
          <w:id w:val="1021499"/>
          <w:placeholder>
            <w:docPart w:val="GBC22222222222222222222222222222"/>
          </w:placeholder>
        </w:sdtPr>
        <w:sdtContent>
          <w:r>
            <w:rPr>
              <w:rFonts w:ascii="宋体" w:hAnsi="宋体"/>
            </w:rPr>
            <w:fldChar w:fldCharType="begin"/>
          </w:r>
          <w:r>
            <w:rPr>
              <w:rFonts w:ascii="宋体" w:hAnsi="宋体" w:hint="eastAsia"/>
            </w:rPr>
            <w:instrText xml:space="preserve"> MACROBUTTON  SnrToggleCheckbox □适用  </w:instrText>
          </w:r>
          <w:r>
            <w:rPr>
              <w:rFonts w:ascii="宋体" w:hAnsi="宋体"/>
            </w:rPr>
            <w:fldChar w:fldCharType="end"/>
          </w:r>
          <w:r>
            <w:rPr>
              <w:rFonts w:ascii="宋体" w:hAnsi="宋体"/>
            </w:rPr>
            <w:fldChar w:fldCharType="begin"/>
          </w:r>
          <w:r>
            <w:rPr>
              <w:rFonts w:ascii="宋体" w:hAnsi="宋体" w:hint="eastAsia"/>
            </w:rPr>
            <w:instrText xml:space="preserve"> MACROBUTTON  SnrToggleCheckbox √不适用 </w:instrText>
          </w:r>
          <w:r>
            <w:rPr>
              <w:rFonts w:ascii="宋体" w:hAnsi="宋体"/>
            </w:rPr>
            <w:fldChar w:fldCharType="end"/>
          </w:r>
        </w:sdtContent>
      </w:sdt>
    </w:p>
    <w:p w14:paraId="240D0A47" w14:textId="77777777" w:rsidR="005E000F" w:rsidRDefault="005E000F"/>
    <w:p w14:paraId="235001E3" w14:textId="77777777" w:rsidR="005E000F" w:rsidRDefault="005E000F"/>
    <w:p w14:paraId="4F652EDD" w14:textId="77777777" w:rsidR="005E000F" w:rsidRDefault="005E000F">
      <w:pPr>
        <w:spacing w:line="360" w:lineRule="exact"/>
        <w:ind w:right="5"/>
        <w:rPr>
          <w:b/>
          <w:bCs/>
          <w:sz w:val="24"/>
        </w:rPr>
      </w:pPr>
      <w:bookmarkStart w:id="478" w:name="_Hlk89951888"/>
      <w:bookmarkStart w:id="479" w:name="_Hlk90043452"/>
    </w:p>
    <w:p w14:paraId="77C3C679" w14:textId="77777777" w:rsidR="005E000F" w:rsidRDefault="00000000">
      <w:pPr>
        <w:wordWrap w:val="0"/>
        <w:spacing w:line="360" w:lineRule="exact"/>
        <w:jc w:val="right"/>
        <w:rPr>
          <w:u w:val="single"/>
        </w:rPr>
      </w:pPr>
      <w:r>
        <w:t>董事长：</w:t>
      </w:r>
      <w:sdt>
        <w:sdtPr>
          <w:alias w:val="报告发布人"/>
          <w:tag w:val="_GBC_728ad6dff57942a69e22fcccc1f10a3c"/>
          <w:id w:val="-754580917"/>
          <w:placeholder>
            <w:docPart w:val="GBC22222222222222222222222222222"/>
          </w:placeholder>
        </w:sdtPr>
        <w:sdtContent>
          <w:proofErr w:type="gramStart"/>
          <w:r>
            <w:rPr>
              <w:rFonts w:hint="eastAsia"/>
            </w:rPr>
            <w:t>陆勇</w:t>
          </w:r>
          <w:proofErr w:type="gramEnd"/>
        </w:sdtContent>
      </w:sdt>
      <w:r>
        <w:rPr>
          <w:rFonts w:hint="eastAsia"/>
        </w:rPr>
        <w:t xml:space="preserve"> </w:t>
      </w:r>
    </w:p>
    <w:p w14:paraId="2CA20944" w14:textId="77777777" w:rsidR="005E000F" w:rsidRDefault="00000000">
      <w:pPr>
        <w:spacing w:line="360" w:lineRule="exact"/>
        <w:jc w:val="right"/>
      </w:pPr>
      <w:r>
        <w:t>董事会批准报送日期：</w:t>
      </w:r>
      <w:sdt>
        <w:sdtPr>
          <w:alias w:val="报告董事会批准报送日期"/>
          <w:tag w:val="_GBC_7b8c4a7926dc47299591537f5943936d"/>
          <w:id w:val="1262105507"/>
          <w:placeholder>
            <w:docPart w:val="GBC22222222222222222222222222222"/>
          </w:placeholder>
          <w:date w:fullDate="2026-04-28T00:00:00Z">
            <w:dateFormat w:val="yyyy'年'M'月'd'日'"/>
            <w:lid w:val="zh-CN"/>
            <w:storeMappedDataAs w:val="dateTime"/>
            <w:calendar w:val="gregorian"/>
          </w:date>
        </w:sdtPr>
        <w:sdtContent>
          <w:r>
            <w:rPr>
              <w:rFonts w:hint="eastAsia"/>
            </w:rPr>
            <w:t>2026</w:t>
          </w:r>
          <w:r>
            <w:rPr>
              <w:rFonts w:hint="eastAsia"/>
            </w:rPr>
            <w:t>年</w:t>
          </w:r>
          <w:r>
            <w:rPr>
              <w:rFonts w:hint="eastAsia"/>
            </w:rPr>
            <w:t>4</w:t>
          </w:r>
          <w:r>
            <w:rPr>
              <w:rFonts w:hint="eastAsia"/>
            </w:rPr>
            <w:t>月</w:t>
          </w:r>
          <w:r>
            <w:rPr>
              <w:rFonts w:hint="eastAsia"/>
            </w:rPr>
            <w:t>28</w:t>
          </w:r>
          <w:r>
            <w:rPr>
              <w:rFonts w:hint="eastAsia"/>
            </w:rPr>
            <w:t>日</w:t>
          </w:r>
        </w:sdtContent>
      </w:sdt>
      <w:r>
        <w:rPr>
          <w:rFonts w:hint="eastAsia"/>
        </w:rPr>
        <w:t xml:space="preserve"> </w:t>
      </w:r>
    </w:p>
    <w:bookmarkEnd w:id="478"/>
    <w:bookmarkEnd w:id="479"/>
    <w:p w14:paraId="5F4A528A" w14:textId="77777777" w:rsidR="005E000F" w:rsidRDefault="005E000F">
      <w:pPr>
        <w:spacing w:line="360" w:lineRule="exact"/>
        <w:ind w:right="5"/>
      </w:pPr>
    </w:p>
    <w:p w14:paraId="414D53FF" w14:textId="77777777" w:rsidR="005E000F" w:rsidRDefault="00000000">
      <w:pPr>
        <w:spacing w:line="360" w:lineRule="exact"/>
        <w:ind w:right="5"/>
        <w:rPr>
          <w:b/>
          <w:sz w:val="24"/>
        </w:rPr>
      </w:pPr>
      <w:r>
        <w:rPr>
          <w:b/>
          <w:sz w:val="24"/>
        </w:rPr>
        <w:t>修订信息</w:t>
      </w:r>
    </w:p>
    <w:sdt>
      <w:sdtPr>
        <w:alias w:val="是否适用：修订信息表[双击切换]"/>
        <w:tag w:val="_GBC_888e757d42a24d3a87b71f50b0589b0a"/>
        <w:id w:val="859160082"/>
        <w:placeholder>
          <w:docPart w:val="GBC22222222222222222222222222222"/>
        </w:placeholder>
      </w:sdtPr>
      <w:sdtContent>
        <w:p w14:paraId="4E9C2BA3" w14:textId="77777777" w:rsidR="005E000F" w:rsidRDefault="00000000">
          <w:r>
            <w:rPr>
              <w:rFonts w:ascii="宋体" w:hAnsi="宋体"/>
            </w:rPr>
            <w:fldChar w:fldCharType="begin"/>
          </w:r>
          <w:r>
            <w:rPr>
              <w:rFonts w:ascii="宋体" w:hAnsi="宋体"/>
            </w:rPr>
            <w:instrText xml:space="preserve">MACROBUTTON  SnrToggleCheckbox □适用 </w:instrText>
          </w:r>
          <w:r>
            <w:rPr>
              <w:rFonts w:ascii="宋体" w:hAnsi="宋体"/>
            </w:rPr>
            <w:fldChar w:fldCharType="end"/>
          </w:r>
          <w:r>
            <w:rPr>
              <w:rFonts w:ascii="宋体" w:hAnsi="宋体"/>
            </w:rPr>
            <w:fldChar w:fldCharType="begin"/>
          </w:r>
          <w:r>
            <w:rPr>
              <w:rFonts w:ascii="宋体" w:hAnsi="宋体"/>
            </w:rPr>
            <w:instrText xml:space="preserve"> MACROBUTTON  SnrToggleCheckbox √不适用 </w:instrText>
          </w:r>
          <w:r>
            <w:rPr>
              <w:rFonts w:ascii="宋体" w:hAnsi="宋体"/>
            </w:rPr>
            <w:fldChar w:fldCharType="end"/>
          </w:r>
        </w:p>
      </w:sdtContent>
    </w:sdt>
    <w:sectPr w:rsidR="005E000F">
      <w:pgSz w:w="11906" w:h="16838"/>
      <w:pgMar w:top="1525" w:right="1276" w:bottom="1440" w:left="1797" w:header="856"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08F26A" w14:textId="77777777" w:rsidR="00690F26" w:rsidRDefault="00690F26">
      <w:r>
        <w:separator/>
      </w:r>
    </w:p>
  </w:endnote>
  <w:endnote w:type="continuationSeparator" w:id="0">
    <w:p w14:paraId="5DE8F897" w14:textId="77777777" w:rsidR="00690F26" w:rsidRDefault="00690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602E0107" w:csb1="00000000"/>
  </w:font>
  <w:font w:name="FZLTSK--GBK1-0">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modern"/>
    <w:pitch w:val="default"/>
    <w:sig w:usb0="00000000" w:usb1="0000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宋体-方正超大字符集">
    <w:altName w:val="宋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7AB14" w14:textId="77777777" w:rsidR="005E000F" w:rsidRDefault="00000000">
    <w:pPr>
      <w:pStyle w:val="af7"/>
      <w:jc w:val="center"/>
    </w:pPr>
    <w:r>
      <w:rPr>
        <w:b/>
        <w:bCs/>
        <w:sz w:val="24"/>
        <w:szCs w:val="24"/>
      </w:rPr>
      <w:fldChar w:fldCharType="begin"/>
    </w:r>
    <w:r>
      <w:rPr>
        <w:b/>
        <w:bCs/>
      </w:rPr>
      <w:instrText>PAGE</w:instrText>
    </w:r>
    <w:r>
      <w:rPr>
        <w:b/>
        <w:bCs/>
        <w:sz w:val="24"/>
        <w:szCs w:val="24"/>
      </w:rPr>
      <w:fldChar w:fldCharType="separate"/>
    </w:r>
    <w:r>
      <w:rPr>
        <w:b/>
        <w:bCs/>
      </w:rPr>
      <w:t>188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223</w:t>
    </w:r>
    <w:r>
      <w:rPr>
        <w:b/>
        <w:bCs/>
        <w:sz w:val="24"/>
        <w:szCs w:val="24"/>
      </w:rPr>
      <w:fldChar w:fldCharType="end"/>
    </w:r>
  </w:p>
  <w:p w14:paraId="194AD364" w14:textId="77777777" w:rsidR="005E000F" w:rsidRDefault="005E000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5413B" w14:textId="77777777" w:rsidR="00690F26" w:rsidRDefault="00690F26">
      <w:r>
        <w:separator/>
      </w:r>
    </w:p>
  </w:footnote>
  <w:footnote w:type="continuationSeparator" w:id="0">
    <w:p w14:paraId="48E2CF94" w14:textId="77777777" w:rsidR="00690F26" w:rsidRDefault="00690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318DA" w14:textId="77777777" w:rsidR="005E000F" w:rsidRDefault="00000000">
    <w:pPr>
      <w:pStyle w:val="af9"/>
      <w:tabs>
        <w:tab w:val="clear" w:pos="8306"/>
        <w:tab w:val="left" w:pos="8364"/>
        <w:tab w:val="left" w:pos="8505"/>
      </w:tabs>
      <w:ind w:rightChars="10" w:right="21"/>
      <w:rPr>
        <w:b/>
      </w:rPr>
    </w:pPr>
    <w:sdt>
      <w:sdtPr>
        <w:rPr>
          <w:rFonts w:hint="eastAsia"/>
        </w:rPr>
        <w:alias w:val="公司法定中文名称"/>
        <w:tag w:val="_GBC_e3e0c995ecc548d39789fc25ee290bfb"/>
        <w:id w:val="1836415349"/>
        <w:dataBinding w:prefixMappings="xmlns:clcid-cgi='clcid-cgi'" w:xpath="/*/clcid-cgi:GongSiFaDingZhongWenMingCheng[not(@periodRef)]" w:storeItemID="{89EBAB94-44A0-46A2-B712-30D997D04A6D}"/>
        <w:text/>
      </w:sdtPr>
      <w:sdtContent>
        <w:r>
          <w:rPr>
            <w:rFonts w:hint="eastAsia"/>
          </w:rPr>
          <w:t>大秦铁路股份有限公司</w:t>
        </w:r>
      </w:sdtContent>
    </w:sdt>
    <w:r>
      <w:rPr>
        <w:rFonts w:hint="eastAsia"/>
      </w:rPr>
      <w:t>2025</w:t>
    </w:r>
    <w:r>
      <w:rPr>
        <w:rFonts w:hint="eastAsia"/>
      </w:rPr>
      <w:t>年年度报告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D9BD5A2"/>
    <w:multiLevelType w:val="singleLevel"/>
    <w:tmpl w:val="8D9BD5A2"/>
    <w:lvl w:ilvl="0">
      <w:start w:val="1"/>
      <w:numFmt w:val="decimal"/>
      <w:suff w:val="space"/>
      <w:lvlText w:val="%1."/>
      <w:lvlJc w:val="left"/>
    </w:lvl>
  </w:abstractNum>
  <w:abstractNum w:abstractNumId="1" w15:restartNumberingAfterBreak="0">
    <w:nsid w:val="D2824FBB"/>
    <w:multiLevelType w:val="singleLevel"/>
    <w:tmpl w:val="D2824FBB"/>
    <w:lvl w:ilvl="0">
      <w:start w:val="1"/>
      <w:numFmt w:val="decimal"/>
      <w:suff w:val="space"/>
      <w:lvlText w:val="%1."/>
      <w:lvlJc w:val="left"/>
    </w:lvl>
  </w:abstractNum>
  <w:abstractNum w:abstractNumId="2" w15:restartNumberingAfterBreak="0">
    <w:nsid w:val="D4F1AAB6"/>
    <w:multiLevelType w:val="singleLevel"/>
    <w:tmpl w:val="D4F1AAB6"/>
    <w:lvl w:ilvl="0">
      <w:start w:val="1"/>
      <w:numFmt w:val="decimal"/>
      <w:suff w:val="space"/>
      <w:lvlText w:val="%1."/>
      <w:lvlJc w:val="left"/>
    </w:lvl>
  </w:abstractNum>
  <w:abstractNum w:abstractNumId="3" w15:restartNumberingAfterBreak="0">
    <w:nsid w:val="00533058"/>
    <w:multiLevelType w:val="multilevel"/>
    <w:tmpl w:val="00533058"/>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17D348C"/>
    <w:multiLevelType w:val="multilevel"/>
    <w:tmpl w:val="017D348C"/>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1C7576E"/>
    <w:multiLevelType w:val="multilevel"/>
    <w:tmpl w:val="01C7576E"/>
    <w:lvl w:ilvl="0">
      <w:start w:val="1"/>
      <w:numFmt w:val="decimal"/>
      <w:suff w:val="nothing"/>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02E66CBA"/>
    <w:multiLevelType w:val="multilevel"/>
    <w:tmpl w:val="02E66CBA"/>
    <w:lvl w:ilvl="0">
      <w:start w:val="1"/>
      <w:numFmt w:val="chineseCountingThousand"/>
      <w:suff w:val="nothing"/>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37142FD"/>
    <w:multiLevelType w:val="multilevel"/>
    <w:tmpl w:val="037142FD"/>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3B7239C"/>
    <w:multiLevelType w:val="multilevel"/>
    <w:tmpl w:val="03B7239C"/>
    <w:lvl w:ilvl="0">
      <w:start w:val="1"/>
      <w:numFmt w:val="chineseCountingThousand"/>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55A7D50"/>
    <w:multiLevelType w:val="multilevel"/>
    <w:tmpl w:val="055A7D50"/>
    <w:lvl w:ilvl="0">
      <w:start w:val="1"/>
      <w:numFmt w:val="decimal"/>
      <w:suff w:val="space"/>
      <w:lvlText w:val="(%1)."/>
      <w:lvlJc w:val="left"/>
      <w:pPr>
        <w:ind w:left="0" w:firstLine="0"/>
      </w:pPr>
      <w:rPr>
        <w:rFonts w:asciiTheme="minorEastAsia" w:eastAsia="宋体" w:hAnsiTheme="minorEastAsia"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076A22C6"/>
    <w:multiLevelType w:val="multilevel"/>
    <w:tmpl w:val="076A22C6"/>
    <w:lvl w:ilvl="0">
      <w:start w:val="1"/>
      <w:numFmt w:val="decimal"/>
      <w:suff w:val="nothing"/>
      <w:lvlText w:val="(%1)."/>
      <w:lvlJc w:val="left"/>
      <w:pPr>
        <w:ind w:left="0" w:firstLine="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80D0CFB"/>
    <w:multiLevelType w:val="multilevel"/>
    <w:tmpl w:val="080D0CFB"/>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DC97DB7"/>
    <w:multiLevelType w:val="multilevel"/>
    <w:tmpl w:val="0DC97DB7"/>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E103BA1"/>
    <w:multiLevelType w:val="multilevel"/>
    <w:tmpl w:val="0E103BA1"/>
    <w:lvl w:ilvl="0">
      <w:start w:val="1"/>
      <w:numFmt w:val="decimal"/>
      <w:suff w:val="space"/>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E1F5ED2"/>
    <w:multiLevelType w:val="multilevel"/>
    <w:tmpl w:val="0E1F5ED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0E2C2F9E"/>
    <w:multiLevelType w:val="singleLevel"/>
    <w:tmpl w:val="0E2C2F9E"/>
    <w:lvl w:ilvl="0">
      <w:start w:val="1"/>
      <w:numFmt w:val="decimal"/>
      <w:suff w:val="space"/>
      <w:lvlText w:val="%1."/>
      <w:lvlJc w:val="left"/>
    </w:lvl>
  </w:abstractNum>
  <w:abstractNum w:abstractNumId="16" w15:restartNumberingAfterBreak="0">
    <w:nsid w:val="0EE939DD"/>
    <w:multiLevelType w:val="multilevel"/>
    <w:tmpl w:val="0EE939DD"/>
    <w:lvl w:ilvl="0">
      <w:start w:val="1"/>
      <w:numFmt w:val="decimal"/>
      <w:lvlText w:val="%1、"/>
      <w:lvlJc w:val="left"/>
      <w:pPr>
        <w:ind w:left="420" w:hanging="420"/>
      </w:pPr>
      <w:rPr>
        <w:rFonts w:ascii="宋体" w:eastAsia="宋体" w:hAnsi="宋体"/>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0FB258AF"/>
    <w:multiLevelType w:val="multilevel"/>
    <w:tmpl w:val="0FB258AF"/>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15:restartNumberingAfterBreak="0">
    <w:nsid w:val="10A00340"/>
    <w:multiLevelType w:val="multilevel"/>
    <w:tmpl w:val="10A00340"/>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51215BB"/>
    <w:multiLevelType w:val="multilevel"/>
    <w:tmpl w:val="151215BB"/>
    <w:lvl w:ilvl="0">
      <w:start w:val="1"/>
      <w:numFmt w:val="decimal"/>
      <w:suff w:val="space"/>
      <w:lvlText w:val="(%1)."/>
      <w:lvlJc w:val="left"/>
      <w:pPr>
        <w:ind w:left="435" w:hanging="435"/>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5621257"/>
    <w:multiLevelType w:val="multilevel"/>
    <w:tmpl w:val="15621257"/>
    <w:lvl w:ilvl="0">
      <w:start w:val="1"/>
      <w:numFmt w:val="decimal"/>
      <w:lvlText w:val="%1."/>
      <w:lvlJc w:val="left"/>
      <w:pPr>
        <w:ind w:left="425" w:hanging="425"/>
      </w:pPr>
      <w:rPr>
        <w:rFonts w:hint="eastAsia"/>
      </w:rPr>
    </w:lvl>
    <w:lvl w:ilvl="1">
      <w:start w:val="1"/>
      <w:numFmt w:val="chineseCountingThousand"/>
      <w:suff w:val="space"/>
      <w:lvlText w:val="(%2)"/>
      <w:lvlJc w:val="left"/>
      <w:pPr>
        <w:ind w:left="425" w:hanging="425"/>
      </w:pPr>
      <w:rPr>
        <w:rFonts w:ascii="宋体" w:eastAsia="宋体" w:hAnsi="宋体" w:hint="eastAsia"/>
      </w:rPr>
    </w:lvl>
    <w:lvl w:ilvl="2">
      <w:start w:val="1"/>
      <w:numFmt w:val="decimal"/>
      <w:lvlText w:val="%1.%2.%3."/>
      <w:lvlJc w:val="left"/>
      <w:pPr>
        <w:ind w:left="425" w:hanging="425"/>
      </w:pPr>
      <w:rPr>
        <w:rFonts w:hint="eastAsia"/>
      </w:rPr>
    </w:lvl>
    <w:lvl w:ilvl="3">
      <w:start w:val="1"/>
      <w:numFmt w:val="decimal"/>
      <w:lvlText w:val="%1.%2.%3.%4."/>
      <w:lvlJc w:val="left"/>
      <w:pPr>
        <w:ind w:left="425" w:hanging="425"/>
      </w:pPr>
      <w:rPr>
        <w:rFonts w:hint="eastAsia"/>
      </w:rPr>
    </w:lvl>
    <w:lvl w:ilvl="4">
      <w:start w:val="1"/>
      <w:numFmt w:val="decimal"/>
      <w:lvlText w:val="%1.%2.%3.%4.%5."/>
      <w:lvlJc w:val="left"/>
      <w:pPr>
        <w:ind w:left="425" w:hanging="425"/>
      </w:pPr>
      <w:rPr>
        <w:rFonts w:hint="eastAsia"/>
      </w:rPr>
    </w:lvl>
    <w:lvl w:ilvl="5">
      <w:start w:val="1"/>
      <w:numFmt w:val="decimal"/>
      <w:lvlText w:val="%1.%2.%3.%4.%5.%6."/>
      <w:lvlJc w:val="left"/>
      <w:pPr>
        <w:ind w:left="425" w:hanging="425"/>
      </w:pPr>
      <w:rPr>
        <w:rFonts w:hint="eastAsia"/>
      </w:rPr>
    </w:lvl>
    <w:lvl w:ilvl="6">
      <w:start w:val="1"/>
      <w:numFmt w:val="decimal"/>
      <w:lvlText w:val="%1.%2.%3.%4.%5.%6.%7."/>
      <w:lvlJc w:val="left"/>
      <w:pPr>
        <w:ind w:left="425" w:hanging="425"/>
      </w:pPr>
      <w:rPr>
        <w:rFonts w:hint="eastAsia"/>
      </w:rPr>
    </w:lvl>
    <w:lvl w:ilvl="7">
      <w:start w:val="1"/>
      <w:numFmt w:val="decimal"/>
      <w:lvlText w:val="%1.%2.%3.%4.%5.%6.%7.%8."/>
      <w:lvlJc w:val="left"/>
      <w:pPr>
        <w:ind w:left="425" w:hanging="425"/>
      </w:pPr>
      <w:rPr>
        <w:rFonts w:hint="eastAsia"/>
      </w:rPr>
    </w:lvl>
    <w:lvl w:ilvl="8">
      <w:start w:val="1"/>
      <w:numFmt w:val="decimal"/>
      <w:lvlText w:val="%1.%2.%3.%4.%5.%6.%7.%8.%9."/>
      <w:lvlJc w:val="left"/>
      <w:pPr>
        <w:ind w:left="425" w:hanging="425"/>
      </w:pPr>
      <w:rPr>
        <w:rFonts w:hint="eastAsia"/>
      </w:rPr>
    </w:lvl>
  </w:abstractNum>
  <w:abstractNum w:abstractNumId="21" w15:restartNumberingAfterBreak="0">
    <w:nsid w:val="185F3408"/>
    <w:multiLevelType w:val="multilevel"/>
    <w:tmpl w:val="185F340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15:restartNumberingAfterBreak="0">
    <w:nsid w:val="18982D2E"/>
    <w:multiLevelType w:val="multilevel"/>
    <w:tmpl w:val="18982D2E"/>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15:restartNumberingAfterBreak="0">
    <w:nsid w:val="18A52FB9"/>
    <w:multiLevelType w:val="multilevel"/>
    <w:tmpl w:val="18A52FB9"/>
    <w:lvl w:ilvl="0">
      <w:start w:val="1"/>
      <w:numFmt w:val="chineseCountingThousand"/>
      <w:lvlText w:val="(%1)"/>
      <w:lvlJc w:val="left"/>
      <w:pPr>
        <w:ind w:left="420" w:hanging="420"/>
      </w:p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19B61093"/>
    <w:multiLevelType w:val="multilevel"/>
    <w:tmpl w:val="19B61093"/>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1B0970AA"/>
    <w:multiLevelType w:val="multilevel"/>
    <w:tmpl w:val="1B0970A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6" w15:restartNumberingAfterBreak="0">
    <w:nsid w:val="1C0A5E4B"/>
    <w:multiLevelType w:val="multilevel"/>
    <w:tmpl w:val="1C0A5E4B"/>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7" w15:restartNumberingAfterBreak="0">
    <w:nsid w:val="1CEC30BF"/>
    <w:multiLevelType w:val="multilevel"/>
    <w:tmpl w:val="1CEC30BF"/>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1D11584D"/>
    <w:multiLevelType w:val="multilevel"/>
    <w:tmpl w:val="1D11584D"/>
    <w:lvl w:ilvl="0">
      <w:start w:val="1"/>
      <w:numFmt w:val="decimal"/>
      <w:lvlText w:val="%1、"/>
      <w:lvlJc w:val="left"/>
      <w:pPr>
        <w:ind w:left="425" w:hanging="425"/>
      </w:pPr>
      <w:rPr>
        <w:rFonts w:asciiTheme="majorEastAsia" w:eastAsia="宋体" w:hAnsiTheme="majorEastAsia"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1E235F8B"/>
    <w:multiLevelType w:val="multilevel"/>
    <w:tmpl w:val="1E235F8B"/>
    <w:lvl w:ilvl="0">
      <w:start w:val="1"/>
      <w:numFmt w:val="chineseCountingThousand"/>
      <w:lvlText w:val="第%1节"/>
      <w:lvlJc w:val="left"/>
      <w:pPr>
        <w:ind w:left="0" w:firstLine="0"/>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1F4131F6"/>
    <w:multiLevelType w:val="multilevel"/>
    <w:tmpl w:val="1F4131F6"/>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1F6D425C"/>
    <w:multiLevelType w:val="multilevel"/>
    <w:tmpl w:val="1F6D425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1F9677B9"/>
    <w:multiLevelType w:val="multilevel"/>
    <w:tmpl w:val="1F9677B9"/>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suff w:val="space"/>
      <w:lvlText w:val="(%4)."/>
      <w:lvlJc w:val="left"/>
      <w:pPr>
        <w:ind w:left="0" w:firstLine="0"/>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15:restartNumberingAfterBreak="0">
    <w:nsid w:val="1FD019D7"/>
    <w:multiLevelType w:val="multilevel"/>
    <w:tmpl w:val="1FD019D7"/>
    <w:lvl w:ilvl="0">
      <w:start w:val="1"/>
      <w:numFmt w:val="decimal"/>
      <w:lvlText w:val="%1."/>
      <w:lvlJc w:val="left"/>
      <w:pPr>
        <w:ind w:left="425" w:hanging="425"/>
      </w:pPr>
      <w:rPr>
        <w:rFonts w:hint="eastAsia"/>
      </w:rPr>
    </w:lvl>
    <w:lvl w:ilvl="1">
      <w:start w:val="1"/>
      <w:numFmt w:val="chineseCountingThousand"/>
      <w:suff w:val="space"/>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15:restartNumberingAfterBreak="0">
    <w:nsid w:val="204F3B0A"/>
    <w:multiLevelType w:val="multilevel"/>
    <w:tmpl w:val="204F3B0A"/>
    <w:lvl w:ilvl="0">
      <w:start w:val="1"/>
      <w:numFmt w:val="chineseCountingThousand"/>
      <w:lvlText w:val="(%1)"/>
      <w:lvlJc w:val="left"/>
      <w:pPr>
        <w:ind w:left="0" w:firstLine="0"/>
      </w:pPr>
      <w:rPr>
        <w:rFonts w:hint="default"/>
      </w:rPr>
    </w:lvl>
    <w:lvl w:ilvl="1">
      <w:start w:val="1"/>
      <w:numFmt w:val="chineseCountingThousand"/>
      <w:suff w:val="space"/>
      <w:lvlText w:val="(%2)"/>
      <w:lvlJc w:val="left"/>
      <w:pPr>
        <w:ind w:left="0" w:firstLine="0"/>
      </w:pPr>
      <w:rPr>
        <w:rFonts w:ascii="宋体" w:eastAsia="宋体" w:hAnsi="宋体" w:hint="eastAsia"/>
      </w:rPr>
    </w:lvl>
    <w:lvl w:ilvl="2">
      <w:start w:val="1"/>
      <w:numFmt w:val="chineseCountingThousand"/>
      <w:suff w:val="nothing"/>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5" w15:restartNumberingAfterBreak="0">
    <w:nsid w:val="2121200C"/>
    <w:multiLevelType w:val="multilevel"/>
    <w:tmpl w:val="212120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15:restartNumberingAfterBreak="0">
    <w:nsid w:val="217F3B1B"/>
    <w:multiLevelType w:val="multilevel"/>
    <w:tmpl w:val="217F3B1B"/>
    <w:lvl w:ilvl="0">
      <w:start w:val="1"/>
      <w:numFmt w:val="decimal"/>
      <w:lvlText w:val="(%1)."/>
      <w:lvlJc w:val="left"/>
      <w:pPr>
        <w:ind w:left="0" w:firstLine="0"/>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21A7388C"/>
    <w:multiLevelType w:val="multilevel"/>
    <w:tmpl w:val="21A7388C"/>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15:restartNumberingAfterBreak="0">
    <w:nsid w:val="228F0FB9"/>
    <w:multiLevelType w:val="multilevel"/>
    <w:tmpl w:val="228F0FB9"/>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246C0E3A"/>
    <w:multiLevelType w:val="multilevel"/>
    <w:tmpl w:val="246C0E3A"/>
    <w:lvl w:ilvl="0">
      <w:start w:val="1"/>
      <w:numFmt w:val="decimal"/>
      <w:lvlText w:val="(%1). "/>
      <w:lvlJc w:val="left"/>
      <w:pPr>
        <w:ind w:left="425" w:hanging="425"/>
      </w:pPr>
      <w:rPr>
        <w:rFonts w:hint="eastAsia"/>
        <w:color w:val="auto"/>
        <w:u w:val="none"/>
      </w:rPr>
    </w:lvl>
    <w:lvl w:ilvl="1">
      <w:start w:val="1"/>
      <w:numFmt w:val="chineseCountingThousand"/>
      <w:suff w:val="space"/>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15:restartNumberingAfterBreak="0">
    <w:nsid w:val="273131BF"/>
    <w:multiLevelType w:val="multilevel"/>
    <w:tmpl w:val="273131BF"/>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1" w15:restartNumberingAfterBreak="0">
    <w:nsid w:val="2AB9492A"/>
    <w:multiLevelType w:val="multilevel"/>
    <w:tmpl w:val="2AB9492A"/>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2" w15:restartNumberingAfterBreak="0">
    <w:nsid w:val="2ABA5091"/>
    <w:multiLevelType w:val="multilevel"/>
    <w:tmpl w:val="2ABA5091"/>
    <w:lvl w:ilvl="0">
      <w:start w:val="1"/>
      <w:numFmt w:val="chineseCountingThousand"/>
      <w:suff w:val="nothing"/>
      <w:lvlText w:val="%1、"/>
      <w:lvlJc w:val="left"/>
      <w:pPr>
        <w:ind w:left="450" w:hanging="45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2AF651E5"/>
    <w:multiLevelType w:val="multilevel"/>
    <w:tmpl w:val="2AF651E5"/>
    <w:lvl w:ilvl="0">
      <w:start w:val="1"/>
      <w:numFmt w:val="decimal"/>
      <w:suff w:val="nothing"/>
      <w:lvlText w:val="(%1). "/>
      <w:lvlJc w:val="left"/>
      <w:pPr>
        <w:ind w:left="420" w:hanging="420"/>
      </w:pPr>
      <w:rPr>
        <w:rFonts w:ascii="宋体" w:eastAsia="宋体" w:hAnsi="宋体"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2B081EE9"/>
    <w:multiLevelType w:val="multilevel"/>
    <w:tmpl w:val="2B081EE9"/>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15:restartNumberingAfterBreak="0">
    <w:nsid w:val="2C6C7566"/>
    <w:multiLevelType w:val="multilevel"/>
    <w:tmpl w:val="2C6C7566"/>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6" w15:restartNumberingAfterBreak="0">
    <w:nsid w:val="2C7D045A"/>
    <w:multiLevelType w:val="multilevel"/>
    <w:tmpl w:val="2C7D045A"/>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2D376212"/>
    <w:multiLevelType w:val="multilevel"/>
    <w:tmpl w:val="2D376212"/>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48" w15:restartNumberingAfterBreak="0">
    <w:nsid w:val="2D38512D"/>
    <w:multiLevelType w:val="singleLevel"/>
    <w:tmpl w:val="2D38512D"/>
    <w:lvl w:ilvl="0">
      <w:start w:val="1"/>
      <w:numFmt w:val="decimal"/>
      <w:suff w:val="nothing"/>
      <w:lvlText w:val="%1）"/>
      <w:lvlJc w:val="left"/>
    </w:lvl>
  </w:abstractNum>
  <w:abstractNum w:abstractNumId="49" w15:restartNumberingAfterBreak="0">
    <w:nsid w:val="2DE55932"/>
    <w:multiLevelType w:val="multilevel"/>
    <w:tmpl w:val="2DE55932"/>
    <w:lvl w:ilvl="0">
      <w:start w:val="1"/>
      <w:numFmt w:val="chineseCountingThousand"/>
      <w:suff w:val="nothing"/>
      <w:lvlText w:val="%1、"/>
      <w:lvlJc w:val="left"/>
      <w:pPr>
        <w:ind w:left="420" w:hanging="420"/>
      </w:pPr>
      <w:rPr>
        <w:rFonts w:hint="eastAsia"/>
        <w:b/>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304B6811"/>
    <w:multiLevelType w:val="multilevel"/>
    <w:tmpl w:val="304B6811"/>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51" w15:restartNumberingAfterBreak="0">
    <w:nsid w:val="31042AC8"/>
    <w:multiLevelType w:val="multilevel"/>
    <w:tmpl w:val="31042AC8"/>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2" w15:restartNumberingAfterBreak="0">
    <w:nsid w:val="322A2C22"/>
    <w:multiLevelType w:val="multilevel"/>
    <w:tmpl w:val="322A2C22"/>
    <w:lvl w:ilvl="0">
      <w:start w:val="1"/>
      <w:numFmt w:val="decimal"/>
      <w:lvlText w:val="%1、"/>
      <w:lvlJc w:val="left"/>
      <w:pPr>
        <w:ind w:left="420" w:hanging="420"/>
      </w:pPr>
      <w:rPr>
        <w:rFonts w:asciiTheme="majorEastAsia" w:eastAsia="宋体" w:hAnsiTheme="maj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326F7C0F"/>
    <w:multiLevelType w:val="multilevel"/>
    <w:tmpl w:val="326F7C0F"/>
    <w:lvl w:ilvl="0">
      <w:start w:val="1"/>
      <w:numFmt w:val="decimal"/>
      <w:suff w:val="nothing"/>
      <w:lvlText w:val="(%1)."/>
      <w:lvlJc w:val="left"/>
      <w:pPr>
        <w:ind w:left="420" w:hanging="420"/>
      </w:pPr>
      <w:rPr>
        <w:rFonts w:asciiTheme="minorEastAsia" w:eastAsia="宋体" w:hAnsiTheme="minorEastAsia"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15:restartNumberingAfterBreak="0">
    <w:nsid w:val="3438131C"/>
    <w:multiLevelType w:val="multilevel"/>
    <w:tmpl w:val="3438131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15:restartNumberingAfterBreak="0">
    <w:nsid w:val="346B3069"/>
    <w:multiLevelType w:val="multilevel"/>
    <w:tmpl w:val="346B3069"/>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56" w15:restartNumberingAfterBreak="0">
    <w:nsid w:val="352D39A8"/>
    <w:multiLevelType w:val="multilevel"/>
    <w:tmpl w:val="352D39A8"/>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37C3610E"/>
    <w:multiLevelType w:val="multilevel"/>
    <w:tmpl w:val="37C3610E"/>
    <w:lvl w:ilvl="0">
      <w:start w:val="1"/>
      <w:numFmt w:val="chineseCountingThousand"/>
      <w:lvlText w:val="%1、"/>
      <w:lvlJc w:val="left"/>
      <w:pPr>
        <w:ind w:left="0" w:firstLine="0"/>
      </w:pPr>
      <w:rPr>
        <w:rFonts w:hint="default"/>
        <w:b/>
        <w:i w:val="0"/>
        <w:color w:val="auto"/>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15:restartNumberingAfterBreak="0">
    <w:nsid w:val="391941CF"/>
    <w:multiLevelType w:val="multilevel"/>
    <w:tmpl w:val="391941CF"/>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59" w15:restartNumberingAfterBreak="0">
    <w:nsid w:val="3A0E649E"/>
    <w:multiLevelType w:val="multilevel"/>
    <w:tmpl w:val="3A0E649E"/>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0" w15:restartNumberingAfterBreak="0">
    <w:nsid w:val="3D2B6D0A"/>
    <w:multiLevelType w:val="multilevel"/>
    <w:tmpl w:val="3D2B6D0A"/>
    <w:lvl w:ilvl="0">
      <w:start w:val="1"/>
      <w:numFmt w:val="chineseCountingThousand"/>
      <w:suff w:val="space"/>
      <w:lvlText w:val="(%1)"/>
      <w:lvlJc w:val="left"/>
      <w:pPr>
        <w:ind w:left="420" w:hanging="420"/>
      </w:pPr>
      <w:rPr>
        <w:rFonts w:ascii="宋体" w:eastAsia="宋体" w:hAnsi="宋体" w:hint="eastAsia"/>
      </w:rPr>
    </w:lvl>
    <w:lvl w:ilvl="1">
      <w:start w:val="1"/>
      <w:numFmt w:val="chineseCountingThousand"/>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3D620F38"/>
    <w:multiLevelType w:val="multilevel"/>
    <w:tmpl w:val="3D620F38"/>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3DC039A2"/>
    <w:multiLevelType w:val="multilevel"/>
    <w:tmpl w:val="3DC039A2"/>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3" w15:restartNumberingAfterBreak="0">
    <w:nsid w:val="3EA740FE"/>
    <w:multiLevelType w:val="multilevel"/>
    <w:tmpl w:val="3EA740F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15:restartNumberingAfterBreak="0">
    <w:nsid w:val="3F1C5616"/>
    <w:multiLevelType w:val="multilevel"/>
    <w:tmpl w:val="3F1C5616"/>
    <w:lvl w:ilvl="0">
      <w:start w:val="1"/>
      <w:numFmt w:val="japaneseCounting"/>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15:restartNumberingAfterBreak="0">
    <w:nsid w:val="3FAB46A5"/>
    <w:multiLevelType w:val="multilevel"/>
    <w:tmpl w:val="3FAB46A5"/>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6" w15:restartNumberingAfterBreak="0">
    <w:nsid w:val="401A73B0"/>
    <w:multiLevelType w:val="multilevel"/>
    <w:tmpl w:val="401A73B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15:restartNumberingAfterBreak="0">
    <w:nsid w:val="40973487"/>
    <w:multiLevelType w:val="multilevel"/>
    <w:tmpl w:val="40973487"/>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8" w15:restartNumberingAfterBreak="0">
    <w:nsid w:val="414422AC"/>
    <w:multiLevelType w:val="multilevel"/>
    <w:tmpl w:val="414422AC"/>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69" w15:restartNumberingAfterBreak="0">
    <w:nsid w:val="41CF53AC"/>
    <w:multiLevelType w:val="multilevel"/>
    <w:tmpl w:val="41CF53AC"/>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70" w15:restartNumberingAfterBreak="0">
    <w:nsid w:val="42F33200"/>
    <w:multiLevelType w:val="multilevel"/>
    <w:tmpl w:val="42F33200"/>
    <w:lvl w:ilvl="0">
      <w:start w:val="1"/>
      <w:numFmt w:val="decimal"/>
      <w:suff w:val="nothing"/>
      <w:lvlText w:val="%1、 "/>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1" w15:restartNumberingAfterBreak="0">
    <w:nsid w:val="44360F32"/>
    <w:multiLevelType w:val="multilevel"/>
    <w:tmpl w:val="44360F3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15:restartNumberingAfterBreak="0">
    <w:nsid w:val="452D24C2"/>
    <w:multiLevelType w:val="multilevel"/>
    <w:tmpl w:val="452D24C2"/>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15:restartNumberingAfterBreak="0">
    <w:nsid w:val="453722AE"/>
    <w:multiLevelType w:val="multilevel"/>
    <w:tmpl w:val="453722AE"/>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4" w15:restartNumberingAfterBreak="0">
    <w:nsid w:val="45D95701"/>
    <w:multiLevelType w:val="multilevel"/>
    <w:tmpl w:val="45D9570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5" w15:restartNumberingAfterBreak="0">
    <w:nsid w:val="45EE0604"/>
    <w:multiLevelType w:val="multilevel"/>
    <w:tmpl w:val="45EE0604"/>
    <w:lvl w:ilvl="0">
      <w:start w:val="1"/>
      <w:numFmt w:val="japaneseCounting"/>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76" w15:restartNumberingAfterBreak="0">
    <w:nsid w:val="463E0B3C"/>
    <w:multiLevelType w:val="multilevel"/>
    <w:tmpl w:val="463E0B3C"/>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7" w15:restartNumberingAfterBreak="0">
    <w:nsid w:val="46E20981"/>
    <w:multiLevelType w:val="multilevel"/>
    <w:tmpl w:val="46E2098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8" w15:restartNumberingAfterBreak="0">
    <w:nsid w:val="49C71EB0"/>
    <w:multiLevelType w:val="multilevel"/>
    <w:tmpl w:val="49C71EB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9" w15:restartNumberingAfterBreak="0">
    <w:nsid w:val="4A125FEF"/>
    <w:multiLevelType w:val="multilevel"/>
    <w:tmpl w:val="4A125FEF"/>
    <w:lvl w:ilvl="0">
      <w:start w:val="1"/>
      <w:numFmt w:val="decimal"/>
      <w:lvlText w:val="%1、"/>
      <w:lvlJc w:val="left"/>
      <w:pPr>
        <w:ind w:left="420" w:hanging="420"/>
      </w:pPr>
      <w:rPr>
        <w:rFonts w:asciiTheme="majorEastAsia" w:eastAsia="宋体" w:hAnsiTheme="majorEastAsia"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0" w15:restartNumberingAfterBreak="0">
    <w:nsid w:val="4AC23DB8"/>
    <w:multiLevelType w:val="multilevel"/>
    <w:tmpl w:val="4AC23DB8"/>
    <w:lvl w:ilvl="0">
      <w:start w:val="1"/>
      <w:numFmt w:val="chineseCountingThousand"/>
      <w:suff w:val="space"/>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1" w15:restartNumberingAfterBreak="0">
    <w:nsid w:val="4ACD5C44"/>
    <w:multiLevelType w:val="multilevel"/>
    <w:tmpl w:val="4ACD5C44"/>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2" w15:restartNumberingAfterBreak="0">
    <w:nsid w:val="4B8A1F74"/>
    <w:multiLevelType w:val="multilevel"/>
    <w:tmpl w:val="4B8A1F7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3" w15:restartNumberingAfterBreak="0">
    <w:nsid w:val="4FF23454"/>
    <w:multiLevelType w:val="multilevel"/>
    <w:tmpl w:val="4FF23454"/>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4" w15:restartNumberingAfterBreak="0">
    <w:nsid w:val="50F33864"/>
    <w:multiLevelType w:val="multilevel"/>
    <w:tmpl w:val="50F33864"/>
    <w:lvl w:ilvl="0">
      <w:start w:val="1"/>
      <w:numFmt w:val="chineseCountingThousand"/>
      <w:lvlText w:val="(%1)"/>
      <w:lvlJc w:val="right"/>
      <w:pPr>
        <w:ind w:left="1260" w:hanging="420"/>
      </w:pPr>
      <w:rPr>
        <w:rFonts w:hint="eastAsia"/>
      </w:rPr>
    </w:lvl>
    <w:lvl w:ilvl="1">
      <w:start w:val="1"/>
      <w:numFmt w:val="lowerLetter"/>
      <w:lvlText w:val="%2)"/>
      <w:lvlJc w:val="left"/>
      <w:pPr>
        <w:ind w:left="840" w:hanging="420"/>
      </w:pPr>
    </w:lvl>
    <w:lvl w:ilvl="2">
      <w:start w:val="1"/>
      <w:numFmt w:val="chineseCountingThousand"/>
      <w:lvlText w:val="(%3)"/>
      <w:lvlJc w:val="right"/>
      <w:pPr>
        <w:ind w:left="420" w:hanging="420"/>
      </w:pPr>
      <w:rPr>
        <w:rFonts w:hint="eastAsia"/>
      </w:rPr>
    </w:lvl>
    <w:lvl w:ilvl="3">
      <w:start w:val="1"/>
      <w:numFmt w:val="chineseCountingThousand"/>
      <w:suff w:val="nothing"/>
      <w:lvlText w:val="(%4)"/>
      <w:lvlJc w:val="left"/>
      <w:pPr>
        <w:ind w:left="0" w:firstLine="0"/>
      </w:pPr>
      <w:rPr>
        <w:rFonts w:ascii="宋体" w:eastAsia="宋体" w:hAnsi="宋体" w:hint="eastAsia"/>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5" w15:restartNumberingAfterBreak="0">
    <w:nsid w:val="511727FE"/>
    <w:multiLevelType w:val="multilevel"/>
    <w:tmpl w:val="511727F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6" w15:restartNumberingAfterBreak="0">
    <w:nsid w:val="51265863"/>
    <w:multiLevelType w:val="multilevel"/>
    <w:tmpl w:val="51265863"/>
    <w:lvl w:ilvl="0">
      <w:start w:val="1"/>
      <w:numFmt w:val="chineseCountingThousand"/>
      <w:lvlText w:val="(%1)"/>
      <w:lvlJc w:val="left"/>
      <w:pPr>
        <w:ind w:left="420" w:hanging="420"/>
      </w:pPr>
    </w:lvl>
    <w:lvl w:ilvl="1">
      <w:start w:val="1"/>
      <w:numFmt w:val="decimal"/>
      <w:lvlText w:val="(%2). "/>
      <w:lvlJc w:val="left"/>
      <w:pPr>
        <w:ind w:left="840" w:hanging="420"/>
      </w:pPr>
      <w:rPr>
        <w:rFonts w:ascii="宋体" w:eastAsia="宋体" w:hAnsi="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7" w15:restartNumberingAfterBreak="0">
    <w:nsid w:val="520C604D"/>
    <w:multiLevelType w:val="multilevel"/>
    <w:tmpl w:val="520C604D"/>
    <w:lvl w:ilvl="0">
      <w:start w:val="1"/>
      <w:numFmt w:val="decimal"/>
      <w:suff w:val="space"/>
      <w:lvlText w:val="(%1)."/>
      <w:lvlJc w:val="left"/>
      <w:pPr>
        <w:ind w:left="0" w:firstLine="0"/>
      </w:pPr>
      <w:rPr>
        <w:rFonts w:asciiTheme="minorEastAsia" w:eastAsia="宋体" w:hAnsiTheme="minorEastAsia"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15:restartNumberingAfterBreak="0">
    <w:nsid w:val="531A49E7"/>
    <w:multiLevelType w:val="multilevel"/>
    <w:tmpl w:val="531A49E7"/>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9" w15:restartNumberingAfterBreak="0">
    <w:nsid w:val="542027AB"/>
    <w:multiLevelType w:val="multilevel"/>
    <w:tmpl w:val="542027AB"/>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0" w15:restartNumberingAfterBreak="0">
    <w:nsid w:val="573E2AF3"/>
    <w:multiLevelType w:val="multilevel"/>
    <w:tmpl w:val="573E2AF3"/>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91" w15:restartNumberingAfterBreak="0">
    <w:nsid w:val="57D70C03"/>
    <w:multiLevelType w:val="multilevel"/>
    <w:tmpl w:val="57D70C03"/>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2" w15:restartNumberingAfterBreak="0">
    <w:nsid w:val="58C25FCB"/>
    <w:multiLevelType w:val="multilevel"/>
    <w:tmpl w:val="58C25FCB"/>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3" w15:restartNumberingAfterBreak="0">
    <w:nsid w:val="59862246"/>
    <w:multiLevelType w:val="multilevel"/>
    <w:tmpl w:val="5986224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4" w15:restartNumberingAfterBreak="0">
    <w:nsid w:val="59EF7C0F"/>
    <w:multiLevelType w:val="multilevel"/>
    <w:tmpl w:val="59EF7C0F"/>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5" w15:restartNumberingAfterBreak="0">
    <w:nsid w:val="5BDC5A30"/>
    <w:multiLevelType w:val="multilevel"/>
    <w:tmpl w:val="5BDC5A3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6" w15:restartNumberingAfterBreak="0">
    <w:nsid w:val="5C673432"/>
    <w:multiLevelType w:val="multilevel"/>
    <w:tmpl w:val="5C67343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7" w15:restartNumberingAfterBreak="0">
    <w:nsid w:val="5CA85E2E"/>
    <w:multiLevelType w:val="multilevel"/>
    <w:tmpl w:val="5CA85E2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15:restartNumberingAfterBreak="0">
    <w:nsid w:val="5CED316C"/>
    <w:multiLevelType w:val="multilevel"/>
    <w:tmpl w:val="5CED316C"/>
    <w:lvl w:ilvl="0">
      <w:start w:val="1"/>
      <w:numFmt w:val="decimal"/>
      <w:suff w:val="space"/>
      <w:lvlText w:val="(%1)."/>
      <w:lvlJc w:val="left"/>
      <w:pPr>
        <w:ind w:left="360" w:hanging="36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9" w15:restartNumberingAfterBreak="0">
    <w:nsid w:val="5D107713"/>
    <w:multiLevelType w:val="multilevel"/>
    <w:tmpl w:val="5D107713"/>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0" w15:restartNumberingAfterBreak="0">
    <w:nsid w:val="5D9A1F7E"/>
    <w:multiLevelType w:val="multilevel"/>
    <w:tmpl w:val="5D9A1F7E"/>
    <w:lvl w:ilvl="0">
      <w:start w:val="1"/>
      <w:numFmt w:val="decimal"/>
      <w:lvlText w:val="%1、"/>
      <w:lvlJc w:val="left"/>
      <w:pPr>
        <w:ind w:left="440" w:hanging="440"/>
      </w:pPr>
      <w:rPr>
        <w:rFonts w:asciiTheme="majorEastAsia" w:eastAsia="宋体"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1" w15:restartNumberingAfterBreak="0">
    <w:nsid w:val="5DB24638"/>
    <w:multiLevelType w:val="multilevel"/>
    <w:tmpl w:val="5DB2463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2" w15:restartNumberingAfterBreak="0">
    <w:nsid w:val="5DD2799E"/>
    <w:multiLevelType w:val="multilevel"/>
    <w:tmpl w:val="5DD2799E"/>
    <w:lvl w:ilvl="0">
      <w:start w:val="1"/>
      <w:numFmt w:val="decimal"/>
      <w:lvlText w:val="%1、 "/>
      <w:lvlJc w:val="left"/>
      <w:pPr>
        <w:ind w:left="440" w:hanging="440"/>
      </w:pPr>
      <w:rPr>
        <w:rFonts w:ascii="宋体" w:eastAsia="宋体" w:hAnsi="宋体" w:hint="eastAsia"/>
        <w:b/>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3" w15:restartNumberingAfterBreak="0">
    <w:nsid w:val="5DED1C0B"/>
    <w:multiLevelType w:val="multilevel"/>
    <w:tmpl w:val="5DED1C0B"/>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04" w15:restartNumberingAfterBreak="0">
    <w:nsid w:val="5F405219"/>
    <w:multiLevelType w:val="multilevel"/>
    <w:tmpl w:val="5F405219"/>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5" w15:restartNumberingAfterBreak="0">
    <w:nsid w:val="60421A59"/>
    <w:multiLevelType w:val="multilevel"/>
    <w:tmpl w:val="60421A59"/>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6" w15:restartNumberingAfterBreak="0">
    <w:nsid w:val="63C5513C"/>
    <w:multiLevelType w:val="multilevel"/>
    <w:tmpl w:val="63C5513C"/>
    <w:lvl w:ilvl="0">
      <w:start w:val="1"/>
      <w:numFmt w:val="decimal"/>
      <w:lvlText w:val="(%1)."/>
      <w:lvlJc w:val="left"/>
      <w:pPr>
        <w:ind w:left="440" w:hanging="440"/>
      </w:pPr>
      <w:rPr>
        <w:rFonts w:asciiTheme="majorEastAsia" w:eastAsiaTheme="majorEastAsia" w:hAnsiTheme="majorEastAsia"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7" w15:restartNumberingAfterBreak="0">
    <w:nsid w:val="650F40B7"/>
    <w:multiLevelType w:val="multilevel"/>
    <w:tmpl w:val="650F40B7"/>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8" w15:restartNumberingAfterBreak="0">
    <w:nsid w:val="66670E47"/>
    <w:multiLevelType w:val="singleLevel"/>
    <w:tmpl w:val="66670E47"/>
    <w:lvl w:ilvl="0">
      <w:start w:val="2"/>
      <w:numFmt w:val="decimal"/>
      <w:suff w:val="space"/>
      <w:lvlText w:val="%1."/>
      <w:lvlJc w:val="left"/>
      <w:rPr>
        <w:rFonts w:hint="default"/>
        <w:b/>
        <w:bCs/>
      </w:rPr>
    </w:lvl>
  </w:abstractNum>
  <w:abstractNum w:abstractNumId="109" w15:restartNumberingAfterBreak="0">
    <w:nsid w:val="67183EE7"/>
    <w:multiLevelType w:val="multilevel"/>
    <w:tmpl w:val="67183EE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0" w15:restartNumberingAfterBreak="0">
    <w:nsid w:val="69535DE9"/>
    <w:multiLevelType w:val="multilevel"/>
    <w:tmpl w:val="69535DE9"/>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1" w15:restartNumberingAfterBreak="0">
    <w:nsid w:val="6B96254F"/>
    <w:multiLevelType w:val="multilevel"/>
    <w:tmpl w:val="6B96254F"/>
    <w:lvl w:ilvl="0">
      <w:start w:val="1"/>
      <w:numFmt w:val="decimal"/>
      <w:lvlText w:val="%1、"/>
      <w:lvlJc w:val="left"/>
      <w:pPr>
        <w:ind w:left="425" w:hanging="425"/>
      </w:pPr>
      <w:rPr>
        <w:rFonts w:asciiTheme="majorEastAsia" w:eastAsia="宋体" w:hAnsiTheme="maj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2" w15:restartNumberingAfterBreak="0">
    <w:nsid w:val="6E97785F"/>
    <w:multiLevelType w:val="multilevel"/>
    <w:tmpl w:val="6E97785F"/>
    <w:lvl w:ilvl="0">
      <w:start w:val="1"/>
      <w:numFmt w:val="decimal"/>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3" w15:restartNumberingAfterBreak="0">
    <w:nsid w:val="6F111C3A"/>
    <w:multiLevelType w:val="multilevel"/>
    <w:tmpl w:val="6F111C3A"/>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4" w15:restartNumberingAfterBreak="0">
    <w:nsid w:val="700C4404"/>
    <w:multiLevelType w:val="multilevel"/>
    <w:tmpl w:val="700C4404"/>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15" w15:restartNumberingAfterBreak="0">
    <w:nsid w:val="701D5786"/>
    <w:multiLevelType w:val="multilevel"/>
    <w:tmpl w:val="701D5786"/>
    <w:lvl w:ilvl="0">
      <w:start w:val="1"/>
      <w:numFmt w:val="decimal"/>
      <w:lvlText w:val="%1、 "/>
      <w:lvlJc w:val="left"/>
      <w:pPr>
        <w:ind w:left="425" w:hanging="425"/>
      </w:pPr>
      <w:rPr>
        <w:rFonts w:ascii="宋体" w:eastAsia="宋体" w:hAnsi="宋体" w:hint="eastAsia"/>
        <w:b/>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6" w15:restartNumberingAfterBreak="0">
    <w:nsid w:val="70A4034A"/>
    <w:multiLevelType w:val="multilevel"/>
    <w:tmpl w:val="70A4034A"/>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7" w15:restartNumberingAfterBreak="0">
    <w:nsid w:val="70E42A22"/>
    <w:multiLevelType w:val="multilevel"/>
    <w:tmpl w:val="70E42A2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8" w15:restartNumberingAfterBreak="0">
    <w:nsid w:val="71052507"/>
    <w:multiLevelType w:val="multilevel"/>
    <w:tmpl w:val="71052507"/>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19" w15:restartNumberingAfterBreak="0">
    <w:nsid w:val="71D36D86"/>
    <w:multiLevelType w:val="multilevel"/>
    <w:tmpl w:val="71D36D86"/>
    <w:lvl w:ilvl="0">
      <w:start w:val="1"/>
      <w:numFmt w:val="decimal"/>
      <w:suff w:val="space"/>
      <w:lvlText w:val="(%1)."/>
      <w:lvlJc w:val="left"/>
      <w:pPr>
        <w:ind w:left="360" w:hanging="36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0" w15:restartNumberingAfterBreak="0">
    <w:nsid w:val="73FB28AC"/>
    <w:multiLevelType w:val="multilevel"/>
    <w:tmpl w:val="73FB28AC"/>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1" w15:restartNumberingAfterBreak="0">
    <w:nsid w:val="7405377B"/>
    <w:multiLevelType w:val="multilevel"/>
    <w:tmpl w:val="7405377B"/>
    <w:lvl w:ilvl="0">
      <w:start w:val="1"/>
      <w:numFmt w:val="chineseCountingThousand"/>
      <w:suff w:val="space"/>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2" w15:restartNumberingAfterBreak="0">
    <w:nsid w:val="75482B44"/>
    <w:multiLevelType w:val="multilevel"/>
    <w:tmpl w:val="75482B44"/>
    <w:lvl w:ilvl="0">
      <w:start w:val="1"/>
      <w:numFmt w:val="decimal"/>
      <w:suff w:val="nothing"/>
      <w:lvlText w:val="(%1). "/>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3" w15:restartNumberingAfterBreak="0">
    <w:nsid w:val="76B4167B"/>
    <w:multiLevelType w:val="multilevel"/>
    <w:tmpl w:val="76B4167B"/>
    <w:lvl w:ilvl="0">
      <w:start w:val="1"/>
      <w:numFmt w:val="decimal"/>
      <w:lvlText w:val="%1、"/>
      <w:lvlJc w:val="left"/>
      <w:pPr>
        <w:ind w:left="420" w:hanging="420"/>
      </w:pPr>
      <w:rPr>
        <w:rFonts w:ascii="宋体" w:eastAsia="宋体" w:hAnsi="宋体"/>
        <w:b/>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4" w15:restartNumberingAfterBreak="0">
    <w:nsid w:val="76DD5C82"/>
    <w:multiLevelType w:val="multilevel"/>
    <w:tmpl w:val="76DD5C82"/>
    <w:lvl w:ilvl="0">
      <w:start w:val="1"/>
      <w:numFmt w:val="decimal"/>
      <w:suff w:val="nothing"/>
      <w:lvlText w:val="(%1)."/>
      <w:lvlJc w:val="left"/>
      <w:pPr>
        <w:ind w:left="420" w:hanging="420"/>
      </w:pPr>
      <w:rPr>
        <w:rFonts w:ascii="宋体" w:eastAsia="宋体" w:hAnsi="宋体"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5" w15:restartNumberingAfterBreak="0">
    <w:nsid w:val="77111D1D"/>
    <w:multiLevelType w:val="multilevel"/>
    <w:tmpl w:val="77111D1D"/>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6" w15:restartNumberingAfterBreak="0">
    <w:nsid w:val="77194021"/>
    <w:multiLevelType w:val="multilevel"/>
    <w:tmpl w:val="7719402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7" w15:restartNumberingAfterBreak="0">
    <w:nsid w:val="772B7E65"/>
    <w:multiLevelType w:val="multilevel"/>
    <w:tmpl w:val="772B7E65"/>
    <w:lvl w:ilvl="0">
      <w:start w:val="1"/>
      <w:numFmt w:val="japaneseCounting"/>
      <w:lvlText w:val="(%1)"/>
      <w:lvlJc w:val="left"/>
      <w:pPr>
        <w:ind w:left="465" w:hanging="4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8" w15:restartNumberingAfterBreak="0">
    <w:nsid w:val="787035DE"/>
    <w:multiLevelType w:val="multilevel"/>
    <w:tmpl w:val="787035D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9" w15:restartNumberingAfterBreak="0">
    <w:nsid w:val="7A1266A0"/>
    <w:multiLevelType w:val="multilevel"/>
    <w:tmpl w:val="7A1266A0"/>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0" w15:restartNumberingAfterBreak="0">
    <w:nsid w:val="7B1E025F"/>
    <w:multiLevelType w:val="multilevel"/>
    <w:tmpl w:val="7B1E025F"/>
    <w:lvl w:ilvl="0">
      <w:start w:val="1"/>
      <w:numFmt w:val="decimal"/>
      <w:lvlText w:val="%1、"/>
      <w:lvlJc w:val="left"/>
      <w:pPr>
        <w:ind w:left="420" w:hanging="420"/>
      </w:pPr>
      <w:rPr>
        <w:rFonts w:ascii="宋体" w:eastAsia="宋体" w:hAnsi="宋体" w:hint="eastAsia"/>
      </w:rPr>
    </w:lvl>
    <w:lvl w:ilvl="1">
      <w:start w:val="1"/>
      <w:numFmt w:val="decimal"/>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1" w15:restartNumberingAfterBreak="0">
    <w:nsid w:val="7C5239AC"/>
    <w:multiLevelType w:val="multilevel"/>
    <w:tmpl w:val="7C5239AC"/>
    <w:lvl w:ilvl="0">
      <w:start w:val="1"/>
      <w:numFmt w:val="decimal"/>
      <w:suff w:val="nothing"/>
      <w:lvlText w:val="(%1)."/>
      <w:lvlJc w:val="left"/>
      <w:pPr>
        <w:ind w:left="0" w:firstLine="0"/>
      </w:pPr>
      <w:rPr>
        <w:rFonts w:asciiTheme="majorEastAsia" w:eastAsia="宋体" w:hAnsiTheme="majorEastAsia" w:hint="eastAsia"/>
      </w:rPr>
    </w:lvl>
    <w:lvl w:ilvl="1">
      <w:start w:val="1"/>
      <w:numFmt w:val="lowerLetter"/>
      <w:lvlText w:val="%2)"/>
      <w:lvlJc w:val="left"/>
      <w:pPr>
        <w:ind w:left="985" w:hanging="440"/>
      </w:pPr>
    </w:lvl>
    <w:lvl w:ilvl="2">
      <w:start w:val="1"/>
      <w:numFmt w:val="lowerRoman"/>
      <w:lvlText w:val="%3."/>
      <w:lvlJc w:val="right"/>
      <w:pPr>
        <w:ind w:left="1425" w:hanging="440"/>
      </w:pPr>
    </w:lvl>
    <w:lvl w:ilvl="3">
      <w:start w:val="1"/>
      <w:numFmt w:val="decimal"/>
      <w:lvlText w:val="%4."/>
      <w:lvlJc w:val="left"/>
      <w:pPr>
        <w:ind w:left="1865" w:hanging="440"/>
      </w:pPr>
    </w:lvl>
    <w:lvl w:ilvl="4">
      <w:start w:val="1"/>
      <w:numFmt w:val="lowerLetter"/>
      <w:lvlText w:val="%5)"/>
      <w:lvlJc w:val="left"/>
      <w:pPr>
        <w:ind w:left="2305" w:hanging="440"/>
      </w:pPr>
    </w:lvl>
    <w:lvl w:ilvl="5">
      <w:start w:val="1"/>
      <w:numFmt w:val="lowerRoman"/>
      <w:lvlText w:val="%6."/>
      <w:lvlJc w:val="right"/>
      <w:pPr>
        <w:ind w:left="2745" w:hanging="440"/>
      </w:pPr>
    </w:lvl>
    <w:lvl w:ilvl="6">
      <w:start w:val="1"/>
      <w:numFmt w:val="decimal"/>
      <w:lvlText w:val="%7."/>
      <w:lvlJc w:val="left"/>
      <w:pPr>
        <w:ind w:left="3185" w:hanging="440"/>
      </w:pPr>
    </w:lvl>
    <w:lvl w:ilvl="7">
      <w:start w:val="1"/>
      <w:numFmt w:val="lowerLetter"/>
      <w:lvlText w:val="%8)"/>
      <w:lvlJc w:val="left"/>
      <w:pPr>
        <w:ind w:left="3625" w:hanging="440"/>
      </w:pPr>
    </w:lvl>
    <w:lvl w:ilvl="8">
      <w:start w:val="1"/>
      <w:numFmt w:val="lowerRoman"/>
      <w:lvlText w:val="%9."/>
      <w:lvlJc w:val="right"/>
      <w:pPr>
        <w:ind w:left="4065" w:hanging="440"/>
      </w:pPr>
    </w:lvl>
  </w:abstractNum>
  <w:abstractNum w:abstractNumId="132" w15:restartNumberingAfterBreak="0">
    <w:nsid w:val="7D07444B"/>
    <w:multiLevelType w:val="multilevel"/>
    <w:tmpl w:val="7D07444B"/>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3" w15:restartNumberingAfterBreak="0">
    <w:nsid w:val="7D1B5BAE"/>
    <w:multiLevelType w:val="multilevel"/>
    <w:tmpl w:val="7D1B5BA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4" w15:restartNumberingAfterBreak="0">
    <w:nsid w:val="7DDF1B1D"/>
    <w:multiLevelType w:val="multilevel"/>
    <w:tmpl w:val="7DDF1B1D"/>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5" w15:restartNumberingAfterBreak="0">
    <w:nsid w:val="7E7E7E18"/>
    <w:multiLevelType w:val="multilevel"/>
    <w:tmpl w:val="7E7E7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6" w15:restartNumberingAfterBreak="0">
    <w:nsid w:val="7FCC199E"/>
    <w:multiLevelType w:val="multilevel"/>
    <w:tmpl w:val="7FCC199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1390180519">
    <w:abstractNumId w:val="57"/>
  </w:num>
  <w:num w:numId="2" w16cid:durableId="233054933">
    <w:abstractNumId w:val="29"/>
  </w:num>
  <w:num w:numId="3" w16cid:durableId="2141990064">
    <w:abstractNumId w:val="8"/>
  </w:num>
  <w:num w:numId="4" w16cid:durableId="1972787745">
    <w:abstractNumId w:val="39"/>
  </w:num>
  <w:num w:numId="5" w16cid:durableId="1148933632">
    <w:abstractNumId w:val="34"/>
  </w:num>
  <w:num w:numId="6" w16cid:durableId="128129333">
    <w:abstractNumId w:val="86"/>
  </w:num>
  <w:num w:numId="7" w16cid:durableId="1976331374">
    <w:abstractNumId w:val="49"/>
  </w:num>
  <w:num w:numId="8" w16cid:durableId="314335663">
    <w:abstractNumId w:val="2"/>
  </w:num>
  <w:num w:numId="9" w16cid:durableId="1537892919">
    <w:abstractNumId w:val="108"/>
  </w:num>
  <w:num w:numId="10" w16cid:durableId="1473712660">
    <w:abstractNumId w:val="60"/>
  </w:num>
  <w:num w:numId="11" w16cid:durableId="668749998">
    <w:abstractNumId w:val="52"/>
  </w:num>
  <w:num w:numId="12" w16cid:durableId="1347712229">
    <w:abstractNumId w:val="36"/>
  </w:num>
  <w:num w:numId="13" w16cid:durableId="1037658504">
    <w:abstractNumId w:val="0"/>
  </w:num>
  <w:num w:numId="14" w16cid:durableId="1143623278">
    <w:abstractNumId w:val="53"/>
  </w:num>
  <w:num w:numId="15" w16cid:durableId="1054156964">
    <w:abstractNumId w:val="28"/>
  </w:num>
  <w:num w:numId="16" w16cid:durableId="1893156255">
    <w:abstractNumId w:val="100"/>
  </w:num>
  <w:num w:numId="17" w16cid:durableId="1155992169">
    <w:abstractNumId w:val="84"/>
  </w:num>
  <w:num w:numId="18" w16cid:durableId="585305156">
    <w:abstractNumId w:val="15"/>
  </w:num>
  <w:num w:numId="19" w16cid:durableId="1729064051">
    <w:abstractNumId w:val="1"/>
  </w:num>
  <w:num w:numId="20" w16cid:durableId="1389262229">
    <w:abstractNumId w:val="94"/>
  </w:num>
  <w:num w:numId="21" w16cid:durableId="1789547763">
    <w:abstractNumId w:val="64"/>
  </w:num>
  <w:num w:numId="22" w16cid:durableId="567306078">
    <w:abstractNumId w:val="59"/>
  </w:num>
  <w:num w:numId="23" w16cid:durableId="281352676">
    <w:abstractNumId w:val="76"/>
  </w:num>
  <w:num w:numId="24" w16cid:durableId="721252856">
    <w:abstractNumId w:val="75"/>
  </w:num>
  <w:num w:numId="25" w16cid:durableId="918094769">
    <w:abstractNumId w:val="27"/>
  </w:num>
  <w:num w:numId="26" w16cid:durableId="1746104047">
    <w:abstractNumId w:val="23"/>
  </w:num>
  <w:num w:numId="27" w16cid:durableId="1170292978">
    <w:abstractNumId w:val="41"/>
  </w:num>
  <w:num w:numId="28" w16cid:durableId="344988358">
    <w:abstractNumId w:val="12"/>
  </w:num>
  <w:num w:numId="29" w16cid:durableId="1913612969">
    <w:abstractNumId w:val="51"/>
  </w:num>
  <w:num w:numId="30" w16cid:durableId="2110275157">
    <w:abstractNumId w:val="33"/>
  </w:num>
  <w:num w:numId="31" w16cid:durableId="939917420">
    <w:abstractNumId w:val="116"/>
  </w:num>
  <w:num w:numId="32" w16cid:durableId="2054847049">
    <w:abstractNumId w:val="6"/>
  </w:num>
  <w:num w:numId="33" w16cid:durableId="1784374486">
    <w:abstractNumId w:val="74"/>
  </w:num>
  <w:num w:numId="34" w16cid:durableId="300968410">
    <w:abstractNumId w:val="130"/>
  </w:num>
  <w:num w:numId="35" w16cid:durableId="1935936613">
    <w:abstractNumId w:val="89"/>
  </w:num>
  <w:num w:numId="36" w16cid:durableId="473376126">
    <w:abstractNumId w:val="61"/>
  </w:num>
  <w:num w:numId="37" w16cid:durableId="1781292250">
    <w:abstractNumId w:val="38"/>
  </w:num>
  <w:num w:numId="38" w16cid:durableId="335309713">
    <w:abstractNumId w:val="80"/>
  </w:num>
  <w:num w:numId="39" w16cid:durableId="311373346">
    <w:abstractNumId w:val="79"/>
  </w:num>
  <w:num w:numId="40" w16cid:durableId="62459836">
    <w:abstractNumId w:val="111"/>
  </w:num>
  <w:num w:numId="41" w16cid:durableId="1688947833">
    <w:abstractNumId w:val="87"/>
  </w:num>
  <w:num w:numId="42" w16cid:durableId="814222575">
    <w:abstractNumId w:val="9"/>
  </w:num>
  <w:num w:numId="43" w16cid:durableId="423310020">
    <w:abstractNumId w:val="127"/>
  </w:num>
  <w:num w:numId="44" w16cid:durableId="103497102">
    <w:abstractNumId w:val="92"/>
  </w:num>
  <w:num w:numId="45" w16cid:durableId="819469065">
    <w:abstractNumId w:val="109"/>
  </w:num>
  <w:num w:numId="46" w16cid:durableId="941300465">
    <w:abstractNumId w:val="42"/>
  </w:num>
  <w:num w:numId="47" w16cid:durableId="1369985187">
    <w:abstractNumId w:val="117"/>
  </w:num>
  <w:num w:numId="48" w16cid:durableId="1903563493">
    <w:abstractNumId w:val="96"/>
  </w:num>
  <w:num w:numId="49" w16cid:durableId="390613422">
    <w:abstractNumId w:val="37"/>
  </w:num>
  <w:num w:numId="50" w16cid:durableId="1803036488">
    <w:abstractNumId w:val="20"/>
  </w:num>
  <w:num w:numId="51" w16cid:durableId="1779568732">
    <w:abstractNumId w:val="121"/>
  </w:num>
  <w:num w:numId="52" w16cid:durableId="1864857692">
    <w:abstractNumId w:val="30"/>
  </w:num>
  <w:num w:numId="53" w16cid:durableId="505822422">
    <w:abstractNumId w:val="72"/>
  </w:num>
  <w:num w:numId="54" w16cid:durableId="817109293">
    <w:abstractNumId w:val="24"/>
  </w:num>
  <w:num w:numId="55" w16cid:durableId="627662488">
    <w:abstractNumId w:val="4"/>
  </w:num>
  <w:num w:numId="56" w16cid:durableId="1172449443">
    <w:abstractNumId w:val="125"/>
  </w:num>
  <w:num w:numId="57" w16cid:durableId="1467971447">
    <w:abstractNumId w:val="70"/>
  </w:num>
  <w:num w:numId="58" w16cid:durableId="976255057">
    <w:abstractNumId w:val="62"/>
  </w:num>
  <w:num w:numId="59" w16cid:durableId="465777340">
    <w:abstractNumId w:val="5"/>
  </w:num>
  <w:num w:numId="60" w16cid:durableId="829635342">
    <w:abstractNumId w:val="48"/>
  </w:num>
  <w:num w:numId="61" w16cid:durableId="2100632705">
    <w:abstractNumId w:val="35"/>
  </w:num>
  <w:num w:numId="62" w16cid:durableId="248542601">
    <w:abstractNumId w:val="113"/>
  </w:num>
  <w:num w:numId="63" w16cid:durableId="1427379719">
    <w:abstractNumId w:val="22"/>
  </w:num>
  <w:num w:numId="64" w16cid:durableId="673075960">
    <w:abstractNumId w:val="32"/>
  </w:num>
  <w:num w:numId="65" w16cid:durableId="156043875">
    <w:abstractNumId w:val="115"/>
  </w:num>
  <w:num w:numId="66" w16cid:durableId="1665207157">
    <w:abstractNumId w:val="123"/>
  </w:num>
  <w:num w:numId="67" w16cid:durableId="312149318">
    <w:abstractNumId w:val="97"/>
  </w:num>
  <w:num w:numId="68" w16cid:durableId="877816252">
    <w:abstractNumId w:val="21"/>
  </w:num>
  <w:num w:numId="69" w16cid:durableId="536115492">
    <w:abstractNumId w:val="126"/>
  </w:num>
  <w:num w:numId="70" w16cid:durableId="897789805">
    <w:abstractNumId w:val="106"/>
  </w:num>
  <w:num w:numId="71" w16cid:durableId="1048801906">
    <w:abstractNumId w:val="77"/>
  </w:num>
  <w:num w:numId="72" w16cid:durableId="1183930913">
    <w:abstractNumId w:val="50"/>
  </w:num>
  <w:num w:numId="73" w16cid:durableId="172913785">
    <w:abstractNumId w:val="131"/>
  </w:num>
  <w:num w:numId="74" w16cid:durableId="313681528">
    <w:abstractNumId w:val="47"/>
  </w:num>
  <w:num w:numId="75" w16cid:durableId="1428885736">
    <w:abstractNumId w:val="66"/>
  </w:num>
  <w:num w:numId="76" w16cid:durableId="1601066423">
    <w:abstractNumId w:val="135"/>
  </w:num>
  <w:num w:numId="77" w16cid:durableId="1781145952">
    <w:abstractNumId w:val="136"/>
  </w:num>
  <w:num w:numId="78" w16cid:durableId="941255344">
    <w:abstractNumId w:val="40"/>
  </w:num>
  <w:num w:numId="79" w16cid:durableId="57755660">
    <w:abstractNumId w:val="104"/>
  </w:num>
  <w:num w:numId="80" w16cid:durableId="1467966398">
    <w:abstractNumId w:val="17"/>
  </w:num>
  <w:num w:numId="81" w16cid:durableId="1720275419">
    <w:abstractNumId w:val="55"/>
  </w:num>
  <w:num w:numId="82" w16cid:durableId="949969009">
    <w:abstractNumId w:val="103"/>
  </w:num>
  <w:num w:numId="83" w16cid:durableId="2125687477">
    <w:abstractNumId w:val="68"/>
  </w:num>
  <w:num w:numId="84" w16cid:durableId="1949508983">
    <w:abstractNumId w:val="95"/>
  </w:num>
  <w:num w:numId="85" w16cid:durableId="1423183841">
    <w:abstractNumId w:val="107"/>
  </w:num>
  <w:num w:numId="86" w16cid:durableId="1597133394">
    <w:abstractNumId w:val="13"/>
  </w:num>
  <w:num w:numId="87" w16cid:durableId="1723558349">
    <w:abstractNumId w:val="78"/>
  </w:num>
  <w:num w:numId="88" w16cid:durableId="1816993642">
    <w:abstractNumId w:val="71"/>
  </w:num>
  <w:num w:numId="89" w16cid:durableId="1241676317">
    <w:abstractNumId w:val="128"/>
  </w:num>
  <w:num w:numId="90" w16cid:durableId="504981231">
    <w:abstractNumId w:val="31"/>
  </w:num>
  <w:num w:numId="91" w16cid:durableId="493028871">
    <w:abstractNumId w:val="81"/>
  </w:num>
  <w:num w:numId="92" w16cid:durableId="1289748769">
    <w:abstractNumId w:val="133"/>
  </w:num>
  <w:num w:numId="93" w16cid:durableId="1377435926">
    <w:abstractNumId w:val="43"/>
  </w:num>
  <w:num w:numId="94" w16cid:durableId="735395310">
    <w:abstractNumId w:val="132"/>
  </w:num>
  <w:num w:numId="95" w16cid:durableId="1931502978">
    <w:abstractNumId w:val="99"/>
  </w:num>
  <w:num w:numId="96" w16cid:durableId="1747918617">
    <w:abstractNumId w:val="26"/>
  </w:num>
  <w:num w:numId="97" w16cid:durableId="914124230">
    <w:abstractNumId w:val="134"/>
  </w:num>
  <w:num w:numId="98" w16cid:durableId="1537044221">
    <w:abstractNumId w:val="18"/>
  </w:num>
  <w:num w:numId="99" w16cid:durableId="1437870997">
    <w:abstractNumId w:val="114"/>
  </w:num>
  <w:num w:numId="100" w16cid:durableId="786973126">
    <w:abstractNumId w:val="69"/>
  </w:num>
  <w:num w:numId="101" w16cid:durableId="2018069899">
    <w:abstractNumId w:val="112"/>
  </w:num>
  <w:num w:numId="102" w16cid:durableId="2003579100">
    <w:abstractNumId w:val="83"/>
  </w:num>
  <w:num w:numId="103" w16cid:durableId="1722360812">
    <w:abstractNumId w:val="56"/>
  </w:num>
  <w:num w:numId="104" w16cid:durableId="1539321740">
    <w:abstractNumId w:val="7"/>
  </w:num>
  <w:num w:numId="105" w16cid:durableId="1441413664">
    <w:abstractNumId w:val="10"/>
  </w:num>
  <w:num w:numId="106" w16cid:durableId="1074359610">
    <w:abstractNumId w:val="11"/>
  </w:num>
  <w:num w:numId="107" w16cid:durableId="110051469">
    <w:abstractNumId w:val="124"/>
  </w:num>
  <w:num w:numId="108" w16cid:durableId="82185579">
    <w:abstractNumId w:val="19"/>
  </w:num>
  <w:num w:numId="109" w16cid:durableId="1038311569">
    <w:abstractNumId w:val="102"/>
  </w:num>
  <w:num w:numId="110" w16cid:durableId="412777431">
    <w:abstractNumId w:val="105"/>
  </w:num>
  <w:num w:numId="111" w16cid:durableId="1949966476">
    <w:abstractNumId w:val="82"/>
  </w:num>
  <w:num w:numId="112" w16cid:durableId="1162818153">
    <w:abstractNumId w:val="85"/>
  </w:num>
  <w:num w:numId="113" w16cid:durableId="461966440">
    <w:abstractNumId w:val="120"/>
  </w:num>
  <w:num w:numId="114" w16cid:durableId="274873408">
    <w:abstractNumId w:val="16"/>
  </w:num>
  <w:num w:numId="115" w16cid:durableId="713117766">
    <w:abstractNumId w:val="45"/>
  </w:num>
  <w:num w:numId="116" w16cid:durableId="789128564">
    <w:abstractNumId w:val="98"/>
  </w:num>
  <w:num w:numId="117" w16cid:durableId="1112017595">
    <w:abstractNumId w:val="119"/>
  </w:num>
  <w:num w:numId="118" w16cid:durableId="526914287">
    <w:abstractNumId w:val="54"/>
  </w:num>
  <w:num w:numId="119" w16cid:durableId="852769923">
    <w:abstractNumId w:val="14"/>
  </w:num>
  <w:num w:numId="120" w16cid:durableId="363024455">
    <w:abstractNumId w:val="67"/>
  </w:num>
  <w:num w:numId="121" w16cid:durableId="859272551">
    <w:abstractNumId w:val="88"/>
  </w:num>
  <w:num w:numId="122" w16cid:durableId="1037314320">
    <w:abstractNumId w:val="63"/>
  </w:num>
  <w:num w:numId="123" w16cid:durableId="1218275792">
    <w:abstractNumId w:val="73"/>
  </w:num>
  <w:num w:numId="124" w16cid:durableId="1381972724">
    <w:abstractNumId w:val="91"/>
  </w:num>
  <w:num w:numId="125" w16cid:durableId="1935743174">
    <w:abstractNumId w:val="101"/>
  </w:num>
  <w:num w:numId="126" w16cid:durableId="303435769">
    <w:abstractNumId w:val="44"/>
  </w:num>
  <w:num w:numId="127" w16cid:durableId="125776584">
    <w:abstractNumId w:val="93"/>
  </w:num>
  <w:num w:numId="128" w16cid:durableId="1734114809">
    <w:abstractNumId w:val="25"/>
  </w:num>
  <w:num w:numId="129" w16cid:durableId="1796214445">
    <w:abstractNumId w:val="65"/>
  </w:num>
  <w:num w:numId="130" w16cid:durableId="245891493">
    <w:abstractNumId w:val="3"/>
  </w:num>
  <w:num w:numId="131" w16cid:durableId="17045830">
    <w:abstractNumId w:val="129"/>
  </w:num>
  <w:num w:numId="132" w16cid:durableId="523052841">
    <w:abstractNumId w:val="58"/>
  </w:num>
  <w:num w:numId="133" w16cid:durableId="1801878408">
    <w:abstractNumId w:val="118"/>
  </w:num>
  <w:num w:numId="134" w16cid:durableId="1656102645">
    <w:abstractNumId w:val="90"/>
  </w:num>
  <w:num w:numId="135" w16cid:durableId="2080977705">
    <w:abstractNumId w:val="110"/>
  </w:num>
  <w:num w:numId="136" w16cid:durableId="15618615">
    <w:abstractNumId w:val="122"/>
  </w:num>
  <w:num w:numId="137" w16cid:durableId="91234954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grammar="clean"/>
  <w:attachedTemplate r:id="rId1"/>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isclosure_Version" w:val="true"/>
  </w:docVars>
  <w:rsids>
    <w:rsidRoot w:val="000823AA"/>
    <w:rsid w:val="0000011A"/>
    <w:rsid w:val="00007B77"/>
    <w:rsid w:val="000104E2"/>
    <w:rsid w:val="00011740"/>
    <w:rsid w:val="00013BE9"/>
    <w:rsid w:val="00021E33"/>
    <w:rsid w:val="000246FB"/>
    <w:rsid w:val="00026CE2"/>
    <w:rsid w:val="00027A05"/>
    <w:rsid w:val="00027E1E"/>
    <w:rsid w:val="0003097A"/>
    <w:rsid w:val="00033DD6"/>
    <w:rsid w:val="00035FA1"/>
    <w:rsid w:val="00037647"/>
    <w:rsid w:val="00040036"/>
    <w:rsid w:val="000418FB"/>
    <w:rsid w:val="00044E40"/>
    <w:rsid w:val="00047935"/>
    <w:rsid w:val="0005099D"/>
    <w:rsid w:val="00060130"/>
    <w:rsid w:val="00060281"/>
    <w:rsid w:val="00060FFF"/>
    <w:rsid w:val="000621F6"/>
    <w:rsid w:val="00064BC9"/>
    <w:rsid w:val="0006509F"/>
    <w:rsid w:val="000673D0"/>
    <w:rsid w:val="0007012B"/>
    <w:rsid w:val="00070438"/>
    <w:rsid w:val="00073AB1"/>
    <w:rsid w:val="0007724D"/>
    <w:rsid w:val="00081403"/>
    <w:rsid w:val="0008143F"/>
    <w:rsid w:val="000823AA"/>
    <w:rsid w:val="0008353F"/>
    <w:rsid w:val="00087631"/>
    <w:rsid w:val="00092165"/>
    <w:rsid w:val="0009326C"/>
    <w:rsid w:val="00096198"/>
    <w:rsid w:val="00096B5A"/>
    <w:rsid w:val="000978BD"/>
    <w:rsid w:val="000A2380"/>
    <w:rsid w:val="000A69D4"/>
    <w:rsid w:val="000B0344"/>
    <w:rsid w:val="000B4664"/>
    <w:rsid w:val="000C1117"/>
    <w:rsid w:val="000C1661"/>
    <w:rsid w:val="000C1C31"/>
    <w:rsid w:val="000C34BF"/>
    <w:rsid w:val="000C5F0C"/>
    <w:rsid w:val="000D25F6"/>
    <w:rsid w:val="000D329D"/>
    <w:rsid w:val="000D45BC"/>
    <w:rsid w:val="000E489D"/>
    <w:rsid w:val="000E4E43"/>
    <w:rsid w:val="000E5A7C"/>
    <w:rsid w:val="000E5F81"/>
    <w:rsid w:val="000E69C4"/>
    <w:rsid w:val="000E6A1E"/>
    <w:rsid w:val="000E7486"/>
    <w:rsid w:val="000F144C"/>
    <w:rsid w:val="000F19CB"/>
    <w:rsid w:val="000F1CE8"/>
    <w:rsid w:val="000F5E54"/>
    <w:rsid w:val="001027C2"/>
    <w:rsid w:val="00102B49"/>
    <w:rsid w:val="00103663"/>
    <w:rsid w:val="0010729A"/>
    <w:rsid w:val="001104D2"/>
    <w:rsid w:val="00112271"/>
    <w:rsid w:val="00113647"/>
    <w:rsid w:val="00116728"/>
    <w:rsid w:val="0012086F"/>
    <w:rsid w:val="0012144A"/>
    <w:rsid w:val="00121620"/>
    <w:rsid w:val="00123270"/>
    <w:rsid w:val="001260DD"/>
    <w:rsid w:val="00130BCC"/>
    <w:rsid w:val="001320C7"/>
    <w:rsid w:val="00133D8B"/>
    <w:rsid w:val="0013481B"/>
    <w:rsid w:val="00134E48"/>
    <w:rsid w:val="00135308"/>
    <w:rsid w:val="00137522"/>
    <w:rsid w:val="00141935"/>
    <w:rsid w:val="001441D4"/>
    <w:rsid w:val="001511E5"/>
    <w:rsid w:val="001551AB"/>
    <w:rsid w:val="00155924"/>
    <w:rsid w:val="00157BDF"/>
    <w:rsid w:val="0016015B"/>
    <w:rsid w:val="00160C47"/>
    <w:rsid w:val="001633BB"/>
    <w:rsid w:val="001653BA"/>
    <w:rsid w:val="00171DF3"/>
    <w:rsid w:val="001749E3"/>
    <w:rsid w:val="001753B8"/>
    <w:rsid w:val="00175565"/>
    <w:rsid w:val="00184F7F"/>
    <w:rsid w:val="00185183"/>
    <w:rsid w:val="00192A1A"/>
    <w:rsid w:val="001952E1"/>
    <w:rsid w:val="001958A1"/>
    <w:rsid w:val="001961AF"/>
    <w:rsid w:val="001A2B11"/>
    <w:rsid w:val="001A407C"/>
    <w:rsid w:val="001A4ADC"/>
    <w:rsid w:val="001A587C"/>
    <w:rsid w:val="001A7252"/>
    <w:rsid w:val="001B2617"/>
    <w:rsid w:val="001B542B"/>
    <w:rsid w:val="001C05FC"/>
    <w:rsid w:val="001C2F3F"/>
    <w:rsid w:val="001C376A"/>
    <w:rsid w:val="001C4A64"/>
    <w:rsid w:val="001C64E5"/>
    <w:rsid w:val="001C75E4"/>
    <w:rsid w:val="001D153D"/>
    <w:rsid w:val="001D4D13"/>
    <w:rsid w:val="001E1220"/>
    <w:rsid w:val="001E16AA"/>
    <w:rsid w:val="001E3771"/>
    <w:rsid w:val="001F20AF"/>
    <w:rsid w:val="001F4B09"/>
    <w:rsid w:val="001F6350"/>
    <w:rsid w:val="0021358E"/>
    <w:rsid w:val="002148B6"/>
    <w:rsid w:val="00221C26"/>
    <w:rsid w:val="00222FBF"/>
    <w:rsid w:val="00226296"/>
    <w:rsid w:val="00226754"/>
    <w:rsid w:val="00226BC1"/>
    <w:rsid w:val="002344B5"/>
    <w:rsid w:val="0023601F"/>
    <w:rsid w:val="002411B1"/>
    <w:rsid w:val="002417AC"/>
    <w:rsid w:val="00243B6F"/>
    <w:rsid w:val="00244793"/>
    <w:rsid w:val="00244BD6"/>
    <w:rsid w:val="00244E1B"/>
    <w:rsid w:val="002472E6"/>
    <w:rsid w:val="00247F52"/>
    <w:rsid w:val="00253183"/>
    <w:rsid w:val="0025554E"/>
    <w:rsid w:val="002561EB"/>
    <w:rsid w:val="00264132"/>
    <w:rsid w:val="00266E46"/>
    <w:rsid w:val="00266FC0"/>
    <w:rsid w:val="002672ED"/>
    <w:rsid w:val="00270080"/>
    <w:rsid w:val="00274318"/>
    <w:rsid w:val="00275655"/>
    <w:rsid w:val="00276B7A"/>
    <w:rsid w:val="00277CF0"/>
    <w:rsid w:val="00280F7D"/>
    <w:rsid w:val="00291069"/>
    <w:rsid w:val="002911BE"/>
    <w:rsid w:val="00293911"/>
    <w:rsid w:val="00293DFE"/>
    <w:rsid w:val="00294568"/>
    <w:rsid w:val="00297175"/>
    <w:rsid w:val="002A1585"/>
    <w:rsid w:val="002A24D4"/>
    <w:rsid w:val="002A33AA"/>
    <w:rsid w:val="002A47FE"/>
    <w:rsid w:val="002A4CD4"/>
    <w:rsid w:val="002A5F60"/>
    <w:rsid w:val="002A69F1"/>
    <w:rsid w:val="002B08F1"/>
    <w:rsid w:val="002B1459"/>
    <w:rsid w:val="002B210B"/>
    <w:rsid w:val="002B4D51"/>
    <w:rsid w:val="002B5CD8"/>
    <w:rsid w:val="002B6B2A"/>
    <w:rsid w:val="002B6F25"/>
    <w:rsid w:val="002C4A0D"/>
    <w:rsid w:val="002C5B4C"/>
    <w:rsid w:val="002D0200"/>
    <w:rsid w:val="002D0C31"/>
    <w:rsid w:val="002D0C6A"/>
    <w:rsid w:val="002D27D8"/>
    <w:rsid w:val="002D36CD"/>
    <w:rsid w:val="002D52DE"/>
    <w:rsid w:val="002D70A6"/>
    <w:rsid w:val="002D7275"/>
    <w:rsid w:val="002E4860"/>
    <w:rsid w:val="002E7068"/>
    <w:rsid w:val="002F1368"/>
    <w:rsid w:val="002F2EFD"/>
    <w:rsid w:val="00305216"/>
    <w:rsid w:val="00306A66"/>
    <w:rsid w:val="00306AE0"/>
    <w:rsid w:val="0031026D"/>
    <w:rsid w:val="00310520"/>
    <w:rsid w:val="003123A0"/>
    <w:rsid w:val="0031540E"/>
    <w:rsid w:val="00321C28"/>
    <w:rsid w:val="0032396A"/>
    <w:rsid w:val="00324AB2"/>
    <w:rsid w:val="00324E2D"/>
    <w:rsid w:val="00326CC3"/>
    <w:rsid w:val="00331693"/>
    <w:rsid w:val="0033198E"/>
    <w:rsid w:val="00333035"/>
    <w:rsid w:val="00333B17"/>
    <w:rsid w:val="00333EE6"/>
    <w:rsid w:val="00334A73"/>
    <w:rsid w:val="00335096"/>
    <w:rsid w:val="00340D1A"/>
    <w:rsid w:val="00345F82"/>
    <w:rsid w:val="003479D6"/>
    <w:rsid w:val="003553FA"/>
    <w:rsid w:val="003577F0"/>
    <w:rsid w:val="00360D0D"/>
    <w:rsid w:val="00363030"/>
    <w:rsid w:val="00365046"/>
    <w:rsid w:val="00366601"/>
    <w:rsid w:val="00370236"/>
    <w:rsid w:val="003812AC"/>
    <w:rsid w:val="003825E9"/>
    <w:rsid w:val="00382CF6"/>
    <w:rsid w:val="00383637"/>
    <w:rsid w:val="00385C90"/>
    <w:rsid w:val="00390E3C"/>
    <w:rsid w:val="00390EE7"/>
    <w:rsid w:val="0039250B"/>
    <w:rsid w:val="003960A3"/>
    <w:rsid w:val="003A2C89"/>
    <w:rsid w:val="003B11DB"/>
    <w:rsid w:val="003B3E0C"/>
    <w:rsid w:val="003B4531"/>
    <w:rsid w:val="003B7627"/>
    <w:rsid w:val="003C0BB6"/>
    <w:rsid w:val="003C0DB9"/>
    <w:rsid w:val="003C218D"/>
    <w:rsid w:val="003C293F"/>
    <w:rsid w:val="003C338F"/>
    <w:rsid w:val="003C4367"/>
    <w:rsid w:val="003C52EC"/>
    <w:rsid w:val="003D1B68"/>
    <w:rsid w:val="003D4278"/>
    <w:rsid w:val="003D45F8"/>
    <w:rsid w:val="003D486E"/>
    <w:rsid w:val="003D517F"/>
    <w:rsid w:val="003D5424"/>
    <w:rsid w:val="003E3930"/>
    <w:rsid w:val="003E442F"/>
    <w:rsid w:val="003E61E7"/>
    <w:rsid w:val="003F1268"/>
    <w:rsid w:val="003F14F4"/>
    <w:rsid w:val="003F3578"/>
    <w:rsid w:val="003F5628"/>
    <w:rsid w:val="003F71A0"/>
    <w:rsid w:val="004046EF"/>
    <w:rsid w:val="004052CB"/>
    <w:rsid w:val="00407248"/>
    <w:rsid w:val="0041076A"/>
    <w:rsid w:val="00413716"/>
    <w:rsid w:val="00416AED"/>
    <w:rsid w:val="00417450"/>
    <w:rsid w:val="00425BD4"/>
    <w:rsid w:val="00427177"/>
    <w:rsid w:val="00427B75"/>
    <w:rsid w:val="00430D9B"/>
    <w:rsid w:val="004320B7"/>
    <w:rsid w:val="00432A05"/>
    <w:rsid w:val="004330F6"/>
    <w:rsid w:val="00434A78"/>
    <w:rsid w:val="00440F70"/>
    <w:rsid w:val="004445FC"/>
    <w:rsid w:val="004463F1"/>
    <w:rsid w:val="00447AD9"/>
    <w:rsid w:val="00447E39"/>
    <w:rsid w:val="004559FC"/>
    <w:rsid w:val="00455C98"/>
    <w:rsid w:val="00463505"/>
    <w:rsid w:val="00464CC3"/>
    <w:rsid w:val="00466E84"/>
    <w:rsid w:val="004675F2"/>
    <w:rsid w:val="00470A39"/>
    <w:rsid w:val="00475F36"/>
    <w:rsid w:val="00480701"/>
    <w:rsid w:val="00480E92"/>
    <w:rsid w:val="00481216"/>
    <w:rsid w:val="004822C7"/>
    <w:rsid w:val="00490090"/>
    <w:rsid w:val="00492752"/>
    <w:rsid w:val="004927CC"/>
    <w:rsid w:val="00493D99"/>
    <w:rsid w:val="004A1CFA"/>
    <w:rsid w:val="004A223E"/>
    <w:rsid w:val="004A2AB9"/>
    <w:rsid w:val="004A2B8F"/>
    <w:rsid w:val="004A62AA"/>
    <w:rsid w:val="004A66EE"/>
    <w:rsid w:val="004B3831"/>
    <w:rsid w:val="004B58B6"/>
    <w:rsid w:val="004C4E95"/>
    <w:rsid w:val="004C58DE"/>
    <w:rsid w:val="004D0EDD"/>
    <w:rsid w:val="004D11B4"/>
    <w:rsid w:val="004D1AAB"/>
    <w:rsid w:val="004D1E59"/>
    <w:rsid w:val="004D3728"/>
    <w:rsid w:val="004D393B"/>
    <w:rsid w:val="004E0875"/>
    <w:rsid w:val="004E227B"/>
    <w:rsid w:val="004E58E1"/>
    <w:rsid w:val="004E5C3B"/>
    <w:rsid w:val="004F02DC"/>
    <w:rsid w:val="004F0B76"/>
    <w:rsid w:val="004F1492"/>
    <w:rsid w:val="004F3352"/>
    <w:rsid w:val="004F6CF6"/>
    <w:rsid w:val="00504492"/>
    <w:rsid w:val="005056FA"/>
    <w:rsid w:val="00506087"/>
    <w:rsid w:val="00506915"/>
    <w:rsid w:val="005077FF"/>
    <w:rsid w:val="00510930"/>
    <w:rsid w:val="00511EC6"/>
    <w:rsid w:val="00511ECB"/>
    <w:rsid w:val="00512302"/>
    <w:rsid w:val="00514C1D"/>
    <w:rsid w:val="00516730"/>
    <w:rsid w:val="0051772D"/>
    <w:rsid w:val="00517ECC"/>
    <w:rsid w:val="00521015"/>
    <w:rsid w:val="005215CC"/>
    <w:rsid w:val="00521D1E"/>
    <w:rsid w:val="0052572D"/>
    <w:rsid w:val="00525AC2"/>
    <w:rsid w:val="00527C7D"/>
    <w:rsid w:val="0053150A"/>
    <w:rsid w:val="00531DAE"/>
    <w:rsid w:val="00533116"/>
    <w:rsid w:val="005336CA"/>
    <w:rsid w:val="00533A6A"/>
    <w:rsid w:val="0053557A"/>
    <w:rsid w:val="00536A43"/>
    <w:rsid w:val="00540C42"/>
    <w:rsid w:val="0054291A"/>
    <w:rsid w:val="00544D6C"/>
    <w:rsid w:val="0055294D"/>
    <w:rsid w:val="005538C3"/>
    <w:rsid w:val="005554E6"/>
    <w:rsid w:val="00555A2B"/>
    <w:rsid w:val="00556AAC"/>
    <w:rsid w:val="0055726A"/>
    <w:rsid w:val="00560758"/>
    <w:rsid w:val="00562459"/>
    <w:rsid w:val="00562DAB"/>
    <w:rsid w:val="00564060"/>
    <w:rsid w:val="005728EF"/>
    <w:rsid w:val="00572FFC"/>
    <w:rsid w:val="0057789D"/>
    <w:rsid w:val="00583B49"/>
    <w:rsid w:val="00584BA0"/>
    <w:rsid w:val="00585D9C"/>
    <w:rsid w:val="00592272"/>
    <w:rsid w:val="00593161"/>
    <w:rsid w:val="00594A47"/>
    <w:rsid w:val="005A2B2A"/>
    <w:rsid w:val="005A46D1"/>
    <w:rsid w:val="005A5282"/>
    <w:rsid w:val="005A6B3B"/>
    <w:rsid w:val="005B1C97"/>
    <w:rsid w:val="005B6F49"/>
    <w:rsid w:val="005B7B62"/>
    <w:rsid w:val="005B7BCD"/>
    <w:rsid w:val="005C2294"/>
    <w:rsid w:val="005C2364"/>
    <w:rsid w:val="005C37A4"/>
    <w:rsid w:val="005C47F7"/>
    <w:rsid w:val="005D3100"/>
    <w:rsid w:val="005D31C4"/>
    <w:rsid w:val="005D3542"/>
    <w:rsid w:val="005E000F"/>
    <w:rsid w:val="005E149B"/>
    <w:rsid w:val="005F04FF"/>
    <w:rsid w:val="005F1278"/>
    <w:rsid w:val="005F1753"/>
    <w:rsid w:val="005F3992"/>
    <w:rsid w:val="005F6046"/>
    <w:rsid w:val="00600013"/>
    <w:rsid w:val="00600D1E"/>
    <w:rsid w:val="00603F1E"/>
    <w:rsid w:val="00604D51"/>
    <w:rsid w:val="00604EC5"/>
    <w:rsid w:val="006102CF"/>
    <w:rsid w:val="006112E7"/>
    <w:rsid w:val="006241F6"/>
    <w:rsid w:val="00627D2F"/>
    <w:rsid w:val="00631BAC"/>
    <w:rsid w:val="00633415"/>
    <w:rsid w:val="00635045"/>
    <w:rsid w:val="00635D4C"/>
    <w:rsid w:val="0063640E"/>
    <w:rsid w:val="00650398"/>
    <w:rsid w:val="0065442D"/>
    <w:rsid w:val="006563A9"/>
    <w:rsid w:val="00665B29"/>
    <w:rsid w:val="00666082"/>
    <w:rsid w:val="006661FC"/>
    <w:rsid w:val="00666DB8"/>
    <w:rsid w:val="0066794C"/>
    <w:rsid w:val="00667E9A"/>
    <w:rsid w:val="0068093C"/>
    <w:rsid w:val="00681253"/>
    <w:rsid w:val="00684B26"/>
    <w:rsid w:val="00685011"/>
    <w:rsid w:val="0068525D"/>
    <w:rsid w:val="00685A4A"/>
    <w:rsid w:val="00685E5B"/>
    <w:rsid w:val="00690F26"/>
    <w:rsid w:val="006921B1"/>
    <w:rsid w:val="00693E3D"/>
    <w:rsid w:val="006959C8"/>
    <w:rsid w:val="00697391"/>
    <w:rsid w:val="00697716"/>
    <w:rsid w:val="006A2F4E"/>
    <w:rsid w:val="006A510E"/>
    <w:rsid w:val="006A5AED"/>
    <w:rsid w:val="006B059F"/>
    <w:rsid w:val="006B23DE"/>
    <w:rsid w:val="006B63DD"/>
    <w:rsid w:val="006C03DF"/>
    <w:rsid w:val="006C0537"/>
    <w:rsid w:val="006C4760"/>
    <w:rsid w:val="006C4F6E"/>
    <w:rsid w:val="006C6B5F"/>
    <w:rsid w:val="006D20C8"/>
    <w:rsid w:val="006D2915"/>
    <w:rsid w:val="006D400B"/>
    <w:rsid w:val="006D4146"/>
    <w:rsid w:val="006D6B13"/>
    <w:rsid w:val="006E0564"/>
    <w:rsid w:val="006E18DD"/>
    <w:rsid w:val="006E1E87"/>
    <w:rsid w:val="006E4B87"/>
    <w:rsid w:val="006E6A94"/>
    <w:rsid w:val="006F21B9"/>
    <w:rsid w:val="006F2A67"/>
    <w:rsid w:val="006F4E03"/>
    <w:rsid w:val="006F6E8B"/>
    <w:rsid w:val="006F7528"/>
    <w:rsid w:val="00701DA1"/>
    <w:rsid w:val="00702DB6"/>
    <w:rsid w:val="00703BCB"/>
    <w:rsid w:val="007051C0"/>
    <w:rsid w:val="00705E18"/>
    <w:rsid w:val="00711848"/>
    <w:rsid w:val="0071385A"/>
    <w:rsid w:val="0071469D"/>
    <w:rsid w:val="007155AB"/>
    <w:rsid w:val="007162DC"/>
    <w:rsid w:val="0071735C"/>
    <w:rsid w:val="00722203"/>
    <w:rsid w:val="0072254C"/>
    <w:rsid w:val="007230EE"/>
    <w:rsid w:val="00732D6E"/>
    <w:rsid w:val="007346CB"/>
    <w:rsid w:val="00735065"/>
    <w:rsid w:val="00742C15"/>
    <w:rsid w:val="0074459B"/>
    <w:rsid w:val="0075016A"/>
    <w:rsid w:val="00750CF6"/>
    <w:rsid w:val="0075102D"/>
    <w:rsid w:val="00754B91"/>
    <w:rsid w:val="007553DC"/>
    <w:rsid w:val="00763951"/>
    <w:rsid w:val="007677B1"/>
    <w:rsid w:val="00767918"/>
    <w:rsid w:val="0077318F"/>
    <w:rsid w:val="00773D7B"/>
    <w:rsid w:val="00782B68"/>
    <w:rsid w:val="00784A7A"/>
    <w:rsid w:val="007925D8"/>
    <w:rsid w:val="00795BE1"/>
    <w:rsid w:val="007A4927"/>
    <w:rsid w:val="007A77A0"/>
    <w:rsid w:val="007B050D"/>
    <w:rsid w:val="007B3358"/>
    <w:rsid w:val="007B36E6"/>
    <w:rsid w:val="007B42DE"/>
    <w:rsid w:val="007B45DD"/>
    <w:rsid w:val="007B4A9D"/>
    <w:rsid w:val="007C31D5"/>
    <w:rsid w:val="007C3C8D"/>
    <w:rsid w:val="007C40F0"/>
    <w:rsid w:val="007C4CC2"/>
    <w:rsid w:val="007C6AD6"/>
    <w:rsid w:val="007C7713"/>
    <w:rsid w:val="007C7DB3"/>
    <w:rsid w:val="007D0E74"/>
    <w:rsid w:val="007D112A"/>
    <w:rsid w:val="007D5993"/>
    <w:rsid w:val="007E24BC"/>
    <w:rsid w:val="007E59C4"/>
    <w:rsid w:val="007E675F"/>
    <w:rsid w:val="007E6B4F"/>
    <w:rsid w:val="007E6C36"/>
    <w:rsid w:val="007F2246"/>
    <w:rsid w:val="007F442F"/>
    <w:rsid w:val="008040C9"/>
    <w:rsid w:val="00804480"/>
    <w:rsid w:val="00804A19"/>
    <w:rsid w:val="00807E3C"/>
    <w:rsid w:val="00813C96"/>
    <w:rsid w:val="00816EAA"/>
    <w:rsid w:val="00821A28"/>
    <w:rsid w:val="00822EF9"/>
    <w:rsid w:val="008309E9"/>
    <w:rsid w:val="00840A05"/>
    <w:rsid w:val="0084182A"/>
    <w:rsid w:val="00843F50"/>
    <w:rsid w:val="008452BE"/>
    <w:rsid w:val="00846625"/>
    <w:rsid w:val="008507EA"/>
    <w:rsid w:val="00850EBB"/>
    <w:rsid w:val="008526D8"/>
    <w:rsid w:val="008556C2"/>
    <w:rsid w:val="00856C9E"/>
    <w:rsid w:val="00861A4E"/>
    <w:rsid w:val="00862471"/>
    <w:rsid w:val="00867099"/>
    <w:rsid w:val="0087084E"/>
    <w:rsid w:val="0087419A"/>
    <w:rsid w:val="00881F32"/>
    <w:rsid w:val="00882EC9"/>
    <w:rsid w:val="00884049"/>
    <w:rsid w:val="00886397"/>
    <w:rsid w:val="00886461"/>
    <w:rsid w:val="008872DB"/>
    <w:rsid w:val="0088772A"/>
    <w:rsid w:val="00891970"/>
    <w:rsid w:val="00896692"/>
    <w:rsid w:val="008A143D"/>
    <w:rsid w:val="008B3447"/>
    <w:rsid w:val="008B35AD"/>
    <w:rsid w:val="008B4385"/>
    <w:rsid w:val="008B783F"/>
    <w:rsid w:val="008B7D34"/>
    <w:rsid w:val="008C0046"/>
    <w:rsid w:val="008C3298"/>
    <w:rsid w:val="008C3880"/>
    <w:rsid w:val="008C4E66"/>
    <w:rsid w:val="008C5EE5"/>
    <w:rsid w:val="008D0B7E"/>
    <w:rsid w:val="008D1A48"/>
    <w:rsid w:val="008D1BE2"/>
    <w:rsid w:val="008D2018"/>
    <w:rsid w:val="008D38A4"/>
    <w:rsid w:val="008D4CE7"/>
    <w:rsid w:val="008D573D"/>
    <w:rsid w:val="008D7C52"/>
    <w:rsid w:val="008E073F"/>
    <w:rsid w:val="008E08FE"/>
    <w:rsid w:val="008E0AF8"/>
    <w:rsid w:val="008E2CD2"/>
    <w:rsid w:val="008E2F77"/>
    <w:rsid w:val="008E385A"/>
    <w:rsid w:val="008E3A43"/>
    <w:rsid w:val="008E4C75"/>
    <w:rsid w:val="008E5AD5"/>
    <w:rsid w:val="008E6C9A"/>
    <w:rsid w:val="008E6CF9"/>
    <w:rsid w:val="008F337E"/>
    <w:rsid w:val="008F4376"/>
    <w:rsid w:val="008F4E9B"/>
    <w:rsid w:val="008F5C90"/>
    <w:rsid w:val="008F78B1"/>
    <w:rsid w:val="008F7E67"/>
    <w:rsid w:val="00901F2E"/>
    <w:rsid w:val="00902D33"/>
    <w:rsid w:val="00911630"/>
    <w:rsid w:val="00912BF1"/>
    <w:rsid w:val="00914254"/>
    <w:rsid w:val="00916B90"/>
    <w:rsid w:val="0091783F"/>
    <w:rsid w:val="00921199"/>
    <w:rsid w:val="00922A40"/>
    <w:rsid w:val="00931D8E"/>
    <w:rsid w:val="00940620"/>
    <w:rsid w:val="00943870"/>
    <w:rsid w:val="00945861"/>
    <w:rsid w:val="009509F8"/>
    <w:rsid w:val="00951116"/>
    <w:rsid w:val="009522B8"/>
    <w:rsid w:val="0096715F"/>
    <w:rsid w:val="00967644"/>
    <w:rsid w:val="0097056C"/>
    <w:rsid w:val="009763F1"/>
    <w:rsid w:val="00980202"/>
    <w:rsid w:val="009818CF"/>
    <w:rsid w:val="009846D4"/>
    <w:rsid w:val="0098640A"/>
    <w:rsid w:val="00986BC7"/>
    <w:rsid w:val="00990EAA"/>
    <w:rsid w:val="00990FAC"/>
    <w:rsid w:val="00997104"/>
    <w:rsid w:val="009A0540"/>
    <w:rsid w:val="009A26C7"/>
    <w:rsid w:val="009A2A26"/>
    <w:rsid w:val="009A3228"/>
    <w:rsid w:val="009A5A84"/>
    <w:rsid w:val="009A7878"/>
    <w:rsid w:val="009B037F"/>
    <w:rsid w:val="009B24D2"/>
    <w:rsid w:val="009B5CD0"/>
    <w:rsid w:val="009B673A"/>
    <w:rsid w:val="009B702F"/>
    <w:rsid w:val="009B78D5"/>
    <w:rsid w:val="009C047B"/>
    <w:rsid w:val="009C0B85"/>
    <w:rsid w:val="009C7145"/>
    <w:rsid w:val="009D1467"/>
    <w:rsid w:val="009D32D2"/>
    <w:rsid w:val="009D3794"/>
    <w:rsid w:val="009E0FDF"/>
    <w:rsid w:val="009E1747"/>
    <w:rsid w:val="009E18DB"/>
    <w:rsid w:val="009E3124"/>
    <w:rsid w:val="009E3DBF"/>
    <w:rsid w:val="009E4D71"/>
    <w:rsid w:val="009E5069"/>
    <w:rsid w:val="009E7B35"/>
    <w:rsid w:val="009F59C5"/>
    <w:rsid w:val="009F6ED8"/>
    <w:rsid w:val="00A019C2"/>
    <w:rsid w:val="00A05E89"/>
    <w:rsid w:val="00A110A4"/>
    <w:rsid w:val="00A137E5"/>
    <w:rsid w:val="00A144AF"/>
    <w:rsid w:val="00A16701"/>
    <w:rsid w:val="00A16F09"/>
    <w:rsid w:val="00A200FF"/>
    <w:rsid w:val="00A20739"/>
    <w:rsid w:val="00A2086D"/>
    <w:rsid w:val="00A24ACA"/>
    <w:rsid w:val="00A2568F"/>
    <w:rsid w:val="00A26560"/>
    <w:rsid w:val="00A306F8"/>
    <w:rsid w:val="00A335B9"/>
    <w:rsid w:val="00A34D12"/>
    <w:rsid w:val="00A3560D"/>
    <w:rsid w:val="00A40F58"/>
    <w:rsid w:val="00A420A8"/>
    <w:rsid w:val="00A47AB1"/>
    <w:rsid w:val="00A519B1"/>
    <w:rsid w:val="00A54CFB"/>
    <w:rsid w:val="00A56CE8"/>
    <w:rsid w:val="00A60224"/>
    <w:rsid w:val="00A60B85"/>
    <w:rsid w:val="00A63420"/>
    <w:rsid w:val="00A6432A"/>
    <w:rsid w:val="00A7046A"/>
    <w:rsid w:val="00A718A9"/>
    <w:rsid w:val="00A74D37"/>
    <w:rsid w:val="00A75415"/>
    <w:rsid w:val="00A75C17"/>
    <w:rsid w:val="00A765BC"/>
    <w:rsid w:val="00A838EA"/>
    <w:rsid w:val="00A853A6"/>
    <w:rsid w:val="00A85B27"/>
    <w:rsid w:val="00A90649"/>
    <w:rsid w:val="00AA13D8"/>
    <w:rsid w:val="00AA4D62"/>
    <w:rsid w:val="00AA55C3"/>
    <w:rsid w:val="00AA6174"/>
    <w:rsid w:val="00AB13E3"/>
    <w:rsid w:val="00AB1C84"/>
    <w:rsid w:val="00AB2E46"/>
    <w:rsid w:val="00AB3AC2"/>
    <w:rsid w:val="00AB4AEE"/>
    <w:rsid w:val="00AB4EA9"/>
    <w:rsid w:val="00AB6736"/>
    <w:rsid w:val="00AC03EC"/>
    <w:rsid w:val="00AC0594"/>
    <w:rsid w:val="00AC5859"/>
    <w:rsid w:val="00AC5E4F"/>
    <w:rsid w:val="00AD0408"/>
    <w:rsid w:val="00AD1CFE"/>
    <w:rsid w:val="00AD43A3"/>
    <w:rsid w:val="00AD576B"/>
    <w:rsid w:val="00AE1A77"/>
    <w:rsid w:val="00AE237E"/>
    <w:rsid w:val="00AE3A2C"/>
    <w:rsid w:val="00AE440B"/>
    <w:rsid w:val="00B1521D"/>
    <w:rsid w:val="00B16087"/>
    <w:rsid w:val="00B2492B"/>
    <w:rsid w:val="00B255A8"/>
    <w:rsid w:val="00B30F4D"/>
    <w:rsid w:val="00B40059"/>
    <w:rsid w:val="00B40FE5"/>
    <w:rsid w:val="00B4124C"/>
    <w:rsid w:val="00B43868"/>
    <w:rsid w:val="00B44E12"/>
    <w:rsid w:val="00B46F58"/>
    <w:rsid w:val="00B473EB"/>
    <w:rsid w:val="00B5058F"/>
    <w:rsid w:val="00B50ADA"/>
    <w:rsid w:val="00B52400"/>
    <w:rsid w:val="00B53C3C"/>
    <w:rsid w:val="00B6229B"/>
    <w:rsid w:val="00B647F9"/>
    <w:rsid w:val="00B65EA7"/>
    <w:rsid w:val="00B65ECA"/>
    <w:rsid w:val="00B67D2F"/>
    <w:rsid w:val="00B7353F"/>
    <w:rsid w:val="00B74FF9"/>
    <w:rsid w:val="00B7586F"/>
    <w:rsid w:val="00B80362"/>
    <w:rsid w:val="00B81F70"/>
    <w:rsid w:val="00B820EE"/>
    <w:rsid w:val="00B87F93"/>
    <w:rsid w:val="00B919D0"/>
    <w:rsid w:val="00B97BE9"/>
    <w:rsid w:val="00BA0C60"/>
    <w:rsid w:val="00BA17BB"/>
    <w:rsid w:val="00BA46ED"/>
    <w:rsid w:val="00BA750C"/>
    <w:rsid w:val="00BB1329"/>
    <w:rsid w:val="00BB13EA"/>
    <w:rsid w:val="00BB1860"/>
    <w:rsid w:val="00BB2C18"/>
    <w:rsid w:val="00BB3874"/>
    <w:rsid w:val="00BB4341"/>
    <w:rsid w:val="00BB713A"/>
    <w:rsid w:val="00BB7BA3"/>
    <w:rsid w:val="00BC1760"/>
    <w:rsid w:val="00BD0480"/>
    <w:rsid w:val="00BD0BE6"/>
    <w:rsid w:val="00BD0CA5"/>
    <w:rsid w:val="00BD3162"/>
    <w:rsid w:val="00BD5C6C"/>
    <w:rsid w:val="00BE2A61"/>
    <w:rsid w:val="00BE6ABF"/>
    <w:rsid w:val="00BE7ABF"/>
    <w:rsid w:val="00BF47CE"/>
    <w:rsid w:val="00BF50AB"/>
    <w:rsid w:val="00BF532F"/>
    <w:rsid w:val="00BF5EC0"/>
    <w:rsid w:val="00C014DA"/>
    <w:rsid w:val="00C03ACF"/>
    <w:rsid w:val="00C04593"/>
    <w:rsid w:val="00C0471B"/>
    <w:rsid w:val="00C06B5A"/>
    <w:rsid w:val="00C075CF"/>
    <w:rsid w:val="00C12CA2"/>
    <w:rsid w:val="00C12DEC"/>
    <w:rsid w:val="00C1526A"/>
    <w:rsid w:val="00C20586"/>
    <w:rsid w:val="00C215C4"/>
    <w:rsid w:val="00C25A50"/>
    <w:rsid w:val="00C25A53"/>
    <w:rsid w:val="00C2618D"/>
    <w:rsid w:val="00C26944"/>
    <w:rsid w:val="00C26AFF"/>
    <w:rsid w:val="00C27BCD"/>
    <w:rsid w:val="00C33FE4"/>
    <w:rsid w:val="00C34BF1"/>
    <w:rsid w:val="00C371C2"/>
    <w:rsid w:val="00C41881"/>
    <w:rsid w:val="00C42CAD"/>
    <w:rsid w:val="00C438B9"/>
    <w:rsid w:val="00C46512"/>
    <w:rsid w:val="00C4677B"/>
    <w:rsid w:val="00C46DA8"/>
    <w:rsid w:val="00C47050"/>
    <w:rsid w:val="00C47FEA"/>
    <w:rsid w:val="00C50871"/>
    <w:rsid w:val="00C51B37"/>
    <w:rsid w:val="00C51C9C"/>
    <w:rsid w:val="00C53040"/>
    <w:rsid w:val="00C604A0"/>
    <w:rsid w:val="00C647E1"/>
    <w:rsid w:val="00C670F9"/>
    <w:rsid w:val="00C73FC4"/>
    <w:rsid w:val="00C7704E"/>
    <w:rsid w:val="00C77B5C"/>
    <w:rsid w:val="00C80E1E"/>
    <w:rsid w:val="00C8171A"/>
    <w:rsid w:val="00C82A4E"/>
    <w:rsid w:val="00C82B63"/>
    <w:rsid w:val="00C90C39"/>
    <w:rsid w:val="00C94076"/>
    <w:rsid w:val="00C94987"/>
    <w:rsid w:val="00C94BAB"/>
    <w:rsid w:val="00C951EB"/>
    <w:rsid w:val="00C956C3"/>
    <w:rsid w:val="00C9646A"/>
    <w:rsid w:val="00C9690A"/>
    <w:rsid w:val="00CA1ADF"/>
    <w:rsid w:val="00CA4476"/>
    <w:rsid w:val="00CB1719"/>
    <w:rsid w:val="00CB1A55"/>
    <w:rsid w:val="00CB4E8E"/>
    <w:rsid w:val="00CC5559"/>
    <w:rsid w:val="00CD1C66"/>
    <w:rsid w:val="00CD228E"/>
    <w:rsid w:val="00CD5D32"/>
    <w:rsid w:val="00CE1A9C"/>
    <w:rsid w:val="00CE342F"/>
    <w:rsid w:val="00CE50E0"/>
    <w:rsid w:val="00CE52E3"/>
    <w:rsid w:val="00CE7BAE"/>
    <w:rsid w:val="00CE7D57"/>
    <w:rsid w:val="00CF21B1"/>
    <w:rsid w:val="00CF31FB"/>
    <w:rsid w:val="00CF4C12"/>
    <w:rsid w:val="00CF67F8"/>
    <w:rsid w:val="00D01A98"/>
    <w:rsid w:val="00D03814"/>
    <w:rsid w:val="00D03B89"/>
    <w:rsid w:val="00D24401"/>
    <w:rsid w:val="00D3018B"/>
    <w:rsid w:val="00D3197E"/>
    <w:rsid w:val="00D31F1F"/>
    <w:rsid w:val="00D32FE2"/>
    <w:rsid w:val="00D3339B"/>
    <w:rsid w:val="00D37538"/>
    <w:rsid w:val="00D43453"/>
    <w:rsid w:val="00D45028"/>
    <w:rsid w:val="00D4787B"/>
    <w:rsid w:val="00D52479"/>
    <w:rsid w:val="00D54117"/>
    <w:rsid w:val="00D56014"/>
    <w:rsid w:val="00D60BA2"/>
    <w:rsid w:val="00D6681B"/>
    <w:rsid w:val="00D75072"/>
    <w:rsid w:val="00D7791E"/>
    <w:rsid w:val="00D80FB9"/>
    <w:rsid w:val="00D83366"/>
    <w:rsid w:val="00D83C6E"/>
    <w:rsid w:val="00D85F22"/>
    <w:rsid w:val="00D86107"/>
    <w:rsid w:val="00D904A6"/>
    <w:rsid w:val="00D90E2F"/>
    <w:rsid w:val="00D93E52"/>
    <w:rsid w:val="00D978F1"/>
    <w:rsid w:val="00DA0008"/>
    <w:rsid w:val="00DA012E"/>
    <w:rsid w:val="00DA0D0D"/>
    <w:rsid w:val="00DA0E04"/>
    <w:rsid w:val="00DA1D0C"/>
    <w:rsid w:val="00DA3401"/>
    <w:rsid w:val="00DA3A62"/>
    <w:rsid w:val="00DA7F8B"/>
    <w:rsid w:val="00DB01E9"/>
    <w:rsid w:val="00DB5A63"/>
    <w:rsid w:val="00DC1B3C"/>
    <w:rsid w:val="00DC1BB2"/>
    <w:rsid w:val="00DC21BF"/>
    <w:rsid w:val="00DC27DD"/>
    <w:rsid w:val="00DC3FD2"/>
    <w:rsid w:val="00DC6F6D"/>
    <w:rsid w:val="00DE073E"/>
    <w:rsid w:val="00DE1F48"/>
    <w:rsid w:val="00DE521F"/>
    <w:rsid w:val="00DE77CA"/>
    <w:rsid w:val="00DF3DA3"/>
    <w:rsid w:val="00E02E65"/>
    <w:rsid w:val="00E052EB"/>
    <w:rsid w:val="00E07180"/>
    <w:rsid w:val="00E12DEC"/>
    <w:rsid w:val="00E1510D"/>
    <w:rsid w:val="00E16417"/>
    <w:rsid w:val="00E22B25"/>
    <w:rsid w:val="00E32A05"/>
    <w:rsid w:val="00E35417"/>
    <w:rsid w:val="00E36271"/>
    <w:rsid w:val="00E41215"/>
    <w:rsid w:val="00E431CB"/>
    <w:rsid w:val="00E50463"/>
    <w:rsid w:val="00E5134A"/>
    <w:rsid w:val="00E51F88"/>
    <w:rsid w:val="00E54605"/>
    <w:rsid w:val="00E6146D"/>
    <w:rsid w:val="00E667DA"/>
    <w:rsid w:val="00E72E03"/>
    <w:rsid w:val="00E74455"/>
    <w:rsid w:val="00E801BC"/>
    <w:rsid w:val="00E81E4B"/>
    <w:rsid w:val="00E83B79"/>
    <w:rsid w:val="00E84110"/>
    <w:rsid w:val="00E86CCB"/>
    <w:rsid w:val="00E972D0"/>
    <w:rsid w:val="00E97A12"/>
    <w:rsid w:val="00EA43C1"/>
    <w:rsid w:val="00EA49CE"/>
    <w:rsid w:val="00EA68A4"/>
    <w:rsid w:val="00EB154A"/>
    <w:rsid w:val="00EB3482"/>
    <w:rsid w:val="00EB3634"/>
    <w:rsid w:val="00EB409B"/>
    <w:rsid w:val="00EC4978"/>
    <w:rsid w:val="00EC500F"/>
    <w:rsid w:val="00ED058E"/>
    <w:rsid w:val="00ED1239"/>
    <w:rsid w:val="00ED2685"/>
    <w:rsid w:val="00EE2C90"/>
    <w:rsid w:val="00EE7A95"/>
    <w:rsid w:val="00EF2FC5"/>
    <w:rsid w:val="00EF3EFD"/>
    <w:rsid w:val="00EF586D"/>
    <w:rsid w:val="00EF6D58"/>
    <w:rsid w:val="00F00F3D"/>
    <w:rsid w:val="00F016E0"/>
    <w:rsid w:val="00F01F07"/>
    <w:rsid w:val="00F03A59"/>
    <w:rsid w:val="00F05EB0"/>
    <w:rsid w:val="00F102C9"/>
    <w:rsid w:val="00F11D27"/>
    <w:rsid w:val="00F20878"/>
    <w:rsid w:val="00F21283"/>
    <w:rsid w:val="00F22B84"/>
    <w:rsid w:val="00F23D0B"/>
    <w:rsid w:val="00F25F70"/>
    <w:rsid w:val="00F32273"/>
    <w:rsid w:val="00F32917"/>
    <w:rsid w:val="00F33158"/>
    <w:rsid w:val="00F34E44"/>
    <w:rsid w:val="00F37595"/>
    <w:rsid w:val="00F45050"/>
    <w:rsid w:val="00F459EE"/>
    <w:rsid w:val="00F560B3"/>
    <w:rsid w:val="00F6054C"/>
    <w:rsid w:val="00F647D2"/>
    <w:rsid w:val="00F71AF9"/>
    <w:rsid w:val="00F73960"/>
    <w:rsid w:val="00F73ECA"/>
    <w:rsid w:val="00F7628B"/>
    <w:rsid w:val="00F77B48"/>
    <w:rsid w:val="00F8088B"/>
    <w:rsid w:val="00F80DDF"/>
    <w:rsid w:val="00F87B0F"/>
    <w:rsid w:val="00F90636"/>
    <w:rsid w:val="00F90C81"/>
    <w:rsid w:val="00F942C5"/>
    <w:rsid w:val="00F966A9"/>
    <w:rsid w:val="00FA0A7F"/>
    <w:rsid w:val="00FA14EE"/>
    <w:rsid w:val="00FB27C6"/>
    <w:rsid w:val="00FB5673"/>
    <w:rsid w:val="00FB7916"/>
    <w:rsid w:val="00FB7D9F"/>
    <w:rsid w:val="00FC1F2E"/>
    <w:rsid w:val="00FC2F45"/>
    <w:rsid w:val="00FC512C"/>
    <w:rsid w:val="00FC67E0"/>
    <w:rsid w:val="00FC6E73"/>
    <w:rsid w:val="00FC71A9"/>
    <w:rsid w:val="00FC751B"/>
    <w:rsid w:val="00FD24BE"/>
    <w:rsid w:val="00FE1330"/>
    <w:rsid w:val="00FE5112"/>
    <w:rsid w:val="00FF03BF"/>
    <w:rsid w:val="00FF40E9"/>
    <w:rsid w:val="00FF457B"/>
    <w:rsid w:val="00FF50EB"/>
    <w:rsid w:val="012473B5"/>
    <w:rsid w:val="01607E51"/>
    <w:rsid w:val="01E60FBC"/>
    <w:rsid w:val="04D658DF"/>
    <w:rsid w:val="05004CA2"/>
    <w:rsid w:val="07BF0A2B"/>
    <w:rsid w:val="09DB139E"/>
    <w:rsid w:val="0AB80147"/>
    <w:rsid w:val="0B5874CE"/>
    <w:rsid w:val="0B6B7CED"/>
    <w:rsid w:val="0BD87500"/>
    <w:rsid w:val="0CD4721D"/>
    <w:rsid w:val="0DF06546"/>
    <w:rsid w:val="0F283D96"/>
    <w:rsid w:val="0FF5058E"/>
    <w:rsid w:val="10615AC6"/>
    <w:rsid w:val="11A46448"/>
    <w:rsid w:val="124F311B"/>
    <w:rsid w:val="127759F8"/>
    <w:rsid w:val="12EA4D34"/>
    <w:rsid w:val="13070B59"/>
    <w:rsid w:val="13E07883"/>
    <w:rsid w:val="15593193"/>
    <w:rsid w:val="15A9419A"/>
    <w:rsid w:val="15E97AB6"/>
    <w:rsid w:val="16D96A3E"/>
    <w:rsid w:val="184B73F3"/>
    <w:rsid w:val="1CE63309"/>
    <w:rsid w:val="1CF702A9"/>
    <w:rsid w:val="1D1C35DA"/>
    <w:rsid w:val="1D297107"/>
    <w:rsid w:val="1D892749"/>
    <w:rsid w:val="1DD84409"/>
    <w:rsid w:val="1EFE50F2"/>
    <w:rsid w:val="201376DB"/>
    <w:rsid w:val="20A5211E"/>
    <w:rsid w:val="234D00BC"/>
    <w:rsid w:val="24010D6E"/>
    <w:rsid w:val="24B01558"/>
    <w:rsid w:val="25303AFB"/>
    <w:rsid w:val="25C70963"/>
    <w:rsid w:val="273A6048"/>
    <w:rsid w:val="27AC5501"/>
    <w:rsid w:val="27FA2D88"/>
    <w:rsid w:val="28290FA2"/>
    <w:rsid w:val="286C3CA5"/>
    <w:rsid w:val="29741330"/>
    <w:rsid w:val="2A66635B"/>
    <w:rsid w:val="2B3E0CAB"/>
    <w:rsid w:val="2BBA5EBD"/>
    <w:rsid w:val="2CD53205"/>
    <w:rsid w:val="30102276"/>
    <w:rsid w:val="3010323B"/>
    <w:rsid w:val="30AC41E3"/>
    <w:rsid w:val="319770C5"/>
    <w:rsid w:val="31F22FC2"/>
    <w:rsid w:val="3370153F"/>
    <w:rsid w:val="34A00A4D"/>
    <w:rsid w:val="362F2993"/>
    <w:rsid w:val="36B010C1"/>
    <w:rsid w:val="379D37AB"/>
    <w:rsid w:val="37F043C4"/>
    <w:rsid w:val="3AFF68AB"/>
    <w:rsid w:val="3BC2196F"/>
    <w:rsid w:val="3F1945C8"/>
    <w:rsid w:val="41655A4D"/>
    <w:rsid w:val="417B2848"/>
    <w:rsid w:val="42E040AF"/>
    <w:rsid w:val="44DA399C"/>
    <w:rsid w:val="45B0353E"/>
    <w:rsid w:val="463C0801"/>
    <w:rsid w:val="478001D1"/>
    <w:rsid w:val="493F215D"/>
    <w:rsid w:val="4BD77BB5"/>
    <w:rsid w:val="4E79156D"/>
    <w:rsid w:val="4E861A76"/>
    <w:rsid w:val="4FEE65F2"/>
    <w:rsid w:val="52912160"/>
    <w:rsid w:val="53340639"/>
    <w:rsid w:val="53AE168A"/>
    <w:rsid w:val="546E5F2A"/>
    <w:rsid w:val="54EA6282"/>
    <w:rsid w:val="57F479CA"/>
    <w:rsid w:val="58357832"/>
    <w:rsid w:val="586414B1"/>
    <w:rsid w:val="589468C0"/>
    <w:rsid w:val="58D8481D"/>
    <w:rsid w:val="59AA19DE"/>
    <w:rsid w:val="59C11856"/>
    <w:rsid w:val="5C012D82"/>
    <w:rsid w:val="5C945299"/>
    <w:rsid w:val="5D542921"/>
    <w:rsid w:val="5DBB1575"/>
    <w:rsid w:val="5E4776D7"/>
    <w:rsid w:val="5FAC2466"/>
    <w:rsid w:val="60243AEA"/>
    <w:rsid w:val="604E0B74"/>
    <w:rsid w:val="61935853"/>
    <w:rsid w:val="61BF5675"/>
    <w:rsid w:val="628A69F1"/>
    <w:rsid w:val="62A63354"/>
    <w:rsid w:val="630C5488"/>
    <w:rsid w:val="64632A40"/>
    <w:rsid w:val="65200BA4"/>
    <w:rsid w:val="67626E36"/>
    <w:rsid w:val="67D449DE"/>
    <w:rsid w:val="68D74071"/>
    <w:rsid w:val="69402A0B"/>
    <w:rsid w:val="69563FAD"/>
    <w:rsid w:val="69DF75DD"/>
    <w:rsid w:val="6B3628BD"/>
    <w:rsid w:val="6BEE2B55"/>
    <w:rsid w:val="6CD55631"/>
    <w:rsid w:val="6E715BED"/>
    <w:rsid w:val="6E7F2DDF"/>
    <w:rsid w:val="6EF9480C"/>
    <w:rsid w:val="6F5D14AB"/>
    <w:rsid w:val="6FF009E7"/>
    <w:rsid w:val="71ED7D01"/>
    <w:rsid w:val="721E19A7"/>
    <w:rsid w:val="733E379D"/>
    <w:rsid w:val="7431450E"/>
    <w:rsid w:val="75E82225"/>
    <w:rsid w:val="75FE6D24"/>
    <w:rsid w:val="762E394D"/>
    <w:rsid w:val="76F8056C"/>
    <w:rsid w:val="77A033B8"/>
    <w:rsid w:val="785D30AE"/>
    <w:rsid w:val="78B418D9"/>
    <w:rsid w:val="7A1300EA"/>
    <w:rsid w:val="7BFD16BC"/>
    <w:rsid w:val="7C0C2148"/>
    <w:rsid w:val="7C3E6FC4"/>
    <w:rsid w:val="7C5016D5"/>
    <w:rsid w:val="7CE626D7"/>
    <w:rsid w:val="7D6B5874"/>
    <w:rsid w:val="7DCD48F4"/>
    <w:rsid w:val="7E31450B"/>
    <w:rsid w:val="7FFF66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5F7EEF"/>
  <w15:docId w15:val="{AD4FBF34-A8A5-458A-9E08-1183E728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1"/>
      <w:szCs w:val="21"/>
    </w:rPr>
  </w:style>
  <w:style w:type="paragraph" w:styleId="1">
    <w:name w:val="heading 1"/>
    <w:basedOn w:val="a"/>
    <w:next w:val="a"/>
    <w:link w:val="10"/>
    <w:uiPriority w:val="99"/>
    <w:qFormat/>
    <w:pPr>
      <w:keepNext/>
      <w:keepLines/>
      <w:widowControl w:val="0"/>
      <w:spacing w:before="60" w:after="60" w:line="360" w:lineRule="auto"/>
      <w:jc w:val="center"/>
      <w:outlineLvl w:val="0"/>
    </w:pPr>
    <w:rPr>
      <w:rFonts w:ascii="Calibri" w:eastAsia="黑体" w:hAnsi="Calibri"/>
      <w:b/>
      <w:bCs/>
      <w:kern w:val="44"/>
      <w:sz w:val="28"/>
      <w:szCs w:val="44"/>
    </w:rPr>
  </w:style>
  <w:style w:type="paragraph" w:styleId="2">
    <w:name w:val="heading 2"/>
    <w:basedOn w:val="a"/>
    <w:next w:val="a"/>
    <w:link w:val="20"/>
    <w:qFormat/>
    <w:pPr>
      <w:keepNext/>
      <w:keepLines/>
      <w:widowControl w:val="0"/>
      <w:spacing w:before="60" w:line="360" w:lineRule="auto"/>
      <w:jc w:val="both"/>
      <w:outlineLvl w:val="1"/>
    </w:pPr>
    <w:rPr>
      <w:rFonts w:ascii="Arial" w:hAnsi="Arial"/>
      <w:b/>
      <w:bCs/>
      <w:kern w:val="2"/>
    </w:rPr>
  </w:style>
  <w:style w:type="paragraph" w:styleId="3">
    <w:name w:val="heading 3"/>
    <w:basedOn w:val="a"/>
    <w:next w:val="a"/>
    <w:link w:val="30"/>
    <w:uiPriority w:val="9"/>
    <w:qFormat/>
    <w:pPr>
      <w:keepNext/>
      <w:keepLines/>
      <w:widowControl w:val="0"/>
      <w:spacing w:before="60" w:line="360" w:lineRule="auto"/>
      <w:jc w:val="both"/>
      <w:outlineLvl w:val="2"/>
    </w:pPr>
    <w:rPr>
      <w:rFonts w:ascii="Calibri" w:hAnsi="Calibri"/>
      <w:b/>
      <w:bCs/>
      <w:kern w:val="2"/>
      <w:szCs w:val="32"/>
    </w:rPr>
  </w:style>
  <w:style w:type="paragraph" w:styleId="4">
    <w:name w:val="heading 4"/>
    <w:basedOn w:val="a"/>
    <w:next w:val="a"/>
    <w:link w:val="40"/>
    <w:uiPriority w:val="9"/>
    <w:qFormat/>
    <w:pPr>
      <w:keepNext/>
      <w:keepLines/>
      <w:widowControl w:val="0"/>
      <w:spacing w:before="60" w:line="360" w:lineRule="auto"/>
      <w:jc w:val="both"/>
      <w:outlineLvl w:val="3"/>
    </w:pPr>
    <w:rPr>
      <w:rFonts w:asciiTheme="minorEastAsia" w:eastAsiaTheme="minorEastAsia" w:hAnsiTheme="minorEastAsia"/>
      <w:b/>
      <w:bCs/>
      <w:kern w:val="2"/>
      <w:szCs w:val="28"/>
    </w:rPr>
  </w:style>
  <w:style w:type="paragraph" w:styleId="5">
    <w:name w:val="heading 5"/>
    <w:basedOn w:val="a"/>
    <w:next w:val="a"/>
    <w:link w:val="50"/>
    <w:uiPriority w:val="9"/>
    <w:qFormat/>
    <w:pPr>
      <w:keepNext/>
      <w:keepLines/>
      <w:widowControl w:val="0"/>
      <w:spacing w:before="60" w:line="360" w:lineRule="auto"/>
      <w:ind w:leftChars="50" w:left="50"/>
      <w:jc w:val="both"/>
      <w:outlineLvl w:val="4"/>
    </w:pPr>
    <w:rPr>
      <w:rFonts w:ascii="Calibri" w:hAnsi="Calibri"/>
      <w:b/>
      <w:bCs/>
      <w:kern w:val="2"/>
      <w:szCs w:val="28"/>
    </w:rPr>
  </w:style>
  <w:style w:type="paragraph" w:styleId="6">
    <w:name w:val="heading 6"/>
    <w:basedOn w:val="a"/>
    <w:next w:val="a"/>
    <w:link w:val="60"/>
    <w:uiPriority w:val="9"/>
    <w:unhideWhenUsed/>
    <w:qFormat/>
    <w:pPr>
      <w:keepNext/>
      <w:keepLines/>
      <w:spacing w:before="60" w:after="60"/>
      <w:outlineLvl w:val="5"/>
    </w:pPr>
    <w:rPr>
      <w:rFonts w:asciiTheme="majorHAnsi" w:hAnsiTheme="majorHAnsi" w:cstheme="majorBidi"/>
      <w:b/>
      <w:bCs/>
    </w:rPr>
  </w:style>
  <w:style w:type="paragraph" w:styleId="7">
    <w:name w:val="heading 7"/>
    <w:basedOn w:val="a"/>
    <w:next w:val="a"/>
    <w:link w:val="70"/>
    <w:uiPriority w:val="9"/>
    <w:unhideWhenUsed/>
    <w:qFormat/>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widowControl w:val="0"/>
      <w:ind w:leftChars="1200" w:left="2520"/>
      <w:jc w:val="both"/>
    </w:pPr>
    <w:rPr>
      <w:rFonts w:asciiTheme="minorHAnsi" w:eastAsiaTheme="minorEastAsia" w:hAnsiTheme="minorHAnsi" w:cstheme="minorBidi"/>
      <w:kern w:val="2"/>
      <w:szCs w:val="22"/>
    </w:rPr>
  </w:style>
  <w:style w:type="paragraph" w:styleId="a3">
    <w:name w:val="Note Heading"/>
    <w:basedOn w:val="a"/>
    <w:next w:val="a"/>
    <w:link w:val="a4"/>
    <w:uiPriority w:val="99"/>
    <w:qFormat/>
    <w:pPr>
      <w:widowControl w:val="0"/>
      <w:jc w:val="center"/>
    </w:pPr>
    <w:rPr>
      <w:kern w:val="2"/>
    </w:rPr>
  </w:style>
  <w:style w:type="paragraph" w:styleId="a5">
    <w:name w:val="Normal Indent"/>
    <w:basedOn w:val="a"/>
    <w:qFormat/>
    <w:pPr>
      <w:widowControl w:val="0"/>
      <w:ind w:firstLineChars="200" w:firstLine="420"/>
      <w:jc w:val="both"/>
    </w:pPr>
    <w:rPr>
      <w:kern w:val="2"/>
    </w:rPr>
  </w:style>
  <w:style w:type="paragraph" w:styleId="a6">
    <w:name w:val="Document Map"/>
    <w:basedOn w:val="a"/>
    <w:link w:val="a7"/>
    <w:uiPriority w:val="99"/>
    <w:semiHidden/>
    <w:unhideWhenUsed/>
    <w:qFormat/>
    <w:pPr>
      <w:widowControl w:val="0"/>
      <w:jc w:val="both"/>
    </w:pPr>
    <w:rPr>
      <w:rFonts w:hAnsi="Calibri"/>
      <w:kern w:val="2"/>
      <w:sz w:val="18"/>
      <w:szCs w:val="18"/>
    </w:rPr>
  </w:style>
  <w:style w:type="paragraph" w:styleId="a8">
    <w:name w:val="toa heading"/>
    <w:basedOn w:val="a"/>
    <w:next w:val="a"/>
    <w:semiHidden/>
    <w:qFormat/>
    <w:pPr>
      <w:widowControl w:val="0"/>
      <w:spacing w:before="120"/>
      <w:jc w:val="both"/>
    </w:pPr>
    <w:rPr>
      <w:rFonts w:ascii="Arial" w:hAnsi="Arial"/>
      <w:b/>
      <w:bCs/>
      <w:kern w:val="2"/>
    </w:rPr>
  </w:style>
  <w:style w:type="paragraph" w:styleId="a9">
    <w:name w:val="annotation text"/>
    <w:basedOn w:val="a"/>
    <w:link w:val="aa"/>
    <w:qFormat/>
    <w:pPr>
      <w:widowControl w:val="0"/>
    </w:pPr>
    <w:rPr>
      <w:kern w:val="2"/>
    </w:rPr>
  </w:style>
  <w:style w:type="paragraph" w:styleId="ab">
    <w:name w:val="Salutation"/>
    <w:basedOn w:val="a"/>
    <w:next w:val="a"/>
    <w:link w:val="ac"/>
    <w:uiPriority w:val="99"/>
    <w:qFormat/>
    <w:pPr>
      <w:widowControl w:val="0"/>
      <w:jc w:val="both"/>
    </w:pPr>
    <w:rPr>
      <w:kern w:val="2"/>
    </w:rPr>
  </w:style>
  <w:style w:type="paragraph" w:styleId="31">
    <w:name w:val="List Bullet 3"/>
    <w:basedOn w:val="a"/>
    <w:qFormat/>
    <w:pPr>
      <w:widowControl w:val="0"/>
      <w:tabs>
        <w:tab w:val="left" w:pos="1200"/>
      </w:tabs>
      <w:jc w:val="both"/>
    </w:pPr>
    <w:rPr>
      <w:kern w:val="2"/>
    </w:rPr>
  </w:style>
  <w:style w:type="paragraph" w:styleId="ad">
    <w:name w:val="Body Text"/>
    <w:basedOn w:val="a"/>
    <w:link w:val="ae"/>
    <w:uiPriority w:val="99"/>
    <w:qFormat/>
    <w:pPr>
      <w:widowControl w:val="0"/>
      <w:spacing w:after="120"/>
      <w:jc w:val="both"/>
    </w:pPr>
    <w:rPr>
      <w:kern w:val="2"/>
    </w:rPr>
  </w:style>
  <w:style w:type="paragraph" w:styleId="TOC5">
    <w:name w:val="toc 5"/>
    <w:basedOn w:val="a"/>
    <w:next w:val="a"/>
    <w:autoRedefine/>
    <w:uiPriority w:val="39"/>
    <w:unhideWhenUsed/>
    <w:qFormat/>
    <w:pPr>
      <w:widowControl w:val="0"/>
      <w:ind w:leftChars="800" w:left="1680"/>
      <w:jc w:val="both"/>
    </w:pPr>
    <w:rPr>
      <w:rFonts w:asciiTheme="minorHAnsi" w:eastAsiaTheme="minorEastAsia" w:hAnsiTheme="minorHAnsi" w:cstheme="minorBidi"/>
      <w:kern w:val="2"/>
      <w:szCs w:val="22"/>
    </w:rPr>
  </w:style>
  <w:style w:type="paragraph" w:styleId="TOC3">
    <w:name w:val="toc 3"/>
    <w:basedOn w:val="a"/>
    <w:next w:val="a"/>
    <w:autoRedefine/>
    <w:uiPriority w:val="39"/>
    <w:unhideWhenUsed/>
    <w:qFormat/>
    <w:pPr>
      <w:spacing w:after="100" w:line="276" w:lineRule="auto"/>
      <w:ind w:left="440"/>
    </w:pPr>
    <w:rPr>
      <w:rFonts w:ascii="Calibri" w:hAnsi="Calibri"/>
      <w:sz w:val="22"/>
      <w:szCs w:val="22"/>
    </w:rPr>
  </w:style>
  <w:style w:type="paragraph" w:styleId="af">
    <w:name w:val="Plain Text"/>
    <w:basedOn w:val="a"/>
    <w:link w:val="af0"/>
    <w:qFormat/>
    <w:pPr>
      <w:widowControl w:val="0"/>
      <w:jc w:val="both"/>
    </w:pPr>
    <w:rPr>
      <w:rFonts w:hAnsi="Courier New"/>
      <w:kern w:val="2"/>
    </w:rPr>
  </w:style>
  <w:style w:type="paragraph" w:styleId="TOC8">
    <w:name w:val="toc 8"/>
    <w:basedOn w:val="a"/>
    <w:next w:val="a"/>
    <w:autoRedefine/>
    <w:uiPriority w:val="39"/>
    <w:unhideWhenUsed/>
    <w:qFormat/>
    <w:pPr>
      <w:widowControl w:val="0"/>
      <w:ind w:leftChars="1400" w:left="2940"/>
      <w:jc w:val="both"/>
    </w:pPr>
    <w:rPr>
      <w:rFonts w:asciiTheme="minorHAnsi" w:eastAsiaTheme="minorEastAsia" w:hAnsiTheme="minorHAnsi" w:cstheme="minorBidi"/>
      <w:kern w:val="2"/>
      <w:szCs w:val="22"/>
    </w:rPr>
  </w:style>
  <w:style w:type="paragraph" w:styleId="af1">
    <w:name w:val="Date"/>
    <w:basedOn w:val="a"/>
    <w:next w:val="a"/>
    <w:link w:val="af2"/>
    <w:uiPriority w:val="99"/>
    <w:qFormat/>
    <w:pPr>
      <w:widowControl w:val="0"/>
      <w:ind w:leftChars="2500" w:left="100"/>
      <w:jc w:val="both"/>
    </w:pPr>
    <w:rPr>
      <w:kern w:val="2"/>
    </w:rPr>
  </w:style>
  <w:style w:type="paragraph" w:styleId="af3">
    <w:name w:val="endnote text"/>
    <w:basedOn w:val="a"/>
    <w:link w:val="af4"/>
    <w:uiPriority w:val="99"/>
    <w:semiHidden/>
    <w:unhideWhenUsed/>
    <w:qFormat/>
    <w:pPr>
      <w:snapToGrid w:val="0"/>
    </w:pPr>
  </w:style>
  <w:style w:type="paragraph" w:styleId="af5">
    <w:name w:val="Balloon Text"/>
    <w:basedOn w:val="a"/>
    <w:link w:val="af6"/>
    <w:uiPriority w:val="99"/>
    <w:unhideWhenUsed/>
    <w:qFormat/>
    <w:pPr>
      <w:widowControl w:val="0"/>
      <w:jc w:val="both"/>
    </w:pPr>
    <w:rPr>
      <w:rFonts w:ascii="Calibri" w:hAnsi="Calibri"/>
      <w:kern w:val="2"/>
      <w:sz w:val="18"/>
      <w:szCs w:val="18"/>
    </w:rPr>
  </w:style>
  <w:style w:type="paragraph" w:styleId="af7">
    <w:name w:val="footer"/>
    <w:basedOn w:val="a"/>
    <w:link w:val="af8"/>
    <w:uiPriority w:val="99"/>
    <w:unhideWhenUsed/>
    <w:qFormat/>
    <w:pPr>
      <w:widowControl w:val="0"/>
      <w:tabs>
        <w:tab w:val="center" w:pos="4153"/>
        <w:tab w:val="right" w:pos="8306"/>
      </w:tabs>
      <w:snapToGrid w:val="0"/>
    </w:pPr>
    <w:rPr>
      <w:rFonts w:ascii="Calibri" w:hAnsi="Calibri"/>
      <w:kern w:val="2"/>
      <w:sz w:val="18"/>
      <w:szCs w:val="18"/>
    </w:rPr>
  </w:style>
  <w:style w:type="paragraph" w:styleId="af9">
    <w:name w:val="header"/>
    <w:basedOn w:val="a"/>
    <w:link w:val="afa"/>
    <w:uiPriority w:val="99"/>
    <w:unhideWhenUsed/>
    <w:qFormat/>
    <w:pPr>
      <w:widowControl w:val="0"/>
      <w:pBdr>
        <w:bottom w:val="single" w:sz="6" w:space="1" w:color="auto"/>
      </w:pBdr>
      <w:tabs>
        <w:tab w:val="center" w:pos="4153"/>
        <w:tab w:val="right" w:pos="8306"/>
      </w:tabs>
      <w:snapToGrid w:val="0"/>
      <w:jc w:val="center"/>
    </w:pPr>
    <w:rPr>
      <w:rFonts w:ascii="Calibri" w:hAnsi="Calibri"/>
      <w:kern w:val="2"/>
      <w:sz w:val="18"/>
      <w:szCs w:val="18"/>
    </w:rPr>
  </w:style>
  <w:style w:type="paragraph" w:styleId="TOC1">
    <w:name w:val="toc 1"/>
    <w:basedOn w:val="a"/>
    <w:next w:val="a"/>
    <w:autoRedefine/>
    <w:uiPriority w:val="39"/>
    <w:qFormat/>
    <w:pPr>
      <w:widowControl w:val="0"/>
      <w:tabs>
        <w:tab w:val="left" w:pos="1260"/>
        <w:tab w:val="right" w:leader="dot" w:pos="8823"/>
      </w:tabs>
      <w:spacing w:line="360" w:lineRule="auto"/>
      <w:jc w:val="both"/>
    </w:pPr>
    <w:rPr>
      <w:kern w:val="2"/>
    </w:rPr>
  </w:style>
  <w:style w:type="paragraph" w:styleId="TOC4">
    <w:name w:val="toc 4"/>
    <w:basedOn w:val="a"/>
    <w:next w:val="a"/>
    <w:autoRedefine/>
    <w:uiPriority w:val="39"/>
    <w:unhideWhenUsed/>
    <w:qFormat/>
    <w:pPr>
      <w:widowControl w:val="0"/>
      <w:ind w:leftChars="600" w:left="1260"/>
      <w:jc w:val="both"/>
    </w:pPr>
    <w:rPr>
      <w:rFonts w:asciiTheme="minorHAnsi" w:eastAsiaTheme="minorEastAsia" w:hAnsiTheme="minorHAnsi" w:cstheme="minorBidi"/>
      <w:kern w:val="2"/>
      <w:szCs w:val="22"/>
    </w:rPr>
  </w:style>
  <w:style w:type="paragraph" w:styleId="afb">
    <w:name w:val="footnote text"/>
    <w:basedOn w:val="a"/>
    <w:link w:val="afc"/>
    <w:uiPriority w:val="99"/>
    <w:semiHidden/>
    <w:unhideWhenUsed/>
    <w:qFormat/>
    <w:pPr>
      <w:widowControl w:val="0"/>
      <w:snapToGrid w:val="0"/>
    </w:pPr>
    <w:rPr>
      <w:rFonts w:ascii="Calibri" w:hAnsi="Calibri"/>
      <w:kern w:val="2"/>
      <w:sz w:val="18"/>
      <w:szCs w:val="18"/>
    </w:rPr>
  </w:style>
  <w:style w:type="paragraph" w:styleId="TOC6">
    <w:name w:val="toc 6"/>
    <w:basedOn w:val="a"/>
    <w:next w:val="a"/>
    <w:autoRedefine/>
    <w:uiPriority w:val="39"/>
    <w:unhideWhenUsed/>
    <w:qFormat/>
    <w:pPr>
      <w:widowControl w:val="0"/>
      <w:ind w:leftChars="1000" w:left="2100"/>
      <w:jc w:val="both"/>
    </w:pPr>
    <w:rPr>
      <w:rFonts w:asciiTheme="minorHAnsi" w:eastAsiaTheme="minorEastAsia" w:hAnsiTheme="minorHAnsi" w:cstheme="minorBidi"/>
      <w:kern w:val="2"/>
      <w:szCs w:val="22"/>
    </w:rPr>
  </w:style>
  <w:style w:type="paragraph" w:styleId="TOC2">
    <w:name w:val="toc 2"/>
    <w:basedOn w:val="a"/>
    <w:next w:val="a"/>
    <w:autoRedefine/>
    <w:uiPriority w:val="39"/>
    <w:qFormat/>
    <w:pPr>
      <w:widowControl w:val="0"/>
      <w:ind w:leftChars="200" w:left="420"/>
      <w:jc w:val="both"/>
    </w:pPr>
    <w:rPr>
      <w:kern w:val="2"/>
    </w:rPr>
  </w:style>
  <w:style w:type="paragraph" w:styleId="TOC9">
    <w:name w:val="toc 9"/>
    <w:basedOn w:val="a"/>
    <w:next w:val="a"/>
    <w:autoRedefine/>
    <w:uiPriority w:val="39"/>
    <w:unhideWhenUsed/>
    <w:qFormat/>
    <w:pPr>
      <w:widowControl w:val="0"/>
      <w:ind w:leftChars="1600" w:left="3360"/>
      <w:jc w:val="both"/>
    </w:pPr>
    <w:rPr>
      <w:rFonts w:asciiTheme="minorHAnsi" w:eastAsiaTheme="minorEastAsia" w:hAnsiTheme="minorHAnsi" w:cstheme="minorBidi"/>
      <w:kern w:val="2"/>
      <w:szCs w:val="22"/>
    </w:rPr>
  </w:style>
  <w:style w:type="paragraph" w:styleId="afd">
    <w:name w:val="Normal (Web)"/>
    <w:basedOn w:val="a"/>
    <w:uiPriority w:val="99"/>
    <w:qFormat/>
    <w:pPr>
      <w:spacing w:before="100" w:beforeAutospacing="1" w:after="100" w:afterAutospacing="1"/>
    </w:pPr>
    <w:rPr>
      <w:sz w:val="24"/>
    </w:rPr>
  </w:style>
  <w:style w:type="paragraph" w:styleId="11">
    <w:name w:val="index 1"/>
    <w:basedOn w:val="a"/>
    <w:next w:val="a"/>
    <w:autoRedefine/>
    <w:semiHidden/>
    <w:qFormat/>
    <w:pPr>
      <w:ind w:firstLineChars="200" w:firstLine="420"/>
    </w:pPr>
    <w:rPr>
      <w:color w:val="000000"/>
    </w:rPr>
  </w:style>
  <w:style w:type="paragraph" w:styleId="afe">
    <w:name w:val="Title"/>
    <w:basedOn w:val="a"/>
    <w:next w:val="a"/>
    <w:link w:val="aff"/>
    <w:uiPriority w:val="10"/>
    <w:qFormat/>
    <w:pPr>
      <w:widowControl w:val="0"/>
      <w:spacing w:before="240" w:after="60"/>
      <w:jc w:val="center"/>
      <w:outlineLvl w:val="0"/>
    </w:pPr>
    <w:rPr>
      <w:rFonts w:asciiTheme="majorHAnsi" w:hAnsiTheme="majorHAnsi" w:cstheme="majorBidi"/>
      <w:b/>
      <w:bCs/>
      <w:kern w:val="2"/>
      <w:sz w:val="32"/>
      <w:szCs w:val="32"/>
    </w:rPr>
  </w:style>
  <w:style w:type="paragraph" w:styleId="aff0">
    <w:name w:val="annotation subject"/>
    <w:basedOn w:val="a9"/>
    <w:next w:val="a9"/>
    <w:link w:val="aff1"/>
    <w:uiPriority w:val="99"/>
    <w:unhideWhenUsed/>
    <w:qFormat/>
    <w:rPr>
      <w:rFonts w:ascii="Calibri" w:hAnsi="Calibri"/>
      <w:b/>
      <w:bCs/>
      <w:szCs w:val="22"/>
    </w:rPr>
  </w:style>
  <w:style w:type="table" w:styleId="aff2">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Strong"/>
    <w:basedOn w:val="a0"/>
    <w:uiPriority w:val="22"/>
    <w:qFormat/>
    <w:rPr>
      <w:b/>
      <w:bCs/>
    </w:rPr>
  </w:style>
  <w:style w:type="character" w:styleId="aff4">
    <w:name w:val="endnote reference"/>
    <w:basedOn w:val="a0"/>
    <w:uiPriority w:val="99"/>
    <w:semiHidden/>
    <w:unhideWhenUsed/>
    <w:qFormat/>
    <w:rPr>
      <w:vertAlign w:val="superscript"/>
    </w:rPr>
  </w:style>
  <w:style w:type="character" w:styleId="aff5">
    <w:name w:val="Hyperlink"/>
    <w:basedOn w:val="a0"/>
    <w:uiPriority w:val="99"/>
    <w:qFormat/>
    <w:rPr>
      <w:rFonts w:cs="Times New Roman"/>
      <w:color w:val="0000FF"/>
      <w:u w:val="single"/>
    </w:rPr>
  </w:style>
  <w:style w:type="character" w:styleId="aff6">
    <w:name w:val="annotation reference"/>
    <w:basedOn w:val="a0"/>
    <w:uiPriority w:val="99"/>
    <w:qFormat/>
    <w:rPr>
      <w:rFonts w:eastAsia="宋体" w:cs="Times New Roman"/>
      <w:kern w:val="2"/>
      <w:sz w:val="21"/>
      <w:szCs w:val="21"/>
      <w:lang w:val="en-US" w:eastAsia="zh-CN" w:bidi="ar-SA"/>
    </w:rPr>
  </w:style>
  <w:style w:type="character" w:styleId="aff7">
    <w:name w:val="footnote reference"/>
    <w:uiPriority w:val="99"/>
    <w:semiHidden/>
    <w:unhideWhenUsed/>
    <w:qFormat/>
    <w:rPr>
      <w:vertAlign w:val="superscript"/>
    </w:rPr>
  </w:style>
  <w:style w:type="character" w:customStyle="1" w:styleId="10">
    <w:name w:val="标题 1 字符"/>
    <w:basedOn w:val="a0"/>
    <w:link w:val="1"/>
    <w:uiPriority w:val="99"/>
    <w:qFormat/>
    <w:rPr>
      <w:rFonts w:eastAsia="黑体"/>
      <w:b/>
      <w:bCs/>
      <w:kern w:val="44"/>
      <w:sz w:val="28"/>
      <w:szCs w:val="44"/>
    </w:rPr>
  </w:style>
  <w:style w:type="character" w:customStyle="1" w:styleId="20">
    <w:name w:val="标题 2 字符"/>
    <w:basedOn w:val="a0"/>
    <w:link w:val="2"/>
    <w:qFormat/>
    <w:rPr>
      <w:rFonts w:ascii="Arial" w:hAnsi="Arial"/>
      <w:b/>
      <w:bCs/>
      <w:kern w:val="2"/>
      <w:sz w:val="21"/>
      <w:szCs w:val="21"/>
    </w:rPr>
  </w:style>
  <w:style w:type="character" w:customStyle="1" w:styleId="30">
    <w:name w:val="标题 3 字符"/>
    <w:basedOn w:val="a0"/>
    <w:link w:val="3"/>
    <w:uiPriority w:val="9"/>
    <w:qFormat/>
    <w:rPr>
      <w:b/>
      <w:bCs/>
      <w:kern w:val="2"/>
      <w:sz w:val="21"/>
      <w:szCs w:val="32"/>
    </w:rPr>
  </w:style>
  <w:style w:type="character" w:customStyle="1" w:styleId="40">
    <w:name w:val="标题 4 字符"/>
    <w:basedOn w:val="a0"/>
    <w:link w:val="4"/>
    <w:uiPriority w:val="9"/>
    <w:qFormat/>
    <w:rPr>
      <w:rFonts w:asciiTheme="minorEastAsia" w:eastAsiaTheme="minorEastAsia" w:hAnsiTheme="minorEastAsia"/>
      <w:b/>
      <w:bCs/>
      <w:kern w:val="2"/>
      <w:sz w:val="21"/>
      <w:szCs w:val="28"/>
    </w:rPr>
  </w:style>
  <w:style w:type="character" w:customStyle="1" w:styleId="50">
    <w:name w:val="标题 5 字符"/>
    <w:basedOn w:val="a0"/>
    <w:link w:val="5"/>
    <w:uiPriority w:val="9"/>
    <w:qFormat/>
    <w:rPr>
      <w:b/>
      <w:bCs/>
      <w:kern w:val="2"/>
      <w:sz w:val="21"/>
      <w:szCs w:val="28"/>
    </w:rPr>
  </w:style>
  <w:style w:type="paragraph" w:customStyle="1" w:styleId="TOC10">
    <w:name w:val="TOC 标题1"/>
    <w:basedOn w:val="1"/>
    <w:next w:val="a"/>
    <w:uiPriority w:val="39"/>
    <w:qFormat/>
    <w:pPr>
      <w:widowControl/>
      <w:spacing w:before="480" w:after="0" w:line="276" w:lineRule="auto"/>
      <w:outlineLvl w:val="9"/>
    </w:pPr>
    <w:rPr>
      <w:rFonts w:ascii="Cambria" w:eastAsia="宋体" w:hAnsi="Cambria"/>
      <w:color w:val="365F91"/>
      <w:kern w:val="0"/>
      <w:szCs w:val="28"/>
    </w:rPr>
  </w:style>
  <w:style w:type="character" w:customStyle="1" w:styleId="aa">
    <w:name w:val="批注文字 字符"/>
    <w:basedOn w:val="a0"/>
    <w:link w:val="a9"/>
    <w:qFormat/>
    <w:rPr>
      <w:rFonts w:ascii="Times New Roman" w:eastAsia="宋体" w:hAnsi="Times New Roman" w:cs="Times New Roman"/>
      <w:szCs w:val="21"/>
    </w:rPr>
  </w:style>
  <w:style w:type="character" w:customStyle="1" w:styleId="af6">
    <w:name w:val="批注框文本 字符"/>
    <w:basedOn w:val="a0"/>
    <w:link w:val="af5"/>
    <w:uiPriority w:val="99"/>
    <w:qFormat/>
    <w:rPr>
      <w:rFonts w:ascii="Calibri" w:eastAsia="宋体" w:hAnsi="Calibri" w:cs="Times New Roman"/>
      <w:sz w:val="18"/>
      <w:szCs w:val="18"/>
    </w:rPr>
  </w:style>
  <w:style w:type="character" w:customStyle="1" w:styleId="ac">
    <w:name w:val="称呼 字符"/>
    <w:basedOn w:val="a0"/>
    <w:link w:val="ab"/>
    <w:uiPriority w:val="99"/>
    <w:qFormat/>
    <w:rPr>
      <w:rFonts w:ascii="Times New Roman" w:eastAsia="宋体" w:hAnsi="Times New Roman" w:cs="Times New Roman"/>
      <w:szCs w:val="21"/>
    </w:rPr>
  </w:style>
  <w:style w:type="character" w:customStyle="1" w:styleId="notnullcss1">
    <w:name w:val="notnullcss1"/>
    <w:basedOn w:val="a0"/>
    <w:uiPriority w:val="99"/>
    <w:qFormat/>
    <w:rPr>
      <w:rFonts w:eastAsia="宋体" w:cs="Times New Roman"/>
      <w:color w:val="FF0000"/>
      <w:kern w:val="2"/>
      <w:sz w:val="24"/>
      <w:szCs w:val="24"/>
      <w:lang w:val="en-US" w:eastAsia="zh-CN" w:bidi="ar-SA"/>
    </w:rPr>
  </w:style>
  <w:style w:type="paragraph" w:customStyle="1" w:styleId="xl61">
    <w:name w:val="xl61"/>
    <w:basedOn w:val="a"/>
    <w:uiPriority w:val="99"/>
    <w:qFormat/>
    <w:pPr>
      <w:spacing w:before="100" w:after="100"/>
      <w:jc w:val="right"/>
    </w:pPr>
    <w:rPr>
      <w:rFonts w:ascii="Arial Unicode MS" w:eastAsia="Arial Unicode MS"/>
      <w:sz w:val="18"/>
      <w:szCs w:val="18"/>
    </w:rPr>
  </w:style>
  <w:style w:type="paragraph" w:styleId="aff8">
    <w:name w:val="List Paragraph"/>
    <w:basedOn w:val="a"/>
    <w:uiPriority w:val="34"/>
    <w:qFormat/>
    <w:pPr>
      <w:widowControl w:val="0"/>
      <w:ind w:firstLineChars="200" w:firstLine="420"/>
      <w:jc w:val="both"/>
    </w:pPr>
    <w:rPr>
      <w:rFonts w:ascii="Calibri" w:hAnsi="Calibri"/>
      <w:kern w:val="2"/>
      <w:szCs w:val="22"/>
    </w:rPr>
  </w:style>
  <w:style w:type="character" w:customStyle="1" w:styleId="aff1">
    <w:name w:val="批注主题 字符"/>
    <w:basedOn w:val="aa"/>
    <w:link w:val="aff0"/>
    <w:uiPriority w:val="99"/>
    <w:qFormat/>
    <w:rPr>
      <w:rFonts w:ascii="Calibri" w:eastAsia="宋体" w:hAnsi="Calibri" w:cs="Times New Roman"/>
      <w:b/>
      <w:bCs/>
      <w:szCs w:val="21"/>
    </w:rPr>
  </w:style>
  <w:style w:type="character" w:customStyle="1" w:styleId="afa">
    <w:name w:val="页眉 字符"/>
    <w:basedOn w:val="a0"/>
    <w:link w:val="af9"/>
    <w:uiPriority w:val="99"/>
    <w:qFormat/>
    <w:rPr>
      <w:rFonts w:ascii="Calibri" w:eastAsia="宋体" w:hAnsi="Calibri" w:cs="Times New Roman"/>
      <w:sz w:val="18"/>
      <w:szCs w:val="18"/>
    </w:rPr>
  </w:style>
  <w:style w:type="character" w:customStyle="1" w:styleId="af8">
    <w:name w:val="页脚 字符"/>
    <w:basedOn w:val="a0"/>
    <w:link w:val="af7"/>
    <w:uiPriority w:val="99"/>
    <w:qFormat/>
    <w:rPr>
      <w:rFonts w:ascii="Calibri" w:eastAsia="宋体" w:hAnsi="Calibri" w:cs="Times New Roman"/>
      <w:sz w:val="18"/>
      <w:szCs w:val="18"/>
    </w:rPr>
  </w:style>
  <w:style w:type="character" w:customStyle="1" w:styleId="af0">
    <w:name w:val="纯文本 字符"/>
    <w:basedOn w:val="a0"/>
    <w:link w:val="af"/>
    <w:qFormat/>
    <w:rPr>
      <w:rFonts w:ascii="宋体" w:eastAsia="宋体" w:hAnsi="Courier New" w:cs="Times New Roman"/>
      <w:szCs w:val="20"/>
    </w:rPr>
  </w:style>
  <w:style w:type="character" w:customStyle="1" w:styleId="headline-content2">
    <w:name w:val="headline-content2"/>
    <w:basedOn w:val="a0"/>
    <w:qFormat/>
    <w:rPr>
      <w:rFonts w:eastAsia="宋体" w:cs="Times New Roman"/>
      <w:kern w:val="2"/>
      <w:sz w:val="24"/>
      <w:szCs w:val="24"/>
      <w:lang w:val="en-US" w:eastAsia="zh-CN" w:bidi="ar-SA"/>
    </w:rPr>
  </w:style>
  <w:style w:type="character" w:customStyle="1" w:styleId="ae">
    <w:name w:val="正文文本 字符"/>
    <w:basedOn w:val="a0"/>
    <w:link w:val="ad"/>
    <w:uiPriority w:val="99"/>
    <w:qFormat/>
    <w:rPr>
      <w:rFonts w:ascii="Times New Roman" w:eastAsia="宋体" w:hAnsi="Times New Roman" w:cs="Times New Roman"/>
      <w:szCs w:val="21"/>
    </w:rPr>
  </w:style>
  <w:style w:type="paragraph" w:customStyle="1" w:styleId="write2">
    <w:name w:val="write2"/>
    <w:basedOn w:val="a"/>
    <w:uiPriority w:val="99"/>
    <w:qFormat/>
    <w:pPr>
      <w:tabs>
        <w:tab w:val="left" w:pos="709"/>
      </w:tabs>
      <w:overflowPunct w:val="0"/>
      <w:autoSpaceDE w:val="0"/>
      <w:autoSpaceDN w:val="0"/>
      <w:adjustRightInd w:val="0"/>
      <w:jc w:val="both"/>
      <w:textAlignment w:val="baseline"/>
    </w:pPr>
    <w:rPr>
      <w:rFonts w:ascii="Helvetica-Narrow" w:hAnsi="Helvetica-Narrow"/>
      <w:lang w:val="en-AU"/>
    </w:rPr>
  </w:style>
  <w:style w:type="character" w:customStyle="1" w:styleId="af2">
    <w:name w:val="日期 字符"/>
    <w:basedOn w:val="a0"/>
    <w:link w:val="af1"/>
    <w:uiPriority w:val="99"/>
    <w:qFormat/>
    <w:rPr>
      <w:rFonts w:ascii="Times New Roman" w:eastAsia="宋体" w:hAnsi="Times New Roman" w:cs="Times New Roman"/>
      <w:szCs w:val="21"/>
    </w:rPr>
  </w:style>
  <w:style w:type="character" w:customStyle="1" w:styleId="a4">
    <w:name w:val="注释标题 字符"/>
    <w:basedOn w:val="a0"/>
    <w:link w:val="a3"/>
    <w:uiPriority w:val="99"/>
    <w:qFormat/>
    <w:rPr>
      <w:rFonts w:ascii="Times New Roman" w:eastAsia="宋体" w:hAnsi="Times New Roman" w:cs="Times New Roman"/>
      <w:szCs w:val="21"/>
    </w:rPr>
  </w:style>
  <w:style w:type="paragraph" w:customStyle="1" w:styleId="51">
    <w:name w:val="标题5"/>
    <w:basedOn w:val="a"/>
    <w:qFormat/>
    <w:pPr>
      <w:keepNext/>
      <w:keepLines/>
      <w:widowControl w:val="0"/>
      <w:spacing w:before="60" w:after="60"/>
      <w:ind w:hangingChars="200" w:hanging="420"/>
      <w:jc w:val="both"/>
      <w:outlineLvl w:val="4"/>
    </w:pPr>
    <w:rPr>
      <w:b/>
      <w:bCs/>
      <w:kern w:val="2"/>
    </w:rPr>
  </w:style>
  <w:style w:type="paragraph" w:customStyle="1" w:styleId="12">
    <w:name w:val="修订1"/>
    <w:hidden/>
    <w:uiPriority w:val="99"/>
    <w:semiHidden/>
    <w:qFormat/>
    <w:rPr>
      <w:kern w:val="2"/>
      <w:sz w:val="21"/>
      <w:szCs w:val="22"/>
    </w:rPr>
  </w:style>
  <w:style w:type="character" w:customStyle="1" w:styleId="Char">
    <w:name w:val="正文的样式 Char"/>
    <w:basedOn w:val="a0"/>
    <w:link w:val="aff9"/>
    <w:qFormat/>
    <w:rPr>
      <w:kern w:val="2"/>
      <w:sz w:val="21"/>
      <w:szCs w:val="24"/>
    </w:rPr>
  </w:style>
  <w:style w:type="paragraph" w:customStyle="1" w:styleId="aff9">
    <w:name w:val="正文的样式"/>
    <w:basedOn w:val="a"/>
    <w:link w:val="Char"/>
    <w:qFormat/>
    <w:pPr>
      <w:widowControl w:val="0"/>
      <w:spacing w:before="100" w:after="100"/>
      <w:jc w:val="both"/>
    </w:pPr>
    <w:rPr>
      <w:rFonts w:ascii="Calibri" w:hAnsi="Calibri"/>
      <w:kern w:val="2"/>
    </w:rPr>
  </w:style>
  <w:style w:type="character" w:customStyle="1" w:styleId="a7">
    <w:name w:val="文档结构图 字符"/>
    <w:basedOn w:val="a0"/>
    <w:link w:val="a6"/>
    <w:uiPriority w:val="99"/>
    <w:semiHidden/>
    <w:qFormat/>
    <w:rPr>
      <w:rFonts w:ascii="宋体"/>
      <w:kern w:val="2"/>
      <w:sz w:val="18"/>
      <w:szCs w:val="18"/>
    </w:rPr>
  </w:style>
  <w:style w:type="character" w:styleId="affa">
    <w:name w:val="Placeholder Text"/>
    <w:basedOn w:val="a0"/>
    <w:uiPriority w:val="99"/>
    <w:qFormat/>
    <w:rPr>
      <w:color w:val="auto"/>
    </w:rPr>
  </w:style>
  <w:style w:type="character" w:customStyle="1" w:styleId="aff">
    <w:name w:val="标题 字符"/>
    <w:basedOn w:val="a0"/>
    <w:link w:val="afe"/>
    <w:uiPriority w:val="10"/>
    <w:qFormat/>
    <w:rPr>
      <w:rFonts w:asciiTheme="majorHAnsi" w:hAnsiTheme="majorHAnsi" w:cstheme="majorBidi"/>
      <w:b/>
      <w:bCs/>
      <w:kern w:val="2"/>
      <w:sz w:val="32"/>
      <w:szCs w:val="32"/>
    </w:rPr>
  </w:style>
  <w:style w:type="paragraph" w:styleId="affb">
    <w:name w:val="No Spacing"/>
    <w:uiPriority w:val="1"/>
    <w:qFormat/>
    <w:pPr>
      <w:widowControl w:val="0"/>
      <w:jc w:val="both"/>
    </w:pPr>
    <w:rPr>
      <w:kern w:val="2"/>
      <w:sz w:val="21"/>
      <w:szCs w:val="22"/>
    </w:rPr>
  </w:style>
  <w:style w:type="character" w:customStyle="1" w:styleId="60">
    <w:name w:val="标题 6 字符"/>
    <w:basedOn w:val="a0"/>
    <w:link w:val="6"/>
    <w:uiPriority w:val="9"/>
    <w:qFormat/>
    <w:rPr>
      <w:rFonts w:asciiTheme="majorHAnsi" w:hAnsiTheme="majorHAnsi" w:cstheme="majorBidi"/>
      <w:b/>
      <w:bCs/>
      <w:sz w:val="21"/>
      <w:szCs w:val="24"/>
    </w:rPr>
  </w:style>
  <w:style w:type="character" w:customStyle="1" w:styleId="af4">
    <w:name w:val="尾注文本 字符"/>
    <w:basedOn w:val="a0"/>
    <w:link w:val="af3"/>
    <w:uiPriority w:val="99"/>
    <w:semiHidden/>
    <w:qFormat/>
    <w:rPr>
      <w:rFonts w:ascii="宋体" w:hAnsi="宋体" w:cs="宋体"/>
      <w:sz w:val="21"/>
      <w:szCs w:val="24"/>
    </w:rPr>
  </w:style>
  <w:style w:type="character" w:customStyle="1" w:styleId="Char1">
    <w:name w:val="批注主题 Char1"/>
    <w:basedOn w:val="aa"/>
    <w:uiPriority w:val="99"/>
    <w:semiHidden/>
    <w:qFormat/>
    <w:rPr>
      <w:rFonts w:ascii="Times New Roman" w:eastAsia="宋体" w:hAnsi="Times New Roman" w:cs="Times New Roman"/>
      <w:b/>
      <w:bCs/>
      <w:szCs w:val="21"/>
    </w:rPr>
  </w:style>
  <w:style w:type="character" w:customStyle="1" w:styleId="span">
    <w:name w:val="span_"/>
    <w:basedOn w:val="a0"/>
    <w:qFormat/>
  </w:style>
  <w:style w:type="paragraph" w:customStyle="1" w:styleId="32">
    <w:name w:val="标题  3"/>
    <w:basedOn w:val="a"/>
    <w:next w:val="a"/>
    <w:link w:val="3Char"/>
    <w:qFormat/>
    <w:pPr>
      <w:keepNext/>
      <w:keepLines/>
      <w:widowControl w:val="0"/>
      <w:spacing w:before="100" w:beforeAutospacing="1" w:after="100" w:afterAutospacing="1" w:line="415" w:lineRule="auto"/>
      <w:jc w:val="both"/>
    </w:pPr>
    <w:rPr>
      <w:b/>
      <w:kern w:val="2"/>
    </w:rPr>
  </w:style>
  <w:style w:type="character" w:customStyle="1" w:styleId="3Char">
    <w:name w:val="标题  3 Char"/>
    <w:basedOn w:val="a0"/>
    <w:link w:val="32"/>
    <w:qFormat/>
    <w:rPr>
      <w:rFonts w:ascii="Times New Roman" w:hAnsi="Times New Roman"/>
      <w:b/>
      <w:kern w:val="2"/>
      <w:sz w:val="21"/>
      <w:szCs w:val="24"/>
    </w:rPr>
  </w:style>
  <w:style w:type="character" w:customStyle="1" w:styleId="70">
    <w:name w:val="标题 7 字符"/>
    <w:basedOn w:val="a0"/>
    <w:link w:val="7"/>
    <w:uiPriority w:val="9"/>
    <w:qFormat/>
    <w:rPr>
      <w:rFonts w:ascii="宋体" w:hAnsi="宋体" w:cs="宋体"/>
      <w:b/>
      <w:bCs/>
      <w:sz w:val="24"/>
      <w:szCs w:val="24"/>
    </w:rPr>
  </w:style>
  <w:style w:type="character" w:customStyle="1" w:styleId="13">
    <w:name w:val="批注主题 字符1"/>
    <w:basedOn w:val="aa"/>
    <w:uiPriority w:val="99"/>
    <w:semiHidden/>
    <w:qFormat/>
    <w:rPr>
      <w:rFonts w:ascii="Times New Roman" w:eastAsia="宋体" w:hAnsi="Times New Roman" w:cs="Times New Roman"/>
      <w:b/>
      <w:bCs/>
      <w:szCs w:val="21"/>
    </w:rPr>
  </w:style>
  <w:style w:type="character" w:customStyle="1" w:styleId="4Char">
    <w:name w:val="标题 4 Char"/>
    <w:uiPriority w:val="9"/>
    <w:qFormat/>
    <w:rPr>
      <w:rFonts w:ascii="Cambria" w:hAnsi="Cambria"/>
      <w:b/>
      <w:bCs/>
      <w:kern w:val="2"/>
      <w:sz w:val="21"/>
      <w:szCs w:val="28"/>
    </w:rPr>
  </w:style>
  <w:style w:type="paragraph" w:customStyle="1" w:styleId="41">
    <w:name w:val="4"/>
    <w:basedOn w:val="a"/>
    <w:next w:val="aff8"/>
    <w:uiPriority w:val="34"/>
    <w:qFormat/>
    <w:pPr>
      <w:widowControl w:val="0"/>
      <w:ind w:firstLineChars="200" w:firstLine="420"/>
      <w:jc w:val="both"/>
    </w:pPr>
    <w:rPr>
      <w:rFonts w:ascii="Calibri" w:hAnsi="Calibri"/>
      <w:kern w:val="2"/>
      <w:szCs w:val="22"/>
    </w:r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f8"/>
    <w:uiPriority w:val="34"/>
    <w:qFormat/>
    <w:pPr>
      <w:widowControl w:val="0"/>
      <w:ind w:firstLineChars="200" w:firstLine="420"/>
      <w:jc w:val="both"/>
    </w:pPr>
    <w:rPr>
      <w:rFonts w:ascii="Calibri" w:hAnsi="Calibri"/>
      <w:kern w:val="2"/>
      <w:szCs w:val="22"/>
    </w:rPr>
  </w:style>
  <w:style w:type="character" w:customStyle="1" w:styleId="3Char0">
    <w:name w:val="标题 3 Char"/>
    <w:uiPriority w:val="9"/>
    <w:qFormat/>
    <w:rPr>
      <w:b/>
      <w:bCs/>
      <w:kern w:val="2"/>
      <w:sz w:val="21"/>
      <w:szCs w:val="32"/>
    </w:rPr>
  </w:style>
  <w:style w:type="paragraph" w:customStyle="1" w:styleId="22">
    <w:name w:val="2"/>
    <w:basedOn w:val="a"/>
    <w:next w:val="aff8"/>
    <w:uiPriority w:val="34"/>
    <w:qFormat/>
    <w:pPr>
      <w:widowControl w:val="0"/>
      <w:ind w:firstLineChars="200" w:firstLine="420"/>
      <w:jc w:val="both"/>
    </w:pPr>
    <w:rPr>
      <w:rFonts w:ascii="Calibri" w:hAnsi="Calibri"/>
      <w:kern w:val="2"/>
      <w:szCs w:val="22"/>
    </w:rPr>
  </w:style>
  <w:style w:type="paragraph" w:customStyle="1" w:styleId="14">
    <w:name w:val="1"/>
    <w:basedOn w:val="a"/>
    <w:next w:val="aff8"/>
    <w:uiPriority w:val="34"/>
    <w:qFormat/>
    <w:pPr>
      <w:widowControl w:val="0"/>
      <w:ind w:firstLineChars="200" w:firstLine="420"/>
      <w:jc w:val="both"/>
    </w:pPr>
    <w:rPr>
      <w:rFonts w:ascii="Calibri" w:hAnsi="Calibri"/>
      <w:kern w:val="2"/>
      <w:szCs w:val="22"/>
    </w:rPr>
  </w:style>
  <w:style w:type="paragraph" w:customStyle="1" w:styleId="TableParagraph">
    <w:name w:val="Table Paragraph"/>
    <w:basedOn w:val="a"/>
    <w:uiPriority w:val="1"/>
    <w:qFormat/>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0">
    <w:name w:val="批注文字 Char"/>
    <w:qFormat/>
    <w:rPr>
      <w:rFonts w:ascii="Times New Roman" w:hAnsi="Times New Roman"/>
      <w:kern w:val="2"/>
      <w:sz w:val="21"/>
      <w:szCs w:val="21"/>
    </w:rPr>
  </w:style>
  <w:style w:type="character" w:customStyle="1" w:styleId="3Char1">
    <w:name w:val="标题 3 Char1"/>
    <w:uiPriority w:val="9"/>
    <w:qFormat/>
    <w:rPr>
      <w:b/>
      <w:bCs/>
      <w:kern w:val="2"/>
      <w:sz w:val="21"/>
      <w:szCs w:val="32"/>
    </w:rPr>
  </w:style>
  <w:style w:type="character" w:customStyle="1" w:styleId="2Char">
    <w:name w:val="标题 2 Char"/>
    <w:qFormat/>
    <w:rPr>
      <w:rFonts w:ascii="Arial" w:hAnsi="Arial"/>
      <w:b/>
      <w:bCs/>
      <w:kern w:val="2"/>
      <w:sz w:val="21"/>
      <w:szCs w:val="21"/>
    </w:rPr>
  </w:style>
  <w:style w:type="character" w:customStyle="1" w:styleId="5Char">
    <w:name w:val="标题 5 Char"/>
    <w:uiPriority w:val="9"/>
    <w:qFormat/>
    <w:rPr>
      <w:b/>
      <w:bCs/>
      <w:kern w:val="2"/>
      <w:sz w:val="21"/>
      <w:szCs w:val="28"/>
    </w:rPr>
  </w:style>
  <w:style w:type="paragraph" w:customStyle="1" w:styleId="71">
    <w:name w:val="7"/>
    <w:basedOn w:val="a"/>
    <w:next w:val="aff8"/>
    <w:uiPriority w:val="34"/>
    <w:qFormat/>
    <w:pPr>
      <w:widowControl w:val="0"/>
      <w:ind w:firstLineChars="200" w:firstLine="420"/>
      <w:jc w:val="both"/>
    </w:pPr>
    <w:rPr>
      <w:rFonts w:ascii="Calibri" w:hAnsi="Calibri"/>
      <w:kern w:val="2"/>
      <w:szCs w:val="22"/>
    </w:rPr>
  </w:style>
  <w:style w:type="character" w:customStyle="1" w:styleId="Char2">
    <w:name w:val="称呼 Char"/>
    <w:uiPriority w:val="99"/>
    <w:qFormat/>
    <w:rPr>
      <w:rFonts w:ascii="Times New Roman" w:hAnsi="Times New Roman"/>
      <w:kern w:val="2"/>
      <w:sz w:val="21"/>
      <w:szCs w:val="21"/>
    </w:rPr>
  </w:style>
  <w:style w:type="character" w:customStyle="1" w:styleId="fontstyle01">
    <w:name w:val="fontstyle01"/>
    <w:qFormat/>
    <w:rPr>
      <w:rFonts w:ascii="FZLTSK--GBK1-0" w:hAnsi="FZLTSK--GBK1-0" w:hint="default"/>
      <w:color w:val="000000"/>
      <w:sz w:val="20"/>
      <w:szCs w:val="20"/>
    </w:rPr>
  </w:style>
  <w:style w:type="paragraph" w:customStyle="1" w:styleId="61">
    <w:name w:val="6"/>
    <w:basedOn w:val="a"/>
    <w:next w:val="aff8"/>
    <w:uiPriority w:val="34"/>
    <w:qFormat/>
    <w:pPr>
      <w:widowControl w:val="0"/>
      <w:ind w:firstLineChars="200" w:firstLine="420"/>
      <w:jc w:val="both"/>
    </w:pPr>
    <w:rPr>
      <w:rFonts w:ascii="Calibri" w:hAnsi="Calibri"/>
      <w:kern w:val="2"/>
      <w:szCs w:val="22"/>
    </w:rPr>
  </w:style>
  <w:style w:type="character" w:customStyle="1" w:styleId="Char10">
    <w:name w:val="批注文字 Char1"/>
    <w:uiPriority w:val="99"/>
    <w:qFormat/>
    <w:rPr>
      <w:rFonts w:ascii="Times New Roman" w:hAnsi="Times New Roman"/>
      <w:kern w:val="2"/>
      <w:sz w:val="21"/>
      <w:szCs w:val="21"/>
    </w:rPr>
  </w:style>
  <w:style w:type="character" w:customStyle="1" w:styleId="5Char1">
    <w:name w:val="标题 5 Char1"/>
    <w:uiPriority w:val="9"/>
    <w:qFormat/>
    <w:rPr>
      <w:b/>
      <w:bCs/>
      <w:kern w:val="2"/>
      <w:sz w:val="21"/>
      <w:szCs w:val="28"/>
    </w:rPr>
  </w:style>
  <w:style w:type="character" w:customStyle="1" w:styleId="15">
    <w:name w:val="批注文字 字符1"/>
    <w:uiPriority w:val="99"/>
    <w:semiHidden/>
    <w:qFormat/>
    <w:locked/>
    <w:rPr>
      <w:rFonts w:ascii="Times New Roman" w:hAnsi="Times New Roman"/>
      <w:kern w:val="2"/>
      <w:sz w:val="21"/>
      <w:szCs w:val="21"/>
    </w:rPr>
  </w:style>
  <w:style w:type="character" w:customStyle="1" w:styleId="2Char1">
    <w:name w:val="标题 2 Char1"/>
    <w:qFormat/>
    <w:rPr>
      <w:rFonts w:ascii="Arial" w:hAnsi="Arial"/>
      <w:b/>
      <w:bCs/>
      <w:kern w:val="2"/>
      <w:sz w:val="21"/>
      <w:szCs w:val="21"/>
    </w:rPr>
  </w:style>
  <w:style w:type="character" w:customStyle="1" w:styleId="Char20">
    <w:name w:val="批注文字 Char2"/>
    <w:uiPriority w:val="99"/>
    <w:qFormat/>
    <w:rPr>
      <w:rFonts w:ascii="Times New Roman" w:hAnsi="Times New Roman"/>
      <w:kern w:val="2"/>
      <w:sz w:val="21"/>
      <w:szCs w:val="21"/>
    </w:rPr>
  </w:style>
  <w:style w:type="character" w:customStyle="1" w:styleId="5Char2">
    <w:name w:val="标题 5 Char2"/>
    <w:uiPriority w:val="9"/>
    <w:qFormat/>
    <w:rPr>
      <w:b/>
      <w:bCs/>
      <w:kern w:val="2"/>
      <w:sz w:val="21"/>
      <w:szCs w:val="28"/>
    </w:rPr>
  </w:style>
  <w:style w:type="paragraph" w:customStyle="1" w:styleId="52">
    <w:name w:val="5"/>
    <w:basedOn w:val="a"/>
    <w:next w:val="aff8"/>
    <w:uiPriority w:val="34"/>
    <w:qFormat/>
    <w:pPr>
      <w:widowControl w:val="0"/>
      <w:ind w:firstLineChars="200" w:firstLine="420"/>
      <w:jc w:val="both"/>
    </w:pPr>
    <w:rPr>
      <w:rFonts w:ascii="Calibri" w:hAnsi="Calibri"/>
      <w:kern w:val="2"/>
      <w:szCs w:val="22"/>
    </w:rPr>
  </w:style>
  <w:style w:type="character" w:customStyle="1" w:styleId="3Char2">
    <w:name w:val="标题 3 Char2"/>
    <w:uiPriority w:val="9"/>
    <w:qFormat/>
    <w:rPr>
      <w:b/>
      <w:bCs/>
      <w:kern w:val="2"/>
      <w:sz w:val="21"/>
      <w:szCs w:val="32"/>
    </w:rPr>
  </w:style>
  <w:style w:type="character" w:customStyle="1" w:styleId="3Char3">
    <w:name w:val="标题 3 Char3"/>
    <w:uiPriority w:val="9"/>
    <w:qFormat/>
    <w:rPr>
      <w:b/>
      <w:bCs/>
      <w:kern w:val="2"/>
      <w:sz w:val="21"/>
      <w:szCs w:val="32"/>
    </w:rPr>
  </w:style>
  <w:style w:type="character" w:customStyle="1" w:styleId="Char3">
    <w:name w:val="批注文字 Char3"/>
    <w:qFormat/>
    <w:rPr>
      <w:rFonts w:ascii="Times New Roman" w:hAnsi="Times New Roman"/>
      <w:kern w:val="2"/>
      <w:sz w:val="21"/>
      <w:szCs w:val="21"/>
    </w:rPr>
  </w:style>
  <w:style w:type="character" w:customStyle="1" w:styleId="4Char1">
    <w:name w:val="标题 4 Char1"/>
    <w:uiPriority w:val="9"/>
    <w:qFormat/>
    <w:rPr>
      <w:rFonts w:ascii="Cambria" w:hAnsi="Cambria"/>
      <w:b/>
      <w:bCs/>
      <w:kern w:val="2"/>
      <w:sz w:val="21"/>
      <w:szCs w:val="28"/>
    </w:rPr>
  </w:style>
  <w:style w:type="character" w:customStyle="1" w:styleId="afc">
    <w:name w:val="脚注文本 字符"/>
    <w:basedOn w:val="a0"/>
    <w:link w:val="afb"/>
    <w:uiPriority w:val="99"/>
    <w:semiHidden/>
    <w:qFormat/>
    <w:rPr>
      <w:kern w:val="2"/>
      <w:sz w:val="18"/>
      <w:szCs w:val="18"/>
    </w:rPr>
  </w:style>
  <w:style w:type="character" w:customStyle="1" w:styleId="16">
    <w:name w:val="未处理的提及1"/>
    <w:basedOn w:val="a0"/>
    <w:uiPriority w:val="99"/>
    <w:semiHidden/>
    <w:unhideWhenUsed/>
    <w:qFormat/>
    <w:rPr>
      <w:color w:val="605E5C"/>
      <w:shd w:val="clear" w:color="auto" w:fill="E1DFDD"/>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Arial Narrow" w:eastAsia="Arial Narrow" w:hAnsi="Arial Narrow" w:cs="Arial Narrow"/>
      <w:color w:val="000000"/>
      <w:sz w:val="22"/>
      <w:szCs w:val="22"/>
      <w:u w:val="none"/>
    </w:rPr>
  </w:style>
  <w:style w:type="paragraph" w:customStyle="1" w:styleId="TableText">
    <w:name w:val="Table Text"/>
    <w:qFormat/>
    <w:pPr>
      <w:jc w:val="center"/>
    </w:pPr>
    <w:rPr>
      <w:snapToGrid w:val="0"/>
      <w:color w:val="000000"/>
      <w:sz w:val="22"/>
      <w:lang w:eastAsia="en-US"/>
    </w:rPr>
  </w:style>
  <w:style w:type="character" w:customStyle="1" w:styleId="font31">
    <w:name w:val="font31"/>
    <w:basedOn w:val="a0"/>
    <w:qFormat/>
    <w:rPr>
      <w:rFonts w:ascii="宋体" w:eastAsia="宋体" w:hAnsi="宋体" w:cs="宋体" w:hint="eastAsia"/>
      <w:color w:val="000000"/>
      <w:sz w:val="20"/>
      <w:szCs w:val="20"/>
      <w:u w:val="none"/>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17">
    <w:name w:val="样式1"/>
    <w:basedOn w:val="a"/>
    <w:uiPriority w:val="99"/>
    <w:qFormat/>
    <w:pPr>
      <w:spacing w:beforeLines="100" w:line="320" w:lineRule="exact"/>
    </w:pPr>
    <w:rPr>
      <w:sz w:val="22"/>
    </w:rPr>
  </w:style>
  <w:style w:type="paragraph" w:customStyle="1" w:styleId="34">
    <w:name w:val="样式3"/>
    <w:basedOn w:val="17"/>
    <w:qFormat/>
    <w:pPr>
      <w:spacing w:beforeLines="0" w:line="360" w:lineRule="auto"/>
      <w:ind w:firstLineChars="208" w:firstLine="437"/>
      <w:jc w:val="both"/>
    </w:pPr>
    <w:rPr>
      <w:bCs/>
      <w:sz w:val="21"/>
    </w:rPr>
  </w:style>
  <w:style w:type="paragraph" w:customStyle="1" w:styleId="affc">
    <w:name w:val="缩进正文"/>
    <w:basedOn w:val="a"/>
    <w:link w:val="affd"/>
    <w:qFormat/>
    <w:pPr>
      <w:widowControl w:val="0"/>
      <w:spacing w:line="360" w:lineRule="auto"/>
      <w:ind w:firstLineChars="200" w:firstLine="200"/>
      <w:jc w:val="both"/>
    </w:pPr>
    <w:rPr>
      <w:kern w:val="2"/>
      <w:sz w:val="24"/>
    </w:rPr>
  </w:style>
  <w:style w:type="character" w:customStyle="1" w:styleId="affd">
    <w:name w:val="缩进正文 字符"/>
    <w:basedOn w:val="a0"/>
    <w:link w:val="affc"/>
    <w:qFormat/>
    <w:rPr>
      <w:kern w:val="2"/>
      <w:sz w:val="24"/>
      <w:szCs w:val="21"/>
    </w:rPr>
  </w:style>
  <w:style w:type="paragraph" w:customStyle="1" w:styleId="report-reference-section">
    <w:name w:val="report-reference-section"/>
    <w:basedOn w:val="a"/>
    <w:qFormat/>
    <w:pPr>
      <w:spacing w:before="100" w:beforeAutospacing="1" w:after="100" w:afterAutospacing="1"/>
    </w:pPr>
    <w:rPr>
      <w:rFonts w:ascii="宋体" w:hAnsi="宋体" w:cs="宋体"/>
      <w:sz w:val="24"/>
      <w:szCs w:val="24"/>
    </w:rPr>
  </w:style>
  <w:style w:type="paragraph" w:customStyle="1" w:styleId="report-section-reference-associated-number">
    <w:name w:val="report-section-reference-associated-number"/>
    <w:basedOn w:val="a"/>
    <w:qFormat/>
    <w:pPr>
      <w:spacing w:before="100" w:beforeAutospacing="1" w:after="100" w:afterAutospacing="1"/>
    </w:pPr>
    <w:rPr>
      <w:rFonts w:ascii="宋体" w:hAnsi="宋体" w:cs="宋体"/>
      <w:sz w:val="24"/>
      <w:szCs w:val="24"/>
    </w:rPr>
  </w:style>
  <w:style w:type="character" w:customStyle="1" w:styleId="report-reference-section1">
    <w:name w:val="report-reference-section1"/>
    <w:basedOn w:val="a0"/>
    <w:qFormat/>
  </w:style>
  <w:style w:type="character" w:customStyle="1" w:styleId="report-section-reference-common-property">
    <w:name w:val="report-section-reference-common-property"/>
    <w:basedOn w:val="a0"/>
    <w:qFormat/>
  </w:style>
  <w:style w:type="paragraph" w:customStyle="1" w:styleId="Style1">
    <w:name w:val="_Style 1"/>
    <w:basedOn w:val="a"/>
    <w:uiPriority w:val="34"/>
    <w:qFormat/>
    <w:pPr>
      <w:widowControl w:val="0"/>
      <w:ind w:firstLineChars="200" w:firstLine="420"/>
      <w:jc w:val="both"/>
    </w:pPr>
    <w:rPr>
      <w:rFonts w:ascii="Calibri" w:hAnsi="Calibri"/>
      <w:kern w:val="2"/>
      <w:szCs w:val="22"/>
    </w:rPr>
  </w:style>
  <w:style w:type="character" w:customStyle="1" w:styleId="font41">
    <w:name w:val="font41"/>
    <w:basedOn w:val="a0"/>
    <w:qFormat/>
    <w:rPr>
      <w:rFonts w:ascii="宋体" w:eastAsia="宋体" w:hAnsi="宋体" w:cs="宋体" w:hint="eastAsia"/>
      <w:b/>
      <w:b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o.com/s?q=%E4%BC%98%E5%8A%BF&amp;ie=utf-8&amp;src=internal_wenda_recommend_text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GBC11111111111111111111111111111"/>
        <w:category>
          <w:name w:val="常规"/>
          <w:gallery w:val="placeholder"/>
        </w:category>
        <w:types>
          <w:type w:val="bbPlcHdr"/>
        </w:types>
        <w:behaviors>
          <w:behavior w:val="content"/>
        </w:behaviors>
        <w:guid w:val="{B960C2E6-8E28-4930-AAD5-AA36AFD6E523}"/>
      </w:docPartPr>
      <w:docPartBody>
        <w:p w:rsidR="00E26BB1" w:rsidRDefault="00000000">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1F823479-1B2C-4501-A4CD-13FF47B8C52B}"/>
      </w:docPartPr>
      <w:docPartBody>
        <w:p w:rsidR="00E26BB1" w:rsidRDefault="00000000">
          <w:r>
            <w:rPr>
              <w:rStyle w:val="a3"/>
              <w:rFonts w:hint="eastAsia"/>
              <w:color w:val="333399"/>
              <w:u w:val="single"/>
            </w:rPr>
            <w:t xml:space="preserve">　　　</w:t>
          </w:r>
        </w:p>
      </w:docPartBody>
    </w:docPart>
    <w:docPart>
      <w:docPartPr>
        <w:name w:val="37EE0B3B573D4AF6B73ABC8AACD49DBD"/>
        <w:category>
          <w:name w:val="常规"/>
          <w:gallery w:val="placeholder"/>
        </w:category>
        <w:types>
          <w:type w:val="bbPlcHdr"/>
        </w:types>
        <w:behaviors>
          <w:behavior w:val="content"/>
        </w:behaviors>
        <w:guid w:val="{63312B81-4C61-402F-9E89-2C1F54C1FAB9}"/>
      </w:docPartPr>
      <w:docPartBody>
        <w:p w:rsidR="00E26BB1" w:rsidRDefault="00000000">
          <w:pPr>
            <w:pStyle w:val="37EE0B3B573D4AF6B73ABC8AACD49DBD"/>
          </w:pPr>
          <w:r>
            <w:rPr>
              <w:rStyle w:val="a3"/>
              <w:rFonts w:hint="eastAsia"/>
              <w:color w:val="333399"/>
              <w:u w:val="single"/>
            </w:rPr>
            <w:t xml:space="preserve">　　　</w:t>
          </w:r>
        </w:p>
      </w:docPartBody>
    </w:docPart>
    <w:docPart>
      <w:docPartPr>
        <w:name w:val="75344BA879AB4186923EB74BB33CEE53"/>
        <w:category>
          <w:name w:val="常规"/>
          <w:gallery w:val="placeholder"/>
        </w:category>
        <w:types>
          <w:type w:val="bbPlcHdr"/>
        </w:types>
        <w:behaviors>
          <w:behavior w:val="content"/>
        </w:behaviors>
        <w:guid w:val="{9A6E84D0-727C-409D-8078-F9DEECE3C92E}"/>
      </w:docPartPr>
      <w:docPartBody>
        <w:p w:rsidR="00E26BB1" w:rsidRDefault="00000000">
          <w:pPr>
            <w:pStyle w:val="75344BA879AB4186923EB74BB33CEE53"/>
          </w:pPr>
          <w:r>
            <w:rPr>
              <w:rStyle w:val="a3"/>
              <w:rFonts w:hint="eastAsia"/>
              <w:color w:val="333399"/>
              <w:u w:val="single"/>
            </w:rPr>
            <w:t xml:space="preserve">　　　</w:t>
          </w:r>
        </w:p>
      </w:docPartBody>
    </w:docPart>
    <w:docPart>
      <w:docPartPr>
        <w:name w:val="E1749835829B469D98D0E587B8C195BC"/>
        <w:category>
          <w:name w:val="常规"/>
          <w:gallery w:val="placeholder"/>
        </w:category>
        <w:types>
          <w:type w:val="bbPlcHdr"/>
        </w:types>
        <w:behaviors>
          <w:behavior w:val="content"/>
        </w:behaviors>
        <w:guid w:val="{E70DC453-C49C-4397-AE20-CAC31AF0B0D6}"/>
      </w:docPartPr>
      <w:docPartBody>
        <w:p w:rsidR="00E26BB1" w:rsidRDefault="00000000">
          <w:pPr>
            <w:pStyle w:val="E1749835829B469D98D0E587B8C195BC"/>
          </w:pPr>
          <w:r>
            <w:rPr>
              <w:rStyle w:val="a3"/>
              <w:rFonts w:hint="eastAsia"/>
            </w:rPr>
            <w:t xml:space="preserve">　</w:t>
          </w:r>
        </w:p>
      </w:docPartBody>
    </w:docPart>
    <w:docPart>
      <w:docPartPr>
        <w:name w:val="8295BD14C0434780AC64538E891CC7CB"/>
        <w:category>
          <w:name w:val="常规"/>
          <w:gallery w:val="placeholder"/>
        </w:category>
        <w:types>
          <w:type w:val="bbPlcHdr"/>
        </w:types>
        <w:behaviors>
          <w:behavior w:val="content"/>
        </w:behaviors>
        <w:guid w:val="{D79F2057-9CE9-494D-B7A3-7B1650A8A65A}"/>
      </w:docPartPr>
      <w:docPartBody>
        <w:p w:rsidR="00E26BB1" w:rsidRDefault="00000000">
          <w:pPr>
            <w:pStyle w:val="8295BD14C0434780AC64538E891CC7CB"/>
          </w:pPr>
          <w:r>
            <w:rPr>
              <w:rStyle w:val="a3"/>
              <w:rFonts w:hint="eastAsia"/>
              <w:color w:val="333399"/>
              <w:u w:val="single"/>
            </w:rPr>
            <w:t xml:space="preserve">　　　</w:t>
          </w:r>
        </w:p>
      </w:docPartBody>
    </w:docPart>
    <w:docPart>
      <w:docPartPr>
        <w:name w:val="9B79B63DD57C442BB5892DE430192CDC"/>
        <w:category>
          <w:name w:val="常规"/>
          <w:gallery w:val="placeholder"/>
        </w:category>
        <w:types>
          <w:type w:val="bbPlcHdr"/>
        </w:types>
        <w:behaviors>
          <w:behavior w:val="content"/>
        </w:behaviors>
        <w:guid w:val="{65D061FA-3190-4782-9A61-12DC07E627C0}"/>
      </w:docPartPr>
      <w:docPartBody>
        <w:p w:rsidR="00E26BB1" w:rsidRDefault="00000000">
          <w:pPr>
            <w:pStyle w:val="9B79B63DD57C442BB5892DE430192CDC"/>
          </w:pPr>
          <w:r>
            <w:rPr>
              <w:rStyle w:val="a3"/>
              <w:rFonts w:hint="eastAsia"/>
              <w:color w:val="333399"/>
              <w:u w:val="single"/>
            </w:rPr>
            <w:t xml:space="preserve">　　　</w:t>
          </w:r>
        </w:p>
      </w:docPartBody>
    </w:docPart>
    <w:docPart>
      <w:docPartPr>
        <w:name w:val="6EEE991819494ABBAD8386ECABF6F86D"/>
        <w:category>
          <w:name w:val="常规"/>
          <w:gallery w:val="placeholder"/>
        </w:category>
        <w:types>
          <w:type w:val="bbPlcHdr"/>
        </w:types>
        <w:behaviors>
          <w:behavior w:val="content"/>
        </w:behaviors>
        <w:guid w:val="{143B5326-22DF-4DB3-ADC8-87FBDF9EEA3B}"/>
      </w:docPartPr>
      <w:docPartBody>
        <w:p w:rsidR="00E26BB1" w:rsidRDefault="00000000">
          <w:pPr>
            <w:pStyle w:val="6EEE991819494ABBAD8386ECABF6F86D"/>
          </w:pPr>
          <w:r>
            <w:rPr>
              <w:rStyle w:val="a3"/>
              <w:rFonts w:hint="eastAsia"/>
              <w:color w:val="333399"/>
              <w:u w:val="single"/>
            </w:rPr>
            <w:t xml:space="preserve">　　　</w:t>
          </w:r>
        </w:p>
      </w:docPartBody>
    </w:docPart>
    <w:docPart>
      <w:docPartPr>
        <w:name w:val="BE7F99FF1C064B0FB2FA2ACEA981A4AA"/>
        <w:category>
          <w:name w:val="常规"/>
          <w:gallery w:val="placeholder"/>
        </w:category>
        <w:types>
          <w:type w:val="bbPlcHdr"/>
        </w:types>
        <w:behaviors>
          <w:behavior w:val="content"/>
        </w:behaviors>
        <w:guid w:val="{882FA649-53C1-4D23-B428-62D4E9586AB9}"/>
      </w:docPartPr>
      <w:docPartBody>
        <w:p w:rsidR="00E26BB1" w:rsidRDefault="00000000">
          <w:pPr>
            <w:pStyle w:val="BE7F99FF1C064B0FB2FA2ACEA981A4AA"/>
          </w:pPr>
          <w:r>
            <w:rPr>
              <w:rStyle w:val="a3"/>
              <w:rFonts w:hint="eastAsia"/>
              <w:color w:val="333399"/>
              <w:u w:val="single"/>
            </w:rPr>
            <w:t xml:space="preserve">　　　</w:t>
          </w:r>
        </w:p>
      </w:docPartBody>
    </w:docPart>
    <w:docPart>
      <w:docPartPr>
        <w:name w:val="5A4B36C15A9147F18A32ACD66B375025"/>
        <w:category>
          <w:name w:val="常规"/>
          <w:gallery w:val="placeholder"/>
        </w:category>
        <w:types>
          <w:type w:val="bbPlcHdr"/>
        </w:types>
        <w:behaviors>
          <w:behavior w:val="content"/>
        </w:behaviors>
        <w:guid w:val="{CA014004-DAA6-44C7-B8A6-FFBEACA4EC24}"/>
      </w:docPartPr>
      <w:docPartBody>
        <w:p w:rsidR="00E26BB1" w:rsidRDefault="00000000">
          <w:pPr>
            <w:pStyle w:val="5A4B36C15A9147F18A32ACD66B375025"/>
          </w:pPr>
          <w:r>
            <w:rPr>
              <w:rStyle w:val="a3"/>
              <w:rFonts w:hint="eastAsia"/>
              <w:color w:val="333399"/>
              <w:u w:val="single"/>
            </w:rPr>
            <w:t xml:space="preserve">　　　</w:t>
          </w:r>
        </w:p>
      </w:docPartBody>
    </w:docPart>
    <w:docPart>
      <w:docPartPr>
        <w:name w:val="2948EA2FF2134CEAA425134F70A9726F"/>
        <w:category>
          <w:name w:val="常规"/>
          <w:gallery w:val="placeholder"/>
        </w:category>
        <w:types>
          <w:type w:val="bbPlcHdr"/>
        </w:types>
        <w:behaviors>
          <w:behavior w:val="content"/>
        </w:behaviors>
        <w:guid w:val="{2E5719FA-3031-4BEC-81AC-01C2226CE3CF}"/>
      </w:docPartPr>
      <w:docPartBody>
        <w:p w:rsidR="00E26BB1" w:rsidRDefault="00000000">
          <w:pPr>
            <w:pStyle w:val="2948EA2FF2134CEAA425134F70A9726F"/>
          </w:pPr>
          <w:r>
            <w:rPr>
              <w:rStyle w:val="a3"/>
              <w:rFonts w:hint="eastAsia"/>
              <w:color w:val="333399"/>
              <w:u w:val="single"/>
            </w:rPr>
            <w:t xml:space="preserve">　　　</w:t>
          </w:r>
        </w:p>
      </w:docPartBody>
    </w:docPart>
    <w:docPart>
      <w:docPartPr>
        <w:name w:val="9A9947B0546741C89ADEB8477BEA750D"/>
        <w:category>
          <w:name w:val="常规"/>
          <w:gallery w:val="placeholder"/>
        </w:category>
        <w:types>
          <w:type w:val="bbPlcHdr"/>
        </w:types>
        <w:behaviors>
          <w:behavior w:val="content"/>
        </w:behaviors>
        <w:guid w:val="{A2A7AD58-0DED-4C01-95CA-08C46ADE0303}"/>
      </w:docPartPr>
      <w:docPartBody>
        <w:p w:rsidR="00E26BB1" w:rsidRDefault="00000000">
          <w:pPr>
            <w:pStyle w:val="9A9947B0546741C89ADEB8477BEA750D"/>
          </w:pPr>
          <w:r>
            <w:rPr>
              <w:rStyle w:val="a3"/>
              <w:rFonts w:hint="eastAsia"/>
              <w:color w:val="333399"/>
              <w:u w:val="single"/>
            </w:rPr>
            <w:t xml:space="preserve">　　　</w:t>
          </w:r>
        </w:p>
      </w:docPartBody>
    </w:docPart>
    <w:docPart>
      <w:docPartPr>
        <w:name w:val="0624734CAF524176AD55E0E351433BEB"/>
        <w:category>
          <w:name w:val="常规"/>
          <w:gallery w:val="placeholder"/>
        </w:category>
        <w:types>
          <w:type w:val="bbPlcHdr"/>
        </w:types>
        <w:behaviors>
          <w:behavior w:val="content"/>
        </w:behaviors>
        <w:guid w:val="{0E5B3A76-8CE0-4921-B11E-F00C66060DE7}"/>
      </w:docPartPr>
      <w:docPartBody>
        <w:p w:rsidR="00E26BB1" w:rsidRDefault="00000000">
          <w:pPr>
            <w:pStyle w:val="0624734CAF524176AD55E0E351433BEB"/>
          </w:pPr>
          <w:r>
            <w:rPr>
              <w:rStyle w:val="a3"/>
              <w:rFonts w:hint="eastAsia"/>
              <w:color w:val="333399"/>
              <w:u w:val="single"/>
            </w:rPr>
            <w:t xml:space="preserve">　　　</w:t>
          </w:r>
        </w:p>
      </w:docPartBody>
    </w:docPart>
    <w:docPart>
      <w:docPartPr>
        <w:name w:val="D8F89ABD367E4D0E9F553E3638F3A23B"/>
        <w:category>
          <w:name w:val="常规"/>
          <w:gallery w:val="placeholder"/>
        </w:category>
        <w:types>
          <w:type w:val="bbPlcHdr"/>
        </w:types>
        <w:behaviors>
          <w:behavior w:val="content"/>
        </w:behaviors>
        <w:guid w:val="{7F1BB581-B188-4EC0-A5A1-C279FD8912E2}"/>
      </w:docPartPr>
      <w:docPartBody>
        <w:p w:rsidR="00E26BB1" w:rsidRDefault="00000000">
          <w:pPr>
            <w:pStyle w:val="D8F89ABD367E4D0E9F553E3638F3A23B"/>
          </w:pPr>
          <w:r>
            <w:rPr>
              <w:rStyle w:val="a3"/>
              <w:rFonts w:hint="eastAsia"/>
              <w:color w:val="333399"/>
              <w:u w:val="single"/>
            </w:rPr>
            <w:t xml:space="preserve">　　　</w:t>
          </w:r>
        </w:p>
      </w:docPartBody>
    </w:docPart>
    <w:docPart>
      <w:docPartPr>
        <w:name w:val="313CE5DCF9FD4645943FE6559D2C1B37"/>
        <w:category>
          <w:name w:val="常规"/>
          <w:gallery w:val="placeholder"/>
        </w:category>
        <w:types>
          <w:type w:val="bbPlcHdr"/>
        </w:types>
        <w:behaviors>
          <w:behavior w:val="content"/>
        </w:behaviors>
        <w:guid w:val="{8FCBB5FE-17B2-40B2-9B59-6BA9DE650315}"/>
      </w:docPartPr>
      <w:docPartBody>
        <w:p w:rsidR="00E26BB1" w:rsidRDefault="00000000">
          <w:pPr>
            <w:pStyle w:val="313CE5DCF9FD4645943FE6559D2C1B37"/>
          </w:pPr>
          <w:r>
            <w:rPr>
              <w:rStyle w:val="a3"/>
              <w:rFonts w:hint="eastAsia"/>
              <w:color w:val="333399"/>
              <w:u w:val="single"/>
            </w:rPr>
            <w:t xml:space="preserve">　　　</w:t>
          </w:r>
        </w:p>
      </w:docPartBody>
    </w:docPart>
    <w:docPart>
      <w:docPartPr>
        <w:name w:val="D6B43E1E9FB84A5F95A261E98FB41DE7"/>
        <w:category>
          <w:name w:val="常规"/>
          <w:gallery w:val="placeholder"/>
        </w:category>
        <w:types>
          <w:type w:val="bbPlcHdr"/>
        </w:types>
        <w:behaviors>
          <w:behavior w:val="content"/>
        </w:behaviors>
        <w:guid w:val="{F9EF532F-B22A-48CD-AB92-5798C58DA29D}"/>
      </w:docPartPr>
      <w:docPartBody>
        <w:p w:rsidR="00E26BB1" w:rsidRDefault="00000000">
          <w:pPr>
            <w:pStyle w:val="D6B43E1E9FB84A5F95A261E98FB41DE7"/>
          </w:pPr>
          <w:r>
            <w:rPr>
              <w:rStyle w:val="a3"/>
              <w:rFonts w:hint="eastAsia"/>
              <w:color w:val="333399"/>
              <w:u w:val="single"/>
            </w:rPr>
            <w:t xml:space="preserve">　　　</w:t>
          </w:r>
        </w:p>
      </w:docPartBody>
    </w:docPart>
    <w:docPart>
      <w:docPartPr>
        <w:name w:val="7DC4B30543614A04808EE287C4F889F5"/>
        <w:category>
          <w:name w:val="常规"/>
          <w:gallery w:val="placeholder"/>
        </w:category>
        <w:types>
          <w:type w:val="bbPlcHdr"/>
        </w:types>
        <w:behaviors>
          <w:behavior w:val="content"/>
        </w:behaviors>
        <w:guid w:val="{20E08796-1393-4FCA-A8F6-959CB4C52987}"/>
      </w:docPartPr>
      <w:docPartBody>
        <w:p w:rsidR="00E26BB1" w:rsidRDefault="00000000">
          <w:pPr>
            <w:pStyle w:val="7DC4B30543614A04808EE287C4F889F5"/>
          </w:pPr>
          <w:r>
            <w:rPr>
              <w:rStyle w:val="a3"/>
              <w:rFonts w:hint="eastAsia"/>
              <w:color w:val="333399"/>
              <w:u w:val="single"/>
            </w:rPr>
            <w:t xml:space="preserve">　　　</w:t>
          </w:r>
        </w:p>
      </w:docPartBody>
    </w:docPart>
    <w:docPart>
      <w:docPartPr>
        <w:name w:val="C267AC9D08714EE48A33C9CE94E3B3AC"/>
        <w:category>
          <w:name w:val="常规"/>
          <w:gallery w:val="placeholder"/>
        </w:category>
        <w:types>
          <w:type w:val="bbPlcHdr"/>
        </w:types>
        <w:behaviors>
          <w:behavior w:val="content"/>
        </w:behaviors>
        <w:guid w:val="{B8233F6C-92AD-4E53-8F63-A6A34340C1D7}"/>
      </w:docPartPr>
      <w:docPartBody>
        <w:p w:rsidR="00E26BB1" w:rsidRDefault="00000000">
          <w:pPr>
            <w:pStyle w:val="C267AC9D08714EE48A33C9CE94E3B3AC"/>
          </w:pPr>
          <w:r>
            <w:rPr>
              <w:rStyle w:val="a3"/>
              <w:rFonts w:hint="eastAsia"/>
              <w:color w:val="333399"/>
              <w:u w:val="single"/>
            </w:rPr>
            <w:t xml:space="preserve">　　　</w:t>
          </w:r>
        </w:p>
      </w:docPartBody>
    </w:docPart>
    <w:docPart>
      <w:docPartPr>
        <w:name w:val="F8AEF1EFE5F3463AA053067EDB0EBE9D"/>
        <w:category>
          <w:name w:val="常规"/>
          <w:gallery w:val="placeholder"/>
        </w:category>
        <w:types>
          <w:type w:val="bbPlcHdr"/>
        </w:types>
        <w:behaviors>
          <w:behavior w:val="content"/>
        </w:behaviors>
        <w:guid w:val="{D5E6AF3E-5BC4-4830-9BA0-F18E50284F4A}"/>
      </w:docPartPr>
      <w:docPartBody>
        <w:p w:rsidR="00E26BB1" w:rsidRDefault="00000000">
          <w:pPr>
            <w:pStyle w:val="F8AEF1EFE5F3463AA053067EDB0EBE9D"/>
          </w:pPr>
          <w:r>
            <w:rPr>
              <w:rStyle w:val="a3"/>
              <w:rFonts w:hint="eastAsia"/>
              <w:color w:val="333399"/>
              <w:u w:val="single"/>
            </w:rPr>
            <w:t xml:space="preserve">　　　</w:t>
          </w:r>
        </w:p>
      </w:docPartBody>
    </w:docPart>
    <w:docPart>
      <w:docPartPr>
        <w:name w:val="C8629D969A594B3F8E1642168D804037"/>
        <w:category>
          <w:name w:val="常规"/>
          <w:gallery w:val="placeholder"/>
        </w:category>
        <w:types>
          <w:type w:val="bbPlcHdr"/>
        </w:types>
        <w:behaviors>
          <w:behavior w:val="content"/>
        </w:behaviors>
        <w:guid w:val="{C421B2E6-BCB2-42CA-B1AD-B67210C5F298}"/>
      </w:docPartPr>
      <w:docPartBody>
        <w:p w:rsidR="00E26BB1" w:rsidRDefault="00000000">
          <w:pPr>
            <w:pStyle w:val="C8629D969A594B3F8E1642168D804037"/>
          </w:pPr>
          <w:r>
            <w:rPr>
              <w:rStyle w:val="a3"/>
              <w:rFonts w:hint="eastAsia"/>
              <w:color w:val="333399"/>
              <w:u w:val="single"/>
            </w:rPr>
            <w:t xml:space="preserve">　　　</w:t>
          </w:r>
        </w:p>
      </w:docPartBody>
    </w:docPart>
    <w:docPart>
      <w:docPartPr>
        <w:name w:val="{e7bf870f-266b-4400-ae15-ab5db3ec18a3}"/>
        <w:category>
          <w:name w:val="常规"/>
          <w:gallery w:val="placeholder"/>
        </w:category>
        <w:types>
          <w:type w:val="bbPlcHdr"/>
        </w:types>
        <w:behaviors>
          <w:behavior w:val="content"/>
        </w:behaviors>
        <w:guid w:val="{E7BF870F-266B-4400-AE15-AB5DB3EC18A3}"/>
      </w:docPartPr>
      <w:docPartBody>
        <w:p w:rsidR="00E26BB1" w:rsidRDefault="00000000">
          <w:r>
            <w:rPr>
              <w:rStyle w:val="a3"/>
              <w:color w:val="333399"/>
              <w:u w:val="single"/>
            </w:rPr>
            <w:t xml:space="preserve">　　　</w:t>
          </w:r>
        </w:p>
      </w:docPartBody>
    </w:docPart>
    <w:docPart>
      <w:docPartPr>
        <w:name w:val="{1bb3a421-ce69-4ed2-9de4-85023fb22c8c}"/>
        <w:category>
          <w:name w:val="常规"/>
          <w:gallery w:val="placeholder"/>
        </w:category>
        <w:types>
          <w:type w:val="bbPlcHdr"/>
        </w:types>
        <w:behaviors>
          <w:behavior w:val="content"/>
        </w:behaviors>
        <w:guid w:val="{1BB3A421-CE69-4ED2-9DE4-85023FB22C8C}"/>
      </w:docPartPr>
      <w:docPartBody>
        <w:p w:rsidR="00E26BB1" w:rsidRDefault="00000000">
          <w:r>
            <w:rPr>
              <w:rStyle w:val="a3"/>
              <w:color w:val="333399"/>
              <w:u w:val="single"/>
            </w:rPr>
            <w:t xml:space="preserve">　　　</w:t>
          </w:r>
        </w:p>
      </w:docPartBody>
    </w:docPart>
    <w:docPart>
      <w:docPartPr>
        <w:name w:val="{46c73cee-f378-4a8d-beb0-af5b31928e0a}"/>
        <w:category>
          <w:name w:val="常规"/>
          <w:gallery w:val="placeholder"/>
        </w:category>
        <w:types>
          <w:type w:val="bbPlcHdr"/>
        </w:types>
        <w:behaviors>
          <w:behavior w:val="content"/>
        </w:behaviors>
        <w:guid w:val="{46C73CEE-F378-4A8D-BEB0-AF5B31928E0A}"/>
      </w:docPartPr>
      <w:docPartBody>
        <w:p w:rsidR="00E26BB1" w:rsidRDefault="00000000">
          <w:r>
            <w:rPr>
              <w:rStyle w:val="a3"/>
              <w:color w:val="333399"/>
              <w:u w:val="single"/>
            </w:rPr>
            <w:t xml:space="preserve">　　　</w:t>
          </w:r>
        </w:p>
      </w:docPartBody>
    </w:docPart>
    <w:docPart>
      <w:docPartPr>
        <w:name w:val="{80da7374-e8d4-411e-8569-a3735c9bf188}"/>
        <w:category>
          <w:name w:val="常规"/>
          <w:gallery w:val="placeholder"/>
        </w:category>
        <w:types>
          <w:type w:val="bbPlcHdr"/>
        </w:types>
        <w:behaviors>
          <w:behavior w:val="content"/>
        </w:behaviors>
        <w:guid w:val="{80DA7374-E8D4-411E-8569-A3735C9BF188}"/>
      </w:docPartPr>
      <w:docPartBody>
        <w:p w:rsidR="00E26BB1" w:rsidRDefault="00000000">
          <w:r>
            <w:rPr>
              <w:rStyle w:val="a3"/>
              <w:color w:val="333399"/>
              <w:u w:val="single"/>
            </w:rPr>
            <w:t xml:space="preserve">　　　</w:t>
          </w:r>
        </w:p>
      </w:docPartBody>
    </w:docPart>
    <w:docPart>
      <w:docPartPr>
        <w:name w:val="{c492b1c7-935d-458b-bb1d-5843c8f2667c}"/>
        <w:category>
          <w:name w:val="常规"/>
          <w:gallery w:val="placeholder"/>
        </w:category>
        <w:types>
          <w:type w:val="bbPlcHdr"/>
        </w:types>
        <w:behaviors>
          <w:behavior w:val="content"/>
        </w:behaviors>
        <w:guid w:val="{C492B1C7-935D-458B-BB1D-5843C8F2667C}"/>
      </w:docPartPr>
      <w:docPartBody>
        <w:p w:rsidR="00E26BB1" w:rsidRDefault="00000000">
          <w:r>
            <w:rPr>
              <w:rStyle w:val="a3"/>
              <w:color w:val="333399"/>
              <w:u w:val="single"/>
            </w:rPr>
            <w:t xml:space="preserve">　　　</w:t>
          </w:r>
        </w:p>
      </w:docPartBody>
    </w:docPart>
    <w:docPart>
      <w:docPartPr>
        <w:name w:val="{2fd63c90-dfa6-4e33-bcab-707dd1f15531}"/>
        <w:category>
          <w:name w:val="常规"/>
          <w:gallery w:val="placeholder"/>
        </w:category>
        <w:types>
          <w:type w:val="bbPlcHdr"/>
        </w:types>
        <w:behaviors>
          <w:behavior w:val="content"/>
        </w:behaviors>
        <w:guid w:val="{2FD63C90-DFA6-4E33-BCAB-707DD1F15531}"/>
      </w:docPartPr>
      <w:docPartBody>
        <w:p w:rsidR="00E26BB1" w:rsidRDefault="00000000">
          <w:r>
            <w:rPr>
              <w:rStyle w:val="a3"/>
              <w:color w:val="333399"/>
              <w:u w:val="single"/>
            </w:rPr>
            <w:t xml:space="preserve">　　　</w:t>
          </w:r>
        </w:p>
      </w:docPartBody>
    </w:docPart>
    <w:docPart>
      <w:docPartPr>
        <w:name w:val="{817a9108-340a-4eae-a1fd-30230f642874}"/>
        <w:category>
          <w:name w:val="常规"/>
          <w:gallery w:val="placeholder"/>
        </w:category>
        <w:types>
          <w:type w:val="bbPlcHdr"/>
        </w:types>
        <w:behaviors>
          <w:behavior w:val="content"/>
        </w:behaviors>
        <w:guid w:val="{817A9108-340A-4EAE-A1FD-30230F642874}"/>
      </w:docPartPr>
      <w:docPartBody>
        <w:p w:rsidR="00E26BB1" w:rsidRDefault="00000000">
          <w:r>
            <w:rPr>
              <w:rStyle w:val="a3"/>
              <w:color w:val="333399"/>
              <w:u w:val="single"/>
            </w:rPr>
            <w:t xml:space="preserve">　　　</w:t>
          </w:r>
        </w:p>
      </w:docPartBody>
    </w:docPart>
    <w:docPart>
      <w:docPartPr>
        <w:name w:val="{a259f1e0-e345-4d3e-b397-de7b16675dc5}"/>
        <w:category>
          <w:name w:val="常规"/>
          <w:gallery w:val="placeholder"/>
        </w:category>
        <w:types>
          <w:type w:val="bbPlcHdr"/>
        </w:types>
        <w:behaviors>
          <w:behavior w:val="content"/>
        </w:behaviors>
        <w:guid w:val="{A259F1E0-E345-4D3E-B397-DE7B16675DC5}"/>
      </w:docPartPr>
      <w:docPartBody>
        <w:p w:rsidR="00E26BB1" w:rsidRDefault="00000000">
          <w:r>
            <w:rPr>
              <w:rStyle w:val="a3"/>
              <w:color w:val="333399"/>
              <w:u w:val="single"/>
            </w:rPr>
            <w:t xml:space="preserve">　　　</w:t>
          </w:r>
        </w:p>
      </w:docPartBody>
    </w:docPart>
    <w:docPart>
      <w:docPartPr>
        <w:name w:val="{a3194fed-853d-47f2-9d91-72c2e4fbf858}"/>
        <w:category>
          <w:name w:val="常规"/>
          <w:gallery w:val="placeholder"/>
        </w:category>
        <w:types>
          <w:type w:val="bbPlcHdr"/>
        </w:types>
        <w:behaviors>
          <w:behavior w:val="content"/>
        </w:behaviors>
        <w:guid w:val="{A3194FED-853D-47F2-9D91-72C2E4FBF858}"/>
      </w:docPartPr>
      <w:docPartBody>
        <w:p w:rsidR="00E26BB1" w:rsidRDefault="00000000">
          <w:r>
            <w:rPr>
              <w:rStyle w:val="a3"/>
              <w:color w:val="333399"/>
              <w:u w:val="single"/>
            </w:rPr>
            <w:t xml:space="preserve">　　　</w:t>
          </w:r>
        </w:p>
      </w:docPartBody>
    </w:docPart>
    <w:docPart>
      <w:docPartPr>
        <w:name w:val="{25fcb543-b17d-42ab-9ba0-c5bd479fd536}"/>
        <w:category>
          <w:name w:val="常规"/>
          <w:gallery w:val="placeholder"/>
        </w:category>
        <w:types>
          <w:type w:val="bbPlcHdr"/>
        </w:types>
        <w:behaviors>
          <w:behavior w:val="content"/>
        </w:behaviors>
        <w:guid w:val="{25FCB543-B17D-42AB-9BA0-C5BD479FD536}"/>
      </w:docPartPr>
      <w:docPartBody>
        <w:p w:rsidR="00E26BB1" w:rsidRDefault="00000000">
          <w:r>
            <w:rPr>
              <w:rStyle w:val="a3"/>
              <w:color w:val="333399"/>
              <w:u w:val="single"/>
            </w:rPr>
            <w:t xml:space="preserve">　　　</w:t>
          </w:r>
        </w:p>
      </w:docPartBody>
    </w:docPart>
    <w:docPart>
      <w:docPartPr>
        <w:name w:val="{85c543c3-d402-4035-ae1d-5d6e08b1bbd1}"/>
        <w:category>
          <w:name w:val="常规"/>
          <w:gallery w:val="placeholder"/>
        </w:category>
        <w:types>
          <w:type w:val="bbPlcHdr"/>
        </w:types>
        <w:behaviors>
          <w:behavior w:val="content"/>
        </w:behaviors>
        <w:guid w:val="{85C543C3-D402-4035-AE1D-5D6E08B1BBD1}"/>
      </w:docPartPr>
      <w:docPartBody>
        <w:p w:rsidR="00E26BB1" w:rsidRDefault="00000000">
          <w:r>
            <w:rPr>
              <w:rStyle w:val="a3"/>
              <w:color w:val="333399"/>
              <w:u w:val="single"/>
            </w:rPr>
            <w:t xml:space="preserve">　　　</w:t>
          </w:r>
        </w:p>
      </w:docPartBody>
    </w:docPart>
    <w:docPart>
      <w:docPartPr>
        <w:name w:val="{e0446ae2-b0bc-4f1d-97f8-baaea193d470}"/>
        <w:category>
          <w:name w:val="常规"/>
          <w:gallery w:val="placeholder"/>
        </w:category>
        <w:types>
          <w:type w:val="bbPlcHdr"/>
        </w:types>
        <w:behaviors>
          <w:behavior w:val="content"/>
        </w:behaviors>
        <w:guid w:val="{E0446AE2-B0BC-4F1D-97F8-BAAEA193D470}"/>
      </w:docPartPr>
      <w:docPartBody>
        <w:p w:rsidR="00E26BB1" w:rsidRDefault="00000000">
          <w:r>
            <w:rPr>
              <w:rStyle w:val="a3"/>
              <w:color w:val="333399"/>
              <w:u w:val="single"/>
            </w:rPr>
            <w:t xml:space="preserve">　　　</w:t>
          </w:r>
        </w:p>
      </w:docPartBody>
    </w:docPart>
    <w:docPart>
      <w:docPartPr>
        <w:name w:val="{a37ec765-38cb-418c-b3ee-c3340939c876}"/>
        <w:category>
          <w:name w:val="常规"/>
          <w:gallery w:val="placeholder"/>
        </w:category>
        <w:types>
          <w:type w:val="bbPlcHdr"/>
        </w:types>
        <w:behaviors>
          <w:behavior w:val="content"/>
        </w:behaviors>
        <w:guid w:val="{A37EC765-38CB-418C-B3EE-C3340939C876}"/>
      </w:docPartPr>
      <w:docPartBody>
        <w:p w:rsidR="00E26BB1" w:rsidRDefault="00000000">
          <w:r>
            <w:rPr>
              <w:rStyle w:val="a3"/>
              <w:color w:val="333399"/>
              <w:u w:val="single"/>
            </w:rPr>
            <w:t xml:space="preserve">　　　</w:t>
          </w:r>
        </w:p>
      </w:docPartBody>
    </w:docPart>
    <w:docPart>
      <w:docPartPr>
        <w:name w:val="{fa3202e8-578a-4960-91a2-c6a64d549793}"/>
        <w:category>
          <w:name w:val="常规"/>
          <w:gallery w:val="placeholder"/>
        </w:category>
        <w:types>
          <w:type w:val="bbPlcHdr"/>
        </w:types>
        <w:behaviors>
          <w:behavior w:val="content"/>
        </w:behaviors>
        <w:guid w:val="{FA3202E8-578A-4960-91A2-C6A64D549793}"/>
      </w:docPartPr>
      <w:docPartBody>
        <w:p w:rsidR="00E26BB1" w:rsidRDefault="00000000">
          <w:r>
            <w:rPr>
              <w:rStyle w:val="a3"/>
              <w:color w:val="333399"/>
              <w:u w:val="single"/>
            </w:rPr>
            <w:t xml:space="preserve">　　　</w:t>
          </w:r>
        </w:p>
      </w:docPartBody>
    </w:docPart>
    <w:docPart>
      <w:docPartPr>
        <w:name w:val="{17b20ada-6dd1-400a-b6da-ae58eb5c2fae}"/>
        <w:category>
          <w:name w:val="常规"/>
          <w:gallery w:val="placeholder"/>
        </w:category>
        <w:types>
          <w:type w:val="bbPlcHdr"/>
        </w:types>
        <w:behaviors>
          <w:behavior w:val="content"/>
        </w:behaviors>
        <w:guid w:val="{17B20ADA-6DD1-400A-B6DA-AE58EB5C2FAE}"/>
      </w:docPartPr>
      <w:docPartBody>
        <w:p w:rsidR="00E26BB1" w:rsidRDefault="00000000">
          <w:r>
            <w:rPr>
              <w:rStyle w:val="a3"/>
              <w:color w:val="333399"/>
              <w:u w:val="single"/>
            </w:rPr>
            <w:t xml:space="preserve">　　　</w:t>
          </w:r>
        </w:p>
      </w:docPartBody>
    </w:docPart>
    <w:docPart>
      <w:docPartPr>
        <w:name w:val="{c2f8ebba-868c-4ed6-a7e1-138f1820a50f}"/>
        <w:category>
          <w:name w:val="常规"/>
          <w:gallery w:val="placeholder"/>
        </w:category>
        <w:types>
          <w:type w:val="bbPlcHdr"/>
        </w:types>
        <w:behaviors>
          <w:behavior w:val="content"/>
        </w:behaviors>
        <w:guid w:val="{C2F8EBBA-868C-4ED6-A7E1-138F1820A50F}"/>
      </w:docPartPr>
      <w:docPartBody>
        <w:p w:rsidR="00E26BB1" w:rsidRDefault="00000000">
          <w:r>
            <w:rPr>
              <w:rStyle w:val="a3"/>
              <w:color w:val="333399"/>
              <w:u w:val="single"/>
            </w:rPr>
            <w:t xml:space="preserve">　　　</w:t>
          </w:r>
        </w:p>
      </w:docPartBody>
    </w:docPart>
    <w:docPart>
      <w:docPartPr>
        <w:name w:val="{f9ae9193-a6bc-462a-b286-7781f6c2e726}"/>
        <w:category>
          <w:name w:val="常规"/>
          <w:gallery w:val="placeholder"/>
        </w:category>
        <w:types>
          <w:type w:val="bbPlcHdr"/>
        </w:types>
        <w:behaviors>
          <w:behavior w:val="content"/>
        </w:behaviors>
        <w:guid w:val="{F9AE9193-A6BC-462A-B286-7781F6C2E726}"/>
      </w:docPartPr>
      <w:docPartBody>
        <w:p w:rsidR="00E26BB1" w:rsidRDefault="00000000">
          <w:r>
            <w:rPr>
              <w:rStyle w:val="a3"/>
              <w:color w:val="333399"/>
              <w:u w:val="single"/>
            </w:rPr>
            <w:t xml:space="preserve">　　　</w:t>
          </w:r>
        </w:p>
      </w:docPartBody>
    </w:docPart>
    <w:docPart>
      <w:docPartPr>
        <w:name w:val="{0073ea4e-fe93-4f99-9919-3ef2e92119c9}"/>
        <w:category>
          <w:name w:val="常规"/>
          <w:gallery w:val="placeholder"/>
        </w:category>
        <w:types>
          <w:type w:val="bbPlcHdr"/>
        </w:types>
        <w:behaviors>
          <w:behavior w:val="content"/>
        </w:behaviors>
        <w:guid w:val="{0073EA4E-FE93-4F99-9919-3EF2E92119C9}"/>
      </w:docPartPr>
      <w:docPartBody>
        <w:p w:rsidR="00E26BB1" w:rsidRDefault="00000000">
          <w:r>
            <w:rPr>
              <w:rStyle w:val="a3"/>
              <w:color w:val="333399"/>
              <w:u w:val="single"/>
            </w:rPr>
            <w:t xml:space="preserve">　　　</w:t>
          </w:r>
        </w:p>
      </w:docPartBody>
    </w:docPart>
    <w:docPart>
      <w:docPartPr>
        <w:name w:val="{5dfd012e-dd21-4e8f-b65f-9b82296fe4a8}"/>
        <w:category>
          <w:name w:val="常规"/>
          <w:gallery w:val="placeholder"/>
        </w:category>
        <w:types>
          <w:type w:val="bbPlcHdr"/>
        </w:types>
        <w:behaviors>
          <w:behavior w:val="content"/>
        </w:behaviors>
        <w:guid w:val="{5DFD012E-DD21-4E8F-B65F-9B82296FE4A8}"/>
      </w:docPartPr>
      <w:docPartBody>
        <w:p w:rsidR="00E26BB1" w:rsidRDefault="00000000">
          <w:r>
            <w:rPr>
              <w:rStyle w:val="a3"/>
              <w:color w:val="333399"/>
              <w:u w:val="single"/>
            </w:rPr>
            <w:t xml:space="preserve">　　　</w:t>
          </w:r>
        </w:p>
      </w:docPartBody>
    </w:docPart>
    <w:docPart>
      <w:docPartPr>
        <w:name w:val="{8593a942-dc7e-426c-97a0-d8c1067aa6b9}"/>
        <w:category>
          <w:name w:val="常规"/>
          <w:gallery w:val="placeholder"/>
        </w:category>
        <w:types>
          <w:type w:val="bbPlcHdr"/>
        </w:types>
        <w:behaviors>
          <w:behavior w:val="content"/>
        </w:behaviors>
        <w:guid w:val="{8593A942-DC7E-426C-97A0-D8C1067AA6B9}"/>
      </w:docPartPr>
      <w:docPartBody>
        <w:p w:rsidR="00E26BB1" w:rsidRDefault="00000000">
          <w:r>
            <w:rPr>
              <w:rStyle w:val="a3"/>
              <w:color w:val="333399"/>
              <w:u w:val="single"/>
            </w:rPr>
            <w:t xml:space="preserve">　　　</w:t>
          </w:r>
        </w:p>
      </w:docPartBody>
    </w:docPart>
    <w:docPart>
      <w:docPartPr>
        <w:name w:val="{6a6e6540-4b0f-4f84-91fc-ea5b5a8c319c}"/>
        <w:category>
          <w:name w:val="常规"/>
          <w:gallery w:val="placeholder"/>
        </w:category>
        <w:types>
          <w:type w:val="bbPlcHdr"/>
        </w:types>
        <w:behaviors>
          <w:behavior w:val="content"/>
        </w:behaviors>
        <w:guid w:val="{6A6E6540-4B0F-4F84-91FC-EA5B5A8C319C}"/>
      </w:docPartPr>
      <w:docPartBody>
        <w:p w:rsidR="00E26BB1" w:rsidRDefault="00000000">
          <w:r>
            <w:rPr>
              <w:rStyle w:val="a3"/>
              <w:color w:val="333399"/>
              <w:u w:val="single"/>
            </w:rPr>
            <w:t xml:space="preserve">　　　</w:t>
          </w:r>
        </w:p>
      </w:docPartBody>
    </w:docPart>
    <w:docPart>
      <w:docPartPr>
        <w:name w:val="{6647f273-4df9-49de-886d-183ca67765f7}"/>
        <w:category>
          <w:name w:val="常规"/>
          <w:gallery w:val="placeholder"/>
        </w:category>
        <w:types>
          <w:type w:val="bbPlcHdr"/>
        </w:types>
        <w:behaviors>
          <w:behavior w:val="content"/>
        </w:behaviors>
        <w:guid w:val="{6647F273-4DF9-49DE-886D-183CA67765F7}"/>
      </w:docPartPr>
      <w:docPartBody>
        <w:p w:rsidR="00E26BB1" w:rsidRDefault="00000000">
          <w:r>
            <w:rPr>
              <w:rStyle w:val="a3"/>
              <w:color w:val="333399"/>
              <w:u w:val="single"/>
            </w:rPr>
            <w:t xml:space="preserve">　　　</w:t>
          </w:r>
        </w:p>
      </w:docPartBody>
    </w:docPart>
    <w:docPart>
      <w:docPartPr>
        <w:name w:val="{336b4013-1ff4-4ecd-933d-fbfab686b143}"/>
        <w:category>
          <w:name w:val="常规"/>
          <w:gallery w:val="placeholder"/>
        </w:category>
        <w:types>
          <w:type w:val="bbPlcHdr"/>
        </w:types>
        <w:behaviors>
          <w:behavior w:val="content"/>
        </w:behaviors>
        <w:guid w:val="{336B4013-1FF4-4ECD-933D-FBFAB686B143}"/>
      </w:docPartPr>
      <w:docPartBody>
        <w:p w:rsidR="00E26BB1" w:rsidRDefault="00000000">
          <w:r>
            <w:rPr>
              <w:rStyle w:val="a3"/>
              <w:color w:val="333399"/>
              <w:u w:val="single"/>
            </w:rPr>
            <w:t xml:space="preserve">　　　</w:t>
          </w:r>
        </w:p>
      </w:docPartBody>
    </w:docPart>
    <w:docPart>
      <w:docPartPr>
        <w:name w:val="{d0643dbf-ab87-4936-9148-e7e2b30d728f}"/>
        <w:category>
          <w:name w:val="常规"/>
          <w:gallery w:val="placeholder"/>
        </w:category>
        <w:types>
          <w:type w:val="bbPlcHdr"/>
        </w:types>
        <w:behaviors>
          <w:behavior w:val="content"/>
        </w:behaviors>
        <w:guid w:val="{D0643DBF-AB87-4936-9148-E7E2B30D728F}"/>
      </w:docPartPr>
      <w:docPartBody>
        <w:p w:rsidR="00E26BB1" w:rsidRDefault="00000000">
          <w:r>
            <w:rPr>
              <w:rStyle w:val="a3"/>
              <w:color w:val="333399"/>
              <w:u w:val="single"/>
            </w:rPr>
            <w:t xml:space="preserve">　　　</w:t>
          </w:r>
        </w:p>
      </w:docPartBody>
    </w:docPart>
    <w:docPart>
      <w:docPartPr>
        <w:name w:val="{65fd097c-29d9-446e-a4cc-84c6425b071b}"/>
        <w:category>
          <w:name w:val="常规"/>
          <w:gallery w:val="placeholder"/>
        </w:category>
        <w:types>
          <w:type w:val="bbPlcHdr"/>
        </w:types>
        <w:behaviors>
          <w:behavior w:val="content"/>
        </w:behaviors>
        <w:guid w:val="{65FD097C-29D9-446E-A4CC-84C6425B071B}"/>
      </w:docPartPr>
      <w:docPartBody>
        <w:p w:rsidR="00E26BB1" w:rsidRDefault="00000000">
          <w:r>
            <w:rPr>
              <w:rStyle w:val="a3"/>
              <w:color w:val="333399"/>
              <w:u w:val="single"/>
            </w:rPr>
            <w:t xml:space="preserve">　　　</w:t>
          </w:r>
        </w:p>
      </w:docPartBody>
    </w:docPart>
    <w:docPart>
      <w:docPartPr>
        <w:name w:val="{c92ca34b-af49-4a59-9ea6-f78c17de66c0}"/>
        <w:category>
          <w:name w:val="常规"/>
          <w:gallery w:val="placeholder"/>
        </w:category>
        <w:types>
          <w:type w:val="bbPlcHdr"/>
        </w:types>
        <w:behaviors>
          <w:behavior w:val="content"/>
        </w:behaviors>
        <w:guid w:val="{C92CA34B-AF49-4A59-9EA6-F78C17DE66C0}"/>
      </w:docPartPr>
      <w:docPartBody>
        <w:p w:rsidR="00E26BB1" w:rsidRDefault="00000000">
          <w:r>
            <w:rPr>
              <w:rStyle w:val="a3"/>
              <w:color w:val="333399"/>
              <w:u w:val="single"/>
            </w:rPr>
            <w:t xml:space="preserve">　　　</w:t>
          </w:r>
        </w:p>
      </w:docPartBody>
    </w:docPart>
    <w:docPart>
      <w:docPartPr>
        <w:name w:val="{b281d83d-58e1-4fc4-a37d-97dc821e9a34}"/>
        <w:category>
          <w:name w:val="常规"/>
          <w:gallery w:val="placeholder"/>
        </w:category>
        <w:types>
          <w:type w:val="bbPlcHdr"/>
        </w:types>
        <w:behaviors>
          <w:behavior w:val="content"/>
        </w:behaviors>
        <w:guid w:val="{B281D83D-58E1-4FC4-A37D-97DC821E9A34}"/>
      </w:docPartPr>
      <w:docPartBody>
        <w:p w:rsidR="00E26BB1" w:rsidRDefault="00000000">
          <w:r>
            <w:rPr>
              <w:rStyle w:val="a3"/>
              <w:color w:val="333399"/>
              <w:u w:val="single"/>
            </w:rPr>
            <w:t xml:space="preserve">　　　</w:t>
          </w:r>
        </w:p>
      </w:docPartBody>
    </w:docPart>
    <w:docPart>
      <w:docPartPr>
        <w:name w:val="{bc10e724-5e63-4cce-bf1e-e6be95ae7f2a}"/>
        <w:category>
          <w:name w:val="常规"/>
          <w:gallery w:val="placeholder"/>
        </w:category>
        <w:types>
          <w:type w:val="bbPlcHdr"/>
        </w:types>
        <w:behaviors>
          <w:behavior w:val="content"/>
        </w:behaviors>
        <w:guid w:val="{BC10E724-5E63-4CCE-BF1E-E6BE95AE7F2A}"/>
      </w:docPartPr>
      <w:docPartBody>
        <w:p w:rsidR="00E26BB1" w:rsidRDefault="00000000">
          <w:r>
            <w:rPr>
              <w:rStyle w:val="a3"/>
              <w:color w:val="333399"/>
              <w:u w:val="single"/>
            </w:rPr>
            <w:t xml:space="preserve">　　　</w:t>
          </w:r>
        </w:p>
      </w:docPartBody>
    </w:docPart>
    <w:docPart>
      <w:docPartPr>
        <w:name w:val="{8571046d-f5fa-4d9c-9f4c-a5586e0959e2}"/>
        <w:category>
          <w:name w:val="常规"/>
          <w:gallery w:val="placeholder"/>
        </w:category>
        <w:types>
          <w:type w:val="bbPlcHdr"/>
        </w:types>
        <w:behaviors>
          <w:behavior w:val="content"/>
        </w:behaviors>
        <w:guid w:val="{8571046D-F5FA-4D9C-9F4C-A5586E0959E2}"/>
      </w:docPartPr>
      <w:docPartBody>
        <w:p w:rsidR="00E26BB1" w:rsidRDefault="00000000">
          <w:r>
            <w:rPr>
              <w:rStyle w:val="a3"/>
              <w:color w:val="333399"/>
              <w:u w:val="single"/>
            </w:rPr>
            <w:t xml:space="preserve">　　　</w:t>
          </w:r>
        </w:p>
      </w:docPartBody>
    </w:docPart>
    <w:docPart>
      <w:docPartPr>
        <w:name w:val="{98d76bbb-151e-4138-9d22-7af7f77768e0}"/>
        <w:category>
          <w:name w:val="常规"/>
          <w:gallery w:val="placeholder"/>
        </w:category>
        <w:types>
          <w:type w:val="bbPlcHdr"/>
        </w:types>
        <w:behaviors>
          <w:behavior w:val="content"/>
        </w:behaviors>
        <w:guid w:val="{98D76BBB-151E-4138-9D22-7AF7F77768E0}"/>
      </w:docPartPr>
      <w:docPartBody>
        <w:p w:rsidR="00E26BB1" w:rsidRDefault="00000000">
          <w:r>
            <w:rPr>
              <w:rStyle w:val="a3"/>
              <w:color w:val="333399"/>
              <w:u w:val="single"/>
            </w:rPr>
            <w:t xml:space="preserve">　　　</w:t>
          </w:r>
        </w:p>
      </w:docPartBody>
    </w:docPart>
    <w:docPart>
      <w:docPartPr>
        <w:name w:val="32BB5AF4C50E4CB98B775F263D25236E"/>
        <w:category>
          <w:name w:val="常规"/>
          <w:gallery w:val="placeholder"/>
        </w:category>
        <w:types>
          <w:type w:val="bbPlcHdr"/>
        </w:types>
        <w:behaviors>
          <w:behavior w:val="content"/>
        </w:behaviors>
        <w:guid w:val="{C5B84D09-A0E6-4357-AE28-1E0D0CDE2FCF}"/>
      </w:docPartPr>
      <w:docPartBody>
        <w:p w:rsidR="00E26BB1" w:rsidRDefault="00000000">
          <w:pPr>
            <w:pStyle w:val="32BB5AF4C50E4CB98B775F263D25236E"/>
          </w:pPr>
          <w:r>
            <w:rPr>
              <w:rStyle w:val="a3"/>
              <w:rFonts w:hint="eastAsia"/>
              <w:color w:val="333399"/>
              <w:u w:val="single"/>
            </w:rPr>
            <w:t xml:space="preserve">　　　</w:t>
          </w:r>
        </w:p>
      </w:docPartBody>
    </w:docPart>
    <w:docPart>
      <w:docPartPr>
        <w:name w:val="DDC3B5CF0C244A619CD03C5A4DFF694B"/>
        <w:category>
          <w:name w:val="常规"/>
          <w:gallery w:val="placeholder"/>
        </w:category>
        <w:types>
          <w:type w:val="bbPlcHdr"/>
        </w:types>
        <w:behaviors>
          <w:behavior w:val="content"/>
        </w:behaviors>
        <w:guid w:val="{FC8510FE-7B4D-45DE-80DC-35136D359245}"/>
      </w:docPartPr>
      <w:docPartBody>
        <w:p w:rsidR="00E26BB1" w:rsidRDefault="00000000">
          <w:pPr>
            <w:pStyle w:val="DDC3B5CF0C244A619CD03C5A4DFF694B"/>
          </w:pPr>
          <w:r>
            <w:rPr>
              <w:rStyle w:val="a3"/>
              <w:rFonts w:hint="eastAsia"/>
              <w:color w:val="333399"/>
              <w:u w:val="single"/>
            </w:rPr>
            <w:t xml:space="preserve">　　　</w:t>
          </w:r>
        </w:p>
      </w:docPartBody>
    </w:docPart>
    <w:docPart>
      <w:docPartPr>
        <w:name w:val="B1EB56E6F6F94DC981DE36D2A72155FE"/>
        <w:category>
          <w:name w:val="常规"/>
          <w:gallery w:val="placeholder"/>
        </w:category>
        <w:types>
          <w:type w:val="bbPlcHdr"/>
        </w:types>
        <w:behaviors>
          <w:behavior w:val="content"/>
        </w:behaviors>
        <w:guid w:val="{282DADBC-7AF3-4629-9D3D-597AA6BDE22D}"/>
      </w:docPartPr>
      <w:docPartBody>
        <w:p w:rsidR="00E26BB1" w:rsidRDefault="00000000">
          <w:pPr>
            <w:pStyle w:val="B1EB56E6F6F94DC981DE36D2A72155FE"/>
          </w:pPr>
          <w:r>
            <w:rPr>
              <w:rStyle w:val="a3"/>
              <w:rFonts w:hint="eastAsia"/>
              <w:color w:val="333399"/>
              <w:u w:val="single"/>
            </w:rPr>
            <w:t xml:space="preserve">　　　</w:t>
          </w:r>
        </w:p>
      </w:docPartBody>
    </w:docPart>
    <w:docPart>
      <w:docPartPr>
        <w:name w:val="FEF732353D9043128EDB1595796E7159"/>
        <w:category>
          <w:name w:val="常规"/>
          <w:gallery w:val="placeholder"/>
        </w:category>
        <w:types>
          <w:type w:val="bbPlcHdr"/>
        </w:types>
        <w:behaviors>
          <w:behavior w:val="content"/>
        </w:behaviors>
        <w:guid w:val="{9856BFAC-7402-4CA4-B16A-9CC4AB805791}"/>
      </w:docPartPr>
      <w:docPartBody>
        <w:p w:rsidR="00E26BB1" w:rsidRDefault="00000000">
          <w:pPr>
            <w:pStyle w:val="FEF732353D9043128EDB1595796E7159"/>
          </w:pPr>
          <w:r>
            <w:rPr>
              <w:rStyle w:val="a3"/>
              <w:rFonts w:hint="eastAsia"/>
              <w:color w:val="333399"/>
              <w:u w:val="single"/>
            </w:rPr>
            <w:t xml:space="preserve">　　　</w:t>
          </w:r>
        </w:p>
      </w:docPartBody>
    </w:docPart>
    <w:docPart>
      <w:docPartPr>
        <w:name w:val="{52b5b017-bc2f-444c-936b-478b0195a532}"/>
        <w:category>
          <w:name w:val="常规"/>
          <w:gallery w:val="placeholder"/>
        </w:category>
        <w:types>
          <w:type w:val="bbPlcHdr"/>
        </w:types>
        <w:behaviors>
          <w:behavior w:val="content"/>
        </w:behaviors>
        <w:guid w:val="{52B5B017-BC2F-444C-936B-478B0195A532}"/>
      </w:docPartPr>
      <w:docPartBody>
        <w:p w:rsidR="00E26BB1" w:rsidRDefault="00000000">
          <w:r>
            <w:rPr>
              <w:rStyle w:val="a3"/>
              <w:color w:val="333399"/>
              <w:u w:val="single"/>
            </w:rPr>
            <w:t xml:space="preserve">　　　</w:t>
          </w:r>
        </w:p>
      </w:docPartBody>
    </w:docPart>
    <w:docPart>
      <w:docPartPr>
        <w:name w:val="{44c6a9d6-0fd1-4c6c-a1e1-4a844a3a7582}"/>
        <w:category>
          <w:name w:val="常规"/>
          <w:gallery w:val="placeholder"/>
        </w:category>
        <w:types>
          <w:type w:val="bbPlcHdr"/>
        </w:types>
        <w:behaviors>
          <w:behavior w:val="content"/>
        </w:behaviors>
        <w:guid w:val="{44C6A9D6-0FD1-4C6C-A1E1-4A844A3A7582}"/>
      </w:docPartPr>
      <w:docPartBody>
        <w:p w:rsidR="00E26BB1" w:rsidRDefault="00000000">
          <w:r>
            <w:rPr>
              <w:rStyle w:val="a3"/>
              <w:rFonts w:hint="eastAsia"/>
              <w:color w:val="333399"/>
              <w:u w:val="single"/>
            </w:rPr>
            <w:t xml:space="preserve">　　　</w:t>
          </w:r>
        </w:p>
      </w:docPartBody>
    </w:docPart>
    <w:docPart>
      <w:docPartPr>
        <w:name w:val="{0b5e74aa-de34-461f-9c8f-9f8a5271cd4e}"/>
        <w:category>
          <w:name w:val="常规"/>
          <w:gallery w:val="placeholder"/>
        </w:category>
        <w:types>
          <w:type w:val="bbPlcHdr"/>
        </w:types>
        <w:behaviors>
          <w:behavior w:val="content"/>
        </w:behaviors>
        <w:guid w:val="{0B5E74AA-DE34-461F-9C8F-9F8A5271CD4E}"/>
      </w:docPartPr>
      <w:docPartBody>
        <w:p w:rsidR="00E26BB1" w:rsidRDefault="00000000">
          <w:r>
            <w:rPr>
              <w:rStyle w:val="a3"/>
              <w:color w:val="333399"/>
              <w:u w:val="single"/>
            </w:rPr>
            <w:t xml:space="preserve">　　　</w:t>
          </w:r>
        </w:p>
      </w:docPartBody>
    </w:docPart>
    <w:docPart>
      <w:docPartPr>
        <w:name w:val="{5cc837be-4f16-4dad-906b-ca4bf2541dea}"/>
        <w:category>
          <w:name w:val="常规"/>
          <w:gallery w:val="placeholder"/>
        </w:category>
        <w:types>
          <w:type w:val="bbPlcHdr"/>
        </w:types>
        <w:behaviors>
          <w:behavior w:val="content"/>
        </w:behaviors>
        <w:guid w:val="{5CC837BE-4F16-4DAD-906B-CA4BF2541DEA}"/>
      </w:docPartPr>
      <w:docPartBody>
        <w:p w:rsidR="00E26BB1" w:rsidRDefault="00000000">
          <w:r>
            <w:rPr>
              <w:rStyle w:val="a3"/>
              <w:color w:val="333399"/>
              <w:u w:val="single"/>
            </w:rPr>
            <w:t xml:space="preserve">　　　</w:t>
          </w:r>
        </w:p>
      </w:docPartBody>
    </w:docPart>
    <w:docPart>
      <w:docPartPr>
        <w:name w:val="{305db126-8ae0-4916-9b02-96522ac460c5}"/>
        <w:category>
          <w:name w:val="常规"/>
          <w:gallery w:val="placeholder"/>
        </w:category>
        <w:types>
          <w:type w:val="bbPlcHdr"/>
        </w:types>
        <w:behaviors>
          <w:behavior w:val="content"/>
        </w:behaviors>
        <w:guid w:val="{305DB126-8AE0-4916-9B02-96522AC460C5}"/>
      </w:docPartPr>
      <w:docPartBody>
        <w:p w:rsidR="00E26BB1" w:rsidRDefault="00000000">
          <w:r>
            <w:rPr>
              <w:rStyle w:val="a3"/>
              <w:color w:val="333399"/>
              <w:u w:val="single"/>
            </w:rPr>
            <w:t xml:space="preserve">　　　</w:t>
          </w:r>
        </w:p>
      </w:docPartBody>
    </w:docPart>
    <w:docPart>
      <w:docPartPr>
        <w:name w:val="{87b83ba8-d972-4586-9e47-b9e53f8846e3}"/>
        <w:category>
          <w:name w:val="常规"/>
          <w:gallery w:val="placeholder"/>
        </w:category>
        <w:types>
          <w:type w:val="bbPlcHdr"/>
        </w:types>
        <w:behaviors>
          <w:behavior w:val="content"/>
        </w:behaviors>
        <w:guid w:val="{87B83BA8-D972-4586-9E47-B9E53F8846E3}"/>
      </w:docPartPr>
      <w:docPartBody>
        <w:p w:rsidR="00E26BB1" w:rsidRDefault="00000000">
          <w:r>
            <w:rPr>
              <w:rStyle w:val="a3"/>
              <w:color w:val="333399"/>
              <w:u w:val="single"/>
            </w:rPr>
            <w:t xml:space="preserve">　　　</w:t>
          </w:r>
        </w:p>
      </w:docPartBody>
    </w:docPart>
    <w:docPart>
      <w:docPartPr>
        <w:name w:val="{38ecc328-73bc-41b4-b996-1a9aca71eb5a}"/>
        <w:category>
          <w:name w:val="常规"/>
          <w:gallery w:val="placeholder"/>
        </w:category>
        <w:types>
          <w:type w:val="bbPlcHdr"/>
        </w:types>
        <w:behaviors>
          <w:behavior w:val="content"/>
        </w:behaviors>
        <w:guid w:val="{38ECC328-73BC-41B4-B996-1A9ACA71EB5A}"/>
      </w:docPartPr>
      <w:docPartBody>
        <w:p w:rsidR="00E26BB1" w:rsidRDefault="00000000">
          <w:r>
            <w:rPr>
              <w:rStyle w:val="a3"/>
              <w:color w:val="333399"/>
              <w:u w:val="single"/>
            </w:rPr>
            <w:t xml:space="preserve">　　　</w:t>
          </w:r>
        </w:p>
      </w:docPartBody>
    </w:docPart>
    <w:docPart>
      <w:docPartPr>
        <w:name w:val="{0226010c-e59b-423e-9bcb-498560ffad31}"/>
        <w:category>
          <w:name w:val="常规"/>
          <w:gallery w:val="placeholder"/>
        </w:category>
        <w:types>
          <w:type w:val="bbPlcHdr"/>
        </w:types>
        <w:behaviors>
          <w:behavior w:val="content"/>
        </w:behaviors>
        <w:guid w:val="{0226010C-E59B-423E-9BCB-498560FFAD31}"/>
      </w:docPartPr>
      <w:docPartBody>
        <w:p w:rsidR="00E26BB1" w:rsidRDefault="00000000">
          <w:r>
            <w:rPr>
              <w:rStyle w:val="a3"/>
              <w:color w:val="333399"/>
              <w:u w:val="single"/>
            </w:rPr>
            <w:t xml:space="preserve">　　　</w:t>
          </w:r>
        </w:p>
      </w:docPartBody>
    </w:docPart>
    <w:docPart>
      <w:docPartPr>
        <w:name w:val="{8b6f6b89-35b0-49de-a179-482d7be9842b}"/>
        <w:category>
          <w:name w:val="常规"/>
          <w:gallery w:val="placeholder"/>
        </w:category>
        <w:types>
          <w:type w:val="bbPlcHdr"/>
        </w:types>
        <w:behaviors>
          <w:behavior w:val="content"/>
        </w:behaviors>
        <w:guid w:val="{8B6F6B89-35B0-49DE-A179-482D7BE9842B}"/>
      </w:docPartPr>
      <w:docPartBody>
        <w:p w:rsidR="00E26BB1" w:rsidRDefault="00000000">
          <w:r>
            <w:rPr>
              <w:rStyle w:val="a3"/>
              <w:color w:val="333399"/>
              <w:u w:val="single"/>
            </w:rPr>
            <w:t xml:space="preserve">　　　</w:t>
          </w:r>
        </w:p>
      </w:docPartBody>
    </w:docPart>
    <w:docPart>
      <w:docPartPr>
        <w:name w:val="{2030983b-6078-45fe-8282-6534f2206fc9}"/>
        <w:category>
          <w:name w:val="常规"/>
          <w:gallery w:val="placeholder"/>
        </w:category>
        <w:types>
          <w:type w:val="bbPlcHdr"/>
        </w:types>
        <w:behaviors>
          <w:behavior w:val="content"/>
        </w:behaviors>
        <w:guid w:val="{2030983B-6078-45FE-8282-6534F2206FC9}"/>
      </w:docPartPr>
      <w:docPartBody>
        <w:p w:rsidR="00E26BB1" w:rsidRDefault="00000000">
          <w:r>
            <w:rPr>
              <w:rStyle w:val="a3"/>
              <w:color w:val="333399"/>
              <w:u w:val="single"/>
            </w:rPr>
            <w:t xml:space="preserve">　　　</w:t>
          </w:r>
        </w:p>
      </w:docPartBody>
    </w:docPart>
    <w:docPart>
      <w:docPartPr>
        <w:name w:val="{461f3512-70b6-4900-b954-67d7377c19b5}"/>
        <w:category>
          <w:name w:val="常规"/>
          <w:gallery w:val="placeholder"/>
        </w:category>
        <w:types>
          <w:type w:val="bbPlcHdr"/>
        </w:types>
        <w:behaviors>
          <w:behavior w:val="content"/>
        </w:behaviors>
        <w:guid w:val="{461F3512-70B6-4900-B954-67D7377C19B5}"/>
      </w:docPartPr>
      <w:docPartBody>
        <w:p w:rsidR="00E26BB1" w:rsidRDefault="00000000">
          <w:r>
            <w:rPr>
              <w:rStyle w:val="a3"/>
              <w:color w:val="333399"/>
              <w:u w:val="single"/>
            </w:rPr>
            <w:t xml:space="preserve">　　　</w:t>
          </w:r>
        </w:p>
      </w:docPartBody>
    </w:docPart>
    <w:docPart>
      <w:docPartPr>
        <w:name w:val="{67c4d2a6-1a7a-4200-9c8d-a27e7e2e2eae}"/>
        <w:category>
          <w:name w:val="常规"/>
          <w:gallery w:val="placeholder"/>
        </w:category>
        <w:types>
          <w:type w:val="bbPlcHdr"/>
        </w:types>
        <w:behaviors>
          <w:behavior w:val="content"/>
        </w:behaviors>
        <w:guid w:val="{67C4D2A6-1A7A-4200-9C8D-A27E7E2E2EAE}"/>
      </w:docPartPr>
      <w:docPartBody>
        <w:p w:rsidR="00E26BB1" w:rsidRDefault="00000000">
          <w:r>
            <w:rPr>
              <w:rStyle w:val="a3"/>
              <w:color w:val="333399"/>
              <w:u w:val="single"/>
            </w:rPr>
            <w:t xml:space="preserve">　　　</w:t>
          </w:r>
        </w:p>
      </w:docPartBody>
    </w:docPart>
    <w:docPart>
      <w:docPartPr>
        <w:name w:val="{ea9c7daa-fb5f-4aae-8388-368bcc0cd4e8}"/>
        <w:category>
          <w:name w:val="常规"/>
          <w:gallery w:val="placeholder"/>
        </w:category>
        <w:types>
          <w:type w:val="bbPlcHdr"/>
        </w:types>
        <w:behaviors>
          <w:behavior w:val="content"/>
        </w:behaviors>
        <w:guid w:val="{EA9C7DAA-FB5F-4AAE-8388-368BCC0CD4E8}"/>
      </w:docPartPr>
      <w:docPartBody>
        <w:p w:rsidR="00E26BB1" w:rsidRDefault="00000000">
          <w:r>
            <w:rPr>
              <w:rStyle w:val="a3"/>
              <w:color w:val="333399"/>
              <w:u w:val="single"/>
            </w:rPr>
            <w:t xml:space="preserve">　　　</w:t>
          </w:r>
        </w:p>
      </w:docPartBody>
    </w:docPart>
    <w:docPart>
      <w:docPartPr>
        <w:name w:val="{019a90a0-080a-4c7e-806b-deb5a596a452}"/>
        <w:category>
          <w:name w:val="常规"/>
          <w:gallery w:val="placeholder"/>
        </w:category>
        <w:types>
          <w:type w:val="bbPlcHdr"/>
        </w:types>
        <w:behaviors>
          <w:behavior w:val="content"/>
        </w:behaviors>
        <w:guid w:val="{019A90A0-080A-4C7E-806B-DEB5A596A452}"/>
      </w:docPartPr>
      <w:docPartBody>
        <w:p w:rsidR="00E26BB1" w:rsidRDefault="00000000">
          <w:r>
            <w:rPr>
              <w:rStyle w:val="a3"/>
              <w:color w:val="333399"/>
              <w:u w:val="single"/>
            </w:rPr>
            <w:t xml:space="preserve">　　　</w:t>
          </w:r>
        </w:p>
      </w:docPartBody>
    </w:docPart>
    <w:docPart>
      <w:docPartPr>
        <w:name w:val="{a0007de6-8164-4d54-9b1f-db6b9daffca2}"/>
        <w:category>
          <w:name w:val="常规"/>
          <w:gallery w:val="placeholder"/>
        </w:category>
        <w:types>
          <w:type w:val="bbPlcHdr"/>
        </w:types>
        <w:behaviors>
          <w:behavior w:val="content"/>
        </w:behaviors>
        <w:guid w:val="{A0007DE6-8164-4D54-9B1F-DB6B9DAFFCA2}"/>
      </w:docPartPr>
      <w:docPartBody>
        <w:p w:rsidR="00E26BB1" w:rsidRDefault="00000000">
          <w:r>
            <w:rPr>
              <w:rStyle w:val="a3"/>
              <w:rFonts w:hint="eastAsia"/>
              <w:color w:val="333399"/>
              <w:u w:val="single"/>
            </w:rPr>
            <w:t xml:space="preserve">　　　</w:t>
          </w:r>
        </w:p>
      </w:docPartBody>
    </w:docPart>
    <w:docPart>
      <w:docPartPr>
        <w:name w:val="{5d08a68c-5cd6-447e-bac2-b58122b8ea15}"/>
        <w:category>
          <w:name w:val="常规"/>
          <w:gallery w:val="placeholder"/>
        </w:category>
        <w:types>
          <w:type w:val="bbPlcHdr"/>
        </w:types>
        <w:behaviors>
          <w:behavior w:val="content"/>
        </w:behaviors>
        <w:guid w:val="{5D08A68C-5CD6-447E-BAC2-B58122B8EA15}"/>
      </w:docPartPr>
      <w:docPartBody>
        <w:p w:rsidR="00E26BB1" w:rsidRDefault="00000000">
          <w:r>
            <w:rPr>
              <w:rStyle w:val="a3"/>
              <w:color w:val="333399"/>
              <w:u w:val="single"/>
            </w:rPr>
            <w:t xml:space="preserve">　　　</w:t>
          </w:r>
        </w:p>
      </w:docPartBody>
    </w:docPart>
    <w:docPart>
      <w:docPartPr>
        <w:name w:val="{73fbe910-c2b0-4d9b-aba1-a4a9f50ed1ef}"/>
        <w:category>
          <w:name w:val="常规"/>
          <w:gallery w:val="placeholder"/>
        </w:category>
        <w:types>
          <w:type w:val="bbPlcHdr"/>
        </w:types>
        <w:behaviors>
          <w:behavior w:val="content"/>
        </w:behaviors>
        <w:guid w:val="{73FBE910-C2B0-4D9B-ABA1-A4A9F50ED1EF}"/>
      </w:docPartPr>
      <w:docPartBody>
        <w:p w:rsidR="00E26BB1" w:rsidRDefault="00000000">
          <w:r>
            <w:rPr>
              <w:rStyle w:val="a3"/>
              <w:color w:val="333399"/>
              <w:u w:val="single"/>
            </w:rPr>
            <w:t xml:space="preserve">　　　</w:t>
          </w:r>
        </w:p>
      </w:docPartBody>
    </w:docPart>
    <w:docPart>
      <w:docPartPr>
        <w:name w:val="{28a2a1d2-f89d-4345-87e2-a8498a8aa8f7}"/>
        <w:category>
          <w:name w:val="常规"/>
          <w:gallery w:val="placeholder"/>
        </w:category>
        <w:types>
          <w:type w:val="bbPlcHdr"/>
        </w:types>
        <w:behaviors>
          <w:behavior w:val="content"/>
        </w:behaviors>
        <w:guid w:val="{28A2A1D2-F89D-4345-87E2-A8498A8AA8F7}"/>
      </w:docPartPr>
      <w:docPartBody>
        <w:p w:rsidR="00E26BB1" w:rsidRDefault="00000000">
          <w:r>
            <w:rPr>
              <w:rStyle w:val="a3"/>
              <w:color w:val="333399"/>
              <w:u w:val="single"/>
            </w:rPr>
            <w:t xml:space="preserve">　　　</w:t>
          </w:r>
        </w:p>
      </w:docPartBody>
    </w:docPart>
    <w:docPart>
      <w:docPartPr>
        <w:name w:val="{3acbab29-76fd-4d8c-84fb-0e076de099b7}"/>
        <w:category>
          <w:name w:val="常规"/>
          <w:gallery w:val="placeholder"/>
        </w:category>
        <w:types>
          <w:type w:val="bbPlcHdr"/>
        </w:types>
        <w:behaviors>
          <w:behavior w:val="content"/>
        </w:behaviors>
        <w:guid w:val="{3ACBAB29-76FD-4D8C-84FB-0E076DE099B7}"/>
      </w:docPartPr>
      <w:docPartBody>
        <w:p w:rsidR="00E26BB1" w:rsidRDefault="00000000">
          <w:r>
            <w:rPr>
              <w:rStyle w:val="a3"/>
              <w:color w:val="333399"/>
              <w:u w:val="single"/>
            </w:rPr>
            <w:t xml:space="preserve">　　　</w:t>
          </w:r>
        </w:p>
      </w:docPartBody>
    </w:docPart>
    <w:docPart>
      <w:docPartPr>
        <w:name w:val="{45080165-f451-4f5b-bd23-c8d41ab1af77}"/>
        <w:category>
          <w:name w:val="常规"/>
          <w:gallery w:val="placeholder"/>
        </w:category>
        <w:types>
          <w:type w:val="bbPlcHdr"/>
        </w:types>
        <w:behaviors>
          <w:behavior w:val="content"/>
        </w:behaviors>
        <w:guid w:val="{45080165-F451-4F5B-BD23-C8D41AB1AF77}"/>
      </w:docPartPr>
      <w:docPartBody>
        <w:p w:rsidR="00E26BB1" w:rsidRDefault="00000000">
          <w:r>
            <w:rPr>
              <w:rStyle w:val="a3"/>
              <w:color w:val="333399"/>
              <w:u w:val="single"/>
            </w:rPr>
            <w:t xml:space="preserve">　　　</w:t>
          </w:r>
        </w:p>
      </w:docPartBody>
    </w:docPart>
    <w:docPart>
      <w:docPartPr>
        <w:name w:val="{6ac31089-7645-4bd9-9917-82ecec89515d}"/>
        <w:category>
          <w:name w:val="常规"/>
          <w:gallery w:val="placeholder"/>
        </w:category>
        <w:types>
          <w:type w:val="bbPlcHdr"/>
        </w:types>
        <w:behaviors>
          <w:behavior w:val="content"/>
        </w:behaviors>
        <w:guid w:val="{6AC31089-7645-4BD9-9917-82ECEC89515D}"/>
      </w:docPartPr>
      <w:docPartBody>
        <w:p w:rsidR="00E26BB1" w:rsidRDefault="00000000">
          <w:r>
            <w:rPr>
              <w:rStyle w:val="a3"/>
              <w:color w:val="333399"/>
              <w:u w:val="single"/>
            </w:rPr>
            <w:t xml:space="preserve">　　　</w:t>
          </w:r>
        </w:p>
      </w:docPartBody>
    </w:docPart>
    <w:docPart>
      <w:docPartPr>
        <w:name w:val="{b89ddb78-3fac-48c8-95ea-2de0c32abf4b}"/>
        <w:category>
          <w:name w:val="常规"/>
          <w:gallery w:val="placeholder"/>
        </w:category>
        <w:types>
          <w:type w:val="bbPlcHdr"/>
        </w:types>
        <w:behaviors>
          <w:behavior w:val="content"/>
        </w:behaviors>
        <w:guid w:val="{B89DDB78-3FAC-48C8-95EA-2DE0C32ABF4B}"/>
      </w:docPartPr>
      <w:docPartBody>
        <w:p w:rsidR="00E26BB1" w:rsidRDefault="00000000">
          <w:r>
            <w:rPr>
              <w:rStyle w:val="a3"/>
              <w:color w:val="333399"/>
              <w:u w:val="single"/>
            </w:rPr>
            <w:t xml:space="preserve">　　　</w:t>
          </w:r>
        </w:p>
      </w:docPartBody>
    </w:docPart>
    <w:docPart>
      <w:docPartPr>
        <w:name w:val="{07f80d40-9953-4c2e-a2d1-568b9216c98c}"/>
        <w:category>
          <w:name w:val="常规"/>
          <w:gallery w:val="placeholder"/>
        </w:category>
        <w:types>
          <w:type w:val="bbPlcHdr"/>
        </w:types>
        <w:behaviors>
          <w:behavior w:val="content"/>
        </w:behaviors>
        <w:guid w:val="{07F80D40-9953-4C2E-A2D1-568B9216C98C}"/>
      </w:docPartPr>
      <w:docPartBody>
        <w:p w:rsidR="00E26BB1" w:rsidRDefault="00000000">
          <w:r>
            <w:rPr>
              <w:rStyle w:val="a3"/>
              <w:color w:val="333399"/>
              <w:u w:val="single"/>
            </w:rPr>
            <w:t xml:space="preserve">　　　</w:t>
          </w:r>
        </w:p>
      </w:docPartBody>
    </w:docPart>
    <w:docPart>
      <w:docPartPr>
        <w:name w:val="{e89ce90a-ad3e-402c-98ad-2804493583d4}"/>
        <w:category>
          <w:name w:val="常规"/>
          <w:gallery w:val="placeholder"/>
        </w:category>
        <w:types>
          <w:type w:val="bbPlcHdr"/>
        </w:types>
        <w:behaviors>
          <w:behavior w:val="content"/>
        </w:behaviors>
        <w:guid w:val="{E89CE90A-AD3E-402C-98AD-2804493583D4}"/>
      </w:docPartPr>
      <w:docPartBody>
        <w:p w:rsidR="00E26BB1" w:rsidRDefault="00000000">
          <w:r>
            <w:rPr>
              <w:rStyle w:val="a3"/>
              <w:color w:val="333399"/>
              <w:u w:val="single"/>
            </w:rPr>
            <w:t xml:space="preserve">　　　</w:t>
          </w:r>
        </w:p>
      </w:docPartBody>
    </w:docPart>
    <w:docPart>
      <w:docPartPr>
        <w:name w:val="{864c3eca-c99c-42da-b93d-df4c0dd39a50}"/>
        <w:category>
          <w:name w:val="常规"/>
          <w:gallery w:val="placeholder"/>
        </w:category>
        <w:types>
          <w:type w:val="bbPlcHdr"/>
        </w:types>
        <w:behaviors>
          <w:behavior w:val="content"/>
        </w:behaviors>
        <w:guid w:val="{864C3ECA-C99C-42DA-B93D-DF4C0DD39A50}"/>
      </w:docPartPr>
      <w:docPartBody>
        <w:p w:rsidR="00E26BB1" w:rsidRDefault="00000000">
          <w:r>
            <w:rPr>
              <w:rStyle w:val="a3"/>
              <w:color w:val="333399"/>
              <w:u w:val="single"/>
            </w:rPr>
            <w:t xml:space="preserve">　　　</w:t>
          </w:r>
        </w:p>
      </w:docPartBody>
    </w:docPart>
    <w:docPart>
      <w:docPartPr>
        <w:name w:val="{b1eee458-b133-4f78-8363-201535ecce4d}"/>
        <w:category>
          <w:name w:val="常规"/>
          <w:gallery w:val="placeholder"/>
        </w:category>
        <w:types>
          <w:type w:val="bbPlcHdr"/>
        </w:types>
        <w:behaviors>
          <w:behavior w:val="content"/>
        </w:behaviors>
        <w:guid w:val="{B1EEE458-B133-4F78-8363-201535ECCE4D}"/>
      </w:docPartPr>
      <w:docPartBody>
        <w:p w:rsidR="00E26BB1" w:rsidRDefault="00000000">
          <w:r>
            <w:rPr>
              <w:rStyle w:val="a3"/>
              <w:color w:val="333399"/>
              <w:u w:val="single"/>
            </w:rPr>
            <w:t xml:space="preserve">　　　</w:t>
          </w:r>
        </w:p>
      </w:docPartBody>
    </w:docPart>
    <w:docPart>
      <w:docPartPr>
        <w:name w:val="{546621ef-cacf-4017-940c-4037d26fda89}"/>
        <w:category>
          <w:name w:val="常规"/>
          <w:gallery w:val="placeholder"/>
        </w:category>
        <w:types>
          <w:type w:val="bbPlcHdr"/>
        </w:types>
        <w:behaviors>
          <w:behavior w:val="content"/>
        </w:behaviors>
        <w:guid w:val="{546621EF-CACF-4017-940C-4037D26FDA89}"/>
      </w:docPartPr>
      <w:docPartBody>
        <w:p w:rsidR="00E26BB1" w:rsidRDefault="00000000">
          <w:r>
            <w:rPr>
              <w:rStyle w:val="a3"/>
              <w:color w:val="333399"/>
              <w:u w:val="single"/>
            </w:rPr>
            <w:t xml:space="preserve">　　　</w:t>
          </w:r>
        </w:p>
      </w:docPartBody>
    </w:docPart>
    <w:docPart>
      <w:docPartPr>
        <w:name w:val="{d159fd9a-73ef-4dc9-b8e8-4e7794576214}"/>
        <w:category>
          <w:name w:val="常规"/>
          <w:gallery w:val="placeholder"/>
        </w:category>
        <w:types>
          <w:type w:val="bbPlcHdr"/>
        </w:types>
        <w:behaviors>
          <w:behavior w:val="content"/>
        </w:behaviors>
        <w:guid w:val="{D159FD9A-73EF-4DC9-B8E8-4E7794576214}"/>
      </w:docPartPr>
      <w:docPartBody>
        <w:p w:rsidR="00E26BB1" w:rsidRDefault="00000000">
          <w:r>
            <w:rPr>
              <w:rStyle w:val="a3"/>
              <w:color w:val="333399"/>
              <w:u w:val="single"/>
            </w:rPr>
            <w:t xml:space="preserve">　　　</w:t>
          </w:r>
        </w:p>
      </w:docPartBody>
    </w:docPart>
    <w:docPart>
      <w:docPartPr>
        <w:name w:val="{40404384-9aff-4ae6-9899-54f8b5c2674b}"/>
        <w:category>
          <w:name w:val="常规"/>
          <w:gallery w:val="placeholder"/>
        </w:category>
        <w:types>
          <w:type w:val="bbPlcHdr"/>
        </w:types>
        <w:behaviors>
          <w:behavior w:val="content"/>
        </w:behaviors>
        <w:guid w:val="{40404384-9AFF-4AE6-9899-54F8B5C2674B}"/>
      </w:docPartPr>
      <w:docPartBody>
        <w:p w:rsidR="00E26BB1" w:rsidRDefault="00000000">
          <w:r>
            <w:rPr>
              <w:rStyle w:val="a3"/>
              <w:color w:val="333399"/>
              <w:u w:val="single"/>
            </w:rPr>
            <w:t xml:space="preserve">　　　</w:t>
          </w:r>
        </w:p>
      </w:docPartBody>
    </w:docPart>
    <w:docPart>
      <w:docPartPr>
        <w:name w:val="{003fa489-df87-4104-9063-ce18adc91282}"/>
        <w:category>
          <w:name w:val="常规"/>
          <w:gallery w:val="placeholder"/>
        </w:category>
        <w:types>
          <w:type w:val="bbPlcHdr"/>
        </w:types>
        <w:behaviors>
          <w:behavior w:val="content"/>
        </w:behaviors>
        <w:guid w:val="{003FA489-DF87-4104-9063-CE18ADC91282}"/>
      </w:docPartPr>
      <w:docPartBody>
        <w:p w:rsidR="00E26BB1" w:rsidRDefault="00000000">
          <w:r>
            <w:rPr>
              <w:rStyle w:val="a3"/>
              <w:color w:val="333399"/>
              <w:u w:val="single"/>
            </w:rPr>
            <w:t xml:space="preserve">　　　</w:t>
          </w:r>
        </w:p>
      </w:docPartBody>
    </w:docPart>
    <w:docPart>
      <w:docPartPr>
        <w:name w:val="{bb59f70c-62c6-45d1-91a4-08072ef39245}"/>
        <w:category>
          <w:name w:val="常规"/>
          <w:gallery w:val="placeholder"/>
        </w:category>
        <w:types>
          <w:type w:val="bbPlcHdr"/>
        </w:types>
        <w:behaviors>
          <w:behavior w:val="content"/>
        </w:behaviors>
        <w:guid w:val="{BB59F70C-62C6-45D1-91A4-08072EF39245}"/>
      </w:docPartPr>
      <w:docPartBody>
        <w:p w:rsidR="00E26BB1" w:rsidRDefault="00000000">
          <w:r>
            <w:rPr>
              <w:rStyle w:val="a3"/>
              <w:color w:val="333399"/>
              <w:u w:val="single"/>
            </w:rPr>
            <w:t xml:space="preserve">　　　</w:t>
          </w:r>
        </w:p>
      </w:docPartBody>
    </w:docPart>
    <w:docPart>
      <w:docPartPr>
        <w:name w:val="{1aa4ebd5-1c4d-41bc-8f15-6debc8b4d6ea}"/>
        <w:category>
          <w:name w:val="常规"/>
          <w:gallery w:val="placeholder"/>
        </w:category>
        <w:types>
          <w:type w:val="bbPlcHdr"/>
        </w:types>
        <w:behaviors>
          <w:behavior w:val="content"/>
        </w:behaviors>
        <w:guid w:val="{1AA4EBD5-1C4D-41BC-8F15-6DEBC8B4D6EA}"/>
      </w:docPartPr>
      <w:docPartBody>
        <w:p w:rsidR="00E26BB1" w:rsidRDefault="00000000">
          <w:r>
            <w:rPr>
              <w:rStyle w:val="a3"/>
              <w:color w:val="333399"/>
              <w:u w:val="single"/>
            </w:rPr>
            <w:t xml:space="preserve">　　　</w:t>
          </w:r>
        </w:p>
      </w:docPartBody>
    </w:docPart>
    <w:docPart>
      <w:docPartPr>
        <w:name w:val="2904BB302B8D43B29B2FCC5A2AE1DE61"/>
        <w:category>
          <w:name w:val="常规"/>
          <w:gallery w:val="placeholder"/>
        </w:category>
        <w:types>
          <w:type w:val="bbPlcHdr"/>
        </w:types>
        <w:behaviors>
          <w:behavior w:val="content"/>
        </w:behaviors>
        <w:guid w:val="{64801552-3E70-4D4F-A791-97D6A17164E0}"/>
      </w:docPartPr>
      <w:docPartBody>
        <w:p w:rsidR="00E26BB1" w:rsidRDefault="00000000">
          <w:pPr>
            <w:pStyle w:val="2904BB302B8D43B29B2FCC5A2AE1DE61"/>
          </w:pPr>
          <w:r>
            <w:rPr>
              <w:rStyle w:val="a3"/>
              <w:rFonts w:hint="eastAsia"/>
              <w:color w:val="333399"/>
              <w:u w:val="single"/>
            </w:rPr>
            <w:t xml:space="preserve">　　　</w:t>
          </w:r>
        </w:p>
      </w:docPartBody>
    </w:docPart>
    <w:docPart>
      <w:docPartPr>
        <w:name w:val="{42e3fae5-41c4-4b24-aa7a-5f53ee2a26b4}"/>
        <w:category>
          <w:name w:val="常规"/>
          <w:gallery w:val="placeholder"/>
        </w:category>
        <w:types>
          <w:type w:val="bbPlcHdr"/>
        </w:types>
        <w:behaviors>
          <w:behavior w:val="content"/>
        </w:behaviors>
        <w:guid w:val="{42E3FAE5-41C4-4B24-AA7A-5F53EE2A26B4}"/>
      </w:docPartPr>
      <w:docPartBody>
        <w:p w:rsidR="00E26BB1" w:rsidRDefault="00000000">
          <w:r>
            <w:rPr>
              <w:rStyle w:val="a3"/>
              <w:color w:val="333399"/>
              <w:u w:val="single"/>
            </w:rPr>
            <w:t xml:space="preserve">　　　</w:t>
          </w:r>
        </w:p>
      </w:docPartBody>
    </w:docPart>
    <w:docPart>
      <w:docPartPr>
        <w:name w:val="1B769135E6E74654A37D64587B63C5EA"/>
        <w:category>
          <w:name w:val="常规"/>
          <w:gallery w:val="placeholder"/>
        </w:category>
        <w:types>
          <w:type w:val="bbPlcHdr"/>
        </w:types>
        <w:behaviors>
          <w:behavior w:val="content"/>
        </w:behaviors>
        <w:guid w:val="{0727202F-151C-4A54-893C-8E1C827704F4}"/>
      </w:docPartPr>
      <w:docPartBody>
        <w:p w:rsidR="00E26BB1" w:rsidRDefault="00000000">
          <w:pPr>
            <w:pStyle w:val="1B769135E6E74654A37D64587B63C5EA"/>
          </w:pPr>
          <w:r>
            <w:rPr>
              <w:rStyle w:val="a3"/>
              <w:rFonts w:hint="eastAsia"/>
              <w:color w:val="333399"/>
              <w:u w:val="single"/>
            </w:rPr>
            <w:t xml:space="preserve">　　　</w:t>
          </w:r>
        </w:p>
      </w:docPartBody>
    </w:docPart>
    <w:docPart>
      <w:docPartPr>
        <w:name w:val="510953F5AF1A429FBE2B596109C2C7CB"/>
        <w:category>
          <w:name w:val="常规"/>
          <w:gallery w:val="placeholder"/>
        </w:category>
        <w:types>
          <w:type w:val="bbPlcHdr"/>
        </w:types>
        <w:behaviors>
          <w:behavior w:val="content"/>
        </w:behaviors>
        <w:guid w:val="{AA47EF13-E0BE-4623-AAC2-02782D18FF47}"/>
      </w:docPartPr>
      <w:docPartBody>
        <w:p w:rsidR="00E26BB1" w:rsidRDefault="00000000">
          <w:pPr>
            <w:pStyle w:val="510953F5AF1A429FBE2B596109C2C7CB"/>
          </w:pPr>
          <w:r>
            <w:rPr>
              <w:rStyle w:val="a3"/>
              <w:rFonts w:hint="eastAsia"/>
              <w:color w:val="333399"/>
              <w:u w:val="single"/>
            </w:rPr>
            <w:t xml:space="preserve">　　　</w:t>
          </w:r>
        </w:p>
      </w:docPartBody>
    </w:docPart>
    <w:docPart>
      <w:docPartPr>
        <w:name w:val="E0FB4DF661EA442DA471B7CEC85E7A09"/>
        <w:category>
          <w:name w:val="常规"/>
          <w:gallery w:val="placeholder"/>
        </w:category>
        <w:types>
          <w:type w:val="bbPlcHdr"/>
        </w:types>
        <w:behaviors>
          <w:behavior w:val="content"/>
        </w:behaviors>
        <w:guid w:val="{CFAC3034-A42E-47D0-B0A8-A40CBD0E7D2D}"/>
      </w:docPartPr>
      <w:docPartBody>
        <w:p w:rsidR="00E26BB1" w:rsidRDefault="00000000">
          <w:pPr>
            <w:pStyle w:val="E0FB4DF661EA442DA471B7CEC85E7A09"/>
          </w:pPr>
          <w:r>
            <w:rPr>
              <w:rStyle w:val="a3"/>
              <w:rFonts w:hint="eastAsia"/>
              <w:color w:val="333399"/>
              <w:u w:val="single"/>
            </w:rPr>
            <w:t xml:space="preserve">　　　</w:t>
          </w:r>
        </w:p>
      </w:docPartBody>
    </w:docPart>
    <w:docPart>
      <w:docPartPr>
        <w:name w:val="1B5F99BDBDDE4DE8AC53649A055AF530"/>
        <w:category>
          <w:name w:val="常规"/>
          <w:gallery w:val="placeholder"/>
        </w:category>
        <w:types>
          <w:type w:val="bbPlcHdr"/>
        </w:types>
        <w:behaviors>
          <w:behavior w:val="content"/>
        </w:behaviors>
        <w:guid w:val="{3424730D-D7E8-4460-820F-2B22633BBFFE}"/>
      </w:docPartPr>
      <w:docPartBody>
        <w:p w:rsidR="00E26BB1" w:rsidRDefault="00000000">
          <w:pPr>
            <w:pStyle w:val="1B5F99BDBDDE4DE8AC53649A055AF530"/>
          </w:pPr>
          <w:r>
            <w:rPr>
              <w:rStyle w:val="a3"/>
              <w:rFonts w:hint="eastAsia"/>
              <w:color w:val="333399"/>
              <w:u w:val="single"/>
            </w:rPr>
            <w:t xml:space="preserve">　　　</w:t>
          </w:r>
        </w:p>
      </w:docPartBody>
    </w:docPart>
    <w:docPart>
      <w:docPartPr>
        <w:name w:val="236B19BC5FF74EA2A0005B83E79A1215"/>
        <w:category>
          <w:name w:val="常规"/>
          <w:gallery w:val="placeholder"/>
        </w:category>
        <w:types>
          <w:type w:val="bbPlcHdr"/>
        </w:types>
        <w:behaviors>
          <w:behavior w:val="content"/>
        </w:behaviors>
        <w:guid w:val="{7836A782-2340-4EE7-96FF-4D6D36474DAF}"/>
      </w:docPartPr>
      <w:docPartBody>
        <w:p w:rsidR="00E26BB1" w:rsidRDefault="00000000">
          <w:pPr>
            <w:pStyle w:val="236B19BC5FF74EA2A0005B83E79A1215"/>
          </w:pPr>
          <w:r>
            <w:rPr>
              <w:rStyle w:val="a3"/>
              <w:rFonts w:hint="eastAsia"/>
              <w:color w:val="333399"/>
              <w:u w:val="single"/>
            </w:rPr>
            <w:t xml:space="preserve">　　　</w:t>
          </w:r>
        </w:p>
      </w:docPartBody>
    </w:docPart>
    <w:docPart>
      <w:docPartPr>
        <w:name w:val="{1066055e-0a95-438a-bf13-2612172c0439}"/>
        <w:category>
          <w:name w:val="常规"/>
          <w:gallery w:val="placeholder"/>
        </w:category>
        <w:types>
          <w:type w:val="bbPlcHdr"/>
        </w:types>
        <w:behaviors>
          <w:behavior w:val="content"/>
        </w:behaviors>
        <w:guid w:val="{1066055E-0A95-438A-BF13-2612172C0439}"/>
      </w:docPartPr>
      <w:docPartBody>
        <w:p w:rsidR="00E26BB1" w:rsidRDefault="00000000">
          <w:r>
            <w:rPr>
              <w:rStyle w:val="a3"/>
              <w:rFonts w:hint="eastAsia"/>
              <w:color w:val="333399"/>
              <w:u w:val="single"/>
            </w:rPr>
            <w:t xml:space="preserve">　　　</w:t>
          </w:r>
        </w:p>
      </w:docPartBody>
    </w:docPart>
    <w:docPart>
      <w:docPartPr>
        <w:name w:val="4F1E31F4D04742D78B26C3799B5BF3F2"/>
        <w:category>
          <w:name w:val="常规"/>
          <w:gallery w:val="placeholder"/>
        </w:category>
        <w:types>
          <w:type w:val="bbPlcHdr"/>
        </w:types>
        <w:behaviors>
          <w:behavior w:val="content"/>
        </w:behaviors>
        <w:guid w:val="{36FF792F-228A-44E7-AF7D-A7D7B02C2357}"/>
      </w:docPartPr>
      <w:docPartBody>
        <w:p w:rsidR="00E26BB1" w:rsidRDefault="00000000">
          <w:pPr>
            <w:pStyle w:val="4F1E31F4D04742D78B26C3799B5BF3F2"/>
          </w:pPr>
          <w:r>
            <w:rPr>
              <w:rStyle w:val="a3"/>
              <w:rFonts w:hint="eastAsia"/>
              <w:color w:val="333399"/>
              <w:u w:val="single"/>
            </w:rPr>
            <w:t xml:space="preserve">　　　</w:t>
          </w:r>
        </w:p>
      </w:docPartBody>
    </w:docPart>
    <w:docPart>
      <w:docPartPr>
        <w:name w:val="F2E40541AD5A43948F6DC0368764B395"/>
        <w:category>
          <w:name w:val="常规"/>
          <w:gallery w:val="placeholder"/>
        </w:category>
        <w:types>
          <w:type w:val="bbPlcHdr"/>
        </w:types>
        <w:behaviors>
          <w:behavior w:val="content"/>
        </w:behaviors>
        <w:guid w:val="{86E4A2A7-7854-4B3E-8C3D-41C2E8FF45DB}"/>
      </w:docPartPr>
      <w:docPartBody>
        <w:p w:rsidR="00E26BB1" w:rsidRDefault="00000000">
          <w:pPr>
            <w:pStyle w:val="F2E40541AD5A43948F6DC0368764B395"/>
          </w:pPr>
          <w:r>
            <w:rPr>
              <w:rStyle w:val="a3"/>
              <w:rFonts w:hint="eastAsia"/>
              <w:color w:val="333399"/>
              <w:u w:val="single"/>
            </w:rPr>
            <w:t xml:space="preserve">　　　</w:t>
          </w:r>
        </w:p>
      </w:docPartBody>
    </w:docPart>
    <w:docPart>
      <w:docPartPr>
        <w:name w:val="0E5391F6271D4115B566B1A71DB05276"/>
        <w:category>
          <w:name w:val="常规"/>
          <w:gallery w:val="placeholder"/>
        </w:category>
        <w:types>
          <w:type w:val="bbPlcHdr"/>
        </w:types>
        <w:behaviors>
          <w:behavior w:val="content"/>
        </w:behaviors>
        <w:guid w:val="{36A47BA5-2926-4D5F-AA25-479CE98DA72F}"/>
      </w:docPartPr>
      <w:docPartBody>
        <w:p w:rsidR="00E26BB1" w:rsidRDefault="00000000">
          <w:pPr>
            <w:pStyle w:val="0E5391F6271D4115B566B1A71DB05276"/>
          </w:pPr>
          <w:r>
            <w:rPr>
              <w:rStyle w:val="a3"/>
              <w:rFonts w:hint="eastAsia"/>
              <w:color w:val="333399"/>
              <w:u w:val="single"/>
            </w:rPr>
            <w:t xml:space="preserve">　　　</w:t>
          </w:r>
        </w:p>
      </w:docPartBody>
    </w:docPart>
    <w:docPart>
      <w:docPartPr>
        <w:name w:val="168A5089F61849EBA9692A0F488CD6A3"/>
        <w:category>
          <w:name w:val="常规"/>
          <w:gallery w:val="placeholder"/>
        </w:category>
        <w:types>
          <w:type w:val="bbPlcHdr"/>
        </w:types>
        <w:behaviors>
          <w:behavior w:val="content"/>
        </w:behaviors>
        <w:guid w:val="{80B256B1-B713-40AA-9617-AC2D2B8D572C}"/>
      </w:docPartPr>
      <w:docPartBody>
        <w:p w:rsidR="00E26BB1" w:rsidRDefault="00000000">
          <w:pPr>
            <w:pStyle w:val="168A5089F61849EBA9692A0F488CD6A3"/>
          </w:pPr>
          <w:r>
            <w:rPr>
              <w:rStyle w:val="a3"/>
              <w:rFonts w:hint="eastAsia"/>
            </w:rPr>
            <w:t xml:space="preserve">　</w:t>
          </w:r>
        </w:p>
      </w:docPartBody>
    </w:docPart>
    <w:docPart>
      <w:docPartPr>
        <w:name w:val="6EB19DA3EC754F8A98B456B8B2292B37"/>
        <w:category>
          <w:name w:val="常规"/>
          <w:gallery w:val="placeholder"/>
        </w:category>
        <w:types>
          <w:type w:val="bbPlcHdr"/>
        </w:types>
        <w:behaviors>
          <w:behavior w:val="content"/>
        </w:behaviors>
        <w:guid w:val="{69840853-1A52-44B2-9F7D-75EA33DC299F}"/>
      </w:docPartPr>
      <w:docPartBody>
        <w:p w:rsidR="00E26BB1" w:rsidRDefault="00000000">
          <w:pPr>
            <w:pStyle w:val="6EB19DA3EC754F8A98B456B8B2292B37"/>
          </w:pPr>
          <w:r>
            <w:rPr>
              <w:rStyle w:val="a3"/>
              <w:rFonts w:hint="eastAsia"/>
              <w:color w:val="333399"/>
              <w:u w:val="single"/>
            </w:rPr>
            <w:t xml:space="preserve">　　　</w:t>
          </w:r>
        </w:p>
      </w:docPartBody>
    </w:docPart>
    <w:docPart>
      <w:docPartPr>
        <w:name w:val="DA348C05F7074B8B81136D99CC7C0674"/>
        <w:category>
          <w:name w:val="常规"/>
          <w:gallery w:val="placeholder"/>
        </w:category>
        <w:types>
          <w:type w:val="bbPlcHdr"/>
        </w:types>
        <w:behaviors>
          <w:behavior w:val="content"/>
        </w:behaviors>
        <w:guid w:val="{2CC6AC1A-F282-496C-A303-6A6425E71CE1}"/>
      </w:docPartPr>
      <w:docPartBody>
        <w:p w:rsidR="00E26BB1" w:rsidRDefault="00000000">
          <w:pPr>
            <w:pStyle w:val="DA348C05F7074B8B81136D99CC7C0674"/>
          </w:pPr>
          <w:r>
            <w:rPr>
              <w:rStyle w:val="a3"/>
              <w:rFonts w:hint="eastAsia"/>
            </w:rPr>
            <w:t xml:space="preserve">　</w:t>
          </w:r>
        </w:p>
      </w:docPartBody>
    </w:docPart>
    <w:docPart>
      <w:docPartPr>
        <w:name w:val="F9C25FE6491C4CB69A340DF54D47C1F2"/>
        <w:category>
          <w:name w:val="常规"/>
          <w:gallery w:val="placeholder"/>
        </w:category>
        <w:types>
          <w:type w:val="bbPlcHdr"/>
        </w:types>
        <w:behaviors>
          <w:behavior w:val="content"/>
        </w:behaviors>
        <w:guid w:val="{54396E09-BD89-4B3B-93A2-470B03EF5A3F}"/>
      </w:docPartPr>
      <w:docPartBody>
        <w:p w:rsidR="00E26BB1" w:rsidRDefault="00000000">
          <w:pPr>
            <w:pStyle w:val="F9C25FE6491C4CB69A340DF54D47C1F2"/>
          </w:pPr>
          <w:r>
            <w:rPr>
              <w:rStyle w:val="a3"/>
              <w:rFonts w:hint="eastAsia"/>
            </w:rPr>
            <w:t>单击或点击此处输入文字。</w:t>
          </w:r>
        </w:p>
      </w:docPartBody>
    </w:docPart>
    <w:docPart>
      <w:docPartPr>
        <w:name w:val="EA5167862BF64CA497448CC31281D32D"/>
        <w:category>
          <w:name w:val="常规"/>
          <w:gallery w:val="placeholder"/>
        </w:category>
        <w:types>
          <w:type w:val="bbPlcHdr"/>
        </w:types>
        <w:behaviors>
          <w:behavior w:val="content"/>
        </w:behaviors>
        <w:guid w:val="{353DE14F-17E8-49F2-9229-E6E16BF7ACDB}"/>
      </w:docPartPr>
      <w:docPartBody>
        <w:p w:rsidR="00E26BB1" w:rsidRDefault="00000000">
          <w:pPr>
            <w:pStyle w:val="EA5167862BF64CA497448CC31281D32D"/>
          </w:pPr>
          <w:r>
            <w:rPr>
              <w:rStyle w:val="a3"/>
              <w:rFonts w:hint="eastAsia"/>
              <w:color w:val="333399"/>
              <w:u w:val="single"/>
            </w:rPr>
            <w:t xml:space="preserve">　　　</w:t>
          </w:r>
        </w:p>
      </w:docPartBody>
    </w:docPart>
    <w:docPart>
      <w:docPartPr>
        <w:name w:val="3205DB7989DA4955B3426D6379F14CF0"/>
        <w:category>
          <w:name w:val="常规"/>
          <w:gallery w:val="placeholder"/>
        </w:category>
        <w:types>
          <w:type w:val="bbPlcHdr"/>
        </w:types>
        <w:behaviors>
          <w:behavior w:val="content"/>
        </w:behaviors>
        <w:guid w:val="{F793DCE9-3885-47D4-9945-FA10917886D2}"/>
      </w:docPartPr>
      <w:docPartBody>
        <w:p w:rsidR="00E26BB1" w:rsidRDefault="00000000">
          <w:pPr>
            <w:pStyle w:val="3205DB7989DA4955B3426D6379F14CF0"/>
          </w:pPr>
          <w:r>
            <w:rPr>
              <w:rStyle w:val="a3"/>
              <w:rFonts w:hint="eastAsia"/>
            </w:rPr>
            <w:t xml:space="preserve">　</w:t>
          </w:r>
        </w:p>
      </w:docPartBody>
    </w:docPart>
    <w:docPart>
      <w:docPartPr>
        <w:name w:val="5395F45571C34086BE5956881E3717DF"/>
        <w:category>
          <w:name w:val="常规"/>
          <w:gallery w:val="placeholder"/>
        </w:category>
        <w:types>
          <w:type w:val="bbPlcHdr"/>
        </w:types>
        <w:behaviors>
          <w:behavior w:val="content"/>
        </w:behaviors>
        <w:guid w:val="{37B5D7CE-D3F5-4B89-BCC4-FD92ED2D411D}"/>
      </w:docPartPr>
      <w:docPartBody>
        <w:p w:rsidR="00E26BB1" w:rsidRDefault="00000000">
          <w:pPr>
            <w:pStyle w:val="5395F45571C34086BE5956881E3717DF"/>
          </w:pPr>
          <w:r>
            <w:rPr>
              <w:rStyle w:val="a3"/>
              <w:rFonts w:hint="eastAsia"/>
            </w:rPr>
            <w:t xml:space="preserve">　</w:t>
          </w:r>
        </w:p>
      </w:docPartBody>
    </w:docPart>
    <w:docPart>
      <w:docPartPr>
        <w:name w:val="95F8FE9A6A604289A988D5FBDB97AF8D"/>
        <w:category>
          <w:name w:val="常规"/>
          <w:gallery w:val="placeholder"/>
        </w:category>
        <w:types>
          <w:type w:val="bbPlcHdr"/>
        </w:types>
        <w:behaviors>
          <w:behavior w:val="content"/>
        </w:behaviors>
        <w:guid w:val="{443B3BBB-B1AA-4F32-BC4E-84B12A227D82}"/>
      </w:docPartPr>
      <w:docPartBody>
        <w:p w:rsidR="00E26BB1" w:rsidRDefault="00000000">
          <w:pPr>
            <w:pStyle w:val="95F8FE9A6A604289A988D5FBDB97AF8D"/>
          </w:pPr>
          <w:r>
            <w:rPr>
              <w:rStyle w:val="a3"/>
              <w:rFonts w:hint="eastAsia"/>
            </w:rPr>
            <w:t xml:space="preserve">　</w:t>
          </w:r>
        </w:p>
      </w:docPartBody>
    </w:docPart>
    <w:docPart>
      <w:docPartPr>
        <w:name w:val="F37AD505C2CD4DD9B44509D55EF68DFF"/>
        <w:category>
          <w:name w:val="常规"/>
          <w:gallery w:val="placeholder"/>
        </w:category>
        <w:types>
          <w:type w:val="bbPlcHdr"/>
        </w:types>
        <w:behaviors>
          <w:behavior w:val="content"/>
        </w:behaviors>
        <w:guid w:val="{0B5A0D97-BE34-445A-94AC-FC903547C627}"/>
      </w:docPartPr>
      <w:docPartBody>
        <w:p w:rsidR="00E26BB1" w:rsidRDefault="00000000">
          <w:pPr>
            <w:pStyle w:val="F37AD505C2CD4DD9B44509D55EF68DFF"/>
          </w:pPr>
          <w:r>
            <w:rPr>
              <w:rStyle w:val="a3"/>
              <w:rFonts w:hint="eastAsia"/>
              <w:color w:val="333399"/>
              <w:u w:val="single"/>
            </w:rPr>
            <w:t xml:space="preserve">　　　</w:t>
          </w:r>
        </w:p>
      </w:docPartBody>
    </w:docPart>
    <w:docPart>
      <w:docPartPr>
        <w:name w:val="688899FF1A4340F0A50847ECC4826486"/>
        <w:category>
          <w:name w:val="常规"/>
          <w:gallery w:val="placeholder"/>
        </w:category>
        <w:types>
          <w:type w:val="bbPlcHdr"/>
        </w:types>
        <w:behaviors>
          <w:behavior w:val="content"/>
        </w:behaviors>
        <w:guid w:val="{3312FCA2-8AE1-481D-BCEB-1057C1AEDDB5}"/>
      </w:docPartPr>
      <w:docPartBody>
        <w:p w:rsidR="00E26BB1" w:rsidRDefault="00000000">
          <w:pPr>
            <w:pStyle w:val="688899FF1A4340F0A50847ECC4826486"/>
          </w:pPr>
          <w:r>
            <w:rPr>
              <w:rStyle w:val="a3"/>
              <w:rFonts w:hint="eastAsia"/>
              <w:color w:val="333399"/>
              <w:u w:val="single"/>
            </w:rPr>
            <w:t xml:space="preserve">　　　</w:t>
          </w:r>
        </w:p>
      </w:docPartBody>
    </w:docPart>
    <w:docPart>
      <w:docPartPr>
        <w:name w:val="0255A55D61294BA8813FADA9CD86B4BA"/>
        <w:category>
          <w:name w:val="常规"/>
          <w:gallery w:val="placeholder"/>
        </w:category>
        <w:types>
          <w:type w:val="bbPlcHdr"/>
        </w:types>
        <w:behaviors>
          <w:behavior w:val="content"/>
        </w:behaviors>
        <w:guid w:val="{B4932C00-9D19-451E-B2D6-201797ADEF12}"/>
      </w:docPartPr>
      <w:docPartBody>
        <w:p w:rsidR="00E26BB1" w:rsidRDefault="00000000">
          <w:pPr>
            <w:pStyle w:val="0255A55D61294BA8813FADA9CD86B4BA"/>
          </w:pPr>
          <w:r>
            <w:rPr>
              <w:rStyle w:val="a3"/>
              <w:rFonts w:hint="eastAsia"/>
              <w:color w:val="333399"/>
              <w:u w:val="single"/>
            </w:rPr>
            <w:t xml:space="preserve">　　　</w:t>
          </w:r>
        </w:p>
      </w:docPartBody>
    </w:docPart>
    <w:docPart>
      <w:docPartPr>
        <w:name w:val="CF307DB39E41456B94B27902B3BBCBE6"/>
        <w:category>
          <w:name w:val="常规"/>
          <w:gallery w:val="placeholder"/>
        </w:category>
        <w:types>
          <w:type w:val="bbPlcHdr"/>
        </w:types>
        <w:behaviors>
          <w:behavior w:val="content"/>
        </w:behaviors>
        <w:guid w:val="{53093636-9ADF-47DA-A0AA-78AC6309AAC0}"/>
      </w:docPartPr>
      <w:docPartBody>
        <w:p w:rsidR="00E26BB1" w:rsidRDefault="00000000">
          <w:pPr>
            <w:pStyle w:val="CF307DB39E41456B94B27902B3BBCBE6"/>
          </w:pPr>
          <w:r>
            <w:rPr>
              <w:rStyle w:val="a3"/>
              <w:rFonts w:hint="eastAsia"/>
              <w:color w:val="333399"/>
              <w:u w:val="single"/>
            </w:rPr>
            <w:t xml:space="preserve">　　　</w:t>
          </w:r>
        </w:p>
      </w:docPartBody>
    </w:docPart>
    <w:docPart>
      <w:docPartPr>
        <w:name w:val="55FE27945F114971B4B5E97C7F76E03E"/>
        <w:category>
          <w:name w:val="常规"/>
          <w:gallery w:val="placeholder"/>
        </w:category>
        <w:types>
          <w:type w:val="bbPlcHdr"/>
        </w:types>
        <w:behaviors>
          <w:behavior w:val="content"/>
        </w:behaviors>
        <w:guid w:val="{536F154C-14E6-4609-903F-F5E2D6C3BAF6}"/>
      </w:docPartPr>
      <w:docPartBody>
        <w:p w:rsidR="00E26BB1" w:rsidRDefault="00000000">
          <w:pPr>
            <w:pStyle w:val="55FE27945F114971B4B5E97C7F76E03E"/>
          </w:pPr>
          <w:r>
            <w:rPr>
              <w:rStyle w:val="a3"/>
              <w:rFonts w:hint="eastAsia"/>
              <w:color w:val="333399"/>
              <w:u w:val="single"/>
            </w:rPr>
            <w:t xml:space="preserve">　　　</w:t>
          </w:r>
        </w:p>
      </w:docPartBody>
    </w:docPart>
    <w:docPart>
      <w:docPartPr>
        <w:name w:val="{defc1f02-9569-48ee-9461-b701c3645561}"/>
        <w:category>
          <w:name w:val="常规"/>
          <w:gallery w:val="placeholder"/>
        </w:category>
        <w:types>
          <w:type w:val="bbPlcHdr"/>
        </w:types>
        <w:behaviors>
          <w:behavior w:val="content"/>
        </w:behaviors>
        <w:guid w:val="{DEFC1F02-9569-48EE-9461-B701C3645561}"/>
      </w:docPartPr>
      <w:docPartBody>
        <w:p w:rsidR="00E26BB1" w:rsidRDefault="00000000">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602E0107" w:csb1="00000000"/>
  </w:font>
  <w:font w:name="FZLTSK--GBK1-0">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modern"/>
    <w:pitch w:val="default"/>
    <w:sig w:usb0="00000000" w:usb1="0000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宋体-方正超大字符集">
    <w:altName w:val="宋体"/>
    <w:charset w:val="86"/>
    <w:family w:val="script"/>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bordersDoNotSurroundHeader/>
  <w:bordersDoNotSurroundFooter/>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B71272"/>
    <w:rsid w:val="00000F38"/>
    <w:rsid w:val="00005BED"/>
    <w:rsid w:val="000978BD"/>
    <w:rsid w:val="000C1661"/>
    <w:rsid w:val="000C50B6"/>
    <w:rsid w:val="000F1CE8"/>
    <w:rsid w:val="001260DD"/>
    <w:rsid w:val="00133D8B"/>
    <w:rsid w:val="00134E48"/>
    <w:rsid w:val="00160C47"/>
    <w:rsid w:val="001633BB"/>
    <w:rsid w:val="001736E0"/>
    <w:rsid w:val="001A7252"/>
    <w:rsid w:val="001B542B"/>
    <w:rsid w:val="001D54EB"/>
    <w:rsid w:val="001E29FC"/>
    <w:rsid w:val="00226BC1"/>
    <w:rsid w:val="00234DE3"/>
    <w:rsid w:val="0024153C"/>
    <w:rsid w:val="002A5F60"/>
    <w:rsid w:val="002B1459"/>
    <w:rsid w:val="002D6734"/>
    <w:rsid w:val="00360D0D"/>
    <w:rsid w:val="0036133E"/>
    <w:rsid w:val="00393540"/>
    <w:rsid w:val="0039607B"/>
    <w:rsid w:val="003B509F"/>
    <w:rsid w:val="003B5D5E"/>
    <w:rsid w:val="003E7027"/>
    <w:rsid w:val="003F14F4"/>
    <w:rsid w:val="00416AED"/>
    <w:rsid w:val="00420643"/>
    <w:rsid w:val="004320B7"/>
    <w:rsid w:val="00434A04"/>
    <w:rsid w:val="004424CA"/>
    <w:rsid w:val="00480701"/>
    <w:rsid w:val="00487565"/>
    <w:rsid w:val="00492752"/>
    <w:rsid w:val="004D1AAB"/>
    <w:rsid w:val="004F1492"/>
    <w:rsid w:val="00521A01"/>
    <w:rsid w:val="00533A6A"/>
    <w:rsid w:val="00572FFC"/>
    <w:rsid w:val="00573A4C"/>
    <w:rsid w:val="0057789D"/>
    <w:rsid w:val="005E149B"/>
    <w:rsid w:val="005F1753"/>
    <w:rsid w:val="00601C14"/>
    <w:rsid w:val="006318B0"/>
    <w:rsid w:val="006E3F8A"/>
    <w:rsid w:val="006F2A67"/>
    <w:rsid w:val="007203CC"/>
    <w:rsid w:val="00734C6F"/>
    <w:rsid w:val="007C22D7"/>
    <w:rsid w:val="007C707C"/>
    <w:rsid w:val="007D47EA"/>
    <w:rsid w:val="007F3177"/>
    <w:rsid w:val="00863C0E"/>
    <w:rsid w:val="00871017"/>
    <w:rsid w:val="00882033"/>
    <w:rsid w:val="00892178"/>
    <w:rsid w:val="008D2018"/>
    <w:rsid w:val="009069E5"/>
    <w:rsid w:val="00941827"/>
    <w:rsid w:val="00944899"/>
    <w:rsid w:val="009627B0"/>
    <w:rsid w:val="0097537D"/>
    <w:rsid w:val="009969D9"/>
    <w:rsid w:val="009B49C5"/>
    <w:rsid w:val="00A110A4"/>
    <w:rsid w:val="00A12910"/>
    <w:rsid w:val="00A22FB9"/>
    <w:rsid w:val="00A54CFB"/>
    <w:rsid w:val="00A7046A"/>
    <w:rsid w:val="00A74D37"/>
    <w:rsid w:val="00A81BA8"/>
    <w:rsid w:val="00AC1CD3"/>
    <w:rsid w:val="00AE4306"/>
    <w:rsid w:val="00B52668"/>
    <w:rsid w:val="00B71272"/>
    <w:rsid w:val="00B77510"/>
    <w:rsid w:val="00B91659"/>
    <w:rsid w:val="00BA6958"/>
    <w:rsid w:val="00BA750C"/>
    <w:rsid w:val="00BB2C18"/>
    <w:rsid w:val="00C5077B"/>
    <w:rsid w:val="00CB4E8E"/>
    <w:rsid w:val="00CC220E"/>
    <w:rsid w:val="00CD3437"/>
    <w:rsid w:val="00CE7A37"/>
    <w:rsid w:val="00D01FE8"/>
    <w:rsid w:val="00D03B1C"/>
    <w:rsid w:val="00D03D01"/>
    <w:rsid w:val="00D34BA9"/>
    <w:rsid w:val="00D7791E"/>
    <w:rsid w:val="00DE77CA"/>
    <w:rsid w:val="00E2068A"/>
    <w:rsid w:val="00E26B99"/>
    <w:rsid w:val="00E26BB1"/>
    <w:rsid w:val="00E4048D"/>
    <w:rsid w:val="00E46024"/>
    <w:rsid w:val="00E6059D"/>
    <w:rsid w:val="00E61A6A"/>
    <w:rsid w:val="00E96B81"/>
    <w:rsid w:val="00EB13F7"/>
    <w:rsid w:val="00EB3634"/>
    <w:rsid w:val="00EF168C"/>
    <w:rsid w:val="00EF3EFD"/>
    <w:rsid w:val="00F141A0"/>
    <w:rsid w:val="00F17CE9"/>
    <w:rsid w:val="00F345B3"/>
    <w:rsid w:val="00F44980"/>
    <w:rsid w:val="00F62417"/>
    <w:rsid w:val="00F70D99"/>
    <w:rsid w:val="00FC6E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Pr>
      <w:color w:val="808080"/>
    </w:rPr>
  </w:style>
  <w:style w:type="paragraph" w:customStyle="1" w:styleId="37EE0B3B573D4AF6B73ABC8AACD49DBD">
    <w:name w:val="37EE0B3B573D4AF6B73ABC8AACD49DBD"/>
    <w:qFormat/>
    <w:pPr>
      <w:widowControl w:val="0"/>
      <w:jc w:val="both"/>
    </w:pPr>
    <w:rPr>
      <w:kern w:val="2"/>
      <w:sz w:val="21"/>
      <w:szCs w:val="22"/>
      <w14:ligatures w14:val="standardContextual"/>
    </w:rPr>
  </w:style>
  <w:style w:type="paragraph" w:customStyle="1" w:styleId="75344BA879AB4186923EB74BB33CEE53">
    <w:name w:val="75344BA879AB4186923EB74BB33CEE53"/>
    <w:qFormat/>
    <w:pPr>
      <w:widowControl w:val="0"/>
      <w:jc w:val="both"/>
    </w:pPr>
    <w:rPr>
      <w:kern w:val="2"/>
      <w:sz w:val="21"/>
      <w:szCs w:val="22"/>
      <w14:ligatures w14:val="standardContextual"/>
    </w:rPr>
  </w:style>
  <w:style w:type="paragraph" w:customStyle="1" w:styleId="E1749835829B469D98D0E587B8C195BC">
    <w:name w:val="E1749835829B469D98D0E587B8C195BC"/>
    <w:qFormat/>
    <w:pPr>
      <w:widowControl w:val="0"/>
      <w:jc w:val="both"/>
    </w:pPr>
    <w:rPr>
      <w:kern w:val="2"/>
      <w:sz w:val="21"/>
      <w:szCs w:val="22"/>
      <w14:ligatures w14:val="standardContextual"/>
    </w:rPr>
  </w:style>
  <w:style w:type="paragraph" w:customStyle="1" w:styleId="8295BD14C0434780AC64538E891CC7CB">
    <w:name w:val="8295BD14C0434780AC64538E891CC7CB"/>
    <w:qFormat/>
    <w:pPr>
      <w:widowControl w:val="0"/>
      <w:jc w:val="both"/>
    </w:pPr>
    <w:rPr>
      <w:kern w:val="2"/>
      <w:sz w:val="21"/>
      <w:szCs w:val="22"/>
      <w14:ligatures w14:val="standardContextual"/>
    </w:rPr>
  </w:style>
  <w:style w:type="paragraph" w:customStyle="1" w:styleId="9B79B63DD57C442BB5892DE430192CDC">
    <w:name w:val="9B79B63DD57C442BB5892DE430192CDC"/>
    <w:qFormat/>
    <w:pPr>
      <w:widowControl w:val="0"/>
      <w:jc w:val="both"/>
    </w:pPr>
    <w:rPr>
      <w:kern w:val="2"/>
      <w:sz w:val="21"/>
      <w:szCs w:val="22"/>
      <w14:ligatures w14:val="standardContextual"/>
    </w:rPr>
  </w:style>
  <w:style w:type="paragraph" w:customStyle="1" w:styleId="6EEE991819494ABBAD8386ECABF6F86D">
    <w:name w:val="6EEE991819494ABBAD8386ECABF6F86D"/>
    <w:qFormat/>
    <w:pPr>
      <w:widowControl w:val="0"/>
      <w:jc w:val="both"/>
    </w:pPr>
    <w:rPr>
      <w:kern w:val="2"/>
      <w:sz w:val="21"/>
      <w:szCs w:val="22"/>
      <w14:ligatures w14:val="standardContextual"/>
    </w:rPr>
  </w:style>
  <w:style w:type="paragraph" w:customStyle="1" w:styleId="BE7F99FF1C064B0FB2FA2ACEA981A4AA">
    <w:name w:val="BE7F99FF1C064B0FB2FA2ACEA981A4AA"/>
    <w:qFormat/>
    <w:pPr>
      <w:widowControl w:val="0"/>
      <w:jc w:val="both"/>
    </w:pPr>
    <w:rPr>
      <w:kern w:val="2"/>
      <w:sz w:val="21"/>
      <w:szCs w:val="22"/>
      <w14:ligatures w14:val="standardContextual"/>
    </w:rPr>
  </w:style>
  <w:style w:type="paragraph" w:customStyle="1" w:styleId="5A4B36C15A9147F18A32ACD66B375025">
    <w:name w:val="5A4B36C15A9147F18A32ACD66B375025"/>
    <w:qFormat/>
    <w:pPr>
      <w:widowControl w:val="0"/>
      <w:jc w:val="both"/>
    </w:pPr>
    <w:rPr>
      <w:kern w:val="2"/>
      <w:sz w:val="21"/>
      <w:szCs w:val="22"/>
      <w14:ligatures w14:val="standardContextual"/>
    </w:rPr>
  </w:style>
  <w:style w:type="paragraph" w:customStyle="1" w:styleId="2948EA2FF2134CEAA425134F70A9726F">
    <w:name w:val="2948EA2FF2134CEAA425134F70A9726F"/>
    <w:qFormat/>
    <w:pPr>
      <w:widowControl w:val="0"/>
      <w:jc w:val="both"/>
    </w:pPr>
    <w:rPr>
      <w:kern w:val="2"/>
      <w:sz w:val="21"/>
      <w:szCs w:val="22"/>
      <w14:ligatures w14:val="standardContextual"/>
    </w:rPr>
  </w:style>
  <w:style w:type="paragraph" w:customStyle="1" w:styleId="9A9947B0546741C89ADEB8477BEA750D">
    <w:name w:val="9A9947B0546741C89ADEB8477BEA750D"/>
    <w:qFormat/>
    <w:pPr>
      <w:widowControl w:val="0"/>
      <w:jc w:val="both"/>
    </w:pPr>
    <w:rPr>
      <w:kern w:val="2"/>
      <w:sz w:val="21"/>
      <w:szCs w:val="22"/>
      <w14:ligatures w14:val="standardContextual"/>
    </w:rPr>
  </w:style>
  <w:style w:type="paragraph" w:customStyle="1" w:styleId="0624734CAF524176AD55E0E351433BEB">
    <w:name w:val="0624734CAF524176AD55E0E351433BEB"/>
    <w:qFormat/>
    <w:pPr>
      <w:widowControl w:val="0"/>
      <w:jc w:val="both"/>
    </w:pPr>
    <w:rPr>
      <w:kern w:val="2"/>
      <w:sz w:val="21"/>
      <w:szCs w:val="22"/>
      <w14:ligatures w14:val="standardContextual"/>
    </w:rPr>
  </w:style>
  <w:style w:type="paragraph" w:customStyle="1" w:styleId="D8F89ABD367E4D0E9F553E3638F3A23B">
    <w:name w:val="D8F89ABD367E4D0E9F553E3638F3A23B"/>
    <w:qFormat/>
    <w:pPr>
      <w:widowControl w:val="0"/>
      <w:jc w:val="both"/>
    </w:pPr>
    <w:rPr>
      <w:kern w:val="2"/>
      <w:sz w:val="21"/>
      <w:szCs w:val="22"/>
      <w14:ligatures w14:val="standardContextual"/>
    </w:rPr>
  </w:style>
  <w:style w:type="paragraph" w:customStyle="1" w:styleId="313CE5DCF9FD4645943FE6559D2C1B37">
    <w:name w:val="313CE5DCF9FD4645943FE6559D2C1B37"/>
    <w:qFormat/>
    <w:pPr>
      <w:widowControl w:val="0"/>
      <w:jc w:val="both"/>
    </w:pPr>
    <w:rPr>
      <w:kern w:val="2"/>
      <w:sz w:val="21"/>
      <w:szCs w:val="22"/>
      <w14:ligatures w14:val="standardContextual"/>
    </w:rPr>
  </w:style>
  <w:style w:type="paragraph" w:customStyle="1" w:styleId="D6B43E1E9FB84A5F95A261E98FB41DE7">
    <w:name w:val="D6B43E1E9FB84A5F95A261E98FB41DE7"/>
    <w:qFormat/>
    <w:pPr>
      <w:widowControl w:val="0"/>
      <w:jc w:val="both"/>
    </w:pPr>
    <w:rPr>
      <w:kern w:val="2"/>
      <w:sz w:val="21"/>
      <w:szCs w:val="22"/>
      <w14:ligatures w14:val="standardContextual"/>
    </w:rPr>
  </w:style>
  <w:style w:type="paragraph" w:customStyle="1" w:styleId="7DC4B30543614A04808EE287C4F889F5">
    <w:name w:val="7DC4B30543614A04808EE287C4F889F5"/>
    <w:qFormat/>
    <w:pPr>
      <w:widowControl w:val="0"/>
      <w:jc w:val="both"/>
    </w:pPr>
    <w:rPr>
      <w:kern w:val="2"/>
      <w:sz w:val="21"/>
      <w:szCs w:val="22"/>
      <w14:ligatures w14:val="standardContextual"/>
    </w:rPr>
  </w:style>
  <w:style w:type="paragraph" w:customStyle="1" w:styleId="C267AC9D08714EE48A33C9CE94E3B3AC">
    <w:name w:val="C267AC9D08714EE48A33C9CE94E3B3AC"/>
    <w:qFormat/>
    <w:pPr>
      <w:widowControl w:val="0"/>
      <w:jc w:val="both"/>
    </w:pPr>
    <w:rPr>
      <w:kern w:val="2"/>
      <w:sz w:val="21"/>
      <w:szCs w:val="22"/>
      <w14:ligatures w14:val="standardContextual"/>
    </w:rPr>
  </w:style>
  <w:style w:type="paragraph" w:customStyle="1" w:styleId="F8AEF1EFE5F3463AA053067EDB0EBE9D">
    <w:name w:val="F8AEF1EFE5F3463AA053067EDB0EBE9D"/>
    <w:qFormat/>
    <w:pPr>
      <w:widowControl w:val="0"/>
      <w:jc w:val="both"/>
    </w:pPr>
    <w:rPr>
      <w:kern w:val="2"/>
      <w:sz w:val="21"/>
      <w:szCs w:val="22"/>
      <w14:ligatures w14:val="standardContextual"/>
    </w:rPr>
  </w:style>
  <w:style w:type="paragraph" w:customStyle="1" w:styleId="C8629D969A594B3F8E1642168D804037">
    <w:name w:val="C8629D969A594B3F8E1642168D804037"/>
    <w:qFormat/>
    <w:pPr>
      <w:widowControl w:val="0"/>
      <w:jc w:val="both"/>
    </w:pPr>
    <w:rPr>
      <w:kern w:val="2"/>
      <w:sz w:val="21"/>
      <w:szCs w:val="22"/>
      <w14:ligatures w14:val="standardContextual"/>
    </w:rPr>
  </w:style>
  <w:style w:type="paragraph" w:customStyle="1" w:styleId="32BB5AF4C50E4CB98B775F263D25236E">
    <w:name w:val="32BB5AF4C50E4CB98B775F263D25236E"/>
    <w:qFormat/>
    <w:pPr>
      <w:widowControl w:val="0"/>
      <w:spacing w:after="160" w:line="278" w:lineRule="auto"/>
    </w:pPr>
    <w:rPr>
      <w:kern w:val="2"/>
      <w:sz w:val="22"/>
      <w:szCs w:val="24"/>
      <w14:ligatures w14:val="standardContextual"/>
    </w:rPr>
  </w:style>
  <w:style w:type="paragraph" w:customStyle="1" w:styleId="DDC3B5CF0C244A619CD03C5A4DFF694B">
    <w:name w:val="DDC3B5CF0C244A619CD03C5A4DFF694B"/>
    <w:qFormat/>
    <w:pPr>
      <w:widowControl w:val="0"/>
      <w:spacing w:after="160" w:line="278" w:lineRule="auto"/>
    </w:pPr>
    <w:rPr>
      <w:kern w:val="2"/>
      <w:sz w:val="22"/>
      <w:szCs w:val="24"/>
      <w14:ligatures w14:val="standardContextual"/>
    </w:rPr>
  </w:style>
  <w:style w:type="paragraph" w:customStyle="1" w:styleId="B1EB56E6F6F94DC981DE36D2A72155FE">
    <w:name w:val="B1EB56E6F6F94DC981DE36D2A72155FE"/>
    <w:qFormat/>
    <w:pPr>
      <w:widowControl w:val="0"/>
      <w:spacing w:after="160" w:line="278" w:lineRule="auto"/>
    </w:pPr>
    <w:rPr>
      <w:kern w:val="2"/>
      <w:sz w:val="22"/>
      <w:szCs w:val="24"/>
      <w14:ligatures w14:val="standardContextual"/>
    </w:rPr>
  </w:style>
  <w:style w:type="paragraph" w:customStyle="1" w:styleId="FEF732353D9043128EDB1595796E7159">
    <w:name w:val="FEF732353D9043128EDB1595796E7159"/>
    <w:qFormat/>
    <w:pPr>
      <w:widowControl w:val="0"/>
      <w:spacing w:after="160" w:line="278" w:lineRule="auto"/>
    </w:pPr>
    <w:rPr>
      <w:kern w:val="2"/>
      <w:sz w:val="22"/>
      <w:szCs w:val="24"/>
      <w14:ligatures w14:val="standardContextual"/>
    </w:rPr>
  </w:style>
  <w:style w:type="paragraph" w:customStyle="1" w:styleId="2904BB302B8D43B29B2FCC5A2AE1DE61">
    <w:name w:val="2904BB302B8D43B29B2FCC5A2AE1DE61"/>
    <w:qFormat/>
    <w:pPr>
      <w:widowControl w:val="0"/>
      <w:spacing w:after="160" w:line="278" w:lineRule="auto"/>
    </w:pPr>
    <w:rPr>
      <w:kern w:val="2"/>
      <w:sz w:val="22"/>
      <w:szCs w:val="24"/>
      <w14:ligatures w14:val="standardContextual"/>
    </w:rPr>
  </w:style>
  <w:style w:type="paragraph" w:customStyle="1" w:styleId="1B769135E6E74654A37D64587B63C5EA">
    <w:name w:val="1B769135E6E74654A37D64587B63C5EA"/>
    <w:qFormat/>
    <w:pPr>
      <w:widowControl w:val="0"/>
      <w:spacing w:after="160" w:line="278" w:lineRule="auto"/>
    </w:pPr>
    <w:rPr>
      <w:kern w:val="2"/>
      <w:sz w:val="22"/>
      <w:szCs w:val="24"/>
      <w14:ligatures w14:val="standardContextual"/>
    </w:rPr>
  </w:style>
  <w:style w:type="paragraph" w:customStyle="1" w:styleId="510953F5AF1A429FBE2B596109C2C7CB">
    <w:name w:val="510953F5AF1A429FBE2B596109C2C7CB"/>
    <w:qFormat/>
    <w:pPr>
      <w:widowControl w:val="0"/>
      <w:spacing w:after="160" w:line="278" w:lineRule="auto"/>
    </w:pPr>
    <w:rPr>
      <w:kern w:val="2"/>
      <w:sz w:val="22"/>
      <w:szCs w:val="24"/>
      <w14:ligatures w14:val="standardContextual"/>
    </w:rPr>
  </w:style>
  <w:style w:type="paragraph" w:customStyle="1" w:styleId="E0FB4DF661EA442DA471B7CEC85E7A09">
    <w:name w:val="E0FB4DF661EA442DA471B7CEC85E7A09"/>
    <w:qFormat/>
    <w:pPr>
      <w:widowControl w:val="0"/>
      <w:spacing w:after="160" w:line="278" w:lineRule="auto"/>
    </w:pPr>
    <w:rPr>
      <w:kern w:val="2"/>
      <w:sz w:val="22"/>
      <w:szCs w:val="24"/>
      <w14:ligatures w14:val="standardContextual"/>
    </w:rPr>
  </w:style>
  <w:style w:type="paragraph" w:customStyle="1" w:styleId="1B5F99BDBDDE4DE8AC53649A055AF530">
    <w:name w:val="1B5F99BDBDDE4DE8AC53649A055AF530"/>
    <w:qFormat/>
    <w:pPr>
      <w:widowControl w:val="0"/>
      <w:spacing w:after="160" w:line="278" w:lineRule="auto"/>
    </w:pPr>
    <w:rPr>
      <w:kern w:val="2"/>
      <w:sz w:val="22"/>
      <w:szCs w:val="24"/>
      <w14:ligatures w14:val="standardContextual"/>
    </w:rPr>
  </w:style>
  <w:style w:type="paragraph" w:customStyle="1" w:styleId="236B19BC5FF74EA2A0005B83E79A1215">
    <w:name w:val="236B19BC5FF74EA2A0005B83E79A1215"/>
    <w:qFormat/>
    <w:pPr>
      <w:widowControl w:val="0"/>
      <w:spacing w:after="160" w:line="278" w:lineRule="auto"/>
    </w:pPr>
    <w:rPr>
      <w:kern w:val="2"/>
      <w:sz w:val="22"/>
      <w:szCs w:val="24"/>
      <w14:ligatures w14:val="standardContextual"/>
    </w:rPr>
  </w:style>
  <w:style w:type="paragraph" w:customStyle="1" w:styleId="4F1E31F4D04742D78B26C3799B5BF3F2">
    <w:name w:val="4F1E31F4D04742D78B26C3799B5BF3F2"/>
    <w:qFormat/>
    <w:pPr>
      <w:widowControl w:val="0"/>
      <w:spacing w:after="160" w:line="278" w:lineRule="auto"/>
    </w:pPr>
    <w:rPr>
      <w:kern w:val="2"/>
      <w:sz w:val="22"/>
      <w:szCs w:val="24"/>
      <w14:ligatures w14:val="standardContextual"/>
    </w:rPr>
  </w:style>
  <w:style w:type="paragraph" w:customStyle="1" w:styleId="F2E40541AD5A43948F6DC0368764B395">
    <w:name w:val="F2E40541AD5A43948F6DC0368764B395"/>
    <w:qFormat/>
    <w:pPr>
      <w:widowControl w:val="0"/>
      <w:jc w:val="both"/>
    </w:pPr>
    <w:rPr>
      <w:kern w:val="2"/>
      <w:sz w:val="21"/>
      <w:szCs w:val="22"/>
    </w:rPr>
  </w:style>
  <w:style w:type="paragraph" w:customStyle="1" w:styleId="0E5391F6271D4115B566B1A71DB05276">
    <w:name w:val="0E5391F6271D4115B566B1A71DB05276"/>
    <w:qFormat/>
    <w:pPr>
      <w:widowControl w:val="0"/>
      <w:jc w:val="both"/>
    </w:pPr>
    <w:rPr>
      <w:kern w:val="2"/>
      <w:sz w:val="21"/>
      <w:szCs w:val="22"/>
    </w:rPr>
  </w:style>
  <w:style w:type="paragraph" w:customStyle="1" w:styleId="168A5089F61849EBA9692A0F488CD6A3">
    <w:name w:val="168A5089F61849EBA9692A0F488CD6A3"/>
    <w:qFormat/>
    <w:pPr>
      <w:widowControl w:val="0"/>
      <w:jc w:val="both"/>
    </w:pPr>
    <w:rPr>
      <w:kern w:val="2"/>
      <w:sz w:val="21"/>
      <w:szCs w:val="22"/>
    </w:rPr>
  </w:style>
  <w:style w:type="paragraph" w:customStyle="1" w:styleId="6EB19DA3EC754F8A98B456B8B2292B37">
    <w:name w:val="6EB19DA3EC754F8A98B456B8B2292B37"/>
    <w:qFormat/>
    <w:pPr>
      <w:widowControl w:val="0"/>
      <w:jc w:val="both"/>
    </w:pPr>
    <w:rPr>
      <w:kern w:val="2"/>
      <w:sz w:val="21"/>
      <w:szCs w:val="22"/>
    </w:rPr>
  </w:style>
  <w:style w:type="paragraph" w:customStyle="1" w:styleId="DA348C05F7074B8B81136D99CC7C0674">
    <w:name w:val="DA348C05F7074B8B81136D99CC7C0674"/>
    <w:qFormat/>
    <w:pPr>
      <w:widowControl w:val="0"/>
      <w:jc w:val="both"/>
    </w:pPr>
    <w:rPr>
      <w:kern w:val="2"/>
      <w:sz w:val="21"/>
      <w:szCs w:val="22"/>
    </w:rPr>
  </w:style>
  <w:style w:type="paragraph" w:customStyle="1" w:styleId="F9C25FE6491C4CB69A340DF54D47C1F2">
    <w:name w:val="F9C25FE6491C4CB69A340DF54D47C1F2"/>
    <w:qFormat/>
    <w:pPr>
      <w:widowControl w:val="0"/>
      <w:jc w:val="both"/>
    </w:pPr>
    <w:rPr>
      <w:kern w:val="2"/>
      <w:sz w:val="21"/>
      <w:szCs w:val="22"/>
    </w:rPr>
  </w:style>
  <w:style w:type="paragraph" w:customStyle="1" w:styleId="EA5167862BF64CA497448CC31281D32D">
    <w:name w:val="EA5167862BF64CA497448CC31281D32D"/>
    <w:qFormat/>
    <w:pPr>
      <w:widowControl w:val="0"/>
      <w:jc w:val="both"/>
    </w:pPr>
    <w:rPr>
      <w:kern w:val="2"/>
      <w:sz w:val="21"/>
      <w:szCs w:val="22"/>
    </w:rPr>
  </w:style>
  <w:style w:type="paragraph" w:customStyle="1" w:styleId="3205DB7989DA4955B3426D6379F14CF0">
    <w:name w:val="3205DB7989DA4955B3426D6379F14CF0"/>
    <w:qFormat/>
    <w:pPr>
      <w:widowControl w:val="0"/>
      <w:jc w:val="both"/>
    </w:pPr>
    <w:rPr>
      <w:kern w:val="2"/>
      <w:sz w:val="21"/>
      <w:szCs w:val="22"/>
    </w:rPr>
  </w:style>
  <w:style w:type="paragraph" w:customStyle="1" w:styleId="5395F45571C34086BE5956881E3717DF">
    <w:name w:val="5395F45571C34086BE5956881E3717DF"/>
    <w:qFormat/>
    <w:pPr>
      <w:widowControl w:val="0"/>
      <w:jc w:val="both"/>
    </w:pPr>
    <w:rPr>
      <w:kern w:val="2"/>
      <w:sz w:val="21"/>
      <w:szCs w:val="22"/>
    </w:rPr>
  </w:style>
  <w:style w:type="paragraph" w:customStyle="1" w:styleId="95F8FE9A6A604289A988D5FBDB97AF8D">
    <w:name w:val="95F8FE9A6A604289A988D5FBDB97AF8D"/>
    <w:qFormat/>
    <w:pPr>
      <w:widowControl w:val="0"/>
      <w:jc w:val="both"/>
    </w:pPr>
    <w:rPr>
      <w:kern w:val="2"/>
      <w:sz w:val="21"/>
      <w:szCs w:val="22"/>
    </w:rPr>
  </w:style>
  <w:style w:type="paragraph" w:customStyle="1" w:styleId="F37AD505C2CD4DD9B44509D55EF68DFF">
    <w:name w:val="F37AD505C2CD4DD9B44509D55EF68DFF"/>
    <w:qFormat/>
    <w:pPr>
      <w:widowControl w:val="0"/>
      <w:jc w:val="both"/>
    </w:pPr>
    <w:rPr>
      <w:kern w:val="2"/>
      <w:sz w:val="21"/>
      <w:szCs w:val="22"/>
    </w:rPr>
  </w:style>
  <w:style w:type="paragraph" w:customStyle="1" w:styleId="688899FF1A4340F0A50847ECC4826486">
    <w:name w:val="688899FF1A4340F0A50847ECC4826486"/>
    <w:qFormat/>
    <w:pPr>
      <w:widowControl w:val="0"/>
      <w:jc w:val="both"/>
    </w:pPr>
    <w:rPr>
      <w:kern w:val="2"/>
      <w:sz w:val="21"/>
      <w:szCs w:val="22"/>
    </w:rPr>
  </w:style>
  <w:style w:type="paragraph" w:customStyle="1" w:styleId="0255A55D61294BA8813FADA9CD86B4BA">
    <w:name w:val="0255A55D61294BA8813FADA9CD86B4BA"/>
    <w:qFormat/>
    <w:pPr>
      <w:widowControl w:val="0"/>
      <w:jc w:val="both"/>
    </w:pPr>
    <w:rPr>
      <w:kern w:val="2"/>
      <w:sz w:val="21"/>
      <w:szCs w:val="22"/>
    </w:rPr>
  </w:style>
  <w:style w:type="paragraph" w:customStyle="1" w:styleId="CF307DB39E41456B94B27902B3BBCBE6">
    <w:name w:val="CF307DB39E41456B94B27902B3BBCBE6"/>
    <w:qFormat/>
    <w:pPr>
      <w:widowControl w:val="0"/>
      <w:jc w:val="both"/>
    </w:pPr>
    <w:rPr>
      <w:kern w:val="2"/>
      <w:sz w:val="21"/>
      <w:szCs w:val="22"/>
    </w:rPr>
  </w:style>
  <w:style w:type="paragraph" w:customStyle="1" w:styleId="55FE27945F114971B4B5E97C7F76E03E">
    <w:name w:val="55FE27945F114971B4B5E97C7F76E03E"/>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mapping xmlns:m="http://mapping.word.org/2012/mapping">
  <m:sm4><![CDATA[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]]></m:sm4>
</m:mapping>
</file>

<file path=customXml/item3.xml><?xml version="1.0" encoding="utf-8"?>
<sc:sections xmlns:sc="http://mapping.word.org/2014/section/customize"/>
</file>

<file path=customXml/item4.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xmlns:bond="bond">
  <clcid-cgi:GongSiFaDingZhongWenMingCheng xmlns:clcid-cgi="clcid-cgi">大秦铁路股份有限公司</clcid-cgi:GongSiFaDingZhongWenMingCheng>
  <clcid-mr:GongSiFuZeRenXingMing xmlns:clcid-mr="clcid-mr">陆勇</clcid-mr:GongSiFuZeRenXingMing>
  <clcid-mr:ZhuGuanKuaiJiGongZuoFuZeRenXingMing xmlns:clcid-mr="clcid-mr">裴丽群</clcid-mr:ZhuGuanKuaiJiGongZuoFuZeRenXingMing>
  <clcid-mr:KuaiJiJiGouFuZeRenXingMing xmlns:clcid-mr="clcid-mr">孔韶鹏</clcid-mr:KuaiJiJiGouFuZeRenXingMing>
  <clcid-cgi:GongSiFaDingDaiBiaoRen xmlns:clcid-cgi="clcid-cgi"/>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
  <clcid-pte:FeiJingChangXingSunYiXiangMuZhongShaoShuGuDongQuanYiYingXiangEShuoMing xmlns:clcid-pte="clcid-pte"/>
  <clcid-pte:FeiJingChangXingSunYiDeKouChuXiangMuDuiSuoDeShuiDeYingXiang xmlns:clcid-pte="clcid-pte"/>
  <clcid-pte:FeiJingChangXingSunYiDeKouChuXiangMuDuiSuoDeShuiDeYingXiangShuoMing xmlns:clcid-pte="clcid-pte"/>
  <clcid-pte:KouChuDeFeiJingChangXingSunYiHeJi xmlns:clcid-pte="clcid-pte"/>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clcid-ci-ar:DanWeiCaiWuFuZhuYingFuPiaoJu>元</clcid-ci-ar:DanWeiCaiWuFuZhuYingFuPiaoJu>
  <bond:GongSiFaDingZhongWenMingCheng/>
  <clcid-pte:YinQuXiaoXiuGaiGuQuanJiLiJiHuaYiCiXingQueRenDeGuFenZhiFuFeiYong/>
  <clcid-pte:DuiYuXianJinJieSuanDeGuFenZhiFuZaiKeXingQuanRiZhiHouYingFuZhiGongXinChouDeGongYunJiaZhiBianDongChanShengDeSunYi/>
  <bond:DanWeiFeiJingYingXingWangLaiZhanKuanHeZiJinChaiJie>亿元</bond:DanWeiFeiJingYingXingWangLaiZhanKuanHeZiJinChaiJie>
  <bond:BiZhongFeiJingYingXingWangLaiZhanKuanHeZiJinChaiJie>人民币</bond:BiZhongFeiJingYingXingWangLaiZhanKuanHeZiJinChaiJie>
  <bond:DanWeiMuGongSiYouXiZhaiWu>亿元</bond:DanWeiMuGongSiYouXiZhaiWu>
  <bond:DanWeiYouXiZhaiWu>亿元</bond:DanWeiYouXiZhaiWu>
  <bond:DanWeiFaXingRenJingWaiShiChangFaXingZhaiQuan>亿元</bond:DanWeiFaXingRenJingWaiShiChangFaXingZhaiQuan>
  <bond:JingWaiZhaiQuan/>
  <bond:BiZhongFaXingRenJingWaiShiChangFaXingZhaiQuan>人民币</bond:BiZhongFaXingRenJingWaiShiChangFaXingZhaiQuan>
  <bond:DanWeiMuGongSiZhaiWuJieGouQingKuang>亿元</bond:DanWeiMuGongSiZhaiWuJieGouQingKuang>
  <bond:DanWeiZhaiWuJieGouQingKuang>亿元</bond:DanWeiZhaiWuJieGouQingKuang>
</b:binding>
</file>

<file path=customXml/item5.xml><?xml version="1.0" encoding="utf-8"?>
<t:template xmlns:t="http://mapping.word.org/2012/template">
  <t:sse><![CDATA[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]]></t:sse>
</t:template>
</file>

<file path=customXml/itemProps1.xml><?xml version="1.0" encoding="utf-8"?>
<ds:datastoreItem xmlns:ds="http://schemas.openxmlformats.org/officeDocument/2006/customXml" ds:itemID="{E2D801DE-9D3A-4CB6-BFE3-B1BCF0531AAA}">
  <ds:schemaRefs>
    <ds:schemaRef ds:uri="http://schemas.openxmlformats.org/officeDocument/2006/bibliography"/>
  </ds:schemaRefs>
</ds:datastoreItem>
</file>

<file path=customXml/itemProps2.xml><?xml version="1.0" encoding="utf-8"?>
<ds:datastoreItem xmlns:ds="http://schemas.openxmlformats.org/officeDocument/2006/customXml" ds:itemID="{041B5625-7AD5-4ABD-BD65-B0A712E9840F}">
  <ds:schemaRefs>
    <ds:schemaRef ds:uri="http://mapping.word.org/2012/mapping"/>
  </ds:schemaRefs>
</ds:datastoreItem>
</file>

<file path=customXml/itemProps3.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4.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 ds:uri="bond"/>
  </ds:schemaRefs>
</ds:datastoreItem>
</file>

<file path=customXml/itemProps5.xml><?xml version="1.0" encoding="utf-8"?>
<ds:datastoreItem xmlns:ds="http://schemas.openxmlformats.org/officeDocument/2006/customXml" ds:itemID="{B7AA78FA-92DA-47E0-B93C-DBD4AEAA66E0}">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73</TotalTime>
  <Pages>221</Pages>
  <Words>110206</Words>
  <Characters>142168</Characters>
  <Application>Microsoft Office Word</Application>
  <DocSecurity>0</DocSecurity>
  <Lines>10154</Lines>
  <Paragraphs>11471</Paragraphs>
  <ScaleCrop>false</ScaleCrop>
  <Company/>
  <LinksUpToDate>false</LinksUpToDate>
  <CharactersWithSpaces>240903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大秦铁路股份有限公司2025年年度报告</dc:title>
  <dc:creator>TY0490</dc:creator>
  <cp:lastModifiedBy>Huawei</cp:lastModifiedBy>
  <cp:revision>1105</cp:revision>
  <dcterms:created xsi:type="dcterms:W3CDTF">2026-02-28T01:55:00Z</dcterms:created>
  <dcterms:modified xsi:type="dcterms:W3CDTF">2026-04-29T02:23:00Z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eyJoZGlkIjoiYjg5ZDU2ZTJlZDIzMjMxYzcwZGMxNWI0YWJjMTk4NjIiLCJ1c2VySWQiOiIxODE5NDUwMTkyIn0=</vt:lpwstr>
  </property>
  <property fmtid="{D5CDD505-2E9C-101B-9397-08002B2CF9AE}" pid="3" name="KSOProductBuildVer">
    <vt:lpwstr>2052-12.1.0.25865</vt:lpwstr>
  </property>
  <property fmtid="{D5CDD505-2E9C-101B-9397-08002B2CF9AE}" pid="4" name="ICV">
    <vt:lpwstr>FAF753604639475F83D22B036588483E_13</vt:lpwstr>
  </property>
</Properties>
</file>